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0235" w14:textId="77777777" w:rsidR="00206BA2" w:rsidRPr="00B24750" w:rsidRDefault="00206BA2" w:rsidP="004E311E">
      <w:pPr>
        <w:jc w:val="both"/>
        <w:rPr>
          <w:rFonts w:asciiTheme="majorHAnsi" w:hAnsiTheme="majorHAnsi" w:cs="Univers"/>
          <w:b/>
          <w:bCs/>
          <w:sz w:val="22"/>
          <w:szCs w:val="22"/>
          <w:lang w:val="en-US"/>
        </w:rPr>
      </w:pPr>
    </w:p>
    <w:p w14:paraId="1A531E8E" w14:textId="04B0083F" w:rsidR="004E311E" w:rsidRPr="00B24750" w:rsidRDefault="004E311E" w:rsidP="004E311E">
      <w:pPr>
        <w:jc w:val="both"/>
        <w:rPr>
          <w:rFonts w:asciiTheme="majorHAnsi" w:hAnsiTheme="majorHAnsi" w:cs="Univers"/>
          <w:b/>
          <w:bCs/>
          <w:sz w:val="22"/>
          <w:szCs w:val="22"/>
          <w:lang w:val="en-US"/>
        </w:rPr>
      </w:pPr>
      <w:r w:rsidRPr="00B24750">
        <w:rPr>
          <w:rFonts w:asciiTheme="majorHAnsi" w:hAnsiTheme="majorHAnsi"/>
          <w:noProof/>
          <w:sz w:val="22"/>
          <w:szCs w:val="22"/>
          <w:lang w:val="en-US"/>
        </w:rPr>
        <mc:AlternateContent>
          <mc:Choice Requires="wps">
            <w:drawing>
              <wp:anchor distT="0" distB="0" distL="114300" distR="114300" simplePos="0" relativeHeight="251659264" behindDoc="0" locked="0" layoutInCell="1" allowOverlap="1" wp14:anchorId="2B7500C9" wp14:editId="42ABFA2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172B" id="Rectangle 1"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Pr="00B24750">
        <w:rPr>
          <w:rFonts w:asciiTheme="majorHAnsi" w:hAnsiTheme="majorHAnsi"/>
          <w:noProof/>
          <w:sz w:val="22"/>
          <w:szCs w:val="22"/>
          <w:lang w:val="en-US"/>
        </w:rPr>
        <mc:AlternateContent>
          <mc:Choice Requires="wps">
            <w:drawing>
              <wp:anchor distT="0" distB="0" distL="114300" distR="114300" simplePos="0" relativeHeight="251663360" behindDoc="0" locked="0" layoutInCell="1" allowOverlap="1" wp14:anchorId="5AA7BF65" wp14:editId="706665B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9C7AA" w14:textId="590C66F3" w:rsidR="003A6945" w:rsidRDefault="003A6945" w:rsidP="004E311E">
                            <w:r>
                              <w:t xml:space="preserve">                                               </w:t>
                            </w:r>
                            <w:r>
                              <w:rPr>
                                <w:noProof/>
                                <w:lang w:val="en-US"/>
                              </w:rPr>
                              <w:drawing>
                                <wp:inline distT="0" distB="0" distL="0" distR="0" wp14:anchorId="4BD6509E" wp14:editId="77DF9D27">
                                  <wp:extent cx="2633345" cy="485123"/>
                                  <wp:effectExtent l="0" t="0" r="0" b="0"/>
                                  <wp:docPr id="56" name="Picture 5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578" cy="498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7BF6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079C7AA" w14:textId="590C66F3" w:rsidR="003A6945" w:rsidRDefault="003A6945" w:rsidP="004E311E">
                      <w:r>
                        <w:t xml:space="preserve">                                               </w:t>
                      </w:r>
                      <w:r>
                        <w:rPr>
                          <w:noProof/>
                          <w:lang w:val="en-US"/>
                        </w:rPr>
                        <w:drawing>
                          <wp:inline distT="0" distB="0" distL="0" distR="0" wp14:anchorId="4BD6509E" wp14:editId="77DF9D27">
                            <wp:extent cx="2633345" cy="485123"/>
                            <wp:effectExtent l="0" t="0" r="0" b="0"/>
                            <wp:docPr id="56" name="Picture 5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578" cy="498798"/>
                                    </a:xfrm>
                                    <a:prstGeom prst="rect">
                                      <a:avLst/>
                                    </a:prstGeom>
                                    <a:noFill/>
                                    <a:ln>
                                      <a:noFill/>
                                    </a:ln>
                                  </pic:spPr>
                                </pic:pic>
                              </a:graphicData>
                            </a:graphic>
                          </wp:inline>
                        </w:drawing>
                      </w:r>
                    </w:p>
                  </w:txbxContent>
                </v:textbox>
              </v:shape>
            </w:pict>
          </mc:Fallback>
        </mc:AlternateContent>
      </w:r>
    </w:p>
    <w:p w14:paraId="01C7F9F1" w14:textId="77777777" w:rsidR="004E311E" w:rsidRPr="00B24750" w:rsidRDefault="004E311E" w:rsidP="004E311E">
      <w:pPr>
        <w:tabs>
          <w:tab w:val="center" w:pos="5400"/>
        </w:tabs>
        <w:suppressAutoHyphens/>
        <w:jc w:val="both"/>
        <w:rPr>
          <w:rFonts w:asciiTheme="majorHAnsi" w:hAnsiTheme="majorHAnsi"/>
          <w:sz w:val="22"/>
          <w:szCs w:val="22"/>
          <w:lang w:val="en-US"/>
        </w:rPr>
      </w:pPr>
    </w:p>
    <w:p w14:paraId="6FCC498C" w14:textId="7F401902" w:rsidR="004E311E" w:rsidRPr="00B24750" w:rsidRDefault="004E311E" w:rsidP="004E311E">
      <w:pPr>
        <w:tabs>
          <w:tab w:val="center" w:pos="5400"/>
        </w:tabs>
        <w:suppressAutoHyphens/>
        <w:jc w:val="both"/>
        <w:rPr>
          <w:rFonts w:asciiTheme="majorHAnsi" w:hAnsiTheme="majorHAnsi"/>
          <w:sz w:val="22"/>
          <w:szCs w:val="22"/>
          <w:lang w:val="en-US"/>
        </w:rPr>
      </w:pPr>
    </w:p>
    <w:p w14:paraId="0B2E6624" w14:textId="5EAA9661" w:rsidR="004E311E" w:rsidRPr="00B24750" w:rsidRDefault="004E311E" w:rsidP="004E311E">
      <w:pPr>
        <w:tabs>
          <w:tab w:val="center" w:pos="5400"/>
        </w:tabs>
        <w:suppressAutoHyphens/>
        <w:rPr>
          <w:rFonts w:asciiTheme="majorHAnsi" w:hAnsiTheme="majorHAnsi"/>
          <w:sz w:val="22"/>
          <w:szCs w:val="22"/>
          <w:lang w:val="en-US"/>
        </w:rPr>
      </w:pPr>
    </w:p>
    <w:p w14:paraId="0E113B3D" w14:textId="77777777" w:rsidR="004E311E" w:rsidRPr="00B24750" w:rsidRDefault="004E311E" w:rsidP="004E311E">
      <w:pPr>
        <w:tabs>
          <w:tab w:val="center" w:pos="5400"/>
        </w:tabs>
        <w:suppressAutoHyphens/>
        <w:rPr>
          <w:rFonts w:asciiTheme="majorHAnsi" w:hAnsiTheme="majorHAnsi"/>
          <w:sz w:val="22"/>
          <w:szCs w:val="22"/>
          <w:lang w:val="en-US"/>
        </w:rPr>
      </w:pPr>
    </w:p>
    <w:p w14:paraId="461A4390" w14:textId="77777777" w:rsidR="004E311E" w:rsidRPr="00B24750" w:rsidRDefault="004E311E" w:rsidP="004E311E">
      <w:pPr>
        <w:tabs>
          <w:tab w:val="center" w:pos="5400"/>
        </w:tabs>
        <w:suppressAutoHyphens/>
        <w:rPr>
          <w:rFonts w:asciiTheme="majorHAnsi" w:hAnsiTheme="majorHAnsi"/>
          <w:sz w:val="22"/>
          <w:szCs w:val="22"/>
          <w:lang w:val="en-US"/>
        </w:rPr>
      </w:pPr>
    </w:p>
    <w:p w14:paraId="789ED230"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7FF26455" w14:textId="6FAE0280" w:rsidR="004E311E" w:rsidRPr="00B24750" w:rsidRDefault="004E311E" w:rsidP="004E311E">
      <w:pPr>
        <w:tabs>
          <w:tab w:val="center" w:pos="5400"/>
        </w:tabs>
        <w:suppressAutoHyphens/>
        <w:jc w:val="center"/>
        <w:rPr>
          <w:rFonts w:asciiTheme="majorHAnsi" w:hAnsiTheme="majorHAnsi"/>
          <w:sz w:val="22"/>
          <w:szCs w:val="22"/>
          <w:lang w:val="en-US"/>
        </w:rPr>
      </w:pPr>
    </w:p>
    <w:p w14:paraId="11001C79"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4C5110B8"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5CFB369D"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2C6B01B9"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202DE422"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1B95C299" w14:textId="47F6CEC6" w:rsidR="004E311E" w:rsidRPr="00B24750" w:rsidRDefault="004E311E" w:rsidP="004E311E">
      <w:pPr>
        <w:tabs>
          <w:tab w:val="center" w:pos="5400"/>
        </w:tabs>
        <w:suppressAutoHyphens/>
        <w:jc w:val="center"/>
        <w:rPr>
          <w:rFonts w:asciiTheme="majorHAnsi" w:hAnsiTheme="majorHAnsi"/>
          <w:sz w:val="22"/>
          <w:szCs w:val="22"/>
          <w:lang w:val="en-US"/>
        </w:rPr>
      </w:pPr>
    </w:p>
    <w:p w14:paraId="5B571DAE" w14:textId="626763B6" w:rsidR="004E311E" w:rsidRPr="00B24750" w:rsidRDefault="00824AED" w:rsidP="004E311E">
      <w:pPr>
        <w:tabs>
          <w:tab w:val="center" w:pos="5400"/>
        </w:tabs>
        <w:suppressAutoHyphens/>
        <w:jc w:val="center"/>
        <w:rPr>
          <w:rFonts w:asciiTheme="majorHAnsi" w:hAnsiTheme="majorHAnsi"/>
          <w:sz w:val="22"/>
          <w:szCs w:val="22"/>
          <w:lang w:val="en-US"/>
        </w:rPr>
      </w:pPr>
      <w:r w:rsidRPr="00B24750">
        <w:rPr>
          <w:rFonts w:asciiTheme="majorHAnsi" w:hAnsiTheme="majorHAnsi"/>
          <w:noProof/>
          <w:sz w:val="22"/>
          <w:szCs w:val="22"/>
          <w:lang w:val="en-US"/>
        </w:rPr>
        <mc:AlternateContent>
          <mc:Choice Requires="wps">
            <w:drawing>
              <wp:anchor distT="0" distB="0" distL="114300" distR="114300" simplePos="0" relativeHeight="251660288" behindDoc="0" locked="0" layoutInCell="1" allowOverlap="1" wp14:anchorId="235A4B59" wp14:editId="33C4DD5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007D1" w14:textId="68DB9C5C" w:rsidR="003A6945" w:rsidRPr="002A7A7E" w:rsidRDefault="003A6945" w:rsidP="004E311E">
                            <w:pPr>
                              <w:spacing w:line="276" w:lineRule="auto"/>
                              <w:rPr>
                                <w:rFonts w:asciiTheme="majorHAnsi" w:hAnsiTheme="majorHAnsi" w:cs="Arial"/>
                                <w:b/>
                                <w:bCs/>
                                <w:color w:val="0D0D0D" w:themeColor="text1" w:themeTint="F2"/>
                                <w:sz w:val="36"/>
                                <w:szCs w:val="40"/>
                                <w:lang w:val="en-US"/>
                              </w:rPr>
                            </w:pPr>
                            <w:r w:rsidRPr="002A7A7E">
                              <w:rPr>
                                <w:rFonts w:asciiTheme="majorHAnsi" w:hAnsiTheme="majorHAnsi" w:cs="Arial"/>
                                <w:b/>
                                <w:bCs/>
                                <w:color w:val="0D0D0D" w:themeColor="text1" w:themeTint="F2"/>
                                <w:sz w:val="36"/>
                                <w:szCs w:val="40"/>
                                <w:lang w:val="en-US"/>
                              </w:rPr>
                              <w:t xml:space="preserve">REPORT No. </w:t>
                            </w:r>
                            <w:r>
                              <w:rPr>
                                <w:rFonts w:asciiTheme="majorHAnsi" w:hAnsiTheme="majorHAnsi" w:cs="Arial"/>
                                <w:b/>
                                <w:bCs/>
                                <w:color w:val="0D0D0D" w:themeColor="text1" w:themeTint="F2"/>
                                <w:sz w:val="36"/>
                                <w:szCs w:val="40"/>
                                <w:lang w:val="en-US"/>
                              </w:rPr>
                              <w:t>297</w:t>
                            </w:r>
                            <w:r w:rsidRPr="002A7A7E">
                              <w:rPr>
                                <w:rFonts w:asciiTheme="majorHAnsi" w:hAnsiTheme="majorHAnsi" w:cs="Arial"/>
                                <w:b/>
                                <w:bCs/>
                                <w:color w:val="0D0D0D" w:themeColor="text1" w:themeTint="F2"/>
                                <w:sz w:val="36"/>
                                <w:szCs w:val="40"/>
                                <w:lang w:val="en-US"/>
                              </w:rPr>
                              <w:t>/21</w:t>
                            </w:r>
                          </w:p>
                          <w:p w14:paraId="33C8CBE5" w14:textId="7D224DD5" w:rsidR="003A6945" w:rsidRPr="002A7A7E" w:rsidRDefault="009D14E7" w:rsidP="004E311E">
                            <w:pPr>
                              <w:spacing w:line="276" w:lineRule="auto"/>
                              <w:rPr>
                                <w:rFonts w:asciiTheme="majorHAnsi" w:hAnsiTheme="majorHAnsi" w:cs="Arial"/>
                                <w:b/>
                                <w:bCs/>
                                <w:color w:val="0D0D0D" w:themeColor="text1" w:themeTint="F2"/>
                                <w:sz w:val="36"/>
                                <w:szCs w:val="40"/>
                                <w:lang w:val="en-US"/>
                              </w:rPr>
                            </w:pPr>
                            <w:r w:rsidRPr="002A7A7E">
                              <w:rPr>
                                <w:rFonts w:asciiTheme="majorHAnsi" w:hAnsiTheme="majorHAnsi" w:cs="Arial"/>
                                <w:b/>
                                <w:bCs/>
                                <w:color w:val="0D0D0D" w:themeColor="text1" w:themeTint="F2"/>
                                <w:sz w:val="36"/>
                                <w:szCs w:val="40"/>
                                <w:lang w:val="en-US"/>
                              </w:rPr>
                              <w:t xml:space="preserve">CASE </w:t>
                            </w:r>
                            <w:r w:rsidR="003A6945" w:rsidRPr="002A7A7E">
                              <w:rPr>
                                <w:rFonts w:asciiTheme="majorHAnsi" w:hAnsiTheme="majorHAnsi" w:cs="Arial"/>
                                <w:b/>
                                <w:bCs/>
                                <w:color w:val="0D0D0D" w:themeColor="text1" w:themeTint="F2"/>
                                <w:sz w:val="36"/>
                                <w:szCs w:val="40"/>
                                <w:lang w:val="en-US"/>
                              </w:rPr>
                              <w:t>13.639</w:t>
                            </w:r>
                          </w:p>
                          <w:p w14:paraId="3942EA68" w14:textId="4F6A1F97" w:rsidR="003A6945" w:rsidRPr="002A7A7E" w:rsidRDefault="003A6945" w:rsidP="004E311E">
                            <w:pPr>
                              <w:spacing w:line="276" w:lineRule="auto"/>
                              <w:rPr>
                                <w:rFonts w:asciiTheme="majorHAnsi" w:hAnsiTheme="majorHAnsi" w:cs="Arial"/>
                                <w:color w:val="0D0D0D" w:themeColor="text1" w:themeTint="F2"/>
                                <w:szCs w:val="28"/>
                                <w:lang w:val="en-US"/>
                              </w:rPr>
                            </w:pPr>
                            <w:r w:rsidRPr="002A7A7E">
                              <w:rPr>
                                <w:rFonts w:asciiTheme="majorHAnsi" w:hAnsiTheme="majorHAnsi" w:cs="Arial"/>
                                <w:color w:val="0D0D0D" w:themeColor="text1" w:themeTint="F2"/>
                                <w:szCs w:val="28"/>
                                <w:lang w:val="en-US"/>
                              </w:rPr>
                              <w:t>ADMISSIBILITY AND MERITS REPORT</w:t>
                            </w:r>
                            <w:r>
                              <w:rPr>
                                <w:rFonts w:asciiTheme="majorHAnsi" w:hAnsiTheme="majorHAnsi" w:cs="Arial"/>
                                <w:color w:val="0D0D0D" w:themeColor="text1" w:themeTint="F2"/>
                                <w:szCs w:val="28"/>
                                <w:lang w:val="en-US"/>
                              </w:rPr>
                              <w:t xml:space="preserve"> </w:t>
                            </w:r>
                            <w:r w:rsidRPr="00604D63">
                              <w:rPr>
                                <w:rFonts w:asciiTheme="majorHAnsi" w:hAnsiTheme="majorHAnsi" w:cs="Arial"/>
                                <w:color w:val="0D0D0D" w:themeColor="text1" w:themeTint="F2"/>
                                <w:szCs w:val="28"/>
                                <w:lang w:val="en-US"/>
                              </w:rPr>
                              <w:t>(</w:t>
                            </w:r>
                            <w:r w:rsidRPr="003A6945">
                              <w:rPr>
                                <w:rFonts w:asciiTheme="majorHAnsi" w:hAnsiTheme="majorHAnsi" w:cs="Arial"/>
                                <w:color w:val="0D0D0D" w:themeColor="text1" w:themeTint="F2"/>
                                <w:szCs w:val="28"/>
                                <w:lang w:val="en-US"/>
                              </w:rPr>
                              <w:t>PUBLICATION</w:t>
                            </w:r>
                            <w:r w:rsidRPr="00604D63">
                              <w:rPr>
                                <w:rFonts w:asciiTheme="majorHAnsi" w:hAnsiTheme="majorHAnsi" w:cs="Arial"/>
                                <w:color w:val="0D0D0D" w:themeColor="text1" w:themeTint="F2"/>
                                <w:szCs w:val="28"/>
                                <w:lang w:val="en-US"/>
                              </w:rPr>
                              <w:t>)</w:t>
                            </w:r>
                          </w:p>
                          <w:p w14:paraId="572765EE" w14:textId="77777777" w:rsidR="003A6945" w:rsidRPr="002A7A7E" w:rsidRDefault="003A6945" w:rsidP="004E311E">
                            <w:pPr>
                              <w:spacing w:line="276" w:lineRule="auto"/>
                              <w:rPr>
                                <w:rFonts w:asciiTheme="majorHAnsi" w:hAnsiTheme="majorHAnsi" w:cs="Arial"/>
                                <w:color w:val="0D0D0D" w:themeColor="text1" w:themeTint="F2"/>
                                <w:szCs w:val="28"/>
                                <w:lang w:val="en-US"/>
                              </w:rPr>
                            </w:pPr>
                          </w:p>
                          <w:p w14:paraId="1D7E469C" w14:textId="77777777" w:rsidR="003A6945" w:rsidRPr="007F3449" w:rsidRDefault="003A6945" w:rsidP="004E311E">
                            <w:pPr>
                              <w:spacing w:line="276" w:lineRule="auto"/>
                              <w:rPr>
                                <w:rFonts w:asciiTheme="majorHAnsi" w:hAnsiTheme="majorHAnsi" w:cs="Arial"/>
                                <w:color w:val="0D0D0D" w:themeColor="text1" w:themeTint="F2"/>
                                <w:szCs w:val="28"/>
                                <w:lang w:val="en-US"/>
                              </w:rPr>
                            </w:pPr>
                            <w:r w:rsidRPr="007F3449">
                              <w:rPr>
                                <w:rFonts w:asciiTheme="majorHAnsi" w:hAnsiTheme="majorHAnsi" w:cs="Arial"/>
                                <w:color w:val="0D0D0D" w:themeColor="text1" w:themeTint="F2"/>
                                <w:szCs w:val="28"/>
                                <w:lang w:val="en-US"/>
                              </w:rPr>
                              <w:t>YOANI MARÍA SÁNCHEZ CORDERO</w:t>
                            </w:r>
                          </w:p>
                          <w:p w14:paraId="26E860D0" w14:textId="10679EC6" w:rsidR="003A6945" w:rsidRPr="004E311E" w:rsidRDefault="003A6945" w:rsidP="004E311E">
                            <w:pPr>
                              <w:spacing w:line="276" w:lineRule="auto"/>
                              <w:rPr>
                                <w:rFonts w:asciiTheme="majorHAnsi" w:hAnsiTheme="majorHAnsi"/>
                                <w:color w:val="0D0D0D" w:themeColor="text1" w:themeTint="F2"/>
                                <w:sz w:val="20"/>
                                <w:szCs w:val="20"/>
                                <w:lang w:val="es-ES_tradnl"/>
                              </w:rPr>
                            </w:pPr>
                            <w:r w:rsidRPr="004E311E">
                              <w:rPr>
                                <w:rFonts w:asciiTheme="majorHAnsi" w:hAnsiTheme="majorHAnsi" w:cs="Arial"/>
                                <w:color w:val="0D0D0D" w:themeColor="text1" w:themeTint="F2"/>
                                <w:szCs w:val="28"/>
                              </w:rPr>
                              <w:t>CUBA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4B59"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CD007D1" w14:textId="68DB9C5C" w:rsidR="003A6945" w:rsidRPr="002A7A7E" w:rsidRDefault="003A6945" w:rsidP="004E311E">
                      <w:pPr>
                        <w:spacing w:line="276" w:lineRule="auto"/>
                        <w:rPr>
                          <w:rFonts w:asciiTheme="majorHAnsi" w:hAnsiTheme="majorHAnsi" w:cs="Arial"/>
                          <w:b/>
                          <w:bCs/>
                          <w:color w:val="0D0D0D" w:themeColor="text1" w:themeTint="F2"/>
                          <w:sz w:val="36"/>
                          <w:szCs w:val="40"/>
                          <w:lang w:val="en-US"/>
                        </w:rPr>
                      </w:pPr>
                      <w:r w:rsidRPr="002A7A7E">
                        <w:rPr>
                          <w:rFonts w:asciiTheme="majorHAnsi" w:hAnsiTheme="majorHAnsi" w:cs="Arial"/>
                          <w:b/>
                          <w:bCs/>
                          <w:color w:val="0D0D0D" w:themeColor="text1" w:themeTint="F2"/>
                          <w:sz w:val="36"/>
                          <w:szCs w:val="40"/>
                          <w:lang w:val="en-US"/>
                        </w:rPr>
                        <w:t xml:space="preserve">REPORT No. </w:t>
                      </w:r>
                      <w:r>
                        <w:rPr>
                          <w:rFonts w:asciiTheme="majorHAnsi" w:hAnsiTheme="majorHAnsi" w:cs="Arial"/>
                          <w:b/>
                          <w:bCs/>
                          <w:color w:val="0D0D0D" w:themeColor="text1" w:themeTint="F2"/>
                          <w:sz w:val="36"/>
                          <w:szCs w:val="40"/>
                          <w:lang w:val="en-US"/>
                        </w:rPr>
                        <w:t>297</w:t>
                      </w:r>
                      <w:r w:rsidRPr="002A7A7E">
                        <w:rPr>
                          <w:rFonts w:asciiTheme="majorHAnsi" w:hAnsiTheme="majorHAnsi" w:cs="Arial"/>
                          <w:b/>
                          <w:bCs/>
                          <w:color w:val="0D0D0D" w:themeColor="text1" w:themeTint="F2"/>
                          <w:sz w:val="36"/>
                          <w:szCs w:val="40"/>
                          <w:lang w:val="en-US"/>
                        </w:rPr>
                        <w:t>/21</w:t>
                      </w:r>
                    </w:p>
                    <w:p w14:paraId="33C8CBE5" w14:textId="7D224DD5" w:rsidR="003A6945" w:rsidRPr="002A7A7E" w:rsidRDefault="009D14E7" w:rsidP="004E311E">
                      <w:pPr>
                        <w:spacing w:line="276" w:lineRule="auto"/>
                        <w:rPr>
                          <w:rFonts w:asciiTheme="majorHAnsi" w:hAnsiTheme="majorHAnsi" w:cs="Arial"/>
                          <w:b/>
                          <w:bCs/>
                          <w:color w:val="0D0D0D" w:themeColor="text1" w:themeTint="F2"/>
                          <w:sz w:val="36"/>
                          <w:szCs w:val="40"/>
                          <w:lang w:val="en-US"/>
                        </w:rPr>
                      </w:pPr>
                      <w:r w:rsidRPr="002A7A7E">
                        <w:rPr>
                          <w:rFonts w:asciiTheme="majorHAnsi" w:hAnsiTheme="majorHAnsi" w:cs="Arial"/>
                          <w:b/>
                          <w:bCs/>
                          <w:color w:val="0D0D0D" w:themeColor="text1" w:themeTint="F2"/>
                          <w:sz w:val="36"/>
                          <w:szCs w:val="40"/>
                          <w:lang w:val="en-US"/>
                        </w:rPr>
                        <w:t xml:space="preserve">CASE </w:t>
                      </w:r>
                      <w:r w:rsidR="003A6945" w:rsidRPr="002A7A7E">
                        <w:rPr>
                          <w:rFonts w:asciiTheme="majorHAnsi" w:hAnsiTheme="majorHAnsi" w:cs="Arial"/>
                          <w:b/>
                          <w:bCs/>
                          <w:color w:val="0D0D0D" w:themeColor="text1" w:themeTint="F2"/>
                          <w:sz w:val="36"/>
                          <w:szCs w:val="40"/>
                          <w:lang w:val="en-US"/>
                        </w:rPr>
                        <w:t>13.639</w:t>
                      </w:r>
                    </w:p>
                    <w:p w14:paraId="3942EA68" w14:textId="4F6A1F97" w:rsidR="003A6945" w:rsidRPr="002A7A7E" w:rsidRDefault="003A6945" w:rsidP="004E311E">
                      <w:pPr>
                        <w:spacing w:line="276" w:lineRule="auto"/>
                        <w:rPr>
                          <w:rFonts w:asciiTheme="majorHAnsi" w:hAnsiTheme="majorHAnsi" w:cs="Arial"/>
                          <w:color w:val="0D0D0D" w:themeColor="text1" w:themeTint="F2"/>
                          <w:szCs w:val="28"/>
                          <w:lang w:val="en-US"/>
                        </w:rPr>
                      </w:pPr>
                      <w:r w:rsidRPr="002A7A7E">
                        <w:rPr>
                          <w:rFonts w:asciiTheme="majorHAnsi" w:hAnsiTheme="majorHAnsi" w:cs="Arial"/>
                          <w:color w:val="0D0D0D" w:themeColor="text1" w:themeTint="F2"/>
                          <w:szCs w:val="28"/>
                          <w:lang w:val="en-US"/>
                        </w:rPr>
                        <w:t>ADMISSIBILITY AND MERITS REPORT</w:t>
                      </w:r>
                      <w:r>
                        <w:rPr>
                          <w:rFonts w:asciiTheme="majorHAnsi" w:hAnsiTheme="majorHAnsi" w:cs="Arial"/>
                          <w:color w:val="0D0D0D" w:themeColor="text1" w:themeTint="F2"/>
                          <w:szCs w:val="28"/>
                          <w:lang w:val="en-US"/>
                        </w:rPr>
                        <w:t xml:space="preserve"> </w:t>
                      </w:r>
                      <w:r w:rsidRPr="00604D63">
                        <w:rPr>
                          <w:rFonts w:asciiTheme="majorHAnsi" w:hAnsiTheme="majorHAnsi" w:cs="Arial"/>
                          <w:color w:val="0D0D0D" w:themeColor="text1" w:themeTint="F2"/>
                          <w:szCs w:val="28"/>
                          <w:lang w:val="en-US"/>
                        </w:rPr>
                        <w:t>(</w:t>
                      </w:r>
                      <w:r w:rsidRPr="003A6945">
                        <w:rPr>
                          <w:rFonts w:asciiTheme="majorHAnsi" w:hAnsiTheme="majorHAnsi" w:cs="Arial"/>
                          <w:color w:val="0D0D0D" w:themeColor="text1" w:themeTint="F2"/>
                          <w:szCs w:val="28"/>
                          <w:lang w:val="en-US"/>
                        </w:rPr>
                        <w:t>PUBLICATION</w:t>
                      </w:r>
                      <w:r w:rsidRPr="00604D63">
                        <w:rPr>
                          <w:rFonts w:asciiTheme="majorHAnsi" w:hAnsiTheme="majorHAnsi" w:cs="Arial"/>
                          <w:color w:val="0D0D0D" w:themeColor="text1" w:themeTint="F2"/>
                          <w:szCs w:val="28"/>
                          <w:lang w:val="en-US"/>
                        </w:rPr>
                        <w:t>)</w:t>
                      </w:r>
                    </w:p>
                    <w:p w14:paraId="572765EE" w14:textId="77777777" w:rsidR="003A6945" w:rsidRPr="002A7A7E" w:rsidRDefault="003A6945" w:rsidP="004E311E">
                      <w:pPr>
                        <w:spacing w:line="276" w:lineRule="auto"/>
                        <w:rPr>
                          <w:rFonts w:asciiTheme="majorHAnsi" w:hAnsiTheme="majorHAnsi" w:cs="Arial"/>
                          <w:color w:val="0D0D0D" w:themeColor="text1" w:themeTint="F2"/>
                          <w:szCs w:val="28"/>
                          <w:lang w:val="en-US"/>
                        </w:rPr>
                      </w:pPr>
                    </w:p>
                    <w:p w14:paraId="1D7E469C" w14:textId="77777777" w:rsidR="003A6945" w:rsidRPr="007F3449" w:rsidRDefault="003A6945" w:rsidP="004E311E">
                      <w:pPr>
                        <w:spacing w:line="276" w:lineRule="auto"/>
                        <w:rPr>
                          <w:rFonts w:asciiTheme="majorHAnsi" w:hAnsiTheme="majorHAnsi" w:cs="Arial"/>
                          <w:color w:val="0D0D0D" w:themeColor="text1" w:themeTint="F2"/>
                          <w:szCs w:val="28"/>
                          <w:lang w:val="en-US"/>
                        </w:rPr>
                      </w:pPr>
                      <w:r w:rsidRPr="007F3449">
                        <w:rPr>
                          <w:rFonts w:asciiTheme="majorHAnsi" w:hAnsiTheme="majorHAnsi" w:cs="Arial"/>
                          <w:color w:val="0D0D0D" w:themeColor="text1" w:themeTint="F2"/>
                          <w:szCs w:val="28"/>
                          <w:lang w:val="en-US"/>
                        </w:rPr>
                        <w:t>YOANI MARÍA SÁNCHEZ CORDERO</w:t>
                      </w:r>
                    </w:p>
                    <w:p w14:paraId="26E860D0" w14:textId="10679EC6" w:rsidR="003A6945" w:rsidRPr="004E311E" w:rsidRDefault="003A6945" w:rsidP="004E311E">
                      <w:pPr>
                        <w:spacing w:line="276" w:lineRule="auto"/>
                        <w:rPr>
                          <w:rFonts w:asciiTheme="majorHAnsi" w:hAnsiTheme="majorHAnsi"/>
                          <w:color w:val="0D0D0D" w:themeColor="text1" w:themeTint="F2"/>
                          <w:sz w:val="20"/>
                          <w:szCs w:val="20"/>
                          <w:lang w:val="es-ES_tradnl"/>
                        </w:rPr>
                      </w:pPr>
                      <w:r w:rsidRPr="004E311E">
                        <w:rPr>
                          <w:rFonts w:asciiTheme="majorHAnsi" w:hAnsiTheme="majorHAnsi" w:cs="Arial"/>
                          <w:color w:val="0D0D0D" w:themeColor="text1" w:themeTint="F2"/>
                          <w:szCs w:val="28"/>
                        </w:rPr>
                        <w:t>CUBA</w:t>
                      </w:r>
                    </w:p>
                  </w:txbxContent>
                </v:textbox>
              </v:shape>
            </w:pict>
          </mc:Fallback>
        </mc:AlternateContent>
      </w:r>
      <w:r w:rsidR="004E311E" w:rsidRPr="00B24750">
        <w:rPr>
          <w:rFonts w:asciiTheme="majorHAnsi" w:hAnsiTheme="majorHAnsi"/>
          <w:noProof/>
          <w:sz w:val="22"/>
          <w:szCs w:val="22"/>
          <w:lang w:val="en-US"/>
        </w:rPr>
        <mc:AlternateContent>
          <mc:Choice Requires="wps">
            <w:drawing>
              <wp:anchor distT="0" distB="0" distL="114300" distR="114300" simplePos="0" relativeHeight="251662336" behindDoc="0" locked="0" layoutInCell="1" allowOverlap="1" wp14:anchorId="31A839F5" wp14:editId="1DC4424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CFCAF" w14:textId="719B420F" w:rsidR="003A6945" w:rsidRPr="009D14E7" w:rsidRDefault="003A6945" w:rsidP="004E311E">
                            <w:pPr>
                              <w:jc w:val="right"/>
                              <w:rPr>
                                <w:rFonts w:asciiTheme="minorHAnsi" w:hAnsiTheme="minorHAnsi"/>
                                <w:color w:val="FFFFFF" w:themeColor="background1"/>
                                <w:sz w:val="22"/>
                                <w:lang w:val="es-US"/>
                              </w:rPr>
                            </w:pPr>
                            <w:r w:rsidRPr="009D14E7">
                              <w:rPr>
                                <w:rFonts w:asciiTheme="minorHAnsi" w:hAnsiTheme="minorHAnsi"/>
                                <w:color w:val="FFFFFF" w:themeColor="background1"/>
                                <w:sz w:val="22"/>
                                <w:lang w:val="es-US"/>
                              </w:rPr>
                              <w:t>O</w:t>
                            </w:r>
                            <w:r w:rsidR="009D14E7" w:rsidRPr="009D14E7">
                              <w:rPr>
                                <w:rFonts w:asciiTheme="minorHAnsi" w:hAnsiTheme="minorHAnsi"/>
                                <w:color w:val="FFFFFF" w:themeColor="background1"/>
                                <w:sz w:val="22"/>
                                <w:lang w:val="es-US"/>
                              </w:rPr>
                              <w:t>EA</w:t>
                            </w:r>
                            <w:r w:rsidRPr="009D14E7">
                              <w:rPr>
                                <w:rFonts w:asciiTheme="minorHAnsi" w:hAnsiTheme="minorHAnsi"/>
                                <w:color w:val="FFFFFF" w:themeColor="background1"/>
                                <w:sz w:val="22"/>
                                <w:lang w:val="es-US"/>
                              </w:rPr>
                              <w:t>/</w:t>
                            </w:r>
                            <w:proofErr w:type="spellStart"/>
                            <w:r w:rsidRPr="009D14E7">
                              <w:rPr>
                                <w:rFonts w:asciiTheme="minorHAnsi" w:hAnsiTheme="minorHAnsi"/>
                                <w:color w:val="FFFFFF" w:themeColor="background1"/>
                                <w:sz w:val="22"/>
                                <w:lang w:val="es-US"/>
                              </w:rPr>
                              <w:t>Ser.L</w:t>
                            </w:r>
                            <w:proofErr w:type="spellEnd"/>
                            <w:r w:rsidRPr="009D14E7">
                              <w:rPr>
                                <w:rFonts w:asciiTheme="minorHAnsi" w:hAnsiTheme="minorHAnsi"/>
                                <w:color w:val="FFFFFF" w:themeColor="background1"/>
                                <w:sz w:val="22"/>
                                <w:lang w:val="es-US"/>
                              </w:rPr>
                              <w:t>/V/II</w:t>
                            </w:r>
                          </w:p>
                          <w:p w14:paraId="2E56C421" w14:textId="47772246" w:rsidR="003A6945" w:rsidRPr="009D14E7" w:rsidRDefault="003A6945" w:rsidP="004E311E">
                            <w:pPr>
                              <w:jc w:val="right"/>
                              <w:rPr>
                                <w:rFonts w:asciiTheme="minorHAnsi" w:hAnsiTheme="minorHAnsi"/>
                                <w:color w:val="FFFFFF" w:themeColor="background1"/>
                                <w:sz w:val="22"/>
                                <w:lang w:val="es-US"/>
                              </w:rPr>
                            </w:pPr>
                            <w:r w:rsidRPr="009D14E7">
                              <w:rPr>
                                <w:rFonts w:asciiTheme="minorHAnsi" w:hAnsiTheme="minorHAnsi"/>
                                <w:color w:val="FFFFFF" w:themeColor="background1"/>
                                <w:sz w:val="22"/>
                                <w:lang w:val="es-US"/>
                              </w:rPr>
                              <w:t>Doc. 307</w:t>
                            </w:r>
                          </w:p>
                          <w:p w14:paraId="51AEF7E2" w14:textId="6C30360C" w:rsidR="003A6945" w:rsidRPr="004E311E" w:rsidRDefault="003A6945" w:rsidP="004E311E">
                            <w:pPr>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30</w:t>
                            </w:r>
                            <w:r w:rsidR="009D14E7" w:rsidRPr="009D14E7">
                              <w:rPr>
                                <w:rFonts w:asciiTheme="minorHAnsi" w:hAnsiTheme="minorHAnsi"/>
                                <w:color w:val="FFFFFF" w:themeColor="background1"/>
                                <w:sz w:val="22"/>
                                <w:lang w:val="en-US"/>
                              </w:rPr>
                              <w:t xml:space="preserve"> </w:t>
                            </w:r>
                            <w:r w:rsidR="009D14E7">
                              <w:rPr>
                                <w:rFonts w:asciiTheme="minorHAnsi" w:hAnsiTheme="minorHAnsi"/>
                                <w:color w:val="FFFFFF" w:themeColor="background1"/>
                                <w:sz w:val="22"/>
                                <w:lang w:val="en-US"/>
                              </w:rPr>
                              <w:t>October</w:t>
                            </w:r>
                            <w:r w:rsidRPr="00DB157E">
                              <w:rPr>
                                <w:rFonts w:asciiTheme="minorHAnsi" w:hAnsiTheme="minorHAnsi"/>
                                <w:color w:val="FFFFFF" w:themeColor="background1"/>
                                <w:sz w:val="22"/>
                                <w:lang w:val="en-US"/>
                              </w:rPr>
                              <w:t xml:space="preserve"> </w:t>
                            </w:r>
                            <w:r w:rsidRPr="004E311E">
                              <w:rPr>
                                <w:rFonts w:asciiTheme="minorHAnsi" w:hAnsiTheme="minorHAnsi"/>
                                <w:color w:val="FFFFFF" w:themeColor="background1"/>
                                <w:sz w:val="22"/>
                                <w:lang w:val="en-US"/>
                              </w:rPr>
                              <w:t>2021</w:t>
                            </w:r>
                          </w:p>
                          <w:p w14:paraId="2F24CE1D" w14:textId="40688765" w:rsidR="003A6945" w:rsidRPr="004E311E" w:rsidRDefault="003A6945" w:rsidP="004E311E">
                            <w:pPr>
                              <w:jc w:val="right"/>
                              <w:rPr>
                                <w:rFonts w:asciiTheme="minorHAnsi" w:hAnsiTheme="minorHAnsi"/>
                                <w:color w:val="FFFFFF" w:themeColor="background1"/>
                                <w:sz w:val="22"/>
                                <w:lang w:val="en-US"/>
                              </w:rPr>
                            </w:pPr>
                            <w:r w:rsidRPr="004E311E">
                              <w:rPr>
                                <w:rFonts w:asciiTheme="minorHAnsi" w:hAnsiTheme="minorHAnsi"/>
                                <w:color w:val="FFFFFF" w:themeColor="background1"/>
                                <w:sz w:val="22"/>
                                <w:lang w:val="en-U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39F5"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45CFCAF" w14:textId="719B420F" w:rsidR="003A6945" w:rsidRPr="009D14E7" w:rsidRDefault="003A6945" w:rsidP="004E311E">
                      <w:pPr>
                        <w:jc w:val="right"/>
                        <w:rPr>
                          <w:rFonts w:asciiTheme="minorHAnsi" w:hAnsiTheme="minorHAnsi"/>
                          <w:color w:val="FFFFFF" w:themeColor="background1"/>
                          <w:sz w:val="22"/>
                          <w:lang w:val="es-US"/>
                        </w:rPr>
                      </w:pPr>
                      <w:r w:rsidRPr="009D14E7">
                        <w:rPr>
                          <w:rFonts w:asciiTheme="minorHAnsi" w:hAnsiTheme="minorHAnsi"/>
                          <w:color w:val="FFFFFF" w:themeColor="background1"/>
                          <w:sz w:val="22"/>
                          <w:lang w:val="es-US"/>
                        </w:rPr>
                        <w:t>O</w:t>
                      </w:r>
                      <w:r w:rsidR="009D14E7" w:rsidRPr="009D14E7">
                        <w:rPr>
                          <w:rFonts w:asciiTheme="minorHAnsi" w:hAnsiTheme="minorHAnsi"/>
                          <w:color w:val="FFFFFF" w:themeColor="background1"/>
                          <w:sz w:val="22"/>
                          <w:lang w:val="es-US"/>
                        </w:rPr>
                        <w:t>EA</w:t>
                      </w:r>
                      <w:r w:rsidRPr="009D14E7">
                        <w:rPr>
                          <w:rFonts w:asciiTheme="minorHAnsi" w:hAnsiTheme="minorHAnsi"/>
                          <w:color w:val="FFFFFF" w:themeColor="background1"/>
                          <w:sz w:val="22"/>
                          <w:lang w:val="es-US"/>
                        </w:rPr>
                        <w:t>/</w:t>
                      </w:r>
                      <w:proofErr w:type="spellStart"/>
                      <w:r w:rsidRPr="009D14E7">
                        <w:rPr>
                          <w:rFonts w:asciiTheme="minorHAnsi" w:hAnsiTheme="minorHAnsi"/>
                          <w:color w:val="FFFFFF" w:themeColor="background1"/>
                          <w:sz w:val="22"/>
                          <w:lang w:val="es-US"/>
                        </w:rPr>
                        <w:t>Ser.L</w:t>
                      </w:r>
                      <w:proofErr w:type="spellEnd"/>
                      <w:r w:rsidRPr="009D14E7">
                        <w:rPr>
                          <w:rFonts w:asciiTheme="minorHAnsi" w:hAnsiTheme="minorHAnsi"/>
                          <w:color w:val="FFFFFF" w:themeColor="background1"/>
                          <w:sz w:val="22"/>
                          <w:lang w:val="es-US"/>
                        </w:rPr>
                        <w:t>/V/II</w:t>
                      </w:r>
                    </w:p>
                    <w:p w14:paraId="2E56C421" w14:textId="47772246" w:rsidR="003A6945" w:rsidRPr="009D14E7" w:rsidRDefault="003A6945" w:rsidP="004E311E">
                      <w:pPr>
                        <w:jc w:val="right"/>
                        <w:rPr>
                          <w:rFonts w:asciiTheme="minorHAnsi" w:hAnsiTheme="minorHAnsi"/>
                          <w:color w:val="FFFFFF" w:themeColor="background1"/>
                          <w:sz w:val="22"/>
                          <w:lang w:val="es-US"/>
                        </w:rPr>
                      </w:pPr>
                      <w:r w:rsidRPr="009D14E7">
                        <w:rPr>
                          <w:rFonts w:asciiTheme="minorHAnsi" w:hAnsiTheme="minorHAnsi"/>
                          <w:color w:val="FFFFFF" w:themeColor="background1"/>
                          <w:sz w:val="22"/>
                          <w:lang w:val="es-US"/>
                        </w:rPr>
                        <w:t>Doc. 307</w:t>
                      </w:r>
                    </w:p>
                    <w:p w14:paraId="51AEF7E2" w14:textId="6C30360C" w:rsidR="003A6945" w:rsidRPr="004E311E" w:rsidRDefault="003A6945" w:rsidP="004E311E">
                      <w:pPr>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30</w:t>
                      </w:r>
                      <w:r w:rsidR="009D14E7" w:rsidRPr="009D14E7">
                        <w:rPr>
                          <w:rFonts w:asciiTheme="minorHAnsi" w:hAnsiTheme="minorHAnsi"/>
                          <w:color w:val="FFFFFF" w:themeColor="background1"/>
                          <w:sz w:val="22"/>
                          <w:lang w:val="en-US"/>
                        </w:rPr>
                        <w:t xml:space="preserve"> </w:t>
                      </w:r>
                      <w:r w:rsidR="009D14E7">
                        <w:rPr>
                          <w:rFonts w:asciiTheme="minorHAnsi" w:hAnsiTheme="minorHAnsi"/>
                          <w:color w:val="FFFFFF" w:themeColor="background1"/>
                          <w:sz w:val="22"/>
                          <w:lang w:val="en-US"/>
                        </w:rPr>
                        <w:t>October</w:t>
                      </w:r>
                      <w:r w:rsidRPr="00DB157E">
                        <w:rPr>
                          <w:rFonts w:asciiTheme="minorHAnsi" w:hAnsiTheme="minorHAnsi"/>
                          <w:color w:val="FFFFFF" w:themeColor="background1"/>
                          <w:sz w:val="22"/>
                          <w:lang w:val="en-US"/>
                        </w:rPr>
                        <w:t xml:space="preserve"> </w:t>
                      </w:r>
                      <w:r w:rsidRPr="004E311E">
                        <w:rPr>
                          <w:rFonts w:asciiTheme="minorHAnsi" w:hAnsiTheme="minorHAnsi"/>
                          <w:color w:val="FFFFFF" w:themeColor="background1"/>
                          <w:sz w:val="22"/>
                          <w:lang w:val="en-US"/>
                        </w:rPr>
                        <w:t>2021</w:t>
                      </w:r>
                    </w:p>
                    <w:p w14:paraId="2F24CE1D" w14:textId="40688765" w:rsidR="003A6945" w:rsidRPr="004E311E" w:rsidRDefault="003A6945" w:rsidP="004E311E">
                      <w:pPr>
                        <w:jc w:val="right"/>
                        <w:rPr>
                          <w:rFonts w:asciiTheme="minorHAnsi" w:hAnsiTheme="minorHAnsi"/>
                          <w:color w:val="FFFFFF" w:themeColor="background1"/>
                          <w:sz w:val="22"/>
                          <w:lang w:val="en-US"/>
                        </w:rPr>
                      </w:pPr>
                      <w:r w:rsidRPr="004E311E">
                        <w:rPr>
                          <w:rFonts w:asciiTheme="minorHAnsi" w:hAnsiTheme="minorHAnsi"/>
                          <w:color w:val="FFFFFF" w:themeColor="background1"/>
                          <w:sz w:val="22"/>
                          <w:lang w:val="en-US"/>
                        </w:rPr>
                        <w:t>Original: Spanish</w:t>
                      </w:r>
                    </w:p>
                  </w:txbxContent>
                </v:textbox>
              </v:shape>
            </w:pict>
          </mc:Fallback>
        </mc:AlternateContent>
      </w:r>
    </w:p>
    <w:p w14:paraId="381A7B98"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6B0458D2" w14:textId="77777777" w:rsidR="004E311E" w:rsidRPr="00B24750" w:rsidRDefault="004E311E" w:rsidP="004E311E">
      <w:pPr>
        <w:tabs>
          <w:tab w:val="center" w:pos="5400"/>
        </w:tabs>
        <w:suppressAutoHyphens/>
        <w:jc w:val="center"/>
        <w:rPr>
          <w:rFonts w:asciiTheme="majorHAnsi" w:hAnsiTheme="majorHAnsi" w:cs="Arial"/>
          <w:sz w:val="22"/>
          <w:szCs w:val="22"/>
          <w:lang w:val="en-US"/>
        </w:rPr>
      </w:pPr>
    </w:p>
    <w:p w14:paraId="20D071FE"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77B1E0EE"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7E0F0B7C"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22388C29"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6E65BAF6"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4FC266CD"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6FEEB4FD"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33A24B0B"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7425A5A8"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635114DE"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389A65C9" w14:textId="77777777" w:rsidR="004E311E" w:rsidRPr="00B24750" w:rsidRDefault="004E311E" w:rsidP="004E311E">
      <w:pPr>
        <w:tabs>
          <w:tab w:val="center" w:pos="5400"/>
        </w:tabs>
        <w:suppressAutoHyphens/>
        <w:jc w:val="center"/>
        <w:rPr>
          <w:rFonts w:asciiTheme="majorHAnsi" w:hAnsiTheme="majorHAnsi"/>
          <w:sz w:val="22"/>
          <w:szCs w:val="22"/>
          <w:lang w:val="en-US"/>
        </w:rPr>
      </w:pPr>
    </w:p>
    <w:p w14:paraId="163FA165"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221F5D36"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284798F7"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5DC405FC"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44266E9C"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116E3D40"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4D308D47"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5AA8AC24"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13E0C8A2"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317DA361"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3BF18061"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3AD6CF4C"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5DDB6A14" w14:textId="77777777" w:rsidR="004E311E" w:rsidRPr="00B24750" w:rsidRDefault="004E311E" w:rsidP="004E311E">
      <w:pPr>
        <w:tabs>
          <w:tab w:val="center" w:pos="5400"/>
        </w:tabs>
        <w:suppressAutoHyphens/>
        <w:jc w:val="center"/>
        <w:rPr>
          <w:rFonts w:asciiTheme="majorHAnsi" w:hAnsiTheme="majorHAnsi"/>
          <w:sz w:val="18"/>
          <w:szCs w:val="22"/>
          <w:lang w:val="en-US"/>
        </w:rPr>
      </w:pPr>
      <w:r w:rsidRPr="00B24750">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0D2E475A" wp14:editId="437400B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40B4C" w14:textId="787CDEC2" w:rsidR="003A6945" w:rsidRPr="004E311E" w:rsidRDefault="003A6945" w:rsidP="004E311E">
                            <w:pPr>
                              <w:tabs>
                                <w:tab w:val="center" w:pos="5400"/>
                              </w:tabs>
                              <w:suppressAutoHyphens/>
                              <w:spacing w:before="60"/>
                              <w:rPr>
                                <w:rFonts w:asciiTheme="majorHAnsi" w:hAnsiTheme="majorHAnsi"/>
                                <w:color w:val="FF0000"/>
                                <w:sz w:val="18"/>
                                <w:szCs w:val="22"/>
                                <w:lang w:val="en-US"/>
                              </w:rPr>
                            </w:pPr>
                            <w:r w:rsidRPr="00DB157E">
                              <w:rPr>
                                <w:rFonts w:asciiTheme="majorHAnsi" w:hAnsiTheme="majorHAnsi"/>
                                <w:sz w:val="18"/>
                                <w:szCs w:val="20"/>
                                <w:lang w:val="en-US"/>
                              </w:rPr>
                              <w:t xml:space="preserve">Approved electronically by the Commission on </w:t>
                            </w:r>
                            <w:r>
                              <w:rPr>
                                <w:rFonts w:asciiTheme="majorHAnsi" w:hAnsiTheme="majorHAnsi"/>
                                <w:sz w:val="18"/>
                                <w:szCs w:val="20"/>
                                <w:lang w:val="en-US"/>
                              </w:rPr>
                              <w:t>October 30</w:t>
                            </w:r>
                            <w:r w:rsidRPr="00DB157E">
                              <w:rPr>
                                <w:rFonts w:asciiTheme="majorHAnsi" w:hAnsiTheme="majorHAnsi"/>
                                <w:sz w:val="18"/>
                                <w:szCs w:val="20"/>
                                <w:lang w:val="en-US"/>
                              </w:rPr>
                              <w:t xml:space="preserve">, 2021. </w:t>
                            </w:r>
                          </w:p>
                          <w:p w14:paraId="60323780" w14:textId="7F1223DF" w:rsidR="003A6945" w:rsidRPr="002A7A7E" w:rsidRDefault="003A6945" w:rsidP="004E311E">
                            <w:pPr>
                              <w:tabs>
                                <w:tab w:val="center" w:pos="5400"/>
                              </w:tabs>
                              <w:suppressAutoHyphens/>
                              <w:spacing w:before="60"/>
                              <w:rPr>
                                <w:rFonts w:asciiTheme="majorHAnsi" w:hAnsiTheme="majorHAnsi"/>
                                <w:color w:val="0D0D0D" w:themeColor="text1" w:themeTint="F2"/>
                                <w:sz w:val="18"/>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475A"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32040B4C" w14:textId="787CDEC2" w:rsidR="003A6945" w:rsidRPr="004E311E" w:rsidRDefault="003A6945" w:rsidP="004E311E">
                      <w:pPr>
                        <w:tabs>
                          <w:tab w:val="center" w:pos="5400"/>
                        </w:tabs>
                        <w:suppressAutoHyphens/>
                        <w:spacing w:before="60"/>
                        <w:rPr>
                          <w:rFonts w:asciiTheme="majorHAnsi" w:hAnsiTheme="majorHAnsi"/>
                          <w:color w:val="FF0000"/>
                          <w:sz w:val="18"/>
                          <w:szCs w:val="22"/>
                          <w:lang w:val="en-US"/>
                        </w:rPr>
                      </w:pPr>
                      <w:r w:rsidRPr="00DB157E">
                        <w:rPr>
                          <w:rFonts w:asciiTheme="majorHAnsi" w:hAnsiTheme="majorHAnsi"/>
                          <w:sz w:val="18"/>
                          <w:szCs w:val="20"/>
                          <w:lang w:val="en-US"/>
                        </w:rPr>
                        <w:t xml:space="preserve">Approved electronically by the Commission on </w:t>
                      </w:r>
                      <w:r>
                        <w:rPr>
                          <w:rFonts w:asciiTheme="majorHAnsi" w:hAnsiTheme="majorHAnsi"/>
                          <w:sz w:val="18"/>
                          <w:szCs w:val="20"/>
                          <w:lang w:val="en-US"/>
                        </w:rPr>
                        <w:t>October 30</w:t>
                      </w:r>
                      <w:r w:rsidRPr="00DB157E">
                        <w:rPr>
                          <w:rFonts w:asciiTheme="majorHAnsi" w:hAnsiTheme="majorHAnsi"/>
                          <w:sz w:val="18"/>
                          <w:szCs w:val="20"/>
                          <w:lang w:val="en-US"/>
                        </w:rPr>
                        <w:t xml:space="preserve">, 2021. </w:t>
                      </w:r>
                    </w:p>
                    <w:p w14:paraId="60323780" w14:textId="7F1223DF" w:rsidR="003A6945" w:rsidRPr="002A7A7E" w:rsidRDefault="003A6945" w:rsidP="004E311E">
                      <w:pPr>
                        <w:tabs>
                          <w:tab w:val="center" w:pos="5400"/>
                        </w:tabs>
                        <w:suppressAutoHyphens/>
                        <w:spacing w:before="60"/>
                        <w:rPr>
                          <w:rFonts w:asciiTheme="majorHAnsi" w:hAnsiTheme="majorHAnsi"/>
                          <w:color w:val="0D0D0D" w:themeColor="text1" w:themeTint="F2"/>
                          <w:sz w:val="18"/>
                          <w:szCs w:val="22"/>
                          <w:lang w:val="en-US"/>
                        </w:rPr>
                      </w:pPr>
                    </w:p>
                  </w:txbxContent>
                </v:textbox>
              </v:shape>
            </w:pict>
          </mc:Fallback>
        </mc:AlternateContent>
      </w:r>
    </w:p>
    <w:p w14:paraId="45816871"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10909577"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15C2A49D"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6731DF38"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7F4D4C6B" w14:textId="77777777" w:rsidR="004E311E" w:rsidRPr="00B24750" w:rsidRDefault="004E311E" w:rsidP="004E311E">
      <w:pPr>
        <w:tabs>
          <w:tab w:val="center" w:pos="5400"/>
        </w:tabs>
        <w:suppressAutoHyphens/>
        <w:jc w:val="center"/>
        <w:rPr>
          <w:rFonts w:asciiTheme="majorHAnsi" w:hAnsiTheme="majorHAnsi"/>
          <w:sz w:val="18"/>
          <w:szCs w:val="22"/>
          <w:lang w:val="en-US"/>
        </w:rPr>
      </w:pPr>
      <w:r w:rsidRPr="00B24750">
        <w:rPr>
          <w:rFonts w:asciiTheme="majorHAnsi" w:hAnsiTheme="majorHAnsi"/>
          <w:noProof/>
          <w:sz w:val="18"/>
          <w:szCs w:val="22"/>
          <w:lang w:val="en-US"/>
        </w:rPr>
        <mc:AlternateContent>
          <mc:Choice Requires="wps">
            <w:drawing>
              <wp:anchor distT="0" distB="0" distL="114300" distR="114300" simplePos="0" relativeHeight="251664384" behindDoc="0" locked="0" layoutInCell="1" allowOverlap="1" wp14:anchorId="544C4F16" wp14:editId="0E82DA5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D7246" w14:textId="44A1398C" w:rsidR="003A6945" w:rsidRPr="004E311E" w:rsidRDefault="003A6945" w:rsidP="004E311E">
                            <w:pPr>
                              <w:spacing w:line="276" w:lineRule="auto"/>
                              <w:rPr>
                                <w:rFonts w:asciiTheme="majorHAnsi" w:hAnsiTheme="majorHAnsi"/>
                                <w:color w:val="595959" w:themeColor="text1" w:themeTint="A6"/>
                                <w:sz w:val="18"/>
                                <w:lang w:val="en-US"/>
                              </w:rPr>
                            </w:pPr>
                            <w:r w:rsidRPr="004E311E">
                              <w:rPr>
                                <w:rFonts w:asciiTheme="majorHAnsi" w:hAnsiTheme="majorHAnsi"/>
                                <w:b/>
                                <w:color w:val="595959" w:themeColor="text1" w:themeTint="A6"/>
                                <w:sz w:val="18"/>
                                <w:lang w:val="en-US"/>
                              </w:rPr>
                              <w:t xml:space="preserve">Cite as: </w:t>
                            </w:r>
                            <w:r w:rsidRPr="004E311E">
                              <w:rPr>
                                <w:rFonts w:asciiTheme="majorHAnsi" w:hAnsiTheme="majorHAnsi"/>
                                <w:color w:val="595959" w:themeColor="text1" w:themeTint="A6"/>
                                <w:sz w:val="18"/>
                                <w:lang w:val="en-US"/>
                              </w:rPr>
                              <w:t xml:space="preserve">IACHR, Report No. </w:t>
                            </w:r>
                            <w:r>
                              <w:rPr>
                                <w:rFonts w:asciiTheme="majorHAnsi" w:hAnsiTheme="majorHAnsi"/>
                                <w:color w:val="595959" w:themeColor="text1" w:themeTint="A6"/>
                                <w:sz w:val="18"/>
                                <w:lang w:val="en-US"/>
                              </w:rPr>
                              <w:t>297</w:t>
                            </w:r>
                            <w:r w:rsidRPr="004E311E">
                              <w:rPr>
                                <w:rFonts w:asciiTheme="majorHAnsi" w:hAnsiTheme="majorHAnsi"/>
                                <w:color w:val="595959" w:themeColor="text1" w:themeTint="A6"/>
                                <w:sz w:val="18"/>
                                <w:lang w:val="en-US"/>
                              </w:rPr>
                              <w:t xml:space="preserve">/21, </w:t>
                            </w:r>
                            <w:r>
                              <w:rPr>
                                <w:rFonts w:asciiTheme="majorHAnsi" w:hAnsiTheme="majorHAnsi"/>
                                <w:color w:val="595959" w:themeColor="text1" w:themeTint="A6"/>
                                <w:sz w:val="18"/>
                                <w:lang w:val="en-US"/>
                              </w:rPr>
                              <w:t>Case 13.639,</w:t>
                            </w:r>
                            <w:r w:rsidRPr="004E311E">
                              <w:rPr>
                                <w:rFonts w:asciiTheme="majorHAnsi" w:hAnsiTheme="majorHAnsi"/>
                                <w:color w:val="595959" w:themeColor="text1" w:themeTint="A6"/>
                                <w:sz w:val="18"/>
                                <w:lang w:val="en-US"/>
                              </w:rPr>
                              <w:t xml:space="preserve"> Admissibility</w:t>
                            </w:r>
                            <w:r>
                              <w:rPr>
                                <w:rFonts w:asciiTheme="majorHAnsi" w:hAnsiTheme="majorHAnsi"/>
                                <w:color w:val="595959" w:themeColor="text1" w:themeTint="A6"/>
                                <w:sz w:val="18"/>
                                <w:lang w:val="en-US"/>
                              </w:rPr>
                              <w:t xml:space="preserve"> and Merits </w:t>
                            </w:r>
                            <w:r w:rsidRPr="00604D63">
                              <w:rPr>
                                <w:rFonts w:asciiTheme="majorHAnsi" w:hAnsiTheme="majorHAnsi"/>
                                <w:color w:val="595959" w:themeColor="text1" w:themeTint="A6"/>
                                <w:sz w:val="18"/>
                                <w:lang w:val="en-US"/>
                              </w:rPr>
                              <w:t>(</w:t>
                            </w:r>
                            <w:r>
                              <w:rPr>
                                <w:rFonts w:asciiTheme="majorHAnsi" w:hAnsiTheme="majorHAnsi"/>
                                <w:color w:val="595959" w:themeColor="text1" w:themeTint="A6"/>
                                <w:sz w:val="18"/>
                                <w:lang w:val="en-US"/>
                              </w:rPr>
                              <w:t>Publication</w:t>
                            </w:r>
                            <w:r w:rsidRPr="00604D63">
                              <w:rPr>
                                <w:rFonts w:asciiTheme="majorHAnsi" w:hAnsiTheme="majorHAnsi"/>
                                <w:color w:val="595959" w:themeColor="text1" w:themeTint="A6"/>
                                <w:sz w:val="18"/>
                                <w:lang w:val="en-US"/>
                              </w:rPr>
                              <w:t>).</w:t>
                            </w:r>
                            <w:r w:rsidRPr="004E311E">
                              <w:rPr>
                                <w:rFonts w:asciiTheme="majorHAnsi" w:hAnsiTheme="majorHAnsi"/>
                                <w:color w:val="595959" w:themeColor="text1" w:themeTint="A6"/>
                                <w:sz w:val="18"/>
                                <w:lang w:val="en-US"/>
                              </w:rPr>
                              <w:t xml:space="preserve"> </w:t>
                            </w:r>
                            <w:proofErr w:type="spellStart"/>
                            <w:r w:rsidRPr="004E311E">
                              <w:rPr>
                                <w:rFonts w:asciiTheme="majorHAnsi" w:hAnsiTheme="majorHAnsi"/>
                                <w:color w:val="595959" w:themeColor="text1" w:themeTint="A6"/>
                                <w:sz w:val="18"/>
                                <w:lang w:val="en-US"/>
                              </w:rPr>
                              <w:t>Yoani</w:t>
                            </w:r>
                            <w:proofErr w:type="spellEnd"/>
                            <w:r w:rsidRPr="004E311E">
                              <w:rPr>
                                <w:rFonts w:asciiTheme="majorHAnsi" w:hAnsiTheme="majorHAnsi"/>
                                <w:color w:val="595959" w:themeColor="text1" w:themeTint="A6"/>
                                <w:sz w:val="18"/>
                                <w:lang w:val="en-US"/>
                              </w:rPr>
                              <w:t xml:space="preserve"> María Sánchez</w:t>
                            </w:r>
                            <w:r>
                              <w:rPr>
                                <w:rFonts w:asciiTheme="majorHAnsi" w:hAnsiTheme="majorHAnsi"/>
                                <w:color w:val="595959" w:themeColor="text1" w:themeTint="A6"/>
                                <w:sz w:val="18"/>
                                <w:lang w:val="en-US"/>
                              </w:rPr>
                              <w:t xml:space="preserve"> Cordero</w:t>
                            </w:r>
                            <w:r w:rsidRPr="004E311E">
                              <w:rPr>
                                <w:rFonts w:asciiTheme="majorHAnsi" w:hAnsiTheme="majorHAnsi"/>
                                <w:color w:val="595959" w:themeColor="text1" w:themeTint="A6"/>
                                <w:sz w:val="18"/>
                                <w:lang w:val="en-US"/>
                              </w:rPr>
                              <w:t xml:space="preserve">. Cuba. </w:t>
                            </w:r>
                            <w:r>
                              <w:rPr>
                                <w:rFonts w:asciiTheme="majorHAnsi" w:hAnsiTheme="majorHAnsi"/>
                                <w:color w:val="595959" w:themeColor="text1" w:themeTint="A6"/>
                                <w:sz w:val="18"/>
                                <w:lang w:val="en-US"/>
                              </w:rPr>
                              <w:t>October 30, 2021.</w:t>
                            </w:r>
                          </w:p>
                          <w:p w14:paraId="018821FD" w14:textId="3FC5DE44" w:rsidR="003A6945" w:rsidRPr="004E311E" w:rsidRDefault="003A6945" w:rsidP="004E311E">
                            <w:pPr>
                              <w:spacing w:line="276" w:lineRule="auto"/>
                              <w:rPr>
                                <w:rFonts w:asciiTheme="majorHAnsi" w:hAnsiTheme="majorHAnsi"/>
                                <w:color w:val="595959" w:themeColor="text1" w:themeTint="A6"/>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C4F16"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66D7246" w14:textId="44A1398C" w:rsidR="003A6945" w:rsidRPr="004E311E" w:rsidRDefault="003A6945" w:rsidP="004E311E">
                      <w:pPr>
                        <w:spacing w:line="276" w:lineRule="auto"/>
                        <w:rPr>
                          <w:rFonts w:asciiTheme="majorHAnsi" w:hAnsiTheme="majorHAnsi"/>
                          <w:color w:val="595959" w:themeColor="text1" w:themeTint="A6"/>
                          <w:sz w:val="18"/>
                          <w:lang w:val="en-US"/>
                        </w:rPr>
                      </w:pPr>
                      <w:r w:rsidRPr="004E311E">
                        <w:rPr>
                          <w:rFonts w:asciiTheme="majorHAnsi" w:hAnsiTheme="majorHAnsi"/>
                          <w:b/>
                          <w:color w:val="595959" w:themeColor="text1" w:themeTint="A6"/>
                          <w:sz w:val="18"/>
                          <w:lang w:val="en-US"/>
                        </w:rPr>
                        <w:t xml:space="preserve">Cite as: </w:t>
                      </w:r>
                      <w:r w:rsidRPr="004E311E">
                        <w:rPr>
                          <w:rFonts w:asciiTheme="majorHAnsi" w:hAnsiTheme="majorHAnsi"/>
                          <w:color w:val="595959" w:themeColor="text1" w:themeTint="A6"/>
                          <w:sz w:val="18"/>
                          <w:lang w:val="en-US"/>
                        </w:rPr>
                        <w:t xml:space="preserve">IACHR, Report No. </w:t>
                      </w:r>
                      <w:r>
                        <w:rPr>
                          <w:rFonts w:asciiTheme="majorHAnsi" w:hAnsiTheme="majorHAnsi"/>
                          <w:color w:val="595959" w:themeColor="text1" w:themeTint="A6"/>
                          <w:sz w:val="18"/>
                          <w:lang w:val="en-US"/>
                        </w:rPr>
                        <w:t>297</w:t>
                      </w:r>
                      <w:r w:rsidRPr="004E311E">
                        <w:rPr>
                          <w:rFonts w:asciiTheme="majorHAnsi" w:hAnsiTheme="majorHAnsi"/>
                          <w:color w:val="595959" w:themeColor="text1" w:themeTint="A6"/>
                          <w:sz w:val="18"/>
                          <w:lang w:val="en-US"/>
                        </w:rPr>
                        <w:t xml:space="preserve">/21, </w:t>
                      </w:r>
                      <w:r>
                        <w:rPr>
                          <w:rFonts w:asciiTheme="majorHAnsi" w:hAnsiTheme="majorHAnsi"/>
                          <w:color w:val="595959" w:themeColor="text1" w:themeTint="A6"/>
                          <w:sz w:val="18"/>
                          <w:lang w:val="en-US"/>
                        </w:rPr>
                        <w:t>Case 13.639,</w:t>
                      </w:r>
                      <w:r w:rsidRPr="004E311E">
                        <w:rPr>
                          <w:rFonts w:asciiTheme="majorHAnsi" w:hAnsiTheme="majorHAnsi"/>
                          <w:color w:val="595959" w:themeColor="text1" w:themeTint="A6"/>
                          <w:sz w:val="18"/>
                          <w:lang w:val="en-US"/>
                        </w:rPr>
                        <w:t xml:space="preserve"> Admissibility</w:t>
                      </w:r>
                      <w:r>
                        <w:rPr>
                          <w:rFonts w:asciiTheme="majorHAnsi" w:hAnsiTheme="majorHAnsi"/>
                          <w:color w:val="595959" w:themeColor="text1" w:themeTint="A6"/>
                          <w:sz w:val="18"/>
                          <w:lang w:val="en-US"/>
                        </w:rPr>
                        <w:t xml:space="preserve"> and Merits </w:t>
                      </w:r>
                      <w:r w:rsidRPr="00604D63">
                        <w:rPr>
                          <w:rFonts w:asciiTheme="majorHAnsi" w:hAnsiTheme="majorHAnsi"/>
                          <w:color w:val="595959" w:themeColor="text1" w:themeTint="A6"/>
                          <w:sz w:val="18"/>
                          <w:lang w:val="en-US"/>
                        </w:rPr>
                        <w:t>(</w:t>
                      </w:r>
                      <w:r>
                        <w:rPr>
                          <w:rFonts w:asciiTheme="majorHAnsi" w:hAnsiTheme="majorHAnsi"/>
                          <w:color w:val="595959" w:themeColor="text1" w:themeTint="A6"/>
                          <w:sz w:val="18"/>
                          <w:lang w:val="en-US"/>
                        </w:rPr>
                        <w:t>Publication</w:t>
                      </w:r>
                      <w:r w:rsidRPr="00604D63">
                        <w:rPr>
                          <w:rFonts w:asciiTheme="majorHAnsi" w:hAnsiTheme="majorHAnsi"/>
                          <w:color w:val="595959" w:themeColor="text1" w:themeTint="A6"/>
                          <w:sz w:val="18"/>
                          <w:lang w:val="en-US"/>
                        </w:rPr>
                        <w:t>).</w:t>
                      </w:r>
                      <w:r w:rsidRPr="004E311E">
                        <w:rPr>
                          <w:rFonts w:asciiTheme="majorHAnsi" w:hAnsiTheme="majorHAnsi"/>
                          <w:color w:val="595959" w:themeColor="text1" w:themeTint="A6"/>
                          <w:sz w:val="18"/>
                          <w:lang w:val="en-US"/>
                        </w:rPr>
                        <w:t xml:space="preserve"> </w:t>
                      </w:r>
                      <w:proofErr w:type="spellStart"/>
                      <w:r w:rsidRPr="004E311E">
                        <w:rPr>
                          <w:rFonts w:asciiTheme="majorHAnsi" w:hAnsiTheme="majorHAnsi"/>
                          <w:color w:val="595959" w:themeColor="text1" w:themeTint="A6"/>
                          <w:sz w:val="18"/>
                          <w:lang w:val="en-US"/>
                        </w:rPr>
                        <w:t>Yoani</w:t>
                      </w:r>
                      <w:proofErr w:type="spellEnd"/>
                      <w:r w:rsidRPr="004E311E">
                        <w:rPr>
                          <w:rFonts w:asciiTheme="majorHAnsi" w:hAnsiTheme="majorHAnsi"/>
                          <w:color w:val="595959" w:themeColor="text1" w:themeTint="A6"/>
                          <w:sz w:val="18"/>
                          <w:lang w:val="en-US"/>
                        </w:rPr>
                        <w:t xml:space="preserve"> María Sánchez</w:t>
                      </w:r>
                      <w:r>
                        <w:rPr>
                          <w:rFonts w:asciiTheme="majorHAnsi" w:hAnsiTheme="majorHAnsi"/>
                          <w:color w:val="595959" w:themeColor="text1" w:themeTint="A6"/>
                          <w:sz w:val="18"/>
                          <w:lang w:val="en-US"/>
                        </w:rPr>
                        <w:t xml:space="preserve"> Cordero</w:t>
                      </w:r>
                      <w:r w:rsidRPr="004E311E">
                        <w:rPr>
                          <w:rFonts w:asciiTheme="majorHAnsi" w:hAnsiTheme="majorHAnsi"/>
                          <w:color w:val="595959" w:themeColor="text1" w:themeTint="A6"/>
                          <w:sz w:val="18"/>
                          <w:lang w:val="en-US"/>
                        </w:rPr>
                        <w:t xml:space="preserve">. Cuba. </w:t>
                      </w:r>
                      <w:r>
                        <w:rPr>
                          <w:rFonts w:asciiTheme="majorHAnsi" w:hAnsiTheme="majorHAnsi"/>
                          <w:color w:val="595959" w:themeColor="text1" w:themeTint="A6"/>
                          <w:sz w:val="18"/>
                          <w:lang w:val="en-US"/>
                        </w:rPr>
                        <w:t>October 30, 2021.</w:t>
                      </w:r>
                    </w:p>
                    <w:p w14:paraId="018821FD" w14:textId="3FC5DE44" w:rsidR="003A6945" w:rsidRPr="004E311E" w:rsidRDefault="003A6945" w:rsidP="004E311E">
                      <w:pPr>
                        <w:spacing w:line="276" w:lineRule="auto"/>
                        <w:rPr>
                          <w:rFonts w:asciiTheme="majorHAnsi" w:hAnsiTheme="majorHAnsi"/>
                          <w:color w:val="595959" w:themeColor="text1" w:themeTint="A6"/>
                          <w:sz w:val="18"/>
                          <w:lang w:val="en-US"/>
                        </w:rPr>
                      </w:pPr>
                    </w:p>
                  </w:txbxContent>
                </v:textbox>
              </v:shape>
            </w:pict>
          </mc:Fallback>
        </mc:AlternateContent>
      </w:r>
    </w:p>
    <w:p w14:paraId="5379A659"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7CEF795F"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0A1037F0" w14:textId="77777777" w:rsidR="004E311E" w:rsidRPr="00B24750" w:rsidRDefault="004E311E" w:rsidP="004E311E">
      <w:pPr>
        <w:tabs>
          <w:tab w:val="center" w:pos="5400"/>
        </w:tabs>
        <w:suppressAutoHyphens/>
        <w:jc w:val="center"/>
        <w:rPr>
          <w:rFonts w:asciiTheme="majorHAnsi" w:hAnsiTheme="majorHAnsi"/>
          <w:sz w:val="18"/>
          <w:szCs w:val="22"/>
          <w:lang w:val="en-US"/>
        </w:rPr>
      </w:pPr>
    </w:p>
    <w:p w14:paraId="2B3EA092" w14:textId="2D1D7BA1" w:rsidR="004E311E" w:rsidRPr="00B24750" w:rsidRDefault="004E311E" w:rsidP="004E311E">
      <w:pPr>
        <w:tabs>
          <w:tab w:val="center" w:pos="5400"/>
        </w:tabs>
        <w:suppressAutoHyphens/>
        <w:jc w:val="center"/>
        <w:rPr>
          <w:rFonts w:asciiTheme="majorHAnsi" w:hAnsiTheme="majorHAnsi"/>
          <w:sz w:val="18"/>
          <w:szCs w:val="22"/>
          <w:lang w:val="en-US"/>
        </w:rPr>
      </w:pPr>
      <w:r w:rsidRPr="00B24750">
        <w:rPr>
          <w:rFonts w:asciiTheme="majorHAnsi" w:hAnsiTheme="majorHAnsi"/>
          <w:noProof/>
          <w:sz w:val="22"/>
          <w:szCs w:val="22"/>
          <w:lang w:val="en-US"/>
        </w:rPr>
        <mc:AlternateContent>
          <mc:Choice Requires="wps">
            <w:drawing>
              <wp:anchor distT="0" distB="0" distL="114300" distR="114300" simplePos="0" relativeHeight="251666432" behindDoc="0" locked="0" layoutInCell="1" allowOverlap="1" wp14:anchorId="4CFEB277" wp14:editId="621152EC">
                <wp:simplePos x="0" y="0"/>
                <wp:positionH relativeFrom="column">
                  <wp:posOffset>-298895</wp:posOffset>
                </wp:positionH>
                <wp:positionV relativeFrom="paragraph">
                  <wp:posOffset>859155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C9D62" w14:textId="77777777" w:rsidR="003A6945" w:rsidRPr="004B7EB6" w:rsidRDefault="003A6945" w:rsidP="004E311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B277" id="Text Box 6" o:spid="_x0000_s1031"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6e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Y7Hxi6h3lK/A/TzEr28bqgpNyLivQg0INRHGnq8o482QMWH&#10;QeJsBeH33+4TnnhLWs5aGriKx19rERRn5psjRn8uj4gSDPPh6Ph0Soewr1nua9zaXgJ1paT14mUW&#10;Ex7NKOoA9ol2wyK9SirhJL1dcRzFS+zXAO0WqRaLDKKZ9AJv3IOXyXVqUqLcY/ckgh94icToWxhH&#10;U8ze0LPHJksHizWCbjJ3U537qg71p3nOlB52T1oY++eMet2Q8xcA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CJ&#10;L46egAIAAGkFAAAOAAAAAAAAAAAAAAAAAC4CAABkcnMvZTJvRG9jLnhtbFBLAQItABQABgAIAAAA&#10;IQBDbfVI4wAAAAsBAAAPAAAAAAAAAAAAAAAAANoEAABkcnMvZG93bnJldi54bWxQSwUGAAAAAAQA&#10;BADzAAAA6gUAAAAA&#10;" filled="f" stroked="f" strokeweight=".5pt">
                <v:textbox>
                  <w:txbxContent>
                    <w:p w14:paraId="5E8C9D62" w14:textId="77777777" w:rsidR="003A6945" w:rsidRPr="004B7EB6" w:rsidRDefault="003A6945" w:rsidP="004E311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FF034E7" w14:textId="77777777" w:rsidR="004E311E" w:rsidRPr="00B24750" w:rsidRDefault="004E311E" w:rsidP="004E311E">
      <w:pPr>
        <w:tabs>
          <w:tab w:val="center" w:pos="5400"/>
        </w:tabs>
        <w:suppressAutoHyphens/>
        <w:rPr>
          <w:rFonts w:asciiTheme="majorHAnsi" w:hAnsiTheme="majorHAnsi"/>
          <w:sz w:val="18"/>
          <w:szCs w:val="22"/>
          <w:lang w:val="en-US"/>
        </w:rPr>
      </w:pPr>
    </w:p>
    <w:p w14:paraId="26EA99E4" w14:textId="5F1C977E" w:rsidR="004E311E" w:rsidRPr="00B24750" w:rsidRDefault="00206BA2" w:rsidP="004E311E">
      <w:pPr>
        <w:tabs>
          <w:tab w:val="center" w:pos="5400"/>
        </w:tabs>
        <w:suppressAutoHyphens/>
        <w:rPr>
          <w:rFonts w:asciiTheme="majorHAnsi" w:hAnsiTheme="majorHAnsi"/>
          <w:sz w:val="18"/>
          <w:szCs w:val="22"/>
          <w:lang w:val="en-US"/>
        </w:rPr>
      </w:pPr>
      <w:r w:rsidRPr="00B24750">
        <w:rPr>
          <w:rFonts w:asciiTheme="majorHAnsi" w:hAnsiTheme="majorHAnsi"/>
          <w:noProof/>
          <w:sz w:val="22"/>
          <w:szCs w:val="22"/>
          <w:lang w:val="en-US"/>
        </w:rPr>
        <mc:AlternateContent>
          <mc:Choice Requires="wps">
            <w:drawing>
              <wp:anchor distT="0" distB="0" distL="114300" distR="114300" simplePos="0" relativeHeight="251665408" behindDoc="0" locked="0" layoutInCell="1" allowOverlap="1" wp14:anchorId="4DA723D1" wp14:editId="64CCD179">
                <wp:simplePos x="0" y="0"/>
                <wp:positionH relativeFrom="column">
                  <wp:posOffset>1273810</wp:posOffset>
                </wp:positionH>
                <wp:positionV relativeFrom="paragraph">
                  <wp:posOffset>395155</wp:posOffset>
                </wp:positionV>
                <wp:extent cx="2085975" cy="485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E9477" w14:textId="45DD7356" w:rsidR="003A6945" w:rsidRDefault="009D14E7" w:rsidP="004E311E">
                            <w:r>
                              <w:rPr>
                                <w:noProof/>
                              </w:rPr>
                              <w:drawing>
                                <wp:inline distT="0" distB="0" distL="0" distR="0" wp14:anchorId="5B9E88CD" wp14:editId="048C1F8E">
                                  <wp:extent cx="1519555" cy="38798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23D1" id="Text Box 13" o:spid="_x0000_s1032" type="#_x0000_t202" style="position:absolute;margin-left:100.3pt;margin-top:31.1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" fillcolor="white [3201]" stroked="f" strokeweight=".5pt">
                <v:textbox>
                  <w:txbxContent>
                    <w:p w14:paraId="537E9477" w14:textId="45DD7356" w:rsidR="003A6945" w:rsidRDefault="009D14E7" w:rsidP="004E311E">
                      <w:r>
                        <w:rPr>
                          <w:noProof/>
                        </w:rPr>
                        <w:drawing>
                          <wp:inline distT="0" distB="0" distL="0" distR="0" wp14:anchorId="5B9E88CD" wp14:editId="048C1F8E">
                            <wp:extent cx="1519555" cy="38798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FDE8B85" w14:textId="77777777" w:rsidR="00651FCD" w:rsidRPr="002A7A7E" w:rsidRDefault="00651FCD" w:rsidP="0035522A">
      <w:pPr>
        <w:tabs>
          <w:tab w:val="center" w:pos="5400"/>
        </w:tabs>
        <w:suppressAutoHyphens/>
        <w:rPr>
          <w:rStyle w:val="Style1"/>
          <w:rFonts w:asciiTheme="majorHAnsi" w:hAnsiTheme="majorHAnsi"/>
          <w:sz w:val="20"/>
          <w:szCs w:val="20"/>
          <w:lang w:val="es-PE"/>
        </w:rPr>
      </w:pPr>
    </w:p>
    <w:p w14:paraId="779B5683" w14:textId="6174A960" w:rsidR="00651FCD" w:rsidRDefault="00651FCD" w:rsidP="00651FCD">
      <w:pPr>
        <w:tabs>
          <w:tab w:val="center" w:pos="5400"/>
        </w:tabs>
        <w:suppressAutoHyphens/>
        <w:jc w:val="center"/>
        <w:rPr>
          <w:rStyle w:val="Style1"/>
          <w:rFonts w:asciiTheme="majorHAnsi" w:hAnsiTheme="majorHAnsi"/>
          <w:b/>
          <w:bCs/>
          <w:sz w:val="20"/>
          <w:szCs w:val="20"/>
          <w:lang w:val="es-PE"/>
        </w:rPr>
      </w:pPr>
      <w:r w:rsidRPr="00F66452">
        <w:rPr>
          <w:rStyle w:val="Style1"/>
          <w:rFonts w:asciiTheme="majorHAnsi" w:hAnsiTheme="majorHAnsi"/>
          <w:b/>
          <w:bCs/>
          <w:sz w:val="20"/>
          <w:szCs w:val="20"/>
          <w:lang w:val="es-PE"/>
        </w:rPr>
        <w:lastRenderedPageBreak/>
        <w:t>INDEX</w:t>
      </w:r>
    </w:p>
    <w:p w14:paraId="53929FD7" w14:textId="77777777" w:rsidR="00F66452" w:rsidRPr="00F66452" w:rsidRDefault="00F66452" w:rsidP="00651FCD">
      <w:pPr>
        <w:tabs>
          <w:tab w:val="center" w:pos="5400"/>
        </w:tabs>
        <w:suppressAutoHyphens/>
        <w:jc w:val="center"/>
        <w:rPr>
          <w:rStyle w:val="Style1"/>
          <w:rFonts w:asciiTheme="majorHAnsi" w:hAnsiTheme="majorHAnsi"/>
          <w:b/>
          <w:bCs/>
          <w:sz w:val="20"/>
          <w:szCs w:val="20"/>
          <w:lang w:val="es-PE"/>
        </w:rPr>
      </w:pPr>
    </w:p>
    <w:sdt>
      <w:sdtPr>
        <w:rPr>
          <w:rFonts w:asciiTheme="majorHAnsi" w:hAnsiTheme="majorHAnsi"/>
          <w:sz w:val="20"/>
          <w:szCs w:val="20"/>
        </w:rPr>
        <w:id w:val="-319274877"/>
        <w:docPartObj>
          <w:docPartGallery w:val="Table of Contents"/>
          <w:docPartUnique/>
        </w:docPartObj>
      </w:sdtPr>
      <w:sdtEndPr>
        <w:rPr>
          <w:b/>
          <w:bCs/>
          <w:noProof/>
        </w:rPr>
      </w:sdtEndPr>
      <w:sdtContent>
        <w:p w14:paraId="47709EC3" w14:textId="1F0D38D9" w:rsidR="00B97769" w:rsidRPr="00B97769" w:rsidRDefault="00536F65"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r w:rsidRPr="00B97769">
            <w:rPr>
              <w:rFonts w:asciiTheme="majorHAnsi" w:hAnsiTheme="majorHAnsi"/>
              <w:sz w:val="20"/>
              <w:szCs w:val="20"/>
              <w:lang w:val="en-US"/>
            </w:rPr>
            <w:fldChar w:fldCharType="begin"/>
          </w:r>
          <w:r w:rsidRPr="00B97769">
            <w:rPr>
              <w:rFonts w:asciiTheme="majorHAnsi" w:hAnsiTheme="majorHAnsi"/>
              <w:sz w:val="20"/>
              <w:szCs w:val="20"/>
              <w:lang w:val="en-US"/>
            </w:rPr>
            <w:instrText xml:space="preserve"> TOC \o "1-3" \h \z \u </w:instrText>
          </w:r>
          <w:r w:rsidRPr="00B97769">
            <w:rPr>
              <w:rFonts w:asciiTheme="majorHAnsi" w:hAnsiTheme="majorHAnsi"/>
              <w:sz w:val="20"/>
              <w:szCs w:val="20"/>
              <w:lang w:val="en-US"/>
            </w:rPr>
            <w:fldChar w:fldCharType="separate"/>
          </w:r>
          <w:hyperlink w:anchor="_Toc90392455" w:history="1">
            <w:r w:rsidR="00B97769" w:rsidRPr="00B97769">
              <w:rPr>
                <w:rStyle w:val="Hyperlink"/>
                <w:rFonts w:asciiTheme="majorHAnsi" w:hAnsiTheme="majorHAnsi"/>
                <w:noProof/>
                <w:sz w:val="20"/>
                <w:szCs w:val="20"/>
                <w:lang w:val="en-US"/>
              </w:rPr>
              <w:t>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INTRODUCTION</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_Toc90392455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4</w:t>
            </w:r>
            <w:r w:rsidR="00B97769" w:rsidRPr="00B97769">
              <w:rPr>
                <w:rFonts w:asciiTheme="majorHAnsi" w:hAnsiTheme="majorHAnsi"/>
                <w:noProof/>
                <w:webHidden/>
                <w:sz w:val="20"/>
                <w:szCs w:val="20"/>
              </w:rPr>
              <w:fldChar w:fldCharType="end"/>
            </w:r>
          </w:hyperlink>
        </w:p>
        <w:p w14:paraId="4687820B" w14:textId="35C211F7"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56" w:history="1">
            <w:r w:rsidR="00B97769" w:rsidRPr="00B97769">
              <w:rPr>
                <w:rStyle w:val="Hyperlink"/>
                <w:rFonts w:asciiTheme="majorHAnsi" w:hAnsiTheme="majorHAnsi"/>
                <w:noProof/>
                <w:sz w:val="20"/>
                <w:szCs w:val="20"/>
                <w:lang w:val="en-US"/>
              </w:rPr>
              <w:t>II.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POSITIONS OF THE PARTIES</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_Toc90392456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4</w:t>
            </w:r>
            <w:r w:rsidR="00B97769" w:rsidRPr="00B97769">
              <w:rPr>
                <w:rFonts w:asciiTheme="majorHAnsi" w:hAnsiTheme="majorHAnsi"/>
                <w:noProof/>
                <w:webHidden/>
                <w:sz w:val="20"/>
                <w:szCs w:val="20"/>
              </w:rPr>
              <w:fldChar w:fldCharType="end"/>
            </w:r>
          </w:hyperlink>
        </w:p>
        <w:p w14:paraId="5794CCB7" w14:textId="1C70FADA"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57" w:history="1">
            <w:r w:rsidR="00B97769" w:rsidRPr="00B97769">
              <w:rPr>
                <w:rStyle w:val="Hyperlink"/>
              </w:rPr>
              <w:t>A.</w:t>
            </w:r>
            <w:r w:rsidR="00B97769" w:rsidRPr="00B97769">
              <w:rPr>
                <w:rFonts w:eastAsiaTheme="minorEastAsia" w:cstheme="minorBidi"/>
                <w:bdr w:val="none" w:sz="0" w:space="0" w:color="auto"/>
                <w:lang w:val="es-US" w:eastAsia="zh-CN"/>
              </w:rPr>
              <w:tab/>
            </w:r>
            <w:r w:rsidR="00B97769" w:rsidRPr="00B97769">
              <w:rPr>
                <w:rStyle w:val="Hyperlink"/>
              </w:rPr>
              <w:t>The petitioners</w:t>
            </w:r>
            <w:r w:rsidR="00B97769" w:rsidRPr="00B97769">
              <w:rPr>
                <w:webHidden/>
              </w:rPr>
              <w:tab/>
            </w:r>
            <w:r w:rsidR="00B97769" w:rsidRPr="00B97769">
              <w:rPr>
                <w:webHidden/>
              </w:rPr>
              <w:fldChar w:fldCharType="begin"/>
            </w:r>
            <w:r w:rsidR="00B97769" w:rsidRPr="00B97769">
              <w:rPr>
                <w:webHidden/>
              </w:rPr>
              <w:instrText xml:space="preserve"> PAGEREF _Toc90392457 \h </w:instrText>
            </w:r>
            <w:r w:rsidR="00B97769" w:rsidRPr="00B97769">
              <w:rPr>
                <w:webHidden/>
              </w:rPr>
            </w:r>
            <w:r w:rsidR="00B97769" w:rsidRPr="00B97769">
              <w:rPr>
                <w:webHidden/>
              </w:rPr>
              <w:fldChar w:fldCharType="separate"/>
            </w:r>
            <w:r w:rsidR="007B681D">
              <w:rPr>
                <w:webHidden/>
              </w:rPr>
              <w:t>4</w:t>
            </w:r>
            <w:r w:rsidR="00B97769" w:rsidRPr="00B97769">
              <w:rPr>
                <w:webHidden/>
              </w:rPr>
              <w:fldChar w:fldCharType="end"/>
            </w:r>
          </w:hyperlink>
        </w:p>
        <w:p w14:paraId="027E77D4" w14:textId="2C85CF0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58" w:history="1">
            <w:r w:rsidR="00B97769" w:rsidRPr="00B97769">
              <w:rPr>
                <w:rStyle w:val="Hyperlink"/>
              </w:rPr>
              <w:t xml:space="preserve">B. </w:t>
            </w:r>
            <w:r w:rsidR="00B97769" w:rsidRPr="00B97769">
              <w:rPr>
                <w:rFonts w:eastAsiaTheme="minorEastAsia" w:cstheme="minorBidi"/>
                <w:bdr w:val="none" w:sz="0" w:space="0" w:color="auto"/>
                <w:lang w:val="es-US" w:eastAsia="zh-CN"/>
              </w:rPr>
              <w:tab/>
            </w:r>
            <w:r w:rsidR="00B97769" w:rsidRPr="00B97769">
              <w:rPr>
                <w:rStyle w:val="Hyperlink"/>
              </w:rPr>
              <w:t>The State</w:t>
            </w:r>
            <w:r w:rsidR="00B97769" w:rsidRPr="00B97769">
              <w:rPr>
                <w:webHidden/>
              </w:rPr>
              <w:tab/>
            </w:r>
            <w:r w:rsidR="00B97769" w:rsidRPr="00B97769">
              <w:rPr>
                <w:webHidden/>
              </w:rPr>
              <w:fldChar w:fldCharType="begin"/>
            </w:r>
            <w:r w:rsidR="00B97769" w:rsidRPr="00B97769">
              <w:rPr>
                <w:webHidden/>
              </w:rPr>
              <w:instrText xml:space="preserve"> PAGEREF _Toc90392458 \h </w:instrText>
            </w:r>
            <w:r w:rsidR="00B97769" w:rsidRPr="00B97769">
              <w:rPr>
                <w:webHidden/>
              </w:rPr>
            </w:r>
            <w:r w:rsidR="00B97769" w:rsidRPr="00B97769">
              <w:rPr>
                <w:webHidden/>
              </w:rPr>
              <w:fldChar w:fldCharType="separate"/>
            </w:r>
            <w:r w:rsidR="007B681D">
              <w:rPr>
                <w:webHidden/>
              </w:rPr>
              <w:t>7</w:t>
            </w:r>
            <w:r w:rsidR="00B97769" w:rsidRPr="00B97769">
              <w:rPr>
                <w:webHidden/>
              </w:rPr>
              <w:fldChar w:fldCharType="end"/>
            </w:r>
          </w:hyperlink>
        </w:p>
        <w:p w14:paraId="48C7B058" w14:textId="221DCB59"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59" w:history="1">
            <w:r w:rsidR="00B97769" w:rsidRPr="00B97769">
              <w:rPr>
                <w:rStyle w:val="Hyperlink"/>
                <w:rFonts w:asciiTheme="majorHAnsi" w:hAnsiTheme="majorHAnsi"/>
                <w:noProof/>
                <w:sz w:val="20"/>
                <w:szCs w:val="20"/>
                <w:lang w:val="en-US"/>
              </w:rPr>
              <w:t>III.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ADMISSIBILITY ANALYSIS</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_Toc90392459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7</w:t>
            </w:r>
            <w:r w:rsidR="00B97769" w:rsidRPr="00B97769">
              <w:rPr>
                <w:rFonts w:asciiTheme="majorHAnsi" w:hAnsiTheme="majorHAnsi"/>
                <w:noProof/>
                <w:webHidden/>
                <w:sz w:val="20"/>
                <w:szCs w:val="20"/>
              </w:rPr>
              <w:fldChar w:fldCharType="end"/>
            </w:r>
          </w:hyperlink>
        </w:p>
        <w:p w14:paraId="2FC4FFE1" w14:textId="3FB70DEF"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0" w:history="1">
            <w:r w:rsidR="00B97769" w:rsidRPr="00B97769">
              <w:rPr>
                <w:rStyle w:val="Hyperlink"/>
              </w:rPr>
              <w:t xml:space="preserve">A. </w:t>
            </w:r>
            <w:r w:rsidR="00B97769" w:rsidRPr="00B97769">
              <w:rPr>
                <w:rFonts w:eastAsiaTheme="minorEastAsia" w:cstheme="minorBidi"/>
                <w:bdr w:val="none" w:sz="0" w:space="0" w:color="auto"/>
                <w:lang w:val="es-US" w:eastAsia="zh-CN"/>
              </w:rPr>
              <w:tab/>
            </w:r>
            <w:r w:rsidR="00B97769" w:rsidRPr="00B97769">
              <w:rPr>
                <w:rStyle w:val="Hyperlink"/>
              </w:rPr>
              <w:t>Competence, duplication of procedures, and international res judicata</w:t>
            </w:r>
            <w:r w:rsidR="00B97769" w:rsidRPr="00B97769">
              <w:rPr>
                <w:webHidden/>
              </w:rPr>
              <w:tab/>
            </w:r>
            <w:r w:rsidR="00B97769" w:rsidRPr="00B97769">
              <w:rPr>
                <w:webHidden/>
              </w:rPr>
              <w:fldChar w:fldCharType="begin"/>
            </w:r>
            <w:r w:rsidR="00B97769" w:rsidRPr="00B97769">
              <w:rPr>
                <w:webHidden/>
              </w:rPr>
              <w:instrText xml:space="preserve"> PAGEREF _Toc90392460 \h </w:instrText>
            </w:r>
            <w:r w:rsidR="00B97769" w:rsidRPr="00B97769">
              <w:rPr>
                <w:webHidden/>
              </w:rPr>
            </w:r>
            <w:r w:rsidR="00B97769" w:rsidRPr="00B97769">
              <w:rPr>
                <w:webHidden/>
              </w:rPr>
              <w:fldChar w:fldCharType="separate"/>
            </w:r>
            <w:r w:rsidR="007B681D">
              <w:rPr>
                <w:webHidden/>
              </w:rPr>
              <w:t>7</w:t>
            </w:r>
            <w:r w:rsidR="00B97769" w:rsidRPr="00B97769">
              <w:rPr>
                <w:webHidden/>
              </w:rPr>
              <w:fldChar w:fldCharType="end"/>
            </w:r>
          </w:hyperlink>
        </w:p>
        <w:p w14:paraId="33993866" w14:textId="6EA2F37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1" w:history="1">
            <w:r w:rsidR="00B97769" w:rsidRPr="00B97769">
              <w:rPr>
                <w:rStyle w:val="Hyperlink"/>
              </w:rPr>
              <w:t xml:space="preserve">B. </w:t>
            </w:r>
            <w:r w:rsidR="00B97769" w:rsidRPr="00B97769">
              <w:rPr>
                <w:rFonts w:eastAsiaTheme="minorEastAsia" w:cstheme="minorBidi"/>
                <w:bdr w:val="none" w:sz="0" w:space="0" w:color="auto"/>
                <w:lang w:val="es-US" w:eastAsia="zh-CN"/>
              </w:rPr>
              <w:tab/>
            </w:r>
            <w:r w:rsidR="00B97769" w:rsidRPr="00B97769">
              <w:rPr>
                <w:rStyle w:val="Hyperlink"/>
              </w:rPr>
              <w:t>Admissibility requirements</w:t>
            </w:r>
            <w:r w:rsidR="00B97769" w:rsidRPr="00B97769">
              <w:rPr>
                <w:webHidden/>
              </w:rPr>
              <w:tab/>
            </w:r>
            <w:r w:rsidR="00B97769" w:rsidRPr="00B97769">
              <w:rPr>
                <w:webHidden/>
              </w:rPr>
              <w:fldChar w:fldCharType="begin"/>
            </w:r>
            <w:r w:rsidR="00B97769" w:rsidRPr="00B97769">
              <w:rPr>
                <w:webHidden/>
              </w:rPr>
              <w:instrText xml:space="preserve"> PAGEREF _Toc90392461 \h </w:instrText>
            </w:r>
            <w:r w:rsidR="00B97769" w:rsidRPr="00B97769">
              <w:rPr>
                <w:webHidden/>
              </w:rPr>
            </w:r>
            <w:r w:rsidR="00B97769" w:rsidRPr="00B97769">
              <w:rPr>
                <w:webHidden/>
              </w:rPr>
              <w:fldChar w:fldCharType="separate"/>
            </w:r>
            <w:r w:rsidR="007B681D">
              <w:rPr>
                <w:webHidden/>
              </w:rPr>
              <w:t>7</w:t>
            </w:r>
            <w:r w:rsidR="00B97769" w:rsidRPr="00B97769">
              <w:rPr>
                <w:webHidden/>
              </w:rPr>
              <w:fldChar w:fldCharType="end"/>
            </w:r>
          </w:hyperlink>
        </w:p>
        <w:p w14:paraId="18157CD8" w14:textId="64612A26"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62" w:history="1">
            <w:r w:rsidR="00B97769" w:rsidRPr="00B97769">
              <w:rPr>
                <w:rStyle w:val="Hyperlink"/>
              </w:rPr>
              <w:t xml:space="preserve">1. </w:t>
            </w:r>
            <w:r w:rsidR="00B97769" w:rsidRPr="00B97769">
              <w:rPr>
                <w:rFonts w:eastAsiaTheme="minorEastAsia" w:cstheme="minorBidi"/>
                <w:bdr w:val="none" w:sz="0" w:space="0" w:color="auto"/>
                <w:lang w:val="es-US" w:eastAsia="zh-CN"/>
              </w:rPr>
              <w:tab/>
            </w:r>
            <w:r w:rsidR="00B97769" w:rsidRPr="00B97769">
              <w:rPr>
                <w:rStyle w:val="Hyperlink"/>
              </w:rPr>
              <w:t>Exhaustion of domestic remedies</w:t>
            </w:r>
            <w:r w:rsidR="00B97769" w:rsidRPr="00B97769">
              <w:rPr>
                <w:webHidden/>
              </w:rPr>
              <w:tab/>
            </w:r>
            <w:r w:rsidR="00B97769" w:rsidRPr="00B97769">
              <w:rPr>
                <w:webHidden/>
              </w:rPr>
              <w:fldChar w:fldCharType="begin"/>
            </w:r>
            <w:r w:rsidR="00B97769" w:rsidRPr="00B97769">
              <w:rPr>
                <w:webHidden/>
              </w:rPr>
              <w:instrText xml:space="preserve"> PAGEREF _Toc90392462 \h </w:instrText>
            </w:r>
            <w:r w:rsidR="00B97769" w:rsidRPr="00B97769">
              <w:rPr>
                <w:webHidden/>
              </w:rPr>
            </w:r>
            <w:r w:rsidR="00B97769" w:rsidRPr="00B97769">
              <w:rPr>
                <w:webHidden/>
              </w:rPr>
              <w:fldChar w:fldCharType="separate"/>
            </w:r>
            <w:r w:rsidR="007B681D">
              <w:rPr>
                <w:webHidden/>
              </w:rPr>
              <w:t>7</w:t>
            </w:r>
            <w:r w:rsidR="00B97769" w:rsidRPr="00B97769">
              <w:rPr>
                <w:webHidden/>
              </w:rPr>
              <w:fldChar w:fldCharType="end"/>
            </w:r>
          </w:hyperlink>
        </w:p>
        <w:p w14:paraId="0B633181" w14:textId="453FA25F"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63" w:history="1">
            <w:r w:rsidR="00B97769" w:rsidRPr="00B97769">
              <w:rPr>
                <w:rStyle w:val="Hyperlink"/>
              </w:rPr>
              <w:t xml:space="preserve">2. </w:t>
            </w:r>
            <w:r w:rsidR="00B97769" w:rsidRPr="00B97769">
              <w:rPr>
                <w:rFonts w:eastAsiaTheme="minorEastAsia" w:cstheme="minorBidi"/>
                <w:bdr w:val="none" w:sz="0" w:space="0" w:color="auto"/>
                <w:lang w:val="es-US" w:eastAsia="zh-CN"/>
              </w:rPr>
              <w:tab/>
            </w:r>
            <w:r w:rsidR="00B97769" w:rsidRPr="00B97769">
              <w:rPr>
                <w:rStyle w:val="Hyperlink"/>
              </w:rPr>
              <w:t>Timeliness of the petition</w:t>
            </w:r>
            <w:r w:rsidR="00B97769" w:rsidRPr="00B97769">
              <w:rPr>
                <w:webHidden/>
              </w:rPr>
              <w:tab/>
            </w:r>
            <w:r w:rsidR="00B97769" w:rsidRPr="00B97769">
              <w:rPr>
                <w:webHidden/>
              </w:rPr>
              <w:fldChar w:fldCharType="begin"/>
            </w:r>
            <w:r w:rsidR="00B97769" w:rsidRPr="00B97769">
              <w:rPr>
                <w:webHidden/>
              </w:rPr>
              <w:instrText xml:space="preserve"> PAGEREF _Toc90392463 \h </w:instrText>
            </w:r>
            <w:r w:rsidR="00B97769" w:rsidRPr="00B97769">
              <w:rPr>
                <w:webHidden/>
              </w:rPr>
            </w:r>
            <w:r w:rsidR="00B97769" w:rsidRPr="00B97769">
              <w:rPr>
                <w:webHidden/>
              </w:rPr>
              <w:fldChar w:fldCharType="separate"/>
            </w:r>
            <w:r w:rsidR="007B681D">
              <w:rPr>
                <w:webHidden/>
              </w:rPr>
              <w:t>10</w:t>
            </w:r>
            <w:r w:rsidR="00B97769" w:rsidRPr="00B97769">
              <w:rPr>
                <w:webHidden/>
              </w:rPr>
              <w:fldChar w:fldCharType="end"/>
            </w:r>
          </w:hyperlink>
        </w:p>
        <w:p w14:paraId="776EDCD4" w14:textId="3ABDBDA0"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64" w:history="1">
            <w:r w:rsidR="00B97769" w:rsidRPr="00B97769">
              <w:rPr>
                <w:rStyle w:val="Hyperlink"/>
              </w:rPr>
              <w:t xml:space="preserve">3. </w:t>
            </w:r>
            <w:r w:rsidR="00B97769" w:rsidRPr="00B97769">
              <w:rPr>
                <w:rFonts w:eastAsiaTheme="minorEastAsia" w:cstheme="minorBidi"/>
                <w:bdr w:val="none" w:sz="0" w:space="0" w:color="auto"/>
                <w:lang w:val="es-US" w:eastAsia="zh-CN"/>
              </w:rPr>
              <w:tab/>
            </w:r>
            <w:r w:rsidR="00B97769" w:rsidRPr="00B97769">
              <w:rPr>
                <w:rStyle w:val="Hyperlink"/>
              </w:rPr>
              <w:t>Analysis of colorable claim</w:t>
            </w:r>
            <w:r w:rsidR="00B97769" w:rsidRPr="00B97769">
              <w:rPr>
                <w:webHidden/>
              </w:rPr>
              <w:tab/>
            </w:r>
            <w:r w:rsidR="00B97769" w:rsidRPr="00B97769">
              <w:rPr>
                <w:webHidden/>
              </w:rPr>
              <w:fldChar w:fldCharType="begin"/>
            </w:r>
            <w:r w:rsidR="00B97769" w:rsidRPr="00B97769">
              <w:rPr>
                <w:webHidden/>
              </w:rPr>
              <w:instrText xml:space="preserve"> PAGEREF _Toc90392464 \h </w:instrText>
            </w:r>
            <w:r w:rsidR="00B97769" w:rsidRPr="00B97769">
              <w:rPr>
                <w:webHidden/>
              </w:rPr>
            </w:r>
            <w:r w:rsidR="00B97769" w:rsidRPr="00B97769">
              <w:rPr>
                <w:webHidden/>
              </w:rPr>
              <w:fldChar w:fldCharType="separate"/>
            </w:r>
            <w:r w:rsidR="007B681D">
              <w:rPr>
                <w:webHidden/>
              </w:rPr>
              <w:t>10</w:t>
            </w:r>
            <w:r w:rsidR="00B97769" w:rsidRPr="00B97769">
              <w:rPr>
                <w:webHidden/>
              </w:rPr>
              <w:fldChar w:fldCharType="end"/>
            </w:r>
          </w:hyperlink>
        </w:p>
        <w:p w14:paraId="731AAF58" w14:textId="0C888128"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65" w:history="1">
            <w:r w:rsidR="00B97769" w:rsidRPr="00B97769">
              <w:rPr>
                <w:rStyle w:val="Hyperlink"/>
                <w:rFonts w:asciiTheme="majorHAnsi" w:hAnsiTheme="majorHAnsi"/>
                <w:noProof/>
                <w:sz w:val="20"/>
                <w:szCs w:val="20"/>
                <w:lang w:val="en-US"/>
              </w:rPr>
              <w:t>IV.</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FINDINGS OF FACT</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_Toc90392465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11</w:t>
            </w:r>
            <w:r w:rsidR="00B97769" w:rsidRPr="00B97769">
              <w:rPr>
                <w:rFonts w:asciiTheme="majorHAnsi" w:hAnsiTheme="majorHAnsi"/>
                <w:noProof/>
                <w:webHidden/>
                <w:sz w:val="20"/>
                <w:szCs w:val="20"/>
              </w:rPr>
              <w:fldChar w:fldCharType="end"/>
            </w:r>
          </w:hyperlink>
        </w:p>
        <w:p w14:paraId="61C5A666" w14:textId="1C7C9B30"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6" w:history="1">
            <w:r w:rsidR="00B97769" w:rsidRPr="00B97769">
              <w:rPr>
                <w:rStyle w:val="Hyperlink"/>
              </w:rPr>
              <w:t>A.</w:t>
            </w:r>
            <w:r w:rsidR="00B97769" w:rsidRPr="00B97769">
              <w:rPr>
                <w:rFonts w:eastAsiaTheme="minorEastAsia" w:cstheme="minorBidi"/>
                <w:bdr w:val="none" w:sz="0" w:space="0" w:color="auto"/>
                <w:lang w:val="es-US" w:eastAsia="zh-CN"/>
              </w:rPr>
              <w:tab/>
            </w:r>
            <w:r w:rsidR="00B97769" w:rsidRPr="00B97769">
              <w:rPr>
                <w:rStyle w:val="Hyperlink"/>
              </w:rPr>
              <w:t>Constitutional regulation of the right to freedom of expression</w:t>
            </w:r>
            <w:r w:rsidR="00B97769" w:rsidRPr="00B97769">
              <w:rPr>
                <w:webHidden/>
              </w:rPr>
              <w:tab/>
            </w:r>
            <w:r w:rsidR="00B97769" w:rsidRPr="00B97769">
              <w:rPr>
                <w:webHidden/>
              </w:rPr>
              <w:fldChar w:fldCharType="begin"/>
            </w:r>
            <w:r w:rsidR="00B97769" w:rsidRPr="00B97769">
              <w:rPr>
                <w:webHidden/>
              </w:rPr>
              <w:instrText xml:space="preserve"> PAGEREF _Toc90392466 \h </w:instrText>
            </w:r>
            <w:r w:rsidR="00B97769" w:rsidRPr="00B97769">
              <w:rPr>
                <w:webHidden/>
              </w:rPr>
            </w:r>
            <w:r w:rsidR="00B97769" w:rsidRPr="00B97769">
              <w:rPr>
                <w:webHidden/>
              </w:rPr>
              <w:fldChar w:fldCharType="separate"/>
            </w:r>
            <w:r w:rsidR="007B681D">
              <w:rPr>
                <w:webHidden/>
              </w:rPr>
              <w:t>11</w:t>
            </w:r>
            <w:r w:rsidR="00B97769" w:rsidRPr="00B97769">
              <w:rPr>
                <w:webHidden/>
              </w:rPr>
              <w:fldChar w:fldCharType="end"/>
            </w:r>
          </w:hyperlink>
        </w:p>
        <w:p w14:paraId="768D7264" w14:textId="784276D3"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7" w:history="1">
            <w:r w:rsidR="00B97769" w:rsidRPr="00B97769">
              <w:rPr>
                <w:rStyle w:val="Hyperlink"/>
              </w:rPr>
              <w:t>B.</w:t>
            </w:r>
            <w:r w:rsidR="00B97769" w:rsidRPr="00B97769">
              <w:rPr>
                <w:rFonts w:eastAsiaTheme="minorEastAsia" w:cstheme="minorBidi"/>
                <w:bdr w:val="none" w:sz="0" w:space="0" w:color="auto"/>
                <w:lang w:val="es-US" w:eastAsia="zh-CN"/>
              </w:rPr>
              <w:tab/>
            </w:r>
            <w:r w:rsidR="00B97769" w:rsidRPr="00B97769">
              <w:rPr>
                <w:rStyle w:val="Hyperlink"/>
              </w:rPr>
              <w:t>Context of persecution of dissident political journalists in Cuba</w:t>
            </w:r>
            <w:r w:rsidR="00B97769" w:rsidRPr="00B97769">
              <w:rPr>
                <w:webHidden/>
              </w:rPr>
              <w:tab/>
            </w:r>
            <w:r w:rsidR="00B97769" w:rsidRPr="00B97769">
              <w:rPr>
                <w:webHidden/>
              </w:rPr>
              <w:fldChar w:fldCharType="begin"/>
            </w:r>
            <w:r w:rsidR="00B97769" w:rsidRPr="00B97769">
              <w:rPr>
                <w:webHidden/>
              </w:rPr>
              <w:instrText xml:space="preserve"> PAGEREF _Toc90392467 \h </w:instrText>
            </w:r>
            <w:r w:rsidR="00B97769" w:rsidRPr="00B97769">
              <w:rPr>
                <w:webHidden/>
              </w:rPr>
            </w:r>
            <w:r w:rsidR="00B97769" w:rsidRPr="00B97769">
              <w:rPr>
                <w:webHidden/>
              </w:rPr>
              <w:fldChar w:fldCharType="separate"/>
            </w:r>
            <w:r w:rsidR="007B681D">
              <w:rPr>
                <w:webHidden/>
              </w:rPr>
              <w:t>12</w:t>
            </w:r>
            <w:r w:rsidR="00B97769" w:rsidRPr="00B97769">
              <w:rPr>
                <w:webHidden/>
              </w:rPr>
              <w:fldChar w:fldCharType="end"/>
            </w:r>
          </w:hyperlink>
        </w:p>
        <w:p w14:paraId="2B6A5047" w14:textId="6AFA000D"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8" w:history="1">
            <w:r w:rsidR="00B97769" w:rsidRPr="00B97769">
              <w:rPr>
                <w:rStyle w:val="Hyperlink"/>
              </w:rPr>
              <w:t>C.</w:t>
            </w:r>
            <w:r w:rsidR="00B97769" w:rsidRPr="00B97769">
              <w:rPr>
                <w:rFonts w:eastAsiaTheme="minorEastAsia" w:cstheme="minorBidi"/>
                <w:bdr w:val="none" w:sz="0" w:space="0" w:color="auto"/>
                <w:lang w:val="es-US" w:eastAsia="zh-CN"/>
              </w:rPr>
              <w:tab/>
            </w:r>
            <w:r w:rsidR="00B97769" w:rsidRPr="00B97769">
              <w:rPr>
                <w:rStyle w:val="Hyperlink"/>
              </w:rPr>
              <w:t>Journalist and blogger Yoani María Sánchez Cordero</w:t>
            </w:r>
            <w:r w:rsidR="00B97769" w:rsidRPr="00B97769">
              <w:rPr>
                <w:webHidden/>
              </w:rPr>
              <w:tab/>
            </w:r>
            <w:r w:rsidR="00B97769" w:rsidRPr="00B97769">
              <w:rPr>
                <w:webHidden/>
              </w:rPr>
              <w:fldChar w:fldCharType="begin"/>
            </w:r>
            <w:r w:rsidR="00B97769" w:rsidRPr="00B97769">
              <w:rPr>
                <w:webHidden/>
              </w:rPr>
              <w:instrText xml:space="preserve"> PAGEREF _Toc90392468 \h </w:instrText>
            </w:r>
            <w:r w:rsidR="00B97769" w:rsidRPr="00B97769">
              <w:rPr>
                <w:webHidden/>
              </w:rPr>
            </w:r>
            <w:r w:rsidR="00B97769" w:rsidRPr="00B97769">
              <w:rPr>
                <w:webHidden/>
              </w:rPr>
              <w:fldChar w:fldCharType="separate"/>
            </w:r>
            <w:r w:rsidR="007B681D">
              <w:rPr>
                <w:webHidden/>
              </w:rPr>
              <w:t>16</w:t>
            </w:r>
            <w:r w:rsidR="00B97769" w:rsidRPr="00B97769">
              <w:rPr>
                <w:webHidden/>
              </w:rPr>
              <w:fldChar w:fldCharType="end"/>
            </w:r>
          </w:hyperlink>
        </w:p>
        <w:p w14:paraId="289687A4" w14:textId="1290AB3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69" w:history="1">
            <w:r w:rsidR="00B97769" w:rsidRPr="00B97769">
              <w:rPr>
                <w:rStyle w:val="Hyperlink"/>
              </w:rPr>
              <w:t>D.</w:t>
            </w:r>
            <w:r w:rsidR="00B97769" w:rsidRPr="00B97769">
              <w:rPr>
                <w:rFonts w:eastAsiaTheme="minorEastAsia" w:cstheme="minorBidi"/>
                <w:bdr w:val="none" w:sz="0" w:space="0" w:color="auto"/>
                <w:lang w:val="es-US" w:eastAsia="zh-CN"/>
              </w:rPr>
              <w:tab/>
            </w:r>
            <w:r w:rsidR="00B97769" w:rsidRPr="00B97769">
              <w:rPr>
                <w:rStyle w:val="Hyperlink"/>
              </w:rPr>
              <w:t>Detentions and assaults against Yoani Sánchez Cordero while she was deprived of her liberty</w:t>
            </w:r>
            <w:r w:rsidR="00B97769" w:rsidRPr="00B97769">
              <w:rPr>
                <w:webHidden/>
              </w:rPr>
              <w:tab/>
            </w:r>
            <w:r w:rsidR="00B97769" w:rsidRPr="00B97769">
              <w:rPr>
                <w:webHidden/>
              </w:rPr>
              <w:fldChar w:fldCharType="begin"/>
            </w:r>
            <w:r w:rsidR="00B97769" w:rsidRPr="00B97769">
              <w:rPr>
                <w:webHidden/>
              </w:rPr>
              <w:instrText xml:space="preserve"> PAGEREF _Toc90392469 \h </w:instrText>
            </w:r>
            <w:r w:rsidR="00B97769" w:rsidRPr="00B97769">
              <w:rPr>
                <w:webHidden/>
              </w:rPr>
            </w:r>
            <w:r w:rsidR="00B97769" w:rsidRPr="00B97769">
              <w:rPr>
                <w:webHidden/>
              </w:rPr>
              <w:fldChar w:fldCharType="separate"/>
            </w:r>
            <w:r w:rsidR="007B681D">
              <w:rPr>
                <w:webHidden/>
              </w:rPr>
              <w:t>17</w:t>
            </w:r>
            <w:r w:rsidR="00B97769" w:rsidRPr="00B97769">
              <w:rPr>
                <w:webHidden/>
              </w:rPr>
              <w:fldChar w:fldCharType="end"/>
            </w:r>
          </w:hyperlink>
        </w:p>
        <w:p w14:paraId="31DE5BDF" w14:textId="0F1C5BC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0" w:history="1">
            <w:r w:rsidR="00B97769" w:rsidRPr="00B97769">
              <w:rPr>
                <w:rStyle w:val="Hyperlink"/>
              </w:rPr>
              <w:t>E.</w:t>
            </w:r>
            <w:r w:rsidR="00B97769" w:rsidRPr="00B97769">
              <w:rPr>
                <w:rFonts w:eastAsiaTheme="minorEastAsia" w:cstheme="minorBidi"/>
                <w:bdr w:val="none" w:sz="0" w:space="0" w:color="auto"/>
                <w:lang w:val="es-US" w:eastAsia="zh-CN"/>
              </w:rPr>
              <w:tab/>
            </w:r>
            <w:r w:rsidR="00B97769" w:rsidRPr="00B97769">
              <w:rPr>
                <w:rStyle w:val="Hyperlink"/>
              </w:rPr>
              <w:t>Impediments to Yoani Sánchez Cordero’s departure from the country between 2007 and 2012</w:t>
            </w:r>
            <w:r w:rsidR="00B97769" w:rsidRPr="00B97769">
              <w:rPr>
                <w:webHidden/>
              </w:rPr>
              <w:tab/>
            </w:r>
            <w:r w:rsidR="00B97769" w:rsidRPr="00B97769">
              <w:rPr>
                <w:webHidden/>
              </w:rPr>
              <w:fldChar w:fldCharType="begin"/>
            </w:r>
            <w:r w:rsidR="00B97769" w:rsidRPr="00B97769">
              <w:rPr>
                <w:webHidden/>
              </w:rPr>
              <w:instrText xml:space="preserve"> PAGEREF _Toc90392470 \h </w:instrText>
            </w:r>
            <w:r w:rsidR="00B97769" w:rsidRPr="00B97769">
              <w:rPr>
                <w:webHidden/>
              </w:rPr>
            </w:r>
            <w:r w:rsidR="00B97769" w:rsidRPr="00B97769">
              <w:rPr>
                <w:webHidden/>
              </w:rPr>
              <w:fldChar w:fldCharType="separate"/>
            </w:r>
            <w:r w:rsidR="007B681D">
              <w:rPr>
                <w:webHidden/>
              </w:rPr>
              <w:t>18</w:t>
            </w:r>
            <w:r w:rsidR="00B97769" w:rsidRPr="00B97769">
              <w:rPr>
                <w:webHidden/>
              </w:rPr>
              <w:fldChar w:fldCharType="end"/>
            </w:r>
          </w:hyperlink>
        </w:p>
        <w:p w14:paraId="3A7743D1" w14:textId="21D5318B"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1" w:history="1">
            <w:r w:rsidR="00B97769" w:rsidRPr="00B97769">
              <w:rPr>
                <w:rStyle w:val="Hyperlink"/>
              </w:rPr>
              <w:t>F.</w:t>
            </w:r>
            <w:r w:rsidR="00B97769" w:rsidRPr="00B97769">
              <w:rPr>
                <w:rFonts w:eastAsiaTheme="minorEastAsia" w:cstheme="minorBidi"/>
                <w:bdr w:val="none" w:sz="0" w:space="0" w:color="auto"/>
                <w:lang w:val="es-US" w:eastAsia="zh-CN"/>
              </w:rPr>
              <w:tab/>
            </w:r>
            <w:r w:rsidR="00B97769" w:rsidRPr="00B97769">
              <w:rPr>
                <w:rStyle w:val="Hyperlink"/>
              </w:rPr>
              <w:t>Complaints regarding the arrests of 2009 and 2010</w:t>
            </w:r>
            <w:r w:rsidR="00B97769" w:rsidRPr="00B97769">
              <w:rPr>
                <w:webHidden/>
              </w:rPr>
              <w:tab/>
            </w:r>
            <w:r w:rsidR="00B97769" w:rsidRPr="00B97769">
              <w:rPr>
                <w:webHidden/>
              </w:rPr>
              <w:fldChar w:fldCharType="begin"/>
            </w:r>
            <w:r w:rsidR="00B97769" w:rsidRPr="00B97769">
              <w:rPr>
                <w:webHidden/>
              </w:rPr>
              <w:instrText xml:space="preserve"> PAGEREF _Toc90392471 \h </w:instrText>
            </w:r>
            <w:r w:rsidR="00B97769" w:rsidRPr="00B97769">
              <w:rPr>
                <w:webHidden/>
              </w:rPr>
            </w:r>
            <w:r w:rsidR="00B97769" w:rsidRPr="00B97769">
              <w:rPr>
                <w:webHidden/>
              </w:rPr>
              <w:fldChar w:fldCharType="separate"/>
            </w:r>
            <w:r w:rsidR="007B681D">
              <w:rPr>
                <w:webHidden/>
              </w:rPr>
              <w:t>20</w:t>
            </w:r>
            <w:r w:rsidR="00B97769" w:rsidRPr="00B97769">
              <w:rPr>
                <w:webHidden/>
              </w:rPr>
              <w:fldChar w:fldCharType="end"/>
            </w:r>
          </w:hyperlink>
        </w:p>
        <w:p w14:paraId="0C717F8C" w14:textId="6FD3ED1A"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2" w:history="1">
            <w:r w:rsidR="00B97769" w:rsidRPr="00B97769">
              <w:rPr>
                <w:rStyle w:val="Hyperlink"/>
              </w:rPr>
              <w:t>G.</w:t>
            </w:r>
            <w:r w:rsidR="00B97769" w:rsidRPr="00B97769">
              <w:rPr>
                <w:rFonts w:eastAsiaTheme="minorEastAsia" w:cstheme="minorBidi"/>
                <w:bdr w:val="none" w:sz="0" w:space="0" w:color="auto"/>
                <w:lang w:val="es-US" w:eastAsia="zh-CN"/>
              </w:rPr>
              <w:tab/>
            </w:r>
            <w:r w:rsidR="00B97769" w:rsidRPr="00B97769">
              <w:rPr>
                <w:rStyle w:val="Hyperlink"/>
              </w:rPr>
              <w:t>Request for response and appeal to the Bureau of Immigration and Alien Affairs and the Ministry of the Interior regarding the impediments to Yoani Sánchez Cordero’s departure from the country between 2007 and 2012</w:t>
            </w:r>
            <w:r w:rsidR="00B97769" w:rsidRPr="00B97769">
              <w:rPr>
                <w:webHidden/>
              </w:rPr>
              <w:tab/>
            </w:r>
            <w:r w:rsidR="00B97769" w:rsidRPr="00B97769">
              <w:rPr>
                <w:webHidden/>
              </w:rPr>
              <w:fldChar w:fldCharType="begin"/>
            </w:r>
            <w:r w:rsidR="00B97769" w:rsidRPr="00B97769">
              <w:rPr>
                <w:webHidden/>
              </w:rPr>
              <w:instrText xml:space="preserve"> PAGEREF _Toc90392472 \h </w:instrText>
            </w:r>
            <w:r w:rsidR="00B97769" w:rsidRPr="00B97769">
              <w:rPr>
                <w:webHidden/>
              </w:rPr>
            </w:r>
            <w:r w:rsidR="00B97769" w:rsidRPr="00B97769">
              <w:rPr>
                <w:webHidden/>
              </w:rPr>
              <w:fldChar w:fldCharType="separate"/>
            </w:r>
            <w:r w:rsidR="007B681D">
              <w:rPr>
                <w:webHidden/>
              </w:rPr>
              <w:t>20</w:t>
            </w:r>
            <w:r w:rsidR="00B97769" w:rsidRPr="00B97769">
              <w:rPr>
                <w:webHidden/>
              </w:rPr>
              <w:fldChar w:fldCharType="end"/>
            </w:r>
          </w:hyperlink>
        </w:p>
        <w:p w14:paraId="7936D06F" w14:textId="7118CA83"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3" w:history="1">
            <w:r w:rsidR="00B97769" w:rsidRPr="00B97769">
              <w:rPr>
                <w:rStyle w:val="Hyperlink"/>
              </w:rPr>
              <w:t>H.</w:t>
            </w:r>
            <w:r w:rsidR="00B97769" w:rsidRPr="00B97769">
              <w:rPr>
                <w:rFonts w:eastAsiaTheme="minorEastAsia" w:cstheme="minorBidi"/>
                <w:bdr w:val="none" w:sz="0" w:space="0" w:color="auto"/>
                <w:lang w:val="es-US" w:eastAsia="zh-CN"/>
              </w:rPr>
              <w:tab/>
            </w:r>
            <w:r w:rsidR="00B97769" w:rsidRPr="00B97769">
              <w:rPr>
                <w:rStyle w:val="Hyperlink"/>
              </w:rPr>
              <w:t>Wiretapping, residential surveillance, intimidation, and attacks against the journalist and blogger</w:t>
            </w:r>
            <w:r w:rsidR="00B97769" w:rsidRPr="00B97769">
              <w:rPr>
                <w:webHidden/>
              </w:rPr>
              <w:tab/>
            </w:r>
            <w:r w:rsidR="00B97769" w:rsidRPr="00B97769">
              <w:rPr>
                <w:webHidden/>
              </w:rPr>
              <w:fldChar w:fldCharType="begin"/>
            </w:r>
            <w:r w:rsidR="00B97769" w:rsidRPr="00B97769">
              <w:rPr>
                <w:webHidden/>
              </w:rPr>
              <w:instrText xml:space="preserve"> PAGEREF _Toc90392473 \h </w:instrText>
            </w:r>
            <w:r w:rsidR="00B97769" w:rsidRPr="00B97769">
              <w:rPr>
                <w:webHidden/>
              </w:rPr>
            </w:r>
            <w:r w:rsidR="00B97769" w:rsidRPr="00B97769">
              <w:rPr>
                <w:webHidden/>
              </w:rPr>
              <w:fldChar w:fldCharType="separate"/>
            </w:r>
            <w:r w:rsidR="007B681D">
              <w:rPr>
                <w:webHidden/>
              </w:rPr>
              <w:t>20</w:t>
            </w:r>
            <w:r w:rsidR="00B97769" w:rsidRPr="00B97769">
              <w:rPr>
                <w:webHidden/>
              </w:rPr>
              <w:fldChar w:fldCharType="end"/>
            </w:r>
          </w:hyperlink>
        </w:p>
        <w:p w14:paraId="46E72377" w14:textId="1A368E4A"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74" w:history="1">
            <w:r w:rsidR="00B97769" w:rsidRPr="00B97769">
              <w:rPr>
                <w:rStyle w:val="Hyperlink"/>
                <w:rFonts w:asciiTheme="majorHAnsi" w:hAnsiTheme="majorHAnsi"/>
                <w:noProof/>
                <w:sz w:val="20"/>
                <w:szCs w:val="20"/>
                <w:lang w:val="en-US"/>
              </w:rPr>
              <w:t>V.</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LEGAL ANALYSIS</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_Toc90392474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22</w:t>
            </w:r>
            <w:r w:rsidR="00B97769" w:rsidRPr="00B97769">
              <w:rPr>
                <w:rFonts w:asciiTheme="majorHAnsi" w:hAnsiTheme="majorHAnsi"/>
                <w:noProof/>
                <w:webHidden/>
                <w:sz w:val="20"/>
                <w:szCs w:val="20"/>
              </w:rPr>
              <w:fldChar w:fldCharType="end"/>
            </w:r>
          </w:hyperlink>
        </w:p>
        <w:p w14:paraId="2C4870DC" w14:textId="5D5B74DC"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5" w:history="1">
            <w:r w:rsidR="00B97769" w:rsidRPr="00B97769">
              <w:rPr>
                <w:rStyle w:val="Hyperlink"/>
              </w:rPr>
              <w:t>A.</w:t>
            </w:r>
            <w:r w:rsidR="00B97769" w:rsidRPr="00B97769">
              <w:rPr>
                <w:rFonts w:eastAsiaTheme="minorEastAsia" w:cstheme="minorBidi"/>
                <w:bdr w:val="none" w:sz="0" w:space="0" w:color="auto"/>
                <w:lang w:val="es-US" w:eastAsia="zh-CN"/>
              </w:rPr>
              <w:tab/>
            </w:r>
            <w:r w:rsidR="00B97769" w:rsidRPr="00B97769">
              <w:rPr>
                <w:rStyle w:val="Hyperlink"/>
              </w:rPr>
              <w:t>Preliminary Issue: application and interpretation of the American Declaration of the Rights and Duties of Man</w:t>
            </w:r>
            <w:r w:rsidR="00B97769" w:rsidRPr="00B97769">
              <w:rPr>
                <w:webHidden/>
              </w:rPr>
              <w:tab/>
            </w:r>
            <w:r w:rsidR="00B97769" w:rsidRPr="00B97769">
              <w:rPr>
                <w:webHidden/>
              </w:rPr>
              <w:fldChar w:fldCharType="begin"/>
            </w:r>
            <w:r w:rsidR="00B97769" w:rsidRPr="00B97769">
              <w:rPr>
                <w:webHidden/>
              </w:rPr>
              <w:instrText xml:space="preserve"> PAGEREF _Toc90392475 \h </w:instrText>
            </w:r>
            <w:r w:rsidR="00B97769" w:rsidRPr="00B97769">
              <w:rPr>
                <w:webHidden/>
              </w:rPr>
            </w:r>
            <w:r w:rsidR="00B97769" w:rsidRPr="00B97769">
              <w:rPr>
                <w:webHidden/>
              </w:rPr>
              <w:fldChar w:fldCharType="separate"/>
            </w:r>
            <w:r w:rsidR="007B681D">
              <w:rPr>
                <w:webHidden/>
              </w:rPr>
              <w:t>22</w:t>
            </w:r>
            <w:r w:rsidR="00B97769" w:rsidRPr="00B97769">
              <w:rPr>
                <w:webHidden/>
              </w:rPr>
              <w:fldChar w:fldCharType="end"/>
            </w:r>
          </w:hyperlink>
        </w:p>
        <w:p w14:paraId="721E7F96" w14:textId="26F6FFB3"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76" w:history="1">
            <w:r w:rsidR="00B97769" w:rsidRPr="00B97769">
              <w:rPr>
                <w:rStyle w:val="Hyperlink"/>
              </w:rPr>
              <w:t>B.</w:t>
            </w:r>
            <w:r w:rsidR="00B97769" w:rsidRPr="00B97769">
              <w:rPr>
                <w:rFonts w:eastAsiaTheme="minorEastAsia" w:cstheme="minorBidi"/>
                <w:bdr w:val="none" w:sz="0" w:space="0" w:color="auto"/>
                <w:lang w:val="es-US" w:eastAsia="zh-CN"/>
              </w:rPr>
              <w:tab/>
            </w:r>
            <w:r w:rsidR="00B97769" w:rsidRPr="00B97769">
              <w:rPr>
                <w:rStyle w:val="Hyperlink"/>
                <w:rFonts w:eastAsia="SimSun"/>
              </w:rPr>
              <w:t xml:space="preserve">Right to life, liberty, and personal security </w:t>
            </w:r>
            <w:r w:rsidR="00B97769" w:rsidRPr="00B97769">
              <w:rPr>
                <w:rStyle w:val="Hyperlink"/>
              </w:rPr>
              <w:t>(Article I), right to equality before law, and right of protection from arbitrary arrest (Article XXV)</w:t>
            </w:r>
            <w:r w:rsidR="00B97769" w:rsidRPr="00B97769">
              <w:rPr>
                <w:webHidden/>
              </w:rPr>
              <w:tab/>
            </w:r>
            <w:r w:rsidR="00B97769" w:rsidRPr="00B97769">
              <w:rPr>
                <w:webHidden/>
              </w:rPr>
              <w:fldChar w:fldCharType="begin"/>
            </w:r>
            <w:r w:rsidR="00B97769" w:rsidRPr="00B97769">
              <w:rPr>
                <w:webHidden/>
              </w:rPr>
              <w:instrText xml:space="preserve"> PAGEREF _Toc90392476 \h </w:instrText>
            </w:r>
            <w:r w:rsidR="00B97769" w:rsidRPr="00B97769">
              <w:rPr>
                <w:webHidden/>
              </w:rPr>
            </w:r>
            <w:r w:rsidR="00B97769" w:rsidRPr="00B97769">
              <w:rPr>
                <w:webHidden/>
              </w:rPr>
              <w:fldChar w:fldCharType="separate"/>
            </w:r>
            <w:r w:rsidR="007B681D">
              <w:rPr>
                <w:webHidden/>
              </w:rPr>
              <w:t>23</w:t>
            </w:r>
            <w:r w:rsidR="00B97769" w:rsidRPr="00B97769">
              <w:rPr>
                <w:webHidden/>
              </w:rPr>
              <w:fldChar w:fldCharType="end"/>
            </w:r>
          </w:hyperlink>
        </w:p>
        <w:p w14:paraId="17118B44" w14:textId="7C5287A3"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77" w:history="1">
            <w:r w:rsidR="00B97769" w:rsidRPr="00B97769">
              <w:rPr>
                <w:rStyle w:val="Hyperlink"/>
              </w:rPr>
              <w:t>1.</w:t>
            </w:r>
            <w:r w:rsidR="00B97769" w:rsidRPr="00B97769">
              <w:rPr>
                <w:rFonts w:eastAsiaTheme="minorEastAsia" w:cstheme="minorBidi"/>
                <w:bdr w:val="none" w:sz="0" w:space="0" w:color="auto"/>
                <w:lang w:val="es-US" w:eastAsia="zh-CN"/>
              </w:rPr>
              <w:tab/>
            </w:r>
            <w:r w:rsidR="00B97769" w:rsidRPr="00B97769">
              <w:rPr>
                <w:rStyle w:val="Hyperlink"/>
              </w:rPr>
              <w:t>Illegality and arbitrariness of the detentions</w:t>
            </w:r>
            <w:r w:rsidR="00B97769" w:rsidRPr="00B97769">
              <w:rPr>
                <w:webHidden/>
              </w:rPr>
              <w:tab/>
            </w:r>
            <w:r w:rsidR="00B97769" w:rsidRPr="00B97769">
              <w:rPr>
                <w:webHidden/>
              </w:rPr>
              <w:fldChar w:fldCharType="begin"/>
            </w:r>
            <w:r w:rsidR="00B97769" w:rsidRPr="00B97769">
              <w:rPr>
                <w:webHidden/>
              </w:rPr>
              <w:instrText xml:space="preserve"> PAGEREF _Toc90392477 \h </w:instrText>
            </w:r>
            <w:r w:rsidR="00B97769" w:rsidRPr="00B97769">
              <w:rPr>
                <w:webHidden/>
              </w:rPr>
            </w:r>
            <w:r w:rsidR="00B97769" w:rsidRPr="00B97769">
              <w:rPr>
                <w:webHidden/>
              </w:rPr>
              <w:fldChar w:fldCharType="separate"/>
            </w:r>
            <w:r w:rsidR="007B681D">
              <w:rPr>
                <w:webHidden/>
              </w:rPr>
              <w:t>23</w:t>
            </w:r>
            <w:r w:rsidR="00B97769" w:rsidRPr="00B97769">
              <w:rPr>
                <w:webHidden/>
              </w:rPr>
              <w:fldChar w:fldCharType="end"/>
            </w:r>
          </w:hyperlink>
        </w:p>
        <w:p w14:paraId="1718673A" w14:textId="222827ED"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78" w:history="1">
            <w:r w:rsidR="00B97769" w:rsidRPr="00B97769">
              <w:rPr>
                <w:rStyle w:val="Hyperlink"/>
              </w:rPr>
              <w:t>2.</w:t>
            </w:r>
            <w:r w:rsidR="00B97769" w:rsidRPr="00B97769">
              <w:rPr>
                <w:rFonts w:eastAsiaTheme="minorEastAsia" w:cstheme="minorBidi"/>
                <w:bdr w:val="none" w:sz="0" w:space="0" w:color="auto"/>
                <w:lang w:val="es-US" w:eastAsia="zh-CN"/>
              </w:rPr>
              <w:tab/>
            </w:r>
            <w:r w:rsidR="00B97769" w:rsidRPr="00B97769">
              <w:rPr>
                <w:rStyle w:val="Hyperlink"/>
              </w:rPr>
              <w:t>The humane treatment of persons in the custody of the State, the right to equality and non-discrimination, and gender-based violence against women</w:t>
            </w:r>
            <w:r w:rsidR="00B97769" w:rsidRPr="00B97769">
              <w:rPr>
                <w:webHidden/>
              </w:rPr>
              <w:tab/>
            </w:r>
            <w:r w:rsidR="00B97769" w:rsidRPr="00B97769">
              <w:rPr>
                <w:webHidden/>
              </w:rPr>
              <w:fldChar w:fldCharType="begin"/>
            </w:r>
            <w:r w:rsidR="00B97769" w:rsidRPr="00B97769">
              <w:rPr>
                <w:webHidden/>
              </w:rPr>
              <w:instrText xml:space="preserve"> PAGEREF _Toc90392478 \h </w:instrText>
            </w:r>
            <w:r w:rsidR="00B97769" w:rsidRPr="00B97769">
              <w:rPr>
                <w:webHidden/>
              </w:rPr>
            </w:r>
            <w:r w:rsidR="00B97769" w:rsidRPr="00B97769">
              <w:rPr>
                <w:webHidden/>
              </w:rPr>
              <w:fldChar w:fldCharType="separate"/>
            </w:r>
            <w:r w:rsidR="007B681D">
              <w:rPr>
                <w:webHidden/>
              </w:rPr>
              <w:t>24</w:t>
            </w:r>
            <w:r w:rsidR="00B97769" w:rsidRPr="00B97769">
              <w:rPr>
                <w:webHidden/>
              </w:rPr>
              <w:fldChar w:fldCharType="end"/>
            </w:r>
          </w:hyperlink>
        </w:p>
        <w:p w14:paraId="1E3CE667" w14:textId="76B435C3"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79" w:history="1">
            <w:r w:rsidR="00B97769" w:rsidRPr="00B97769">
              <w:rPr>
                <w:rStyle w:val="Hyperlink"/>
              </w:rPr>
              <w:t>3.</w:t>
            </w:r>
            <w:r w:rsidR="00B97769" w:rsidRPr="00B97769">
              <w:rPr>
                <w:rFonts w:eastAsiaTheme="minorEastAsia" w:cstheme="minorBidi"/>
                <w:bdr w:val="none" w:sz="0" w:space="0" w:color="auto"/>
                <w:lang w:val="es-US" w:eastAsia="zh-CN"/>
              </w:rPr>
              <w:tab/>
            </w:r>
            <w:r w:rsidR="00B97769" w:rsidRPr="00B97769">
              <w:rPr>
                <w:rStyle w:val="Hyperlink"/>
              </w:rPr>
              <w:t>Analysis of the case</w:t>
            </w:r>
            <w:r w:rsidR="00B97769" w:rsidRPr="00B97769">
              <w:rPr>
                <w:webHidden/>
              </w:rPr>
              <w:tab/>
            </w:r>
            <w:r w:rsidR="00B97769" w:rsidRPr="00B97769">
              <w:rPr>
                <w:webHidden/>
              </w:rPr>
              <w:fldChar w:fldCharType="begin"/>
            </w:r>
            <w:r w:rsidR="00B97769" w:rsidRPr="00B97769">
              <w:rPr>
                <w:webHidden/>
              </w:rPr>
              <w:instrText xml:space="preserve"> PAGEREF _Toc90392479 \h </w:instrText>
            </w:r>
            <w:r w:rsidR="00B97769" w:rsidRPr="00B97769">
              <w:rPr>
                <w:webHidden/>
              </w:rPr>
            </w:r>
            <w:r w:rsidR="00B97769" w:rsidRPr="00B97769">
              <w:rPr>
                <w:webHidden/>
              </w:rPr>
              <w:fldChar w:fldCharType="separate"/>
            </w:r>
            <w:r w:rsidR="007B681D">
              <w:rPr>
                <w:webHidden/>
              </w:rPr>
              <w:t>28</w:t>
            </w:r>
            <w:r w:rsidR="00B97769" w:rsidRPr="00B97769">
              <w:rPr>
                <w:webHidden/>
              </w:rPr>
              <w:fldChar w:fldCharType="end"/>
            </w:r>
          </w:hyperlink>
        </w:p>
        <w:p w14:paraId="215FB817" w14:textId="6C14079F"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0" w:history="1">
            <w:r w:rsidR="00B97769" w:rsidRPr="00B97769">
              <w:rPr>
                <w:rStyle w:val="Hyperlink"/>
              </w:rPr>
              <w:t>C.</w:t>
            </w:r>
            <w:r w:rsidR="00B97769" w:rsidRPr="00B97769">
              <w:rPr>
                <w:rFonts w:eastAsiaTheme="minorEastAsia" w:cstheme="minorBidi"/>
                <w:bdr w:val="none" w:sz="0" w:space="0" w:color="auto"/>
                <w:lang w:val="es-US" w:eastAsia="zh-CN"/>
              </w:rPr>
              <w:tab/>
            </w:r>
            <w:r w:rsidR="00B97769" w:rsidRPr="00B97769">
              <w:rPr>
                <w:rStyle w:val="Hyperlink"/>
              </w:rPr>
              <w:t>Right to residence and movement (Article VIII)</w:t>
            </w:r>
            <w:r w:rsidR="00B97769" w:rsidRPr="00B97769">
              <w:rPr>
                <w:webHidden/>
              </w:rPr>
              <w:tab/>
            </w:r>
            <w:r w:rsidR="00B97769" w:rsidRPr="00B97769">
              <w:rPr>
                <w:webHidden/>
              </w:rPr>
              <w:fldChar w:fldCharType="begin"/>
            </w:r>
            <w:r w:rsidR="00B97769" w:rsidRPr="00B97769">
              <w:rPr>
                <w:webHidden/>
              </w:rPr>
              <w:instrText xml:space="preserve"> PAGEREF _Toc90392480 \h </w:instrText>
            </w:r>
            <w:r w:rsidR="00B97769" w:rsidRPr="00B97769">
              <w:rPr>
                <w:webHidden/>
              </w:rPr>
            </w:r>
            <w:r w:rsidR="00B97769" w:rsidRPr="00B97769">
              <w:rPr>
                <w:webHidden/>
              </w:rPr>
              <w:fldChar w:fldCharType="separate"/>
            </w:r>
            <w:r w:rsidR="007B681D">
              <w:rPr>
                <w:webHidden/>
              </w:rPr>
              <w:t>29</w:t>
            </w:r>
            <w:r w:rsidR="00B97769" w:rsidRPr="00B97769">
              <w:rPr>
                <w:webHidden/>
              </w:rPr>
              <w:fldChar w:fldCharType="end"/>
            </w:r>
          </w:hyperlink>
        </w:p>
        <w:p w14:paraId="70260672" w14:textId="5B3B00D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1" w:history="1">
            <w:r w:rsidR="00B97769" w:rsidRPr="00B97769">
              <w:rPr>
                <w:rStyle w:val="Hyperlink"/>
              </w:rPr>
              <w:t>D.</w:t>
            </w:r>
            <w:r w:rsidR="00B97769" w:rsidRPr="00B97769">
              <w:rPr>
                <w:rFonts w:eastAsiaTheme="minorEastAsia" w:cstheme="minorBidi"/>
                <w:bdr w:val="none" w:sz="0" w:space="0" w:color="auto"/>
                <w:lang w:val="es-US" w:eastAsia="zh-CN"/>
              </w:rPr>
              <w:tab/>
            </w:r>
            <w:r w:rsidR="00B97769" w:rsidRPr="00B97769">
              <w:rPr>
                <w:rStyle w:val="Hyperlink"/>
              </w:rPr>
              <w:t>Right to freedom of assembly (Article XXI) and association (Article XXII)</w:t>
            </w:r>
            <w:r w:rsidR="00B97769" w:rsidRPr="00B97769">
              <w:rPr>
                <w:webHidden/>
              </w:rPr>
              <w:tab/>
            </w:r>
            <w:r w:rsidR="00B97769" w:rsidRPr="00B97769">
              <w:rPr>
                <w:webHidden/>
              </w:rPr>
              <w:fldChar w:fldCharType="begin"/>
            </w:r>
            <w:r w:rsidR="00B97769" w:rsidRPr="00B97769">
              <w:rPr>
                <w:webHidden/>
              </w:rPr>
              <w:instrText xml:space="preserve"> PAGEREF _Toc90392481 \h </w:instrText>
            </w:r>
            <w:r w:rsidR="00B97769" w:rsidRPr="00B97769">
              <w:rPr>
                <w:webHidden/>
              </w:rPr>
            </w:r>
            <w:r w:rsidR="00B97769" w:rsidRPr="00B97769">
              <w:rPr>
                <w:webHidden/>
              </w:rPr>
              <w:fldChar w:fldCharType="separate"/>
            </w:r>
            <w:r w:rsidR="007B681D">
              <w:rPr>
                <w:webHidden/>
              </w:rPr>
              <w:t>31</w:t>
            </w:r>
            <w:r w:rsidR="00B97769" w:rsidRPr="00B97769">
              <w:rPr>
                <w:webHidden/>
              </w:rPr>
              <w:fldChar w:fldCharType="end"/>
            </w:r>
          </w:hyperlink>
        </w:p>
        <w:p w14:paraId="7DD2372D" w14:textId="00132F65"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2" w:history="1">
            <w:r w:rsidR="00B97769" w:rsidRPr="00B97769">
              <w:rPr>
                <w:rStyle w:val="Hyperlink"/>
              </w:rPr>
              <w:t>E.</w:t>
            </w:r>
            <w:r w:rsidR="00B97769" w:rsidRPr="00B97769">
              <w:rPr>
                <w:rFonts w:eastAsiaTheme="minorEastAsia" w:cstheme="minorBidi"/>
                <w:bdr w:val="none" w:sz="0" w:space="0" w:color="auto"/>
                <w:lang w:val="es-US" w:eastAsia="zh-CN"/>
              </w:rPr>
              <w:tab/>
            </w:r>
            <w:r w:rsidR="00B97769" w:rsidRPr="00B97769">
              <w:rPr>
                <w:rStyle w:val="Hyperlink"/>
              </w:rPr>
              <w:t>Right to the inviolability of the home (Article IX)and the inviolability and transmission of correspondence (Article X)</w:t>
            </w:r>
            <w:r w:rsidR="00B97769" w:rsidRPr="00B97769">
              <w:rPr>
                <w:webHidden/>
              </w:rPr>
              <w:tab/>
            </w:r>
            <w:r w:rsidR="00B97769" w:rsidRPr="00B97769">
              <w:rPr>
                <w:webHidden/>
              </w:rPr>
              <w:fldChar w:fldCharType="begin"/>
            </w:r>
            <w:r w:rsidR="00B97769" w:rsidRPr="00B97769">
              <w:rPr>
                <w:webHidden/>
              </w:rPr>
              <w:instrText xml:space="preserve"> PAGEREF _Toc90392482 \h </w:instrText>
            </w:r>
            <w:r w:rsidR="00B97769" w:rsidRPr="00B97769">
              <w:rPr>
                <w:webHidden/>
              </w:rPr>
            </w:r>
            <w:r w:rsidR="00B97769" w:rsidRPr="00B97769">
              <w:rPr>
                <w:webHidden/>
              </w:rPr>
              <w:fldChar w:fldCharType="separate"/>
            </w:r>
            <w:r w:rsidR="007B681D">
              <w:rPr>
                <w:webHidden/>
              </w:rPr>
              <w:t>33</w:t>
            </w:r>
            <w:r w:rsidR="00B97769" w:rsidRPr="00B97769">
              <w:rPr>
                <w:webHidden/>
              </w:rPr>
              <w:fldChar w:fldCharType="end"/>
            </w:r>
          </w:hyperlink>
        </w:p>
        <w:p w14:paraId="049BAB9E" w14:textId="79AA2FF9"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3" w:history="1">
            <w:r w:rsidR="00B97769" w:rsidRPr="00B97769">
              <w:rPr>
                <w:rStyle w:val="Hyperlink"/>
              </w:rPr>
              <w:t>F.</w:t>
            </w:r>
            <w:r w:rsidR="00B97769" w:rsidRPr="00B97769">
              <w:rPr>
                <w:rFonts w:eastAsiaTheme="minorEastAsia" w:cstheme="minorBidi"/>
                <w:bdr w:val="none" w:sz="0" w:space="0" w:color="auto"/>
                <w:lang w:val="es-US" w:eastAsia="zh-CN"/>
              </w:rPr>
              <w:tab/>
            </w:r>
            <w:r w:rsidR="00B97769" w:rsidRPr="00B97769">
              <w:rPr>
                <w:rStyle w:val="Hyperlink"/>
              </w:rPr>
              <w:t>Right to freedom of investigation, opinion, expression, and dissemination (Article IV), right to vote and to participate in government (Article XX), and right to protection of honor, personal reputation, and private and family life (Article V) of the American Declaration</w:t>
            </w:r>
            <w:r w:rsidR="00B97769" w:rsidRPr="00B97769">
              <w:rPr>
                <w:webHidden/>
              </w:rPr>
              <w:tab/>
            </w:r>
            <w:r w:rsidR="00B97769" w:rsidRPr="00B97769">
              <w:rPr>
                <w:webHidden/>
              </w:rPr>
              <w:fldChar w:fldCharType="begin"/>
            </w:r>
            <w:r w:rsidR="00B97769" w:rsidRPr="00B97769">
              <w:rPr>
                <w:webHidden/>
              </w:rPr>
              <w:instrText xml:space="preserve"> PAGEREF _Toc90392483 \h </w:instrText>
            </w:r>
            <w:r w:rsidR="00B97769" w:rsidRPr="00B97769">
              <w:rPr>
                <w:webHidden/>
              </w:rPr>
            </w:r>
            <w:r w:rsidR="00B97769" w:rsidRPr="00B97769">
              <w:rPr>
                <w:webHidden/>
              </w:rPr>
              <w:fldChar w:fldCharType="separate"/>
            </w:r>
            <w:r w:rsidR="007B681D">
              <w:rPr>
                <w:webHidden/>
              </w:rPr>
              <w:t>34</w:t>
            </w:r>
            <w:r w:rsidR="00B97769" w:rsidRPr="00B97769">
              <w:rPr>
                <w:webHidden/>
              </w:rPr>
              <w:fldChar w:fldCharType="end"/>
            </w:r>
          </w:hyperlink>
        </w:p>
        <w:p w14:paraId="63138006" w14:textId="00E22EB4"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84" w:history="1">
            <w:r w:rsidR="00B97769" w:rsidRPr="00B97769">
              <w:rPr>
                <w:rStyle w:val="Hyperlink"/>
              </w:rPr>
              <w:t>1.</w:t>
            </w:r>
            <w:r w:rsidR="00B97769" w:rsidRPr="00B97769">
              <w:rPr>
                <w:rFonts w:eastAsiaTheme="minorEastAsia" w:cstheme="minorBidi"/>
                <w:bdr w:val="none" w:sz="0" w:space="0" w:color="auto"/>
                <w:lang w:val="es-US" w:eastAsia="zh-CN"/>
              </w:rPr>
              <w:tab/>
            </w:r>
            <w:r w:rsidR="00B97769" w:rsidRPr="00B97769">
              <w:rPr>
                <w:rStyle w:val="Hyperlink"/>
              </w:rPr>
              <w:t>Right to freedom of expression</w:t>
            </w:r>
            <w:r w:rsidR="00B97769" w:rsidRPr="00B97769">
              <w:rPr>
                <w:webHidden/>
              </w:rPr>
              <w:tab/>
            </w:r>
            <w:r w:rsidR="00B97769" w:rsidRPr="00B97769">
              <w:rPr>
                <w:webHidden/>
              </w:rPr>
              <w:fldChar w:fldCharType="begin"/>
            </w:r>
            <w:r w:rsidR="00B97769" w:rsidRPr="00B97769">
              <w:rPr>
                <w:webHidden/>
              </w:rPr>
              <w:instrText xml:space="preserve"> PAGEREF _Toc90392484 \h </w:instrText>
            </w:r>
            <w:r w:rsidR="00B97769" w:rsidRPr="00B97769">
              <w:rPr>
                <w:webHidden/>
              </w:rPr>
            </w:r>
            <w:r w:rsidR="00B97769" w:rsidRPr="00B97769">
              <w:rPr>
                <w:webHidden/>
              </w:rPr>
              <w:fldChar w:fldCharType="separate"/>
            </w:r>
            <w:r w:rsidR="007B681D">
              <w:rPr>
                <w:webHidden/>
              </w:rPr>
              <w:t>35</w:t>
            </w:r>
            <w:r w:rsidR="00B97769" w:rsidRPr="00B97769">
              <w:rPr>
                <w:webHidden/>
              </w:rPr>
              <w:fldChar w:fldCharType="end"/>
            </w:r>
          </w:hyperlink>
        </w:p>
        <w:p w14:paraId="7E2345C9" w14:textId="4EF1A355"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85" w:history="1">
            <w:r w:rsidR="00B97769" w:rsidRPr="00B97769">
              <w:rPr>
                <w:rStyle w:val="Hyperlink"/>
              </w:rPr>
              <w:t>2.</w:t>
            </w:r>
            <w:r w:rsidR="00B97769" w:rsidRPr="00B97769">
              <w:rPr>
                <w:rFonts w:eastAsiaTheme="minorEastAsia" w:cstheme="minorBidi"/>
                <w:bdr w:val="none" w:sz="0" w:space="0" w:color="auto"/>
                <w:lang w:val="es-US" w:eastAsia="zh-CN"/>
              </w:rPr>
              <w:tab/>
            </w:r>
            <w:r w:rsidR="00B97769" w:rsidRPr="00B97769">
              <w:rPr>
                <w:rStyle w:val="Hyperlink"/>
              </w:rPr>
              <w:t>Participation in government</w:t>
            </w:r>
            <w:r w:rsidR="00B97769" w:rsidRPr="00B97769">
              <w:rPr>
                <w:webHidden/>
              </w:rPr>
              <w:tab/>
            </w:r>
            <w:r w:rsidR="00B97769" w:rsidRPr="00B97769">
              <w:rPr>
                <w:webHidden/>
              </w:rPr>
              <w:fldChar w:fldCharType="begin"/>
            </w:r>
            <w:r w:rsidR="00B97769" w:rsidRPr="00B97769">
              <w:rPr>
                <w:webHidden/>
              </w:rPr>
              <w:instrText xml:space="preserve"> PAGEREF _Toc90392485 \h </w:instrText>
            </w:r>
            <w:r w:rsidR="00B97769" w:rsidRPr="00B97769">
              <w:rPr>
                <w:webHidden/>
              </w:rPr>
            </w:r>
            <w:r w:rsidR="00B97769" w:rsidRPr="00B97769">
              <w:rPr>
                <w:webHidden/>
              </w:rPr>
              <w:fldChar w:fldCharType="separate"/>
            </w:r>
            <w:r w:rsidR="007B681D">
              <w:rPr>
                <w:webHidden/>
              </w:rPr>
              <w:t>39</w:t>
            </w:r>
            <w:r w:rsidR="00B97769" w:rsidRPr="00B97769">
              <w:rPr>
                <w:webHidden/>
              </w:rPr>
              <w:fldChar w:fldCharType="end"/>
            </w:r>
          </w:hyperlink>
        </w:p>
        <w:p w14:paraId="2A392788" w14:textId="2166FA93"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86" w:history="1">
            <w:r w:rsidR="00B97769" w:rsidRPr="00B97769">
              <w:rPr>
                <w:rStyle w:val="Hyperlink"/>
              </w:rPr>
              <w:t>3.</w:t>
            </w:r>
            <w:r w:rsidR="00B97769" w:rsidRPr="00B97769">
              <w:rPr>
                <w:rFonts w:eastAsiaTheme="minorEastAsia" w:cstheme="minorBidi"/>
                <w:bdr w:val="none" w:sz="0" w:space="0" w:color="auto"/>
                <w:lang w:val="es-US" w:eastAsia="zh-CN"/>
              </w:rPr>
              <w:tab/>
            </w:r>
            <w:r w:rsidR="00B97769" w:rsidRPr="00B97769">
              <w:rPr>
                <w:rStyle w:val="Hyperlink"/>
              </w:rPr>
              <w:t>Stigmatizing statements and the right to honor and reputation</w:t>
            </w:r>
            <w:r w:rsidR="00B97769" w:rsidRPr="00B97769">
              <w:rPr>
                <w:webHidden/>
              </w:rPr>
              <w:tab/>
            </w:r>
            <w:r w:rsidR="00B97769" w:rsidRPr="00B97769">
              <w:rPr>
                <w:webHidden/>
              </w:rPr>
              <w:fldChar w:fldCharType="begin"/>
            </w:r>
            <w:r w:rsidR="00B97769" w:rsidRPr="00B97769">
              <w:rPr>
                <w:webHidden/>
              </w:rPr>
              <w:instrText xml:space="preserve"> PAGEREF _Toc90392486 \h </w:instrText>
            </w:r>
            <w:r w:rsidR="00B97769" w:rsidRPr="00B97769">
              <w:rPr>
                <w:webHidden/>
              </w:rPr>
            </w:r>
            <w:r w:rsidR="00B97769" w:rsidRPr="00B97769">
              <w:rPr>
                <w:webHidden/>
              </w:rPr>
              <w:fldChar w:fldCharType="separate"/>
            </w:r>
            <w:r w:rsidR="007B681D">
              <w:rPr>
                <w:webHidden/>
              </w:rPr>
              <w:t>39</w:t>
            </w:r>
            <w:r w:rsidR="00B97769" w:rsidRPr="00B97769">
              <w:rPr>
                <w:webHidden/>
              </w:rPr>
              <w:fldChar w:fldCharType="end"/>
            </w:r>
          </w:hyperlink>
        </w:p>
        <w:p w14:paraId="6DAE5B74" w14:textId="764AEA95" w:rsidR="00B97769" w:rsidRPr="00B97769" w:rsidRDefault="00A52D71" w:rsidP="00F66452">
          <w:pPr>
            <w:pStyle w:val="TOC3"/>
            <w:tabs>
              <w:tab w:val="left" w:pos="720"/>
            </w:tabs>
            <w:rPr>
              <w:rFonts w:eastAsiaTheme="minorEastAsia" w:cstheme="minorBidi"/>
              <w:bdr w:val="none" w:sz="0" w:space="0" w:color="auto"/>
              <w:lang w:val="es-US" w:eastAsia="zh-CN"/>
            </w:rPr>
          </w:pPr>
          <w:hyperlink w:anchor="_Toc90392487" w:history="1">
            <w:r w:rsidR="00B97769" w:rsidRPr="00B97769">
              <w:rPr>
                <w:rStyle w:val="Hyperlink"/>
              </w:rPr>
              <w:t>4.</w:t>
            </w:r>
            <w:r w:rsidR="00B97769" w:rsidRPr="00B97769">
              <w:rPr>
                <w:rFonts w:eastAsiaTheme="minorEastAsia" w:cstheme="minorBidi"/>
                <w:bdr w:val="none" w:sz="0" w:space="0" w:color="auto"/>
                <w:lang w:val="es-US" w:eastAsia="zh-CN"/>
              </w:rPr>
              <w:tab/>
            </w:r>
            <w:r w:rsidR="00B97769" w:rsidRPr="00B97769">
              <w:rPr>
                <w:rStyle w:val="Hyperlink"/>
              </w:rPr>
              <w:t>Analysis of the case</w:t>
            </w:r>
            <w:r w:rsidR="00B97769" w:rsidRPr="00B97769">
              <w:rPr>
                <w:webHidden/>
              </w:rPr>
              <w:tab/>
            </w:r>
            <w:r w:rsidR="00B97769" w:rsidRPr="00B97769">
              <w:rPr>
                <w:webHidden/>
              </w:rPr>
              <w:fldChar w:fldCharType="begin"/>
            </w:r>
            <w:r w:rsidR="00B97769" w:rsidRPr="00B97769">
              <w:rPr>
                <w:webHidden/>
              </w:rPr>
              <w:instrText xml:space="preserve"> PAGEREF _Toc90392487 \h </w:instrText>
            </w:r>
            <w:r w:rsidR="00B97769" w:rsidRPr="00B97769">
              <w:rPr>
                <w:webHidden/>
              </w:rPr>
            </w:r>
            <w:r w:rsidR="00B97769" w:rsidRPr="00B97769">
              <w:rPr>
                <w:webHidden/>
              </w:rPr>
              <w:fldChar w:fldCharType="separate"/>
            </w:r>
            <w:r w:rsidR="007B681D">
              <w:rPr>
                <w:webHidden/>
              </w:rPr>
              <w:t>40</w:t>
            </w:r>
            <w:r w:rsidR="00B97769" w:rsidRPr="00B97769">
              <w:rPr>
                <w:webHidden/>
              </w:rPr>
              <w:fldChar w:fldCharType="end"/>
            </w:r>
          </w:hyperlink>
        </w:p>
        <w:p w14:paraId="54F7632E" w14:textId="303945AA"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8" w:history="1">
            <w:r w:rsidR="00B97769" w:rsidRPr="00B97769">
              <w:rPr>
                <w:rStyle w:val="Hyperlink"/>
              </w:rPr>
              <w:t>G.</w:t>
            </w:r>
            <w:r w:rsidR="00B97769" w:rsidRPr="00B97769">
              <w:rPr>
                <w:rFonts w:eastAsiaTheme="minorEastAsia" w:cstheme="minorBidi"/>
                <w:bdr w:val="none" w:sz="0" w:space="0" w:color="auto"/>
                <w:lang w:val="es-US" w:eastAsia="zh-CN"/>
              </w:rPr>
              <w:tab/>
            </w:r>
            <w:r w:rsidR="00B97769" w:rsidRPr="00B97769">
              <w:rPr>
                <w:rStyle w:val="Hyperlink"/>
              </w:rPr>
              <w:t>Right to a fair trial (Article XVIII), right of petition (Article XXIV), and right to due process of law (Article XXVI)</w:t>
            </w:r>
            <w:r w:rsidR="00B97769" w:rsidRPr="00B97769">
              <w:rPr>
                <w:webHidden/>
              </w:rPr>
              <w:tab/>
            </w:r>
            <w:r w:rsidR="00B97769" w:rsidRPr="00B97769">
              <w:rPr>
                <w:webHidden/>
              </w:rPr>
              <w:fldChar w:fldCharType="begin"/>
            </w:r>
            <w:r w:rsidR="00B97769" w:rsidRPr="00B97769">
              <w:rPr>
                <w:webHidden/>
              </w:rPr>
              <w:instrText xml:space="preserve"> PAGEREF _Toc90392488 \h </w:instrText>
            </w:r>
            <w:r w:rsidR="00B97769" w:rsidRPr="00B97769">
              <w:rPr>
                <w:webHidden/>
              </w:rPr>
            </w:r>
            <w:r w:rsidR="00B97769" w:rsidRPr="00B97769">
              <w:rPr>
                <w:webHidden/>
              </w:rPr>
              <w:fldChar w:fldCharType="separate"/>
            </w:r>
            <w:r w:rsidR="007B681D">
              <w:rPr>
                <w:webHidden/>
              </w:rPr>
              <w:t>44</w:t>
            </w:r>
            <w:r w:rsidR="00B97769" w:rsidRPr="00B97769">
              <w:rPr>
                <w:webHidden/>
              </w:rPr>
              <w:fldChar w:fldCharType="end"/>
            </w:r>
          </w:hyperlink>
        </w:p>
        <w:p w14:paraId="31A4C73C" w14:textId="41B490AE" w:rsidR="00B97769" w:rsidRPr="00B97769" w:rsidRDefault="00A52D71" w:rsidP="00F66452">
          <w:pPr>
            <w:pStyle w:val="TOC2"/>
            <w:tabs>
              <w:tab w:val="left" w:pos="720"/>
            </w:tabs>
            <w:rPr>
              <w:rFonts w:eastAsiaTheme="minorEastAsia" w:cstheme="minorBidi"/>
              <w:bdr w:val="none" w:sz="0" w:space="0" w:color="auto"/>
              <w:lang w:val="es-US" w:eastAsia="zh-CN"/>
            </w:rPr>
          </w:pPr>
          <w:hyperlink w:anchor="_Toc90392489" w:history="1">
            <w:r w:rsidR="00B97769" w:rsidRPr="00B97769">
              <w:rPr>
                <w:rStyle w:val="Hyperlink"/>
              </w:rPr>
              <w:t>H.</w:t>
            </w:r>
            <w:r w:rsidR="00B97769" w:rsidRPr="00B97769">
              <w:rPr>
                <w:rFonts w:eastAsiaTheme="minorEastAsia" w:cstheme="minorBidi"/>
                <w:bdr w:val="none" w:sz="0" w:space="0" w:color="auto"/>
                <w:lang w:val="es-US" w:eastAsia="zh-CN"/>
              </w:rPr>
              <w:tab/>
            </w:r>
            <w:r w:rsidR="00B97769" w:rsidRPr="00B97769">
              <w:rPr>
                <w:rStyle w:val="Hyperlink"/>
              </w:rPr>
              <w:t>Right to equality before the law (Article II)</w:t>
            </w:r>
            <w:r w:rsidR="00B97769" w:rsidRPr="00B97769">
              <w:rPr>
                <w:webHidden/>
              </w:rPr>
              <w:tab/>
            </w:r>
            <w:r w:rsidR="00B97769" w:rsidRPr="00B97769">
              <w:rPr>
                <w:webHidden/>
              </w:rPr>
              <w:fldChar w:fldCharType="begin"/>
            </w:r>
            <w:r w:rsidR="00B97769" w:rsidRPr="00B97769">
              <w:rPr>
                <w:webHidden/>
              </w:rPr>
              <w:instrText xml:space="preserve"> PAGEREF _Toc90392489 \h </w:instrText>
            </w:r>
            <w:r w:rsidR="00B97769" w:rsidRPr="00B97769">
              <w:rPr>
                <w:webHidden/>
              </w:rPr>
            </w:r>
            <w:r w:rsidR="00B97769" w:rsidRPr="00B97769">
              <w:rPr>
                <w:webHidden/>
              </w:rPr>
              <w:fldChar w:fldCharType="separate"/>
            </w:r>
            <w:r w:rsidR="007B681D">
              <w:rPr>
                <w:webHidden/>
              </w:rPr>
              <w:t>47</w:t>
            </w:r>
            <w:r w:rsidR="00B97769" w:rsidRPr="00B97769">
              <w:rPr>
                <w:webHidden/>
              </w:rPr>
              <w:fldChar w:fldCharType="end"/>
            </w:r>
          </w:hyperlink>
        </w:p>
        <w:p w14:paraId="197C1560" w14:textId="6569AD7A"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90" w:history="1">
            <w:r w:rsidR="00B97769" w:rsidRPr="00B97769">
              <w:rPr>
                <w:rStyle w:val="Hyperlink"/>
                <w:rFonts w:asciiTheme="majorHAnsi" w:hAnsiTheme="majorHAnsi"/>
                <w:noProof/>
                <w:sz w:val="20"/>
                <w:szCs w:val="20"/>
              </w:rPr>
              <w:t>VI.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rPr>
              <w:t>REPORT No. 102/21 AND COMPLIANCE INFORMATION</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_Toc90392490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49</w:t>
            </w:r>
            <w:r w:rsidR="00B97769" w:rsidRPr="00B97769">
              <w:rPr>
                <w:rFonts w:asciiTheme="majorHAnsi" w:hAnsiTheme="majorHAnsi"/>
                <w:noProof/>
                <w:webHidden/>
                <w:sz w:val="20"/>
                <w:szCs w:val="20"/>
              </w:rPr>
              <w:fldChar w:fldCharType="end"/>
            </w:r>
          </w:hyperlink>
        </w:p>
        <w:p w14:paraId="484CCFC7" w14:textId="7A4319F9"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91" w:history="1">
            <w:r w:rsidR="00B97769" w:rsidRPr="00B97769">
              <w:rPr>
                <w:rStyle w:val="Hyperlink"/>
                <w:rFonts w:asciiTheme="majorHAnsi" w:hAnsiTheme="majorHAnsi"/>
                <w:noProof/>
                <w:sz w:val="20"/>
                <w:szCs w:val="20"/>
                <w:lang w:val="en-US"/>
              </w:rPr>
              <w:t>VII.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FOLLOW-UP TO REPORT No. 267/21 AND COMPLIANCE INFORMATION</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_Toc90392491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50</w:t>
            </w:r>
            <w:r w:rsidR="00B97769" w:rsidRPr="00B97769">
              <w:rPr>
                <w:rFonts w:asciiTheme="majorHAnsi" w:hAnsiTheme="majorHAnsi"/>
                <w:noProof/>
                <w:webHidden/>
                <w:sz w:val="20"/>
                <w:szCs w:val="20"/>
              </w:rPr>
              <w:fldChar w:fldCharType="end"/>
            </w:r>
          </w:hyperlink>
        </w:p>
        <w:p w14:paraId="45CBDF35" w14:textId="232A66DE"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92" w:history="1">
            <w:r w:rsidR="00B97769" w:rsidRPr="00B97769">
              <w:rPr>
                <w:rStyle w:val="Hyperlink"/>
                <w:rFonts w:asciiTheme="majorHAnsi" w:eastAsia="Times New Roman" w:hAnsiTheme="majorHAnsi"/>
                <w:noProof/>
                <w:sz w:val="20"/>
                <w:szCs w:val="20"/>
                <w:lang w:val="en-US"/>
              </w:rPr>
              <w:t>VIII.</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lang w:val="en-US"/>
              </w:rPr>
              <w:t>CONCLUSIONS AND FINAL RECOMMENDATIONS</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_Toc90392492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50</w:t>
            </w:r>
            <w:r w:rsidR="00B97769" w:rsidRPr="00B97769">
              <w:rPr>
                <w:rFonts w:asciiTheme="majorHAnsi" w:hAnsiTheme="majorHAnsi"/>
                <w:noProof/>
                <w:webHidden/>
                <w:sz w:val="20"/>
                <w:szCs w:val="20"/>
              </w:rPr>
              <w:fldChar w:fldCharType="end"/>
            </w:r>
          </w:hyperlink>
        </w:p>
        <w:p w14:paraId="393ECCE5" w14:textId="3DA63040" w:rsidR="00B97769" w:rsidRPr="00B97769" w:rsidRDefault="00A52D71" w:rsidP="00F6645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lang w:val="es-US" w:eastAsia="zh-CN"/>
            </w:rPr>
          </w:pPr>
          <w:hyperlink w:anchor="_Toc90392493" w:history="1">
            <w:r w:rsidR="00B97769" w:rsidRPr="00B97769">
              <w:rPr>
                <w:rStyle w:val="Hyperlink"/>
                <w:rFonts w:asciiTheme="majorHAnsi" w:hAnsiTheme="majorHAnsi"/>
                <w:noProof/>
                <w:sz w:val="20"/>
                <w:szCs w:val="20"/>
              </w:rPr>
              <w:t>IX.</w:t>
            </w:r>
            <w:r w:rsidR="00B97769" w:rsidRPr="00B97769">
              <w:rPr>
                <w:rFonts w:asciiTheme="majorHAnsi" w:eastAsiaTheme="minorEastAsia" w:hAnsiTheme="majorHAnsi" w:cstheme="minorBidi"/>
                <w:noProof/>
                <w:sz w:val="20"/>
                <w:szCs w:val="20"/>
                <w:bdr w:val="none" w:sz="0" w:space="0" w:color="auto"/>
                <w:lang w:val="es-US" w:eastAsia="zh-CN"/>
              </w:rPr>
              <w:tab/>
            </w:r>
            <w:r w:rsidR="00B97769" w:rsidRPr="00B97769">
              <w:rPr>
                <w:rStyle w:val="Hyperlink"/>
                <w:rFonts w:asciiTheme="majorHAnsi" w:hAnsiTheme="majorHAnsi"/>
                <w:noProof/>
                <w:sz w:val="20"/>
                <w:szCs w:val="20"/>
              </w:rPr>
              <w:t>PUBLICATION</w:t>
            </w:r>
            <w:r w:rsidR="00B97769" w:rsidRPr="00B97769">
              <w:rPr>
                <w:rFonts w:asciiTheme="majorHAnsi" w:hAnsiTheme="majorHAnsi"/>
                <w:noProof/>
                <w:webHidden/>
                <w:sz w:val="20"/>
                <w:szCs w:val="20"/>
              </w:rPr>
              <w:tab/>
            </w:r>
            <w:r w:rsidR="00B97769" w:rsidRPr="00B97769">
              <w:rPr>
                <w:rFonts w:asciiTheme="majorHAnsi" w:hAnsiTheme="majorHAnsi"/>
                <w:noProof/>
                <w:webHidden/>
                <w:sz w:val="20"/>
                <w:szCs w:val="20"/>
              </w:rPr>
              <w:fldChar w:fldCharType="begin"/>
            </w:r>
            <w:r w:rsidR="00B97769" w:rsidRPr="00B97769">
              <w:rPr>
                <w:rFonts w:asciiTheme="majorHAnsi" w:hAnsiTheme="majorHAnsi"/>
                <w:noProof/>
                <w:webHidden/>
                <w:sz w:val="20"/>
                <w:szCs w:val="20"/>
              </w:rPr>
              <w:instrText xml:space="preserve"> PAGEREF _Toc90392493 \h </w:instrText>
            </w:r>
            <w:r w:rsidR="00B97769" w:rsidRPr="00B97769">
              <w:rPr>
                <w:rFonts w:asciiTheme="majorHAnsi" w:hAnsiTheme="majorHAnsi"/>
                <w:noProof/>
                <w:webHidden/>
                <w:sz w:val="20"/>
                <w:szCs w:val="20"/>
              </w:rPr>
            </w:r>
            <w:r w:rsidR="00B97769" w:rsidRPr="00B97769">
              <w:rPr>
                <w:rFonts w:asciiTheme="majorHAnsi" w:hAnsiTheme="majorHAnsi"/>
                <w:noProof/>
                <w:webHidden/>
                <w:sz w:val="20"/>
                <w:szCs w:val="20"/>
              </w:rPr>
              <w:fldChar w:fldCharType="separate"/>
            </w:r>
            <w:r w:rsidR="007B681D">
              <w:rPr>
                <w:rFonts w:asciiTheme="majorHAnsi" w:hAnsiTheme="majorHAnsi"/>
                <w:noProof/>
                <w:webHidden/>
                <w:sz w:val="20"/>
                <w:szCs w:val="20"/>
              </w:rPr>
              <w:t>51</w:t>
            </w:r>
            <w:r w:rsidR="00B97769" w:rsidRPr="00B97769">
              <w:rPr>
                <w:rFonts w:asciiTheme="majorHAnsi" w:hAnsiTheme="majorHAnsi"/>
                <w:noProof/>
                <w:webHidden/>
                <w:sz w:val="20"/>
                <w:szCs w:val="20"/>
              </w:rPr>
              <w:fldChar w:fldCharType="end"/>
            </w:r>
          </w:hyperlink>
        </w:p>
        <w:p w14:paraId="21760EAE" w14:textId="39474276" w:rsidR="002A7A7E" w:rsidRPr="0031433F" w:rsidRDefault="00536F65" w:rsidP="00F66452">
          <w:pPr>
            <w:tabs>
              <w:tab w:val="left" w:pos="720"/>
            </w:tabs>
            <w:rPr>
              <w:rFonts w:asciiTheme="majorHAnsi" w:hAnsiTheme="majorHAnsi"/>
              <w:b/>
              <w:bCs/>
              <w:noProof/>
              <w:sz w:val="20"/>
              <w:szCs w:val="20"/>
            </w:rPr>
          </w:pPr>
          <w:r w:rsidRPr="00B97769">
            <w:rPr>
              <w:rFonts w:asciiTheme="majorHAnsi" w:hAnsiTheme="majorHAnsi"/>
              <w:b/>
              <w:bCs/>
              <w:noProof/>
              <w:sz w:val="20"/>
              <w:szCs w:val="20"/>
              <w:lang w:val="en-US"/>
            </w:rPr>
            <w:fldChar w:fldCharType="end"/>
          </w:r>
        </w:p>
      </w:sdtContent>
    </w:sdt>
    <w:p w14:paraId="521C9674" w14:textId="78C72D5C" w:rsidR="0007748F" w:rsidRPr="0035522A" w:rsidRDefault="006D0CA2" w:rsidP="0035522A">
      <w:pPr>
        <w:rPr>
          <w:rStyle w:val="Style1"/>
          <w:rFonts w:asciiTheme="majorHAnsi" w:hAnsiTheme="majorHAnsi"/>
          <w:b/>
          <w:caps w:val="0"/>
          <w:sz w:val="19"/>
          <w:szCs w:val="19"/>
          <w:lang w:val="en-US"/>
        </w:rPr>
      </w:pPr>
      <w:r>
        <w:rPr>
          <w:rFonts w:asciiTheme="majorHAnsi" w:hAnsiTheme="majorHAnsi"/>
          <w:b/>
          <w:sz w:val="19"/>
          <w:szCs w:val="19"/>
          <w:lang w:val="en-US"/>
        </w:rPr>
        <w:br w:type="page"/>
      </w:r>
    </w:p>
    <w:p w14:paraId="213D4A63" w14:textId="77777777" w:rsidR="00536F65" w:rsidRPr="00B24750" w:rsidRDefault="00536F65" w:rsidP="005F7FE2">
      <w:pPr>
        <w:rPr>
          <w:rFonts w:asciiTheme="majorHAnsi" w:hAnsiTheme="majorHAnsi"/>
          <w:lang w:val="en-US"/>
        </w:rPr>
      </w:pPr>
    </w:p>
    <w:p w14:paraId="2220B485" w14:textId="118436CD" w:rsidR="0050332B" w:rsidRPr="009D14E7" w:rsidRDefault="007C748F" w:rsidP="009D14E7">
      <w:pPr>
        <w:pStyle w:val="Heading1"/>
      </w:pPr>
      <w:bookmarkStart w:id="0" w:name="_Toc65509785"/>
      <w:bookmarkStart w:id="1" w:name="_Toc90392455"/>
      <w:bookmarkEnd w:id="0"/>
      <w:r w:rsidRPr="009D14E7">
        <w:t>INTRODUC</w:t>
      </w:r>
      <w:r w:rsidR="00651FCD" w:rsidRPr="009D14E7">
        <w:t>TION</w:t>
      </w:r>
      <w:bookmarkEnd w:id="1"/>
      <w:r w:rsidRPr="009D14E7">
        <w:t xml:space="preserve"> </w:t>
      </w:r>
    </w:p>
    <w:p w14:paraId="3DBA0B73" w14:textId="77777777" w:rsidR="00536F65" w:rsidRPr="00B24750" w:rsidRDefault="00536F65" w:rsidP="009D14E7">
      <w:pPr>
        <w:rPr>
          <w:rFonts w:asciiTheme="majorHAnsi" w:hAnsiTheme="majorHAnsi"/>
          <w:lang w:val="en-US"/>
        </w:rPr>
      </w:pPr>
    </w:p>
    <w:p w14:paraId="0E1D84A6" w14:textId="39D74079" w:rsidR="0050332B" w:rsidRPr="00B24750" w:rsidRDefault="00651FCD"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On September 28, 2012, the Inter-American Commission on Human Rights (“the Inter-American Commission,” “the Commission,” or “the IACHR”) received a petition </w:t>
      </w:r>
      <w:r w:rsidR="002732C7" w:rsidRPr="00B24750">
        <w:rPr>
          <w:rFonts w:asciiTheme="majorHAnsi" w:hAnsiTheme="majorHAnsi"/>
          <w:sz w:val="20"/>
          <w:szCs w:val="20"/>
          <w:lang w:val="en-US"/>
        </w:rPr>
        <w:t>from</w:t>
      </w:r>
      <w:r w:rsidRPr="00B24750">
        <w:rPr>
          <w:rFonts w:asciiTheme="majorHAnsi" w:hAnsiTheme="majorHAnsi"/>
          <w:sz w:val="20"/>
          <w:szCs w:val="20"/>
          <w:lang w:val="en-US"/>
        </w:rPr>
        <w:t xml:space="preserve"> J.A.O., B.A. and H.E.S.</w:t>
      </w:r>
      <w:r w:rsidRPr="00B24750">
        <w:rPr>
          <w:rStyle w:val="FootnoteReference"/>
          <w:rFonts w:asciiTheme="majorHAnsi" w:hAnsiTheme="majorHAnsi"/>
          <w:sz w:val="20"/>
          <w:szCs w:val="20"/>
          <w:lang w:val="en-US"/>
        </w:rPr>
        <w:footnoteReference w:id="2"/>
      </w:r>
      <w:r w:rsidRPr="00B24750">
        <w:rPr>
          <w:rFonts w:asciiTheme="majorHAnsi" w:hAnsiTheme="majorHAnsi"/>
          <w:sz w:val="20"/>
          <w:szCs w:val="20"/>
          <w:lang w:val="en-US"/>
        </w:rPr>
        <w:t xml:space="preserve"> (“the petitioning party” or “the petitioners”), representatives of Ms.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María </w:t>
      </w:r>
      <w:r w:rsidR="00540A0F" w:rsidRPr="00B24750">
        <w:rPr>
          <w:rFonts w:asciiTheme="majorHAnsi" w:hAnsiTheme="majorHAnsi"/>
          <w:sz w:val="20"/>
          <w:szCs w:val="20"/>
          <w:lang w:val="en-US"/>
        </w:rPr>
        <w:t>Sánchez</w:t>
      </w:r>
      <w:r w:rsidRPr="00B24750">
        <w:rPr>
          <w:rFonts w:asciiTheme="majorHAnsi" w:hAnsiTheme="majorHAnsi"/>
          <w:sz w:val="20"/>
          <w:szCs w:val="20"/>
          <w:lang w:val="en-US"/>
        </w:rPr>
        <w:t xml:space="preserve"> Cordero (“the alleged victim”), a well-known </w:t>
      </w:r>
      <w:r w:rsidR="006902CA">
        <w:rPr>
          <w:rFonts w:asciiTheme="majorHAnsi" w:hAnsiTheme="majorHAnsi"/>
          <w:sz w:val="20"/>
          <w:szCs w:val="20"/>
          <w:lang w:val="en-US"/>
        </w:rPr>
        <w:t>independent journalist</w:t>
      </w:r>
      <w:r w:rsidRPr="00B24750">
        <w:rPr>
          <w:rFonts w:asciiTheme="majorHAnsi" w:hAnsiTheme="majorHAnsi"/>
          <w:sz w:val="20"/>
          <w:szCs w:val="20"/>
          <w:lang w:val="en-US"/>
        </w:rPr>
        <w:t xml:space="preserve"> in Cuba. The petition alleges the international responsibility of the Republic of Cuba (“the State” or “Cuba”) for the violation of </w:t>
      </w:r>
      <w:r w:rsidR="002732C7" w:rsidRPr="00B24750">
        <w:rPr>
          <w:rFonts w:asciiTheme="majorHAnsi" w:hAnsiTheme="majorHAnsi"/>
          <w:sz w:val="20"/>
          <w:szCs w:val="20"/>
          <w:lang w:val="en-US"/>
        </w:rPr>
        <w:t>several</w:t>
      </w:r>
      <w:r w:rsidRPr="00B24750">
        <w:rPr>
          <w:rFonts w:asciiTheme="majorHAnsi" w:hAnsiTheme="majorHAnsi"/>
          <w:sz w:val="20"/>
          <w:szCs w:val="20"/>
          <w:lang w:val="en-US"/>
        </w:rPr>
        <w:t xml:space="preserve"> rights enshrined in the American Declaration of the Rights and Duties of Man (“the American Declaration” or the “Declaration”) </w:t>
      </w:r>
      <w:r w:rsidR="00484EEA" w:rsidRPr="00B24750">
        <w:rPr>
          <w:rFonts w:asciiTheme="majorHAnsi" w:hAnsiTheme="majorHAnsi"/>
          <w:sz w:val="20"/>
          <w:szCs w:val="20"/>
          <w:lang w:val="en-US"/>
        </w:rPr>
        <w:t>through</w:t>
      </w:r>
      <w:r w:rsidRPr="00B24750">
        <w:rPr>
          <w:rFonts w:asciiTheme="majorHAnsi" w:hAnsiTheme="majorHAnsi"/>
          <w:sz w:val="20"/>
          <w:szCs w:val="20"/>
          <w:lang w:val="en-US"/>
        </w:rPr>
        <w:t xml:space="preserve"> </w:t>
      </w:r>
      <w:r w:rsidR="00484EEA" w:rsidRPr="00B24750">
        <w:rPr>
          <w:rFonts w:asciiTheme="majorHAnsi" w:hAnsiTheme="majorHAnsi"/>
          <w:sz w:val="20"/>
          <w:szCs w:val="20"/>
          <w:lang w:val="en-US"/>
        </w:rPr>
        <w:t xml:space="preserve">measures taken against the alleged victim in retaliation </w:t>
      </w:r>
      <w:r w:rsidR="006E62A8">
        <w:rPr>
          <w:rFonts w:asciiTheme="majorHAnsi" w:hAnsiTheme="majorHAnsi"/>
          <w:sz w:val="20"/>
          <w:szCs w:val="20"/>
          <w:lang w:val="en-US"/>
        </w:rPr>
        <w:t xml:space="preserve">for exercising </w:t>
      </w:r>
      <w:r w:rsidR="00484EEA" w:rsidRPr="00B24750">
        <w:rPr>
          <w:rFonts w:asciiTheme="majorHAnsi" w:hAnsiTheme="majorHAnsi"/>
          <w:sz w:val="20"/>
          <w:szCs w:val="20"/>
          <w:lang w:val="en-US"/>
        </w:rPr>
        <w:t xml:space="preserve">her right to freedom of expression. These measures included </w:t>
      </w:r>
      <w:r w:rsidRPr="00B24750">
        <w:rPr>
          <w:rFonts w:asciiTheme="majorHAnsi" w:hAnsiTheme="majorHAnsi"/>
          <w:sz w:val="20"/>
          <w:szCs w:val="20"/>
          <w:lang w:val="en-US"/>
        </w:rPr>
        <w:t xml:space="preserve">telephone </w:t>
      </w:r>
      <w:r w:rsidR="002732C7" w:rsidRPr="00B24750">
        <w:rPr>
          <w:rFonts w:asciiTheme="majorHAnsi" w:hAnsiTheme="majorHAnsi"/>
          <w:sz w:val="20"/>
          <w:szCs w:val="20"/>
          <w:lang w:val="en-US"/>
        </w:rPr>
        <w:t>wiretaps</w:t>
      </w:r>
      <w:r w:rsidRPr="00B24750">
        <w:rPr>
          <w:rFonts w:asciiTheme="majorHAnsi" w:hAnsiTheme="majorHAnsi"/>
          <w:sz w:val="20"/>
          <w:szCs w:val="20"/>
          <w:lang w:val="en-US"/>
        </w:rPr>
        <w:t xml:space="preserve">, </w:t>
      </w:r>
      <w:r w:rsidR="00484EEA" w:rsidRPr="00B24750">
        <w:rPr>
          <w:rFonts w:asciiTheme="majorHAnsi" w:hAnsiTheme="majorHAnsi"/>
          <w:sz w:val="20"/>
          <w:szCs w:val="20"/>
          <w:lang w:val="en-US"/>
        </w:rPr>
        <w:t xml:space="preserve">residential </w:t>
      </w:r>
      <w:r w:rsidRPr="00B24750">
        <w:rPr>
          <w:rFonts w:asciiTheme="majorHAnsi" w:hAnsiTheme="majorHAnsi"/>
          <w:sz w:val="20"/>
          <w:szCs w:val="20"/>
          <w:lang w:val="en-US"/>
        </w:rPr>
        <w:t xml:space="preserve">surveillance, persecution, threats, detentions, </w:t>
      </w:r>
      <w:r w:rsidR="00484EEA" w:rsidRPr="00B24750">
        <w:rPr>
          <w:rFonts w:asciiTheme="majorHAnsi" w:hAnsiTheme="majorHAnsi"/>
          <w:sz w:val="20"/>
          <w:szCs w:val="20"/>
          <w:lang w:val="en-US"/>
        </w:rPr>
        <w:t xml:space="preserve">and </w:t>
      </w:r>
      <w:r w:rsidRPr="00B24750">
        <w:rPr>
          <w:rFonts w:asciiTheme="majorHAnsi" w:hAnsiTheme="majorHAnsi"/>
          <w:sz w:val="20"/>
          <w:szCs w:val="20"/>
          <w:lang w:val="en-US"/>
        </w:rPr>
        <w:t>ill-treatment</w:t>
      </w:r>
      <w:r w:rsidR="00607EE2" w:rsidRPr="00B24750">
        <w:rPr>
          <w:rFonts w:asciiTheme="majorHAnsi" w:hAnsiTheme="majorHAnsi"/>
          <w:sz w:val="20"/>
          <w:szCs w:val="20"/>
          <w:lang w:val="en-US"/>
        </w:rPr>
        <w:t>.</w:t>
      </w:r>
      <w:r w:rsidRPr="00B24750">
        <w:rPr>
          <w:rFonts w:asciiTheme="majorHAnsi" w:hAnsiTheme="majorHAnsi"/>
          <w:sz w:val="20"/>
          <w:szCs w:val="20"/>
          <w:lang w:val="en-US"/>
        </w:rPr>
        <w:t xml:space="preserve"> </w:t>
      </w:r>
      <w:r w:rsidR="00607EE2" w:rsidRPr="00B24750">
        <w:rPr>
          <w:rFonts w:asciiTheme="majorHAnsi" w:hAnsiTheme="majorHAnsi"/>
          <w:sz w:val="20"/>
          <w:szCs w:val="20"/>
          <w:lang w:val="en-US"/>
        </w:rPr>
        <w:t>The</w:t>
      </w:r>
      <w:r w:rsidR="00484EEA" w:rsidRPr="00B24750">
        <w:rPr>
          <w:rFonts w:asciiTheme="majorHAnsi" w:hAnsiTheme="majorHAnsi"/>
          <w:sz w:val="20"/>
          <w:szCs w:val="20"/>
          <w:lang w:val="en-US"/>
        </w:rPr>
        <w:t xml:space="preserve"> alleged victim </w:t>
      </w:r>
      <w:r w:rsidR="00607EE2" w:rsidRPr="00B24750">
        <w:rPr>
          <w:rFonts w:asciiTheme="majorHAnsi" w:hAnsiTheme="majorHAnsi"/>
          <w:sz w:val="20"/>
          <w:szCs w:val="20"/>
          <w:lang w:val="en-US"/>
        </w:rPr>
        <w:t xml:space="preserve">was also barred </w:t>
      </w:r>
      <w:r w:rsidR="00484EEA" w:rsidRPr="00B24750">
        <w:rPr>
          <w:rFonts w:asciiTheme="majorHAnsi" w:hAnsiTheme="majorHAnsi"/>
          <w:sz w:val="20"/>
          <w:szCs w:val="20"/>
          <w:lang w:val="en-US"/>
        </w:rPr>
        <w:t>from</w:t>
      </w:r>
      <w:r w:rsidRPr="00B24750">
        <w:rPr>
          <w:rFonts w:asciiTheme="majorHAnsi" w:hAnsiTheme="majorHAnsi"/>
          <w:sz w:val="20"/>
          <w:szCs w:val="20"/>
          <w:lang w:val="en-US"/>
        </w:rPr>
        <w:t xml:space="preserve"> public places and </w:t>
      </w:r>
      <w:r w:rsidR="00607EE2" w:rsidRPr="00B24750">
        <w:rPr>
          <w:rFonts w:asciiTheme="majorHAnsi" w:hAnsiTheme="majorHAnsi"/>
          <w:sz w:val="20"/>
          <w:szCs w:val="20"/>
          <w:lang w:val="en-US"/>
        </w:rPr>
        <w:t>denied</w:t>
      </w:r>
      <w:r w:rsidRPr="00B24750">
        <w:rPr>
          <w:rFonts w:asciiTheme="majorHAnsi" w:hAnsiTheme="majorHAnsi"/>
          <w:sz w:val="20"/>
          <w:szCs w:val="20"/>
          <w:lang w:val="en-US"/>
        </w:rPr>
        <w:t xml:space="preserve"> authorization for travel abroad. </w:t>
      </w:r>
      <w:r w:rsidR="00533FFB" w:rsidRPr="00B24750">
        <w:rPr>
          <w:rFonts w:asciiTheme="majorHAnsi" w:hAnsiTheme="majorHAnsi"/>
          <w:sz w:val="20"/>
          <w:szCs w:val="20"/>
          <w:lang w:val="en-US"/>
        </w:rPr>
        <w:t>The petition states that, c</w:t>
      </w:r>
      <w:r w:rsidR="004E3B65" w:rsidRPr="00B24750">
        <w:rPr>
          <w:rFonts w:asciiTheme="majorHAnsi" w:hAnsiTheme="majorHAnsi"/>
          <w:sz w:val="20"/>
          <w:szCs w:val="20"/>
          <w:lang w:val="en-US"/>
        </w:rPr>
        <w:t>ompounding the above</w:t>
      </w:r>
      <w:r w:rsidR="00607EE2" w:rsidRPr="00B24750">
        <w:rPr>
          <w:rFonts w:asciiTheme="majorHAnsi" w:hAnsiTheme="majorHAnsi"/>
          <w:sz w:val="20"/>
          <w:szCs w:val="20"/>
          <w:lang w:val="en-US"/>
        </w:rPr>
        <w:t xml:space="preserve">, </w:t>
      </w:r>
      <w:r w:rsidR="00533FFB" w:rsidRPr="00B24750">
        <w:rPr>
          <w:rFonts w:asciiTheme="majorHAnsi" w:hAnsiTheme="majorHAnsi"/>
          <w:sz w:val="20"/>
          <w:szCs w:val="20"/>
          <w:lang w:val="en-US"/>
        </w:rPr>
        <w:t xml:space="preserve">the State failed to respond to the </w:t>
      </w:r>
      <w:r w:rsidR="007E047A" w:rsidRPr="00B24750">
        <w:rPr>
          <w:rFonts w:asciiTheme="majorHAnsi" w:hAnsiTheme="majorHAnsi"/>
          <w:sz w:val="20"/>
          <w:szCs w:val="20"/>
          <w:lang w:val="en-US"/>
        </w:rPr>
        <w:t xml:space="preserve">administrative </w:t>
      </w:r>
      <w:r w:rsidR="00533FFB" w:rsidRPr="00B24750">
        <w:rPr>
          <w:rFonts w:asciiTheme="majorHAnsi" w:hAnsiTheme="majorHAnsi"/>
          <w:sz w:val="20"/>
          <w:szCs w:val="20"/>
          <w:lang w:val="en-US"/>
        </w:rPr>
        <w:t xml:space="preserve">complaints and </w:t>
      </w:r>
      <w:r w:rsidR="007E047A" w:rsidRPr="00B24750">
        <w:rPr>
          <w:rFonts w:asciiTheme="majorHAnsi" w:hAnsiTheme="majorHAnsi"/>
          <w:sz w:val="20"/>
          <w:szCs w:val="20"/>
          <w:lang w:val="en-US"/>
        </w:rPr>
        <w:t>petitions</w:t>
      </w:r>
      <w:r w:rsidR="00533FFB" w:rsidRPr="00B24750">
        <w:rPr>
          <w:rFonts w:asciiTheme="majorHAnsi" w:hAnsiTheme="majorHAnsi"/>
          <w:sz w:val="20"/>
          <w:szCs w:val="20"/>
          <w:lang w:val="en-US"/>
        </w:rPr>
        <w:t xml:space="preserve"> </w:t>
      </w:r>
      <w:proofErr w:type="spellStart"/>
      <w:r w:rsidR="00533FFB" w:rsidRPr="00B24750">
        <w:rPr>
          <w:rFonts w:asciiTheme="majorHAnsi" w:hAnsiTheme="majorHAnsi"/>
          <w:sz w:val="20"/>
          <w:szCs w:val="20"/>
          <w:lang w:val="en-US"/>
        </w:rPr>
        <w:t>Yoani</w:t>
      </w:r>
      <w:proofErr w:type="spellEnd"/>
      <w:r w:rsidR="00533FFB" w:rsidRPr="00B24750">
        <w:rPr>
          <w:rFonts w:asciiTheme="majorHAnsi" w:hAnsiTheme="majorHAnsi"/>
          <w:sz w:val="20"/>
          <w:szCs w:val="20"/>
          <w:lang w:val="en-US"/>
        </w:rPr>
        <w:t xml:space="preserve"> Sánchez Cordero filed at the domestic level.</w:t>
      </w:r>
      <w:r w:rsidR="0007748F" w:rsidRPr="00B24750">
        <w:rPr>
          <w:rFonts w:asciiTheme="majorHAnsi" w:hAnsiTheme="majorHAnsi"/>
          <w:sz w:val="20"/>
          <w:szCs w:val="20"/>
          <w:lang w:val="en-US"/>
        </w:rPr>
        <w:t xml:space="preserve"> </w:t>
      </w:r>
      <w:r w:rsidR="00785FBA" w:rsidRPr="00B24750">
        <w:rPr>
          <w:rFonts w:asciiTheme="majorHAnsi" w:hAnsiTheme="majorHAnsi"/>
          <w:sz w:val="20"/>
          <w:szCs w:val="20"/>
          <w:lang w:val="en-US"/>
        </w:rPr>
        <w:t xml:space="preserve"> </w:t>
      </w:r>
    </w:p>
    <w:p w14:paraId="552CFCE5" w14:textId="77777777" w:rsidR="00536F65" w:rsidRPr="00B24750" w:rsidRDefault="00536F65"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57B01673" w14:textId="57BC0E3E" w:rsidR="00665E73" w:rsidRPr="00B24750" w:rsidRDefault="000C4210" w:rsidP="009D14E7">
      <w:pPr>
        <w:pStyle w:val="ListParagraph"/>
        <w:numPr>
          <w:ilvl w:val="0"/>
          <w:numId w:val="55"/>
        </w:numPr>
        <w:ind w:firstLine="0"/>
        <w:jc w:val="both"/>
        <w:rPr>
          <w:rFonts w:asciiTheme="majorHAnsi" w:eastAsia="Arial Unicode MS" w:hAnsiTheme="majorHAnsi" w:cs="Times New Roman"/>
          <w:color w:val="auto"/>
          <w:sz w:val="20"/>
          <w:szCs w:val="20"/>
          <w:lang w:eastAsia="en-US"/>
        </w:rPr>
      </w:pPr>
      <w:r w:rsidRPr="00B24750">
        <w:rPr>
          <w:rFonts w:asciiTheme="majorHAnsi" w:hAnsiTheme="majorHAnsi"/>
          <w:sz w:val="20"/>
          <w:szCs w:val="20"/>
        </w:rPr>
        <w:t xml:space="preserve">On November 9, 2012, the IACHR </w:t>
      </w:r>
      <w:r w:rsidR="006E62A8">
        <w:rPr>
          <w:rFonts w:asciiTheme="majorHAnsi" w:hAnsiTheme="majorHAnsi"/>
          <w:sz w:val="20"/>
          <w:szCs w:val="20"/>
        </w:rPr>
        <w:t xml:space="preserve">granted </w:t>
      </w:r>
      <w:r w:rsidRPr="00B24750">
        <w:rPr>
          <w:rFonts w:asciiTheme="majorHAnsi" w:hAnsiTheme="majorHAnsi"/>
          <w:sz w:val="20"/>
          <w:szCs w:val="20"/>
        </w:rPr>
        <w:t>precautionary measures (MC-350-12) on behalf of the alleged victim.</w:t>
      </w:r>
      <w:r w:rsidRPr="00B24750">
        <w:rPr>
          <w:rStyle w:val="FootnoteReference"/>
          <w:rFonts w:asciiTheme="majorHAnsi" w:hAnsiTheme="majorHAnsi"/>
          <w:sz w:val="20"/>
          <w:szCs w:val="20"/>
        </w:rPr>
        <w:footnoteReference w:id="3"/>
      </w:r>
      <w:r w:rsidRPr="00B24750">
        <w:rPr>
          <w:rFonts w:asciiTheme="majorHAnsi" w:hAnsiTheme="majorHAnsi"/>
          <w:sz w:val="20"/>
          <w:szCs w:val="20"/>
        </w:rPr>
        <w:t xml:space="preserve"> The IACHR asked the State of Cuba to take the necessary measures to guarantee the life and physical integrity of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María Sánchez Cordero and her family; to agree with the beneficiary and her representatives on the measures to be taken; and to report on the actions taken to investigate the facts that gave rise to the precautionary measures. </w:t>
      </w:r>
      <w:r w:rsidRPr="00B24750">
        <w:rPr>
          <w:rFonts w:asciiTheme="majorHAnsi" w:eastAsia="Arial Unicode MS" w:hAnsiTheme="majorHAnsi" w:cs="Times New Roman"/>
          <w:color w:val="auto"/>
          <w:sz w:val="20"/>
          <w:szCs w:val="20"/>
          <w:lang w:eastAsia="en-US"/>
        </w:rPr>
        <w:t xml:space="preserve">The State </w:t>
      </w:r>
      <w:r w:rsidR="006E62A8">
        <w:rPr>
          <w:rFonts w:asciiTheme="majorHAnsi" w:eastAsia="Arial Unicode MS" w:hAnsiTheme="majorHAnsi" w:cs="Times New Roman"/>
          <w:color w:val="auto"/>
          <w:sz w:val="20"/>
          <w:szCs w:val="20"/>
          <w:lang w:eastAsia="en-US"/>
        </w:rPr>
        <w:t>took no measures</w:t>
      </w:r>
      <w:r w:rsidRPr="00B24750">
        <w:rPr>
          <w:rFonts w:asciiTheme="majorHAnsi" w:eastAsia="Arial Unicode MS" w:hAnsiTheme="majorHAnsi" w:cs="Times New Roman"/>
          <w:color w:val="auto"/>
          <w:sz w:val="20"/>
          <w:szCs w:val="20"/>
          <w:lang w:eastAsia="en-US"/>
        </w:rPr>
        <w:t>, nor did it send information on the status of the measures to the IACHR</w:t>
      </w:r>
      <w:r w:rsidR="00303BE7" w:rsidRPr="00B24750">
        <w:rPr>
          <w:rFonts w:asciiTheme="majorHAnsi" w:hAnsiTheme="majorHAnsi"/>
          <w:sz w:val="20"/>
          <w:szCs w:val="20"/>
        </w:rPr>
        <w:t>.</w:t>
      </w:r>
      <w:r w:rsidR="0007748F" w:rsidRPr="00B24750">
        <w:rPr>
          <w:rFonts w:asciiTheme="majorHAnsi" w:hAnsiTheme="majorHAnsi"/>
          <w:sz w:val="20"/>
          <w:szCs w:val="20"/>
        </w:rPr>
        <w:t xml:space="preserve"> </w:t>
      </w:r>
      <w:r w:rsidRPr="00B24750">
        <w:rPr>
          <w:rFonts w:asciiTheme="majorHAnsi" w:hAnsiTheme="majorHAnsi"/>
          <w:sz w:val="20"/>
          <w:szCs w:val="20"/>
        </w:rPr>
        <w:t xml:space="preserve"> </w:t>
      </w:r>
    </w:p>
    <w:p w14:paraId="6AC334FA" w14:textId="3A7EC49F" w:rsidR="00536F65" w:rsidRPr="00B24750" w:rsidRDefault="00536F65" w:rsidP="009D14E7">
      <w:pPr>
        <w:jc w:val="both"/>
        <w:rPr>
          <w:rFonts w:asciiTheme="majorHAnsi" w:hAnsiTheme="majorHAnsi"/>
          <w:sz w:val="20"/>
          <w:szCs w:val="20"/>
          <w:lang w:val="en-US"/>
        </w:rPr>
      </w:pPr>
    </w:p>
    <w:p w14:paraId="377E9C48" w14:textId="1392B98D" w:rsidR="0058539F" w:rsidRPr="00B24750" w:rsidRDefault="0058539F" w:rsidP="009D14E7">
      <w:pPr>
        <w:pStyle w:val="parrafos"/>
        <w:numPr>
          <w:ilvl w:val="0"/>
          <w:numId w:val="55"/>
        </w:numPr>
        <w:ind w:firstLine="0"/>
        <w:rPr>
          <w:lang w:val="en-US"/>
        </w:rPr>
      </w:pPr>
      <w:r w:rsidRPr="00B24750">
        <w:rPr>
          <w:lang w:val="en-US"/>
        </w:rPr>
        <w:t xml:space="preserve">On July 23, 2018, the Commission informed the parties that, </w:t>
      </w:r>
      <w:r w:rsidR="006E62A8">
        <w:rPr>
          <w:lang w:val="en-US"/>
        </w:rPr>
        <w:t xml:space="preserve">under </w:t>
      </w:r>
      <w:r w:rsidRPr="00B24750">
        <w:rPr>
          <w:lang w:val="en-US"/>
        </w:rPr>
        <w:t xml:space="preserve">Resolution 1/16, it </w:t>
      </w:r>
      <w:r w:rsidR="00FF76F2">
        <w:rPr>
          <w:lang w:val="en-US"/>
        </w:rPr>
        <w:t>would</w:t>
      </w:r>
      <w:r w:rsidR="006E62A8">
        <w:rPr>
          <w:lang w:val="en-US"/>
        </w:rPr>
        <w:t xml:space="preserve"> defer </w:t>
      </w:r>
      <w:r w:rsidR="00C85206" w:rsidRPr="00B24750">
        <w:rPr>
          <w:lang w:val="en-US"/>
        </w:rPr>
        <w:t>its consideration of</w:t>
      </w:r>
      <w:r w:rsidRPr="00B24750">
        <w:rPr>
          <w:lang w:val="en-US"/>
        </w:rPr>
        <w:t xml:space="preserve"> the admissibility of the matter until the d</w:t>
      </w:r>
      <w:r w:rsidR="00C85206" w:rsidRPr="00B24750">
        <w:rPr>
          <w:lang w:val="en-US"/>
        </w:rPr>
        <w:t>ebate</w:t>
      </w:r>
      <w:r w:rsidRPr="00B24750">
        <w:rPr>
          <w:lang w:val="en-US"/>
        </w:rPr>
        <w:t xml:space="preserve"> and decision on the merits, </w:t>
      </w:r>
      <w:r w:rsidR="00C85206" w:rsidRPr="00B24750">
        <w:rPr>
          <w:lang w:val="en-US"/>
        </w:rPr>
        <w:t>since</w:t>
      </w:r>
      <w:r w:rsidRPr="00B24750">
        <w:rPr>
          <w:lang w:val="en-US"/>
        </w:rPr>
        <w:t xml:space="preserve"> the case related to a precautionary measure in force</w:t>
      </w:r>
      <w:r w:rsidR="00C85206" w:rsidRPr="00B24750">
        <w:rPr>
          <w:lang w:val="en-US"/>
        </w:rPr>
        <w:t>.</w:t>
      </w:r>
      <w:r w:rsidRPr="00B24750">
        <w:rPr>
          <w:rStyle w:val="FootnoteReference"/>
          <w:lang w:val="en-US"/>
        </w:rPr>
        <w:footnoteReference w:id="4"/>
      </w:r>
      <w:r w:rsidRPr="00B24750">
        <w:rPr>
          <w:lang w:val="en-US"/>
        </w:rPr>
        <w:t xml:space="preserve"> The Commission </w:t>
      </w:r>
      <w:r w:rsidR="00C85206" w:rsidRPr="00B24750">
        <w:rPr>
          <w:lang w:val="en-US"/>
        </w:rPr>
        <w:t>made itself available to</w:t>
      </w:r>
      <w:r w:rsidRPr="00B24750">
        <w:rPr>
          <w:lang w:val="en-US"/>
        </w:rPr>
        <w:t xml:space="preserve"> the parties </w:t>
      </w:r>
      <w:r w:rsidR="00C85206" w:rsidRPr="00B24750">
        <w:rPr>
          <w:lang w:val="en-US"/>
        </w:rPr>
        <w:t>to</w:t>
      </w:r>
      <w:r w:rsidRPr="00B24750">
        <w:rPr>
          <w:lang w:val="en-US"/>
        </w:rPr>
        <w:t xml:space="preserve"> initiate a friendly settlement process</w:t>
      </w:r>
      <w:r w:rsidR="00C85206" w:rsidRPr="00B24750">
        <w:rPr>
          <w:lang w:val="en-US"/>
        </w:rPr>
        <w:t>,</w:t>
      </w:r>
      <w:r w:rsidRPr="00B24750">
        <w:rPr>
          <w:lang w:val="en-US"/>
        </w:rPr>
        <w:t xml:space="preserve"> </w:t>
      </w:r>
      <w:r w:rsidR="00C85206" w:rsidRPr="00B24750">
        <w:rPr>
          <w:lang w:val="en-US"/>
        </w:rPr>
        <w:t>but</w:t>
      </w:r>
      <w:r w:rsidRPr="00B24750">
        <w:rPr>
          <w:lang w:val="en-US"/>
        </w:rPr>
        <w:t xml:space="preserve"> the conditions </w:t>
      </w:r>
      <w:r w:rsidR="00C85206" w:rsidRPr="00B24750">
        <w:rPr>
          <w:lang w:val="en-US"/>
        </w:rPr>
        <w:t>were not conducive to</w:t>
      </w:r>
      <w:r w:rsidRPr="00B24750">
        <w:rPr>
          <w:lang w:val="en-US"/>
        </w:rPr>
        <w:t xml:space="preserve"> </w:t>
      </w:r>
      <w:r w:rsidR="00F4094A" w:rsidRPr="00B24750">
        <w:rPr>
          <w:lang w:val="en-US"/>
        </w:rPr>
        <w:t>such a process</w:t>
      </w:r>
      <w:r w:rsidRPr="00B24750">
        <w:rPr>
          <w:lang w:val="en-US"/>
        </w:rPr>
        <w:t>. The parties were given the statutory deadlines to submit their observations on the case. All the information received was duly transmitted between the parties, but the State did not submit observations on admissibility or merits.</w:t>
      </w:r>
      <w:r w:rsidRPr="00B24750">
        <w:rPr>
          <w:rStyle w:val="FootnoteReference"/>
          <w:lang w:val="en-US"/>
        </w:rPr>
        <w:footnoteReference w:id="5"/>
      </w:r>
    </w:p>
    <w:p w14:paraId="2EAB61FA" w14:textId="5FB438A4" w:rsidR="00536F65" w:rsidRPr="00B24750" w:rsidRDefault="00536F65" w:rsidP="009D14E7">
      <w:pPr>
        <w:pStyle w:val="parrafos"/>
        <w:rPr>
          <w:lang w:val="en-US"/>
        </w:rPr>
      </w:pPr>
    </w:p>
    <w:p w14:paraId="1EBAC2CB" w14:textId="1B04FC75" w:rsidR="002C183C" w:rsidRPr="00B24750" w:rsidRDefault="002732C7" w:rsidP="009D14E7">
      <w:pPr>
        <w:pStyle w:val="Heading1"/>
      </w:pPr>
      <w:bookmarkStart w:id="2" w:name="_Toc90392456"/>
      <w:r w:rsidRPr="00B24750">
        <w:t>POSITIONS OF THE PARTIES</w:t>
      </w:r>
      <w:bookmarkEnd w:id="2"/>
    </w:p>
    <w:p w14:paraId="0B67B34C" w14:textId="77777777" w:rsidR="00536F65" w:rsidRPr="00B24750" w:rsidRDefault="00536F65" w:rsidP="009D14E7">
      <w:pPr>
        <w:rPr>
          <w:rFonts w:asciiTheme="majorHAnsi" w:hAnsiTheme="majorHAnsi"/>
          <w:sz w:val="20"/>
          <w:szCs w:val="20"/>
          <w:lang w:val="en-US"/>
        </w:rPr>
      </w:pPr>
    </w:p>
    <w:p w14:paraId="7274E25E" w14:textId="3549F9AC" w:rsidR="002C183C" w:rsidRPr="009D14E7" w:rsidRDefault="00F4094A" w:rsidP="009D14E7">
      <w:pPr>
        <w:pStyle w:val="Heading2"/>
      </w:pPr>
      <w:bookmarkStart w:id="3" w:name="_Toc90392457"/>
      <w:r w:rsidRPr="009D14E7">
        <w:t>The petitioners</w:t>
      </w:r>
      <w:bookmarkEnd w:id="3"/>
    </w:p>
    <w:p w14:paraId="3F2D0B99" w14:textId="77777777" w:rsidR="00536F65" w:rsidRPr="00B24750" w:rsidRDefault="00536F65" w:rsidP="009D14E7">
      <w:pPr>
        <w:pStyle w:val="ListParagraph"/>
        <w:ind w:left="0"/>
        <w:rPr>
          <w:rFonts w:asciiTheme="majorHAnsi" w:hAnsiTheme="majorHAnsi"/>
          <w:sz w:val="20"/>
          <w:szCs w:val="20"/>
        </w:rPr>
      </w:pPr>
    </w:p>
    <w:p w14:paraId="186E216B" w14:textId="77777777" w:rsidR="002A7A7E" w:rsidRDefault="0021016A"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state that, in 2004,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María Sánchez Cordero and a group of other Cubans founded </w:t>
      </w:r>
      <w:proofErr w:type="spellStart"/>
      <w:r w:rsidRPr="00B24750">
        <w:rPr>
          <w:rFonts w:asciiTheme="majorHAnsi" w:hAnsiTheme="majorHAnsi"/>
          <w:i/>
          <w:iCs/>
          <w:sz w:val="20"/>
          <w:szCs w:val="20"/>
          <w:lang w:val="en-US"/>
        </w:rPr>
        <w:t>Consenso</w:t>
      </w:r>
      <w:proofErr w:type="spellEnd"/>
      <w:r w:rsidRPr="00B24750">
        <w:rPr>
          <w:rFonts w:asciiTheme="majorHAnsi" w:hAnsiTheme="majorHAnsi"/>
          <w:sz w:val="20"/>
          <w:szCs w:val="20"/>
          <w:lang w:val="en-US"/>
        </w:rPr>
        <w:t xml:space="preserve">, a magazine for reflection and debate. In April 2007, she </w:t>
      </w:r>
      <w:r w:rsidR="001D4986" w:rsidRPr="00B24750">
        <w:rPr>
          <w:rFonts w:asciiTheme="majorHAnsi" w:hAnsiTheme="majorHAnsi"/>
          <w:sz w:val="20"/>
          <w:szCs w:val="20"/>
          <w:lang w:val="en-US"/>
        </w:rPr>
        <w:t xml:space="preserve">also </w:t>
      </w:r>
      <w:r w:rsidR="006E62A8">
        <w:rPr>
          <w:rFonts w:asciiTheme="majorHAnsi" w:hAnsiTheme="majorHAnsi"/>
          <w:sz w:val="20"/>
          <w:szCs w:val="20"/>
          <w:lang w:val="en-US"/>
        </w:rPr>
        <w:t xml:space="preserve">started </w:t>
      </w:r>
      <w:r w:rsidRPr="00B24750">
        <w:rPr>
          <w:rFonts w:asciiTheme="majorHAnsi" w:hAnsiTheme="majorHAnsi"/>
          <w:sz w:val="20"/>
          <w:szCs w:val="20"/>
          <w:lang w:val="en-US"/>
        </w:rPr>
        <w:t xml:space="preserve">a blog called </w:t>
      </w:r>
      <w:proofErr w:type="spellStart"/>
      <w:r w:rsidRPr="00B24750">
        <w:rPr>
          <w:rFonts w:asciiTheme="majorHAnsi" w:hAnsiTheme="majorHAnsi"/>
          <w:i/>
          <w:iCs/>
          <w:sz w:val="20"/>
          <w:szCs w:val="20"/>
          <w:lang w:val="en-US"/>
        </w:rPr>
        <w:t>Generación</w:t>
      </w:r>
      <w:proofErr w:type="spellEnd"/>
      <w:r w:rsidRPr="00B24750">
        <w:rPr>
          <w:rFonts w:asciiTheme="majorHAnsi" w:hAnsiTheme="majorHAnsi"/>
          <w:i/>
          <w:iCs/>
          <w:sz w:val="20"/>
          <w:szCs w:val="20"/>
          <w:lang w:val="en-US"/>
        </w:rPr>
        <w:t xml:space="preserve"> Y</w:t>
      </w:r>
      <w:r w:rsidRPr="00B24750">
        <w:rPr>
          <w:rFonts w:asciiTheme="majorHAnsi" w:hAnsiTheme="majorHAnsi"/>
          <w:sz w:val="20"/>
          <w:szCs w:val="20"/>
          <w:lang w:val="en-US"/>
        </w:rPr>
        <w:t xml:space="preserve">, which was critical of the Cuban regime and served as a space in which she could </w:t>
      </w:r>
      <w:r w:rsidR="00D671FE" w:rsidRPr="00B24750">
        <w:rPr>
          <w:rFonts w:asciiTheme="majorHAnsi" w:hAnsiTheme="majorHAnsi"/>
          <w:sz w:val="20"/>
          <w:szCs w:val="20"/>
          <w:lang w:val="en-US"/>
        </w:rPr>
        <w:t>say</w:t>
      </w:r>
      <w:r w:rsidRPr="00B24750">
        <w:rPr>
          <w:rFonts w:asciiTheme="majorHAnsi" w:hAnsiTheme="majorHAnsi"/>
          <w:sz w:val="20"/>
          <w:szCs w:val="20"/>
          <w:lang w:val="en-US"/>
        </w:rPr>
        <w:t xml:space="preserve"> things she was not allowed to express through civic action. </w:t>
      </w:r>
      <w:r w:rsidR="001D4986" w:rsidRPr="00B24750">
        <w:rPr>
          <w:rFonts w:asciiTheme="majorHAnsi" w:hAnsiTheme="majorHAnsi"/>
          <w:sz w:val="20"/>
          <w:szCs w:val="20"/>
          <w:lang w:val="en-US"/>
        </w:rPr>
        <w:t>The petitioners assert that h</w:t>
      </w:r>
      <w:r w:rsidRPr="00B24750">
        <w:rPr>
          <w:rFonts w:asciiTheme="majorHAnsi" w:hAnsiTheme="majorHAnsi"/>
          <w:sz w:val="20"/>
          <w:szCs w:val="20"/>
          <w:lang w:val="en-US"/>
        </w:rPr>
        <w:t>er blog gained worldwide recognition</w:t>
      </w:r>
      <w:r w:rsidR="00665E73" w:rsidRPr="00B24750">
        <w:rPr>
          <w:rFonts w:asciiTheme="majorHAnsi" w:hAnsiTheme="majorHAnsi"/>
          <w:sz w:val="20"/>
          <w:szCs w:val="20"/>
          <w:lang w:val="en-US"/>
        </w:rPr>
        <w:t>.</w:t>
      </w:r>
    </w:p>
    <w:p w14:paraId="1ADCC970" w14:textId="153474B6" w:rsidR="00887ECA" w:rsidRPr="00B24750" w:rsidRDefault="00665E73"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r w:rsidRPr="00B24750">
        <w:rPr>
          <w:rFonts w:asciiTheme="majorHAnsi" w:hAnsiTheme="majorHAnsi"/>
          <w:sz w:val="20"/>
          <w:szCs w:val="20"/>
          <w:lang w:val="en-US"/>
        </w:rPr>
        <w:t xml:space="preserve"> </w:t>
      </w:r>
    </w:p>
    <w:p w14:paraId="6501C5CD" w14:textId="3357FEA0" w:rsidR="00D05F2F" w:rsidRPr="00B24750" w:rsidRDefault="00F93B52"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claim that, since March 2008, the Cuban government has used internet filters to block access to the </w:t>
      </w:r>
      <w:proofErr w:type="spellStart"/>
      <w:r w:rsidRPr="00B24750">
        <w:rPr>
          <w:rFonts w:asciiTheme="majorHAnsi" w:hAnsiTheme="majorHAnsi"/>
          <w:i/>
          <w:iCs/>
          <w:sz w:val="20"/>
          <w:szCs w:val="20"/>
          <w:lang w:val="en-US"/>
        </w:rPr>
        <w:t>Generación</w:t>
      </w:r>
      <w:proofErr w:type="spellEnd"/>
      <w:r w:rsidRPr="00B24750">
        <w:rPr>
          <w:rFonts w:asciiTheme="majorHAnsi" w:hAnsiTheme="majorHAnsi"/>
          <w:i/>
          <w:iCs/>
          <w:sz w:val="20"/>
          <w:szCs w:val="20"/>
          <w:lang w:val="en-US"/>
        </w:rPr>
        <w:t xml:space="preserve"> Y</w:t>
      </w:r>
      <w:r w:rsidRPr="00B24750">
        <w:rPr>
          <w:rFonts w:asciiTheme="majorHAnsi" w:hAnsiTheme="majorHAnsi"/>
          <w:sz w:val="20"/>
          <w:szCs w:val="20"/>
          <w:lang w:val="en-US"/>
        </w:rPr>
        <w:t xml:space="preserve"> blog from public internet sites in Cuba. Because of this, the alleged victim needs “the solidarity of friends outside the island to post her texts on the internet.</w:t>
      </w:r>
      <w:r w:rsidR="002C183C" w:rsidRPr="00B24750">
        <w:rPr>
          <w:rFonts w:asciiTheme="majorHAnsi" w:hAnsiTheme="majorHAnsi"/>
          <w:sz w:val="20"/>
          <w:szCs w:val="20"/>
          <w:lang w:val="en-US"/>
        </w:rPr>
        <w:t xml:space="preserve">” </w:t>
      </w:r>
    </w:p>
    <w:p w14:paraId="66A5D02B" w14:textId="40F5E190" w:rsidR="00536F65" w:rsidRPr="00B24750" w:rsidRDefault="00536F65"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6BA57F5B" w14:textId="0E77E1E1" w:rsidR="00BB2233" w:rsidRPr="00B24750" w:rsidRDefault="005A3A9A"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lastRenderedPageBreak/>
        <w:t xml:space="preserve">They also indicate that the alleged victim won several awards for her work on the blog, which she has been unable to collect personally “because she has been denied the right to leave her own country.” In this regard, they report that between 2007 and 2012 Ms. </w:t>
      </w:r>
      <w:r w:rsidR="00540A0F" w:rsidRPr="00B24750">
        <w:rPr>
          <w:rFonts w:asciiTheme="majorHAnsi" w:hAnsiTheme="majorHAnsi"/>
          <w:sz w:val="20"/>
          <w:szCs w:val="20"/>
          <w:lang w:val="en-US"/>
        </w:rPr>
        <w:t>Sánchez</w:t>
      </w:r>
      <w:r w:rsidRPr="00B24750">
        <w:rPr>
          <w:rFonts w:asciiTheme="majorHAnsi" w:hAnsiTheme="majorHAnsi"/>
          <w:sz w:val="20"/>
          <w:szCs w:val="20"/>
          <w:lang w:val="en-US"/>
        </w:rPr>
        <w:t xml:space="preserve"> requested permission to leave Cuba on 20 occasions and that </w:t>
      </w:r>
      <w:r w:rsidR="00EF1678" w:rsidRPr="00B24750">
        <w:rPr>
          <w:rFonts w:asciiTheme="majorHAnsi" w:hAnsiTheme="majorHAnsi"/>
          <w:sz w:val="20"/>
          <w:szCs w:val="20"/>
          <w:lang w:val="en-US"/>
        </w:rPr>
        <w:t>every time</w:t>
      </w:r>
      <w:r w:rsidRPr="00B24750">
        <w:rPr>
          <w:rFonts w:asciiTheme="majorHAnsi" w:hAnsiTheme="majorHAnsi"/>
          <w:sz w:val="20"/>
          <w:szCs w:val="20"/>
          <w:lang w:val="en-US"/>
        </w:rPr>
        <w:t xml:space="preserve"> the </w:t>
      </w:r>
      <w:r w:rsidR="00EF1678" w:rsidRPr="00B24750">
        <w:rPr>
          <w:rFonts w:asciiTheme="majorHAnsi" w:hAnsiTheme="majorHAnsi"/>
          <w:sz w:val="20"/>
          <w:szCs w:val="20"/>
          <w:lang w:val="en-US"/>
        </w:rPr>
        <w:t>government either denied permission</w:t>
      </w:r>
      <w:r w:rsidRPr="00B24750">
        <w:rPr>
          <w:rFonts w:asciiTheme="majorHAnsi" w:hAnsiTheme="majorHAnsi"/>
          <w:sz w:val="20"/>
          <w:szCs w:val="20"/>
          <w:lang w:val="en-US"/>
        </w:rPr>
        <w:t xml:space="preserve"> or </w:t>
      </w:r>
      <w:r w:rsidR="00EF1678" w:rsidRPr="00B24750">
        <w:rPr>
          <w:rFonts w:asciiTheme="majorHAnsi" w:hAnsiTheme="majorHAnsi"/>
          <w:sz w:val="20"/>
          <w:szCs w:val="20"/>
          <w:lang w:val="en-US"/>
        </w:rPr>
        <w:t>delayed its</w:t>
      </w:r>
      <w:r w:rsidRPr="00B24750">
        <w:rPr>
          <w:rFonts w:asciiTheme="majorHAnsi" w:hAnsiTheme="majorHAnsi"/>
          <w:sz w:val="20"/>
          <w:szCs w:val="20"/>
          <w:lang w:val="en-US"/>
        </w:rPr>
        <w:t xml:space="preserve"> response past the </w:t>
      </w:r>
      <w:r w:rsidR="00877628" w:rsidRPr="00B24750">
        <w:rPr>
          <w:rFonts w:asciiTheme="majorHAnsi" w:hAnsiTheme="majorHAnsi"/>
          <w:sz w:val="20"/>
          <w:szCs w:val="20"/>
          <w:lang w:val="en-US"/>
        </w:rPr>
        <w:t>valid</w:t>
      </w:r>
      <w:r w:rsidRPr="00B24750">
        <w:rPr>
          <w:rFonts w:asciiTheme="majorHAnsi" w:hAnsiTheme="majorHAnsi"/>
          <w:sz w:val="20"/>
          <w:szCs w:val="20"/>
          <w:lang w:val="en-US"/>
        </w:rPr>
        <w:t xml:space="preserve"> date of the respective visa.</w:t>
      </w:r>
    </w:p>
    <w:p w14:paraId="75B46BBA" w14:textId="77777777" w:rsidR="005A3A9A" w:rsidRPr="00B24750" w:rsidRDefault="005A3A9A"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17D976C4" w14:textId="2821346E" w:rsidR="00BB2233" w:rsidRPr="00B24750" w:rsidRDefault="005A6612"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The petitioner</w:t>
      </w:r>
      <w:r w:rsidR="00F1358A">
        <w:rPr>
          <w:rFonts w:asciiTheme="majorHAnsi" w:hAnsiTheme="majorHAnsi"/>
          <w:sz w:val="20"/>
          <w:szCs w:val="20"/>
          <w:lang w:val="en-US"/>
        </w:rPr>
        <w:t>s</w:t>
      </w:r>
      <w:r w:rsidRPr="00B24750">
        <w:rPr>
          <w:rFonts w:asciiTheme="majorHAnsi" w:hAnsiTheme="majorHAnsi"/>
          <w:sz w:val="20"/>
          <w:szCs w:val="20"/>
          <w:lang w:val="en-US"/>
        </w:rPr>
        <w:t xml:space="preserve"> additionally </w:t>
      </w:r>
      <w:r w:rsidR="001E0C91" w:rsidRPr="00B24750">
        <w:rPr>
          <w:rFonts w:asciiTheme="majorHAnsi" w:hAnsiTheme="majorHAnsi"/>
          <w:sz w:val="20"/>
          <w:szCs w:val="20"/>
          <w:lang w:val="en-US"/>
        </w:rPr>
        <w:t>state</w:t>
      </w:r>
      <w:r w:rsidRPr="00B24750">
        <w:rPr>
          <w:rFonts w:asciiTheme="majorHAnsi" w:hAnsiTheme="majorHAnsi"/>
          <w:sz w:val="20"/>
          <w:szCs w:val="20"/>
          <w:lang w:val="en-US"/>
        </w:rPr>
        <w:t xml:space="preserve"> that</w:t>
      </w:r>
      <w:r w:rsidR="000D470D" w:rsidRPr="00B24750">
        <w:rPr>
          <w:rFonts w:asciiTheme="majorHAnsi" w:hAnsiTheme="majorHAnsi"/>
          <w:sz w:val="20"/>
          <w:szCs w:val="20"/>
          <w:lang w:val="en-US"/>
        </w:rPr>
        <w:t>,</w:t>
      </w:r>
      <w:r w:rsidRPr="00B24750">
        <w:rPr>
          <w:rFonts w:asciiTheme="majorHAnsi" w:hAnsiTheme="majorHAnsi"/>
          <w:sz w:val="20"/>
          <w:szCs w:val="20"/>
          <w:lang w:val="en-US"/>
        </w:rPr>
        <w:t xml:space="preserve"> since late 2007, Ms. Sánchez has been the victim of various acts of persecution and physical a</w:t>
      </w:r>
      <w:r w:rsidR="000D470D" w:rsidRPr="00B24750">
        <w:rPr>
          <w:rFonts w:asciiTheme="majorHAnsi" w:hAnsiTheme="majorHAnsi"/>
          <w:sz w:val="20"/>
          <w:szCs w:val="20"/>
          <w:lang w:val="en-US"/>
        </w:rPr>
        <w:t>ssaults</w:t>
      </w:r>
      <w:r w:rsidRPr="00B24750">
        <w:rPr>
          <w:rFonts w:asciiTheme="majorHAnsi" w:hAnsiTheme="majorHAnsi"/>
          <w:sz w:val="20"/>
          <w:szCs w:val="20"/>
          <w:lang w:val="en-US"/>
        </w:rPr>
        <w:t xml:space="preserve"> by police forces and social groups sympathetic to the Cuban regime</w:t>
      </w:r>
      <w:r w:rsidR="000D470D" w:rsidRPr="00B24750">
        <w:rPr>
          <w:rFonts w:asciiTheme="majorHAnsi" w:hAnsiTheme="majorHAnsi"/>
          <w:sz w:val="20"/>
          <w:szCs w:val="20"/>
          <w:lang w:val="en-US"/>
        </w:rPr>
        <w:t xml:space="preserve"> because she has exercised her right to freedom of expression through her blog </w:t>
      </w:r>
      <w:proofErr w:type="spellStart"/>
      <w:r w:rsidR="000D470D" w:rsidRPr="00B24750">
        <w:rPr>
          <w:rFonts w:asciiTheme="majorHAnsi" w:hAnsiTheme="majorHAnsi"/>
          <w:i/>
          <w:iCs/>
          <w:sz w:val="20"/>
          <w:szCs w:val="20"/>
          <w:lang w:val="en-US"/>
        </w:rPr>
        <w:t>Generación</w:t>
      </w:r>
      <w:proofErr w:type="spellEnd"/>
      <w:r w:rsidR="000D470D" w:rsidRPr="00B24750">
        <w:rPr>
          <w:rFonts w:asciiTheme="majorHAnsi" w:hAnsiTheme="majorHAnsi"/>
          <w:i/>
          <w:iCs/>
          <w:sz w:val="20"/>
          <w:szCs w:val="20"/>
          <w:lang w:val="en-US"/>
        </w:rPr>
        <w:t xml:space="preserve"> Y</w:t>
      </w:r>
      <w:r w:rsidRPr="00B24750">
        <w:rPr>
          <w:rFonts w:asciiTheme="majorHAnsi" w:hAnsiTheme="majorHAnsi"/>
          <w:sz w:val="20"/>
          <w:szCs w:val="20"/>
          <w:lang w:val="en-US"/>
        </w:rPr>
        <w:t xml:space="preserve">. The petitioners </w:t>
      </w:r>
      <w:r w:rsidR="000D470D" w:rsidRPr="00B24750">
        <w:rPr>
          <w:rFonts w:asciiTheme="majorHAnsi" w:hAnsiTheme="majorHAnsi"/>
          <w:sz w:val="20"/>
          <w:szCs w:val="20"/>
          <w:lang w:val="en-US"/>
        </w:rPr>
        <w:t>allege that these</w:t>
      </w:r>
      <w:r w:rsidRPr="00B24750">
        <w:rPr>
          <w:rFonts w:asciiTheme="majorHAnsi" w:hAnsiTheme="majorHAnsi"/>
          <w:sz w:val="20"/>
          <w:szCs w:val="20"/>
          <w:lang w:val="en-US"/>
        </w:rPr>
        <w:t xml:space="preserve"> acts of intimidation and persecution include the </w:t>
      </w:r>
      <w:r w:rsidR="000D470D" w:rsidRPr="00B24750">
        <w:rPr>
          <w:rFonts w:asciiTheme="majorHAnsi" w:hAnsiTheme="majorHAnsi"/>
          <w:sz w:val="20"/>
          <w:szCs w:val="20"/>
          <w:lang w:val="en-US"/>
        </w:rPr>
        <w:t>wiretapping</w:t>
      </w:r>
      <w:r w:rsidRPr="00B24750">
        <w:rPr>
          <w:rFonts w:asciiTheme="majorHAnsi" w:hAnsiTheme="majorHAnsi"/>
          <w:sz w:val="20"/>
          <w:szCs w:val="20"/>
          <w:lang w:val="en-US"/>
        </w:rPr>
        <w:t xml:space="preserve"> of her telephones; intimidation of her family </w:t>
      </w:r>
      <w:r w:rsidR="000D470D" w:rsidRPr="00B24750">
        <w:rPr>
          <w:rFonts w:asciiTheme="majorHAnsi" w:hAnsiTheme="majorHAnsi"/>
          <w:sz w:val="20"/>
          <w:szCs w:val="20"/>
          <w:lang w:val="en-US"/>
        </w:rPr>
        <w:t>and physical surroundings</w:t>
      </w:r>
      <w:r w:rsidRPr="00B24750">
        <w:rPr>
          <w:rFonts w:asciiTheme="majorHAnsi" w:hAnsiTheme="majorHAnsi"/>
          <w:sz w:val="20"/>
          <w:szCs w:val="20"/>
          <w:lang w:val="en-US"/>
        </w:rPr>
        <w:t xml:space="preserve">; surveillance of her residence; pressure on her social </w:t>
      </w:r>
      <w:r w:rsidR="000D470D" w:rsidRPr="00B24750">
        <w:rPr>
          <w:rFonts w:asciiTheme="majorHAnsi" w:hAnsiTheme="majorHAnsi"/>
          <w:sz w:val="20"/>
          <w:szCs w:val="20"/>
          <w:lang w:val="en-US"/>
        </w:rPr>
        <w:t>circle</w:t>
      </w:r>
      <w:r w:rsidRPr="00B24750">
        <w:rPr>
          <w:rFonts w:asciiTheme="majorHAnsi" w:hAnsiTheme="majorHAnsi"/>
          <w:sz w:val="20"/>
          <w:szCs w:val="20"/>
          <w:lang w:val="en-US"/>
        </w:rPr>
        <w:t xml:space="preserve"> to </w:t>
      </w:r>
      <w:r w:rsidR="000D470D" w:rsidRPr="00B24750">
        <w:rPr>
          <w:rFonts w:asciiTheme="majorHAnsi" w:hAnsiTheme="majorHAnsi"/>
          <w:sz w:val="20"/>
          <w:szCs w:val="20"/>
          <w:lang w:val="en-US"/>
        </w:rPr>
        <w:t>cut ties with her</w:t>
      </w:r>
      <w:r w:rsidRPr="00B24750">
        <w:rPr>
          <w:rFonts w:asciiTheme="majorHAnsi" w:hAnsiTheme="majorHAnsi"/>
          <w:sz w:val="20"/>
          <w:szCs w:val="20"/>
          <w:lang w:val="en-US"/>
        </w:rPr>
        <w:t xml:space="preserve">; a smear campaign on television; direct verbal threats; restriction of access to public places, mainly cultural </w:t>
      </w:r>
      <w:r w:rsidR="000D470D" w:rsidRPr="00B24750">
        <w:rPr>
          <w:rFonts w:asciiTheme="majorHAnsi" w:hAnsiTheme="majorHAnsi"/>
          <w:sz w:val="20"/>
          <w:szCs w:val="20"/>
          <w:lang w:val="en-US"/>
        </w:rPr>
        <w:t>and public speaking venues</w:t>
      </w:r>
      <w:r w:rsidRPr="00B24750">
        <w:rPr>
          <w:rFonts w:asciiTheme="majorHAnsi" w:hAnsiTheme="majorHAnsi"/>
          <w:sz w:val="20"/>
          <w:szCs w:val="20"/>
          <w:lang w:val="en-US"/>
        </w:rPr>
        <w:t>; and the design of a</w:t>
      </w:r>
      <w:r w:rsidR="000D470D" w:rsidRPr="00B24750">
        <w:rPr>
          <w:rFonts w:asciiTheme="majorHAnsi" w:hAnsiTheme="majorHAnsi"/>
          <w:sz w:val="20"/>
          <w:szCs w:val="20"/>
          <w:lang w:val="en-US"/>
        </w:rPr>
        <w:t>n online</w:t>
      </w:r>
      <w:r w:rsidRPr="00B24750">
        <w:rPr>
          <w:rFonts w:asciiTheme="majorHAnsi" w:hAnsiTheme="majorHAnsi"/>
          <w:sz w:val="20"/>
          <w:szCs w:val="20"/>
          <w:lang w:val="en-US"/>
        </w:rPr>
        <w:t xml:space="preserve"> media harassment campaign, in addition to the denial of due process in her attempt</w:t>
      </w:r>
      <w:r w:rsidR="000D470D" w:rsidRPr="00B24750">
        <w:rPr>
          <w:rFonts w:asciiTheme="majorHAnsi" w:hAnsiTheme="majorHAnsi"/>
          <w:sz w:val="20"/>
          <w:szCs w:val="20"/>
          <w:lang w:val="en-US"/>
        </w:rPr>
        <w:t>s</w:t>
      </w:r>
      <w:r w:rsidRPr="00B24750">
        <w:rPr>
          <w:rFonts w:asciiTheme="majorHAnsi" w:hAnsiTheme="majorHAnsi"/>
          <w:sz w:val="20"/>
          <w:szCs w:val="20"/>
          <w:lang w:val="en-US"/>
        </w:rPr>
        <w:t xml:space="preserve"> to gain access to justice</w:t>
      </w:r>
      <w:r w:rsidR="00BB2233" w:rsidRPr="00B24750">
        <w:rPr>
          <w:rFonts w:asciiTheme="majorHAnsi" w:hAnsiTheme="majorHAnsi"/>
          <w:sz w:val="20"/>
          <w:szCs w:val="20"/>
          <w:lang w:val="en-US"/>
        </w:rPr>
        <w:t xml:space="preserve">. </w:t>
      </w:r>
      <w:r w:rsidR="00DA684A" w:rsidRPr="00B24750">
        <w:rPr>
          <w:rFonts w:asciiTheme="majorHAnsi" w:hAnsiTheme="majorHAnsi"/>
          <w:sz w:val="20"/>
          <w:szCs w:val="20"/>
          <w:lang w:val="en-US"/>
        </w:rPr>
        <w:t>They also report that her husband, Ronaldo Escobar, has been assaulted, intimidated, and detained by people sympathetic to the Cuban regime</w:t>
      </w:r>
      <w:r w:rsidR="00BB2233" w:rsidRPr="00B24750">
        <w:rPr>
          <w:rFonts w:asciiTheme="majorHAnsi" w:hAnsiTheme="majorHAnsi"/>
          <w:sz w:val="20"/>
          <w:szCs w:val="20"/>
          <w:lang w:val="en-US"/>
        </w:rPr>
        <w:t xml:space="preserve">. </w:t>
      </w:r>
    </w:p>
    <w:p w14:paraId="468D05A4" w14:textId="77777777" w:rsidR="00BB2233" w:rsidRPr="00B24750" w:rsidRDefault="00BB2233" w:rsidP="009D14E7">
      <w:pPr>
        <w:pStyle w:val="ListParagraph"/>
        <w:ind w:left="0"/>
        <w:rPr>
          <w:rFonts w:asciiTheme="majorHAnsi" w:hAnsiTheme="majorHAnsi"/>
          <w:sz w:val="20"/>
          <w:szCs w:val="20"/>
        </w:rPr>
      </w:pPr>
    </w:p>
    <w:p w14:paraId="2D6953D0" w14:textId="7D2EEF13" w:rsidR="00BB2233" w:rsidRPr="00B24750" w:rsidRDefault="006B0F6E"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According to the petitioners, the alleged victim was arbitrarily detained for </w:t>
      </w:r>
      <w:r w:rsidR="00FF76F2">
        <w:rPr>
          <w:rFonts w:asciiTheme="majorHAnsi" w:hAnsiTheme="majorHAnsi"/>
          <w:sz w:val="20"/>
          <w:szCs w:val="20"/>
          <w:lang w:val="en-US"/>
        </w:rPr>
        <w:t>brief</w:t>
      </w:r>
      <w:r w:rsidRPr="00B24750">
        <w:rPr>
          <w:rFonts w:asciiTheme="majorHAnsi" w:hAnsiTheme="majorHAnsi"/>
          <w:sz w:val="20"/>
          <w:szCs w:val="20"/>
          <w:lang w:val="en-US"/>
        </w:rPr>
        <w:t xml:space="preserve"> periods </w:t>
      </w:r>
      <w:r w:rsidR="00FF76F2">
        <w:rPr>
          <w:rFonts w:asciiTheme="majorHAnsi" w:hAnsiTheme="majorHAnsi"/>
          <w:sz w:val="20"/>
          <w:szCs w:val="20"/>
          <w:lang w:val="en-US"/>
        </w:rPr>
        <w:t>on three occasions</w:t>
      </w:r>
      <w:r w:rsidR="006E62A8">
        <w:rPr>
          <w:rFonts w:asciiTheme="majorHAnsi" w:hAnsiTheme="majorHAnsi"/>
          <w:sz w:val="20"/>
          <w:szCs w:val="20"/>
          <w:lang w:val="en-US"/>
        </w:rPr>
        <w:t xml:space="preserve"> </w:t>
      </w:r>
      <w:r w:rsidRPr="00B24750">
        <w:rPr>
          <w:rFonts w:asciiTheme="majorHAnsi" w:hAnsiTheme="majorHAnsi"/>
          <w:sz w:val="20"/>
          <w:szCs w:val="20"/>
          <w:lang w:val="en-US"/>
        </w:rPr>
        <w:t xml:space="preserve">by </w:t>
      </w:r>
      <w:r w:rsidR="00784521" w:rsidRPr="00B24750">
        <w:rPr>
          <w:rFonts w:asciiTheme="majorHAnsi" w:hAnsiTheme="majorHAnsi"/>
          <w:sz w:val="20"/>
          <w:szCs w:val="20"/>
          <w:lang w:val="en-US"/>
        </w:rPr>
        <w:t>“</w:t>
      </w:r>
      <w:r w:rsidRPr="00B24750">
        <w:rPr>
          <w:rFonts w:asciiTheme="majorHAnsi" w:hAnsiTheme="majorHAnsi"/>
          <w:sz w:val="20"/>
          <w:szCs w:val="20"/>
          <w:lang w:val="en-US"/>
        </w:rPr>
        <w:t xml:space="preserve">public authorities </w:t>
      </w:r>
      <w:r w:rsidR="006E62A8">
        <w:rPr>
          <w:rFonts w:asciiTheme="majorHAnsi" w:hAnsiTheme="majorHAnsi"/>
          <w:sz w:val="20"/>
          <w:szCs w:val="20"/>
          <w:lang w:val="en-US"/>
        </w:rPr>
        <w:t xml:space="preserve">to intimidate her and attempt </w:t>
      </w:r>
      <w:r w:rsidRPr="00B24750">
        <w:rPr>
          <w:rFonts w:asciiTheme="majorHAnsi" w:hAnsiTheme="majorHAnsi"/>
          <w:sz w:val="20"/>
          <w:szCs w:val="20"/>
          <w:lang w:val="en-US"/>
        </w:rPr>
        <w:t>to restrict her freedom of expression</w:t>
      </w:r>
      <w:r w:rsidR="00784521" w:rsidRPr="00B24750">
        <w:rPr>
          <w:rFonts w:asciiTheme="majorHAnsi" w:hAnsiTheme="majorHAnsi"/>
          <w:sz w:val="20"/>
          <w:szCs w:val="20"/>
          <w:lang w:val="en-US"/>
        </w:rPr>
        <w:t>,”</w:t>
      </w:r>
      <w:r w:rsidRPr="00B24750">
        <w:rPr>
          <w:rFonts w:asciiTheme="majorHAnsi" w:hAnsiTheme="majorHAnsi"/>
          <w:sz w:val="20"/>
          <w:szCs w:val="20"/>
          <w:lang w:val="en-US"/>
        </w:rPr>
        <w:t xml:space="preserve"> and was subjected to cruel, inhuman</w:t>
      </w:r>
      <w:r w:rsidR="00784521" w:rsidRPr="00B24750">
        <w:rPr>
          <w:rFonts w:asciiTheme="majorHAnsi" w:hAnsiTheme="majorHAnsi"/>
          <w:sz w:val="20"/>
          <w:szCs w:val="20"/>
          <w:lang w:val="en-US"/>
        </w:rPr>
        <w:t>,</w:t>
      </w:r>
      <w:r w:rsidRPr="00B24750">
        <w:rPr>
          <w:rFonts w:asciiTheme="majorHAnsi" w:hAnsiTheme="majorHAnsi"/>
          <w:sz w:val="20"/>
          <w:szCs w:val="20"/>
          <w:lang w:val="en-US"/>
        </w:rPr>
        <w:t xml:space="preserve"> and degrading treatment. They </w:t>
      </w:r>
      <w:r w:rsidR="00784521" w:rsidRPr="00B24750">
        <w:rPr>
          <w:rFonts w:asciiTheme="majorHAnsi" w:hAnsiTheme="majorHAnsi"/>
          <w:sz w:val="20"/>
          <w:szCs w:val="20"/>
          <w:lang w:val="en-US"/>
        </w:rPr>
        <w:t>indicate</w:t>
      </w:r>
      <w:r w:rsidRPr="00B24750">
        <w:rPr>
          <w:rFonts w:asciiTheme="majorHAnsi" w:hAnsiTheme="majorHAnsi"/>
          <w:sz w:val="20"/>
          <w:szCs w:val="20"/>
          <w:lang w:val="en-US"/>
        </w:rPr>
        <w:t xml:space="preserve"> that </w:t>
      </w:r>
      <w:r w:rsidR="00784521" w:rsidRPr="00B24750">
        <w:rPr>
          <w:rFonts w:asciiTheme="majorHAnsi" w:hAnsiTheme="majorHAnsi"/>
          <w:sz w:val="20"/>
          <w:szCs w:val="20"/>
          <w:lang w:val="en-US"/>
        </w:rPr>
        <w:t>she was first arbitrarily detained</w:t>
      </w:r>
      <w:r w:rsidRPr="00B24750">
        <w:rPr>
          <w:rFonts w:asciiTheme="majorHAnsi" w:hAnsiTheme="majorHAnsi"/>
          <w:sz w:val="20"/>
          <w:szCs w:val="20"/>
          <w:lang w:val="en-US"/>
        </w:rPr>
        <w:t xml:space="preserve"> on November 6, 2009, by persons in civilian clothes; the second </w:t>
      </w:r>
      <w:r w:rsidR="00784521" w:rsidRPr="00B24750">
        <w:rPr>
          <w:rFonts w:asciiTheme="majorHAnsi" w:hAnsiTheme="majorHAnsi"/>
          <w:sz w:val="20"/>
          <w:szCs w:val="20"/>
          <w:lang w:val="en-US"/>
        </w:rPr>
        <w:t xml:space="preserve">time was </w:t>
      </w:r>
      <w:r w:rsidRPr="00B24750">
        <w:rPr>
          <w:rFonts w:asciiTheme="majorHAnsi" w:hAnsiTheme="majorHAnsi"/>
          <w:sz w:val="20"/>
          <w:szCs w:val="20"/>
          <w:lang w:val="en-US"/>
        </w:rPr>
        <w:t xml:space="preserve">on February 24, 2010, </w:t>
      </w:r>
      <w:r w:rsidR="00784521" w:rsidRPr="00B24750">
        <w:rPr>
          <w:rFonts w:asciiTheme="majorHAnsi" w:hAnsiTheme="majorHAnsi"/>
          <w:sz w:val="20"/>
          <w:szCs w:val="20"/>
          <w:lang w:val="en-US"/>
        </w:rPr>
        <w:t xml:space="preserve">when she was detained </w:t>
      </w:r>
      <w:r w:rsidRPr="00B24750">
        <w:rPr>
          <w:rFonts w:asciiTheme="majorHAnsi" w:hAnsiTheme="majorHAnsi"/>
          <w:sz w:val="20"/>
          <w:szCs w:val="20"/>
          <w:lang w:val="en-US"/>
        </w:rPr>
        <w:t xml:space="preserve">by police officers; and the third </w:t>
      </w:r>
      <w:r w:rsidR="00784521" w:rsidRPr="00B24750">
        <w:rPr>
          <w:rFonts w:asciiTheme="majorHAnsi" w:hAnsiTheme="majorHAnsi"/>
          <w:sz w:val="20"/>
          <w:szCs w:val="20"/>
          <w:lang w:val="en-US"/>
        </w:rPr>
        <w:t xml:space="preserve">time was </w:t>
      </w:r>
      <w:r w:rsidRPr="00B24750">
        <w:rPr>
          <w:rFonts w:asciiTheme="majorHAnsi" w:hAnsiTheme="majorHAnsi"/>
          <w:sz w:val="20"/>
          <w:szCs w:val="20"/>
          <w:lang w:val="en-US"/>
        </w:rPr>
        <w:t xml:space="preserve">on October 4, 2012, </w:t>
      </w:r>
      <w:r w:rsidR="00784521" w:rsidRPr="00B24750">
        <w:rPr>
          <w:rFonts w:asciiTheme="majorHAnsi" w:hAnsiTheme="majorHAnsi"/>
          <w:sz w:val="20"/>
          <w:szCs w:val="20"/>
          <w:lang w:val="en-US"/>
        </w:rPr>
        <w:t xml:space="preserve">when she was </w:t>
      </w:r>
      <w:r w:rsidRPr="00B24750">
        <w:rPr>
          <w:rFonts w:asciiTheme="majorHAnsi" w:hAnsiTheme="majorHAnsi"/>
          <w:sz w:val="20"/>
          <w:szCs w:val="20"/>
          <w:lang w:val="en-US"/>
        </w:rPr>
        <w:t xml:space="preserve">also </w:t>
      </w:r>
      <w:r w:rsidR="00784521" w:rsidRPr="00B24750">
        <w:rPr>
          <w:rFonts w:asciiTheme="majorHAnsi" w:hAnsiTheme="majorHAnsi"/>
          <w:sz w:val="20"/>
          <w:szCs w:val="20"/>
          <w:lang w:val="en-US"/>
        </w:rPr>
        <w:t xml:space="preserve">detained </w:t>
      </w:r>
      <w:r w:rsidRPr="00B24750">
        <w:rPr>
          <w:rFonts w:asciiTheme="majorHAnsi" w:hAnsiTheme="majorHAnsi"/>
          <w:sz w:val="20"/>
          <w:szCs w:val="20"/>
          <w:lang w:val="en-US"/>
        </w:rPr>
        <w:t>by State agents. The petitioner</w:t>
      </w:r>
      <w:r w:rsidR="00EB0117">
        <w:rPr>
          <w:rFonts w:asciiTheme="majorHAnsi" w:hAnsiTheme="majorHAnsi"/>
          <w:sz w:val="20"/>
          <w:szCs w:val="20"/>
          <w:lang w:val="en-US"/>
        </w:rPr>
        <w:t>s</w:t>
      </w:r>
      <w:r w:rsidRPr="00B24750">
        <w:rPr>
          <w:rFonts w:asciiTheme="majorHAnsi" w:hAnsiTheme="majorHAnsi"/>
          <w:sz w:val="20"/>
          <w:szCs w:val="20"/>
          <w:lang w:val="en-US"/>
        </w:rPr>
        <w:t xml:space="preserve"> also point out that the detentions were not </w:t>
      </w:r>
      <w:r w:rsidR="00784521" w:rsidRPr="00B24750">
        <w:rPr>
          <w:rFonts w:asciiTheme="majorHAnsi" w:hAnsiTheme="majorHAnsi"/>
          <w:sz w:val="20"/>
          <w:szCs w:val="20"/>
          <w:lang w:val="en-US"/>
        </w:rPr>
        <w:t>carried out pursuant to</w:t>
      </w:r>
      <w:r w:rsidRPr="00B24750">
        <w:rPr>
          <w:rFonts w:asciiTheme="majorHAnsi" w:hAnsiTheme="majorHAnsi"/>
          <w:sz w:val="20"/>
          <w:szCs w:val="20"/>
          <w:lang w:val="en-US"/>
        </w:rPr>
        <w:t xml:space="preserve"> warrants issued by a judge and that the alleged victim was never informed of the charges against her</w:t>
      </w:r>
      <w:r w:rsidR="00BB2233" w:rsidRPr="00B24750">
        <w:rPr>
          <w:rFonts w:asciiTheme="majorHAnsi" w:hAnsiTheme="majorHAnsi"/>
          <w:sz w:val="20"/>
          <w:szCs w:val="20"/>
          <w:lang w:val="en-US"/>
        </w:rPr>
        <w:t xml:space="preserve">. </w:t>
      </w:r>
    </w:p>
    <w:p w14:paraId="3DE773F3" w14:textId="77777777" w:rsidR="00BB2233" w:rsidRPr="00B24750" w:rsidRDefault="00BB2233" w:rsidP="009D14E7">
      <w:pPr>
        <w:pStyle w:val="ListParagraph"/>
        <w:ind w:left="0"/>
        <w:rPr>
          <w:rFonts w:asciiTheme="majorHAnsi" w:hAnsiTheme="majorHAnsi"/>
          <w:sz w:val="20"/>
          <w:szCs w:val="20"/>
        </w:rPr>
      </w:pPr>
    </w:p>
    <w:p w14:paraId="6BAF8D38" w14:textId="6B423CDF" w:rsidR="00945A3A" w:rsidRPr="00B24750" w:rsidRDefault="009C617A"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Pr>
          <w:rFonts w:asciiTheme="majorHAnsi" w:hAnsiTheme="majorHAnsi"/>
          <w:sz w:val="20"/>
          <w:szCs w:val="20"/>
          <w:lang w:val="en-US"/>
        </w:rPr>
        <w:t>The</w:t>
      </w:r>
      <w:r w:rsidR="00D23FF2" w:rsidRPr="00B24750">
        <w:rPr>
          <w:rFonts w:asciiTheme="majorHAnsi" w:hAnsiTheme="majorHAnsi"/>
          <w:sz w:val="20"/>
          <w:szCs w:val="20"/>
          <w:lang w:val="en-US"/>
        </w:rPr>
        <w:t xml:space="preserve"> petitioner</w:t>
      </w:r>
      <w:r w:rsidR="00EB0117">
        <w:rPr>
          <w:rFonts w:asciiTheme="majorHAnsi" w:hAnsiTheme="majorHAnsi"/>
          <w:sz w:val="20"/>
          <w:szCs w:val="20"/>
          <w:lang w:val="en-US"/>
        </w:rPr>
        <w:t>s</w:t>
      </w:r>
      <w:r w:rsidR="00D23FF2" w:rsidRPr="00B24750">
        <w:rPr>
          <w:rFonts w:asciiTheme="majorHAnsi" w:hAnsiTheme="majorHAnsi"/>
          <w:sz w:val="20"/>
          <w:szCs w:val="20"/>
          <w:lang w:val="en-US"/>
        </w:rPr>
        <w:t xml:space="preserve"> </w:t>
      </w:r>
      <w:r w:rsidR="00EB0117">
        <w:rPr>
          <w:rFonts w:asciiTheme="majorHAnsi" w:hAnsiTheme="majorHAnsi"/>
          <w:sz w:val="20"/>
          <w:szCs w:val="20"/>
          <w:lang w:val="en-US"/>
        </w:rPr>
        <w:t>assert</w:t>
      </w:r>
      <w:r w:rsidR="00D23FF2" w:rsidRPr="00B24750">
        <w:rPr>
          <w:rFonts w:asciiTheme="majorHAnsi" w:hAnsiTheme="majorHAnsi"/>
          <w:sz w:val="20"/>
          <w:szCs w:val="20"/>
          <w:lang w:val="en-US"/>
        </w:rPr>
        <w:t xml:space="preserve"> that the alleged victim filed a complaint with the </w:t>
      </w:r>
      <w:r w:rsidR="00027FD6" w:rsidRPr="00B24750">
        <w:rPr>
          <w:rFonts w:asciiTheme="majorHAnsi" w:hAnsiTheme="majorHAnsi"/>
          <w:sz w:val="20"/>
          <w:szCs w:val="20"/>
          <w:lang w:val="en-US"/>
        </w:rPr>
        <w:t xml:space="preserve">Office of the </w:t>
      </w:r>
      <w:r w:rsidR="00D23FF2" w:rsidRPr="00B24750">
        <w:rPr>
          <w:rFonts w:asciiTheme="majorHAnsi" w:hAnsiTheme="majorHAnsi"/>
          <w:sz w:val="20"/>
          <w:szCs w:val="20"/>
          <w:lang w:val="en-US"/>
        </w:rPr>
        <w:t xml:space="preserve">Military Prosecutor and the </w:t>
      </w:r>
      <w:r w:rsidR="00F70DF0">
        <w:rPr>
          <w:rFonts w:asciiTheme="majorHAnsi" w:hAnsiTheme="majorHAnsi"/>
          <w:sz w:val="20"/>
          <w:szCs w:val="20"/>
          <w:lang w:val="en-US"/>
        </w:rPr>
        <w:t>Office of the Attorney General</w:t>
      </w:r>
      <w:r w:rsidR="00D23FF2" w:rsidRPr="00B24750">
        <w:rPr>
          <w:rFonts w:asciiTheme="majorHAnsi" w:hAnsiTheme="majorHAnsi"/>
          <w:sz w:val="20"/>
          <w:szCs w:val="20"/>
          <w:lang w:val="en-US"/>
        </w:rPr>
        <w:t xml:space="preserve"> at the end of 2009</w:t>
      </w:r>
      <w:r w:rsidR="00027FD6" w:rsidRPr="00B24750">
        <w:rPr>
          <w:rFonts w:asciiTheme="majorHAnsi" w:hAnsiTheme="majorHAnsi"/>
          <w:sz w:val="20"/>
          <w:szCs w:val="20"/>
          <w:lang w:val="en-US"/>
        </w:rPr>
        <w:t xml:space="preserve"> after</w:t>
      </w:r>
      <w:r w:rsidR="00D23FF2" w:rsidRPr="00B24750">
        <w:rPr>
          <w:rFonts w:asciiTheme="majorHAnsi" w:hAnsiTheme="majorHAnsi"/>
          <w:sz w:val="20"/>
          <w:szCs w:val="20"/>
          <w:lang w:val="en-US"/>
        </w:rPr>
        <w:t xml:space="preserve"> </w:t>
      </w:r>
      <w:r w:rsidR="00027FD6" w:rsidRPr="00B24750">
        <w:rPr>
          <w:rFonts w:asciiTheme="majorHAnsi" w:hAnsiTheme="majorHAnsi"/>
          <w:sz w:val="20"/>
          <w:szCs w:val="20"/>
          <w:lang w:val="en-US"/>
        </w:rPr>
        <w:t xml:space="preserve">her </w:t>
      </w:r>
      <w:r w:rsidR="00D23FF2" w:rsidRPr="00B24750">
        <w:rPr>
          <w:rFonts w:asciiTheme="majorHAnsi" w:hAnsiTheme="majorHAnsi"/>
          <w:sz w:val="20"/>
          <w:szCs w:val="20"/>
          <w:lang w:val="en-US"/>
        </w:rPr>
        <w:t>November 6, 2009</w:t>
      </w:r>
      <w:r w:rsidR="00027FD6" w:rsidRPr="00B24750">
        <w:rPr>
          <w:rFonts w:asciiTheme="majorHAnsi" w:hAnsiTheme="majorHAnsi"/>
          <w:sz w:val="20"/>
          <w:szCs w:val="20"/>
          <w:lang w:val="en-US"/>
        </w:rPr>
        <w:t xml:space="preserve"> detention</w:t>
      </w:r>
      <w:r w:rsidR="00D23FF2" w:rsidRPr="00B24750">
        <w:rPr>
          <w:rFonts w:asciiTheme="majorHAnsi" w:hAnsiTheme="majorHAnsi"/>
          <w:sz w:val="20"/>
          <w:szCs w:val="20"/>
          <w:lang w:val="en-US"/>
        </w:rPr>
        <w:t xml:space="preserve">, but never received a response from the authorities. </w:t>
      </w:r>
      <w:r w:rsidR="00027FD6" w:rsidRPr="00B24750">
        <w:rPr>
          <w:rFonts w:asciiTheme="majorHAnsi" w:hAnsiTheme="majorHAnsi"/>
          <w:sz w:val="20"/>
          <w:szCs w:val="20"/>
          <w:lang w:val="en-US"/>
        </w:rPr>
        <w:t>After</w:t>
      </w:r>
      <w:r w:rsidR="00D23FF2" w:rsidRPr="00B24750">
        <w:rPr>
          <w:rFonts w:asciiTheme="majorHAnsi" w:hAnsiTheme="majorHAnsi"/>
          <w:sz w:val="20"/>
          <w:szCs w:val="20"/>
          <w:lang w:val="en-US"/>
        </w:rPr>
        <w:t xml:space="preserve"> the second arrest in February 2010, </w:t>
      </w:r>
      <w:r w:rsidR="00027FD6" w:rsidRPr="00B24750">
        <w:rPr>
          <w:rFonts w:asciiTheme="majorHAnsi" w:hAnsiTheme="majorHAnsi"/>
          <w:sz w:val="20"/>
          <w:szCs w:val="20"/>
          <w:lang w:val="en-US"/>
        </w:rPr>
        <w:t>s</w:t>
      </w:r>
      <w:r w:rsidR="00D23FF2" w:rsidRPr="00B24750">
        <w:rPr>
          <w:rFonts w:asciiTheme="majorHAnsi" w:hAnsiTheme="majorHAnsi"/>
          <w:sz w:val="20"/>
          <w:szCs w:val="20"/>
          <w:lang w:val="en-US"/>
        </w:rPr>
        <w:t xml:space="preserve">he filed another complaint with the </w:t>
      </w:r>
      <w:r w:rsidR="00F70DF0">
        <w:rPr>
          <w:rFonts w:asciiTheme="majorHAnsi" w:hAnsiTheme="majorHAnsi"/>
          <w:sz w:val="20"/>
          <w:szCs w:val="20"/>
          <w:lang w:val="en-US"/>
        </w:rPr>
        <w:t>Attorney General</w:t>
      </w:r>
      <w:r w:rsidR="00027FD6" w:rsidRPr="00B24750">
        <w:rPr>
          <w:rFonts w:asciiTheme="majorHAnsi" w:hAnsiTheme="majorHAnsi"/>
          <w:sz w:val="20"/>
          <w:szCs w:val="20"/>
          <w:lang w:val="en-US"/>
        </w:rPr>
        <w:t>’</w:t>
      </w:r>
      <w:r w:rsidR="00D23FF2" w:rsidRPr="00B24750">
        <w:rPr>
          <w:rFonts w:asciiTheme="majorHAnsi" w:hAnsiTheme="majorHAnsi"/>
          <w:sz w:val="20"/>
          <w:szCs w:val="20"/>
          <w:lang w:val="en-US"/>
        </w:rPr>
        <w:t xml:space="preserve">s Office on March 10, 2010, which </w:t>
      </w:r>
      <w:r w:rsidR="00027FD6" w:rsidRPr="00B24750">
        <w:rPr>
          <w:rFonts w:asciiTheme="majorHAnsi" w:hAnsiTheme="majorHAnsi"/>
          <w:sz w:val="20"/>
          <w:szCs w:val="20"/>
          <w:lang w:val="en-US"/>
        </w:rPr>
        <w:t>also went unanswered</w:t>
      </w:r>
      <w:r w:rsidR="00D23FF2" w:rsidRPr="00B24750">
        <w:rPr>
          <w:rFonts w:asciiTheme="majorHAnsi" w:hAnsiTheme="majorHAnsi"/>
          <w:sz w:val="20"/>
          <w:szCs w:val="20"/>
          <w:lang w:val="en-US"/>
        </w:rPr>
        <w:t xml:space="preserve">. The petitioners </w:t>
      </w:r>
      <w:r w:rsidR="00027FD6" w:rsidRPr="00B24750">
        <w:rPr>
          <w:rFonts w:asciiTheme="majorHAnsi" w:hAnsiTheme="majorHAnsi"/>
          <w:sz w:val="20"/>
          <w:szCs w:val="20"/>
          <w:lang w:val="en-US"/>
        </w:rPr>
        <w:t>contend</w:t>
      </w:r>
      <w:r w:rsidR="00D23FF2" w:rsidRPr="00B24750">
        <w:rPr>
          <w:rFonts w:asciiTheme="majorHAnsi" w:hAnsiTheme="majorHAnsi"/>
          <w:sz w:val="20"/>
          <w:szCs w:val="20"/>
          <w:lang w:val="en-US"/>
        </w:rPr>
        <w:t xml:space="preserve"> that it is </w:t>
      </w:r>
      <w:r w:rsidR="00027FD6" w:rsidRPr="00B24750">
        <w:rPr>
          <w:rFonts w:asciiTheme="majorHAnsi" w:hAnsiTheme="majorHAnsi"/>
          <w:sz w:val="20"/>
          <w:szCs w:val="20"/>
          <w:lang w:val="en-US"/>
        </w:rPr>
        <w:t>“</w:t>
      </w:r>
      <w:r w:rsidR="00D23FF2" w:rsidRPr="00B24750">
        <w:rPr>
          <w:rFonts w:asciiTheme="majorHAnsi" w:hAnsiTheme="majorHAnsi"/>
          <w:sz w:val="20"/>
          <w:szCs w:val="20"/>
          <w:lang w:val="en-US"/>
        </w:rPr>
        <w:t xml:space="preserve">impossible in </w:t>
      </w:r>
      <w:r w:rsidR="00027FD6" w:rsidRPr="00B24750">
        <w:rPr>
          <w:rFonts w:asciiTheme="majorHAnsi" w:hAnsiTheme="majorHAnsi"/>
          <w:sz w:val="20"/>
          <w:szCs w:val="20"/>
          <w:lang w:val="en-US"/>
        </w:rPr>
        <w:t>Cuba’s</w:t>
      </w:r>
      <w:r w:rsidR="00D23FF2" w:rsidRPr="00B24750">
        <w:rPr>
          <w:rFonts w:asciiTheme="majorHAnsi" w:hAnsiTheme="majorHAnsi"/>
          <w:sz w:val="20"/>
          <w:szCs w:val="20"/>
          <w:lang w:val="en-US"/>
        </w:rPr>
        <w:t xml:space="preserve"> current judicial system to </w:t>
      </w:r>
      <w:r w:rsidR="00DB4F77" w:rsidRPr="00B24750">
        <w:rPr>
          <w:rFonts w:asciiTheme="majorHAnsi" w:hAnsiTheme="majorHAnsi"/>
          <w:sz w:val="20"/>
          <w:szCs w:val="20"/>
          <w:lang w:val="en-US"/>
        </w:rPr>
        <w:t xml:space="preserve">have </w:t>
      </w:r>
      <w:r w:rsidR="00D23FF2" w:rsidRPr="00B24750">
        <w:rPr>
          <w:rFonts w:asciiTheme="majorHAnsi" w:hAnsiTheme="majorHAnsi"/>
          <w:sz w:val="20"/>
          <w:szCs w:val="20"/>
          <w:lang w:val="en-US"/>
        </w:rPr>
        <w:t>recourse t</w:t>
      </w:r>
      <w:r w:rsidR="00DB4F77" w:rsidRPr="00B24750">
        <w:rPr>
          <w:rFonts w:asciiTheme="majorHAnsi" w:hAnsiTheme="majorHAnsi"/>
          <w:sz w:val="20"/>
          <w:szCs w:val="20"/>
          <w:lang w:val="en-US"/>
        </w:rPr>
        <w:t>o</w:t>
      </w:r>
      <w:r w:rsidR="00D23FF2" w:rsidRPr="00B24750">
        <w:rPr>
          <w:rFonts w:asciiTheme="majorHAnsi" w:hAnsiTheme="majorHAnsi"/>
          <w:sz w:val="20"/>
          <w:szCs w:val="20"/>
          <w:lang w:val="en-US"/>
        </w:rPr>
        <w:t xml:space="preserve"> the courts.</w:t>
      </w:r>
      <w:r w:rsidR="00514641" w:rsidRPr="00B24750">
        <w:rPr>
          <w:rFonts w:asciiTheme="majorHAnsi" w:hAnsiTheme="majorHAnsi"/>
          <w:sz w:val="20"/>
          <w:szCs w:val="20"/>
          <w:lang w:val="en-US"/>
        </w:rPr>
        <w:t xml:space="preserve">” </w:t>
      </w:r>
    </w:p>
    <w:p w14:paraId="48C9874B" w14:textId="77777777" w:rsidR="00945A3A" w:rsidRPr="00B24750" w:rsidRDefault="00945A3A"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76581C16" w14:textId="0C96B660" w:rsidR="00945A3A" w:rsidRPr="00B24750" w:rsidRDefault="00B21FA7"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After</w:t>
      </w:r>
      <w:r w:rsidR="00B04A9C" w:rsidRPr="00B24750">
        <w:rPr>
          <w:rFonts w:asciiTheme="majorHAnsi" w:hAnsiTheme="majorHAnsi"/>
          <w:sz w:val="20"/>
          <w:szCs w:val="20"/>
          <w:lang w:val="en-US"/>
        </w:rPr>
        <w:t xml:space="preserve"> </w:t>
      </w:r>
      <w:proofErr w:type="spellStart"/>
      <w:r w:rsidR="00B04A9C" w:rsidRPr="00B24750">
        <w:rPr>
          <w:rFonts w:asciiTheme="majorHAnsi" w:hAnsiTheme="majorHAnsi"/>
          <w:sz w:val="20"/>
          <w:szCs w:val="20"/>
          <w:lang w:val="en-US"/>
        </w:rPr>
        <w:t>Yoani</w:t>
      </w:r>
      <w:proofErr w:type="spellEnd"/>
      <w:r w:rsidR="00B04A9C" w:rsidRPr="00B24750">
        <w:rPr>
          <w:rFonts w:asciiTheme="majorHAnsi" w:hAnsiTheme="majorHAnsi"/>
          <w:sz w:val="20"/>
          <w:szCs w:val="20"/>
          <w:lang w:val="en-US"/>
        </w:rPr>
        <w:t xml:space="preserve"> Sánchez was denied permission to leave the country </w:t>
      </w:r>
      <w:r w:rsidRPr="00B24750">
        <w:rPr>
          <w:rFonts w:asciiTheme="majorHAnsi" w:hAnsiTheme="majorHAnsi"/>
          <w:sz w:val="20"/>
          <w:szCs w:val="20"/>
          <w:lang w:val="en-US"/>
        </w:rPr>
        <w:t>(</w:t>
      </w:r>
      <w:r w:rsidR="00B04A9C" w:rsidRPr="00B24750">
        <w:rPr>
          <w:rFonts w:asciiTheme="majorHAnsi" w:hAnsiTheme="majorHAnsi"/>
          <w:sz w:val="20"/>
          <w:szCs w:val="20"/>
          <w:lang w:val="en-US"/>
        </w:rPr>
        <w:t>and given no explanation for the denial</w:t>
      </w:r>
      <w:r w:rsidRPr="00B24750">
        <w:rPr>
          <w:rFonts w:asciiTheme="majorHAnsi" w:hAnsiTheme="majorHAnsi"/>
          <w:sz w:val="20"/>
          <w:szCs w:val="20"/>
          <w:lang w:val="en-US"/>
        </w:rPr>
        <w:t>)</w:t>
      </w:r>
      <w:r w:rsidR="00B04A9C" w:rsidRPr="00B24750">
        <w:rPr>
          <w:rFonts w:asciiTheme="majorHAnsi" w:hAnsiTheme="majorHAnsi"/>
          <w:sz w:val="20"/>
          <w:szCs w:val="20"/>
          <w:lang w:val="en-US"/>
        </w:rPr>
        <w:t xml:space="preserve">, she </w:t>
      </w:r>
      <w:r w:rsidRPr="00B24750">
        <w:rPr>
          <w:rFonts w:asciiTheme="majorHAnsi" w:hAnsiTheme="majorHAnsi"/>
          <w:sz w:val="20"/>
          <w:szCs w:val="20"/>
          <w:lang w:val="en-US"/>
        </w:rPr>
        <w:t>filed</w:t>
      </w:r>
      <w:r w:rsidR="00B04A9C" w:rsidRPr="00B24750">
        <w:rPr>
          <w:rFonts w:asciiTheme="majorHAnsi" w:hAnsiTheme="majorHAnsi"/>
          <w:sz w:val="20"/>
          <w:szCs w:val="20"/>
          <w:lang w:val="en-US"/>
        </w:rPr>
        <w:t xml:space="preserve"> a formal </w:t>
      </w:r>
      <w:r w:rsidRPr="00B24750">
        <w:rPr>
          <w:rFonts w:asciiTheme="majorHAnsi" w:hAnsiTheme="majorHAnsi"/>
          <w:sz w:val="20"/>
          <w:szCs w:val="20"/>
          <w:lang w:val="en-US"/>
        </w:rPr>
        <w:t>“</w:t>
      </w:r>
      <w:r w:rsidR="00B04A9C" w:rsidRPr="00B24750">
        <w:rPr>
          <w:rFonts w:asciiTheme="majorHAnsi" w:hAnsiTheme="majorHAnsi"/>
          <w:sz w:val="20"/>
          <w:szCs w:val="20"/>
          <w:lang w:val="en-US"/>
        </w:rPr>
        <w:t>request for a response</w:t>
      </w:r>
      <w:r w:rsidRPr="00B24750">
        <w:rPr>
          <w:rFonts w:asciiTheme="majorHAnsi" w:hAnsiTheme="majorHAnsi"/>
          <w:sz w:val="20"/>
          <w:szCs w:val="20"/>
          <w:lang w:val="en-US"/>
        </w:rPr>
        <w:t>”</w:t>
      </w:r>
      <w:r w:rsidR="00B04A9C" w:rsidRPr="00B24750">
        <w:rPr>
          <w:rFonts w:asciiTheme="majorHAnsi" w:hAnsiTheme="majorHAnsi"/>
          <w:sz w:val="20"/>
          <w:szCs w:val="20"/>
          <w:lang w:val="en-US"/>
        </w:rPr>
        <w:t xml:space="preserve"> </w:t>
      </w:r>
      <w:r w:rsidRPr="00B24750">
        <w:rPr>
          <w:rFonts w:asciiTheme="majorHAnsi" w:hAnsiTheme="majorHAnsi"/>
          <w:sz w:val="20"/>
          <w:szCs w:val="20"/>
          <w:lang w:val="en-US"/>
        </w:rPr>
        <w:t>with</w:t>
      </w:r>
      <w:r w:rsidR="00B04A9C" w:rsidRPr="00B24750">
        <w:rPr>
          <w:rFonts w:asciiTheme="majorHAnsi" w:hAnsiTheme="majorHAnsi"/>
          <w:sz w:val="20"/>
          <w:szCs w:val="20"/>
          <w:lang w:val="en-US"/>
        </w:rPr>
        <w:t xml:space="preserve"> the Immigration and Alien Affairs </w:t>
      </w:r>
      <w:r w:rsidRPr="00B24750">
        <w:rPr>
          <w:rFonts w:asciiTheme="majorHAnsi" w:hAnsiTheme="majorHAnsi"/>
          <w:sz w:val="20"/>
          <w:szCs w:val="20"/>
          <w:lang w:val="en-US"/>
        </w:rPr>
        <w:t>Bureau</w:t>
      </w:r>
      <w:r w:rsidR="00B04A9C" w:rsidRPr="00B24750">
        <w:rPr>
          <w:rFonts w:asciiTheme="majorHAnsi" w:hAnsiTheme="majorHAnsi"/>
          <w:sz w:val="20"/>
          <w:szCs w:val="20"/>
          <w:lang w:val="en-US"/>
        </w:rPr>
        <w:t xml:space="preserve"> of the Ministry of the Interior on November 5, 2010. This request </w:t>
      </w:r>
      <w:r w:rsidRPr="00B24750">
        <w:rPr>
          <w:rFonts w:asciiTheme="majorHAnsi" w:hAnsiTheme="majorHAnsi"/>
          <w:sz w:val="20"/>
          <w:szCs w:val="20"/>
          <w:lang w:val="en-US"/>
        </w:rPr>
        <w:t>went</w:t>
      </w:r>
      <w:r w:rsidR="00B04A9C" w:rsidRPr="00B24750">
        <w:rPr>
          <w:rFonts w:asciiTheme="majorHAnsi" w:hAnsiTheme="majorHAnsi"/>
          <w:sz w:val="20"/>
          <w:szCs w:val="20"/>
          <w:lang w:val="en-US"/>
        </w:rPr>
        <w:t xml:space="preserve"> </w:t>
      </w:r>
      <w:r w:rsidRPr="00B24750">
        <w:rPr>
          <w:rFonts w:asciiTheme="majorHAnsi" w:hAnsiTheme="majorHAnsi"/>
          <w:sz w:val="20"/>
          <w:szCs w:val="20"/>
          <w:lang w:val="en-US"/>
        </w:rPr>
        <w:t>un</w:t>
      </w:r>
      <w:r w:rsidR="00B04A9C" w:rsidRPr="00B24750">
        <w:rPr>
          <w:rFonts w:asciiTheme="majorHAnsi" w:hAnsiTheme="majorHAnsi"/>
          <w:sz w:val="20"/>
          <w:szCs w:val="20"/>
          <w:lang w:val="en-US"/>
        </w:rPr>
        <w:t xml:space="preserve">answered. In view of </w:t>
      </w:r>
      <w:r w:rsidRPr="00B24750">
        <w:rPr>
          <w:rFonts w:asciiTheme="majorHAnsi" w:hAnsiTheme="majorHAnsi"/>
          <w:sz w:val="20"/>
          <w:szCs w:val="20"/>
          <w:lang w:val="en-US"/>
        </w:rPr>
        <w:t>this</w:t>
      </w:r>
      <w:r w:rsidR="00B04A9C" w:rsidRPr="00B24750">
        <w:rPr>
          <w:rFonts w:asciiTheme="majorHAnsi" w:hAnsiTheme="majorHAnsi"/>
          <w:sz w:val="20"/>
          <w:szCs w:val="20"/>
          <w:lang w:val="en-US"/>
        </w:rPr>
        <w:t xml:space="preserve"> </w:t>
      </w:r>
      <w:r w:rsidRPr="00B24750">
        <w:rPr>
          <w:rFonts w:asciiTheme="majorHAnsi" w:hAnsiTheme="majorHAnsi"/>
          <w:sz w:val="20"/>
          <w:szCs w:val="20"/>
          <w:lang w:val="en-US"/>
        </w:rPr>
        <w:t>“</w:t>
      </w:r>
      <w:r w:rsidR="00B04A9C" w:rsidRPr="00B24750">
        <w:rPr>
          <w:rFonts w:asciiTheme="majorHAnsi" w:hAnsiTheme="majorHAnsi"/>
          <w:sz w:val="20"/>
          <w:szCs w:val="20"/>
          <w:lang w:val="en-US"/>
        </w:rPr>
        <w:t>silence,</w:t>
      </w:r>
      <w:r w:rsidRPr="00B24750">
        <w:rPr>
          <w:rFonts w:asciiTheme="majorHAnsi" w:hAnsiTheme="majorHAnsi"/>
          <w:sz w:val="20"/>
          <w:szCs w:val="20"/>
          <w:lang w:val="en-US"/>
        </w:rPr>
        <w:t>”</w:t>
      </w:r>
      <w:r w:rsidR="00B04A9C" w:rsidRPr="00B24750">
        <w:rPr>
          <w:rFonts w:asciiTheme="majorHAnsi" w:hAnsiTheme="majorHAnsi"/>
          <w:sz w:val="20"/>
          <w:szCs w:val="20"/>
          <w:lang w:val="en-US"/>
        </w:rPr>
        <w:t xml:space="preserve"> on March 30, 2012, Ms. </w:t>
      </w:r>
      <w:r w:rsidR="00540A0F" w:rsidRPr="00B24750">
        <w:rPr>
          <w:rFonts w:asciiTheme="majorHAnsi" w:hAnsiTheme="majorHAnsi"/>
          <w:sz w:val="20"/>
          <w:szCs w:val="20"/>
          <w:lang w:val="en-US"/>
        </w:rPr>
        <w:t>Sánchez</w:t>
      </w:r>
      <w:r w:rsidR="00B04A9C" w:rsidRPr="00B24750">
        <w:rPr>
          <w:rFonts w:asciiTheme="majorHAnsi" w:hAnsiTheme="majorHAnsi"/>
          <w:sz w:val="20"/>
          <w:szCs w:val="20"/>
          <w:lang w:val="en-US"/>
        </w:rPr>
        <w:t xml:space="preserve"> filed an appeal against the Minister of the Interior of Cuba. The</w:t>
      </w:r>
      <w:r w:rsidRPr="00B24750">
        <w:rPr>
          <w:rFonts w:asciiTheme="majorHAnsi" w:hAnsiTheme="majorHAnsi"/>
          <w:sz w:val="20"/>
          <w:szCs w:val="20"/>
          <w:lang w:val="en-US"/>
        </w:rPr>
        <w:t xml:space="preserve"> petitioners</w:t>
      </w:r>
      <w:r w:rsidR="00B04A9C" w:rsidRPr="00B24750">
        <w:rPr>
          <w:rFonts w:asciiTheme="majorHAnsi" w:hAnsiTheme="majorHAnsi"/>
          <w:sz w:val="20"/>
          <w:szCs w:val="20"/>
          <w:lang w:val="en-US"/>
        </w:rPr>
        <w:t xml:space="preserve"> state that</w:t>
      </w:r>
      <w:r w:rsidRPr="00B24750">
        <w:rPr>
          <w:rFonts w:asciiTheme="majorHAnsi" w:hAnsiTheme="majorHAnsi"/>
          <w:sz w:val="20"/>
          <w:szCs w:val="20"/>
          <w:lang w:val="en-US"/>
        </w:rPr>
        <w:t>, to date,</w:t>
      </w:r>
      <w:r w:rsidR="00B04A9C" w:rsidRPr="00B24750">
        <w:rPr>
          <w:rFonts w:asciiTheme="majorHAnsi" w:hAnsiTheme="majorHAnsi"/>
          <w:sz w:val="20"/>
          <w:szCs w:val="20"/>
          <w:lang w:val="en-US"/>
        </w:rPr>
        <w:t xml:space="preserve"> </w:t>
      </w:r>
      <w:r w:rsidRPr="00B24750">
        <w:rPr>
          <w:rFonts w:asciiTheme="majorHAnsi" w:hAnsiTheme="majorHAnsi"/>
          <w:sz w:val="20"/>
          <w:szCs w:val="20"/>
          <w:lang w:val="en-US"/>
        </w:rPr>
        <w:t xml:space="preserve">the Cuban government has not answered </w:t>
      </w:r>
      <w:r w:rsidR="00B04A9C" w:rsidRPr="00B24750">
        <w:rPr>
          <w:rFonts w:asciiTheme="majorHAnsi" w:hAnsiTheme="majorHAnsi"/>
          <w:sz w:val="20"/>
          <w:szCs w:val="20"/>
          <w:lang w:val="en-US"/>
        </w:rPr>
        <w:t>this appeal either</w:t>
      </w:r>
      <w:r w:rsidR="001818AC" w:rsidRPr="00B24750">
        <w:rPr>
          <w:rFonts w:asciiTheme="majorHAnsi" w:hAnsiTheme="majorHAnsi"/>
          <w:sz w:val="20"/>
          <w:szCs w:val="20"/>
          <w:lang w:val="en-US"/>
        </w:rPr>
        <w:t xml:space="preserve">. </w:t>
      </w:r>
      <w:r w:rsidR="00B04A9C" w:rsidRPr="00B24750">
        <w:rPr>
          <w:rFonts w:asciiTheme="majorHAnsi" w:hAnsiTheme="majorHAnsi"/>
          <w:sz w:val="20"/>
          <w:szCs w:val="20"/>
          <w:lang w:val="en-US"/>
        </w:rPr>
        <w:t xml:space="preserve"> </w:t>
      </w:r>
    </w:p>
    <w:p w14:paraId="6BF715A7" w14:textId="77777777" w:rsidR="00D45901" w:rsidRPr="00B24750" w:rsidRDefault="00D45901" w:rsidP="009D14E7">
      <w:pPr>
        <w:pStyle w:val="ListParagraph"/>
        <w:ind w:left="0"/>
        <w:rPr>
          <w:rFonts w:asciiTheme="majorHAnsi" w:hAnsiTheme="majorHAnsi"/>
          <w:sz w:val="20"/>
          <w:szCs w:val="20"/>
        </w:rPr>
      </w:pPr>
    </w:p>
    <w:p w14:paraId="2B4A2482" w14:textId="3AC4516D" w:rsidR="00D45901" w:rsidRPr="00B24750" w:rsidRDefault="00735B2D"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The petitioners argue that, although the alleged victim attempted to exhaust domestic remedies, the State’s continued silence and lack of response demonstrates that she was prevented from doing so. Either they do not exist, or she has not had access to them, “</w:t>
      </w:r>
      <w:r w:rsidR="00061B74" w:rsidRPr="00B24750">
        <w:rPr>
          <w:rFonts w:asciiTheme="majorHAnsi" w:hAnsiTheme="majorHAnsi"/>
          <w:sz w:val="20"/>
          <w:szCs w:val="20"/>
          <w:lang w:val="en-US"/>
        </w:rPr>
        <w:t>under</w:t>
      </w:r>
      <w:r w:rsidRPr="00B24750">
        <w:rPr>
          <w:rFonts w:asciiTheme="majorHAnsi" w:hAnsiTheme="majorHAnsi"/>
          <w:sz w:val="20"/>
          <w:szCs w:val="20"/>
          <w:lang w:val="en-US"/>
        </w:rPr>
        <w:t xml:space="preserve"> all the exceptions to the requirement to exhaust domestic remedies provided in Article 1(2) of the Rules of Procedure of the [IACHR].” </w:t>
      </w:r>
    </w:p>
    <w:p w14:paraId="0C00BC57" w14:textId="77777777" w:rsidR="00D45901" w:rsidRPr="00B24750" w:rsidRDefault="00D45901"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2C3EFEA4" w14:textId="746239AA" w:rsidR="00155DCF" w:rsidRPr="00B24750" w:rsidRDefault="00F2636D"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Regarding the merits, the petitioner</w:t>
      </w:r>
      <w:r w:rsidR="00716A18">
        <w:rPr>
          <w:rFonts w:asciiTheme="majorHAnsi" w:hAnsiTheme="majorHAnsi"/>
          <w:sz w:val="20"/>
          <w:szCs w:val="20"/>
          <w:lang w:val="en-US"/>
        </w:rPr>
        <w:t>s</w:t>
      </w:r>
      <w:r w:rsidRPr="00B24750">
        <w:rPr>
          <w:rFonts w:asciiTheme="majorHAnsi" w:hAnsiTheme="majorHAnsi"/>
          <w:sz w:val="20"/>
          <w:szCs w:val="20"/>
          <w:lang w:val="en-US"/>
        </w:rPr>
        <w:t xml:space="preserve"> argue that Cuba violated the alleged victim’s right </w:t>
      </w:r>
      <w:r w:rsidRPr="00B24750">
        <w:rPr>
          <w:rFonts w:asciiTheme="majorHAnsi" w:hAnsiTheme="majorHAnsi"/>
          <w:b/>
          <w:sz w:val="20"/>
          <w:szCs w:val="20"/>
          <w:lang w:val="en-US"/>
        </w:rPr>
        <w:t xml:space="preserve">not to be arbitrarily </w:t>
      </w:r>
      <w:r w:rsidR="000A03AE" w:rsidRPr="00B24750">
        <w:rPr>
          <w:rFonts w:asciiTheme="majorHAnsi" w:hAnsiTheme="majorHAnsi"/>
          <w:b/>
          <w:sz w:val="20"/>
          <w:szCs w:val="20"/>
          <w:lang w:val="en-US"/>
        </w:rPr>
        <w:t>arrested</w:t>
      </w:r>
      <w:r w:rsidRPr="00B24750">
        <w:rPr>
          <w:rFonts w:asciiTheme="majorHAnsi" w:hAnsiTheme="majorHAnsi"/>
          <w:b/>
          <w:sz w:val="20"/>
          <w:szCs w:val="20"/>
          <w:lang w:val="en-US"/>
        </w:rPr>
        <w:t xml:space="preserve"> </w:t>
      </w:r>
      <w:r w:rsidRPr="00B24750">
        <w:rPr>
          <w:rFonts w:asciiTheme="majorHAnsi" w:hAnsiTheme="majorHAnsi"/>
          <w:sz w:val="20"/>
          <w:szCs w:val="20"/>
          <w:lang w:val="en-US"/>
        </w:rPr>
        <w:t>(Article XXV of the American Declaration) when she was detained in 2009, 2010, and 2012 without a warrant and without being informed of the reasons for her detention</w:t>
      </w:r>
      <w:r w:rsidR="00867FE1" w:rsidRPr="00B24750">
        <w:rPr>
          <w:rFonts w:asciiTheme="majorHAnsi" w:hAnsiTheme="majorHAnsi"/>
          <w:sz w:val="20"/>
          <w:szCs w:val="20"/>
          <w:lang w:val="en-US"/>
        </w:rPr>
        <w:t>.</w:t>
      </w:r>
      <w:r w:rsidR="00D74723" w:rsidRPr="00B24750">
        <w:rPr>
          <w:rFonts w:asciiTheme="majorHAnsi" w:hAnsiTheme="majorHAnsi"/>
          <w:sz w:val="20"/>
          <w:szCs w:val="20"/>
          <w:lang w:val="en-US"/>
        </w:rPr>
        <w:t xml:space="preserve"> </w:t>
      </w:r>
    </w:p>
    <w:p w14:paraId="4A416746" w14:textId="4FDFF71F" w:rsidR="00887ECA" w:rsidRPr="00B24750" w:rsidRDefault="00887ECA"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204E809E" w14:textId="612AC929" w:rsidR="00801453" w:rsidRPr="00B24750" w:rsidRDefault="00581B90"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argue that Cuba violated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w:t>
      </w:r>
      <w:r w:rsidR="00540A0F" w:rsidRPr="00B24750">
        <w:rPr>
          <w:rFonts w:asciiTheme="majorHAnsi" w:hAnsiTheme="majorHAnsi"/>
          <w:sz w:val="20"/>
          <w:szCs w:val="20"/>
          <w:lang w:val="en-US"/>
        </w:rPr>
        <w:t>Sánchez</w:t>
      </w:r>
      <w:r w:rsidRPr="00B24750">
        <w:rPr>
          <w:rFonts w:asciiTheme="majorHAnsi" w:hAnsiTheme="majorHAnsi"/>
          <w:sz w:val="20"/>
          <w:szCs w:val="20"/>
          <w:lang w:val="en-US"/>
        </w:rPr>
        <w:t xml:space="preserve">’s </w:t>
      </w:r>
      <w:r w:rsidRPr="00B24750">
        <w:rPr>
          <w:rFonts w:asciiTheme="majorHAnsi" w:hAnsiTheme="majorHAnsi"/>
          <w:b/>
          <w:sz w:val="20"/>
          <w:szCs w:val="20"/>
          <w:lang w:val="en-US"/>
        </w:rPr>
        <w:t xml:space="preserve">right to life, liberty, and personal security </w:t>
      </w:r>
      <w:r w:rsidRPr="00B24750">
        <w:rPr>
          <w:rFonts w:asciiTheme="majorHAnsi" w:hAnsiTheme="majorHAnsi"/>
          <w:sz w:val="20"/>
          <w:szCs w:val="20"/>
          <w:lang w:val="en-US"/>
        </w:rPr>
        <w:t xml:space="preserve">(Article I of the American Declaration) </w:t>
      </w:r>
      <w:r w:rsidR="006E62A8">
        <w:rPr>
          <w:rFonts w:asciiTheme="majorHAnsi" w:hAnsiTheme="majorHAnsi"/>
          <w:sz w:val="20"/>
          <w:szCs w:val="20"/>
          <w:lang w:val="en-US"/>
        </w:rPr>
        <w:t xml:space="preserve">because violating </w:t>
      </w:r>
      <w:r w:rsidRPr="00B24750">
        <w:rPr>
          <w:rFonts w:asciiTheme="majorHAnsi" w:hAnsiTheme="majorHAnsi"/>
          <w:sz w:val="20"/>
          <w:szCs w:val="20"/>
          <w:lang w:val="en-US"/>
        </w:rPr>
        <w:t xml:space="preserve">the right to protection from arbitrary arrest </w:t>
      </w:r>
      <w:r w:rsidR="00A54974" w:rsidRPr="00B24750">
        <w:rPr>
          <w:rFonts w:asciiTheme="majorHAnsi" w:hAnsiTheme="majorHAnsi"/>
          <w:sz w:val="20"/>
          <w:szCs w:val="20"/>
          <w:lang w:val="en-US"/>
        </w:rPr>
        <w:t>violates</w:t>
      </w:r>
      <w:r w:rsidRPr="00B24750">
        <w:rPr>
          <w:rFonts w:asciiTheme="majorHAnsi" w:hAnsiTheme="majorHAnsi"/>
          <w:sz w:val="20"/>
          <w:szCs w:val="20"/>
          <w:lang w:val="en-US"/>
        </w:rPr>
        <w:t xml:space="preserve"> Article I. They point out that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cannot move around Havana safely and that the frequent attacks against her in the media put her in a</w:t>
      </w:r>
      <w:r w:rsidR="00490E3C">
        <w:rPr>
          <w:rFonts w:asciiTheme="majorHAnsi" w:hAnsiTheme="majorHAnsi"/>
          <w:sz w:val="20"/>
          <w:szCs w:val="20"/>
          <w:lang w:val="en-US"/>
        </w:rPr>
        <w:t>n especially</w:t>
      </w:r>
      <w:r w:rsidRPr="00B24750">
        <w:rPr>
          <w:rFonts w:asciiTheme="majorHAnsi" w:hAnsiTheme="majorHAnsi"/>
          <w:sz w:val="20"/>
          <w:szCs w:val="20"/>
          <w:lang w:val="en-US"/>
        </w:rPr>
        <w:t xml:space="preserve"> vulnerable position. They stress that she could be arbitrarily detained again</w:t>
      </w:r>
      <w:r w:rsidR="00464E2E" w:rsidRPr="00B24750">
        <w:rPr>
          <w:rFonts w:asciiTheme="majorHAnsi" w:hAnsiTheme="majorHAnsi"/>
          <w:sz w:val="20"/>
          <w:szCs w:val="20"/>
          <w:lang w:val="en-US"/>
        </w:rPr>
        <w:t xml:space="preserve"> at any moment;</w:t>
      </w:r>
      <w:r w:rsidRPr="00B24750">
        <w:rPr>
          <w:rFonts w:asciiTheme="majorHAnsi" w:hAnsiTheme="majorHAnsi"/>
          <w:sz w:val="20"/>
          <w:szCs w:val="20"/>
          <w:lang w:val="en-US"/>
        </w:rPr>
        <w:t xml:space="preserve"> an attempt </w:t>
      </w:r>
      <w:r w:rsidR="00464E2E" w:rsidRPr="00B24750">
        <w:rPr>
          <w:rFonts w:asciiTheme="majorHAnsi" w:hAnsiTheme="majorHAnsi"/>
          <w:sz w:val="20"/>
          <w:szCs w:val="20"/>
          <w:lang w:val="en-US"/>
        </w:rPr>
        <w:t xml:space="preserve">could even be made </w:t>
      </w:r>
      <w:r w:rsidRPr="00B24750">
        <w:rPr>
          <w:rFonts w:asciiTheme="majorHAnsi" w:hAnsiTheme="majorHAnsi"/>
          <w:sz w:val="20"/>
          <w:szCs w:val="20"/>
          <w:lang w:val="en-US"/>
        </w:rPr>
        <w:t xml:space="preserve">on her life, which would go unpunished, as </w:t>
      </w:r>
      <w:r w:rsidR="00464E2E" w:rsidRPr="00B24750">
        <w:rPr>
          <w:rFonts w:asciiTheme="majorHAnsi" w:hAnsiTheme="majorHAnsi"/>
          <w:sz w:val="20"/>
          <w:szCs w:val="20"/>
          <w:lang w:val="en-US"/>
        </w:rPr>
        <w:t>it has</w:t>
      </w:r>
      <w:r w:rsidRPr="00B24750">
        <w:rPr>
          <w:rFonts w:asciiTheme="majorHAnsi" w:hAnsiTheme="majorHAnsi"/>
          <w:sz w:val="20"/>
          <w:szCs w:val="20"/>
          <w:lang w:val="en-US"/>
        </w:rPr>
        <w:t xml:space="preserve"> with other dissidents on the island. The petitioner</w:t>
      </w:r>
      <w:r w:rsidR="00464E2E" w:rsidRPr="00B24750">
        <w:rPr>
          <w:rFonts w:asciiTheme="majorHAnsi" w:hAnsiTheme="majorHAnsi"/>
          <w:sz w:val="20"/>
          <w:szCs w:val="20"/>
          <w:lang w:val="en-US"/>
        </w:rPr>
        <w:t>s</w:t>
      </w:r>
      <w:r w:rsidRPr="00B24750">
        <w:rPr>
          <w:rFonts w:asciiTheme="majorHAnsi" w:hAnsiTheme="majorHAnsi"/>
          <w:sz w:val="20"/>
          <w:szCs w:val="20"/>
          <w:lang w:val="en-US"/>
        </w:rPr>
        <w:t xml:space="preserve"> allege that </w:t>
      </w:r>
      <w:r w:rsidR="00464E2E" w:rsidRPr="00B24750">
        <w:rPr>
          <w:rFonts w:asciiTheme="majorHAnsi" w:hAnsiTheme="majorHAnsi"/>
          <w:sz w:val="20"/>
          <w:szCs w:val="20"/>
          <w:lang w:val="en-US"/>
        </w:rPr>
        <w:t xml:space="preserve">Ms. </w:t>
      </w:r>
      <w:r w:rsidR="00540A0F" w:rsidRPr="00B24750">
        <w:rPr>
          <w:rFonts w:asciiTheme="majorHAnsi" w:hAnsiTheme="majorHAnsi"/>
          <w:sz w:val="20"/>
          <w:szCs w:val="20"/>
          <w:lang w:val="en-US"/>
        </w:rPr>
        <w:t>Sánchez</w:t>
      </w:r>
      <w:r w:rsidRPr="00B24750">
        <w:rPr>
          <w:rFonts w:asciiTheme="majorHAnsi" w:hAnsiTheme="majorHAnsi"/>
          <w:sz w:val="20"/>
          <w:szCs w:val="20"/>
          <w:lang w:val="en-US"/>
        </w:rPr>
        <w:t xml:space="preserve"> </w:t>
      </w:r>
      <w:r w:rsidR="00464E2E" w:rsidRPr="00B24750">
        <w:rPr>
          <w:rFonts w:asciiTheme="majorHAnsi" w:hAnsiTheme="majorHAnsi"/>
          <w:sz w:val="20"/>
          <w:szCs w:val="20"/>
          <w:lang w:val="en-US"/>
        </w:rPr>
        <w:t>was subjected to</w:t>
      </w:r>
      <w:r w:rsidRPr="00B24750">
        <w:rPr>
          <w:rFonts w:asciiTheme="majorHAnsi" w:hAnsiTheme="majorHAnsi"/>
          <w:sz w:val="20"/>
          <w:szCs w:val="20"/>
          <w:lang w:val="en-US"/>
        </w:rPr>
        <w:t xml:space="preserve"> cruel, inhuman</w:t>
      </w:r>
      <w:r w:rsidR="00464E2E" w:rsidRPr="00B24750">
        <w:rPr>
          <w:rFonts w:asciiTheme="majorHAnsi" w:hAnsiTheme="majorHAnsi"/>
          <w:sz w:val="20"/>
          <w:szCs w:val="20"/>
          <w:lang w:val="en-US"/>
        </w:rPr>
        <w:t>,</w:t>
      </w:r>
      <w:r w:rsidRPr="00B24750">
        <w:rPr>
          <w:rFonts w:asciiTheme="majorHAnsi" w:hAnsiTheme="majorHAnsi"/>
          <w:sz w:val="20"/>
          <w:szCs w:val="20"/>
          <w:lang w:val="en-US"/>
        </w:rPr>
        <w:t xml:space="preserve"> and degrading treatment</w:t>
      </w:r>
      <w:r w:rsidR="00464E2E" w:rsidRPr="00B24750">
        <w:rPr>
          <w:rFonts w:asciiTheme="majorHAnsi" w:hAnsiTheme="majorHAnsi"/>
          <w:sz w:val="20"/>
          <w:szCs w:val="20"/>
          <w:lang w:val="en-US"/>
        </w:rPr>
        <w:t xml:space="preserve"> while detained</w:t>
      </w:r>
      <w:r w:rsidRPr="00B24750">
        <w:rPr>
          <w:rFonts w:asciiTheme="majorHAnsi" w:hAnsiTheme="majorHAnsi"/>
          <w:sz w:val="20"/>
          <w:szCs w:val="20"/>
          <w:lang w:val="en-US"/>
        </w:rPr>
        <w:t xml:space="preserve">. </w:t>
      </w:r>
      <w:r w:rsidR="00464E2E" w:rsidRPr="00B24750">
        <w:rPr>
          <w:rFonts w:asciiTheme="majorHAnsi" w:hAnsiTheme="majorHAnsi"/>
          <w:sz w:val="20"/>
          <w:szCs w:val="20"/>
          <w:lang w:val="en-US"/>
        </w:rPr>
        <w:t>They allege</w:t>
      </w:r>
      <w:r w:rsidRPr="00B24750">
        <w:rPr>
          <w:rFonts w:asciiTheme="majorHAnsi" w:hAnsiTheme="majorHAnsi"/>
          <w:sz w:val="20"/>
          <w:szCs w:val="20"/>
          <w:lang w:val="en-US"/>
        </w:rPr>
        <w:t xml:space="preserve"> that </w:t>
      </w:r>
      <w:r w:rsidR="00464E2E" w:rsidRPr="00B24750">
        <w:rPr>
          <w:rFonts w:asciiTheme="majorHAnsi" w:hAnsiTheme="majorHAnsi"/>
          <w:sz w:val="20"/>
          <w:szCs w:val="20"/>
          <w:lang w:val="en-US"/>
        </w:rPr>
        <w:t xml:space="preserve">she was beaten </w:t>
      </w:r>
      <w:r w:rsidRPr="00B24750">
        <w:rPr>
          <w:rFonts w:asciiTheme="majorHAnsi" w:hAnsiTheme="majorHAnsi"/>
          <w:sz w:val="20"/>
          <w:szCs w:val="20"/>
          <w:lang w:val="en-US"/>
        </w:rPr>
        <w:t xml:space="preserve">during her </w:t>
      </w:r>
      <w:r w:rsidR="00464E2E" w:rsidRPr="00B24750">
        <w:rPr>
          <w:rFonts w:asciiTheme="majorHAnsi" w:hAnsiTheme="majorHAnsi"/>
          <w:sz w:val="20"/>
          <w:szCs w:val="20"/>
          <w:lang w:val="en-US"/>
        </w:rPr>
        <w:t xml:space="preserve">2009 </w:t>
      </w:r>
      <w:r w:rsidRPr="00B24750">
        <w:rPr>
          <w:rFonts w:asciiTheme="majorHAnsi" w:hAnsiTheme="majorHAnsi"/>
          <w:sz w:val="20"/>
          <w:szCs w:val="20"/>
          <w:lang w:val="en-US"/>
        </w:rPr>
        <w:t xml:space="preserve">detention and </w:t>
      </w:r>
      <w:r w:rsidR="006E62A8">
        <w:rPr>
          <w:rFonts w:asciiTheme="majorHAnsi" w:hAnsiTheme="majorHAnsi"/>
          <w:sz w:val="20"/>
          <w:szCs w:val="20"/>
          <w:lang w:val="en-US"/>
        </w:rPr>
        <w:t xml:space="preserve">because of </w:t>
      </w:r>
      <w:r w:rsidRPr="00B24750">
        <w:rPr>
          <w:rFonts w:asciiTheme="majorHAnsi" w:hAnsiTheme="majorHAnsi"/>
          <w:sz w:val="20"/>
          <w:szCs w:val="20"/>
          <w:lang w:val="en-US"/>
        </w:rPr>
        <w:t xml:space="preserve">this violence had to use crutches for a week. In 2010 and 2012, she was again beaten in detention. </w:t>
      </w:r>
      <w:r w:rsidR="00464E2E" w:rsidRPr="00B24750">
        <w:rPr>
          <w:rFonts w:asciiTheme="majorHAnsi" w:hAnsiTheme="majorHAnsi"/>
          <w:sz w:val="20"/>
          <w:szCs w:val="20"/>
          <w:lang w:val="en-US"/>
        </w:rPr>
        <w:t>This last time</w:t>
      </w:r>
      <w:r w:rsidRPr="00B24750">
        <w:rPr>
          <w:rFonts w:asciiTheme="majorHAnsi" w:hAnsiTheme="majorHAnsi"/>
          <w:sz w:val="20"/>
          <w:szCs w:val="20"/>
          <w:lang w:val="en-US"/>
        </w:rPr>
        <w:t xml:space="preserve">, the petitioners </w:t>
      </w:r>
      <w:r w:rsidR="00464E2E" w:rsidRPr="00B24750">
        <w:rPr>
          <w:rFonts w:asciiTheme="majorHAnsi" w:hAnsiTheme="majorHAnsi"/>
          <w:sz w:val="20"/>
          <w:szCs w:val="20"/>
          <w:lang w:val="en-US"/>
        </w:rPr>
        <w:t>state</w:t>
      </w:r>
      <w:r w:rsidRPr="00B24750">
        <w:rPr>
          <w:rFonts w:asciiTheme="majorHAnsi" w:hAnsiTheme="majorHAnsi"/>
          <w:sz w:val="20"/>
          <w:szCs w:val="20"/>
          <w:lang w:val="en-US"/>
        </w:rPr>
        <w:t xml:space="preserve">, the alleged victim was subjected to violence </w:t>
      </w:r>
      <w:r w:rsidR="00A54974" w:rsidRPr="00B24750">
        <w:rPr>
          <w:rFonts w:asciiTheme="majorHAnsi" w:hAnsiTheme="majorHAnsi"/>
          <w:sz w:val="20"/>
          <w:szCs w:val="20"/>
          <w:lang w:val="en-US"/>
        </w:rPr>
        <w:t>resulting</w:t>
      </w:r>
      <w:r w:rsidR="00464E2E" w:rsidRPr="00B24750">
        <w:rPr>
          <w:rFonts w:asciiTheme="majorHAnsi" w:hAnsiTheme="majorHAnsi"/>
          <w:sz w:val="20"/>
          <w:szCs w:val="20"/>
          <w:lang w:val="en-US"/>
        </w:rPr>
        <w:t xml:space="preserve"> in</w:t>
      </w:r>
      <w:r w:rsidRPr="00B24750">
        <w:rPr>
          <w:rFonts w:asciiTheme="majorHAnsi" w:hAnsiTheme="majorHAnsi"/>
          <w:sz w:val="20"/>
          <w:szCs w:val="20"/>
          <w:lang w:val="en-US"/>
        </w:rPr>
        <w:t xml:space="preserve"> a </w:t>
      </w:r>
      <w:r w:rsidR="00464E2E" w:rsidRPr="00B24750">
        <w:rPr>
          <w:rFonts w:asciiTheme="majorHAnsi" w:hAnsiTheme="majorHAnsi"/>
          <w:sz w:val="20"/>
          <w:szCs w:val="20"/>
          <w:lang w:val="en-US"/>
        </w:rPr>
        <w:t xml:space="preserve">broken </w:t>
      </w:r>
      <w:r w:rsidRPr="00B24750">
        <w:rPr>
          <w:rFonts w:asciiTheme="majorHAnsi" w:hAnsiTheme="majorHAnsi"/>
          <w:sz w:val="20"/>
          <w:szCs w:val="20"/>
          <w:lang w:val="en-US"/>
        </w:rPr>
        <w:t xml:space="preserve">tooth and </w:t>
      </w:r>
      <w:r w:rsidR="00464E2E" w:rsidRPr="00B24750">
        <w:rPr>
          <w:rFonts w:asciiTheme="majorHAnsi" w:hAnsiTheme="majorHAnsi"/>
          <w:sz w:val="20"/>
          <w:szCs w:val="20"/>
          <w:lang w:val="en-US"/>
        </w:rPr>
        <w:t>bruised</w:t>
      </w:r>
      <w:r w:rsidRPr="00B24750">
        <w:rPr>
          <w:rFonts w:asciiTheme="majorHAnsi" w:hAnsiTheme="majorHAnsi"/>
          <w:sz w:val="20"/>
          <w:szCs w:val="20"/>
          <w:lang w:val="en-US"/>
        </w:rPr>
        <w:t xml:space="preserve"> ribs</w:t>
      </w:r>
      <w:r w:rsidR="00A54974" w:rsidRPr="00B24750">
        <w:rPr>
          <w:rFonts w:asciiTheme="majorHAnsi" w:hAnsiTheme="majorHAnsi"/>
          <w:sz w:val="20"/>
          <w:szCs w:val="20"/>
          <w:lang w:val="en-US"/>
        </w:rPr>
        <w:t>,</w:t>
      </w:r>
      <w:r w:rsidRPr="00B24750">
        <w:rPr>
          <w:rFonts w:asciiTheme="majorHAnsi" w:hAnsiTheme="majorHAnsi"/>
          <w:sz w:val="20"/>
          <w:szCs w:val="20"/>
          <w:lang w:val="en-US"/>
        </w:rPr>
        <w:t xml:space="preserve"> and </w:t>
      </w:r>
      <w:r w:rsidR="00A54974" w:rsidRPr="00B24750">
        <w:rPr>
          <w:rFonts w:asciiTheme="majorHAnsi" w:hAnsiTheme="majorHAnsi"/>
          <w:sz w:val="20"/>
          <w:szCs w:val="20"/>
          <w:lang w:val="en-US"/>
        </w:rPr>
        <w:t xml:space="preserve">she </w:t>
      </w:r>
      <w:r w:rsidRPr="00B24750">
        <w:rPr>
          <w:rFonts w:asciiTheme="majorHAnsi" w:hAnsiTheme="majorHAnsi"/>
          <w:sz w:val="20"/>
          <w:szCs w:val="20"/>
          <w:lang w:val="en-US"/>
        </w:rPr>
        <w:t xml:space="preserve">was </w:t>
      </w:r>
      <w:r w:rsidR="00A54974" w:rsidRPr="00B24750">
        <w:rPr>
          <w:rFonts w:asciiTheme="majorHAnsi" w:hAnsiTheme="majorHAnsi"/>
          <w:sz w:val="20"/>
          <w:szCs w:val="20"/>
          <w:lang w:val="en-US"/>
        </w:rPr>
        <w:t xml:space="preserve">also </w:t>
      </w:r>
      <w:r w:rsidRPr="00B24750">
        <w:rPr>
          <w:rFonts w:asciiTheme="majorHAnsi" w:hAnsiTheme="majorHAnsi"/>
          <w:sz w:val="20"/>
          <w:szCs w:val="20"/>
          <w:lang w:val="en-US"/>
        </w:rPr>
        <w:t>subjected to an attempt at forced nudity</w:t>
      </w:r>
      <w:r w:rsidR="00775122" w:rsidRPr="00B24750">
        <w:rPr>
          <w:rFonts w:asciiTheme="majorHAnsi" w:hAnsiTheme="majorHAnsi"/>
          <w:sz w:val="20"/>
          <w:szCs w:val="20"/>
          <w:lang w:val="en-US"/>
        </w:rPr>
        <w:t>.</w:t>
      </w:r>
      <w:r w:rsidR="00464E2E" w:rsidRPr="00B24750">
        <w:rPr>
          <w:rFonts w:asciiTheme="majorHAnsi" w:hAnsiTheme="majorHAnsi"/>
          <w:sz w:val="20"/>
          <w:szCs w:val="20"/>
          <w:lang w:val="en-US"/>
        </w:rPr>
        <w:t xml:space="preserve"> </w:t>
      </w:r>
    </w:p>
    <w:p w14:paraId="72251B9B" w14:textId="77777777" w:rsidR="00D74723" w:rsidRPr="00B24750" w:rsidRDefault="00D74723"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5E863770" w14:textId="417423A7" w:rsidR="00801453" w:rsidRPr="00B24750" w:rsidRDefault="00195A73"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argue that Cuba violated the alleged victim’s </w:t>
      </w:r>
      <w:r w:rsidRPr="00B24750">
        <w:rPr>
          <w:rFonts w:asciiTheme="majorHAnsi" w:hAnsiTheme="majorHAnsi"/>
          <w:b/>
          <w:sz w:val="20"/>
          <w:szCs w:val="20"/>
          <w:lang w:val="en-US"/>
        </w:rPr>
        <w:t xml:space="preserve">right to residence and movement </w:t>
      </w:r>
      <w:r w:rsidRPr="00B24750">
        <w:rPr>
          <w:rFonts w:asciiTheme="majorHAnsi" w:hAnsiTheme="majorHAnsi"/>
          <w:sz w:val="20"/>
          <w:szCs w:val="20"/>
          <w:lang w:val="en-US"/>
        </w:rPr>
        <w:t xml:space="preserve">(Article VIII of the American Declaration), which includes a person’s right to leave their country of their own free will, because it refused to authorize her departure to receive several journalism and blogging awards without justifying or explaining how such a limitation was necessary and compatible with her rights. They also </w:t>
      </w:r>
      <w:r w:rsidR="00CE65FF" w:rsidRPr="00B24750">
        <w:rPr>
          <w:rFonts w:asciiTheme="majorHAnsi" w:hAnsiTheme="majorHAnsi"/>
          <w:sz w:val="20"/>
          <w:szCs w:val="20"/>
          <w:lang w:val="en-US"/>
        </w:rPr>
        <w:t>contend</w:t>
      </w:r>
      <w:r w:rsidRPr="00B24750">
        <w:rPr>
          <w:rFonts w:asciiTheme="majorHAnsi" w:hAnsiTheme="majorHAnsi"/>
          <w:sz w:val="20"/>
          <w:szCs w:val="20"/>
          <w:lang w:val="en-US"/>
        </w:rPr>
        <w:t xml:space="preserve"> that Cuba violated </w:t>
      </w:r>
      <w:r w:rsidRPr="00B24750">
        <w:rPr>
          <w:rFonts w:asciiTheme="majorHAnsi" w:hAnsiTheme="majorHAnsi"/>
          <w:b/>
          <w:sz w:val="20"/>
          <w:szCs w:val="20"/>
          <w:lang w:val="en-US"/>
        </w:rPr>
        <w:t xml:space="preserve">the right to a fair trial and the right of petition </w:t>
      </w:r>
      <w:r w:rsidRPr="00B24750">
        <w:rPr>
          <w:rFonts w:asciiTheme="majorHAnsi" w:hAnsiTheme="majorHAnsi"/>
          <w:sz w:val="20"/>
          <w:szCs w:val="20"/>
          <w:lang w:val="en-US"/>
        </w:rPr>
        <w:t xml:space="preserve">(Articles XVIII and XXIV of the American Declaration) by failing to answer any of the appeals the alleged victim </w:t>
      </w:r>
      <w:r w:rsidR="00CE65FF" w:rsidRPr="00B24750">
        <w:rPr>
          <w:rFonts w:asciiTheme="majorHAnsi" w:hAnsiTheme="majorHAnsi"/>
          <w:sz w:val="20"/>
          <w:szCs w:val="20"/>
          <w:lang w:val="en-US"/>
        </w:rPr>
        <w:t xml:space="preserve">filed </w:t>
      </w:r>
      <w:r w:rsidRPr="00B24750">
        <w:rPr>
          <w:rFonts w:asciiTheme="majorHAnsi" w:hAnsiTheme="majorHAnsi"/>
          <w:sz w:val="20"/>
          <w:szCs w:val="20"/>
          <w:lang w:val="en-US"/>
        </w:rPr>
        <w:t>at the domestic level in re</w:t>
      </w:r>
      <w:r w:rsidR="00CE65FF" w:rsidRPr="00B24750">
        <w:rPr>
          <w:rFonts w:asciiTheme="majorHAnsi" w:hAnsiTheme="majorHAnsi"/>
          <w:sz w:val="20"/>
          <w:szCs w:val="20"/>
          <w:lang w:val="en-US"/>
        </w:rPr>
        <w:t>sponse</w:t>
      </w:r>
      <w:r w:rsidRPr="00B24750">
        <w:rPr>
          <w:rFonts w:asciiTheme="majorHAnsi" w:hAnsiTheme="majorHAnsi"/>
          <w:sz w:val="20"/>
          <w:szCs w:val="20"/>
          <w:lang w:val="en-US"/>
        </w:rPr>
        <w:t xml:space="preserve"> to the authorities</w:t>
      </w:r>
      <w:r w:rsidR="00CE65FF" w:rsidRPr="00B24750">
        <w:rPr>
          <w:rFonts w:asciiTheme="majorHAnsi" w:hAnsiTheme="majorHAnsi"/>
          <w:sz w:val="20"/>
          <w:szCs w:val="20"/>
          <w:lang w:val="en-US"/>
        </w:rPr>
        <w:t>’</w:t>
      </w:r>
      <w:r w:rsidRPr="00B24750">
        <w:rPr>
          <w:rFonts w:asciiTheme="majorHAnsi" w:hAnsiTheme="majorHAnsi"/>
          <w:sz w:val="20"/>
          <w:szCs w:val="20"/>
          <w:lang w:val="en-US"/>
        </w:rPr>
        <w:t xml:space="preserve"> refusal to authorize her departure from the country </w:t>
      </w:r>
      <w:r w:rsidR="00CE65FF" w:rsidRPr="00B24750">
        <w:rPr>
          <w:rFonts w:asciiTheme="majorHAnsi" w:hAnsiTheme="majorHAnsi"/>
          <w:sz w:val="20"/>
          <w:szCs w:val="20"/>
          <w:lang w:val="en-US"/>
        </w:rPr>
        <w:t>or</w:t>
      </w:r>
      <w:r w:rsidRPr="00B24750">
        <w:rPr>
          <w:rFonts w:asciiTheme="majorHAnsi" w:hAnsiTheme="majorHAnsi"/>
          <w:sz w:val="20"/>
          <w:szCs w:val="20"/>
          <w:lang w:val="en-US"/>
        </w:rPr>
        <w:t xml:space="preserve"> the complaints about the detentions and </w:t>
      </w:r>
      <w:r w:rsidR="00CE65FF" w:rsidRPr="00B24750">
        <w:rPr>
          <w:rFonts w:asciiTheme="majorHAnsi" w:hAnsiTheme="majorHAnsi"/>
          <w:sz w:val="20"/>
          <w:szCs w:val="20"/>
          <w:lang w:val="en-US"/>
        </w:rPr>
        <w:t>abuse to which she had been subjected</w:t>
      </w:r>
      <w:r w:rsidR="00801453" w:rsidRPr="00B24750">
        <w:rPr>
          <w:rFonts w:asciiTheme="majorHAnsi" w:hAnsiTheme="majorHAnsi"/>
          <w:sz w:val="20"/>
          <w:szCs w:val="20"/>
          <w:lang w:val="en-US"/>
        </w:rPr>
        <w:t xml:space="preserve">. </w:t>
      </w:r>
    </w:p>
    <w:p w14:paraId="2F9687C4" w14:textId="61FBA3B9" w:rsidR="00155DCF" w:rsidRPr="00B24750" w:rsidRDefault="00155DCF"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0B1370BD" w14:textId="28C9AC68" w:rsidR="00A547F1" w:rsidRPr="00B24750" w:rsidRDefault="00D337E6"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further indicate that barring the alleged victim’s access to various places and public meetings—including the demonstrations over the death of Oswaldo </w:t>
      </w:r>
      <w:proofErr w:type="spellStart"/>
      <w:r w:rsidRPr="00B24750">
        <w:rPr>
          <w:rFonts w:asciiTheme="majorHAnsi" w:hAnsiTheme="majorHAnsi"/>
          <w:sz w:val="20"/>
          <w:szCs w:val="20"/>
          <w:lang w:val="en-US"/>
        </w:rPr>
        <w:t>Payá</w:t>
      </w:r>
      <w:proofErr w:type="spellEnd"/>
      <w:r w:rsidRPr="00B24750">
        <w:rPr>
          <w:rFonts w:asciiTheme="majorHAnsi" w:hAnsiTheme="majorHAnsi"/>
          <w:sz w:val="20"/>
          <w:szCs w:val="20"/>
          <w:lang w:val="en-US"/>
        </w:rPr>
        <w:t xml:space="preserve">—plus the social isolation instigated and promoted by the Cuban government to discourage her friends and acquaintances from interacting with her socially </w:t>
      </w:r>
      <w:r w:rsidR="00BD0970" w:rsidRPr="00B24750">
        <w:rPr>
          <w:rFonts w:asciiTheme="majorHAnsi" w:hAnsiTheme="majorHAnsi"/>
          <w:sz w:val="20"/>
          <w:szCs w:val="20"/>
          <w:lang w:val="en-US"/>
        </w:rPr>
        <w:t>after she was</w:t>
      </w:r>
      <w:r w:rsidRPr="00B24750">
        <w:rPr>
          <w:rFonts w:asciiTheme="majorHAnsi" w:hAnsiTheme="majorHAnsi"/>
          <w:sz w:val="20"/>
          <w:szCs w:val="20"/>
          <w:lang w:val="en-US"/>
        </w:rPr>
        <w:t xml:space="preserve"> declared a pariah in Cuban society, violated her </w:t>
      </w:r>
      <w:r w:rsidRPr="00B24750">
        <w:rPr>
          <w:rFonts w:asciiTheme="majorHAnsi" w:hAnsiTheme="majorHAnsi"/>
          <w:b/>
          <w:sz w:val="20"/>
          <w:szCs w:val="20"/>
          <w:lang w:val="en-US"/>
        </w:rPr>
        <w:t xml:space="preserve">right of assembly and association </w:t>
      </w:r>
      <w:r w:rsidRPr="00B24750">
        <w:rPr>
          <w:rFonts w:asciiTheme="majorHAnsi" w:hAnsiTheme="majorHAnsi"/>
          <w:sz w:val="20"/>
          <w:szCs w:val="20"/>
          <w:lang w:val="en-US"/>
        </w:rPr>
        <w:t>(Articles XXI and XXII of the American Declaration</w:t>
      </w:r>
      <w:r w:rsidR="00155DCF" w:rsidRPr="00B24750">
        <w:rPr>
          <w:rFonts w:asciiTheme="majorHAnsi" w:hAnsiTheme="majorHAnsi"/>
          <w:sz w:val="20"/>
          <w:szCs w:val="20"/>
          <w:lang w:val="en-US"/>
        </w:rPr>
        <w:t xml:space="preserve">). </w:t>
      </w:r>
    </w:p>
    <w:p w14:paraId="4A15AF44" w14:textId="18DA5E88" w:rsidR="00111F53" w:rsidRPr="00B24750" w:rsidRDefault="00111F53"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22DD8A26" w14:textId="1F889DE1" w:rsidR="00E70608" w:rsidRPr="00B24750" w:rsidRDefault="000E53D1"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allege that, since 2007,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Sánchez has been the target of far-fetched accusations intended to socially isolate and discredit her through Cuban media television programs that labeled her, </w:t>
      </w:r>
      <w:r w:rsidR="006E62A8">
        <w:rPr>
          <w:rFonts w:asciiTheme="majorHAnsi" w:hAnsiTheme="majorHAnsi"/>
          <w:sz w:val="20"/>
          <w:szCs w:val="20"/>
          <w:lang w:val="en-US"/>
        </w:rPr>
        <w:t xml:space="preserve">with no </w:t>
      </w:r>
      <w:r w:rsidRPr="00B24750">
        <w:rPr>
          <w:rFonts w:asciiTheme="majorHAnsi" w:hAnsiTheme="majorHAnsi"/>
          <w:sz w:val="20"/>
          <w:szCs w:val="20"/>
          <w:lang w:val="en-US"/>
        </w:rPr>
        <w:t xml:space="preserve">evidence, as a “mercenary” of the United States or a “terrorist.” They note that the Cuban State has incited the civilian population to cause her physical harm. All of this violated her </w:t>
      </w:r>
      <w:r w:rsidRPr="00B24750">
        <w:rPr>
          <w:rFonts w:asciiTheme="majorHAnsi" w:hAnsiTheme="majorHAnsi"/>
          <w:b/>
          <w:sz w:val="20"/>
          <w:szCs w:val="20"/>
          <w:lang w:val="en-US"/>
        </w:rPr>
        <w:t xml:space="preserve">right to the protection of </w:t>
      </w:r>
      <w:r w:rsidRPr="00B24750">
        <w:rPr>
          <w:rFonts w:asciiTheme="majorHAnsi" w:hAnsiTheme="majorHAnsi"/>
          <w:b/>
          <w:bCs/>
          <w:sz w:val="20"/>
          <w:szCs w:val="20"/>
          <w:lang w:val="en-US"/>
        </w:rPr>
        <w:t>her</w:t>
      </w:r>
      <w:r w:rsidRPr="00B24750">
        <w:rPr>
          <w:rFonts w:asciiTheme="majorHAnsi" w:hAnsiTheme="majorHAnsi"/>
          <w:sz w:val="20"/>
          <w:szCs w:val="20"/>
          <w:lang w:val="en-US"/>
        </w:rPr>
        <w:t xml:space="preserve"> </w:t>
      </w:r>
      <w:r w:rsidRPr="00B24750">
        <w:rPr>
          <w:rFonts w:asciiTheme="majorHAnsi" w:hAnsiTheme="majorHAnsi"/>
          <w:b/>
          <w:sz w:val="20"/>
          <w:szCs w:val="20"/>
          <w:lang w:val="en-US"/>
        </w:rPr>
        <w:t xml:space="preserve">honor and personal reputation </w:t>
      </w:r>
      <w:r w:rsidRPr="00B24750">
        <w:rPr>
          <w:rFonts w:asciiTheme="majorHAnsi" w:hAnsiTheme="majorHAnsi"/>
          <w:sz w:val="20"/>
          <w:szCs w:val="20"/>
          <w:lang w:val="en-US"/>
        </w:rPr>
        <w:t xml:space="preserve">(Article V of the American Declaration). The petitioners also note that the wiretapping of </w:t>
      </w:r>
      <w:proofErr w:type="spellStart"/>
      <w:r w:rsidRPr="00B24750">
        <w:rPr>
          <w:rFonts w:asciiTheme="majorHAnsi" w:hAnsiTheme="majorHAnsi"/>
          <w:sz w:val="20"/>
          <w:szCs w:val="20"/>
          <w:lang w:val="en-US"/>
        </w:rPr>
        <w:t>Yoani’s</w:t>
      </w:r>
      <w:proofErr w:type="spellEnd"/>
      <w:r w:rsidRPr="00B24750">
        <w:rPr>
          <w:rFonts w:asciiTheme="majorHAnsi" w:hAnsiTheme="majorHAnsi"/>
          <w:sz w:val="20"/>
          <w:szCs w:val="20"/>
          <w:lang w:val="en-US"/>
        </w:rPr>
        <w:t xml:space="preserve"> telephone and communications </w:t>
      </w:r>
      <w:r w:rsidR="00450D45" w:rsidRPr="00B24750">
        <w:rPr>
          <w:rFonts w:asciiTheme="majorHAnsi" w:hAnsiTheme="majorHAnsi"/>
          <w:sz w:val="20"/>
          <w:szCs w:val="20"/>
          <w:lang w:val="en-US"/>
        </w:rPr>
        <w:t>is part of</w:t>
      </w:r>
      <w:r w:rsidRPr="00B24750">
        <w:rPr>
          <w:rFonts w:asciiTheme="majorHAnsi" w:hAnsiTheme="majorHAnsi"/>
          <w:sz w:val="20"/>
          <w:szCs w:val="20"/>
          <w:lang w:val="en-US"/>
        </w:rPr>
        <w:t xml:space="preserve"> a common and systematic </w:t>
      </w:r>
      <w:r w:rsidR="00450D45" w:rsidRPr="00B24750">
        <w:rPr>
          <w:rFonts w:asciiTheme="majorHAnsi" w:hAnsiTheme="majorHAnsi"/>
          <w:sz w:val="20"/>
          <w:szCs w:val="20"/>
          <w:lang w:val="en-US"/>
        </w:rPr>
        <w:t xml:space="preserve">police </w:t>
      </w:r>
      <w:r w:rsidRPr="00B24750">
        <w:rPr>
          <w:rFonts w:asciiTheme="majorHAnsi" w:hAnsiTheme="majorHAnsi"/>
          <w:sz w:val="20"/>
          <w:szCs w:val="20"/>
          <w:lang w:val="en-US"/>
        </w:rPr>
        <w:t xml:space="preserve">practice against persons considered political dissidents </w:t>
      </w:r>
      <w:r w:rsidR="00450D45" w:rsidRPr="00B24750">
        <w:rPr>
          <w:rFonts w:asciiTheme="majorHAnsi" w:hAnsiTheme="majorHAnsi"/>
          <w:sz w:val="20"/>
          <w:szCs w:val="20"/>
          <w:lang w:val="en-US"/>
        </w:rPr>
        <w:t>to allow</w:t>
      </w:r>
      <w:r w:rsidRPr="00B24750">
        <w:rPr>
          <w:rFonts w:asciiTheme="majorHAnsi" w:hAnsiTheme="majorHAnsi"/>
          <w:sz w:val="20"/>
          <w:szCs w:val="20"/>
          <w:lang w:val="en-US"/>
        </w:rPr>
        <w:t xml:space="preserve"> the government to learn about meetings and demonstrations </w:t>
      </w:r>
      <w:r w:rsidR="00450D45" w:rsidRPr="00B24750">
        <w:rPr>
          <w:rFonts w:asciiTheme="majorHAnsi" w:hAnsiTheme="majorHAnsi"/>
          <w:sz w:val="20"/>
          <w:szCs w:val="20"/>
          <w:lang w:val="en-US"/>
        </w:rPr>
        <w:t>they may be planning</w:t>
      </w:r>
      <w:r w:rsidRPr="00B24750">
        <w:rPr>
          <w:rFonts w:asciiTheme="majorHAnsi" w:hAnsiTheme="majorHAnsi"/>
          <w:sz w:val="20"/>
          <w:szCs w:val="20"/>
          <w:lang w:val="en-US"/>
        </w:rPr>
        <w:t>. This violated the blogger</w:t>
      </w:r>
      <w:r w:rsidR="00450D45" w:rsidRPr="00B24750">
        <w:rPr>
          <w:rFonts w:asciiTheme="majorHAnsi" w:hAnsiTheme="majorHAnsi"/>
          <w:sz w:val="20"/>
          <w:szCs w:val="20"/>
          <w:lang w:val="en-US"/>
        </w:rPr>
        <w:t>’</w:t>
      </w:r>
      <w:r w:rsidRPr="00B24750">
        <w:rPr>
          <w:rFonts w:asciiTheme="majorHAnsi" w:hAnsiTheme="majorHAnsi"/>
          <w:sz w:val="20"/>
          <w:szCs w:val="20"/>
          <w:lang w:val="en-US"/>
        </w:rPr>
        <w:t xml:space="preserve">s </w:t>
      </w:r>
      <w:r w:rsidR="00450D45" w:rsidRPr="00B24750">
        <w:rPr>
          <w:rFonts w:asciiTheme="majorHAnsi" w:hAnsiTheme="majorHAnsi"/>
          <w:b/>
          <w:sz w:val="20"/>
          <w:szCs w:val="20"/>
          <w:lang w:val="en-US"/>
        </w:rPr>
        <w:t>right to the inviolability and transmission of correspondence</w:t>
      </w:r>
      <w:r w:rsidRPr="00B24750">
        <w:rPr>
          <w:rFonts w:asciiTheme="majorHAnsi" w:hAnsiTheme="majorHAnsi"/>
          <w:b/>
          <w:sz w:val="20"/>
          <w:szCs w:val="20"/>
          <w:lang w:val="en-US"/>
        </w:rPr>
        <w:t xml:space="preserve"> </w:t>
      </w:r>
      <w:r w:rsidRPr="00B24750">
        <w:rPr>
          <w:rFonts w:asciiTheme="majorHAnsi" w:hAnsiTheme="majorHAnsi"/>
          <w:sz w:val="20"/>
          <w:szCs w:val="20"/>
          <w:lang w:val="en-US"/>
        </w:rPr>
        <w:t>(Article X of the American Declaration</w:t>
      </w:r>
      <w:r w:rsidR="00A547F1" w:rsidRPr="00B24750">
        <w:rPr>
          <w:rFonts w:asciiTheme="majorHAnsi" w:hAnsiTheme="majorHAnsi"/>
          <w:sz w:val="20"/>
          <w:szCs w:val="20"/>
          <w:lang w:val="en-US"/>
        </w:rPr>
        <w:t xml:space="preserve">). </w:t>
      </w:r>
    </w:p>
    <w:p w14:paraId="670793DC" w14:textId="77777777" w:rsidR="00E70608" w:rsidRPr="00B24750" w:rsidRDefault="00E70608" w:rsidP="009D14E7">
      <w:pPr>
        <w:pStyle w:val="ListParagraph"/>
        <w:ind w:left="0"/>
        <w:rPr>
          <w:rFonts w:asciiTheme="majorHAnsi" w:hAnsiTheme="majorHAnsi"/>
          <w:sz w:val="20"/>
          <w:szCs w:val="20"/>
        </w:rPr>
      </w:pPr>
    </w:p>
    <w:p w14:paraId="602A9902" w14:textId="3BBD1D1B" w:rsidR="00A547F1" w:rsidRPr="00B24750" w:rsidRDefault="005219F5"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They assert that persons linked to the regime constantly monitor the surroundings of the alleged victim’s residence, sometimes even questioning people who visit her, which </w:t>
      </w:r>
      <w:r w:rsidR="00490E3C">
        <w:rPr>
          <w:rFonts w:asciiTheme="majorHAnsi" w:hAnsiTheme="majorHAnsi"/>
          <w:sz w:val="20"/>
          <w:szCs w:val="20"/>
          <w:lang w:val="en-US"/>
        </w:rPr>
        <w:t>infringes</w:t>
      </w:r>
      <w:r w:rsidR="006E62A8">
        <w:rPr>
          <w:rFonts w:asciiTheme="majorHAnsi" w:hAnsiTheme="majorHAnsi"/>
          <w:sz w:val="20"/>
          <w:szCs w:val="20"/>
          <w:lang w:val="en-US"/>
        </w:rPr>
        <w:t xml:space="preserve"> </w:t>
      </w:r>
      <w:r w:rsidRPr="00B24750">
        <w:rPr>
          <w:rFonts w:asciiTheme="majorHAnsi" w:hAnsiTheme="majorHAnsi"/>
          <w:sz w:val="20"/>
          <w:szCs w:val="20"/>
          <w:lang w:val="en-US"/>
        </w:rPr>
        <w:t xml:space="preserve">her </w:t>
      </w:r>
      <w:r w:rsidRPr="00B24750">
        <w:rPr>
          <w:rFonts w:asciiTheme="majorHAnsi" w:hAnsiTheme="majorHAnsi"/>
          <w:b/>
          <w:sz w:val="20"/>
          <w:szCs w:val="20"/>
          <w:lang w:val="en-US"/>
        </w:rPr>
        <w:t xml:space="preserve">right to the inviolability of the home </w:t>
      </w:r>
      <w:r w:rsidRPr="00B24750">
        <w:rPr>
          <w:rFonts w:asciiTheme="majorHAnsi" w:hAnsiTheme="majorHAnsi"/>
          <w:sz w:val="20"/>
          <w:szCs w:val="20"/>
          <w:lang w:val="en-US"/>
        </w:rPr>
        <w:t>(Article IX of the American Declaration</w:t>
      </w:r>
      <w:r w:rsidR="007E2E80" w:rsidRPr="00B24750">
        <w:rPr>
          <w:rFonts w:asciiTheme="majorHAnsi" w:hAnsiTheme="majorHAnsi"/>
          <w:sz w:val="20"/>
          <w:szCs w:val="20"/>
          <w:lang w:val="en-US"/>
        </w:rPr>
        <w:t>).</w:t>
      </w:r>
    </w:p>
    <w:p w14:paraId="2DC0F5D0" w14:textId="77777777" w:rsidR="00D74723" w:rsidRPr="00B24750" w:rsidRDefault="00D74723" w:rsidP="009D14E7">
      <w:pPr>
        <w:pStyle w:val="ListParagraph"/>
        <w:ind w:left="0"/>
        <w:rPr>
          <w:rFonts w:asciiTheme="majorHAnsi" w:hAnsiTheme="majorHAnsi"/>
          <w:sz w:val="20"/>
          <w:szCs w:val="20"/>
        </w:rPr>
      </w:pPr>
    </w:p>
    <w:p w14:paraId="509D179A" w14:textId="752442B9" w:rsidR="00D4004F" w:rsidRPr="00B24750" w:rsidRDefault="005219F5"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The petitioner</w:t>
      </w:r>
      <w:r w:rsidR="00EE1D98" w:rsidRPr="00B24750">
        <w:rPr>
          <w:rFonts w:asciiTheme="majorHAnsi" w:hAnsiTheme="majorHAnsi"/>
          <w:sz w:val="20"/>
          <w:szCs w:val="20"/>
          <w:lang w:val="en-US"/>
        </w:rPr>
        <w:t>s</w:t>
      </w:r>
      <w:r w:rsidRPr="00B24750">
        <w:rPr>
          <w:rFonts w:asciiTheme="majorHAnsi" w:hAnsiTheme="majorHAnsi"/>
          <w:sz w:val="20"/>
          <w:szCs w:val="20"/>
          <w:lang w:val="en-US"/>
        </w:rPr>
        <w:t xml:space="preserve"> submit that the State violated the blogger’s </w:t>
      </w:r>
      <w:r w:rsidRPr="00B24750">
        <w:rPr>
          <w:rFonts w:asciiTheme="majorHAnsi" w:hAnsiTheme="majorHAnsi"/>
          <w:b/>
          <w:sz w:val="20"/>
          <w:szCs w:val="20"/>
          <w:lang w:val="en-US"/>
        </w:rPr>
        <w:t xml:space="preserve">right to freedom of expression </w:t>
      </w:r>
      <w:r w:rsidRPr="00B24750">
        <w:rPr>
          <w:rFonts w:asciiTheme="majorHAnsi" w:hAnsiTheme="majorHAnsi"/>
          <w:sz w:val="20"/>
          <w:szCs w:val="20"/>
          <w:lang w:val="en-US"/>
        </w:rPr>
        <w:t>(Article IV of the American Declaration) because the denials of her requests to leave the country</w:t>
      </w:r>
      <w:r w:rsidR="00EE1D98" w:rsidRPr="00B24750">
        <w:rPr>
          <w:rFonts w:asciiTheme="majorHAnsi" w:hAnsiTheme="majorHAnsi"/>
          <w:sz w:val="20"/>
          <w:szCs w:val="20"/>
          <w:lang w:val="en-US"/>
        </w:rPr>
        <w:t>,</w:t>
      </w:r>
      <w:r w:rsidRPr="00B24750">
        <w:rPr>
          <w:rFonts w:asciiTheme="majorHAnsi" w:hAnsiTheme="majorHAnsi"/>
          <w:sz w:val="20"/>
          <w:szCs w:val="20"/>
          <w:lang w:val="en-US"/>
        </w:rPr>
        <w:t xml:space="preserve"> the public campaigns to discredit, insult, and threaten her</w:t>
      </w:r>
      <w:r w:rsidR="00EE1D98" w:rsidRPr="00B24750">
        <w:rPr>
          <w:rFonts w:asciiTheme="majorHAnsi" w:hAnsiTheme="majorHAnsi"/>
          <w:sz w:val="20"/>
          <w:szCs w:val="20"/>
          <w:lang w:val="en-US"/>
        </w:rPr>
        <w:t>,</w:t>
      </w:r>
      <w:r w:rsidRPr="00B24750">
        <w:rPr>
          <w:rFonts w:asciiTheme="majorHAnsi" w:hAnsiTheme="majorHAnsi"/>
          <w:sz w:val="20"/>
          <w:szCs w:val="20"/>
          <w:lang w:val="en-US"/>
        </w:rPr>
        <w:t xml:space="preserve"> and the arbitrary detentions</w:t>
      </w:r>
      <w:r w:rsidR="00EE1D98" w:rsidRPr="00B24750">
        <w:rPr>
          <w:rFonts w:asciiTheme="majorHAnsi" w:hAnsiTheme="majorHAnsi"/>
          <w:sz w:val="20"/>
          <w:szCs w:val="20"/>
          <w:lang w:val="en-US"/>
        </w:rPr>
        <w:t xml:space="preserve"> all</w:t>
      </w:r>
      <w:r w:rsidRPr="00B24750">
        <w:rPr>
          <w:rFonts w:asciiTheme="majorHAnsi" w:hAnsiTheme="majorHAnsi"/>
          <w:sz w:val="20"/>
          <w:szCs w:val="20"/>
          <w:lang w:val="en-US"/>
        </w:rPr>
        <w:t xml:space="preserve"> </w:t>
      </w:r>
      <w:r w:rsidR="00EE1D98" w:rsidRPr="00B24750">
        <w:rPr>
          <w:rFonts w:asciiTheme="majorHAnsi" w:hAnsiTheme="majorHAnsi"/>
          <w:sz w:val="20"/>
          <w:szCs w:val="20"/>
          <w:lang w:val="en-US"/>
        </w:rPr>
        <w:t>stem from</w:t>
      </w:r>
      <w:r w:rsidRPr="00B24750">
        <w:rPr>
          <w:rFonts w:asciiTheme="majorHAnsi" w:hAnsiTheme="majorHAnsi"/>
          <w:sz w:val="20"/>
          <w:szCs w:val="20"/>
          <w:lang w:val="en-US"/>
        </w:rPr>
        <w:t xml:space="preserve"> the exercise of her right to freedom of expression and </w:t>
      </w:r>
      <w:r w:rsidR="00EE1D98" w:rsidRPr="00B24750">
        <w:rPr>
          <w:rFonts w:asciiTheme="majorHAnsi" w:hAnsiTheme="majorHAnsi"/>
          <w:sz w:val="20"/>
          <w:szCs w:val="20"/>
          <w:lang w:val="en-US"/>
        </w:rPr>
        <w:t>are</w:t>
      </w:r>
      <w:r w:rsidRPr="00B24750">
        <w:rPr>
          <w:rFonts w:asciiTheme="majorHAnsi" w:hAnsiTheme="majorHAnsi"/>
          <w:sz w:val="20"/>
          <w:szCs w:val="20"/>
          <w:lang w:val="en-US"/>
        </w:rPr>
        <w:t xml:space="preserve"> a form of reprisal. </w:t>
      </w:r>
      <w:r w:rsidR="00EE1D98" w:rsidRPr="00B24750">
        <w:rPr>
          <w:rFonts w:asciiTheme="majorHAnsi" w:hAnsiTheme="majorHAnsi"/>
          <w:sz w:val="20"/>
          <w:szCs w:val="20"/>
          <w:lang w:val="en-US"/>
        </w:rPr>
        <w:t>They</w:t>
      </w:r>
      <w:r w:rsidRPr="00B24750">
        <w:rPr>
          <w:rFonts w:asciiTheme="majorHAnsi" w:hAnsiTheme="majorHAnsi"/>
          <w:sz w:val="20"/>
          <w:szCs w:val="20"/>
          <w:lang w:val="en-US"/>
        </w:rPr>
        <w:t xml:space="preserve"> point out that </w:t>
      </w:r>
      <w:r w:rsidR="00EE1D98" w:rsidRPr="00B24750">
        <w:rPr>
          <w:rFonts w:asciiTheme="majorHAnsi" w:hAnsiTheme="majorHAnsi"/>
          <w:sz w:val="20"/>
          <w:szCs w:val="20"/>
          <w:lang w:val="en-US"/>
        </w:rPr>
        <w:t xml:space="preserve">the State’s </w:t>
      </w:r>
      <w:r w:rsidR="0095335E" w:rsidRPr="00B24750">
        <w:rPr>
          <w:rFonts w:asciiTheme="majorHAnsi" w:hAnsiTheme="majorHAnsi"/>
          <w:sz w:val="20"/>
          <w:szCs w:val="20"/>
          <w:lang w:val="en-US"/>
        </w:rPr>
        <w:t>use of filters</w:t>
      </w:r>
      <w:r w:rsidR="00EE1D98" w:rsidRPr="00B24750">
        <w:rPr>
          <w:rFonts w:asciiTheme="majorHAnsi" w:hAnsiTheme="majorHAnsi"/>
          <w:sz w:val="20"/>
          <w:szCs w:val="20"/>
          <w:lang w:val="en-US"/>
        </w:rPr>
        <w:t xml:space="preserve"> to block </w:t>
      </w:r>
      <w:r w:rsidRPr="00B24750">
        <w:rPr>
          <w:rFonts w:asciiTheme="majorHAnsi" w:hAnsiTheme="majorHAnsi"/>
          <w:sz w:val="20"/>
          <w:szCs w:val="20"/>
          <w:lang w:val="en-US"/>
        </w:rPr>
        <w:t xml:space="preserve">access </w:t>
      </w:r>
      <w:r w:rsidR="00EE1D98" w:rsidRPr="00B24750">
        <w:rPr>
          <w:rFonts w:asciiTheme="majorHAnsi" w:hAnsiTheme="majorHAnsi"/>
          <w:sz w:val="20"/>
          <w:szCs w:val="20"/>
          <w:lang w:val="en-US"/>
        </w:rPr>
        <w:t xml:space="preserve">to </w:t>
      </w:r>
      <w:r w:rsidRPr="00B24750">
        <w:rPr>
          <w:rFonts w:asciiTheme="majorHAnsi" w:hAnsiTheme="majorHAnsi"/>
          <w:sz w:val="20"/>
          <w:szCs w:val="20"/>
          <w:lang w:val="en-US"/>
        </w:rPr>
        <w:t xml:space="preserve">the </w:t>
      </w:r>
      <w:proofErr w:type="spellStart"/>
      <w:r w:rsidRPr="00B24750">
        <w:rPr>
          <w:rFonts w:asciiTheme="majorHAnsi" w:hAnsiTheme="majorHAnsi"/>
          <w:i/>
          <w:iCs/>
          <w:sz w:val="20"/>
          <w:szCs w:val="20"/>
          <w:lang w:val="en-US"/>
        </w:rPr>
        <w:t>Generación</w:t>
      </w:r>
      <w:proofErr w:type="spellEnd"/>
      <w:r w:rsidRPr="00B24750">
        <w:rPr>
          <w:rFonts w:asciiTheme="majorHAnsi" w:hAnsiTheme="majorHAnsi"/>
          <w:i/>
          <w:iCs/>
          <w:sz w:val="20"/>
          <w:szCs w:val="20"/>
          <w:lang w:val="en-US"/>
        </w:rPr>
        <w:t xml:space="preserve"> Y</w:t>
      </w:r>
      <w:r w:rsidRPr="00B24750">
        <w:rPr>
          <w:rFonts w:asciiTheme="majorHAnsi" w:hAnsiTheme="majorHAnsi"/>
          <w:sz w:val="20"/>
          <w:szCs w:val="20"/>
          <w:lang w:val="en-US"/>
        </w:rPr>
        <w:t xml:space="preserve"> blog </w:t>
      </w:r>
      <w:r w:rsidR="00EE1D98" w:rsidRPr="00B24750">
        <w:rPr>
          <w:rFonts w:asciiTheme="majorHAnsi" w:hAnsiTheme="majorHAnsi"/>
          <w:sz w:val="20"/>
          <w:szCs w:val="20"/>
          <w:lang w:val="en-US"/>
        </w:rPr>
        <w:t>from</w:t>
      </w:r>
      <w:r w:rsidRPr="00B24750">
        <w:rPr>
          <w:rFonts w:asciiTheme="majorHAnsi" w:hAnsiTheme="majorHAnsi"/>
          <w:sz w:val="20"/>
          <w:szCs w:val="20"/>
          <w:lang w:val="en-US"/>
        </w:rPr>
        <w:t xml:space="preserve"> public </w:t>
      </w:r>
      <w:r w:rsidR="00EE1D98" w:rsidRPr="00B24750">
        <w:rPr>
          <w:rFonts w:asciiTheme="majorHAnsi" w:hAnsiTheme="majorHAnsi"/>
          <w:sz w:val="20"/>
          <w:szCs w:val="20"/>
          <w:lang w:val="en-US"/>
        </w:rPr>
        <w:t>i</w:t>
      </w:r>
      <w:r w:rsidRPr="00B24750">
        <w:rPr>
          <w:rFonts w:asciiTheme="majorHAnsi" w:hAnsiTheme="majorHAnsi"/>
          <w:sz w:val="20"/>
          <w:szCs w:val="20"/>
          <w:lang w:val="en-US"/>
        </w:rPr>
        <w:t>nternet sites in Cuba</w:t>
      </w:r>
      <w:r w:rsidR="00EE1D98" w:rsidRPr="00B24750">
        <w:rPr>
          <w:rFonts w:asciiTheme="majorHAnsi" w:hAnsiTheme="majorHAnsi"/>
          <w:sz w:val="20"/>
          <w:szCs w:val="20"/>
          <w:lang w:val="en-US"/>
        </w:rPr>
        <w:t xml:space="preserve"> </w:t>
      </w:r>
      <w:r w:rsidRPr="00B24750">
        <w:rPr>
          <w:rFonts w:asciiTheme="majorHAnsi" w:hAnsiTheme="majorHAnsi"/>
          <w:sz w:val="20"/>
          <w:szCs w:val="20"/>
          <w:lang w:val="en-US"/>
        </w:rPr>
        <w:t xml:space="preserve">also violates this right. </w:t>
      </w:r>
      <w:r w:rsidR="008968F2" w:rsidRPr="00B24750">
        <w:rPr>
          <w:rFonts w:asciiTheme="majorHAnsi" w:hAnsiTheme="majorHAnsi"/>
          <w:sz w:val="20"/>
          <w:szCs w:val="20"/>
          <w:lang w:val="en-US"/>
        </w:rPr>
        <w:t>A</w:t>
      </w:r>
      <w:r w:rsidRPr="00B24750">
        <w:rPr>
          <w:rFonts w:asciiTheme="majorHAnsi" w:hAnsiTheme="majorHAnsi"/>
          <w:sz w:val="20"/>
          <w:szCs w:val="20"/>
          <w:lang w:val="en-US"/>
        </w:rPr>
        <w:t xml:space="preserve">ccording to the petitioners, </w:t>
      </w:r>
      <w:r w:rsidR="008968F2" w:rsidRPr="00B24750">
        <w:rPr>
          <w:rFonts w:asciiTheme="majorHAnsi" w:hAnsiTheme="majorHAnsi"/>
          <w:sz w:val="20"/>
          <w:szCs w:val="20"/>
          <w:lang w:val="en-US"/>
        </w:rPr>
        <w:t xml:space="preserve">this persecution </w:t>
      </w:r>
      <w:r w:rsidRPr="00B24750">
        <w:rPr>
          <w:rFonts w:asciiTheme="majorHAnsi" w:hAnsiTheme="majorHAnsi"/>
          <w:sz w:val="20"/>
          <w:szCs w:val="20"/>
          <w:lang w:val="en-US"/>
        </w:rPr>
        <w:t xml:space="preserve">is part of a </w:t>
      </w:r>
      <w:r w:rsidR="008968F2" w:rsidRPr="00B24750">
        <w:rPr>
          <w:rFonts w:asciiTheme="majorHAnsi" w:hAnsiTheme="majorHAnsi"/>
          <w:sz w:val="20"/>
          <w:szCs w:val="20"/>
          <w:lang w:val="en-US"/>
        </w:rPr>
        <w:t>broader scenario</w:t>
      </w:r>
      <w:r w:rsidRPr="00B24750">
        <w:rPr>
          <w:rFonts w:asciiTheme="majorHAnsi" w:hAnsiTheme="majorHAnsi"/>
          <w:sz w:val="20"/>
          <w:szCs w:val="20"/>
          <w:lang w:val="en-US"/>
        </w:rPr>
        <w:t xml:space="preserve"> of persecution of journalists and </w:t>
      </w:r>
      <w:r w:rsidR="0095335E" w:rsidRPr="00B24750">
        <w:rPr>
          <w:rFonts w:asciiTheme="majorHAnsi" w:hAnsiTheme="majorHAnsi"/>
          <w:sz w:val="20"/>
          <w:szCs w:val="20"/>
          <w:lang w:val="en-US"/>
        </w:rPr>
        <w:t xml:space="preserve">a </w:t>
      </w:r>
      <w:r w:rsidR="008968F2" w:rsidRPr="00B24750">
        <w:rPr>
          <w:rFonts w:asciiTheme="majorHAnsi" w:hAnsiTheme="majorHAnsi"/>
          <w:sz w:val="20"/>
          <w:szCs w:val="20"/>
          <w:lang w:val="en-US"/>
        </w:rPr>
        <w:t>failure to recognize</w:t>
      </w:r>
      <w:r w:rsidRPr="00B24750">
        <w:rPr>
          <w:rFonts w:asciiTheme="majorHAnsi" w:hAnsiTheme="majorHAnsi"/>
          <w:sz w:val="20"/>
          <w:szCs w:val="20"/>
          <w:lang w:val="en-US"/>
        </w:rPr>
        <w:t xml:space="preserve"> the right to freedom of expression in Cuba, which the IACHR has identified</w:t>
      </w:r>
      <w:r w:rsidR="00D4004F" w:rsidRPr="00B24750">
        <w:rPr>
          <w:rFonts w:asciiTheme="majorHAnsi" w:hAnsiTheme="majorHAnsi"/>
          <w:sz w:val="20"/>
          <w:szCs w:val="20"/>
          <w:lang w:val="en-US"/>
        </w:rPr>
        <w:t xml:space="preserve">. </w:t>
      </w:r>
    </w:p>
    <w:p w14:paraId="5757D830" w14:textId="10DEE9EF" w:rsidR="00AA2D14" w:rsidRPr="00B24750" w:rsidRDefault="00AA2D14"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1AFC587E" w14:textId="0E88F48E" w:rsidR="00440CDD" w:rsidRPr="00B24750" w:rsidRDefault="00AC288D"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petitioners also consider that the State violated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Sánchez’s </w:t>
      </w:r>
      <w:r w:rsidRPr="00B24750">
        <w:rPr>
          <w:rFonts w:asciiTheme="majorHAnsi" w:hAnsiTheme="majorHAnsi"/>
          <w:b/>
          <w:sz w:val="20"/>
          <w:szCs w:val="20"/>
          <w:lang w:val="en-US"/>
        </w:rPr>
        <w:t xml:space="preserve">right to vote and to participate in government </w:t>
      </w:r>
      <w:r w:rsidRPr="00B24750">
        <w:rPr>
          <w:rFonts w:asciiTheme="majorHAnsi" w:hAnsiTheme="majorHAnsi"/>
          <w:sz w:val="20"/>
          <w:szCs w:val="20"/>
          <w:lang w:val="en-US"/>
        </w:rPr>
        <w:t xml:space="preserve">(Article XX of the American Declaration). They indicate that this right includes the right to freely express criticism of the government and to propose political reforms. The petitioners allege that the State violated this right due to the police persecution and arrests </w:t>
      </w:r>
      <w:r w:rsidR="005E5CEE" w:rsidRPr="00B24750">
        <w:rPr>
          <w:rFonts w:asciiTheme="majorHAnsi" w:hAnsiTheme="majorHAnsi"/>
          <w:sz w:val="20"/>
          <w:szCs w:val="20"/>
          <w:lang w:val="en-US"/>
        </w:rPr>
        <w:t>of</w:t>
      </w:r>
      <w:r w:rsidRPr="00B24750">
        <w:rPr>
          <w:rFonts w:asciiTheme="majorHAnsi" w:hAnsiTheme="majorHAnsi"/>
          <w:sz w:val="20"/>
          <w:szCs w:val="20"/>
          <w:lang w:val="en-US"/>
        </w:rPr>
        <w:t xml:space="preserve"> the blogger </w:t>
      </w:r>
      <w:r w:rsidR="005E5CEE" w:rsidRPr="00B24750">
        <w:rPr>
          <w:rFonts w:asciiTheme="majorHAnsi" w:hAnsiTheme="majorHAnsi"/>
          <w:sz w:val="20"/>
          <w:szCs w:val="20"/>
          <w:lang w:val="en-US"/>
        </w:rPr>
        <w:t xml:space="preserve">based on her </w:t>
      </w:r>
      <w:r w:rsidR="006E62A8">
        <w:rPr>
          <w:rFonts w:asciiTheme="majorHAnsi" w:hAnsiTheme="majorHAnsi"/>
          <w:sz w:val="20"/>
          <w:szCs w:val="20"/>
          <w:lang w:val="en-US"/>
        </w:rPr>
        <w:t xml:space="preserve">speech </w:t>
      </w:r>
      <w:r w:rsidR="00CA4291">
        <w:rPr>
          <w:rFonts w:asciiTheme="majorHAnsi" w:hAnsiTheme="majorHAnsi"/>
          <w:sz w:val="20"/>
          <w:szCs w:val="20"/>
          <w:lang w:val="en-US"/>
        </w:rPr>
        <w:t>against</w:t>
      </w:r>
      <w:r w:rsidR="006E62A8">
        <w:rPr>
          <w:rFonts w:asciiTheme="majorHAnsi" w:hAnsiTheme="majorHAnsi"/>
          <w:sz w:val="20"/>
          <w:szCs w:val="20"/>
          <w:lang w:val="en-US"/>
        </w:rPr>
        <w:t xml:space="preserve"> </w:t>
      </w:r>
      <w:r w:rsidRPr="00B24750">
        <w:rPr>
          <w:rFonts w:asciiTheme="majorHAnsi" w:hAnsiTheme="majorHAnsi"/>
          <w:sz w:val="20"/>
          <w:szCs w:val="20"/>
          <w:lang w:val="en-US"/>
        </w:rPr>
        <w:t xml:space="preserve">the government and her </w:t>
      </w:r>
      <w:r w:rsidR="005E5CEE" w:rsidRPr="00B24750">
        <w:rPr>
          <w:rFonts w:asciiTheme="majorHAnsi" w:hAnsiTheme="majorHAnsi"/>
          <w:sz w:val="20"/>
          <w:szCs w:val="20"/>
          <w:lang w:val="en-US"/>
        </w:rPr>
        <w:t>complaints</w:t>
      </w:r>
      <w:r w:rsidRPr="00B24750">
        <w:rPr>
          <w:rFonts w:asciiTheme="majorHAnsi" w:hAnsiTheme="majorHAnsi"/>
          <w:sz w:val="20"/>
          <w:szCs w:val="20"/>
          <w:lang w:val="en-US"/>
        </w:rPr>
        <w:t xml:space="preserve"> of abuses and lack of freedoms in Cuba. </w:t>
      </w:r>
      <w:r w:rsidR="005E5CEE" w:rsidRPr="00B24750">
        <w:rPr>
          <w:rFonts w:asciiTheme="majorHAnsi" w:hAnsiTheme="majorHAnsi"/>
          <w:sz w:val="20"/>
          <w:szCs w:val="20"/>
          <w:lang w:val="en-US"/>
        </w:rPr>
        <w:t>They</w:t>
      </w:r>
      <w:r w:rsidRPr="00B24750">
        <w:rPr>
          <w:rFonts w:asciiTheme="majorHAnsi" w:hAnsiTheme="majorHAnsi"/>
          <w:sz w:val="20"/>
          <w:szCs w:val="20"/>
          <w:lang w:val="en-US"/>
        </w:rPr>
        <w:t xml:space="preserve"> state that freedom of expression is essential for </w:t>
      </w:r>
      <w:r w:rsidR="005E5CEE" w:rsidRPr="00B24750">
        <w:rPr>
          <w:rFonts w:asciiTheme="majorHAnsi" w:hAnsiTheme="majorHAnsi"/>
          <w:sz w:val="20"/>
          <w:szCs w:val="20"/>
          <w:lang w:val="en-US"/>
        </w:rPr>
        <w:t>“</w:t>
      </w:r>
      <w:r w:rsidRPr="00B24750">
        <w:rPr>
          <w:rFonts w:asciiTheme="majorHAnsi" w:hAnsiTheme="majorHAnsi"/>
          <w:sz w:val="20"/>
          <w:szCs w:val="20"/>
          <w:lang w:val="en-US"/>
        </w:rPr>
        <w:t>making decisions that affect the community</w:t>
      </w:r>
      <w:r w:rsidR="005E5CEE" w:rsidRPr="00B24750">
        <w:rPr>
          <w:rFonts w:asciiTheme="majorHAnsi" w:hAnsiTheme="majorHAnsi"/>
          <w:sz w:val="20"/>
          <w:szCs w:val="20"/>
          <w:lang w:val="en-US"/>
        </w:rPr>
        <w:t>”</w:t>
      </w:r>
      <w:r w:rsidRPr="00B24750">
        <w:rPr>
          <w:rFonts w:asciiTheme="majorHAnsi" w:hAnsiTheme="majorHAnsi"/>
          <w:sz w:val="20"/>
          <w:szCs w:val="20"/>
          <w:lang w:val="en-US"/>
        </w:rPr>
        <w:t xml:space="preserve"> and, therefore, is intimately related to </w:t>
      </w:r>
      <w:r w:rsidR="005E5CEE" w:rsidRPr="00B24750">
        <w:rPr>
          <w:rFonts w:asciiTheme="majorHAnsi" w:hAnsiTheme="majorHAnsi"/>
          <w:sz w:val="20"/>
          <w:szCs w:val="20"/>
          <w:lang w:val="en-US"/>
        </w:rPr>
        <w:t xml:space="preserve">voting </w:t>
      </w:r>
      <w:r w:rsidRPr="00B24750">
        <w:rPr>
          <w:rFonts w:asciiTheme="majorHAnsi" w:hAnsiTheme="majorHAnsi"/>
          <w:sz w:val="20"/>
          <w:szCs w:val="20"/>
          <w:lang w:val="en-US"/>
        </w:rPr>
        <w:t>and political participation</w:t>
      </w:r>
      <w:r w:rsidR="00440CDD" w:rsidRPr="00B24750">
        <w:rPr>
          <w:rFonts w:asciiTheme="majorHAnsi" w:hAnsiTheme="majorHAnsi"/>
          <w:sz w:val="20"/>
          <w:szCs w:val="20"/>
          <w:lang w:val="en-US"/>
        </w:rPr>
        <w:t>.</w:t>
      </w:r>
      <w:r w:rsidR="00D349B1" w:rsidRPr="00B24750">
        <w:rPr>
          <w:rFonts w:asciiTheme="majorHAnsi" w:hAnsiTheme="majorHAnsi"/>
          <w:sz w:val="20"/>
          <w:szCs w:val="20"/>
          <w:lang w:val="en-US"/>
        </w:rPr>
        <w:t xml:space="preserve"> </w:t>
      </w:r>
    </w:p>
    <w:p w14:paraId="41D58ACF" w14:textId="77777777" w:rsidR="00D4004F" w:rsidRPr="00B24750" w:rsidRDefault="00D4004F"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46071A56" w14:textId="60DB4365" w:rsidR="00D4004F" w:rsidRPr="00B24750" w:rsidRDefault="005E5CEE"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Finally, the petitioners contend that </w:t>
      </w:r>
      <w:proofErr w:type="spellStart"/>
      <w:r w:rsidRPr="00B24750">
        <w:rPr>
          <w:rFonts w:asciiTheme="majorHAnsi" w:hAnsiTheme="majorHAnsi"/>
          <w:sz w:val="20"/>
          <w:szCs w:val="20"/>
          <w:lang w:val="en-US"/>
        </w:rPr>
        <w:t>Yoani</w:t>
      </w:r>
      <w:proofErr w:type="spellEnd"/>
      <w:r w:rsidRPr="00B24750">
        <w:rPr>
          <w:rFonts w:asciiTheme="majorHAnsi" w:hAnsiTheme="majorHAnsi"/>
          <w:sz w:val="20"/>
          <w:szCs w:val="20"/>
          <w:lang w:val="en-US"/>
        </w:rPr>
        <w:t xml:space="preserve"> Sánchez is being persecuted, tortured, and denied permission to leave the country solely based on her political opinions and the exercise of her right to freedom of expression. The petitioners maintain that there are people who can leave the country without incident and who can freely express their political opinions as long as they are in line with socialism and the official doctrine of the Cuban government. This differential treatment </w:t>
      </w:r>
      <w:r w:rsidR="006E62A8">
        <w:rPr>
          <w:rFonts w:asciiTheme="majorHAnsi" w:hAnsiTheme="majorHAnsi"/>
          <w:sz w:val="20"/>
          <w:szCs w:val="20"/>
          <w:lang w:val="en-US"/>
        </w:rPr>
        <w:t xml:space="preserve">violates </w:t>
      </w:r>
      <w:r w:rsidRPr="00B24750">
        <w:rPr>
          <w:rFonts w:asciiTheme="majorHAnsi" w:hAnsiTheme="majorHAnsi"/>
          <w:sz w:val="20"/>
          <w:szCs w:val="20"/>
          <w:lang w:val="en-US"/>
        </w:rPr>
        <w:t xml:space="preserve">the </w:t>
      </w:r>
      <w:r w:rsidRPr="00B24750">
        <w:rPr>
          <w:rFonts w:asciiTheme="majorHAnsi" w:hAnsiTheme="majorHAnsi"/>
          <w:b/>
          <w:sz w:val="20"/>
          <w:szCs w:val="20"/>
          <w:lang w:val="en-US"/>
        </w:rPr>
        <w:t xml:space="preserve">right to equality before the law </w:t>
      </w:r>
      <w:r w:rsidRPr="00B24750">
        <w:rPr>
          <w:rFonts w:asciiTheme="majorHAnsi" w:hAnsiTheme="majorHAnsi"/>
          <w:sz w:val="20"/>
          <w:szCs w:val="20"/>
          <w:lang w:val="en-US"/>
        </w:rPr>
        <w:t>(Article II of the American Declaration</w:t>
      </w:r>
      <w:r w:rsidR="00D4004F" w:rsidRPr="00B24750">
        <w:rPr>
          <w:rFonts w:asciiTheme="majorHAnsi" w:hAnsiTheme="majorHAnsi"/>
          <w:sz w:val="20"/>
          <w:szCs w:val="20"/>
          <w:lang w:val="en-US"/>
        </w:rPr>
        <w:t xml:space="preserve">).   </w:t>
      </w:r>
    </w:p>
    <w:p w14:paraId="1698CBD6" w14:textId="39A1FEFE" w:rsidR="00536F65" w:rsidRPr="00B24750" w:rsidRDefault="00536F65"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3CD24CA4" w14:textId="77777777" w:rsidR="009D14E7" w:rsidRDefault="009D14E7">
      <w:pPr>
        <w:rPr>
          <w:rFonts w:asciiTheme="majorHAnsi" w:eastAsia="Times New Roman" w:hAnsiTheme="majorHAnsi" w:cs="Arial"/>
          <w:b/>
          <w:bCs/>
          <w:iCs/>
          <w:sz w:val="20"/>
          <w:szCs w:val="20"/>
          <w:bdr w:val="none" w:sz="0" w:space="0" w:color="auto"/>
          <w:lang w:val="en-US"/>
        </w:rPr>
      </w:pPr>
      <w:bookmarkStart w:id="4" w:name="_Toc90392458"/>
      <w:r>
        <w:br w:type="page"/>
      </w:r>
    </w:p>
    <w:p w14:paraId="234185E3" w14:textId="32B3F532" w:rsidR="00B44D0F" w:rsidRPr="00B24750" w:rsidRDefault="00F4094A" w:rsidP="009D14E7">
      <w:pPr>
        <w:pStyle w:val="Heading2"/>
      </w:pPr>
      <w:r w:rsidRPr="00B24750">
        <w:lastRenderedPageBreak/>
        <w:t>The State</w:t>
      </w:r>
      <w:bookmarkEnd w:id="4"/>
    </w:p>
    <w:p w14:paraId="4A7D4C38" w14:textId="77777777" w:rsidR="009523C6" w:rsidRPr="00B24750" w:rsidRDefault="009523C6" w:rsidP="009D14E7">
      <w:pPr>
        <w:rPr>
          <w:rFonts w:asciiTheme="majorHAnsi" w:hAnsiTheme="majorHAnsi"/>
          <w:sz w:val="20"/>
          <w:szCs w:val="20"/>
          <w:lang w:val="en-US"/>
        </w:rPr>
      </w:pPr>
    </w:p>
    <w:p w14:paraId="2236D4B5" w14:textId="00FD1604" w:rsidR="00B44D0F" w:rsidRPr="00B24750" w:rsidRDefault="005E5CEE"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A</w:t>
      </w:r>
      <w:r w:rsidR="00107D34" w:rsidRPr="00B24750">
        <w:rPr>
          <w:rFonts w:asciiTheme="majorHAnsi" w:hAnsiTheme="majorHAnsi"/>
          <w:sz w:val="20"/>
          <w:szCs w:val="20"/>
          <w:lang w:val="en-US"/>
        </w:rPr>
        <w:t>s of</w:t>
      </w:r>
      <w:r w:rsidRPr="00B24750">
        <w:rPr>
          <w:rFonts w:asciiTheme="majorHAnsi" w:hAnsiTheme="majorHAnsi"/>
          <w:sz w:val="20"/>
          <w:szCs w:val="20"/>
          <w:lang w:val="en-US"/>
        </w:rPr>
        <w:t xml:space="preserve"> the time of this report, the State </w:t>
      </w:r>
      <w:r w:rsidR="006E62A8">
        <w:rPr>
          <w:rFonts w:asciiTheme="majorHAnsi" w:hAnsiTheme="majorHAnsi"/>
          <w:sz w:val="20"/>
          <w:szCs w:val="20"/>
          <w:lang w:val="en-US"/>
        </w:rPr>
        <w:t xml:space="preserve">has provided no observations on the admissibility of the petition </w:t>
      </w:r>
      <w:r w:rsidRPr="00B24750">
        <w:rPr>
          <w:rFonts w:asciiTheme="majorHAnsi" w:hAnsiTheme="majorHAnsi"/>
          <w:sz w:val="20"/>
          <w:szCs w:val="20"/>
          <w:lang w:val="en-US"/>
        </w:rPr>
        <w:t>or the merits of the case</w:t>
      </w:r>
      <w:r w:rsidR="00B44D0F" w:rsidRPr="00B24750">
        <w:rPr>
          <w:rFonts w:asciiTheme="majorHAnsi" w:hAnsiTheme="majorHAnsi"/>
          <w:sz w:val="20"/>
          <w:szCs w:val="20"/>
          <w:lang w:val="en-US"/>
        </w:rPr>
        <w:t>.</w:t>
      </w:r>
      <w:r w:rsidR="008A4602" w:rsidRPr="00B24750">
        <w:rPr>
          <w:rFonts w:asciiTheme="majorHAnsi" w:hAnsiTheme="majorHAnsi"/>
          <w:sz w:val="20"/>
          <w:szCs w:val="20"/>
          <w:lang w:val="en-US"/>
        </w:rPr>
        <w:t xml:space="preserve"> </w:t>
      </w:r>
    </w:p>
    <w:p w14:paraId="375E8334" w14:textId="77777777" w:rsidR="009523C6" w:rsidRPr="00B24750" w:rsidRDefault="009523C6"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64C5DA8B" w14:textId="63E550FE" w:rsidR="001F3980" w:rsidRPr="00B24750" w:rsidRDefault="00F40B97" w:rsidP="009D14E7">
      <w:pPr>
        <w:pStyle w:val="Heading1"/>
      </w:pPr>
      <w:bookmarkStart w:id="5" w:name="_Toc90392459"/>
      <w:r w:rsidRPr="00B24750">
        <w:t>ADMISSIBILITY</w:t>
      </w:r>
      <w:r w:rsidR="0014502E" w:rsidRPr="00B24750">
        <w:t xml:space="preserve"> ANALYSIS</w:t>
      </w:r>
      <w:bookmarkEnd w:id="5"/>
    </w:p>
    <w:p w14:paraId="75E94D84" w14:textId="77777777" w:rsidR="009523C6" w:rsidRPr="00B24750" w:rsidRDefault="009523C6" w:rsidP="009D14E7">
      <w:pPr>
        <w:rPr>
          <w:rFonts w:asciiTheme="majorHAnsi" w:hAnsiTheme="majorHAnsi"/>
          <w:sz w:val="20"/>
          <w:szCs w:val="20"/>
          <w:lang w:val="en-US"/>
        </w:rPr>
      </w:pPr>
    </w:p>
    <w:p w14:paraId="42CD6663" w14:textId="434D76C4" w:rsidR="00AC2B1C" w:rsidRPr="009D14E7" w:rsidRDefault="00FA2A97" w:rsidP="009D14E7">
      <w:pPr>
        <w:pStyle w:val="Heading2"/>
        <w:numPr>
          <w:ilvl w:val="0"/>
          <w:numId w:val="66"/>
        </w:numPr>
        <w:ind w:left="810" w:hanging="810"/>
      </w:pPr>
      <w:bookmarkStart w:id="6" w:name="_Toc90392460"/>
      <w:r w:rsidRPr="009D14E7">
        <w:t>Competenc</w:t>
      </w:r>
      <w:r w:rsidR="00CE7BB5" w:rsidRPr="009D14E7">
        <w:t>e</w:t>
      </w:r>
      <w:r w:rsidRPr="009D14E7">
        <w:t xml:space="preserve">, </w:t>
      </w:r>
      <w:r w:rsidR="00CE7BB5" w:rsidRPr="009D14E7">
        <w:t>duplication of procedures, and international res judicata</w:t>
      </w:r>
      <w:bookmarkEnd w:id="6"/>
    </w:p>
    <w:p w14:paraId="22961248" w14:textId="77777777" w:rsidR="00AC2B1C" w:rsidRPr="00AC2B1C" w:rsidRDefault="00AC2B1C" w:rsidP="00AC2B1C">
      <w:pPr>
        <w:rPr>
          <w:rFonts w:asciiTheme="majorHAnsi" w:hAnsiTheme="majorHAnsi"/>
          <w:lang w:val="en-US"/>
        </w:rPr>
      </w:pPr>
    </w:p>
    <w:tbl>
      <w:tblPr>
        <w:tblStyle w:val="TableGrid1"/>
        <w:tblW w:w="9242" w:type="dxa"/>
        <w:tblInd w:w="108" w:type="dxa"/>
        <w:tblBorders>
          <w:insideH w:val="single" w:sz="6" w:space="0" w:color="auto"/>
          <w:insideV w:val="single" w:sz="6" w:space="0" w:color="auto"/>
        </w:tblBorders>
        <w:tblLook w:val="04A0" w:firstRow="1" w:lastRow="0" w:firstColumn="1" w:lastColumn="0" w:noHBand="0" w:noVBand="1"/>
      </w:tblPr>
      <w:tblGrid>
        <w:gridCol w:w="2947"/>
        <w:gridCol w:w="6295"/>
      </w:tblGrid>
      <w:tr w:rsidR="00AC2B1C" w:rsidRPr="00AC2B1C" w14:paraId="50DB512E" w14:textId="77777777" w:rsidTr="00AC2B1C">
        <w:trPr>
          <w:cantSplit/>
        </w:trPr>
        <w:tc>
          <w:tcPr>
            <w:tcW w:w="2947" w:type="dxa"/>
            <w:tcBorders>
              <w:top w:val="single" w:sz="4" w:space="0" w:color="auto"/>
              <w:bottom w:val="single" w:sz="6" w:space="0" w:color="auto"/>
            </w:tcBorders>
            <w:shd w:val="clear" w:color="auto" w:fill="67AE3C"/>
            <w:vAlign w:val="center"/>
          </w:tcPr>
          <w:p w14:paraId="5CDDBE1A" w14:textId="77777777" w:rsidR="00AC2B1C" w:rsidRPr="00AC2B1C" w:rsidRDefault="00AC2B1C" w:rsidP="00AC2B1C">
            <w:pPr>
              <w:jc w:val="center"/>
              <w:rPr>
                <w:rFonts w:asciiTheme="majorHAnsi" w:hAnsiTheme="majorHAnsi"/>
                <w:b/>
                <w:i/>
                <w:color w:val="FFFFFF" w:themeColor="background1"/>
                <w:sz w:val="19"/>
                <w:szCs w:val="19"/>
                <w:lang w:val="en-US"/>
              </w:rPr>
            </w:pPr>
            <w:r w:rsidRPr="00AC2B1C">
              <w:rPr>
                <w:rFonts w:asciiTheme="majorHAnsi" w:hAnsiTheme="majorHAnsi"/>
                <w:b/>
                <w:i/>
                <w:color w:val="FFFFFF" w:themeColor="background1"/>
                <w:sz w:val="19"/>
                <w:szCs w:val="19"/>
                <w:lang w:val="en-US"/>
              </w:rPr>
              <w:t xml:space="preserve">Competence </w:t>
            </w:r>
            <w:proofErr w:type="spellStart"/>
            <w:r w:rsidRPr="00AC2B1C">
              <w:rPr>
                <w:rFonts w:asciiTheme="majorHAnsi" w:hAnsiTheme="majorHAnsi"/>
                <w:b/>
                <w:i/>
                <w:color w:val="FFFFFF" w:themeColor="background1"/>
                <w:sz w:val="19"/>
                <w:szCs w:val="19"/>
                <w:lang w:val="en-US"/>
              </w:rPr>
              <w:t>Ratione</w:t>
            </w:r>
            <w:proofErr w:type="spellEnd"/>
            <w:r w:rsidRPr="00AC2B1C">
              <w:rPr>
                <w:rFonts w:asciiTheme="majorHAnsi" w:hAnsiTheme="majorHAnsi"/>
                <w:b/>
                <w:i/>
                <w:color w:val="FFFFFF" w:themeColor="background1"/>
                <w:sz w:val="19"/>
                <w:szCs w:val="19"/>
                <w:lang w:val="en-US"/>
              </w:rPr>
              <w:t xml:space="preserve"> personae:</w:t>
            </w:r>
          </w:p>
        </w:tc>
        <w:tc>
          <w:tcPr>
            <w:tcW w:w="6295" w:type="dxa"/>
            <w:vAlign w:val="center"/>
          </w:tcPr>
          <w:p w14:paraId="41D2D8FE" w14:textId="77777777" w:rsidR="00AC2B1C" w:rsidRPr="00AC2B1C" w:rsidRDefault="00AC2B1C" w:rsidP="00AC2B1C">
            <w:pPr>
              <w:rPr>
                <w:rFonts w:asciiTheme="majorHAnsi" w:hAnsiTheme="majorHAnsi"/>
                <w:bCs/>
                <w:sz w:val="20"/>
                <w:szCs w:val="20"/>
                <w:lang w:val="en-US"/>
              </w:rPr>
            </w:pPr>
            <w:r w:rsidRPr="00AC2B1C">
              <w:rPr>
                <w:rFonts w:asciiTheme="majorHAnsi" w:hAnsiTheme="majorHAnsi"/>
                <w:bCs/>
                <w:sz w:val="19"/>
                <w:szCs w:val="19"/>
                <w:lang w:val="en-US"/>
              </w:rPr>
              <w:t>Yes</w:t>
            </w:r>
          </w:p>
        </w:tc>
      </w:tr>
      <w:tr w:rsidR="00AC2B1C" w:rsidRPr="00AC2B1C" w14:paraId="1FA50058" w14:textId="77777777" w:rsidTr="00AC2B1C">
        <w:trPr>
          <w:cantSplit/>
        </w:trPr>
        <w:tc>
          <w:tcPr>
            <w:tcW w:w="2947" w:type="dxa"/>
            <w:tcBorders>
              <w:top w:val="single" w:sz="6" w:space="0" w:color="auto"/>
              <w:bottom w:val="single" w:sz="6" w:space="0" w:color="auto"/>
            </w:tcBorders>
            <w:shd w:val="clear" w:color="auto" w:fill="67AE3C"/>
            <w:vAlign w:val="center"/>
          </w:tcPr>
          <w:p w14:paraId="08C62170" w14:textId="77777777" w:rsidR="00AC2B1C" w:rsidRPr="00AC2B1C" w:rsidRDefault="00AC2B1C" w:rsidP="00AC2B1C">
            <w:pPr>
              <w:jc w:val="center"/>
              <w:rPr>
                <w:rFonts w:asciiTheme="majorHAnsi" w:hAnsiTheme="majorHAnsi"/>
                <w:b/>
                <w:i/>
                <w:color w:val="FFFFFF" w:themeColor="background1"/>
                <w:sz w:val="19"/>
                <w:szCs w:val="19"/>
                <w:lang w:val="en-US"/>
              </w:rPr>
            </w:pPr>
            <w:r w:rsidRPr="00AC2B1C">
              <w:rPr>
                <w:rFonts w:asciiTheme="majorHAnsi" w:hAnsiTheme="majorHAnsi"/>
                <w:b/>
                <w:i/>
                <w:color w:val="FFFFFF" w:themeColor="background1"/>
                <w:sz w:val="19"/>
                <w:szCs w:val="19"/>
                <w:lang w:val="en-US"/>
              </w:rPr>
              <w:t xml:space="preserve">Competence </w:t>
            </w:r>
            <w:proofErr w:type="spellStart"/>
            <w:r w:rsidRPr="00AC2B1C">
              <w:rPr>
                <w:rFonts w:asciiTheme="majorHAnsi" w:hAnsiTheme="majorHAnsi"/>
                <w:b/>
                <w:i/>
                <w:color w:val="FFFFFF" w:themeColor="background1"/>
                <w:sz w:val="19"/>
                <w:szCs w:val="19"/>
                <w:lang w:val="en-US"/>
              </w:rPr>
              <w:t>Ratione</w:t>
            </w:r>
            <w:proofErr w:type="spellEnd"/>
            <w:r w:rsidRPr="00AC2B1C">
              <w:rPr>
                <w:rFonts w:asciiTheme="majorHAnsi" w:hAnsiTheme="majorHAnsi"/>
                <w:b/>
                <w:i/>
                <w:color w:val="FFFFFF" w:themeColor="background1"/>
                <w:sz w:val="19"/>
                <w:szCs w:val="19"/>
                <w:lang w:val="en-US"/>
              </w:rPr>
              <w:t xml:space="preserve"> loci:</w:t>
            </w:r>
          </w:p>
        </w:tc>
        <w:tc>
          <w:tcPr>
            <w:tcW w:w="6295" w:type="dxa"/>
            <w:vAlign w:val="center"/>
          </w:tcPr>
          <w:p w14:paraId="33FD835B" w14:textId="77777777" w:rsidR="00AC2B1C" w:rsidRPr="00AC2B1C" w:rsidRDefault="00AC2B1C" w:rsidP="00AC2B1C">
            <w:pPr>
              <w:rPr>
                <w:rFonts w:asciiTheme="majorHAnsi" w:hAnsiTheme="majorHAnsi"/>
                <w:bCs/>
                <w:sz w:val="20"/>
                <w:szCs w:val="20"/>
                <w:lang w:val="en-US"/>
              </w:rPr>
            </w:pPr>
            <w:r w:rsidRPr="00AC2B1C">
              <w:rPr>
                <w:rFonts w:asciiTheme="majorHAnsi" w:hAnsiTheme="majorHAnsi"/>
                <w:bCs/>
                <w:sz w:val="19"/>
                <w:szCs w:val="19"/>
                <w:lang w:val="en-US"/>
              </w:rPr>
              <w:t>Yes</w:t>
            </w:r>
          </w:p>
        </w:tc>
      </w:tr>
      <w:tr w:rsidR="00AC2B1C" w:rsidRPr="00AC2B1C" w14:paraId="3DB68A2C" w14:textId="77777777" w:rsidTr="00AC2B1C">
        <w:trPr>
          <w:cantSplit/>
        </w:trPr>
        <w:tc>
          <w:tcPr>
            <w:tcW w:w="2947" w:type="dxa"/>
            <w:tcBorders>
              <w:top w:val="single" w:sz="6" w:space="0" w:color="auto"/>
              <w:bottom w:val="single" w:sz="6" w:space="0" w:color="auto"/>
            </w:tcBorders>
            <w:shd w:val="clear" w:color="auto" w:fill="67AE3C"/>
            <w:vAlign w:val="center"/>
          </w:tcPr>
          <w:p w14:paraId="180AF1FC" w14:textId="77777777" w:rsidR="00AC2B1C" w:rsidRPr="00AC2B1C" w:rsidRDefault="00AC2B1C" w:rsidP="00AC2B1C">
            <w:pPr>
              <w:jc w:val="center"/>
              <w:rPr>
                <w:rFonts w:asciiTheme="majorHAnsi" w:hAnsiTheme="majorHAnsi"/>
                <w:b/>
                <w:i/>
                <w:color w:val="FFFFFF" w:themeColor="background1"/>
                <w:sz w:val="19"/>
                <w:szCs w:val="19"/>
                <w:lang w:val="en-US"/>
              </w:rPr>
            </w:pPr>
            <w:r w:rsidRPr="00AC2B1C">
              <w:rPr>
                <w:rFonts w:asciiTheme="majorHAnsi" w:hAnsiTheme="majorHAnsi"/>
                <w:b/>
                <w:i/>
                <w:color w:val="FFFFFF" w:themeColor="background1"/>
                <w:sz w:val="19"/>
                <w:szCs w:val="19"/>
                <w:lang w:val="en-US"/>
              </w:rPr>
              <w:t xml:space="preserve">Competence </w:t>
            </w:r>
            <w:proofErr w:type="spellStart"/>
            <w:r w:rsidRPr="00AC2B1C">
              <w:rPr>
                <w:rFonts w:asciiTheme="majorHAnsi" w:hAnsiTheme="majorHAnsi"/>
                <w:b/>
                <w:i/>
                <w:color w:val="FFFFFF" w:themeColor="background1"/>
                <w:sz w:val="19"/>
                <w:szCs w:val="19"/>
                <w:lang w:val="en-US"/>
              </w:rPr>
              <w:t>Ratione</w:t>
            </w:r>
            <w:proofErr w:type="spellEnd"/>
            <w:r w:rsidRPr="00AC2B1C">
              <w:rPr>
                <w:rFonts w:asciiTheme="majorHAnsi" w:hAnsiTheme="majorHAnsi"/>
                <w:b/>
                <w:i/>
                <w:color w:val="FFFFFF" w:themeColor="background1"/>
                <w:sz w:val="19"/>
                <w:szCs w:val="19"/>
                <w:lang w:val="en-US"/>
              </w:rPr>
              <w:t xml:space="preserve"> </w:t>
            </w:r>
            <w:proofErr w:type="spellStart"/>
            <w:r w:rsidRPr="00AC2B1C">
              <w:rPr>
                <w:rFonts w:asciiTheme="majorHAnsi" w:hAnsiTheme="majorHAnsi"/>
                <w:b/>
                <w:i/>
                <w:color w:val="FFFFFF" w:themeColor="background1"/>
                <w:sz w:val="19"/>
                <w:szCs w:val="19"/>
                <w:lang w:val="en-US"/>
              </w:rPr>
              <w:t>temporis</w:t>
            </w:r>
            <w:proofErr w:type="spellEnd"/>
            <w:r w:rsidRPr="00AC2B1C">
              <w:rPr>
                <w:rFonts w:asciiTheme="majorHAnsi" w:hAnsiTheme="majorHAnsi"/>
                <w:b/>
                <w:i/>
                <w:color w:val="FFFFFF" w:themeColor="background1"/>
                <w:sz w:val="19"/>
                <w:szCs w:val="19"/>
                <w:lang w:val="en-US"/>
              </w:rPr>
              <w:t>:</w:t>
            </w:r>
          </w:p>
        </w:tc>
        <w:tc>
          <w:tcPr>
            <w:tcW w:w="6295" w:type="dxa"/>
            <w:vAlign w:val="center"/>
          </w:tcPr>
          <w:p w14:paraId="76F204FE" w14:textId="77777777" w:rsidR="00AC2B1C" w:rsidRPr="00AC2B1C" w:rsidRDefault="00AC2B1C" w:rsidP="00AC2B1C">
            <w:pPr>
              <w:rPr>
                <w:rFonts w:asciiTheme="majorHAnsi" w:hAnsiTheme="majorHAnsi"/>
                <w:bCs/>
                <w:sz w:val="20"/>
                <w:szCs w:val="20"/>
                <w:lang w:val="en-US"/>
              </w:rPr>
            </w:pPr>
            <w:r w:rsidRPr="00AC2B1C">
              <w:rPr>
                <w:rFonts w:asciiTheme="majorHAnsi" w:hAnsiTheme="majorHAnsi"/>
                <w:bCs/>
                <w:sz w:val="19"/>
                <w:szCs w:val="19"/>
                <w:lang w:val="en-US"/>
              </w:rPr>
              <w:t>Yes</w:t>
            </w:r>
          </w:p>
        </w:tc>
      </w:tr>
      <w:tr w:rsidR="00AC2B1C" w:rsidRPr="009D14E7" w14:paraId="73B95B48" w14:textId="77777777" w:rsidTr="00AC2B1C">
        <w:trPr>
          <w:cantSplit/>
        </w:trPr>
        <w:tc>
          <w:tcPr>
            <w:tcW w:w="2947" w:type="dxa"/>
            <w:tcBorders>
              <w:top w:val="single" w:sz="6" w:space="0" w:color="auto"/>
              <w:bottom w:val="single" w:sz="6" w:space="0" w:color="auto"/>
            </w:tcBorders>
            <w:shd w:val="clear" w:color="auto" w:fill="67AE3C"/>
            <w:vAlign w:val="center"/>
          </w:tcPr>
          <w:p w14:paraId="1EDF843E" w14:textId="77777777" w:rsidR="00AC2B1C" w:rsidRPr="00AC2B1C" w:rsidRDefault="00AC2B1C" w:rsidP="00AC2B1C">
            <w:pPr>
              <w:jc w:val="center"/>
              <w:rPr>
                <w:rFonts w:asciiTheme="majorHAnsi" w:hAnsiTheme="majorHAnsi"/>
                <w:b/>
                <w:i/>
                <w:color w:val="FFFFFF" w:themeColor="background1"/>
                <w:sz w:val="19"/>
                <w:szCs w:val="19"/>
                <w:lang w:val="en-US"/>
              </w:rPr>
            </w:pPr>
            <w:r w:rsidRPr="00AC2B1C">
              <w:rPr>
                <w:rFonts w:asciiTheme="majorHAnsi" w:hAnsiTheme="majorHAnsi"/>
                <w:b/>
                <w:i/>
                <w:color w:val="FFFFFF" w:themeColor="background1"/>
                <w:sz w:val="19"/>
                <w:szCs w:val="19"/>
                <w:lang w:val="en-US"/>
              </w:rPr>
              <w:t xml:space="preserve">Competence </w:t>
            </w:r>
            <w:proofErr w:type="spellStart"/>
            <w:r w:rsidRPr="00AC2B1C">
              <w:rPr>
                <w:rFonts w:asciiTheme="majorHAnsi" w:hAnsiTheme="majorHAnsi"/>
                <w:b/>
                <w:i/>
                <w:color w:val="FFFFFF" w:themeColor="background1"/>
                <w:sz w:val="19"/>
                <w:szCs w:val="19"/>
                <w:lang w:val="en-US"/>
              </w:rPr>
              <w:t>Ratione</w:t>
            </w:r>
            <w:proofErr w:type="spellEnd"/>
            <w:r w:rsidRPr="00AC2B1C">
              <w:rPr>
                <w:rFonts w:asciiTheme="majorHAnsi" w:hAnsiTheme="majorHAnsi"/>
                <w:b/>
                <w:i/>
                <w:color w:val="FFFFFF" w:themeColor="background1"/>
                <w:sz w:val="19"/>
                <w:szCs w:val="19"/>
                <w:lang w:val="en-US"/>
              </w:rPr>
              <w:t xml:space="preserve"> </w:t>
            </w:r>
            <w:proofErr w:type="spellStart"/>
            <w:r w:rsidRPr="00AC2B1C">
              <w:rPr>
                <w:rFonts w:asciiTheme="majorHAnsi" w:hAnsiTheme="majorHAnsi"/>
                <w:b/>
                <w:i/>
                <w:color w:val="FFFFFF" w:themeColor="background1"/>
                <w:sz w:val="19"/>
                <w:szCs w:val="19"/>
                <w:lang w:val="en-US"/>
              </w:rPr>
              <w:t>materiae</w:t>
            </w:r>
            <w:proofErr w:type="spellEnd"/>
            <w:r w:rsidRPr="00AC2B1C">
              <w:rPr>
                <w:rFonts w:asciiTheme="majorHAnsi" w:hAnsiTheme="majorHAnsi"/>
                <w:b/>
                <w:i/>
                <w:color w:val="FFFFFF" w:themeColor="background1"/>
                <w:sz w:val="19"/>
                <w:szCs w:val="19"/>
                <w:lang w:val="en-US"/>
              </w:rPr>
              <w:t>:</w:t>
            </w:r>
          </w:p>
        </w:tc>
        <w:tc>
          <w:tcPr>
            <w:tcW w:w="6295" w:type="dxa"/>
            <w:vAlign w:val="center"/>
          </w:tcPr>
          <w:p w14:paraId="7FE0F238" w14:textId="7AF58DF1" w:rsidR="00AC2B1C" w:rsidRPr="00AC2B1C" w:rsidRDefault="00AC2B1C" w:rsidP="00AC2B1C">
            <w:pPr>
              <w:jc w:val="both"/>
              <w:rPr>
                <w:rFonts w:asciiTheme="majorHAnsi" w:hAnsiTheme="majorHAnsi"/>
                <w:bCs/>
                <w:sz w:val="19"/>
                <w:szCs w:val="19"/>
                <w:lang w:val="en-US"/>
              </w:rPr>
            </w:pPr>
            <w:r w:rsidRPr="00B24750">
              <w:rPr>
                <w:rFonts w:asciiTheme="majorHAnsi" w:hAnsiTheme="majorHAnsi" w:cs="Univers"/>
                <w:color w:val="0D0D0D"/>
                <w:sz w:val="20"/>
                <w:szCs w:val="20"/>
                <w:lang w:val="en-US"/>
              </w:rPr>
              <w:t>Yes, American Declaration (instrument of ratification of the OAS Charter deposited on July 16, 1952).</w:t>
            </w:r>
          </w:p>
        </w:tc>
      </w:tr>
      <w:tr w:rsidR="00AC2B1C" w:rsidRPr="00B24750" w14:paraId="34A53394" w14:textId="77777777" w:rsidTr="00AC2B1C">
        <w:trPr>
          <w:cantSplit/>
        </w:trPr>
        <w:tc>
          <w:tcPr>
            <w:tcW w:w="2947" w:type="dxa"/>
            <w:tcBorders>
              <w:top w:val="single" w:sz="6" w:space="0" w:color="auto"/>
              <w:bottom w:val="single" w:sz="6" w:space="0" w:color="auto"/>
            </w:tcBorders>
            <w:shd w:val="clear" w:color="auto" w:fill="67AE3C"/>
            <w:vAlign w:val="center"/>
          </w:tcPr>
          <w:p w14:paraId="465C512E" w14:textId="30C5EC48" w:rsidR="00AC2B1C" w:rsidRPr="00B24750" w:rsidRDefault="00AC2B1C" w:rsidP="00AC2B1C">
            <w:pPr>
              <w:jc w:val="center"/>
              <w:rPr>
                <w:rFonts w:asciiTheme="majorHAnsi" w:hAnsiTheme="majorHAnsi"/>
                <w:b/>
                <w:i/>
                <w:color w:val="FFFFFF" w:themeColor="background1"/>
                <w:sz w:val="19"/>
                <w:szCs w:val="19"/>
                <w:lang w:val="en-US"/>
              </w:rPr>
            </w:pPr>
            <w:r w:rsidRPr="00B24750">
              <w:rPr>
                <w:rFonts w:asciiTheme="majorHAnsi" w:hAnsiTheme="majorHAnsi"/>
                <w:b/>
                <w:i/>
                <w:color w:val="FFFFFF" w:themeColor="background1"/>
                <w:sz w:val="19"/>
                <w:szCs w:val="19"/>
                <w:lang w:val="en-US"/>
              </w:rPr>
              <w:t>Duplication of procedures and international res judicata</w:t>
            </w:r>
          </w:p>
        </w:tc>
        <w:tc>
          <w:tcPr>
            <w:tcW w:w="6295" w:type="dxa"/>
            <w:vAlign w:val="center"/>
          </w:tcPr>
          <w:p w14:paraId="5EA32A93" w14:textId="240888E2" w:rsidR="00AC2B1C" w:rsidRPr="00B24750" w:rsidRDefault="00AC2B1C" w:rsidP="00AC2B1C">
            <w:pPr>
              <w:jc w:val="both"/>
              <w:rPr>
                <w:rFonts w:asciiTheme="majorHAnsi" w:hAnsiTheme="majorHAnsi"/>
                <w:bCs/>
                <w:sz w:val="19"/>
                <w:szCs w:val="19"/>
                <w:lang w:val="en-US"/>
              </w:rPr>
            </w:pPr>
            <w:r w:rsidRPr="00B24750">
              <w:rPr>
                <w:rFonts w:asciiTheme="majorHAnsi" w:hAnsiTheme="majorHAnsi"/>
                <w:bCs/>
                <w:sz w:val="19"/>
                <w:szCs w:val="19"/>
                <w:lang w:val="en-US"/>
              </w:rPr>
              <w:t>No</w:t>
            </w:r>
          </w:p>
        </w:tc>
      </w:tr>
    </w:tbl>
    <w:p w14:paraId="16B40C5F" w14:textId="77777777" w:rsidR="00536F65" w:rsidRPr="00B24750" w:rsidRDefault="00536F65" w:rsidP="009D14E7">
      <w:pPr>
        <w:pStyle w:val="Heading2"/>
        <w:numPr>
          <w:ilvl w:val="0"/>
          <w:numId w:val="0"/>
        </w:numPr>
      </w:pPr>
    </w:p>
    <w:p w14:paraId="69A78B89" w14:textId="436917AB" w:rsidR="009523C6" w:rsidRPr="00B24750" w:rsidRDefault="00C116BD" w:rsidP="009D14E7">
      <w:pPr>
        <w:pStyle w:val="Heading2"/>
        <w:numPr>
          <w:ilvl w:val="0"/>
          <w:numId w:val="0"/>
        </w:numPr>
      </w:pPr>
      <w:bookmarkStart w:id="7" w:name="_Toc90392461"/>
      <w:r w:rsidRPr="00B24750">
        <w:t>B</w:t>
      </w:r>
      <w:r w:rsidR="00E510E5" w:rsidRPr="00B24750">
        <w:t xml:space="preserve">. </w:t>
      </w:r>
      <w:r w:rsidR="009523C6" w:rsidRPr="00B24750">
        <w:tab/>
      </w:r>
      <w:r w:rsidR="00AC2B1C" w:rsidRPr="00B24750">
        <w:t>Admissibility requirements</w:t>
      </w:r>
      <w:bookmarkEnd w:id="7"/>
    </w:p>
    <w:p w14:paraId="75C60916" w14:textId="77777777" w:rsidR="00036CAA" w:rsidRPr="00B24750" w:rsidRDefault="00036CAA" w:rsidP="005F7FE2">
      <w:pPr>
        <w:rPr>
          <w:rFonts w:asciiTheme="majorHAnsi" w:hAnsiTheme="majorHAnsi"/>
          <w:sz w:val="20"/>
          <w:szCs w:val="20"/>
          <w:lang w:val="en-US" w:eastAsia="ja-JP"/>
        </w:rPr>
      </w:pPr>
    </w:p>
    <w:p w14:paraId="0FEBC086" w14:textId="2C85056E" w:rsidR="00C116BD" w:rsidRPr="009D14E7" w:rsidRDefault="00C116BD" w:rsidP="007B681D">
      <w:pPr>
        <w:pStyle w:val="Heading3"/>
      </w:pPr>
      <w:bookmarkStart w:id="8" w:name="_Toc90392462"/>
      <w:r w:rsidRPr="009D14E7">
        <w:t xml:space="preserve">1. </w:t>
      </w:r>
      <w:r w:rsidR="00F4289C" w:rsidRPr="009D14E7">
        <w:tab/>
      </w:r>
      <w:r w:rsidR="00AC2B1C" w:rsidRPr="009D14E7">
        <w:t>Exhaustion of domestic remedies</w:t>
      </w:r>
      <w:bookmarkEnd w:id="8"/>
    </w:p>
    <w:p w14:paraId="64759408" w14:textId="77777777" w:rsidR="00036CAA" w:rsidRPr="00B24750" w:rsidRDefault="00036CAA" w:rsidP="005F7FE2">
      <w:pPr>
        <w:rPr>
          <w:rFonts w:asciiTheme="majorHAnsi" w:hAnsiTheme="majorHAnsi"/>
          <w:sz w:val="20"/>
          <w:szCs w:val="20"/>
          <w:lang w:val="en-US"/>
        </w:rPr>
      </w:pPr>
    </w:p>
    <w:p w14:paraId="1E110FF1" w14:textId="3A776341" w:rsidR="00A6162D" w:rsidRPr="00B24750" w:rsidRDefault="00A6162D"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Article 31.1 of the Rules of Procedure of the IACHR (</w:t>
      </w:r>
      <w:r w:rsidR="00687404" w:rsidRPr="00B24750">
        <w:rPr>
          <w:rFonts w:asciiTheme="majorHAnsi" w:hAnsiTheme="majorHAnsi"/>
          <w:sz w:val="20"/>
          <w:szCs w:val="20"/>
          <w:lang w:val="en-US"/>
        </w:rPr>
        <w:t>“</w:t>
      </w:r>
      <w:r w:rsidRPr="00B24750">
        <w:rPr>
          <w:rFonts w:asciiTheme="majorHAnsi" w:hAnsiTheme="majorHAnsi"/>
          <w:sz w:val="20"/>
          <w:szCs w:val="20"/>
          <w:lang w:val="en-US"/>
        </w:rPr>
        <w:t>Rules of Procedure</w:t>
      </w:r>
      <w:r w:rsidR="00687404" w:rsidRPr="00B24750">
        <w:rPr>
          <w:rFonts w:asciiTheme="majorHAnsi" w:hAnsiTheme="majorHAnsi"/>
          <w:sz w:val="20"/>
          <w:szCs w:val="20"/>
          <w:lang w:val="en-US"/>
        </w:rPr>
        <w:t>”</w:t>
      </w:r>
      <w:r w:rsidRPr="00B24750">
        <w:rPr>
          <w:rFonts w:asciiTheme="majorHAnsi" w:hAnsiTheme="majorHAnsi"/>
          <w:sz w:val="20"/>
          <w:szCs w:val="20"/>
          <w:lang w:val="en-US"/>
        </w:rPr>
        <w:t>) requires prior exhaustion of the remedies available under domestic law in accordance with generally recognized principles of international law, as a requirement for the admission of the claims presented in the petition. The purpose of this requirement is to enable the national authorities to take cognizance of the alleged violation of a protected right and, if appropriate, to resolve the situation before it is heard by an international body. Article 31.2 of the Rules of Procedure provides that the requirement of prior exhaustion of domestic remedies is not applicable when: (</w:t>
      </w:r>
      <w:proofErr w:type="spellStart"/>
      <w:r w:rsidRPr="00B24750">
        <w:rPr>
          <w:rFonts w:asciiTheme="majorHAnsi" w:hAnsiTheme="majorHAnsi"/>
          <w:sz w:val="20"/>
          <w:szCs w:val="20"/>
          <w:lang w:val="en-US"/>
        </w:rPr>
        <w:t>i</w:t>
      </w:r>
      <w:proofErr w:type="spellEnd"/>
      <w:r w:rsidRPr="00B24750">
        <w:rPr>
          <w:rFonts w:asciiTheme="majorHAnsi" w:hAnsiTheme="majorHAnsi"/>
          <w:sz w:val="20"/>
          <w:szCs w:val="20"/>
          <w:lang w:val="en-US"/>
        </w:rPr>
        <w:t xml:space="preserve">) the domestic legislation of the State concerned does not afford due process of law for protection of the right or rights </w:t>
      </w:r>
      <w:r w:rsidR="00687404" w:rsidRPr="00B24750">
        <w:rPr>
          <w:rFonts w:asciiTheme="majorHAnsi" w:hAnsiTheme="majorHAnsi"/>
          <w:sz w:val="20"/>
          <w:szCs w:val="20"/>
          <w:lang w:val="en-US"/>
        </w:rPr>
        <w:t>that</w:t>
      </w:r>
      <w:r w:rsidRPr="00B24750">
        <w:rPr>
          <w:rFonts w:asciiTheme="majorHAnsi" w:hAnsiTheme="majorHAnsi"/>
          <w:sz w:val="20"/>
          <w:szCs w:val="20"/>
          <w:lang w:val="en-US"/>
        </w:rPr>
        <w:t xml:space="preserve"> have </w:t>
      </w:r>
      <w:r w:rsidR="00687404" w:rsidRPr="00B24750">
        <w:rPr>
          <w:rFonts w:asciiTheme="majorHAnsi" w:hAnsiTheme="majorHAnsi"/>
          <w:sz w:val="20"/>
          <w:szCs w:val="20"/>
          <w:lang w:val="en-US"/>
        </w:rPr>
        <w:t xml:space="preserve">allegedly </w:t>
      </w:r>
      <w:r w:rsidRPr="00B24750">
        <w:rPr>
          <w:rFonts w:asciiTheme="majorHAnsi" w:hAnsiTheme="majorHAnsi"/>
          <w:sz w:val="20"/>
          <w:szCs w:val="20"/>
          <w:lang w:val="en-US"/>
        </w:rPr>
        <w:t xml:space="preserve">been violated; (ii) </w:t>
      </w:r>
      <w:r w:rsidR="00687404" w:rsidRPr="00B24750">
        <w:rPr>
          <w:rFonts w:asciiTheme="majorHAnsi" w:hAnsiTheme="majorHAnsi"/>
          <w:sz w:val="20"/>
          <w:szCs w:val="20"/>
          <w:lang w:val="en-US"/>
        </w:rPr>
        <w:t>the party alleging violation of his or her rights has been denied access to the remedies under domestic law or has been prevented from exhausting them</w:t>
      </w:r>
      <w:r w:rsidRPr="00B24750">
        <w:rPr>
          <w:rFonts w:asciiTheme="majorHAnsi" w:hAnsiTheme="majorHAnsi"/>
          <w:sz w:val="20"/>
          <w:szCs w:val="20"/>
          <w:lang w:val="en-US"/>
        </w:rPr>
        <w:t xml:space="preserve">; or (iii) </w:t>
      </w:r>
      <w:r w:rsidR="00687404" w:rsidRPr="00B24750">
        <w:rPr>
          <w:rFonts w:asciiTheme="majorHAnsi" w:hAnsiTheme="majorHAnsi"/>
          <w:sz w:val="20"/>
          <w:szCs w:val="20"/>
          <w:lang w:val="en-US"/>
        </w:rPr>
        <w:t xml:space="preserve">there has been unwarranted delay in </w:t>
      </w:r>
      <w:r w:rsidR="00CA4291">
        <w:rPr>
          <w:rFonts w:asciiTheme="majorHAnsi" w:hAnsiTheme="majorHAnsi"/>
          <w:sz w:val="20"/>
          <w:szCs w:val="20"/>
          <w:lang w:val="en-US"/>
        </w:rPr>
        <w:t>the final adjudication of those</w:t>
      </w:r>
      <w:r w:rsidR="00687404" w:rsidRPr="00B24750">
        <w:rPr>
          <w:rFonts w:asciiTheme="majorHAnsi" w:hAnsiTheme="majorHAnsi"/>
          <w:sz w:val="20"/>
          <w:szCs w:val="20"/>
          <w:lang w:val="en-US"/>
        </w:rPr>
        <w:t xml:space="preserve"> remedies.</w:t>
      </w:r>
      <w:r w:rsidRPr="00B24750">
        <w:rPr>
          <w:rStyle w:val="FootnoteReference"/>
          <w:rFonts w:asciiTheme="majorHAnsi" w:hAnsiTheme="majorHAnsi"/>
          <w:sz w:val="20"/>
          <w:szCs w:val="20"/>
          <w:lang w:val="en-US"/>
        </w:rPr>
        <w:footnoteReference w:id="6"/>
      </w:r>
    </w:p>
    <w:p w14:paraId="2DF86291" w14:textId="77777777" w:rsidR="00036CAA" w:rsidRPr="00B24750" w:rsidRDefault="00036CAA"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u w:val="single"/>
          <w:lang w:val="en-US"/>
        </w:rPr>
      </w:pPr>
    </w:p>
    <w:p w14:paraId="282740AB" w14:textId="56013242" w:rsidR="00B834C2" w:rsidRPr="00B24750" w:rsidRDefault="00370E15" w:rsidP="009D14E7">
      <w:pPr>
        <w:pStyle w:val="CommentText"/>
        <w:numPr>
          <w:ilvl w:val="0"/>
          <w:numId w:val="55"/>
        </w:numPr>
        <w:ind w:firstLine="0"/>
        <w:jc w:val="both"/>
        <w:rPr>
          <w:rFonts w:asciiTheme="majorHAnsi" w:hAnsiTheme="majorHAnsi"/>
          <w:lang w:val="en-US"/>
        </w:rPr>
      </w:pPr>
      <w:r w:rsidRPr="00B24750">
        <w:rPr>
          <w:rFonts w:asciiTheme="majorHAnsi" w:hAnsiTheme="majorHAnsi" w:cs="Arial"/>
          <w:lang w:val="en-US"/>
        </w:rPr>
        <w:t xml:space="preserve">The petitioners allege that </w:t>
      </w:r>
      <w:proofErr w:type="spellStart"/>
      <w:r w:rsidRPr="00B24750">
        <w:rPr>
          <w:rFonts w:asciiTheme="majorHAnsi" w:hAnsiTheme="majorHAnsi" w:cs="Arial"/>
          <w:lang w:val="en-US"/>
        </w:rPr>
        <w:t>Yoani</w:t>
      </w:r>
      <w:proofErr w:type="spellEnd"/>
      <w:r w:rsidRPr="00B24750">
        <w:rPr>
          <w:rFonts w:asciiTheme="majorHAnsi" w:hAnsiTheme="majorHAnsi" w:cs="Arial"/>
          <w:lang w:val="en-US"/>
        </w:rPr>
        <w:t xml:space="preserve"> Sánchez was detained </w:t>
      </w:r>
      <w:r w:rsidR="006E62A8">
        <w:rPr>
          <w:rFonts w:asciiTheme="majorHAnsi" w:hAnsiTheme="majorHAnsi" w:cs="Arial"/>
          <w:lang w:val="en-US"/>
        </w:rPr>
        <w:t>three times</w:t>
      </w:r>
      <w:r w:rsidRPr="00B24750">
        <w:rPr>
          <w:rFonts w:asciiTheme="majorHAnsi" w:hAnsiTheme="majorHAnsi" w:cs="Arial"/>
          <w:lang w:val="en-US"/>
        </w:rPr>
        <w:t xml:space="preserve">. The first detention occurred on </w:t>
      </w:r>
      <w:r w:rsidRPr="00B24750">
        <w:rPr>
          <w:rFonts w:asciiTheme="majorHAnsi" w:hAnsiTheme="majorHAnsi"/>
          <w:lang w:val="en-US"/>
        </w:rPr>
        <w:t xml:space="preserve">November 6, 2009, after which the alleged victim filed a complaint. The second detention occurred on February 24, 2010, and the petitioners allege that on March 10, 2010, the alleged victim filed complaints with the Offices of the </w:t>
      </w:r>
      <w:r w:rsidR="00F70DF0">
        <w:rPr>
          <w:rFonts w:asciiTheme="majorHAnsi" w:hAnsiTheme="majorHAnsi"/>
          <w:lang w:val="en-US"/>
        </w:rPr>
        <w:t>Attorney General</w:t>
      </w:r>
      <w:r w:rsidRPr="00B24750">
        <w:rPr>
          <w:rFonts w:asciiTheme="majorHAnsi" w:hAnsiTheme="majorHAnsi"/>
          <w:lang w:val="en-US"/>
        </w:rPr>
        <w:t xml:space="preserve"> and the Military Prosecutor and with the National Assembly, the Council of State</w:t>
      </w:r>
      <w:r w:rsidRPr="00B24750">
        <w:rPr>
          <w:rFonts w:asciiTheme="majorHAnsi" w:hAnsiTheme="majorHAnsi" w:cs="Arial"/>
          <w:lang w:val="en-US"/>
        </w:rPr>
        <w:t xml:space="preserve">, the National Revolutionary Police (PNR), and the </w:t>
      </w:r>
      <w:r w:rsidR="00847CE5" w:rsidRPr="00B24750">
        <w:rPr>
          <w:rFonts w:asciiTheme="majorHAnsi" w:hAnsiTheme="majorHAnsi" w:cs="Arial"/>
          <w:lang w:val="en-US"/>
        </w:rPr>
        <w:t>I</w:t>
      </w:r>
      <w:r w:rsidRPr="00B24750">
        <w:rPr>
          <w:rFonts w:asciiTheme="majorHAnsi" w:hAnsiTheme="majorHAnsi" w:cs="Arial"/>
          <w:lang w:val="en-US"/>
        </w:rPr>
        <w:t xml:space="preserve">nfanta and </w:t>
      </w:r>
      <w:proofErr w:type="spellStart"/>
      <w:r w:rsidRPr="00B24750">
        <w:rPr>
          <w:rFonts w:asciiTheme="majorHAnsi" w:hAnsiTheme="majorHAnsi" w:cs="Arial"/>
          <w:lang w:val="en-US"/>
        </w:rPr>
        <w:t>Manglar</w:t>
      </w:r>
      <w:proofErr w:type="spellEnd"/>
      <w:r w:rsidRPr="00B24750">
        <w:rPr>
          <w:rFonts w:asciiTheme="majorHAnsi" w:hAnsiTheme="majorHAnsi" w:cs="Arial"/>
          <w:lang w:val="en-US"/>
        </w:rPr>
        <w:t xml:space="preserve"> </w:t>
      </w:r>
      <w:r w:rsidR="00847CE5" w:rsidRPr="00B24750">
        <w:rPr>
          <w:rFonts w:asciiTheme="majorHAnsi" w:hAnsiTheme="majorHAnsi" w:cs="Arial"/>
          <w:lang w:val="en-US"/>
        </w:rPr>
        <w:t xml:space="preserve">police </w:t>
      </w:r>
      <w:r w:rsidRPr="00B24750">
        <w:rPr>
          <w:rFonts w:asciiTheme="majorHAnsi" w:hAnsiTheme="majorHAnsi" w:cs="Arial"/>
          <w:lang w:val="en-US"/>
        </w:rPr>
        <w:t xml:space="preserve">station. The third arrest occurred on October 4, 2012. The alleged victim did not inform the IACHR whether </w:t>
      </w:r>
      <w:r w:rsidR="00847CE5" w:rsidRPr="00B24750">
        <w:rPr>
          <w:rFonts w:asciiTheme="majorHAnsi" w:hAnsiTheme="majorHAnsi" w:cs="Arial"/>
          <w:lang w:val="en-US"/>
        </w:rPr>
        <w:t>s</w:t>
      </w:r>
      <w:r w:rsidRPr="00B24750">
        <w:rPr>
          <w:rFonts w:asciiTheme="majorHAnsi" w:hAnsiTheme="majorHAnsi" w:cs="Arial"/>
          <w:lang w:val="en-US"/>
        </w:rPr>
        <w:t xml:space="preserve">he filed a complaint regarding this detention, nor can </w:t>
      </w:r>
      <w:r w:rsidR="00847CE5" w:rsidRPr="00B24750">
        <w:rPr>
          <w:rFonts w:asciiTheme="majorHAnsi" w:hAnsiTheme="majorHAnsi" w:cs="Arial"/>
          <w:lang w:val="en-US"/>
        </w:rPr>
        <w:t>this be determined from the case file</w:t>
      </w:r>
      <w:r w:rsidRPr="00B24750">
        <w:rPr>
          <w:rFonts w:asciiTheme="majorHAnsi" w:hAnsiTheme="majorHAnsi" w:cs="Arial"/>
          <w:lang w:val="en-US"/>
        </w:rPr>
        <w:t xml:space="preserve">. </w:t>
      </w:r>
    </w:p>
    <w:p w14:paraId="6B3B272F" w14:textId="77777777" w:rsidR="00370E15" w:rsidRPr="00B24750" w:rsidRDefault="00370E15" w:rsidP="009D14E7">
      <w:pPr>
        <w:pStyle w:val="CommentText"/>
        <w:jc w:val="both"/>
        <w:rPr>
          <w:rFonts w:asciiTheme="majorHAnsi" w:hAnsiTheme="majorHAnsi"/>
          <w:lang w:val="en-US"/>
        </w:rPr>
      </w:pPr>
    </w:p>
    <w:p w14:paraId="6984D2FF" w14:textId="3C28515F" w:rsidR="00647F33" w:rsidRPr="00B24750" w:rsidRDefault="00BD2C51" w:rsidP="009D14E7">
      <w:pPr>
        <w:pStyle w:val="Comment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hAnsiTheme="majorHAnsi" w:cs="Arial"/>
          <w:lang w:val="en-US"/>
        </w:rPr>
      </w:pPr>
      <w:r w:rsidRPr="00B24750">
        <w:rPr>
          <w:rFonts w:asciiTheme="majorHAnsi" w:hAnsiTheme="majorHAnsi" w:cs="Arial"/>
          <w:lang w:val="en-US"/>
        </w:rPr>
        <w:t xml:space="preserve">The Commission notes that the State has not presented its observations regarding the admissibility or merits of </w:t>
      </w:r>
      <w:r w:rsidR="00B576FA" w:rsidRPr="00B24750">
        <w:rPr>
          <w:rFonts w:asciiTheme="majorHAnsi" w:hAnsiTheme="majorHAnsi" w:cs="Arial"/>
          <w:lang w:val="en-US"/>
        </w:rPr>
        <w:t>this</w:t>
      </w:r>
      <w:r w:rsidRPr="00B24750">
        <w:rPr>
          <w:rFonts w:asciiTheme="majorHAnsi" w:hAnsiTheme="majorHAnsi" w:cs="Arial"/>
          <w:lang w:val="en-US"/>
        </w:rPr>
        <w:t xml:space="preserve"> case</w:t>
      </w:r>
      <w:r w:rsidR="00E733C4" w:rsidRPr="00B24750">
        <w:rPr>
          <w:rFonts w:asciiTheme="majorHAnsi" w:hAnsiTheme="majorHAnsi"/>
          <w:lang w:val="en-US"/>
        </w:rPr>
        <w:t>. T</w:t>
      </w:r>
      <w:r w:rsidRPr="00B24750">
        <w:rPr>
          <w:rFonts w:asciiTheme="majorHAnsi" w:hAnsiTheme="majorHAnsi"/>
          <w:lang w:val="en-US"/>
        </w:rPr>
        <w:t xml:space="preserve">herefore, based on Article 38 of the Rules of Procedure, </w:t>
      </w:r>
      <w:r w:rsidRPr="00B24750">
        <w:rPr>
          <w:rFonts w:asciiTheme="majorHAnsi" w:hAnsiTheme="majorHAnsi" w:cs="Arial"/>
          <w:lang w:val="en-US"/>
        </w:rPr>
        <w:t>the facts presented by the petitioner</w:t>
      </w:r>
      <w:r w:rsidR="00B576FA" w:rsidRPr="00B24750">
        <w:rPr>
          <w:rFonts w:asciiTheme="majorHAnsi" w:hAnsiTheme="majorHAnsi" w:cs="Arial"/>
          <w:lang w:val="en-US"/>
        </w:rPr>
        <w:t>s</w:t>
      </w:r>
      <w:r w:rsidRPr="00B24750">
        <w:rPr>
          <w:rFonts w:asciiTheme="majorHAnsi" w:hAnsiTheme="majorHAnsi" w:cs="Arial"/>
          <w:lang w:val="en-US"/>
        </w:rPr>
        <w:t xml:space="preserve"> are presumed to be true</w:t>
      </w:r>
      <w:r w:rsidR="00E733C4" w:rsidRPr="00B24750">
        <w:rPr>
          <w:rFonts w:asciiTheme="majorHAnsi" w:hAnsiTheme="majorHAnsi" w:cs="Arial"/>
          <w:lang w:val="en-US"/>
        </w:rPr>
        <w:t xml:space="preserve"> unless other evidence leads to a different conclusion</w:t>
      </w:r>
      <w:r w:rsidRPr="00B24750">
        <w:rPr>
          <w:rFonts w:asciiTheme="majorHAnsi" w:hAnsiTheme="majorHAnsi" w:cs="Arial"/>
          <w:lang w:val="en-US"/>
        </w:rPr>
        <w:t xml:space="preserve">. </w:t>
      </w:r>
      <w:r w:rsidR="006E62A8">
        <w:rPr>
          <w:rFonts w:asciiTheme="majorHAnsi" w:hAnsiTheme="majorHAnsi" w:cs="Arial"/>
          <w:lang w:val="en-US"/>
        </w:rPr>
        <w:t xml:space="preserve">The </w:t>
      </w:r>
      <w:r w:rsidRPr="00B24750">
        <w:rPr>
          <w:rFonts w:asciiTheme="majorHAnsi" w:hAnsiTheme="majorHAnsi" w:cs="Arial"/>
          <w:lang w:val="en-US"/>
        </w:rPr>
        <w:t xml:space="preserve">State </w:t>
      </w:r>
      <w:r w:rsidR="00B576FA" w:rsidRPr="00B24750">
        <w:rPr>
          <w:rFonts w:asciiTheme="majorHAnsi" w:hAnsiTheme="majorHAnsi" w:cs="Arial"/>
          <w:lang w:val="en-US"/>
        </w:rPr>
        <w:t>neither submitted</w:t>
      </w:r>
      <w:r w:rsidRPr="00B24750">
        <w:rPr>
          <w:rFonts w:asciiTheme="majorHAnsi" w:hAnsiTheme="majorHAnsi" w:cs="Arial"/>
          <w:lang w:val="en-US"/>
        </w:rPr>
        <w:t xml:space="preserve"> arguments regarding the exhaustion of domestic remedies nor </w:t>
      </w:r>
      <w:r w:rsidR="00B576FA" w:rsidRPr="00B24750">
        <w:rPr>
          <w:rFonts w:asciiTheme="majorHAnsi" w:hAnsiTheme="majorHAnsi" w:cs="Arial"/>
          <w:lang w:val="en-US"/>
        </w:rPr>
        <w:t>contested the petitioners’ arguments on the issue</w:t>
      </w:r>
      <w:r w:rsidRPr="00B24750">
        <w:rPr>
          <w:rFonts w:asciiTheme="majorHAnsi" w:hAnsiTheme="majorHAnsi" w:cs="Arial"/>
          <w:lang w:val="en-US"/>
        </w:rPr>
        <w:t>. Article 31</w:t>
      </w:r>
      <w:r w:rsidR="00B576FA" w:rsidRPr="00B24750">
        <w:rPr>
          <w:rFonts w:asciiTheme="majorHAnsi" w:hAnsiTheme="majorHAnsi" w:cs="Arial"/>
          <w:lang w:val="en-US"/>
        </w:rPr>
        <w:t>.</w:t>
      </w:r>
      <w:r w:rsidRPr="00B24750">
        <w:rPr>
          <w:rFonts w:asciiTheme="majorHAnsi" w:hAnsiTheme="majorHAnsi" w:cs="Arial"/>
          <w:lang w:val="en-US"/>
        </w:rPr>
        <w:t xml:space="preserve">3 of the Rules of Procedure </w:t>
      </w:r>
      <w:r w:rsidR="00B576FA" w:rsidRPr="00B24750">
        <w:rPr>
          <w:rFonts w:asciiTheme="majorHAnsi" w:hAnsiTheme="majorHAnsi" w:cs="Arial"/>
          <w:lang w:val="en-US"/>
        </w:rPr>
        <w:t xml:space="preserve">of the IACHR </w:t>
      </w:r>
      <w:r w:rsidRPr="00B24750">
        <w:rPr>
          <w:rFonts w:asciiTheme="majorHAnsi" w:hAnsiTheme="majorHAnsi" w:cs="Arial"/>
          <w:lang w:val="en-US"/>
        </w:rPr>
        <w:t xml:space="preserve">establishes that, when the petitioners allege that </w:t>
      </w:r>
      <w:r w:rsidR="00021308">
        <w:rPr>
          <w:rFonts w:asciiTheme="majorHAnsi" w:hAnsiTheme="majorHAnsi" w:cs="Arial"/>
          <w:lang w:val="en-US"/>
        </w:rPr>
        <w:t>an</w:t>
      </w:r>
      <w:r w:rsidR="006E62A8">
        <w:rPr>
          <w:rFonts w:asciiTheme="majorHAnsi" w:hAnsiTheme="majorHAnsi" w:cs="Arial"/>
          <w:lang w:val="en-US"/>
        </w:rPr>
        <w:t xml:space="preserve"> exception </w:t>
      </w:r>
      <w:r w:rsidRPr="00B24750">
        <w:rPr>
          <w:rFonts w:asciiTheme="majorHAnsi" w:hAnsiTheme="majorHAnsi" w:cs="Arial"/>
          <w:lang w:val="en-US"/>
        </w:rPr>
        <w:t xml:space="preserve">to the exhaustion of domestic remedies applies, </w:t>
      </w:r>
      <w:r w:rsidR="00641BCF" w:rsidRPr="00B24750">
        <w:rPr>
          <w:rFonts w:asciiTheme="majorHAnsi" w:hAnsiTheme="majorHAnsi" w:cs="Arial"/>
          <w:lang w:val="en-US"/>
        </w:rPr>
        <w:t>it is up to the</w:t>
      </w:r>
      <w:r w:rsidRPr="00B24750">
        <w:rPr>
          <w:rFonts w:asciiTheme="majorHAnsi" w:hAnsiTheme="majorHAnsi" w:cs="Arial"/>
          <w:lang w:val="en-US"/>
        </w:rPr>
        <w:t xml:space="preserve"> State </w:t>
      </w:r>
      <w:r w:rsidR="00641BCF" w:rsidRPr="00B24750">
        <w:rPr>
          <w:rFonts w:asciiTheme="majorHAnsi" w:hAnsiTheme="majorHAnsi" w:cs="Arial"/>
          <w:lang w:val="en-US"/>
        </w:rPr>
        <w:t xml:space="preserve">to demonstrate </w:t>
      </w:r>
      <w:r w:rsidRPr="00B24750">
        <w:rPr>
          <w:rFonts w:asciiTheme="majorHAnsi" w:hAnsiTheme="majorHAnsi" w:cs="Arial"/>
          <w:lang w:val="en-US"/>
        </w:rPr>
        <w:t>that the</w:t>
      </w:r>
      <w:r w:rsidR="00B576FA" w:rsidRPr="00B24750">
        <w:rPr>
          <w:rFonts w:asciiTheme="majorHAnsi" w:hAnsiTheme="majorHAnsi" w:cs="Arial"/>
          <w:lang w:val="en-US"/>
        </w:rPr>
        <w:t>y</w:t>
      </w:r>
      <w:r w:rsidRPr="00B24750">
        <w:rPr>
          <w:rFonts w:asciiTheme="majorHAnsi" w:hAnsiTheme="majorHAnsi" w:cs="Arial"/>
          <w:lang w:val="en-US"/>
        </w:rPr>
        <w:t xml:space="preserve"> have not been exhausted, unless this is </w:t>
      </w:r>
      <w:r w:rsidR="00E733C4" w:rsidRPr="00B24750">
        <w:rPr>
          <w:rFonts w:asciiTheme="majorHAnsi" w:hAnsiTheme="majorHAnsi" w:cs="Arial"/>
          <w:lang w:val="en-US"/>
        </w:rPr>
        <w:t>clear</w:t>
      </w:r>
      <w:r w:rsidRPr="00B24750">
        <w:rPr>
          <w:rFonts w:asciiTheme="majorHAnsi" w:hAnsiTheme="majorHAnsi" w:cs="Arial"/>
          <w:lang w:val="en-US"/>
        </w:rPr>
        <w:t xml:space="preserve"> from the record. </w:t>
      </w:r>
      <w:r w:rsidR="00B576FA" w:rsidRPr="00B24750">
        <w:rPr>
          <w:rFonts w:asciiTheme="majorHAnsi" w:hAnsiTheme="majorHAnsi"/>
          <w:lang w:val="en-US"/>
        </w:rPr>
        <w:t>A</w:t>
      </w:r>
      <w:r w:rsidRPr="00B24750">
        <w:rPr>
          <w:rFonts w:asciiTheme="majorHAnsi" w:hAnsiTheme="majorHAnsi"/>
          <w:lang w:val="en-US"/>
        </w:rPr>
        <w:t xml:space="preserve">lthough the IACHR </w:t>
      </w:r>
      <w:r w:rsidR="00B576FA" w:rsidRPr="00B24750">
        <w:rPr>
          <w:rFonts w:asciiTheme="majorHAnsi" w:hAnsiTheme="majorHAnsi"/>
          <w:lang w:val="en-US"/>
        </w:rPr>
        <w:t>has no</w:t>
      </w:r>
      <w:r w:rsidRPr="00B24750">
        <w:rPr>
          <w:rFonts w:asciiTheme="majorHAnsi" w:hAnsiTheme="majorHAnsi"/>
          <w:lang w:val="en-US"/>
        </w:rPr>
        <w:t xml:space="preserve"> evidence </w:t>
      </w:r>
      <w:r w:rsidR="00B576FA" w:rsidRPr="00B24750">
        <w:rPr>
          <w:rFonts w:asciiTheme="majorHAnsi" w:hAnsiTheme="majorHAnsi"/>
          <w:lang w:val="en-US"/>
        </w:rPr>
        <w:t xml:space="preserve">before it </w:t>
      </w:r>
      <w:r w:rsidRPr="00B24750">
        <w:rPr>
          <w:rFonts w:asciiTheme="majorHAnsi" w:hAnsiTheme="majorHAnsi"/>
          <w:lang w:val="en-US"/>
        </w:rPr>
        <w:t>regarding the complaint about the detention of November 6, 2009, the petitioner</w:t>
      </w:r>
      <w:r w:rsidR="00716A18">
        <w:rPr>
          <w:rFonts w:asciiTheme="majorHAnsi" w:hAnsiTheme="majorHAnsi"/>
          <w:lang w:val="en-US"/>
        </w:rPr>
        <w:t>s</w:t>
      </w:r>
      <w:r w:rsidRPr="00B24750">
        <w:rPr>
          <w:rFonts w:asciiTheme="majorHAnsi" w:hAnsiTheme="majorHAnsi"/>
          <w:lang w:val="en-US"/>
        </w:rPr>
        <w:t xml:space="preserve"> maintained that said events occurred, which was not disputed by the State. </w:t>
      </w:r>
      <w:r w:rsidR="004E01F7" w:rsidRPr="00B24750">
        <w:rPr>
          <w:rFonts w:asciiTheme="majorHAnsi" w:hAnsiTheme="majorHAnsi"/>
          <w:lang w:val="en-US"/>
        </w:rPr>
        <w:t>Accordingly</w:t>
      </w:r>
      <w:r w:rsidRPr="00B24750">
        <w:rPr>
          <w:rFonts w:asciiTheme="majorHAnsi" w:hAnsiTheme="majorHAnsi"/>
          <w:lang w:val="en-US"/>
        </w:rPr>
        <w:t xml:space="preserve">, the IACHR </w:t>
      </w:r>
      <w:r w:rsidR="004E01F7" w:rsidRPr="00B24750">
        <w:rPr>
          <w:rFonts w:asciiTheme="majorHAnsi" w:hAnsiTheme="majorHAnsi"/>
          <w:lang w:val="en-US"/>
        </w:rPr>
        <w:t>find</w:t>
      </w:r>
      <w:r w:rsidRPr="00B24750">
        <w:rPr>
          <w:rFonts w:asciiTheme="majorHAnsi" w:hAnsiTheme="majorHAnsi"/>
          <w:lang w:val="en-US"/>
        </w:rPr>
        <w:t xml:space="preserve">s that the alleged victim filed a complaint </w:t>
      </w:r>
      <w:r w:rsidR="004E01F7" w:rsidRPr="00B24750">
        <w:rPr>
          <w:rFonts w:asciiTheme="majorHAnsi" w:hAnsiTheme="majorHAnsi"/>
          <w:lang w:val="en-US"/>
        </w:rPr>
        <w:t>regarding</w:t>
      </w:r>
      <w:r w:rsidRPr="00B24750">
        <w:rPr>
          <w:rFonts w:asciiTheme="majorHAnsi" w:hAnsiTheme="majorHAnsi"/>
          <w:lang w:val="en-US"/>
        </w:rPr>
        <w:t xml:space="preserve"> the first detention. </w:t>
      </w:r>
      <w:r w:rsidR="004E01F7" w:rsidRPr="00B24750">
        <w:rPr>
          <w:rFonts w:asciiTheme="majorHAnsi" w:hAnsiTheme="majorHAnsi"/>
          <w:lang w:val="en-US"/>
        </w:rPr>
        <w:t>As for</w:t>
      </w:r>
      <w:r w:rsidRPr="00B24750">
        <w:rPr>
          <w:rFonts w:asciiTheme="majorHAnsi" w:hAnsiTheme="majorHAnsi"/>
          <w:lang w:val="en-US"/>
        </w:rPr>
        <w:t xml:space="preserve"> the second detention, the IACHR has evidence that </w:t>
      </w:r>
      <w:r w:rsidR="004E01F7" w:rsidRPr="00B24750">
        <w:rPr>
          <w:rFonts w:asciiTheme="majorHAnsi" w:hAnsiTheme="majorHAnsi"/>
          <w:lang w:val="en-US"/>
        </w:rPr>
        <w:t>several</w:t>
      </w:r>
      <w:r w:rsidRPr="00B24750">
        <w:rPr>
          <w:rFonts w:asciiTheme="majorHAnsi" w:hAnsiTheme="majorHAnsi"/>
          <w:lang w:val="en-US"/>
        </w:rPr>
        <w:t xml:space="preserve"> complaints were filed with the Cuban authorities</w:t>
      </w:r>
      <w:r w:rsidR="00E733C4" w:rsidRPr="00B24750">
        <w:rPr>
          <w:rFonts w:asciiTheme="majorHAnsi" w:hAnsiTheme="majorHAnsi"/>
          <w:lang w:val="en-US"/>
        </w:rPr>
        <w:t xml:space="preserve">, as alleged by the petitioners. This was not contested by the </w:t>
      </w:r>
      <w:r w:rsidR="00E733C4" w:rsidRPr="00B24750">
        <w:rPr>
          <w:rFonts w:asciiTheme="majorHAnsi" w:hAnsiTheme="majorHAnsi"/>
          <w:lang w:val="en-US"/>
        </w:rPr>
        <w:lastRenderedPageBreak/>
        <w:t>State. From the information available to the IACHR, it does not appear that the journalist filed a complaint in connection with the third detention.</w:t>
      </w:r>
    </w:p>
    <w:p w14:paraId="07DE6431" w14:textId="77777777" w:rsidR="00536F65" w:rsidRPr="00B24750" w:rsidRDefault="00536F65" w:rsidP="009D14E7">
      <w:pPr>
        <w:pStyle w:val="CommentText"/>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hAnsiTheme="majorHAnsi" w:cs="Arial"/>
          <w:lang w:val="en-US"/>
        </w:rPr>
      </w:pPr>
    </w:p>
    <w:p w14:paraId="08A5C5EB" w14:textId="6687926D" w:rsidR="004A60F0" w:rsidRPr="00B24750" w:rsidRDefault="00E65597" w:rsidP="009D14E7">
      <w:pPr>
        <w:pStyle w:val="CommentText"/>
        <w:numPr>
          <w:ilvl w:val="0"/>
          <w:numId w:val="55"/>
        </w:numPr>
        <w:ind w:firstLine="0"/>
        <w:jc w:val="both"/>
        <w:rPr>
          <w:rFonts w:asciiTheme="majorHAnsi" w:hAnsiTheme="majorHAnsi"/>
          <w:lang w:val="en-US"/>
        </w:rPr>
      </w:pPr>
      <w:r w:rsidRPr="00B24750">
        <w:rPr>
          <w:rFonts w:asciiTheme="majorHAnsi" w:hAnsiTheme="majorHAnsi" w:cs="Arial"/>
          <w:lang w:val="en-US"/>
        </w:rPr>
        <w:t xml:space="preserve">On November 5, 2010, the alleged victim also filed a “request for response.” Subsequently, when she did not hear back from the State, she filed an appeal on March 30, 2012, with the Ministry of the Interior, seeking an explanation of the reasons the State did not authorize </w:t>
      </w:r>
      <w:r w:rsidRPr="00B24750">
        <w:rPr>
          <w:rFonts w:asciiTheme="majorHAnsi" w:hAnsiTheme="majorHAnsi"/>
          <w:lang w:val="en-US"/>
        </w:rPr>
        <w:t>her to leave the country between 2007 and 2012 and asking for the prohibition to be lifted</w:t>
      </w:r>
      <w:r w:rsidR="00036CAA" w:rsidRPr="00B24750">
        <w:rPr>
          <w:rFonts w:asciiTheme="majorHAnsi" w:hAnsiTheme="majorHAnsi"/>
          <w:lang w:val="en-US"/>
        </w:rPr>
        <w:t>.</w:t>
      </w:r>
      <w:r w:rsidR="004A60F0" w:rsidRPr="00B24750">
        <w:rPr>
          <w:rFonts w:asciiTheme="majorHAnsi" w:hAnsiTheme="majorHAnsi"/>
          <w:lang w:val="en-US"/>
        </w:rPr>
        <w:t xml:space="preserve"> </w:t>
      </w:r>
    </w:p>
    <w:p w14:paraId="23E338D9" w14:textId="77777777" w:rsidR="004A60F0" w:rsidRPr="00B24750" w:rsidRDefault="004A60F0" w:rsidP="009D14E7">
      <w:pPr>
        <w:pStyle w:val="CommentText"/>
        <w:jc w:val="both"/>
        <w:rPr>
          <w:rFonts w:asciiTheme="majorHAnsi" w:hAnsiTheme="majorHAnsi"/>
          <w:lang w:val="en-US"/>
        </w:rPr>
      </w:pPr>
    </w:p>
    <w:p w14:paraId="564C4E73" w14:textId="7A0959A7" w:rsidR="00A473BC" w:rsidRPr="00B24750" w:rsidRDefault="00A473BC" w:rsidP="009D14E7">
      <w:pPr>
        <w:pStyle w:val="CommentText"/>
        <w:numPr>
          <w:ilvl w:val="0"/>
          <w:numId w:val="55"/>
        </w:numPr>
        <w:ind w:firstLine="0"/>
        <w:jc w:val="both"/>
        <w:rPr>
          <w:rFonts w:asciiTheme="majorHAnsi" w:hAnsiTheme="majorHAnsi"/>
          <w:lang w:val="en-US"/>
        </w:rPr>
      </w:pPr>
      <w:r w:rsidRPr="00B24750">
        <w:rPr>
          <w:rFonts w:asciiTheme="majorHAnsi" w:hAnsiTheme="majorHAnsi"/>
          <w:lang w:val="en-US"/>
        </w:rPr>
        <w:t>Based on the information available to the IACHR, to date</w:t>
      </w:r>
      <w:r w:rsidR="009C72B1" w:rsidRPr="00B24750">
        <w:rPr>
          <w:rFonts w:asciiTheme="majorHAnsi" w:hAnsiTheme="majorHAnsi"/>
          <w:lang w:val="en-US"/>
        </w:rPr>
        <w:t>—approximately eleven years after she filed them—</w:t>
      </w:r>
      <w:r w:rsidRPr="00B24750">
        <w:rPr>
          <w:rFonts w:asciiTheme="majorHAnsi" w:hAnsiTheme="majorHAnsi"/>
          <w:lang w:val="en-US"/>
        </w:rPr>
        <w:t xml:space="preserve">the Cuban State has not processed any of </w:t>
      </w:r>
      <w:proofErr w:type="spellStart"/>
      <w:r w:rsidR="009C72B1" w:rsidRPr="00B24750">
        <w:rPr>
          <w:rFonts w:asciiTheme="majorHAnsi" w:hAnsiTheme="majorHAnsi"/>
          <w:lang w:val="en-US"/>
        </w:rPr>
        <w:t>Yoani</w:t>
      </w:r>
      <w:proofErr w:type="spellEnd"/>
      <w:r w:rsidR="009C72B1" w:rsidRPr="00B24750">
        <w:rPr>
          <w:rFonts w:asciiTheme="majorHAnsi" w:hAnsiTheme="majorHAnsi"/>
          <w:lang w:val="en-US"/>
        </w:rPr>
        <w:t xml:space="preserve"> Sánchez’s </w:t>
      </w:r>
      <w:r w:rsidRPr="00B24750">
        <w:rPr>
          <w:rFonts w:asciiTheme="majorHAnsi" w:hAnsiTheme="majorHAnsi"/>
          <w:lang w:val="en-US"/>
        </w:rPr>
        <w:t xml:space="preserve">complaints, opened any investigations, or provided responses to the </w:t>
      </w:r>
      <w:r w:rsidR="00AA5A95" w:rsidRPr="00B24750">
        <w:rPr>
          <w:rFonts w:asciiTheme="majorHAnsi" w:hAnsiTheme="majorHAnsi"/>
          <w:lang w:val="en-US"/>
        </w:rPr>
        <w:t>petitions</w:t>
      </w:r>
      <w:r w:rsidRPr="00B24750">
        <w:rPr>
          <w:rFonts w:asciiTheme="majorHAnsi" w:hAnsiTheme="majorHAnsi"/>
          <w:lang w:val="en-US"/>
        </w:rPr>
        <w:t xml:space="preserve"> filed with the Ministry of the Interior regarding the </w:t>
      </w:r>
      <w:r w:rsidR="009C72B1" w:rsidRPr="00B24750">
        <w:rPr>
          <w:rFonts w:asciiTheme="majorHAnsi" w:hAnsiTheme="majorHAnsi"/>
          <w:lang w:val="en-US"/>
        </w:rPr>
        <w:t>blocking of</w:t>
      </w:r>
      <w:r w:rsidRPr="00B24750">
        <w:rPr>
          <w:rFonts w:asciiTheme="majorHAnsi" w:hAnsiTheme="majorHAnsi"/>
          <w:lang w:val="en-US"/>
        </w:rPr>
        <w:t xml:space="preserve"> </w:t>
      </w:r>
      <w:r w:rsidR="009C72B1" w:rsidRPr="00B24750">
        <w:rPr>
          <w:rFonts w:asciiTheme="majorHAnsi" w:hAnsiTheme="majorHAnsi"/>
          <w:lang w:val="en-US"/>
        </w:rPr>
        <w:t xml:space="preserve">her </w:t>
      </w:r>
      <w:r w:rsidRPr="00B24750">
        <w:rPr>
          <w:rFonts w:asciiTheme="majorHAnsi" w:hAnsiTheme="majorHAnsi"/>
          <w:lang w:val="en-US"/>
        </w:rPr>
        <w:t>departure from the country.</w:t>
      </w:r>
    </w:p>
    <w:p w14:paraId="09E6A59F" w14:textId="77777777" w:rsidR="00AA5A95" w:rsidRPr="00B24750" w:rsidRDefault="00AA5A95" w:rsidP="009D14E7">
      <w:pPr>
        <w:pStyle w:val="CommentText"/>
        <w:jc w:val="both"/>
        <w:rPr>
          <w:rFonts w:asciiTheme="majorHAnsi" w:hAnsiTheme="majorHAnsi"/>
          <w:lang w:val="en-US"/>
        </w:rPr>
      </w:pPr>
    </w:p>
    <w:p w14:paraId="706C7DA1" w14:textId="0A6B1A32" w:rsidR="00AA5A95" w:rsidRPr="00B24750" w:rsidRDefault="00AA5A95" w:rsidP="009D14E7">
      <w:pPr>
        <w:pStyle w:val="Comment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contextualSpacing/>
        <w:jc w:val="both"/>
        <w:rPr>
          <w:rFonts w:asciiTheme="majorHAnsi" w:hAnsiTheme="majorHAnsi"/>
          <w:lang w:val="en-US" w:eastAsia="es-ES"/>
        </w:rPr>
      </w:pPr>
      <w:r w:rsidRPr="00B24750">
        <w:rPr>
          <w:rFonts w:asciiTheme="majorHAnsi" w:hAnsiTheme="majorHAnsi"/>
          <w:lang w:val="en-US"/>
        </w:rPr>
        <w:t xml:space="preserve">The petitioners argue that the lack of response to the </w:t>
      </w:r>
      <w:r w:rsidR="004E221E" w:rsidRPr="00B24750">
        <w:rPr>
          <w:rFonts w:asciiTheme="majorHAnsi" w:hAnsiTheme="majorHAnsi"/>
          <w:lang w:val="en-US"/>
        </w:rPr>
        <w:t>domestic proceedings pursued by the alleged victim</w:t>
      </w:r>
      <w:r w:rsidRPr="00B24750">
        <w:rPr>
          <w:rFonts w:asciiTheme="majorHAnsi" w:hAnsiTheme="majorHAnsi"/>
          <w:lang w:val="en-US"/>
        </w:rPr>
        <w:t xml:space="preserve"> demonstrates that </w:t>
      </w:r>
      <w:r w:rsidR="004E221E" w:rsidRPr="00B24750">
        <w:rPr>
          <w:rFonts w:asciiTheme="majorHAnsi" w:hAnsiTheme="majorHAnsi"/>
          <w:lang w:val="en-US"/>
        </w:rPr>
        <w:t>effective</w:t>
      </w:r>
      <w:r w:rsidRPr="00B24750">
        <w:rPr>
          <w:rFonts w:asciiTheme="majorHAnsi" w:hAnsiTheme="majorHAnsi"/>
          <w:lang w:val="en-US"/>
        </w:rPr>
        <w:t xml:space="preserve"> remedies are either nonexistent or they </w:t>
      </w:r>
      <w:r w:rsidR="004E221E" w:rsidRPr="00B24750">
        <w:rPr>
          <w:rFonts w:asciiTheme="majorHAnsi" w:hAnsiTheme="majorHAnsi"/>
          <w:lang w:val="en-US"/>
        </w:rPr>
        <w:t>we</w:t>
      </w:r>
      <w:r w:rsidRPr="00B24750">
        <w:rPr>
          <w:rFonts w:asciiTheme="majorHAnsi" w:hAnsiTheme="majorHAnsi"/>
          <w:lang w:val="en-US"/>
        </w:rPr>
        <w:t xml:space="preserve">re unavailable to </w:t>
      </w:r>
      <w:r w:rsidR="004E221E" w:rsidRPr="00B24750">
        <w:rPr>
          <w:rFonts w:asciiTheme="majorHAnsi" w:hAnsiTheme="majorHAnsi"/>
          <w:lang w:val="en-US"/>
        </w:rPr>
        <w:t xml:space="preserve">her </w:t>
      </w:r>
      <w:r w:rsidRPr="00B24750">
        <w:rPr>
          <w:rFonts w:asciiTheme="majorHAnsi" w:hAnsiTheme="majorHAnsi"/>
          <w:lang w:val="en-US"/>
        </w:rPr>
        <w:t xml:space="preserve">because </w:t>
      </w:r>
      <w:r w:rsidR="004E221E" w:rsidRPr="00B24750">
        <w:rPr>
          <w:rFonts w:asciiTheme="majorHAnsi" w:hAnsiTheme="majorHAnsi"/>
          <w:lang w:val="en-US"/>
        </w:rPr>
        <w:t>she was a journalist critical of</w:t>
      </w:r>
      <w:r w:rsidRPr="00B24750">
        <w:rPr>
          <w:rFonts w:asciiTheme="majorHAnsi" w:hAnsiTheme="majorHAnsi"/>
          <w:lang w:val="en-US"/>
        </w:rPr>
        <w:t xml:space="preserve"> the Cuban regime</w:t>
      </w:r>
      <w:r w:rsidRPr="00B24750">
        <w:rPr>
          <w:rFonts w:asciiTheme="majorHAnsi" w:hAnsiTheme="majorHAnsi"/>
          <w:lang w:val="en-US" w:eastAsia="es-ES"/>
        </w:rPr>
        <w:t>.</w:t>
      </w:r>
    </w:p>
    <w:p w14:paraId="0D1C8486" w14:textId="77777777" w:rsidR="00AA5A95" w:rsidRPr="00B24750" w:rsidRDefault="00AA5A95" w:rsidP="009D14E7">
      <w:pPr>
        <w:pStyle w:val="ListParagraph"/>
        <w:ind w:left="0"/>
        <w:jc w:val="both"/>
        <w:rPr>
          <w:rFonts w:asciiTheme="majorHAnsi" w:hAnsiTheme="majorHAnsi"/>
          <w:sz w:val="20"/>
          <w:szCs w:val="20"/>
          <w:highlight w:val="yellow"/>
        </w:rPr>
      </w:pPr>
    </w:p>
    <w:p w14:paraId="1D111AE7" w14:textId="76C679B8" w:rsidR="008B5AFB" w:rsidRPr="00B24750" w:rsidRDefault="00AA5A95"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The Commission notes that, according to the petitioner</w:t>
      </w:r>
      <w:r w:rsidR="00B951FA" w:rsidRPr="00B24750">
        <w:rPr>
          <w:rFonts w:asciiTheme="majorHAnsi" w:hAnsiTheme="majorHAnsi"/>
          <w:sz w:val="20"/>
          <w:szCs w:val="20"/>
          <w:lang w:val="en-US"/>
        </w:rPr>
        <w:t>’s allegations</w:t>
      </w:r>
      <w:r w:rsidRPr="00B24750">
        <w:rPr>
          <w:rFonts w:asciiTheme="majorHAnsi" w:hAnsiTheme="majorHAnsi"/>
          <w:sz w:val="20"/>
          <w:szCs w:val="20"/>
          <w:lang w:val="en-US"/>
        </w:rPr>
        <w:t xml:space="preserve">, some domestic remedies were filed that were never processed by the Cuban State. It also notes that certain facts </w:t>
      </w:r>
      <w:r w:rsidR="00CE3DDB">
        <w:rPr>
          <w:rFonts w:asciiTheme="majorHAnsi" w:hAnsiTheme="majorHAnsi"/>
          <w:sz w:val="20"/>
          <w:szCs w:val="20"/>
          <w:lang w:val="en-US"/>
        </w:rPr>
        <w:t xml:space="preserve">were </w:t>
      </w:r>
      <w:r w:rsidRPr="00B24750">
        <w:rPr>
          <w:rFonts w:asciiTheme="majorHAnsi" w:hAnsiTheme="majorHAnsi"/>
          <w:sz w:val="20"/>
          <w:szCs w:val="20"/>
          <w:lang w:val="en-US"/>
        </w:rPr>
        <w:t xml:space="preserve">not </w:t>
      </w:r>
      <w:r w:rsidR="00B951FA" w:rsidRPr="00B24750">
        <w:rPr>
          <w:rFonts w:asciiTheme="majorHAnsi" w:hAnsiTheme="majorHAnsi"/>
          <w:sz w:val="20"/>
          <w:szCs w:val="20"/>
          <w:lang w:val="en-US"/>
        </w:rPr>
        <w:t>reported,</w:t>
      </w:r>
      <w:r w:rsidRPr="00B24750">
        <w:rPr>
          <w:rFonts w:asciiTheme="majorHAnsi" w:hAnsiTheme="majorHAnsi"/>
          <w:sz w:val="20"/>
          <w:szCs w:val="20"/>
          <w:lang w:val="en-US"/>
        </w:rPr>
        <w:t xml:space="preserve"> due to the complete absence of any response from the State. </w:t>
      </w:r>
      <w:r w:rsidR="00B951FA" w:rsidRPr="00B24750">
        <w:rPr>
          <w:rFonts w:asciiTheme="majorHAnsi" w:hAnsiTheme="majorHAnsi"/>
          <w:sz w:val="20"/>
          <w:szCs w:val="20"/>
          <w:lang w:val="en-US"/>
        </w:rPr>
        <w:t>Accordingly</w:t>
      </w:r>
      <w:r w:rsidRPr="00B24750">
        <w:rPr>
          <w:rFonts w:asciiTheme="majorHAnsi" w:hAnsiTheme="majorHAnsi"/>
          <w:sz w:val="20"/>
          <w:szCs w:val="20"/>
          <w:lang w:val="en-US"/>
        </w:rPr>
        <w:t>, the IACHR will analyze the exhaustion of domestic remedies based on the exception in Article 31</w:t>
      </w:r>
      <w:r w:rsidR="00B951FA" w:rsidRPr="00B24750">
        <w:rPr>
          <w:rFonts w:asciiTheme="majorHAnsi" w:hAnsiTheme="majorHAnsi"/>
          <w:sz w:val="20"/>
          <w:szCs w:val="20"/>
          <w:lang w:val="en-US"/>
        </w:rPr>
        <w:t>.</w:t>
      </w:r>
      <w:r w:rsidRPr="00B24750">
        <w:rPr>
          <w:rFonts w:asciiTheme="majorHAnsi" w:hAnsiTheme="majorHAnsi"/>
          <w:sz w:val="20"/>
          <w:szCs w:val="20"/>
          <w:lang w:val="en-US"/>
        </w:rPr>
        <w:t xml:space="preserve">2(a) of </w:t>
      </w:r>
      <w:r w:rsidR="00B951FA" w:rsidRPr="00B24750">
        <w:rPr>
          <w:rFonts w:asciiTheme="majorHAnsi" w:hAnsiTheme="majorHAnsi"/>
          <w:sz w:val="20"/>
          <w:szCs w:val="20"/>
          <w:lang w:val="en-US"/>
        </w:rPr>
        <w:t>its</w:t>
      </w:r>
      <w:r w:rsidRPr="00B24750">
        <w:rPr>
          <w:rFonts w:asciiTheme="majorHAnsi" w:hAnsiTheme="majorHAnsi"/>
          <w:sz w:val="20"/>
          <w:szCs w:val="20"/>
          <w:lang w:val="en-US"/>
        </w:rPr>
        <w:t xml:space="preserve"> Rules of Procedure.</w:t>
      </w:r>
    </w:p>
    <w:p w14:paraId="5A05EA75" w14:textId="77777777" w:rsidR="008B5AFB" w:rsidRPr="00B24750" w:rsidRDefault="008B5AFB"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3B7BB174" w14:textId="55B60A18" w:rsidR="008B5AFB" w:rsidRPr="00B24750" w:rsidRDefault="00426B62"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As a first step, </w:t>
      </w:r>
      <w:r w:rsidR="00CE3DDB">
        <w:rPr>
          <w:rFonts w:asciiTheme="majorHAnsi" w:hAnsiTheme="majorHAnsi"/>
          <w:sz w:val="20"/>
          <w:szCs w:val="20"/>
          <w:lang w:val="en-US"/>
        </w:rPr>
        <w:t xml:space="preserve">the Commission recalls that </w:t>
      </w:r>
      <w:r w:rsidRPr="00B24750">
        <w:rPr>
          <w:rFonts w:asciiTheme="majorHAnsi" w:hAnsiTheme="majorHAnsi"/>
          <w:sz w:val="20"/>
          <w:szCs w:val="20"/>
          <w:lang w:val="en-US"/>
        </w:rPr>
        <w:t>invoking the exceptions to the rule on the exhaustion of domestic remedies provided for in Article 31.2 of the Rules of Procedure is closely linked to determining possible violations of rights enshrined in the American Declaration, such as the right to a fair trial</w:t>
      </w:r>
      <w:r w:rsidR="00504218">
        <w:rPr>
          <w:rFonts w:asciiTheme="majorHAnsi" w:hAnsiTheme="majorHAnsi"/>
          <w:sz w:val="20"/>
          <w:szCs w:val="20"/>
          <w:lang w:val="en-US"/>
        </w:rPr>
        <w:t xml:space="preserve">, </w:t>
      </w:r>
      <w:r w:rsidRPr="00B24750">
        <w:rPr>
          <w:rFonts w:asciiTheme="majorHAnsi" w:hAnsiTheme="majorHAnsi"/>
          <w:sz w:val="20"/>
          <w:szCs w:val="20"/>
          <w:lang w:val="en-US"/>
        </w:rPr>
        <w:t>the right of petition</w:t>
      </w:r>
      <w:r w:rsidR="00797B8A">
        <w:rPr>
          <w:rFonts w:asciiTheme="majorHAnsi" w:hAnsiTheme="majorHAnsi"/>
          <w:sz w:val="20"/>
          <w:szCs w:val="20"/>
          <w:lang w:val="en-US"/>
        </w:rPr>
        <w:t xml:space="preserve">, and the right </w:t>
      </w:r>
      <w:r w:rsidR="00797B8A" w:rsidRPr="00797B8A">
        <w:rPr>
          <w:rFonts w:asciiTheme="majorHAnsi" w:hAnsiTheme="majorHAnsi"/>
          <w:sz w:val="20"/>
          <w:szCs w:val="20"/>
          <w:lang w:val="en-US"/>
        </w:rPr>
        <w:t>to due process of law</w:t>
      </w:r>
      <w:r w:rsidRPr="00B24750">
        <w:rPr>
          <w:rFonts w:asciiTheme="majorHAnsi" w:hAnsiTheme="majorHAnsi"/>
          <w:sz w:val="20"/>
          <w:szCs w:val="20"/>
          <w:lang w:val="en-US"/>
        </w:rPr>
        <w:t xml:space="preserve">. However, the rule on the exhaustion of domestic remedies, given its nature and purpose, is a rule with autonomous content vis-à-vis substantive human rights norms. Therefore, the matter of whether exceptions to the rule on the exhaustion of domestic remedies </w:t>
      </w:r>
      <w:r w:rsidR="006E62A8">
        <w:rPr>
          <w:rFonts w:asciiTheme="majorHAnsi" w:hAnsiTheme="majorHAnsi"/>
          <w:sz w:val="20"/>
          <w:szCs w:val="20"/>
          <w:lang w:val="en-US"/>
        </w:rPr>
        <w:t xml:space="preserve">apply to </w:t>
      </w:r>
      <w:r w:rsidRPr="00B24750">
        <w:rPr>
          <w:rFonts w:asciiTheme="majorHAnsi" w:hAnsiTheme="majorHAnsi"/>
          <w:sz w:val="20"/>
          <w:szCs w:val="20"/>
          <w:lang w:val="en-US"/>
        </w:rPr>
        <w:t xml:space="preserve">the case at hand must be determined prior to and separately from the analysis of the </w:t>
      </w:r>
      <w:r w:rsidR="006E62A8">
        <w:rPr>
          <w:rFonts w:asciiTheme="majorHAnsi" w:hAnsiTheme="majorHAnsi"/>
          <w:sz w:val="20"/>
          <w:szCs w:val="20"/>
          <w:lang w:val="en-US"/>
        </w:rPr>
        <w:t>merits</w:t>
      </w:r>
      <w:r w:rsidRPr="00B24750">
        <w:rPr>
          <w:rFonts w:asciiTheme="majorHAnsi" w:hAnsiTheme="majorHAnsi"/>
          <w:sz w:val="20"/>
          <w:szCs w:val="20"/>
          <w:lang w:val="en-US"/>
        </w:rPr>
        <w:t>, since it turns on a different standard of appreciation</w:t>
      </w:r>
      <w:r w:rsidRPr="00B24750">
        <w:rPr>
          <w:rStyle w:val="FootnoteReference"/>
          <w:rFonts w:asciiTheme="majorHAnsi" w:hAnsiTheme="majorHAnsi"/>
          <w:sz w:val="20"/>
          <w:szCs w:val="20"/>
          <w:lang w:val="en-US"/>
        </w:rPr>
        <w:footnoteReference w:id="7"/>
      </w:r>
      <w:r w:rsidRPr="00B24750">
        <w:rPr>
          <w:rFonts w:asciiTheme="majorHAnsi" w:hAnsiTheme="majorHAnsi"/>
          <w:sz w:val="20"/>
          <w:szCs w:val="20"/>
          <w:lang w:val="en-US"/>
        </w:rPr>
        <w:t xml:space="preserve"> from the one used to determine possible violations of articles of the American Declaration. </w:t>
      </w:r>
    </w:p>
    <w:p w14:paraId="0D81061B" w14:textId="77777777" w:rsidR="008B5AFB" w:rsidRPr="00B24750" w:rsidRDefault="008B5AFB"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29D3E040" w14:textId="4CB92E94" w:rsidR="008B5AFB" w:rsidRPr="00B24750" w:rsidRDefault="008B5AFB"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sz w:val="20"/>
          <w:szCs w:val="20"/>
          <w:lang w:val="en-US"/>
        </w:rPr>
        <w:t xml:space="preserve">The Commission recalls that </w:t>
      </w:r>
      <w:r w:rsidRPr="00B24750">
        <w:rPr>
          <w:rFonts w:asciiTheme="majorHAnsi" w:hAnsiTheme="majorHAnsi" w:cs="Calibri"/>
          <w:sz w:val="20"/>
          <w:szCs w:val="20"/>
          <w:lang w:val="en-US"/>
        </w:rPr>
        <w:t xml:space="preserve">the standard of evaluation at the admissibility stage differs from that used to rule on the merits of a petition. The Commission must make a </w:t>
      </w:r>
      <w:r w:rsidRPr="00B24750">
        <w:rPr>
          <w:rFonts w:asciiTheme="majorHAnsi" w:hAnsiTheme="majorHAnsi" w:cs="Calibri"/>
          <w:i/>
          <w:iCs/>
          <w:sz w:val="20"/>
          <w:szCs w:val="20"/>
          <w:lang w:val="en-US"/>
        </w:rPr>
        <w:t xml:space="preserve">prima facie </w:t>
      </w:r>
      <w:r w:rsidRPr="00B24750">
        <w:rPr>
          <w:rFonts w:asciiTheme="majorHAnsi" w:hAnsiTheme="majorHAnsi" w:cs="Calibri"/>
          <w:sz w:val="20"/>
          <w:szCs w:val="20"/>
          <w:lang w:val="en-US"/>
        </w:rPr>
        <w:t xml:space="preserve">assessment to determine whether the petition establishes the basis for a possible or potential violation of a right guaranteed by the Declaration, but not to establish </w:t>
      </w:r>
      <w:r w:rsidR="00BA4C90">
        <w:rPr>
          <w:rFonts w:asciiTheme="majorHAnsi" w:hAnsiTheme="majorHAnsi" w:cs="Calibri"/>
          <w:sz w:val="20"/>
          <w:szCs w:val="20"/>
          <w:lang w:val="en-US"/>
        </w:rPr>
        <w:t>a violation of</w:t>
      </w:r>
      <w:r w:rsidR="006E62A8">
        <w:rPr>
          <w:rFonts w:asciiTheme="majorHAnsi" w:hAnsiTheme="majorHAnsi" w:cs="Calibri"/>
          <w:sz w:val="20"/>
          <w:szCs w:val="20"/>
          <w:lang w:val="en-US"/>
        </w:rPr>
        <w:t xml:space="preserve"> </w:t>
      </w:r>
      <w:r w:rsidRPr="00B24750">
        <w:rPr>
          <w:rFonts w:asciiTheme="majorHAnsi" w:hAnsiTheme="majorHAnsi" w:cs="Calibri"/>
          <w:sz w:val="20"/>
          <w:szCs w:val="20"/>
          <w:lang w:val="en-US"/>
        </w:rPr>
        <w:t>rights. This assessment of whether there is a colorable claim of violations of the American Declaration is a primary analysis, which does not entail prejudging the merits of the case.</w:t>
      </w:r>
      <w:r w:rsidRPr="00B24750">
        <w:rPr>
          <w:rStyle w:val="FootnoteReference"/>
          <w:rFonts w:asciiTheme="majorHAnsi" w:hAnsiTheme="majorHAnsi" w:cs="Calibri"/>
          <w:sz w:val="20"/>
          <w:szCs w:val="20"/>
          <w:lang w:val="en-US"/>
        </w:rPr>
        <w:footnoteReference w:id="8"/>
      </w:r>
      <w:r w:rsidRPr="00B24750">
        <w:rPr>
          <w:rFonts w:asciiTheme="majorHAnsi" w:hAnsiTheme="majorHAnsi" w:cs="Calibri"/>
          <w:sz w:val="20"/>
          <w:szCs w:val="20"/>
          <w:lang w:val="en-US"/>
        </w:rPr>
        <w:t xml:space="preserve"> This means that</w:t>
      </w:r>
      <w:r w:rsidR="00065E27">
        <w:rPr>
          <w:rFonts w:asciiTheme="majorHAnsi" w:hAnsiTheme="majorHAnsi" w:cs="Calibri"/>
          <w:sz w:val="20"/>
          <w:szCs w:val="20"/>
          <w:lang w:val="en-US"/>
        </w:rPr>
        <w:t>, here,</w:t>
      </w:r>
      <w:r w:rsidRPr="00B24750">
        <w:rPr>
          <w:rFonts w:asciiTheme="majorHAnsi" w:hAnsiTheme="majorHAnsi" w:cs="Calibri"/>
          <w:sz w:val="20"/>
          <w:szCs w:val="20"/>
          <w:lang w:val="en-US"/>
        </w:rPr>
        <w:t xml:space="preserve"> the analysis of access to justice in Cuba </w:t>
      </w:r>
      <w:r w:rsidR="00273680" w:rsidRPr="00B24750">
        <w:rPr>
          <w:rFonts w:asciiTheme="majorHAnsi" w:hAnsiTheme="majorHAnsi" w:cs="Calibri"/>
          <w:sz w:val="20"/>
          <w:szCs w:val="20"/>
          <w:lang w:val="en-US"/>
        </w:rPr>
        <w:t>will be the subject of a substantive determination at</w:t>
      </w:r>
      <w:r w:rsidRPr="00B24750">
        <w:rPr>
          <w:rFonts w:asciiTheme="majorHAnsi" w:hAnsiTheme="majorHAnsi" w:cs="Calibri"/>
          <w:sz w:val="20"/>
          <w:szCs w:val="20"/>
          <w:lang w:val="en-US"/>
        </w:rPr>
        <w:t xml:space="preserve"> the merits phase of </w:t>
      </w:r>
      <w:r w:rsidR="00273680" w:rsidRPr="00B24750">
        <w:rPr>
          <w:rFonts w:asciiTheme="majorHAnsi" w:hAnsiTheme="majorHAnsi" w:cs="Calibri"/>
          <w:sz w:val="20"/>
          <w:szCs w:val="20"/>
          <w:lang w:val="en-US"/>
        </w:rPr>
        <w:t>this</w:t>
      </w:r>
      <w:r w:rsidRPr="00B24750">
        <w:rPr>
          <w:rFonts w:asciiTheme="majorHAnsi" w:hAnsiTheme="majorHAnsi" w:cs="Calibri"/>
          <w:sz w:val="20"/>
          <w:szCs w:val="20"/>
          <w:lang w:val="en-US"/>
        </w:rPr>
        <w:t xml:space="preserve"> proceeding</w:t>
      </w:r>
      <w:r w:rsidR="00273680" w:rsidRPr="00B24750">
        <w:rPr>
          <w:rFonts w:asciiTheme="majorHAnsi" w:hAnsiTheme="majorHAnsi" w:cs="Calibri"/>
          <w:sz w:val="20"/>
          <w:szCs w:val="20"/>
          <w:lang w:val="en-US"/>
        </w:rPr>
        <w:t>.</w:t>
      </w:r>
      <w:r w:rsidRPr="00B24750">
        <w:rPr>
          <w:rFonts w:asciiTheme="majorHAnsi" w:hAnsiTheme="majorHAnsi" w:cs="Calibri"/>
          <w:sz w:val="20"/>
          <w:szCs w:val="20"/>
          <w:lang w:val="en-US"/>
        </w:rPr>
        <w:t xml:space="preserve"> </w:t>
      </w:r>
      <w:r w:rsidR="006E62A8">
        <w:rPr>
          <w:rFonts w:asciiTheme="majorHAnsi" w:hAnsiTheme="majorHAnsi" w:cs="Calibri"/>
          <w:sz w:val="20"/>
          <w:szCs w:val="20"/>
          <w:lang w:val="en-US"/>
        </w:rPr>
        <w:t xml:space="preserve">But </w:t>
      </w:r>
      <w:r w:rsidRPr="00B24750">
        <w:rPr>
          <w:rFonts w:asciiTheme="majorHAnsi" w:hAnsiTheme="majorHAnsi" w:cs="Calibri"/>
          <w:sz w:val="20"/>
          <w:szCs w:val="20"/>
          <w:lang w:val="en-US"/>
        </w:rPr>
        <w:t xml:space="preserve">these issues must </w:t>
      </w:r>
      <w:r w:rsidR="00273680" w:rsidRPr="00B24750">
        <w:rPr>
          <w:rFonts w:asciiTheme="majorHAnsi" w:hAnsiTheme="majorHAnsi" w:cs="Calibri"/>
          <w:sz w:val="20"/>
          <w:szCs w:val="20"/>
          <w:lang w:val="en-US"/>
        </w:rPr>
        <w:t xml:space="preserve">also </w:t>
      </w:r>
      <w:r w:rsidRPr="00B24750">
        <w:rPr>
          <w:rFonts w:asciiTheme="majorHAnsi" w:hAnsiTheme="majorHAnsi" w:cs="Calibri"/>
          <w:sz w:val="20"/>
          <w:szCs w:val="20"/>
          <w:lang w:val="en-US"/>
        </w:rPr>
        <w:t xml:space="preserve">be examined </w:t>
      </w:r>
      <w:r w:rsidRPr="00B24750">
        <w:rPr>
          <w:rFonts w:asciiTheme="majorHAnsi" w:hAnsiTheme="majorHAnsi" w:cs="Calibri"/>
          <w:i/>
          <w:iCs/>
          <w:sz w:val="20"/>
          <w:szCs w:val="20"/>
          <w:lang w:val="en-US"/>
        </w:rPr>
        <w:t xml:space="preserve">a priori </w:t>
      </w:r>
      <w:r w:rsidRPr="00B24750">
        <w:rPr>
          <w:rFonts w:asciiTheme="majorHAnsi" w:hAnsiTheme="majorHAnsi" w:cs="Calibri"/>
          <w:sz w:val="20"/>
          <w:szCs w:val="20"/>
          <w:lang w:val="en-US"/>
        </w:rPr>
        <w:t xml:space="preserve">in this section, exclusively </w:t>
      </w:r>
      <w:r w:rsidR="006E62A8">
        <w:rPr>
          <w:rFonts w:asciiTheme="majorHAnsi" w:hAnsiTheme="majorHAnsi" w:cs="Calibri"/>
          <w:sz w:val="20"/>
          <w:szCs w:val="20"/>
          <w:lang w:val="en-US"/>
        </w:rPr>
        <w:t xml:space="preserve">to determine the admissibility </w:t>
      </w:r>
      <w:r w:rsidRPr="00B24750">
        <w:rPr>
          <w:rFonts w:asciiTheme="majorHAnsi" w:hAnsiTheme="majorHAnsi" w:cs="Calibri"/>
          <w:sz w:val="20"/>
          <w:szCs w:val="20"/>
          <w:lang w:val="en-US"/>
        </w:rPr>
        <w:t>of the petition, without prejudging its merits, which will be a</w:t>
      </w:r>
      <w:r w:rsidR="00273680" w:rsidRPr="00B24750">
        <w:rPr>
          <w:rFonts w:asciiTheme="majorHAnsi" w:hAnsiTheme="majorHAnsi" w:cs="Calibri"/>
          <w:sz w:val="20"/>
          <w:szCs w:val="20"/>
          <w:lang w:val="en-US"/>
        </w:rPr>
        <w:t>ddressed</w:t>
      </w:r>
      <w:r w:rsidRPr="00B24750">
        <w:rPr>
          <w:rFonts w:asciiTheme="majorHAnsi" w:hAnsiTheme="majorHAnsi" w:cs="Calibri"/>
          <w:sz w:val="20"/>
          <w:szCs w:val="20"/>
          <w:lang w:val="en-US"/>
        </w:rPr>
        <w:t xml:space="preserve"> in the </w:t>
      </w:r>
      <w:r w:rsidR="00273680" w:rsidRPr="00B24750">
        <w:rPr>
          <w:rFonts w:asciiTheme="majorHAnsi" w:hAnsiTheme="majorHAnsi" w:cs="Calibri"/>
          <w:sz w:val="20"/>
          <w:szCs w:val="20"/>
          <w:lang w:val="en-US"/>
        </w:rPr>
        <w:t xml:space="preserve">legal analysis </w:t>
      </w:r>
      <w:r w:rsidRPr="00B24750">
        <w:rPr>
          <w:rFonts w:asciiTheme="majorHAnsi" w:hAnsiTheme="majorHAnsi" w:cs="Calibri"/>
          <w:sz w:val="20"/>
          <w:szCs w:val="20"/>
          <w:lang w:val="en-US"/>
        </w:rPr>
        <w:t>section.</w:t>
      </w:r>
    </w:p>
    <w:p w14:paraId="404EB1B2" w14:textId="77777777" w:rsidR="008B5AFB" w:rsidRPr="00B24750" w:rsidRDefault="008B5AFB"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highlight w:val="yellow"/>
          <w:lang w:val="en-US"/>
        </w:rPr>
      </w:pPr>
    </w:p>
    <w:p w14:paraId="3B7B560D" w14:textId="773CBD4D" w:rsidR="008B5AFB" w:rsidRPr="00B24750" w:rsidRDefault="00085E39"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cs="Calibri"/>
          <w:sz w:val="20"/>
          <w:szCs w:val="20"/>
          <w:lang w:val="en-US"/>
        </w:rPr>
        <w:t>From the time of the facts alleged in the petition to the present</w:t>
      </w:r>
      <w:r w:rsidR="008B5AFB" w:rsidRPr="00B24750">
        <w:rPr>
          <w:rFonts w:asciiTheme="majorHAnsi" w:hAnsiTheme="majorHAnsi" w:cs="Calibri"/>
          <w:sz w:val="20"/>
          <w:szCs w:val="20"/>
          <w:lang w:val="en-US"/>
        </w:rPr>
        <w:t xml:space="preserve">, the IACHR has repeatedly noted the lack of judicial independence in Cuba. </w:t>
      </w:r>
      <w:r w:rsidRPr="00B24750">
        <w:rPr>
          <w:rFonts w:asciiTheme="majorHAnsi" w:hAnsiTheme="majorHAnsi" w:cs="Calibri"/>
          <w:sz w:val="20"/>
          <w:szCs w:val="20"/>
          <w:lang w:val="en-US"/>
        </w:rPr>
        <w:t xml:space="preserve">It did so, </w:t>
      </w:r>
      <w:r w:rsidRPr="00B24750">
        <w:rPr>
          <w:rFonts w:asciiTheme="majorHAnsi" w:hAnsiTheme="majorHAnsi" w:cs="Calibri"/>
          <w:i/>
          <w:iCs/>
          <w:sz w:val="20"/>
          <w:szCs w:val="20"/>
          <w:lang w:val="en-US"/>
        </w:rPr>
        <w:t>inter alia</w:t>
      </w:r>
      <w:r w:rsidR="008B5AFB" w:rsidRPr="00B24750">
        <w:rPr>
          <w:rFonts w:asciiTheme="majorHAnsi" w:hAnsiTheme="majorHAnsi" w:cs="Calibri"/>
          <w:sz w:val="20"/>
          <w:szCs w:val="20"/>
          <w:lang w:val="en-US"/>
        </w:rPr>
        <w:t>: (</w:t>
      </w:r>
      <w:proofErr w:type="spellStart"/>
      <w:r w:rsidR="008B5AFB" w:rsidRPr="00B24750">
        <w:rPr>
          <w:rFonts w:asciiTheme="majorHAnsi" w:hAnsiTheme="majorHAnsi" w:cs="Calibri"/>
          <w:sz w:val="20"/>
          <w:szCs w:val="20"/>
          <w:lang w:val="en-US"/>
        </w:rPr>
        <w:t>i</w:t>
      </w:r>
      <w:proofErr w:type="spellEnd"/>
      <w:r w:rsidR="008B5AFB" w:rsidRPr="00B24750">
        <w:rPr>
          <w:rFonts w:asciiTheme="majorHAnsi" w:hAnsiTheme="majorHAnsi" w:cs="Calibri"/>
          <w:sz w:val="20"/>
          <w:szCs w:val="20"/>
          <w:lang w:val="en-US"/>
        </w:rPr>
        <w:t>) in the 2007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9"/>
      </w:r>
      <w:r w:rsidR="008B5AFB" w:rsidRPr="00B24750">
        <w:rPr>
          <w:rFonts w:asciiTheme="majorHAnsi" w:hAnsiTheme="majorHAnsi" w:cs="Calibri"/>
          <w:sz w:val="20"/>
          <w:szCs w:val="20"/>
          <w:lang w:val="en-US"/>
        </w:rPr>
        <w:t xml:space="preserve"> (ii) in the 2008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0"/>
      </w:r>
      <w:r w:rsidR="008B5AFB" w:rsidRPr="00B24750">
        <w:rPr>
          <w:rFonts w:asciiTheme="majorHAnsi" w:hAnsiTheme="majorHAnsi" w:cs="Calibri"/>
          <w:sz w:val="20"/>
          <w:szCs w:val="20"/>
          <w:lang w:val="en-US"/>
        </w:rPr>
        <w:t xml:space="preserve"> (iii) in the 2009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1"/>
      </w:r>
      <w:r w:rsidR="008B5AFB" w:rsidRPr="00B24750">
        <w:rPr>
          <w:rFonts w:asciiTheme="majorHAnsi" w:hAnsiTheme="majorHAnsi" w:cs="Calibri"/>
          <w:sz w:val="20"/>
          <w:szCs w:val="20"/>
          <w:lang w:val="en-US"/>
        </w:rPr>
        <w:t xml:space="preserve"> (iv) in the 2010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2"/>
      </w:r>
      <w:r w:rsidR="008B5AFB" w:rsidRPr="00B24750">
        <w:rPr>
          <w:rFonts w:asciiTheme="majorHAnsi" w:hAnsiTheme="majorHAnsi" w:cs="Calibri"/>
          <w:sz w:val="20"/>
          <w:szCs w:val="20"/>
          <w:lang w:val="en-US"/>
        </w:rPr>
        <w:t xml:space="preserve"> (v) in the 2011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3"/>
      </w:r>
      <w:r w:rsidR="008B5AFB" w:rsidRPr="00B24750">
        <w:rPr>
          <w:rFonts w:asciiTheme="majorHAnsi" w:hAnsiTheme="majorHAnsi" w:cs="Calibri"/>
          <w:sz w:val="20"/>
          <w:szCs w:val="20"/>
          <w:lang w:val="en-US"/>
        </w:rPr>
        <w:t xml:space="preserve"> (vi) in the 2012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4"/>
      </w:r>
      <w:r w:rsidR="008B5AFB" w:rsidRPr="00B24750">
        <w:rPr>
          <w:rFonts w:asciiTheme="majorHAnsi" w:hAnsiTheme="majorHAnsi" w:cs="Calibri"/>
          <w:sz w:val="20"/>
          <w:szCs w:val="20"/>
          <w:lang w:val="en-US"/>
        </w:rPr>
        <w:t xml:space="preserve"> (vii) in the 2013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5"/>
      </w:r>
      <w:r w:rsidR="008B5AFB" w:rsidRPr="00B24750">
        <w:rPr>
          <w:rFonts w:asciiTheme="majorHAnsi" w:hAnsiTheme="majorHAnsi" w:cs="Calibri"/>
          <w:sz w:val="20"/>
          <w:szCs w:val="20"/>
          <w:lang w:val="en-US"/>
        </w:rPr>
        <w:t xml:space="preserve"> (viii) in the 2014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6"/>
      </w:r>
      <w:r w:rsidR="008B5AFB" w:rsidRPr="00B24750">
        <w:rPr>
          <w:rFonts w:asciiTheme="majorHAnsi" w:hAnsiTheme="majorHAnsi" w:cs="Calibri"/>
          <w:sz w:val="20"/>
          <w:szCs w:val="20"/>
          <w:lang w:val="en-US"/>
        </w:rPr>
        <w:t xml:space="preserve"> (ix) in </w:t>
      </w:r>
      <w:r w:rsidR="008B5AFB" w:rsidRPr="00B24750">
        <w:rPr>
          <w:rFonts w:asciiTheme="majorHAnsi" w:hAnsiTheme="majorHAnsi" w:cs="Calibri"/>
          <w:sz w:val="20"/>
          <w:szCs w:val="20"/>
          <w:lang w:val="en-US"/>
        </w:rPr>
        <w:lastRenderedPageBreak/>
        <w:t>the 2015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7"/>
      </w:r>
      <w:r w:rsidR="008B5AFB" w:rsidRPr="00B24750">
        <w:rPr>
          <w:rFonts w:asciiTheme="majorHAnsi" w:hAnsiTheme="majorHAnsi" w:cs="Calibri"/>
          <w:sz w:val="20"/>
          <w:szCs w:val="20"/>
          <w:lang w:val="en-US"/>
        </w:rPr>
        <w:t xml:space="preserve"> (x) in the 2016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8"/>
      </w:r>
      <w:r w:rsidR="008B5AFB" w:rsidRPr="00B24750">
        <w:rPr>
          <w:rFonts w:asciiTheme="majorHAnsi" w:hAnsiTheme="majorHAnsi" w:cs="Calibri"/>
          <w:sz w:val="20"/>
          <w:szCs w:val="20"/>
          <w:lang w:val="en-US"/>
        </w:rPr>
        <w:t xml:space="preserve"> (xi) in the 2017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19"/>
      </w:r>
      <w:r w:rsidR="008B5AFB" w:rsidRPr="00B24750">
        <w:rPr>
          <w:rFonts w:asciiTheme="majorHAnsi" w:hAnsiTheme="majorHAnsi" w:cs="Calibri"/>
          <w:sz w:val="20"/>
          <w:szCs w:val="20"/>
          <w:lang w:val="en-US"/>
        </w:rPr>
        <w:t xml:space="preserve"> (xii) in the 2018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20"/>
      </w:r>
      <w:r w:rsidR="008B5AFB" w:rsidRPr="00B24750">
        <w:rPr>
          <w:rFonts w:asciiTheme="majorHAnsi" w:hAnsiTheme="majorHAnsi" w:cs="Calibri"/>
          <w:sz w:val="20"/>
          <w:szCs w:val="20"/>
          <w:lang w:val="en-US"/>
        </w:rPr>
        <w:t xml:space="preserve"> (xiii) in the 2018 </w:t>
      </w:r>
      <w:r w:rsidRPr="00B24750">
        <w:rPr>
          <w:rFonts w:asciiTheme="majorHAnsi" w:hAnsiTheme="majorHAnsi" w:cs="Calibri"/>
          <w:sz w:val="20"/>
          <w:szCs w:val="20"/>
          <w:lang w:val="en-US"/>
        </w:rPr>
        <w:t>report on the “</w:t>
      </w:r>
      <w:r w:rsidR="008B5AFB" w:rsidRPr="00B24750">
        <w:rPr>
          <w:rFonts w:asciiTheme="majorHAnsi" w:hAnsiTheme="majorHAnsi" w:cs="Calibri"/>
          <w:sz w:val="20"/>
          <w:szCs w:val="20"/>
          <w:lang w:val="en-US"/>
        </w:rPr>
        <w:t>Situation of Freedom of Expression in Cuba</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21"/>
      </w:r>
      <w:r w:rsidR="008B5AFB" w:rsidRPr="00B24750">
        <w:rPr>
          <w:rFonts w:asciiTheme="majorHAnsi" w:hAnsiTheme="majorHAnsi" w:cs="Calibri"/>
          <w:sz w:val="20"/>
          <w:szCs w:val="20"/>
          <w:lang w:val="en-US"/>
        </w:rPr>
        <w:t xml:space="preserve"> (xiv) in the 2019 Annual Report</w:t>
      </w:r>
      <w:r w:rsidRPr="00B24750">
        <w:rPr>
          <w:rFonts w:asciiTheme="majorHAnsi" w:hAnsiTheme="majorHAnsi" w:cs="Calibri"/>
          <w:sz w:val="20"/>
          <w:szCs w:val="20"/>
          <w:lang w:val="en-US"/>
        </w:rPr>
        <w:t>;</w:t>
      </w:r>
      <w:r w:rsidR="008B5AFB" w:rsidRPr="00B24750">
        <w:rPr>
          <w:rStyle w:val="FootnoteReference"/>
          <w:rFonts w:asciiTheme="majorHAnsi" w:hAnsiTheme="majorHAnsi" w:cs="Calibri"/>
          <w:sz w:val="20"/>
          <w:szCs w:val="20"/>
          <w:lang w:val="en-US"/>
        </w:rPr>
        <w:footnoteReference w:id="22"/>
      </w:r>
      <w:r w:rsidR="008B5AFB" w:rsidRPr="00B24750">
        <w:rPr>
          <w:rFonts w:asciiTheme="majorHAnsi" w:hAnsiTheme="majorHAnsi" w:cs="Calibri"/>
          <w:sz w:val="20"/>
          <w:szCs w:val="20"/>
          <w:lang w:val="en-US"/>
        </w:rPr>
        <w:t xml:space="preserve"> and (xv) in the 2020 </w:t>
      </w:r>
      <w:r w:rsidRPr="00B24750">
        <w:rPr>
          <w:rFonts w:asciiTheme="majorHAnsi" w:hAnsiTheme="majorHAnsi" w:cs="Calibri"/>
          <w:sz w:val="20"/>
          <w:szCs w:val="20"/>
          <w:lang w:val="en-US"/>
        </w:rPr>
        <w:t>report on the “</w:t>
      </w:r>
      <w:r w:rsidR="008B5AFB" w:rsidRPr="00B24750">
        <w:rPr>
          <w:rFonts w:asciiTheme="majorHAnsi" w:hAnsiTheme="majorHAnsi" w:cs="Calibri"/>
          <w:sz w:val="20"/>
          <w:szCs w:val="20"/>
          <w:lang w:val="en-US"/>
        </w:rPr>
        <w:t>Situation of Human Rights in Cuba</w:t>
      </w:r>
      <w:r w:rsidRPr="00B24750">
        <w:rPr>
          <w:rFonts w:asciiTheme="majorHAnsi" w:hAnsiTheme="majorHAnsi" w:cs="Calibri"/>
          <w:sz w:val="20"/>
          <w:szCs w:val="20"/>
          <w:lang w:val="en-US"/>
        </w:rPr>
        <w:t>.”</w:t>
      </w:r>
      <w:r w:rsidRPr="00B24750">
        <w:rPr>
          <w:rStyle w:val="FootnoteReference"/>
          <w:rFonts w:asciiTheme="majorHAnsi" w:hAnsiTheme="majorHAnsi" w:cs="Calibri"/>
          <w:sz w:val="20"/>
          <w:szCs w:val="20"/>
          <w:lang w:val="en-US"/>
        </w:rPr>
        <w:footnoteReference w:id="23"/>
      </w:r>
    </w:p>
    <w:p w14:paraId="4868F461" w14:textId="77777777" w:rsidR="00226E88" w:rsidRPr="00B24750" w:rsidRDefault="00226E88"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7D7405A6" w14:textId="05E5C1ED" w:rsidR="00226E88" w:rsidRPr="00D82AE2" w:rsidRDefault="00226E88"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Cambria" w:hAnsi="Cambria"/>
          <w:sz w:val="20"/>
          <w:szCs w:val="20"/>
          <w:lang w:val="en-US"/>
        </w:rPr>
      </w:pPr>
      <w:r w:rsidRPr="00D82AE2">
        <w:rPr>
          <w:rFonts w:asciiTheme="majorHAnsi" w:eastAsia="Cambria" w:hAnsiTheme="majorHAnsi" w:cs="Cambria"/>
          <w:color w:val="000000"/>
          <w:sz w:val="20"/>
          <w:szCs w:val="20"/>
          <w:lang w:val="en-US"/>
        </w:rPr>
        <w:t xml:space="preserve">In addition to the above, the IACHR notes that Cuba has been included in Chapter IV, or its equivalent, of the Annual Report in the years 1984-1985 to 1994, and without interruption from 1996 to </w:t>
      </w:r>
      <w:r w:rsidRPr="00D82AE2">
        <w:rPr>
          <w:rFonts w:asciiTheme="majorHAnsi" w:eastAsia="Cambria" w:hAnsiTheme="majorHAnsi" w:cs="Cambria"/>
          <w:sz w:val="20"/>
          <w:szCs w:val="20"/>
          <w:lang w:val="en-US"/>
        </w:rPr>
        <w:t>20</w:t>
      </w:r>
      <w:r w:rsidR="00F0707B" w:rsidRPr="00D82AE2">
        <w:rPr>
          <w:rFonts w:asciiTheme="majorHAnsi" w:eastAsia="Cambria" w:hAnsiTheme="majorHAnsi" w:cs="Cambria"/>
          <w:sz w:val="20"/>
          <w:szCs w:val="20"/>
          <w:lang w:val="en-US"/>
        </w:rPr>
        <w:t>20</w:t>
      </w:r>
      <w:r w:rsidRPr="00D82AE2">
        <w:rPr>
          <w:rFonts w:asciiTheme="majorHAnsi" w:eastAsia="Cambria" w:hAnsiTheme="majorHAnsi" w:cs="Cambria"/>
          <w:color w:val="000000"/>
          <w:sz w:val="20"/>
          <w:szCs w:val="20"/>
          <w:lang w:val="en-US"/>
        </w:rPr>
        <w:t xml:space="preserve">. Since the 2013 amendments to the IACHR Rules of Procedure, the inclusion of Cuba in the annual reports has been based on the criteria </w:t>
      </w:r>
      <w:r w:rsidR="004E21A3" w:rsidRPr="00D82AE2">
        <w:rPr>
          <w:rFonts w:asciiTheme="majorHAnsi" w:eastAsia="Cambria" w:hAnsiTheme="majorHAnsi" w:cs="Cambria"/>
          <w:color w:val="000000"/>
          <w:sz w:val="20"/>
          <w:szCs w:val="20"/>
          <w:lang w:val="en-US"/>
        </w:rPr>
        <w:t xml:space="preserve">set forth </w:t>
      </w:r>
      <w:r w:rsidRPr="00D82AE2">
        <w:rPr>
          <w:rFonts w:asciiTheme="majorHAnsi" w:eastAsia="Cambria" w:hAnsiTheme="majorHAnsi" w:cs="Cambria"/>
          <w:color w:val="000000"/>
          <w:sz w:val="20"/>
          <w:szCs w:val="20"/>
          <w:lang w:val="en-US"/>
        </w:rPr>
        <w:t>in Article 59.</w:t>
      </w:r>
      <w:r w:rsidRPr="00D82AE2">
        <w:rPr>
          <w:rStyle w:val="FootnoteReference"/>
          <w:rFonts w:asciiTheme="majorHAnsi" w:eastAsia="Cambria" w:hAnsiTheme="majorHAnsi" w:cs="Cambria"/>
          <w:color w:val="000000"/>
          <w:sz w:val="20"/>
          <w:szCs w:val="20"/>
          <w:lang w:val="en-US"/>
        </w:rPr>
        <w:footnoteReference w:id="24"/>
      </w:r>
      <w:r w:rsidRPr="00D82AE2">
        <w:rPr>
          <w:rFonts w:asciiTheme="majorHAnsi" w:eastAsia="Cambria" w:hAnsiTheme="majorHAnsi" w:cs="Cambria"/>
          <w:color w:val="000000"/>
          <w:sz w:val="20"/>
          <w:szCs w:val="20"/>
          <w:lang w:val="en-US"/>
        </w:rPr>
        <w:t xml:space="preserve"> </w:t>
      </w:r>
      <w:r w:rsidR="002E004B" w:rsidRPr="00D82AE2">
        <w:rPr>
          <w:rFonts w:ascii="Cambria" w:hAnsi="Cambria"/>
          <w:sz w:val="20"/>
          <w:szCs w:val="20"/>
          <w:lang w:val="en-US"/>
        </w:rPr>
        <w:t xml:space="preserve">In other words, The IACHR has repeatedly and consistently </w:t>
      </w:r>
      <w:r w:rsidR="001D5255" w:rsidRPr="00D82AE2">
        <w:rPr>
          <w:rFonts w:ascii="Cambria" w:hAnsi="Cambria"/>
          <w:sz w:val="20"/>
          <w:szCs w:val="20"/>
          <w:lang w:val="en-US"/>
        </w:rPr>
        <w:t>considered</w:t>
      </w:r>
      <w:r w:rsidR="002E004B" w:rsidRPr="00D82AE2">
        <w:rPr>
          <w:rFonts w:ascii="Cambria" w:hAnsi="Cambria"/>
          <w:sz w:val="20"/>
          <w:szCs w:val="20"/>
          <w:lang w:val="en-US"/>
        </w:rPr>
        <w:t xml:space="preserve"> that Cuba meets these criteria for inclusion in Chapter IV.B: </w:t>
      </w:r>
      <w:r w:rsidR="00D70454" w:rsidRPr="00D82AE2">
        <w:rPr>
          <w:rFonts w:ascii="Cambria" w:hAnsi="Cambria"/>
          <w:sz w:val="20"/>
          <w:szCs w:val="20"/>
          <w:lang w:val="en-US"/>
        </w:rPr>
        <w:t xml:space="preserve">The State has committed or massive, serious and widespread violations of human rights guaranteed in the American Declaration </w:t>
      </w:r>
      <w:r w:rsidR="002E004B" w:rsidRPr="00D82AE2">
        <w:rPr>
          <w:rFonts w:ascii="Cambria" w:hAnsi="Cambria"/>
          <w:sz w:val="20"/>
          <w:szCs w:val="20"/>
          <w:lang w:val="en-US"/>
        </w:rPr>
        <w:t>and violations against the institutions of representative democracy, such as the lack of independence of the powers of the State.</w:t>
      </w:r>
    </w:p>
    <w:p w14:paraId="0FF2415D" w14:textId="77777777" w:rsidR="00226E88" w:rsidRPr="00D82AE2" w:rsidRDefault="00226E88"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0F7E226F" w14:textId="14DA1021" w:rsidR="00923CC3" w:rsidRPr="00B24750" w:rsidRDefault="006D1A64"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Calibri"/>
          <w:sz w:val="20"/>
          <w:szCs w:val="20"/>
          <w:lang w:val="en-US"/>
        </w:rPr>
      </w:pPr>
      <w:r w:rsidRPr="00D82AE2">
        <w:rPr>
          <w:rFonts w:asciiTheme="majorHAnsi" w:hAnsiTheme="majorHAnsi" w:cs="Calibri"/>
          <w:sz w:val="20"/>
          <w:szCs w:val="20"/>
          <w:lang w:val="en-US"/>
        </w:rPr>
        <w:t>The findings of the IACHR in</w:t>
      </w:r>
      <w:r w:rsidRPr="00B24750">
        <w:rPr>
          <w:rFonts w:asciiTheme="majorHAnsi" w:hAnsiTheme="majorHAnsi" w:cs="Calibri"/>
          <w:sz w:val="20"/>
          <w:szCs w:val="20"/>
          <w:lang w:val="en-US"/>
        </w:rPr>
        <w:t xml:space="preserve"> each of these reports have been thorough and forceful. For this admissibility review, we can conclude—without prejudging the merits of this case—that in Cuba, in principle, judicial independence, due process of law, and access to justice are not guaranteed, especially for persons considered dissidents or </w:t>
      </w:r>
      <w:r w:rsidR="00AA73D7">
        <w:rPr>
          <w:rFonts w:asciiTheme="majorHAnsi" w:hAnsiTheme="majorHAnsi" w:cs="Calibri"/>
          <w:sz w:val="20"/>
          <w:szCs w:val="20"/>
          <w:lang w:val="en-US"/>
        </w:rPr>
        <w:t xml:space="preserve">labeled </w:t>
      </w:r>
      <w:r w:rsidRPr="00B24750">
        <w:rPr>
          <w:rFonts w:asciiTheme="majorHAnsi" w:hAnsiTheme="majorHAnsi" w:cs="Calibri"/>
          <w:sz w:val="20"/>
          <w:szCs w:val="20"/>
          <w:lang w:val="en-US"/>
        </w:rPr>
        <w:t>enemies of the Cuban government</w:t>
      </w:r>
      <w:r w:rsidR="00923CC3" w:rsidRPr="00B24750">
        <w:rPr>
          <w:rFonts w:asciiTheme="majorHAnsi" w:hAnsiTheme="majorHAnsi" w:cs="Calibri"/>
          <w:sz w:val="20"/>
          <w:szCs w:val="20"/>
          <w:lang w:val="en-US"/>
        </w:rPr>
        <w:t xml:space="preserve">. </w:t>
      </w:r>
      <w:r w:rsidRPr="00B24750">
        <w:rPr>
          <w:rFonts w:asciiTheme="majorHAnsi" w:hAnsiTheme="majorHAnsi" w:cs="Arial"/>
          <w:sz w:val="20"/>
          <w:szCs w:val="20"/>
          <w:lang w:val="en-US"/>
        </w:rPr>
        <w:t>For them, remedies are merely procedural formalities. The bodies of the judiciary or administrative authorities routinely fail to apply constitutional norms independently and impartially in proceedings involving dissidents</w:t>
      </w:r>
      <w:r w:rsidR="00E26590" w:rsidRPr="00B24750">
        <w:rPr>
          <w:rFonts w:asciiTheme="majorHAnsi" w:hAnsiTheme="majorHAnsi" w:cs="Arial"/>
          <w:sz w:val="20"/>
          <w:szCs w:val="20"/>
          <w:lang w:val="en-US"/>
        </w:rPr>
        <w:t>.</w:t>
      </w:r>
      <w:r w:rsidR="00923CC3" w:rsidRPr="00B24750">
        <w:rPr>
          <w:rStyle w:val="FootnoteReference"/>
          <w:rFonts w:asciiTheme="majorHAnsi" w:hAnsiTheme="majorHAnsi" w:cs="Arial"/>
          <w:sz w:val="20"/>
          <w:szCs w:val="20"/>
          <w:lang w:val="en-US"/>
        </w:rPr>
        <w:footnoteReference w:id="25"/>
      </w:r>
    </w:p>
    <w:p w14:paraId="21F484AE" w14:textId="77777777" w:rsidR="006D1A64" w:rsidRPr="00B24750" w:rsidRDefault="006D1A64"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n-US"/>
        </w:rPr>
      </w:pPr>
    </w:p>
    <w:p w14:paraId="384C4F71" w14:textId="1F14BA43" w:rsidR="000A695C" w:rsidRPr="00B24750" w:rsidRDefault="006E62A8"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cs="Calibri"/>
          <w:sz w:val="20"/>
          <w:szCs w:val="20"/>
          <w:lang w:val="en-US"/>
        </w:rPr>
      </w:pPr>
      <w:r>
        <w:rPr>
          <w:rFonts w:asciiTheme="majorHAnsi" w:hAnsiTheme="majorHAnsi" w:cs="Calibri"/>
          <w:sz w:val="20"/>
          <w:szCs w:val="20"/>
          <w:lang w:val="en-US"/>
        </w:rPr>
        <w:t xml:space="preserve">The </w:t>
      </w:r>
      <w:r w:rsidR="000A695C" w:rsidRPr="00B24750">
        <w:rPr>
          <w:rFonts w:asciiTheme="majorHAnsi" w:hAnsiTheme="majorHAnsi" w:cs="Calibri"/>
          <w:sz w:val="20"/>
          <w:szCs w:val="20"/>
          <w:lang w:val="en-US"/>
        </w:rPr>
        <w:t>information received by the IACHR notes that the judiciary has been under the executive branch since the 1976 Cuban Constitution, Article 121 of which established the subordination of the courts to the Council of State, led by the Head of State. This means that the judicial branch answers directly to the executive branch.</w:t>
      </w:r>
      <w:r w:rsidR="000A695C" w:rsidRPr="00B24750">
        <w:rPr>
          <w:rStyle w:val="FootnoteReference"/>
          <w:rFonts w:asciiTheme="majorHAnsi" w:hAnsiTheme="majorHAnsi" w:cs="Calibri"/>
          <w:sz w:val="20"/>
          <w:szCs w:val="20"/>
          <w:lang w:val="en-US"/>
        </w:rPr>
        <w:footnoteReference w:id="26"/>
      </w:r>
      <w:r w:rsidR="000A695C" w:rsidRPr="00B24750">
        <w:rPr>
          <w:rFonts w:asciiTheme="majorHAnsi" w:hAnsiTheme="majorHAnsi" w:cs="Calibri"/>
          <w:sz w:val="20"/>
          <w:szCs w:val="20"/>
          <w:lang w:val="en-US"/>
        </w:rPr>
        <w:t xml:space="preserve"> </w:t>
      </w:r>
      <w:r w:rsidR="00117F75" w:rsidRPr="00B24750">
        <w:rPr>
          <w:rFonts w:asciiTheme="majorHAnsi" w:hAnsiTheme="majorHAnsi" w:cs="Calibri"/>
          <w:sz w:val="20"/>
          <w:szCs w:val="20"/>
          <w:lang w:val="en-US"/>
        </w:rPr>
        <w:t>This situation remained unchanged despite the constitutional reform, since the 2019 Constitution gives the Assemblies of People</w:t>
      </w:r>
      <w:r w:rsidR="001D112A">
        <w:rPr>
          <w:rFonts w:asciiTheme="majorHAnsi" w:hAnsiTheme="majorHAnsi" w:cs="Calibri"/>
          <w:sz w:val="20"/>
          <w:szCs w:val="20"/>
          <w:lang w:val="en-US"/>
        </w:rPr>
        <w:t>’</w:t>
      </w:r>
      <w:r w:rsidR="00117F75" w:rsidRPr="00B24750">
        <w:rPr>
          <w:rFonts w:asciiTheme="majorHAnsi" w:hAnsiTheme="majorHAnsi" w:cs="Calibri"/>
          <w:sz w:val="20"/>
          <w:szCs w:val="20"/>
          <w:lang w:val="en-US"/>
        </w:rPr>
        <w:t xml:space="preserve">s Power a great deal of influence over the appointment of judges; judges are accountable to them for their actions and can be removed by the body that elects them, so there are no rules to ensure that judges can </w:t>
      </w:r>
      <w:r w:rsidR="00597282" w:rsidRPr="00B24750">
        <w:rPr>
          <w:rFonts w:asciiTheme="majorHAnsi" w:hAnsiTheme="majorHAnsi" w:cs="Calibri"/>
          <w:sz w:val="20"/>
          <w:szCs w:val="20"/>
          <w:lang w:val="en-US"/>
        </w:rPr>
        <w:t>render</w:t>
      </w:r>
      <w:r w:rsidR="00117F75" w:rsidRPr="00B24750">
        <w:rPr>
          <w:rFonts w:asciiTheme="majorHAnsi" w:hAnsiTheme="majorHAnsi" w:cs="Calibri"/>
          <w:sz w:val="20"/>
          <w:szCs w:val="20"/>
          <w:lang w:val="en-US"/>
        </w:rPr>
        <w:t xml:space="preserve"> justice when their decisions may </w:t>
      </w:r>
      <w:r>
        <w:rPr>
          <w:rFonts w:asciiTheme="majorHAnsi" w:hAnsiTheme="majorHAnsi" w:cs="Calibri"/>
          <w:sz w:val="20"/>
          <w:szCs w:val="20"/>
          <w:lang w:val="en-US"/>
        </w:rPr>
        <w:t xml:space="preserve">conflict with </w:t>
      </w:r>
      <w:r w:rsidR="00117F75" w:rsidRPr="00B24750">
        <w:rPr>
          <w:rFonts w:asciiTheme="majorHAnsi" w:hAnsiTheme="majorHAnsi" w:cs="Calibri"/>
          <w:sz w:val="20"/>
          <w:szCs w:val="20"/>
          <w:lang w:val="en-US"/>
        </w:rPr>
        <w:t>the political interests of the government.</w:t>
      </w:r>
      <w:r w:rsidR="000A695C" w:rsidRPr="00B24750">
        <w:rPr>
          <w:rStyle w:val="FootnoteReference"/>
          <w:rFonts w:asciiTheme="majorHAnsi" w:hAnsiTheme="majorHAnsi" w:cs="Calibri"/>
          <w:sz w:val="20"/>
          <w:szCs w:val="20"/>
          <w:lang w:val="en-US"/>
        </w:rPr>
        <w:footnoteReference w:id="27"/>
      </w:r>
      <w:r w:rsidR="000A695C" w:rsidRPr="00B24750">
        <w:rPr>
          <w:rFonts w:asciiTheme="majorHAnsi" w:hAnsiTheme="majorHAnsi" w:cs="Calibri"/>
          <w:sz w:val="20"/>
          <w:szCs w:val="20"/>
          <w:lang w:val="en-US"/>
        </w:rPr>
        <w:t xml:space="preserve"> </w:t>
      </w:r>
      <w:r w:rsidR="00991774" w:rsidRPr="00B24750">
        <w:rPr>
          <w:rFonts w:asciiTheme="majorHAnsi" w:hAnsiTheme="majorHAnsi" w:cs="Calibri"/>
          <w:sz w:val="20"/>
          <w:szCs w:val="20"/>
          <w:lang w:val="en-US"/>
        </w:rPr>
        <w:t xml:space="preserve">This staggering accumulation of information, verified by the IACHR, shows there is no legal basis or political practice that allows for real independence in the administration of justice in Cuba—particularly in cases such as this one—and supports the application of the exception </w:t>
      </w:r>
      <w:r w:rsidR="00D36B2E">
        <w:rPr>
          <w:rFonts w:asciiTheme="majorHAnsi" w:hAnsiTheme="majorHAnsi" w:cs="Calibri"/>
          <w:sz w:val="20"/>
          <w:szCs w:val="20"/>
          <w:lang w:val="en-US"/>
        </w:rPr>
        <w:t xml:space="preserve">set forth </w:t>
      </w:r>
      <w:r w:rsidR="00991774" w:rsidRPr="00B24750">
        <w:rPr>
          <w:rFonts w:asciiTheme="majorHAnsi" w:hAnsiTheme="majorHAnsi" w:cs="Calibri"/>
          <w:sz w:val="20"/>
          <w:szCs w:val="20"/>
          <w:lang w:val="en-US"/>
        </w:rPr>
        <w:t>in Article 36.2(a)</w:t>
      </w:r>
      <w:r w:rsidR="000A695C" w:rsidRPr="00B24750">
        <w:rPr>
          <w:rFonts w:asciiTheme="majorHAnsi" w:hAnsiTheme="majorHAnsi" w:cs="Calibri"/>
          <w:sz w:val="20"/>
          <w:szCs w:val="20"/>
          <w:lang w:val="en-US"/>
        </w:rPr>
        <w:t xml:space="preserve">. </w:t>
      </w:r>
      <w:r w:rsidR="00E76A9C" w:rsidRPr="00B24750">
        <w:rPr>
          <w:rFonts w:asciiTheme="majorHAnsi" w:hAnsiTheme="majorHAnsi" w:cs="Calibri"/>
          <w:sz w:val="20"/>
          <w:szCs w:val="20"/>
          <w:lang w:val="en-US"/>
        </w:rPr>
        <w:t xml:space="preserve">As the IACHR has consistently stated, this is part of a context of serious disregard for the essential elements of representative democracy and its institutions </w:t>
      </w:r>
      <w:r>
        <w:rPr>
          <w:rFonts w:asciiTheme="majorHAnsi" w:hAnsiTheme="majorHAnsi" w:cs="Calibri"/>
          <w:sz w:val="20"/>
          <w:szCs w:val="20"/>
          <w:lang w:val="en-US"/>
        </w:rPr>
        <w:t xml:space="preserve">because </w:t>
      </w:r>
      <w:r w:rsidR="00E76A9C" w:rsidRPr="00B24750">
        <w:rPr>
          <w:rFonts w:asciiTheme="majorHAnsi" w:hAnsiTheme="majorHAnsi" w:cs="Calibri"/>
          <w:sz w:val="20"/>
          <w:szCs w:val="20"/>
          <w:lang w:val="en-US"/>
        </w:rPr>
        <w:t xml:space="preserve">Cuba is a single-party communist State that inhibits and represses political dissent, and </w:t>
      </w:r>
      <w:r w:rsidR="007572D2" w:rsidRPr="00B24750">
        <w:rPr>
          <w:rFonts w:asciiTheme="majorHAnsi" w:hAnsiTheme="majorHAnsi" w:cs="Calibri"/>
          <w:sz w:val="20"/>
          <w:szCs w:val="20"/>
          <w:lang w:val="en-US"/>
        </w:rPr>
        <w:t>whose</w:t>
      </w:r>
      <w:r w:rsidR="00E76A9C" w:rsidRPr="00B24750">
        <w:rPr>
          <w:rFonts w:asciiTheme="majorHAnsi" w:hAnsiTheme="majorHAnsi" w:cs="Calibri"/>
          <w:sz w:val="20"/>
          <w:szCs w:val="20"/>
          <w:lang w:val="en-US"/>
        </w:rPr>
        <w:t xml:space="preserve"> elections</w:t>
      </w:r>
      <w:r w:rsidR="007572D2" w:rsidRPr="00B24750">
        <w:rPr>
          <w:rFonts w:asciiTheme="majorHAnsi" w:hAnsiTheme="majorHAnsi" w:cs="Calibri"/>
          <w:sz w:val="20"/>
          <w:szCs w:val="20"/>
          <w:lang w:val="en-US"/>
        </w:rPr>
        <w:t xml:space="preserve"> lack</w:t>
      </w:r>
      <w:r w:rsidR="00E76A9C" w:rsidRPr="00B24750">
        <w:rPr>
          <w:rFonts w:asciiTheme="majorHAnsi" w:hAnsiTheme="majorHAnsi" w:cs="Calibri"/>
          <w:sz w:val="20"/>
          <w:szCs w:val="20"/>
          <w:lang w:val="en-US"/>
        </w:rPr>
        <w:t xml:space="preserve"> plurality and independence, as well as opposition parties</w:t>
      </w:r>
      <w:r w:rsidR="000A695C" w:rsidRPr="00B24750">
        <w:rPr>
          <w:rFonts w:asciiTheme="majorHAnsi" w:hAnsiTheme="majorHAnsi"/>
          <w:sz w:val="20"/>
          <w:szCs w:val="20"/>
          <w:lang w:val="en-US"/>
        </w:rPr>
        <w:t>.</w:t>
      </w:r>
      <w:r w:rsidR="000A695C" w:rsidRPr="00B24750">
        <w:rPr>
          <w:rStyle w:val="FootnoteReference"/>
          <w:rFonts w:asciiTheme="majorHAnsi" w:hAnsiTheme="majorHAnsi"/>
          <w:sz w:val="20"/>
          <w:szCs w:val="20"/>
          <w:lang w:val="en-US"/>
        </w:rPr>
        <w:footnoteReference w:id="28"/>
      </w:r>
      <w:r w:rsidR="00E76A9C" w:rsidRPr="00B24750">
        <w:rPr>
          <w:rFonts w:asciiTheme="majorHAnsi" w:hAnsiTheme="majorHAnsi"/>
          <w:sz w:val="20"/>
          <w:szCs w:val="20"/>
          <w:lang w:val="en-US"/>
        </w:rPr>
        <w:t xml:space="preserve"> </w:t>
      </w:r>
      <w:r w:rsidR="007572D2" w:rsidRPr="00B24750">
        <w:rPr>
          <w:rFonts w:asciiTheme="majorHAnsi" w:hAnsiTheme="majorHAnsi"/>
          <w:sz w:val="20"/>
          <w:szCs w:val="20"/>
          <w:lang w:val="en-US"/>
        </w:rPr>
        <w:t>Its Constitution provides for the defense of the socialist homeland and defines treason as the most serious crime, laying the foundations of a State that fails to provide institutional guarantees for the rule of law and protect the rights of all persons without political distinction</w:t>
      </w:r>
      <w:r w:rsidR="000A695C" w:rsidRPr="00B24750">
        <w:rPr>
          <w:rFonts w:asciiTheme="majorHAnsi" w:hAnsiTheme="majorHAnsi"/>
          <w:sz w:val="20"/>
          <w:szCs w:val="20"/>
          <w:lang w:val="en-US"/>
        </w:rPr>
        <w:t>.</w:t>
      </w:r>
      <w:r w:rsidR="000A695C" w:rsidRPr="00B24750">
        <w:rPr>
          <w:rStyle w:val="FootnoteReference"/>
          <w:rFonts w:asciiTheme="majorHAnsi" w:hAnsiTheme="majorHAnsi"/>
          <w:sz w:val="20"/>
          <w:szCs w:val="20"/>
          <w:lang w:val="en-US"/>
        </w:rPr>
        <w:footnoteReference w:id="29"/>
      </w:r>
      <w:r w:rsidR="000A695C" w:rsidRPr="00B24750">
        <w:rPr>
          <w:rFonts w:asciiTheme="majorHAnsi" w:hAnsiTheme="majorHAnsi"/>
          <w:sz w:val="20"/>
          <w:szCs w:val="20"/>
          <w:lang w:val="en-US"/>
        </w:rPr>
        <w:t xml:space="preserve"> </w:t>
      </w:r>
      <w:r w:rsidR="00F95F43">
        <w:rPr>
          <w:rFonts w:asciiTheme="majorHAnsi" w:hAnsiTheme="majorHAnsi"/>
          <w:sz w:val="20"/>
          <w:szCs w:val="20"/>
          <w:lang w:val="en-US"/>
        </w:rPr>
        <w:t xml:space="preserve">The </w:t>
      </w:r>
      <w:r w:rsidR="001D112A" w:rsidRPr="001D112A">
        <w:rPr>
          <w:rFonts w:asciiTheme="majorHAnsi" w:hAnsiTheme="majorHAnsi"/>
          <w:sz w:val="20"/>
          <w:szCs w:val="20"/>
          <w:lang w:val="en-US"/>
        </w:rPr>
        <w:t xml:space="preserve">constitutional hierarchy </w:t>
      </w:r>
      <w:r w:rsidR="00F95F43">
        <w:rPr>
          <w:rFonts w:asciiTheme="majorHAnsi" w:hAnsiTheme="majorHAnsi"/>
          <w:sz w:val="20"/>
          <w:szCs w:val="20"/>
          <w:lang w:val="en-US"/>
        </w:rPr>
        <w:t>of this approach establishes</w:t>
      </w:r>
      <w:r w:rsidR="001D112A" w:rsidRPr="001D112A">
        <w:rPr>
          <w:rFonts w:asciiTheme="majorHAnsi" w:hAnsiTheme="majorHAnsi"/>
          <w:sz w:val="20"/>
          <w:szCs w:val="20"/>
          <w:lang w:val="en-US"/>
        </w:rPr>
        <w:t xml:space="preserve"> a </w:t>
      </w:r>
      <w:r w:rsidR="001D112A" w:rsidRPr="001D112A">
        <w:rPr>
          <w:rFonts w:asciiTheme="majorHAnsi" w:hAnsiTheme="majorHAnsi"/>
          <w:sz w:val="20"/>
          <w:szCs w:val="20"/>
          <w:lang w:val="en-US"/>
        </w:rPr>
        <w:lastRenderedPageBreak/>
        <w:t xml:space="preserve">broadly discretionary and </w:t>
      </w:r>
      <w:r w:rsidR="00F95F43">
        <w:rPr>
          <w:rFonts w:asciiTheme="majorHAnsi" w:hAnsiTheme="majorHAnsi"/>
          <w:sz w:val="20"/>
          <w:szCs w:val="20"/>
          <w:lang w:val="en-US"/>
        </w:rPr>
        <w:t>vague</w:t>
      </w:r>
      <w:r w:rsidR="001D112A" w:rsidRPr="001D112A">
        <w:rPr>
          <w:rFonts w:asciiTheme="majorHAnsi" w:hAnsiTheme="majorHAnsi"/>
          <w:sz w:val="20"/>
          <w:szCs w:val="20"/>
          <w:lang w:val="en-US"/>
        </w:rPr>
        <w:t xml:space="preserve"> </w:t>
      </w:r>
      <w:r w:rsidR="00F95F43">
        <w:rPr>
          <w:rFonts w:asciiTheme="majorHAnsi" w:hAnsiTheme="majorHAnsi"/>
          <w:sz w:val="20"/>
          <w:szCs w:val="20"/>
          <w:lang w:val="en-US"/>
        </w:rPr>
        <w:t>limitation</w:t>
      </w:r>
      <w:r w:rsidR="001D112A" w:rsidRPr="001D112A">
        <w:rPr>
          <w:rFonts w:asciiTheme="majorHAnsi" w:hAnsiTheme="majorHAnsi"/>
          <w:sz w:val="20"/>
          <w:szCs w:val="20"/>
          <w:lang w:val="en-US"/>
        </w:rPr>
        <w:t xml:space="preserve">, which </w:t>
      </w:r>
      <w:r w:rsidR="001D112A">
        <w:rPr>
          <w:rFonts w:asciiTheme="majorHAnsi" w:hAnsiTheme="majorHAnsi"/>
          <w:sz w:val="20"/>
          <w:szCs w:val="20"/>
          <w:lang w:val="en-US"/>
        </w:rPr>
        <w:t>hardly fosters</w:t>
      </w:r>
      <w:r w:rsidR="001D112A" w:rsidRPr="001D112A">
        <w:rPr>
          <w:rFonts w:asciiTheme="majorHAnsi" w:hAnsiTheme="majorHAnsi"/>
          <w:sz w:val="20"/>
          <w:szCs w:val="20"/>
          <w:lang w:val="en-US"/>
        </w:rPr>
        <w:t xml:space="preserve"> the creation of a legal framework conducive to </w:t>
      </w:r>
      <w:r w:rsidR="001D112A">
        <w:rPr>
          <w:rFonts w:asciiTheme="majorHAnsi" w:hAnsiTheme="majorHAnsi"/>
          <w:sz w:val="20"/>
          <w:szCs w:val="20"/>
          <w:lang w:val="en-US"/>
        </w:rPr>
        <w:t>exercising</w:t>
      </w:r>
      <w:r w:rsidR="001D112A" w:rsidRPr="001D112A">
        <w:rPr>
          <w:rFonts w:asciiTheme="majorHAnsi" w:hAnsiTheme="majorHAnsi"/>
          <w:sz w:val="20"/>
          <w:szCs w:val="20"/>
          <w:lang w:val="en-US"/>
        </w:rPr>
        <w:t xml:space="preserve"> freedom of expression and other human rights.</w:t>
      </w:r>
    </w:p>
    <w:p w14:paraId="2AD52C42" w14:textId="77777777" w:rsidR="00991774" w:rsidRPr="00B24750" w:rsidRDefault="00991774"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highlight w:val="yellow"/>
          <w:lang w:val="en-US"/>
        </w:rPr>
      </w:pPr>
    </w:p>
    <w:p w14:paraId="368CFEC9" w14:textId="35883F00" w:rsidR="00226E88" w:rsidRPr="00B24750" w:rsidRDefault="00D0786B"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cs="Calibri"/>
          <w:sz w:val="20"/>
          <w:szCs w:val="20"/>
          <w:lang w:val="en-US"/>
        </w:rPr>
        <w:t xml:space="preserve">Although the alleged victim filed </w:t>
      </w:r>
      <w:r w:rsidR="003B3D4E" w:rsidRPr="00B24750">
        <w:rPr>
          <w:rFonts w:asciiTheme="majorHAnsi" w:hAnsiTheme="majorHAnsi" w:cs="Calibri"/>
          <w:sz w:val="20"/>
          <w:szCs w:val="20"/>
          <w:lang w:val="en-US"/>
        </w:rPr>
        <w:t xml:space="preserve">administrative </w:t>
      </w:r>
      <w:r w:rsidRPr="00B24750">
        <w:rPr>
          <w:rFonts w:asciiTheme="majorHAnsi" w:hAnsiTheme="majorHAnsi" w:cs="Calibri"/>
          <w:sz w:val="20"/>
          <w:szCs w:val="20"/>
          <w:lang w:val="en-US"/>
        </w:rPr>
        <w:t xml:space="preserve">complaints and requests with the intention of exhausting some of the existing remedies, the </w:t>
      </w:r>
      <w:r w:rsidR="003B3D4E" w:rsidRPr="00B24750">
        <w:rPr>
          <w:rFonts w:asciiTheme="majorHAnsi" w:hAnsiTheme="majorHAnsi" w:cs="Calibri"/>
          <w:sz w:val="20"/>
          <w:szCs w:val="20"/>
          <w:lang w:val="en-US"/>
        </w:rPr>
        <w:t>total lack</w:t>
      </w:r>
      <w:r w:rsidRPr="00B24750">
        <w:rPr>
          <w:rFonts w:asciiTheme="majorHAnsi" w:hAnsiTheme="majorHAnsi" w:cs="Calibri"/>
          <w:sz w:val="20"/>
          <w:szCs w:val="20"/>
          <w:lang w:val="en-US"/>
        </w:rPr>
        <w:t xml:space="preserve"> of response from the State</w:t>
      </w:r>
      <w:r w:rsidR="0058290F">
        <w:rPr>
          <w:rFonts w:asciiTheme="majorHAnsi" w:hAnsiTheme="majorHAnsi" w:cs="Calibri"/>
          <w:sz w:val="20"/>
          <w:szCs w:val="20"/>
          <w:lang w:val="en-US"/>
        </w:rPr>
        <w:t xml:space="preserve">—against the backdrop of </w:t>
      </w:r>
      <w:r w:rsidRPr="00B24750">
        <w:rPr>
          <w:rFonts w:asciiTheme="majorHAnsi" w:hAnsiTheme="majorHAnsi" w:cs="Calibri"/>
          <w:sz w:val="20"/>
          <w:szCs w:val="20"/>
          <w:lang w:val="en-US"/>
        </w:rPr>
        <w:t xml:space="preserve">smear campaigns and attacks </w:t>
      </w:r>
      <w:r w:rsidR="003B3D4E" w:rsidRPr="00B24750">
        <w:rPr>
          <w:rFonts w:asciiTheme="majorHAnsi" w:hAnsiTheme="majorHAnsi" w:cs="Calibri"/>
          <w:sz w:val="20"/>
          <w:szCs w:val="20"/>
          <w:lang w:val="en-US"/>
        </w:rPr>
        <w:t>targeting her as</w:t>
      </w:r>
      <w:r w:rsidRPr="00B24750">
        <w:rPr>
          <w:rFonts w:asciiTheme="majorHAnsi" w:hAnsiTheme="majorHAnsi" w:cs="Calibri"/>
          <w:sz w:val="20"/>
          <w:szCs w:val="20"/>
          <w:lang w:val="en-US"/>
        </w:rPr>
        <w:t xml:space="preserve"> a political dissident </w:t>
      </w:r>
      <w:r w:rsidR="0058290F">
        <w:rPr>
          <w:rFonts w:asciiTheme="majorHAnsi" w:hAnsiTheme="majorHAnsi" w:cs="Calibri"/>
          <w:sz w:val="20"/>
          <w:szCs w:val="20"/>
          <w:lang w:val="en-US"/>
        </w:rPr>
        <w:t>because of her</w:t>
      </w:r>
      <w:r w:rsidRPr="00B24750">
        <w:rPr>
          <w:rFonts w:asciiTheme="majorHAnsi" w:hAnsiTheme="majorHAnsi" w:cs="Calibri"/>
          <w:sz w:val="20"/>
          <w:szCs w:val="20"/>
          <w:lang w:val="en-US"/>
        </w:rPr>
        <w:t xml:space="preserve"> critical </w:t>
      </w:r>
      <w:r w:rsidR="003B3D4E" w:rsidRPr="00B24750">
        <w:rPr>
          <w:rFonts w:asciiTheme="majorHAnsi" w:hAnsiTheme="majorHAnsi" w:cs="Calibri"/>
          <w:sz w:val="20"/>
          <w:szCs w:val="20"/>
          <w:lang w:val="en-US"/>
        </w:rPr>
        <w:t>speech</w:t>
      </w:r>
      <w:r w:rsidRPr="00B24750">
        <w:rPr>
          <w:rFonts w:asciiTheme="majorHAnsi" w:hAnsiTheme="majorHAnsi" w:cs="Calibri"/>
          <w:sz w:val="20"/>
          <w:szCs w:val="20"/>
          <w:lang w:val="en-US"/>
        </w:rPr>
        <w:t xml:space="preserve"> against the Cuban government</w:t>
      </w:r>
      <w:r w:rsidR="0058290F">
        <w:rPr>
          <w:rFonts w:asciiTheme="majorHAnsi" w:hAnsiTheme="majorHAnsi" w:cs="Calibri"/>
          <w:sz w:val="20"/>
          <w:szCs w:val="20"/>
          <w:lang w:val="en-US"/>
        </w:rPr>
        <w:t>—</w:t>
      </w:r>
      <w:r w:rsidRPr="00B24750">
        <w:rPr>
          <w:rFonts w:asciiTheme="majorHAnsi" w:hAnsiTheme="majorHAnsi" w:cs="Calibri"/>
          <w:sz w:val="20"/>
          <w:szCs w:val="20"/>
          <w:lang w:val="en-US"/>
        </w:rPr>
        <w:t xml:space="preserve">are </w:t>
      </w:r>
      <w:r w:rsidRPr="00B24750">
        <w:rPr>
          <w:rFonts w:asciiTheme="majorHAnsi" w:hAnsiTheme="majorHAnsi" w:cs="Calibri"/>
          <w:i/>
          <w:iCs/>
          <w:sz w:val="20"/>
          <w:szCs w:val="20"/>
          <w:lang w:val="en-US"/>
        </w:rPr>
        <w:t xml:space="preserve">prima facie </w:t>
      </w:r>
      <w:r w:rsidR="003B3D4E" w:rsidRPr="00B24750">
        <w:rPr>
          <w:rFonts w:asciiTheme="majorHAnsi" w:hAnsiTheme="majorHAnsi" w:cs="Calibri"/>
          <w:sz w:val="20"/>
          <w:szCs w:val="20"/>
          <w:lang w:val="en-US"/>
        </w:rPr>
        <w:t>evidence</w:t>
      </w:r>
      <w:r w:rsidRPr="00B24750">
        <w:rPr>
          <w:rFonts w:asciiTheme="majorHAnsi" w:hAnsiTheme="majorHAnsi" w:cs="Calibri"/>
          <w:sz w:val="20"/>
          <w:szCs w:val="20"/>
          <w:lang w:val="en-US"/>
        </w:rPr>
        <w:t xml:space="preserve"> in the specific case</w:t>
      </w:r>
      <w:r w:rsidR="003B3D4E" w:rsidRPr="00B24750">
        <w:rPr>
          <w:rFonts w:asciiTheme="majorHAnsi" w:hAnsiTheme="majorHAnsi" w:cs="Calibri"/>
          <w:sz w:val="20"/>
          <w:szCs w:val="20"/>
          <w:lang w:val="en-US"/>
        </w:rPr>
        <w:t xml:space="preserve"> of</w:t>
      </w:r>
      <w:r w:rsidRPr="00B24750">
        <w:rPr>
          <w:rFonts w:asciiTheme="majorHAnsi" w:hAnsiTheme="majorHAnsi" w:cs="Calibri"/>
          <w:sz w:val="20"/>
          <w:szCs w:val="20"/>
          <w:lang w:val="en-US"/>
        </w:rPr>
        <w:t xml:space="preserve"> what the IACHR has found in the reports cited in the paragraphs</w:t>
      </w:r>
      <w:r w:rsidR="003B3D4E" w:rsidRPr="00B24750">
        <w:rPr>
          <w:rFonts w:asciiTheme="majorHAnsi" w:hAnsiTheme="majorHAnsi" w:cs="Calibri"/>
          <w:sz w:val="20"/>
          <w:szCs w:val="20"/>
          <w:lang w:val="en-US"/>
        </w:rPr>
        <w:t xml:space="preserve"> above</w:t>
      </w:r>
      <w:r w:rsidRPr="00B24750">
        <w:rPr>
          <w:rFonts w:asciiTheme="majorHAnsi" w:hAnsiTheme="majorHAnsi" w:cs="Calibri"/>
          <w:sz w:val="20"/>
          <w:szCs w:val="20"/>
          <w:lang w:val="en-US"/>
        </w:rPr>
        <w:t>.</w:t>
      </w:r>
    </w:p>
    <w:p w14:paraId="59397D69" w14:textId="77777777" w:rsidR="003B3D4E" w:rsidRPr="00B24750" w:rsidRDefault="003B3D4E" w:rsidP="009D14E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14:paraId="77C12273" w14:textId="11C2782F" w:rsidR="008B5AFB" w:rsidRPr="00B24750" w:rsidRDefault="003B3D4E"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n-US"/>
        </w:rPr>
      </w:pPr>
      <w:r w:rsidRPr="00B24750">
        <w:rPr>
          <w:rFonts w:asciiTheme="majorHAnsi" w:hAnsiTheme="majorHAnsi" w:cs="Calibri"/>
          <w:sz w:val="20"/>
          <w:szCs w:val="20"/>
          <w:lang w:val="en-US"/>
        </w:rPr>
        <w:t xml:space="preserve">The IACHR thus finds that the exception to the requirement to exhaust domestic remedies in Article 36.2(a) of the Rules of Procedure of the IACHR </w:t>
      </w:r>
      <w:r w:rsidR="00CB6A85" w:rsidRPr="00B24750">
        <w:rPr>
          <w:rFonts w:asciiTheme="majorHAnsi" w:hAnsiTheme="majorHAnsi" w:cs="Calibri"/>
          <w:sz w:val="20"/>
          <w:szCs w:val="20"/>
          <w:lang w:val="en-US"/>
        </w:rPr>
        <w:t>applies in this case</w:t>
      </w:r>
      <w:r w:rsidRPr="00B24750">
        <w:rPr>
          <w:rFonts w:asciiTheme="majorHAnsi" w:hAnsiTheme="majorHAnsi" w:cs="Calibri"/>
          <w:sz w:val="20"/>
          <w:szCs w:val="20"/>
          <w:lang w:val="en-US"/>
        </w:rPr>
        <w:t>.</w:t>
      </w:r>
    </w:p>
    <w:p w14:paraId="34F3C72E" w14:textId="77777777" w:rsidR="0028618A" w:rsidRPr="00B24750" w:rsidRDefault="0028618A" w:rsidP="009D1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hAnsiTheme="majorHAnsi" w:cs="Arial"/>
          <w:sz w:val="20"/>
          <w:szCs w:val="20"/>
          <w:lang w:val="en-US"/>
        </w:rPr>
      </w:pPr>
    </w:p>
    <w:p w14:paraId="3EBDF420" w14:textId="517E7EC3" w:rsidR="0027004C" w:rsidRPr="00B24750" w:rsidRDefault="0027004C" w:rsidP="007B681D">
      <w:pPr>
        <w:pStyle w:val="Heading3"/>
      </w:pPr>
      <w:bookmarkStart w:id="9" w:name="_Toc90392463"/>
      <w:r w:rsidRPr="00B24750">
        <w:t xml:space="preserve">2. </w:t>
      </w:r>
      <w:r w:rsidR="000F1C8C" w:rsidRPr="00B24750">
        <w:tab/>
      </w:r>
      <w:r w:rsidR="006D74C3" w:rsidRPr="00B24750">
        <w:t>Timeliness of the petition</w:t>
      </w:r>
      <w:bookmarkEnd w:id="9"/>
    </w:p>
    <w:p w14:paraId="3AB3FA3D" w14:textId="77777777" w:rsidR="00917905" w:rsidRPr="00B24750" w:rsidRDefault="00917905" w:rsidP="009D14E7">
      <w:pPr>
        <w:rPr>
          <w:rFonts w:asciiTheme="majorHAnsi" w:hAnsiTheme="majorHAnsi"/>
          <w:lang w:val="en-US"/>
        </w:rPr>
      </w:pPr>
    </w:p>
    <w:p w14:paraId="315AE7B3" w14:textId="360F2534" w:rsidR="0027004C" w:rsidRPr="00B24750" w:rsidRDefault="002F3FD3"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hAnsiTheme="majorHAnsi" w:cs="Arial"/>
          <w:sz w:val="20"/>
          <w:szCs w:val="20"/>
          <w:lang w:val="en-US"/>
        </w:rPr>
      </w:pPr>
      <w:r w:rsidRPr="00B24750">
        <w:rPr>
          <w:rFonts w:asciiTheme="majorHAnsi" w:eastAsia="SimSun" w:hAnsiTheme="majorHAnsi"/>
          <w:sz w:val="20"/>
          <w:szCs w:val="20"/>
          <w:lang w:val="en-US"/>
        </w:rPr>
        <w:t xml:space="preserve">Article 32.1 of the Rules of Procedure establishes that for a petition to be found admissible by the Commission, it must be </w:t>
      </w:r>
      <w:r w:rsidR="00F15ACE" w:rsidRPr="00B24750">
        <w:rPr>
          <w:rFonts w:asciiTheme="majorHAnsi" w:eastAsia="SimSun" w:hAnsiTheme="majorHAnsi"/>
          <w:sz w:val="20"/>
          <w:szCs w:val="20"/>
          <w:lang w:val="en-US"/>
        </w:rPr>
        <w:t>lodged</w:t>
      </w:r>
      <w:r w:rsidRPr="00B24750">
        <w:rPr>
          <w:rFonts w:asciiTheme="majorHAnsi" w:eastAsia="SimSun" w:hAnsiTheme="majorHAnsi"/>
          <w:sz w:val="20"/>
          <w:szCs w:val="20"/>
          <w:lang w:val="en-US"/>
        </w:rPr>
        <w:t xml:space="preserve"> within six months from the date on which the alleged victim received notice of the final decision</w:t>
      </w:r>
      <w:r w:rsidR="00A84F76" w:rsidRPr="00B24750">
        <w:rPr>
          <w:rFonts w:asciiTheme="majorHAnsi" w:eastAsia="SimSun" w:hAnsiTheme="majorHAnsi"/>
          <w:sz w:val="20"/>
          <w:szCs w:val="20"/>
          <w:lang w:val="en-US"/>
        </w:rPr>
        <w:t xml:space="preserve"> that exhausted the remedies</w:t>
      </w:r>
      <w:r w:rsidRPr="00B24750">
        <w:rPr>
          <w:rFonts w:asciiTheme="majorHAnsi" w:eastAsia="SimSun" w:hAnsiTheme="majorHAnsi"/>
          <w:sz w:val="20"/>
          <w:szCs w:val="20"/>
          <w:lang w:val="en-US"/>
        </w:rPr>
        <w:t xml:space="preserve">. </w:t>
      </w:r>
      <w:r w:rsidR="006E62A8">
        <w:rPr>
          <w:rFonts w:asciiTheme="majorHAnsi" w:eastAsia="SimSun" w:hAnsiTheme="majorHAnsi"/>
          <w:sz w:val="20"/>
          <w:szCs w:val="20"/>
          <w:lang w:val="en-US"/>
        </w:rPr>
        <w:t xml:space="preserve">Here, </w:t>
      </w:r>
      <w:r w:rsidRPr="00B24750">
        <w:rPr>
          <w:rFonts w:asciiTheme="majorHAnsi" w:eastAsia="SimSun" w:hAnsiTheme="majorHAnsi"/>
          <w:sz w:val="20"/>
          <w:szCs w:val="20"/>
          <w:lang w:val="en-US"/>
        </w:rPr>
        <w:t xml:space="preserve">the IACHR has established </w:t>
      </w:r>
      <w:r w:rsidR="00F15ACE" w:rsidRPr="00B24750">
        <w:rPr>
          <w:rFonts w:asciiTheme="majorHAnsi" w:eastAsia="SimSun" w:hAnsiTheme="majorHAnsi"/>
          <w:sz w:val="20"/>
          <w:szCs w:val="20"/>
          <w:lang w:val="en-US"/>
        </w:rPr>
        <w:t>that</w:t>
      </w:r>
      <w:r w:rsidRPr="00B24750">
        <w:rPr>
          <w:rFonts w:asciiTheme="majorHAnsi" w:eastAsia="SimSun" w:hAnsiTheme="majorHAnsi"/>
          <w:sz w:val="20"/>
          <w:szCs w:val="20"/>
          <w:lang w:val="en-US"/>
        </w:rPr>
        <w:t xml:space="preserve"> the exception to the exhaustion of domestic remedies under Article 31.2(</w:t>
      </w:r>
      <w:r w:rsidR="00CB6A85" w:rsidRPr="00B24750">
        <w:rPr>
          <w:rFonts w:asciiTheme="majorHAnsi" w:eastAsia="SimSun" w:hAnsiTheme="majorHAnsi"/>
          <w:sz w:val="20"/>
          <w:szCs w:val="20"/>
          <w:lang w:val="en-US"/>
        </w:rPr>
        <w:t>a)</w:t>
      </w:r>
      <w:r w:rsidRPr="00B24750">
        <w:rPr>
          <w:rFonts w:asciiTheme="majorHAnsi" w:eastAsia="SimSun" w:hAnsiTheme="majorHAnsi"/>
          <w:sz w:val="20"/>
          <w:szCs w:val="20"/>
          <w:lang w:val="en-US"/>
        </w:rPr>
        <w:t xml:space="preserve"> of the Rules of Procedure</w:t>
      </w:r>
      <w:r w:rsidR="00F15ACE" w:rsidRPr="00B24750">
        <w:rPr>
          <w:rFonts w:asciiTheme="majorHAnsi" w:eastAsia="SimSun" w:hAnsiTheme="majorHAnsi"/>
          <w:sz w:val="20"/>
          <w:szCs w:val="20"/>
          <w:lang w:val="en-US"/>
        </w:rPr>
        <w:t xml:space="preserve"> appl</w:t>
      </w:r>
      <w:r w:rsidR="00CB6A85" w:rsidRPr="00B24750">
        <w:rPr>
          <w:rFonts w:asciiTheme="majorHAnsi" w:eastAsia="SimSun" w:hAnsiTheme="majorHAnsi"/>
          <w:sz w:val="20"/>
          <w:szCs w:val="20"/>
          <w:lang w:val="en-US"/>
        </w:rPr>
        <w:t>ies</w:t>
      </w:r>
      <w:r w:rsidRPr="00B24750">
        <w:rPr>
          <w:rFonts w:asciiTheme="majorHAnsi" w:eastAsia="SimSun" w:hAnsiTheme="majorHAnsi"/>
          <w:sz w:val="20"/>
          <w:szCs w:val="20"/>
          <w:lang w:val="en-US"/>
        </w:rPr>
        <w:t xml:space="preserve">. Article 32.2 of the Rules of Procedure </w:t>
      </w:r>
      <w:r w:rsidR="00F15ACE" w:rsidRPr="00B24750">
        <w:rPr>
          <w:rFonts w:asciiTheme="majorHAnsi" w:eastAsia="SimSun" w:hAnsiTheme="majorHAnsi"/>
          <w:sz w:val="20"/>
          <w:szCs w:val="20"/>
          <w:lang w:val="en-US"/>
        </w:rPr>
        <w:t>states</w:t>
      </w:r>
      <w:r w:rsidRPr="00B24750">
        <w:rPr>
          <w:rFonts w:asciiTheme="majorHAnsi" w:eastAsia="SimSun" w:hAnsiTheme="majorHAnsi"/>
          <w:sz w:val="20"/>
          <w:szCs w:val="20"/>
          <w:lang w:val="en-US"/>
        </w:rPr>
        <w:t xml:space="preserve"> that </w:t>
      </w:r>
      <w:r w:rsidR="00F15ACE" w:rsidRPr="00B24750">
        <w:rPr>
          <w:rFonts w:asciiTheme="majorHAnsi" w:eastAsia="SimSun" w:hAnsiTheme="majorHAnsi"/>
          <w:sz w:val="20"/>
          <w:szCs w:val="20"/>
          <w:lang w:val="en-US"/>
        </w:rPr>
        <w:t>when</w:t>
      </w:r>
      <w:r w:rsidRPr="00B24750">
        <w:rPr>
          <w:rFonts w:asciiTheme="majorHAnsi" w:eastAsia="SimSun" w:hAnsiTheme="majorHAnsi"/>
          <w:sz w:val="20"/>
          <w:szCs w:val="20"/>
          <w:lang w:val="en-US"/>
        </w:rPr>
        <w:t xml:space="preserve"> the exceptions to the prior exhaustion of domestic remedies </w:t>
      </w:r>
      <w:r w:rsidR="006E62A8">
        <w:rPr>
          <w:rFonts w:asciiTheme="majorHAnsi" w:eastAsia="SimSun" w:hAnsiTheme="majorHAnsi"/>
          <w:sz w:val="20"/>
          <w:szCs w:val="20"/>
          <w:lang w:val="en-US"/>
        </w:rPr>
        <w:t xml:space="preserve">apply, </w:t>
      </w:r>
      <w:r w:rsidRPr="00B24750">
        <w:rPr>
          <w:rFonts w:asciiTheme="majorHAnsi" w:eastAsia="SimSun" w:hAnsiTheme="majorHAnsi"/>
          <w:sz w:val="20"/>
          <w:szCs w:val="20"/>
          <w:lang w:val="en-US"/>
        </w:rPr>
        <w:t xml:space="preserve">the petition must be </w:t>
      </w:r>
      <w:r w:rsidR="00F15ACE" w:rsidRPr="00B24750">
        <w:rPr>
          <w:rFonts w:asciiTheme="majorHAnsi" w:eastAsia="SimSun" w:hAnsiTheme="majorHAnsi"/>
          <w:sz w:val="20"/>
          <w:szCs w:val="20"/>
          <w:lang w:val="en-US"/>
        </w:rPr>
        <w:t>filed</w:t>
      </w:r>
      <w:r w:rsidRPr="00B24750">
        <w:rPr>
          <w:rFonts w:asciiTheme="majorHAnsi" w:eastAsia="SimSun" w:hAnsiTheme="majorHAnsi"/>
          <w:sz w:val="20"/>
          <w:szCs w:val="20"/>
          <w:lang w:val="en-US"/>
        </w:rPr>
        <w:t xml:space="preserve"> within a reasonable period, </w:t>
      </w:r>
      <w:r w:rsidR="00F15ACE" w:rsidRPr="00B24750">
        <w:rPr>
          <w:rFonts w:asciiTheme="majorHAnsi" w:eastAsia="SimSun" w:hAnsiTheme="majorHAnsi"/>
          <w:sz w:val="20"/>
          <w:szCs w:val="20"/>
          <w:lang w:val="en-US"/>
        </w:rPr>
        <w:t>as determined by</w:t>
      </w:r>
      <w:r w:rsidRPr="00B24750">
        <w:rPr>
          <w:rFonts w:asciiTheme="majorHAnsi" w:eastAsia="SimSun" w:hAnsiTheme="majorHAnsi"/>
          <w:sz w:val="20"/>
          <w:szCs w:val="20"/>
          <w:lang w:val="en-US"/>
        </w:rPr>
        <w:t xml:space="preserve"> the Commission. </w:t>
      </w:r>
      <w:r w:rsidR="00F15ACE" w:rsidRPr="00B24750">
        <w:rPr>
          <w:rFonts w:asciiTheme="majorHAnsi" w:eastAsia="SimSun" w:hAnsiTheme="majorHAnsi"/>
          <w:sz w:val="20"/>
          <w:szCs w:val="20"/>
          <w:lang w:val="en-US"/>
        </w:rPr>
        <w:t>To this end</w:t>
      </w:r>
      <w:r w:rsidRPr="00B24750">
        <w:rPr>
          <w:rFonts w:asciiTheme="majorHAnsi" w:eastAsia="SimSun" w:hAnsiTheme="majorHAnsi"/>
          <w:sz w:val="20"/>
          <w:szCs w:val="20"/>
          <w:lang w:val="en-US"/>
        </w:rPr>
        <w:t>, the Commission must consider the date on which the alleged violation of rights occurred and the circumstances of each case.</w:t>
      </w:r>
      <w:r w:rsidRPr="00B24750">
        <w:rPr>
          <w:rStyle w:val="FootnoteReference"/>
          <w:rFonts w:asciiTheme="majorHAnsi" w:eastAsia="SimSun" w:hAnsiTheme="majorHAnsi"/>
          <w:sz w:val="20"/>
          <w:szCs w:val="20"/>
          <w:lang w:val="en-US"/>
        </w:rPr>
        <w:footnoteReference w:id="30"/>
      </w:r>
    </w:p>
    <w:p w14:paraId="2D5D481A" w14:textId="77777777" w:rsidR="00917905" w:rsidRPr="00B24750" w:rsidRDefault="00917905" w:rsidP="009D1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hAnsiTheme="majorHAnsi" w:cs="Arial"/>
          <w:sz w:val="20"/>
          <w:szCs w:val="20"/>
          <w:lang w:val="en-US"/>
        </w:rPr>
      </w:pPr>
    </w:p>
    <w:p w14:paraId="637748E4" w14:textId="3DA8736F" w:rsidR="0027004C" w:rsidRPr="00B24750" w:rsidRDefault="008B7A71"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In the case under analysis, the IACHR has found that the exception to the exhaustion of domestic remedies provided for in Article 31.2(</w:t>
      </w:r>
      <w:r w:rsidR="00B933AF" w:rsidRPr="00B24750">
        <w:rPr>
          <w:rFonts w:asciiTheme="majorHAnsi" w:eastAsia="SimSun" w:hAnsiTheme="majorHAnsi"/>
          <w:sz w:val="20"/>
          <w:szCs w:val="20"/>
          <w:lang w:val="en-US"/>
        </w:rPr>
        <w:t>a</w:t>
      </w:r>
      <w:r w:rsidRPr="00B24750">
        <w:rPr>
          <w:rFonts w:asciiTheme="majorHAnsi" w:eastAsia="SimSun" w:hAnsiTheme="majorHAnsi"/>
          <w:sz w:val="20"/>
          <w:szCs w:val="20"/>
          <w:lang w:val="en-US"/>
        </w:rPr>
        <w:t xml:space="preserve">) of the Rules of Procedure </w:t>
      </w:r>
      <w:r w:rsidR="00B933AF" w:rsidRPr="00B24750">
        <w:rPr>
          <w:rFonts w:asciiTheme="majorHAnsi" w:eastAsia="SimSun" w:hAnsiTheme="majorHAnsi"/>
          <w:sz w:val="20"/>
          <w:szCs w:val="20"/>
          <w:lang w:val="en-US"/>
        </w:rPr>
        <w:t>is</w:t>
      </w:r>
      <w:r w:rsidRPr="00B24750">
        <w:rPr>
          <w:rFonts w:asciiTheme="majorHAnsi" w:eastAsia="SimSun" w:hAnsiTheme="majorHAnsi"/>
          <w:sz w:val="20"/>
          <w:szCs w:val="20"/>
          <w:lang w:val="en-US"/>
        </w:rPr>
        <w:t xml:space="preserve"> applicable. The petition before the IACHR was received on September 28, 2012. The facts alleged in the petition began in 2007, and their effects are ongoing. Therefore, given the context and characteristics of this case, the Commission finds that the petition was filed within a reasonable time and that the admissibility requirement pertaining to the filing deadline has been met</w:t>
      </w:r>
      <w:r w:rsidR="0027004C" w:rsidRPr="00B24750">
        <w:rPr>
          <w:rFonts w:asciiTheme="majorHAnsi" w:eastAsia="SimSun" w:hAnsiTheme="majorHAnsi"/>
          <w:sz w:val="20"/>
          <w:szCs w:val="20"/>
          <w:lang w:val="en-US"/>
        </w:rPr>
        <w:t>.</w:t>
      </w:r>
      <w:r w:rsidR="0027004C" w:rsidRPr="00B24750">
        <w:rPr>
          <w:rFonts w:asciiTheme="majorHAnsi" w:hAnsiTheme="majorHAnsi"/>
          <w:sz w:val="20"/>
          <w:szCs w:val="20"/>
          <w:lang w:val="en-US"/>
        </w:rPr>
        <w:t xml:space="preserve"> </w:t>
      </w:r>
    </w:p>
    <w:p w14:paraId="1B2EF5D0" w14:textId="77777777" w:rsidR="00F81C89" w:rsidRPr="00B24750" w:rsidRDefault="00F81C89" w:rsidP="009D1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eastAsia="SimSun" w:hAnsiTheme="majorHAnsi"/>
          <w:sz w:val="20"/>
          <w:szCs w:val="20"/>
          <w:lang w:val="en-US"/>
        </w:rPr>
      </w:pPr>
    </w:p>
    <w:p w14:paraId="00060D18" w14:textId="030F32FF" w:rsidR="0027004C" w:rsidRPr="00B24750" w:rsidRDefault="00034923" w:rsidP="007B681D">
      <w:pPr>
        <w:pStyle w:val="Heading3"/>
      </w:pPr>
      <w:bookmarkStart w:id="10" w:name="_Toc90392464"/>
      <w:r w:rsidRPr="00B24750">
        <w:t xml:space="preserve">3. </w:t>
      </w:r>
      <w:r w:rsidRPr="00B24750">
        <w:tab/>
      </w:r>
      <w:r w:rsidR="00C45936" w:rsidRPr="00B24750">
        <w:t>Analysis of colorable claim</w:t>
      </w:r>
      <w:bookmarkEnd w:id="10"/>
    </w:p>
    <w:p w14:paraId="1B9EDAB4" w14:textId="77777777" w:rsidR="00917905" w:rsidRPr="00B24750" w:rsidRDefault="00917905" w:rsidP="009D14E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left="0"/>
        <w:jc w:val="both"/>
        <w:rPr>
          <w:rFonts w:asciiTheme="majorHAnsi" w:eastAsia="SimSun" w:hAnsiTheme="majorHAnsi"/>
          <w:b/>
          <w:sz w:val="20"/>
          <w:szCs w:val="20"/>
        </w:rPr>
      </w:pPr>
    </w:p>
    <w:p w14:paraId="267301BC" w14:textId="0261377A" w:rsidR="0027004C" w:rsidRPr="00B24750" w:rsidRDefault="00451972"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For purposes of admissibility, the Commission must decide whether the alleged facts tend to establish a violation of rights, as stipulated in Article 34(a) of the Rules of Procedure, or whether the petition is “manifestly groundless or out of order” under Article 34(b)</w:t>
      </w:r>
      <w:r w:rsidR="0027004C" w:rsidRPr="00B24750">
        <w:rPr>
          <w:rFonts w:asciiTheme="majorHAnsi" w:eastAsia="SimSun" w:hAnsiTheme="majorHAnsi"/>
          <w:sz w:val="20"/>
          <w:szCs w:val="20"/>
          <w:lang w:val="en-US"/>
        </w:rPr>
        <w:t xml:space="preserve">.  </w:t>
      </w:r>
    </w:p>
    <w:p w14:paraId="240E7343" w14:textId="77777777" w:rsidR="008C5A53" w:rsidRPr="00B24750" w:rsidRDefault="008C5A53" w:rsidP="009D14E7">
      <w:pPr>
        <w:rPr>
          <w:rFonts w:asciiTheme="majorHAnsi" w:eastAsia="SimSun" w:hAnsiTheme="majorHAnsi"/>
          <w:sz w:val="20"/>
          <w:szCs w:val="20"/>
          <w:lang w:val="en-US"/>
        </w:rPr>
      </w:pPr>
    </w:p>
    <w:p w14:paraId="61880534" w14:textId="13F98C22" w:rsidR="0027004C" w:rsidRPr="00B24750" w:rsidRDefault="00AE78BC"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 xml:space="preserve">The petitioners maintain that, between 2007 and 2012, </w:t>
      </w:r>
      <w:proofErr w:type="spellStart"/>
      <w:r w:rsidRPr="00B24750">
        <w:rPr>
          <w:rFonts w:asciiTheme="majorHAnsi" w:eastAsia="SimSun" w:hAnsiTheme="majorHAnsi"/>
          <w:sz w:val="20"/>
          <w:szCs w:val="20"/>
          <w:lang w:val="en-US"/>
        </w:rPr>
        <w:t>Yoani</w:t>
      </w:r>
      <w:proofErr w:type="spellEnd"/>
      <w:r w:rsidRPr="00B24750">
        <w:rPr>
          <w:rFonts w:asciiTheme="majorHAnsi" w:eastAsia="SimSun" w:hAnsiTheme="majorHAnsi"/>
          <w:sz w:val="20"/>
          <w:szCs w:val="20"/>
          <w:lang w:val="en-US"/>
        </w:rPr>
        <w:t xml:space="preserve"> María Sánchez Cordero was prevented from leaving Cuba to receive “various prestigious international awards for her blog and her journalistic work” because the Cuban authorities </w:t>
      </w:r>
      <w:r w:rsidR="00037A3A" w:rsidRPr="00B24750">
        <w:rPr>
          <w:rFonts w:asciiTheme="majorHAnsi" w:eastAsia="SimSun" w:hAnsiTheme="majorHAnsi"/>
          <w:sz w:val="20"/>
          <w:szCs w:val="20"/>
          <w:lang w:val="en-US"/>
        </w:rPr>
        <w:t>denied her permission to travel</w:t>
      </w:r>
      <w:r w:rsidRPr="00B24750">
        <w:rPr>
          <w:rFonts w:asciiTheme="majorHAnsi" w:eastAsia="SimSun" w:hAnsiTheme="majorHAnsi"/>
          <w:sz w:val="20"/>
          <w:szCs w:val="20"/>
          <w:lang w:val="en-US"/>
        </w:rPr>
        <w:t xml:space="preserve">. They claim that because of her </w:t>
      </w:r>
      <w:r w:rsidR="00B933AF" w:rsidRPr="00B24750">
        <w:rPr>
          <w:rFonts w:asciiTheme="majorHAnsi" w:eastAsia="SimSun" w:hAnsiTheme="majorHAnsi"/>
          <w:sz w:val="20"/>
          <w:szCs w:val="20"/>
          <w:lang w:val="en-US"/>
        </w:rPr>
        <w:t>work</w:t>
      </w:r>
      <w:r w:rsidRPr="00B24750">
        <w:rPr>
          <w:rFonts w:asciiTheme="majorHAnsi" w:eastAsia="SimSun" w:hAnsiTheme="majorHAnsi"/>
          <w:sz w:val="20"/>
          <w:szCs w:val="20"/>
          <w:lang w:val="en-US"/>
        </w:rPr>
        <w:t xml:space="preserve"> as a journalist and blogger and her criticism of the Cuban government, she has</w:t>
      </w:r>
      <w:r w:rsidR="00037A3A" w:rsidRPr="00B24750">
        <w:rPr>
          <w:rFonts w:asciiTheme="majorHAnsi" w:hAnsiTheme="majorHAnsi"/>
          <w:sz w:val="20"/>
          <w:szCs w:val="20"/>
          <w:lang w:val="en-US"/>
        </w:rPr>
        <w:t xml:space="preserve"> been the victim of “various acts of persecution and physical assaults by police forces and social groups sympathetic to the Cuban regime</w:t>
      </w:r>
      <w:r w:rsidRPr="00B24750">
        <w:rPr>
          <w:rFonts w:asciiTheme="majorHAnsi" w:eastAsia="SimSun" w:hAnsiTheme="majorHAnsi"/>
          <w:sz w:val="20"/>
          <w:szCs w:val="20"/>
          <w:lang w:val="en-US"/>
        </w:rPr>
        <w:t>.</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According to the petitioners, </w:t>
      </w:r>
      <w:proofErr w:type="spellStart"/>
      <w:r w:rsidRPr="00B24750">
        <w:rPr>
          <w:rFonts w:asciiTheme="majorHAnsi" w:eastAsia="SimSun" w:hAnsiTheme="majorHAnsi"/>
          <w:sz w:val="20"/>
          <w:szCs w:val="20"/>
          <w:lang w:val="en-US"/>
        </w:rPr>
        <w:t>Yoani</w:t>
      </w:r>
      <w:proofErr w:type="spellEnd"/>
      <w:r w:rsidRPr="00B24750">
        <w:rPr>
          <w:rFonts w:asciiTheme="majorHAnsi" w:eastAsia="SimSun" w:hAnsiTheme="majorHAnsi"/>
          <w:sz w:val="20"/>
          <w:szCs w:val="20"/>
          <w:lang w:val="en-US"/>
        </w:rPr>
        <w:t xml:space="preserve"> Sánchez was arbitrarily detained on different occasions by State authorities and was the victim of cruel, inhuman</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and degrading treatment </w:t>
      </w:r>
      <w:r w:rsidR="00037A3A" w:rsidRPr="00B24750">
        <w:rPr>
          <w:rFonts w:asciiTheme="majorHAnsi" w:eastAsia="SimSun" w:hAnsiTheme="majorHAnsi"/>
          <w:sz w:val="20"/>
          <w:szCs w:val="20"/>
          <w:lang w:val="en-US"/>
        </w:rPr>
        <w:t>while in custody</w:t>
      </w:r>
      <w:r w:rsidRPr="00B24750">
        <w:rPr>
          <w:rFonts w:asciiTheme="majorHAnsi" w:eastAsia="SimSun" w:hAnsiTheme="majorHAnsi"/>
          <w:sz w:val="20"/>
          <w:szCs w:val="20"/>
          <w:lang w:val="en-US"/>
        </w:rPr>
        <w:t xml:space="preserve">. They </w:t>
      </w:r>
      <w:r w:rsidR="00037A3A" w:rsidRPr="00B24750">
        <w:rPr>
          <w:rFonts w:asciiTheme="majorHAnsi" w:eastAsia="SimSun" w:hAnsiTheme="majorHAnsi"/>
          <w:sz w:val="20"/>
          <w:szCs w:val="20"/>
          <w:lang w:val="en-US"/>
        </w:rPr>
        <w:t>assert</w:t>
      </w:r>
      <w:r w:rsidRPr="00B24750">
        <w:rPr>
          <w:rFonts w:asciiTheme="majorHAnsi" w:eastAsia="SimSun" w:hAnsiTheme="majorHAnsi"/>
          <w:sz w:val="20"/>
          <w:szCs w:val="20"/>
          <w:lang w:val="en-US"/>
        </w:rPr>
        <w:t xml:space="preserve"> that the alleged victim is </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constantly</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under surveillance</w:t>
      </w:r>
      <w:r w:rsidR="006A6F12"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her private telephone communications are intercepted</w:t>
      </w:r>
      <w:r w:rsidR="006A6F12"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w:t>
      </w:r>
      <w:r w:rsidR="00037A3A" w:rsidRPr="00B24750">
        <w:rPr>
          <w:rFonts w:asciiTheme="majorHAnsi" w:eastAsia="SimSun" w:hAnsiTheme="majorHAnsi"/>
          <w:sz w:val="20"/>
          <w:szCs w:val="20"/>
          <w:lang w:val="en-US"/>
        </w:rPr>
        <w:t>her friends and associates have been pressured</w:t>
      </w:r>
      <w:r w:rsidRPr="00B24750">
        <w:rPr>
          <w:rFonts w:asciiTheme="majorHAnsi" w:eastAsia="SimSun" w:hAnsiTheme="majorHAnsi"/>
          <w:sz w:val="20"/>
          <w:szCs w:val="20"/>
          <w:lang w:val="en-US"/>
        </w:rPr>
        <w:t xml:space="preserve"> to suspend </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all contact with her</w:t>
      </w:r>
      <w:r w:rsidR="00037A3A" w:rsidRPr="00B24750">
        <w:rPr>
          <w:rFonts w:asciiTheme="majorHAnsi" w:eastAsia="SimSun" w:hAnsiTheme="majorHAnsi"/>
          <w:sz w:val="20"/>
          <w:szCs w:val="20"/>
          <w:lang w:val="en-US"/>
        </w:rPr>
        <w:t>”</w:t>
      </w:r>
      <w:r w:rsidR="006A6F12"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she is denied access to various places and public events in Cuba</w:t>
      </w:r>
      <w:r w:rsidR="006A6F12"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and she has been denied </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the most </w:t>
      </w:r>
      <w:r w:rsidR="00037A3A" w:rsidRPr="00B24750">
        <w:rPr>
          <w:rFonts w:asciiTheme="majorHAnsi" w:eastAsia="SimSun" w:hAnsiTheme="majorHAnsi"/>
          <w:sz w:val="20"/>
          <w:szCs w:val="20"/>
          <w:lang w:val="en-US"/>
        </w:rPr>
        <w:t>basic</w:t>
      </w:r>
      <w:r w:rsidRPr="00B24750">
        <w:rPr>
          <w:rFonts w:asciiTheme="majorHAnsi" w:eastAsia="SimSun" w:hAnsiTheme="majorHAnsi"/>
          <w:sz w:val="20"/>
          <w:szCs w:val="20"/>
          <w:lang w:val="en-US"/>
        </w:rPr>
        <w:t xml:space="preserve"> elements of due process in her contact with the </w:t>
      </w:r>
      <w:r w:rsidR="00037A3A" w:rsidRPr="00B24750">
        <w:rPr>
          <w:rFonts w:asciiTheme="majorHAnsi" w:eastAsia="SimSun" w:hAnsiTheme="majorHAnsi"/>
          <w:sz w:val="20"/>
          <w:szCs w:val="20"/>
          <w:lang w:val="en-US"/>
        </w:rPr>
        <w:t>government</w:t>
      </w:r>
      <w:r w:rsidRPr="00B24750">
        <w:rPr>
          <w:rFonts w:asciiTheme="majorHAnsi" w:eastAsia="SimSun" w:hAnsiTheme="majorHAnsi"/>
          <w:sz w:val="20"/>
          <w:szCs w:val="20"/>
          <w:lang w:val="en-US"/>
        </w:rPr>
        <w:t>.</w:t>
      </w:r>
      <w:r w:rsidR="00037A3A" w:rsidRPr="00B24750">
        <w:rPr>
          <w:rFonts w:asciiTheme="majorHAnsi" w:eastAsia="SimSun" w:hAnsiTheme="majorHAnsi"/>
          <w:sz w:val="20"/>
          <w:szCs w:val="20"/>
          <w:lang w:val="en-US"/>
        </w:rPr>
        <w:t>”</w:t>
      </w:r>
      <w:r w:rsidRPr="00B24750">
        <w:rPr>
          <w:rFonts w:asciiTheme="majorHAnsi" w:eastAsia="SimSun" w:hAnsiTheme="majorHAnsi"/>
          <w:sz w:val="20"/>
          <w:szCs w:val="20"/>
          <w:lang w:val="en-US"/>
        </w:rPr>
        <w:t xml:space="preserve"> </w:t>
      </w:r>
      <w:r w:rsidR="00BE130E" w:rsidRPr="00B24750">
        <w:rPr>
          <w:rFonts w:asciiTheme="majorHAnsi" w:eastAsia="SimSun" w:hAnsiTheme="majorHAnsi"/>
          <w:sz w:val="20"/>
          <w:szCs w:val="20"/>
          <w:lang w:val="en-US"/>
        </w:rPr>
        <w:t xml:space="preserve">All of the above, according to the petitioners, </w:t>
      </w:r>
      <w:r w:rsidR="000D7C8B" w:rsidRPr="00B24750">
        <w:rPr>
          <w:rFonts w:asciiTheme="majorHAnsi" w:eastAsia="SimSun" w:hAnsiTheme="majorHAnsi"/>
          <w:sz w:val="20"/>
          <w:szCs w:val="20"/>
          <w:lang w:val="en-US"/>
        </w:rPr>
        <w:t>is</w:t>
      </w:r>
      <w:r w:rsidR="00BE130E" w:rsidRPr="00B24750">
        <w:rPr>
          <w:rFonts w:asciiTheme="majorHAnsi" w:eastAsia="SimSun" w:hAnsiTheme="majorHAnsi"/>
          <w:sz w:val="20"/>
          <w:szCs w:val="20"/>
          <w:lang w:val="en-US"/>
        </w:rPr>
        <w:t xml:space="preserve"> retaliation for the exercise of her right to freedom of expression through her journalistic work and her blog critical of the State, access to which is blocked by the authorities </w:t>
      </w:r>
      <w:r w:rsidR="00E36A38">
        <w:rPr>
          <w:rFonts w:asciiTheme="majorHAnsi" w:eastAsia="SimSun" w:hAnsiTheme="majorHAnsi"/>
          <w:sz w:val="20"/>
          <w:szCs w:val="20"/>
          <w:lang w:val="en-US"/>
        </w:rPr>
        <w:t>from</w:t>
      </w:r>
      <w:r w:rsidR="00BE130E" w:rsidRPr="00B24750">
        <w:rPr>
          <w:rFonts w:asciiTheme="majorHAnsi" w:eastAsia="SimSun" w:hAnsiTheme="majorHAnsi"/>
          <w:sz w:val="20"/>
          <w:szCs w:val="20"/>
          <w:lang w:val="en-US"/>
        </w:rPr>
        <w:t xml:space="preserve"> public internet sites in Cuba.</w:t>
      </w:r>
    </w:p>
    <w:p w14:paraId="3D09582B" w14:textId="77777777" w:rsidR="006C17EA" w:rsidRPr="00B24750" w:rsidRDefault="006C17EA" w:rsidP="009D14E7">
      <w:pPr>
        <w:rPr>
          <w:rFonts w:asciiTheme="majorHAnsi" w:eastAsia="SimSun" w:hAnsiTheme="majorHAnsi"/>
          <w:sz w:val="20"/>
          <w:szCs w:val="20"/>
          <w:lang w:val="en-US"/>
        </w:rPr>
      </w:pPr>
    </w:p>
    <w:p w14:paraId="39DDFEFB" w14:textId="3796C707" w:rsidR="008C5A53" w:rsidRPr="00B24750" w:rsidRDefault="00902751"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eastAsia="SimSun" w:hAnsiTheme="majorHAnsi"/>
          <w:sz w:val="20"/>
          <w:szCs w:val="20"/>
          <w:lang w:val="en-US"/>
        </w:rPr>
      </w:pPr>
      <w:r w:rsidRPr="00B24750">
        <w:rPr>
          <w:rFonts w:asciiTheme="majorHAnsi" w:hAnsiTheme="majorHAnsi"/>
          <w:sz w:val="20"/>
          <w:szCs w:val="20"/>
          <w:lang w:val="en-US"/>
        </w:rPr>
        <w:t xml:space="preserve">At the time of this </w:t>
      </w:r>
      <w:r w:rsidRPr="00B24750">
        <w:rPr>
          <w:rFonts w:asciiTheme="majorHAnsi" w:eastAsia="SimSun" w:hAnsiTheme="majorHAnsi"/>
          <w:sz w:val="20"/>
          <w:szCs w:val="20"/>
          <w:lang w:val="en-US"/>
        </w:rPr>
        <w:t xml:space="preserve">writing, </w:t>
      </w:r>
      <w:r w:rsidRPr="00B24750">
        <w:rPr>
          <w:rFonts w:asciiTheme="majorHAnsi" w:hAnsiTheme="majorHAnsi"/>
          <w:sz w:val="20"/>
          <w:szCs w:val="20"/>
          <w:lang w:val="en-US"/>
        </w:rPr>
        <w:t xml:space="preserve">the State </w:t>
      </w:r>
      <w:r w:rsidR="006E62A8">
        <w:rPr>
          <w:rFonts w:asciiTheme="majorHAnsi" w:hAnsiTheme="majorHAnsi"/>
          <w:sz w:val="20"/>
          <w:szCs w:val="20"/>
          <w:lang w:val="en-US"/>
        </w:rPr>
        <w:t xml:space="preserve">has submitted no observations on the admissibility </w:t>
      </w:r>
      <w:r w:rsidRPr="00B24750">
        <w:rPr>
          <w:rFonts w:asciiTheme="majorHAnsi" w:hAnsiTheme="majorHAnsi"/>
          <w:sz w:val="20"/>
          <w:szCs w:val="20"/>
          <w:lang w:val="en-US"/>
        </w:rPr>
        <w:t>or merits of the case</w:t>
      </w:r>
      <w:r w:rsidR="00401E05" w:rsidRPr="00B24750">
        <w:rPr>
          <w:rFonts w:asciiTheme="majorHAnsi" w:hAnsiTheme="majorHAnsi"/>
          <w:sz w:val="20"/>
          <w:szCs w:val="20"/>
          <w:lang w:val="en-US"/>
        </w:rPr>
        <w:t>.</w:t>
      </w:r>
      <w:r w:rsidR="00CA717C" w:rsidRPr="00B24750">
        <w:rPr>
          <w:rFonts w:asciiTheme="majorHAnsi" w:eastAsia="SimSun" w:hAnsiTheme="majorHAnsi"/>
          <w:sz w:val="20"/>
          <w:szCs w:val="20"/>
          <w:lang w:val="en-US"/>
        </w:rPr>
        <w:t xml:space="preserve"> </w:t>
      </w:r>
      <w:r w:rsidR="00F615C5" w:rsidRPr="00B24750">
        <w:rPr>
          <w:rFonts w:asciiTheme="majorHAnsi" w:eastAsia="SimSun" w:hAnsiTheme="majorHAnsi"/>
          <w:sz w:val="20"/>
          <w:szCs w:val="20"/>
          <w:lang w:val="en-US"/>
        </w:rPr>
        <w:t xml:space="preserve">In light of the factual and legal arguments presented by the petitioners and the nature of the matter before </w:t>
      </w:r>
      <w:r w:rsidR="00F615C5" w:rsidRPr="00B24750">
        <w:rPr>
          <w:rFonts w:asciiTheme="majorHAnsi" w:eastAsia="SimSun" w:hAnsiTheme="majorHAnsi"/>
          <w:sz w:val="20"/>
          <w:szCs w:val="20"/>
          <w:lang w:val="en-US"/>
        </w:rPr>
        <w:lastRenderedPageBreak/>
        <w:t xml:space="preserve">it, the IACHR finds that the allegations </w:t>
      </w:r>
      <w:r w:rsidR="00F87E35" w:rsidRPr="00B24750">
        <w:rPr>
          <w:rFonts w:asciiTheme="majorHAnsi" w:eastAsia="SimSun" w:hAnsiTheme="majorHAnsi"/>
          <w:sz w:val="20"/>
          <w:szCs w:val="20"/>
          <w:lang w:val="en-US"/>
        </w:rPr>
        <w:t>set forth</w:t>
      </w:r>
      <w:r w:rsidR="00F615C5" w:rsidRPr="00B24750">
        <w:rPr>
          <w:rFonts w:asciiTheme="majorHAnsi" w:eastAsia="SimSun" w:hAnsiTheme="majorHAnsi"/>
          <w:sz w:val="20"/>
          <w:szCs w:val="20"/>
          <w:lang w:val="en-US"/>
        </w:rPr>
        <w:t xml:space="preserve"> </w:t>
      </w:r>
      <w:r w:rsidR="00F615C5" w:rsidRPr="00B24750">
        <w:rPr>
          <w:rFonts w:asciiTheme="majorHAnsi" w:hAnsiTheme="majorHAnsi"/>
          <w:sz w:val="20"/>
          <w:szCs w:val="20"/>
          <w:lang w:val="en-US"/>
        </w:rPr>
        <w:t xml:space="preserve">are not manifestly </w:t>
      </w:r>
      <w:r w:rsidR="00F87E35" w:rsidRPr="00B24750">
        <w:rPr>
          <w:rFonts w:asciiTheme="majorHAnsi" w:hAnsiTheme="majorHAnsi"/>
          <w:sz w:val="20"/>
          <w:szCs w:val="20"/>
          <w:lang w:val="en-US"/>
        </w:rPr>
        <w:t>groundless</w:t>
      </w:r>
      <w:r w:rsidR="00F615C5" w:rsidRPr="00B24750">
        <w:rPr>
          <w:rFonts w:asciiTheme="majorHAnsi" w:hAnsiTheme="majorHAnsi"/>
          <w:sz w:val="20"/>
          <w:szCs w:val="20"/>
          <w:lang w:val="en-US"/>
        </w:rPr>
        <w:t xml:space="preserve"> and require an analysis of the merits since</w:t>
      </w:r>
      <w:r w:rsidR="00F87E35" w:rsidRPr="00B24750">
        <w:rPr>
          <w:rFonts w:asciiTheme="majorHAnsi" w:hAnsiTheme="majorHAnsi"/>
          <w:sz w:val="20"/>
          <w:szCs w:val="20"/>
          <w:lang w:val="en-US"/>
        </w:rPr>
        <w:t>,</w:t>
      </w:r>
      <w:r w:rsidR="00F615C5" w:rsidRPr="00B24750">
        <w:rPr>
          <w:rFonts w:asciiTheme="majorHAnsi" w:hAnsiTheme="majorHAnsi"/>
          <w:sz w:val="20"/>
          <w:szCs w:val="20"/>
          <w:lang w:val="en-US"/>
        </w:rPr>
        <w:t xml:space="preserve"> if proven, they could all constitute violations of </w:t>
      </w:r>
      <w:r w:rsidR="00F615C5" w:rsidRPr="00B24750">
        <w:rPr>
          <w:rFonts w:asciiTheme="majorHAnsi" w:eastAsia="SimSun" w:hAnsiTheme="majorHAnsi"/>
          <w:sz w:val="20"/>
          <w:szCs w:val="20"/>
          <w:lang w:val="en-US"/>
        </w:rPr>
        <w:t>the rights protected in Articles I (</w:t>
      </w:r>
      <w:r w:rsidR="00080F4E" w:rsidRPr="00B24750">
        <w:rPr>
          <w:rFonts w:asciiTheme="majorHAnsi" w:eastAsia="SimSun" w:hAnsiTheme="majorHAnsi"/>
          <w:sz w:val="20"/>
          <w:szCs w:val="20"/>
          <w:lang w:val="en-US"/>
        </w:rPr>
        <w:t>right to life, liberty and personal security</w:t>
      </w:r>
      <w:r w:rsidR="00F615C5" w:rsidRPr="00B24750">
        <w:rPr>
          <w:rFonts w:asciiTheme="majorHAnsi" w:eastAsia="SimSun" w:hAnsiTheme="majorHAnsi"/>
          <w:sz w:val="20"/>
          <w:szCs w:val="20"/>
          <w:lang w:val="en-US"/>
        </w:rPr>
        <w:t>), II (right to equality before the law), IV (right</w:t>
      </w:r>
      <w:r w:rsidR="00080F4E" w:rsidRPr="00B24750">
        <w:rPr>
          <w:rFonts w:asciiTheme="majorHAnsi" w:eastAsia="SimSun" w:hAnsiTheme="majorHAnsi"/>
          <w:sz w:val="20"/>
          <w:szCs w:val="20"/>
          <w:lang w:val="en-US"/>
        </w:rPr>
        <w:t xml:space="preserve"> to freedom of investigation, opinion, expression, and dissemination</w:t>
      </w:r>
      <w:r w:rsidR="00F615C5" w:rsidRPr="00B24750">
        <w:rPr>
          <w:rFonts w:asciiTheme="majorHAnsi" w:eastAsia="SimSun" w:hAnsiTheme="majorHAnsi"/>
          <w:sz w:val="20"/>
          <w:szCs w:val="20"/>
          <w:lang w:val="en-US"/>
        </w:rPr>
        <w:t xml:space="preserve">), V (right </w:t>
      </w:r>
      <w:r w:rsidR="00080F4E" w:rsidRPr="00B24750">
        <w:rPr>
          <w:rFonts w:asciiTheme="majorHAnsi" w:eastAsia="SimSun" w:hAnsiTheme="majorHAnsi"/>
          <w:sz w:val="20"/>
          <w:szCs w:val="20"/>
          <w:lang w:val="en-US"/>
        </w:rPr>
        <w:t>to protection of honor, personal reputation, and private and family life</w:t>
      </w:r>
      <w:r w:rsidR="00F615C5" w:rsidRPr="00B24750">
        <w:rPr>
          <w:rFonts w:asciiTheme="majorHAnsi" w:eastAsia="SimSun" w:hAnsiTheme="majorHAnsi"/>
          <w:sz w:val="20"/>
          <w:szCs w:val="20"/>
          <w:lang w:val="en-US"/>
        </w:rPr>
        <w:t xml:space="preserve">), VIII (right to residence and movement), IX (right to </w:t>
      </w:r>
      <w:r w:rsidR="00080F4E" w:rsidRPr="00B24750">
        <w:rPr>
          <w:rFonts w:asciiTheme="majorHAnsi" w:eastAsia="SimSun" w:hAnsiTheme="majorHAnsi"/>
          <w:sz w:val="20"/>
          <w:szCs w:val="20"/>
          <w:lang w:val="en-US"/>
        </w:rPr>
        <w:t xml:space="preserve">the </w:t>
      </w:r>
      <w:r w:rsidR="00F615C5" w:rsidRPr="00B24750">
        <w:rPr>
          <w:rFonts w:asciiTheme="majorHAnsi" w:eastAsia="SimSun" w:hAnsiTheme="majorHAnsi"/>
          <w:sz w:val="20"/>
          <w:szCs w:val="20"/>
          <w:lang w:val="en-US"/>
        </w:rPr>
        <w:t xml:space="preserve">inviolability of the home), X (right to the inviolability and transmission of correspondence), XVIII (right to </w:t>
      </w:r>
      <w:r w:rsidR="00080F4E" w:rsidRPr="00B24750">
        <w:rPr>
          <w:rFonts w:asciiTheme="majorHAnsi" w:eastAsia="SimSun" w:hAnsiTheme="majorHAnsi"/>
          <w:sz w:val="20"/>
          <w:szCs w:val="20"/>
          <w:lang w:val="en-US"/>
        </w:rPr>
        <w:t>a fair trial</w:t>
      </w:r>
      <w:r w:rsidR="00F615C5" w:rsidRPr="00B24750">
        <w:rPr>
          <w:rFonts w:asciiTheme="majorHAnsi" w:eastAsia="SimSun" w:hAnsiTheme="majorHAnsi"/>
          <w:sz w:val="20"/>
          <w:szCs w:val="20"/>
          <w:lang w:val="en-US"/>
        </w:rPr>
        <w:t xml:space="preserve">), XX (right to vote and </w:t>
      </w:r>
      <w:r w:rsidR="00080F4E" w:rsidRPr="00B24750">
        <w:rPr>
          <w:rFonts w:asciiTheme="majorHAnsi" w:eastAsia="SimSun" w:hAnsiTheme="majorHAnsi"/>
          <w:sz w:val="20"/>
          <w:szCs w:val="20"/>
          <w:lang w:val="en-US"/>
        </w:rPr>
        <w:t xml:space="preserve">to </w:t>
      </w:r>
      <w:r w:rsidR="00F615C5" w:rsidRPr="00B24750">
        <w:rPr>
          <w:rFonts w:asciiTheme="majorHAnsi" w:eastAsia="SimSun" w:hAnsiTheme="majorHAnsi"/>
          <w:sz w:val="20"/>
          <w:szCs w:val="20"/>
          <w:lang w:val="en-US"/>
        </w:rPr>
        <w:t>participate in government), XXI (right of assembly), XXII (right of association), XXIV (right of petition)</w:t>
      </w:r>
      <w:r w:rsidR="00080F4E" w:rsidRPr="00B24750">
        <w:rPr>
          <w:rFonts w:asciiTheme="majorHAnsi" w:eastAsia="SimSun" w:hAnsiTheme="majorHAnsi"/>
          <w:sz w:val="20"/>
          <w:szCs w:val="20"/>
          <w:lang w:val="en-US"/>
        </w:rPr>
        <w:t>,</w:t>
      </w:r>
      <w:r w:rsidR="00F615C5" w:rsidRPr="00B24750">
        <w:rPr>
          <w:rFonts w:asciiTheme="majorHAnsi" w:eastAsia="SimSun" w:hAnsiTheme="majorHAnsi"/>
          <w:sz w:val="20"/>
          <w:szCs w:val="20"/>
          <w:lang w:val="en-US"/>
        </w:rPr>
        <w:t xml:space="preserve"> and XXV (right </w:t>
      </w:r>
      <w:r w:rsidR="00080F4E" w:rsidRPr="00B24750">
        <w:rPr>
          <w:rFonts w:asciiTheme="majorHAnsi" w:eastAsia="SimSun" w:hAnsiTheme="majorHAnsi"/>
          <w:sz w:val="20"/>
          <w:szCs w:val="20"/>
          <w:lang w:val="en-US"/>
        </w:rPr>
        <w:t>of protection from arbitrary arrest</w:t>
      </w:r>
      <w:r w:rsidR="00F615C5" w:rsidRPr="00B24750">
        <w:rPr>
          <w:rFonts w:asciiTheme="majorHAnsi" w:eastAsia="SimSun" w:hAnsiTheme="majorHAnsi"/>
          <w:sz w:val="20"/>
          <w:szCs w:val="20"/>
          <w:lang w:val="en-US"/>
        </w:rPr>
        <w:t>) of the American Declaration of the Rights and Duties of Man</w:t>
      </w:r>
      <w:r w:rsidR="0027004C" w:rsidRPr="00B24750">
        <w:rPr>
          <w:rFonts w:asciiTheme="majorHAnsi" w:eastAsia="SimSun" w:hAnsiTheme="majorHAnsi"/>
          <w:sz w:val="20"/>
          <w:szCs w:val="20"/>
          <w:lang w:val="en-US"/>
        </w:rPr>
        <w:t>.</w:t>
      </w:r>
    </w:p>
    <w:p w14:paraId="72F2A3E9" w14:textId="77777777" w:rsidR="00CA717C" w:rsidRPr="00B24750" w:rsidRDefault="00CA717C" w:rsidP="009D14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eastAsia="SimSun" w:hAnsiTheme="majorHAnsi"/>
          <w:sz w:val="20"/>
          <w:szCs w:val="20"/>
          <w:lang w:val="en-US"/>
        </w:rPr>
      </w:pPr>
    </w:p>
    <w:p w14:paraId="125D428B" w14:textId="1E7E1ACB" w:rsidR="00CA717C" w:rsidRPr="00B24750" w:rsidRDefault="00CA717C" w:rsidP="009D1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eastAsia="SimSun" w:hAnsiTheme="majorHAnsi"/>
          <w:sz w:val="20"/>
          <w:szCs w:val="20"/>
          <w:lang w:val="en-US"/>
        </w:rPr>
      </w:pPr>
      <w:r w:rsidRPr="00B24750">
        <w:rPr>
          <w:rFonts w:asciiTheme="majorHAnsi" w:eastAsia="Times New Roman" w:hAnsiTheme="majorHAnsi" w:cs="Tahoma"/>
          <w:iCs/>
          <w:color w:val="222222"/>
          <w:sz w:val="20"/>
          <w:szCs w:val="20"/>
          <w:shd w:val="clear" w:color="auto" w:fill="FFFFFF"/>
          <w:lang w:val="en-US"/>
        </w:rPr>
        <w:t>Under</w:t>
      </w:r>
      <w:r w:rsidRPr="00B24750">
        <w:rPr>
          <w:rFonts w:asciiTheme="majorHAnsi" w:hAnsiTheme="majorHAnsi"/>
          <w:color w:val="000000"/>
          <w:sz w:val="20"/>
          <w:szCs w:val="20"/>
          <w:lang w:val="en-US"/>
        </w:rPr>
        <w:t xml:space="preserve"> the principle of</w:t>
      </w:r>
      <w:r w:rsidRPr="00B24750">
        <w:rPr>
          <w:rFonts w:asciiTheme="majorHAnsi" w:hAnsiTheme="majorHAnsi"/>
          <w:i/>
          <w:iCs/>
          <w:color w:val="000000"/>
          <w:sz w:val="20"/>
          <w:szCs w:val="20"/>
          <w:lang w:val="en-US"/>
        </w:rPr>
        <w:t xml:space="preserve"> </w:t>
      </w:r>
      <w:proofErr w:type="spellStart"/>
      <w:r w:rsidRPr="00B24750">
        <w:rPr>
          <w:rFonts w:asciiTheme="majorHAnsi" w:hAnsiTheme="majorHAnsi"/>
          <w:i/>
          <w:iCs/>
          <w:color w:val="000000"/>
          <w:sz w:val="20"/>
          <w:szCs w:val="20"/>
          <w:lang w:val="en-US"/>
        </w:rPr>
        <w:t>iura</w:t>
      </w:r>
      <w:proofErr w:type="spellEnd"/>
      <w:r w:rsidRPr="00B24750">
        <w:rPr>
          <w:rFonts w:asciiTheme="majorHAnsi" w:hAnsiTheme="majorHAnsi"/>
          <w:i/>
          <w:iCs/>
          <w:color w:val="000000"/>
          <w:sz w:val="20"/>
          <w:szCs w:val="20"/>
          <w:lang w:val="en-US"/>
        </w:rPr>
        <w:t xml:space="preserve"> </w:t>
      </w:r>
      <w:proofErr w:type="spellStart"/>
      <w:r w:rsidRPr="00B24750">
        <w:rPr>
          <w:rFonts w:asciiTheme="majorHAnsi" w:hAnsiTheme="majorHAnsi"/>
          <w:i/>
          <w:iCs/>
          <w:color w:val="000000"/>
          <w:sz w:val="20"/>
          <w:szCs w:val="20"/>
          <w:lang w:val="en-US"/>
        </w:rPr>
        <w:t>novit</w:t>
      </w:r>
      <w:proofErr w:type="spellEnd"/>
      <w:r w:rsidRPr="00B24750">
        <w:rPr>
          <w:rFonts w:asciiTheme="majorHAnsi" w:hAnsiTheme="majorHAnsi"/>
          <w:i/>
          <w:iCs/>
          <w:color w:val="000000"/>
          <w:sz w:val="20"/>
          <w:szCs w:val="20"/>
          <w:lang w:val="en-US"/>
        </w:rPr>
        <w:t xml:space="preserve"> curia</w:t>
      </w:r>
      <w:r w:rsidRPr="00B24750">
        <w:rPr>
          <w:rFonts w:asciiTheme="majorHAnsi" w:hAnsiTheme="majorHAnsi"/>
          <w:color w:val="000000"/>
          <w:sz w:val="20"/>
          <w:szCs w:val="20"/>
          <w:lang w:val="en-US"/>
        </w:rPr>
        <w:t xml:space="preserve">, the Commission also declares this petition admissible with respect to Article XXVI of the American Declaration (right to due process), since the absolute lack of a response to the remedies pursued at the domestic level could </w:t>
      </w:r>
      <w:r w:rsidR="006E62A8">
        <w:rPr>
          <w:rFonts w:asciiTheme="majorHAnsi" w:hAnsiTheme="majorHAnsi"/>
          <w:color w:val="000000"/>
          <w:sz w:val="20"/>
          <w:szCs w:val="20"/>
          <w:lang w:val="en-US"/>
        </w:rPr>
        <w:t xml:space="preserve">violate </w:t>
      </w:r>
      <w:r w:rsidRPr="00B24750">
        <w:rPr>
          <w:rFonts w:asciiTheme="majorHAnsi" w:hAnsiTheme="majorHAnsi"/>
          <w:color w:val="000000"/>
          <w:sz w:val="20"/>
          <w:szCs w:val="20"/>
          <w:lang w:val="en-US"/>
        </w:rPr>
        <w:t xml:space="preserve">the right to have </w:t>
      </w:r>
      <w:r w:rsidRPr="00B24750">
        <w:rPr>
          <w:rFonts w:asciiTheme="majorHAnsi" w:eastAsia="Times New Roman" w:hAnsiTheme="majorHAnsi" w:cs="Tahoma"/>
          <w:iCs/>
          <w:color w:val="222222"/>
          <w:sz w:val="20"/>
          <w:szCs w:val="20"/>
          <w:shd w:val="clear" w:color="auto" w:fill="FFFFFF"/>
          <w:lang w:val="en-US"/>
        </w:rPr>
        <w:t xml:space="preserve">public bodies or authorities determine rights independently and impartially. </w:t>
      </w:r>
    </w:p>
    <w:p w14:paraId="5EB3C96E" w14:textId="77777777" w:rsidR="00CA717C" w:rsidRPr="00B24750" w:rsidRDefault="00CA717C" w:rsidP="003F5830">
      <w:pPr>
        <w:rPr>
          <w:rFonts w:asciiTheme="majorHAnsi" w:hAnsiTheme="majorHAnsi" w:cs="Arial"/>
          <w:sz w:val="20"/>
          <w:szCs w:val="20"/>
          <w:lang w:val="en-US"/>
        </w:rPr>
      </w:pPr>
    </w:p>
    <w:p w14:paraId="0BEC0897" w14:textId="10427A07" w:rsidR="00B44D0F" w:rsidRPr="00B24750" w:rsidRDefault="00BB2E11" w:rsidP="009D14E7">
      <w:pPr>
        <w:pStyle w:val="Heading1"/>
      </w:pPr>
      <w:bookmarkStart w:id="11" w:name="_Toc90392465"/>
      <w:r w:rsidRPr="00B24750">
        <w:t>FINDINGS OF FACT</w:t>
      </w:r>
      <w:bookmarkEnd w:id="11"/>
    </w:p>
    <w:p w14:paraId="28055710" w14:textId="77777777" w:rsidR="00784C23" w:rsidRPr="00B24750" w:rsidRDefault="00784C23" w:rsidP="005F7FE2">
      <w:pPr>
        <w:ind w:left="720"/>
        <w:jc w:val="both"/>
        <w:rPr>
          <w:rFonts w:asciiTheme="majorHAnsi" w:hAnsiTheme="majorHAnsi"/>
          <w:b/>
          <w:sz w:val="20"/>
          <w:szCs w:val="20"/>
          <w:lang w:val="en-US"/>
        </w:rPr>
      </w:pPr>
    </w:p>
    <w:p w14:paraId="0F1E7BD7" w14:textId="52B310AD" w:rsidR="00784C23" w:rsidRPr="00B24750" w:rsidRDefault="002F5F13"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The Commission notes that, </w:t>
      </w:r>
      <w:r w:rsidRPr="00B24750">
        <w:rPr>
          <w:rFonts w:asciiTheme="majorHAnsi" w:hAnsiTheme="majorHAnsi" w:cs="Univers"/>
          <w:sz w:val="20"/>
          <w:szCs w:val="20"/>
        </w:rPr>
        <w:t xml:space="preserve">despite its repeated requests, the State has so far failed to provide observations, information, or evidence </w:t>
      </w:r>
      <w:r w:rsidR="00D44267" w:rsidRPr="00B24750">
        <w:rPr>
          <w:rFonts w:asciiTheme="majorHAnsi" w:hAnsiTheme="majorHAnsi" w:cs="Univers"/>
          <w:sz w:val="20"/>
          <w:szCs w:val="20"/>
        </w:rPr>
        <w:t xml:space="preserve">contradicting </w:t>
      </w:r>
      <w:r w:rsidRPr="00B24750">
        <w:rPr>
          <w:rFonts w:asciiTheme="majorHAnsi" w:hAnsiTheme="majorHAnsi" w:cs="Univers"/>
          <w:sz w:val="20"/>
          <w:szCs w:val="20"/>
        </w:rPr>
        <w:t xml:space="preserve">the petitioners’ allegations. The Commission also notes that the facts alleged by the petitioners describe the situation of the alleged victim with specificity, and that some of these facts are also corroborated by </w:t>
      </w:r>
      <w:r w:rsidR="00D44267" w:rsidRPr="00B24750">
        <w:rPr>
          <w:rFonts w:asciiTheme="majorHAnsi" w:hAnsiTheme="majorHAnsi" w:cs="Univers"/>
          <w:sz w:val="20"/>
          <w:szCs w:val="20"/>
        </w:rPr>
        <w:t>evidence</w:t>
      </w:r>
      <w:r w:rsidRPr="00B24750">
        <w:rPr>
          <w:rFonts w:asciiTheme="majorHAnsi" w:hAnsiTheme="majorHAnsi" w:cs="Univers"/>
          <w:sz w:val="20"/>
          <w:szCs w:val="20"/>
        </w:rPr>
        <w:t xml:space="preserve"> provided </w:t>
      </w:r>
      <w:r w:rsidR="00D44267" w:rsidRPr="00B24750">
        <w:rPr>
          <w:rFonts w:asciiTheme="majorHAnsi" w:hAnsiTheme="majorHAnsi" w:cs="Univers"/>
          <w:sz w:val="20"/>
          <w:szCs w:val="20"/>
        </w:rPr>
        <w:t>or</w:t>
      </w:r>
      <w:r w:rsidRPr="00B24750">
        <w:rPr>
          <w:rFonts w:asciiTheme="majorHAnsi" w:hAnsiTheme="majorHAnsi" w:cs="Univers"/>
          <w:sz w:val="20"/>
          <w:szCs w:val="20"/>
        </w:rPr>
        <w:t xml:space="preserve"> documented in other sources. </w:t>
      </w:r>
    </w:p>
    <w:p w14:paraId="7A452AFD" w14:textId="77777777" w:rsidR="002F5F13" w:rsidRPr="00B24750" w:rsidRDefault="002F5F13" w:rsidP="009D14E7">
      <w:pPr>
        <w:pStyle w:val="ListParagraph"/>
        <w:autoSpaceDE w:val="0"/>
        <w:autoSpaceDN w:val="0"/>
        <w:adjustRightInd w:val="0"/>
        <w:ind w:left="0"/>
        <w:jc w:val="both"/>
        <w:rPr>
          <w:rFonts w:asciiTheme="majorHAnsi" w:hAnsiTheme="majorHAnsi"/>
          <w:sz w:val="20"/>
          <w:szCs w:val="20"/>
        </w:rPr>
      </w:pPr>
    </w:p>
    <w:p w14:paraId="10A12095" w14:textId="1C10D308" w:rsidR="00D25FA7" w:rsidRPr="00B24750" w:rsidRDefault="00D25FA7"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Based on these considerations, and on the absence of evidence leading to a contrary conclusion, the Commission will apply Article 38 of its Rules of Procedure</w:t>
      </w:r>
      <w:r w:rsidR="008A66AA" w:rsidRPr="00B24750">
        <w:rPr>
          <w:rFonts w:asciiTheme="majorHAnsi" w:hAnsiTheme="majorHAnsi"/>
          <w:sz w:val="20"/>
          <w:szCs w:val="20"/>
        </w:rPr>
        <w:t xml:space="preserve"> in this case to the relevant extent. Article 38</w:t>
      </w:r>
      <w:r w:rsidRPr="00B24750">
        <w:rPr>
          <w:rFonts w:asciiTheme="majorHAnsi" w:hAnsiTheme="majorHAnsi"/>
          <w:sz w:val="20"/>
          <w:szCs w:val="20"/>
        </w:rPr>
        <w:t xml:space="preserve"> establishes that: </w:t>
      </w:r>
    </w:p>
    <w:p w14:paraId="6735687B" w14:textId="77777777" w:rsidR="00784C23" w:rsidRPr="00B24750" w:rsidRDefault="00784C23" w:rsidP="00A0029B">
      <w:pPr>
        <w:pStyle w:val="ListParagraph"/>
        <w:autoSpaceDE w:val="0"/>
        <w:autoSpaceDN w:val="0"/>
        <w:adjustRightInd w:val="0"/>
        <w:ind w:right="864"/>
        <w:jc w:val="both"/>
        <w:rPr>
          <w:rFonts w:asciiTheme="majorHAnsi" w:hAnsiTheme="majorHAnsi"/>
          <w:sz w:val="20"/>
          <w:szCs w:val="20"/>
        </w:rPr>
      </w:pPr>
    </w:p>
    <w:p w14:paraId="28500878" w14:textId="3A93A8BF" w:rsidR="00B44D0F" w:rsidRPr="00B24750" w:rsidRDefault="008A66AA" w:rsidP="00A0029B">
      <w:pPr>
        <w:pStyle w:val="ListParagraph"/>
        <w:autoSpaceDE w:val="0"/>
        <w:autoSpaceDN w:val="0"/>
        <w:adjustRightInd w:val="0"/>
        <w:ind w:right="864"/>
        <w:jc w:val="both"/>
        <w:rPr>
          <w:rFonts w:asciiTheme="majorHAnsi" w:hAnsiTheme="majorHAnsi"/>
          <w:sz w:val="18"/>
          <w:szCs w:val="18"/>
        </w:rPr>
      </w:pPr>
      <w:r w:rsidRPr="00B24750">
        <w:rPr>
          <w:rFonts w:asciiTheme="majorHAnsi" w:hAnsiTheme="majorHAnsi"/>
          <w:sz w:val="18"/>
          <w:szCs w:val="18"/>
        </w:rPr>
        <w:t>The facts alleged in the petition, the pertinent parts of which have been transmitted to the State in question, shall be presumed to be true if the State has not provided responsive information during the period set by the Commission under the provisions of Article 37 of these Rules of Procedure, as long as other evidence does not lead to a different conclusion</w:t>
      </w:r>
      <w:r w:rsidR="00B44D0F" w:rsidRPr="00B24750">
        <w:rPr>
          <w:rFonts w:asciiTheme="majorHAnsi" w:hAnsiTheme="majorHAnsi"/>
          <w:sz w:val="18"/>
          <w:szCs w:val="18"/>
        </w:rPr>
        <w:t xml:space="preserve">. </w:t>
      </w:r>
    </w:p>
    <w:p w14:paraId="51DC3620" w14:textId="77777777" w:rsidR="00784C23" w:rsidRPr="00B24750" w:rsidRDefault="00784C23" w:rsidP="005F7FE2">
      <w:pPr>
        <w:pStyle w:val="ListParagraph"/>
        <w:autoSpaceDE w:val="0"/>
        <w:autoSpaceDN w:val="0"/>
        <w:adjustRightInd w:val="0"/>
        <w:jc w:val="both"/>
        <w:rPr>
          <w:rFonts w:asciiTheme="majorHAnsi" w:hAnsiTheme="majorHAnsi"/>
          <w:sz w:val="20"/>
          <w:szCs w:val="20"/>
        </w:rPr>
      </w:pPr>
    </w:p>
    <w:p w14:paraId="2161B258" w14:textId="3E8F9244" w:rsidR="00B44D0F" w:rsidRPr="00B24750" w:rsidRDefault="008A66AA"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Therefore, in line with its prior decisions,</w:t>
      </w:r>
      <w:r w:rsidR="00B44D0F" w:rsidRPr="00B24750">
        <w:rPr>
          <w:rStyle w:val="FootnoteReference"/>
          <w:rFonts w:asciiTheme="majorHAnsi" w:hAnsiTheme="majorHAnsi"/>
          <w:color w:val="auto"/>
          <w:sz w:val="20"/>
          <w:szCs w:val="20"/>
        </w:rPr>
        <w:footnoteReference w:id="31"/>
      </w:r>
      <w:r w:rsidR="00B44D0F" w:rsidRPr="00B24750">
        <w:rPr>
          <w:rFonts w:asciiTheme="majorHAnsi" w:hAnsiTheme="majorHAnsi"/>
          <w:color w:val="auto"/>
          <w:sz w:val="20"/>
          <w:szCs w:val="20"/>
        </w:rPr>
        <w:t xml:space="preserve"> </w:t>
      </w:r>
      <w:r w:rsidRPr="00B24750">
        <w:rPr>
          <w:rFonts w:asciiTheme="majorHAnsi" w:hAnsiTheme="majorHAnsi"/>
          <w:color w:val="auto"/>
          <w:sz w:val="20"/>
          <w:szCs w:val="20"/>
        </w:rPr>
        <w:t xml:space="preserve">the Commission finds that the facts described in </w:t>
      </w:r>
      <w:r w:rsidR="006E62A8">
        <w:rPr>
          <w:rFonts w:asciiTheme="majorHAnsi" w:hAnsiTheme="majorHAnsi"/>
          <w:color w:val="auto"/>
          <w:sz w:val="20"/>
          <w:szCs w:val="20"/>
        </w:rPr>
        <w:t xml:space="preserve">these paragraphs about </w:t>
      </w:r>
      <w:r w:rsidRPr="00B24750">
        <w:rPr>
          <w:rFonts w:asciiTheme="majorHAnsi" w:hAnsiTheme="majorHAnsi"/>
          <w:color w:val="auto"/>
          <w:sz w:val="20"/>
          <w:szCs w:val="20"/>
        </w:rPr>
        <w:t>the alleged victim have been proven</w:t>
      </w:r>
      <w:r w:rsidR="00B44D0F" w:rsidRPr="00B24750">
        <w:rPr>
          <w:rFonts w:asciiTheme="majorHAnsi" w:hAnsiTheme="majorHAnsi"/>
          <w:color w:val="auto"/>
          <w:sz w:val="20"/>
          <w:szCs w:val="20"/>
        </w:rPr>
        <w:t>.</w:t>
      </w:r>
    </w:p>
    <w:p w14:paraId="65A3C298" w14:textId="77777777" w:rsidR="00DB2E96" w:rsidRPr="00B24750" w:rsidRDefault="00DB2E96" w:rsidP="00A975E0">
      <w:pPr>
        <w:pStyle w:val="ListParagraph"/>
        <w:autoSpaceDE w:val="0"/>
        <w:autoSpaceDN w:val="0"/>
        <w:adjustRightInd w:val="0"/>
        <w:ind w:left="0"/>
        <w:jc w:val="both"/>
        <w:rPr>
          <w:rFonts w:asciiTheme="majorHAnsi" w:hAnsiTheme="majorHAnsi"/>
          <w:color w:val="auto"/>
          <w:sz w:val="20"/>
          <w:szCs w:val="20"/>
        </w:rPr>
      </w:pPr>
    </w:p>
    <w:p w14:paraId="0E1742F3" w14:textId="246A9488" w:rsidR="00FD1FF8" w:rsidRPr="009D14E7" w:rsidRDefault="008A66AA" w:rsidP="009D14E7">
      <w:pPr>
        <w:pStyle w:val="Heading2"/>
        <w:numPr>
          <w:ilvl w:val="0"/>
          <w:numId w:val="67"/>
        </w:numPr>
        <w:ind w:left="720"/>
        <w:rPr>
          <w:rFonts w:eastAsia="Arial Unicode MS"/>
        </w:rPr>
      </w:pPr>
      <w:bookmarkStart w:id="12" w:name="_Toc90392466"/>
      <w:r w:rsidRPr="009D14E7">
        <w:rPr>
          <w:rFonts w:eastAsia="Arial Unicode MS"/>
        </w:rPr>
        <w:t>Constitutional</w:t>
      </w:r>
      <w:r w:rsidR="00FD1FF8" w:rsidRPr="009D14E7">
        <w:rPr>
          <w:rFonts w:eastAsia="Arial Unicode MS"/>
        </w:rPr>
        <w:t xml:space="preserve"> </w:t>
      </w:r>
      <w:r w:rsidRPr="009D14E7">
        <w:rPr>
          <w:rFonts w:eastAsia="Arial Unicode MS"/>
        </w:rPr>
        <w:t>regulation of the right to freedom of expression</w:t>
      </w:r>
      <w:bookmarkEnd w:id="12"/>
    </w:p>
    <w:p w14:paraId="72897B2E" w14:textId="1F477A97" w:rsidR="00A975E0" w:rsidRPr="00B24750" w:rsidRDefault="00A975E0" w:rsidP="00A975E0">
      <w:pPr>
        <w:jc w:val="both"/>
        <w:rPr>
          <w:rFonts w:asciiTheme="majorHAnsi" w:hAnsiTheme="majorHAnsi"/>
          <w:lang w:val="en-US"/>
        </w:rPr>
      </w:pPr>
    </w:p>
    <w:p w14:paraId="11DC826E" w14:textId="32DD6B0F" w:rsidR="00A975E0" w:rsidRPr="00B24750" w:rsidRDefault="000A2E4F"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sz w:val="20"/>
          <w:szCs w:val="20"/>
        </w:rPr>
        <w:t>Article 53 of the 1976 Constitution of the Republic of Cuba,</w:t>
      </w:r>
      <w:r w:rsidR="00933999" w:rsidRPr="00B24750">
        <w:rPr>
          <w:rStyle w:val="FootnoteReference"/>
          <w:rFonts w:asciiTheme="majorHAnsi" w:hAnsiTheme="majorHAnsi"/>
          <w:sz w:val="20"/>
          <w:szCs w:val="20"/>
        </w:rPr>
        <w:footnoteReference w:id="32"/>
      </w:r>
      <w:r w:rsidR="00A975E0" w:rsidRPr="00B24750">
        <w:rPr>
          <w:rFonts w:asciiTheme="majorHAnsi" w:hAnsiTheme="majorHAnsi"/>
          <w:sz w:val="20"/>
          <w:szCs w:val="20"/>
        </w:rPr>
        <w:t xml:space="preserve"> </w:t>
      </w:r>
      <w:r w:rsidRPr="00B24750">
        <w:rPr>
          <w:rFonts w:asciiTheme="majorHAnsi" w:hAnsiTheme="majorHAnsi"/>
          <w:sz w:val="20"/>
          <w:szCs w:val="20"/>
        </w:rPr>
        <w:t xml:space="preserve">in force at the </w:t>
      </w:r>
      <w:r w:rsidR="0078776A">
        <w:rPr>
          <w:rFonts w:asciiTheme="majorHAnsi" w:hAnsiTheme="majorHAnsi"/>
          <w:sz w:val="20"/>
          <w:szCs w:val="20"/>
        </w:rPr>
        <w:t>outset</w:t>
      </w:r>
      <w:r w:rsidRPr="00B24750">
        <w:rPr>
          <w:rFonts w:asciiTheme="majorHAnsi" w:hAnsiTheme="majorHAnsi"/>
          <w:sz w:val="20"/>
          <w:szCs w:val="20"/>
        </w:rPr>
        <w:t xml:space="preserve"> of the facts alleged, </w:t>
      </w:r>
      <w:r w:rsidR="006E62A8">
        <w:rPr>
          <w:rFonts w:asciiTheme="majorHAnsi" w:hAnsiTheme="majorHAnsi"/>
          <w:color w:val="auto"/>
          <w:sz w:val="20"/>
          <w:szCs w:val="20"/>
        </w:rPr>
        <w:t>established</w:t>
      </w:r>
      <w:r w:rsidR="00A975E0" w:rsidRPr="00B24750">
        <w:rPr>
          <w:rFonts w:asciiTheme="majorHAnsi" w:hAnsiTheme="majorHAnsi"/>
          <w:color w:val="auto"/>
          <w:sz w:val="20"/>
          <w:szCs w:val="20"/>
        </w:rPr>
        <w:t>: “</w:t>
      </w:r>
      <w:r w:rsidRPr="00B24750">
        <w:rPr>
          <w:rFonts w:asciiTheme="majorHAnsi" w:hAnsiTheme="majorHAnsi"/>
          <w:color w:val="auto"/>
          <w:sz w:val="20"/>
          <w:szCs w:val="20"/>
        </w:rPr>
        <w:t xml:space="preserve">Citizens have freedom of speech and of the press in keeping with the </w:t>
      </w:r>
      <w:r w:rsidR="00E37137" w:rsidRPr="00B24750">
        <w:rPr>
          <w:rFonts w:asciiTheme="majorHAnsi" w:hAnsiTheme="majorHAnsi"/>
          <w:color w:val="auto"/>
          <w:sz w:val="20"/>
          <w:szCs w:val="20"/>
        </w:rPr>
        <w:t>objectives of socialist society. Material conditions for the exercise of that right are provided by the fact that the press, radio, television, movies, and other mass media are State or social property and can never be private property. This ensures that they are used at the exclusive service of the working people and in the interest of society. The law regulates the exercise of these freedoms.”</w:t>
      </w:r>
      <w:r w:rsidR="00A975E0" w:rsidRPr="00B24750">
        <w:rPr>
          <w:rFonts w:asciiTheme="majorHAnsi" w:hAnsiTheme="majorHAnsi"/>
          <w:color w:val="auto"/>
          <w:sz w:val="20"/>
          <w:szCs w:val="20"/>
        </w:rPr>
        <w:t xml:space="preserve"> </w:t>
      </w:r>
    </w:p>
    <w:p w14:paraId="53847486" w14:textId="77777777" w:rsidR="00A975E0" w:rsidRPr="00B24750" w:rsidRDefault="00A975E0" w:rsidP="009D14E7">
      <w:pPr>
        <w:tabs>
          <w:tab w:val="num" w:pos="720"/>
        </w:tabs>
        <w:autoSpaceDE w:val="0"/>
        <w:autoSpaceDN w:val="0"/>
        <w:adjustRightInd w:val="0"/>
        <w:jc w:val="both"/>
        <w:rPr>
          <w:rFonts w:asciiTheme="majorHAnsi" w:hAnsiTheme="majorHAnsi"/>
          <w:sz w:val="20"/>
          <w:szCs w:val="20"/>
          <w:lang w:val="en-US"/>
        </w:rPr>
      </w:pPr>
    </w:p>
    <w:p w14:paraId="5C5CA1AF" w14:textId="68B395F5" w:rsidR="00655CB3" w:rsidRPr="00B24750" w:rsidRDefault="00137841"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Article 62 of the 1976 Constitution provided that</w:t>
      </w:r>
      <w:r w:rsidR="00A975E0" w:rsidRPr="00B24750">
        <w:rPr>
          <w:rFonts w:asciiTheme="majorHAnsi" w:hAnsiTheme="majorHAnsi"/>
          <w:color w:val="auto"/>
          <w:sz w:val="20"/>
          <w:szCs w:val="20"/>
        </w:rPr>
        <w:t>: “</w:t>
      </w:r>
      <w:r w:rsidRPr="00B24750">
        <w:rPr>
          <w:rFonts w:asciiTheme="majorHAnsi" w:hAnsiTheme="majorHAnsi"/>
          <w:color w:val="auto"/>
          <w:sz w:val="20"/>
          <w:szCs w:val="20"/>
        </w:rPr>
        <w:t>None of the freedoms to which citizens are entitled may be exercised against those established in the Constitution and the laws, nor against the existence and aims of the socialist state, nor against the decision of the Cuban people to build socialism and communism. Violations of this principle are punishable.</w:t>
      </w:r>
      <w:r w:rsidR="00A975E0" w:rsidRPr="00B24750">
        <w:rPr>
          <w:rFonts w:asciiTheme="majorHAnsi" w:hAnsiTheme="majorHAnsi"/>
          <w:color w:val="auto"/>
          <w:sz w:val="20"/>
          <w:szCs w:val="20"/>
        </w:rPr>
        <w:t>”</w:t>
      </w:r>
      <w:r w:rsidR="00BD32C9" w:rsidRPr="00B24750">
        <w:rPr>
          <w:rFonts w:asciiTheme="majorHAnsi" w:hAnsiTheme="majorHAnsi"/>
          <w:color w:val="auto"/>
          <w:sz w:val="20"/>
          <w:szCs w:val="20"/>
        </w:rPr>
        <w:t xml:space="preserve"> </w:t>
      </w:r>
    </w:p>
    <w:p w14:paraId="4C8CBA9C" w14:textId="77777777" w:rsidR="00655CB3" w:rsidRPr="00B24750" w:rsidRDefault="00655CB3" w:rsidP="009D14E7">
      <w:pPr>
        <w:pStyle w:val="ListParagraph"/>
        <w:autoSpaceDE w:val="0"/>
        <w:autoSpaceDN w:val="0"/>
        <w:adjustRightInd w:val="0"/>
        <w:ind w:left="0"/>
        <w:jc w:val="both"/>
        <w:rPr>
          <w:rFonts w:asciiTheme="majorHAnsi" w:hAnsiTheme="majorHAnsi"/>
          <w:color w:val="auto"/>
          <w:sz w:val="20"/>
          <w:szCs w:val="20"/>
        </w:rPr>
      </w:pPr>
    </w:p>
    <w:p w14:paraId="728F3B5E" w14:textId="2FEF0B48" w:rsidR="00BD32C9" w:rsidRPr="00B24750" w:rsidRDefault="00907095"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sz w:val="20"/>
          <w:szCs w:val="20"/>
        </w:rPr>
        <w:t>Cuba adopted a new Constitution on April 10, 2019.</w:t>
      </w:r>
      <w:r w:rsidR="00561EBD" w:rsidRPr="00B24750">
        <w:rPr>
          <w:rStyle w:val="FootnoteReference"/>
          <w:rFonts w:asciiTheme="majorHAnsi" w:hAnsiTheme="majorHAnsi"/>
          <w:sz w:val="20"/>
          <w:szCs w:val="20"/>
        </w:rPr>
        <w:footnoteReference w:id="33"/>
      </w:r>
      <w:r w:rsidR="00A975E0" w:rsidRPr="00B24750">
        <w:rPr>
          <w:rFonts w:asciiTheme="majorHAnsi" w:hAnsiTheme="majorHAnsi"/>
          <w:sz w:val="20"/>
          <w:szCs w:val="20"/>
        </w:rPr>
        <w:t xml:space="preserve"> </w:t>
      </w:r>
      <w:r w:rsidRPr="00B24750">
        <w:rPr>
          <w:rFonts w:asciiTheme="majorHAnsi" w:hAnsiTheme="majorHAnsi"/>
          <w:sz w:val="20"/>
          <w:szCs w:val="20"/>
        </w:rPr>
        <w:t xml:space="preserve">Articles 53 and 54 recognize the rights of access to information and freedom of expression, respectively. The former provides that: </w:t>
      </w:r>
      <w:r w:rsidRPr="00B24750">
        <w:rPr>
          <w:rFonts w:asciiTheme="majorHAnsi" w:hAnsiTheme="majorHAnsi" w:cs="Arial"/>
          <w:sz w:val="20"/>
          <w:szCs w:val="20"/>
          <w:shd w:val="clear" w:color="auto" w:fill="FFFFFF"/>
        </w:rPr>
        <w:t>“</w:t>
      </w:r>
      <w:r w:rsidR="00161E0C" w:rsidRPr="00B24750">
        <w:rPr>
          <w:rFonts w:asciiTheme="majorHAnsi" w:hAnsiTheme="majorHAnsi" w:cs="Arial"/>
          <w:sz w:val="20"/>
          <w:szCs w:val="20"/>
          <w:shd w:val="clear" w:color="auto" w:fill="FFFFFF"/>
        </w:rPr>
        <w:t>E</w:t>
      </w:r>
      <w:r w:rsidRPr="00B24750">
        <w:rPr>
          <w:rFonts w:asciiTheme="majorHAnsi" w:hAnsiTheme="majorHAnsi" w:cs="Arial"/>
          <w:sz w:val="20"/>
          <w:szCs w:val="20"/>
          <w:shd w:val="clear" w:color="auto" w:fill="FFFFFF"/>
        </w:rPr>
        <w:t xml:space="preserve">very person has the right to request and receive truthful, objective, and timely information from the State, and to access information generated by State bodies and entities, </w:t>
      </w:r>
      <w:r w:rsidR="006E62A8">
        <w:rPr>
          <w:rFonts w:asciiTheme="majorHAnsi" w:hAnsiTheme="majorHAnsi" w:cs="Arial"/>
          <w:sz w:val="20"/>
          <w:szCs w:val="20"/>
          <w:shd w:val="clear" w:color="auto" w:fill="FFFFFF"/>
        </w:rPr>
        <w:t xml:space="preserve">under </w:t>
      </w:r>
      <w:r w:rsidRPr="00B24750">
        <w:rPr>
          <w:rFonts w:asciiTheme="majorHAnsi" w:hAnsiTheme="majorHAnsi" w:cs="Arial"/>
          <w:sz w:val="20"/>
          <w:szCs w:val="20"/>
          <w:shd w:val="clear" w:color="auto" w:fill="FFFFFF"/>
        </w:rPr>
        <w:t>the established regulations.</w:t>
      </w:r>
      <w:r w:rsidR="005B6176">
        <w:rPr>
          <w:rFonts w:asciiTheme="majorHAnsi" w:hAnsiTheme="majorHAnsi" w:cs="Arial"/>
          <w:sz w:val="20"/>
          <w:szCs w:val="20"/>
          <w:shd w:val="clear" w:color="auto" w:fill="FFFFFF"/>
        </w:rPr>
        <w:t>”</w:t>
      </w:r>
      <w:r w:rsidRPr="00B24750">
        <w:rPr>
          <w:rFonts w:asciiTheme="majorHAnsi" w:hAnsiTheme="majorHAnsi" w:cs="Arial"/>
          <w:sz w:val="20"/>
          <w:szCs w:val="20"/>
          <w:shd w:val="clear" w:color="auto" w:fill="FFFFFF"/>
        </w:rPr>
        <w:t xml:space="preserve"> </w:t>
      </w:r>
      <w:r w:rsidRPr="00B24750">
        <w:rPr>
          <w:rFonts w:asciiTheme="majorHAnsi" w:hAnsiTheme="majorHAnsi"/>
          <w:sz w:val="20"/>
          <w:szCs w:val="20"/>
        </w:rPr>
        <w:t xml:space="preserve">The latter stipulates that: </w:t>
      </w:r>
      <w:r w:rsidR="005B6176">
        <w:rPr>
          <w:rFonts w:asciiTheme="majorHAnsi" w:hAnsiTheme="majorHAnsi" w:cs="Arial"/>
          <w:sz w:val="20"/>
          <w:szCs w:val="20"/>
        </w:rPr>
        <w:t>“</w:t>
      </w:r>
      <w:r w:rsidR="00161E0C" w:rsidRPr="00B24750">
        <w:rPr>
          <w:rFonts w:asciiTheme="majorHAnsi" w:hAnsiTheme="majorHAnsi" w:cs="Arial"/>
          <w:sz w:val="20"/>
          <w:szCs w:val="20"/>
        </w:rPr>
        <w:t>T</w:t>
      </w:r>
      <w:r w:rsidRPr="00B24750">
        <w:rPr>
          <w:rFonts w:asciiTheme="majorHAnsi" w:hAnsiTheme="majorHAnsi" w:cs="Arial"/>
          <w:sz w:val="20"/>
          <w:szCs w:val="20"/>
        </w:rPr>
        <w:t xml:space="preserve">he State recognizes, respects, and guarantees </w:t>
      </w:r>
      <w:r w:rsidR="00666405" w:rsidRPr="00B24750">
        <w:rPr>
          <w:rFonts w:asciiTheme="majorHAnsi" w:hAnsiTheme="majorHAnsi" w:cs="Arial"/>
          <w:sz w:val="20"/>
          <w:szCs w:val="20"/>
        </w:rPr>
        <w:t>individual</w:t>
      </w:r>
      <w:r w:rsidRPr="00B24750">
        <w:rPr>
          <w:rFonts w:asciiTheme="majorHAnsi" w:hAnsiTheme="majorHAnsi" w:cs="Arial"/>
          <w:sz w:val="20"/>
          <w:szCs w:val="20"/>
        </w:rPr>
        <w:t xml:space="preserve"> freedom of thought, conscience, and expression. Conscientious </w:t>
      </w:r>
      <w:r w:rsidRPr="00B24750">
        <w:rPr>
          <w:rFonts w:asciiTheme="majorHAnsi" w:hAnsiTheme="majorHAnsi" w:cs="Arial"/>
          <w:sz w:val="20"/>
          <w:szCs w:val="20"/>
        </w:rPr>
        <w:lastRenderedPageBreak/>
        <w:t xml:space="preserve">objection may not be invoked </w:t>
      </w:r>
      <w:r w:rsidR="00666405" w:rsidRPr="00B24750">
        <w:rPr>
          <w:rFonts w:asciiTheme="majorHAnsi" w:hAnsiTheme="majorHAnsi" w:cs="Arial"/>
          <w:sz w:val="20"/>
          <w:szCs w:val="20"/>
        </w:rPr>
        <w:t>to evade</w:t>
      </w:r>
      <w:r w:rsidRPr="00B24750">
        <w:rPr>
          <w:rFonts w:asciiTheme="majorHAnsi" w:hAnsiTheme="majorHAnsi" w:cs="Arial"/>
          <w:sz w:val="20"/>
          <w:szCs w:val="20"/>
        </w:rPr>
        <w:t xml:space="preserve"> compliance with the law or prevent others from complying with it or exercising their rights.</w:t>
      </w:r>
      <w:r w:rsidR="00666405" w:rsidRPr="00B24750">
        <w:rPr>
          <w:rFonts w:asciiTheme="majorHAnsi" w:hAnsiTheme="majorHAnsi" w:cs="Arial"/>
          <w:sz w:val="20"/>
          <w:szCs w:val="20"/>
        </w:rPr>
        <w:t>”</w:t>
      </w:r>
      <w:r w:rsidRPr="00B24750">
        <w:rPr>
          <w:rFonts w:asciiTheme="majorHAnsi" w:hAnsiTheme="majorHAnsi" w:cs="Arial"/>
          <w:sz w:val="20"/>
          <w:szCs w:val="20"/>
        </w:rPr>
        <w:t xml:space="preserve"> </w:t>
      </w:r>
      <w:r w:rsidRPr="00B24750">
        <w:rPr>
          <w:rFonts w:asciiTheme="majorHAnsi" w:hAnsiTheme="majorHAnsi"/>
          <w:sz w:val="20"/>
          <w:szCs w:val="20"/>
        </w:rPr>
        <w:t>The general obligation of the State to recognize, respect</w:t>
      </w:r>
      <w:r w:rsidR="00666405" w:rsidRPr="00B24750">
        <w:rPr>
          <w:rFonts w:asciiTheme="majorHAnsi" w:hAnsiTheme="majorHAnsi"/>
          <w:sz w:val="20"/>
          <w:szCs w:val="20"/>
        </w:rPr>
        <w:t>,</w:t>
      </w:r>
      <w:r w:rsidRPr="00B24750">
        <w:rPr>
          <w:rFonts w:asciiTheme="majorHAnsi" w:hAnsiTheme="majorHAnsi"/>
          <w:sz w:val="20"/>
          <w:szCs w:val="20"/>
        </w:rPr>
        <w:t xml:space="preserve"> and guarantee freedom of thought, conscience</w:t>
      </w:r>
      <w:r w:rsidR="00666405" w:rsidRPr="00B24750">
        <w:rPr>
          <w:rFonts w:asciiTheme="majorHAnsi" w:hAnsiTheme="majorHAnsi"/>
          <w:sz w:val="20"/>
          <w:szCs w:val="20"/>
        </w:rPr>
        <w:t>,</w:t>
      </w:r>
      <w:r w:rsidRPr="00B24750">
        <w:rPr>
          <w:rFonts w:asciiTheme="majorHAnsi" w:hAnsiTheme="majorHAnsi"/>
          <w:sz w:val="20"/>
          <w:szCs w:val="20"/>
        </w:rPr>
        <w:t xml:space="preserve"> and expression was not expressly included in the 1976 Constitution, </w:t>
      </w:r>
      <w:r w:rsidR="006B3977" w:rsidRPr="00B24750">
        <w:rPr>
          <w:rFonts w:asciiTheme="majorHAnsi" w:hAnsiTheme="majorHAnsi"/>
          <w:sz w:val="20"/>
          <w:szCs w:val="20"/>
        </w:rPr>
        <w:t>nor does it contain</w:t>
      </w:r>
      <w:r w:rsidRPr="00B24750">
        <w:rPr>
          <w:rFonts w:asciiTheme="majorHAnsi" w:hAnsiTheme="majorHAnsi"/>
          <w:sz w:val="20"/>
          <w:szCs w:val="20"/>
        </w:rPr>
        <w:t xml:space="preserve"> a similar provision</w:t>
      </w:r>
      <w:r w:rsidR="00A975E0" w:rsidRPr="00B24750">
        <w:rPr>
          <w:rFonts w:asciiTheme="majorHAnsi" w:hAnsiTheme="majorHAnsi"/>
          <w:sz w:val="20"/>
          <w:szCs w:val="20"/>
        </w:rPr>
        <w:t>.</w:t>
      </w:r>
      <w:r w:rsidR="00A975E0" w:rsidRPr="00B24750">
        <w:rPr>
          <w:rFonts w:asciiTheme="majorHAnsi" w:hAnsiTheme="majorHAnsi" w:cs="Arial"/>
          <w:sz w:val="20"/>
          <w:szCs w:val="20"/>
        </w:rPr>
        <w:t xml:space="preserve"> </w:t>
      </w:r>
    </w:p>
    <w:p w14:paraId="2C2EA26A" w14:textId="77777777" w:rsidR="00BD32C9" w:rsidRPr="00B24750" w:rsidRDefault="00BD32C9" w:rsidP="009D14E7">
      <w:pPr>
        <w:pStyle w:val="ListParagraph"/>
        <w:autoSpaceDE w:val="0"/>
        <w:autoSpaceDN w:val="0"/>
        <w:adjustRightInd w:val="0"/>
        <w:ind w:left="0"/>
        <w:jc w:val="both"/>
        <w:rPr>
          <w:rFonts w:asciiTheme="majorHAnsi" w:hAnsiTheme="majorHAnsi"/>
          <w:color w:val="auto"/>
          <w:sz w:val="20"/>
          <w:szCs w:val="20"/>
        </w:rPr>
      </w:pPr>
    </w:p>
    <w:p w14:paraId="619E7FEB" w14:textId="25076553" w:rsidR="00A975E0" w:rsidRPr="00B24750" w:rsidRDefault="00161E0C"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s="Arial"/>
          <w:sz w:val="20"/>
          <w:szCs w:val="20"/>
        </w:rPr>
        <w:t xml:space="preserve">Article 55 of the new Constitution replaces Article 53 of the 1976 Constitution and establishes that: “Freedom of the press is recognized. This right is exercised </w:t>
      </w:r>
      <w:r w:rsidR="00F5206A" w:rsidRPr="00B24750">
        <w:rPr>
          <w:rFonts w:asciiTheme="majorHAnsi" w:hAnsiTheme="majorHAnsi" w:cs="Arial"/>
          <w:sz w:val="20"/>
          <w:szCs w:val="20"/>
        </w:rPr>
        <w:t>according to</w:t>
      </w:r>
      <w:r w:rsidRPr="00B24750">
        <w:rPr>
          <w:rFonts w:asciiTheme="majorHAnsi" w:hAnsiTheme="majorHAnsi" w:cs="Arial"/>
          <w:sz w:val="20"/>
          <w:szCs w:val="20"/>
        </w:rPr>
        <w:t xml:space="preserve"> the law and </w:t>
      </w:r>
      <w:r w:rsidR="00F5206A" w:rsidRPr="00B24750">
        <w:rPr>
          <w:rFonts w:asciiTheme="majorHAnsi" w:hAnsiTheme="majorHAnsi" w:cs="Arial"/>
          <w:sz w:val="20"/>
          <w:szCs w:val="20"/>
        </w:rPr>
        <w:t>for</w:t>
      </w:r>
      <w:r w:rsidRPr="00B24750">
        <w:rPr>
          <w:rFonts w:asciiTheme="majorHAnsi" w:hAnsiTheme="majorHAnsi" w:cs="Arial"/>
          <w:sz w:val="20"/>
          <w:szCs w:val="20"/>
        </w:rPr>
        <w:t xml:space="preserve"> </w:t>
      </w:r>
      <w:r w:rsidR="00F5206A" w:rsidRPr="00B24750">
        <w:rPr>
          <w:rFonts w:asciiTheme="majorHAnsi" w:hAnsiTheme="majorHAnsi" w:cs="Arial"/>
          <w:sz w:val="20"/>
          <w:szCs w:val="20"/>
        </w:rPr>
        <w:t xml:space="preserve">the </w:t>
      </w:r>
      <w:r w:rsidRPr="00B24750">
        <w:rPr>
          <w:rFonts w:asciiTheme="majorHAnsi" w:hAnsiTheme="majorHAnsi" w:cs="Arial"/>
          <w:sz w:val="20"/>
          <w:szCs w:val="20"/>
        </w:rPr>
        <w:t xml:space="preserve">purposes of society. The fundamental means of social communication, in any of </w:t>
      </w:r>
      <w:r w:rsidR="00F5206A" w:rsidRPr="00B24750">
        <w:rPr>
          <w:rFonts w:asciiTheme="majorHAnsi" w:hAnsiTheme="majorHAnsi" w:cs="Arial"/>
          <w:sz w:val="20"/>
          <w:szCs w:val="20"/>
        </w:rPr>
        <w:t>their</w:t>
      </w:r>
      <w:r w:rsidRPr="00B24750">
        <w:rPr>
          <w:rFonts w:asciiTheme="majorHAnsi" w:hAnsiTheme="majorHAnsi" w:cs="Arial"/>
          <w:sz w:val="20"/>
          <w:szCs w:val="20"/>
        </w:rPr>
        <w:t xml:space="preserve"> </w:t>
      </w:r>
      <w:r w:rsidR="00F5206A" w:rsidRPr="00B24750">
        <w:rPr>
          <w:rFonts w:asciiTheme="majorHAnsi" w:hAnsiTheme="majorHAnsi" w:cs="Arial"/>
          <w:sz w:val="20"/>
          <w:szCs w:val="20"/>
        </w:rPr>
        <w:t>forms</w:t>
      </w:r>
      <w:r w:rsidRPr="00B24750">
        <w:rPr>
          <w:rFonts w:asciiTheme="majorHAnsi" w:hAnsiTheme="majorHAnsi" w:cs="Arial"/>
          <w:sz w:val="20"/>
          <w:szCs w:val="20"/>
        </w:rPr>
        <w:t xml:space="preserve">, are </w:t>
      </w:r>
      <w:r w:rsidR="00F5206A" w:rsidRPr="00B24750">
        <w:rPr>
          <w:rFonts w:asciiTheme="majorHAnsi" w:hAnsiTheme="majorHAnsi" w:cs="Arial"/>
          <w:sz w:val="20"/>
          <w:szCs w:val="20"/>
        </w:rPr>
        <w:t xml:space="preserve">the </w:t>
      </w:r>
      <w:r w:rsidRPr="00B24750">
        <w:rPr>
          <w:rFonts w:asciiTheme="majorHAnsi" w:hAnsiTheme="majorHAnsi" w:cs="Arial"/>
          <w:sz w:val="20"/>
          <w:szCs w:val="20"/>
        </w:rPr>
        <w:t>socialist property of all people or of political, social</w:t>
      </w:r>
      <w:r w:rsidR="00F5206A" w:rsidRPr="00B24750">
        <w:rPr>
          <w:rFonts w:asciiTheme="majorHAnsi" w:hAnsiTheme="majorHAnsi" w:cs="Arial"/>
          <w:sz w:val="20"/>
          <w:szCs w:val="20"/>
        </w:rPr>
        <w:t>,</w:t>
      </w:r>
      <w:r w:rsidRPr="00B24750">
        <w:rPr>
          <w:rFonts w:asciiTheme="majorHAnsi" w:hAnsiTheme="majorHAnsi" w:cs="Arial"/>
          <w:sz w:val="20"/>
          <w:szCs w:val="20"/>
        </w:rPr>
        <w:t xml:space="preserve"> and mass organizations</w:t>
      </w:r>
      <w:r w:rsidR="00F5206A" w:rsidRPr="00B24750">
        <w:rPr>
          <w:rFonts w:asciiTheme="majorHAnsi" w:hAnsiTheme="majorHAnsi" w:cs="Arial"/>
          <w:sz w:val="20"/>
          <w:szCs w:val="20"/>
        </w:rPr>
        <w:t>; they</w:t>
      </w:r>
      <w:r w:rsidRPr="00B24750">
        <w:rPr>
          <w:rFonts w:asciiTheme="majorHAnsi" w:hAnsiTheme="majorHAnsi" w:cs="Arial"/>
          <w:sz w:val="20"/>
          <w:szCs w:val="20"/>
        </w:rPr>
        <w:t xml:space="preserve"> are</w:t>
      </w:r>
      <w:r w:rsidR="00F5206A" w:rsidRPr="00B24750">
        <w:rPr>
          <w:rFonts w:asciiTheme="majorHAnsi" w:hAnsiTheme="majorHAnsi" w:cs="Arial"/>
          <w:sz w:val="20"/>
          <w:szCs w:val="20"/>
        </w:rPr>
        <w:t xml:space="preserve"> not</w:t>
      </w:r>
      <w:r w:rsidRPr="00B24750">
        <w:rPr>
          <w:rFonts w:asciiTheme="majorHAnsi" w:hAnsiTheme="majorHAnsi" w:cs="Arial"/>
          <w:sz w:val="20"/>
          <w:szCs w:val="20"/>
        </w:rPr>
        <w:t xml:space="preserve"> subject to any other type of ownership. The State establishes the principles of organization and operation for all m</w:t>
      </w:r>
      <w:r w:rsidR="00F5206A" w:rsidRPr="00B24750">
        <w:rPr>
          <w:rFonts w:asciiTheme="majorHAnsi" w:hAnsiTheme="majorHAnsi" w:cs="Arial"/>
          <w:sz w:val="20"/>
          <w:szCs w:val="20"/>
        </w:rPr>
        <w:t>eans of social communication</w:t>
      </w:r>
      <w:r w:rsidRPr="00B24750">
        <w:rPr>
          <w:rFonts w:asciiTheme="majorHAnsi" w:hAnsiTheme="majorHAnsi" w:cs="Arial"/>
          <w:sz w:val="20"/>
          <w:szCs w:val="20"/>
        </w:rPr>
        <w:t>.”</w:t>
      </w:r>
    </w:p>
    <w:p w14:paraId="189E4AEB" w14:textId="77777777" w:rsidR="00A975E0" w:rsidRPr="00B24750" w:rsidRDefault="00A975E0" w:rsidP="009D14E7">
      <w:pPr>
        <w:pStyle w:val="NormalWeb"/>
        <w:autoSpaceDE w:val="0"/>
        <w:autoSpaceDN w:val="0"/>
        <w:adjustRightInd w:val="0"/>
        <w:spacing w:before="0" w:beforeAutospacing="0" w:after="0" w:afterAutospacing="0"/>
        <w:jc w:val="both"/>
        <w:rPr>
          <w:rFonts w:asciiTheme="majorHAnsi" w:hAnsiTheme="majorHAnsi" w:cs="Arial"/>
          <w:sz w:val="20"/>
          <w:szCs w:val="20"/>
        </w:rPr>
      </w:pPr>
    </w:p>
    <w:p w14:paraId="00C33B4B" w14:textId="695D2BBA" w:rsidR="00E03C2A" w:rsidRPr="00B24750" w:rsidRDefault="00E03C2A" w:rsidP="009D14E7">
      <w:pPr>
        <w:pStyle w:val="ListParagraph"/>
        <w:numPr>
          <w:ilvl w:val="0"/>
          <w:numId w:val="55"/>
        </w:numPr>
        <w:autoSpaceDE w:val="0"/>
        <w:autoSpaceDN w:val="0"/>
        <w:adjustRightInd w:val="0"/>
        <w:ind w:firstLine="0"/>
        <w:jc w:val="both"/>
        <w:rPr>
          <w:rFonts w:asciiTheme="majorHAnsi" w:hAnsiTheme="majorHAnsi" w:cs="Times New Roman"/>
          <w:color w:val="auto"/>
          <w:sz w:val="20"/>
          <w:szCs w:val="20"/>
        </w:rPr>
      </w:pPr>
      <w:r w:rsidRPr="00B24750">
        <w:rPr>
          <w:rFonts w:asciiTheme="majorHAnsi" w:hAnsiTheme="majorHAnsi" w:cs="Arial"/>
          <w:color w:val="auto"/>
          <w:sz w:val="20"/>
          <w:szCs w:val="20"/>
        </w:rPr>
        <w:t xml:space="preserve">The new Constitution keeps </w:t>
      </w:r>
      <w:r w:rsidRPr="00B24750">
        <w:rPr>
          <w:rFonts w:asciiTheme="majorHAnsi" w:hAnsiTheme="majorHAnsi"/>
          <w:color w:val="auto"/>
          <w:sz w:val="20"/>
          <w:szCs w:val="20"/>
        </w:rPr>
        <w:t>the current legal system’s main restrictions on freedom of expression. A</w:t>
      </w:r>
      <w:r w:rsidR="00B6364E" w:rsidRPr="00B24750">
        <w:rPr>
          <w:rFonts w:asciiTheme="majorHAnsi" w:hAnsiTheme="majorHAnsi"/>
          <w:color w:val="auto"/>
          <w:sz w:val="20"/>
          <w:szCs w:val="20"/>
        </w:rPr>
        <w:t>lthough A</w:t>
      </w:r>
      <w:r w:rsidRPr="00B24750">
        <w:rPr>
          <w:rFonts w:asciiTheme="majorHAnsi" w:hAnsiTheme="majorHAnsi"/>
          <w:color w:val="auto"/>
          <w:sz w:val="20"/>
          <w:szCs w:val="20"/>
        </w:rPr>
        <w:t xml:space="preserve">rticle 55 </w:t>
      </w:r>
      <w:r w:rsidR="006E7EFA" w:rsidRPr="00B24750">
        <w:rPr>
          <w:rFonts w:asciiTheme="majorHAnsi" w:hAnsiTheme="majorHAnsi"/>
          <w:color w:val="auto"/>
          <w:sz w:val="20"/>
          <w:szCs w:val="20"/>
        </w:rPr>
        <w:t>no longer</w:t>
      </w:r>
      <w:r w:rsidRPr="00B24750">
        <w:rPr>
          <w:rFonts w:asciiTheme="majorHAnsi" w:hAnsiTheme="majorHAnsi"/>
          <w:color w:val="auto"/>
          <w:sz w:val="20"/>
          <w:szCs w:val="20"/>
        </w:rPr>
        <w:t xml:space="preserve"> expressly establish</w:t>
      </w:r>
      <w:r w:rsidR="006E7EFA" w:rsidRPr="00B24750">
        <w:rPr>
          <w:rFonts w:asciiTheme="majorHAnsi" w:hAnsiTheme="majorHAnsi"/>
          <w:color w:val="auto"/>
          <w:sz w:val="20"/>
          <w:szCs w:val="20"/>
        </w:rPr>
        <w:t>es</w:t>
      </w:r>
      <w:r w:rsidRPr="00B24750">
        <w:rPr>
          <w:rFonts w:asciiTheme="majorHAnsi" w:hAnsiTheme="majorHAnsi"/>
          <w:color w:val="auto"/>
          <w:sz w:val="20"/>
          <w:szCs w:val="20"/>
        </w:rPr>
        <w:t xml:space="preserve"> that freedom of the press </w:t>
      </w:r>
      <w:r w:rsidR="006E7EFA" w:rsidRPr="00B24750">
        <w:rPr>
          <w:rFonts w:asciiTheme="majorHAnsi" w:hAnsiTheme="majorHAnsi"/>
          <w:color w:val="auto"/>
          <w:sz w:val="20"/>
          <w:szCs w:val="20"/>
        </w:rPr>
        <w:t>is</w:t>
      </w:r>
      <w:r w:rsidRPr="00B24750">
        <w:rPr>
          <w:rFonts w:asciiTheme="majorHAnsi" w:hAnsiTheme="majorHAnsi"/>
          <w:color w:val="auto"/>
          <w:sz w:val="20"/>
          <w:szCs w:val="20"/>
        </w:rPr>
        <w:t xml:space="preserve"> subject to the “</w:t>
      </w:r>
      <w:r w:rsidR="006E7EFA" w:rsidRPr="00B24750">
        <w:rPr>
          <w:rFonts w:asciiTheme="majorHAnsi" w:hAnsiTheme="majorHAnsi"/>
          <w:color w:val="auto"/>
          <w:sz w:val="20"/>
          <w:szCs w:val="20"/>
        </w:rPr>
        <w:t>objectives</w:t>
      </w:r>
      <w:r w:rsidRPr="00B24750">
        <w:rPr>
          <w:rFonts w:asciiTheme="majorHAnsi" w:hAnsiTheme="majorHAnsi"/>
          <w:color w:val="auto"/>
          <w:sz w:val="20"/>
          <w:szCs w:val="20"/>
        </w:rPr>
        <w:t xml:space="preserve"> of socialist society,” it maintains the prohibition of private (non-state) media ownership. As this article expressly states, the media “are the socialist property of all people.” Under the new Constitution, the Communist Party remains the sole party and the </w:t>
      </w:r>
      <w:r w:rsidRPr="00B24750">
        <w:rPr>
          <w:rFonts w:asciiTheme="majorHAnsi" w:hAnsiTheme="majorHAnsi" w:cs="Arial"/>
          <w:color w:val="auto"/>
          <w:sz w:val="20"/>
          <w:szCs w:val="20"/>
          <w:shd w:val="clear" w:color="auto" w:fill="FFFFFF"/>
        </w:rPr>
        <w:t xml:space="preserve">highest leading political </w:t>
      </w:r>
      <w:r w:rsidRPr="00B24750">
        <w:rPr>
          <w:rFonts w:asciiTheme="majorHAnsi" w:hAnsiTheme="majorHAnsi"/>
          <w:color w:val="auto"/>
          <w:sz w:val="20"/>
          <w:szCs w:val="20"/>
        </w:rPr>
        <w:t xml:space="preserve">force </w:t>
      </w:r>
      <w:r w:rsidRPr="00B24750">
        <w:rPr>
          <w:rFonts w:asciiTheme="majorHAnsi" w:hAnsiTheme="majorHAnsi" w:cs="Arial"/>
          <w:color w:val="auto"/>
          <w:sz w:val="20"/>
          <w:szCs w:val="20"/>
          <w:shd w:val="clear" w:color="auto" w:fill="FFFFFF"/>
        </w:rPr>
        <w:t xml:space="preserve">in society and the State. The new Constitution also maintains other provisions </w:t>
      </w:r>
      <w:r w:rsidRPr="00B24750">
        <w:rPr>
          <w:rFonts w:asciiTheme="majorHAnsi" w:hAnsiTheme="majorHAnsi"/>
          <w:color w:val="auto"/>
          <w:sz w:val="20"/>
          <w:szCs w:val="20"/>
        </w:rPr>
        <w:t>that prevent political pluralism and non-state ownership of the media</w:t>
      </w:r>
      <w:r w:rsidR="00A605B1" w:rsidRPr="00B24750">
        <w:rPr>
          <w:rFonts w:asciiTheme="majorHAnsi" w:hAnsiTheme="majorHAnsi"/>
          <w:color w:val="auto"/>
          <w:sz w:val="20"/>
          <w:szCs w:val="20"/>
        </w:rPr>
        <w:t xml:space="preserve"> in any of its forms</w:t>
      </w:r>
      <w:r w:rsidRPr="00B24750">
        <w:rPr>
          <w:rFonts w:asciiTheme="majorHAnsi" w:hAnsiTheme="majorHAnsi"/>
          <w:color w:val="auto"/>
          <w:sz w:val="20"/>
          <w:szCs w:val="20"/>
        </w:rPr>
        <w:t xml:space="preserve">. </w:t>
      </w:r>
      <w:r w:rsidR="00B2758F" w:rsidRPr="00B24750">
        <w:rPr>
          <w:rFonts w:asciiTheme="majorHAnsi" w:hAnsiTheme="majorHAnsi"/>
          <w:color w:val="auto"/>
          <w:sz w:val="20"/>
          <w:szCs w:val="20"/>
        </w:rPr>
        <w:t>Moreover, t</w:t>
      </w:r>
      <w:r w:rsidRPr="00B24750">
        <w:rPr>
          <w:rFonts w:asciiTheme="majorHAnsi" w:hAnsiTheme="majorHAnsi"/>
          <w:color w:val="auto"/>
          <w:sz w:val="20"/>
          <w:szCs w:val="20"/>
        </w:rPr>
        <w:t>he reform fails to establish judicial actions to guarantee or protect the exercise of fundamental freedoms.</w:t>
      </w:r>
      <w:r w:rsidRPr="00B24750">
        <w:rPr>
          <w:rStyle w:val="FootnoteReference"/>
          <w:rFonts w:asciiTheme="majorHAnsi" w:hAnsiTheme="majorHAnsi"/>
          <w:color w:val="auto"/>
          <w:sz w:val="20"/>
          <w:szCs w:val="20"/>
        </w:rPr>
        <w:footnoteReference w:id="34"/>
      </w:r>
    </w:p>
    <w:p w14:paraId="7E38BE24" w14:textId="77777777" w:rsidR="00A975E0" w:rsidRPr="00B24750" w:rsidRDefault="00A975E0" w:rsidP="00A975E0">
      <w:pPr>
        <w:pStyle w:val="NormalWeb"/>
        <w:spacing w:before="0" w:beforeAutospacing="0" w:after="0" w:afterAutospacing="0"/>
        <w:jc w:val="both"/>
        <w:textAlignment w:val="baseline"/>
        <w:rPr>
          <w:rFonts w:asciiTheme="majorHAnsi" w:hAnsiTheme="majorHAnsi" w:cs="Arial"/>
          <w:color w:val="2B2B2B"/>
          <w:sz w:val="20"/>
          <w:szCs w:val="20"/>
        </w:rPr>
      </w:pPr>
    </w:p>
    <w:p w14:paraId="7335712C" w14:textId="0B9982B2" w:rsidR="00FD1FF8" w:rsidRPr="00F66452" w:rsidRDefault="00BE36F9" w:rsidP="00F66452">
      <w:pPr>
        <w:pStyle w:val="Heading2"/>
        <w:rPr>
          <w:rFonts w:eastAsia="Arial Unicode MS"/>
        </w:rPr>
      </w:pPr>
      <w:bookmarkStart w:id="13" w:name="_Toc90392467"/>
      <w:r w:rsidRPr="00F66452">
        <w:rPr>
          <w:rFonts w:eastAsia="Arial Unicode MS"/>
        </w:rPr>
        <w:t xml:space="preserve">Context </w:t>
      </w:r>
      <w:r w:rsidR="00B2758F" w:rsidRPr="00F66452">
        <w:rPr>
          <w:rFonts w:eastAsia="Arial Unicode MS"/>
        </w:rPr>
        <w:t xml:space="preserve">of persecution of dissident political journalists in </w:t>
      </w:r>
      <w:r w:rsidR="00B44D0F" w:rsidRPr="00F66452">
        <w:rPr>
          <w:rFonts w:eastAsia="Arial Unicode MS"/>
        </w:rPr>
        <w:t>Cuba</w:t>
      </w:r>
      <w:bookmarkEnd w:id="13"/>
    </w:p>
    <w:p w14:paraId="4F73F1F0" w14:textId="77777777" w:rsidR="00810F85" w:rsidRPr="00B24750" w:rsidRDefault="00810F85" w:rsidP="00810F85">
      <w:pPr>
        <w:rPr>
          <w:rFonts w:asciiTheme="majorHAnsi" w:hAnsiTheme="majorHAnsi"/>
          <w:lang w:val="en-US"/>
        </w:rPr>
      </w:pPr>
    </w:p>
    <w:p w14:paraId="34C995F8" w14:textId="1797118A" w:rsidR="00F51B15" w:rsidRPr="00B24750" w:rsidRDefault="00F51B15"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Cuba was repeatedly included in Chapter IV.B of the Annual Report from 1984 to 1994</w:t>
      </w:r>
      <w:r w:rsidRPr="00B24750">
        <w:rPr>
          <w:rFonts w:asciiTheme="majorHAnsi" w:hAnsiTheme="majorHAnsi"/>
          <w:sz w:val="20"/>
          <w:szCs w:val="20"/>
        </w:rPr>
        <w:t xml:space="preserve">, and continuously from 1996 to 2020, because </w:t>
      </w:r>
      <w:r w:rsidR="00CC53AE" w:rsidRPr="00CC53AE">
        <w:rPr>
          <w:rFonts w:asciiTheme="majorHAnsi" w:hAnsiTheme="majorHAnsi"/>
          <w:sz w:val="20"/>
          <w:szCs w:val="20"/>
        </w:rPr>
        <w:t>the Commission has verified the existence of serious violations of fundamental rights</w:t>
      </w:r>
      <w:r w:rsidRPr="00B24750">
        <w:rPr>
          <w:rFonts w:asciiTheme="majorHAnsi" w:hAnsiTheme="majorHAnsi"/>
          <w:sz w:val="20"/>
          <w:szCs w:val="20"/>
        </w:rPr>
        <w:t>; massive, gross, and systematic violations of the human rights guaranteed in the American Declaration; and violations against institutions of representative democracy, such as the separation of powers.</w:t>
      </w:r>
    </w:p>
    <w:p w14:paraId="550FA4CB" w14:textId="77777777" w:rsidR="00F51B15" w:rsidRPr="00B24750" w:rsidRDefault="00F51B15" w:rsidP="009D14E7">
      <w:pPr>
        <w:pStyle w:val="ListParagraph"/>
        <w:autoSpaceDE w:val="0"/>
        <w:autoSpaceDN w:val="0"/>
        <w:adjustRightInd w:val="0"/>
        <w:ind w:left="0"/>
        <w:jc w:val="both"/>
        <w:rPr>
          <w:rFonts w:asciiTheme="majorHAnsi" w:hAnsiTheme="majorHAnsi"/>
          <w:color w:val="auto"/>
          <w:sz w:val="20"/>
          <w:szCs w:val="20"/>
        </w:rPr>
      </w:pPr>
    </w:p>
    <w:p w14:paraId="44308830" w14:textId="5008E7DB" w:rsidR="00FE05C7" w:rsidRPr="00B24750" w:rsidRDefault="00186950"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 xml:space="preserve">The one-party system, which subordinates the exercise of human rights to socialist </w:t>
      </w:r>
      <w:r w:rsidR="001E7F1C" w:rsidRPr="00B24750">
        <w:rPr>
          <w:rFonts w:asciiTheme="majorHAnsi" w:hAnsiTheme="majorHAnsi"/>
          <w:color w:val="auto"/>
          <w:sz w:val="20"/>
          <w:szCs w:val="20"/>
        </w:rPr>
        <w:t>objectives</w:t>
      </w:r>
      <w:r w:rsidRPr="00B24750">
        <w:rPr>
          <w:rFonts w:asciiTheme="majorHAnsi" w:hAnsiTheme="majorHAnsi"/>
          <w:color w:val="auto"/>
          <w:sz w:val="20"/>
          <w:szCs w:val="20"/>
        </w:rPr>
        <w:t>, has suppressed the voices of government critics who have tried to express themselves and engage in the conduct of the country’s affairs</w:t>
      </w:r>
      <w:r w:rsidRPr="00B24750">
        <w:rPr>
          <w:rFonts w:asciiTheme="majorHAnsi" w:hAnsiTheme="majorHAnsi"/>
          <w:sz w:val="20"/>
          <w:szCs w:val="20"/>
        </w:rPr>
        <w:t>. The prohibition on association for political purposes and arbitrary restrictions on freedom of expression, the right of assembly, the right of movement, and due process, among other fundamental rights, are very common on the island.</w:t>
      </w:r>
      <w:r w:rsidRPr="00B24750">
        <w:rPr>
          <w:rStyle w:val="FootnoteReference"/>
          <w:rFonts w:asciiTheme="majorHAnsi" w:hAnsiTheme="majorHAnsi"/>
          <w:sz w:val="20"/>
          <w:szCs w:val="20"/>
        </w:rPr>
        <w:footnoteReference w:id="35"/>
      </w:r>
      <w:r w:rsidRPr="00B24750">
        <w:rPr>
          <w:rFonts w:asciiTheme="majorHAnsi" w:hAnsiTheme="majorHAnsi"/>
          <w:sz w:val="20"/>
          <w:szCs w:val="20"/>
        </w:rPr>
        <w:t xml:space="preserve"> </w:t>
      </w:r>
      <w:r w:rsidR="000E3FFC" w:rsidRPr="00B24750">
        <w:rPr>
          <w:rFonts w:asciiTheme="majorHAnsi" w:hAnsiTheme="majorHAnsi"/>
          <w:color w:val="auto"/>
          <w:sz w:val="20"/>
          <w:szCs w:val="20"/>
        </w:rPr>
        <w:t xml:space="preserve">In recent decades, including the years referred to in the </w:t>
      </w:r>
      <w:r w:rsidR="006E62A8">
        <w:rPr>
          <w:rFonts w:asciiTheme="majorHAnsi" w:hAnsiTheme="majorHAnsi"/>
          <w:color w:val="auto"/>
          <w:sz w:val="20"/>
          <w:szCs w:val="20"/>
        </w:rPr>
        <w:t>facts</w:t>
      </w:r>
      <w:r w:rsidR="005B6176">
        <w:rPr>
          <w:rFonts w:asciiTheme="majorHAnsi" w:hAnsiTheme="majorHAnsi"/>
          <w:color w:val="auto"/>
          <w:sz w:val="20"/>
          <w:szCs w:val="20"/>
        </w:rPr>
        <w:t xml:space="preserve"> alleged</w:t>
      </w:r>
      <w:r w:rsidR="000E3FFC" w:rsidRPr="00B24750">
        <w:rPr>
          <w:rFonts w:asciiTheme="majorHAnsi" w:hAnsiTheme="majorHAnsi"/>
          <w:color w:val="auto"/>
          <w:sz w:val="20"/>
          <w:szCs w:val="20"/>
        </w:rPr>
        <w:t xml:space="preserve">, the Commission has </w:t>
      </w:r>
      <w:r w:rsidR="00CA7797" w:rsidRPr="00CA7797">
        <w:rPr>
          <w:rFonts w:asciiTheme="majorHAnsi" w:hAnsiTheme="majorHAnsi"/>
          <w:color w:val="auto"/>
          <w:sz w:val="20"/>
          <w:szCs w:val="20"/>
        </w:rPr>
        <w:t>verified the serious context of repression in which journalists, human rights defenders</w:t>
      </w:r>
      <w:r w:rsidR="00CA7797">
        <w:rPr>
          <w:rFonts w:asciiTheme="majorHAnsi" w:hAnsiTheme="majorHAnsi"/>
          <w:color w:val="auto"/>
          <w:sz w:val="20"/>
          <w:szCs w:val="20"/>
        </w:rPr>
        <w:t>,</w:t>
      </w:r>
      <w:r w:rsidR="00CA7797" w:rsidRPr="00CA7797">
        <w:rPr>
          <w:rFonts w:asciiTheme="majorHAnsi" w:hAnsiTheme="majorHAnsi"/>
          <w:color w:val="auto"/>
          <w:sz w:val="20"/>
          <w:szCs w:val="20"/>
        </w:rPr>
        <w:t xml:space="preserve"> and political dissidents find themselves in Cuba, especially with regard to the exercise of their right to freedom of expression and related rights.</w:t>
      </w:r>
      <w:r w:rsidR="00CA7797">
        <w:rPr>
          <w:rFonts w:asciiTheme="majorHAnsi" w:hAnsiTheme="majorHAnsi"/>
          <w:color w:val="auto"/>
          <w:sz w:val="20"/>
          <w:szCs w:val="20"/>
        </w:rPr>
        <w:t xml:space="preserve"> </w:t>
      </w:r>
      <w:r w:rsidR="000E3FFC" w:rsidRPr="00B24750">
        <w:rPr>
          <w:rFonts w:asciiTheme="majorHAnsi" w:hAnsiTheme="majorHAnsi"/>
          <w:color w:val="auto"/>
          <w:sz w:val="20"/>
          <w:szCs w:val="20"/>
        </w:rPr>
        <w:t>Restrictions on access to online content</w:t>
      </w:r>
      <w:r w:rsidR="000E3FFC" w:rsidRPr="00B24750">
        <w:rPr>
          <w:rFonts w:asciiTheme="majorHAnsi" w:hAnsiTheme="majorHAnsi"/>
          <w:i/>
          <w:iCs/>
          <w:color w:val="auto"/>
          <w:sz w:val="20"/>
          <w:szCs w:val="20"/>
        </w:rPr>
        <w:t xml:space="preserve">, </w:t>
      </w:r>
      <w:r w:rsidR="000E3FFC" w:rsidRPr="00B24750">
        <w:rPr>
          <w:rFonts w:asciiTheme="majorHAnsi" w:hAnsiTheme="majorHAnsi"/>
          <w:color w:val="auto"/>
          <w:sz w:val="20"/>
          <w:szCs w:val="20"/>
        </w:rPr>
        <w:t xml:space="preserve">harassment, criminalization, and arbitrary detentions are </w:t>
      </w:r>
      <w:r w:rsidR="00FA424B" w:rsidRPr="00B24750">
        <w:rPr>
          <w:rFonts w:asciiTheme="majorHAnsi" w:hAnsiTheme="majorHAnsi"/>
          <w:color w:val="auto"/>
          <w:sz w:val="20"/>
          <w:szCs w:val="20"/>
        </w:rPr>
        <w:t xml:space="preserve">among the </w:t>
      </w:r>
      <w:r w:rsidR="000E3FFC" w:rsidRPr="00B24750">
        <w:rPr>
          <w:rFonts w:asciiTheme="majorHAnsi" w:hAnsiTheme="majorHAnsi"/>
          <w:color w:val="auto"/>
          <w:sz w:val="20"/>
          <w:szCs w:val="20"/>
        </w:rPr>
        <w:t>practices carried out in Cuba against such persons.</w:t>
      </w:r>
      <w:r w:rsidR="000E3FFC" w:rsidRPr="00B24750">
        <w:rPr>
          <w:rStyle w:val="FootnoteReference"/>
          <w:rFonts w:asciiTheme="majorHAnsi" w:hAnsiTheme="majorHAnsi"/>
          <w:color w:val="auto"/>
          <w:sz w:val="20"/>
          <w:szCs w:val="20"/>
        </w:rPr>
        <w:footnoteReference w:id="36"/>
      </w:r>
      <w:r w:rsidR="00FE05C7" w:rsidRPr="00B24750">
        <w:rPr>
          <w:rFonts w:asciiTheme="majorHAnsi" w:hAnsiTheme="majorHAnsi"/>
          <w:sz w:val="20"/>
          <w:szCs w:val="20"/>
        </w:rPr>
        <w:t xml:space="preserve"> </w:t>
      </w:r>
    </w:p>
    <w:p w14:paraId="5D346044" w14:textId="77777777" w:rsidR="00C83DD7" w:rsidRPr="00B24750" w:rsidRDefault="00C83DD7" w:rsidP="009D14E7">
      <w:pPr>
        <w:pStyle w:val="ListParagraph"/>
        <w:autoSpaceDE w:val="0"/>
        <w:autoSpaceDN w:val="0"/>
        <w:adjustRightInd w:val="0"/>
        <w:ind w:left="0"/>
        <w:jc w:val="both"/>
        <w:rPr>
          <w:rFonts w:asciiTheme="majorHAnsi" w:hAnsiTheme="majorHAnsi"/>
          <w:color w:val="auto"/>
          <w:sz w:val="20"/>
          <w:szCs w:val="20"/>
        </w:rPr>
      </w:pPr>
    </w:p>
    <w:p w14:paraId="4EEDD6D6" w14:textId="1F8E659A" w:rsidR="00C83DD7" w:rsidRPr="00B24750" w:rsidRDefault="00C83DD7"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sz w:val="20"/>
          <w:szCs w:val="20"/>
        </w:rPr>
        <w:t xml:space="preserve">Cuba has remained for decades among the countries of the Hemisphere </w:t>
      </w:r>
      <w:r w:rsidR="000F3984" w:rsidRPr="00B24750">
        <w:rPr>
          <w:rFonts w:asciiTheme="majorHAnsi" w:hAnsiTheme="majorHAnsi"/>
          <w:sz w:val="20"/>
          <w:szCs w:val="20"/>
        </w:rPr>
        <w:t>with</w:t>
      </w:r>
      <w:r w:rsidRPr="00B24750">
        <w:rPr>
          <w:rFonts w:asciiTheme="majorHAnsi" w:hAnsiTheme="majorHAnsi"/>
          <w:sz w:val="20"/>
          <w:szCs w:val="20"/>
        </w:rPr>
        <w:t xml:space="preserve"> the worst </w:t>
      </w:r>
      <w:r w:rsidR="000F3984" w:rsidRPr="00B24750">
        <w:rPr>
          <w:rFonts w:asciiTheme="majorHAnsi" w:hAnsiTheme="majorHAnsi"/>
          <w:sz w:val="20"/>
          <w:szCs w:val="20"/>
        </w:rPr>
        <w:t>conditions</w:t>
      </w:r>
      <w:r w:rsidRPr="00B24750">
        <w:rPr>
          <w:rFonts w:asciiTheme="majorHAnsi" w:hAnsiTheme="majorHAnsi"/>
          <w:sz w:val="20"/>
          <w:szCs w:val="20"/>
        </w:rPr>
        <w:t xml:space="preserve"> and </w:t>
      </w:r>
      <w:r w:rsidR="000F3984" w:rsidRPr="00B24750">
        <w:rPr>
          <w:rFonts w:asciiTheme="majorHAnsi" w:hAnsiTheme="majorHAnsi"/>
          <w:sz w:val="20"/>
          <w:szCs w:val="20"/>
        </w:rPr>
        <w:t>least</w:t>
      </w:r>
      <w:r w:rsidRPr="00B24750">
        <w:rPr>
          <w:rFonts w:asciiTheme="majorHAnsi" w:hAnsiTheme="majorHAnsi"/>
          <w:sz w:val="20"/>
          <w:szCs w:val="20"/>
        </w:rPr>
        <w:t xml:space="preserve"> favorable environment for the exercise of the right</w:t>
      </w:r>
      <w:r w:rsidR="000F3984" w:rsidRPr="00B24750">
        <w:rPr>
          <w:rFonts w:asciiTheme="majorHAnsi" w:hAnsiTheme="majorHAnsi"/>
          <w:sz w:val="20"/>
          <w:szCs w:val="20"/>
        </w:rPr>
        <w:t xml:space="preserve"> to </w:t>
      </w:r>
      <w:r w:rsidRPr="00B24750">
        <w:rPr>
          <w:rFonts w:asciiTheme="majorHAnsi" w:hAnsiTheme="majorHAnsi"/>
          <w:sz w:val="20"/>
          <w:szCs w:val="20"/>
        </w:rPr>
        <w:t>freedom of expression.</w:t>
      </w:r>
      <w:r w:rsidR="000F3984" w:rsidRPr="00B24750">
        <w:rPr>
          <w:rFonts w:asciiTheme="majorHAnsi" w:hAnsiTheme="majorHAnsi"/>
          <w:sz w:val="20"/>
          <w:szCs w:val="20"/>
        </w:rPr>
        <w:t xml:space="preserve"> </w:t>
      </w:r>
      <w:r w:rsidRPr="00B24750">
        <w:rPr>
          <w:rFonts w:asciiTheme="majorHAnsi" w:hAnsiTheme="majorHAnsi"/>
          <w:sz w:val="20"/>
          <w:szCs w:val="20"/>
        </w:rPr>
        <w:t xml:space="preserve">The </w:t>
      </w:r>
      <w:r w:rsidR="000F3984" w:rsidRPr="00B24750">
        <w:rPr>
          <w:rFonts w:asciiTheme="majorHAnsi" w:hAnsiTheme="majorHAnsi"/>
          <w:sz w:val="20"/>
          <w:szCs w:val="20"/>
        </w:rPr>
        <w:t>international</w:t>
      </w:r>
      <w:r w:rsidRPr="00B24750">
        <w:rPr>
          <w:rFonts w:asciiTheme="majorHAnsi" w:hAnsiTheme="majorHAnsi"/>
          <w:sz w:val="20"/>
          <w:szCs w:val="20"/>
        </w:rPr>
        <w:t xml:space="preserve"> organization Reporters Without Borders</w:t>
      </w:r>
      <w:r w:rsidR="000F3984" w:rsidRPr="00B24750">
        <w:rPr>
          <w:rFonts w:asciiTheme="majorHAnsi" w:hAnsiTheme="majorHAnsi"/>
          <w:sz w:val="20"/>
          <w:szCs w:val="20"/>
        </w:rPr>
        <w:t xml:space="preserve"> </w:t>
      </w:r>
      <w:r w:rsidRPr="00B24750">
        <w:rPr>
          <w:rFonts w:asciiTheme="majorHAnsi" w:hAnsiTheme="majorHAnsi"/>
          <w:sz w:val="20"/>
          <w:szCs w:val="20"/>
        </w:rPr>
        <w:t xml:space="preserve">(RSF) </w:t>
      </w:r>
      <w:r w:rsidR="000F3984" w:rsidRPr="00B24750">
        <w:rPr>
          <w:rFonts w:asciiTheme="majorHAnsi" w:hAnsiTheme="majorHAnsi"/>
          <w:sz w:val="20"/>
          <w:szCs w:val="20"/>
        </w:rPr>
        <w:t>ranks</w:t>
      </w:r>
      <w:r w:rsidRPr="00B24750">
        <w:rPr>
          <w:rFonts w:asciiTheme="majorHAnsi" w:hAnsiTheme="majorHAnsi"/>
          <w:sz w:val="20"/>
          <w:szCs w:val="20"/>
        </w:rPr>
        <w:t xml:space="preserve"> Cuba 171</w:t>
      </w:r>
      <w:r w:rsidRPr="00B24750">
        <w:rPr>
          <w:rFonts w:asciiTheme="majorHAnsi" w:hAnsiTheme="majorHAnsi"/>
          <w:sz w:val="20"/>
          <w:szCs w:val="20"/>
          <w:vertAlign w:val="superscript"/>
        </w:rPr>
        <w:t>st</w:t>
      </w:r>
      <w:r w:rsidRPr="00B24750">
        <w:rPr>
          <w:rFonts w:asciiTheme="majorHAnsi" w:hAnsiTheme="majorHAnsi"/>
          <w:sz w:val="20"/>
          <w:szCs w:val="20"/>
        </w:rPr>
        <w:t xml:space="preserve"> out of 180 countries in</w:t>
      </w:r>
      <w:r w:rsidR="000F3984" w:rsidRPr="00B24750">
        <w:rPr>
          <w:rFonts w:asciiTheme="majorHAnsi" w:hAnsiTheme="majorHAnsi"/>
          <w:sz w:val="20"/>
          <w:szCs w:val="20"/>
        </w:rPr>
        <w:t xml:space="preserve"> its </w:t>
      </w:r>
      <w:r w:rsidRPr="00B24750">
        <w:rPr>
          <w:rFonts w:asciiTheme="majorHAnsi" w:hAnsiTheme="majorHAnsi"/>
          <w:sz w:val="20"/>
          <w:szCs w:val="20"/>
        </w:rPr>
        <w:t xml:space="preserve">2020 </w:t>
      </w:r>
      <w:r w:rsidR="000F3984" w:rsidRPr="00B24750">
        <w:rPr>
          <w:rFonts w:asciiTheme="majorHAnsi" w:hAnsiTheme="majorHAnsi"/>
          <w:sz w:val="20"/>
          <w:szCs w:val="20"/>
        </w:rPr>
        <w:t>global</w:t>
      </w:r>
      <w:r w:rsidRPr="00B24750">
        <w:rPr>
          <w:rFonts w:asciiTheme="majorHAnsi" w:hAnsiTheme="majorHAnsi"/>
          <w:sz w:val="20"/>
          <w:szCs w:val="20"/>
        </w:rPr>
        <w:t xml:space="preserve"> ranking, which it carries out based on the degree of freedom enjoyed by journalists</w:t>
      </w:r>
      <w:r w:rsidR="000F3984" w:rsidRPr="00B24750">
        <w:rPr>
          <w:rFonts w:asciiTheme="majorHAnsi" w:hAnsiTheme="majorHAnsi"/>
          <w:sz w:val="20"/>
          <w:szCs w:val="20"/>
        </w:rPr>
        <w:t>.</w:t>
      </w:r>
      <w:r w:rsidRPr="00B24750">
        <w:rPr>
          <w:rFonts w:asciiTheme="majorHAnsi" w:hAnsiTheme="majorHAnsi"/>
          <w:sz w:val="20"/>
          <w:szCs w:val="20"/>
        </w:rPr>
        <w:t xml:space="preserve"> Year after year</w:t>
      </w:r>
      <w:r w:rsidR="000F3984" w:rsidRPr="00B24750">
        <w:rPr>
          <w:rFonts w:asciiTheme="majorHAnsi" w:hAnsiTheme="majorHAnsi"/>
          <w:sz w:val="20"/>
          <w:szCs w:val="20"/>
        </w:rPr>
        <w:t>,</w:t>
      </w:r>
      <w:r w:rsidRPr="00B24750">
        <w:rPr>
          <w:rFonts w:asciiTheme="majorHAnsi" w:hAnsiTheme="majorHAnsi"/>
          <w:sz w:val="20"/>
          <w:szCs w:val="20"/>
        </w:rPr>
        <w:t xml:space="preserve"> </w:t>
      </w:r>
      <w:r w:rsidR="000F3984" w:rsidRPr="00B24750">
        <w:rPr>
          <w:rFonts w:asciiTheme="majorHAnsi" w:hAnsiTheme="majorHAnsi"/>
          <w:sz w:val="20"/>
          <w:szCs w:val="20"/>
        </w:rPr>
        <w:t>Cuba</w:t>
      </w:r>
      <w:r w:rsidRPr="00B24750">
        <w:rPr>
          <w:rFonts w:asciiTheme="majorHAnsi" w:hAnsiTheme="majorHAnsi"/>
          <w:sz w:val="20"/>
          <w:szCs w:val="20"/>
        </w:rPr>
        <w:t xml:space="preserve"> continues to </w:t>
      </w:r>
      <w:r w:rsidRPr="00B24750">
        <w:rPr>
          <w:rFonts w:asciiTheme="majorHAnsi" w:hAnsiTheme="majorHAnsi"/>
          <w:sz w:val="20"/>
          <w:szCs w:val="20"/>
        </w:rPr>
        <w:lastRenderedPageBreak/>
        <w:t>be the worst rated country</w:t>
      </w:r>
      <w:r w:rsidR="000F3984" w:rsidRPr="00B24750">
        <w:rPr>
          <w:rFonts w:asciiTheme="majorHAnsi" w:hAnsiTheme="majorHAnsi"/>
          <w:sz w:val="20"/>
          <w:szCs w:val="20"/>
        </w:rPr>
        <w:t xml:space="preserve"> </w:t>
      </w:r>
      <w:r w:rsidRPr="00B24750">
        <w:rPr>
          <w:rFonts w:asciiTheme="majorHAnsi" w:hAnsiTheme="majorHAnsi"/>
          <w:sz w:val="20"/>
          <w:szCs w:val="20"/>
        </w:rPr>
        <w:t>in the America</w:t>
      </w:r>
      <w:r w:rsidR="000F3984" w:rsidRPr="00B24750">
        <w:rPr>
          <w:rFonts w:asciiTheme="majorHAnsi" w:hAnsiTheme="majorHAnsi"/>
          <w:sz w:val="20"/>
          <w:szCs w:val="20"/>
        </w:rPr>
        <w:t>s.</w:t>
      </w:r>
      <w:r w:rsidRPr="00B24750">
        <w:rPr>
          <w:rStyle w:val="FootnoteReference"/>
          <w:rFonts w:asciiTheme="majorHAnsi" w:hAnsiTheme="majorHAnsi"/>
          <w:sz w:val="20"/>
          <w:szCs w:val="20"/>
        </w:rPr>
        <w:footnoteReference w:id="37"/>
      </w:r>
      <w:r w:rsidR="000F3984" w:rsidRPr="00B24750">
        <w:rPr>
          <w:rFonts w:asciiTheme="majorHAnsi" w:hAnsiTheme="majorHAnsi"/>
          <w:sz w:val="20"/>
          <w:szCs w:val="20"/>
        </w:rPr>
        <w:t xml:space="preserve"> </w:t>
      </w:r>
      <w:r w:rsidRPr="00B24750">
        <w:rPr>
          <w:rFonts w:asciiTheme="majorHAnsi" w:hAnsiTheme="majorHAnsi"/>
          <w:sz w:val="20"/>
          <w:szCs w:val="20"/>
        </w:rPr>
        <w:t xml:space="preserve">According to the Committee to Protect Journalists (CPJ), Cuba is one of the 10 </w:t>
      </w:r>
      <w:r w:rsidR="000F3984" w:rsidRPr="00B24750">
        <w:rPr>
          <w:rFonts w:asciiTheme="majorHAnsi" w:hAnsiTheme="majorHAnsi"/>
          <w:sz w:val="20"/>
          <w:szCs w:val="20"/>
        </w:rPr>
        <w:t xml:space="preserve">countries with the most censorship in the world </w:t>
      </w:r>
      <w:r w:rsidRPr="00B24750">
        <w:rPr>
          <w:rFonts w:asciiTheme="majorHAnsi" w:hAnsiTheme="majorHAnsi"/>
          <w:sz w:val="20"/>
          <w:szCs w:val="20"/>
        </w:rPr>
        <w:t xml:space="preserve">and the only one in the </w:t>
      </w:r>
      <w:r w:rsidR="000F3984" w:rsidRPr="00B24750">
        <w:rPr>
          <w:rFonts w:asciiTheme="majorHAnsi" w:hAnsiTheme="majorHAnsi"/>
          <w:sz w:val="20"/>
          <w:szCs w:val="20"/>
        </w:rPr>
        <w:t xml:space="preserve">Hemisphere </w:t>
      </w:r>
      <w:r w:rsidRPr="00B24750">
        <w:rPr>
          <w:rFonts w:asciiTheme="majorHAnsi" w:hAnsiTheme="majorHAnsi"/>
          <w:sz w:val="20"/>
          <w:szCs w:val="20"/>
        </w:rPr>
        <w:t>on this list</w:t>
      </w:r>
      <w:r w:rsidR="000F3984" w:rsidRPr="00B24750">
        <w:rPr>
          <w:rFonts w:asciiTheme="majorHAnsi" w:hAnsiTheme="majorHAnsi"/>
          <w:sz w:val="20"/>
          <w:szCs w:val="20"/>
        </w:rPr>
        <w:t>.</w:t>
      </w:r>
      <w:r w:rsidRPr="00B24750">
        <w:rPr>
          <w:rStyle w:val="FootnoteReference"/>
          <w:rFonts w:asciiTheme="majorHAnsi" w:hAnsiTheme="majorHAnsi"/>
          <w:sz w:val="20"/>
          <w:szCs w:val="20"/>
        </w:rPr>
        <w:footnoteReference w:id="38"/>
      </w:r>
      <w:r w:rsidRPr="00B24750">
        <w:rPr>
          <w:rFonts w:asciiTheme="majorHAnsi" w:hAnsiTheme="majorHAnsi"/>
          <w:sz w:val="20"/>
          <w:szCs w:val="20"/>
        </w:rPr>
        <w:t xml:space="preserve"> In addition, the legal system subordinates the exercise of rights to the protection of certain purposes and interests, </w:t>
      </w:r>
      <w:r w:rsidR="000F3984" w:rsidRPr="00B24750">
        <w:rPr>
          <w:rFonts w:asciiTheme="majorHAnsi" w:hAnsiTheme="majorHAnsi"/>
          <w:sz w:val="20"/>
          <w:szCs w:val="20"/>
        </w:rPr>
        <w:t>i.e.,</w:t>
      </w:r>
      <w:r w:rsidRPr="00B24750">
        <w:rPr>
          <w:rFonts w:asciiTheme="majorHAnsi" w:hAnsiTheme="majorHAnsi"/>
          <w:sz w:val="20"/>
          <w:szCs w:val="20"/>
        </w:rPr>
        <w:t xml:space="preserve"> the socialist State, and the State has maintained a </w:t>
      </w:r>
      <w:r w:rsidR="000F3984" w:rsidRPr="00B24750">
        <w:rPr>
          <w:rFonts w:asciiTheme="majorHAnsi" w:hAnsiTheme="majorHAnsi"/>
          <w:sz w:val="20"/>
          <w:szCs w:val="20"/>
        </w:rPr>
        <w:t>permanent</w:t>
      </w:r>
      <w:r w:rsidRPr="00B24750">
        <w:rPr>
          <w:rFonts w:asciiTheme="majorHAnsi" w:hAnsiTheme="majorHAnsi"/>
          <w:sz w:val="20"/>
          <w:szCs w:val="20"/>
        </w:rPr>
        <w:t xml:space="preserve"> monopoly over all </w:t>
      </w:r>
      <w:r w:rsidR="000F3984" w:rsidRPr="00B24750">
        <w:rPr>
          <w:rFonts w:asciiTheme="majorHAnsi" w:hAnsiTheme="majorHAnsi"/>
          <w:sz w:val="20"/>
          <w:szCs w:val="20"/>
        </w:rPr>
        <w:t>communications media</w:t>
      </w:r>
      <w:r w:rsidR="003C7FA1">
        <w:rPr>
          <w:rFonts w:asciiTheme="majorHAnsi" w:hAnsiTheme="majorHAnsi"/>
          <w:sz w:val="20"/>
          <w:szCs w:val="20"/>
        </w:rPr>
        <w:t xml:space="preserve">, </w:t>
      </w:r>
      <w:r w:rsidR="003C7FA1" w:rsidRPr="003C7FA1">
        <w:rPr>
          <w:rFonts w:asciiTheme="majorHAnsi" w:hAnsiTheme="majorHAnsi"/>
          <w:sz w:val="20"/>
          <w:szCs w:val="20"/>
        </w:rPr>
        <w:t>as well as the internet</w:t>
      </w:r>
      <w:r w:rsidRPr="00B24750">
        <w:rPr>
          <w:rFonts w:asciiTheme="majorHAnsi" w:hAnsiTheme="majorHAnsi"/>
          <w:sz w:val="20"/>
          <w:szCs w:val="20"/>
        </w:rPr>
        <w:t>.</w:t>
      </w:r>
      <w:r w:rsidRPr="00B24750">
        <w:rPr>
          <w:rStyle w:val="FootnoteReference"/>
          <w:rFonts w:asciiTheme="majorHAnsi" w:hAnsiTheme="majorHAnsi"/>
          <w:sz w:val="20"/>
          <w:szCs w:val="20"/>
        </w:rPr>
        <w:footnoteReference w:id="39"/>
      </w:r>
    </w:p>
    <w:p w14:paraId="3A6BFEE6" w14:textId="77777777" w:rsidR="00014BE7" w:rsidRPr="00B24750" w:rsidRDefault="00014BE7" w:rsidP="00014BE7">
      <w:pPr>
        <w:pStyle w:val="ListParagraph"/>
        <w:autoSpaceDE w:val="0"/>
        <w:autoSpaceDN w:val="0"/>
        <w:adjustRightInd w:val="0"/>
        <w:jc w:val="both"/>
        <w:rPr>
          <w:rFonts w:asciiTheme="majorHAnsi" w:hAnsiTheme="majorHAnsi"/>
          <w:color w:val="auto"/>
          <w:sz w:val="20"/>
          <w:szCs w:val="20"/>
        </w:rPr>
      </w:pPr>
    </w:p>
    <w:p w14:paraId="5282DEAF" w14:textId="00908788" w:rsidR="00810F85" w:rsidRPr="00B24750" w:rsidRDefault="006E62A8"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Pr>
          <w:rFonts w:asciiTheme="majorHAnsi" w:hAnsiTheme="majorHAnsi"/>
          <w:color w:val="auto"/>
          <w:sz w:val="20"/>
          <w:szCs w:val="20"/>
        </w:rPr>
        <w:t xml:space="preserve">The </w:t>
      </w:r>
      <w:r w:rsidR="0023074E" w:rsidRPr="00B24750">
        <w:rPr>
          <w:rFonts w:asciiTheme="majorHAnsi" w:hAnsiTheme="majorHAnsi"/>
          <w:color w:val="auto"/>
          <w:sz w:val="20"/>
          <w:szCs w:val="20"/>
        </w:rPr>
        <w:t xml:space="preserve">above has been repeatedly </w:t>
      </w:r>
      <w:r w:rsidR="001B2514">
        <w:rPr>
          <w:rFonts w:asciiTheme="majorHAnsi" w:hAnsiTheme="majorHAnsi"/>
          <w:color w:val="auto"/>
          <w:sz w:val="20"/>
          <w:szCs w:val="20"/>
        </w:rPr>
        <w:t>noted</w:t>
      </w:r>
      <w:r w:rsidR="0023074E" w:rsidRPr="00B24750">
        <w:rPr>
          <w:rFonts w:asciiTheme="majorHAnsi" w:hAnsiTheme="majorHAnsi"/>
          <w:color w:val="auto"/>
          <w:sz w:val="20"/>
          <w:szCs w:val="20"/>
        </w:rPr>
        <w:t xml:space="preserve"> by the IACHR in its many reports. </w:t>
      </w:r>
      <w:r w:rsidR="00FA424B" w:rsidRPr="00B24750">
        <w:rPr>
          <w:rFonts w:asciiTheme="majorHAnsi" w:hAnsiTheme="majorHAnsi"/>
          <w:color w:val="auto"/>
          <w:sz w:val="20"/>
          <w:szCs w:val="20"/>
        </w:rPr>
        <w:t>For example, in its 2007 annual report, the IACHR noted that</w:t>
      </w:r>
      <w:r w:rsidR="00810F85" w:rsidRPr="00B24750">
        <w:rPr>
          <w:rFonts w:asciiTheme="majorHAnsi" w:hAnsiTheme="majorHAnsi"/>
          <w:color w:val="auto"/>
          <w:sz w:val="20"/>
          <w:szCs w:val="20"/>
        </w:rPr>
        <w:t>:</w:t>
      </w:r>
    </w:p>
    <w:p w14:paraId="27E5075C" w14:textId="77777777" w:rsidR="00810F85" w:rsidRPr="00B24750" w:rsidRDefault="00810F85" w:rsidP="00810F85">
      <w:pPr>
        <w:autoSpaceDE w:val="0"/>
        <w:autoSpaceDN w:val="0"/>
        <w:adjustRightInd w:val="0"/>
        <w:jc w:val="both"/>
        <w:rPr>
          <w:rFonts w:asciiTheme="majorHAnsi" w:hAnsiTheme="majorHAnsi"/>
          <w:sz w:val="20"/>
          <w:szCs w:val="20"/>
          <w:lang w:val="en-US"/>
        </w:rPr>
      </w:pPr>
    </w:p>
    <w:p w14:paraId="42AF2F04" w14:textId="7329F652" w:rsidR="00FE05C7" w:rsidRPr="00B24750" w:rsidRDefault="00C47088" w:rsidP="00810F85">
      <w:pPr>
        <w:pStyle w:val="ListParagraph"/>
        <w:autoSpaceDE w:val="0"/>
        <w:autoSpaceDN w:val="0"/>
        <w:adjustRightInd w:val="0"/>
        <w:ind w:right="864"/>
        <w:jc w:val="both"/>
        <w:rPr>
          <w:rFonts w:asciiTheme="majorHAnsi" w:eastAsia="Arial Unicode MS" w:hAnsiTheme="majorHAnsi" w:cs="Times New Roman"/>
          <w:sz w:val="18"/>
          <w:szCs w:val="18"/>
          <w:lang w:eastAsia="en-US"/>
        </w:rPr>
      </w:pPr>
      <w:r w:rsidRPr="00B24750">
        <w:rPr>
          <w:rFonts w:asciiTheme="majorHAnsi" w:hAnsiTheme="majorHAnsi"/>
          <w:color w:val="auto"/>
          <w:sz w:val="18"/>
          <w:szCs w:val="18"/>
        </w:rPr>
        <w:t>“</w:t>
      </w:r>
      <w:r w:rsidRPr="00B24750">
        <w:rPr>
          <w:rFonts w:asciiTheme="majorHAnsi" w:eastAsia="Arial Unicode MS" w:hAnsiTheme="majorHAnsi" w:cs="Times New Roman"/>
          <w:sz w:val="18"/>
          <w:szCs w:val="18"/>
          <w:lang w:eastAsia="en-US"/>
        </w:rPr>
        <w:t xml:space="preserve">The Commission has repeatedly held that Cuba is the only country in the Hemisphere where it can be categorically said that there is no freedom of expression.  Such statements are based essentially on the persistent problems reflected in the following conditions: </w:t>
      </w:r>
      <w:r w:rsidR="00D201CC" w:rsidRPr="00B24750">
        <w:rPr>
          <w:rFonts w:asciiTheme="majorHAnsi" w:eastAsia="Arial Unicode MS" w:hAnsiTheme="majorHAnsi" w:cs="Times New Roman"/>
          <w:sz w:val="18"/>
          <w:szCs w:val="18"/>
          <w:lang w:eastAsia="en-US"/>
        </w:rPr>
        <w:t>(</w:t>
      </w:r>
      <w:r w:rsidRPr="00B24750">
        <w:rPr>
          <w:rFonts w:asciiTheme="majorHAnsi" w:eastAsia="Arial Unicode MS" w:hAnsiTheme="majorHAnsi" w:cs="Times New Roman"/>
          <w:sz w:val="18"/>
          <w:szCs w:val="18"/>
          <w:lang w:eastAsia="en-US"/>
        </w:rPr>
        <w:t xml:space="preserve">a) deprivation of personal freedom as a result of expression of opinions or criticism by journalists and dissidents; </w:t>
      </w:r>
      <w:r w:rsidR="00D201CC" w:rsidRPr="00B24750">
        <w:rPr>
          <w:rFonts w:asciiTheme="majorHAnsi" w:eastAsia="Arial Unicode MS" w:hAnsiTheme="majorHAnsi" w:cs="Times New Roman"/>
          <w:sz w:val="18"/>
          <w:szCs w:val="18"/>
          <w:lang w:eastAsia="en-US"/>
        </w:rPr>
        <w:t>(</w:t>
      </w:r>
      <w:r w:rsidRPr="00B24750">
        <w:rPr>
          <w:rFonts w:asciiTheme="majorHAnsi" w:eastAsia="Arial Unicode MS" w:hAnsiTheme="majorHAnsi" w:cs="Times New Roman"/>
          <w:sz w:val="18"/>
          <w:szCs w:val="18"/>
          <w:lang w:eastAsia="en-US"/>
        </w:rPr>
        <w:t xml:space="preserve">b) restrictions to the right of access to information over the Internet; </w:t>
      </w:r>
      <w:r w:rsidR="00D201CC" w:rsidRPr="00B24750">
        <w:rPr>
          <w:rFonts w:asciiTheme="majorHAnsi" w:eastAsia="Arial Unicode MS" w:hAnsiTheme="majorHAnsi" w:cs="Times New Roman"/>
          <w:sz w:val="18"/>
          <w:szCs w:val="18"/>
          <w:lang w:eastAsia="en-US"/>
        </w:rPr>
        <w:t>(</w:t>
      </w:r>
      <w:r w:rsidRPr="00B24750">
        <w:rPr>
          <w:rFonts w:asciiTheme="majorHAnsi" w:eastAsia="Arial Unicode MS" w:hAnsiTheme="majorHAnsi" w:cs="Times New Roman"/>
          <w:sz w:val="18"/>
          <w:szCs w:val="18"/>
          <w:lang w:eastAsia="en-US"/>
        </w:rPr>
        <w:t xml:space="preserve">c) indirect restrictions on the practice of journalism applied to the international media and correspondents; and </w:t>
      </w:r>
      <w:r w:rsidR="00D201CC" w:rsidRPr="00B24750">
        <w:rPr>
          <w:rFonts w:asciiTheme="majorHAnsi" w:eastAsia="Arial Unicode MS" w:hAnsiTheme="majorHAnsi" w:cs="Times New Roman"/>
          <w:sz w:val="18"/>
          <w:szCs w:val="18"/>
          <w:lang w:eastAsia="en-US"/>
        </w:rPr>
        <w:t>(</w:t>
      </w:r>
      <w:r w:rsidRPr="00B24750">
        <w:rPr>
          <w:rFonts w:asciiTheme="majorHAnsi" w:eastAsia="Arial Unicode MS" w:hAnsiTheme="majorHAnsi" w:cs="Times New Roman"/>
          <w:sz w:val="18"/>
          <w:szCs w:val="18"/>
          <w:lang w:eastAsia="en-US"/>
        </w:rPr>
        <w:t>d) the criminalization of public demonstrations</w:t>
      </w:r>
      <w:r w:rsidR="00FA424B" w:rsidRPr="00B24750">
        <w:rPr>
          <w:rFonts w:asciiTheme="majorHAnsi" w:eastAsia="Arial Unicode MS" w:hAnsiTheme="majorHAnsi" w:cs="Times New Roman"/>
          <w:sz w:val="18"/>
          <w:szCs w:val="18"/>
          <w:lang w:eastAsia="en-US"/>
        </w:rPr>
        <w:t>.”</w:t>
      </w:r>
      <w:r w:rsidR="00FA424B" w:rsidRPr="00B24750">
        <w:rPr>
          <w:rStyle w:val="FootnoteReference"/>
          <w:rFonts w:asciiTheme="majorHAnsi" w:eastAsia="Arial Unicode MS" w:hAnsiTheme="majorHAnsi" w:cs="Times New Roman"/>
          <w:sz w:val="18"/>
          <w:szCs w:val="18"/>
          <w:lang w:eastAsia="en-US"/>
        </w:rPr>
        <w:footnoteReference w:id="40"/>
      </w:r>
    </w:p>
    <w:p w14:paraId="0AB19D84" w14:textId="77777777" w:rsidR="00810F85" w:rsidRPr="00B24750" w:rsidRDefault="00810F85" w:rsidP="00810F85">
      <w:pPr>
        <w:pStyle w:val="ListParagraph"/>
        <w:autoSpaceDE w:val="0"/>
        <w:autoSpaceDN w:val="0"/>
        <w:adjustRightInd w:val="0"/>
        <w:ind w:right="864"/>
        <w:jc w:val="both"/>
        <w:rPr>
          <w:rFonts w:asciiTheme="majorHAnsi" w:eastAsia="Arial Unicode MS" w:hAnsiTheme="majorHAnsi" w:cs="Times New Roman"/>
          <w:sz w:val="20"/>
          <w:szCs w:val="20"/>
          <w:lang w:eastAsia="en-US"/>
        </w:rPr>
      </w:pPr>
    </w:p>
    <w:p w14:paraId="08DED358" w14:textId="4AAEBB30" w:rsidR="00540A0F" w:rsidRPr="00B24750" w:rsidRDefault="00482345"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eastAsia="Arial Unicode MS" w:hAnsiTheme="majorHAnsi" w:cs="Times New Roman"/>
          <w:sz w:val="20"/>
          <w:szCs w:val="20"/>
          <w:lang w:eastAsia="en-US"/>
        </w:rPr>
        <w:t xml:space="preserve">In 2008, </w:t>
      </w:r>
      <w:r w:rsidRPr="00B24750">
        <w:rPr>
          <w:rFonts w:asciiTheme="majorHAnsi" w:hAnsiTheme="majorHAnsi"/>
          <w:sz w:val="20"/>
          <w:szCs w:val="20"/>
        </w:rPr>
        <w:t xml:space="preserve">although the IACHR highlighted advances during that year regarding citizens’ access to the internet, its Office of the Special Rapporteur for Freedom of Expression underscored that “there were problems accessing the blogs of the desdecuba.com platform, including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Sánchez’s </w:t>
      </w:r>
      <w:r w:rsidRPr="00B24750">
        <w:rPr>
          <w:rFonts w:asciiTheme="majorHAnsi" w:hAnsiTheme="majorHAnsi"/>
          <w:i/>
          <w:iCs/>
          <w:sz w:val="20"/>
          <w:szCs w:val="20"/>
        </w:rPr>
        <w:t>Generation Y</w:t>
      </w:r>
      <w:r w:rsidRPr="00B24750">
        <w:rPr>
          <w:rFonts w:asciiTheme="majorHAnsi" w:hAnsiTheme="majorHAnsi"/>
          <w:sz w:val="20"/>
          <w:szCs w:val="20"/>
        </w:rPr>
        <w:t>, one of the most popular in the country.”</w:t>
      </w:r>
      <w:r w:rsidRPr="00B24750">
        <w:rPr>
          <w:rStyle w:val="FootnoteReference"/>
          <w:rFonts w:asciiTheme="majorHAnsi" w:hAnsiTheme="majorHAnsi"/>
          <w:sz w:val="20"/>
          <w:szCs w:val="20"/>
        </w:rPr>
        <w:footnoteReference w:id="41"/>
      </w:r>
      <w:r w:rsidRPr="00B24750">
        <w:rPr>
          <w:rFonts w:asciiTheme="majorHAnsi" w:hAnsiTheme="majorHAnsi"/>
          <w:sz w:val="20"/>
          <w:szCs w:val="20"/>
        </w:rPr>
        <w:t xml:space="preserve"> The Office further </w:t>
      </w:r>
      <w:r w:rsidR="00540A0F" w:rsidRPr="00B24750">
        <w:rPr>
          <w:rFonts w:asciiTheme="majorHAnsi" w:hAnsiTheme="majorHAnsi"/>
          <w:sz w:val="20"/>
          <w:szCs w:val="20"/>
        </w:rPr>
        <w:t>noted</w:t>
      </w:r>
      <w:r w:rsidRPr="00B24750">
        <w:rPr>
          <w:rFonts w:asciiTheme="majorHAnsi" w:hAnsiTheme="majorHAnsi"/>
          <w:sz w:val="20"/>
          <w:szCs w:val="20"/>
        </w:rPr>
        <w:t xml:space="preserve"> that</w:t>
      </w:r>
      <w:r w:rsidR="00540A0F" w:rsidRPr="00B24750">
        <w:rPr>
          <w:rFonts w:asciiTheme="majorHAnsi" w:hAnsiTheme="majorHAnsi"/>
          <w:sz w:val="20"/>
          <w:szCs w:val="20"/>
        </w:rPr>
        <w:t xml:space="preserve"> there were</w:t>
      </w:r>
      <w:r w:rsidRPr="00B24750">
        <w:rPr>
          <w:rFonts w:asciiTheme="majorHAnsi" w:hAnsiTheme="majorHAnsi"/>
          <w:sz w:val="20"/>
          <w:szCs w:val="20"/>
        </w:rPr>
        <w:t xml:space="preserve"> “</w:t>
      </w:r>
      <w:r w:rsidR="00540A0F" w:rsidRPr="00B24750">
        <w:rPr>
          <w:rFonts w:asciiTheme="majorHAnsi" w:hAnsiTheme="majorHAnsi"/>
          <w:sz w:val="20"/>
          <w:szCs w:val="20"/>
        </w:rPr>
        <w:t>instances of intimidation and harassment of journalists by police agents,</w:t>
      </w:r>
      <w:r w:rsidRPr="00B24750">
        <w:rPr>
          <w:rFonts w:asciiTheme="majorHAnsi" w:hAnsiTheme="majorHAnsi"/>
          <w:sz w:val="20"/>
          <w:szCs w:val="20"/>
        </w:rPr>
        <w:t>”</w:t>
      </w:r>
      <w:r w:rsidRPr="00B24750">
        <w:rPr>
          <w:rStyle w:val="FootnoteReference"/>
          <w:rFonts w:asciiTheme="majorHAnsi" w:hAnsiTheme="majorHAnsi"/>
          <w:sz w:val="20"/>
          <w:szCs w:val="20"/>
        </w:rPr>
        <w:footnoteReference w:id="42"/>
      </w:r>
      <w:r w:rsidRPr="00B24750">
        <w:rPr>
          <w:rFonts w:asciiTheme="majorHAnsi" w:hAnsiTheme="majorHAnsi"/>
          <w:sz w:val="20"/>
          <w:szCs w:val="20"/>
        </w:rPr>
        <w:t xml:space="preserve"> </w:t>
      </w:r>
      <w:r w:rsidR="00540A0F" w:rsidRPr="00B24750">
        <w:rPr>
          <w:rFonts w:asciiTheme="majorHAnsi" w:hAnsiTheme="majorHAnsi"/>
          <w:sz w:val="20"/>
          <w:szCs w:val="20"/>
        </w:rPr>
        <w:t>that there were continued</w:t>
      </w:r>
      <w:r w:rsidRPr="00B24750">
        <w:rPr>
          <w:rFonts w:asciiTheme="majorHAnsi" w:hAnsiTheme="majorHAnsi"/>
          <w:sz w:val="20"/>
          <w:szCs w:val="20"/>
        </w:rPr>
        <w:t xml:space="preserve"> “actions </w:t>
      </w:r>
      <w:r w:rsidR="00540A0F" w:rsidRPr="00B24750">
        <w:rPr>
          <w:rFonts w:asciiTheme="majorHAnsi" w:hAnsiTheme="majorHAnsi"/>
          <w:sz w:val="20"/>
          <w:szCs w:val="20"/>
        </w:rPr>
        <w:t>taken to repress</w:t>
      </w:r>
      <w:r w:rsidRPr="00B24750">
        <w:rPr>
          <w:rFonts w:asciiTheme="majorHAnsi" w:hAnsiTheme="majorHAnsi"/>
          <w:sz w:val="20"/>
          <w:szCs w:val="20"/>
        </w:rPr>
        <w:t xml:space="preserve"> social demonstrations</w:t>
      </w:r>
      <w:r w:rsidR="00540A0F" w:rsidRPr="00B24750">
        <w:rPr>
          <w:rFonts w:asciiTheme="majorHAnsi" w:hAnsiTheme="majorHAnsi"/>
          <w:sz w:val="20"/>
          <w:szCs w:val="20"/>
        </w:rPr>
        <w:t>,”</w:t>
      </w:r>
      <w:r w:rsidRPr="00B24750">
        <w:rPr>
          <w:rStyle w:val="FootnoteReference"/>
          <w:rFonts w:asciiTheme="majorHAnsi" w:hAnsiTheme="majorHAnsi"/>
          <w:sz w:val="20"/>
          <w:szCs w:val="20"/>
        </w:rPr>
        <w:footnoteReference w:id="43"/>
      </w:r>
      <w:r w:rsidRPr="00B24750">
        <w:rPr>
          <w:rFonts w:asciiTheme="majorHAnsi" w:hAnsiTheme="majorHAnsi"/>
          <w:sz w:val="20"/>
          <w:szCs w:val="20"/>
        </w:rPr>
        <w:t xml:space="preserve"> and that Cuba was </w:t>
      </w:r>
      <w:r w:rsidR="00540A0F" w:rsidRPr="00B24750">
        <w:rPr>
          <w:rFonts w:asciiTheme="majorHAnsi" w:hAnsiTheme="majorHAnsi"/>
          <w:sz w:val="20"/>
          <w:szCs w:val="20"/>
        </w:rPr>
        <w:t>“</w:t>
      </w:r>
      <w:r w:rsidRPr="00B24750">
        <w:rPr>
          <w:rFonts w:asciiTheme="majorHAnsi" w:hAnsiTheme="majorHAnsi"/>
          <w:sz w:val="20"/>
          <w:szCs w:val="20"/>
        </w:rPr>
        <w:t>the country with the highest number of imprisoned journalists in the region.</w:t>
      </w:r>
      <w:r w:rsidR="00540A0F" w:rsidRPr="00B24750">
        <w:rPr>
          <w:rFonts w:asciiTheme="majorHAnsi" w:hAnsiTheme="majorHAnsi"/>
          <w:sz w:val="20"/>
          <w:szCs w:val="20"/>
        </w:rPr>
        <w:t>”</w:t>
      </w:r>
      <w:r w:rsidRPr="00B24750">
        <w:rPr>
          <w:rStyle w:val="FootnoteReference"/>
          <w:rFonts w:asciiTheme="majorHAnsi" w:hAnsiTheme="majorHAnsi"/>
          <w:sz w:val="20"/>
          <w:szCs w:val="20"/>
        </w:rPr>
        <w:footnoteReference w:id="44"/>
      </w:r>
    </w:p>
    <w:p w14:paraId="302BB203" w14:textId="77777777" w:rsidR="00540A0F" w:rsidRPr="00B24750" w:rsidRDefault="00540A0F" w:rsidP="009D14E7">
      <w:pPr>
        <w:pStyle w:val="ListParagraph"/>
        <w:autoSpaceDE w:val="0"/>
        <w:autoSpaceDN w:val="0"/>
        <w:adjustRightInd w:val="0"/>
        <w:ind w:left="0"/>
        <w:jc w:val="both"/>
        <w:rPr>
          <w:rFonts w:asciiTheme="majorHAnsi" w:hAnsiTheme="majorHAnsi"/>
          <w:sz w:val="20"/>
          <w:szCs w:val="20"/>
        </w:rPr>
      </w:pPr>
    </w:p>
    <w:p w14:paraId="22C59A85" w14:textId="423A413F" w:rsidR="006508D8" w:rsidRPr="00B24750" w:rsidRDefault="005C1302" w:rsidP="009D14E7">
      <w:pPr>
        <w:pStyle w:val="ListParagraph"/>
        <w:numPr>
          <w:ilvl w:val="0"/>
          <w:numId w:val="55"/>
        </w:numPr>
        <w:autoSpaceDE w:val="0"/>
        <w:autoSpaceDN w:val="0"/>
        <w:adjustRightInd w:val="0"/>
        <w:ind w:firstLine="0"/>
        <w:jc w:val="both"/>
        <w:rPr>
          <w:rFonts w:asciiTheme="majorHAnsi" w:hAnsiTheme="majorHAnsi"/>
          <w:sz w:val="20"/>
          <w:szCs w:val="20"/>
        </w:rPr>
      </w:pPr>
      <w:r>
        <w:rPr>
          <w:rFonts w:asciiTheme="majorHAnsi" w:hAnsiTheme="majorHAnsi"/>
          <w:sz w:val="20"/>
          <w:szCs w:val="20"/>
        </w:rPr>
        <w:t xml:space="preserve">Likewise, </w:t>
      </w:r>
      <w:r w:rsidR="00540A0F" w:rsidRPr="00B24750">
        <w:rPr>
          <w:rFonts w:asciiTheme="majorHAnsi" w:hAnsiTheme="majorHAnsi"/>
          <w:sz w:val="20"/>
          <w:szCs w:val="20"/>
        </w:rPr>
        <w:t>the 2009 report of the Office of the Special Rapporteur for Freedom of Expressio</w:t>
      </w:r>
      <w:r w:rsidR="00631459">
        <w:rPr>
          <w:rFonts w:asciiTheme="majorHAnsi" w:hAnsiTheme="majorHAnsi"/>
          <w:sz w:val="20"/>
          <w:szCs w:val="20"/>
        </w:rPr>
        <w:t>n</w:t>
      </w:r>
      <w:r w:rsidR="00D87CD9">
        <w:rPr>
          <w:rFonts w:asciiTheme="majorHAnsi" w:hAnsiTheme="majorHAnsi"/>
          <w:sz w:val="20"/>
          <w:szCs w:val="20"/>
        </w:rPr>
        <w:t xml:space="preserve"> noted </w:t>
      </w:r>
      <w:r w:rsidR="00540A0F" w:rsidRPr="00B24750">
        <w:rPr>
          <w:rFonts w:asciiTheme="majorHAnsi" w:hAnsiTheme="majorHAnsi"/>
          <w:sz w:val="20"/>
          <w:szCs w:val="20"/>
        </w:rPr>
        <w:t xml:space="preserve">that “some journalists who did not support the Cuban government were reportedly </w:t>
      </w:r>
      <w:r w:rsidR="006508D8" w:rsidRPr="00B24750">
        <w:rPr>
          <w:rFonts w:asciiTheme="majorHAnsi" w:hAnsiTheme="majorHAnsi"/>
          <w:sz w:val="20"/>
          <w:szCs w:val="20"/>
        </w:rPr>
        <w:t>threatened and beaten</w:t>
      </w:r>
      <w:r w:rsidR="00540A0F" w:rsidRPr="00B24750">
        <w:rPr>
          <w:rFonts w:asciiTheme="majorHAnsi" w:hAnsiTheme="majorHAnsi"/>
          <w:sz w:val="20"/>
          <w:szCs w:val="20"/>
        </w:rPr>
        <w:t xml:space="preserve"> by security forces.”</w:t>
      </w:r>
      <w:r w:rsidR="00540A0F" w:rsidRPr="00B24750">
        <w:rPr>
          <w:rStyle w:val="FootnoteReference"/>
          <w:rFonts w:asciiTheme="majorHAnsi" w:hAnsiTheme="majorHAnsi"/>
          <w:sz w:val="20"/>
          <w:szCs w:val="20"/>
        </w:rPr>
        <w:footnoteReference w:id="45"/>
      </w:r>
      <w:r w:rsidR="00540A0F" w:rsidRPr="00B24750">
        <w:rPr>
          <w:rFonts w:asciiTheme="majorHAnsi" w:hAnsiTheme="majorHAnsi"/>
          <w:sz w:val="20"/>
          <w:szCs w:val="20"/>
        </w:rPr>
        <w:t xml:space="preserve"> The case of </w:t>
      </w:r>
      <w:proofErr w:type="spellStart"/>
      <w:r w:rsidR="00540A0F" w:rsidRPr="00B24750">
        <w:rPr>
          <w:rFonts w:asciiTheme="majorHAnsi" w:hAnsiTheme="majorHAnsi"/>
          <w:sz w:val="20"/>
          <w:szCs w:val="20"/>
        </w:rPr>
        <w:t>Yoani</w:t>
      </w:r>
      <w:proofErr w:type="spellEnd"/>
      <w:r w:rsidR="00540A0F" w:rsidRPr="00B24750">
        <w:rPr>
          <w:rFonts w:asciiTheme="majorHAnsi" w:hAnsiTheme="majorHAnsi"/>
          <w:sz w:val="20"/>
          <w:szCs w:val="20"/>
        </w:rPr>
        <w:t xml:space="preserve"> Sánchez was pointed out as </w:t>
      </w:r>
      <w:r w:rsidR="00E95273">
        <w:rPr>
          <w:rFonts w:asciiTheme="majorHAnsi" w:hAnsiTheme="majorHAnsi"/>
          <w:sz w:val="20"/>
          <w:szCs w:val="20"/>
        </w:rPr>
        <w:t>one of them</w:t>
      </w:r>
      <w:r w:rsidR="00540A0F" w:rsidRPr="00B24750">
        <w:rPr>
          <w:rFonts w:asciiTheme="majorHAnsi" w:hAnsiTheme="majorHAnsi"/>
          <w:sz w:val="20"/>
          <w:szCs w:val="20"/>
        </w:rPr>
        <w:t>.</w:t>
      </w:r>
      <w:r w:rsidR="00540A0F" w:rsidRPr="00B24750">
        <w:rPr>
          <w:rStyle w:val="FootnoteReference"/>
          <w:rFonts w:asciiTheme="majorHAnsi" w:hAnsiTheme="majorHAnsi"/>
          <w:sz w:val="20"/>
          <w:szCs w:val="20"/>
        </w:rPr>
        <w:footnoteReference w:id="46"/>
      </w:r>
    </w:p>
    <w:p w14:paraId="647B9C24" w14:textId="77777777" w:rsidR="006508D8" w:rsidRPr="00B24750" w:rsidRDefault="006508D8" w:rsidP="009D14E7">
      <w:pPr>
        <w:pStyle w:val="ListParagraph"/>
        <w:autoSpaceDE w:val="0"/>
        <w:autoSpaceDN w:val="0"/>
        <w:adjustRightInd w:val="0"/>
        <w:ind w:left="0"/>
        <w:jc w:val="both"/>
        <w:rPr>
          <w:rFonts w:asciiTheme="majorHAnsi" w:hAnsiTheme="majorHAnsi"/>
          <w:sz w:val="20"/>
          <w:szCs w:val="20"/>
        </w:rPr>
      </w:pPr>
    </w:p>
    <w:p w14:paraId="27B8B4AF" w14:textId="7C116F1A" w:rsidR="00470318" w:rsidRPr="00B24750" w:rsidRDefault="006508D8"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In 2010, the IACHR identified that in Cuba there was a “</w:t>
      </w:r>
      <w:r w:rsidR="009A5F06" w:rsidRPr="00B24750">
        <w:rPr>
          <w:rFonts w:asciiTheme="majorHAnsi" w:hAnsiTheme="majorHAnsi"/>
          <w:sz w:val="20"/>
          <w:szCs w:val="20"/>
        </w:rPr>
        <w:t>tactic of political repression based on systematic arrests for several hours or a few days, threats, acts of repudiation, and other forms of harassment of opposition activists</w:t>
      </w:r>
      <w:r w:rsidRPr="00B24750">
        <w:rPr>
          <w:rFonts w:asciiTheme="majorHAnsi" w:hAnsiTheme="majorHAnsi"/>
          <w:sz w:val="20"/>
          <w:szCs w:val="20"/>
        </w:rPr>
        <w:t>.”</w:t>
      </w:r>
      <w:r w:rsidRPr="00B24750">
        <w:rPr>
          <w:rStyle w:val="FootnoteReference"/>
          <w:rFonts w:asciiTheme="majorHAnsi" w:hAnsiTheme="majorHAnsi"/>
          <w:sz w:val="20"/>
          <w:szCs w:val="20"/>
        </w:rPr>
        <w:footnoteReference w:id="47"/>
      </w:r>
      <w:r w:rsidRPr="00B24750">
        <w:rPr>
          <w:rFonts w:asciiTheme="majorHAnsi" w:hAnsiTheme="majorHAnsi"/>
          <w:sz w:val="20"/>
          <w:szCs w:val="20"/>
        </w:rPr>
        <w:t xml:space="preserve"> In 2011, through its Office of the Special Rapporteur for Freedom of Expression, the IACHR </w:t>
      </w:r>
      <w:r w:rsidR="009E710C">
        <w:rPr>
          <w:rFonts w:asciiTheme="majorHAnsi" w:hAnsiTheme="majorHAnsi"/>
          <w:sz w:val="20"/>
          <w:szCs w:val="20"/>
        </w:rPr>
        <w:t>n</w:t>
      </w:r>
      <w:r w:rsidR="00067677">
        <w:rPr>
          <w:rFonts w:asciiTheme="majorHAnsi" w:hAnsiTheme="majorHAnsi"/>
          <w:sz w:val="20"/>
          <w:szCs w:val="20"/>
        </w:rPr>
        <w:t>oted</w:t>
      </w:r>
      <w:r w:rsidRPr="00B24750">
        <w:rPr>
          <w:rFonts w:asciiTheme="majorHAnsi" w:hAnsiTheme="majorHAnsi"/>
          <w:sz w:val="20"/>
          <w:szCs w:val="20"/>
        </w:rPr>
        <w:t xml:space="preserve"> the “context of worsening arrests and harassment against political and human rights activists.”</w:t>
      </w:r>
      <w:r w:rsidRPr="00B24750">
        <w:rPr>
          <w:rStyle w:val="FootnoteReference"/>
          <w:rFonts w:asciiTheme="majorHAnsi" w:hAnsiTheme="majorHAnsi"/>
          <w:sz w:val="20"/>
          <w:szCs w:val="20"/>
        </w:rPr>
        <w:footnoteReference w:id="48"/>
      </w:r>
    </w:p>
    <w:p w14:paraId="200F68AE" w14:textId="77777777" w:rsidR="006508D8" w:rsidRPr="00B24750" w:rsidRDefault="006508D8" w:rsidP="009D14E7">
      <w:pPr>
        <w:autoSpaceDE w:val="0"/>
        <w:autoSpaceDN w:val="0"/>
        <w:adjustRightInd w:val="0"/>
        <w:jc w:val="both"/>
        <w:rPr>
          <w:rFonts w:asciiTheme="majorHAnsi" w:hAnsiTheme="majorHAnsi"/>
          <w:sz w:val="20"/>
          <w:szCs w:val="20"/>
          <w:lang w:val="en-US"/>
        </w:rPr>
      </w:pPr>
    </w:p>
    <w:p w14:paraId="66BA87DC" w14:textId="1D5C08F9" w:rsidR="000B6086" w:rsidRPr="00B24750" w:rsidRDefault="000B6086"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color w:val="auto"/>
          <w:sz w:val="20"/>
          <w:szCs w:val="20"/>
        </w:rPr>
        <w:t xml:space="preserve">In 2012, the Commission </w:t>
      </w:r>
      <w:r w:rsidR="00067677">
        <w:rPr>
          <w:rFonts w:asciiTheme="majorHAnsi" w:hAnsiTheme="majorHAnsi"/>
          <w:color w:val="auto"/>
          <w:sz w:val="20"/>
          <w:szCs w:val="20"/>
        </w:rPr>
        <w:t>identified</w:t>
      </w:r>
      <w:r w:rsidRPr="00B24750">
        <w:rPr>
          <w:rFonts w:asciiTheme="majorHAnsi" w:hAnsiTheme="majorHAnsi"/>
          <w:color w:val="auto"/>
          <w:sz w:val="20"/>
          <w:szCs w:val="20"/>
        </w:rPr>
        <w:t xml:space="preserve"> “</w:t>
      </w:r>
      <w:r w:rsidRPr="00B24750">
        <w:rPr>
          <w:rFonts w:asciiTheme="majorHAnsi" w:hAnsiTheme="majorHAnsi" w:cs="Tahoma"/>
          <w:color w:val="auto"/>
          <w:sz w:val="20"/>
          <w:szCs w:val="20"/>
          <w:shd w:val="clear" w:color="auto" w:fill="FFFFFF"/>
        </w:rPr>
        <w:t>temporary arbitrary detentions were still being made and could last hours or even a few days. The victims were persons identified as opponents of the regime and the idea was to prevent them from participating in political activities or to respond to demonstrations or the circulation of messages critical of the government.”</w:t>
      </w:r>
      <w:r w:rsidRPr="00B24750">
        <w:rPr>
          <w:rStyle w:val="FootnoteReference"/>
          <w:rFonts w:asciiTheme="majorHAnsi" w:hAnsiTheme="majorHAnsi" w:cs="Tahoma"/>
          <w:color w:val="auto"/>
          <w:sz w:val="20"/>
          <w:szCs w:val="20"/>
          <w:shd w:val="clear" w:color="auto" w:fill="FFFFFF"/>
        </w:rPr>
        <w:footnoteReference w:id="49"/>
      </w:r>
      <w:r w:rsidRPr="00B24750">
        <w:rPr>
          <w:rFonts w:asciiTheme="majorHAnsi" w:hAnsiTheme="majorHAnsi" w:cs="Tahoma"/>
          <w:color w:val="auto"/>
          <w:sz w:val="20"/>
          <w:szCs w:val="20"/>
          <w:shd w:val="clear" w:color="auto" w:fill="FFFFFF"/>
        </w:rPr>
        <w:t xml:space="preserve">  </w:t>
      </w:r>
    </w:p>
    <w:p w14:paraId="7140A3E4" w14:textId="77777777" w:rsidR="00470318" w:rsidRPr="00B24750" w:rsidRDefault="00470318" w:rsidP="009D14E7">
      <w:pPr>
        <w:autoSpaceDE w:val="0"/>
        <w:autoSpaceDN w:val="0"/>
        <w:adjustRightInd w:val="0"/>
        <w:jc w:val="both"/>
        <w:rPr>
          <w:rFonts w:asciiTheme="majorHAnsi" w:hAnsiTheme="majorHAnsi" w:cs="Tahoma"/>
          <w:bCs/>
          <w:sz w:val="20"/>
          <w:szCs w:val="20"/>
          <w:lang w:val="en-US"/>
        </w:rPr>
      </w:pPr>
    </w:p>
    <w:p w14:paraId="4D2232E7" w14:textId="716233C0" w:rsidR="000D40C7" w:rsidRPr="00B24750" w:rsidRDefault="000B6086"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cs="Tahoma"/>
          <w:color w:val="auto"/>
          <w:sz w:val="20"/>
          <w:szCs w:val="20"/>
          <w:shd w:val="clear" w:color="auto" w:fill="FFFFFF"/>
        </w:rPr>
        <w:t xml:space="preserve">In its 2012 Annual Report, the IACHR noted that these actions were part of a pattern in Cuba. For the IACHR, </w:t>
      </w:r>
      <w:r w:rsidR="00683C71" w:rsidRPr="00B24750">
        <w:rPr>
          <w:rFonts w:asciiTheme="majorHAnsi" w:hAnsiTheme="majorHAnsi" w:cs="Tahoma"/>
          <w:color w:val="auto"/>
          <w:sz w:val="20"/>
          <w:szCs w:val="20"/>
          <w:shd w:val="clear" w:color="auto" w:fill="FFFFFF"/>
        </w:rPr>
        <w:t>“</w:t>
      </w:r>
      <w:r w:rsidR="00683C71" w:rsidRPr="00B24750">
        <w:rPr>
          <w:rFonts w:asciiTheme="majorHAnsi" w:hAnsiTheme="majorHAnsi"/>
          <w:sz w:val="20"/>
          <w:szCs w:val="20"/>
        </w:rPr>
        <w:t xml:space="preserve">The restrictions on political rights, on the right to freedom of association, freedom of expression, freedom of thought, the lack of elections, the lack of an independent judicial branch and restrictions on freedom </w:t>
      </w:r>
      <w:r w:rsidR="00683C71" w:rsidRPr="00B24750">
        <w:rPr>
          <w:rFonts w:asciiTheme="majorHAnsi" w:hAnsiTheme="majorHAnsi"/>
          <w:sz w:val="20"/>
          <w:szCs w:val="20"/>
        </w:rPr>
        <w:lastRenderedPageBreak/>
        <w:t>of movement have, over the decades, become permanent fixtures in systematic violations of the human rights of the Cuban people</w:t>
      </w:r>
      <w:r w:rsidRPr="00B24750">
        <w:rPr>
          <w:rFonts w:asciiTheme="majorHAnsi" w:hAnsiTheme="majorHAnsi"/>
          <w:sz w:val="20"/>
          <w:szCs w:val="20"/>
        </w:rPr>
        <w:t>.”</w:t>
      </w:r>
      <w:r w:rsidRPr="00B24750">
        <w:rPr>
          <w:rStyle w:val="FootnoteReference"/>
          <w:rFonts w:asciiTheme="majorHAnsi" w:hAnsiTheme="majorHAnsi"/>
          <w:sz w:val="20"/>
          <w:szCs w:val="20"/>
        </w:rPr>
        <w:footnoteReference w:id="50"/>
      </w:r>
      <w:r w:rsidRPr="00B24750">
        <w:rPr>
          <w:rFonts w:asciiTheme="majorHAnsi" w:hAnsiTheme="majorHAnsi"/>
          <w:sz w:val="20"/>
          <w:szCs w:val="20"/>
        </w:rPr>
        <w:t xml:space="preserve"> </w:t>
      </w:r>
    </w:p>
    <w:p w14:paraId="23E6A060" w14:textId="77777777" w:rsidR="000D40C7" w:rsidRPr="00B24750" w:rsidRDefault="000D40C7" w:rsidP="009D14E7">
      <w:pPr>
        <w:pStyle w:val="ListParagraph"/>
        <w:autoSpaceDE w:val="0"/>
        <w:autoSpaceDN w:val="0"/>
        <w:adjustRightInd w:val="0"/>
        <w:ind w:left="0"/>
        <w:jc w:val="both"/>
        <w:rPr>
          <w:rFonts w:asciiTheme="majorHAnsi" w:hAnsiTheme="majorHAnsi" w:cs="Tahoma"/>
          <w:bCs/>
          <w:color w:val="auto"/>
          <w:sz w:val="20"/>
          <w:szCs w:val="20"/>
        </w:rPr>
      </w:pPr>
    </w:p>
    <w:p w14:paraId="59EC7632" w14:textId="22084CC8" w:rsidR="00470318" w:rsidRPr="00B24750" w:rsidRDefault="000D40C7"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sz w:val="20"/>
          <w:szCs w:val="20"/>
        </w:rPr>
        <w:t>In its 2013 Annual Report, the IACHR similarly identified the continuation of arrests, attacks, and threats against journalists, members of the opposition, and demonstrators, in addition to censorship and the seizure of journalistic material.</w:t>
      </w:r>
      <w:r w:rsidRPr="00B24750">
        <w:rPr>
          <w:rStyle w:val="FootnoteReference"/>
          <w:rFonts w:asciiTheme="majorHAnsi" w:hAnsiTheme="majorHAnsi"/>
          <w:sz w:val="20"/>
          <w:szCs w:val="20"/>
        </w:rPr>
        <w:footnoteReference w:id="51"/>
      </w:r>
      <w:r w:rsidRPr="00B24750">
        <w:rPr>
          <w:rFonts w:asciiTheme="majorHAnsi" w:hAnsiTheme="majorHAnsi"/>
          <w:sz w:val="20"/>
          <w:szCs w:val="20"/>
        </w:rPr>
        <w:t xml:space="preserve"> </w:t>
      </w:r>
      <w:r w:rsidR="00D64D62" w:rsidRPr="00B24750">
        <w:rPr>
          <w:rFonts w:asciiTheme="majorHAnsi" w:hAnsiTheme="majorHAnsi"/>
          <w:sz w:val="20"/>
          <w:szCs w:val="20"/>
        </w:rPr>
        <w:t>It therefore</w:t>
      </w:r>
      <w:r w:rsidRPr="00B24750">
        <w:rPr>
          <w:rFonts w:asciiTheme="majorHAnsi" w:hAnsiTheme="majorHAnsi"/>
          <w:sz w:val="20"/>
          <w:szCs w:val="20"/>
        </w:rPr>
        <w:t xml:space="preserve"> recommended that Cuba </w:t>
      </w:r>
      <w:r w:rsidR="00D64D62" w:rsidRPr="00B24750">
        <w:rPr>
          <w:rFonts w:asciiTheme="majorHAnsi" w:hAnsiTheme="majorHAnsi"/>
          <w:sz w:val="20"/>
          <w:szCs w:val="20"/>
        </w:rPr>
        <w:t>conduct</w:t>
      </w:r>
      <w:r w:rsidRPr="00B24750">
        <w:rPr>
          <w:rFonts w:asciiTheme="majorHAnsi" w:hAnsiTheme="majorHAnsi"/>
          <w:sz w:val="20"/>
          <w:szCs w:val="20"/>
        </w:rPr>
        <w:t xml:space="preserve"> “serious, impartial</w:t>
      </w:r>
      <w:r w:rsidR="00D64D62" w:rsidRPr="00B24750">
        <w:rPr>
          <w:rFonts w:asciiTheme="majorHAnsi" w:hAnsiTheme="majorHAnsi"/>
          <w:sz w:val="20"/>
          <w:szCs w:val="20"/>
        </w:rPr>
        <w:t>,</w:t>
      </w:r>
      <w:r w:rsidRPr="00B24750">
        <w:rPr>
          <w:rFonts w:asciiTheme="majorHAnsi" w:hAnsiTheme="majorHAnsi"/>
          <w:sz w:val="20"/>
          <w:szCs w:val="20"/>
        </w:rPr>
        <w:t xml:space="preserve"> and effective investigations into attacks, threats</w:t>
      </w:r>
      <w:r w:rsidR="00D64D62" w:rsidRPr="00B24750">
        <w:rPr>
          <w:rFonts w:asciiTheme="majorHAnsi" w:hAnsiTheme="majorHAnsi"/>
          <w:sz w:val="20"/>
          <w:szCs w:val="20"/>
        </w:rPr>
        <w:t>,</w:t>
      </w:r>
      <w:r w:rsidRPr="00B24750">
        <w:rPr>
          <w:rFonts w:asciiTheme="majorHAnsi" w:hAnsiTheme="majorHAnsi"/>
          <w:sz w:val="20"/>
          <w:szCs w:val="20"/>
        </w:rPr>
        <w:t xml:space="preserve"> and acts of intimidation committed against journalists and </w:t>
      </w:r>
      <w:r w:rsidR="00D64D62" w:rsidRPr="00B24750">
        <w:rPr>
          <w:rFonts w:asciiTheme="majorHAnsi" w:hAnsiTheme="majorHAnsi"/>
          <w:sz w:val="20"/>
          <w:szCs w:val="20"/>
        </w:rPr>
        <w:t xml:space="preserve">others working in the </w:t>
      </w:r>
      <w:r w:rsidRPr="00B24750">
        <w:rPr>
          <w:rFonts w:asciiTheme="majorHAnsi" w:hAnsiTheme="majorHAnsi"/>
          <w:sz w:val="20"/>
          <w:szCs w:val="20"/>
        </w:rPr>
        <w:t>media.”</w:t>
      </w:r>
      <w:r w:rsidRPr="00B24750">
        <w:rPr>
          <w:rStyle w:val="FootnoteReference"/>
          <w:rFonts w:asciiTheme="majorHAnsi" w:hAnsiTheme="majorHAnsi"/>
          <w:sz w:val="20"/>
          <w:szCs w:val="20"/>
        </w:rPr>
        <w:footnoteReference w:id="52"/>
      </w:r>
    </w:p>
    <w:p w14:paraId="022FBB9E" w14:textId="77777777" w:rsidR="000D40C7" w:rsidRPr="00B24750" w:rsidRDefault="000D40C7" w:rsidP="009D14E7">
      <w:pPr>
        <w:autoSpaceDE w:val="0"/>
        <w:autoSpaceDN w:val="0"/>
        <w:adjustRightInd w:val="0"/>
        <w:jc w:val="both"/>
        <w:rPr>
          <w:rFonts w:asciiTheme="majorHAnsi" w:hAnsiTheme="majorHAnsi" w:cs="Tahoma"/>
          <w:bCs/>
          <w:sz w:val="20"/>
          <w:szCs w:val="20"/>
          <w:lang w:val="en-US"/>
        </w:rPr>
      </w:pPr>
    </w:p>
    <w:p w14:paraId="4540B20B" w14:textId="337661D5" w:rsidR="00342E77" w:rsidRPr="00B24750" w:rsidRDefault="00342E77"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sz w:val="20"/>
          <w:szCs w:val="20"/>
        </w:rPr>
        <w:t>In 2014, the IACHR held a hearing on the “human rights situation of journalists in Cuba.” At this hearing, the Commission received information on the ongoing violations of the rights to freedom of expression, association, and freedom of movement of independent journalists in Cuba. This is reflected in arbitrary detentions, assaults, persecution, harassment, surveillance, seizure of work equipment, and threats by state agents. The petitioners noted that, in the first months of the year, the authorities reportedly detained 1,817 members of civil society, 31 of whom were independent journalists. They also pointed out that, at that time, there were at least 68 human rights activists in prison in the country, three of them journalists who had been arrested for having expressed themselves freely.</w:t>
      </w:r>
      <w:r w:rsidRPr="00B24750">
        <w:rPr>
          <w:rStyle w:val="FootnoteReference"/>
          <w:rFonts w:asciiTheme="majorHAnsi" w:hAnsiTheme="majorHAnsi"/>
          <w:sz w:val="20"/>
          <w:szCs w:val="20"/>
        </w:rPr>
        <w:footnoteReference w:id="53"/>
      </w:r>
    </w:p>
    <w:p w14:paraId="2D0AEB73" w14:textId="77777777" w:rsidR="00BF5220" w:rsidRPr="00B24750" w:rsidRDefault="00BF5220" w:rsidP="009D14E7">
      <w:pPr>
        <w:pStyle w:val="ListParagraph"/>
        <w:autoSpaceDE w:val="0"/>
        <w:autoSpaceDN w:val="0"/>
        <w:adjustRightInd w:val="0"/>
        <w:ind w:left="0"/>
        <w:jc w:val="both"/>
        <w:rPr>
          <w:rFonts w:asciiTheme="majorHAnsi" w:hAnsiTheme="majorHAnsi" w:cs="Tahoma"/>
          <w:bCs/>
          <w:color w:val="auto"/>
          <w:sz w:val="20"/>
          <w:szCs w:val="20"/>
        </w:rPr>
      </w:pPr>
    </w:p>
    <w:p w14:paraId="7A6A0EBF" w14:textId="07A40420" w:rsidR="00FE05C7" w:rsidRPr="00B24750" w:rsidRDefault="00555014"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cs="Tahoma"/>
          <w:bCs/>
          <w:color w:val="auto"/>
          <w:sz w:val="20"/>
          <w:szCs w:val="20"/>
        </w:rPr>
        <w:t xml:space="preserve">The lack of independence of the judiciary and investigative bodies in Cuba provide even more opportunities for attacks against freedom of expression. </w:t>
      </w:r>
      <w:r w:rsidR="00A97F69" w:rsidRPr="00A97F69">
        <w:rPr>
          <w:rFonts w:asciiTheme="majorHAnsi" w:hAnsiTheme="majorHAnsi" w:cs="Tahoma"/>
          <w:bCs/>
          <w:color w:val="auto"/>
          <w:sz w:val="20"/>
          <w:szCs w:val="20"/>
        </w:rPr>
        <w:t>Regarding the functioning of the courts in Cuba, the IACHR pointed out the following</w:t>
      </w:r>
      <w:r w:rsidR="008527FC">
        <w:rPr>
          <w:rFonts w:asciiTheme="majorHAnsi" w:hAnsiTheme="majorHAnsi" w:cs="Tahoma"/>
          <w:bCs/>
          <w:color w:val="auto"/>
          <w:sz w:val="20"/>
          <w:szCs w:val="20"/>
        </w:rPr>
        <w:t xml:space="preserve"> i</w:t>
      </w:r>
      <w:r w:rsidRPr="00B24750">
        <w:rPr>
          <w:rFonts w:asciiTheme="majorHAnsi" w:hAnsiTheme="majorHAnsi" w:cs="Tahoma"/>
          <w:bCs/>
          <w:color w:val="auto"/>
          <w:sz w:val="20"/>
          <w:szCs w:val="20"/>
        </w:rPr>
        <w:t>n its 2015 Annual Report</w:t>
      </w:r>
      <w:r w:rsidR="00FE05C7" w:rsidRPr="00B24750">
        <w:rPr>
          <w:rFonts w:asciiTheme="majorHAnsi" w:hAnsiTheme="majorHAnsi" w:cs="Tahoma"/>
          <w:bCs/>
          <w:color w:val="auto"/>
          <w:sz w:val="20"/>
          <w:szCs w:val="20"/>
        </w:rPr>
        <w:t xml:space="preserve">: </w:t>
      </w:r>
    </w:p>
    <w:p w14:paraId="0FA312F0" w14:textId="77777777" w:rsidR="00BF5220" w:rsidRPr="00B24750" w:rsidRDefault="00BF5220" w:rsidP="00BF5220">
      <w:pPr>
        <w:pStyle w:val="ListParagraph"/>
        <w:autoSpaceDE w:val="0"/>
        <w:autoSpaceDN w:val="0"/>
        <w:adjustRightInd w:val="0"/>
        <w:ind w:right="288"/>
        <w:jc w:val="both"/>
        <w:rPr>
          <w:rFonts w:asciiTheme="majorHAnsi" w:hAnsiTheme="majorHAnsi" w:cs="Tahoma"/>
          <w:bCs/>
          <w:color w:val="auto"/>
          <w:sz w:val="20"/>
          <w:szCs w:val="20"/>
        </w:rPr>
      </w:pPr>
    </w:p>
    <w:p w14:paraId="51C4A6AD" w14:textId="33761BCF" w:rsidR="00FE05C7" w:rsidRPr="00B24750" w:rsidRDefault="00035D67" w:rsidP="00BC1D7E">
      <w:pPr>
        <w:pStyle w:val="ListParagraph"/>
        <w:autoSpaceDE w:val="0"/>
        <w:autoSpaceDN w:val="0"/>
        <w:adjustRightInd w:val="0"/>
        <w:ind w:right="864"/>
        <w:jc w:val="both"/>
        <w:rPr>
          <w:rFonts w:asciiTheme="majorHAnsi" w:hAnsiTheme="majorHAnsi"/>
          <w:color w:val="auto"/>
          <w:sz w:val="18"/>
          <w:szCs w:val="18"/>
        </w:rPr>
      </w:pPr>
      <w:r w:rsidRPr="00B24750">
        <w:rPr>
          <w:rFonts w:asciiTheme="majorHAnsi" w:hAnsiTheme="majorHAnsi"/>
          <w:color w:val="auto"/>
          <w:sz w:val="18"/>
          <w:szCs w:val="18"/>
        </w:rPr>
        <w:t>As regards the judicial guarantee regarding the independence of the courts from the other public authorities, the Commission has already referred to Article 121 of the Constitution of Cuba, which provides: “The tribunals constitute a system of State organs, structured with functional independence from any other, and subordinate hierarchically to the National Assembly of the People’s Power and the Council of State.” In the view of the Commission, the subordination of the courts to the Council of State, presided over by the Head of State, represents direct dependence of the judicial branch on the dictates of the executive branch. The IACHR has considered that this dependence on the executive does not provide for an independent judiciary capable of providing guarantees for the enjoyment of human rights</w:t>
      </w:r>
      <w:r w:rsidR="00555014" w:rsidRPr="00B24750">
        <w:rPr>
          <w:rFonts w:asciiTheme="majorHAnsi" w:hAnsiTheme="majorHAnsi"/>
          <w:color w:val="auto"/>
          <w:sz w:val="18"/>
          <w:szCs w:val="18"/>
        </w:rPr>
        <w:t>.</w:t>
      </w:r>
      <w:r w:rsidR="00FE05C7" w:rsidRPr="00B24750">
        <w:rPr>
          <w:rFonts w:asciiTheme="majorHAnsi" w:hAnsiTheme="majorHAnsi"/>
          <w:sz w:val="18"/>
          <w:szCs w:val="18"/>
          <w:vertAlign w:val="superscript"/>
        </w:rPr>
        <w:footnoteReference w:id="54"/>
      </w:r>
    </w:p>
    <w:p w14:paraId="500C9C4A" w14:textId="77777777" w:rsidR="00BF5220" w:rsidRPr="00B24750" w:rsidRDefault="00BF5220" w:rsidP="00810F85">
      <w:pPr>
        <w:pStyle w:val="ListParagraph"/>
        <w:autoSpaceDE w:val="0"/>
        <w:autoSpaceDN w:val="0"/>
        <w:adjustRightInd w:val="0"/>
        <w:ind w:left="284" w:right="288"/>
        <w:jc w:val="both"/>
        <w:rPr>
          <w:rFonts w:asciiTheme="majorHAnsi" w:hAnsiTheme="majorHAnsi"/>
          <w:color w:val="auto"/>
          <w:sz w:val="20"/>
          <w:szCs w:val="20"/>
        </w:rPr>
      </w:pPr>
    </w:p>
    <w:p w14:paraId="4B220930" w14:textId="20667283" w:rsidR="00ED1DEA" w:rsidRPr="00B24750" w:rsidRDefault="00ED1DEA"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 xml:space="preserve">Given the close relationship between access to justice and the enjoyment of human rights, in 2016 the IACHR </w:t>
      </w:r>
      <w:r w:rsidR="00FF389D" w:rsidRPr="00FF389D">
        <w:rPr>
          <w:rFonts w:asciiTheme="majorHAnsi" w:hAnsiTheme="majorHAnsi"/>
          <w:color w:val="auto"/>
          <w:sz w:val="20"/>
          <w:szCs w:val="20"/>
        </w:rPr>
        <w:t xml:space="preserve">identified the non-existence of guarantees for </w:t>
      </w:r>
      <w:r w:rsidRPr="00B24750">
        <w:rPr>
          <w:rFonts w:asciiTheme="majorHAnsi" w:hAnsiTheme="majorHAnsi"/>
          <w:sz w:val="20"/>
          <w:szCs w:val="20"/>
        </w:rPr>
        <w:t xml:space="preserve">the free practice of journalism and the safety of those who are </w:t>
      </w:r>
      <w:r w:rsidR="00775321" w:rsidRPr="00B24750">
        <w:rPr>
          <w:rFonts w:asciiTheme="majorHAnsi" w:hAnsiTheme="majorHAnsi"/>
          <w:sz w:val="20"/>
          <w:szCs w:val="20"/>
        </w:rPr>
        <w:t>especially</w:t>
      </w:r>
      <w:r w:rsidRPr="00B24750">
        <w:rPr>
          <w:rFonts w:asciiTheme="majorHAnsi" w:hAnsiTheme="majorHAnsi"/>
          <w:sz w:val="20"/>
          <w:szCs w:val="20"/>
        </w:rPr>
        <w:t xml:space="preserve"> at risk</w:t>
      </w:r>
      <w:r w:rsidR="005B6176">
        <w:rPr>
          <w:rFonts w:asciiTheme="majorHAnsi" w:hAnsiTheme="majorHAnsi"/>
          <w:sz w:val="20"/>
          <w:szCs w:val="20"/>
        </w:rPr>
        <w:t xml:space="preserve"> due to</w:t>
      </w:r>
      <w:r w:rsidR="006E62A8">
        <w:rPr>
          <w:rFonts w:asciiTheme="majorHAnsi" w:hAnsiTheme="majorHAnsi"/>
          <w:sz w:val="20"/>
          <w:szCs w:val="20"/>
        </w:rPr>
        <w:t xml:space="preserve"> exercising </w:t>
      </w:r>
      <w:r w:rsidRPr="00B24750">
        <w:rPr>
          <w:rFonts w:asciiTheme="majorHAnsi" w:hAnsiTheme="majorHAnsi"/>
          <w:sz w:val="20"/>
          <w:szCs w:val="20"/>
        </w:rPr>
        <w:t>their right to freedom of expression, whether the threats come from State agents or private individuals</w:t>
      </w:r>
      <w:r w:rsidR="00205011" w:rsidRPr="00B24750">
        <w:rPr>
          <w:rFonts w:asciiTheme="majorHAnsi" w:hAnsiTheme="majorHAnsi"/>
          <w:sz w:val="20"/>
          <w:szCs w:val="20"/>
        </w:rPr>
        <w:t xml:space="preserve">, and </w:t>
      </w:r>
      <w:r w:rsidR="00F61016">
        <w:rPr>
          <w:rFonts w:asciiTheme="majorHAnsi" w:hAnsiTheme="majorHAnsi"/>
          <w:sz w:val="20"/>
          <w:szCs w:val="20"/>
        </w:rPr>
        <w:t>the lack of</w:t>
      </w:r>
      <w:r w:rsidR="00205011" w:rsidRPr="00B24750">
        <w:rPr>
          <w:rFonts w:asciiTheme="majorHAnsi" w:hAnsiTheme="majorHAnsi"/>
          <w:sz w:val="20"/>
          <w:szCs w:val="20"/>
        </w:rPr>
        <w:t xml:space="preserve"> </w:t>
      </w:r>
      <w:r w:rsidRPr="00B24750">
        <w:rPr>
          <w:rFonts w:asciiTheme="majorHAnsi" w:hAnsiTheme="majorHAnsi"/>
          <w:sz w:val="20"/>
          <w:szCs w:val="20"/>
        </w:rPr>
        <w:t>diligent, impartial, and effective investigations into th</w:t>
      </w:r>
      <w:r w:rsidR="00205011" w:rsidRPr="00B24750">
        <w:rPr>
          <w:rFonts w:asciiTheme="majorHAnsi" w:hAnsiTheme="majorHAnsi"/>
          <w:sz w:val="20"/>
          <w:szCs w:val="20"/>
        </w:rPr>
        <w:t>ese facts. T</w:t>
      </w:r>
      <w:r w:rsidRPr="00B24750">
        <w:rPr>
          <w:rFonts w:asciiTheme="majorHAnsi" w:hAnsiTheme="majorHAnsi"/>
          <w:sz w:val="20"/>
          <w:szCs w:val="20"/>
        </w:rPr>
        <w:t xml:space="preserve">he IACHR </w:t>
      </w:r>
      <w:r w:rsidR="00205011" w:rsidRPr="00B24750">
        <w:rPr>
          <w:rFonts w:asciiTheme="majorHAnsi" w:hAnsiTheme="majorHAnsi"/>
          <w:sz w:val="20"/>
          <w:szCs w:val="20"/>
        </w:rPr>
        <w:t xml:space="preserve">also </w:t>
      </w:r>
      <w:r w:rsidRPr="00B24750">
        <w:rPr>
          <w:rFonts w:asciiTheme="majorHAnsi" w:hAnsiTheme="majorHAnsi"/>
          <w:sz w:val="20"/>
          <w:szCs w:val="20"/>
        </w:rPr>
        <w:t>urge</w:t>
      </w:r>
      <w:r w:rsidR="00205011" w:rsidRPr="00B24750">
        <w:rPr>
          <w:rFonts w:asciiTheme="majorHAnsi" w:hAnsiTheme="majorHAnsi"/>
          <w:sz w:val="20"/>
          <w:szCs w:val="20"/>
        </w:rPr>
        <w:t>d</w:t>
      </w:r>
      <w:r w:rsidRPr="00B24750">
        <w:rPr>
          <w:rFonts w:asciiTheme="majorHAnsi" w:hAnsiTheme="majorHAnsi"/>
          <w:sz w:val="20"/>
          <w:szCs w:val="20"/>
        </w:rPr>
        <w:t xml:space="preserve"> the State of Cuba to ensure that the perpetrators are tried by impartial and independent courts, removing </w:t>
      </w:r>
      <w:r w:rsidR="00205011" w:rsidRPr="00B24750">
        <w:rPr>
          <w:rFonts w:asciiTheme="majorHAnsi" w:hAnsiTheme="majorHAnsi"/>
          <w:sz w:val="20"/>
          <w:szCs w:val="20"/>
        </w:rPr>
        <w:t xml:space="preserve">any </w:t>
      </w:r>
      <w:r w:rsidRPr="00B24750">
        <w:rPr>
          <w:rFonts w:asciiTheme="majorHAnsi" w:hAnsiTheme="majorHAnsi"/>
          <w:sz w:val="20"/>
          <w:szCs w:val="20"/>
        </w:rPr>
        <w:t xml:space="preserve">legal obstacles </w:t>
      </w:r>
      <w:r w:rsidR="00205011" w:rsidRPr="00B24750">
        <w:rPr>
          <w:rFonts w:asciiTheme="majorHAnsi" w:hAnsiTheme="majorHAnsi"/>
          <w:sz w:val="20"/>
          <w:szCs w:val="20"/>
        </w:rPr>
        <w:t>that may arise in the</w:t>
      </w:r>
      <w:r w:rsidRPr="00B24750">
        <w:rPr>
          <w:rFonts w:asciiTheme="majorHAnsi" w:hAnsiTheme="majorHAnsi"/>
          <w:sz w:val="20"/>
          <w:szCs w:val="20"/>
        </w:rPr>
        <w:t xml:space="preserve"> investigation and p</w:t>
      </w:r>
      <w:r w:rsidR="00205011" w:rsidRPr="00B24750">
        <w:rPr>
          <w:rFonts w:asciiTheme="majorHAnsi" w:hAnsiTheme="majorHAnsi"/>
          <w:sz w:val="20"/>
          <w:szCs w:val="20"/>
        </w:rPr>
        <w:t>rosecution</w:t>
      </w:r>
      <w:r w:rsidRPr="00B24750">
        <w:rPr>
          <w:rFonts w:asciiTheme="majorHAnsi" w:hAnsiTheme="majorHAnsi"/>
          <w:sz w:val="20"/>
          <w:szCs w:val="20"/>
        </w:rPr>
        <w:t>.</w:t>
      </w:r>
      <w:r w:rsidRPr="00B24750">
        <w:rPr>
          <w:rFonts w:asciiTheme="majorHAnsi" w:hAnsiTheme="majorHAnsi"/>
          <w:vertAlign w:val="superscript"/>
        </w:rPr>
        <w:footnoteReference w:id="55"/>
      </w:r>
      <w:r w:rsidRPr="00B24750">
        <w:rPr>
          <w:rFonts w:asciiTheme="majorHAnsi" w:hAnsiTheme="majorHAnsi"/>
          <w:sz w:val="20"/>
          <w:szCs w:val="20"/>
        </w:rPr>
        <w:t xml:space="preserve"> </w:t>
      </w:r>
    </w:p>
    <w:p w14:paraId="1D5AC2D7" w14:textId="77777777" w:rsidR="0031756E" w:rsidRPr="00B24750" w:rsidRDefault="0031756E" w:rsidP="009D14E7">
      <w:pPr>
        <w:pStyle w:val="ListParagraph"/>
        <w:tabs>
          <w:tab w:val="left" w:pos="9072"/>
        </w:tabs>
        <w:autoSpaceDE w:val="0"/>
        <w:autoSpaceDN w:val="0"/>
        <w:adjustRightInd w:val="0"/>
        <w:ind w:left="0"/>
        <w:jc w:val="both"/>
        <w:rPr>
          <w:rFonts w:asciiTheme="majorHAnsi" w:hAnsiTheme="majorHAnsi"/>
          <w:color w:val="auto"/>
          <w:sz w:val="20"/>
          <w:szCs w:val="20"/>
        </w:rPr>
      </w:pPr>
    </w:p>
    <w:p w14:paraId="4C056733" w14:textId="164D234A" w:rsidR="00FE05C7" w:rsidRPr="00B24750" w:rsidRDefault="00190E80"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Pr>
          <w:rFonts w:asciiTheme="majorHAnsi" w:hAnsiTheme="majorHAnsi" w:cs="Tahoma"/>
          <w:color w:val="auto"/>
          <w:sz w:val="20"/>
          <w:szCs w:val="20"/>
          <w:shd w:val="clear" w:color="auto" w:fill="FFFFFF"/>
        </w:rPr>
        <w:t xml:space="preserve">Likewise, </w:t>
      </w:r>
      <w:r w:rsidR="00070034" w:rsidRPr="00B24750">
        <w:rPr>
          <w:rFonts w:asciiTheme="majorHAnsi" w:hAnsiTheme="majorHAnsi" w:cs="Tahoma"/>
          <w:color w:val="auto"/>
          <w:sz w:val="20"/>
          <w:szCs w:val="20"/>
          <w:shd w:val="clear" w:color="auto" w:fill="FFFFFF"/>
        </w:rPr>
        <w:t xml:space="preserve">in 2016, the IACHR also </w:t>
      </w:r>
      <w:r w:rsidR="00FD1271" w:rsidRPr="00B24750">
        <w:rPr>
          <w:rFonts w:asciiTheme="majorHAnsi" w:hAnsiTheme="majorHAnsi" w:cs="Tahoma"/>
          <w:color w:val="auto"/>
          <w:sz w:val="20"/>
          <w:szCs w:val="20"/>
          <w:shd w:val="clear" w:color="auto" w:fill="FFFFFF"/>
        </w:rPr>
        <w:t>took note of</w:t>
      </w:r>
      <w:r w:rsidR="00070034" w:rsidRPr="00B24750">
        <w:rPr>
          <w:rFonts w:asciiTheme="majorHAnsi" w:hAnsiTheme="majorHAnsi" w:cs="Tahoma"/>
          <w:color w:val="auto"/>
          <w:sz w:val="20"/>
          <w:szCs w:val="20"/>
          <w:shd w:val="clear" w:color="auto" w:fill="FFFFFF"/>
        </w:rPr>
        <w:t xml:space="preserve"> “</w:t>
      </w:r>
      <w:r w:rsidR="00FD1271" w:rsidRPr="00B24750">
        <w:rPr>
          <w:rFonts w:asciiTheme="majorHAnsi" w:hAnsiTheme="majorHAnsi" w:cs="Tahoma"/>
          <w:bCs/>
          <w:color w:val="auto"/>
          <w:sz w:val="20"/>
          <w:szCs w:val="20"/>
        </w:rPr>
        <w:t>retaliation actions of the Cuban State against an organization dedicated to defending freedom of expression</w:t>
      </w:r>
      <w:r w:rsidR="00070034" w:rsidRPr="00B24750">
        <w:rPr>
          <w:rFonts w:asciiTheme="majorHAnsi" w:hAnsiTheme="majorHAnsi" w:cs="Tahoma"/>
          <w:bCs/>
          <w:color w:val="auto"/>
          <w:sz w:val="20"/>
          <w:szCs w:val="20"/>
        </w:rPr>
        <w:t>.”</w:t>
      </w:r>
      <w:r w:rsidR="00070034" w:rsidRPr="00B24750">
        <w:rPr>
          <w:rStyle w:val="FootnoteReference"/>
          <w:rFonts w:asciiTheme="majorHAnsi" w:hAnsiTheme="majorHAnsi" w:cs="Tahoma"/>
          <w:bCs/>
          <w:color w:val="auto"/>
          <w:sz w:val="20"/>
          <w:szCs w:val="20"/>
        </w:rPr>
        <w:footnoteReference w:id="56"/>
      </w:r>
      <w:r w:rsidR="00070034" w:rsidRPr="00B24750">
        <w:rPr>
          <w:rFonts w:asciiTheme="majorHAnsi" w:hAnsiTheme="majorHAnsi" w:cs="Tahoma"/>
          <w:bCs/>
          <w:color w:val="auto"/>
          <w:sz w:val="20"/>
          <w:szCs w:val="20"/>
        </w:rPr>
        <w:t xml:space="preserve"> In 2017 and 2018, the IACHR, especially through its annual reports, </w:t>
      </w:r>
      <w:r w:rsidR="00FD1271" w:rsidRPr="00B24750">
        <w:rPr>
          <w:rFonts w:asciiTheme="majorHAnsi" w:hAnsiTheme="majorHAnsi" w:cs="Tahoma"/>
          <w:bCs/>
          <w:color w:val="auto"/>
          <w:sz w:val="20"/>
          <w:szCs w:val="20"/>
        </w:rPr>
        <w:t>remained</w:t>
      </w:r>
      <w:r w:rsidR="00070034" w:rsidRPr="00B24750">
        <w:rPr>
          <w:rFonts w:asciiTheme="majorHAnsi" w:hAnsiTheme="majorHAnsi" w:cs="Tahoma"/>
          <w:bCs/>
          <w:color w:val="auto"/>
          <w:sz w:val="20"/>
          <w:szCs w:val="20"/>
        </w:rPr>
        <w:t xml:space="preserve"> attentive to </w:t>
      </w:r>
      <w:r w:rsidR="001D33D3">
        <w:rPr>
          <w:rFonts w:asciiTheme="majorHAnsi" w:hAnsiTheme="majorHAnsi" w:cs="Tahoma"/>
          <w:bCs/>
          <w:color w:val="auto"/>
          <w:sz w:val="20"/>
          <w:szCs w:val="20"/>
        </w:rPr>
        <w:t xml:space="preserve">context of </w:t>
      </w:r>
      <w:r w:rsidR="00070034" w:rsidRPr="00B24750">
        <w:rPr>
          <w:rFonts w:asciiTheme="majorHAnsi" w:hAnsiTheme="majorHAnsi" w:cs="Tahoma"/>
          <w:bCs/>
          <w:color w:val="auto"/>
          <w:sz w:val="20"/>
          <w:szCs w:val="20"/>
        </w:rPr>
        <w:t xml:space="preserve">the persecution of journalists in Cuba and </w:t>
      </w:r>
      <w:r w:rsidR="00FD1271" w:rsidRPr="00B24750">
        <w:rPr>
          <w:rFonts w:asciiTheme="majorHAnsi" w:hAnsiTheme="majorHAnsi" w:cs="Tahoma"/>
          <w:bCs/>
          <w:color w:val="auto"/>
          <w:sz w:val="20"/>
          <w:szCs w:val="20"/>
        </w:rPr>
        <w:t>noted that</w:t>
      </w:r>
      <w:r w:rsidR="00070034" w:rsidRPr="00B24750">
        <w:rPr>
          <w:rFonts w:asciiTheme="majorHAnsi" w:hAnsiTheme="majorHAnsi" w:cs="Tahoma"/>
          <w:bCs/>
          <w:color w:val="auto"/>
          <w:sz w:val="20"/>
          <w:szCs w:val="20"/>
        </w:rPr>
        <w:t xml:space="preserve"> </w:t>
      </w:r>
      <w:r w:rsidR="00070034" w:rsidRPr="00B24750">
        <w:rPr>
          <w:rFonts w:asciiTheme="majorHAnsi" w:hAnsiTheme="majorHAnsi"/>
          <w:sz w:val="20"/>
          <w:szCs w:val="20"/>
        </w:rPr>
        <w:t xml:space="preserve">violence </w:t>
      </w:r>
      <w:r w:rsidR="00FD1271" w:rsidRPr="00B24750">
        <w:rPr>
          <w:rFonts w:asciiTheme="majorHAnsi" w:hAnsiTheme="majorHAnsi"/>
          <w:sz w:val="20"/>
          <w:szCs w:val="20"/>
        </w:rPr>
        <w:t>as a consequence of</w:t>
      </w:r>
      <w:r w:rsidR="00070034" w:rsidRPr="00B24750">
        <w:rPr>
          <w:rFonts w:asciiTheme="majorHAnsi" w:hAnsiTheme="majorHAnsi"/>
          <w:sz w:val="20"/>
          <w:szCs w:val="20"/>
        </w:rPr>
        <w:t xml:space="preserve"> the exercise of freedom of expression</w:t>
      </w:r>
      <w:r w:rsidR="00FD1271" w:rsidRPr="00B24750">
        <w:rPr>
          <w:rFonts w:asciiTheme="majorHAnsi" w:hAnsiTheme="majorHAnsi"/>
          <w:sz w:val="20"/>
          <w:szCs w:val="20"/>
        </w:rPr>
        <w:t xml:space="preserve"> continued to </w:t>
      </w:r>
      <w:r w:rsidR="005B6176">
        <w:rPr>
          <w:rFonts w:asciiTheme="majorHAnsi" w:hAnsiTheme="majorHAnsi"/>
          <w:sz w:val="20"/>
          <w:szCs w:val="20"/>
        </w:rPr>
        <w:t>b</w:t>
      </w:r>
      <w:r w:rsidR="00FD1271" w:rsidRPr="00B24750">
        <w:rPr>
          <w:rFonts w:asciiTheme="majorHAnsi" w:hAnsiTheme="majorHAnsi"/>
          <w:sz w:val="20"/>
          <w:szCs w:val="20"/>
        </w:rPr>
        <w:t>e met with impunity</w:t>
      </w:r>
      <w:r w:rsidR="00070034" w:rsidRPr="00B24750">
        <w:rPr>
          <w:rFonts w:asciiTheme="majorHAnsi" w:hAnsiTheme="majorHAnsi"/>
          <w:sz w:val="20"/>
          <w:szCs w:val="20"/>
        </w:rPr>
        <w:t xml:space="preserve">. </w:t>
      </w:r>
      <w:r w:rsidR="00FD1271" w:rsidRPr="00B24750">
        <w:rPr>
          <w:rFonts w:asciiTheme="majorHAnsi" w:hAnsiTheme="majorHAnsi"/>
          <w:sz w:val="20"/>
          <w:szCs w:val="20"/>
        </w:rPr>
        <w:t>The</w:t>
      </w:r>
      <w:r w:rsidR="00070034" w:rsidRPr="00B24750">
        <w:rPr>
          <w:rFonts w:asciiTheme="majorHAnsi" w:hAnsiTheme="majorHAnsi"/>
          <w:sz w:val="20"/>
          <w:szCs w:val="20"/>
        </w:rPr>
        <w:t xml:space="preserve"> IACHR noted that “</w:t>
      </w:r>
      <w:r w:rsidR="00070034" w:rsidRPr="00B24750">
        <w:rPr>
          <w:rFonts w:asciiTheme="majorHAnsi" w:hAnsiTheme="majorHAnsi"/>
          <w:color w:val="auto"/>
          <w:sz w:val="20"/>
          <w:szCs w:val="20"/>
        </w:rPr>
        <w:t xml:space="preserve">the lack of independence of the </w:t>
      </w:r>
      <w:r w:rsidR="00FD1271" w:rsidRPr="00B24750">
        <w:rPr>
          <w:rFonts w:asciiTheme="majorHAnsi" w:hAnsiTheme="majorHAnsi"/>
          <w:color w:val="auto"/>
          <w:sz w:val="20"/>
          <w:szCs w:val="20"/>
        </w:rPr>
        <w:t>j</w:t>
      </w:r>
      <w:r w:rsidR="00070034" w:rsidRPr="00B24750">
        <w:rPr>
          <w:rFonts w:asciiTheme="majorHAnsi" w:hAnsiTheme="majorHAnsi"/>
          <w:color w:val="auto"/>
          <w:sz w:val="20"/>
          <w:szCs w:val="20"/>
        </w:rPr>
        <w:t>udi</w:t>
      </w:r>
      <w:r w:rsidR="00496BF7" w:rsidRPr="00B24750">
        <w:rPr>
          <w:rFonts w:asciiTheme="majorHAnsi" w:hAnsiTheme="majorHAnsi"/>
          <w:color w:val="auto"/>
          <w:sz w:val="20"/>
          <w:szCs w:val="20"/>
        </w:rPr>
        <w:t xml:space="preserve">cial branch </w:t>
      </w:r>
      <w:r w:rsidR="00070034" w:rsidRPr="00B24750">
        <w:rPr>
          <w:rFonts w:asciiTheme="majorHAnsi" w:hAnsiTheme="majorHAnsi"/>
          <w:color w:val="auto"/>
          <w:sz w:val="20"/>
          <w:szCs w:val="20"/>
        </w:rPr>
        <w:t>compromises its ability to provide guarantees for the enjoyment of human rights.”</w:t>
      </w:r>
      <w:r w:rsidR="00070034" w:rsidRPr="00B24750">
        <w:rPr>
          <w:rStyle w:val="FootnoteReference"/>
          <w:rFonts w:asciiTheme="majorHAnsi" w:hAnsiTheme="majorHAnsi"/>
          <w:color w:val="auto"/>
          <w:sz w:val="20"/>
          <w:szCs w:val="20"/>
        </w:rPr>
        <w:footnoteReference w:id="57"/>
      </w:r>
      <w:r w:rsidR="00070034" w:rsidRPr="00B24750">
        <w:rPr>
          <w:rFonts w:asciiTheme="majorHAnsi" w:hAnsiTheme="majorHAnsi"/>
          <w:color w:val="auto"/>
          <w:sz w:val="20"/>
          <w:szCs w:val="20"/>
        </w:rPr>
        <w:t xml:space="preserve"> In 2018, there was an increase in repression against journalists in Cuba</w:t>
      </w:r>
      <w:r w:rsidR="00FE05C7" w:rsidRPr="00B24750">
        <w:rPr>
          <w:rFonts w:asciiTheme="majorHAnsi" w:hAnsiTheme="majorHAnsi"/>
          <w:color w:val="auto"/>
          <w:sz w:val="20"/>
          <w:szCs w:val="20"/>
        </w:rPr>
        <w:t xml:space="preserve">: </w:t>
      </w:r>
      <w:r w:rsidR="00FE05C7" w:rsidRPr="00B24750">
        <w:rPr>
          <w:rFonts w:asciiTheme="majorHAnsi" w:hAnsiTheme="majorHAnsi"/>
          <w:sz w:val="20"/>
          <w:szCs w:val="20"/>
        </w:rPr>
        <w:t xml:space="preserve"> </w:t>
      </w:r>
    </w:p>
    <w:p w14:paraId="2E04545D" w14:textId="77777777" w:rsidR="0031756E" w:rsidRPr="00B24750" w:rsidRDefault="0031756E" w:rsidP="00130364">
      <w:pPr>
        <w:pStyle w:val="ListParagraph"/>
        <w:autoSpaceDE w:val="0"/>
        <w:autoSpaceDN w:val="0"/>
        <w:adjustRightInd w:val="0"/>
        <w:ind w:right="864"/>
        <w:jc w:val="both"/>
        <w:rPr>
          <w:rFonts w:asciiTheme="majorHAnsi" w:hAnsiTheme="majorHAnsi" w:cs="Tahoma"/>
          <w:bCs/>
          <w:color w:val="auto"/>
          <w:sz w:val="18"/>
          <w:szCs w:val="18"/>
        </w:rPr>
      </w:pPr>
    </w:p>
    <w:p w14:paraId="0654F403" w14:textId="7DED7CCF" w:rsidR="00FE05C7" w:rsidRPr="00B24750" w:rsidRDefault="00684E61" w:rsidP="00130364">
      <w:pPr>
        <w:pStyle w:val="ListParagraph"/>
        <w:autoSpaceDE w:val="0"/>
        <w:autoSpaceDN w:val="0"/>
        <w:adjustRightInd w:val="0"/>
        <w:ind w:right="864"/>
        <w:jc w:val="both"/>
        <w:rPr>
          <w:rFonts w:asciiTheme="majorHAnsi" w:hAnsiTheme="majorHAnsi"/>
          <w:sz w:val="18"/>
          <w:szCs w:val="18"/>
        </w:rPr>
      </w:pPr>
      <w:r w:rsidRPr="00B24750">
        <w:rPr>
          <w:rFonts w:asciiTheme="majorHAnsi" w:hAnsiTheme="majorHAnsi"/>
          <w:sz w:val="18"/>
          <w:szCs w:val="18"/>
        </w:rPr>
        <w:t xml:space="preserve">In 2018, non-governmental organizations reported the continuation of a policy of the security agencies of the State harassing journalists, human rights defenders, activists and political dissidents. According </w:t>
      </w:r>
      <w:r w:rsidRPr="00B24750">
        <w:rPr>
          <w:rFonts w:asciiTheme="majorHAnsi" w:hAnsiTheme="majorHAnsi"/>
          <w:sz w:val="18"/>
          <w:szCs w:val="18"/>
        </w:rPr>
        <w:lastRenderedPageBreak/>
        <w:t xml:space="preserve">to these organizations, there has been “increased repression” in Cuba since 2017, when the government set into motion the process of general elections. According to available information, in order to prevent these individuals from freely practicing their professions, the Cuban State used arbitrary arrests –generally for short periods of time – the criminal justice system as a tool to prosecute them (‘criminalize’ them, that is, charge them on bogus criminal charges), internal deportations, summonses to police facilities, raids of their homes and family pressure, travel restrictions, and confiscation of the tools of their trade and work materials. The information received indicates that those affected are intercepted on the street, State agents often conduct “confiscations” during raid and search operations of their homes, their family is </w:t>
      </w:r>
      <w:proofErr w:type="gramStart"/>
      <w:r w:rsidRPr="00B24750">
        <w:rPr>
          <w:rFonts w:asciiTheme="majorHAnsi" w:hAnsiTheme="majorHAnsi"/>
          <w:sz w:val="18"/>
          <w:szCs w:val="18"/>
        </w:rPr>
        <w:t>intimidated</w:t>
      </w:r>
      <w:proofErr w:type="gramEnd"/>
      <w:r w:rsidRPr="00B24750">
        <w:rPr>
          <w:rFonts w:asciiTheme="majorHAnsi" w:hAnsiTheme="majorHAnsi"/>
          <w:sz w:val="18"/>
          <w:szCs w:val="18"/>
        </w:rPr>
        <w:t xml:space="preserve"> and the journalist is arrested. In these cases, the authorities have refused to return the confiscated items to the owners and, according to reports, when the work materials and equipment are seized, the police refuse to provide a copy of the list of these items</w:t>
      </w:r>
      <w:r w:rsidR="00496BF7" w:rsidRPr="00B24750">
        <w:rPr>
          <w:rFonts w:asciiTheme="majorHAnsi" w:hAnsiTheme="majorHAnsi"/>
          <w:sz w:val="18"/>
          <w:szCs w:val="18"/>
        </w:rPr>
        <w:t>.</w:t>
      </w:r>
      <w:r w:rsidR="00FE05C7" w:rsidRPr="00B24750">
        <w:rPr>
          <w:rStyle w:val="FootnoteReference"/>
          <w:rFonts w:asciiTheme="majorHAnsi" w:hAnsiTheme="majorHAnsi"/>
          <w:sz w:val="18"/>
          <w:szCs w:val="18"/>
        </w:rPr>
        <w:footnoteReference w:id="58"/>
      </w:r>
    </w:p>
    <w:p w14:paraId="699C803B" w14:textId="77777777" w:rsidR="0031756E" w:rsidRPr="00B24750" w:rsidRDefault="0031756E" w:rsidP="00810F85">
      <w:pPr>
        <w:pStyle w:val="ListParagraph"/>
        <w:autoSpaceDE w:val="0"/>
        <w:autoSpaceDN w:val="0"/>
        <w:adjustRightInd w:val="0"/>
        <w:ind w:left="284" w:right="288"/>
        <w:jc w:val="both"/>
        <w:rPr>
          <w:rFonts w:asciiTheme="majorHAnsi" w:hAnsiTheme="majorHAnsi" w:cs="Tahoma"/>
          <w:bCs/>
          <w:color w:val="auto"/>
          <w:sz w:val="20"/>
          <w:szCs w:val="20"/>
        </w:rPr>
      </w:pPr>
    </w:p>
    <w:p w14:paraId="0421BA76" w14:textId="36614AB4" w:rsidR="00FE05C7" w:rsidRPr="00B24750" w:rsidRDefault="00FD6432" w:rsidP="009D14E7">
      <w:pPr>
        <w:pStyle w:val="ListParagraph"/>
        <w:numPr>
          <w:ilvl w:val="0"/>
          <w:numId w:val="55"/>
        </w:numPr>
        <w:autoSpaceDE w:val="0"/>
        <w:autoSpaceDN w:val="0"/>
        <w:adjustRightInd w:val="0"/>
        <w:ind w:firstLine="0"/>
        <w:jc w:val="both"/>
        <w:rPr>
          <w:rFonts w:asciiTheme="majorHAnsi" w:hAnsiTheme="majorHAnsi" w:cs="Tahoma"/>
          <w:bCs/>
          <w:color w:val="auto"/>
          <w:sz w:val="20"/>
          <w:szCs w:val="20"/>
        </w:rPr>
      </w:pPr>
      <w:r w:rsidRPr="00B24750">
        <w:rPr>
          <w:rFonts w:asciiTheme="majorHAnsi" w:hAnsiTheme="majorHAnsi" w:cs="Tahoma"/>
          <w:bCs/>
          <w:color w:val="auto"/>
          <w:sz w:val="20"/>
          <w:szCs w:val="20"/>
        </w:rPr>
        <w:t>In 2019, through its Office of the Special Rapporteur, the IACHR published the report “Freedom of Expression in Cuba,” in which it clearly underscored the</w:t>
      </w:r>
      <w:r w:rsidR="002741C4">
        <w:rPr>
          <w:rFonts w:asciiTheme="majorHAnsi" w:hAnsiTheme="majorHAnsi" w:cs="Tahoma"/>
          <w:bCs/>
          <w:color w:val="auto"/>
          <w:sz w:val="20"/>
          <w:szCs w:val="20"/>
        </w:rPr>
        <w:t xml:space="preserve"> existence of a</w:t>
      </w:r>
      <w:r w:rsidR="00682342">
        <w:rPr>
          <w:rFonts w:asciiTheme="majorHAnsi" w:hAnsiTheme="majorHAnsi" w:cs="Tahoma"/>
          <w:bCs/>
          <w:color w:val="auto"/>
          <w:sz w:val="20"/>
          <w:szCs w:val="20"/>
        </w:rPr>
        <w:t xml:space="preserve"> context of</w:t>
      </w:r>
      <w:r w:rsidRPr="00B24750">
        <w:rPr>
          <w:rFonts w:asciiTheme="majorHAnsi" w:hAnsiTheme="majorHAnsi" w:cs="Tahoma"/>
          <w:bCs/>
          <w:color w:val="auto"/>
          <w:sz w:val="20"/>
          <w:szCs w:val="20"/>
        </w:rPr>
        <w:t xml:space="preserve"> persecution </w:t>
      </w:r>
      <w:r w:rsidR="002741C4">
        <w:rPr>
          <w:rFonts w:asciiTheme="majorHAnsi" w:hAnsiTheme="majorHAnsi" w:cs="Tahoma"/>
          <w:bCs/>
          <w:color w:val="auto"/>
          <w:sz w:val="20"/>
          <w:szCs w:val="20"/>
        </w:rPr>
        <w:t>against</w:t>
      </w:r>
      <w:r w:rsidRPr="00B24750">
        <w:rPr>
          <w:rFonts w:asciiTheme="majorHAnsi" w:hAnsiTheme="majorHAnsi" w:cs="Tahoma"/>
          <w:bCs/>
          <w:color w:val="auto"/>
          <w:sz w:val="20"/>
          <w:szCs w:val="20"/>
        </w:rPr>
        <w:t xml:space="preserve"> journalists critical of the Cuban regime in 2019. According to the IACHR</w:t>
      </w:r>
      <w:r w:rsidR="00AC0307" w:rsidRPr="00B24750">
        <w:rPr>
          <w:rFonts w:asciiTheme="majorHAnsi" w:hAnsiTheme="majorHAnsi" w:cs="Tahoma"/>
          <w:bCs/>
          <w:color w:val="auto"/>
          <w:sz w:val="20"/>
          <w:szCs w:val="20"/>
        </w:rPr>
        <w:t>:</w:t>
      </w:r>
    </w:p>
    <w:p w14:paraId="251FC83E" w14:textId="77777777" w:rsidR="0031756E" w:rsidRPr="00B24750" w:rsidRDefault="0031756E" w:rsidP="0031756E">
      <w:pPr>
        <w:pStyle w:val="ListParagraph"/>
        <w:autoSpaceDE w:val="0"/>
        <w:autoSpaceDN w:val="0"/>
        <w:adjustRightInd w:val="0"/>
        <w:jc w:val="both"/>
        <w:rPr>
          <w:rFonts w:asciiTheme="majorHAnsi" w:hAnsiTheme="majorHAnsi" w:cs="Tahoma"/>
          <w:bCs/>
          <w:color w:val="auto"/>
          <w:sz w:val="20"/>
          <w:szCs w:val="20"/>
        </w:rPr>
      </w:pPr>
    </w:p>
    <w:p w14:paraId="1CFAEA28" w14:textId="4E543816" w:rsidR="00FE05C7" w:rsidRPr="00B24750" w:rsidRDefault="00FD6432" w:rsidP="003914C0">
      <w:pPr>
        <w:autoSpaceDE w:val="0"/>
        <w:autoSpaceDN w:val="0"/>
        <w:adjustRightInd w:val="0"/>
        <w:ind w:left="720" w:right="864"/>
        <w:jc w:val="both"/>
        <w:rPr>
          <w:rFonts w:asciiTheme="majorHAnsi" w:hAnsiTheme="majorHAnsi"/>
          <w:sz w:val="18"/>
          <w:szCs w:val="18"/>
          <w:lang w:val="en-US"/>
        </w:rPr>
      </w:pPr>
      <w:r w:rsidRPr="00B24750">
        <w:rPr>
          <w:rFonts w:asciiTheme="majorHAnsi" w:hAnsiTheme="majorHAnsi"/>
          <w:sz w:val="18"/>
          <w:szCs w:val="18"/>
          <w:lang w:val="en-US"/>
        </w:rPr>
        <w:t xml:space="preserve">The IACHR and its Office of the Special Rapporteur have consistently observed a serious practice of repressing political dissidents on account of their condemnation of the lack of political rights and freedoms or simply for trying to express an opinion and participate in political affairs. The most commonly reported forms of harassment against dissidents include internal deportations, summonses to police centers, searches of their homes or of the offices of political </w:t>
      </w:r>
      <w:proofErr w:type="gramStart"/>
      <w:r w:rsidRPr="00B24750">
        <w:rPr>
          <w:rFonts w:asciiTheme="majorHAnsi" w:hAnsiTheme="majorHAnsi"/>
          <w:sz w:val="18"/>
          <w:szCs w:val="18"/>
          <w:lang w:val="en-US"/>
        </w:rPr>
        <w:t>organizations, and</w:t>
      </w:r>
      <w:proofErr w:type="gramEnd"/>
      <w:r w:rsidRPr="00B24750">
        <w:rPr>
          <w:rFonts w:asciiTheme="majorHAnsi" w:hAnsiTheme="majorHAnsi"/>
          <w:sz w:val="18"/>
          <w:szCs w:val="18"/>
          <w:lang w:val="en-US"/>
        </w:rPr>
        <w:t xml:space="preserve"> being prevented from attending meetings of their organizations. There have also been reports of the use of physical assault, vandalism, and acts of repudiation, among others, to harass Cuban dissidents.</w:t>
      </w:r>
      <w:r w:rsidRPr="00B24750">
        <w:rPr>
          <w:rStyle w:val="FootnoteReference"/>
          <w:rFonts w:asciiTheme="majorHAnsi" w:hAnsiTheme="majorHAnsi"/>
          <w:sz w:val="18"/>
          <w:szCs w:val="18"/>
          <w:lang w:val="en-US"/>
        </w:rPr>
        <w:footnoteReference w:id="59"/>
      </w:r>
    </w:p>
    <w:p w14:paraId="68F10DD0" w14:textId="77777777" w:rsidR="0031756E" w:rsidRPr="00B24750" w:rsidRDefault="0031756E" w:rsidP="00810F85">
      <w:pPr>
        <w:autoSpaceDE w:val="0"/>
        <w:autoSpaceDN w:val="0"/>
        <w:adjustRightInd w:val="0"/>
        <w:ind w:left="284" w:right="288"/>
        <w:jc w:val="both"/>
        <w:rPr>
          <w:rFonts w:asciiTheme="majorHAnsi" w:hAnsiTheme="majorHAnsi"/>
          <w:sz w:val="20"/>
          <w:szCs w:val="20"/>
          <w:lang w:val="en-US"/>
        </w:rPr>
      </w:pPr>
    </w:p>
    <w:p w14:paraId="60F5B73A" w14:textId="4AD507FE" w:rsidR="00FE05C7" w:rsidRPr="00B24750" w:rsidRDefault="006E62A8"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Pr>
          <w:rFonts w:asciiTheme="majorHAnsi" w:hAnsiTheme="majorHAnsi" w:cs="Tahoma"/>
          <w:bCs/>
          <w:color w:val="auto"/>
          <w:sz w:val="20"/>
          <w:szCs w:val="20"/>
        </w:rPr>
        <w:t xml:space="preserve">The </w:t>
      </w:r>
      <w:r w:rsidR="003A6AC1" w:rsidRPr="00B24750">
        <w:rPr>
          <w:rFonts w:asciiTheme="majorHAnsi" w:hAnsiTheme="majorHAnsi" w:cs="Tahoma"/>
          <w:bCs/>
          <w:color w:val="auto"/>
          <w:sz w:val="20"/>
          <w:szCs w:val="20"/>
        </w:rPr>
        <w:t>IACHR “</w:t>
      </w:r>
      <w:r w:rsidR="003A6AC1" w:rsidRPr="00B24750">
        <w:rPr>
          <w:rFonts w:asciiTheme="majorHAnsi" w:hAnsiTheme="majorHAnsi"/>
          <w:color w:val="auto"/>
          <w:sz w:val="20"/>
          <w:szCs w:val="20"/>
        </w:rPr>
        <w:t>has learned that independent journalists are frequently subject to interrogations designed to intimidate them. According to available information, independent journalists have been directly threatened by State agents with deprivation of liberty or other retaliation for the practice of journalism.”</w:t>
      </w:r>
      <w:r w:rsidR="003A6AC1" w:rsidRPr="00B24750">
        <w:rPr>
          <w:rStyle w:val="FootnoteReference"/>
          <w:rFonts w:asciiTheme="majorHAnsi" w:hAnsiTheme="majorHAnsi"/>
          <w:color w:val="auto"/>
          <w:sz w:val="20"/>
          <w:szCs w:val="20"/>
        </w:rPr>
        <w:footnoteReference w:id="60"/>
      </w:r>
      <w:r w:rsidR="003A6AC1" w:rsidRPr="00B24750">
        <w:rPr>
          <w:rFonts w:asciiTheme="majorHAnsi" w:hAnsiTheme="majorHAnsi"/>
          <w:color w:val="auto"/>
          <w:sz w:val="20"/>
          <w:szCs w:val="20"/>
        </w:rPr>
        <w:t xml:space="preserve"> At the same time, “threats, surveillance, and harassment of journalists’ families and associates”</w:t>
      </w:r>
      <w:r w:rsidR="003A6AC1" w:rsidRPr="00B24750">
        <w:rPr>
          <w:rStyle w:val="FootnoteReference"/>
          <w:rFonts w:asciiTheme="majorHAnsi" w:hAnsiTheme="majorHAnsi"/>
          <w:color w:val="auto"/>
          <w:sz w:val="20"/>
          <w:szCs w:val="20"/>
        </w:rPr>
        <w:footnoteReference w:id="61"/>
      </w:r>
      <w:r w:rsidR="003A6AC1" w:rsidRPr="00B24750">
        <w:rPr>
          <w:rFonts w:asciiTheme="majorHAnsi" w:hAnsiTheme="majorHAnsi"/>
          <w:color w:val="auto"/>
          <w:sz w:val="20"/>
          <w:szCs w:val="20"/>
        </w:rPr>
        <w:t xml:space="preserve"> were also common.</w:t>
      </w:r>
    </w:p>
    <w:p w14:paraId="132FB606" w14:textId="77777777" w:rsidR="0031756E" w:rsidRPr="00B24750" w:rsidRDefault="0031756E" w:rsidP="009D14E7">
      <w:pPr>
        <w:pStyle w:val="ListParagraph"/>
        <w:autoSpaceDE w:val="0"/>
        <w:autoSpaceDN w:val="0"/>
        <w:adjustRightInd w:val="0"/>
        <w:ind w:left="0"/>
        <w:jc w:val="both"/>
        <w:rPr>
          <w:rFonts w:asciiTheme="majorHAnsi" w:hAnsiTheme="majorHAnsi"/>
          <w:color w:val="auto"/>
          <w:sz w:val="20"/>
          <w:szCs w:val="20"/>
        </w:rPr>
      </w:pPr>
    </w:p>
    <w:p w14:paraId="67D98082" w14:textId="7E6FC964" w:rsidR="00F322DC" w:rsidRPr="00B24750" w:rsidRDefault="00F322DC"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 xml:space="preserve">The Commission has also “received information on the use of arbitrary </w:t>
      </w:r>
      <w:r w:rsidR="004D1133" w:rsidRPr="00B24750">
        <w:rPr>
          <w:rFonts w:asciiTheme="majorHAnsi" w:hAnsiTheme="majorHAnsi"/>
          <w:color w:val="auto"/>
          <w:sz w:val="20"/>
          <w:szCs w:val="20"/>
        </w:rPr>
        <w:t>arrest</w:t>
      </w:r>
      <w:r w:rsidRPr="00B24750">
        <w:rPr>
          <w:rFonts w:asciiTheme="majorHAnsi" w:hAnsiTheme="majorHAnsi"/>
          <w:color w:val="auto"/>
          <w:sz w:val="20"/>
          <w:szCs w:val="20"/>
        </w:rPr>
        <w:t xml:space="preserve"> as a method of intimidation or re</w:t>
      </w:r>
      <w:r w:rsidR="004D1133" w:rsidRPr="00B24750">
        <w:rPr>
          <w:rFonts w:asciiTheme="majorHAnsi" w:hAnsiTheme="majorHAnsi"/>
          <w:color w:val="auto"/>
          <w:sz w:val="20"/>
          <w:szCs w:val="20"/>
        </w:rPr>
        <w:t>taliation</w:t>
      </w:r>
      <w:r w:rsidRPr="00B24750">
        <w:rPr>
          <w:rFonts w:asciiTheme="majorHAnsi" w:hAnsiTheme="majorHAnsi"/>
          <w:color w:val="auto"/>
          <w:sz w:val="20"/>
          <w:szCs w:val="20"/>
        </w:rPr>
        <w:t xml:space="preserve"> against journalists," especially </w:t>
      </w:r>
      <w:r w:rsidR="004D1133" w:rsidRPr="00B24750">
        <w:rPr>
          <w:rFonts w:asciiTheme="majorHAnsi" w:hAnsiTheme="majorHAnsi"/>
          <w:color w:val="auto"/>
          <w:sz w:val="20"/>
          <w:szCs w:val="20"/>
        </w:rPr>
        <w:t xml:space="preserve">short-term </w:t>
      </w:r>
      <w:r w:rsidRPr="00B24750">
        <w:rPr>
          <w:rFonts w:asciiTheme="majorHAnsi" w:hAnsiTheme="majorHAnsi"/>
          <w:color w:val="auto"/>
          <w:sz w:val="20"/>
          <w:szCs w:val="20"/>
        </w:rPr>
        <w:t>detentions</w:t>
      </w:r>
      <w:r w:rsidR="004D1133" w:rsidRPr="00B24750">
        <w:rPr>
          <w:rFonts w:asciiTheme="majorHAnsi" w:hAnsiTheme="majorHAnsi"/>
          <w:color w:val="auto"/>
          <w:sz w:val="20"/>
          <w:szCs w:val="20"/>
        </w:rPr>
        <w:t xml:space="preserve"> in which detainees are physically abused but no</w:t>
      </w:r>
      <w:r w:rsidRPr="00B24750">
        <w:rPr>
          <w:rFonts w:asciiTheme="majorHAnsi" w:hAnsiTheme="majorHAnsi"/>
          <w:color w:val="auto"/>
          <w:sz w:val="20"/>
          <w:szCs w:val="20"/>
        </w:rPr>
        <w:t xml:space="preserve"> </w:t>
      </w:r>
      <w:r w:rsidR="004D1133" w:rsidRPr="00B24750">
        <w:rPr>
          <w:rFonts w:asciiTheme="majorHAnsi" w:hAnsiTheme="majorHAnsi"/>
          <w:color w:val="auto"/>
          <w:sz w:val="20"/>
          <w:szCs w:val="20"/>
        </w:rPr>
        <w:t>charges are filed</w:t>
      </w:r>
      <w:r w:rsidRPr="00B24750">
        <w:rPr>
          <w:rFonts w:asciiTheme="majorHAnsi" w:hAnsiTheme="majorHAnsi"/>
          <w:color w:val="auto"/>
          <w:sz w:val="20"/>
          <w:szCs w:val="20"/>
        </w:rPr>
        <w:t xml:space="preserve">. Many times, “journalists </w:t>
      </w:r>
      <w:r w:rsidR="004D1133" w:rsidRPr="00B24750">
        <w:rPr>
          <w:rFonts w:asciiTheme="majorHAnsi" w:hAnsiTheme="majorHAnsi"/>
          <w:color w:val="auto"/>
          <w:sz w:val="20"/>
          <w:szCs w:val="20"/>
        </w:rPr>
        <w:t>were reportedly</w:t>
      </w:r>
      <w:r w:rsidRPr="00B24750">
        <w:rPr>
          <w:rFonts w:asciiTheme="majorHAnsi" w:hAnsiTheme="majorHAnsi"/>
          <w:color w:val="auto"/>
          <w:sz w:val="20"/>
          <w:szCs w:val="20"/>
        </w:rPr>
        <w:t xml:space="preserve"> held incommunicado and </w:t>
      </w:r>
      <w:r w:rsidR="004D1133" w:rsidRPr="00B24750">
        <w:rPr>
          <w:rFonts w:asciiTheme="majorHAnsi" w:hAnsiTheme="majorHAnsi"/>
          <w:color w:val="auto"/>
          <w:sz w:val="20"/>
          <w:szCs w:val="20"/>
        </w:rPr>
        <w:t>crowded</w:t>
      </w:r>
      <w:r w:rsidRPr="00B24750">
        <w:rPr>
          <w:rFonts w:asciiTheme="majorHAnsi" w:hAnsiTheme="majorHAnsi"/>
          <w:color w:val="auto"/>
          <w:sz w:val="20"/>
          <w:szCs w:val="20"/>
        </w:rPr>
        <w:t xml:space="preserve"> into cells </w:t>
      </w:r>
      <w:r w:rsidR="004D1133" w:rsidRPr="00B24750">
        <w:rPr>
          <w:rFonts w:asciiTheme="majorHAnsi" w:hAnsiTheme="majorHAnsi"/>
          <w:color w:val="auto"/>
          <w:sz w:val="20"/>
          <w:szCs w:val="20"/>
        </w:rPr>
        <w:t>alongside</w:t>
      </w:r>
      <w:r w:rsidRPr="00B24750">
        <w:rPr>
          <w:rFonts w:asciiTheme="majorHAnsi" w:hAnsiTheme="majorHAnsi"/>
          <w:color w:val="auto"/>
          <w:sz w:val="20"/>
          <w:szCs w:val="20"/>
        </w:rPr>
        <w:t xml:space="preserve"> </w:t>
      </w:r>
      <w:r w:rsidR="004D1133" w:rsidRPr="00B24750">
        <w:rPr>
          <w:rFonts w:asciiTheme="majorHAnsi" w:hAnsiTheme="majorHAnsi"/>
          <w:color w:val="auto"/>
          <w:sz w:val="20"/>
          <w:szCs w:val="20"/>
        </w:rPr>
        <w:t>prisoners detained</w:t>
      </w:r>
      <w:r w:rsidRPr="00B24750">
        <w:rPr>
          <w:rFonts w:asciiTheme="majorHAnsi" w:hAnsiTheme="majorHAnsi"/>
          <w:color w:val="auto"/>
          <w:sz w:val="20"/>
          <w:szCs w:val="20"/>
        </w:rPr>
        <w:t xml:space="preserve"> for common crimes.” </w:t>
      </w:r>
      <w:r w:rsidR="004D1133" w:rsidRPr="00B24750">
        <w:rPr>
          <w:rFonts w:asciiTheme="majorHAnsi" w:hAnsiTheme="majorHAnsi"/>
          <w:color w:val="auto"/>
          <w:sz w:val="20"/>
          <w:szCs w:val="20"/>
        </w:rPr>
        <w:t>S</w:t>
      </w:r>
      <w:r w:rsidRPr="00B24750">
        <w:rPr>
          <w:rFonts w:asciiTheme="majorHAnsi" w:hAnsiTheme="majorHAnsi"/>
          <w:color w:val="auto"/>
          <w:sz w:val="20"/>
          <w:szCs w:val="20"/>
        </w:rPr>
        <w:t xml:space="preserve">everal of these </w:t>
      </w:r>
      <w:r w:rsidR="004D1133" w:rsidRPr="00B24750">
        <w:rPr>
          <w:rFonts w:asciiTheme="majorHAnsi" w:hAnsiTheme="majorHAnsi"/>
          <w:color w:val="auto"/>
          <w:sz w:val="20"/>
          <w:szCs w:val="20"/>
        </w:rPr>
        <w:t>detentions also</w:t>
      </w:r>
      <w:r w:rsidRPr="00B24750">
        <w:rPr>
          <w:rFonts w:asciiTheme="majorHAnsi" w:hAnsiTheme="majorHAnsi"/>
          <w:color w:val="auto"/>
          <w:sz w:val="20"/>
          <w:szCs w:val="20"/>
        </w:rPr>
        <w:t xml:space="preserve"> had “the apparent </w:t>
      </w:r>
      <w:r w:rsidR="004D1133" w:rsidRPr="00B24750">
        <w:rPr>
          <w:rFonts w:asciiTheme="majorHAnsi" w:hAnsiTheme="majorHAnsi"/>
          <w:color w:val="auto"/>
          <w:sz w:val="20"/>
          <w:szCs w:val="20"/>
        </w:rPr>
        <w:t xml:space="preserve">aim </w:t>
      </w:r>
      <w:r w:rsidRPr="00B24750">
        <w:rPr>
          <w:rFonts w:asciiTheme="majorHAnsi" w:hAnsiTheme="majorHAnsi"/>
          <w:color w:val="auto"/>
          <w:sz w:val="20"/>
          <w:szCs w:val="20"/>
        </w:rPr>
        <w:t xml:space="preserve">of preventing </w:t>
      </w:r>
      <w:r w:rsidR="004D1133" w:rsidRPr="00B24750">
        <w:rPr>
          <w:rFonts w:asciiTheme="majorHAnsi" w:hAnsiTheme="majorHAnsi"/>
          <w:color w:val="auto"/>
          <w:sz w:val="20"/>
          <w:szCs w:val="20"/>
        </w:rPr>
        <w:t>travel or blocking</w:t>
      </w:r>
      <w:r w:rsidRPr="00B24750">
        <w:rPr>
          <w:rFonts w:asciiTheme="majorHAnsi" w:hAnsiTheme="majorHAnsi"/>
          <w:color w:val="auto"/>
          <w:sz w:val="20"/>
          <w:szCs w:val="20"/>
        </w:rPr>
        <w:t xml:space="preserve"> the coverage of social protest</w:t>
      </w:r>
      <w:r w:rsidR="004D1133" w:rsidRPr="00B24750">
        <w:rPr>
          <w:rFonts w:asciiTheme="majorHAnsi" w:hAnsiTheme="majorHAnsi"/>
          <w:color w:val="auto"/>
          <w:sz w:val="20"/>
          <w:szCs w:val="20"/>
        </w:rPr>
        <w:t>s</w:t>
      </w:r>
      <w:r w:rsidRPr="00B24750">
        <w:rPr>
          <w:rFonts w:asciiTheme="majorHAnsi" w:hAnsiTheme="majorHAnsi"/>
          <w:color w:val="auto"/>
          <w:sz w:val="20"/>
          <w:szCs w:val="20"/>
        </w:rPr>
        <w:t>”</w:t>
      </w:r>
      <w:r w:rsidRPr="00B24750">
        <w:rPr>
          <w:rStyle w:val="FootnoteReference"/>
          <w:rFonts w:asciiTheme="majorHAnsi" w:hAnsiTheme="majorHAnsi"/>
          <w:color w:val="auto"/>
          <w:sz w:val="20"/>
          <w:szCs w:val="20"/>
        </w:rPr>
        <w:footnoteReference w:id="62"/>
      </w:r>
      <w:r w:rsidRPr="00B24750">
        <w:rPr>
          <w:rFonts w:asciiTheme="majorHAnsi" w:hAnsiTheme="majorHAnsi"/>
          <w:color w:val="auto"/>
          <w:sz w:val="20"/>
          <w:szCs w:val="20"/>
        </w:rPr>
        <w:t xml:space="preserve"> </w:t>
      </w:r>
      <w:r w:rsidR="004D1133" w:rsidRPr="00B24750">
        <w:rPr>
          <w:rFonts w:asciiTheme="majorHAnsi" w:hAnsiTheme="majorHAnsi"/>
          <w:color w:val="auto"/>
          <w:sz w:val="20"/>
          <w:szCs w:val="20"/>
        </w:rPr>
        <w:t xml:space="preserve">occurring near the date of the arrest </w:t>
      </w:r>
      <w:r w:rsidRPr="00B24750">
        <w:rPr>
          <w:rFonts w:asciiTheme="majorHAnsi" w:hAnsiTheme="majorHAnsi"/>
          <w:color w:val="auto"/>
          <w:sz w:val="20"/>
          <w:szCs w:val="20"/>
        </w:rPr>
        <w:t xml:space="preserve">or “on dates close to </w:t>
      </w:r>
      <w:r w:rsidR="004D1133" w:rsidRPr="00B24750">
        <w:rPr>
          <w:rFonts w:asciiTheme="majorHAnsi" w:hAnsiTheme="majorHAnsi"/>
          <w:color w:val="auto"/>
          <w:sz w:val="20"/>
          <w:szCs w:val="20"/>
        </w:rPr>
        <w:t>events</w:t>
      </w:r>
      <w:r w:rsidRPr="00B24750">
        <w:rPr>
          <w:rFonts w:asciiTheme="majorHAnsi" w:hAnsiTheme="majorHAnsi"/>
          <w:color w:val="auto"/>
          <w:sz w:val="20"/>
          <w:szCs w:val="20"/>
        </w:rPr>
        <w:t xml:space="preserve"> related to </w:t>
      </w:r>
      <w:r w:rsidR="004D1133" w:rsidRPr="00B24750">
        <w:rPr>
          <w:rFonts w:asciiTheme="majorHAnsi" w:hAnsiTheme="majorHAnsi"/>
          <w:color w:val="auto"/>
          <w:sz w:val="20"/>
          <w:szCs w:val="20"/>
        </w:rPr>
        <w:t xml:space="preserve">domestic </w:t>
      </w:r>
      <w:r w:rsidRPr="00B24750">
        <w:rPr>
          <w:rFonts w:asciiTheme="majorHAnsi" w:hAnsiTheme="majorHAnsi"/>
          <w:color w:val="auto"/>
          <w:sz w:val="20"/>
          <w:szCs w:val="20"/>
        </w:rPr>
        <w:t>poli</w:t>
      </w:r>
      <w:r w:rsidR="00772FF5" w:rsidRPr="00B24750">
        <w:rPr>
          <w:rFonts w:asciiTheme="majorHAnsi" w:hAnsiTheme="majorHAnsi"/>
          <w:color w:val="auto"/>
          <w:sz w:val="20"/>
          <w:szCs w:val="20"/>
        </w:rPr>
        <w:t>cy</w:t>
      </w:r>
      <w:r w:rsidRPr="00B24750">
        <w:rPr>
          <w:rFonts w:asciiTheme="majorHAnsi" w:hAnsiTheme="majorHAnsi"/>
          <w:color w:val="auto"/>
          <w:sz w:val="20"/>
          <w:szCs w:val="20"/>
        </w:rPr>
        <w:t xml:space="preserve"> issues, participation in international forums</w:t>
      </w:r>
      <w:r w:rsidR="00772FF5" w:rsidRPr="00B24750">
        <w:rPr>
          <w:rFonts w:asciiTheme="majorHAnsi" w:hAnsiTheme="majorHAnsi"/>
          <w:color w:val="auto"/>
          <w:sz w:val="20"/>
          <w:szCs w:val="20"/>
        </w:rPr>
        <w:t>,</w:t>
      </w:r>
      <w:r w:rsidRPr="00B24750">
        <w:rPr>
          <w:rFonts w:asciiTheme="majorHAnsi" w:hAnsiTheme="majorHAnsi"/>
          <w:color w:val="auto"/>
          <w:sz w:val="20"/>
          <w:szCs w:val="20"/>
        </w:rPr>
        <w:t xml:space="preserve"> or human rights.”</w:t>
      </w:r>
      <w:r w:rsidRPr="00B24750">
        <w:rPr>
          <w:rStyle w:val="FootnoteReference"/>
          <w:rFonts w:asciiTheme="majorHAnsi" w:hAnsiTheme="majorHAnsi"/>
          <w:color w:val="auto"/>
          <w:sz w:val="20"/>
          <w:szCs w:val="20"/>
        </w:rPr>
        <w:footnoteReference w:id="63"/>
      </w:r>
    </w:p>
    <w:p w14:paraId="0686DD62" w14:textId="77777777" w:rsidR="0031756E" w:rsidRPr="00B24750" w:rsidRDefault="0031756E" w:rsidP="009D14E7">
      <w:pPr>
        <w:autoSpaceDE w:val="0"/>
        <w:autoSpaceDN w:val="0"/>
        <w:adjustRightInd w:val="0"/>
        <w:jc w:val="both"/>
        <w:rPr>
          <w:rFonts w:asciiTheme="majorHAnsi" w:hAnsiTheme="majorHAnsi"/>
          <w:sz w:val="20"/>
          <w:szCs w:val="20"/>
          <w:lang w:val="en-US"/>
        </w:rPr>
      </w:pPr>
    </w:p>
    <w:p w14:paraId="3F654847" w14:textId="70D86DCE" w:rsidR="003965B1" w:rsidRPr="00B24750" w:rsidRDefault="003965B1"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The IACHR also addressed the common practice of barring individuals from leaving the country in retaliation for critical or dissident journalism in Cuba. These bans have generally been issued “verbally, without written documents or a specific reply.”</w:t>
      </w:r>
      <w:r w:rsidRPr="00B24750">
        <w:rPr>
          <w:rStyle w:val="FootnoteReference"/>
          <w:rFonts w:asciiTheme="majorHAnsi" w:hAnsiTheme="majorHAnsi"/>
          <w:color w:val="auto"/>
          <w:sz w:val="20"/>
          <w:szCs w:val="20"/>
        </w:rPr>
        <w:footnoteReference w:id="64"/>
      </w:r>
    </w:p>
    <w:p w14:paraId="2940EE02" w14:textId="77777777" w:rsidR="0031756E" w:rsidRPr="00B24750" w:rsidRDefault="0031756E" w:rsidP="0031756E">
      <w:pPr>
        <w:autoSpaceDE w:val="0"/>
        <w:autoSpaceDN w:val="0"/>
        <w:adjustRightInd w:val="0"/>
        <w:jc w:val="both"/>
        <w:rPr>
          <w:rFonts w:asciiTheme="majorHAnsi" w:hAnsiTheme="majorHAnsi"/>
          <w:sz w:val="20"/>
          <w:szCs w:val="20"/>
          <w:lang w:val="en-US"/>
        </w:rPr>
      </w:pPr>
    </w:p>
    <w:p w14:paraId="4F84589E" w14:textId="4CD6C623" w:rsidR="00BF34EE" w:rsidRPr="00B24750" w:rsidRDefault="00BF34EE"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 xml:space="preserve">This pattern has been perpetrated over the years not only against traditional print media journalists but also against internet journalism. In the report, which highlights the case of journalist and blogger </w:t>
      </w:r>
      <w:proofErr w:type="spellStart"/>
      <w:r w:rsidRPr="00B24750">
        <w:rPr>
          <w:rFonts w:asciiTheme="majorHAnsi" w:hAnsiTheme="majorHAnsi"/>
          <w:color w:val="auto"/>
          <w:sz w:val="20"/>
          <w:szCs w:val="20"/>
        </w:rPr>
        <w:t>Yoani</w:t>
      </w:r>
      <w:proofErr w:type="spellEnd"/>
      <w:r w:rsidRPr="00B24750">
        <w:rPr>
          <w:rFonts w:asciiTheme="majorHAnsi" w:hAnsiTheme="majorHAnsi"/>
          <w:color w:val="auto"/>
          <w:sz w:val="20"/>
          <w:szCs w:val="20"/>
        </w:rPr>
        <w:t xml:space="preserve"> Sánchez as an example, the IACHR has </w:t>
      </w:r>
      <w:r w:rsidR="00A44AD8" w:rsidRPr="00A44AD8">
        <w:rPr>
          <w:rFonts w:asciiTheme="majorHAnsi" w:hAnsiTheme="majorHAnsi"/>
          <w:color w:val="auto"/>
          <w:sz w:val="20"/>
          <w:szCs w:val="20"/>
        </w:rPr>
        <w:t xml:space="preserve">noted that </w:t>
      </w:r>
    </w:p>
    <w:p w14:paraId="0F9306C2" w14:textId="77777777" w:rsidR="004C49D8" w:rsidRPr="00B24750" w:rsidRDefault="004C49D8" w:rsidP="004C49D8">
      <w:pPr>
        <w:autoSpaceDE w:val="0"/>
        <w:autoSpaceDN w:val="0"/>
        <w:adjustRightInd w:val="0"/>
        <w:ind w:left="720" w:right="864"/>
        <w:jc w:val="both"/>
        <w:rPr>
          <w:rFonts w:asciiTheme="majorHAnsi" w:hAnsiTheme="majorHAnsi"/>
          <w:sz w:val="18"/>
          <w:szCs w:val="18"/>
          <w:lang w:val="en-US"/>
        </w:rPr>
      </w:pPr>
    </w:p>
    <w:p w14:paraId="729D3F32" w14:textId="69A065C0" w:rsidR="00FE05C7" w:rsidRPr="00B24750" w:rsidRDefault="00BF34EE" w:rsidP="004C49D8">
      <w:pPr>
        <w:autoSpaceDE w:val="0"/>
        <w:autoSpaceDN w:val="0"/>
        <w:adjustRightInd w:val="0"/>
        <w:ind w:left="720" w:right="864"/>
        <w:jc w:val="both"/>
        <w:rPr>
          <w:rFonts w:asciiTheme="majorHAnsi" w:hAnsiTheme="majorHAnsi"/>
          <w:sz w:val="18"/>
          <w:szCs w:val="18"/>
          <w:lang w:val="en-US"/>
        </w:rPr>
      </w:pPr>
      <w:r w:rsidRPr="00B24750">
        <w:rPr>
          <w:rFonts w:asciiTheme="majorHAnsi" w:hAnsiTheme="majorHAnsi"/>
          <w:sz w:val="18"/>
          <w:szCs w:val="18"/>
          <w:lang w:val="en-US"/>
        </w:rPr>
        <w:lastRenderedPageBreak/>
        <w:t xml:space="preserve">Government surveillance of web activity has reportedly been used as a way to identify independent journalists and political dissidents, leading to patterns of harassment—traditionally used against the print media—against those engaged in </w:t>
      </w:r>
      <w:r w:rsidR="00847ACD" w:rsidRPr="00B24750">
        <w:rPr>
          <w:rFonts w:asciiTheme="majorHAnsi" w:hAnsiTheme="majorHAnsi"/>
          <w:sz w:val="18"/>
          <w:szCs w:val="18"/>
          <w:lang w:val="en-US"/>
        </w:rPr>
        <w:t>these types of online activities, as well as to arbitrary arrests […]</w:t>
      </w:r>
      <w:r w:rsidRPr="00B24750">
        <w:rPr>
          <w:rFonts w:asciiTheme="majorHAnsi" w:hAnsiTheme="majorHAnsi"/>
          <w:sz w:val="18"/>
          <w:szCs w:val="18"/>
          <w:lang w:val="en-US"/>
        </w:rPr>
        <w:t>.</w:t>
      </w:r>
      <w:r w:rsidR="00A54FB8" w:rsidRPr="00B24750">
        <w:rPr>
          <w:rStyle w:val="FootnoteReference"/>
          <w:rFonts w:asciiTheme="majorHAnsi" w:hAnsiTheme="majorHAnsi"/>
          <w:sz w:val="18"/>
          <w:szCs w:val="18"/>
          <w:lang w:val="en-US"/>
        </w:rPr>
        <w:footnoteReference w:id="65"/>
      </w:r>
      <w:r w:rsidR="00FE05C7" w:rsidRPr="00B24750">
        <w:rPr>
          <w:rFonts w:asciiTheme="majorHAnsi" w:hAnsiTheme="majorHAnsi"/>
          <w:sz w:val="18"/>
          <w:szCs w:val="18"/>
          <w:lang w:val="en-US"/>
        </w:rPr>
        <w:t xml:space="preserve"> </w:t>
      </w:r>
    </w:p>
    <w:p w14:paraId="2A61A73A" w14:textId="77777777" w:rsidR="0031756E" w:rsidRPr="00B24750" w:rsidRDefault="0031756E" w:rsidP="0031756E">
      <w:pPr>
        <w:autoSpaceDE w:val="0"/>
        <w:autoSpaceDN w:val="0"/>
        <w:adjustRightInd w:val="0"/>
        <w:ind w:right="288"/>
        <w:jc w:val="both"/>
        <w:rPr>
          <w:rFonts w:asciiTheme="majorHAnsi" w:hAnsiTheme="majorHAnsi"/>
          <w:sz w:val="20"/>
          <w:szCs w:val="20"/>
          <w:lang w:val="en-US"/>
        </w:rPr>
      </w:pPr>
    </w:p>
    <w:p w14:paraId="150731C4" w14:textId="14624A73" w:rsidR="00707038" w:rsidRPr="00B24750" w:rsidRDefault="00707038"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color w:val="auto"/>
          <w:sz w:val="20"/>
          <w:szCs w:val="20"/>
        </w:rPr>
        <w:t xml:space="preserve">Finally, in 2020, the IACHR reaffirmed these conclusions in its Report on the Situation of Human Rights in Cuba. </w:t>
      </w:r>
      <w:proofErr w:type="spellStart"/>
      <w:r w:rsidRPr="00B24750">
        <w:rPr>
          <w:rFonts w:asciiTheme="majorHAnsi" w:hAnsiTheme="majorHAnsi"/>
          <w:color w:val="auto"/>
          <w:sz w:val="20"/>
          <w:szCs w:val="20"/>
        </w:rPr>
        <w:t>Yoani</w:t>
      </w:r>
      <w:proofErr w:type="spellEnd"/>
      <w:r w:rsidRPr="00B24750">
        <w:rPr>
          <w:rFonts w:asciiTheme="majorHAnsi" w:hAnsiTheme="majorHAnsi"/>
          <w:color w:val="auto"/>
          <w:sz w:val="20"/>
          <w:szCs w:val="20"/>
        </w:rPr>
        <w:t xml:space="preserve"> Sánchez was cited as one of </w:t>
      </w:r>
      <w:r w:rsidR="001A5B6E">
        <w:rPr>
          <w:rFonts w:asciiTheme="majorHAnsi" w:hAnsiTheme="majorHAnsi"/>
          <w:color w:val="auto"/>
          <w:sz w:val="20"/>
          <w:szCs w:val="20"/>
        </w:rPr>
        <w:t>several</w:t>
      </w:r>
      <w:r w:rsidRPr="00B24750">
        <w:rPr>
          <w:rFonts w:asciiTheme="majorHAnsi" w:hAnsiTheme="majorHAnsi"/>
          <w:color w:val="auto"/>
          <w:sz w:val="20"/>
          <w:szCs w:val="20"/>
        </w:rPr>
        <w:t xml:space="preserve"> journalists “who have been repeatedly and deliberately harassed in Cuba over the last five years.”</w:t>
      </w:r>
      <w:r w:rsidRPr="00B24750">
        <w:rPr>
          <w:rStyle w:val="FootnoteReference"/>
          <w:rFonts w:asciiTheme="majorHAnsi" w:hAnsiTheme="majorHAnsi"/>
          <w:color w:val="auto"/>
          <w:sz w:val="20"/>
          <w:szCs w:val="20"/>
        </w:rPr>
        <w:footnoteReference w:id="66"/>
      </w:r>
    </w:p>
    <w:p w14:paraId="6CF1DDF4" w14:textId="77777777" w:rsidR="00D96FBC" w:rsidRPr="00B24750" w:rsidRDefault="00D96FBC" w:rsidP="00D96FBC">
      <w:pPr>
        <w:pStyle w:val="ListParagraph"/>
        <w:autoSpaceDE w:val="0"/>
        <w:autoSpaceDN w:val="0"/>
        <w:adjustRightInd w:val="0"/>
        <w:jc w:val="both"/>
        <w:rPr>
          <w:rFonts w:asciiTheme="majorHAnsi" w:hAnsiTheme="majorHAnsi"/>
          <w:color w:val="auto"/>
          <w:sz w:val="20"/>
          <w:szCs w:val="20"/>
        </w:rPr>
      </w:pPr>
    </w:p>
    <w:p w14:paraId="51DDC4F9" w14:textId="410E4CF1" w:rsidR="00D96FBC" w:rsidRPr="00B24750" w:rsidRDefault="00A54FB8" w:rsidP="009D14E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hAnsiTheme="majorHAnsi" w:cs="Arial"/>
          <w:color w:val="auto"/>
          <w:sz w:val="20"/>
          <w:szCs w:val="20"/>
        </w:rPr>
      </w:pPr>
      <w:r w:rsidRPr="00B24750">
        <w:rPr>
          <w:rFonts w:asciiTheme="majorHAnsi" w:hAnsiTheme="majorHAnsi" w:cs="Arial"/>
          <w:color w:val="auto"/>
          <w:sz w:val="20"/>
          <w:szCs w:val="20"/>
        </w:rPr>
        <w:t xml:space="preserve">The Commission </w:t>
      </w:r>
      <w:r w:rsidR="00E537D0" w:rsidRPr="00B24750">
        <w:rPr>
          <w:rFonts w:asciiTheme="majorHAnsi" w:hAnsiTheme="majorHAnsi" w:cs="Arial"/>
          <w:color w:val="auto"/>
          <w:sz w:val="20"/>
          <w:szCs w:val="20"/>
        </w:rPr>
        <w:t xml:space="preserve">once again </w:t>
      </w:r>
      <w:r w:rsidR="00B0386E">
        <w:rPr>
          <w:rFonts w:asciiTheme="majorHAnsi" w:hAnsiTheme="majorHAnsi" w:cs="Arial"/>
          <w:color w:val="auto"/>
          <w:sz w:val="20"/>
          <w:szCs w:val="20"/>
        </w:rPr>
        <w:t>noted</w:t>
      </w:r>
      <w:r w:rsidR="00E537D0" w:rsidRPr="00B24750">
        <w:rPr>
          <w:rFonts w:asciiTheme="majorHAnsi" w:hAnsiTheme="majorHAnsi" w:cs="Arial"/>
          <w:color w:val="auto"/>
          <w:sz w:val="20"/>
          <w:szCs w:val="20"/>
        </w:rPr>
        <w:t xml:space="preserve"> the persecution of the independent press in Cuba and stressed that journalists and political dissidents have no way to obtain access to justice; the IACHR “has repeatedly stated that there is no proper separation of powers between the branches of the Cuban government to ensure that the justice system is free from influence from the other branches</w:t>
      </w:r>
      <w:r w:rsidRPr="00B24750">
        <w:rPr>
          <w:rFonts w:asciiTheme="majorHAnsi" w:hAnsiTheme="majorHAnsi" w:cs="Arial"/>
          <w:color w:val="auto"/>
          <w:sz w:val="20"/>
          <w:szCs w:val="20"/>
        </w:rPr>
        <w:t>.”</w:t>
      </w:r>
      <w:r w:rsidRPr="00B24750">
        <w:rPr>
          <w:rStyle w:val="FootnoteReference"/>
          <w:rFonts w:asciiTheme="majorHAnsi" w:hAnsiTheme="majorHAnsi" w:cs="Arial"/>
          <w:color w:val="auto"/>
          <w:sz w:val="20"/>
          <w:szCs w:val="20"/>
        </w:rPr>
        <w:footnoteReference w:id="67"/>
      </w:r>
      <w:r w:rsidRPr="00B24750">
        <w:rPr>
          <w:rFonts w:asciiTheme="majorHAnsi" w:hAnsiTheme="majorHAnsi" w:cs="Arial"/>
          <w:color w:val="auto"/>
          <w:sz w:val="20"/>
          <w:szCs w:val="20"/>
        </w:rPr>
        <w:t xml:space="preserve"> </w:t>
      </w:r>
      <w:r w:rsidR="00E537D0" w:rsidRPr="00B24750">
        <w:rPr>
          <w:rFonts w:asciiTheme="majorHAnsi" w:hAnsiTheme="majorHAnsi" w:cs="Arial"/>
          <w:color w:val="auto"/>
          <w:sz w:val="20"/>
          <w:szCs w:val="20"/>
        </w:rPr>
        <w:t>It</w:t>
      </w:r>
      <w:r w:rsidRPr="00B24750">
        <w:rPr>
          <w:rFonts w:asciiTheme="majorHAnsi" w:hAnsiTheme="majorHAnsi" w:cs="Arial"/>
          <w:color w:val="auto"/>
          <w:sz w:val="20"/>
          <w:szCs w:val="20"/>
        </w:rPr>
        <w:t xml:space="preserve"> </w:t>
      </w:r>
      <w:r w:rsidR="00E537D0" w:rsidRPr="00B24750">
        <w:rPr>
          <w:rFonts w:asciiTheme="majorHAnsi" w:hAnsiTheme="majorHAnsi" w:cs="Arial"/>
          <w:color w:val="auto"/>
          <w:sz w:val="20"/>
          <w:szCs w:val="20"/>
        </w:rPr>
        <w:t>asserted</w:t>
      </w:r>
      <w:r w:rsidRPr="00B24750">
        <w:rPr>
          <w:rFonts w:asciiTheme="majorHAnsi" w:hAnsiTheme="majorHAnsi" w:cs="Arial"/>
          <w:color w:val="auto"/>
          <w:sz w:val="20"/>
          <w:szCs w:val="20"/>
        </w:rPr>
        <w:t xml:space="preserve"> that</w:t>
      </w:r>
      <w:r w:rsidR="00745C58" w:rsidRPr="00B24750">
        <w:rPr>
          <w:rFonts w:asciiTheme="majorHAnsi" w:hAnsiTheme="majorHAnsi" w:cs="Arial"/>
          <w:color w:val="auto"/>
          <w:sz w:val="20"/>
          <w:szCs w:val="20"/>
        </w:rPr>
        <w:t>:</w:t>
      </w:r>
    </w:p>
    <w:p w14:paraId="375B6C06" w14:textId="77777777" w:rsidR="00745C58" w:rsidRPr="00B24750" w:rsidRDefault="00745C58" w:rsidP="00745C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jc w:val="both"/>
        <w:rPr>
          <w:rFonts w:asciiTheme="majorHAnsi" w:hAnsiTheme="majorHAnsi" w:cs="Arial"/>
          <w:sz w:val="20"/>
          <w:szCs w:val="20"/>
          <w:lang w:val="en-US"/>
        </w:rPr>
      </w:pPr>
    </w:p>
    <w:p w14:paraId="1105ACE2" w14:textId="2A7E8EC1" w:rsidR="00FE05C7" w:rsidRPr="00B24750" w:rsidRDefault="00D50784" w:rsidP="00B9394C">
      <w:pPr>
        <w:tabs>
          <w:tab w:val="left" w:pos="9072"/>
        </w:tabs>
        <w:autoSpaceDE w:val="0"/>
        <w:autoSpaceDN w:val="0"/>
        <w:adjustRightInd w:val="0"/>
        <w:ind w:left="720" w:right="864"/>
        <w:jc w:val="both"/>
        <w:rPr>
          <w:rFonts w:asciiTheme="majorHAnsi" w:hAnsiTheme="majorHAnsi" w:cs="Arial"/>
          <w:sz w:val="18"/>
          <w:szCs w:val="18"/>
          <w:lang w:val="en-US"/>
        </w:rPr>
      </w:pPr>
      <w:r w:rsidRPr="00B24750">
        <w:rPr>
          <w:rFonts w:asciiTheme="majorHAnsi" w:hAnsiTheme="majorHAnsi" w:cs="Arial"/>
          <w:sz w:val="18"/>
          <w:szCs w:val="18"/>
          <w:lang w:val="en-US"/>
        </w:rPr>
        <w:t>One of the Commission’s greatest concerns regarding access to justice in Cuba relates to the effective application of constitutional norms in administrative and judicial [proceedings]. The Commission notes that the absence of judicial independence has serious repercussions on judges’ decisions. In specific cases of dissidents, testimonies indicate that there is a lack of impartiality, and guarantees such as the right to a public trial are not fulfilled.</w:t>
      </w:r>
      <w:r w:rsidR="00366365" w:rsidRPr="00B24750">
        <w:rPr>
          <w:rStyle w:val="FootnoteReference"/>
          <w:rFonts w:asciiTheme="majorHAnsi" w:hAnsiTheme="majorHAnsi" w:cs="Arial"/>
          <w:sz w:val="18"/>
          <w:szCs w:val="18"/>
          <w:lang w:val="en-US"/>
        </w:rPr>
        <w:footnoteReference w:id="68"/>
      </w:r>
    </w:p>
    <w:p w14:paraId="30164BC5" w14:textId="62657F29" w:rsidR="00236F18" w:rsidRPr="00B24750" w:rsidRDefault="00236F18" w:rsidP="00B9394C">
      <w:pPr>
        <w:tabs>
          <w:tab w:val="left" w:pos="9072"/>
        </w:tabs>
        <w:autoSpaceDE w:val="0"/>
        <w:autoSpaceDN w:val="0"/>
        <w:adjustRightInd w:val="0"/>
        <w:ind w:left="720" w:right="864"/>
        <w:jc w:val="both"/>
        <w:rPr>
          <w:rFonts w:asciiTheme="majorHAnsi" w:hAnsiTheme="majorHAnsi" w:cs="Arial"/>
          <w:sz w:val="18"/>
          <w:szCs w:val="18"/>
          <w:lang w:val="en-US"/>
        </w:rPr>
      </w:pPr>
    </w:p>
    <w:p w14:paraId="69689BEB" w14:textId="6A201933" w:rsidR="00236F18" w:rsidRPr="00B24750" w:rsidRDefault="00366365" w:rsidP="009D14E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6747"/>
        </w:tabs>
        <w:autoSpaceDE w:val="0"/>
        <w:autoSpaceDN w:val="0"/>
        <w:adjustRightInd w:val="0"/>
        <w:ind w:firstLine="0"/>
        <w:jc w:val="both"/>
        <w:rPr>
          <w:rFonts w:asciiTheme="majorHAnsi" w:hAnsiTheme="majorHAnsi"/>
          <w:sz w:val="20"/>
          <w:szCs w:val="20"/>
          <w:bdr w:val="none" w:sz="0" w:space="0" w:color="auto"/>
        </w:rPr>
      </w:pPr>
      <w:r w:rsidRPr="00B24750">
        <w:rPr>
          <w:rFonts w:asciiTheme="majorHAnsi" w:hAnsiTheme="majorHAnsi" w:cs="Arial"/>
          <w:sz w:val="20"/>
          <w:szCs w:val="20"/>
        </w:rPr>
        <w:t xml:space="preserve">Finally, </w:t>
      </w:r>
      <w:r w:rsidRPr="00B24750">
        <w:rPr>
          <w:rFonts w:asciiTheme="majorHAnsi" w:hAnsiTheme="majorHAnsi"/>
          <w:sz w:val="20"/>
          <w:szCs w:val="20"/>
          <w:bdr w:val="none" w:sz="0" w:space="0" w:color="auto"/>
        </w:rPr>
        <w:t>the IACHR has observed over the years that the persecution of journalists, human rights defenders</w:t>
      </w:r>
      <w:r w:rsidR="0031470F" w:rsidRPr="00B24750">
        <w:rPr>
          <w:rFonts w:asciiTheme="majorHAnsi" w:hAnsiTheme="majorHAnsi"/>
          <w:sz w:val="20"/>
          <w:szCs w:val="20"/>
          <w:bdr w:val="none" w:sz="0" w:space="0" w:color="auto"/>
        </w:rPr>
        <w:t>,</w:t>
      </w:r>
      <w:r w:rsidRPr="00B24750">
        <w:rPr>
          <w:rFonts w:asciiTheme="majorHAnsi" w:hAnsiTheme="majorHAnsi"/>
          <w:sz w:val="20"/>
          <w:szCs w:val="20"/>
          <w:bdr w:val="none" w:sz="0" w:space="0" w:color="auto"/>
        </w:rPr>
        <w:t xml:space="preserve"> and political dissidents in Cuba has been </w:t>
      </w:r>
      <w:r w:rsidR="0031470F" w:rsidRPr="00B24750">
        <w:rPr>
          <w:rFonts w:asciiTheme="majorHAnsi" w:hAnsiTheme="majorHAnsi"/>
          <w:sz w:val="20"/>
          <w:szCs w:val="20"/>
          <w:bdr w:val="none" w:sz="0" w:space="0" w:color="auto"/>
        </w:rPr>
        <w:t>coupled with</w:t>
      </w:r>
      <w:r w:rsidRPr="00B24750">
        <w:rPr>
          <w:rFonts w:asciiTheme="majorHAnsi" w:hAnsiTheme="majorHAnsi"/>
          <w:sz w:val="20"/>
          <w:szCs w:val="20"/>
          <w:bdr w:val="none" w:sz="0" w:space="0" w:color="auto"/>
        </w:rPr>
        <w:t xml:space="preserve"> their identification as subversives and counterrevolutionaries</w:t>
      </w:r>
      <w:r w:rsidR="0031470F" w:rsidRPr="00B24750">
        <w:rPr>
          <w:rFonts w:asciiTheme="majorHAnsi" w:hAnsiTheme="majorHAnsi"/>
          <w:sz w:val="20"/>
          <w:szCs w:val="20"/>
          <w:bdr w:val="none" w:sz="0" w:space="0" w:color="auto"/>
        </w:rPr>
        <w:t>.</w:t>
      </w:r>
      <w:r w:rsidRPr="00B24750">
        <w:rPr>
          <w:rFonts w:asciiTheme="majorHAnsi" w:hAnsiTheme="majorHAnsi"/>
          <w:sz w:val="20"/>
          <w:szCs w:val="20"/>
          <w:bdr w:val="none" w:sz="0" w:space="0" w:color="auto"/>
          <w:vertAlign w:val="superscript"/>
        </w:rPr>
        <w:footnoteReference w:id="69"/>
      </w:r>
      <w:r w:rsidRPr="00B24750">
        <w:rPr>
          <w:rFonts w:asciiTheme="majorHAnsi" w:hAnsiTheme="majorHAnsi"/>
          <w:sz w:val="20"/>
          <w:szCs w:val="20"/>
          <w:bdr w:val="none" w:sz="0" w:space="0" w:color="auto"/>
        </w:rPr>
        <w:t xml:space="preserve"> These and other similar labels, such as the accusation of </w:t>
      </w:r>
      <w:r w:rsidR="0031470F" w:rsidRPr="00B24750">
        <w:rPr>
          <w:rFonts w:asciiTheme="majorHAnsi" w:hAnsiTheme="majorHAnsi"/>
          <w:sz w:val="20"/>
          <w:szCs w:val="20"/>
          <w:bdr w:val="none" w:sz="0" w:space="0" w:color="auto"/>
        </w:rPr>
        <w:t>ties to</w:t>
      </w:r>
      <w:r w:rsidRPr="00B24750">
        <w:rPr>
          <w:rFonts w:asciiTheme="majorHAnsi" w:hAnsiTheme="majorHAnsi"/>
          <w:sz w:val="20"/>
          <w:szCs w:val="20"/>
          <w:bdr w:val="none" w:sz="0" w:space="0" w:color="auto"/>
        </w:rPr>
        <w:t xml:space="preserve"> foreign countries</w:t>
      </w:r>
      <w:r w:rsidRPr="00B24750">
        <w:rPr>
          <w:rFonts w:asciiTheme="majorHAnsi" w:hAnsiTheme="majorHAnsi"/>
          <w:sz w:val="20"/>
          <w:szCs w:val="20"/>
          <w:bdr w:val="none" w:sz="0" w:space="0" w:color="auto"/>
          <w:vertAlign w:val="superscript"/>
        </w:rPr>
        <w:footnoteReference w:id="70"/>
      </w:r>
      <w:r w:rsidRPr="00B24750">
        <w:rPr>
          <w:rFonts w:asciiTheme="majorHAnsi" w:hAnsiTheme="majorHAnsi"/>
          <w:sz w:val="20"/>
          <w:szCs w:val="20"/>
          <w:bdr w:val="none" w:sz="0" w:space="0" w:color="auto"/>
        </w:rPr>
        <w:t xml:space="preserve"> (especially </w:t>
      </w:r>
      <w:r w:rsidR="0031470F" w:rsidRPr="00B24750">
        <w:rPr>
          <w:rFonts w:asciiTheme="majorHAnsi" w:hAnsiTheme="majorHAnsi"/>
          <w:sz w:val="20"/>
          <w:szCs w:val="20"/>
          <w:bdr w:val="none" w:sz="0" w:space="0" w:color="auto"/>
        </w:rPr>
        <w:t>accusations of</w:t>
      </w:r>
      <w:r w:rsidRPr="00B24750">
        <w:rPr>
          <w:rFonts w:asciiTheme="majorHAnsi" w:hAnsiTheme="majorHAnsi"/>
          <w:sz w:val="20"/>
          <w:szCs w:val="20"/>
          <w:bdr w:val="none" w:sz="0" w:space="0" w:color="auto"/>
        </w:rPr>
        <w:t xml:space="preserve"> working for the United States), are used not only by individuals, the Committees for the Defense of the Revolution</w:t>
      </w:r>
      <w:r w:rsidR="0031470F" w:rsidRPr="00B24750">
        <w:rPr>
          <w:rFonts w:asciiTheme="majorHAnsi" w:hAnsiTheme="majorHAnsi"/>
          <w:sz w:val="20"/>
          <w:szCs w:val="20"/>
          <w:bdr w:val="none" w:sz="0" w:space="0" w:color="auto"/>
        </w:rPr>
        <w:t>,</w:t>
      </w:r>
      <w:r w:rsidRPr="00B24750">
        <w:rPr>
          <w:rFonts w:asciiTheme="majorHAnsi" w:hAnsiTheme="majorHAnsi"/>
          <w:sz w:val="20"/>
          <w:szCs w:val="20"/>
          <w:bdr w:val="none" w:sz="0" w:space="0" w:color="auto"/>
        </w:rPr>
        <w:t xml:space="preserve"> and the P</w:t>
      </w:r>
      <w:r w:rsidR="0031470F" w:rsidRPr="00B24750">
        <w:rPr>
          <w:rFonts w:asciiTheme="majorHAnsi" w:hAnsiTheme="majorHAnsi"/>
          <w:sz w:val="20"/>
          <w:szCs w:val="20"/>
          <w:bdr w:val="none" w:sz="0" w:space="0" w:color="auto"/>
        </w:rPr>
        <w:t>eople’s</w:t>
      </w:r>
      <w:r w:rsidRPr="00B24750">
        <w:rPr>
          <w:rFonts w:asciiTheme="majorHAnsi" w:hAnsiTheme="majorHAnsi"/>
          <w:sz w:val="20"/>
          <w:szCs w:val="20"/>
          <w:bdr w:val="none" w:sz="0" w:space="0" w:color="auto"/>
        </w:rPr>
        <w:t xml:space="preserve"> Rapid Response Detachments</w:t>
      </w:r>
      <w:r w:rsidRPr="00B24750">
        <w:rPr>
          <w:rFonts w:asciiTheme="majorHAnsi" w:hAnsiTheme="majorHAnsi"/>
          <w:sz w:val="20"/>
          <w:szCs w:val="20"/>
          <w:bdr w:val="none" w:sz="0" w:space="0" w:color="auto"/>
          <w:vertAlign w:val="superscript"/>
        </w:rPr>
        <w:footnoteReference w:id="71"/>
      </w:r>
      <w:r w:rsidRPr="00B24750">
        <w:rPr>
          <w:rFonts w:asciiTheme="majorHAnsi" w:hAnsiTheme="majorHAnsi"/>
          <w:sz w:val="20"/>
          <w:szCs w:val="20"/>
          <w:bdr w:val="none" w:sz="0" w:space="0" w:color="auto"/>
        </w:rPr>
        <w:t xml:space="preserve"> but also by </w:t>
      </w:r>
      <w:r w:rsidR="0031470F" w:rsidRPr="00B24750">
        <w:rPr>
          <w:rFonts w:asciiTheme="majorHAnsi" w:hAnsiTheme="majorHAnsi"/>
          <w:sz w:val="20"/>
          <w:szCs w:val="20"/>
          <w:bdr w:val="none" w:sz="0" w:space="0" w:color="auto"/>
        </w:rPr>
        <w:t>S</w:t>
      </w:r>
      <w:r w:rsidRPr="00B24750">
        <w:rPr>
          <w:rFonts w:asciiTheme="majorHAnsi" w:hAnsiTheme="majorHAnsi"/>
          <w:sz w:val="20"/>
          <w:szCs w:val="20"/>
          <w:bdr w:val="none" w:sz="0" w:space="0" w:color="auto"/>
        </w:rPr>
        <w:t>tate authorities</w:t>
      </w:r>
      <w:r w:rsidR="0031470F" w:rsidRPr="00B24750">
        <w:rPr>
          <w:rFonts w:asciiTheme="majorHAnsi" w:hAnsiTheme="majorHAnsi"/>
          <w:sz w:val="20"/>
          <w:szCs w:val="20"/>
          <w:bdr w:val="none" w:sz="0" w:space="0" w:color="auto"/>
        </w:rPr>
        <w:t>.</w:t>
      </w:r>
      <w:r w:rsidRPr="00B24750">
        <w:rPr>
          <w:rFonts w:asciiTheme="majorHAnsi" w:hAnsiTheme="majorHAnsi"/>
          <w:sz w:val="20"/>
          <w:szCs w:val="20"/>
          <w:bdr w:val="none" w:sz="0" w:space="0" w:color="auto"/>
          <w:vertAlign w:val="superscript"/>
        </w:rPr>
        <w:footnoteReference w:id="72"/>
      </w:r>
      <w:r w:rsidR="0031470F" w:rsidRPr="00B24750">
        <w:rPr>
          <w:rFonts w:asciiTheme="majorHAnsi" w:hAnsiTheme="majorHAnsi"/>
          <w:sz w:val="20"/>
          <w:szCs w:val="20"/>
          <w:bdr w:val="none" w:sz="0" w:space="0" w:color="auto"/>
        </w:rPr>
        <w:t xml:space="preserve"> </w:t>
      </w:r>
      <w:r w:rsidR="006E62A8">
        <w:rPr>
          <w:rFonts w:asciiTheme="majorHAnsi" w:hAnsiTheme="majorHAnsi"/>
          <w:sz w:val="20"/>
          <w:szCs w:val="20"/>
          <w:bdr w:val="none" w:sz="0" w:space="0" w:color="auto"/>
        </w:rPr>
        <w:t xml:space="preserve">The </w:t>
      </w:r>
      <w:r w:rsidRPr="00B24750">
        <w:rPr>
          <w:rFonts w:asciiTheme="majorHAnsi" w:hAnsiTheme="majorHAnsi"/>
          <w:sz w:val="20"/>
          <w:szCs w:val="20"/>
          <w:bdr w:val="none" w:sz="0" w:space="0" w:color="auto"/>
        </w:rPr>
        <w:t xml:space="preserve">IACHR considers that the stigmatization of journalists </w:t>
      </w:r>
      <w:r w:rsidR="0031470F" w:rsidRPr="00B24750">
        <w:rPr>
          <w:rFonts w:asciiTheme="majorHAnsi" w:hAnsiTheme="majorHAnsi"/>
          <w:sz w:val="20"/>
          <w:szCs w:val="20"/>
          <w:bdr w:val="none" w:sz="0" w:space="0" w:color="auto"/>
        </w:rPr>
        <w:t>with</w:t>
      </w:r>
      <w:r w:rsidRPr="00B24750">
        <w:rPr>
          <w:rFonts w:asciiTheme="majorHAnsi" w:hAnsiTheme="majorHAnsi"/>
          <w:sz w:val="20"/>
          <w:szCs w:val="20"/>
          <w:bdr w:val="none" w:sz="0" w:space="0" w:color="auto"/>
        </w:rPr>
        <w:t xml:space="preserve"> pejorative labels is a repeated practice </w:t>
      </w:r>
      <w:r w:rsidR="004151FF" w:rsidRPr="00B24750">
        <w:rPr>
          <w:rFonts w:asciiTheme="majorHAnsi" w:hAnsiTheme="majorHAnsi"/>
          <w:sz w:val="20"/>
          <w:szCs w:val="20"/>
          <w:bdr w:val="none" w:sz="0" w:space="0" w:color="auto"/>
        </w:rPr>
        <w:t>on the island</w:t>
      </w:r>
      <w:r w:rsidR="00236F18" w:rsidRPr="00B24750">
        <w:rPr>
          <w:rFonts w:asciiTheme="majorHAnsi" w:hAnsiTheme="majorHAnsi"/>
          <w:sz w:val="20"/>
          <w:szCs w:val="20"/>
          <w:bdr w:val="none" w:sz="0" w:space="0" w:color="auto"/>
        </w:rPr>
        <w:t xml:space="preserve">. </w:t>
      </w:r>
    </w:p>
    <w:p w14:paraId="48DC2EC4" w14:textId="77777777" w:rsidR="004E7E99" w:rsidRPr="00B24750" w:rsidRDefault="004E7E99" w:rsidP="004E7E99">
      <w:pPr>
        <w:pBdr>
          <w:top w:val="none" w:sz="0" w:space="0" w:color="auto"/>
          <w:left w:val="none" w:sz="0" w:space="0" w:color="auto"/>
          <w:bottom w:val="none" w:sz="0" w:space="0" w:color="auto"/>
          <w:right w:val="none" w:sz="0" w:space="0" w:color="auto"/>
        </w:pBdr>
        <w:jc w:val="both"/>
        <w:rPr>
          <w:rFonts w:asciiTheme="majorHAnsi" w:hAnsiTheme="majorHAnsi"/>
          <w:sz w:val="20"/>
          <w:szCs w:val="20"/>
          <w:bdr w:val="none" w:sz="0" w:space="0" w:color="auto"/>
          <w:lang w:val="en-US"/>
        </w:rPr>
      </w:pPr>
    </w:p>
    <w:p w14:paraId="7446AB13" w14:textId="2DB40726" w:rsidR="00B44D0F" w:rsidRPr="00F66452" w:rsidRDefault="00A56196" w:rsidP="00F66452">
      <w:pPr>
        <w:pStyle w:val="Heading2"/>
        <w:rPr>
          <w:rFonts w:eastAsia="Arial Unicode MS"/>
        </w:rPr>
      </w:pPr>
      <w:bookmarkStart w:id="16" w:name="_Toc90392468"/>
      <w:r w:rsidRPr="00F66452">
        <w:rPr>
          <w:rFonts w:eastAsia="Arial Unicode MS"/>
        </w:rPr>
        <w:t>Journalist and blogger</w:t>
      </w:r>
      <w:r w:rsidR="007147AF" w:rsidRPr="00F66452">
        <w:rPr>
          <w:rFonts w:eastAsia="Arial Unicode MS"/>
        </w:rPr>
        <w:t xml:space="preserve"> </w:t>
      </w:r>
      <w:proofErr w:type="spellStart"/>
      <w:r w:rsidR="007147AF" w:rsidRPr="00F66452">
        <w:rPr>
          <w:rFonts w:eastAsia="Arial Unicode MS"/>
        </w:rPr>
        <w:t>Yoani</w:t>
      </w:r>
      <w:proofErr w:type="spellEnd"/>
      <w:r w:rsidR="007147AF" w:rsidRPr="00F66452">
        <w:rPr>
          <w:rFonts w:eastAsia="Arial Unicode MS"/>
        </w:rPr>
        <w:t xml:space="preserve"> Mar</w:t>
      </w:r>
      <w:r w:rsidR="00217980" w:rsidRPr="00F66452">
        <w:rPr>
          <w:rFonts w:eastAsia="Arial Unicode MS"/>
        </w:rPr>
        <w:t>í</w:t>
      </w:r>
      <w:r w:rsidR="007147AF" w:rsidRPr="00F66452">
        <w:rPr>
          <w:rFonts w:eastAsia="Arial Unicode MS"/>
        </w:rPr>
        <w:t>a Sánchez Cordero</w:t>
      </w:r>
      <w:bookmarkEnd w:id="16"/>
    </w:p>
    <w:p w14:paraId="2C4B706E" w14:textId="77777777" w:rsidR="009474D6" w:rsidRPr="00B24750" w:rsidRDefault="009474D6" w:rsidP="00810F85">
      <w:pPr>
        <w:pStyle w:val="ListParagraph"/>
        <w:ind w:left="1080"/>
        <w:jc w:val="both"/>
        <w:rPr>
          <w:rFonts w:asciiTheme="majorHAnsi" w:eastAsia="Arial Unicode MS" w:hAnsiTheme="majorHAnsi" w:cs="Arial"/>
          <w:b/>
          <w:color w:val="auto"/>
          <w:sz w:val="20"/>
          <w:szCs w:val="20"/>
          <w:lang w:eastAsia="en-US"/>
        </w:rPr>
      </w:pPr>
    </w:p>
    <w:p w14:paraId="5BB75399" w14:textId="364AA6A4" w:rsidR="00A56196" w:rsidRPr="00B24750" w:rsidRDefault="00A56196" w:rsidP="009D14E7">
      <w:pPr>
        <w:pStyle w:val="ListParagraph"/>
        <w:numPr>
          <w:ilvl w:val="0"/>
          <w:numId w:val="55"/>
        </w:numPr>
        <w:ind w:firstLine="0"/>
        <w:jc w:val="both"/>
        <w:rPr>
          <w:rFonts w:asciiTheme="majorHAnsi" w:eastAsia="Arial Unicode MS" w:hAnsiTheme="majorHAnsi" w:cs="Arial"/>
          <w:color w:val="auto"/>
          <w:sz w:val="20"/>
          <w:szCs w:val="20"/>
          <w:lang w:eastAsia="en-US"/>
        </w:rPr>
      </w:pPr>
      <w:proofErr w:type="spellStart"/>
      <w:r w:rsidRPr="00B24750">
        <w:rPr>
          <w:rFonts w:asciiTheme="majorHAnsi" w:eastAsia="Arial Unicode MS" w:hAnsiTheme="majorHAnsi" w:cs="Arial"/>
          <w:color w:val="auto"/>
          <w:sz w:val="20"/>
          <w:szCs w:val="20"/>
          <w:lang w:eastAsia="en-US"/>
        </w:rPr>
        <w:t>Yoani</w:t>
      </w:r>
      <w:proofErr w:type="spellEnd"/>
      <w:r w:rsidRPr="00B24750">
        <w:rPr>
          <w:rFonts w:asciiTheme="majorHAnsi" w:eastAsia="Arial Unicode MS" w:hAnsiTheme="majorHAnsi" w:cs="Arial"/>
          <w:color w:val="auto"/>
          <w:sz w:val="20"/>
          <w:szCs w:val="20"/>
          <w:lang w:eastAsia="en-US"/>
        </w:rPr>
        <w:t xml:space="preserve"> Mar</w:t>
      </w:r>
      <w:r w:rsidR="00217980">
        <w:rPr>
          <w:rFonts w:asciiTheme="majorHAnsi" w:eastAsia="Arial Unicode MS" w:hAnsiTheme="majorHAnsi" w:cs="Arial"/>
          <w:color w:val="auto"/>
          <w:sz w:val="20"/>
          <w:szCs w:val="20"/>
          <w:lang w:eastAsia="en-US"/>
        </w:rPr>
        <w:t>í</w:t>
      </w:r>
      <w:r w:rsidRPr="00B24750">
        <w:rPr>
          <w:rFonts w:asciiTheme="majorHAnsi" w:eastAsia="Arial Unicode MS" w:hAnsiTheme="majorHAnsi" w:cs="Arial"/>
          <w:color w:val="auto"/>
          <w:sz w:val="20"/>
          <w:szCs w:val="20"/>
          <w:lang w:eastAsia="en-US"/>
        </w:rPr>
        <w:t>a Sánchez Cordero was born on September 4, 1975.</w:t>
      </w:r>
      <w:r w:rsidRPr="00B24750">
        <w:rPr>
          <w:rFonts w:asciiTheme="majorHAnsi" w:eastAsia="Arial Unicode MS" w:hAnsiTheme="majorHAnsi" w:cs="Arial"/>
          <w:color w:val="auto"/>
          <w:sz w:val="20"/>
          <w:szCs w:val="20"/>
          <w:vertAlign w:val="superscript"/>
          <w:lang w:eastAsia="en-US"/>
        </w:rPr>
        <w:footnoteReference w:id="73"/>
      </w:r>
      <w:r w:rsidRPr="00B24750">
        <w:rPr>
          <w:rFonts w:asciiTheme="majorHAnsi" w:eastAsia="Arial Unicode MS" w:hAnsiTheme="majorHAnsi" w:cs="Arial"/>
          <w:color w:val="auto"/>
          <w:sz w:val="20"/>
          <w:szCs w:val="20"/>
          <w:lang w:eastAsia="en-US"/>
        </w:rPr>
        <w:t xml:space="preserve"> From 1995 to 2000, she attended the College of Arts and Letters, where she completed a major in Hispanic Philology and specialized in contemporary Latin American literature. After obtaining her degree, she worked at </w:t>
      </w:r>
      <w:r w:rsidRPr="00B24750">
        <w:rPr>
          <w:rFonts w:asciiTheme="majorHAnsi" w:eastAsia="Arial Unicode MS" w:hAnsiTheme="majorHAnsi" w:cs="Arial"/>
          <w:i/>
          <w:iCs/>
          <w:color w:val="auto"/>
          <w:sz w:val="20"/>
          <w:szCs w:val="20"/>
          <w:lang w:eastAsia="en-US"/>
        </w:rPr>
        <w:t xml:space="preserve">Editorial </w:t>
      </w:r>
      <w:proofErr w:type="spellStart"/>
      <w:r w:rsidRPr="00B24750">
        <w:rPr>
          <w:rFonts w:asciiTheme="majorHAnsi" w:eastAsia="Arial Unicode MS" w:hAnsiTheme="majorHAnsi" w:cs="Arial"/>
          <w:i/>
          <w:iCs/>
          <w:color w:val="auto"/>
          <w:sz w:val="20"/>
          <w:szCs w:val="20"/>
          <w:lang w:eastAsia="en-US"/>
        </w:rPr>
        <w:t>Gente</w:t>
      </w:r>
      <w:proofErr w:type="spellEnd"/>
      <w:r w:rsidRPr="00B24750">
        <w:rPr>
          <w:rFonts w:asciiTheme="majorHAnsi" w:eastAsia="Arial Unicode MS" w:hAnsiTheme="majorHAnsi" w:cs="Arial"/>
          <w:i/>
          <w:iCs/>
          <w:color w:val="auto"/>
          <w:sz w:val="20"/>
          <w:szCs w:val="20"/>
          <w:lang w:eastAsia="en-US"/>
        </w:rPr>
        <w:t xml:space="preserve"> Nueva</w:t>
      </w:r>
      <w:r w:rsidRPr="00B24750">
        <w:rPr>
          <w:rFonts w:asciiTheme="majorHAnsi" w:eastAsia="Arial Unicode MS" w:hAnsiTheme="majorHAnsi" w:cs="Arial"/>
          <w:color w:val="auto"/>
          <w:sz w:val="20"/>
          <w:szCs w:val="20"/>
          <w:lang w:eastAsia="en-US"/>
        </w:rPr>
        <w:t xml:space="preserve"> and as a Spanish teacher for tourists. She emigrated to Switzerland in 2002 and returned to Cuba in 2004.</w:t>
      </w:r>
      <w:r w:rsidRPr="00B24750">
        <w:rPr>
          <w:rFonts w:asciiTheme="majorHAnsi" w:eastAsia="Arial Unicode MS" w:hAnsiTheme="majorHAnsi" w:cs="Arial"/>
          <w:color w:val="auto"/>
          <w:sz w:val="20"/>
          <w:szCs w:val="20"/>
          <w:vertAlign w:val="superscript"/>
          <w:lang w:eastAsia="en-US"/>
        </w:rPr>
        <w:footnoteReference w:id="74"/>
      </w:r>
    </w:p>
    <w:p w14:paraId="40E3BA2A" w14:textId="77777777" w:rsidR="009474D6" w:rsidRPr="00B24750" w:rsidRDefault="009474D6" w:rsidP="009D14E7">
      <w:pPr>
        <w:pStyle w:val="ListParagraph"/>
        <w:ind w:left="0"/>
        <w:jc w:val="both"/>
        <w:rPr>
          <w:rFonts w:asciiTheme="majorHAnsi" w:eastAsia="Arial Unicode MS" w:hAnsiTheme="majorHAnsi" w:cs="Arial"/>
          <w:color w:val="auto"/>
          <w:sz w:val="20"/>
          <w:szCs w:val="20"/>
          <w:lang w:eastAsia="en-US"/>
        </w:rPr>
      </w:pPr>
    </w:p>
    <w:p w14:paraId="4E7C3C29" w14:textId="3FA5E52F" w:rsidR="005719AB" w:rsidRPr="00B24750" w:rsidRDefault="005719AB" w:rsidP="009D14E7">
      <w:pPr>
        <w:pStyle w:val="ListParagraph"/>
        <w:numPr>
          <w:ilvl w:val="0"/>
          <w:numId w:val="55"/>
        </w:numPr>
        <w:autoSpaceDE w:val="0"/>
        <w:autoSpaceDN w:val="0"/>
        <w:adjustRightInd w:val="0"/>
        <w:ind w:firstLine="0"/>
        <w:jc w:val="both"/>
        <w:rPr>
          <w:rFonts w:asciiTheme="majorHAnsi" w:eastAsia="Arial Unicode MS" w:hAnsiTheme="majorHAnsi" w:cs="Arial"/>
          <w:color w:val="auto"/>
          <w:sz w:val="20"/>
          <w:szCs w:val="20"/>
          <w:lang w:eastAsia="en-US"/>
        </w:rPr>
      </w:pPr>
      <w:r w:rsidRPr="00B24750">
        <w:rPr>
          <w:rFonts w:asciiTheme="majorHAnsi" w:eastAsia="Arial Unicode MS" w:hAnsiTheme="majorHAnsi" w:cs="Arial"/>
          <w:color w:val="auto"/>
          <w:sz w:val="20"/>
          <w:szCs w:val="20"/>
          <w:lang w:eastAsia="en-US"/>
        </w:rPr>
        <w:lastRenderedPageBreak/>
        <w:t xml:space="preserve">After her return, she and a group of fellow Cubans founded the magazine </w:t>
      </w:r>
      <w:proofErr w:type="spellStart"/>
      <w:r w:rsidRPr="00B24750">
        <w:rPr>
          <w:rFonts w:asciiTheme="majorHAnsi" w:eastAsia="Arial Unicode MS" w:hAnsiTheme="majorHAnsi" w:cs="Arial"/>
          <w:i/>
          <w:iCs/>
          <w:color w:val="auto"/>
          <w:sz w:val="20"/>
          <w:szCs w:val="20"/>
          <w:lang w:eastAsia="en-US"/>
        </w:rPr>
        <w:t>Consenso</w:t>
      </w:r>
      <w:proofErr w:type="spellEnd"/>
      <w:r w:rsidRPr="00B24750">
        <w:rPr>
          <w:rFonts w:asciiTheme="majorHAnsi" w:eastAsia="Arial Unicode MS" w:hAnsiTheme="majorHAnsi" w:cs="Arial"/>
          <w:color w:val="auto"/>
          <w:sz w:val="20"/>
          <w:szCs w:val="20"/>
          <w:lang w:eastAsia="en-US"/>
        </w:rPr>
        <w:t xml:space="preserve">, and in April 2007, she created the blog </w:t>
      </w:r>
      <w:proofErr w:type="spellStart"/>
      <w:r w:rsidRPr="00B24750">
        <w:rPr>
          <w:rFonts w:asciiTheme="majorHAnsi" w:eastAsia="Arial Unicode MS" w:hAnsiTheme="majorHAnsi" w:cs="Arial"/>
          <w:i/>
          <w:iCs/>
          <w:color w:val="auto"/>
          <w:sz w:val="20"/>
          <w:szCs w:val="20"/>
          <w:lang w:eastAsia="en-US"/>
        </w:rPr>
        <w:t>Generación</w:t>
      </w:r>
      <w:proofErr w:type="spellEnd"/>
      <w:r w:rsidRPr="00B24750">
        <w:rPr>
          <w:rFonts w:asciiTheme="majorHAnsi" w:eastAsia="Arial Unicode MS" w:hAnsiTheme="majorHAnsi" w:cs="Arial"/>
          <w:i/>
          <w:iCs/>
          <w:color w:val="auto"/>
          <w:sz w:val="20"/>
          <w:szCs w:val="20"/>
          <w:lang w:eastAsia="en-US"/>
        </w:rPr>
        <w:t xml:space="preserve"> Y</w:t>
      </w:r>
      <w:r w:rsidRPr="00B24750">
        <w:rPr>
          <w:rFonts w:asciiTheme="majorHAnsi" w:eastAsia="Arial Unicode MS" w:hAnsiTheme="majorHAnsi" w:cs="Arial"/>
          <w:color w:val="auto"/>
          <w:sz w:val="20"/>
          <w:szCs w:val="20"/>
          <w:lang w:eastAsia="en-US"/>
        </w:rPr>
        <w:t>.</w:t>
      </w:r>
      <w:r w:rsidRPr="00B24750">
        <w:rPr>
          <w:rFonts w:asciiTheme="majorHAnsi" w:eastAsia="Arial Unicode MS" w:hAnsiTheme="majorHAnsi" w:cs="Arial"/>
          <w:color w:val="auto"/>
          <w:sz w:val="20"/>
          <w:szCs w:val="20"/>
          <w:vertAlign w:val="superscript"/>
          <w:lang w:eastAsia="en-US"/>
        </w:rPr>
        <w:footnoteReference w:id="75"/>
      </w:r>
      <w:r w:rsidRPr="00B24750">
        <w:rPr>
          <w:rFonts w:asciiTheme="majorHAnsi" w:eastAsia="Arial Unicode MS" w:hAnsiTheme="majorHAnsi" w:cs="Arial"/>
          <w:color w:val="auto"/>
          <w:sz w:val="20"/>
          <w:szCs w:val="20"/>
          <w:lang w:eastAsia="en-US"/>
        </w:rPr>
        <w:t xml:space="preserve">  </w:t>
      </w:r>
      <w:r w:rsidRPr="00B24750">
        <w:rPr>
          <w:rFonts w:asciiTheme="majorHAnsi" w:hAnsiTheme="majorHAnsi"/>
          <w:sz w:val="20"/>
          <w:szCs w:val="20"/>
        </w:rPr>
        <w:t xml:space="preserve">Currently, she is a journalist and the founding director of the digital newspaper </w:t>
      </w:r>
      <w:r w:rsidRPr="00B24750">
        <w:rPr>
          <w:rFonts w:asciiTheme="majorHAnsi" w:hAnsiTheme="majorHAnsi"/>
          <w:i/>
          <w:iCs/>
          <w:sz w:val="20"/>
          <w:szCs w:val="20"/>
        </w:rPr>
        <w:t>14ymedio.com</w:t>
      </w:r>
      <w:r w:rsidRPr="00B24750">
        <w:rPr>
          <w:rFonts w:asciiTheme="majorHAnsi" w:hAnsiTheme="majorHAnsi"/>
          <w:sz w:val="20"/>
          <w:szCs w:val="20"/>
        </w:rPr>
        <w:t>,</w:t>
      </w:r>
      <w:r w:rsidRPr="00B24750">
        <w:rPr>
          <w:rStyle w:val="FootnoteReference"/>
          <w:rFonts w:asciiTheme="majorHAnsi" w:hAnsiTheme="majorHAnsi"/>
          <w:sz w:val="20"/>
          <w:szCs w:val="20"/>
        </w:rPr>
        <w:footnoteReference w:id="76"/>
      </w:r>
      <w:r w:rsidRPr="00B24750">
        <w:rPr>
          <w:rFonts w:asciiTheme="majorHAnsi" w:hAnsiTheme="majorHAnsi"/>
          <w:sz w:val="20"/>
          <w:szCs w:val="20"/>
        </w:rPr>
        <w:t xml:space="preserve"> the first independent news website in Cuba, which is hosted outside the country.</w:t>
      </w:r>
      <w:r w:rsidRPr="00B24750">
        <w:rPr>
          <w:rStyle w:val="FootnoteReference"/>
          <w:rFonts w:asciiTheme="majorHAnsi" w:hAnsiTheme="majorHAnsi"/>
          <w:sz w:val="20"/>
          <w:szCs w:val="20"/>
        </w:rPr>
        <w:footnoteReference w:id="77"/>
      </w:r>
    </w:p>
    <w:p w14:paraId="422FC571" w14:textId="77777777" w:rsidR="009474D6" w:rsidRPr="00B24750" w:rsidRDefault="009474D6" w:rsidP="005F7FE2">
      <w:pPr>
        <w:pStyle w:val="ListParagraph"/>
        <w:rPr>
          <w:rFonts w:asciiTheme="majorHAnsi" w:hAnsiTheme="majorHAnsi"/>
          <w:sz w:val="20"/>
          <w:szCs w:val="20"/>
        </w:rPr>
      </w:pPr>
    </w:p>
    <w:p w14:paraId="7FA4E896" w14:textId="6DD655EE" w:rsidR="00526497" w:rsidRPr="00B24750" w:rsidRDefault="00526497" w:rsidP="009D14E7">
      <w:pPr>
        <w:pStyle w:val="ListParagraph"/>
        <w:numPr>
          <w:ilvl w:val="0"/>
          <w:numId w:val="55"/>
        </w:numPr>
        <w:autoSpaceDE w:val="0"/>
        <w:autoSpaceDN w:val="0"/>
        <w:adjustRightInd w:val="0"/>
        <w:ind w:firstLine="0"/>
        <w:jc w:val="both"/>
        <w:rPr>
          <w:rFonts w:asciiTheme="majorHAnsi" w:eastAsia="Arial Unicode MS" w:hAnsiTheme="majorHAnsi" w:cs="Arial"/>
          <w:color w:val="auto"/>
          <w:sz w:val="20"/>
          <w:szCs w:val="20"/>
          <w:lang w:eastAsia="en-US"/>
        </w:rPr>
      </w:pP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has published numerous articles critical of the Cuban government. </w:t>
      </w:r>
      <w:r w:rsidRPr="00B24750">
        <w:rPr>
          <w:rFonts w:asciiTheme="majorHAnsi" w:hAnsiTheme="majorHAnsi" w:cs="Arial"/>
          <w:sz w:val="20"/>
          <w:szCs w:val="20"/>
        </w:rPr>
        <w:t>Both in her articles and in her blog, she has narrated episodes of her life and of political and social events in Cuba. She has addressed topics such as internet access in Cuba and the lack of new technologies, the socioeconomic living conditions, poverty, corruption, the lack of freedom of expression, impediments to leaving the country, and the persecution of political dissidents.</w:t>
      </w:r>
      <w:r w:rsidRPr="00B24750">
        <w:rPr>
          <w:rFonts w:asciiTheme="majorHAnsi" w:hAnsiTheme="majorHAnsi"/>
          <w:sz w:val="20"/>
          <w:szCs w:val="20"/>
          <w:vertAlign w:val="superscript"/>
        </w:rPr>
        <w:footnoteReference w:id="78"/>
      </w:r>
      <w:r w:rsidRPr="00B24750">
        <w:rPr>
          <w:rFonts w:asciiTheme="majorHAnsi" w:hAnsiTheme="majorHAnsi" w:cs="Arial"/>
          <w:sz w:val="20"/>
          <w:szCs w:val="20"/>
        </w:rPr>
        <w:t xml:space="preserve"> </w:t>
      </w:r>
    </w:p>
    <w:p w14:paraId="428B9376" w14:textId="77777777" w:rsidR="00526497" w:rsidRPr="00B24750" w:rsidRDefault="00526497" w:rsidP="009D14E7">
      <w:pPr>
        <w:pStyle w:val="ListParagraph"/>
        <w:autoSpaceDE w:val="0"/>
        <w:autoSpaceDN w:val="0"/>
        <w:adjustRightInd w:val="0"/>
        <w:ind w:left="0"/>
        <w:jc w:val="both"/>
        <w:rPr>
          <w:rFonts w:asciiTheme="majorHAnsi" w:eastAsia="Arial Unicode MS" w:hAnsiTheme="majorHAnsi" w:cs="Arial"/>
          <w:color w:val="auto"/>
          <w:sz w:val="20"/>
          <w:szCs w:val="20"/>
          <w:lang w:eastAsia="en-US"/>
        </w:rPr>
      </w:pPr>
    </w:p>
    <w:p w14:paraId="663759BF" w14:textId="3EFB6ACF" w:rsidR="005413B9" w:rsidRPr="00B24750" w:rsidRDefault="005413B9" w:rsidP="009D14E7">
      <w:pPr>
        <w:pStyle w:val="ListParagraph"/>
        <w:numPr>
          <w:ilvl w:val="0"/>
          <w:numId w:val="55"/>
        </w:numPr>
        <w:autoSpaceDE w:val="0"/>
        <w:autoSpaceDN w:val="0"/>
        <w:adjustRightInd w:val="0"/>
        <w:ind w:firstLine="0"/>
        <w:jc w:val="both"/>
        <w:rPr>
          <w:rFonts w:asciiTheme="majorHAnsi" w:eastAsia="Arial Unicode MS" w:hAnsiTheme="majorHAnsi" w:cs="Arial"/>
          <w:color w:val="auto"/>
          <w:sz w:val="20"/>
          <w:szCs w:val="20"/>
          <w:lang w:eastAsia="en-US"/>
        </w:rPr>
      </w:pPr>
      <w:r w:rsidRPr="00B24750">
        <w:rPr>
          <w:rFonts w:asciiTheme="majorHAnsi" w:hAnsiTheme="majorHAnsi" w:cs="Arial"/>
          <w:color w:val="auto"/>
          <w:sz w:val="20"/>
          <w:szCs w:val="20"/>
          <w:lang w:eastAsia="en-US"/>
        </w:rPr>
        <w:t xml:space="preserve">The blog has gained worldwide recognition. In 2008, the alleged victim received the Ortega y </w:t>
      </w:r>
      <w:proofErr w:type="spellStart"/>
      <w:r w:rsidRPr="00B24750">
        <w:rPr>
          <w:rFonts w:asciiTheme="majorHAnsi" w:hAnsiTheme="majorHAnsi" w:cs="Arial"/>
          <w:color w:val="auto"/>
          <w:sz w:val="20"/>
          <w:szCs w:val="20"/>
          <w:lang w:eastAsia="en-US"/>
        </w:rPr>
        <w:t>Gasset</w:t>
      </w:r>
      <w:proofErr w:type="spellEnd"/>
      <w:r w:rsidRPr="00B24750">
        <w:rPr>
          <w:rFonts w:asciiTheme="majorHAnsi" w:hAnsiTheme="majorHAnsi" w:cs="Arial"/>
          <w:color w:val="auto"/>
          <w:sz w:val="20"/>
          <w:szCs w:val="20"/>
          <w:lang w:eastAsia="en-US"/>
        </w:rPr>
        <w:t xml:space="preserve"> Journalism Award,</w:t>
      </w:r>
      <w:r w:rsidRPr="00B24750">
        <w:rPr>
          <w:rStyle w:val="FootnoteReference"/>
          <w:rFonts w:asciiTheme="majorHAnsi" w:eastAsia="Arial Unicode MS" w:hAnsiTheme="majorHAnsi" w:cs="Arial"/>
          <w:color w:val="auto"/>
          <w:sz w:val="20"/>
          <w:szCs w:val="20"/>
          <w:lang w:eastAsia="en-US"/>
        </w:rPr>
        <w:footnoteReference w:id="79"/>
      </w:r>
      <w:r w:rsidRPr="00B24750">
        <w:rPr>
          <w:rFonts w:asciiTheme="majorHAnsi" w:hAnsiTheme="majorHAnsi" w:cs="Arial"/>
          <w:color w:val="auto"/>
          <w:sz w:val="20"/>
          <w:szCs w:val="20"/>
          <w:lang w:eastAsia="en-US"/>
        </w:rPr>
        <w:t xml:space="preserve"> </w:t>
      </w:r>
      <w:r w:rsidRPr="00B24750">
        <w:rPr>
          <w:rFonts w:asciiTheme="majorHAnsi" w:hAnsiTheme="majorHAnsi" w:cs="Arial"/>
          <w:sz w:val="20"/>
          <w:szCs w:val="20"/>
        </w:rPr>
        <w:t xml:space="preserve">was selected by </w:t>
      </w:r>
      <w:r w:rsidRPr="00B24750">
        <w:rPr>
          <w:rFonts w:asciiTheme="majorHAnsi" w:hAnsiTheme="majorHAnsi" w:cs="Arial"/>
          <w:i/>
          <w:sz w:val="20"/>
          <w:szCs w:val="20"/>
        </w:rPr>
        <w:t xml:space="preserve">Time </w:t>
      </w:r>
      <w:r w:rsidRPr="00B24750">
        <w:rPr>
          <w:rFonts w:asciiTheme="majorHAnsi" w:hAnsiTheme="majorHAnsi" w:cs="Arial"/>
          <w:sz w:val="20"/>
          <w:szCs w:val="20"/>
        </w:rPr>
        <w:t>magazine among the 100 most influential people in the world in the “Heroes and Pioneers” category,</w:t>
      </w:r>
      <w:r w:rsidRPr="00B24750">
        <w:rPr>
          <w:rFonts w:asciiTheme="majorHAnsi" w:hAnsiTheme="majorHAnsi"/>
          <w:sz w:val="20"/>
          <w:szCs w:val="20"/>
          <w:vertAlign w:val="superscript"/>
        </w:rPr>
        <w:t xml:space="preserve"> </w:t>
      </w:r>
      <w:r w:rsidRPr="00B24750">
        <w:rPr>
          <w:rFonts w:asciiTheme="majorHAnsi" w:hAnsiTheme="majorHAnsi"/>
          <w:sz w:val="20"/>
          <w:szCs w:val="20"/>
          <w:vertAlign w:val="superscript"/>
        </w:rPr>
        <w:footnoteReference w:id="80"/>
      </w:r>
      <w:r w:rsidRPr="00B24750">
        <w:rPr>
          <w:rFonts w:asciiTheme="majorHAnsi" w:hAnsiTheme="majorHAnsi" w:cs="Arial"/>
          <w:sz w:val="20"/>
          <w:szCs w:val="20"/>
        </w:rPr>
        <w:t xml:space="preserve"> and had her blog listed among the top 25 by the </w:t>
      </w:r>
      <w:r w:rsidRPr="00B24750">
        <w:rPr>
          <w:rFonts w:asciiTheme="majorHAnsi" w:hAnsiTheme="majorHAnsi" w:cs="Arial"/>
          <w:i/>
          <w:iCs/>
          <w:sz w:val="20"/>
          <w:szCs w:val="20"/>
        </w:rPr>
        <w:t xml:space="preserve">Time </w:t>
      </w:r>
      <w:r w:rsidRPr="00B24750">
        <w:rPr>
          <w:rFonts w:asciiTheme="majorHAnsi" w:hAnsiTheme="majorHAnsi" w:cs="Arial"/>
          <w:sz w:val="20"/>
          <w:szCs w:val="20"/>
        </w:rPr>
        <w:t xml:space="preserve">magazine and by </w:t>
      </w:r>
      <w:r w:rsidRPr="00B24750">
        <w:rPr>
          <w:rFonts w:asciiTheme="majorHAnsi" w:hAnsiTheme="majorHAnsi" w:cs="Arial"/>
          <w:i/>
          <w:iCs/>
          <w:sz w:val="20"/>
          <w:szCs w:val="20"/>
        </w:rPr>
        <w:t xml:space="preserve">CNN, </w:t>
      </w:r>
      <w:r w:rsidRPr="00B24750">
        <w:rPr>
          <w:rFonts w:asciiTheme="majorHAnsi" w:hAnsiTheme="majorHAnsi" w:cs="Arial"/>
          <w:sz w:val="20"/>
          <w:szCs w:val="20"/>
        </w:rPr>
        <w:t>in 2009.</w:t>
      </w:r>
      <w:r w:rsidRPr="00B24750">
        <w:rPr>
          <w:rFonts w:asciiTheme="majorHAnsi" w:hAnsiTheme="majorHAnsi"/>
          <w:sz w:val="20"/>
          <w:szCs w:val="20"/>
          <w:vertAlign w:val="superscript"/>
        </w:rPr>
        <w:footnoteReference w:id="81"/>
      </w:r>
      <w:r w:rsidRPr="00B24750">
        <w:rPr>
          <w:rFonts w:asciiTheme="majorHAnsi" w:hAnsiTheme="majorHAnsi" w:cs="Arial"/>
          <w:sz w:val="20"/>
          <w:szCs w:val="20"/>
        </w:rPr>
        <w:t xml:space="preserve"> She also </w:t>
      </w:r>
      <w:r w:rsidR="00185929" w:rsidRPr="00B24750">
        <w:rPr>
          <w:rFonts w:asciiTheme="majorHAnsi" w:hAnsiTheme="majorHAnsi" w:cs="Arial"/>
          <w:sz w:val="20"/>
          <w:szCs w:val="20"/>
        </w:rPr>
        <w:t>took first place</w:t>
      </w:r>
      <w:r w:rsidRPr="00B24750">
        <w:rPr>
          <w:rFonts w:asciiTheme="majorHAnsi" w:hAnsiTheme="majorHAnsi" w:cs="Arial"/>
          <w:sz w:val="20"/>
          <w:szCs w:val="20"/>
        </w:rPr>
        <w:t xml:space="preserve"> in </w:t>
      </w:r>
      <w:r w:rsidRPr="00B24750">
        <w:rPr>
          <w:rFonts w:asciiTheme="majorHAnsi" w:hAnsiTheme="majorHAnsi" w:cs="Arial"/>
          <w:i/>
          <w:sz w:val="20"/>
          <w:szCs w:val="20"/>
        </w:rPr>
        <w:t>The B</w:t>
      </w:r>
      <w:r w:rsidR="00185929" w:rsidRPr="00B24750">
        <w:rPr>
          <w:rFonts w:asciiTheme="majorHAnsi" w:hAnsiTheme="majorHAnsi" w:cs="Arial"/>
          <w:i/>
          <w:sz w:val="20"/>
          <w:szCs w:val="20"/>
        </w:rPr>
        <w:t>OBs</w:t>
      </w:r>
      <w:r w:rsidR="00185929" w:rsidRPr="00B24750">
        <w:rPr>
          <w:rFonts w:asciiTheme="majorHAnsi" w:hAnsiTheme="majorHAnsi" w:cs="Arial"/>
          <w:sz w:val="20"/>
          <w:szCs w:val="20"/>
        </w:rPr>
        <w:t xml:space="preserve"> competition</w:t>
      </w:r>
      <w:r w:rsidRPr="00B24750">
        <w:rPr>
          <w:rFonts w:asciiTheme="majorHAnsi" w:hAnsiTheme="majorHAnsi" w:cs="Arial"/>
          <w:sz w:val="20"/>
          <w:szCs w:val="20"/>
        </w:rPr>
        <w:t xml:space="preserve"> </w:t>
      </w:r>
      <w:r w:rsidR="00185929" w:rsidRPr="00B24750">
        <w:rPr>
          <w:rFonts w:asciiTheme="majorHAnsi" w:hAnsiTheme="majorHAnsi" w:cs="Arial"/>
          <w:sz w:val="20"/>
          <w:szCs w:val="20"/>
        </w:rPr>
        <w:t>of</w:t>
      </w:r>
      <w:r w:rsidRPr="00B24750">
        <w:rPr>
          <w:rFonts w:asciiTheme="majorHAnsi" w:hAnsiTheme="majorHAnsi" w:cs="Arial"/>
          <w:sz w:val="20"/>
          <w:szCs w:val="20"/>
        </w:rPr>
        <w:t xml:space="preserve"> the German magazine </w:t>
      </w:r>
      <w:r w:rsidRPr="00B24750">
        <w:rPr>
          <w:rFonts w:asciiTheme="majorHAnsi" w:hAnsiTheme="majorHAnsi" w:cs="Arial"/>
          <w:i/>
          <w:sz w:val="20"/>
          <w:szCs w:val="20"/>
        </w:rPr>
        <w:t xml:space="preserve">Deutsche </w:t>
      </w:r>
      <w:proofErr w:type="spellStart"/>
      <w:r w:rsidRPr="00B24750">
        <w:rPr>
          <w:rFonts w:asciiTheme="majorHAnsi" w:hAnsiTheme="majorHAnsi" w:cs="Arial"/>
          <w:i/>
          <w:sz w:val="20"/>
          <w:szCs w:val="20"/>
        </w:rPr>
        <w:t>Welle</w:t>
      </w:r>
      <w:proofErr w:type="spellEnd"/>
      <w:r w:rsidRPr="00B24750">
        <w:rPr>
          <w:rFonts w:asciiTheme="majorHAnsi" w:hAnsiTheme="majorHAnsi" w:cs="Arial"/>
          <w:iCs/>
          <w:sz w:val="20"/>
          <w:szCs w:val="20"/>
        </w:rPr>
        <w:t>.</w:t>
      </w:r>
      <w:r w:rsidRPr="00B24750">
        <w:rPr>
          <w:rFonts w:asciiTheme="majorHAnsi" w:hAnsiTheme="majorHAnsi"/>
          <w:iCs/>
          <w:sz w:val="20"/>
          <w:szCs w:val="20"/>
          <w:vertAlign w:val="superscript"/>
        </w:rPr>
        <w:footnoteReference w:id="82"/>
      </w:r>
      <w:r w:rsidRPr="00B24750">
        <w:rPr>
          <w:rFonts w:asciiTheme="majorHAnsi" w:hAnsiTheme="majorHAnsi" w:cs="Arial"/>
          <w:sz w:val="20"/>
          <w:szCs w:val="20"/>
        </w:rPr>
        <w:t xml:space="preserve"> In 2009, she received the </w:t>
      </w:r>
      <w:r w:rsidRPr="00B24750">
        <w:rPr>
          <w:rFonts w:asciiTheme="majorHAnsi" w:hAnsiTheme="majorHAnsi" w:cs="Arial"/>
          <w:sz w:val="20"/>
          <w:szCs w:val="20"/>
          <w:shd w:val="clear" w:color="auto" w:fill="FFFFFF"/>
        </w:rPr>
        <w:t>Mar</w:t>
      </w:r>
      <w:r w:rsidR="00217980">
        <w:rPr>
          <w:rFonts w:asciiTheme="majorHAnsi" w:hAnsiTheme="majorHAnsi" w:cs="Arial"/>
          <w:sz w:val="20"/>
          <w:szCs w:val="20"/>
          <w:shd w:val="clear" w:color="auto" w:fill="FFFFFF"/>
        </w:rPr>
        <w:t>i</w:t>
      </w:r>
      <w:r w:rsidRPr="00B24750">
        <w:rPr>
          <w:rFonts w:asciiTheme="majorHAnsi" w:hAnsiTheme="majorHAnsi" w:cs="Arial"/>
          <w:sz w:val="20"/>
          <w:szCs w:val="20"/>
          <w:shd w:val="clear" w:color="auto" w:fill="FFFFFF"/>
        </w:rPr>
        <w:t>a Moors Cabot Prize from Columbia University,</w:t>
      </w:r>
      <w:r w:rsidRPr="00B24750">
        <w:rPr>
          <w:rFonts w:asciiTheme="majorHAnsi" w:hAnsiTheme="majorHAnsi"/>
          <w:sz w:val="20"/>
          <w:szCs w:val="20"/>
          <w:shd w:val="clear" w:color="auto" w:fill="FFFFFF"/>
          <w:vertAlign w:val="superscript"/>
        </w:rPr>
        <w:footnoteReference w:id="83"/>
      </w:r>
      <w:r w:rsidRPr="00B24750">
        <w:rPr>
          <w:rFonts w:asciiTheme="majorHAnsi" w:hAnsiTheme="majorHAnsi" w:cs="Arial"/>
          <w:sz w:val="20"/>
          <w:szCs w:val="20"/>
          <w:shd w:val="clear" w:color="auto" w:fill="FFFFFF"/>
        </w:rPr>
        <w:t xml:space="preserve"> and in 2011, </w:t>
      </w:r>
      <w:r w:rsidRPr="00B24750">
        <w:rPr>
          <w:rFonts w:asciiTheme="majorHAnsi" w:hAnsiTheme="majorHAnsi" w:cs="Arial"/>
          <w:i/>
          <w:sz w:val="20"/>
          <w:szCs w:val="20"/>
        </w:rPr>
        <w:t xml:space="preserve">Foreign Policy </w:t>
      </w:r>
      <w:r w:rsidRPr="00B24750">
        <w:rPr>
          <w:rFonts w:asciiTheme="majorHAnsi" w:hAnsiTheme="majorHAnsi" w:cs="Arial"/>
          <w:sz w:val="20"/>
          <w:szCs w:val="20"/>
        </w:rPr>
        <w:t>chose her in its ranking of “The FP Top 100 Global Thinkers.”</w:t>
      </w:r>
      <w:r w:rsidRPr="00B24750">
        <w:rPr>
          <w:rFonts w:asciiTheme="majorHAnsi" w:hAnsiTheme="majorHAnsi"/>
          <w:sz w:val="20"/>
          <w:szCs w:val="20"/>
          <w:vertAlign w:val="superscript"/>
        </w:rPr>
        <w:footnoteReference w:id="84"/>
      </w:r>
    </w:p>
    <w:p w14:paraId="41B62B85" w14:textId="6E9A86B5" w:rsidR="009474D6" w:rsidRPr="00B24750" w:rsidRDefault="009474D6" w:rsidP="009D14E7">
      <w:pPr>
        <w:pStyle w:val="ListParagraph"/>
        <w:autoSpaceDE w:val="0"/>
        <w:autoSpaceDN w:val="0"/>
        <w:adjustRightInd w:val="0"/>
        <w:ind w:left="0"/>
        <w:jc w:val="both"/>
        <w:rPr>
          <w:rFonts w:asciiTheme="majorHAnsi" w:eastAsia="Arial Unicode MS" w:hAnsiTheme="majorHAnsi" w:cs="Arial"/>
          <w:color w:val="auto"/>
          <w:sz w:val="20"/>
          <w:szCs w:val="20"/>
          <w:lang w:eastAsia="en-US"/>
        </w:rPr>
      </w:pPr>
    </w:p>
    <w:p w14:paraId="15E136C5" w14:textId="6C73A81E" w:rsidR="00F81C89" w:rsidRPr="00B24750" w:rsidRDefault="0058424D" w:rsidP="009D14E7">
      <w:pPr>
        <w:pStyle w:val="ListParagraph"/>
        <w:numPr>
          <w:ilvl w:val="0"/>
          <w:numId w:val="55"/>
        </w:numPr>
        <w:autoSpaceDE w:val="0"/>
        <w:autoSpaceDN w:val="0"/>
        <w:adjustRightInd w:val="0"/>
        <w:ind w:firstLine="0"/>
        <w:jc w:val="both"/>
        <w:rPr>
          <w:rFonts w:asciiTheme="majorHAnsi" w:eastAsia="Arial Unicode MS" w:hAnsiTheme="majorHAnsi" w:cs="Arial"/>
          <w:color w:val="auto"/>
          <w:sz w:val="20"/>
          <w:szCs w:val="20"/>
          <w:lang w:eastAsia="en-US"/>
        </w:rPr>
      </w:pPr>
      <w:r w:rsidRPr="00B24750">
        <w:rPr>
          <w:rFonts w:asciiTheme="majorHAnsi" w:eastAsia="Arial Unicode MS" w:hAnsiTheme="majorHAnsi" w:cs="Arial"/>
          <w:color w:val="auto"/>
          <w:sz w:val="20"/>
          <w:szCs w:val="20"/>
          <w:lang w:eastAsia="en-US"/>
        </w:rPr>
        <w:t xml:space="preserve">In the following years, </w:t>
      </w:r>
      <w:proofErr w:type="spellStart"/>
      <w:r w:rsidRPr="00B24750">
        <w:rPr>
          <w:rFonts w:asciiTheme="majorHAnsi" w:eastAsia="Arial Unicode MS" w:hAnsiTheme="majorHAnsi" w:cs="Arial"/>
          <w:color w:val="auto"/>
          <w:sz w:val="20"/>
          <w:szCs w:val="20"/>
          <w:lang w:eastAsia="en-US"/>
        </w:rPr>
        <w:t>Yoani</w:t>
      </w:r>
      <w:proofErr w:type="spellEnd"/>
      <w:r w:rsidRPr="00B24750">
        <w:rPr>
          <w:rFonts w:asciiTheme="majorHAnsi" w:eastAsia="Arial Unicode MS" w:hAnsiTheme="majorHAnsi" w:cs="Arial"/>
          <w:color w:val="auto"/>
          <w:sz w:val="20"/>
          <w:szCs w:val="20"/>
          <w:lang w:eastAsia="en-US"/>
        </w:rPr>
        <w:t xml:space="preserve"> Sánchez </w:t>
      </w:r>
      <w:r w:rsidR="00831220" w:rsidRPr="00B24750">
        <w:rPr>
          <w:rFonts w:asciiTheme="majorHAnsi" w:eastAsia="Arial Unicode MS" w:hAnsiTheme="majorHAnsi" w:cs="Arial"/>
          <w:color w:val="auto"/>
          <w:sz w:val="20"/>
          <w:szCs w:val="20"/>
          <w:lang w:eastAsia="en-US"/>
        </w:rPr>
        <w:t xml:space="preserve">continued to receive public recognition </w:t>
      </w:r>
      <w:r w:rsidRPr="00B24750">
        <w:rPr>
          <w:rFonts w:asciiTheme="majorHAnsi" w:eastAsia="Arial Unicode MS" w:hAnsiTheme="majorHAnsi" w:cs="Arial"/>
          <w:color w:val="auto"/>
          <w:sz w:val="20"/>
          <w:szCs w:val="20"/>
          <w:lang w:eastAsia="en-US"/>
        </w:rPr>
        <w:t xml:space="preserve">for her </w:t>
      </w:r>
      <w:r w:rsidR="00831220" w:rsidRPr="00B24750">
        <w:rPr>
          <w:rFonts w:asciiTheme="majorHAnsi" w:eastAsia="Arial Unicode MS" w:hAnsiTheme="majorHAnsi" w:cs="Arial"/>
          <w:color w:val="auto"/>
          <w:sz w:val="20"/>
          <w:szCs w:val="20"/>
          <w:lang w:eastAsia="en-US"/>
        </w:rPr>
        <w:t xml:space="preserve">work on her </w:t>
      </w:r>
      <w:r w:rsidRPr="00B24750">
        <w:rPr>
          <w:rFonts w:asciiTheme="majorHAnsi" w:eastAsia="Arial Unicode MS" w:hAnsiTheme="majorHAnsi" w:cs="Arial"/>
          <w:color w:val="auto"/>
          <w:sz w:val="20"/>
          <w:szCs w:val="20"/>
          <w:lang w:eastAsia="en-US"/>
        </w:rPr>
        <w:t xml:space="preserve">blog and as a journalist. </w:t>
      </w:r>
      <w:r w:rsidR="00831220" w:rsidRPr="00B24750">
        <w:rPr>
          <w:rFonts w:asciiTheme="majorHAnsi" w:eastAsia="Arial Unicode MS" w:hAnsiTheme="majorHAnsi" w:cs="Arial"/>
          <w:color w:val="auto"/>
          <w:sz w:val="20"/>
          <w:szCs w:val="20"/>
          <w:lang w:eastAsia="en-US"/>
        </w:rPr>
        <w:t>She received a</w:t>
      </w:r>
      <w:r w:rsidRPr="00B24750">
        <w:rPr>
          <w:rFonts w:asciiTheme="majorHAnsi" w:eastAsia="Arial Unicode MS" w:hAnsiTheme="majorHAnsi" w:cs="Arial"/>
          <w:color w:val="auto"/>
          <w:sz w:val="20"/>
          <w:szCs w:val="20"/>
          <w:lang w:eastAsia="en-US"/>
        </w:rPr>
        <w:t xml:space="preserve">t least 21 awards between 2009 and 2012, </w:t>
      </w:r>
      <w:r w:rsidR="00831220" w:rsidRPr="00B24750">
        <w:rPr>
          <w:rFonts w:asciiTheme="majorHAnsi" w:eastAsia="Arial Unicode MS" w:hAnsiTheme="majorHAnsi" w:cs="Arial"/>
          <w:color w:val="auto"/>
          <w:sz w:val="20"/>
          <w:szCs w:val="20"/>
          <w:lang w:eastAsia="en-US"/>
        </w:rPr>
        <w:t>from</w:t>
      </w:r>
      <w:r w:rsidRPr="00B24750">
        <w:rPr>
          <w:rFonts w:asciiTheme="majorHAnsi" w:eastAsia="Arial Unicode MS" w:hAnsiTheme="majorHAnsi" w:cs="Arial"/>
          <w:color w:val="auto"/>
          <w:sz w:val="20"/>
          <w:szCs w:val="20"/>
          <w:lang w:eastAsia="en-US"/>
        </w:rPr>
        <w:t xml:space="preserve"> institutions, newspapers</w:t>
      </w:r>
      <w:r w:rsidR="00831220" w:rsidRPr="00B24750">
        <w:rPr>
          <w:rFonts w:asciiTheme="majorHAnsi" w:eastAsia="Arial Unicode MS" w:hAnsiTheme="majorHAnsi" w:cs="Arial"/>
          <w:color w:val="auto"/>
          <w:sz w:val="20"/>
          <w:szCs w:val="20"/>
          <w:lang w:eastAsia="en-US"/>
        </w:rPr>
        <w:t>,</w:t>
      </w:r>
      <w:r w:rsidRPr="00B24750">
        <w:rPr>
          <w:rFonts w:asciiTheme="majorHAnsi" w:eastAsia="Arial Unicode MS" w:hAnsiTheme="majorHAnsi" w:cs="Arial"/>
          <w:color w:val="auto"/>
          <w:sz w:val="20"/>
          <w:szCs w:val="20"/>
          <w:lang w:eastAsia="en-US"/>
        </w:rPr>
        <w:t xml:space="preserve"> and magazines </w:t>
      </w:r>
      <w:r w:rsidR="00831220" w:rsidRPr="00B24750">
        <w:rPr>
          <w:rFonts w:asciiTheme="majorHAnsi" w:eastAsia="Arial Unicode MS" w:hAnsiTheme="majorHAnsi" w:cs="Arial"/>
          <w:color w:val="auto"/>
          <w:sz w:val="20"/>
          <w:szCs w:val="20"/>
          <w:lang w:eastAsia="en-US"/>
        </w:rPr>
        <w:t>in</w:t>
      </w:r>
      <w:r w:rsidRPr="00B24750">
        <w:rPr>
          <w:rFonts w:asciiTheme="majorHAnsi" w:eastAsia="Arial Unicode MS" w:hAnsiTheme="majorHAnsi" w:cs="Arial"/>
          <w:color w:val="auto"/>
          <w:sz w:val="20"/>
          <w:szCs w:val="20"/>
          <w:lang w:eastAsia="en-US"/>
        </w:rPr>
        <w:t xml:space="preserve"> Argentina, Cuba, Denmark, </w:t>
      </w:r>
      <w:r w:rsidR="00831220" w:rsidRPr="00B24750">
        <w:rPr>
          <w:rFonts w:asciiTheme="majorHAnsi" w:eastAsia="Arial Unicode MS" w:hAnsiTheme="majorHAnsi" w:cs="Arial"/>
          <w:color w:val="auto"/>
          <w:sz w:val="20"/>
          <w:szCs w:val="20"/>
          <w:lang w:eastAsia="en-US"/>
        </w:rPr>
        <w:t xml:space="preserve">the </w:t>
      </w:r>
      <w:r w:rsidRPr="00B24750">
        <w:rPr>
          <w:rFonts w:asciiTheme="majorHAnsi" w:eastAsia="Arial Unicode MS" w:hAnsiTheme="majorHAnsi" w:cs="Arial"/>
          <w:color w:val="auto"/>
          <w:sz w:val="20"/>
          <w:szCs w:val="20"/>
          <w:lang w:eastAsia="en-US"/>
        </w:rPr>
        <w:t xml:space="preserve">United States, Spain, Mexico, </w:t>
      </w:r>
      <w:r w:rsidR="00831220" w:rsidRPr="00B24750">
        <w:rPr>
          <w:rFonts w:asciiTheme="majorHAnsi" w:eastAsia="Arial Unicode MS" w:hAnsiTheme="majorHAnsi" w:cs="Arial"/>
          <w:color w:val="auto"/>
          <w:sz w:val="20"/>
          <w:szCs w:val="20"/>
          <w:lang w:eastAsia="en-US"/>
        </w:rPr>
        <w:t>the Netherlands</w:t>
      </w:r>
      <w:r w:rsidRPr="00B24750">
        <w:rPr>
          <w:rFonts w:asciiTheme="majorHAnsi" w:eastAsia="Arial Unicode MS" w:hAnsiTheme="majorHAnsi" w:cs="Arial"/>
          <w:color w:val="auto"/>
          <w:sz w:val="20"/>
          <w:szCs w:val="20"/>
          <w:lang w:eastAsia="en-US"/>
        </w:rPr>
        <w:t xml:space="preserve">, </w:t>
      </w:r>
      <w:r w:rsidR="00831220" w:rsidRPr="00B24750">
        <w:rPr>
          <w:rFonts w:asciiTheme="majorHAnsi" w:eastAsia="Arial Unicode MS" w:hAnsiTheme="majorHAnsi" w:cs="Arial"/>
          <w:color w:val="auto"/>
          <w:sz w:val="20"/>
          <w:szCs w:val="20"/>
          <w:lang w:eastAsia="en-US"/>
        </w:rPr>
        <w:t xml:space="preserve">the </w:t>
      </w:r>
      <w:r w:rsidRPr="00B24750">
        <w:rPr>
          <w:rFonts w:asciiTheme="majorHAnsi" w:eastAsia="Arial Unicode MS" w:hAnsiTheme="majorHAnsi" w:cs="Arial"/>
          <w:color w:val="auto"/>
          <w:sz w:val="20"/>
          <w:szCs w:val="20"/>
          <w:lang w:eastAsia="en-US"/>
        </w:rPr>
        <w:t>United Kingdom</w:t>
      </w:r>
      <w:r w:rsidR="00831220" w:rsidRPr="00B24750">
        <w:rPr>
          <w:rFonts w:asciiTheme="majorHAnsi" w:eastAsia="Arial Unicode MS" w:hAnsiTheme="majorHAnsi" w:cs="Arial"/>
          <w:color w:val="auto"/>
          <w:sz w:val="20"/>
          <w:szCs w:val="20"/>
          <w:lang w:eastAsia="en-US"/>
        </w:rPr>
        <w:t>,</w:t>
      </w:r>
      <w:r w:rsidRPr="00B24750">
        <w:rPr>
          <w:rFonts w:asciiTheme="majorHAnsi" w:eastAsia="Arial Unicode MS" w:hAnsiTheme="majorHAnsi" w:cs="Arial"/>
          <w:color w:val="auto"/>
          <w:sz w:val="20"/>
          <w:szCs w:val="20"/>
          <w:lang w:eastAsia="en-US"/>
        </w:rPr>
        <w:t xml:space="preserve"> and Switzerland</w:t>
      </w:r>
      <w:r w:rsidR="00831220" w:rsidRPr="00B24750">
        <w:rPr>
          <w:rFonts w:asciiTheme="majorHAnsi" w:eastAsia="Arial Unicode MS" w:hAnsiTheme="majorHAnsi" w:cs="Arial"/>
          <w:color w:val="auto"/>
          <w:sz w:val="20"/>
          <w:szCs w:val="20"/>
          <w:lang w:eastAsia="en-US"/>
        </w:rPr>
        <w:t>.</w:t>
      </w:r>
      <w:r w:rsidRPr="00B24750">
        <w:rPr>
          <w:rFonts w:asciiTheme="majorHAnsi" w:eastAsia="Arial Unicode MS" w:hAnsiTheme="majorHAnsi" w:cs="Arial"/>
          <w:color w:val="auto"/>
          <w:sz w:val="20"/>
          <w:szCs w:val="20"/>
          <w:vertAlign w:val="superscript"/>
          <w:lang w:eastAsia="en-US"/>
        </w:rPr>
        <w:footnoteReference w:id="85"/>
      </w:r>
    </w:p>
    <w:p w14:paraId="1E40BE67" w14:textId="77777777" w:rsidR="0058424D" w:rsidRPr="00B24750" w:rsidRDefault="0058424D" w:rsidP="0058424D">
      <w:pPr>
        <w:pStyle w:val="ListParagraph"/>
        <w:autoSpaceDE w:val="0"/>
        <w:autoSpaceDN w:val="0"/>
        <w:adjustRightInd w:val="0"/>
        <w:jc w:val="both"/>
        <w:rPr>
          <w:rFonts w:asciiTheme="majorHAnsi" w:eastAsia="Arial Unicode MS" w:hAnsiTheme="majorHAnsi" w:cs="Arial"/>
          <w:color w:val="auto"/>
          <w:sz w:val="20"/>
          <w:szCs w:val="20"/>
          <w:lang w:eastAsia="en-US"/>
        </w:rPr>
      </w:pPr>
    </w:p>
    <w:p w14:paraId="59E70987" w14:textId="6EDAAAE6" w:rsidR="00B44D0F" w:rsidRPr="00F66452" w:rsidRDefault="005B1EF5" w:rsidP="00F66452">
      <w:pPr>
        <w:pStyle w:val="Heading2"/>
      </w:pPr>
      <w:bookmarkStart w:id="17" w:name="_Toc90392469"/>
      <w:r w:rsidRPr="00F66452">
        <w:t>Deten</w:t>
      </w:r>
      <w:r w:rsidR="008A3E2A" w:rsidRPr="00F66452">
        <w:t xml:space="preserve">tions and assaults against </w:t>
      </w:r>
      <w:proofErr w:type="spellStart"/>
      <w:r w:rsidRPr="00F66452">
        <w:t>Yoani</w:t>
      </w:r>
      <w:proofErr w:type="spellEnd"/>
      <w:r w:rsidRPr="00F66452">
        <w:t xml:space="preserve"> Sánchez Cor</w:t>
      </w:r>
      <w:r w:rsidR="00470646" w:rsidRPr="00F66452">
        <w:t xml:space="preserve">dero </w:t>
      </w:r>
      <w:r w:rsidR="008A3E2A" w:rsidRPr="00F66452">
        <w:t xml:space="preserve">while she </w:t>
      </w:r>
      <w:proofErr w:type="gramStart"/>
      <w:r w:rsidR="008A3E2A" w:rsidRPr="00F66452">
        <w:t>was</w:t>
      </w:r>
      <w:proofErr w:type="gramEnd"/>
      <w:r w:rsidR="008A3E2A" w:rsidRPr="00F66452">
        <w:t xml:space="preserve"> deprived of her liberty</w:t>
      </w:r>
      <w:bookmarkEnd w:id="17"/>
    </w:p>
    <w:p w14:paraId="34011A81" w14:textId="77777777" w:rsidR="00974376" w:rsidRPr="00B24750" w:rsidRDefault="00974376" w:rsidP="005F7FE2">
      <w:pPr>
        <w:pStyle w:val="ListParagraph"/>
        <w:autoSpaceDE w:val="0"/>
        <w:autoSpaceDN w:val="0"/>
        <w:adjustRightInd w:val="0"/>
        <w:ind w:left="1080"/>
        <w:rPr>
          <w:rFonts w:asciiTheme="majorHAnsi" w:hAnsiTheme="majorHAnsi"/>
          <w:b/>
          <w:sz w:val="20"/>
          <w:szCs w:val="20"/>
        </w:rPr>
      </w:pPr>
    </w:p>
    <w:p w14:paraId="3D448FA3" w14:textId="6BB23B77" w:rsidR="00B44D0F" w:rsidRPr="00B24750" w:rsidRDefault="002B377C"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On November 6, 2009,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was deprived of her liberty by three men in civilian clothes who approached her in a vehicle and abducted her. </w:t>
      </w:r>
      <w:r w:rsidR="0003755D" w:rsidRPr="00B24750">
        <w:rPr>
          <w:rFonts w:asciiTheme="majorHAnsi" w:hAnsiTheme="majorHAnsi"/>
          <w:sz w:val="20"/>
          <w:szCs w:val="20"/>
        </w:rPr>
        <w:t xml:space="preserve">A short time later, they threw her out of the vehicle onto the street. </w:t>
      </w:r>
      <w:r w:rsidRPr="00B24750">
        <w:rPr>
          <w:rFonts w:asciiTheme="majorHAnsi" w:hAnsiTheme="majorHAnsi"/>
          <w:sz w:val="20"/>
          <w:szCs w:val="20"/>
        </w:rPr>
        <w:t>While she was deprived of her liberty, one of the men put his knees on her sternum as another hit her ears and pulled her hair. These assaults resulted in serious bodily injuries. For a week, she used crutches to walk</w:t>
      </w:r>
      <w:r w:rsidR="0089037B" w:rsidRPr="00B24750">
        <w:rPr>
          <w:rFonts w:asciiTheme="majorHAnsi" w:hAnsiTheme="majorHAnsi"/>
          <w:sz w:val="20"/>
          <w:szCs w:val="20"/>
        </w:rPr>
        <w:t>.</w:t>
      </w:r>
      <w:r w:rsidRPr="00B24750">
        <w:rPr>
          <w:rFonts w:asciiTheme="majorHAnsi" w:hAnsiTheme="majorHAnsi"/>
          <w:sz w:val="20"/>
          <w:szCs w:val="20"/>
        </w:rPr>
        <w:t xml:space="preserve"> </w:t>
      </w:r>
      <w:r w:rsidR="0089037B" w:rsidRPr="00B24750">
        <w:rPr>
          <w:rFonts w:asciiTheme="majorHAnsi" w:hAnsiTheme="majorHAnsi"/>
          <w:sz w:val="20"/>
          <w:szCs w:val="20"/>
        </w:rPr>
        <w:t>She</w:t>
      </w:r>
      <w:r w:rsidRPr="00B24750">
        <w:rPr>
          <w:rFonts w:asciiTheme="majorHAnsi" w:hAnsiTheme="majorHAnsi"/>
          <w:sz w:val="20"/>
          <w:szCs w:val="20"/>
        </w:rPr>
        <w:t xml:space="preserve"> was </w:t>
      </w:r>
      <w:r w:rsidR="0089037B" w:rsidRPr="00B24750">
        <w:rPr>
          <w:rFonts w:asciiTheme="majorHAnsi" w:hAnsiTheme="majorHAnsi"/>
          <w:sz w:val="20"/>
          <w:szCs w:val="20"/>
        </w:rPr>
        <w:t xml:space="preserve">also </w:t>
      </w:r>
      <w:r w:rsidRPr="00B24750">
        <w:rPr>
          <w:rFonts w:asciiTheme="majorHAnsi" w:hAnsiTheme="majorHAnsi"/>
          <w:sz w:val="20"/>
          <w:szCs w:val="20"/>
        </w:rPr>
        <w:t>unable to move her head backwards on her left side</w:t>
      </w:r>
      <w:r w:rsidR="0089037B" w:rsidRPr="00B24750">
        <w:rPr>
          <w:rFonts w:asciiTheme="majorHAnsi" w:hAnsiTheme="majorHAnsi"/>
          <w:sz w:val="20"/>
          <w:szCs w:val="20"/>
        </w:rPr>
        <w:t xml:space="preserve"> for a year</w:t>
      </w:r>
      <w:r w:rsidRPr="00B24750">
        <w:rPr>
          <w:rFonts w:asciiTheme="majorHAnsi" w:hAnsiTheme="majorHAnsi"/>
          <w:sz w:val="20"/>
          <w:szCs w:val="20"/>
        </w:rPr>
        <w:t>. However, doctors from the Cuban public health system refused to certify her injuries.</w:t>
      </w:r>
      <w:r w:rsidRPr="00B24750">
        <w:rPr>
          <w:rStyle w:val="FootnoteReference"/>
          <w:rFonts w:asciiTheme="majorHAnsi" w:hAnsiTheme="majorHAnsi" w:cs="Times New Roman"/>
          <w:sz w:val="20"/>
          <w:szCs w:val="20"/>
        </w:rPr>
        <w:footnoteReference w:id="86"/>
      </w:r>
      <w:r w:rsidR="0089037B" w:rsidRPr="00B24750">
        <w:rPr>
          <w:rFonts w:asciiTheme="majorHAnsi" w:hAnsiTheme="majorHAnsi"/>
          <w:sz w:val="20"/>
          <w:szCs w:val="20"/>
        </w:rPr>
        <w:t xml:space="preserve"> </w:t>
      </w:r>
    </w:p>
    <w:p w14:paraId="2B045248" w14:textId="77777777" w:rsidR="005B1EF5" w:rsidRPr="00B24750" w:rsidRDefault="005B1EF5" w:rsidP="009D14E7">
      <w:pPr>
        <w:pStyle w:val="ListParagraph"/>
        <w:autoSpaceDE w:val="0"/>
        <w:autoSpaceDN w:val="0"/>
        <w:adjustRightInd w:val="0"/>
        <w:ind w:left="0"/>
        <w:jc w:val="both"/>
        <w:rPr>
          <w:rFonts w:asciiTheme="majorHAnsi" w:hAnsiTheme="majorHAnsi"/>
          <w:sz w:val="20"/>
          <w:szCs w:val="20"/>
        </w:rPr>
      </w:pPr>
    </w:p>
    <w:p w14:paraId="79AE9442" w14:textId="3009E3B2" w:rsidR="008970D9" w:rsidRPr="00B24750" w:rsidRDefault="0089037B"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On February 24, 2010, unknown persons dressed in civilian clothes approached the alleged victim and her sister on the street as they were going to sign condolence books for the death of Orlando Zapata Tamayo.</w:t>
      </w:r>
      <w:r w:rsidRPr="00B24750">
        <w:rPr>
          <w:rStyle w:val="FootnoteReference"/>
          <w:rFonts w:asciiTheme="majorHAnsi" w:hAnsiTheme="majorHAnsi"/>
          <w:sz w:val="20"/>
          <w:szCs w:val="20"/>
        </w:rPr>
        <w:footnoteReference w:id="87"/>
      </w:r>
      <w:r w:rsidRPr="00B24750">
        <w:rPr>
          <w:rFonts w:asciiTheme="majorHAnsi" w:hAnsiTheme="majorHAnsi"/>
          <w:sz w:val="20"/>
          <w:szCs w:val="20"/>
        </w:rPr>
        <w:t xml:space="preserve"> </w:t>
      </w:r>
      <w:r w:rsidRPr="00B24750">
        <w:rPr>
          <w:rFonts w:asciiTheme="majorHAnsi" w:hAnsiTheme="majorHAnsi"/>
          <w:sz w:val="20"/>
          <w:szCs w:val="20"/>
        </w:rPr>
        <w:lastRenderedPageBreak/>
        <w:t xml:space="preserve">The civilians, two of whom were women, held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and asked her to identify herself. She refused on the grounds that they were dressed in civilian clothes, were not authorities, and did not have the authority to do so. When the journalist tried to make a call to report what was happening to her, the women tried to restrain her and take away her cell phone.</w:t>
      </w:r>
      <w:r w:rsidRPr="00B24750">
        <w:rPr>
          <w:rStyle w:val="FootnoteReference"/>
          <w:rFonts w:asciiTheme="majorHAnsi" w:hAnsiTheme="majorHAnsi"/>
          <w:sz w:val="20"/>
          <w:szCs w:val="20"/>
        </w:rPr>
        <w:footnoteReference w:id="88"/>
      </w:r>
    </w:p>
    <w:p w14:paraId="397A9599" w14:textId="77777777" w:rsidR="008970D9" w:rsidRPr="00B24750" w:rsidRDefault="008970D9" w:rsidP="005F7FE2">
      <w:pPr>
        <w:pStyle w:val="ListParagraph"/>
        <w:rPr>
          <w:rFonts w:asciiTheme="majorHAnsi" w:hAnsiTheme="majorHAnsi"/>
          <w:sz w:val="20"/>
          <w:szCs w:val="20"/>
        </w:rPr>
      </w:pPr>
    </w:p>
    <w:p w14:paraId="0A0A3AD3" w14:textId="32B3FE80" w:rsidR="00D81678" w:rsidRPr="00B24750" w:rsidRDefault="0004068A" w:rsidP="009D14E7">
      <w:pPr>
        <w:pStyle w:val="ListParagraph"/>
        <w:numPr>
          <w:ilvl w:val="0"/>
          <w:numId w:val="55"/>
        </w:numPr>
        <w:autoSpaceDE w:val="0"/>
        <w:autoSpaceDN w:val="0"/>
        <w:adjustRightInd w:val="0"/>
        <w:ind w:firstLine="0"/>
        <w:jc w:val="both"/>
        <w:rPr>
          <w:rFonts w:asciiTheme="majorHAnsi" w:hAnsiTheme="majorHAnsi"/>
          <w:sz w:val="20"/>
          <w:szCs w:val="20"/>
        </w:rPr>
      </w:pP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requested the help of uniformed officers, who</w:t>
      </w:r>
      <w:r w:rsidR="00731764" w:rsidRPr="00B24750">
        <w:rPr>
          <w:rFonts w:asciiTheme="majorHAnsi" w:hAnsiTheme="majorHAnsi"/>
          <w:sz w:val="20"/>
          <w:szCs w:val="20"/>
        </w:rPr>
        <w:t>—rather than protecting her—allowed the</w:t>
      </w:r>
      <w:r w:rsidRPr="00B24750">
        <w:rPr>
          <w:rFonts w:asciiTheme="majorHAnsi" w:hAnsiTheme="majorHAnsi"/>
          <w:sz w:val="20"/>
          <w:szCs w:val="20"/>
        </w:rPr>
        <w:t xml:space="preserve"> civilians to continue</w:t>
      </w:r>
      <w:r w:rsidR="00731764" w:rsidRPr="00B24750">
        <w:rPr>
          <w:rFonts w:asciiTheme="majorHAnsi" w:hAnsiTheme="majorHAnsi"/>
          <w:sz w:val="20"/>
          <w:szCs w:val="20"/>
        </w:rPr>
        <w:t xml:space="preserve"> assaulting her.</w:t>
      </w:r>
      <w:r w:rsidRPr="00B24750">
        <w:rPr>
          <w:rStyle w:val="FootnoteReference"/>
          <w:rFonts w:asciiTheme="majorHAnsi" w:hAnsiTheme="majorHAnsi"/>
          <w:sz w:val="20"/>
          <w:szCs w:val="20"/>
        </w:rPr>
        <w:footnoteReference w:id="89"/>
      </w:r>
      <w:r w:rsidRPr="00B24750">
        <w:rPr>
          <w:rFonts w:asciiTheme="majorHAnsi" w:hAnsiTheme="majorHAnsi"/>
          <w:sz w:val="20"/>
          <w:szCs w:val="20"/>
        </w:rPr>
        <w:t xml:space="preserve"> The police continued to beat the journalist and put her in a </w:t>
      </w:r>
      <w:r w:rsidR="00731764" w:rsidRPr="00B24750">
        <w:rPr>
          <w:rFonts w:asciiTheme="majorHAnsi" w:hAnsiTheme="majorHAnsi"/>
          <w:sz w:val="20"/>
          <w:szCs w:val="20"/>
        </w:rPr>
        <w:t>“</w:t>
      </w:r>
      <w:r w:rsidRPr="00B24750">
        <w:rPr>
          <w:rFonts w:asciiTheme="majorHAnsi" w:hAnsiTheme="majorHAnsi"/>
          <w:sz w:val="20"/>
          <w:szCs w:val="20"/>
        </w:rPr>
        <w:t>cage car</w:t>
      </w:r>
      <w:r w:rsidR="00731764" w:rsidRPr="00B24750">
        <w:rPr>
          <w:rFonts w:asciiTheme="majorHAnsi" w:hAnsiTheme="majorHAnsi"/>
          <w:sz w:val="20"/>
          <w:szCs w:val="20"/>
        </w:rPr>
        <w:t>.”</w:t>
      </w:r>
      <w:r w:rsidRPr="00B24750">
        <w:rPr>
          <w:rFonts w:asciiTheme="majorHAnsi" w:hAnsiTheme="majorHAnsi"/>
          <w:sz w:val="20"/>
          <w:szCs w:val="20"/>
        </w:rPr>
        <w:t xml:space="preserve">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resisted</w:t>
      </w:r>
      <w:r w:rsidR="00731764" w:rsidRPr="00B24750">
        <w:rPr>
          <w:rFonts w:asciiTheme="majorHAnsi" w:hAnsiTheme="majorHAnsi"/>
          <w:sz w:val="20"/>
          <w:szCs w:val="20"/>
        </w:rPr>
        <w:t>, saying,</w:t>
      </w:r>
      <w:r w:rsidRPr="00B24750">
        <w:rPr>
          <w:rFonts w:asciiTheme="majorHAnsi" w:hAnsiTheme="majorHAnsi"/>
          <w:sz w:val="20"/>
          <w:szCs w:val="20"/>
        </w:rPr>
        <w:t xml:space="preserve"> </w:t>
      </w:r>
      <w:r w:rsidR="00731764" w:rsidRPr="00B24750">
        <w:rPr>
          <w:rFonts w:asciiTheme="majorHAnsi" w:hAnsiTheme="majorHAnsi"/>
          <w:sz w:val="20"/>
          <w:szCs w:val="20"/>
        </w:rPr>
        <w:t>“Y</w:t>
      </w:r>
      <w:r w:rsidRPr="00B24750">
        <w:rPr>
          <w:rFonts w:asciiTheme="majorHAnsi" w:hAnsiTheme="majorHAnsi"/>
          <w:sz w:val="20"/>
          <w:szCs w:val="20"/>
        </w:rPr>
        <w:t>ou are a police</w:t>
      </w:r>
      <w:r w:rsidR="00731764" w:rsidRPr="00B24750">
        <w:rPr>
          <w:rFonts w:asciiTheme="majorHAnsi" w:hAnsiTheme="majorHAnsi"/>
          <w:sz w:val="20"/>
          <w:szCs w:val="20"/>
        </w:rPr>
        <w:t xml:space="preserve"> officer,</w:t>
      </w:r>
      <w:r w:rsidRPr="00B24750">
        <w:rPr>
          <w:rFonts w:asciiTheme="majorHAnsi" w:hAnsiTheme="majorHAnsi"/>
          <w:sz w:val="20"/>
          <w:szCs w:val="20"/>
        </w:rPr>
        <w:t xml:space="preserve"> and you represent me as a citizen. You cannot hit me.</w:t>
      </w:r>
      <w:r w:rsidR="00731764" w:rsidRPr="00B24750">
        <w:rPr>
          <w:rFonts w:asciiTheme="majorHAnsi" w:hAnsiTheme="majorHAnsi"/>
          <w:sz w:val="20"/>
          <w:szCs w:val="20"/>
        </w:rPr>
        <w:t>”</w:t>
      </w:r>
      <w:r w:rsidRPr="00B24750">
        <w:rPr>
          <w:rFonts w:asciiTheme="majorHAnsi" w:hAnsiTheme="majorHAnsi"/>
          <w:sz w:val="20"/>
          <w:szCs w:val="20"/>
        </w:rPr>
        <w:t xml:space="preserve"> The </w:t>
      </w:r>
      <w:r w:rsidR="00731764" w:rsidRPr="00B24750">
        <w:rPr>
          <w:rFonts w:asciiTheme="majorHAnsi" w:hAnsiTheme="majorHAnsi"/>
          <w:sz w:val="20"/>
          <w:szCs w:val="20"/>
        </w:rPr>
        <w:t xml:space="preserve">officer </w:t>
      </w:r>
      <w:r w:rsidRPr="00B24750">
        <w:rPr>
          <w:rFonts w:asciiTheme="majorHAnsi" w:hAnsiTheme="majorHAnsi"/>
          <w:sz w:val="20"/>
          <w:szCs w:val="20"/>
        </w:rPr>
        <w:t>replied</w:t>
      </w:r>
      <w:r w:rsidR="00731764" w:rsidRPr="00B24750">
        <w:rPr>
          <w:rFonts w:asciiTheme="majorHAnsi" w:hAnsiTheme="majorHAnsi"/>
          <w:sz w:val="20"/>
          <w:szCs w:val="20"/>
        </w:rPr>
        <w:t>,</w:t>
      </w:r>
      <w:r w:rsidRPr="00B24750">
        <w:rPr>
          <w:rFonts w:asciiTheme="majorHAnsi" w:hAnsiTheme="majorHAnsi"/>
          <w:sz w:val="20"/>
          <w:szCs w:val="20"/>
        </w:rPr>
        <w:t xml:space="preserve"> </w:t>
      </w:r>
      <w:r w:rsidR="00731764" w:rsidRPr="00B24750">
        <w:rPr>
          <w:rFonts w:asciiTheme="majorHAnsi" w:hAnsiTheme="majorHAnsi"/>
          <w:sz w:val="20"/>
          <w:szCs w:val="20"/>
        </w:rPr>
        <w:t>“</w:t>
      </w:r>
      <w:r w:rsidRPr="00B24750">
        <w:rPr>
          <w:rFonts w:asciiTheme="majorHAnsi" w:hAnsiTheme="majorHAnsi"/>
          <w:sz w:val="20"/>
          <w:szCs w:val="20"/>
        </w:rPr>
        <w:t>I represent the Cuban revolution</w:t>
      </w:r>
      <w:r w:rsidR="00731764" w:rsidRPr="00B24750">
        <w:rPr>
          <w:rFonts w:asciiTheme="majorHAnsi" w:hAnsiTheme="majorHAnsi"/>
          <w:sz w:val="20"/>
          <w:szCs w:val="20"/>
        </w:rPr>
        <w:t>.”</w:t>
      </w:r>
      <w:r w:rsidRPr="00B24750">
        <w:rPr>
          <w:rStyle w:val="FootnoteReference"/>
          <w:rFonts w:asciiTheme="majorHAnsi" w:hAnsiTheme="majorHAnsi"/>
          <w:sz w:val="20"/>
          <w:szCs w:val="20"/>
        </w:rPr>
        <w:footnoteReference w:id="90"/>
      </w:r>
      <w:r w:rsidRPr="00B24750">
        <w:rPr>
          <w:rFonts w:asciiTheme="majorHAnsi" w:hAnsiTheme="majorHAnsi"/>
          <w:sz w:val="20"/>
          <w:szCs w:val="20"/>
        </w:rPr>
        <w:t xml:space="preserve"> The police vehicle took her to the Fourth Police Station </w:t>
      </w:r>
      <w:r w:rsidR="00731764" w:rsidRPr="00B24750">
        <w:rPr>
          <w:rFonts w:asciiTheme="majorHAnsi" w:hAnsiTheme="majorHAnsi"/>
          <w:sz w:val="20"/>
          <w:szCs w:val="20"/>
        </w:rPr>
        <w:t xml:space="preserve">at </w:t>
      </w:r>
      <w:r w:rsidRPr="00B24750">
        <w:rPr>
          <w:rFonts w:asciiTheme="majorHAnsi" w:hAnsiTheme="majorHAnsi"/>
          <w:sz w:val="20"/>
          <w:szCs w:val="20"/>
        </w:rPr>
        <w:t xml:space="preserve">Infanta and </w:t>
      </w:r>
      <w:proofErr w:type="spellStart"/>
      <w:r w:rsidRPr="00B24750">
        <w:rPr>
          <w:rFonts w:asciiTheme="majorHAnsi" w:hAnsiTheme="majorHAnsi"/>
          <w:sz w:val="20"/>
          <w:szCs w:val="20"/>
        </w:rPr>
        <w:t>Manglar</w:t>
      </w:r>
      <w:proofErr w:type="spellEnd"/>
      <w:r w:rsidRPr="00B24750">
        <w:rPr>
          <w:rFonts w:asciiTheme="majorHAnsi" w:hAnsiTheme="majorHAnsi"/>
          <w:sz w:val="20"/>
          <w:szCs w:val="20"/>
        </w:rPr>
        <w:t>. When she arrived there, she was met by police officers without badges</w:t>
      </w:r>
      <w:r w:rsidR="00731764" w:rsidRPr="00B24750">
        <w:rPr>
          <w:rFonts w:asciiTheme="majorHAnsi" w:hAnsiTheme="majorHAnsi"/>
          <w:sz w:val="20"/>
          <w:szCs w:val="20"/>
        </w:rPr>
        <w:t>.</w:t>
      </w:r>
      <w:r w:rsidRPr="00B24750">
        <w:rPr>
          <w:rFonts w:asciiTheme="majorHAnsi" w:hAnsiTheme="majorHAnsi"/>
          <w:sz w:val="20"/>
          <w:szCs w:val="20"/>
        </w:rPr>
        <w:t xml:space="preserve"> </w:t>
      </w:r>
      <w:r w:rsidR="00731764" w:rsidRPr="00B24750">
        <w:rPr>
          <w:rFonts w:asciiTheme="majorHAnsi" w:hAnsiTheme="majorHAnsi"/>
          <w:sz w:val="20"/>
          <w:szCs w:val="20"/>
        </w:rPr>
        <w:t>T</w:t>
      </w:r>
      <w:r w:rsidRPr="00B24750">
        <w:rPr>
          <w:rFonts w:asciiTheme="majorHAnsi" w:hAnsiTheme="majorHAnsi"/>
          <w:sz w:val="20"/>
          <w:szCs w:val="20"/>
        </w:rPr>
        <w:t xml:space="preserve">hey took her out of the vehicle by force and continued assaulting her, kicking her </w:t>
      </w:r>
      <w:r w:rsidR="00731764" w:rsidRPr="00B24750">
        <w:rPr>
          <w:rFonts w:asciiTheme="majorHAnsi" w:hAnsiTheme="majorHAnsi"/>
          <w:sz w:val="20"/>
          <w:szCs w:val="20"/>
        </w:rPr>
        <w:t>to make her</w:t>
      </w:r>
      <w:r w:rsidRPr="00B24750">
        <w:rPr>
          <w:rFonts w:asciiTheme="majorHAnsi" w:hAnsiTheme="majorHAnsi"/>
          <w:sz w:val="20"/>
          <w:szCs w:val="20"/>
        </w:rPr>
        <w:t xml:space="preserve"> get up from the ground.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w:t>
      </w:r>
      <w:r w:rsidR="00731764" w:rsidRPr="00B24750">
        <w:rPr>
          <w:rFonts w:asciiTheme="majorHAnsi" w:hAnsiTheme="majorHAnsi"/>
          <w:sz w:val="20"/>
          <w:szCs w:val="20"/>
        </w:rPr>
        <w:t>stated</w:t>
      </w:r>
      <w:r w:rsidRPr="00B24750">
        <w:rPr>
          <w:rFonts w:asciiTheme="majorHAnsi" w:hAnsiTheme="majorHAnsi"/>
          <w:sz w:val="20"/>
          <w:szCs w:val="20"/>
        </w:rPr>
        <w:t xml:space="preserve"> that she was there against her will and that she </w:t>
      </w:r>
      <w:r w:rsidR="00731764" w:rsidRPr="00B24750">
        <w:rPr>
          <w:rFonts w:asciiTheme="majorHAnsi" w:hAnsiTheme="majorHAnsi"/>
          <w:sz w:val="20"/>
          <w:szCs w:val="20"/>
        </w:rPr>
        <w:t xml:space="preserve">had been </w:t>
      </w:r>
      <w:r w:rsidRPr="00B24750">
        <w:rPr>
          <w:rFonts w:asciiTheme="majorHAnsi" w:hAnsiTheme="majorHAnsi"/>
          <w:sz w:val="20"/>
          <w:szCs w:val="20"/>
        </w:rPr>
        <w:t xml:space="preserve">arbitrarily detained by </w:t>
      </w:r>
      <w:r w:rsidR="00731764" w:rsidRPr="00B24750">
        <w:rPr>
          <w:rFonts w:asciiTheme="majorHAnsi" w:hAnsiTheme="majorHAnsi"/>
          <w:sz w:val="20"/>
          <w:szCs w:val="20"/>
        </w:rPr>
        <w:t xml:space="preserve">unidentified </w:t>
      </w:r>
      <w:r w:rsidRPr="00B24750">
        <w:rPr>
          <w:rFonts w:asciiTheme="majorHAnsi" w:hAnsiTheme="majorHAnsi"/>
          <w:sz w:val="20"/>
          <w:szCs w:val="20"/>
        </w:rPr>
        <w:t>police.</w:t>
      </w:r>
      <w:r w:rsidRPr="00B24750">
        <w:rPr>
          <w:rStyle w:val="FootnoteReference"/>
          <w:rFonts w:asciiTheme="majorHAnsi" w:hAnsiTheme="majorHAnsi" w:cs="Times New Roman"/>
          <w:sz w:val="20"/>
          <w:szCs w:val="20"/>
        </w:rPr>
        <w:footnoteReference w:id="91"/>
      </w:r>
      <w:r w:rsidR="00A46E7B" w:rsidRPr="00B24750">
        <w:rPr>
          <w:rFonts w:asciiTheme="majorHAnsi" w:hAnsiTheme="majorHAnsi"/>
          <w:sz w:val="20"/>
          <w:szCs w:val="20"/>
        </w:rPr>
        <w:t xml:space="preserve"> </w:t>
      </w:r>
    </w:p>
    <w:p w14:paraId="523F6619" w14:textId="77777777" w:rsidR="00E76839" w:rsidRPr="00B24750" w:rsidRDefault="00E76839" w:rsidP="009D14E7">
      <w:pPr>
        <w:autoSpaceDE w:val="0"/>
        <w:autoSpaceDN w:val="0"/>
        <w:adjustRightInd w:val="0"/>
        <w:jc w:val="both"/>
        <w:rPr>
          <w:rFonts w:asciiTheme="majorHAnsi" w:hAnsiTheme="majorHAnsi"/>
          <w:sz w:val="20"/>
          <w:szCs w:val="20"/>
          <w:lang w:val="en-US"/>
        </w:rPr>
      </w:pPr>
    </w:p>
    <w:p w14:paraId="699C3BFB" w14:textId="4F8F6FDA" w:rsidR="00B44D0F" w:rsidRPr="00B24750" w:rsidRDefault="00E56CB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The police officers took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and her sister </w:t>
      </w:r>
      <w:proofErr w:type="spellStart"/>
      <w:r w:rsidRPr="00B24750">
        <w:rPr>
          <w:rFonts w:asciiTheme="majorHAnsi" w:hAnsiTheme="majorHAnsi"/>
          <w:sz w:val="20"/>
          <w:szCs w:val="20"/>
        </w:rPr>
        <w:t>Yunia</w:t>
      </w:r>
      <w:proofErr w:type="spellEnd"/>
      <w:r w:rsidRPr="00B24750">
        <w:rPr>
          <w:rFonts w:asciiTheme="majorHAnsi" w:hAnsiTheme="majorHAnsi"/>
          <w:sz w:val="20"/>
          <w:szCs w:val="20"/>
        </w:rPr>
        <w:t xml:space="preserve"> to a men’s</w:t>
      </w:r>
      <w:r w:rsidRPr="00B24750">
        <w:rPr>
          <w:rStyle w:val="FootnoteReference"/>
          <w:rFonts w:asciiTheme="majorHAnsi" w:hAnsiTheme="majorHAnsi"/>
          <w:sz w:val="20"/>
          <w:szCs w:val="20"/>
        </w:rPr>
        <w:footnoteReference w:id="92"/>
      </w:r>
      <w:r w:rsidRPr="00B24750">
        <w:rPr>
          <w:rFonts w:asciiTheme="majorHAnsi" w:hAnsiTheme="majorHAnsi"/>
          <w:sz w:val="20"/>
          <w:szCs w:val="20"/>
        </w:rPr>
        <w:t xml:space="preserve"> holding cell and labeled them as counterrevolutionaries, calling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the </w:t>
      </w:r>
      <w:r w:rsidR="00602DE7">
        <w:rPr>
          <w:rFonts w:asciiTheme="majorHAnsi" w:hAnsiTheme="majorHAnsi"/>
          <w:sz w:val="20"/>
          <w:szCs w:val="20"/>
        </w:rPr>
        <w:t>“</w:t>
      </w:r>
      <w:r w:rsidRPr="00B24750">
        <w:rPr>
          <w:rFonts w:asciiTheme="majorHAnsi" w:hAnsiTheme="majorHAnsi"/>
          <w:sz w:val="20"/>
          <w:szCs w:val="20"/>
        </w:rPr>
        <w:t>ringleader.</w:t>
      </w:r>
      <w:r w:rsidR="00602DE7">
        <w:rPr>
          <w:rFonts w:asciiTheme="majorHAnsi" w:hAnsiTheme="majorHAnsi"/>
          <w:sz w:val="20"/>
          <w:szCs w:val="20"/>
        </w:rPr>
        <w:t>”</w:t>
      </w:r>
      <w:r w:rsidRPr="00B24750">
        <w:rPr>
          <w:rStyle w:val="FootnoteReference"/>
          <w:rFonts w:asciiTheme="majorHAnsi" w:hAnsiTheme="majorHAnsi"/>
          <w:sz w:val="20"/>
          <w:szCs w:val="20"/>
        </w:rPr>
        <w:footnoteReference w:id="93"/>
      </w:r>
      <w:r w:rsidRPr="00B24750">
        <w:rPr>
          <w:rFonts w:asciiTheme="majorHAnsi" w:hAnsiTheme="majorHAnsi"/>
          <w:sz w:val="20"/>
          <w:szCs w:val="20"/>
        </w:rPr>
        <w:t xml:space="preserve"> The alleged victim </w:t>
      </w:r>
      <w:r w:rsidR="006E62A8">
        <w:rPr>
          <w:rFonts w:asciiTheme="majorHAnsi" w:hAnsiTheme="majorHAnsi"/>
          <w:sz w:val="20"/>
          <w:szCs w:val="20"/>
        </w:rPr>
        <w:t xml:space="preserve">identified </w:t>
      </w:r>
      <w:r w:rsidRPr="00B24750">
        <w:rPr>
          <w:rFonts w:asciiTheme="majorHAnsi" w:hAnsiTheme="majorHAnsi"/>
          <w:sz w:val="20"/>
          <w:szCs w:val="20"/>
        </w:rPr>
        <w:t xml:space="preserve">two policemen as her assailants.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was released on the same day, without being informed of the reasons for her detention and without </w:t>
      </w:r>
      <w:r w:rsidR="005A1B2A" w:rsidRPr="00B24750">
        <w:rPr>
          <w:rFonts w:asciiTheme="majorHAnsi" w:hAnsiTheme="majorHAnsi"/>
          <w:sz w:val="20"/>
          <w:szCs w:val="20"/>
        </w:rPr>
        <w:t>there being any arrest file</w:t>
      </w:r>
      <w:r w:rsidRPr="00B24750">
        <w:rPr>
          <w:rFonts w:asciiTheme="majorHAnsi" w:hAnsiTheme="majorHAnsi"/>
          <w:sz w:val="20"/>
          <w:szCs w:val="20"/>
        </w:rPr>
        <w:t xml:space="preserve"> or record of her interrogation.</w:t>
      </w:r>
      <w:r w:rsidRPr="00B24750">
        <w:rPr>
          <w:rStyle w:val="FootnoteReference"/>
          <w:rFonts w:asciiTheme="majorHAnsi" w:hAnsiTheme="majorHAnsi" w:cs="Times New Roman"/>
          <w:sz w:val="20"/>
          <w:szCs w:val="20"/>
        </w:rPr>
        <w:footnoteReference w:id="94"/>
      </w:r>
      <w:r w:rsidRPr="00B24750">
        <w:rPr>
          <w:rFonts w:asciiTheme="majorHAnsi" w:hAnsiTheme="majorHAnsi"/>
          <w:sz w:val="20"/>
          <w:szCs w:val="20"/>
        </w:rPr>
        <w:t xml:space="preserve"> </w:t>
      </w:r>
      <w:r w:rsidR="00B44D0F" w:rsidRPr="00B24750">
        <w:rPr>
          <w:rFonts w:asciiTheme="majorHAnsi" w:hAnsiTheme="majorHAnsi"/>
          <w:sz w:val="20"/>
          <w:szCs w:val="20"/>
        </w:rPr>
        <w:t xml:space="preserve"> </w:t>
      </w:r>
    </w:p>
    <w:p w14:paraId="23316B5B" w14:textId="77777777" w:rsidR="005B1EF5" w:rsidRPr="00B24750" w:rsidRDefault="005B1EF5" w:rsidP="009D14E7">
      <w:pPr>
        <w:pStyle w:val="ListParagraph"/>
        <w:autoSpaceDE w:val="0"/>
        <w:autoSpaceDN w:val="0"/>
        <w:adjustRightInd w:val="0"/>
        <w:ind w:left="0"/>
        <w:jc w:val="both"/>
        <w:rPr>
          <w:rFonts w:asciiTheme="majorHAnsi" w:hAnsiTheme="majorHAnsi"/>
          <w:sz w:val="20"/>
          <w:szCs w:val="20"/>
        </w:rPr>
      </w:pPr>
    </w:p>
    <w:p w14:paraId="16FE65EB" w14:textId="03E5A16C" w:rsidR="002135F1" w:rsidRPr="00B24750" w:rsidRDefault="002135F1"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On October 4, 2012,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was detained for the third time, along with her husband, Reynaldo Escobar, and a friend, Agustin Lopez,</w:t>
      </w:r>
      <w:r w:rsidRPr="00B24750">
        <w:rPr>
          <w:rStyle w:val="FootnoteReference"/>
          <w:rFonts w:asciiTheme="majorHAnsi" w:hAnsiTheme="majorHAnsi" w:cs="Times New Roman"/>
          <w:sz w:val="20"/>
          <w:szCs w:val="20"/>
        </w:rPr>
        <w:footnoteReference w:id="95"/>
      </w:r>
      <w:r w:rsidRPr="00B24750">
        <w:rPr>
          <w:rFonts w:asciiTheme="majorHAnsi" w:hAnsiTheme="majorHAnsi"/>
          <w:sz w:val="20"/>
          <w:szCs w:val="20"/>
        </w:rPr>
        <w:t xml:space="preserve"> in the city of Bayamo, without being informed of the reason.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was in Bayamo reporting for the newspaper </w:t>
      </w:r>
      <w:r w:rsidRPr="00B24750">
        <w:rPr>
          <w:rFonts w:asciiTheme="majorHAnsi" w:hAnsiTheme="majorHAnsi"/>
          <w:i/>
          <w:iCs/>
          <w:sz w:val="20"/>
          <w:szCs w:val="20"/>
        </w:rPr>
        <w:t>El País</w:t>
      </w:r>
      <w:r w:rsidRPr="00B24750">
        <w:rPr>
          <w:rFonts w:asciiTheme="majorHAnsi" w:hAnsiTheme="majorHAnsi"/>
          <w:sz w:val="20"/>
          <w:szCs w:val="20"/>
        </w:rPr>
        <w:t xml:space="preserve"> on the trial of </w:t>
      </w:r>
      <w:proofErr w:type="spellStart"/>
      <w:r w:rsidRPr="00B24750">
        <w:rPr>
          <w:rFonts w:asciiTheme="majorHAnsi" w:hAnsiTheme="majorHAnsi"/>
          <w:sz w:val="20"/>
          <w:szCs w:val="20"/>
        </w:rPr>
        <w:t>Ángel</w:t>
      </w:r>
      <w:proofErr w:type="spellEnd"/>
      <w:r w:rsidRPr="00B24750">
        <w:rPr>
          <w:rFonts w:asciiTheme="majorHAnsi" w:hAnsiTheme="majorHAnsi"/>
          <w:sz w:val="20"/>
          <w:szCs w:val="20"/>
        </w:rPr>
        <w:t xml:space="preserve"> </w:t>
      </w:r>
      <w:proofErr w:type="spellStart"/>
      <w:r w:rsidRPr="00B24750">
        <w:rPr>
          <w:rFonts w:asciiTheme="majorHAnsi" w:hAnsiTheme="majorHAnsi"/>
          <w:sz w:val="20"/>
          <w:szCs w:val="20"/>
        </w:rPr>
        <w:t>Carromero</w:t>
      </w:r>
      <w:proofErr w:type="spellEnd"/>
      <w:r w:rsidRPr="00B24750">
        <w:rPr>
          <w:rFonts w:asciiTheme="majorHAnsi" w:hAnsiTheme="majorHAnsi"/>
          <w:sz w:val="20"/>
          <w:szCs w:val="20"/>
        </w:rPr>
        <w:t xml:space="preserve">, accused of murdering political dissidents Oswaldo </w:t>
      </w:r>
      <w:proofErr w:type="spellStart"/>
      <w:r w:rsidRPr="00B24750">
        <w:rPr>
          <w:rFonts w:asciiTheme="majorHAnsi" w:hAnsiTheme="majorHAnsi"/>
          <w:sz w:val="20"/>
          <w:szCs w:val="20"/>
        </w:rPr>
        <w:t>Payá</w:t>
      </w:r>
      <w:proofErr w:type="spellEnd"/>
      <w:r w:rsidRPr="00B24750">
        <w:rPr>
          <w:rFonts w:asciiTheme="majorHAnsi" w:hAnsiTheme="majorHAnsi"/>
          <w:sz w:val="20"/>
          <w:szCs w:val="20"/>
        </w:rPr>
        <w:t xml:space="preserve"> </w:t>
      </w:r>
      <w:proofErr w:type="spellStart"/>
      <w:r w:rsidRPr="00B24750">
        <w:rPr>
          <w:rFonts w:asciiTheme="majorHAnsi" w:hAnsiTheme="majorHAnsi"/>
          <w:sz w:val="20"/>
          <w:szCs w:val="20"/>
        </w:rPr>
        <w:t>Sardinas</w:t>
      </w:r>
      <w:proofErr w:type="spellEnd"/>
      <w:r w:rsidRPr="00B24750">
        <w:rPr>
          <w:rFonts w:asciiTheme="majorHAnsi" w:hAnsiTheme="majorHAnsi"/>
          <w:sz w:val="20"/>
          <w:szCs w:val="20"/>
        </w:rPr>
        <w:t xml:space="preserve"> and Harold Cepero.</w:t>
      </w:r>
      <w:r w:rsidRPr="00B24750">
        <w:rPr>
          <w:rStyle w:val="FootnoteReference"/>
          <w:rFonts w:asciiTheme="majorHAnsi" w:hAnsiTheme="majorHAnsi" w:cs="Times New Roman"/>
          <w:sz w:val="20"/>
          <w:szCs w:val="20"/>
        </w:rPr>
        <w:footnoteReference w:id="96"/>
      </w:r>
      <w:r w:rsidRPr="00B24750">
        <w:rPr>
          <w:rFonts w:asciiTheme="majorHAnsi" w:hAnsiTheme="majorHAnsi"/>
          <w:sz w:val="20"/>
          <w:szCs w:val="20"/>
        </w:rPr>
        <w:t xml:space="preserve"> Their cell phones and the cameras they were carrying were confiscated.</w:t>
      </w:r>
      <w:r w:rsidRPr="00B24750">
        <w:rPr>
          <w:rStyle w:val="FootnoteReference"/>
          <w:rFonts w:asciiTheme="majorHAnsi" w:hAnsiTheme="majorHAnsi" w:cs="Times New Roman"/>
          <w:sz w:val="20"/>
          <w:szCs w:val="20"/>
        </w:rPr>
        <w:footnoteReference w:id="97"/>
      </w:r>
      <w:r w:rsidRPr="00B24750">
        <w:rPr>
          <w:rFonts w:asciiTheme="majorHAnsi" w:hAnsiTheme="majorHAnsi"/>
          <w:sz w:val="20"/>
          <w:szCs w:val="20"/>
        </w:rPr>
        <w:t xml:space="preserve"> </w:t>
      </w:r>
    </w:p>
    <w:p w14:paraId="79154650" w14:textId="7EFBA94E" w:rsidR="005B1EF5" w:rsidRPr="00B24750" w:rsidRDefault="005B1EF5" w:rsidP="009D14E7">
      <w:pPr>
        <w:autoSpaceDE w:val="0"/>
        <w:autoSpaceDN w:val="0"/>
        <w:adjustRightInd w:val="0"/>
        <w:jc w:val="both"/>
        <w:rPr>
          <w:rFonts w:asciiTheme="majorHAnsi" w:hAnsiTheme="majorHAnsi"/>
          <w:sz w:val="20"/>
          <w:szCs w:val="20"/>
          <w:lang w:val="en-US"/>
        </w:rPr>
      </w:pPr>
    </w:p>
    <w:p w14:paraId="6D5B6257" w14:textId="2DDA4521" w:rsidR="00B44D0F" w:rsidRPr="00B24750" w:rsidRDefault="00B44D0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 </w:t>
      </w:r>
      <w:r w:rsidR="00096E76" w:rsidRPr="00B24750">
        <w:rPr>
          <w:rFonts w:asciiTheme="majorHAnsi" w:hAnsiTheme="majorHAnsi"/>
          <w:sz w:val="20"/>
          <w:szCs w:val="20"/>
        </w:rPr>
        <w:t xml:space="preserve">The journalist was taken to the Bayamo police station, where three policewomen surrounded her, took away her belongings, and tried to remove her clothes. When she resisted, they threw her to the ground, breaking one of her teeth and bruising her ribs. After a further attempt to undress her, </w:t>
      </w:r>
      <w:proofErr w:type="spellStart"/>
      <w:r w:rsidR="00096E76" w:rsidRPr="00B24750">
        <w:rPr>
          <w:rFonts w:asciiTheme="majorHAnsi" w:hAnsiTheme="majorHAnsi"/>
          <w:sz w:val="20"/>
          <w:szCs w:val="20"/>
        </w:rPr>
        <w:t>Yoani</w:t>
      </w:r>
      <w:proofErr w:type="spellEnd"/>
      <w:r w:rsidR="00096E76" w:rsidRPr="00B24750">
        <w:rPr>
          <w:rFonts w:asciiTheme="majorHAnsi" w:hAnsiTheme="majorHAnsi"/>
          <w:sz w:val="20"/>
          <w:szCs w:val="20"/>
        </w:rPr>
        <w:t xml:space="preserve"> continued to </w:t>
      </w:r>
      <w:r w:rsidR="0022420F" w:rsidRPr="00B24750">
        <w:rPr>
          <w:rFonts w:asciiTheme="majorHAnsi" w:hAnsiTheme="majorHAnsi"/>
          <w:sz w:val="20"/>
          <w:szCs w:val="20"/>
        </w:rPr>
        <w:t>resist,</w:t>
      </w:r>
      <w:r w:rsidR="00096E76" w:rsidRPr="00B24750">
        <w:rPr>
          <w:rFonts w:asciiTheme="majorHAnsi" w:hAnsiTheme="majorHAnsi"/>
          <w:sz w:val="20"/>
          <w:szCs w:val="20"/>
        </w:rPr>
        <w:t xml:space="preserve"> and the police left her in a cell where she was </w:t>
      </w:r>
      <w:r w:rsidR="0022420F" w:rsidRPr="00B24750">
        <w:rPr>
          <w:rFonts w:asciiTheme="majorHAnsi" w:hAnsiTheme="majorHAnsi"/>
          <w:sz w:val="20"/>
          <w:szCs w:val="20"/>
        </w:rPr>
        <w:t xml:space="preserve">then </w:t>
      </w:r>
      <w:r w:rsidR="00096E76" w:rsidRPr="00B24750">
        <w:rPr>
          <w:rFonts w:asciiTheme="majorHAnsi" w:hAnsiTheme="majorHAnsi"/>
          <w:sz w:val="20"/>
          <w:szCs w:val="20"/>
        </w:rPr>
        <w:t xml:space="preserve">interrogated. A man filmed part of what happened. </w:t>
      </w:r>
      <w:r w:rsidR="0022420F" w:rsidRPr="00B24750">
        <w:rPr>
          <w:rFonts w:asciiTheme="majorHAnsi" w:hAnsiTheme="majorHAnsi"/>
          <w:sz w:val="20"/>
          <w:szCs w:val="20"/>
        </w:rPr>
        <w:t>T</w:t>
      </w:r>
      <w:r w:rsidR="00096E76" w:rsidRPr="00B24750">
        <w:rPr>
          <w:rFonts w:asciiTheme="majorHAnsi" w:hAnsiTheme="majorHAnsi"/>
          <w:sz w:val="20"/>
          <w:szCs w:val="20"/>
        </w:rPr>
        <w:t>he alleged victim was allowed to call her daughter</w:t>
      </w:r>
      <w:r w:rsidR="0022420F" w:rsidRPr="00B24750">
        <w:rPr>
          <w:rFonts w:asciiTheme="majorHAnsi" w:hAnsiTheme="majorHAnsi"/>
          <w:sz w:val="20"/>
          <w:szCs w:val="20"/>
        </w:rPr>
        <w:t xml:space="preserve"> in the early hours of the morning</w:t>
      </w:r>
      <w:r w:rsidR="00096E76" w:rsidRPr="00B24750">
        <w:rPr>
          <w:rFonts w:asciiTheme="majorHAnsi" w:hAnsiTheme="majorHAnsi"/>
          <w:sz w:val="20"/>
          <w:szCs w:val="20"/>
        </w:rPr>
        <w:t xml:space="preserve"> after having been denied a call for several hours.</w:t>
      </w:r>
      <w:r w:rsidR="00096E76" w:rsidRPr="00B24750">
        <w:rPr>
          <w:rStyle w:val="FootnoteReference"/>
          <w:rFonts w:asciiTheme="majorHAnsi" w:hAnsiTheme="majorHAnsi" w:cs="Times New Roman"/>
          <w:sz w:val="20"/>
          <w:szCs w:val="20"/>
        </w:rPr>
        <w:footnoteReference w:id="98"/>
      </w:r>
    </w:p>
    <w:p w14:paraId="110E0ABA" w14:textId="138A50BE" w:rsidR="005B1EF5" w:rsidRPr="00B24750" w:rsidRDefault="005B1EF5" w:rsidP="009D14E7">
      <w:pPr>
        <w:autoSpaceDE w:val="0"/>
        <w:autoSpaceDN w:val="0"/>
        <w:adjustRightInd w:val="0"/>
        <w:jc w:val="both"/>
        <w:rPr>
          <w:rFonts w:asciiTheme="majorHAnsi" w:hAnsiTheme="majorHAnsi"/>
          <w:sz w:val="20"/>
          <w:szCs w:val="20"/>
          <w:lang w:val="en-US"/>
        </w:rPr>
      </w:pPr>
    </w:p>
    <w:p w14:paraId="65D88D67" w14:textId="1CE971C7" w:rsidR="00B44D0F" w:rsidRDefault="0022420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The alleged victim went on a hunger and thirst strike while in custody and was released after more than 30 hours. She was not informed of the reasons for her detention, nor was any record of her detention or interrogation</w:t>
      </w:r>
      <w:r w:rsidRPr="00B24750">
        <w:rPr>
          <w:rStyle w:val="FootnoteReference"/>
          <w:rFonts w:asciiTheme="majorHAnsi" w:hAnsiTheme="majorHAnsi" w:cs="Times New Roman"/>
          <w:sz w:val="20"/>
          <w:szCs w:val="20"/>
        </w:rPr>
        <w:footnoteReference w:id="99"/>
      </w:r>
      <w:r w:rsidRPr="00B24750">
        <w:rPr>
          <w:rFonts w:asciiTheme="majorHAnsi" w:hAnsiTheme="majorHAnsi"/>
          <w:sz w:val="20"/>
          <w:szCs w:val="20"/>
        </w:rPr>
        <w:t xml:space="preserve"> issued. </w:t>
      </w:r>
    </w:p>
    <w:p w14:paraId="42BE91F2" w14:textId="77777777" w:rsidR="00F66452" w:rsidRPr="00B24750" w:rsidRDefault="00F66452" w:rsidP="00F66452">
      <w:pPr>
        <w:pStyle w:val="ListParagraph"/>
        <w:autoSpaceDE w:val="0"/>
        <w:autoSpaceDN w:val="0"/>
        <w:adjustRightInd w:val="0"/>
        <w:ind w:left="0"/>
        <w:jc w:val="both"/>
        <w:rPr>
          <w:rFonts w:asciiTheme="majorHAnsi" w:hAnsiTheme="majorHAnsi"/>
          <w:sz w:val="20"/>
          <w:szCs w:val="20"/>
        </w:rPr>
      </w:pPr>
    </w:p>
    <w:p w14:paraId="70DD7A03" w14:textId="3964E87C" w:rsidR="00B44D0F" w:rsidRPr="00F66452" w:rsidRDefault="0092195D" w:rsidP="00F66452">
      <w:pPr>
        <w:pStyle w:val="Heading2"/>
      </w:pPr>
      <w:bookmarkStart w:id="18" w:name="_Toc90392470"/>
      <w:r w:rsidRPr="00F66452">
        <w:t>Impediments to</w:t>
      </w:r>
      <w:r w:rsidR="00470646" w:rsidRPr="00F66452">
        <w:t xml:space="preserve"> </w:t>
      </w:r>
      <w:proofErr w:type="spellStart"/>
      <w:r w:rsidR="00470646" w:rsidRPr="00F66452">
        <w:t>Yoani</w:t>
      </w:r>
      <w:proofErr w:type="spellEnd"/>
      <w:r w:rsidR="00470646" w:rsidRPr="00F66452">
        <w:t xml:space="preserve"> Sánchez Cordero</w:t>
      </w:r>
      <w:r w:rsidRPr="00F66452">
        <w:t>’s departure from the country between</w:t>
      </w:r>
      <w:r w:rsidR="00370865" w:rsidRPr="00F66452">
        <w:t xml:space="preserve"> </w:t>
      </w:r>
      <w:r w:rsidR="00B44D0F" w:rsidRPr="00F66452">
        <w:t>2007</w:t>
      </w:r>
      <w:r w:rsidR="00195DDA" w:rsidRPr="00F66452">
        <w:t xml:space="preserve"> a</w:t>
      </w:r>
      <w:r w:rsidRPr="00F66452">
        <w:t>nd</w:t>
      </w:r>
      <w:r w:rsidR="00195DDA" w:rsidRPr="00F66452">
        <w:t xml:space="preserve"> 2012</w:t>
      </w:r>
      <w:bookmarkEnd w:id="18"/>
    </w:p>
    <w:p w14:paraId="6722980C" w14:textId="77777777" w:rsidR="005B1EF5" w:rsidRPr="00B24750" w:rsidRDefault="005B1EF5" w:rsidP="005F7FE2">
      <w:pPr>
        <w:pStyle w:val="ListParagraph"/>
        <w:autoSpaceDE w:val="0"/>
        <w:autoSpaceDN w:val="0"/>
        <w:adjustRightInd w:val="0"/>
        <w:ind w:left="1080"/>
        <w:rPr>
          <w:rFonts w:asciiTheme="majorHAnsi" w:hAnsiTheme="majorHAnsi"/>
          <w:b/>
          <w:sz w:val="20"/>
          <w:szCs w:val="20"/>
        </w:rPr>
      </w:pPr>
    </w:p>
    <w:p w14:paraId="7B9EC85C" w14:textId="2EA89FFB" w:rsidR="00B44D0F" w:rsidRPr="00B24750" w:rsidRDefault="00701320" w:rsidP="009D14E7">
      <w:pPr>
        <w:pStyle w:val="ListParagraph"/>
        <w:numPr>
          <w:ilvl w:val="0"/>
          <w:numId w:val="55"/>
        </w:numPr>
        <w:autoSpaceDE w:val="0"/>
        <w:autoSpaceDN w:val="0"/>
        <w:adjustRightInd w:val="0"/>
        <w:ind w:firstLine="0"/>
        <w:jc w:val="both"/>
        <w:rPr>
          <w:rFonts w:asciiTheme="majorHAnsi" w:hAnsiTheme="majorHAnsi"/>
          <w:sz w:val="20"/>
          <w:szCs w:val="20"/>
        </w:rPr>
      </w:pP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was granted several visas to travel to receive awards and prizes for her blog and her journalistic work. According to the evidence before the IACHR, the blogger had visas to travel to Argentina (May 3, 2010), Canada (December 3, 2009), Brazil (January 25, 2012), Chile (February 23, 2010), the United States </w:t>
      </w:r>
      <w:r w:rsidRPr="00B24750">
        <w:rPr>
          <w:rFonts w:asciiTheme="majorHAnsi" w:hAnsiTheme="majorHAnsi"/>
          <w:sz w:val="20"/>
          <w:szCs w:val="20"/>
        </w:rPr>
        <w:lastRenderedPageBreak/>
        <w:t xml:space="preserve">(November 13, 2008, November 13, 2008, August 25, 2009, October 4, 2010, and August 5, 2011), and various States within the Schengen </w:t>
      </w:r>
      <w:r w:rsidR="00071425" w:rsidRPr="00B24750">
        <w:rPr>
          <w:rFonts w:asciiTheme="majorHAnsi" w:hAnsiTheme="majorHAnsi"/>
          <w:sz w:val="20"/>
          <w:szCs w:val="20"/>
        </w:rPr>
        <w:t>area</w:t>
      </w:r>
      <w:r w:rsidRPr="00B24750">
        <w:rPr>
          <w:rFonts w:asciiTheme="majorHAnsi" w:hAnsiTheme="majorHAnsi"/>
          <w:sz w:val="20"/>
          <w:szCs w:val="20"/>
        </w:rPr>
        <w:t xml:space="preserve"> (May 1, 2008, June 15, 2009, September 13, 2010, December 14, 2010, May 1, 2011, and October 13, 2011).</w:t>
      </w:r>
      <w:r w:rsidRPr="00B24750">
        <w:rPr>
          <w:rStyle w:val="FootnoteReference"/>
          <w:rFonts w:asciiTheme="majorHAnsi" w:hAnsiTheme="majorHAnsi" w:cs="Times New Roman"/>
          <w:sz w:val="20"/>
          <w:szCs w:val="20"/>
        </w:rPr>
        <w:footnoteReference w:id="100"/>
      </w:r>
    </w:p>
    <w:p w14:paraId="7C0515FD" w14:textId="77777777" w:rsidR="005B1EF5" w:rsidRPr="00B24750" w:rsidRDefault="005B1EF5" w:rsidP="009D14E7">
      <w:pPr>
        <w:pStyle w:val="ListParagraph"/>
        <w:autoSpaceDE w:val="0"/>
        <w:autoSpaceDN w:val="0"/>
        <w:adjustRightInd w:val="0"/>
        <w:ind w:left="0"/>
        <w:jc w:val="both"/>
        <w:rPr>
          <w:rFonts w:asciiTheme="majorHAnsi" w:hAnsiTheme="majorHAnsi"/>
          <w:sz w:val="20"/>
          <w:szCs w:val="20"/>
        </w:rPr>
      </w:pPr>
    </w:p>
    <w:p w14:paraId="15797A9E" w14:textId="6C86F489" w:rsidR="00B44D0F" w:rsidRPr="00B24750" w:rsidRDefault="00B44D0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 </w:t>
      </w:r>
      <w:r w:rsidR="00510AE9" w:rsidRPr="00B24750">
        <w:rPr>
          <w:rFonts w:asciiTheme="majorHAnsi" w:hAnsiTheme="majorHAnsi"/>
          <w:sz w:val="20"/>
          <w:szCs w:val="20"/>
        </w:rPr>
        <w:t xml:space="preserve">Between 2007 and 2012, the Bureau of Immigration and Alien Affairs repeatedly (at least 20 times) denied </w:t>
      </w:r>
      <w:proofErr w:type="spellStart"/>
      <w:r w:rsidR="00510AE9" w:rsidRPr="00B24750">
        <w:rPr>
          <w:rFonts w:asciiTheme="majorHAnsi" w:hAnsiTheme="majorHAnsi"/>
          <w:sz w:val="20"/>
          <w:szCs w:val="20"/>
        </w:rPr>
        <w:t>Yoani</w:t>
      </w:r>
      <w:proofErr w:type="spellEnd"/>
      <w:r w:rsidR="00510AE9" w:rsidRPr="00B24750">
        <w:rPr>
          <w:rFonts w:asciiTheme="majorHAnsi" w:hAnsiTheme="majorHAnsi"/>
          <w:sz w:val="20"/>
          <w:szCs w:val="20"/>
        </w:rPr>
        <w:t xml:space="preserve"> Sánchez’s requests for permission to travel abroad.</w:t>
      </w:r>
      <w:r w:rsidR="00510AE9" w:rsidRPr="00B24750">
        <w:rPr>
          <w:rStyle w:val="FootnoteReference"/>
          <w:rFonts w:asciiTheme="majorHAnsi" w:hAnsiTheme="majorHAnsi" w:cs="Times New Roman"/>
          <w:sz w:val="20"/>
          <w:szCs w:val="20"/>
        </w:rPr>
        <w:footnoteReference w:id="101"/>
      </w:r>
      <w:r w:rsidR="00510AE9" w:rsidRPr="00B24750">
        <w:rPr>
          <w:rFonts w:asciiTheme="majorHAnsi" w:hAnsiTheme="majorHAnsi"/>
          <w:sz w:val="20"/>
          <w:szCs w:val="20"/>
        </w:rPr>
        <w:t xml:space="preserve"> These denials were evidenced mainly by the bureau’s return of the administrative filing fee Sánchez had paid when requesting the respective exit permit from the country—with no explanation of the reasons for the denials—or the by a delay in the bureau’s response until after the effective date of the visa.</w:t>
      </w:r>
      <w:r w:rsidR="00510AE9" w:rsidRPr="00B24750">
        <w:rPr>
          <w:rStyle w:val="FootnoteReference"/>
          <w:rFonts w:asciiTheme="majorHAnsi" w:hAnsiTheme="majorHAnsi" w:cs="Times New Roman"/>
          <w:sz w:val="20"/>
          <w:szCs w:val="20"/>
        </w:rPr>
        <w:footnoteReference w:id="102"/>
      </w:r>
      <w:r w:rsidR="00510AE9" w:rsidRPr="00B24750">
        <w:rPr>
          <w:rFonts w:asciiTheme="majorHAnsi" w:hAnsiTheme="majorHAnsi"/>
          <w:sz w:val="20"/>
          <w:szCs w:val="20"/>
        </w:rPr>
        <w:t xml:space="preserve"> The Bureau of Immigration and Alien Affairs returned </w:t>
      </w:r>
      <w:r w:rsidR="00BB0829" w:rsidRPr="00B24750">
        <w:rPr>
          <w:rFonts w:asciiTheme="majorHAnsi" w:hAnsiTheme="majorHAnsi"/>
          <w:sz w:val="20"/>
          <w:szCs w:val="20"/>
        </w:rPr>
        <w:t xml:space="preserve">the </w:t>
      </w:r>
      <w:r w:rsidR="00510AE9" w:rsidRPr="00B24750">
        <w:rPr>
          <w:rFonts w:asciiTheme="majorHAnsi" w:hAnsiTheme="majorHAnsi"/>
          <w:sz w:val="20"/>
          <w:szCs w:val="20"/>
        </w:rPr>
        <w:t xml:space="preserve">fees paid by </w:t>
      </w:r>
      <w:proofErr w:type="spellStart"/>
      <w:r w:rsidR="00510AE9" w:rsidRPr="00B24750">
        <w:rPr>
          <w:rFonts w:asciiTheme="majorHAnsi" w:hAnsiTheme="majorHAnsi"/>
          <w:sz w:val="20"/>
          <w:szCs w:val="20"/>
        </w:rPr>
        <w:t>Yoani</w:t>
      </w:r>
      <w:proofErr w:type="spellEnd"/>
      <w:r w:rsidR="00510AE9" w:rsidRPr="00B24750">
        <w:rPr>
          <w:rFonts w:asciiTheme="majorHAnsi" w:hAnsiTheme="majorHAnsi"/>
          <w:sz w:val="20"/>
          <w:szCs w:val="20"/>
        </w:rPr>
        <w:t xml:space="preserve"> Sánchez on May 14, 2008, March 20, 2009, May 4, 2011 and August 15, 2011. These documents</w:t>
      </w:r>
      <w:r w:rsidR="00BB0829" w:rsidRPr="00B24750">
        <w:rPr>
          <w:rFonts w:asciiTheme="majorHAnsi" w:hAnsiTheme="majorHAnsi"/>
          <w:sz w:val="20"/>
          <w:szCs w:val="20"/>
        </w:rPr>
        <w:t xml:space="preserve"> stated</w:t>
      </w:r>
      <w:r w:rsidR="00510AE9" w:rsidRPr="00B24750">
        <w:rPr>
          <w:rFonts w:asciiTheme="majorHAnsi" w:hAnsiTheme="majorHAnsi"/>
          <w:sz w:val="20"/>
          <w:szCs w:val="20"/>
        </w:rPr>
        <w:t xml:space="preserve"> that </w:t>
      </w:r>
      <w:proofErr w:type="spellStart"/>
      <w:r w:rsidR="00510AE9" w:rsidRPr="00B24750">
        <w:rPr>
          <w:rFonts w:asciiTheme="majorHAnsi" w:hAnsiTheme="majorHAnsi"/>
          <w:sz w:val="20"/>
          <w:szCs w:val="20"/>
        </w:rPr>
        <w:t>Yoani</w:t>
      </w:r>
      <w:proofErr w:type="spellEnd"/>
      <w:r w:rsidR="00510AE9" w:rsidRPr="00B24750">
        <w:rPr>
          <w:rFonts w:asciiTheme="majorHAnsi" w:hAnsiTheme="majorHAnsi"/>
          <w:sz w:val="20"/>
          <w:szCs w:val="20"/>
        </w:rPr>
        <w:t xml:space="preserve"> Sánchez “would not travel for the time being.”</w:t>
      </w:r>
      <w:r w:rsidR="00510AE9" w:rsidRPr="00B24750">
        <w:rPr>
          <w:rStyle w:val="FootnoteReference"/>
          <w:rFonts w:asciiTheme="majorHAnsi" w:hAnsiTheme="majorHAnsi" w:cs="Times New Roman"/>
          <w:sz w:val="20"/>
          <w:szCs w:val="20"/>
        </w:rPr>
        <w:footnoteReference w:id="103"/>
      </w:r>
    </w:p>
    <w:p w14:paraId="5F2230E8" w14:textId="7F1686C2" w:rsidR="005B1EF5" w:rsidRPr="00B24750" w:rsidRDefault="005B1EF5" w:rsidP="009D14E7">
      <w:pPr>
        <w:autoSpaceDE w:val="0"/>
        <w:autoSpaceDN w:val="0"/>
        <w:adjustRightInd w:val="0"/>
        <w:jc w:val="both"/>
        <w:rPr>
          <w:rFonts w:asciiTheme="majorHAnsi" w:hAnsiTheme="majorHAnsi"/>
          <w:sz w:val="20"/>
          <w:szCs w:val="20"/>
          <w:lang w:val="en-US"/>
        </w:rPr>
      </w:pPr>
    </w:p>
    <w:p w14:paraId="7061C95A" w14:textId="37D2AB33" w:rsidR="00B44D0F" w:rsidRPr="00B24750" w:rsidRDefault="00AB05D8"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On February 3, 2012, after </w:t>
      </w:r>
      <w:r w:rsidR="00193D76" w:rsidRPr="00B24750">
        <w:rPr>
          <w:rFonts w:asciiTheme="majorHAnsi" w:hAnsiTheme="majorHAnsi"/>
          <w:sz w:val="20"/>
          <w:szCs w:val="20"/>
        </w:rPr>
        <w:t>applying for</w:t>
      </w:r>
      <w:r w:rsidRPr="00B24750">
        <w:rPr>
          <w:rFonts w:asciiTheme="majorHAnsi" w:hAnsiTheme="majorHAnsi"/>
          <w:sz w:val="20"/>
          <w:szCs w:val="20"/>
        </w:rPr>
        <w:t xml:space="preserve"> a new </w:t>
      </w:r>
      <w:r w:rsidR="00193D76" w:rsidRPr="00B24750">
        <w:rPr>
          <w:rFonts w:asciiTheme="majorHAnsi" w:hAnsiTheme="majorHAnsi"/>
          <w:sz w:val="20"/>
          <w:szCs w:val="20"/>
        </w:rPr>
        <w:t>permit</w:t>
      </w:r>
      <w:r w:rsidRPr="00B24750">
        <w:rPr>
          <w:rFonts w:asciiTheme="majorHAnsi" w:hAnsiTheme="majorHAnsi"/>
          <w:sz w:val="20"/>
          <w:szCs w:val="20"/>
        </w:rPr>
        <w:t xml:space="preserve"> to leave the country, the alleged victim appeared at the Immigration and Alien Affairs office on </w:t>
      </w:r>
      <w:r w:rsidR="00193D76" w:rsidRPr="00B24750">
        <w:rPr>
          <w:rFonts w:asciiTheme="majorHAnsi" w:hAnsiTheme="majorHAnsi"/>
          <w:sz w:val="20"/>
          <w:szCs w:val="20"/>
        </w:rPr>
        <w:t xml:space="preserve">Calle 17 </w:t>
      </w:r>
      <w:r w:rsidRPr="00B24750">
        <w:rPr>
          <w:rFonts w:asciiTheme="majorHAnsi" w:hAnsiTheme="majorHAnsi"/>
          <w:sz w:val="20"/>
          <w:szCs w:val="20"/>
        </w:rPr>
        <w:t xml:space="preserve">between J and K (Vedado, Havana) at 1:33 p.m. to inquire about the </w:t>
      </w:r>
      <w:r w:rsidR="00193D76" w:rsidRPr="00B24750">
        <w:rPr>
          <w:rFonts w:asciiTheme="majorHAnsi" w:hAnsiTheme="majorHAnsi"/>
          <w:sz w:val="20"/>
          <w:szCs w:val="20"/>
        </w:rPr>
        <w:t>status of</w:t>
      </w:r>
      <w:r w:rsidRPr="00B24750">
        <w:rPr>
          <w:rFonts w:asciiTheme="majorHAnsi" w:hAnsiTheme="majorHAnsi"/>
          <w:sz w:val="20"/>
          <w:szCs w:val="20"/>
        </w:rPr>
        <w:t xml:space="preserve"> her </w:t>
      </w:r>
      <w:r w:rsidR="00193D76" w:rsidRPr="00B24750">
        <w:rPr>
          <w:rFonts w:asciiTheme="majorHAnsi" w:hAnsiTheme="majorHAnsi"/>
          <w:sz w:val="20"/>
          <w:szCs w:val="20"/>
        </w:rPr>
        <w:t>application</w:t>
      </w:r>
      <w:r w:rsidRPr="00B24750">
        <w:rPr>
          <w:rFonts w:asciiTheme="majorHAnsi" w:hAnsiTheme="majorHAnsi"/>
          <w:sz w:val="20"/>
          <w:szCs w:val="20"/>
        </w:rPr>
        <w:t>.</w:t>
      </w:r>
      <w:r w:rsidRPr="00B24750">
        <w:rPr>
          <w:rStyle w:val="FootnoteReference"/>
          <w:rFonts w:asciiTheme="majorHAnsi" w:hAnsiTheme="majorHAnsi" w:cs="Times New Roman"/>
          <w:sz w:val="20"/>
          <w:szCs w:val="20"/>
        </w:rPr>
        <w:footnoteReference w:id="104"/>
      </w:r>
      <w:r w:rsidRPr="00B24750">
        <w:rPr>
          <w:rFonts w:asciiTheme="majorHAnsi" w:hAnsiTheme="majorHAnsi"/>
          <w:sz w:val="20"/>
          <w:szCs w:val="20"/>
        </w:rPr>
        <w:t xml:space="preserve"> The head of the </w:t>
      </w:r>
      <w:r w:rsidR="00193D76" w:rsidRPr="00B24750">
        <w:rPr>
          <w:rFonts w:asciiTheme="majorHAnsi" w:hAnsiTheme="majorHAnsi"/>
          <w:sz w:val="20"/>
          <w:szCs w:val="20"/>
        </w:rPr>
        <w:t>department</w:t>
      </w:r>
      <w:r w:rsidRPr="00B24750">
        <w:rPr>
          <w:rFonts w:asciiTheme="majorHAnsi" w:hAnsiTheme="majorHAnsi"/>
          <w:sz w:val="20"/>
          <w:szCs w:val="20"/>
        </w:rPr>
        <w:t xml:space="preserve"> call</w:t>
      </w:r>
      <w:r w:rsidR="00193D76" w:rsidRPr="00B24750">
        <w:rPr>
          <w:rFonts w:asciiTheme="majorHAnsi" w:hAnsiTheme="majorHAnsi"/>
          <w:sz w:val="20"/>
          <w:szCs w:val="20"/>
        </w:rPr>
        <w:t>ed</w:t>
      </w:r>
      <w:r w:rsidRPr="00B24750">
        <w:rPr>
          <w:rFonts w:asciiTheme="majorHAnsi" w:hAnsiTheme="majorHAnsi"/>
          <w:sz w:val="20"/>
          <w:szCs w:val="20"/>
        </w:rPr>
        <w:t xml:space="preserve"> her for an interview and t</w:t>
      </w:r>
      <w:r w:rsidR="00193D76" w:rsidRPr="00B24750">
        <w:rPr>
          <w:rFonts w:asciiTheme="majorHAnsi" w:hAnsiTheme="majorHAnsi"/>
          <w:sz w:val="20"/>
          <w:szCs w:val="20"/>
        </w:rPr>
        <w:t xml:space="preserve">old </w:t>
      </w:r>
      <w:r w:rsidRPr="00B24750">
        <w:rPr>
          <w:rFonts w:asciiTheme="majorHAnsi" w:hAnsiTheme="majorHAnsi"/>
          <w:sz w:val="20"/>
          <w:szCs w:val="20"/>
        </w:rPr>
        <w:t xml:space="preserve">her: </w:t>
      </w:r>
      <w:r w:rsidR="007F7841" w:rsidRPr="00B24750">
        <w:rPr>
          <w:rFonts w:asciiTheme="majorHAnsi" w:hAnsiTheme="majorHAnsi"/>
          <w:sz w:val="20"/>
          <w:szCs w:val="20"/>
        </w:rPr>
        <w:t>“</w:t>
      </w:r>
      <w:r w:rsidR="00193D76" w:rsidRPr="00B24750">
        <w:rPr>
          <w:rFonts w:asciiTheme="majorHAnsi" w:hAnsiTheme="majorHAnsi"/>
          <w:sz w:val="20"/>
          <w:szCs w:val="20"/>
        </w:rPr>
        <w:t>Look,</w:t>
      </w:r>
      <w:r w:rsidRPr="00B24750">
        <w:rPr>
          <w:rFonts w:asciiTheme="majorHAnsi" w:hAnsiTheme="majorHAnsi"/>
          <w:sz w:val="20"/>
          <w:szCs w:val="20"/>
        </w:rPr>
        <w:t xml:space="preserve"> you have not been authorized to travel. I am giving you your passport</w:t>
      </w:r>
      <w:r w:rsidR="00193D76" w:rsidRPr="00B24750">
        <w:rPr>
          <w:rFonts w:asciiTheme="majorHAnsi" w:hAnsiTheme="majorHAnsi"/>
          <w:sz w:val="20"/>
          <w:szCs w:val="20"/>
        </w:rPr>
        <w:t xml:space="preserve"> and</w:t>
      </w:r>
      <w:r w:rsidRPr="00B24750">
        <w:rPr>
          <w:rFonts w:asciiTheme="majorHAnsi" w:hAnsiTheme="majorHAnsi"/>
          <w:sz w:val="20"/>
          <w:szCs w:val="20"/>
        </w:rPr>
        <w:t xml:space="preserve"> your check with the </w:t>
      </w:r>
      <w:r w:rsidR="00193D76" w:rsidRPr="00B24750">
        <w:rPr>
          <w:rFonts w:asciiTheme="majorHAnsi" w:hAnsiTheme="majorHAnsi"/>
          <w:sz w:val="20"/>
          <w:szCs w:val="20"/>
        </w:rPr>
        <w:t>form</w:t>
      </w:r>
      <w:r w:rsidRPr="00B24750">
        <w:rPr>
          <w:rFonts w:asciiTheme="majorHAnsi" w:hAnsiTheme="majorHAnsi"/>
          <w:sz w:val="20"/>
          <w:szCs w:val="20"/>
        </w:rPr>
        <w:t xml:space="preserve"> for you to get your money back. </w:t>
      </w:r>
      <w:r w:rsidR="00193D76" w:rsidRPr="00B24750">
        <w:rPr>
          <w:rFonts w:asciiTheme="majorHAnsi" w:hAnsiTheme="majorHAnsi"/>
          <w:sz w:val="20"/>
          <w:szCs w:val="20"/>
        </w:rPr>
        <w:t>It’s there</w:t>
      </w:r>
      <w:r w:rsidRPr="00B24750">
        <w:rPr>
          <w:rFonts w:asciiTheme="majorHAnsi" w:hAnsiTheme="majorHAnsi"/>
          <w:sz w:val="20"/>
          <w:szCs w:val="20"/>
        </w:rPr>
        <w:t xml:space="preserve">, at this address, </w:t>
      </w:r>
      <w:r w:rsidR="00193D76" w:rsidRPr="00B24750">
        <w:rPr>
          <w:rFonts w:asciiTheme="majorHAnsi" w:hAnsiTheme="majorHAnsi"/>
          <w:sz w:val="20"/>
          <w:szCs w:val="20"/>
        </w:rPr>
        <w:t xml:space="preserve">right </w:t>
      </w:r>
      <w:r w:rsidRPr="00B24750">
        <w:rPr>
          <w:rFonts w:asciiTheme="majorHAnsi" w:hAnsiTheme="majorHAnsi"/>
          <w:sz w:val="20"/>
          <w:szCs w:val="20"/>
        </w:rPr>
        <w:t>where you bought it</w:t>
      </w:r>
      <w:r w:rsidR="00193D76" w:rsidRPr="00B24750">
        <w:rPr>
          <w:rFonts w:asciiTheme="majorHAnsi" w:hAnsiTheme="majorHAnsi"/>
          <w:sz w:val="20"/>
          <w:szCs w:val="20"/>
        </w:rPr>
        <w:t>.”</w:t>
      </w:r>
      <w:r w:rsidRPr="00B24750">
        <w:rPr>
          <w:rStyle w:val="FootnoteReference"/>
          <w:rFonts w:asciiTheme="majorHAnsi" w:hAnsiTheme="majorHAnsi" w:cs="Times New Roman"/>
          <w:sz w:val="20"/>
          <w:szCs w:val="20"/>
        </w:rPr>
        <w:footnoteReference w:id="105"/>
      </w:r>
      <w:r w:rsidRPr="00B24750">
        <w:rPr>
          <w:rFonts w:asciiTheme="majorHAnsi" w:hAnsiTheme="majorHAnsi"/>
          <w:sz w:val="20"/>
          <w:szCs w:val="20"/>
        </w:rPr>
        <w:t xml:space="preserve"> During the interaction between the two, the </w:t>
      </w:r>
      <w:r w:rsidR="00193D76" w:rsidRPr="00B24750">
        <w:rPr>
          <w:rFonts w:asciiTheme="majorHAnsi" w:hAnsiTheme="majorHAnsi"/>
          <w:sz w:val="20"/>
          <w:szCs w:val="20"/>
        </w:rPr>
        <w:t>official</w:t>
      </w:r>
      <w:r w:rsidRPr="00B24750">
        <w:rPr>
          <w:rFonts w:asciiTheme="majorHAnsi" w:hAnsiTheme="majorHAnsi"/>
          <w:sz w:val="20"/>
          <w:szCs w:val="20"/>
        </w:rPr>
        <w:t xml:space="preserve"> confirmed that this was the nineteenth time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had requested permission to leave the country</w:t>
      </w:r>
      <w:r w:rsidR="00193D76" w:rsidRPr="00B24750">
        <w:rPr>
          <w:rFonts w:asciiTheme="majorHAnsi" w:hAnsiTheme="majorHAnsi"/>
          <w:sz w:val="20"/>
          <w:szCs w:val="20"/>
        </w:rPr>
        <w:t>—to no avail—</w:t>
      </w:r>
      <w:r w:rsidRPr="00B24750">
        <w:rPr>
          <w:rFonts w:asciiTheme="majorHAnsi" w:hAnsiTheme="majorHAnsi"/>
          <w:sz w:val="20"/>
          <w:szCs w:val="20"/>
        </w:rPr>
        <w:t xml:space="preserve">and informed her that </w:t>
      </w:r>
      <w:r w:rsidR="00193D76" w:rsidRPr="00B24750">
        <w:rPr>
          <w:rFonts w:asciiTheme="majorHAnsi" w:hAnsiTheme="majorHAnsi"/>
          <w:sz w:val="20"/>
          <w:szCs w:val="20"/>
        </w:rPr>
        <w:t>she</w:t>
      </w:r>
      <w:r w:rsidRPr="00B24750">
        <w:rPr>
          <w:rFonts w:asciiTheme="majorHAnsi" w:hAnsiTheme="majorHAnsi"/>
          <w:sz w:val="20"/>
          <w:szCs w:val="20"/>
        </w:rPr>
        <w:t xml:space="preserve"> could try as many times as she wanted.</w:t>
      </w:r>
      <w:r w:rsidRPr="00B24750">
        <w:rPr>
          <w:rStyle w:val="FootnoteReference"/>
          <w:rFonts w:asciiTheme="majorHAnsi" w:hAnsiTheme="majorHAnsi" w:cs="Times New Roman"/>
          <w:sz w:val="20"/>
          <w:szCs w:val="20"/>
        </w:rPr>
        <w:footnoteReference w:id="106"/>
      </w:r>
      <w:r w:rsidR="00B44D0F" w:rsidRPr="00B24750">
        <w:rPr>
          <w:rFonts w:asciiTheme="majorHAnsi" w:hAnsiTheme="majorHAnsi"/>
          <w:sz w:val="20"/>
          <w:szCs w:val="20"/>
        </w:rPr>
        <w:t xml:space="preserve"> </w:t>
      </w:r>
    </w:p>
    <w:p w14:paraId="3D49762B" w14:textId="77777777" w:rsidR="004E0278" w:rsidRPr="00B24750" w:rsidRDefault="004E0278" w:rsidP="009D14E7">
      <w:pPr>
        <w:jc w:val="both"/>
        <w:rPr>
          <w:rFonts w:asciiTheme="majorHAnsi" w:hAnsiTheme="majorHAnsi"/>
          <w:sz w:val="20"/>
          <w:szCs w:val="20"/>
          <w:lang w:val="en-US"/>
        </w:rPr>
      </w:pPr>
    </w:p>
    <w:p w14:paraId="2D78DCAF" w14:textId="20E9B053" w:rsidR="00AD193C" w:rsidRPr="00B24750" w:rsidRDefault="00AD193C"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cs="Arial"/>
          <w:sz w:val="20"/>
          <w:szCs w:val="20"/>
        </w:rPr>
        <w:t xml:space="preserve">In November 2012, </w:t>
      </w:r>
      <w:r w:rsidRPr="00B24750">
        <w:rPr>
          <w:rFonts w:asciiTheme="majorHAnsi" w:hAnsiTheme="majorHAnsi"/>
          <w:sz w:val="20"/>
          <w:szCs w:val="20"/>
        </w:rPr>
        <w:t xml:space="preserve">after the IACHR granted precautionary measures, </w:t>
      </w:r>
      <w:r w:rsidRPr="00B24750">
        <w:rPr>
          <w:rFonts w:asciiTheme="majorHAnsi" w:hAnsiTheme="majorHAnsi" w:cs="Arial"/>
          <w:sz w:val="20"/>
          <w:szCs w:val="20"/>
        </w:rPr>
        <w:t>the State authorized the alleged victim to leave the country.</w:t>
      </w:r>
      <w:r w:rsidRPr="00B24750">
        <w:rPr>
          <w:rStyle w:val="FootnoteReference"/>
          <w:rFonts w:asciiTheme="majorHAnsi" w:hAnsiTheme="majorHAnsi" w:cs="Arial"/>
          <w:sz w:val="20"/>
          <w:szCs w:val="20"/>
        </w:rPr>
        <w:footnoteReference w:id="107"/>
      </w:r>
      <w:r w:rsidRPr="00B24750">
        <w:rPr>
          <w:rFonts w:asciiTheme="majorHAnsi" w:hAnsiTheme="majorHAnsi" w:cs="Arial"/>
          <w:sz w:val="20"/>
          <w:szCs w:val="20"/>
        </w:rPr>
        <w:t xml:space="preserve"> </w:t>
      </w:r>
    </w:p>
    <w:p w14:paraId="4A77B7A9" w14:textId="77777777" w:rsidR="00AD2C07" w:rsidRPr="00B24750" w:rsidRDefault="00AD2C07" w:rsidP="009D14E7">
      <w:pPr>
        <w:pStyle w:val="ListParagraph"/>
        <w:ind w:left="0"/>
        <w:jc w:val="both"/>
        <w:rPr>
          <w:rFonts w:asciiTheme="majorHAnsi" w:hAnsiTheme="majorHAnsi"/>
          <w:sz w:val="20"/>
          <w:szCs w:val="20"/>
        </w:rPr>
      </w:pPr>
    </w:p>
    <w:p w14:paraId="09D1A370" w14:textId="7D5CB1E5" w:rsidR="00AD2C07" w:rsidRDefault="00AD193C"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On October 16, 2012, Decree-Law No. 302,</w:t>
      </w:r>
      <w:r w:rsidRPr="00B24750">
        <w:rPr>
          <w:rStyle w:val="FootnoteReference"/>
          <w:rFonts w:asciiTheme="majorHAnsi" w:hAnsiTheme="majorHAnsi"/>
          <w:sz w:val="20"/>
          <w:szCs w:val="20"/>
        </w:rPr>
        <w:footnoteReference w:id="108"/>
      </w:r>
      <w:r w:rsidRPr="00B24750">
        <w:rPr>
          <w:rFonts w:asciiTheme="majorHAnsi" w:hAnsiTheme="majorHAnsi"/>
          <w:sz w:val="20"/>
          <w:szCs w:val="20"/>
        </w:rPr>
        <w:t xml:space="preserve"> enacted by the Council of State to amend the 1976 </w:t>
      </w:r>
      <w:r w:rsidR="001141AA" w:rsidRPr="00B24750">
        <w:rPr>
          <w:rFonts w:asciiTheme="majorHAnsi" w:hAnsiTheme="majorHAnsi"/>
          <w:sz w:val="20"/>
          <w:szCs w:val="20"/>
        </w:rPr>
        <w:t xml:space="preserve">Law on </w:t>
      </w:r>
      <w:r w:rsidRPr="00B24750">
        <w:rPr>
          <w:rFonts w:asciiTheme="majorHAnsi" w:hAnsiTheme="majorHAnsi"/>
          <w:sz w:val="20"/>
          <w:szCs w:val="20"/>
        </w:rPr>
        <w:t xml:space="preserve">Migration, was published in the Official Gazette of the Republic of Cuba. This reform entered into force on January 14, 2013. The main amendments to the </w:t>
      </w:r>
      <w:r w:rsidR="001141AA" w:rsidRPr="00B24750">
        <w:rPr>
          <w:rFonts w:asciiTheme="majorHAnsi" w:hAnsiTheme="majorHAnsi"/>
          <w:sz w:val="20"/>
          <w:szCs w:val="20"/>
        </w:rPr>
        <w:t xml:space="preserve">Law on </w:t>
      </w:r>
      <w:r w:rsidRPr="00B24750">
        <w:rPr>
          <w:rFonts w:asciiTheme="majorHAnsi" w:hAnsiTheme="majorHAnsi"/>
          <w:sz w:val="20"/>
          <w:szCs w:val="20"/>
        </w:rPr>
        <w:t xml:space="preserve">Migration include the partial elimination of the </w:t>
      </w:r>
      <w:r w:rsidR="00207B4E" w:rsidRPr="00B24750">
        <w:rPr>
          <w:rFonts w:asciiTheme="majorHAnsi" w:hAnsiTheme="majorHAnsi"/>
          <w:sz w:val="20"/>
          <w:szCs w:val="20"/>
        </w:rPr>
        <w:t>requirement</w:t>
      </w:r>
      <w:r w:rsidRPr="00B24750">
        <w:rPr>
          <w:rFonts w:asciiTheme="majorHAnsi" w:hAnsiTheme="majorHAnsi"/>
          <w:sz w:val="20"/>
          <w:szCs w:val="20"/>
        </w:rPr>
        <w:t xml:space="preserve"> for authorization to leave Cuban territory.</w:t>
      </w:r>
      <w:r w:rsidRPr="00B24750">
        <w:rPr>
          <w:rStyle w:val="FootnoteReference"/>
          <w:rFonts w:asciiTheme="majorHAnsi" w:hAnsiTheme="majorHAnsi"/>
          <w:sz w:val="20"/>
          <w:szCs w:val="20"/>
        </w:rPr>
        <w:footnoteReference w:id="109"/>
      </w:r>
    </w:p>
    <w:p w14:paraId="6B1A0DC8" w14:textId="77777777" w:rsidR="00F66452" w:rsidRPr="00F66452" w:rsidRDefault="00F66452" w:rsidP="00F66452">
      <w:pPr>
        <w:pStyle w:val="ListParagraph"/>
        <w:rPr>
          <w:rFonts w:asciiTheme="majorHAnsi" w:hAnsiTheme="majorHAnsi"/>
          <w:sz w:val="20"/>
          <w:szCs w:val="20"/>
        </w:rPr>
      </w:pPr>
    </w:p>
    <w:p w14:paraId="2C5D165F" w14:textId="77777777" w:rsidR="00F66452" w:rsidRDefault="00F66452">
      <w:pPr>
        <w:rPr>
          <w:rFonts w:asciiTheme="majorHAnsi" w:eastAsia="Times New Roman" w:hAnsiTheme="majorHAnsi" w:cs="Arial"/>
          <w:b/>
          <w:bCs/>
          <w:iCs/>
          <w:sz w:val="20"/>
          <w:szCs w:val="20"/>
          <w:bdr w:val="none" w:sz="0" w:space="0" w:color="auto"/>
          <w:lang w:val="en-US"/>
        </w:rPr>
      </w:pPr>
      <w:bookmarkStart w:id="19" w:name="_Toc90392471"/>
      <w:r>
        <w:br w:type="page"/>
      </w:r>
    </w:p>
    <w:p w14:paraId="1C1B8DED" w14:textId="137937C4" w:rsidR="00B44D0F" w:rsidRPr="00F66452" w:rsidRDefault="00C428C1" w:rsidP="00F66452">
      <w:pPr>
        <w:pStyle w:val="Heading2"/>
      </w:pPr>
      <w:r w:rsidRPr="00F66452">
        <w:lastRenderedPageBreak/>
        <w:t>Complaints regarding the arrests of</w:t>
      </w:r>
      <w:r w:rsidR="00195DDA" w:rsidRPr="00F66452">
        <w:t xml:space="preserve"> 2009 </w:t>
      </w:r>
      <w:r w:rsidRPr="00F66452">
        <w:t>and</w:t>
      </w:r>
      <w:r w:rsidR="00195DDA" w:rsidRPr="00F66452">
        <w:t xml:space="preserve"> 2010</w:t>
      </w:r>
      <w:bookmarkEnd w:id="19"/>
      <w:r w:rsidR="005B1EF5" w:rsidRPr="00F66452">
        <w:t xml:space="preserve"> </w:t>
      </w:r>
    </w:p>
    <w:p w14:paraId="1E225741" w14:textId="77777777" w:rsidR="005B1EF5" w:rsidRPr="00B24750" w:rsidRDefault="005B1EF5" w:rsidP="005F7FE2">
      <w:pPr>
        <w:pStyle w:val="ListParagraph"/>
        <w:autoSpaceDE w:val="0"/>
        <w:autoSpaceDN w:val="0"/>
        <w:adjustRightInd w:val="0"/>
        <w:ind w:left="1080"/>
        <w:jc w:val="both"/>
        <w:rPr>
          <w:rFonts w:asciiTheme="majorHAnsi" w:hAnsiTheme="majorHAnsi"/>
          <w:b/>
          <w:sz w:val="20"/>
          <w:szCs w:val="20"/>
        </w:rPr>
      </w:pPr>
    </w:p>
    <w:p w14:paraId="7F244A80" w14:textId="3DDDC0CD" w:rsidR="00C428C1" w:rsidRPr="00B24750" w:rsidRDefault="00C428C1"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At the end of 2009,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filed a complaint with the Office of the Military Prosecutor and the </w:t>
      </w:r>
      <w:r w:rsidR="00F70DF0">
        <w:rPr>
          <w:rFonts w:asciiTheme="majorHAnsi" w:hAnsiTheme="majorHAnsi"/>
          <w:sz w:val="20"/>
          <w:szCs w:val="20"/>
        </w:rPr>
        <w:t>Office of the Attorney General</w:t>
      </w:r>
      <w:r w:rsidRPr="00B24750">
        <w:rPr>
          <w:rFonts w:asciiTheme="majorHAnsi" w:hAnsiTheme="majorHAnsi"/>
          <w:sz w:val="20"/>
          <w:szCs w:val="20"/>
        </w:rPr>
        <w:t xml:space="preserve"> regarding her detention and assault on November 6, 2009. To date, there have been no responses or investigations of the complaints.</w:t>
      </w:r>
      <w:r w:rsidRPr="00B24750">
        <w:rPr>
          <w:rStyle w:val="FootnoteReference"/>
          <w:rFonts w:asciiTheme="majorHAnsi" w:hAnsiTheme="majorHAnsi"/>
          <w:sz w:val="20"/>
          <w:szCs w:val="20"/>
        </w:rPr>
        <w:footnoteReference w:id="110"/>
      </w:r>
    </w:p>
    <w:p w14:paraId="2DD3D657" w14:textId="77777777" w:rsidR="005B1EF5" w:rsidRPr="00B24750" w:rsidRDefault="005B1EF5" w:rsidP="009D14E7">
      <w:pPr>
        <w:pStyle w:val="ListParagraph"/>
        <w:autoSpaceDE w:val="0"/>
        <w:autoSpaceDN w:val="0"/>
        <w:adjustRightInd w:val="0"/>
        <w:ind w:left="0"/>
        <w:jc w:val="both"/>
        <w:rPr>
          <w:rFonts w:asciiTheme="majorHAnsi" w:hAnsiTheme="majorHAnsi"/>
          <w:sz w:val="20"/>
          <w:szCs w:val="20"/>
        </w:rPr>
      </w:pPr>
    </w:p>
    <w:p w14:paraId="41F2AD66" w14:textId="58B09469" w:rsidR="00B44D0F" w:rsidRDefault="00C428C1"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On March 10, 2010, the alleged victim filed a complaint regarding her detention and the events of February 24, 2010, with the </w:t>
      </w:r>
      <w:r w:rsidR="00F70DF0">
        <w:rPr>
          <w:rFonts w:asciiTheme="majorHAnsi" w:hAnsiTheme="majorHAnsi"/>
          <w:sz w:val="20"/>
          <w:szCs w:val="20"/>
        </w:rPr>
        <w:t>Office of the Attorney General</w:t>
      </w:r>
      <w:r w:rsidRPr="00B24750">
        <w:rPr>
          <w:rFonts w:asciiTheme="majorHAnsi" w:hAnsiTheme="majorHAnsi"/>
          <w:sz w:val="20"/>
          <w:szCs w:val="20"/>
        </w:rPr>
        <w:t xml:space="preserve">, the Office of the Military Prosecutor, the National Assembly, the Council of State, </w:t>
      </w:r>
      <w:r w:rsidR="007F7841" w:rsidRPr="00B24750">
        <w:rPr>
          <w:rFonts w:asciiTheme="majorHAnsi" w:hAnsiTheme="majorHAnsi"/>
          <w:sz w:val="20"/>
          <w:szCs w:val="20"/>
        </w:rPr>
        <w:t>the National Revolutionary Police (</w:t>
      </w:r>
      <w:r w:rsidRPr="00B24750">
        <w:rPr>
          <w:rFonts w:asciiTheme="majorHAnsi" w:hAnsiTheme="majorHAnsi"/>
          <w:sz w:val="20"/>
          <w:szCs w:val="20"/>
        </w:rPr>
        <w:t>PNR</w:t>
      </w:r>
      <w:r w:rsidR="007F7841" w:rsidRPr="00B24750">
        <w:rPr>
          <w:rFonts w:asciiTheme="majorHAnsi" w:hAnsiTheme="majorHAnsi"/>
          <w:sz w:val="20"/>
          <w:szCs w:val="20"/>
        </w:rPr>
        <w:t>)</w:t>
      </w:r>
      <w:r w:rsidRPr="00B24750">
        <w:rPr>
          <w:rFonts w:asciiTheme="majorHAnsi" w:hAnsiTheme="majorHAnsi"/>
          <w:sz w:val="20"/>
          <w:szCs w:val="20"/>
        </w:rPr>
        <w:t xml:space="preserve">, and the Infanta and </w:t>
      </w:r>
      <w:proofErr w:type="spellStart"/>
      <w:r w:rsidRPr="00B24750">
        <w:rPr>
          <w:rFonts w:asciiTheme="majorHAnsi" w:hAnsiTheme="majorHAnsi"/>
          <w:sz w:val="20"/>
          <w:szCs w:val="20"/>
        </w:rPr>
        <w:t>Manglar</w:t>
      </w:r>
      <w:proofErr w:type="spellEnd"/>
      <w:r w:rsidRPr="00B24750">
        <w:rPr>
          <w:rFonts w:asciiTheme="majorHAnsi" w:hAnsiTheme="majorHAnsi"/>
          <w:sz w:val="20"/>
          <w:szCs w:val="20"/>
        </w:rPr>
        <w:t xml:space="preserve"> police station.</w:t>
      </w:r>
      <w:r w:rsidRPr="00B24750">
        <w:rPr>
          <w:rStyle w:val="FootnoteReference"/>
          <w:rFonts w:asciiTheme="majorHAnsi" w:hAnsiTheme="majorHAnsi"/>
          <w:sz w:val="20"/>
          <w:szCs w:val="20"/>
        </w:rPr>
        <w:footnoteReference w:id="111"/>
      </w:r>
      <w:r w:rsidRPr="00B24750">
        <w:rPr>
          <w:rFonts w:asciiTheme="majorHAnsi" w:hAnsiTheme="majorHAnsi"/>
          <w:sz w:val="20"/>
          <w:szCs w:val="20"/>
        </w:rPr>
        <w:t xml:space="preserve"> As of the date of this report, there have been no </w:t>
      </w:r>
      <w:r w:rsidR="00274B80" w:rsidRPr="00B24750">
        <w:rPr>
          <w:rFonts w:asciiTheme="majorHAnsi" w:hAnsiTheme="majorHAnsi"/>
          <w:sz w:val="20"/>
          <w:szCs w:val="20"/>
        </w:rPr>
        <w:t xml:space="preserve">State </w:t>
      </w:r>
      <w:r w:rsidRPr="00B24750">
        <w:rPr>
          <w:rFonts w:asciiTheme="majorHAnsi" w:hAnsiTheme="majorHAnsi"/>
          <w:sz w:val="20"/>
          <w:szCs w:val="20"/>
        </w:rPr>
        <w:t>response to these complaints</w:t>
      </w:r>
      <w:r w:rsidR="00970E90" w:rsidRPr="00B24750">
        <w:rPr>
          <w:rFonts w:asciiTheme="majorHAnsi" w:hAnsiTheme="majorHAnsi"/>
          <w:sz w:val="20"/>
          <w:szCs w:val="20"/>
        </w:rPr>
        <w:t>.</w:t>
      </w:r>
    </w:p>
    <w:p w14:paraId="21190D83" w14:textId="77777777" w:rsidR="00F66452" w:rsidRPr="00F66452" w:rsidRDefault="00F66452" w:rsidP="00F66452">
      <w:pPr>
        <w:pStyle w:val="ListParagraph"/>
        <w:rPr>
          <w:rFonts w:asciiTheme="majorHAnsi" w:hAnsiTheme="majorHAnsi"/>
          <w:sz w:val="20"/>
          <w:szCs w:val="20"/>
        </w:rPr>
      </w:pPr>
    </w:p>
    <w:p w14:paraId="093A6A9F" w14:textId="77777777" w:rsidR="00F66452" w:rsidRPr="00B24750" w:rsidRDefault="00F66452" w:rsidP="00F66452">
      <w:pPr>
        <w:pStyle w:val="ListParagraph"/>
        <w:autoSpaceDE w:val="0"/>
        <w:autoSpaceDN w:val="0"/>
        <w:adjustRightInd w:val="0"/>
        <w:ind w:left="0"/>
        <w:jc w:val="both"/>
        <w:rPr>
          <w:rFonts w:asciiTheme="majorHAnsi" w:hAnsiTheme="majorHAnsi"/>
          <w:sz w:val="20"/>
          <w:szCs w:val="20"/>
        </w:rPr>
      </w:pPr>
    </w:p>
    <w:p w14:paraId="15F2FBE6" w14:textId="7DD41BE5" w:rsidR="00B44D0F" w:rsidRPr="00F66452" w:rsidRDefault="009A4D92" w:rsidP="00F66452">
      <w:pPr>
        <w:pStyle w:val="Heading2"/>
      </w:pPr>
      <w:bookmarkStart w:id="20" w:name="_Toc90392472"/>
      <w:r w:rsidRPr="00F66452">
        <w:t>Request</w:t>
      </w:r>
      <w:r w:rsidR="0007660C" w:rsidRPr="00F66452">
        <w:t xml:space="preserve"> </w:t>
      </w:r>
      <w:r w:rsidRPr="00F66452">
        <w:t xml:space="preserve">for response and appeal to the Bureau of Immigration and Alien Affairs and the Ministry of the Interior regarding the impediments to </w:t>
      </w:r>
      <w:proofErr w:type="spellStart"/>
      <w:r w:rsidRPr="00F66452">
        <w:t>Yoani</w:t>
      </w:r>
      <w:proofErr w:type="spellEnd"/>
      <w:r w:rsidRPr="00F66452">
        <w:t xml:space="preserve"> Sánchez Cordero’s departure from the country between 2007 and </w:t>
      </w:r>
      <w:r w:rsidR="00B44D0F" w:rsidRPr="00F66452">
        <w:t>201</w:t>
      </w:r>
      <w:r w:rsidR="00C330D5" w:rsidRPr="00F66452">
        <w:t>2</w:t>
      </w:r>
      <w:bookmarkEnd w:id="20"/>
    </w:p>
    <w:p w14:paraId="4958FFE2" w14:textId="77777777" w:rsidR="005B1EF5" w:rsidRPr="00B24750" w:rsidRDefault="005B1EF5" w:rsidP="005F7FE2">
      <w:pPr>
        <w:pStyle w:val="ListParagraph"/>
        <w:autoSpaceDE w:val="0"/>
        <w:autoSpaceDN w:val="0"/>
        <w:adjustRightInd w:val="0"/>
        <w:ind w:left="1080"/>
        <w:jc w:val="both"/>
        <w:rPr>
          <w:rFonts w:asciiTheme="majorHAnsi" w:hAnsiTheme="majorHAnsi"/>
          <w:b/>
          <w:sz w:val="20"/>
          <w:szCs w:val="20"/>
        </w:rPr>
      </w:pPr>
    </w:p>
    <w:p w14:paraId="38D219EC" w14:textId="27FE9D25" w:rsidR="00BB176F" w:rsidRPr="00B24750" w:rsidRDefault="00BB176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On November 5, 2010,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filed a formal request for response with the Bureau of Immigration and Alien Affairs of the Ministry of the Interior, under Article 63 of the Cuban Constitution, seeking an explanation of the factual and legal grounds on which she was not allowed to travel abroad, which she considered a violation of her human rights.</w:t>
      </w:r>
      <w:r w:rsidRPr="00B24750">
        <w:rPr>
          <w:rStyle w:val="FootnoteReference"/>
          <w:rFonts w:asciiTheme="majorHAnsi" w:hAnsiTheme="majorHAnsi"/>
          <w:sz w:val="20"/>
          <w:szCs w:val="20"/>
        </w:rPr>
        <w:footnoteReference w:id="112"/>
      </w:r>
      <w:r w:rsidRPr="00B24750">
        <w:rPr>
          <w:rFonts w:asciiTheme="majorHAnsi" w:hAnsiTheme="majorHAnsi"/>
          <w:sz w:val="20"/>
          <w:szCs w:val="20"/>
        </w:rPr>
        <w:t xml:space="preserve"> </w:t>
      </w:r>
    </w:p>
    <w:p w14:paraId="2E77228D" w14:textId="77777777" w:rsidR="00BD6EA7" w:rsidRPr="00B24750" w:rsidRDefault="00BD6EA7" w:rsidP="009D14E7">
      <w:pPr>
        <w:pStyle w:val="ListParagraph"/>
        <w:autoSpaceDE w:val="0"/>
        <w:autoSpaceDN w:val="0"/>
        <w:adjustRightInd w:val="0"/>
        <w:ind w:left="0"/>
        <w:jc w:val="both"/>
        <w:rPr>
          <w:rFonts w:asciiTheme="majorHAnsi" w:hAnsiTheme="majorHAnsi"/>
          <w:sz w:val="20"/>
          <w:szCs w:val="20"/>
        </w:rPr>
      </w:pPr>
    </w:p>
    <w:p w14:paraId="47D4ADCD" w14:textId="6DDF5135" w:rsidR="00BB176F" w:rsidRPr="00B24750" w:rsidRDefault="00B44D0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 </w:t>
      </w:r>
      <w:r w:rsidR="00BB176F" w:rsidRPr="00B24750">
        <w:rPr>
          <w:rFonts w:asciiTheme="majorHAnsi" w:hAnsiTheme="majorHAnsi"/>
          <w:sz w:val="20"/>
          <w:szCs w:val="20"/>
        </w:rPr>
        <w:t xml:space="preserve">On March 30, 2012, </w:t>
      </w:r>
      <w:proofErr w:type="spellStart"/>
      <w:r w:rsidR="00BB176F" w:rsidRPr="00B24750">
        <w:rPr>
          <w:rFonts w:asciiTheme="majorHAnsi" w:hAnsiTheme="majorHAnsi"/>
          <w:sz w:val="20"/>
          <w:szCs w:val="20"/>
        </w:rPr>
        <w:t>Yoani</w:t>
      </w:r>
      <w:proofErr w:type="spellEnd"/>
      <w:r w:rsidR="00BB176F" w:rsidRPr="00B24750">
        <w:rPr>
          <w:rFonts w:asciiTheme="majorHAnsi" w:hAnsiTheme="majorHAnsi"/>
          <w:sz w:val="20"/>
          <w:szCs w:val="20"/>
        </w:rPr>
        <w:t xml:space="preserve"> Sánchez filed an appeal with the Ministry of the Interior, also under Article 63 of the Constitution of Cuba, since the Bureau of Immigration and Alien Affairs had failed to reply within 60 days.</w:t>
      </w:r>
      <w:r w:rsidR="00BB176F" w:rsidRPr="00B24750">
        <w:rPr>
          <w:rStyle w:val="FootnoteReference"/>
          <w:rFonts w:asciiTheme="majorHAnsi" w:hAnsiTheme="majorHAnsi"/>
          <w:sz w:val="20"/>
          <w:szCs w:val="20"/>
        </w:rPr>
        <w:footnoteReference w:id="113"/>
      </w:r>
      <w:r w:rsidR="00BB176F" w:rsidRPr="00B24750">
        <w:rPr>
          <w:rFonts w:asciiTheme="majorHAnsi" w:hAnsiTheme="majorHAnsi"/>
          <w:sz w:val="20"/>
          <w:szCs w:val="20"/>
        </w:rPr>
        <w:t xml:space="preserve"> The alleged victim asked the Minister of the Interior to order the Director of Immigration and Alien Affairs to inform her of the reasons or grounds for not allowing her to leave the country and to overturn those decisions, since the grounds for denial were not stated and the prohibition violated her human rights.</w:t>
      </w:r>
      <w:r w:rsidR="00BB176F" w:rsidRPr="00B24750">
        <w:rPr>
          <w:rStyle w:val="FootnoteReference"/>
          <w:rFonts w:asciiTheme="majorHAnsi" w:hAnsiTheme="majorHAnsi"/>
          <w:sz w:val="20"/>
          <w:szCs w:val="20"/>
        </w:rPr>
        <w:footnoteReference w:id="114"/>
      </w:r>
      <w:r w:rsidR="00BB176F" w:rsidRPr="00B24750">
        <w:rPr>
          <w:rFonts w:asciiTheme="majorHAnsi" w:hAnsiTheme="majorHAnsi"/>
          <w:sz w:val="20"/>
          <w:szCs w:val="20"/>
        </w:rPr>
        <w:t xml:space="preserve"> As of the date of this report, none of these administrative requests have been answered.</w:t>
      </w:r>
    </w:p>
    <w:p w14:paraId="1FB84D46" w14:textId="451C6D7C" w:rsidR="00B07F80" w:rsidRPr="00B24750" w:rsidRDefault="00B07F80" w:rsidP="00BB176F">
      <w:pPr>
        <w:autoSpaceDE w:val="0"/>
        <w:autoSpaceDN w:val="0"/>
        <w:adjustRightInd w:val="0"/>
        <w:jc w:val="both"/>
        <w:rPr>
          <w:rFonts w:asciiTheme="majorHAnsi" w:hAnsiTheme="majorHAnsi"/>
          <w:sz w:val="20"/>
          <w:szCs w:val="20"/>
          <w:lang w:val="en-US"/>
        </w:rPr>
      </w:pPr>
    </w:p>
    <w:p w14:paraId="7DC10E8A" w14:textId="06143CA9" w:rsidR="00B07F80" w:rsidRPr="00F66452" w:rsidRDefault="00BB176F" w:rsidP="00F66452">
      <w:pPr>
        <w:pStyle w:val="Heading2"/>
      </w:pPr>
      <w:bookmarkStart w:id="21" w:name="_Toc90392473"/>
      <w:r w:rsidRPr="00F66452">
        <w:t>Wiretapping, residential surveillance, intimidation, and attacks against the journalist and blogger</w:t>
      </w:r>
      <w:bookmarkEnd w:id="21"/>
      <w:r w:rsidRPr="00F66452">
        <w:t xml:space="preserve"> </w:t>
      </w:r>
    </w:p>
    <w:p w14:paraId="7257B81E" w14:textId="77777777" w:rsidR="00B07F80" w:rsidRPr="00B24750" w:rsidRDefault="00B07F80" w:rsidP="00B07F80">
      <w:pPr>
        <w:pStyle w:val="ListParagraph"/>
        <w:autoSpaceDE w:val="0"/>
        <w:autoSpaceDN w:val="0"/>
        <w:adjustRightInd w:val="0"/>
        <w:ind w:left="1080"/>
        <w:jc w:val="both"/>
        <w:rPr>
          <w:rFonts w:asciiTheme="majorHAnsi" w:hAnsiTheme="majorHAnsi"/>
          <w:b/>
          <w:sz w:val="20"/>
          <w:szCs w:val="20"/>
        </w:rPr>
      </w:pPr>
    </w:p>
    <w:p w14:paraId="500EBFE3" w14:textId="7193B781" w:rsidR="00BB176F" w:rsidRPr="00B24750" w:rsidRDefault="00BB176F"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Since October 2007,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Sánchez’s home phone and cell phone have been wiretapped by the Cuban government.</w:t>
      </w:r>
      <w:r w:rsidRPr="00B24750">
        <w:rPr>
          <w:rStyle w:val="FootnoteReference"/>
          <w:rFonts w:asciiTheme="majorHAnsi" w:hAnsiTheme="majorHAnsi"/>
          <w:sz w:val="20"/>
          <w:szCs w:val="20"/>
        </w:rPr>
        <w:footnoteReference w:id="115"/>
      </w:r>
      <w:r w:rsidRPr="00B24750">
        <w:rPr>
          <w:rFonts w:asciiTheme="majorHAnsi" w:hAnsiTheme="majorHAnsi"/>
          <w:sz w:val="20"/>
          <w:szCs w:val="20"/>
        </w:rPr>
        <w:t xml:space="preserve"> Since that time, the State has also been continuously monitoring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and her family, interrogating </w:t>
      </w:r>
      <w:r w:rsidR="00EE37A5" w:rsidRPr="00B24750">
        <w:rPr>
          <w:rFonts w:asciiTheme="majorHAnsi" w:hAnsiTheme="majorHAnsi"/>
          <w:sz w:val="20"/>
          <w:szCs w:val="20"/>
        </w:rPr>
        <w:t>people</w:t>
      </w:r>
      <w:r w:rsidRPr="00B24750">
        <w:rPr>
          <w:rFonts w:asciiTheme="majorHAnsi" w:hAnsiTheme="majorHAnsi"/>
          <w:sz w:val="20"/>
          <w:szCs w:val="20"/>
        </w:rPr>
        <w:t xml:space="preserve"> before and after they </w:t>
      </w:r>
      <w:r w:rsidR="00EE37A5" w:rsidRPr="00B24750">
        <w:rPr>
          <w:rFonts w:asciiTheme="majorHAnsi" w:hAnsiTheme="majorHAnsi"/>
          <w:sz w:val="20"/>
          <w:szCs w:val="20"/>
        </w:rPr>
        <w:t>visit</w:t>
      </w:r>
      <w:r w:rsidRPr="00B24750">
        <w:rPr>
          <w:rFonts w:asciiTheme="majorHAnsi" w:hAnsiTheme="majorHAnsi"/>
          <w:sz w:val="20"/>
          <w:szCs w:val="20"/>
        </w:rPr>
        <w:t xml:space="preserve"> her home.</w:t>
      </w:r>
      <w:r w:rsidRPr="00B24750">
        <w:rPr>
          <w:rStyle w:val="FootnoteReference"/>
          <w:rFonts w:asciiTheme="majorHAnsi" w:hAnsiTheme="majorHAnsi"/>
          <w:sz w:val="20"/>
          <w:szCs w:val="20"/>
        </w:rPr>
        <w:footnoteReference w:id="116"/>
      </w:r>
      <w:r w:rsidRPr="00B24750">
        <w:rPr>
          <w:rFonts w:asciiTheme="majorHAnsi" w:hAnsiTheme="majorHAnsi"/>
          <w:sz w:val="20"/>
          <w:szCs w:val="20"/>
        </w:rPr>
        <w:t xml:space="preserve"> </w:t>
      </w:r>
    </w:p>
    <w:p w14:paraId="2415FD90" w14:textId="77777777" w:rsidR="00444E2D" w:rsidRPr="00B24750" w:rsidRDefault="00444E2D" w:rsidP="009D14E7">
      <w:pPr>
        <w:pStyle w:val="ListParagraph"/>
        <w:autoSpaceDE w:val="0"/>
        <w:autoSpaceDN w:val="0"/>
        <w:adjustRightInd w:val="0"/>
        <w:ind w:left="0"/>
        <w:jc w:val="both"/>
        <w:rPr>
          <w:rFonts w:asciiTheme="majorHAnsi" w:hAnsiTheme="majorHAnsi"/>
          <w:sz w:val="20"/>
          <w:szCs w:val="20"/>
        </w:rPr>
      </w:pPr>
    </w:p>
    <w:p w14:paraId="64951019" w14:textId="09BA1E06" w:rsidR="00B07F80" w:rsidRPr="00B24750" w:rsidRDefault="00390BB8"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On December 3, 2008, the alleged victim was summoned to appear before the National Revolutionary Police, where she was threatened and warned to suspend a blogger training event scheduled to be held on December 6, 2008 with the participation of nine active bloggers.</w:t>
      </w:r>
      <w:r w:rsidRPr="00B24750">
        <w:rPr>
          <w:rStyle w:val="FootnoteReference"/>
          <w:rFonts w:asciiTheme="majorHAnsi" w:hAnsiTheme="majorHAnsi"/>
          <w:sz w:val="20"/>
          <w:szCs w:val="20"/>
        </w:rPr>
        <w:footnoteReference w:id="117"/>
      </w:r>
      <w:r w:rsidRPr="00B24750">
        <w:rPr>
          <w:rFonts w:asciiTheme="majorHAnsi" w:hAnsiTheme="majorHAnsi"/>
          <w:sz w:val="20"/>
          <w:szCs w:val="20"/>
        </w:rPr>
        <w:t xml:space="preserve"> The police told her, “</w:t>
      </w:r>
      <w:r w:rsidRPr="00B24750">
        <w:rPr>
          <w:rFonts w:asciiTheme="majorHAnsi" w:hAnsiTheme="majorHAnsi" w:cs="Times New Roman"/>
          <w:sz w:val="20"/>
          <w:szCs w:val="20"/>
        </w:rPr>
        <w:t xml:space="preserve">We want to warn you that you have exceeded all limits of tolerance with your </w:t>
      </w:r>
      <w:r w:rsidR="00B16C9D" w:rsidRPr="00B24750">
        <w:rPr>
          <w:rFonts w:asciiTheme="majorHAnsi" w:hAnsiTheme="majorHAnsi" w:cs="Times New Roman"/>
          <w:sz w:val="20"/>
          <w:szCs w:val="20"/>
        </w:rPr>
        <w:t>connections</w:t>
      </w:r>
      <w:r w:rsidRPr="00B24750">
        <w:rPr>
          <w:rFonts w:asciiTheme="majorHAnsi" w:hAnsiTheme="majorHAnsi" w:cs="Times New Roman"/>
          <w:sz w:val="20"/>
          <w:szCs w:val="20"/>
        </w:rPr>
        <w:t xml:space="preserve"> and contact with members of the counterrevolution. This disqualifies you from </w:t>
      </w:r>
      <w:r w:rsidR="00C362D1">
        <w:rPr>
          <w:rFonts w:asciiTheme="majorHAnsi" w:hAnsiTheme="majorHAnsi" w:cs="Times New Roman"/>
          <w:sz w:val="20"/>
          <w:szCs w:val="20"/>
        </w:rPr>
        <w:t xml:space="preserve">any </w:t>
      </w:r>
      <w:r w:rsidRPr="00B24750">
        <w:rPr>
          <w:rFonts w:asciiTheme="majorHAnsi" w:hAnsiTheme="majorHAnsi" w:cs="Times New Roman"/>
          <w:sz w:val="20"/>
          <w:szCs w:val="20"/>
        </w:rPr>
        <w:t xml:space="preserve">dialogue with the Cuban authorities. The activity planned for the next few days cannot be </w:t>
      </w:r>
      <w:r w:rsidR="00B16C9D" w:rsidRPr="00B24750">
        <w:rPr>
          <w:rFonts w:asciiTheme="majorHAnsi" w:hAnsiTheme="majorHAnsi" w:cs="Times New Roman"/>
          <w:sz w:val="20"/>
          <w:szCs w:val="20"/>
        </w:rPr>
        <w:t>held</w:t>
      </w:r>
      <w:r w:rsidRPr="00B24750">
        <w:rPr>
          <w:rFonts w:asciiTheme="majorHAnsi" w:hAnsiTheme="majorHAnsi" w:cs="Times New Roman"/>
          <w:sz w:val="20"/>
          <w:szCs w:val="20"/>
        </w:rPr>
        <w:t>. We</w:t>
      </w:r>
      <w:r w:rsidR="006E62A8">
        <w:rPr>
          <w:rFonts w:asciiTheme="majorHAnsi" w:hAnsiTheme="majorHAnsi" w:cs="Times New Roman"/>
          <w:sz w:val="20"/>
          <w:szCs w:val="20"/>
        </w:rPr>
        <w:t xml:space="preserve"> </w:t>
      </w:r>
      <w:r w:rsidRPr="00B24750">
        <w:rPr>
          <w:rFonts w:asciiTheme="majorHAnsi" w:hAnsiTheme="majorHAnsi" w:cs="Times New Roman"/>
          <w:sz w:val="20"/>
          <w:szCs w:val="20"/>
        </w:rPr>
        <w:t xml:space="preserve">will take all the </w:t>
      </w:r>
      <w:r w:rsidR="00B16C9D" w:rsidRPr="00B24750">
        <w:rPr>
          <w:rFonts w:asciiTheme="majorHAnsi" w:hAnsiTheme="majorHAnsi" w:cs="Times New Roman"/>
          <w:sz w:val="20"/>
          <w:szCs w:val="20"/>
        </w:rPr>
        <w:t>appropriate</w:t>
      </w:r>
      <w:r w:rsidRPr="00B24750">
        <w:rPr>
          <w:rFonts w:asciiTheme="majorHAnsi" w:hAnsiTheme="majorHAnsi" w:cs="Times New Roman"/>
          <w:sz w:val="20"/>
          <w:szCs w:val="20"/>
        </w:rPr>
        <w:t xml:space="preserve"> measures</w:t>
      </w:r>
      <w:r w:rsidR="00B16C9D" w:rsidRPr="00B24750">
        <w:rPr>
          <w:rFonts w:asciiTheme="majorHAnsi" w:hAnsiTheme="majorHAnsi" w:cs="Times New Roman"/>
          <w:sz w:val="20"/>
          <w:szCs w:val="20"/>
        </w:rPr>
        <w:t>,</w:t>
      </w:r>
      <w:r w:rsidRPr="00B24750">
        <w:rPr>
          <w:rFonts w:asciiTheme="majorHAnsi" w:hAnsiTheme="majorHAnsi" w:cs="Times New Roman"/>
          <w:sz w:val="20"/>
          <w:szCs w:val="20"/>
        </w:rPr>
        <w:t xml:space="preserve"> </w:t>
      </w:r>
      <w:r w:rsidR="00B16C9D" w:rsidRPr="00B24750">
        <w:rPr>
          <w:rFonts w:asciiTheme="majorHAnsi" w:hAnsiTheme="majorHAnsi" w:cs="Times New Roman"/>
          <w:sz w:val="20"/>
          <w:szCs w:val="20"/>
        </w:rPr>
        <w:t xml:space="preserve">file the </w:t>
      </w:r>
      <w:r w:rsidR="000E48AD">
        <w:rPr>
          <w:rFonts w:asciiTheme="majorHAnsi" w:hAnsiTheme="majorHAnsi" w:cs="Times New Roman"/>
          <w:sz w:val="20"/>
          <w:szCs w:val="20"/>
        </w:rPr>
        <w:t>respective</w:t>
      </w:r>
      <w:r w:rsidR="00B16C9D" w:rsidRPr="00B24750">
        <w:rPr>
          <w:rFonts w:asciiTheme="majorHAnsi" w:hAnsiTheme="majorHAnsi" w:cs="Times New Roman"/>
          <w:sz w:val="20"/>
          <w:szCs w:val="20"/>
        </w:rPr>
        <w:t xml:space="preserve"> reports,</w:t>
      </w:r>
      <w:r w:rsidRPr="00B24750">
        <w:rPr>
          <w:rFonts w:asciiTheme="majorHAnsi" w:hAnsiTheme="majorHAnsi" w:cs="Times New Roman"/>
          <w:sz w:val="20"/>
          <w:szCs w:val="20"/>
        </w:rPr>
        <w:t xml:space="preserve"> and take the necessary actions. This activity, </w:t>
      </w:r>
      <w:r w:rsidR="00B16C9D" w:rsidRPr="00B24750">
        <w:rPr>
          <w:rFonts w:asciiTheme="majorHAnsi" w:hAnsiTheme="majorHAnsi" w:cs="Times New Roman"/>
          <w:sz w:val="20"/>
          <w:szCs w:val="20"/>
        </w:rPr>
        <w:t>when</w:t>
      </w:r>
      <w:r w:rsidRPr="00B24750">
        <w:rPr>
          <w:rFonts w:asciiTheme="majorHAnsi" w:hAnsiTheme="majorHAnsi" w:cs="Times New Roman"/>
          <w:sz w:val="20"/>
          <w:szCs w:val="20"/>
        </w:rPr>
        <w:t xml:space="preserve"> the nation is </w:t>
      </w:r>
      <w:r w:rsidR="00B16C9D" w:rsidRPr="00B24750">
        <w:rPr>
          <w:rFonts w:asciiTheme="majorHAnsi" w:hAnsiTheme="majorHAnsi" w:cs="Times New Roman"/>
          <w:sz w:val="20"/>
          <w:szCs w:val="20"/>
        </w:rPr>
        <w:t>recovering</w:t>
      </w:r>
      <w:r w:rsidRPr="00B24750">
        <w:rPr>
          <w:rFonts w:asciiTheme="majorHAnsi" w:hAnsiTheme="majorHAnsi" w:cs="Times New Roman"/>
          <w:sz w:val="20"/>
          <w:szCs w:val="20"/>
        </w:rPr>
        <w:t xml:space="preserve"> from two hurricanes, will not be </w:t>
      </w:r>
      <w:r w:rsidRPr="00B24750">
        <w:rPr>
          <w:rFonts w:asciiTheme="majorHAnsi" w:hAnsiTheme="majorHAnsi" w:cs="Times New Roman"/>
          <w:sz w:val="20"/>
          <w:szCs w:val="20"/>
        </w:rPr>
        <w:lastRenderedPageBreak/>
        <w:t>allowed.”</w:t>
      </w:r>
      <w:r w:rsidRPr="00B24750">
        <w:rPr>
          <w:rStyle w:val="FootnoteReference"/>
          <w:rFonts w:asciiTheme="majorHAnsi" w:hAnsiTheme="majorHAnsi" w:cs="Times New Roman"/>
          <w:sz w:val="20"/>
          <w:szCs w:val="20"/>
        </w:rPr>
        <w:footnoteReference w:id="118"/>
      </w:r>
      <w:r w:rsidRPr="00B24750">
        <w:rPr>
          <w:rFonts w:asciiTheme="majorHAnsi" w:hAnsiTheme="majorHAnsi" w:cs="Times New Roman"/>
          <w:sz w:val="20"/>
          <w:szCs w:val="20"/>
        </w:rPr>
        <w:t xml:space="preserve"> </w:t>
      </w:r>
      <w:r w:rsidRPr="00B24750">
        <w:rPr>
          <w:rFonts w:asciiTheme="majorHAnsi" w:hAnsiTheme="majorHAnsi"/>
          <w:sz w:val="20"/>
          <w:szCs w:val="20"/>
        </w:rPr>
        <w:t xml:space="preserve">Based on the threats, the blogger organized the event online and without the inaugural public </w:t>
      </w:r>
      <w:r w:rsidR="00B16C9D" w:rsidRPr="00B24750">
        <w:rPr>
          <w:rFonts w:asciiTheme="majorHAnsi" w:hAnsiTheme="majorHAnsi"/>
          <w:sz w:val="20"/>
          <w:szCs w:val="20"/>
        </w:rPr>
        <w:t>meeting</w:t>
      </w:r>
      <w:r w:rsidRPr="00B24750">
        <w:rPr>
          <w:rFonts w:asciiTheme="majorHAnsi" w:hAnsiTheme="majorHAnsi"/>
          <w:sz w:val="20"/>
          <w:szCs w:val="20"/>
        </w:rPr>
        <w:t>.</w:t>
      </w:r>
      <w:r w:rsidRPr="00B24750">
        <w:rPr>
          <w:rStyle w:val="FootnoteReference"/>
          <w:rFonts w:asciiTheme="majorHAnsi" w:hAnsiTheme="majorHAnsi"/>
          <w:sz w:val="20"/>
          <w:szCs w:val="20"/>
        </w:rPr>
        <w:footnoteReference w:id="119"/>
      </w:r>
      <w:r w:rsidR="00B07F80" w:rsidRPr="00B24750">
        <w:rPr>
          <w:rFonts w:asciiTheme="majorHAnsi" w:hAnsiTheme="majorHAnsi"/>
          <w:sz w:val="20"/>
          <w:szCs w:val="20"/>
        </w:rPr>
        <w:t xml:space="preserve"> </w:t>
      </w:r>
    </w:p>
    <w:p w14:paraId="45977BA7" w14:textId="77777777" w:rsidR="00B07F80" w:rsidRPr="00B24750" w:rsidRDefault="00B07F80" w:rsidP="00B07F80">
      <w:pPr>
        <w:autoSpaceDE w:val="0"/>
        <w:autoSpaceDN w:val="0"/>
        <w:adjustRightInd w:val="0"/>
        <w:jc w:val="both"/>
        <w:rPr>
          <w:rFonts w:asciiTheme="majorHAnsi" w:hAnsiTheme="majorHAnsi"/>
          <w:sz w:val="20"/>
          <w:szCs w:val="20"/>
          <w:lang w:val="en-US"/>
        </w:rPr>
      </w:pPr>
    </w:p>
    <w:p w14:paraId="570392D6" w14:textId="441E93D0" w:rsidR="00B07F80" w:rsidRPr="00B24750" w:rsidRDefault="006B12C2"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At different times,</w:t>
      </w:r>
      <w:r w:rsidR="00177AF9" w:rsidRPr="00B24750">
        <w:rPr>
          <w:rFonts w:asciiTheme="majorHAnsi" w:hAnsiTheme="majorHAnsi"/>
          <w:sz w:val="20"/>
          <w:szCs w:val="20"/>
        </w:rPr>
        <w:t xml:space="preserve"> the alleged victim was subjected to censorship, harassment, personal attacks, direct threats, intimidation</w:t>
      </w:r>
      <w:r w:rsidRPr="00B24750">
        <w:rPr>
          <w:rFonts w:asciiTheme="majorHAnsi" w:hAnsiTheme="majorHAnsi"/>
          <w:sz w:val="20"/>
          <w:szCs w:val="20"/>
        </w:rPr>
        <w:t>,</w:t>
      </w:r>
      <w:r w:rsidR="00177AF9" w:rsidRPr="00B24750">
        <w:rPr>
          <w:rFonts w:asciiTheme="majorHAnsi" w:hAnsiTheme="majorHAnsi"/>
          <w:sz w:val="20"/>
          <w:szCs w:val="20"/>
        </w:rPr>
        <w:t xml:space="preserve"> and smear campaigns </w:t>
      </w:r>
      <w:r w:rsidRPr="00B24750">
        <w:rPr>
          <w:rFonts w:asciiTheme="majorHAnsi" w:hAnsiTheme="majorHAnsi"/>
          <w:sz w:val="20"/>
          <w:szCs w:val="20"/>
        </w:rPr>
        <w:t>on</w:t>
      </w:r>
      <w:r w:rsidR="00177AF9" w:rsidRPr="00B24750">
        <w:rPr>
          <w:rFonts w:asciiTheme="majorHAnsi" w:hAnsiTheme="majorHAnsi"/>
          <w:sz w:val="20"/>
          <w:szCs w:val="20"/>
        </w:rPr>
        <w:t xml:space="preserve"> television and the internet. For example: (</w:t>
      </w:r>
      <w:proofErr w:type="spellStart"/>
      <w:r w:rsidR="00177AF9" w:rsidRPr="00B24750">
        <w:rPr>
          <w:rFonts w:asciiTheme="majorHAnsi" w:hAnsiTheme="majorHAnsi"/>
          <w:sz w:val="20"/>
          <w:szCs w:val="20"/>
        </w:rPr>
        <w:t>i</w:t>
      </w:r>
      <w:proofErr w:type="spellEnd"/>
      <w:r w:rsidR="00177AF9" w:rsidRPr="00B24750">
        <w:rPr>
          <w:rFonts w:asciiTheme="majorHAnsi" w:hAnsiTheme="majorHAnsi"/>
          <w:sz w:val="20"/>
          <w:szCs w:val="20"/>
        </w:rPr>
        <w:t xml:space="preserve">) in March 2008, the State of Cuba </w:t>
      </w:r>
      <w:r w:rsidRPr="00B24750">
        <w:rPr>
          <w:rFonts w:asciiTheme="majorHAnsi" w:hAnsiTheme="majorHAnsi"/>
          <w:sz w:val="20"/>
          <w:szCs w:val="20"/>
        </w:rPr>
        <w:t>implemented web filtering</w:t>
      </w:r>
      <w:r w:rsidR="00177AF9" w:rsidRPr="00B24750">
        <w:rPr>
          <w:rFonts w:asciiTheme="majorHAnsi" w:hAnsiTheme="majorHAnsi"/>
          <w:sz w:val="20"/>
          <w:szCs w:val="20"/>
        </w:rPr>
        <w:t xml:space="preserve"> to </w:t>
      </w:r>
      <w:r w:rsidRPr="00B24750">
        <w:rPr>
          <w:rFonts w:asciiTheme="majorHAnsi" w:hAnsiTheme="majorHAnsi"/>
          <w:sz w:val="20"/>
          <w:szCs w:val="20"/>
        </w:rPr>
        <w:t>block</w:t>
      </w:r>
      <w:r w:rsidR="00177AF9" w:rsidRPr="00B24750">
        <w:rPr>
          <w:rFonts w:asciiTheme="majorHAnsi" w:hAnsiTheme="majorHAnsi"/>
          <w:sz w:val="20"/>
          <w:szCs w:val="20"/>
        </w:rPr>
        <w:t xml:space="preserve"> access to the </w:t>
      </w:r>
      <w:proofErr w:type="spellStart"/>
      <w:r w:rsidR="00177AF9" w:rsidRPr="00B24750">
        <w:rPr>
          <w:rFonts w:asciiTheme="majorHAnsi" w:hAnsiTheme="majorHAnsi"/>
          <w:i/>
          <w:iCs/>
          <w:sz w:val="20"/>
          <w:szCs w:val="20"/>
        </w:rPr>
        <w:t>Generación</w:t>
      </w:r>
      <w:proofErr w:type="spellEnd"/>
      <w:r w:rsidR="00177AF9" w:rsidRPr="00B24750">
        <w:rPr>
          <w:rFonts w:asciiTheme="majorHAnsi" w:hAnsiTheme="majorHAnsi"/>
          <w:i/>
          <w:iCs/>
          <w:sz w:val="20"/>
          <w:szCs w:val="20"/>
        </w:rPr>
        <w:t xml:space="preserve"> Y</w:t>
      </w:r>
      <w:r w:rsidR="00177AF9" w:rsidRPr="00B24750">
        <w:rPr>
          <w:rFonts w:asciiTheme="majorHAnsi" w:hAnsiTheme="majorHAnsi"/>
          <w:sz w:val="20"/>
          <w:szCs w:val="20"/>
        </w:rPr>
        <w:t xml:space="preserve"> blog </w:t>
      </w:r>
      <w:r w:rsidRPr="00B24750">
        <w:rPr>
          <w:rFonts w:asciiTheme="majorHAnsi" w:hAnsiTheme="majorHAnsi"/>
          <w:sz w:val="20"/>
          <w:szCs w:val="20"/>
        </w:rPr>
        <w:t xml:space="preserve">from </w:t>
      </w:r>
      <w:r w:rsidR="00177AF9" w:rsidRPr="00B24750">
        <w:rPr>
          <w:rFonts w:asciiTheme="majorHAnsi" w:hAnsiTheme="majorHAnsi"/>
          <w:sz w:val="20"/>
          <w:szCs w:val="20"/>
        </w:rPr>
        <w:t>within the country</w:t>
      </w:r>
      <w:r w:rsidRPr="00B24750">
        <w:rPr>
          <w:rFonts w:asciiTheme="majorHAnsi" w:hAnsiTheme="majorHAnsi"/>
          <w:sz w:val="20"/>
          <w:szCs w:val="20"/>
        </w:rPr>
        <w:t>;</w:t>
      </w:r>
      <w:r w:rsidR="00177AF9" w:rsidRPr="00B24750">
        <w:rPr>
          <w:rStyle w:val="FootnoteReference"/>
          <w:rFonts w:asciiTheme="majorHAnsi" w:hAnsiTheme="majorHAnsi"/>
          <w:sz w:val="20"/>
          <w:szCs w:val="20"/>
        </w:rPr>
        <w:footnoteReference w:id="120"/>
      </w:r>
      <w:r w:rsidR="00177AF9" w:rsidRPr="00B24750">
        <w:rPr>
          <w:rFonts w:asciiTheme="majorHAnsi" w:hAnsiTheme="majorHAnsi"/>
          <w:sz w:val="20"/>
          <w:szCs w:val="20"/>
        </w:rPr>
        <w:t xml:space="preserve"> (ii) in 2009, representatives of the Cuban regime approached </w:t>
      </w:r>
      <w:r w:rsidRPr="00B24750">
        <w:rPr>
          <w:rFonts w:asciiTheme="majorHAnsi" w:hAnsiTheme="majorHAnsi"/>
          <w:sz w:val="20"/>
          <w:szCs w:val="20"/>
        </w:rPr>
        <w:t>one of</w:t>
      </w:r>
      <w:r w:rsidR="00177AF9" w:rsidRPr="00B24750">
        <w:rPr>
          <w:rFonts w:asciiTheme="majorHAnsi" w:hAnsiTheme="majorHAnsi"/>
          <w:sz w:val="20"/>
          <w:szCs w:val="20"/>
        </w:rPr>
        <w:t xml:space="preserve"> the alleged victim</w:t>
      </w:r>
      <w:r w:rsidRPr="00B24750">
        <w:rPr>
          <w:rFonts w:asciiTheme="majorHAnsi" w:hAnsiTheme="majorHAnsi"/>
          <w:sz w:val="20"/>
          <w:szCs w:val="20"/>
        </w:rPr>
        <w:t>’s</w:t>
      </w:r>
      <w:r w:rsidR="00177AF9" w:rsidRPr="00B24750">
        <w:rPr>
          <w:rFonts w:asciiTheme="majorHAnsi" w:hAnsiTheme="majorHAnsi"/>
          <w:sz w:val="20"/>
          <w:szCs w:val="20"/>
        </w:rPr>
        <w:t xml:space="preserve"> </w:t>
      </w:r>
      <w:r w:rsidRPr="00B24750">
        <w:rPr>
          <w:rFonts w:asciiTheme="majorHAnsi" w:hAnsiTheme="majorHAnsi"/>
          <w:sz w:val="20"/>
          <w:szCs w:val="20"/>
        </w:rPr>
        <w:t xml:space="preserve">friends </w:t>
      </w:r>
      <w:r w:rsidR="00177AF9" w:rsidRPr="00B24750">
        <w:rPr>
          <w:rFonts w:asciiTheme="majorHAnsi" w:hAnsiTheme="majorHAnsi"/>
          <w:sz w:val="20"/>
          <w:szCs w:val="20"/>
        </w:rPr>
        <w:t xml:space="preserve">and told him to warn </w:t>
      </w:r>
      <w:proofErr w:type="spellStart"/>
      <w:r w:rsidR="00177AF9" w:rsidRPr="00B24750">
        <w:rPr>
          <w:rFonts w:asciiTheme="majorHAnsi" w:hAnsiTheme="majorHAnsi"/>
          <w:sz w:val="20"/>
          <w:szCs w:val="20"/>
        </w:rPr>
        <w:t>Yoani</w:t>
      </w:r>
      <w:proofErr w:type="spellEnd"/>
      <w:r w:rsidR="00177AF9" w:rsidRPr="00B24750">
        <w:rPr>
          <w:rFonts w:asciiTheme="majorHAnsi" w:hAnsiTheme="majorHAnsi"/>
          <w:sz w:val="20"/>
          <w:szCs w:val="20"/>
        </w:rPr>
        <w:t xml:space="preserve"> </w:t>
      </w:r>
      <w:r w:rsidRPr="00B24750">
        <w:rPr>
          <w:rFonts w:asciiTheme="majorHAnsi" w:hAnsiTheme="majorHAnsi"/>
          <w:sz w:val="20"/>
          <w:szCs w:val="20"/>
        </w:rPr>
        <w:t>“</w:t>
      </w:r>
      <w:r w:rsidR="00177AF9" w:rsidRPr="00B24750">
        <w:rPr>
          <w:rFonts w:asciiTheme="majorHAnsi" w:hAnsiTheme="majorHAnsi"/>
          <w:sz w:val="20"/>
          <w:szCs w:val="20"/>
        </w:rPr>
        <w:t>to shut up</w:t>
      </w:r>
      <w:r w:rsidRPr="00B24750">
        <w:rPr>
          <w:rFonts w:asciiTheme="majorHAnsi" w:hAnsiTheme="majorHAnsi"/>
          <w:sz w:val="20"/>
          <w:szCs w:val="20"/>
        </w:rPr>
        <w:t>”;</w:t>
      </w:r>
      <w:r w:rsidR="00177AF9" w:rsidRPr="00B24750">
        <w:rPr>
          <w:rStyle w:val="FootnoteReference"/>
          <w:rFonts w:asciiTheme="majorHAnsi" w:hAnsiTheme="majorHAnsi"/>
          <w:sz w:val="20"/>
          <w:szCs w:val="20"/>
        </w:rPr>
        <w:footnoteReference w:id="121"/>
      </w:r>
      <w:r w:rsidR="00177AF9" w:rsidRPr="00B24750">
        <w:rPr>
          <w:rFonts w:asciiTheme="majorHAnsi" w:hAnsiTheme="majorHAnsi"/>
          <w:sz w:val="20"/>
          <w:szCs w:val="20"/>
        </w:rPr>
        <w:t xml:space="preserve"> (iii) in February 2011, </w:t>
      </w:r>
      <w:proofErr w:type="spellStart"/>
      <w:r w:rsidR="00177AF9" w:rsidRPr="00B24750">
        <w:rPr>
          <w:rFonts w:asciiTheme="majorHAnsi" w:hAnsiTheme="majorHAnsi"/>
          <w:sz w:val="20"/>
          <w:szCs w:val="20"/>
        </w:rPr>
        <w:t>Yoani</w:t>
      </w:r>
      <w:proofErr w:type="spellEnd"/>
      <w:r w:rsidR="00177AF9" w:rsidRPr="00B24750">
        <w:rPr>
          <w:rFonts w:asciiTheme="majorHAnsi" w:hAnsiTheme="majorHAnsi"/>
          <w:sz w:val="20"/>
          <w:szCs w:val="20"/>
        </w:rPr>
        <w:t xml:space="preserve"> broadcast a video </w:t>
      </w:r>
      <w:r w:rsidRPr="00B24750">
        <w:rPr>
          <w:rFonts w:asciiTheme="majorHAnsi" w:hAnsiTheme="majorHAnsi"/>
          <w:sz w:val="20"/>
          <w:szCs w:val="20"/>
        </w:rPr>
        <w:t>about</w:t>
      </w:r>
      <w:r w:rsidR="00177AF9" w:rsidRPr="00B24750">
        <w:rPr>
          <w:rFonts w:asciiTheme="majorHAnsi" w:hAnsiTheme="majorHAnsi"/>
          <w:sz w:val="20"/>
          <w:szCs w:val="20"/>
        </w:rPr>
        <w:t xml:space="preserve"> the cyber fight against Cuban dissid</w:t>
      </w:r>
      <w:r w:rsidRPr="00B24750">
        <w:rPr>
          <w:rFonts w:asciiTheme="majorHAnsi" w:hAnsiTheme="majorHAnsi"/>
          <w:sz w:val="20"/>
          <w:szCs w:val="20"/>
        </w:rPr>
        <w:t xml:space="preserve">ents </w:t>
      </w:r>
      <w:r w:rsidR="00177AF9" w:rsidRPr="00B24750">
        <w:rPr>
          <w:rFonts w:asciiTheme="majorHAnsi" w:hAnsiTheme="majorHAnsi"/>
          <w:sz w:val="20"/>
          <w:szCs w:val="20"/>
        </w:rPr>
        <w:t xml:space="preserve">in which a counter-intelligence officer </w:t>
      </w:r>
      <w:r w:rsidR="00B82B19" w:rsidRPr="00B24750">
        <w:rPr>
          <w:rFonts w:asciiTheme="majorHAnsi" w:hAnsiTheme="majorHAnsi"/>
          <w:sz w:val="20"/>
          <w:szCs w:val="20"/>
        </w:rPr>
        <w:t>provided</w:t>
      </w:r>
      <w:r w:rsidR="00177AF9" w:rsidRPr="00B24750">
        <w:rPr>
          <w:rFonts w:asciiTheme="majorHAnsi" w:hAnsiTheme="majorHAnsi"/>
          <w:sz w:val="20"/>
          <w:szCs w:val="20"/>
        </w:rPr>
        <w:t xml:space="preserve"> guidance to the military audience on how to neutralize the impact of the alternative blogosphere </w:t>
      </w:r>
      <w:r w:rsidR="00B82B19" w:rsidRPr="00B24750">
        <w:rPr>
          <w:rFonts w:asciiTheme="majorHAnsi" w:hAnsiTheme="majorHAnsi"/>
          <w:sz w:val="20"/>
          <w:szCs w:val="20"/>
        </w:rPr>
        <w:t>on</w:t>
      </w:r>
      <w:r w:rsidR="00177AF9" w:rsidRPr="00B24750">
        <w:rPr>
          <w:rFonts w:asciiTheme="majorHAnsi" w:hAnsiTheme="majorHAnsi"/>
          <w:sz w:val="20"/>
          <w:szCs w:val="20"/>
        </w:rPr>
        <w:t xml:space="preserve"> the Cuban regime, with special mention of journalist</w:t>
      </w:r>
      <w:r w:rsidR="00B82B19" w:rsidRPr="00B24750">
        <w:rPr>
          <w:rFonts w:asciiTheme="majorHAnsi" w:hAnsiTheme="majorHAnsi"/>
          <w:sz w:val="20"/>
          <w:szCs w:val="20"/>
        </w:rPr>
        <w:t xml:space="preserve"> </w:t>
      </w:r>
      <w:proofErr w:type="spellStart"/>
      <w:r w:rsidR="00B82B19" w:rsidRPr="00B24750">
        <w:rPr>
          <w:rFonts w:asciiTheme="majorHAnsi" w:hAnsiTheme="majorHAnsi"/>
          <w:sz w:val="20"/>
          <w:szCs w:val="20"/>
        </w:rPr>
        <w:t>Yoani</w:t>
      </w:r>
      <w:proofErr w:type="spellEnd"/>
      <w:r w:rsidR="00B82B19" w:rsidRPr="00B24750">
        <w:rPr>
          <w:rFonts w:asciiTheme="majorHAnsi" w:hAnsiTheme="majorHAnsi"/>
          <w:sz w:val="20"/>
          <w:szCs w:val="20"/>
        </w:rPr>
        <w:t xml:space="preserve"> Sánchez</w:t>
      </w:r>
      <w:r w:rsidR="00177AF9" w:rsidRPr="00B24750">
        <w:rPr>
          <w:rFonts w:asciiTheme="majorHAnsi" w:hAnsiTheme="majorHAnsi"/>
          <w:sz w:val="20"/>
          <w:szCs w:val="20"/>
        </w:rPr>
        <w:t xml:space="preserve">, and </w:t>
      </w:r>
      <w:r w:rsidR="00B82B19" w:rsidRPr="00B24750">
        <w:rPr>
          <w:rFonts w:asciiTheme="majorHAnsi" w:hAnsiTheme="majorHAnsi"/>
          <w:sz w:val="20"/>
          <w:szCs w:val="20"/>
        </w:rPr>
        <w:t>discussed</w:t>
      </w:r>
      <w:r w:rsidR="00177AF9" w:rsidRPr="00B24750">
        <w:rPr>
          <w:rFonts w:asciiTheme="majorHAnsi" w:hAnsiTheme="majorHAnsi"/>
          <w:sz w:val="20"/>
          <w:szCs w:val="20"/>
        </w:rPr>
        <w:t xml:space="preserve"> the creation of a State </w:t>
      </w:r>
      <w:r w:rsidR="00B82B19" w:rsidRPr="00B24750">
        <w:rPr>
          <w:rFonts w:asciiTheme="majorHAnsi" w:hAnsiTheme="majorHAnsi"/>
          <w:sz w:val="20"/>
          <w:szCs w:val="20"/>
        </w:rPr>
        <w:t>office</w:t>
      </w:r>
      <w:r w:rsidR="00177AF9" w:rsidRPr="00B24750">
        <w:rPr>
          <w:rFonts w:asciiTheme="majorHAnsi" w:hAnsiTheme="majorHAnsi"/>
          <w:sz w:val="20"/>
          <w:szCs w:val="20"/>
        </w:rPr>
        <w:t xml:space="preserve"> to combat independent bloggers in Cuba</w:t>
      </w:r>
      <w:r w:rsidR="00B82B19" w:rsidRPr="00B24750">
        <w:rPr>
          <w:rFonts w:asciiTheme="majorHAnsi" w:hAnsiTheme="majorHAnsi"/>
          <w:sz w:val="20"/>
          <w:szCs w:val="20"/>
        </w:rPr>
        <w:t>;</w:t>
      </w:r>
      <w:r w:rsidR="00177AF9" w:rsidRPr="00B24750">
        <w:rPr>
          <w:rStyle w:val="FootnoteReference"/>
          <w:rFonts w:asciiTheme="majorHAnsi" w:hAnsiTheme="majorHAnsi" w:cs="Times New Roman"/>
          <w:sz w:val="20"/>
          <w:szCs w:val="20"/>
        </w:rPr>
        <w:footnoteReference w:id="122"/>
      </w:r>
      <w:r w:rsidR="00177AF9" w:rsidRPr="00B24750">
        <w:rPr>
          <w:rFonts w:asciiTheme="majorHAnsi" w:hAnsiTheme="majorHAnsi"/>
          <w:sz w:val="20"/>
          <w:szCs w:val="20"/>
        </w:rPr>
        <w:t xml:space="preserve"> (iv) on official Cuban television, the journalist was described as a </w:t>
      </w:r>
      <w:r w:rsidR="00B82B19" w:rsidRPr="00B24750">
        <w:rPr>
          <w:rFonts w:asciiTheme="majorHAnsi" w:hAnsiTheme="majorHAnsi"/>
          <w:sz w:val="20"/>
          <w:szCs w:val="20"/>
        </w:rPr>
        <w:t>“</w:t>
      </w:r>
      <w:r w:rsidR="00177AF9" w:rsidRPr="00B24750">
        <w:rPr>
          <w:rFonts w:asciiTheme="majorHAnsi" w:hAnsiTheme="majorHAnsi"/>
          <w:sz w:val="20"/>
          <w:szCs w:val="20"/>
        </w:rPr>
        <w:t>public enemy</w:t>
      </w:r>
      <w:r w:rsidR="00B82B19" w:rsidRPr="00B24750">
        <w:rPr>
          <w:rFonts w:asciiTheme="majorHAnsi" w:hAnsiTheme="majorHAnsi"/>
          <w:sz w:val="20"/>
          <w:szCs w:val="20"/>
        </w:rPr>
        <w:t>,”</w:t>
      </w:r>
      <w:r w:rsidR="00177AF9" w:rsidRPr="00B24750">
        <w:rPr>
          <w:rFonts w:asciiTheme="majorHAnsi" w:hAnsiTheme="majorHAnsi"/>
          <w:sz w:val="20"/>
          <w:szCs w:val="20"/>
        </w:rPr>
        <w:t xml:space="preserve"> </w:t>
      </w:r>
      <w:r w:rsidR="00B82B19" w:rsidRPr="00B24750">
        <w:rPr>
          <w:rFonts w:asciiTheme="majorHAnsi" w:hAnsiTheme="majorHAnsi"/>
          <w:sz w:val="20"/>
          <w:szCs w:val="20"/>
        </w:rPr>
        <w:t>a “</w:t>
      </w:r>
      <w:r w:rsidR="00177AF9" w:rsidRPr="00B24750">
        <w:rPr>
          <w:rFonts w:asciiTheme="majorHAnsi" w:hAnsiTheme="majorHAnsi"/>
          <w:sz w:val="20"/>
          <w:szCs w:val="20"/>
        </w:rPr>
        <w:t>terrorist,</w:t>
      </w:r>
      <w:r w:rsidR="00B82B19" w:rsidRPr="00B24750">
        <w:rPr>
          <w:rFonts w:asciiTheme="majorHAnsi" w:hAnsiTheme="majorHAnsi"/>
          <w:sz w:val="20"/>
          <w:szCs w:val="20"/>
        </w:rPr>
        <w:t>”</w:t>
      </w:r>
      <w:r w:rsidR="00177AF9" w:rsidRPr="00B24750">
        <w:rPr>
          <w:rFonts w:asciiTheme="majorHAnsi" w:hAnsiTheme="majorHAnsi"/>
          <w:sz w:val="20"/>
          <w:szCs w:val="20"/>
        </w:rPr>
        <w:t xml:space="preserve"> </w:t>
      </w:r>
      <w:r w:rsidR="00B82B19" w:rsidRPr="00B24750">
        <w:rPr>
          <w:rFonts w:asciiTheme="majorHAnsi" w:hAnsiTheme="majorHAnsi"/>
          <w:sz w:val="20"/>
          <w:szCs w:val="20"/>
        </w:rPr>
        <w:t>“fake,”</w:t>
      </w:r>
      <w:r w:rsidR="00177AF9" w:rsidRPr="00B24750">
        <w:rPr>
          <w:rFonts w:asciiTheme="majorHAnsi" w:hAnsiTheme="majorHAnsi"/>
          <w:sz w:val="20"/>
          <w:szCs w:val="20"/>
        </w:rPr>
        <w:t xml:space="preserve"> </w:t>
      </w:r>
      <w:r w:rsidR="00E90081" w:rsidRPr="00B24750">
        <w:rPr>
          <w:rFonts w:asciiTheme="majorHAnsi" w:hAnsiTheme="majorHAnsi"/>
          <w:sz w:val="20"/>
          <w:szCs w:val="20"/>
        </w:rPr>
        <w:t xml:space="preserve">a </w:t>
      </w:r>
      <w:r w:rsidR="00B82B19" w:rsidRPr="00B24750">
        <w:rPr>
          <w:rFonts w:asciiTheme="majorHAnsi" w:hAnsiTheme="majorHAnsi"/>
          <w:sz w:val="20"/>
          <w:szCs w:val="20"/>
        </w:rPr>
        <w:t>“</w:t>
      </w:r>
      <w:r w:rsidR="00177AF9" w:rsidRPr="00B24750">
        <w:rPr>
          <w:rFonts w:asciiTheme="majorHAnsi" w:hAnsiTheme="majorHAnsi"/>
          <w:sz w:val="20"/>
          <w:szCs w:val="20"/>
        </w:rPr>
        <w:t>mercenary,</w:t>
      </w:r>
      <w:r w:rsidR="00B82B19" w:rsidRPr="00B24750">
        <w:rPr>
          <w:rFonts w:asciiTheme="majorHAnsi" w:hAnsiTheme="majorHAnsi"/>
          <w:sz w:val="20"/>
          <w:szCs w:val="20"/>
        </w:rPr>
        <w:t>”</w:t>
      </w:r>
      <w:r w:rsidR="00177AF9" w:rsidRPr="00B24750">
        <w:rPr>
          <w:rFonts w:asciiTheme="majorHAnsi" w:hAnsiTheme="majorHAnsi"/>
          <w:sz w:val="20"/>
          <w:szCs w:val="20"/>
        </w:rPr>
        <w:t xml:space="preserve"> </w:t>
      </w:r>
      <w:r w:rsidR="00B82B19" w:rsidRPr="00B24750">
        <w:rPr>
          <w:rFonts w:asciiTheme="majorHAnsi" w:hAnsiTheme="majorHAnsi"/>
          <w:sz w:val="20"/>
          <w:szCs w:val="20"/>
        </w:rPr>
        <w:t>and “</w:t>
      </w:r>
      <w:r w:rsidR="00177AF9" w:rsidRPr="00B24750">
        <w:rPr>
          <w:rFonts w:asciiTheme="majorHAnsi" w:hAnsiTheme="majorHAnsi"/>
          <w:sz w:val="20"/>
          <w:szCs w:val="20"/>
        </w:rPr>
        <w:t>trained by the Pentagon</w:t>
      </w:r>
      <w:r w:rsidR="00E90081" w:rsidRPr="00B24750">
        <w:rPr>
          <w:rFonts w:asciiTheme="majorHAnsi" w:hAnsiTheme="majorHAnsi"/>
          <w:sz w:val="20"/>
          <w:szCs w:val="20"/>
        </w:rPr>
        <w:t>,</w:t>
      </w:r>
      <w:r w:rsidR="00B82B19" w:rsidRPr="00B24750">
        <w:rPr>
          <w:rFonts w:asciiTheme="majorHAnsi" w:hAnsiTheme="majorHAnsi"/>
          <w:sz w:val="20"/>
          <w:szCs w:val="20"/>
        </w:rPr>
        <w:t>”</w:t>
      </w:r>
      <w:r w:rsidR="00E90081" w:rsidRPr="00B24750">
        <w:rPr>
          <w:rFonts w:asciiTheme="majorHAnsi" w:hAnsiTheme="majorHAnsi"/>
          <w:sz w:val="20"/>
          <w:szCs w:val="20"/>
        </w:rPr>
        <w:t xml:space="preserve"> and accused of “receiving support from the CIA of the United States.”</w:t>
      </w:r>
      <w:r w:rsidR="00177AF9" w:rsidRPr="00B24750">
        <w:rPr>
          <w:rStyle w:val="FootnoteReference"/>
          <w:rFonts w:asciiTheme="majorHAnsi" w:hAnsiTheme="majorHAnsi"/>
          <w:sz w:val="20"/>
          <w:szCs w:val="20"/>
        </w:rPr>
        <w:footnoteReference w:id="123"/>
      </w:r>
      <w:r w:rsidR="00177AF9" w:rsidRPr="00B24750">
        <w:rPr>
          <w:rFonts w:asciiTheme="majorHAnsi" w:hAnsiTheme="majorHAnsi"/>
          <w:sz w:val="20"/>
          <w:szCs w:val="20"/>
        </w:rPr>
        <w:t xml:space="preserve"> (v) on March 23, 2011, the report </w:t>
      </w:r>
      <w:r w:rsidR="00B82B19" w:rsidRPr="00B24750">
        <w:rPr>
          <w:rFonts w:asciiTheme="majorHAnsi" w:hAnsiTheme="majorHAnsi"/>
          <w:sz w:val="20"/>
          <w:szCs w:val="20"/>
        </w:rPr>
        <w:t>“</w:t>
      </w:r>
      <w:proofErr w:type="spellStart"/>
      <w:r w:rsidR="00177AF9" w:rsidRPr="00B24750">
        <w:rPr>
          <w:rFonts w:asciiTheme="majorHAnsi" w:hAnsiTheme="majorHAnsi"/>
          <w:i/>
          <w:iCs/>
          <w:sz w:val="20"/>
          <w:szCs w:val="20"/>
        </w:rPr>
        <w:t>Ciberguerra</w:t>
      </w:r>
      <w:proofErr w:type="spellEnd"/>
      <w:r w:rsidR="00B82B19" w:rsidRPr="00B24750">
        <w:rPr>
          <w:rFonts w:asciiTheme="majorHAnsi" w:hAnsiTheme="majorHAnsi"/>
          <w:sz w:val="20"/>
          <w:szCs w:val="20"/>
        </w:rPr>
        <w:t>” [Cyberwarfare]</w:t>
      </w:r>
      <w:r w:rsidR="00177AF9" w:rsidRPr="00B24750">
        <w:rPr>
          <w:rFonts w:asciiTheme="majorHAnsi" w:hAnsiTheme="majorHAnsi"/>
          <w:sz w:val="20"/>
          <w:szCs w:val="20"/>
        </w:rPr>
        <w:t xml:space="preserve"> was published as part of the series </w:t>
      </w:r>
      <w:proofErr w:type="spellStart"/>
      <w:r w:rsidR="00177AF9" w:rsidRPr="00B24750">
        <w:rPr>
          <w:rFonts w:asciiTheme="majorHAnsi" w:hAnsiTheme="majorHAnsi"/>
          <w:i/>
          <w:iCs/>
          <w:sz w:val="20"/>
          <w:szCs w:val="20"/>
        </w:rPr>
        <w:t>Razones</w:t>
      </w:r>
      <w:proofErr w:type="spellEnd"/>
      <w:r w:rsidR="00177AF9" w:rsidRPr="00B24750">
        <w:rPr>
          <w:rFonts w:asciiTheme="majorHAnsi" w:hAnsiTheme="majorHAnsi"/>
          <w:i/>
          <w:iCs/>
          <w:sz w:val="20"/>
          <w:szCs w:val="20"/>
        </w:rPr>
        <w:t xml:space="preserve"> de Cuba</w:t>
      </w:r>
      <w:r w:rsidR="00177AF9" w:rsidRPr="00B24750">
        <w:rPr>
          <w:rFonts w:asciiTheme="majorHAnsi" w:hAnsiTheme="majorHAnsi"/>
          <w:sz w:val="20"/>
          <w:szCs w:val="20"/>
        </w:rPr>
        <w:t xml:space="preserve">, a program </w:t>
      </w:r>
      <w:r w:rsidR="00B82B19" w:rsidRPr="00B24750">
        <w:rPr>
          <w:rFonts w:asciiTheme="majorHAnsi" w:hAnsiTheme="majorHAnsi"/>
          <w:sz w:val="20"/>
          <w:szCs w:val="20"/>
        </w:rPr>
        <w:t>on</w:t>
      </w:r>
      <w:r w:rsidR="00177AF9" w:rsidRPr="00B24750">
        <w:rPr>
          <w:rFonts w:asciiTheme="majorHAnsi" w:hAnsiTheme="majorHAnsi"/>
          <w:sz w:val="20"/>
          <w:szCs w:val="20"/>
        </w:rPr>
        <w:t xml:space="preserve"> </w:t>
      </w:r>
      <w:r w:rsidR="00177AF9" w:rsidRPr="00B24750">
        <w:rPr>
          <w:rFonts w:asciiTheme="majorHAnsi" w:hAnsiTheme="majorHAnsi"/>
          <w:i/>
          <w:iCs/>
          <w:sz w:val="20"/>
          <w:szCs w:val="20"/>
        </w:rPr>
        <w:t xml:space="preserve">TV </w:t>
      </w:r>
      <w:proofErr w:type="spellStart"/>
      <w:r w:rsidR="00177AF9" w:rsidRPr="00B24750">
        <w:rPr>
          <w:rFonts w:asciiTheme="majorHAnsi" w:hAnsiTheme="majorHAnsi"/>
          <w:i/>
          <w:iCs/>
          <w:sz w:val="20"/>
          <w:szCs w:val="20"/>
        </w:rPr>
        <w:t>Cubana</w:t>
      </w:r>
      <w:proofErr w:type="spellEnd"/>
      <w:r w:rsidR="00B82B19" w:rsidRPr="00B24750">
        <w:rPr>
          <w:rFonts w:asciiTheme="majorHAnsi" w:hAnsiTheme="majorHAnsi"/>
          <w:sz w:val="20"/>
          <w:szCs w:val="20"/>
        </w:rPr>
        <w:t>.</w:t>
      </w:r>
      <w:r w:rsidR="00177AF9" w:rsidRPr="00B24750">
        <w:rPr>
          <w:rStyle w:val="FootnoteReference"/>
          <w:rFonts w:asciiTheme="majorHAnsi" w:hAnsiTheme="majorHAnsi" w:cs="Times New Roman"/>
          <w:sz w:val="20"/>
          <w:szCs w:val="20"/>
        </w:rPr>
        <w:footnoteReference w:id="124"/>
      </w:r>
      <w:r w:rsidR="00177AF9" w:rsidRPr="00B24750">
        <w:rPr>
          <w:rFonts w:asciiTheme="majorHAnsi" w:hAnsiTheme="majorHAnsi"/>
          <w:sz w:val="20"/>
          <w:szCs w:val="20"/>
        </w:rPr>
        <w:t xml:space="preserve"> </w:t>
      </w:r>
      <w:r w:rsidR="00B82B19" w:rsidRPr="00B24750">
        <w:rPr>
          <w:rFonts w:asciiTheme="majorHAnsi" w:hAnsiTheme="majorHAnsi"/>
          <w:sz w:val="20"/>
          <w:szCs w:val="20"/>
        </w:rPr>
        <w:t>The videos condemn</w:t>
      </w:r>
      <w:r w:rsidR="00177AF9" w:rsidRPr="00B24750">
        <w:rPr>
          <w:rFonts w:asciiTheme="majorHAnsi" w:hAnsiTheme="majorHAnsi"/>
          <w:sz w:val="20"/>
          <w:szCs w:val="20"/>
        </w:rPr>
        <w:t xml:space="preserve"> </w:t>
      </w:r>
      <w:r w:rsidR="00B82B19" w:rsidRPr="00B24750">
        <w:rPr>
          <w:rFonts w:asciiTheme="majorHAnsi" w:hAnsiTheme="majorHAnsi"/>
          <w:sz w:val="20"/>
          <w:szCs w:val="20"/>
        </w:rPr>
        <w:t>“</w:t>
      </w:r>
      <w:r w:rsidR="00177AF9" w:rsidRPr="00B24750">
        <w:rPr>
          <w:rFonts w:asciiTheme="majorHAnsi" w:hAnsiTheme="majorHAnsi"/>
          <w:sz w:val="20"/>
          <w:szCs w:val="20"/>
        </w:rPr>
        <w:t>cyber dissidents,</w:t>
      </w:r>
      <w:r w:rsidR="00B82B19" w:rsidRPr="00B24750">
        <w:rPr>
          <w:rFonts w:asciiTheme="majorHAnsi" w:hAnsiTheme="majorHAnsi"/>
          <w:sz w:val="20"/>
          <w:szCs w:val="20"/>
        </w:rPr>
        <w:t>”</w:t>
      </w:r>
      <w:r w:rsidR="00177AF9" w:rsidRPr="00B24750">
        <w:rPr>
          <w:rFonts w:asciiTheme="majorHAnsi" w:hAnsiTheme="majorHAnsi"/>
          <w:sz w:val="20"/>
          <w:szCs w:val="20"/>
        </w:rPr>
        <w:t xml:space="preserve"> including </w:t>
      </w:r>
      <w:proofErr w:type="spellStart"/>
      <w:r w:rsidR="00177AF9" w:rsidRPr="00B24750">
        <w:rPr>
          <w:rFonts w:asciiTheme="majorHAnsi" w:hAnsiTheme="majorHAnsi"/>
          <w:sz w:val="20"/>
          <w:szCs w:val="20"/>
        </w:rPr>
        <w:t>Yoani</w:t>
      </w:r>
      <w:proofErr w:type="spellEnd"/>
      <w:r w:rsidR="00177AF9" w:rsidRPr="00B24750">
        <w:rPr>
          <w:rFonts w:asciiTheme="majorHAnsi" w:hAnsiTheme="majorHAnsi"/>
          <w:sz w:val="20"/>
          <w:szCs w:val="20"/>
        </w:rPr>
        <w:t xml:space="preserve"> Sánchez and her blog </w:t>
      </w:r>
      <w:proofErr w:type="spellStart"/>
      <w:r w:rsidR="00177AF9" w:rsidRPr="00B24750">
        <w:rPr>
          <w:rFonts w:asciiTheme="majorHAnsi" w:hAnsiTheme="majorHAnsi"/>
          <w:i/>
          <w:iCs/>
          <w:sz w:val="20"/>
          <w:szCs w:val="20"/>
        </w:rPr>
        <w:t>Generación</w:t>
      </w:r>
      <w:proofErr w:type="spellEnd"/>
      <w:r w:rsidR="00177AF9" w:rsidRPr="00B24750">
        <w:rPr>
          <w:rFonts w:asciiTheme="majorHAnsi" w:hAnsiTheme="majorHAnsi"/>
          <w:i/>
          <w:iCs/>
          <w:sz w:val="20"/>
          <w:szCs w:val="20"/>
        </w:rPr>
        <w:t xml:space="preserve"> Y</w:t>
      </w:r>
      <w:r w:rsidR="00177AF9" w:rsidRPr="00B24750">
        <w:rPr>
          <w:rFonts w:asciiTheme="majorHAnsi" w:hAnsiTheme="majorHAnsi"/>
          <w:sz w:val="20"/>
          <w:szCs w:val="20"/>
        </w:rPr>
        <w:t xml:space="preserve">, </w:t>
      </w:r>
      <w:r w:rsidR="00B82B19" w:rsidRPr="00B24750">
        <w:rPr>
          <w:rFonts w:asciiTheme="majorHAnsi" w:hAnsiTheme="majorHAnsi"/>
          <w:sz w:val="20"/>
          <w:szCs w:val="20"/>
        </w:rPr>
        <w:t xml:space="preserve">characterizing their activities </w:t>
      </w:r>
      <w:r w:rsidR="00177AF9" w:rsidRPr="00B24750">
        <w:rPr>
          <w:rFonts w:asciiTheme="majorHAnsi" w:hAnsiTheme="majorHAnsi"/>
          <w:sz w:val="20"/>
          <w:szCs w:val="20"/>
        </w:rPr>
        <w:t>as tactic</w:t>
      </w:r>
      <w:r w:rsidR="00167281" w:rsidRPr="00B24750">
        <w:rPr>
          <w:rFonts w:asciiTheme="majorHAnsi" w:hAnsiTheme="majorHAnsi"/>
          <w:sz w:val="20"/>
          <w:szCs w:val="20"/>
        </w:rPr>
        <w:t>s</w:t>
      </w:r>
      <w:r w:rsidR="00177AF9" w:rsidRPr="00B24750">
        <w:rPr>
          <w:rFonts w:asciiTheme="majorHAnsi" w:hAnsiTheme="majorHAnsi"/>
          <w:sz w:val="20"/>
          <w:szCs w:val="20"/>
        </w:rPr>
        <w:t xml:space="preserve"> </w:t>
      </w:r>
      <w:r w:rsidR="00B82B19" w:rsidRPr="00B24750">
        <w:rPr>
          <w:rFonts w:asciiTheme="majorHAnsi" w:hAnsiTheme="majorHAnsi"/>
          <w:sz w:val="20"/>
          <w:szCs w:val="20"/>
        </w:rPr>
        <w:t>for destabilizing</w:t>
      </w:r>
      <w:r w:rsidR="00177AF9" w:rsidRPr="00B24750">
        <w:rPr>
          <w:rFonts w:asciiTheme="majorHAnsi" w:hAnsiTheme="majorHAnsi"/>
          <w:sz w:val="20"/>
          <w:szCs w:val="20"/>
        </w:rPr>
        <w:t xml:space="preserve"> the Cuban government and align</w:t>
      </w:r>
      <w:r w:rsidR="00B82B19" w:rsidRPr="00B24750">
        <w:rPr>
          <w:rFonts w:asciiTheme="majorHAnsi" w:hAnsiTheme="majorHAnsi"/>
          <w:sz w:val="20"/>
          <w:szCs w:val="20"/>
        </w:rPr>
        <w:t>ing</w:t>
      </w:r>
      <w:r w:rsidR="00177AF9" w:rsidRPr="00B24750">
        <w:rPr>
          <w:rFonts w:asciiTheme="majorHAnsi" w:hAnsiTheme="majorHAnsi"/>
          <w:sz w:val="20"/>
          <w:szCs w:val="20"/>
        </w:rPr>
        <w:t xml:space="preserve"> with the United States and Europe</w:t>
      </w:r>
      <w:r w:rsidR="00B82B19" w:rsidRPr="00B24750">
        <w:rPr>
          <w:rFonts w:asciiTheme="majorHAnsi" w:hAnsiTheme="majorHAnsi"/>
          <w:sz w:val="20"/>
          <w:szCs w:val="20"/>
        </w:rPr>
        <w:t>;</w:t>
      </w:r>
      <w:r w:rsidR="00177AF9" w:rsidRPr="00B24750">
        <w:rPr>
          <w:rFonts w:asciiTheme="majorHAnsi" w:hAnsiTheme="majorHAnsi"/>
          <w:sz w:val="20"/>
          <w:szCs w:val="20"/>
        </w:rPr>
        <w:t xml:space="preserve"> and (vi) on November 8, 2011, Mariela Castro, daughter of the </w:t>
      </w:r>
      <w:r w:rsidR="00B82B19" w:rsidRPr="00B24750">
        <w:rPr>
          <w:rFonts w:asciiTheme="majorHAnsi" w:hAnsiTheme="majorHAnsi"/>
          <w:sz w:val="20"/>
          <w:szCs w:val="20"/>
        </w:rPr>
        <w:t xml:space="preserve">then </w:t>
      </w:r>
      <w:r w:rsidR="00177AF9" w:rsidRPr="00B24750">
        <w:rPr>
          <w:rFonts w:asciiTheme="majorHAnsi" w:hAnsiTheme="majorHAnsi"/>
          <w:sz w:val="20"/>
          <w:szCs w:val="20"/>
        </w:rPr>
        <w:t xml:space="preserve">incumbent president, Raul Castro, used the social network Twitter to </w:t>
      </w:r>
      <w:r w:rsidR="00167281" w:rsidRPr="00B24750">
        <w:rPr>
          <w:rFonts w:asciiTheme="majorHAnsi" w:hAnsiTheme="majorHAnsi"/>
          <w:sz w:val="20"/>
          <w:szCs w:val="20"/>
        </w:rPr>
        <w:t>describe</w:t>
      </w:r>
      <w:r w:rsidR="00177AF9" w:rsidRPr="00B24750">
        <w:rPr>
          <w:rFonts w:asciiTheme="majorHAnsi" w:hAnsiTheme="majorHAnsi"/>
          <w:sz w:val="20"/>
          <w:szCs w:val="20"/>
        </w:rPr>
        <w:t xml:space="preserve"> the alleged victim and </w:t>
      </w:r>
      <w:r w:rsidR="00326956" w:rsidRPr="00B24750">
        <w:rPr>
          <w:rFonts w:asciiTheme="majorHAnsi" w:hAnsiTheme="majorHAnsi"/>
          <w:sz w:val="20"/>
          <w:szCs w:val="20"/>
        </w:rPr>
        <w:t xml:space="preserve">other </w:t>
      </w:r>
      <w:r w:rsidR="00177AF9" w:rsidRPr="00B24750">
        <w:rPr>
          <w:rFonts w:asciiTheme="majorHAnsi" w:hAnsiTheme="majorHAnsi"/>
          <w:sz w:val="20"/>
          <w:szCs w:val="20"/>
        </w:rPr>
        <w:t>dissidents</w:t>
      </w:r>
      <w:r w:rsidR="00167281" w:rsidRPr="00B24750">
        <w:rPr>
          <w:rFonts w:asciiTheme="majorHAnsi" w:hAnsiTheme="majorHAnsi"/>
          <w:sz w:val="20"/>
          <w:szCs w:val="20"/>
        </w:rPr>
        <w:t xml:space="preserve"> as</w:t>
      </w:r>
      <w:r w:rsidR="00177AF9" w:rsidRPr="00B24750">
        <w:rPr>
          <w:rFonts w:asciiTheme="majorHAnsi" w:hAnsiTheme="majorHAnsi"/>
          <w:sz w:val="20"/>
          <w:szCs w:val="20"/>
        </w:rPr>
        <w:t xml:space="preserve"> “despicable parasites.”</w:t>
      </w:r>
      <w:r w:rsidR="00177AF9" w:rsidRPr="00B24750">
        <w:rPr>
          <w:rStyle w:val="FootnoteReference"/>
          <w:rFonts w:asciiTheme="majorHAnsi" w:hAnsiTheme="majorHAnsi" w:cs="Times New Roman"/>
          <w:sz w:val="20"/>
          <w:szCs w:val="20"/>
        </w:rPr>
        <w:footnoteReference w:id="125"/>
      </w:r>
    </w:p>
    <w:p w14:paraId="0351DC4C" w14:textId="77777777" w:rsidR="00F11D6B" w:rsidRPr="00B24750" w:rsidRDefault="00F11D6B" w:rsidP="009D14E7">
      <w:pPr>
        <w:pStyle w:val="ListParagraph"/>
        <w:autoSpaceDE w:val="0"/>
        <w:autoSpaceDN w:val="0"/>
        <w:adjustRightInd w:val="0"/>
        <w:ind w:left="0"/>
        <w:jc w:val="both"/>
        <w:rPr>
          <w:rFonts w:asciiTheme="majorHAnsi" w:hAnsiTheme="majorHAnsi"/>
          <w:sz w:val="20"/>
          <w:szCs w:val="20"/>
        </w:rPr>
      </w:pPr>
    </w:p>
    <w:p w14:paraId="3F24FAE7" w14:textId="64195EEA" w:rsidR="00B07F80" w:rsidRPr="00B24750" w:rsidRDefault="004A59BE" w:rsidP="009D14E7">
      <w:pPr>
        <w:pStyle w:val="ListParagraph"/>
        <w:numPr>
          <w:ilvl w:val="0"/>
          <w:numId w:val="55"/>
        </w:numPr>
        <w:autoSpaceDE w:val="0"/>
        <w:autoSpaceDN w:val="0"/>
        <w:adjustRightInd w:val="0"/>
        <w:ind w:firstLine="0"/>
        <w:jc w:val="both"/>
        <w:rPr>
          <w:rFonts w:asciiTheme="majorHAnsi" w:hAnsiTheme="majorHAnsi" w:cs="Arial"/>
          <w:bCs/>
          <w:sz w:val="20"/>
          <w:szCs w:val="20"/>
        </w:rPr>
      </w:pPr>
      <w:r w:rsidRPr="00B24750">
        <w:rPr>
          <w:rFonts w:asciiTheme="majorHAnsi" w:hAnsiTheme="majorHAnsi" w:cs="Times New Roman"/>
          <w:sz w:val="20"/>
          <w:szCs w:val="20"/>
        </w:rPr>
        <w:t xml:space="preserve">On March 5, 2012, the video </w:t>
      </w:r>
      <w:r w:rsidR="00BA3070" w:rsidRPr="00B24750">
        <w:rPr>
          <w:rFonts w:asciiTheme="majorHAnsi" w:hAnsiTheme="majorHAnsi" w:cs="Times New Roman"/>
          <w:sz w:val="20"/>
          <w:szCs w:val="20"/>
        </w:rPr>
        <w:t>“</w:t>
      </w:r>
      <w:proofErr w:type="spellStart"/>
      <w:r w:rsidRPr="00B24750">
        <w:rPr>
          <w:rFonts w:asciiTheme="majorHAnsi" w:hAnsiTheme="majorHAnsi" w:cs="Times New Roman"/>
          <w:sz w:val="20"/>
          <w:szCs w:val="20"/>
        </w:rPr>
        <w:t>Yoani</w:t>
      </w:r>
      <w:proofErr w:type="spellEnd"/>
      <w:r w:rsidRPr="00B24750">
        <w:rPr>
          <w:rFonts w:asciiTheme="majorHAnsi" w:hAnsiTheme="majorHAnsi" w:cs="Times New Roman"/>
          <w:sz w:val="20"/>
          <w:szCs w:val="20"/>
        </w:rPr>
        <w:t xml:space="preserve"> Sánchez</w:t>
      </w:r>
      <w:r w:rsidR="00BA3070" w:rsidRPr="00B24750">
        <w:rPr>
          <w:rFonts w:asciiTheme="majorHAnsi" w:hAnsiTheme="majorHAnsi" w:cs="Times New Roman"/>
          <w:sz w:val="20"/>
          <w:szCs w:val="20"/>
        </w:rPr>
        <w:t>’</w:t>
      </w:r>
      <w:r w:rsidRPr="00B24750">
        <w:rPr>
          <w:rFonts w:asciiTheme="majorHAnsi" w:hAnsiTheme="majorHAnsi" w:cs="Times New Roman"/>
          <w:sz w:val="20"/>
          <w:szCs w:val="20"/>
        </w:rPr>
        <w:t>s fraud on Twitter does not reach the media</w:t>
      </w:r>
      <w:r w:rsidR="00BA3070" w:rsidRPr="00B24750">
        <w:rPr>
          <w:rFonts w:asciiTheme="majorHAnsi" w:hAnsiTheme="majorHAnsi" w:cs="Times New Roman"/>
          <w:sz w:val="20"/>
          <w:szCs w:val="20"/>
        </w:rPr>
        <w:t>”</w:t>
      </w:r>
      <w:r w:rsidRPr="00B24750">
        <w:rPr>
          <w:rFonts w:asciiTheme="majorHAnsi" w:hAnsiTheme="majorHAnsi" w:cs="Times New Roman"/>
          <w:sz w:val="20"/>
          <w:szCs w:val="20"/>
        </w:rPr>
        <w:t xml:space="preserve"> was also published by </w:t>
      </w:r>
      <w:r w:rsidRPr="00B24750">
        <w:rPr>
          <w:rFonts w:asciiTheme="majorHAnsi" w:hAnsiTheme="majorHAnsi" w:cs="Times New Roman"/>
          <w:i/>
          <w:iCs/>
          <w:sz w:val="20"/>
          <w:szCs w:val="20"/>
        </w:rPr>
        <w:t xml:space="preserve">Cuba </w:t>
      </w:r>
      <w:proofErr w:type="spellStart"/>
      <w:r w:rsidRPr="00B24750">
        <w:rPr>
          <w:rFonts w:asciiTheme="majorHAnsi" w:hAnsiTheme="majorHAnsi" w:cs="Times New Roman"/>
          <w:i/>
          <w:iCs/>
          <w:sz w:val="20"/>
          <w:szCs w:val="20"/>
        </w:rPr>
        <w:t>Información</w:t>
      </w:r>
      <w:proofErr w:type="spellEnd"/>
      <w:r w:rsidRPr="00B24750">
        <w:rPr>
          <w:rFonts w:asciiTheme="majorHAnsi" w:hAnsiTheme="majorHAnsi" w:cs="Times New Roman"/>
          <w:i/>
          <w:iCs/>
          <w:sz w:val="20"/>
          <w:szCs w:val="20"/>
        </w:rPr>
        <w:t xml:space="preserve"> TV</w:t>
      </w:r>
      <w:r w:rsidRPr="00B24750">
        <w:rPr>
          <w:rFonts w:asciiTheme="majorHAnsi" w:hAnsiTheme="majorHAnsi" w:cs="Times New Roman"/>
          <w:sz w:val="20"/>
          <w:szCs w:val="20"/>
        </w:rPr>
        <w:t xml:space="preserve"> on its </w:t>
      </w:r>
      <w:r w:rsidR="00157A82" w:rsidRPr="00B24750">
        <w:rPr>
          <w:rFonts w:asciiTheme="majorHAnsi" w:hAnsiTheme="majorHAnsi" w:cs="Times New Roman"/>
          <w:sz w:val="20"/>
          <w:szCs w:val="20"/>
        </w:rPr>
        <w:t>YouTube</w:t>
      </w:r>
      <w:r w:rsidRPr="00B24750">
        <w:rPr>
          <w:rFonts w:asciiTheme="majorHAnsi" w:hAnsiTheme="majorHAnsi" w:cs="Times New Roman"/>
          <w:sz w:val="20"/>
          <w:szCs w:val="20"/>
        </w:rPr>
        <w:t xml:space="preserve"> channel.</w:t>
      </w:r>
      <w:r w:rsidR="00B07F80" w:rsidRPr="00B24750">
        <w:rPr>
          <w:rStyle w:val="FootnoteReference"/>
          <w:rFonts w:asciiTheme="majorHAnsi" w:hAnsiTheme="majorHAnsi" w:cs="Arial"/>
          <w:bCs/>
          <w:sz w:val="20"/>
          <w:szCs w:val="20"/>
        </w:rPr>
        <w:footnoteReference w:id="126"/>
      </w:r>
      <w:r w:rsidR="00B07F80" w:rsidRPr="00B24750">
        <w:rPr>
          <w:rFonts w:asciiTheme="majorHAnsi" w:hAnsiTheme="majorHAnsi" w:cs="Arial"/>
          <w:bCs/>
          <w:sz w:val="20"/>
          <w:szCs w:val="20"/>
        </w:rPr>
        <w:t xml:space="preserve"> </w:t>
      </w:r>
      <w:r w:rsidR="00BA3070" w:rsidRPr="00B24750">
        <w:rPr>
          <w:rFonts w:asciiTheme="majorHAnsi" w:hAnsiTheme="majorHAnsi" w:cs="Arial"/>
          <w:bCs/>
          <w:sz w:val="20"/>
          <w:szCs w:val="20"/>
        </w:rPr>
        <w:t>The</w:t>
      </w:r>
      <w:r w:rsidRPr="00B24750">
        <w:rPr>
          <w:rFonts w:asciiTheme="majorHAnsi" w:hAnsiTheme="majorHAnsi" w:cs="Arial"/>
          <w:bCs/>
          <w:sz w:val="20"/>
          <w:szCs w:val="20"/>
        </w:rPr>
        <w:t xml:space="preserve"> video</w:t>
      </w:r>
      <w:r w:rsidR="00BA3070" w:rsidRPr="00B24750">
        <w:rPr>
          <w:rFonts w:asciiTheme="majorHAnsi" w:hAnsiTheme="majorHAnsi" w:cs="Arial"/>
          <w:bCs/>
          <w:sz w:val="20"/>
          <w:szCs w:val="20"/>
        </w:rPr>
        <w:t xml:space="preserve"> alleged</w:t>
      </w:r>
      <w:r w:rsidRPr="00B24750">
        <w:rPr>
          <w:rFonts w:asciiTheme="majorHAnsi" w:hAnsiTheme="majorHAnsi" w:cs="Arial"/>
          <w:bCs/>
          <w:sz w:val="20"/>
          <w:szCs w:val="20"/>
        </w:rPr>
        <w:t xml:space="preserve"> that more than </w:t>
      </w:r>
      <w:r w:rsidR="00BA3070" w:rsidRPr="00B24750">
        <w:rPr>
          <w:rFonts w:asciiTheme="majorHAnsi" w:hAnsiTheme="majorHAnsi" w:cs="Arial"/>
          <w:bCs/>
          <w:sz w:val="20"/>
          <w:szCs w:val="20"/>
        </w:rPr>
        <w:t>50,000</w:t>
      </w:r>
      <w:r w:rsidRPr="00B24750">
        <w:rPr>
          <w:rFonts w:asciiTheme="majorHAnsi" w:hAnsiTheme="majorHAnsi" w:cs="Arial"/>
          <w:bCs/>
          <w:sz w:val="20"/>
          <w:szCs w:val="20"/>
        </w:rPr>
        <w:t xml:space="preserve"> of </w:t>
      </w:r>
      <w:proofErr w:type="spellStart"/>
      <w:r w:rsidRPr="00B24750">
        <w:rPr>
          <w:rFonts w:asciiTheme="majorHAnsi" w:hAnsiTheme="majorHAnsi" w:cs="Arial"/>
          <w:bCs/>
          <w:sz w:val="20"/>
          <w:szCs w:val="20"/>
        </w:rPr>
        <w:t>Yoani</w:t>
      </w:r>
      <w:proofErr w:type="spellEnd"/>
      <w:r w:rsidRPr="00B24750">
        <w:rPr>
          <w:rFonts w:asciiTheme="majorHAnsi" w:hAnsiTheme="majorHAnsi" w:cs="Arial"/>
          <w:bCs/>
          <w:sz w:val="20"/>
          <w:szCs w:val="20"/>
        </w:rPr>
        <w:t xml:space="preserve"> Sánchez</w:t>
      </w:r>
      <w:r w:rsidR="00BA3070" w:rsidRPr="00B24750">
        <w:rPr>
          <w:rFonts w:asciiTheme="majorHAnsi" w:hAnsiTheme="majorHAnsi" w:cs="Arial"/>
          <w:bCs/>
          <w:sz w:val="20"/>
          <w:szCs w:val="20"/>
        </w:rPr>
        <w:t>’</w:t>
      </w:r>
      <w:r w:rsidRPr="00B24750">
        <w:rPr>
          <w:rFonts w:asciiTheme="majorHAnsi" w:hAnsiTheme="majorHAnsi" w:cs="Arial"/>
          <w:bCs/>
          <w:sz w:val="20"/>
          <w:szCs w:val="20"/>
        </w:rPr>
        <w:t xml:space="preserve">s followers were ghost accounts and that </w:t>
      </w:r>
      <w:r w:rsidR="00BA3070" w:rsidRPr="00B24750">
        <w:rPr>
          <w:rFonts w:asciiTheme="majorHAnsi" w:hAnsiTheme="majorHAnsi" w:cs="Arial"/>
          <w:bCs/>
          <w:sz w:val="20"/>
          <w:szCs w:val="20"/>
        </w:rPr>
        <w:t>she</w:t>
      </w:r>
      <w:r w:rsidRPr="00B24750">
        <w:rPr>
          <w:rFonts w:asciiTheme="majorHAnsi" w:hAnsiTheme="majorHAnsi" w:cs="Arial"/>
          <w:bCs/>
          <w:sz w:val="20"/>
          <w:szCs w:val="20"/>
        </w:rPr>
        <w:t xml:space="preserve"> was a political media figure</w:t>
      </w:r>
      <w:r w:rsidR="00BA3070" w:rsidRPr="00B24750">
        <w:rPr>
          <w:rFonts w:asciiTheme="majorHAnsi" w:hAnsiTheme="majorHAnsi" w:cs="Arial"/>
          <w:bCs/>
          <w:sz w:val="20"/>
          <w:szCs w:val="20"/>
        </w:rPr>
        <w:t xml:space="preserve"> with close ties to the United States,</w:t>
      </w:r>
      <w:r w:rsidRPr="00B24750">
        <w:rPr>
          <w:rFonts w:asciiTheme="majorHAnsi" w:hAnsiTheme="majorHAnsi" w:cs="Arial"/>
          <w:bCs/>
          <w:sz w:val="20"/>
          <w:szCs w:val="20"/>
        </w:rPr>
        <w:t xml:space="preserve"> created by the international bourgeoisie to discredit Cuba.</w:t>
      </w:r>
      <w:r w:rsidR="00B07F80" w:rsidRPr="00B24750">
        <w:rPr>
          <w:rStyle w:val="FootnoteReference"/>
          <w:rFonts w:asciiTheme="majorHAnsi" w:hAnsiTheme="majorHAnsi" w:cs="Arial"/>
          <w:bCs/>
          <w:sz w:val="20"/>
          <w:szCs w:val="20"/>
        </w:rPr>
        <w:footnoteReference w:id="127"/>
      </w:r>
      <w:r w:rsidR="00B07F80" w:rsidRPr="00B24750">
        <w:rPr>
          <w:rFonts w:asciiTheme="majorHAnsi" w:hAnsiTheme="majorHAnsi" w:cs="Arial"/>
          <w:bCs/>
          <w:sz w:val="20"/>
          <w:szCs w:val="20"/>
        </w:rPr>
        <w:t xml:space="preserve"> </w:t>
      </w:r>
      <w:r w:rsidR="00BA3070" w:rsidRPr="00B24750">
        <w:rPr>
          <w:rFonts w:asciiTheme="majorHAnsi" w:hAnsiTheme="majorHAnsi" w:cs="Arial"/>
          <w:bCs/>
          <w:sz w:val="20"/>
          <w:szCs w:val="20"/>
        </w:rPr>
        <w:t>It also claimed</w:t>
      </w:r>
      <w:r w:rsidRPr="00B24750">
        <w:rPr>
          <w:rFonts w:asciiTheme="majorHAnsi" w:hAnsiTheme="majorHAnsi" w:cs="Arial"/>
          <w:bCs/>
          <w:sz w:val="20"/>
          <w:szCs w:val="20"/>
        </w:rPr>
        <w:t xml:space="preserve"> that </w:t>
      </w:r>
      <w:proofErr w:type="spellStart"/>
      <w:r w:rsidRPr="00B24750">
        <w:rPr>
          <w:rFonts w:asciiTheme="majorHAnsi" w:hAnsiTheme="majorHAnsi" w:cs="Arial"/>
          <w:bCs/>
          <w:sz w:val="20"/>
          <w:szCs w:val="20"/>
        </w:rPr>
        <w:t>Yoani</w:t>
      </w:r>
      <w:proofErr w:type="spellEnd"/>
      <w:r w:rsidRPr="00B24750">
        <w:rPr>
          <w:rFonts w:asciiTheme="majorHAnsi" w:hAnsiTheme="majorHAnsi" w:cs="Arial"/>
          <w:bCs/>
          <w:sz w:val="20"/>
          <w:szCs w:val="20"/>
        </w:rPr>
        <w:t xml:space="preserve"> Sánchez was financed by the international opposition through prize money and that the content </w:t>
      </w:r>
      <w:r w:rsidR="00BA3070" w:rsidRPr="00B24750">
        <w:rPr>
          <w:rFonts w:asciiTheme="majorHAnsi" w:hAnsiTheme="majorHAnsi" w:cs="Arial"/>
          <w:bCs/>
          <w:sz w:val="20"/>
          <w:szCs w:val="20"/>
        </w:rPr>
        <w:t xml:space="preserve">she </w:t>
      </w:r>
      <w:r w:rsidRPr="00B24750">
        <w:rPr>
          <w:rFonts w:asciiTheme="majorHAnsi" w:hAnsiTheme="majorHAnsi" w:cs="Arial"/>
          <w:bCs/>
          <w:sz w:val="20"/>
          <w:szCs w:val="20"/>
        </w:rPr>
        <w:t>created was garbage.</w:t>
      </w:r>
      <w:r w:rsidR="00B07F80" w:rsidRPr="00B24750">
        <w:rPr>
          <w:rStyle w:val="FootnoteReference"/>
          <w:rFonts w:asciiTheme="majorHAnsi" w:hAnsiTheme="majorHAnsi" w:cs="Arial"/>
          <w:bCs/>
          <w:sz w:val="20"/>
          <w:szCs w:val="20"/>
        </w:rPr>
        <w:footnoteReference w:id="128"/>
      </w:r>
      <w:r w:rsidR="00B07F80" w:rsidRPr="00B24750">
        <w:rPr>
          <w:rFonts w:asciiTheme="majorHAnsi" w:hAnsiTheme="majorHAnsi" w:cs="Arial"/>
          <w:bCs/>
          <w:sz w:val="20"/>
          <w:szCs w:val="20"/>
        </w:rPr>
        <w:t xml:space="preserve"> </w:t>
      </w:r>
    </w:p>
    <w:p w14:paraId="08BA3D9F" w14:textId="77777777" w:rsidR="00B07F80" w:rsidRPr="00B24750" w:rsidRDefault="00B07F80" w:rsidP="009D14E7">
      <w:pPr>
        <w:autoSpaceDE w:val="0"/>
        <w:autoSpaceDN w:val="0"/>
        <w:adjustRightInd w:val="0"/>
        <w:jc w:val="both"/>
        <w:rPr>
          <w:rFonts w:asciiTheme="majorHAnsi" w:hAnsiTheme="majorHAnsi" w:cs="Arial"/>
          <w:bCs/>
          <w:sz w:val="20"/>
          <w:szCs w:val="20"/>
          <w:lang w:val="en-US"/>
        </w:rPr>
      </w:pPr>
    </w:p>
    <w:p w14:paraId="6BDABE19" w14:textId="1D455AD9" w:rsidR="00B07F80" w:rsidRPr="00B24750" w:rsidRDefault="00605762"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From June 21 to 23, 2012, the official government website published an article accusing the alleged victim of having “proven and systematic links to the United States government and its agents.”</w:t>
      </w:r>
      <w:r w:rsidRPr="00B24750">
        <w:rPr>
          <w:rStyle w:val="FootnoteReference"/>
          <w:rFonts w:asciiTheme="majorHAnsi" w:hAnsiTheme="majorHAnsi" w:cs="Times New Roman"/>
          <w:sz w:val="20"/>
          <w:szCs w:val="20"/>
        </w:rPr>
        <w:footnoteReference w:id="129"/>
      </w:r>
      <w:r w:rsidRPr="00B24750">
        <w:rPr>
          <w:rFonts w:asciiTheme="majorHAnsi" w:hAnsiTheme="majorHAnsi"/>
          <w:sz w:val="20"/>
          <w:szCs w:val="20"/>
        </w:rPr>
        <w:t xml:space="preserve"> </w:t>
      </w:r>
      <w:r w:rsidR="00DB7C90" w:rsidRPr="00B24750">
        <w:rPr>
          <w:rFonts w:asciiTheme="majorHAnsi" w:hAnsiTheme="majorHAnsi"/>
          <w:sz w:val="20"/>
          <w:szCs w:val="20"/>
        </w:rPr>
        <w:t>The</w:t>
      </w:r>
      <w:r w:rsidRPr="00B24750">
        <w:rPr>
          <w:rFonts w:asciiTheme="majorHAnsi" w:hAnsiTheme="majorHAnsi"/>
          <w:sz w:val="20"/>
          <w:szCs w:val="20"/>
        </w:rPr>
        <w:t xml:space="preserve"> petitioner</w:t>
      </w:r>
      <w:r w:rsidR="00DB7C90" w:rsidRPr="00B24750">
        <w:rPr>
          <w:rFonts w:asciiTheme="majorHAnsi" w:hAnsiTheme="majorHAnsi"/>
          <w:sz w:val="20"/>
          <w:szCs w:val="20"/>
        </w:rPr>
        <w:t xml:space="preserve">s also </w:t>
      </w:r>
      <w:r w:rsidRPr="00B24750">
        <w:rPr>
          <w:rFonts w:asciiTheme="majorHAnsi" w:hAnsiTheme="majorHAnsi"/>
          <w:sz w:val="20"/>
          <w:szCs w:val="20"/>
        </w:rPr>
        <w:t xml:space="preserve">indicated that on July 24 and 25, 2012, the </w:t>
      </w:r>
      <w:proofErr w:type="spellStart"/>
      <w:r w:rsidRPr="00B24750">
        <w:rPr>
          <w:rFonts w:asciiTheme="majorHAnsi" w:hAnsiTheme="majorHAnsi"/>
          <w:i/>
          <w:iCs/>
          <w:sz w:val="20"/>
          <w:szCs w:val="20"/>
        </w:rPr>
        <w:t>Cubavisión</w:t>
      </w:r>
      <w:proofErr w:type="spellEnd"/>
      <w:r w:rsidRPr="00B24750">
        <w:rPr>
          <w:rFonts w:asciiTheme="majorHAnsi" w:hAnsiTheme="majorHAnsi"/>
          <w:sz w:val="20"/>
          <w:szCs w:val="20"/>
        </w:rPr>
        <w:t xml:space="preserve"> channel </w:t>
      </w:r>
      <w:r w:rsidR="00DB7C90" w:rsidRPr="00B24750">
        <w:rPr>
          <w:rFonts w:asciiTheme="majorHAnsi" w:hAnsiTheme="majorHAnsi"/>
          <w:sz w:val="20"/>
          <w:szCs w:val="20"/>
        </w:rPr>
        <w:t>aired</w:t>
      </w:r>
      <w:r w:rsidRPr="00B24750">
        <w:rPr>
          <w:rFonts w:asciiTheme="majorHAnsi" w:hAnsiTheme="majorHAnsi"/>
          <w:sz w:val="20"/>
          <w:szCs w:val="20"/>
        </w:rPr>
        <w:t xml:space="preserve"> programs </w:t>
      </w:r>
      <w:r w:rsidR="00DB7C90" w:rsidRPr="00B24750">
        <w:rPr>
          <w:rFonts w:asciiTheme="majorHAnsi" w:hAnsiTheme="majorHAnsi"/>
          <w:sz w:val="20"/>
          <w:szCs w:val="20"/>
        </w:rPr>
        <w:t>attacking</w:t>
      </w:r>
      <w:r w:rsidRPr="00B24750">
        <w:rPr>
          <w:rFonts w:asciiTheme="majorHAnsi" w:hAnsiTheme="majorHAnsi"/>
          <w:sz w:val="20"/>
          <w:szCs w:val="20"/>
        </w:rPr>
        <w:t xml:space="preserve">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during prime time</w:t>
      </w:r>
      <w:r w:rsidRPr="00B24750">
        <w:rPr>
          <w:rFonts w:asciiTheme="majorHAnsi" w:hAnsiTheme="majorHAnsi" w:cs="Times New Roman"/>
          <w:sz w:val="20"/>
          <w:szCs w:val="20"/>
        </w:rPr>
        <w:t>.</w:t>
      </w:r>
      <w:r w:rsidRPr="00B24750">
        <w:rPr>
          <w:rStyle w:val="FootnoteReference"/>
          <w:rFonts w:asciiTheme="majorHAnsi" w:hAnsiTheme="majorHAnsi" w:cs="Times New Roman"/>
          <w:sz w:val="20"/>
          <w:szCs w:val="20"/>
        </w:rPr>
        <w:footnoteReference w:id="130"/>
      </w:r>
    </w:p>
    <w:p w14:paraId="41BBADE8" w14:textId="77777777" w:rsidR="00B07F80" w:rsidRPr="00B24750" w:rsidRDefault="00B07F80" w:rsidP="009D14E7">
      <w:pPr>
        <w:autoSpaceDE w:val="0"/>
        <w:autoSpaceDN w:val="0"/>
        <w:adjustRightInd w:val="0"/>
        <w:jc w:val="both"/>
        <w:rPr>
          <w:rFonts w:asciiTheme="majorHAnsi" w:hAnsiTheme="majorHAnsi"/>
          <w:sz w:val="20"/>
          <w:szCs w:val="20"/>
          <w:lang w:val="en-US"/>
        </w:rPr>
      </w:pPr>
    </w:p>
    <w:p w14:paraId="7A530CC9" w14:textId="7093D4C8" w:rsidR="00DB7C90" w:rsidRPr="00B24750" w:rsidRDefault="00F03085"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As</w:t>
      </w:r>
      <w:r w:rsidR="004B2325" w:rsidRPr="00B24750">
        <w:rPr>
          <w:rFonts w:asciiTheme="majorHAnsi" w:hAnsiTheme="majorHAnsi"/>
          <w:sz w:val="20"/>
          <w:szCs w:val="20"/>
        </w:rPr>
        <w:t xml:space="preserve"> of</w:t>
      </w:r>
      <w:r w:rsidR="00DB7C90" w:rsidRPr="00B24750">
        <w:rPr>
          <w:rFonts w:asciiTheme="majorHAnsi" w:hAnsiTheme="majorHAnsi"/>
          <w:sz w:val="20"/>
          <w:szCs w:val="20"/>
        </w:rPr>
        <w:t xml:space="preserve"> </w:t>
      </w:r>
      <w:r w:rsidR="004B2325" w:rsidRPr="00B24750">
        <w:rPr>
          <w:rFonts w:asciiTheme="majorHAnsi" w:hAnsiTheme="majorHAnsi"/>
          <w:sz w:val="20"/>
          <w:szCs w:val="20"/>
        </w:rPr>
        <w:t xml:space="preserve">the </w:t>
      </w:r>
      <w:r w:rsidR="00DB7C90" w:rsidRPr="00B24750">
        <w:rPr>
          <w:rFonts w:asciiTheme="majorHAnsi" w:hAnsiTheme="majorHAnsi"/>
          <w:sz w:val="20"/>
          <w:szCs w:val="20"/>
        </w:rPr>
        <w:t xml:space="preserve">filing </w:t>
      </w:r>
      <w:r w:rsidR="004B2325" w:rsidRPr="00B24750">
        <w:rPr>
          <w:rFonts w:asciiTheme="majorHAnsi" w:hAnsiTheme="majorHAnsi"/>
          <w:sz w:val="20"/>
          <w:szCs w:val="20"/>
        </w:rPr>
        <w:t xml:space="preserve">date </w:t>
      </w:r>
      <w:r w:rsidR="00DB7C90" w:rsidRPr="00B24750">
        <w:rPr>
          <w:rFonts w:asciiTheme="majorHAnsi" w:hAnsiTheme="majorHAnsi"/>
          <w:sz w:val="20"/>
          <w:szCs w:val="20"/>
        </w:rPr>
        <w:t xml:space="preserve">of the petition, the alleged victim </w:t>
      </w:r>
      <w:r w:rsidR="004B2325" w:rsidRPr="00B24750">
        <w:rPr>
          <w:rFonts w:asciiTheme="majorHAnsi" w:hAnsiTheme="majorHAnsi"/>
          <w:sz w:val="20"/>
          <w:szCs w:val="20"/>
        </w:rPr>
        <w:t>was barred from</w:t>
      </w:r>
      <w:r w:rsidR="00DB7C90" w:rsidRPr="00B24750">
        <w:rPr>
          <w:rFonts w:asciiTheme="majorHAnsi" w:hAnsiTheme="majorHAnsi"/>
          <w:sz w:val="20"/>
          <w:szCs w:val="20"/>
        </w:rPr>
        <w:t xml:space="preserve"> various public places where public speaking or cultural events </w:t>
      </w:r>
      <w:r w:rsidRPr="00B24750">
        <w:rPr>
          <w:rFonts w:asciiTheme="majorHAnsi" w:hAnsiTheme="majorHAnsi"/>
          <w:sz w:val="20"/>
          <w:szCs w:val="20"/>
        </w:rPr>
        <w:t>we</w:t>
      </w:r>
      <w:r w:rsidR="00DB7C90" w:rsidRPr="00B24750">
        <w:rPr>
          <w:rFonts w:asciiTheme="majorHAnsi" w:hAnsiTheme="majorHAnsi"/>
          <w:sz w:val="20"/>
          <w:szCs w:val="20"/>
        </w:rPr>
        <w:t>re held</w:t>
      </w:r>
      <w:r w:rsidRPr="00B24750">
        <w:rPr>
          <w:rFonts w:asciiTheme="majorHAnsi" w:hAnsiTheme="majorHAnsi"/>
          <w:sz w:val="20"/>
          <w:szCs w:val="20"/>
        </w:rPr>
        <w:t>,</w:t>
      </w:r>
      <w:r w:rsidR="00DB7C90" w:rsidRPr="00B24750">
        <w:rPr>
          <w:rFonts w:asciiTheme="majorHAnsi" w:hAnsiTheme="majorHAnsi"/>
          <w:sz w:val="20"/>
          <w:szCs w:val="20"/>
        </w:rPr>
        <w:t xml:space="preserve"> </w:t>
      </w:r>
      <w:r w:rsidR="00E45995" w:rsidRPr="00B24750">
        <w:rPr>
          <w:rFonts w:asciiTheme="majorHAnsi" w:hAnsiTheme="majorHAnsi"/>
          <w:sz w:val="20"/>
          <w:szCs w:val="20"/>
        </w:rPr>
        <w:t>having been</w:t>
      </w:r>
      <w:r w:rsidRPr="00B24750">
        <w:rPr>
          <w:rFonts w:asciiTheme="majorHAnsi" w:hAnsiTheme="majorHAnsi"/>
          <w:sz w:val="20"/>
          <w:szCs w:val="20"/>
        </w:rPr>
        <w:t xml:space="preserve"> </w:t>
      </w:r>
      <w:r w:rsidR="004B2325" w:rsidRPr="00B24750">
        <w:rPr>
          <w:rFonts w:asciiTheme="majorHAnsi" w:hAnsiTheme="majorHAnsi"/>
          <w:sz w:val="20"/>
          <w:szCs w:val="20"/>
        </w:rPr>
        <w:t>denied</w:t>
      </w:r>
      <w:r w:rsidR="00DB7C90" w:rsidRPr="00B24750">
        <w:rPr>
          <w:rFonts w:asciiTheme="majorHAnsi" w:hAnsiTheme="majorHAnsi"/>
          <w:sz w:val="20"/>
          <w:szCs w:val="20"/>
        </w:rPr>
        <w:t xml:space="preserve"> access by agents of the State</w:t>
      </w:r>
      <w:r w:rsidRPr="00B24750">
        <w:rPr>
          <w:rFonts w:asciiTheme="majorHAnsi" w:hAnsiTheme="majorHAnsi"/>
          <w:sz w:val="20"/>
          <w:szCs w:val="20"/>
        </w:rPr>
        <w:t xml:space="preserve"> </w:t>
      </w:r>
      <w:r w:rsidR="00DB7C90" w:rsidRPr="00B24750">
        <w:rPr>
          <w:rFonts w:asciiTheme="majorHAnsi" w:hAnsiTheme="majorHAnsi"/>
          <w:sz w:val="20"/>
          <w:szCs w:val="20"/>
        </w:rPr>
        <w:t>with the acquiescence of the police.</w:t>
      </w:r>
      <w:r w:rsidR="00DB7C90" w:rsidRPr="00B24750">
        <w:rPr>
          <w:rStyle w:val="FootnoteReference"/>
          <w:rFonts w:asciiTheme="majorHAnsi" w:hAnsiTheme="majorHAnsi" w:cs="Times New Roman"/>
          <w:sz w:val="20"/>
          <w:szCs w:val="20"/>
        </w:rPr>
        <w:footnoteReference w:id="131"/>
      </w:r>
    </w:p>
    <w:p w14:paraId="03C82848" w14:textId="77777777" w:rsidR="005D249D" w:rsidRPr="00B24750" w:rsidRDefault="005D249D" w:rsidP="005F7FE2">
      <w:pPr>
        <w:autoSpaceDE w:val="0"/>
        <w:autoSpaceDN w:val="0"/>
        <w:adjustRightInd w:val="0"/>
        <w:jc w:val="both"/>
        <w:rPr>
          <w:rFonts w:asciiTheme="majorHAnsi" w:hAnsiTheme="majorHAnsi"/>
          <w:sz w:val="20"/>
          <w:szCs w:val="20"/>
          <w:lang w:val="en-US"/>
        </w:rPr>
      </w:pPr>
    </w:p>
    <w:p w14:paraId="44AB5D3B" w14:textId="1334B52B" w:rsidR="00061170" w:rsidRPr="00B24750" w:rsidRDefault="00605762" w:rsidP="009D14E7">
      <w:pPr>
        <w:pStyle w:val="Heading1"/>
      </w:pPr>
      <w:bookmarkStart w:id="22" w:name="_Toc90392474"/>
      <w:r w:rsidRPr="00B24750">
        <w:lastRenderedPageBreak/>
        <w:t>LEGAL ANALYSIS</w:t>
      </w:r>
      <w:bookmarkEnd w:id="22"/>
    </w:p>
    <w:p w14:paraId="70F119C6" w14:textId="18D50DB0" w:rsidR="005D249D" w:rsidRPr="00B24750" w:rsidRDefault="005D249D" w:rsidP="002513E3">
      <w:pPr>
        <w:jc w:val="both"/>
        <w:rPr>
          <w:rFonts w:asciiTheme="majorHAnsi" w:hAnsiTheme="majorHAnsi"/>
          <w:sz w:val="20"/>
          <w:szCs w:val="20"/>
          <w:lang w:val="en-US"/>
        </w:rPr>
      </w:pPr>
    </w:p>
    <w:p w14:paraId="68BE2743" w14:textId="67FCEE23" w:rsidR="00245102" w:rsidRPr="00B24750" w:rsidRDefault="00A55F08"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bdr w:val="none" w:sz="0" w:space="0" w:color="auto"/>
        </w:rPr>
        <w:t xml:space="preserve">As established in the findings of fact, </w:t>
      </w:r>
      <w:proofErr w:type="spellStart"/>
      <w:r w:rsidRPr="00B24750">
        <w:rPr>
          <w:rFonts w:asciiTheme="majorHAnsi" w:hAnsiTheme="majorHAnsi"/>
          <w:sz w:val="20"/>
          <w:szCs w:val="20"/>
          <w:bdr w:val="none" w:sz="0" w:space="0" w:color="auto"/>
        </w:rPr>
        <w:t>Yoani</w:t>
      </w:r>
      <w:proofErr w:type="spellEnd"/>
      <w:r w:rsidRPr="00B24750">
        <w:rPr>
          <w:rFonts w:asciiTheme="majorHAnsi" w:hAnsiTheme="majorHAnsi"/>
          <w:sz w:val="20"/>
          <w:szCs w:val="20"/>
          <w:bdr w:val="none" w:sz="0" w:space="0" w:color="auto"/>
        </w:rPr>
        <w:t xml:space="preserve"> Sánchez Cordero is a journalist and blogger who is well-known in Cuba and internationally. Through her journalistic work and her blog</w:t>
      </w:r>
      <w:r w:rsidR="00D25B84">
        <w:rPr>
          <w:rFonts w:asciiTheme="majorHAnsi" w:hAnsiTheme="majorHAnsi"/>
          <w:sz w:val="20"/>
          <w:szCs w:val="20"/>
          <w:bdr w:val="none" w:sz="0" w:space="0" w:color="auto"/>
        </w:rPr>
        <w:t>,</w:t>
      </w:r>
      <w:r w:rsidRPr="00B24750">
        <w:rPr>
          <w:rFonts w:asciiTheme="majorHAnsi" w:hAnsiTheme="majorHAnsi"/>
          <w:sz w:val="20"/>
          <w:szCs w:val="20"/>
          <w:bdr w:val="none" w:sz="0" w:space="0" w:color="auto"/>
        </w:rPr>
        <w:t xml:space="preserve"> </w:t>
      </w:r>
      <w:proofErr w:type="spellStart"/>
      <w:r w:rsidRPr="00B24750">
        <w:rPr>
          <w:rFonts w:asciiTheme="majorHAnsi" w:hAnsiTheme="majorHAnsi"/>
          <w:i/>
          <w:iCs/>
          <w:sz w:val="20"/>
          <w:szCs w:val="20"/>
          <w:bdr w:val="none" w:sz="0" w:space="0" w:color="auto"/>
        </w:rPr>
        <w:t>Generación</w:t>
      </w:r>
      <w:proofErr w:type="spellEnd"/>
      <w:r w:rsidRPr="00B24750">
        <w:rPr>
          <w:rFonts w:asciiTheme="majorHAnsi" w:hAnsiTheme="majorHAnsi"/>
          <w:i/>
          <w:iCs/>
          <w:sz w:val="20"/>
          <w:szCs w:val="20"/>
          <w:bdr w:val="none" w:sz="0" w:space="0" w:color="auto"/>
        </w:rPr>
        <w:t xml:space="preserve"> Y</w:t>
      </w:r>
      <w:r w:rsidRPr="00B24750">
        <w:rPr>
          <w:rFonts w:asciiTheme="majorHAnsi" w:hAnsiTheme="majorHAnsi"/>
          <w:sz w:val="20"/>
          <w:szCs w:val="20"/>
          <w:bdr w:val="none" w:sz="0" w:space="0" w:color="auto"/>
        </w:rPr>
        <w:t xml:space="preserve">, she has expressed her critical stance toward the Cuban government and denounced abuses and the lack of freedoms due to the country’s political structure. </w:t>
      </w:r>
      <w:proofErr w:type="spellStart"/>
      <w:r w:rsidRPr="00B24750">
        <w:rPr>
          <w:rFonts w:asciiTheme="majorHAnsi" w:hAnsiTheme="majorHAnsi"/>
          <w:sz w:val="20"/>
          <w:szCs w:val="20"/>
          <w:bdr w:val="none" w:sz="0" w:space="0" w:color="auto"/>
        </w:rPr>
        <w:t>Yoani</w:t>
      </w:r>
      <w:proofErr w:type="spellEnd"/>
      <w:r w:rsidRPr="00B24750">
        <w:rPr>
          <w:rFonts w:asciiTheme="majorHAnsi" w:hAnsiTheme="majorHAnsi"/>
          <w:sz w:val="20"/>
          <w:szCs w:val="20"/>
          <w:bdr w:val="none" w:sz="0" w:space="0" w:color="auto"/>
        </w:rPr>
        <w:t xml:space="preserve"> Sánchez is considered a political opponent of the Cuban regime, and has been subject to arrests, attacks, impediments to leaving the country, telephone wiretaps, intimidation, threats, and smear campaigns. Her blog has been blocked inside Cuba. </w:t>
      </w:r>
      <w:r w:rsidR="00245102" w:rsidRPr="00B24750">
        <w:rPr>
          <w:rFonts w:asciiTheme="majorHAnsi" w:hAnsiTheme="majorHAnsi"/>
          <w:sz w:val="20"/>
          <w:szCs w:val="20"/>
          <w:bdr w:val="none" w:sz="0" w:space="0" w:color="auto"/>
        </w:rPr>
        <w:t>These events are framed within a context of persecution against journalists who are political dissidents or critics of the Cuban government because of the work they do. The IACHR notes that this case does not focus on the analysis of isolated events, but rather on alleged persecution carried out through a sequence of human rights violations from 2007 to the present</w:t>
      </w:r>
      <w:r w:rsidR="00245102" w:rsidRPr="00B24750">
        <w:rPr>
          <w:rFonts w:asciiTheme="majorHAnsi" w:hAnsiTheme="majorHAnsi"/>
          <w:sz w:val="20"/>
          <w:szCs w:val="20"/>
        </w:rPr>
        <w:t>.</w:t>
      </w:r>
    </w:p>
    <w:p w14:paraId="11FDC1C1" w14:textId="77777777" w:rsidR="00245102" w:rsidRPr="00B24750" w:rsidRDefault="00245102" w:rsidP="009D14E7">
      <w:pPr>
        <w:pStyle w:val="ListParagraph"/>
        <w:autoSpaceDE w:val="0"/>
        <w:autoSpaceDN w:val="0"/>
        <w:adjustRightInd w:val="0"/>
        <w:ind w:left="0"/>
        <w:jc w:val="both"/>
        <w:rPr>
          <w:rFonts w:asciiTheme="majorHAnsi" w:hAnsiTheme="majorHAnsi"/>
          <w:sz w:val="20"/>
          <w:szCs w:val="20"/>
        </w:rPr>
      </w:pPr>
    </w:p>
    <w:p w14:paraId="2DD43DE9" w14:textId="35BE41DF" w:rsidR="0002045D" w:rsidRPr="00B24750" w:rsidRDefault="00A55F08"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bdr w:val="none" w:sz="0" w:space="0" w:color="auto"/>
        </w:rPr>
        <w:t xml:space="preserve">It is up to the IACHR to establish whether these </w:t>
      </w:r>
      <w:r w:rsidR="00245102" w:rsidRPr="00B24750">
        <w:rPr>
          <w:rFonts w:asciiTheme="majorHAnsi" w:hAnsiTheme="majorHAnsi"/>
          <w:sz w:val="20"/>
          <w:szCs w:val="20"/>
          <w:bdr w:val="none" w:sz="0" w:space="0" w:color="auto"/>
        </w:rPr>
        <w:t>alleged acts of persecution</w:t>
      </w:r>
      <w:r w:rsidRPr="00B24750">
        <w:rPr>
          <w:rFonts w:asciiTheme="majorHAnsi" w:hAnsiTheme="majorHAnsi"/>
          <w:sz w:val="20"/>
          <w:szCs w:val="20"/>
          <w:bdr w:val="none" w:sz="0" w:space="0" w:color="auto"/>
        </w:rPr>
        <w:t xml:space="preserve"> are attributable to the State and whether they constitute violations of various rights of the American Declaration, in particular the right to freedom of expression</w:t>
      </w:r>
      <w:r w:rsidR="00852DEF" w:rsidRPr="00B24750">
        <w:rPr>
          <w:rFonts w:asciiTheme="majorHAnsi" w:hAnsiTheme="majorHAnsi"/>
          <w:sz w:val="20"/>
          <w:szCs w:val="20"/>
          <w:bdr w:val="none" w:sz="0" w:space="0" w:color="auto"/>
        </w:rPr>
        <w:t xml:space="preserve">. </w:t>
      </w:r>
    </w:p>
    <w:p w14:paraId="375463B2" w14:textId="77777777" w:rsidR="002B16AD" w:rsidRPr="00B24750" w:rsidRDefault="002B16AD" w:rsidP="009D14E7">
      <w:pPr>
        <w:pStyle w:val="ListParagraph"/>
        <w:autoSpaceDE w:val="0"/>
        <w:autoSpaceDN w:val="0"/>
        <w:adjustRightInd w:val="0"/>
        <w:ind w:left="0"/>
        <w:jc w:val="both"/>
        <w:rPr>
          <w:rFonts w:asciiTheme="majorHAnsi" w:hAnsiTheme="majorHAnsi"/>
          <w:sz w:val="20"/>
          <w:szCs w:val="20"/>
        </w:rPr>
      </w:pPr>
    </w:p>
    <w:p w14:paraId="4CD089B7" w14:textId="2732C775" w:rsidR="00D800E5" w:rsidRPr="00B24750" w:rsidRDefault="00157A82"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bdr w:val="none" w:sz="0" w:space="0" w:color="auto"/>
        </w:rPr>
        <w:t>Considering</w:t>
      </w:r>
      <w:r w:rsidR="00F11D6B" w:rsidRPr="00B24750">
        <w:rPr>
          <w:rFonts w:asciiTheme="majorHAnsi" w:hAnsiTheme="majorHAnsi"/>
          <w:sz w:val="20"/>
          <w:szCs w:val="20"/>
          <w:bdr w:val="none" w:sz="0" w:space="0" w:color="auto"/>
        </w:rPr>
        <w:t xml:space="preserve"> the arguments presented, </w:t>
      </w:r>
      <w:r w:rsidR="006E62A8">
        <w:rPr>
          <w:rFonts w:asciiTheme="majorHAnsi" w:hAnsiTheme="majorHAnsi"/>
          <w:sz w:val="20"/>
          <w:szCs w:val="20"/>
          <w:bdr w:val="none" w:sz="0" w:space="0" w:color="auto"/>
        </w:rPr>
        <w:t xml:space="preserve">and </w:t>
      </w:r>
      <w:r w:rsidR="00F11D6B" w:rsidRPr="00B24750">
        <w:rPr>
          <w:rFonts w:asciiTheme="majorHAnsi" w:hAnsiTheme="majorHAnsi"/>
          <w:sz w:val="20"/>
          <w:szCs w:val="20"/>
          <w:bdr w:val="none" w:sz="0" w:space="0" w:color="auto"/>
        </w:rPr>
        <w:t xml:space="preserve">the </w:t>
      </w:r>
      <w:r w:rsidR="006E62A8">
        <w:rPr>
          <w:rFonts w:asciiTheme="majorHAnsi" w:hAnsiTheme="majorHAnsi"/>
          <w:sz w:val="20"/>
          <w:szCs w:val="20"/>
          <w:bdr w:val="none" w:sz="0" w:space="0" w:color="auto"/>
        </w:rPr>
        <w:t>facts</w:t>
      </w:r>
      <w:r w:rsidR="000E48AD">
        <w:rPr>
          <w:rFonts w:asciiTheme="majorHAnsi" w:hAnsiTheme="majorHAnsi"/>
          <w:sz w:val="20"/>
          <w:szCs w:val="20"/>
          <w:bdr w:val="none" w:sz="0" w:space="0" w:color="auto"/>
        </w:rPr>
        <w:t xml:space="preserve"> before it</w:t>
      </w:r>
      <w:r w:rsidR="00F11D6B" w:rsidRPr="00B24750">
        <w:rPr>
          <w:rFonts w:asciiTheme="majorHAnsi" w:hAnsiTheme="majorHAnsi"/>
          <w:sz w:val="20"/>
          <w:szCs w:val="20"/>
          <w:bdr w:val="none" w:sz="0" w:space="0" w:color="auto"/>
        </w:rPr>
        <w:t xml:space="preserve">, the Commission will address the scope and protection of each of the rights alleged to have been violated </w:t>
      </w:r>
      <w:r w:rsidR="000E48AD">
        <w:rPr>
          <w:rFonts w:asciiTheme="majorHAnsi" w:hAnsiTheme="majorHAnsi"/>
          <w:sz w:val="20"/>
          <w:szCs w:val="20"/>
          <w:bdr w:val="none" w:sz="0" w:space="0" w:color="auto"/>
        </w:rPr>
        <w:t xml:space="preserve">in this specific case </w:t>
      </w:r>
      <w:r w:rsidR="00F11D6B" w:rsidRPr="00B24750">
        <w:rPr>
          <w:rFonts w:asciiTheme="majorHAnsi" w:hAnsiTheme="majorHAnsi"/>
          <w:sz w:val="20"/>
          <w:szCs w:val="20"/>
          <w:bdr w:val="none" w:sz="0" w:space="0" w:color="auto"/>
        </w:rPr>
        <w:t xml:space="preserve">and will refer to its doctrine on the permissible limits to these rights. </w:t>
      </w:r>
    </w:p>
    <w:p w14:paraId="407AC66B" w14:textId="77777777" w:rsidR="00D800E5" w:rsidRPr="00B24750" w:rsidRDefault="00D800E5" w:rsidP="00DF3843">
      <w:pPr>
        <w:jc w:val="both"/>
        <w:rPr>
          <w:rFonts w:asciiTheme="majorHAnsi" w:hAnsiTheme="majorHAnsi"/>
          <w:sz w:val="20"/>
          <w:szCs w:val="20"/>
          <w:lang w:val="en-US"/>
        </w:rPr>
      </w:pPr>
    </w:p>
    <w:p w14:paraId="388FAEBA" w14:textId="4840BB5B" w:rsidR="00E97D9E" w:rsidRPr="00F66452" w:rsidRDefault="00E97D9E" w:rsidP="00F66452">
      <w:pPr>
        <w:pStyle w:val="Heading2"/>
        <w:numPr>
          <w:ilvl w:val="0"/>
          <w:numId w:val="68"/>
        </w:numPr>
        <w:ind w:left="720"/>
      </w:pPr>
      <w:bookmarkStart w:id="23" w:name="_Toc90392475"/>
      <w:r w:rsidRPr="00F66452">
        <w:t>Preliminar</w:t>
      </w:r>
      <w:r w:rsidR="00F11D6B" w:rsidRPr="00F66452">
        <w:t>y Issue: application and interpretation of the American Declaration of the Rights and Duties of Man</w:t>
      </w:r>
      <w:bookmarkEnd w:id="23"/>
    </w:p>
    <w:p w14:paraId="7B2EE24B" w14:textId="77777777" w:rsidR="00E97D9E" w:rsidRPr="00B24750" w:rsidRDefault="00E97D9E" w:rsidP="005F7FE2">
      <w:pPr>
        <w:rPr>
          <w:rFonts w:asciiTheme="majorHAnsi" w:hAnsiTheme="majorHAnsi"/>
          <w:sz w:val="20"/>
          <w:szCs w:val="20"/>
          <w:lang w:val="en-US"/>
        </w:rPr>
      </w:pPr>
    </w:p>
    <w:p w14:paraId="50AC5773" w14:textId="3905A6C1" w:rsidR="00E97D9E" w:rsidRPr="00B24750" w:rsidRDefault="00F11D6B"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The petitioners alleged that the State of Cuba is responsible </w:t>
      </w:r>
      <w:r w:rsidR="006E62A8">
        <w:rPr>
          <w:rFonts w:asciiTheme="majorHAnsi" w:hAnsiTheme="majorHAnsi"/>
          <w:sz w:val="20"/>
          <w:szCs w:val="20"/>
        </w:rPr>
        <w:t xml:space="preserve">for violating </w:t>
      </w:r>
      <w:r w:rsidRPr="00B24750">
        <w:rPr>
          <w:rFonts w:asciiTheme="majorHAnsi" w:hAnsiTheme="majorHAnsi"/>
          <w:sz w:val="20"/>
          <w:szCs w:val="20"/>
        </w:rPr>
        <w:t xml:space="preserve">the rights enshrined in </w:t>
      </w:r>
      <w:r w:rsidRPr="00B24750">
        <w:rPr>
          <w:rFonts w:asciiTheme="majorHAnsi" w:eastAsia="SimSun" w:hAnsiTheme="majorHAnsi"/>
          <w:sz w:val="20"/>
          <w:szCs w:val="20"/>
        </w:rPr>
        <w:t>Articles I (right to life, liberty</w:t>
      </w:r>
      <w:r w:rsidR="00206BA2" w:rsidRPr="00B24750">
        <w:rPr>
          <w:rFonts w:asciiTheme="majorHAnsi" w:eastAsia="SimSun" w:hAnsiTheme="majorHAnsi"/>
          <w:sz w:val="20"/>
          <w:szCs w:val="20"/>
        </w:rPr>
        <w:t>,</w:t>
      </w:r>
      <w:r w:rsidRPr="00B24750">
        <w:rPr>
          <w:rFonts w:asciiTheme="majorHAnsi" w:eastAsia="SimSun" w:hAnsiTheme="majorHAnsi"/>
          <w:sz w:val="20"/>
          <w:szCs w:val="20"/>
        </w:rPr>
        <w:t xml:space="preserve"> and personal security), II (right to equality before the law), IV (right to freedom of investigation, opinion, expression, and dissemination), V (right to protection of honor, personal reputation, and private and family life), VIII (right to residence and movement), IX (right to the inviolability of the home), X (right to the inviolability and transmission of correspondence), XVIII (right to a fair trial), XX (right to vote and to participate in government), XXI (right of assembly), XXII (right of association), XXIV (right of petition), and XXV (right of protection from arbitrary arrest) of the American Declaration of the Rights and Duties of Man</w:t>
      </w:r>
      <w:r w:rsidRPr="00B24750">
        <w:rPr>
          <w:rFonts w:asciiTheme="majorHAnsi" w:hAnsiTheme="majorHAnsi"/>
          <w:sz w:val="20"/>
          <w:szCs w:val="20"/>
        </w:rPr>
        <w:t xml:space="preserve">, to the detriment of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Cordero</w:t>
      </w:r>
      <w:r w:rsidR="00E97D9E" w:rsidRPr="00B24750">
        <w:rPr>
          <w:rFonts w:asciiTheme="majorHAnsi" w:eastAsia="SimSun" w:hAnsiTheme="majorHAnsi"/>
          <w:sz w:val="20"/>
          <w:szCs w:val="20"/>
        </w:rPr>
        <w:t>.</w:t>
      </w:r>
      <w:r w:rsidR="009A1F14" w:rsidRPr="00B24750">
        <w:rPr>
          <w:rFonts w:asciiTheme="majorHAnsi" w:eastAsia="SimSun" w:hAnsiTheme="majorHAnsi"/>
          <w:sz w:val="20"/>
          <w:szCs w:val="20"/>
        </w:rPr>
        <w:t xml:space="preserve"> </w:t>
      </w:r>
      <w:r w:rsidR="009A1F14" w:rsidRPr="00B24750">
        <w:rPr>
          <w:rFonts w:asciiTheme="majorHAnsi" w:eastAsia="Times New Roman" w:hAnsiTheme="majorHAnsi" w:cs="Tahoma"/>
          <w:iCs/>
          <w:color w:val="222222"/>
          <w:sz w:val="20"/>
          <w:szCs w:val="20"/>
          <w:shd w:val="clear" w:color="auto" w:fill="FFFFFF"/>
        </w:rPr>
        <w:t>Under</w:t>
      </w:r>
      <w:r w:rsidR="009A1F14" w:rsidRPr="00B24750">
        <w:rPr>
          <w:rFonts w:asciiTheme="majorHAnsi" w:hAnsiTheme="majorHAnsi"/>
          <w:sz w:val="20"/>
          <w:szCs w:val="20"/>
        </w:rPr>
        <w:t xml:space="preserve"> the principle of</w:t>
      </w:r>
      <w:r w:rsidR="009A1F14" w:rsidRPr="00B24750">
        <w:rPr>
          <w:rFonts w:asciiTheme="majorHAnsi" w:hAnsiTheme="majorHAnsi"/>
          <w:i/>
          <w:iCs/>
          <w:sz w:val="20"/>
          <w:szCs w:val="20"/>
        </w:rPr>
        <w:t xml:space="preserve"> </w:t>
      </w:r>
      <w:proofErr w:type="spellStart"/>
      <w:r w:rsidR="009A1F14" w:rsidRPr="00B24750">
        <w:rPr>
          <w:rFonts w:asciiTheme="majorHAnsi" w:hAnsiTheme="majorHAnsi"/>
          <w:i/>
          <w:iCs/>
          <w:sz w:val="20"/>
          <w:szCs w:val="20"/>
        </w:rPr>
        <w:t>iura</w:t>
      </w:r>
      <w:proofErr w:type="spellEnd"/>
      <w:r w:rsidR="009A1F14" w:rsidRPr="00B24750">
        <w:rPr>
          <w:rFonts w:asciiTheme="majorHAnsi" w:hAnsiTheme="majorHAnsi"/>
          <w:i/>
          <w:iCs/>
          <w:sz w:val="20"/>
          <w:szCs w:val="20"/>
        </w:rPr>
        <w:t xml:space="preserve"> </w:t>
      </w:r>
      <w:proofErr w:type="spellStart"/>
      <w:r w:rsidR="009A1F14" w:rsidRPr="00B24750">
        <w:rPr>
          <w:rFonts w:asciiTheme="majorHAnsi" w:hAnsiTheme="majorHAnsi"/>
          <w:i/>
          <w:iCs/>
          <w:sz w:val="20"/>
          <w:szCs w:val="20"/>
        </w:rPr>
        <w:t>novit</w:t>
      </w:r>
      <w:proofErr w:type="spellEnd"/>
      <w:r w:rsidR="009A1F14" w:rsidRPr="00B24750">
        <w:rPr>
          <w:rFonts w:asciiTheme="majorHAnsi" w:hAnsiTheme="majorHAnsi"/>
          <w:i/>
          <w:iCs/>
          <w:sz w:val="20"/>
          <w:szCs w:val="20"/>
        </w:rPr>
        <w:t xml:space="preserve"> curia</w:t>
      </w:r>
      <w:r w:rsidR="009A1F14" w:rsidRPr="00B24750">
        <w:rPr>
          <w:rFonts w:asciiTheme="majorHAnsi" w:hAnsiTheme="majorHAnsi"/>
          <w:sz w:val="20"/>
          <w:szCs w:val="20"/>
        </w:rPr>
        <w:t xml:space="preserve">, the Commission also </w:t>
      </w:r>
      <w:r w:rsidR="004F0A83" w:rsidRPr="00B24750">
        <w:rPr>
          <w:rFonts w:asciiTheme="majorHAnsi" w:hAnsiTheme="majorHAnsi"/>
          <w:sz w:val="20"/>
          <w:szCs w:val="20"/>
        </w:rPr>
        <w:t>found</w:t>
      </w:r>
      <w:r w:rsidR="009A1F14" w:rsidRPr="00B24750">
        <w:rPr>
          <w:rFonts w:asciiTheme="majorHAnsi" w:hAnsiTheme="majorHAnsi"/>
          <w:sz w:val="20"/>
          <w:szCs w:val="20"/>
        </w:rPr>
        <w:t xml:space="preserve"> this petition admissible with respect to Article XXVI of the American Declaration (right to due process).</w:t>
      </w:r>
    </w:p>
    <w:p w14:paraId="0FB76841" w14:textId="77777777" w:rsidR="00AA136F" w:rsidRPr="00B24750" w:rsidRDefault="00AA136F" w:rsidP="009D14E7">
      <w:pPr>
        <w:pStyle w:val="ListParagraph"/>
        <w:autoSpaceDE w:val="0"/>
        <w:autoSpaceDN w:val="0"/>
        <w:adjustRightInd w:val="0"/>
        <w:ind w:left="0"/>
        <w:jc w:val="both"/>
        <w:rPr>
          <w:rFonts w:asciiTheme="majorHAnsi" w:hAnsiTheme="majorHAnsi"/>
          <w:sz w:val="20"/>
          <w:szCs w:val="20"/>
        </w:rPr>
      </w:pPr>
    </w:p>
    <w:p w14:paraId="02FDEF8A" w14:textId="5E34DAC6" w:rsidR="00AA136F" w:rsidRPr="00B24750" w:rsidRDefault="00AA136F" w:rsidP="009D14E7">
      <w:pPr>
        <w:pStyle w:val="ListParagraph"/>
        <w:numPr>
          <w:ilvl w:val="0"/>
          <w:numId w:val="55"/>
        </w:numPr>
        <w:autoSpaceDE w:val="0"/>
        <w:autoSpaceDN w:val="0"/>
        <w:adjustRightInd w:val="0"/>
        <w:ind w:firstLine="0"/>
        <w:jc w:val="both"/>
        <w:rPr>
          <w:rFonts w:asciiTheme="majorHAnsi" w:hAnsiTheme="majorHAnsi"/>
          <w:color w:val="auto"/>
          <w:sz w:val="20"/>
          <w:szCs w:val="20"/>
        </w:rPr>
      </w:pPr>
      <w:r w:rsidRPr="00B24750">
        <w:rPr>
          <w:rFonts w:asciiTheme="majorHAnsi" w:hAnsiTheme="majorHAnsi"/>
          <w:sz w:val="20"/>
          <w:szCs w:val="20"/>
        </w:rPr>
        <w:t xml:space="preserve">The Commission reaffirms that it has competence to examine petitions and cases </w:t>
      </w:r>
      <w:r w:rsidR="006E62A8">
        <w:rPr>
          <w:rFonts w:asciiTheme="majorHAnsi" w:hAnsiTheme="majorHAnsi"/>
          <w:sz w:val="20"/>
          <w:szCs w:val="20"/>
        </w:rPr>
        <w:t xml:space="preserve">regarding </w:t>
      </w:r>
      <w:r w:rsidRPr="00B24750">
        <w:rPr>
          <w:rFonts w:asciiTheme="majorHAnsi" w:hAnsiTheme="majorHAnsi"/>
          <w:sz w:val="20"/>
          <w:szCs w:val="20"/>
        </w:rPr>
        <w:t xml:space="preserve">Cuba. </w:t>
      </w:r>
      <w:r w:rsidR="006E62A8">
        <w:rPr>
          <w:rFonts w:asciiTheme="majorHAnsi" w:hAnsiTheme="majorHAnsi"/>
          <w:sz w:val="20"/>
          <w:szCs w:val="20"/>
        </w:rPr>
        <w:t xml:space="preserve">It </w:t>
      </w:r>
      <w:r w:rsidRPr="00B24750">
        <w:rPr>
          <w:rFonts w:asciiTheme="majorHAnsi" w:hAnsiTheme="majorHAnsi"/>
          <w:color w:val="auto"/>
          <w:sz w:val="20"/>
          <w:szCs w:val="20"/>
        </w:rPr>
        <w:t xml:space="preserve">has repeatedly held that the Cuban State </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is legally </w:t>
      </w:r>
      <w:r w:rsidR="007644B8" w:rsidRPr="00B24750">
        <w:rPr>
          <w:rFonts w:asciiTheme="majorHAnsi" w:hAnsiTheme="majorHAnsi"/>
          <w:color w:val="auto"/>
          <w:sz w:val="20"/>
          <w:szCs w:val="20"/>
        </w:rPr>
        <w:t>answerable to</w:t>
      </w:r>
      <w:r w:rsidRPr="00B24750">
        <w:rPr>
          <w:rFonts w:asciiTheme="majorHAnsi" w:hAnsiTheme="majorHAnsi"/>
          <w:color w:val="auto"/>
          <w:sz w:val="20"/>
          <w:szCs w:val="20"/>
        </w:rPr>
        <w:t xml:space="preserve"> the Inter-American Commission </w:t>
      </w:r>
      <w:r w:rsidR="007644B8" w:rsidRPr="00B24750">
        <w:rPr>
          <w:rFonts w:asciiTheme="majorHAnsi" w:hAnsiTheme="majorHAnsi"/>
          <w:color w:val="auto"/>
          <w:sz w:val="20"/>
          <w:szCs w:val="20"/>
        </w:rPr>
        <w:t>in matters that concern</w:t>
      </w:r>
      <w:r w:rsidRPr="00B24750">
        <w:rPr>
          <w:rFonts w:asciiTheme="majorHAnsi" w:hAnsiTheme="majorHAnsi"/>
          <w:color w:val="auto"/>
          <w:sz w:val="20"/>
          <w:szCs w:val="20"/>
        </w:rPr>
        <w:t xml:space="preserve"> human rights</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 because </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it is party to the </w:t>
      </w:r>
      <w:r w:rsidR="007644B8" w:rsidRPr="00B24750">
        <w:rPr>
          <w:rFonts w:asciiTheme="majorHAnsi" w:hAnsiTheme="majorHAnsi"/>
          <w:color w:val="auto"/>
          <w:sz w:val="20"/>
          <w:szCs w:val="20"/>
        </w:rPr>
        <w:t xml:space="preserve">first </w:t>
      </w:r>
      <w:r w:rsidRPr="00B24750">
        <w:rPr>
          <w:rFonts w:asciiTheme="majorHAnsi" w:hAnsiTheme="majorHAnsi"/>
          <w:color w:val="auto"/>
          <w:sz w:val="20"/>
          <w:szCs w:val="20"/>
        </w:rPr>
        <w:t xml:space="preserve">international instruments established in the American </w:t>
      </w:r>
      <w:r w:rsidR="007644B8" w:rsidRPr="00B24750">
        <w:rPr>
          <w:rFonts w:asciiTheme="majorHAnsi" w:hAnsiTheme="majorHAnsi"/>
          <w:color w:val="auto"/>
          <w:sz w:val="20"/>
          <w:szCs w:val="20"/>
        </w:rPr>
        <w:t>H</w:t>
      </w:r>
      <w:r w:rsidRPr="00B24750">
        <w:rPr>
          <w:rFonts w:asciiTheme="majorHAnsi" w:hAnsiTheme="majorHAnsi"/>
          <w:color w:val="auto"/>
          <w:sz w:val="20"/>
          <w:szCs w:val="20"/>
        </w:rPr>
        <w:t>emisphere to protect human rights</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 and because Resolution VI of the Eighth Meeting of Consultation </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excluded the </w:t>
      </w:r>
      <w:r w:rsidR="007644B8" w:rsidRPr="00B24750">
        <w:rPr>
          <w:rFonts w:asciiTheme="majorHAnsi" w:hAnsiTheme="majorHAnsi"/>
          <w:color w:val="auto"/>
          <w:sz w:val="20"/>
          <w:szCs w:val="20"/>
        </w:rPr>
        <w:t xml:space="preserve">present </w:t>
      </w:r>
      <w:r w:rsidRPr="00B24750">
        <w:rPr>
          <w:rFonts w:asciiTheme="majorHAnsi" w:hAnsiTheme="majorHAnsi"/>
          <w:color w:val="auto"/>
          <w:sz w:val="20"/>
          <w:szCs w:val="20"/>
        </w:rPr>
        <w:t>Government of Cuba, and not the State, from participation in the inter-American system</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 In this regard, the IACHR stated that </w:t>
      </w:r>
      <w:r w:rsidR="007644B8" w:rsidRPr="00B24750">
        <w:rPr>
          <w:rFonts w:asciiTheme="majorHAnsi" w:hAnsiTheme="majorHAnsi"/>
          <w:color w:val="auto"/>
          <w:sz w:val="20"/>
          <w:szCs w:val="20"/>
        </w:rPr>
        <w:t>“</w:t>
      </w:r>
      <w:r w:rsidRPr="00B24750">
        <w:rPr>
          <w:rFonts w:asciiTheme="majorHAnsi" w:hAnsiTheme="majorHAnsi"/>
          <w:color w:val="auto"/>
          <w:sz w:val="20"/>
          <w:szCs w:val="20"/>
        </w:rPr>
        <w:t xml:space="preserve">[...] it has always considered that </w:t>
      </w:r>
      <w:r w:rsidR="00613AFF" w:rsidRPr="00B24750">
        <w:rPr>
          <w:rFonts w:asciiTheme="majorHAnsi" w:hAnsiTheme="majorHAnsi"/>
          <w:color w:val="auto"/>
          <w:sz w:val="20"/>
          <w:szCs w:val="20"/>
        </w:rPr>
        <w:t>the purpose of excluding Cuba from the inter-American system by the Organization of American States was not to leave the Cuban people unprotected.  The exclusion of that Government from the regional system by no means implies that it can cease to comply with its international obligations in the area of human rights</w:t>
      </w:r>
      <w:r w:rsidRPr="00B24750">
        <w:rPr>
          <w:rFonts w:asciiTheme="majorHAnsi" w:hAnsiTheme="majorHAnsi"/>
          <w:color w:val="auto"/>
          <w:sz w:val="20"/>
          <w:szCs w:val="20"/>
        </w:rPr>
        <w:t>.</w:t>
      </w:r>
      <w:r w:rsidR="007644B8" w:rsidRPr="00B24750">
        <w:rPr>
          <w:rFonts w:asciiTheme="majorHAnsi" w:hAnsiTheme="majorHAnsi"/>
          <w:color w:val="auto"/>
          <w:sz w:val="20"/>
          <w:szCs w:val="20"/>
        </w:rPr>
        <w:t>”</w:t>
      </w:r>
      <w:r w:rsidRPr="00B24750">
        <w:rPr>
          <w:rStyle w:val="FootnoteReference"/>
          <w:rFonts w:asciiTheme="majorHAnsi" w:hAnsiTheme="majorHAnsi"/>
          <w:color w:val="auto"/>
          <w:sz w:val="20"/>
          <w:szCs w:val="20"/>
        </w:rPr>
        <w:footnoteReference w:id="132"/>
      </w:r>
    </w:p>
    <w:p w14:paraId="7EA3A885" w14:textId="77777777" w:rsidR="00E97D9E" w:rsidRPr="00B24750" w:rsidRDefault="00E97D9E" w:rsidP="009D14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hAnsiTheme="majorHAnsi"/>
          <w:color w:val="auto"/>
          <w:sz w:val="20"/>
          <w:szCs w:val="20"/>
        </w:rPr>
      </w:pPr>
    </w:p>
    <w:p w14:paraId="6784FD09" w14:textId="2CB9B8AB" w:rsidR="00E97D9E" w:rsidRPr="00B24750" w:rsidRDefault="00A86406"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eastAsia="Times New Roman" w:hAnsiTheme="majorHAnsi"/>
          <w:sz w:val="20"/>
          <w:szCs w:val="20"/>
        </w:rPr>
        <w:t>As the Commission has stated on several occasions,</w:t>
      </w:r>
      <w:r w:rsidR="0084266C" w:rsidRPr="00B24750">
        <w:rPr>
          <w:rStyle w:val="FootnoteReference"/>
          <w:rFonts w:asciiTheme="majorHAnsi" w:eastAsia="Times New Roman" w:hAnsiTheme="majorHAnsi"/>
          <w:sz w:val="20"/>
          <w:szCs w:val="20"/>
        </w:rPr>
        <w:footnoteReference w:id="133"/>
      </w:r>
      <w:r w:rsidR="00E97D9E" w:rsidRPr="00B24750">
        <w:rPr>
          <w:rFonts w:asciiTheme="majorHAnsi" w:eastAsia="Times New Roman" w:hAnsiTheme="majorHAnsi"/>
          <w:sz w:val="20"/>
          <w:szCs w:val="20"/>
        </w:rPr>
        <w:t xml:space="preserve"> </w:t>
      </w:r>
      <w:r w:rsidRPr="00B24750">
        <w:rPr>
          <w:rFonts w:asciiTheme="majorHAnsi" w:eastAsia="Times New Roman" w:hAnsiTheme="majorHAnsi"/>
          <w:sz w:val="20"/>
          <w:szCs w:val="20"/>
        </w:rPr>
        <w:t xml:space="preserve">the American Declaration </w:t>
      </w:r>
      <w:r w:rsidR="008627AD" w:rsidRPr="00B24750">
        <w:rPr>
          <w:rFonts w:asciiTheme="majorHAnsi" w:eastAsia="Times New Roman" w:hAnsiTheme="majorHAnsi"/>
          <w:sz w:val="20"/>
          <w:szCs w:val="20"/>
        </w:rPr>
        <w:t>creates an</w:t>
      </w:r>
      <w:r w:rsidRPr="00B24750">
        <w:rPr>
          <w:rFonts w:asciiTheme="majorHAnsi" w:eastAsia="Times New Roman" w:hAnsiTheme="majorHAnsi"/>
          <w:sz w:val="20"/>
          <w:szCs w:val="20"/>
        </w:rPr>
        <w:t xml:space="preserve"> international legal obligation for all member states of the Organization of American States, including Cuba. </w:t>
      </w:r>
      <w:r w:rsidR="006E62A8">
        <w:rPr>
          <w:rFonts w:asciiTheme="majorHAnsi" w:eastAsia="Times New Roman" w:hAnsiTheme="majorHAnsi"/>
          <w:sz w:val="20"/>
          <w:szCs w:val="20"/>
        </w:rPr>
        <w:t xml:space="preserve">In </w:t>
      </w:r>
      <w:r w:rsidRPr="00B24750">
        <w:rPr>
          <w:rFonts w:asciiTheme="majorHAnsi" w:eastAsia="Times New Roman" w:hAnsiTheme="majorHAnsi"/>
          <w:sz w:val="20"/>
          <w:szCs w:val="20"/>
        </w:rPr>
        <w:t xml:space="preserve">relation to OAS </w:t>
      </w:r>
      <w:r w:rsidR="008627AD" w:rsidRPr="00B24750">
        <w:rPr>
          <w:rFonts w:asciiTheme="majorHAnsi" w:eastAsia="Times New Roman" w:hAnsiTheme="majorHAnsi"/>
          <w:sz w:val="20"/>
          <w:szCs w:val="20"/>
        </w:rPr>
        <w:t xml:space="preserve">member states </w:t>
      </w:r>
      <w:r w:rsidRPr="00B24750">
        <w:rPr>
          <w:rFonts w:asciiTheme="majorHAnsi" w:eastAsia="Times New Roman" w:hAnsiTheme="majorHAnsi"/>
          <w:sz w:val="20"/>
          <w:szCs w:val="20"/>
        </w:rPr>
        <w:t xml:space="preserve">that are not parties to the American Convention, the Commission is </w:t>
      </w:r>
      <w:r w:rsidR="008627AD" w:rsidRPr="00B24750">
        <w:rPr>
          <w:rFonts w:asciiTheme="majorHAnsi" w:eastAsia="Times New Roman" w:hAnsiTheme="majorHAnsi"/>
          <w:sz w:val="20"/>
          <w:szCs w:val="20"/>
        </w:rPr>
        <w:t>authorized</w:t>
      </w:r>
      <w:r w:rsidRPr="00B24750">
        <w:rPr>
          <w:rFonts w:asciiTheme="majorHAnsi" w:eastAsia="Times New Roman" w:hAnsiTheme="majorHAnsi"/>
          <w:sz w:val="20"/>
          <w:szCs w:val="20"/>
        </w:rPr>
        <w:t xml:space="preserve"> by Article 20 of its Statute and Articles 50 and 51 of its Rules of Procedure to receive and examine any petition </w:t>
      </w:r>
      <w:r w:rsidR="008627AD" w:rsidRPr="00B24750">
        <w:rPr>
          <w:rFonts w:asciiTheme="majorHAnsi" w:eastAsia="Times New Roman" w:hAnsiTheme="majorHAnsi"/>
          <w:sz w:val="20"/>
          <w:szCs w:val="20"/>
        </w:rPr>
        <w:t>that alleges</w:t>
      </w:r>
      <w:r w:rsidRPr="00B24750">
        <w:rPr>
          <w:rFonts w:asciiTheme="majorHAnsi" w:eastAsia="Times New Roman" w:hAnsiTheme="majorHAnsi"/>
          <w:sz w:val="20"/>
          <w:szCs w:val="20"/>
        </w:rPr>
        <w:t xml:space="preserve"> violations of the human rights enshrined in the American Declaration</w:t>
      </w:r>
      <w:r w:rsidR="00E97D9E" w:rsidRPr="00B24750">
        <w:rPr>
          <w:rFonts w:asciiTheme="majorHAnsi" w:eastAsia="Times New Roman" w:hAnsiTheme="majorHAnsi"/>
          <w:sz w:val="20"/>
          <w:szCs w:val="20"/>
        </w:rPr>
        <w:t>.</w:t>
      </w:r>
      <w:r w:rsidR="008627AD" w:rsidRPr="00B24750">
        <w:rPr>
          <w:rFonts w:asciiTheme="majorHAnsi" w:eastAsia="Times New Roman" w:hAnsiTheme="majorHAnsi"/>
          <w:sz w:val="20"/>
          <w:szCs w:val="20"/>
        </w:rPr>
        <w:t xml:space="preserve"> </w:t>
      </w:r>
    </w:p>
    <w:p w14:paraId="73EC32E2" w14:textId="77777777" w:rsidR="00E97D9E" w:rsidRPr="00B24750" w:rsidRDefault="00E97D9E" w:rsidP="005F7FE2">
      <w:pPr>
        <w:pStyle w:val="ListParagraph"/>
        <w:rPr>
          <w:rFonts w:asciiTheme="majorHAnsi" w:eastAsia="Times New Roman" w:hAnsiTheme="majorHAnsi"/>
          <w:sz w:val="20"/>
          <w:szCs w:val="20"/>
        </w:rPr>
      </w:pPr>
    </w:p>
    <w:p w14:paraId="6941B6D9" w14:textId="6BEE50AF" w:rsidR="0098754D" w:rsidRPr="00B24750" w:rsidRDefault="0098754D"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eastAsia="Times New Roman" w:hAnsiTheme="majorHAnsi"/>
          <w:sz w:val="20"/>
          <w:szCs w:val="20"/>
        </w:rPr>
        <w:lastRenderedPageBreak/>
        <w:t xml:space="preserve">According to the </w:t>
      </w:r>
      <w:r w:rsidR="001C7C89" w:rsidRPr="00B24750">
        <w:rPr>
          <w:rFonts w:asciiTheme="majorHAnsi" w:eastAsia="Times New Roman" w:hAnsiTheme="majorHAnsi"/>
          <w:sz w:val="20"/>
          <w:szCs w:val="20"/>
        </w:rPr>
        <w:t>case law</w:t>
      </w:r>
      <w:r w:rsidRPr="00B24750">
        <w:rPr>
          <w:rFonts w:asciiTheme="majorHAnsi" w:eastAsia="Times New Roman" w:hAnsiTheme="majorHAnsi"/>
          <w:sz w:val="20"/>
          <w:szCs w:val="20"/>
        </w:rPr>
        <w:t xml:space="preserve"> of the inter-American human rights system, the provisions of its instruments, including the American Declaration, must be interpreted and applied in the context of the inter-American and international human rights systems and</w:t>
      </w:r>
      <w:r w:rsidR="001C7C89" w:rsidRPr="00B24750">
        <w:rPr>
          <w:rFonts w:asciiTheme="majorHAnsi" w:eastAsia="Times New Roman" w:hAnsiTheme="majorHAnsi"/>
          <w:sz w:val="20"/>
          <w:szCs w:val="20"/>
        </w:rPr>
        <w:t>,</w:t>
      </w:r>
      <w:r w:rsidRPr="00B24750">
        <w:rPr>
          <w:rFonts w:asciiTheme="majorHAnsi" w:eastAsia="Times New Roman" w:hAnsiTheme="majorHAnsi"/>
          <w:sz w:val="20"/>
          <w:szCs w:val="20"/>
        </w:rPr>
        <w:t xml:space="preserve"> more broadly</w:t>
      </w:r>
      <w:r w:rsidR="001C7C89" w:rsidRPr="00B24750">
        <w:rPr>
          <w:rFonts w:asciiTheme="majorHAnsi" w:eastAsia="Times New Roman" w:hAnsiTheme="majorHAnsi"/>
          <w:sz w:val="20"/>
          <w:szCs w:val="20"/>
        </w:rPr>
        <w:t>,</w:t>
      </w:r>
      <w:r w:rsidRPr="00B24750">
        <w:rPr>
          <w:rFonts w:asciiTheme="majorHAnsi" w:eastAsia="Times New Roman" w:hAnsiTheme="majorHAnsi"/>
          <w:sz w:val="20"/>
          <w:szCs w:val="20"/>
        </w:rPr>
        <w:t xml:space="preserve"> in light of developments in international human rights law</w:t>
      </w:r>
      <w:r w:rsidR="001C7C89" w:rsidRPr="00B24750">
        <w:rPr>
          <w:rFonts w:asciiTheme="majorHAnsi" w:eastAsia="Times New Roman" w:hAnsiTheme="majorHAnsi"/>
          <w:sz w:val="20"/>
          <w:szCs w:val="20"/>
        </w:rPr>
        <w:t>.</w:t>
      </w:r>
      <w:r w:rsidRPr="00B24750">
        <w:rPr>
          <w:rStyle w:val="FootnoteReference"/>
          <w:rFonts w:asciiTheme="majorHAnsi" w:eastAsia="Times New Roman" w:hAnsiTheme="majorHAnsi"/>
          <w:sz w:val="20"/>
          <w:szCs w:val="20"/>
        </w:rPr>
        <w:footnoteReference w:id="134"/>
      </w:r>
    </w:p>
    <w:p w14:paraId="237909C6" w14:textId="77777777" w:rsidR="00E97D9E" w:rsidRPr="00B24750" w:rsidRDefault="00E97D9E" w:rsidP="009D14E7">
      <w:pPr>
        <w:pStyle w:val="ListParagraph"/>
        <w:ind w:left="0"/>
        <w:jc w:val="both"/>
        <w:rPr>
          <w:rFonts w:asciiTheme="majorHAnsi" w:eastAsia="Times New Roman" w:hAnsiTheme="majorHAnsi"/>
          <w:sz w:val="20"/>
          <w:szCs w:val="20"/>
        </w:rPr>
      </w:pPr>
    </w:p>
    <w:p w14:paraId="6B97B076" w14:textId="1429845F" w:rsidR="002647DD" w:rsidRPr="00B24750" w:rsidRDefault="006E62A8" w:rsidP="009D14E7">
      <w:pPr>
        <w:pStyle w:val="ListParagraph"/>
        <w:numPr>
          <w:ilvl w:val="0"/>
          <w:numId w:val="55"/>
        </w:numPr>
        <w:autoSpaceDE w:val="0"/>
        <w:autoSpaceDN w:val="0"/>
        <w:adjustRightInd w:val="0"/>
        <w:ind w:firstLine="0"/>
        <w:jc w:val="both"/>
        <w:rPr>
          <w:rFonts w:asciiTheme="majorHAnsi" w:hAnsiTheme="majorHAnsi"/>
          <w:sz w:val="20"/>
          <w:szCs w:val="20"/>
        </w:rPr>
      </w:pPr>
      <w:r>
        <w:rPr>
          <w:rFonts w:asciiTheme="majorHAnsi" w:eastAsia="Times New Roman" w:hAnsiTheme="majorHAnsi"/>
          <w:sz w:val="20"/>
          <w:szCs w:val="20"/>
        </w:rPr>
        <w:t xml:space="preserve">The </w:t>
      </w:r>
      <w:r w:rsidR="002647DD" w:rsidRPr="00B24750">
        <w:rPr>
          <w:rFonts w:asciiTheme="majorHAnsi" w:eastAsia="Times New Roman" w:hAnsiTheme="majorHAnsi"/>
          <w:sz w:val="20"/>
          <w:szCs w:val="20"/>
        </w:rPr>
        <w:t>bodies of the inter-American system have maintained that the evolution of the body of international human rights law pertaining to the interpretation and application of the American Declaration can be extracted from other regional and international human rights instruments. This includes the American Convention</w:t>
      </w:r>
      <w:r w:rsidR="00E05097" w:rsidRPr="00E05097">
        <w:t xml:space="preserve"> </w:t>
      </w:r>
      <w:r w:rsidR="00E05097" w:rsidRPr="00E05097">
        <w:rPr>
          <w:rFonts w:asciiTheme="majorHAnsi" w:eastAsia="Times New Roman" w:hAnsiTheme="majorHAnsi"/>
          <w:sz w:val="20"/>
          <w:szCs w:val="20"/>
        </w:rPr>
        <w:t xml:space="preserve">and the </w:t>
      </w:r>
      <w:r w:rsidR="004A6038" w:rsidRPr="004A6038">
        <w:rPr>
          <w:rFonts w:asciiTheme="majorHAnsi" w:eastAsia="Times New Roman" w:hAnsiTheme="majorHAnsi"/>
          <w:sz w:val="20"/>
          <w:szCs w:val="20"/>
        </w:rPr>
        <w:t>Inter-American Convention on the Prevention, Punishment, and Eradication of Violence against Women</w:t>
      </w:r>
      <w:r w:rsidR="004A6038">
        <w:rPr>
          <w:rFonts w:asciiTheme="majorHAnsi" w:eastAsia="Times New Roman" w:hAnsiTheme="majorHAnsi"/>
          <w:sz w:val="20"/>
          <w:szCs w:val="20"/>
        </w:rPr>
        <w:t xml:space="preserve"> (</w:t>
      </w:r>
      <w:proofErr w:type="spellStart"/>
      <w:r w:rsidR="004A6038" w:rsidRPr="004A6038">
        <w:rPr>
          <w:rFonts w:asciiTheme="majorHAnsi" w:eastAsia="Times New Roman" w:hAnsiTheme="majorHAnsi"/>
          <w:sz w:val="20"/>
          <w:szCs w:val="20"/>
        </w:rPr>
        <w:t>Belém</w:t>
      </w:r>
      <w:proofErr w:type="spellEnd"/>
      <w:r w:rsidR="004A6038" w:rsidRPr="004A6038">
        <w:rPr>
          <w:rFonts w:asciiTheme="majorHAnsi" w:eastAsia="Times New Roman" w:hAnsiTheme="majorHAnsi"/>
          <w:sz w:val="20"/>
          <w:szCs w:val="20"/>
        </w:rPr>
        <w:t xml:space="preserve"> do Pará Convention</w:t>
      </w:r>
      <w:r w:rsidR="00E05097" w:rsidRPr="00E05097">
        <w:rPr>
          <w:rFonts w:asciiTheme="majorHAnsi" w:eastAsia="Times New Roman" w:hAnsiTheme="majorHAnsi"/>
          <w:sz w:val="20"/>
          <w:szCs w:val="20"/>
        </w:rPr>
        <w:t>)</w:t>
      </w:r>
      <w:r w:rsidR="002647DD" w:rsidRPr="00B24750">
        <w:rPr>
          <w:rFonts w:asciiTheme="majorHAnsi" w:eastAsia="Times New Roman" w:hAnsiTheme="majorHAnsi"/>
          <w:sz w:val="20"/>
          <w:szCs w:val="20"/>
        </w:rPr>
        <w:t xml:space="preserve">, which </w:t>
      </w:r>
      <w:r>
        <w:rPr>
          <w:rFonts w:asciiTheme="majorHAnsi" w:eastAsia="Times New Roman" w:hAnsiTheme="majorHAnsi"/>
          <w:sz w:val="20"/>
          <w:szCs w:val="20"/>
        </w:rPr>
        <w:t xml:space="preserve">often </w:t>
      </w:r>
      <w:r w:rsidR="002647DD" w:rsidRPr="00B24750">
        <w:rPr>
          <w:rFonts w:asciiTheme="majorHAnsi" w:eastAsia="Times New Roman" w:hAnsiTheme="majorHAnsi"/>
          <w:sz w:val="20"/>
          <w:szCs w:val="20"/>
        </w:rPr>
        <w:t>can be considered representative of the fundamental principles established in the American Declaration. It also includes the provisions of other multilateral treaties adopted within and outside the framework of the inter-American system, including the International Covenant on Civil and Political Rights</w:t>
      </w:r>
      <w:r w:rsidR="000374A3" w:rsidRPr="000374A3">
        <w:t xml:space="preserve"> </w:t>
      </w:r>
      <w:r w:rsidR="000374A3" w:rsidRPr="000374A3">
        <w:rPr>
          <w:rFonts w:asciiTheme="majorHAnsi" w:eastAsia="Times New Roman" w:hAnsiTheme="majorHAnsi"/>
          <w:sz w:val="20"/>
          <w:szCs w:val="20"/>
        </w:rPr>
        <w:t>and the Convention on the Elimination of all Forms of Discrimination against Women, the latter ratified by Cuba on July 17, 1980</w:t>
      </w:r>
      <w:r w:rsidR="002647DD" w:rsidRPr="00B24750">
        <w:rPr>
          <w:rFonts w:asciiTheme="majorHAnsi" w:eastAsia="Times New Roman" w:hAnsiTheme="majorHAnsi"/>
          <w:sz w:val="20"/>
          <w:szCs w:val="20"/>
        </w:rPr>
        <w:t>.</w:t>
      </w:r>
      <w:r w:rsidR="002647DD" w:rsidRPr="00B24750">
        <w:rPr>
          <w:rStyle w:val="FootnoteReference"/>
          <w:rFonts w:asciiTheme="majorHAnsi" w:eastAsia="Times New Roman" w:hAnsiTheme="majorHAnsi"/>
          <w:sz w:val="20"/>
          <w:szCs w:val="20"/>
        </w:rPr>
        <w:footnoteReference w:id="135"/>
      </w:r>
    </w:p>
    <w:p w14:paraId="30731984" w14:textId="77777777" w:rsidR="00E97D9E" w:rsidRPr="00B24750" w:rsidRDefault="00E97D9E" w:rsidP="009D14E7">
      <w:pPr>
        <w:jc w:val="both"/>
        <w:rPr>
          <w:rFonts w:asciiTheme="majorHAnsi" w:hAnsiTheme="majorHAnsi"/>
          <w:sz w:val="20"/>
          <w:szCs w:val="20"/>
          <w:lang w:val="en-US"/>
        </w:rPr>
      </w:pPr>
    </w:p>
    <w:p w14:paraId="19021DDF" w14:textId="2399AA56" w:rsidR="002647DD" w:rsidRPr="00B24750" w:rsidRDefault="002647DD"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In its </w:t>
      </w:r>
      <w:r w:rsidR="006E62A8">
        <w:rPr>
          <w:rFonts w:asciiTheme="majorHAnsi" w:hAnsiTheme="majorHAnsi"/>
          <w:sz w:val="20"/>
          <w:szCs w:val="20"/>
        </w:rPr>
        <w:t>analysis</w:t>
      </w:r>
      <w:r w:rsidRPr="00B24750">
        <w:rPr>
          <w:rFonts w:asciiTheme="majorHAnsi" w:hAnsiTheme="majorHAnsi"/>
          <w:sz w:val="20"/>
          <w:szCs w:val="20"/>
        </w:rPr>
        <w:t>, the Commission will—to the extent appropriate—interpret and apply the provisions of the American Declaration in light of current developments in international human rights law, as illustrated by treaties, custom, and other relevant sources of international law.</w:t>
      </w:r>
      <w:r w:rsidRPr="00B24750">
        <w:rPr>
          <w:rStyle w:val="FootnoteReference"/>
          <w:rFonts w:asciiTheme="majorHAnsi" w:hAnsiTheme="majorHAnsi"/>
          <w:sz w:val="20"/>
          <w:szCs w:val="20"/>
        </w:rPr>
        <w:footnoteReference w:id="136"/>
      </w:r>
    </w:p>
    <w:p w14:paraId="752D448A" w14:textId="77777777" w:rsidR="00E97D9E" w:rsidRPr="00B24750" w:rsidRDefault="00E97D9E" w:rsidP="009D14E7">
      <w:pPr>
        <w:jc w:val="both"/>
        <w:rPr>
          <w:rFonts w:asciiTheme="majorHAnsi" w:hAnsiTheme="majorHAnsi"/>
          <w:sz w:val="20"/>
          <w:szCs w:val="20"/>
          <w:lang w:val="en-US"/>
        </w:rPr>
      </w:pPr>
    </w:p>
    <w:p w14:paraId="64AB6807" w14:textId="54D6EF5D" w:rsidR="00E97D9E" w:rsidRDefault="006F0A74" w:rsidP="009D14E7">
      <w:pPr>
        <w:pStyle w:val="ListParagraph"/>
        <w:numPr>
          <w:ilvl w:val="0"/>
          <w:numId w:val="55"/>
        </w:numPr>
        <w:autoSpaceDE w:val="0"/>
        <w:autoSpaceDN w:val="0"/>
        <w:adjustRightInd w:val="0"/>
        <w:ind w:firstLine="0"/>
        <w:jc w:val="both"/>
        <w:rPr>
          <w:rFonts w:asciiTheme="majorHAnsi" w:hAnsiTheme="majorHAnsi"/>
          <w:sz w:val="20"/>
          <w:szCs w:val="20"/>
        </w:rPr>
      </w:pPr>
      <w:r w:rsidRPr="00B24750">
        <w:rPr>
          <w:rFonts w:asciiTheme="majorHAnsi" w:hAnsiTheme="majorHAnsi"/>
          <w:sz w:val="20"/>
          <w:szCs w:val="20"/>
        </w:rPr>
        <w:t xml:space="preserve">In </w:t>
      </w:r>
      <w:r w:rsidR="00435E86">
        <w:rPr>
          <w:rFonts w:asciiTheme="majorHAnsi" w:hAnsiTheme="majorHAnsi"/>
          <w:sz w:val="20"/>
          <w:szCs w:val="20"/>
        </w:rPr>
        <w:t>view</w:t>
      </w:r>
      <w:r w:rsidRPr="00B24750">
        <w:rPr>
          <w:rFonts w:asciiTheme="majorHAnsi" w:hAnsiTheme="majorHAnsi"/>
          <w:sz w:val="20"/>
          <w:szCs w:val="20"/>
        </w:rPr>
        <w:t xml:space="preserve"> of these principles, the Commission will consider and apply the relevant provisions of the American Declaration to determine whether the State of Cuba violated the rights enshrined in the abovementioned articles</w:t>
      </w:r>
      <w:r w:rsidR="00964AA8" w:rsidRPr="00B24750">
        <w:rPr>
          <w:rFonts w:asciiTheme="majorHAnsi" w:hAnsiTheme="majorHAnsi"/>
          <w:sz w:val="20"/>
          <w:szCs w:val="20"/>
        </w:rPr>
        <w:t xml:space="preserve">. </w:t>
      </w:r>
    </w:p>
    <w:p w14:paraId="7802DE02" w14:textId="77777777" w:rsidR="009D14E7" w:rsidRPr="009D14E7" w:rsidRDefault="009D14E7" w:rsidP="009D14E7">
      <w:pPr>
        <w:pStyle w:val="ListParagraph"/>
        <w:rPr>
          <w:rFonts w:asciiTheme="majorHAnsi" w:hAnsiTheme="majorHAnsi"/>
          <w:sz w:val="20"/>
          <w:szCs w:val="20"/>
        </w:rPr>
      </w:pPr>
    </w:p>
    <w:p w14:paraId="54A9B5B9" w14:textId="77777777" w:rsidR="009D14E7" w:rsidRPr="00B24750" w:rsidRDefault="009D14E7" w:rsidP="00F66452">
      <w:pPr>
        <w:pStyle w:val="Heading2"/>
        <w:numPr>
          <w:ilvl w:val="0"/>
          <w:numId w:val="0"/>
        </w:numPr>
      </w:pPr>
    </w:p>
    <w:p w14:paraId="55A618D7" w14:textId="382D6AD9" w:rsidR="009D14E7" w:rsidRDefault="00206BA2" w:rsidP="00F66452">
      <w:pPr>
        <w:pStyle w:val="Heading2"/>
      </w:pPr>
      <w:bookmarkStart w:id="24" w:name="_Toc90392476"/>
      <w:r w:rsidRPr="00B24750">
        <w:rPr>
          <w:rFonts w:eastAsia="SimSun"/>
        </w:rPr>
        <w:t>Right</w:t>
      </w:r>
      <w:r w:rsidR="000E7A7F" w:rsidRPr="00B24750">
        <w:rPr>
          <w:rFonts w:eastAsia="SimSun"/>
        </w:rPr>
        <w:t xml:space="preserve"> </w:t>
      </w:r>
      <w:r w:rsidRPr="00B24750">
        <w:rPr>
          <w:rFonts w:eastAsia="SimSun"/>
        </w:rPr>
        <w:t xml:space="preserve">to life, liberty, and personal security </w:t>
      </w:r>
      <w:r w:rsidRPr="00B24750">
        <w:t>(Article I)</w:t>
      </w:r>
      <w:r w:rsidRPr="00B24750">
        <w:rPr>
          <w:rStyle w:val="FootnoteReference"/>
        </w:rPr>
        <w:footnoteReference w:id="137"/>
      </w:r>
      <w:r w:rsidR="00964097">
        <w:t xml:space="preserve">, </w:t>
      </w:r>
      <w:r w:rsidR="006A1D4E">
        <w:t xml:space="preserve">right to </w:t>
      </w:r>
      <w:r w:rsidR="006A1D4E" w:rsidRPr="006A1D4E">
        <w:t>equality before law</w:t>
      </w:r>
      <w:r w:rsidR="006A1D4E" w:rsidRPr="00B24750">
        <w:rPr>
          <w:rStyle w:val="FootnoteReference"/>
        </w:rPr>
        <w:footnoteReference w:id="138"/>
      </w:r>
      <w:r w:rsidR="006A1D4E">
        <w:t xml:space="preserve">, </w:t>
      </w:r>
      <w:r w:rsidRPr="00B24750">
        <w:t>and right of protection from arbitrary arrest (Article XXV)</w:t>
      </w:r>
      <w:r w:rsidRPr="00B24750">
        <w:rPr>
          <w:rStyle w:val="FootnoteReference"/>
        </w:rPr>
        <w:footnoteReference w:id="139"/>
      </w:r>
      <w:bookmarkEnd w:id="24"/>
      <w:r w:rsidRPr="00B24750">
        <w:t xml:space="preserve"> </w:t>
      </w:r>
    </w:p>
    <w:p w14:paraId="4168E4DE" w14:textId="77777777" w:rsidR="009D14E7" w:rsidRPr="009D14E7" w:rsidRDefault="009D14E7" w:rsidP="009D14E7">
      <w:pPr>
        <w:rPr>
          <w:lang w:val="en-US"/>
        </w:rPr>
      </w:pPr>
    </w:p>
    <w:p w14:paraId="3B912023" w14:textId="4422EE48" w:rsidR="00C96C81" w:rsidRPr="007B681D" w:rsidRDefault="00206BA2" w:rsidP="007B681D">
      <w:pPr>
        <w:pStyle w:val="Heading3"/>
        <w:numPr>
          <w:ilvl w:val="0"/>
          <w:numId w:val="69"/>
        </w:numPr>
        <w:tabs>
          <w:tab w:val="left" w:pos="720"/>
          <w:tab w:val="left" w:pos="810"/>
        </w:tabs>
        <w:ind w:left="720" w:hanging="720"/>
      </w:pPr>
      <w:bookmarkStart w:id="25" w:name="_Toc90392477"/>
      <w:r w:rsidRPr="007B681D">
        <w:t>Illegality and arbitrariness of the detentions</w:t>
      </w:r>
      <w:bookmarkEnd w:id="25"/>
    </w:p>
    <w:p w14:paraId="103DD643" w14:textId="77777777" w:rsidR="001F0295" w:rsidRPr="00B24750" w:rsidRDefault="001F0295" w:rsidP="005038D5">
      <w:pPr>
        <w:ind w:right="720"/>
        <w:jc w:val="both"/>
        <w:rPr>
          <w:rFonts w:asciiTheme="majorHAnsi" w:hAnsiTheme="majorHAnsi"/>
          <w:sz w:val="20"/>
          <w:szCs w:val="20"/>
          <w:lang w:val="en-US"/>
        </w:rPr>
      </w:pPr>
    </w:p>
    <w:p w14:paraId="286DEE48" w14:textId="6ACD6ADA" w:rsidR="006252EB" w:rsidRPr="00B24750" w:rsidRDefault="006252EB" w:rsidP="009D14E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rPr>
      </w:pPr>
      <w:r w:rsidRPr="00B24750">
        <w:rPr>
          <w:rFonts w:asciiTheme="majorHAnsi" w:hAnsiTheme="majorHAnsi"/>
          <w:sz w:val="20"/>
        </w:rPr>
        <w:t>Article XXV of the American Declaration establishes guarantees that seek to protect persons from unlawful or arbitrary interference with their liberty by the State. The IACHR has held that “</w:t>
      </w:r>
      <w:r w:rsidR="003465BC" w:rsidRPr="00B24750">
        <w:rPr>
          <w:rFonts w:asciiTheme="majorHAnsi" w:hAnsiTheme="majorHAnsi"/>
          <w:sz w:val="20"/>
        </w:rPr>
        <w:t>among the protections guaranteed are the requirements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B24750">
        <w:rPr>
          <w:rFonts w:asciiTheme="majorHAnsi" w:hAnsiTheme="majorHAnsi"/>
          <w:sz w:val="20"/>
        </w:rPr>
        <w:t>.”</w:t>
      </w:r>
      <w:r w:rsidRPr="00B24750">
        <w:rPr>
          <w:rStyle w:val="FootnoteReference"/>
          <w:rFonts w:asciiTheme="majorHAnsi" w:eastAsia="Arial Unicode MS" w:hAnsiTheme="majorHAnsi"/>
          <w:sz w:val="20"/>
          <w:szCs w:val="20"/>
        </w:rPr>
        <w:footnoteReference w:id="140"/>
      </w:r>
    </w:p>
    <w:p w14:paraId="6236278C" w14:textId="77777777" w:rsidR="001F0295" w:rsidRPr="00B24750" w:rsidRDefault="001F0295" w:rsidP="009D14E7">
      <w:pPr>
        <w:pStyle w:val="NormalWeb"/>
        <w:shd w:val="clear" w:color="auto" w:fill="FFFFFF"/>
        <w:tabs>
          <w:tab w:val="left" w:pos="360"/>
        </w:tabs>
        <w:spacing w:before="0" w:beforeAutospacing="0" w:after="0" w:afterAutospacing="0"/>
        <w:jc w:val="both"/>
        <w:rPr>
          <w:rFonts w:asciiTheme="majorHAnsi" w:hAnsiTheme="majorHAnsi"/>
          <w:sz w:val="20"/>
        </w:rPr>
      </w:pPr>
    </w:p>
    <w:p w14:paraId="67F90024" w14:textId="56836322" w:rsidR="00462834" w:rsidRPr="00B24750" w:rsidRDefault="00462834" w:rsidP="009D14E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rPr>
      </w:pPr>
      <w:r w:rsidRPr="00B24750">
        <w:rPr>
          <w:rFonts w:asciiTheme="majorHAnsi" w:hAnsiTheme="majorHAnsi"/>
          <w:sz w:val="20"/>
          <w:szCs w:val="20"/>
        </w:rPr>
        <w:t xml:space="preserve">Under inter-American human rights law, no one may be subjected to arrest or detention for reasons or by methods that—although classified as lawful—may be incompatible with the fundamental rights of the individual because they are, </w:t>
      </w:r>
      <w:r w:rsidRPr="00B24750">
        <w:rPr>
          <w:rFonts w:asciiTheme="majorHAnsi" w:hAnsiTheme="majorHAnsi"/>
          <w:i/>
          <w:iCs/>
          <w:sz w:val="20"/>
          <w:szCs w:val="20"/>
        </w:rPr>
        <w:t>inter alia</w:t>
      </w:r>
      <w:r w:rsidRPr="00B24750">
        <w:rPr>
          <w:rFonts w:asciiTheme="majorHAnsi" w:hAnsiTheme="majorHAnsi"/>
          <w:sz w:val="20"/>
          <w:szCs w:val="20"/>
        </w:rPr>
        <w:t>, unreasonable, unforeseeable, or disproportionate.</w:t>
      </w:r>
      <w:r w:rsidRPr="00B24750">
        <w:rPr>
          <w:rStyle w:val="FootnoteReference"/>
          <w:rFonts w:asciiTheme="majorHAnsi" w:eastAsia="Arial Unicode MS" w:hAnsiTheme="majorHAnsi"/>
          <w:sz w:val="20"/>
          <w:szCs w:val="20"/>
          <w:bdr w:val="nil"/>
        </w:rPr>
        <w:footnoteReference w:id="141"/>
      </w:r>
      <w:r w:rsidRPr="00B24750">
        <w:rPr>
          <w:rFonts w:asciiTheme="majorHAnsi" w:hAnsiTheme="majorHAnsi"/>
          <w:sz w:val="20"/>
          <w:szCs w:val="20"/>
        </w:rPr>
        <w:t xml:space="preserve"> Therefore, </w:t>
      </w:r>
      <w:r w:rsidR="00FF5007" w:rsidRPr="00B24750">
        <w:rPr>
          <w:rFonts w:asciiTheme="majorHAnsi" w:hAnsiTheme="majorHAnsi"/>
          <w:sz w:val="20"/>
          <w:szCs w:val="20"/>
        </w:rPr>
        <w:t xml:space="preserve">not only </w:t>
      </w:r>
      <w:r w:rsidR="00FF5007" w:rsidRPr="00B24750">
        <w:rPr>
          <w:rFonts w:asciiTheme="majorHAnsi" w:hAnsiTheme="majorHAnsi"/>
          <w:sz w:val="20"/>
          <w:szCs w:val="20"/>
        </w:rPr>
        <w:lastRenderedPageBreak/>
        <w:t xml:space="preserve">must </w:t>
      </w:r>
      <w:r w:rsidRPr="00B24750">
        <w:rPr>
          <w:rFonts w:asciiTheme="majorHAnsi" w:hAnsiTheme="majorHAnsi"/>
          <w:sz w:val="20"/>
          <w:szCs w:val="20"/>
        </w:rPr>
        <w:t xml:space="preserve">any detention be carried out in </w:t>
      </w:r>
      <w:r w:rsidR="00FF5007" w:rsidRPr="00B24750">
        <w:rPr>
          <w:rFonts w:asciiTheme="majorHAnsi" w:hAnsiTheme="majorHAnsi"/>
          <w:sz w:val="20"/>
          <w:szCs w:val="20"/>
        </w:rPr>
        <w:t>keeping</w:t>
      </w:r>
      <w:r w:rsidRPr="00B24750">
        <w:rPr>
          <w:rFonts w:asciiTheme="majorHAnsi" w:hAnsiTheme="majorHAnsi"/>
          <w:sz w:val="20"/>
          <w:szCs w:val="20"/>
        </w:rPr>
        <w:t xml:space="preserve"> with domestic law, but the domestic l</w:t>
      </w:r>
      <w:r w:rsidR="00FF5007" w:rsidRPr="00B24750">
        <w:rPr>
          <w:rFonts w:asciiTheme="majorHAnsi" w:hAnsiTheme="majorHAnsi"/>
          <w:sz w:val="20"/>
          <w:szCs w:val="20"/>
        </w:rPr>
        <w:t>aw</w:t>
      </w:r>
      <w:r w:rsidRPr="00B24750">
        <w:rPr>
          <w:rFonts w:asciiTheme="majorHAnsi" w:hAnsiTheme="majorHAnsi"/>
          <w:sz w:val="20"/>
          <w:szCs w:val="20"/>
        </w:rPr>
        <w:t>, the applicable procedure</w:t>
      </w:r>
      <w:r w:rsidR="00FF5007" w:rsidRPr="00B24750">
        <w:rPr>
          <w:rFonts w:asciiTheme="majorHAnsi" w:hAnsiTheme="majorHAnsi"/>
          <w:sz w:val="20"/>
          <w:szCs w:val="20"/>
        </w:rPr>
        <w:t>,</w:t>
      </w:r>
      <w:r w:rsidRPr="00B24750">
        <w:rPr>
          <w:rFonts w:asciiTheme="majorHAnsi" w:hAnsiTheme="majorHAnsi"/>
          <w:sz w:val="20"/>
          <w:szCs w:val="20"/>
        </w:rPr>
        <w:t xml:space="preserve"> and the related express or impl</w:t>
      </w:r>
      <w:r w:rsidR="00FF5007" w:rsidRPr="00B24750">
        <w:rPr>
          <w:rFonts w:asciiTheme="majorHAnsi" w:hAnsiTheme="majorHAnsi"/>
          <w:sz w:val="20"/>
          <w:szCs w:val="20"/>
        </w:rPr>
        <w:t>ied</w:t>
      </w:r>
      <w:r w:rsidRPr="00B24750">
        <w:rPr>
          <w:rFonts w:asciiTheme="majorHAnsi" w:hAnsiTheme="majorHAnsi"/>
          <w:sz w:val="20"/>
          <w:szCs w:val="20"/>
        </w:rPr>
        <w:t xml:space="preserve"> general principles </w:t>
      </w:r>
      <w:r w:rsidR="00FF5007" w:rsidRPr="00B24750">
        <w:rPr>
          <w:rFonts w:asciiTheme="majorHAnsi" w:hAnsiTheme="majorHAnsi"/>
          <w:sz w:val="20"/>
          <w:szCs w:val="20"/>
        </w:rPr>
        <w:t xml:space="preserve">must also </w:t>
      </w:r>
      <w:r w:rsidRPr="00B24750">
        <w:rPr>
          <w:rFonts w:asciiTheme="majorHAnsi" w:hAnsiTheme="majorHAnsi"/>
          <w:sz w:val="20"/>
          <w:szCs w:val="20"/>
        </w:rPr>
        <w:t>be compatible with inter-American instruments and norms.</w:t>
      </w:r>
      <w:r w:rsidRPr="00B24750">
        <w:rPr>
          <w:rStyle w:val="FootnoteReference"/>
          <w:rFonts w:asciiTheme="majorHAnsi" w:hAnsiTheme="majorHAnsi"/>
          <w:sz w:val="20"/>
          <w:szCs w:val="20"/>
        </w:rPr>
        <w:footnoteReference w:id="142"/>
      </w:r>
    </w:p>
    <w:p w14:paraId="2E782DD6" w14:textId="77777777" w:rsidR="001F0295" w:rsidRPr="00B24750" w:rsidRDefault="001F0295" w:rsidP="005F7FE2">
      <w:pPr>
        <w:pStyle w:val="NormalWeb"/>
        <w:shd w:val="clear" w:color="auto" w:fill="FFFFFF"/>
        <w:tabs>
          <w:tab w:val="left" w:pos="360"/>
        </w:tabs>
        <w:spacing w:before="0" w:beforeAutospacing="0" w:after="0" w:afterAutospacing="0"/>
        <w:jc w:val="both"/>
        <w:rPr>
          <w:rFonts w:asciiTheme="majorHAnsi" w:hAnsiTheme="majorHAnsi"/>
          <w:sz w:val="20"/>
        </w:rPr>
      </w:pPr>
    </w:p>
    <w:p w14:paraId="43E7C734" w14:textId="67908E45" w:rsidR="00CB093C" w:rsidRPr="00B24750" w:rsidRDefault="006E62A8" w:rsidP="009D14E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rPr>
      </w:pPr>
      <w:r>
        <w:rPr>
          <w:rFonts w:asciiTheme="majorHAnsi" w:hAnsiTheme="majorHAnsi"/>
          <w:sz w:val="20"/>
          <w:szCs w:val="20"/>
        </w:rPr>
        <w:t xml:space="preserve">According </w:t>
      </w:r>
      <w:r w:rsidR="00CB093C" w:rsidRPr="00B24750">
        <w:rPr>
          <w:rFonts w:asciiTheme="majorHAnsi" w:hAnsiTheme="majorHAnsi"/>
          <w:sz w:val="20"/>
          <w:szCs w:val="20"/>
        </w:rPr>
        <w:t>to the United Nations Body of Principles for the Protection of All Persons under Any Form of Detention or Imprisonment, “any form of detention or imprisonment and all measures affecting the human rights of a person under any form of detention or imprisonment shall be ordered by, or be subject to the effective control of, a judicial or other authority.”</w:t>
      </w:r>
      <w:r w:rsidR="00CB093C" w:rsidRPr="00B24750">
        <w:rPr>
          <w:rStyle w:val="FootnoteReference"/>
          <w:rFonts w:asciiTheme="majorHAnsi" w:eastAsia="Arial Unicode MS" w:hAnsiTheme="majorHAnsi"/>
          <w:sz w:val="20"/>
          <w:szCs w:val="20"/>
          <w:bdr w:val="nil"/>
        </w:rPr>
        <w:footnoteReference w:id="143"/>
      </w:r>
      <w:r w:rsidR="00CB093C" w:rsidRPr="00B24750">
        <w:rPr>
          <w:rFonts w:asciiTheme="majorHAnsi" w:hAnsiTheme="majorHAnsi"/>
          <w:sz w:val="20"/>
          <w:szCs w:val="20"/>
        </w:rPr>
        <w:t xml:space="preserve"> </w:t>
      </w:r>
      <w:r w:rsidR="00CB093C" w:rsidRPr="00B24750">
        <w:rPr>
          <w:rFonts w:asciiTheme="majorHAnsi" w:eastAsia="Calibri" w:hAnsiTheme="majorHAnsi"/>
          <w:sz w:val="20"/>
          <w:szCs w:val="20"/>
        </w:rPr>
        <w:t>The requirement that detention not be left to the sole discretion of the State agents responsible for carrying it out is so fundamental that it cannot be ignored in any context. The supervision and control of detention is an essential safeguard since it provides effective guarantees that the detainee is not solely at the mercy of the detaining authority. Under normal circumstances, the l</w:t>
      </w:r>
      <w:r w:rsidR="00FE2E5F" w:rsidRPr="00B24750">
        <w:rPr>
          <w:rFonts w:asciiTheme="majorHAnsi" w:eastAsia="Calibri" w:hAnsiTheme="majorHAnsi"/>
          <w:sz w:val="20"/>
          <w:szCs w:val="20"/>
        </w:rPr>
        <w:t>awfulness</w:t>
      </w:r>
      <w:r w:rsidR="00CB093C" w:rsidRPr="00B24750">
        <w:rPr>
          <w:rFonts w:asciiTheme="majorHAnsi" w:eastAsia="Calibri" w:hAnsiTheme="majorHAnsi"/>
          <w:sz w:val="20"/>
          <w:szCs w:val="20"/>
        </w:rPr>
        <w:t xml:space="preserve"> of detention should be </w:t>
      </w:r>
      <w:r w:rsidR="00DD7C06" w:rsidRPr="00B24750">
        <w:rPr>
          <w:rFonts w:asciiTheme="majorHAnsi" w:eastAsia="Calibri" w:hAnsiTheme="majorHAnsi"/>
          <w:sz w:val="20"/>
          <w:szCs w:val="20"/>
        </w:rPr>
        <w:t>reviewed</w:t>
      </w:r>
      <w:r w:rsidR="00CB093C" w:rsidRPr="00B24750">
        <w:rPr>
          <w:rFonts w:asciiTheme="majorHAnsi" w:eastAsia="Calibri" w:hAnsiTheme="majorHAnsi"/>
          <w:sz w:val="20"/>
          <w:szCs w:val="20"/>
        </w:rPr>
        <w:t xml:space="preserve"> without delay, which generally means as soon as possible.</w:t>
      </w:r>
      <w:r w:rsidR="00CB093C" w:rsidRPr="00B24750">
        <w:rPr>
          <w:rStyle w:val="FootnoteReference"/>
          <w:rFonts w:asciiTheme="majorHAnsi" w:eastAsia="Calibri" w:hAnsiTheme="majorHAnsi"/>
          <w:sz w:val="20"/>
          <w:szCs w:val="20"/>
        </w:rPr>
        <w:footnoteReference w:id="144"/>
      </w:r>
    </w:p>
    <w:p w14:paraId="3562E018" w14:textId="77777777" w:rsidR="00CB093C" w:rsidRPr="00B24750" w:rsidRDefault="00CB093C" w:rsidP="009D14E7">
      <w:pPr>
        <w:pStyle w:val="NormalWeb"/>
        <w:shd w:val="clear" w:color="auto" w:fill="FFFFFF"/>
        <w:tabs>
          <w:tab w:val="left" w:pos="360"/>
        </w:tabs>
        <w:spacing w:before="0" w:beforeAutospacing="0" w:after="0" w:afterAutospacing="0"/>
        <w:jc w:val="both"/>
        <w:rPr>
          <w:rFonts w:asciiTheme="majorHAnsi" w:hAnsiTheme="majorHAnsi"/>
          <w:sz w:val="20"/>
        </w:rPr>
      </w:pPr>
    </w:p>
    <w:p w14:paraId="217FB922" w14:textId="6CCE23CD" w:rsidR="00720402" w:rsidRPr="00B24750" w:rsidRDefault="00720402" w:rsidP="009D14E7">
      <w:pPr>
        <w:pStyle w:val="NormalWeb"/>
        <w:numPr>
          <w:ilvl w:val="0"/>
          <w:numId w:val="55"/>
        </w:numPr>
        <w:shd w:val="clear" w:color="auto" w:fill="FFFFFF"/>
        <w:tabs>
          <w:tab w:val="left" w:pos="360"/>
        </w:tabs>
        <w:spacing w:before="0" w:beforeAutospacing="0" w:after="0" w:afterAutospacing="0"/>
        <w:ind w:firstLine="0"/>
        <w:jc w:val="both"/>
        <w:rPr>
          <w:rFonts w:asciiTheme="majorHAnsi" w:hAnsiTheme="majorHAnsi"/>
          <w:sz w:val="20"/>
        </w:rPr>
      </w:pPr>
      <w:r w:rsidRPr="00B24750">
        <w:rPr>
          <w:rFonts w:asciiTheme="majorHAnsi" w:hAnsiTheme="majorHAnsi"/>
          <w:sz w:val="20"/>
          <w:szCs w:val="20"/>
        </w:rPr>
        <w:t xml:space="preserve">According to the IACHR, the compatibility of the deprivation of liberty with the prohibition </w:t>
      </w:r>
      <w:r w:rsidR="00B65614" w:rsidRPr="00B24750">
        <w:rPr>
          <w:rFonts w:asciiTheme="majorHAnsi" w:hAnsiTheme="majorHAnsi"/>
          <w:sz w:val="20"/>
          <w:szCs w:val="20"/>
        </w:rPr>
        <w:t>against</w:t>
      </w:r>
      <w:r w:rsidRPr="00B24750">
        <w:rPr>
          <w:rFonts w:asciiTheme="majorHAnsi" w:hAnsiTheme="majorHAnsi"/>
          <w:sz w:val="20"/>
          <w:szCs w:val="20"/>
        </w:rPr>
        <w:t xml:space="preserve"> illegal or arbitrary detention </w:t>
      </w:r>
      <w:r w:rsidR="00B65614" w:rsidRPr="00B24750">
        <w:rPr>
          <w:rFonts w:asciiTheme="majorHAnsi" w:hAnsiTheme="majorHAnsi"/>
          <w:sz w:val="20"/>
          <w:szCs w:val="20"/>
        </w:rPr>
        <w:t xml:space="preserve">is determined using a </w:t>
      </w:r>
      <w:r w:rsidRPr="00B24750">
        <w:rPr>
          <w:rFonts w:asciiTheme="majorHAnsi" w:hAnsiTheme="majorHAnsi"/>
          <w:sz w:val="20"/>
          <w:szCs w:val="20"/>
        </w:rPr>
        <w:t>three</w:t>
      </w:r>
      <w:r w:rsidR="00B65614" w:rsidRPr="00B24750">
        <w:rPr>
          <w:rFonts w:asciiTheme="majorHAnsi" w:hAnsiTheme="majorHAnsi"/>
          <w:sz w:val="20"/>
          <w:szCs w:val="20"/>
        </w:rPr>
        <w:t>-</w:t>
      </w:r>
      <w:r w:rsidRPr="00B24750">
        <w:rPr>
          <w:rFonts w:asciiTheme="majorHAnsi" w:hAnsiTheme="majorHAnsi"/>
          <w:sz w:val="20"/>
          <w:szCs w:val="20"/>
        </w:rPr>
        <w:t>step</w:t>
      </w:r>
      <w:r w:rsidR="00B65614" w:rsidRPr="00B24750">
        <w:rPr>
          <w:rFonts w:asciiTheme="majorHAnsi" w:hAnsiTheme="majorHAnsi"/>
          <w:sz w:val="20"/>
          <w:szCs w:val="20"/>
        </w:rPr>
        <w:t xml:space="preserve"> analysis</w:t>
      </w:r>
      <w:r w:rsidRPr="00B24750">
        <w:rPr>
          <w:rFonts w:asciiTheme="majorHAnsi" w:hAnsiTheme="majorHAnsi"/>
          <w:sz w:val="20"/>
          <w:szCs w:val="20"/>
        </w:rPr>
        <w:t xml:space="preserve">. The first </w:t>
      </w:r>
      <w:r w:rsidR="00B65614" w:rsidRPr="00B24750">
        <w:rPr>
          <w:rFonts w:asciiTheme="majorHAnsi" w:hAnsiTheme="majorHAnsi"/>
          <w:sz w:val="20"/>
          <w:szCs w:val="20"/>
        </w:rPr>
        <w:t xml:space="preserve">step </w:t>
      </w:r>
      <w:r w:rsidRPr="00B24750">
        <w:rPr>
          <w:rFonts w:asciiTheme="majorHAnsi" w:hAnsiTheme="majorHAnsi"/>
          <w:sz w:val="20"/>
          <w:szCs w:val="20"/>
        </w:rPr>
        <w:t xml:space="preserve">consists of </w:t>
      </w:r>
      <w:r w:rsidR="00B65614" w:rsidRPr="00B24750">
        <w:rPr>
          <w:rFonts w:asciiTheme="majorHAnsi" w:hAnsiTheme="majorHAnsi"/>
          <w:sz w:val="20"/>
          <w:szCs w:val="20"/>
        </w:rPr>
        <w:t>examining</w:t>
      </w:r>
      <w:r w:rsidRPr="00B24750">
        <w:rPr>
          <w:rFonts w:asciiTheme="majorHAnsi" w:hAnsiTheme="majorHAnsi"/>
          <w:sz w:val="20"/>
          <w:szCs w:val="20"/>
        </w:rPr>
        <w:t xml:space="preserve"> the legality of the detention from a </w:t>
      </w:r>
      <w:r w:rsidR="00B65614" w:rsidRPr="00B24750">
        <w:rPr>
          <w:rFonts w:asciiTheme="majorHAnsi" w:hAnsiTheme="majorHAnsi"/>
          <w:sz w:val="20"/>
          <w:szCs w:val="20"/>
        </w:rPr>
        <w:t>substantive and procedural</w:t>
      </w:r>
      <w:r w:rsidRPr="00B24750">
        <w:rPr>
          <w:rFonts w:asciiTheme="majorHAnsi" w:hAnsiTheme="majorHAnsi"/>
          <w:sz w:val="20"/>
          <w:szCs w:val="20"/>
        </w:rPr>
        <w:t xml:space="preserve"> </w:t>
      </w:r>
      <w:r w:rsidR="006E62A8">
        <w:rPr>
          <w:rFonts w:asciiTheme="majorHAnsi" w:hAnsiTheme="majorHAnsi"/>
          <w:sz w:val="20"/>
          <w:szCs w:val="20"/>
        </w:rPr>
        <w:t>viewpoint</w:t>
      </w:r>
      <w:r w:rsidRPr="00B24750">
        <w:rPr>
          <w:rFonts w:asciiTheme="majorHAnsi" w:hAnsiTheme="majorHAnsi"/>
          <w:sz w:val="20"/>
          <w:szCs w:val="20"/>
        </w:rPr>
        <w:t xml:space="preserve">. </w:t>
      </w:r>
      <w:r w:rsidR="00B65614" w:rsidRPr="00B24750">
        <w:rPr>
          <w:rFonts w:asciiTheme="majorHAnsi" w:hAnsiTheme="majorHAnsi"/>
          <w:sz w:val="20"/>
          <w:szCs w:val="20"/>
        </w:rPr>
        <w:t>This involves ascertaining</w:t>
      </w:r>
      <w:r w:rsidRPr="00B24750">
        <w:rPr>
          <w:rFonts w:asciiTheme="majorHAnsi" w:hAnsiTheme="majorHAnsi"/>
          <w:sz w:val="20"/>
          <w:szCs w:val="20"/>
        </w:rPr>
        <w:t xml:space="preserve"> whether the action is compatible with the domestic </w:t>
      </w:r>
      <w:r w:rsidR="00B65614" w:rsidRPr="00B24750">
        <w:rPr>
          <w:rFonts w:asciiTheme="majorHAnsi" w:hAnsiTheme="majorHAnsi"/>
          <w:sz w:val="20"/>
          <w:szCs w:val="20"/>
        </w:rPr>
        <w:t>law</w:t>
      </w:r>
      <w:r w:rsidRPr="00B24750">
        <w:rPr>
          <w:rFonts w:asciiTheme="majorHAnsi" w:hAnsiTheme="majorHAnsi"/>
          <w:sz w:val="20"/>
          <w:szCs w:val="20"/>
        </w:rPr>
        <w:t xml:space="preserve"> of the State in question. The second step entails </w:t>
      </w:r>
      <w:r w:rsidR="00B65614" w:rsidRPr="00B24750">
        <w:rPr>
          <w:rFonts w:asciiTheme="majorHAnsi" w:hAnsiTheme="majorHAnsi"/>
          <w:sz w:val="20"/>
          <w:szCs w:val="20"/>
        </w:rPr>
        <w:t xml:space="preserve">analyzing </w:t>
      </w:r>
      <w:r w:rsidRPr="00B24750">
        <w:rPr>
          <w:rFonts w:asciiTheme="majorHAnsi" w:hAnsiTheme="majorHAnsi"/>
          <w:sz w:val="20"/>
          <w:szCs w:val="20"/>
        </w:rPr>
        <w:t xml:space="preserve">those domestic provisions within the context of the guarantees established by the </w:t>
      </w:r>
      <w:r w:rsidR="00B65614" w:rsidRPr="00B24750">
        <w:rPr>
          <w:rFonts w:asciiTheme="majorHAnsi" w:hAnsiTheme="majorHAnsi"/>
          <w:sz w:val="20"/>
          <w:szCs w:val="20"/>
        </w:rPr>
        <w:t>i</w:t>
      </w:r>
      <w:r w:rsidRPr="00B24750">
        <w:rPr>
          <w:rFonts w:asciiTheme="majorHAnsi" w:hAnsiTheme="majorHAnsi"/>
          <w:sz w:val="20"/>
          <w:szCs w:val="20"/>
        </w:rPr>
        <w:t xml:space="preserve">nter-American human rights instruments, to determine whether they are arbitrary. Finally, even if the detention meets the requirements of a domestic legal provision compatible with those instruments, it must be determined whether the law </w:t>
      </w:r>
      <w:r w:rsidR="007158B2">
        <w:rPr>
          <w:rFonts w:asciiTheme="majorHAnsi" w:hAnsiTheme="majorHAnsi"/>
          <w:sz w:val="20"/>
          <w:szCs w:val="20"/>
        </w:rPr>
        <w:t xml:space="preserve">was applied arbitrarily </w:t>
      </w:r>
      <w:r w:rsidRPr="00B24750">
        <w:rPr>
          <w:rFonts w:asciiTheme="majorHAnsi" w:hAnsiTheme="majorHAnsi"/>
          <w:sz w:val="20"/>
          <w:szCs w:val="20"/>
        </w:rPr>
        <w:t>in the specific</w:t>
      </w:r>
      <w:r w:rsidR="007158B2">
        <w:rPr>
          <w:rFonts w:asciiTheme="majorHAnsi" w:hAnsiTheme="majorHAnsi"/>
          <w:sz w:val="20"/>
          <w:szCs w:val="20"/>
        </w:rPr>
        <w:t xml:space="preserve"> case</w:t>
      </w:r>
      <w:r w:rsidRPr="00B24750">
        <w:rPr>
          <w:rFonts w:asciiTheme="majorHAnsi" w:hAnsiTheme="majorHAnsi"/>
          <w:sz w:val="20"/>
          <w:szCs w:val="20"/>
        </w:rPr>
        <w:t>.</w:t>
      </w:r>
      <w:r w:rsidRPr="00B24750">
        <w:rPr>
          <w:rStyle w:val="FootnoteReference"/>
          <w:rFonts w:asciiTheme="majorHAnsi" w:hAnsiTheme="majorHAnsi"/>
          <w:sz w:val="20"/>
          <w:szCs w:val="20"/>
        </w:rPr>
        <w:footnoteReference w:id="145"/>
      </w:r>
      <w:r w:rsidRPr="00B24750">
        <w:rPr>
          <w:rFonts w:asciiTheme="majorHAnsi" w:hAnsiTheme="majorHAnsi"/>
          <w:sz w:val="20"/>
          <w:szCs w:val="20"/>
        </w:rPr>
        <w:t xml:space="preserve"> </w:t>
      </w:r>
      <w:r w:rsidR="00B65614" w:rsidRPr="00B24750">
        <w:rPr>
          <w:rFonts w:asciiTheme="majorHAnsi" w:hAnsiTheme="majorHAnsi"/>
          <w:sz w:val="20"/>
          <w:szCs w:val="20"/>
        </w:rPr>
        <w:t>The</w:t>
      </w:r>
      <w:r w:rsidRPr="00B24750">
        <w:rPr>
          <w:rFonts w:asciiTheme="majorHAnsi" w:hAnsiTheme="majorHAnsi" w:cs="Arial"/>
          <w:sz w:val="20"/>
          <w:szCs w:val="20"/>
        </w:rPr>
        <w:t xml:space="preserve"> IACHR </w:t>
      </w:r>
      <w:r w:rsidR="00923815" w:rsidRPr="00B24750">
        <w:rPr>
          <w:rFonts w:asciiTheme="majorHAnsi" w:hAnsiTheme="majorHAnsi" w:cs="Arial"/>
          <w:sz w:val="20"/>
          <w:szCs w:val="20"/>
        </w:rPr>
        <w:t>has stated that, in light of democratic principles, the exercise of freedom of expression</w:t>
      </w:r>
      <w:r w:rsidR="00205E9E" w:rsidRPr="00B24750">
        <w:rPr>
          <w:rFonts w:asciiTheme="majorHAnsi" w:hAnsiTheme="majorHAnsi" w:cs="Arial"/>
          <w:sz w:val="20"/>
          <w:szCs w:val="20"/>
        </w:rPr>
        <w:t>, assembly,</w:t>
      </w:r>
      <w:r w:rsidR="00923815" w:rsidRPr="00B24750">
        <w:rPr>
          <w:rFonts w:asciiTheme="majorHAnsi" w:hAnsiTheme="majorHAnsi" w:cs="Arial"/>
          <w:sz w:val="20"/>
          <w:szCs w:val="20"/>
        </w:rPr>
        <w:t xml:space="preserve"> and association cannot constitute a legitimate reason for the deprivation of a person’s liberty, and therefore results in an arbitrary deprivation of liberty</w:t>
      </w:r>
      <w:r w:rsidRPr="00B24750">
        <w:rPr>
          <w:rFonts w:asciiTheme="majorHAnsi" w:hAnsiTheme="majorHAnsi" w:cs="Arial"/>
          <w:sz w:val="20"/>
          <w:szCs w:val="20"/>
        </w:rPr>
        <w:t>.</w:t>
      </w:r>
      <w:r w:rsidRPr="00B24750">
        <w:rPr>
          <w:rStyle w:val="FootnoteReference"/>
          <w:rFonts w:asciiTheme="majorHAnsi" w:hAnsiTheme="majorHAnsi" w:cs="Arial"/>
          <w:sz w:val="20"/>
          <w:szCs w:val="20"/>
        </w:rPr>
        <w:footnoteReference w:id="146"/>
      </w:r>
      <w:r w:rsidRPr="00B24750">
        <w:rPr>
          <w:rFonts w:asciiTheme="majorHAnsi" w:hAnsiTheme="majorHAnsi" w:cs="Arial"/>
          <w:sz w:val="20"/>
          <w:szCs w:val="20"/>
        </w:rPr>
        <w:t xml:space="preserve"> </w:t>
      </w:r>
      <w:r w:rsidR="00923815" w:rsidRPr="00B24750">
        <w:rPr>
          <w:rFonts w:asciiTheme="majorHAnsi" w:hAnsiTheme="majorHAnsi" w:cs="Arial"/>
          <w:sz w:val="20"/>
          <w:szCs w:val="20"/>
        </w:rPr>
        <w:t>In other words, d</w:t>
      </w:r>
      <w:r w:rsidRPr="00B24750">
        <w:rPr>
          <w:rFonts w:asciiTheme="majorHAnsi" w:hAnsiTheme="majorHAnsi" w:cs="Arial"/>
          <w:sz w:val="20"/>
          <w:szCs w:val="20"/>
        </w:rPr>
        <w:t xml:space="preserve">etention for this purpose does not </w:t>
      </w:r>
      <w:r w:rsidR="00B65614" w:rsidRPr="00B24750">
        <w:rPr>
          <w:rFonts w:asciiTheme="majorHAnsi" w:hAnsiTheme="majorHAnsi" w:cs="Arial"/>
          <w:sz w:val="20"/>
          <w:szCs w:val="20"/>
        </w:rPr>
        <w:t>meet</w:t>
      </w:r>
      <w:r w:rsidRPr="00B24750">
        <w:rPr>
          <w:rFonts w:asciiTheme="majorHAnsi" w:hAnsiTheme="majorHAnsi" w:cs="Arial"/>
          <w:sz w:val="20"/>
          <w:szCs w:val="20"/>
        </w:rPr>
        <w:t xml:space="preserve"> the compatibility </w:t>
      </w:r>
      <w:r w:rsidR="00B65614" w:rsidRPr="00B24750">
        <w:rPr>
          <w:rFonts w:asciiTheme="majorHAnsi" w:hAnsiTheme="majorHAnsi" w:cs="Arial"/>
          <w:sz w:val="20"/>
          <w:szCs w:val="20"/>
        </w:rPr>
        <w:t xml:space="preserve">criteria </w:t>
      </w:r>
      <w:r w:rsidRPr="00B24750">
        <w:rPr>
          <w:rFonts w:asciiTheme="majorHAnsi" w:hAnsiTheme="majorHAnsi" w:cs="Arial"/>
          <w:sz w:val="20"/>
          <w:szCs w:val="20"/>
        </w:rPr>
        <w:t>identified by the IACHR</w:t>
      </w:r>
      <w:r w:rsidR="00B65614" w:rsidRPr="00B24750">
        <w:rPr>
          <w:rFonts w:asciiTheme="majorHAnsi" w:hAnsiTheme="majorHAnsi" w:cs="Arial"/>
          <w:sz w:val="20"/>
          <w:szCs w:val="20"/>
        </w:rPr>
        <w:t xml:space="preserve"> for the deprivation of liberty</w:t>
      </w:r>
      <w:r w:rsidRPr="00B24750">
        <w:rPr>
          <w:rFonts w:asciiTheme="majorHAnsi" w:hAnsiTheme="majorHAnsi" w:cs="Arial"/>
          <w:sz w:val="20"/>
          <w:szCs w:val="20"/>
        </w:rPr>
        <w:t xml:space="preserve">. </w:t>
      </w:r>
    </w:p>
    <w:p w14:paraId="42696715" w14:textId="77777777" w:rsidR="001F0295" w:rsidRPr="00B24750" w:rsidRDefault="001F0295" w:rsidP="009D14E7">
      <w:pPr>
        <w:pStyle w:val="ListParagraph"/>
        <w:ind w:left="0"/>
        <w:rPr>
          <w:rFonts w:asciiTheme="majorHAnsi" w:hAnsiTheme="majorHAnsi"/>
          <w:sz w:val="20"/>
        </w:rPr>
      </w:pPr>
    </w:p>
    <w:p w14:paraId="1F58C679" w14:textId="7020F0E9" w:rsidR="001F0295" w:rsidRPr="009D14E7" w:rsidRDefault="0045734E" w:rsidP="009D14E7">
      <w:pPr>
        <w:pStyle w:val="ListParagraph"/>
        <w:numPr>
          <w:ilvl w:val="0"/>
          <w:numId w:val="55"/>
        </w:numPr>
        <w:ind w:firstLine="0"/>
        <w:jc w:val="both"/>
        <w:rPr>
          <w:rFonts w:asciiTheme="majorHAnsi" w:hAnsiTheme="majorHAnsi"/>
          <w:b/>
          <w:bCs/>
          <w:sz w:val="20"/>
          <w:szCs w:val="20"/>
        </w:rPr>
      </w:pPr>
      <w:r w:rsidRPr="00B24750">
        <w:rPr>
          <w:rFonts w:asciiTheme="majorHAnsi" w:hAnsiTheme="majorHAnsi"/>
          <w:sz w:val="20"/>
          <w:szCs w:val="20"/>
        </w:rPr>
        <w:t>Article XXV of the American Declaration also provides that “</w:t>
      </w:r>
      <w:r w:rsidRPr="00B24750">
        <w:rPr>
          <w:rFonts w:asciiTheme="majorHAnsi" w:eastAsia="Arial Unicode MS" w:hAnsiTheme="majorHAnsi" w:cs="Times New Roman"/>
          <w:color w:val="auto"/>
          <w:sz w:val="20"/>
          <w:szCs w:val="20"/>
          <w:lang w:eastAsia="en-US"/>
        </w:rPr>
        <w:t>every</w:t>
      </w:r>
      <w:r w:rsidR="00C37993" w:rsidRPr="00B24750">
        <w:rPr>
          <w:rFonts w:asciiTheme="majorHAnsi" w:eastAsia="Arial Unicode MS" w:hAnsiTheme="majorHAnsi" w:cs="Times New Roman"/>
          <w:color w:val="auto"/>
          <w:sz w:val="20"/>
          <w:szCs w:val="20"/>
          <w:lang w:eastAsia="en-US"/>
        </w:rPr>
        <w:t xml:space="preserve"> individual who has been deprived of his liberty has the right to have the legality of his detention ascertained without delay by a court</w:t>
      </w:r>
      <w:r w:rsidRPr="00B24750">
        <w:rPr>
          <w:rFonts w:asciiTheme="majorHAnsi" w:eastAsia="Arial Unicode MS" w:hAnsiTheme="majorHAnsi" w:cs="Times New Roman"/>
          <w:color w:val="auto"/>
          <w:sz w:val="20"/>
          <w:szCs w:val="20"/>
          <w:lang w:eastAsia="en-US"/>
        </w:rPr>
        <w:t>.</w:t>
      </w:r>
      <w:r w:rsidR="00C37993" w:rsidRPr="00B24750">
        <w:rPr>
          <w:rFonts w:asciiTheme="majorHAnsi" w:eastAsia="Arial Unicode MS" w:hAnsiTheme="majorHAnsi" w:cs="Times New Roman"/>
          <w:color w:val="auto"/>
          <w:sz w:val="20"/>
          <w:szCs w:val="20"/>
          <w:lang w:eastAsia="en-US"/>
        </w:rPr>
        <w:t>”</w:t>
      </w:r>
      <w:r w:rsidRPr="00B24750">
        <w:rPr>
          <w:rFonts w:asciiTheme="majorHAnsi" w:eastAsia="Arial Unicode MS" w:hAnsiTheme="majorHAnsi" w:cs="Times New Roman"/>
          <w:color w:val="auto"/>
          <w:sz w:val="20"/>
          <w:szCs w:val="20"/>
          <w:lang w:eastAsia="en-US"/>
        </w:rPr>
        <w:t xml:space="preserve"> </w:t>
      </w:r>
      <w:r w:rsidRPr="00B24750">
        <w:rPr>
          <w:rFonts w:asciiTheme="majorHAnsi" w:hAnsiTheme="majorHAnsi"/>
          <w:sz w:val="20"/>
          <w:szCs w:val="20"/>
        </w:rPr>
        <w:t xml:space="preserve">In this </w:t>
      </w:r>
      <w:r w:rsidR="00C37993" w:rsidRPr="00B24750">
        <w:rPr>
          <w:rFonts w:asciiTheme="majorHAnsi" w:hAnsiTheme="majorHAnsi"/>
          <w:sz w:val="20"/>
          <w:szCs w:val="20"/>
        </w:rPr>
        <w:t>regard</w:t>
      </w:r>
      <w:r w:rsidRPr="00B24750">
        <w:rPr>
          <w:rFonts w:asciiTheme="majorHAnsi" w:hAnsiTheme="majorHAnsi"/>
          <w:sz w:val="20"/>
          <w:szCs w:val="20"/>
        </w:rPr>
        <w:t xml:space="preserve">, any person deprived of liberty </w:t>
      </w:r>
      <w:r w:rsidR="00C37993" w:rsidRPr="00B24750">
        <w:rPr>
          <w:rFonts w:asciiTheme="majorHAnsi" w:hAnsiTheme="majorHAnsi"/>
          <w:sz w:val="20"/>
          <w:szCs w:val="20"/>
        </w:rPr>
        <w:t>has</w:t>
      </w:r>
      <w:r w:rsidRPr="00B24750">
        <w:rPr>
          <w:rFonts w:asciiTheme="majorHAnsi" w:hAnsiTheme="majorHAnsi"/>
          <w:sz w:val="20"/>
          <w:szCs w:val="20"/>
        </w:rPr>
        <w:t xml:space="preserve"> the right to simple, prompt</w:t>
      </w:r>
      <w:r w:rsidR="00C37993" w:rsidRPr="00B24750">
        <w:rPr>
          <w:rFonts w:asciiTheme="majorHAnsi" w:hAnsiTheme="majorHAnsi"/>
          <w:sz w:val="20"/>
          <w:szCs w:val="20"/>
        </w:rPr>
        <w:t>,</w:t>
      </w:r>
      <w:r w:rsidRPr="00B24750">
        <w:rPr>
          <w:rFonts w:asciiTheme="majorHAnsi" w:hAnsiTheme="majorHAnsi"/>
          <w:sz w:val="20"/>
          <w:szCs w:val="20"/>
        </w:rPr>
        <w:t xml:space="preserve"> and effective recourse before competent, independent</w:t>
      </w:r>
      <w:r w:rsidR="00C37993" w:rsidRPr="00B24750">
        <w:rPr>
          <w:rFonts w:asciiTheme="majorHAnsi" w:hAnsiTheme="majorHAnsi"/>
          <w:sz w:val="20"/>
          <w:szCs w:val="20"/>
        </w:rPr>
        <w:t>,</w:t>
      </w:r>
      <w:r w:rsidRPr="00B24750">
        <w:rPr>
          <w:rFonts w:asciiTheme="majorHAnsi" w:hAnsiTheme="majorHAnsi"/>
          <w:sz w:val="20"/>
          <w:szCs w:val="20"/>
        </w:rPr>
        <w:t xml:space="preserve"> and impartial authorities</w:t>
      </w:r>
      <w:r w:rsidR="00791637" w:rsidRPr="00B24750">
        <w:rPr>
          <w:rFonts w:asciiTheme="majorHAnsi" w:hAnsiTheme="majorHAnsi"/>
          <w:sz w:val="20"/>
          <w:szCs w:val="20"/>
        </w:rPr>
        <w:t xml:space="preserve"> </w:t>
      </w:r>
      <w:r w:rsidRPr="00B24750">
        <w:rPr>
          <w:rFonts w:asciiTheme="majorHAnsi" w:hAnsiTheme="majorHAnsi"/>
          <w:sz w:val="20"/>
          <w:szCs w:val="20"/>
        </w:rPr>
        <w:t>against acts or omissions that violate or threaten to violate his human rights</w:t>
      </w:r>
      <w:r w:rsidR="00C37993" w:rsidRPr="00B24750">
        <w:rPr>
          <w:rFonts w:asciiTheme="majorHAnsi" w:hAnsiTheme="majorHAnsi"/>
          <w:sz w:val="20"/>
          <w:szCs w:val="20"/>
        </w:rPr>
        <w:t xml:space="preserve">. This </w:t>
      </w:r>
      <w:r w:rsidRPr="00B24750">
        <w:rPr>
          <w:rFonts w:asciiTheme="majorHAnsi" w:hAnsiTheme="majorHAnsi"/>
          <w:sz w:val="20"/>
          <w:szCs w:val="20"/>
        </w:rPr>
        <w:t>includes the right to bring any action</w:t>
      </w:r>
      <w:r w:rsidR="005E7DB2" w:rsidRPr="00B24750">
        <w:rPr>
          <w:rFonts w:asciiTheme="majorHAnsi" w:hAnsiTheme="majorHAnsi"/>
          <w:sz w:val="20"/>
          <w:szCs w:val="20"/>
        </w:rPr>
        <w:t>, whether by himself or through a third party,</w:t>
      </w:r>
      <w:r w:rsidRPr="00B24750">
        <w:rPr>
          <w:rFonts w:asciiTheme="majorHAnsi" w:hAnsiTheme="majorHAnsi"/>
          <w:sz w:val="20"/>
          <w:szCs w:val="20"/>
        </w:rPr>
        <w:t xml:space="preserve"> to safeguard his personal liberty or to challenge the lawfulness of his detention.</w:t>
      </w:r>
      <w:r w:rsidRPr="00B24750">
        <w:rPr>
          <w:rStyle w:val="FootnoteReference"/>
          <w:rFonts w:asciiTheme="majorHAnsi" w:hAnsiTheme="majorHAnsi"/>
          <w:sz w:val="20"/>
          <w:szCs w:val="20"/>
        </w:rPr>
        <w:footnoteReference w:id="147"/>
      </w:r>
      <w:r w:rsidR="00791637" w:rsidRPr="00B24750">
        <w:rPr>
          <w:rFonts w:asciiTheme="majorHAnsi" w:hAnsiTheme="majorHAnsi"/>
          <w:sz w:val="20"/>
          <w:szCs w:val="20"/>
        </w:rPr>
        <w:t xml:space="preserve"> </w:t>
      </w:r>
    </w:p>
    <w:p w14:paraId="15FF50E5" w14:textId="77777777" w:rsidR="009D14E7" w:rsidRPr="009D14E7" w:rsidRDefault="009D14E7" w:rsidP="009D14E7">
      <w:pPr>
        <w:pStyle w:val="ListParagraph"/>
        <w:rPr>
          <w:rFonts w:asciiTheme="majorHAnsi" w:hAnsiTheme="majorHAnsi"/>
          <w:b/>
          <w:bCs/>
          <w:sz w:val="20"/>
          <w:szCs w:val="20"/>
        </w:rPr>
      </w:pPr>
    </w:p>
    <w:p w14:paraId="716BB3E7" w14:textId="10BEC2A6" w:rsidR="002910DA" w:rsidRPr="007B681D" w:rsidRDefault="00536B02" w:rsidP="007B681D">
      <w:pPr>
        <w:pStyle w:val="Heading3"/>
      </w:pPr>
      <w:bookmarkStart w:id="26" w:name="_Toc90392478"/>
      <w:r w:rsidRPr="007B681D">
        <w:t>The humane treatment of persons in the custody of the State</w:t>
      </w:r>
      <w:r w:rsidR="008B0E79" w:rsidRPr="007B681D">
        <w:t>,</w:t>
      </w:r>
      <w:r w:rsidR="00973E5A" w:rsidRPr="007B681D">
        <w:t xml:space="preserve"> the</w:t>
      </w:r>
      <w:r w:rsidR="008B0E79" w:rsidRPr="007B681D">
        <w:t xml:space="preserve"> right to equality and non-discrimination</w:t>
      </w:r>
      <w:r w:rsidR="00973E5A" w:rsidRPr="007B681D">
        <w:t>,</w:t>
      </w:r>
      <w:r w:rsidR="008B0E79" w:rsidRPr="007B681D">
        <w:t xml:space="preserve"> and gender-based violence against women</w:t>
      </w:r>
      <w:bookmarkEnd w:id="26"/>
    </w:p>
    <w:p w14:paraId="4BE185F3" w14:textId="77777777" w:rsidR="002910DA" w:rsidRPr="00B24750" w:rsidRDefault="002910DA" w:rsidP="003B67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bCs/>
          <w:sz w:val="20"/>
          <w:szCs w:val="20"/>
          <w:bdr w:val="none" w:sz="0" w:space="0" w:color="auto"/>
          <w:lang w:val="en-US"/>
        </w:rPr>
      </w:pPr>
    </w:p>
    <w:p w14:paraId="62C03601" w14:textId="2E5D1BCF" w:rsidR="002633E3" w:rsidRPr="00B24750" w:rsidRDefault="002633E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Arial"/>
          <w:sz w:val="20"/>
          <w:szCs w:val="20"/>
          <w:bdr w:val="none" w:sz="0" w:space="0" w:color="auto"/>
          <w:lang w:val="en-US"/>
        </w:rPr>
      </w:pPr>
      <w:r w:rsidRPr="00B24750">
        <w:rPr>
          <w:rFonts w:asciiTheme="majorHAnsi" w:hAnsiTheme="majorHAnsi"/>
          <w:sz w:val="20"/>
          <w:szCs w:val="20"/>
          <w:bdr w:val="none" w:sz="0" w:space="0" w:color="auto"/>
          <w:lang w:val="en-US"/>
        </w:rPr>
        <w:t>The right of persons deprived of their liberty to humane and dignified treatment in the custody of the State is a universally accepted norm in international law. The American Declaration contains several provisions in this regard. The Commission has interpreted Article I of the Declaration (Right to life, liberty, and personal security) as containing a prohibition similar to that of Article 5 of the American Convention.</w:t>
      </w:r>
      <w:r w:rsidRPr="00B24750">
        <w:rPr>
          <w:rFonts w:asciiTheme="majorHAnsi" w:hAnsiTheme="majorHAnsi"/>
          <w:sz w:val="20"/>
          <w:szCs w:val="20"/>
          <w:bdr w:val="none" w:sz="0" w:space="0" w:color="auto"/>
          <w:vertAlign w:val="superscript"/>
          <w:lang w:val="en-US"/>
        </w:rPr>
        <w:footnoteReference w:id="148"/>
      </w:r>
      <w:r w:rsidRPr="00B24750">
        <w:rPr>
          <w:rFonts w:asciiTheme="majorHAnsi" w:hAnsiTheme="majorHAnsi"/>
          <w:sz w:val="20"/>
          <w:szCs w:val="20"/>
          <w:bdr w:val="none" w:sz="0" w:space="0" w:color="auto"/>
          <w:lang w:val="en-US"/>
        </w:rPr>
        <w:t xml:space="preserve"> In addition, Article XXV of the Declaration refers to the right to humane treatment in the context of the right to protection from arbitrary arrest.</w:t>
      </w:r>
      <w:r w:rsidRPr="00B24750">
        <w:rPr>
          <w:rStyle w:val="FootnoteReference"/>
          <w:rFonts w:asciiTheme="majorHAnsi" w:hAnsiTheme="majorHAnsi"/>
          <w:sz w:val="20"/>
          <w:szCs w:val="20"/>
          <w:bdr w:val="none" w:sz="0" w:space="0" w:color="auto"/>
          <w:lang w:val="en-US"/>
        </w:rPr>
        <w:footnoteReference w:id="149"/>
      </w:r>
    </w:p>
    <w:p w14:paraId="1B9EE292" w14:textId="77777777" w:rsidR="002910DA" w:rsidRPr="00B24750" w:rsidRDefault="002910DA" w:rsidP="003B6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bdr w:val="none" w:sz="0" w:space="0" w:color="auto"/>
          <w:lang w:val="en-US"/>
        </w:rPr>
      </w:pPr>
    </w:p>
    <w:p w14:paraId="6DACBCB3" w14:textId="46CB1FAD" w:rsidR="00FB21E6" w:rsidRPr="00B24750" w:rsidRDefault="00FB21E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Arial"/>
          <w:sz w:val="20"/>
          <w:szCs w:val="20"/>
          <w:bdr w:val="none" w:sz="0" w:space="0" w:color="auto"/>
          <w:lang w:val="en-US"/>
        </w:rPr>
      </w:pPr>
      <w:r w:rsidRPr="00B24750">
        <w:rPr>
          <w:rFonts w:asciiTheme="majorHAnsi" w:hAnsiTheme="majorHAnsi"/>
          <w:bCs/>
          <w:sz w:val="20"/>
          <w:szCs w:val="20"/>
          <w:bdr w:val="none" w:sz="0" w:space="0" w:color="auto"/>
          <w:lang w:val="en-US"/>
        </w:rPr>
        <w:t xml:space="preserve">The bodies of the inter-American system have </w:t>
      </w:r>
      <w:r w:rsidR="00B7630F" w:rsidRPr="00B24750">
        <w:rPr>
          <w:rFonts w:asciiTheme="majorHAnsi" w:hAnsiTheme="majorHAnsi"/>
          <w:bCs/>
          <w:sz w:val="20"/>
          <w:szCs w:val="20"/>
          <w:bdr w:val="none" w:sz="0" w:space="0" w:color="auto"/>
          <w:lang w:val="en-US"/>
        </w:rPr>
        <w:t>held</w:t>
      </w:r>
      <w:r w:rsidRPr="00B24750">
        <w:rPr>
          <w:rFonts w:asciiTheme="majorHAnsi" w:hAnsiTheme="majorHAnsi"/>
          <w:bCs/>
          <w:sz w:val="20"/>
          <w:szCs w:val="20"/>
          <w:bdr w:val="none" w:sz="0" w:space="0" w:color="auto"/>
          <w:lang w:val="en-US"/>
        </w:rPr>
        <w:t xml:space="preserve"> that all persons deprived of their liberty </w:t>
      </w:r>
      <w:r w:rsidR="00B7630F" w:rsidRPr="00B24750">
        <w:rPr>
          <w:rFonts w:asciiTheme="majorHAnsi" w:hAnsiTheme="majorHAnsi"/>
          <w:bCs/>
          <w:sz w:val="20"/>
          <w:szCs w:val="20"/>
          <w:bdr w:val="none" w:sz="0" w:space="0" w:color="auto"/>
          <w:lang w:val="en-US"/>
        </w:rPr>
        <w:t>are entitled</w:t>
      </w:r>
      <w:r w:rsidRPr="00B24750">
        <w:rPr>
          <w:rFonts w:asciiTheme="majorHAnsi" w:hAnsiTheme="majorHAnsi"/>
          <w:bCs/>
          <w:sz w:val="20"/>
          <w:szCs w:val="20"/>
          <w:bdr w:val="none" w:sz="0" w:space="0" w:color="auto"/>
          <w:lang w:val="en-US"/>
        </w:rPr>
        <w:t xml:space="preserve"> to live in conditions of detention compatible with their personal dignity</w:t>
      </w:r>
      <w:r w:rsidR="00B7630F" w:rsidRPr="00B24750">
        <w:rPr>
          <w:rFonts w:asciiTheme="majorHAnsi" w:hAnsiTheme="majorHAnsi"/>
          <w:bCs/>
          <w:sz w:val="20"/>
          <w:szCs w:val="20"/>
          <w:bdr w:val="none" w:sz="0" w:space="0" w:color="auto"/>
          <w:lang w:val="en-US"/>
        </w:rPr>
        <w:t>,</w:t>
      </w:r>
      <w:r w:rsidRPr="00B24750">
        <w:rPr>
          <w:rFonts w:asciiTheme="majorHAnsi" w:hAnsiTheme="majorHAnsi"/>
          <w:bCs/>
          <w:sz w:val="20"/>
          <w:szCs w:val="20"/>
          <w:bdr w:val="none" w:sz="0" w:space="0" w:color="auto"/>
          <w:lang w:val="en-US"/>
        </w:rPr>
        <w:t xml:space="preserve"> and that the State must </w:t>
      </w:r>
      <w:r w:rsidRPr="00B24750">
        <w:rPr>
          <w:rFonts w:asciiTheme="majorHAnsi" w:hAnsiTheme="majorHAnsi"/>
          <w:bCs/>
          <w:sz w:val="20"/>
          <w:szCs w:val="20"/>
          <w:bdr w:val="none" w:sz="0" w:space="0" w:color="auto"/>
          <w:lang w:val="en-US"/>
        </w:rPr>
        <w:lastRenderedPageBreak/>
        <w:t xml:space="preserve">guarantee their right to </w:t>
      </w:r>
      <w:r w:rsidR="00B7630F" w:rsidRPr="00B24750">
        <w:rPr>
          <w:rFonts w:asciiTheme="majorHAnsi" w:hAnsiTheme="majorHAnsi"/>
          <w:bCs/>
          <w:sz w:val="20"/>
          <w:szCs w:val="20"/>
          <w:bdr w:val="none" w:sz="0" w:space="0" w:color="auto"/>
          <w:lang w:val="en-US"/>
        </w:rPr>
        <w:t>humane treatment</w:t>
      </w:r>
      <w:r w:rsidRPr="00B24750">
        <w:rPr>
          <w:rFonts w:asciiTheme="majorHAnsi" w:hAnsiTheme="majorHAnsi"/>
          <w:bCs/>
          <w:sz w:val="20"/>
          <w:szCs w:val="20"/>
          <w:bdr w:val="none" w:sz="0" w:space="0" w:color="auto"/>
          <w:lang w:val="en-US"/>
        </w:rPr>
        <w:t xml:space="preserve">. </w:t>
      </w:r>
      <w:r w:rsidR="006E62A8">
        <w:rPr>
          <w:rFonts w:asciiTheme="majorHAnsi" w:hAnsiTheme="majorHAnsi"/>
          <w:bCs/>
          <w:sz w:val="20"/>
          <w:szCs w:val="20"/>
          <w:bdr w:val="none" w:sz="0" w:space="0" w:color="auto"/>
          <w:lang w:val="en-US"/>
        </w:rPr>
        <w:t xml:space="preserve">The </w:t>
      </w:r>
      <w:r w:rsidRPr="00B24750">
        <w:rPr>
          <w:rFonts w:asciiTheme="majorHAnsi" w:hAnsiTheme="majorHAnsi"/>
          <w:bCs/>
          <w:sz w:val="20"/>
          <w:szCs w:val="20"/>
          <w:bdr w:val="none" w:sz="0" w:space="0" w:color="auto"/>
          <w:lang w:val="en-US"/>
        </w:rPr>
        <w:t xml:space="preserve">State, as </w:t>
      </w:r>
      <w:r w:rsidR="00B7630F" w:rsidRPr="00B24750">
        <w:rPr>
          <w:rFonts w:asciiTheme="majorHAnsi" w:hAnsiTheme="majorHAnsi"/>
          <w:bCs/>
          <w:sz w:val="20"/>
          <w:szCs w:val="20"/>
          <w:bdr w:val="none" w:sz="0" w:space="0" w:color="auto"/>
          <w:lang w:val="en-US"/>
        </w:rPr>
        <w:t xml:space="preserve">the entity </w:t>
      </w:r>
      <w:r w:rsidRPr="00B24750">
        <w:rPr>
          <w:rFonts w:asciiTheme="majorHAnsi" w:hAnsiTheme="majorHAnsi"/>
          <w:bCs/>
          <w:sz w:val="20"/>
          <w:szCs w:val="20"/>
          <w:bdr w:val="none" w:sz="0" w:space="0" w:color="auto"/>
          <w:lang w:val="en-US"/>
        </w:rPr>
        <w:t xml:space="preserve">responsible for detention facilities, is the guarantor of </w:t>
      </w:r>
      <w:r w:rsidR="00B7630F" w:rsidRPr="00B24750">
        <w:rPr>
          <w:rFonts w:asciiTheme="majorHAnsi" w:hAnsiTheme="majorHAnsi"/>
          <w:bCs/>
          <w:sz w:val="20"/>
          <w:szCs w:val="20"/>
          <w:bdr w:val="none" w:sz="0" w:space="0" w:color="auto"/>
          <w:lang w:val="en-US"/>
        </w:rPr>
        <w:t>these detainee rights</w:t>
      </w:r>
      <w:r w:rsidRPr="00B24750">
        <w:rPr>
          <w:rFonts w:asciiTheme="majorHAnsi" w:hAnsiTheme="majorHAnsi"/>
          <w:bCs/>
          <w:sz w:val="20"/>
          <w:szCs w:val="20"/>
          <w:bdr w:val="none" w:sz="0" w:space="0" w:color="auto"/>
          <w:lang w:val="en-US"/>
        </w:rPr>
        <w:t>.</w:t>
      </w:r>
      <w:r w:rsidRPr="00B24750">
        <w:rPr>
          <w:rStyle w:val="FootnoteReference"/>
          <w:rFonts w:asciiTheme="majorHAnsi" w:hAnsiTheme="majorHAnsi"/>
          <w:bCs/>
          <w:sz w:val="20"/>
          <w:szCs w:val="20"/>
          <w:bdr w:val="none" w:sz="0" w:space="0" w:color="auto"/>
          <w:lang w:val="en-US"/>
        </w:rPr>
        <w:footnoteReference w:id="150"/>
      </w:r>
      <w:r w:rsidRPr="00B24750">
        <w:rPr>
          <w:rFonts w:asciiTheme="majorHAnsi" w:hAnsiTheme="majorHAnsi"/>
          <w:sz w:val="20"/>
          <w:szCs w:val="20"/>
          <w:bdr w:val="none" w:sz="0" w:space="0" w:color="auto"/>
          <w:lang w:val="en-US"/>
        </w:rPr>
        <w:t xml:space="preserve"> </w:t>
      </w:r>
    </w:p>
    <w:p w14:paraId="640641D6" w14:textId="77777777" w:rsidR="003B6782" w:rsidRPr="00B24750" w:rsidRDefault="003B6782" w:rsidP="003B67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bdr w:val="none" w:sz="0" w:space="0" w:color="auto"/>
          <w:lang w:val="en-US"/>
        </w:rPr>
      </w:pPr>
    </w:p>
    <w:p w14:paraId="5F57E722" w14:textId="76CC2A24" w:rsidR="00EA0B99" w:rsidRPr="00B24750" w:rsidRDefault="00CC43E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Arial"/>
          <w:sz w:val="20"/>
          <w:szCs w:val="20"/>
          <w:bdr w:val="none" w:sz="0" w:space="0" w:color="auto"/>
          <w:lang w:val="en-US"/>
        </w:rPr>
      </w:pPr>
      <w:r w:rsidRPr="00B24750">
        <w:rPr>
          <w:rFonts w:asciiTheme="majorHAnsi" w:eastAsia="SimSun" w:hAnsiTheme="majorHAnsi"/>
          <w:sz w:val="20"/>
          <w:szCs w:val="20"/>
          <w:lang w:val="en-US"/>
        </w:rPr>
        <w:t>The case law</w:t>
      </w:r>
      <w:r w:rsidR="00F35B24" w:rsidRPr="00B24750">
        <w:rPr>
          <w:rFonts w:asciiTheme="majorHAnsi" w:hAnsiTheme="majorHAnsi"/>
          <w:sz w:val="20"/>
          <w:szCs w:val="20"/>
          <w:lang w:val="en-US"/>
        </w:rPr>
        <w:t xml:space="preserve"> of the </w:t>
      </w:r>
      <w:r w:rsidRPr="00B24750">
        <w:rPr>
          <w:rFonts w:asciiTheme="majorHAnsi" w:hAnsiTheme="majorHAnsi"/>
          <w:sz w:val="20"/>
          <w:szCs w:val="20"/>
          <w:lang w:val="en-US"/>
        </w:rPr>
        <w:t>i</w:t>
      </w:r>
      <w:r w:rsidR="00F35B24" w:rsidRPr="00B24750">
        <w:rPr>
          <w:rFonts w:asciiTheme="majorHAnsi" w:hAnsiTheme="majorHAnsi"/>
          <w:sz w:val="20"/>
          <w:szCs w:val="20"/>
          <w:lang w:val="en-US"/>
        </w:rPr>
        <w:t xml:space="preserve">nter-American system </w:t>
      </w:r>
      <w:r w:rsidRPr="00B24750">
        <w:rPr>
          <w:rFonts w:asciiTheme="majorHAnsi" w:hAnsiTheme="majorHAnsi"/>
          <w:sz w:val="20"/>
          <w:szCs w:val="20"/>
          <w:lang w:val="en-US"/>
        </w:rPr>
        <w:t xml:space="preserve">has established the principle </w:t>
      </w:r>
      <w:r w:rsidR="00F35B24" w:rsidRPr="00B24750">
        <w:rPr>
          <w:rFonts w:asciiTheme="majorHAnsi" w:hAnsiTheme="majorHAnsi"/>
          <w:sz w:val="20"/>
          <w:szCs w:val="20"/>
          <w:lang w:val="en-US"/>
        </w:rPr>
        <w:t>that the State is the guarantor of the rights of persons deprived of liberty, and therefore must take the necessary measures to respect and guarantee the rights of individuals in its custody</w:t>
      </w:r>
      <w:r w:rsidR="007F5B89" w:rsidRPr="00B24750">
        <w:rPr>
          <w:rFonts w:asciiTheme="majorHAnsi" w:hAnsiTheme="majorHAnsi"/>
          <w:sz w:val="20"/>
          <w:szCs w:val="20"/>
          <w:lang w:val="en-US"/>
        </w:rPr>
        <w:t>,</w:t>
      </w:r>
      <w:r w:rsidR="00F35B24" w:rsidRPr="00B24750">
        <w:rPr>
          <w:rFonts w:asciiTheme="majorHAnsi" w:hAnsiTheme="majorHAnsi"/>
          <w:sz w:val="20"/>
          <w:szCs w:val="20"/>
          <w:vertAlign w:val="superscript"/>
          <w:lang w:val="en-US"/>
        </w:rPr>
        <w:footnoteReference w:id="151"/>
      </w:r>
      <w:r w:rsidR="00F35B24" w:rsidRPr="00B24750">
        <w:rPr>
          <w:rFonts w:asciiTheme="majorHAnsi" w:hAnsiTheme="majorHAnsi"/>
          <w:sz w:val="20"/>
          <w:szCs w:val="20"/>
          <w:lang w:val="en-US"/>
        </w:rPr>
        <w:t xml:space="preserve"> </w:t>
      </w:r>
      <w:r w:rsidR="007F5B89" w:rsidRPr="00B24750">
        <w:rPr>
          <w:rFonts w:asciiTheme="majorHAnsi" w:hAnsiTheme="majorHAnsi"/>
          <w:sz w:val="20"/>
          <w:szCs w:val="20"/>
          <w:lang w:val="en-US"/>
        </w:rPr>
        <w:t xml:space="preserve">regardless of the type of deprivation of liberty in question, its duration, or where it takes place. </w:t>
      </w:r>
      <w:r w:rsidR="00F35B24" w:rsidRPr="00B24750">
        <w:rPr>
          <w:rFonts w:asciiTheme="majorHAnsi" w:hAnsiTheme="majorHAnsi"/>
          <w:sz w:val="20"/>
          <w:szCs w:val="20"/>
          <w:lang w:val="en-US"/>
        </w:rPr>
        <w:t>The Commission has explained this concept as follows:</w:t>
      </w:r>
    </w:p>
    <w:p w14:paraId="29C0834E" w14:textId="77777777" w:rsidR="00F35B24" w:rsidRPr="00B24750" w:rsidRDefault="00F35B24" w:rsidP="00F35B2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bdr w:val="none" w:sz="0" w:space="0" w:color="auto"/>
          <w:lang w:val="en-US"/>
        </w:rPr>
      </w:pPr>
    </w:p>
    <w:p w14:paraId="71919F50" w14:textId="03A5E063" w:rsidR="00A65C91" w:rsidRPr="00B24750" w:rsidRDefault="00EF2F4D" w:rsidP="003B6782">
      <w:pPr>
        <w:pStyle w:val="ListParagraph"/>
        <w:pBdr>
          <w:top w:val="none" w:sz="0" w:space="0" w:color="auto"/>
          <w:left w:val="none" w:sz="0" w:space="0" w:color="auto"/>
          <w:bottom w:val="none" w:sz="0" w:space="0" w:color="auto"/>
          <w:right w:val="none" w:sz="0" w:space="0" w:color="auto"/>
        </w:pBdr>
        <w:ind w:right="864"/>
        <w:jc w:val="both"/>
        <w:rPr>
          <w:rFonts w:asciiTheme="majorHAnsi" w:hAnsiTheme="majorHAnsi"/>
          <w:sz w:val="18"/>
          <w:szCs w:val="18"/>
        </w:rPr>
      </w:pPr>
      <w:r w:rsidRPr="00B24750">
        <w:rPr>
          <w:rFonts w:asciiTheme="majorHAnsi" w:hAnsiTheme="majorHAnsi"/>
          <w:sz w:val="18"/>
          <w:szCs w:val="18"/>
        </w:rPr>
        <w:t>[T]he State, by depriving a person of his liberty, places itself in the unique position of guarantor of his right to life and to humane treatment. When it detains an individual, the State introduces that individual into a “total institution”—such as a prison—where the various aspects of his life are subject to an established regimen; where the prisoner is removed from his natural and social milieu; where the established regimen is one of absolute control, a loss of privacy, limitation of living space and, above all, a radical decline in the individual's means of defending himself. All this means that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w:t>
      </w:r>
      <w:r w:rsidR="00A44F24" w:rsidRPr="00B24750">
        <w:rPr>
          <w:rFonts w:asciiTheme="majorHAnsi" w:hAnsiTheme="majorHAnsi"/>
          <w:sz w:val="18"/>
          <w:szCs w:val="18"/>
        </w:rPr>
        <w:t>.</w:t>
      </w:r>
      <w:r w:rsidR="00A44F24" w:rsidRPr="00B24750">
        <w:rPr>
          <w:rFonts w:asciiTheme="majorHAnsi" w:hAnsiTheme="majorHAnsi"/>
          <w:sz w:val="18"/>
          <w:szCs w:val="18"/>
          <w:vertAlign w:val="superscript"/>
        </w:rPr>
        <w:footnoteReference w:id="152"/>
      </w:r>
    </w:p>
    <w:p w14:paraId="7A99BC84" w14:textId="77777777" w:rsidR="00A65C91" w:rsidRPr="00B24750" w:rsidRDefault="00A65C91" w:rsidP="00A65C91">
      <w:pPr>
        <w:pStyle w:val="ListParagraph"/>
        <w:pBdr>
          <w:top w:val="none" w:sz="0" w:space="0" w:color="auto"/>
          <w:left w:val="none" w:sz="0" w:space="0" w:color="auto"/>
          <w:bottom w:val="none" w:sz="0" w:space="0" w:color="auto"/>
          <w:right w:val="none" w:sz="0" w:space="0" w:color="auto"/>
        </w:pBdr>
        <w:rPr>
          <w:rFonts w:asciiTheme="majorHAnsi" w:hAnsiTheme="majorHAnsi"/>
          <w:sz w:val="20"/>
          <w:szCs w:val="20"/>
        </w:rPr>
      </w:pPr>
    </w:p>
    <w:p w14:paraId="76C73FDE" w14:textId="5ADA9874" w:rsidR="001708E5" w:rsidRPr="00B24750" w:rsidRDefault="001708E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The legal consequence of the State’s position as guarantor is the rebuttable presumption that the State is internationally responsible for violations of the rights to life and humane treatment committed against persons in its custody.</w:t>
      </w:r>
      <w:r w:rsidRPr="00B24750">
        <w:rPr>
          <w:rFonts w:asciiTheme="majorHAnsi" w:eastAsia="SimSun" w:hAnsiTheme="majorHAnsi"/>
          <w:sz w:val="20"/>
          <w:szCs w:val="20"/>
          <w:vertAlign w:val="superscript"/>
          <w:lang w:val="en-US"/>
        </w:rPr>
        <w:footnoteReference w:id="153"/>
      </w:r>
    </w:p>
    <w:p w14:paraId="7C2BE6B6" w14:textId="77777777" w:rsidR="00EA0B99" w:rsidRPr="00B24750" w:rsidRDefault="00EA0B99" w:rsidP="00EA0B9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SimSun" w:hAnsiTheme="majorHAnsi"/>
          <w:sz w:val="20"/>
          <w:szCs w:val="20"/>
          <w:lang w:val="en-US"/>
        </w:rPr>
      </w:pPr>
    </w:p>
    <w:p w14:paraId="4F57413F" w14:textId="0D9DE493" w:rsidR="001708E5" w:rsidRPr="00B24750" w:rsidRDefault="001708E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The IACHR has indicated that any use of force not strictly necessary to ensure the proper behavior of detainees constitutes an attack on the dignity of the person.</w:t>
      </w:r>
      <w:r w:rsidRPr="00B24750">
        <w:rPr>
          <w:rFonts w:asciiTheme="majorHAnsi" w:eastAsia="SimSun" w:hAnsiTheme="majorHAnsi"/>
          <w:sz w:val="20"/>
          <w:szCs w:val="20"/>
          <w:vertAlign w:val="superscript"/>
          <w:lang w:val="en-US"/>
        </w:rPr>
        <w:footnoteReference w:id="154"/>
      </w:r>
      <w:r w:rsidRPr="00B24750">
        <w:rPr>
          <w:rFonts w:asciiTheme="majorHAnsi" w:eastAsia="SimSun" w:hAnsiTheme="majorHAnsi"/>
          <w:sz w:val="20"/>
          <w:szCs w:val="20"/>
          <w:lang w:val="en-US"/>
        </w:rPr>
        <w:t xml:space="preserve"> Considering the State’s position as guarantor, when a detainee sustain</w:t>
      </w:r>
      <w:r w:rsidR="00D16DF5" w:rsidRPr="00B24750">
        <w:rPr>
          <w:rFonts w:asciiTheme="majorHAnsi" w:eastAsia="SimSun" w:hAnsiTheme="majorHAnsi"/>
          <w:sz w:val="20"/>
          <w:szCs w:val="20"/>
          <w:lang w:val="en-US"/>
        </w:rPr>
        <w:t>s</w:t>
      </w:r>
      <w:r w:rsidRPr="00B24750">
        <w:rPr>
          <w:rFonts w:asciiTheme="majorHAnsi" w:eastAsia="SimSun" w:hAnsiTheme="majorHAnsi"/>
          <w:sz w:val="20"/>
          <w:szCs w:val="20"/>
          <w:lang w:val="en-US"/>
        </w:rPr>
        <w:t xml:space="preserve"> physical injuries </w:t>
      </w:r>
      <w:r w:rsidR="00D16DF5" w:rsidRPr="00B24750">
        <w:rPr>
          <w:rFonts w:asciiTheme="majorHAnsi" w:eastAsia="SimSun" w:hAnsiTheme="majorHAnsi"/>
          <w:sz w:val="20"/>
          <w:szCs w:val="20"/>
          <w:lang w:val="en-US"/>
        </w:rPr>
        <w:t>because of</w:t>
      </w:r>
      <w:r w:rsidRPr="00B24750">
        <w:rPr>
          <w:rFonts w:asciiTheme="majorHAnsi" w:eastAsia="SimSun" w:hAnsiTheme="majorHAnsi"/>
          <w:sz w:val="20"/>
          <w:szCs w:val="20"/>
          <w:lang w:val="en-US"/>
        </w:rPr>
        <w:t xml:space="preserve"> an arrest and excessive use of force, the State </w:t>
      </w:r>
      <w:r w:rsidR="00696264" w:rsidRPr="00B24750">
        <w:rPr>
          <w:rFonts w:asciiTheme="majorHAnsi" w:eastAsia="SimSun" w:hAnsiTheme="majorHAnsi"/>
          <w:sz w:val="20"/>
          <w:szCs w:val="20"/>
          <w:lang w:val="en-US"/>
        </w:rPr>
        <w:t xml:space="preserve">incurs international responsibility for failing to guarantee </w:t>
      </w:r>
      <w:r w:rsidRPr="00B24750">
        <w:rPr>
          <w:rFonts w:asciiTheme="majorHAnsi" w:eastAsia="SimSun" w:hAnsiTheme="majorHAnsi"/>
          <w:sz w:val="20"/>
          <w:szCs w:val="20"/>
          <w:lang w:val="en-US"/>
        </w:rPr>
        <w:t>humane treatment and personal security in violation of Article I of the American Declaration.</w:t>
      </w:r>
      <w:r w:rsidRPr="00B24750">
        <w:rPr>
          <w:rFonts w:asciiTheme="majorHAnsi" w:eastAsia="SimSun" w:hAnsiTheme="majorHAnsi"/>
          <w:sz w:val="20"/>
          <w:szCs w:val="20"/>
          <w:vertAlign w:val="superscript"/>
          <w:lang w:val="en-US"/>
        </w:rPr>
        <w:footnoteReference w:id="155"/>
      </w:r>
    </w:p>
    <w:p w14:paraId="3D5F54A5" w14:textId="77777777" w:rsidR="00CE1937" w:rsidRPr="00B24750" w:rsidRDefault="00CE1937" w:rsidP="00EA0B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4"/>
        <w:contextualSpacing/>
        <w:jc w:val="both"/>
        <w:rPr>
          <w:rFonts w:asciiTheme="majorHAnsi" w:eastAsia="SimSun" w:hAnsiTheme="majorHAnsi"/>
          <w:sz w:val="20"/>
          <w:szCs w:val="20"/>
        </w:rPr>
      </w:pPr>
    </w:p>
    <w:p w14:paraId="2D5F106B" w14:textId="7D568E20" w:rsidR="00970E7B" w:rsidRPr="00B24750" w:rsidRDefault="00970E7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 xml:space="preserve">The State must protect not only physical integrity but also moral and psychological integrity, as the IACHR has </w:t>
      </w:r>
      <w:r w:rsidR="006E62A8">
        <w:rPr>
          <w:rFonts w:asciiTheme="majorHAnsi" w:eastAsia="SimSun" w:hAnsiTheme="majorHAnsi"/>
          <w:sz w:val="20"/>
          <w:szCs w:val="20"/>
          <w:lang w:val="en-US"/>
        </w:rPr>
        <w:t xml:space="preserve">stated in </w:t>
      </w:r>
      <w:r w:rsidRPr="00B24750">
        <w:rPr>
          <w:rFonts w:asciiTheme="majorHAnsi" w:eastAsia="SimSun" w:hAnsiTheme="majorHAnsi"/>
          <w:sz w:val="20"/>
          <w:szCs w:val="20"/>
          <w:lang w:val="en-US"/>
        </w:rPr>
        <w:t>its Principles and Best Practices on the Protection of Persons Deprived of Liberty in the Americas</w:t>
      </w:r>
      <w:r w:rsidRPr="00B24750">
        <w:rPr>
          <w:rFonts w:asciiTheme="majorHAnsi" w:eastAsia="SimSun" w:hAnsiTheme="majorHAnsi"/>
          <w:sz w:val="20"/>
          <w:szCs w:val="20"/>
          <w:vertAlign w:val="superscript"/>
          <w:lang w:val="en-US"/>
        </w:rPr>
        <w:footnoteReference w:id="156"/>
      </w:r>
      <w:r w:rsidRPr="00B24750">
        <w:rPr>
          <w:rFonts w:asciiTheme="majorHAnsi" w:eastAsia="SimSun" w:hAnsiTheme="majorHAnsi"/>
          <w:sz w:val="20"/>
          <w:szCs w:val="20"/>
          <w:lang w:val="en-US"/>
        </w:rPr>
        <w:t xml:space="preserve"> Hence, detainees may not be subjected to, for example, unnecessary and humiliating searches.</w:t>
      </w:r>
      <w:r w:rsidRPr="00B24750">
        <w:rPr>
          <w:rFonts w:asciiTheme="majorHAnsi" w:eastAsia="SimSun" w:hAnsiTheme="majorHAnsi"/>
          <w:sz w:val="20"/>
          <w:szCs w:val="20"/>
          <w:vertAlign w:val="superscript"/>
          <w:lang w:val="en-US"/>
        </w:rPr>
        <w:footnoteReference w:id="157"/>
      </w:r>
    </w:p>
    <w:p w14:paraId="2B6D77F9" w14:textId="77777777" w:rsidR="006A34D5" w:rsidRPr="00B24750" w:rsidRDefault="006A34D5" w:rsidP="006A34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SimSun" w:hAnsiTheme="majorHAnsi"/>
          <w:sz w:val="20"/>
          <w:szCs w:val="20"/>
          <w:lang w:val="en-US"/>
        </w:rPr>
      </w:pPr>
    </w:p>
    <w:p w14:paraId="711587BF" w14:textId="158EAEDE" w:rsidR="006A34D5" w:rsidRPr="00B24750" w:rsidRDefault="006A34D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eastAsia="SimSun" w:hAnsiTheme="majorHAnsi"/>
          <w:sz w:val="20"/>
          <w:szCs w:val="20"/>
          <w:lang w:val="en-US"/>
        </w:rPr>
        <w:t>The State’s position as guarantor becomes particularly nuanced when the detainee is female, as women are exposed to greater risk of mistreatment in detention—including violence and sexual assault—by State agents</w:t>
      </w:r>
      <w:r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158"/>
      </w:r>
      <w:r w:rsidRPr="00B24750">
        <w:rPr>
          <w:rFonts w:asciiTheme="majorHAnsi" w:hAnsiTheme="majorHAnsi"/>
          <w:sz w:val="20"/>
          <w:szCs w:val="20"/>
          <w:lang w:val="en-US"/>
        </w:rPr>
        <w:t xml:space="preserve"> especially if they are male. Female detainees therefore must be supervised and searched by female officers and separated from male detainees.</w:t>
      </w:r>
      <w:r w:rsidRPr="00B24750">
        <w:rPr>
          <w:rStyle w:val="FootnoteReference"/>
          <w:rFonts w:asciiTheme="majorHAnsi" w:hAnsiTheme="majorHAnsi"/>
          <w:sz w:val="20"/>
          <w:szCs w:val="20"/>
          <w:lang w:val="en-US"/>
        </w:rPr>
        <w:footnoteReference w:id="159"/>
      </w:r>
      <w:r w:rsidRPr="00B24750">
        <w:rPr>
          <w:rFonts w:asciiTheme="majorHAnsi" w:hAnsiTheme="majorHAnsi"/>
          <w:sz w:val="20"/>
          <w:szCs w:val="20"/>
          <w:lang w:val="en-US"/>
        </w:rPr>
        <w:t xml:space="preserve"> However, such violence is not perpetrated exclusively by male </w:t>
      </w:r>
      <w:r w:rsidRPr="00B24750">
        <w:rPr>
          <w:rFonts w:asciiTheme="majorHAnsi" w:hAnsiTheme="majorHAnsi"/>
          <w:sz w:val="20"/>
          <w:szCs w:val="20"/>
          <w:lang w:val="en-US"/>
        </w:rPr>
        <w:lastRenderedPageBreak/>
        <w:t>actors. The IACHR has recognized this serious risk faced by women detainees in its Principles and Best Practices on the Protection of Persons Deprived of Liberty in the Americas.</w:t>
      </w:r>
      <w:r w:rsidRPr="00B24750">
        <w:rPr>
          <w:rStyle w:val="FootnoteReference"/>
          <w:rFonts w:asciiTheme="majorHAnsi" w:hAnsiTheme="majorHAnsi"/>
          <w:sz w:val="20"/>
          <w:szCs w:val="20"/>
          <w:lang w:val="en-US"/>
        </w:rPr>
        <w:footnoteReference w:id="160"/>
      </w:r>
    </w:p>
    <w:p w14:paraId="6205A7D1" w14:textId="77777777" w:rsidR="006A34D5" w:rsidRPr="00B24750" w:rsidRDefault="006A34D5" w:rsidP="006A34D5">
      <w:pPr>
        <w:pStyle w:val="ListParagraph"/>
        <w:rPr>
          <w:rFonts w:asciiTheme="majorHAnsi" w:eastAsia="SimSun" w:hAnsiTheme="majorHAnsi"/>
          <w:sz w:val="20"/>
          <w:szCs w:val="20"/>
        </w:rPr>
      </w:pPr>
    </w:p>
    <w:p w14:paraId="0E03D977" w14:textId="6CEF270B" w:rsidR="006A34D5" w:rsidRPr="008D7987" w:rsidRDefault="000F597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hAnsiTheme="majorHAnsi"/>
          <w:sz w:val="20"/>
          <w:szCs w:val="20"/>
          <w:lang w:val="en-US"/>
        </w:rPr>
        <w:t>Regarding</w:t>
      </w:r>
      <w:r w:rsidR="006A34D5" w:rsidRPr="00B24750">
        <w:rPr>
          <w:rFonts w:asciiTheme="majorHAnsi" w:hAnsiTheme="majorHAnsi"/>
          <w:sz w:val="20"/>
          <w:szCs w:val="20"/>
          <w:lang w:val="en-US"/>
        </w:rPr>
        <w:t xml:space="preserve"> the treatment of women in detention or </w:t>
      </w:r>
      <w:r w:rsidRPr="00B24750">
        <w:rPr>
          <w:rFonts w:asciiTheme="majorHAnsi" w:hAnsiTheme="majorHAnsi"/>
          <w:sz w:val="20"/>
          <w:szCs w:val="20"/>
          <w:lang w:val="en-US"/>
        </w:rPr>
        <w:t xml:space="preserve">under </w:t>
      </w:r>
      <w:r w:rsidR="006A34D5" w:rsidRPr="00B24750">
        <w:rPr>
          <w:rFonts w:asciiTheme="majorHAnsi" w:hAnsiTheme="majorHAnsi"/>
          <w:sz w:val="20"/>
          <w:szCs w:val="20"/>
          <w:lang w:val="en-US"/>
        </w:rPr>
        <w:t xml:space="preserve">arrest, the United Nations High Commissioner for Human Rights has stated that </w:t>
      </w:r>
      <w:r w:rsidRPr="00B24750">
        <w:rPr>
          <w:rFonts w:asciiTheme="majorHAnsi" w:hAnsiTheme="majorHAnsi"/>
          <w:sz w:val="20"/>
          <w:szCs w:val="20"/>
          <w:lang w:val="en-US"/>
        </w:rPr>
        <w:t>“</w:t>
      </w:r>
      <w:r w:rsidR="006A34D5" w:rsidRPr="00B24750">
        <w:rPr>
          <w:rFonts w:asciiTheme="majorHAnsi" w:hAnsiTheme="majorHAnsi"/>
          <w:sz w:val="20"/>
          <w:szCs w:val="20"/>
          <w:lang w:val="en-US"/>
        </w:rPr>
        <w:t xml:space="preserve">they should not </w:t>
      </w:r>
      <w:r w:rsidRPr="00B24750">
        <w:rPr>
          <w:rFonts w:asciiTheme="majorHAnsi" w:hAnsiTheme="majorHAnsi"/>
          <w:sz w:val="20"/>
          <w:szCs w:val="20"/>
          <w:lang w:val="en-US"/>
        </w:rPr>
        <w:t>be subject to discrimination and</w:t>
      </w:r>
      <w:r w:rsidR="006A34D5" w:rsidRPr="00B24750">
        <w:rPr>
          <w:rFonts w:asciiTheme="majorHAnsi" w:hAnsiTheme="majorHAnsi"/>
          <w:sz w:val="20"/>
          <w:szCs w:val="20"/>
          <w:lang w:val="en-US"/>
        </w:rPr>
        <w:t xml:space="preserve"> should be protected from all forms of violence</w:t>
      </w:r>
      <w:r w:rsidRPr="00B24750">
        <w:rPr>
          <w:rFonts w:asciiTheme="majorHAnsi" w:hAnsiTheme="majorHAnsi"/>
          <w:sz w:val="20"/>
          <w:szCs w:val="20"/>
          <w:lang w:val="en-US"/>
        </w:rPr>
        <w:t>.”</w:t>
      </w:r>
      <w:r w:rsidR="006A34D5" w:rsidRPr="00B24750">
        <w:rPr>
          <w:rFonts w:asciiTheme="majorHAnsi" w:hAnsiTheme="majorHAnsi"/>
          <w:sz w:val="20"/>
          <w:szCs w:val="20"/>
          <w:lang w:val="en-US"/>
        </w:rPr>
        <w:t xml:space="preserve"> The Committee on the Elimination of Discrimination against Women and the </w:t>
      </w:r>
      <w:r w:rsidRPr="00B24750">
        <w:rPr>
          <w:rFonts w:asciiTheme="majorHAnsi" w:hAnsiTheme="majorHAnsi"/>
          <w:sz w:val="20"/>
          <w:szCs w:val="20"/>
          <w:lang w:val="en-US"/>
        </w:rPr>
        <w:t>i</w:t>
      </w:r>
      <w:r w:rsidR="006A34D5" w:rsidRPr="00B24750">
        <w:rPr>
          <w:rFonts w:asciiTheme="majorHAnsi" w:hAnsiTheme="majorHAnsi"/>
          <w:sz w:val="20"/>
          <w:szCs w:val="20"/>
          <w:lang w:val="en-US"/>
        </w:rPr>
        <w:t>nter-American system have noted that gender-based violence against women constitutes a form of discrimination against women</w:t>
      </w:r>
      <w:r w:rsidRPr="00B24750">
        <w:rPr>
          <w:rFonts w:asciiTheme="majorHAnsi" w:hAnsiTheme="majorHAnsi"/>
          <w:sz w:val="20"/>
          <w:szCs w:val="20"/>
          <w:lang w:val="en-US"/>
        </w:rPr>
        <w:t>.</w:t>
      </w:r>
      <w:r w:rsidR="006A34D5" w:rsidRPr="00B24750">
        <w:rPr>
          <w:rStyle w:val="FootnoteReference"/>
          <w:rFonts w:asciiTheme="majorHAnsi" w:hAnsiTheme="majorHAnsi"/>
          <w:sz w:val="20"/>
          <w:szCs w:val="20"/>
          <w:lang w:val="en-US"/>
        </w:rPr>
        <w:footnoteReference w:id="161"/>
      </w:r>
      <w:r w:rsidR="006A34D5" w:rsidRPr="00B24750">
        <w:rPr>
          <w:rFonts w:asciiTheme="majorHAnsi" w:hAnsiTheme="majorHAnsi"/>
          <w:sz w:val="20"/>
          <w:szCs w:val="20"/>
          <w:lang w:val="en-US"/>
        </w:rPr>
        <w:t xml:space="preserve"> </w:t>
      </w:r>
      <w:r w:rsidR="006A34D5" w:rsidRPr="00B24750">
        <w:rPr>
          <w:rFonts w:asciiTheme="majorHAnsi" w:eastAsia="SimSun" w:hAnsiTheme="majorHAnsi"/>
          <w:sz w:val="20"/>
          <w:szCs w:val="20"/>
          <w:lang w:val="en-US"/>
        </w:rPr>
        <w:t xml:space="preserve">The Committee has noted that </w:t>
      </w:r>
      <w:r w:rsidR="006A34D5" w:rsidRPr="00B24750">
        <w:rPr>
          <w:rFonts w:asciiTheme="majorHAnsi" w:hAnsiTheme="majorHAnsi"/>
          <w:sz w:val="20"/>
          <w:szCs w:val="20"/>
          <w:lang w:val="en-US"/>
        </w:rPr>
        <w:t xml:space="preserve">such discrimination includes gender-based violence, </w:t>
      </w:r>
      <w:r w:rsidR="009C0D6B" w:rsidRPr="00B24750">
        <w:rPr>
          <w:rFonts w:asciiTheme="majorHAnsi" w:hAnsiTheme="majorHAnsi"/>
          <w:sz w:val="20"/>
          <w:szCs w:val="20"/>
          <w:lang w:val="en-US"/>
        </w:rPr>
        <w:t>“</w:t>
      </w:r>
      <w:r w:rsidR="006A34D5" w:rsidRPr="00B24750">
        <w:rPr>
          <w:rFonts w:asciiTheme="majorHAnsi" w:hAnsiTheme="majorHAnsi"/>
          <w:sz w:val="20"/>
          <w:szCs w:val="20"/>
          <w:lang w:val="en-US"/>
        </w:rPr>
        <w:t xml:space="preserve">that is, </w:t>
      </w:r>
      <w:r w:rsidR="009C0D6B" w:rsidRPr="00B24750">
        <w:rPr>
          <w:rFonts w:asciiTheme="majorHAnsi" w:hAnsiTheme="majorHAnsi"/>
          <w:sz w:val="20"/>
          <w:szCs w:val="20"/>
          <w:lang w:val="en-US"/>
        </w:rPr>
        <w:t>violence that is directed against a woman because she is a woman or that affects women disproportionately”</w:t>
      </w:r>
      <w:r w:rsidR="006A34D5" w:rsidRPr="00B24750">
        <w:rPr>
          <w:rFonts w:asciiTheme="majorHAnsi" w:hAnsiTheme="majorHAnsi"/>
          <w:sz w:val="20"/>
          <w:szCs w:val="20"/>
          <w:lang w:val="en-US"/>
        </w:rPr>
        <w:t xml:space="preserve"> and that includes </w:t>
      </w:r>
      <w:r w:rsidR="009C0D6B" w:rsidRPr="00B24750">
        <w:rPr>
          <w:rFonts w:asciiTheme="majorHAnsi" w:hAnsiTheme="majorHAnsi"/>
          <w:sz w:val="20"/>
          <w:szCs w:val="20"/>
          <w:lang w:val="en-US"/>
        </w:rPr>
        <w:t>“acts that inflict physical, mental or sexual harm or suffering, threats of such acts, coercion and other deprivations of liberty.”</w:t>
      </w:r>
      <w:r w:rsidR="006A34D5" w:rsidRPr="00B24750">
        <w:rPr>
          <w:rStyle w:val="FootnoteReference"/>
          <w:rFonts w:asciiTheme="majorHAnsi" w:hAnsiTheme="majorHAnsi"/>
          <w:sz w:val="20"/>
          <w:szCs w:val="20"/>
          <w:lang w:val="en-US"/>
        </w:rPr>
        <w:footnoteReference w:id="162"/>
      </w:r>
    </w:p>
    <w:p w14:paraId="487C72A9" w14:textId="77777777" w:rsidR="008D7987" w:rsidRDefault="008D7987" w:rsidP="008D7987">
      <w:pPr>
        <w:pStyle w:val="ListParagraph"/>
        <w:rPr>
          <w:rFonts w:asciiTheme="majorHAnsi" w:eastAsia="SimSun" w:hAnsiTheme="majorHAnsi"/>
          <w:sz w:val="20"/>
          <w:szCs w:val="20"/>
        </w:rPr>
      </w:pPr>
    </w:p>
    <w:p w14:paraId="2DB9B5B3" w14:textId="60954FBC" w:rsidR="008D7987" w:rsidRPr="005F7905" w:rsidRDefault="008D7987"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8D7987">
        <w:rPr>
          <w:rFonts w:asciiTheme="majorHAnsi" w:eastAsia="SimSun" w:hAnsiTheme="majorHAnsi"/>
          <w:sz w:val="20"/>
          <w:szCs w:val="20"/>
          <w:lang w:val="en-US"/>
        </w:rPr>
        <w:t>Indeed, the right of women to live a life free of violence is closely related to the right to non-discrimination</w:t>
      </w:r>
      <w:r w:rsidR="008712C8" w:rsidRPr="00B24750">
        <w:rPr>
          <w:rFonts w:asciiTheme="majorHAnsi" w:hAnsiTheme="majorHAnsi"/>
          <w:sz w:val="20"/>
          <w:szCs w:val="20"/>
          <w:lang w:val="en-US"/>
        </w:rPr>
        <w:t>.</w:t>
      </w:r>
      <w:r w:rsidR="008712C8" w:rsidRPr="00B24750">
        <w:rPr>
          <w:rStyle w:val="FootnoteReference"/>
          <w:rFonts w:asciiTheme="majorHAnsi" w:hAnsiTheme="majorHAnsi"/>
          <w:sz w:val="20"/>
          <w:szCs w:val="20"/>
          <w:lang w:val="en-US"/>
        </w:rPr>
        <w:footnoteReference w:id="163"/>
      </w:r>
      <w:r w:rsidR="008712C8">
        <w:rPr>
          <w:rFonts w:asciiTheme="majorHAnsi" w:hAnsiTheme="majorHAnsi"/>
          <w:sz w:val="20"/>
          <w:szCs w:val="20"/>
          <w:lang w:val="en-US"/>
        </w:rPr>
        <w:t xml:space="preserve"> </w:t>
      </w:r>
      <w:r w:rsidRPr="008D7987">
        <w:rPr>
          <w:rFonts w:asciiTheme="majorHAnsi" w:eastAsia="SimSun" w:hAnsiTheme="majorHAnsi"/>
          <w:sz w:val="20"/>
          <w:szCs w:val="20"/>
          <w:lang w:val="en-US"/>
        </w:rPr>
        <w:t xml:space="preserve">The right to equality and non-discrimination established in Article II of the Declaration, in the current stage of the evolution of international law, has entered the domain of </w:t>
      </w:r>
      <w:r w:rsidRPr="0043204F">
        <w:rPr>
          <w:rFonts w:asciiTheme="majorHAnsi" w:eastAsia="SimSun" w:hAnsiTheme="majorHAnsi"/>
          <w:i/>
          <w:iCs/>
          <w:sz w:val="20"/>
          <w:szCs w:val="20"/>
          <w:lang w:val="en-US"/>
        </w:rPr>
        <w:t>jus cogens</w:t>
      </w:r>
      <w:r w:rsidRPr="008D7987">
        <w:rPr>
          <w:rFonts w:asciiTheme="majorHAnsi" w:eastAsia="SimSun" w:hAnsiTheme="majorHAnsi"/>
          <w:sz w:val="20"/>
          <w:szCs w:val="20"/>
          <w:lang w:val="en-US"/>
        </w:rPr>
        <w:t>. On it rests the legal framework of national and international public order and permeates the entire legal system</w:t>
      </w:r>
      <w:r w:rsidR="008712C8" w:rsidRPr="00B24750">
        <w:rPr>
          <w:rFonts w:asciiTheme="majorHAnsi" w:hAnsiTheme="majorHAnsi"/>
          <w:sz w:val="20"/>
          <w:szCs w:val="20"/>
          <w:lang w:val="en-US"/>
        </w:rPr>
        <w:t>.</w:t>
      </w:r>
      <w:r w:rsidR="008712C8" w:rsidRPr="00B24750">
        <w:rPr>
          <w:rStyle w:val="FootnoteReference"/>
          <w:rFonts w:asciiTheme="majorHAnsi" w:hAnsiTheme="majorHAnsi"/>
          <w:sz w:val="20"/>
          <w:szCs w:val="20"/>
          <w:lang w:val="en-US"/>
        </w:rPr>
        <w:footnoteReference w:id="164"/>
      </w:r>
    </w:p>
    <w:p w14:paraId="13D269B7" w14:textId="77777777" w:rsidR="005F7905" w:rsidRDefault="005F7905" w:rsidP="005F7905">
      <w:pPr>
        <w:pStyle w:val="ListParagraph"/>
        <w:rPr>
          <w:rFonts w:asciiTheme="majorHAnsi" w:eastAsia="SimSun" w:hAnsiTheme="majorHAnsi"/>
          <w:sz w:val="20"/>
          <w:szCs w:val="20"/>
        </w:rPr>
      </w:pPr>
    </w:p>
    <w:p w14:paraId="5B20C92B" w14:textId="39A6935A" w:rsidR="005F7905" w:rsidRDefault="005F790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5F7905">
        <w:rPr>
          <w:rFonts w:asciiTheme="majorHAnsi" w:eastAsia="SimSun" w:hAnsiTheme="majorHAnsi"/>
          <w:sz w:val="20"/>
          <w:szCs w:val="20"/>
          <w:lang w:val="en-US"/>
        </w:rPr>
        <w:t>In turn, gender-based violence is one of the most extreme and widespread forms of discrimination, which severely prevents and nullifies the exercise of women's rights</w:t>
      </w:r>
      <w:r w:rsidR="00FF6462" w:rsidRPr="00B24750">
        <w:rPr>
          <w:rFonts w:asciiTheme="majorHAnsi" w:hAnsiTheme="majorHAnsi"/>
          <w:sz w:val="20"/>
          <w:szCs w:val="20"/>
          <w:lang w:val="en-US"/>
        </w:rPr>
        <w:t>.</w:t>
      </w:r>
      <w:r w:rsidR="00FF6462" w:rsidRPr="00B24750">
        <w:rPr>
          <w:rStyle w:val="FootnoteReference"/>
          <w:rFonts w:asciiTheme="majorHAnsi" w:hAnsiTheme="majorHAnsi"/>
          <w:sz w:val="20"/>
          <w:szCs w:val="20"/>
          <w:lang w:val="en-US"/>
        </w:rPr>
        <w:footnoteReference w:id="165"/>
      </w:r>
      <w:r w:rsidRPr="005F7905">
        <w:rPr>
          <w:rFonts w:asciiTheme="majorHAnsi" w:eastAsia="SimSun" w:hAnsiTheme="majorHAnsi"/>
          <w:sz w:val="20"/>
          <w:szCs w:val="20"/>
          <w:lang w:val="en-US"/>
        </w:rPr>
        <w:t xml:space="preserve"> There is a broad consensus in the international community that gender-based violence against women is a human rights problem that requires State action</w:t>
      </w:r>
      <w:r w:rsidR="00E016EF" w:rsidRPr="00B24750">
        <w:rPr>
          <w:rFonts w:asciiTheme="majorHAnsi" w:hAnsiTheme="majorHAnsi"/>
          <w:sz w:val="20"/>
          <w:szCs w:val="20"/>
          <w:lang w:val="en-US"/>
        </w:rPr>
        <w:t>.</w:t>
      </w:r>
      <w:r w:rsidR="00E016EF" w:rsidRPr="00B24750">
        <w:rPr>
          <w:rStyle w:val="FootnoteReference"/>
          <w:rFonts w:asciiTheme="majorHAnsi" w:hAnsiTheme="majorHAnsi"/>
          <w:sz w:val="20"/>
          <w:szCs w:val="20"/>
          <w:lang w:val="en-US"/>
        </w:rPr>
        <w:footnoteReference w:id="166"/>
      </w:r>
      <w:r w:rsidR="00E016EF">
        <w:rPr>
          <w:rFonts w:asciiTheme="majorHAnsi" w:hAnsiTheme="majorHAnsi"/>
          <w:sz w:val="20"/>
          <w:szCs w:val="20"/>
          <w:lang w:val="en-US"/>
        </w:rPr>
        <w:t xml:space="preserve"> </w:t>
      </w:r>
      <w:r w:rsidRPr="005F7905">
        <w:rPr>
          <w:rFonts w:asciiTheme="majorHAnsi" w:eastAsia="SimSun" w:hAnsiTheme="majorHAnsi"/>
          <w:sz w:val="20"/>
          <w:szCs w:val="20"/>
          <w:lang w:val="en-US"/>
        </w:rPr>
        <w:t xml:space="preserve">In this regard, the Committee has considered that "the </w:t>
      </w:r>
      <w:proofErr w:type="spellStart"/>
      <w:r w:rsidRPr="00440F43">
        <w:rPr>
          <w:rFonts w:asciiTheme="majorHAnsi" w:eastAsia="SimSun" w:hAnsiTheme="majorHAnsi"/>
          <w:i/>
          <w:iCs/>
          <w:sz w:val="20"/>
          <w:szCs w:val="20"/>
          <w:lang w:val="en-US"/>
        </w:rPr>
        <w:t>opinio</w:t>
      </w:r>
      <w:proofErr w:type="spellEnd"/>
      <w:r w:rsidRPr="00440F43">
        <w:rPr>
          <w:rFonts w:asciiTheme="majorHAnsi" w:eastAsia="SimSun" w:hAnsiTheme="majorHAnsi"/>
          <w:i/>
          <w:iCs/>
          <w:sz w:val="20"/>
          <w:szCs w:val="20"/>
          <w:lang w:val="en-US"/>
        </w:rPr>
        <w:t xml:space="preserve"> juris</w:t>
      </w:r>
      <w:r w:rsidRPr="005F7905">
        <w:rPr>
          <w:rFonts w:asciiTheme="majorHAnsi" w:eastAsia="SimSun" w:hAnsiTheme="majorHAnsi"/>
          <w:sz w:val="20"/>
          <w:szCs w:val="20"/>
          <w:lang w:val="en-US"/>
        </w:rPr>
        <w:t xml:space="preserve"> and the practice of the States suggest that the prohibition of gender-based violence against women has become a principle of customary international law</w:t>
      </w:r>
      <w:r w:rsidR="00E016EF" w:rsidRPr="00B24750">
        <w:rPr>
          <w:rFonts w:asciiTheme="majorHAnsi" w:hAnsiTheme="majorHAnsi"/>
          <w:sz w:val="20"/>
          <w:szCs w:val="20"/>
          <w:lang w:val="en-US"/>
        </w:rPr>
        <w:t>.</w:t>
      </w:r>
      <w:r w:rsidR="00E016EF" w:rsidRPr="00B24750">
        <w:rPr>
          <w:rStyle w:val="FootnoteReference"/>
          <w:rFonts w:asciiTheme="majorHAnsi" w:hAnsiTheme="majorHAnsi"/>
          <w:sz w:val="20"/>
          <w:szCs w:val="20"/>
          <w:lang w:val="en-US"/>
        </w:rPr>
        <w:footnoteReference w:id="167"/>
      </w:r>
      <w:r w:rsidRPr="005F7905">
        <w:rPr>
          <w:rFonts w:asciiTheme="majorHAnsi" w:eastAsia="SimSun" w:hAnsiTheme="majorHAnsi"/>
          <w:sz w:val="20"/>
          <w:szCs w:val="20"/>
          <w:lang w:val="en-US"/>
        </w:rPr>
        <w:t xml:space="preserve">" Said prohibition is expressly included in the </w:t>
      </w:r>
      <w:r w:rsidR="0056633D" w:rsidRPr="0056633D">
        <w:rPr>
          <w:rFonts w:asciiTheme="majorHAnsi" w:eastAsia="SimSun" w:hAnsiTheme="majorHAnsi"/>
          <w:sz w:val="20"/>
          <w:szCs w:val="20"/>
          <w:lang w:val="en-US"/>
        </w:rPr>
        <w:t>Inter-American Convention on the Prevention, Punishment, and Eradication of Violence against Women</w:t>
      </w:r>
      <w:r w:rsidR="0056633D">
        <w:rPr>
          <w:rFonts w:asciiTheme="majorHAnsi" w:eastAsia="SimSun" w:hAnsiTheme="majorHAnsi"/>
          <w:sz w:val="20"/>
          <w:szCs w:val="20"/>
          <w:lang w:val="en-US"/>
        </w:rPr>
        <w:t xml:space="preserve"> (“</w:t>
      </w:r>
      <w:r w:rsidR="0056633D" w:rsidRPr="0056633D">
        <w:rPr>
          <w:rFonts w:asciiTheme="majorHAnsi" w:eastAsia="SimSun" w:hAnsiTheme="majorHAnsi"/>
          <w:sz w:val="20"/>
          <w:szCs w:val="20"/>
          <w:lang w:val="en-US"/>
        </w:rPr>
        <w:t xml:space="preserve">Convention of </w:t>
      </w:r>
      <w:proofErr w:type="spellStart"/>
      <w:r w:rsidR="0056633D" w:rsidRPr="0056633D">
        <w:rPr>
          <w:rFonts w:asciiTheme="majorHAnsi" w:eastAsia="SimSun" w:hAnsiTheme="majorHAnsi"/>
          <w:sz w:val="20"/>
          <w:szCs w:val="20"/>
          <w:lang w:val="en-US"/>
        </w:rPr>
        <w:t>Belém</w:t>
      </w:r>
      <w:proofErr w:type="spellEnd"/>
      <w:r w:rsidR="0056633D" w:rsidRPr="0056633D">
        <w:rPr>
          <w:rFonts w:asciiTheme="majorHAnsi" w:eastAsia="SimSun" w:hAnsiTheme="majorHAnsi"/>
          <w:sz w:val="20"/>
          <w:szCs w:val="20"/>
          <w:lang w:val="en-US"/>
        </w:rPr>
        <w:t xml:space="preserve"> do Pará</w:t>
      </w:r>
      <w:r w:rsidRPr="005F7905">
        <w:rPr>
          <w:rFonts w:asciiTheme="majorHAnsi" w:eastAsia="SimSun" w:hAnsiTheme="majorHAnsi"/>
          <w:sz w:val="20"/>
          <w:szCs w:val="20"/>
          <w:lang w:val="en-US"/>
        </w:rPr>
        <w:t>”).</w:t>
      </w:r>
    </w:p>
    <w:p w14:paraId="48C9B6CD" w14:textId="77777777" w:rsidR="00E75901" w:rsidRDefault="00E75901" w:rsidP="00E75901">
      <w:pPr>
        <w:pStyle w:val="ListParagraph"/>
        <w:rPr>
          <w:rFonts w:asciiTheme="majorHAnsi" w:eastAsia="SimSun" w:hAnsiTheme="majorHAnsi"/>
          <w:sz w:val="20"/>
          <w:szCs w:val="20"/>
        </w:rPr>
      </w:pPr>
    </w:p>
    <w:p w14:paraId="466FC447" w14:textId="2AF8EA64" w:rsidR="00E75901" w:rsidRDefault="00E7590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E75901">
        <w:rPr>
          <w:rFonts w:asciiTheme="majorHAnsi" w:eastAsia="SimSun" w:hAnsiTheme="majorHAnsi"/>
          <w:sz w:val="20"/>
          <w:szCs w:val="20"/>
          <w:lang w:val="en-US"/>
        </w:rPr>
        <w:t xml:space="preserve">Likewise, the Commission in its decisions has repeatedly established that the American Declaration requires the States to adopt measures to give legal effect to the rights enshrined therein; </w:t>
      </w:r>
      <w:r w:rsidR="00931294">
        <w:rPr>
          <w:rFonts w:asciiTheme="majorHAnsi" w:eastAsia="SimSun" w:hAnsiTheme="majorHAnsi"/>
          <w:sz w:val="20"/>
          <w:szCs w:val="20"/>
          <w:lang w:val="en-US"/>
        </w:rPr>
        <w:t>a p</w:t>
      </w:r>
      <w:r w:rsidRPr="00E75901">
        <w:rPr>
          <w:rFonts w:asciiTheme="majorHAnsi" w:eastAsia="SimSun" w:hAnsiTheme="majorHAnsi"/>
          <w:sz w:val="20"/>
          <w:szCs w:val="20"/>
          <w:lang w:val="en-US"/>
        </w:rPr>
        <w:t>rinciple applicable in cases where the violation of Article II is alleged. The Commission has not only required the States to refrain from committing human rights violations in contravention of the provisions of the Declaration. It has also required the States to adopt affirmative measures to guarantee that the people under their jurisdiction can exercise and enjoy the rights contained in the American Declaration.</w:t>
      </w:r>
      <w:r w:rsidR="00A56BAC" w:rsidRPr="00B24750">
        <w:rPr>
          <w:rStyle w:val="FootnoteReference"/>
          <w:rFonts w:asciiTheme="majorHAnsi" w:hAnsiTheme="majorHAnsi"/>
          <w:sz w:val="20"/>
          <w:szCs w:val="20"/>
          <w:lang w:val="en-US"/>
        </w:rPr>
        <w:footnoteReference w:id="168"/>
      </w:r>
      <w:r w:rsidRPr="00E75901">
        <w:rPr>
          <w:rFonts w:asciiTheme="majorHAnsi" w:eastAsia="SimSun" w:hAnsiTheme="majorHAnsi"/>
          <w:sz w:val="20"/>
          <w:szCs w:val="20"/>
          <w:lang w:val="en-US"/>
        </w:rPr>
        <w:t xml:space="preserve"> In this sense, the obligations established in this article of the Declaration include respect, prevention</w:t>
      </w:r>
      <w:r w:rsidR="00A56BAC">
        <w:rPr>
          <w:rFonts w:asciiTheme="majorHAnsi" w:eastAsia="SimSun" w:hAnsiTheme="majorHAnsi"/>
          <w:sz w:val="20"/>
          <w:szCs w:val="20"/>
          <w:lang w:val="en-US"/>
        </w:rPr>
        <w:t>,</w:t>
      </w:r>
      <w:r w:rsidRPr="00E75901">
        <w:rPr>
          <w:rFonts w:asciiTheme="majorHAnsi" w:eastAsia="SimSun" w:hAnsiTheme="majorHAnsi"/>
          <w:sz w:val="20"/>
          <w:szCs w:val="20"/>
          <w:lang w:val="en-US"/>
        </w:rPr>
        <w:t xml:space="preserve"> and eradication of violence against women as a crucial component of the State's duty to eliminate direct and indirect forms of discrimination. The adoption of these measures also protects the rights to personal integrity and life of women.</w:t>
      </w:r>
    </w:p>
    <w:p w14:paraId="2CEC6964" w14:textId="77777777" w:rsidR="00B04A21" w:rsidRDefault="00B04A21" w:rsidP="00B04A21">
      <w:pPr>
        <w:pStyle w:val="ListParagraph"/>
        <w:rPr>
          <w:rFonts w:asciiTheme="majorHAnsi" w:eastAsia="SimSun" w:hAnsiTheme="majorHAnsi"/>
          <w:sz w:val="20"/>
          <w:szCs w:val="20"/>
        </w:rPr>
      </w:pPr>
    </w:p>
    <w:p w14:paraId="2A44D000" w14:textId="457F92AA" w:rsidR="00B04A21" w:rsidRPr="00B24750" w:rsidRDefault="00B04A2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04A21">
        <w:rPr>
          <w:rFonts w:asciiTheme="majorHAnsi" w:eastAsia="SimSun" w:hAnsiTheme="majorHAnsi"/>
          <w:sz w:val="20"/>
          <w:szCs w:val="20"/>
          <w:lang w:val="en-US"/>
        </w:rPr>
        <w:lastRenderedPageBreak/>
        <w:t xml:space="preserve">States </w:t>
      </w:r>
      <w:r w:rsidR="001E4B62" w:rsidRPr="00B04A21">
        <w:rPr>
          <w:rFonts w:asciiTheme="majorHAnsi" w:eastAsia="SimSun" w:hAnsiTheme="majorHAnsi"/>
          <w:sz w:val="20"/>
          <w:szCs w:val="20"/>
          <w:lang w:val="en-US"/>
        </w:rPr>
        <w:t xml:space="preserve">obligations </w:t>
      </w:r>
      <w:r w:rsidR="001E4B62">
        <w:rPr>
          <w:rFonts w:asciiTheme="majorHAnsi" w:eastAsia="SimSun" w:hAnsiTheme="majorHAnsi"/>
          <w:sz w:val="20"/>
          <w:szCs w:val="20"/>
          <w:lang w:val="en-US"/>
        </w:rPr>
        <w:t>to this</w:t>
      </w:r>
      <w:r w:rsidRPr="00B04A21">
        <w:rPr>
          <w:rFonts w:asciiTheme="majorHAnsi" w:eastAsia="SimSun" w:hAnsiTheme="majorHAnsi"/>
          <w:sz w:val="20"/>
          <w:szCs w:val="20"/>
          <w:lang w:val="en-US"/>
        </w:rPr>
        <w:t xml:space="preserve"> respect and their due diligence to protect and prevent acts of violence, as well as to investigate, punish and repair</w:t>
      </w:r>
      <w:r w:rsidR="008A24F5">
        <w:rPr>
          <w:rFonts w:asciiTheme="majorHAnsi" w:eastAsia="SimSun" w:hAnsiTheme="majorHAnsi"/>
          <w:sz w:val="20"/>
          <w:szCs w:val="20"/>
          <w:lang w:val="en-US"/>
        </w:rPr>
        <w:t xml:space="preserve"> them</w:t>
      </w:r>
      <w:r w:rsidRPr="00B04A21">
        <w:rPr>
          <w:rFonts w:asciiTheme="majorHAnsi" w:eastAsia="SimSun" w:hAnsiTheme="majorHAnsi"/>
          <w:sz w:val="20"/>
          <w:szCs w:val="20"/>
          <w:lang w:val="en-US"/>
        </w:rPr>
        <w:t xml:space="preserve">, have special connotations in the case of women, due to historical and structural discrimination </w:t>
      </w:r>
      <w:r w:rsidR="008A24F5">
        <w:rPr>
          <w:rFonts w:asciiTheme="majorHAnsi" w:eastAsia="SimSun" w:hAnsiTheme="majorHAnsi"/>
          <w:sz w:val="20"/>
          <w:szCs w:val="20"/>
          <w:lang w:val="en-US"/>
        </w:rPr>
        <w:t>they</w:t>
      </w:r>
      <w:r w:rsidRPr="00B04A21">
        <w:rPr>
          <w:rFonts w:asciiTheme="majorHAnsi" w:eastAsia="SimSun" w:hAnsiTheme="majorHAnsi"/>
          <w:sz w:val="20"/>
          <w:szCs w:val="20"/>
          <w:lang w:val="en-US"/>
        </w:rPr>
        <w:t xml:space="preserve"> have suffered as a group.</w:t>
      </w:r>
      <w:r w:rsidR="008A24F5" w:rsidRPr="008A24F5">
        <w:rPr>
          <w:rStyle w:val="FootnoteReference"/>
          <w:rFonts w:asciiTheme="majorHAnsi" w:hAnsiTheme="majorHAnsi"/>
          <w:sz w:val="20"/>
          <w:szCs w:val="20"/>
          <w:lang w:val="en-US"/>
        </w:rPr>
        <w:t xml:space="preserve"> </w:t>
      </w:r>
      <w:r w:rsidR="008A24F5" w:rsidRPr="00B24750">
        <w:rPr>
          <w:rStyle w:val="FootnoteReference"/>
          <w:rFonts w:asciiTheme="majorHAnsi" w:hAnsiTheme="majorHAnsi"/>
          <w:sz w:val="20"/>
          <w:szCs w:val="20"/>
          <w:lang w:val="en-US"/>
        </w:rPr>
        <w:footnoteReference w:id="169"/>
      </w:r>
      <w:r w:rsidRPr="00B04A21">
        <w:rPr>
          <w:rFonts w:asciiTheme="majorHAnsi" w:eastAsia="SimSun" w:hAnsiTheme="majorHAnsi"/>
          <w:sz w:val="20"/>
          <w:szCs w:val="20"/>
          <w:lang w:val="en-US"/>
        </w:rPr>
        <w:t xml:space="preserve"> The violation of these obligations constitutes a form of discrimination, and a denial of their right to equal protection of the law.</w:t>
      </w:r>
      <w:r w:rsidR="00EF5802" w:rsidRPr="00EF5802">
        <w:rPr>
          <w:rStyle w:val="FootnoteReference"/>
          <w:rFonts w:asciiTheme="majorHAnsi" w:hAnsiTheme="majorHAnsi"/>
          <w:sz w:val="20"/>
          <w:szCs w:val="20"/>
          <w:lang w:val="en-US"/>
        </w:rPr>
        <w:t xml:space="preserve"> </w:t>
      </w:r>
      <w:r w:rsidR="00EF5802" w:rsidRPr="00B24750">
        <w:rPr>
          <w:rStyle w:val="FootnoteReference"/>
          <w:rFonts w:asciiTheme="majorHAnsi" w:hAnsiTheme="majorHAnsi"/>
          <w:sz w:val="20"/>
          <w:szCs w:val="20"/>
          <w:lang w:val="en-US"/>
        </w:rPr>
        <w:footnoteReference w:id="170"/>
      </w:r>
      <w:r w:rsidRPr="00B04A21">
        <w:rPr>
          <w:rFonts w:asciiTheme="majorHAnsi" w:eastAsia="SimSun" w:hAnsiTheme="majorHAnsi"/>
          <w:sz w:val="20"/>
          <w:szCs w:val="20"/>
          <w:lang w:val="en-US"/>
        </w:rPr>
        <w:t xml:space="preserve"> In this sense, the obligations of respect, prevention, </w:t>
      </w:r>
      <w:r w:rsidR="007C626E">
        <w:rPr>
          <w:rFonts w:asciiTheme="majorHAnsi" w:eastAsia="SimSun" w:hAnsiTheme="majorHAnsi"/>
          <w:sz w:val="20"/>
          <w:szCs w:val="20"/>
          <w:lang w:val="en-US"/>
        </w:rPr>
        <w:t>prosecution,</w:t>
      </w:r>
      <w:r w:rsidRPr="00B04A21">
        <w:rPr>
          <w:rFonts w:asciiTheme="majorHAnsi" w:eastAsia="SimSun" w:hAnsiTheme="majorHAnsi"/>
          <w:sz w:val="20"/>
          <w:szCs w:val="20"/>
          <w:lang w:val="en-US"/>
        </w:rPr>
        <w:t xml:space="preserve"> and eradication of violence against women must include the organization of the entire state structure -including the legislative framework, public policies, the bodies in charge of implementing the law such as the police, and the judicial system- to prevent and respond adequately and effectively to these problems.</w:t>
      </w:r>
      <w:r w:rsidR="007C626E" w:rsidRPr="00B24750">
        <w:rPr>
          <w:rStyle w:val="FootnoteReference"/>
          <w:rFonts w:asciiTheme="majorHAnsi" w:hAnsiTheme="majorHAnsi"/>
          <w:sz w:val="20"/>
          <w:szCs w:val="20"/>
          <w:lang w:val="en-US"/>
        </w:rPr>
        <w:footnoteReference w:id="171"/>
      </w:r>
    </w:p>
    <w:p w14:paraId="44BA6A38" w14:textId="77777777" w:rsidR="006A34D5" w:rsidRPr="00B24750" w:rsidRDefault="006A34D5" w:rsidP="006A34D5">
      <w:pPr>
        <w:pStyle w:val="ListParagraph"/>
        <w:rPr>
          <w:rFonts w:asciiTheme="majorHAnsi" w:eastAsia="SimSun" w:hAnsiTheme="majorHAnsi"/>
          <w:sz w:val="20"/>
          <w:szCs w:val="20"/>
        </w:rPr>
      </w:pPr>
    </w:p>
    <w:p w14:paraId="12CA9082" w14:textId="74BDA055" w:rsidR="008852A5" w:rsidRDefault="008852A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8852A5">
        <w:rPr>
          <w:rFonts w:asciiTheme="majorHAnsi" w:hAnsiTheme="majorHAnsi"/>
          <w:sz w:val="20"/>
          <w:szCs w:val="20"/>
          <w:lang w:val="en-US"/>
        </w:rPr>
        <w:t>For its part, the IACHR, through its Office of the Special Rapporteur, has highlighted that the documented attacks on female journalists present</w:t>
      </w:r>
      <w:r w:rsidR="00EB22AB">
        <w:rPr>
          <w:rFonts w:asciiTheme="majorHAnsi" w:hAnsiTheme="majorHAnsi"/>
          <w:sz w:val="20"/>
          <w:szCs w:val="20"/>
          <w:lang w:val="en-US"/>
        </w:rPr>
        <w:t>,</w:t>
      </w:r>
      <w:r w:rsidRPr="008852A5">
        <w:rPr>
          <w:rFonts w:asciiTheme="majorHAnsi" w:hAnsiTheme="majorHAnsi"/>
          <w:sz w:val="20"/>
          <w:szCs w:val="20"/>
          <w:lang w:val="en-US"/>
        </w:rPr>
        <w:t xml:space="preserve"> </w:t>
      </w:r>
      <w:r w:rsidR="00EB22AB">
        <w:rPr>
          <w:rFonts w:asciiTheme="majorHAnsi" w:hAnsiTheme="majorHAnsi"/>
          <w:sz w:val="20"/>
          <w:szCs w:val="20"/>
          <w:lang w:val="en-US"/>
        </w:rPr>
        <w:t>in a</w:t>
      </w:r>
      <w:r w:rsidRPr="008852A5">
        <w:rPr>
          <w:rFonts w:asciiTheme="majorHAnsi" w:hAnsiTheme="majorHAnsi"/>
          <w:sz w:val="20"/>
          <w:szCs w:val="20"/>
          <w:lang w:val="en-US"/>
        </w:rPr>
        <w:t xml:space="preserve"> differentiated form</w:t>
      </w:r>
      <w:r w:rsidR="00EB22AB">
        <w:rPr>
          <w:rFonts w:asciiTheme="majorHAnsi" w:hAnsiTheme="majorHAnsi"/>
          <w:sz w:val="20"/>
          <w:szCs w:val="20"/>
          <w:lang w:val="en-US"/>
        </w:rPr>
        <w:t xml:space="preserve">, </w:t>
      </w:r>
      <w:r w:rsidR="00EB22AB" w:rsidRPr="008852A5">
        <w:rPr>
          <w:rFonts w:asciiTheme="majorHAnsi" w:hAnsiTheme="majorHAnsi"/>
          <w:sz w:val="20"/>
          <w:szCs w:val="20"/>
          <w:lang w:val="en-US"/>
        </w:rPr>
        <w:t>sexual violence in captivity or in detentio</w:t>
      </w:r>
      <w:r w:rsidR="00371739">
        <w:rPr>
          <w:rFonts w:asciiTheme="majorHAnsi" w:hAnsiTheme="majorHAnsi"/>
          <w:sz w:val="20"/>
          <w:szCs w:val="20"/>
          <w:lang w:val="en-US"/>
        </w:rPr>
        <w:t>n</w:t>
      </w:r>
      <w:r w:rsidR="00A0772F" w:rsidRPr="00B24750">
        <w:rPr>
          <w:rFonts w:asciiTheme="majorHAnsi" w:hAnsiTheme="majorHAnsi"/>
          <w:sz w:val="20"/>
          <w:szCs w:val="20"/>
          <w:lang w:val="en-US"/>
        </w:rPr>
        <w:t>.</w:t>
      </w:r>
      <w:r w:rsidR="00A0772F" w:rsidRPr="00B24750">
        <w:rPr>
          <w:rStyle w:val="FootnoteReference"/>
          <w:rFonts w:asciiTheme="majorHAnsi" w:hAnsiTheme="majorHAnsi"/>
          <w:sz w:val="20"/>
          <w:szCs w:val="20"/>
          <w:lang w:val="en-US"/>
        </w:rPr>
        <w:footnoteReference w:id="172"/>
      </w:r>
      <w:r w:rsidRPr="008852A5">
        <w:rPr>
          <w:rFonts w:asciiTheme="majorHAnsi" w:hAnsiTheme="majorHAnsi"/>
          <w:sz w:val="20"/>
          <w:szCs w:val="20"/>
          <w:lang w:val="en-US"/>
        </w:rPr>
        <w:t xml:space="preserve"> In this regard, the Commission has also recognized that certain groups of women suffer discrimination based on more than one factor, which increases their risk of suffering acts of violence.</w:t>
      </w:r>
      <w:r w:rsidR="007871FB" w:rsidRPr="00B24750">
        <w:rPr>
          <w:rStyle w:val="FootnoteReference"/>
          <w:rFonts w:asciiTheme="majorHAnsi" w:hAnsiTheme="majorHAnsi"/>
          <w:sz w:val="20"/>
          <w:szCs w:val="20"/>
          <w:lang w:val="en-US"/>
        </w:rPr>
        <w:footnoteReference w:id="173"/>
      </w:r>
      <w:r w:rsidRPr="008852A5">
        <w:rPr>
          <w:rFonts w:asciiTheme="majorHAnsi" w:hAnsiTheme="majorHAnsi"/>
          <w:sz w:val="20"/>
          <w:szCs w:val="20"/>
          <w:lang w:val="en-US"/>
        </w:rPr>
        <w:t xml:space="preserve"> The risk of violence can be aggravated not only because of their gender but also because of the work that a journalist performs in society and her critical stance, </w:t>
      </w:r>
      <w:r w:rsidR="00371739">
        <w:rPr>
          <w:rFonts w:asciiTheme="majorHAnsi" w:hAnsiTheme="majorHAnsi"/>
          <w:sz w:val="20"/>
          <w:szCs w:val="20"/>
          <w:lang w:val="en-US"/>
        </w:rPr>
        <w:t>facing</w:t>
      </w:r>
      <w:r w:rsidRPr="008852A5">
        <w:rPr>
          <w:rFonts w:asciiTheme="majorHAnsi" w:hAnsiTheme="majorHAnsi"/>
          <w:sz w:val="20"/>
          <w:szCs w:val="20"/>
          <w:lang w:val="en-US"/>
        </w:rPr>
        <w:t xml:space="preserve"> sexist stereotypes that reject her public participation, especially when they have a high profile public</w:t>
      </w:r>
      <w:r w:rsidR="004C76F5" w:rsidRPr="00B24750">
        <w:rPr>
          <w:rFonts w:asciiTheme="majorHAnsi" w:hAnsiTheme="majorHAnsi"/>
          <w:sz w:val="20"/>
          <w:szCs w:val="20"/>
          <w:lang w:val="en-US"/>
        </w:rPr>
        <w:t>.</w:t>
      </w:r>
      <w:r w:rsidR="004C76F5" w:rsidRPr="00B24750">
        <w:rPr>
          <w:rStyle w:val="FootnoteReference"/>
          <w:rFonts w:asciiTheme="majorHAnsi" w:hAnsiTheme="majorHAnsi"/>
          <w:sz w:val="20"/>
          <w:szCs w:val="20"/>
          <w:lang w:val="en-US"/>
        </w:rPr>
        <w:footnoteReference w:id="174"/>
      </w:r>
      <w:r w:rsidRPr="008852A5">
        <w:rPr>
          <w:rFonts w:asciiTheme="majorHAnsi" w:hAnsiTheme="majorHAnsi"/>
          <w:sz w:val="20"/>
          <w:szCs w:val="20"/>
          <w:lang w:val="en-US"/>
        </w:rPr>
        <w:t xml:space="preserve"> Women journalists are subjected to violence, particularly of a sexual nature, in order to silence them, but also with the aim of sending a dissuasive message about the consequences that could occur against people who think like her</w:t>
      </w:r>
      <w:r w:rsidR="004C76F5" w:rsidRPr="00B24750">
        <w:rPr>
          <w:rFonts w:asciiTheme="majorHAnsi" w:hAnsiTheme="majorHAnsi"/>
          <w:sz w:val="20"/>
          <w:szCs w:val="20"/>
          <w:lang w:val="en-US"/>
        </w:rPr>
        <w:t>.</w:t>
      </w:r>
      <w:r w:rsidR="004C76F5" w:rsidRPr="00B24750">
        <w:rPr>
          <w:rStyle w:val="FootnoteReference"/>
          <w:rFonts w:asciiTheme="majorHAnsi" w:hAnsiTheme="majorHAnsi"/>
          <w:sz w:val="20"/>
          <w:szCs w:val="20"/>
          <w:lang w:val="en-US"/>
        </w:rPr>
        <w:footnoteReference w:id="175"/>
      </w:r>
    </w:p>
    <w:p w14:paraId="4650D4BA" w14:textId="77777777" w:rsidR="006A34D5" w:rsidRPr="00B24750" w:rsidRDefault="006A34D5" w:rsidP="006A34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25FDCA00" w14:textId="076BD522" w:rsidR="006A34D5" w:rsidRPr="00B24750" w:rsidRDefault="006A34D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hAnsiTheme="majorHAnsi"/>
          <w:sz w:val="20"/>
          <w:szCs w:val="20"/>
          <w:lang w:val="en-US"/>
        </w:rPr>
        <w:t xml:space="preserve">Forced nudity is a form of gender-based violence against women that </w:t>
      </w:r>
      <w:r w:rsidR="00AF5B3A" w:rsidRPr="00B24750">
        <w:rPr>
          <w:rFonts w:asciiTheme="majorHAnsi" w:hAnsiTheme="majorHAnsi"/>
          <w:sz w:val="20"/>
          <w:szCs w:val="20"/>
          <w:lang w:val="en-US"/>
        </w:rPr>
        <w:t>may</w:t>
      </w:r>
      <w:r w:rsidRPr="00B24750">
        <w:rPr>
          <w:rFonts w:asciiTheme="majorHAnsi" w:hAnsiTheme="majorHAnsi"/>
          <w:sz w:val="20"/>
          <w:szCs w:val="20"/>
          <w:lang w:val="en-US"/>
        </w:rPr>
        <w:t xml:space="preserve"> be committed because of their status as women or </w:t>
      </w:r>
      <w:r w:rsidR="00AF5B3A" w:rsidRPr="00B24750">
        <w:rPr>
          <w:rFonts w:asciiTheme="majorHAnsi" w:hAnsiTheme="majorHAnsi"/>
          <w:sz w:val="20"/>
          <w:szCs w:val="20"/>
          <w:lang w:val="en-US"/>
        </w:rPr>
        <w:t>may</w:t>
      </w:r>
      <w:r w:rsidRPr="00B24750">
        <w:rPr>
          <w:rFonts w:asciiTheme="majorHAnsi" w:hAnsiTheme="majorHAnsi"/>
          <w:sz w:val="20"/>
          <w:szCs w:val="20"/>
          <w:lang w:val="en-US"/>
        </w:rPr>
        <w:t xml:space="preserve"> affect them disproportionately, as </w:t>
      </w:r>
      <w:r w:rsidR="00AF5B3A" w:rsidRPr="00B24750">
        <w:rPr>
          <w:rFonts w:asciiTheme="majorHAnsi" w:hAnsiTheme="majorHAnsi"/>
          <w:sz w:val="20"/>
          <w:szCs w:val="20"/>
          <w:lang w:val="en-US"/>
        </w:rPr>
        <w:t xml:space="preserve">it </w:t>
      </w:r>
      <w:r w:rsidRPr="00B24750">
        <w:rPr>
          <w:rFonts w:asciiTheme="majorHAnsi" w:hAnsiTheme="majorHAnsi"/>
          <w:sz w:val="20"/>
          <w:szCs w:val="20"/>
          <w:lang w:val="en-US"/>
        </w:rPr>
        <w:t xml:space="preserve">usually occurs when </w:t>
      </w:r>
      <w:r w:rsidRPr="00B24750">
        <w:rPr>
          <w:rFonts w:asciiTheme="majorHAnsi" w:hAnsiTheme="majorHAnsi"/>
          <w:color w:val="222222"/>
          <w:sz w:val="20"/>
          <w:szCs w:val="20"/>
          <w:shd w:val="clear" w:color="auto" w:fill="FFFFFF"/>
          <w:lang w:val="en-US"/>
        </w:rPr>
        <w:t xml:space="preserve">the person is </w:t>
      </w:r>
      <w:r w:rsidR="00AF5B3A" w:rsidRPr="00B24750">
        <w:rPr>
          <w:rFonts w:asciiTheme="majorHAnsi" w:hAnsiTheme="majorHAnsi"/>
          <w:color w:val="222222"/>
          <w:sz w:val="20"/>
          <w:szCs w:val="20"/>
          <w:shd w:val="clear" w:color="auto" w:fill="FFFFFF"/>
          <w:lang w:val="en-US"/>
        </w:rPr>
        <w:t>under</w:t>
      </w:r>
      <w:r w:rsidRPr="00B24750">
        <w:rPr>
          <w:rFonts w:asciiTheme="majorHAnsi" w:hAnsiTheme="majorHAnsi"/>
          <w:color w:val="222222"/>
          <w:sz w:val="20"/>
          <w:szCs w:val="20"/>
          <w:shd w:val="clear" w:color="auto" w:fill="FFFFFF"/>
          <w:lang w:val="en-US"/>
        </w:rPr>
        <w:t xml:space="preserve"> the absolute control of the State, such as </w:t>
      </w:r>
      <w:r w:rsidR="00AF5B3A" w:rsidRPr="00B24750">
        <w:rPr>
          <w:rFonts w:asciiTheme="majorHAnsi" w:hAnsiTheme="majorHAnsi"/>
          <w:color w:val="222222"/>
          <w:sz w:val="20"/>
          <w:szCs w:val="20"/>
          <w:shd w:val="clear" w:color="auto" w:fill="FFFFFF"/>
          <w:lang w:val="en-US"/>
        </w:rPr>
        <w:t>while deprived</w:t>
      </w:r>
      <w:r w:rsidRPr="00B24750">
        <w:rPr>
          <w:rFonts w:asciiTheme="majorHAnsi" w:hAnsiTheme="majorHAnsi"/>
          <w:color w:val="222222"/>
          <w:sz w:val="20"/>
          <w:szCs w:val="20"/>
          <w:shd w:val="clear" w:color="auto" w:fill="FFFFFF"/>
          <w:lang w:val="en-US"/>
        </w:rPr>
        <w:t xml:space="preserve"> of </w:t>
      </w:r>
      <w:r w:rsidR="00AF5B3A" w:rsidRPr="00B24750">
        <w:rPr>
          <w:rFonts w:asciiTheme="majorHAnsi" w:hAnsiTheme="majorHAnsi"/>
          <w:color w:val="222222"/>
          <w:sz w:val="20"/>
          <w:szCs w:val="20"/>
          <w:shd w:val="clear" w:color="auto" w:fill="FFFFFF"/>
          <w:lang w:val="en-US"/>
        </w:rPr>
        <w:t xml:space="preserve">her </w:t>
      </w:r>
      <w:r w:rsidRPr="00B24750">
        <w:rPr>
          <w:rFonts w:asciiTheme="majorHAnsi" w:hAnsiTheme="majorHAnsi"/>
          <w:color w:val="222222"/>
          <w:sz w:val="20"/>
          <w:szCs w:val="20"/>
          <w:shd w:val="clear" w:color="auto" w:fill="FFFFFF"/>
          <w:lang w:val="en-US"/>
        </w:rPr>
        <w:t xml:space="preserve">liberty. </w:t>
      </w:r>
      <w:r w:rsidR="00AF5B3A" w:rsidRPr="00B24750">
        <w:rPr>
          <w:rFonts w:asciiTheme="majorHAnsi" w:hAnsiTheme="majorHAnsi"/>
          <w:color w:val="222222"/>
          <w:sz w:val="20"/>
          <w:szCs w:val="20"/>
          <w:shd w:val="clear" w:color="auto" w:fill="FFFFFF"/>
          <w:lang w:val="en-US"/>
        </w:rPr>
        <w:t xml:space="preserve">Forced nudity </w:t>
      </w:r>
      <w:r w:rsidR="00F74F2F">
        <w:rPr>
          <w:rFonts w:asciiTheme="majorHAnsi" w:hAnsiTheme="majorHAnsi"/>
          <w:color w:val="222222"/>
          <w:sz w:val="20"/>
          <w:szCs w:val="20"/>
          <w:shd w:val="clear" w:color="auto" w:fill="FFFFFF"/>
          <w:lang w:val="en-US"/>
        </w:rPr>
        <w:t>violates the</w:t>
      </w:r>
      <w:r w:rsidR="00AF5B3A" w:rsidRPr="00B24750">
        <w:rPr>
          <w:rFonts w:asciiTheme="majorHAnsi" w:hAnsiTheme="majorHAnsi"/>
          <w:color w:val="222222"/>
          <w:sz w:val="20"/>
          <w:szCs w:val="20"/>
          <w:shd w:val="clear" w:color="auto" w:fill="FFFFFF"/>
          <w:lang w:val="en-US"/>
        </w:rPr>
        <w:t xml:space="preserve"> personal dignity </w:t>
      </w:r>
      <w:r w:rsidR="00F74F2F">
        <w:rPr>
          <w:rFonts w:asciiTheme="majorHAnsi" w:hAnsiTheme="majorHAnsi"/>
          <w:color w:val="222222"/>
          <w:sz w:val="20"/>
          <w:szCs w:val="20"/>
          <w:shd w:val="clear" w:color="auto" w:fill="FFFFFF"/>
          <w:lang w:val="en-US"/>
        </w:rPr>
        <w:t xml:space="preserve">of women and men </w:t>
      </w:r>
      <w:r w:rsidR="00AF5B3A" w:rsidRPr="00B24750">
        <w:rPr>
          <w:rFonts w:asciiTheme="majorHAnsi" w:hAnsiTheme="majorHAnsi"/>
          <w:color w:val="222222"/>
          <w:sz w:val="20"/>
          <w:szCs w:val="20"/>
          <w:shd w:val="clear" w:color="auto" w:fill="FFFFFF"/>
          <w:lang w:val="en-US"/>
        </w:rPr>
        <w:t>different</w:t>
      </w:r>
      <w:r w:rsidR="00F74F2F">
        <w:rPr>
          <w:rFonts w:asciiTheme="majorHAnsi" w:hAnsiTheme="majorHAnsi"/>
          <w:color w:val="222222"/>
          <w:sz w:val="20"/>
          <w:szCs w:val="20"/>
          <w:shd w:val="clear" w:color="auto" w:fill="FFFFFF"/>
          <w:lang w:val="en-US"/>
        </w:rPr>
        <w:t>ly.</w:t>
      </w:r>
      <w:r w:rsidR="00AF5B3A" w:rsidRPr="00B24750">
        <w:rPr>
          <w:rFonts w:asciiTheme="majorHAnsi" w:hAnsiTheme="majorHAnsi"/>
          <w:color w:val="222222"/>
          <w:sz w:val="20"/>
          <w:szCs w:val="20"/>
          <w:shd w:val="clear" w:color="auto" w:fill="FFFFFF"/>
          <w:lang w:val="en-US"/>
        </w:rPr>
        <w:t xml:space="preserve"> It places women in an even more vulnerable situation, as they are naked and helpless</w:t>
      </w:r>
      <w:r w:rsidRPr="00B24750">
        <w:rPr>
          <w:rStyle w:val="FootnoteReference"/>
          <w:rFonts w:asciiTheme="majorHAnsi" w:hAnsiTheme="majorHAnsi"/>
          <w:color w:val="222222"/>
          <w:sz w:val="20"/>
          <w:szCs w:val="20"/>
          <w:shd w:val="clear" w:color="auto" w:fill="FFFFFF"/>
          <w:lang w:val="en-US"/>
        </w:rPr>
        <w:footnoteReference w:id="176"/>
      </w:r>
      <w:r w:rsidRPr="00B24750">
        <w:rPr>
          <w:rFonts w:asciiTheme="majorHAnsi" w:hAnsiTheme="majorHAnsi"/>
          <w:color w:val="222222"/>
          <w:sz w:val="20"/>
          <w:szCs w:val="20"/>
          <w:shd w:val="clear" w:color="auto" w:fill="FFFFFF"/>
          <w:lang w:val="en-US"/>
        </w:rPr>
        <w:t xml:space="preserve"> </w:t>
      </w:r>
      <w:r w:rsidR="00AF5B3A" w:rsidRPr="00B24750">
        <w:rPr>
          <w:rFonts w:asciiTheme="majorHAnsi" w:hAnsiTheme="majorHAnsi"/>
          <w:color w:val="222222"/>
          <w:sz w:val="20"/>
          <w:szCs w:val="20"/>
          <w:shd w:val="clear" w:color="auto" w:fill="FFFFFF"/>
          <w:lang w:val="en-US"/>
        </w:rPr>
        <w:t xml:space="preserve">during detention, which can increase the victim’s psychological terror of what might happen to her. </w:t>
      </w:r>
      <w:r w:rsidR="00775FD2" w:rsidRPr="00775FD2">
        <w:rPr>
          <w:rFonts w:asciiTheme="majorHAnsi" w:hAnsiTheme="majorHAnsi"/>
          <w:color w:val="222222"/>
          <w:sz w:val="20"/>
          <w:szCs w:val="20"/>
          <w:shd w:val="clear" w:color="auto" w:fill="FFFFFF"/>
          <w:lang w:val="en-US"/>
        </w:rPr>
        <w:t>It constitutes a particularly serious act taking into account the vulnerability of the victim and the abuse of power deployed by the agent.</w:t>
      </w:r>
      <w:r w:rsidR="00E27C17" w:rsidRPr="00B24750">
        <w:rPr>
          <w:rStyle w:val="FootnoteReference"/>
          <w:rFonts w:asciiTheme="majorHAnsi" w:hAnsiTheme="majorHAnsi"/>
          <w:sz w:val="20"/>
          <w:szCs w:val="20"/>
          <w:lang w:val="en-US"/>
        </w:rPr>
        <w:footnoteReference w:id="177"/>
      </w:r>
      <w:r w:rsidR="00E27C17" w:rsidRPr="00B24750">
        <w:rPr>
          <w:rFonts w:asciiTheme="majorHAnsi" w:hAnsiTheme="majorHAnsi"/>
          <w:sz w:val="20"/>
          <w:szCs w:val="20"/>
          <w:lang w:val="en-US"/>
        </w:rPr>
        <w:t xml:space="preserve"> </w:t>
      </w:r>
      <w:r w:rsidR="00A3080D">
        <w:rPr>
          <w:rFonts w:asciiTheme="majorHAnsi" w:hAnsiTheme="majorHAnsi"/>
          <w:color w:val="222222"/>
          <w:sz w:val="20"/>
          <w:szCs w:val="20"/>
          <w:shd w:val="clear" w:color="auto" w:fill="FFFFFF"/>
          <w:lang w:val="en-US"/>
        </w:rPr>
        <w:t>Likewise, it</w:t>
      </w:r>
      <w:r w:rsidR="00775FD2">
        <w:rPr>
          <w:rFonts w:asciiTheme="majorHAnsi" w:hAnsiTheme="majorHAnsi"/>
          <w:color w:val="222222"/>
          <w:sz w:val="20"/>
          <w:szCs w:val="20"/>
          <w:shd w:val="clear" w:color="auto" w:fill="FFFFFF"/>
          <w:lang w:val="en-US"/>
        </w:rPr>
        <w:t xml:space="preserve"> is</w:t>
      </w:r>
      <w:r w:rsidR="00775FD2" w:rsidRPr="00775FD2">
        <w:rPr>
          <w:rFonts w:asciiTheme="majorHAnsi" w:hAnsiTheme="majorHAnsi"/>
          <w:color w:val="222222"/>
          <w:sz w:val="20"/>
          <w:szCs w:val="20"/>
          <w:shd w:val="clear" w:color="auto" w:fill="FFFFFF"/>
          <w:lang w:val="en-US"/>
        </w:rPr>
        <w:t xml:space="preserve"> </w:t>
      </w:r>
      <w:r w:rsidRPr="00B24750">
        <w:rPr>
          <w:rFonts w:asciiTheme="majorHAnsi" w:hAnsiTheme="majorHAnsi"/>
          <w:color w:val="222222"/>
          <w:sz w:val="20"/>
          <w:szCs w:val="20"/>
          <w:shd w:val="clear" w:color="auto" w:fill="FFFFFF"/>
          <w:lang w:val="en-US"/>
        </w:rPr>
        <w:t>considered a form of sexual violenc</w:t>
      </w:r>
      <w:r w:rsidR="00A17214">
        <w:rPr>
          <w:rFonts w:asciiTheme="majorHAnsi" w:hAnsiTheme="majorHAnsi"/>
          <w:color w:val="222222"/>
          <w:sz w:val="20"/>
          <w:szCs w:val="20"/>
          <w:shd w:val="clear" w:color="auto" w:fill="FFFFFF"/>
          <w:lang w:val="en-US"/>
        </w:rPr>
        <w:t xml:space="preserve">e for </w:t>
      </w:r>
      <w:r w:rsidR="00711B0D" w:rsidRPr="00711B0D">
        <w:rPr>
          <w:rFonts w:asciiTheme="majorHAnsi" w:hAnsiTheme="majorHAnsi"/>
          <w:color w:val="222222"/>
          <w:sz w:val="20"/>
          <w:szCs w:val="20"/>
          <w:shd w:val="clear" w:color="auto" w:fill="FFFFFF"/>
          <w:lang w:val="en-US"/>
        </w:rPr>
        <w:t>having a sexual nature or consisting of a sexualized form of violence</w:t>
      </w:r>
      <w:r w:rsidR="00A17214">
        <w:rPr>
          <w:rFonts w:asciiTheme="majorHAnsi" w:hAnsiTheme="majorHAnsi"/>
          <w:color w:val="222222"/>
          <w:sz w:val="20"/>
          <w:szCs w:val="20"/>
          <w:shd w:val="clear" w:color="auto" w:fill="FFFFFF"/>
          <w:lang w:val="en-US"/>
        </w:rPr>
        <w:t>.</w:t>
      </w:r>
      <w:r w:rsidRPr="00B24750">
        <w:rPr>
          <w:rStyle w:val="FootnoteReference"/>
          <w:rFonts w:asciiTheme="majorHAnsi" w:hAnsiTheme="majorHAnsi"/>
          <w:color w:val="222222"/>
          <w:sz w:val="20"/>
          <w:szCs w:val="20"/>
          <w:shd w:val="clear" w:color="auto" w:fill="FFFFFF"/>
          <w:lang w:val="en-US"/>
        </w:rPr>
        <w:footnoteReference w:id="178"/>
      </w:r>
      <w:r w:rsidR="00BD5E75" w:rsidRPr="00B24750">
        <w:rPr>
          <w:rFonts w:asciiTheme="majorHAnsi" w:hAnsiTheme="majorHAnsi"/>
          <w:color w:val="222222"/>
          <w:sz w:val="20"/>
          <w:szCs w:val="20"/>
          <w:shd w:val="clear" w:color="auto" w:fill="FFFFFF"/>
          <w:lang w:val="en-US"/>
        </w:rPr>
        <w:t xml:space="preserve"> </w:t>
      </w:r>
      <w:r w:rsidR="0037579B" w:rsidRPr="0037579B">
        <w:rPr>
          <w:rFonts w:asciiTheme="majorHAnsi" w:hAnsiTheme="majorHAnsi"/>
          <w:color w:val="222222"/>
          <w:sz w:val="20"/>
          <w:szCs w:val="20"/>
          <w:shd w:val="clear" w:color="auto" w:fill="FFFFFF"/>
          <w:lang w:val="en-US"/>
        </w:rPr>
        <w:t>The inter-American system has defined sexual violence</w:t>
      </w:r>
      <w:r w:rsidR="0037579B">
        <w:rPr>
          <w:rFonts w:asciiTheme="majorHAnsi" w:hAnsiTheme="majorHAnsi"/>
          <w:color w:val="222222"/>
          <w:sz w:val="20"/>
          <w:szCs w:val="20"/>
          <w:shd w:val="clear" w:color="auto" w:fill="FFFFFF"/>
          <w:lang w:val="en-US"/>
        </w:rPr>
        <w:t xml:space="preserve"> </w:t>
      </w:r>
      <w:r w:rsidR="00BD5E75" w:rsidRPr="00B24750">
        <w:rPr>
          <w:rFonts w:asciiTheme="majorHAnsi" w:hAnsiTheme="majorHAnsi"/>
          <w:color w:val="222222"/>
          <w:sz w:val="20"/>
          <w:szCs w:val="20"/>
          <w:shd w:val="clear" w:color="auto" w:fill="FFFFFF"/>
          <w:lang w:val="en-US"/>
        </w:rPr>
        <w:t>as “[acts] of a sexual nature committed against an individual</w:t>
      </w:r>
      <w:r w:rsidRPr="00B24750">
        <w:rPr>
          <w:rFonts w:asciiTheme="majorHAnsi" w:hAnsiTheme="majorHAnsi"/>
          <w:color w:val="222222"/>
          <w:sz w:val="20"/>
          <w:szCs w:val="20"/>
          <w:shd w:val="clear" w:color="auto" w:fill="FFFFFF"/>
          <w:lang w:val="en-US"/>
        </w:rPr>
        <w:t xml:space="preserve"> without her consent, which in addition to the physical invasion of the human body, may include acts that do not involve penetration or even physical contact</w:t>
      </w:r>
      <w:r w:rsidR="00BD5E75" w:rsidRPr="00B24750">
        <w:rPr>
          <w:rFonts w:asciiTheme="majorHAnsi" w:hAnsiTheme="majorHAnsi"/>
          <w:color w:val="222222"/>
          <w:sz w:val="20"/>
          <w:szCs w:val="20"/>
          <w:shd w:val="clear" w:color="auto" w:fill="FFFFFF"/>
          <w:lang w:val="en-US"/>
        </w:rPr>
        <w:t>.”</w:t>
      </w:r>
      <w:r w:rsidRPr="00B24750">
        <w:rPr>
          <w:rStyle w:val="FootnoteReference"/>
          <w:rFonts w:asciiTheme="majorHAnsi" w:hAnsiTheme="majorHAnsi"/>
          <w:color w:val="222222"/>
          <w:sz w:val="20"/>
          <w:szCs w:val="20"/>
          <w:shd w:val="clear" w:color="auto" w:fill="FFFFFF"/>
          <w:lang w:val="en-US"/>
        </w:rPr>
        <w:footnoteReference w:id="179"/>
      </w:r>
    </w:p>
    <w:p w14:paraId="143B2118" w14:textId="77777777" w:rsidR="006A34D5" w:rsidRPr="00B24750" w:rsidRDefault="006A34D5" w:rsidP="006A34D5">
      <w:pPr>
        <w:pStyle w:val="ListParagraph"/>
        <w:rPr>
          <w:rFonts w:asciiTheme="majorHAnsi" w:eastAsia="SimSun" w:hAnsiTheme="majorHAnsi"/>
          <w:sz w:val="20"/>
          <w:szCs w:val="20"/>
        </w:rPr>
      </w:pPr>
    </w:p>
    <w:p w14:paraId="3BB78520" w14:textId="6B20CE98" w:rsidR="006A34D5" w:rsidRPr="007B681D" w:rsidRDefault="006E6A39"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SimSun" w:hAnsiTheme="majorHAnsi"/>
          <w:sz w:val="20"/>
          <w:szCs w:val="20"/>
          <w:lang w:val="en-US"/>
        </w:rPr>
      </w:pPr>
      <w:r w:rsidRPr="00B24750">
        <w:rPr>
          <w:rFonts w:asciiTheme="majorHAnsi" w:hAnsiTheme="majorHAnsi"/>
          <w:sz w:val="20"/>
          <w:szCs w:val="20"/>
          <w:lang w:val="en-US"/>
        </w:rPr>
        <w:lastRenderedPageBreak/>
        <w:t xml:space="preserve">The IACHR and its Office of the Special Rapporteur have </w:t>
      </w:r>
      <w:r w:rsidR="00DA1EC1">
        <w:rPr>
          <w:rFonts w:asciiTheme="majorHAnsi" w:hAnsiTheme="majorHAnsi"/>
          <w:sz w:val="20"/>
          <w:szCs w:val="20"/>
          <w:lang w:val="en-US"/>
        </w:rPr>
        <w:t>noted that</w:t>
      </w:r>
      <w:r w:rsidRPr="00B24750">
        <w:rPr>
          <w:rFonts w:asciiTheme="majorHAnsi" w:hAnsiTheme="majorHAnsi"/>
          <w:sz w:val="20"/>
          <w:szCs w:val="20"/>
          <w:lang w:val="en-US"/>
        </w:rPr>
        <w:t xml:space="preserve"> since 2011 and 2012 the violent repression occurring in Cuba has included </w:t>
      </w:r>
      <w:proofErr w:type="gramStart"/>
      <w:r w:rsidRPr="00B24750">
        <w:rPr>
          <w:rFonts w:asciiTheme="majorHAnsi" w:hAnsiTheme="majorHAnsi"/>
          <w:sz w:val="20"/>
          <w:szCs w:val="20"/>
          <w:lang w:val="en-US"/>
        </w:rPr>
        <w:t>particular cruelty</w:t>
      </w:r>
      <w:proofErr w:type="gramEnd"/>
      <w:r w:rsidRPr="00B24750">
        <w:rPr>
          <w:rFonts w:asciiTheme="majorHAnsi" w:hAnsiTheme="majorHAnsi"/>
          <w:sz w:val="20"/>
          <w:szCs w:val="20"/>
          <w:lang w:val="en-US"/>
        </w:rPr>
        <w:t xml:space="preserve"> toward women.</w:t>
      </w:r>
      <w:r w:rsidR="006A34D5" w:rsidRPr="00B24750">
        <w:rPr>
          <w:rFonts w:asciiTheme="majorHAnsi" w:hAnsiTheme="majorHAnsi"/>
          <w:sz w:val="20"/>
          <w:szCs w:val="20"/>
          <w:vertAlign w:val="superscript"/>
          <w:lang w:val="en-US"/>
        </w:rPr>
        <w:footnoteReference w:id="180"/>
      </w:r>
      <w:r w:rsidR="006A34D5" w:rsidRPr="00B24750">
        <w:rPr>
          <w:rFonts w:asciiTheme="majorHAnsi" w:hAnsiTheme="majorHAnsi"/>
          <w:sz w:val="20"/>
          <w:szCs w:val="20"/>
          <w:lang w:val="en-US"/>
        </w:rPr>
        <w:t xml:space="preserve"> </w:t>
      </w:r>
      <w:r w:rsidRPr="00B24750">
        <w:rPr>
          <w:rFonts w:asciiTheme="majorHAnsi" w:hAnsiTheme="majorHAnsi"/>
          <w:sz w:val="20"/>
          <w:szCs w:val="20"/>
          <w:lang w:val="en-US"/>
        </w:rPr>
        <w:t>In these reports, the Commission recounted violent practices carried out by police officers against women in their custody, including a significant increase in the practice of forcibly stripping female opponents of the regime and conducting unnecessary body searches</w:t>
      </w:r>
      <w:r w:rsidR="00F96C06">
        <w:rPr>
          <w:rFonts w:asciiTheme="majorHAnsi" w:hAnsiTheme="majorHAnsi"/>
          <w:sz w:val="20"/>
          <w:szCs w:val="20"/>
          <w:lang w:val="en-US"/>
        </w:rPr>
        <w:t>,</w:t>
      </w:r>
      <w:r w:rsidR="006A34D5" w:rsidRPr="00B24750">
        <w:rPr>
          <w:rStyle w:val="FootnoteReference"/>
          <w:rFonts w:asciiTheme="majorHAnsi" w:hAnsiTheme="majorHAnsi"/>
          <w:sz w:val="20"/>
          <w:szCs w:val="20"/>
          <w:lang w:val="en-US"/>
        </w:rPr>
        <w:footnoteReference w:id="181"/>
      </w:r>
      <w:r w:rsidR="00F96C06" w:rsidRPr="00F96C06">
        <w:rPr>
          <w:lang w:val="en-US"/>
        </w:rPr>
        <w:t xml:space="preserve"> </w:t>
      </w:r>
      <w:r w:rsidR="00F96C06" w:rsidRPr="00F96C06">
        <w:rPr>
          <w:rFonts w:asciiTheme="majorHAnsi" w:hAnsiTheme="majorHAnsi"/>
          <w:sz w:val="20"/>
          <w:szCs w:val="20"/>
          <w:lang w:val="en-US"/>
        </w:rPr>
        <w:t>in which the facts of this case are inserted</w:t>
      </w:r>
      <w:r w:rsidR="00F96C06">
        <w:rPr>
          <w:rFonts w:asciiTheme="majorHAnsi" w:hAnsiTheme="majorHAnsi"/>
          <w:sz w:val="20"/>
          <w:szCs w:val="20"/>
          <w:lang w:val="en-US"/>
        </w:rPr>
        <w:t>.</w:t>
      </w:r>
    </w:p>
    <w:p w14:paraId="64A296D3" w14:textId="77777777" w:rsidR="007B681D" w:rsidRPr="00B24750" w:rsidRDefault="007B681D" w:rsidP="007B6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lang w:val="en-US"/>
        </w:rPr>
      </w:pPr>
    </w:p>
    <w:p w14:paraId="3F1998AA" w14:textId="6E138256" w:rsidR="00661ACB" w:rsidRPr="00B24750" w:rsidRDefault="00661ACB" w:rsidP="007B681D">
      <w:pPr>
        <w:pStyle w:val="Heading3"/>
        <w:rPr>
          <w:rFonts w:eastAsia="Arial Unicode MS"/>
        </w:rPr>
      </w:pPr>
      <w:bookmarkStart w:id="27" w:name="_Toc90392479"/>
      <w:r w:rsidRPr="00B24750">
        <w:t>An</w:t>
      </w:r>
      <w:r w:rsidR="001708E5" w:rsidRPr="00B24750">
        <w:t>alysis of the case</w:t>
      </w:r>
      <w:bookmarkEnd w:id="27"/>
    </w:p>
    <w:p w14:paraId="0BAC70AF" w14:textId="77777777" w:rsidR="002910DA" w:rsidRPr="00B24750" w:rsidRDefault="002910DA" w:rsidP="005F7F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n-US"/>
        </w:rPr>
      </w:pPr>
    </w:p>
    <w:p w14:paraId="7BE2DAB0" w14:textId="4739CB56" w:rsidR="002A7EA0" w:rsidRPr="00B24750" w:rsidRDefault="006E62A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lang w:val="en-US" w:eastAsia="es-ES"/>
        </w:rPr>
      </w:pPr>
      <w:r>
        <w:rPr>
          <w:rFonts w:asciiTheme="majorHAnsi" w:hAnsiTheme="majorHAnsi" w:cs="Arial"/>
          <w:sz w:val="20"/>
          <w:szCs w:val="20"/>
          <w:lang w:val="en-US"/>
        </w:rPr>
        <w:t xml:space="preserve">Here, </w:t>
      </w:r>
      <w:proofErr w:type="spellStart"/>
      <w:r w:rsidR="001427B5" w:rsidRPr="00B24750">
        <w:rPr>
          <w:rFonts w:asciiTheme="majorHAnsi" w:hAnsiTheme="majorHAnsi" w:cs="Arial"/>
          <w:sz w:val="20"/>
          <w:szCs w:val="20"/>
          <w:lang w:val="en-US"/>
        </w:rPr>
        <w:t>Yoani</w:t>
      </w:r>
      <w:proofErr w:type="spellEnd"/>
      <w:r w:rsidR="001427B5" w:rsidRPr="00B24750">
        <w:rPr>
          <w:rFonts w:asciiTheme="majorHAnsi" w:hAnsiTheme="majorHAnsi" w:cs="Arial"/>
          <w:sz w:val="20"/>
          <w:szCs w:val="20"/>
          <w:lang w:val="en-US"/>
        </w:rPr>
        <w:t xml:space="preserve"> Sánchez was detained by the police twice: on February 24, 2010, and October 5, 2012. On the latter occasion, she was detained for 30 hours without being allowed to communicate with her daughter for several hours. The State did not demonstrate a legal basis to justify either of the two arrests, they did not show a warrant for </w:t>
      </w:r>
      <w:r w:rsidR="008E6874" w:rsidRPr="00B24750">
        <w:rPr>
          <w:rFonts w:asciiTheme="majorHAnsi" w:hAnsiTheme="majorHAnsi" w:cs="Arial"/>
          <w:sz w:val="20"/>
          <w:szCs w:val="20"/>
          <w:lang w:val="en-US"/>
        </w:rPr>
        <w:t>her</w:t>
      </w:r>
      <w:r w:rsidR="001427B5" w:rsidRPr="00B24750">
        <w:rPr>
          <w:rFonts w:asciiTheme="majorHAnsi" w:hAnsiTheme="majorHAnsi" w:cs="Arial"/>
          <w:sz w:val="20"/>
          <w:szCs w:val="20"/>
          <w:lang w:val="en-US"/>
        </w:rPr>
        <w:t xml:space="preserve"> arrest, the victim was not informed of the reasons for her detention or the </w:t>
      </w:r>
      <w:r w:rsidR="001427B5" w:rsidRPr="00B24750">
        <w:rPr>
          <w:rFonts w:asciiTheme="majorHAnsi" w:hAnsiTheme="majorHAnsi"/>
          <w:sz w:val="20"/>
          <w:szCs w:val="20"/>
          <w:lang w:val="en-US"/>
        </w:rPr>
        <w:t xml:space="preserve">charges against her, and the police did not provide her with a written record of </w:t>
      </w:r>
      <w:r w:rsidR="008E6874" w:rsidRPr="00B24750">
        <w:rPr>
          <w:rFonts w:asciiTheme="majorHAnsi" w:hAnsiTheme="majorHAnsi"/>
          <w:sz w:val="20"/>
          <w:szCs w:val="20"/>
          <w:lang w:val="en-US"/>
        </w:rPr>
        <w:t>her</w:t>
      </w:r>
      <w:r w:rsidR="001427B5" w:rsidRPr="00B24750">
        <w:rPr>
          <w:rFonts w:asciiTheme="majorHAnsi" w:hAnsiTheme="majorHAnsi"/>
          <w:sz w:val="20"/>
          <w:szCs w:val="20"/>
          <w:lang w:val="en-US"/>
        </w:rPr>
        <w:t xml:space="preserve"> arrest. There is also no record that </w:t>
      </w:r>
      <w:proofErr w:type="spellStart"/>
      <w:r w:rsidR="001427B5" w:rsidRPr="00B24750">
        <w:rPr>
          <w:rFonts w:asciiTheme="majorHAnsi" w:hAnsiTheme="majorHAnsi"/>
          <w:sz w:val="20"/>
          <w:szCs w:val="20"/>
          <w:lang w:val="en-US"/>
        </w:rPr>
        <w:t>Yoani</w:t>
      </w:r>
      <w:proofErr w:type="spellEnd"/>
      <w:r w:rsidR="001427B5" w:rsidRPr="00B24750">
        <w:rPr>
          <w:rFonts w:asciiTheme="majorHAnsi" w:hAnsiTheme="majorHAnsi"/>
          <w:sz w:val="20"/>
          <w:szCs w:val="20"/>
          <w:lang w:val="en-US"/>
        </w:rPr>
        <w:t xml:space="preserve"> Sánchez was detained </w:t>
      </w:r>
      <w:r w:rsidR="001427B5" w:rsidRPr="00B24750">
        <w:rPr>
          <w:rFonts w:asciiTheme="majorHAnsi" w:hAnsiTheme="majorHAnsi"/>
          <w:i/>
          <w:iCs/>
          <w:sz w:val="20"/>
          <w:szCs w:val="20"/>
          <w:lang w:val="en-US"/>
        </w:rPr>
        <w:t>in flagrante delicto</w:t>
      </w:r>
      <w:r w:rsidR="001427B5" w:rsidRPr="00B24750">
        <w:rPr>
          <w:rFonts w:asciiTheme="majorHAnsi" w:hAnsiTheme="majorHAnsi"/>
          <w:sz w:val="20"/>
          <w:szCs w:val="20"/>
          <w:lang w:val="en-US"/>
        </w:rPr>
        <w:t>, under circumstances of manifest criminal activity, or that she was brought before a judge to promptly determine the lawfulness of the arrest</w:t>
      </w:r>
      <w:r w:rsidR="001F0295" w:rsidRPr="00B24750">
        <w:rPr>
          <w:rFonts w:asciiTheme="majorHAnsi" w:hAnsiTheme="majorHAnsi"/>
          <w:sz w:val="20"/>
          <w:szCs w:val="20"/>
          <w:lang w:val="en-US"/>
        </w:rPr>
        <w:t xml:space="preserve">. </w:t>
      </w:r>
    </w:p>
    <w:p w14:paraId="34031F9B" w14:textId="77777777" w:rsidR="002A7EA0" w:rsidRPr="00B24750" w:rsidRDefault="002A7EA0" w:rsidP="008E2D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ambria"/>
          <w:color w:val="000000"/>
          <w:sz w:val="20"/>
          <w:szCs w:val="20"/>
          <w:u w:color="000000"/>
          <w:bdr w:val="none" w:sz="0" w:space="0" w:color="auto"/>
          <w:lang w:val="en-US" w:eastAsia="es-ES"/>
        </w:rPr>
      </w:pPr>
    </w:p>
    <w:p w14:paraId="4627C064" w14:textId="75259777" w:rsidR="00C85586" w:rsidRPr="00B24750" w:rsidRDefault="003D4E31" w:rsidP="00F66452">
      <w:pPr>
        <w:pStyle w:val="NormalWeb"/>
        <w:numPr>
          <w:ilvl w:val="0"/>
          <w:numId w:val="55"/>
        </w:numPr>
        <w:shd w:val="clear" w:color="auto" w:fill="FFFFFF"/>
        <w:spacing w:before="0" w:beforeAutospacing="0" w:after="0" w:afterAutospacing="0"/>
        <w:ind w:firstLine="0"/>
        <w:jc w:val="both"/>
        <w:rPr>
          <w:rFonts w:asciiTheme="majorHAnsi" w:hAnsiTheme="majorHAnsi"/>
          <w:color w:val="000000"/>
          <w:sz w:val="20"/>
          <w:szCs w:val="20"/>
        </w:rPr>
      </w:pPr>
      <w:r w:rsidRPr="00B24750">
        <w:rPr>
          <w:rFonts w:asciiTheme="majorHAnsi" w:hAnsiTheme="majorHAnsi"/>
          <w:sz w:val="20"/>
          <w:szCs w:val="20"/>
        </w:rPr>
        <w:t xml:space="preserve">Although the State did not present substantive arguments before the IACHR or identify the applicable law, the IACHR </w:t>
      </w:r>
      <w:r w:rsidRPr="00B24750">
        <w:rPr>
          <w:rFonts w:asciiTheme="majorHAnsi" w:hAnsiTheme="majorHAnsi" w:cs="Arial"/>
          <w:sz w:val="20"/>
          <w:szCs w:val="20"/>
          <w:shd w:val="clear" w:color="auto" w:fill="FFFFFF"/>
        </w:rPr>
        <w:t>notes that both Article 58 of the Constitution</w:t>
      </w:r>
      <w:r w:rsidRPr="00B24750">
        <w:rPr>
          <w:rStyle w:val="FootnoteReference"/>
          <w:rFonts w:asciiTheme="majorHAnsi" w:hAnsiTheme="majorHAnsi" w:cs="Arial"/>
          <w:sz w:val="20"/>
          <w:szCs w:val="20"/>
          <w:shd w:val="clear" w:color="auto" w:fill="FFFFFF"/>
        </w:rPr>
        <w:footnoteReference w:id="182"/>
      </w:r>
      <w:r w:rsidRPr="00B24750">
        <w:rPr>
          <w:rFonts w:asciiTheme="majorHAnsi" w:hAnsiTheme="majorHAnsi" w:cs="Arial"/>
          <w:sz w:val="20"/>
          <w:szCs w:val="20"/>
          <w:shd w:val="clear" w:color="auto" w:fill="FFFFFF"/>
        </w:rPr>
        <w:t xml:space="preserve"> and Article 241 of the Criminal Procedure </w:t>
      </w:r>
      <w:r w:rsidR="00394260" w:rsidRPr="00B24750">
        <w:rPr>
          <w:rFonts w:asciiTheme="majorHAnsi" w:hAnsiTheme="majorHAnsi" w:cs="Arial"/>
          <w:sz w:val="20"/>
          <w:szCs w:val="20"/>
          <w:shd w:val="clear" w:color="auto" w:fill="FFFFFF"/>
        </w:rPr>
        <w:t xml:space="preserve">Act </w:t>
      </w:r>
      <w:r w:rsidRPr="00B24750">
        <w:rPr>
          <w:rFonts w:asciiTheme="majorHAnsi" w:hAnsiTheme="majorHAnsi" w:cs="Arial"/>
          <w:sz w:val="20"/>
          <w:szCs w:val="20"/>
          <w:shd w:val="clear" w:color="auto" w:fill="FFFFFF"/>
        </w:rPr>
        <w:t>of Cuba</w:t>
      </w:r>
      <w:r w:rsidR="00CC5395" w:rsidRPr="00B24750">
        <w:rPr>
          <w:rFonts w:asciiTheme="majorHAnsi" w:hAnsiTheme="majorHAnsi" w:cs="Arial"/>
          <w:sz w:val="20"/>
          <w:szCs w:val="20"/>
          <w:shd w:val="clear" w:color="auto" w:fill="FFFFFF"/>
        </w:rPr>
        <w:t>,</w:t>
      </w:r>
      <w:r w:rsidRPr="00B24750">
        <w:rPr>
          <w:rFonts w:asciiTheme="majorHAnsi" w:hAnsiTheme="majorHAnsi" w:cs="Arial"/>
          <w:sz w:val="20"/>
          <w:szCs w:val="20"/>
          <w:shd w:val="clear" w:color="auto" w:fill="FFFFFF"/>
        </w:rPr>
        <w:t xml:space="preserve"> in force at the time of the events</w:t>
      </w:r>
      <w:r w:rsidR="00CC5395" w:rsidRPr="00B24750">
        <w:rPr>
          <w:rFonts w:asciiTheme="majorHAnsi" w:hAnsiTheme="majorHAnsi" w:cs="Arial"/>
          <w:sz w:val="20"/>
          <w:szCs w:val="20"/>
          <w:shd w:val="clear" w:color="auto" w:fill="FFFFFF"/>
        </w:rPr>
        <w:t>,</w:t>
      </w:r>
      <w:r w:rsidRPr="00B24750">
        <w:rPr>
          <w:rFonts w:asciiTheme="majorHAnsi" w:hAnsiTheme="majorHAnsi" w:cs="Arial"/>
          <w:sz w:val="20"/>
          <w:szCs w:val="20"/>
          <w:shd w:val="clear" w:color="auto" w:fill="FFFFFF"/>
        </w:rPr>
        <w:t xml:space="preserve"> provided that </w:t>
      </w:r>
      <w:r w:rsidRPr="00B24750">
        <w:rPr>
          <w:rFonts w:asciiTheme="majorHAnsi" w:eastAsia="Arial Unicode MS" w:hAnsiTheme="majorHAnsi" w:cs="Arial"/>
          <w:sz w:val="20"/>
          <w:szCs w:val="20"/>
          <w:shd w:val="clear" w:color="auto" w:fill="FFFFFF"/>
        </w:rPr>
        <w:t xml:space="preserve">no one could be detained except in the cases, in the manner, and with the guarantees prescribed by law, and that </w:t>
      </w:r>
      <w:r w:rsidR="00CC5395" w:rsidRPr="00B24750">
        <w:rPr>
          <w:rFonts w:asciiTheme="majorHAnsi" w:hAnsiTheme="majorHAnsi"/>
          <w:color w:val="000000"/>
          <w:sz w:val="20"/>
          <w:szCs w:val="20"/>
        </w:rPr>
        <w:t>the detainee’s</w:t>
      </w:r>
      <w:r w:rsidRPr="00B24750">
        <w:rPr>
          <w:rFonts w:asciiTheme="majorHAnsi" w:hAnsiTheme="majorHAnsi"/>
          <w:color w:val="000000"/>
          <w:sz w:val="20"/>
          <w:szCs w:val="20"/>
        </w:rPr>
        <w:t xml:space="preserve"> </w:t>
      </w:r>
      <w:r w:rsidR="001F56BB" w:rsidRPr="00B24750">
        <w:rPr>
          <w:rFonts w:asciiTheme="majorHAnsi" w:hAnsiTheme="majorHAnsi"/>
          <w:color w:val="000000"/>
          <w:sz w:val="20"/>
          <w:szCs w:val="20"/>
        </w:rPr>
        <w:t>personal integrity</w:t>
      </w:r>
      <w:r w:rsidR="00394260" w:rsidRPr="00B24750">
        <w:rPr>
          <w:rFonts w:asciiTheme="majorHAnsi" w:hAnsiTheme="majorHAnsi"/>
          <w:color w:val="000000"/>
          <w:sz w:val="20"/>
          <w:szCs w:val="20"/>
        </w:rPr>
        <w:t xml:space="preserve"> was inviolable</w:t>
      </w:r>
      <w:r w:rsidRPr="00B24750">
        <w:rPr>
          <w:rFonts w:asciiTheme="majorHAnsi" w:hAnsiTheme="majorHAnsi"/>
          <w:color w:val="000000"/>
          <w:sz w:val="20"/>
          <w:szCs w:val="20"/>
        </w:rPr>
        <w:t xml:space="preserve">. Articles 242 and 243 of the </w:t>
      </w:r>
      <w:r w:rsidRPr="00B24750">
        <w:rPr>
          <w:rFonts w:asciiTheme="majorHAnsi" w:hAnsiTheme="majorHAnsi" w:cs="Arial"/>
          <w:sz w:val="20"/>
          <w:szCs w:val="20"/>
          <w:shd w:val="clear" w:color="auto" w:fill="FFFFFF"/>
        </w:rPr>
        <w:t xml:space="preserve">Criminal Procedure </w:t>
      </w:r>
      <w:r w:rsidR="00394260" w:rsidRPr="00B24750">
        <w:rPr>
          <w:rFonts w:asciiTheme="majorHAnsi" w:hAnsiTheme="majorHAnsi" w:cs="Arial"/>
          <w:sz w:val="20"/>
          <w:szCs w:val="20"/>
          <w:shd w:val="clear" w:color="auto" w:fill="FFFFFF"/>
        </w:rPr>
        <w:t xml:space="preserve">Act </w:t>
      </w:r>
      <w:r w:rsidRPr="00B24750">
        <w:rPr>
          <w:rFonts w:asciiTheme="majorHAnsi" w:hAnsiTheme="majorHAnsi" w:cs="Arial"/>
          <w:sz w:val="20"/>
          <w:szCs w:val="20"/>
          <w:shd w:val="clear" w:color="auto" w:fill="FFFFFF"/>
        </w:rPr>
        <w:t>establish</w:t>
      </w:r>
      <w:r w:rsidR="00CC5395" w:rsidRPr="00B24750">
        <w:rPr>
          <w:rFonts w:asciiTheme="majorHAnsi" w:hAnsiTheme="majorHAnsi" w:cs="Arial"/>
          <w:sz w:val="20"/>
          <w:szCs w:val="20"/>
          <w:shd w:val="clear" w:color="auto" w:fill="FFFFFF"/>
        </w:rPr>
        <w:t xml:space="preserve">ed </w:t>
      </w:r>
      <w:r w:rsidRPr="00B24750">
        <w:rPr>
          <w:rFonts w:asciiTheme="majorHAnsi" w:hAnsiTheme="majorHAnsi" w:cs="Arial"/>
          <w:sz w:val="20"/>
          <w:szCs w:val="20"/>
          <w:shd w:val="clear" w:color="auto" w:fill="FFFFFF"/>
        </w:rPr>
        <w:t>that</w:t>
      </w:r>
      <w:r w:rsidR="00CC5395" w:rsidRPr="00B24750">
        <w:rPr>
          <w:rFonts w:asciiTheme="majorHAnsi" w:hAnsiTheme="majorHAnsi" w:cs="Arial"/>
          <w:sz w:val="20"/>
          <w:szCs w:val="20"/>
          <w:shd w:val="clear" w:color="auto" w:fill="FFFFFF"/>
        </w:rPr>
        <w:t xml:space="preserve"> an</w:t>
      </w:r>
      <w:r w:rsidRPr="00B24750">
        <w:rPr>
          <w:rFonts w:asciiTheme="majorHAnsi" w:hAnsiTheme="majorHAnsi" w:cs="Arial"/>
          <w:sz w:val="20"/>
          <w:szCs w:val="20"/>
          <w:shd w:val="clear" w:color="auto" w:fill="FFFFFF"/>
        </w:rPr>
        <w:t xml:space="preserve"> </w:t>
      </w:r>
      <w:r w:rsidR="00CC5395" w:rsidRPr="00B24750">
        <w:rPr>
          <w:rFonts w:asciiTheme="majorHAnsi" w:hAnsiTheme="majorHAnsi" w:cs="Arial"/>
          <w:sz w:val="20"/>
          <w:szCs w:val="20"/>
          <w:shd w:val="clear" w:color="auto" w:fill="FFFFFF"/>
        </w:rPr>
        <w:t>arrest could be</w:t>
      </w:r>
      <w:r w:rsidR="00394260" w:rsidRPr="00B24750">
        <w:rPr>
          <w:rFonts w:asciiTheme="majorHAnsi" w:hAnsiTheme="majorHAnsi" w:cs="Arial"/>
          <w:sz w:val="20"/>
          <w:szCs w:val="20"/>
          <w:shd w:val="clear" w:color="auto" w:fill="FFFFFF"/>
        </w:rPr>
        <w:t xml:space="preserve"> made </w:t>
      </w:r>
      <w:r w:rsidR="00CC5395" w:rsidRPr="00B24750">
        <w:rPr>
          <w:rFonts w:asciiTheme="majorHAnsi" w:hAnsiTheme="majorHAnsi" w:cs="Arial"/>
          <w:sz w:val="20"/>
          <w:szCs w:val="20"/>
          <w:shd w:val="clear" w:color="auto" w:fill="FFFFFF"/>
        </w:rPr>
        <w:t>pursuant to</w:t>
      </w:r>
      <w:r w:rsidRPr="00B24750">
        <w:rPr>
          <w:rFonts w:asciiTheme="majorHAnsi" w:hAnsiTheme="majorHAnsi" w:cs="Arial"/>
          <w:sz w:val="20"/>
          <w:szCs w:val="20"/>
          <w:shd w:val="clear" w:color="auto" w:fill="FFFFFF"/>
        </w:rPr>
        <w:t xml:space="preserve"> an arrest warrant or </w:t>
      </w:r>
      <w:r w:rsidR="00394260" w:rsidRPr="00B24750">
        <w:rPr>
          <w:rFonts w:asciiTheme="majorHAnsi" w:hAnsiTheme="majorHAnsi" w:cs="Arial"/>
          <w:sz w:val="20"/>
          <w:szCs w:val="20"/>
          <w:shd w:val="clear" w:color="auto" w:fill="FFFFFF"/>
        </w:rPr>
        <w:t>in the case</w:t>
      </w:r>
      <w:r w:rsidRPr="00B24750">
        <w:rPr>
          <w:rFonts w:asciiTheme="majorHAnsi" w:hAnsiTheme="majorHAnsi" w:cs="Arial"/>
          <w:sz w:val="20"/>
          <w:szCs w:val="20"/>
          <w:shd w:val="clear" w:color="auto" w:fill="FFFFFF"/>
        </w:rPr>
        <w:t xml:space="preserve"> of flagrancy</w:t>
      </w:r>
      <w:r w:rsidR="00CC5395" w:rsidRPr="00B24750">
        <w:rPr>
          <w:rFonts w:asciiTheme="majorHAnsi" w:hAnsiTheme="majorHAnsi" w:cs="Arial"/>
          <w:sz w:val="20"/>
          <w:szCs w:val="20"/>
          <w:shd w:val="clear" w:color="auto" w:fill="FFFFFF"/>
        </w:rPr>
        <w:t>, among other grounds</w:t>
      </w:r>
      <w:r w:rsidR="00394260" w:rsidRPr="00B24750">
        <w:rPr>
          <w:rFonts w:asciiTheme="majorHAnsi" w:hAnsiTheme="majorHAnsi" w:cs="Arial"/>
          <w:sz w:val="20"/>
          <w:szCs w:val="20"/>
          <w:shd w:val="clear" w:color="auto" w:fill="FFFFFF"/>
        </w:rPr>
        <w:t>.</w:t>
      </w:r>
      <w:r w:rsidRPr="00B24750">
        <w:rPr>
          <w:rFonts w:asciiTheme="majorHAnsi" w:hAnsiTheme="majorHAnsi"/>
          <w:sz w:val="20"/>
          <w:szCs w:val="20"/>
          <w:shd w:val="clear" w:color="auto" w:fill="FFFFFF"/>
          <w:vertAlign w:val="superscript"/>
        </w:rPr>
        <w:footnoteReference w:id="183"/>
      </w:r>
      <w:r w:rsidRPr="00B24750">
        <w:rPr>
          <w:rFonts w:asciiTheme="majorHAnsi" w:hAnsiTheme="majorHAnsi" w:cs="Arial"/>
          <w:sz w:val="20"/>
          <w:szCs w:val="20"/>
          <w:shd w:val="clear" w:color="auto" w:fill="FFFFFF"/>
        </w:rPr>
        <w:t xml:space="preserve"> </w:t>
      </w:r>
      <w:proofErr w:type="spellStart"/>
      <w:r w:rsidRPr="00B24750">
        <w:rPr>
          <w:rFonts w:asciiTheme="majorHAnsi" w:hAnsiTheme="majorHAnsi" w:cs="Arial"/>
          <w:sz w:val="20"/>
          <w:szCs w:val="20"/>
          <w:shd w:val="clear" w:color="auto" w:fill="FFFFFF"/>
        </w:rPr>
        <w:t>Yoani</w:t>
      </w:r>
      <w:proofErr w:type="spellEnd"/>
      <w:r w:rsidRPr="00B24750">
        <w:rPr>
          <w:rFonts w:asciiTheme="majorHAnsi" w:hAnsiTheme="majorHAnsi" w:cs="Arial"/>
          <w:sz w:val="20"/>
          <w:szCs w:val="20"/>
          <w:shd w:val="clear" w:color="auto" w:fill="FFFFFF"/>
        </w:rPr>
        <w:t xml:space="preserve"> Sánchez</w:t>
      </w:r>
      <w:r w:rsidR="00394260" w:rsidRPr="00B24750">
        <w:rPr>
          <w:rFonts w:asciiTheme="majorHAnsi" w:hAnsiTheme="majorHAnsi" w:cs="Arial"/>
          <w:sz w:val="20"/>
          <w:szCs w:val="20"/>
          <w:shd w:val="clear" w:color="auto" w:fill="FFFFFF"/>
        </w:rPr>
        <w:t>’s arrests</w:t>
      </w:r>
      <w:r w:rsidRPr="00B24750">
        <w:rPr>
          <w:rFonts w:asciiTheme="majorHAnsi" w:hAnsiTheme="majorHAnsi" w:cs="Arial"/>
          <w:sz w:val="20"/>
          <w:szCs w:val="20"/>
          <w:shd w:val="clear" w:color="auto" w:fill="FFFFFF"/>
        </w:rPr>
        <w:t xml:space="preserve"> were not carried out in </w:t>
      </w:r>
      <w:r w:rsidR="00394260" w:rsidRPr="00B24750">
        <w:rPr>
          <w:rFonts w:asciiTheme="majorHAnsi" w:hAnsiTheme="majorHAnsi" w:cs="Arial"/>
          <w:sz w:val="20"/>
          <w:szCs w:val="20"/>
          <w:shd w:val="clear" w:color="auto" w:fill="FFFFFF"/>
        </w:rPr>
        <w:t xml:space="preserve">keeping </w:t>
      </w:r>
      <w:r w:rsidRPr="00B24750">
        <w:rPr>
          <w:rFonts w:asciiTheme="majorHAnsi" w:hAnsiTheme="majorHAnsi" w:cs="Arial"/>
          <w:sz w:val="20"/>
          <w:szCs w:val="20"/>
          <w:shd w:val="clear" w:color="auto" w:fill="FFFFFF"/>
        </w:rPr>
        <w:t>with Cuba</w:t>
      </w:r>
      <w:r w:rsidR="00394260" w:rsidRPr="00B24750">
        <w:rPr>
          <w:rFonts w:asciiTheme="majorHAnsi" w:hAnsiTheme="majorHAnsi" w:cs="Arial"/>
          <w:sz w:val="20"/>
          <w:szCs w:val="20"/>
          <w:shd w:val="clear" w:color="auto" w:fill="FFFFFF"/>
        </w:rPr>
        <w:t>’</w:t>
      </w:r>
      <w:r w:rsidRPr="00B24750">
        <w:rPr>
          <w:rFonts w:asciiTheme="majorHAnsi" w:hAnsiTheme="majorHAnsi" w:cs="Arial"/>
          <w:sz w:val="20"/>
          <w:szCs w:val="20"/>
          <w:shd w:val="clear" w:color="auto" w:fill="FFFFFF"/>
        </w:rPr>
        <w:t xml:space="preserve">s own </w:t>
      </w:r>
      <w:r w:rsidR="00394260" w:rsidRPr="00B24750">
        <w:rPr>
          <w:rFonts w:asciiTheme="majorHAnsi" w:hAnsiTheme="majorHAnsi" w:cs="Arial"/>
          <w:sz w:val="20"/>
          <w:szCs w:val="20"/>
          <w:shd w:val="clear" w:color="auto" w:fill="FFFFFF"/>
        </w:rPr>
        <w:t>domestic</w:t>
      </w:r>
      <w:r w:rsidRPr="00B24750">
        <w:rPr>
          <w:rFonts w:asciiTheme="majorHAnsi" w:hAnsiTheme="majorHAnsi" w:cs="Arial"/>
          <w:sz w:val="20"/>
          <w:szCs w:val="20"/>
          <w:shd w:val="clear" w:color="auto" w:fill="FFFFFF"/>
        </w:rPr>
        <w:t xml:space="preserve"> </w:t>
      </w:r>
      <w:r w:rsidR="0045063E" w:rsidRPr="00B24750">
        <w:rPr>
          <w:rFonts w:asciiTheme="majorHAnsi" w:hAnsiTheme="majorHAnsi" w:cs="Arial"/>
          <w:sz w:val="20"/>
          <w:szCs w:val="20"/>
          <w:shd w:val="clear" w:color="auto" w:fill="FFFFFF"/>
        </w:rPr>
        <w:t>laws and</w:t>
      </w:r>
      <w:r w:rsidRPr="00B24750">
        <w:rPr>
          <w:rFonts w:asciiTheme="majorHAnsi" w:hAnsiTheme="majorHAnsi" w:cs="Arial"/>
          <w:sz w:val="20"/>
          <w:szCs w:val="20"/>
          <w:shd w:val="clear" w:color="auto" w:fill="FFFFFF"/>
        </w:rPr>
        <w:t xml:space="preserve"> were therefore illegal</w:t>
      </w:r>
      <w:r w:rsidR="00991791" w:rsidRPr="00B24750">
        <w:rPr>
          <w:rFonts w:asciiTheme="majorHAnsi" w:hAnsiTheme="majorHAnsi" w:cs="Arial"/>
          <w:sz w:val="20"/>
          <w:szCs w:val="20"/>
          <w:shd w:val="clear" w:color="auto" w:fill="FFFFFF"/>
        </w:rPr>
        <w:t>.</w:t>
      </w:r>
    </w:p>
    <w:p w14:paraId="069E0F26" w14:textId="77777777" w:rsidR="00991791" w:rsidRPr="00B24750" w:rsidRDefault="00991791" w:rsidP="008E2DB4">
      <w:pPr>
        <w:pStyle w:val="ListParagraph"/>
        <w:rPr>
          <w:rFonts w:asciiTheme="majorHAnsi" w:hAnsiTheme="majorHAnsi"/>
          <w:sz w:val="20"/>
          <w:szCs w:val="20"/>
        </w:rPr>
      </w:pPr>
    </w:p>
    <w:p w14:paraId="7315AE76" w14:textId="7DE3E21C" w:rsidR="001F5A75" w:rsidRPr="00B24750" w:rsidRDefault="001F5A75" w:rsidP="00F66452">
      <w:pPr>
        <w:pStyle w:val="NormalWeb"/>
        <w:numPr>
          <w:ilvl w:val="0"/>
          <w:numId w:val="55"/>
        </w:numPr>
        <w:shd w:val="clear" w:color="auto" w:fill="FFFFFF"/>
        <w:spacing w:before="0" w:beforeAutospacing="0" w:after="0" w:afterAutospacing="0"/>
        <w:ind w:firstLine="0"/>
        <w:jc w:val="both"/>
        <w:rPr>
          <w:rFonts w:asciiTheme="majorHAnsi" w:hAnsiTheme="majorHAnsi"/>
          <w:color w:val="000000"/>
          <w:sz w:val="20"/>
          <w:szCs w:val="20"/>
        </w:rPr>
      </w:pPr>
      <w:r w:rsidRPr="00B24750">
        <w:rPr>
          <w:rFonts w:asciiTheme="majorHAnsi" w:hAnsiTheme="majorHAnsi" w:cs="Arial"/>
          <w:sz w:val="20"/>
          <w:szCs w:val="20"/>
        </w:rPr>
        <w:t>The arrests</w:t>
      </w:r>
      <w:r w:rsidRPr="00B24750">
        <w:rPr>
          <w:rFonts w:asciiTheme="majorHAnsi" w:hAnsiTheme="majorHAnsi"/>
          <w:color w:val="000000"/>
          <w:sz w:val="20"/>
          <w:szCs w:val="20"/>
        </w:rPr>
        <w:t xml:space="preserve"> were also arbitrary, since they </w:t>
      </w:r>
      <w:r w:rsidRPr="00B24750">
        <w:rPr>
          <w:rFonts w:asciiTheme="majorHAnsi" w:hAnsiTheme="majorHAnsi" w:cs="Arial"/>
          <w:sz w:val="20"/>
          <w:szCs w:val="20"/>
        </w:rPr>
        <w:t xml:space="preserve">were aimed at punishing </w:t>
      </w:r>
      <w:proofErr w:type="spellStart"/>
      <w:r w:rsidRPr="00B24750">
        <w:rPr>
          <w:rFonts w:asciiTheme="majorHAnsi" w:hAnsiTheme="majorHAnsi" w:cs="Arial"/>
          <w:sz w:val="20"/>
          <w:szCs w:val="20"/>
        </w:rPr>
        <w:t>Yoani</w:t>
      </w:r>
      <w:proofErr w:type="spellEnd"/>
      <w:r w:rsidRPr="00B24750">
        <w:rPr>
          <w:rFonts w:asciiTheme="majorHAnsi" w:hAnsiTheme="majorHAnsi" w:cs="Arial"/>
          <w:sz w:val="20"/>
          <w:szCs w:val="20"/>
        </w:rPr>
        <w:t xml:space="preserve"> Sánchez for her critical stance against the Cuban government, her political opinions and expressions, and her civic activism; that is, they were based on a restriction of the exercise of her rights to freedom of thought and expression</w:t>
      </w:r>
      <w:r w:rsidR="002E6EE9" w:rsidRPr="00B24750">
        <w:rPr>
          <w:rFonts w:asciiTheme="majorHAnsi" w:hAnsiTheme="majorHAnsi" w:cs="Arial"/>
          <w:sz w:val="20"/>
          <w:szCs w:val="20"/>
        </w:rPr>
        <w:t>.</w:t>
      </w:r>
      <w:r w:rsidRPr="00B24750">
        <w:rPr>
          <w:rFonts w:asciiTheme="majorHAnsi" w:hAnsiTheme="majorHAnsi" w:cs="Arial"/>
          <w:sz w:val="20"/>
          <w:szCs w:val="20"/>
        </w:rPr>
        <w:t xml:space="preserve"> </w:t>
      </w:r>
      <w:r w:rsidR="002E6EE9" w:rsidRPr="00B24750">
        <w:rPr>
          <w:rFonts w:asciiTheme="majorHAnsi" w:hAnsiTheme="majorHAnsi" w:cs="Arial"/>
          <w:sz w:val="20"/>
          <w:szCs w:val="20"/>
        </w:rPr>
        <w:t>They were also</w:t>
      </w:r>
      <w:r w:rsidRPr="00B24750">
        <w:rPr>
          <w:rFonts w:asciiTheme="majorHAnsi" w:hAnsiTheme="majorHAnsi" w:cs="Arial"/>
          <w:sz w:val="20"/>
          <w:szCs w:val="20"/>
        </w:rPr>
        <w:t xml:space="preserve"> part of a systematic pattern of </w:t>
      </w:r>
      <w:r w:rsidR="002E6EE9" w:rsidRPr="00B24750">
        <w:rPr>
          <w:rFonts w:asciiTheme="majorHAnsi" w:hAnsiTheme="majorHAnsi" w:cs="Arial"/>
          <w:sz w:val="20"/>
          <w:szCs w:val="20"/>
        </w:rPr>
        <w:t xml:space="preserve">detaining and imprisoning critical journalists </w:t>
      </w:r>
      <w:r w:rsidRPr="00B24750">
        <w:rPr>
          <w:rFonts w:asciiTheme="majorHAnsi" w:hAnsiTheme="majorHAnsi" w:cs="Arial"/>
          <w:sz w:val="20"/>
          <w:szCs w:val="20"/>
        </w:rPr>
        <w:t xml:space="preserve">for </w:t>
      </w:r>
      <w:r w:rsidR="002E6EE9" w:rsidRPr="00B24750">
        <w:rPr>
          <w:rFonts w:asciiTheme="majorHAnsi" w:hAnsiTheme="majorHAnsi" w:cs="Arial"/>
          <w:sz w:val="20"/>
          <w:szCs w:val="20"/>
        </w:rPr>
        <w:t>exercising their</w:t>
      </w:r>
      <w:r w:rsidRPr="00B24750">
        <w:rPr>
          <w:rFonts w:asciiTheme="majorHAnsi" w:hAnsiTheme="majorHAnsi" w:cs="Arial"/>
          <w:sz w:val="20"/>
          <w:szCs w:val="20"/>
        </w:rPr>
        <w:t xml:space="preserve"> human rights</w:t>
      </w:r>
      <w:r w:rsidRPr="00B24750">
        <w:rPr>
          <w:rStyle w:val="FootnoteReference"/>
          <w:rFonts w:asciiTheme="majorHAnsi" w:hAnsiTheme="majorHAnsi" w:cs="Arial"/>
          <w:sz w:val="20"/>
          <w:szCs w:val="20"/>
        </w:rPr>
        <w:footnoteReference w:id="184"/>
      </w:r>
      <w:r w:rsidRPr="00B24750">
        <w:rPr>
          <w:rFonts w:asciiTheme="majorHAnsi" w:hAnsiTheme="majorHAnsi" w:cs="Arial"/>
          <w:sz w:val="20"/>
          <w:szCs w:val="20"/>
        </w:rPr>
        <w:t xml:space="preserve"> that has been clearly identified by the IACHR in its annual reports on Cuba. </w:t>
      </w:r>
      <w:r w:rsidR="006E62A8">
        <w:rPr>
          <w:rFonts w:asciiTheme="majorHAnsi" w:hAnsiTheme="majorHAnsi" w:cs="Arial"/>
          <w:sz w:val="20"/>
          <w:szCs w:val="20"/>
        </w:rPr>
        <w:t xml:space="preserve">During </w:t>
      </w:r>
      <w:proofErr w:type="spellStart"/>
      <w:r w:rsidRPr="00B24750">
        <w:rPr>
          <w:rFonts w:asciiTheme="majorHAnsi" w:hAnsiTheme="majorHAnsi" w:cs="Arial"/>
          <w:sz w:val="20"/>
          <w:szCs w:val="20"/>
        </w:rPr>
        <w:t>Yoani’s</w:t>
      </w:r>
      <w:proofErr w:type="spellEnd"/>
      <w:r w:rsidRPr="00B24750">
        <w:rPr>
          <w:rFonts w:asciiTheme="majorHAnsi" w:hAnsiTheme="majorHAnsi" w:cs="Arial"/>
          <w:sz w:val="20"/>
          <w:szCs w:val="20"/>
        </w:rPr>
        <w:t xml:space="preserve"> 2010 arrest, the police officers at the station where she was being held described her as the </w:t>
      </w:r>
      <w:r w:rsidR="00602DE7">
        <w:rPr>
          <w:rFonts w:asciiTheme="majorHAnsi" w:hAnsiTheme="majorHAnsi" w:cs="Arial"/>
          <w:sz w:val="20"/>
          <w:szCs w:val="20"/>
        </w:rPr>
        <w:t>“</w:t>
      </w:r>
      <w:r w:rsidRPr="00B24750">
        <w:rPr>
          <w:rFonts w:asciiTheme="majorHAnsi" w:hAnsiTheme="majorHAnsi" w:cs="Arial"/>
          <w:sz w:val="20"/>
          <w:szCs w:val="20"/>
        </w:rPr>
        <w:t>ringleader of the counterrevolutionaries</w:t>
      </w:r>
      <w:r w:rsidR="00F70713" w:rsidRPr="00B24750">
        <w:rPr>
          <w:rFonts w:asciiTheme="majorHAnsi" w:hAnsiTheme="majorHAnsi" w:cs="Arial"/>
          <w:sz w:val="20"/>
          <w:szCs w:val="20"/>
        </w:rPr>
        <w:t>,</w:t>
      </w:r>
      <w:r w:rsidR="00602DE7">
        <w:rPr>
          <w:rFonts w:asciiTheme="majorHAnsi" w:hAnsiTheme="majorHAnsi" w:cs="Arial"/>
          <w:sz w:val="20"/>
          <w:szCs w:val="20"/>
        </w:rPr>
        <w:t>”</w:t>
      </w:r>
      <w:r w:rsidR="00F70713" w:rsidRPr="00B24750">
        <w:rPr>
          <w:rFonts w:asciiTheme="majorHAnsi" w:hAnsiTheme="majorHAnsi" w:cs="Arial"/>
          <w:sz w:val="20"/>
          <w:szCs w:val="20"/>
        </w:rPr>
        <w:t xml:space="preserve"> identifying her as a political dissident</w:t>
      </w:r>
      <w:r w:rsidRPr="00B24750">
        <w:rPr>
          <w:rFonts w:asciiTheme="majorHAnsi" w:hAnsiTheme="majorHAnsi" w:cs="Arial"/>
          <w:sz w:val="20"/>
          <w:szCs w:val="20"/>
        </w:rPr>
        <w:t>. The IACHR has held that</w:t>
      </w:r>
      <w:r w:rsidR="00FB2B33" w:rsidRPr="00B24750">
        <w:rPr>
          <w:rFonts w:asciiTheme="majorHAnsi" w:hAnsiTheme="majorHAnsi" w:cs="Arial"/>
          <w:sz w:val="20"/>
          <w:szCs w:val="20"/>
        </w:rPr>
        <w:t xml:space="preserve">, in light of democratic </w:t>
      </w:r>
      <w:r w:rsidR="00FB2B33" w:rsidRPr="00B24750">
        <w:rPr>
          <w:rFonts w:asciiTheme="majorHAnsi" w:hAnsiTheme="majorHAnsi" w:cs="Arial"/>
          <w:sz w:val="20"/>
          <w:szCs w:val="20"/>
        </w:rPr>
        <w:lastRenderedPageBreak/>
        <w:t>principles</w:t>
      </w:r>
      <w:r w:rsidR="006E62A8">
        <w:rPr>
          <w:rFonts w:asciiTheme="majorHAnsi" w:hAnsiTheme="majorHAnsi" w:cs="Arial"/>
          <w:sz w:val="20"/>
          <w:szCs w:val="20"/>
        </w:rPr>
        <w:t xml:space="preserve">, exercising </w:t>
      </w:r>
      <w:r w:rsidRPr="00B24750">
        <w:rPr>
          <w:rFonts w:asciiTheme="majorHAnsi" w:hAnsiTheme="majorHAnsi" w:cs="Arial"/>
          <w:sz w:val="20"/>
          <w:szCs w:val="20"/>
        </w:rPr>
        <w:t xml:space="preserve">freedom of expression cannot constitute a legitimate </w:t>
      </w:r>
      <w:r w:rsidR="00FB2B33" w:rsidRPr="00B24750">
        <w:rPr>
          <w:rFonts w:asciiTheme="majorHAnsi" w:hAnsiTheme="majorHAnsi" w:cs="Arial"/>
          <w:sz w:val="20"/>
          <w:szCs w:val="20"/>
        </w:rPr>
        <w:t>basis for</w:t>
      </w:r>
      <w:r w:rsidRPr="00B24750">
        <w:rPr>
          <w:rFonts w:asciiTheme="majorHAnsi" w:hAnsiTheme="majorHAnsi" w:cs="Arial"/>
          <w:sz w:val="20"/>
          <w:szCs w:val="20"/>
        </w:rPr>
        <w:t xml:space="preserve"> </w:t>
      </w:r>
      <w:r w:rsidR="00FB2B33" w:rsidRPr="00B24750">
        <w:rPr>
          <w:rFonts w:asciiTheme="majorHAnsi" w:hAnsiTheme="majorHAnsi" w:cs="Arial"/>
          <w:sz w:val="20"/>
          <w:szCs w:val="20"/>
        </w:rPr>
        <w:t>detention,</w:t>
      </w:r>
      <w:r w:rsidRPr="00B24750">
        <w:rPr>
          <w:rFonts w:asciiTheme="majorHAnsi" w:hAnsiTheme="majorHAnsi" w:cs="Arial"/>
          <w:sz w:val="20"/>
          <w:szCs w:val="20"/>
        </w:rPr>
        <w:t xml:space="preserve"> and </w:t>
      </w:r>
      <w:r w:rsidR="00FB2B33" w:rsidRPr="00B24750">
        <w:rPr>
          <w:rFonts w:asciiTheme="majorHAnsi" w:hAnsiTheme="majorHAnsi" w:cs="Arial"/>
          <w:sz w:val="20"/>
          <w:szCs w:val="20"/>
        </w:rPr>
        <w:t xml:space="preserve">any </w:t>
      </w:r>
      <w:r w:rsidRPr="00B24750">
        <w:rPr>
          <w:rFonts w:asciiTheme="majorHAnsi" w:hAnsiTheme="majorHAnsi" w:cs="Arial"/>
          <w:sz w:val="20"/>
          <w:szCs w:val="20"/>
        </w:rPr>
        <w:t>resul</w:t>
      </w:r>
      <w:r w:rsidR="00FB2B33" w:rsidRPr="00B24750">
        <w:rPr>
          <w:rFonts w:asciiTheme="majorHAnsi" w:hAnsiTheme="majorHAnsi" w:cs="Arial"/>
          <w:sz w:val="20"/>
          <w:szCs w:val="20"/>
        </w:rPr>
        <w:t>ting deprivation of liberty</w:t>
      </w:r>
      <w:r w:rsidRPr="00B24750">
        <w:rPr>
          <w:rFonts w:asciiTheme="majorHAnsi" w:hAnsiTheme="majorHAnsi" w:cs="Arial"/>
          <w:sz w:val="20"/>
          <w:szCs w:val="20"/>
        </w:rPr>
        <w:t xml:space="preserve"> </w:t>
      </w:r>
      <w:r w:rsidR="00FB2B33" w:rsidRPr="00B24750">
        <w:rPr>
          <w:rFonts w:asciiTheme="majorHAnsi" w:hAnsiTheme="majorHAnsi" w:cs="Arial"/>
          <w:sz w:val="20"/>
          <w:szCs w:val="20"/>
        </w:rPr>
        <w:t>is</w:t>
      </w:r>
      <w:r w:rsidRPr="00B24750">
        <w:rPr>
          <w:rFonts w:asciiTheme="majorHAnsi" w:hAnsiTheme="majorHAnsi" w:cs="Arial"/>
          <w:sz w:val="20"/>
          <w:szCs w:val="20"/>
        </w:rPr>
        <w:t xml:space="preserve"> arbitrary.</w:t>
      </w:r>
      <w:r w:rsidRPr="00B24750">
        <w:rPr>
          <w:rFonts w:asciiTheme="majorHAnsi" w:hAnsiTheme="majorHAnsi"/>
          <w:sz w:val="20"/>
          <w:szCs w:val="20"/>
          <w:vertAlign w:val="superscript"/>
        </w:rPr>
        <w:footnoteReference w:id="185"/>
      </w:r>
      <w:r w:rsidRPr="00B24750">
        <w:rPr>
          <w:rFonts w:asciiTheme="majorHAnsi" w:hAnsiTheme="majorHAnsi" w:cs="Arial"/>
          <w:sz w:val="20"/>
          <w:szCs w:val="20"/>
        </w:rPr>
        <w:t xml:space="preserve"> </w:t>
      </w:r>
    </w:p>
    <w:p w14:paraId="48CE7A9A" w14:textId="77777777" w:rsidR="009256DD" w:rsidRPr="00B24750" w:rsidRDefault="009256DD" w:rsidP="008E2DB4">
      <w:pPr>
        <w:pStyle w:val="ListParagraph"/>
        <w:rPr>
          <w:rFonts w:asciiTheme="majorHAnsi" w:hAnsiTheme="majorHAnsi"/>
          <w:sz w:val="20"/>
          <w:szCs w:val="20"/>
        </w:rPr>
      </w:pPr>
    </w:p>
    <w:p w14:paraId="46B6AE39" w14:textId="65686A65" w:rsidR="00773B57" w:rsidRPr="00B24750" w:rsidRDefault="006E62A8" w:rsidP="00F66452">
      <w:pPr>
        <w:pStyle w:val="NormalWeb"/>
        <w:numPr>
          <w:ilvl w:val="0"/>
          <w:numId w:val="55"/>
        </w:numPr>
        <w:shd w:val="clear" w:color="auto" w:fill="FFFFFF"/>
        <w:spacing w:before="0" w:beforeAutospacing="0" w:after="0" w:afterAutospacing="0"/>
        <w:ind w:firstLine="0"/>
        <w:jc w:val="both"/>
        <w:rPr>
          <w:rFonts w:asciiTheme="majorHAnsi" w:hAnsiTheme="majorHAnsi"/>
          <w:sz w:val="20"/>
          <w:szCs w:val="20"/>
        </w:rPr>
      </w:pPr>
      <w:r>
        <w:rPr>
          <w:rFonts w:asciiTheme="majorHAnsi" w:hAnsiTheme="majorHAnsi"/>
          <w:color w:val="000000"/>
          <w:sz w:val="20"/>
          <w:szCs w:val="20"/>
        </w:rPr>
        <w:t xml:space="preserve">Regarding </w:t>
      </w:r>
      <w:r w:rsidR="009177F0" w:rsidRPr="00B24750">
        <w:rPr>
          <w:rFonts w:asciiTheme="majorHAnsi" w:hAnsiTheme="majorHAnsi"/>
          <w:color w:val="000000"/>
          <w:sz w:val="20"/>
          <w:szCs w:val="20"/>
        </w:rPr>
        <w:t>the journalist</w:t>
      </w:r>
      <w:r w:rsidR="00C84C4B" w:rsidRPr="00B24750">
        <w:rPr>
          <w:rFonts w:asciiTheme="majorHAnsi" w:hAnsiTheme="majorHAnsi"/>
          <w:color w:val="000000"/>
          <w:sz w:val="20"/>
          <w:szCs w:val="20"/>
        </w:rPr>
        <w:t>’s</w:t>
      </w:r>
      <w:r w:rsidR="009177F0" w:rsidRPr="00B24750">
        <w:rPr>
          <w:rFonts w:asciiTheme="majorHAnsi" w:hAnsiTheme="majorHAnsi"/>
          <w:color w:val="000000"/>
          <w:sz w:val="20"/>
          <w:szCs w:val="20"/>
        </w:rPr>
        <w:t xml:space="preserve"> 2009 </w:t>
      </w:r>
      <w:r w:rsidR="00C84C4B" w:rsidRPr="00B24750">
        <w:rPr>
          <w:rFonts w:asciiTheme="majorHAnsi" w:hAnsiTheme="majorHAnsi"/>
          <w:color w:val="000000"/>
          <w:sz w:val="20"/>
          <w:szCs w:val="20"/>
        </w:rPr>
        <w:t xml:space="preserve">detention </w:t>
      </w:r>
      <w:r w:rsidR="009177F0" w:rsidRPr="00B24750">
        <w:rPr>
          <w:rFonts w:asciiTheme="majorHAnsi" w:hAnsiTheme="majorHAnsi"/>
          <w:color w:val="000000"/>
          <w:sz w:val="20"/>
          <w:szCs w:val="20"/>
        </w:rPr>
        <w:t xml:space="preserve">by persons dressed in civilian clothes, the IACHR understands that in the Cuban context it </w:t>
      </w:r>
      <w:r w:rsidR="006B43D8">
        <w:rPr>
          <w:rFonts w:asciiTheme="majorHAnsi" w:hAnsiTheme="majorHAnsi"/>
          <w:color w:val="000000"/>
          <w:sz w:val="20"/>
          <w:szCs w:val="20"/>
        </w:rPr>
        <w:t>may have been</w:t>
      </w:r>
      <w:r w:rsidR="009177F0" w:rsidRPr="00B24750">
        <w:rPr>
          <w:rFonts w:asciiTheme="majorHAnsi" w:hAnsiTheme="majorHAnsi"/>
          <w:color w:val="000000"/>
          <w:sz w:val="20"/>
          <w:szCs w:val="20"/>
        </w:rPr>
        <w:t xml:space="preserve"> carried out by civilians </w:t>
      </w:r>
      <w:r w:rsidR="009177F0" w:rsidRPr="00B24750">
        <w:rPr>
          <w:rFonts w:asciiTheme="majorHAnsi" w:hAnsiTheme="majorHAnsi"/>
          <w:sz w:val="20"/>
          <w:szCs w:val="20"/>
        </w:rPr>
        <w:t>who were supported</w:t>
      </w:r>
      <w:r w:rsidR="006B43D8">
        <w:rPr>
          <w:rFonts w:asciiTheme="majorHAnsi" w:hAnsiTheme="majorHAnsi"/>
          <w:sz w:val="20"/>
          <w:szCs w:val="20"/>
        </w:rPr>
        <w:t xml:space="preserve"> by</w:t>
      </w:r>
      <w:r w:rsidR="009177F0" w:rsidRPr="00B24750">
        <w:rPr>
          <w:rFonts w:asciiTheme="majorHAnsi" w:hAnsiTheme="majorHAnsi"/>
          <w:sz w:val="20"/>
          <w:szCs w:val="20"/>
        </w:rPr>
        <w:t>, directed</w:t>
      </w:r>
      <w:r w:rsidR="006B43D8">
        <w:rPr>
          <w:rFonts w:asciiTheme="majorHAnsi" w:hAnsiTheme="majorHAnsi"/>
          <w:sz w:val="20"/>
          <w:szCs w:val="20"/>
        </w:rPr>
        <w:t xml:space="preserve"> by,</w:t>
      </w:r>
      <w:r w:rsidR="009177F0" w:rsidRPr="00B24750">
        <w:rPr>
          <w:rFonts w:asciiTheme="majorHAnsi" w:hAnsiTheme="majorHAnsi"/>
          <w:sz w:val="20"/>
          <w:szCs w:val="20"/>
        </w:rPr>
        <w:t xml:space="preserve"> or linked to the government or some state institution or entity</w:t>
      </w:r>
      <w:r w:rsidR="00C84C4B" w:rsidRPr="00B24750">
        <w:rPr>
          <w:rFonts w:asciiTheme="majorHAnsi" w:hAnsiTheme="majorHAnsi"/>
          <w:color w:val="000000"/>
          <w:sz w:val="20"/>
          <w:szCs w:val="20"/>
        </w:rPr>
        <w:t>. However,</w:t>
      </w:r>
      <w:r w:rsidR="009177F0" w:rsidRPr="00B24750">
        <w:rPr>
          <w:rFonts w:asciiTheme="majorHAnsi" w:hAnsiTheme="majorHAnsi"/>
          <w:color w:val="000000"/>
          <w:sz w:val="20"/>
          <w:szCs w:val="20"/>
        </w:rPr>
        <w:t xml:space="preserve"> in th</w:t>
      </w:r>
      <w:r w:rsidR="00C84C4B" w:rsidRPr="00B24750">
        <w:rPr>
          <w:rFonts w:asciiTheme="majorHAnsi" w:hAnsiTheme="majorHAnsi"/>
          <w:color w:val="000000"/>
          <w:sz w:val="20"/>
          <w:szCs w:val="20"/>
        </w:rPr>
        <w:t>is</w:t>
      </w:r>
      <w:r w:rsidR="009177F0" w:rsidRPr="00B24750">
        <w:rPr>
          <w:rFonts w:asciiTheme="majorHAnsi" w:hAnsiTheme="majorHAnsi"/>
          <w:color w:val="000000"/>
          <w:sz w:val="20"/>
          <w:szCs w:val="20"/>
        </w:rPr>
        <w:t xml:space="preserve"> specific case, it does not have sufficient evidence or clear </w:t>
      </w:r>
      <w:r w:rsidR="00C84C4B" w:rsidRPr="00B24750">
        <w:rPr>
          <w:rFonts w:asciiTheme="majorHAnsi" w:hAnsiTheme="majorHAnsi"/>
          <w:color w:val="000000"/>
          <w:sz w:val="20"/>
          <w:szCs w:val="20"/>
        </w:rPr>
        <w:t>arguments from</w:t>
      </w:r>
      <w:r w:rsidR="009177F0" w:rsidRPr="00B24750">
        <w:rPr>
          <w:rFonts w:asciiTheme="majorHAnsi" w:hAnsiTheme="majorHAnsi"/>
          <w:color w:val="000000"/>
          <w:sz w:val="20"/>
          <w:szCs w:val="20"/>
        </w:rPr>
        <w:t xml:space="preserve"> the petitioners to </w:t>
      </w:r>
      <w:r w:rsidR="00C84C4B" w:rsidRPr="00B24750">
        <w:rPr>
          <w:rFonts w:asciiTheme="majorHAnsi" w:hAnsiTheme="majorHAnsi"/>
          <w:color w:val="000000"/>
          <w:sz w:val="20"/>
          <w:szCs w:val="20"/>
        </w:rPr>
        <w:t xml:space="preserve">prove </w:t>
      </w:r>
      <w:r w:rsidR="009177F0" w:rsidRPr="00B24750">
        <w:rPr>
          <w:rFonts w:asciiTheme="majorHAnsi" w:hAnsiTheme="majorHAnsi"/>
          <w:color w:val="000000"/>
          <w:sz w:val="20"/>
          <w:szCs w:val="20"/>
        </w:rPr>
        <w:t xml:space="preserve">this </w:t>
      </w:r>
      <w:r w:rsidR="00C84C4B" w:rsidRPr="00B24750">
        <w:rPr>
          <w:rFonts w:asciiTheme="majorHAnsi" w:hAnsiTheme="majorHAnsi"/>
          <w:color w:val="000000"/>
          <w:sz w:val="20"/>
          <w:szCs w:val="20"/>
        </w:rPr>
        <w:t>for purposes of attributing</w:t>
      </w:r>
      <w:r w:rsidR="009177F0" w:rsidRPr="00B24750">
        <w:rPr>
          <w:rFonts w:asciiTheme="majorHAnsi" w:hAnsiTheme="majorHAnsi"/>
          <w:color w:val="000000"/>
          <w:sz w:val="20"/>
          <w:szCs w:val="20"/>
        </w:rPr>
        <w:t xml:space="preserve"> international responsibility to the Cuban State </w:t>
      </w:r>
      <w:r w:rsidR="00C84C4B" w:rsidRPr="00B24750">
        <w:rPr>
          <w:rFonts w:asciiTheme="majorHAnsi" w:hAnsiTheme="majorHAnsi"/>
          <w:color w:val="000000"/>
          <w:sz w:val="20"/>
          <w:szCs w:val="20"/>
        </w:rPr>
        <w:t>for</w:t>
      </w:r>
      <w:r w:rsidR="009177F0" w:rsidRPr="00B24750">
        <w:rPr>
          <w:rFonts w:asciiTheme="majorHAnsi" w:hAnsiTheme="majorHAnsi"/>
          <w:color w:val="000000"/>
          <w:sz w:val="20"/>
          <w:szCs w:val="20"/>
        </w:rPr>
        <w:t xml:space="preserve"> that detention</w:t>
      </w:r>
      <w:r w:rsidR="00773B57" w:rsidRPr="00B24750">
        <w:rPr>
          <w:rFonts w:asciiTheme="majorHAnsi" w:hAnsiTheme="majorHAnsi"/>
          <w:color w:val="000000"/>
          <w:sz w:val="20"/>
          <w:szCs w:val="20"/>
        </w:rPr>
        <w:t xml:space="preserve">. </w:t>
      </w:r>
    </w:p>
    <w:p w14:paraId="694690F4" w14:textId="77777777" w:rsidR="00773B57" w:rsidRPr="00B24750" w:rsidRDefault="00773B57" w:rsidP="008E2DB4">
      <w:pPr>
        <w:pStyle w:val="ListParagraph"/>
        <w:rPr>
          <w:rFonts w:asciiTheme="majorHAnsi" w:hAnsiTheme="majorHAnsi"/>
          <w:sz w:val="20"/>
          <w:szCs w:val="20"/>
        </w:rPr>
      </w:pPr>
    </w:p>
    <w:p w14:paraId="71F0A194" w14:textId="639234A6" w:rsidR="00BB3F33" w:rsidRPr="00B24750" w:rsidRDefault="0024677F" w:rsidP="00F66452">
      <w:pPr>
        <w:pStyle w:val="NormalWeb"/>
        <w:numPr>
          <w:ilvl w:val="0"/>
          <w:numId w:val="55"/>
        </w:numPr>
        <w:shd w:val="clear" w:color="auto" w:fill="FFFFFF"/>
        <w:spacing w:before="0" w:beforeAutospacing="0" w:after="0" w:afterAutospacing="0"/>
        <w:ind w:firstLine="0"/>
        <w:jc w:val="both"/>
        <w:rPr>
          <w:rFonts w:asciiTheme="majorHAnsi" w:hAnsiTheme="majorHAnsi"/>
          <w:sz w:val="20"/>
          <w:szCs w:val="20"/>
        </w:rPr>
      </w:pPr>
      <w:r w:rsidRPr="00B24750">
        <w:rPr>
          <w:rFonts w:asciiTheme="majorHAnsi" w:hAnsiTheme="majorHAnsi"/>
          <w:sz w:val="20"/>
          <w:szCs w:val="20"/>
        </w:rPr>
        <w:t xml:space="preserve">The IACHR further notes that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was the victim of physical assaults before and during the 2010 and 2012 detentions. During the 2010 detention, </w:t>
      </w:r>
      <w:proofErr w:type="spellStart"/>
      <w:r w:rsidRPr="00B24750">
        <w:rPr>
          <w:rFonts w:asciiTheme="majorHAnsi" w:hAnsiTheme="majorHAnsi"/>
          <w:sz w:val="20"/>
          <w:szCs w:val="20"/>
        </w:rPr>
        <w:t>Yoani</w:t>
      </w:r>
      <w:proofErr w:type="spellEnd"/>
      <w:r w:rsidRPr="00B24750">
        <w:rPr>
          <w:rFonts w:asciiTheme="majorHAnsi" w:hAnsiTheme="majorHAnsi"/>
          <w:sz w:val="20"/>
          <w:szCs w:val="20"/>
        </w:rPr>
        <w:t xml:space="preserve"> Sánchez was physically assaulted by two civilian women, and </w:t>
      </w:r>
      <w:r w:rsidR="00FA68D9" w:rsidRPr="00B24750">
        <w:rPr>
          <w:rFonts w:asciiTheme="majorHAnsi" w:hAnsiTheme="majorHAnsi"/>
          <w:sz w:val="20"/>
          <w:szCs w:val="20"/>
        </w:rPr>
        <w:t>even though</w:t>
      </w:r>
      <w:r w:rsidRPr="00B24750">
        <w:rPr>
          <w:rFonts w:asciiTheme="majorHAnsi" w:hAnsiTheme="majorHAnsi"/>
          <w:sz w:val="20"/>
          <w:szCs w:val="20"/>
        </w:rPr>
        <w:t xml:space="preserve"> the police witnessed these assaults, </w:t>
      </w:r>
      <w:r w:rsidR="00FA68D9" w:rsidRPr="00B24750">
        <w:rPr>
          <w:rFonts w:asciiTheme="majorHAnsi" w:hAnsiTheme="majorHAnsi"/>
          <w:sz w:val="20"/>
          <w:szCs w:val="20"/>
        </w:rPr>
        <w:t xml:space="preserve">they </w:t>
      </w:r>
      <w:r w:rsidRPr="00B24750">
        <w:rPr>
          <w:rFonts w:asciiTheme="majorHAnsi" w:hAnsiTheme="majorHAnsi"/>
          <w:sz w:val="20"/>
          <w:szCs w:val="20"/>
        </w:rPr>
        <w:t xml:space="preserve">not only </w:t>
      </w:r>
      <w:r w:rsidR="00FA68D9" w:rsidRPr="00B24750">
        <w:rPr>
          <w:rFonts w:asciiTheme="majorHAnsi" w:hAnsiTheme="majorHAnsi"/>
          <w:sz w:val="20"/>
          <w:szCs w:val="20"/>
        </w:rPr>
        <w:t>failed to</w:t>
      </w:r>
      <w:r w:rsidRPr="00B24750">
        <w:rPr>
          <w:rFonts w:asciiTheme="majorHAnsi" w:hAnsiTheme="majorHAnsi"/>
          <w:sz w:val="20"/>
          <w:szCs w:val="20"/>
        </w:rPr>
        <w:t xml:space="preserve"> protect her from them, but they detained </w:t>
      </w:r>
      <w:r w:rsidR="00FA68D9" w:rsidRPr="00B24750">
        <w:rPr>
          <w:rFonts w:asciiTheme="majorHAnsi" w:hAnsiTheme="majorHAnsi"/>
          <w:sz w:val="20"/>
          <w:szCs w:val="20"/>
        </w:rPr>
        <w:t>her</w:t>
      </w:r>
      <w:r w:rsidRPr="00B24750">
        <w:rPr>
          <w:rFonts w:asciiTheme="majorHAnsi" w:hAnsiTheme="majorHAnsi"/>
          <w:sz w:val="20"/>
          <w:szCs w:val="20"/>
        </w:rPr>
        <w:t xml:space="preserve"> and continued the physical violence against her, using force both when they took her into the vehicle </w:t>
      </w:r>
      <w:r w:rsidR="00FA68D9" w:rsidRPr="00B24750">
        <w:rPr>
          <w:rFonts w:asciiTheme="majorHAnsi" w:hAnsiTheme="majorHAnsi"/>
          <w:sz w:val="20"/>
          <w:szCs w:val="20"/>
        </w:rPr>
        <w:t>to transport</w:t>
      </w:r>
      <w:r w:rsidRPr="00B24750">
        <w:rPr>
          <w:rFonts w:asciiTheme="majorHAnsi" w:hAnsiTheme="majorHAnsi"/>
          <w:sz w:val="20"/>
          <w:szCs w:val="20"/>
        </w:rPr>
        <w:t xml:space="preserve"> her to the police station and when they arrived at the police station</w:t>
      </w:r>
      <w:r w:rsidR="00BB3F33" w:rsidRPr="00B24750">
        <w:rPr>
          <w:rFonts w:asciiTheme="majorHAnsi" w:hAnsiTheme="majorHAnsi"/>
          <w:sz w:val="20"/>
          <w:szCs w:val="20"/>
        </w:rPr>
        <w:t>.</w:t>
      </w:r>
      <w:r w:rsidR="00BB3F33" w:rsidRPr="00B24750">
        <w:rPr>
          <w:rFonts w:asciiTheme="majorHAnsi" w:hAnsiTheme="majorHAnsi"/>
        </w:rPr>
        <w:t xml:space="preserve"> </w:t>
      </w:r>
      <w:r w:rsidR="00BB3F33" w:rsidRPr="00B24750">
        <w:rPr>
          <w:rFonts w:asciiTheme="majorHAnsi" w:hAnsiTheme="majorHAnsi"/>
          <w:sz w:val="20"/>
          <w:szCs w:val="20"/>
        </w:rPr>
        <w:t xml:space="preserve">At the police station, the </w:t>
      </w:r>
      <w:r w:rsidR="00D83300" w:rsidRPr="00B24750">
        <w:rPr>
          <w:rFonts w:asciiTheme="majorHAnsi" w:hAnsiTheme="majorHAnsi"/>
          <w:sz w:val="20"/>
          <w:szCs w:val="20"/>
        </w:rPr>
        <w:t>receiving</w:t>
      </w:r>
      <w:r w:rsidR="00BB3F33" w:rsidRPr="00B24750">
        <w:rPr>
          <w:rFonts w:asciiTheme="majorHAnsi" w:hAnsiTheme="majorHAnsi"/>
          <w:sz w:val="20"/>
          <w:szCs w:val="20"/>
        </w:rPr>
        <w:t xml:space="preserve"> officers—who were wearing no badges or identification—kicked her to get her off the ground. </w:t>
      </w:r>
      <w:proofErr w:type="spellStart"/>
      <w:r w:rsidR="00BB3F33" w:rsidRPr="00B24750">
        <w:rPr>
          <w:rFonts w:asciiTheme="majorHAnsi" w:hAnsiTheme="majorHAnsi"/>
          <w:sz w:val="20"/>
          <w:szCs w:val="20"/>
        </w:rPr>
        <w:t>Yoani</w:t>
      </w:r>
      <w:proofErr w:type="spellEnd"/>
      <w:r w:rsidR="00BB3F33" w:rsidRPr="00B24750">
        <w:rPr>
          <w:rFonts w:asciiTheme="majorHAnsi" w:hAnsiTheme="majorHAnsi"/>
          <w:sz w:val="20"/>
          <w:szCs w:val="20"/>
        </w:rPr>
        <w:t xml:space="preserve"> </w:t>
      </w:r>
      <w:r w:rsidR="00D10380">
        <w:rPr>
          <w:rFonts w:asciiTheme="majorHAnsi" w:hAnsiTheme="majorHAnsi"/>
          <w:sz w:val="20"/>
          <w:szCs w:val="20"/>
        </w:rPr>
        <w:t>Sánchez</w:t>
      </w:r>
      <w:r w:rsidR="00BB3F33" w:rsidRPr="00B24750">
        <w:rPr>
          <w:rFonts w:asciiTheme="majorHAnsi" w:hAnsiTheme="majorHAnsi"/>
          <w:sz w:val="20"/>
          <w:szCs w:val="20"/>
        </w:rPr>
        <w:t xml:space="preserve"> was also detained in a men’s holding cell on that occasion, contrary to the standards cited above.</w:t>
      </w:r>
    </w:p>
    <w:p w14:paraId="6BAF1B0C" w14:textId="77777777" w:rsidR="00BB3F33" w:rsidRPr="00B24750" w:rsidRDefault="00BB3F33" w:rsidP="00BB3F33">
      <w:pPr>
        <w:pStyle w:val="NormalWeb"/>
        <w:shd w:val="clear" w:color="auto" w:fill="FFFFFF"/>
        <w:spacing w:before="0" w:beforeAutospacing="0" w:after="0" w:afterAutospacing="0"/>
        <w:ind w:left="720"/>
        <w:jc w:val="both"/>
        <w:rPr>
          <w:rFonts w:asciiTheme="majorHAnsi" w:hAnsiTheme="majorHAnsi"/>
          <w:sz w:val="20"/>
          <w:szCs w:val="20"/>
        </w:rPr>
      </w:pPr>
    </w:p>
    <w:p w14:paraId="247C6BD0" w14:textId="4962352A" w:rsidR="001F0295" w:rsidRPr="00B24750" w:rsidRDefault="00FA68D9" w:rsidP="00F66452">
      <w:pPr>
        <w:pStyle w:val="NormalWeb"/>
        <w:numPr>
          <w:ilvl w:val="0"/>
          <w:numId w:val="55"/>
        </w:numPr>
        <w:shd w:val="clear" w:color="auto" w:fill="FFFFFF"/>
        <w:spacing w:before="0" w:beforeAutospacing="0" w:after="0" w:afterAutospacing="0"/>
        <w:ind w:firstLine="0"/>
        <w:jc w:val="both"/>
        <w:rPr>
          <w:rFonts w:asciiTheme="majorHAnsi" w:hAnsiTheme="majorHAnsi"/>
          <w:sz w:val="20"/>
          <w:szCs w:val="20"/>
        </w:rPr>
      </w:pPr>
      <w:r w:rsidRPr="00B24750">
        <w:rPr>
          <w:rFonts w:asciiTheme="majorHAnsi" w:hAnsiTheme="majorHAnsi"/>
          <w:sz w:val="20"/>
          <w:szCs w:val="20"/>
        </w:rPr>
        <w:t>D</w:t>
      </w:r>
      <w:r w:rsidR="0024677F" w:rsidRPr="00B24750">
        <w:rPr>
          <w:rFonts w:asciiTheme="majorHAnsi" w:hAnsiTheme="majorHAnsi"/>
          <w:sz w:val="20"/>
          <w:szCs w:val="20"/>
        </w:rPr>
        <w:t xml:space="preserve">uring </w:t>
      </w:r>
      <w:r w:rsidR="000A7373" w:rsidRPr="00B24750">
        <w:rPr>
          <w:rFonts w:asciiTheme="majorHAnsi" w:hAnsiTheme="majorHAnsi"/>
          <w:sz w:val="20"/>
          <w:szCs w:val="20"/>
        </w:rPr>
        <w:t>her</w:t>
      </w:r>
      <w:r w:rsidR="0024677F" w:rsidRPr="00B24750">
        <w:rPr>
          <w:rFonts w:asciiTheme="majorHAnsi" w:hAnsiTheme="majorHAnsi"/>
          <w:sz w:val="20"/>
          <w:szCs w:val="20"/>
        </w:rPr>
        <w:t xml:space="preserve"> 2012 arrest</w:t>
      </w:r>
      <w:r w:rsidR="000A7373" w:rsidRPr="00B24750">
        <w:rPr>
          <w:rFonts w:asciiTheme="majorHAnsi" w:hAnsiTheme="majorHAnsi"/>
          <w:sz w:val="20"/>
          <w:szCs w:val="20"/>
        </w:rPr>
        <w:t xml:space="preserve">, the policewomen who interrogated her tried to forcibly undress her </w:t>
      </w:r>
      <w:r w:rsidR="006E62A8">
        <w:rPr>
          <w:rFonts w:asciiTheme="majorHAnsi" w:hAnsiTheme="majorHAnsi"/>
          <w:sz w:val="20"/>
          <w:szCs w:val="20"/>
        </w:rPr>
        <w:t xml:space="preserve">twice, </w:t>
      </w:r>
      <w:r w:rsidR="000A7373" w:rsidRPr="00B24750">
        <w:rPr>
          <w:rFonts w:asciiTheme="majorHAnsi" w:hAnsiTheme="majorHAnsi"/>
          <w:sz w:val="20"/>
          <w:szCs w:val="20"/>
        </w:rPr>
        <w:t xml:space="preserve">in response to which </w:t>
      </w:r>
      <w:proofErr w:type="spellStart"/>
      <w:r w:rsidR="000A7373" w:rsidRPr="00B24750">
        <w:rPr>
          <w:rFonts w:asciiTheme="majorHAnsi" w:hAnsiTheme="majorHAnsi"/>
          <w:sz w:val="20"/>
          <w:szCs w:val="20"/>
        </w:rPr>
        <w:t>Yoani</w:t>
      </w:r>
      <w:proofErr w:type="spellEnd"/>
      <w:r w:rsidR="000A7373" w:rsidRPr="00B24750">
        <w:rPr>
          <w:rFonts w:asciiTheme="majorHAnsi" w:hAnsiTheme="majorHAnsi"/>
          <w:sz w:val="20"/>
          <w:szCs w:val="20"/>
        </w:rPr>
        <w:t xml:space="preserve"> stated that “[they] could have her soul, but not her body.” Because she resisted, the officers </w:t>
      </w:r>
      <w:r w:rsidR="0024677F" w:rsidRPr="00B24750">
        <w:rPr>
          <w:rFonts w:asciiTheme="majorHAnsi" w:hAnsiTheme="majorHAnsi"/>
          <w:sz w:val="20"/>
          <w:szCs w:val="20"/>
        </w:rPr>
        <w:t xml:space="preserve">pushed her to the ground, </w:t>
      </w:r>
      <w:r w:rsidRPr="00B24750">
        <w:rPr>
          <w:rFonts w:asciiTheme="majorHAnsi" w:hAnsiTheme="majorHAnsi"/>
          <w:sz w:val="20"/>
          <w:szCs w:val="20"/>
        </w:rPr>
        <w:t xml:space="preserve">causing her to </w:t>
      </w:r>
      <w:r w:rsidR="0024677F" w:rsidRPr="00B24750">
        <w:rPr>
          <w:rFonts w:asciiTheme="majorHAnsi" w:hAnsiTheme="majorHAnsi"/>
          <w:sz w:val="20"/>
          <w:szCs w:val="20"/>
        </w:rPr>
        <w:t xml:space="preserve">break a tooth and </w:t>
      </w:r>
      <w:r w:rsidRPr="00B24750">
        <w:rPr>
          <w:rFonts w:asciiTheme="majorHAnsi" w:hAnsiTheme="majorHAnsi"/>
          <w:sz w:val="20"/>
          <w:szCs w:val="20"/>
        </w:rPr>
        <w:t>bruise</w:t>
      </w:r>
      <w:r w:rsidR="0024677F" w:rsidRPr="00B24750">
        <w:rPr>
          <w:rFonts w:asciiTheme="majorHAnsi" w:hAnsiTheme="majorHAnsi"/>
          <w:sz w:val="20"/>
          <w:szCs w:val="20"/>
        </w:rPr>
        <w:t xml:space="preserve"> her ribs. </w:t>
      </w:r>
      <w:r w:rsidR="003D2A2B" w:rsidRPr="002A7A7E">
        <w:rPr>
          <w:rFonts w:ascii="Cambria" w:hAnsi="Cambria"/>
          <w:sz w:val="20"/>
          <w:szCs w:val="20"/>
        </w:rPr>
        <w:t>These attempts to undress her, as the IACHR has concluded, took place during an unlawful and arbitrary detention. They constituted unwarranted interference with the victim’s body</w:t>
      </w:r>
      <w:r w:rsidR="00633410" w:rsidRPr="00633410">
        <w:t xml:space="preserve"> </w:t>
      </w:r>
      <w:r w:rsidR="00633410" w:rsidRPr="00633410">
        <w:rPr>
          <w:rFonts w:ascii="Cambria" w:hAnsi="Cambria"/>
          <w:sz w:val="20"/>
          <w:szCs w:val="20"/>
        </w:rPr>
        <w:t>and acts of abuse of power by police officers</w:t>
      </w:r>
      <w:r w:rsidR="003D2A2B" w:rsidRPr="002A7A7E">
        <w:rPr>
          <w:rFonts w:ascii="Cambria" w:hAnsi="Cambria"/>
          <w:sz w:val="20"/>
          <w:szCs w:val="20"/>
        </w:rPr>
        <w:t>, placing her in an even more vulnerable situation, given the potential of being naked and helpless, and increasing her fear of what might happen to her</w:t>
      </w:r>
      <w:r w:rsidR="003D2A2B" w:rsidRPr="002A7A7E">
        <w:rPr>
          <w:rFonts w:ascii="Cambria" w:hAnsi="Cambria"/>
          <w:color w:val="222222"/>
          <w:sz w:val="20"/>
          <w:szCs w:val="20"/>
          <w:shd w:val="clear" w:color="auto" w:fill="FFFFFF"/>
        </w:rPr>
        <w:t xml:space="preserve">. </w:t>
      </w:r>
      <w:r w:rsidR="000A7373" w:rsidRPr="00B24750">
        <w:rPr>
          <w:rFonts w:asciiTheme="majorHAnsi" w:hAnsiTheme="majorHAnsi"/>
          <w:sz w:val="20"/>
          <w:szCs w:val="20"/>
        </w:rPr>
        <w:t xml:space="preserve">The IACHR finds that the attempts at forced nudity constituted acts of gender-based violence against </w:t>
      </w:r>
      <w:proofErr w:type="spellStart"/>
      <w:r w:rsidR="000A7373" w:rsidRPr="00B24750">
        <w:rPr>
          <w:rFonts w:asciiTheme="majorHAnsi" w:hAnsiTheme="majorHAnsi"/>
          <w:sz w:val="20"/>
          <w:szCs w:val="20"/>
        </w:rPr>
        <w:t>Yoani</w:t>
      </w:r>
      <w:proofErr w:type="spellEnd"/>
      <w:r w:rsidR="000A7373" w:rsidRPr="00B24750">
        <w:rPr>
          <w:rFonts w:asciiTheme="majorHAnsi" w:hAnsiTheme="majorHAnsi"/>
          <w:sz w:val="20"/>
          <w:szCs w:val="20"/>
        </w:rPr>
        <w:t xml:space="preserve"> Sánchez consistent with </w:t>
      </w:r>
      <w:r w:rsidR="003D2A2B">
        <w:rPr>
          <w:rFonts w:asciiTheme="majorHAnsi" w:hAnsiTheme="majorHAnsi"/>
          <w:sz w:val="20"/>
          <w:szCs w:val="20"/>
        </w:rPr>
        <w:t>other similar acts</w:t>
      </w:r>
      <w:r w:rsidR="000A7373" w:rsidRPr="00B24750">
        <w:rPr>
          <w:rFonts w:asciiTheme="majorHAnsi" w:hAnsiTheme="majorHAnsi"/>
          <w:sz w:val="20"/>
          <w:szCs w:val="20"/>
        </w:rPr>
        <w:t xml:space="preserve"> reported in Cuba, and that they were carried out to </w:t>
      </w:r>
      <w:r w:rsidR="003D2A2B">
        <w:rPr>
          <w:rFonts w:asciiTheme="majorHAnsi" w:hAnsiTheme="majorHAnsi"/>
          <w:sz w:val="20"/>
          <w:szCs w:val="20"/>
        </w:rPr>
        <w:t xml:space="preserve">humiliate her and </w:t>
      </w:r>
      <w:r w:rsidR="000A7373" w:rsidRPr="00B24750">
        <w:rPr>
          <w:rFonts w:asciiTheme="majorHAnsi" w:hAnsiTheme="majorHAnsi"/>
          <w:sz w:val="20"/>
          <w:szCs w:val="20"/>
        </w:rPr>
        <w:t>punish her for her work as a journalist and blogger. These kinds of acts have also had a disproportionate impact on women deprived of their liberty in Cuba, when compared to their male counterparts. The attempts at forced nudity were also a violation of the journalist’s personal dignity and constituted a form of sexual violence because they involved acts of a sexual nature that were committed without her consent and included the physical invasion of the human body by attempting to undress her in front of the policewomen and a man who had recorded part of the events.</w:t>
      </w:r>
      <w:r w:rsidR="00472D34" w:rsidRPr="00472D34">
        <w:t xml:space="preserve"> </w:t>
      </w:r>
      <w:r w:rsidR="00472D34" w:rsidRPr="00472D34">
        <w:rPr>
          <w:rFonts w:asciiTheme="majorHAnsi" w:hAnsiTheme="majorHAnsi"/>
          <w:sz w:val="20"/>
          <w:szCs w:val="20"/>
        </w:rPr>
        <w:t xml:space="preserve">Furthermore, sexual violence against </w:t>
      </w:r>
      <w:proofErr w:type="spellStart"/>
      <w:r w:rsidR="00472D34" w:rsidRPr="00472D34">
        <w:rPr>
          <w:rFonts w:asciiTheme="majorHAnsi" w:hAnsiTheme="majorHAnsi"/>
          <w:sz w:val="20"/>
          <w:szCs w:val="20"/>
        </w:rPr>
        <w:t>Yoani</w:t>
      </w:r>
      <w:proofErr w:type="spellEnd"/>
      <w:r w:rsidR="00472D34" w:rsidRPr="00472D34">
        <w:rPr>
          <w:rFonts w:asciiTheme="majorHAnsi" w:hAnsiTheme="majorHAnsi"/>
          <w:sz w:val="20"/>
          <w:szCs w:val="20"/>
        </w:rPr>
        <w:t xml:space="preserve"> constituted a form of discrimination based on her gender and the nature of her work as a leading female journalist in Cuba.</w:t>
      </w:r>
      <w:r w:rsidR="000A7373" w:rsidRPr="00B24750">
        <w:rPr>
          <w:rFonts w:asciiTheme="majorHAnsi" w:hAnsiTheme="majorHAnsi"/>
          <w:sz w:val="20"/>
          <w:szCs w:val="20"/>
        </w:rPr>
        <w:t xml:space="preserve"> </w:t>
      </w:r>
      <w:r w:rsidR="00BC2AB2" w:rsidRPr="00B24750">
        <w:rPr>
          <w:rFonts w:asciiTheme="majorHAnsi" w:hAnsiTheme="majorHAnsi"/>
          <w:sz w:val="20"/>
          <w:szCs w:val="20"/>
        </w:rPr>
        <w:t>Accordingly</w:t>
      </w:r>
      <w:r w:rsidR="0024677F" w:rsidRPr="00B24750">
        <w:rPr>
          <w:rFonts w:asciiTheme="majorHAnsi" w:hAnsiTheme="majorHAnsi"/>
          <w:sz w:val="20"/>
          <w:szCs w:val="20"/>
        </w:rPr>
        <w:t xml:space="preserve">, the IACHR concludes that the State violated </w:t>
      </w:r>
      <w:proofErr w:type="spellStart"/>
      <w:r w:rsidR="0024677F" w:rsidRPr="00B24750">
        <w:rPr>
          <w:rFonts w:asciiTheme="majorHAnsi" w:hAnsiTheme="majorHAnsi"/>
          <w:sz w:val="20"/>
          <w:szCs w:val="20"/>
        </w:rPr>
        <w:t>Yoani</w:t>
      </w:r>
      <w:proofErr w:type="spellEnd"/>
      <w:r w:rsidR="0024677F" w:rsidRPr="00B24750">
        <w:rPr>
          <w:rFonts w:asciiTheme="majorHAnsi" w:hAnsiTheme="majorHAnsi"/>
          <w:sz w:val="20"/>
          <w:szCs w:val="20"/>
        </w:rPr>
        <w:t xml:space="preserve"> Sánchez</w:t>
      </w:r>
      <w:r w:rsidRPr="00B24750">
        <w:rPr>
          <w:rFonts w:asciiTheme="majorHAnsi" w:hAnsiTheme="majorHAnsi"/>
          <w:sz w:val="20"/>
          <w:szCs w:val="20"/>
        </w:rPr>
        <w:t>’</w:t>
      </w:r>
      <w:r w:rsidR="0024677F" w:rsidRPr="00B24750">
        <w:rPr>
          <w:rFonts w:asciiTheme="majorHAnsi" w:hAnsiTheme="majorHAnsi"/>
          <w:sz w:val="20"/>
          <w:szCs w:val="20"/>
        </w:rPr>
        <w:t>s right to personal integrity</w:t>
      </w:r>
      <w:r w:rsidR="009C3A7F">
        <w:rPr>
          <w:rFonts w:asciiTheme="majorHAnsi" w:hAnsiTheme="majorHAnsi"/>
          <w:sz w:val="20"/>
          <w:szCs w:val="20"/>
        </w:rPr>
        <w:t xml:space="preserve">, </w:t>
      </w:r>
      <w:r w:rsidR="0024677F" w:rsidRPr="00B24750">
        <w:rPr>
          <w:rFonts w:asciiTheme="majorHAnsi" w:hAnsiTheme="majorHAnsi"/>
          <w:sz w:val="20"/>
          <w:szCs w:val="20"/>
        </w:rPr>
        <w:t xml:space="preserve">her right to humane and dignified treatment </w:t>
      </w:r>
      <w:r w:rsidRPr="00B24750">
        <w:rPr>
          <w:rFonts w:asciiTheme="majorHAnsi" w:hAnsiTheme="majorHAnsi"/>
          <w:sz w:val="20"/>
          <w:szCs w:val="20"/>
        </w:rPr>
        <w:t>in custody</w:t>
      </w:r>
      <w:r w:rsidR="009C3A7F">
        <w:rPr>
          <w:rFonts w:asciiTheme="majorHAnsi" w:hAnsiTheme="majorHAnsi"/>
          <w:sz w:val="20"/>
          <w:szCs w:val="20"/>
        </w:rPr>
        <w:t xml:space="preserve">, </w:t>
      </w:r>
      <w:r w:rsidR="009C3A7F" w:rsidRPr="009C3A7F">
        <w:rPr>
          <w:rFonts w:asciiTheme="majorHAnsi" w:hAnsiTheme="majorHAnsi"/>
          <w:sz w:val="20"/>
          <w:szCs w:val="20"/>
        </w:rPr>
        <w:t>as well as their right to equality and non-discrimination</w:t>
      </w:r>
      <w:r w:rsidR="008E2DB4" w:rsidRPr="00B24750">
        <w:rPr>
          <w:rFonts w:asciiTheme="majorHAnsi" w:hAnsiTheme="majorHAnsi"/>
          <w:sz w:val="20"/>
          <w:szCs w:val="20"/>
        </w:rPr>
        <w:t xml:space="preserve">. </w:t>
      </w:r>
    </w:p>
    <w:p w14:paraId="7B2ED767" w14:textId="77777777" w:rsidR="008E2DB4" w:rsidRPr="00B24750" w:rsidRDefault="008E2DB4" w:rsidP="008E2DB4">
      <w:pPr>
        <w:pStyle w:val="NormalWeb"/>
        <w:shd w:val="clear" w:color="auto" w:fill="FFFFFF"/>
        <w:spacing w:before="0" w:beforeAutospacing="0" w:after="0" w:afterAutospacing="0"/>
        <w:ind w:left="720"/>
        <w:jc w:val="both"/>
        <w:rPr>
          <w:rFonts w:asciiTheme="majorHAnsi" w:hAnsiTheme="majorHAnsi"/>
          <w:sz w:val="20"/>
          <w:szCs w:val="20"/>
        </w:rPr>
      </w:pPr>
    </w:p>
    <w:p w14:paraId="5440D856" w14:textId="75EF8F99" w:rsidR="001F0295" w:rsidRDefault="006E62A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lang w:val="en-US" w:eastAsia="es-ES"/>
        </w:rPr>
      </w:pPr>
      <w:r>
        <w:rPr>
          <w:rFonts w:asciiTheme="majorHAnsi" w:eastAsia="Times New Roman" w:hAnsiTheme="majorHAnsi" w:cs="Cambria"/>
          <w:color w:val="000000"/>
          <w:sz w:val="20"/>
          <w:szCs w:val="20"/>
          <w:u w:color="000000"/>
          <w:bdr w:val="none" w:sz="0" w:space="0" w:color="auto"/>
          <w:lang w:val="en-US" w:eastAsia="es-ES"/>
        </w:rPr>
        <w:t xml:space="preserve">The </w:t>
      </w:r>
      <w:r w:rsidR="00BC2AB2" w:rsidRPr="00B24750">
        <w:rPr>
          <w:rFonts w:asciiTheme="majorHAnsi" w:eastAsia="Times New Roman" w:hAnsiTheme="majorHAnsi" w:cs="Cambria"/>
          <w:color w:val="000000"/>
          <w:sz w:val="20"/>
          <w:szCs w:val="20"/>
          <w:u w:color="000000"/>
          <w:bdr w:val="none" w:sz="0" w:space="0" w:color="auto"/>
          <w:lang w:val="en-US" w:eastAsia="es-ES"/>
        </w:rPr>
        <w:t xml:space="preserve">IACHR concludes that the State of Cuba is responsible for the unlawful and arbitrary detention of </w:t>
      </w:r>
      <w:proofErr w:type="spellStart"/>
      <w:r w:rsidR="00BC2AB2" w:rsidRPr="00B24750">
        <w:rPr>
          <w:rFonts w:asciiTheme="majorHAnsi" w:eastAsia="Times New Roman" w:hAnsiTheme="majorHAnsi" w:cs="Cambria"/>
          <w:color w:val="000000"/>
          <w:sz w:val="20"/>
          <w:szCs w:val="20"/>
          <w:u w:color="000000"/>
          <w:bdr w:val="none" w:sz="0" w:space="0" w:color="auto"/>
          <w:lang w:val="en-US" w:eastAsia="es-ES"/>
        </w:rPr>
        <w:t>Yoani</w:t>
      </w:r>
      <w:proofErr w:type="spellEnd"/>
      <w:r w:rsidR="00BC2AB2" w:rsidRPr="00B24750">
        <w:rPr>
          <w:rFonts w:asciiTheme="majorHAnsi" w:eastAsia="Times New Roman" w:hAnsiTheme="majorHAnsi" w:cs="Cambria"/>
          <w:color w:val="000000"/>
          <w:sz w:val="20"/>
          <w:szCs w:val="20"/>
          <w:u w:color="000000"/>
          <w:bdr w:val="none" w:sz="0" w:space="0" w:color="auto"/>
          <w:lang w:val="en-US" w:eastAsia="es-ES"/>
        </w:rPr>
        <w:t xml:space="preserve"> Sánchez on two occasions, and for having violated her rights to</w:t>
      </w:r>
      <w:r w:rsidR="009C3A7F">
        <w:rPr>
          <w:rFonts w:asciiTheme="majorHAnsi" w:eastAsia="Times New Roman" w:hAnsiTheme="majorHAnsi" w:cs="Cambria"/>
          <w:color w:val="000000"/>
          <w:sz w:val="20"/>
          <w:szCs w:val="20"/>
          <w:u w:color="000000"/>
          <w:bdr w:val="none" w:sz="0" w:space="0" w:color="auto"/>
          <w:lang w:val="en-US" w:eastAsia="es-ES"/>
        </w:rPr>
        <w:t xml:space="preserve"> equality,</w:t>
      </w:r>
      <w:r w:rsidR="00BC2AB2" w:rsidRPr="00B24750">
        <w:rPr>
          <w:rFonts w:asciiTheme="majorHAnsi" w:eastAsia="Times New Roman" w:hAnsiTheme="majorHAnsi" w:cs="Cambria"/>
          <w:color w:val="000000"/>
          <w:sz w:val="20"/>
          <w:szCs w:val="20"/>
          <w:u w:color="000000"/>
          <w:bdr w:val="none" w:sz="0" w:space="0" w:color="auto"/>
          <w:lang w:val="en-US" w:eastAsia="es-ES"/>
        </w:rPr>
        <w:t xml:space="preserve"> dignity</w:t>
      </w:r>
      <w:r w:rsidR="009C3A7F">
        <w:rPr>
          <w:rFonts w:asciiTheme="majorHAnsi" w:eastAsia="Times New Roman" w:hAnsiTheme="majorHAnsi" w:cs="Cambria"/>
          <w:color w:val="000000"/>
          <w:sz w:val="20"/>
          <w:szCs w:val="20"/>
          <w:u w:color="000000"/>
          <w:bdr w:val="none" w:sz="0" w:space="0" w:color="auto"/>
          <w:lang w:val="en-US" w:eastAsia="es-ES"/>
        </w:rPr>
        <w:t>,</w:t>
      </w:r>
      <w:r w:rsidR="00BC2AB2" w:rsidRPr="00B24750">
        <w:rPr>
          <w:rFonts w:asciiTheme="majorHAnsi" w:eastAsia="Times New Roman" w:hAnsiTheme="majorHAnsi" w:cs="Cambria"/>
          <w:color w:val="000000"/>
          <w:sz w:val="20"/>
          <w:szCs w:val="20"/>
          <w:u w:color="000000"/>
          <w:bdr w:val="none" w:sz="0" w:space="0" w:color="auto"/>
          <w:lang w:val="en-US" w:eastAsia="es-ES"/>
        </w:rPr>
        <w:t xml:space="preserve"> and humane treatment during her arrest and while in the custody of State agents. In this </w:t>
      </w:r>
      <w:r w:rsidR="008D0F0D">
        <w:rPr>
          <w:rFonts w:asciiTheme="majorHAnsi" w:eastAsia="Times New Roman" w:hAnsiTheme="majorHAnsi" w:cs="Cambria"/>
          <w:color w:val="000000"/>
          <w:sz w:val="20"/>
          <w:szCs w:val="20"/>
          <w:u w:color="000000"/>
          <w:bdr w:val="none" w:sz="0" w:space="0" w:color="auto"/>
          <w:lang w:val="en-US" w:eastAsia="es-ES"/>
        </w:rPr>
        <w:t>connection</w:t>
      </w:r>
      <w:r w:rsidR="00BC2AB2" w:rsidRPr="00B24750">
        <w:rPr>
          <w:rFonts w:asciiTheme="majorHAnsi" w:eastAsia="Times New Roman" w:hAnsiTheme="majorHAnsi" w:cs="Cambria"/>
          <w:color w:val="000000"/>
          <w:sz w:val="20"/>
          <w:szCs w:val="20"/>
          <w:u w:color="000000"/>
          <w:bdr w:val="none" w:sz="0" w:space="0" w:color="auto"/>
          <w:lang w:val="en-US" w:eastAsia="es-ES"/>
        </w:rPr>
        <w:t>, the State is responsible for the violation of Articles I</w:t>
      </w:r>
      <w:r w:rsidR="00097DB6">
        <w:rPr>
          <w:rFonts w:asciiTheme="majorHAnsi" w:eastAsia="Times New Roman" w:hAnsiTheme="majorHAnsi" w:cs="Cambria"/>
          <w:color w:val="000000"/>
          <w:sz w:val="20"/>
          <w:szCs w:val="20"/>
          <w:u w:color="000000"/>
          <w:bdr w:val="none" w:sz="0" w:space="0" w:color="auto"/>
          <w:lang w:val="en-US" w:eastAsia="es-ES"/>
        </w:rPr>
        <w:t>, II,</w:t>
      </w:r>
      <w:r w:rsidR="00BC2AB2" w:rsidRPr="00B24750">
        <w:rPr>
          <w:rFonts w:asciiTheme="majorHAnsi" w:eastAsia="Times New Roman" w:hAnsiTheme="majorHAnsi" w:cs="Cambria"/>
          <w:color w:val="000000"/>
          <w:sz w:val="20"/>
          <w:szCs w:val="20"/>
          <w:u w:color="000000"/>
          <w:bdr w:val="none" w:sz="0" w:space="0" w:color="auto"/>
          <w:lang w:val="en-US" w:eastAsia="es-ES"/>
        </w:rPr>
        <w:t xml:space="preserve"> and XXV of the American Declaration, to the detriment of </w:t>
      </w:r>
      <w:proofErr w:type="spellStart"/>
      <w:r w:rsidR="00BC2AB2" w:rsidRPr="00B24750">
        <w:rPr>
          <w:rFonts w:asciiTheme="majorHAnsi" w:eastAsia="Times New Roman" w:hAnsiTheme="majorHAnsi" w:cs="Cambria"/>
          <w:color w:val="000000"/>
          <w:sz w:val="20"/>
          <w:szCs w:val="20"/>
          <w:u w:color="000000"/>
          <w:bdr w:val="none" w:sz="0" w:space="0" w:color="auto"/>
          <w:lang w:val="en-US" w:eastAsia="es-ES"/>
        </w:rPr>
        <w:t>Yoani</w:t>
      </w:r>
      <w:proofErr w:type="spellEnd"/>
      <w:r w:rsidR="00BC2AB2" w:rsidRPr="00B24750">
        <w:rPr>
          <w:rFonts w:asciiTheme="majorHAnsi" w:eastAsia="Times New Roman" w:hAnsiTheme="majorHAnsi" w:cs="Cambria"/>
          <w:color w:val="000000"/>
          <w:sz w:val="20"/>
          <w:szCs w:val="20"/>
          <w:u w:color="000000"/>
          <w:bdr w:val="none" w:sz="0" w:space="0" w:color="auto"/>
          <w:lang w:val="en-US" w:eastAsia="es-ES"/>
        </w:rPr>
        <w:t xml:space="preserve"> Sánchez Cordero</w:t>
      </w:r>
      <w:r w:rsidR="005B26C5" w:rsidRPr="00B24750">
        <w:rPr>
          <w:rFonts w:asciiTheme="majorHAnsi" w:eastAsia="Times New Roman" w:hAnsiTheme="majorHAnsi" w:cs="Cambria"/>
          <w:color w:val="000000"/>
          <w:sz w:val="20"/>
          <w:szCs w:val="20"/>
          <w:u w:color="000000"/>
          <w:bdr w:val="none" w:sz="0" w:space="0" w:color="auto"/>
          <w:lang w:val="en-US" w:eastAsia="es-ES"/>
        </w:rPr>
        <w:t>.</w:t>
      </w:r>
    </w:p>
    <w:p w14:paraId="71FC5D2E" w14:textId="77777777" w:rsidR="007B681D" w:rsidRDefault="007B681D" w:rsidP="007B681D">
      <w:pPr>
        <w:pStyle w:val="ListParagraph"/>
        <w:rPr>
          <w:rFonts w:asciiTheme="majorHAnsi" w:eastAsia="Times New Roman" w:hAnsiTheme="majorHAnsi"/>
          <w:sz w:val="20"/>
          <w:szCs w:val="20"/>
          <w:bdr w:val="none" w:sz="0" w:space="0" w:color="auto"/>
        </w:rPr>
      </w:pPr>
    </w:p>
    <w:p w14:paraId="0264D998" w14:textId="77777777" w:rsidR="007B681D" w:rsidRPr="00B24750" w:rsidRDefault="007B681D" w:rsidP="007B6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6AB9273F" w14:textId="24D6D15D" w:rsidR="00C412F3" w:rsidRPr="007B681D" w:rsidRDefault="006151DD" w:rsidP="007B681D">
      <w:pPr>
        <w:pStyle w:val="Heading2"/>
      </w:pPr>
      <w:bookmarkStart w:id="28" w:name="_Toc90392480"/>
      <w:r w:rsidRPr="007B681D">
        <w:t>Right to residence and movement</w:t>
      </w:r>
      <w:r w:rsidR="00C412F3" w:rsidRPr="007B681D">
        <w:t xml:space="preserve"> (</w:t>
      </w:r>
      <w:r w:rsidRPr="007B681D">
        <w:t>Article</w:t>
      </w:r>
      <w:r w:rsidR="00C412F3" w:rsidRPr="007B681D">
        <w:t xml:space="preserve"> VIII)</w:t>
      </w:r>
      <w:r w:rsidRPr="007B681D">
        <w:rPr>
          <w:rStyle w:val="FootnoteReference"/>
          <w:vertAlign w:val="baseline"/>
        </w:rPr>
        <w:footnoteReference w:id="186"/>
      </w:r>
      <w:bookmarkEnd w:id="28"/>
    </w:p>
    <w:p w14:paraId="506F1A27" w14:textId="77777777" w:rsidR="00C412F3" w:rsidRPr="00B24750" w:rsidRDefault="00C412F3" w:rsidP="009E70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12EBED86" w14:textId="08EF8D91" w:rsidR="008D6A72" w:rsidRPr="00B24750" w:rsidRDefault="005731B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The IACHR has noted that the right of every person to live in his or her country of nationality, and to leave it and return when he or she wishes, is a basic right recognized not only in the inter-American system, but also by other international instruments for the protection of human rights, such as the Universal Declaration of Human Rights (Article 13) and the International Covenant on Civil and Political Rights (Article 12).</w:t>
      </w:r>
      <w:r w:rsidRPr="00B24750">
        <w:rPr>
          <w:rFonts w:asciiTheme="majorHAnsi" w:hAnsiTheme="majorHAnsi" w:cs="Cambria"/>
          <w:color w:val="000000"/>
          <w:sz w:val="20"/>
          <w:szCs w:val="20"/>
          <w:u w:color="000000"/>
          <w:bdr w:val="none" w:sz="0" w:space="0" w:color="auto"/>
          <w:vertAlign w:val="superscript"/>
          <w:lang w:val="en-US" w:eastAsia="es-ES"/>
        </w:rPr>
        <w:footnoteReference w:id="187"/>
      </w:r>
    </w:p>
    <w:p w14:paraId="037DF9FC" w14:textId="77777777" w:rsidR="008D6A72" w:rsidRPr="00B24750" w:rsidRDefault="008D6A72" w:rsidP="008D6A7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color w:val="000000"/>
          <w:sz w:val="20"/>
          <w:szCs w:val="20"/>
          <w:u w:color="000000"/>
          <w:bdr w:val="none" w:sz="0" w:space="0" w:color="auto"/>
          <w:lang w:val="en-US" w:eastAsia="es-ES"/>
        </w:rPr>
      </w:pPr>
    </w:p>
    <w:p w14:paraId="0F3D26A0" w14:textId="617B547C" w:rsidR="00DC6B2F" w:rsidRPr="00B24750" w:rsidRDefault="005731B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lastRenderedPageBreak/>
        <w:t xml:space="preserve">The IACHR has maintained that Article VIII of the American Declaration enshrines the “right of every person to live in his own country, to leave and return when he deems fit.” </w:t>
      </w:r>
      <w:r w:rsidRPr="00B24750">
        <w:rPr>
          <w:rFonts w:asciiTheme="majorHAnsi" w:hAnsiTheme="majorHAnsi"/>
          <w:sz w:val="20"/>
          <w:szCs w:val="20"/>
          <w:lang w:val="en-US"/>
        </w:rPr>
        <w:t>The right of movement refers to the right of every person to move freely from one place to another and to settle freely in the place of their choosing. The enjoyment of this right should not depend on any particular purpose or motive of the person wishing to move or stay in a place.</w:t>
      </w:r>
      <w:r w:rsidRPr="00B24750">
        <w:rPr>
          <w:rStyle w:val="FootnoteReference"/>
          <w:rFonts w:asciiTheme="majorHAnsi" w:hAnsiTheme="majorHAnsi"/>
          <w:sz w:val="20"/>
          <w:szCs w:val="20"/>
          <w:lang w:val="en-US"/>
        </w:rPr>
        <w:footnoteReference w:id="188"/>
      </w:r>
      <w:r w:rsidRPr="00B24750">
        <w:rPr>
          <w:rFonts w:asciiTheme="majorHAnsi" w:hAnsiTheme="majorHAnsi"/>
          <w:sz w:val="20"/>
          <w:szCs w:val="20"/>
          <w:lang w:val="en-US"/>
        </w:rPr>
        <w:t xml:space="preserve"> It </w:t>
      </w:r>
      <w:r w:rsidRPr="00B24750">
        <w:rPr>
          <w:rFonts w:asciiTheme="majorHAnsi" w:hAnsiTheme="majorHAnsi" w:cs="Cambria"/>
          <w:color w:val="000000"/>
          <w:sz w:val="20"/>
          <w:szCs w:val="20"/>
          <w:u w:color="000000"/>
          <w:bdr w:val="none" w:sz="0" w:space="0" w:color="auto"/>
          <w:lang w:val="en-US" w:eastAsia="es-ES"/>
        </w:rPr>
        <w:t xml:space="preserve">also includes </w:t>
      </w:r>
      <w:r w:rsidRPr="00B24750">
        <w:rPr>
          <w:rFonts w:asciiTheme="majorHAnsi" w:hAnsiTheme="majorHAnsi"/>
          <w:sz w:val="20"/>
          <w:szCs w:val="20"/>
          <w:lang w:val="en-US"/>
        </w:rPr>
        <w:t xml:space="preserve">the right to freely leave any country, including one’s own, and is an indispensable condition for the free development of </w:t>
      </w:r>
      <w:r w:rsidR="00D3424B" w:rsidRPr="00B24750">
        <w:rPr>
          <w:rFonts w:asciiTheme="majorHAnsi" w:hAnsiTheme="majorHAnsi"/>
          <w:sz w:val="20"/>
          <w:szCs w:val="20"/>
          <w:lang w:val="en-US"/>
        </w:rPr>
        <w:t>a</w:t>
      </w:r>
      <w:r w:rsidRPr="00B24750">
        <w:rPr>
          <w:rFonts w:asciiTheme="majorHAnsi" w:hAnsiTheme="majorHAnsi"/>
          <w:sz w:val="20"/>
          <w:szCs w:val="20"/>
          <w:lang w:val="en-US"/>
        </w:rPr>
        <w:t xml:space="preserve"> </w:t>
      </w:r>
      <w:r w:rsidR="00D3424B" w:rsidRPr="00B24750">
        <w:rPr>
          <w:rFonts w:asciiTheme="majorHAnsi" w:hAnsiTheme="majorHAnsi"/>
          <w:sz w:val="20"/>
          <w:szCs w:val="20"/>
          <w:lang w:val="en-US"/>
        </w:rPr>
        <w:t>person</w:t>
      </w:r>
      <w:r w:rsidR="003161DE" w:rsidRPr="00B24750">
        <w:rPr>
          <w:rFonts w:asciiTheme="majorHAnsi" w:hAnsiTheme="majorHAnsi"/>
          <w:sz w:val="20"/>
          <w:szCs w:val="20"/>
          <w:lang w:val="en-US"/>
        </w:rPr>
        <w:t>.</w:t>
      </w:r>
    </w:p>
    <w:p w14:paraId="24876E4D" w14:textId="77777777" w:rsidR="004E532E" w:rsidRPr="00B24750"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000000"/>
          <w:sz w:val="20"/>
          <w:szCs w:val="20"/>
          <w:u w:color="000000"/>
          <w:bdr w:val="none" w:sz="0" w:space="0" w:color="auto"/>
          <w:lang w:val="en-US" w:eastAsia="es-ES"/>
        </w:rPr>
      </w:pPr>
    </w:p>
    <w:p w14:paraId="1C2418FC" w14:textId="0B7E558F" w:rsidR="0080071E" w:rsidRPr="00B24750" w:rsidRDefault="00D3424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bdr w:val="none" w:sz="0" w:space="0" w:color="auto"/>
          <w:lang w:val="en-US"/>
        </w:rPr>
      </w:pPr>
      <w:r w:rsidRPr="00B24750">
        <w:rPr>
          <w:rFonts w:asciiTheme="majorHAnsi" w:hAnsiTheme="majorHAnsi" w:cs="Cambria"/>
          <w:color w:val="000000"/>
          <w:sz w:val="20"/>
          <w:szCs w:val="20"/>
          <w:u w:color="000000"/>
          <w:bdr w:val="none" w:sz="0" w:space="0" w:color="auto"/>
          <w:lang w:val="en-US" w:eastAsia="es-ES"/>
        </w:rPr>
        <w:t>The United Nations Human Rights Committee has noted that “Freedom to leave the territory of a State may not be made dependent on any specific purpose or on the period of time the individual chooses to stay outside the country. Thus, travelling abroad is covered, as well as departure for permanent emigration. Likewise, the right of the individual to determine the State of destination is part of the legal guarantee.</w:t>
      </w:r>
      <w:r w:rsidR="004E532E" w:rsidRPr="00B24750">
        <w:rPr>
          <w:rFonts w:asciiTheme="majorHAnsi" w:hAnsiTheme="majorHAnsi" w:cs="Cambria"/>
          <w:color w:val="000000"/>
          <w:sz w:val="20"/>
          <w:szCs w:val="20"/>
          <w:u w:color="000000"/>
          <w:bdr w:val="none" w:sz="0" w:space="0" w:color="auto"/>
          <w:lang w:val="en-US" w:eastAsia="es-ES"/>
        </w:rPr>
        <w:t>”</w:t>
      </w:r>
      <w:r w:rsidRPr="00B24750">
        <w:rPr>
          <w:rFonts w:asciiTheme="majorHAnsi" w:hAnsiTheme="majorHAnsi" w:cs="Cambria"/>
          <w:color w:val="000000"/>
          <w:sz w:val="20"/>
          <w:szCs w:val="20"/>
          <w:u w:color="000000"/>
          <w:bdr w:val="none" w:sz="0" w:space="0" w:color="auto"/>
          <w:vertAlign w:val="superscript"/>
          <w:lang w:val="en-US" w:eastAsia="es-ES"/>
        </w:rPr>
        <w:footnoteReference w:id="189"/>
      </w:r>
      <w:r w:rsidR="004E532E" w:rsidRPr="00B24750">
        <w:rPr>
          <w:rFonts w:asciiTheme="majorHAnsi" w:hAnsiTheme="majorHAnsi" w:cs="Cambria"/>
          <w:color w:val="000000"/>
          <w:sz w:val="20"/>
          <w:szCs w:val="20"/>
          <w:u w:color="000000"/>
          <w:bdr w:val="none" w:sz="0" w:space="0" w:color="auto"/>
          <w:lang w:val="en-US" w:eastAsia="es-ES"/>
        </w:rPr>
        <w:t xml:space="preserve"> </w:t>
      </w:r>
      <w:r w:rsidRPr="00B24750">
        <w:rPr>
          <w:rFonts w:asciiTheme="majorHAnsi" w:hAnsiTheme="majorHAnsi" w:cs="Cambria"/>
          <w:color w:val="000000"/>
          <w:sz w:val="20"/>
          <w:szCs w:val="20"/>
          <w:u w:color="000000"/>
          <w:bdr w:val="none" w:sz="0" w:space="0" w:color="auto"/>
          <w:lang w:val="en-US" w:eastAsia="es-ES"/>
        </w:rPr>
        <w:t>According to the Committee, any restrictions to this right</w:t>
      </w:r>
      <w:r w:rsidR="004E532E" w:rsidRPr="00B24750">
        <w:rPr>
          <w:rFonts w:asciiTheme="majorHAnsi" w:hAnsiTheme="majorHAnsi" w:cs="Cambria"/>
          <w:color w:val="000000"/>
          <w:sz w:val="20"/>
          <w:szCs w:val="20"/>
          <w:u w:color="000000"/>
          <w:bdr w:val="none" w:sz="0" w:space="0" w:color="auto"/>
          <w:lang w:val="en-US" w:eastAsia="es-ES"/>
        </w:rPr>
        <w:t xml:space="preserve"> </w:t>
      </w:r>
      <w:r w:rsidRPr="00B24750">
        <w:rPr>
          <w:rFonts w:asciiTheme="majorHAnsi" w:hAnsiTheme="majorHAnsi" w:cs="Cambria"/>
          <w:color w:val="000000"/>
          <w:sz w:val="20"/>
          <w:szCs w:val="20"/>
          <w:u w:color="000000"/>
          <w:bdr w:val="none" w:sz="0" w:space="0" w:color="auto"/>
          <w:lang w:val="en-US" w:eastAsia="es-ES"/>
        </w:rPr>
        <w:t>must be provided by law, must be necessary in a democratic society for the protection of</w:t>
      </w:r>
      <w:r w:rsidR="004E532E" w:rsidRPr="00B24750">
        <w:rPr>
          <w:rFonts w:asciiTheme="majorHAnsi" w:hAnsiTheme="majorHAnsi" w:cs="Cambria"/>
          <w:color w:val="000000"/>
          <w:sz w:val="20"/>
          <w:szCs w:val="20"/>
          <w:u w:color="000000"/>
          <w:bdr w:val="none" w:sz="0" w:space="0" w:color="auto"/>
          <w:lang w:val="en-US" w:eastAsia="es-ES"/>
        </w:rPr>
        <w:t xml:space="preserve"> </w:t>
      </w:r>
      <w:r w:rsidRPr="00B24750">
        <w:rPr>
          <w:rFonts w:asciiTheme="majorHAnsi" w:hAnsiTheme="majorHAnsi" w:cs="Cambria"/>
          <w:color w:val="000000"/>
          <w:sz w:val="20"/>
          <w:szCs w:val="20"/>
          <w:u w:color="000000"/>
          <w:bdr w:val="none" w:sz="0" w:space="0" w:color="auto"/>
          <w:lang w:val="en-US" w:eastAsia="es-ES"/>
        </w:rPr>
        <w:t>national security, public order (</w:t>
      </w:r>
      <w:proofErr w:type="spellStart"/>
      <w:r w:rsidRPr="00B24750">
        <w:rPr>
          <w:rFonts w:asciiTheme="majorHAnsi" w:hAnsiTheme="majorHAnsi" w:cs="Cambria"/>
          <w:i/>
          <w:iCs/>
          <w:color w:val="000000"/>
          <w:sz w:val="20"/>
          <w:szCs w:val="20"/>
          <w:u w:color="000000"/>
          <w:bdr w:val="none" w:sz="0" w:space="0" w:color="auto"/>
          <w:lang w:val="en-US" w:eastAsia="es-ES"/>
        </w:rPr>
        <w:t>ordre</w:t>
      </w:r>
      <w:proofErr w:type="spellEnd"/>
      <w:r w:rsidRPr="00B24750">
        <w:rPr>
          <w:rFonts w:asciiTheme="majorHAnsi" w:hAnsiTheme="majorHAnsi" w:cs="Cambria"/>
          <w:i/>
          <w:iCs/>
          <w:color w:val="000000"/>
          <w:sz w:val="20"/>
          <w:szCs w:val="20"/>
          <w:u w:color="000000"/>
          <w:bdr w:val="none" w:sz="0" w:space="0" w:color="auto"/>
          <w:lang w:val="en-US" w:eastAsia="es-ES"/>
        </w:rPr>
        <w:t xml:space="preserve"> public</w:t>
      </w:r>
      <w:r w:rsidRPr="00B24750">
        <w:rPr>
          <w:rFonts w:asciiTheme="majorHAnsi" w:hAnsiTheme="majorHAnsi" w:cs="Cambria"/>
          <w:color w:val="000000"/>
          <w:sz w:val="20"/>
          <w:szCs w:val="20"/>
          <w:u w:color="000000"/>
          <w:bdr w:val="none" w:sz="0" w:space="0" w:color="auto"/>
          <w:lang w:val="en-US" w:eastAsia="es-ES"/>
        </w:rPr>
        <w:t>), public health or morals and the rights and freedoms of others</w:t>
      </w:r>
      <w:r w:rsidR="004E532E" w:rsidRPr="00B24750">
        <w:rPr>
          <w:rFonts w:asciiTheme="majorHAnsi" w:hAnsiTheme="majorHAnsi" w:cs="Cambria"/>
          <w:color w:val="000000"/>
          <w:sz w:val="20"/>
          <w:szCs w:val="20"/>
          <w:u w:color="000000"/>
          <w:bdr w:val="none" w:sz="0" w:space="0" w:color="auto"/>
          <w:lang w:val="en-US" w:eastAsia="es-ES"/>
        </w:rPr>
        <w:t xml:space="preserve">; </w:t>
      </w:r>
      <w:r w:rsidR="00244861" w:rsidRPr="00B24750">
        <w:rPr>
          <w:rFonts w:asciiTheme="majorHAnsi" w:hAnsiTheme="majorHAnsi" w:cs="Cambria"/>
          <w:color w:val="000000"/>
          <w:sz w:val="20"/>
          <w:szCs w:val="20"/>
          <w:u w:color="000000"/>
          <w:bdr w:val="none" w:sz="0" w:space="0" w:color="auto"/>
          <w:lang w:val="en-US" w:eastAsia="es-ES"/>
        </w:rPr>
        <w:t>they must also be</w:t>
      </w:r>
      <w:r w:rsidRPr="00B24750">
        <w:rPr>
          <w:rFonts w:asciiTheme="majorHAnsi" w:hAnsiTheme="majorHAnsi" w:cs="Cambria"/>
          <w:color w:val="000000"/>
          <w:sz w:val="20"/>
          <w:szCs w:val="20"/>
          <w:u w:color="000000"/>
          <w:bdr w:val="none" w:sz="0" w:space="0" w:color="auto"/>
          <w:lang w:val="en-US" w:eastAsia="es-ES"/>
        </w:rPr>
        <w:t xml:space="preserve"> compatible with all other recognized rights of the individual.</w:t>
      </w:r>
      <w:r w:rsidRPr="00B24750">
        <w:rPr>
          <w:rFonts w:asciiTheme="majorHAnsi" w:hAnsiTheme="majorHAnsi" w:cs="Cambria"/>
          <w:color w:val="000000"/>
          <w:sz w:val="20"/>
          <w:szCs w:val="20"/>
          <w:u w:color="000000"/>
          <w:bdr w:val="none" w:sz="0" w:space="0" w:color="auto"/>
          <w:vertAlign w:val="superscript"/>
          <w:lang w:val="en-US" w:eastAsia="es-ES"/>
        </w:rPr>
        <w:footnoteReference w:id="190"/>
      </w:r>
    </w:p>
    <w:p w14:paraId="785C0814" w14:textId="77777777" w:rsidR="00D3424B" w:rsidRPr="00B24750" w:rsidRDefault="00D3424B" w:rsidP="00D342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bdr w:val="none" w:sz="0" w:space="0" w:color="auto"/>
          <w:lang w:val="en-US"/>
        </w:rPr>
      </w:pPr>
    </w:p>
    <w:p w14:paraId="3AFC5DB7" w14:textId="3ECAD0B7" w:rsidR="004E532E" w:rsidRPr="00B24750" w:rsidRDefault="00492EF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 xml:space="preserve">The </w:t>
      </w:r>
      <w:r w:rsidR="00EB2C4C" w:rsidRPr="00B24750">
        <w:rPr>
          <w:rFonts w:asciiTheme="majorHAnsi" w:hAnsiTheme="majorHAnsi" w:cs="Cambria"/>
          <w:color w:val="000000"/>
          <w:sz w:val="20"/>
          <w:szCs w:val="20"/>
          <w:u w:color="000000"/>
          <w:bdr w:val="none" w:sz="0" w:space="0" w:color="auto"/>
          <w:lang w:val="en-US" w:eastAsia="es-ES"/>
        </w:rPr>
        <w:t>jurisprudence</w:t>
      </w:r>
      <w:r w:rsidRPr="00B24750">
        <w:rPr>
          <w:rFonts w:asciiTheme="majorHAnsi" w:hAnsiTheme="majorHAnsi" w:cs="Cambria"/>
          <w:color w:val="000000"/>
          <w:sz w:val="20"/>
          <w:szCs w:val="20"/>
          <w:u w:color="000000"/>
          <w:bdr w:val="none" w:sz="0" w:space="0" w:color="auto"/>
          <w:lang w:val="en-US" w:eastAsia="es-ES"/>
        </w:rPr>
        <w:t xml:space="preserve"> of the inter-American system has similarly held that the right of a citizen to leave his </w:t>
      </w:r>
      <w:r w:rsidR="00EB2C4C" w:rsidRPr="00B24750">
        <w:rPr>
          <w:rFonts w:asciiTheme="majorHAnsi" w:hAnsiTheme="majorHAnsi" w:cs="Cambria"/>
          <w:color w:val="000000"/>
          <w:sz w:val="20"/>
          <w:szCs w:val="20"/>
          <w:u w:color="000000"/>
          <w:bdr w:val="none" w:sz="0" w:space="0" w:color="auto"/>
          <w:lang w:val="en-US" w:eastAsia="es-ES"/>
        </w:rPr>
        <w:t xml:space="preserve">or her </w:t>
      </w:r>
      <w:r w:rsidRPr="00B24750">
        <w:rPr>
          <w:rFonts w:asciiTheme="majorHAnsi" w:hAnsiTheme="majorHAnsi" w:cs="Cambria"/>
          <w:color w:val="000000"/>
          <w:sz w:val="20"/>
          <w:szCs w:val="20"/>
          <w:u w:color="000000"/>
          <w:bdr w:val="none" w:sz="0" w:space="0" w:color="auto"/>
          <w:lang w:val="en-US" w:eastAsia="es-ES"/>
        </w:rPr>
        <w:t xml:space="preserve">country may </w:t>
      </w:r>
      <w:r w:rsidR="006E62A8">
        <w:rPr>
          <w:rFonts w:asciiTheme="majorHAnsi" w:hAnsiTheme="majorHAnsi" w:cs="Cambria"/>
          <w:color w:val="000000"/>
          <w:sz w:val="20"/>
          <w:szCs w:val="20"/>
          <w:u w:color="000000"/>
          <w:bdr w:val="none" w:sz="0" w:space="0" w:color="auto"/>
          <w:lang w:val="en-US" w:eastAsia="es-ES"/>
        </w:rPr>
        <w:t xml:space="preserve">be restricted only </w:t>
      </w:r>
      <w:r w:rsidR="00EB2C4C" w:rsidRPr="00B24750">
        <w:rPr>
          <w:rFonts w:asciiTheme="majorHAnsi" w:hAnsiTheme="majorHAnsi" w:cs="Cambria"/>
          <w:color w:val="000000"/>
          <w:sz w:val="20"/>
          <w:szCs w:val="20"/>
          <w:u w:color="000000"/>
          <w:bdr w:val="none" w:sz="0" w:space="0" w:color="auto"/>
          <w:lang w:val="en-US" w:eastAsia="es-ES"/>
        </w:rPr>
        <w:t>in line with</w:t>
      </w:r>
      <w:r w:rsidRPr="00B24750">
        <w:rPr>
          <w:rFonts w:asciiTheme="majorHAnsi" w:hAnsiTheme="majorHAnsi" w:cs="Cambria"/>
          <w:color w:val="000000"/>
          <w:sz w:val="20"/>
          <w:szCs w:val="20"/>
          <w:u w:color="000000"/>
          <w:bdr w:val="none" w:sz="0" w:space="0" w:color="auto"/>
          <w:lang w:val="en-US" w:eastAsia="es-ES"/>
        </w:rPr>
        <w:t xml:space="preserve"> the </w:t>
      </w:r>
      <w:r w:rsidRPr="00B24750">
        <w:rPr>
          <w:rFonts w:asciiTheme="majorHAnsi" w:hAnsiTheme="majorHAnsi"/>
          <w:sz w:val="20"/>
          <w:szCs w:val="20"/>
          <w:bdr w:val="none" w:sz="0" w:space="0" w:color="auto"/>
          <w:lang w:val="en-US"/>
        </w:rPr>
        <w:t>requirements of legality, necessity</w:t>
      </w:r>
      <w:r w:rsidR="00EB2C4C"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lang w:val="en-US"/>
        </w:rPr>
        <w:t xml:space="preserve"> and proportionality of the restrictions</w:t>
      </w:r>
      <w:r w:rsidR="00EB2C4C" w:rsidRPr="00B24750">
        <w:rPr>
          <w:rFonts w:asciiTheme="majorHAnsi" w:hAnsiTheme="majorHAnsi"/>
          <w:sz w:val="20"/>
          <w:szCs w:val="20"/>
          <w:bdr w:val="none" w:sz="0" w:space="0" w:color="auto"/>
          <w:lang w:val="en-US"/>
        </w:rPr>
        <w:t xml:space="preserve"> </w:t>
      </w:r>
      <w:r w:rsidRPr="00B24750">
        <w:rPr>
          <w:rFonts w:asciiTheme="majorHAnsi" w:hAnsiTheme="majorHAnsi"/>
          <w:sz w:val="20"/>
          <w:szCs w:val="20"/>
          <w:bdr w:val="none" w:sz="0" w:space="0" w:color="auto"/>
          <w:lang w:val="en-US"/>
        </w:rPr>
        <w:t xml:space="preserve">to the extent </w:t>
      </w:r>
      <w:r w:rsidR="00EB2C4C" w:rsidRPr="00B24750">
        <w:rPr>
          <w:rFonts w:asciiTheme="majorHAnsi" w:hAnsiTheme="majorHAnsi"/>
          <w:sz w:val="20"/>
          <w:szCs w:val="20"/>
          <w:bdr w:val="none" w:sz="0" w:space="0" w:color="auto"/>
          <w:lang w:val="en-US"/>
        </w:rPr>
        <w:t>necessary</w:t>
      </w:r>
      <w:r w:rsidRPr="00B24750">
        <w:rPr>
          <w:rFonts w:asciiTheme="majorHAnsi" w:hAnsiTheme="majorHAnsi"/>
          <w:sz w:val="20"/>
          <w:szCs w:val="20"/>
          <w:bdr w:val="none" w:sz="0" w:space="0" w:color="auto"/>
          <w:lang w:val="en-US"/>
        </w:rPr>
        <w:t xml:space="preserve"> in a democratic society.</w:t>
      </w:r>
      <w:r w:rsidRPr="00B24750">
        <w:rPr>
          <w:rFonts w:asciiTheme="majorHAnsi" w:hAnsiTheme="majorHAnsi"/>
          <w:sz w:val="20"/>
          <w:szCs w:val="20"/>
          <w:bdr w:val="none" w:sz="0" w:space="0" w:color="auto"/>
          <w:vertAlign w:val="superscript"/>
          <w:lang w:val="en-US"/>
        </w:rPr>
        <w:footnoteReference w:id="191"/>
      </w:r>
      <w:r w:rsidRPr="00B24750">
        <w:rPr>
          <w:rFonts w:asciiTheme="majorHAnsi" w:hAnsiTheme="majorHAnsi"/>
          <w:sz w:val="20"/>
          <w:szCs w:val="20"/>
          <w:bdr w:val="none" w:sz="0" w:space="0" w:color="auto"/>
          <w:lang w:val="en-US"/>
        </w:rPr>
        <w:t xml:space="preserve"> Regarding the first requirement, “</w:t>
      </w:r>
      <w:r w:rsidR="006E6E44" w:rsidRPr="00B24750">
        <w:rPr>
          <w:rFonts w:asciiTheme="majorHAnsi" w:hAnsiTheme="majorHAnsi"/>
          <w:sz w:val="20"/>
          <w:szCs w:val="20"/>
          <w:bdr w:val="none" w:sz="0" w:space="0" w:color="auto"/>
          <w:lang w:val="en-US"/>
        </w:rPr>
        <w:t>should define precisely and clearly by law, the exceptional circumstances under which a measure such as the restriction to leave the country is admissible</w:t>
      </w:r>
      <w:r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vertAlign w:val="superscript"/>
          <w:lang w:val="en-US"/>
        </w:rPr>
        <w:footnoteReference w:id="192"/>
      </w:r>
      <w:r w:rsidRPr="00B24750">
        <w:rPr>
          <w:rFonts w:asciiTheme="majorHAnsi" w:hAnsiTheme="majorHAnsi"/>
          <w:sz w:val="20"/>
          <w:szCs w:val="20"/>
          <w:bdr w:val="none" w:sz="0" w:space="0" w:color="auto"/>
          <w:lang w:val="en-US"/>
        </w:rPr>
        <w:t xml:space="preserve"> </w:t>
      </w:r>
      <w:r w:rsidR="006E6E44" w:rsidRPr="00B24750">
        <w:rPr>
          <w:rFonts w:asciiTheme="majorHAnsi" w:hAnsiTheme="majorHAnsi"/>
          <w:sz w:val="20"/>
          <w:szCs w:val="20"/>
          <w:bdr w:val="none" w:sz="0" w:space="0" w:color="auto"/>
          <w:lang w:val="en-US"/>
        </w:rPr>
        <w:t>As for</w:t>
      </w:r>
      <w:r w:rsidRPr="00B24750">
        <w:rPr>
          <w:rFonts w:asciiTheme="majorHAnsi" w:hAnsiTheme="majorHAnsi"/>
          <w:sz w:val="20"/>
          <w:szCs w:val="20"/>
          <w:bdr w:val="none" w:sz="0" w:space="0" w:color="auto"/>
          <w:lang w:val="en-US"/>
        </w:rPr>
        <w:t xml:space="preserve"> the second, “the State </w:t>
      </w:r>
      <w:r w:rsidR="006E6E44" w:rsidRPr="00B24750">
        <w:rPr>
          <w:rFonts w:asciiTheme="majorHAnsi" w:hAnsiTheme="majorHAnsi"/>
          <w:sz w:val="20"/>
          <w:szCs w:val="20"/>
          <w:bdr w:val="none" w:sz="0" w:space="0" w:color="auto"/>
          <w:lang w:val="en-US"/>
        </w:rPr>
        <w:t xml:space="preserve">must be able to offer </w:t>
      </w:r>
      <w:r w:rsidRPr="00B24750">
        <w:rPr>
          <w:rFonts w:asciiTheme="majorHAnsi" w:hAnsiTheme="majorHAnsi"/>
          <w:sz w:val="20"/>
          <w:szCs w:val="20"/>
          <w:bdr w:val="none" w:sz="0" w:space="0" w:color="auto"/>
          <w:lang w:val="en-US"/>
        </w:rPr>
        <w:t xml:space="preserve">sufficient evidence to </w:t>
      </w:r>
      <w:r w:rsidR="006E6E44" w:rsidRPr="00B24750">
        <w:rPr>
          <w:rFonts w:asciiTheme="majorHAnsi" w:hAnsiTheme="majorHAnsi"/>
          <w:sz w:val="20"/>
          <w:szCs w:val="20"/>
          <w:bdr w:val="none" w:sz="0" w:space="0" w:color="auto"/>
          <w:lang w:val="en-US"/>
        </w:rPr>
        <w:t>show that</w:t>
      </w:r>
      <w:r w:rsidRPr="00B24750">
        <w:rPr>
          <w:rFonts w:asciiTheme="majorHAnsi" w:hAnsiTheme="majorHAnsi"/>
          <w:sz w:val="20"/>
          <w:szCs w:val="20"/>
          <w:bdr w:val="none" w:sz="0" w:space="0" w:color="auto"/>
          <w:lang w:val="en-US"/>
        </w:rPr>
        <w:t xml:space="preserve"> the restriction </w:t>
      </w:r>
      <w:r w:rsidR="006E6E44" w:rsidRPr="00B24750">
        <w:rPr>
          <w:rFonts w:asciiTheme="majorHAnsi" w:hAnsiTheme="majorHAnsi"/>
          <w:sz w:val="20"/>
          <w:szCs w:val="20"/>
          <w:bdr w:val="none" w:sz="0" w:space="0" w:color="auto"/>
          <w:lang w:val="en-US"/>
        </w:rPr>
        <w:t>on the right to personal liberty and freedom of movement is reasonable</w:t>
      </w:r>
      <w:r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vertAlign w:val="superscript"/>
          <w:lang w:val="en-US"/>
        </w:rPr>
        <w:footnoteReference w:id="193"/>
      </w:r>
      <w:r w:rsidRPr="00B24750">
        <w:rPr>
          <w:rFonts w:asciiTheme="majorHAnsi" w:hAnsiTheme="majorHAnsi"/>
          <w:sz w:val="20"/>
          <w:szCs w:val="20"/>
          <w:bdr w:val="none" w:sz="0" w:space="0" w:color="auto"/>
          <w:lang w:val="en-US"/>
        </w:rPr>
        <w:t xml:space="preserve"> Finally, a restriction is proportional if it is applied “</w:t>
      </w:r>
      <w:r w:rsidR="006E6E44" w:rsidRPr="00B24750">
        <w:rPr>
          <w:rFonts w:asciiTheme="majorHAnsi" w:hAnsiTheme="majorHAnsi"/>
          <w:sz w:val="20"/>
          <w:szCs w:val="20"/>
          <w:bdr w:val="none" w:sz="0" w:space="0" w:color="auto"/>
          <w:lang w:val="en-US"/>
        </w:rPr>
        <w:t>when there is no other less restrictive measure and during the time that is strictly necessary to comply with its purpose</w:t>
      </w:r>
      <w:r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vertAlign w:val="superscript"/>
          <w:lang w:val="en-US"/>
        </w:rPr>
        <w:footnoteReference w:id="194"/>
      </w:r>
      <w:r w:rsidRPr="00B24750">
        <w:rPr>
          <w:rFonts w:asciiTheme="majorHAnsi" w:hAnsiTheme="majorHAnsi"/>
          <w:sz w:val="20"/>
          <w:szCs w:val="20"/>
          <w:bdr w:val="none" w:sz="0" w:space="0" w:color="auto"/>
          <w:lang w:val="en-US"/>
        </w:rPr>
        <w:t xml:space="preserve"> </w:t>
      </w:r>
    </w:p>
    <w:p w14:paraId="7EA40CD8" w14:textId="77777777" w:rsidR="004E532E" w:rsidRPr="00B24750"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color w:val="000000"/>
          <w:sz w:val="20"/>
          <w:szCs w:val="20"/>
          <w:u w:color="000000"/>
          <w:bdr w:val="none" w:sz="0" w:space="0" w:color="auto"/>
          <w:lang w:val="en-US" w:eastAsia="es-ES"/>
        </w:rPr>
      </w:pPr>
    </w:p>
    <w:p w14:paraId="38EEF1EB" w14:textId="438D5CA3" w:rsidR="00DF1848" w:rsidRPr="00B24750" w:rsidRDefault="00C83F9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The IACHR has noted that, for instance, if a government refuses to provide its citizens with the necessary documents for international travel, especially a passport, it violates Article VIII of the American Declaration, unless there is some justified and lawful circumstance.</w:t>
      </w:r>
      <w:r w:rsidR="0091148A" w:rsidRPr="00B24750">
        <w:rPr>
          <w:rFonts w:asciiTheme="majorHAnsi" w:hAnsiTheme="majorHAnsi" w:cs="Cambria"/>
          <w:color w:val="000000"/>
          <w:sz w:val="20"/>
          <w:szCs w:val="20"/>
          <w:u w:color="000000"/>
          <w:bdr w:val="none" w:sz="0" w:space="0" w:color="auto"/>
          <w:vertAlign w:val="superscript"/>
          <w:lang w:val="en-US" w:eastAsia="es-ES"/>
        </w:rPr>
        <w:footnoteReference w:id="195"/>
      </w:r>
      <w:r w:rsidR="0091148A" w:rsidRPr="00B24750">
        <w:rPr>
          <w:rFonts w:asciiTheme="majorHAnsi" w:hAnsiTheme="majorHAnsi" w:cs="Cambria"/>
          <w:color w:val="000000"/>
          <w:sz w:val="20"/>
          <w:szCs w:val="20"/>
          <w:u w:color="000000"/>
          <w:bdr w:val="none" w:sz="0" w:space="0" w:color="auto"/>
          <w:lang w:val="en-US" w:eastAsia="es-ES"/>
        </w:rPr>
        <w:t xml:space="preserve"> Likewise, the IACHR has concluded in another Cuban case that the repeated failure to respond to requests for permission to leave the country, </w:t>
      </w:r>
      <w:r w:rsidR="006E62A8">
        <w:rPr>
          <w:rFonts w:asciiTheme="majorHAnsi" w:hAnsiTheme="majorHAnsi" w:cs="Cambria"/>
          <w:color w:val="000000"/>
          <w:sz w:val="20"/>
          <w:szCs w:val="20"/>
          <w:u w:color="000000"/>
          <w:bdr w:val="none" w:sz="0" w:space="0" w:color="auto"/>
          <w:lang w:val="en-US" w:eastAsia="es-ES"/>
        </w:rPr>
        <w:t xml:space="preserve">and </w:t>
      </w:r>
      <w:r w:rsidRPr="00B24750">
        <w:rPr>
          <w:rFonts w:asciiTheme="majorHAnsi" w:hAnsiTheme="majorHAnsi" w:cs="Cambria"/>
          <w:color w:val="000000"/>
          <w:sz w:val="20"/>
          <w:szCs w:val="20"/>
          <w:u w:color="000000"/>
          <w:bdr w:val="none" w:sz="0" w:space="0" w:color="auto"/>
          <w:lang w:val="en-US" w:eastAsia="es-ES"/>
        </w:rPr>
        <w:t xml:space="preserve">barring such travel </w:t>
      </w:r>
      <w:r w:rsidR="0091148A" w:rsidRPr="00B24750">
        <w:rPr>
          <w:rFonts w:asciiTheme="majorHAnsi" w:hAnsiTheme="majorHAnsi" w:cs="Cambria"/>
          <w:color w:val="000000"/>
          <w:sz w:val="20"/>
          <w:szCs w:val="20"/>
          <w:u w:color="000000"/>
          <w:bdr w:val="none" w:sz="0" w:space="0" w:color="auto"/>
          <w:lang w:val="en-US" w:eastAsia="es-ES"/>
        </w:rPr>
        <w:t xml:space="preserve">without </w:t>
      </w:r>
      <w:r w:rsidRPr="00B24750">
        <w:rPr>
          <w:rFonts w:asciiTheme="majorHAnsi" w:hAnsiTheme="majorHAnsi" w:cs="Cambria"/>
          <w:color w:val="000000"/>
          <w:sz w:val="20"/>
          <w:szCs w:val="20"/>
          <w:u w:color="000000"/>
          <w:bdr w:val="none" w:sz="0" w:space="0" w:color="auto"/>
          <w:lang w:val="en-US" w:eastAsia="es-ES"/>
        </w:rPr>
        <w:t>legitimate</w:t>
      </w:r>
      <w:r w:rsidR="0091148A" w:rsidRPr="00B24750">
        <w:rPr>
          <w:rFonts w:asciiTheme="majorHAnsi" w:hAnsiTheme="majorHAnsi" w:cs="Cambria"/>
          <w:color w:val="000000"/>
          <w:sz w:val="20"/>
          <w:szCs w:val="20"/>
          <w:u w:color="000000"/>
          <w:bdr w:val="none" w:sz="0" w:space="0" w:color="auto"/>
          <w:lang w:val="en-US" w:eastAsia="es-ES"/>
        </w:rPr>
        <w:t xml:space="preserve"> reasons, violates Article VIII of the Declaration</w:t>
      </w:r>
      <w:r w:rsidRPr="00B24750">
        <w:rPr>
          <w:rFonts w:asciiTheme="majorHAnsi" w:hAnsiTheme="majorHAnsi" w:cs="Cambria"/>
          <w:color w:val="000000"/>
          <w:sz w:val="20"/>
          <w:szCs w:val="20"/>
          <w:u w:color="000000"/>
          <w:bdr w:val="none" w:sz="0" w:space="0" w:color="auto"/>
          <w:lang w:val="en-US" w:eastAsia="es-ES"/>
        </w:rPr>
        <w:t>.</w:t>
      </w:r>
      <w:r w:rsidR="0091148A" w:rsidRPr="00B24750">
        <w:rPr>
          <w:rFonts w:asciiTheme="majorHAnsi" w:hAnsiTheme="majorHAnsi" w:cs="Cambria"/>
          <w:color w:val="000000"/>
          <w:sz w:val="20"/>
          <w:szCs w:val="20"/>
          <w:u w:color="000000"/>
          <w:bdr w:val="none" w:sz="0" w:space="0" w:color="auto"/>
          <w:vertAlign w:val="superscript"/>
          <w:lang w:val="en-US" w:eastAsia="es-ES"/>
        </w:rPr>
        <w:footnoteReference w:id="196"/>
      </w:r>
      <w:r w:rsidR="0091148A" w:rsidRPr="00B24750">
        <w:rPr>
          <w:rFonts w:asciiTheme="majorHAnsi" w:hAnsiTheme="majorHAnsi" w:cs="Cambria"/>
          <w:color w:val="000000"/>
          <w:sz w:val="20"/>
          <w:szCs w:val="20"/>
          <w:u w:color="000000"/>
          <w:bdr w:val="none" w:sz="0" w:space="0" w:color="auto"/>
          <w:lang w:val="en-US" w:eastAsia="es-ES"/>
        </w:rPr>
        <w:t xml:space="preserve"> This last </w:t>
      </w:r>
      <w:r w:rsidR="006E62A8">
        <w:rPr>
          <w:rFonts w:asciiTheme="majorHAnsi" w:hAnsiTheme="majorHAnsi" w:cs="Cambria"/>
          <w:color w:val="000000"/>
          <w:sz w:val="20"/>
          <w:szCs w:val="20"/>
          <w:u w:color="000000"/>
          <w:bdr w:val="none" w:sz="0" w:space="0" w:color="auto"/>
          <w:lang w:val="en-US" w:eastAsia="es-ES"/>
        </w:rPr>
        <w:t xml:space="preserve">scenario </w:t>
      </w:r>
      <w:r w:rsidR="008D0F0D">
        <w:rPr>
          <w:rFonts w:asciiTheme="majorHAnsi" w:hAnsiTheme="majorHAnsi" w:cs="Cambria"/>
          <w:color w:val="000000"/>
          <w:sz w:val="20"/>
          <w:szCs w:val="20"/>
          <w:u w:color="000000"/>
          <w:bdr w:val="none" w:sz="0" w:space="0" w:color="auto"/>
          <w:lang w:val="en-US" w:eastAsia="es-ES"/>
        </w:rPr>
        <w:t xml:space="preserve">is the one that </w:t>
      </w:r>
      <w:r w:rsidR="006E62A8">
        <w:rPr>
          <w:rFonts w:asciiTheme="majorHAnsi" w:hAnsiTheme="majorHAnsi" w:cs="Cambria"/>
          <w:color w:val="000000"/>
          <w:sz w:val="20"/>
          <w:szCs w:val="20"/>
          <w:u w:color="000000"/>
          <w:bdr w:val="none" w:sz="0" w:space="0" w:color="auto"/>
          <w:lang w:val="en-US" w:eastAsia="es-ES"/>
        </w:rPr>
        <w:t>concerns us</w:t>
      </w:r>
      <w:r w:rsidR="008D0F0D">
        <w:rPr>
          <w:rFonts w:asciiTheme="majorHAnsi" w:hAnsiTheme="majorHAnsi" w:cs="Cambria"/>
          <w:color w:val="000000"/>
          <w:sz w:val="20"/>
          <w:szCs w:val="20"/>
          <w:u w:color="000000"/>
          <w:bdr w:val="none" w:sz="0" w:space="0" w:color="auto"/>
          <w:lang w:val="en-US" w:eastAsia="es-ES"/>
        </w:rPr>
        <w:t xml:space="preserve"> in this case</w:t>
      </w:r>
      <w:r w:rsidR="009672E5" w:rsidRPr="00B24750">
        <w:rPr>
          <w:rFonts w:asciiTheme="majorHAnsi" w:hAnsiTheme="majorHAnsi" w:cs="Cambria"/>
          <w:color w:val="000000"/>
          <w:sz w:val="20"/>
          <w:szCs w:val="20"/>
          <w:u w:color="000000"/>
          <w:bdr w:val="none" w:sz="0" w:space="0" w:color="auto"/>
          <w:lang w:val="en-US" w:eastAsia="es-ES"/>
        </w:rPr>
        <w:t>.</w:t>
      </w:r>
    </w:p>
    <w:p w14:paraId="54517979" w14:textId="77777777" w:rsidR="0091148A" w:rsidRPr="00B24750" w:rsidRDefault="0091148A" w:rsidP="0091148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color w:val="000000"/>
          <w:sz w:val="20"/>
          <w:szCs w:val="20"/>
          <w:u w:color="000000"/>
          <w:bdr w:val="none" w:sz="0" w:space="0" w:color="auto"/>
          <w:lang w:val="en-US" w:eastAsia="es-ES"/>
        </w:rPr>
      </w:pPr>
    </w:p>
    <w:p w14:paraId="646A4F2D" w14:textId="4051A580" w:rsidR="00CA6B50" w:rsidRPr="00B24750" w:rsidRDefault="0069361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 xml:space="preserve">Here, the IACHR first notes that State agents prevented </w:t>
      </w:r>
      <w:proofErr w:type="spellStart"/>
      <w:r w:rsidRPr="00B24750">
        <w:rPr>
          <w:rFonts w:asciiTheme="majorHAnsi" w:hAnsiTheme="majorHAnsi" w:cs="Cambria"/>
          <w:color w:val="000000"/>
          <w:sz w:val="20"/>
          <w:szCs w:val="20"/>
          <w:u w:color="000000"/>
          <w:bdr w:val="none" w:sz="0" w:space="0" w:color="auto"/>
          <w:lang w:val="en-US" w:eastAsia="es-ES"/>
        </w:rPr>
        <w:t>Yoani</w:t>
      </w:r>
      <w:proofErr w:type="spellEnd"/>
      <w:r w:rsidRPr="00B24750">
        <w:rPr>
          <w:rFonts w:asciiTheme="majorHAnsi" w:hAnsiTheme="majorHAnsi" w:cs="Cambria"/>
          <w:color w:val="000000"/>
          <w:sz w:val="20"/>
          <w:szCs w:val="20"/>
          <w:u w:color="000000"/>
          <w:bdr w:val="none" w:sz="0" w:space="0" w:color="auto"/>
          <w:lang w:val="en-US" w:eastAsia="es-ES"/>
        </w:rPr>
        <w:t xml:space="preserve"> Sánchez</w:t>
      </w:r>
      <w:r w:rsidR="009221A1" w:rsidRPr="00B24750">
        <w:rPr>
          <w:rFonts w:asciiTheme="majorHAnsi" w:hAnsiTheme="majorHAnsi" w:cs="Cambria"/>
          <w:color w:val="000000"/>
          <w:sz w:val="20"/>
          <w:szCs w:val="20"/>
          <w:u w:color="000000"/>
          <w:bdr w:val="none" w:sz="0" w:space="0" w:color="auto"/>
          <w:lang w:val="en-US" w:eastAsia="es-ES"/>
        </w:rPr>
        <w:t>—for no reason—</w:t>
      </w:r>
      <w:r w:rsidRPr="00B24750">
        <w:rPr>
          <w:rFonts w:asciiTheme="majorHAnsi" w:hAnsiTheme="majorHAnsi" w:cs="Cambria"/>
          <w:color w:val="000000"/>
          <w:sz w:val="20"/>
          <w:szCs w:val="20"/>
          <w:u w:color="000000"/>
          <w:bdr w:val="none" w:sz="0" w:space="0" w:color="auto"/>
          <w:lang w:val="en-US" w:eastAsia="es-ES"/>
        </w:rPr>
        <w:t xml:space="preserve">from </w:t>
      </w:r>
      <w:r w:rsidRPr="00B24750">
        <w:rPr>
          <w:rFonts w:asciiTheme="majorHAnsi" w:hAnsiTheme="majorHAnsi"/>
          <w:sz w:val="20"/>
          <w:szCs w:val="20"/>
          <w:bdr w:val="none" w:sz="0" w:space="0" w:color="auto"/>
          <w:lang w:val="en-US"/>
        </w:rPr>
        <w:t>accessing public places where public and cultural events were being held, limiting her right to freedom of movement within the territory</w:t>
      </w:r>
      <w:r w:rsidR="00793B6B" w:rsidRPr="00B24750">
        <w:rPr>
          <w:rFonts w:asciiTheme="majorHAnsi" w:hAnsiTheme="majorHAnsi"/>
          <w:sz w:val="20"/>
          <w:szCs w:val="20"/>
          <w:bdr w:val="none" w:sz="0" w:space="0" w:color="auto"/>
          <w:lang w:val="en-US"/>
        </w:rPr>
        <w:t xml:space="preserve">. </w:t>
      </w:r>
    </w:p>
    <w:p w14:paraId="09F7AE39" w14:textId="77777777" w:rsidR="00793B6B" w:rsidRPr="00B24750" w:rsidRDefault="00793B6B" w:rsidP="00793B6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color w:val="000000"/>
          <w:sz w:val="20"/>
          <w:szCs w:val="20"/>
          <w:u w:color="000000"/>
          <w:bdr w:val="none" w:sz="0" w:space="0" w:color="auto"/>
          <w:lang w:val="en-US" w:eastAsia="es-ES"/>
        </w:rPr>
      </w:pPr>
    </w:p>
    <w:p w14:paraId="48D4A270" w14:textId="4E09B5D0" w:rsidR="009672E5" w:rsidRPr="00B24750" w:rsidRDefault="009221A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 xml:space="preserve">Second, the IACHR underscores that, under the law in force at the time, </w:t>
      </w:r>
      <w:r w:rsidR="001141AA" w:rsidRPr="00B24750">
        <w:rPr>
          <w:rFonts w:asciiTheme="majorHAnsi" w:hAnsiTheme="majorHAnsi" w:cs="Cambria"/>
          <w:color w:val="000000"/>
          <w:sz w:val="20"/>
          <w:szCs w:val="20"/>
          <w:u w:color="000000"/>
          <w:bdr w:val="none" w:sz="0" w:space="0" w:color="auto"/>
          <w:lang w:val="en-US" w:eastAsia="es-ES"/>
        </w:rPr>
        <w:t>the Law on Migration (</w:t>
      </w:r>
      <w:r w:rsidRPr="00B24750">
        <w:rPr>
          <w:rFonts w:asciiTheme="majorHAnsi" w:hAnsiTheme="majorHAnsi"/>
          <w:sz w:val="20"/>
          <w:szCs w:val="20"/>
          <w:bdr w:val="none" w:sz="0" w:space="0" w:color="auto"/>
          <w:lang w:val="en-US"/>
        </w:rPr>
        <w:t>Law No. 1312 of 1976</w:t>
      </w:r>
      <w:r w:rsidR="001141AA"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lang w:val="en-US"/>
        </w:rPr>
        <w:t xml:space="preserve"> Cubans needed a permit to leave the country. This permit was issued by the im</w:t>
      </w:r>
      <w:r w:rsidRPr="00B24750">
        <w:rPr>
          <w:rFonts w:asciiTheme="majorHAnsi" w:hAnsiTheme="majorHAnsi" w:cs="Cambria"/>
          <w:color w:val="000000"/>
          <w:sz w:val="20"/>
          <w:szCs w:val="20"/>
          <w:u w:color="000000"/>
          <w:bdr w:val="none" w:sz="0" w:space="0" w:color="auto"/>
          <w:lang w:val="en-US" w:eastAsia="es-ES"/>
        </w:rPr>
        <w:t xml:space="preserve">migration authorities of the Ministry of the Interior, which gave the </w:t>
      </w:r>
      <w:r w:rsidRPr="00B24750">
        <w:rPr>
          <w:rFonts w:asciiTheme="majorHAnsi" w:hAnsiTheme="majorHAnsi" w:cs="Arial"/>
          <w:sz w:val="20"/>
          <w:szCs w:val="20"/>
          <w:shd w:val="clear" w:color="auto" w:fill="FFFFFF"/>
          <w:lang w:val="en-US"/>
        </w:rPr>
        <w:t xml:space="preserve">authority </w:t>
      </w:r>
      <w:r w:rsidRPr="00B24750">
        <w:rPr>
          <w:rFonts w:asciiTheme="majorHAnsi" w:hAnsiTheme="majorHAnsi" w:cs="Cambria"/>
          <w:color w:val="000000"/>
          <w:sz w:val="20"/>
          <w:szCs w:val="20"/>
          <w:u w:color="000000"/>
          <w:bdr w:val="none" w:sz="0" w:space="0" w:color="auto"/>
          <w:lang w:val="en-US" w:eastAsia="es-ES"/>
        </w:rPr>
        <w:t xml:space="preserve">broad </w:t>
      </w:r>
      <w:r w:rsidRPr="00B24750">
        <w:rPr>
          <w:rFonts w:asciiTheme="majorHAnsi" w:hAnsiTheme="majorHAnsi" w:cs="Arial"/>
          <w:sz w:val="20"/>
          <w:szCs w:val="20"/>
          <w:shd w:val="clear" w:color="auto" w:fill="FFFFFF"/>
          <w:lang w:val="en-US"/>
        </w:rPr>
        <w:t xml:space="preserve">discretion to </w:t>
      </w:r>
      <w:r w:rsidR="0048587F" w:rsidRPr="00B24750">
        <w:rPr>
          <w:rFonts w:asciiTheme="majorHAnsi" w:hAnsiTheme="majorHAnsi" w:cs="Cambria"/>
          <w:color w:val="000000"/>
          <w:sz w:val="20"/>
          <w:szCs w:val="20"/>
          <w:u w:color="000000"/>
          <w:bdr w:val="none" w:sz="0" w:space="0" w:color="auto"/>
          <w:lang w:val="en-US" w:eastAsia="es-ES"/>
        </w:rPr>
        <w:t>either grant or deny</w:t>
      </w:r>
      <w:r w:rsidRPr="00B24750">
        <w:rPr>
          <w:rFonts w:asciiTheme="majorHAnsi" w:hAnsiTheme="majorHAnsi" w:cs="Cambria"/>
          <w:color w:val="000000"/>
          <w:sz w:val="20"/>
          <w:szCs w:val="20"/>
          <w:u w:color="000000"/>
          <w:bdr w:val="none" w:sz="0" w:space="0" w:color="auto"/>
          <w:lang w:val="en-US" w:eastAsia="es-ES"/>
        </w:rPr>
        <w:t xml:space="preserve"> authorization. </w:t>
      </w:r>
      <w:proofErr w:type="spellStart"/>
      <w:r w:rsidRPr="00B24750">
        <w:rPr>
          <w:rFonts w:asciiTheme="majorHAnsi" w:hAnsiTheme="majorHAnsi" w:cs="Cambria"/>
          <w:color w:val="000000"/>
          <w:sz w:val="20"/>
          <w:szCs w:val="20"/>
          <w:u w:color="000000"/>
          <w:bdr w:val="none" w:sz="0" w:space="0" w:color="auto"/>
          <w:lang w:val="en-US" w:eastAsia="es-ES"/>
        </w:rPr>
        <w:t>Yoani</w:t>
      </w:r>
      <w:proofErr w:type="spellEnd"/>
      <w:r w:rsidRPr="00B24750">
        <w:rPr>
          <w:rFonts w:asciiTheme="majorHAnsi" w:hAnsiTheme="majorHAnsi" w:cs="Cambria"/>
          <w:color w:val="000000"/>
          <w:sz w:val="20"/>
          <w:szCs w:val="20"/>
          <w:u w:color="000000"/>
          <w:bdr w:val="none" w:sz="0" w:space="0" w:color="auto"/>
          <w:lang w:val="en-US" w:eastAsia="es-ES"/>
        </w:rPr>
        <w:t xml:space="preserve"> Sánchez applied to leave the country 20 times between 2007 and 2012, and all of her applications were denied. Not once did the authorities state or substantiate the factual or legal reasons for </w:t>
      </w:r>
      <w:r w:rsidRPr="00B24750">
        <w:rPr>
          <w:rFonts w:asciiTheme="majorHAnsi" w:hAnsiTheme="majorHAnsi" w:cs="Cambria"/>
          <w:color w:val="000000"/>
          <w:sz w:val="20"/>
          <w:szCs w:val="20"/>
          <w:u w:color="000000"/>
          <w:bdr w:val="none" w:sz="0" w:space="0" w:color="auto"/>
          <w:lang w:val="en-US" w:eastAsia="es-ES"/>
        </w:rPr>
        <w:lastRenderedPageBreak/>
        <w:t xml:space="preserve">keeping her from leaving the country. The victim only received a form for the refund of administrative fees paid to the Ministry of the Interior for </w:t>
      </w:r>
      <w:r w:rsidR="00A72455" w:rsidRPr="00B24750">
        <w:rPr>
          <w:rFonts w:asciiTheme="majorHAnsi" w:hAnsiTheme="majorHAnsi" w:cs="Cambria"/>
          <w:color w:val="000000"/>
          <w:sz w:val="20"/>
          <w:szCs w:val="20"/>
          <w:u w:color="000000"/>
          <w:bdr w:val="none" w:sz="0" w:space="0" w:color="auto"/>
          <w:lang w:val="en-US" w:eastAsia="es-ES"/>
        </w:rPr>
        <w:t>the respective application</w:t>
      </w:r>
      <w:r w:rsidRPr="00B24750">
        <w:rPr>
          <w:rFonts w:asciiTheme="majorHAnsi" w:hAnsiTheme="majorHAnsi" w:cs="Cambria"/>
          <w:color w:val="000000"/>
          <w:sz w:val="20"/>
          <w:szCs w:val="20"/>
          <w:u w:color="000000"/>
          <w:bdr w:val="none" w:sz="0" w:space="0" w:color="auto"/>
          <w:lang w:val="en-US" w:eastAsia="es-ES"/>
        </w:rPr>
        <w:t>. The IACHR considers that the prohibitions against leaving the country constituted retaliatory measures for her critical stance against the Cuban regime</w:t>
      </w:r>
      <w:r w:rsidR="00FC0024" w:rsidRPr="00B24750">
        <w:rPr>
          <w:rFonts w:asciiTheme="majorHAnsi" w:hAnsiTheme="majorHAnsi" w:cs="Cambria"/>
          <w:color w:val="000000"/>
          <w:sz w:val="20"/>
          <w:szCs w:val="20"/>
          <w:u w:color="000000"/>
          <w:bdr w:val="none" w:sz="0" w:space="0" w:color="auto"/>
          <w:lang w:val="en-US" w:eastAsia="es-ES"/>
        </w:rPr>
        <w:t>.</w:t>
      </w:r>
    </w:p>
    <w:p w14:paraId="350E77F1" w14:textId="77777777" w:rsidR="004E532E" w:rsidRPr="00B24750" w:rsidRDefault="004E532E" w:rsidP="00682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000000"/>
          <w:sz w:val="20"/>
          <w:szCs w:val="20"/>
          <w:u w:color="000000"/>
          <w:bdr w:val="none" w:sz="0" w:space="0" w:color="auto"/>
          <w:lang w:val="en-US" w:eastAsia="es-ES"/>
        </w:rPr>
      </w:pPr>
    </w:p>
    <w:p w14:paraId="071C2176" w14:textId="19510AD9" w:rsidR="004E532E" w:rsidRPr="00B24750" w:rsidRDefault="001141A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The IACHR also notes that since 1983, when it published its seventh report on the situation of human rights in Cuba, it has highlighted the lack of constitutional protection of the right to freedom of movement in the 1976 Constitution, in force at the time of the facts of this case, as well as the unwarranted prohibitions on leaving the country.</w:t>
      </w:r>
      <w:r w:rsidRPr="00B24750">
        <w:rPr>
          <w:rFonts w:asciiTheme="majorHAnsi" w:hAnsiTheme="majorHAnsi" w:cs="Cambria"/>
          <w:color w:val="000000"/>
          <w:sz w:val="20"/>
          <w:szCs w:val="20"/>
          <w:u w:color="000000"/>
          <w:bdr w:val="none" w:sz="0" w:space="0" w:color="auto"/>
          <w:vertAlign w:val="superscript"/>
          <w:lang w:val="en-US" w:eastAsia="es-ES"/>
        </w:rPr>
        <w:footnoteReference w:id="197"/>
      </w:r>
      <w:r w:rsidRPr="00B24750">
        <w:rPr>
          <w:rFonts w:asciiTheme="majorHAnsi" w:hAnsiTheme="majorHAnsi" w:cs="Cambria"/>
          <w:color w:val="000000"/>
          <w:sz w:val="20"/>
          <w:szCs w:val="20"/>
          <w:u w:color="000000"/>
          <w:bdr w:val="none" w:sz="0" w:space="0" w:color="auto"/>
          <w:lang w:val="en-US" w:eastAsia="es-ES"/>
        </w:rPr>
        <w:t xml:space="preserve"> The IACHR observed that, until 2012</w:t>
      </w:r>
      <w:r w:rsidR="009C286B" w:rsidRPr="00B24750">
        <w:rPr>
          <w:rFonts w:asciiTheme="majorHAnsi" w:hAnsiTheme="majorHAnsi" w:cs="Cambria"/>
          <w:color w:val="000000"/>
          <w:sz w:val="20"/>
          <w:szCs w:val="20"/>
          <w:u w:color="000000"/>
          <w:bdr w:val="none" w:sz="0" w:space="0" w:color="auto"/>
          <w:lang w:val="en-US" w:eastAsia="es-ES"/>
        </w:rPr>
        <w:t>:</w:t>
      </w:r>
    </w:p>
    <w:p w14:paraId="5D3C553A" w14:textId="77777777" w:rsidR="004E532E" w:rsidRPr="00B24750"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mbria"/>
          <w:color w:val="000000"/>
          <w:sz w:val="20"/>
          <w:szCs w:val="20"/>
          <w:u w:color="000000"/>
          <w:bdr w:val="none" w:sz="0" w:space="0" w:color="auto"/>
          <w:lang w:val="en-US" w:eastAsia="es-ES"/>
        </w:rPr>
      </w:pPr>
    </w:p>
    <w:p w14:paraId="6F353A58" w14:textId="7A15A89D" w:rsidR="001141AA" w:rsidRPr="00B24750" w:rsidRDefault="001141AA" w:rsidP="001141AA">
      <w:pPr>
        <w:pBdr>
          <w:top w:val="none" w:sz="0" w:space="0" w:color="auto"/>
          <w:left w:val="none" w:sz="0" w:space="0" w:color="auto"/>
          <w:bottom w:val="none" w:sz="0" w:space="0" w:color="auto"/>
          <w:right w:val="none" w:sz="0" w:space="0" w:color="auto"/>
          <w:between w:val="none" w:sz="0" w:space="0" w:color="auto"/>
          <w:bar w:val="none" w:sz="0" w:color="auto"/>
        </w:pBdr>
        <w:ind w:left="720" w:right="864"/>
        <w:jc w:val="both"/>
        <w:rPr>
          <w:rFonts w:asciiTheme="majorHAnsi" w:hAnsiTheme="majorHAnsi"/>
          <w:sz w:val="18"/>
          <w:szCs w:val="18"/>
          <w:bdr w:val="none" w:sz="0" w:space="0" w:color="auto"/>
          <w:lang w:val="en-US"/>
        </w:rPr>
      </w:pPr>
      <w:r w:rsidRPr="00B24750">
        <w:rPr>
          <w:rFonts w:asciiTheme="majorHAnsi" w:hAnsiTheme="majorHAnsi"/>
          <w:sz w:val="18"/>
          <w:szCs w:val="18"/>
          <w:bdr w:val="none" w:sz="0" w:space="0" w:color="auto"/>
          <w:lang w:val="en-US"/>
        </w:rPr>
        <w:t>According to the Law on Migration, Law No. 1312 of 1976, to leave and enter the national territory, Cubans require a current passport and a permit to enter and leave, granted by the Ministry of Interior.  In practice the Cuban authorities have a series of requirements that pose an obstacle for Cubans to be able to exit and enter the country freely. Some of these requirements include the need for certificates or declarations from employers or their family members in support of the request, the exact description of the itinerary, the requirement of posting a repatriation bond, being in possession of a return ticket, and having an invitation from the destination State or from persons who live there, among others. In addition, the Law does not stipulate a time for the authority to rule on the request for permission; in general, the requesters have to wait a long time to obtain permission to exit or enter. The decisions of the Ministry of Interior officials who refuse the exit or entry permits cannot be appealed to a court since they emanate from the exercise of a discretional power.</w:t>
      </w:r>
      <w:r w:rsidRPr="00B24750">
        <w:rPr>
          <w:rFonts w:asciiTheme="majorHAnsi" w:hAnsiTheme="majorHAnsi"/>
          <w:sz w:val="18"/>
          <w:szCs w:val="18"/>
          <w:bdr w:val="none" w:sz="0" w:space="0" w:color="auto"/>
          <w:vertAlign w:val="superscript"/>
          <w:lang w:val="en-US"/>
        </w:rPr>
        <w:footnoteReference w:id="198"/>
      </w:r>
    </w:p>
    <w:p w14:paraId="502589BA" w14:textId="77777777" w:rsidR="004E532E" w:rsidRPr="00B24750"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ahoma"/>
          <w:sz w:val="20"/>
          <w:szCs w:val="20"/>
          <w:bdr w:val="none" w:sz="0" w:space="0" w:color="auto"/>
          <w:lang w:val="en-US"/>
        </w:rPr>
      </w:pPr>
    </w:p>
    <w:p w14:paraId="31E6C83D" w14:textId="7C44166D" w:rsidR="0055632C" w:rsidRPr="00B24750" w:rsidRDefault="00AB512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 xml:space="preserve">The </w:t>
      </w:r>
      <w:r w:rsidR="007B7886" w:rsidRPr="00B24750">
        <w:rPr>
          <w:rFonts w:asciiTheme="majorHAnsi" w:hAnsiTheme="majorHAnsi" w:cs="Cambria"/>
          <w:color w:val="000000"/>
          <w:sz w:val="20"/>
          <w:szCs w:val="20"/>
          <w:u w:color="000000"/>
          <w:bdr w:val="none" w:sz="0" w:space="0" w:color="auto"/>
          <w:lang w:val="en-US" w:eastAsia="es-ES"/>
        </w:rPr>
        <w:t>law</w:t>
      </w:r>
      <w:r w:rsidRPr="00B24750">
        <w:rPr>
          <w:rFonts w:asciiTheme="majorHAnsi" w:hAnsiTheme="majorHAnsi" w:cs="Cambria"/>
          <w:color w:val="000000"/>
          <w:sz w:val="20"/>
          <w:szCs w:val="20"/>
          <w:u w:color="000000"/>
          <w:bdr w:val="none" w:sz="0" w:space="0" w:color="auto"/>
          <w:lang w:val="en-US" w:eastAsia="es-ES"/>
        </w:rPr>
        <w:t xml:space="preserve"> cited </w:t>
      </w:r>
      <w:r w:rsidR="007B7886" w:rsidRPr="00B24750">
        <w:rPr>
          <w:rFonts w:asciiTheme="majorHAnsi" w:hAnsiTheme="majorHAnsi" w:cs="Cambria"/>
          <w:color w:val="000000"/>
          <w:sz w:val="20"/>
          <w:szCs w:val="20"/>
          <w:u w:color="000000"/>
          <w:bdr w:val="none" w:sz="0" w:space="0" w:color="auto"/>
          <w:lang w:val="en-US" w:eastAsia="es-ES"/>
        </w:rPr>
        <w:t xml:space="preserve">above (which has since been amended) </w:t>
      </w:r>
      <w:r w:rsidRPr="00B24750">
        <w:rPr>
          <w:rFonts w:asciiTheme="majorHAnsi" w:hAnsiTheme="majorHAnsi" w:cs="Cambria"/>
          <w:color w:val="000000"/>
          <w:sz w:val="20"/>
          <w:szCs w:val="20"/>
          <w:u w:color="000000"/>
          <w:bdr w:val="none" w:sz="0" w:space="0" w:color="auto"/>
          <w:lang w:val="en-US" w:eastAsia="es-ES"/>
        </w:rPr>
        <w:t>w</w:t>
      </w:r>
      <w:r w:rsidR="007B7886" w:rsidRPr="00B24750">
        <w:rPr>
          <w:rFonts w:asciiTheme="majorHAnsi" w:hAnsiTheme="majorHAnsi" w:cs="Cambria"/>
          <w:color w:val="000000"/>
          <w:sz w:val="20"/>
          <w:szCs w:val="20"/>
          <w:u w:color="000000"/>
          <w:bdr w:val="none" w:sz="0" w:space="0" w:color="auto"/>
          <w:lang w:val="en-US" w:eastAsia="es-ES"/>
        </w:rPr>
        <w:t>as</w:t>
      </w:r>
      <w:r w:rsidRPr="00B24750">
        <w:rPr>
          <w:rFonts w:asciiTheme="majorHAnsi" w:hAnsiTheme="majorHAnsi" w:cs="Cambria"/>
          <w:color w:val="000000"/>
          <w:sz w:val="20"/>
          <w:szCs w:val="20"/>
          <w:u w:color="000000"/>
          <w:bdr w:val="none" w:sz="0" w:space="0" w:color="auto"/>
          <w:lang w:val="en-US" w:eastAsia="es-ES"/>
        </w:rPr>
        <w:t xml:space="preserve"> applied to </w:t>
      </w:r>
      <w:r w:rsidR="007B7886" w:rsidRPr="00B24750">
        <w:rPr>
          <w:rFonts w:asciiTheme="majorHAnsi" w:hAnsiTheme="majorHAnsi" w:cs="Cambria"/>
          <w:color w:val="000000"/>
          <w:sz w:val="20"/>
          <w:szCs w:val="20"/>
          <w:u w:color="000000"/>
          <w:bdr w:val="none" w:sz="0" w:space="0" w:color="auto"/>
          <w:lang w:val="en-US" w:eastAsia="es-ES"/>
        </w:rPr>
        <w:t>this</w:t>
      </w:r>
      <w:r w:rsidRPr="00B24750">
        <w:rPr>
          <w:rFonts w:asciiTheme="majorHAnsi" w:hAnsiTheme="majorHAnsi" w:cs="Cambria"/>
          <w:color w:val="000000"/>
          <w:sz w:val="20"/>
          <w:szCs w:val="20"/>
          <w:u w:color="000000"/>
          <w:bdr w:val="none" w:sz="0" w:space="0" w:color="auto"/>
          <w:lang w:val="en-US" w:eastAsia="es-ES"/>
        </w:rPr>
        <w:t xml:space="preserve"> case</w:t>
      </w:r>
      <w:r w:rsidR="00C862FC" w:rsidRPr="00B24750">
        <w:rPr>
          <w:rFonts w:asciiTheme="majorHAnsi" w:hAnsiTheme="majorHAnsi" w:cs="Cambria"/>
          <w:color w:val="000000"/>
          <w:sz w:val="20"/>
          <w:szCs w:val="20"/>
          <w:u w:color="000000"/>
          <w:bdr w:val="none" w:sz="0" w:space="0" w:color="auto"/>
          <w:lang w:val="en-US" w:eastAsia="es-ES"/>
        </w:rPr>
        <w:t xml:space="preserve">. The IACHR considers that this regulation violated the </w:t>
      </w:r>
      <w:r w:rsidR="00C862FC" w:rsidRPr="00B24750">
        <w:rPr>
          <w:rFonts w:asciiTheme="majorHAnsi" w:hAnsiTheme="majorHAnsi" w:cs="Arial"/>
          <w:sz w:val="20"/>
          <w:szCs w:val="20"/>
          <w:shd w:val="clear" w:color="auto" w:fill="FFFFFF"/>
          <w:lang w:val="en-US"/>
        </w:rPr>
        <w:t>right to residence and movement and failed to meet the standards of legality, necessity, and proportionality</w:t>
      </w:r>
      <w:r w:rsidRPr="00B24750">
        <w:rPr>
          <w:rFonts w:asciiTheme="majorHAnsi" w:hAnsiTheme="majorHAnsi" w:cs="Arial"/>
          <w:sz w:val="20"/>
          <w:szCs w:val="20"/>
          <w:shd w:val="clear" w:color="auto" w:fill="FFFFFF"/>
          <w:lang w:val="en-US"/>
        </w:rPr>
        <w:t xml:space="preserve">. </w:t>
      </w:r>
      <w:r w:rsidRPr="00B24750">
        <w:rPr>
          <w:rFonts w:asciiTheme="majorHAnsi" w:hAnsiTheme="majorHAnsi" w:cs="Cambria"/>
          <w:color w:val="000000"/>
          <w:sz w:val="20"/>
          <w:szCs w:val="20"/>
          <w:u w:color="000000"/>
          <w:bdr w:val="none" w:sz="0" w:space="0" w:color="auto"/>
          <w:lang w:val="en-US" w:eastAsia="es-ES"/>
        </w:rPr>
        <w:t>However, the IACHR notes that the Cuban Constitution of 2019 recognizes the right to freedom of movement and the right of citizens to leave the country</w:t>
      </w:r>
      <w:r w:rsidR="002E69BB" w:rsidRPr="00B24750">
        <w:rPr>
          <w:rFonts w:asciiTheme="majorHAnsi" w:hAnsiTheme="majorHAnsi" w:cs="Cambria"/>
          <w:color w:val="000000"/>
          <w:sz w:val="20"/>
          <w:szCs w:val="20"/>
          <w:u w:color="000000"/>
          <w:bdr w:val="none" w:sz="0" w:space="0" w:color="auto"/>
          <w:lang w:val="en-US" w:eastAsia="es-ES"/>
        </w:rPr>
        <w:t>.</w:t>
      </w:r>
      <w:r w:rsidRPr="00B24750">
        <w:rPr>
          <w:rFonts w:asciiTheme="majorHAnsi" w:hAnsiTheme="majorHAnsi" w:cs="Cambria"/>
          <w:color w:val="000000"/>
          <w:sz w:val="20"/>
          <w:szCs w:val="20"/>
          <w:u w:color="000000"/>
          <w:bdr w:val="none" w:sz="0" w:space="0" w:color="auto"/>
          <w:vertAlign w:val="superscript"/>
          <w:lang w:val="en-US" w:eastAsia="es-ES"/>
        </w:rPr>
        <w:footnoteReference w:id="199"/>
      </w:r>
      <w:r w:rsidRPr="00B24750">
        <w:rPr>
          <w:rFonts w:asciiTheme="majorHAnsi" w:hAnsiTheme="majorHAnsi" w:cs="Cambria"/>
          <w:color w:val="000000"/>
          <w:sz w:val="20"/>
          <w:szCs w:val="20"/>
          <w:u w:color="000000"/>
          <w:bdr w:val="none" w:sz="0" w:space="0" w:color="auto"/>
          <w:lang w:val="en-US" w:eastAsia="es-ES"/>
        </w:rPr>
        <w:t xml:space="preserve"> </w:t>
      </w:r>
      <w:r w:rsidRPr="00B24750">
        <w:rPr>
          <w:rFonts w:asciiTheme="majorHAnsi" w:hAnsiTheme="majorHAnsi"/>
          <w:sz w:val="20"/>
          <w:szCs w:val="20"/>
          <w:bdr w:val="none" w:sz="0" w:space="0" w:color="auto"/>
          <w:lang w:val="en-US"/>
        </w:rPr>
        <w:t>Law No. 1312 of 1976 was amended by Decree-Law No. 302</w:t>
      </w:r>
      <w:r w:rsidRPr="00B24750">
        <w:rPr>
          <w:rFonts w:asciiTheme="majorHAnsi" w:hAnsiTheme="majorHAnsi"/>
          <w:sz w:val="20"/>
          <w:szCs w:val="20"/>
          <w:bdr w:val="none" w:sz="0" w:space="0" w:color="auto"/>
          <w:vertAlign w:val="superscript"/>
          <w:lang w:val="en-US"/>
        </w:rPr>
        <w:footnoteReference w:id="200"/>
      </w:r>
      <w:r w:rsidRPr="00B24750">
        <w:rPr>
          <w:rFonts w:asciiTheme="majorHAnsi" w:hAnsiTheme="majorHAnsi"/>
          <w:sz w:val="20"/>
          <w:szCs w:val="20"/>
          <w:bdr w:val="none" w:sz="0" w:space="0" w:color="auto"/>
          <w:lang w:val="en-US"/>
        </w:rPr>
        <w:t xml:space="preserve"> on October 16, 2012, </w:t>
      </w:r>
      <w:r w:rsidR="007B7886" w:rsidRPr="00B24750">
        <w:rPr>
          <w:rFonts w:asciiTheme="majorHAnsi" w:hAnsiTheme="majorHAnsi"/>
          <w:sz w:val="20"/>
          <w:szCs w:val="20"/>
          <w:bdr w:val="none" w:sz="0" w:space="0" w:color="auto"/>
          <w:lang w:val="en-US"/>
        </w:rPr>
        <w:t>partially eliminating</w:t>
      </w:r>
      <w:r w:rsidRPr="00B24750">
        <w:rPr>
          <w:rFonts w:asciiTheme="majorHAnsi" w:hAnsiTheme="majorHAnsi"/>
          <w:sz w:val="20"/>
          <w:szCs w:val="20"/>
          <w:bdr w:val="none" w:sz="0" w:space="0" w:color="auto"/>
          <w:lang w:val="en-US"/>
        </w:rPr>
        <w:t xml:space="preserve"> </w:t>
      </w:r>
      <w:r w:rsidRPr="00B24750">
        <w:rPr>
          <w:rFonts w:asciiTheme="majorHAnsi" w:hAnsiTheme="majorHAnsi"/>
          <w:sz w:val="20"/>
          <w:szCs w:val="20"/>
          <w:lang w:val="en-US"/>
        </w:rPr>
        <w:t>the requirement of authorization to leave the territory</w:t>
      </w:r>
      <w:r w:rsidR="007B7886" w:rsidRPr="00B24750">
        <w:rPr>
          <w:rFonts w:asciiTheme="majorHAnsi" w:hAnsiTheme="majorHAnsi"/>
          <w:sz w:val="20"/>
          <w:szCs w:val="20"/>
          <w:lang w:val="en-US"/>
        </w:rPr>
        <w:t xml:space="preserve">. </w:t>
      </w:r>
      <w:r w:rsidR="006E62A8">
        <w:rPr>
          <w:rFonts w:asciiTheme="majorHAnsi" w:hAnsiTheme="majorHAnsi"/>
          <w:sz w:val="20"/>
          <w:szCs w:val="20"/>
          <w:lang w:val="en-US"/>
        </w:rPr>
        <w:t xml:space="preserve">But </w:t>
      </w:r>
      <w:r w:rsidR="007B7886" w:rsidRPr="00B24750">
        <w:rPr>
          <w:rFonts w:asciiTheme="majorHAnsi" w:hAnsiTheme="majorHAnsi"/>
          <w:sz w:val="20"/>
          <w:szCs w:val="20"/>
          <w:lang w:val="en-US"/>
        </w:rPr>
        <w:t>a set of circumstances</w:t>
      </w:r>
      <w:r w:rsidRPr="00B24750">
        <w:rPr>
          <w:rFonts w:asciiTheme="majorHAnsi" w:hAnsiTheme="majorHAnsi"/>
          <w:sz w:val="20"/>
          <w:szCs w:val="20"/>
          <w:lang w:val="en-US"/>
        </w:rPr>
        <w:t xml:space="preserve"> were maintained </w:t>
      </w:r>
      <w:r w:rsidR="007B7886" w:rsidRPr="00B24750">
        <w:rPr>
          <w:rFonts w:asciiTheme="majorHAnsi" w:hAnsiTheme="majorHAnsi"/>
          <w:sz w:val="20"/>
          <w:szCs w:val="20"/>
          <w:lang w:val="en-US"/>
        </w:rPr>
        <w:t>under which</w:t>
      </w:r>
      <w:r w:rsidRPr="00B24750">
        <w:rPr>
          <w:rFonts w:asciiTheme="majorHAnsi" w:hAnsiTheme="majorHAnsi"/>
          <w:sz w:val="20"/>
          <w:szCs w:val="20"/>
          <w:lang w:val="en-US"/>
        </w:rPr>
        <w:t xml:space="preserve"> certain Cuban nationals residing in Cuba </w:t>
      </w:r>
      <w:r w:rsidR="00C862FC" w:rsidRPr="00B24750">
        <w:rPr>
          <w:rFonts w:asciiTheme="majorHAnsi" w:hAnsiTheme="majorHAnsi"/>
          <w:sz w:val="20"/>
          <w:szCs w:val="20"/>
          <w:lang w:val="en-US"/>
        </w:rPr>
        <w:t>could</w:t>
      </w:r>
      <w:r w:rsidRPr="00B24750">
        <w:rPr>
          <w:rFonts w:asciiTheme="majorHAnsi" w:hAnsiTheme="majorHAnsi"/>
          <w:sz w:val="20"/>
          <w:szCs w:val="20"/>
          <w:lang w:val="en-US"/>
        </w:rPr>
        <w:t xml:space="preserve"> not obtain passports or leave the country for </w:t>
      </w:r>
      <w:r w:rsidR="00C862FC" w:rsidRPr="00B24750">
        <w:rPr>
          <w:rFonts w:asciiTheme="majorHAnsi" w:hAnsiTheme="majorHAnsi"/>
          <w:sz w:val="20"/>
          <w:szCs w:val="20"/>
          <w:lang w:val="en-US"/>
        </w:rPr>
        <w:t>ambiguously</w:t>
      </w:r>
      <w:r w:rsidRPr="00B24750">
        <w:rPr>
          <w:rFonts w:asciiTheme="majorHAnsi" w:hAnsiTheme="majorHAnsi"/>
          <w:sz w:val="20"/>
          <w:szCs w:val="20"/>
          <w:lang w:val="en-US"/>
        </w:rPr>
        <w:t xml:space="preserve"> worded reasons, </w:t>
      </w:r>
      <w:r w:rsidR="007B7886" w:rsidRPr="00B24750">
        <w:rPr>
          <w:rFonts w:asciiTheme="majorHAnsi" w:hAnsiTheme="majorHAnsi"/>
          <w:sz w:val="20"/>
          <w:szCs w:val="20"/>
          <w:lang w:val="en-US"/>
        </w:rPr>
        <w:t>and the</w:t>
      </w:r>
      <w:r w:rsidRPr="00B24750">
        <w:rPr>
          <w:rFonts w:asciiTheme="majorHAnsi" w:hAnsiTheme="majorHAnsi"/>
          <w:sz w:val="20"/>
          <w:szCs w:val="20"/>
          <w:lang w:val="en-US"/>
        </w:rPr>
        <w:t xml:space="preserve"> Cuban authorities </w:t>
      </w:r>
      <w:r w:rsidR="007B7886" w:rsidRPr="00B24750">
        <w:rPr>
          <w:rFonts w:asciiTheme="majorHAnsi" w:hAnsiTheme="majorHAnsi"/>
          <w:sz w:val="20"/>
          <w:szCs w:val="20"/>
          <w:lang w:val="en-US"/>
        </w:rPr>
        <w:t xml:space="preserve">still have broad discretion over </w:t>
      </w:r>
      <w:r w:rsidRPr="00B24750">
        <w:rPr>
          <w:rFonts w:asciiTheme="majorHAnsi" w:hAnsiTheme="majorHAnsi"/>
          <w:sz w:val="20"/>
          <w:szCs w:val="20"/>
          <w:lang w:val="en-US"/>
        </w:rPr>
        <w:t>the departure of Cuban nationals.</w:t>
      </w:r>
      <w:r w:rsidR="00B60E66">
        <w:rPr>
          <w:rFonts w:asciiTheme="majorHAnsi" w:hAnsiTheme="majorHAnsi"/>
          <w:sz w:val="20"/>
          <w:szCs w:val="20"/>
          <w:lang w:val="en-US"/>
        </w:rPr>
        <w:t xml:space="preserve"> Even when t</w:t>
      </w:r>
      <w:r w:rsidR="007B7886" w:rsidRPr="00B24750">
        <w:rPr>
          <w:rFonts w:asciiTheme="majorHAnsi" w:hAnsiTheme="majorHAnsi"/>
          <w:sz w:val="20"/>
          <w:szCs w:val="20"/>
          <w:lang w:val="en-US"/>
        </w:rPr>
        <w:t>he</w:t>
      </w:r>
      <w:r w:rsidRPr="00B24750">
        <w:rPr>
          <w:rFonts w:asciiTheme="majorHAnsi" w:hAnsiTheme="majorHAnsi" w:cs="Cambria"/>
          <w:color w:val="000000"/>
          <w:sz w:val="20"/>
          <w:szCs w:val="20"/>
          <w:u w:color="000000"/>
          <w:bdr w:val="none" w:sz="0" w:space="0" w:color="auto"/>
          <w:lang w:val="en-US" w:eastAsia="es-ES"/>
        </w:rPr>
        <w:t xml:space="preserve"> petitioners reported that </w:t>
      </w:r>
      <w:proofErr w:type="spellStart"/>
      <w:r w:rsidRPr="00B24750">
        <w:rPr>
          <w:rFonts w:asciiTheme="majorHAnsi" w:hAnsiTheme="majorHAnsi" w:cs="Cambria"/>
          <w:color w:val="000000"/>
          <w:sz w:val="20"/>
          <w:szCs w:val="20"/>
          <w:u w:color="000000"/>
          <w:bdr w:val="none" w:sz="0" w:space="0" w:color="auto"/>
          <w:lang w:val="en-US" w:eastAsia="es-ES"/>
        </w:rPr>
        <w:t>Yoani</w:t>
      </w:r>
      <w:proofErr w:type="spellEnd"/>
      <w:r w:rsidRPr="00B24750">
        <w:rPr>
          <w:rFonts w:asciiTheme="majorHAnsi" w:hAnsiTheme="majorHAnsi" w:cs="Cambria"/>
          <w:color w:val="000000"/>
          <w:sz w:val="20"/>
          <w:szCs w:val="20"/>
          <w:u w:color="000000"/>
          <w:bdr w:val="none" w:sz="0" w:space="0" w:color="auto"/>
          <w:lang w:val="en-US" w:eastAsia="es-ES"/>
        </w:rPr>
        <w:t xml:space="preserve"> Sánchez has been able to leave the country</w:t>
      </w:r>
      <w:r w:rsidR="007B7886" w:rsidRPr="00B24750">
        <w:rPr>
          <w:rFonts w:asciiTheme="majorHAnsi" w:hAnsiTheme="majorHAnsi" w:cs="Cambria"/>
          <w:color w:val="000000"/>
          <w:sz w:val="20"/>
          <w:szCs w:val="20"/>
          <w:u w:color="000000"/>
          <w:bdr w:val="none" w:sz="0" w:space="0" w:color="auto"/>
          <w:lang w:val="en-US" w:eastAsia="es-ES"/>
        </w:rPr>
        <w:t xml:space="preserve"> since late 2012</w:t>
      </w:r>
      <w:r w:rsidRPr="00B24750">
        <w:rPr>
          <w:rFonts w:asciiTheme="majorHAnsi" w:hAnsiTheme="majorHAnsi" w:cs="Cambria"/>
          <w:color w:val="000000"/>
          <w:sz w:val="20"/>
          <w:szCs w:val="20"/>
          <w:u w:color="000000"/>
          <w:bdr w:val="none" w:sz="0" w:space="0" w:color="auto"/>
          <w:lang w:val="en-US" w:eastAsia="es-ES"/>
        </w:rPr>
        <w:t>, and no information has been provided on the application of Decree</w:t>
      </w:r>
      <w:r w:rsidR="00217980">
        <w:rPr>
          <w:rFonts w:asciiTheme="majorHAnsi" w:hAnsiTheme="majorHAnsi" w:cs="Cambria"/>
          <w:color w:val="000000"/>
          <w:sz w:val="20"/>
          <w:szCs w:val="20"/>
          <w:u w:color="000000"/>
          <w:bdr w:val="none" w:sz="0" w:space="0" w:color="auto"/>
          <w:lang w:val="en-US" w:eastAsia="es-ES"/>
        </w:rPr>
        <w:t>-</w:t>
      </w:r>
      <w:r w:rsidRPr="00B24750">
        <w:rPr>
          <w:rFonts w:asciiTheme="majorHAnsi" w:hAnsiTheme="majorHAnsi" w:cs="Cambria"/>
          <w:color w:val="000000"/>
          <w:sz w:val="20"/>
          <w:szCs w:val="20"/>
          <w:u w:color="000000"/>
          <w:bdr w:val="none" w:sz="0" w:space="0" w:color="auto"/>
          <w:lang w:val="en-US" w:eastAsia="es-ES"/>
        </w:rPr>
        <w:t>Law No. 302 in th</w:t>
      </w:r>
      <w:r w:rsidR="007B7886" w:rsidRPr="00B24750">
        <w:rPr>
          <w:rFonts w:asciiTheme="majorHAnsi" w:hAnsiTheme="majorHAnsi" w:cs="Cambria"/>
          <w:color w:val="000000"/>
          <w:sz w:val="20"/>
          <w:szCs w:val="20"/>
          <w:u w:color="000000"/>
          <w:bdr w:val="none" w:sz="0" w:space="0" w:color="auto"/>
          <w:lang w:val="en-US" w:eastAsia="es-ES"/>
        </w:rPr>
        <w:t>is</w:t>
      </w:r>
      <w:r w:rsidRPr="00B24750">
        <w:rPr>
          <w:rFonts w:asciiTheme="majorHAnsi" w:hAnsiTheme="majorHAnsi" w:cs="Cambria"/>
          <w:color w:val="000000"/>
          <w:sz w:val="20"/>
          <w:szCs w:val="20"/>
          <w:u w:color="000000"/>
          <w:bdr w:val="none" w:sz="0" w:space="0" w:color="auto"/>
          <w:lang w:val="en-US" w:eastAsia="es-ES"/>
        </w:rPr>
        <w:t xml:space="preserve"> specific case</w:t>
      </w:r>
      <w:r w:rsidR="008E42A4">
        <w:rPr>
          <w:rFonts w:asciiTheme="majorHAnsi" w:hAnsiTheme="majorHAnsi" w:cs="Cambria"/>
          <w:color w:val="000000"/>
          <w:sz w:val="20"/>
          <w:szCs w:val="20"/>
          <w:u w:color="000000"/>
          <w:bdr w:val="none" w:sz="0" w:space="0" w:color="auto"/>
          <w:lang w:val="en-US" w:eastAsia="es-ES"/>
        </w:rPr>
        <w:t xml:space="preserve">, </w:t>
      </w:r>
      <w:r w:rsidRPr="00B24750">
        <w:rPr>
          <w:rFonts w:asciiTheme="majorHAnsi" w:hAnsiTheme="majorHAnsi" w:cs="Cambria"/>
          <w:color w:val="000000"/>
          <w:sz w:val="20"/>
          <w:szCs w:val="20"/>
          <w:u w:color="000000"/>
          <w:bdr w:val="none" w:sz="0" w:space="0" w:color="auto"/>
          <w:lang w:val="en-US" w:eastAsia="es-ES"/>
        </w:rPr>
        <w:t>the IACHR</w:t>
      </w:r>
      <w:r w:rsidR="006E62A8">
        <w:rPr>
          <w:rFonts w:asciiTheme="majorHAnsi" w:hAnsiTheme="majorHAnsi" w:cs="Cambria"/>
          <w:color w:val="000000"/>
          <w:sz w:val="20"/>
          <w:szCs w:val="20"/>
          <w:u w:color="000000"/>
          <w:bdr w:val="none" w:sz="0" w:space="0" w:color="auto"/>
          <w:lang w:val="en-US" w:eastAsia="es-ES"/>
        </w:rPr>
        <w:t xml:space="preserve"> </w:t>
      </w:r>
      <w:r w:rsidR="007B7886" w:rsidRPr="00B24750">
        <w:rPr>
          <w:rFonts w:asciiTheme="majorHAnsi" w:hAnsiTheme="majorHAnsi" w:cs="Cambria"/>
          <w:color w:val="000000"/>
          <w:sz w:val="20"/>
          <w:szCs w:val="20"/>
          <w:u w:color="000000"/>
          <w:bdr w:val="none" w:sz="0" w:space="0" w:color="auto"/>
          <w:lang w:val="en-US" w:eastAsia="es-ES"/>
        </w:rPr>
        <w:t>stresses</w:t>
      </w:r>
      <w:r w:rsidRPr="00B24750">
        <w:rPr>
          <w:rFonts w:asciiTheme="majorHAnsi" w:hAnsiTheme="majorHAnsi" w:cs="Cambria"/>
          <w:color w:val="000000"/>
          <w:sz w:val="20"/>
          <w:szCs w:val="20"/>
          <w:u w:color="000000"/>
          <w:bdr w:val="none" w:sz="0" w:space="0" w:color="auto"/>
          <w:lang w:val="en-US" w:eastAsia="es-ES"/>
        </w:rPr>
        <w:t xml:space="preserve"> </w:t>
      </w:r>
      <w:r w:rsidR="009A10B1">
        <w:rPr>
          <w:rFonts w:asciiTheme="majorHAnsi" w:hAnsiTheme="majorHAnsi" w:cs="Cambria"/>
          <w:color w:val="000000"/>
          <w:sz w:val="20"/>
          <w:szCs w:val="20"/>
          <w:u w:color="000000"/>
          <w:bdr w:val="none" w:sz="0" w:space="0" w:color="auto"/>
          <w:lang w:val="en-US" w:eastAsia="es-ES"/>
        </w:rPr>
        <w:t>that while this</w:t>
      </w:r>
      <w:r w:rsidRPr="00B24750">
        <w:rPr>
          <w:rFonts w:asciiTheme="majorHAnsi" w:hAnsiTheme="majorHAnsi" w:cs="Cambria"/>
          <w:color w:val="000000"/>
          <w:sz w:val="20"/>
          <w:szCs w:val="20"/>
          <w:u w:color="000000"/>
          <w:bdr w:val="none" w:sz="0" w:space="0" w:color="auto"/>
          <w:lang w:val="en-US" w:eastAsia="es-ES"/>
        </w:rPr>
        <w:t xml:space="preserve"> regulation has </w:t>
      </w:r>
      <w:r w:rsidR="007B7886" w:rsidRPr="00B24750">
        <w:rPr>
          <w:rFonts w:asciiTheme="majorHAnsi" w:hAnsiTheme="majorHAnsi" w:cs="Cambria"/>
          <w:color w:val="000000"/>
          <w:sz w:val="20"/>
          <w:szCs w:val="20"/>
          <w:u w:color="000000"/>
          <w:bdr w:val="none" w:sz="0" w:space="0" w:color="auto"/>
          <w:lang w:val="en-US" w:eastAsia="es-ES"/>
        </w:rPr>
        <w:t>signified</w:t>
      </w:r>
      <w:r w:rsidRPr="00B24750">
        <w:rPr>
          <w:rFonts w:asciiTheme="majorHAnsi" w:hAnsiTheme="majorHAnsi" w:cs="Cambria"/>
          <w:color w:val="000000"/>
          <w:sz w:val="20"/>
          <w:szCs w:val="20"/>
          <w:u w:color="000000"/>
          <w:bdr w:val="none" w:sz="0" w:space="0" w:color="auto"/>
          <w:lang w:val="en-US" w:eastAsia="es-ES"/>
        </w:rPr>
        <w:t xml:space="preserve"> progress, </w:t>
      </w:r>
      <w:r w:rsidR="009A10B1">
        <w:rPr>
          <w:rFonts w:asciiTheme="majorHAnsi" w:hAnsiTheme="majorHAnsi" w:cs="Cambria"/>
          <w:color w:val="000000"/>
          <w:sz w:val="20"/>
          <w:szCs w:val="20"/>
          <w:u w:color="000000"/>
          <w:bdr w:val="none" w:sz="0" w:space="0" w:color="auto"/>
          <w:lang w:val="en-US" w:eastAsia="es-ES"/>
        </w:rPr>
        <w:t xml:space="preserve">it </w:t>
      </w:r>
      <w:r w:rsidRPr="00B24750">
        <w:rPr>
          <w:rFonts w:asciiTheme="majorHAnsi" w:hAnsiTheme="majorHAnsi" w:cs="Cambria"/>
          <w:color w:val="000000"/>
          <w:sz w:val="20"/>
          <w:szCs w:val="20"/>
          <w:u w:color="000000"/>
          <w:bdr w:val="none" w:sz="0" w:space="0" w:color="auto"/>
          <w:lang w:val="en-US" w:eastAsia="es-ES"/>
        </w:rPr>
        <w:t>has failed to prevent un</w:t>
      </w:r>
      <w:r w:rsidR="007B7886" w:rsidRPr="00B24750">
        <w:rPr>
          <w:rFonts w:asciiTheme="majorHAnsi" w:hAnsiTheme="majorHAnsi" w:cs="Cambria"/>
          <w:color w:val="000000"/>
          <w:sz w:val="20"/>
          <w:szCs w:val="20"/>
          <w:u w:color="000000"/>
          <w:bdr w:val="none" w:sz="0" w:space="0" w:color="auto"/>
          <w:lang w:val="en-US" w:eastAsia="es-ES"/>
        </w:rPr>
        <w:t>warranted</w:t>
      </w:r>
      <w:r w:rsidRPr="00B24750">
        <w:rPr>
          <w:rFonts w:asciiTheme="majorHAnsi" w:hAnsiTheme="majorHAnsi" w:cs="Cambria"/>
          <w:color w:val="000000"/>
          <w:sz w:val="20"/>
          <w:szCs w:val="20"/>
          <w:u w:color="000000"/>
          <w:bdr w:val="none" w:sz="0" w:space="0" w:color="auto"/>
          <w:lang w:val="en-US" w:eastAsia="es-ES"/>
        </w:rPr>
        <w:t xml:space="preserve"> </w:t>
      </w:r>
      <w:r w:rsidR="007B7886" w:rsidRPr="00B24750">
        <w:rPr>
          <w:rFonts w:asciiTheme="majorHAnsi" w:hAnsiTheme="majorHAnsi" w:cs="Cambria"/>
          <w:color w:val="000000"/>
          <w:sz w:val="20"/>
          <w:szCs w:val="20"/>
          <w:u w:color="000000"/>
          <w:bdr w:val="none" w:sz="0" w:space="0" w:color="auto"/>
          <w:lang w:val="en-US" w:eastAsia="es-ES"/>
        </w:rPr>
        <w:t>travel restrictions</w:t>
      </w:r>
      <w:r w:rsidRPr="00B24750">
        <w:rPr>
          <w:rFonts w:asciiTheme="majorHAnsi" w:hAnsiTheme="majorHAnsi" w:cs="Cambria"/>
          <w:color w:val="000000"/>
          <w:sz w:val="20"/>
          <w:szCs w:val="20"/>
          <w:u w:color="000000"/>
          <w:bdr w:val="none" w:sz="0" w:space="0" w:color="auto"/>
          <w:lang w:val="en-US" w:eastAsia="es-ES"/>
        </w:rPr>
        <w:t xml:space="preserve"> against political dissidents and opposition journalists</w:t>
      </w:r>
      <w:r w:rsidR="007B7886" w:rsidRPr="00B24750">
        <w:rPr>
          <w:rFonts w:asciiTheme="majorHAnsi" w:hAnsiTheme="majorHAnsi" w:cs="Cambria"/>
          <w:color w:val="000000"/>
          <w:sz w:val="20"/>
          <w:szCs w:val="20"/>
          <w:u w:color="000000"/>
          <w:bdr w:val="none" w:sz="0" w:space="0" w:color="auto"/>
          <w:lang w:val="en-US" w:eastAsia="es-ES"/>
        </w:rPr>
        <w:t xml:space="preserve"> who wish to leave the island</w:t>
      </w:r>
      <w:r w:rsidR="009A10B1">
        <w:rPr>
          <w:rFonts w:asciiTheme="majorHAnsi" w:hAnsiTheme="majorHAnsi" w:cs="Cambria"/>
          <w:color w:val="000000"/>
          <w:sz w:val="20"/>
          <w:szCs w:val="20"/>
          <w:u w:color="000000"/>
          <w:bdr w:val="none" w:sz="0" w:space="0" w:color="auto"/>
          <w:lang w:val="en-US" w:eastAsia="es-ES"/>
        </w:rPr>
        <w:t>,</w:t>
      </w:r>
      <w:r w:rsidRPr="00B24750">
        <w:rPr>
          <w:rFonts w:asciiTheme="majorHAnsi" w:hAnsiTheme="majorHAnsi" w:cs="Cambria"/>
          <w:color w:val="000000"/>
          <w:sz w:val="20"/>
          <w:szCs w:val="20"/>
          <w:u w:color="000000"/>
          <w:bdr w:val="none" w:sz="0" w:space="0" w:color="auto"/>
          <w:vertAlign w:val="superscript"/>
          <w:lang w:val="en-US" w:eastAsia="es-ES"/>
        </w:rPr>
        <w:footnoteReference w:id="201"/>
      </w:r>
      <w:r w:rsidR="009A10B1">
        <w:rPr>
          <w:rFonts w:asciiTheme="majorHAnsi" w:hAnsiTheme="majorHAnsi" w:cs="Cambria"/>
          <w:color w:val="000000"/>
          <w:sz w:val="20"/>
          <w:szCs w:val="20"/>
          <w:u w:color="000000"/>
          <w:bdr w:val="none" w:sz="0" w:space="0" w:color="auto"/>
          <w:lang w:val="en-US" w:eastAsia="es-ES"/>
        </w:rPr>
        <w:t xml:space="preserve"> </w:t>
      </w:r>
      <w:r w:rsidR="009A10B1" w:rsidRPr="009A10B1">
        <w:rPr>
          <w:rFonts w:asciiTheme="majorHAnsi" w:hAnsiTheme="majorHAnsi" w:cs="Cambria"/>
          <w:color w:val="000000"/>
          <w:sz w:val="20"/>
          <w:szCs w:val="20"/>
          <w:u w:color="000000"/>
          <w:bdr w:val="none" w:sz="0" w:space="0" w:color="auto"/>
          <w:lang w:val="en-US" w:eastAsia="es-ES"/>
        </w:rPr>
        <w:t>which can be applied to the journalist at any time.</w:t>
      </w:r>
    </w:p>
    <w:p w14:paraId="612EBA78" w14:textId="77777777" w:rsidR="004E532E" w:rsidRPr="00B24750" w:rsidRDefault="004E532E" w:rsidP="009E70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000000"/>
          <w:sz w:val="20"/>
          <w:szCs w:val="20"/>
          <w:u w:color="000000"/>
          <w:bdr w:val="none" w:sz="0" w:space="0" w:color="auto"/>
          <w:lang w:val="en-US" w:eastAsia="es-ES"/>
        </w:rPr>
      </w:pPr>
    </w:p>
    <w:p w14:paraId="4694C60A" w14:textId="45423E3A" w:rsidR="00931168" w:rsidRDefault="00CF5D8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cs="Cambria"/>
          <w:color w:val="000000"/>
          <w:sz w:val="20"/>
          <w:szCs w:val="20"/>
          <w:u w:color="000000"/>
          <w:bdr w:val="none" w:sz="0" w:space="0" w:color="auto"/>
          <w:lang w:val="en-US" w:eastAsia="es-ES"/>
        </w:rPr>
      </w:pPr>
      <w:r w:rsidRPr="00B24750">
        <w:rPr>
          <w:rFonts w:asciiTheme="majorHAnsi" w:hAnsiTheme="majorHAnsi" w:cs="Cambria"/>
          <w:color w:val="000000"/>
          <w:sz w:val="20"/>
          <w:szCs w:val="20"/>
          <w:u w:color="000000"/>
          <w:bdr w:val="none" w:sz="0" w:space="0" w:color="auto"/>
          <w:lang w:val="en-US" w:eastAsia="es-ES"/>
        </w:rPr>
        <w:t xml:space="preserve">Therefore, the Commission concludes that the State violated Article VIII of the American Declaration, to the detriment of </w:t>
      </w:r>
      <w:proofErr w:type="spellStart"/>
      <w:r w:rsidRPr="00B24750">
        <w:rPr>
          <w:rFonts w:asciiTheme="majorHAnsi" w:hAnsiTheme="majorHAnsi" w:cs="Cambria"/>
          <w:color w:val="000000"/>
          <w:sz w:val="20"/>
          <w:szCs w:val="20"/>
          <w:u w:color="000000"/>
          <w:bdr w:val="none" w:sz="0" w:space="0" w:color="auto"/>
          <w:lang w:val="en-US" w:eastAsia="es-ES"/>
        </w:rPr>
        <w:t>Yoani</w:t>
      </w:r>
      <w:proofErr w:type="spellEnd"/>
      <w:r w:rsidRPr="00B24750">
        <w:rPr>
          <w:rFonts w:asciiTheme="majorHAnsi" w:hAnsiTheme="majorHAnsi" w:cs="Cambria"/>
          <w:color w:val="000000"/>
          <w:sz w:val="20"/>
          <w:szCs w:val="20"/>
          <w:u w:color="000000"/>
          <w:bdr w:val="none" w:sz="0" w:space="0" w:color="auto"/>
          <w:lang w:val="en-US" w:eastAsia="es-ES"/>
        </w:rPr>
        <w:t xml:space="preserve"> Sánchez</w:t>
      </w:r>
      <w:r w:rsidR="00223E1F" w:rsidRPr="00B24750">
        <w:rPr>
          <w:rFonts w:asciiTheme="majorHAnsi" w:hAnsiTheme="majorHAnsi" w:cs="Cambria"/>
          <w:color w:val="000000"/>
          <w:sz w:val="20"/>
          <w:szCs w:val="20"/>
          <w:u w:color="000000"/>
          <w:bdr w:val="none" w:sz="0" w:space="0" w:color="auto"/>
          <w:lang w:val="en-US" w:eastAsia="es-ES"/>
        </w:rPr>
        <w:t>.</w:t>
      </w:r>
    </w:p>
    <w:p w14:paraId="195A03BA" w14:textId="77777777" w:rsidR="004570C2" w:rsidRPr="00B24750" w:rsidRDefault="004570C2" w:rsidP="004570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000000"/>
          <w:sz w:val="20"/>
          <w:szCs w:val="20"/>
          <w:u w:color="000000"/>
          <w:bdr w:val="none" w:sz="0" w:space="0" w:color="auto"/>
          <w:lang w:val="en-US" w:eastAsia="es-ES"/>
        </w:rPr>
      </w:pPr>
    </w:p>
    <w:p w14:paraId="56CD5E26" w14:textId="6954F2FA" w:rsidR="00C52C05" w:rsidRPr="007B681D" w:rsidRDefault="003650CA" w:rsidP="007B681D">
      <w:pPr>
        <w:pStyle w:val="Heading2"/>
      </w:pPr>
      <w:bookmarkStart w:id="29" w:name="_Toc90392481"/>
      <w:r w:rsidRPr="007B681D">
        <w:t>Right</w:t>
      </w:r>
      <w:r w:rsidR="00C52C05" w:rsidRPr="007B681D">
        <w:t xml:space="preserve"> </w:t>
      </w:r>
      <w:r w:rsidRPr="007B681D">
        <w:t>to freedom of assembly (Article XXI)</w:t>
      </w:r>
      <w:r w:rsidRPr="007B681D">
        <w:rPr>
          <w:rStyle w:val="FootnoteReference"/>
          <w:vertAlign w:val="baseline"/>
        </w:rPr>
        <w:footnoteReference w:id="202"/>
      </w:r>
      <w:r w:rsidRPr="007B681D">
        <w:t xml:space="preserve"> and association (Article XXII)</w:t>
      </w:r>
      <w:r w:rsidRPr="007B681D">
        <w:rPr>
          <w:rStyle w:val="FootnoteReference"/>
          <w:vertAlign w:val="baseline"/>
        </w:rPr>
        <w:footnoteReference w:id="203"/>
      </w:r>
      <w:bookmarkEnd w:id="29"/>
    </w:p>
    <w:p w14:paraId="3E060682"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9072"/>
        </w:tabs>
        <w:ind w:right="288"/>
        <w:jc w:val="both"/>
        <w:rPr>
          <w:rFonts w:asciiTheme="majorHAnsi" w:hAnsiTheme="majorHAnsi"/>
          <w:sz w:val="20"/>
          <w:szCs w:val="20"/>
          <w:bdr w:val="none" w:sz="0" w:space="0" w:color="auto"/>
          <w:lang w:val="en-US"/>
        </w:rPr>
      </w:pPr>
    </w:p>
    <w:p w14:paraId="3FC32B3B" w14:textId="20C1AC01" w:rsidR="007E5823" w:rsidRPr="00B24750" w:rsidRDefault="007E582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lang w:val="en-US"/>
        </w:rPr>
        <w:t xml:space="preserve">The right of assembly protects the peaceful, intentional, and temporary congregation of people in a </w:t>
      </w:r>
      <w:r w:rsidR="00E43CC1" w:rsidRPr="00B24750">
        <w:rPr>
          <w:rFonts w:asciiTheme="majorHAnsi" w:hAnsiTheme="majorHAnsi"/>
          <w:sz w:val="20"/>
          <w:szCs w:val="20"/>
          <w:lang w:val="en-US"/>
        </w:rPr>
        <w:t>given</w:t>
      </w:r>
      <w:r w:rsidRPr="00B24750">
        <w:rPr>
          <w:rFonts w:asciiTheme="majorHAnsi" w:hAnsiTheme="majorHAnsi"/>
          <w:sz w:val="20"/>
          <w:szCs w:val="20"/>
          <w:lang w:val="en-US"/>
        </w:rPr>
        <w:t xml:space="preserve"> space to achieve a common goal, including protest. As such, it is indispensable for the collective expression of people’s opinions and points of view. The exercise of the right of assembly is vitally important for the consolidation of the democratic life of societies and is therefore </w:t>
      </w:r>
      <w:r w:rsidR="00061EF1" w:rsidRPr="00B24750">
        <w:rPr>
          <w:rFonts w:asciiTheme="majorHAnsi" w:hAnsiTheme="majorHAnsi"/>
          <w:sz w:val="20"/>
          <w:szCs w:val="20"/>
          <w:lang w:val="en-US"/>
        </w:rPr>
        <w:t>of</w:t>
      </w:r>
      <w:r w:rsidRPr="00B24750">
        <w:rPr>
          <w:rFonts w:asciiTheme="majorHAnsi" w:hAnsiTheme="majorHAnsi"/>
          <w:sz w:val="20"/>
          <w:szCs w:val="20"/>
          <w:lang w:val="en-US"/>
        </w:rPr>
        <w:t xml:space="preserve"> compelling social interest.</w:t>
      </w:r>
      <w:r w:rsidRPr="00B24750">
        <w:rPr>
          <w:rStyle w:val="FootnoteReference"/>
          <w:rFonts w:asciiTheme="majorHAnsi" w:hAnsiTheme="majorHAnsi"/>
          <w:sz w:val="20"/>
          <w:szCs w:val="20"/>
          <w:lang w:val="en-US"/>
        </w:rPr>
        <w:footnoteReference w:id="204"/>
      </w:r>
    </w:p>
    <w:p w14:paraId="59FD9A06" w14:textId="77777777" w:rsidR="00836736" w:rsidRPr="00B24750" w:rsidRDefault="00836736"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41611B99" w14:textId="40F07589" w:rsidR="001F57D8" w:rsidRPr="00B24750" w:rsidRDefault="001F57D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lastRenderedPageBreak/>
        <w:t>Freedom of assembly allows people to exchange opinions, express their positions on human rights</w:t>
      </w:r>
      <w:r w:rsidR="0043422A"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lang w:val="en-US"/>
        </w:rPr>
        <w:t xml:space="preserve"> and </w:t>
      </w:r>
      <w:r w:rsidR="0043422A" w:rsidRPr="00B24750">
        <w:rPr>
          <w:rFonts w:asciiTheme="majorHAnsi" w:hAnsiTheme="majorHAnsi"/>
          <w:sz w:val="20"/>
          <w:szCs w:val="20"/>
          <w:bdr w:val="none" w:sz="0" w:space="0" w:color="auto"/>
          <w:lang w:val="en-US"/>
        </w:rPr>
        <w:t>coordinate</w:t>
      </w:r>
      <w:r w:rsidRPr="00B24750">
        <w:rPr>
          <w:rFonts w:asciiTheme="majorHAnsi" w:hAnsiTheme="majorHAnsi"/>
          <w:sz w:val="20"/>
          <w:szCs w:val="20"/>
          <w:bdr w:val="none" w:sz="0" w:space="0" w:color="auto"/>
          <w:lang w:val="en-US"/>
        </w:rPr>
        <w:t xml:space="preserve"> plans of action, </w:t>
      </w:r>
      <w:r w:rsidR="0043422A" w:rsidRPr="00B24750">
        <w:rPr>
          <w:rFonts w:asciiTheme="majorHAnsi" w:hAnsiTheme="majorHAnsi"/>
          <w:sz w:val="20"/>
          <w:szCs w:val="20"/>
          <w:bdr w:val="none" w:sz="0" w:space="0" w:color="auto"/>
          <w:lang w:val="en-US"/>
        </w:rPr>
        <w:t>whether at</w:t>
      </w:r>
      <w:r w:rsidRPr="00B24750">
        <w:rPr>
          <w:rFonts w:asciiTheme="majorHAnsi" w:hAnsiTheme="majorHAnsi"/>
          <w:sz w:val="20"/>
          <w:szCs w:val="20"/>
          <w:bdr w:val="none" w:sz="0" w:space="0" w:color="auto"/>
          <w:lang w:val="en-US"/>
        </w:rPr>
        <w:t xml:space="preserve"> assemblies or public demonstrations</w:t>
      </w:r>
      <w:r w:rsidR="0043422A"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vertAlign w:val="superscript"/>
          <w:lang w:val="en-US"/>
        </w:rPr>
        <w:footnoteReference w:id="205"/>
      </w:r>
      <w:r w:rsidRPr="00B24750">
        <w:rPr>
          <w:rFonts w:asciiTheme="majorHAnsi" w:hAnsiTheme="majorHAnsi"/>
          <w:sz w:val="20"/>
          <w:szCs w:val="20"/>
          <w:bdr w:val="none" w:sz="0" w:space="0" w:color="auto"/>
          <w:lang w:val="en-US"/>
        </w:rPr>
        <w:t xml:space="preserve"> for example. It </w:t>
      </w:r>
      <w:r w:rsidR="0043422A" w:rsidRPr="00B24750">
        <w:rPr>
          <w:rFonts w:asciiTheme="majorHAnsi" w:hAnsiTheme="majorHAnsi"/>
          <w:sz w:val="20"/>
          <w:szCs w:val="20"/>
          <w:bdr w:val="none" w:sz="0" w:space="0" w:color="auto"/>
          <w:lang w:val="en-US"/>
        </w:rPr>
        <w:t>means</w:t>
      </w:r>
      <w:r w:rsidRPr="00B24750">
        <w:rPr>
          <w:rFonts w:asciiTheme="majorHAnsi" w:hAnsiTheme="majorHAnsi"/>
          <w:sz w:val="20"/>
          <w:szCs w:val="20"/>
          <w:bdr w:val="none" w:sz="0" w:space="0" w:color="auto"/>
          <w:lang w:val="en-US"/>
        </w:rPr>
        <w:t xml:space="preserve"> that citizens may </w:t>
      </w:r>
      <w:r w:rsidR="0043422A" w:rsidRPr="00B24750">
        <w:rPr>
          <w:rFonts w:asciiTheme="majorHAnsi" w:hAnsiTheme="majorHAnsi"/>
          <w:sz w:val="20"/>
          <w:szCs w:val="20"/>
          <w:bdr w:val="none" w:sz="0" w:space="0" w:color="auto"/>
          <w:lang w:val="en-US"/>
        </w:rPr>
        <w:t>“freely meet in private locations with the consent of the owners, in public places […] and in places of business, in the case of workers.”</w:t>
      </w:r>
      <w:r w:rsidRPr="00B24750">
        <w:rPr>
          <w:rFonts w:asciiTheme="majorHAnsi" w:hAnsiTheme="majorHAnsi"/>
          <w:sz w:val="20"/>
          <w:szCs w:val="20"/>
          <w:bdr w:val="none" w:sz="0" w:space="0" w:color="auto"/>
          <w:vertAlign w:val="superscript"/>
          <w:lang w:val="en-US"/>
        </w:rPr>
        <w:footnoteReference w:id="206"/>
      </w:r>
    </w:p>
    <w:p w14:paraId="60C5FE28"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42003FA0" w14:textId="36A9A56F" w:rsidR="00836736" w:rsidRPr="00B24750" w:rsidRDefault="0043422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F</w:t>
      </w:r>
      <w:r w:rsidRPr="00B24750">
        <w:rPr>
          <w:rFonts w:asciiTheme="majorHAnsi" w:hAnsiTheme="majorHAnsi"/>
          <w:sz w:val="20"/>
          <w:szCs w:val="20"/>
          <w:lang w:val="en-US"/>
        </w:rPr>
        <w:t>reedom of association</w:t>
      </w:r>
      <w:r w:rsidR="006E62A8">
        <w:rPr>
          <w:rFonts w:asciiTheme="majorHAnsi" w:hAnsiTheme="majorHAnsi"/>
          <w:sz w:val="20"/>
          <w:szCs w:val="20"/>
          <w:lang w:val="en-US"/>
        </w:rPr>
        <w:t xml:space="preserve"> </w:t>
      </w:r>
      <w:r w:rsidRPr="00B24750">
        <w:rPr>
          <w:rFonts w:asciiTheme="majorHAnsi" w:hAnsiTheme="majorHAnsi"/>
          <w:sz w:val="20"/>
          <w:szCs w:val="20"/>
          <w:lang w:val="en-US"/>
        </w:rPr>
        <w:t xml:space="preserve">presupposes the right of assembly and is characterized by authorizing individuals to create or </w:t>
      </w:r>
      <w:r w:rsidR="006E62A8">
        <w:rPr>
          <w:rFonts w:asciiTheme="majorHAnsi" w:hAnsiTheme="majorHAnsi"/>
          <w:sz w:val="20"/>
          <w:szCs w:val="20"/>
          <w:lang w:val="en-US"/>
        </w:rPr>
        <w:t xml:space="preserve">participate </w:t>
      </w:r>
      <w:r w:rsidRPr="00B24750">
        <w:rPr>
          <w:rFonts w:asciiTheme="majorHAnsi" w:hAnsiTheme="majorHAnsi"/>
          <w:sz w:val="20"/>
          <w:szCs w:val="20"/>
          <w:lang w:val="en-US"/>
        </w:rPr>
        <w:t>in entities or organizations in order to act collectively to achieve very diverse purposes, provided they are legitimate. This entails the “</w:t>
      </w:r>
      <w:r w:rsidR="00C62834" w:rsidRPr="00B24750">
        <w:rPr>
          <w:rFonts w:asciiTheme="majorHAnsi" w:hAnsiTheme="majorHAnsi"/>
          <w:sz w:val="20"/>
          <w:szCs w:val="20"/>
          <w:lang w:val="en-US"/>
        </w:rPr>
        <w:t>the right and the freedom to associate in order to seek together a lawful purpose, without pressure or interference that can alter or distort this purpose</w:t>
      </w:r>
      <w:r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207"/>
      </w:r>
    </w:p>
    <w:p w14:paraId="1E95C773" w14:textId="77777777" w:rsidR="00836736" w:rsidRPr="00B24750" w:rsidRDefault="00836736" w:rsidP="00167D7C">
      <w:pPr>
        <w:pStyle w:val="ListParagraph"/>
        <w:rPr>
          <w:rFonts w:asciiTheme="majorHAnsi" w:hAnsiTheme="majorHAnsi"/>
          <w:sz w:val="20"/>
          <w:szCs w:val="20"/>
          <w:bdr w:val="none" w:sz="0" w:space="0" w:color="auto"/>
        </w:rPr>
      </w:pPr>
    </w:p>
    <w:p w14:paraId="658B2CD3" w14:textId="1937C150" w:rsidR="002A4DB3" w:rsidRPr="00B24750" w:rsidRDefault="002A4DB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 xml:space="preserve">By the same token, freedom of association protects the freedom to associate </w:t>
      </w:r>
      <w:r w:rsidRPr="00B24750">
        <w:rPr>
          <w:rFonts w:asciiTheme="majorHAnsi" w:hAnsiTheme="majorHAnsi"/>
          <w:i/>
          <w:iCs/>
          <w:sz w:val="20"/>
          <w:szCs w:val="20"/>
          <w:bdr w:val="none" w:sz="0" w:space="0" w:color="auto"/>
          <w:lang w:val="en-US"/>
        </w:rPr>
        <w:t xml:space="preserve">inter alia </w:t>
      </w:r>
      <w:r w:rsidRPr="00B24750">
        <w:rPr>
          <w:rFonts w:asciiTheme="majorHAnsi" w:hAnsiTheme="majorHAnsi"/>
          <w:sz w:val="20"/>
          <w:szCs w:val="20"/>
          <w:bdr w:val="none" w:sz="0" w:space="0" w:color="auto"/>
          <w:lang w:val="en-US"/>
        </w:rPr>
        <w:t xml:space="preserve">for ideological and political purposes, free from intervention by the authorities that limits or hinders the exercise of this right, and not just the right to join a trade union or professional organization. The protection granted by this right not only guarantees the right to form and join an association or organization, but also extends to all activities that are essential for its effective functioning, including the possibility of expressing opinions and disseminating information </w:t>
      </w:r>
      <w:r w:rsidR="006E62A8">
        <w:rPr>
          <w:rFonts w:asciiTheme="majorHAnsi" w:hAnsiTheme="majorHAnsi"/>
          <w:sz w:val="20"/>
          <w:szCs w:val="20"/>
          <w:bdr w:val="none" w:sz="0" w:space="0" w:color="auto"/>
          <w:lang w:val="en-US"/>
        </w:rPr>
        <w:t xml:space="preserve">to further </w:t>
      </w:r>
      <w:r w:rsidRPr="00B24750">
        <w:rPr>
          <w:rFonts w:asciiTheme="majorHAnsi" w:hAnsiTheme="majorHAnsi"/>
          <w:sz w:val="20"/>
          <w:szCs w:val="20"/>
          <w:bdr w:val="none" w:sz="0" w:space="0" w:color="auto"/>
          <w:lang w:val="en-US"/>
        </w:rPr>
        <w:t>the group’s aims.</w:t>
      </w:r>
      <w:r w:rsidRPr="00B24750">
        <w:rPr>
          <w:rFonts w:asciiTheme="majorHAnsi" w:hAnsiTheme="majorHAnsi"/>
          <w:sz w:val="20"/>
          <w:szCs w:val="20"/>
          <w:bdr w:val="none" w:sz="0" w:space="0" w:color="auto"/>
          <w:vertAlign w:val="superscript"/>
          <w:lang w:val="en-US"/>
        </w:rPr>
        <w:footnoteReference w:id="208"/>
      </w:r>
      <w:r w:rsidRPr="00B24750">
        <w:rPr>
          <w:rFonts w:asciiTheme="majorHAnsi" w:hAnsiTheme="majorHAnsi"/>
          <w:sz w:val="20"/>
          <w:szCs w:val="20"/>
          <w:bdr w:val="none" w:sz="0" w:space="0" w:color="auto"/>
          <w:lang w:val="en-US"/>
        </w:rPr>
        <w:t xml:space="preserve"> </w:t>
      </w:r>
    </w:p>
    <w:p w14:paraId="6B258455"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7ED35818" w14:textId="49F8BE1B" w:rsidR="00D313E9" w:rsidRPr="00B24750" w:rsidRDefault="00D313E9"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 xml:space="preserve">The right to freedom of association has two dimensions: an individual and a social one.  </w:t>
      </w:r>
      <w:r w:rsidR="00DB5415" w:rsidRPr="00B24750">
        <w:rPr>
          <w:rFonts w:asciiTheme="majorHAnsi" w:hAnsiTheme="majorHAnsi"/>
          <w:sz w:val="20"/>
          <w:szCs w:val="20"/>
          <w:bdr w:val="none" w:sz="0" w:space="0" w:color="auto"/>
          <w:lang w:val="en-US"/>
        </w:rPr>
        <w:t>The</w:t>
      </w:r>
      <w:r w:rsidRPr="00B24750">
        <w:rPr>
          <w:rFonts w:asciiTheme="majorHAnsi" w:hAnsiTheme="majorHAnsi"/>
          <w:sz w:val="20"/>
          <w:szCs w:val="20"/>
          <w:bdr w:val="none" w:sz="0" w:space="0" w:color="auto"/>
          <w:lang w:val="en-US"/>
        </w:rPr>
        <w:t xml:space="preserve"> individual dimension involves the right to </w:t>
      </w:r>
      <w:r w:rsidR="00DB5415" w:rsidRPr="00B24750">
        <w:rPr>
          <w:rFonts w:asciiTheme="majorHAnsi" w:hAnsiTheme="majorHAnsi"/>
          <w:sz w:val="20"/>
          <w:szCs w:val="20"/>
          <w:bdr w:val="none" w:sz="0" w:space="0" w:color="auto"/>
          <w:lang w:val="en-US"/>
        </w:rPr>
        <w:t>freely associate</w:t>
      </w:r>
      <w:r w:rsidRPr="00B24750">
        <w:rPr>
          <w:rFonts w:asciiTheme="majorHAnsi" w:hAnsiTheme="majorHAnsi"/>
          <w:sz w:val="20"/>
          <w:szCs w:val="20"/>
          <w:bdr w:val="none" w:sz="0" w:space="0" w:color="auto"/>
          <w:lang w:val="en-US"/>
        </w:rPr>
        <w:t xml:space="preserve"> with other pe</w:t>
      </w:r>
      <w:r w:rsidR="00DB5415" w:rsidRPr="00B24750">
        <w:rPr>
          <w:rFonts w:asciiTheme="majorHAnsi" w:hAnsiTheme="majorHAnsi"/>
          <w:sz w:val="20"/>
          <w:szCs w:val="20"/>
          <w:bdr w:val="none" w:sz="0" w:space="0" w:color="auto"/>
          <w:lang w:val="en-US"/>
        </w:rPr>
        <w:t>ople</w:t>
      </w:r>
      <w:r w:rsidRPr="00B24750">
        <w:rPr>
          <w:rFonts w:asciiTheme="majorHAnsi" w:hAnsiTheme="majorHAnsi"/>
          <w:sz w:val="20"/>
          <w:szCs w:val="20"/>
          <w:bdr w:val="none" w:sz="0" w:space="0" w:color="auto"/>
          <w:lang w:val="en-US"/>
        </w:rPr>
        <w:t xml:space="preserve"> without </w:t>
      </w:r>
      <w:r w:rsidR="00DB5415" w:rsidRPr="00B24750">
        <w:rPr>
          <w:rFonts w:asciiTheme="majorHAnsi" w:hAnsiTheme="majorHAnsi"/>
          <w:sz w:val="20"/>
          <w:szCs w:val="20"/>
          <w:bdr w:val="none" w:sz="0" w:space="0" w:color="auto"/>
          <w:lang w:val="en-US"/>
        </w:rPr>
        <w:t xml:space="preserve">government </w:t>
      </w:r>
      <w:r w:rsidRPr="00B24750">
        <w:rPr>
          <w:rFonts w:asciiTheme="majorHAnsi" w:hAnsiTheme="majorHAnsi"/>
          <w:sz w:val="20"/>
          <w:szCs w:val="20"/>
          <w:bdr w:val="none" w:sz="0" w:space="0" w:color="auto"/>
          <w:lang w:val="en-US"/>
        </w:rPr>
        <w:t xml:space="preserve">intervention that limits or hinders this right.  As for its collective dimension, it is the right and freedom to </w:t>
      </w:r>
      <w:r w:rsidR="00DB5415" w:rsidRPr="00B24750">
        <w:rPr>
          <w:rFonts w:asciiTheme="majorHAnsi" w:hAnsiTheme="majorHAnsi"/>
          <w:sz w:val="20"/>
          <w:szCs w:val="20"/>
          <w:bdr w:val="none" w:sz="0" w:space="0" w:color="auto"/>
          <w:lang w:val="en-US"/>
        </w:rPr>
        <w:t xml:space="preserve">pursue </w:t>
      </w:r>
      <w:r w:rsidRPr="00B24750">
        <w:rPr>
          <w:rFonts w:asciiTheme="majorHAnsi" w:hAnsiTheme="majorHAnsi"/>
          <w:sz w:val="20"/>
          <w:szCs w:val="20"/>
          <w:bdr w:val="none" w:sz="0" w:space="0" w:color="auto"/>
          <w:lang w:val="en-US"/>
        </w:rPr>
        <w:t xml:space="preserve">a lawful </w:t>
      </w:r>
      <w:r w:rsidR="00DB5415" w:rsidRPr="00B24750">
        <w:rPr>
          <w:rFonts w:asciiTheme="majorHAnsi" w:hAnsiTheme="majorHAnsi"/>
          <w:sz w:val="20"/>
          <w:szCs w:val="20"/>
          <w:bdr w:val="none" w:sz="0" w:space="0" w:color="auto"/>
          <w:lang w:val="en-US"/>
        </w:rPr>
        <w:t>aim</w:t>
      </w:r>
      <w:r w:rsidRPr="00B24750">
        <w:rPr>
          <w:rFonts w:asciiTheme="majorHAnsi" w:hAnsiTheme="majorHAnsi"/>
          <w:sz w:val="20"/>
          <w:szCs w:val="20"/>
          <w:bdr w:val="none" w:sz="0" w:space="0" w:color="auto"/>
          <w:lang w:val="en-US"/>
        </w:rPr>
        <w:t xml:space="preserve">, without pressure or interference that may alter or </w:t>
      </w:r>
      <w:r w:rsidR="00DB5415" w:rsidRPr="00B24750">
        <w:rPr>
          <w:rFonts w:asciiTheme="majorHAnsi" w:hAnsiTheme="majorHAnsi"/>
          <w:sz w:val="20"/>
          <w:szCs w:val="20"/>
          <w:bdr w:val="none" w:sz="0" w:space="0" w:color="auto"/>
          <w:lang w:val="en-US"/>
        </w:rPr>
        <w:t>change</w:t>
      </w:r>
      <w:r w:rsidRPr="00B24750">
        <w:rPr>
          <w:rFonts w:asciiTheme="majorHAnsi" w:hAnsiTheme="majorHAnsi"/>
          <w:sz w:val="20"/>
          <w:szCs w:val="20"/>
          <w:bdr w:val="none" w:sz="0" w:space="0" w:color="auto"/>
          <w:lang w:val="en-US"/>
        </w:rPr>
        <w:t xml:space="preserve"> its purpose.</w:t>
      </w:r>
      <w:r w:rsidRPr="00B24750">
        <w:rPr>
          <w:rFonts w:asciiTheme="majorHAnsi" w:hAnsiTheme="majorHAnsi"/>
          <w:sz w:val="20"/>
          <w:szCs w:val="20"/>
          <w:bdr w:val="none" w:sz="0" w:space="0" w:color="auto"/>
          <w:vertAlign w:val="superscript"/>
          <w:lang w:val="en-US"/>
        </w:rPr>
        <w:footnoteReference w:id="209"/>
      </w:r>
    </w:p>
    <w:p w14:paraId="3D733363" w14:textId="77777777" w:rsidR="00B37967" w:rsidRPr="00B24750" w:rsidRDefault="00B37967" w:rsidP="00167D7C">
      <w:pPr>
        <w:pStyle w:val="ListParagraph"/>
        <w:rPr>
          <w:rFonts w:asciiTheme="majorHAnsi" w:hAnsiTheme="majorHAnsi"/>
          <w:sz w:val="20"/>
          <w:szCs w:val="20"/>
          <w:bdr w:val="none" w:sz="0" w:space="0" w:color="auto"/>
        </w:rPr>
      </w:pPr>
    </w:p>
    <w:p w14:paraId="596CC94B" w14:textId="735EA988" w:rsidR="00B37967" w:rsidRPr="00B24750" w:rsidRDefault="00DB541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lang w:val="en-US"/>
        </w:rPr>
        <w:t xml:space="preserve">Unlike freedom of association, the right of assembly does not necessarily </w:t>
      </w:r>
      <w:r w:rsidR="00BB2D37" w:rsidRPr="00B24750">
        <w:rPr>
          <w:rFonts w:asciiTheme="majorHAnsi" w:hAnsiTheme="majorHAnsi"/>
          <w:sz w:val="20"/>
          <w:szCs w:val="20"/>
          <w:lang w:val="en-US"/>
        </w:rPr>
        <w:t>entail</w:t>
      </w:r>
      <w:r w:rsidRPr="00B24750">
        <w:rPr>
          <w:rFonts w:asciiTheme="majorHAnsi" w:hAnsiTheme="majorHAnsi"/>
          <w:sz w:val="20"/>
          <w:szCs w:val="20"/>
          <w:lang w:val="en-US"/>
        </w:rPr>
        <w:t xml:space="preserve"> the creation of or participation in an entity or organization</w:t>
      </w:r>
      <w:r w:rsidR="001A7354">
        <w:rPr>
          <w:rFonts w:asciiTheme="majorHAnsi" w:hAnsiTheme="majorHAnsi"/>
          <w:sz w:val="20"/>
          <w:szCs w:val="20"/>
          <w:lang w:val="en-US"/>
        </w:rPr>
        <w:t>. It</w:t>
      </w:r>
      <w:r w:rsidRPr="00B24750">
        <w:rPr>
          <w:rFonts w:asciiTheme="majorHAnsi" w:hAnsiTheme="majorHAnsi"/>
          <w:sz w:val="20"/>
          <w:szCs w:val="20"/>
          <w:lang w:val="en-US"/>
        </w:rPr>
        <w:t xml:space="preserve"> may </w:t>
      </w:r>
      <w:r w:rsidR="00BB2D37" w:rsidRPr="00B24750">
        <w:rPr>
          <w:rFonts w:asciiTheme="majorHAnsi" w:hAnsiTheme="majorHAnsi"/>
          <w:sz w:val="20"/>
          <w:szCs w:val="20"/>
          <w:lang w:val="en-US"/>
        </w:rPr>
        <w:t>take the form of</w:t>
      </w:r>
      <w:r w:rsidRPr="00B24750">
        <w:rPr>
          <w:rFonts w:asciiTheme="majorHAnsi" w:hAnsiTheme="majorHAnsi"/>
          <w:sz w:val="20"/>
          <w:szCs w:val="20"/>
          <w:lang w:val="en-US"/>
        </w:rPr>
        <w:t xml:space="preserve"> a sporadic </w:t>
      </w:r>
      <w:r w:rsidR="00BB2D37" w:rsidRPr="00B24750">
        <w:rPr>
          <w:rFonts w:asciiTheme="majorHAnsi" w:hAnsiTheme="majorHAnsi"/>
          <w:sz w:val="20"/>
          <w:szCs w:val="20"/>
          <w:lang w:val="en-US"/>
        </w:rPr>
        <w:t>meeting</w:t>
      </w:r>
      <w:r w:rsidRPr="00B24750">
        <w:rPr>
          <w:rFonts w:asciiTheme="majorHAnsi" w:hAnsiTheme="majorHAnsi"/>
          <w:sz w:val="20"/>
          <w:szCs w:val="20"/>
          <w:lang w:val="en-US"/>
        </w:rPr>
        <w:t xml:space="preserve"> or congregation to </w:t>
      </w:r>
      <w:r w:rsidR="00BB2D37" w:rsidRPr="00B24750">
        <w:rPr>
          <w:rFonts w:asciiTheme="majorHAnsi" w:hAnsiTheme="majorHAnsi"/>
          <w:sz w:val="20"/>
          <w:szCs w:val="20"/>
          <w:lang w:val="en-US"/>
        </w:rPr>
        <w:t>achieve the most</w:t>
      </w:r>
      <w:r w:rsidRPr="00B24750">
        <w:rPr>
          <w:rFonts w:asciiTheme="majorHAnsi" w:hAnsiTheme="majorHAnsi"/>
          <w:sz w:val="20"/>
          <w:szCs w:val="20"/>
          <w:lang w:val="en-US"/>
        </w:rPr>
        <w:t xml:space="preserve"> diverse purposes</w:t>
      </w:r>
      <w:r w:rsidR="00BB2D37" w:rsidRPr="00B24750">
        <w:rPr>
          <w:rFonts w:asciiTheme="majorHAnsi" w:hAnsiTheme="majorHAnsi"/>
          <w:sz w:val="20"/>
          <w:szCs w:val="20"/>
          <w:lang w:val="en-US"/>
        </w:rPr>
        <w:t>,</w:t>
      </w:r>
      <w:r w:rsidRPr="00B24750">
        <w:rPr>
          <w:rFonts w:asciiTheme="majorHAnsi" w:hAnsiTheme="majorHAnsi"/>
          <w:sz w:val="20"/>
          <w:szCs w:val="20"/>
          <w:lang w:val="en-US"/>
        </w:rPr>
        <w:t xml:space="preserve"> </w:t>
      </w:r>
      <w:r w:rsidR="00BB2D37" w:rsidRPr="00B24750">
        <w:rPr>
          <w:rFonts w:asciiTheme="majorHAnsi" w:hAnsiTheme="majorHAnsi"/>
          <w:sz w:val="20"/>
          <w:szCs w:val="20"/>
          <w:lang w:val="en-US"/>
        </w:rPr>
        <w:t>so</w:t>
      </w:r>
      <w:r w:rsidRPr="00B24750">
        <w:rPr>
          <w:rFonts w:asciiTheme="majorHAnsi" w:hAnsiTheme="majorHAnsi"/>
          <w:sz w:val="20"/>
          <w:szCs w:val="20"/>
          <w:lang w:val="en-US"/>
        </w:rPr>
        <w:t xml:space="preserve"> long as the</w:t>
      </w:r>
      <w:r w:rsidR="00BB2D37" w:rsidRPr="00B24750">
        <w:rPr>
          <w:rFonts w:asciiTheme="majorHAnsi" w:hAnsiTheme="majorHAnsi"/>
          <w:sz w:val="20"/>
          <w:szCs w:val="20"/>
          <w:lang w:val="en-US"/>
        </w:rPr>
        <w:t>y</w:t>
      </w:r>
      <w:r w:rsidRPr="00B24750">
        <w:rPr>
          <w:rFonts w:asciiTheme="majorHAnsi" w:hAnsiTheme="majorHAnsi"/>
          <w:sz w:val="20"/>
          <w:szCs w:val="20"/>
          <w:lang w:val="en-US"/>
        </w:rPr>
        <w:t xml:space="preserve"> are peaceful and legitimate</w:t>
      </w:r>
      <w:r w:rsidR="00BB2D37"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210"/>
      </w:r>
      <w:r w:rsidRPr="00B24750">
        <w:rPr>
          <w:rFonts w:asciiTheme="majorHAnsi" w:hAnsiTheme="majorHAnsi"/>
          <w:sz w:val="20"/>
          <w:szCs w:val="20"/>
          <w:lang w:val="en-US"/>
        </w:rPr>
        <w:t xml:space="preserve"> </w:t>
      </w:r>
      <w:r w:rsidR="00BB2D37" w:rsidRPr="00B24750">
        <w:rPr>
          <w:rFonts w:asciiTheme="majorHAnsi" w:hAnsiTheme="majorHAnsi"/>
          <w:sz w:val="20"/>
          <w:szCs w:val="20"/>
          <w:lang w:val="en-US"/>
        </w:rPr>
        <w:t>In contrast, p</w:t>
      </w:r>
      <w:r w:rsidRPr="00B24750">
        <w:rPr>
          <w:rFonts w:asciiTheme="majorHAnsi" w:hAnsiTheme="majorHAnsi"/>
          <w:sz w:val="20"/>
          <w:szCs w:val="20"/>
          <w:lang w:val="en-US"/>
        </w:rPr>
        <w:t xml:space="preserve">ersons who gather </w:t>
      </w:r>
      <w:r w:rsidR="00BB2D37" w:rsidRPr="00B24750">
        <w:rPr>
          <w:rFonts w:asciiTheme="majorHAnsi" w:hAnsiTheme="majorHAnsi"/>
          <w:sz w:val="20"/>
          <w:szCs w:val="20"/>
          <w:lang w:val="en-US"/>
        </w:rPr>
        <w:t xml:space="preserve">to exercise </w:t>
      </w:r>
      <w:r w:rsidRPr="00B24750">
        <w:rPr>
          <w:rFonts w:asciiTheme="majorHAnsi" w:hAnsiTheme="majorHAnsi"/>
          <w:sz w:val="20"/>
          <w:szCs w:val="20"/>
          <w:lang w:val="en-US"/>
        </w:rPr>
        <w:t xml:space="preserve">the right of association do not do so sporadically but </w:t>
      </w:r>
      <w:r w:rsidR="00BB2D37" w:rsidRPr="00B24750">
        <w:rPr>
          <w:rFonts w:asciiTheme="majorHAnsi" w:hAnsiTheme="majorHAnsi"/>
          <w:sz w:val="20"/>
          <w:szCs w:val="20"/>
          <w:lang w:val="en-US"/>
        </w:rPr>
        <w:t>tend to meet continuously over time</w:t>
      </w:r>
      <w:r w:rsidR="008B04C4" w:rsidRPr="00B24750">
        <w:rPr>
          <w:rFonts w:asciiTheme="majorHAnsi" w:hAnsiTheme="majorHAnsi"/>
          <w:sz w:val="20"/>
          <w:szCs w:val="20"/>
          <w:lang w:val="en-US"/>
        </w:rPr>
        <w:t>.</w:t>
      </w:r>
    </w:p>
    <w:p w14:paraId="1004F68F"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71FCB56F" w14:textId="119AB6BA" w:rsidR="00FF5B55" w:rsidRPr="00B24750" w:rsidRDefault="00F0748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The rights enshrined in Articles XXI and XXII of the American Declaration are not absolute; however, to be legitimate, any restrictions on them must be expressly established by law and be necessary to ensure respect for the rights of others or the protection of national security, public order, or public health or morals.</w:t>
      </w:r>
      <w:r w:rsidRPr="00B24750">
        <w:rPr>
          <w:rFonts w:asciiTheme="majorHAnsi" w:hAnsiTheme="majorHAnsi"/>
          <w:sz w:val="20"/>
          <w:szCs w:val="20"/>
          <w:bdr w:val="none" w:sz="0" w:space="0" w:color="auto"/>
          <w:vertAlign w:val="superscript"/>
          <w:lang w:val="en-US"/>
        </w:rPr>
        <w:footnoteReference w:id="211"/>
      </w:r>
      <w:r w:rsidRPr="00B24750">
        <w:rPr>
          <w:rFonts w:asciiTheme="majorHAnsi" w:hAnsiTheme="majorHAnsi"/>
          <w:sz w:val="20"/>
          <w:szCs w:val="20"/>
          <w:bdr w:val="none" w:sz="0" w:space="0" w:color="auto"/>
          <w:lang w:val="en-US"/>
        </w:rPr>
        <w:t xml:space="preserve"> Hence, for example, the Commission has referred to the baseless arrest of participants in peaceful demonstrations as a violation of freedom of assembly.</w:t>
      </w:r>
      <w:r w:rsidRPr="00B24750">
        <w:rPr>
          <w:rFonts w:asciiTheme="majorHAnsi" w:hAnsiTheme="majorHAnsi"/>
          <w:sz w:val="20"/>
          <w:szCs w:val="20"/>
          <w:bdr w:val="none" w:sz="0" w:space="0" w:color="auto"/>
          <w:vertAlign w:val="superscript"/>
          <w:lang w:val="en-US"/>
        </w:rPr>
        <w:footnoteReference w:id="212"/>
      </w:r>
    </w:p>
    <w:p w14:paraId="4DA36A46"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06C9548B" w14:textId="5C06A669" w:rsidR="00FF5B55" w:rsidRPr="00B24750" w:rsidRDefault="006E62A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Pr>
          <w:rFonts w:asciiTheme="majorHAnsi" w:hAnsiTheme="majorHAnsi"/>
          <w:sz w:val="20"/>
          <w:szCs w:val="20"/>
          <w:bdr w:val="none" w:sz="0" w:space="0" w:color="auto"/>
          <w:lang w:val="en-US"/>
        </w:rPr>
        <w:t xml:space="preserve">Here, </w:t>
      </w:r>
      <w:r w:rsidR="002D6A3F" w:rsidRPr="00B24750">
        <w:rPr>
          <w:rFonts w:asciiTheme="majorHAnsi" w:hAnsiTheme="majorHAnsi"/>
          <w:sz w:val="20"/>
          <w:szCs w:val="20"/>
          <w:bdr w:val="none" w:sz="0" w:space="0" w:color="auto"/>
          <w:lang w:val="en-US"/>
        </w:rPr>
        <w:t xml:space="preserve">the IACHR notes that </w:t>
      </w:r>
      <w:proofErr w:type="spellStart"/>
      <w:r w:rsidR="002D6A3F" w:rsidRPr="00B24750">
        <w:rPr>
          <w:rFonts w:asciiTheme="majorHAnsi" w:hAnsiTheme="majorHAnsi"/>
          <w:sz w:val="20"/>
          <w:szCs w:val="20"/>
          <w:bdr w:val="none" w:sz="0" w:space="0" w:color="auto"/>
          <w:lang w:val="en-US"/>
        </w:rPr>
        <w:t>Yoani</w:t>
      </w:r>
      <w:proofErr w:type="spellEnd"/>
      <w:r w:rsidR="002D6A3F" w:rsidRPr="00B24750">
        <w:rPr>
          <w:rFonts w:asciiTheme="majorHAnsi" w:hAnsiTheme="majorHAnsi"/>
          <w:sz w:val="20"/>
          <w:szCs w:val="20"/>
          <w:bdr w:val="none" w:sz="0" w:space="0" w:color="auto"/>
          <w:lang w:val="en-US"/>
        </w:rPr>
        <w:t xml:space="preserve"> Sánchez was barred from public places, especially venues for cultural events or public lectures, without State agents establishing any grounds for the legitimacy of this prohibition. </w:t>
      </w:r>
      <w:proofErr w:type="spellStart"/>
      <w:r w:rsidR="002D6A3F" w:rsidRPr="00B24750">
        <w:rPr>
          <w:rFonts w:asciiTheme="majorHAnsi" w:hAnsiTheme="majorHAnsi"/>
          <w:sz w:val="20"/>
          <w:szCs w:val="20"/>
          <w:bdr w:val="none" w:sz="0" w:space="0" w:color="auto"/>
          <w:lang w:val="en-US"/>
        </w:rPr>
        <w:t>Yoani</w:t>
      </w:r>
      <w:proofErr w:type="spellEnd"/>
      <w:r w:rsidR="002D6A3F" w:rsidRPr="00B24750">
        <w:rPr>
          <w:rFonts w:asciiTheme="majorHAnsi" w:hAnsiTheme="majorHAnsi"/>
          <w:sz w:val="20"/>
          <w:szCs w:val="20"/>
          <w:bdr w:val="none" w:sz="0" w:space="0" w:color="auto"/>
          <w:lang w:val="en-US"/>
        </w:rPr>
        <w:t xml:space="preserve"> Sánchez was also summoned by the police in December 2008 as a warning to stop organizing an event for bloggers, who were considered counterrevolutionaries. The police warned </w:t>
      </w:r>
      <w:proofErr w:type="spellStart"/>
      <w:r w:rsidR="002D6A3F" w:rsidRPr="00B24750">
        <w:rPr>
          <w:rFonts w:asciiTheme="majorHAnsi" w:hAnsiTheme="majorHAnsi"/>
          <w:sz w:val="20"/>
          <w:szCs w:val="20"/>
          <w:bdr w:val="none" w:sz="0" w:space="0" w:color="auto"/>
          <w:lang w:val="en-US"/>
        </w:rPr>
        <w:t>Yoani</w:t>
      </w:r>
      <w:proofErr w:type="spellEnd"/>
      <w:r w:rsidR="002D6A3F" w:rsidRPr="00B24750">
        <w:rPr>
          <w:rFonts w:asciiTheme="majorHAnsi" w:hAnsiTheme="majorHAnsi"/>
          <w:sz w:val="20"/>
          <w:szCs w:val="20"/>
          <w:bdr w:val="none" w:sz="0" w:space="0" w:color="auto"/>
          <w:lang w:val="en-US"/>
        </w:rPr>
        <w:t xml:space="preserve"> that such an event would not be allowed, so although they did meet, they did so online and not in person as planned. </w:t>
      </w:r>
      <w:r w:rsidR="00EE0FEB" w:rsidRPr="00B24750">
        <w:rPr>
          <w:rFonts w:asciiTheme="majorHAnsi" w:hAnsiTheme="majorHAnsi"/>
          <w:sz w:val="20"/>
          <w:szCs w:val="20"/>
          <w:bdr w:val="none" w:sz="0" w:space="0" w:color="auto"/>
          <w:lang w:val="en-US"/>
        </w:rPr>
        <w:t>The</w:t>
      </w:r>
      <w:r w:rsidR="002D6A3F" w:rsidRPr="00B24750">
        <w:rPr>
          <w:rFonts w:asciiTheme="majorHAnsi" w:hAnsiTheme="majorHAnsi"/>
          <w:sz w:val="20"/>
          <w:szCs w:val="20"/>
          <w:bdr w:val="none" w:sz="0" w:space="0" w:color="auto"/>
          <w:lang w:val="en-US"/>
        </w:rPr>
        <w:t xml:space="preserve"> alleged victim was </w:t>
      </w:r>
      <w:r w:rsidR="00EE0FEB" w:rsidRPr="00B24750">
        <w:rPr>
          <w:rFonts w:asciiTheme="majorHAnsi" w:hAnsiTheme="majorHAnsi"/>
          <w:sz w:val="20"/>
          <w:szCs w:val="20"/>
          <w:bdr w:val="none" w:sz="0" w:space="0" w:color="auto"/>
          <w:lang w:val="en-US"/>
        </w:rPr>
        <w:t xml:space="preserve">also </w:t>
      </w:r>
      <w:r w:rsidR="002D6A3F" w:rsidRPr="00B24750">
        <w:rPr>
          <w:rFonts w:asciiTheme="majorHAnsi" w:hAnsiTheme="majorHAnsi"/>
          <w:sz w:val="20"/>
          <w:szCs w:val="20"/>
          <w:bdr w:val="none" w:sz="0" w:space="0" w:color="auto"/>
          <w:lang w:val="en-US"/>
        </w:rPr>
        <w:t xml:space="preserve">arbitrarily detained while on her way to the celebration and demonstration </w:t>
      </w:r>
      <w:r w:rsidR="00EE0FEB" w:rsidRPr="00B24750">
        <w:rPr>
          <w:rFonts w:asciiTheme="majorHAnsi" w:hAnsiTheme="majorHAnsi"/>
          <w:sz w:val="20"/>
          <w:szCs w:val="20"/>
          <w:bdr w:val="none" w:sz="0" w:space="0" w:color="auto"/>
          <w:lang w:val="en-US"/>
        </w:rPr>
        <w:t>after</w:t>
      </w:r>
      <w:r w:rsidR="002D6A3F" w:rsidRPr="00B24750">
        <w:rPr>
          <w:rFonts w:asciiTheme="majorHAnsi" w:hAnsiTheme="majorHAnsi"/>
          <w:sz w:val="20"/>
          <w:szCs w:val="20"/>
          <w:bdr w:val="none" w:sz="0" w:space="0" w:color="auto"/>
          <w:lang w:val="en-US"/>
        </w:rPr>
        <w:t xml:space="preserve"> the death of Oswaldo </w:t>
      </w:r>
      <w:proofErr w:type="spellStart"/>
      <w:r w:rsidR="002D6A3F" w:rsidRPr="00B24750">
        <w:rPr>
          <w:rFonts w:asciiTheme="majorHAnsi" w:hAnsiTheme="majorHAnsi"/>
          <w:sz w:val="20"/>
          <w:szCs w:val="20"/>
          <w:bdr w:val="none" w:sz="0" w:space="0" w:color="auto"/>
          <w:lang w:val="en-US"/>
        </w:rPr>
        <w:t>Pay</w:t>
      </w:r>
      <w:r w:rsidR="00FB03F4" w:rsidRPr="00B24750">
        <w:rPr>
          <w:rFonts w:asciiTheme="majorHAnsi" w:hAnsiTheme="majorHAnsi"/>
          <w:sz w:val="20"/>
          <w:szCs w:val="20"/>
          <w:bdr w:val="none" w:sz="0" w:space="0" w:color="auto"/>
          <w:lang w:val="en-US"/>
        </w:rPr>
        <w:t>á</w:t>
      </w:r>
      <w:proofErr w:type="spellEnd"/>
      <w:r w:rsidR="00860794" w:rsidRPr="00B24750">
        <w:rPr>
          <w:rFonts w:asciiTheme="majorHAnsi" w:hAnsiTheme="majorHAnsi"/>
          <w:sz w:val="20"/>
          <w:szCs w:val="20"/>
          <w:bdr w:val="none" w:sz="0" w:space="0" w:color="auto"/>
          <w:lang w:val="en-US"/>
        </w:rPr>
        <w:t>.</w:t>
      </w:r>
    </w:p>
    <w:p w14:paraId="067EC472"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74BD1DA7" w14:textId="163C6A5E" w:rsidR="00FF5B55" w:rsidRPr="00B24750" w:rsidRDefault="00FA0E4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In previous cases, the IACHR has noted that “the Cuban authorities’ intolerance of any form of political opposition is the principal cause of the constraints placed on freedom of assembly and association.”</w:t>
      </w:r>
      <w:r w:rsidRPr="00B24750">
        <w:rPr>
          <w:rFonts w:asciiTheme="majorHAnsi" w:hAnsiTheme="majorHAnsi"/>
          <w:sz w:val="20"/>
          <w:szCs w:val="20"/>
          <w:bdr w:val="none" w:sz="0" w:space="0" w:color="auto"/>
          <w:vertAlign w:val="superscript"/>
          <w:lang w:val="en-US"/>
        </w:rPr>
        <w:footnoteReference w:id="213"/>
      </w:r>
      <w:r w:rsidRPr="00B24750">
        <w:rPr>
          <w:rFonts w:asciiTheme="majorHAnsi" w:hAnsiTheme="majorHAnsi"/>
          <w:sz w:val="20"/>
          <w:szCs w:val="20"/>
          <w:bdr w:val="none" w:sz="0" w:space="0" w:color="auto"/>
          <w:lang w:val="en-US"/>
        </w:rPr>
        <w:t xml:space="preserve"> </w:t>
      </w:r>
      <w:r w:rsidR="003D2A2B" w:rsidRPr="003D2A2B">
        <w:rPr>
          <w:rFonts w:ascii="Cambria" w:hAnsi="Cambria"/>
          <w:sz w:val="20"/>
          <w:szCs w:val="20"/>
          <w:bdr w:val="none" w:sz="0" w:space="0" w:color="auto"/>
          <w:lang w:val="en-US"/>
        </w:rPr>
        <w:t xml:space="preserve">In the case at hand, the IACHR finds that the State kept </w:t>
      </w:r>
      <w:proofErr w:type="spellStart"/>
      <w:r w:rsidR="003D2A2B" w:rsidRPr="003D2A2B">
        <w:rPr>
          <w:rFonts w:ascii="Cambria" w:hAnsi="Cambria"/>
          <w:sz w:val="20"/>
          <w:szCs w:val="20"/>
          <w:bdr w:val="none" w:sz="0" w:space="0" w:color="auto"/>
          <w:lang w:val="en-US"/>
        </w:rPr>
        <w:t>Yoani</w:t>
      </w:r>
      <w:proofErr w:type="spellEnd"/>
      <w:r w:rsidR="003D2A2B" w:rsidRPr="003D2A2B">
        <w:rPr>
          <w:rFonts w:ascii="Cambria" w:hAnsi="Cambria"/>
          <w:sz w:val="20"/>
          <w:szCs w:val="20"/>
          <w:bdr w:val="none" w:sz="0" w:space="0" w:color="auto"/>
          <w:lang w:val="en-US"/>
        </w:rPr>
        <w:t xml:space="preserve"> S</w:t>
      </w:r>
      <w:r w:rsidR="002D2C06">
        <w:rPr>
          <w:rFonts w:ascii="Cambria" w:hAnsi="Cambria"/>
          <w:sz w:val="20"/>
          <w:szCs w:val="20"/>
          <w:bdr w:val="none" w:sz="0" w:space="0" w:color="auto"/>
          <w:lang w:val="en-US"/>
        </w:rPr>
        <w:t>á</w:t>
      </w:r>
      <w:r w:rsidR="003D2A2B" w:rsidRPr="003D2A2B">
        <w:rPr>
          <w:rFonts w:ascii="Cambria" w:hAnsi="Cambria"/>
          <w:sz w:val="20"/>
          <w:szCs w:val="20"/>
          <w:bdr w:val="none" w:sz="0" w:space="0" w:color="auto"/>
          <w:lang w:val="en-US"/>
        </w:rPr>
        <w:t xml:space="preserve">nchez from exercising her right of assembly on several </w:t>
      </w:r>
      <w:r w:rsidR="003D2A2B" w:rsidRPr="003D2A2B">
        <w:rPr>
          <w:rFonts w:ascii="Cambria" w:hAnsi="Cambria"/>
          <w:sz w:val="20"/>
          <w:szCs w:val="20"/>
          <w:bdr w:val="none" w:sz="0" w:space="0" w:color="auto"/>
          <w:lang w:val="en-US"/>
        </w:rPr>
        <w:lastRenderedPageBreak/>
        <w:t>occasions to prevent her from sharing her thoughts with others, while sending a collective message about the consequences for like-minded people, which does not constitute a legitimate restriction of this right.</w:t>
      </w:r>
      <w:r w:rsidR="003D2A2B" w:rsidRPr="003D2A2B">
        <w:rPr>
          <w:rFonts w:asciiTheme="majorHAnsi" w:hAnsiTheme="majorHAnsi"/>
          <w:sz w:val="20"/>
          <w:szCs w:val="20"/>
          <w:bdr w:val="none" w:sz="0" w:space="0" w:color="auto"/>
          <w:lang w:val="en-US"/>
        </w:rPr>
        <w:t xml:space="preserve"> </w:t>
      </w:r>
      <w:r w:rsidRPr="00B24750">
        <w:rPr>
          <w:rFonts w:asciiTheme="majorHAnsi" w:hAnsiTheme="majorHAnsi"/>
          <w:sz w:val="20"/>
          <w:szCs w:val="20"/>
          <w:bdr w:val="none" w:sz="0" w:space="0" w:color="auto"/>
          <w:lang w:val="en-US"/>
        </w:rPr>
        <w:t xml:space="preserve">Therefore, the Commission concludes that the State violated the right to freedom of assembly enshrined in Article XXI of the American Declaration to the detriment of </w:t>
      </w:r>
      <w:proofErr w:type="spellStart"/>
      <w:r w:rsidRPr="00B24750">
        <w:rPr>
          <w:rFonts w:asciiTheme="majorHAnsi" w:hAnsiTheme="majorHAnsi"/>
          <w:sz w:val="20"/>
          <w:szCs w:val="20"/>
          <w:bdr w:val="none" w:sz="0" w:space="0" w:color="auto"/>
          <w:lang w:val="en-US"/>
        </w:rPr>
        <w:t>Yoani</w:t>
      </w:r>
      <w:proofErr w:type="spellEnd"/>
      <w:r w:rsidRPr="00B24750">
        <w:rPr>
          <w:rFonts w:asciiTheme="majorHAnsi" w:hAnsiTheme="majorHAnsi"/>
          <w:sz w:val="20"/>
          <w:szCs w:val="20"/>
          <w:bdr w:val="none" w:sz="0" w:space="0" w:color="auto"/>
          <w:lang w:val="en-US"/>
        </w:rPr>
        <w:t xml:space="preserve"> Sánchez</w:t>
      </w:r>
      <w:r w:rsidR="00F93738" w:rsidRPr="00B24750">
        <w:rPr>
          <w:rFonts w:asciiTheme="majorHAnsi" w:hAnsiTheme="majorHAnsi"/>
          <w:sz w:val="20"/>
          <w:szCs w:val="20"/>
          <w:bdr w:val="none" w:sz="0" w:space="0" w:color="auto"/>
          <w:lang w:val="en-US"/>
        </w:rPr>
        <w:t>.</w:t>
      </w:r>
    </w:p>
    <w:p w14:paraId="03C5504F" w14:textId="77777777" w:rsidR="005D249D" w:rsidRPr="00B24750" w:rsidRDefault="005D249D" w:rsidP="00167D7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3FED587B" w14:textId="798F9A0E" w:rsidR="00FA190E" w:rsidRDefault="006E62A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Pr>
          <w:rFonts w:asciiTheme="majorHAnsi" w:hAnsiTheme="majorHAnsi"/>
          <w:sz w:val="20"/>
          <w:szCs w:val="20"/>
          <w:bdr w:val="none" w:sz="0" w:space="0" w:color="auto"/>
          <w:lang w:val="en-US"/>
        </w:rPr>
        <w:t xml:space="preserve">Regarding </w:t>
      </w:r>
      <w:r w:rsidR="00CB3A33" w:rsidRPr="00B24750">
        <w:rPr>
          <w:rFonts w:asciiTheme="majorHAnsi" w:hAnsiTheme="majorHAnsi"/>
          <w:sz w:val="20"/>
          <w:szCs w:val="20"/>
          <w:bdr w:val="none" w:sz="0" w:space="0" w:color="auto"/>
          <w:lang w:val="en-US"/>
        </w:rPr>
        <w:t xml:space="preserve">freedom of association, the IACHR notes that it has neither been alleged nor </w:t>
      </w:r>
      <w:r w:rsidR="00185D7B" w:rsidRPr="00B24750">
        <w:rPr>
          <w:rFonts w:asciiTheme="majorHAnsi" w:hAnsiTheme="majorHAnsi"/>
          <w:sz w:val="20"/>
          <w:szCs w:val="20"/>
          <w:bdr w:val="none" w:sz="0" w:space="0" w:color="auto"/>
          <w:lang w:val="en-US"/>
        </w:rPr>
        <w:t>inferred</w:t>
      </w:r>
      <w:r w:rsidR="00CB3A33" w:rsidRPr="00B24750">
        <w:rPr>
          <w:rFonts w:asciiTheme="majorHAnsi" w:hAnsiTheme="majorHAnsi"/>
          <w:sz w:val="20"/>
          <w:szCs w:val="20"/>
          <w:bdr w:val="none" w:sz="0" w:space="0" w:color="auto"/>
          <w:lang w:val="en-US"/>
        </w:rPr>
        <w:t xml:space="preserve"> from the case file that the State </w:t>
      </w:r>
      <w:r w:rsidR="008301D0" w:rsidRPr="00B24750">
        <w:rPr>
          <w:rFonts w:asciiTheme="majorHAnsi" w:hAnsiTheme="majorHAnsi"/>
          <w:sz w:val="20"/>
          <w:szCs w:val="20"/>
          <w:bdr w:val="none" w:sz="0" w:space="0" w:color="auto"/>
          <w:lang w:val="en-US"/>
        </w:rPr>
        <w:t xml:space="preserve">has </w:t>
      </w:r>
      <w:r w:rsidR="00CB3A33" w:rsidRPr="00B24750">
        <w:rPr>
          <w:rFonts w:asciiTheme="majorHAnsi" w:hAnsiTheme="majorHAnsi"/>
          <w:sz w:val="20"/>
          <w:szCs w:val="20"/>
          <w:bdr w:val="none" w:sz="0" w:space="0" w:color="auto"/>
          <w:lang w:val="en-US"/>
        </w:rPr>
        <w:t xml:space="preserve">restricted </w:t>
      </w:r>
      <w:proofErr w:type="spellStart"/>
      <w:r w:rsidR="00CB3A33" w:rsidRPr="00B24750">
        <w:rPr>
          <w:rFonts w:asciiTheme="majorHAnsi" w:hAnsiTheme="majorHAnsi"/>
          <w:sz w:val="20"/>
          <w:szCs w:val="20"/>
          <w:bdr w:val="none" w:sz="0" w:space="0" w:color="auto"/>
          <w:lang w:val="en-US"/>
        </w:rPr>
        <w:t>Yoani</w:t>
      </w:r>
      <w:proofErr w:type="spellEnd"/>
      <w:r w:rsidR="00CB3A33" w:rsidRPr="00B24750">
        <w:rPr>
          <w:rFonts w:asciiTheme="majorHAnsi" w:hAnsiTheme="majorHAnsi"/>
          <w:sz w:val="20"/>
          <w:szCs w:val="20"/>
          <w:bdr w:val="none" w:sz="0" w:space="0" w:color="auto"/>
          <w:lang w:val="en-US"/>
        </w:rPr>
        <w:t xml:space="preserve"> Sánchez’s right to create or participate in an association or organization with other persons </w:t>
      </w:r>
      <w:r>
        <w:rPr>
          <w:rFonts w:asciiTheme="majorHAnsi" w:hAnsiTheme="majorHAnsi"/>
          <w:sz w:val="20"/>
          <w:szCs w:val="20"/>
          <w:lang w:val="en-US"/>
        </w:rPr>
        <w:t xml:space="preserve">to act </w:t>
      </w:r>
      <w:r w:rsidR="00CB3A33" w:rsidRPr="00B24750">
        <w:rPr>
          <w:rFonts w:asciiTheme="majorHAnsi" w:hAnsiTheme="majorHAnsi"/>
          <w:sz w:val="20"/>
          <w:szCs w:val="20"/>
          <w:lang w:val="en-US"/>
        </w:rPr>
        <w:t xml:space="preserve">collectively for a common purpose on a continued basis over time, which distinguishes this right from freedom of assembly. </w:t>
      </w:r>
      <w:r w:rsidR="00CB3A33" w:rsidRPr="00B24750">
        <w:rPr>
          <w:rFonts w:asciiTheme="majorHAnsi" w:hAnsiTheme="majorHAnsi"/>
          <w:sz w:val="20"/>
          <w:szCs w:val="20"/>
          <w:bdr w:val="none" w:sz="0" w:space="0" w:color="auto"/>
          <w:lang w:val="en-US"/>
        </w:rPr>
        <w:t xml:space="preserve">Therefore, the Commission concludes that the State is not responsible </w:t>
      </w:r>
      <w:r>
        <w:rPr>
          <w:rFonts w:asciiTheme="majorHAnsi" w:hAnsiTheme="majorHAnsi"/>
          <w:sz w:val="20"/>
          <w:szCs w:val="20"/>
          <w:bdr w:val="none" w:sz="0" w:space="0" w:color="auto"/>
          <w:lang w:val="en-US"/>
        </w:rPr>
        <w:t xml:space="preserve">for violating </w:t>
      </w:r>
      <w:r w:rsidR="00CB3A33" w:rsidRPr="00B24750">
        <w:rPr>
          <w:rFonts w:asciiTheme="majorHAnsi" w:hAnsiTheme="majorHAnsi"/>
          <w:sz w:val="20"/>
          <w:szCs w:val="20"/>
          <w:bdr w:val="none" w:sz="0" w:space="0" w:color="auto"/>
          <w:lang w:val="en-US"/>
        </w:rPr>
        <w:t>the right to freedom of association</w:t>
      </w:r>
      <w:r w:rsidR="00FF5B55" w:rsidRPr="00B24750">
        <w:rPr>
          <w:rFonts w:asciiTheme="majorHAnsi" w:hAnsiTheme="majorHAnsi"/>
          <w:sz w:val="20"/>
          <w:szCs w:val="20"/>
          <w:bdr w:val="none" w:sz="0" w:space="0" w:color="auto"/>
          <w:lang w:val="en-US"/>
        </w:rPr>
        <w:t xml:space="preserve">. </w:t>
      </w:r>
    </w:p>
    <w:p w14:paraId="15161508" w14:textId="77777777" w:rsidR="007B681D" w:rsidRPr="00B24750" w:rsidRDefault="007B681D" w:rsidP="007B681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63D3AF0E" w14:textId="6C7CC2C5" w:rsidR="00FF5B55" w:rsidRPr="007B681D" w:rsidRDefault="00A13CEA" w:rsidP="007B681D">
      <w:pPr>
        <w:pStyle w:val="Heading2"/>
      </w:pPr>
      <w:bookmarkStart w:id="30" w:name="_Toc69391729"/>
      <w:bookmarkStart w:id="31" w:name="_Toc90392482"/>
      <w:r w:rsidRPr="007B681D">
        <w:t xml:space="preserve">Right to </w:t>
      </w:r>
      <w:r w:rsidR="00EB3741" w:rsidRPr="007B681D">
        <w:t xml:space="preserve">the </w:t>
      </w:r>
      <w:r w:rsidRPr="007B681D">
        <w:t>inviolability of the home (Article IX</w:t>
      </w:r>
      <w:r w:rsidR="00DF611E" w:rsidRPr="007B681D">
        <w:t>)</w:t>
      </w:r>
      <w:r w:rsidRPr="007B681D">
        <w:rPr>
          <w:rStyle w:val="FootnoteReference"/>
          <w:vertAlign w:val="baseline"/>
        </w:rPr>
        <w:footnoteReference w:id="214"/>
      </w:r>
      <w:r w:rsidRPr="007B681D">
        <w:t>and the inviolability and transmission of correspondence (Article X)</w:t>
      </w:r>
      <w:r w:rsidRPr="007B681D">
        <w:rPr>
          <w:rStyle w:val="FootnoteReference"/>
          <w:vertAlign w:val="baseline"/>
        </w:rPr>
        <w:footnoteReference w:id="215"/>
      </w:r>
      <w:bookmarkEnd w:id="30"/>
      <w:bookmarkEnd w:id="31"/>
    </w:p>
    <w:p w14:paraId="72F59CAB" w14:textId="77777777" w:rsidR="00D71DFE" w:rsidRPr="00B24750" w:rsidRDefault="00D71DFE" w:rsidP="005F7FE2">
      <w:pPr>
        <w:rPr>
          <w:rFonts w:asciiTheme="majorHAnsi" w:hAnsiTheme="majorHAnsi"/>
          <w:sz w:val="20"/>
          <w:szCs w:val="20"/>
          <w:lang w:val="en-US"/>
        </w:rPr>
      </w:pPr>
    </w:p>
    <w:p w14:paraId="691F86D1" w14:textId="7983EA52" w:rsidR="00C70D01" w:rsidRPr="00B24750" w:rsidRDefault="00EB374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color w:val="000000"/>
          <w:sz w:val="20"/>
          <w:szCs w:val="20"/>
          <w:lang w:val="en-US"/>
        </w:rPr>
        <w:t>The Commission notes that the right to the inviolability of the home is a fundamental right established to guarantee individual</w:t>
      </w:r>
      <w:r w:rsidR="00DF611E" w:rsidRPr="00B24750">
        <w:rPr>
          <w:rFonts w:asciiTheme="majorHAnsi" w:hAnsiTheme="majorHAnsi"/>
          <w:color w:val="000000"/>
          <w:sz w:val="20"/>
          <w:szCs w:val="20"/>
          <w:lang w:val="en-US"/>
        </w:rPr>
        <w:t xml:space="preserve"> </w:t>
      </w:r>
      <w:r w:rsidRPr="00B24750">
        <w:rPr>
          <w:rFonts w:asciiTheme="majorHAnsi" w:hAnsiTheme="majorHAnsi"/>
          <w:color w:val="000000"/>
          <w:sz w:val="20"/>
          <w:szCs w:val="20"/>
          <w:lang w:val="en-US"/>
        </w:rPr>
        <w:t>privacy, which must be free from any outside in</w:t>
      </w:r>
      <w:r w:rsidR="00DF611E" w:rsidRPr="00B24750">
        <w:rPr>
          <w:rFonts w:asciiTheme="majorHAnsi" w:hAnsiTheme="majorHAnsi"/>
          <w:color w:val="000000"/>
          <w:sz w:val="20"/>
          <w:szCs w:val="20"/>
          <w:lang w:val="en-US"/>
        </w:rPr>
        <w:t>trusion</w:t>
      </w:r>
      <w:r w:rsidRPr="00B24750">
        <w:rPr>
          <w:rFonts w:asciiTheme="majorHAnsi" w:hAnsiTheme="majorHAnsi"/>
          <w:color w:val="000000"/>
          <w:sz w:val="20"/>
          <w:szCs w:val="20"/>
          <w:lang w:val="en-US"/>
        </w:rPr>
        <w:t>, whether by third parties or by the authorities.</w:t>
      </w:r>
      <w:r w:rsidRPr="00B24750">
        <w:rPr>
          <w:rStyle w:val="FootnoteReference"/>
          <w:rFonts w:asciiTheme="majorHAnsi" w:hAnsiTheme="majorHAnsi"/>
          <w:color w:val="000000"/>
          <w:sz w:val="20"/>
          <w:szCs w:val="20"/>
          <w:lang w:val="en-US"/>
        </w:rPr>
        <w:footnoteReference w:id="216"/>
      </w:r>
      <w:r w:rsidRPr="00B24750">
        <w:rPr>
          <w:rFonts w:asciiTheme="majorHAnsi" w:hAnsiTheme="majorHAnsi"/>
          <w:color w:val="000000"/>
          <w:sz w:val="20"/>
          <w:szCs w:val="20"/>
          <w:lang w:val="en-US"/>
        </w:rPr>
        <w:t xml:space="preserve"> </w:t>
      </w:r>
      <w:r w:rsidRPr="00B24750">
        <w:rPr>
          <w:rFonts w:asciiTheme="majorHAnsi" w:hAnsiTheme="majorHAnsi"/>
          <w:sz w:val="20"/>
          <w:szCs w:val="20"/>
          <w:bdr w:val="none" w:sz="0" w:space="0" w:color="auto"/>
          <w:lang w:val="en-US"/>
        </w:rPr>
        <w:t xml:space="preserve">Protection from arbitrary or abusive interference with the home </w:t>
      </w:r>
      <w:r w:rsidR="00DF611E" w:rsidRPr="00B24750">
        <w:rPr>
          <w:rFonts w:asciiTheme="majorHAnsi" w:hAnsiTheme="majorHAnsi"/>
          <w:sz w:val="20"/>
          <w:szCs w:val="20"/>
          <w:bdr w:val="none" w:sz="0" w:space="0" w:color="auto"/>
          <w:lang w:val="en-US"/>
        </w:rPr>
        <w:t>requires</w:t>
      </w:r>
      <w:r w:rsidRPr="00B24750">
        <w:rPr>
          <w:rFonts w:asciiTheme="majorHAnsi" w:hAnsiTheme="majorHAnsi"/>
          <w:sz w:val="20"/>
          <w:szCs w:val="20"/>
          <w:bdr w:val="none" w:sz="0" w:space="0" w:color="auto"/>
          <w:lang w:val="en-US"/>
        </w:rPr>
        <w:t xml:space="preserve"> the acknowledgement of a personal sphere that must be free and immune from arbitrary or abusive invasion or </w:t>
      </w:r>
      <w:r w:rsidR="008B4393" w:rsidRPr="00B24750">
        <w:rPr>
          <w:rFonts w:asciiTheme="majorHAnsi" w:hAnsiTheme="majorHAnsi"/>
          <w:sz w:val="20"/>
          <w:szCs w:val="20"/>
          <w:bdr w:val="none" w:sz="0" w:space="0" w:color="auto"/>
          <w:lang w:val="en-US"/>
        </w:rPr>
        <w:t>attack</w:t>
      </w:r>
      <w:r w:rsidRPr="00B24750">
        <w:rPr>
          <w:rFonts w:asciiTheme="majorHAnsi" w:hAnsiTheme="majorHAnsi"/>
          <w:sz w:val="20"/>
          <w:szCs w:val="20"/>
          <w:bdr w:val="none" w:sz="0" w:space="0" w:color="auto"/>
          <w:lang w:val="en-US"/>
        </w:rPr>
        <w:t xml:space="preserve">. </w:t>
      </w:r>
      <w:r w:rsidR="008B4393" w:rsidRPr="00B24750">
        <w:rPr>
          <w:rFonts w:asciiTheme="majorHAnsi" w:hAnsiTheme="majorHAnsi"/>
          <w:sz w:val="20"/>
          <w:szCs w:val="20"/>
          <w:bdr w:val="none" w:sz="0" w:space="0" w:color="auto"/>
          <w:lang w:val="en-US"/>
        </w:rPr>
        <w:t>In this sense</w:t>
      </w:r>
      <w:r w:rsidRPr="00B24750">
        <w:rPr>
          <w:rFonts w:asciiTheme="majorHAnsi" w:hAnsiTheme="majorHAnsi"/>
          <w:sz w:val="20"/>
          <w:szCs w:val="20"/>
          <w:bdr w:val="none" w:sz="0" w:space="0" w:color="auto"/>
          <w:lang w:val="en-US"/>
        </w:rPr>
        <w:t xml:space="preserve">, the home becomes a space in which private life </w:t>
      </w:r>
      <w:r w:rsidR="00DF611E" w:rsidRPr="00B24750">
        <w:rPr>
          <w:rFonts w:asciiTheme="majorHAnsi" w:hAnsiTheme="majorHAnsi"/>
          <w:sz w:val="20"/>
          <w:szCs w:val="20"/>
          <w:bdr w:val="none" w:sz="0" w:space="0" w:color="auto"/>
          <w:lang w:val="en-US"/>
        </w:rPr>
        <w:t>can evolve freely</w:t>
      </w:r>
      <w:r w:rsidRPr="00B24750">
        <w:rPr>
          <w:rFonts w:asciiTheme="majorHAnsi" w:hAnsiTheme="majorHAnsi"/>
          <w:sz w:val="20"/>
          <w:szCs w:val="20"/>
          <w:bdr w:val="none" w:sz="0" w:space="0" w:color="auto"/>
          <w:lang w:val="en-US"/>
        </w:rPr>
        <w:t>.</w:t>
      </w:r>
      <w:r w:rsidRPr="00B24750">
        <w:rPr>
          <w:rStyle w:val="FootnoteReference"/>
          <w:rFonts w:asciiTheme="majorHAnsi" w:hAnsiTheme="majorHAnsi"/>
          <w:sz w:val="20"/>
          <w:szCs w:val="20"/>
          <w:bdr w:val="none" w:sz="0" w:space="0" w:color="auto"/>
          <w:lang w:val="en-US"/>
        </w:rPr>
        <w:footnoteReference w:id="217"/>
      </w:r>
    </w:p>
    <w:p w14:paraId="54C1494B" w14:textId="77777777" w:rsidR="00C70D01" w:rsidRPr="00B24750" w:rsidRDefault="00C70D01" w:rsidP="00C70D0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2520471C" w14:textId="2E1D025E" w:rsidR="00357EC8" w:rsidRPr="00B24750" w:rsidRDefault="00E4501E"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 xml:space="preserve">Although the </w:t>
      </w:r>
      <w:r w:rsidR="009D54F2" w:rsidRPr="00B24750">
        <w:rPr>
          <w:rFonts w:asciiTheme="majorHAnsi" w:hAnsiTheme="majorHAnsi"/>
          <w:sz w:val="20"/>
          <w:szCs w:val="20"/>
          <w:bdr w:val="none" w:sz="0" w:space="0" w:color="auto"/>
          <w:lang w:val="en-US"/>
        </w:rPr>
        <w:t xml:space="preserve">right to </w:t>
      </w:r>
      <w:r w:rsidR="00C70D01" w:rsidRPr="00B24750">
        <w:rPr>
          <w:rFonts w:asciiTheme="majorHAnsi" w:hAnsiTheme="majorHAnsi"/>
          <w:sz w:val="20"/>
          <w:szCs w:val="20"/>
          <w:bdr w:val="none" w:sz="0" w:space="0" w:color="auto"/>
          <w:lang w:val="en-US"/>
        </w:rPr>
        <w:t xml:space="preserve">the </w:t>
      </w:r>
      <w:r w:rsidR="009D54F2" w:rsidRPr="00B24750">
        <w:rPr>
          <w:rFonts w:asciiTheme="majorHAnsi" w:hAnsiTheme="majorHAnsi"/>
          <w:sz w:val="20"/>
          <w:szCs w:val="20"/>
          <w:bdr w:val="none" w:sz="0" w:space="0" w:color="auto"/>
          <w:lang w:val="en-US"/>
        </w:rPr>
        <w:t>inviolability of correspondence</w:t>
      </w:r>
      <w:r w:rsidRPr="00B24750">
        <w:rPr>
          <w:rFonts w:asciiTheme="majorHAnsi" w:hAnsiTheme="majorHAnsi"/>
          <w:sz w:val="20"/>
          <w:szCs w:val="20"/>
          <w:bdr w:val="none" w:sz="0" w:space="0" w:color="auto"/>
          <w:lang w:val="en-US"/>
        </w:rPr>
        <w:t xml:space="preserve"> </w:t>
      </w:r>
      <w:r w:rsidR="009D54F2" w:rsidRPr="00B24750">
        <w:rPr>
          <w:rFonts w:asciiTheme="majorHAnsi" w:hAnsiTheme="majorHAnsi"/>
          <w:sz w:val="20"/>
          <w:szCs w:val="20"/>
          <w:bdr w:val="none" w:sz="0" w:space="0" w:color="auto"/>
          <w:lang w:val="en-US"/>
        </w:rPr>
        <w:t xml:space="preserve">is explicitly protected by Article X of the Declaration, </w:t>
      </w:r>
      <w:r w:rsidRPr="00B24750">
        <w:rPr>
          <w:rFonts w:asciiTheme="majorHAnsi" w:hAnsiTheme="majorHAnsi"/>
          <w:sz w:val="20"/>
          <w:szCs w:val="20"/>
          <w:bdr w:val="none" w:sz="0" w:space="0" w:color="auto"/>
          <w:lang w:val="en-US"/>
        </w:rPr>
        <w:t>the jurisprudence has extended this</w:t>
      </w:r>
      <w:r w:rsidR="009D54F2" w:rsidRPr="00B24750">
        <w:rPr>
          <w:rFonts w:asciiTheme="majorHAnsi" w:hAnsiTheme="majorHAnsi"/>
          <w:sz w:val="20"/>
          <w:szCs w:val="20"/>
          <w:bdr w:val="none" w:sz="0" w:space="0" w:color="auto"/>
          <w:lang w:val="en-US"/>
        </w:rPr>
        <w:t xml:space="preserve"> protection </w:t>
      </w:r>
      <w:r w:rsidR="009D54F2" w:rsidRPr="00B24750">
        <w:rPr>
          <w:rFonts w:asciiTheme="majorHAnsi" w:hAnsiTheme="majorHAnsi"/>
          <w:sz w:val="20"/>
          <w:szCs w:val="20"/>
          <w:lang w:val="en-US"/>
        </w:rPr>
        <w:t xml:space="preserve">to </w:t>
      </w:r>
      <w:r w:rsidRPr="00B24750">
        <w:rPr>
          <w:rFonts w:asciiTheme="majorHAnsi" w:hAnsiTheme="majorHAnsi"/>
          <w:sz w:val="20"/>
          <w:szCs w:val="20"/>
          <w:lang w:val="en-US"/>
        </w:rPr>
        <w:t>“</w:t>
      </w:r>
      <w:r w:rsidR="009D54F2" w:rsidRPr="00B24750">
        <w:rPr>
          <w:rFonts w:asciiTheme="majorHAnsi" w:hAnsiTheme="majorHAnsi"/>
          <w:sz w:val="20"/>
          <w:szCs w:val="20"/>
          <w:lang w:val="en-US"/>
        </w:rPr>
        <w:t>communications,</w:t>
      </w:r>
      <w:r w:rsidRPr="00B24750">
        <w:rPr>
          <w:rFonts w:asciiTheme="majorHAnsi" w:hAnsiTheme="majorHAnsi"/>
          <w:sz w:val="20"/>
          <w:szCs w:val="20"/>
          <w:lang w:val="en-US"/>
        </w:rPr>
        <w:t>”</w:t>
      </w:r>
      <w:r w:rsidR="009D54F2" w:rsidRPr="00B24750">
        <w:rPr>
          <w:rFonts w:asciiTheme="majorHAnsi" w:hAnsiTheme="majorHAnsi"/>
          <w:sz w:val="20"/>
          <w:szCs w:val="20"/>
          <w:lang w:val="en-US"/>
        </w:rPr>
        <w:t xml:space="preserve"> including</w:t>
      </w:r>
      <w:r w:rsidRPr="00B24750">
        <w:rPr>
          <w:rFonts w:asciiTheme="majorHAnsi" w:hAnsiTheme="majorHAnsi"/>
          <w:sz w:val="20"/>
          <w:szCs w:val="20"/>
          <w:lang w:val="en-US"/>
        </w:rPr>
        <w:t xml:space="preserve"> telephone communications</w:t>
      </w:r>
      <w:r w:rsidR="009D54F2" w:rsidRPr="00B24750">
        <w:rPr>
          <w:rStyle w:val="FootnoteReference"/>
          <w:rFonts w:asciiTheme="majorHAnsi" w:hAnsiTheme="majorHAnsi"/>
          <w:sz w:val="20"/>
          <w:szCs w:val="20"/>
          <w:lang w:val="en-US"/>
        </w:rPr>
        <w:footnoteReference w:id="218"/>
      </w:r>
      <w:r w:rsidR="009D54F2" w:rsidRPr="00B24750">
        <w:rPr>
          <w:rFonts w:asciiTheme="majorHAnsi" w:hAnsiTheme="majorHAnsi"/>
          <w:sz w:val="20"/>
          <w:szCs w:val="20"/>
          <w:lang w:val="en-US"/>
        </w:rPr>
        <w:t xml:space="preserve"> and communications through new technologies, such as the internet</w:t>
      </w:r>
      <w:r w:rsidRPr="00B24750">
        <w:rPr>
          <w:rFonts w:asciiTheme="majorHAnsi" w:hAnsiTheme="majorHAnsi"/>
          <w:sz w:val="20"/>
          <w:szCs w:val="20"/>
          <w:lang w:val="en-US"/>
        </w:rPr>
        <w:t>.</w:t>
      </w:r>
      <w:r w:rsidR="009D54F2" w:rsidRPr="00B24750">
        <w:rPr>
          <w:rStyle w:val="FootnoteReference"/>
          <w:rFonts w:asciiTheme="majorHAnsi" w:hAnsiTheme="majorHAnsi"/>
          <w:sz w:val="20"/>
          <w:szCs w:val="20"/>
          <w:lang w:val="en-US"/>
        </w:rPr>
        <w:footnoteReference w:id="219"/>
      </w:r>
      <w:r w:rsidR="009D54F2" w:rsidRPr="00B24750">
        <w:rPr>
          <w:rFonts w:asciiTheme="majorHAnsi" w:hAnsiTheme="majorHAnsi"/>
          <w:sz w:val="20"/>
          <w:szCs w:val="20"/>
          <w:lang w:val="en-US"/>
        </w:rPr>
        <w:t xml:space="preserve"> The protection of communications extends to data </w:t>
      </w:r>
      <w:r w:rsidRPr="00B24750">
        <w:rPr>
          <w:rFonts w:asciiTheme="majorHAnsi" w:hAnsiTheme="majorHAnsi"/>
          <w:sz w:val="20"/>
          <w:szCs w:val="20"/>
          <w:lang w:val="en-US"/>
        </w:rPr>
        <w:t>that may</w:t>
      </w:r>
      <w:r w:rsidR="009D54F2" w:rsidRPr="00B24750">
        <w:rPr>
          <w:rFonts w:asciiTheme="majorHAnsi" w:hAnsiTheme="majorHAnsi"/>
          <w:sz w:val="20"/>
          <w:szCs w:val="20"/>
          <w:lang w:val="en-US"/>
        </w:rPr>
        <w:t xml:space="preserve"> identify the communication, such as</w:t>
      </w:r>
      <w:r w:rsidR="00104E62" w:rsidRPr="00B24750">
        <w:rPr>
          <w:rFonts w:asciiTheme="majorHAnsi" w:hAnsiTheme="majorHAnsi"/>
          <w:sz w:val="20"/>
          <w:szCs w:val="20"/>
          <w:lang w:val="en-US"/>
        </w:rPr>
        <w:t xml:space="preserve"> numbers</w:t>
      </w:r>
      <w:r w:rsidRPr="00B24750">
        <w:rPr>
          <w:rFonts w:asciiTheme="majorHAnsi" w:hAnsiTheme="majorHAnsi"/>
          <w:sz w:val="20"/>
          <w:szCs w:val="20"/>
          <w:lang w:val="en-US"/>
        </w:rPr>
        <w:t xml:space="preserve"> </w:t>
      </w:r>
      <w:r w:rsidR="00104E62" w:rsidRPr="00B24750">
        <w:rPr>
          <w:rFonts w:asciiTheme="majorHAnsi" w:hAnsiTheme="majorHAnsi"/>
          <w:sz w:val="20"/>
          <w:szCs w:val="20"/>
          <w:lang w:val="en-US"/>
        </w:rPr>
        <w:t xml:space="preserve">called </w:t>
      </w:r>
      <w:r w:rsidRPr="00B24750">
        <w:rPr>
          <w:rFonts w:asciiTheme="majorHAnsi" w:hAnsiTheme="majorHAnsi"/>
          <w:sz w:val="20"/>
          <w:szCs w:val="20"/>
          <w:lang w:val="en-US"/>
        </w:rPr>
        <w:t>and</w:t>
      </w:r>
      <w:r w:rsidR="009D54F2" w:rsidRPr="00B24750">
        <w:rPr>
          <w:rFonts w:asciiTheme="majorHAnsi" w:hAnsiTheme="majorHAnsi"/>
          <w:sz w:val="20"/>
          <w:szCs w:val="20"/>
          <w:lang w:val="en-US"/>
        </w:rPr>
        <w:t xml:space="preserve"> the frequency and duration of </w:t>
      </w:r>
      <w:r w:rsidRPr="00B24750">
        <w:rPr>
          <w:rFonts w:asciiTheme="majorHAnsi" w:hAnsiTheme="majorHAnsi"/>
          <w:sz w:val="20"/>
          <w:szCs w:val="20"/>
          <w:lang w:val="en-US"/>
        </w:rPr>
        <w:t>calls</w:t>
      </w:r>
      <w:r w:rsidR="009D54F2" w:rsidRPr="00B24750">
        <w:rPr>
          <w:rFonts w:asciiTheme="majorHAnsi" w:hAnsiTheme="majorHAnsi"/>
          <w:sz w:val="20"/>
          <w:szCs w:val="20"/>
          <w:lang w:val="en-US"/>
        </w:rPr>
        <w:t xml:space="preserve">. </w:t>
      </w:r>
      <w:r w:rsidR="00104E62" w:rsidRPr="00B24750">
        <w:rPr>
          <w:rFonts w:asciiTheme="majorHAnsi" w:hAnsiTheme="majorHAnsi"/>
          <w:sz w:val="20"/>
          <w:szCs w:val="20"/>
          <w:lang w:val="en-US"/>
        </w:rPr>
        <w:t>This information is an integral part of communication, the same as its actual content, and storing it also constitutes an invasion of a person’s privacy and communications</w:t>
      </w:r>
      <w:r w:rsidR="009D54F2" w:rsidRPr="00B24750">
        <w:rPr>
          <w:rFonts w:asciiTheme="majorHAnsi" w:hAnsiTheme="majorHAnsi"/>
          <w:sz w:val="20"/>
          <w:szCs w:val="20"/>
          <w:lang w:val="en-US"/>
        </w:rPr>
        <w:t xml:space="preserve">. In addition, not only interception is prohibited, but </w:t>
      </w:r>
      <w:r w:rsidR="00681D41" w:rsidRPr="00B24750">
        <w:rPr>
          <w:rFonts w:asciiTheme="majorHAnsi" w:hAnsiTheme="majorHAnsi"/>
          <w:sz w:val="20"/>
          <w:szCs w:val="20"/>
          <w:lang w:val="en-US"/>
        </w:rPr>
        <w:t>the right to the confidentiality of all the data produced in that private space gives rise to a corresponding prohibition on the disclosure or circulation of information captured without the consent of its owner in that space of private protection reserved to the individual</w:t>
      </w:r>
      <w:r w:rsidR="009D54F2" w:rsidRPr="00B24750">
        <w:rPr>
          <w:rFonts w:asciiTheme="majorHAnsi" w:hAnsiTheme="majorHAnsi"/>
          <w:sz w:val="20"/>
          <w:szCs w:val="20"/>
          <w:lang w:val="en-US"/>
        </w:rPr>
        <w:t>.</w:t>
      </w:r>
      <w:r w:rsidR="009D54F2" w:rsidRPr="00B24750">
        <w:rPr>
          <w:rStyle w:val="FootnoteReference"/>
          <w:rFonts w:asciiTheme="majorHAnsi" w:hAnsiTheme="majorHAnsi"/>
          <w:sz w:val="20"/>
          <w:szCs w:val="20"/>
          <w:lang w:val="en-US"/>
        </w:rPr>
        <w:footnoteReference w:id="220"/>
      </w:r>
    </w:p>
    <w:p w14:paraId="29F08CEB" w14:textId="77777777" w:rsidR="00BF4264" w:rsidRPr="00B24750" w:rsidRDefault="00BF4264" w:rsidP="00BF426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0AA700C6" w14:textId="115B7924" w:rsidR="00676AE4" w:rsidRPr="00B24750" w:rsidRDefault="00357EC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lang w:val="en-US"/>
        </w:rPr>
        <w:t xml:space="preserve">The right to not be subjected to arbitrary or abusive interference with one’s home or correspondence is a prerequisite </w:t>
      </w:r>
      <w:r w:rsidR="006E62A8">
        <w:rPr>
          <w:rFonts w:asciiTheme="majorHAnsi" w:hAnsiTheme="majorHAnsi"/>
          <w:sz w:val="20"/>
          <w:szCs w:val="20"/>
          <w:lang w:val="en-US"/>
        </w:rPr>
        <w:t xml:space="preserve">for exercising </w:t>
      </w:r>
      <w:r w:rsidRPr="00B24750">
        <w:rPr>
          <w:rFonts w:asciiTheme="majorHAnsi" w:hAnsiTheme="majorHAnsi"/>
          <w:sz w:val="20"/>
          <w:szCs w:val="20"/>
          <w:lang w:val="en-US"/>
        </w:rPr>
        <w:t>the right to freedom of expression, which must be protected by law and rigorously promoted in public policy. This is closely linked to the State’s obligation to create a safe environment for the exercise of freedom of expression, since violating the privacy of communications has a chilling effect and hinders the full exercise of the right to communicate.</w:t>
      </w:r>
      <w:r w:rsidRPr="00B24750">
        <w:rPr>
          <w:rStyle w:val="FootnoteReference"/>
          <w:rFonts w:asciiTheme="majorHAnsi" w:hAnsiTheme="majorHAnsi"/>
          <w:sz w:val="20"/>
          <w:szCs w:val="20"/>
          <w:lang w:val="en-US"/>
        </w:rPr>
        <w:footnoteReference w:id="221"/>
      </w:r>
    </w:p>
    <w:p w14:paraId="6CFA00FE" w14:textId="77777777" w:rsidR="00357EC8" w:rsidRPr="00B24750" w:rsidRDefault="00357EC8" w:rsidP="00676AE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63DB51BA" w14:textId="4ABFE80C" w:rsidR="00F9582A" w:rsidRPr="00B24750" w:rsidRDefault="00357EC8"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color w:val="000000"/>
          <w:sz w:val="20"/>
          <w:szCs w:val="20"/>
          <w:lang w:val="en-US"/>
        </w:rPr>
        <w:lastRenderedPageBreak/>
        <w:t>However, the rights to the inviolability of the home and correspondence are not absolute and may be restricted if there is an order from a competent authority.</w:t>
      </w:r>
      <w:r w:rsidRPr="00B24750">
        <w:rPr>
          <w:rStyle w:val="FootnoteReference"/>
          <w:rFonts w:asciiTheme="majorHAnsi" w:hAnsiTheme="majorHAnsi"/>
          <w:color w:val="000000"/>
          <w:sz w:val="20"/>
          <w:szCs w:val="20"/>
          <w:lang w:val="en-US"/>
        </w:rPr>
        <w:footnoteReference w:id="222"/>
      </w:r>
      <w:r w:rsidRPr="00B24750">
        <w:rPr>
          <w:rFonts w:asciiTheme="majorHAnsi" w:hAnsiTheme="majorHAnsi"/>
          <w:color w:val="000000"/>
          <w:sz w:val="20"/>
          <w:szCs w:val="20"/>
          <w:lang w:val="en-US"/>
        </w:rPr>
        <w:t xml:space="preserve"> </w:t>
      </w:r>
      <w:r w:rsidR="004E3BC5">
        <w:rPr>
          <w:rFonts w:asciiTheme="majorHAnsi" w:hAnsiTheme="majorHAnsi"/>
          <w:sz w:val="20"/>
          <w:szCs w:val="20"/>
          <w:bdr w:val="none" w:sz="0" w:space="0" w:color="auto"/>
          <w:lang w:val="en-US"/>
        </w:rPr>
        <w:t>F</w:t>
      </w:r>
      <w:r w:rsidRPr="00B24750">
        <w:rPr>
          <w:rFonts w:asciiTheme="majorHAnsi" w:hAnsiTheme="majorHAnsi"/>
          <w:sz w:val="20"/>
          <w:szCs w:val="20"/>
          <w:bdr w:val="none" w:sz="0" w:space="0" w:color="auto"/>
          <w:lang w:val="en-US"/>
        </w:rPr>
        <w:t>or the restriction to be legitimate, it must be provided by law, pursue a legitimate purpose, and meet the requirements of suitability, necessity, and proportionality, i.e., it must be necessary in a democratic society.</w:t>
      </w:r>
      <w:r w:rsidRPr="00B24750">
        <w:rPr>
          <w:rStyle w:val="FootnoteReference"/>
          <w:rFonts w:asciiTheme="majorHAnsi" w:hAnsiTheme="majorHAnsi"/>
          <w:sz w:val="20"/>
          <w:szCs w:val="20"/>
          <w:lang w:val="en-US"/>
        </w:rPr>
        <w:footnoteReference w:id="223"/>
      </w:r>
    </w:p>
    <w:p w14:paraId="3DCF508C" w14:textId="77777777" w:rsidR="00F9582A" w:rsidRPr="00B24750" w:rsidRDefault="00F9582A" w:rsidP="00F9582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720"/>
        <w:jc w:val="both"/>
        <w:rPr>
          <w:rFonts w:asciiTheme="majorHAnsi" w:hAnsiTheme="majorHAnsi"/>
          <w:sz w:val="20"/>
          <w:szCs w:val="20"/>
          <w:bdr w:val="none" w:sz="0" w:space="0" w:color="auto"/>
          <w:lang w:val="en-US"/>
        </w:rPr>
      </w:pPr>
    </w:p>
    <w:p w14:paraId="02A1AB8A" w14:textId="61CC6A54" w:rsidR="00236260" w:rsidRPr="00B24750" w:rsidRDefault="00236260"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lang w:val="en-US"/>
        </w:rPr>
        <w:t xml:space="preserve">The permissible instances and conditions of surveillance must be expressly, explicitly, specifically, precisely, and clearly established in advance in a law, in both the formal and material sense. </w:t>
      </w:r>
      <w:r w:rsidR="008237AB" w:rsidRPr="00B24750">
        <w:rPr>
          <w:rFonts w:asciiTheme="majorHAnsi" w:hAnsiTheme="majorHAnsi"/>
          <w:sz w:val="20"/>
          <w:szCs w:val="20"/>
          <w:lang w:val="en-US"/>
        </w:rPr>
        <w:t xml:space="preserve">Given </w:t>
      </w:r>
      <w:r w:rsidRPr="00B24750">
        <w:rPr>
          <w:rFonts w:asciiTheme="majorHAnsi" w:hAnsiTheme="majorHAnsi"/>
          <w:sz w:val="20"/>
          <w:szCs w:val="20"/>
          <w:lang w:val="en-US"/>
        </w:rPr>
        <w:t xml:space="preserve">the intrinsic risk of abuse of any surveillance system, </w:t>
      </w:r>
      <w:r w:rsidR="008237AB" w:rsidRPr="00B24750">
        <w:rPr>
          <w:rFonts w:asciiTheme="majorHAnsi" w:hAnsiTheme="majorHAnsi"/>
          <w:sz w:val="20"/>
          <w:szCs w:val="20"/>
          <w:lang w:val="en-US"/>
        </w:rPr>
        <w:t>such</w:t>
      </w:r>
      <w:r w:rsidRPr="00B24750">
        <w:rPr>
          <w:rFonts w:asciiTheme="majorHAnsi" w:hAnsiTheme="majorHAnsi"/>
          <w:sz w:val="20"/>
          <w:szCs w:val="20"/>
          <w:lang w:val="en-US"/>
        </w:rPr>
        <w:t xml:space="preserve"> measures must be based on </w:t>
      </w:r>
      <w:r w:rsidR="00B51696" w:rsidRPr="00B24750">
        <w:rPr>
          <w:rFonts w:asciiTheme="majorHAnsi" w:hAnsiTheme="majorHAnsi"/>
          <w:sz w:val="20"/>
          <w:szCs w:val="20"/>
          <w:lang w:val="en-US"/>
        </w:rPr>
        <w:t>unambiguous</w:t>
      </w:r>
      <w:r w:rsidRPr="00B24750">
        <w:rPr>
          <w:rFonts w:asciiTheme="majorHAnsi" w:hAnsiTheme="majorHAnsi"/>
          <w:sz w:val="20"/>
          <w:szCs w:val="20"/>
          <w:lang w:val="en-US"/>
        </w:rPr>
        <w:t xml:space="preserve"> legislation, with clear and detailed rules. The purposes for which the monitoring or interception of communications is </w:t>
      </w:r>
      <w:r w:rsidR="008237AB" w:rsidRPr="00B24750">
        <w:rPr>
          <w:rFonts w:asciiTheme="majorHAnsi" w:hAnsiTheme="majorHAnsi"/>
          <w:sz w:val="20"/>
          <w:szCs w:val="20"/>
          <w:lang w:val="en-US"/>
        </w:rPr>
        <w:t xml:space="preserve">authorized </w:t>
      </w:r>
      <w:r w:rsidRPr="00B24750">
        <w:rPr>
          <w:rFonts w:asciiTheme="majorHAnsi" w:hAnsiTheme="majorHAnsi"/>
          <w:sz w:val="20"/>
          <w:szCs w:val="20"/>
          <w:lang w:val="en-US"/>
        </w:rPr>
        <w:t>should be expressly stated in the law</w:t>
      </w:r>
      <w:r w:rsidR="008237AB" w:rsidRPr="00B24750">
        <w:rPr>
          <w:rFonts w:asciiTheme="majorHAnsi" w:hAnsiTheme="majorHAnsi"/>
          <w:sz w:val="20"/>
          <w:szCs w:val="20"/>
          <w:lang w:val="en-US"/>
        </w:rPr>
        <w:t>,</w:t>
      </w:r>
      <w:r w:rsidRPr="00B24750">
        <w:rPr>
          <w:rFonts w:asciiTheme="majorHAnsi" w:hAnsiTheme="majorHAnsi"/>
          <w:sz w:val="20"/>
          <w:szCs w:val="20"/>
          <w:lang w:val="en-US"/>
        </w:rPr>
        <w:t xml:space="preserve"> and in all cases the laws should establish the need for a prior court order</w:t>
      </w:r>
      <w:r w:rsidR="008237AB"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224"/>
      </w:r>
      <w:r w:rsidRPr="00B24750">
        <w:rPr>
          <w:rFonts w:asciiTheme="majorHAnsi" w:hAnsiTheme="majorHAnsi"/>
          <w:sz w:val="20"/>
          <w:szCs w:val="20"/>
          <w:lang w:val="en-US"/>
        </w:rPr>
        <w:t xml:space="preserve"> The nature of the measures, as well as their scope and duration, must be regulated establishing the circumstances under which they may be issued and the bodies responsible for authorizing, implementing, and monitoring them.</w:t>
      </w:r>
      <w:r w:rsidRPr="00B24750">
        <w:rPr>
          <w:rStyle w:val="FootnoteReference"/>
          <w:rFonts w:asciiTheme="majorHAnsi" w:hAnsiTheme="majorHAnsi"/>
          <w:sz w:val="20"/>
          <w:szCs w:val="20"/>
          <w:lang w:val="en-US"/>
        </w:rPr>
        <w:footnoteReference w:id="225"/>
      </w:r>
      <w:r w:rsidRPr="00B24750">
        <w:rPr>
          <w:rFonts w:asciiTheme="majorHAnsi" w:hAnsiTheme="majorHAnsi"/>
          <w:sz w:val="20"/>
          <w:szCs w:val="20"/>
          <w:lang w:val="en-US"/>
        </w:rPr>
        <w:t xml:space="preserve"> </w:t>
      </w:r>
    </w:p>
    <w:p w14:paraId="66E6C3FF" w14:textId="77777777" w:rsidR="002C1BFC" w:rsidRPr="00B24750" w:rsidRDefault="002C1BFC" w:rsidP="002C1BF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0A34862A" w14:textId="3F4DD49D" w:rsidR="00D71DFE" w:rsidRPr="00B24750" w:rsidRDefault="00FB743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 xml:space="preserve">The facts </w:t>
      </w:r>
      <w:r w:rsidR="005B0CD1">
        <w:rPr>
          <w:rFonts w:asciiTheme="majorHAnsi" w:hAnsiTheme="majorHAnsi"/>
          <w:sz w:val="20"/>
          <w:szCs w:val="20"/>
          <w:bdr w:val="none" w:sz="0" w:space="0" w:color="auto"/>
          <w:lang w:val="en-US"/>
        </w:rPr>
        <w:t>of</w:t>
      </w:r>
      <w:r w:rsidRPr="00B24750">
        <w:rPr>
          <w:rFonts w:asciiTheme="majorHAnsi" w:hAnsiTheme="majorHAnsi"/>
          <w:sz w:val="20"/>
          <w:szCs w:val="20"/>
          <w:bdr w:val="none" w:sz="0" w:space="0" w:color="auto"/>
          <w:lang w:val="en-US"/>
        </w:rPr>
        <w:t xml:space="preserve"> this case indicate that the State has restricted or intercepted </w:t>
      </w:r>
      <w:proofErr w:type="spellStart"/>
      <w:r w:rsidRPr="00B24750">
        <w:rPr>
          <w:rFonts w:asciiTheme="majorHAnsi" w:hAnsiTheme="majorHAnsi"/>
          <w:sz w:val="20"/>
          <w:szCs w:val="20"/>
          <w:bdr w:val="none" w:sz="0" w:space="0" w:color="auto"/>
          <w:lang w:val="en-US"/>
        </w:rPr>
        <w:t>Yoani</w:t>
      </w:r>
      <w:proofErr w:type="spellEnd"/>
      <w:r w:rsidRPr="00B24750">
        <w:rPr>
          <w:rFonts w:asciiTheme="majorHAnsi" w:hAnsiTheme="majorHAnsi"/>
          <w:sz w:val="20"/>
          <w:szCs w:val="20"/>
          <w:bdr w:val="none" w:sz="0" w:space="0" w:color="auto"/>
          <w:lang w:val="en-US"/>
        </w:rPr>
        <w:t xml:space="preserve"> Sánchez’s telephone communications because of her journalism criticizing the regime and because of the content of her blog. These telephone wiretaps are consistent with the context described above, in terms of the State’s increased </w:t>
      </w:r>
      <w:r w:rsidRPr="00B24750">
        <w:rPr>
          <w:rFonts w:asciiTheme="majorHAnsi" w:hAnsiTheme="majorHAnsi"/>
          <w:sz w:val="20"/>
          <w:szCs w:val="20"/>
          <w:lang w:val="en-US"/>
        </w:rPr>
        <w:t xml:space="preserve">use of surveillance to identify the activity of independent journalists and political dissidents, particularly on the web. </w:t>
      </w:r>
      <w:r w:rsidRPr="00B24750">
        <w:rPr>
          <w:rFonts w:asciiTheme="majorHAnsi" w:hAnsiTheme="majorHAnsi"/>
          <w:sz w:val="20"/>
          <w:szCs w:val="20"/>
          <w:bdr w:val="none" w:sz="0" w:space="0" w:color="auto"/>
          <w:lang w:val="en-US"/>
        </w:rPr>
        <w:t xml:space="preserve">The State </w:t>
      </w:r>
      <w:r w:rsidR="006E62A8">
        <w:rPr>
          <w:rFonts w:asciiTheme="majorHAnsi" w:hAnsiTheme="majorHAnsi"/>
          <w:sz w:val="20"/>
          <w:szCs w:val="20"/>
          <w:bdr w:val="none" w:sz="0" w:space="0" w:color="auto"/>
          <w:lang w:val="en-US"/>
        </w:rPr>
        <w:t xml:space="preserve">has provided no information to show </w:t>
      </w:r>
      <w:r w:rsidR="00081DD8">
        <w:rPr>
          <w:rFonts w:asciiTheme="majorHAnsi" w:hAnsiTheme="majorHAnsi"/>
          <w:sz w:val="20"/>
          <w:szCs w:val="20"/>
          <w:bdr w:val="none" w:sz="0" w:space="0" w:color="auto"/>
          <w:lang w:val="en-US"/>
        </w:rPr>
        <w:t>that the</w:t>
      </w:r>
      <w:r w:rsidR="006E62A8">
        <w:rPr>
          <w:rFonts w:asciiTheme="majorHAnsi" w:hAnsiTheme="majorHAnsi"/>
          <w:sz w:val="20"/>
          <w:szCs w:val="20"/>
          <w:bdr w:val="none" w:sz="0" w:space="0" w:color="auto"/>
          <w:lang w:val="en-US"/>
        </w:rPr>
        <w:t xml:space="preserve"> </w:t>
      </w:r>
      <w:r w:rsidR="00AA0D3C" w:rsidRPr="00B24750">
        <w:rPr>
          <w:rFonts w:asciiTheme="majorHAnsi" w:hAnsiTheme="majorHAnsi"/>
          <w:sz w:val="20"/>
          <w:szCs w:val="20"/>
          <w:bdr w:val="none" w:sz="0" w:space="0" w:color="auto"/>
          <w:lang w:val="en-US"/>
        </w:rPr>
        <w:t>wiretapping was done pursuant to</w:t>
      </w:r>
      <w:r w:rsidRPr="00B24750">
        <w:rPr>
          <w:rFonts w:asciiTheme="majorHAnsi" w:hAnsiTheme="majorHAnsi"/>
          <w:sz w:val="20"/>
          <w:szCs w:val="20"/>
          <w:bdr w:val="none" w:sz="0" w:space="0" w:color="auto"/>
          <w:lang w:val="en-US"/>
        </w:rPr>
        <w:t xml:space="preserve"> a court order, nor that it was carried out based on the requirements of legality, suitability, necessity</w:t>
      </w:r>
      <w:r w:rsidR="00AA0D3C" w:rsidRPr="00B24750">
        <w:rPr>
          <w:rFonts w:asciiTheme="majorHAnsi" w:hAnsiTheme="majorHAnsi"/>
          <w:sz w:val="20"/>
          <w:szCs w:val="20"/>
          <w:bdr w:val="none" w:sz="0" w:space="0" w:color="auto"/>
          <w:lang w:val="en-US"/>
        </w:rPr>
        <w:t>,</w:t>
      </w:r>
      <w:r w:rsidRPr="00B24750">
        <w:rPr>
          <w:rFonts w:asciiTheme="majorHAnsi" w:hAnsiTheme="majorHAnsi"/>
          <w:sz w:val="20"/>
          <w:szCs w:val="20"/>
          <w:bdr w:val="none" w:sz="0" w:space="0" w:color="auto"/>
          <w:lang w:val="en-US"/>
        </w:rPr>
        <w:t xml:space="preserve"> and proportionality. </w:t>
      </w:r>
      <w:r w:rsidR="00AA0D3C" w:rsidRPr="00B24750">
        <w:rPr>
          <w:rFonts w:asciiTheme="majorHAnsi" w:hAnsiTheme="majorHAnsi"/>
          <w:sz w:val="20"/>
          <w:szCs w:val="20"/>
          <w:bdr w:val="none" w:sz="0" w:space="0" w:color="auto"/>
          <w:lang w:val="en-US"/>
        </w:rPr>
        <w:t>The</w:t>
      </w:r>
      <w:r w:rsidRPr="00B24750">
        <w:rPr>
          <w:rFonts w:asciiTheme="majorHAnsi" w:hAnsiTheme="majorHAnsi"/>
          <w:sz w:val="20"/>
          <w:szCs w:val="20"/>
          <w:bdr w:val="none" w:sz="0" w:space="0" w:color="auto"/>
          <w:lang w:val="en-US"/>
        </w:rPr>
        <w:t xml:space="preserve"> IACHR </w:t>
      </w:r>
      <w:r w:rsidR="00AA0D3C" w:rsidRPr="00B24750">
        <w:rPr>
          <w:rFonts w:asciiTheme="majorHAnsi" w:hAnsiTheme="majorHAnsi"/>
          <w:sz w:val="20"/>
          <w:szCs w:val="20"/>
          <w:bdr w:val="none" w:sz="0" w:space="0" w:color="auto"/>
          <w:lang w:val="en-US"/>
        </w:rPr>
        <w:t xml:space="preserve">thus </w:t>
      </w:r>
      <w:r w:rsidRPr="00B24750">
        <w:rPr>
          <w:rFonts w:asciiTheme="majorHAnsi" w:hAnsiTheme="majorHAnsi"/>
          <w:sz w:val="20"/>
          <w:szCs w:val="20"/>
          <w:bdr w:val="none" w:sz="0" w:space="0" w:color="auto"/>
          <w:lang w:val="en-US"/>
        </w:rPr>
        <w:t xml:space="preserve">concludes that the interception of </w:t>
      </w:r>
      <w:proofErr w:type="spellStart"/>
      <w:r w:rsidRPr="00B24750">
        <w:rPr>
          <w:rFonts w:asciiTheme="majorHAnsi" w:hAnsiTheme="majorHAnsi"/>
          <w:sz w:val="20"/>
          <w:szCs w:val="20"/>
          <w:bdr w:val="none" w:sz="0" w:space="0" w:color="auto"/>
          <w:lang w:val="en-US"/>
        </w:rPr>
        <w:t>Yoani</w:t>
      </w:r>
      <w:proofErr w:type="spellEnd"/>
      <w:r w:rsidRPr="00B24750">
        <w:rPr>
          <w:rFonts w:asciiTheme="majorHAnsi" w:hAnsiTheme="majorHAnsi"/>
          <w:sz w:val="20"/>
          <w:szCs w:val="20"/>
          <w:bdr w:val="none" w:sz="0" w:space="0" w:color="auto"/>
          <w:lang w:val="en-US"/>
        </w:rPr>
        <w:t xml:space="preserve"> Sánchez</w:t>
      </w:r>
      <w:r w:rsidR="00AA0D3C" w:rsidRPr="00B24750">
        <w:rPr>
          <w:rFonts w:asciiTheme="majorHAnsi" w:hAnsiTheme="majorHAnsi"/>
          <w:sz w:val="20"/>
          <w:szCs w:val="20"/>
          <w:bdr w:val="none" w:sz="0" w:space="0" w:color="auto"/>
          <w:lang w:val="en-US"/>
        </w:rPr>
        <w:t>’s communications</w:t>
      </w:r>
      <w:r w:rsidRPr="00B24750">
        <w:rPr>
          <w:rFonts w:asciiTheme="majorHAnsi" w:hAnsiTheme="majorHAnsi"/>
          <w:sz w:val="20"/>
          <w:szCs w:val="20"/>
          <w:bdr w:val="none" w:sz="0" w:space="0" w:color="auto"/>
          <w:lang w:val="en-US"/>
        </w:rPr>
        <w:t xml:space="preserve"> </w:t>
      </w:r>
      <w:r w:rsidR="00AA0D3C" w:rsidRPr="00B24750">
        <w:rPr>
          <w:rFonts w:asciiTheme="majorHAnsi" w:hAnsiTheme="majorHAnsi"/>
          <w:sz w:val="20"/>
          <w:szCs w:val="20"/>
          <w:bdr w:val="none" w:sz="0" w:space="0" w:color="auto"/>
          <w:lang w:val="en-US"/>
        </w:rPr>
        <w:t>constitutes</w:t>
      </w:r>
      <w:r w:rsidRPr="00B24750">
        <w:rPr>
          <w:rFonts w:asciiTheme="majorHAnsi" w:hAnsiTheme="majorHAnsi"/>
          <w:sz w:val="20"/>
          <w:szCs w:val="20"/>
          <w:bdr w:val="none" w:sz="0" w:space="0" w:color="auto"/>
          <w:lang w:val="en-US"/>
        </w:rPr>
        <w:t xml:space="preserve"> arbitrary intrusions by the State, </w:t>
      </w:r>
      <w:r w:rsidR="00AA0D3C" w:rsidRPr="00B24750">
        <w:rPr>
          <w:rFonts w:asciiTheme="majorHAnsi" w:hAnsiTheme="majorHAnsi"/>
          <w:sz w:val="20"/>
          <w:szCs w:val="20"/>
          <w:bdr w:val="none" w:sz="0" w:space="0" w:color="auto"/>
          <w:lang w:val="en-US"/>
        </w:rPr>
        <w:t>amounting to</w:t>
      </w:r>
      <w:r w:rsidRPr="00B24750">
        <w:rPr>
          <w:rFonts w:asciiTheme="majorHAnsi" w:hAnsiTheme="majorHAnsi"/>
          <w:sz w:val="20"/>
          <w:szCs w:val="20"/>
          <w:bdr w:val="none" w:sz="0" w:space="0" w:color="auto"/>
          <w:lang w:val="en-US"/>
        </w:rPr>
        <w:t xml:space="preserve"> the violation of the right to </w:t>
      </w:r>
      <w:r w:rsidR="00AA0D3C" w:rsidRPr="00B24750">
        <w:rPr>
          <w:rFonts w:asciiTheme="majorHAnsi" w:hAnsiTheme="majorHAnsi"/>
          <w:sz w:val="20"/>
          <w:szCs w:val="20"/>
          <w:bdr w:val="none" w:sz="0" w:space="0" w:color="auto"/>
          <w:lang w:val="en-US"/>
        </w:rPr>
        <w:t xml:space="preserve">the </w:t>
      </w:r>
      <w:r w:rsidRPr="00B24750">
        <w:rPr>
          <w:rFonts w:asciiTheme="majorHAnsi" w:hAnsiTheme="majorHAnsi"/>
          <w:sz w:val="20"/>
          <w:szCs w:val="20"/>
          <w:bdr w:val="none" w:sz="0" w:space="0" w:color="auto"/>
          <w:lang w:val="en-US"/>
        </w:rPr>
        <w:t xml:space="preserve">inviolability of correspondence. Therefore, the Commission </w:t>
      </w:r>
      <w:r w:rsidR="00AA0D3C" w:rsidRPr="00B24750">
        <w:rPr>
          <w:rFonts w:asciiTheme="majorHAnsi" w:hAnsiTheme="majorHAnsi"/>
          <w:sz w:val="20"/>
          <w:szCs w:val="20"/>
          <w:bdr w:val="none" w:sz="0" w:space="0" w:color="auto"/>
          <w:lang w:val="en-US"/>
        </w:rPr>
        <w:t>finds</w:t>
      </w:r>
      <w:r w:rsidRPr="00B24750">
        <w:rPr>
          <w:rFonts w:asciiTheme="majorHAnsi" w:hAnsiTheme="majorHAnsi"/>
          <w:sz w:val="20"/>
          <w:szCs w:val="20"/>
          <w:bdr w:val="none" w:sz="0" w:space="0" w:color="auto"/>
          <w:lang w:val="en-US"/>
        </w:rPr>
        <w:t xml:space="preserve"> that the State violated Article X of the American Declaration to the detriment of </w:t>
      </w:r>
      <w:proofErr w:type="spellStart"/>
      <w:r w:rsidRPr="00B24750">
        <w:rPr>
          <w:rFonts w:asciiTheme="majorHAnsi" w:hAnsiTheme="majorHAnsi"/>
          <w:sz w:val="20"/>
          <w:szCs w:val="20"/>
          <w:bdr w:val="none" w:sz="0" w:space="0" w:color="auto"/>
          <w:lang w:val="en-US"/>
        </w:rPr>
        <w:t>Yoani</w:t>
      </w:r>
      <w:proofErr w:type="spellEnd"/>
      <w:r w:rsidRPr="00B24750">
        <w:rPr>
          <w:rFonts w:asciiTheme="majorHAnsi" w:hAnsiTheme="majorHAnsi"/>
          <w:sz w:val="20"/>
          <w:szCs w:val="20"/>
          <w:bdr w:val="none" w:sz="0" w:space="0" w:color="auto"/>
          <w:lang w:val="en-US"/>
        </w:rPr>
        <w:t xml:space="preserve"> Sánchez</w:t>
      </w:r>
      <w:r w:rsidR="005F45F6" w:rsidRPr="00B24750">
        <w:rPr>
          <w:rFonts w:asciiTheme="majorHAnsi" w:hAnsiTheme="majorHAnsi"/>
          <w:sz w:val="20"/>
          <w:szCs w:val="20"/>
          <w:bdr w:val="none" w:sz="0" w:space="0" w:color="auto"/>
          <w:lang w:val="en-US"/>
        </w:rPr>
        <w:t xml:space="preserve">. </w:t>
      </w:r>
      <w:r w:rsidR="00563006" w:rsidRPr="00B24750">
        <w:rPr>
          <w:rFonts w:asciiTheme="majorHAnsi" w:hAnsiTheme="majorHAnsi"/>
          <w:sz w:val="20"/>
          <w:szCs w:val="20"/>
          <w:bdr w:val="none" w:sz="0" w:space="0" w:color="auto"/>
          <w:lang w:val="en-US"/>
        </w:rPr>
        <w:t xml:space="preserve"> </w:t>
      </w:r>
    </w:p>
    <w:p w14:paraId="306AFACF" w14:textId="77777777" w:rsidR="005F45F6" w:rsidRPr="00B24750" w:rsidRDefault="005F45F6" w:rsidP="005F45F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1767BC9F" w14:textId="02E86A3D" w:rsidR="00FF5B55" w:rsidRPr="00B24750" w:rsidRDefault="00CF43F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Pr>
          <w:rFonts w:asciiTheme="majorHAnsi" w:hAnsiTheme="majorHAnsi"/>
          <w:sz w:val="20"/>
          <w:szCs w:val="20"/>
          <w:bdr w:val="none" w:sz="0" w:space="0" w:color="auto"/>
          <w:lang w:val="en-US"/>
        </w:rPr>
        <w:t xml:space="preserve">Regarding </w:t>
      </w:r>
      <w:r w:rsidR="00F63701" w:rsidRPr="00B24750">
        <w:rPr>
          <w:rFonts w:asciiTheme="majorHAnsi" w:hAnsiTheme="majorHAnsi"/>
          <w:sz w:val="20"/>
          <w:szCs w:val="20"/>
          <w:bdr w:val="none" w:sz="0" w:space="0" w:color="auto"/>
          <w:lang w:val="en-US"/>
        </w:rPr>
        <w:t>the inviolability of the home, the Commission notes</w:t>
      </w:r>
      <w:r w:rsidR="00BF4264" w:rsidRPr="00B24750">
        <w:rPr>
          <w:rFonts w:asciiTheme="majorHAnsi" w:hAnsiTheme="majorHAnsi"/>
          <w:sz w:val="20"/>
          <w:szCs w:val="20"/>
          <w:bdr w:val="none" w:sz="0" w:space="0" w:color="auto"/>
          <w:lang w:val="en-US"/>
        </w:rPr>
        <w:t xml:space="preserve"> that it has neither been alleged nor inferred from the case file that </w:t>
      </w:r>
      <w:r w:rsidR="00F63701" w:rsidRPr="00B24750">
        <w:rPr>
          <w:rFonts w:asciiTheme="majorHAnsi" w:hAnsiTheme="majorHAnsi"/>
          <w:sz w:val="20"/>
          <w:szCs w:val="20"/>
          <w:bdr w:val="none" w:sz="0" w:space="0" w:color="auto"/>
          <w:lang w:val="en-US"/>
        </w:rPr>
        <w:t xml:space="preserve">State or non-state agents entered </w:t>
      </w:r>
      <w:proofErr w:type="spellStart"/>
      <w:r w:rsidR="00F63701" w:rsidRPr="00B24750">
        <w:rPr>
          <w:rFonts w:asciiTheme="majorHAnsi" w:hAnsiTheme="majorHAnsi"/>
          <w:sz w:val="20"/>
          <w:szCs w:val="20"/>
          <w:bdr w:val="none" w:sz="0" w:space="0" w:color="auto"/>
          <w:lang w:val="en-US"/>
        </w:rPr>
        <w:t>Yoani</w:t>
      </w:r>
      <w:proofErr w:type="spellEnd"/>
      <w:r w:rsidR="00F63701" w:rsidRPr="00B24750">
        <w:rPr>
          <w:rFonts w:asciiTheme="majorHAnsi" w:hAnsiTheme="majorHAnsi"/>
          <w:sz w:val="20"/>
          <w:szCs w:val="20"/>
          <w:bdr w:val="none" w:sz="0" w:space="0" w:color="auto"/>
          <w:lang w:val="en-US"/>
        </w:rPr>
        <w:t xml:space="preserve"> Sánchez’s residence. In its jurisprudence, the IACHR has found violation of Article IX of the American Declaration when the authorities enter the victim</w:t>
      </w:r>
      <w:r w:rsidR="00C26985" w:rsidRPr="00B24750">
        <w:rPr>
          <w:rFonts w:asciiTheme="majorHAnsi" w:hAnsiTheme="majorHAnsi"/>
          <w:sz w:val="20"/>
          <w:szCs w:val="20"/>
          <w:bdr w:val="none" w:sz="0" w:space="0" w:color="auto"/>
          <w:lang w:val="en-US"/>
        </w:rPr>
        <w:t>’</w:t>
      </w:r>
      <w:r w:rsidR="00F63701" w:rsidRPr="00B24750">
        <w:rPr>
          <w:rFonts w:asciiTheme="majorHAnsi" w:hAnsiTheme="majorHAnsi"/>
          <w:sz w:val="20"/>
          <w:szCs w:val="20"/>
          <w:bdr w:val="none" w:sz="0" w:space="0" w:color="auto"/>
          <w:lang w:val="en-US"/>
        </w:rPr>
        <w:t xml:space="preserve">s home without </w:t>
      </w:r>
      <w:r w:rsidR="00C26985" w:rsidRPr="00B24750">
        <w:rPr>
          <w:rFonts w:asciiTheme="majorHAnsi" w:hAnsiTheme="majorHAnsi"/>
          <w:sz w:val="20"/>
          <w:szCs w:val="20"/>
          <w:bdr w:val="none" w:sz="0" w:space="0" w:color="auto"/>
          <w:lang w:val="en-US"/>
        </w:rPr>
        <w:t>his or her permission</w:t>
      </w:r>
      <w:r w:rsidR="00F63701" w:rsidRPr="00B24750">
        <w:rPr>
          <w:rFonts w:asciiTheme="majorHAnsi" w:hAnsiTheme="majorHAnsi"/>
          <w:sz w:val="20"/>
          <w:szCs w:val="20"/>
          <w:bdr w:val="none" w:sz="0" w:space="0" w:color="auto"/>
          <w:lang w:val="en-US"/>
        </w:rPr>
        <w:t xml:space="preserve"> and without a court order, as</w:t>
      </w:r>
      <w:r>
        <w:rPr>
          <w:rFonts w:asciiTheme="majorHAnsi" w:hAnsiTheme="majorHAnsi"/>
          <w:sz w:val="20"/>
          <w:szCs w:val="20"/>
          <w:bdr w:val="none" w:sz="0" w:space="0" w:color="auto"/>
          <w:lang w:val="en-US"/>
        </w:rPr>
        <w:t xml:space="preserve"> </w:t>
      </w:r>
      <w:r w:rsidR="00F63701" w:rsidRPr="00B24750">
        <w:rPr>
          <w:rFonts w:asciiTheme="majorHAnsi" w:hAnsiTheme="majorHAnsi"/>
          <w:sz w:val="20"/>
          <w:szCs w:val="20"/>
          <w:bdr w:val="none" w:sz="0" w:space="0" w:color="auto"/>
          <w:lang w:val="en-US"/>
        </w:rPr>
        <w:t>in cases of searches not authorized by a competent authority.</w:t>
      </w:r>
      <w:r w:rsidR="00F63701" w:rsidRPr="00B24750">
        <w:rPr>
          <w:rFonts w:asciiTheme="majorHAnsi" w:hAnsiTheme="majorHAnsi"/>
          <w:sz w:val="20"/>
          <w:szCs w:val="20"/>
          <w:bdr w:val="none" w:sz="0" w:space="0" w:color="auto"/>
          <w:vertAlign w:val="superscript"/>
          <w:lang w:val="en-US"/>
        </w:rPr>
        <w:footnoteReference w:id="226"/>
      </w:r>
      <w:r w:rsidR="00F63701" w:rsidRPr="00B24750">
        <w:rPr>
          <w:rFonts w:asciiTheme="majorHAnsi" w:hAnsiTheme="majorHAnsi"/>
          <w:sz w:val="20"/>
          <w:szCs w:val="20"/>
          <w:bdr w:val="none" w:sz="0" w:space="0" w:color="auto"/>
          <w:lang w:val="en-US"/>
        </w:rPr>
        <w:t xml:space="preserve"> In this </w:t>
      </w:r>
      <w:r w:rsidR="00C26985" w:rsidRPr="00B24750">
        <w:rPr>
          <w:rFonts w:asciiTheme="majorHAnsi" w:hAnsiTheme="majorHAnsi"/>
          <w:sz w:val="20"/>
          <w:szCs w:val="20"/>
          <w:bdr w:val="none" w:sz="0" w:space="0" w:color="auto"/>
          <w:lang w:val="en-US"/>
        </w:rPr>
        <w:t>regard</w:t>
      </w:r>
      <w:r w:rsidR="00F63701" w:rsidRPr="00B24750">
        <w:rPr>
          <w:rFonts w:asciiTheme="majorHAnsi" w:hAnsiTheme="majorHAnsi"/>
          <w:sz w:val="20"/>
          <w:szCs w:val="20"/>
          <w:bdr w:val="none" w:sz="0" w:space="0" w:color="auto"/>
          <w:lang w:val="en-US"/>
        </w:rPr>
        <w:t xml:space="preserve">, the surveillance of the </w:t>
      </w:r>
      <w:r w:rsidR="00C26985" w:rsidRPr="00B24750">
        <w:rPr>
          <w:rFonts w:asciiTheme="majorHAnsi" w:hAnsiTheme="majorHAnsi"/>
          <w:sz w:val="20"/>
          <w:szCs w:val="20"/>
          <w:bdr w:val="none" w:sz="0" w:space="0" w:color="auto"/>
          <w:lang w:val="en-US"/>
        </w:rPr>
        <w:t xml:space="preserve">area </w:t>
      </w:r>
      <w:r w:rsidR="00F63701" w:rsidRPr="00B24750">
        <w:rPr>
          <w:rFonts w:asciiTheme="majorHAnsi" w:hAnsiTheme="majorHAnsi"/>
          <w:sz w:val="20"/>
          <w:szCs w:val="20"/>
          <w:bdr w:val="none" w:sz="0" w:space="0" w:color="auto"/>
          <w:lang w:val="en-US"/>
        </w:rPr>
        <w:t xml:space="preserve">surrounding </w:t>
      </w:r>
      <w:r w:rsidR="00C26985" w:rsidRPr="00B24750">
        <w:rPr>
          <w:rFonts w:asciiTheme="majorHAnsi" w:hAnsiTheme="majorHAnsi"/>
          <w:sz w:val="20"/>
          <w:szCs w:val="20"/>
          <w:bdr w:val="none" w:sz="0" w:space="0" w:color="auto"/>
          <w:lang w:val="en-US"/>
        </w:rPr>
        <w:t xml:space="preserve">her </w:t>
      </w:r>
      <w:r w:rsidR="00F63701" w:rsidRPr="00B24750">
        <w:rPr>
          <w:rFonts w:asciiTheme="majorHAnsi" w:hAnsiTheme="majorHAnsi"/>
          <w:sz w:val="20"/>
          <w:szCs w:val="20"/>
          <w:bdr w:val="none" w:sz="0" w:space="0" w:color="auto"/>
          <w:lang w:val="en-US"/>
        </w:rPr>
        <w:t xml:space="preserve">residence and the interviews with her visitors are not sufficient </w:t>
      </w:r>
      <w:r w:rsidR="00C26985" w:rsidRPr="00B24750">
        <w:rPr>
          <w:rFonts w:asciiTheme="majorHAnsi" w:hAnsiTheme="majorHAnsi"/>
          <w:sz w:val="20"/>
          <w:szCs w:val="20"/>
          <w:bdr w:val="none" w:sz="0" w:space="0" w:color="auto"/>
          <w:lang w:val="en-US"/>
        </w:rPr>
        <w:t>evidence</w:t>
      </w:r>
      <w:r w:rsidR="00F63701" w:rsidRPr="00B24750">
        <w:rPr>
          <w:rFonts w:asciiTheme="majorHAnsi" w:hAnsiTheme="majorHAnsi"/>
          <w:sz w:val="20"/>
          <w:szCs w:val="20"/>
          <w:bdr w:val="none" w:sz="0" w:space="0" w:color="auto"/>
          <w:lang w:val="en-US"/>
        </w:rPr>
        <w:t xml:space="preserve"> to conclude the violation of this right</w:t>
      </w:r>
      <w:r w:rsidR="00C26985" w:rsidRPr="00B24750">
        <w:rPr>
          <w:rFonts w:asciiTheme="majorHAnsi" w:hAnsiTheme="majorHAnsi"/>
          <w:sz w:val="20"/>
          <w:szCs w:val="20"/>
          <w:bdr w:val="none" w:sz="0" w:space="0" w:color="auto"/>
          <w:lang w:val="en-US"/>
        </w:rPr>
        <w:t>.</w:t>
      </w:r>
      <w:r w:rsidR="00F63701" w:rsidRPr="00B24750">
        <w:rPr>
          <w:rFonts w:asciiTheme="majorHAnsi" w:hAnsiTheme="majorHAnsi"/>
          <w:sz w:val="20"/>
          <w:szCs w:val="20"/>
          <w:bdr w:val="none" w:sz="0" w:space="0" w:color="auto"/>
          <w:lang w:val="en-US"/>
        </w:rPr>
        <w:t xml:space="preserve"> </w:t>
      </w:r>
      <w:r w:rsidR="00C26985" w:rsidRPr="00B24750">
        <w:rPr>
          <w:rFonts w:asciiTheme="majorHAnsi" w:hAnsiTheme="majorHAnsi"/>
          <w:sz w:val="20"/>
          <w:szCs w:val="20"/>
          <w:bdr w:val="none" w:sz="0" w:space="0" w:color="auto"/>
          <w:lang w:val="en-US"/>
        </w:rPr>
        <w:t>These acts may, however, constitute</w:t>
      </w:r>
      <w:r w:rsidR="00F63701" w:rsidRPr="00B24750">
        <w:rPr>
          <w:rFonts w:asciiTheme="majorHAnsi" w:hAnsiTheme="majorHAnsi"/>
          <w:sz w:val="20"/>
          <w:szCs w:val="20"/>
          <w:bdr w:val="none" w:sz="0" w:space="0" w:color="auto"/>
          <w:lang w:val="en-US"/>
        </w:rPr>
        <w:t xml:space="preserve"> harassment against the journalist, as </w:t>
      </w:r>
      <w:r w:rsidR="00C26985" w:rsidRPr="00B24750">
        <w:rPr>
          <w:rFonts w:asciiTheme="majorHAnsi" w:hAnsiTheme="majorHAnsi"/>
          <w:sz w:val="20"/>
          <w:szCs w:val="20"/>
          <w:bdr w:val="none" w:sz="0" w:space="0" w:color="auto"/>
          <w:lang w:val="en-US"/>
        </w:rPr>
        <w:t>discussed</w:t>
      </w:r>
      <w:r w:rsidR="00F63701" w:rsidRPr="00B24750">
        <w:rPr>
          <w:rFonts w:asciiTheme="majorHAnsi" w:hAnsiTheme="majorHAnsi"/>
          <w:sz w:val="20"/>
          <w:szCs w:val="20"/>
          <w:bdr w:val="none" w:sz="0" w:space="0" w:color="auto"/>
          <w:lang w:val="en-US"/>
        </w:rPr>
        <w:t xml:space="preserve"> in the </w:t>
      </w:r>
      <w:r w:rsidR="00AE5B4E" w:rsidRPr="00B24750">
        <w:rPr>
          <w:rFonts w:asciiTheme="majorHAnsi" w:hAnsiTheme="majorHAnsi"/>
          <w:sz w:val="20"/>
          <w:szCs w:val="20"/>
          <w:bdr w:val="none" w:sz="0" w:space="0" w:color="auto"/>
          <w:lang w:val="en-US"/>
        </w:rPr>
        <w:t>next</w:t>
      </w:r>
      <w:r w:rsidR="00F63701" w:rsidRPr="00B24750">
        <w:rPr>
          <w:rFonts w:asciiTheme="majorHAnsi" w:hAnsiTheme="majorHAnsi"/>
          <w:sz w:val="20"/>
          <w:szCs w:val="20"/>
          <w:bdr w:val="none" w:sz="0" w:space="0" w:color="auto"/>
          <w:lang w:val="en-US"/>
        </w:rPr>
        <w:t xml:space="preserve"> section of this report</w:t>
      </w:r>
      <w:r w:rsidR="00EF53B6" w:rsidRPr="00B24750">
        <w:rPr>
          <w:rFonts w:asciiTheme="majorHAnsi" w:hAnsiTheme="majorHAnsi"/>
          <w:sz w:val="20"/>
          <w:szCs w:val="20"/>
          <w:bdr w:val="none" w:sz="0" w:space="0" w:color="auto"/>
          <w:lang w:val="en-US"/>
        </w:rPr>
        <w:t>.</w:t>
      </w:r>
    </w:p>
    <w:p w14:paraId="5D409A3F" w14:textId="77777777" w:rsidR="000D26CB" w:rsidRPr="00B24750" w:rsidRDefault="000D26CB" w:rsidP="00214149">
      <w:pPr>
        <w:rPr>
          <w:rFonts w:asciiTheme="majorHAnsi" w:hAnsiTheme="majorHAnsi"/>
          <w:sz w:val="20"/>
          <w:szCs w:val="20"/>
          <w:highlight w:val="yellow"/>
          <w:bdr w:val="none" w:sz="0" w:space="0" w:color="auto"/>
          <w:lang w:val="en-US"/>
        </w:rPr>
      </w:pPr>
    </w:p>
    <w:p w14:paraId="126A5DB3" w14:textId="0873B1A3" w:rsidR="000D26CB" w:rsidRPr="007B681D" w:rsidRDefault="00625EC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bdr w:val="none" w:sz="0" w:space="0" w:color="auto"/>
          <w:lang w:val="en-US"/>
        </w:rPr>
      </w:pPr>
      <w:r w:rsidRPr="00B24750">
        <w:rPr>
          <w:rFonts w:asciiTheme="majorHAnsi" w:hAnsiTheme="majorHAnsi"/>
          <w:color w:val="000000"/>
          <w:sz w:val="20"/>
          <w:szCs w:val="20"/>
          <w:lang w:val="en-US"/>
        </w:rPr>
        <w:t>Therefore, according to the facts alleged by the petitioners, the Commission does not find a violation of the right to the inviolability of the home enshrined in Article IX of the American Declaration</w:t>
      </w:r>
      <w:r w:rsidR="000D26CB" w:rsidRPr="00B24750">
        <w:rPr>
          <w:rFonts w:asciiTheme="majorHAnsi" w:hAnsiTheme="majorHAnsi"/>
          <w:color w:val="000000"/>
          <w:sz w:val="20"/>
          <w:szCs w:val="20"/>
          <w:lang w:val="en-US"/>
        </w:rPr>
        <w:t>.</w:t>
      </w:r>
    </w:p>
    <w:p w14:paraId="5972684B" w14:textId="77777777" w:rsidR="007B681D" w:rsidRPr="00B24750" w:rsidRDefault="007B681D" w:rsidP="007B681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bdr w:val="none" w:sz="0" w:space="0" w:color="auto"/>
          <w:lang w:val="en-US"/>
        </w:rPr>
      </w:pPr>
    </w:p>
    <w:p w14:paraId="36535CFF" w14:textId="22841483" w:rsidR="00061170" w:rsidRPr="007B681D" w:rsidRDefault="00625EC3" w:rsidP="007B681D">
      <w:pPr>
        <w:pStyle w:val="Heading2"/>
      </w:pPr>
      <w:bookmarkStart w:id="32" w:name="_Toc505951347"/>
      <w:bookmarkStart w:id="33" w:name="_Toc90392483"/>
      <w:r w:rsidRPr="007B681D">
        <w:t>Right</w:t>
      </w:r>
      <w:r w:rsidR="00061170" w:rsidRPr="007B681D">
        <w:t xml:space="preserve"> </w:t>
      </w:r>
      <w:bookmarkEnd w:id="32"/>
      <w:r w:rsidRPr="007B681D">
        <w:t>to freedom of in</w:t>
      </w:r>
      <w:r w:rsidR="0017640D" w:rsidRPr="007B681D">
        <w:t>vestigation</w:t>
      </w:r>
      <w:r w:rsidRPr="007B681D">
        <w:t>, opinion, expression</w:t>
      </w:r>
      <w:r w:rsidR="001E555F" w:rsidRPr="007B681D">
        <w:t>,</w:t>
      </w:r>
      <w:r w:rsidRPr="007B681D">
        <w:t xml:space="preserve"> and dissemination (Article IV),</w:t>
      </w:r>
      <w:r w:rsidRPr="007B681D">
        <w:rPr>
          <w:rStyle w:val="FootnoteReference"/>
          <w:vertAlign w:val="baseline"/>
        </w:rPr>
        <w:footnoteReference w:id="227"/>
      </w:r>
      <w:r w:rsidRPr="007B681D">
        <w:t xml:space="preserve"> right to vote and to participate in government (Article XX),</w:t>
      </w:r>
      <w:r w:rsidRPr="007B681D">
        <w:rPr>
          <w:rStyle w:val="FootnoteReference"/>
          <w:vertAlign w:val="baseline"/>
        </w:rPr>
        <w:footnoteReference w:id="228"/>
      </w:r>
      <w:r w:rsidRPr="007B681D">
        <w:t xml:space="preserve"> and right </w:t>
      </w:r>
      <w:r w:rsidR="0017640D" w:rsidRPr="007B681D">
        <w:t xml:space="preserve">to protection of honor, personal reputation, and private and family life </w:t>
      </w:r>
      <w:r w:rsidRPr="007B681D">
        <w:t>(Article V)</w:t>
      </w:r>
      <w:r w:rsidRPr="007B681D">
        <w:rPr>
          <w:rStyle w:val="FootnoteReference"/>
          <w:vertAlign w:val="baseline"/>
        </w:rPr>
        <w:footnoteReference w:id="229"/>
      </w:r>
      <w:r w:rsidRPr="007B681D">
        <w:t xml:space="preserve"> of the American Declaration</w:t>
      </w:r>
      <w:bookmarkEnd w:id="33"/>
    </w:p>
    <w:p w14:paraId="4013A5BB" w14:textId="77777777" w:rsidR="007B681D" w:rsidRPr="007B681D" w:rsidRDefault="007B681D" w:rsidP="007B681D">
      <w:pPr>
        <w:rPr>
          <w:lang w:val="en-US"/>
        </w:rPr>
      </w:pPr>
    </w:p>
    <w:p w14:paraId="31A4F787" w14:textId="1B631D40" w:rsidR="00BC5683" w:rsidRPr="007B681D" w:rsidRDefault="00625EC3" w:rsidP="007B681D">
      <w:pPr>
        <w:pStyle w:val="Heading3"/>
        <w:numPr>
          <w:ilvl w:val="0"/>
          <w:numId w:val="70"/>
        </w:numPr>
        <w:ind w:left="720" w:hanging="720"/>
      </w:pPr>
      <w:bookmarkStart w:id="34" w:name="_Toc90392484"/>
      <w:r w:rsidRPr="007B681D">
        <w:lastRenderedPageBreak/>
        <w:t>Right to freedom of expression</w:t>
      </w:r>
      <w:bookmarkEnd w:id="34"/>
    </w:p>
    <w:p w14:paraId="44063AB5" w14:textId="77777777" w:rsidR="001B7CE6" w:rsidRPr="00B24750" w:rsidRDefault="001B7CE6" w:rsidP="005F7FE2">
      <w:pPr>
        <w:pStyle w:val="ListParagraph"/>
        <w:rPr>
          <w:rFonts w:asciiTheme="majorHAnsi" w:hAnsiTheme="majorHAnsi"/>
          <w:sz w:val="20"/>
          <w:szCs w:val="20"/>
        </w:rPr>
      </w:pPr>
    </w:p>
    <w:p w14:paraId="0D339214" w14:textId="668DE0E5" w:rsidR="002D3D37" w:rsidRPr="00B24750" w:rsidRDefault="002D3D37"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Calibri" w:hAnsiTheme="majorHAnsi"/>
          <w:sz w:val="20"/>
          <w:szCs w:val="20"/>
          <w:lang w:val="en-US"/>
        </w:rPr>
      </w:pPr>
      <w:r w:rsidRPr="00B24750">
        <w:rPr>
          <w:rFonts w:asciiTheme="majorHAnsi" w:hAnsiTheme="majorHAnsi"/>
          <w:sz w:val="20"/>
          <w:szCs w:val="20"/>
          <w:lang w:val="en-US"/>
        </w:rPr>
        <w:t xml:space="preserve">The IACHR has repeatedly recognized that the freedom to express ideas and disseminate information of all kinds, regardless of borders, is a fundamental and inalienable right inherent to all persons. It is </w:t>
      </w:r>
      <w:r w:rsidRPr="00B24750">
        <w:rPr>
          <w:rFonts w:asciiTheme="majorHAnsi" w:eastAsia="Calibri" w:hAnsiTheme="majorHAnsi"/>
          <w:sz w:val="20"/>
          <w:szCs w:val="20"/>
          <w:lang w:val="en-US"/>
        </w:rPr>
        <w:t>“</w:t>
      </w:r>
      <w:r w:rsidR="005B19EB" w:rsidRPr="00B24750">
        <w:rPr>
          <w:rFonts w:asciiTheme="majorHAnsi" w:eastAsia="Calibri" w:hAnsiTheme="majorHAnsi"/>
          <w:sz w:val="20"/>
          <w:szCs w:val="20"/>
          <w:lang w:val="en-US"/>
        </w:rPr>
        <w:t>one of the individual rights that most clearly reflects the virtue that marks—and characterizes—human beings: the unique and precious capacity to think about the world from our own perspective and communicate with one another in order to construct, through a deliberative process, not only the model of life that each one has a right to adopt, but the model of society in which we want to live</w:t>
      </w:r>
      <w:r w:rsidRPr="00B24750">
        <w:rPr>
          <w:rFonts w:asciiTheme="majorHAnsi" w:eastAsia="Calibri" w:hAnsiTheme="majorHAnsi"/>
          <w:sz w:val="20"/>
          <w:szCs w:val="20"/>
          <w:lang w:val="en-US"/>
        </w:rPr>
        <w:t>.”</w:t>
      </w:r>
      <w:r w:rsidRPr="00B24750">
        <w:rPr>
          <w:rStyle w:val="FootnoteReference"/>
          <w:rFonts w:asciiTheme="majorHAnsi" w:eastAsia="Calibri" w:hAnsiTheme="majorHAnsi"/>
          <w:sz w:val="20"/>
          <w:szCs w:val="20"/>
          <w:lang w:val="en-US"/>
        </w:rPr>
        <w:footnoteReference w:id="230"/>
      </w:r>
      <w:r w:rsidRPr="00B24750">
        <w:rPr>
          <w:rFonts w:asciiTheme="majorHAnsi" w:eastAsia="Calibri" w:hAnsiTheme="majorHAnsi"/>
          <w:sz w:val="20"/>
          <w:szCs w:val="20"/>
          <w:lang w:val="en-US"/>
        </w:rPr>
        <w:t xml:space="preserve"> </w:t>
      </w:r>
    </w:p>
    <w:p w14:paraId="689058CC" w14:textId="77777777" w:rsidR="00061170" w:rsidRPr="00B24750" w:rsidRDefault="00061170" w:rsidP="005F7FE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heme="majorHAnsi" w:eastAsia="Calibri" w:hAnsiTheme="majorHAnsi"/>
          <w:sz w:val="20"/>
          <w:szCs w:val="20"/>
        </w:rPr>
      </w:pPr>
    </w:p>
    <w:p w14:paraId="04AB8B84" w14:textId="6BF9A0E8" w:rsidR="00061170" w:rsidRPr="00B24750" w:rsidRDefault="0040402E"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B24750">
        <w:rPr>
          <w:rFonts w:asciiTheme="majorHAnsi" w:hAnsiTheme="majorHAnsi"/>
          <w:sz w:val="20"/>
          <w:szCs w:val="20"/>
          <w:lang w:val="en-US"/>
        </w:rPr>
        <w:t>It is, moreover, an essential prerequisite for the very existence of a democratic society. The purpose of this right is to strengthen the functioning of pluralistic and deliberative democratic systems, through the protection and promotion of the free flow of information, ideas, and expressions.</w:t>
      </w:r>
      <w:r w:rsidRPr="00B24750">
        <w:rPr>
          <w:rStyle w:val="FootnoteReference"/>
          <w:rFonts w:asciiTheme="majorHAnsi" w:hAnsiTheme="majorHAnsi"/>
          <w:sz w:val="20"/>
          <w:szCs w:val="20"/>
          <w:lang w:val="en-US"/>
        </w:rPr>
        <w:footnoteReference w:id="231"/>
      </w:r>
      <w:r w:rsidRPr="00B24750">
        <w:rPr>
          <w:rFonts w:asciiTheme="majorHAnsi" w:hAnsiTheme="majorHAnsi"/>
          <w:sz w:val="20"/>
          <w:szCs w:val="20"/>
          <w:lang w:val="en-US"/>
        </w:rPr>
        <w:t xml:space="preserve"> In Advisory Opinion No. 5, the Inter-American Court affirmed that</w:t>
      </w:r>
      <w:r w:rsidR="00061170" w:rsidRPr="00B24750">
        <w:rPr>
          <w:rFonts w:asciiTheme="majorHAnsi" w:hAnsiTheme="majorHAnsi"/>
          <w:sz w:val="20"/>
          <w:szCs w:val="20"/>
          <w:lang w:val="en-US"/>
        </w:rPr>
        <w:t xml:space="preserve">: </w:t>
      </w:r>
    </w:p>
    <w:p w14:paraId="4413EEAA" w14:textId="77777777" w:rsidR="00061170" w:rsidRPr="00B24750" w:rsidRDefault="00061170" w:rsidP="005F7FE2">
      <w:pPr>
        <w:pStyle w:val="ListParagraph"/>
        <w:rPr>
          <w:rFonts w:asciiTheme="majorHAnsi" w:hAnsiTheme="majorHAnsi"/>
          <w:sz w:val="20"/>
          <w:szCs w:val="20"/>
        </w:rPr>
      </w:pPr>
    </w:p>
    <w:p w14:paraId="4BB7D3F0" w14:textId="045F9502" w:rsidR="00061170" w:rsidRPr="00B24750" w:rsidRDefault="003C6E10" w:rsidP="00C020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864"/>
        <w:jc w:val="both"/>
        <w:rPr>
          <w:rFonts w:asciiTheme="majorHAnsi" w:hAnsiTheme="majorHAnsi"/>
          <w:sz w:val="18"/>
          <w:szCs w:val="18"/>
        </w:rPr>
      </w:pPr>
      <w:r w:rsidRPr="00B24750">
        <w:rPr>
          <w:rFonts w:asciiTheme="majorHAnsi" w:hAnsiTheme="majorHAnsi"/>
          <w:sz w:val="18"/>
          <w:szCs w:val="18"/>
        </w:rPr>
        <w:t xml:space="preserve">Freedom of expression is a cornerstone upon which the very existence of a democratic society rests. It is indispensable for the formation of public opinion. It is also a </w:t>
      </w:r>
      <w:proofErr w:type="spellStart"/>
      <w:r w:rsidRPr="00B24750">
        <w:rPr>
          <w:rFonts w:asciiTheme="majorHAnsi" w:hAnsiTheme="majorHAnsi"/>
          <w:i/>
          <w:iCs/>
          <w:sz w:val="18"/>
          <w:szCs w:val="18"/>
        </w:rPr>
        <w:t>conditio</w:t>
      </w:r>
      <w:proofErr w:type="spellEnd"/>
      <w:r w:rsidRPr="00B24750">
        <w:rPr>
          <w:rFonts w:asciiTheme="majorHAnsi" w:hAnsiTheme="majorHAnsi"/>
          <w:i/>
          <w:iCs/>
          <w:sz w:val="18"/>
          <w:szCs w:val="18"/>
        </w:rPr>
        <w:t xml:space="preserve"> sine qua non</w:t>
      </w:r>
      <w:r w:rsidRPr="00B24750">
        <w:rPr>
          <w:rFonts w:asciiTheme="majorHAnsi" w:hAnsiTheme="majorHAnsi"/>
          <w:sz w:val="18"/>
          <w:szCs w:val="18"/>
        </w:rPr>
        <w:t xml:space="preserve"> for the development of political parties, trade unions, scientific and cultural societies and, in general, those who wish to influence the public. It represents, in short, the means that enable the community, when exercising its options, to be sufficiently informed. Consequently, it can be said that a society that is not well informed is not a society that is truly free</w:t>
      </w:r>
      <w:r w:rsidR="0040402E" w:rsidRPr="00B24750">
        <w:rPr>
          <w:rFonts w:asciiTheme="majorHAnsi" w:hAnsiTheme="majorHAnsi"/>
          <w:sz w:val="18"/>
          <w:szCs w:val="18"/>
        </w:rPr>
        <w:t>.</w:t>
      </w:r>
      <w:r w:rsidR="0040402E" w:rsidRPr="00B24750">
        <w:rPr>
          <w:rStyle w:val="FootnoteReference"/>
          <w:rFonts w:asciiTheme="majorHAnsi" w:hAnsiTheme="majorHAnsi"/>
          <w:sz w:val="18"/>
          <w:szCs w:val="18"/>
        </w:rPr>
        <w:footnoteReference w:id="232"/>
      </w:r>
    </w:p>
    <w:p w14:paraId="664A7268" w14:textId="77777777" w:rsidR="00061170" w:rsidRPr="00B24750" w:rsidRDefault="00061170" w:rsidP="005F7FE2">
      <w:pPr>
        <w:pStyle w:val="ListParagraph"/>
        <w:rPr>
          <w:rFonts w:asciiTheme="majorHAnsi" w:hAnsiTheme="majorHAnsi"/>
          <w:sz w:val="20"/>
          <w:szCs w:val="20"/>
        </w:rPr>
      </w:pPr>
    </w:p>
    <w:p w14:paraId="5113DFEA" w14:textId="5BA99A75" w:rsidR="00061170" w:rsidRPr="00B24750" w:rsidRDefault="005C78C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B24750">
        <w:rPr>
          <w:rFonts w:asciiTheme="majorHAnsi" w:hAnsiTheme="majorHAnsi"/>
          <w:sz w:val="20"/>
          <w:szCs w:val="20"/>
          <w:lang w:val="en-US"/>
        </w:rPr>
        <w:t>The IACHR has held that “</w:t>
      </w:r>
      <w:r w:rsidR="001D3404" w:rsidRPr="00B24750">
        <w:rPr>
          <w:rFonts w:asciiTheme="majorHAnsi" w:hAnsiTheme="majorHAnsi"/>
          <w:sz w:val="20"/>
          <w:szCs w:val="20"/>
          <w:lang w:val="en-US"/>
        </w:rPr>
        <w:t>when Article IV of the Declaration proclaims that ‘every person has the right to freedom of investigation, of opinion, and of the expression and dissemination of ideas’ by any means, it is indicating that the expression and dissemination of ideas is indivisible, so that a restriction of the possibility to impart thoughts represents directly, and to the same degree, a restriction of the right to express oneself freely</w:t>
      </w:r>
      <w:r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233"/>
      </w:r>
      <w:r w:rsidRPr="00B24750">
        <w:rPr>
          <w:rFonts w:asciiTheme="majorHAnsi" w:hAnsiTheme="majorHAnsi"/>
          <w:sz w:val="20"/>
          <w:szCs w:val="20"/>
          <w:lang w:val="en-US"/>
        </w:rPr>
        <w:t xml:space="preserve"> Indeed, according to the doctrine and </w:t>
      </w:r>
      <w:r w:rsidR="001D3404" w:rsidRPr="00B24750">
        <w:rPr>
          <w:rFonts w:asciiTheme="majorHAnsi" w:hAnsiTheme="majorHAnsi"/>
          <w:sz w:val="20"/>
          <w:szCs w:val="20"/>
          <w:lang w:val="en-US"/>
        </w:rPr>
        <w:t>case law</w:t>
      </w:r>
      <w:r w:rsidRPr="00B24750">
        <w:rPr>
          <w:rFonts w:asciiTheme="majorHAnsi" w:hAnsiTheme="majorHAnsi"/>
          <w:sz w:val="20"/>
          <w:szCs w:val="20"/>
          <w:lang w:val="en-US"/>
        </w:rPr>
        <w:t xml:space="preserve"> of the inter-American system, freedom of expression has an individual </w:t>
      </w:r>
      <w:r w:rsidR="001D3404" w:rsidRPr="00B24750">
        <w:rPr>
          <w:rFonts w:asciiTheme="majorHAnsi" w:hAnsiTheme="majorHAnsi"/>
          <w:sz w:val="20"/>
          <w:szCs w:val="20"/>
          <w:lang w:val="en-US"/>
        </w:rPr>
        <w:t xml:space="preserve">dimension </w:t>
      </w:r>
      <w:r w:rsidRPr="00B24750">
        <w:rPr>
          <w:rFonts w:asciiTheme="majorHAnsi" w:hAnsiTheme="majorHAnsi"/>
          <w:sz w:val="20"/>
          <w:szCs w:val="20"/>
          <w:lang w:val="en-US"/>
        </w:rPr>
        <w:t>and a social dimension, which must be fully guaranteed simultaneously to give effect to the right to freedom of expression</w:t>
      </w:r>
      <w:r w:rsidR="001D3404" w:rsidRPr="00B24750">
        <w:rPr>
          <w:rFonts w:asciiTheme="majorHAnsi" w:hAnsiTheme="majorHAnsi"/>
          <w:sz w:val="20"/>
          <w:szCs w:val="20"/>
          <w:lang w:val="en-US"/>
        </w:rPr>
        <w:t>.</w:t>
      </w:r>
      <w:r w:rsidRPr="00B24750">
        <w:rPr>
          <w:rStyle w:val="FootnoteReference"/>
          <w:rFonts w:asciiTheme="majorHAnsi" w:hAnsiTheme="majorHAnsi"/>
          <w:sz w:val="20"/>
          <w:szCs w:val="20"/>
          <w:lang w:val="en-US"/>
        </w:rPr>
        <w:footnoteReference w:id="234"/>
      </w:r>
      <w:r w:rsidRPr="00B24750">
        <w:rPr>
          <w:rFonts w:asciiTheme="majorHAnsi" w:hAnsiTheme="majorHAnsi"/>
          <w:sz w:val="20"/>
          <w:szCs w:val="20"/>
          <w:lang w:val="en-US"/>
        </w:rPr>
        <w:t xml:space="preserve"> </w:t>
      </w:r>
      <w:r w:rsidRPr="00B24750">
        <w:rPr>
          <w:rFonts w:asciiTheme="majorHAnsi" w:eastAsia="Calibri" w:hAnsiTheme="majorHAnsi"/>
          <w:sz w:val="20"/>
          <w:szCs w:val="20"/>
          <w:lang w:val="en-US"/>
        </w:rPr>
        <w:t xml:space="preserve">Freedom of expression requires, on the one hand, that no one be arbitrarily </w:t>
      </w:r>
      <w:r w:rsidR="005C2FCA" w:rsidRPr="00B24750">
        <w:rPr>
          <w:rFonts w:asciiTheme="majorHAnsi" w:eastAsia="Calibri" w:hAnsiTheme="majorHAnsi"/>
          <w:sz w:val="20"/>
          <w:szCs w:val="20"/>
          <w:lang w:val="en-US"/>
        </w:rPr>
        <w:t>hindered</w:t>
      </w:r>
      <w:r w:rsidRPr="00B24750">
        <w:rPr>
          <w:rFonts w:asciiTheme="majorHAnsi" w:eastAsia="Calibri" w:hAnsiTheme="majorHAnsi"/>
          <w:sz w:val="20"/>
          <w:szCs w:val="20"/>
          <w:lang w:val="en-US"/>
        </w:rPr>
        <w:t xml:space="preserve"> or prevented from expressing his or her own thoughts and disseminating information of any kind; but it also </w:t>
      </w:r>
      <w:r w:rsidR="005C2FCA" w:rsidRPr="00B24750">
        <w:rPr>
          <w:rFonts w:asciiTheme="majorHAnsi" w:eastAsia="Calibri" w:hAnsiTheme="majorHAnsi"/>
          <w:sz w:val="20"/>
          <w:szCs w:val="20"/>
          <w:lang w:val="en-US"/>
        </w:rPr>
        <w:t>entails</w:t>
      </w:r>
      <w:r w:rsidR="00CF43F6">
        <w:rPr>
          <w:rFonts w:asciiTheme="majorHAnsi" w:eastAsia="Calibri" w:hAnsiTheme="majorHAnsi"/>
          <w:sz w:val="20"/>
          <w:szCs w:val="20"/>
          <w:lang w:val="en-US"/>
        </w:rPr>
        <w:t xml:space="preserve"> </w:t>
      </w:r>
      <w:r w:rsidRPr="00B24750">
        <w:rPr>
          <w:rFonts w:asciiTheme="majorHAnsi" w:eastAsia="Calibri" w:hAnsiTheme="majorHAnsi"/>
          <w:sz w:val="20"/>
          <w:szCs w:val="20"/>
          <w:lang w:val="en-US"/>
        </w:rPr>
        <w:t xml:space="preserve">a collective right to receive any information and to </w:t>
      </w:r>
      <w:r w:rsidR="005C2FCA" w:rsidRPr="00B24750">
        <w:rPr>
          <w:rFonts w:asciiTheme="majorHAnsi" w:eastAsia="Calibri" w:hAnsiTheme="majorHAnsi"/>
          <w:sz w:val="20"/>
          <w:szCs w:val="20"/>
          <w:lang w:val="en-US"/>
        </w:rPr>
        <w:t>have access to the thoughts expressed by</w:t>
      </w:r>
      <w:r w:rsidRPr="00B24750">
        <w:rPr>
          <w:rFonts w:asciiTheme="majorHAnsi" w:eastAsia="Calibri" w:hAnsiTheme="majorHAnsi"/>
          <w:sz w:val="20"/>
          <w:szCs w:val="20"/>
          <w:lang w:val="en-US"/>
        </w:rPr>
        <w:t xml:space="preserve"> others.</w:t>
      </w:r>
      <w:r w:rsidRPr="00B24750">
        <w:rPr>
          <w:rStyle w:val="FootnoteReference"/>
          <w:rFonts w:asciiTheme="majorHAnsi" w:eastAsia="Calibri" w:hAnsiTheme="majorHAnsi"/>
          <w:sz w:val="20"/>
          <w:szCs w:val="20"/>
          <w:lang w:val="en-US"/>
        </w:rPr>
        <w:footnoteReference w:id="235"/>
      </w:r>
      <w:r w:rsidR="00AC7754" w:rsidRPr="00B24750">
        <w:rPr>
          <w:rFonts w:asciiTheme="majorHAnsi" w:eastAsia="Calibri" w:hAnsiTheme="majorHAnsi"/>
          <w:sz w:val="20"/>
          <w:szCs w:val="20"/>
          <w:lang w:val="en-US"/>
        </w:rPr>
        <w:t xml:space="preserve"> According to the IACHR, “[t]he two dimensions of freedom of expression are of equal importance; they are inter-dependent and must be guaranteed simultaneously, in full, in order for the right enshrined in the Inter-American instruments to be completely effective</w:t>
      </w:r>
      <w:r w:rsidR="00AC7754" w:rsidRPr="00B24750">
        <w:rPr>
          <w:rFonts w:asciiTheme="majorHAnsi" w:hAnsiTheme="majorHAnsi"/>
          <w:color w:val="000000"/>
          <w:sz w:val="20"/>
          <w:szCs w:val="20"/>
          <w:shd w:val="clear" w:color="auto" w:fill="FFFFFF"/>
          <w:lang w:val="en-US"/>
        </w:rPr>
        <w:t>.”</w:t>
      </w:r>
      <w:r w:rsidR="00AC7754" w:rsidRPr="00B24750">
        <w:rPr>
          <w:rStyle w:val="FootnoteReference"/>
          <w:rFonts w:asciiTheme="majorHAnsi" w:hAnsiTheme="majorHAnsi"/>
          <w:color w:val="000000"/>
          <w:sz w:val="20"/>
          <w:szCs w:val="20"/>
          <w:shd w:val="clear" w:color="auto" w:fill="FFFFFF"/>
          <w:lang w:val="en-US"/>
        </w:rPr>
        <w:footnoteReference w:id="236"/>
      </w:r>
      <w:r w:rsidR="00AC7754" w:rsidRPr="00B24750">
        <w:rPr>
          <w:rFonts w:asciiTheme="majorHAnsi" w:hAnsiTheme="majorHAnsi"/>
          <w:color w:val="000000"/>
          <w:sz w:val="20"/>
          <w:szCs w:val="20"/>
          <w:shd w:val="clear" w:color="auto" w:fill="FFFFFF"/>
          <w:lang w:val="en-US"/>
        </w:rPr>
        <w:t xml:space="preserve"> One of the main consequences of the duty to guarantee both dimensions simultaneously is that one of them cannot be undermined by invoking the preservation of the other</w:t>
      </w:r>
      <w:r w:rsidR="00AC7754" w:rsidRPr="00B24750">
        <w:rPr>
          <w:rFonts w:asciiTheme="majorHAnsi" w:hAnsiTheme="majorHAnsi"/>
          <w:sz w:val="20"/>
          <w:szCs w:val="20"/>
          <w:lang w:val="en-US"/>
        </w:rPr>
        <w:t>. Thus, for instance, “</w:t>
      </w:r>
      <w:r w:rsidR="00522708">
        <w:rPr>
          <w:rFonts w:asciiTheme="majorHAnsi" w:hAnsiTheme="majorHAnsi"/>
          <w:sz w:val="20"/>
          <w:szCs w:val="20"/>
          <w:lang w:val="en-US"/>
        </w:rPr>
        <w:t>o</w:t>
      </w:r>
      <w:r w:rsidR="00AC7754" w:rsidRPr="00B24750">
        <w:rPr>
          <w:rFonts w:asciiTheme="majorHAnsi" w:hAnsiTheme="majorHAnsi"/>
          <w:sz w:val="20"/>
          <w:szCs w:val="20"/>
          <w:lang w:val="en-US"/>
        </w:rPr>
        <w:t xml:space="preserve">ne cannot legitimately rely on the right of a society to be honestly informed in order to put in place a regime of prior censorship for the alleged purpose of eliminating information deemed to be untrue in the eyes of the censor. It is equally true that the right to impart information </w:t>
      </w:r>
      <w:r w:rsidR="00AC7754" w:rsidRPr="00B24750">
        <w:rPr>
          <w:rFonts w:asciiTheme="majorHAnsi" w:hAnsiTheme="majorHAnsi"/>
          <w:sz w:val="20"/>
          <w:szCs w:val="20"/>
          <w:lang w:val="en-US"/>
        </w:rPr>
        <w:lastRenderedPageBreak/>
        <w:t>and ideas cannot be invoked to justify the establishment of private or public monopolies of the communications media designed to mold public opinion by giving expression to only one point of view.”</w:t>
      </w:r>
      <w:r w:rsidR="00AC7754" w:rsidRPr="00B24750">
        <w:rPr>
          <w:rStyle w:val="FootnoteReference"/>
          <w:rFonts w:asciiTheme="majorHAnsi" w:hAnsiTheme="majorHAnsi"/>
          <w:sz w:val="20"/>
          <w:szCs w:val="20"/>
          <w:lang w:val="en-US"/>
        </w:rPr>
        <w:t xml:space="preserve"> </w:t>
      </w:r>
      <w:r w:rsidR="00AC7754" w:rsidRPr="00B24750">
        <w:rPr>
          <w:rStyle w:val="FootnoteReference"/>
          <w:rFonts w:asciiTheme="majorHAnsi" w:hAnsiTheme="majorHAnsi"/>
          <w:sz w:val="20"/>
          <w:szCs w:val="20"/>
          <w:lang w:val="en-US"/>
        </w:rPr>
        <w:footnoteReference w:id="237"/>
      </w:r>
    </w:p>
    <w:p w14:paraId="1E4192B1" w14:textId="77777777" w:rsidR="00713674" w:rsidRPr="00B24750" w:rsidRDefault="00713674" w:rsidP="007136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lang w:val="en-US"/>
        </w:rPr>
      </w:pPr>
    </w:p>
    <w:p w14:paraId="68FDCB22" w14:textId="6A638B3D" w:rsidR="00921A39" w:rsidRPr="00B24750" w:rsidRDefault="0071787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hAnsiTheme="majorHAnsi"/>
          <w:bCs/>
          <w:sz w:val="20"/>
          <w:szCs w:val="20"/>
          <w:bdr w:val="none" w:sz="0" w:space="0" w:color="auto"/>
          <w:lang w:val="en-US"/>
        </w:rPr>
      </w:pPr>
      <w:r w:rsidRPr="00B24750">
        <w:rPr>
          <w:rFonts w:asciiTheme="majorHAnsi" w:hAnsiTheme="majorHAnsi"/>
          <w:bCs/>
          <w:sz w:val="20"/>
          <w:szCs w:val="20"/>
          <w:bdr w:val="none" w:sz="0" w:space="0" w:color="auto"/>
          <w:lang w:val="en-US"/>
        </w:rPr>
        <w:t>As with all fundamental rights and freedoms, the Commission has observed that States are not only obliged to ensure the protection of the substantive right,</w:t>
      </w:r>
      <w:r w:rsidRPr="00B24750">
        <w:rPr>
          <w:rFonts w:asciiTheme="majorHAnsi" w:hAnsiTheme="majorHAnsi"/>
          <w:bCs/>
          <w:sz w:val="20"/>
          <w:szCs w:val="20"/>
          <w:bdr w:val="none" w:sz="0" w:space="0" w:color="auto"/>
          <w:vertAlign w:val="superscript"/>
          <w:lang w:val="en-US"/>
        </w:rPr>
        <w:footnoteReference w:id="238"/>
      </w:r>
      <w:r w:rsidRPr="00B24750">
        <w:rPr>
          <w:rFonts w:asciiTheme="majorHAnsi" w:hAnsiTheme="majorHAnsi"/>
          <w:bCs/>
          <w:sz w:val="20"/>
          <w:szCs w:val="20"/>
          <w:bdr w:val="none" w:sz="0" w:space="0" w:color="auto"/>
          <w:lang w:val="en-US"/>
        </w:rPr>
        <w:t xml:space="preserve"> but must also adopt the legislative, regulatory, and other measures necessary to guarantee the effective enjoyment of the rights protected by the American Declaration,</w:t>
      </w:r>
      <w:r w:rsidRPr="00B24750">
        <w:rPr>
          <w:rFonts w:asciiTheme="majorHAnsi" w:hAnsiTheme="majorHAnsi"/>
          <w:bCs/>
          <w:sz w:val="20"/>
          <w:szCs w:val="20"/>
          <w:bdr w:val="none" w:sz="0" w:space="0" w:color="auto"/>
          <w:vertAlign w:val="superscript"/>
          <w:lang w:val="en-US"/>
        </w:rPr>
        <w:footnoteReference w:id="239"/>
      </w:r>
      <w:r w:rsidRPr="00B24750">
        <w:rPr>
          <w:rFonts w:asciiTheme="majorHAnsi" w:hAnsiTheme="majorHAnsi"/>
          <w:bCs/>
          <w:sz w:val="20"/>
          <w:szCs w:val="20"/>
          <w:bdr w:val="none" w:sz="0" w:space="0" w:color="auto"/>
          <w:lang w:val="en-US"/>
        </w:rPr>
        <w:t xml:space="preserve"> in this case the right to freedom of expression</w:t>
      </w:r>
      <w:r w:rsidR="006577DA" w:rsidRPr="00B24750">
        <w:rPr>
          <w:rFonts w:asciiTheme="majorHAnsi" w:hAnsiTheme="majorHAnsi"/>
          <w:bCs/>
          <w:sz w:val="20"/>
          <w:szCs w:val="20"/>
          <w:bdr w:val="none" w:sz="0" w:space="0" w:color="auto"/>
          <w:lang w:val="en-US"/>
        </w:rPr>
        <w:t>.</w:t>
      </w:r>
    </w:p>
    <w:p w14:paraId="0281EF93" w14:textId="77777777" w:rsidR="00061170" w:rsidRPr="00B24750" w:rsidRDefault="00061170" w:rsidP="006577D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lang w:val="en-US"/>
        </w:rPr>
      </w:pPr>
    </w:p>
    <w:p w14:paraId="2F79F4A0" w14:textId="14976594" w:rsidR="00754219" w:rsidRPr="00B24750" w:rsidRDefault="0071787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B24750">
        <w:rPr>
          <w:rFonts w:asciiTheme="majorHAnsi" w:hAnsiTheme="majorHAnsi"/>
          <w:sz w:val="20"/>
          <w:szCs w:val="20"/>
          <w:lang w:val="en-US"/>
        </w:rPr>
        <w:t xml:space="preserve">Similarly, Principle 2 of the IACHR Declaration of Principles on Freedom of Expression establishes that </w:t>
      </w:r>
      <w:r w:rsidR="00A246E2" w:rsidRPr="00B24750">
        <w:rPr>
          <w:rFonts w:asciiTheme="majorHAnsi" w:hAnsiTheme="majorHAnsi"/>
          <w:color w:val="000000"/>
          <w:sz w:val="20"/>
          <w:szCs w:val="20"/>
          <w:lang w:val="en-US"/>
        </w:rPr>
        <w:t>“[…]</w:t>
      </w:r>
      <w:r w:rsidR="0086207D" w:rsidRPr="00B24750">
        <w:rPr>
          <w:rFonts w:asciiTheme="majorHAnsi" w:hAnsiTheme="majorHAnsi"/>
          <w:color w:val="000000"/>
          <w:sz w:val="20"/>
          <w:szCs w:val="20"/>
          <w:lang w:val="en-US"/>
        </w:rPr>
        <w:t xml:space="preserve"> </w:t>
      </w:r>
      <w:r w:rsidRPr="00B24750">
        <w:rPr>
          <w:rFonts w:asciiTheme="majorHAnsi" w:hAnsiTheme="majorHAnsi"/>
          <w:color w:val="000000"/>
          <w:sz w:val="20"/>
          <w:szCs w:val="20"/>
          <w:lang w:val="en-US"/>
        </w:rPr>
        <w:t>All people should be afforded equal opportunities to receive, seek and impart information by any means of communication without any discrimination for reasons of race, color, sex, language, religion, political or other opinions, national or social origin, economic status, birth or any other social condition.</w:t>
      </w:r>
      <w:r w:rsidR="00A246E2" w:rsidRPr="00B24750">
        <w:rPr>
          <w:rFonts w:asciiTheme="majorHAnsi" w:hAnsiTheme="majorHAnsi"/>
          <w:color w:val="000000"/>
          <w:sz w:val="20"/>
          <w:szCs w:val="20"/>
          <w:lang w:val="en-US"/>
        </w:rPr>
        <w:t>”</w:t>
      </w:r>
    </w:p>
    <w:p w14:paraId="74AA65C1" w14:textId="77777777" w:rsidR="00754219" w:rsidRPr="00B24750" w:rsidRDefault="00754219" w:rsidP="00754219">
      <w:pPr>
        <w:pStyle w:val="ListParagraph"/>
        <w:rPr>
          <w:rFonts w:asciiTheme="majorHAnsi" w:eastAsia="Times New Roman" w:hAnsiTheme="majorHAnsi" w:cs="Courier New"/>
          <w:sz w:val="20"/>
          <w:szCs w:val="20"/>
          <w:bdr w:val="none" w:sz="0" w:space="0" w:color="auto"/>
        </w:rPr>
      </w:pPr>
    </w:p>
    <w:p w14:paraId="54AC04BD" w14:textId="18E46EEC" w:rsidR="00061170" w:rsidRPr="00B24750" w:rsidRDefault="0086207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B24750">
        <w:rPr>
          <w:rFonts w:asciiTheme="majorHAnsi" w:hAnsiTheme="majorHAnsi"/>
          <w:sz w:val="20"/>
          <w:szCs w:val="20"/>
          <w:lang w:val="en-US"/>
        </w:rPr>
        <w:t xml:space="preserve">In </w:t>
      </w:r>
      <w:r w:rsidRPr="00B24750">
        <w:rPr>
          <w:rFonts w:asciiTheme="majorHAnsi" w:eastAsia="Times New Roman" w:hAnsiTheme="majorHAnsi" w:cs="Courier New"/>
          <w:sz w:val="20"/>
          <w:szCs w:val="20"/>
          <w:bdr w:val="none" w:sz="0" w:space="0" w:color="auto"/>
          <w:lang w:val="en-US"/>
        </w:rPr>
        <w:t>this way, and as consistently stated in the case law of the bodies of the inter-American system</w:t>
      </w:r>
      <w:r w:rsidRPr="00B24750">
        <w:rPr>
          <w:rStyle w:val="FootnoteReference"/>
          <w:rFonts w:asciiTheme="majorHAnsi" w:hAnsiTheme="majorHAnsi"/>
          <w:sz w:val="20"/>
          <w:szCs w:val="20"/>
          <w:lang w:val="en-US"/>
        </w:rPr>
        <w:footnoteReference w:id="240"/>
      </w:r>
      <w:r w:rsidRPr="00B24750">
        <w:rPr>
          <w:rFonts w:asciiTheme="majorHAnsi" w:eastAsia="Times New Roman" w:hAnsiTheme="majorHAnsi" w:cs="Courier New"/>
          <w:sz w:val="20"/>
          <w:szCs w:val="20"/>
          <w:bdr w:val="none" w:sz="0" w:space="0" w:color="auto"/>
          <w:lang w:val="en-US"/>
        </w:rPr>
        <w:t xml:space="preserve"> and the universal system for the protection of human rights,</w:t>
      </w:r>
      <w:r w:rsidRPr="00B24750">
        <w:rPr>
          <w:rStyle w:val="FootnoteReference"/>
          <w:rFonts w:asciiTheme="majorHAnsi" w:eastAsia="Times New Roman" w:hAnsiTheme="majorHAnsi" w:cs="Courier New"/>
          <w:sz w:val="20"/>
          <w:szCs w:val="20"/>
          <w:bdr w:val="none" w:sz="0" w:space="0" w:color="auto"/>
          <w:lang w:val="en-US"/>
        </w:rPr>
        <w:footnoteReference w:id="241"/>
      </w:r>
      <w:r w:rsidRPr="00B24750">
        <w:rPr>
          <w:rFonts w:asciiTheme="majorHAnsi" w:eastAsia="Times New Roman" w:hAnsiTheme="majorHAnsi" w:cs="Courier New"/>
          <w:sz w:val="20"/>
          <w:szCs w:val="20"/>
          <w:bdr w:val="none" w:sz="0" w:space="0" w:color="auto"/>
          <w:lang w:val="en-US"/>
        </w:rPr>
        <w:t xml:space="preserve"> the right to freedom of expression cannot be subject to prior restraint by the State. It can </w:t>
      </w:r>
      <w:r w:rsidR="00CF43F6">
        <w:rPr>
          <w:rFonts w:asciiTheme="majorHAnsi" w:eastAsia="Times New Roman" w:hAnsiTheme="majorHAnsi" w:cs="Courier New"/>
          <w:sz w:val="20"/>
          <w:szCs w:val="20"/>
          <w:bdr w:val="none" w:sz="0" w:space="0" w:color="auto"/>
          <w:lang w:val="en-US"/>
        </w:rPr>
        <w:t xml:space="preserve">be subject only to </w:t>
      </w:r>
      <w:r w:rsidR="00B4391D">
        <w:rPr>
          <w:rFonts w:asciiTheme="majorHAnsi" w:eastAsia="Times New Roman" w:hAnsiTheme="majorHAnsi" w:cs="Courier New"/>
          <w:sz w:val="20"/>
          <w:szCs w:val="20"/>
          <w:bdr w:val="none" w:sz="0" w:space="0" w:color="auto"/>
          <w:lang w:val="en-US"/>
        </w:rPr>
        <w:t xml:space="preserve">the imposition of </w:t>
      </w:r>
      <w:r w:rsidRPr="00B24750">
        <w:rPr>
          <w:rFonts w:asciiTheme="majorHAnsi" w:eastAsia="Times New Roman" w:hAnsiTheme="majorHAnsi" w:cs="Courier New"/>
          <w:sz w:val="20"/>
          <w:szCs w:val="20"/>
          <w:bdr w:val="none" w:sz="0" w:space="0" w:color="auto"/>
          <w:lang w:val="en-US"/>
        </w:rPr>
        <w:t xml:space="preserve">subsequent liability, </w:t>
      </w:r>
      <w:r w:rsidRPr="00B24750">
        <w:rPr>
          <w:rFonts w:asciiTheme="majorHAnsi" w:hAnsiTheme="majorHAnsi"/>
          <w:sz w:val="20"/>
          <w:szCs w:val="20"/>
          <w:lang w:val="en-US"/>
        </w:rPr>
        <w:t xml:space="preserve">provided it is not abusive or arbitrary; restrictions must be provided by law, pursue a legitimate aim, and comply with the requirements of suitability, necessity, and proportionality. </w:t>
      </w:r>
      <w:r w:rsidR="00F25F09" w:rsidRPr="00B24750">
        <w:rPr>
          <w:rFonts w:asciiTheme="majorHAnsi" w:hAnsiTheme="majorHAnsi"/>
          <w:sz w:val="20"/>
          <w:szCs w:val="20"/>
          <w:lang w:val="en-US"/>
        </w:rPr>
        <w:t>The Commission has specifically indicated that</w:t>
      </w:r>
      <w:r w:rsidRPr="00B24750">
        <w:rPr>
          <w:rFonts w:asciiTheme="majorHAnsi" w:hAnsiTheme="majorHAnsi"/>
          <w:sz w:val="20"/>
          <w:szCs w:val="20"/>
          <w:lang w:val="en-US"/>
        </w:rPr>
        <w:t xml:space="preserve"> restrictions to the right to freedom of expression recognized in the American Declaration “should be established in a law and aim to protect legitimate objectives</w:t>
      </w:r>
      <w:r w:rsidR="00F25F09" w:rsidRPr="00B24750">
        <w:rPr>
          <w:rFonts w:asciiTheme="majorHAnsi" w:hAnsiTheme="majorHAnsi"/>
          <w:sz w:val="20"/>
          <w:szCs w:val="20"/>
          <w:lang w:val="en-US"/>
        </w:rPr>
        <w:t xml:space="preserve"> [and]</w:t>
      </w:r>
      <w:r w:rsidRPr="00B24750">
        <w:rPr>
          <w:rFonts w:asciiTheme="majorHAnsi" w:hAnsiTheme="majorHAnsi"/>
          <w:sz w:val="20"/>
          <w:szCs w:val="20"/>
          <w:lang w:val="en-US"/>
        </w:rPr>
        <w:t xml:space="preserve"> should be necessary to ensure such protection and may not be applied before an idea or information is imparted, only afterwards.”</w:t>
      </w:r>
      <w:r w:rsidRPr="00B24750">
        <w:rPr>
          <w:rStyle w:val="FootnoteReference"/>
          <w:rFonts w:asciiTheme="majorHAnsi" w:hAnsiTheme="majorHAnsi"/>
          <w:sz w:val="20"/>
          <w:szCs w:val="20"/>
          <w:lang w:val="en-US"/>
        </w:rPr>
        <w:footnoteReference w:id="242"/>
      </w:r>
      <w:r w:rsidR="00061170" w:rsidRPr="00B24750">
        <w:rPr>
          <w:rFonts w:asciiTheme="majorHAnsi" w:hAnsiTheme="majorHAnsi"/>
          <w:sz w:val="20"/>
          <w:szCs w:val="20"/>
          <w:lang w:val="en-US"/>
        </w:rPr>
        <w:t xml:space="preserve"> </w:t>
      </w:r>
      <w:r w:rsidR="00E51509" w:rsidRPr="00B24750">
        <w:rPr>
          <w:rFonts w:asciiTheme="majorHAnsi" w:eastAsia="Times New Roman" w:hAnsiTheme="majorHAnsi" w:cs="Courier New"/>
          <w:sz w:val="20"/>
          <w:szCs w:val="20"/>
          <w:bdr w:val="none" w:sz="0" w:space="0" w:color="auto"/>
          <w:lang w:val="en-US"/>
        </w:rPr>
        <w:t>The State should also recall that direct or indirect restrictions on freedom of expression, especially threats of criminal penalties against journalists or acts of aggression and persecution, have an “clear” and “inevitable” chilling effect on the exercise of this right, and discourage investigative journalists in general—not necessarily only the threatened individual—from reporting on matters of public interest.</w:t>
      </w:r>
      <w:r w:rsidR="00E51509" w:rsidRPr="00B24750">
        <w:rPr>
          <w:rFonts w:asciiTheme="majorHAnsi" w:eastAsia="Times New Roman" w:hAnsiTheme="majorHAnsi" w:cs="Courier New"/>
          <w:sz w:val="20"/>
          <w:szCs w:val="20"/>
          <w:bdr w:val="none" w:sz="0" w:space="0" w:color="auto"/>
          <w:vertAlign w:val="superscript"/>
          <w:lang w:val="en-US"/>
        </w:rPr>
        <w:footnoteReference w:id="243"/>
      </w:r>
      <w:r w:rsidR="00E51509" w:rsidRPr="00B24750">
        <w:rPr>
          <w:rFonts w:asciiTheme="majorHAnsi" w:eastAsia="Times New Roman" w:hAnsiTheme="majorHAnsi" w:cs="Courier New"/>
          <w:sz w:val="20"/>
          <w:szCs w:val="20"/>
          <w:bdr w:val="none" w:sz="0" w:space="0" w:color="auto"/>
          <w:lang w:val="en-US"/>
        </w:rPr>
        <w:t xml:space="preserve"> This inhibition also affects speech on issues of public interest and access to information for society as a whole.</w:t>
      </w:r>
      <w:r w:rsidR="00E51509" w:rsidRPr="00B24750">
        <w:rPr>
          <w:rFonts w:asciiTheme="majorHAnsi" w:eastAsia="Times New Roman" w:hAnsiTheme="majorHAnsi" w:cs="Courier New"/>
          <w:sz w:val="20"/>
          <w:szCs w:val="20"/>
          <w:bdr w:val="none" w:sz="0" w:space="0" w:color="auto"/>
          <w:vertAlign w:val="superscript"/>
          <w:lang w:val="en-US"/>
        </w:rPr>
        <w:footnoteReference w:id="244"/>
      </w:r>
    </w:p>
    <w:p w14:paraId="0E9F9DA5" w14:textId="77777777" w:rsidR="00061170" w:rsidRPr="00B24750" w:rsidRDefault="00061170" w:rsidP="005F7FE2">
      <w:pPr>
        <w:pStyle w:val="ListParagraph"/>
        <w:rPr>
          <w:rFonts w:asciiTheme="majorHAnsi" w:hAnsiTheme="majorHAnsi"/>
          <w:sz w:val="20"/>
          <w:szCs w:val="20"/>
        </w:rPr>
      </w:pPr>
    </w:p>
    <w:p w14:paraId="606F8469" w14:textId="0E801C6B" w:rsidR="00BB399D" w:rsidRPr="00B24750" w:rsidRDefault="00BB399D" w:rsidP="00F66452">
      <w:pPr>
        <w:pStyle w:val="ListParagraph"/>
        <w:numPr>
          <w:ilvl w:val="0"/>
          <w:numId w:val="55"/>
        </w:numPr>
        <w:ind w:firstLine="0"/>
        <w:jc w:val="both"/>
        <w:rPr>
          <w:rFonts w:asciiTheme="majorHAnsi" w:eastAsia="Arial Unicode MS" w:hAnsiTheme="majorHAnsi" w:cs="Times New Roman"/>
          <w:color w:val="auto"/>
          <w:sz w:val="20"/>
          <w:szCs w:val="20"/>
          <w:lang w:eastAsia="en-US"/>
        </w:rPr>
      </w:pPr>
      <w:r w:rsidRPr="00B24750">
        <w:rPr>
          <w:rFonts w:asciiTheme="majorHAnsi" w:hAnsiTheme="majorHAnsi"/>
          <w:sz w:val="20"/>
          <w:szCs w:val="20"/>
        </w:rPr>
        <w:t xml:space="preserve">Under Article XXVIII of the American Declaration, restrictions on fundamental rights are permissible only to ensure </w:t>
      </w:r>
      <w:r w:rsidRPr="00B24750">
        <w:rPr>
          <w:rFonts w:asciiTheme="majorHAnsi" w:eastAsia="Arial Unicode MS" w:hAnsiTheme="majorHAnsi" w:cs="Times New Roman"/>
          <w:color w:val="auto"/>
          <w:sz w:val="20"/>
          <w:szCs w:val="20"/>
          <w:lang w:eastAsia="en-US"/>
        </w:rPr>
        <w:t xml:space="preserve">“the rights of others,” “the security of all,” and “the just requirements of the general welfare and democratic development.” </w:t>
      </w:r>
      <w:r w:rsidRPr="00B24750">
        <w:rPr>
          <w:rFonts w:asciiTheme="majorHAnsi" w:hAnsiTheme="majorHAnsi"/>
          <w:sz w:val="20"/>
          <w:szCs w:val="20"/>
        </w:rPr>
        <w:t>These elements must provide the protection of a democratic order, understood as the existence of structural conditions for all persons, without discrimination, to exercise their rights freely, vigorously, and without fear of punishment.</w:t>
      </w:r>
      <w:r w:rsidRPr="00B24750">
        <w:rPr>
          <w:rStyle w:val="FootnoteReference"/>
          <w:rFonts w:asciiTheme="majorHAnsi" w:hAnsiTheme="majorHAnsi"/>
          <w:sz w:val="20"/>
          <w:szCs w:val="20"/>
        </w:rPr>
        <w:footnoteReference w:id="245"/>
      </w:r>
      <w:r w:rsidRPr="00B24750">
        <w:rPr>
          <w:rFonts w:asciiTheme="majorHAnsi" w:hAnsiTheme="majorHAnsi"/>
          <w:sz w:val="20"/>
          <w:szCs w:val="20"/>
        </w:rPr>
        <w:t xml:space="preserve"> </w:t>
      </w:r>
    </w:p>
    <w:p w14:paraId="6F22F063" w14:textId="77777777" w:rsidR="00713B50" w:rsidRPr="00B24750" w:rsidRDefault="00713B50" w:rsidP="004814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5C6223C2" w14:textId="14CE2355" w:rsidR="004814B0" w:rsidRPr="00B24750" w:rsidRDefault="004814B0"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B24750">
        <w:rPr>
          <w:rFonts w:asciiTheme="majorHAnsi" w:hAnsiTheme="majorHAnsi"/>
          <w:sz w:val="20"/>
          <w:szCs w:val="20"/>
          <w:lang w:val="en-US"/>
        </w:rPr>
        <w:t xml:space="preserve">Similarly, when examining the validity of restrictions, it must be considered that the freedom to express opinions and disseminate information that is political or that criticizes the actions of state authorities or a government is a cornerstone of the right protected by Article IV of the American Declaration. The Commission has </w:t>
      </w:r>
      <w:r w:rsidRPr="00B24750">
        <w:rPr>
          <w:rFonts w:asciiTheme="majorHAnsi" w:hAnsiTheme="majorHAnsi" w:cs="Arial"/>
          <w:sz w:val="20"/>
          <w:szCs w:val="20"/>
          <w:lang w:val="en-US"/>
        </w:rPr>
        <w:t xml:space="preserve">consistently </w:t>
      </w:r>
      <w:r w:rsidR="005A6A9E" w:rsidRPr="00B24750">
        <w:rPr>
          <w:rFonts w:asciiTheme="majorHAnsi" w:hAnsiTheme="majorHAnsi"/>
          <w:sz w:val="20"/>
          <w:szCs w:val="20"/>
          <w:lang w:val="en-US"/>
        </w:rPr>
        <w:t>held</w:t>
      </w:r>
      <w:r w:rsidRPr="00B24750">
        <w:rPr>
          <w:rFonts w:asciiTheme="majorHAnsi" w:hAnsiTheme="majorHAnsi"/>
          <w:sz w:val="20"/>
          <w:szCs w:val="20"/>
          <w:lang w:val="en-US"/>
        </w:rPr>
        <w:t xml:space="preserve"> </w:t>
      </w:r>
      <w:r w:rsidRPr="00B24750">
        <w:rPr>
          <w:rFonts w:asciiTheme="majorHAnsi" w:hAnsiTheme="majorHAnsi" w:cs="Arial"/>
          <w:sz w:val="20"/>
          <w:szCs w:val="20"/>
          <w:lang w:val="en-US"/>
        </w:rPr>
        <w:t xml:space="preserve">that States have a more limited scope to impose restrictions on freedom of expression when it concerns </w:t>
      </w:r>
      <w:r w:rsidR="005A6A9E" w:rsidRPr="00B24750">
        <w:rPr>
          <w:rFonts w:asciiTheme="majorHAnsi" w:hAnsiTheme="majorHAnsi" w:cs="Arial"/>
          <w:sz w:val="20"/>
          <w:szCs w:val="20"/>
          <w:lang w:val="en-US"/>
        </w:rPr>
        <w:t>speech about</w:t>
      </w:r>
      <w:r w:rsidRPr="00B24750">
        <w:rPr>
          <w:rFonts w:asciiTheme="majorHAnsi" w:hAnsiTheme="majorHAnsi" w:cs="Arial"/>
          <w:sz w:val="20"/>
          <w:szCs w:val="20"/>
          <w:lang w:val="en-US"/>
        </w:rPr>
        <w:t xml:space="preserve"> the State, matters of public interest, public officials in the </w:t>
      </w:r>
      <w:r w:rsidR="005A6A9E" w:rsidRPr="00B24750">
        <w:rPr>
          <w:rFonts w:asciiTheme="majorHAnsi" w:hAnsiTheme="majorHAnsi" w:cs="Arial"/>
          <w:sz w:val="20"/>
          <w:szCs w:val="20"/>
          <w:lang w:val="en-US"/>
        </w:rPr>
        <w:t xml:space="preserve">performance of their duties, </w:t>
      </w:r>
      <w:r w:rsidRPr="00B24750">
        <w:rPr>
          <w:rFonts w:asciiTheme="majorHAnsi" w:hAnsiTheme="majorHAnsi" w:cs="Arial"/>
          <w:sz w:val="20"/>
          <w:szCs w:val="20"/>
          <w:lang w:val="en-US"/>
        </w:rPr>
        <w:t xml:space="preserve">candidates for public office, or private individuals voluntarily involved in public affairs, as well as political </w:t>
      </w:r>
      <w:r w:rsidR="005A6A9E" w:rsidRPr="00B24750">
        <w:rPr>
          <w:rFonts w:asciiTheme="majorHAnsi" w:hAnsiTheme="majorHAnsi" w:cs="Arial"/>
          <w:sz w:val="20"/>
          <w:szCs w:val="20"/>
          <w:lang w:val="en-US"/>
        </w:rPr>
        <w:t>speech</w:t>
      </w:r>
      <w:r w:rsidRPr="00B24750">
        <w:rPr>
          <w:rFonts w:asciiTheme="majorHAnsi" w:hAnsiTheme="majorHAnsi" w:cs="Arial"/>
          <w:sz w:val="20"/>
          <w:szCs w:val="20"/>
          <w:lang w:val="en-US"/>
        </w:rPr>
        <w:t xml:space="preserve"> and debate.</w:t>
      </w:r>
      <w:r w:rsidRPr="00B24750">
        <w:rPr>
          <w:rStyle w:val="FootnoteReference"/>
          <w:rFonts w:asciiTheme="majorHAnsi" w:hAnsiTheme="majorHAnsi" w:cs="Arial"/>
          <w:sz w:val="20"/>
          <w:szCs w:val="20"/>
          <w:lang w:val="en-US"/>
        </w:rPr>
        <w:footnoteReference w:id="246"/>
      </w:r>
      <w:r w:rsidRPr="00B24750">
        <w:rPr>
          <w:rFonts w:asciiTheme="majorHAnsi" w:hAnsiTheme="majorHAnsi"/>
          <w:sz w:val="20"/>
          <w:szCs w:val="20"/>
          <w:lang w:val="en-US"/>
        </w:rPr>
        <w:t xml:space="preserve"> </w:t>
      </w:r>
    </w:p>
    <w:p w14:paraId="32E03963" w14:textId="77777777" w:rsidR="00713B50" w:rsidRPr="00B24750" w:rsidRDefault="00713B50" w:rsidP="00713B50">
      <w:pPr>
        <w:pStyle w:val="ListParagraph"/>
        <w:rPr>
          <w:rFonts w:asciiTheme="majorHAnsi" w:hAnsiTheme="majorHAnsi"/>
          <w:sz w:val="20"/>
          <w:szCs w:val="20"/>
        </w:rPr>
      </w:pPr>
    </w:p>
    <w:p w14:paraId="5F065E49" w14:textId="47FE9813" w:rsidR="00713B50" w:rsidRPr="00B24750" w:rsidRDefault="00CF43F6" w:rsidP="00713B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n-US"/>
        </w:rPr>
      </w:pPr>
      <w:r>
        <w:rPr>
          <w:rFonts w:asciiTheme="majorHAnsi" w:hAnsiTheme="majorHAnsi"/>
          <w:sz w:val="20"/>
          <w:szCs w:val="20"/>
          <w:bdr w:val="none" w:sz="0" w:space="0" w:color="auto"/>
          <w:lang w:val="en-US"/>
        </w:rPr>
        <w:t xml:space="preserve">Prior </w:t>
      </w:r>
      <w:r w:rsidR="009C7476" w:rsidRPr="00B24750">
        <w:rPr>
          <w:rFonts w:asciiTheme="majorHAnsi" w:hAnsiTheme="majorHAnsi"/>
          <w:sz w:val="20"/>
          <w:szCs w:val="20"/>
          <w:bdr w:val="none" w:sz="0" w:space="0" w:color="auto"/>
          <w:lang w:val="en-US"/>
        </w:rPr>
        <w:t xml:space="preserve">censorship is prohibited in the inter-American system. Principle 5 </w:t>
      </w:r>
      <w:r w:rsidR="009C7476" w:rsidRPr="00B24750">
        <w:rPr>
          <w:rFonts w:asciiTheme="majorHAnsi" w:hAnsiTheme="majorHAnsi"/>
          <w:sz w:val="20"/>
          <w:szCs w:val="20"/>
          <w:lang w:val="en-US"/>
        </w:rPr>
        <w:t xml:space="preserve">of the Declaration of Principles on Freedom of Expression establishes that </w:t>
      </w:r>
      <w:r w:rsidR="00713B50" w:rsidRPr="00B24750">
        <w:rPr>
          <w:rFonts w:asciiTheme="majorHAnsi" w:hAnsiTheme="majorHAnsi"/>
          <w:color w:val="000000"/>
          <w:sz w:val="20"/>
          <w:szCs w:val="20"/>
          <w:lang w:val="en-US"/>
        </w:rPr>
        <w:t>“[</w:t>
      </w:r>
      <w:r w:rsidR="009C7476" w:rsidRPr="00B24750">
        <w:rPr>
          <w:rFonts w:asciiTheme="majorHAnsi" w:hAnsiTheme="majorHAnsi"/>
          <w:color w:val="000000"/>
          <w:sz w:val="20"/>
          <w:szCs w:val="20"/>
          <w:lang w:val="en-US"/>
        </w:rPr>
        <w:t>p]</w:t>
      </w:r>
      <w:proofErr w:type="spellStart"/>
      <w:r w:rsidR="009C7476" w:rsidRPr="00B24750">
        <w:rPr>
          <w:rFonts w:asciiTheme="majorHAnsi" w:hAnsiTheme="majorHAnsi"/>
          <w:color w:val="000000"/>
          <w:sz w:val="20"/>
          <w:szCs w:val="20"/>
          <w:lang w:val="en-US"/>
        </w:rPr>
        <w:t>rior</w:t>
      </w:r>
      <w:proofErr w:type="spellEnd"/>
      <w:r w:rsidR="009C7476" w:rsidRPr="00B24750">
        <w:rPr>
          <w:rFonts w:asciiTheme="majorHAnsi" w:hAnsiTheme="majorHAnsi"/>
          <w:color w:val="000000"/>
          <w:sz w:val="20"/>
          <w:szCs w:val="20"/>
          <w:lang w:val="en-US"/>
        </w:rPr>
        <w:t xml:space="preserve">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r w:rsidR="00713B50" w:rsidRPr="00B24750">
        <w:rPr>
          <w:rFonts w:asciiTheme="majorHAnsi" w:hAnsiTheme="majorHAnsi"/>
          <w:color w:val="000000"/>
          <w:sz w:val="20"/>
          <w:szCs w:val="20"/>
          <w:lang w:val="en-US"/>
        </w:rPr>
        <w:t>”</w:t>
      </w:r>
      <w:r w:rsidR="00713B50" w:rsidRPr="00B24750">
        <w:rPr>
          <w:rFonts w:asciiTheme="majorHAnsi" w:hAnsiTheme="majorHAnsi"/>
          <w:sz w:val="20"/>
          <w:szCs w:val="20"/>
          <w:bdr w:val="none" w:sz="0" w:space="0" w:color="auto"/>
          <w:lang w:val="en-US"/>
        </w:rPr>
        <w:t xml:space="preserve"> </w:t>
      </w:r>
    </w:p>
    <w:p w14:paraId="125BEFC3" w14:textId="77777777" w:rsidR="00713B50" w:rsidRPr="00B24750" w:rsidRDefault="00713B50" w:rsidP="00713B50">
      <w:pPr>
        <w:pStyle w:val="ListParagraph"/>
        <w:rPr>
          <w:rFonts w:asciiTheme="majorHAnsi" w:hAnsiTheme="majorHAnsi"/>
          <w:sz w:val="20"/>
          <w:szCs w:val="20"/>
          <w:bdr w:val="none" w:sz="0" w:space="0" w:color="auto"/>
        </w:rPr>
      </w:pPr>
    </w:p>
    <w:p w14:paraId="6C09CC20" w14:textId="0D1CE640" w:rsidR="00713B50" w:rsidRPr="00B24750" w:rsidRDefault="005D2E0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bdr w:val="none" w:sz="0" w:space="0" w:color="auto"/>
          <w:lang w:val="en-US"/>
        </w:rPr>
      </w:pPr>
      <w:r w:rsidRPr="00B24750">
        <w:rPr>
          <w:rFonts w:asciiTheme="majorHAnsi" w:hAnsiTheme="majorHAnsi"/>
          <w:sz w:val="20"/>
          <w:szCs w:val="20"/>
          <w:bdr w:val="none" w:sz="0" w:space="0" w:color="auto"/>
          <w:lang w:val="en-US"/>
        </w:rPr>
        <w:t>The three-part test for restrictions to freedom of expression and the prohibition of censorship assumes specific characteristics in the exercise of the right to freedom of expression online, especially when the internet is monopolized by the State</w:t>
      </w:r>
      <w:r w:rsidR="00713B50" w:rsidRPr="00B24750">
        <w:rPr>
          <w:rFonts w:asciiTheme="majorHAnsi" w:hAnsiTheme="majorHAnsi"/>
          <w:sz w:val="20"/>
          <w:szCs w:val="20"/>
          <w:bdr w:val="none" w:sz="0" w:space="0" w:color="auto"/>
          <w:lang w:val="en-US"/>
        </w:rPr>
        <w:t xml:space="preserve">. </w:t>
      </w:r>
    </w:p>
    <w:p w14:paraId="4EE8E1FB" w14:textId="77777777" w:rsidR="00713B50" w:rsidRPr="00B24750" w:rsidRDefault="00713B50" w:rsidP="00713B50">
      <w:pPr>
        <w:pStyle w:val="ListParagraph"/>
        <w:rPr>
          <w:rFonts w:asciiTheme="majorHAnsi" w:hAnsiTheme="majorHAnsi"/>
          <w:sz w:val="20"/>
          <w:szCs w:val="20"/>
          <w:bdr w:val="none" w:sz="0" w:space="0" w:color="auto"/>
        </w:rPr>
      </w:pPr>
    </w:p>
    <w:p w14:paraId="57324BD9" w14:textId="15702DC8"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i/>
          <w:iCs/>
          <w:sz w:val="20"/>
          <w:szCs w:val="20"/>
          <w:bdr w:val="none" w:sz="0" w:space="0" w:color="auto"/>
          <w:lang w:val="en-US"/>
        </w:rPr>
      </w:pPr>
      <w:r w:rsidRPr="00B24750">
        <w:rPr>
          <w:rFonts w:asciiTheme="majorHAnsi" w:hAnsiTheme="majorHAnsi"/>
          <w:i/>
          <w:iCs/>
          <w:sz w:val="20"/>
          <w:szCs w:val="20"/>
          <w:bdr w:val="none" w:sz="0" w:space="0" w:color="auto"/>
          <w:lang w:val="en-US"/>
        </w:rPr>
        <w:t xml:space="preserve">1.1. </w:t>
      </w:r>
      <w:r w:rsidR="00AA6577" w:rsidRPr="00B24750">
        <w:rPr>
          <w:rFonts w:asciiTheme="majorHAnsi" w:hAnsiTheme="majorHAnsi"/>
          <w:i/>
          <w:iCs/>
          <w:sz w:val="20"/>
          <w:szCs w:val="20"/>
          <w:bdr w:val="none" w:sz="0" w:space="0" w:color="auto"/>
          <w:lang w:val="en-US"/>
        </w:rPr>
        <w:t>Censorship and other restrictions on freedom of expression on the internet</w:t>
      </w:r>
    </w:p>
    <w:p w14:paraId="3F94B2BA" w14:textId="77777777" w:rsidR="00713B50" w:rsidRPr="00B24750" w:rsidRDefault="00713B50" w:rsidP="00713B50">
      <w:pPr>
        <w:rPr>
          <w:rFonts w:asciiTheme="majorHAnsi" w:hAnsiTheme="majorHAnsi"/>
          <w:sz w:val="20"/>
          <w:szCs w:val="20"/>
          <w:bdr w:val="none" w:sz="0" w:space="0" w:color="auto"/>
          <w:lang w:val="en-US"/>
        </w:rPr>
      </w:pPr>
    </w:p>
    <w:p w14:paraId="57CA5042" w14:textId="28B9D475" w:rsidR="000B0B03" w:rsidRPr="00B24750" w:rsidRDefault="000B0B0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bdr w:val="none" w:sz="0" w:space="0" w:color="auto"/>
          <w:lang w:val="en-US"/>
        </w:rPr>
      </w:pPr>
      <w:r w:rsidRPr="00B24750">
        <w:rPr>
          <w:rFonts w:asciiTheme="majorHAnsi" w:hAnsiTheme="majorHAnsi"/>
          <w:sz w:val="20"/>
          <w:szCs w:val="20"/>
          <w:lang w:val="en-US"/>
        </w:rPr>
        <w:t xml:space="preserve">The IACHR recalls that </w:t>
      </w:r>
      <w:r w:rsidR="009D123F" w:rsidRPr="00B24750">
        <w:rPr>
          <w:rFonts w:asciiTheme="majorHAnsi" w:hAnsiTheme="majorHAnsi"/>
          <w:sz w:val="20"/>
          <w:szCs w:val="20"/>
          <w:lang w:val="en-US"/>
        </w:rPr>
        <w:t>the internet is a unique instrument that provides enormous potential for the enjoyment of human rights—especially the right to freedom of expression—across broad sectors of the population</w:t>
      </w:r>
      <w:r w:rsidRPr="00B24750">
        <w:rPr>
          <w:rFonts w:asciiTheme="majorHAnsi" w:hAnsiTheme="majorHAnsi"/>
          <w:sz w:val="20"/>
          <w:szCs w:val="20"/>
          <w:lang w:val="en-US"/>
        </w:rPr>
        <w:t>. In other words, it has a critical impact not only on the individual dimension of the right to freedom of expression, but also on its social dimension.</w:t>
      </w:r>
      <w:r w:rsidRPr="00B24750">
        <w:rPr>
          <w:rStyle w:val="FootnoteReference"/>
          <w:rFonts w:asciiTheme="majorHAnsi" w:hAnsiTheme="majorHAnsi"/>
          <w:sz w:val="20"/>
          <w:szCs w:val="20"/>
          <w:lang w:val="en-US"/>
        </w:rPr>
        <w:footnoteReference w:id="247"/>
      </w:r>
      <w:r w:rsidRPr="00B24750">
        <w:rPr>
          <w:rFonts w:asciiTheme="majorHAnsi" w:hAnsiTheme="majorHAnsi"/>
          <w:sz w:val="20"/>
          <w:szCs w:val="20"/>
          <w:lang w:val="en-US"/>
        </w:rPr>
        <w:t xml:space="preserve"> Given </w:t>
      </w:r>
      <w:r w:rsidR="00A025A3" w:rsidRPr="00B24750">
        <w:rPr>
          <w:rFonts w:asciiTheme="majorHAnsi" w:hAnsiTheme="majorHAnsi"/>
          <w:sz w:val="20"/>
          <w:szCs w:val="20"/>
          <w:lang w:val="en-US"/>
        </w:rPr>
        <w:t>the</w:t>
      </w:r>
      <w:r w:rsidRPr="00B24750">
        <w:rPr>
          <w:rFonts w:asciiTheme="majorHAnsi" w:hAnsiTheme="majorHAnsi"/>
          <w:sz w:val="20"/>
          <w:szCs w:val="20"/>
          <w:lang w:val="en-US"/>
        </w:rPr>
        <w:t xml:space="preserve"> particular characteristics</w:t>
      </w:r>
      <w:r w:rsidR="00A025A3" w:rsidRPr="00B24750">
        <w:rPr>
          <w:rFonts w:asciiTheme="majorHAnsi" w:hAnsiTheme="majorHAnsi"/>
          <w:sz w:val="20"/>
          <w:szCs w:val="20"/>
          <w:lang w:val="en-US"/>
        </w:rPr>
        <w:t xml:space="preserve"> of</w:t>
      </w:r>
      <w:r w:rsidRPr="00B24750">
        <w:rPr>
          <w:rFonts w:asciiTheme="majorHAnsi" w:hAnsiTheme="majorHAnsi"/>
          <w:sz w:val="20"/>
          <w:szCs w:val="20"/>
          <w:lang w:val="en-US"/>
        </w:rPr>
        <w:t xml:space="preserve"> the </w:t>
      </w:r>
      <w:r w:rsidR="009D123F" w:rsidRPr="00B24750">
        <w:rPr>
          <w:rFonts w:asciiTheme="majorHAnsi" w:hAnsiTheme="majorHAnsi"/>
          <w:sz w:val="20"/>
          <w:szCs w:val="20"/>
          <w:lang w:val="en-US"/>
        </w:rPr>
        <w:t>i</w:t>
      </w:r>
      <w:r w:rsidRPr="00B24750">
        <w:rPr>
          <w:rFonts w:asciiTheme="majorHAnsi" w:hAnsiTheme="majorHAnsi"/>
          <w:sz w:val="20"/>
          <w:szCs w:val="20"/>
          <w:lang w:val="en-US"/>
        </w:rPr>
        <w:t>nternet</w:t>
      </w:r>
      <w:r w:rsidR="00A025A3" w:rsidRPr="00B24750">
        <w:rPr>
          <w:rFonts w:asciiTheme="majorHAnsi" w:hAnsiTheme="majorHAnsi"/>
          <w:sz w:val="20"/>
          <w:szCs w:val="20"/>
          <w:lang w:val="en-US"/>
        </w:rPr>
        <w:t>, access to</w:t>
      </w:r>
      <w:r w:rsidR="00B24750" w:rsidRPr="00B24750">
        <w:rPr>
          <w:rFonts w:asciiTheme="majorHAnsi" w:hAnsiTheme="majorHAnsi"/>
          <w:sz w:val="20"/>
          <w:szCs w:val="20"/>
          <w:lang w:val="en-US"/>
        </w:rPr>
        <w:t xml:space="preserve"> it</w:t>
      </w:r>
      <w:r w:rsidRPr="00B24750">
        <w:rPr>
          <w:rFonts w:asciiTheme="majorHAnsi" w:hAnsiTheme="majorHAnsi"/>
          <w:sz w:val="20"/>
          <w:szCs w:val="20"/>
          <w:lang w:val="en-US"/>
        </w:rPr>
        <w:t xml:space="preserve"> has </w:t>
      </w:r>
      <w:r w:rsidR="00A025A3" w:rsidRPr="00B24750">
        <w:rPr>
          <w:rFonts w:asciiTheme="majorHAnsi" w:hAnsiTheme="majorHAnsi"/>
          <w:sz w:val="20"/>
          <w:szCs w:val="20"/>
          <w:lang w:val="en-US"/>
        </w:rPr>
        <w:t>acquired</w:t>
      </w:r>
      <w:r w:rsidRPr="00B24750">
        <w:rPr>
          <w:rFonts w:asciiTheme="majorHAnsi" w:hAnsiTheme="majorHAnsi"/>
          <w:sz w:val="20"/>
          <w:szCs w:val="20"/>
          <w:lang w:val="en-US"/>
        </w:rPr>
        <w:t xml:space="preserve"> unprecedented potential for the effective realization of the right to seek, receive</w:t>
      </w:r>
      <w:r w:rsidR="009D123F" w:rsidRPr="00B24750">
        <w:rPr>
          <w:rFonts w:asciiTheme="majorHAnsi" w:hAnsiTheme="majorHAnsi"/>
          <w:sz w:val="20"/>
          <w:szCs w:val="20"/>
          <w:lang w:val="en-US"/>
        </w:rPr>
        <w:t>,</w:t>
      </w:r>
      <w:r w:rsidRPr="00B24750">
        <w:rPr>
          <w:rFonts w:asciiTheme="majorHAnsi" w:hAnsiTheme="majorHAnsi"/>
          <w:sz w:val="20"/>
          <w:szCs w:val="20"/>
          <w:lang w:val="en-US"/>
        </w:rPr>
        <w:t xml:space="preserve"> and impart information.</w:t>
      </w:r>
      <w:r w:rsidRPr="00B24750">
        <w:rPr>
          <w:rStyle w:val="FootnoteReference"/>
          <w:rFonts w:asciiTheme="majorHAnsi" w:hAnsiTheme="majorHAnsi"/>
          <w:sz w:val="20"/>
          <w:szCs w:val="20"/>
          <w:lang w:val="en-US"/>
        </w:rPr>
        <w:footnoteReference w:id="248"/>
      </w:r>
      <w:r w:rsidRPr="00B24750">
        <w:rPr>
          <w:rFonts w:asciiTheme="majorHAnsi" w:hAnsiTheme="majorHAnsi"/>
          <w:sz w:val="20"/>
          <w:szCs w:val="20"/>
          <w:lang w:val="en-US"/>
        </w:rPr>
        <w:t xml:space="preserve"> </w:t>
      </w:r>
      <w:r w:rsidR="00B24750">
        <w:rPr>
          <w:rFonts w:asciiTheme="majorHAnsi" w:hAnsiTheme="majorHAnsi"/>
          <w:sz w:val="20"/>
          <w:szCs w:val="20"/>
          <w:lang w:val="en-US"/>
        </w:rPr>
        <w:t>The</w:t>
      </w:r>
      <w:r w:rsidRPr="00B24750">
        <w:rPr>
          <w:rFonts w:asciiTheme="majorHAnsi" w:eastAsia="Cambria" w:hAnsiTheme="majorHAnsi" w:cs="Cambria"/>
          <w:sz w:val="20"/>
          <w:szCs w:val="20"/>
          <w:lang w:val="en-US"/>
        </w:rPr>
        <w:t xml:space="preserve"> IACHR and the Office of the Special Rapporteur for Freedom of Expression have emphasized that access to the </w:t>
      </w:r>
      <w:r w:rsidR="00B24750">
        <w:rPr>
          <w:rFonts w:asciiTheme="majorHAnsi" w:eastAsia="Cambria" w:hAnsiTheme="majorHAnsi" w:cs="Cambria"/>
          <w:sz w:val="20"/>
          <w:szCs w:val="20"/>
          <w:lang w:val="en-US"/>
        </w:rPr>
        <w:t>i</w:t>
      </w:r>
      <w:r w:rsidRPr="00B24750">
        <w:rPr>
          <w:rFonts w:asciiTheme="majorHAnsi" w:eastAsia="Cambria" w:hAnsiTheme="majorHAnsi" w:cs="Cambria"/>
          <w:sz w:val="20"/>
          <w:szCs w:val="20"/>
          <w:lang w:val="en-US"/>
        </w:rPr>
        <w:t xml:space="preserve">nternet </w:t>
      </w:r>
      <w:r w:rsidR="00B24750">
        <w:rPr>
          <w:rFonts w:asciiTheme="majorHAnsi" w:eastAsia="Cambria" w:hAnsiTheme="majorHAnsi" w:cs="Cambria"/>
          <w:sz w:val="20"/>
          <w:szCs w:val="20"/>
          <w:lang w:val="en-US"/>
        </w:rPr>
        <w:t>i</w:t>
      </w:r>
      <w:r w:rsidRPr="00B24750">
        <w:rPr>
          <w:rFonts w:asciiTheme="majorHAnsi" w:eastAsia="Cambria" w:hAnsiTheme="majorHAnsi" w:cs="Cambria"/>
          <w:sz w:val="20"/>
          <w:szCs w:val="20"/>
          <w:lang w:val="en-US"/>
        </w:rPr>
        <w:t>s a</w:t>
      </w:r>
      <w:r w:rsidR="00B24750" w:rsidRPr="00B24750">
        <w:rPr>
          <w:rFonts w:asciiTheme="majorHAnsi" w:eastAsia="Cambria" w:hAnsiTheme="majorHAnsi" w:cs="Cambria"/>
          <w:sz w:val="20"/>
          <w:szCs w:val="20"/>
          <w:lang w:val="en-US"/>
        </w:rPr>
        <w:t xml:space="preserve"> condition</w:t>
      </w:r>
      <w:r w:rsidRPr="00B24750">
        <w:rPr>
          <w:rFonts w:asciiTheme="majorHAnsi" w:eastAsia="Cambria" w:hAnsiTheme="majorHAnsi" w:cs="Cambria"/>
          <w:sz w:val="20"/>
          <w:szCs w:val="20"/>
          <w:lang w:val="en-US"/>
        </w:rPr>
        <w:t xml:space="preserve"> </w:t>
      </w:r>
      <w:r w:rsidRPr="00B24750">
        <w:rPr>
          <w:rStyle w:val="None"/>
          <w:rFonts w:asciiTheme="majorHAnsi" w:hAnsiTheme="majorHAnsi"/>
          <w:i/>
          <w:iCs/>
          <w:sz w:val="20"/>
          <w:szCs w:val="20"/>
          <w:lang w:val="en-US"/>
        </w:rPr>
        <w:t xml:space="preserve">sine qua non </w:t>
      </w:r>
      <w:r w:rsidRPr="00B24750">
        <w:rPr>
          <w:rFonts w:asciiTheme="majorHAnsi" w:eastAsia="Cambria" w:hAnsiTheme="majorHAnsi" w:cs="Cambria"/>
          <w:sz w:val="20"/>
          <w:szCs w:val="20"/>
          <w:lang w:val="en-US"/>
        </w:rPr>
        <w:t>for the effective exercise of human rights, including especially the rights to freedom of expression and opinion, association and assembly, education, health, work</w:t>
      </w:r>
      <w:r w:rsidR="00B24750">
        <w:rPr>
          <w:rFonts w:asciiTheme="majorHAnsi" w:eastAsia="Cambria" w:hAnsiTheme="majorHAnsi" w:cs="Cambria"/>
          <w:sz w:val="20"/>
          <w:szCs w:val="20"/>
          <w:lang w:val="en-US"/>
        </w:rPr>
        <w:t>,</w:t>
      </w:r>
      <w:r w:rsidRPr="00B24750">
        <w:rPr>
          <w:rFonts w:asciiTheme="majorHAnsi" w:eastAsia="Cambria" w:hAnsiTheme="majorHAnsi" w:cs="Cambria"/>
          <w:sz w:val="20"/>
          <w:szCs w:val="20"/>
          <w:lang w:val="en-US"/>
        </w:rPr>
        <w:t xml:space="preserve"> and access to culture</w:t>
      </w:r>
      <w:r w:rsidR="00B24750">
        <w:rPr>
          <w:rFonts w:asciiTheme="majorHAnsi" w:eastAsia="Cambria" w:hAnsiTheme="majorHAnsi" w:cs="Cambria"/>
          <w:sz w:val="20"/>
          <w:szCs w:val="20"/>
          <w:lang w:val="en-US"/>
        </w:rPr>
        <w:t>.</w:t>
      </w:r>
      <w:r w:rsidRPr="00B24750">
        <w:rPr>
          <w:rStyle w:val="None"/>
          <w:rFonts w:asciiTheme="majorHAnsi" w:hAnsiTheme="majorHAnsi"/>
          <w:sz w:val="20"/>
          <w:szCs w:val="20"/>
          <w:vertAlign w:val="superscript"/>
          <w:lang w:val="en-US"/>
        </w:rPr>
        <w:footnoteReference w:id="249"/>
      </w:r>
      <w:r w:rsidRPr="00B24750">
        <w:rPr>
          <w:rFonts w:asciiTheme="majorHAnsi" w:eastAsia="Cambria" w:hAnsiTheme="majorHAnsi" w:cs="Cambria"/>
          <w:sz w:val="20"/>
          <w:szCs w:val="20"/>
          <w:lang w:val="en-US"/>
        </w:rPr>
        <w:t xml:space="preserve"> </w:t>
      </w:r>
      <w:r w:rsidR="00B24750">
        <w:rPr>
          <w:rFonts w:asciiTheme="majorHAnsi" w:eastAsia="Cambria" w:hAnsiTheme="majorHAnsi" w:cs="Cambria"/>
          <w:sz w:val="20"/>
          <w:szCs w:val="20"/>
          <w:lang w:val="en-US"/>
        </w:rPr>
        <w:t xml:space="preserve"> </w:t>
      </w:r>
    </w:p>
    <w:p w14:paraId="048A9033"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bdr w:val="none" w:sz="0" w:space="0" w:color="auto"/>
          <w:lang w:val="en-US"/>
        </w:rPr>
      </w:pPr>
    </w:p>
    <w:p w14:paraId="3B6675B8" w14:textId="7C18509C" w:rsidR="00EA60AC" w:rsidRPr="00711C22" w:rsidRDefault="00EA60AC"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n-US"/>
        </w:rPr>
      </w:pPr>
      <w:r w:rsidRPr="00711C22">
        <w:rPr>
          <w:rFonts w:ascii="Cambria" w:hAnsi="Cambria"/>
          <w:sz w:val="20"/>
          <w:szCs w:val="20"/>
          <w:lang w:val="en-US"/>
        </w:rPr>
        <w:t xml:space="preserve">The </w:t>
      </w:r>
      <w:r>
        <w:rPr>
          <w:rFonts w:ascii="Cambria" w:hAnsi="Cambria"/>
          <w:sz w:val="20"/>
          <w:szCs w:val="20"/>
          <w:lang w:val="en-US"/>
        </w:rPr>
        <w:t>i</w:t>
      </w:r>
      <w:r w:rsidRPr="00711C22">
        <w:rPr>
          <w:rFonts w:ascii="Cambria" w:hAnsi="Cambria"/>
          <w:sz w:val="20"/>
          <w:szCs w:val="20"/>
          <w:lang w:val="en-US"/>
        </w:rPr>
        <w:t>nternet</w:t>
      </w:r>
      <w:r>
        <w:rPr>
          <w:rFonts w:ascii="Cambria" w:hAnsi="Cambria"/>
          <w:sz w:val="20"/>
          <w:szCs w:val="20"/>
          <w:lang w:val="en-US"/>
        </w:rPr>
        <w:t>’s</w:t>
      </w:r>
      <w:r w:rsidRPr="00711C22">
        <w:rPr>
          <w:rFonts w:ascii="Cambria" w:hAnsi="Cambria"/>
          <w:sz w:val="20"/>
          <w:szCs w:val="20"/>
          <w:lang w:val="en-US"/>
        </w:rPr>
        <w:t xml:space="preserve"> relevance as a platform for the enjoyment and exercise of human rights is directly linked to </w:t>
      </w:r>
      <w:r w:rsidRPr="006F6F3C">
        <w:rPr>
          <w:rFonts w:ascii="Cambria" w:hAnsi="Cambria"/>
          <w:sz w:val="20"/>
          <w:szCs w:val="20"/>
          <w:lang w:val="en-US"/>
        </w:rPr>
        <w:t>network architecture</w:t>
      </w:r>
      <w:r w:rsidRPr="00711C22">
        <w:rPr>
          <w:rFonts w:ascii="Cambria" w:hAnsi="Cambria"/>
          <w:sz w:val="20"/>
          <w:szCs w:val="20"/>
          <w:lang w:val="en-US"/>
        </w:rPr>
        <w:t xml:space="preserve"> and </w:t>
      </w:r>
      <w:r w:rsidR="006F6F3C">
        <w:rPr>
          <w:rFonts w:ascii="Cambria" w:hAnsi="Cambria"/>
          <w:sz w:val="20"/>
          <w:szCs w:val="20"/>
          <w:lang w:val="en-US"/>
        </w:rPr>
        <w:t>its governing</w:t>
      </w:r>
      <w:r w:rsidRPr="00711C22">
        <w:rPr>
          <w:rFonts w:ascii="Cambria" w:hAnsi="Cambria"/>
          <w:sz w:val="20"/>
          <w:szCs w:val="20"/>
          <w:lang w:val="en-US"/>
        </w:rPr>
        <w:t xml:space="preserve"> principles, including the principles of openness, decentralization</w:t>
      </w:r>
      <w:r>
        <w:rPr>
          <w:rFonts w:ascii="Cambria" w:hAnsi="Cambria"/>
          <w:sz w:val="20"/>
          <w:szCs w:val="20"/>
          <w:lang w:val="en-US"/>
        </w:rPr>
        <w:t>,</w:t>
      </w:r>
      <w:r w:rsidRPr="00711C22">
        <w:rPr>
          <w:rFonts w:ascii="Cambria" w:hAnsi="Cambria"/>
          <w:sz w:val="20"/>
          <w:szCs w:val="20"/>
          <w:lang w:val="en-US"/>
        </w:rPr>
        <w:t xml:space="preserve"> and neutrality. The </w:t>
      </w:r>
      <w:r w:rsidR="00493FAF">
        <w:rPr>
          <w:rFonts w:ascii="Cambria" w:hAnsi="Cambria"/>
          <w:sz w:val="20"/>
          <w:szCs w:val="20"/>
          <w:lang w:val="en-US"/>
        </w:rPr>
        <w:t>activity of the State</w:t>
      </w:r>
      <w:r w:rsidRPr="00711C22">
        <w:rPr>
          <w:rFonts w:ascii="Cambria" w:hAnsi="Cambria"/>
          <w:sz w:val="20"/>
          <w:szCs w:val="20"/>
          <w:lang w:val="en-US"/>
        </w:rPr>
        <w:t>, the development of public policies</w:t>
      </w:r>
      <w:r w:rsidR="00493FAF">
        <w:rPr>
          <w:rFonts w:ascii="Cambria" w:hAnsi="Cambria"/>
          <w:sz w:val="20"/>
          <w:szCs w:val="20"/>
          <w:lang w:val="en-US"/>
        </w:rPr>
        <w:t>,</w:t>
      </w:r>
      <w:r w:rsidRPr="00711C22">
        <w:rPr>
          <w:rFonts w:ascii="Cambria" w:hAnsi="Cambria"/>
          <w:sz w:val="20"/>
          <w:szCs w:val="20"/>
          <w:lang w:val="en-US"/>
        </w:rPr>
        <w:t xml:space="preserve"> and the actions of individuals in the digital environment must conform to the principles of equal access, pluralism, non-discrimination</w:t>
      </w:r>
      <w:r w:rsidR="00493FAF">
        <w:rPr>
          <w:rFonts w:ascii="Cambria" w:hAnsi="Cambria"/>
          <w:sz w:val="20"/>
          <w:szCs w:val="20"/>
          <w:lang w:val="en-US"/>
        </w:rPr>
        <w:t>,</w:t>
      </w:r>
      <w:r w:rsidRPr="00711C22">
        <w:rPr>
          <w:rFonts w:ascii="Cambria" w:hAnsi="Cambria"/>
          <w:sz w:val="20"/>
          <w:szCs w:val="20"/>
          <w:lang w:val="en-US"/>
        </w:rPr>
        <w:t xml:space="preserve"> and privacy, </w:t>
      </w:r>
      <w:r w:rsidR="00493FAF">
        <w:rPr>
          <w:rFonts w:ascii="Cambria" w:hAnsi="Cambria"/>
          <w:sz w:val="20"/>
          <w:szCs w:val="20"/>
          <w:lang w:val="en-US"/>
        </w:rPr>
        <w:t>with</w:t>
      </w:r>
      <w:r w:rsidRPr="00711C22">
        <w:rPr>
          <w:rFonts w:ascii="Cambria" w:hAnsi="Cambria"/>
          <w:sz w:val="20"/>
          <w:szCs w:val="20"/>
          <w:lang w:val="en-US"/>
        </w:rPr>
        <w:t xml:space="preserve"> net neutrality and multi-sector governance as cross-cutting components</w:t>
      </w:r>
      <w:r>
        <w:rPr>
          <w:rFonts w:ascii="Cambria" w:hAnsi="Cambria"/>
          <w:sz w:val="20"/>
          <w:szCs w:val="20"/>
          <w:lang w:val="en-US"/>
        </w:rPr>
        <w:t>.</w:t>
      </w:r>
      <w:r w:rsidRPr="00711C22">
        <w:rPr>
          <w:rStyle w:val="FootnoteReference"/>
          <w:rFonts w:ascii="Cambria" w:hAnsi="Cambria"/>
          <w:sz w:val="20"/>
          <w:szCs w:val="20"/>
          <w:lang w:val="en-US"/>
        </w:rPr>
        <w:footnoteReference w:id="250"/>
      </w:r>
      <w:r w:rsidRPr="00711C22">
        <w:rPr>
          <w:rFonts w:ascii="Cambria" w:hAnsi="Cambria"/>
          <w:sz w:val="20"/>
          <w:szCs w:val="20"/>
          <w:lang w:val="en-US"/>
        </w:rPr>
        <w:t xml:space="preserve"> </w:t>
      </w:r>
    </w:p>
    <w:p w14:paraId="4625A2CF" w14:textId="77777777" w:rsidR="00713B50" w:rsidRPr="00B24750" w:rsidRDefault="00713B50" w:rsidP="00713B50">
      <w:pPr>
        <w:pStyle w:val="ListParagraph"/>
        <w:rPr>
          <w:rFonts w:asciiTheme="majorHAnsi" w:hAnsiTheme="majorHAnsi"/>
          <w:sz w:val="20"/>
          <w:szCs w:val="20"/>
          <w:bdr w:val="none" w:sz="0" w:space="0" w:color="auto"/>
        </w:rPr>
      </w:pPr>
    </w:p>
    <w:p w14:paraId="76A7EA75" w14:textId="4A3BB5F2" w:rsidR="00C803DE" w:rsidRPr="00C803DE" w:rsidRDefault="00F211E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F211EA">
        <w:rPr>
          <w:rFonts w:asciiTheme="majorHAnsi" w:hAnsiTheme="majorHAnsi"/>
          <w:color w:val="000000"/>
          <w:sz w:val="20"/>
          <w:szCs w:val="20"/>
          <w:shd w:val="clear" w:color="auto" w:fill="FFFFFF"/>
          <w:lang w:val="en-US"/>
        </w:rPr>
        <w:t xml:space="preserve">Maximizing the number and diversity of voices able to participate in the public debate is both a </w:t>
      </w:r>
      <w:r>
        <w:rPr>
          <w:rFonts w:asciiTheme="majorHAnsi" w:hAnsiTheme="majorHAnsi"/>
          <w:color w:val="000000"/>
          <w:sz w:val="20"/>
          <w:szCs w:val="20"/>
          <w:shd w:val="clear" w:color="auto" w:fill="FFFFFF"/>
          <w:lang w:val="en-US"/>
        </w:rPr>
        <w:t>condition</w:t>
      </w:r>
      <w:r w:rsidRPr="00F211EA">
        <w:rPr>
          <w:rFonts w:asciiTheme="majorHAnsi" w:hAnsiTheme="majorHAnsi"/>
          <w:color w:val="000000"/>
          <w:sz w:val="20"/>
          <w:szCs w:val="20"/>
          <w:shd w:val="clear" w:color="auto" w:fill="FFFFFF"/>
          <w:lang w:val="en-US"/>
        </w:rPr>
        <w:t xml:space="preserve"> and an </w:t>
      </w:r>
      <w:r>
        <w:rPr>
          <w:rFonts w:asciiTheme="majorHAnsi" w:hAnsiTheme="majorHAnsi"/>
          <w:color w:val="000000"/>
          <w:sz w:val="20"/>
          <w:szCs w:val="20"/>
          <w:shd w:val="clear" w:color="auto" w:fill="FFFFFF"/>
          <w:lang w:val="en-US"/>
        </w:rPr>
        <w:t xml:space="preserve">essential aim </w:t>
      </w:r>
      <w:r w:rsidRPr="00F211EA">
        <w:rPr>
          <w:rFonts w:asciiTheme="majorHAnsi" w:hAnsiTheme="majorHAnsi"/>
          <w:color w:val="000000"/>
          <w:sz w:val="20"/>
          <w:szCs w:val="20"/>
          <w:shd w:val="clear" w:color="auto" w:fill="FFFFFF"/>
          <w:lang w:val="en-US"/>
        </w:rPr>
        <w:t>of the democratic process</w:t>
      </w:r>
      <w:r w:rsidR="00C803DE" w:rsidRPr="00C803DE">
        <w:rPr>
          <w:rFonts w:asciiTheme="majorHAnsi" w:hAnsiTheme="majorHAnsi"/>
          <w:sz w:val="20"/>
          <w:szCs w:val="20"/>
          <w:lang w:val="en-US"/>
        </w:rPr>
        <w:t>.</w:t>
      </w:r>
      <w:r w:rsidR="00C803DE" w:rsidRPr="00C803DE">
        <w:rPr>
          <w:rStyle w:val="FootnoteReference"/>
          <w:rFonts w:asciiTheme="majorHAnsi" w:hAnsiTheme="majorHAnsi"/>
          <w:sz w:val="20"/>
          <w:szCs w:val="20"/>
          <w:lang w:val="en-US"/>
        </w:rPr>
        <w:footnoteReference w:id="251"/>
      </w:r>
      <w:r w:rsidR="00C803DE" w:rsidRPr="00C803DE">
        <w:rPr>
          <w:rFonts w:asciiTheme="majorHAnsi" w:hAnsiTheme="majorHAnsi"/>
          <w:sz w:val="20"/>
          <w:szCs w:val="20"/>
          <w:lang w:val="en-US"/>
        </w:rPr>
        <w:t xml:space="preserve"> </w:t>
      </w:r>
      <w:r w:rsidR="00D74C28" w:rsidRPr="00D74C28">
        <w:rPr>
          <w:rFonts w:ascii="Cambria" w:hAnsi="Cambria"/>
          <w:sz w:val="20"/>
          <w:szCs w:val="20"/>
          <w:lang w:val="en-US"/>
        </w:rPr>
        <w:t xml:space="preserve">Robust guarantees for the exercise of freedom of expression online are </w:t>
      </w:r>
      <w:r w:rsidR="00D74C28">
        <w:rPr>
          <w:rFonts w:ascii="Cambria" w:hAnsi="Cambria"/>
          <w:sz w:val="20"/>
          <w:szCs w:val="20"/>
          <w:lang w:val="en-US"/>
        </w:rPr>
        <w:t>now</w:t>
      </w:r>
      <w:r w:rsidR="00D74C28" w:rsidRPr="00D74C28">
        <w:rPr>
          <w:rFonts w:ascii="Cambria" w:hAnsi="Cambria"/>
          <w:sz w:val="20"/>
          <w:szCs w:val="20"/>
          <w:lang w:val="en-US"/>
        </w:rPr>
        <w:t xml:space="preserve"> a prerequisite for </w:t>
      </w:r>
      <w:r w:rsidR="00D74C28">
        <w:rPr>
          <w:rFonts w:ascii="Cambria" w:hAnsi="Cambria"/>
          <w:sz w:val="20"/>
          <w:szCs w:val="20"/>
          <w:lang w:val="en-US"/>
        </w:rPr>
        <w:t>opening up the</w:t>
      </w:r>
      <w:r w:rsidR="00D74C28" w:rsidRPr="00D74C28">
        <w:rPr>
          <w:rFonts w:ascii="Cambria" w:hAnsi="Cambria"/>
          <w:sz w:val="20"/>
          <w:szCs w:val="20"/>
          <w:lang w:val="en-US"/>
        </w:rPr>
        <w:t xml:space="preserve"> public sphere</w:t>
      </w:r>
      <w:r>
        <w:rPr>
          <w:rFonts w:asciiTheme="majorHAnsi" w:hAnsiTheme="majorHAnsi"/>
          <w:sz w:val="20"/>
          <w:szCs w:val="20"/>
          <w:lang w:val="en-US"/>
        </w:rPr>
        <w:t>.</w:t>
      </w:r>
      <w:r w:rsidR="00C803DE" w:rsidRPr="00C803DE">
        <w:rPr>
          <w:rStyle w:val="FootnoteReference"/>
          <w:rFonts w:asciiTheme="majorHAnsi" w:hAnsiTheme="majorHAnsi"/>
          <w:sz w:val="20"/>
          <w:szCs w:val="20"/>
          <w:lang w:val="en-US"/>
        </w:rPr>
        <w:footnoteReference w:id="252"/>
      </w:r>
      <w:r w:rsidR="00C803DE" w:rsidRPr="00C803DE">
        <w:rPr>
          <w:rFonts w:asciiTheme="majorHAnsi" w:hAnsiTheme="majorHAnsi"/>
          <w:sz w:val="20"/>
          <w:szCs w:val="20"/>
          <w:lang w:val="en-US"/>
        </w:rPr>
        <w:t xml:space="preserve"> </w:t>
      </w:r>
      <w:r w:rsidR="00C803DE" w:rsidRPr="00C803DE">
        <w:rPr>
          <w:rStyle w:val="None"/>
          <w:rFonts w:asciiTheme="majorHAnsi" w:hAnsiTheme="majorHAnsi"/>
          <w:sz w:val="20"/>
          <w:szCs w:val="20"/>
          <w:lang w:val="en-US"/>
        </w:rPr>
        <w:t xml:space="preserve">Therefore, States </w:t>
      </w:r>
      <w:r w:rsidR="00592AB7">
        <w:rPr>
          <w:rStyle w:val="None"/>
          <w:rFonts w:asciiTheme="majorHAnsi" w:hAnsiTheme="majorHAnsi"/>
          <w:sz w:val="20"/>
          <w:szCs w:val="20"/>
          <w:lang w:val="en-US"/>
        </w:rPr>
        <w:t xml:space="preserve">have the duty </w:t>
      </w:r>
      <w:r w:rsidR="00C803DE" w:rsidRPr="00C803DE">
        <w:rPr>
          <w:rStyle w:val="None"/>
          <w:rFonts w:asciiTheme="majorHAnsi" w:hAnsiTheme="majorHAnsi"/>
          <w:sz w:val="20"/>
          <w:szCs w:val="20"/>
          <w:lang w:val="en-US"/>
        </w:rPr>
        <w:t xml:space="preserve">not only to ensure the conditions for people to connect to the </w:t>
      </w:r>
      <w:r w:rsidR="00592AB7">
        <w:rPr>
          <w:rStyle w:val="None"/>
          <w:rFonts w:asciiTheme="majorHAnsi" w:hAnsiTheme="majorHAnsi"/>
          <w:sz w:val="20"/>
          <w:szCs w:val="20"/>
          <w:lang w:val="en-US"/>
        </w:rPr>
        <w:t>i</w:t>
      </w:r>
      <w:r w:rsidR="00C803DE" w:rsidRPr="00C803DE">
        <w:rPr>
          <w:rStyle w:val="None"/>
          <w:rFonts w:asciiTheme="majorHAnsi" w:hAnsiTheme="majorHAnsi"/>
          <w:sz w:val="20"/>
          <w:szCs w:val="20"/>
          <w:lang w:val="en-US"/>
        </w:rPr>
        <w:t xml:space="preserve">nternet, but also to provide the resources and measures so </w:t>
      </w:r>
      <w:r w:rsidR="00592AB7">
        <w:rPr>
          <w:rStyle w:val="None"/>
          <w:rFonts w:asciiTheme="majorHAnsi" w:hAnsiTheme="majorHAnsi"/>
          <w:sz w:val="20"/>
          <w:szCs w:val="20"/>
          <w:lang w:val="en-US"/>
        </w:rPr>
        <w:t>people</w:t>
      </w:r>
      <w:r w:rsidR="00C803DE" w:rsidRPr="00C803DE">
        <w:rPr>
          <w:rStyle w:val="None"/>
          <w:rFonts w:asciiTheme="majorHAnsi" w:hAnsiTheme="majorHAnsi"/>
          <w:sz w:val="20"/>
          <w:szCs w:val="20"/>
          <w:lang w:val="en-US"/>
        </w:rPr>
        <w:t xml:space="preserve"> can </w:t>
      </w:r>
      <w:r w:rsidR="00592AB7">
        <w:rPr>
          <w:rStyle w:val="None"/>
          <w:rFonts w:asciiTheme="majorHAnsi" w:hAnsiTheme="majorHAnsi"/>
          <w:sz w:val="20"/>
          <w:szCs w:val="20"/>
          <w:lang w:val="en-US"/>
        </w:rPr>
        <w:t>use it</w:t>
      </w:r>
      <w:r w:rsidR="00C803DE" w:rsidRPr="00C803DE">
        <w:rPr>
          <w:rStyle w:val="None"/>
          <w:rFonts w:asciiTheme="majorHAnsi" w:hAnsiTheme="majorHAnsi"/>
          <w:sz w:val="20"/>
          <w:szCs w:val="20"/>
          <w:lang w:val="en-US"/>
        </w:rPr>
        <w:t xml:space="preserve"> autonomous</w:t>
      </w:r>
      <w:r w:rsidR="00592AB7">
        <w:rPr>
          <w:rStyle w:val="None"/>
          <w:rFonts w:asciiTheme="majorHAnsi" w:hAnsiTheme="majorHAnsi"/>
          <w:sz w:val="20"/>
          <w:szCs w:val="20"/>
          <w:lang w:val="en-US"/>
        </w:rPr>
        <w:t>ly</w:t>
      </w:r>
      <w:r w:rsidR="00C803DE" w:rsidRPr="00C803DE">
        <w:rPr>
          <w:rStyle w:val="None"/>
          <w:rFonts w:asciiTheme="majorHAnsi" w:hAnsiTheme="majorHAnsi"/>
          <w:sz w:val="20"/>
          <w:szCs w:val="20"/>
          <w:lang w:val="en-US"/>
        </w:rPr>
        <w:t>, independent</w:t>
      </w:r>
      <w:r w:rsidR="00592AB7">
        <w:rPr>
          <w:rStyle w:val="None"/>
          <w:rFonts w:asciiTheme="majorHAnsi" w:hAnsiTheme="majorHAnsi"/>
          <w:sz w:val="20"/>
          <w:szCs w:val="20"/>
          <w:lang w:val="en-US"/>
        </w:rPr>
        <w:t>ly,</w:t>
      </w:r>
      <w:r w:rsidR="00C803DE" w:rsidRPr="00C803DE">
        <w:rPr>
          <w:rStyle w:val="None"/>
          <w:rFonts w:asciiTheme="majorHAnsi" w:hAnsiTheme="majorHAnsi"/>
          <w:sz w:val="20"/>
          <w:szCs w:val="20"/>
          <w:lang w:val="en-US"/>
        </w:rPr>
        <w:t xml:space="preserve"> and responsibl</w:t>
      </w:r>
      <w:r w:rsidR="00592AB7">
        <w:rPr>
          <w:rStyle w:val="None"/>
          <w:rFonts w:asciiTheme="majorHAnsi" w:hAnsiTheme="majorHAnsi"/>
          <w:sz w:val="20"/>
          <w:szCs w:val="20"/>
          <w:lang w:val="en-US"/>
        </w:rPr>
        <w:t>y</w:t>
      </w:r>
      <w:r w:rsidR="00C803DE" w:rsidRPr="00C803DE">
        <w:rPr>
          <w:rStyle w:val="None"/>
          <w:rFonts w:asciiTheme="majorHAnsi" w:hAnsiTheme="majorHAnsi"/>
          <w:sz w:val="20"/>
          <w:szCs w:val="20"/>
          <w:lang w:val="en-US"/>
        </w:rPr>
        <w:t xml:space="preserve">, </w:t>
      </w:r>
      <w:r w:rsidR="00592AB7">
        <w:rPr>
          <w:rStyle w:val="None"/>
          <w:rFonts w:asciiTheme="majorHAnsi" w:hAnsiTheme="majorHAnsi"/>
          <w:sz w:val="20"/>
          <w:szCs w:val="20"/>
          <w:lang w:val="en-US"/>
        </w:rPr>
        <w:t>with the ability to access</w:t>
      </w:r>
      <w:r w:rsidR="00C803DE" w:rsidRPr="00C803DE">
        <w:rPr>
          <w:rStyle w:val="None"/>
          <w:rFonts w:asciiTheme="majorHAnsi" w:hAnsiTheme="majorHAnsi"/>
          <w:sz w:val="20"/>
          <w:szCs w:val="20"/>
          <w:lang w:val="en-US"/>
        </w:rPr>
        <w:t xml:space="preserve"> the largest amount of information and ideas </w:t>
      </w:r>
      <w:r w:rsidR="00592AB7">
        <w:rPr>
          <w:rStyle w:val="None"/>
          <w:rFonts w:asciiTheme="majorHAnsi" w:hAnsiTheme="majorHAnsi"/>
          <w:sz w:val="20"/>
          <w:szCs w:val="20"/>
          <w:lang w:val="en-US"/>
        </w:rPr>
        <w:t>circulating online</w:t>
      </w:r>
      <w:r w:rsidR="00C803DE" w:rsidRPr="00C803DE">
        <w:rPr>
          <w:rStyle w:val="None"/>
          <w:rFonts w:asciiTheme="majorHAnsi" w:hAnsiTheme="majorHAnsi"/>
          <w:sz w:val="20"/>
          <w:szCs w:val="20"/>
          <w:lang w:val="en-US"/>
        </w:rPr>
        <w:t xml:space="preserve">. </w:t>
      </w:r>
      <w:r w:rsidR="00C803DE" w:rsidRPr="00C803DE">
        <w:rPr>
          <w:rFonts w:asciiTheme="majorHAnsi" w:hAnsiTheme="majorHAnsi"/>
          <w:sz w:val="20"/>
          <w:szCs w:val="20"/>
          <w:lang w:val="en-US"/>
        </w:rPr>
        <w:t xml:space="preserve">States </w:t>
      </w:r>
      <w:r w:rsidR="00592AB7">
        <w:rPr>
          <w:rFonts w:asciiTheme="majorHAnsi" w:hAnsiTheme="majorHAnsi"/>
          <w:sz w:val="20"/>
          <w:szCs w:val="20"/>
          <w:lang w:val="en-US"/>
        </w:rPr>
        <w:t>“</w:t>
      </w:r>
      <w:r w:rsidR="00592AB7" w:rsidRPr="00592AB7">
        <w:rPr>
          <w:rFonts w:asciiTheme="majorHAnsi" w:hAnsiTheme="majorHAnsi"/>
          <w:sz w:val="20"/>
          <w:szCs w:val="20"/>
          <w:lang w:val="en-US"/>
        </w:rPr>
        <w:t>should protect the multidirectional nature of the Internet and promote platforms that allow for the search for and circulation of information and ideas of all kinds</w:t>
      </w:r>
      <w:r w:rsidR="00592AB7">
        <w:rPr>
          <w:rFonts w:asciiTheme="majorHAnsi" w:hAnsiTheme="majorHAnsi"/>
          <w:sz w:val="20"/>
          <w:szCs w:val="20"/>
          <w:lang w:val="en-US"/>
        </w:rPr>
        <w:t>.”</w:t>
      </w:r>
      <w:r w:rsidR="00C803DE" w:rsidRPr="00C803DE">
        <w:rPr>
          <w:rStyle w:val="FootnoteReference"/>
          <w:rFonts w:asciiTheme="majorHAnsi" w:hAnsiTheme="majorHAnsi"/>
          <w:sz w:val="20"/>
          <w:szCs w:val="20"/>
          <w:lang w:val="en-US"/>
        </w:rPr>
        <w:footnoteReference w:id="253"/>
      </w:r>
      <w:r w:rsidR="00C803DE" w:rsidRPr="00C803DE">
        <w:rPr>
          <w:rFonts w:asciiTheme="majorHAnsi" w:hAnsiTheme="majorHAnsi"/>
          <w:sz w:val="20"/>
          <w:szCs w:val="20"/>
          <w:lang w:val="en-US"/>
        </w:rPr>
        <w:t xml:space="preserve"> In particular, net neutrality is a necessary condition </w:t>
      </w:r>
      <w:r w:rsidR="00CF43F6">
        <w:rPr>
          <w:rFonts w:asciiTheme="majorHAnsi" w:hAnsiTheme="majorHAnsi"/>
          <w:sz w:val="20"/>
          <w:szCs w:val="20"/>
          <w:lang w:val="en-US"/>
        </w:rPr>
        <w:t xml:space="preserve">for exercising </w:t>
      </w:r>
      <w:r w:rsidR="00C803DE" w:rsidRPr="00C803DE">
        <w:rPr>
          <w:rFonts w:asciiTheme="majorHAnsi" w:hAnsiTheme="majorHAnsi"/>
          <w:sz w:val="20"/>
          <w:szCs w:val="20"/>
          <w:lang w:val="en-US"/>
        </w:rPr>
        <w:t xml:space="preserve">freedom of expression. The purpose of this principle is </w:t>
      </w:r>
      <w:r w:rsidR="00592AB7">
        <w:rPr>
          <w:rFonts w:asciiTheme="majorHAnsi" w:hAnsiTheme="majorHAnsi"/>
          <w:sz w:val="20"/>
          <w:szCs w:val="20"/>
          <w:lang w:val="en-US"/>
        </w:rPr>
        <w:t xml:space="preserve">to ensure </w:t>
      </w:r>
      <w:r w:rsidR="00C803DE" w:rsidRPr="00C803DE">
        <w:rPr>
          <w:rFonts w:asciiTheme="majorHAnsi" w:hAnsiTheme="majorHAnsi"/>
          <w:sz w:val="20"/>
          <w:szCs w:val="20"/>
          <w:lang w:val="en-US"/>
        </w:rPr>
        <w:t xml:space="preserve">that </w:t>
      </w:r>
      <w:r w:rsidR="00592AB7">
        <w:rPr>
          <w:rFonts w:asciiTheme="majorHAnsi" w:hAnsiTheme="majorHAnsi"/>
          <w:sz w:val="20"/>
          <w:szCs w:val="20"/>
          <w:lang w:val="en-US"/>
        </w:rPr>
        <w:t xml:space="preserve">free </w:t>
      </w:r>
      <w:r w:rsidR="00C803DE" w:rsidRPr="00C803DE">
        <w:rPr>
          <w:rFonts w:asciiTheme="majorHAnsi" w:hAnsiTheme="majorHAnsi"/>
          <w:sz w:val="20"/>
          <w:szCs w:val="20"/>
          <w:lang w:val="en-US"/>
        </w:rPr>
        <w:t xml:space="preserve">access and </w:t>
      </w:r>
      <w:r w:rsidR="00592AB7">
        <w:rPr>
          <w:rFonts w:asciiTheme="majorHAnsi" w:hAnsiTheme="majorHAnsi"/>
          <w:sz w:val="20"/>
          <w:szCs w:val="20"/>
          <w:lang w:val="en-US"/>
        </w:rPr>
        <w:t xml:space="preserve">user </w:t>
      </w:r>
      <w:r w:rsidR="00C803DE" w:rsidRPr="00C803DE">
        <w:rPr>
          <w:rFonts w:asciiTheme="majorHAnsi" w:hAnsiTheme="majorHAnsi"/>
          <w:sz w:val="20"/>
          <w:szCs w:val="20"/>
          <w:lang w:val="en-US"/>
        </w:rPr>
        <w:t>choice to use, send, receive</w:t>
      </w:r>
      <w:r w:rsidR="00592AB7">
        <w:rPr>
          <w:rFonts w:asciiTheme="majorHAnsi" w:hAnsiTheme="majorHAnsi"/>
          <w:sz w:val="20"/>
          <w:szCs w:val="20"/>
          <w:lang w:val="en-US"/>
        </w:rPr>
        <w:t>,</w:t>
      </w:r>
      <w:r w:rsidR="00C803DE" w:rsidRPr="00C803DE">
        <w:rPr>
          <w:rFonts w:asciiTheme="majorHAnsi" w:hAnsiTheme="majorHAnsi"/>
          <w:sz w:val="20"/>
          <w:szCs w:val="20"/>
          <w:lang w:val="en-US"/>
        </w:rPr>
        <w:t xml:space="preserve"> or offer any lawful </w:t>
      </w:r>
      <w:r w:rsidR="00C803DE" w:rsidRPr="00C803DE">
        <w:rPr>
          <w:rFonts w:asciiTheme="majorHAnsi" w:hAnsiTheme="majorHAnsi"/>
          <w:sz w:val="20"/>
          <w:szCs w:val="20"/>
          <w:lang w:val="en-US"/>
        </w:rPr>
        <w:lastRenderedPageBreak/>
        <w:t>content, application</w:t>
      </w:r>
      <w:r w:rsidR="00592AB7">
        <w:rPr>
          <w:rFonts w:asciiTheme="majorHAnsi" w:hAnsiTheme="majorHAnsi"/>
          <w:sz w:val="20"/>
          <w:szCs w:val="20"/>
          <w:lang w:val="en-US"/>
        </w:rPr>
        <w:t>,</w:t>
      </w:r>
      <w:r w:rsidR="00C803DE" w:rsidRPr="00C803DE">
        <w:rPr>
          <w:rFonts w:asciiTheme="majorHAnsi" w:hAnsiTheme="majorHAnsi"/>
          <w:sz w:val="20"/>
          <w:szCs w:val="20"/>
          <w:lang w:val="en-US"/>
        </w:rPr>
        <w:t xml:space="preserve"> or service over the </w:t>
      </w:r>
      <w:r w:rsidR="00592AB7">
        <w:rPr>
          <w:rFonts w:asciiTheme="majorHAnsi" w:hAnsiTheme="majorHAnsi"/>
          <w:sz w:val="20"/>
          <w:szCs w:val="20"/>
          <w:lang w:val="en-US"/>
        </w:rPr>
        <w:t>i</w:t>
      </w:r>
      <w:r w:rsidR="00C803DE" w:rsidRPr="00C803DE">
        <w:rPr>
          <w:rFonts w:asciiTheme="majorHAnsi" w:hAnsiTheme="majorHAnsi"/>
          <w:sz w:val="20"/>
          <w:szCs w:val="20"/>
          <w:lang w:val="en-US"/>
        </w:rPr>
        <w:t xml:space="preserve">nternet </w:t>
      </w:r>
      <w:r w:rsidR="0036288B">
        <w:rPr>
          <w:rFonts w:asciiTheme="majorHAnsi" w:hAnsiTheme="majorHAnsi"/>
          <w:sz w:val="20"/>
          <w:szCs w:val="20"/>
          <w:lang w:val="en-US"/>
        </w:rPr>
        <w:t>is not</w:t>
      </w:r>
      <w:r w:rsidR="00C803DE" w:rsidRPr="00C803DE">
        <w:rPr>
          <w:rFonts w:asciiTheme="majorHAnsi" w:hAnsiTheme="majorHAnsi"/>
          <w:sz w:val="20"/>
          <w:szCs w:val="20"/>
          <w:lang w:val="en-US"/>
        </w:rPr>
        <w:t xml:space="preserve"> conditioned, directed</w:t>
      </w:r>
      <w:r w:rsidR="0036288B">
        <w:rPr>
          <w:rFonts w:asciiTheme="majorHAnsi" w:hAnsiTheme="majorHAnsi"/>
          <w:sz w:val="20"/>
          <w:szCs w:val="20"/>
          <w:lang w:val="en-US"/>
        </w:rPr>
        <w:t>,</w:t>
      </w:r>
      <w:r w:rsidR="00C803DE" w:rsidRPr="00C803DE">
        <w:rPr>
          <w:rFonts w:asciiTheme="majorHAnsi" w:hAnsiTheme="majorHAnsi"/>
          <w:sz w:val="20"/>
          <w:szCs w:val="20"/>
          <w:lang w:val="en-US"/>
        </w:rPr>
        <w:t xml:space="preserve"> or restricted by blocking, filtering</w:t>
      </w:r>
      <w:r w:rsidR="0036288B">
        <w:rPr>
          <w:rFonts w:asciiTheme="majorHAnsi" w:hAnsiTheme="majorHAnsi"/>
          <w:sz w:val="20"/>
          <w:szCs w:val="20"/>
          <w:lang w:val="en-US"/>
        </w:rPr>
        <w:t>,</w:t>
      </w:r>
      <w:r w:rsidR="00C803DE" w:rsidRPr="00C803DE">
        <w:rPr>
          <w:rFonts w:asciiTheme="majorHAnsi" w:hAnsiTheme="majorHAnsi"/>
          <w:sz w:val="20"/>
          <w:szCs w:val="20"/>
          <w:lang w:val="en-US"/>
        </w:rPr>
        <w:t xml:space="preserve"> or interference</w:t>
      </w:r>
      <w:r w:rsidR="00592AB7">
        <w:rPr>
          <w:rFonts w:asciiTheme="majorHAnsi" w:hAnsiTheme="majorHAnsi"/>
          <w:sz w:val="20"/>
          <w:szCs w:val="20"/>
          <w:lang w:val="en-US"/>
        </w:rPr>
        <w:t>.</w:t>
      </w:r>
      <w:r w:rsidR="00C803DE" w:rsidRPr="00C803DE">
        <w:rPr>
          <w:rStyle w:val="FootnoteReference"/>
          <w:rFonts w:asciiTheme="majorHAnsi" w:hAnsiTheme="majorHAnsi"/>
          <w:sz w:val="20"/>
          <w:szCs w:val="20"/>
          <w:lang w:val="en-US"/>
        </w:rPr>
        <w:footnoteReference w:id="254"/>
      </w:r>
      <w:r w:rsidR="00C803DE" w:rsidRPr="00C803DE">
        <w:rPr>
          <w:rFonts w:asciiTheme="majorHAnsi" w:hAnsiTheme="majorHAnsi"/>
          <w:sz w:val="20"/>
          <w:szCs w:val="20"/>
          <w:lang w:val="en-US"/>
        </w:rPr>
        <w:t xml:space="preserve"> </w:t>
      </w:r>
    </w:p>
    <w:p w14:paraId="35951972" w14:textId="77777777" w:rsidR="00713B50" w:rsidRPr="00C803DE" w:rsidRDefault="00713B50" w:rsidP="00F66452">
      <w:pPr>
        <w:rPr>
          <w:rFonts w:asciiTheme="majorHAnsi" w:hAnsiTheme="majorHAnsi"/>
          <w:highlight w:val="green"/>
          <w:lang w:val="en-US"/>
        </w:rPr>
      </w:pPr>
    </w:p>
    <w:p w14:paraId="010C78D7" w14:textId="6551E7CB" w:rsidR="009A414D" w:rsidRPr="009A414D" w:rsidRDefault="009A414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Cambria" w:hAnsiTheme="majorHAnsi" w:cs="Cambria"/>
          <w:sz w:val="20"/>
          <w:szCs w:val="20"/>
          <w:lang w:val="en-US"/>
        </w:rPr>
      </w:pPr>
      <w:r w:rsidRPr="009A414D">
        <w:rPr>
          <w:rFonts w:asciiTheme="majorHAnsi" w:hAnsiTheme="majorHAnsi"/>
          <w:sz w:val="20"/>
          <w:szCs w:val="20"/>
          <w:lang w:val="en-US"/>
        </w:rPr>
        <w:t xml:space="preserve">Freedom of expression applies to the </w:t>
      </w:r>
      <w:r w:rsidR="008C3B14">
        <w:rPr>
          <w:rFonts w:asciiTheme="majorHAnsi" w:hAnsiTheme="majorHAnsi"/>
          <w:sz w:val="20"/>
          <w:szCs w:val="20"/>
          <w:lang w:val="en-US"/>
        </w:rPr>
        <w:t>i</w:t>
      </w:r>
      <w:r w:rsidRPr="009A414D">
        <w:rPr>
          <w:rFonts w:asciiTheme="majorHAnsi" w:hAnsiTheme="majorHAnsi"/>
          <w:sz w:val="20"/>
          <w:szCs w:val="20"/>
          <w:lang w:val="en-US"/>
        </w:rPr>
        <w:t xml:space="preserve">nternet </w:t>
      </w:r>
      <w:r w:rsidR="008C3B14">
        <w:rPr>
          <w:rFonts w:asciiTheme="majorHAnsi" w:hAnsiTheme="majorHAnsi"/>
          <w:sz w:val="20"/>
          <w:szCs w:val="20"/>
          <w:lang w:val="en-US"/>
        </w:rPr>
        <w:t>just as it does</w:t>
      </w:r>
      <w:r w:rsidRPr="009A414D">
        <w:rPr>
          <w:rFonts w:asciiTheme="majorHAnsi" w:hAnsiTheme="majorHAnsi"/>
          <w:sz w:val="20"/>
          <w:szCs w:val="20"/>
          <w:lang w:val="en-US"/>
        </w:rPr>
        <w:t xml:space="preserve"> to all </w:t>
      </w:r>
      <w:r w:rsidR="000501C6">
        <w:rPr>
          <w:rFonts w:asciiTheme="majorHAnsi" w:hAnsiTheme="majorHAnsi"/>
          <w:sz w:val="20"/>
          <w:szCs w:val="20"/>
          <w:lang w:val="en-US"/>
        </w:rPr>
        <w:t>means of communication</w:t>
      </w:r>
      <w:r w:rsidRPr="009A414D">
        <w:rPr>
          <w:rFonts w:asciiTheme="majorHAnsi" w:hAnsiTheme="majorHAnsi"/>
          <w:sz w:val="20"/>
          <w:szCs w:val="20"/>
          <w:lang w:val="en-US"/>
        </w:rPr>
        <w:t>.</w:t>
      </w:r>
      <w:r w:rsidR="008C3B14">
        <w:rPr>
          <w:rFonts w:asciiTheme="majorHAnsi" w:hAnsiTheme="majorHAnsi"/>
          <w:sz w:val="20"/>
          <w:szCs w:val="20"/>
          <w:lang w:val="en-US"/>
        </w:rPr>
        <w:t xml:space="preserve"> </w:t>
      </w:r>
      <w:r w:rsidR="00CF43F6">
        <w:rPr>
          <w:rFonts w:asciiTheme="majorHAnsi" w:hAnsiTheme="majorHAnsi"/>
          <w:sz w:val="20"/>
          <w:szCs w:val="20"/>
          <w:lang w:val="en-US"/>
        </w:rPr>
        <w:t xml:space="preserve">Restrictions </w:t>
      </w:r>
      <w:r w:rsidR="000501C6" w:rsidRPr="000501C6">
        <w:rPr>
          <w:rFonts w:asciiTheme="majorHAnsi" w:hAnsiTheme="majorHAnsi"/>
          <w:sz w:val="20"/>
          <w:szCs w:val="20"/>
          <w:lang w:val="en-US"/>
        </w:rPr>
        <w:t xml:space="preserve">on freedom of expression on the </w:t>
      </w:r>
      <w:r w:rsidR="000501C6">
        <w:rPr>
          <w:rFonts w:asciiTheme="majorHAnsi" w:hAnsiTheme="majorHAnsi"/>
          <w:sz w:val="20"/>
          <w:szCs w:val="20"/>
          <w:lang w:val="en-US"/>
        </w:rPr>
        <w:t>i</w:t>
      </w:r>
      <w:r w:rsidR="000501C6" w:rsidRPr="000501C6">
        <w:rPr>
          <w:rFonts w:asciiTheme="majorHAnsi" w:hAnsiTheme="majorHAnsi"/>
          <w:sz w:val="20"/>
          <w:szCs w:val="20"/>
          <w:lang w:val="en-US"/>
        </w:rPr>
        <w:t xml:space="preserve">nternet are only acceptable if they comply with established international standards, including that they are provided for by law, and that they are necessary to protect an interest recognized under international law (the </w:t>
      </w:r>
      <w:r w:rsidR="000501C6">
        <w:rPr>
          <w:rFonts w:asciiTheme="majorHAnsi" w:hAnsiTheme="majorHAnsi"/>
          <w:sz w:val="20"/>
          <w:szCs w:val="20"/>
          <w:lang w:val="en-US"/>
        </w:rPr>
        <w:t>“</w:t>
      </w:r>
      <w:r w:rsidR="000501C6" w:rsidRPr="000501C6">
        <w:rPr>
          <w:rFonts w:asciiTheme="majorHAnsi" w:hAnsiTheme="majorHAnsi"/>
          <w:sz w:val="20"/>
          <w:szCs w:val="20"/>
          <w:lang w:val="en-US"/>
        </w:rPr>
        <w:t>three-part</w:t>
      </w:r>
      <w:r w:rsidR="000501C6">
        <w:rPr>
          <w:rFonts w:asciiTheme="majorHAnsi" w:hAnsiTheme="majorHAnsi"/>
          <w:sz w:val="20"/>
          <w:szCs w:val="20"/>
          <w:lang w:val="en-US"/>
        </w:rPr>
        <w:t>”</w:t>
      </w:r>
      <w:r w:rsidR="000501C6" w:rsidRPr="000501C6">
        <w:rPr>
          <w:rFonts w:asciiTheme="majorHAnsi" w:hAnsiTheme="majorHAnsi"/>
          <w:sz w:val="20"/>
          <w:szCs w:val="20"/>
          <w:lang w:val="en-US"/>
        </w:rPr>
        <w:t xml:space="preserve"> test</w:t>
      </w:r>
      <w:r w:rsidRPr="009A414D">
        <w:rPr>
          <w:rFonts w:asciiTheme="majorHAnsi" w:hAnsiTheme="majorHAnsi"/>
          <w:sz w:val="20"/>
          <w:szCs w:val="20"/>
          <w:lang w:val="en-US"/>
        </w:rPr>
        <w:t>)</w:t>
      </w:r>
      <w:r w:rsidR="008C3B14">
        <w:rPr>
          <w:rFonts w:asciiTheme="majorHAnsi" w:hAnsiTheme="majorHAnsi"/>
          <w:sz w:val="20"/>
          <w:szCs w:val="20"/>
          <w:lang w:val="en-US"/>
        </w:rPr>
        <w:t>.</w:t>
      </w:r>
      <w:r w:rsidRPr="009A414D">
        <w:rPr>
          <w:rFonts w:asciiTheme="majorHAnsi" w:hAnsiTheme="majorHAnsi"/>
          <w:sz w:val="20"/>
          <w:szCs w:val="20"/>
          <w:vertAlign w:val="superscript"/>
          <w:lang w:val="en-US"/>
        </w:rPr>
        <w:footnoteReference w:id="255"/>
      </w:r>
      <w:r w:rsidRPr="009A414D">
        <w:rPr>
          <w:rFonts w:asciiTheme="majorHAnsi" w:hAnsiTheme="majorHAnsi" w:cs="Arial"/>
          <w:color w:val="777777"/>
          <w:sz w:val="20"/>
          <w:szCs w:val="20"/>
          <w:lang w:val="en-US"/>
        </w:rPr>
        <w:t xml:space="preserve"> </w:t>
      </w:r>
      <w:r w:rsidRPr="009A414D">
        <w:rPr>
          <w:rFonts w:asciiTheme="majorHAnsi" w:hAnsiTheme="majorHAnsi"/>
          <w:sz w:val="20"/>
          <w:szCs w:val="20"/>
          <w:lang w:val="en-US"/>
        </w:rPr>
        <w:t xml:space="preserve">In addition to observing all these parameters, content restrictions must include </w:t>
      </w:r>
      <w:r w:rsidR="000501C6">
        <w:rPr>
          <w:rFonts w:asciiTheme="majorHAnsi" w:hAnsiTheme="majorHAnsi"/>
          <w:sz w:val="20"/>
          <w:szCs w:val="20"/>
          <w:lang w:val="en-US"/>
        </w:rPr>
        <w:t xml:space="preserve">user </w:t>
      </w:r>
      <w:r w:rsidRPr="009A414D">
        <w:rPr>
          <w:rFonts w:asciiTheme="majorHAnsi" w:hAnsiTheme="majorHAnsi"/>
          <w:sz w:val="20"/>
          <w:szCs w:val="20"/>
          <w:lang w:val="en-US"/>
        </w:rPr>
        <w:t xml:space="preserve">safeguards, </w:t>
      </w:r>
      <w:r w:rsidRPr="002A7A7E">
        <w:rPr>
          <w:rFonts w:asciiTheme="majorHAnsi" w:hAnsiTheme="majorHAnsi"/>
          <w:sz w:val="20"/>
          <w:szCs w:val="20"/>
          <w:lang w:val="en-US"/>
        </w:rPr>
        <w:t>“</w:t>
      </w:r>
      <w:r w:rsidRPr="009A414D">
        <w:rPr>
          <w:rFonts w:asciiTheme="majorHAnsi" w:hAnsiTheme="majorHAnsi"/>
          <w:sz w:val="20"/>
          <w:szCs w:val="20"/>
          <w:lang w:val="en-US"/>
        </w:rPr>
        <w:t xml:space="preserve">such as transparency </w:t>
      </w:r>
      <w:r w:rsidR="000501C6">
        <w:rPr>
          <w:rFonts w:asciiTheme="majorHAnsi" w:hAnsiTheme="majorHAnsi"/>
          <w:sz w:val="20"/>
          <w:szCs w:val="20"/>
          <w:lang w:val="en-US"/>
        </w:rPr>
        <w:t xml:space="preserve">with regard to </w:t>
      </w:r>
      <w:r w:rsidRPr="009A414D">
        <w:rPr>
          <w:rFonts w:asciiTheme="majorHAnsi" w:hAnsiTheme="majorHAnsi"/>
          <w:sz w:val="20"/>
          <w:szCs w:val="20"/>
          <w:lang w:val="en-US"/>
        </w:rPr>
        <w:t xml:space="preserve">the content whose removal has been ordered, as well as detailed information </w:t>
      </w:r>
      <w:r w:rsidR="000501C6">
        <w:rPr>
          <w:rFonts w:asciiTheme="majorHAnsi" w:hAnsiTheme="majorHAnsi"/>
          <w:sz w:val="20"/>
          <w:szCs w:val="20"/>
          <w:lang w:val="en-US"/>
        </w:rPr>
        <w:t>regarding the measures’</w:t>
      </w:r>
      <w:r w:rsidRPr="009A414D">
        <w:rPr>
          <w:rFonts w:asciiTheme="majorHAnsi" w:hAnsiTheme="majorHAnsi"/>
          <w:sz w:val="20"/>
          <w:szCs w:val="20"/>
          <w:lang w:val="en-US"/>
        </w:rPr>
        <w:t xml:space="preserve"> necessity and justification</w:t>
      </w:r>
      <w:r w:rsidRPr="002A7A7E">
        <w:rPr>
          <w:rFonts w:asciiTheme="majorHAnsi" w:hAnsiTheme="majorHAnsi"/>
          <w:sz w:val="20"/>
          <w:szCs w:val="20"/>
          <w:lang w:val="en-US"/>
        </w:rPr>
        <w:t>.”</w:t>
      </w:r>
      <w:r w:rsidRPr="009A414D">
        <w:rPr>
          <w:rFonts w:asciiTheme="majorHAnsi" w:hAnsiTheme="majorHAnsi"/>
          <w:sz w:val="20"/>
          <w:szCs w:val="20"/>
          <w:vertAlign w:val="superscript"/>
          <w:lang w:val="en-US"/>
        </w:rPr>
        <w:footnoteReference w:id="256"/>
      </w:r>
    </w:p>
    <w:p w14:paraId="324F4ACA"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n-US"/>
        </w:rPr>
      </w:pPr>
    </w:p>
    <w:p w14:paraId="70627E3E" w14:textId="47D82F4A" w:rsidR="00AE5029" w:rsidRPr="00711C22" w:rsidRDefault="00AE5029"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n-US"/>
        </w:rPr>
      </w:pPr>
      <w:r>
        <w:rPr>
          <w:rFonts w:ascii="Cambria" w:hAnsi="Cambria"/>
          <w:sz w:val="20"/>
          <w:szCs w:val="20"/>
          <w:lang w:val="en-US"/>
        </w:rPr>
        <w:t>I</w:t>
      </w:r>
      <w:r w:rsidRPr="00711C22">
        <w:rPr>
          <w:rFonts w:ascii="Cambria" w:hAnsi="Cambria"/>
          <w:sz w:val="20"/>
          <w:szCs w:val="20"/>
          <w:lang w:val="en-US"/>
        </w:rPr>
        <w:t xml:space="preserve">n no case may an </w:t>
      </w:r>
      <w:r w:rsidRPr="00711C22">
        <w:rPr>
          <w:rFonts w:ascii="Cambria" w:hAnsi="Cambria"/>
          <w:i/>
          <w:iCs/>
          <w:sz w:val="20"/>
          <w:szCs w:val="20"/>
          <w:lang w:val="en-US"/>
        </w:rPr>
        <w:t xml:space="preserve">ex-ante </w:t>
      </w:r>
      <w:r w:rsidRPr="00711C22">
        <w:rPr>
          <w:rFonts w:ascii="Cambria" w:hAnsi="Cambria"/>
          <w:sz w:val="20"/>
          <w:szCs w:val="20"/>
          <w:lang w:val="en-US"/>
        </w:rPr>
        <w:t xml:space="preserve">measure be </w:t>
      </w:r>
      <w:r w:rsidR="000E45B8">
        <w:rPr>
          <w:rFonts w:ascii="Cambria" w:hAnsi="Cambria"/>
          <w:sz w:val="20"/>
          <w:szCs w:val="20"/>
          <w:lang w:val="en-US"/>
        </w:rPr>
        <w:t>implemented to block</w:t>
      </w:r>
      <w:r w:rsidRPr="00711C22">
        <w:rPr>
          <w:rFonts w:ascii="Cambria" w:hAnsi="Cambria"/>
          <w:sz w:val="20"/>
          <w:szCs w:val="20"/>
          <w:lang w:val="en-US"/>
        </w:rPr>
        <w:t xml:space="preserve"> the circulation of any content that </w:t>
      </w:r>
      <w:r w:rsidR="000E45B8">
        <w:rPr>
          <w:rFonts w:ascii="Cambria" w:hAnsi="Cambria"/>
          <w:sz w:val="20"/>
          <w:szCs w:val="20"/>
          <w:lang w:val="en-US"/>
        </w:rPr>
        <w:t>enjoys</w:t>
      </w:r>
      <w:r w:rsidRPr="00711C22">
        <w:rPr>
          <w:rFonts w:ascii="Cambria" w:hAnsi="Cambria"/>
          <w:sz w:val="20"/>
          <w:szCs w:val="20"/>
          <w:lang w:val="en-US"/>
        </w:rPr>
        <w:t xml:space="preserve"> a presumption of </w:t>
      </w:r>
      <w:r w:rsidR="000E45B8">
        <w:rPr>
          <w:rFonts w:ascii="Cambria" w:hAnsi="Cambria"/>
          <w:sz w:val="20"/>
          <w:szCs w:val="20"/>
          <w:lang w:val="en-US"/>
        </w:rPr>
        <w:t>protection</w:t>
      </w:r>
      <w:r w:rsidRPr="00711C22">
        <w:rPr>
          <w:rFonts w:ascii="Cambria" w:hAnsi="Cambria"/>
          <w:sz w:val="20"/>
          <w:szCs w:val="20"/>
          <w:lang w:val="en-US"/>
        </w:rPr>
        <w:t xml:space="preserve">. Content filtering systems </w:t>
      </w:r>
      <w:r w:rsidR="000E45B8">
        <w:rPr>
          <w:rFonts w:ascii="Cambria" w:hAnsi="Cambria"/>
          <w:sz w:val="20"/>
          <w:szCs w:val="20"/>
          <w:lang w:val="en-US"/>
        </w:rPr>
        <w:t>put in place</w:t>
      </w:r>
      <w:r w:rsidRPr="00711C22">
        <w:rPr>
          <w:rFonts w:ascii="Cambria" w:hAnsi="Cambria"/>
          <w:sz w:val="20"/>
          <w:szCs w:val="20"/>
          <w:lang w:val="en-US"/>
        </w:rPr>
        <w:t xml:space="preserve"> by governments or commercial service providers that are not controlled by the end user constitute a form of prior censorship and </w:t>
      </w:r>
      <w:r w:rsidR="000E45B8">
        <w:rPr>
          <w:rFonts w:ascii="Cambria" w:hAnsi="Cambria"/>
          <w:sz w:val="20"/>
          <w:szCs w:val="20"/>
          <w:lang w:val="en-US"/>
        </w:rPr>
        <w:t>an unwarranted</w:t>
      </w:r>
      <w:r w:rsidRPr="00711C22">
        <w:rPr>
          <w:rFonts w:ascii="Cambria" w:hAnsi="Cambria"/>
          <w:sz w:val="20"/>
          <w:szCs w:val="20"/>
          <w:lang w:val="en-US"/>
        </w:rPr>
        <w:t xml:space="preserve"> restriction on freedom of expression </w:t>
      </w:r>
      <w:r w:rsidR="000E45B8">
        <w:rPr>
          <w:rFonts w:ascii="Cambria" w:hAnsi="Cambria"/>
          <w:sz w:val="20"/>
          <w:szCs w:val="20"/>
          <w:lang w:val="en-US"/>
        </w:rPr>
        <w:t>under</w:t>
      </w:r>
      <w:r w:rsidRPr="00711C22">
        <w:rPr>
          <w:rFonts w:ascii="Cambria" w:hAnsi="Cambria"/>
          <w:sz w:val="20"/>
          <w:szCs w:val="20"/>
          <w:lang w:val="en-US"/>
        </w:rPr>
        <w:t xml:space="preserve"> the aforementioned criteria</w:t>
      </w:r>
      <w:r>
        <w:rPr>
          <w:rFonts w:ascii="Cambria" w:hAnsi="Cambria"/>
          <w:sz w:val="20"/>
          <w:szCs w:val="20"/>
          <w:lang w:val="en-US"/>
        </w:rPr>
        <w:t>.</w:t>
      </w:r>
      <w:r w:rsidRPr="00711C22">
        <w:rPr>
          <w:rStyle w:val="FootnoteReference"/>
          <w:rFonts w:ascii="Cambria" w:hAnsi="Cambria"/>
          <w:sz w:val="20"/>
          <w:szCs w:val="20"/>
          <w:lang w:val="en-US"/>
        </w:rPr>
        <w:footnoteReference w:id="257"/>
      </w:r>
      <w:r w:rsidRPr="00711C22">
        <w:rPr>
          <w:rFonts w:ascii="Cambria" w:hAnsi="Cambria"/>
          <w:sz w:val="20"/>
          <w:szCs w:val="20"/>
          <w:lang w:val="en-US"/>
        </w:rPr>
        <w:t xml:space="preserve"> </w:t>
      </w:r>
      <w:r w:rsidR="00AB5A7D">
        <w:rPr>
          <w:rFonts w:asciiTheme="majorHAnsi" w:hAnsiTheme="majorHAnsi"/>
          <w:sz w:val="20"/>
          <w:szCs w:val="20"/>
          <w:lang w:val="en-US"/>
        </w:rPr>
        <w:t>By the same token, i</w:t>
      </w:r>
      <w:r w:rsidRPr="00AE5029">
        <w:rPr>
          <w:rFonts w:asciiTheme="majorHAnsi" w:hAnsiTheme="majorHAnsi"/>
          <w:sz w:val="20"/>
          <w:szCs w:val="20"/>
          <w:lang w:val="en-US"/>
        </w:rPr>
        <w:t xml:space="preserve">nterference in the transmission of </w:t>
      </w:r>
      <w:r w:rsidR="00AB5A7D">
        <w:rPr>
          <w:rFonts w:asciiTheme="majorHAnsi" w:hAnsiTheme="majorHAnsi"/>
          <w:sz w:val="20"/>
          <w:szCs w:val="20"/>
          <w:lang w:val="en-US"/>
        </w:rPr>
        <w:t>i</w:t>
      </w:r>
      <w:r w:rsidRPr="00AE5029">
        <w:rPr>
          <w:rFonts w:asciiTheme="majorHAnsi" w:hAnsiTheme="majorHAnsi"/>
          <w:sz w:val="20"/>
          <w:szCs w:val="20"/>
          <w:lang w:val="en-US"/>
        </w:rPr>
        <w:t xml:space="preserve">nternet traffic can </w:t>
      </w:r>
      <w:r w:rsidR="00CF43F6">
        <w:rPr>
          <w:rFonts w:asciiTheme="majorHAnsi" w:hAnsiTheme="majorHAnsi"/>
          <w:sz w:val="20"/>
          <w:szCs w:val="20"/>
          <w:lang w:val="en-US"/>
        </w:rPr>
        <w:t xml:space="preserve">be justified only </w:t>
      </w:r>
      <w:r w:rsidRPr="00AE5029">
        <w:rPr>
          <w:rFonts w:asciiTheme="majorHAnsi" w:hAnsiTheme="majorHAnsi"/>
          <w:sz w:val="20"/>
          <w:szCs w:val="20"/>
          <w:lang w:val="en-US"/>
        </w:rPr>
        <w:t xml:space="preserve">when the measure is </w:t>
      </w:r>
      <w:r w:rsidR="00AB5A7D">
        <w:rPr>
          <w:rFonts w:asciiTheme="majorHAnsi" w:hAnsiTheme="majorHAnsi"/>
          <w:sz w:val="20"/>
          <w:szCs w:val="20"/>
          <w:lang w:val="en-US"/>
        </w:rPr>
        <w:t>“</w:t>
      </w:r>
      <w:r w:rsidR="00AB5A7D" w:rsidRPr="00AB5A7D">
        <w:rPr>
          <w:rFonts w:asciiTheme="majorHAnsi" w:hAnsiTheme="majorHAnsi"/>
          <w:sz w:val="20"/>
          <w:szCs w:val="20"/>
          <w:lang w:val="en-US"/>
        </w:rPr>
        <w:t>necessary and proportional in order to preserve the integrity and security of the network; to prevent the transmission of online content at the express request</w:t>
      </w:r>
      <w:r w:rsidR="00AB5A7D">
        <w:rPr>
          <w:rFonts w:asciiTheme="majorHAnsi" w:hAnsiTheme="majorHAnsi"/>
          <w:sz w:val="20"/>
          <w:szCs w:val="20"/>
          <w:lang w:val="en-US"/>
        </w:rPr>
        <w:t>—</w:t>
      </w:r>
      <w:r w:rsidR="00AB5A7D" w:rsidRPr="00AB5A7D">
        <w:rPr>
          <w:rFonts w:asciiTheme="majorHAnsi" w:hAnsiTheme="majorHAnsi"/>
          <w:sz w:val="20"/>
          <w:szCs w:val="20"/>
          <w:lang w:val="en-US"/>
        </w:rPr>
        <w:t>free and not incentivized</w:t>
      </w:r>
      <w:r w:rsidR="00AB5A7D">
        <w:rPr>
          <w:rFonts w:asciiTheme="majorHAnsi" w:hAnsiTheme="majorHAnsi"/>
          <w:sz w:val="20"/>
          <w:szCs w:val="20"/>
          <w:lang w:val="en-US"/>
        </w:rPr>
        <w:t>—</w:t>
      </w:r>
      <w:r w:rsidR="00AB5A7D" w:rsidRPr="00AB5A7D">
        <w:rPr>
          <w:rFonts w:asciiTheme="majorHAnsi" w:hAnsiTheme="majorHAnsi"/>
          <w:sz w:val="20"/>
          <w:szCs w:val="20"/>
          <w:lang w:val="en-US"/>
        </w:rPr>
        <w:t>of the user; and to temporarily and exceptionally manage network congestion. In this latter case, the measures employed should not discriminate between types of applications or services</w:t>
      </w:r>
      <w:r w:rsidR="00AB5A7D">
        <w:rPr>
          <w:rFonts w:asciiTheme="majorHAnsi" w:hAnsiTheme="majorHAnsi"/>
          <w:sz w:val="20"/>
          <w:szCs w:val="20"/>
          <w:lang w:val="en-US"/>
        </w:rPr>
        <w:t>.”</w:t>
      </w:r>
      <w:r w:rsidRPr="00AE5029">
        <w:rPr>
          <w:rStyle w:val="FootnoteReference"/>
          <w:rFonts w:asciiTheme="majorHAnsi" w:hAnsiTheme="majorHAnsi"/>
          <w:sz w:val="20"/>
          <w:szCs w:val="20"/>
          <w:lang w:val="en-US"/>
        </w:rPr>
        <w:footnoteReference w:id="258"/>
      </w:r>
      <w:r w:rsidRPr="00AE5029">
        <w:rPr>
          <w:rFonts w:asciiTheme="majorHAnsi" w:hAnsiTheme="majorHAnsi"/>
          <w:sz w:val="20"/>
          <w:szCs w:val="20"/>
          <w:lang w:val="en-US"/>
        </w:rPr>
        <w:t xml:space="preserve">  Similarly, </w:t>
      </w:r>
      <w:r>
        <w:rPr>
          <w:rFonts w:ascii="Cambria" w:hAnsi="Cambria"/>
          <w:sz w:val="20"/>
          <w:szCs w:val="20"/>
          <w:lang w:val="en-US"/>
        </w:rPr>
        <w:t>“</w:t>
      </w:r>
      <w:r w:rsidRPr="00711C22">
        <w:rPr>
          <w:rFonts w:ascii="Cambria" w:hAnsi="Cambria"/>
          <w:sz w:val="20"/>
          <w:szCs w:val="20"/>
          <w:lang w:val="en-US"/>
        </w:rPr>
        <w:t>[</w:t>
      </w:r>
      <w:proofErr w:type="spellStart"/>
      <w:r w:rsidRPr="00711C22">
        <w:rPr>
          <w:rFonts w:ascii="Cambria" w:hAnsi="Cambria"/>
          <w:sz w:val="20"/>
          <w:szCs w:val="20"/>
          <w:lang w:val="en-US"/>
        </w:rPr>
        <w:t>i</w:t>
      </w:r>
      <w:proofErr w:type="spellEnd"/>
      <w:r w:rsidRPr="00711C22">
        <w:rPr>
          <w:rFonts w:ascii="Cambria" w:hAnsi="Cambria"/>
          <w:sz w:val="20"/>
          <w:szCs w:val="20"/>
          <w:lang w:val="en-US"/>
        </w:rPr>
        <w:t xml:space="preserve">]n exceptional cases </w:t>
      </w:r>
      <w:r w:rsidR="00774C12">
        <w:rPr>
          <w:rFonts w:ascii="Cambria" w:hAnsi="Cambria"/>
          <w:sz w:val="20"/>
          <w:szCs w:val="20"/>
          <w:lang w:val="en-US"/>
        </w:rPr>
        <w:t>of clearly</w:t>
      </w:r>
      <w:r w:rsidRPr="00711C22">
        <w:rPr>
          <w:rFonts w:ascii="Cambria" w:hAnsi="Cambria"/>
          <w:sz w:val="20"/>
          <w:szCs w:val="20"/>
          <w:lang w:val="en-US"/>
        </w:rPr>
        <w:t xml:space="preserve"> illegal content or speech </w:t>
      </w:r>
      <w:r w:rsidR="00774C12">
        <w:rPr>
          <w:rFonts w:ascii="Cambria" w:hAnsi="Cambria"/>
          <w:sz w:val="20"/>
          <w:szCs w:val="20"/>
          <w:lang w:val="en-US"/>
        </w:rPr>
        <w:t>that is not covered</w:t>
      </w:r>
      <w:r w:rsidRPr="00711C22">
        <w:rPr>
          <w:rFonts w:ascii="Cambria" w:hAnsi="Cambria"/>
          <w:sz w:val="20"/>
          <w:szCs w:val="20"/>
          <w:lang w:val="en-US"/>
        </w:rPr>
        <w:t xml:space="preserve"> by the right to freedom of expression (such as war propaganda and </w:t>
      </w:r>
      <w:r w:rsidR="00774C12">
        <w:rPr>
          <w:rFonts w:ascii="Cambria" w:hAnsi="Cambria"/>
          <w:sz w:val="20"/>
          <w:szCs w:val="20"/>
          <w:lang w:val="en-US"/>
        </w:rPr>
        <w:t>hate speech inciting</w:t>
      </w:r>
      <w:r w:rsidRPr="00711C22">
        <w:rPr>
          <w:rFonts w:ascii="Cambria" w:hAnsi="Cambria"/>
          <w:sz w:val="20"/>
          <w:szCs w:val="20"/>
          <w:lang w:val="en-US"/>
        </w:rPr>
        <w:t xml:space="preserve"> violence, direct and public incitement to genocide, and child pornography), the adoption of mandatory measures </w:t>
      </w:r>
      <w:r w:rsidR="00774C12">
        <w:rPr>
          <w:rFonts w:ascii="Cambria" w:hAnsi="Cambria"/>
          <w:sz w:val="20"/>
          <w:szCs w:val="20"/>
          <w:lang w:val="en-US"/>
        </w:rPr>
        <w:t>to block and filter</w:t>
      </w:r>
      <w:r w:rsidRPr="00711C22">
        <w:rPr>
          <w:rFonts w:ascii="Cambria" w:hAnsi="Cambria"/>
          <w:sz w:val="20"/>
          <w:szCs w:val="20"/>
          <w:lang w:val="en-US"/>
        </w:rPr>
        <w:t xml:space="preserve"> specific content is admissible. In </w:t>
      </w:r>
      <w:r w:rsidR="00774C12">
        <w:rPr>
          <w:rFonts w:ascii="Cambria" w:hAnsi="Cambria"/>
          <w:sz w:val="20"/>
          <w:szCs w:val="20"/>
          <w:lang w:val="en-US"/>
        </w:rPr>
        <w:t>these</w:t>
      </w:r>
      <w:r w:rsidRPr="00711C22">
        <w:rPr>
          <w:rFonts w:ascii="Cambria" w:hAnsi="Cambria"/>
          <w:sz w:val="20"/>
          <w:szCs w:val="20"/>
          <w:lang w:val="en-US"/>
        </w:rPr>
        <w:t xml:space="preserve"> cases, the measure must be subject</w:t>
      </w:r>
      <w:r w:rsidR="00774C12">
        <w:rPr>
          <w:rFonts w:ascii="Cambria" w:hAnsi="Cambria"/>
          <w:sz w:val="20"/>
          <w:szCs w:val="20"/>
          <w:lang w:val="en-US"/>
        </w:rPr>
        <w:t>ed</w:t>
      </w:r>
      <w:r w:rsidRPr="00711C22">
        <w:rPr>
          <w:rFonts w:ascii="Cambria" w:hAnsi="Cambria"/>
          <w:sz w:val="20"/>
          <w:szCs w:val="20"/>
          <w:lang w:val="en-US"/>
        </w:rPr>
        <w:t xml:space="preserve"> to a strict proportionality </w:t>
      </w:r>
      <w:r w:rsidR="00774C12">
        <w:rPr>
          <w:rFonts w:ascii="Cambria" w:hAnsi="Cambria"/>
          <w:sz w:val="20"/>
          <w:szCs w:val="20"/>
          <w:lang w:val="en-US"/>
        </w:rPr>
        <w:t>[</w:t>
      </w:r>
      <w:r w:rsidRPr="00711C22">
        <w:rPr>
          <w:rFonts w:ascii="Cambria" w:hAnsi="Cambria"/>
          <w:sz w:val="20"/>
          <w:szCs w:val="20"/>
          <w:lang w:val="en-US"/>
        </w:rPr>
        <w:t>test</w:t>
      </w:r>
      <w:r w:rsidR="00774C12">
        <w:rPr>
          <w:rFonts w:ascii="Cambria" w:hAnsi="Cambria"/>
          <w:sz w:val="20"/>
          <w:szCs w:val="20"/>
          <w:lang w:val="en-US"/>
        </w:rPr>
        <w:t>]</w:t>
      </w:r>
      <w:r w:rsidRPr="00711C22">
        <w:rPr>
          <w:rFonts w:ascii="Cambria" w:hAnsi="Cambria"/>
          <w:sz w:val="20"/>
          <w:szCs w:val="20"/>
          <w:lang w:val="en-US"/>
        </w:rPr>
        <w:t xml:space="preserve"> and be carefully designed and clearly limited so </w:t>
      </w:r>
      <w:r w:rsidR="00774C12">
        <w:rPr>
          <w:rFonts w:ascii="Cambria" w:hAnsi="Cambria"/>
          <w:sz w:val="20"/>
          <w:szCs w:val="20"/>
          <w:lang w:val="en-US"/>
        </w:rPr>
        <w:t>as to not affect</w:t>
      </w:r>
      <w:r w:rsidRPr="00711C22">
        <w:rPr>
          <w:rFonts w:ascii="Cambria" w:hAnsi="Cambria"/>
          <w:sz w:val="20"/>
          <w:szCs w:val="20"/>
          <w:lang w:val="en-US"/>
        </w:rPr>
        <w:t xml:space="preserve"> legitimate speech that deserves protection</w:t>
      </w:r>
      <w:r>
        <w:rPr>
          <w:rFonts w:ascii="Cambria" w:hAnsi="Cambria"/>
          <w:sz w:val="20"/>
          <w:szCs w:val="20"/>
          <w:lang w:val="en-US"/>
        </w:rPr>
        <w:t>.”</w:t>
      </w:r>
      <w:r w:rsidRPr="00711C22">
        <w:rPr>
          <w:rStyle w:val="FootnoteReference"/>
          <w:rFonts w:ascii="Cambria" w:hAnsi="Cambria"/>
          <w:sz w:val="20"/>
          <w:szCs w:val="20"/>
          <w:lang w:val="en-US"/>
        </w:rPr>
        <w:footnoteReference w:id="259"/>
      </w:r>
    </w:p>
    <w:p w14:paraId="1BBEED1D"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069B235E" w14:textId="134414E5" w:rsidR="00713B50" w:rsidRPr="00694937" w:rsidRDefault="00045B1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bdr w:val="none" w:sz="0" w:space="0" w:color="auto"/>
          <w:lang w:val="en-US"/>
        </w:rPr>
      </w:pPr>
      <w:r>
        <w:rPr>
          <w:rFonts w:ascii="Cambria" w:hAnsi="Cambria"/>
          <w:sz w:val="20"/>
          <w:szCs w:val="20"/>
          <w:lang w:val="en-US"/>
        </w:rPr>
        <w:t>The mandatory</w:t>
      </w:r>
      <w:r w:rsidR="004541F0" w:rsidRPr="004541F0">
        <w:rPr>
          <w:rFonts w:ascii="Cambria" w:hAnsi="Cambria"/>
          <w:sz w:val="20"/>
          <w:szCs w:val="20"/>
          <w:lang w:val="en-US"/>
        </w:rPr>
        <w:t xml:space="preserve"> blocking or suspension of entire websites, platforms, channels, IP addresses, domain name extensions, ports, network protocols, or any other kind of application,</w:t>
      </w:r>
      <w:r w:rsidR="00694937" w:rsidRPr="00711C22">
        <w:rPr>
          <w:rFonts w:ascii="Cambria" w:hAnsi="Cambria"/>
          <w:sz w:val="20"/>
          <w:szCs w:val="20"/>
          <w:lang w:val="en-US"/>
        </w:rPr>
        <w:t xml:space="preserve"> as well as measures </w:t>
      </w:r>
      <w:r w:rsidR="004541F0">
        <w:rPr>
          <w:rFonts w:ascii="Cambria" w:hAnsi="Cambria"/>
          <w:sz w:val="20"/>
          <w:szCs w:val="20"/>
          <w:lang w:val="en-US"/>
        </w:rPr>
        <w:t xml:space="preserve">intended to delete </w:t>
      </w:r>
      <w:r w:rsidR="00694937" w:rsidRPr="00711C22">
        <w:rPr>
          <w:rFonts w:ascii="Cambria" w:hAnsi="Cambria"/>
          <w:sz w:val="20"/>
          <w:szCs w:val="20"/>
          <w:lang w:val="en-US"/>
        </w:rPr>
        <w:t>links, data</w:t>
      </w:r>
      <w:r w:rsidR="004541F0">
        <w:rPr>
          <w:rFonts w:ascii="Cambria" w:hAnsi="Cambria"/>
          <w:sz w:val="20"/>
          <w:szCs w:val="20"/>
          <w:lang w:val="en-US"/>
        </w:rPr>
        <w:t>,</w:t>
      </w:r>
      <w:r w:rsidR="00694937" w:rsidRPr="00711C22">
        <w:rPr>
          <w:rFonts w:ascii="Cambria" w:hAnsi="Cambria"/>
          <w:sz w:val="20"/>
          <w:szCs w:val="20"/>
          <w:lang w:val="en-US"/>
        </w:rPr>
        <w:t xml:space="preserve"> and websites from the server where they are hosted, constitute </w:t>
      </w:r>
      <w:r w:rsidR="004541F0">
        <w:rPr>
          <w:rFonts w:ascii="Cambria" w:hAnsi="Cambria"/>
          <w:sz w:val="20"/>
          <w:szCs w:val="20"/>
          <w:lang w:val="en-US"/>
        </w:rPr>
        <w:t xml:space="preserve">prohibited </w:t>
      </w:r>
      <w:r w:rsidR="00694937" w:rsidRPr="00711C22">
        <w:rPr>
          <w:rFonts w:ascii="Cambria" w:hAnsi="Cambria"/>
          <w:sz w:val="20"/>
          <w:szCs w:val="20"/>
          <w:lang w:val="en-US"/>
        </w:rPr>
        <w:t>restriction</w:t>
      </w:r>
      <w:r w:rsidR="004541F0">
        <w:rPr>
          <w:rFonts w:ascii="Cambria" w:hAnsi="Cambria"/>
          <w:sz w:val="20"/>
          <w:szCs w:val="20"/>
          <w:lang w:val="en-US"/>
        </w:rPr>
        <w:t>s</w:t>
      </w:r>
      <w:r w:rsidR="00694937" w:rsidRPr="00711C22">
        <w:rPr>
          <w:rFonts w:ascii="Cambria" w:hAnsi="Cambria"/>
          <w:sz w:val="20"/>
          <w:szCs w:val="20"/>
          <w:lang w:val="en-US"/>
        </w:rPr>
        <w:t xml:space="preserve"> that </w:t>
      </w:r>
      <w:r w:rsidR="004541F0">
        <w:rPr>
          <w:rFonts w:ascii="Cambria" w:hAnsi="Cambria"/>
          <w:sz w:val="20"/>
          <w:szCs w:val="20"/>
          <w:lang w:val="en-US"/>
        </w:rPr>
        <w:t xml:space="preserve">are admissible only </w:t>
      </w:r>
      <w:r w:rsidR="006600AD">
        <w:rPr>
          <w:rFonts w:ascii="Cambria" w:hAnsi="Cambria"/>
          <w:sz w:val="20"/>
          <w:szCs w:val="20"/>
          <w:lang w:val="en-US"/>
        </w:rPr>
        <w:t>on in exceptional cases and “</w:t>
      </w:r>
      <w:r w:rsidR="004541F0">
        <w:rPr>
          <w:rFonts w:ascii="Cambria" w:hAnsi="Cambria"/>
          <w:sz w:val="20"/>
          <w:szCs w:val="20"/>
          <w:lang w:val="en-US"/>
        </w:rPr>
        <w:t>strictly pursuant to the terms of Article 13 of the American Convention</w:t>
      </w:r>
      <w:r w:rsidR="00694937">
        <w:rPr>
          <w:rFonts w:ascii="Cambria" w:hAnsi="Cambria"/>
          <w:sz w:val="20"/>
          <w:szCs w:val="20"/>
          <w:lang w:val="en-US"/>
        </w:rPr>
        <w:t>.”</w:t>
      </w:r>
      <w:r w:rsidR="00694937" w:rsidRPr="00711C22">
        <w:rPr>
          <w:rStyle w:val="FootnoteReference"/>
          <w:rFonts w:ascii="Cambria" w:hAnsi="Cambria"/>
          <w:sz w:val="20"/>
          <w:szCs w:val="20"/>
          <w:lang w:val="en-US"/>
        </w:rPr>
        <w:footnoteReference w:id="260"/>
      </w:r>
      <w:r w:rsidR="00694937" w:rsidRPr="00711C22">
        <w:rPr>
          <w:rFonts w:ascii="Cambria" w:hAnsi="Cambria"/>
          <w:sz w:val="20"/>
          <w:szCs w:val="20"/>
          <w:lang w:val="en-US"/>
        </w:rPr>
        <w:t xml:space="preserve"> If </w:t>
      </w:r>
      <w:r>
        <w:rPr>
          <w:rFonts w:ascii="Cambria" w:hAnsi="Cambria"/>
          <w:sz w:val="20"/>
          <w:szCs w:val="20"/>
          <w:lang w:val="en-US"/>
        </w:rPr>
        <w:t>unwarranted</w:t>
      </w:r>
      <w:r w:rsidR="00694937" w:rsidRPr="00711C22">
        <w:rPr>
          <w:rFonts w:ascii="Cambria" w:hAnsi="Cambria"/>
          <w:sz w:val="20"/>
          <w:szCs w:val="20"/>
          <w:lang w:val="en-US"/>
        </w:rPr>
        <w:t xml:space="preserve">, it would </w:t>
      </w:r>
      <w:r>
        <w:rPr>
          <w:rFonts w:ascii="Cambria" w:hAnsi="Cambria"/>
          <w:sz w:val="20"/>
          <w:szCs w:val="20"/>
          <w:lang w:val="en-US"/>
        </w:rPr>
        <w:t>be</w:t>
      </w:r>
      <w:r w:rsidR="00694937" w:rsidRPr="00711C22">
        <w:rPr>
          <w:rFonts w:ascii="Cambria" w:hAnsi="Cambria"/>
          <w:sz w:val="20"/>
          <w:szCs w:val="20"/>
          <w:lang w:val="en-US"/>
        </w:rPr>
        <w:t xml:space="preserve"> an </w:t>
      </w:r>
      <w:r w:rsidRPr="00045B1D">
        <w:rPr>
          <w:rFonts w:ascii="Cambria" w:hAnsi="Cambria"/>
          <w:sz w:val="20"/>
          <w:szCs w:val="20"/>
          <w:lang w:val="en-US"/>
        </w:rPr>
        <w:t>a extreme measur</w:t>
      </w:r>
      <w:r>
        <w:rPr>
          <w:rFonts w:ascii="Cambria" w:hAnsi="Cambria"/>
          <w:sz w:val="20"/>
          <w:szCs w:val="20"/>
          <w:lang w:val="en-US"/>
        </w:rPr>
        <w:t xml:space="preserve">e </w:t>
      </w:r>
      <w:r w:rsidRPr="00045B1D">
        <w:rPr>
          <w:rFonts w:ascii="Cambria" w:hAnsi="Cambria"/>
          <w:sz w:val="20"/>
          <w:szCs w:val="20"/>
          <w:lang w:val="en-US"/>
        </w:rPr>
        <w:t xml:space="preserve">analogous to banning a newspaper or </w:t>
      </w:r>
      <w:r>
        <w:rPr>
          <w:rFonts w:ascii="Cambria" w:hAnsi="Cambria"/>
          <w:sz w:val="20"/>
          <w:szCs w:val="20"/>
          <w:lang w:val="en-US"/>
        </w:rPr>
        <w:t xml:space="preserve">radio or television </w:t>
      </w:r>
      <w:r w:rsidRPr="00045B1D">
        <w:rPr>
          <w:rFonts w:ascii="Cambria" w:hAnsi="Cambria"/>
          <w:sz w:val="20"/>
          <w:szCs w:val="20"/>
          <w:lang w:val="en-US"/>
        </w:rPr>
        <w:t>broadcaster</w:t>
      </w:r>
      <w:r w:rsidR="00694937">
        <w:rPr>
          <w:rFonts w:ascii="Cambria" w:hAnsi="Cambria"/>
          <w:sz w:val="20"/>
          <w:szCs w:val="20"/>
          <w:lang w:val="en-US"/>
        </w:rPr>
        <w:t>.</w:t>
      </w:r>
      <w:r w:rsidR="00694937" w:rsidRPr="00711C22">
        <w:rPr>
          <w:rStyle w:val="FootnoteReference"/>
          <w:rFonts w:ascii="Cambria" w:hAnsi="Cambria"/>
          <w:sz w:val="20"/>
          <w:szCs w:val="20"/>
          <w:lang w:val="en-US"/>
        </w:rPr>
        <w:footnoteReference w:id="261"/>
      </w:r>
    </w:p>
    <w:p w14:paraId="08A8789C"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n-US"/>
        </w:rPr>
      </w:pPr>
    </w:p>
    <w:p w14:paraId="49D7CBE4" w14:textId="6326CF5C" w:rsidR="005A2EFD" w:rsidRPr="007B681D" w:rsidRDefault="005A2EFD" w:rsidP="00F66452">
      <w:pPr>
        <w:pStyle w:val="ListParagraph"/>
        <w:numPr>
          <w:ilvl w:val="0"/>
          <w:numId w:val="55"/>
        </w:numPr>
        <w:ind w:firstLine="0"/>
        <w:jc w:val="both"/>
        <w:rPr>
          <w:rFonts w:asciiTheme="majorHAnsi" w:hAnsiTheme="majorHAnsi" w:cs="Arial Unicode MS"/>
          <w:sz w:val="20"/>
          <w:szCs w:val="20"/>
          <w14:textOutline w14:w="0" w14:cap="flat" w14:cmpd="sng" w14:algn="ctr">
            <w14:noFill/>
            <w14:prstDash w14:val="solid"/>
            <w14:bevel/>
          </w14:textOutline>
        </w:rPr>
      </w:pPr>
      <w:r w:rsidRPr="005A2EFD">
        <w:rPr>
          <w:rStyle w:val="None"/>
          <w:rFonts w:asciiTheme="majorHAnsi" w:hAnsiTheme="majorHAnsi"/>
          <w:sz w:val="20"/>
          <w:szCs w:val="20"/>
        </w:rPr>
        <w:t xml:space="preserve">State monopolies or control over internet access services presents an additional risk to freedom of expression since the parameters of connectivity and net neutrality can be easily violated. </w:t>
      </w:r>
      <w:r w:rsidR="00174ECE" w:rsidRPr="00174ECE">
        <w:rPr>
          <w:rStyle w:val="None"/>
          <w:rFonts w:asciiTheme="majorHAnsi" w:hAnsiTheme="majorHAnsi"/>
          <w:sz w:val="20"/>
          <w:szCs w:val="20"/>
        </w:rPr>
        <w:t xml:space="preserve">Absolute government control of the internet may make it impossible to ensure the diversity of internet service providers </w:t>
      </w:r>
      <w:r w:rsidR="002D3ED1">
        <w:rPr>
          <w:rStyle w:val="None"/>
          <w:rFonts w:asciiTheme="majorHAnsi" w:hAnsiTheme="majorHAnsi"/>
          <w:sz w:val="20"/>
          <w:szCs w:val="20"/>
        </w:rPr>
        <w:t>by concentrating the</w:t>
      </w:r>
      <w:r w:rsidR="00174ECE" w:rsidRPr="00174ECE">
        <w:rPr>
          <w:rStyle w:val="None"/>
          <w:rFonts w:asciiTheme="majorHAnsi" w:hAnsiTheme="majorHAnsi"/>
          <w:sz w:val="20"/>
          <w:szCs w:val="20"/>
        </w:rPr>
        <w:t xml:space="preserve"> service in the hands of the State, creating serious obstacles to internet access and the plurality and diversity of content</w:t>
      </w:r>
      <w:r w:rsidR="00174ECE">
        <w:rPr>
          <w:rStyle w:val="None"/>
          <w:rFonts w:asciiTheme="majorHAnsi" w:hAnsiTheme="majorHAnsi"/>
          <w:sz w:val="20"/>
          <w:szCs w:val="20"/>
        </w:rPr>
        <w:t>.</w:t>
      </w:r>
      <w:r w:rsidR="00174ECE" w:rsidRPr="00174ECE">
        <w:rPr>
          <w:rStyle w:val="None"/>
          <w:rFonts w:asciiTheme="majorHAnsi" w:hAnsiTheme="majorHAnsi"/>
          <w:sz w:val="20"/>
          <w:szCs w:val="20"/>
        </w:rPr>
        <w:t xml:space="preserve"> </w:t>
      </w:r>
      <w:r w:rsidR="00174ECE">
        <w:rPr>
          <w:rStyle w:val="None"/>
          <w:rFonts w:asciiTheme="majorHAnsi" w:hAnsiTheme="majorHAnsi"/>
          <w:sz w:val="20"/>
          <w:szCs w:val="20"/>
        </w:rPr>
        <w:t xml:space="preserve">It may affect </w:t>
      </w:r>
      <w:r w:rsidR="00174ECE" w:rsidRPr="00174ECE">
        <w:rPr>
          <w:rStyle w:val="None"/>
          <w:rFonts w:asciiTheme="majorHAnsi" w:hAnsiTheme="majorHAnsi"/>
          <w:sz w:val="20"/>
          <w:szCs w:val="20"/>
        </w:rPr>
        <w:t xml:space="preserve">pricing structures and </w:t>
      </w:r>
      <w:r w:rsidR="00174ECE">
        <w:rPr>
          <w:rStyle w:val="None"/>
          <w:rFonts w:asciiTheme="majorHAnsi" w:hAnsiTheme="majorHAnsi"/>
          <w:sz w:val="20"/>
          <w:szCs w:val="20"/>
        </w:rPr>
        <w:t>people’s</w:t>
      </w:r>
      <w:r w:rsidR="00174ECE" w:rsidRPr="00174ECE">
        <w:rPr>
          <w:rStyle w:val="None"/>
          <w:rFonts w:asciiTheme="majorHAnsi" w:hAnsiTheme="majorHAnsi"/>
          <w:sz w:val="20"/>
          <w:szCs w:val="20"/>
        </w:rPr>
        <w:t xml:space="preserve"> ability to afford </w:t>
      </w:r>
      <w:r w:rsidR="007B70B6">
        <w:rPr>
          <w:rStyle w:val="None"/>
          <w:rFonts w:asciiTheme="majorHAnsi" w:hAnsiTheme="majorHAnsi"/>
          <w:sz w:val="20"/>
          <w:szCs w:val="20"/>
        </w:rPr>
        <w:t>service</w:t>
      </w:r>
      <w:r w:rsidR="00174ECE" w:rsidRPr="00174ECE">
        <w:rPr>
          <w:rStyle w:val="None"/>
          <w:rFonts w:asciiTheme="majorHAnsi" w:hAnsiTheme="majorHAnsi"/>
          <w:sz w:val="20"/>
          <w:szCs w:val="20"/>
        </w:rPr>
        <w:t xml:space="preserve">, </w:t>
      </w:r>
      <w:r w:rsidR="00174ECE">
        <w:rPr>
          <w:rStyle w:val="None"/>
          <w:rFonts w:asciiTheme="majorHAnsi" w:hAnsiTheme="majorHAnsi"/>
          <w:sz w:val="20"/>
          <w:szCs w:val="20"/>
        </w:rPr>
        <w:t xml:space="preserve">as well as </w:t>
      </w:r>
      <w:r w:rsidR="00174ECE" w:rsidRPr="00174ECE">
        <w:rPr>
          <w:rStyle w:val="None"/>
          <w:rFonts w:asciiTheme="majorHAnsi" w:hAnsiTheme="majorHAnsi"/>
          <w:sz w:val="20"/>
          <w:szCs w:val="20"/>
        </w:rPr>
        <w:t>connection quality and speed, and the quality of the information flow.</w:t>
      </w:r>
      <w:r w:rsidR="00174ECE">
        <w:rPr>
          <w:rStyle w:val="None"/>
          <w:rFonts w:asciiTheme="majorHAnsi" w:hAnsiTheme="majorHAnsi"/>
          <w:sz w:val="20"/>
          <w:szCs w:val="20"/>
        </w:rPr>
        <w:t xml:space="preserve"> </w:t>
      </w:r>
      <w:r>
        <w:rPr>
          <w:rStyle w:val="None"/>
          <w:rFonts w:asciiTheme="majorHAnsi" w:hAnsiTheme="majorHAnsi"/>
          <w:sz w:val="20"/>
          <w:szCs w:val="20"/>
        </w:rPr>
        <w:t xml:space="preserve">A State monopoly on the web </w:t>
      </w:r>
      <w:r w:rsidRPr="005A2EFD">
        <w:rPr>
          <w:rFonts w:asciiTheme="majorHAnsi" w:hAnsiTheme="majorHAnsi"/>
          <w:sz w:val="20"/>
          <w:szCs w:val="20"/>
        </w:rPr>
        <w:t xml:space="preserve">can lead to </w:t>
      </w:r>
      <w:r>
        <w:rPr>
          <w:rFonts w:asciiTheme="majorHAnsi" w:hAnsiTheme="majorHAnsi"/>
          <w:sz w:val="20"/>
          <w:szCs w:val="20"/>
        </w:rPr>
        <w:t xml:space="preserve">the </w:t>
      </w:r>
      <w:r w:rsidRPr="005A2EFD">
        <w:rPr>
          <w:rFonts w:asciiTheme="majorHAnsi" w:hAnsiTheme="majorHAnsi"/>
          <w:sz w:val="20"/>
          <w:szCs w:val="20"/>
        </w:rPr>
        <w:t>blocking and filtering of content</w:t>
      </w:r>
      <w:r>
        <w:rPr>
          <w:rFonts w:asciiTheme="majorHAnsi" w:hAnsiTheme="majorHAnsi"/>
          <w:sz w:val="20"/>
          <w:szCs w:val="20"/>
        </w:rPr>
        <w:t>—</w:t>
      </w:r>
      <w:r w:rsidRPr="005A2EFD">
        <w:rPr>
          <w:rFonts w:asciiTheme="majorHAnsi" w:hAnsiTheme="majorHAnsi"/>
          <w:sz w:val="20"/>
          <w:szCs w:val="20"/>
        </w:rPr>
        <w:t>mainly content critical of the State</w:t>
      </w:r>
      <w:r>
        <w:rPr>
          <w:rFonts w:asciiTheme="majorHAnsi" w:hAnsiTheme="majorHAnsi"/>
          <w:sz w:val="20"/>
          <w:szCs w:val="20"/>
        </w:rPr>
        <w:t xml:space="preserve">—that is </w:t>
      </w:r>
      <w:r w:rsidRPr="005A2EFD">
        <w:rPr>
          <w:rFonts w:asciiTheme="majorHAnsi" w:hAnsiTheme="majorHAnsi"/>
          <w:sz w:val="20"/>
          <w:szCs w:val="20"/>
        </w:rPr>
        <w:t>of public interest to citizens</w:t>
      </w:r>
      <w:r>
        <w:rPr>
          <w:rFonts w:asciiTheme="majorHAnsi" w:hAnsiTheme="majorHAnsi"/>
          <w:sz w:val="20"/>
          <w:szCs w:val="20"/>
        </w:rPr>
        <w:t xml:space="preserve">, </w:t>
      </w:r>
      <w:r w:rsidRPr="005A2EFD">
        <w:rPr>
          <w:rFonts w:asciiTheme="majorHAnsi" w:hAnsiTheme="majorHAnsi"/>
          <w:sz w:val="20"/>
          <w:szCs w:val="20"/>
        </w:rPr>
        <w:t>thus violating</w:t>
      </w:r>
      <w:r>
        <w:rPr>
          <w:rFonts w:asciiTheme="majorHAnsi" w:hAnsiTheme="majorHAnsi"/>
          <w:sz w:val="20"/>
          <w:szCs w:val="20"/>
        </w:rPr>
        <w:t xml:space="preserve"> both dimensions of</w:t>
      </w:r>
      <w:r w:rsidRPr="005A2EFD">
        <w:rPr>
          <w:rFonts w:asciiTheme="majorHAnsi" w:hAnsiTheme="majorHAnsi"/>
          <w:sz w:val="20"/>
          <w:szCs w:val="20"/>
        </w:rPr>
        <w:t xml:space="preserve"> the right to freedom of expression. </w:t>
      </w:r>
      <w:r w:rsidR="001C68EF" w:rsidRPr="001C68EF">
        <w:rPr>
          <w:rFonts w:asciiTheme="majorHAnsi" w:hAnsiTheme="majorHAnsi"/>
          <w:sz w:val="20"/>
          <w:szCs w:val="20"/>
        </w:rPr>
        <w:t xml:space="preserve">Under Article IV of the American Declaration, States have the obligation to ensure that all persons are able to exercise their right to freedom of </w:t>
      </w:r>
      <w:r w:rsidR="001C68EF" w:rsidRPr="001C68EF">
        <w:rPr>
          <w:rFonts w:asciiTheme="majorHAnsi" w:hAnsiTheme="majorHAnsi"/>
          <w:sz w:val="20"/>
          <w:szCs w:val="20"/>
        </w:rPr>
        <w:lastRenderedPageBreak/>
        <w:t xml:space="preserve">expression </w:t>
      </w:r>
      <w:r w:rsidR="001C68EF">
        <w:rPr>
          <w:rFonts w:asciiTheme="majorHAnsi" w:hAnsiTheme="majorHAnsi"/>
          <w:sz w:val="20"/>
          <w:szCs w:val="20"/>
        </w:rPr>
        <w:t>“by</w:t>
      </w:r>
      <w:r w:rsidR="001C68EF" w:rsidRPr="001C68EF">
        <w:rPr>
          <w:rFonts w:asciiTheme="majorHAnsi" w:hAnsiTheme="majorHAnsi"/>
          <w:sz w:val="20"/>
          <w:szCs w:val="20"/>
        </w:rPr>
        <w:t xml:space="preserve"> any medium</w:t>
      </w:r>
      <w:r w:rsidR="001C68EF">
        <w:rPr>
          <w:rFonts w:asciiTheme="majorHAnsi" w:hAnsiTheme="majorHAnsi"/>
          <w:sz w:val="20"/>
          <w:szCs w:val="20"/>
        </w:rPr>
        <w:t>”</w:t>
      </w:r>
      <w:r w:rsidR="001C68EF" w:rsidRPr="001C68EF">
        <w:rPr>
          <w:rFonts w:asciiTheme="majorHAnsi" w:hAnsiTheme="majorHAnsi"/>
          <w:sz w:val="20"/>
          <w:szCs w:val="20"/>
        </w:rPr>
        <w:t xml:space="preserve"> of their choice. The right to choose the medium includes the freedom to choose technology as a means of expression, which requires States to </w:t>
      </w:r>
      <w:r w:rsidR="001C68EF">
        <w:rPr>
          <w:rFonts w:asciiTheme="majorHAnsi" w:hAnsiTheme="majorHAnsi"/>
          <w:sz w:val="20"/>
          <w:szCs w:val="20"/>
        </w:rPr>
        <w:t>foster</w:t>
      </w:r>
      <w:r w:rsidR="001C68EF" w:rsidRPr="001C68EF">
        <w:rPr>
          <w:rFonts w:asciiTheme="majorHAnsi" w:hAnsiTheme="majorHAnsi"/>
          <w:sz w:val="20"/>
          <w:szCs w:val="20"/>
        </w:rPr>
        <w:t xml:space="preserve"> competition and the development of a market that can provide individuals with options for connect</w:t>
      </w:r>
      <w:r w:rsidR="000D6D2B">
        <w:rPr>
          <w:rFonts w:asciiTheme="majorHAnsi" w:hAnsiTheme="majorHAnsi"/>
          <w:sz w:val="20"/>
          <w:szCs w:val="20"/>
        </w:rPr>
        <w:t>ion</w:t>
      </w:r>
      <w:r w:rsidR="001C68EF" w:rsidRPr="001C68EF">
        <w:rPr>
          <w:rFonts w:asciiTheme="majorHAnsi" w:hAnsiTheme="majorHAnsi"/>
          <w:sz w:val="20"/>
          <w:szCs w:val="20"/>
        </w:rPr>
        <w:t xml:space="preserve"> technologies. Without options to choose from, the right to express oneself </w:t>
      </w:r>
      <w:r w:rsidR="001C68EF">
        <w:rPr>
          <w:rFonts w:asciiTheme="majorHAnsi" w:hAnsiTheme="majorHAnsi"/>
          <w:sz w:val="20"/>
          <w:szCs w:val="20"/>
        </w:rPr>
        <w:t>“</w:t>
      </w:r>
      <w:r w:rsidR="001C68EF" w:rsidRPr="001C68EF">
        <w:rPr>
          <w:rFonts w:asciiTheme="majorHAnsi" w:hAnsiTheme="majorHAnsi"/>
          <w:sz w:val="20"/>
          <w:szCs w:val="20"/>
        </w:rPr>
        <w:t xml:space="preserve">by any </w:t>
      </w:r>
      <w:r w:rsidR="001C68EF">
        <w:rPr>
          <w:rFonts w:asciiTheme="majorHAnsi" w:hAnsiTheme="majorHAnsi"/>
          <w:sz w:val="20"/>
          <w:szCs w:val="20"/>
        </w:rPr>
        <w:t>medium”</w:t>
      </w:r>
      <w:r w:rsidR="001C68EF" w:rsidRPr="001C68EF">
        <w:rPr>
          <w:rFonts w:asciiTheme="majorHAnsi" w:hAnsiTheme="majorHAnsi"/>
          <w:sz w:val="20"/>
          <w:szCs w:val="20"/>
        </w:rPr>
        <w:t xml:space="preserve"> is meaningless.</w:t>
      </w:r>
    </w:p>
    <w:p w14:paraId="62EDEA1D" w14:textId="77777777" w:rsidR="007B681D" w:rsidRPr="005A2EFD" w:rsidRDefault="007B681D" w:rsidP="007B681D">
      <w:pPr>
        <w:pStyle w:val="ListParagraph"/>
        <w:ind w:left="0"/>
        <w:jc w:val="both"/>
        <w:rPr>
          <w:rFonts w:asciiTheme="majorHAnsi" w:hAnsiTheme="majorHAnsi" w:cs="Arial Unicode MS"/>
          <w:sz w:val="20"/>
          <w:szCs w:val="20"/>
          <w14:textOutline w14:w="0" w14:cap="flat" w14:cmpd="sng" w14:algn="ctr">
            <w14:noFill/>
            <w14:prstDash w14:val="solid"/>
            <w14:bevel/>
          </w14:textOutline>
        </w:rPr>
      </w:pPr>
    </w:p>
    <w:p w14:paraId="09096834" w14:textId="496CB6CB" w:rsidR="00713B50" w:rsidRPr="007B681D" w:rsidRDefault="00C75792" w:rsidP="007B681D">
      <w:pPr>
        <w:pStyle w:val="Heading3"/>
      </w:pPr>
      <w:bookmarkStart w:id="35" w:name="_Toc90392485"/>
      <w:r w:rsidRPr="007B681D">
        <w:t>Participation in government</w:t>
      </w:r>
      <w:bookmarkEnd w:id="35"/>
    </w:p>
    <w:p w14:paraId="48EF3907" w14:textId="77777777" w:rsidR="00713B50" w:rsidRPr="00B24750" w:rsidRDefault="00713B50" w:rsidP="00713B50">
      <w:pPr>
        <w:pStyle w:val="ListParagraph"/>
        <w:rPr>
          <w:rFonts w:asciiTheme="majorHAnsi" w:hAnsiTheme="majorHAnsi"/>
          <w:sz w:val="20"/>
          <w:szCs w:val="20"/>
          <w:shd w:val="clear" w:color="auto" w:fill="FFFFFF"/>
        </w:rPr>
      </w:pPr>
    </w:p>
    <w:p w14:paraId="6AAD72CB" w14:textId="43C5C868" w:rsidR="00C75792" w:rsidRPr="00711C22" w:rsidRDefault="00C75792"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n-US"/>
        </w:rPr>
      </w:pPr>
      <w:r>
        <w:rPr>
          <w:rFonts w:ascii="Cambria" w:hAnsi="Cambria"/>
          <w:color w:val="000000"/>
          <w:sz w:val="20"/>
          <w:szCs w:val="20"/>
          <w:shd w:val="clear" w:color="auto" w:fill="FFFFFF"/>
          <w:lang w:val="en-US"/>
        </w:rPr>
        <w:t>The i</w:t>
      </w:r>
      <w:r w:rsidRPr="00711C22">
        <w:rPr>
          <w:rFonts w:ascii="Cambria" w:hAnsi="Cambria"/>
          <w:color w:val="000000"/>
          <w:sz w:val="20"/>
          <w:szCs w:val="20"/>
          <w:shd w:val="clear" w:color="auto" w:fill="FFFFFF"/>
          <w:lang w:val="en-US"/>
        </w:rPr>
        <w:t xml:space="preserve">nter-American </w:t>
      </w:r>
      <w:r>
        <w:rPr>
          <w:rFonts w:ascii="Cambria" w:hAnsi="Cambria"/>
          <w:color w:val="000000"/>
          <w:sz w:val="20"/>
          <w:szCs w:val="20"/>
          <w:shd w:val="clear" w:color="auto" w:fill="FFFFFF"/>
          <w:lang w:val="en-US"/>
        </w:rPr>
        <w:t>case law</w:t>
      </w:r>
      <w:r w:rsidRPr="00711C22">
        <w:rPr>
          <w:rFonts w:ascii="Cambria" w:hAnsi="Cambria"/>
          <w:color w:val="000000"/>
          <w:sz w:val="20"/>
          <w:szCs w:val="20"/>
          <w:shd w:val="clear" w:color="auto" w:fill="FFFFFF"/>
          <w:lang w:val="en-US"/>
        </w:rPr>
        <w:t xml:space="preserve"> has </w:t>
      </w:r>
      <w:r>
        <w:rPr>
          <w:rFonts w:ascii="Cambria" w:hAnsi="Cambria"/>
          <w:color w:val="000000"/>
          <w:sz w:val="20"/>
          <w:szCs w:val="20"/>
          <w:shd w:val="clear" w:color="auto" w:fill="FFFFFF"/>
          <w:lang w:val="en-US"/>
        </w:rPr>
        <w:t>noted</w:t>
      </w:r>
      <w:r w:rsidRPr="00711C22">
        <w:rPr>
          <w:rFonts w:ascii="Cambria" w:hAnsi="Cambria"/>
          <w:color w:val="000000"/>
          <w:sz w:val="20"/>
          <w:szCs w:val="20"/>
          <w:shd w:val="clear" w:color="auto" w:fill="FFFFFF"/>
          <w:lang w:val="en-US"/>
        </w:rPr>
        <w:t xml:space="preserve"> that </w:t>
      </w:r>
      <w:r>
        <w:rPr>
          <w:rFonts w:ascii="Cambria" w:hAnsi="Cambria"/>
          <w:sz w:val="20"/>
          <w:szCs w:val="20"/>
          <w:lang w:val="en-US"/>
        </w:rPr>
        <w:t>p</w:t>
      </w:r>
      <w:r w:rsidRPr="00C75792">
        <w:rPr>
          <w:rFonts w:ascii="Cambria" w:hAnsi="Cambria"/>
          <w:sz w:val="20"/>
          <w:szCs w:val="20"/>
          <w:lang w:val="en-US"/>
        </w:rPr>
        <w:t xml:space="preserve">olitical participation can include widespread and varied activities that people perform individually or within an organization to intervene in the appointment of those who will govern a State or </w:t>
      </w:r>
      <w:r w:rsidR="00CF43F6">
        <w:rPr>
          <w:rFonts w:ascii="Cambria" w:hAnsi="Cambria"/>
          <w:sz w:val="20"/>
          <w:szCs w:val="20"/>
          <w:lang w:val="en-US"/>
        </w:rPr>
        <w:t xml:space="preserve">conduct </w:t>
      </w:r>
      <w:r w:rsidRPr="00C75792">
        <w:rPr>
          <w:rFonts w:ascii="Cambria" w:hAnsi="Cambria"/>
          <w:sz w:val="20"/>
          <w:szCs w:val="20"/>
          <w:lang w:val="en-US"/>
        </w:rPr>
        <w:t>public affairs</w:t>
      </w:r>
      <w:r>
        <w:rPr>
          <w:rFonts w:ascii="Cambria" w:hAnsi="Cambria"/>
          <w:sz w:val="20"/>
          <w:szCs w:val="20"/>
          <w:lang w:val="en-US"/>
        </w:rPr>
        <w:t>.</w:t>
      </w:r>
      <w:r w:rsidRPr="00711C22">
        <w:rPr>
          <w:rStyle w:val="FootnoteReference"/>
          <w:rFonts w:ascii="Cambria" w:hAnsi="Cambria"/>
          <w:sz w:val="20"/>
          <w:szCs w:val="20"/>
          <w:lang w:val="en-US"/>
        </w:rPr>
        <w:footnoteReference w:id="262"/>
      </w:r>
      <w:r w:rsidRPr="00711C22">
        <w:rPr>
          <w:rFonts w:ascii="Cambria" w:hAnsi="Cambria"/>
          <w:color w:val="000000"/>
          <w:sz w:val="20"/>
          <w:szCs w:val="20"/>
          <w:shd w:val="clear" w:color="auto" w:fill="FFFFFF"/>
          <w:lang w:val="en-US"/>
        </w:rPr>
        <w:t xml:space="preserve"> According to the IACHR, political participation </w:t>
      </w:r>
      <w:r w:rsidRPr="00711C22">
        <w:rPr>
          <w:rFonts w:ascii="Cambria" w:hAnsi="Cambria"/>
          <w:sz w:val="20"/>
          <w:szCs w:val="20"/>
          <w:lang w:val="en-US"/>
        </w:rPr>
        <w:t xml:space="preserve">has two clearly identifiable aspects: </w:t>
      </w:r>
      <w:r w:rsidRPr="00C75792">
        <w:rPr>
          <w:rFonts w:ascii="Cambria" w:hAnsi="Cambria"/>
          <w:sz w:val="20"/>
          <w:szCs w:val="20"/>
          <w:lang w:val="en-US"/>
        </w:rPr>
        <w:t>the right to hold office directly and the right to elect others to hold office</w:t>
      </w:r>
      <w:r>
        <w:rPr>
          <w:rFonts w:ascii="Cambria" w:hAnsi="Cambria"/>
          <w:sz w:val="20"/>
          <w:szCs w:val="20"/>
          <w:lang w:val="en-US"/>
        </w:rPr>
        <w:t>.</w:t>
      </w:r>
      <w:r w:rsidRPr="00711C22">
        <w:rPr>
          <w:rStyle w:val="FootnoteReference"/>
          <w:rFonts w:ascii="Cambria" w:hAnsi="Cambria"/>
          <w:sz w:val="20"/>
          <w:szCs w:val="20"/>
          <w:lang w:val="en-US"/>
        </w:rPr>
        <w:footnoteReference w:id="263"/>
      </w:r>
      <w:r w:rsidRPr="00711C22">
        <w:rPr>
          <w:rFonts w:ascii="Cambria" w:hAnsi="Cambria"/>
          <w:sz w:val="20"/>
          <w:szCs w:val="20"/>
          <w:lang w:val="en-US"/>
        </w:rPr>
        <w:t xml:space="preserve"> </w:t>
      </w:r>
    </w:p>
    <w:p w14:paraId="69D29223"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shd w:val="clear" w:color="auto" w:fill="FFFFFF"/>
          <w:lang w:val="en-US"/>
        </w:rPr>
      </w:pPr>
    </w:p>
    <w:p w14:paraId="74448A72" w14:textId="2F2F5E9C" w:rsidR="00A5695A" w:rsidRPr="00A5695A" w:rsidRDefault="00A5695A" w:rsidP="00F66452">
      <w:pPr>
        <w:pStyle w:val="ListParagraph"/>
        <w:numPr>
          <w:ilvl w:val="0"/>
          <w:numId w:val="55"/>
        </w:numPr>
        <w:ind w:firstLine="0"/>
        <w:jc w:val="both"/>
        <w:rPr>
          <w:rFonts w:eastAsia="Arial Unicode MS" w:cs="Times New Roman"/>
          <w:color w:val="auto"/>
          <w:sz w:val="20"/>
          <w:szCs w:val="20"/>
          <w:shd w:val="clear" w:color="auto" w:fill="FFFFFF"/>
          <w:lang w:eastAsia="en-US"/>
        </w:rPr>
      </w:pPr>
      <w:r w:rsidRPr="00A5695A">
        <w:rPr>
          <w:sz w:val="20"/>
          <w:szCs w:val="20"/>
          <w:shd w:val="clear" w:color="auto" w:fill="FFFFFF"/>
        </w:rPr>
        <w:t xml:space="preserve">The Commission </w:t>
      </w:r>
      <w:r w:rsidRPr="00A5695A">
        <w:rPr>
          <w:rFonts w:eastAsia="Arial Unicode MS" w:cs="Times New Roman"/>
          <w:color w:val="auto"/>
          <w:sz w:val="20"/>
          <w:szCs w:val="20"/>
          <w:shd w:val="clear" w:color="auto" w:fill="FFFFFF"/>
          <w:lang w:eastAsia="en-US"/>
        </w:rPr>
        <w:t>considers that the right to vote and participate in government also includes the right to organize political parties and associations which, through the free debate of ideas, excludes the monopoly of power by a single group or individual. Thus, the right to political participation goes beyond the right of association for exclusively political purposes. In this sense, the right to vote and participate in government also includes the possibility of freely exercising, within the limits of the rule of law and the democratic regime, criticism</w:t>
      </w:r>
      <w:r>
        <w:rPr>
          <w:rFonts w:eastAsia="Arial Unicode MS" w:cs="Times New Roman"/>
          <w:color w:val="auto"/>
          <w:sz w:val="20"/>
          <w:szCs w:val="20"/>
          <w:shd w:val="clear" w:color="auto" w:fill="FFFFFF"/>
          <w:lang w:eastAsia="en-US"/>
        </w:rPr>
        <w:t>,</w:t>
      </w:r>
      <w:r w:rsidRPr="00A5695A">
        <w:rPr>
          <w:rFonts w:eastAsia="Arial Unicode MS" w:cs="Times New Roman"/>
          <w:color w:val="auto"/>
          <w:sz w:val="20"/>
          <w:szCs w:val="20"/>
          <w:shd w:val="clear" w:color="auto" w:fill="FFFFFF"/>
          <w:lang w:eastAsia="en-US"/>
        </w:rPr>
        <w:t xml:space="preserve"> and political opposition to the government</w:t>
      </w:r>
      <w:r>
        <w:rPr>
          <w:rFonts w:eastAsia="Arial Unicode MS" w:cs="Times New Roman"/>
          <w:color w:val="auto"/>
          <w:sz w:val="20"/>
          <w:szCs w:val="20"/>
          <w:shd w:val="clear" w:color="auto" w:fill="FFFFFF"/>
          <w:lang w:eastAsia="en-US"/>
        </w:rPr>
        <w:t xml:space="preserve">. </w:t>
      </w:r>
      <w:r w:rsidR="00CF43F6">
        <w:rPr>
          <w:sz w:val="20"/>
          <w:szCs w:val="20"/>
          <w:shd w:val="clear" w:color="auto" w:fill="FFFFFF"/>
        </w:rPr>
        <w:t xml:space="preserve">The </w:t>
      </w:r>
      <w:r w:rsidRPr="00A5695A">
        <w:rPr>
          <w:sz w:val="20"/>
          <w:szCs w:val="20"/>
          <w:shd w:val="clear" w:color="auto" w:fill="FFFFFF"/>
        </w:rPr>
        <w:t xml:space="preserve">right to vote and </w:t>
      </w:r>
      <w:r>
        <w:rPr>
          <w:sz w:val="20"/>
          <w:szCs w:val="20"/>
          <w:shd w:val="clear" w:color="auto" w:fill="FFFFFF"/>
        </w:rPr>
        <w:t xml:space="preserve">to </w:t>
      </w:r>
      <w:r w:rsidRPr="00A5695A">
        <w:rPr>
          <w:sz w:val="20"/>
          <w:szCs w:val="20"/>
          <w:shd w:val="clear" w:color="auto" w:fill="FFFFFF"/>
        </w:rPr>
        <w:t xml:space="preserve">participate in government also includes the </w:t>
      </w:r>
      <w:r>
        <w:rPr>
          <w:sz w:val="20"/>
          <w:szCs w:val="20"/>
          <w:shd w:val="clear" w:color="auto" w:fill="FFFFFF"/>
        </w:rPr>
        <w:t>ability to freely express—</w:t>
      </w:r>
      <w:r w:rsidRPr="00A5695A">
        <w:rPr>
          <w:sz w:val="20"/>
          <w:szCs w:val="20"/>
          <w:shd w:val="clear" w:color="auto" w:fill="FFFFFF"/>
        </w:rPr>
        <w:t>within the limits of the rule of law and the democratic</w:t>
      </w:r>
      <w:r>
        <w:rPr>
          <w:sz w:val="20"/>
          <w:szCs w:val="20"/>
          <w:shd w:val="clear" w:color="auto" w:fill="FFFFFF"/>
        </w:rPr>
        <w:t xml:space="preserve"> system—</w:t>
      </w:r>
      <w:r w:rsidRPr="00A5695A">
        <w:rPr>
          <w:sz w:val="20"/>
          <w:szCs w:val="20"/>
          <w:shd w:val="clear" w:color="auto" w:fill="FFFFFF"/>
        </w:rPr>
        <w:t>criticism</w:t>
      </w:r>
      <w:r>
        <w:rPr>
          <w:sz w:val="20"/>
          <w:szCs w:val="20"/>
          <w:shd w:val="clear" w:color="auto" w:fill="FFFFFF"/>
        </w:rPr>
        <w:t xml:space="preserve"> </w:t>
      </w:r>
      <w:r w:rsidRPr="00A5695A">
        <w:rPr>
          <w:sz w:val="20"/>
          <w:szCs w:val="20"/>
          <w:shd w:val="clear" w:color="auto" w:fill="FFFFFF"/>
        </w:rPr>
        <w:t>and political opposition to the government.</w:t>
      </w:r>
      <w:r w:rsidRPr="00711C22">
        <w:rPr>
          <w:rStyle w:val="FootnoteReference"/>
          <w:sz w:val="20"/>
          <w:szCs w:val="20"/>
          <w:shd w:val="clear" w:color="auto" w:fill="FFFFFF"/>
        </w:rPr>
        <w:footnoteReference w:id="264"/>
      </w:r>
    </w:p>
    <w:p w14:paraId="1FE6D3C3"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shd w:val="clear" w:color="auto" w:fill="FFFFFF"/>
          <w:lang w:val="en-US"/>
        </w:rPr>
      </w:pPr>
    </w:p>
    <w:p w14:paraId="75569CAE" w14:textId="761C50E2" w:rsidR="00713B50" w:rsidRPr="00B24750" w:rsidRDefault="00713B50"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shd w:val="clear" w:color="auto" w:fill="FFFFFF"/>
          <w:lang w:val="en-US"/>
        </w:rPr>
      </w:pPr>
      <w:r w:rsidRPr="00B24750">
        <w:rPr>
          <w:rFonts w:asciiTheme="majorHAnsi" w:hAnsiTheme="majorHAnsi"/>
          <w:sz w:val="20"/>
          <w:szCs w:val="20"/>
          <w:shd w:val="clear" w:color="auto" w:fill="FFFFFF"/>
          <w:lang w:val="en-US"/>
        </w:rPr>
        <w:t xml:space="preserve"> </w:t>
      </w:r>
      <w:r w:rsidR="00CF43F6">
        <w:rPr>
          <w:rFonts w:ascii="Cambria" w:hAnsi="Cambria"/>
          <w:sz w:val="20"/>
          <w:szCs w:val="20"/>
          <w:shd w:val="clear" w:color="auto" w:fill="FFFFFF"/>
          <w:lang w:val="en-US"/>
        </w:rPr>
        <w:t xml:space="preserve">The </w:t>
      </w:r>
      <w:r w:rsidR="00E818EF" w:rsidRPr="00711C22">
        <w:rPr>
          <w:rFonts w:ascii="Cambria" w:hAnsi="Cambria"/>
          <w:sz w:val="20"/>
          <w:szCs w:val="20"/>
          <w:shd w:val="clear" w:color="auto" w:fill="FFFFFF"/>
          <w:lang w:val="en-US"/>
        </w:rPr>
        <w:t xml:space="preserve">Commission has </w:t>
      </w:r>
      <w:r w:rsidR="00E818EF">
        <w:rPr>
          <w:rFonts w:ascii="Cambria" w:hAnsi="Cambria"/>
          <w:sz w:val="20"/>
          <w:szCs w:val="20"/>
          <w:shd w:val="clear" w:color="auto" w:fill="FFFFFF"/>
          <w:lang w:val="en-US"/>
        </w:rPr>
        <w:t>said</w:t>
      </w:r>
      <w:r w:rsidR="00E818EF" w:rsidRPr="00711C22">
        <w:rPr>
          <w:rFonts w:ascii="Cambria" w:hAnsi="Cambria"/>
          <w:sz w:val="20"/>
          <w:szCs w:val="20"/>
          <w:shd w:val="clear" w:color="auto" w:fill="FFFFFF"/>
          <w:lang w:val="en-US"/>
        </w:rPr>
        <w:t xml:space="preserve"> that </w:t>
      </w:r>
      <w:r w:rsidR="00E818EF">
        <w:rPr>
          <w:rFonts w:ascii="Cambria" w:hAnsi="Cambria"/>
          <w:sz w:val="20"/>
          <w:szCs w:val="20"/>
          <w:shd w:val="clear" w:color="auto" w:fill="FFFFFF"/>
          <w:lang w:val="en-US"/>
        </w:rPr>
        <w:t>“</w:t>
      </w:r>
      <w:r w:rsidR="0094635B" w:rsidRPr="0094635B">
        <w:rPr>
          <w:rFonts w:ascii="Cambria" w:hAnsi="Cambria"/>
          <w:sz w:val="20"/>
          <w:szCs w:val="20"/>
          <w:shd w:val="clear" w:color="auto" w:fill="FFFFFF"/>
          <w:lang w:val="en-US"/>
        </w:rPr>
        <w:t>governments have, in the face of political rights and the right to political participation, the obligation to permit and guarantee: the organization of all political parties and other associations, unless they are constituted to violate human rights; open debate of the principal themes of socioeconomic development; the celebration of general and free elections with all the necessary guarantees so that the results represent the popular will</w:t>
      </w:r>
      <w:r w:rsidR="00E818EF">
        <w:rPr>
          <w:rFonts w:ascii="Cambria" w:hAnsi="Cambria"/>
          <w:sz w:val="20"/>
          <w:szCs w:val="20"/>
          <w:shd w:val="clear" w:color="auto" w:fill="FFFFFF"/>
          <w:lang w:val="en-US"/>
        </w:rPr>
        <w:t>.”</w:t>
      </w:r>
      <w:r w:rsidR="00E818EF" w:rsidRPr="00711C22">
        <w:rPr>
          <w:rStyle w:val="FootnoteReference"/>
          <w:rFonts w:ascii="Cambria" w:hAnsi="Cambria"/>
          <w:sz w:val="20"/>
          <w:szCs w:val="20"/>
          <w:shd w:val="clear" w:color="auto" w:fill="FFFFFF"/>
          <w:lang w:val="en-US"/>
        </w:rPr>
        <w:footnoteReference w:id="265"/>
      </w:r>
    </w:p>
    <w:p w14:paraId="16C5ABEF"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shd w:val="clear" w:color="auto" w:fill="FFFFFF"/>
          <w:lang w:val="en-US"/>
        </w:rPr>
      </w:pPr>
    </w:p>
    <w:p w14:paraId="3861B8E1" w14:textId="5C3B57BD" w:rsidR="00713B50" w:rsidRPr="007B681D" w:rsidRDefault="0094635B"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shd w:val="clear" w:color="auto" w:fill="FFFFFF"/>
          <w:lang w:val="en-US"/>
        </w:rPr>
      </w:pPr>
      <w:r>
        <w:rPr>
          <w:rFonts w:asciiTheme="majorHAnsi" w:hAnsiTheme="majorHAnsi"/>
          <w:sz w:val="20"/>
          <w:szCs w:val="20"/>
          <w:lang w:val="en-US"/>
        </w:rPr>
        <w:t>The</w:t>
      </w:r>
      <w:r w:rsidRPr="00711C22">
        <w:rPr>
          <w:rFonts w:ascii="Cambria" w:hAnsi="Cambria"/>
          <w:sz w:val="20"/>
          <w:szCs w:val="20"/>
          <w:lang w:val="en-US"/>
        </w:rPr>
        <w:t xml:space="preserve"> full exercise of freedom of expression, association</w:t>
      </w:r>
      <w:r>
        <w:rPr>
          <w:rFonts w:ascii="Cambria" w:hAnsi="Cambria"/>
          <w:sz w:val="20"/>
          <w:szCs w:val="20"/>
          <w:lang w:val="en-US"/>
        </w:rPr>
        <w:t>,</w:t>
      </w:r>
      <w:r w:rsidRPr="00711C22">
        <w:rPr>
          <w:rFonts w:ascii="Cambria" w:hAnsi="Cambria"/>
          <w:sz w:val="20"/>
          <w:szCs w:val="20"/>
          <w:lang w:val="en-US"/>
        </w:rPr>
        <w:t xml:space="preserve"> and assembly is </w:t>
      </w:r>
      <w:r>
        <w:rPr>
          <w:rFonts w:ascii="Cambria" w:hAnsi="Cambria"/>
          <w:sz w:val="20"/>
          <w:szCs w:val="20"/>
          <w:lang w:val="en-US"/>
        </w:rPr>
        <w:t xml:space="preserve">also </w:t>
      </w:r>
      <w:r w:rsidRPr="0094635B">
        <w:rPr>
          <w:rFonts w:ascii="Cambria" w:hAnsi="Cambria"/>
          <w:sz w:val="20"/>
          <w:szCs w:val="20"/>
          <w:lang w:val="en-US"/>
        </w:rPr>
        <w:t>essential to having a direct role in shaping the decisions that affect the community</w:t>
      </w:r>
      <w:r w:rsidRPr="0094635B">
        <w:rPr>
          <w:rFonts w:asciiTheme="majorHAnsi" w:hAnsiTheme="majorHAnsi"/>
          <w:sz w:val="20"/>
          <w:szCs w:val="20"/>
          <w:lang w:val="en-US"/>
        </w:rPr>
        <w:t>.</w:t>
      </w:r>
      <w:r w:rsidR="00713B50" w:rsidRPr="00B24750">
        <w:rPr>
          <w:rStyle w:val="FootnoteReference"/>
          <w:rFonts w:asciiTheme="majorHAnsi" w:hAnsiTheme="majorHAnsi"/>
          <w:sz w:val="20"/>
          <w:szCs w:val="20"/>
          <w:lang w:val="en-US"/>
        </w:rPr>
        <w:footnoteReference w:id="266"/>
      </w:r>
      <w:r w:rsidR="00713B50" w:rsidRPr="0094635B">
        <w:rPr>
          <w:rFonts w:asciiTheme="majorHAnsi" w:hAnsiTheme="majorHAnsi"/>
          <w:sz w:val="20"/>
          <w:szCs w:val="20"/>
          <w:lang w:val="en-US"/>
        </w:rPr>
        <w:t xml:space="preserve"> </w:t>
      </w:r>
    </w:p>
    <w:p w14:paraId="6BA1DB81" w14:textId="334CA71C" w:rsidR="007B681D" w:rsidRPr="0094635B" w:rsidRDefault="007B681D" w:rsidP="007B6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shd w:val="clear" w:color="auto" w:fill="FFFFFF"/>
          <w:lang w:val="en-US"/>
        </w:rPr>
      </w:pPr>
    </w:p>
    <w:p w14:paraId="17FE6D67" w14:textId="685BD2AC" w:rsidR="00713B50" w:rsidRPr="007B681D" w:rsidRDefault="00D87985" w:rsidP="007B681D">
      <w:pPr>
        <w:pStyle w:val="Heading3"/>
      </w:pPr>
      <w:bookmarkStart w:id="36" w:name="_Toc90392486"/>
      <w:r w:rsidRPr="007B681D">
        <w:t>Stigmatizing statements and the right to honor and reputation</w:t>
      </w:r>
      <w:bookmarkEnd w:id="36"/>
      <w:r w:rsidRPr="007B681D">
        <w:t xml:space="preserve"> </w:t>
      </w:r>
    </w:p>
    <w:p w14:paraId="16B7BDD8"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lang w:val="en-US"/>
        </w:rPr>
      </w:pPr>
    </w:p>
    <w:p w14:paraId="3159C7CD" w14:textId="2381A46E" w:rsidR="00D87985" w:rsidRPr="002A7A7E" w:rsidRDefault="00D8798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FF216F">
        <w:rPr>
          <w:rFonts w:asciiTheme="majorHAnsi" w:hAnsiTheme="majorHAnsi"/>
          <w:sz w:val="20"/>
          <w:szCs w:val="20"/>
          <w:lang w:val="en-US"/>
        </w:rPr>
        <w:t xml:space="preserve">The IACHR has </w:t>
      </w:r>
      <w:r w:rsidR="00FF216F" w:rsidRPr="00FF216F">
        <w:rPr>
          <w:rFonts w:asciiTheme="majorHAnsi" w:hAnsiTheme="majorHAnsi"/>
          <w:sz w:val="20"/>
          <w:szCs w:val="20"/>
          <w:lang w:val="en-US"/>
        </w:rPr>
        <w:t>established</w:t>
      </w:r>
      <w:r w:rsidRPr="00FF216F">
        <w:rPr>
          <w:rFonts w:asciiTheme="majorHAnsi" w:hAnsiTheme="majorHAnsi"/>
          <w:sz w:val="20"/>
          <w:szCs w:val="20"/>
          <w:lang w:val="en-US"/>
        </w:rPr>
        <w:t xml:space="preserve"> </w:t>
      </w:r>
      <w:r w:rsidR="00FF216F" w:rsidRPr="00FF216F">
        <w:rPr>
          <w:rFonts w:asciiTheme="majorHAnsi" w:hAnsiTheme="majorHAnsi"/>
          <w:sz w:val="20"/>
          <w:szCs w:val="20"/>
          <w:lang w:val="en-US"/>
        </w:rPr>
        <w:t xml:space="preserve">that acts of public repudiation, accusations, and stigmatization may violate the stigmatized person’s right to honor, reputation, dignity, and freedom of expression when such acts come from </w:t>
      </w:r>
      <w:r w:rsidR="008934DA">
        <w:rPr>
          <w:rFonts w:asciiTheme="majorHAnsi" w:hAnsiTheme="majorHAnsi"/>
          <w:sz w:val="20"/>
          <w:szCs w:val="20"/>
          <w:lang w:val="en-US"/>
        </w:rPr>
        <w:t>people</w:t>
      </w:r>
      <w:r w:rsidR="00FF216F" w:rsidRPr="00FF216F">
        <w:rPr>
          <w:rFonts w:asciiTheme="majorHAnsi" w:hAnsiTheme="majorHAnsi"/>
          <w:sz w:val="20"/>
          <w:szCs w:val="20"/>
          <w:lang w:val="en-US"/>
        </w:rPr>
        <w:t xml:space="preserve"> </w:t>
      </w:r>
      <w:r w:rsidR="008934DA">
        <w:rPr>
          <w:rFonts w:asciiTheme="majorHAnsi" w:hAnsiTheme="majorHAnsi"/>
          <w:sz w:val="20"/>
          <w:szCs w:val="20"/>
          <w:lang w:val="en-US"/>
        </w:rPr>
        <w:t xml:space="preserve">who hold </w:t>
      </w:r>
      <w:r w:rsidR="00FF216F" w:rsidRPr="00FF216F">
        <w:rPr>
          <w:rFonts w:asciiTheme="majorHAnsi" w:hAnsiTheme="majorHAnsi"/>
          <w:sz w:val="20"/>
          <w:szCs w:val="20"/>
          <w:lang w:val="en-US"/>
        </w:rPr>
        <w:t>positions o</w:t>
      </w:r>
      <w:r w:rsidR="008934DA">
        <w:rPr>
          <w:rFonts w:asciiTheme="majorHAnsi" w:hAnsiTheme="majorHAnsi"/>
          <w:sz w:val="20"/>
          <w:szCs w:val="20"/>
          <w:lang w:val="en-US"/>
        </w:rPr>
        <w:t>f</w:t>
      </w:r>
      <w:r w:rsidR="00FF216F" w:rsidRPr="00FF216F">
        <w:rPr>
          <w:rFonts w:asciiTheme="majorHAnsi" w:hAnsiTheme="majorHAnsi"/>
          <w:sz w:val="20"/>
          <w:szCs w:val="20"/>
          <w:lang w:val="en-US"/>
        </w:rPr>
        <w:t xml:space="preserve"> power, </w:t>
      </w:r>
      <w:r w:rsidR="008934DA">
        <w:rPr>
          <w:rFonts w:asciiTheme="majorHAnsi" w:hAnsiTheme="majorHAnsi"/>
          <w:sz w:val="20"/>
          <w:szCs w:val="20"/>
          <w:lang w:val="en-US"/>
        </w:rPr>
        <w:t xml:space="preserve">or are </w:t>
      </w:r>
      <w:r w:rsidR="00FF216F" w:rsidRPr="00FF216F">
        <w:rPr>
          <w:rFonts w:asciiTheme="majorHAnsi" w:hAnsiTheme="majorHAnsi"/>
          <w:sz w:val="20"/>
          <w:szCs w:val="20"/>
          <w:lang w:val="en-US"/>
        </w:rPr>
        <w:t>prominent or public figures, and who seek to intentionally discredit the victims in the eyes of the public</w:t>
      </w:r>
      <w:r w:rsidRPr="00FF216F">
        <w:rPr>
          <w:rFonts w:asciiTheme="majorHAnsi" w:hAnsiTheme="majorHAnsi"/>
          <w:sz w:val="20"/>
          <w:szCs w:val="20"/>
          <w:lang w:val="en-US"/>
        </w:rPr>
        <w:t>.</w:t>
      </w:r>
      <w:r w:rsidR="008934DA" w:rsidRPr="002A7A7E">
        <w:rPr>
          <w:rFonts w:ascii="Cambria" w:hAnsi="Cambria"/>
          <w:sz w:val="20"/>
          <w:szCs w:val="20"/>
          <w:vertAlign w:val="superscript"/>
          <w:lang w:val="en-US"/>
        </w:rPr>
        <w:t xml:space="preserve"> </w:t>
      </w:r>
      <w:r w:rsidR="008934DA" w:rsidRPr="008934DA">
        <w:rPr>
          <w:rFonts w:ascii="Cambria" w:hAnsi="Cambria"/>
          <w:sz w:val="20"/>
          <w:szCs w:val="20"/>
          <w:vertAlign w:val="superscript"/>
          <w:lang w:val="es-PE"/>
        </w:rPr>
        <w:footnoteReference w:id="267"/>
      </w:r>
      <w:r w:rsidR="0016225B" w:rsidRPr="002A7A7E">
        <w:rPr>
          <w:rFonts w:ascii="Cambria" w:hAnsi="Cambria"/>
          <w:sz w:val="20"/>
          <w:szCs w:val="20"/>
          <w:lang w:val="en-US"/>
        </w:rPr>
        <w:t xml:space="preserve"> </w:t>
      </w:r>
      <w:r w:rsidR="008934DA" w:rsidRPr="000009EE">
        <w:rPr>
          <w:rFonts w:asciiTheme="majorHAnsi" w:hAnsiTheme="majorHAnsi"/>
          <w:sz w:val="20"/>
          <w:szCs w:val="20"/>
          <w:lang w:val="en-US"/>
        </w:rPr>
        <w:t xml:space="preserve">This is exacerbated if </w:t>
      </w:r>
      <w:r w:rsidR="00B63B4D" w:rsidRPr="000009EE">
        <w:rPr>
          <w:rFonts w:asciiTheme="majorHAnsi" w:hAnsiTheme="majorHAnsi"/>
          <w:sz w:val="20"/>
          <w:szCs w:val="20"/>
          <w:lang w:val="en-US"/>
        </w:rPr>
        <w:t>public officials</w:t>
      </w:r>
      <w:r w:rsidR="00D26707">
        <w:rPr>
          <w:rFonts w:asciiTheme="majorHAnsi" w:hAnsiTheme="majorHAnsi"/>
          <w:sz w:val="20"/>
          <w:szCs w:val="20"/>
          <w:lang w:val="en-US"/>
        </w:rPr>
        <w:t xml:space="preserve"> </w:t>
      </w:r>
      <w:r w:rsidR="00B63B4D">
        <w:rPr>
          <w:rFonts w:asciiTheme="majorHAnsi" w:hAnsiTheme="majorHAnsi"/>
          <w:sz w:val="20"/>
          <w:szCs w:val="20"/>
          <w:lang w:val="en-US"/>
        </w:rPr>
        <w:t>are the ones intentionally making the</w:t>
      </w:r>
      <w:r w:rsidR="008934DA" w:rsidRPr="000009EE">
        <w:rPr>
          <w:rFonts w:asciiTheme="majorHAnsi" w:hAnsiTheme="majorHAnsi"/>
          <w:sz w:val="20"/>
          <w:szCs w:val="20"/>
          <w:lang w:val="en-US"/>
        </w:rPr>
        <w:t xml:space="preserve"> stigmatizing statements</w:t>
      </w:r>
      <w:r w:rsidR="00D26707">
        <w:rPr>
          <w:rFonts w:asciiTheme="majorHAnsi" w:hAnsiTheme="majorHAnsi"/>
          <w:sz w:val="20"/>
          <w:szCs w:val="20"/>
          <w:lang w:val="en-US"/>
        </w:rPr>
        <w:t xml:space="preserve">, </w:t>
      </w:r>
      <w:r w:rsidR="00C9258B">
        <w:rPr>
          <w:rFonts w:asciiTheme="majorHAnsi" w:hAnsiTheme="majorHAnsi"/>
          <w:sz w:val="20"/>
          <w:szCs w:val="20"/>
          <w:lang w:val="en-US"/>
        </w:rPr>
        <w:t>since</w:t>
      </w:r>
      <w:r w:rsidR="00B63B4D">
        <w:rPr>
          <w:rFonts w:asciiTheme="majorHAnsi" w:hAnsiTheme="majorHAnsi"/>
          <w:sz w:val="20"/>
          <w:szCs w:val="20"/>
          <w:lang w:val="en-US"/>
        </w:rPr>
        <w:t xml:space="preserve"> </w:t>
      </w:r>
      <w:r w:rsidR="00D26707">
        <w:rPr>
          <w:rFonts w:asciiTheme="majorHAnsi" w:hAnsiTheme="majorHAnsi"/>
          <w:sz w:val="20"/>
          <w:szCs w:val="20"/>
          <w:lang w:val="en-US"/>
        </w:rPr>
        <w:t xml:space="preserve">the fact that they hold positions of high public trust </w:t>
      </w:r>
      <w:r w:rsidR="008934DA" w:rsidRPr="008934DA">
        <w:rPr>
          <w:rFonts w:asciiTheme="majorHAnsi" w:hAnsiTheme="majorHAnsi"/>
          <w:sz w:val="20"/>
          <w:szCs w:val="20"/>
          <w:lang w:val="en-US"/>
        </w:rPr>
        <w:t>dramatically increases the risk t</w:t>
      </w:r>
      <w:r w:rsidR="008934DA">
        <w:rPr>
          <w:rFonts w:asciiTheme="majorHAnsi" w:hAnsiTheme="majorHAnsi"/>
          <w:sz w:val="20"/>
          <w:szCs w:val="20"/>
          <w:lang w:val="en-US"/>
        </w:rPr>
        <w:t>hat</w:t>
      </w:r>
      <w:r w:rsidR="008934DA" w:rsidRPr="008934DA">
        <w:rPr>
          <w:rFonts w:asciiTheme="majorHAnsi" w:hAnsiTheme="majorHAnsi"/>
          <w:sz w:val="20"/>
          <w:szCs w:val="20"/>
          <w:lang w:val="en-US"/>
        </w:rPr>
        <w:t xml:space="preserve"> th</w:t>
      </w:r>
      <w:r w:rsidR="00B63B4D">
        <w:rPr>
          <w:rFonts w:asciiTheme="majorHAnsi" w:hAnsiTheme="majorHAnsi"/>
          <w:sz w:val="20"/>
          <w:szCs w:val="20"/>
          <w:lang w:val="en-US"/>
        </w:rPr>
        <w:t>e stigmatized person’s</w:t>
      </w:r>
      <w:r w:rsidR="008934DA" w:rsidRPr="008934DA">
        <w:rPr>
          <w:rFonts w:asciiTheme="majorHAnsi" w:hAnsiTheme="majorHAnsi"/>
          <w:sz w:val="20"/>
          <w:szCs w:val="20"/>
          <w:lang w:val="en-US"/>
        </w:rPr>
        <w:t xml:space="preserve"> rights to life and </w:t>
      </w:r>
      <w:r w:rsidR="008934DA">
        <w:rPr>
          <w:rFonts w:asciiTheme="majorHAnsi" w:hAnsiTheme="majorHAnsi"/>
          <w:sz w:val="20"/>
          <w:szCs w:val="20"/>
          <w:lang w:val="en-US"/>
        </w:rPr>
        <w:t xml:space="preserve">personal </w:t>
      </w:r>
      <w:r w:rsidR="008934DA" w:rsidRPr="008934DA">
        <w:rPr>
          <w:rFonts w:asciiTheme="majorHAnsi" w:hAnsiTheme="majorHAnsi"/>
          <w:sz w:val="20"/>
          <w:szCs w:val="20"/>
          <w:lang w:val="en-US"/>
        </w:rPr>
        <w:t>integrity</w:t>
      </w:r>
      <w:r w:rsidR="008934DA">
        <w:rPr>
          <w:rFonts w:asciiTheme="majorHAnsi" w:hAnsiTheme="majorHAnsi"/>
          <w:sz w:val="20"/>
          <w:szCs w:val="20"/>
          <w:lang w:val="en-US"/>
        </w:rPr>
        <w:t xml:space="preserve"> will be violated</w:t>
      </w:r>
      <w:r w:rsidR="008934DA" w:rsidRPr="000009EE">
        <w:rPr>
          <w:rFonts w:asciiTheme="majorHAnsi" w:hAnsiTheme="majorHAnsi"/>
          <w:sz w:val="20"/>
          <w:szCs w:val="20"/>
          <w:lang w:val="en-US"/>
        </w:rPr>
        <w:t>.</w:t>
      </w:r>
      <w:r w:rsidR="008934DA" w:rsidRPr="008934DA">
        <w:rPr>
          <w:rFonts w:ascii="Cambria" w:hAnsi="Cambria"/>
          <w:sz w:val="20"/>
          <w:szCs w:val="20"/>
          <w:vertAlign w:val="superscript"/>
        </w:rPr>
        <w:footnoteReference w:id="268"/>
      </w:r>
      <w:r w:rsidR="0016225B" w:rsidRPr="002A7A7E">
        <w:rPr>
          <w:rFonts w:ascii="Cambria" w:hAnsi="Cambria"/>
          <w:sz w:val="20"/>
          <w:szCs w:val="20"/>
          <w:lang w:val="en-US"/>
        </w:rPr>
        <w:t xml:space="preserve"> </w:t>
      </w:r>
      <w:r w:rsidR="00AF012A">
        <w:rPr>
          <w:rFonts w:asciiTheme="majorHAnsi" w:hAnsiTheme="majorHAnsi"/>
          <w:sz w:val="20"/>
          <w:szCs w:val="20"/>
          <w:lang w:val="en-US"/>
        </w:rPr>
        <w:t>P</w:t>
      </w:r>
      <w:r w:rsidR="00C9258B" w:rsidRPr="000009EE">
        <w:rPr>
          <w:rFonts w:asciiTheme="majorHAnsi" w:hAnsiTheme="majorHAnsi"/>
          <w:sz w:val="20"/>
          <w:szCs w:val="20"/>
          <w:lang w:val="en-US"/>
        </w:rPr>
        <w:t xml:space="preserve">oliticians and public officials </w:t>
      </w:r>
      <w:r w:rsidR="00C9258B">
        <w:rPr>
          <w:rFonts w:asciiTheme="majorHAnsi" w:hAnsiTheme="majorHAnsi"/>
          <w:sz w:val="20"/>
          <w:szCs w:val="20"/>
          <w:lang w:val="en-US"/>
        </w:rPr>
        <w:t>may legitimately</w:t>
      </w:r>
      <w:r w:rsidR="00C9258B" w:rsidRPr="000009EE">
        <w:rPr>
          <w:rFonts w:asciiTheme="majorHAnsi" w:hAnsiTheme="majorHAnsi"/>
          <w:sz w:val="20"/>
          <w:szCs w:val="20"/>
          <w:lang w:val="en-US"/>
        </w:rPr>
        <w:t xml:space="preserve"> express criticism, corrections, or objections </w:t>
      </w:r>
      <w:r w:rsidR="00C9258B">
        <w:rPr>
          <w:rFonts w:asciiTheme="majorHAnsi" w:hAnsiTheme="majorHAnsi"/>
          <w:sz w:val="20"/>
          <w:szCs w:val="20"/>
          <w:lang w:val="en-US"/>
        </w:rPr>
        <w:t>to</w:t>
      </w:r>
      <w:r w:rsidR="00C9258B" w:rsidRPr="000009EE">
        <w:rPr>
          <w:rFonts w:asciiTheme="majorHAnsi" w:hAnsiTheme="majorHAnsi"/>
          <w:sz w:val="20"/>
          <w:szCs w:val="20"/>
          <w:lang w:val="en-US"/>
        </w:rPr>
        <w:t xml:space="preserve"> speech or certain information</w:t>
      </w:r>
      <w:r w:rsidR="00F3327E">
        <w:rPr>
          <w:rFonts w:asciiTheme="majorHAnsi" w:hAnsiTheme="majorHAnsi"/>
          <w:sz w:val="20"/>
          <w:szCs w:val="20"/>
          <w:lang w:val="en-US"/>
        </w:rPr>
        <w:t>;</w:t>
      </w:r>
      <w:r w:rsidR="00C9258B" w:rsidRPr="000009EE">
        <w:rPr>
          <w:rFonts w:asciiTheme="majorHAnsi" w:hAnsiTheme="majorHAnsi"/>
          <w:sz w:val="20"/>
          <w:szCs w:val="20"/>
          <w:lang w:val="en-US"/>
        </w:rPr>
        <w:t xml:space="preserve"> </w:t>
      </w:r>
      <w:r w:rsidR="00AF012A">
        <w:rPr>
          <w:rFonts w:asciiTheme="majorHAnsi" w:hAnsiTheme="majorHAnsi"/>
          <w:sz w:val="20"/>
          <w:szCs w:val="20"/>
          <w:lang w:val="en-US"/>
        </w:rPr>
        <w:t xml:space="preserve">but </w:t>
      </w:r>
      <w:r w:rsidR="00C9258B">
        <w:rPr>
          <w:rFonts w:asciiTheme="majorHAnsi" w:hAnsiTheme="majorHAnsi"/>
          <w:sz w:val="20"/>
          <w:szCs w:val="20"/>
          <w:lang w:val="en-US"/>
        </w:rPr>
        <w:t xml:space="preserve">when doing so, </w:t>
      </w:r>
      <w:r w:rsidR="00C9258B" w:rsidRPr="000009EE">
        <w:rPr>
          <w:rFonts w:asciiTheme="majorHAnsi" w:hAnsiTheme="majorHAnsi"/>
          <w:sz w:val="20"/>
          <w:szCs w:val="20"/>
          <w:lang w:val="en-US"/>
        </w:rPr>
        <w:t xml:space="preserve">they should always be </w:t>
      </w:r>
      <w:r w:rsidR="00C9258B">
        <w:rPr>
          <w:rFonts w:asciiTheme="majorHAnsi" w:hAnsiTheme="majorHAnsi"/>
          <w:sz w:val="20"/>
          <w:szCs w:val="20"/>
          <w:lang w:val="en-US"/>
        </w:rPr>
        <w:t xml:space="preserve">mindful of their </w:t>
      </w:r>
      <w:r w:rsidR="00C9258B" w:rsidRPr="000009EE">
        <w:rPr>
          <w:rFonts w:asciiTheme="majorHAnsi" w:hAnsiTheme="majorHAnsi"/>
          <w:sz w:val="20"/>
          <w:szCs w:val="20"/>
          <w:lang w:val="en-US"/>
        </w:rPr>
        <w:t>obligations to guarantee rights</w:t>
      </w:r>
      <w:r w:rsidR="00F3327E">
        <w:rPr>
          <w:rFonts w:asciiTheme="majorHAnsi" w:hAnsiTheme="majorHAnsi"/>
          <w:sz w:val="20"/>
          <w:szCs w:val="20"/>
          <w:lang w:val="en-US"/>
        </w:rPr>
        <w:t>.</w:t>
      </w:r>
      <w:r w:rsidR="00C9258B">
        <w:rPr>
          <w:rFonts w:asciiTheme="majorHAnsi" w:hAnsiTheme="majorHAnsi"/>
          <w:sz w:val="20"/>
          <w:szCs w:val="20"/>
          <w:lang w:val="en-US"/>
        </w:rPr>
        <w:t xml:space="preserve"> </w:t>
      </w:r>
      <w:r w:rsidR="00F3327E">
        <w:rPr>
          <w:rFonts w:asciiTheme="majorHAnsi" w:hAnsiTheme="majorHAnsi"/>
          <w:sz w:val="20"/>
          <w:szCs w:val="20"/>
          <w:lang w:val="en-US"/>
        </w:rPr>
        <w:t>T</w:t>
      </w:r>
      <w:r w:rsidR="00C9258B">
        <w:rPr>
          <w:rFonts w:asciiTheme="majorHAnsi" w:hAnsiTheme="majorHAnsi"/>
          <w:sz w:val="20"/>
          <w:szCs w:val="20"/>
          <w:lang w:val="en-US"/>
        </w:rPr>
        <w:t xml:space="preserve">hey should </w:t>
      </w:r>
      <w:r w:rsidR="00C9258B" w:rsidRPr="000009EE">
        <w:rPr>
          <w:rFonts w:asciiTheme="majorHAnsi" w:hAnsiTheme="majorHAnsi"/>
          <w:sz w:val="20"/>
          <w:szCs w:val="20"/>
          <w:lang w:val="en-US"/>
        </w:rPr>
        <w:t xml:space="preserve">ensure that their </w:t>
      </w:r>
      <w:r w:rsidR="00C9258B">
        <w:rPr>
          <w:rFonts w:asciiTheme="majorHAnsi" w:hAnsiTheme="majorHAnsi"/>
          <w:sz w:val="20"/>
          <w:szCs w:val="20"/>
          <w:lang w:val="en-US"/>
        </w:rPr>
        <w:t>remarks</w:t>
      </w:r>
      <w:r w:rsidR="00C9258B" w:rsidRPr="000009EE">
        <w:rPr>
          <w:rFonts w:asciiTheme="majorHAnsi" w:hAnsiTheme="majorHAnsi"/>
          <w:sz w:val="20"/>
          <w:szCs w:val="20"/>
          <w:lang w:val="en-US"/>
        </w:rPr>
        <w:t xml:space="preserve"> </w:t>
      </w:r>
      <w:r w:rsidR="00AF012A">
        <w:rPr>
          <w:rFonts w:asciiTheme="majorHAnsi" w:hAnsiTheme="majorHAnsi"/>
          <w:sz w:val="20"/>
          <w:szCs w:val="20"/>
          <w:lang w:val="en-US"/>
        </w:rPr>
        <w:t>do not stigmatize or disparage</w:t>
      </w:r>
      <w:r w:rsidR="00C9258B" w:rsidRPr="000009EE">
        <w:rPr>
          <w:rFonts w:asciiTheme="majorHAnsi" w:hAnsiTheme="majorHAnsi"/>
          <w:sz w:val="20"/>
          <w:szCs w:val="20"/>
          <w:lang w:val="en-US"/>
        </w:rPr>
        <w:t xml:space="preserve"> individuals</w:t>
      </w:r>
      <w:r w:rsidR="00C9258B">
        <w:rPr>
          <w:rFonts w:asciiTheme="majorHAnsi" w:hAnsiTheme="majorHAnsi"/>
          <w:sz w:val="20"/>
          <w:szCs w:val="20"/>
          <w:lang w:val="en-US"/>
        </w:rPr>
        <w:t>—</w:t>
      </w:r>
      <w:r w:rsidR="00AF012A">
        <w:rPr>
          <w:rFonts w:asciiTheme="majorHAnsi" w:hAnsiTheme="majorHAnsi"/>
          <w:sz w:val="20"/>
          <w:szCs w:val="20"/>
          <w:lang w:val="en-US"/>
        </w:rPr>
        <w:t>especially</w:t>
      </w:r>
      <w:r w:rsidR="00C9258B" w:rsidRPr="000009EE">
        <w:rPr>
          <w:rFonts w:asciiTheme="majorHAnsi" w:hAnsiTheme="majorHAnsi"/>
          <w:sz w:val="20"/>
          <w:szCs w:val="20"/>
          <w:lang w:val="en-US"/>
        </w:rPr>
        <w:t xml:space="preserve"> journalists</w:t>
      </w:r>
      <w:r w:rsidR="00C9258B">
        <w:rPr>
          <w:rFonts w:asciiTheme="majorHAnsi" w:hAnsiTheme="majorHAnsi"/>
          <w:sz w:val="20"/>
          <w:szCs w:val="20"/>
          <w:lang w:val="en-US"/>
        </w:rPr>
        <w:t>—</w:t>
      </w:r>
      <w:r w:rsidR="00AF012A">
        <w:rPr>
          <w:rFonts w:asciiTheme="majorHAnsi" w:hAnsiTheme="majorHAnsi"/>
          <w:sz w:val="20"/>
          <w:szCs w:val="20"/>
          <w:lang w:val="en-US"/>
        </w:rPr>
        <w:t>or</w:t>
      </w:r>
      <w:r w:rsidR="00C9258B" w:rsidRPr="000009EE">
        <w:rPr>
          <w:rFonts w:asciiTheme="majorHAnsi" w:hAnsiTheme="majorHAnsi"/>
          <w:sz w:val="20"/>
          <w:szCs w:val="20"/>
          <w:lang w:val="en-US"/>
        </w:rPr>
        <w:t xml:space="preserve"> </w:t>
      </w:r>
      <w:r w:rsidR="00C9258B">
        <w:rPr>
          <w:rFonts w:asciiTheme="majorHAnsi" w:hAnsiTheme="majorHAnsi"/>
          <w:sz w:val="20"/>
          <w:szCs w:val="20"/>
          <w:lang w:val="en-US"/>
        </w:rPr>
        <w:t>heighten the risks faced by</w:t>
      </w:r>
      <w:r w:rsidR="00C9258B" w:rsidRPr="000009EE">
        <w:rPr>
          <w:rFonts w:asciiTheme="majorHAnsi" w:hAnsiTheme="majorHAnsi"/>
          <w:sz w:val="20"/>
          <w:szCs w:val="20"/>
          <w:lang w:val="en-US"/>
        </w:rPr>
        <w:t xml:space="preserve"> stigmatized persons</w:t>
      </w:r>
      <w:r w:rsidR="00C9258B">
        <w:rPr>
          <w:rFonts w:asciiTheme="majorHAnsi" w:hAnsiTheme="majorHAnsi"/>
          <w:sz w:val="20"/>
          <w:szCs w:val="20"/>
          <w:lang w:val="en-US"/>
        </w:rPr>
        <w:t>.</w:t>
      </w:r>
      <w:r w:rsidR="0016225B" w:rsidRPr="00C9258B">
        <w:rPr>
          <w:rStyle w:val="FootnoteReference"/>
          <w:rFonts w:ascii="Cambria" w:hAnsi="Cambria"/>
          <w:sz w:val="20"/>
          <w:szCs w:val="20"/>
        </w:rPr>
        <w:footnoteReference w:id="269"/>
      </w:r>
    </w:p>
    <w:p w14:paraId="2DD0E5D5" w14:textId="77777777" w:rsidR="00713B50" w:rsidRPr="00B24750" w:rsidRDefault="00713B50" w:rsidP="00F6645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Theme="majorHAnsi" w:hAnsiTheme="majorHAnsi"/>
          <w:sz w:val="20"/>
          <w:szCs w:val="20"/>
        </w:rPr>
      </w:pPr>
    </w:p>
    <w:p w14:paraId="6282FEDD" w14:textId="7D9A72F7" w:rsidR="00AB5244" w:rsidRPr="00711C22" w:rsidRDefault="00AB5244"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rPr>
      </w:pPr>
      <w:r>
        <w:rPr>
          <w:sz w:val="20"/>
          <w:szCs w:val="20"/>
          <w:lang w:eastAsia="es-PY"/>
        </w:rPr>
        <w:lastRenderedPageBreak/>
        <w:t>T</w:t>
      </w:r>
      <w:r w:rsidRPr="00711C22">
        <w:rPr>
          <w:sz w:val="20"/>
          <w:szCs w:val="20"/>
          <w:lang w:eastAsia="es-PY"/>
        </w:rPr>
        <w:t xml:space="preserve">he </w:t>
      </w:r>
      <w:r w:rsidR="002D58CE" w:rsidRPr="002D58CE">
        <w:rPr>
          <w:sz w:val="20"/>
          <w:szCs w:val="20"/>
          <w:lang w:eastAsia="es-PY"/>
        </w:rPr>
        <w:t xml:space="preserve">IACHR has established that the disparagement of journalists and critical media outlets by State authorities jeopardizes the free practice of journalism and undermines the obligation to </w:t>
      </w:r>
      <w:r w:rsidR="002D58CE">
        <w:rPr>
          <w:sz w:val="20"/>
          <w:szCs w:val="20"/>
          <w:lang w:eastAsia="es-PY"/>
        </w:rPr>
        <w:t>maintain</w:t>
      </w:r>
      <w:r w:rsidR="002D58CE" w:rsidRPr="002D58CE">
        <w:rPr>
          <w:sz w:val="20"/>
          <w:szCs w:val="20"/>
          <w:lang w:eastAsia="es-PY"/>
        </w:rPr>
        <w:t xml:space="preserve"> public discourse that contributes to the prevention of violence against journalists.</w:t>
      </w:r>
      <w:r w:rsidRPr="00711C22">
        <w:rPr>
          <w:rStyle w:val="FootnoteReference"/>
          <w:sz w:val="20"/>
          <w:szCs w:val="20"/>
        </w:rPr>
        <w:footnoteReference w:id="270"/>
      </w:r>
      <w:r w:rsidRPr="00711C22">
        <w:rPr>
          <w:sz w:val="20"/>
          <w:szCs w:val="20"/>
        </w:rPr>
        <w:t xml:space="preserve">  Stigmatizing statement</w:t>
      </w:r>
      <w:r w:rsidR="0001583A">
        <w:rPr>
          <w:sz w:val="20"/>
          <w:szCs w:val="20"/>
        </w:rPr>
        <w:t xml:space="preserve">s </w:t>
      </w:r>
      <w:r w:rsidRPr="00711C22">
        <w:rPr>
          <w:sz w:val="20"/>
          <w:szCs w:val="20"/>
        </w:rPr>
        <w:t>expose journalists to a greater risk of violence, harassment</w:t>
      </w:r>
      <w:r w:rsidR="0001583A">
        <w:rPr>
          <w:sz w:val="20"/>
          <w:szCs w:val="20"/>
        </w:rPr>
        <w:t>,</w:t>
      </w:r>
      <w:r w:rsidRPr="00711C22">
        <w:rPr>
          <w:sz w:val="20"/>
          <w:szCs w:val="20"/>
        </w:rPr>
        <w:t xml:space="preserve"> and threats</w:t>
      </w:r>
      <w:r w:rsidR="00486960">
        <w:rPr>
          <w:sz w:val="20"/>
          <w:szCs w:val="20"/>
        </w:rPr>
        <w:t>,</w:t>
      </w:r>
      <w:r w:rsidRPr="00711C22">
        <w:rPr>
          <w:sz w:val="20"/>
          <w:szCs w:val="20"/>
          <w:vertAlign w:val="superscript"/>
        </w:rPr>
        <w:footnoteReference w:id="271"/>
      </w:r>
      <w:r w:rsidRPr="00711C22">
        <w:rPr>
          <w:sz w:val="20"/>
          <w:szCs w:val="20"/>
        </w:rPr>
        <w:t xml:space="preserve"> </w:t>
      </w:r>
      <w:r w:rsidR="0001583A" w:rsidRPr="0001583A">
        <w:rPr>
          <w:sz w:val="20"/>
          <w:szCs w:val="20"/>
        </w:rPr>
        <w:t xml:space="preserve">and make them even more vulnerable than they already are due to the nature of their work, since the content of such statements may even be interpreted by individuals and groups of individuals in such a way that they </w:t>
      </w:r>
      <w:r w:rsidR="003E444E">
        <w:rPr>
          <w:sz w:val="20"/>
          <w:szCs w:val="20"/>
        </w:rPr>
        <w:t>lead to</w:t>
      </w:r>
      <w:r w:rsidR="0001583A" w:rsidRPr="0001583A">
        <w:rPr>
          <w:sz w:val="20"/>
          <w:szCs w:val="20"/>
        </w:rPr>
        <w:t xml:space="preserve"> acts of violence and </w:t>
      </w:r>
      <w:r w:rsidR="003E444E">
        <w:rPr>
          <w:sz w:val="20"/>
          <w:szCs w:val="20"/>
        </w:rPr>
        <w:t>the obstruction of</w:t>
      </w:r>
      <w:r w:rsidR="0001583A" w:rsidRPr="0001583A">
        <w:rPr>
          <w:sz w:val="20"/>
          <w:szCs w:val="20"/>
        </w:rPr>
        <w:t xml:space="preserve"> journalistic work</w:t>
      </w:r>
      <w:r>
        <w:rPr>
          <w:sz w:val="20"/>
          <w:szCs w:val="20"/>
        </w:rPr>
        <w:t>.</w:t>
      </w:r>
      <w:r w:rsidRPr="00711C22">
        <w:rPr>
          <w:rStyle w:val="FootnoteReference"/>
          <w:sz w:val="20"/>
          <w:szCs w:val="20"/>
        </w:rPr>
        <w:footnoteReference w:id="272"/>
      </w:r>
      <w:r w:rsidRPr="00711C22">
        <w:rPr>
          <w:sz w:val="20"/>
          <w:szCs w:val="20"/>
        </w:rPr>
        <w:t xml:space="preserve"> </w:t>
      </w:r>
    </w:p>
    <w:p w14:paraId="2C63B740" w14:textId="77777777" w:rsidR="00713B50" w:rsidRPr="00B24750" w:rsidRDefault="00713B50" w:rsidP="00F66452">
      <w:pPr>
        <w:pStyle w:val="ListParagraph"/>
        <w:ind w:left="0"/>
        <w:rPr>
          <w:rFonts w:asciiTheme="majorHAnsi" w:hAnsiTheme="majorHAnsi"/>
          <w:sz w:val="20"/>
          <w:szCs w:val="20"/>
        </w:rPr>
      </w:pPr>
    </w:p>
    <w:p w14:paraId="780A333B" w14:textId="44918A52" w:rsidR="003E444E" w:rsidRPr="00711C22" w:rsidRDefault="007E33CB"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sz w:val="20"/>
          <w:szCs w:val="20"/>
        </w:rPr>
      </w:pPr>
      <w:r>
        <w:rPr>
          <w:sz w:val="20"/>
          <w:szCs w:val="20"/>
        </w:rPr>
        <w:t>W</w:t>
      </w:r>
      <w:r w:rsidR="003E444E" w:rsidRPr="00711C22">
        <w:rPr>
          <w:sz w:val="20"/>
          <w:szCs w:val="20"/>
        </w:rPr>
        <w:t xml:space="preserve">hen </w:t>
      </w:r>
      <w:r>
        <w:rPr>
          <w:sz w:val="20"/>
          <w:szCs w:val="20"/>
        </w:rPr>
        <w:t>State authorities make such stigmatizing statements openly</w:t>
      </w:r>
      <w:r w:rsidR="003E444E" w:rsidRPr="00711C22">
        <w:rPr>
          <w:sz w:val="20"/>
          <w:szCs w:val="20"/>
        </w:rPr>
        <w:t xml:space="preserve">, </w:t>
      </w:r>
      <w:r>
        <w:rPr>
          <w:sz w:val="20"/>
          <w:szCs w:val="20"/>
        </w:rPr>
        <w:t>including</w:t>
      </w:r>
      <w:r w:rsidR="003E444E" w:rsidRPr="00711C22">
        <w:rPr>
          <w:sz w:val="20"/>
          <w:szCs w:val="20"/>
        </w:rPr>
        <w:t xml:space="preserve"> on State </w:t>
      </w:r>
      <w:r>
        <w:rPr>
          <w:sz w:val="20"/>
          <w:szCs w:val="20"/>
        </w:rPr>
        <w:t xml:space="preserve">media </w:t>
      </w:r>
      <w:r w:rsidR="003E444E" w:rsidRPr="00711C22">
        <w:rPr>
          <w:sz w:val="20"/>
          <w:szCs w:val="20"/>
        </w:rPr>
        <w:t xml:space="preserve">channels, they </w:t>
      </w:r>
      <w:r>
        <w:rPr>
          <w:sz w:val="20"/>
          <w:szCs w:val="20"/>
        </w:rPr>
        <w:t>foster</w:t>
      </w:r>
      <w:r w:rsidR="003E444E" w:rsidRPr="00711C22">
        <w:rPr>
          <w:sz w:val="20"/>
          <w:szCs w:val="20"/>
        </w:rPr>
        <w:t>, contribute to, exacerbate</w:t>
      </w:r>
      <w:r>
        <w:rPr>
          <w:sz w:val="20"/>
          <w:szCs w:val="20"/>
        </w:rPr>
        <w:t>,</w:t>
      </w:r>
      <w:r w:rsidR="003E444E" w:rsidRPr="00711C22">
        <w:rPr>
          <w:sz w:val="20"/>
          <w:szCs w:val="20"/>
        </w:rPr>
        <w:t xml:space="preserve"> or accentuate situations of hostility, intolerance</w:t>
      </w:r>
      <w:r>
        <w:rPr>
          <w:sz w:val="20"/>
          <w:szCs w:val="20"/>
        </w:rPr>
        <w:t>,</w:t>
      </w:r>
      <w:r w:rsidR="003E444E" w:rsidRPr="00711C22">
        <w:rPr>
          <w:sz w:val="20"/>
          <w:szCs w:val="20"/>
        </w:rPr>
        <w:t xml:space="preserve"> or animosity </w:t>
      </w:r>
      <w:r>
        <w:rPr>
          <w:sz w:val="20"/>
          <w:szCs w:val="20"/>
        </w:rPr>
        <w:t>by some</w:t>
      </w:r>
      <w:r w:rsidR="003E444E" w:rsidRPr="00711C22">
        <w:rPr>
          <w:sz w:val="20"/>
          <w:szCs w:val="20"/>
        </w:rPr>
        <w:t xml:space="preserve"> sectors of the population toward the </w:t>
      </w:r>
      <w:r>
        <w:rPr>
          <w:sz w:val="20"/>
          <w:szCs w:val="20"/>
        </w:rPr>
        <w:t xml:space="preserve">stigmatized </w:t>
      </w:r>
      <w:r w:rsidR="003E444E" w:rsidRPr="00711C22">
        <w:rPr>
          <w:sz w:val="20"/>
          <w:szCs w:val="20"/>
        </w:rPr>
        <w:t>persons</w:t>
      </w:r>
      <w:r>
        <w:rPr>
          <w:sz w:val="20"/>
          <w:szCs w:val="20"/>
        </w:rPr>
        <w:t>.</w:t>
      </w:r>
      <w:r w:rsidR="003E444E" w:rsidRPr="00711C22">
        <w:rPr>
          <w:sz w:val="20"/>
          <w:szCs w:val="20"/>
          <w:vertAlign w:val="superscript"/>
        </w:rPr>
        <w:footnoteReference w:id="273"/>
      </w:r>
      <w:r w:rsidR="003E444E" w:rsidRPr="00711C22">
        <w:rPr>
          <w:sz w:val="20"/>
          <w:szCs w:val="20"/>
        </w:rPr>
        <w:t xml:space="preserve"> </w:t>
      </w:r>
      <w:r>
        <w:rPr>
          <w:sz w:val="20"/>
          <w:szCs w:val="20"/>
        </w:rPr>
        <w:t>As</w:t>
      </w:r>
      <w:r w:rsidR="003E444E" w:rsidRPr="00711C22">
        <w:rPr>
          <w:sz w:val="20"/>
          <w:szCs w:val="20"/>
        </w:rPr>
        <w:t xml:space="preserve"> </w:t>
      </w:r>
      <w:r>
        <w:rPr>
          <w:sz w:val="20"/>
          <w:szCs w:val="20"/>
        </w:rPr>
        <w:t>part</w:t>
      </w:r>
      <w:r w:rsidR="003E444E" w:rsidRPr="00711C22">
        <w:rPr>
          <w:sz w:val="20"/>
          <w:szCs w:val="20"/>
        </w:rPr>
        <w:t xml:space="preserve"> the duty to protect and guarantee human rights, public authorities </w:t>
      </w:r>
      <w:r w:rsidR="00CF43F6">
        <w:rPr>
          <w:sz w:val="20"/>
          <w:szCs w:val="20"/>
        </w:rPr>
        <w:t xml:space="preserve">must not make </w:t>
      </w:r>
      <w:r w:rsidR="003E444E" w:rsidRPr="00711C22">
        <w:rPr>
          <w:sz w:val="20"/>
          <w:szCs w:val="20"/>
        </w:rPr>
        <w:t xml:space="preserve">statements that </w:t>
      </w:r>
      <w:r w:rsidR="003E444E" w:rsidRPr="00711C22">
        <w:rPr>
          <w:color w:val="auto"/>
          <w:sz w:val="20"/>
          <w:szCs w:val="20"/>
        </w:rPr>
        <w:t>expose journalists and media workers to a greater risk of violence</w:t>
      </w:r>
      <w:r>
        <w:rPr>
          <w:color w:val="auto"/>
          <w:sz w:val="20"/>
          <w:szCs w:val="20"/>
        </w:rPr>
        <w:t>.</w:t>
      </w:r>
      <w:r w:rsidR="003E444E" w:rsidRPr="00711C22">
        <w:rPr>
          <w:color w:val="auto"/>
          <w:sz w:val="20"/>
          <w:szCs w:val="20"/>
          <w:vertAlign w:val="superscript"/>
        </w:rPr>
        <w:footnoteReference w:id="274"/>
      </w:r>
      <w:r>
        <w:rPr>
          <w:color w:val="auto"/>
          <w:sz w:val="20"/>
          <w:szCs w:val="20"/>
        </w:rPr>
        <w:t xml:space="preserve"> </w:t>
      </w:r>
      <w:r w:rsidR="003E444E" w:rsidRPr="00711C22">
        <w:rPr>
          <w:color w:val="auto"/>
          <w:sz w:val="20"/>
          <w:szCs w:val="20"/>
        </w:rPr>
        <w:t xml:space="preserve">Any authority </w:t>
      </w:r>
      <w:r w:rsidR="003E444E" w:rsidRPr="00711C22">
        <w:rPr>
          <w:rFonts w:cs="Tahoma"/>
          <w:color w:val="auto"/>
          <w:sz w:val="20"/>
          <w:szCs w:val="20"/>
          <w:shd w:val="clear" w:color="auto" w:fill="FFFFFF"/>
        </w:rPr>
        <w:t xml:space="preserve">with public responsibilities must </w:t>
      </w:r>
      <w:r>
        <w:rPr>
          <w:rFonts w:cs="Tahoma"/>
          <w:color w:val="auto"/>
          <w:sz w:val="20"/>
          <w:szCs w:val="20"/>
          <w:shd w:val="clear" w:color="auto" w:fill="FFFFFF"/>
        </w:rPr>
        <w:t>refrain from speech</w:t>
      </w:r>
      <w:r w:rsidR="003E444E" w:rsidRPr="00711C22">
        <w:rPr>
          <w:rFonts w:cs="Tahoma"/>
          <w:color w:val="auto"/>
          <w:sz w:val="20"/>
          <w:szCs w:val="20"/>
          <w:shd w:val="clear" w:color="auto" w:fill="FFFFFF"/>
        </w:rPr>
        <w:t xml:space="preserve"> that encourage</w:t>
      </w:r>
      <w:r>
        <w:rPr>
          <w:rFonts w:cs="Tahoma"/>
          <w:color w:val="auto"/>
          <w:sz w:val="20"/>
          <w:szCs w:val="20"/>
          <w:shd w:val="clear" w:color="auto" w:fill="FFFFFF"/>
        </w:rPr>
        <w:t>s</w:t>
      </w:r>
      <w:r w:rsidR="003E444E" w:rsidRPr="00711C22">
        <w:rPr>
          <w:rFonts w:cs="Tahoma"/>
          <w:color w:val="auto"/>
          <w:sz w:val="20"/>
          <w:szCs w:val="20"/>
          <w:shd w:val="clear" w:color="auto" w:fill="FFFFFF"/>
        </w:rPr>
        <w:t xml:space="preserve"> hatred or the use of violence against </w:t>
      </w:r>
      <w:r>
        <w:rPr>
          <w:rFonts w:cs="Tahoma"/>
          <w:color w:val="auto"/>
          <w:sz w:val="20"/>
          <w:szCs w:val="20"/>
          <w:shd w:val="clear" w:color="auto" w:fill="FFFFFF"/>
        </w:rPr>
        <w:t>individuals.</w:t>
      </w:r>
      <w:r w:rsidR="003E444E" w:rsidRPr="00711C22">
        <w:rPr>
          <w:rStyle w:val="FootnoteReference"/>
          <w:rFonts w:cs="Tahoma"/>
          <w:color w:val="auto"/>
          <w:sz w:val="20"/>
          <w:szCs w:val="20"/>
          <w:shd w:val="clear" w:color="auto" w:fill="FFFFFF"/>
        </w:rPr>
        <w:footnoteReference w:id="275"/>
      </w:r>
    </w:p>
    <w:p w14:paraId="4682F5A0"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lang w:val="en-US"/>
        </w:rPr>
      </w:pPr>
    </w:p>
    <w:p w14:paraId="2915D232" w14:textId="0A85D70A" w:rsidR="00713B50" w:rsidRPr="00FB33C1" w:rsidRDefault="00FB33C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n-US"/>
        </w:rPr>
      </w:pPr>
      <w:r w:rsidRPr="00711C22">
        <w:rPr>
          <w:rFonts w:ascii="Cambria" w:hAnsi="Cambria" w:cs="Tahoma"/>
          <w:sz w:val="20"/>
          <w:szCs w:val="20"/>
          <w:shd w:val="clear" w:color="auto" w:fill="FFFFFF"/>
          <w:lang w:val="en-US"/>
        </w:rPr>
        <w:t xml:space="preserve">Public officials are called upon to </w:t>
      </w:r>
      <w:r w:rsidR="000E497E">
        <w:rPr>
          <w:rFonts w:ascii="Cambria" w:hAnsi="Cambria" w:cs="Tahoma"/>
          <w:sz w:val="20"/>
          <w:szCs w:val="20"/>
          <w:shd w:val="clear" w:color="auto" w:fill="FFFFFF"/>
          <w:lang w:val="en-US"/>
        </w:rPr>
        <w:t>foster the use of language</w:t>
      </w:r>
      <w:r w:rsidRPr="00711C22">
        <w:rPr>
          <w:rFonts w:ascii="Cambria" w:hAnsi="Cambria" w:cs="Tahoma"/>
          <w:sz w:val="20"/>
          <w:szCs w:val="20"/>
          <w:shd w:val="clear" w:color="auto" w:fill="FFFFFF"/>
          <w:lang w:val="en-US"/>
        </w:rPr>
        <w:t xml:space="preserve"> favorable to public deliberation and to ensure that their </w:t>
      </w:r>
      <w:r w:rsidR="000E497E">
        <w:rPr>
          <w:rFonts w:ascii="Cambria" w:hAnsi="Cambria" w:cs="Tahoma"/>
          <w:sz w:val="20"/>
          <w:szCs w:val="20"/>
          <w:shd w:val="clear" w:color="auto" w:fill="FFFFFF"/>
          <w:lang w:val="en-US"/>
        </w:rPr>
        <w:t>speech does</w:t>
      </w:r>
      <w:r w:rsidRPr="00711C22">
        <w:rPr>
          <w:rFonts w:ascii="Cambria" w:hAnsi="Cambria" w:cs="Tahoma"/>
          <w:sz w:val="20"/>
          <w:szCs w:val="20"/>
          <w:shd w:val="clear" w:color="auto" w:fill="FFFFFF"/>
          <w:lang w:val="en-US"/>
        </w:rPr>
        <w:t xml:space="preserve"> not harm the rights of </w:t>
      </w:r>
      <w:r w:rsidR="000E497E">
        <w:rPr>
          <w:rFonts w:ascii="Cambria" w:hAnsi="Cambria" w:cs="Tahoma"/>
          <w:sz w:val="20"/>
          <w:szCs w:val="20"/>
          <w:shd w:val="clear" w:color="auto" w:fill="FFFFFF"/>
          <w:lang w:val="en-US"/>
        </w:rPr>
        <w:t xml:space="preserve">others </w:t>
      </w:r>
      <w:r w:rsidRPr="00711C22">
        <w:rPr>
          <w:rFonts w:ascii="Cambria" w:hAnsi="Cambria" w:cs="Tahoma"/>
          <w:sz w:val="20"/>
          <w:szCs w:val="20"/>
          <w:shd w:val="clear" w:color="auto" w:fill="FFFFFF"/>
          <w:lang w:val="en-US"/>
        </w:rPr>
        <w:t>who contribute to the d</w:t>
      </w:r>
      <w:r w:rsidR="000E497E">
        <w:rPr>
          <w:rFonts w:ascii="Cambria" w:hAnsi="Cambria" w:cs="Tahoma"/>
          <w:sz w:val="20"/>
          <w:szCs w:val="20"/>
          <w:shd w:val="clear" w:color="auto" w:fill="FFFFFF"/>
          <w:lang w:val="en-US"/>
        </w:rPr>
        <w:t>iscourse</w:t>
      </w:r>
      <w:r w:rsidRPr="00711C22">
        <w:rPr>
          <w:rFonts w:ascii="Cambria" w:hAnsi="Cambria" w:cs="Tahoma"/>
          <w:sz w:val="20"/>
          <w:szCs w:val="20"/>
          <w:shd w:val="clear" w:color="auto" w:fill="FFFFFF"/>
          <w:lang w:val="en-US"/>
        </w:rPr>
        <w:t xml:space="preserve"> through the expression and dissemination of their thoughts. Public officials should strongly condemn attacks on journalists and </w:t>
      </w:r>
      <w:r w:rsidR="000E497E" w:rsidRPr="00821CB5">
        <w:rPr>
          <w:rFonts w:ascii="Cambria" w:hAnsi="Cambria" w:cs="Tahoma"/>
          <w:sz w:val="20"/>
          <w:szCs w:val="20"/>
          <w:shd w:val="clear" w:color="auto" w:fill="FFFFFF"/>
          <w:lang w:val="en-US"/>
        </w:rPr>
        <w:t>consistently</w:t>
      </w:r>
      <w:r w:rsidR="000E497E">
        <w:rPr>
          <w:rFonts w:ascii="Cambria" w:hAnsi="Cambria" w:cs="Tahoma"/>
          <w:sz w:val="20"/>
          <w:szCs w:val="20"/>
          <w:shd w:val="clear" w:color="auto" w:fill="FFFFFF"/>
          <w:lang w:val="en-US"/>
        </w:rPr>
        <w:t>,</w:t>
      </w:r>
      <w:r w:rsidR="00821CB5" w:rsidRPr="00821CB5">
        <w:rPr>
          <w:rFonts w:ascii="Cambria" w:hAnsi="Cambria" w:cs="Tahoma" w:hint="eastAsia"/>
          <w:sz w:val="20"/>
          <w:szCs w:val="20"/>
          <w:shd w:val="clear" w:color="auto" w:fill="FFFFFF"/>
          <w:lang w:val="en-US"/>
        </w:rPr>
        <w:t xml:space="preserve"> </w:t>
      </w:r>
      <w:r w:rsidR="000E497E">
        <w:rPr>
          <w:rFonts w:ascii="Cambria" w:hAnsi="Cambria" w:cs="Tahoma"/>
          <w:sz w:val="20"/>
          <w:szCs w:val="20"/>
          <w:shd w:val="clear" w:color="auto" w:fill="FFFFFF"/>
          <w:lang w:val="en-US"/>
        </w:rPr>
        <w:t>clearly,</w:t>
      </w:r>
      <w:r w:rsidR="00821CB5" w:rsidRPr="00821CB5">
        <w:rPr>
          <w:rFonts w:ascii="Cambria" w:hAnsi="Cambria" w:cs="Tahoma" w:hint="eastAsia"/>
          <w:sz w:val="20"/>
          <w:szCs w:val="20"/>
          <w:shd w:val="clear" w:color="auto" w:fill="FFFFFF"/>
          <w:lang w:val="en-US"/>
        </w:rPr>
        <w:t xml:space="preserve"> </w:t>
      </w:r>
      <w:r w:rsidR="000E497E">
        <w:rPr>
          <w:rFonts w:ascii="Cambria" w:hAnsi="Cambria" w:cs="Tahoma"/>
          <w:sz w:val="20"/>
          <w:szCs w:val="20"/>
          <w:shd w:val="clear" w:color="auto" w:fill="FFFFFF"/>
          <w:lang w:val="en-US"/>
        </w:rPr>
        <w:t>publicly,</w:t>
      </w:r>
      <w:r w:rsidR="00821CB5" w:rsidRPr="00821CB5">
        <w:rPr>
          <w:rFonts w:ascii="Cambria" w:hAnsi="Cambria" w:cs="Tahoma" w:hint="eastAsia"/>
          <w:sz w:val="20"/>
          <w:szCs w:val="20"/>
          <w:shd w:val="clear" w:color="auto" w:fill="FFFFFF"/>
          <w:lang w:val="en-US"/>
        </w:rPr>
        <w:t xml:space="preserve"> and firml</w:t>
      </w:r>
      <w:r w:rsidR="000E497E">
        <w:rPr>
          <w:rFonts w:ascii="Cambria" w:hAnsi="Cambria" w:cs="Tahoma"/>
          <w:sz w:val="20"/>
          <w:szCs w:val="20"/>
          <w:shd w:val="clear" w:color="auto" w:fill="FFFFFF"/>
          <w:lang w:val="en-US"/>
        </w:rPr>
        <w:t>y</w:t>
      </w:r>
      <w:r w:rsidR="00821CB5" w:rsidRPr="00821CB5">
        <w:rPr>
          <w:rFonts w:ascii="Cambria" w:hAnsi="Cambria" w:cs="Tahoma" w:hint="eastAsia"/>
          <w:sz w:val="20"/>
          <w:szCs w:val="20"/>
          <w:shd w:val="clear" w:color="auto" w:fill="FFFFFF"/>
          <w:lang w:val="en-US"/>
        </w:rPr>
        <w:t xml:space="preserve"> recognize the legitimac</w:t>
      </w:r>
      <w:r w:rsidR="000E497E">
        <w:rPr>
          <w:rFonts w:ascii="Cambria" w:hAnsi="Cambria" w:cs="Tahoma"/>
          <w:sz w:val="20"/>
          <w:szCs w:val="20"/>
          <w:shd w:val="clear" w:color="auto" w:fill="FFFFFF"/>
          <w:lang w:val="en-US"/>
        </w:rPr>
        <w:t>y</w:t>
      </w:r>
      <w:r w:rsidR="00821CB5" w:rsidRPr="00821CB5">
        <w:rPr>
          <w:rFonts w:ascii="Cambria" w:hAnsi="Cambria" w:cs="Tahoma" w:hint="eastAsia"/>
          <w:sz w:val="20"/>
          <w:szCs w:val="20"/>
          <w:shd w:val="clear" w:color="auto" w:fill="FFFFFF"/>
          <w:lang w:val="en-US"/>
        </w:rPr>
        <w:t xml:space="preserve"> and </w:t>
      </w:r>
      <w:r w:rsidR="000E497E">
        <w:rPr>
          <w:rFonts w:ascii="Cambria" w:hAnsi="Cambria" w:cs="Tahoma"/>
          <w:sz w:val="20"/>
          <w:szCs w:val="20"/>
          <w:shd w:val="clear" w:color="auto" w:fill="FFFFFF"/>
          <w:lang w:val="en-US"/>
        </w:rPr>
        <w:t>v</w:t>
      </w:r>
      <w:r w:rsidR="00821CB5" w:rsidRPr="00821CB5">
        <w:rPr>
          <w:rFonts w:ascii="Cambria" w:hAnsi="Cambria" w:cs="Tahoma" w:hint="eastAsia"/>
          <w:sz w:val="20"/>
          <w:szCs w:val="20"/>
          <w:shd w:val="clear" w:color="auto" w:fill="FFFFFF"/>
          <w:lang w:val="en-US"/>
        </w:rPr>
        <w:t xml:space="preserve">alue of the </w:t>
      </w:r>
      <w:r w:rsidR="000E497E">
        <w:rPr>
          <w:rFonts w:ascii="Cambria" w:hAnsi="Cambria" w:cs="Tahoma"/>
          <w:sz w:val="20"/>
          <w:szCs w:val="20"/>
          <w:shd w:val="clear" w:color="auto" w:fill="FFFFFF"/>
          <w:lang w:val="en-US"/>
        </w:rPr>
        <w:t>work that journalists</w:t>
      </w:r>
      <w:r w:rsidR="00821CB5" w:rsidRPr="00821CB5">
        <w:rPr>
          <w:rFonts w:ascii="Cambria" w:hAnsi="Cambria" w:cs="Tahoma" w:hint="eastAsia"/>
          <w:sz w:val="20"/>
          <w:szCs w:val="20"/>
          <w:shd w:val="clear" w:color="auto" w:fill="FFFFFF"/>
          <w:lang w:val="en-US"/>
        </w:rPr>
        <w:t xml:space="preserve"> do</w:t>
      </w:r>
      <w:r w:rsidR="000E497E">
        <w:rPr>
          <w:rFonts w:ascii="Cambria" w:hAnsi="Cambria" w:cs="Tahoma"/>
          <w:sz w:val="20"/>
          <w:szCs w:val="20"/>
          <w:shd w:val="clear" w:color="auto" w:fill="FFFFFF"/>
          <w:lang w:val="en-US"/>
        </w:rPr>
        <w:t>, even when</w:t>
      </w:r>
      <w:r w:rsidR="00821CB5" w:rsidRPr="00821CB5">
        <w:rPr>
          <w:rFonts w:ascii="Cambria" w:hAnsi="Cambria" w:cs="Tahoma" w:hint="eastAsia"/>
          <w:sz w:val="20"/>
          <w:szCs w:val="20"/>
          <w:shd w:val="clear" w:color="auto" w:fill="FFFFFF"/>
          <w:lang w:val="en-US"/>
        </w:rPr>
        <w:t xml:space="preserve"> the information the</w:t>
      </w:r>
      <w:r w:rsidR="000E497E">
        <w:rPr>
          <w:rFonts w:ascii="Cambria" w:hAnsi="Cambria" w:cs="Tahoma"/>
          <w:sz w:val="20"/>
          <w:szCs w:val="20"/>
          <w:shd w:val="clear" w:color="auto" w:fill="FFFFFF"/>
          <w:lang w:val="en-US"/>
        </w:rPr>
        <w:t xml:space="preserve">y </w:t>
      </w:r>
      <w:r w:rsidR="00821CB5" w:rsidRPr="00821CB5">
        <w:rPr>
          <w:rFonts w:ascii="Cambria" w:hAnsi="Cambria" w:cs="Tahoma" w:hint="eastAsia"/>
          <w:sz w:val="20"/>
          <w:szCs w:val="20"/>
          <w:shd w:val="clear" w:color="auto" w:fill="FFFFFF"/>
          <w:lang w:val="en-US"/>
        </w:rPr>
        <w:t>disseminate is critical of the government or inconvenient to its interests</w:t>
      </w:r>
      <w:r>
        <w:rPr>
          <w:rFonts w:ascii="Cambria" w:hAnsi="Cambria" w:cs="Tahoma"/>
          <w:sz w:val="20"/>
          <w:szCs w:val="20"/>
          <w:shd w:val="clear" w:color="auto" w:fill="FFFFFF"/>
          <w:lang w:val="en-US"/>
        </w:rPr>
        <w:t>.</w:t>
      </w:r>
      <w:r w:rsidRPr="00711C22">
        <w:rPr>
          <w:rStyle w:val="FootnoteReference"/>
          <w:rFonts w:ascii="Cambria" w:hAnsi="Cambria" w:cs="Tahoma"/>
          <w:sz w:val="20"/>
          <w:szCs w:val="20"/>
          <w:shd w:val="clear" w:color="auto" w:fill="FFFFFF"/>
          <w:lang w:val="en-US"/>
        </w:rPr>
        <w:footnoteReference w:id="276"/>
      </w:r>
    </w:p>
    <w:p w14:paraId="452D7E30"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7D4ECFD9" w14:textId="54DF9BED" w:rsidR="00713B50" w:rsidRPr="007B681D" w:rsidRDefault="00713B50" w:rsidP="007B681D">
      <w:pPr>
        <w:pStyle w:val="Heading3"/>
      </w:pPr>
      <w:bookmarkStart w:id="37" w:name="_Toc69391734"/>
      <w:bookmarkStart w:id="38" w:name="_Toc90392487"/>
      <w:r w:rsidRPr="007B681D">
        <w:t>An</w:t>
      </w:r>
      <w:bookmarkEnd w:id="37"/>
      <w:r w:rsidR="00EE290D" w:rsidRPr="007B681D">
        <w:t>alysis of the case</w:t>
      </w:r>
      <w:bookmarkEnd w:id="38"/>
    </w:p>
    <w:p w14:paraId="5388C4EC"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n-US"/>
        </w:rPr>
      </w:pPr>
    </w:p>
    <w:p w14:paraId="40F76CC6" w14:textId="6D012319" w:rsidR="00713B50" w:rsidRPr="00B24750" w:rsidRDefault="00BB4F1C"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rPr>
      </w:pPr>
      <w:r w:rsidRPr="00711C22">
        <w:rPr>
          <w:sz w:val="20"/>
          <w:szCs w:val="20"/>
        </w:rPr>
        <w:t xml:space="preserve">The Inter-American Commission has repeatedly maintained that Cuba is the only country in the </w:t>
      </w:r>
      <w:r>
        <w:rPr>
          <w:sz w:val="20"/>
          <w:szCs w:val="20"/>
        </w:rPr>
        <w:t>H</w:t>
      </w:r>
      <w:r w:rsidRPr="00711C22">
        <w:rPr>
          <w:sz w:val="20"/>
          <w:szCs w:val="20"/>
        </w:rPr>
        <w:t xml:space="preserve">emisphere where the right to freedom of expression is subject to the </w:t>
      </w:r>
      <w:r>
        <w:rPr>
          <w:sz w:val="20"/>
          <w:szCs w:val="20"/>
        </w:rPr>
        <w:t>objectives</w:t>
      </w:r>
      <w:r w:rsidRPr="00711C22">
        <w:rPr>
          <w:sz w:val="20"/>
          <w:szCs w:val="20"/>
        </w:rPr>
        <w:t xml:space="preserve"> of the socialist State, and there is no l</w:t>
      </w:r>
      <w:r>
        <w:rPr>
          <w:sz w:val="20"/>
          <w:szCs w:val="20"/>
        </w:rPr>
        <w:t xml:space="preserve">aw </w:t>
      </w:r>
      <w:r w:rsidRPr="00711C22">
        <w:rPr>
          <w:sz w:val="20"/>
          <w:szCs w:val="20"/>
        </w:rPr>
        <w:t xml:space="preserve">or practice that protects the right and guarantees its free and full exercise. </w:t>
      </w:r>
      <w:r w:rsidR="006E4220" w:rsidRPr="006E4220">
        <w:rPr>
          <w:sz w:val="20"/>
          <w:szCs w:val="20"/>
        </w:rPr>
        <w:t>This assertion is borne out by the context described in the respective section</w:t>
      </w:r>
      <w:r w:rsidR="006E4220">
        <w:rPr>
          <w:sz w:val="20"/>
          <w:szCs w:val="20"/>
        </w:rPr>
        <w:t xml:space="preserve"> of this report</w:t>
      </w:r>
      <w:r w:rsidR="006E4220" w:rsidRPr="006E4220">
        <w:rPr>
          <w:sz w:val="20"/>
          <w:szCs w:val="20"/>
        </w:rPr>
        <w:t xml:space="preserve">: there continue to be reports from Cuba of the persecution of independent journalists, threats, summonses, interrogations for purposes of intimidation, illegal and arbitrary detentions, impediments to leaving the country, blocks and restrictions on </w:t>
      </w:r>
      <w:r w:rsidR="00522708">
        <w:rPr>
          <w:sz w:val="20"/>
          <w:szCs w:val="20"/>
        </w:rPr>
        <w:t>i</w:t>
      </w:r>
      <w:r w:rsidR="006E4220" w:rsidRPr="006E4220">
        <w:rPr>
          <w:sz w:val="20"/>
          <w:szCs w:val="20"/>
        </w:rPr>
        <w:t>nternet access, harassment, smear campaigns, prior censorship, acts of intimidation against journalists, and indirect violations of freedom of expression, among other</w:t>
      </w:r>
      <w:r w:rsidR="006E4220">
        <w:rPr>
          <w:sz w:val="20"/>
          <w:szCs w:val="20"/>
        </w:rPr>
        <w:t>s</w:t>
      </w:r>
      <w:r w:rsidRPr="00BB4F1C">
        <w:rPr>
          <w:sz w:val="20"/>
          <w:szCs w:val="20"/>
        </w:rPr>
        <w:t>.</w:t>
      </w:r>
    </w:p>
    <w:p w14:paraId="6F14B601" w14:textId="77777777" w:rsidR="00713B50" w:rsidRPr="00B24750" w:rsidRDefault="00713B50" w:rsidP="00F6645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Theme="majorHAnsi" w:hAnsiTheme="majorHAnsi"/>
        </w:rPr>
      </w:pPr>
    </w:p>
    <w:p w14:paraId="0897288C" w14:textId="31099929" w:rsidR="00713B50" w:rsidRPr="00B24750" w:rsidRDefault="00FC4F88"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color w:val="auto"/>
        </w:rPr>
      </w:pPr>
      <w:r w:rsidRPr="00FC4F88">
        <w:rPr>
          <w:rFonts w:asciiTheme="majorHAnsi" w:hAnsiTheme="majorHAnsi"/>
          <w:color w:val="auto"/>
          <w:sz w:val="20"/>
          <w:szCs w:val="20"/>
        </w:rPr>
        <w:t>Cuba also has a legal system that is highly restrictive of freedom of expressio</w:t>
      </w:r>
      <w:r w:rsidR="00713B50" w:rsidRPr="00B24750">
        <w:rPr>
          <w:rFonts w:asciiTheme="majorHAnsi" w:hAnsiTheme="majorHAnsi"/>
          <w:color w:val="auto"/>
          <w:sz w:val="20"/>
          <w:szCs w:val="20"/>
        </w:rPr>
        <w:t xml:space="preserve">n. </w:t>
      </w:r>
      <w:r w:rsidRPr="00FC4F88">
        <w:rPr>
          <w:rFonts w:asciiTheme="majorHAnsi" w:hAnsiTheme="majorHAnsi"/>
          <w:color w:val="auto"/>
          <w:sz w:val="20"/>
          <w:szCs w:val="20"/>
        </w:rPr>
        <w:t xml:space="preserve">Article 53 of the Cuban Constitution, in force at the time of the facts alleged, made the exercise of freedom of the press conditional on the aims of the socialist State, even stating that the </w:t>
      </w:r>
      <w:r>
        <w:rPr>
          <w:rFonts w:asciiTheme="majorHAnsi" w:hAnsiTheme="majorHAnsi"/>
          <w:color w:val="auto"/>
          <w:sz w:val="20"/>
          <w:szCs w:val="20"/>
        </w:rPr>
        <w:t>violation</w:t>
      </w:r>
      <w:r w:rsidRPr="00FC4F88">
        <w:rPr>
          <w:rFonts w:asciiTheme="majorHAnsi" w:hAnsiTheme="majorHAnsi"/>
          <w:color w:val="auto"/>
          <w:sz w:val="20"/>
          <w:szCs w:val="20"/>
        </w:rPr>
        <w:t xml:space="preserve"> of this condition was punishable by law</w:t>
      </w:r>
      <w:r w:rsidR="00713B50" w:rsidRPr="00B24750">
        <w:rPr>
          <w:rFonts w:asciiTheme="majorHAnsi" w:hAnsiTheme="majorHAnsi"/>
          <w:color w:val="auto"/>
          <w:sz w:val="20"/>
          <w:szCs w:val="20"/>
        </w:rPr>
        <w:t xml:space="preserve">. </w:t>
      </w:r>
      <w:r w:rsidRPr="00FC4F88">
        <w:rPr>
          <w:rFonts w:asciiTheme="majorHAnsi" w:hAnsiTheme="majorHAnsi"/>
          <w:color w:val="auto"/>
          <w:sz w:val="20"/>
          <w:szCs w:val="20"/>
        </w:rPr>
        <w:t>This is at odds with international standards, according to which the recognition of freedom of expression cannot be subject to any condition, much less when such condition limits the possibility of an open, plural, and democratic debate on political issues or issues of public interest</w:t>
      </w:r>
      <w:r w:rsidR="00713B50" w:rsidRPr="00B24750">
        <w:rPr>
          <w:rFonts w:asciiTheme="majorHAnsi" w:hAnsiTheme="majorHAnsi"/>
          <w:color w:val="auto"/>
          <w:sz w:val="20"/>
          <w:szCs w:val="20"/>
        </w:rPr>
        <w:t xml:space="preserve">. </w:t>
      </w:r>
      <w:r w:rsidR="00CF43F6">
        <w:rPr>
          <w:rFonts w:asciiTheme="majorHAnsi" w:hAnsiTheme="majorHAnsi"/>
          <w:color w:val="auto"/>
          <w:sz w:val="20"/>
          <w:szCs w:val="20"/>
        </w:rPr>
        <w:t xml:space="preserve">The </w:t>
      </w:r>
      <w:r w:rsidRPr="00FC4F88">
        <w:rPr>
          <w:rFonts w:asciiTheme="majorHAnsi" w:hAnsiTheme="majorHAnsi"/>
          <w:color w:val="auto"/>
          <w:sz w:val="20"/>
          <w:szCs w:val="20"/>
        </w:rPr>
        <w:t>exercise of fundamental freedoms, such as freedom of expression, cannot be subject to the political ideas of a party or to the absolute control of government power</w:t>
      </w:r>
      <w:r w:rsidR="00713B50" w:rsidRPr="00B24750">
        <w:rPr>
          <w:rFonts w:asciiTheme="majorHAnsi" w:hAnsiTheme="majorHAnsi"/>
          <w:color w:val="auto"/>
          <w:sz w:val="20"/>
          <w:szCs w:val="20"/>
        </w:rPr>
        <w:t xml:space="preserve">. </w:t>
      </w:r>
      <w:r w:rsidRPr="00FC4F88">
        <w:rPr>
          <w:rFonts w:asciiTheme="majorHAnsi" w:hAnsiTheme="majorHAnsi"/>
          <w:color w:val="auto"/>
          <w:sz w:val="20"/>
          <w:szCs w:val="20"/>
        </w:rPr>
        <w:lastRenderedPageBreak/>
        <w:t>By establishing that these freedoms must be consistent with the aims of socialist society, the Cuban State is empowered to control the information that reaches its people</w:t>
      </w:r>
      <w:r w:rsidR="00713B50" w:rsidRPr="00B24750">
        <w:rPr>
          <w:rFonts w:asciiTheme="majorHAnsi" w:hAnsiTheme="majorHAnsi"/>
          <w:color w:val="auto"/>
          <w:sz w:val="20"/>
          <w:szCs w:val="20"/>
        </w:rPr>
        <w:t xml:space="preserve">. </w:t>
      </w:r>
    </w:p>
    <w:p w14:paraId="29FB30CB" w14:textId="77777777" w:rsidR="00713B50" w:rsidRPr="00B24750" w:rsidRDefault="00713B50" w:rsidP="00F66452">
      <w:pPr>
        <w:pStyle w:val="ListParagraph"/>
        <w:ind w:left="0"/>
        <w:rPr>
          <w:rFonts w:asciiTheme="majorHAnsi" w:hAnsiTheme="majorHAnsi"/>
        </w:rPr>
      </w:pPr>
    </w:p>
    <w:p w14:paraId="248B9C7C" w14:textId="6A317742" w:rsidR="00713B50" w:rsidRPr="00B24750" w:rsidRDefault="00896E69"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rPr>
      </w:pPr>
      <w:r w:rsidRPr="00896E69">
        <w:rPr>
          <w:rFonts w:asciiTheme="majorHAnsi" w:hAnsiTheme="majorHAnsi"/>
          <w:sz w:val="20"/>
          <w:szCs w:val="20"/>
        </w:rPr>
        <w:t>The constitutional reform has retained the previous Constitution</w:t>
      </w:r>
      <w:r>
        <w:rPr>
          <w:rFonts w:asciiTheme="majorHAnsi" w:hAnsiTheme="majorHAnsi"/>
          <w:sz w:val="20"/>
          <w:szCs w:val="20"/>
        </w:rPr>
        <w:t>’</w:t>
      </w:r>
      <w:r w:rsidRPr="00896E69">
        <w:rPr>
          <w:rFonts w:asciiTheme="majorHAnsi" w:hAnsiTheme="majorHAnsi"/>
          <w:sz w:val="20"/>
          <w:szCs w:val="20"/>
        </w:rPr>
        <w:t>s main restrictions on freedom of expression, which render the exercise of this right illusory and make it a merely rhetorical recognition</w:t>
      </w:r>
      <w:r w:rsidR="00713B50" w:rsidRPr="00B24750">
        <w:rPr>
          <w:rFonts w:asciiTheme="majorHAnsi" w:hAnsiTheme="majorHAnsi"/>
          <w:sz w:val="20"/>
          <w:szCs w:val="20"/>
        </w:rPr>
        <w:t xml:space="preserve">. </w:t>
      </w:r>
      <w:r w:rsidRPr="00896E69">
        <w:rPr>
          <w:rFonts w:asciiTheme="majorHAnsi" w:hAnsiTheme="majorHAnsi"/>
          <w:sz w:val="20"/>
          <w:szCs w:val="20"/>
        </w:rPr>
        <w:t xml:space="preserve">Although the new Constitution no longer expressly states that freedom of the press is subject to the </w:t>
      </w:r>
      <w:r>
        <w:rPr>
          <w:rFonts w:asciiTheme="majorHAnsi" w:hAnsiTheme="majorHAnsi"/>
          <w:sz w:val="20"/>
          <w:szCs w:val="20"/>
        </w:rPr>
        <w:t>“</w:t>
      </w:r>
      <w:r w:rsidRPr="00896E69">
        <w:rPr>
          <w:rFonts w:asciiTheme="majorHAnsi" w:hAnsiTheme="majorHAnsi"/>
          <w:sz w:val="20"/>
          <w:szCs w:val="20"/>
        </w:rPr>
        <w:t>objectives of socialist society,</w:t>
      </w:r>
      <w:r>
        <w:rPr>
          <w:rFonts w:asciiTheme="majorHAnsi" w:hAnsiTheme="majorHAnsi"/>
          <w:sz w:val="20"/>
          <w:szCs w:val="20"/>
        </w:rPr>
        <w:t>”</w:t>
      </w:r>
      <w:r w:rsidRPr="00896E69">
        <w:rPr>
          <w:rFonts w:asciiTheme="majorHAnsi" w:hAnsiTheme="majorHAnsi"/>
          <w:sz w:val="20"/>
          <w:szCs w:val="20"/>
        </w:rPr>
        <w:t xml:space="preserve"> it still prohibits private (as opposed to state-owned) media and establishes that the mass media </w:t>
      </w:r>
      <w:r>
        <w:rPr>
          <w:rFonts w:asciiTheme="majorHAnsi" w:hAnsiTheme="majorHAnsi"/>
          <w:sz w:val="20"/>
          <w:szCs w:val="20"/>
        </w:rPr>
        <w:t>“</w:t>
      </w:r>
      <w:r w:rsidRPr="00896E69">
        <w:rPr>
          <w:rFonts w:asciiTheme="majorHAnsi" w:hAnsiTheme="majorHAnsi"/>
          <w:sz w:val="20"/>
          <w:szCs w:val="20"/>
        </w:rPr>
        <w:t>are the socialist property of all the people.</w:t>
      </w:r>
      <w:r>
        <w:rPr>
          <w:rFonts w:asciiTheme="majorHAnsi" w:hAnsiTheme="majorHAnsi"/>
          <w:sz w:val="20"/>
          <w:szCs w:val="20"/>
        </w:rPr>
        <w:t>”</w:t>
      </w:r>
      <w:r w:rsidR="00713B50" w:rsidRPr="00B24750">
        <w:rPr>
          <w:rFonts w:asciiTheme="majorHAnsi" w:hAnsiTheme="majorHAnsi"/>
          <w:sz w:val="20"/>
          <w:szCs w:val="20"/>
        </w:rPr>
        <w:t xml:space="preserve"> </w:t>
      </w:r>
      <w:r w:rsidR="00B86974">
        <w:rPr>
          <w:rFonts w:asciiTheme="majorHAnsi" w:hAnsiTheme="majorHAnsi"/>
          <w:sz w:val="20"/>
          <w:szCs w:val="20"/>
        </w:rPr>
        <w:t>Coupled with this is</w:t>
      </w:r>
      <w:r w:rsidRPr="00896E69">
        <w:rPr>
          <w:rFonts w:asciiTheme="majorHAnsi" w:hAnsiTheme="majorHAnsi"/>
          <w:sz w:val="20"/>
          <w:szCs w:val="20"/>
        </w:rPr>
        <w:t xml:space="preserve"> the fact that the Communist Party continues to be the only party and the highest leading force in the country. The absolute monopoly of the State over the media in any of its forms does not allow for the creation of an environment conducive to the free and full exercise of the right to freedom of expression</w:t>
      </w:r>
      <w:r w:rsidR="00713B50" w:rsidRPr="00B24750">
        <w:rPr>
          <w:rFonts w:asciiTheme="majorHAnsi" w:hAnsiTheme="majorHAnsi" w:cs="Arial"/>
          <w:color w:val="auto"/>
          <w:sz w:val="20"/>
          <w:szCs w:val="20"/>
        </w:rPr>
        <w:t xml:space="preserve">. </w:t>
      </w:r>
    </w:p>
    <w:p w14:paraId="1AFF187E" w14:textId="77777777" w:rsidR="00713B50" w:rsidRPr="00B24750" w:rsidRDefault="00713B50" w:rsidP="00713B50">
      <w:pPr>
        <w:pStyle w:val="ListParagraph"/>
        <w:rPr>
          <w:rFonts w:asciiTheme="majorHAnsi" w:hAnsiTheme="majorHAnsi"/>
        </w:rPr>
      </w:pPr>
    </w:p>
    <w:p w14:paraId="475B4C46" w14:textId="584577B6" w:rsidR="00713B50" w:rsidRPr="00B24750" w:rsidRDefault="00E30363"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rPr>
      </w:pPr>
      <w:r w:rsidRPr="00711C22">
        <w:rPr>
          <w:sz w:val="20"/>
          <w:szCs w:val="20"/>
        </w:rPr>
        <w:t xml:space="preserve">The IACHR </w:t>
      </w:r>
      <w:r>
        <w:rPr>
          <w:sz w:val="20"/>
          <w:szCs w:val="20"/>
        </w:rPr>
        <w:t>emphasizes</w:t>
      </w:r>
      <w:r w:rsidRPr="00711C22">
        <w:rPr>
          <w:sz w:val="20"/>
          <w:szCs w:val="20"/>
        </w:rPr>
        <w:t xml:space="preserve"> that, </w:t>
      </w:r>
      <w:r>
        <w:rPr>
          <w:sz w:val="20"/>
          <w:szCs w:val="20"/>
        </w:rPr>
        <w:t>under</w:t>
      </w:r>
      <w:r w:rsidRPr="00711C22">
        <w:rPr>
          <w:sz w:val="20"/>
          <w:szCs w:val="20"/>
        </w:rPr>
        <w:t xml:space="preserve"> the aforementioned </w:t>
      </w:r>
      <w:r>
        <w:rPr>
          <w:sz w:val="20"/>
          <w:szCs w:val="20"/>
        </w:rPr>
        <w:t>laws</w:t>
      </w:r>
      <w:r w:rsidRPr="00711C22">
        <w:rPr>
          <w:sz w:val="20"/>
          <w:szCs w:val="20"/>
        </w:rPr>
        <w:t xml:space="preserve">, </w:t>
      </w:r>
      <w:r>
        <w:rPr>
          <w:sz w:val="20"/>
          <w:szCs w:val="20"/>
        </w:rPr>
        <w:t>attempting to</w:t>
      </w:r>
      <w:r w:rsidRPr="00E30363">
        <w:rPr>
          <w:sz w:val="20"/>
          <w:szCs w:val="20"/>
        </w:rPr>
        <w:t xml:space="preserve"> condition speech on the political ideas of Cuba</w:t>
      </w:r>
      <w:r>
        <w:rPr>
          <w:sz w:val="20"/>
          <w:szCs w:val="20"/>
        </w:rPr>
        <w:t>’</w:t>
      </w:r>
      <w:r w:rsidRPr="00E30363">
        <w:rPr>
          <w:sz w:val="20"/>
          <w:szCs w:val="20"/>
        </w:rPr>
        <w:t xml:space="preserve">s sole party does not seek to protect a legitimate </w:t>
      </w:r>
      <w:r>
        <w:rPr>
          <w:sz w:val="20"/>
          <w:szCs w:val="20"/>
        </w:rPr>
        <w:t>aim</w:t>
      </w:r>
      <w:r w:rsidRPr="00E30363">
        <w:rPr>
          <w:sz w:val="20"/>
          <w:szCs w:val="20"/>
        </w:rPr>
        <w:t xml:space="preserve"> </w:t>
      </w:r>
      <w:r>
        <w:rPr>
          <w:sz w:val="20"/>
          <w:szCs w:val="20"/>
        </w:rPr>
        <w:t>consistent with</w:t>
      </w:r>
      <w:r w:rsidRPr="00E30363">
        <w:rPr>
          <w:sz w:val="20"/>
          <w:szCs w:val="20"/>
        </w:rPr>
        <w:t xml:space="preserve"> democratic order, understood as the existence of structural conditions for all persons, without discrimination, to exercise their rights freely and without fear of punishment</w:t>
      </w:r>
      <w:r>
        <w:rPr>
          <w:sz w:val="20"/>
          <w:szCs w:val="20"/>
        </w:rPr>
        <w:t>;</w:t>
      </w:r>
      <w:r w:rsidRPr="00E30363">
        <w:rPr>
          <w:sz w:val="20"/>
          <w:szCs w:val="20"/>
        </w:rPr>
        <w:t xml:space="preserve"> rather</w:t>
      </w:r>
      <w:r>
        <w:rPr>
          <w:sz w:val="20"/>
          <w:szCs w:val="20"/>
        </w:rPr>
        <w:t>, it seeks</w:t>
      </w:r>
      <w:r w:rsidRPr="00E30363">
        <w:rPr>
          <w:sz w:val="20"/>
          <w:szCs w:val="20"/>
        </w:rPr>
        <w:t xml:space="preserve"> to protect an authoritarian </w:t>
      </w:r>
      <w:r>
        <w:rPr>
          <w:sz w:val="20"/>
          <w:szCs w:val="20"/>
        </w:rPr>
        <w:t>“</w:t>
      </w:r>
      <w:r w:rsidRPr="00E30363">
        <w:rPr>
          <w:sz w:val="20"/>
          <w:szCs w:val="20"/>
        </w:rPr>
        <w:t>order</w:t>
      </w:r>
      <w:r>
        <w:rPr>
          <w:sz w:val="20"/>
          <w:szCs w:val="20"/>
        </w:rPr>
        <w:t>.”</w:t>
      </w:r>
    </w:p>
    <w:p w14:paraId="148A039B" w14:textId="77777777" w:rsidR="00713B50" w:rsidRPr="00B24750" w:rsidRDefault="00713B50" w:rsidP="00F66452">
      <w:pPr>
        <w:pStyle w:val="ListParagraph"/>
        <w:ind w:left="0"/>
        <w:rPr>
          <w:rFonts w:asciiTheme="majorHAnsi" w:hAnsiTheme="majorHAnsi"/>
        </w:rPr>
      </w:pPr>
    </w:p>
    <w:p w14:paraId="0DB9138C" w14:textId="59C615A7" w:rsidR="00713B50" w:rsidRPr="00B24750" w:rsidRDefault="00251E3A"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sidRPr="00251E3A">
        <w:rPr>
          <w:rFonts w:asciiTheme="majorHAnsi" w:hAnsiTheme="majorHAnsi"/>
          <w:sz w:val="20"/>
          <w:szCs w:val="20"/>
        </w:rPr>
        <w:t>The IACHR considers that both the 1976 and 2019 constitutional formulas set arbitrary limits on the right to freedom of expression and were contrary to the American Declaration</w:t>
      </w:r>
      <w:r w:rsidR="00713B50" w:rsidRPr="00B24750">
        <w:rPr>
          <w:rFonts w:asciiTheme="majorHAnsi" w:hAnsiTheme="majorHAnsi"/>
          <w:sz w:val="20"/>
          <w:szCs w:val="20"/>
        </w:rPr>
        <w:t>.</w:t>
      </w:r>
    </w:p>
    <w:p w14:paraId="102FAB38" w14:textId="77777777" w:rsidR="00713B50" w:rsidRPr="00B24750" w:rsidRDefault="00713B50" w:rsidP="00F66452">
      <w:pPr>
        <w:pStyle w:val="ListParagraph"/>
        <w:ind w:left="0"/>
        <w:rPr>
          <w:rFonts w:asciiTheme="majorHAnsi" w:hAnsiTheme="majorHAnsi"/>
          <w:sz w:val="20"/>
          <w:szCs w:val="20"/>
        </w:rPr>
      </w:pPr>
    </w:p>
    <w:p w14:paraId="0FC83027" w14:textId="761ACB0C" w:rsidR="00713B50" w:rsidRPr="00B24750" w:rsidRDefault="00251E3A"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sidRPr="00251E3A">
        <w:rPr>
          <w:rFonts w:asciiTheme="majorHAnsi" w:hAnsiTheme="majorHAnsi"/>
          <w:sz w:val="20"/>
          <w:szCs w:val="20"/>
        </w:rPr>
        <w:t>Arbitrary restrictions on freedom of expression have also been applied to digital spaces</w:t>
      </w:r>
      <w:r w:rsidR="00713B50" w:rsidRPr="00B24750">
        <w:rPr>
          <w:rFonts w:asciiTheme="majorHAnsi" w:hAnsiTheme="majorHAnsi"/>
          <w:sz w:val="20"/>
          <w:szCs w:val="20"/>
        </w:rPr>
        <w:t xml:space="preserve">. </w:t>
      </w:r>
      <w:r w:rsidRPr="00251E3A">
        <w:rPr>
          <w:rFonts w:asciiTheme="majorHAnsi" w:hAnsiTheme="majorHAnsi"/>
          <w:sz w:val="20"/>
          <w:szCs w:val="20"/>
        </w:rPr>
        <w:t>Although communication technologies are still developing slowly and gradually in Cuba, with severe restrictions, digital platforms have gained relevance in a country whose legal media are controlled by a one-party State</w:t>
      </w:r>
      <w:r w:rsidR="00713B50" w:rsidRPr="00B24750">
        <w:rPr>
          <w:rFonts w:asciiTheme="majorHAnsi" w:hAnsiTheme="majorHAnsi"/>
          <w:sz w:val="20"/>
          <w:szCs w:val="20"/>
        </w:rPr>
        <w:t xml:space="preserve">. </w:t>
      </w:r>
      <w:r w:rsidR="00A6480D" w:rsidRPr="00A6480D">
        <w:rPr>
          <w:rFonts w:asciiTheme="majorHAnsi" w:hAnsiTheme="majorHAnsi"/>
          <w:sz w:val="20"/>
          <w:szCs w:val="20"/>
        </w:rPr>
        <w:t xml:space="preserve">In recent years, the use of the internet and the development of digital media has allowed spaces to open up for the circulation of information and ideas outside official </w:t>
      </w:r>
      <w:r w:rsidR="00A6480D">
        <w:rPr>
          <w:rFonts w:asciiTheme="majorHAnsi" w:hAnsiTheme="majorHAnsi"/>
          <w:sz w:val="20"/>
          <w:szCs w:val="20"/>
        </w:rPr>
        <w:t xml:space="preserve">government </w:t>
      </w:r>
      <w:r w:rsidR="00A6480D" w:rsidRPr="00A6480D">
        <w:rPr>
          <w:rFonts w:asciiTheme="majorHAnsi" w:hAnsiTheme="majorHAnsi"/>
          <w:sz w:val="20"/>
          <w:szCs w:val="20"/>
        </w:rPr>
        <w:t>control</w:t>
      </w:r>
      <w:r w:rsidR="00713B50" w:rsidRPr="00B24750">
        <w:rPr>
          <w:rFonts w:asciiTheme="majorHAnsi" w:hAnsiTheme="majorHAnsi"/>
          <w:sz w:val="20"/>
          <w:szCs w:val="20"/>
        </w:rPr>
        <w:t xml:space="preserve">. </w:t>
      </w:r>
      <w:r w:rsidR="00A6480D" w:rsidRPr="00A6480D">
        <w:rPr>
          <w:rFonts w:asciiTheme="majorHAnsi" w:hAnsiTheme="majorHAnsi"/>
          <w:sz w:val="20"/>
          <w:szCs w:val="20"/>
        </w:rPr>
        <w:t>It has been thanks to these technologies that independent media have emerged, as well as blogs and websites dedicated to cultural groups, activism, and social demands</w:t>
      </w:r>
      <w:r w:rsidR="00A6480D">
        <w:rPr>
          <w:rFonts w:asciiTheme="majorHAnsi" w:hAnsiTheme="majorHAnsi"/>
          <w:sz w:val="20"/>
          <w:szCs w:val="20"/>
        </w:rPr>
        <w:t>,</w:t>
      </w:r>
      <w:r w:rsidR="00A6480D" w:rsidRPr="00711C22">
        <w:rPr>
          <w:rStyle w:val="FootnoteReference"/>
          <w:sz w:val="20"/>
          <w:szCs w:val="20"/>
        </w:rPr>
        <w:footnoteReference w:id="277"/>
      </w:r>
      <w:r w:rsidR="00713B50" w:rsidRPr="00B24750">
        <w:rPr>
          <w:rFonts w:asciiTheme="majorHAnsi" w:hAnsiTheme="majorHAnsi"/>
          <w:sz w:val="20"/>
          <w:szCs w:val="20"/>
        </w:rPr>
        <w:t xml:space="preserve"> </w:t>
      </w:r>
      <w:r w:rsidR="00A6480D">
        <w:rPr>
          <w:rFonts w:asciiTheme="majorHAnsi" w:hAnsiTheme="majorHAnsi"/>
          <w:sz w:val="20"/>
          <w:szCs w:val="20"/>
        </w:rPr>
        <w:t xml:space="preserve">including </w:t>
      </w:r>
      <w:proofErr w:type="spellStart"/>
      <w:r w:rsidR="00713B50" w:rsidRPr="00A6480D">
        <w:rPr>
          <w:rFonts w:asciiTheme="majorHAnsi" w:hAnsiTheme="majorHAnsi"/>
          <w:i/>
          <w:iCs/>
          <w:sz w:val="20"/>
          <w:szCs w:val="20"/>
        </w:rPr>
        <w:t>Generación</w:t>
      </w:r>
      <w:proofErr w:type="spellEnd"/>
      <w:r w:rsidR="00713B50" w:rsidRPr="00A6480D">
        <w:rPr>
          <w:rFonts w:asciiTheme="majorHAnsi" w:hAnsiTheme="majorHAnsi"/>
          <w:i/>
          <w:iCs/>
          <w:sz w:val="20"/>
          <w:szCs w:val="20"/>
        </w:rPr>
        <w:t xml:space="preserve"> Y</w:t>
      </w:r>
      <w:r w:rsidR="00A6480D">
        <w:rPr>
          <w:rFonts w:asciiTheme="majorHAnsi" w:hAnsiTheme="majorHAnsi"/>
          <w:i/>
          <w:iCs/>
          <w:sz w:val="20"/>
          <w:szCs w:val="20"/>
        </w:rPr>
        <w:t>,</w:t>
      </w:r>
      <w:r w:rsidR="00713B50" w:rsidRPr="00B24750">
        <w:rPr>
          <w:rFonts w:asciiTheme="majorHAnsi" w:hAnsiTheme="majorHAnsi"/>
          <w:sz w:val="20"/>
          <w:szCs w:val="20"/>
        </w:rPr>
        <w:t xml:space="preserve"> </w:t>
      </w:r>
      <w:r w:rsidR="00A6480D">
        <w:rPr>
          <w:rFonts w:asciiTheme="majorHAnsi" w:hAnsiTheme="majorHAnsi"/>
          <w:sz w:val="20"/>
          <w:szCs w:val="20"/>
        </w:rPr>
        <w:t>the</w:t>
      </w:r>
      <w:r w:rsidR="00A6480D" w:rsidRPr="00B24750">
        <w:rPr>
          <w:rFonts w:asciiTheme="majorHAnsi" w:hAnsiTheme="majorHAnsi"/>
          <w:sz w:val="20"/>
          <w:szCs w:val="20"/>
        </w:rPr>
        <w:t xml:space="preserve"> blog </w:t>
      </w:r>
      <w:r w:rsidR="00A6480D">
        <w:rPr>
          <w:rFonts w:asciiTheme="majorHAnsi" w:hAnsiTheme="majorHAnsi"/>
          <w:sz w:val="20"/>
          <w:szCs w:val="20"/>
        </w:rPr>
        <w:t>authored by</w:t>
      </w:r>
      <w:r w:rsidR="00A6480D" w:rsidRPr="00A6480D">
        <w:rPr>
          <w:rFonts w:asciiTheme="majorHAnsi" w:hAnsiTheme="majorHAnsi"/>
          <w:sz w:val="20"/>
          <w:szCs w:val="20"/>
        </w:rPr>
        <w:t xml:space="preserve"> the victim in this case</w:t>
      </w:r>
      <w:r w:rsidR="00713B50" w:rsidRPr="00B24750">
        <w:rPr>
          <w:rFonts w:asciiTheme="majorHAnsi" w:hAnsiTheme="majorHAnsi"/>
          <w:sz w:val="20"/>
          <w:szCs w:val="20"/>
        </w:rPr>
        <w:t>.</w:t>
      </w:r>
    </w:p>
    <w:p w14:paraId="0DEC1379" w14:textId="77777777" w:rsidR="00713B50" w:rsidRPr="00B24750" w:rsidRDefault="00713B50" w:rsidP="00F66452">
      <w:pPr>
        <w:pStyle w:val="ListParagraph"/>
        <w:ind w:left="0"/>
        <w:jc w:val="both"/>
        <w:rPr>
          <w:rFonts w:asciiTheme="majorHAnsi" w:hAnsiTheme="majorHAnsi"/>
          <w:sz w:val="20"/>
          <w:szCs w:val="20"/>
        </w:rPr>
      </w:pPr>
    </w:p>
    <w:p w14:paraId="34B3D17D" w14:textId="03CB2175" w:rsidR="00713B50" w:rsidRPr="00B24750" w:rsidRDefault="003D5B30" w:rsidP="00F66452">
      <w:pPr>
        <w:pStyle w:val="ListParagraph"/>
        <w:numPr>
          <w:ilvl w:val="0"/>
          <w:numId w:val="55"/>
        </w:numPr>
        <w:ind w:firstLine="0"/>
        <w:jc w:val="both"/>
        <w:rPr>
          <w:rFonts w:asciiTheme="majorHAnsi" w:hAnsiTheme="majorHAnsi"/>
          <w:sz w:val="20"/>
          <w:szCs w:val="20"/>
        </w:rPr>
      </w:pPr>
      <w:r w:rsidRPr="003D5B30">
        <w:rPr>
          <w:rFonts w:asciiTheme="majorHAnsi" w:hAnsiTheme="majorHAnsi"/>
          <w:sz w:val="20"/>
          <w:szCs w:val="20"/>
        </w:rPr>
        <w:t xml:space="preserve">The emergence of the internet as a content distribution platform was viewed with outright suspicion by the Cuban authorities, who considered it a </w:t>
      </w:r>
      <w:r>
        <w:rPr>
          <w:rFonts w:asciiTheme="majorHAnsi" w:hAnsiTheme="majorHAnsi"/>
          <w:sz w:val="20"/>
          <w:szCs w:val="20"/>
        </w:rPr>
        <w:t>“</w:t>
      </w:r>
      <w:r w:rsidRPr="003D5B30">
        <w:rPr>
          <w:rFonts w:asciiTheme="majorHAnsi" w:hAnsiTheme="majorHAnsi"/>
          <w:sz w:val="20"/>
          <w:szCs w:val="20"/>
        </w:rPr>
        <w:t>subversive</w:t>
      </w:r>
      <w:r>
        <w:rPr>
          <w:rFonts w:asciiTheme="majorHAnsi" w:hAnsiTheme="majorHAnsi"/>
          <w:sz w:val="20"/>
          <w:szCs w:val="20"/>
        </w:rPr>
        <w:t>”</w:t>
      </w:r>
      <w:r w:rsidRPr="003D5B30">
        <w:rPr>
          <w:rFonts w:asciiTheme="majorHAnsi" w:hAnsiTheme="majorHAnsi"/>
          <w:sz w:val="20"/>
          <w:szCs w:val="20"/>
        </w:rPr>
        <w:t xml:space="preserve"> medium.</w:t>
      </w:r>
      <w:r w:rsidR="00A06C94">
        <w:rPr>
          <w:rStyle w:val="FootnoteReference"/>
          <w:sz w:val="20"/>
          <w:szCs w:val="20"/>
          <w:lang w:val="es-PE"/>
        </w:rPr>
        <w:footnoteReference w:id="278"/>
      </w:r>
      <w:r w:rsidRPr="003D5B30">
        <w:rPr>
          <w:rFonts w:asciiTheme="majorHAnsi" w:hAnsiTheme="majorHAnsi"/>
          <w:sz w:val="20"/>
          <w:szCs w:val="20"/>
        </w:rPr>
        <w:t xml:space="preserve"> Today, the regime</w:t>
      </w:r>
      <w:r>
        <w:rPr>
          <w:rFonts w:asciiTheme="majorHAnsi" w:hAnsiTheme="majorHAnsi"/>
          <w:sz w:val="20"/>
          <w:szCs w:val="20"/>
        </w:rPr>
        <w:t>’</w:t>
      </w:r>
      <w:r w:rsidRPr="003D5B30">
        <w:rPr>
          <w:rFonts w:asciiTheme="majorHAnsi" w:hAnsiTheme="majorHAnsi"/>
          <w:sz w:val="20"/>
          <w:szCs w:val="20"/>
        </w:rPr>
        <w:t>s top cadres seem to recognize its importance, but this has not led to a change in Cuba</w:t>
      </w:r>
      <w:r w:rsidR="00C42063">
        <w:rPr>
          <w:rFonts w:asciiTheme="majorHAnsi" w:hAnsiTheme="majorHAnsi"/>
          <w:sz w:val="20"/>
          <w:szCs w:val="20"/>
        </w:rPr>
        <w:t>’</w:t>
      </w:r>
      <w:r w:rsidRPr="003D5B30">
        <w:rPr>
          <w:rFonts w:asciiTheme="majorHAnsi" w:hAnsiTheme="majorHAnsi"/>
          <w:sz w:val="20"/>
          <w:szCs w:val="20"/>
        </w:rPr>
        <w:t>s media policies and regulation</w:t>
      </w:r>
      <w:r w:rsidR="00713B50" w:rsidRPr="00B24750">
        <w:rPr>
          <w:rFonts w:asciiTheme="majorHAnsi" w:hAnsiTheme="majorHAnsi"/>
          <w:sz w:val="20"/>
          <w:szCs w:val="20"/>
        </w:rPr>
        <w:t xml:space="preserve">. </w:t>
      </w:r>
      <w:r w:rsidRPr="003D5B30">
        <w:rPr>
          <w:rFonts w:asciiTheme="majorHAnsi" w:hAnsiTheme="majorHAnsi"/>
          <w:sz w:val="20"/>
          <w:szCs w:val="20"/>
        </w:rPr>
        <w:t>Indeed</w:t>
      </w:r>
      <w:r w:rsidR="00C42063">
        <w:rPr>
          <w:rFonts w:asciiTheme="majorHAnsi" w:hAnsiTheme="majorHAnsi"/>
          <w:sz w:val="20"/>
          <w:szCs w:val="20"/>
        </w:rPr>
        <w:t>,</w:t>
      </w:r>
      <w:r w:rsidR="00CF43F6">
        <w:rPr>
          <w:rFonts w:asciiTheme="majorHAnsi" w:hAnsiTheme="majorHAnsi"/>
          <w:sz w:val="20"/>
          <w:szCs w:val="20"/>
        </w:rPr>
        <w:t xml:space="preserve"> </w:t>
      </w:r>
      <w:r w:rsidRPr="003D5B30">
        <w:rPr>
          <w:rFonts w:asciiTheme="majorHAnsi" w:hAnsiTheme="majorHAnsi"/>
          <w:sz w:val="20"/>
          <w:szCs w:val="20"/>
        </w:rPr>
        <w:t xml:space="preserve">the current policy framework </w:t>
      </w:r>
      <w:r w:rsidR="00C42063">
        <w:rPr>
          <w:rFonts w:asciiTheme="majorHAnsi" w:hAnsiTheme="majorHAnsi"/>
          <w:sz w:val="20"/>
          <w:szCs w:val="20"/>
        </w:rPr>
        <w:t xml:space="preserve">generally </w:t>
      </w:r>
      <w:r w:rsidRPr="003D5B30">
        <w:rPr>
          <w:rFonts w:asciiTheme="majorHAnsi" w:hAnsiTheme="majorHAnsi"/>
          <w:sz w:val="20"/>
          <w:szCs w:val="20"/>
        </w:rPr>
        <w:t xml:space="preserve">regards the internet as the main platform for the dissemination of content and knowledge, </w:t>
      </w:r>
      <w:r>
        <w:rPr>
          <w:rFonts w:asciiTheme="majorHAnsi" w:hAnsiTheme="majorHAnsi"/>
          <w:sz w:val="20"/>
          <w:szCs w:val="20"/>
        </w:rPr>
        <w:t>on the condition that</w:t>
      </w:r>
      <w:r w:rsidRPr="003D5B30">
        <w:rPr>
          <w:rFonts w:asciiTheme="majorHAnsi" w:hAnsiTheme="majorHAnsi"/>
          <w:sz w:val="20"/>
          <w:szCs w:val="20"/>
        </w:rPr>
        <w:t xml:space="preserve"> it does not run counter to the norms and principles aimed at maintaining and favoring the regime</w:t>
      </w:r>
      <w:r w:rsidR="00713B50" w:rsidRPr="00B24750">
        <w:rPr>
          <w:rFonts w:asciiTheme="majorHAnsi" w:hAnsiTheme="majorHAnsi"/>
          <w:sz w:val="20"/>
          <w:szCs w:val="20"/>
        </w:rPr>
        <w:t xml:space="preserve">. </w:t>
      </w:r>
      <w:r w:rsidRPr="003D5B30">
        <w:rPr>
          <w:rFonts w:asciiTheme="majorHAnsi" w:hAnsiTheme="majorHAnsi"/>
          <w:sz w:val="20"/>
          <w:szCs w:val="20"/>
        </w:rPr>
        <w:t>Us</w:t>
      </w:r>
      <w:r>
        <w:rPr>
          <w:rFonts w:asciiTheme="majorHAnsi" w:hAnsiTheme="majorHAnsi"/>
          <w:sz w:val="20"/>
          <w:szCs w:val="20"/>
        </w:rPr>
        <w:t>ing</w:t>
      </w:r>
      <w:r w:rsidRPr="003D5B30">
        <w:rPr>
          <w:rFonts w:asciiTheme="majorHAnsi" w:hAnsiTheme="majorHAnsi"/>
          <w:sz w:val="20"/>
          <w:szCs w:val="20"/>
        </w:rPr>
        <w:t xml:space="preserve"> the internet for other purposes, particularly </w:t>
      </w:r>
      <w:r>
        <w:rPr>
          <w:rFonts w:asciiTheme="majorHAnsi" w:hAnsiTheme="majorHAnsi"/>
          <w:sz w:val="20"/>
          <w:szCs w:val="20"/>
        </w:rPr>
        <w:t xml:space="preserve">the </w:t>
      </w:r>
      <w:r w:rsidRPr="003D5B30">
        <w:rPr>
          <w:rFonts w:asciiTheme="majorHAnsi" w:hAnsiTheme="majorHAnsi"/>
          <w:sz w:val="20"/>
          <w:szCs w:val="20"/>
        </w:rPr>
        <w:t xml:space="preserve">overt criticism of the system, </w:t>
      </w:r>
      <w:r>
        <w:rPr>
          <w:rFonts w:asciiTheme="majorHAnsi" w:hAnsiTheme="majorHAnsi"/>
          <w:sz w:val="20"/>
          <w:szCs w:val="20"/>
        </w:rPr>
        <w:t>means running the</w:t>
      </w:r>
      <w:r w:rsidRPr="003D5B30">
        <w:rPr>
          <w:rFonts w:asciiTheme="majorHAnsi" w:hAnsiTheme="majorHAnsi"/>
          <w:sz w:val="20"/>
          <w:szCs w:val="20"/>
        </w:rPr>
        <w:t xml:space="preserve"> risk of </w:t>
      </w:r>
      <w:r>
        <w:rPr>
          <w:rFonts w:asciiTheme="majorHAnsi" w:hAnsiTheme="majorHAnsi"/>
          <w:sz w:val="20"/>
          <w:szCs w:val="20"/>
        </w:rPr>
        <w:t>having content</w:t>
      </w:r>
      <w:r w:rsidRPr="003D5B30">
        <w:rPr>
          <w:rFonts w:asciiTheme="majorHAnsi" w:hAnsiTheme="majorHAnsi"/>
          <w:sz w:val="20"/>
          <w:szCs w:val="20"/>
        </w:rPr>
        <w:t xml:space="preserve"> removed, blocked, or filtered from the web by the authorities.</w:t>
      </w:r>
      <w:r w:rsidR="00713B50" w:rsidRPr="00B24750">
        <w:rPr>
          <w:rStyle w:val="FootnoteReference"/>
          <w:rFonts w:asciiTheme="majorHAnsi" w:hAnsiTheme="majorHAnsi"/>
          <w:sz w:val="20"/>
          <w:szCs w:val="20"/>
        </w:rPr>
        <w:footnoteReference w:id="279"/>
      </w:r>
      <w:r w:rsidR="00713B50" w:rsidRPr="00B24750">
        <w:rPr>
          <w:rFonts w:asciiTheme="majorHAnsi" w:hAnsiTheme="majorHAnsi"/>
          <w:sz w:val="20"/>
          <w:szCs w:val="20"/>
        </w:rPr>
        <w:t xml:space="preserve"> </w:t>
      </w:r>
      <w:r w:rsidRPr="003D5B30">
        <w:rPr>
          <w:rFonts w:asciiTheme="majorHAnsi" w:hAnsiTheme="majorHAnsi"/>
          <w:sz w:val="20"/>
          <w:szCs w:val="20"/>
        </w:rPr>
        <w:t xml:space="preserve">Far from </w:t>
      </w:r>
      <w:r w:rsidR="00440883">
        <w:rPr>
          <w:rFonts w:asciiTheme="majorHAnsi" w:hAnsiTheme="majorHAnsi"/>
          <w:sz w:val="20"/>
          <w:szCs w:val="20"/>
        </w:rPr>
        <w:t xml:space="preserve">embodying </w:t>
      </w:r>
      <w:r w:rsidRPr="003D5B30">
        <w:rPr>
          <w:rFonts w:asciiTheme="majorHAnsi" w:hAnsiTheme="majorHAnsi"/>
          <w:sz w:val="20"/>
          <w:szCs w:val="20"/>
        </w:rPr>
        <w:t xml:space="preserve">the standards for a free, open, and inclusive </w:t>
      </w:r>
      <w:r>
        <w:rPr>
          <w:rFonts w:asciiTheme="majorHAnsi" w:hAnsiTheme="majorHAnsi"/>
          <w:sz w:val="20"/>
          <w:szCs w:val="20"/>
        </w:rPr>
        <w:t>i</w:t>
      </w:r>
      <w:r w:rsidRPr="003D5B30">
        <w:rPr>
          <w:rFonts w:asciiTheme="majorHAnsi" w:hAnsiTheme="majorHAnsi"/>
          <w:sz w:val="20"/>
          <w:szCs w:val="20"/>
        </w:rPr>
        <w:t>nternet, regulatory developments and practices in Cuba create a controlled and biased space</w:t>
      </w:r>
      <w:r>
        <w:rPr>
          <w:rFonts w:asciiTheme="majorHAnsi" w:hAnsiTheme="majorHAnsi"/>
          <w:sz w:val="20"/>
          <w:szCs w:val="20"/>
        </w:rPr>
        <w:t>.</w:t>
      </w:r>
      <w:r w:rsidR="00713B50" w:rsidRPr="00B24750">
        <w:rPr>
          <w:rStyle w:val="FootnoteReference"/>
          <w:rFonts w:asciiTheme="majorHAnsi" w:hAnsiTheme="majorHAnsi"/>
          <w:sz w:val="20"/>
          <w:szCs w:val="20"/>
        </w:rPr>
        <w:footnoteReference w:id="280"/>
      </w:r>
    </w:p>
    <w:p w14:paraId="71787BA7" w14:textId="77777777" w:rsidR="00713B50" w:rsidRPr="00B24750" w:rsidRDefault="00713B50" w:rsidP="00F66452">
      <w:pPr>
        <w:pStyle w:val="ListParagraph"/>
        <w:ind w:left="0"/>
        <w:rPr>
          <w:rFonts w:asciiTheme="majorHAnsi" w:hAnsiTheme="majorHAnsi"/>
          <w:sz w:val="20"/>
          <w:szCs w:val="20"/>
        </w:rPr>
      </w:pPr>
    </w:p>
    <w:p w14:paraId="362CAE4E" w14:textId="4184B4FC" w:rsidR="00713B50" w:rsidRPr="005D2A3F" w:rsidRDefault="00A06B9B" w:rsidP="00F66452">
      <w:pPr>
        <w:pStyle w:val="ListParagraph"/>
        <w:numPr>
          <w:ilvl w:val="0"/>
          <w:numId w:val="55"/>
        </w:numPr>
        <w:ind w:firstLine="0"/>
        <w:jc w:val="both"/>
        <w:rPr>
          <w:rFonts w:asciiTheme="majorHAnsi" w:hAnsiTheme="majorHAnsi"/>
          <w:sz w:val="20"/>
          <w:szCs w:val="20"/>
        </w:rPr>
      </w:pPr>
      <w:r>
        <w:rPr>
          <w:rFonts w:asciiTheme="majorHAnsi" w:hAnsiTheme="majorHAnsi"/>
          <w:sz w:val="20"/>
          <w:szCs w:val="20"/>
        </w:rPr>
        <w:t>For instance, a</w:t>
      </w:r>
      <w:r w:rsidR="005D2A3F" w:rsidRPr="005D2A3F">
        <w:rPr>
          <w:rFonts w:asciiTheme="majorHAnsi" w:hAnsiTheme="majorHAnsi"/>
          <w:sz w:val="20"/>
          <w:szCs w:val="20"/>
        </w:rPr>
        <w:t xml:space="preserve">ccording to Resolution No. 179 of 2008, </w:t>
      </w:r>
      <w:r w:rsidR="00BA5E06">
        <w:rPr>
          <w:rFonts w:asciiTheme="majorHAnsi" w:hAnsiTheme="majorHAnsi"/>
          <w:sz w:val="20"/>
          <w:szCs w:val="20"/>
        </w:rPr>
        <w:t>public access internet service providers</w:t>
      </w:r>
      <w:r w:rsidR="005D2A3F" w:rsidRPr="005D2A3F">
        <w:rPr>
          <w:rFonts w:asciiTheme="majorHAnsi" w:hAnsiTheme="majorHAnsi"/>
          <w:sz w:val="20"/>
          <w:szCs w:val="20"/>
        </w:rPr>
        <w:t xml:space="preserve"> </w:t>
      </w:r>
      <w:r w:rsidR="00BA5E06">
        <w:rPr>
          <w:rFonts w:asciiTheme="majorHAnsi" w:hAnsiTheme="majorHAnsi"/>
          <w:sz w:val="20"/>
          <w:szCs w:val="20"/>
        </w:rPr>
        <w:t>(</w:t>
      </w:r>
      <w:r w:rsidR="005D2A3F" w:rsidRPr="005D2A3F">
        <w:rPr>
          <w:rFonts w:asciiTheme="majorHAnsi" w:hAnsiTheme="majorHAnsi"/>
          <w:sz w:val="20"/>
          <w:szCs w:val="20"/>
        </w:rPr>
        <w:t>ISP</w:t>
      </w:r>
      <w:r w:rsidR="00BA5E06">
        <w:rPr>
          <w:rFonts w:asciiTheme="majorHAnsi" w:hAnsiTheme="majorHAnsi"/>
          <w:sz w:val="20"/>
          <w:szCs w:val="20"/>
        </w:rPr>
        <w:t>)</w:t>
      </w:r>
      <w:r w:rsidR="005D2A3F" w:rsidRPr="005D2A3F">
        <w:rPr>
          <w:rFonts w:asciiTheme="majorHAnsi" w:hAnsiTheme="majorHAnsi"/>
          <w:sz w:val="20"/>
          <w:szCs w:val="20"/>
        </w:rPr>
        <w:t xml:space="preserve"> must</w:t>
      </w:r>
      <w:r w:rsidR="00713B50" w:rsidRPr="005D2A3F">
        <w:rPr>
          <w:rFonts w:asciiTheme="majorHAnsi" w:hAnsiTheme="majorHAnsi"/>
          <w:sz w:val="20"/>
          <w:szCs w:val="20"/>
        </w:rPr>
        <w:t xml:space="preserve">: </w:t>
      </w:r>
    </w:p>
    <w:p w14:paraId="6B27AAE5" w14:textId="77777777" w:rsidR="00713B50" w:rsidRPr="005D2A3F" w:rsidRDefault="00713B50" w:rsidP="00713B50">
      <w:pPr>
        <w:pStyle w:val="ListParagraph"/>
        <w:rPr>
          <w:rFonts w:asciiTheme="majorHAnsi" w:hAnsiTheme="majorHAnsi"/>
          <w:sz w:val="20"/>
          <w:szCs w:val="20"/>
        </w:rPr>
      </w:pPr>
    </w:p>
    <w:p w14:paraId="6BD3F4BF" w14:textId="50D4A920" w:rsidR="00713B50" w:rsidRPr="005D2A3F" w:rsidRDefault="00A06B9B" w:rsidP="00713B50">
      <w:pPr>
        <w:pStyle w:val="ListParagraph"/>
        <w:ind w:right="864"/>
        <w:jc w:val="both"/>
        <w:rPr>
          <w:rFonts w:asciiTheme="majorHAnsi" w:hAnsiTheme="majorHAnsi"/>
          <w:sz w:val="18"/>
          <w:szCs w:val="18"/>
        </w:rPr>
      </w:pPr>
      <w:r>
        <w:rPr>
          <w:rFonts w:asciiTheme="majorHAnsi" w:hAnsiTheme="majorHAnsi"/>
          <w:sz w:val="18"/>
          <w:szCs w:val="18"/>
        </w:rPr>
        <w:t>t</w:t>
      </w:r>
      <w:r w:rsidRPr="00A06B9B">
        <w:rPr>
          <w:rFonts w:asciiTheme="majorHAnsi" w:hAnsiTheme="majorHAnsi"/>
          <w:sz w:val="18"/>
          <w:szCs w:val="18"/>
        </w:rPr>
        <w:t xml:space="preserve">ake the necessary measures to prevent access to sites whose contents are contrary to the interests of society, morals, and decency; as well as the use of applications that affect the integrity or security of the State”; and “to establish procedures to identify the origin of access, as well as to record it and </w:t>
      </w:r>
      <w:r w:rsidRPr="00A06B9B">
        <w:rPr>
          <w:rFonts w:asciiTheme="majorHAnsi" w:hAnsiTheme="majorHAnsi"/>
          <w:sz w:val="18"/>
          <w:szCs w:val="18"/>
        </w:rPr>
        <w:lastRenderedPageBreak/>
        <w:t>maintain such records for a period of not less than one (1) year.” Those ISPs that fail to perform these and various other duties correctly are subject to the temporary or permanent suspension of their contract with the Cuban Telecommunications Company (</w:t>
      </w:r>
      <w:proofErr w:type="spellStart"/>
      <w:r w:rsidRPr="00A06B9B">
        <w:rPr>
          <w:rFonts w:asciiTheme="majorHAnsi" w:hAnsiTheme="majorHAnsi"/>
          <w:i/>
          <w:iCs/>
          <w:sz w:val="18"/>
          <w:szCs w:val="18"/>
        </w:rPr>
        <w:t>Empresa</w:t>
      </w:r>
      <w:proofErr w:type="spellEnd"/>
      <w:r w:rsidRPr="00A06B9B">
        <w:rPr>
          <w:rFonts w:asciiTheme="majorHAnsi" w:hAnsiTheme="majorHAnsi"/>
          <w:i/>
          <w:iCs/>
          <w:sz w:val="18"/>
          <w:szCs w:val="18"/>
        </w:rPr>
        <w:t xml:space="preserve"> de </w:t>
      </w:r>
      <w:proofErr w:type="spellStart"/>
      <w:r w:rsidRPr="00A06B9B">
        <w:rPr>
          <w:rFonts w:asciiTheme="majorHAnsi" w:hAnsiTheme="majorHAnsi"/>
          <w:i/>
          <w:iCs/>
          <w:sz w:val="18"/>
          <w:szCs w:val="18"/>
        </w:rPr>
        <w:t>Telecomunicaciones</w:t>
      </w:r>
      <w:proofErr w:type="spellEnd"/>
      <w:r w:rsidRPr="00A06B9B">
        <w:rPr>
          <w:rFonts w:asciiTheme="majorHAnsi" w:hAnsiTheme="majorHAnsi"/>
          <w:i/>
          <w:iCs/>
          <w:sz w:val="18"/>
          <w:szCs w:val="18"/>
        </w:rPr>
        <w:t xml:space="preserve"> de Cuba S. A. </w:t>
      </w:r>
      <w:r w:rsidRPr="00A06B9B">
        <w:rPr>
          <w:rFonts w:asciiTheme="majorHAnsi" w:hAnsiTheme="majorHAnsi"/>
          <w:sz w:val="18"/>
          <w:szCs w:val="18"/>
        </w:rPr>
        <w:t>- ETECSA), a state-owned company with a monopoly on telecommunications services</w:t>
      </w:r>
      <w:r w:rsidR="005D2A3F">
        <w:rPr>
          <w:rFonts w:asciiTheme="majorHAnsi" w:hAnsiTheme="majorHAnsi"/>
          <w:sz w:val="18"/>
          <w:szCs w:val="18"/>
        </w:rPr>
        <w:t>.</w:t>
      </w:r>
      <w:r w:rsidR="005D2A3F" w:rsidRPr="005D2A3F">
        <w:rPr>
          <w:rStyle w:val="FootnoteReference"/>
          <w:sz w:val="18"/>
          <w:szCs w:val="18"/>
        </w:rPr>
        <w:footnoteReference w:id="281"/>
      </w:r>
      <w:r w:rsidR="00713B50" w:rsidRPr="005D2A3F">
        <w:rPr>
          <w:rFonts w:asciiTheme="majorHAnsi" w:hAnsiTheme="majorHAnsi"/>
          <w:sz w:val="18"/>
          <w:szCs w:val="18"/>
        </w:rPr>
        <w:t xml:space="preserve"> </w:t>
      </w:r>
    </w:p>
    <w:p w14:paraId="3D613068" w14:textId="77777777" w:rsidR="00713B50" w:rsidRPr="005D2A3F" w:rsidRDefault="00713B50" w:rsidP="00713B50">
      <w:pPr>
        <w:pStyle w:val="ListParagraph"/>
        <w:rPr>
          <w:rFonts w:asciiTheme="majorHAnsi" w:hAnsiTheme="majorHAnsi"/>
          <w:sz w:val="18"/>
          <w:szCs w:val="18"/>
        </w:rPr>
      </w:pPr>
    </w:p>
    <w:p w14:paraId="548AEAB5" w14:textId="54B5D0EC" w:rsidR="00713B50" w:rsidRPr="005D2A3F" w:rsidRDefault="00E62178" w:rsidP="00F66452">
      <w:pPr>
        <w:pStyle w:val="ListParagraph"/>
        <w:numPr>
          <w:ilvl w:val="0"/>
          <w:numId w:val="55"/>
        </w:numPr>
        <w:ind w:firstLine="0"/>
        <w:jc w:val="both"/>
        <w:rPr>
          <w:rFonts w:asciiTheme="majorHAnsi" w:hAnsiTheme="majorHAnsi"/>
          <w:sz w:val="20"/>
          <w:szCs w:val="20"/>
        </w:rPr>
      </w:pPr>
      <w:r w:rsidRPr="00E62178">
        <w:rPr>
          <w:rFonts w:asciiTheme="majorHAnsi" w:hAnsiTheme="majorHAnsi"/>
          <w:sz w:val="20"/>
          <w:szCs w:val="20"/>
        </w:rPr>
        <w:t xml:space="preserve">Cuba’s Ministry of Information Technology and Communications </w:t>
      </w:r>
      <w:r>
        <w:rPr>
          <w:rFonts w:asciiTheme="majorHAnsi" w:hAnsiTheme="majorHAnsi"/>
          <w:sz w:val="20"/>
          <w:szCs w:val="20"/>
        </w:rPr>
        <w:t>“</w:t>
      </w:r>
      <w:r w:rsidRPr="00E62178">
        <w:rPr>
          <w:rFonts w:asciiTheme="majorHAnsi" w:hAnsiTheme="majorHAnsi"/>
          <w:sz w:val="20"/>
          <w:szCs w:val="20"/>
        </w:rPr>
        <w:t xml:space="preserve">controls the Internet in the country, mainly through the state-run Cuban Telecommunications Company (ETECSA). There is a dual system: an intranet that is provided to the public, with filtered content that is subject to government restrictions; and the global </w:t>
      </w:r>
      <w:r>
        <w:rPr>
          <w:rFonts w:asciiTheme="majorHAnsi" w:hAnsiTheme="majorHAnsi"/>
          <w:sz w:val="20"/>
          <w:szCs w:val="20"/>
        </w:rPr>
        <w:t>i</w:t>
      </w:r>
      <w:r w:rsidRPr="00E62178">
        <w:rPr>
          <w:rFonts w:asciiTheme="majorHAnsi" w:hAnsiTheme="majorHAnsi"/>
          <w:sz w:val="20"/>
          <w:szCs w:val="20"/>
        </w:rPr>
        <w:t>nternet, which is inaccessible to the Cuban population</w:t>
      </w:r>
      <w:r>
        <w:rPr>
          <w:rFonts w:asciiTheme="majorHAnsi" w:hAnsiTheme="majorHAnsi"/>
          <w:sz w:val="20"/>
          <w:szCs w:val="20"/>
        </w:rPr>
        <w:t>.</w:t>
      </w:r>
      <w:r w:rsidR="00713B50" w:rsidRPr="005D2A3F">
        <w:rPr>
          <w:rFonts w:asciiTheme="majorHAnsi" w:hAnsiTheme="majorHAnsi"/>
          <w:sz w:val="20"/>
          <w:szCs w:val="20"/>
        </w:rPr>
        <w:t>”</w:t>
      </w:r>
      <w:r w:rsidR="00713B50" w:rsidRPr="005D2A3F">
        <w:rPr>
          <w:rStyle w:val="FootnoteReference"/>
          <w:rFonts w:asciiTheme="majorHAnsi" w:hAnsiTheme="majorHAnsi"/>
          <w:sz w:val="20"/>
          <w:szCs w:val="20"/>
        </w:rPr>
        <w:footnoteReference w:id="282"/>
      </w:r>
    </w:p>
    <w:p w14:paraId="705B154A" w14:textId="77777777" w:rsidR="00713B50" w:rsidRPr="00B24750" w:rsidRDefault="00713B50" w:rsidP="00F66452">
      <w:pPr>
        <w:pStyle w:val="ListParagraph"/>
        <w:ind w:left="0"/>
        <w:rPr>
          <w:rFonts w:asciiTheme="majorHAnsi" w:hAnsiTheme="majorHAnsi"/>
          <w:sz w:val="20"/>
          <w:szCs w:val="20"/>
        </w:rPr>
      </w:pPr>
    </w:p>
    <w:p w14:paraId="714CBB87" w14:textId="29C1B5B7" w:rsidR="00713B50" w:rsidRPr="00B24750" w:rsidRDefault="009E051D" w:rsidP="00F66452">
      <w:pPr>
        <w:pStyle w:val="ListParagraph"/>
        <w:numPr>
          <w:ilvl w:val="0"/>
          <w:numId w:val="55"/>
        </w:numPr>
        <w:ind w:firstLine="0"/>
        <w:jc w:val="both"/>
        <w:rPr>
          <w:rFonts w:asciiTheme="majorHAnsi" w:hAnsiTheme="majorHAnsi"/>
          <w:sz w:val="20"/>
          <w:szCs w:val="20"/>
        </w:rPr>
      </w:pPr>
      <w:r w:rsidRPr="009E051D">
        <w:rPr>
          <w:rFonts w:asciiTheme="majorHAnsi" w:hAnsiTheme="majorHAnsi"/>
          <w:sz w:val="20"/>
          <w:szCs w:val="20"/>
        </w:rPr>
        <w:t>It is within this context and regulatory framework that the IACHR examines the present case</w:t>
      </w:r>
      <w:r w:rsidR="00713B50" w:rsidRPr="00B24750">
        <w:rPr>
          <w:rFonts w:asciiTheme="majorHAnsi" w:hAnsiTheme="majorHAnsi"/>
          <w:sz w:val="20"/>
          <w:szCs w:val="20"/>
        </w:rPr>
        <w:t xml:space="preserve">. </w:t>
      </w:r>
      <w:proofErr w:type="spellStart"/>
      <w:r w:rsidRPr="009E051D">
        <w:rPr>
          <w:rFonts w:asciiTheme="majorHAnsi" w:hAnsiTheme="majorHAnsi"/>
          <w:sz w:val="20"/>
          <w:szCs w:val="20"/>
        </w:rPr>
        <w:t>Yoani</w:t>
      </w:r>
      <w:proofErr w:type="spellEnd"/>
      <w:r w:rsidRPr="009E051D">
        <w:rPr>
          <w:rFonts w:asciiTheme="majorHAnsi" w:hAnsiTheme="majorHAnsi"/>
          <w:sz w:val="20"/>
          <w:szCs w:val="20"/>
        </w:rPr>
        <w:t xml:space="preserve"> Sánchez is a blogger and journalist critical of the Cuban government. In her blog, she expresses her opinions and perspectives on daily life in Cuba and exposes the abuses and lack of freedoms on the island, </w:t>
      </w:r>
      <w:r>
        <w:rPr>
          <w:rFonts w:asciiTheme="majorHAnsi" w:hAnsiTheme="majorHAnsi"/>
          <w:sz w:val="20"/>
          <w:szCs w:val="20"/>
        </w:rPr>
        <w:t xml:space="preserve">which are </w:t>
      </w:r>
      <w:r w:rsidRPr="009E051D">
        <w:rPr>
          <w:rFonts w:asciiTheme="majorHAnsi" w:hAnsiTheme="majorHAnsi"/>
          <w:sz w:val="20"/>
          <w:szCs w:val="20"/>
        </w:rPr>
        <w:t>issues of great public interest</w:t>
      </w:r>
      <w:r w:rsidR="00713B50" w:rsidRPr="00B24750">
        <w:rPr>
          <w:rFonts w:asciiTheme="majorHAnsi" w:hAnsiTheme="majorHAnsi"/>
          <w:sz w:val="20"/>
          <w:szCs w:val="20"/>
        </w:rPr>
        <w:t xml:space="preserve">. </w:t>
      </w:r>
      <w:proofErr w:type="spellStart"/>
      <w:r w:rsidRPr="009E051D">
        <w:rPr>
          <w:rFonts w:asciiTheme="majorHAnsi" w:hAnsiTheme="majorHAnsi"/>
          <w:sz w:val="20"/>
          <w:szCs w:val="20"/>
        </w:rPr>
        <w:t>Yoani</w:t>
      </w:r>
      <w:proofErr w:type="spellEnd"/>
      <w:r w:rsidRPr="009E051D">
        <w:rPr>
          <w:rFonts w:asciiTheme="majorHAnsi" w:hAnsiTheme="majorHAnsi"/>
          <w:sz w:val="20"/>
          <w:szCs w:val="20"/>
        </w:rPr>
        <w:t xml:space="preserve"> Sánchez has been able to disseminate her ideas, opinions, and expressions on a larger scale precisely thanks to technology, and </w:t>
      </w:r>
      <w:r w:rsidR="00CF43F6">
        <w:rPr>
          <w:rFonts w:asciiTheme="majorHAnsi" w:hAnsiTheme="majorHAnsi"/>
          <w:sz w:val="20"/>
          <w:szCs w:val="20"/>
        </w:rPr>
        <w:t xml:space="preserve">has established </w:t>
      </w:r>
      <w:r w:rsidRPr="009E051D">
        <w:rPr>
          <w:rFonts w:asciiTheme="majorHAnsi" w:hAnsiTheme="majorHAnsi"/>
          <w:sz w:val="20"/>
          <w:szCs w:val="20"/>
        </w:rPr>
        <w:t>herself as an independent media outlet through her blog and her digital media</w:t>
      </w:r>
      <w:r>
        <w:rPr>
          <w:rFonts w:asciiTheme="majorHAnsi" w:hAnsiTheme="majorHAnsi"/>
          <w:sz w:val="20"/>
          <w:szCs w:val="20"/>
        </w:rPr>
        <w:t xml:space="preserve"> articles</w:t>
      </w:r>
      <w:r w:rsidR="00713B50" w:rsidRPr="00B24750">
        <w:rPr>
          <w:rFonts w:asciiTheme="majorHAnsi" w:hAnsiTheme="majorHAnsi"/>
          <w:sz w:val="20"/>
          <w:szCs w:val="20"/>
        </w:rPr>
        <w:t xml:space="preserve">. </w:t>
      </w:r>
      <w:r w:rsidRPr="009E051D">
        <w:rPr>
          <w:rFonts w:asciiTheme="majorHAnsi" w:hAnsiTheme="majorHAnsi"/>
          <w:sz w:val="20"/>
          <w:szCs w:val="20"/>
        </w:rPr>
        <w:t xml:space="preserve">However, this exercise has been arbitrarily restricted due to the implementation of a computer filter that blocks access to </w:t>
      </w:r>
      <w:proofErr w:type="spellStart"/>
      <w:r w:rsidR="00A13D0E" w:rsidRPr="00952F32">
        <w:rPr>
          <w:rFonts w:asciiTheme="majorHAnsi" w:hAnsiTheme="majorHAnsi"/>
          <w:i/>
          <w:iCs/>
          <w:sz w:val="20"/>
          <w:szCs w:val="20"/>
        </w:rPr>
        <w:t>Generación</w:t>
      </w:r>
      <w:proofErr w:type="spellEnd"/>
      <w:r w:rsidR="00A13D0E" w:rsidRPr="00952F32">
        <w:rPr>
          <w:rFonts w:asciiTheme="majorHAnsi" w:hAnsiTheme="majorHAnsi"/>
          <w:i/>
          <w:iCs/>
          <w:sz w:val="20"/>
          <w:szCs w:val="20"/>
        </w:rPr>
        <w:t xml:space="preserve"> Y</w:t>
      </w:r>
      <w:r w:rsidRPr="009E051D">
        <w:rPr>
          <w:rFonts w:asciiTheme="majorHAnsi" w:hAnsiTheme="majorHAnsi"/>
          <w:sz w:val="20"/>
          <w:szCs w:val="20"/>
        </w:rPr>
        <w:t xml:space="preserve"> </w:t>
      </w:r>
      <w:r w:rsidR="00E36A38">
        <w:rPr>
          <w:rFonts w:asciiTheme="majorHAnsi" w:hAnsiTheme="majorHAnsi"/>
          <w:sz w:val="20"/>
          <w:szCs w:val="20"/>
        </w:rPr>
        <w:t>from</w:t>
      </w:r>
      <w:r w:rsidRPr="009E051D">
        <w:rPr>
          <w:rFonts w:asciiTheme="majorHAnsi" w:hAnsiTheme="majorHAnsi"/>
          <w:sz w:val="20"/>
          <w:szCs w:val="20"/>
        </w:rPr>
        <w:t xml:space="preserve"> public internet sites in Cuba, so the journalist has had to </w:t>
      </w:r>
      <w:r w:rsidR="00952F32">
        <w:rPr>
          <w:rFonts w:asciiTheme="majorHAnsi" w:hAnsiTheme="majorHAnsi"/>
          <w:sz w:val="20"/>
          <w:szCs w:val="20"/>
        </w:rPr>
        <w:t>rely on</w:t>
      </w:r>
      <w:r w:rsidRPr="009E051D">
        <w:rPr>
          <w:rFonts w:asciiTheme="majorHAnsi" w:hAnsiTheme="majorHAnsi"/>
          <w:sz w:val="20"/>
          <w:szCs w:val="20"/>
        </w:rPr>
        <w:t xml:space="preserve"> the help of friends outside the island to post </w:t>
      </w:r>
      <w:r w:rsidR="00952F32">
        <w:rPr>
          <w:rFonts w:asciiTheme="majorHAnsi" w:hAnsiTheme="majorHAnsi"/>
          <w:sz w:val="20"/>
          <w:szCs w:val="20"/>
        </w:rPr>
        <w:t>on her blog</w:t>
      </w:r>
      <w:r w:rsidR="00713B50" w:rsidRPr="00B24750">
        <w:rPr>
          <w:rFonts w:asciiTheme="majorHAnsi" w:hAnsiTheme="majorHAnsi"/>
          <w:sz w:val="20"/>
          <w:szCs w:val="20"/>
        </w:rPr>
        <w:t xml:space="preserve">. </w:t>
      </w:r>
    </w:p>
    <w:p w14:paraId="27C32FCB" w14:textId="77777777" w:rsidR="00713B50" w:rsidRPr="00B24750" w:rsidRDefault="00713B50" w:rsidP="00F66452">
      <w:pPr>
        <w:pStyle w:val="ListParagraph"/>
        <w:ind w:left="0"/>
        <w:rPr>
          <w:rFonts w:asciiTheme="majorHAnsi" w:hAnsiTheme="majorHAnsi"/>
          <w:sz w:val="20"/>
          <w:szCs w:val="20"/>
        </w:rPr>
      </w:pPr>
    </w:p>
    <w:p w14:paraId="060D3B11" w14:textId="34121BC8" w:rsidR="00713B50" w:rsidRPr="00B24750" w:rsidRDefault="00A055E5" w:rsidP="00F66452">
      <w:pPr>
        <w:pStyle w:val="ListParagraph"/>
        <w:numPr>
          <w:ilvl w:val="0"/>
          <w:numId w:val="55"/>
        </w:numPr>
        <w:ind w:firstLine="0"/>
        <w:jc w:val="both"/>
        <w:rPr>
          <w:rFonts w:asciiTheme="majorHAnsi" w:hAnsiTheme="majorHAnsi"/>
          <w:sz w:val="20"/>
          <w:szCs w:val="20"/>
        </w:rPr>
      </w:pPr>
      <w:r w:rsidRPr="00A055E5">
        <w:rPr>
          <w:rFonts w:asciiTheme="majorHAnsi" w:hAnsiTheme="majorHAnsi"/>
          <w:sz w:val="20"/>
          <w:szCs w:val="20"/>
        </w:rPr>
        <w:t xml:space="preserve">The IACHR finds that blocking access to </w:t>
      </w:r>
      <w:proofErr w:type="spellStart"/>
      <w:r w:rsidRPr="00A055E5">
        <w:rPr>
          <w:rFonts w:asciiTheme="majorHAnsi" w:hAnsiTheme="majorHAnsi"/>
          <w:sz w:val="20"/>
          <w:szCs w:val="20"/>
        </w:rPr>
        <w:t>Yoani</w:t>
      </w:r>
      <w:proofErr w:type="spellEnd"/>
      <w:r w:rsidRPr="00A055E5">
        <w:rPr>
          <w:rFonts w:asciiTheme="majorHAnsi" w:hAnsiTheme="majorHAnsi"/>
          <w:sz w:val="20"/>
          <w:szCs w:val="20"/>
        </w:rPr>
        <w:t xml:space="preserve"> </w:t>
      </w:r>
      <w:r w:rsidR="00D10380">
        <w:rPr>
          <w:rFonts w:asciiTheme="majorHAnsi" w:hAnsiTheme="majorHAnsi"/>
          <w:sz w:val="20"/>
          <w:szCs w:val="20"/>
        </w:rPr>
        <w:t>Sánchez</w:t>
      </w:r>
      <w:r>
        <w:rPr>
          <w:rFonts w:asciiTheme="majorHAnsi" w:hAnsiTheme="majorHAnsi"/>
          <w:sz w:val="20"/>
          <w:szCs w:val="20"/>
        </w:rPr>
        <w:t>’</w:t>
      </w:r>
      <w:r w:rsidRPr="00A055E5">
        <w:rPr>
          <w:rFonts w:asciiTheme="majorHAnsi" w:hAnsiTheme="majorHAnsi"/>
          <w:sz w:val="20"/>
          <w:szCs w:val="20"/>
        </w:rPr>
        <w:t>s blog constitutes prior censorship, contravenes the principle of net neutrality and, therefore, violates the right to freedom of expression. It does so not only in its individual aspect, by preventing a woman blogger from freely expressing information and ideas of all kinds, but also in its social or collective aspect, by depriving Cuban citizens of access to content of public interest, directly attacking the plurality of voices in the public debate</w:t>
      </w:r>
      <w:r w:rsidR="00713B50" w:rsidRPr="00B24750">
        <w:rPr>
          <w:rFonts w:asciiTheme="majorHAnsi" w:hAnsiTheme="majorHAnsi"/>
          <w:sz w:val="20"/>
          <w:szCs w:val="20"/>
        </w:rPr>
        <w:t xml:space="preserve">. </w:t>
      </w:r>
      <w:r w:rsidRPr="00A055E5">
        <w:rPr>
          <w:rFonts w:asciiTheme="majorHAnsi" w:hAnsiTheme="majorHAnsi"/>
          <w:sz w:val="20"/>
          <w:szCs w:val="20"/>
        </w:rPr>
        <w:t xml:space="preserve">This blocking of </w:t>
      </w:r>
      <w:proofErr w:type="spellStart"/>
      <w:r w:rsidRPr="00A055E5">
        <w:rPr>
          <w:rFonts w:asciiTheme="majorHAnsi" w:hAnsiTheme="majorHAnsi"/>
          <w:sz w:val="20"/>
          <w:szCs w:val="20"/>
        </w:rPr>
        <w:t>Yoani</w:t>
      </w:r>
      <w:proofErr w:type="spellEnd"/>
      <w:r w:rsidRPr="00A055E5">
        <w:rPr>
          <w:rFonts w:asciiTheme="majorHAnsi" w:hAnsiTheme="majorHAnsi"/>
          <w:sz w:val="20"/>
          <w:szCs w:val="20"/>
        </w:rPr>
        <w:t xml:space="preserve"> </w:t>
      </w:r>
      <w:r w:rsidR="00D10380">
        <w:rPr>
          <w:rFonts w:asciiTheme="majorHAnsi" w:hAnsiTheme="majorHAnsi"/>
          <w:sz w:val="20"/>
          <w:szCs w:val="20"/>
        </w:rPr>
        <w:t>Sánchez</w:t>
      </w:r>
      <w:r>
        <w:rPr>
          <w:rFonts w:asciiTheme="majorHAnsi" w:hAnsiTheme="majorHAnsi"/>
          <w:sz w:val="20"/>
          <w:szCs w:val="20"/>
        </w:rPr>
        <w:t>’</w:t>
      </w:r>
      <w:r w:rsidRPr="00A055E5">
        <w:rPr>
          <w:rFonts w:asciiTheme="majorHAnsi" w:hAnsiTheme="majorHAnsi"/>
          <w:sz w:val="20"/>
          <w:szCs w:val="20"/>
        </w:rPr>
        <w:t xml:space="preserve">s blog was notably facilitated or encouraged by the </w:t>
      </w:r>
      <w:r w:rsidR="00522708">
        <w:rPr>
          <w:rFonts w:asciiTheme="majorHAnsi" w:hAnsiTheme="majorHAnsi"/>
          <w:sz w:val="20"/>
          <w:szCs w:val="20"/>
        </w:rPr>
        <w:t>i</w:t>
      </w:r>
      <w:r w:rsidRPr="00A055E5">
        <w:rPr>
          <w:rFonts w:asciiTheme="majorHAnsi" w:hAnsiTheme="majorHAnsi"/>
          <w:sz w:val="20"/>
          <w:szCs w:val="20"/>
        </w:rPr>
        <w:t xml:space="preserve">nternet monopoly system in Cuba under the control of </w:t>
      </w:r>
      <w:proofErr w:type="spellStart"/>
      <w:r w:rsidRPr="00A055E5">
        <w:rPr>
          <w:rFonts w:asciiTheme="majorHAnsi" w:hAnsiTheme="majorHAnsi"/>
          <w:i/>
          <w:iCs/>
          <w:sz w:val="20"/>
          <w:szCs w:val="20"/>
        </w:rPr>
        <w:t>Empresa</w:t>
      </w:r>
      <w:proofErr w:type="spellEnd"/>
      <w:r w:rsidRPr="00A055E5">
        <w:rPr>
          <w:rFonts w:asciiTheme="majorHAnsi" w:hAnsiTheme="majorHAnsi"/>
          <w:i/>
          <w:iCs/>
          <w:sz w:val="20"/>
          <w:szCs w:val="20"/>
        </w:rPr>
        <w:t xml:space="preserve"> de </w:t>
      </w:r>
      <w:proofErr w:type="spellStart"/>
      <w:r w:rsidRPr="00A055E5">
        <w:rPr>
          <w:rFonts w:asciiTheme="majorHAnsi" w:hAnsiTheme="majorHAnsi"/>
          <w:i/>
          <w:iCs/>
          <w:sz w:val="20"/>
          <w:szCs w:val="20"/>
        </w:rPr>
        <w:t>Telecomunicaciones</w:t>
      </w:r>
      <w:proofErr w:type="spellEnd"/>
      <w:r w:rsidRPr="00A055E5">
        <w:rPr>
          <w:rFonts w:asciiTheme="majorHAnsi" w:hAnsiTheme="majorHAnsi"/>
          <w:i/>
          <w:iCs/>
          <w:sz w:val="20"/>
          <w:szCs w:val="20"/>
        </w:rPr>
        <w:t xml:space="preserve"> de Cuba, S.A.</w:t>
      </w:r>
      <w:r w:rsidRPr="00A055E5">
        <w:rPr>
          <w:rFonts w:asciiTheme="majorHAnsi" w:hAnsiTheme="majorHAnsi"/>
          <w:sz w:val="20"/>
          <w:szCs w:val="20"/>
        </w:rPr>
        <w:t xml:space="preserve"> and, therefore, attributable to the Ministry of Informa</w:t>
      </w:r>
      <w:r>
        <w:rPr>
          <w:rFonts w:asciiTheme="majorHAnsi" w:hAnsiTheme="majorHAnsi"/>
          <w:sz w:val="20"/>
          <w:szCs w:val="20"/>
        </w:rPr>
        <w:t>tion Technology</w:t>
      </w:r>
      <w:r w:rsidRPr="00A055E5">
        <w:rPr>
          <w:rFonts w:asciiTheme="majorHAnsi" w:hAnsiTheme="majorHAnsi"/>
          <w:sz w:val="20"/>
          <w:szCs w:val="20"/>
        </w:rPr>
        <w:t xml:space="preserve"> and Communications of Cuba</w:t>
      </w:r>
      <w:r w:rsidR="00713B50" w:rsidRPr="00B24750">
        <w:rPr>
          <w:rFonts w:asciiTheme="majorHAnsi" w:hAnsiTheme="majorHAnsi"/>
          <w:sz w:val="20"/>
          <w:szCs w:val="20"/>
        </w:rPr>
        <w:t>.</w:t>
      </w:r>
    </w:p>
    <w:p w14:paraId="449FB71E" w14:textId="77777777" w:rsidR="00713B50" w:rsidRPr="00B24750" w:rsidRDefault="00713B50" w:rsidP="00F66452">
      <w:pPr>
        <w:pStyle w:val="ListParagraph"/>
        <w:ind w:left="0"/>
        <w:rPr>
          <w:rFonts w:asciiTheme="majorHAnsi" w:hAnsiTheme="majorHAnsi"/>
          <w:sz w:val="20"/>
          <w:szCs w:val="20"/>
        </w:rPr>
      </w:pPr>
    </w:p>
    <w:p w14:paraId="153A6F3A" w14:textId="5AB2CD85" w:rsidR="009C5451" w:rsidRDefault="00A06C94" w:rsidP="00F66452">
      <w:pPr>
        <w:pStyle w:val="ListParagraph"/>
        <w:numPr>
          <w:ilvl w:val="0"/>
          <w:numId w:val="55"/>
        </w:numPr>
        <w:ind w:firstLine="0"/>
        <w:jc w:val="both"/>
        <w:rPr>
          <w:rFonts w:asciiTheme="majorHAnsi" w:hAnsiTheme="majorHAnsi"/>
          <w:sz w:val="20"/>
          <w:szCs w:val="20"/>
        </w:rPr>
      </w:pPr>
      <w:r>
        <w:rPr>
          <w:rFonts w:asciiTheme="majorHAnsi" w:hAnsiTheme="majorHAnsi"/>
          <w:sz w:val="20"/>
          <w:szCs w:val="20"/>
        </w:rPr>
        <w:t>As stated above in the facts</w:t>
      </w:r>
      <w:r w:rsidR="00A21B32" w:rsidRPr="00A21B32">
        <w:rPr>
          <w:rFonts w:asciiTheme="majorHAnsi" w:hAnsiTheme="majorHAnsi"/>
          <w:sz w:val="20"/>
          <w:szCs w:val="20"/>
        </w:rPr>
        <w:t xml:space="preserve">, her critical stance toward the government has caused </w:t>
      </w:r>
      <w:proofErr w:type="spellStart"/>
      <w:r w:rsidR="00A21B32" w:rsidRPr="00A21B32">
        <w:rPr>
          <w:rFonts w:asciiTheme="majorHAnsi" w:hAnsiTheme="majorHAnsi"/>
          <w:sz w:val="20"/>
          <w:szCs w:val="20"/>
        </w:rPr>
        <w:t>Yoani</w:t>
      </w:r>
      <w:proofErr w:type="spellEnd"/>
      <w:r w:rsidR="00A21B32" w:rsidRPr="00A21B32">
        <w:rPr>
          <w:rFonts w:asciiTheme="majorHAnsi" w:hAnsiTheme="majorHAnsi"/>
          <w:sz w:val="20"/>
          <w:szCs w:val="20"/>
        </w:rPr>
        <w:t xml:space="preserve"> </w:t>
      </w:r>
      <w:r w:rsidR="00D10380">
        <w:rPr>
          <w:rFonts w:asciiTheme="majorHAnsi" w:hAnsiTheme="majorHAnsi"/>
          <w:sz w:val="20"/>
          <w:szCs w:val="20"/>
        </w:rPr>
        <w:t>Sánchez</w:t>
      </w:r>
      <w:r w:rsidR="00A21B32" w:rsidRPr="00A21B32">
        <w:rPr>
          <w:rFonts w:asciiTheme="majorHAnsi" w:hAnsiTheme="majorHAnsi"/>
          <w:sz w:val="20"/>
          <w:szCs w:val="20"/>
        </w:rPr>
        <w:t xml:space="preserve"> to be labeled as the </w:t>
      </w:r>
      <w:r>
        <w:rPr>
          <w:rFonts w:asciiTheme="majorHAnsi" w:hAnsiTheme="majorHAnsi"/>
          <w:sz w:val="20"/>
          <w:szCs w:val="20"/>
        </w:rPr>
        <w:t>“</w:t>
      </w:r>
      <w:r w:rsidR="00A21B32" w:rsidRPr="00A21B32">
        <w:rPr>
          <w:rFonts w:asciiTheme="majorHAnsi" w:hAnsiTheme="majorHAnsi"/>
          <w:sz w:val="20"/>
          <w:szCs w:val="20"/>
        </w:rPr>
        <w:t>main ringleader of the counterrevolutionaries,</w:t>
      </w:r>
      <w:r>
        <w:rPr>
          <w:rFonts w:asciiTheme="majorHAnsi" w:hAnsiTheme="majorHAnsi"/>
          <w:sz w:val="20"/>
          <w:szCs w:val="20"/>
        </w:rPr>
        <w:t>”</w:t>
      </w:r>
      <w:r w:rsidR="00A21B32" w:rsidRPr="00A21B32">
        <w:rPr>
          <w:rFonts w:asciiTheme="majorHAnsi" w:hAnsiTheme="majorHAnsi"/>
          <w:sz w:val="20"/>
          <w:szCs w:val="20"/>
        </w:rPr>
        <w:t xml:space="preserve"> and to be identified on Cuban public television, as well as on her respective social media channels, as a </w:t>
      </w:r>
      <w:r w:rsidR="009C5451">
        <w:rPr>
          <w:rFonts w:asciiTheme="majorHAnsi" w:hAnsiTheme="majorHAnsi"/>
          <w:sz w:val="20"/>
          <w:szCs w:val="20"/>
        </w:rPr>
        <w:t>“</w:t>
      </w:r>
      <w:r w:rsidR="00A21B32" w:rsidRPr="00A21B32">
        <w:rPr>
          <w:rFonts w:asciiTheme="majorHAnsi" w:hAnsiTheme="majorHAnsi"/>
          <w:sz w:val="20"/>
          <w:szCs w:val="20"/>
        </w:rPr>
        <w:t>public enemy,</w:t>
      </w:r>
      <w:r w:rsidR="009C5451">
        <w:rPr>
          <w:rFonts w:asciiTheme="majorHAnsi" w:hAnsiTheme="majorHAnsi"/>
          <w:sz w:val="20"/>
          <w:szCs w:val="20"/>
        </w:rPr>
        <w:t>”</w:t>
      </w:r>
      <w:r w:rsidR="00A21B32" w:rsidRPr="00A21B32">
        <w:rPr>
          <w:rFonts w:asciiTheme="majorHAnsi" w:hAnsiTheme="majorHAnsi"/>
          <w:sz w:val="20"/>
          <w:szCs w:val="20"/>
        </w:rPr>
        <w:t xml:space="preserve"> </w:t>
      </w:r>
      <w:r w:rsidR="009C5451">
        <w:rPr>
          <w:rFonts w:asciiTheme="majorHAnsi" w:hAnsiTheme="majorHAnsi"/>
          <w:sz w:val="20"/>
          <w:szCs w:val="20"/>
        </w:rPr>
        <w:t>“</w:t>
      </w:r>
      <w:r w:rsidR="00A21B32" w:rsidRPr="00A21B32">
        <w:rPr>
          <w:rFonts w:asciiTheme="majorHAnsi" w:hAnsiTheme="majorHAnsi"/>
          <w:sz w:val="20"/>
          <w:szCs w:val="20"/>
        </w:rPr>
        <w:t>cyber dissident</w:t>
      </w:r>
      <w:r w:rsidR="009C5451">
        <w:rPr>
          <w:rFonts w:asciiTheme="majorHAnsi" w:hAnsiTheme="majorHAnsi"/>
          <w:sz w:val="20"/>
          <w:szCs w:val="20"/>
        </w:rPr>
        <w:t>”</w:t>
      </w:r>
      <w:r w:rsidR="00A21B32" w:rsidRPr="00A21B32">
        <w:rPr>
          <w:rFonts w:asciiTheme="majorHAnsi" w:hAnsiTheme="majorHAnsi"/>
          <w:sz w:val="20"/>
          <w:szCs w:val="20"/>
        </w:rPr>
        <w:t xml:space="preserve"> who intends to destabilize the Cuban government, </w:t>
      </w:r>
      <w:r w:rsidR="009C5451">
        <w:rPr>
          <w:rFonts w:asciiTheme="majorHAnsi" w:hAnsiTheme="majorHAnsi"/>
          <w:sz w:val="20"/>
          <w:szCs w:val="20"/>
        </w:rPr>
        <w:t>a “</w:t>
      </w:r>
      <w:r w:rsidR="00A21B32" w:rsidRPr="00A21B32">
        <w:rPr>
          <w:rFonts w:asciiTheme="majorHAnsi" w:hAnsiTheme="majorHAnsi"/>
          <w:sz w:val="20"/>
          <w:szCs w:val="20"/>
        </w:rPr>
        <w:t>terrorist,</w:t>
      </w:r>
      <w:r w:rsidR="009C5451">
        <w:rPr>
          <w:rFonts w:asciiTheme="majorHAnsi" w:hAnsiTheme="majorHAnsi"/>
          <w:sz w:val="20"/>
          <w:szCs w:val="20"/>
        </w:rPr>
        <w:t>”</w:t>
      </w:r>
      <w:r w:rsidR="00A21B32" w:rsidRPr="00A21B32">
        <w:rPr>
          <w:rFonts w:asciiTheme="majorHAnsi" w:hAnsiTheme="majorHAnsi"/>
          <w:sz w:val="20"/>
          <w:szCs w:val="20"/>
        </w:rPr>
        <w:t xml:space="preserve"> </w:t>
      </w:r>
      <w:r w:rsidR="009C5451">
        <w:rPr>
          <w:rFonts w:asciiTheme="majorHAnsi" w:hAnsiTheme="majorHAnsi"/>
          <w:sz w:val="20"/>
          <w:szCs w:val="20"/>
        </w:rPr>
        <w:t>“</w:t>
      </w:r>
      <w:r w:rsidR="00A21B32" w:rsidRPr="00A21B32">
        <w:rPr>
          <w:rFonts w:asciiTheme="majorHAnsi" w:hAnsiTheme="majorHAnsi"/>
          <w:sz w:val="20"/>
          <w:szCs w:val="20"/>
        </w:rPr>
        <w:t>fake,</w:t>
      </w:r>
      <w:r w:rsidR="009C5451">
        <w:rPr>
          <w:rFonts w:asciiTheme="majorHAnsi" w:hAnsiTheme="majorHAnsi"/>
          <w:sz w:val="20"/>
          <w:szCs w:val="20"/>
        </w:rPr>
        <w:t>”</w:t>
      </w:r>
      <w:r w:rsidR="00A21B32" w:rsidRPr="00A21B32">
        <w:rPr>
          <w:rFonts w:asciiTheme="majorHAnsi" w:hAnsiTheme="majorHAnsi"/>
          <w:sz w:val="20"/>
          <w:szCs w:val="20"/>
        </w:rPr>
        <w:t xml:space="preserve"> and </w:t>
      </w:r>
      <w:r w:rsidR="009C5451">
        <w:rPr>
          <w:rFonts w:asciiTheme="majorHAnsi" w:hAnsiTheme="majorHAnsi"/>
          <w:sz w:val="20"/>
          <w:szCs w:val="20"/>
        </w:rPr>
        <w:t>a “</w:t>
      </w:r>
      <w:r w:rsidR="00A21B32" w:rsidRPr="00A21B32">
        <w:rPr>
          <w:rFonts w:asciiTheme="majorHAnsi" w:hAnsiTheme="majorHAnsi"/>
          <w:sz w:val="20"/>
          <w:szCs w:val="20"/>
        </w:rPr>
        <w:t>mercenary</w:t>
      </w:r>
      <w:r w:rsidR="009C5451">
        <w:rPr>
          <w:rFonts w:asciiTheme="majorHAnsi" w:hAnsiTheme="majorHAnsi"/>
          <w:sz w:val="20"/>
          <w:szCs w:val="20"/>
        </w:rPr>
        <w:t xml:space="preserve">” </w:t>
      </w:r>
      <w:r w:rsidR="00A21B32" w:rsidRPr="00A21B32">
        <w:rPr>
          <w:rFonts w:asciiTheme="majorHAnsi" w:hAnsiTheme="majorHAnsi"/>
          <w:sz w:val="20"/>
          <w:szCs w:val="20"/>
        </w:rPr>
        <w:t>“trained by the Pentagon</w:t>
      </w:r>
      <w:r w:rsidR="009C5451">
        <w:rPr>
          <w:rFonts w:asciiTheme="majorHAnsi" w:hAnsiTheme="majorHAnsi"/>
          <w:sz w:val="20"/>
          <w:szCs w:val="20"/>
        </w:rPr>
        <w:t>.”</w:t>
      </w:r>
      <w:r w:rsidR="00A21B32" w:rsidRPr="00A21B32">
        <w:rPr>
          <w:rFonts w:asciiTheme="majorHAnsi" w:hAnsiTheme="majorHAnsi"/>
          <w:sz w:val="20"/>
          <w:szCs w:val="20"/>
        </w:rPr>
        <w:t xml:space="preserve"> </w:t>
      </w:r>
      <w:r w:rsidR="009C5451">
        <w:rPr>
          <w:rFonts w:asciiTheme="majorHAnsi" w:hAnsiTheme="majorHAnsi"/>
          <w:sz w:val="20"/>
          <w:szCs w:val="20"/>
        </w:rPr>
        <w:t xml:space="preserve">She was also accused </w:t>
      </w:r>
      <w:r w:rsidR="00A21B32" w:rsidRPr="00A21B32">
        <w:rPr>
          <w:rFonts w:asciiTheme="majorHAnsi" w:hAnsiTheme="majorHAnsi"/>
          <w:sz w:val="20"/>
          <w:szCs w:val="20"/>
        </w:rPr>
        <w:t xml:space="preserve">of </w:t>
      </w:r>
      <w:r w:rsidR="009C5451">
        <w:rPr>
          <w:rFonts w:asciiTheme="majorHAnsi" w:hAnsiTheme="majorHAnsi"/>
          <w:sz w:val="20"/>
          <w:szCs w:val="20"/>
        </w:rPr>
        <w:t>“</w:t>
      </w:r>
      <w:r w:rsidR="00A21B32" w:rsidRPr="00A21B32">
        <w:rPr>
          <w:rFonts w:asciiTheme="majorHAnsi" w:hAnsiTheme="majorHAnsi"/>
          <w:sz w:val="20"/>
          <w:szCs w:val="20"/>
        </w:rPr>
        <w:t>receiving support from the CIA of the United States.</w:t>
      </w:r>
      <w:r w:rsidR="009C5451">
        <w:rPr>
          <w:rFonts w:asciiTheme="majorHAnsi" w:hAnsiTheme="majorHAnsi"/>
          <w:sz w:val="20"/>
          <w:szCs w:val="20"/>
        </w:rPr>
        <w:t>”</w:t>
      </w:r>
      <w:r w:rsidR="00713B50" w:rsidRPr="00B24750">
        <w:rPr>
          <w:rFonts w:asciiTheme="majorHAnsi" w:hAnsiTheme="majorHAnsi"/>
          <w:sz w:val="20"/>
          <w:szCs w:val="20"/>
        </w:rPr>
        <w:t xml:space="preserve"> </w:t>
      </w:r>
      <w:r w:rsidR="009C5451" w:rsidRPr="009C5451">
        <w:rPr>
          <w:rFonts w:asciiTheme="majorHAnsi" w:hAnsiTheme="majorHAnsi"/>
          <w:sz w:val="20"/>
          <w:szCs w:val="20"/>
        </w:rPr>
        <w:t xml:space="preserve">Mariela Castro, </w:t>
      </w:r>
      <w:r w:rsidR="009C5451">
        <w:rPr>
          <w:rFonts w:asciiTheme="majorHAnsi" w:hAnsiTheme="majorHAnsi"/>
          <w:sz w:val="20"/>
          <w:szCs w:val="20"/>
        </w:rPr>
        <w:t xml:space="preserve">the </w:t>
      </w:r>
      <w:r w:rsidR="009C5451" w:rsidRPr="009C5451">
        <w:rPr>
          <w:rFonts w:asciiTheme="majorHAnsi" w:hAnsiTheme="majorHAnsi"/>
          <w:sz w:val="20"/>
          <w:szCs w:val="20"/>
        </w:rPr>
        <w:t xml:space="preserve">daughter of then President Raul Castro, also called her a </w:t>
      </w:r>
      <w:r w:rsidR="009C5451">
        <w:rPr>
          <w:rFonts w:asciiTheme="majorHAnsi" w:hAnsiTheme="majorHAnsi"/>
          <w:sz w:val="20"/>
          <w:szCs w:val="20"/>
        </w:rPr>
        <w:t>“</w:t>
      </w:r>
      <w:r w:rsidR="009C5451" w:rsidRPr="009C5451">
        <w:rPr>
          <w:rFonts w:asciiTheme="majorHAnsi" w:hAnsiTheme="majorHAnsi"/>
          <w:sz w:val="20"/>
          <w:szCs w:val="20"/>
        </w:rPr>
        <w:t>despicable parasite</w:t>
      </w:r>
      <w:r w:rsidR="009C5451">
        <w:rPr>
          <w:rFonts w:asciiTheme="majorHAnsi" w:hAnsiTheme="majorHAnsi"/>
          <w:sz w:val="20"/>
          <w:szCs w:val="20"/>
        </w:rPr>
        <w:t>”</w:t>
      </w:r>
      <w:r w:rsidR="009C5451" w:rsidRPr="009C5451">
        <w:rPr>
          <w:rFonts w:asciiTheme="majorHAnsi" w:hAnsiTheme="majorHAnsi"/>
          <w:sz w:val="20"/>
          <w:szCs w:val="20"/>
        </w:rPr>
        <w:t xml:space="preserve"> on Twitter</w:t>
      </w:r>
      <w:r w:rsidR="009C5451">
        <w:rPr>
          <w:rFonts w:asciiTheme="majorHAnsi" w:hAnsiTheme="majorHAnsi"/>
          <w:sz w:val="20"/>
          <w:szCs w:val="20"/>
        </w:rPr>
        <w:t>.</w:t>
      </w:r>
    </w:p>
    <w:p w14:paraId="424ABCB9" w14:textId="77777777" w:rsidR="009C5451" w:rsidRDefault="009C5451" w:rsidP="00F66452">
      <w:pPr>
        <w:pStyle w:val="ListParagraph"/>
        <w:ind w:left="0"/>
        <w:jc w:val="both"/>
        <w:rPr>
          <w:rFonts w:asciiTheme="majorHAnsi" w:hAnsiTheme="majorHAnsi"/>
          <w:sz w:val="20"/>
          <w:szCs w:val="20"/>
        </w:rPr>
      </w:pPr>
    </w:p>
    <w:p w14:paraId="2A1283C7" w14:textId="2CC7270D" w:rsidR="00713B50" w:rsidRPr="009C5451" w:rsidRDefault="009C5451" w:rsidP="00F66452">
      <w:pPr>
        <w:pStyle w:val="ListParagraph"/>
        <w:numPr>
          <w:ilvl w:val="0"/>
          <w:numId w:val="55"/>
        </w:numPr>
        <w:ind w:firstLine="0"/>
        <w:jc w:val="both"/>
        <w:rPr>
          <w:rFonts w:asciiTheme="majorHAnsi" w:hAnsiTheme="majorHAnsi"/>
          <w:sz w:val="20"/>
          <w:szCs w:val="20"/>
        </w:rPr>
      </w:pPr>
      <w:r>
        <w:rPr>
          <w:rFonts w:asciiTheme="majorHAnsi" w:hAnsiTheme="majorHAnsi"/>
          <w:sz w:val="20"/>
          <w:szCs w:val="20"/>
        </w:rPr>
        <w:t>In this case</w:t>
      </w:r>
      <w:r w:rsidR="00713B50" w:rsidRPr="009C5451">
        <w:rPr>
          <w:rFonts w:asciiTheme="majorHAnsi" w:hAnsiTheme="majorHAnsi"/>
          <w:sz w:val="20"/>
          <w:szCs w:val="20"/>
        </w:rPr>
        <w:t xml:space="preserve">, </w:t>
      </w:r>
      <w:proofErr w:type="spellStart"/>
      <w:r w:rsidRPr="009C5451">
        <w:rPr>
          <w:rFonts w:asciiTheme="majorHAnsi" w:hAnsiTheme="majorHAnsi"/>
          <w:sz w:val="20"/>
          <w:szCs w:val="20"/>
        </w:rPr>
        <w:t>Yoani</w:t>
      </w:r>
      <w:proofErr w:type="spellEnd"/>
      <w:r w:rsidRPr="009C5451">
        <w:rPr>
          <w:rFonts w:asciiTheme="majorHAnsi" w:hAnsiTheme="majorHAnsi"/>
          <w:sz w:val="20"/>
          <w:szCs w:val="20"/>
        </w:rPr>
        <w:t xml:space="preserve"> Sánchez was the victim of a</w:t>
      </w:r>
      <w:r w:rsidR="00F30DD5">
        <w:rPr>
          <w:rFonts w:asciiTheme="majorHAnsi" w:hAnsiTheme="majorHAnsi"/>
          <w:sz w:val="20"/>
          <w:szCs w:val="20"/>
        </w:rPr>
        <w:t xml:space="preserve"> government</w:t>
      </w:r>
      <w:r w:rsidRPr="009C5451">
        <w:rPr>
          <w:rFonts w:asciiTheme="majorHAnsi" w:hAnsiTheme="majorHAnsi"/>
          <w:sz w:val="20"/>
          <w:szCs w:val="20"/>
        </w:rPr>
        <w:t xml:space="preserve"> smear campaign waged by the state-owned media</w:t>
      </w:r>
      <w:r w:rsidR="00713B50" w:rsidRPr="009C5451">
        <w:rPr>
          <w:rFonts w:asciiTheme="majorHAnsi" w:hAnsiTheme="majorHAnsi"/>
          <w:sz w:val="20"/>
          <w:szCs w:val="20"/>
        </w:rPr>
        <w:t xml:space="preserve">. </w:t>
      </w:r>
      <w:r w:rsidRPr="009C5451">
        <w:rPr>
          <w:rFonts w:asciiTheme="majorHAnsi" w:hAnsiTheme="majorHAnsi"/>
          <w:sz w:val="20"/>
          <w:szCs w:val="20"/>
        </w:rPr>
        <w:t xml:space="preserve">The statements against her constituted stigmatization by State agents </w:t>
      </w:r>
      <w:r w:rsidR="00D07E69" w:rsidRPr="009C5451">
        <w:rPr>
          <w:rFonts w:asciiTheme="majorHAnsi" w:hAnsiTheme="majorHAnsi"/>
          <w:sz w:val="20"/>
          <w:szCs w:val="20"/>
        </w:rPr>
        <w:t>because of</w:t>
      </w:r>
      <w:r w:rsidRPr="009C5451">
        <w:rPr>
          <w:rFonts w:asciiTheme="majorHAnsi" w:hAnsiTheme="majorHAnsi"/>
          <w:sz w:val="20"/>
          <w:szCs w:val="20"/>
        </w:rPr>
        <w:t xml:space="preserve"> her critical stance towards the government, and were made in front of her family, friends, colleagues, and the entire Cuban society.</w:t>
      </w:r>
      <w:r w:rsidR="00713B50" w:rsidRPr="009C5451">
        <w:rPr>
          <w:rFonts w:asciiTheme="majorHAnsi" w:hAnsiTheme="majorHAnsi"/>
          <w:sz w:val="20"/>
          <w:szCs w:val="20"/>
        </w:rPr>
        <w:t xml:space="preserve"> </w:t>
      </w:r>
      <w:r w:rsidR="00D07E69" w:rsidRPr="00D07E69">
        <w:rPr>
          <w:rFonts w:asciiTheme="majorHAnsi" w:hAnsiTheme="majorHAnsi"/>
          <w:sz w:val="20"/>
          <w:szCs w:val="20"/>
        </w:rPr>
        <w:t xml:space="preserve">The Commission takes the view that </w:t>
      </w:r>
      <w:r w:rsidR="00F30DD5">
        <w:rPr>
          <w:rFonts w:asciiTheme="majorHAnsi" w:hAnsiTheme="majorHAnsi"/>
          <w:sz w:val="20"/>
          <w:szCs w:val="20"/>
        </w:rPr>
        <w:t>these</w:t>
      </w:r>
      <w:r w:rsidR="00D07E69" w:rsidRPr="00D07E69">
        <w:rPr>
          <w:rFonts w:asciiTheme="majorHAnsi" w:hAnsiTheme="majorHAnsi"/>
          <w:sz w:val="20"/>
          <w:szCs w:val="20"/>
        </w:rPr>
        <w:t xml:space="preserve"> acts of harassment, in a context such as Cuba</w:t>
      </w:r>
      <w:r w:rsidR="00D07E69">
        <w:rPr>
          <w:rFonts w:asciiTheme="majorHAnsi" w:hAnsiTheme="majorHAnsi"/>
          <w:sz w:val="20"/>
          <w:szCs w:val="20"/>
        </w:rPr>
        <w:t>’</w:t>
      </w:r>
      <w:r w:rsidR="00D07E69" w:rsidRPr="00D07E69">
        <w:rPr>
          <w:rFonts w:asciiTheme="majorHAnsi" w:hAnsiTheme="majorHAnsi"/>
          <w:sz w:val="20"/>
          <w:szCs w:val="20"/>
        </w:rPr>
        <w:t xml:space="preserve">s, </w:t>
      </w:r>
      <w:r w:rsidR="00F30DD5">
        <w:rPr>
          <w:rFonts w:asciiTheme="majorHAnsi" w:hAnsiTheme="majorHAnsi"/>
          <w:sz w:val="20"/>
          <w:szCs w:val="20"/>
        </w:rPr>
        <w:t>were designed—by the State—</w:t>
      </w:r>
      <w:r w:rsidR="00D07E69" w:rsidRPr="00D07E69">
        <w:rPr>
          <w:rFonts w:asciiTheme="majorHAnsi" w:hAnsiTheme="majorHAnsi"/>
          <w:sz w:val="20"/>
          <w:szCs w:val="20"/>
        </w:rPr>
        <w:t>to intentionally discredit the victim by undermining her honor and reputation in the eyes of public opinion</w:t>
      </w:r>
      <w:r w:rsidR="00713B50" w:rsidRPr="009C5451">
        <w:rPr>
          <w:rFonts w:asciiTheme="majorHAnsi" w:hAnsiTheme="majorHAnsi"/>
          <w:sz w:val="20"/>
          <w:szCs w:val="20"/>
        </w:rPr>
        <w:t xml:space="preserve">. </w:t>
      </w:r>
      <w:r w:rsidR="00D07E69" w:rsidRPr="00D07E69">
        <w:rPr>
          <w:rFonts w:asciiTheme="majorHAnsi" w:hAnsiTheme="majorHAnsi"/>
          <w:sz w:val="20"/>
          <w:szCs w:val="20"/>
        </w:rPr>
        <w:t xml:space="preserve">Furthermore, the constant harassment and </w:t>
      </w:r>
      <w:r w:rsidR="00F30DD5">
        <w:rPr>
          <w:rFonts w:asciiTheme="majorHAnsi" w:hAnsiTheme="majorHAnsi"/>
          <w:sz w:val="20"/>
          <w:szCs w:val="20"/>
        </w:rPr>
        <w:t xml:space="preserve">government </w:t>
      </w:r>
      <w:r w:rsidR="00D07E69" w:rsidRPr="00D07E69">
        <w:rPr>
          <w:rFonts w:asciiTheme="majorHAnsi" w:hAnsiTheme="majorHAnsi"/>
          <w:sz w:val="20"/>
          <w:szCs w:val="20"/>
        </w:rPr>
        <w:t>surveillance of her home play a role in Cuban society</w:t>
      </w:r>
      <w:r w:rsidR="00D07E69">
        <w:rPr>
          <w:rFonts w:asciiTheme="majorHAnsi" w:hAnsiTheme="majorHAnsi"/>
          <w:sz w:val="20"/>
          <w:szCs w:val="20"/>
        </w:rPr>
        <w:t>’</w:t>
      </w:r>
      <w:r w:rsidR="00D07E69" w:rsidRPr="00D07E69">
        <w:rPr>
          <w:rFonts w:asciiTheme="majorHAnsi" w:hAnsiTheme="majorHAnsi"/>
          <w:sz w:val="20"/>
          <w:szCs w:val="20"/>
        </w:rPr>
        <w:t xml:space="preserve">s perception </w:t>
      </w:r>
      <w:r w:rsidR="00CF43F6">
        <w:rPr>
          <w:rFonts w:asciiTheme="majorHAnsi" w:hAnsiTheme="majorHAnsi"/>
          <w:sz w:val="20"/>
          <w:szCs w:val="20"/>
        </w:rPr>
        <w:t xml:space="preserve">of how </w:t>
      </w:r>
      <w:r w:rsidR="00D07E69" w:rsidRPr="00D07E69">
        <w:rPr>
          <w:rFonts w:asciiTheme="majorHAnsi" w:hAnsiTheme="majorHAnsi"/>
          <w:sz w:val="20"/>
          <w:szCs w:val="20"/>
        </w:rPr>
        <w:t>the journalist</w:t>
      </w:r>
      <w:r w:rsidR="00D07E69">
        <w:rPr>
          <w:rFonts w:asciiTheme="majorHAnsi" w:hAnsiTheme="majorHAnsi"/>
          <w:sz w:val="20"/>
          <w:szCs w:val="20"/>
        </w:rPr>
        <w:t>’</w:t>
      </w:r>
      <w:r w:rsidR="00D07E69" w:rsidRPr="00D07E69">
        <w:rPr>
          <w:rFonts w:asciiTheme="majorHAnsi" w:hAnsiTheme="majorHAnsi"/>
          <w:sz w:val="20"/>
          <w:szCs w:val="20"/>
        </w:rPr>
        <w:t>s opinions and expressions are received</w:t>
      </w:r>
      <w:r w:rsidR="00713B50" w:rsidRPr="009C5451">
        <w:rPr>
          <w:rFonts w:asciiTheme="majorHAnsi" w:hAnsiTheme="majorHAnsi"/>
          <w:sz w:val="20"/>
          <w:szCs w:val="20"/>
        </w:rPr>
        <w:t xml:space="preserve">. </w:t>
      </w:r>
      <w:r w:rsidR="00D07E69" w:rsidRPr="00D07E69">
        <w:rPr>
          <w:rFonts w:asciiTheme="majorHAnsi" w:hAnsiTheme="majorHAnsi"/>
          <w:sz w:val="20"/>
          <w:szCs w:val="20"/>
        </w:rPr>
        <w:t xml:space="preserve">It also has a chilling effect not only on other journalists but also on the broader population, which </w:t>
      </w:r>
      <w:r w:rsidR="00CF43F6">
        <w:rPr>
          <w:rFonts w:asciiTheme="majorHAnsi" w:hAnsiTheme="majorHAnsi"/>
          <w:sz w:val="20"/>
          <w:szCs w:val="20"/>
        </w:rPr>
        <w:t xml:space="preserve">knows </w:t>
      </w:r>
      <w:r w:rsidR="00D07E69" w:rsidRPr="00D07E69">
        <w:rPr>
          <w:rFonts w:asciiTheme="majorHAnsi" w:hAnsiTheme="majorHAnsi"/>
          <w:sz w:val="20"/>
          <w:szCs w:val="20"/>
        </w:rPr>
        <w:t xml:space="preserve">the consequences of </w:t>
      </w:r>
      <w:r w:rsidR="00D07E69">
        <w:rPr>
          <w:rFonts w:asciiTheme="majorHAnsi" w:hAnsiTheme="majorHAnsi"/>
          <w:sz w:val="20"/>
          <w:szCs w:val="20"/>
        </w:rPr>
        <w:t xml:space="preserve">speaking out </w:t>
      </w:r>
      <w:r w:rsidR="00D07E69" w:rsidRPr="00D07E69">
        <w:rPr>
          <w:rFonts w:asciiTheme="majorHAnsi" w:hAnsiTheme="majorHAnsi"/>
          <w:sz w:val="20"/>
          <w:szCs w:val="20"/>
        </w:rPr>
        <w:t>against the regime</w:t>
      </w:r>
      <w:r w:rsidR="00713B50" w:rsidRPr="009C5451">
        <w:rPr>
          <w:rFonts w:asciiTheme="majorHAnsi" w:hAnsiTheme="majorHAnsi"/>
          <w:sz w:val="20"/>
          <w:szCs w:val="20"/>
        </w:rPr>
        <w:t>.</w:t>
      </w:r>
    </w:p>
    <w:p w14:paraId="235626BC"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n-US"/>
        </w:rPr>
      </w:pPr>
    </w:p>
    <w:p w14:paraId="3B18D20A" w14:textId="1EF32F37" w:rsidR="00713B50" w:rsidRPr="00B24750" w:rsidRDefault="00D07E69"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color w:val="auto"/>
          <w:sz w:val="20"/>
          <w:szCs w:val="20"/>
        </w:rPr>
      </w:pPr>
      <w:r w:rsidRPr="00D07E69">
        <w:rPr>
          <w:rFonts w:asciiTheme="majorHAnsi" w:hAnsiTheme="majorHAnsi"/>
          <w:color w:val="auto"/>
          <w:sz w:val="20"/>
          <w:szCs w:val="20"/>
        </w:rPr>
        <w:t xml:space="preserve">In a context such as the Cuban one, these acts could create or increase the risk to </w:t>
      </w:r>
      <w:proofErr w:type="spellStart"/>
      <w:r w:rsidRPr="00D07E69">
        <w:rPr>
          <w:rFonts w:asciiTheme="majorHAnsi" w:hAnsiTheme="majorHAnsi"/>
          <w:color w:val="auto"/>
          <w:sz w:val="20"/>
          <w:szCs w:val="20"/>
        </w:rPr>
        <w:t>Yoani</w:t>
      </w:r>
      <w:proofErr w:type="spellEnd"/>
      <w:r w:rsidRPr="00D07E69">
        <w:rPr>
          <w:rFonts w:asciiTheme="majorHAnsi" w:hAnsiTheme="majorHAnsi"/>
          <w:color w:val="auto"/>
          <w:sz w:val="20"/>
          <w:szCs w:val="20"/>
        </w:rPr>
        <w:t xml:space="preserve"> Sánchez</w:t>
      </w:r>
      <w:r>
        <w:rPr>
          <w:rFonts w:asciiTheme="majorHAnsi" w:hAnsiTheme="majorHAnsi"/>
          <w:color w:val="auto"/>
          <w:sz w:val="20"/>
          <w:szCs w:val="20"/>
        </w:rPr>
        <w:t>’</w:t>
      </w:r>
      <w:r w:rsidRPr="00D07E69">
        <w:rPr>
          <w:rFonts w:asciiTheme="majorHAnsi" w:hAnsiTheme="majorHAnsi"/>
          <w:color w:val="auto"/>
          <w:sz w:val="20"/>
          <w:szCs w:val="20"/>
        </w:rPr>
        <w:t>s physical integrity and personal freedom or security</w:t>
      </w:r>
      <w:r>
        <w:rPr>
          <w:rFonts w:asciiTheme="majorHAnsi" w:hAnsiTheme="majorHAnsi"/>
          <w:color w:val="auto"/>
          <w:sz w:val="20"/>
          <w:szCs w:val="20"/>
        </w:rPr>
        <w:t>.</w:t>
      </w:r>
      <w:r w:rsidRPr="00D07E69">
        <w:rPr>
          <w:rFonts w:asciiTheme="majorHAnsi" w:hAnsiTheme="majorHAnsi"/>
          <w:color w:val="auto"/>
          <w:sz w:val="20"/>
          <w:szCs w:val="20"/>
        </w:rPr>
        <w:t xml:space="preserve"> </w:t>
      </w:r>
      <w:r>
        <w:rPr>
          <w:rFonts w:asciiTheme="majorHAnsi" w:hAnsiTheme="majorHAnsi"/>
          <w:color w:val="auto"/>
          <w:sz w:val="20"/>
          <w:szCs w:val="20"/>
        </w:rPr>
        <w:t>They</w:t>
      </w:r>
      <w:r w:rsidRPr="00D07E69">
        <w:rPr>
          <w:rFonts w:asciiTheme="majorHAnsi" w:hAnsiTheme="majorHAnsi"/>
          <w:color w:val="auto"/>
          <w:sz w:val="20"/>
          <w:szCs w:val="20"/>
        </w:rPr>
        <w:t xml:space="preserve"> place her in a situation of </w:t>
      </w:r>
      <w:r>
        <w:rPr>
          <w:rFonts w:asciiTheme="majorHAnsi" w:hAnsiTheme="majorHAnsi"/>
          <w:color w:val="auto"/>
          <w:sz w:val="20"/>
          <w:szCs w:val="20"/>
        </w:rPr>
        <w:t xml:space="preserve">heightened </w:t>
      </w:r>
      <w:r w:rsidRPr="00D07E69">
        <w:rPr>
          <w:rFonts w:asciiTheme="majorHAnsi" w:hAnsiTheme="majorHAnsi"/>
          <w:color w:val="auto"/>
          <w:sz w:val="20"/>
          <w:szCs w:val="20"/>
        </w:rPr>
        <w:t xml:space="preserve">vulnerability, not only because of the content of </w:t>
      </w:r>
      <w:r>
        <w:rPr>
          <w:rFonts w:asciiTheme="majorHAnsi" w:hAnsiTheme="majorHAnsi"/>
          <w:color w:val="auto"/>
          <w:sz w:val="20"/>
          <w:szCs w:val="20"/>
        </w:rPr>
        <w:t>th</w:t>
      </w:r>
      <w:r w:rsidR="009F6A37">
        <w:rPr>
          <w:rFonts w:asciiTheme="majorHAnsi" w:hAnsiTheme="majorHAnsi"/>
          <w:color w:val="auto"/>
          <w:sz w:val="20"/>
          <w:szCs w:val="20"/>
        </w:rPr>
        <w:t xml:space="preserve">e </w:t>
      </w:r>
      <w:r w:rsidRPr="00D07E69">
        <w:rPr>
          <w:rFonts w:asciiTheme="majorHAnsi" w:hAnsiTheme="majorHAnsi"/>
          <w:color w:val="auto"/>
          <w:sz w:val="20"/>
          <w:szCs w:val="20"/>
        </w:rPr>
        <w:t>statements, but also because they could be interpreted by individuals and groups of individuals in a way that leads them to engage in harassment</w:t>
      </w:r>
      <w:r w:rsidR="00E91F73">
        <w:rPr>
          <w:rFonts w:asciiTheme="majorHAnsi" w:hAnsiTheme="majorHAnsi"/>
          <w:color w:val="auto"/>
          <w:sz w:val="20"/>
          <w:szCs w:val="20"/>
        </w:rPr>
        <w:t xml:space="preserve"> or</w:t>
      </w:r>
      <w:r w:rsidRPr="00D07E69">
        <w:rPr>
          <w:rFonts w:asciiTheme="majorHAnsi" w:hAnsiTheme="majorHAnsi"/>
          <w:color w:val="auto"/>
          <w:sz w:val="20"/>
          <w:szCs w:val="20"/>
        </w:rPr>
        <w:t xml:space="preserve"> violence, </w:t>
      </w:r>
      <w:r w:rsidR="00E91F73">
        <w:rPr>
          <w:rFonts w:asciiTheme="majorHAnsi" w:hAnsiTheme="majorHAnsi"/>
          <w:color w:val="auto"/>
          <w:sz w:val="20"/>
          <w:szCs w:val="20"/>
        </w:rPr>
        <w:t>or to interfere with</w:t>
      </w:r>
      <w:r w:rsidRPr="00D07E69">
        <w:rPr>
          <w:rFonts w:asciiTheme="majorHAnsi" w:hAnsiTheme="majorHAnsi"/>
          <w:color w:val="auto"/>
          <w:sz w:val="20"/>
          <w:szCs w:val="20"/>
        </w:rPr>
        <w:t xml:space="preserve"> </w:t>
      </w:r>
      <w:r w:rsidR="00E91F73">
        <w:rPr>
          <w:rFonts w:asciiTheme="majorHAnsi" w:hAnsiTheme="majorHAnsi"/>
          <w:color w:val="auto"/>
          <w:sz w:val="20"/>
          <w:szCs w:val="20"/>
        </w:rPr>
        <w:t>the</w:t>
      </w:r>
      <w:r w:rsidRPr="00D07E69">
        <w:rPr>
          <w:rFonts w:asciiTheme="majorHAnsi" w:hAnsiTheme="majorHAnsi"/>
          <w:color w:val="auto"/>
          <w:sz w:val="20"/>
          <w:szCs w:val="20"/>
        </w:rPr>
        <w:t xml:space="preserve"> exercise of </w:t>
      </w:r>
      <w:r w:rsidR="00E91F73">
        <w:rPr>
          <w:rFonts w:asciiTheme="majorHAnsi" w:hAnsiTheme="majorHAnsi"/>
          <w:color w:val="auto"/>
          <w:sz w:val="20"/>
          <w:szCs w:val="20"/>
        </w:rPr>
        <w:t>her</w:t>
      </w:r>
      <w:r w:rsidRPr="00D07E69">
        <w:rPr>
          <w:rFonts w:asciiTheme="majorHAnsi" w:hAnsiTheme="majorHAnsi"/>
          <w:color w:val="auto"/>
          <w:sz w:val="20"/>
          <w:szCs w:val="20"/>
        </w:rPr>
        <w:t xml:space="preserve"> right to freedom of expression</w:t>
      </w:r>
      <w:r w:rsidR="00713B50" w:rsidRPr="00B24750">
        <w:rPr>
          <w:rFonts w:asciiTheme="majorHAnsi" w:hAnsiTheme="majorHAnsi"/>
          <w:sz w:val="20"/>
          <w:szCs w:val="20"/>
        </w:rPr>
        <w:t xml:space="preserve">. </w:t>
      </w:r>
    </w:p>
    <w:p w14:paraId="423E9802" w14:textId="77777777" w:rsidR="00713B50" w:rsidRPr="00B24750" w:rsidRDefault="00713B50" w:rsidP="00F6645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jc w:val="both"/>
        <w:rPr>
          <w:rFonts w:asciiTheme="majorHAnsi" w:hAnsiTheme="majorHAnsi"/>
          <w:color w:val="auto"/>
          <w:sz w:val="20"/>
          <w:szCs w:val="20"/>
        </w:rPr>
      </w:pPr>
    </w:p>
    <w:p w14:paraId="765A5E6A" w14:textId="779B31B9" w:rsidR="00713B50" w:rsidRPr="00B24750" w:rsidRDefault="00C9199B"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sidRPr="00C9199B">
        <w:rPr>
          <w:rFonts w:asciiTheme="majorHAnsi" w:hAnsiTheme="majorHAnsi"/>
          <w:color w:val="auto"/>
          <w:sz w:val="20"/>
          <w:szCs w:val="20"/>
        </w:rPr>
        <w:lastRenderedPageBreak/>
        <w:t xml:space="preserve">The IACHR has concluded in this report that </w:t>
      </w:r>
      <w:proofErr w:type="spellStart"/>
      <w:r w:rsidRPr="00C9199B">
        <w:rPr>
          <w:rFonts w:asciiTheme="majorHAnsi" w:hAnsiTheme="majorHAnsi"/>
          <w:color w:val="auto"/>
          <w:sz w:val="20"/>
          <w:szCs w:val="20"/>
        </w:rPr>
        <w:t>Yoani</w:t>
      </w:r>
      <w:proofErr w:type="spellEnd"/>
      <w:r w:rsidRPr="00C9199B">
        <w:rPr>
          <w:rFonts w:asciiTheme="majorHAnsi" w:hAnsiTheme="majorHAnsi"/>
          <w:color w:val="auto"/>
          <w:sz w:val="20"/>
          <w:szCs w:val="20"/>
        </w:rPr>
        <w:t xml:space="preserve"> Sánchez was persecuted in the following manner</w:t>
      </w:r>
      <w:r w:rsidR="00713B50" w:rsidRPr="00B24750">
        <w:rPr>
          <w:rFonts w:asciiTheme="majorHAnsi" w:hAnsiTheme="majorHAnsi"/>
          <w:color w:val="auto"/>
          <w:sz w:val="20"/>
          <w:szCs w:val="20"/>
        </w:rPr>
        <w:t xml:space="preserve">: </w:t>
      </w:r>
      <w:r>
        <w:rPr>
          <w:rFonts w:asciiTheme="majorHAnsi" w:hAnsiTheme="majorHAnsi"/>
          <w:color w:val="auto"/>
          <w:sz w:val="20"/>
          <w:szCs w:val="20"/>
        </w:rPr>
        <w:t>(</w:t>
      </w:r>
      <w:r w:rsidR="00713B50" w:rsidRPr="00B24750">
        <w:rPr>
          <w:rFonts w:asciiTheme="majorHAnsi" w:hAnsiTheme="majorHAnsi"/>
          <w:color w:val="auto"/>
          <w:sz w:val="20"/>
          <w:szCs w:val="20"/>
        </w:rPr>
        <w:t xml:space="preserve">a) </w:t>
      </w:r>
      <w:r w:rsidRPr="00C9199B">
        <w:rPr>
          <w:rFonts w:asciiTheme="majorHAnsi" w:hAnsiTheme="majorHAnsi"/>
          <w:color w:val="auto"/>
          <w:sz w:val="20"/>
          <w:szCs w:val="20"/>
        </w:rPr>
        <w:t>she was the victim of two unlawful and arbitrary arrests, during which she was physically assaulted and subjected to an attempt at forced nudity by three female police officers</w:t>
      </w:r>
      <w:r w:rsidR="00713B50" w:rsidRPr="00B24750">
        <w:rPr>
          <w:rFonts w:asciiTheme="majorHAnsi" w:hAnsiTheme="majorHAnsi"/>
          <w:color w:val="auto"/>
          <w:sz w:val="20"/>
          <w:szCs w:val="20"/>
        </w:rPr>
        <w:t xml:space="preserve">. </w:t>
      </w:r>
      <w:r w:rsidRPr="00C9199B">
        <w:rPr>
          <w:rFonts w:asciiTheme="majorHAnsi" w:hAnsiTheme="majorHAnsi"/>
          <w:color w:val="auto"/>
          <w:sz w:val="20"/>
          <w:szCs w:val="20"/>
        </w:rPr>
        <w:t xml:space="preserve">The latter is particularly serious </w:t>
      </w:r>
      <w:r>
        <w:rPr>
          <w:rFonts w:asciiTheme="majorHAnsi" w:hAnsiTheme="majorHAnsi"/>
          <w:color w:val="auto"/>
          <w:sz w:val="20"/>
          <w:szCs w:val="20"/>
        </w:rPr>
        <w:t xml:space="preserve">when committed </w:t>
      </w:r>
      <w:r w:rsidRPr="00C9199B">
        <w:rPr>
          <w:rFonts w:asciiTheme="majorHAnsi" w:hAnsiTheme="majorHAnsi"/>
          <w:color w:val="auto"/>
          <w:sz w:val="20"/>
          <w:szCs w:val="20"/>
        </w:rPr>
        <w:t>against a woman journalist</w:t>
      </w:r>
      <w:r>
        <w:rPr>
          <w:rFonts w:asciiTheme="majorHAnsi" w:hAnsiTheme="majorHAnsi"/>
          <w:color w:val="auto"/>
          <w:sz w:val="20"/>
          <w:szCs w:val="20"/>
        </w:rPr>
        <w:t>,</w:t>
      </w:r>
      <w:r w:rsidRPr="00C9199B">
        <w:rPr>
          <w:rFonts w:asciiTheme="majorHAnsi" w:hAnsiTheme="majorHAnsi"/>
          <w:color w:val="auto"/>
          <w:sz w:val="20"/>
          <w:szCs w:val="20"/>
        </w:rPr>
        <w:t xml:space="preserve"> since it affects her personal dignity differently than </w:t>
      </w:r>
      <w:r>
        <w:rPr>
          <w:rFonts w:asciiTheme="majorHAnsi" w:hAnsiTheme="majorHAnsi"/>
          <w:color w:val="auto"/>
          <w:sz w:val="20"/>
          <w:szCs w:val="20"/>
        </w:rPr>
        <w:t>a man’s</w:t>
      </w:r>
      <w:r w:rsidR="00292EB1">
        <w:rPr>
          <w:rFonts w:asciiTheme="majorHAnsi" w:hAnsiTheme="majorHAnsi"/>
          <w:color w:val="auto"/>
          <w:sz w:val="20"/>
          <w:szCs w:val="20"/>
        </w:rPr>
        <w:t>.</w:t>
      </w:r>
      <w:r w:rsidRPr="00C9199B">
        <w:rPr>
          <w:rFonts w:asciiTheme="majorHAnsi" w:hAnsiTheme="majorHAnsi"/>
          <w:color w:val="auto"/>
          <w:sz w:val="20"/>
          <w:szCs w:val="20"/>
        </w:rPr>
        <w:t xml:space="preserve"> </w:t>
      </w:r>
      <w:r w:rsidR="00292EB1">
        <w:rPr>
          <w:rFonts w:asciiTheme="majorHAnsi" w:hAnsiTheme="majorHAnsi"/>
          <w:color w:val="auto"/>
          <w:sz w:val="20"/>
          <w:szCs w:val="20"/>
        </w:rPr>
        <w:t>I</w:t>
      </w:r>
      <w:r>
        <w:rPr>
          <w:rFonts w:asciiTheme="majorHAnsi" w:hAnsiTheme="majorHAnsi"/>
          <w:color w:val="auto"/>
          <w:sz w:val="20"/>
          <w:szCs w:val="20"/>
        </w:rPr>
        <w:t xml:space="preserve">t </w:t>
      </w:r>
      <w:r w:rsidR="00292EB1">
        <w:rPr>
          <w:rFonts w:asciiTheme="majorHAnsi" w:hAnsiTheme="majorHAnsi"/>
          <w:color w:val="auto"/>
          <w:sz w:val="20"/>
          <w:szCs w:val="20"/>
        </w:rPr>
        <w:t>is</w:t>
      </w:r>
      <w:r w:rsidRPr="00C9199B">
        <w:rPr>
          <w:rFonts w:asciiTheme="majorHAnsi" w:hAnsiTheme="majorHAnsi"/>
          <w:color w:val="auto"/>
          <w:sz w:val="20"/>
          <w:szCs w:val="20"/>
        </w:rPr>
        <w:t xml:space="preserve"> a form of violence against women </w:t>
      </w:r>
      <w:r w:rsidR="00292EB1">
        <w:rPr>
          <w:rFonts w:asciiTheme="majorHAnsi" w:hAnsiTheme="majorHAnsi"/>
          <w:color w:val="auto"/>
          <w:sz w:val="20"/>
          <w:szCs w:val="20"/>
        </w:rPr>
        <w:t>that has</w:t>
      </w:r>
      <w:r w:rsidRPr="00C9199B">
        <w:rPr>
          <w:rFonts w:asciiTheme="majorHAnsi" w:hAnsiTheme="majorHAnsi"/>
          <w:color w:val="auto"/>
          <w:sz w:val="20"/>
          <w:szCs w:val="20"/>
        </w:rPr>
        <w:t xml:space="preserve"> a disproportionate impact </w:t>
      </w:r>
      <w:r>
        <w:rPr>
          <w:rFonts w:asciiTheme="majorHAnsi" w:hAnsiTheme="majorHAnsi"/>
          <w:color w:val="auto"/>
          <w:sz w:val="20"/>
          <w:szCs w:val="20"/>
        </w:rPr>
        <w:t>on account of</w:t>
      </w:r>
      <w:r w:rsidRPr="00C9199B">
        <w:rPr>
          <w:rFonts w:asciiTheme="majorHAnsi" w:hAnsiTheme="majorHAnsi"/>
          <w:color w:val="auto"/>
          <w:sz w:val="20"/>
          <w:szCs w:val="20"/>
        </w:rPr>
        <w:t xml:space="preserve"> </w:t>
      </w:r>
      <w:r w:rsidR="00292EB1">
        <w:rPr>
          <w:rFonts w:asciiTheme="majorHAnsi" w:hAnsiTheme="majorHAnsi"/>
          <w:color w:val="auto"/>
          <w:sz w:val="20"/>
          <w:szCs w:val="20"/>
        </w:rPr>
        <w:t xml:space="preserve">the victim’s </w:t>
      </w:r>
      <w:r w:rsidRPr="00C9199B">
        <w:rPr>
          <w:rFonts w:asciiTheme="majorHAnsi" w:hAnsiTheme="majorHAnsi"/>
          <w:color w:val="auto"/>
          <w:sz w:val="20"/>
          <w:szCs w:val="20"/>
        </w:rPr>
        <w:t xml:space="preserve">gender and </w:t>
      </w:r>
      <w:r w:rsidR="00292EB1">
        <w:rPr>
          <w:rFonts w:asciiTheme="majorHAnsi" w:hAnsiTheme="majorHAnsi"/>
          <w:color w:val="auto"/>
          <w:sz w:val="20"/>
          <w:szCs w:val="20"/>
        </w:rPr>
        <w:t>the</w:t>
      </w:r>
      <w:r>
        <w:rPr>
          <w:rFonts w:asciiTheme="majorHAnsi" w:hAnsiTheme="majorHAnsi"/>
          <w:color w:val="auto"/>
          <w:sz w:val="20"/>
          <w:szCs w:val="20"/>
        </w:rPr>
        <w:t xml:space="preserve"> </w:t>
      </w:r>
      <w:r w:rsidRPr="00C9199B">
        <w:rPr>
          <w:rFonts w:asciiTheme="majorHAnsi" w:hAnsiTheme="majorHAnsi"/>
          <w:color w:val="auto"/>
          <w:sz w:val="20"/>
          <w:szCs w:val="20"/>
        </w:rPr>
        <w:t xml:space="preserve">sexual </w:t>
      </w:r>
      <w:r>
        <w:rPr>
          <w:rFonts w:asciiTheme="majorHAnsi" w:hAnsiTheme="majorHAnsi"/>
          <w:color w:val="auto"/>
          <w:sz w:val="20"/>
          <w:szCs w:val="20"/>
        </w:rPr>
        <w:t>nature</w:t>
      </w:r>
      <w:r w:rsidR="00292EB1">
        <w:rPr>
          <w:rFonts w:asciiTheme="majorHAnsi" w:hAnsiTheme="majorHAnsi"/>
          <w:color w:val="auto"/>
          <w:sz w:val="20"/>
          <w:szCs w:val="20"/>
        </w:rPr>
        <w:t xml:space="preserve"> of the act</w:t>
      </w:r>
      <w:r w:rsidRPr="00C9199B">
        <w:rPr>
          <w:rFonts w:asciiTheme="majorHAnsi" w:hAnsiTheme="majorHAnsi"/>
          <w:color w:val="auto"/>
          <w:sz w:val="20"/>
          <w:szCs w:val="20"/>
        </w:rPr>
        <w:t>;</w:t>
      </w:r>
      <w:r w:rsidRPr="00C9199B">
        <w:rPr>
          <w:rStyle w:val="FootnoteReference"/>
          <w:rFonts w:cs="Courier New"/>
          <w:sz w:val="20"/>
          <w:szCs w:val="20"/>
        </w:rPr>
        <w:t xml:space="preserve"> </w:t>
      </w:r>
      <w:r w:rsidRPr="00C9199B">
        <w:rPr>
          <w:rStyle w:val="FootnoteReference"/>
          <w:rFonts w:cs="Courier New"/>
          <w:sz w:val="20"/>
          <w:szCs w:val="20"/>
        </w:rPr>
        <w:footnoteReference w:id="283"/>
      </w:r>
      <w:r w:rsidR="00713B50" w:rsidRPr="00B24750">
        <w:rPr>
          <w:rFonts w:asciiTheme="majorHAnsi" w:hAnsiTheme="majorHAnsi" w:cs="Courier New"/>
          <w:sz w:val="20"/>
          <w:szCs w:val="20"/>
        </w:rPr>
        <w:t xml:space="preserve"> </w:t>
      </w:r>
      <w:r>
        <w:rPr>
          <w:rFonts w:asciiTheme="majorHAnsi" w:hAnsiTheme="majorHAnsi" w:cs="Courier New"/>
          <w:sz w:val="20"/>
          <w:szCs w:val="20"/>
        </w:rPr>
        <w:t>(</w:t>
      </w:r>
      <w:r w:rsidR="00713B50" w:rsidRPr="00B24750">
        <w:rPr>
          <w:rFonts w:asciiTheme="majorHAnsi" w:hAnsiTheme="majorHAnsi" w:cs="Courier New"/>
          <w:sz w:val="20"/>
          <w:szCs w:val="20"/>
        </w:rPr>
        <w:t>b)</w:t>
      </w:r>
      <w:r w:rsidR="00713B50" w:rsidRPr="00B24750">
        <w:rPr>
          <w:rFonts w:asciiTheme="majorHAnsi" w:hAnsiTheme="majorHAnsi"/>
          <w:color w:val="auto"/>
          <w:sz w:val="20"/>
          <w:szCs w:val="20"/>
        </w:rPr>
        <w:t xml:space="preserve"> </w:t>
      </w:r>
      <w:r w:rsidR="00A405C4" w:rsidRPr="00A405C4">
        <w:rPr>
          <w:rFonts w:asciiTheme="majorHAnsi" w:hAnsiTheme="majorHAnsi"/>
          <w:color w:val="auto"/>
          <w:sz w:val="20"/>
          <w:szCs w:val="20"/>
        </w:rPr>
        <w:t xml:space="preserve">during an arrest, both her cell phone and the camera she was carrying were seized without a warrant, </w:t>
      </w:r>
      <w:r w:rsidR="00A405C4">
        <w:rPr>
          <w:rFonts w:asciiTheme="majorHAnsi" w:hAnsiTheme="majorHAnsi"/>
          <w:color w:val="auto"/>
          <w:sz w:val="20"/>
          <w:szCs w:val="20"/>
        </w:rPr>
        <w:t xml:space="preserve">despite the fact that </w:t>
      </w:r>
      <w:r w:rsidR="00A405C4" w:rsidRPr="00A405C4">
        <w:rPr>
          <w:rFonts w:asciiTheme="majorHAnsi" w:hAnsiTheme="majorHAnsi"/>
          <w:color w:val="auto"/>
          <w:sz w:val="20"/>
          <w:szCs w:val="20"/>
        </w:rPr>
        <w:t>her work as a journalist</w:t>
      </w:r>
      <w:r w:rsidR="00A405C4">
        <w:rPr>
          <w:rFonts w:asciiTheme="majorHAnsi" w:hAnsiTheme="majorHAnsi"/>
          <w:color w:val="auto"/>
          <w:sz w:val="20"/>
          <w:szCs w:val="20"/>
        </w:rPr>
        <w:t xml:space="preserve"> should have been protected;</w:t>
      </w:r>
      <w:r w:rsidR="00A405C4" w:rsidRPr="00711C22">
        <w:rPr>
          <w:rStyle w:val="FootnoteReference"/>
          <w:color w:val="auto"/>
          <w:sz w:val="20"/>
          <w:szCs w:val="20"/>
        </w:rPr>
        <w:footnoteReference w:id="284"/>
      </w:r>
      <w:r w:rsidR="00A405C4">
        <w:rPr>
          <w:rFonts w:asciiTheme="majorHAnsi" w:hAnsiTheme="majorHAnsi"/>
          <w:color w:val="auto"/>
          <w:sz w:val="20"/>
          <w:szCs w:val="20"/>
        </w:rPr>
        <w:t xml:space="preserve"> (</w:t>
      </w:r>
      <w:r w:rsidR="00713B50" w:rsidRPr="00B24750">
        <w:rPr>
          <w:rFonts w:asciiTheme="majorHAnsi" w:hAnsiTheme="majorHAnsi"/>
          <w:color w:val="auto"/>
          <w:sz w:val="20"/>
          <w:szCs w:val="20"/>
        </w:rPr>
        <w:t xml:space="preserve">c) </w:t>
      </w:r>
      <w:r w:rsidR="00A405C4" w:rsidRPr="00A405C4">
        <w:rPr>
          <w:rFonts w:asciiTheme="majorHAnsi" w:hAnsiTheme="majorHAnsi"/>
          <w:color w:val="auto"/>
          <w:sz w:val="20"/>
          <w:szCs w:val="20"/>
        </w:rPr>
        <w:t>the State prevented her from leaving the country on 20 occasions</w:t>
      </w:r>
      <w:r w:rsidR="00713B50" w:rsidRPr="00B24750">
        <w:rPr>
          <w:rFonts w:asciiTheme="majorHAnsi" w:hAnsiTheme="majorHAnsi"/>
          <w:color w:val="auto"/>
          <w:sz w:val="20"/>
          <w:szCs w:val="20"/>
        </w:rPr>
        <w:t xml:space="preserve">; </w:t>
      </w:r>
      <w:r w:rsidR="00A405C4">
        <w:rPr>
          <w:rFonts w:asciiTheme="majorHAnsi" w:hAnsiTheme="majorHAnsi"/>
          <w:color w:val="auto"/>
          <w:sz w:val="20"/>
          <w:szCs w:val="20"/>
        </w:rPr>
        <w:t>(</w:t>
      </w:r>
      <w:r w:rsidR="00713B50" w:rsidRPr="00B24750">
        <w:rPr>
          <w:rFonts w:asciiTheme="majorHAnsi" w:hAnsiTheme="majorHAnsi"/>
          <w:color w:val="auto"/>
          <w:sz w:val="20"/>
          <w:szCs w:val="20"/>
        </w:rPr>
        <w:t xml:space="preserve">d) </w:t>
      </w:r>
      <w:r w:rsidR="00A405C4" w:rsidRPr="00A405C4">
        <w:rPr>
          <w:rFonts w:asciiTheme="majorHAnsi" w:hAnsiTheme="majorHAnsi"/>
          <w:color w:val="auto"/>
          <w:sz w:val="20"/>
          <w:szCs w:val="20"/>
        </w:rPr>
        <w:t>she was subjected to a smear campaign</w:t>
      </w:r>
      <w:r w:rsidR="00713B50" w:rsidRPr="00B24750">
        <w:rPr>
          <w:rFonts w:asciiTheme="majorHAnsi" w:hAnsiTheme="majorHAnsi"/>
          <w:color w:val="auto"/>
          <w:sz w:val="20"/>
          <w:szCs w:val="20"/>
        </w:rPr>
        <w:t xml:space="preserve">; </w:t>
      </w:r>
      <w:r w:rsidR="00A405C4">
        <w:rPr>
          <w:rFonts w:asciiTheme="majorHAnsi" w:hAnsiTheme="majorHAnsi"/>
          <w:color w:val="auto"/>
          <w:sz w:val="20"/>
          <w:szCs w:val="20"/>
        </w:rPr>
        <w:t>(</w:t>
      </w:r>
      <w:r w:rsidR="00713B50" w:rsidRPr="00B24750">
        <w:rPr>
          <w:rFonts w:asciiTheme="majorHAnsi" w:hAnsiTheme="majorHAnsi"/>
          <w:color w:val="auto"/>
          <w:sz w:val="20"/>
          <w:szCs w:val="20"/>
        </w:rPr>
        <w:t xml:space="preserve">e) </w:t>
      </w:r>
      <w:r w:rsidR="00A405C4" w:rsidRPr="00A405C4">
        <w:rPr>
          <w:rFonts w:asciiTheme="majorHAnsi" w:hAnsiTheme="majorHAnsi"/>
          <w:color w:val="auto"/>
          <w:sz w:val="20"/>
          <w:szCs w:val="20"/>
        </w:rPr>
        <w:t xml:space="preserve">she was prevented from </w:t>
      </w:r>
      <w:r w:rsidR="00A405C4">
        <w:rPr>
          <w:rFonts w:asciiTheme="majorHAnsi" w:hAnsiTheme="majorHAnsi"/>
          <w:color w:val="auto"/>
          <w:sz w:val="20"/>
          <w:szCs w:val="20"/>
        </w:rPr>
        <w:t>gathering</w:t>
      </w:r>
      <w:r w:rsidR="00A405C4" w:rsidRPr="00A405C4">
        <w:rPr>
          <w:rFonts w:asciiTheme="majorHAnsi" w:hAnsiTheme="majorHAnsi"/>
          <w:color w:val="auto"/>
          <w:sz w:val="20"/>
          <w:szCs w:val="20"/>
        </w:rPr>
        <w:t xml:space="preserve"> with other people at public events and from accessing th</w:t>
      </w:r>
      <w:r w:rsidR="00A405C4">
        <w:rPr>
          <w:rFonts w:asciiTheme="majorHAnsi" w:hAnsiTheme="majorHAnsi"/>
          <w:color w:val="auto"/>
          <w:sz w:val="20"/>
          <w:szCs w:val="20"/>
        </w:rPr>
        <w:t>o</w:t>
      </w:r>
      <w:r w:rsidR="00A405C4" w:rsidRPr="00A405C4">
        <w:rPr>
          <w:rFonts w:asciiTheme="majorHAnsi" w:hAnsiTheme="majorHAnsi"/>
          <w:color w:val="auto"/>
          <w:sz w:val="20"/>
          <w:szCs w:val="20"/>
        </w:rPr>
        <w:t>se events</w:t>
      </w:r>
      <w:r w:rsidR="00713B50" w:rsidRPr="00B24750">
        <w:rPr>
          <w:rFonts w:asciiTheme="majorHAnsi" w:hAnsiTheme="majorHAnsi"/>
          <w:color w:val="auto"/>
          <w:sz w:val="20"/>
          <w:szCs w:val="20"/>
        </w:rPr>
        <w:t xml:space="preserve">; </w:t>
      </w:r>
      <w:r w:rsidR="00A405C4">
        <w:rPr>
          <w:rFonts w:asciiTheme="majorHAnsi" w:hAnsiTheme="majorHAnsi"/>
          <w:color w:val="auto"/>
          <w:sz w:val="20"/>
          <w:szCs w:val="20"/>
        </w:rPr>
        <w:t>(</w:t>
      </w:r>
      <w:r w:rsidR="00713B50" w:rsidRPr="00B24750">
        <w:rPr>
          <w:rFonts w:asciiTheme="majorHAnsi" w:hAnsiTheme="majorHAnsi"/>
          <w:color w:val="auto"/>
          <w:sz w:val="20"/>
          <w:szCs w:val="20"/>
        </w:rPr>
        <w:t xml:space="preserve">f) </w:t>
      </w:r>
      <w:r w:rsidR="00A405C4" w:rsidRPr="00A405C4">
        <w:rPr>
          <w:rFonts w:asciiTheme="majorHAnsi" w:hAnsiTheme="majorHAnsi"/>
          <w:color w:val="auto"/>
          <w:sz w:val="20"/>
          <w:szCs w:val="20"/>
        </w:rPr>
        <w:t xml:space="preserve">she was the target of threats, harassment, and intimidation, including warnings not to organize events with other bloggers, harassment of her family and friends, surveillance of her residence, and </w:t>
      </w:r>
      <w:r w:rsidR="00E571DC">
        <w:rPr>
          <w:rFonts w:asciiTheme="majorHAnsi" w:hAnsiTheme="majorHAnsi"/>
          <w:color w:val="auto"/>
          <w:sz w:val="20"/>
          <w:szCs w:val="20"/>
        </w:rPr>
        <w:t>monitoring</w:t>
      </w:r>
      <w:r w:rsidR="00713B50" w:rsidRPr="00B24750">
        <w:rPr>
          <w:rFonts w:asciiTheme="majorHAnsi" w:hAnsiTheme="majorHAnsi"/>
          <w:color w:val="auto"/>
          <w:sz w:val="20"/>
          <w:szCs w:val="20"/>
        </w:rPr>
        <w:t xml:space="preserve">; </w:t>
      </w:r>
      <w:r w:rsidR="00A405C4">
        <w:rPr>
          <w:rFonts w:asciiTheme="majorHAnsi" w:hAnsiTheme="majorHAnsi"/>
          <w:color w:val="auto"/>
          <w:sz w:val="20"/>
          <w:szCs w:val="20"/>
        </w:rPr>
        <w:t>(</w:t>
      </w:r>
      <w:r w:rsidR="00713B50" w:rsidRPr="00B24750">
        <w:rPr>
          <w:rFonts w:asciiTheme="majorHAnsi" w:hAnsiTheme="majorHAnsi"/>
          <w:color w:val="auto"/>
          <w:sz w:val="20"/>
          <w:szCs w:val="20"/>
        </w:rPr>
        <w:t xml:space="preserve">g) </w:t>
      </w:r>
      <w:r w:rsidR="00E571DC" w:rsidRPr="00E571DC">
        <w:rPr>
          <w:rFonts w:asciiTheme="majorHAnsi" w:hAnsiTheme="majorHAnsi"/>
          <w:color w:val="auto"/>
          <w:sz w:val="20"/>
          <w:szCs w:val="20"/>
        </w:rPr>
        <w:t>her telephone communications were intercepted</w:t>
      </w:r>
      <w:r w:rsidR="00713B50" w:rsidRPr="00B24750">
        <w:rPr>
          <w:rFonts w:asciiTheme="majorHAnsi" w:hAnsiTheme="majorHAnsi"/>
          <w:color w:val="auto"/>
          <w:sz w:val="20"/>
          <w:szCs w:val="20"/>
        </w:rPr>
        <w:t xml:space="preserve">; </w:t>
      </w:r>
      <w:r w:rsidR="00E571DC">
        <w:rPr>
          <w:rFonts w:asciiTheme="majorHAnsi" w:hAnsiTheme="majorHAnsi"/>
          <w:color w:val="auto"/>
          <w:sz w:val="20"/>
          <w:szCs w:val="20"/>
        </w:rPr>
        <w:t>(</w:t>
      </w:r>
      <w:r w:rsidR="00713B50" w:rsidRPr="00B24750">
        <w:rPr>
          <w:rFonts w:asciiTheme="majorHAnsi" w:hAnsiTheme="majorHAnsi"/>
          <w:color w:val="auto"/>
          <w:sz w:val="20"/>
          <w:szCs w:val="20"/>
        </w:rPr>
        <w:t xml:space="preserve">h) </w:t>
      </w:r>
      <w:r w:rsidR="00E571DC">
        <w:rPr>
          <w:rFonts w:asciiTheme="majorHAnsi" w:hAnsiTheme="majorHAnsi"/>
          <w:color w:val="auto"/>
          <w:sz w:val="20"/>
          <w:szCs w:val="20"/>
        </w:rPr>
        <w:t>he</w:t>
      </w:r>
      <w:r w:rsidR="00E571DC" w:rsidRPr="00E571DC">
        <w:rPr>
          <w:rFonts w:asciiTheme="majorHAnsi" w:hAnsiTheme="majorHAnsi"/>
          <w:color w:val="auto"/>
          <w:sz w:val="20"/>
          <w:szCs w:val="20"/>
        </w:rPr>
        <w:t>r blog was blocked</w:t>
      </w:r>
      <w:r w:rsidR="00E571DC">
        <w:rPr>
          <w:rFonts w:asciiTheme="majorHAnsi" w:hAnsiTheme="majorHAnsi"/>
          <w:color w:val="auto"/>
          <w:sz w:val="20"/>
          <w:szCs w:val="20"/>
        </w:rPr>
        <w:t>; and</w:t>
      </w:r>
      <w:r w:rsidR="00E571DC" w:rsidRPr="00E571DC">
        <w:rPr>
          <w:rFonts w:asciiTheme="majorHAnsi" w:hAnsiTheme="majorHAnsi"/>
          <w:color w:val="auto"/>
          <w:sz w:val="20"/>
          <w:szCs w:val="20"/>
        </w:rPr>
        <w:t xml:space="preserve"> </w:t>
      </w:r>
      <w:r w:rsidR="00E571DC">
        <w:rPr>
          <w:rFonts w:asciiTheme="majorHAnsi" w:hAnsiTheme="majorHAnsi"/>
          <w:color w:val="auto"/>
          <w:sz w:val="20"/>
          <w:szCs w:val="20"/>
        </w:rPr>
        <w:t>(</w:t>
      </w:r>
      <w:proofErr w:type="spellStart"/>
      <w:r w:rsidR="00713B50" w:rsidRPr="00B24750">
        <w:rPr>
          <w:rFonts w:asciiTheme="majorHAnsi" w:hAnsiTheme="majorHAnsi"/>
          <w:color w:val="auto"/>
          <w:sz w:val="20"/>
          <w:szCs w:val="20"/>
        </w:rPr>
        <w:t>i</w:t>
      </w:r>
      <w:proofErr w:type="spellEnd"/>
      <w:r w:rsidR="00713B50" w:rsidRPr="00B24750">
        <w:rPr>
          <w:rFonts w:asciiTheme="majorHAnsi" w:hAnsiTheme="majorHAnsi"/>
          <w:color w:val="auto"/>
          <w:sz w:val="20"/>
          <w:szCs w:val="20"/>
        </w:rPr>
        <w:t xml:space="preserve">) </w:t>
      </w:r>
      <w:r w:rsidR="00E571DC" w:rsidRPr="00E571DC">
        <w:rPr>
          <w:rFonts w:asciiTheme="majorHAnsi" w:hAnsiTheme="majorHAnsi"/>
          <w:color w:val="auto"/>
          <w:sz w:val="20"/>
          <w:szCs w:val="20"/>
        </w:rPr>
        <w:t>her complaints and petitions to state authorities were never answered</w:t>
      </w:r>
      <w:r w:rsidR="00713B50" w:rsidRPr="00B24750">
        <w:rPr>
          <w:rFonts w:asciiTheme="majorHAnsi" w:hAnsiTheme="majorHAnsi"/>
          <w:color w:val="auto"/>
          <w:sz w:val="20"/>
          <w:szCs w:val="20"/>
        </w:rPr>
        <w:t>.</w:t>
      </w:r>
    </w:p>
    <w:p w14:paraId="03E4F29C" w14:textId="77777777" w:rsidR="00713B50" w:rsidRPr="00B24750" w:rsidRDefault="00713B50" w:rsidP="00713B50">
      <w:pPr>
        <w:pStyle w:val="ListParagraph"/>
        <w:rPr>
          <w:rFonts w:asciiTheme="majorHAnsi" w:hAnsiTheme="majorHAnsi"/>
          <w:sz w:val="20"/>
          <w:szCs w:val="20"/>
        </w:rPr>
      </w:pPr>
    </w:p>
    <w:p w14:paraId="013C05F2" w14:textId="0BB56650" w:rsidR="00713B50" w:rsidRPr="00B24750" w:rsidRDefault="009556FD"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sidRPr="009556FD">
        <w:rPr>
          <w:rFonts w:asciiTheme="majorHAnsi" w:hAnsiTheme="majorHAnsi"/>
          <w:sz w:val="20"/>
          <w:szCs w:val="20"/>
        </w:rPr>
        <w:t xml:space="preserve">The IACHR is of the opinion that all these State practices carried out against </w:t>
      </w:r>
      <w:proofErr w:type="spellStart"/>
      <w:r w:rsidRPr="009556FD">
        <w:rPr>
          <w:rFonts w:asciiTheme="majorHAnsi" w:hAnsiTheme="majorHAnsi"/>
          <w:sz w:val="20"/>
          <w:szCs w:val="20"/>
        </w:rPr>
        <w:t>Yoani</w:t>
      </w:r>
      <w:proofErr w:type="spellEnd"/>
      <w:r w:rsidRPr="009556FD">
        <w:rPr>
          <w:rFonts w:asciiTheme="majorHAnsi" w:hAnsiTheme="majorHAnsi"/>
          <w:sz w:val="20"/>
          <w:szCs w:val="20"/>
        </w:rPr>
        <w:t xml:space="preserve"> Sánchez were reprisals for her journalistic activity and for the opinions and expressions of criticism and opposition to the Cuban government published on her blog</w:t>
      </w:r>
      <w:r>
        <w:rPr>
          <w:rFonts w:asciiTheme="majorHAnsi" w:hAnsiTheme="majorHAnsi"/>
          <w:sz w:val="20"/>
          <w:szCs w:val="20"/>
        </w:rPr>
        <w:t>,</w:t>
      </w:r>
      <w:r w:rsidRPr="009556FD">
        <w:rPr>
          <w:rFonts w:asciiTheme="majorHAnsi" w:hAnsiTheme="majorHAnsi"/>
          <w:sz w:val="20"/>
          <w:szCs w:val="20"/>
        </w:rPr>
        <w:t xml:space="preserve"> </w:t>
      </w:r>
      <w:proofErr w:type="spellStart"/>
      <w:r w:rsidRPr="009556FD">
        <w:rPr>
          <w:rFonts w:asciiTheme="majorHAnsi" w:hAnsiTheme="majorHAnsi"/>
          <w:i/>
          <w:iCs/>
          <w:sz w:val="20"/>
          <w:szCs w:val="20"/>
        </w:rPr>
        <w:t>Generación</w:t>
      </w:r>
      <w:proofErr w:type="spellEnd"/>
      <w:r w:rsidRPr="009556FD">
        <w:rPr>
          <w:rFonts w:asciiTheme="majorHAnsi" w:hAnsiTheme="majorHAnsi"/>
          <w:i/>
          <w:iCs/>
          <w:sz w:val="20"/>
          <w:szCs w:val="20"/>
        </w:rPr>
        <w:t xml:space="preserve"> Y</w:t>
      </w:r>
      <w:r w:rsidR="00713B50" w:rsidRPr="00B24750">
        <w:rPr>
          <w:rFonts w:asciiTheme="majorHAnsi" w:hAnsiTheme="majorHAnsi"/>
          <w:sz w:val="20"/>
          <w:szCs w:val="20"/>
        </w:rPr>
        <w:t xml:space="preserve">. </w:t>
      </w:r>
      <w:r w:rsidRPr="009556FD">
        <w:rPr>
          <w:rFonts w:asciiTheme="majorHAnsi" w:hAnsiTheme="majorHAnsi"/>
          <w:sz w:val="20"/>
          <w:szCs w:val="20"/>
        </w:rPr>
        <w:t xml:space="preserve">They were also intended to silence her dissident voice to keep </w:t>
      </w:r>
      <w:r>
        <w:rPr>
          <w:rFonts w:asciiTheme="majorHAnsi" w:hAnsiTheme="majorHAnsi"/>
          <w:sz w:val="20"/>
          <w:szCs w:val="20"/>
        </w:rPr>
        <w:t>others</w:t>
      </w:r>
      <w:r w:rsidRPr="009556FD">
        <w:rPr>
          <w:rFonts w:asciiTheme="majorHAnsi" w:hAnsiTheme="majorHAnsi"/>
          <w:sz w:val="20"/>
          <w:szCs w:val="20"/>
        </w:rPr>
        <w:t xml:space="preserve"> from having access to </w:t>
      </w:r>
      <w:r>
        <w:rPr>
          <w:rFonts w:asciiTheme="majorHAnsi" w:hAnsiTheme="majorHAnsi"/>
          <w:sz w:val="20"/>
          <w:szCs w:val="20"/>
        </w:rPr>
        <w:t>essential</w:t>
      </w:r>
      <w:r w:rsidRPr="009556FD">
        <w:rPr>
          <w:rFonts w:asciiTheme="majorHAnsi" w:hAnsiTheme="majorHAnsi"/>
          <w:sz w:val="20"/>
          <w:szCs w:val="20"/>
        </w:rPr>
        <w:t xml:space="preserve"> information of public interest that the State </w:t>
      </w:r>
      <w:r>
        <w:rPr>
          <w:rFonts w:asciiTheme="majorHAnsi" w:hAnsiTheme="majorHAnsi"/>
          <w:sz w:val="20"/>
          <w:szCs w:val="20"/>
        </w:rPr>
        <w:t>would prefer to conceal</w:t>
      </w:r>
      <w:r w:rsidR="00713B50" w:rsidRPr="00B24750">
        <w:rPr>
          <w:rFonts w:asciiTheme="majorHAnsi" w:hAnsiTheme="majorHAnsi"/>
          <w:sz w:val="20"/>
          <w:szCs w:val="20"/>
        </w:rPr>
        <w:t xml:space="preserve">. </w:t>
      </w:r>
      <w:r w:rsidRPr="009556FD">
        <w:rPr>
          <w:rFonts w:asciiTheme="majorHAnsi" w:hAnsiTheme="majorHAnsi"/>
          <w:sz w:val="20"/>
          <w:szCs w:val="20"/>
        </w:rPr>
        <w:t xml:space="preserve">These acts </w:t>
      </w:r>
      <w:r w:rsidR="00CF43F6">
        <w:rPr>
          <w:rFonts w:asciiTheme="majorHAnsi" w:hAnsiTheme="majorHAnsi"/>
          <w:sz w:val="20"/>
          <w:szCs w:val="20"/>
        </w:rPr>
        <w:t xml:space="preserve">follow </w:t>
      </w:r>
      <w:r w:rsidRPr="009556FD">
        <w:rPr>
          <w:rFonts w:asciiTheme="majorHAnsi" w:hAnsiTheme="majorHAnsi"/>
          <w:sz w:val="20"/>
          <w:szCs w:val="20"/>
        </w:rPr>
        <w:t>the general pattern of selective and deliberate persecution against independent journalists and persons perceived as enemies of the government, and the lack of respect for and guarantee of the right to freedom of expression in Cuba</w:t>
      </w:r>
      <w:r w:rsidR="00713B50" w:rsidRPr="00B24750">
        <w:rPr>
          <w:rFonts w:asciiTheme="majorHAnsi" w:hAnsiTheme="majorHAnsi"/>
          <w:sz w:val="20"/>
          <w:szCs w:val="20"/>
        </w:rPr>
        <w:t xml:space="preserve">. </w:t>
      </w:r>
      <w:r w:rsidRPr="009556FD">
        <w:rPr>
          <w:rFonts w:asciiTheme="majorHAnsi" w:hAnsiTheme="majorHAnsi"/>
          <w:sz w:val="20"/>
          <w:szCs w:val="20"/>
        </w:rPr>
        <w:t>The IACHR concludes that these practices constituted arbitrary restrictions on the right to freedom of expression</w:t>
      </w:r>
      <w:r w:rsidR="00713B50" w:rsidRPr="00B24750">
        <w:rPr>
          <w:rFonts w:asciiTheme="majorHAnsi" w:hAnsiTheme="majorHAnsi"/>
          <w:sz w:val="20"/>
          <w:szCs w:val="20"/>
        </w:rPr>
        <w:t xml:space="preserve">. </w:t>
      </w:r>
    </w:p>
    <w:p w14:paraId="76BCBC06" w14:textId="77777777" w:rsidR="00713B50" w:rsidRPr="00B24750" w:rsidRDefault="00713B50" w:rsidP="00F66452">
      <w:pPr>
        <w:rPr>
          <w:rFonts w:asciiTheme="majorHAnsi" w:hAnsiTheme="majorHAnsi"/>
          <w:sz w:val="20"/>
          <w:szCs w:val="20"/>
          <w:lang w:val="en-US"/>
        </w:rPr>
      </w:pPr>
    </w:p>
    <w:p w14:paraId="41862B57" w14:textId="57478B08" w:rsidR="00713B50" w:rsidRPr="00406269" w:rsidRDefault="00406269"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hAnsi="Cambria"/>
          <w:sz w:val="20"/>
          <w:szCs w:val="20"/>
          <w:lang w:val="en-US"/>
        </w:rPr>
      </w:pPr>
      <w:r w:rsidRPr="00711C22">
        <w:rPr>
          <w:rFonts w:ascii="Cambria" w:hAnsi="Cambria"/>
          <w:sz w:val="20"/>
          <w:szCs w:val="20"/>
          <w:lang w:val="en-US"/>
        </w:rPr>
        <w:t xml:space="preserve">The Commission </w:t>
      </w:r>
      <w:r w:rsidR="002E7225">
        <w:rPr>
          <w:rFonts w:ascii="Cambria" w:hAnsi="Cambria"/>
          <w:sz w:val="20"/>
          <w:szCs w:val="20"/>
          <w:lang w:val="en-US"/>
        </w:rPr>
        <w:t>underscores</w:t>
      </w:r>
      <w:r w:rsidRPr="00711C22">
        <w:rPr>
          <w:rFonts w:ascii="Cambria" w:hAnsi="Cambria"/>
          <w:sz w:val="20"/>
          <w:szCs w:val="20"/>
          <w:lang w:val="en-US"/>
        </w:rPr>
        <w:t xml:space="preserve"> that </w:t>
      </w:r>
      <w:r w:rsidR="002E7225">
        <w:rPr>
          <w:rFonts w:ascii="Cambria" w:hAnsi="Cambria"/>
          <w:sz w:val="20"/>
          <w:szCs w:val="20"/>
          <w:bdr w:val="none" w:sz="0" w:space="0" w:color="auto"/>
          <w:lang w:val="en-US"/>
        </w:rPr>
        <w:t>“</w:t>
      </w:r>
      <w:r w:rsidR="002E7225" w:rsidRPr="002E7225">
        <w:rPr>
          <w:rFonts w:ascii="Cambria" w:hAnsi="Cambria"/>
          <w:sz w:val="20"/>
          <w:szCs w:val="20"/>
          <w:bdr w:val="none" w:sz="0" w:space="0" w:color="auto"/>
          <w:lang w:val="en-US"/>
        </w:rPr>
        <w:t>journalism can only be exercised freely when those who carry out this work are not victims of threats or physical, mental</w:t>
      </w:r>
      <w:r w:rsidR="002E7225">
        <w:rPr>
          <w:rFonts w:ascii="Cambria" w:hAnsi="Cambria"/>
          <w:sz w:val="20"/>
          <w:szCs w:val="20"/>
          <w:bdr w:val="none" w:sz="0" w:space="0" w:color="auto"/>
          <w:lang w:val="en-US"/>
        </w:rPr>
        <w:t>,</w:t>
      </w:r>
      <w:r w:rsidR="002E7225" w:rsidRPr="002E7225">
        <w:rPr>
          <w:rFonts w:ascii="Cambria" w:hAnsi="Cambria"/>
          <w:sz w:val="20"/>
          <w:szCs w:val="20"/>
          <w:bdr w:val="none" w:sz="0" w:space="0" w:color="auto"/>
          <w:lang w:val="en-US"/>
        </w:rPr>
        <w:t xml:space="preserve"> or moral attacks or other acts of harassment</w:t>
      </w:r>
      <w:r w:rsidR="002E7225">
        <w:rPr>
          <w:rFonts w:ascii="Cambria" w:hAnsi="Cambria"/>
          <w:sz w:val="20"/>
          <w:szCs w:val="20"/>
          <w:bdr w:val="none" w:sz="0" w:space="0" w:color="auto"/>
          <w:lang w:val="en-US"/>
        </w:rPr>
        <w:t>.”</w:t>
      </w:r>
      <w:r w:rsidRPr="00711C22">
        <w:rPr>
          <w:rFonts w:ascii="Cambria" w:hAnsi="Cambria"/>
          <w:sz w:val="20"/>
          <w:szCs w:val="20"/>
          <w:bdr w:val="none" w:sz="0" w:space="0" w:color="auto"/>
          <w:vertAlign w:val="superscript"/>
          <w:lang w:val="en-US"/>
        </w:rPr>
        <w:footnoteReference w:id="285"/>
      </w:r>
      <w:r w:rsidRPr="00711C22">
        <w:rPr>
          <w:rFonts w:ascii="Cambria" w:hAnsi="Cambria"/>
          <w:sz w:val="20"/>
          <w:szCs w:val="20"/>
          <w:bdr w:val="none" w:sz="0" w:space="0" w:color="auto"/>
          <w:lang w:val="en-US"/>
        </w:rPr>
        <w:t xml:space="preserve"> </w:t>
      </w:r>
      <w:r w:rsidR="002E7225">
        <w:rPr>
          <w:rFonts w:ascii="Cambria" w:hAnsi="Cambria"/>
          <w:sz w:val="20"/>
          <w:szCs w:val="20"/>
          <w:bdr w:val="none" w:sz="0" w:space="0" w:color="auto"/>
          <w:lang w:val="en-US"/>
        </w:rPr>
        <w:t>That is not what occurred in this case</w:t>
      </w:r>
      <w:r w:rsidRPr="00711C22">
        <w:rPr>
          <w:rFonts w:ascii="Cambria" w:hAnsi="Cambria"/>
          <w:sz w:val="20"/>
          <w:szCs w:val="20"/>
          <w:bdr w:val="none" w:sz="0" w:space="0" w:color="auto"/>
          <w:lang w:val="en-US"/>
        </w:rPr>
        <w:t xml:space="preserve">. </w:t>
      </w:r>
      <w:r w:rsidR="002E7225" w:rsidRPr="002E7225">
        <w:rPr>
          <w:rFonts w:ascii="Cambria" w:hAnsi="Cambria"/>
          <w:sz w:val="20"/>
          <w:szCs w:val="20"/>
          <w:bdr w:val="none" w:sz="0" w:space="0" w:color="auto"/>
          <w:lang w:val="en-US"/>
        </w:rPr>
        <w:t>On the contrary, violence</w:t>
      </w:r>
      <w:r w:rsidR="002E7225">
        <w:rPr>
          <w:rFonts w:ascii="Cambria" w:hAnsi="Cambria"/>
          <w:sz w:val="20"/>
          <w:szCs w:val="20"/>
          <w:bdr w:val="none" w:sz="0" w:space="0" w:color="auto"/>
          <w:lang w:val="en-US"/>
        </w:rPr>
        <w:t>—</w:t>
      </w:r>
      <w:r w:rsidR="002E7225" w:rsidRPr="002E7225">
        <w:rPr>
          <w:rFonts w:ascii="Cambria" w:hAnsi="Cambria"/>
          <w:sz w:val="20"/>
          <w:szCs w:val="20"/>
          <w:bdr w:val="none" w:sz="0" w:space="0" w:color="auto"/>
          <w:lang w:val="en-US"/>
        </w:rPr>
        <w:t>and particularly gender-based violence</w:t>
      </w:r>
      <w:r w:rsidR="002E7225">
        <w:rPr>
          <w:rFonts w:ascii="Cambria" w:hAnsi="Cambria"/>
          <w:sz w:val="20"/>
          <w:szCs w:val="20"/>
          <w:bdr w:val="none" w:sz="0" w:space="0" w:color="auto"/>
          <w:lang w:val="en-US"/>
        </w:rPr>
        <w:t>—</w:t>
      </w:r>
      <w:r w:rsidR="002E7225" w:rsidRPr="002E7225">
        <w:rPr>
          <w:rFonts w:ascii="Cambria" w:hAnsi="Cambria"/>
          <w:sz w:val="20"/>
          <w:szCs w:val="20"/>
          <w:bdr w:val="none" w:sz="0" w:space="0" w:color="auto"/>
          <w:lang w:val="en-US"/>
        </w:rPr>
        <w:t xml:space="preserve">as well as other acts of persecution against </w:t>
      </w:r>
      <w:proofErr w:type="spellStart"/>
      <w:r w:rsidR="002E7225" w:rsidRPr="002E7225">
        <w:rPr>
          <w:rFonts w:ascii="Cambria" w:hAnsi="Cambria"/>
          <w:sz w:val="20"/>
          <w:szCs w:val="20"/>
          <w:bdr w:val="none" w:sz="0" w:space="0" w:color="auto"/>
          <w:lang w:val="en-US"/>
        </w:rPr>
        <w:t>Yoani</w:t>
      </w:r>
      <w:proofErr w:type="spellEnd"/>
      <w:r w:rsidR="002E7225" w:rsidRPr="002E7225">
        <w:rPr>
          <w:rFonts w:ascii="Cambria" w:hAnsi="Cambria"/>
          <w:sz w:val="20"/>
          <w:szCs w:val="20"/>
          <w:bdr w:val="none" w:sz="0" w:space="0" w:color="auto"/>
          <w:lang w:val="en-US"/>
        </w:rPr>
        <w:t xml:space="preserve"> as a woman journalist, not only violated her right to freedom of expression, but also had an impact on the rest of critical and dissident women journalists in Cuba.</w:t>
      </w:r>
      <w:r w:rsidRPr="00711C22">
        <w:rPr>
          <w:rFonts w:ascii="Cambria" w:hAnsi="Cambria"/>
          <w:sz w:val="20"/>
          <w:szCs w:val="20"/>
          <w:bdr w:val="none" w:sz="0" w:space="0" w:color="auto"/>
          <w:lang w:val="en-US"/>
        </w:rPr>
        <w:t xml:space="preserve"> Thus, </w:t>
      </w:r>
      <w:r w:rsidR="002E7225">
        <w:rPr>
          <w:rFonts w:ascii="Cambria" w:hAnsi="Cambria"/>
          <w:sz w:val="20"/>
          <w:szCs w:val="20"/>
          <w:lang w:val="en-US"/>
        </w:rPr>
        <w:t>“</w:t>
      </w:r>
      <w:r w:rsidR="00014C20">
        <w:rPr>
          <w:rFonts w:ascii="Cambria" w:hAnsi="Cambria"/>
          <w:sz w:val="20"/>
          <w:szCs w:val="20"/>
          <w:lang w:val="en-US"/>
        </w:rPr>
        <w:t>a</w:t>
      </w:r>
      <w:r w:rsidR="00014C20" w:rsidRPr="00014C20">
        <w:rPr>
          <w:rFonts w:ascii="Cambria" w:hAnsi="Cambria"/>
          <w:sz w:val="20"/>
          <w:szCs w:val="20"/>
          <w:lang w:val="en-US"/>
        </w:rPr>
        <w:t>ttacks can also have a chilling effect on other women journalists. The effect is an absence of women’s voices and perspectives in the media on a wide range of issues, with serious implications for a free, pluralistic media</w:t>
      </w:r>
      <w:r w:rsidR="002E7225">
        <w:rPr>
          <w:rFonts w:ascii="Cambria" w:hAnsi="Cambria"/>
          <w:sz w:val="20"/>
          <w:szCs w:val="20"/>
          <w:lang w:val="en-US"/>
        </w:rPr>
        <w:t>”</w:t>
      </w:r>
      <w:r w:rsidRPr="00711C22">
        <w:rPr>
          <w:rStyle w:val="FootnoteReference"/>
          <w:rFonts w:ascii="Cambria" w:hAnsi="Cambria"/>
          <w:sz w:val="20"/>
          <w:szCs w:val="20"/>
          <w:lang w:val="en-US"/>
        </w:rPr>
        <w:footnoteReference w:id="286"/>
      </w:r>
      <w:r w:rsidRPr="00711C22">
        <w:rPr>
          <w:rFonts w:ascii="Cambria" w:hAnsi="Cambria"/>
          <w:sz w:val="20"/>
          <w:szCs w:val="20"/>
          <w:lang w:val="en-US"/>
        </w:rPr>
        <w:t xml:space="preserve"> and for society as a whole. This exclusion entrenches discrimination and inequality. </w:t>
      </w:r>
    </w:p>
    <w:p w14:paraId="5339830B"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lang w:val="en-US"/>
        </w:rPr>
      </w:pPr>
    </w:p>
    <w:p w14:paraId="6065200D" w14:textId="53BCB993" w:rsidR="00713B50" w:rsidRPr="00B24750" w:rsidRDefault="00122A72"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sidRPr="00122A72">
        <w:rPr>
          <w:rFonts w:asciiTheme="majorHAnsi" w:hAnsiTheme="majorHAnsi"/>
          <w:sz w:val="20"/>
          <w:szCs w:val="20"/>
          <w:bdr w:val="none" w:sz="0" w:space="0" w:color="auto"/>
        </w:rPr>
        <w:t xml:space="preserve">Finally, </w:t>
      </w:r>
      <w:r w:rsidR="00CF43F6">
        <w:rPr>
          <w:rFonts w:asciiTheme="majorHAnsi" w:hAnsiTheme="majorHAnsi"/>
          <w:sz w:val="20"/>
          <w:szCs w:val="20"/>
          <w:bdr w:val="none" w:sz="0" w:space="0" w:color="auto"/>
        </w:rPr>
        <w:t xml:space="preserve">regarding </w:t>
      </w:r>
      <w:r w:rsidRPr="00122A72">
        <w:rPr>
          <w:rFonts w:asciiTheme="majorHAnsi" w:hAnsiTheme="majorHAnsi"/>
          <w:sz w:val="20"/>
          <w:szCs w:val="20"/>
          <w:bdr w:val="none" w:sz="0" w:space="0" w:color="auto"/>
        </w:rPr>
        <w:t>the right to participate in government, the IACHR considers this right</w:t>
      </w:r>
      <w:r w:rsidR="00C42063">
        <w:rPr>
          <w:rFonts w:asciiTheme="majorHAnsi" w:hAnsiTheme="majorHAnsi"/>
          <w:sz w:val="20"/>
          <w:szCs w:val="20"/>
          <w:bdr w:val="none" w:sz="0" w:space="0" w:color="auto"/>
        </w:rPr>
        <w:t xml:space="preserve"> to be</w:t>
      </w:r>
      <w:r w:rsidRPr="00122A72">
        <w:rPr>
          <w:rFonts w:asciiTheme="majorHAnsi" w:hAnsiTheme="majorHAnsi"/>
          <w:sz w:val="20"/>
          <w:szCs w:val="20"/>
          <w:bdr w:val="none" w:sz="0" w:space="0" w:color="auto"/>
        </w:rPr>
        <w:t xml:space="preserve"> intrinsically related to the right to freedom of expression, since criticism and political opposition can be expressed through the exercise of this right</w:t>
      </w:r>
      <w:r w:rsidR="00713B50" w:rsidRPr="00B24750">
        <w:rPr>
          <w:rFonts w:asciiTheme="majorHAnsi" w:hAnsiTheme="majorHAnsi"/>
          <w:sz w:val="20"/>
          <w:szCs w:val="20"/>
          <w:bdr w:val="none" w:sz="0" w:space="0" w:color="auto"/>
        </w:rPr>
        <w:t xml:space="preserve">. </w:t>
      </w:r>
      <w:r w:rsidRPr="00122A72">
        <w:rPr>
          <w:rFonts w:asciiTheme="majorHAnsi" w:hAnsiTheme="majorHAnsi"/>
          <w:sz w:val="20"/>
          <w:szCs w:val="20"/>
          <w:bdr w:val="none" w:sz="0" w:space="0" w:color="auto"/>
        </w:rPr>
        <w:t>Notwithstanding this, the IACHR regards each of these rights as having autonomous content, with its own scope</w:t>
      </w:r>
      <w:r w:rsidR="00713B50" w:rsidRPr="00B24750">
        <w:rPr>
          <w:rFonts w:asciiTheme="majorHAnsi" w:hAnsiTheme="majorHAnsi"/>
          <w:sz w:val="20"/>
          <w:szCs w:val="20"/>
          <w:bdr w:val="none" w:sz="0" w:space="0" w:color="auto"/>
        </w:rPr>
        <w:t xml:space="preserve">. </w:t>
      </w:r>
      <w:r w:rsidR="00CF43F6">
        <w:rPr>
          <w:rFonts w:asciiTheme="majorHAnsi" w:hAnsiTheme="majorHAnsi"/>
          <w:sz w:val="20"/>
          <w:szCs w:val="20"/>
          <w:bdr w:val="none" w:sz="0" w:space="0" w:color="auto"/>
        </w:rPr>
        <w:t xml:space="preserve">Here, </w:t>
      </w:r>
      <w:r w:rsidRPr="00122A72">
        <w:rPr>
          <w:rFonts w:asciiTheme="majorHAnsi" w:hAnsiTheme="majorHAnsi"/>
          <w:sz w:val="20"/>
          <w:szCs w:val="20"/>
          <w:bdr w:val="none" w:sz="0" w:space="0" w:color="auto"/>
        </w:rPr>
        <w:t xml:space="preserve">the Commission finds that </w:t>
      </w:r>
      <w:proofErr w:type="spellStart"/>
      <w:r w:rsidRPr="00122A72">
        <w:rPr>
          <w:rFonts w:asciiTheme="majorHAnsi" w:hAnsiTheme="majorHAnsi"/>
          <w:sz w:val="20"/>
          <w:szCs w:val="20"/>
          <w:bdr w:val="none" w:sz="0" w:space="0" w:color="auto"/>
        </w:rPr>
        <w:t>Yoani</w:t>
      </w:r>
      <w:proofErr w:type="spellEnd"/>
      <w:r w:rsidRPr="00122A72">
        <w:rPr>
          <w:rFonts w:asciiTheme="majorHAnsi" w:hAnsiTheme="majorHAnsi"/>
          <w:sz w:val="20"/>
          <w:szCs w:val="20"/>
          <w:bdr w:val="none" w:sz="0" w:space="0" w:color="auto"/>
        </w:rPr>
        <w:t xml:space="preserve"> Sánchez</w:t>
      </w:r>
      <w:r>
        <w:rPr>
          <w:rFonts w:asciiTheme="majorHAnsi" w:hAnsiTheme="majorHAnsi"/>
          <w:sz w:val="20"/>
          <w:szCs w:val="20"/>
          <w:bdr w:val="none" w:sz="0" w:space="0" w:color="auto"/>
        </w:rPr>
        <w:t>’</w:t>
      </w:r>
      <w:r w:rsidRPr="00122A72">
        <w:rPr>
          <w:rFonts w:asciiTheme="majorHAnsi" w:hAnsiTheme="majorHAnsi"/>
          <w:sz w:val="20"/>
          <w:szCs w:val="20"/>
          <w:bdr w:val="none" w:sz="0" w:space="0" w:color="auto"/>
        </w:rPr>
        <w:t xml:space="preserve">s opposition and criticism of the government, her aspirations for political and social change, as well as her condemnation of abuses and the lack of freedoms in Cuba, were expressed mainly through her critical articles and her blog, </w:t>
      </w:r>
      <w:proofErr w:type="spellStart"/>
      <w:r w:rsidRPr="00122A72">
        <w:rPr>
          <w:rFonts w:asciiTheme="majorHAnsi" w:hAnsiTheme="majorHAnsi"/>
          <w:i/>
          <w:iCs/>
          <w:sz w:val="20"/>
          <w:szCs w:val="20"/>
          <w:bdr w:val="none" w:sz="0" w:space="0" w:color="auto"/>
        </w:rPr>
        <w:t>Generación</w:t>
      </w:r>
      <w:proofErr w:type="spellEnd"/>
      <w:r w:rsidRPr="00122A72">
        <w:rPr>
          <w:rFonts w:asciiTheme="majorHAnsi" w:hAnsiTheme="majorHAnsi"/>
          <w:i/>
          <w:iCs/>
          <w:sz w:val="20"/>
          <w:szCs w:val="20"/>
          <w:bdr w:val="none" w:sz="0" w:space="0" w:color="auto"/>
        </w:rPr>
        <w:t xml:space="preserve"> Y</w:t>
      </w:r>
      <w:r w:rsidR="00713B50" w:rsidRPr="00B24750">
        <w:rPr>
          <w:rFonts w:asciiTheme="majorHAnsi" w:hAnsiTheme="majorHAnsi"/>
          <w:sz w:val="20"/>
          <w:szCs w:val="20"/>
          <w:bdr w:val="none" w:sz="0" w:space="0" w:color="auto"/>
        </w:rPr>
        <w:t xml:space="preserve">. </w:t>
      </w:r>
      <w:r w:rsidRPr="00122A72">
        <w:rPr>
          <w:rFonts w:asciiTheme="majorHAnsi" w:hAnsiTheme="majorHAnsi"/>
          <w:sz w:val="20"/>
          <w:szCs w:val="20"/>
          <w:bdr w:val="none" w:sz="0" w:space="0" w:color="auto"/>
        </w:rPr>
        <w:t xml:space="preserve">Such acts are protected under the right to freedom of expression and have been analyzed </w:t>
      </w:r>
      <w:r>
        <w:rPr>
          <w:rFonts w:asciiTheme="majorHAnsi" w:hAnsiTheme="majorHAnsi"/>
          <w:sz w:val="20"/>
          <w:szCs w:val="20"/>
          <w:bdr w:val="none" w:sz="0" w:space="0" w:color="auto"/>
        </w:rPr>
        <w:t xml:space="preserve">above </w:t>
      </w:r>
      <w:r w:rsidRPr="00122A72">
        <w:rPr>
          <w:rFonts w:asciiTheme="majorHAnsi" w:hAnsiTheme="majorHAnsi"/>
          <w:sz w:val="20"/>
          <w:szCs w:val="20"/>
          <w:bdr w:val="none" w:sz="0" w:space="0" w:color="auto"/>
        </w:rPr>
        <w:t>under the relevant standards</w:t>
      </w:r>
      <w:r w:rsidR="00713B50" w:rsidRPr="00B24750">
        <w:rPr>
          <w:rFonts w:asciiTheme="majorHAnsi" w:hAnsiTheme="majorHAnsi"/>
          <w:sz w:val="20"/>
          <w:szCs w:val="20"/>
          <w:bdr w:val="none" w:sz="0" w:space="0" w:color="auto"/>
        </w:rPr>
        <w:t xml:space="preserve">. </w:t>
      </w:r>
      <w:r w:rsidRPr="00122A72">
        <w:rPr>
          <w:rFonts w:asciiTheme="majorHAnsi" w:hAnsiTheme="majorHAnsi"/>
          <w:sz w:val="20"/>
          <w:szCs w:val="20"/>
          <w:bdr w:val="none" w:sz="0" w:space="0" w:color="auto"/>
        </w:rPr>
        <w:t xml:space="preserve">The petitioners have not alleged specific restrictions to </w:t>
      </w:r>
      <w:proofErr w:type="spellStart"/>
      <w:r w:rsidRPr="00122A72">
        <w:rPr>
          <w:rFonts w:asciiTheme="majorHAnsi" w:hAnsiTheme="majorHAnsi"/>
          <w:sz w:val="20"/>
          <w:szCs w:val="20"/>
          <w:bdr w:val="none" w:sz="0" w:space="0" w:color="auto"/>
        </w:rPr>
        <w:t>Yoani</w:t>
      </w:r>
      <w:proofErr w:type="spellEnd"/>
      <w:r w:rsidRPr="00122A72">
        <w:rPr>
          <w:rFonts w:asciiTheme="majorHAnsi" w:hAnsiTheme="majorHAnsi"/>
          <w:sz w:val="20"/>
          <w:szCs w:val="20"/>
          <w:bdr w:val="none" w:sz="0" w:space="0" w:color="auto"/>
        </w:rPr>
        <w:t xml:space="preserve"> </w:t>
      </w:r>
      <w:r w:rsidR="00D10380">
        <w:rPr>
          <w:rFonts w:asciiTheme="majorHAnsi" w:hAnsiTheme="majorHAnsi"/>
          <w:sz w:val="20"/>
          <w:szCs w:val="20"/>
          <w:bdr w:val="none" w:sz="0" w:space="0" w:color="auto"/>
        </w:rPr>
        <w:t>Sánchez</w:t>
      </w:r>
      <w:r w:rsidR="00EE6516">
        <w:rPr>
          <w:rFonts w:asciiTheme="majorHAnsi" w:hAnsiTheme="majorHAnsi"/>
          <w:sz w:val="20"/>
          <w:szCs w:val="20"/>
          <w:bdr w:val="none" w:sz="0" w:space="0" w:color="auto"/>
        </w:rPr>
        <w:t>’</w:t>
      </w:r>
      <w:r w:rsidRPr="00122A72">
        <w:rPr>
          <w:rFonts w:asciiTheme="majorHAnsi" w:hAnsiTheme="majorHAnsi"/>
          <w:sz w:val="20"/>
          <w:szCs w:val="20"/>
          <w:bdr w:val="none" w:sz="0" w:space="0" w:color="auto"/>
        </w:rPr>
        <w:t>s right</w:t>
      </w:r>
      <w:r w:rsidR="00EE6516" w:rsidRPr="00122A72">
        <w:rPr>
          <w:rFonts w:asciiTheme="majorHAnsi" w:hAnsiTheme="majorHAnsi"/>
          <w:sz w:val="20"/>
          <w:szCs w:val="20"/>
          <w:bdr w:val="none" w:sz="0" w:space="0" w:color="auto"/>
        </w:rPr>
        <w:t xml:space="preserve">, for </w:t>
      </w:r>
      <w:r w:rsidR="00EE6516">
        <w:rPr>
          <w:rFonts w:asciiTheme="majorHAnsi" w:hAnsiTheme="majorHAnsi"/>
          <w:sz w:val="20"/>
          <w:szCs w:val="20"/>
          <w:bdr w:val="none" w:sz="0" w:space="0" w:color="auto"/>
        </w:rPr>
        <w:t>instance</w:t>
      </w:r>
      <w:r w:rsidR="00EE6516" w:rsidRPr="00122A72">
        <w:rPr>
          <w:rFonts w:asciiTheme="majorHAnsi" w:hAnsiTheme="majorHAnsi"/>
          <w:sz w:val="20"/>
          <w:szCs w:val="20"/>
          <w:bdr w:val="none" w:sz="0" w:space="0" w:color="auto"/>
        </w:rPr>
        <w:t>,</w:t>
      </w:r>
      <w:r w:rsidR="00EE6516">
        <w:rPr>
          <w:rFonts w:asciiTheme="majorHAnsi" w:hAnsiTheme="majorHAnsi"/>
          <w:sz w:val="20"/>
          <w:szCs w:val="20"/>
          <w:bdr w:val="none" w:sz="0" w:space="0" w:color="auto"/>
        </w:rPr>
        <w:t xml:space="preserve"> </w:t>
      </w:r>
      <w:r w:rsidRPr="00122A72">
        <w:rPr>
          <w:rFonts w:asciiTheme="majorHAnsi" w:hAnsiTheme="majorHAnsi"/>
          <w:sz w:val="20"/>
          <w:szCs w:val="20"/>
          <w:bdr w:val="none" w:sz="0" w:space="0" w:color="auto"/>
        </w:rPr>
        <w:t>to associate or to create political parties to express a specific political position</w:t>
      </w:r>
      <w:r w:rsidR="00EE6516">
        <w:rPr>
          <w:rFonts w:asciiTheme="majorHAnsi" w:hAnsiTheme="majorHAnsi"/>
          <w:sz w:val="20"/>
          <w:szCs w:val="20"/>
          <w:bdr w:val="none" w:sz="0" w:space="0" w:color="auto"/>
        </w:rPr>
        <w:t xml:space="preserve">, </w:t>
      </w:r>
      <w:r w:rsidRPr="00122A72">
        <w:rPr>
          <w:rFonts w:asciiTheme="majorHAnsi" w:hAnsiTheme="majorHAnsi"/>
          <w:sz w:val="20"/>
          <w:szCs w:val="20"/>
          <w:bdr w:val="none" w:sz="0" w:space="0" w:color="auto"/>
        </w:rPr>
        <w:t xml:space="preserve">which </w:t>
      </w:r>
      <w:r w:rsidR="00EE6516">
        <w:rPr>
          <w:rFonts w:asciiTheme="majorHAnsi" w:hAnsiTheme="majorHAnsi"/>
          <w:sz w:val="20"/>
          <w:szCs w:val="20"/>
          <w:bdr w:val="none" w:sz="0" w:space="0" w:color="auto"/>
        </w:rPr>
        <w:t>falls mainly</w:t>
      </w:r>
      <w:r w:rsidRPr="00122A72">
        <w:rPr>
          <w:rFonts w:asciiTheme="majorHAnsi" w:hAnsiTheme="majorHAnsi"/>
          <w:sz w:val="20"/>
          <w:szCs w:val="20"/>
          <w:bdr w:val="none" w:sz="0" w:space="0" w:color="auto"/>
        </w:rPr>
        <w:t xml:space="preserve"> within the exercise of the right to political participation</w:t>
      </w:r>
      <w:r w:rsidR="00EE6516">
        <w:rPr>
          <w:rFonts w:asciiTheme="majorHAnsi" w:hAnsiTheme="majorHAnsi"/>
          <w:sz w:val="20"/>
          <w:szCs w:val="20"/>
          <w:bdr w:val="none" w:sz="0" w:space="0" w:color="auto"/>
        </w:rPr>
        <w:t>;</w:t>
      </w:r>
      <w:r w:rsidRPr="00122A72">
        <w:rPr>
          <w:rFonts w:asciiTheme="majorHAnsi" w:hAnsiTheme="majorHAnsi"/>
          <w:sz w:val="20"/>
          <w:szCs w:val="20"/>
          <w:bdr w:val="none" w:sz="0" w:space="0" w:color="auto"/>
        </w:rPr>
        <w:t xml:space="preserve"> therefore</w:t>
      </w:r>
      <w:r w:rsidR="00EE6516">
        <w:rPr>
          <w:rFonts w:asciiTheme="majorHAnsi" w:hAnsiTheme="majorHAnsi"/>
          <w:sz w:val="20"/>
          <w:szCs w:val="20"/>
          <w:bdr w:val="none" w:sz="0" w:space="0" w:color="auto"/>
        </w:rPr>
        <w:t>,</w:t>
      </w:r>
      <w:r w:rsidRPr="00122A72">
        <w:rPr>
          <w:rFonts w:asciiTheme="majorHAnsi" w:hAnsiTheme="majorHAnsi"/>
          <w:sz w:val="20"/>
          <w:szCs w:val="20"/>
          <w:bdr w:val="none" w:sz="0" w:space="0" w:color="auto"/>
        </w:rPr>
        <w:t xml:space="preserve"> an independent analysis or evaluation of </w:t>
      </w:r>
      <w:r w:rsidR="00EE6516">
        <w:rPr>
          <w:rFonts w:asciiTheme="majorHAnsi" w:hAnsiTheme="majorHAnsi"/>
          <w:sz w:val="20"/>
          <w:szCs w:val="20"/>
          <w:bdr w:val="none" w:sz="0" w:space="0" w:color="auto"/>
        </w:rPr>
        <w:t xml:space="preserve">the issue </w:t>
      </w:r>
      <w:r w:rsidRPr="00122A72">
        <w:rPr>
          <w:rFonts w:asciiTheme="majorHAnsi" w:hAnsiTheme="majorHAnsi"/>
          <w:sz w:val="20"/>
          <w:szCs w:val="20"/>
          <w:bdr w:val="none" w:sz="0" w:space="0" w:color="auto"/>
        </w:rPr>
        <w:t>is unwarranted</w:t>
      </w:r>
      <w:r w:rsidR="00713B50" w:rsidRPr="00B24750">
        <w:rPr>
          <w:rFonts w:asciiTheme="majorHAnsi" w:hAnsiTheme="majorHAnsi"/>
          <w:sz w:val="20"/>
          <w:szCs w:val="20"/>
          <w:bdr w:val="none" w:sz="0" w:space="0" w:color="auto"/>
        </w:rPr>
        <w:t>.</w:t>
      </w:r>
    </w:p>
    <w:p w14:paraId="228B7182"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n-US"/>
        </w:rPr>
      </w:pPr>
    </w:p>
    <w:p w14:paraId="5A8E5973" w14:textId="55059C1C" w:rsidR="00713B50" w:rsidRPr="00B24750" w:rsidRDefault="00CF43F6" w:rsidP="00F6645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0"/>
        <w:jc w:val="both"/>
        <w:rPr>
          <w:rFonts w:asciiTheme="majorHAnsi" w:hAnsiTheme="majorHAnsi"/>
          <w:sz w:val="20"/>
          <w:szCs w:val="20"/>
        </w:rPr>
      </w:pPr>
      <w:r>
        <w:rPr>
          <w:sz w:val="20"/>
          <w:szCs w:val="20"/>
        </w:rPr>
        <w:t xml:space="preserve">The </w:t>
      </w:r>
      <w:r w:rsidR="003F7DFF" w:rsidRPr="00711C22">
        <w:rPr>
          <w:sz w:val="20"/>
          <w:szCs w:val="20"/>
        </w:rPr>
        <w:t xml:space="preserve">Commission concludes that the State </w:t>
      </w:r>
      <w:r w:rsidR="003F7DFF" w:rsidRPr="00711C22">
        <w:rPr>
          <w:rFonts w:cs="Arial"/>
          <w:sz w:val="20"/>
          <w:szCs w:val="20"/>
        </w:rPr>
        <w:t xml:space="preserve">of Cuba </w:t>
      </w:r>
      <w:r w:rsidR="003F7DFF" w:rsidRPr="00711C22">
        <w:rPr>
          <w:sz w:val="20"/>
          <w:szCs w:val="20"/>
        </w:rPr>
        <w:t>violated the rights to investigation, opinion, expression</w:t>
      </w:r>
      <w:r w:rsidR="003F7DFF">
        <w:rPr>
          <w:sz w:val="20"/>
          <w:szCs w:val="20"/>
        </w:rPr>
        <w:t>,</w:t>
      </w:r>
      <w:r w:rsidR="003F7DFF" w:rsidRPr="00711C22">
        <w:rPr>
          <w:sz w:val="20"/>
          <w:szCs w:val="20"/>
        </w:rPr>
        <w:t xml:space="preserve"> and dissemination, as well as the right to honor and reputation, recognized </w:t>
      </w:r>
      <w:r w:rsidR="003F7DFF" w:rsidRPr="00711C22">
        <w:rPr>
          <w:rFonts w:eastAsia="Times New Roman"/>
          <w:sz w:val="20"/>
          <w:szCs w:val="20"/>
          <w:bdr w:val="none" w:sz="0" w:space="0" w:color="auto"/>
        </w:rPr>
        <w:t xml:space="preserve">in Articles IV and V of the American Declaration, to the detriment of </w:t>
      </w:r>
      <w:proofErr w:type="spellStart"/>
      <w:r w:rsidR="003F7DFF" w:rsidRPr="00711C22">
        <w:rPr>
          <w:rFonts w:eastAsia="Times New Roman"/>
          <w:sz w:val="20"/>
          <w:szCs w:val="20"/>
          <w:bdr w:val="none" w:sz="0" w:space="0" w:color="auto"/>
        </w:rPr>
        <w:t>Yoani</w:t>
      </w:r>
      <w:proofErr w:type="spellEnd"/>
      <w:r w:rsidR="003F7DFF" w:rsidRPr="00711C22">
        <w:rPr>
          <w:rFonts w:eastAsia="Times New Roman"/>
          <w:sz w:val="20"/>
          <w:szCs w:val="20"/>
          <w:bdr w:val="none" w:sz="0" w:space="0" w:color="auto"/>
        </w:rPr>
        <w:t xml:space="preserve"> Sánchez. In addition, the IACHR concludes that the State is not </w:t>
      </w:r>
      <w:r w:rsidR="003F7DFF" w:rsidRPr="00711C22">
        <w:rPr>
          <w:rFonts w:eastAsia="Times New Roman"/>
          <w:sz w:val="20"/>
          <w:szCs w:val="20"/>
          <w:bdr w:val="none" w:sz="0" w:space="0" w:color="auto"/>
        </w:rPr>
        <w:lastRenderedPageBreak/>
        <w:t xml:space="preserve">responsible </w:t>
      </w:r>
      <w:r>
        <w:rPr>
          <w:rFonts w:eastAsia="Times New Roman"/>
          <w:sz w:val="20"/>
          <w:szCs w:val="20"/>
          <w:bdr w:val="none" w:sz="0" w:space="0" w:color="auto"/>
        </w:rPr>
        <w:t xml:space="preserve">for violating </w:t>
      </w:r>
      <w:r w:rsidR="003F7DFF" w:rsidRPr="00711C22">
        <w:rPr>
          <w:rFonts w:eastAsia="Times New Roman"/>
          <w:sz w:val="20"/>
          <w:szCs w:val="20"/>
          <w:bdr w:val="none" w:sz="0" w:space="0" w:color="auto"/>
        </w:rPr>
        <w:t xml:space="preserve">the right </w:t>
      </w:r>
      <w:r w:rsidR="003F7DFF" w:rsidRPr="00711C22">
        <w:rPr>
          <w:sz w:val="20"/>
          <w:szCs w:val="20"/>
        </w:rPr>
        <w:t xml:space="preserve">to </w:t>
      </w:r>
      <w:r w:rsidR="003F7DFF">
        <w:rPr>
          <w:sz w:val="20"/>
          <w:szCs w:val="20"/>
        </w:rPr>
        <w:t>vote</w:t>
      </w:r>
      <w:r w:rsidR="003F7DFF" w:rsidRPr="00711C22">
        <w:rPr>
          <w:sz w:val="20"/>
          <w:szCs w:val="20"/>
        </w:rPr>
        <w:t xml:space="preserve"> and </w:t>
      </w:r>
      <w:r w:rsidR="003F7DFF">
        <w:rPr>
          <w:sz w:val="20"/>
          <w:szCs w:val="20"/>
        </w:rPr>
        <w:t>to participate</w:t>
      </w:r>
      <w:r w:rsidR="003F7DFF" w:rsidRPr="00711C22">
        <w:rPr>
          <w:sz w:val="20"/>
          <w:szCs w:val="20"/>
        </w:rPr>
        <w:t xml:space="preserve"> in government, recognized in Article XX of the American Declaration</w:t>
      </w:r>
      <w:r w:rsidR="00713B50" w:rsidRPr="00B24750">
        <w:rPr>
          <w:rFonts w:asciiTheme="majorHAnsi" w:hAnsiTheme="majorHAnsi"/>
          <w:sz w:val="20"/>
          <w:szCs w:val="20"/>
        </w:rPr>
        <w:t>.</w:t>
      </w:r>
    </w:p>
    <w:p w14:paraId="220A66B9"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Theme="majorHAnsi" w:hAnsiTheme="majorHAnsi"/>
          <w:sz w:val="20"/>
          <w:szCs w:val="20"/>
          <w:lang w:val="en-US"/>
        </w:rPr>
      </w:pPr>
    </w:p>
    <w:p w14:paraId="041387CD" w14:textId="79B1BE55" w:rsidR="00713B50" w:rsidRPr="007B681D" w:rsidRDefault="003F7DFF" w:rsidP="007B681D">
      <w:pPr>
        <w:pStyle w:val="Heading2"/>
      </w:pPr>
      <w:bookmarkStart w:id="39" w:name="_Toc90392488"/>
      <w:r w:rsidRPr="007B681D">
        <w:t>Right to a fair trial (Article XVIII),</w:t>
      </w:r>
      <w:r w:rsidRPr="007B681D">
        <w:rPr>
          <w:rStyle w:val="FootnoteReference"/>
          <w:vertAlign w:val="baseline"/>
        </w:rPr>
        <w:footnoteReference w:id="287"/>
      </w:r>
      <w:r w:rsidRPr="007B681D">
        <w:t xml:space="preserve"> right of petition (Article XXIV),</w:t>
      </w:r>
      <w:r w:rsidRPr="007B681D">
        <w:rPr>
          <w:rStyle w:val="FootnoteReference"/>
          <w:vertAlign w:val="baseline"/>
        </w:rPr>
        <w:footnoteReference w:id="288"/>
      </w:r>
      <w:r w:rsidRPr="007B681D">
        <w:t xml:space="preserve"> and right to due process</w:t>
      </w:r>
      <w:r w:rsidR="00DE6BB3" w:rsidRPr="007B681D">
        <w:t xml:space="preserve"> of law</w:t>
      </w:r>
      <w:r w:rsidRPr="007B681D">
        <w:t xml:space="preserve"> (Article XXVI)</w:t>
      </w:r>
      <w:r w:rsidRPr="007B681D">
        <w:rPr>
          <w:rStyle w:val="FootnoteReference"/>
          <w:vertAlign w:val="baseline"/>
        </w:rPr>
        <w:footnoteReference w:id="289"/>
      </w:r>
      <w:bookmarkEnd w:id="39"/>
    </w:p>
    <w:p w14:paraId="7C4D669C"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37AD40AE" w14:textId="0489A5E7" w:rsidR="00846BE9" w:rsidRPr="00711C22" w:rsidRDefault="00846BE9"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 xml:space="preserve">The IACHR has </w:t>
      </w:r>
      <w:r w:rsidR="00F0167F">
        <w:rPr>
          <w:rFonts w:ascii="Cambria" w:eastAsia="Times New Roman" w:hAnsi="Cambria" w:cs="Cambria"/>
          <w:color w:val="000000"/>
          <w:sz w:val="20"/>
          <w:szCs w:val="20"/>
          <w:u w:color="000000"/>
          <w:bdr w:val="none" w:sz="0" w:space="0" w:color="auto"/>
          <w:lang w:val="en-US" w:eastAsia="es-ES"/>
        </w:rPr>
        <w:t>held</w:t>
      </w:r>
      <w:r w:rsidRPr="00711C22">
        <w:rPr>
          <w:rFonts w:ascii="Cambria" w:eastAsia="Times New Roman" w:hAnsi="Cambria" w:cs="Cambria"/>
          <w:color w:val="000000"/>
          <w:sz w:val="20"/>
          <w:szCs w:val="20"/>
          <w:u w:color="000000"/>
          <w:bdr w:val="none" w:sz="0" w:space="0" w:color="auto"/>
          <w:lang w:val="en-US" w:eastAsia="es-ES"/>
        </w:rPr>
        <w:t xml:space="preserve"> that these rights include </w:t>
      </w:r>
      <w:r>
        <w:rPr>
          <w:rFonts w:ascii="Cambria" w:eastAsia="Times New Roman" w:hAnsi="Cambria" w:cs="Cambria"/>
          <w:color w:val="000000"/>
          <w:sz w:val="20"/>
          <w:szCs w:val="20"/>
          <w:u w:color="000000"/>
          <w:bdr w:val="none" w:sz="0" w:space="0" w:color="auto"/>
          <w:lang w:val="en-US" w:eastAsia="es-ES"/>
        </w:rPr>
        <w:t>trial rights</w:t>
      </w:r>
      <w:r w:rsidRPr="00711C22">
        <w:rPr>
          <w:rFonts w:ascii="Cambria" w:eastAsia="Times New Roman" w:hAnsi="Cambria" w:cs="Cambria"/>
          <w:color w:val="000000"/>
          <w:sz w:val="20"/>
          <w:szCs w:val="20"/>
          <w:u w:color="000000"/>
          <w:bdr w:val="none" w:sz="0" w:space="0" w:color="auto"/>
          <w:lang w:val="en-US" w:eastAsia="es-ES"/>
        </w:rPr>
        <w:t xml:space="preserve"> and judicial protection</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0"/>
      </w:r>
      <w:r w:rsidRPr="00711C22">
        <w:rPr>
          <w:rFonts w:ascii="Cambria" w:eastAsia="Times New Roman" w:hAnsi="Cambria" w:cs="Cambria"/>
          <w:color w:val="000000"/>
          <w:sz w:val="20"/>
          <w:szCs w:val="20"/>
          <w:u w:color="000000"/>
          <w:bdr w:val="none" w:sz="0" w:space="0" w:color="auto"/>
          <w:lang w:val="en-US" w:eastAsia="es-ES"/>
        </w:rPr>
        <w:t xml:space="preserve"> that should be applicable not only to strictly judicial proceedings, but also to administrative proceedings related to rights violations</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1"/>
      </w:r>
    </w:p>
    <w:p w14:paraId="35CF2C81"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037E7869" w14:textId="427492EF" w:rsidR="008E7F1E" w:rsidRPr="00711C22" w:rsidRDefault="008E7F1E"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 xml:space="preserve">In this vein, </w:t>
      </w:r>
      <w:r>
        <w:rPr>
          <w:rFonts w:ascii="Cambria" w:eastAsia="Times New Roman" w:hAnsi="Cambria" w:cs="Cambria"/>
          <w:color w:val="000000"/>
          <w:sz w:val="20"/>
          <w:szCs w:val="20"/>
          <w:u w:color="000000"/>
          <w:bdr w:val="none" w:sz="0" w:space="0" w:color="auto"/>
          <w:lang w:val="en-US" w:eastAsia="es-ES"/>
        </w:rPr>
        <w:t xml:space="preserve">the </w:t>
      </w:r>
      <w:r w:rsidRPr="00711C22">
        <w:rPr>
          <w:rFonts w:ascii="Cambria" w:eastAsia="Times New Roman" w:hAnsi="Cambria" w:cs="Cambria"/>
          <w:color w:val="000000"/>
          <w:sz w:val="20"/>
          <w:szCs w:val="20"/>
          <w:u w:color="000000"/>
          <w:bdr w:val="none" w:sz="0" w:space="0" w:color="auto"/>
          <w:lang w:val="en-US" w:eastAsia="es-ES"/>
        </w:rPr>
        <w:t xml:space="preserve">inter-American jurisprudence on access to justice </w:t>
      </w:r>
      <w:r>
        <w:rPr>
          <w:rFonts w:ascii="Cambria" w:eastAsia="Times New Roman" w:hAnsi="Cambria" w:cs="Cambria"/>
          <w:color w:val="000000"/>
          <w:sz w:val="20"/>
          <w:szCs w:val="20"/>
          <w:u w:color="000000"/>
          <w:bdr w:val="none" w:sz="0" w:space="0" w:color="auto"/>
          <w:lang w:val="en-US" w:eastAsia="es-ES"/>
        </w:rPr>
        <w:t>stresses</w:t>
      </w:r>
      <w:r w:rsidRPr="00711C22">
        <w:rPr>
          <w:rFonts w:ascii="Cambria" w:eastAsia="Times New Roman" w:hAnsi="Cambria" w:cs="Cambria"/>
          <w:color w:val="000000"/>
          <w:sz w:val="20"/>
          <w:szCs w:val="20"/>
          <w:u w:color="000000"/>
          <w:bdr w:val="none" w:sz="0" w:space="0" w:color="auto"/>
          <w:lang w:val="en-US" w:eastAsia="es-ES"/>
        </w:rPr>
        <w:t xml:space="preserve"> that it is not only a fundamental human right but an essential prerequisite for the protection and promotion of all other rights. </w:t>
      </w:r>
      <w:r w:rsidR="00CF43F6">
        <w:rPr>
          <w:rFonts w:ascii="Cambria" w:eastAsia="Times New Roman" w:hAnsi="Cambria" w:cs="Cambria"/>
          <w:color w:val="000000"/>
          <w:sz w:val="20"/>
          <w:szCs w:val="20"/>
          <w:u w:color="000000"/>
          <w:bdr w:val="none" w:sz="0" w:space="0" w:color="auto"/>
          <w:lang w:val="en-US" w:eastAsia="es-ES"/>
        </w:rPr>
        <w:t xml:space="preserve">It </w:t>
      </w:r>
      <w:r w:rsidRPr="00711C22">
        <w:rPr>
          <w:rFonts w:ascii="Cambria" w:eastAsia="Times New Roman" w:hAnsi="Cambria" w:cs="Cambria"/>
          <w:color w:val="000000"/>
          <w:sz w:val="20"/>
          <w:szCs w:val="20"/>
          <w:u w:color="000000"/>
          <w:bdr w:val="none" w:sz="0" w:space="0" w:color="auto"/>
          <w:lang w:val="en-US" w:eastAsia="es-ES"/>
        </w:rPr>
        <w:t xml:space="preserve">is a </w:t>
      </w:r>
      <w:r>
        <w:rPr>
          <w:rFonts w:ascii="Cambria" w:eastAsia="Times New Roman" w:hAnsi="Cambria" w:cs="Cambria"/>
          <w:color w:val="000000"/>
          <w:sz w:val="20"/>
          <w:szCs w:val="20"/>
          <w:u w:color="000000"/>
          <w:bdr w:val="none" w:sz="0" w:space="0" w:color="auto"/>
          <w:lang w:val="en-US" w:eastAsia="es-ES"/>
        </w:rPr>
        <w:t>core</w:t>
      </w:r>
      <w:r w:rsidRPr="00711C22">
        <w:rPr>
          <w:rFonts w:ascii="Cambria" w:eastAsia="Times New Roman" w:hAnsi="Cambria" w:cs="Cambria"/>
          <w:color w:val="000000"/>
          <w:sz w:val="20"/>
          <w:szCs w:val="20"/>
          <w:u w:color="000000"/>
          <w:bdr w:val="none" w:sz="0" w:space="0" w:color="auto"/>
          <w:lang w:val="en-US" w:eastAsia="es-ES"/>
        </w:rPr>
        <w:t xml:space="preserve"> principle that the formal existence of a legal remedy is not </w:t>
      </w:r>
      <w:r>
        <w:rPr>
          <w:rFonts w:ascii="Cambria" w:eastAsia="Times New Roman" w:hAnsi="Cambria" w:cs="Cambria"/>
          <w:color w:val="000000"/>
          <w:sz w:val="20"/>
          <w:szCs w:val="20"/>
          <w:u w:color="000000"/>
          <w:bdr w:val="none" w:sz="0" w:space="0" w:color="auto"/>
          <w:lang w:val="en-US" w:eastAsia="es-ES"/>
        </w:rPr>
        <w:t>enough</w:t>
      </w:r>
      <w:r w:rsidRPr="00711C22">
        <w:rPr>
          <w:rFonts w:ascii="Cambria" w:eastAsia="Times New Roman" w:hAnsi="Cambria" w:cs="Cambria"/>
          <w:color w:val="000000"/>
          <w:sz w:val="20"/>
          <w:szCs w:val="20"/>
          <w:u w:color="000000"/>
          <w:bdr w:val="none" w:sz="0" w:space="0" w:color="auto"/>
          <w:lang w:val="en-US" w:eastAsia="es-ES"/>
        </w:rPr>
        <w:t xml:space="preserve">; States must also ensure that remedies are </w:t>
      </w:r>
      <w:r>
        <w:rPr>
          <w:rFonts w:ascii="Cambria" w:eastAsia="Times New Roman" w:hAnsi="Cambria" w:cs="Cambria"/>
          <w:color w:val="000000"/>
          <w:sz w:val="20"/>
          <w:szCs w:val="20"/>
          <w:u w:color="000000"/>
          <w:bdr w:val="none" w:sz="0" w:space="0" w:color="auto"/>
          <w:lang w:val="en-US" w:eastAsia="es-ES"/>
        </w:rPr>
        <w:t>suitable</w:t>
      </w:r>
      <w:r w:rsidRPr="00711C22">
        <w:rPr>
          <w:rFonts w:ascii="Cambria" w:eastAsia="Times New Roman" w:hAnsi="Cambria" w:cs="Cambria"/>
          <w:color w:val="000000"/>
          <w:sz w:val="20"/>
          <w:szCs w:val="20"/>
          <w:u w:color="000000"/>
          <w:bdr w:val="none" w:sz="0" w:space="0" w:color="auto"/>
          <w:lang w:val="en-US" w:eastAsia="es-ES"/>
        </w:rPr>
        <w:t xml:space="preserve"> and effective in practice to determine whether a human rights violation has occurred and to provide redress. An effective remedy is one that can produce the result for which it was designed, has a useful effect (</w:t>
      </w:r>
      <w:proofErr w:type="spellStart"/>
      <w:r w:rsidRPr="00711C22">
        <w:rPr>
          <w:rFonts w:ascii="Cambria" w:eastAsia="Times New Roman" w:hAnsi="Cambria" w:cs="Cambria"/>
          <w:i/>
          <w:color w:val="000000"/>
          <w:sz w:val="20"/>
          <w:szCs w:val="20"/>
          <w:u w:color="000000"/>
          <w:bdr w:val="none" w:sz="0" w:space="0" w:color="auto"/>
          <w:lang w:val="en-US" w:eastAsia="es-ES"/>
        </w:rPr>
        <w:t>effet</w:t>
      </w:r>
      <w:proofErr w:type="spellEnd"/>
      <w:r w:rsidRPr="00711C22">
        <w:rPr>
          <w:rFonts w:ascii="Cambria" w:eastAsia="Times New Roman" w:hAnsi="Cambria" w:cs="Cambria"/>
          <w:i/>
          <w:color w:val="000000"/>
          <w:sz w:val="20"/>
          <w:szCs w:val="20"/>
          <w:u w:color="000000"/>
          <w:bdr w:val="none" w:sz="0" w:space="0" w:color="auto"/>
          <w:lang w:val="en-US" w:eastAsia="es-ES"/>
        </w:rPr>
        <w:t xml:space="preserve"> utile</w:t>
      </w:r>
      <w:r w:rsidRPr="00711C22">
        <w:rPr>
          <w:rFonts w:ascii="Cambria" w:eastAsia="Times New Roman" w:hAnsi="Cambria" w:cs="Cambria"/>
          <w:color w:val="000000"/>
          <w:sz w:val="20"/>
          <w:szCs w:val="20"/>
          <w:u w:color="000000"/>
          <w:bdr w:val="none" w:sz="0" w:space="0" w:color="auto"/>
          <w:lang w:val="en-US" w:eastAsia="es-ES"/>
        </w:rPr>
        <w:t>), and is not illusory</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2"/>
      </w:r>
      <w:r w:rsidRPr="00711C22">
        <w:rPr>
          <w:rFonts w:ascii="Cambria" w:eastAsia="Times New Roman" w:hAnsi="Cambria" w:cs="Cambria"/>
          <w:color w:val="000000"/>
          <w:sz w:val="20"/>
          <w:szCs w:val="20"/>
          <w:u w:color="000000"/>
          <w:bdr w:val="none" w:sz="0" w:space="0" w:color="auto"/>
          <w:lang w:val="en-US" w:eastAsia="es-ES"/>
        </w:rPr>
        <w:t xml:space="preserve"> In addition, to be effective, the remedy must be </w:t>
      </w:r>
      <w:r>
        <w:rPr>
          <w:rFonts w:ascii="Cambria" w:eastAsia="Times New Roman" w:hAnsi="Cambria" w:cs="Cambria"/>
          <w:color w:val="000000"/>
          <w:sz w:val="20"/>
          <w:szCs w:val="20"/>
          <w:u w:color="000000"/>
          <w:bdr w:val="none" w:sz="0" w:space="0" w:color="auto"/>
          <w:lang w:val="en-US" w:eastAsia="es-ES"/>
        </w:rPr>
        <w:t>adjudicated</w:t>
      </w:r>
      <w:r w:rsidRPr="00711C22">
        <w:rPr>
          <w:rFonts w:ascii="Cambria" w:eastAsia="Times New Roman" w:hAnsi="Cambria" w:cs="Cambria"/>
          <w:color w:val="000000"/>
          <w:sz w:val="20"/>
          <w:szCs w:val="20"/>
          <w:u w:color="000000"/>
          <w:bdr w:val="none" w:sz="0" w:space="0" w:color="auto"/>
          <w:lang w:val="en-US" w:eastAsia="es-ES"/>
        </w:rPr>
        <w:t xml:space="preserve"> within a reasonable time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3"/>
      </w:r>
      <w:r w:rsidRPr="00711C22">
        <w:rPr>
          <w:rFonts w:ascii="Cambria" w:eastAsia="Times New Roman" w:hAnsi="Cambria" w:cs="Cambria"/>
          <w:color w:val="000000"/>
          <w:sz w:val="20"/>
          <w:szCs w:val="20"/>
          <w:u w:color="000000"/>
          <w:bdr w:val="none" w:sz="0" w:space="0" w:color="auto"/>
          <w:lang w:val="en-US" w:eastAsia="es-ES"/>
        </w:rPr>
        <w:t xml:space="preserve"> </w:t>
      </w:r>
    </w:p>
    <w:p w14:paraId="4156C9A5"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24587A07" w14:textId="34D103D6" w:rsidR="00092FDD" w:rsidRPr="00711C22" w:rsidRDefault="008C039F"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Pr>
          <w:rFonts w:ascii="Cambria" w:eastAsia="Times New Roman" w:hAnsi="Cambria" w:cs="Cambria"/>
          <w:color w:val="000000"/>
          <w:sz w:val="20"/>
          <w:szCs w:val="20"/>
          <w:u w:color="000000"/>
          <w:bdr w:val="none" w:sz="0" w:space="0" w:color="auto"/>
          <w:lang w:val="en-US" w:eastAsia="es-ES"/>
        </w:rPr>
        <w:t xml:space="preserve">Also, </w:t>
      </w:r>
      <w:r w:rsidR="00092FDD" w:rsidRPr="00711C22">
        <w:rPr>
          <w:rFonts w:ascii="Cambria" w:eastAsia="Times New Roman" w:hAnsi="Cambria" w:cs="Cambria"/>
          <w:color w:val="000000"/>
          <w:sz w:val="20"/>
          <w:szCs w:val="20"/>
          <w:u w:color="000000"/>
          <w:bdr w:val="none" w:sz="0" w:space="0" w:color="auto"/>
          <w:lang w:val="en-US" w:eastAsia="es-ES"/>
        </w:rPr>
        <w:t>States have the duty to investigate, identify, prosecute</w:t>
      </w:r>
      <w:r w:rsidR="00080AF1">
        <w:rPr>
          <w:rFonts w:ascii="Cambria" w:eastAsia="Times New Roman" w:hAnsi="Cambria" w:cs="Cambria"/>
          <w:color w:val="000000"/>
          <w:sz w:val="20"/>
          <w:szCs w:val="20"/>
          <w:u w:color="000000"/>
          <w:bdr w:val="none" w:sz="0" w:space="0" w:color="auto"/>
          <w:lang w:val="en-US" w:eastAsia="es-ES"/>
        </w:rPr>
        <w:t>,</w:t>
      </w:r>
      <w:r w:rsidR="00092FDD" w:rsidRPr="00711C22">
        <w:rPr>
          <w:rFonts w:ascii="Cambria" w:eastAsia="Times New Roman" w:hAnsi="Cambria" w:cs="Cambria"/>
          <w:color w:val="000000"/>
          <w:sz w:val="20"/>
          <w:szCs w:val="20"/>
          <w:u w:color="000000"/>
          <w:bdr w:val="none" w:sz="0" w:space="0" w:color="auto"/>
          <w:lang w:val="en-US" w:eastAsia="es-ES"/>
        </w:rPr>
        <w:t xml:space="preserve"> and punish all those responsible, including the perpetrators, masterminds, participants, collaborators</w:t>
      </w:r>
      <w:r w:rsidR="00080AF1">
        <w:rPr>
          <w:rFonts w:ascii="Cambria" w:eastAsia="Times New Roman" w:hAnsi="Cambria" w:cs="Cambria"/>
          <w:color w:val="000000"/>
          <w:sz w:val="20"/>
          <w:szCs w:val="20"/>
          <w:u w:color="000000"/>
          <w:bdr w:val="none" w:sz="0" w:space="0" w:color="auto"/>
          <w:lang w:val="en-US" w:eastAsia="es-ES"/>
        </w:rPr>
        <w:t>,</w:t>
      </w:r>
      <w:r w:rsidR="00092FDD" w:rsidRPr="00711C22">
        <w:rPr>
          <w:rFonts w:ascii="Cambria" w:eastAsia="Times New Roman" w:hAnsi="Cambria" w:cs="Cambria"/>
          <w:color w:val="000000"/>
          <w:sz w:val="20"/>
          <w:szCs w:val="20"/>
          <w:u w:color="000000"/>
          <w:bdr w:val="none" w:sz="0" w:space="0" w:color="auto"/>
          <w:lang w:val="en-US" w:eastAsia="es-ES"/>
        </w:rPr>
        <w:t xml:space="preserve"> and possible accessories to human rights violations</w:t>
      </w:r>
      <w:r w:rsidR="00092FDD">
        <w:rPr>
          <w:rFonts w:ascii="Cambria" w:eastAsia="Times New Roman" w:hAnsi="Cambria" w:cs="Cambria"/>
          <w:color w:val="000000"/>
          <w:sz w:val="20"/>
          <w:szCs w:val="20"/>
          <w:u w:color="000000"/>
          <w:bdr w:val="none" w:sz="0" w:space="0" w:color="auto"/>
          <w:lang w:val="en-US" w:eastAsia="es-ES"/>
        </w:rPr>
        <w:t>.</w:t>
      </w:r>
      <w:r w:rsidR="00092FDD" w:rsidRPr="00711C22">
        <w:rPr>
          <w:rFonts w:ascii="Cambria" w:eastAsia="Times New Roman" w:hAnsi="Cambria" w:cs="Cambria"/>
          <w:color w:val="000000"/>
          <w:sz w:val="20"/>
          <w:szCs w:val="20"/>
          <w:u w:color="000000"/>
          <w:bdr w:val="none" w:sz="0" w:space="0" w:color="auto"/>
          <w:vertAlign w:val="superscript"/>
          <w:lang w:val="en-US" w:eastAsia="es-ES"/>
        </w:rPr>
        <w:footnoteReference w:id="294"/>
      </w:r>
    </w:p>
    <w:p w14:paraId="609C744D"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559B8E57" w14:textId="5F5DFB11" w:rsidR="00DB4E5D" w:rsidRPr="00711C22" w:rsidRDefault="00DB4E5D"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 xml:space="preserve">Especially in cases involving violence against journalists, </w:t>
      </w:r>
      <w:r w:rsidR="00CD1850" w:rsidRPr="00CD1850">
        <w:rPr>
          <w:rFonts w:ascii="Cambria" w:eastAsia="Times New Roman" w:hAnsi="Cambria" w:cs="Cambria"/>
          <w:color w:val="000000"/>
          <w:sz w:val="20"/>
          <w:szCs w:val="20"/>
          <w:u w:color="000000"/>
          <w:bdr w:val="none" w:sz="0" w:space="0" w:color="auto"/>
          <w:lang w:val="en-US" w:eastAsia="es-ES"/>
        </w:rPr>
        <w:t>the inter-American standards have established that, in meeting their obligation to investigate, prosecute, and punish</w:t>
      </w:r>
      <w:r w:rsidR="00CD1850">
        <w:rPr>
          <w:rFonts w:ascii="Cambria" w:eastAsia="Times New Roman" w:hAnsi="Cambria" w:cs="Cambria"/>
          <w:color w:val="000000"/>
          <w:sz w:val="20"/>
          <w:szCs w:val="20"/>
          <w:u w:color="000000"/>
          <w:bdr w:val="none" w:sz="0" w:space="0" w:color="auto"/>
          <w:lang w:val="en-US" w:eastAsia="es-ES"/>
        </w:rPr>
        <w:t xml:space="preserve"> the perpetrators</w:t>
      </w:r>
      <w:r w:rsidR="00CD1850" w:rsidRPr="00CD1850">
        <w:rPr>
          <w:rFonts w:ascii="Cambria" w:eastAsia="Times New Roman" w:hAnsi="Cambria" w:cs="Cambria"/>
          <w:color w:val="000000"/>
          <w:sz w:val="20"/>
          <w:szCs w:val="20"/>
          <w:u w:color="000000"/>
          <w:bdr w:val="none" w:sz="0" w:space="0" w:color="auto"/>
          <w:lang w:val="en-US" w:eastAsia="es-ES"/>
        </w:rPr>
        <w:t>, the States must place special emphasis on certain obligations, including: (</w:t>
      </w:r>
      <w:proofErr w:type="spellStart"/>
      <w:r w:rsidR="00CD1850" w:rsidRPr="00CD1850">
        <w:rPr>
          <w:rFonts w:ascii="Cambria" w:eastAsia="Times New Roman" w:hAnsi="Cambria" w:cs="Cambria"/>
          <w:color w:val="000000"/>
          <w:sz w:val="20"/>
          <w:szCs w:val="20"/>
          <w:u w:color="000000"/>
          <w:bdr w:val="none" w:sz="0" w:space="0" w:color="auto"/>
          <w:lang w:val="en-US" w:eastAsia="es-ES"/>
        </w:rPr>
        <w:t>i</w:t>
      </w:r>
      <w:proofErr w:type="spellEnd"/>
      <w:r w:rsidR="00CD1850" w:rsidRPr="00CD1850">
        <w:rPr>
          <w:rFonts w:ascii="Cambria" w:eastAsia="Times New Roman" w:hAnsi="Cambria" w:cs="Cambria"/>
          <w:color w:val="000000"/>
          <w:sz w:val="20"/>
          <w:szCs w:val="20"/>
          <w:u w:color="000000"/>
          <w:bdr w:val="none" w:sz="0" w:space="0" w:color="auto"/>
          <w:lang w:val="en-US" w:eastAsia="es-ES"/>
        </w:rPr>
        <w:t>) the obligation to adopt an adequate institutional framework for the effective investigation, prosecution, and punishment of violence against journalists; (ii) the obligation to exercise due diligence and exhaust lines of inquiry related to the victim’s practice of journalism; (iii) the obligation to conduct investigatio</w:t>
      </w:r>
      <w:r w:rsidR="00CD1850">
        <w:rPr>
          <w:rFonts w:ascii="Cambria" w:eastAsia="Times New Roman" w:hAnsi="Cambria" w:cs="Cambria"/>
          <w:color w:val="000000"/>
          <w:sz w:val="20"/>
          <w:szCs w:val="20"/>
          <w:u w:color="000000"/>
          <w:bdr w:val="none" w:sz="0" w:space="0" w:color="auto"/>
          <w:lang w:val="en-US" w:eastAsia="es-ES"/>
        </w:rPr>
        <w:t>ns within a reasonable time period; and (iv) the obligation to facilitate victim participation in the investigations</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5"/>
      </w:r>
      <w:r w:rsidRPr="00711C22">
        <w:rPr>
          <w:rFonts w:ascii="Cambria" w:eastAsia="Times New Roman" w:hAnsi="Cambria" w:cs="Cambria"/>
          <w:color w:val="000000"/>
          <w:sz w:val="20"/>
          <w:szCs w:val="20"/>
          <w:u w:color="000000"/>
          <w:bdr w:val="none" w:sz="0" w:space="0" w:color="auto"/>
          <w:lang w:val="en-US" w:eastAsia="es-ES"/>
        </w:rPr>
        <w:t xml:space="preserve">  </w:t>
      </w:r>
    </w:p>
    <w:p w14:paraId="7F7EEB51"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53E2D21C" w14:textId="625B8E5F" w:rsidR="00713B50" w:rsidRDefault="00FF1D6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 xml:space="preserve">The Commission recalls that the </w:t>
      </w:r>
      <w:r>
        <w:rPr>
          <w:rFonts w:ascii="Cambria" w:eastAsia="Times New Roman" w:hAnsi="Cambria" w:cs="Cambria"/>
          <w:color w:val="000000"/>
          <w:sz w:val="20"/>
          <w:szCs w:val="20"/>
          <w:u w:color="000000"/>
          <w:bdr w:val="none" w:sz="0" w:space="0" w:color="auto"/>
          <w:lang w:val="en-US" w:eastAsia="es-ES"/>
        </w:rPr>
        <w:t>bodies</w:t>
      </w:r>
      <w:r w:rsidRPr="00711C22">
        <w:rPr>
          <w:rFonts w:ascii="Cambria" w:eastAsia="Times New Roman" w:hAnsi="Cambria" w:cs="Cambria"/>
          <w:color w:val="000000"/>
          <w:sz w:val="20"/>
          <w:szCs w:val="20"/>
          <w:u w:color="000000"/>
          <w:bdr w:val="none" w:sz="0" w:space="0" w:color="auto"/>
          <w:lang w:val="en-US" w:eastAsia="es-ES"/>
        </w:rPr>
        <w:t xml:space="preserve"> of the inter-American system </w:t>
      </w:r>
      <w:r>
        <w:rPr>
          <w:rFonts w:ascii="Cambria" w:eastAsia="Times New Roman" w:hAnsi="Cambria" w:cs="Cambria"/>
          <w:color w:val="000000"/>
          <w:sz w:val="20"/>
          <w:szCs w:val="20"/>
          <w:u w:color="000000"/>
          <w:bdr w:val="none" w:sz="0" w:space="0" w:color="auto"/>
          <w:lang w:val="en-US" w:eastAsia="es-ES"/>
        </w:rPr>
        <w:t xml:space="preserve">have considered </w:t>
      </w:r>
      <w:r w:rsidR="00CF43F6">
        <w:rPr>
          <w:rFonts w:ascii="Cambria" w:eastAsia="Times New Roman" w:hAnsi="Cambria" w:cs="Cambria"/>
          <w:color w:val="000000"/>
          <w:sz w:val="20"/>
          <w:szCs w:val="20"/>
          <w:u w:color="000000"/>
          <w:bdr w:val="none" w:sz="0" w:space="0" w:color="auto"/>
          <w:lang w:val="en-US" w:eastAsia="es-ES"/>
        </w:rPr>
        <w:t xml:space="preserve">these factors </w:t>
      </w:r>
      <w:r>
        <w:rPr>
          <w:rFonts w:ascii="Cambria" w:eastAsia="Times New Roman" w:hAnsi="Cambria" w:cs="Cambria"/>
          <w:color w:val="000000"/>
          <w:sz w:val="20"/>
          <w:szCs w:val="20"/>
          <w:u w:color="000000"/>
          <w:bdr w:val="none" w:sz="0" w:space="0" w:color="auto"/>
          <w:lang w:val="en-US" w:eastAsia="es-ES"/>
        </w:rPr>
        <w:t xml:space="preserve">in analyzing </w:t>
      </w:r>
      <w:r w:rsidRPr="00711C22">
        <w:rPr>
          <w:rFonts w:ascii="Cambria" w:eastAsia="Times New Roman" w:hAnsi="Cambria" w:cs="Cambria"/>
          <w:color w:val="000000"/>
          <w:sz w:val="20"/>
          <w:szCs w:val="20"/>
          <w:u w:color="000000"/>
          <w:bdr w:val="none" w:sz="0" w:space="0" w:color="auto"/>
          <w:lang w:val="en-US" w:eastAsia="es-ES"/>
        </w:rPr>
        <w:t xml:space="preserve">reasonable time according to the circumstances of each case: </w:t>
      </w:r>
      <w:r>
        <w:rPr>
          <w:rFonts w:ascii="Cambria" w:eastAsia="Times New Roman" w:hAnsi="Cambria" w:cs="Cambria"/>
          <w:color w:val="000000"/>
          <w:sz w:val="20"/>
          <w:szCs w:val="20"/>
          <w:u w:color="000000"/>
          <w:bdr w:val="none" w:sz="0" w:space="0" w:color="auto"/>
          <w:lang w:val="en-US" w:eastAsia="es-ES"/>
        </w:rPr>
        <w:t>(</w:t>
      </w:r>
      <w:proofErr w:type="spellStart"/>
      <w:r w:rsidRPr="00711C22">
        <w:rPr>
          <w:rFonts w:ascii="Cambria" w:eastAsia="Times New Roman" w:hAnsi="Cambria" w:cs="Cambria"/>
          <w:color w:val="000000"/>
          <w:sz w:val="20"/>
          <w:szCs w:val="20"/>
          <w:u w:color="000000"/>
          <w:bdr w:val="none" w:sz="0" w:space="0" w:color="auto"/>
          <w:lang w:val="en-US" w:eastAsia="es-ES"/>
        </w:rPr>
        <w:t>i</w:t>
      </w:r>
      <w:proofErr w:type="spellEnd"/>
      <w:r w:rsidRPr="00711C22">
        <w:rPr>
          <w:rFonts w:ascii="Cambria" w:eastAsia="Times New Roman" w:hAnsi="Cambria" w:cs="Cambria"/>
          <w:color w:val="000000"/>
          <w:sz w:val="20"/>
          <w:szCs w:val="20"/>
          <w:u w:color="000000"/>
          <w:bdr w:val="none" w:sz="0" w:space="0" w:color="auto"/>
          <w:lang w:val="en-US" w:eastAsia="es-ES"/>
        </w:rPr>
        <w:t xml:space="preserve">) the complexity of the </w:t>
      </w:r>
      <w:r>
        <w:rPr>
          <w:rFonts w:ascii="Cambria" w:eastAsia="Times New Roman" w:hAnsi="Cambria" w:cs="Cambria"/>
          <w:color w:val="000000"/>
          <w:sz w:val="20"/>
          <w:szCs w:val="20"/>
          <w:u w:color="000000"/>
          <w:bdr w:val="none" w:sz="0" w:space="0" w:color="auto"/>
          <w:lang w:val="en-US" w:eastAsia="es-ES"/>
        </w:rPr>
        <w:t>matter</w:t>
      </w:r>
      <w:r w:rsidRPr="00711C22">
        <w:rPr>
          <w:rFonts w:ascii="Cambria" w:eastAsia="Times New Roman" w:hAnsi="Cambria" w:cs="Cambria"/>
          <w:color w:val="000000"/>
          <w:sz w:val="20"/>
          <w:szCs w:val="20"/>
          <w:u w:color="000000"/>
          <w:bdr w:val="none" w:sz="0" w:space="0" w:color="auto"/>
          <w:lang w:val="en-US" w:eastAsia="es-ES"/>
        </w:rPr>
        <w:t xml:space="preserve">; </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ii) the procedural </w:t>
      </w:r>
      <w:r>
        <w:rPr>
          <w:rFonts w:ascii="Cambria" w:eastAsia="Times New Roman" w:hAnsi="Cambria" w:cs="Cambria"/>
          <w:color w:val="000000"/>
          <w:sz w:val="20"/>
          <w:szCs w:val="20"/>
          <w:u w:color="000000"/>
          <w:bdr w:val="none" w:sz="0" w:space="0" w:color="auto"/>
          <w:lang w:val="en-US" w:eastAsia="es-ES"/>
        </w:rPr>
        <w:t>steps taken by</w:t>
      </w:r>
      <w:r w:rsidRPr="00711C22">
        <w:rPr>
          <w:rFonts w:ascii="Cambria" w:eastAsia="Times New Roman" w:hAnsi="Cambria" w:cs="Cambria"/>
          <w:color w:val="000000"/>
          <w:sz w:val="20"/>
          <w:szCs w:val="20"/>
          <w:u w:color="000000"/>
          <w:bdr w:val="none" w:sz="0" w:space="0" w:color="auto"/>
          <w:lang w:val="en-US" w:eastAsia="es-ES"/>
        </w:rPr>
        <w:t xml:space="preserve"> the interested party; </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iii) the </w:t>
      </w:r>
      <w:r w:rsidR="0006778D">
        <w:rPr>
          <w:rFonts w:ascii="Cambria" w:eastAsia="Times New Roman" w:hAnsi="Cambria" w:cs="Cambria"/>
          <w:color w:val="000000"/>
          <w:sz w:val="20"/>
          <w:szCs w:val="20"/>
          <w:u w:color="000000"/>
          <w:bdr w:val="none" w:sz="0" w:space="0" w:color="auto"/>
          <w:lang w:val="en-US" w:eastAsia="es-ES"/>
        </w:rPr>
        <w:t>actions</w:t>
      </w:r>
      <w:r w:rsidRPr="00711C22">
        <w:rPr>
          <w:rFonts w:ascii="Cambria" w:eastAsia="Times New Roman" w:hAnsi="Cambria" w:cs="Cambria"/>
          <w:color w:val="000000"/>
          <w:sz w:val="20"/>
          <w:szCs w:val="20"/>
          <w:u w:color="000000"/>
          <w:bdr w:val="none" w:sz="0" w:space="0" w:color="auto"/>
          <w:lang w:val="en-US" w:eastAsia="es-ES"/>
        </w:rPr>
        <w:t xml:space="preserve"> of judicial authorities; and </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iv) the impact on the legal s</w:t>
      </w:r>
      <w:r w:rsidR="0006778D">
        <w:rPr>
          <w:rFonts w:ascii="Cambria" w:eastAsia="Times New Roman" w:hAnsi="Cambria" w:cs="Cambria"/>
          <w:color w:val="000000"/>
          <w:sz w:val="20"/>
          <w:szCs w:val="20"/>
          <w:u w:color="000000"/>
          <w:bdr w:val="none" w:sz="0" w:space="0" w:color="auto"/>
          <w:lang w:val="en-US" w:eastAsia="es-ES"/>
        </w:rPr>
        <w:t>tatus</w:t>
      </w:r>
      <w:r w:rsidRPr="00711C22">
        <w:rPr>
          <w:rFonts w:ascii="Cambria" w:eastAsia="Times New Roman" w:hAnsi="Cambria" w:cs="Cambria"/>
          <w:color w:val="000000"/>
          <w:sz w:val="20"/>
          <w:szCs w:val="20"/>
          <w:u w:color="000000"/>
          <w:bdr w:val="none" w:sz="0" w:space="0" w:color="auto"/>
          <w:lang w:val="en-US" w:eastAsia="es-ES"/>
        </w:rPr>
        <w:t xml:space="preserve"> of the person involved in the </w:t>
      </w:r>
      <w:r w:rsidR="0006778D">
        <w:rPr>
          <w:rFonts w:ascii="Cambria" w:eastAsia="Times New Roman" w:hAnsi="Cambria" w:cs="Cambria"/>
          <w:color w:val="000000"/>
          <w:sz w:val="20"/>
          <w:szCs w:val="20"/>
          <w:u w:color="000000"/>
          <w:bdr w:val="none" w:sz="0" w:space="0" w:color="auto"/>
          <w:lang w:val="en-US" w:eastAsia="es-ES"/>
        </w:rPr>
        <w:t>case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296"/>
      </w:r>
    </w:p>
    <w:p w14:paraId="75744B26" w14:textId="77777777" w:rsidR="00FF1D6A" w:rsidRPr="00FF1D6A" w:rsidRDefault="00FF1D6A"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val="en-US" w:eastAsia="es-ES"/>
        </w:rPr>
      </w:pPr>
    </w:p>
    <w:p w14:paraId="3FA36812" w14:textId="2E1A1EE3" w:rsidR="00713B50" w:rsidRPr="001F4A36" w:rsidRDefault="001F4A3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In th</w:t>
      </w:r>
      <w:r>
        <w:rPr>
          <w:rFonts w:ascii="Cambria" w:eastAsia="Times New Roman" w:hAnsi="Cambria" w:cs="Cambria"/>
          <w:color w:val="000000"/>
          <w:sz w:val="20"/>
          <w:szCs w:val="20"/>
          <w:u w:color="000000"/>
          <w:bdr w:val="none" w:sz="0" w:space="0" w:color="auto"/>
          <w:lang w:val="en-US" w:eastAsia="es-ES"/>
        </w:rPr>
        <w:t>is</w:t>
      </w:r>
      <w:r w:rsidRPr="00711C22">
        <w:rPr>
          <w:rFonts w:ascii="Cambria" w:eastAsia="Times New Roman" w:hAnsi="Cambria" w:cs="Cambria"/>
          <w:color w:val="000000"/>
          <w:sz w:val="20"/>
          <w:szCs w:val="20"/>
          <w:u w:color="000000"/>
          <w:bdr w:val="none" w:sz="0" w:space="0" w:color="auto"/>
          <w:lang w:val="en-US" w:eastAsia="es-ES"/>
        </w:rPr>
        <w:t xml:space="preserve"> case, the IACHR established that </w:t>
      </w:r>
      <w:proofErr w:type="spellStart"/>
      <w:r w:rsidRPr="00711C22">
        <w:rPr>
          <w:rFonts w:ascii="Cambria" w:eastAsia="Times New Roman" w:hAnsi="Cambria" w:cs="Cambria"/>
          <w:color w:val="000000"/>
          <w:sz w:val="20"/>
          <w:szCs w:val="20"/>
          <w:u w:color="000000"/>
          <w:bdr w:val="none" w:sz="0" w:space="0" w:color="auto"/>
          <w:lang w:val="en-US" w:eastAsia="es-ES"/>
        </w:rPr>
        <w:t>Yoani</w:t>
      </w:r>
      <w:proofErr w:type="spellEnd"/>
      <w:r w:rsidRPr="00711C22">
        <w:rPr>
          <w:rFonts w:ascii="Cambria" w:eastAsia="Times New Roman" w:hAnsi="Cambria" w:cs="Cambria"/>
          <w:color w:val="000000"/>
          <w:sz w:val="20"/>
          <w:szCs w:val="20"/>
          <w:u w:color="000000"/>
          <w:bdr w:val="none" w:sz="0" w:space="0" w:color="auto"/>
          <w:lang w:val="en-US" w:eastAsia="es-ES"/>
        </w:rPr>
        <w:t xml:space="preserve"> Sánchez filed </w:t>
      </w:r>
      <w:r w:rsidRPr="00711C22">
        <w:rPr>
          <w:rFonts w:ascii="Cambria" w:hAnsi="Cambria"/>
          <w:sz w:val="20"/>
          <w:szCs w:val="20"/>
          <w:lang w:val="en-US"/>
        </w:rPr>
        <w:t xml:space="preserve">a complaint with </w:t>
      </w:r>
      <w:r w:rsidRPr="00B24750">
        <w:rPr>
          <w:rFonts w:asciiTheme="majorHAnsi" w:hAnsiTheme="majorHAnsi"/>
          <w:sz w:val="20"/>
          <w:szCs w:val="20"/>
          <w:lang w:val="en-US"/>
        </w:rPr>
        <w:t>the Office of the Military Prosecutor</w:t>
      </w:r>
      <w:r w:rsidRPr="00711C22">
        <w:rPr>
          <w:rFonts w:ascii="Cambria" w:hAnsi="Cambria"/>
          <w:sz w:val="20"/>
          <w:szCs w:val="20"/>
          <w:lang w:val="en-US"/>
        </w:rPr>
        <w:t xml:space="preserve"> </w:t>
      </w:r>
      <w:r>
        <w:rPr>
          <w:rFonts w:ascii="Cambria" w:hAnsi="Cambria"/>
          <w:sz w:val="20"/>
          <w:szCs w:val="20"/>
          <w:lang w:val="en-US"/>
        </w:rPr>
        <w:t xml:space="preserve">and the </w:t>
      </w:r>
      <w:r w:rsidR="00F70DF0">
        <w:rPr>
          <w:rFonts w:asciiTheme="majorHAnsi" w:hAnsiTheme="majorHAnsi"/>
          <w:sz w:val="20"/>
          <w:szCs w:val="20"/>
          <w:lang w:val="en-US"/>
        </w:rPr>
        <w:t>Office of the Attorney General</w:t>
      </w:r>
      <w:r>
        <w:rPr>
          <w:rFonts w:asciiTheme="majorHAnsi" w:hAnsiTheme="majorHAnsi"/>
          <w:sz w:val="20"/>
          <w:szCs w:val="20"/>
          <w:lang w:val="en-US"/>
        </w:rPr>
        <w:t xml:space="preserve"> </w:t>
      </w:r>
      <w:r>
        <w:rPr>
          <w:rFonts w:ascii="Cambria" w:hAnsi="Cambria"/>
          <w:sz w:val="20"/>
          <w:szCs w:val="20"/>
          <w:lang w:val="en-US"/>
        </w:rPr>
        <w:t>in late</w:t>
      </w:r>
      <w:r w:rsidRPr="00711C22">
        <w:rPr>
          <w:rFonts w:ascii="Cambria" w:hAnsi="Cambria"/>
          <w:sz w:val="20"/>
          <w:szCs w:val="20"/>
          <w:lang w:val="en-US"/>
        </w:rPr>
        <w:t xml:space="preserve"> 2009 regarding the detention and a</w:t>
      </w:r>
      <w:r>
        <w:rPr>
          <w:rFonts w:ascii="Cambria" w:hAnsi="Cambria"/>
          <w:sz w:val="20"/>
          <w:szCs w:val="20"/>
          <w:lang w:val="en-US"/>
        </w:rPr>
        <w:t>ssaults of</w:t>
      </w:r>
      <w:r w:rsidRPr="00711C22">
        <w:rPr>
          <w:rFonts w:ascii="Cambria" w:hAnsi="Cambria"/>
          <w:sz w:val="20"/>
          <w:szCs w:val="20"/>
          <w:lang w:val="en-US"/>
        </w:rPr>
        <w:t xml:space="preserve"> November 6, 2009.</w:t>
      </w:r>
      <w:r>
        <w:rPr>
          <w:rFonts w:ascii="Cambria" w:hAnsi="Cambria"/>
          <w:sz w:val="20"/>
          <w:szCs w:val="20"/>
          <w:lang w:val="en-US"/>
        </w:rPr>
        <w:t xml:space="preserve"> On</w:t>
      </w:r>
      <w:r w:rsidRPr="00711C22">
        <w:rPr>
          <w:rFonts w:ascii="Cambria" w:hAnsi="Cambria"/>
          <w:sz w:val="20"/>
          <w:szCs w:val="20"/>
          <w:lang w:val="en-US"/>
        </w:rPr>
        <w:t xml:space="preserve"> March 10, 2010, she</w:t>
      </w:r>
      <w:r>
        <w:rPr>
          <w:rFonts w:ascii="Cambria" w:hAnsi="Cambria"/>
          <w:sz w:val="20"/>
          <w:szCs w:val="20"/>
          <w:lang w:val="en-US"/>
        </w:rPr>
        <w:t xml:space="preserve"> also</w:t>
      </w:r>
      <w:r w:rsidRPr="00711C22">
        <w:rPr>
          <w:rFonts w:ascii="Cambria" w:hAnsi="Cambria"/>
          <w:sz w:val="20"/>
          <w:szCs w:val="20"/>
          <w:lang w:val="en-US"/>
        </w:rPr>
        <w:t xml:space="preserve"> filed a complaint </w:t>
      </w:r>
      <w:r>
        <w:rPr>
          <w:rFonts w:ascii="Cambria" w:hAnsi="Cambria"/>
          <w:sz w:val="20"/>
          <w:szCs w:val="20"/>
          <w:lang w:val="en-US"/>
        </w:rPr>
        <w:t xml:space="preserve">with the </w:t>
      </w:r>
      <w:r w:rsidR="00F70DF0">
        <w:rPr>
          <w:rFonts w:asciiTheme="majorHAnsi" w:hAnsiTheme="majorHAnsi"/>
          <w:sz w:val="20"/>
          <w:szCs w:val="20"/>
          <w:lang w:val="en-US"/>
        </w:rPr>
        <w:t>Office of the Attorney General</w:t>
      </w:r>
      <w:r w:rsidRPr="00B24750">
        <w:rPr>
          <w:rFonts w:asciiTheme="majorHAnsi" w:hAnsiTheme="majorHAnsi"/>
          <w:sz w:val="20"/>
          <w:szCs w:val="20"/>
          <w:lang w:val="en-US"/>
        </w:rPr>
        <w:t>, the Office of the Military Prosecutor</w:t>
      </w:r>
      <w:r>
        <w:rPr>
          <w:rFonts w:ascii="Cambria" w:hAnsi="Cambria"/>
          <w:sz w:val="20"/>
          <w:szCs w:val="20"/>
          <w:lang w:val="en-US"/>
        </w:rPr>
        <w:t xml:space="preserve">, </w:t>
      </w:r>
      <w:r w:rsidRPr="00711C22">
        <w:rPr>
          <w:rFonts w:ascii="Cambria" w:hAnsi="Cambria"/>
          <w:sz w:val="20"/>
          <w:szCs w:val="20"/>
          <w:lang w:val="en-US"/>
        </w:rPr>
        <w:t>the National Assembly, the Council</w:t>
      </w:r>
      <w:r>
        <w:rPr>
          <w:rFonts w:ascii="Cambria" w:hAnsi="Cambria"/>
          <w:sz w:val="20"/>
          <w:szCs w:val="20"/>
          <w:lang w:val="en-US"/>
        </w:rPr>
        <w:t xml:space="preserve"> of </w:t>
      </w:r>
      <w:r w:rsidR="00D10380">
        <w:rPr>
          <w:rFonts w:ascii="Cambria" w:hAnsi="Cambria"/>
          <w:sz w:val="20"/>
          <w:szCs w:val="20"/>
          <w:lang w:val="en-US"/>
        </w:rPr>
        <w:t>State</w:t>
      </w:r>
      <w:r w:rsidRPr="00711C22">
        <w:rPr>
          <w:rFonts w:ascii="Cambria" w:hAnsi="Cambria"/>
          <w:sz w:val="20"/>
          <w:szCs w:val="20"/>
          <w:lang w:val="en-US"/>
        </w:rPr>
        <w:t>, the PNR</w:t>
      </w:r>
      <w:r>
        <w:rPr>
          <w:rFonts w:ascii="Cambria" w:hAnsi="Cambria"/>
          <w:sz w:val="20"/>
          <w:szCs w:val="20"/>
          <w:lang w:val="en-US"/>
        </w:rPr>
        <w:t>,</w:t>
      </w:r>
      <w:r w:rsidRPr="00711C22">
        <w:rPr>
          <w:rFonts w:ascii="Cambria" w:hAnsi="Cambria"/>
          <w:sz w:val="20"/>
          <w:szCs w:val="20"/>
          <w:lang w:val="en-US"/>
        </w:rPr>
        <w:t xml:space="preserve"> and the Infanta and </w:t>
      </w:r>
      <w:proofErr w:type="spellStart"/>
      <w:r w:rsidRPr="00711C22">
        <w:rPr>
          <w:rFonts w:ascii="Cambria" w:hAnsi="Cambria"/>
          <w:sz w:val="20"/>
          <w:szCs w:val="20"/>
          <w:lang w:val="en-US"/>
        </w:rPr>
        <w:t>Manglar</w:t>
      </w:r>
      <w:proofErr w:type="spellEnd"/>
      <w:r w:rsidRPr="00711C22">
        <w:rPr>
          <w:rFonts w:ascii="Cambria" w:hAnsi="Cambria"/>
          <w:sz w:val="20"/>
          <w:szCs w:val="20"/>
          <w:lang w:val="en-US"/>
        </w:rPr>
        <w:t xml:space="preserve"> </w:t>
      </w:r>
      <w:r>
        <w:rPr>
          <w:rFonts w:ascii="Cambria" w:hAnsi="Cambria"/>
          <w:sz w:val="20"/>
          <w:szCs w:val="20"/>
          <w:lang w:val="en-US"/>
        </w:rPr>
        <w:t xml:space="preserve">police </w:t>
      </w:r>
      <w:r w:rsidRPr="00711C22">
        <w:rPr>
          <w:rFonts w:ascii="Cambria" w:hAnsi="Cambria"/>
          <w:sz w:val="20"/>
          <w:szCs w:val="20"/>
          <w:lang w:val="en-US"/>
        </w:rPr>
        <w:t>station</w:t>
      </w:r>
      <w:r>
        <w:rPr>
          <w:rFonts w:ascii="Cambria" w:hAnsi="Cambria"/>
          <w:sz w:val="20"/>
          <w:szCs w:val="20"/>
          <w:lang w:val="en-US"/>
        </w:rPr>
        <w:t xml:space="preserve"> </w:t>
      </w:r>
      <w:r w:rsidR="00C42063">
        <w:rPr>
          <w:rFonts w:ascii="Cambria" w:hAnsi="Cambria"/>
          <w:sz w:val="20"/>
          <w:szCs w:val="20"/>
          <w:lang w:val="en-US"/>
        </w:rPr>
        <w:t>in connection with</w:t>
      </w:r>
      <w:r w:rsidR="00CF43F6">
        <w:rPr>
          <w:rFonts w:ascii="Cambria" w:hAnsi="Cambria"/>
          <w:sz w:val="20"/>
          <w:szCs w:val="20"/>
          <w:lang w:val="en-US"/>
        </w:rPr>
        <w:t xml:space="preserve"> </w:t>
      </w:r>
      <w:r w:rsidRPr="00711C22">
        <w:rPr>
          <w:rFonts w:ascii="Cambria" w:hAnsi="Cambria"/>
          <w:sz w:val="20"/>
          <w:szCs w:val="20"/>
          <w:lang w:val="en-US"/>
        </w:rPr>
        <w:t xml:space="preserve">the detention and events of February 24, 2010. </w:t>
      </w:r>
      <w:r w:rsidRPr="00711C22">
        <w:rPr>
          <w:rFonts w:ascii="Cambria" w:eastAsia="Times New Roman" w:hAnsi="Cambria" w:cs="Cambria"/>
          <w:color w:val="000000"/>
          <w:sz w:val="20"/>
          <w:szCs w:val="20"/>
          <w:u w:color="000000"/>
          <w:bdr w:val="none" w:sz="0" w:space="0" w:color="auto"/>
          <w:lang w:val="en-US" w:eastAsia="es-ES"/>
        </w:rPr>
        <w:t>To date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more than </w:t>
      </w:r>
      <w:r w:rsidRPr="00711C22">
        <w:rPr>
          <w:rFonts w:ascii="Cambria" w:eastAsia="Times New Roman" w:hAnsi="Cambria" w:cs="Cambria"/>
          <w:color w:val="000000"/>
          <w:sz w:val="20"/>
          <w:szCs w:val="20"/>
          <w:u w:color="000000"/>
          <w:bdr w:val="none" w:sz="0" w:space="0" w:color="auto"/>
          <w:lang w:val="en-US" w:eastAsia="es-ES"/>
        </w:rPr>
        <w:lastRenderedPageBreak/>
        <w:t>11 years after the complaints were filed</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the State </w:t>
      </w:r>
      <w:r w:rsidR="00CF43F6">
        <w:rPr>
          <w:rFonts w:ascii="Cambria" w:eastAsia="Times New Roman" w:hAnsi="Cambria" w:cs="Cambria"/>
          <w:color w:val="000000"/>
          <w:sz w:val="20"/>
          <w:szCs w:val="20"/>
          <w:u w:color="000000"/>
          <w:bdr w:val="none" w:sz="0" w:space="0" w:color="auto"/>
          <w:lang w:val="en-US" w:eastAsia="es-ES"/>
        </w:rPr>
        <w:t>has opened no investigations</w:t>
      </w:r>
      <w:r w:rsidRPr="00711C22">
        <w:rPr>
          <w:rFonts w:ascii="Cambria" w:eastAsia="Times New Roman" w:hAnsi="Cambria" w:cs="Cambria"/>
          <w:color w:val="000000"/>
          <w:sz w:val="20"/>
          <w:szCs w:val="20"/>
          <w:u w:color="000000"/>
          <w:bdr w:val="none" w:sz="0" w:space="0" w:color="auto"/>
          <w:lang w:val="en-US" w:eastAsia="es-ES"/>
        </w:rPr>
        <w:t>.</w:t>
      </w:r>
      <w:r>
        <w:rPr>
          <w:rFonts w:ascii="Cambria" w:eastAsia="Times New Roman" w:hAnsi="Cambria" w:cs="Cambria"/>
          <w:color w:val="000000"/>
          <w:sz w:val="20"/>
          <w:szCs w:val="20"/>
          <w:u w:color="000000"/>
          <w:bdr w:val="none" w:sz="0" w:space="0" w:color="auto"/>
          <w:lang w:val="en-US" w:eastAsia="es-ES"/>
        </w:rPr>
        <w:t xml:space="preserve"> </w:t>
      </w:r>
      <w:r w:rsidRPr="00711C22">
        <w:rPr>
          <w:rFonts w:ascii="Cambria" w:eastAsia="Times New Roman" w:hAnsi="Cambria" w:cs="Cambria"/>
          <w:color w:val="000000"/>
          <w:sz w:val="20"/>
          <w:szCs w:val="20"/>
          <w:u w:color="000000"/>
          <w:bdr w:val="none" w:sz="0" w:space="0" w:color="auto"/>
          <w:lang w:val="en-US" w:eastAsia="es-ES"/>
        </w:rPr>
        <w:t>The Commission concludes not only that this violates the reasonable time</w:t>
      </w:r>
      <w:r w:rsidRPr="001F4A36">
        <w:rPr>
          <w:rFonts w:ascii="Cambria" w:eastAsia="Times New Roman" w:hAnsi="Cambria" w:cs="Cambria"/>
          <w:color w:val="000000"/>
          <w:sz w:val="20"/>
          <w:szCs w:val="20"/>
          <w:u w:color="000000"/>
          <w:bdr w:val="none" w:sz="0" w:space="0" w:color="auto"/>
          <w:lang w:val="en-US" w:eastAsia="es-ES"/>
        </w:rPr>
        <w:t xml:space="preserve"> </w:t>
      </w:r>
      <w:r w:rsidRPr="00711C22">
        <w:rPr>
          <w:rFonts w:ascii="Cambria" w:eastAsia="Times New Roman" w:hAnsi="Cambria" w:cs="Cambria"/>
          <w:color w:val="000000"/>
          <w:sz w:val="20"/>
          <w:szCs w:val="20"/>
          <w:u w:color="000000"/>
          <w:bdr w:val="none" w:sz="0" w:space="0" w:color="auto"/>
          <w:lang w:val="en-US" w:eastAsia="es-ES"/>
        </w:rPr>
        <w:t xml:space="preserve">guarantee, but </w:t>
      </w:r>
      <w:r>
        <w:rPr>
          <w:rFonts w:ascii="Cambria" w:eastAsia="Times New Roman" w:hAnsi="Cambria" w:cs="Cambria"/>
          <w:color w:val="000000"/>
          <w:sz w:val="20"/>
          <w:szCs w:val="20"/>
          <w:u w:color="000000"/>
          <w:bdr w:val="none" w:sz="0" w:space="0" w:color="auto"/>
          <w:lang w:val="en-US" w:eastAsia="es-ES"/>
        </w:rPr>
        <w:t xml:space="preserve">also </w:t>
      </w:r>
      <w:r w:rsidRPr="00711C22">
        <w:rPr>
          <w:rFonts w:ascii="Cambria" w:eastAsia="Times New Roman" w:hAnsi="Cambria" w:cs="Cambria"/>
          <w:color w:val="000000"/>
          <w:sz w:val="20"/>
          <w:szCs w:val="20"/>
          <w:u w:color="000000"/>
          <w:bdr w:val="none" w:sz="0" w:space="0" w:color="auto"/>
          <w:lang w:val="en-US" w:eastAsia="es-ES"/>
        </w:rPr>
        <w:t xml:space="preserve">that the total </w:t>
      </w:r>
      <w:r>
        <w:rPr>
          <w:rFonts w:ascii="Cambria" w:eastAsia="Times New Roman" w:hAnsi="Cambria" w:cs="Cambria"/>
          <w:color w:val="000000"/>
          <w:sz w:val="20"/>
          <w:szCs w:val="20"/>
          <w:u w:color="000000"/>
          <w:bdr w:val="none" w:sz="0" w:space="0" w:color="auto"/>
          <w:lang w:val="en-US" w:eastAsia="es-ES"/>
        </w:rPr>
        <w:t xml:space="preserve">failure to </w:t>
      </w:r>
      <w:r w:rsidRPr="00711C22">
        <w:rPr>
          <w:rFonts w:ascii="Cambria" w:eastAsia="Times New Roman" w:hAnsi="Cambria" w:cs="Cambria"/>
          <w:color w:val="000000"/>
          <w:sz w:val="20"/>
          <w:szCs w:val="20"/>
          <w:u w:color="000000"/>
          <w:bdr w:val="none" w:sz="0" w:space="0" w:color="auto"/>
          <w:lang w:val="en-US" w:eastAsia="es-ES"/>
        </w:rPr>
        <w:t>investigat</w:t>
      </w:r>
      <w:r>
        <w:rPr>
          <w:rFonts w:ascii="Cambria" w:eastAsia="Times New Roman" w:hAnsi="Cambria" w:cs="Cambria"/>
          <w:color w:val="000000"/>
          <w:sz w:val="20"/>
          <w:szCs w:val="20"/>
          <w:u w:color="000000"/>
          <w:bdr w:val="none" w:sz="0" w:space="0" w:color="auto"/>
          <w:lang w:val="en-US" w:eastAsia="es-ES"/>
        </w:rPr>
        <w:t>e</w:t>
      </w:r>
      <w:r w:rsidRPr="00711C22">
        <w:rPr>
          <w:rFonts w:ascii="Cambria" w:eastAsia="Times New Roman" w:hAnsi="Cambria" w:cs="Cambria"/>
          <w:color w:val="000000"/>
          <w:sz w:val="20"/>
          <w:szCs w:val="20"/>
          <w:u w:color="000000"/>
          <w:bdr w:val="none" w:sz="0" w:space="0" w:color="auto"/>
          <w:lang w:val="en-US" w:eastAsia="es-ES"/>
        </w:rPr>
        <w:t>, prosecut</w:t>
      </w:r>
      <w:r>
        <w:rPr>
          <w:rFonts w:ascii="Cambria" w:eastAsia="Times New Roman" w:hAnsi="Cambria" w:cs="Cambria"/>
          <w:color w:val="000000"/>
          <w:sz w:val="20"/>
          <w:szCs w:val="20"/>
          <w:u w:color="000000"/>
          <w:bdr w:val="none" w:sz="0" w:space="0" w:color="auto"/>
          <w:lang w:val="en-US" w:eastAsia="es-ES"/>
        </w:rPr>
        <w:t>e,</w:t>
      </w:r>
      <w:r w:rsidRPr="00711C22">
        <w:rPr>
          <w:rFonts w:ascii="Cambria" w:eastAsia="Times New Roman" w:hAnsi="Cambria" w:cs="Cambria"/>
          <w:color w:val="000000"/>
          <w:sz w:val="20"/>
          <w:szCs w:val="20"/>
          <w:u w:color="000000"/>
          <w:bdr w:val="none" w:sz="0" w:space="0" w:color="auto"/>
          <w:lang w:val="en-US" w:eastAsia="es-ES"/>
        </w:rPr>
        <w:t xml:space="preserve"> and punish those responsible for the arbitrary detentions and a</w:t>
      </w:r>
      <w:r>
        <w:rPr>
          <w:rFonts w:ascii="Cambria" w:eastAsia="Times New Roman" w:hAnsi="Cambria" w:cs="Cambria"/>
          <w:color w:val="000000"/>
          <w:sz w:val="20"/>
          <w:szCs w:val="20"/>
          <w:u w:color="000000"/>
          <w:bdr w:val="none" w:sz="0" w:space="0" w:color="auto"/>
          <w:lang w:val="en-US" w:eastAsia="es-ES"/>
        </w:rPr>
        <w:t>ssaults</w:t>
      </w:r>
      <w:r w:rsidRPr="00711C22">
        <w:rPr>
          <w:rFonts w:ascii="Cambria" w:eastAsia="Times New Roman" w:hAnsi="Cambria" w:cs="Cambria"/>
          <w:color w:val="000000"/>
          <w:sz w:val="20"/>
          <w:szCs w:val="20"/>
          <w:u w:color="000000"/>
          <w:bdr w:val="none" w:sz="0" w:space="0" w:color="auto"/>
          <w:lang w:val="en-US" w:eastAsia="es-ES"/>
        </w:rPr>
        <w:t xml:space="preserve"> suffered by the victim renders the remedy ineffective</w:t>
      </w:r>
      <w:r w:rsidR="00713B50" w:rsidRPr="001F4A36">
        <w:rPr>
          <w:rFonts w:asciiTheme="majorHAnsi" w:eastAsia="Times New Roman" w:hAnsiTheme="majorHAnsi" w:cs="Cambria"/>
          <w:color w:val="000000"/>
          <w:sz w:val="20"/>
          <w:szCs w:val="20"/>
          <w:u w:color="000000"/>
          <w:bdr w:val="none" w:sz="0" w:space="0" w:color="auto"/>
          <w:lang w:val="en-US" w:eastAsia="es-ES"/>
        </w:rPr>
        <w:t xml:space="preserve">. </w:t>
      </w:r>
    </w:p>
    <w:p w14:paraId="7ADC4397"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ambria"/>
          <w:color w:val="000000"/>
          <w:sz w:val="20"/>
          <w:szCs w:val="20"/>
          <w:u w:color="000000"/>
          <w:bdr w:val="none" w:sz="0" w:space="0" w:color="auto"/>
          <w:lang w:val="en-US" w:eastAsia="es-ES"/>
        </w:rPr>
      </w:pPr>
    </w:p>
    <w:p w14:paraId="39907154" w14:textId="55728867" w:rsidR="006D2747" w:rsidRPr="00711C22" w:rsidRDefault="006D2747"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Pr>
          <w:rFonts w:ascii="Cambria" w:eastAsia="Times New Roman" w:hAnsi="Cambria" w:cs="Cambria"/>
          <w:color w:val="000000"/>
          <w:sz w:val="20"/>
          <w:szCs w:val="20"/>
          <w:u w:color="000000"/>
          <w:bdr w:val="none" w:sz="0" w:space="0" w:color="auto"/>
          <w:lang w:val="en-US" w:eastAsia="es-ES"/>
        </w:rPr>
        <w:t>On</w:t>
      </w:r>
      <w:r w:rsidRPr="00711C22">
        <w:rPr>
          <w:rFonts w:ascii="Cambria" w:eastAsia="Times New Roman" w:hAnsi="Cambria" w:cs="Cambria"/>
          <w:color w:val="000000"/>
          <w:sz w:val="20"/>
          <w:szCs w:val="20"/>
          <w:u w:color="000000"/>
          <w:bdr w:val="none" w:sz="0" w:space="0" w:color="auto"/>
          <w:lang w:val="en-US" w:eastAsia="es-ES"/>
        </w:rPr>
        <w:t xml:space="preserve"> November 5, 2010, </w:t>
      </w:r>
      <w:proofErr w:type="spellStart"/>
      <w:r w:rsidRPr="00711C22">
        <w:rPr>
          <w:rFonts w:ascii="Cambria" w:eastAsia="Times New Roman" w:hAnsi="Cambria" w:cs="Cambria"/>
          <w:color w:val="000000"/>
          <w:sz w:val="20"/>
          <w:szCs w:val="20"/>
          <w:u w:color="000000"/>
          <w:bdr w:val="none" w:sz="0" w:space="0" w:color="auto"/>
          <w:lang w:val="en-US" w:eastAsia="es-ES"/>
        </w:rPr>
        <w:t>Yoani</w:t>
      </w:r>
      <w:proofErr w:type="spellEnd"/>
      <w:r w:rsidRPr="00711C22">
        <w:rPr>
          <w:rFonts w:ascii="Cambria" w:eastAsia="Times New Roman" w:hAnsi="Cambria" w:cs="Cambria"/>
          <w:color w:val="000000"/>
          <w:sz w:val="20"/>
          <w:szCs w:val="20"/>
          <w:u w:color="000000"/>
          <w:bdr w:val="none" w:sz="0" w:space="0" w:color="auto"/>
          <w:lang w:val="en-US" w:eastAsia="es-ES"/>
        </w:rPr>
        <w:t xml:space="preserve"> </w:t>
      </w:r>
      <w:r w:rsidR="00D10380">
        <w:rPr>
          <w:rFonts w:ascii="Cambria" w:eastAsia="Times New Roman" w:hAnsi="Cambria" w:cs="Cambria"/>
          <w:color w:val="000000"/>
          <w:sz w:val="20"/>
          <w:szCs w:val="20"/>
          <w:u w:color="000000"/>
          <w:bdr w:val="none" w:sz="0" w:space="0" w:color="auto"/>
          <w:lang w:val="en-US" w:eastAsia="es-ES"/>
        </w:rPr>
        <w:t>Sánchez</w:t>
      </w:r>
      <w:r w:rsidRPr="00711C22">
        <w:rPr>
          <w:rFonts w:ascii="Cambria" w:eastAsia="Times New Roman" w:hAnsi="Cambria" w:cs="Cambria"/>
          <w:color w:val="000000"/>
          <w:sz w:val="20"/>
          <w:szCs w:val="20"/>
          <w:u w:color="000000"/>
          <w:bdr w:val="none" w:sz="0" w:space="0" w:color="auto"/>
          <w:lang w:val="en-US" w:eastAsia="es-ES"/>
        </w:rPr>
        <w:t xml:space="preserve"> filed a request for a response, in </w:t>
      </w:r>
      <w:r>
        <w:rPr>
          <w:rFonts w:ascii="Cambria" w:eastAsia="Times New Roman" w:hAnsi="Cambria" w:cs="Cambria"/>
          <w:color w:val="000000"/>
          <w:sz w:val="20"/>
          <w:szCs w:val="20"/>
          <w:u w:color="000000"/>
          <w:bdr w:val="none" w:sz="0" w:space="0" w:color="auto"/>
          <w:lang w:val="en-US" w:eastAsia="es-ES"/>
        </w:rPr>
        <w:t xml:space="preserve">the </w:t>
      </w:r>
      <w:r w:rsidRPr="00711C22">
        <w:rPr>
          <w:rFonts w:ascii="Cambria" w:eastAsia="Times New Roman" w:hAnsi="Cambria" w:cs="Cambria"/>
          <w:color w:val="000000"/>
          <w:sz w:val="20"/>
          <w:szCs w:val="20"/>
          <w:u w:color="000000"/>
          <w:bdr w:val="none" w:sz="0" w:space="0" w:color="auto"/>
          <w:lang w:val="en-US" w:eastAsia="es-ES"/>
        </w:rPr>
        <w:t xml:space="preserve">exercise of her right to petition, questioning the factual and legal reasons for </w:t>
      </w:r>
      <w:r>
        <w:rPr>
          <w:rFonts w:ascii="Cambria" w:eastAsia="Times New Roman" w:hAnsi="Cambria" w:cs="Cambria"/>
          <w:color w:val="000000"/>
          <w:sz w:val="20"/>
          <w:szCs w:val="20"/>
          <w:u w:color="000000"/>
          <w:bdr w:val="none" w:sz="0" w:space="0" w:color="auto"/>
          <w:lang w:val="en-US" w:eastAsia="es-ES"/>
        </w:rPr>
        <w:t>barring her from leaving</w:t>
      </w:r>
      <w:r w:rsidRPr="00711C22">
        <w:rPr>
          <w:rFonts w:ascii="Cambria" w:eastAsia="Times New Roman" w:hAnsi="Cambria" w:cs="Cambria"/>
          <w:color w:val="000000"/>
          <w:sz w:val="20"/>
          <w:szCs w:val="20"/>
          <w:u w:color="000000"/>
          <w:bdr w:val="none" w:sz="0" w:space="0" w:color="auto"/>
          <w:lang w:val="en-US" w:eastAsia="es-ES"/>
        </w:rPr>
        <w:t xml:space="preserve"> the country. After more than 14 months without a response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even though the legal</w:t>
      </w:r>
      <w:r>
        <w:rPr>
          <w:rFonts w:ascii="Cambria" w:eastAsia="Times New Roman" w:hAnsi="Cambria" w:cs="Cambria"/>
          <w:color w:val="000000"/>
          <w:sz w:val="20"/>
          <w:szCs w:val="20"/>
          <w:u w:color="000000"/>
          <w:bdr w:val="none" w:sz="0" w:space="0" w:color="auto"/>
          <w:lang w:val="en-US" w:eastAsia="es-ES"/>
        </w:rPr>
        <w:t>ly established</w:t>
      </w:r>
      <w:r w:rsidRPr="00711C22">
        <w:rPr>
          <w:rFonts w:ascii="Cambria" w:eastAsia="Times New Roman" w:hAnsi="Cambria" w:cs="Cambria"/>
          <w:color w:val="000000"/>
          <w:sz w:val="20"/>
          <w:szCs w:val="20"/>
          <w:u w:color="000000"/>
          <w:bdr w:val="none" w:sz="0" w:space="0" w:color="auto"/>
          <w:lang w:val="en-US" w:eastAsia="es-ES"/>
        </w:rPr>
        <w:t xml:space="preserve"> deadline was 60 days</w:t>
      </w:r>
      <w:r>
        <w:rPr>
          <w:rFonts w:ascii="Cambria" w:eastAsia="Times New Roman" w:hAnsi="Cambria" w:cs="Cambria"/>
          <w:color w:val="000000"/>
          <w:sz w:val="20"/>
          <w:szCs w:val="20"/>
          <w:u w:color="000000"/>
          <w:bdr w:val="none" w:sz="0" w:space="0" w:color="auto"/>
          <w:lang w:val="en-US" w:eastAsia="es-ES"/>
        </w:rPr>
        <w:t>—</w:t>
      </w:r>
      <w:proofErr w:type="spellStart"/>
      <w:r w:rsidRPr="00711C22">
        <w:rPr>
          <w:rFonts w:ascii="Cambria" w:eastAsia="Times New Roman" w:hAnsi="Cambria" w:cs="Cambria"/>
          <w:color w:val="000000"/>
          <w:sz w:val="20"/>
          <w:szCs w:val="20"/>
          <w:u w:color="000000"/>
          <w:bdr w:val="none" w:sz="0" w:space="0" w:color="auto"/>
          <w:lang w:val="en-US" w:eastAsia="es-ES"/>
        </w:rPr>
        <w:t>Yoani</w:t>
      </w:r>
      <w:proofErr w:type="spellEnd"/>
      <w:r w:rsidRPr="00711C22">
        <w:rPr>
          <w:rFonts w:ascii="Cambria" w:eastAsia="Times New Roman" w:hAnsi="Cambria" w:cs="Cambria"/>
          <w:color w:val="000000"/>
          <w:sz w:val="20"/>
          <w:szCs w:val="20"/>
          <w:u w:color="000000"/>
          <w:bdr w:val="none" w:sz="0" w:space="0" w:color="auto"/>
          <w:lang w:val="en-US" w:eastAsia="es-ES"/>
        </w:rPr>
        <w:t xml:space="preserve"> S</w:t>
      </w:r>
      <w:r>
        <w:rPr>
          <w:rFonts w:ascii="Cambria" w:eastAsia="Times New Roman" w:hAnsi="Cambria" w:cs="Cambria"/>
          <w:color w:val="000000"/>
          <w:sz w:val="20"/>
          <w:szCs w:val="20"/>
          <w:u w:color="000000"/>
          <w:bdr w:val="none" w:sz="0" w:space="0" w:color="auto"/>
          <w:lang w:val="en-US" w:eastAsia="es-ES"/>
        </w:rPr>
        <w:t>á</w:t>
      </w:r>
      <w:r w:rsidRPr="00711C22">
        <w:rPr>
          <w:rFonts w:ascii="Cambria" w:eastAsia="Times New Roman" w:hAnsi="Cambria" w:cs="Cambria"/>
          <w:color w:val="000000"/>
          <w:sz w:val="20"/>
          <w:szCs w:val="20"/>
          <w:u w:color="000000"/>
          <w:bdr w:val="none" w:sz="0" w:space="0" w:color="auto"/>
          <w:lang w:val="en-US" w:eastAsia="es-ES"/>
        </w:rPr>
        <w:t xml:space="preserve">nchez filed an appeal with the Ministry of the Interior on March 30, 2012 to learn the reasons for the </w:t>
      </w:r>
      <w:r>
        <w:rPr>
          <w:rFonts w:ascii="Cambria" w:eastAsia="Times New Roman" w:hAnsi="Cambria" w:cs="Cambria"/>
          <w:color w:val="000000"/>
          <w:sz w:val="20"/>
          <w:szCs w:val="20"/>
          <w:u w:color="000000"/>
          <w:bdr w:val="none" w:sz="0" w:space="0" w:color="auto"/>
          <w:lang w:val="en-US" w:eastAsia="es-ES"/>
        </w:rPr>
        <w:t>denial of her exit permit</w:t>
      </w:r>
      <w:r w:rsidRPr="00711C22">
        <w:rPr>
          <w:rFonts w:ascii="Cambria" w:eastAsia="Times New Roman" w:hAnsi="Cambria" w:cs="Cambria"/>
          <w:color w:val="000000"/>
          <w:sz w:val="20"/>
          <w:szCs w:val="20"/>
          <w:u w:color="000000"/>
          <w:bdr w:val="none" w:sz="0" w:space="0" w:color="auto"/>
          <w:lang w:val="en-US" w:eastAsia="es-ES"/>
        </w:rPr>
        <w:t xml:space="preserve"> and request </w:t>
      </w:r>
      <w:r>
        <w:rPr>
          <w:rFonts w:ascii="Cambria" w:eastAsia="Times New Roman" w:hAnsi="Cambria" w:cs="Cambria"/>
          <w:color w:val="000000"/>
          <w:sz w:val="20"/>
          <w:szCs w:val="20"/>
          <w:u w:color="000000"/>
          <w:bdr w:val="none" w:sz="0" w:space="0" w:color="auto"/>
          <w:lang w:val="en-US" w:eastAsia="es-ES"/>
        </w:rPr>
        <w:t>its reversal</w:t>
      </w:r>
      <w:r w:rsidRPr="00711C22">
        <w:rPr>
          <w:rFonts w:ascii="Cambria" w:eastAsia="Times New Roman" w:hAnsi="Cambria" w:cs="Cambria"/>
          <w:color w:val="000000"/>
          <w:sz w:val="20"/>
          <w:szCs w:val="20"/>
          <w:u w:color="000000"/>
          <w:bdr w:val="none" w:sz="0" w:space="0" w:color="auto"/>
          <w:lang w:val="en-US" w:eastAsia="es-ES"/>
        </w:rPr>
        <w:t xml:space="preserve">. To date, </w:t>
      </w:r>
      <w:r>
        <w:rPr>
          <w:rFonts w:ascii="Cambria" w:eastAsia="Times New Roman" w:hAnsi="Cambria" w:cs="Cambria"/>
          <w:color w:val="000000"/>
          <w:sz w:val="20"/>
          <w:szCs w:val="20"/>
          <w:u w:color="000000"/>
          <w:bdr w:val="none" w:sz="0" w:space="0" w:color="auto"/>
          <w:lang w:val="en-US" w:eastAsia="es-ES"/>
        </w:rPr>
        <w:t>more than</w:t>
      </w:r>
      <w:r w:rsidRPr="00711C22">
        <w:rPr>
          <w:rFonts w:ascii="Cambria" w:eastAsia="Times New Roman" w:hAnsi="Cambria" w:cs="Cambria"/>
          <w:color w:val="000000"/>
          <w:sz w:val="20"/>
          <w:szCs w:val="20"/>
          <w:u w:color="000000"/>
          <w:bdr w:val="none" w:sz="0" w:space="0" w:color="auto"/>
          <w:lang w:val="en-US" w:eastAsia="es-ES"/>
        </w:rPr>
        <w:t xml:space="preserve"> 11 and 9 years</w:t>
      </w:r>
      <w:r>
        <w:rPr>
          <w:rFonts w:ascii="Cambria" w:eastAsia="Times New Roman" w:hAnsi="Cambria" w:cs="Cambria"/>
          <w:color w:val="000000"/>
          <w:sz w:val="20"/>
          <w:szCs w:val="20"/>
          <w:u w:color="000000"/>
          <w:bdr w:val="none" w:sz="0" w:space="0" w:color="auto"/>
          <w:lang w:val="en-US" w:eastAsia="es-ES"/>
        </w:rPr>
        <w:t>,</w:t>
      </w:r>
      <w:r w:rsidRPr="006D2747">
        <w:rPr>
          <w:rFonts w:ascii="Cambria" w:eastAsia="Times New Roman" w:hAnsi="Cambria" w:cs="Cambria"/>
          <w:color w:val="000000"/>
          <w:sz w:val="20"/>
          <w:szCs w:val="20"/>
          <w:u w:color="000000"/>
          <w:bdr w:val="none" w:sz="0" w:space="0" w:color="auto"/>
          <w:lang w:val="en-US" w:eastAsia="es-ES"/>
        </w:rPr>
        <w:t xml:space="preserve"> </w:t>
      </w:r>
      <w:r w:rsidRPr="00711C22">
        <w:rPr>
          <w:rFonts w:ascii="Cambria" w:eastAsia="Times New Roman" w:hAnsi="Cambria" w:cs="Cambria"/>
          <w:color w:val="000000"/>
          <w:sz w:val="20"/>
          <w:szCs w:val="20"/>
          <w:u w:color="000000"/>
          <w:bdr w:val="none" w:sz="0" w:space="0" w:color="auto"/>
          <w:lang w:val="en-US" w:eastAsia="es-ES"/>
        </w:rPr>
        <w:t xml:space="preserve">respectively, after </w:t>
      </w:r>
      <w:r>
        <w:rPr>
          <w:rFonts w:ascii="Cambria" w:eastAsia="Times New Roman" w:hAnsi="Cambria" w:cs="Cambria"/>
          <w:color w:val="000000"/>
          <w:sz w:val="20"/>
          <w:szCs w:val="20"/>
          <w:u w:color="000000"/>
          <w:bdr w:val="none" w:sz="0" w:space="0" w:color="auto"/>
          <w:lang w:val="en-US" w:eastAsia="es-ES"/>
        </w:rPr>
        <w:t>she filed those</w:t>
      </w:r>
      <w:r w:rsidRPr="00711C22">
        <w:rPr>
          <w:rFonts w:ascii="Cambria" w:eastAsia="Times New Roman" w:hAnsi="Cambria" w:cs="Cambria"/>
          <w:color w:val="000000"/>
          <w:sz w:val="20"/>
          <w:szCs w:val="20"/>
          <w:u w:color="000000"/>
          <w:bdr w:val="none" w:sz="0" w:space="0" w:color="auto"/>
          <w:lang w:val="en-US" w:eastAsia="es-ES"/>
        </w:rPr>
        <w:t xml:space="preserve"> requests, the journalist has not received a response. </w:t>
      </w:r>
      <w:r w:rsidRPr="006D2747">
        <w:rPr>
          <w:rFonts w:ascii="Cambria" w:eastAsia="Times New Roman" w:hAnsi="Cambria" w:cs="Cambria"/>
          <w:color w:val="000000"/>
          <w:sz w:val="20"/>
          <w:szCs w:val="20"/>
          <w:u w:color="000000"/>
          <w:bdr w:val="none" w:sz="0" w:space="0" w:color="auto"/>
          <w:lang w:val="en-US" w:eastAsia="es-ES"/>
        </w:rPr>
        <w:t>It is the Commission</w:t>
      </w:r>
      <w:r>
        <w:rPr>
          <w:rFonts w:ascii="Cambria" w:eastAsia="Times New Roman" w:hAnsi="Cambria" w:cs="Cambria"/>
          <w:color w:val="000000"/>
          <w:sz w:val="20"/>
          <w:szCs w:val="20"/>
          <w:u w:color="000000"/>
          <w:bdr w:val="none" w:sz="0" w:space="0" w:color="auto"/>
          <w:lang w:val="en-US" w:eastAsia="es-ES"/>
        </w:rPr>
        <w:t>’</w:t>
      </w:r>
      <w:r w:rsidRPr="006D2747">
        <w:rPr>
          <w:rFonts w:ascii="Cambria" w:eastAsia="Times New Roman" w:hAnsi="Cambria" w:cs="Cambria"/>
          <w:color w:val="000000"/>
          <w:sz w:val="20"/>
          <w:szCs w:val="20"/>
          <w:u w:color="000000"/>
          <w:bdr w:val="none" w:sz="0" w:space="0" w:color="auto"/>
          <w:lang w:val="en-US" w:eastAsia="es-ES"/>
        </w:rPr>
        <w:t xml:space="preserve">s understanding that this request was submitted to the immigration authorities at the Ministry of the Interior, whose conduct must also be governed by </w:t>
      </w:r>
      <w:r>
        <w:rPr>
          <w:rFonts w:ascii="Cambria" w:eastAsia="Times New Roman" w:hAnsi="Cambria" w:cs="Cambria"/>
          <w:color w:val="000000"/>
          <w:sz w:val="20"/>
          <w:szCs w:val="20"/>
          <w:u w:color="000000"/>
          <w:bdr w:val="none" w:sz="0" w:space="0" w:color="auto"/>
          <w:lang w:val="en-US" w:eastAsia="es-ES"/>
        </w:rPr>
        <w:t xml:space="preserve">the State’s </w:t>
      </w:r>
      <w:r w:rsidRPr="006D2747">
        <w:rPr>
          <w:rFonts w:ascii="Cambria" w:eastAsia="Times New Roman" w:hAnsi="Cambria" w:cs="Cambria"/>
          <w:color w:val="000000"/>
          <w:sz w:val="20"/>
          <w:szCs w:val="20"/>
          <w:u w:color="000000"/>
          <w:bdr w:val="none" w:sz="0" w:space="0" w:color="auto"/>
          <w:lang w:val="en-US" w:eastAsia="es-ES"/>
        </w:rPr>
        <w:t>human rights obligations.</w:t>
      </w:r>
      <w:r w:rsidRPr="00711C22">
        <w:rPr>
          <w:rFonts w:ascii="Cambria" w:eastAsia="Times New Roman" w:hAnsi="Cambria" w:cs="Cambria"/>
          <w:color w:val="000000"/>
          <w:sz w:val="20"/>
          <w:szCs w:val="20"/>
          <w:u w:color="000000"/>
          <w:bdr w:val="none" w:sz="0" w:space="0" w:color="auto"/>
          <w:lang w:val="en-US" w:eastAsia="es-ES"/>
        </w:rPr>
        <w:t xml:space="preserve"> </w:t>
      </w:r>
      <w:r w:rsidRPr="006D2747">
        <w:rPr>
          <w:rFonts w:ascii="Cambria" w:eastAsia="Times New Roman" w:hAnsi="Cambria" w:cs="Cambria"/>
          <w:color w:val="000000"/>
          <w:sz w:val="20"/>
          <w:szCs w:val="20"/>
          <w:u w:color="000000"/>
          <w:bdr w:val="none" w:sz="0" w:space="0" w:color="auto"/>
          <w:lang w:val="en-US" w:eastAsia="es-ES"/>
        </w:rPr>
        <w:t>The Commission concludes that the</w:t>
      </w:r>
      <w:r>
        <w:rPr>
          <w:rFonts w:ascii="Cambria" w:eastAsia="Times New Roman" w:hAnsi="Cambria" w:cs="Cambria"/>
          <w:color w:val="000000"/>
          <w:sz w:val="20"/>
          <w:szCs w:val="20"/>
          <w:u w:color="000000"/>
          <w:bdr w:val="none" w:sz="0" w:space="0" w:color="auto"/>
          <w:lang w:val="en-US" w:eastAsia="es-ES"/>
        </w:rPr>
        <w:t xml:space="preserve"> above</w:t>
      </w:r>
      <w:r w:rsidRPr="006D2747">
        <w:rPr>
          <w:rFonts w:ascii="Cambria" w:eastAsia="Times New Roman" w:hAnsi="Cambria" w:cs="Cambria"/>
          <w:color w:val="000000"/>
          <w:sz w:val="20"/>
          <w:szCs w:val="20"/>
          <w:u w:color="000000"/>
          <w:bdr w:val="none" w:sz="0" w:space="0" w:color="auto"/>
          <w:lang w:val="en-US" w:eastAsia="es-ES"/>
        </w:rPr>
        <w:t xml:space="preserve"> violated the reasonable time guarantee, and that </w:t>
      </w:r>
      <w:r w:rsidR="005B4492" w:rsidRPr="006D2747">
        <w:rPr>
          <w:rFonts w:ascii="Cambria" w:eastAsia="Times New Roman" w:hAnsi="Cambria" w:cs="Cambria"/>
          <w:color w:val="000000"/>
          <w:sz w:val="20"/>
          <w:szCs w:val="20"/>
          <w:u w:color="000000"/>
          <w:bdr w:val="none" w:sz="0" w:space="0" w:color="auto"/>
          <w:lang w:val="en-US" w:eastAsia="es-ES"/>
        </w:rPr>
        <w:t>the State</w:t>
      </w:r>
      <w:r w:rsidR="005B4492">
        <w:rPr>
          <w:rFonts w:ascii="Cambria" w:eastAsia="Times New Roman" w:hAnsi="Cambria" w:cs="Cambria"/>
          <w:color w:val="000000"/>
          <w:sz w:val="20"/>
          <w:szCs w:val="20"/>
          <w:u w:color="000000"/>
          <w:bdr w:val="none" w:sz="0" w:space="0" w:color="auto"/>
          <w:lang w:val="en-US" w:eastAsia="es-ES"/>
        </w:rPr>
        <w:t>,</w:t>
      </w:r>
      <w:r w:rsidR="005B4492" w:rsidRPr="006D2747">
        <w:rPr>
          <w:rFonts w:ascii="Cambria" w:eastAsia="Times New Roman" w:hAnsi="Cambria" w:cs="Cambria"/>
          <w:color w:val="000000"/>
          <w:sz w:val="20"/>
          <w:szCs w:val="20"/>
          <w:u w:color="000000"/>
          <w:bdr w:val="none" w:sz="0" w:space="0" w:color="auto"/>
          <w:lang w:val="en-US" w:eastAsia="es-ES"/>
        </w:rPr>
        <w:t xml:space="preserve"> </w:t>
      </w:r>
      <w:r w:rsidR="005B4492">
        <w:rPr>
          <w:rFonts w:ascii="Cambria" w:eastAsia="Times New Roman" w:hAnsi="Cambria" w:cs="Cambria"/>
          <w:color w:val="000000"/>
          <w:sz w:val="20"/>
          <w:szCs w:val="20"/>
          <w:u w:color="000000"/>
          <w:bdr w:val="none" w:sz="0" w:space="0" w:color="auto"/>
          <w:lang w:val="en-US" w:eastAsia="es-ES"/>
        </w:rPr>
        <w:t xml:space="preserve">through its </w:t>
      </w:r>
      <w:r w:rsidRPr="006D2747">
        <w:rPr>
          <w:rFonts w:ascii="Cambria" w:eastAsia="Times New Roman" w:hAnsi="Cambria" w:cs="Cambria"/>
          <w:color w:val="000000"/>
          <w:sz w:val="20"/>
          <w:szCs w:val="20"/>
          <w:u w:color="000000"/>
          <w:bdr w:val="none" w:sz="0" w:space="0" w:color="auto"/>
          <w:lang w:val="en-US" w:eastAsia="es-ES"/>
        </w:rPr>
        <w:t>absolute administrative inaction</w:t>
      </w:r>
      <w:r w:rsidR="005B4492">
        <w:rPr>
          <w:rFonts w:ascii="Cambria" w:eastAsia="Times New Roman" w:hAnsi="Cambria" w:cs="Cambria"/>
          <w:color w:val="000000"/>
          <w:sz w:val="20"/>
          <w:szCs w:val="20"/>
          <w:u w:color="000000"/>
          <w:bdr w:val="none" w:sz="0" w:space="0" w:color="auto"/>
          <w:lang w:val="en-US" w:eastAsia="es-ES"/>
        </w:rPr>
        <w:t>,</w:t>
      </w:r>
      <w:r w:rsidRPr="006D2747">
        <w:rPr>
          <w:rFonts w:ascii="Cambria" w:eastAsia="Times New Roman" w:hAnsi="Cambria" w:cs="Cambria"/>
          <w:color w:val="000000"/>
          <w:sz w:val="20"/>
          <w:szCs w:val="20"/>
          <w:u w:color="000000"/>
          <w:bdr w:val="none" w:sz="0" w:space="0" w:color="auto"/>
          <w:lang w:val="en-US" w:eastAsia="es-ES"/>
        </w:rPr>
        <w:t xml:space="preserve"> failed to </w:t>
      </w:r>
      <w:r w:rsidR="00CF43F6">
        <w:rPr>
          <w:rFonts w:ascii="Cambria" w:eastAsia="Times New Roman" w:hAnsi="Cambria" w:cs="Cambria"/>
          <w:color w:val="000000"/>
          <w:sz w:val="20"/>
          <w:szCs w:val="20"/>
          <w:u w:color="000000"/>
          <w:bdr w:val="none" w:sz="0" w:space="0" w:color="auto"/>
          <w:lang w:val="en-US" w:eastAsia="es-ES"/>
        </w:rPr>
        <w:t xml:space="preserve">promptly resolve </w:t>
      </w:r>
      <w:r w:rsidRPr="006D2747">
        <w:rPr>
          <w:rFonts w:ascii="Cambria" w:eastAsia="Times New Roman" w:hAnsi="Cambria" w:cs="Cambria"/>
          <w:color w:val="000000"/>
          <w:sz w:val="20"/>
          <w:szCs w:val="20"/>
          <w:u w:color="000000"/>
          <w:bdr w:val="none" w:sz="0" w:space="0" w:color="auto"/>
          <w:lang w:val="en-US" w:eastAsia="es-ES"/>
        </w:rPr>
        <w:t xml:space="preserve">the denial of authorization for the victim to leave the country, </w:t>
      </w:r>
      <w:r w:rsidR="005B4492">
        <w:rPr>
          <w:rFonts w:ascii="Cambria" w:eastAsia="Times New Roman" w:hAnsi="Cambria" w:cs="Cambria"/>
          <w:color w:val="000000"/>
          <w:sz w:val="20"/>
          <w:szCs w:val="20"/>
          <w:u w:color="000000"/>
          <w:bdr w:val="none" w:sz="0" w:space="0" w:color="auto"/>
          <w:lang w:val="en-US" w:eastAsia="es-ES"/>
        </w:rPr>
        <w:t>thus preventing</w:t>
      </w:r>
      <w:r w:rsidRPr="006D2747">
        <w:rPr>
          <w:rFonts w:ascii="Cambria" w:eastAsia="Times New Roman" w:hAnsi="Cambria" w:cs="Cambria"/>
          <w:color w:val="000000"/>
          <w:sz w:val="20"/>
          <w:szCs w:val="20"/>
          <w:u w:color="000000"/>
          <w:bdr w:val="none" w:sz="0" w:space="0" w:color="auto"/>
          <w:lang w:val="en-US" w:eastAsia="es-ES"/>
        </w:rPr>
        <w:t xml:space="preserve"> her from leaving Cuba</w:t>
      </w:r>
      <w:r w:rsidR="005B4492">
        <w:rPr>
          <w:rFonts w:ascii="Cambria" w:eastAsia="Times New Roman" w:hAnsi="Cambria" w:cs="Cambria"/>
          <w:color w:val="000000"/>
          <w:sz w:val="20"/>
          <w:szCs w:val="20"/>
          <w:u w:color="000000"/>
          <w:bdr w:val="none" w:sz="0" w:space="0" w:color="auto"/>
          <w:lang w:val="en-US" w:eastAsia="es-ES"/>
        </w:rPr>
        <w:t>,</w:t>
      </w:r>
      <w:r w:rsidRPr="006D2747">
        <w:rPr>
          <w:rFonts w:ascii="Cambria" w:eastAsia="Times New Roman" w:hAnsi="Cambria" w:cs="Cambria"/>
          <w:color w:val="000000"/>
          <w:sz w:val="20"/>
          <w:szCs w:val="20"/>
          <w:u w:color="000000"/>
          <w:bdr w:val="none" w:sz="0" w:space="0" w:color="auto"/>
          <w:lang w:val="en-US" w:eastAsia="es-ES"/>
        </w:rPr>
        <w:t xml:space="preserve"> without reasonable cause, from 2007 to 2012.</w:t>
      </w:r>
      <w:r w:rsidRPr="00711C22">
        <w:rPr>
          <w:rFonts w:ascii="Cambria" w:eastAsia="Times New Roman" w:hAnsi="Cambria" w:cs="Cambria"/>
          <w:color w:val="000000"/>
          <w:sz w:val="20"/>
          <w:szCs w:val="20"/>
          <w:u w:color="000000"/>
          <w:bdr w:val="none" w:sz="0" w:space="0" w:color="auto"/>
          <w:lang w:val="en-US" w:eastAsia="es-ES"/>
        </w:rPr>
        <w:t xml:space="preserve"> </w:t>
      </w:r>
    </w:p>
    <w:p w14:paraId="52E0C2AD"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13993BE5" w14:textId="45EC729D" w:rsidR="00713B50" w:rsidRPr="00D10380" w:rsidRDefault="00D10380"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lang w:val="en-US" w:eastAsia="es-ES"/>
        </w:rPr>
      </w:pPr>
      <w:r w:rsidRPr="00711C22">
        <w:rPr>
          <w:rFonts w:ascii="Cambria" w:eastAsia="Times New Roman" w:hAnsi="Cambria" w:cs="Cambria"/>
          <w:color w:val="000000"/>
          <w:sz w:val="20"/>
          <w:szCs w:val="20"/>
          <w:u w:color="000000"/>
          <w:bdr w:val="none" w:sz="0" w:space="0" w:color="auto"/>
          <w:lang w:val="en-US" w:eastAsia="es-ES"/>
        </w:rPr>
        <w:t xml:space="preserve">Based on the foregoing, the IACHR concludes that Cuba is responsible </w:t>
      </w:r>
      <w:r w:rsidR="00CF43F6">
        <w:rPr>
          <w:rFonts w:ascii="Cambria" w:eastAsia="Times New Roman" w:hAnsi="Cambria" w:cs="Cambria"/>
          <w:color w:val="000000"/>
          <w:sz w:val="20"/>
          <w:szCs w:val="20"/>
          <w:u w:color="000000"/>
          <w:bdr w:val="none" w:sz="0" w:space="0" w:color="auto"/>
          <w:lang w:val="en-US" w:eastAsia="es-ES"/>
        </w:rPr>
        <w:t xml:space="preserve">for violating </w:t>
      </w:r>
      <w:r w:rsidRPr="00711C22">
        <w:rPr>
          <w:rFonts w:ascii="Cambria" w:eastAsia="Times New Roman" w:hAnsi="Cambria" w:cs="Cambria"/>
          <w:color w:val="000000"/>
          <w:sz w:val="20"/>
          <w:szCs w:val="20"/>
          <w:u w:color="000000"/>
          <w:bdr w:val="none" w:sz="0" w:space="0" w:color="auto"/>
          <w:lang w:val="en-US" w:eastAsia="es-ES"/>
        </w:rPr>
        <w:t xml:space="preserve">Articles XVIII and XXIV of the American Declaration, to the detriment of </w:t>
      </w:r>
      <w:proofErr w:type="spellStart"/>
      <w:r w:rsidRPr="00711C22">
        <w:rPr>
          <w:rFonts w:ascii="Cambria" w:eastAsia="Times New Roman" w:hAnsi="Cambria" w:cs="Cambria"/>
          <w:color w:val="000000"/>
          <w:sz w:val="20"/>
          <w:szCs w:val="20"/>
          <w:u w:color="000000"/>
          <w:bdr w:val="none" w:sz="0" w:space="0" w:color="auto"/>
          <w:lang w:val="en-US" w:eastAsia="es-ES"/>
        </w:rPr>
        <w:t>Yoani</w:t>
      </w:r>
      <w:proofErr w:type="spellEnd"/>
      <w:r w:rsidRPr="00711C22">
        <w:rPr>
          <w:rFonts w:ascii="Cambria" w:eastAsia="Times New Roman" w:hAnsi="Cambria" w:cs="Cambria"/>
          <w:color w:val="000000"/>
          <w:sz w:val="20"/>
          <w:szCs w:val="20"/>
          <w:u w:color="000000"/>
          <w:bdr w:val="none" w:sz="0" w:space="0" w:color="auto"/>
          <w:lang w:val="en-US" w:eastAsia="es-ES"/>
        </w:rPr>
        <w:t xml:space="preserve"> Sánchez</w:t>
      </w:r>
      <w:r w:rsidR="00713B50" w:rsidRPr="00D10380">
        <w:rPr>
          <w:rFonts w:asciiTheme="majorHAnsi" w:eastAsia="Times New Roman" w:hAnsiTheme="majorHAnsi" w:cs="Cambria"/>
          <w:color w:val="000000"/>
          <w:sz w:val="20"/>
          <w:szCs w:val="20"/>
          <w:u w:color="000000"/>
          <w:bdr w:val="none" w:sz="0" w:space="0" w:color="auto"/>
          <w:lang w:val="en-US" w:eastAsia="es-ES"/>
        </w:rPr>
        <w:t>.</w:t>
      </w:r>
    </w:p>
    <w:p w14:paraId="789B79E2" w14:textId="77777777" w:rsidR="00713B50" w:rsidRPr="00B24750" w:rsidRDefault="00713B50" w:rsidP="00713B50">
      <w:pPr>
        <w:pStyle w:val="ListParagraph"/>
        <w:rPr>
          <w:rFonts w:asciiTheme="majorHAnsi" w:eastAsia="Times New Roman" w:hAnsiTheme="majorHAnsi"/>
          <w:sz w:val="20"/>
          <w:szCs w:val="20"/>
          <w:bdr w:val="none" w:sz="0" w:space="0" w:color="auto"/>
        </w:rPr>
      </w:pPr>
    </w:p>
    <w:p w14:paraId="7F9FCE0E" w14:textId="60C281B9"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ambria"/>
          <w:i/>
          <w:color w:val="000000"/>
          <w:sz w:val="20"/>
          <w:szCs w:val="20"/>
          <w:u w:color="000000"/>
          <w:bdr w:val="none" w:sz="0" w:space="0" w:color="auto"/>
          <w:lang w:val="en-US" w:eastAsia="es-ES"/>
        </w:rPr>
      </w:pPr>
      <w:r w:rsidRPr="00B24750">
        <w:rPr>
          <w:rFonts w:asciiTheme="majorHAnsi" w:eastAsia="Times New Roman" w:hAnsiTheme="majorHAnsi" w:cs="Cambria"/>
          <w:i/>
          <w:color w:val="000000"/>
          <w:sz w:val="20"/>
          <w:szCs w:val="20"/>
          <w:u w:color="000000"/>
          <w:bdr w:val="none" w:sz="0" w:space="0" w:color="auto"/>
          <w:lang w:val="en-US" w:eastAsia="es-ES"/>
        </w:rPr>
        <w:t xml:space="preserve">1.1 </w:t>
      </w:r>
      <w:r w:rsidR="00D10380">
        <w:rPr>
          <w:rFonts w:asciiTheme="majorHAnsi" w:eastAsia="Times New Roman" w:hAnsiTheme="majorHAnsi" w:cs="Cambria"/>
          <w:i/>
          <w:color w:val="000000"/>
          <w:sz w:val="20"/>
          <w:szCs w:val="20"/>
          <w:u w:color="000000"/>
          <w:bdr w:val="none" w:sz="0" w:space="0" w:color="auto"/>
          <w:lang w:val="en-US" w:eastAsia="es-ES"/>
        </w:rPr>
        <w:t>Guarantees of independence and impartiality</w:t>
      </w:r>
    </w:p>
    <w:p w14:paraId="30B0F223" w14:textId="77777777" w:rsidR="00713B50" w:rsidRPr="00B24750" w:rsidRDefault="00713B50" w:rsidP="00713B50">
      <w:pPr>
        <w:rPr>
          <w:rFonts w:asciiTheme="majorHAnsi" w:hAnsiTheme="majorHAnsi"/>
          <w:bdr w:val="none" w:sz="0" w:space="0" w:color="auto"/>
          <w:lang w:val="en-US"/>
        </w:rPr>
      </w:pPr>
    </w:p>
    <w:p w14:paraId="0F45F6B8" w14:textId="1AF5BE24" w:rsidR="00713B50" w:rsidRPr="00B24750" w:rsidRDefault="00027C4E"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hAnsiTheme="majorHAnsi"/>
          <w:sz w:val="20"/>
          <w:szCs w:val="20"/>
          <w:lang w:val="en-US"/>
        </w:rPr>
      </w:pPr>
      <w:r w:rsidRPr="00711C22">
        <w:rPr>
          <w:rFonts w:asciiTheme="majorHAnsi" w:eastAsia="Times New Roman" w:hAnsiTheme="majorHAnsi" w:cs="Cambria"/>
          <w:color w:val="000000"/>
          <w:sz w:val="20"/>
          <w:szCs w:val="20"/>
          <w:u w:color="000000"/>
          <w:bdr w:val="none" w:sz="0" w:space="0" w:color="auto"/>
          <w:lang w:val="en-US" w:eastAsia="es-ES"/>
        </w:rPr>
        <w:t>The principle of judicial independence and impartiality is an inherent requirement of a democratic system and a fundamental prerequisite for the protection of human rights</w:t>
      </w:r>
      <w:r>
        <w:rPr>
          <w:rFonts w:asciiTheme="majorHAnsi" w:eastAsia="Times New Roman" w:hAnsiTheme="majorHAnsi" w:cs="Cambria"/>
          <w:color w:val="000000"/>
          <w:sz w:val="20"/>
          <w:szCs w:val="20"/>
          <w:u w:color="000000"/>
          <w:bdr w:val="none" w:sz="0" w:space="0" w:color="auto"/>
          <w:lang w:val="en-US" w:eastAsia="es-ES"/>
        </w:rPr>
        <w:t>.</w:t>
      </w:r>
      <w:r w:rsidRPr="00711C22">
        <w:rPr>
          <w:rFonts w:asciiTheme="majorHAnsi" w:eastAsia="Times New Roman" w:hAnsiTheme="majorHAnsi" w:cs="Cambria"/>
          <w:color w:val="000000"/>
          <w:sz w:val="20"/>
          <w:szCs w:val="20"/>
          <w:u w:color="000000"/>
          <w:bdr w:val="none" w:sz="0" w:space="0" w:color="auto"/>
          <w:vertAlign w:val="superscript"/>
          <w:lang w:val="en-US" w:eastAsia="es-ES"/>
        </w:rPr>
        <w:footnoteReference w:id="297"/>
      </w:r>
      <w:r w:rsidRPr="00711C22">
        <w:rPr>
          <w:rFonts w:asciiTheme="majorHAnsi" w:eastAsia="Times New Roman" w:hAnsiTheme="majorHAnsi" w:cs="Cambria"/>
          <w:color w:val="000000"/>
          <w:sz w:val="20"/>
          <w:szCs w:val="20"/>
          <w:u w:color="000000"/>
          <w:bdr w:val="none" w:sz="0" w:space="0" w:color="auto"/>
          <w:lang w:val="en-US" w:eastAsia="es-ES"/>
        </w:rPr>
        <w:t xml:space="preserve"> </w:t>
      </w:r>
      <w:r w:rsidRPr="00711C22">
        <w:rPr>
          <w:rFonts w:ascii="Cambria" w:hAnsi="Cambria"/>
          <w:sz w:val="20"/>
          <w:szCs w:val="20"/>
          <w:lang w:val="en-US"/>
        </w:rPr>
        <w:t xml:space="preserve">The IACHR has held that </w:t>
      </w:r>
      <w:r>
        <w:rPr>
          <w:rFonts w:ascii="Cambria" w:hAnsi="Cambria"/>
          <w:sz w:val="20"/>
          <w:szCs w:val="20"/>
          <w:lang w:val="en-US"/>
        </w:rPr>
        <w:t>“</w:t>
      </w:r>
      <w:r w:rsidR="00231742">
        <w:rPr>
          <w:rFonts w:ascii="Cambria" w:hAnsi="Cambria"/>
          <w:sz w:val="20"/>
          <w:szCs w:val="20"/>
          <w:lang w:val="en-US"/>
        </w:rPr>
        <w:t>i</w:t>
      </w:r>
      <w:r w:rsidR="00231742" w:rsidRPr="00231742">
        <w:rPr>
          <w:rFonts w:ascii="Cambria" w:hAnsi="Cambria"/>
          <w:sz w:val="20"/>
          <w:szCs w:val="20"/>
          <w:lang w:val="en-US"/>
        </w:rPr>
        <w:t>nternational law views independence as two</w:t>
      </w:r>
      <w:r w:rsidR="00231742">
        <w:rPr>
          <w:rFonts w:ascii="Cambria" w:hAnsi="Cambria"/>
          <w:sz w:val="20"/>
          <w:szCs w:val="20"/>
          <w:lang w:val="en-US"/>
        </w:rPr>
        <w:t>-</w:t>
      </w:r>
      <w:r w:rsidR="00231742" w:rsidRPr="00231742">
        <w:rPr>
          <w:rFonts w:ascii="Cambria" w:hAnsi="Cambria"/>
          <w:sz w:val="20"/>
          <w:szCs w:val="20"/>
          <w:lang w:val="en-US"/>
        </w:rPr>
        <w:t xml:space="preserve">dimensional: the first </w:t>
      </w:r>
      <w:r w:rsidR="00231742">
        <w:rPr>
          <w:rFonts w:ascii="Cambria" w:hAnsi="Cambria"/>
          <w:sz w:val="20"/>
          <w:szCs w:val="20"/>
          <w:lang w:val="en-US"/>
        </w:rPr>
        <w:t xml:space="preserve">[dimension] </w:t>
      </w:r>
      <w:r w:rsidR="00231742" w:rsidRPr="00231742">
        <w:rPr>
          <w:rFonts w:ascii="Cambria" w:hAnsi="Cambria"/>
          <w:sz w:val="20"/>
          <w:szCs w:val="20"/>
          <w:lang w:val="en-US"/>
        </w:rPr>
        <w:t>is institutional or systemic, while the second is functional, referring to judges’ individual independence in performing their functions</w:t>
      </w:r>
      <w:r>
        <w:rPr>
          <w:rFonts w:ascii="Cambria" w:hAnsi="Cambria"/>
          <w:sz w:val="20"/>
          <w:szCs w:val="20"/>
          <w:lang w:val="en-US"/>
        </w:rPr>
        <w:t>.</w:t>
      </w:r>
      <w:r w:rsidR="00231742">
        <w:rPr>
          <w:rFonts w:ascii="Cambria" w:hAnsi="Cambria"/>
          <w:sz w:val="20"/>
          <w:szCs w:val="20"/>
          <w:lang w:val="en-US"/>
        </w:rPr>
        <w:t>”</w:t>
      </w:r>
      <w:r w:rsidRPr="00711C22">
        <w:rPr>
          <w:rStyle w:val="FootnoteReference"/>
          <w:rFonts w:ascii="Cambria" w:hAnsi="Cambria"/>
          <w:sz w:val="20"/>
          <w:szCs w:val="20"/>
          <w:lang w:val="en-US"/>
        </w:rPr>
        <w:footnoteReference w:id="298"/>
      </w:r>
      <w:r w:rsidRPr="00711C22">
        <w:rPr>
          <w:rFonts w:ascii="Cambria" w:hAnsi="Cambria"/>
          <w:sz w:val="20"/>
          <w:szCs w:val="20"/>
          <w:lang w:val="en-US"/>
        </w:rPr>
        <w:t xml:space="preserve"> The first is related to the independence of the </w:t>
      </w:r>
      <w:r w:rsidR="009655FB">
        <w:rPr>
          <w:rFonts w:ascii="Cambria" w:hAnsi="Cambria"/>
          <w:sz w:val="20"/>
          <w:szCs w:val="20"/>
          <w:lang w:val="en-US"/>
        </w:rPr>
        <w:t>j</w:t>
      </w:r>
      <w:r w:rsidRPr="00711C22">
        <w:rPr>
          <w:rFonts w:ascii="Cambria" w:hAnsi="Cambria"/>
          <w:sz w:val="20"/>
          <w:szCs w:val="20"/>
          <w:lang w:val="en-US"/>
        </w:rPr>
        <w:t xml:space="preserve">udiciary as a system and the second </w:t>
      </w:r>
      <w:r w:rsidR="009655FB">
        <w:rPr>
          <w:rFonts w:ascii="Cambria" w:hAnsi="Cambria"/>
          <w:sz w:val="20"/>
          <w:szCs w:val="20"/>
          <w:lang w:val="en-US"/>
        </w:rPr>
        <w:t>concerns</w:t>
      </w:r>
      <w:r w:rsidRPr="00711C22">
        <w:rPr>
          <w:rFonts w:ascii="Cambria" w:hAnsi="Cambria"/>
          <w:sz w:val="20"/>
          <w:szCs w:val="20"/>
          <w:lang w:val="en-US"/>
        </w:rPr>
        <w:t xml:space="preserve"> the guarantees that must be provided to judge</w:t>
      </w:r>
      <w:r w:rsidR="0053600B">
        <w:rPr>
          <w:rFonts w:ascii="Cambria" w:hAnsi="Cambria"/>
          <w:sz w:val="20"/>
          <w:szCs w:val="20"/>
          <w:lang w:val="en-US"/>
        </w:rPr>
        <w:t>s</w:t>
      </w:r>
      <w:r w:rsidRPr="00711C22">
        <w:rPr>
          <w:rFonts w:ascii="Cambria" w:hAnsi="Cambria"/>
          <w:sz w:val="20"/>
          <w:szCs w:val="20"/>
          <w:lang w:val="en-US"/>
        </w:rPr>
        <w:t xml:space="preserve"> for </w:t>
      </w:r>
      <w:r w:rsidR="0053600B">
        <w:rPr>
          <w:rFonts w:ascii="Cambria" w:hAnsi="Cambria"/>
          <w:sz w:val="20"/>
          <w:szCs w:val="20"/>
          <w:lang w:val="en-US"/>
        </w:rPr>
        <w:t>them</w:t>
      </w:r>
      <w:r w:rsidRPr="00711C22">
        <w:rPr>
          <w:rFonts w:ascii="Cambria" w:hAnsi="Cambria"/>
          <w:sz w:val="20"/>
          <w:szCs w:val="20"/>
          <w:lang w:val="en-US"/>
        </w:rPr>
        <w:t xml:space="preserve"> to make decisions independently. </w:t>
      </w:r>
      <w:r w:rsidRPr="00711C22">
        <w:rPr>
          <w:rFonts w:asciiTheme="majorHAnsi" w:eastAsia="Times New Roman" w:hAnsiTheme="majorHAnsi" w:cs="Cambria"/>
          <w:color w:val="000000"/>
          <w:sz w:val="20"/>
          <w:szCs w:val="20"/>
          <w:u w:color="000000"/>
          <w:bdr w:val="none" w:sz="0" w:space="0" w:color="auto"/>
          <w:lang w:val="en-US" w:eastAsia="es-ES"/>
        </w:rPr>
        <w:t xml:space="preserve">However, the Commission has </w:t>
      </w:r>
      <w:r w:rsidR="005A2188">
        <w:rPr>
          <w:rFonts w:asciiTheme="majorHAnsi" w:eastAsia="Times New Roman" w:hAnsiTheme="majorHAnsi" w:cs="Cambria"/>
          <w:color w:val="000000"/>
          <w:sz w:val="20"/>
          <w:szCs w:val="20"/>
          <w:u w:color="000000"/>
          <w:bdr w:val="none" w:sz="0" w:space="0" w:color="auto"/>
          <w:lang w:val="en-US" w:eastAsia="es-ES"/>
        </w:rPr>
        <w:t>consistently</w:t>
      </w:r>
      <w:r w:rsidRPr="00711C22">
        <w:rPr>
          <w:rFonts w:asciiTheme="majorHAnsi" w:eastAsia="Times New Roman" w:hAnsiTheme="majorHAnsi" w:cs="Cambria"/>
          <w:color w:val="000000"/>
          <w:sz w:val="20"/>
          <w:szCs w:val="20"/>
          <w:u w:color="000000"/>
          <w:bdr w:val="none" w:sz="0" w:space="0" w:color="auto"/>
          <w:lang w:val="en-US" w:eastAsia="es-ES"/>
        </w:rPr>
        <w:t xml:space="preserve"> maintained that </w:t>
      </w:r>
      <w:r w:rsidR="009655FB" w:rsidRPr="009655FB">
        <w:rPr>
          <w:rFonts w:asciiTheme="majorHAnsi" w:eastAsia="Times New Roman" w:hAnsiTheme="majorHAnsi" w:cs="Cambria"/>
          <w:color w:val="000000"/>
          <w:sz w:val="20"/>
          <w:szCs w:val="20"/>
          <w:u w:color="000000"/>
          <w:bdr w:val="none" w:sz="0" w:space="0" w:color="auto"/>
          <w:lang w:val="en-US" w:eastAsia="es-ES"/>
        </w:rPr>
        <w:t xml:space="preserve">Cuba lacks the separation of powers that ensures </w:t>
      </w:r>
      <w:r w:rsidR="005A2188">
        <w:rPr>
          <w:rFonts w:asciiTheme="majorHAnsi" w:eastAsia="Times New Roman" w:hAnsiTheme="majorHAnsi" w:cs="Cambria"/>
          <w:color w:val="000000"/>
          <w:sz w:val="20"/>
          <w:szCs w:val="20"/>
          <w:u w:color="000000"/>
          <w:bdr w:val="none" w:sz="0" w:space="0" w:color="auto"/>
          <w:lang w:val="en-US" w:eastAsia="es-ES"/>
        </w:rPr>
        <w:t xml:space="preserve">a judiciary </w:t>
      </w:r>
      <w:r w:rsidR="009655FB" w:rsidRPr="009655FB">
        <w:rPr>
          <w:rFonts w:asciiTheme="majorHAnsi" w:eastAsia="Times New Roman" w:hAnsiTheme="majorHAnsi" w:cs="Cambria"/>
          <w:color w:val="000000"/>
          <w:sz w:val="20"/>
          <w:szCs w:val="20"/>
          <w:u w:color="000000"/>
          <w:bdr w:val="none" w:sz="0" w:space="0" w:color="auto"/>
          <w:lang w:val="en-US" w:eastAsia="es-ES"/>
        </w:rPr>
        <w:t>free of interference from other branches of government</w:t>
      </w:r>
      <w:r>
        <w:rPr>
          <w:rFonts w:asciiTheme="majorHAnsi" w:eastAsia="Times New Roman" w:hAnsiTheme="majorHAnsi" w:cs="Cambria"/>
          <w:color w:val="000000"/>
          <w:sz w:val="20"/>
          <w:szCs w:val="20"/>
          <w:u w:color="000000"/>
          <w:bdr w:val="none" w:sz="0" w:space="0" w:color="auto"/>
          <w:lang w:val="en-US" w:eastAsia="es-ES"/>
        </w:rPr>
        <w:t>.</w:t>
      </w:r>
      <w:r w:rsidRPr="00711C22">
        <w:rPr>
          <w:rFonts w:asciiTheme="majorHAnsi" w:eastAsia="Times New Roman" w:hAnsiTheme="majorHAnsi" w:cs="Cambria"/>
          <w:color w:val="000000"/>
          <w:sz w:val="20"/>
          <w:szCs w:val="20"/>
          <w:u w:color="000000"/>
          <w:bdr w:val="none" w:sz="0" w:space="0" w:color="auto"/>
          <w:vertAlign w:val="superscript"/>
          <w:lang w:val="en-US" w:eastAsia="es-ES"/>
        </w:rPr>
        <w:footnoteReference w:id="299"/>
      </w:r>
    </w:p>
    <w:p w14:paraId="0A16A7B2"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2B29EB58" w14:textId="6CD00AFE" w:rsidR="00286CDA" w:rsidRPr="00711C22" w:rsidRDefault="00286CD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lang w:val="en-US" w:eastAsia="es-ES"/>
        </w:rPr>
      </w:pPr>
      <w:r w:rsidRPr="00711C22">
        <w:rPr>
          <w:rFonts w:asciiTheme="majorHAnsi" w:eastAsia="Times New Roman" w:hAnsiTheme="majorHAnsi" w:cs="Cambria"/>
          <w:color w:val="000000"/>
          <w:sz w:val="20"/>
          <w:szCs w:val="20"/>
          <w:u w:color="000000"/>
          <w:bdr w:val="none" w:sz="0" w:space="0" w:color="auto"/>
          <w:lang w:val="en-US" w:eastAsia="es-ES"/>
        </w:rPr>
        <w:t xml:space="preserve">Article 121 </w:t>
      </w:r>
      <w:r>
        <w:rPr>
          <w:rFonts w:asciiTheme="majorHAnsi" w:eastAsia="Times New Roman" w:hAnsiTheme="majorHAnsi" w:cs="Cambria"/>
          <w:color w:val="000000"/>
          <w:sz w:val="20"/>
          <w:szCs w:val="20"/>
          <w:u w:color="000000"/>
          <w:bdr w:val="none" w:sz="0" w:space="0" w:color="auto"/>
          <w:lang w:val="en-US" w:eastAsia="es-ES"/>
        </w:rPr>
        <w:t xml:space="preserve">of </w:t>
      </w:r>
      <w:r w:rsidRPr="00711C22">
        <w:rPr>
          <w:rFonts w:asciiTheme="majorHAnsi" w:eastAsia="Times New Roman" w:hAnsiTheme="majorHAnsi" w:cs="Cambria"/>
          <w:color w:val="000000"/>
          <w:sz w:val="20"/>
          <w:szCs w:val="20"/>
          <w:u w:color="000000"/>
          <w:bdr w:val="none" w:sz="0" w:space="0" w:color="auto"/>
          <w:lang w:val="en-US" w:eastAsia="es-ES"/>
        </w:rPr>
        <w:t>the 1976 Constitution of Cuba, in force at the time of the facts</w:t>
      </w:r>
      <w:r>
        <w:rPr>
          <w:rFonts w:asciiTheme="majorHAnsi" w:eastAsia="Times New Roman" w:hAnsiTheme="majorHAnsi" w:cs="Cambria"/>
          <w:color w:val="000000"/>
          <w:sz w:val="20"/>
          <w:szCs w:val="20"/>
          <w:u w:color="000000"/>
          <w:bdr w:val="none" w:sz="0" w:space="0" w:color="auto"/>
          <w:lang w:val="en-US" w:eastAsia="es-ES"/>
        </w:rPr>
        <w:t xml:space="preserve"> alleged</w:t>
      </w:r>
      <w:r w:rsidRPr="00711C22">
        <w:rPr>
          <w:rFonts w:asciiTheme="majorHAnsi" w:eastAsia="Times New Roman" w:hAnsiTheme="majorHAnsi" w:cs="Cambria"/>
          <w:color w:val="000000"/>
          <w:sz w:val="20"/>
          <w:szCs w:val="20"/>
          <w:u w:color="000000"/>
          <w:bdr w:val="none" w:sz="0" w:space="0" w:color="auto"/>
          <w:lang w:val="en-US" w:eastAsia="es-ES"/>
        </w:rPr>
        <w:t xml:space="preserve">, established that </w:t>
      </w:r>
      <w:r>
        <w:rPr>
          <w:rFonts w:asciiTheme="majorHAnsi" w:eastAsia="Times New Roman" w:hAnsiTheme="majorHAnsi" w:cs="Cambria"/>
          <w:color w:val="000000"/>
          <w:sz w:val="20"/>
          <w:szCs w:val="20"/>
          <w:u w:color="000000"/>
          <w:bdr w:val="none" w:sz="0" w:space="0" w:color="auto"/>
          <w:lang w:val="en-US" w:eastAsia="es-ES"/>
        </w:rPr>
        <w:t>“</w:t>
      </w:r>
      <w:r w:rsidRPr="00711C22">
        <w:rPr>
          <w:rFonts w:asciiTheme="majorHAnsi" w:eastAsia="Times New Roman" w:hAnsiTheme="majorHAnsi" w:cs="Cambria"/>
          <w:color w:val="000000"/>
          <w:sz w:val="20"/>
          <w:szCs w:val="20"/>
          <w:u w:color="000000"/>
          <w:bdr w:val="none" w:sz="0" w:space="0" w:color="auto"/>
          <w:lang w:val="en-US" w:eastAsia="es-ES"/>
        </w:rPr>
        <w:t>[t]</w:t>
      </w:r>
      <w:r w:rsidRPr="00286CDA">
        <w:rPr>
          <w:rFonts w:asciiTheme="majorHAnsi" w:eastAsia="Times New Roman" w:hAnsiTheme="majorHAnsi" w:cs="Cambria"/>
          <w:color w:val="000000"/>
          <w:sz w:val="20"/>
          <w:szCs w:val="20"/>
          <w:u w:color="000000"/>
          <w:bdr w:val="none" w:sz="0" w:space="0" w:color="auto"/>
          <w:lang w:val="en-US" w:eastAsia="es-ES"/>
        </w:rPr>
        <w:t>he tribunals constitute a system of State organs, structured with functional independence from any other, and subordinate hierarchically to the National Assembly of the People’s Power and the Council of State.”</w:t>
      </w:r>
      <w:r w:rsidRPr="00711C22">
        <w:rPr>
          <w:rFonts w:asciiTheme="majorHAnsi" w:eastAsia="Times New Roman" w:hAnsiTheme="majorHAnsi" w:cs="Cambria"/>
          <w:color w:val="000000"/>
          <w:sz w:val="20"/>
          <w:szCs w:val="20"/>
          <w:u w:color="000000"/>
          <w:bdr w:val="none" w:sz="0" w:space="0" w:color="auto"/>
          <w:lang w:val="en-US" w:eastAsia="es-ES"/>
        </w:rPr>
        <w:t xml:space="preserve"> The Commission has</w:t>
      </w:r>
      <w:r w:rsidR="005A2188">
        <w:rPr>
          <w:rFonts w:asciiTheme="majorHAnsi" w:eastAsia="Times New Roman" w:hAnsiTheme="majorHAnsi" w:cs="Cambria"/>
          <w:color w:val="000000"/>
          <w:sz w:val="20"/>
          <w:szCs w:val="20"/>
          <w:u w:color="000000"/>
          <w:bdr w:val="none" w:sz="0" w:space="0" w:color="auto"/>
          <w:lang w:val="en-US" w:eastAsia="es-ES"/>
        </w:rPr>
        <w:t xml:space="preserve"> asserted</w:t>
      </w:r>
      <w:r w:rsidRPr="00711C22">
        <w:rPr>
          <w:rFonts w:asciiTheme="majorHAnsi" w:eastAsia="Times New Roman" w:hAnsiTheme="majorHAnsi" w:cs="Cambria"/>
          <w:color w:val="000000"/>
          <w:sz w:val="20"/>
          <w:szCs w:val="20"/>
          <w:u w:color="000000"/>
          <w:bdr w:val="none" w:sz="0" w:space="0" w:color="auto"/>
          <w:lang w:val="en-US" w:eastAsia="es-ES"/>
        </w:rPr>
        <w:t xml:space="preserve"> </w:t>
      </w:r>
      <w:r>
        <w:rPr>
          <w:rFonts w:asciiTheme="majorHAnsi" w:eastAsia="Times New Roman" w:hAnsiTheme="majorHAnsi" w:cs="Cambria"/>
          <w:color w:val="000000"/>
          <w:sz w:val="20"/>
          <w:szCs w:val="20"/>
          <w:u w:color="000000"/>
          <w:bdr w:val="none" w:sz="0" w:space="0" w:color="auto"/>
          <w:lang w:val="en-US" w:eastAsia="es-ES"/>
        </w:rPr>
        <w:t>“</w:t>
      </w:r>
      <w:r w:rsidR="005A2188" w:rsidRPr="005A2188">
        <w:rPr>
          <w:rFonts w:asciiTheme="majorHAnsi" w:eastAsia="Times New Roman" w:hAnsiTheme="majorHAnsi" w:cs="Cambria"/>
          <w:color w:val="000000"/>
          <w:sz w:val="20"/>
          <w:szCs w:val="20"/>
          <w:u w:color="000000"/>
          <w:bdr w:val="none" w:sz="0" w:space="0" w:color="auto"/>
          <w:lang w:val="en-US" w:eastAsia="es-ES"/>
        </w:rPr>
        <w:t xml:space="preserve">that the subordination of the courts to the Council of State, led by the Head of State, demonstrates the direct dependence of </w:t>
      </w:r>
      <w:r w:rsidR="00E01137" w:rsidRPr="005A2188">
        <w:rPr>
          <w:rFonts w:asciiTheme="majorHAnsi" w:eastAsia="Times New Roman" w:hAnsiTheme="majorHAnsi" w:cs="Cambria"/>
          <w:color w:val="000000"/>
          <w:sz w:val="20"/>
          <w:szCs w:val="20"/>
          <w:u w:color="000000"/>
          <w:bdr w:val="none" w:sz="0" w:space="0" w:color="auto"/>
          <w:lang w:val="en-US" w:eastAsia="es-ES"/>
        </w:rPr>
        <w:t xml:space="preserve">the judiciary on the directives of the executive branch, </w:t>
      </w:r>
      <w:r w:rsidR="005A2188" w:rsidRPr="005A2188">
        <w:rPr>
          <w:rFonts w:asciiTheme="majorHAnsi" w:eastAsia="Times New Roman" w:hAnsiTheme="majorHAnsi" w:cs="Cambria"/>
          <w:color w:val="000000"/>
          <w:sz w:val="20"/>
          <w:szCs w:val="20"/>
          <w:u w:color="000000"/>
          <w:bdr w:val="none" w:sz="0" w:space="0" w:color="auto"/>
          <w:lang w:val="en-US" w:eastAsia="es-ES"/>
        </w:rPr>
        <w:t xml:space="preserve">and that this dependence prevents individuals identified by the State as </w:t>
      </w:r>
      <w:r w:rsidR="009C25F1">
        <w:rPr>
          <w:rFonts w:asciiTheme="majorHAnsi" w:eastAsia="Times New Roman" w:hAnsiTheme="majorHAnsi" w:cs="Cambria"/>
          <w:color w:val="000000"/>
          <w:sz w:val="20"/>
          <w:szCs w:val="20"/>
          <w:u w:color="000000"/>
          <w:bdr w:val="none" w:sz="0" w:space="0" w:color="auto"/>
          <w:lang w:val="en-US" w:eastAsia="es-ES"/>
        </w:rPr>
        <w:t>‘</w:t>
      </w:r>
      <w:r w:rsidR="005A2188" w:rsidRPr="005A2188">
        <w:rPr>
          <w:rFonts w:asciiTheme="majorHAnsi" w:eastAsia="Times New Roman" w:hAnsiTheme="majorHAnsi" w:cs="Cambria"/>
          <w:color w:val="000000"/>
          <w:sz w:val="20"/>
          <w:szCs w:val="20"/>
          <w:u w:color="000000"/>
          <w:bdr w:val="none" w:sz="0" w:space="0" w:color="auto"/>
          <w:lang w:val="en-US" w:eastAsia="es-ES"/>
        </w:rPr>
        <w:t>dissidents</w:t>
      </w:r>
      <w:r w:rsidR="009C25F1">
        <w:rPr>
          <w:rFonts w:asciiTheme="majorHAnsi" w:eastAsia="Times New Roman" w:hAnsiTheme="majorHAnsi" w:cs="Cambria"/>
          <w:color w:val="000000"/>
          <w:sz w:val="20"/>
          <w:szCs w:val="20"/>
          <w:u w:color="000000"/>
          <w:bdr w:val="none" w:sz="0" w:space="0" w:color="auto"/>
          <w:lang w:val="en-US" w:eastAsia="es-ES"/>
        </w:rPr>
        <w:t>’</w:t>
      </w:r>
      <w:r w:rsidR="005A2188" w:rsidRPr="005A2188">
        <w:rPr>
          <w:rFonts w:asciiTheme="majorHAnsi" w:eastAsia="Times New Roman" w:hAnsiTheme="majorHAnsi" w:cs="Cambria"/>
          <w:color w:val="000000"/>
          <w:sz w:val="20"/>
          <w:szCs w:val="20"/>
          <w:u w:color="000000"/>
          <w:bdr w:val="none" w:sz="0" w:space="0" w:color="auto"/>
          <w:lang w:val="en-US" w:eastAsia="es-ES"/>
        </w:rPr>
        <w:t xml:space="preserve"> or </w:t>
      </w:r>
      <w:r w:rsidR="009C25F1">
        <w:rPr>
          <w:rFonts w:asciiTheme="majorHAnsi" w:eastAsia="Times New Roman" w:hAnsiTheme="majorHAnsi" w:cs="Cambria"/>
          <w:color w:val="000000"/>
          <w:sz w:val="20"/>
          <w:szCs w:val="20"/>
          <w:u w:color="000000"/>
          <w:bdr w:val="none" w:sz="0" w:space="0" w:color="auto"/>
          <w:lang w:val="en-US" w:eastAsia="es-ES"/>
        </w:rPr>
        <w:t>‘</w:t>
      </w:r>
      <w:r w:rsidR="005A2188" w:rsidRPr="005A2188">
        <w:rPr>
          <w:rFonts w:asciiTheme="majorHAnsi" w:eastAsia="Times New Roman" w:hAnsiTheme="majorHAnsi" w:cs="Cambria"/>
          <w:color w:val="000000"/>
          <w:sz w:val="20"/>
          <w:szCs w:val="20"/>
          <w:u w:color="000000"/>
          <w:bdr w:val="none" w:sz="0" w:space="0" w:color="auto"/>
          <w:lang w:val="en-US" w:eastAsia="es-ES"/>
        </w:rPr>
        <w:t>opponents</w:t>
      </w:r>
      <w:r w:rsidR="009C25F1">
        <w:rPr>
          <w:rFonts w:asciiTheme="majorHAnsi" w:eastAsia="Times New Roman" w:hAnsiTheme="majorHAnsi" w:cs="Cambria"/>
          <w:color w:val="000000"/>
          <w:sz w:val="20"/>
          <w:szCs w:val="20"/>
          <w:u w:color="000000"/>
          <w:bdr w:val="none" w:sz="0" w:space="0" w:color="auto"/>
          <w:lang w:val="en-US" w:eastAsia="es-ES"/>
        </w:rPr>
        <w:t>’</w:t>
      </w:r>
      <w:r w:rsidR="005A2188" w:rsidRPr="005A2188">
        <w:rPr>
          <w:rFonts w:asciiTheme="majorHAnsi" w:eastAsia="Times New Roman" w:hAnsiTheme="majorHAnsi" w:cs="Cambria"/>
          <w:color w:val="000000"/>
          <w:sz w:val="20"/>
          <w:szCs w:val="20"/>
          <w:u w:color="000000"/>
          <w:bdr w:val="none" w:sz="0" w:space="0" w:color="auto"/>
          <w:lang w:val="en-US" w:eastAsia="es-ES"/>
        </w:rPr>
        <w:t xml:space="preserve"> and accused of po</w:t>
      </w:r>
      <w:r w:rsidR="009C25F1">
        <w:rPr>
          <w:rFonts w:asciiTheme="majorHAnsi" w:eastAsia="Times New Roman" w:hAnsiTheme="majorHAnsi" w:cs="Cambria"/>
          <w:color w:val="000000"/>
          <w:sz w:val="20"/>
          <w:szCs w:val="20"/>
          <w:u w:color="000000"/>
          <w:bdr w:val="none" w:sz="0" w:space="0" w:color="auto"/>
          <w:lang w:val="en-US" w:eastAsia="es-ES"/>
        </w:rPr>
        <w:t>litical crimes from obtaining an impartial trial</w:t>
      </w:r>
      <w:r w:rsidRPr="00711C22">
        <w:rPr>
          <w:rFonts w:asciiTheme="majorHAnsi" w:eastAsia="Times New Roman" w:hAnsiTheme="majorHAnsi" w:cs="Cambria"/>
          <w:color w:val="000000"/>
          <w:sz w:val="20"/>
          <w:szCs w:val="20"/>
          <w:u w:color="000000"/>
          <w:bdr w:val="none" w:sz="0" w:space="0" w:color="auto"/>
          <w:lang w:val="en-US" w:eastAsia="es-ES"/>
        </w:rPr>
        <w:t xml:space="preserve"> as required </w:t>
      </w:r>
      <w:r w:rsidR="009C25F1">
        <w:rPr>
          <w:rFonts w:asciiTheme="majorHAnsi" w:eastAsia="Times New Roman" w:hAnsiTheme="majorHAnsi" w:cs="Cambria"/>
          <w:color w:val="000000"/>
          <w:sz w:val="20"/>
          <w:szCs w:val="20"/>
          <w:u w:color="000000"/>
          <w:bdr w:val="none" w:sz="0" w:space="0" w:color="auto"/>
          <w:lang w:val="en-US" w:eastAsia="es-ES"/>
        </w:rPr>
        <w:t>under</w:t>
      </w:r>
      <w:r w:rsidRPr="00711C22">
        <w:rPr>
          <w:rFonts w:asciiTheme="majorHAnsi" w:eastAsia="Times New Roman" w:hAnsiTheme="majorHAnsi" w:cs="Cambria"/>
          <w:color w:val="000000"/>
          <w:sz w:val="20"/>
          <w:szCs w:val="20"/>
          <w:u w:color="000000"/>
          <w:bdr w:val="none" w:sz="0" w:space="0" w:color="auto"/>
          <w:lang w:val="en-US" w:eastAsia="es-ES"/>
        </w:rPr>
        <w:t xml:space="preserve"> the American Declaration, as </w:t>
      </w:r>
      <w:r w:rsidR="009C25F1">
        <w:rPr>
          <w:rFonts w:asciiTheme="majorHAnsi" w:eastAsia="Times New Roman" w:hAnsiTheme="majorHAnsi" w:cs="Cambria"/>
          <w:color w:val="000000"/>
          <w:sz w:val="20"/>
          <w:szCs w:val="20"/>
          <w:u w:color="000000"/>
          <w:bdr w:val="none" w:sz="0" w:space="0" w:color="auto"/>
          <w:lang w:val="en-US" w:eastAsia="es-ES"/>
        </w:rPr>
        <w:t>seen</w:t>
      </w:r>
      <w:r w:rsidRPr="00711C22">
        <w:rPr>
          <w:rFonts w:asciiTheme="majorHAnsi" w:eastAsia="Times New Roman" w:hAnsiTheme="majorHAnsi" w:cs="Cambria"/>
          <w:color w:val="000000"/>
          <w:sz w:val="20"/>
          <w:szCs w:val="20"/>
          <w:u w:color="000000"/>
          <w:bdr w:val="none" w:sz="0" w:space="0" w:color="auto"/>
          <w:lang w:val="en-US" w:eastAsia="es-ES"/>
        </w:rPr>
        <w:t xml:space="preserve"> in this case</w:t>
      </w:r>
      <w:r>
        <w:rPr>
          <w:rFonts w:asciiTheme="majorHAnsi" w:eastAsia="Times New Roman" w:hAnsiTheme="majorHAnsi" w:cs="Cambria"/>
          <w:color w:val="000000"/>
          <w:sz w:val="20"/>
          <w:szCs w:val="20"/>
          <w:u w:color="000000"/>
          <w:bdr w:val="none" w:sz="0" w:space="0" w:color="auto"/>
          <w:lang w:val="en-US" w:eastAsia="es-ES"/>
        </w:rPr>
        <w:t>.”</w:t>
      </w:r>
      <w:r w:rsidRPr="00711C22">
        <w:rPr>
          <w:rFonts w:asciiTheme="majorHAnsi" w:eastAsia="Times New Roman" w:hAnsiTheme="majorHAnsi" w:cs="Cambria"/>
          <w:color w:val="000000"/>
          <w:sz w:val="20"/>
          <w:szCs w:val="20"/>
          <w:u w:color="000000"/>
          <w:bdr w:val="none" w:sz="0" w:space="0" w:color="auto"/>
          <w:vertAlign w:val="superscript"/>
          <w:lang w:val="en-US" w:eastAsia="es-ES"/>
        </w:rPr>
        <w:footnoteReference w:id="300"/>
      </w:r>
      <w:r w:rsidRPr="00711C22">
        <w:rPr>
          <w:rFonts w:asciiTheme="majorHAnsi" w:eastAsia="Times New Roman" w:hAnsiTheme="majorHAnsi" w:cs="Cambria"/>
          <w:color w:val="000000"/>
          <w:sz w:val="20"/>
          <w:szCs w:val="20"/>
          <w:u w:color="000000"/>
          <w:bdr w:val="none" w:sz="0" w:space="0" w:color="auto"/>
          <w:lang w:val="en-US" w:eastAsia="es-ES"/>
        </w:rPr>
        <w:t xml:space="preserve"> </w:t>
      </w:r>
    </w:p>
    <w:p w14:paraId="0E7AB857"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24942CD3" w14:textId="292CA39C" w:rsidR="00E17CC1" w:rsidRPr="00711C22" w:rsidRDefault="00E17CC1"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cs="Cambria"/>
          <w:color w:val="000000"/>
          <w:sz w:val="20"/>
          <w:szCs w:val="20"/>
          <w:u w:color="000000"/>
          <w:bdr w:val="none" w:sz="0" w:space="0" w:color="auto"/>
          <w:shd w:val="clear" w:color="auto" w:fill="FFFFFF"/>
          <w:lang w:val="en-US" w:eastAsia="es-ES"/>
        </w:rPr>
      </w:pPr>
      <w:r>
        <w:rPr>
          <w:rFonts w:ascii="Cambria" w:eastAsia="Times New Roman" w:hAnsi="Cambria" w:cs="Cambria"/>
          <w:color w:val="000000"/>
          <w:sz w:val="20"/>
          <w:szCs w:val="20"/>
          <w:u w:color="000000"/>
          <w:bdr w:val="none" w:sz="0" w:space="0" w:color="auto"/>
          <w:lang w:val="en-US" w:eastAsia="es-ES"/>
        </w:rPr>
        <w:t>The</w:t>
      </w:r>
      <w:r w:rsidRPr="00711C22">
        <w:rPr>
          <w:rFonts w:ascii="Cambria" w:eastAsia="Times New Roman" w:hAnsi="Cambria" w:cs="Cambria"/>
          <w:color w:val="000000"/>
          <w:sz w:val="20"/>
          <w:szCs w:val="20"/>
          <w:u w:color="000000"/>
          <w:bdr w:val="none" w:sz="0" w:space="0" w:color="auto"/>
          <w:lang w:val="en-US" w:eastAsia="es-ES"/>
        </w:rPr>
        <w:t xml:space="preserve"> independence and impartiality of the authorities that investigate human rights violations, such as prosecutors</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 offices, must also be guaranteed in a State governed by the rule of law. The long-standing </w:t>
      </w:r>
      <w:r>
        <w:rPr>
          <w:rFonts w:ascii="Cambria" w:eastAsia="Times New Roman" w:hAnsi="Cambria" w:cs="Cambria"/>
          <w:color w:val="000000"/>
          <w:sz w:val="20"/>
          <w:szCs w:val="20"/>
          <w:u w:color="000000"/>
          <w:bdr w:val="none" w:sz="0" w:space="0" w:color="auto"/>
          <w:lang w:val="en-US" w:eastAsia="es-ES"/>
        </w:rPr>
        <w:t xml:space="preserve">precedents </w:t>
      </w:r>
      <w:r w:rsidRPr="00711C22">
        <w:rPr>
          <w:rFonts w:ascii="Cambria" w:eastAsia="Times New Roman" w:hAnsi="Cambria" w:cs="Cambria"/>
          <w:color w:val="000000"/>
          <w:sz w:val="20"/>
          <w:szCs w:val="20"/>
          <w:u w:color="000000"/>
          <w:bdr w:val="none" w:sz="0" w:space="0" w:color="auto"/>
          <w:lang w:val="en-US" w:eastAsia="es-ES"/>
        </w:rPr>
        <w:t>of the inter-American system reflects the State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lang w:val="en-US" w:eastAsia="es-ES"/>
        </w:rPr>
        <w:t xml:space="preserve">s obligation to conduct not only a thorough and immediate, but also an impartial and independent investigation </w:t>
      </w:r>
      <w:r>
        <w:rPr>
          <w:rFonts w:ascii="Cambria" w:eastAsia="Times New Roman" w:hAnsi="Cambria" w:cs="Cambria"/>
          <w:color w:val="000000"/>
          <w:sz w:val="20"/>
          <w:szCs w:val="20"/>
          <w:u w:color="000000"/>
          <w:bdr w:val="none" w:sz="0" w:space="0" w:color="auto"/>
          <w:lang w:val="en-US" w:eastAsia="es-ES"/>
        </w:rPr>
        <w:t>into</w:t>
      </w:r>
      <w:r w:rsidRPr="00711C22">
        <w:rPr>
          <w:rFonts w:ascii="Cambria" w:eastAsia="Times New Roman" w:hAnsi="Cambria" w:cs="Cambria"/>
          <w:color w:val="000000"/>
          <w:sz w:val="20"/>
          <w:szCs w:val="20"/>
          <w:u w:color="000000"/>
          <w:bdr w:val="none" w:sz="0" w:space="0" w:color="auto"/>
          <w:lang w:val="en-US" w:eastAsia="es-ES"/>
        </w:rPr>
        <w:t xml:space="preserve"> allegations of human rights violations</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301"/>
      </w:r>
      <w:r w:rsidRPr="00711C22">
        <w:rPr>
          <w:rFonts w:ascii="Cambria" w:eastAsia="Times New Roman" w:hAnsi="Cambria" w:cs="Cambria"/>
          <w:color w:val="000000"/>
          <w:sz w:val="20"/>
          <w:szCs w:val="20"/>
          <w:u w:color="000000"/>
          <w:bdr w:val="none" w:sz="0" w:space="0" w:color="auto"/>
          <w:lang w:val="en-US" w:eastAsia="es-ES"/>
        </w:rPr>
        <w:t xml:space="preserve"> The IACHR has concluded that </w:t>
      </w:r>
      <w:r>
        <w:rPr>
          <w:rFonts w:ascii="Cambria" w:eastAsia="Times New Roman" w:hAnsi="Cambria" w:cs="Cambria"/>
          <w:color w:val="000000"/>
          <w:sz w:val="20"/>
          <w:szCs w:val="20"/>
          <w:u w:color="000000"/>
          <w:bdr w:val="none" w:sz="0" w:space="0" w:color="auto"/>
          <w:lang w:val="en-US" w:eastAsia="es-ES"/>
        </w:rPr>
        <w:t>“i</w:t>
      </w:r>
      <w:r w:rsidRPr="00E17CC1">
        <w:rPr>
          <w:rFonts w:ascii="Cambria" w:eastAsia="Times New Roman" w:hAnsi="Cambria" w:cs="Cambria"/>
          <w:color w:val="000000"/>
          <w:sz w:val="20"/>
          <w:szCs w:val="20"/>
          <w:u w:color="000000"/>
          <w:bdr w:val="none" w:sz="0" w:space="0" w:color="auto"/>
          <w:lang w:val="en-US" w:eastAsia="es-ES"/>
        </w:rPr>
        <w:t>nternational law has underscored how important it is that investigations and, on a broader level, any activities associated with the prosecution of crime, be independent and impartial so that crime victims are assured access to justice</w:t>
      </w:r>
      <w:r>
        <w:rPr>
          <w:rFonts w:ascii="Cambria" w:eastAsia="Times New Roman" w:hAnsi="Cambria" w:cs="Cambria"/>
          <w:color w:val="000000"/>
          <w:sz w:val="20"/>
          <w:szCs w:val="20"/>
          <w:u w:color="000000"/>
          <w:bdr w:val="none" w:sz="0" w:space="0" w:color="auto"/>
          <w:lang w:val="en-US" w:eastAsia="es-ES"/>
        </w:rPr>
        <w:t>.”</w:t>
      </w:r>
      <w:r w:rsidRPr="00711C22">
        <w:rPr>
          <w:rFonts w:ascii="Cambria" w:eastAsia="Times New Roman" w:hAnsi="Cambria" w:cs="Cambria"/>
          <w:color w:val="000000"/>
          <w:sz w:val="20"/>
          <w:szCs w:val="20"/>
          <w:u w:color="000000"/>
          <w:bdr w:val="none" w:sz="0" w:space="0" w:color="auto"/>
          <w:vertAlign w:val="superscript"/>
          <w:lang w:val="en-US" w:eastAsia="es-ES"/>
        </w:rPr>
        <w:footnoteReference w:id="302"/>
      </w:r>
      <w:r w:rsidRPr="00711C22">
        <w:rPr>
          <w:rFonts w:ascii="Cambria" w:eastAsia="Times New Roman" w:hAnsi="Cambria" w:cs="Cambria"/>
          <w:color w:val="000000"/>
          <w:sz w:val="20"/>
          <w:szCs w:val="20"/>
          <w:u w:color="000000"/>
          <w:bdr w:val="none" w:sz="0" w:space="0" w:color="auto"/>
          <w:lang w:val="en-US" w:eastAsia="es-ES"/>
        </w:rPr>
        <w:t xml:space="preserve"> </w:t>
      </w:r>
    </w:p>
    <w:p w14:paraId="06734F40" w14:textId="77777777" w:rsidR="00713B50" w:rsidRPr="00B24750" w:rsidRDefault="00713B50" w:rsidP="00F66452">
      <w:pPr>
        <w:pStyle w:val="ListParagraph"/>
        <w:ind w:left="0"/>
        <w:jc w:val="both"/>
        <w:rPr>
          <w:rFonts w:asciiTheme="majorHAnsi" w:eastAsia="Times New Roman" w:hAnsiTheme="majorHAnsi"/>
          <w:sz w:val="20"/>
          <w:szCs w:val="20"/>
          <w:bdr w:val="none" w:sz="0" w:space="0" w:color="auto"/>
        </w:rPr>
      </w:pPr>
    </w:p>
    <w:p w14:paraId="23947EDB" w14:textId="7764AD1F" w:rsidR="004B3D55" w:rsidRPr="00711C22" w:rsidRDefault="00CF43F6" w:rsidP="00F66452">
      <w:pPr>
        <w:pStyle w:val="ListParagraph"/>
        <w:numPr>
          <w:ilvl w:val="0"/>
          <w:numId w:val="55"/>
        </w:numPr>
        <w:ind w:firstLine="0"/>
        <w:jc w:val="both"/>
        <w:rPr>
          <w:sz w:val="20"/>
          <w:szCs w:val="20"/>
        </w:rPr>
      </w:pPr>
      <w:r>
        <w:rPr>
          <w:sz w:val="20"/>
          <w:szCs w:val="20"/>
        </w:rPr>
        <w:lastRenderedPageBreak/>
        <w:t xml:space="preserve">Investigating </w:t>
      </w:r>
      <w:r w:rsidR="004B3D55">
        <w:rPr>
          <w:sz w:val="20"/>
          <w:szCs w:val="20"/>
        </w:rPr>
        <w:t xml:space="preserve">effectively </w:t>
      </w:r>
      <w:r w:rsidR="004B3D55" w:rsidRPr="00711C22">
        <w:rPr>
          <w:sz w:val="20"/>
          <w:szCs w:val="20"/>
        </w:rPr>
        <w:t xml:space="preserve">requires the </w:t>
      </w:r>
      <w:r w:rsidR="002C71EF">
        <w:rPr>
          <w:sz w:val="20"/>
          <w:szCs w:val="20"/>
        </w:rPr>
        <w:t>“</w:t>
      </w:r>
      <w:r w:rsidR="002C71EF" w:rsidRPr="002C71EF">
        <w:rPr>
          <w:sz w:val="20"/>
          <w:szCs w:val="20"/>
        </w:rPr>
        <w:t>absence of any institutional or hierarchical relationship, as well as independence in practice</w:t>
      </w:r>
      <w:r w:rsidR="002C71EF">
        <w:rPr>
          <w:sz w:val="20"/>
          <w:szCs w:val="20"/>
        </w:rPr>
        <w:t>.”</w:t>
      </w:r>
      <w:r w:rsidR="004B3D55" w:rsidRPr="00711C22">
        <w:rPr>
          <w:rStyle w:val="FootnoteReference"/>
          <w:sz w:val="20"/>
          <w:szCs w:val="20"/>
        </w:rPr>
        <w:footnoteReference w:id="303"/>
      </w:r>
      <w:r w:rsidR="004B3D55" w:rsidRPr="00711C22">
        <w:rPr>
          <w:sz w:val="20"/>
          <w:szCs w:val="20"/>
        </w:rPr>
        <w:t xml:space="preserve"> The IACHR has </w:t>
      </w:r>
      <w:r w:rsidR="002C71EF">
        <w:rPr>
          <w:sz w:val="20"/>
          <w:szCs w:val="20"/>
        </w:rPr>
        <w:t xml:space="preserve">held </w:t>
      </w:r>
      <w:r w:rsidR="004B3D55" w:rsidRPr="00711C22">
        <w:rPr>
          <w:sz w:val="20"/>
          <w:szCs w:val="20"/>
        </w:rPr>
        <w:t xml:space="preserve">that the need for </w:t>
      </w:r>
      <w:r w:rsidR="002C71EF" w:rsidRPr="00711C22">
        <w:rPr>
          <w:sz w:val="20"/>
          <w:szCs w:val="20"/>
        </w:rPr>
        <w:t xml:space="preserve">individual </w:t>
      </w:r>
      <w:r w:rsidR="004B3D55" w:rsidRPr="00711C22">
        <w:rPr>
          <w:sz w:val="20"/>
          <w:szCs w:val="20"/>
        </w:rPr>
        <w:t xml:space="preserve">independence is also a guarantee for prosecutors. According to the IACHR, </w:t>
      </w:r>
      <w:r w:rsidR="002C71EF">
        <w:rPr>
          <w:sz w:val="20"/>
          <w:szCs w:val="20"/>
        </w:rPr>
        <w:t>justice authorities</w:t>
      </w:r>
      <w:r w:rsidR="004B3D55" w:rsidRPr="00711C22">
        <w:rPr>
          <w:sz w:val="20"/>
          <w:szCs w:val="20"/>
        </w:rPr>
        <w:t xml:space="preserve"> must have </w:t>
      </w:r>
      <w:r w:rsidR="002C71EF">
        <w:rPr>
          <w:sz w:val="20"/>
          <w:szCs w:val="20"/>
        </w:rPr>
        <w:t>“</w:t>
      </w:r>
      <w:r w:rsidR="002C71EF" w:rsidRPr="002C71EF">
        <w:rPr>
          <w:sz w:val="20"/>
          <w:szCs w:val="20"/>
        </w:rPr>
        <w:t>the guarantees of independence that will enable them to freely discharge their functions within the institutions of justice in cases they are to decide, prosecute</w:t>
      </w:r>
      <w:r w:rsidR="002C71EF">
        <w:rPr>
          <w:sz w:val="20"/>
          <w:szCs w:val="20"/>
        </w:rPr>
        <w:t>,</w:t>
      </w:r>
      <w:r w:rsidR="002C71EF" w:rsidRPr="002C71EF">
        <w:rPr>
          <w:sz w:val="20"/>
          <w:szCs w:val="20"/>
        </w:rPr>
        <w:t xml:space="preserve"> or defend</w:t>
      </w:r>
      <w:r w:rsidR="002C71EF">
        <w:rPr>
          <w:sz w:val="20"/>
          <w:szCs w:val="20"/>
        </w:rPr>
        <w:t>.”</w:t>
      </w:r>
      <w:r w:rsidR="004B3D55" w:rsidRPr="00711C22">
        <w:rPr>
          <w:rStyle w:val="FootnoteReference"/>
          <w:sz w:val="20"/>
          <w:szCs w:val="20"/>
        </w:rPr>
        <w:footnoteReference w:id="304"/>
      </w:r>
      <w:r w:rsidR="004B3D55" w:rsidRPr="00711C22">
        <w:rPr>
          <w:sz w:val="20"/>
          <w:szCs w:val="20"/>
        </w:rPr>
        <w:t xml:space="preserve"> </w:t>
      </w:r>
      <w:r w:rsidR="004B3D55" w:rsidRPr="00711C22">
        <w:rPr>
          <w:rFonts w:eastAsia="Times New Roman"/>
          <w:sz w:val="20"/>
          <w:szCs w:val="20"/>
          <w:bdr w:val="none" w:sz="0" w:space="0" w:color="auto"/>
        </w:rPr>
        <w:t xml:space="preserve">Hence, the IACHR has established that, although in several Latin American </w:t>
      </w:r>
      <w:r w:rsidR="002C71EF">
        <w:rPr>
          <w:rFonts w:eastAsia="Times New Roman"/>
          <w:sz w:val="20"/>
          <w:szCs w:val="20"/>
          <w:bdr w:val="none" w:sz="0" w:space="0" w:color="auto"/>
        </w:rPr>
        <w:t>countries</w:t>
      </w:r>
      <w:r w:rsidR="004B3D55" w:rsidRPr="00711C22">
        <w:rPr>
          <w:rFonts w:eastAsia="Times New Roman"/>
          <w:sz w:val="20"/>
          <w:szCs w:val="20"/>
          <w:bdr w:val="none" w:sz="0" w:space="0" w:color="auto"/>
        </w:rPr>
        <w:t xml:space="preserve"> the </w:t>
      </w:r>
      <w:r w:rsidR="002C71EF">
        <w:rPr>
          <w:rFonts w:eastAsia="Times New Roman"/>
          <w:sz w:val="20"/>
          <w:szCs w:val="20"/>
          <w:bdr w:val="none" w:sz="0" w:space="0" w:color="auto"/>
        </w:rPr>
        <w:t>prosecution service</w:t>
      </w:r>
      <w:r w:rsidR="002C71EF" w:rsidRPr="00711C22">
        <w:rPr>
          <w:rFonts w:eastAsia="Times New Roman"/>
          <w:sz w:val="20"/>
          <w:szCs w:val="20"/>
          <w:bdr w:val="none" w:sz="0" w:space="0" w:color="auto"/>
        </w:rPr>
        <w:t xml:space="preserve"> is part of the executive branch</w:t>
      </w:r>
      <w:r w:rsidR="004B3D55" w:rsidRPr="00711C22">
        <w:rPr>
          <w:rFonts w:eastAsia="Times New Roman"/>
          <w:sz w:val="20"/>
          <w:szCs w:val="20"/>
          <w:bdr w:val="none" w:sz="0" w:space="0" w:color="auto"/>
        </w:rPr>
        <w:t xml:space="preserve">, the State must provide guarantees to the </w:t>
      </w:r>
      <w:r w:rsidR="002C71EF" w:rsidRPr="00711C22">
        <w:rPr>
          <w:rFonts w:eastAsia="Times New Roman"/>
          <w:sz w:val="20"/>
          <w:szCs w:val="20"/>
          <w:bdr w:val="none" w:sz="0" w:space="0" w:color="auto"/>
        </w:rPr>
        <w:t>prosecutor</w:t>
      </w:r>
      <w:r w:rsidR="002C71EF">
        <w:rPr>
          <w:rFonts w:eastAsia="Times New Roman"/>
          <w:sz w:val="20"/>
          <w:szCs w:val="20"/>
          <w:bdr w:val="none" w:sz="0" w:space="0" w:color="auto"/>
        </w:rPr>
        <w:t>’</w:t>
      </w:r>
      <w:r w:rsidR="002C71EF" w:rsidRPr="00711C22">
        <w:rPr>
          <w:rFonts w:eastAsia="Times New Roman"/>
          <w:sz w:val="20"/>
          <w:szCs w:val="20"/>
          <w:bdr w:val="none" w:sz="0" w:space="0" w:color="auto"/>
        </w:rPr>
        <w:t xml:space="preserve">s office </w:t>
      </w:r>
      <w:r w:rsidR="004B3D55" w:rsidRPr="00711C22">
        <w:rPr>
          <w:rFonts w:eastAsia="Times New Roman"/>
          <w:sz w:val="20"/>
          <w:szCs w:val="20"/>
          <w:bdr w:val="none" w:sz="0" w:space="0" w:color="auto"/>
        </w:rPr>
        <w:t>so it remains autonomous within th</w:t>
      </w:r>
      <w:r w:rsidR="002C71EF">
        <w:rPr>
          <w:rFonts w:eastAsia="Times New Roman"/>
          <w:sz w:val="20"/>
          <w:szCs w:val="20"/>
          <w:bdr w:val="none" w:sz="0" w:space="0" w:color="auto"/>
        </w:rPr>
        <w:t>at</w:t>
      </w:r>
      <w:r w:rsidR="004B3D55" w:rsidRPr="00711C22">
        <w:rPr>
          <w:rFonts w:eastAsia="Times New Roman"/>
          <w:sz w:val="20"/>
          <w:szCs w:val="20"/>
          <w:bdr w:val="none" w:sz="0" w:space="0" w:color="auto"/>
        </w:rPr>
        <w:t xml:space="preserve"> branch of government</w:t>
      </w:r>
      <w:r w:rsidR="002C71EF">
        <w:rPr>
          <w:rFonts w:eastAsia="Times New Roman"/>
          <w:sz w:val="20"/>
          <w:szCs w:val="20"/>
          <w:bdr w:val="none" w:sz="0" w:space="0" w:color="auto"/>
        </w:rPr>
        <w:t>.</w:t>
      </w:r>
      <w:r w:rsidR="004B3D55" w:rsidRPr="00711C22">
        <w:rPr>
          <w:sz w:val="20"/>
          <w:szCs w:val="20"/>
          <w:bdr w:val="none" w:sz="0" w:space="0" w:color="auto"/>
          <w:vertAlign w:val="superscript"/>
        </w:rPr>
        <w:footnoteReference w:id="305"/>
      </w:r>
      <w:r w:rsidR="004B3D55" w:rsidRPr="00711C22">
        <w:rPr>
          <w:rFonts w:eastAsia="Times New Roman"/>
          <w:sz w:val="20"/>
          <w:szCs w:val="20"/>
          <w:bdr w:val="none" w:sz="0" w:space="0" w:color="auto"/>
        </w:rPr>
        <w:t xml:space="preserve"> Furthermore, regardless of the position of the </w:t>
      </w:r>
      <w:r w:rsidR="002C71EF" w:rsidRPr="00711C22">
        <w:rPr>
          <w:rFonts w:eastAsia="Times New Roman"/>
          <w:sz w:val="20"/>
          <w:szCs w:val="20"/>
          <w:bdr w:val="none" w:sz="0" w:space="0" w:color="auto"/>
        </w:rPr>
        <w:t>prosecutor</w:t>
      </w:r>
      <w:r w:rsidR="002C71EF">
        <w:rPr>
          <w:rFonts w:eastAsia="Times New Roman"/>
          <w:sz w:val="20"/>
          <w:szCs w:val="20"/>
          <w:bdr w:val="none" w:sz="0" w:space="0" w:color="auto"/>
        </w:rPr>
        <w:t>’</w:t>
      </w:r>
      <w:r w:rsidR="002C71EF" w:rsidRPr="00711C22">
        <w:rPr>
          <w:rFonts w:eastAsia="Times New Roman"/>
          <w:sz w:val="20"/>
          <w:szCs w:val="20"/>
          <w:bdr w:val="none" w:sz="0" w:space="0" w:color="auto"/>
        </w:rPr>
        <w:t xml:space="preserve">s office </w:t>
      </w:r>
      <w:r w:rsidR="004B3D55" w:rsidRPr="00711C22">
        <w:rPr>
          <w:rFonts w:eastAsia="Times New Roman"/>
          <w:sz w:val="20"/>
          <w:szCs w:val="20"/>
          <w:bdr w:val="none" w:sz="0" w:space="0" w:color="auto"/>
        </w:rPr>
        <w:t xml:space="preserve">within the branches of government, the investigation must be impartial and effective, aimed at determining the truth and </w:t>
      </w:r>
      <w:r w:rsidR="00541C39">
        <w:rPr>
          <w:rFonts w:eastAsia="Times New Roman"/>
          <w:sz w:val="20"/>
          <w:szCs w:val="20"/>
          <w:bdr w:val="none" w:sz="0" w:space="0" w:color="auto"/>
        </w:rPr>
        <w:t xml:space="preserve">at pursuing, arresting, prosecuting, and eventually punishing </w:t>
      </w:r>
      <w:r w:rsidR="004B3D55" w:rsidRPr="00711C22">
        <w:rPr>
          <w:rFonts w:eastAsia="Times New Roman"/>
          <w:sz w:val="20"/>
          <w:szCs w:val="20"/>
          <w:bdr w:val="none" w:sz="0" w:space="0" w:color="auto"/>
        </w:rPr>
        <w:t>the perpetrators</w:t>
      </w:r>
      <w:r w:rsidR="004B3D55">
        <w:rPr>
          <w:rFonts w:eastAsia="Times New Roman"/>
          <w:sz w:val="20"/>
          <w:szCs w:val="20"/>
          <w:bdr w:val="none" w:sz="0" w:space="0" w:color="auto"/>
        </w:rPr>
        <w:t>.</w:t>
      </w:r>
      <w:r w:rsidR="004B3D55" w:rsidRPr="00711C22">
        <w:rPr>
          <w:sz w:val="20"/>
          <w:szCs w:val="20"/>
          <w:bdr w:val="none" w:sz="0" w:space="0" w:color="auto"/>
          <w:vertAlign w:val="superscript"/>
        </w:rPr>
        <w:footnoteReference w:id="306"/>
      </w:r>
    </w:p>
    <w:p w14:paraId="66CB7B34"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shd w:val="clear" w:color="auto" w:fill="FFFFFF"/>
          <w:lang w:val="en-US" w:eastAsia="es-ES"/>
        </w:rPr>
      </w:pPr>
    </w:p>
    <w:p w14:paraId="27425BAD" w14:textId="325A7D88" w:rsidR="00713B50" w:rsidRPr="00B24750" w:rsidRDefault="00CF43F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shd w:val="clear" w:color="auto" w:fill="FFFFFF"/>
          <w:lang w:val="en-US" w:eastAsia="es-ES"/>
        </w:rPr>
      </w:pPr>
      <w:r>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Regarding </w:t>
      </w:r>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Cuba in particular, the IACHR has previously noted that </w:t>
      </w:r>
      <w:r w:rsidR="00EE7260">
        <w:rPr>
          <w:rFonts w:asciiTheme="majorHAnsi" w:eastAsia="Times New Roman" w:hAnsiTheme="majorHAnsi" w:cs="Cambria"/>
          <w:color w:val="000000"/>
          <w:sz w:val="20"/>
          <w:szCs w:val="20"/>
          <w:u w:color="000000"/>
          <w:bdr w:val="none" w:sz="0" w:space="0" w:color="auto"/>
          <w:shd w:val="clear" w:color="auto" w:fill="FFFFFF"/>
          <w:lang w:val="en-US" w:eastAsia="es-ES"/>
        </w:rPr>
        <w:t>“</w:t>
      </w:r>
      <w:r w:rsidR="00241396">
        <w:rPr>
          <w:rFonts w:asciiTheme="majorHAnsi" w:eastAsia="Times New Roman" w:hAnsiTheme="majorHAnsi" w:cs="Cambria"/>
          <w:color w:val="000000"/>
          <w:sz w:val="20"/>
          <w:szCs w:val="20"/>
          <w:u w:color="000000"/>
          <w:bdr w:val="none" w:sz="0" w:space="0" w:color="auto"/>
          <w:shd w:val="clear" w:color="auto" w:fill="FFFFFF"/>
          <w:lang w:val="en-US" w:eastAsia="es-ES"/>
        </w:rPr>
        <w:t>i</w:t>
      </w:r>
      <w:r w:rsidR="00F70DF0" w:rsidRPr="00F70DF0">
        <w:rPr>
          <w:rFonts w:asciiTheme="majorHAnsi" w:eastAsia="Times New Roman" w:hAnsiTheme="majorHAnsi" w:cs="Cambria"/>
          <w:color w:val="000000"/>
          <w:sz w:val="20"/>
          <w:szCs w:val="20"/>
          <w:u w:color="000000"/>
          <w:bdr w:val="none" w:sz="0" w:space="0" w:color="auto"/>
          <w:shd w:val="clear" w:color="auto" w:fill="FFFFFF"/>
          <w:lang w:val="en-US" w:eastAsia="es-ES"/>
        </w:rPr>
        <w:t>n accordance with Article 128 of the Constitution, the Office of the Attorney</w:t>
      </w:r>
      <w:r w:rsidR="00F70DF0">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 </w:t>
      </w:r>
      <w:r w:rsidR="00F70DF0" w:rsidRPr="00F70DF0">
        <w:rPr>
          <w:rFonts w:asciiTheme="majorHAnsi" w:eastAsia="Times New Roman" w:hAnsiTheme="majorHAnsi" w:cs="Cambria"/>
          <w:color w:val="000000"/>
          <w:sz w:val="20"/>
          <w:szCs w:val="20"/>
          <w:u w:color="000000"/>
          <w:bdr w:val="none" w:sz="0" w:space="0" w:color="auto"/>
          <w:shd w:val="clear" w:color="auto" w:fill="FFFFFF"/>
          <w:lang w:val="en-US" w:eastAsia="es-ES"/>
        </w:rPr>
        <w:t>General is subordinate to the National Assembly and the Council of State, and Article 130 orders the Attorney</w:t>
      </w:r>
      <w:r w:rsidR="00F70DF0">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 </w:t>
      </w:r>
      <w:r w:rsidR="00F70DF0" w:rsidRPr="00F70DF0">
        <w:rPr>
          <w:rFonts w:asciiTheme="majorHAnsi" w:eastAsia="Times New Roman" w:hAnsiTheme="majorHAnsi" w:cs="Cambria"/>
          <w:color w:val="000000"/>
          <w:sz w:val="20"/>
          <w:szCs w:val="20"/>
          <w:u w:color="000000"/>
          <w:bdr w:val="none" w:sz="0" w:space="0" w:color="auto"/>
          <w:shd w:val="clear" w:color="auto" w:fill="FFFFFF"/>
          <w:lang w:val="en-US" w:eastAsia="es-ES"/>
        </w:rPr>
        <w:t>General to render account of his work to the National Assembly.  All these provisions further impede the impartiality and independence of the Cuban judiciary, thereby restricting the fulfillment of all human rights and fundamental freedoms of Cuban women and men</w:t>
      </w:r>
      <w:r w:rsidR="00EE7260">
        <w:rPr>
          <w:rFonts w:asciiTheme="majorHAnsi" w:eastAsia="Times New Roman" w:hAnsiTheme="majorHAnsi" w:cs="Cambria"/>
          <w:color w:val="000000"/>
          <w:sz w:val="20"/>
          <w:szCs w:val="20"/>
          <w:u w:color="000000"/>
          <w:bdr w:val="none" w:sz="0" w:space="0" w:color="auto"/>
          <w:shd w:val="clear" w:color="auto" w:fill="FFFFFF"/>
          <w:lang w:val="en-US" w:eastAsia="es-ES"/>
        </w:rPr>
        <w:t>.”</w:t>
      </w:r>
      <w:r w:rsidR="00EE7260" w:rsidRPr="00711C22">
        <w:rPr>
          <w:rFonts w:asciiTheme="majorHAnsi" w:eastAsia="Times New Roman" w:hAnsiTheme="majorHAnsi" w:cs="Cambria"/>
          <w:color w:val="000000"/>
          <w:sz w:val="20"/>
          <w:szCs w:val="20"/>
          <w:u w:color="000000"/>
          <w:bdr w:val="none" w:sz="0" w:space="0" w:color="auto"/>
          <w:shd w:val="clear" w:color="auto" w:fill="FFFFFF"/>
          <w:vertAlign w:val="superscript"/>
          <w:lang w:val="en-US" w:eastAsia="es-ES"/>
        </w:rPr>
        <w:footnoteReference w:id="307"/>
      </w:r>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  </w:t>
      </w:r>
      <w:r w:rsidR="00241396">
        <w:rPr>
          <w:rFonts w:asciiTheme="majorHAnsi" w:eastAsia="Times New Roman" w:hAnsiTheme="majorHAnsi" w:cs="Cambria"/>
          <w:color w:val="000000"/>
          <w:sz w:val="20"/>
          <w:szCs w:val="20"/>
          <w:u w:color="000000"/>
          <w:bdr w:val="none" w:sz="0" w:space="0" w:color="auto"/>
          <w:shd w:val="clear" w:color="auto" w:fill="FFFFFF"/>
          <w:lang w:val="en-US" w:eastAsia="es-ES"/>
        </w:rPr>
        <w:t>Here</w:t>
      </w:r>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 although </w:t>
      </w:r>
      <w:proofErr w:type="spellStart"/>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Yoani</w:t>
      </w:r>
      <w:proofErr w:type="spellEnd"/>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 S</w:t>
      </w:r>
      <w:r w:rsidR="00241396">
        <w:rPr>
          <w:rFonts w:asciiTheme="majorHAnsi" w:eastAsia="Times New Roman" w:hAnsiTheme="majorHAnsi" w:cs="Cambria"/>
          <w:color w:val="000000"/>
          <w:sz w:val="20"/>
          <w:szCs w:val="20"/>
          <w:u w:color="000000"/>
          <w:bdr w:val="none" w:sz="0" w:space="0" w:color="auto"/>
          <w:shd w:val="clear" w:color="auto" w:fill="FFFFFF"/>
          <w:lang w:val="en-US" w:eastAsia="es-ES"/>
        </w:rPr>
        <w:t>á</w:t>
      </w:r>
      <w:r w:rsidR="00EE7260" w:rsidRPr="00711C22">
        <w:rPr>
          <w:rFonts w:asciiTheme="majorHAnsi" w:eastAsia="Times New Roman" w:hAnsiTheme="majorHAnsi" w:cs="Cambria"/>
          <w:color w:val="000000"/>
          <w:sz w:val="20"/>
          <w:szCs w:val="20"/>
          <w:u w:color="000000"/>
          <w:bdr w:val="none" w:sz="0" w:space="0" w:color="auto"/>
          <w:shd w:val="clear" w:color="auto" w:fill="FFFFFF"/>
          <w:lang w:val="en-US" w:eastAsia="es-ES"/>
        </w:rPr>
        <w:t xml:space="preserve">nchez has </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filed complaints with various Cuban prosecutors</w:t>
      </w:r>
      <w:r w:rsidR="00241396">
        <w:rPr>
          <w:rFonts w:ascii="Cambria" w:eastAsia="Times New Roman" w:hAnsi="Cambria" w:cs="Cambria"/>
          <w:color w:val="000000"/>
          <w:sz w:val="20"/>
          <w:szCs w:val="20"/>
          <w:u w:color="000000"/>
          <w:bdr w:val="none" w:sz="0" w:space="0" w:color="auto"/>
          <w:shd w:val="clear" w:color="auto" w:fill="FFFFFF"/>
          <w:lang w:val="en-US" w:eastAsia="es-ES"/>
        </w:rPr>
        <w:t>’</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 offices regarding arbitrary detentions and a</w:t>
      </w:r>
      <w:r w:rsidR="00241396">
        <w:rPr>
          <w:rFonts w:ascii="Cambria" w:eastAsia="Times New Roman" w:hAnsi="Cambria" w:cs="Cambria"/>
          <w:color w:val="000000"/>
          <w:sz w:val="20"/>
          <w:szCs w:val="20"/>
          <w:u w:color="000000"/>
          <w:bdr w:val="none" w:sz="0" w:space="0" w:color="auto"/>
          <w:shd w:val="clear" w:color="auto" w:fill="FFFFFF"/>
          <w:lang w:val="en-US" w:eastAsia="es-ES"/>
        </w:rPr>
        <w:t>ssaults</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 </w:t>
      </w:r>
      <w:r w:rsidR="00241396">
        <w:rPr>
          <w:rFonts w:ascii="Cambria" w:eastAsia="Times New Roman" w:hAnsi="Cambria" w:cs="Cambria"/>
          <w:color w:val="000000"/>
          <w:sz w:val="20"/>
          <w:szCs w:val="20"/>
          <w:u w:color="000000"/>
          <w:bdr w:val="none" w:sz="0" w:space="0" w:color="auto"/>
          <w:shd w:val="clear" w:color="auto" w:fill="FFFFFF"/>
          <w:lang w:val="en-US" w:eastAsia="es-ES"/>
        </w:rPr>
        <w:t>at the hands of</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 the police in 2010 and 2012, so far there is no </w:t>
      </w:r>
      <w:r w:rsidR="00241396">
        <w:rPr>
          <w:rFonts w:ascii="Cambria" w:eastAsia="Times New Roman" w:hAnsi="Cambria" w:cs="Cambria"/>
          <w:color w:val="000000"/>
          <w:sz w:val="20"/>
          <w:szCs w:val="20"/>
          <w:u w:color="000000"/>
          <w:bdr w:val="none" w:sz="0" w:space="0" w:color="auto"/>
          <w:shd w:val="clear" w:color="auto" w:fill="FFFFFF"/>
          <w:lang w:val="en-US" w:eastAsia="es-ES"/>
        </w:rPr>
        <w:t xml:space="preserve">indication that any </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investigation</w:t>
      </w:r>
      <w:r w:rsidR="00241396">
        <w:rPr>
          <w:rFonts w:ascii="Cambria" w:eastAsia="Times New Roman" w:hAnsi="Cambria" w:cs="Cambria"/>
          <w:color w:val="000000"/>
          <w:sz w:val="20"/>
          <w:szCs w:val="20"/>
          <w:u w:color="000000"/>
          <w:bdr w:val="none" w:sz="0" w:space="0" w:color="auto"/>
          <w:shd w:val="clear" w:color="auto" w:fill="FFFFFF"/>
          <w:lang w:val="en-US" w:eastAsia="es-ES"/>
        </w:rPr>
        <w:t xml:space="preserve"> has been opened</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 This omission, together with the other facts of the case, leads to the reasonable conclusion that the lack of independence of the </w:t>
      </w:r>
      <w:r w:rsidR="00241396">
        <w:rPr>
          <w:rFonts w:ascii="Cambria" w:eastAsia="Times New Roman" w:hAnsi="Cambria" w:cs="Cambria"/>
          <w:color w:val="000000"/>
          <w:sz w:val="20"/>
          <w:szCs w:val="20"/>
          <w:u w:color="000000"/>
          <w:bdr w:val="none" w:sz="0" w:space="0" w:color="auto"/>
          <w:shd w:val="clear" w:color="auto" w:fill="FFFFFF"/>
          <w:lang w:val="en-US" w:eastAsia="es-ES"/>
        </w:rPr>
        <w:t xml:space="preserve">Attorney General’s </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Office affected its impartiality and has </w:t>
      </w:r>
      <w:r w:rsidR="00241396">
        <w:rPr>
          <w:rFonts w:ascii="Cambria" w:eastAsia="Times New Roman" w:hAnsi="Cambria" w:cs="Cambria"/>
          <w:color w:val="000000"/>
          <w:sz w:val="20"/>
          <w:szCs w:val="20"/>
          <w:u w:color="000000"/>
          <w:bdr w:val="none" w:sz="0" w:space="0" w:color="auto"/>
          <w:shd w:val="clear" w:color="auto" w:fill="FFFFFF"/>
          <w:lang w:val="en-US" w:eastAsia="es-ES"/>
        </w:rPr>
        <w:t>prevented the effective investigation of the</w:t>
      </w:r>
      <w:r w:rsidR="00EE7260" w:rsidRPr="00711C22">
        <w:rPr>
          <w:rFonts w:ascii="Cambria" w:eastAsia="Times New Roman" w:hAnsi="Cambria" w:cs="Cambria"/>
          <w:color w:val="000000"/>
          <w:sz w:val="20"/>
          <w:szCs w:val="20"/>
          <w:u w:color="000000"/>
          <w:bdr w:val="none" w:sz="0" w:space="0" w:color="auto"/>
          <w:shd w:val="clear" w:color="auto" w:fill="FFFFFF"/>
          <w:lang w:val="en-US" w:eastAsia="es-ES"/>
        </w:rPr>
        <w:t xml:space="preserve"> human rights violations </w:t>
      </w:r>
      <w:r w:rsidR="00241396">
        <w:rPr>
          <w:rFonts w:ascii="Cambria" w:eastAsia="Times New Roman" w:hAnsi="Cambria" w:cs="Cambria"/>
          <w:color w:val="000000"/>
          <w:sz w:val="20"/>
          <w:szCs w:val="20"/>
          <w:u w:color="000000"/>
          <w:bdr w:val="none" w:sz="0" w:space="0" w:color="auto"/>
          <w:shd w:val="clear" w:color="auto" w:fill="FFFFFF"/>
          <w:lang w:val="en-US" w:eastAsia="es-ES"/>
        </w:rPr>
        <w:t>alleged by the victim</w:t>
      </w:r>
      <w:r w:rsidR="00713B50" w:rsidRPr="00B24750">
        <w:rPr>
          <w:rFonts w:asciiTheme="majorHAnsi" w:eastAsia="Times New Roman" w:hAnsiTheme="majorHAnsi" w:cs="Cambria"/>
          <w:color w:val="000000"/>
          <w:sz w:val="20"/>
          <w:szCs w:val="20"/>
          <w:u w:color="000000"/>
          <w:bdr w:val="none" w:sz="0" w:space="0" w:color="auto"/>
          <w:shd w:val="clear" w:color="auto" w:fill="FFFFFF"/>
          <w:lang w:val="en-US" w:eastAsia="es-ES"/>
        </w:rPr>
        <w:t>.</w:t>
      </w:r>
    </w:p>
    <w:p w14:paraId="37C3B0E6"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shd w:val="clear" w:color="auto" w:fill="FFFFFF"/>
          <w:lang w:val="en-US" w:eastAsia="es-ES"/>
        </w:rPr>
      </w:pPr>
    </w:p>
    <w:p w14:paraId="6966321B" w14:textId="3AA8318B" w:rsidR="00713B50" w:rsidRPr="00DE70F0" w:rsidRDefault="00195D1E" w:rsidP="00F66452">
      <w:pPr>
        <w:pStyle w:val="ListParagraph"/>
        <w:numPr>
          <w:ilvl w:val="0"/>
          <w:numId w:val="55"/>
        </w:numPr>
        <w:ind w:firstLine="0"/>
        <w:jc w:val="both"/>
        <w:rPr>
          <w:rFonts w:eastAsia="Times New Roman" w:cs="Tahoma"/>
          <w:iCs/>
          <w:color w:val="222222"/>
          <w:sz w:val="20"/>
          <w:szCs w:val="20"/>
          <w:shd w:val="clear" w:color="auto" w:fill="FFFFFF"/>
        </w:rPr>
      </w:pPr>
      <w:r w:rsidRPr="00195D1E">
        <w:rPr>
          <w:rFonts w:asciiTheme="majorHAnsi" w:eastAsia="Times New Roman" w:hAnsiTheme="majorHAnsi"/>
          <w:sz w:val="20"/>
          <w:szCs w:val="20"/>
          <w:bdr w:val="none" w:sz="0" w:space="0" w:color="auto"/>
          <w:shd w:val="clear" w:color="auto" w:fill="FFFFFF"/>
        </w:rPr>
        <w:t xml:space="preserve">Finally, </w:t>
      </w:r>
      <w:r>
        <w:rPr>
          <w:rFonts w:asciiTheme="majorHAnsi" w:eastAsia="Times New Roman" w:hAnsiTheme="majorHAnsi"/>
          <w:sz w:val="20"/>
          <w:szCs w:val="20"/>
          <w:bdr w:val="none" w:sz="0" w:space="0" w:color="auto"/>
          <w:shd w:val="clear" w:color="auto" w:fill="FFFFFF"/>
        </w:rPr>
        <w:t>there are</w:t>
      </w:r>
      <w:r w:rsidRPr="00195D1E">
        <w:rPr>
          <w:rFonts w:asciiTheme="majorHAnsi" w:eastAsia="Times New Roman" w:hAnsiTheme="majorHAnsi"/>
          <w:sz w:val="20"/>
          <w:szCs w:val="20"/>
          <w:bdr w:val="none" w:sz="0" w:space="0" w:color="auto"/>
          <w:shd w:val="clear" w:color="auto" w:fill="FFFFFF"/>
        </w:rPr>
        <w:t xml:space="preserve"> the requests </w:t>
      </w:r>
      <w:r>
        <w:rPr>
          <w:rFonts w:asciiTheme="majorHAnsi" w:eastAsia="Times New Roman" w:hAnsiTheme="majorHAnsi"/>
          <w:sz w:val="20"/>
          <w:szCs w:val="20"/>
          <w:bdr w:val="none" w:sz="0" w:space="0" w:color="auto"/>
          <w:shd w:val="clear" w:color="auto" w:fill="FFFFFF"/>
        </w:rPr>
        <w:t xml:space="preserve">that were </w:t>
      </w:r>
      <w:r w:rsidRPr="00195D1E">
        <w:rPr>
          <w:rFonts w:asciiTheme="majorHAnsi" w:eastAsia="Times New Roman" w:hAnsiTheme="majorHAnsi"/>
          <w:sz w:val="20"/>
          <w:szCs w:val="20"/>
          <w:bdr w:val="none" w:sz="0" w:space="0" w:color="auto"/>
          <w:shd w:val="clear" w:color="auto" w:fill="FFFFFF"/>
        </w:rPr>
        <w:t>filed with the Ministry of the Interior</w:t>
      </w:r>
      <w:r>
        <w:rPr>
          <w:rFonts w:asciiTheme="majorHAnsi" w:eastAsia="Times New Roman" w:hAnsiTheme="majorHAnsi"/>
          <w:sz w:val="20"/>
          <w:szCs w:val="20"/>
          <w:bdr w:val="none" w:sz="0" w:space="0" w:color="auto"/>
          <w:shd w:val="clear" w:color="auto" w:fill="FFFFFF"/>
        </w:rPr>
        <w:t>.</w:t>
      </w:r>
      <w:r w:rsidRPr="00195D1E">
        <w:rPr>
          <w:rFonts w:asciiTheme="majorHAnsi" w:eastAsia="Times New Roman" w:hAnsiTheme="majorHAnsi"/>
          <w:sz w:val="20"/>
          <w:szCs w:val="20"/>
          <w:bdr w:val="none" w:sz="0" w:space="0" w:color="auto"/>
          <w:shd w:val="clear" w:color="auto" w:fill="FFFFFF"/>
        </w:rPr>
        <w:t xml:space="preserve"> </w:t>
      </w:r>
      <w:r>
        <w:rPr>
          <w:rFonts w:asciiTheme="majorHAnsi" w:eastAsia="Times New Roman" w:hAnsiTheme="majorHAnsi"/>
          <w:sz w:val="20"/>
          <w:szCs w:val="20"/>
          <w:bdr w:val="none" w:sz="0" w:space="0" w:color="auto"/>
          <w:shd w:val="clear" w:color="auto" w:fill="FFFFFF"/>
        </w:rPr>
        <w:t>A</w:t>
      </w:r>
      <w:r w:rsidRPr="00195D1E">
        <w:rPr>
          <w:rFonts w:asciiTheme="majorHAnsi" w:eastAsia="Times New Roman" w:hAnsiTheme="majorHAnsi"/>
          <w:sz w:val="20"/>
          <w:szCs w:val="20"/>
          <w:bdr w:val="none" w:sz="0" w:space="0" w:color="auto"/>
          <w:shd w:val="clear" w:color="auto" w:fill="FFFFFF"/>
        </w:rPr>
        <w:t>lthough the administrative authorities called upon to adjudicate the</w:t>
      </w:r>
      <w:r>
        <w:rPr>
          <w:rFonts w:asciiTheme="majorHAnsi" w:eastAsia="Times New Roman" w:hAnsiTheme="majorHAnsi"/>
          <w:sz w:val="20"/>
          <w:szCs w:val="20"/>
          <w:bdr w:val="none" w:sz="0" w:space="0" w:color="auto"/>
          <w:shd w:val="clear" w:color="auto" w:fill="FFFFFF"/>
        </w:rPr>
        <w:t xml:space="preserve"> requests</w:t>
      </w:r>
      <w:r w:rsidRPr="00195D1E">
        <w:rPr>
          <w:rFonts w:asciiTheme="majorHAnsi" w:eastAsia="Times New Roman" w:hAnsiTheme="majorHAnsi"/>
          <w:sz w:val="20"/>
          <w:szCs w:val="20"/>
          <w:bdr w:val="none" w:sz="0" w:space="0" w:color="auto"/>
          <w:shd w:val="clear" w:color="auto" w:fill="FFFFFF"/>
        </w:rPr>
        <w:t xml:space="preserve"> are part of the ministry</w:t>
      </w:r>
      <w:r>
        <w:rPr>
          <w:rFonts w:asciiTheme="majorHAnsi" w:eastAsia="Times New Roman" w:hAnsiTheme="majorHAnsi"/>
          <w:sz w:val="20"/>
          <w:szCs w:val="20"/>
          <w:bdr w:val="none" w:sz="0" w:space="0" w:color="auto"/>
          <w:shd w:val="clear" w:color="auto" w:fill="FFFFFF"/>
        </w:rPr>
        <w:t>—</w:t>
      </w:r>
      <w:r w:rsidRPr="00195D1E">
        <w:rPr>
          <w:rFonts w:asciiTheme="majorHAnsi" w:eastAsia="Times New Roman" w:hAnsiTheme="majorHAnsi"/>
          <w:sz w:val="20"/>
          <w:szCs w:val="20"/>
          <w:bdr w:val="none" w:sz="0" w:space="0" w:color="auto"/>
          <w:shd w:val="clear" w:color="auto" w:fill="FFFFFF"/>
        </w:rPr>
        <w:t>and therefore of the executive branch</w:t>
      </w:r>
      <w:r>
        <w:rPr>
          <w:rFonts w:asciiTheme="majorHAnsi" w:eastAsia="Times New Roman" w:hAnsiTheme="majorHAnsi"/>
          <w:sz w:val="20"/>
          <w:szCs w:val="20"/>
          <w:bdr w:val="none" w:sz="0" w:space="0" w:color="auto"/>
          <w:shd w:val="clear" w:color="auto" w:fill="FFFFFF"/>
        </w:rPr>
        <w:t>—</w:t>
      </w:r>
      <w:r w:rsidRPr="00195D1E">
        <w:rPr>
          <w:rFonts w:asciiTheme="majorHAnsi" w:eastAsia="Times New Roman" w:hAnsiTheme="majorHAnsi"/>
          <w:sz w:val="20"/>
          <w:szCs w:val="20"/>
          <w:bdr w:val="none" w:sz="0" w:space="0" w:color="auto"/>
          <w:shd w:val="clear" w:color="auto" w:fill="FFFFFF"/>
        </w:rPr>
        <w:t xml:space="preserve">they must render decisions not only impartially but also </w:t>
      </w:r>
      <w:r>
        <w:rPr>
          <w:rFonts w:asciiTheme="majorHAnsi" w:eastAsia="Times New Roman" w:hAnsiTheme="majorHAnsi"/>
          <w:sz w:val="20"/>
          <w:szCs w:val="20"/>
          <w:bdr w:val="none" w:sz="0" w:space="0" w:color="auto"/>
          <w:shd w:val="clear" w:color="auto" w:fill="FFFFFF"/>
        </w:rPr>
        <w:t>based on</w:t>
      </w:r>
      <w:r w:rsidRPr="00195D1E">
        <w:rPr>
          <w:rFonts w:asciiTheme="majorHAnsi" w:eastAsia="Times New Roman" w:hAnsiTheme="majorHAnsi"/>
          <w:sz w:val="20"/>
          <w:szCs w:val="20"/>
          <w:bdr w:val="none" w:sz="0" w:space="0" w:color="auto"/>
          <w:shd w:val="clear" w:color="auto" w:fill="FFFFFF"/>
        </w:rPr>
        <w:t xml:space="preserve"> the operational independence that the State should guarantee them</w:t>
      </w:r>
      <w:r w:rsidR="00713B50" w:rsidRPr="00B24750">
        <w:rPr>
          <w:rFonts w:asciiTheme="majorHAnsi" w:eastAsia="Times New Roman" w:hAnsiTheme="majorHAnsi"/>
          <w:sz w:val="20"/>
          <w:szCs w:val="20"/>
          <w:bdr w:val="none" w:sz="0" w:space="0" w:color="auto"/>
          <w:shd w:val="clear" w:color="auto" w:fill="FFFFFF"/>
        </w:rPr>
        <w:t xml:space="preserve">. </w:t>
      </w:r>
      <w:r w:rsidR="00DE70F0">
        <w:rPr>
          <w:rFonts w:eastAsia="Times New Roman"/>
          <w:sz w:val="20"/>
          <w:szCs w:val="20"/>
          <w:bdr w:val="none" w:sz="0" w:space="0" w:color="auto"/>
          <w:shd w:val="clear" w:color="auto" w:fill="FFFFFF"/>
        </w:rPr>
        <w:t>Administrative decision-making authorities</w:t>
      </w:r>
      <w:r w:rsidR="00DE70F0" w:rsidRPr="00711C22">
        <w:rPr>
          <w:rFonts w:eastAsia="Times New Roman"/>
          <w:sz w:val="20"/>
          <w:szCs w:val="20"/>
          <w:bdr w:val="none" w:sz="0" w:space="0" w:color="auto"/>
          <w:shd w:val="clear" w:color="auto" w:fill="FFFFFF"/>
        </w:rPr>
        <w:t xml:space="preserve"> are not necessarily institutionally independent of the executive branch </w:t>
      </w:r>
      <w:r w:rsidR="00DE70F0">
        <w:rPr>
          <w:rFonts w:eastAsia="Times New Roman"/>
          <w:sz w:val="20"/>
          <w:szCs w:val="20"/>
          <w:bdr w:val="none" w:sz="0" w:space="0" w:color="auto"/>
          <w:shd w:val="clear" w:color="auto" w:fill="FFFFFF"/>
        </w:rPr>
        <w:t>(</w:t>
      </w:r>
      <w:r w:rsidR="00DE70F0" w:rsidRPr="00711C22">
        <w:rPr>
          <w:rFonts w:eastAsia="Times New Roman"/>
          <w:sz w:val="20"/>
          <w:szCs w:val="20"/>
          <w:bdr w:val="none" w:sz="0" w:space="0" w:color="auto"/>
          <w:shd w:val="clear" w:color="auto" w:fill="FFFFFF"/>
        </w:rPr>
        <w:t>on the contrary, in this case</w:t>
      </w:r>
      <w:r w:rsidR="00DE70F0">
        <w:rPr>
          <w:rFonts w:eastAsia="Times New Roman"/>
          <w:sz w:val="20"/>
          <w:szCs w:val="20"/>
          <w:bdr w:val="none" w:sz="0" w:space="0" w:color="auto"/>
          <w:shd w:val="clear" w:color="auto" w:fill="FFFFFF"/>
        </w:rPr>
        <w:t>,</w:t>
      </w:r>
      <w:r w:rsidR="00DE70F0" w:rsidRPr="00711C22">
        <w:rPr>
          <w:rFonts w:eastAsia="Times New Roman"/>
          <w:sz w:val="20"/>
          <w:szCs w:val="20"/>
          <w:bdr w:val="none" w:sz="0" w:space="0" w:color="auto"/>
          <w:shd w:val="clear" w:color="auto" w:fill="FFFFFF"/>
        </w:rPr>
        <w:t xml:space="preserve"> they are part of it</w:t>
      </w:r>
      <w:r w:rsidR="00DE70F0">
        <w:rPr>
          <w:rFonts w:eastAsia="Times New Roman"/>
          <w:sz w:val="20"/>
          <w:szCs w:val="20"/>
          <w:bdr w:val="none" w:sz="0" w:space="0" w:color="auto"/>
          <w:shd w:val="clear" w:color="auto" w:fill="FFFFFF"/>
        </w:rPr>
        <w:t>),</w:t>
      </w:r>
      <w:r w:rsidR="00DE70F0" w:rsidRPr="00711C22">
        <w:rPr>
          <w:rFonts w:eastAsia="Times New Roman"/>
          <w:sz w:val="20"/>
          <w:szCs w:val="20"/>
          <w:bdr w:val="none" w:sz="0" w:space="0" w:color="auto"/>
          <w:shd w:val="clear" w:color="auto" w:fill="FFFFFF"/>
        </w:rPr>
        <w:t xml:space="preserve"> but whenever </w:t>
      </w:r>
      <w:r w:rsidR="00DE70F0" w:rsidRPr="00711C22">
        <w:rPr>
          <w:rFonts w:eastAsia="Times New Roman"/>
          <w:sz w:val="20"/>
          <w:szCs w:val="20"/>
          <w:bdr w:val="none" w:sz="0" w:space="0" w:color="auto"/>
        </w:rPr>
        <w:t xml:space="preserve">State bodies </w:t>
      </w:r>
      <w:r w:rsidR="00DE70F0">
        <w:rPr>
          <w:rFonts w:eastAsia="Times New Roman"/>
          <w:sz w:val="20"/>
          <w:szCs w:val="20"/>
          <w:bdr w:val="none" w:sz="0" w:space="0" w:color="auto"/>
        </w:rPr>
        <w:t>make</w:t>
      </w:r>
      <w:r w:rsidR="00DE70F0" w:rsidRPr="00711C22">
        <w:rPr>
          <w:rFonts w:eastAsia="Times New Roman"/>
          <w:sz w:val="20"/>
          <w:szCs w:val="20"/>
          <w:bdr w:val="none" w:sz="0" w:space="0" w:color="auto"/>
        </w:rPr>
        <w:t xml:space="preserve"> decisions that determine the scope of </w:t>
      </w:r>
      <w:r w:rsidR="00DE70F0">
        <w:rPr>
          <w:rFonts w:eastAsia="Times New Roman"/>
          <w:sz w:val="20"/>
          <w:szCs w:val="20"/>
          <w:bdr w:val="none" w:sz="0" w:space="0" w:color="auto"/>
        </w:rPr>
        <w:t xml:space="preserve">an individual’s </w:t>
      </w:r>
      <w:r w:rsidR="00DE70F0" w:rsidRPr="00711C22">
        <w:rPr>
          <w:rFonts w:eastAsia="Times New Roman"/>
          <w:sz w:val="20"/>
          <w:szCs w:val="20"/>
          <w:bdr w:val="none" w:sz="0" w:space="0" w:color="auto"/>
        </w:rPr>
        <w:t>human rights or restrict them in an individualized administrative proc</w:t>
      </w:r>
      <w:r w:rsidR="00DE70F0">
        <w:rPr>
          <w:rFonts w:eastAsia="Times New Roman"/>
          <w:sz w:val="20"/>
          <w:szCs w:val="20"/>
          <w:bdr w:val="none" w:sz="0" w:space="0" w:color="auto"/>
        </w:rPr>
        <w:t>eeding</w:t>
      </w:r>
      <w:r w:rsidR="00DE70F0" w:rsidRPr="00711C22">
        <w:rPr>
          <w:rFonts w:eastAsia="Times New Roman"/>
          <w:sz w:val="20"/>
          <w:szCs w:val="20"/>
          <w:bdr w:val="none" w:sz="0" w:space="0" w:color="auto"/>
        </w:rPr>
        <w:t>, th</w:t>
      </w:r>
      <w:r w:rsidR="00DE70F0">
        <w:rPr>
          <w:rFonts w:eastAsia="Times New Roman"/>
          <w:sz w:val="20"/>
          <w:szCs w:val="20"/>
          <w:bdr w:val="none" w:sz="0" w:space="0" w:color="auto"/>
        </w:rPr>
        <w:t>o</w:t>
      </w:r>
      <w:r w:rsidR="00DE70F0" w:rsidRPr="00711C22">
        <w:rPr>
          <w:rFonts w:eastAsia="Times New Roman"/>
          <w:sz w:val="20"/>
          <w:szCs w:val="20"/>
          <w:bdr w:val="none" w:sz="0" w:space="0" w:color="auto"/>
        </w:rPr>
        <w:t xml:space="preserve">se authorities must comply with the guarantees </w:t>
      </w:r>
      <w:r w:rsidR="00DE70F0">
        <w:rPr>
          <w:rFonts w:eastAsia="Times New Roman"/>
          <w:sz w:val="20"/>
          <w:szCs w:val="20"/>
          <w:bdr w:val="none" w:sz="0" w:space="0" w:color="auto"/>
        </w:rPr>
        <w:t>designed</w:t>
      </w:r>
      <w:r w:rsidR="00DE70F0" w:rsidRPr="00711C22">
        <w:rPr>
          <w:rFonts w:eastAsia="Times New Roman"/>
          <w:sz w:val="20"/>
          <w:szCs w:val="20"/>
          <w:bdr w:val="none" w:sz="0" w:space="0" w:color="auto"/>
        </w:rPr>
        <w:t xml:space="preserve"> to ensure that the decision is not arbitrary</w:t>
      </w:r>
      <w:r w:rsidR="00DE70F0">
        <w:rPr>
          <w:rFonts w:eastAsia="Times New Roman"/>
          <w:sz w:val="20"/>
          <w:szCs w:val="20"/>
          <w:bdr w:val="none" w:sz="0" w:space="0" w:color="auto"/>
        </w:rPr>
        <w:t>.</w:t>
      </w:r>
      <w:r w:rsidR="00DE70F0" w:rsidRPr="00711C22">
        <w:rPr>
          <w:rFonts w:eastAsia="Times New Roman"/>
          <w:sz w:val="20"/>
          <w:szCs w:val="20"/>
          <w:bdr w:val="none" w:sz="0" w:space="0" w:color="auto"/>
          <w:vertAlign w:val="superscript"/>
        </w:rPr>
        <w:footnoteReference w:id="308"/>
      </w:r>
      <w:r w:rsidR="00DE70F0" w:rsidRPr="00711C22">
        <w:rPr>
          <w:rFonts w:eastAsia="Times New Roman"/>
          <w:sz w:val="20"/>
          <w:szCs w:val="20"/>
          <w:bdr w:val="none" w:sz="0" w:space="0" w:color="auto"/>
        </w:rPr>
        <w:t xml:space="preserve"> </w:t>
      </w:r>
      <w:r w:rsidR="00D347E2" w:rsidRPr="00D347E2">
        <w:rPr>
          <w:rFonts w:eastAsia="Times New Roman" w:cs="Tahoma"/>
          <w:iCs/>
          <w:color w:val="222222"/>
          <w:sz w:val="20"/>
          <w:szCs w:val="20"/>
          <w:shd w:val="clear" w:color="auto" w:fill="FFFFFF"/>
        </w:rPr>
        <w:t>The government</w:t>
      </w:r>
      <w:r w:rsidR="00D347E2">
        <w:rPr>
          <w:rFonts w:eastAsia="Times New Roman" w:cs="Tahoma"/>
          <w:iCs/>
          <w:color w:val="222222"/>
          <w:sz w:val="20"/>
          <w:szCs w:val="20"/>
          <w:shd w:val="clear" w:color="auto" w:fill="FFFFFF"/>
        </w:rPr>
        <w:t>’</w:t>
      </w:r>
      <w:r w:rsidR="00D347E2" w:rsidRPr="00D347E2">
        <w:rPr>
          <w:rFonts w:eastAsia="Times New Roman" w:cs="Tahoma"/>
          <w:iCs/>
          <w:color w:val="222222"/>
          <w:sz w:val="20"/>
          <w:szCs w:val="20"/>
          <w:shd w:val="clear" w:color="auto" w:fill="FFFFFF"/>
        </w:rPr>
        <w:t>s discretion has insurmountable limits, one of which is respect for human rights</w:t>
      </w:r>
      <w:r w:rsidR="00DE70F0">
        <w:rPr>
          <w:rFonts w:eastAsia="Times New Roman" w:cs="Tahoma"/>
          <w:iCs/>
          <w:color w:val="222222"/>
          <w:sz w:val="20"/>
          <w:szCs w:val="20"/>
          <w:shd w:val="clear" w:color="auto" w:fill="FFFFFF"/>
        </w:rPr>
        <w:t>.</w:t>
      </w:r>
      <w:r w:rsidR="00DE70F0" w:rsidRPr="00711C22">
        <w:rPr>
          <w:rFonts w:eastAsia="Times New Roman"/>
          <w:sz w:val="20"/>
          <w:szCs w:val="20"/>
          <w:bdr w:val="none" w:sz="0" w:space="0" w:color="auto"/>
          <w:vertAlign w:val="superscript"/>
        </w:rPr>
        <w:footnoteReference w:id="309"/>
      </w:r>
      <w:r w:rsidR="00DE70F0" w:rsidRPr="00711C22">
        <w:rPr>
          <w:rFonts w:eastAsia="Times New Roman"/>
          <w:sz w:val="20"/>
          <w:szCs w:val="20"/>
          <w:bdr w:val="none" w:sz="0" w:space="0" w:color="auto"/>
        </w:rPr>
        <w:t xml:space="preserve"> One </w:t>
      </w:r>
      <w:r w:rsidR="00D347E2">
        <w:rPr>
          <w:rFonts w:eastAsia="Times New Roman"/>
          <w:sz w:val="20"/>
          <w:szCs w:val="20"/>
          <w:bdr w:val="none" w:sz="0" w:space="0" w:color="auto"/>
        </w:rPr>
        <w:t>such</w:t>
      </w:r>
      <w:r w:rsidR="00DE70F0" w:rsidRPr="00711C22">
        <w:rPr>
          <w:rFonts w:eastAsia="Times New Roman"/>
          <w:sz w:val="20"/>
          <w:szCs w:val="20"/>
          <w:bdr w:val="none" w:sz="0" w:space="0" w:color="auto"/>
        </w:rPr>
        <w:t xml:space="preserve"> </w:t>
      </w:r>
      <w:r w:rsidR="00F83E65">
        <w:rPr>
          <w:rFonts w:eastAsia="Times New Roman"/>
          <w:sz w:val="20"/>
          <w:szCs w:val="20"/>
          <w:bdr w:val="none" w:sz="0" w:space="0" w:color="auto"/>
        </w:rPr>
        <w:t xml:space="preserve">right is the </w:t>
      </w:r>
      <w:r w:rsidR="00DE70F0" w:rsidRPr="00711C22">
        <w:rPr>
          <w:rFonts w:eastAsia="Times New Roman"/>
          <w:sz w:val="20"/>
          <w:szCs w:val="20"/>
          <w:bdr w:val="none" w:sz="0" w:space="0" w:color="auto"/>
        </w:rPr>
        <w:t>guarantee</w:t>
      </w:r>
      <w:r w:rsidR="00D347E2">
        <w:rPr>
          <w:rFonts w:eastAsia="Times New Roman"/>
          <w:sz w:val="20"/>
          <w:szCs w:val="20"/>
          <w:bdr w:val="none" w:sz="0" w:space="0" w:color="auto"/>
        </w:rPr>
        <w:t xml:space="preserve"> </w:t>
      </w:r>
      <w:r w:rsidR="00F83E65">
        <w:rPr>
          <w:rFonts w:eastAsia="Times New Roman"/>
          <w:sz w:val="20"/>
          <w:szCs w:val="20"/>
          <w:bdr w:val="none" w:sz="0" w:space="0" w:color="auto"/>
        </w:rPr>
        <w:t xml:space="preserve">of </w:t>
      </w:r>
      <w:r w:rsidR="00DE70F0" w:rsidRPr="00711C22">
        <w:rPr>
          <w:rFonts w:eastAsia="Times New Roman"/>
          <w:sz w:val="20"/>
          <w:szCs w:val="20"/>
          <w:bdr w:val="none" w:sz="0" w:space="0" w:color="auto"/>
        </w:rPr>
        <w:t>impartiality and</w:t>
      </w:r>
      <w:r w:rsidR="00CF43F6">
        <w:rPr>
          <w:rFonts w:eastAsia="Times New Roman"/>
          <w:sz w:val="20"/>
          <w:szCs w:val="20"/>
          <w:bdr w:val="none" w:sz="0" w:space="0" w:color="auto"/>
        </w:rPr>
        <w:t xml:space="preserve"> </w:t>
      </w:r>
      <w:r w:rsidR="00DE70F0" w:rsidRPr="00711C22">
        <w:rPr>
          <w:rFonts w:eastAsia="Times New Roman"/>
          <w:sz w:val="20"/>
          <w:szCs w:val="20"/>
          <w:bdr w:val="none" w:sz="0" w:space="0" w:color="auto"/>
        </w:rPr>
        <w:t xml:space="preserve">the IACHR has pointed out that </w:t>
      </w:r>
      <w:r w:rsidR="00DE70F0">
        <w:rPr>
          <w:rFonts w:eastAsia="Times New Roman"/>
          <w:sz w:val="20"/>
          <w:szCs w:val="20"/>
          <w:bdr w:val="none" w:sz="0" w:space="0" w:color="auto"/>
        </w:rPr>
        <w:t>“</w:t>
      </w:r>
      <w:r w:rsidR="00DE70F0" w:rsidRPr="00711C22">
        <w:rPr>
          <w:rFonts w:eastAsia="Times New Roman"/>
          <w:sz w:val="20"/>
          <w:szCs w:val="20"/>
          <w:bdr w:val="none" w:sz="0" w:space="0" w:color="auto"/>
        </w:rPr>
        <w:t xml:space="preserve">the guarantee of impartiality </w:t>
      </w:r>
      <w:r w:rsidR="00D347E2">
        <w:rPr>
          <w:rFonts w:eastAsia="Times New Roman"/>
          <w:sz w:val="20"/>
          <w:szCs w:val="20"/>
          <w:bdr w:val="none" w:sz="0" w:space="0" w:color="auto"/>
        </w:rPr>
        <w:t>means</w:t>
      </w:r>
      <w:r w:rsidR="00DE70F0" w:rsidRPr="00711C22">
        <w:rPr>
          <w:rFonts w:eastAsia="Times New Roman"/>
          <w:sz w:val="20"/>
          <w:szCs w:val="20"/>
          <w:bdr w:val="none" w:sz="0" w:space="0" w:color="auto"/>
        </w:rPr>
        <w:t xml:space="preserve"> that the members of the sanctioning authority </w:t>
      </w:r>
      <w:r w:rsidR="00D347E2">
        <w:rPr>
          <w:rFonts w:eastAsia="Times New Roman"/>
          <w:sz w:val="20"/>
          <w:szCs w:val="20"/>
          <w:bdr w:val="none" w:sz="0" w:space="0" w:color="auto"/>
        </w:rPr>
        <w:t>have no</w:t>
      </w:r>
      <w:r w:rsidR="00DE70F0" w:rsidRPr="00711C22">
        <w:rPr>
          <w:rFonts w:eastAsia="Times New Roman"/>
          <w:sz w:val="20"/>
          <w:szCs w:val="20"/>
          <w:bdr w:val="none" w:sz="0" w:space="0" w:color="auto"/>
        </w:rPr>
        <w:t xml:space="preserve"> direct interest, </w:t>
      </w:r>
      <w:r w:rsidR="00F83E65">
        <w:rPr>
          <w:rFonts w:eastAsia="Times New Roman"/>
          <w:sz w:val="20"/>
          <w:szCs w:val="20"/>
          <w:bdr w:val="none" w:sz="0" w:space="0" w:color="auto"/>
        </w:rPr>
        <w:t>stance</w:t>
      </w:r>
      <w:r w:rsidR="00DE70F0" w:rsidRPr="00711C22">
        <w:rPr>
          <w:rFonts w:eastAsia="Times New Roman"/>
          <w:sz w:val="20"/>
          <w:szCs w:val="20"/>
          <w:bdr w:val="none" w:sz="0" w:space="0" w:color="auto"/>
        </w:rPr>
        <w:t xml:space="preserve">, </w:t>
      </w:r>
      <w:r w:rsidR="00D347E2">
        <w:rPr>
          <w:rFonts w:eastAsia="Times New Roman"/>
          <w:sz w:val="20"/>
          <w:szCs w:val="20"/>
          <w:bdr w:val="none" w:sz="0" w:space="0" w:color="auto"/>
        </w:rPr>
        <w:t>or</w:t>
      </w:r>
      <w:r w:rsidR="00DE70F0" w:rsidRPr="00711C22">
        <w:rPr>
          <w:rFonts w:eastAsia="Times New Roman"/>
          <w:sz w:val="20"/>
          <w:szCs w:val="20"/>
          <w:bdr w:val="none" w:sz="0" w:space="0" w:color="auto"/>
        </w:rPr>
        <w:t xml:space="preserve"> preference for any of the parties</w:t>
      </w:r>
      <w:r w:rsidR="00D347E2">
        <w:rPr>
          <w:rFonts w:eastAsia="Times New Roman"/>
          <w:sz w:val="20"/>
          <w:szCs w:val="20"/>
          <w:bdr w:val="none" w:sz="0" w:space="0" w:color="auto"/>
        </w:rPr>
        <w:t>,</w:t>
      </w:r>
      <w:r w:rsidR="00DE70F0" w:rsidRPr="00711C22">
        <w:rPr>
          <w:rFonts w:eastAsia="Times New Roman"/>
          <w:sz w:val="20"/>
          <w:szCs w:val="20"/>
          <w:bdr w:val="none" w:sz="0" w:space="0" w:color="auto"/>
        </w:rPr>
        <w:t xml:space="preserve"> and that they are not involved in the </w:t>
      </w:r>
      <w:r w:rsidR="00D347E2">
        <w:rPr>
          <w:rFonts w:eastAsia="Times New Roman"/>
          <w:sz w:val="20"/>
          <w:szCs w:val="20"/>
          <w:bdr w:val="none" w:sz="0" w:space="0" w:color="auto"/>
        </w:rPr>
        <w:t>dispute</w:t>
      </w:r>
      <w:r w:rsidR="00DE70F0">
        <w:rPr>
          <w:rFonts w:eastAsia="Times New Roman"/>
          <w:sz w:val="20"/>
          <w:szCs w:val="20"/>
          <w:bdr w:val="none" w:sz="0" w:space="0" w:color="auto"/>
        </w:rPr>
        <w:t>.”</w:t>
      </w:r>
      <w:r w:rsidR="00DE70F0" w:rsidRPr="00711C22">
        <w:rPr>
          <w:bdr w:val="none" w:sz="0" w:space="0" w:color="auto"/>
          <w:vertAlign w:val="superscript"/>
        </w:rPr>
        <w:footnoteReference w:id="310"/>
      </w:r>
      <w:r w:rsidR="00DE70F0" w:rsidRPr="00711C22">
        <w:rPr>
          <w:rFonts w:eastAsia="Times New Roman"/>
          <w:sz w:val="20"/>
          <w:szCs w:val="20"/>
          <w:bdr w:val="none" w:sz="0" w:space="0" w:color="auto"/>
        </w:rPr>
        <w:t xml:space="preserve"> </w:t>
      </w:r>
      <w:r w:rsidR="00F83E65">
        <w:rPr>
          <w:rFonts w:eastAsia="Times New Roman"/>
          <w:sz w:val="20"/>
          <w:szCs w:val="20"/>
          <w:bdr w:val="none" w:sz="0" w:space="0" w:color="auto"/>
        </w:rPr>
        <w:t>The</w:t>
      </w:r>
      <w:r w:rsidR="00F83E65" w:rsidRPr="00F83E65">
        <w:rPr>
          <w:rFonts w:eastAsia="Times New Roman"/>
          <w:sz w:val="20"/>
          <w:szCs w:val="20"/>
          <w:bdr w:val="none" w:sz="0" w:space="0" w:color="auto"/>
        </w:rPr>
        <w:t xml:space="preserve"> authorities adjudicating their rights </w:t>
      </w:r>
      <w:r w:rsidR="00F83E65">
        <w:rPr>
          <w:rFonts w:eastAsia="Times New Roman"/>
          <w:sz w:val="20"/>
          <w:szCs w:val="20"/>
          <w:bdr w:val="none" w:sz="0" w:space="0" w:color="auto"/>
        </w:rPr>
        <w:t>must also be</w:t>
      </w:r>
      <w:r w:rsidR="00F83E65" w:rsidRPr="00F83E65">
        <w:rPr>
          <w:rFonts w:eastAsia="Times New Roman"/>
          <w:sz w:val="20"/>
          <w:szCs w:val="20"/>
          <w:bdr w:val="none" w:sz="0" w:space="0" w:color="auto"/>
        </w:rPr>
        <w:t xml:space="preserve"> and appear to be independent. The latter means that they are not placed under undue pressure or restrictions in the performance of their duties from within their own institution when making a particular decision</w:t>
      </w:r>
      <w:r w:rsidR="00713B50" w:rsidRPr="00DE70F0">
        <w:rPr>
          <w:rFonts w:asciiTheme="majorHAnsi" w:eastAsia="Times New Roman" w:hAnsiTheme="majorHAnsi"/>
          <w:sz w:val="20"/>
          <w:szCs w:val="20"/>
          <w:bdr w:val="none" w:sz="0" w:space="0" w:color="auto"/>
          <w:shd w:val="clear" w:color="auto" w:fill="FFFFFF"/>
        </w:rPr>
        <w:t>.</w:t>
      </w:r>
    </w:p>
    <w:p w14:paraId="109D2BC0" w14:textId="77777777" w:rsidR="00713B50" w:rsidRPr="00B24750" w:rsidRDefault="00713B50" w:rsidP="00F66452">
      <w:pPr>
        <w:pStyle w:val="ListParagraph"/>
        <w:ind w:left="0"/>
        <w:jc w:val="both"/>
        <w:rPr>
          <w:rFonts w:asciiTheme="majorHAnsi" w:eastAsia="Times New Roman" w:hAnsiTheme="majorHAnsi"/>
          <w:sz w:val="20"/>
          <w:szCs w:val="20"/>
          <w:bdr w:val="none" w:sz="0" w:space="0" w:color="auto"/>
        </w:rPr>
      </w:pPr>
    </w:p>
    <w:p w14:paraId="78A4147A" w14:textId="2EA3436D" w:rsidR="00713B50" w:rsidRPr="00B24750" w:rsidRDefault="004C1C0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shd w:val="clear" w:color="auto" w:fill="FFFFFF"/>
          <w:lang w:val="en-US" w:eastAsia="es-ES"/>
        </w:rPr>
      </w:pPr>
      <w:r w:rsidRPr="004C1C05">
        <w:rPr>
          <w:rFonts w:asciiTheme="majorHAnsi" w:eastAsia="Times New Roman" w:hAnsiTheme="majorHAnsi" w:cs="Cambria"/>
          <w:color w:val="000000"/>
          <w:sz w:val="20"/>
          <w:szCs w:val="20"/>
          <w:u w:color="000000"/>
          <w:bdr w:val="none" w:sz="0" w:space="0" w:color="auto"/>
          <w:lang w:val="en-US" w:eastAsia="es-ES"/>
        </w:rPr>
        <w:t xml:space="preserve">In the case before us, the broad discretion to grant exit permits under </w:t>
      </w:r>
      <w:r>
        <w:rPr>
          <w:rFonts w:asciiTheme="majorHAnsi" w:eastAsia="Times New Roman" w:hAnsiTheme="majorHAnsi" w:cs="Cambria"/>
          <w:color w:val="000000"/>
          <w:sz w:val="20"/>
          <w:szCs w:val="20"/>
          <w:u w:color="000000"/>
          <w:bdr w:val="none" w:sz="0" w:space="0" w:color="auto"/>
          <w:lang w:val="en-US" w:eastAsia="es-ES"/>
        </w:rPr>
        <w:t>Law on Migration (Law</w:t>
      </w:r>
      <w:r w:rsidRPr="004C1C05">
        <w:rPr>
          <w:rFonts w:asciiTheme="majorHAnsi" w:eastAsia="Times New Roman" w:hAnsiTheme="majorHAnsi" w:cs="Cambria"/>
          <w:color w:val="000000"/>
          <w:sz w:val="20"/>
          <w:szCs w:val="20"/>
          <w:u w:color="000000"/>
          <w:bdr w:val="none" w:sz="0" w:space="0" w:color="auto"/>
          <w:lang w:val="en-US" w:eastAsia="es-ES"/>
        </w:rPr>
        <w:t xml:space="preserve"> No. 1312</w:t>
      </w:r>
      <w:r>
        <w:rPr>
          <w:rFonts w:asciiTheme="majorHAnsi" w:eastAsia="Times New Roman" w:hAnsiTheme="majorHAnsi" w:cs="Cambria"/>
          <w:color w:val="000000"/>
          <w:sz w:val="20"/>
          <w:szCs w:val="20"/>
          <w:u w:color="000000"/>
          <w:bdr w:val="none" w:sz="0" w:space="0" w:color="auto"/>
          <w:lang w:val="en-US" w:eastAsia="es-ES"/>
        </w:rPr>
        <w:t>)</w:t>
      </w:r>
      <w:r w:rsidRPr="004C1C05">
        <w:rPr>
          <w:rFonts w:asciiTheme="majorHAnsi" w:eastAsia="Times New Roman" w:hAnsiTheme="majorHAnsi" w:cs="Cambria"/>
          <w:color w:val="000000"/>
          <w:sz w:val="20"/>
          <w:szCs w:val="20"/>
          <w:u w:color="000000"/>
          <w:bdr w:val="none" w:sz="0" w:space="0" w:color="auto"/>
          <w:lang w:val="en-US" w:eastAsia="es-ES"/>
        </w:rPr>
        <w:t xml:space="preserve"> further underscored the need for the authorities to make decisions based on the guarantee of </w:t>
      </w:r>
      <w:r w:rsidRPr="004C1C05">
        <w:rPr>
          <w:rFonts w:asciiTheme="majorHAnsi" w:eastAsia="Times New Roman" w:hAnsiTheme="majorHAnsi" w:cs="Cambria"/>
          <w:color w:val="000000"/>
          <w:sz w:val="20"/>
          <w:szCs w:val="20"/>
          <w:u w:color="000000"/>
          <w:bdr w:val="none" w:sz="0" w:space="0" w:color="auto"/>
          <w:lang w:val="en-US" w:eastAsia="es-ES"/>
        </w:rPr>
        <w:lastRenderedPageBreak/>
        <w:t>impartiality and independence</w:t>
      </w:r>
      <w:r w:rsidR="00713B50" w:rsidRPr="00B24750">
        <w:rPr>
          <w:rFonts w:asciiTheme="majorHAnsi" w:eastAsia="Times New Roman" w:hAnsiTheme="majorHAnsi" w:cs="Cambria"/>
          <w:color w:val="000000"/>
          <w:sz w:val="20"/>
          <w:szCs w:val="20"/>
          <w:u w:color="000000"/>
          <w:bdr w:val="none" w:sz="0" w:space="0" w:color="auto"/>
          <w:lang w:val="en-US" w:eastAsia="es-ES"/>
        </w:rPr>
        <w:t xml:space="preserve">. </w:t>
      </w:r>
      <w:r w:rsidRPr="004C1C05">
        <w:rPr>
          <w:rFonts w:asciiTheme="majorHAnsi" w:eastAsia="Times New Roman" w:hAnsiTheme="majorHAnsi" w:cs="Cambria"/>
          <w:color w:val="000000"/>
          <w:sz w:val="20"/>
          <w:szCs w:val="20"/>
          <w:u w:color="000000"/>
          <w:bdr w:val="none" w:sz="0" w:space="0" w:color="auto"/>
          <w:lang w:val="en-US" w:eastAsia="es-ES"/>
        </w:rPr>
        <w:t xml:space="preserve">However, the authorities in charge of granting </w:t>
      </w:r>
      <w:proofErr w:type="spellStart"/>
      <w:r w:rsidRPr="004C1C05">
        <w:rPr>
          <w:rFonts w:asciiTheme="majorHAnsi" w:eastAsia="Times New Roman" w:hAnsiTheme="majorHAnsi" w:cs="Cambria"/>
          <w:color w:val="000000"/>
          <w:sz w:val="20"/>
          <w:szCs w:val="20"/>
          <w:u w:color="000000"/>
          <w:bdr w:val="none" w:sz="0" w:space="0" w:color="auto"/>
          <w:lang w:val="en-US" w:eastAsia="es-ES"/>
        </w:rPr>
        <w:t>Yoani</w:t>
      </w:r>
      <w:r>
        <w:rPr>
          <w:rFonts w:asciiTheme="majorHAnsi" w:eastAsia="Times New Roman" w:hAnsiTheme="majorHAnsi" w:cs="Cambria"/>
          <w:color w:val="000000"/>
          <w:sz w:val="20"/>
          <w:szCs w:val="20"/>
          <w:u w:color="000000"/>
          <w:bdr w:val="none" w:sz="0" w:space="0" w:color="auto"/>
          <w:lang w:val="en-US" w:eastAsia="es-ES"/>
        </w:rPr>
        <w:t>’</w:t>
      </w:r>
      <w:r w:rsidRPr="004C1C05">
        <w:rPr>
          <w:rFonts w:asciiTheme="majorHAnsi" w:eastAsia="Times New Roman" w:hAnsiTheme="majorHAnsi" w:cs="Cambria"/>
          <w:color w:val="000000"/>
          <w:sz w:val="20"/>
          <w:szCs w:val="20"/>
          <w:u w:color="000000"/>
          <w:bdr w:val="none" w:sz="0" w:space="0" w:color="auto"/>
          <w:lang w:val="en-US" w:eastAsia="es-ES"/>
        </w:rPr>
        <w:t>s</w:t>
      </w:r>
      <w:proofErr w:type="spellEnd"/>
      <w:r w:rsidRPr="004C1C05">
        <w:rPr>
          <w:rFonts w:asciiTheme="majorHAnsi" w:eastAsia="Times New Roman" w:hAnsiTheme="majorHAnsi" w:cs="Cambria"/>
          <w:color w:val="000000"/>
          <w:sz w:val="20"/>
          <w:szCs w:val="20"/>
          <w:u w:color="000000"/>
          <w:bdr w:val="none" w:sz="0" w:space="0" w:color="auto"/>
          <w:lang w:val="en-US" w:eastAsia="es-ES"/>
        </w:rPr>
        <w:t xml:space="preserve"> permission to leave the country not only denied it 20 times, but also never provided her with an explanation of the factual and legal reasons for the denial, even though she filed two </w:t>
      </w:r>
      <w:r w:rsidR="00CF43F6">
        <w:rPr>
          <w:rFonts w:asciiTheme="majorHAnsi" w:eastAsia="Times New Roman" w:hAnsiTheme="majorHAnsi" w:cs="Cambria"/>
          <w:color w:val="000000"/>
          <w:sz w:val="20"/>
          <w:szCs w:val="20"/>
          <w:u w:color="000000"/>
          <w:bdr w:val="none" w:sz="0" w:space="0" w:color="auto"/>
          <w:lang w:val="en-US" w:eastAsia="es-ES"/>
        </w:rPr>
        <w:t>requests</w:t>
      </w:r>
      <w:r w:rsidR="00D9737E">
        <w:rPr>
          <w:rFonts w:asciiTheme="majorHAnsi" w:eastAsia="Times New Roman" w:hAnsiTheme="majorHAnsi" w:cs="Cambria"/>
          <w:color w:val="000000"/>
          <w:sz w:val="20"/>
          <w:szCs w:val="20"/>
          <w:u w:color="000000"/>
          <w:bdr w:val="none" w:sz="0" w:space="0" w:color="auto"/>
          <w:lang w:val="en-US" w:eastAsia="es-ES"/>
        </w:rPr>
        <w:t xml:space="preserve"> in this regard</w:t>
      </w:r>
      <w:r w:rsidR="00713B50" w:rsidRPr="00B24750">
        <w:rPr>
          <w:rFonts w:asciiTheme="majorHAnsi" w:eastAsia="Times New Roman" w:hAnsiTheme="majorHAnsi" w:cs="Cambria"/>
          <w:color w:val="000000"/>
          <w:sz w:val="20"/>
          <w:szCs w:val="20"/>
          <w:u w:color="000000"/>
          <w:bdr w:val="none" w:sz="0" w:space="0" w:color="auto"/>
          <w:lang w:val="en-US" w:eastAsia="es-ES"/>
        </w:rPr>
        <w:t xml:space="preserve">. </w:t>
      </w:r>
      <w:r w:rsidRPr="004C1C05">
        <w:rPr>
          <w:rFonts w:asciiTheme="majorHAnsi" w:eastAsia="Times New Roman" w:hAnsiTheme="majorHAnsi" w:cs="Cambria"/>
          <w:color w:val="000000"/>
          <w:sz w:val="20"/>
          <w:szCs w:val="20"/>
          <w:u w:color="000000"/>
          <w:bdr w:val="none" w:sz="0" w:space="0" w:color="auto"/>
          <w:lang w:val="en-US" w:eastAsia="es-ES"/>
        </w:rPr>
        <w:t>The IACHR finds that the repeated denial of the permit, the State</w:t>
      </w:r>
      <w:r w:rsidR="00D9737E">
        <w:rPr>
          <w:rFonts w:asciiTheme="majorHAnsi" w:eastAsia="Times New Roman" w:hAnsiTheme="majorHAnsi" w:cs="Cambria"/>
          <w:color w:val="000000"/>
          <w:sz w:val="20"/>
          <w:szCs w:val="20"/>
          <w:u w:color="000000"/>
          <w:bdr w:val="none" w:sz="0" w:space="0" w:color="auto"/>
          <w:lang w:val="en-US" w:eastAsia="es-ES"/>
        </w:rPr>
        <w:t>’</w:t>
      </w:r>
      <w:r w:rsidRPr="004C1C05">
        <w:rPr>
          <w:rFonts w:asciiTheme="majorHAnsi" w:eastAsia="Times New Roman" w:hAnsiTheme="majorHAnsi" w:cs="Cambria"/>
          <w:color w:val="000000"/>
          <w:sz w:val="20"/>
          <w:szCs w:val="20"/>
          <w:u w:color="000000"/>
          <w:bdr w:val="none" w:sz="0" w:space="0" w:color="auto"/>
          <w:lang w:val="en-US" w:eastAsia="es-ES"/>
        </w:rPr>
        <w:t xml:space="preserve">s complete failure to respond, interpreted in the Cuban context and in light of the facts of this case, and the perception that </w:t>
      </w:r>
      <w:proofErr w:type="spellStart"/>
      <w:r w:rsidRPr="004C1C05">
        <w:rPr>
          <w:rFonts w:asciiTheme="majorHAnsi" w:eastAsia="Times New Roman" w:hAnsiTheme="majorHAnsi" w:cs="Cambria"/>
          <w:color w:val="000000"/>
          <w:sz w:val="20"/>
          <w:szCs w:val="20"/>
          <w:u w:color="000000"/>
          <w:bdr w:val="none" w:sz="0" w:space="0" w:color="auto"/>
          <w:lang w:val="en-US" w:eastAsia="es-ES"/>
        </w:rPr>
        <w:t>Yoani</w:t>
      </w:r>
      <w:proofErr w:type="spellEnd"/>
      <w:r w:rsidRPr="004C1C05">
        <w:rPr>
          <w:rFonts w:asciiTheme="majorHAnsi" w:eastAsia="Times New Roman" w:hAnsiTheme="majorHAnsi" w:cs="Cambria"/>
          <w:color w:val="000000"/>
          <w:sz w:val="20"/>
          <w:szCs w:val="20"/>
          <w:u w:color="000000"/>
          <w:bdr w:val="none" w:sz="0" w:space="0" w:color="auto"/>
          <w:lang w:val="en-US" w:eastAsia="es-ES"/>
        </w:rPr>
        <w:t xml:space="preserve"> Sánchez was an enemy of the Cuban people, allow it to reasonably conclude that the Ministry</w:t>
      </w:r>
      <w:r>
        <w:rPr>
          <w:rFonts w:asciiTheme="majorHAnsi" w:eastAsia="Times New Roman" w:hAnsiTheme="majorHAnsi" w:cs="Cambria"/>
          <w:color w:val="000000"/>
          <w:sz w:val="20"/>
          <w:szCs w:val="20"/>
          <w:u w:color="000000"/>
          <w:bdr w:val="none" w:sz="0" w:space="0" w:color="auto"/>
          <w:lang w:val="en-US" w:eastAsia="es-ES"/>
        </w:rPr>
        <w:t>’</w:t>
      </w:r>
      <w:r w:rsidRPr="004C1C05">
        <w:rPr>
          <w:rFonts w:asciiTheme="majorHAnsi" w:eastAsia="Times New Roman" w:hAnsiTheme="majorHAnsi" w:cs="Cambria"/>
          <w:color w:val="000000"/>
          <w:sz w:val="20"/>
          <w:szCs w:val="20"/>
          <w:u w:color="000000"/>
          <w:bdr w:val="none" w:sz="0" w:space="0" w:color="auto"/>
          <w:lang w:val="en-US" w:eastAsia="es-ES"/>
        </w:rPr>
        <w:t>s authorities also failed to act impartially and independently</w:t>
      </w:r>
      <w:r w:rsidR="00713B50" w:rsidRPr="00B24750">
        <w:rPr>
          <w:rFonts w:asciiTheme="majorHAnsi" w:eastAsia="Times New Roman" w:hAnsiTheme="majorHAnsi" w:cs="Cambria"/>
          <w:color w:val="000000"/>
          <w:sz w:val="20"/>
          <w:szCs w:val="20"/>
          <w:u w:color="000000"/>
          <w:bdr w:val="none" w:sz="0" w:space="0" w:color="auto"/>
          <w:lang w:val="en-US" w:eastAsia="es-ES"/>
        </w:rPr>
        <w:t>.</w:t>
      </w:r>
    </w:p>
    <w:p w14:paraId="49B28135"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mbria"/>
          <w:color w:val="000000"/>
          <w:sz w:val="20"/>
          <w:szCs w:val="20"/>
          <w:u w:color="000000"/>
          <w:bdr w:val="none" w:sz="0" w:space="0" w:color="auto"/>
          <w:lang w:val="en-US" w:eastAsia="es-ES"/>
        </w:rPr>
      </w:pPr>
    </w:p>
    <w:p w14:paraId="6013B5E1" w14:textId="434AE60B" w:rsidR="00713B50" w:rsidRPr="00B24750" w:rsidRDefault="00CF43F6"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Theme="majorHAnsi" w:eastAsia="Times New Roman" w:hAnsiTheme="majorHAnsi" w:cs="Cambria"/>
          <w:color w:val="000000"/>
          <w:sz w:val="20"/>
          <w:szCs w:val="20"/>
          <w:u w:color="000000"/>
          <w:bdr w:val="none" w:sz="0" w:space="0" w:color="auto"/>
          <w:lang w:val="en-US" w:eastAsia="es-ES"/>
        </w:rPr>
      </w:pPr>
      <w:r>
        <w:rPr>
          <w:rFonts w:asciiTheme="majorHAnsi" w:eastAsia="Times New Roman" w:hAnsiTheme="majorHAnsi" w:cs="Cambria"/>
          <w:color w:val="000000"/>
          <w:sz w:val="20"/>
          <w:szCs w:val="20"/>
          <w:u w:color="000000"/>
          <w:bdr w:val="none" w:sz="0" w:space="0" w:color="auto"/>
          <w:lang w:val="en-US" w:eastAsia="es-ES"/>
        </w:rPr>
        <w:t xml:space="preserve">The </w:t>
      </w:r>
      <w:r w:rsidR="007C0869" w:rsidRPr="007C0869">
        <w:rPr>
          <w:rFonts w:asciiTheme="majorHAnsi" w:eastAsia="Times New Roman" w:hAnsiTheme="majorHAnsi" w:cs="Cambria"/>
          <w:color w:val="000000"/>
          <w:sz w:val="20"/>
          <w:szCs w:val="20"/>
          <w:u w:color="000000"/>
          <w:bdr w:val="none" w:sz="0" w:space="0" w:color="auto"/>
          <w:lang w:val="en-US" w:eastAsia="es-ES"/>
        </w:rPr>
        <w:t xml:space="preserve">Commission concludes that the State has failed to investigate, prosecute, and punish the individuals responsible for the arbitrary detention and physical violence against the victim more than 11 years after the first detention and </w:t>
      </w:r>
      <w:r w:rsidR="007C0869">
        <w:rPr>
          <w:rFonts w:asciiTheme="majorHAnsi" w:eastAsia="Times New Roman" w:hAnsiTheme="majorHAnsi" w:cs="Cambria"/>
          <w:color w:val="000000"/>
          <w:sz w:val="20"/>
          <w:szCs w:val="20"/>
          <w:u w:color="000000"/>
          <w:bdr w:val="none" w:sz="0" w:space="0" w:color="auto"/>
          <w:lang w:val="en-US" w:eastAsia="es-ES"/>
        </w:rPr>
        <w:t>subsequent</w:t>
      </w:r>
      <w:r w:rsidR="007C0869" w:rsidRPr="007C0869">
        <w:rPr>
          <w:rFonts w:asciiTheme="majorHAnsi" w:eastAsia="Times New Roman" w:hAnsiTheme="majorHAnsi" w:cs="Cambria"/>
          <w:color w:val="000000"/>
          <w:sz w:val="20"/>
          <w:szCs w:val="20"/>
          <w:u w:color="000000"/>
          <w:bdr w:val="none" w:sz="0" w:space="0" w:color="auto"/>
          <w:lang w:val="en-US" w:eastAsia="es-ES"/>
        </w:rPr>
        <w:t xml:space="preserve"> complaints</w:t>
      </w:r>
      <w:r w:rsidR="00713B50" w:rsidRPr="00B24750">
        <w:rPr>
          <w:rFonts w:asciiTheme="majorHAnsi" w:eastAsia="Times New Roman" w:hAnsiTheme="majorHAnsi" w:cs="Cambria"/>
          <w:color w:val="000000"/>
          <w:sz w:val="20"/>
          <w:szCs w:val="20"/>
          <w:u w:color="000000"/>
          <w:bdr w:val="none" w:sz="0" w:space="0" w:color="auto"/>
          <w:lang w:val="en-US" w:eastAsia="es-ES"/>
        </w:rPr>
        <w:t xml:space="preserve">. </w:t>
      </w:r>
      <w:r w:rsidR="007C0869" w:rsidRPr="007C0869">
        <w:rPr>
          <w:rFonts w:asciiTheme="majorHAnsi" w:eastAsia="Times New Roman" w:hAnsiTheme="majorHAnsi" w:cs="Cambria"/>
          <w:color w:val="000000"/>
          <w:sz w:val="20"/>
          <w:szCs w:val="20"/>
          <w:u w:color="000000"/>
          <w:bdr w:val="none" w:sz="0" w:space="0" w:color="auto"/>
          <w:lang w:val="en-US" w:eastAsia="es-ES"/>
        </w:rPr>
        <w:t>In addition, the State has never answered the appeals filed by the victim challenging the prohibition against her leaving the country</w:t>
      </w:r>
      <w:r w:rsidR="00713B50" w:rsidRPr="00B24750">
        <w:rPr>
          <w:rFonts w:asciiTheme="majorHAnsi" w:eastAsia="Times New Roman" w:hAnsiTheme="majorHAnsi" w:cs="Cambria"/>
          <w:color w:val="000000"/>
          <w:sz w:val="20"/>
          <w:szCs w:val="20"/>
          <w:u w:color="000000"/>
          <w:bdr w:val="none" w:sz="0" w:space="0" w:color="auto"/>
          <w:lang w:val="en-US" w:eastAsia="es-ES"/>
        </w:rPr>
        <w:t xml:space="preserve">. </w:t>
      </w:r>
      <w:r w:rsidR="007C0869" w:rsidRPr="007C0869">
        <w:rPr>
          <w:rFonts w:asciiTheme="majorHAnsi" w:eastAsia="Times New Roman" w:hAnsiTheme="majorHAnsi" w:cs="Cambria"/>
          <w:color w:val="000000"/>
          <w:sz w:val="20"/>
          <w:szCs w:val="20"/>
          <w:u w:color="000000"/>
          <w:bdr w:val="none" w:sz="0" w:space="0" w:color="auto"/>
          <w:lang w:val="en-US" w:eastAsia="es-ES"/>
        </w:rPr>
        <w:t xml:space="preserve">Therefore, Cuba is responsible </w:t>
      </w:r>
      <w:r>
        <w:rPr>
          <w:rFonts w:asciiTheme="majorHAnsi" w:eastAsia="Times New Roman" w:hAnsiTheme="majorHAnsi" w:cs="Cambria"/>
          <w:color w:val="000000"/>
          <w:sz w:val="20"/>
          <w:szCs w:val="20"/>
          <w:u w:color="000000"/>
          <w:bdr w:val="none" w:sz="0" w:space="0" w:color="auto"/>
          <w:lang w:val="en-US" w:eastAsia="es-ES"/>
        </w:rPr>
        <w:t xml:space="preserve">for violating </w:t>
      </w:r>
      <w:r w:rsidR="007C0869" w:rsidRPr="007C0869">
        <w:rPr>
          <w:rFonts w:asciiTheme="majorHAnsi" w:eastAsia="Times New Roman" w:hAnsiTheme="majorHAnsi" w:cs="Cambria"/>
          <w:color w:val="000000"/>
          <w:sz w:val="20"/>
          <w:szCs w:val="20"/>
          <w:u w:color="000000"/>
          <w:bdr w:val="none" w:sz="0" w:space="0" w:color="auto"/>
          <w:lang w:val="en-US" w:eastAsia="es-ES"/>
        </w:rPr>
        <w:t xml:space="preserve">Articles XVIII and XXIV of the American Declaration, to the detriment of </w:t>
      </w:r>
      <w:proofErr w:type="spellStart"/>
      <w:r w:rsidR="007C0869" w:rsidRPr="007C0869">
        <w:rPr>
          <w:rFonts w:asciiTheme="majorHAnsi" w:eastAsia="Times New Roman" w:hAnsiTheme="majorHAnsi" w:cs="Cambria"/>
          <w:color w:val="000000"/>
          <w:sz w:val="20"/>
          <w:szCs w:val="20"/>
          <w:u w:color="000000"/>
          <w:bdr w:val="none" w:sz="0" w:space="0" w:color="auto"/>
          <w:lang w:val="en-US" w:eastAsia="es-ES"/>
        </w:rPr>
        <w:t>Yoani</w:t>
      </w:r>
      <w:proofErr w:type="spellEnd"/>
      <w:r w:rsidR="007C0869" w:rsidRPr="007C0869">
        <w:rPr>
          <w:rFonts w:asciiTheme="majorHAnsi" w:eastAsia="Times New Roman" w:hAnsiTheme="majorHAnsi" w:cs="Cambria"/>
          <w:color w:val="000000"/>
          <w:sz w:val="20"/>
          <w:szCs w:val="20"/>
          <w:u w:color="000000"/>
          <w:bdr w:val="none" w:sz="0" w:space="0" w:color="auto"/>
          <w:lang w:val="en-US" w:eastAsia="es-ES"/>
        </w:rPr>
        <w:t xml:space="preserve"> Sánchez</w:t>
      </w:r>
      <w:r w:rsidR="00713B50" w:rsidRPr="00B24750">
        <w:rPr>
          <w:rFonts w:asciiTheme="majorHAnsi" w:eastAsia="Times New Roman" w:hAnsiTheme="majorHAnsi" w:cs="Cambria"/>
          <w:color w:val="000000"/>
          <w:sz w:val="20"/>
          <w:szCs w:val="20"/>
          <w:u w:color="000000"/>
          <w:bdr w:val="none" w:sz="0" w:space="0" w:color="auto"/>
          <w:lang w:val="en-US" w:eastAsia="es-ES"/>
        </w:rPr>
        <w:t xml:space="preserve">. </w:t>
      </w:r>
      <w:r w:rsidR="007C0869" w:rsidRPr="007C0869">
        <w:rPr>
          <w:rFonts w:asciiTheme="majorHAnsi" w:hAnsiTheme="majorHAnsi"/>
          <w:sz w:val="20"/>
          <w:szCs w:val="20"/>
          <w:bdr w:val="none" w:sz="0" w:space="0" w:color="auto"/>
          <w:lang w:val="en-US"/>
        </w:rPr>
        <w:t xml:space="preserve">Given the violation of the guarantees of independence and impartiality by the justice authorities, and in the exercise of its competence </w:t>
      </w:r>
      <w:proofErr w:type="spellStart"/>
      <w:r w:rsidR="007C0869" w:rsidRPr="007C0869">
        <w:rPr>
          <w:rFonts w:asciiTheme="majorHAnsi" w:hAnsiTheme="majorHAnsi"/>
          <w:i/>
          <w:iCs/>
          <w:sz w:val="20"/>
          <w:szCs w:val="20"/>
          <w:bdr w:val="none" w:sz="0" w:space="0" w:color="auto"/>
          <w:lang w:val="en-US"/>
        </w:rPr>
        <w:t>iura</w:t>
      </w:r>
      <w:proofErr w:type="spellEnd"/>
      <w:r w:rsidR="007C0869" w:rsidRPr="007C0869">
        <w:rPr>
          <w:rFonts w:asciiTheme="majorHAnsi" w:hAnsiTheme="majorHAnsi"/>
          <w:i/>
          <w:iCs/>
          <w:sz w:val="20"/>
          <w:szCs w:val="20"/>
          <w:bdr w:val="none" w:sz="0" w:space="0" w:color="auto"/>
          <w:lang w:val="en-US"/>
        </w:rPr>
        <w:t xml:space="preserve"> </w:t>
      </w:r>
      <w:proofErr w:type="spellStart"/>
      <w:r w:rsidR="007C0869" w:rsidRPr="007C0869">
        <w:rPr>
          <w:rFonts w:asciiTheme="majorHAnsi" w:hAnsiTheme="majorHAnsi"/>
          <w:i/>
          <w:iCs/>
          <w:sz w:val="20"/>
          <w:szCs w:val="20"/>
          <w:bdr w:val="none" w:sz="0" w:space="0" w:color="auto"/>
          <w:lang w:val="en-US"/>
        </w:rPr>
        <w:t>novit</w:t>
      </w:r>
      <w:proofErr w:type="spellEnd"/>
      <w:r w:rsidR="007C0869" w:rsidRPr="007C0869">
        <w:rPr>
          <w:rFonts w:asciiTheme="majorHAnsi" w:hAnsiTheme="majorHAnsi"/>
          <w:i/>
          <w:iCs/>
          <w:sz w:val="20"/>
          <w:szCs w:val="20"/>
          <w:bdr w:val="none" w:sz="0" w:space="0" w:color="auto"/>
          <w:lang w:val="en-US"/>
        </w:rPr>
        <w:t xml:space="preserve"> curia</w:t>
      </w:r>
      <w:r w:rsidR="007C0869" w:rsidRPr="007C0869">
        <w:rPr>
          <w:rFonts w:asciiTheme="majorHAnsi" w:hAnsiTheme="majorHAnsi"/>
          <w:sz w:val="20"/>
          <w:szCs w:val="20"/>
          <w:bdr w:val="none" w:sz="0" w:space="0" w:color="auto"/>
          <w:lang w:val="en-US"/>
        </w:rPr>
        <w:t>, the Commission concludes that the State also violated the right to due process recognized in Article XXVI of the American Declaration to the detriment of the blogger</w:t>
      </w:r>
      <w:r w:rsidR="00713B50" w:rsidRPr="00B24750">
        <w:rPr>
          <w:rFonts w:asciiTheme="majorHAnsi" w:hAnsiTheme="majorHAnsi"/>
          <w:sz w:val="20"/>
          <w:szCs w:val="20"/>
          <w:bdr w:val="none" w:sz="0" w:space="0" w:color="auto"/>
          <w:lang w:val="en-US"/>
        </w:rPr>
        <w:t>.</w:t>
      </w:r>
    </w:p>
    <w:p w14:paraId="6F355A98"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6CE15B99" w14:textId="512D1E95" w:rsidR="00713B50" w:rsidRPr="007B681D" w:rsidRDefault="007C0869" w:rsidP="007B681D">
      <w:pPr>
        <w:pStyle w:val="Heading2"/>
      </w:pPr>
      <w:bookmarkStart w:id="40" w:name="_Toc69391736"/>
      <w:bookmarkStart w:id="41" w:name="_Toc90392489"/>
      <w:r w:rsidRPr="007B681D">
        <w:t>Right to equality before the law</w:t>
      </w:r>
      <w:r w:rsidR="00713B50" w:rsidRPr="007B681D">
        <w:t xml:space="preserve"> (</w:t>
      </w:r>
      <w:r w:rsidRPr="007B681D">
        <w:t>Article</w:t>
      </w:r>
      <w:r w:rsidR="00713B50" w:rsidRPr="007B681D">
        <w:t xml:space="preserve"> II)</w:t>
      </w:r>
      <w:bookmarkEnd w:id="40"/>
      <w:r w:rsidRPr="007B681D">
        <w:rPr>
          <w:rStyle w:val="FootnoteReference"/>
          <w:vertAlign w:val="baseline"/>
        </w:rPr>
        <w:footnoteReference w:id="311"/>
      </w:r>
      <w:bookmarkEnd w:id="41"/>
      <w:r w:rsidR="00713B50" w:rsidRPr="007B681D">
        <w:t xml:space="preserve"> </w:t>
      </w:r>
    </w:p>
    <w:p w14:paraId="1C83E975" w14:textId="77777777" w:rsidR="00713B50" w:rsidRPr="00B24750" w:rsidRDefault="00713B50" w:rsidP="00713B50">
      <w:pPr>
        <w:pStyle w:val="ListParagraph"/>
        <w:rPr>
          <w:rFonts w:asciiTheme="majorHAnsi" w:eastAsia="Times New Roman" w:hAnsiTheme="majorHAnsi"/>
          <w:sz w:val="20"/>
          <w:szCs w:val="20"/>
          <w:bdr w:val="none" w:sz="0" w:space="0" w:color="auto"/>
        </w:rPr>
      </w:pPr>
    </w:p>
    <w:p w14:paraId="0B9FDE23" w14:textId="01BAA354" w:rsidR="00713B50" w:rsidRPr="00952C52" w:rsidRDefault="00952C52"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lang w:val="en-US"/>
        </w:rPr>
      </w:pPr>
      <w:r w:rsidRPr="00711C22">
        <w:rPr>
          <w:rFonts w:ascii="Cambria" w:hAnsi="Cambria"/>
          <w:bCs/>
          <w:sz w:val="20"/>
          <w:szCs w:val="20"/>
          <w:bdr w:val="none" w:sz="0" w:space="0" w:color="auto"/>
          <w:lang w:val="en-US"/>
        </w:rPr>
        <w:t xml:space="preserve">The Commission has repeatedly </w:t>
      </w:r>
      <w:r>
        <w:rPr>
          <w:rFonts w:ascii="Cambria" w:hAnsi="Cambria"/>
          <w:bCs/>
          <w:sz w:val="20"/>
          <w:szCs w:val="20"/>
          <w:bdr w:val="none" w:sz="0" w:space="0" w:color="auto"/>
          <w:lang w:val="en-US"/>
        </w:rPr>
        <w:t>noted</w:t>
      </w:r>
      <w:r w:rsidRPr="00711C22">
        <w:rPr>
          <w:rFonts w:ascii="Cambria" w:hAnsi="Cambria"/>
          <w:bCs/>
          <w:sz w:val="20"/>
          <w:szCs w:val="20"/>
          <w:bdr w:val="none" w:sz="0" w:space="0" w:color="auto"/>
          <w:lang w:val="en-US"/>
        </w:rPr>
        <w:t xml:space="preserve"> that the right to equality and nondiscrimination, set forth in Article II, is a fundamental principle of the inter-American human rights system</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2"/>
      </w:r>
      <w:r w:rsidRPr="00711C22">
        <w:rPr>
          <w:rFonts w:ascii="Cambria" w:hAnsi="Cambria"/>
          <w:bCs/>
          <w:sz w:val="20"/>
          <w:szCs w:val="20"/>
          <w:bdr w:val="none" w:sz="0" w:space="0" w:color="auto"/>
          <w:lang w:val="en-US"/>
        </w:rPr>
        <w:t xml:space="preserve"> The principle of nondiscrimination is the </w:t>
      </w:r>
      <w:r>
        <w:rPr>
          <w:rFonts w:ascii="Cambria" w:hAnsi="Cambria"/>
          <w:bCs/>
          <w:sz w:val="20"/>
          <w:szCs w:val="20"/>
          <w:bdr w:val="none" w:sz="0" w:space="0" w:color="auto"/>
          <w:lang w:val="en-US"/>
        </w:rPr>
        <w:t>cornerstone</w:t>
      </w:r>
      <w:r w:rsidRPr="00711C22">
        <w:rPr>
          <w:rFonts w:ascii="Cambria" w:hAnsi="Cambria"/>
          <w:bCs/>
          <w:sz w:val="20"/>
          <w:szCs w:val="20"/>
          <w:bdr w:val="none" w:sz="0" w:space="0" w:color="auto"/>
          <w:lang w:val="en-US"/>
        </w:rPr>
        <w:t xml:space="preserve"> of the universal and regional systems for the protection of human rights and belongs to the sphere of </w:t>
      </w:r>
      <w:r w:rsidRPr="00711C22">
        <w:rPr>
          <w:rFonts w:ascii="Cambria" w:hAnsi="Cambria"/>
          <w:bCs/>
          <w:i/>
          <w:iCs/>
          <w:sz w:val="20"/>
          <w:szCs w:val="20"/>
          <w:bdr w:val="none" w:sz="0" w:space="0" w:color="auto"/>
          <w:lang w:val="en-US"/>
        </w:rPr>
        <w:t>jus cogens</w:t>
      </w:r>
      <w:r w:rsidRPr="00711C22">
        <w:rPr>
          <w:rFonts w:ascii="Cambria" w:hAnsi="Cambria"/>
          <w:bCs/>
          <w:sz w:val="20"/>
          <w:szCs w:val="20"/>
          <w:bdr w:val="none" w:sz="0" w:space="0" w:color="auto"/>
          <w:vertAlign w:val="superscript"/>
          <w:lang w:val="en-US"/>
        </w:rPr>
        <w:footnoteReference w:id="313"/>
      </w:r>
      <w:r w:rsidRPr="00711C22">
        <w:rPr>
          <w:rFonts w:ascii="Cambria" w:hAnsi="Cambria"/>
          <w:bCs/>
          <w:i/>
          <w:iCs/>
          <w:sz w:val="20"/>
          <w:szCs w:val="20"/>
          <w:bdr w:val="none" w:sz="0" w:space="0" w:color="auto"/>
          <w:lang w:val="en-US"/>
        </w:rPr>
        <w:t xml:space="preserve"> </w:t>
      </w:r>
      <w:r>
        <w:rPr>
          <w:rFonts w:ascii="Cambria" w:hAnsi="Cambria"/>
          <w:sz w:val="20"/>
          <w:szCs w:val="20"/>
          <w:lang w:val="en-US"/>
        </w:rPr>
        <w:t>“</w:t>
      </w:r>
      <w:r w:rsidR="000A3198" w:rsidRPr="000A3198">
        <w:rPr>
          <w:rFonts w:ascii="Cambria" w:hAnsi="Cambria"/>
          <w:sz w:val="20"/>
          <w:szCs w:val="20"/>
          <w:lang w:val="en-US"/>
        </w:rPr>
        <w:t xml:space="preserve">because the whole legal structure of national and international public order rests on it </w:t>
      </w:r>
      <w:r w:rsidR="000A3198">
        <w:rPr>
          <w:rFonts w:ascii="Cambria" w:hAnsi="Cambria"/>
          <w:sz w:val="20"/>
          <w:szCs w:val="20"/>
          <w:lang w:val="en-US"/>
        </w:rPr>
        <w:t>[…].</w:t>
      </w:r>
      <w:r w:rsidR="000A3198" w:rsidRPr="000A3198">
        <w:rPr>
          <w:rFonts w:ascii="Cambria" w:hAnsi="Cambria"/>
          <w:sz w:val="20"/>
          <w:szCs w:val="20"/>
          <w:lang w:val="en-US"/>
        </w:rPr>
        <w:t xml:space="preserve"> Nowadays, no legal act that is in conflict with this fundamental principle is acceptable, and discriminatory treatment of any person, owing to gender, race, color, language, religion or belief, political or other opinion, national, ethnic or social origin, nationality, age, economic situation, property, civil status, birth or any other status is unacceptable</w:t>
      </w:r>
      <w:r>
        <w:rPr>
          <w:rFonts w:ascii="Cambria" w:hAnsi="Cambria"/>
          <w:sz w:val="20"/>
          <w:szCs w:val="20"/>
          <w:lang w:val="en-US"/>
        </w:rPr>
        <w:t>.”</w:t>
      </w:r>
      <w:r w:rsidRPr="00711C22">
        <w:rPr>
          <w:rStyle w:val="FootnoteReference"/>
          <w:rFonts w:ascii="Cambria" w:hAnsi="Cambria"/>
          <w:sz w:val="20"/>
          <w:szCs w:val="20"/>
          <w:lang w:val="en-US"/>
        </w:rPr>
        <w:footnoteReference w:id="314"/>
      </w:r>
    </w:p>
    <w:p w14:paraId="0F1993C6"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bdr w:val="none" w:sz="0" w:space="0" w:color="auto"/>
          <w:lang w:val="en-US"/>
        </w:rPr>
      </w:pPr>
    </w:p>
    <w:p w14:paraId="6FC32259" w14:textId="3935E282" w:rsidR="004422E2" w:rsidRPr="00711C22" w:rsidRDefault="004422E2"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lang w:val="en-US"/>
        </w:rPr>
      </w:pPr>
      <w:r w:rsidRPr="00711C22">
        <w:rPr>
          <w:rFonts w:ascii="Cambria" w:hAnsi="Cambria"/>
          <w:bCs/>
          <w:sz w:val="20"/>
          <w:szCs w:val="20"/>
          <w:bdr w:val="none" w:sz="0" w:space="0" w:color="auto"/>
          <w:lang w:val="en-US"/>
        </w:rPr>
        <w:t>As with all fundamental rights and freedoms, the Commission has observed that States are not only obliged to ensure equal protection under the law</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5"/>
      </w:r>
      <w:r w:rsidRPr="00711C22">
        <w:rPr>
          <w:rFonts w:ascii="Cambria" w:hAnsi="Cambria"/>
          <w:bCs/>
          <w:sz w:val="20"/>
          <w:szCs w:val="20"/>
          <w:bdr w:val="none" w:sz="0" w:space="0" w:color="auto"/>
          <w:lang w:val="en-US"/>
        </w:rPr>
        <w:t xml:space="preserve"> but must also adopt such legislative, regulatory</w:t>
      </w:r>
      <w:r>
        <w:rPr>
          <w:rFonts w:ascii="Cambria" w:hAnsi="Cambria"/>
          <w:bCs/>
          <w:sz w:val="20"/>
          <w:szCs w:val="20"/>
          <w:bdr w:val="none" w:sz="0" w:space="0" w:color="auto"/>
          <w:lang w:val="en-US"/>
        </w:rPr>
        <w:t>,</w:t>
      </w:r>
      <w:r w:rsidRPr="00711C22">
        <w:rPr>
          <w:rFonts w:ascii="Cambria" w:hAnsi="Cambria"/>
          <w:bCs/>
          <w:sz w:val="20"/>
          <w:szCs w:val="20"/>
          <w:bdr w:val="none" w:sz="0" w:space="0" w:color="auto"/>
          <w:lang w:val="en-US"/>
        </w:rPr>
        <w:t xml:space="preserve"> and other measures as may be necessary to guarantee the effective enjoyment of the rights protected by Article II of the American Declaration</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6"/>
      </w:r>
      <w:r w:rsidRPr="00711C22">
        <w:rPr>
          <w:rFonts w:ascii="Cambria" w:hAnsi="Cambria"/>
          <w:bCs/>
          <w:sz w:val="20"/>
          <w:szCs w:val="20"/>
          <w:bdr w:val="none" w:sz="0" w:space="0" w:color="auto"/>
          <w:lang w:val="en-US"/>
        </w:rPr>
        <w:t xml:space="preserve"> </w:t>
      </w:r>
    </w:p>
    <w:p w14:paraId="2D9DD0CC"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bdr w:val="none" w:sz="0" w:space="0" w:color="auto"/>
          <w:lang w:val="en-US"/>
        </w:rPr>
      </w:pPr>
    </w:p>
    <w:p w14:paraId="530065DA" w14:textId="7C36BBA6" w:rsidR="004422E2" w:rsidRPr="00711C22" w:rsidRDefault="004422E2"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lang w:val="en-US"/>
        </w:rPr>
      </w:pPr>
      <w:r w:rsidRPr="00711C22">
        <w:rPr>
          <w:rFonts w:ascii="Cambria" w:hAnsi="Cambria"/>
          <w:bCs/>
          <w:sz w:val="20"/>
          <w:szCs w:val="20"/>
          <w:bdr w:val="none" w:sz="0" w:space="0" w:color="auto"/>
          <w:lang w:val="en-US"/>
        </w:rPr>
        <w:t xml:space="preserve">The concept of equality formulated in the American Declaration refers to the </w:t>
      </w:r>
      <w:r w:rsidRPr="004422E2">
        <w:rPr>
          <w:rFonts w:ascii="Cambria" w:hAnsi="Cambria"/>
          <w:bCs/>
          <w:sz w:val="20"/>
          <w:szCs w:val="20"/>
          <w:bdr w:val="none" w:sz="0" w:space="0" w:color="auto"/>
          <w:lang w:val="en-US"/>
        </w:rPr>
        <w:t>application of substantive rights and to the protection to be given to them in the case of acts by the State or others</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7"/>
      </w:r>
      <w:r w:rsidRPr="00711C22">
        <w:rPr>
          <w:rFonts w:ascii="Cambria" w:hAnsi="Cambria"/>
          <w:bCs/>
          <w:sz w:val="20"/>
          <w:szCs w:val="20"/>
          <w:bdr w:val="none" w:sz="0" w:space="0" w:color="auto"/>
          <w:lang w:val="en-US"/>
        </w:rPr>
        <w:t xml:space="preserve"> The Commission has clarified that the right to equality before the law does not necessarily mean that the substantive provisions of the law are the same for all, but that the law must be applied equally to all without discrimination</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8"/>
      </w:r>
      <w:r w:rsidRPr="00711C22">
        <w:rPr>
          <w:rFonts w:ascii="Cambria" w:hAnsi="Cambria"/>
          <w:bCs/>
          <w:sz w:val="20"/>
          <w:szCs w:val="20"/>
          <w:bdr w:val="none" w:sz="0" w:space="0" w:color="auto"/>
          <w:lang w:val="en-US"/>
        </w:rPr>
        <w:t xml:space="preserve"> </w:t>
      </w:r>
      <w:r w:rsidR="00F06E57" w:rsidRPr="00F06E57">
        <w:rPr>
          <w:rFonts w:ascii="Cambria" w:hAnsi="Cambria"/>
          <w:bCs/>
          <w:sz w:val="20"/>
          <w:szCs w:val="20"/>
          <w:bdr w:val="none" w:sz="0" w:space="0" w:color="auto"/>
          <w:lang w:val="en-US"/>
        </w:rPr>
        <w:t xml:space="preserve">In practice, this means that States have the obligation to take the necessary measures to recognize and guarantee </w:t>
      </w:r>
      <w:r w:rsidR="00F06E57" w:rsidRPr="00F06E57">
        <w:rPr>
          <w:rFonts w:ascii="Cambria" w:hAnsi="Cambria"/>
          <w:bCs/>
          <w:sz w:val="20"/>
          <w:szCs w:val="20"/>
          <w:bdr w:val="none" w:sz="0" w:space="0" w:color="auto"/>
          <w:lang w:val="en-US"/>
        </w:rPr>
        <w:lastRenderedPageBreak/>
        <w:t xml:space="preserve">the effective equality of all persons before the law, </w:t>
      </w:r>
      <w:r w:rsidR="00CF43F6">
        <w:rPr>
          <w:rFonts w:ascii="Cambria" w:hAnsi="Cambria"/>
          <w:bCs/>
          <w:sz w:val="20"/>
          <w:szCs w:val="20"/>
          <w:bdr w:val="none" w:sz="0" w:space="0" w:color="auto"/>
          <w:lang w:val="en-US"/>
        </w:rPr>
        <w:t xml:space="preserve">to not enact </w:t>
      </w:r>
      <w:r w:rsidR="00F06E57" w:rsidRPr="00F06E57">
        <w:rPr>
          <w:rFonts w:ascii="Cambria" w:hAnsi="Cambria"/>
          <w:bCs/>
          <w:sz w:val="20"/>
          <w:szCs w:val="20"/>
          <w:bdr w:val="none" w:sz="0" w:space="0" w:color="auto"/>
          <w:lang w:val="en-US"/>
        </w:rPr>
        <w:t>legal provisions that discriminate</w:t>
      </w:r>
      <w:r w:rsidR="00F06E57" w:rsidRPr="00F06E57">
        <w:rPr>
          <w:rFonts w:ascii="Cambria" w:hAnsi="Cambria"/>
          <w:bCs/>
          <w:i/>
          <w:iCs/>
          <w:sz w:val="20"/>
          <w:szCs w:val="20"/>
          <w:bdr w:val="none" w:sz="0" w:space="0" w:color="auto"/>
          <w:lang w:val="en-US"/>
        </w:rPr>
        <w:t xml:space="preserve"> de jure</w:t>
      </w:r>
      <w:r w:rsidR="00F06E57" w:rsidRPr="00F06E57">
        <w:rPr>
          <w:rFonts w:ascii="Cambria" w:hAnsi="Cambria"/>
          <w:bCs/>
          <w:sz w:val="20"/>
          <w:szCs w:val="20"/>
          <w:bdr w:val="none" w:sz="0" w:space="0" w:color="auto"/>
          <w:lang w:val="en-US"/>
        </w:rPr>
        <w:t xml:space="preserve"> or </w:t>
      </w:r>
      <w:r w:rsidR="00F06E57" w:rsidRPr="00F06E57">
        <w:rPr>
          <w:rFonts w:ascii="Cambria" w:hAnsi="Cambria"/>
          <w:bCs/>
          <w:i/>
          <w:iCs/>
          <w:sz w:val="20"/>
          <w:szCs w:val="20"/>
          <w:bdr w:val="none" w:sz="0" w:space="0" w:color="auto"/>
          <w:lang w:val="en-US"/>
        </w:rPr>
        <w:t>de facto</w:t>
      </w:r>
      <w:r w:rsidR="00F06E57" w:rsidRPr="00F06E57">
        <w:rPr>
          <w:rFonts w:ascii="Cambria" w:hAnsi="Cambria"/>
          <w:bCs/>
          <w:sz w:val="20"/>
          <w:szCs w:val="20"/>
          <w:bdr w:val="none" w:sz="0" w:space="0" w:color="auto"/>
          <w:lang w:val="en-US"/>
        </w:rPr>
        <w:t xml:space="preserve"> against certain groups, and to combat discriminatory practices</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19"/>
      </w:r>
    </w:p>
    <w:p w14:paraId="7003A2EE"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bdr w:val="none" w:sz="0" w:space="0" w:color="auto"/>
          <w:lang w:val="en-US"/>
        </w:rPr>
      </w:pPr>
    </w:p>
    <w:p w14:paraId="23B29918" w14:textId="5AC9C77D" w:rsidR="000E0793" w:rsidRPr="00711C22" w:rsidRDefault="000E0793"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Cambria" w:hAnsi="Cambria"/>
          <w:bCs/>
          <w:sz w:val="20"/>
          <w:szCs w:val="20"/>
          <w:bdr w:val="none" w:sz="0" w:space="0" w:color="auto"/>
          <w:lang w:val="en-US"/>
        </w:rPr>
      </w:pPr>
      <w:r w:rsidRPr="00711C22">
        <w:rPr>
          <w:rFonts w:ascii="Cambria" w:hAnsi="Cambria"/>
          <w:bCs/>
          <w:sz w:val="20"/>
          <w:szCs w:val="20"/>
          <w:bdr w:val="none" w:sz="0" w:space="0" w:color="auto"/>
          <w:lang w:val="en-US"/>
        </w:rPr>
        <w:t xml:space="preserve">The Commission has recognized that, although Article II does not prohibit all differences in treatment in the enjoyment of protected rights and freedoms, it requires that </w:t>
      </w:r>
      <w:r w:rsidR="00C533F4" w:rsidRPr="00C533F4">
        <w:rPr>
          <w:rFonts w:ascii="Cambria" w:hAnsi="Cambria"/>
          <w:bCs/>
          <w:sz w:val="20"/>
          <w:szCs w:val="20"/>
          <w:bdr w:val="none" w:sz="0" w:space="0" w:color="auto"/>
          <w:lang w:val="en-US"/>
        </w:rPr>
        <w:t xml:space="preserve">any permissible distinctions be based upon objective and reasonable justification, that they further a legitimate objective, </w:t>
      </w:r>
      <w:r w:rsidR="003F799D">
        <w:rPr>
          <w:rFonts w:ascii="Cambria" w:hAnsi="Cambria"/>
          <w:bCs/>
          <w:sz w:val="20"/>
          <w:szCs w:val="20"/>
          <w:bdr w:val="none" w:sz="0" w:space="0" w:color="auto"/>
          <w:lang w:val="en-US"/>
        </w:rPr>
        <w:t>“</w:t>
      </w:r>
      <w:r w:rsidR="00C533F4" w:rsidRPr="00C533F4">
        <w:rPr>
          <w:rFonts w:ascii="Cambria" w:hAnsi="Cambria"/>
          <w:bCs/>
          <w:sz w:val="20"/>
          <w:szCs w:val="20"/>
          <w:bdr w:val="none" w:sz="0" w:space="0" w:color="auto"/>
          <w:lang w:val="en-US"/>
        </w:rPr>
        <w:t>regard being had to the principles which normally prevail in democratic societies, and that the means are reasonable and proportionate to the end sought</w:t>
      </w:r>
      <w:r>
        <w:rPr>
          <w:rFonts w:ascii="Cambria" w:hAnsi="Cambria"/>
          <w:bCs/>
          <w:sz w:val="20"/>
          <w:szCs w:val="20"/>
          <w:bdr w:val="none" w:sz="0" w:space="0" w:color="auto"/>
          <w:lang w:val="en-US"/>
        </w:rPr>
        <w:t>.”</w:t>
      </w:r>
      <w:r w:rsidRPr="00711C22">
        <w:rPr>
          <w:rFonts w:ascii="Cambria" w:hAnsi="Cambria"/>
          <w:bCs/>
          <w:sz w:val="20"/>
          <w:szCs w:val="20"/>
          <w:bdr w:val="none" w:sz="0" w:space="0" w:color="auto"/>
          <w:vertAlign w:val="superscript"/>
          <w:lang w:val="en-US"/>
        </w:rPr>
        <w:footnoteReference w:id="320"/>
      </w:r>
      <w:r w:rsidRPr="00711C22">
        <w:rPr>
          <w:rFonts w:ascii="Cambria" w:hAnsi="Cambria"/>
          <w:bCs/>
          <w:sz w:val="20"/>
          <w:szCs w:val="20"/>
          <w:bdr w:val="none" w:sz="0" w:space="0" w:color="auto"/>
          <w:lang w:val="en-US"/>
        </w:rPr>
        <w:t xml:space="preserve"> </w:t>
      </w:r>
    </w:p>
    <w:p w14:paraId="30A76BFE" w14:textId="77777777" w:rsidR="00713B50" w:rsidRPr="00B2475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cs="Cambria"/>
          <w:bCs/>
          <w:color w:val="000000"/>
          <w:sz w:val="20"/>
          <w:szCs w:val="20"/>
          <w:u w:color="000000"/>
          <w:bdr w:val="none" w:sz="0" w:space="0" w:color="auto"/>
          <w:lang w:val="en-US" w:eastAsia="es-ES"/>
        </w:rPr>
      </w:pPr>
    </w:p>
    <w:p w14:paraId="21E6CDD6" w14:textId="1C48CCF7" w:rsidR="00713B50" w:rsidRPr="00B24750" w:rsidRDefault="000E758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hAnsiTheme="majorHAnsi"/>
          <w:bCs/>
          <w:sz w:val="20"/>
          <w:szCs w:val="20"/>
          <w:bdr w:val="none" w:sz="0" w:space="0" w:color="auto"/>
          <w:lang w:val="en-US"/>
        </w:rPr>
      </w:pPr>
      <w:r w:rsidRPr="00711C22">
        <w:rPr>
          <w:rFonts w:ascii="Cambria" w:hAnsi="Cambria"/>
          <w:bCs/>
          <w:sz w:val="20"/>
          <w:szCs w:val="20"/>
          <w:bdr w:val="none" w:sz="0" w:space="0" w:color="auto"/>
          <w:lang w:val="en-US"/>
        </w:rPr>
        <w:t xml:space="preserve">The Commission also </w:t>
      </w:r>
      <w:r>
        <w:rPr>
          <w:rFonts w:ascii="Cambria" w:hAnsi="Cambria"/>
          <w:bCs/>
          <w:sz w:val="20"/>
          <w:szCs w:val="20"/>
          <w:bdr w:val="none" w:sz="0" w:space="0" w:color="auto"/>
          <w:lang w:val="en-US"/>
        </w:rPr>
        <w:t>takes account of</w:t>
      </w:r>
      <w:r w:rsidRPr="00711C22">
        <w:rPr>
          <w:rFonts w:ascii="Cambria" w:hAnsi="Cambria"/>
          <w:bCs/>
          <w:sz w:val="20"/>
          <w:szCs w:val="20"/>
          <w:bdr w:val="none" w:sz="0" w:space="0" w:color="auto"/>
          <w:lang w:val="en-US"/>
        </w:rPr>
        <w:t xml:space="preserve"> the evolution of standards in </w:t>
      </w:r>
      <w:r w:rsidR="00D9737E">
        <w:rPr>
          <w:rFonts w:ascii="Cambria" w:hAnsi="Cambria"/>
          <w:bCs/>
          <w:sz w:val="20"/>
          <w:szCs w:val="20"/>
          <w:bdr w:val="none" w:sz="0" w:space="0" w:color="auto"/>
          <w:lang w:val="en-US"/>
        </w:rPr>
        <w:t xml:space="preserve">the area of </w:t>
      </w:r>
      <w:r w:rsidRPr="00711C22">
        <w:rPr>
          <w:rFonts w:ascii="Cambria" w:hAnsi="Cambria"/>
          <w:bCs/>
          <w:sz w:val="20"/>
          <w:szCs w:val="20"/>
          <w:bdr w:val="none" w:sz="0" w:space="0" w:color="auto"/>
          <w:lang w:val="en-US"/>
        </w:rPr>
        <w:t xml:space="preserve">discrimination and considers that what the Human Rights Committee has said in relation to the International Covenant on Civil and Political Rights </w:t>
      </w:r>
      <w:r w:rsidR="00CF43F6">
        <w:rPr>
          <w:rFonts w:ascii="Cambria" w:hAnsi="Cambria"/>
          <w:bCs/>
          <w:sz w:val="20"/>
          <w:szCs w:val="20"/>
          <w:bdr w:val="none" w:sz="0" w:space="0" w:color="auto"/>
          <w:lang w:val="en-US"/>
        </w:rPr>
        <w:t xml:space="preserve">equally applies in </w:t>
      </w:r>
      <w:r w:rsidRPr="00711C22">
        <w:rPr>
          <w:rFonts w:ascii="Cambria" w:hAnsi="Cambria"/>
          <w:bCs/>
          <w:sz w:val="20"/>
          <w:szCs w:val="20"/>
          <w:bdr w:val="none" w:sz="0" w:space="0" w:color="auto"/>
          <w:lang w:val="en-US"/>
        </w:rPr>
        <w:t xml:space="preserve">the </w:t>
      </w:r>
      <w:r>
        <w:rPr>
          <w:rFonts w:ascii="Cambria" w:hAnsi="Cambria"/>
          <w:bCs/>
          <w:sz w:val="20"/>
          <w:szCs w:val="20"/>
          <w:bdr w:val="none" w:sz="0" w:space="0" w:color="auto"/>
          <w:lang w:val="en-US"/>
        </w:rPr>
        <w:t>i</w:t>
      </w:r>
      <w:r w:rsidRPr="00711C22">
        <w:rPr>
          <w:rFonts w:ascii="Cambria" w:hAnsi="Cambria"/>
          <w:bCs/>
          <w:sz w:val="20"/>
          <w:szCs w:val="20"/>
          <w:bdr w:val="none" w:sz="0" w:space="0" w:color="auto"/>
          <w:lang w:val="en-US"/>
        </w:rPr>
        <w:t>nter-American system</w:t>
      </w:r>
      <w:r w:rsidR="00713B50" w:rsidRPr="00B24750">
        <w:rPr>
          <w:rFonts w:asciiTheme="majorHAnsi" w:hAnsiTheme="majorHAnsi"/>
          <w:bCs/>
          <w:sz w:val="20"/>
          <w:szCs w:val="20"/>
          <w:bdr w:val="none" w:sz="0" w:space="0" w:color="auto"/>
          <w:lang w:val="en-US"/>
        </w:rPr>
        <w:t>:</w:t>
      </w:r>
    </w:p>
    <w:p w14:paraId="2E734710"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Pr>
          <w:rFonts w:asciiTheme="majorHAnsi" w:eastAsia="Times New Roman" w:hAnsiTheme="majorHAnsi" w:cs="Cambria"/>
          <w:bCs/>
          <w:color w:val="000000"/>
          <w:sz w:val="20"/>
          <w:szCs w:val="20"/>
          <w:u w:color="000000"/>
          <w:bdr w:val="none" w:sz="0" w:space="0" w:color="auto"/>
          <w:lang w:val="en-US" w:eastAsia="es-ES"/>
        </w:rPr>
      </w:pPr>
    </w:p>
    <w:p w14:paraId="1779ECC2" w14:textId="6C75ADE7" w:rsidR="00713B50" w:rsidRPr="00B24750" w:rsidRDefault="000E758A" w:rsidP="00713B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864"/>
        <w:jc w:val="both"/>
        <w:rPr>
          <w:rFonts w:asciiTheme="majorHAnsi" w:hAnsiTheme="majorHAnsi"/>
          <w:bCs/>
          <w:sz w:val="18"/>
          <w:szCs w:val="18"/>
          <w:bdr w:val="none" w:sz="0" w:space="0" w:color="auto"/>
          <w:lang w:val="en-US"/>
        </w:rPr>
      </w:pPr>
      <w:r w:rsidRPr="000E758A">
        <w:rPr>
          <w:rFonts w:asciiTheme="majorHAnsi" w:hAnsiTheme="majorHAnsi"/>
          <w:bCs/>
          <w:sz w:val="18"/>
          <w:szCs w:val="18"/>
          <w:bdr w:val="none" w:sz="0" w:space="0" w:color="auto"/>
          <w:lang w:val="en-US"/>
        </w:rPr>
        <w:t xml:space="preserve">the Committee believes that the term </w:t>
      </w:r>
      <w:r>
        <w:rPr>
          <w:rFonts w:asciiTheme="majorHAnsi" w:hAnsiTheme="majorHAnsi"/>
          <w:bCs/>
          <w:sz w:val="18"/>
          <w:szCs w:val="18"/>
          <w:bdr w:val="none" w:sz="0" w:space="0" w:color="auto"/>
          <w:lang w:val="en-US"/>
        </w:rPr>
        <w:t>“</w:t>
      </w:r>
      <w:r w:rsidRPr="000E758A">
        <w:rPr>
          <w:rFonts w:asciiTheme="majorHAnsi" w:hAnsiTheme="majorHAnsi"/>
          <w:bCs/>
          <w:sz w:val="18"/>
          <w:szCs w:val="18"/>
          <w:bdr w:val="none" w:sz="0" w:space="0" w:color="auto"/>
          <w:lang w:val="en-US"/>
        </w:rPr>
        <w:t>discrimination</w:t>
      </w:r>
      <w:r>
        <w:rPr>
          <w:rFonts w:asciiTheme="majorHAnsi" w:hAnsiTheme="majorHAnsi"/>
          <w:bCs/>
          <w:sz w:val="18"/>
          <w:szCs w:val="18"/>
          <w:bdr w:val="none" w:sz="0" w:space="0" w:color="auto"/>
          <w:lang w:val="en-US"/>
        </w:rPr>
        <w:t>”</w:t>
      </w:r>
      <w:r w:rsidRPr="000E758A">
        <w:rPr>
          <w:rFonts w:asciiTheme="majorHAnsi" w:hAnsiTheme="majorHAnsi"/>
          <w:bCs/>
          <w:sz w:val="18"/>
          <w:szCs w:val="18"/>
          <w:bdr w:val="none" w:sz="0" w:space="0" w:color="auto"/>
          <w:lang w:val="en-US"/>
        </w:rPr>
        <w:t xml:space="preserve"> as used in the Covenant should be understood to imply any distinction, exclusion, restriction or preference which is based on any ground such as race, </w:t>
      </w:r>
      <w:proofErr w:type="spellStart"/>
      <w:r w:rsidRPr="000E758A">
        <w:rPr>
          <w:rFonts w:asciiTheme="majorHAnsi" w:hAnsiTheme="majorHAnsi"/>
          <w:bCs/>
          <w:sz w:val="18"/>
          <w:szCs w:val="18"/>
          <w:bdr w:val="none" w:sz="0" w:space="0" w:color="auto"/>
          <w:lang w:val="en-US"/>
        </w:rPr>
        <w:t>colour</w:t>
      </w:r>
      <w:proofErr w:type="spellEnd"/>
      <w:r w:rsidRPr="000E758A">
        <w:rPr>
          <w:rFonts w:asciiTheme="majorHAnsi" w:hAnsiTheme="majorHAnsi"/>
          <w:bCs/>
          <w:sz w:val="18"/>
          <w:szCs w:val="18"/>
          <w:bdr w:val="none" w:sz="0" w:space="0" w:color="auto"/>
          <w:lang w:val="en-US"/>
        </w:rPr>
        <w:t>, sex, language, religion, political or other opinion, national or social origin, property, birth or other status, and which has the purpose or effect of nullifying or impairing the recognition, enjoyment or exercise by all persons, on an equal footing, of all rights and freedo</w:t>
      </w:r>
      <w:r>
        <w:rPr>
          <w:rFonts w:asciiTheme="majorHAnsi" w:hAnsiTheme="majorHAnsi"/>
          <w:bCs/>
          <w:sz w:val="18"/>
          <w:szCs w:val="18"/>
          <w:bdr w:val="none" w:sz="0" w:space="0" w:color="auto"/>
          <w:lang w:val="en-US"/>
        </w:rPr>
        <w:t>ms.</w:t>
      </w:r>
      <w:r w:rsidRPr="00711C22">
        <w:rPr>
          <w:rFonts w:ascii="Cambria" w:hAnsi="Cambria"/>
          <w:bCs/>
          <w:sz w:val="18"/>
          <w:szCs w:val="18"/>
          <w:bdr w:val="none" w:sz="0" w:space="0" w:color="auto"/>
          <w:vertAlign w:val="superscript"/>
          <w:lang w:val="en-US"/>
        </w:rPr>
        <w:footnoteReference w:id="321"/>
      </w:r>
    </w:p>
    <w:p w14:paraId="3B7C8DF1" w14:textId="77777777" w:rsidR="00713B50" w:rsidRPr="00B2475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Theme="majorHAnsi" w:hAnsiTheme="majorHAnsi"/>
          <w:bCs/>
          <w:sz w:val="20"/>
          <w:szCs w:val="20"/>
          <w:bdr w:val="none" w:sz="0" w:space="0" w:color="auto"/>
          <w:lang w:val="en-US"/>
        </w:rPr>
      </w:pPr>
    </w:p>
    <w:p w14:paraId="22B7799F" w14:textId="39FD544C" w:rsidR="00821FED" w:rsidRPr="00A85449" w:rsidRDefault="00821FED" w:rsidP="00F66452">
      <w:pPr>
        <w:pStyle w:val="ListParagraph"/>
        <w:numPr>
          <w:ilvl w:val="0"/>
          <w:numId w:val="55"/>
        </w:numPr>
        <w:ind w:firstLine="0"/>
        <w:jc w:val="both"/>
        <w:rPr>
          <w:rFonts w:eastAsia="Times New Roman" w:cs="Times New Roman"/>
          <w:bCs/>
          <w:color w:val="auto"/>
          <w:sz w:val="20"/>
          <w:szCs w:val="20"/>
          <w:bdr w:val="none" w:sz="0" w:space="0" w:color="auto"/>
          <w:lang w:eastAsia="en-US"/>
        </w:rPr>
      </w:pPr>
      <w:r w:rsidRPr="00800E74">
        <w:rPr>
          <w:rFonts w:eastAsia="Times New Roman"/>
          <w:bCs/>
          <w:sz w:val="20"/>
          <w:szCs w:val="20"/>
          <w:bdr w:val="none" w:sz="0" w:space="0" w:color="auto"/>
        </w:rPr>
        <w:t xml:space="preserve">The IACHR has </w:t>
      </w:r>
      <w:r w:rsidR="00800E74" w:rsidRPr="00800E74">
        <w:rPr>
          <w:rFonts w:eastAsia="Times New Roman"/>
          <w:bCs/>
          <w:sz w:val="20"/>
          <w:szCs w:val="20"/>
          <w:bdr w:val="none" w:sz="0" w:space="0" w:color="auto"/>
        </w:rPr>
        <w:t>previously noted</w:t>
      </w:r>
      <w:r w:rsidRPr="00800E74">
        <w:rPr>
          <w:rFonts w:eastAsia="Times New Roman"/>
          <w:bCs/>
          <w:sz w:val="20"/>
          <w:szCs w:val="20"/>
          <w:bdr w:val="none" w:sz="0" w:space="0" w:color="auto"/>
        </w:rPr>
        <w:t xml:space="preserve"> that </w:t>
      </w:r>
      <w:r w:rsidRPr="00800E74">
        <w:rPr>
          <w:rFonts w:eastAsia="Times New Roman"/>
          <w:sz w:val="20"/>
          <w:szCs w:val="20"/>
          <w:bdr w:val="none" w:sz="0" w:space="0" w:color="auto"/>
        </w:rPr>
        <w:t>in Cuba there is</w:t>
      </w:r>
      <w:r w:rsidR="00800E74" w:rsidRPr="00800E74">
        <w:rPr>
          <w:rFonts w:eastAsia="Times New Roman"/>
          <w:sz w:val="20"/>
          <w:szCs w:val="20"/>
          <w:bdr w:val="none" w:sz="0" w:space="0" w:color="auto"/>
        </w:rPr>
        <w:t xml:space="preserve"> a </w:t>
      </w:r>
      <w:r w:rsidR="00800E74" w:rsidRPr="00800E74">
        <w:rPr>
          <w:rFonts w:eastAsia="Times New Roman"/>
          <w:bCs/>
          <w:sz w:val="20"/>
          <w:szCs w:val="20"/>
          <w:bdr w:val="none" w:sz="0" w:space="0" w:color="auto"/>
        </w:rPr>
        <w:t>grave situation of politically motivated</w:t>
      </w:r>
      <w:r w:rsidR="005E669E">
        <w:rPr>
          <w:rFonts w:eastAsia="Times New Roman"/>
          <w:bCs/>
          <w:sz w:val="20"/>
          <w:szCs w:val="20"/>
          <w:bdr w:val="none" w:sz="0" w:space="0" w:color="auto"/>
        </w:rPr>
        <w:t>, structural</w:t>
      </w:r>
      <w:r w:rsidR="00800E74" w:rsidRPr="00800E74">
        <w:rPr>
          <w:rFonts w:eastAsia="Times New Roman"/>
          <w:bCs/>
          <w:sz w:val="20"/>
          <w:szCs w:val="20"/>
          <w:bdr w:val="none" w:sz="0" w:space="0" w:color="auto"/>
        </w:rPr>
        <w:t xml:space="preserve"> discrimination in the exercise of human rights, since anyone who thinks or express themselves differently from the regime cannot exercise their rights freely without being threatened</w:t>
      </w:r>
      <w:r w:rsidRPr="00800E74">
        <w:rPr>
          <w:rFonts w:eastAsia="Times New Roman"/>
          <w:bCs/>
          <w:sz w:val="20"/>
          <w:szCs w:val="20"/>
          <w:bdr w:val="none" w:sz="0" w:space="0" w:color="auto"/>
        </w:rPr>
        <w:t xml:space="preserve">. This is </w:t>
      </w:r>
      <w:r w:rsidR="00800E74" w:rsidRPr="00800E74">
        <w:rPr>
          <w:rFonts w:eastAsia="Times New Roman"/>
          <w:bCs/>
          <w:sz w:val="20"/>
          <w:szCs w:val="20"/>
          <w:bdr w:val="none" w:sz="0" w:space="0" w:color="auto"/>
        </w:rPr>
        <w:t>supported</w:t>
      </w:r>
      <w:r w:rsidRPr="00800E74">
        <w:rPr>
          <w:rFonts w:eastAsia="Times New Roman"/>
          <w:bCs/>
          <w:sz w:val="20"/>
          <w:szCs w:val="20"/>
          <w:bdr w:val="none" w:sz="0" w:space="0" w:color="auto"/>
        </w:rPr>
        <w:t xml:space="preserve"> by </w:t>
      </w:r>
      <w:r w:rsidR="00800E74" w:rsidRPr="00800E74">
        <w:rPr>
          <w:rFonts w:eastAsia="Times New Roman"/>
          <w:bCs/>
          <w:sz w:val="20"/>
          <w:szCs w:val="20"/>
          <w:bdr w:val="none" w:sz="0" w:space="0" w:color="auto"/>
        </w:rPr>
        <w:t>multiple provisions of the legal</w:t>
      </w:r>
      <w:r w:rsidRPr="00800E74">
        <w:rPr>
          <w:rFonts w:eastAsia="Times New Roman"/>
          <w:bCs/>
          <w:sz w:val="20"/>
          <w:szCs w:val="20"/>
          <w:bdr w:val="none" w:sz="0" w:space="0" w:color="auto"/>
        </w:rPr>
        <w:t xml:space="preserve"> framework, </w:t>
      </w:r>
      <w:r w:rsidR="00800E74" w:rsidRPr="00800E74">
        <w:rPr>
          <w:rFonts w:eastAsia="Times New Roman"/>
          <w:bCs/>
          <w:sz w:val="20"/>
          <w:szCs w:val="20"/>
          <w:bdr w:val="none" w:sz="0" w:space="0" w:color="auto"/>
        </w:rPr>
        <w:t>including</w:t>
      </w:r>
      <w:r w:rsidRPr="00800E74">
        <w:rPr>
          <w:rFonts w:eastAsia="Times New Roman"/>
          <w:bCs/>
          <w:sz w:val="20"/>
          <w:szCs w:val="20"/>
          <w:bdr w:val="none" w:sz="0" w:space="0" w:color="auto"/>
        </w:rPr>
        <w:t xml:space="preserve"> the new Constitution of 2019. </w:t>
      </w:r>
      <w:r w:rsidR="00800E74" w:rsidRPr="00800E74">
        <w:rPr>
          <w:rFonts w:eastAsia="Times New Roman"/>
          <w:bCs/>
          <w:sz w:val="20"/>
          <w:szCs w:val="20"/>
          <w:bdr w:val="none" w:sz="0" w:space="0" w:color="auto"/>
        </w:rPr>
        <w:t>Although the Constitution does acknowledge the right to equality and nondiscrimination in broader terms, it does not consider equality based on political motives</w:t>
      </w:r>
      <w:r w:rsidRPr="00800E74">
        <w:rPr>
          <w:rFonts w:eastAsia="Times New Roman"/>
          <w:bCs/>
          <w:sz w:val="20"/>
          <w:szCs w:val="20"/>
          <w:bdr w:val="none" w:sz="0" w:space="0" w:color="auto"/>
        </w:rPr>
        <w:t xml:space="preserve">. </w:t>
      </w:r>
      <w:r w:rsidR="00A85449" w:rsidRPr="00A85449">
        <w:rPr>
          <w:rFonts w:eastAsia="Times New Roman"/>
          <w:bCs/>
          <w:sz w:val="20"/>
          <w:szCs w:val="20"/>
          <w:bdr w:val="none" w:sz="0" w:space="0" w:color="auto"/>
        </w:rPr>
        <w:t>While it includes prohibited grounds of discrimination</w:t>
      </w:r>
      <w:r w:rsidR="00A85449">
        <w:rPr>
          <w:rFonts w:eastAsia="Times New Roman"/>
          <w:bCs/>
          <w:sz w:val="20"/>
          <w:szCs w:val="20"/>
          <w:bdr w:val="none" w:sz="0" w:space="0" w:color="auto"/>
        </w:rPr>
        <w:t>—</w:t>
      </w:r>
      <w:r w:rsidR="00A85449" w:rsidRPr="00A85449">
        <w:rPr>
          <w:rFonts w:eastAsia="Times New Roman"/>
          <w:bCs/>
          <w:sz w:val="20"/>
          <w:szCs w:val="20"/>
          <w:bdr w:val="none" w:sz="0" w:space="0" w:color="auto"/>
        </w:rPr>
        <w:t>such as gender, gender identity, sexual orientation, ethnic origin and disability</w:t>
      </w:r>
      <w:r w:rsidR="00A85449">
        <w:rPr>
          <w:rFonts w:eastAsia="Times New Roman"/>
          <w:bCs/>
          <w:sz w:val="20"/>
          <w:szCs w:val="20"/>
          <w:bdr w:val="none" w:sz="0" w:space="0" w:color="auto"/>
        </w:rPr>
        <w:t>—</w:t>
      </w:r>
      <w:r w:rsidR="00A85449" w:rsidRPr="00A85449">
        <w:rPr>
          <w:rFonts w:eastAsia="Times New Roman"/>
          <w:bCs/>
          <w:sz w:val="20"/>
          <w:szCs w:val="20"/>
          <w:bdr w:val="none" w:sz="0" w:space="0" w:color="auto"/>
        </w:rPr>
        <w:t>political opinion is not protected in the text of the Constitution, even though it is also a prohibited ground of discrimination widely recognized in human rights instruments.</w:t>
      </w:r>
      <w:r w:rsidRPr="00800E74">
        <w:rPr>
          <w:rFonts w:eastAsia="Times New Roman"/>
          <w:bCs/>
          <w:sz w:val="20"/>
          <w:szCs w:val="20"/>
          <w:bdr w:val="none" w:sz="0" w:space="0" w:color="auto"/>
        </w:rPr>
        <w:t xml:space="preserve"> </w:t>
      </w:r>
      <w:r w:rsidR="00800E74" w:rsidRPr="00800E74">
        <w:rPr>
          <w:rFonts w:eastAsia="Times New Roman" w:cs="Times New Roman"/>
          <w:bCs/>
          <w:color w:val="auto"/>
          <w:sz w:val="20"/>
          <w:szCs w:val="20"/>
          <w:bdr w:val="none" w:sz="0" w:space="0" w:color="auto"/>
          <w:lang w:eastAsia="en-US"/>
        </w:rPr>
        <w:t xml:space="preserve">A democratic system requires regulatory conditions that allow all people, without discrimination, to exercise their rights </w:t>
      </w:r>
      <w:r w:rsidR="00A85449">
        <w:rPr>
          <w:rFonts w:eastAsia="Times New Roman" w:cs="Times New Roman"/>
          <w:bCs/>
          <w:color w:val="auto"/>
          <w:sz w:val="20"/>
          <w:szCs w:val="20"/>
          <w:bdr w:val="none" w:sz="0" w:space="0" w:color="auto"/>
          <w:lang w:eastAsia="en-US"/>
        </w:rPr>
        <w:t>freely</w:t>
      </w:r>
      <w:r w:rsidRPr="00A85449">
        <w:rPr>
          <w:rFonts w:eastAsia="Times New Roman"/>
          <w:bCs/>
          <w:sz w:val="20"/>
          <w:szCs w:val="20"/>
          <w:bdr w:val="none" w:sz="0" w:space="0" w:color="auto"/>
        </w:rPr>
        <w:t>.</w:t>
      </w:r>
      <w:r w:rsidRPr="00711C22">
        <w:rPr>
          <w:rStyle w:val="FootnoteReference"/>
          <w:rFonts w:eastAsia="Times New Roman"/>
          <w:bCs/>
          <w:sz w:val="20"/>
          <w:szCs w:val="20"/>
          <w:bdr w:val="none" w:sz="0" w:space="0" w:color="auto"/>
        </w:rPr>
        <w:footnoteReference w:id="322"/>
      </w:r>
    </w:p>
    <w:p w14:paraId="1B95E7F6" w14:textId="77777777" w:rsidR="00713B50" w:rsidRPr="00B24750" w:rsidRDefault="00713B50" w:rsidP="00F66452">
      <w:pPr>
        <w:pStyle w:val="ListParagraph"/>
        <w:ind w:left="0"/>
        <w:rPr>
          <w:rFonts w:asciiTheme="majorHAnsi" w:eastAsia="Times New Roman" w:hAnsiTheme="majorHAnsi"/>
          <w:bCs/>
          <w:sz w:val="20"/>
          <w:szCs w:val="20"/>
          <w:bdr w:val="none" w:sz="0" w:space="0" w:color="auto"/>
        </w:rPr>
      </w:pPr>
    </w:p>
    <w:p w14:paraId="0BAB0894" w14:textId="3B74C4F9" w:rsidR="00FC37D5" w:rsidRPr="00FC37D5" w:rsidRDefault="000525FB" w:rsidP="00F66452">
      <w:pPr>
        <w:pStyle w:val="ListParagraph"/>
        <w:numPr>
          <w:ilvl w:val="0"/>
          <w:numId w:val="55"/>
        </w:numPr>
        <w:ind w:firstLine="0"/>
        <w:jc w:val="both"/>
        <w:rPr>
          <w:rFonts w:asciiTheme="majorHAnsi" w:hAnsiTheme="majorHAnsi"/>
          <w:sz w:val="20"/>
          <w:szCs w:val="20"/>
        </w:rPr>
      </w:pPr>
      <w:r w:rsidRPr="000525FB">
        <w:rPr>
          <w:rFonts w:asciiTheme="majorHAnsi" w:eastAsia="Times New Roman" w:hAnsiTheme="majorHAnsi"/>
          <w:bCs/>
          <w:sz w:val="20"/>
          <w:szCs w:val="20"/>
          <w:bdr w:val="none" w:sz="0" w:space="0" w:color="auto"/>
        </w:rPr>
        <w:t xml:space="preserve">In the instant case, the IACHR found that the State committed a number of human rights violations against </w:t>
      </w:r>
      <w:proofErr w:type="spellStart"/>
      <w:r w:rsidRPr="000525FB">
        <w:rPr>
          <w:rFonts w:asciiTheme="majorHAnsi" w:eastAsia="Times New Roman" w:hAnsiTheme="majorHAnsi"/>
          <w:bCs/>
          <w:sz w:val="20"/>
          <w:szCs w:val="20"/>
          <w:bdr w:val="none" w:sz="0" w:space="0" w:color="auto"/>
        </w:rPr>
        <w:t>Yoani</w:t>
      </w:r>
      <w:proofErr w:type="spellEnd"/>
      <w:r w:rsidRPr="000525FB">
        <w:rPr>
          <w:rFonts w:asciiTheme="majorHAnsi" w:eastAsia="Times New Roman" w:hAnsiTheme="majorHAnsi"/>
          <w:bCs/>
          <w:sz w:val="20"/>
          <w:szCs w:val="20"/>
          <w:bdr w:val="none" w:sz="0" w:space="0" w:color="auto"/>
        </w:rPr>
        <w:t xml:space="preserve"> Sánchez. </w:t>
      </w:r>
      <w:r>
        <w:rPr>
          <w:rFonts w:asciiTheme="majorHAnsi" w:eastAsia="Times New Roman" w:hAnsiTheme="majorHAnsi"/>
          <w:bCs/>
          <w:sz w:val="20"/>
          <w:szCs w:val="20"/>
          <w:bdr w:val="none" w:sz="0" w:space="0" w:color="auto"/>
        </w:rPr>
        <w:t>It</w:t>
      </w:r>
      <w:r w:rsidRPr="000525FB">
        <w:rPr>
          <w:rFonts w:asciiTheme="majorHAnsi" w:eastAsia="Times New Roman" w:hAnsiTheme="majorHAnsi"/>
          <w:bCs/>
          <w:sz w:val="20"/>
          <w:szCs w:val="20"/>
          <w:bdr w:val="none" w:sz="0" w:space="0" w:color="auto"/>
        </w:rPr>
        <w:t xml:space="preserve"> will now examine whether the motive for the violations was related to her critical stance against the Cuban regime and the exercise of her freedom of expression. In this regard, the IACHR considers that </w:t>
      </w:r>
      <w:proofErr w:type="spellStart"/>
      <w:r w:rsidRPr="000525FB">
        <w:rPr>
          <w:rFonts w:asciiTheme="majorHAnsi" w:eastAsia="Times New Roman" w:hAnsiTheme="majorHAnsi"/>
          <w:bCs/>
          <w:sz w:val="20"/>
          <w:szCs w:val="20"/>
          <w:bdr w:val="none" w:sz="0" w:space="0" w:color="auto"/>
        </w:rPr>
        <w:t>Yoani</w:t>
      </w:r>
      <w:proofErr w:type="spellEnd"/>
      <w:r w:rsidRPr="000525FB">
        <w:rPr>
          <w:rFonts w:asciiTheme="majorHAnsi" w:eastAsia="Times New Roman" w:hAnsiTheme="majorHAnsi"/>
          <w:bCs/>
          <w:sz w:val="20"/>
          <w:szCs w:val="20"/>
          <w:bdr w:val="none" w:sz="0" w:space="0" w:color="auto"/>
        </w:rPr>
        <w:t xml:space="preserve"> Sánchez was subjected to differential treatment not based on objective reasons to justify or maintain such treatment.</w:t>
      </w:r>
    </w:p>
    <w:p w14:paraId="09B55412" w14:textId="77777777" w:rsidR="00FC37D5" w:rsidRPr="00FC37D5" w:rsidRDefault="00FC37D5" w:rsidP="00F66452">
      <w:pPr>
        <w:pStyle w:val="ListParagraph"/>
        <w:ind w:left="0"/>
        <w:jc w:val="both"/>
        <w:rPr>
          <w:rFonts w:asciiTheme="majorHAnsi" w:hAnsiTheme="majorHAnsi"/>
          <w:sz w:val="20"/>
          <w:szCs w:val="20"/>
        </w:rPr>
      </w:pPr>
    </w:p>
    <w:p w14:paraId="1F0D361F" w14:textId="39ECACCC" w:rsidR="00713B50" w:rsidRPr="00D01870" w:rsidRDefault="00FC37D5" w:rsidP="00F66452">
      <w:pPr>
        <w:pStyle w:val="ListParagraph"/>
        <w:numPr>
          <w:ilvl w:val="0"/>
          <w:numId w:val="55"/>
        </w:numPr>
        <w:ind w:firstLine="0"/>
        <w:jc w:val="both"/>
        <w:rPr>
          <w:rFonts w:asciiTheme="majorHAnsi" w:hAnsiTheme="majorHAnsi"/>
          <w:sz w:val="20"/>
          <w:szCs w:val="20"/>
        </w:rPr>
      </w:pPr>
      <w:r w:rsidRPr="00FC37D5">
        <w:rPr>
          <w:rFonts w:asciiTheme="majorHAnsi" w:hAnsiTheme="majorHAnsi"/>
          <w:sz w:val="20"/>
          <w:szCs w:val="20"/>
        </w:rPr>
        <w:t xml:space="preserve">The Commission has sufficient evidence to conclude that the difference in treatment was based precisely on </w:t>
      </w:r>
      <w:proofErr w:type="spellStart"/>
      <w:r w:rsidRPr="000525FB">
        <w:rPr>
          <w:rFonts w:asciiTheme="majorHAnsi" w:eastAsia="Times New Roman" w:hAnsiTheme="majorHAnsi"/>
          <w:bCs/>
          <w:sz w:val="20"/>
          <w:szCs w:val="20"/>
          <w:bdr w:val="none" w:sz="0" w:space="0" w:color="auto"/>
        </w:rPr>
        <w:t>Yoani</w:t>
      </w:r>
      <w:proofErr w:type="spellEnd"/>
      <w:r w:rsidRPr="000525FB">
        <w:rPr>
          <w:rFonts w:asciiTheme="majorHAnsi" w:eastAsia="Times New Roman" w:hAnsiTheme="majorHAnsi"/>
          <w:bCs/>
          <w:sz w:val="20"/>
          <w:szCs w:val="20"/>
          <w:bdr w:val="none" w:sz="0" w:space="0" w:color="auto"/>
        </w:rPr>
        <w:t xml:space="preserve"> Sánchez</w:t>
      </w:r>
      <w:r>
        <w:rPr>
          <w:rFonts w:asciiTheme="majorHAnsi" w:eastAsia="Times New Roman" w:hAnsiTheme="majorHAnsi"/>
          <w:bCs/>
          <w:sz w:val="20"/>
          <w:szCs w:val="20"/>
          <w:bdr w:val="none" w:sz="0" w:space="0" w:color="auto"/>
        </w:rPr>
        <w:t>’s</w:t>
      </w:r>
      <w:r w:rsidRPr="00FC37D5">
        <w:rPr>
          <w:rFonts w:asciiTheme="majorHAnsi" w:hAnsiTheme="majorHAnsi"/>
          <w:sz w:val="20"/>
          <w:szCs w:val="20"/>
        </w:rPr>
        <w:t xml:space="preserve"> critical opinion of the Cuban government</w:t>
      </w:r>
      <w:r>
        <w:rPr>
          <w:rFonts w:asciiTheme="majorHAnsi" w:hAnsiTheme="majorHAnsi"/>
          <w:sz w:val="20"/>
          <w:szCs w:val="20"/>
        </w:rPr>
        <w:t>—</w:t>
      </w:r>
      <w:r w:rsidRPr="00FC37D5">
        <w:rPr>
          <w:rFonts w:asciiTheme="majorHAnsi" w:hAnsiTheme="majorHAnsi"/>
          <w:sz w:val="20"/>
          <w:szCs w:val="20"/>
        </w:rPr>
        <w:t>a political position contrary to the communist ideology</w:t>
      </w:r>
      <w:r>
        <w:rPr>
          <w:rFonts w:asciiTheme="majorHAnsi" w:hAnsiTheme="majorHAnsi"/>
          <w:sz w:val="20"/>
          <w:szCs w:val="20"/>
        </w:rPr>
        <w:t>—</w:t>
      </w:r>
      <w:r w:rsidRPr="00FC37D5">
        <w:rPr>
          <w:rFonts w:asciiTheme="majorHAnsi" w:hAnsiTheme="majorHAnsi"/>
          <w:sz w:val="20"/>
          <w:szCs w:val="20"/>
        </w:rPr>
        <w:t>expressed in her journalistic work</w:t>
      </w:r>
      <w:r>
        <w:rPr>
          <w:rFonts w:asciiTheme="majorHAnsi" w:hAnsiTheme="majorHAnsi"/>
          <w:sz w:val="20"/>
          <w:szCs w:val="20"/>
        </w:rPr>
        <w:t xml:space="preserve"> and</w:t>
      </w:r>
      <w:r w:rsidRPr="00FC37D5">
        <w:rPr>
          <w:rFonts w:asciiTheme="majorHAnsi" w:hAnsiTheme="majorHAnsi"/>
          <w:sz w:val="20"/>
          <w:szCs w:val="20"/>
        </w:rPr>
        <w:t xml:space="preserve"> </w:t>
      </w:r>
      <w:r>
        <w:rPr>
          <w:rFonts w:asciiTheme="majorHAnsi" w:hAnsiTheme="majorHAnsi"/>
          <w:sz w:val="20"/>
          <w:szCs w:val="20"/>
        </w:rPr>
        <w:t>o</w:t>
      </w:r>
      <w:r w:rsidRPr="00FC37D5">
        <w:rPr>
          <w:rFonts w:asciiTheme="majorHAnsi" w:hAnsiTheme="majorHAnsi"/>
          <w:sz w:val="20"/>
          <w:szCs w:val="20"/>
        </w:rPr>
        <w:t>n her blog</w:t>
      </w:r>
      <w:r>
        <w:rPr>
          <w:rFonts w:asciiTheme="majorHAnsi" w:hAnsiTheme="majorHAnsi"/>
          <w:sz w:val="20"/>
          <w:szCs w:val="20"/>
        </w:rPr>
        <w:t>,</w:t>
      </w:r>
      <w:r w:rsidRPr="00FC37D5">
        <w:rPr>
          <w:rFonts w:asciiTheme="majorHAnsi" w:hAnsiTheme="majorHAnsi"/>
          <w:sz w:val="20"/>
          <w:szCs w:val="20"/>
        </w:rPr>
        <w:t xml:space="preserve"> </w:t>
      </w:r>
      <w:proofErr w:type="spellStart"/>
      <w:r w:rsidRPr="00FC37D5">
        <w:rPr>
          <w:rFonts w:asciiTheme="majorHAnsi" w:hAnsiTheme="majorHAnsi"/>
          <w:i/>
          <w:iCs/>
          <w:sz w:val="20"/>
          <w:szCs w:val="20"/>
        </w:rPr>
        <w:t>Generación</w:t>
      </w:r>
      <w:proofErr w:type="spellEnd"/>
      <w:r w:rsidRPr="00FC37D5">
        <w:rPr>
          <w:rFonts w:asciiTheme="majorHAnsi" w:hAnsiTheme="majorHAnsi"/>
          <w:i/>
          <w:iCs/>
          <w:sz w:val="20"/>
          <w:szCs w:val="20"/>
        </w:rPr>
        <w:t xml:space="preserve"> Y</w:t>
      </w:r>
      <w:r w:rsidRPr="00FC37D5">
        <w:rPr>
          <w:rFonts w:asciiTheme="majorHAnsi" w:hAnsiTheme="majorHAnsi"/>
          <w:sz w:val="20"/>
          <w:szCs w:val="20"/>
        </w:rPr>
        <w:t xml:space="preserve">. The </w:t>
      </w:r>
      <w:r>
        <w:rPr>
          <w:rFonts w:asciiTheme="majorHAnsi" w:hAnsiTheme="majorHAnsi"/>
          <w:sz w:val="20"/>
          <w:szCs w:val="20"/>
        </w:rPr>
        <w:t xml:space="preserve">domestic </w:t>
      </w:r>
      <w:r w:rsidR="00F7275D">
        <w:rPr>
          <w:rFonts w:asciiTheme="majorHAnsi" w:hAnsiTheme="majorHAnsi"/>
          <w:sz w:val="20"/>
          <w:szCs w:val="20"/>
        </w:rPr>
        <w:t xml:space="preserve">laws and </w:t>
      </w:r>
      <w:r w:rsidRPr="00FC37D5">
        <w:rPr>
          <w:rFonts w:asciiTheme="majorHAnsi" w:hAnsiTheme="majorHAnsi"/>
          <w:sz w:val="20"/>
          <w:szCs w:val="20"/>
        </w:rPr>
        <w:t>regulations; the arbitrary detentions; the restrictions to her freedom of movement</w:t>
      </w:r>
      <w:r>
        <w:rPr>
          <w:rFonts w:asciiTheme="majorHAnsi" w:hAnsiTheme="majorHAnsi"/>
          <w:sz w:val="20"/>
          <w:szCs w:val="20"/>
        </w:rPr>
        <w:t>;</w:t>
      </w:r>
      <w:r w:rsidRPr="00FC37D5">
        <w:rPr>
          <w:rFonts w:asciiTheme="majorHAnsi" w:hAnsiTheme="majorHAnsi"/>
          <w:sz w:val="20"/>
          <w:szCs w:val="20"/>
        </w:rPr>
        <w:t xml:space="preserve"> the refusals to authorize her to travel abroad and the </w:t>
      </w:r>
      <w:r>
        <w:rPr>
          <w:rFonts w:asciiTheme="majorHAnsi" w:hAnsiTheme="majorHAnsi"/>
          <w:sz w:val="20"/>
          <w:szCs w:val="20"/>
        </w:rPr>
        <w:t>complete</w:t>
      </w:r>
      <w:r w:rsidRPr="00FC37D5">
        <w:rPr>
          <w:rFonts w:asciiTheme="majorHAnsi" w:hAnsiTheme="majorHAnsi"/>
          <w:sz w:val="20"/>
          <w:szCs w:val="20"/>
        </w:rPr>
        <w:t xml:space="preserve"> denial of access to justice </w:t>
      </w:r>
      <w:r>
        <w:rPr>
          <w:rFonts w:asciiTheme="majorHAnsi" w:hAnsiTheme="majorHAnsi"/>
          <w:sz w:val="20"/>
          <w:szCs w:val="20"/>
        </w:rPr>
        <w:t>to challenge</w:t>
      </w:r>
      <w:r w:rsidRPr="00FC37D5">
        <w:rPr>
          <w:rFonts w:asciiTheme="majorHAnsi" w:hAnsiTheme="majorHAnsi"/>
          <w:sz w:val="20"/>
          <w:szCs w:val="20"/>
        </w:rPr>
        <w:t xml:space="preserve"> such acts; the harassment and attacks </w:t>
      </w:r>
      <w:r w:rsidR="003C1655">
        <w:rPr>
          <w:rFonts w:asciiTheme="majorHAnsi" w:hAnsiTheme="majorHAnsi"/>
          <w:sz w:val="20"/>
          <w:szCs w:val="20"/>
        </w:rPr>
        <w:t>linked to her blogging activity</w:t>
      </w:r>
      <w:r w:rsidRPr="00FC37D5">
        <w:rPr>
          <w:rFonts w:asciiTheme="majorHAnsi" w:hAnsiTheme="majorHAnsi"/>
          <w:sz w:val="20"/>
          <w:szCs w:val="20"/>
        </w:rPr>
        <w:t>; the un</w:t>
      </w:r>
      <w:r w:rsidR="006660F4">
        <w:rPr>
          <w:rFonts w:asciiTheme="majorHAnsi" w:hAnsiTheme="majorHAnsi"/>
          <w:sz w:val="20"/>
          <w:szCs w:val="20"/>
        </w:rPr>
        <w:t>warranted</w:t>
      </w:r>
      <w:r w:rsidRPr="00FC37D5">
        <w:rPr>
          <w:rFonts w:asciiTheme="majorHAnsi" w:hAnsiTheme="majorHAnsi"/>
          <w:sz w:val="20"/>
          <w:szCs w:val="20"/>
        </w:rPr>
        <w:t xml:space="preserve"> requests to appear before the police </w:t>
      </w:r>
      <w:r w:rsidR="006660F4">
        <w:rPr>
          <w:rFonts w:asciiTheme="majorHAnsi" w:hAnsiTheme="majorHAnsi"/>
          <w:sz w:val="20"/>
          <w:szCs w:val="20"/>
        </w:rPr>
        <w:t>for questioning</w:t>
      </w:r>
      <w:r w:rsidRPr="00FC37D5">
        <w:rPr>
          <w:rFonts w:asciiTheme="majorHAnsi" w:hAnsiTheme="majorHAnsi"/>
          <w:sz w:val="20"/>
          <w:szCs w:val="20"/>
        </w:rPr>
        <w:t xml:space="preserve">; the interference in her communications; the prohibition </w:t>
      </w:r>
      <w:r w:rsidR="006660F4">
        <w:rPr>
          <w:rFonts w:asciiTheme="majorHAnsi" w:hAnsiTheme="majorHAnsi"/>
          <w:sz w:val="20"/>
          <w:szCs w:val="20"/>
        </w:rPr>
        <w:t>against</w:t>
      </w:r>
      <w:r w:rsidRPr="00FC37D5">
        <w:rPr>
          <w:rFonts w:asciiTheme="majorHAnsi" w:hAnsiTheme="majorHAnsi"/>
          <w:sz w:val="20"/>
          <w:szCs w:val="20"/>
        </w:rPr>
        <w:t xml:space="preserve"> frequent</w:t>
      </w:r>
      <w:r w:rsidR="006660F4">
        <w:rPr>
          <w:rFonts w:asciiTheme="majorHAnsi" w:hAnsiTheme="majorHAnsi"/>
          <w:sz w:val="20"/>
          <w:szCs w:val="20"/>
        </w:rPr>
        <w:t>ing</w:t>
      </w:r>
      <w:r w:rsidRPr="00FC37D5">
        <w:rPr>
          <w:rFonts w:asciiTheme="majorHAnsi" w:hAnsiTheme="majorHAnsi"/>
          <w:sz w:val="20"/>
          <w:szCs w:val="20"/>
        </w:rPr>
        <w:t xml:space="preserve"> public places; the stigmatizing statements that labeled her a </w:t>
      </w:r>
      <w:r w:rsidR="006660F4">
        <w:rPr>
          <w:rFonts w:asciiTheme="majorHAnsi" w:hAnsiTheme="majorHAnsi"/>
          <w:sz w:val="20"/>
          <w:szCs w:val="20"/>
        </w:rPr>
        <w:t>“</w:t>
      </w:r>
      <w:r w:rsidRPr="00FC37D5">
        <w:rPr>
          <w:rFonts w:asciiTheme="majorHAnsi" w:hAnsiTheme="majorHAnsi"/>
          <w:sz w:val="20"/>
          <w:szCs w:val="20"/>
        </w:rPr>
        <w:t>terrorist</w:t>
      </w:r>
      <w:r w:rsidR="006660F4">
        <w:rPr>
          <w:rFonts w:asciiTheme="majorHAnsi" w:hAnsiTheme="majorHAnsi"/>
          <w:sz w:val="20"/>
          <w:szCs w:val="20"/>
        </w:rPr>
        <w:t>”</w:t>
      </w:r>
      <w:r w:rsidRPr="00FC37D5">
        <w:rPr>
          <w:rFonts w:asciiTheme="majorHAnsi" w:hAnsiTheme="majorHAnsi"/>
          <w:sz w:val="20"/>
          <w:szCs w:val="20"/>
        </w:rPr>
        <w:t xml:space="preserve"> or </w:t>
      </w:r>
      <w:r w:rsidR="006660F4">
        <w:rPr>
          <w:rFonts w:asciiTheme="majorHAnsi" w:hAnsiTheme="majorHAnsi"/>
          <w:sz w:val="20"/>
          <w:szCs w:val="20"/>
        </w:rPr>
        <w:t>“</w:t>
      </w:r>
      <w:r w:rsidRPr="00FC37D5">
        <w:rPr>
          <w:rFonts w:asciiTheme="majorHAnsi" w:hAnsiTheme="majorHAnsi"/>
          <w:sz w:val="20"/>
          <w:szCs w:val="20"/>
        </w:rPr>
        <w:t>counterrevolutionar</w:t>
      </w:r>
      <w:r w:rsidR="006660F4">
        <w:rPr>
          <w:rFonts w:asciiTheme="majorHAnsi" w:hAnsiTheme="majorHAnsi"/>
          <w:sz w:val="20"/>
          <w:szCs w:val="20"/>
        </w:rPr>
        <w:t>y”;</w:t>
      </w:r>
      <w:r w:rsidRPr="00FC37D5">
        <w:rPr>
          <w:rFonts w:asciiTheme="majorHAnsi" w:hAnsiTheme="majorHAnsi"/>
          <w:sz w:val="20"/>
          <w:szCs w:val="20"/>
        </w:rPr>
        <w:t xml:space="preserve"> </w:t>
      </w:r>
      <w:r w:rsidR="006660F4">
        <w:rPr>
          <w:rFonts w:asciiTheme="majorHAnsi" w:hAnsiTheme="majorHAnsi"/>
          <w:sz w:val="20"/>
          <w:szCs w:val="20"/>
        </w:rPr>
        <w:t>and</w:t>
      </w:r>
      <w:r w:rsidRPr="00FC37D5">
        <w:rPr>
          <w:rFonts w:asciiTheme="majorHAnsi" w:hAnsiTheme="majorHAnsi"/>
          <w:sz w:val="20"/>
          <w:szCs w:val="20"/>
        </w:rPr>
        <w:t xml:space="preserve"> the warnings to suspend events with other bloggers </w:t>
      </w:r>
      <w:r w:rsidR="003C1655">
        <w:rPr>
          <w:rFonts w:asciiTheme="majorHAnsi" w:hAnsiTheme="majorHAnsi"/>
          <w:sz w:val="20"/>
          <w:szCs w:val="20"/>
        </w:rPr>
        <w:t xml:space="preserve">the State </w:t>
      </w:r>
      <w:r w:rsidRPr="00FC37D5">
        <w:rPr>
          <w:rFonts w:asciiTheme="majorHAnsi" w:hAnsiTheme="majorHAnsi"/>
          <w:sz w:val="20"/>
          <w:szCs w:val="20"/>
        </w:rPr>
        <w:t xml:space="preserve">identified </w:t>
      </w:r>
      <w:r w:rsidR="003C1655">
        <w:rPr>
          <w:rFonts w:asciiTheme="majorHAnsi" w:hAnsiTheme="majorHAnsi"/>
          <w:sz w:val="20"/>
          <w:szCs w:val="20"/>
        </w:rPr>
        <w:t xml:space="preserve">as </w:t>
      </w:r>
      <w:r w:rsidR="006660F4">
        <w:rPr>
          <w:rFonts w:asciiTheme="majorHAnsi" w:hAnsiTheme="majorHAnsi"/>
          <w:sz w:val="20"/>
          <w:szCs w:val="20"/>
        </w:rPr>
        <w:t>“</w:t>
      </w:r>
      <w:r w:rsidRPr="00FC37D5">
        <w:rPr>
          <w:rFonts w:asciiTheme="majorHAnsi" w:hAnsiTheme="majorHAnsi"/>
          <w:sz w:val="20"/>
          <w:szCs w:val="20"/>
        </w:rPr>
        <w:t>counterrevolutionary</w:t>
      </w:r>
      <w:r w:rsidR="006660F4">
        <w:rPr>
          <w:rFonts w:asciiTheme="majorHAnsi" w:hAnsiTheme="majorHAnsi"/>
          <w:sz w:val="20"/>
          <w:szCs w:val="20"/>
        </w:rPr>
        <w:t>”</w:t>
      </w:r>
      <w:r w:rsidRPr="00FC37D5">
        <w:rPr>
          <w:rFonts w:asciiTheme="majorHAnsi" w:hAnsiTheme="majorHAnsi"/>
          <w:sz w:val="20"/>
          <w:szCs w:val="20"/>
        </w:rPr>
        <w:t xml:space="preserve"> are evidence of this. All these acts constituted differentiated treatment by the State, </w:t>
      </w:r>
      <w:r w:rsidR="003C1655">
        <w:rPr>
          <w:rFonts w:asciiTheme="majorHAnsi" w:hAnsiTheme="majorHAnsi"/>
          <w:sz w:val="20"/>
          <w:szCs w:val="20"/>
        </w:rPr>
        <w:t>in contrast to</w:t>
      </w:r>
      <w:r w:rsidRPr="00FC37D5">
        <w:rPr>
          <w:rFonts w:asciiTheme="majorHAnsi" w:hAnsiTheme="majorHAnsi"/>
          <w:sz w:val="20"/>
          <w:szCs w:val="20"/>
        </w:rPr>
        <w:t xml:space="preserve"> </w:t>
      </w:r>
      <w:r w:rsidR="006660F4">
        <w:rPr>
          <w:rFonts w:asciiTheme="majorHAnsi" w:hAnsiTheme="majorHAnsi"/>
          <w:sz w:val="20"/>
          <w:szCs w:val="20"/>
        </w:rPr>
        <w:t xml:space="preserve">its treatment of </w:t>
      </w:r>
      <w:r w:rsidRPr="00FC37D5">
        <w:rPr>
          <w:rFonts w:asciiTheme="majorHAnsi" w:hAnsiTheme="majorHAnsi"/>
          <w:sz w:val="20"/>
          <w:szCs w:val="20"/>
        </w:rPr>
        <w:t>other journalists sympathetic to the regime</w:t>
      </w:r>
      <w:r w:rsidR="006660F4">
        <w:rPr>
          <w:rFonts w:asciiTheme="majorHAnsi" w:hAnsiTheme="majorHAnsi"/>
          <w:sz w:val="20"/>
          <w:szCs w:val="20"/>
        </w:rPr>
        <w:t>.</w:t>
      </w:r>
      <w:r w:rsidRPr="00FC37D5">
        <w:rPr>
          <w:rFonts w:asciiTheme="majorHAnsi" w:hAnsiTheme="majorHAnsi"/>
          <w:sz w:val="20"/>
          <w:szCs w:val="20"/>
        </w:rPr>
        <w:t xml:space="preserve"> </w:t>
      </w:r>
      <w:r w:rsidR="006660F4">
        <w:rPr>
          <w:rFonts w:asciiTheme="majorHAnsi" w:hAnsiTheme="majorHAnsi"/>
          <w:sz w:val="20"/>
          <w:szCs w:val="20"/>
        </w:rPr>
        <w:t>There was</w:t>
      </w:r>
      <w:r w:rsidRPr="00FC37D5">
        <w:rPr>
          <w:rFonts w:asciiTheme="majorHAnsi" w:hAnsiTheme="majorHAnsi"/>
          <w:sz w:val="20"/>
          <w:szCs w:val="20"/>
        </w:rPr>
        <w:t xml:space="preserve"> no objective</w:t>
      </w:r>
      <w:r w:rsidR="0048215A">
        <w:rPr>
          <w:rFonts w:asciiTheme="majorHAnsi" w:hAnsiTheme="majorHAnsi"/>
          <w:sz w:val="20"/>
          <w:szCs w:val="20"/>
        </w:rPr>
        <w:t>,</w:t>
      </w:r>
      <w:r w:rsidRPr="00FC37D5">
        <w:rPr>
          <w:rFonts w:asciiTheme="majorHAnsi" w:hAnsiTheme="majorHAnsi"/>
          <w:sz w:val="20"/>
          <w:szCs w:val="20"/>
        </w:rPr>
        <w:t xml:space="preserve"> reasonable justification</w:t>
      </w:r>
      <w:r w:rsidR="006660F4">
        <w:rPr>
          <w:rFonts w:asciiTheme="majorHAnsi" w:hAnsiTheme="majorHAnsi"/>
          <w:sz w:val="20"/>
          <w:szCs w:val="20"/>
        </w:rPr>
        <w:t xml:space="preserve"> for this differentiated treatment; </w:t>
      </w:r>
      <w:r w:rsidRPr="00FC37D5">
        <w:rPr>
          <w:rFonts w:asciiTheme="majorHAnsi" w:hAnsiTheme="majorHAnsi"/>
          <w:sz w:val="20"/>
          <w:szCs w:val="20"/>
        </w:rPr>
        <w:t xml:space="preserve">on the contrary, </w:t>
      </w:r>
      <w:r w:rsidR="006660F4">
        <w:rPr>
          <w:rFonts w:asciiTheme="majorHAnsi" w:hAnsiTheme="majorHAnsi"/>
          <w:sz w:val="20"/>
          <w:szCs w:val="20"/>
        </w:rPr>
        <w:t>it was intended to punish</w:t>
      </w:r>
      <w:r w:rsidRPr="00FC37D5">
        <w:rPr>
          <w:rFonts w:asciiTheme="majorHAnsi" w:hAnsiTheme="majorHAnsi"/>
          <w:sz w:val="20"/>
          <w:szCs w:val="20"/>
        </w:rPr>
        <w:t xml:space="preserve"> the journalist for her critical political opinions, and to send a message to other journalists </w:t>
      </w:r>
      <w:r w:rsidRPr="00FC37D5">
        <w:rPr>
          <w:rFonts w:asciiTheme="majorHAnsi" w:hAnsiTheme="majorHAnsi"/>
          <w:sz w:val="20"/>
          <w:szCs w:val="20"/>
        </w:rPr>
        <w:lastRenderedPageBreak/>
        <w:t xml:space="preserve">and dissidents about the consequences of not </w:t>
      </w:r>
      <w:r w:rsidR="006660F4" w:rsidRPr="00D01870">
        <w:rPr>
          <w:rFonts w:asciiTheme="majorHAnsi" w:hAnsiTheme="majorHAnsi"/>
          <w:sz w:val="20"/>
          <w:szCs w:val="20"/>
        </w:rPr>
        <w:t>adhering to</w:t>
      </w:r>
      <w:r w:rsidRPr="00D01870">
        <w:rPr>
          <w:rFonts w:asciiTheme="majorHAnsi" w:hAnsiTheme="majorHAnsi"/>
          <w:sz w:val="20"/>
          <w:szCs w:val="20"/>
        </w:rPr>
        <w:t xml:space="preserve"> communist ideology in Cuba. </w:t>
      </w:r>
      <w:r w:rsidR="00AA69F0" w:rsidRPr="00D01870">
        <w:rPr>
          <w:rFonts w:asciiTheme="majorHAnsi" w:eastAsia="Times New Roman" w:hAnsiTheme="majorHAnsi"/>
          <w:bCs/>
          <w:sz w:val="20"/>
          <w:szCs w:val="20"/>
          <w:bdr w:val="none" w:sz="0" w:space="0" w:color="auto"/>
        </w:rPr>
        <w:t>This, notably, does not meet the criteria of a justified difference in treatment</w:t>
      </w:r>
      <w:r w:rsidR="006660F4" w:rsidRPr="00D01870">
        <w:rPr>
          <w:rFonts w:asciiTheme="majorHAnsi" w:eastAsia="Times New Roman" w:hAnsiTheme="majorHAnsi"/>
          <w:bCs/>
          <w:sz w:val="20"/>
          <w:szCs w:val="20"/>
          <w:bdr w:val="none" w:sz="0" w:space="0" w:color="auto"/>
        </w:rPr>
        <w:t>.</w:t>
      </w:r>
      <w:r w:rsidR="00AA69F0" w:rsidRPr="00D01870">
        <w:rPr>
          <w:rFonts w:asciiTheme="majorHAnsi" w:eastAsia="Times New Roman" w:hAnsiTheme="majorHAnsi"/>
          <w:bCs/>
          <w:sz w:val="20"/>
          <w:szCs w:val="20"/>
          <w:bdr w:val="none" w:sz="0" w:space="0" w:color="auto"/>
        </w:rPr>
        <w:t xml:space="preserve"> </w:t>
      </w:r>
      <w:r w:rsidR="006660F4" w:rsidRPr="00D01870">
        <w:rPr>
          <w:rFonts w:asciiTheme="majorHAnsi" w:eastAsia="Times New Roman" w:hAnsiTheme="majorHAnsi"/>
          <w:bCs/>
          <w:sz w:val="20"/>
          <w:szCs w:val="20"/>
          <w:bdr w:val="none" w:sz="0" w:space="0" w:color="auto"/>
        </w:rPr>
        <w:t>The</w:t>
      </w:r>
      <w:r w:rsidR="00AA69F0" w:rsidRPr="00D01870">
        <w:rPr>
          <w:rFonts w:asciiTheme="majorHAnsi" w:eastAsia="Times New Roman" w:hAnsiTheme="majorHAnsi"/>
          <w:bCs/>
          <w:sz w:val="20"/>
          <w:szCs w:val="20"/>
          <w:bdr w:val="none" w:sz="0" w:space="0" w:color="auto"/>
        </w:rPr>
        <w:t xml:space="preserve"> differentiation </w:t>
      </w:r>
      <w:r w:rsidR="006660F4" w:rsidRPr="00D01870">
        <w:rPr>
          <w:rFonts w:asciiTheme="majorHAnsi" w:eastAsia="Times New Roman" w:hAnsiTheme="majorHAnsi"/>
          <w:bCs/>
          <w:sz w:val="20"/>
          <w:szCs w:val="20"/>
          <w:bdr w:val="none" w:sz="0" w:space="0" w:color="auto"/>
        </w:rPr>
        <w:t>wa</w:t>
      </w:r>
      <w:r w:rsidR="00AA69F0" w:rsidRPr="00D01870">
        <w:rPr>
          <w:rFonts w:asciiTheme="majorHAnsi" w:eastAsia="Times New Roman" w:hAnsiTheme="majorHAnsi"/>
          <w:bCs/>
          <w:sz w:val="20"/>
          <w:szCs w:val="20"/>
          <w:bdr w:val="none" w:sz="0" w:space="0" w:color="auto"/>
        </w:rPr>
        <w:t xml:space="preserve">s arbitrary </w:t>
      </w:r>
      <w:r w:rsidR="006660F4" w:rsidRPr="00D01870">
        <w:rPr>
          <w:rFonts w:asciiTheme="majorHAnsi" w:hAnsiTheme="majorHAnsi"/>
          <w:sz w:val="20"/>
          <w:szCs w:val="20"/>
        </w:rPr>
        <w:t xml:space="preserve">because it was based on a specific motive </w:t>
      </w:r>
      <w:r w:rsidR="00AA69F0" w:rsidRPr="00D01870">
        <w:rPr>
          <w:rFonts w:asciiTheme="majorHAnsi" w:eastAsia="Times New Roman" w:hAnsiTheme="majorHAnsi"/>
          <w:bCs/>
          <w:sz w:val="20"/>
          <w:szCs w:val="20"/>
          <w:bdr w:val="none" w:sz="0" w:space="0" w:color="auto"/>
        </w:rPr>
        <w:t xml:space="preserve">and </w:t>
      </w:r>
      <w:r w:rsidR="00F76795" w:rsidRPr="00D01870">
        <w:rPr>
          <w:rFonts w:asciiTheme="majorHAnsi" w:eastAsia="Times New Roman" w:hAnsiTheme="majorHAnsi"/>
          <w:bCs/>
          <w:sz w:val="20"/>
          <w:szCs w:val="20"/>
          <w:bdr w:val="none" w:sz="0" w:space="0" w:color="auto"/>
        </w:rPr>
        <w:t xml:space="preserve">its purpose was </w:t>
      </w:r>
      <w:r w:rsidR="006660F4" w:rsidRPr="00D01870">
        <w:rPr>
          <w:rFonts w:asciiTheme="majorHAnsi" w:eastAsia="Times New Roman" w:hAnsiTheme="majorHAnsi"/>
          <w:bCs/>
          <w:sz w:val="20"/>
          <w:szCs w:val="20"/>
          <w:bdr w:val="none" w:sz="0" w:space="0" w:color="auto"/>
        </w:rPr>
        <w:t xml:space="preserve">to silence </w:t>
      </w:r>
      <w:r w:rsidR="006660F4" w:rsidRPr="00D01870">
        <w:rPr>
          <w:rFonts w:asciiTheme="majorHAnsi" w:hAnsiTheme="majorHAnsi"/>
          <w:sz w:val="20"/>
          <w:szCs w:val="20"/>
        </w:rPr>
        <w:t>opponents.</w:t>
      </w:r>
    </w:p>
    <w:p w14:paraId="58E1FE87" w14:textId="77777777" w:rsidR="00713B50" w:rsidRPr="00D01870" w:rsidRDefault="00713B50"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720"/>
        <w:jc w:val="both"/>
        <w:rPr>
          <w:rFonts w:asciiTheme="majorHAnsi" w:eastAsia="Times New Roman" w:hAnsiTheme="majorHAnsi"/>
          <w:bCs/>
          <w:sz w:val="20"/>
          <w:szCs w:val="20"/>
          <w:bdr w:val="none" w:sz="0" w:space="0" w:color="auto"/>
          <w:lang w:val="en-US"/>
        </w:rPr>
      </w:pPr>
    </w:p>
    <w:p w14:paraId="70EE74E1" w14:textId="47EFB856" w:rsidR="00713B50" w:rsidRPr="00D01870" w:rsidRDefault="00FC42C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eastAsia="Times New Roman" w:hAnsiTheme="majorHAnsi"/>
          <w:bCs/>
          <w:sz w:val="20"/>
          <w:szCs w:val="20"/>
          <w:bdr w:val="none" w:sz="0" w:space="0" w:color="auto"/>
          <w:lang w:val="en-US"/>
        </w:rPr>
      </w:pPr>
      <w:r w:rsidRPr="00D01870">
        <w:rPr>
          <w:rFonts w:asciiTheme="majorHAnsi" w:eastAsia="Times New Roman" w:hAnsiTheme="majorHAnsi"/>
          <w:bCs/>
          <w:sz w:val="20"/>
          <w:szCs w:val="20"/>
          <w:bdr w:val="none" w:sz="0" w:space="0" w:color="auto"/>
          <w:lang w:val="en-US"/>
        </w:rPr>
        <w:t xml:space="preserve">Therefore, the IACHR concludes that the State of Cuba is responsible </w:t>
      </w:r>
      <w:r w:rsidR="00D9737E" w:rsidRPr="00D01870">
        <w:rPr>
          <w:rFonts w:asciiTheme="majorHAnsi" w:eastAsia="Times New Roman" w:hAnsiTheme="majorHAnsi"/>
          <w:bCs/>
          <w:sz w:val="20"/>
          <w:szCs w:val="20"/>
          <w:bdr w:val="none" w:sz="0" w:space="0" w:color="auto"/>
          <w:lang w:val="en-US"/>
        </w:rPr>
        <w:t xml:space="preserve">for violating </w:t>
      </w:r>
      <w:r w:rsidRPr="00D01870">
        <w:rPr>
          <w:rFonts w:asciiTheme="majorHAnsi" w:eastAsia="Times New Roman" w:hAnsiTheme="majorHAnsi"/>
          <w:bCs/>
          <w:sz w:val="20"/>
          <w:szCs w:val="20"/>
          <w:bdr w:val="none" w:sz="0" w:space="0" w:color="auto"/>
          <w:lang w:val="en-US"/>
        </w:rPr>
        <w:t xml:space="preserve">the right to equality, established in Article II of the American Declaration, to the detriment of </w:t>
      </w:r>
      <w:proofErr w:type="spellStart"/>
      <w:r w:rsidRPr="00D01870">
        <w:rPr>
          <w:rFonts w:asciiTheme="majorHAnsi" w:eastAsia="Times New Roman" w:hAnsiTheme="majorHAnsi"/>
          <w:bCs/>
          <w:sz w:val="20"/>
          <w:szCs w:val="20"/>
          <w:bdr w:val="none" w:sz="0" w:space="0" w:color="auto"/>
          <w:lang w:val="en-US"/>
        </w:rPr>
        <w:t>Yoani</w:t>
      </w:r>
      <w:proofErr w:type="spellEnd"/>
      <w:r w:rsidRPr="00D01870">
        <w:rPr>
          <w:rFonts w:asciiTheme="majorHAnsi" w:eastAsia="Times New Roman" w:hAnsiTheme="majorHAnsi"/>
          <w:bCs/>
          <w:sz w:val="20"/>
          <w:szCs w:val="20"/>
          <w:bdr w:val="none" w:sz="0" w:space="0" w:color="auto"/>
          <w:lang w:val="en-US"/>
        </w:rPr>
        <w:t xml:space="preserve"> Sánchez</w:t>
      </w:r>
      <w:r w:rsidR="00713B50" w:rsidRPr="00D01870">
        <w:rPr>
          <w:rFonts w:asciiTheme="majorHAnsi" w:eastAsia="Times New Roman" w:hAnsiTheme="majorHAnsi"/>
          <w:bCs/>
          <w:sz w:val="20"/>
          <w:szCs w:val="20"/>
          <w:bdr w:val="none" w:sz="0" w:space="0" w:color="auto"/>
          <w:lang w:val="en-US"/>
        </w:rPr>
        <w:t xml:space="preserve">.  </w:t>
      </w:r>
    </w:p>
    <w:p w14:paraId="0706D4E7" w14:textId="77777777" w:rsidR="00713B50" w:rsidRPr="00D01870" w:rsidRDefault="00713B50" w:rsidP="00713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ambria"/>
          <w:color w:val="000000"/>
          <w:sz w:val="20"/>
          <w:szCs w:val="20"/>
          <w:u w:color="000000"/>
          <w:bdr w:val="none" w:sz="0" w:space="0" w:color="auto"/>
          <w:lang w:val="en-US" w:eastAsia="es-ES"/>
        </w:rPr>
      </w:pPr>
    </w:p>
    <w:p w14:paraId="37FD1D41" w14:textId="7179A02A" w:rsidR="00972E45" w:rsidRPr="00D01870" w:rsidRDefault="00972E45" w:rsidP="009D14E7">
      <w:pPr>
        <w:pStyle w:val="Heading1"/>
      </w:pPr>
      <w:bookmarkStart w:id="42" w:name="_Toc90392490"/>
      <w:bookmarkStart w:id="43" w:name="_Toc534905542"/>
      <w:bookmarkStart w:id="44" w:name="_Toc4417464"/>
      <w:bookmarkStart w:id="45" w:name="_Toc24542773"/>
      <w:bookmarkStart w:id="46" w:name="_Toc69391737"/>
      <w:r w:rsidRPr="00D01870">
        <w:t xml:space="preserve">REPORT No. </w:t>
      </w:r>
      <w:r w:rsidR="0013192F" w:rsidRPr="00D01870">
        <w:t>102</w:t>
      </w:r>
      <w:r w:rsidRPr="00D01870">
        <w:t xml:space="preserve">/21 AND COMPLIANCE </w:t>
      </w:r>
      <w:r w:rsidR="003101BD" w:rsidRPr="00D01870">
        <w:t>INFORMATION</w:t>
      </w:r>
      <w:bookmarkEnd w:id="42"/>
    </w:p>
    <w:p w14:paraId="53A8289B" w14:textId="77777777" w:rsidR="00972E45" w:rsidRPr="00D01870" w:rsidRDefault="00972E45" w:rsidP="00972E45">
      <w:pPr>
        <w:rPr>
          <w:lang w:val="en-US"/>
        </w:rPr>
      </w:pPr>
    </w:p>
    <w:p w14:paraId="563D4791" w14:textId="61DD02C9" w:rsidR="00972E45" w:rsidRPr="00D01870" w:rsidRDefault="00972E4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eastAsia="Times New Roman" w:hAnsiTheme="majorHAnsi"/>
          <w:bCs/>
          <w:sz w:val="20"/>
          <w:szCs w:val="20"/>
          <w:bdr w:val="none" w:sz="0" w:space="0" w:color="auto"/>
          <w:lang w:val="en-US"/>
        </w:rPr>
      </w:pPr>
      <w:r w:rsidRPr="00D01870">
        <w:rPr>
          <w:rFonts w:asciiTheme="majorHAnsi" w:eastAsia="Times New Roman" w:hAnsiTheme="majorHAnsi"/>
          <w:bCs/>
          <w:sz w:val="20"/>
          <w:szCs w:val="20"/>
          <w:bdr w:val="none" w:sz="0" w:space="0" w:color="auto"/>
          <w:lang w:val="en-US"/>
        </w:rPr>
        <w:t xml:space="preserve">On June 26, 2021, the Commission adopted Admissibility and Merits Report No. </w:t>
      </w:r>
      <w:r w:rsidR="0013192F" w:rsidRPr="00D01870">
        <w:rPr>
          <w:rFonts w:asciiTheme="majorHAnsi" w:eastAsia="Times New Roman" w:hAnsiTheme="majorHAnsi"/>
          <w:bCs/>
          <w:sz w:val="20"/>
          <w:szCs w:val="20"/>
          <w:bdr w:val="none" w:sz="0" w:space="0" w:color="auto"/>
          <w:lang w:val="en-US"/>
        </w:rPr>
        <w:t>102</w:t>
      </w:r>
      <w:r w:rsidRPr="00D01870">
        <w:rPr>
          <w:rFonts w:asciiTheme="majorHAnsi" w:eastAsia="Times New Roman" w:hAnsiTheme="majorHAnsi"/>
          <w:bCs/>
          <w:sz w:val="20"/>
          <w:szCs w:val="20"/>
          <w:bdr w:val="none" w:sz="0" w:space="0" w:color="auto"/>
          <w:lang w:val="en-US"/>
        </w:rPr>
        <w:t>/21 on the present case, which includes paragraphs 1 to 233 above, and made the following recommendations to the State:</w:t>
      </w:r>
    </w:p>
    <w:p w14:paraId="30C5E1B2" w14:textId="77777777" w:rsidR="00972E45" w:rsidRPr="00D01870" w:rsidRDefault="00972E45" w:rsidP="00972E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bCs/>
          <w:sz w:val="20"/>
          <w:szCs w:val="20"/>
          <w:bdr w:val="none" w:sz="0" w:space="0" w:color="auto"/>
          <w:lang w:val="en-US"/>
        </w:rPr>
      </w:pPr>
    </w:p>
    <w:p w14:paraId="6EB52100" w14:textId="692DEB20"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0"/>
          <w:szCs w:val="20"/>
        </w:rPr>
      </w:pPr>
      <w:r w:rsidRPr="00D01870">
        <w:rPr>
          <w:rFonts w:cs="Tahoma"/>
          <w:sz w:val="20"/>
          <w:szCs w:val="20"/>
        </w:rPr>
        <w:t xml:space="preserve">Make full and comprehensive reparations, both pecuniary and non-pecuniary, for the human rights violations declared in this report, which must include reparation for the stigmatization to which </w:t>
      </w:r>
      <w:proofErr w:type="spellStart"/>
      <w:r w:rsidRPr="00D01870">
        <w:rPr>
          <w:rFonts w:cs="Tahoma"/>
          <w:sz w:val="20"/>
          <w:szCs w:val="20"/>
        </w:rPr>
        <w:t>Yoani</w:t>
      </w:r>
      <w:proofErr w:type="spellEnd"/>
      <w:r w:rsidRPr="00D01870">
        <w:rPr>
          <w:rFonts w:cs="Tahoma"/>
          <w:sz w:val="20"/>
          <w:szCs w:val="20"/>
        </w:rPr>
        <w:t xml:space="preserve"> Sánchez has been subjected.</w:t>
      </w:r>
    </w:p>
    <w:p w14:paraId="35BFE214"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20"/>
          <w:szCs w:val="20"/>
        </w:rPr>
      </w:pPr>
    </w:p>
    <w:p w14:paraId="1D50F475"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r w:rsidRPr="00D01870">
        <w:rPr>
          <w:sz w:val="20"/>
          <w:szCs w:val="20"/>
        </w:rPr>
        <w:t xml:space="preserve">Immediately cease all persecution against </w:t>
      </w:r>
      <w:proofErr w:type="spellStart"/>
      <w:r w:rsidRPr="00D01870">
        <w:rPr>
          <w:sz w:val="20"/>
          <w:szCs w:val="20"/>
        </w:rPr>
        <w:t>Yoani</w:t>
      </w:r>
      <w:proofErr w:type="spellEnd"/>
      <w:r w:rsidRPr="00D01870">
        <w:rPr>
          <w:sz w:val="20"/>
          <w:szCs w:val="20"/>
        </w:rPr>
        <w:t xml:space="preserve"> Sánchez Cordero, in particular, acts of harassment, smear campaigns, wiretapping, attacks, arbitrary police summonses, guaranteeing that the journalist can carry out her work without fear of intimidation or reprisals, and without undue restrictions on her right to freedom of expression, of assembly and other rights analyzed in this report</w:t>
      </w:r>
      <w:r w:rsidRPr="00D01870">
        <w:rPr>
          <w:rFonts w:eastAsia="Times New Roman"/>
          <w:sz w:val="20"/>
          <w:szCs w:val="20"/>
        </w:rPr>
        <w:t xml:space="preserve">. </w:t>
      </w:r>
    </w:p>
    <w:p w14:paraId="45BEE227"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20"/>
          <w:szCs w:val="20"/>
        </w:rPr>
      </w:pPr>
    </w:p>
    <w:p w14:paraId="46F6CE1B"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0"/>
          <w:szCs w:val="20"/>
        </w:rPr>
      </w:pPr>
      <w:r w:rsidRPr="00D01870">
        <w:rPr>
          <w:sz w:val="20"/>
          <w:szCs w:val="20"/>
        </w:rPr>
        <w:t>Take</w:t>
      </w:r>
      <w:r w:rsidRPr="00D01870">
        <w:rPr>
          <w:rFonts w:eastAsia="Times New Roman"/>
          <w:sz w:val="20"/>
          <w:szCs w:val="20"/>
        </w:rPr>
        <w:t xml:space="preserve"> the necessary measures to fully guarantee </w:t>
      </w:r>
      <w:proofErr w:type="spellStart"/>
      <w:r w:rsidRPr="00D01870">
        <w:rPr>
          <w:rFonts w:eastAsia="Times New Roman"/>
          <w:sz w:val="20"/>
          <w:szCs w:val="20"/>
        </w:rPr>
        <w:t>Yoani</w:t>
      </w:r>
      <w:proofErr w:type="spellEnd"/>
      <w:r w:rsidRPr="00D01870">
        <w:rPr>
          <w:rFonts w:eastAsia="Times New Roman"/>
          <w:sz w:val="20"/>
          <w:szCs w:val="20"/>
        </w:rPr>
        <w:t xml:space="preserve"> Sánchez’s right to leave and enter Cuba freely and to move freely within the country.</w:t>
      </w:r>
    </w:p>
    <w:p w14:paraId="054DB6C8"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20"/>
          <w:szCs w:val="20"/>
        </w:rPr>
      </w:pPr>
    </w:p>
    <w:p w14:paraId="1169C963"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D01870">
        <w:rPr>
          <w:sz w:val="20"/>
          <w:szCs w:val="20"/>
        </w:rPr>
        <w:t>Conduct</w:t>
      </w:r>
      <w:r w:rsidRPr="00D01870">
        <w:rPr>
          <w:rFonts w:eastAsia="Times New Roman"/>
          <w:sz w:val="20"/>
          <w:szCs w:val="20"/>
          <w:bdr w:val="none" w:sz="0" w:space="0" w:color="auto"/>
        </w:rPr>
        <w:t xml:space="preserve"> a thorough, impartial, effective, and expeditious investigation to clarify the circumstances of the unlawful and arbitrary detentions and physical assaults perpetrated against </w:t>
      </w:r>
      <w:proofErr w:type="spellStart"/>
      <w:r w:rsidRPr="00D01870">
        <w:rPr>
          <w:rFonts w:eastAsia="Times New Roman"/>
          <w:sz w:val="20"/>
          <w:szCs w:val="20"/>
          <w:bdr w:val="none" w:sz="0" w:space="0" w:color="auto"/>
        </w:rPr>
        <w:t>Yoani</w:t>
      </w:r>
      <w:proofErr w:type="spellEnd"/>
      <w:r w:rsidRPr="00D01870">
        <w:rPr>
          <w:rFonts w:eastAsia="Times New Roman"/>
          <w:sz w:val="20"/>
          <w:szCs w:val="20"/>
          <w:bdr w:val="none" w:sz="0" w:space="0" w:color="auto"/>
        </w:rPr>
        <w:t xml:space="preserve"> Sánchez, especially the facts related to the attempted forced nudity, and determine the responsibility of both the direct perpetrators and the masterminds and adopt measures to prevent events like these from happening again.</w:t>
      </w:r>
    </w:p>
    <w:p w14:paraId="225F8D52"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20"/>
          <w:szCs w:val="20"/>
        </w:rPr>
      </w:pPr>
    </w:p>
    <w:p w14:paraId="46BD38AA"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0"/>
          <w:szCs w:val="20"/>
        </w:rPr>
      </w:pPr>
      <w:r w:rsidRPr="00D01870">
        <w:rPr>
          <w:sz w:val="20"/>
          <w:szCs w:val="20"/>
        </w:rPr>
        <w:t>Deactivate</w:t>
      </w:r>
      <w:r w:rsidRPr="00D01870">
        <w:rPr>
          <w:rFonts w:eastAsia="Times New Roman"/>
          <w:sz w:val="20"/>
          <w:szCs w:val="20"/>
        </w:rPr>
        <w:t xml:space="preserve"> the computer filter that blocks access to the blog “</w:t>
      </w:r>
      <w:proofErr w:type="spellStart"/>
      <w:r w:rsidRPr="00D01870">
        <w:rPr>
          <w:rFonts w:eastAsia="Times New Roman"/>
          <w:sz w:val="20"/>
          <w:szCs w:val="20"/>
        </w:rPr>
        <w:t>Generación</w:t>
      </w:r>
      <w:proofErr w:type="spellEnd"/>
      <w:r w:rsidRPr="00D01870">
        <w:rPr>
          <w:rFonts w:eastAsia="Times New Roman"/>
          <w:sz w:val="20"/>
          <w:szCs w:val="20"/>
        </w:rPr>
        <w:t xml:space="preserve"> Y” from public internet sites in Cuba and allow access to </w:t>
      </w:r>
      <w:proofErr w:type="spellStart"/>
      <w:r w:rsidRPr="00D01870">
        <w:rPr>
          <w:rFonts w:eastAsia="Times New Roman"/>
          <w:sz w:val="20"/>
          <w:szCs w:val="20"/>
        </w:rPr>
        <w:t>Yoani</w:t>
      </w:r>
      <w:proofErr w:type="spellEnd"/>
      <w:r w:rsidRPr="00D01870">
        <w:rPr>
          <w:rFonts w:eastAsia="Times New Roman"/>
          <w:sz w:val="20"/>
          <w:szCs w:val="20"/>
        </w:rPr>
        <w:t xml:space="preserve"> Sánchez’s online content within Cuba, adhering to the principle of net neutrality under the standards described in this report. </w:t>
      </w:r>
    </w:p>
    <w:p w14:paraId="64339C3C" w14:textId="77777777" w:rsidR="00972E45" w:rsidRPr="00D01870" w:rsidRDefault="00972E45" w:rsidP="00972E45">
      <w:pPr>
        <w:rPr>
          <w:rFonts w:eastAsia="Times New Roman"/>
          <w:sz w:val="20"/>
          <w:szCs w:val="20"/>
          <w:lang w:val="en-US"/>
        </w:rPr>
      </w:pPr>
    </w:p>
    <w:p w14:paraId="2AFD98C4"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r w:rsidRPr="00D01870">
        <w:rPr>
          <w:rFonts w:eastAsia="Times New Roman"/>
          <w:sz w:val="20"/>
          <w:szCs w:val="20"/>
        </w:rPr>
        <w:t xml:space="preserve">Adopt the following guarantees of non-repetition, for which the State must: </w:t>
      </w:r>
      <w:proofErr w:type="spellStart"/>
      <w:r w:rsidRPr="00D01870">
        <w:rPr>
          <w:rFonts w:eastAsia="Times New Roman"/>
          <w:sz w:val="20"/>
          <w:szCs w:val="20"/>
        </w:rPr>
        <w:t>i</w:t>
      </w:r>
      <w:proofErr w:type="spellEnd"/>
      <w:r w:rsidRPr="00D01870">
        <w:rPr>
          <w:rFonts w:eastAsia="Times New Roman"/>
          <w:sz w:val="20"/>
          <w:szCs w:val="20"/>
        </w:rPr>
        <w:t>) Adapt its laws, procedures and practices to the international norms and standards on human rights established in this report, for which it must, among other things, modify its internal regulations, including those relating to the digital environment, in order to ensure the effective exercise and enjoyment of the rights analyzed, especially the right to freedom of expression, without conditioning on the defense of the socialist State, and ii ) Adopt adequate and effective prevention, investigation, and sanction mechanisms, with a gender perspective, to avoid and combat violence and harassment against journalists and/or social communicators, whether they come from state agents or third parties. The foregoing should include public condemnation of any act of aggression, including gender violence, especially from the highest levels of government; refraining from resorting to stigmatizing statements by public authorities or people who use public communication media, as well as the adoption of necessary measures to guarantee the initiation of investigations and judicial processes when complaints are filed for the commission of acts of violence, in accordance with the provisions of this report.</w:t>
      </w:r>
    </w:p>
    <w:p w14:paraId="5DDA716A"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sz w:val="20"/>
          <w:szCs w:val="20"/>
        </w:rPr>
      </w:pPr>
    </w:p>
    <w:p w14:paraId="203DE406"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bdr w:val="none" w:sz="0" w:space="0" w:color="auto"/>
        </w:rPr>
      </w:pPr>
      <w:r w:rsidRPr="00D01870">
        <w:rPr>
          <w:sz w:val="20"/>
          <w:szCs w:val="20"/>
          <w:bdr w:val="none" w:sz="0" w:space="0" w:color="auto"/>
        </w:rPr>
        <w:t>Refrain from exercising absolute control over the internet, as well as filtering and blocking content arbitrarily, that is, for restrictions on freedom of expression on the Internet to be legitimate, they must comply with the requirements of legality, legitimate purpose, necessity, and proportionality. The State must adopt safeguards to guarantee transparency regarding the contents whose removal has been ordered, based on the requirements described above.</w:t>
      </w:r>
    </w:p>
    <w:p w14:paraId="01617EF8" w14:textId="77777777" w:rsidR="00972E45" w:rsidRPr="00D01870" w:rsidRDefault="00972E45" w:rsidP="00972E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cs="Times New Roman"/>
          <w:sz w:val="20"/>
          <w:szCs w:val="20"/>
        </w:rPr>
      </w:pPr>
    </w:p>
    <w:p w14:paraId="145099D5" w14:textId="77777777" w:rsidR="00972E45" w:rsidRPr="00D01870" w:rsidRDefault="00972E45" w:rsidP="00FE7AE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r w:rsidRPr="00D01870">
        <w:rPr>
          <w:rFonts w:eastAsia="Times New Roman"/>
          <w:sz w:val="20"/>
          <w:szCs w:val="20"/>
          <w:bdr w:val="none" w:sz="0" w:space="0" w:color="auto"/>
        </w:rPr>
        <w:t>Adopt the necessary measures to guarantee the independence and impartiality, both institutional and functional, of the fiscal and judicial authorities and of any other type of state officials that adopt decisions that determine the scope of human rights of the people, such as the Directorate of Immigration and Foreigners, in accordance with the criteria established in this report.</w:t>
      </w:r>
    </w:p>
    <w:p w14:paraId="1A1E4A12" w14:textId="77777777" w:rsidR="00972E45" w:rsidRPr="00D01870" w:rsidRDefault="00972E45" w:rsidP="00972E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bCs/>
          <w:sz w:val="20"/>
          <w:szCs w:val="20"/>
          <w:bdr w:val="none" w:sz="0" w:space="0" w:color="auto"/>
          <w:lang w:val="en-US"/>
        </w:rPr>
      </w:pPr>
    </w:p>
    <w:p w14:paraId="062A3161" w14:textId="7C0F78DF" w:rsidR="00972E45" w:rsidRDefault="00972E45"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eastAsia="Times New Roman" w:hAnsiTheme="majorHAnsi"/>
          <w:bCs/>
          <w:sz w:val="20"/>
          <w:szCs w:val="20"/>
          <w:bdr w:val="none" w:sz="0" w:space="0" w:color="auto"/>
          <w:lang w:val="en-US"/>
        </w:rPr>
      </w:pPr>
      <w:r w:rsidRPr="00D01870">
        <w:rPr>
          <w:rFonts w:asciiTheme="majorHAnsi" w:eastAsia="Times New Roman" w:hAnsiTheme="majorHAnsi"/>
          <w:bCs/>
          <w:sz w:val="20"/>
          <w:szCs w:val="20"/>
          <w:bdr w:val="none" w:sz="0" w:space="0" w:color="auto"/>
          <w:lang w:val="en-US"/>
        </w:rPr>
        <w:t xml:space="preserve">On July 20, 2021, the Commission transmitted the report to the State with a two-month deadline to report on the measures adopted to comply with its recommendations. On that same date, the IACHR notified the petitioners of the approval of the report. To date, the IACHR has not received a response from Cuba in relation to Report No. </w:t>
      </w:r>
      <w:r w:rsidR="0013192F" w:rsidRPr="00D01870">
        <w:rPr>
          <w:rFonts w:asciiTheme="majorHAnsi" w:eastAsia="Times New Roman" w:hAnsiTheme="majorHAnsi"/>
          <w:bCs/>
          <w:sz w:val="20"/>
          <w:szCs w:val="20"/>
          <w:bdr w:val="none" w:sz="0" w:space="0" w:color="auto"/>
          <w:lang w:val="en-US"/>
        </w:rPr>
        <w:t>102</w:t>
      </w:r>
      <w:r w:rsidRPr="00D01870">
        <w:rPr>
          <w:rFonts w:asciiTheme="majorHAnsi" w:eastAsia="Times New Roman" w:hAnsiTheme="majorHAnsi"/>
          <w:bCs/>
          <w:sz w:val="20"/>
          <w:szCs w:val="20"/>
          <w:bdr w:val="none" w:sz="0" w:space="0" w:color="auto"/>
          <w:lang w:val="en-US"/>
        </w:rPr>
        <w:t>/21.</w:t>
      </w:r>
    </w:p>
    <w:p w14:paraId="789D0156" w14:textId="77777777" w:rsidR="0071685F" w:rsidRDefault="0071685F" w:rsidP="0071685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bCs/>
          <w:sz w:val="20"/>
          <w:szCs w:val="20"/>
          <w:bdr w:val="none" w:sz="0" w:space="0" w:color="auto"/>
          <w:lang w:val="en-US"/>
        </w:rPr>
      </w:pPr>
    </w:p>
    <w:p w14:paraId="27823BC3" w14:textId="17BEA1F1" w:rsidR="0071685F" w:rsidRPr="003A6945" w:rsidRDefault="0071685F" w:rsidP="009D14E7">
      <w:pPr>
        <w:pStyle w:val="Heading1"/>
      </w:pPr>
      <w:bookmarkStart w:id="47" w:name="_Toc90392491"/>
      <w:r w:rsidRPr="003A6945">
        <w:t>FOLLOW-UP TO REPORT No. 267/21 AND COMPLIANCE INFORMATION</w:t>
      </w:r>
      <w:bookmarkEnd w:id="47"/>
    </w:p>
    <w:p w14:paraId="07574A22" w14:textId="77777777" w:rsidR="0071685F" w:rsidRPr="003A6945" w:rsidRDefault="0071685F" w:rsidP="0071685F">
      <w:pPr>
        <w:rPr>
          <w:lang w:val="en-US"/>
        </w:rPr>
      </w:pPr>
    </w:p>
    <w:p w14:paraId="10DE6A10" w14:textId="2709AA36" w:rsidR="0071685F" w:rsidRPr="003A6945" w:rsidRDefault="0071685F"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eastAsia="Times New Roman" w:hAnsiTheme="majorHAnsi"/>
          <w:bCs/>
          <w:sz w:val="20"/>
          <w:szCs w:val="20"/>
          <w:bdr w:val="none" w:sz="0" w:space="0" w:color="auto"/>
          <w:lang w:val="en-US"/>
        </w:rPr>
      </w:pPr>
      <w:r w:rsidRPr="003A6945">
        <w:rPr>
          <w:rFonts w:asciiTheme="majorHAnsi" w:eastAsia="Times New Roman" w:hAnsiTheme="majorHAnsi"/>
          <w:bCs/>
          <w:sz w:val="20"/>
          <w:szCs w:val="20"/>
          <w:bdr w:val="none" w:sz="0" w:space="0" w:color="auto"/>
          <w:lang w:val="en-US"/>
        </w:rPr>
        <w:t>The Commission adopted Merits Report No. 267/21 on September 28, 2021 and transmitted it to the State on September 30 of the same year, granting it a period of 15 days to inform the IACHR on the measures adopted to comply with its recommendations. To date, the Commission has not received a response from the State of Cuba with respect to Report No. 267/21.</w:t>
      </w:r>
    </w:p>
    <w:p w14:paraId="77ADB190" w14:textId="77777777" w:rsidR="00972E45" w:rsidRPr="00D01870" w:rsidRDefault="00972E45" w:rsidP="00972E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b/>
          <w:bCs/>
          <w:sz w:val="20"/>
          <w:szCs w:val="20"/>
          <w:bdr w:val="none" w:sz="0" w:space="0" w:color="auto"/>
          <w:lang w:val="en-US"/>
        </w:rPr>
      </w:pPr>
    </w:p>
    <w:p w14:paraId="2C224A75" w14:textId="2A8BEBA2" w:rsidR="00713B50" w:rsidRPr="00D01870" w:rsidRDefault="00713B50" w:rsidP="009D14E7">
      <w:pPr>
        <w:pStyle w:val="Heading1"/>
        <w:rPr>
          <w:rFonts w:eastAsia="Times New Roman"/>
          <w:bdr w:val="none" w:sz="0" w:space="0" w:color="auto"/>
        </w:rPr>
      </w:pPr>
      <w:bookmarkStart w:id="48" w:name="_Toc90392492"/>
      <w:r w:rsidRPr="00D01870">
        <w:t>CONCLUSIONS</w:t>
      </w:r>
      <w:bookmarkEnd w:id="43"/>
      <w:bookmarkEnd w:id="44"/>
      <w:bookmarkEnd w:id="45"/>
      <w:bookmarkEnd w:id="46"/>
      <w:r w:rsidR="003101BD" w:rsidRPr="00D01870">
        <w:t xml:space="preserve"> AND FINAL RECOMMENDATIONS</w:t>
      </w:r>
      <w:bookmarkEnd w:id="48"/>
    </w:p>
    <w:p w14:paraId="3A8F283F" w14:textId="77777777" w:rsidR="00713B50" w:rsidRPr="00D01870" w:rsidRDefault="00713B50" w:rsidP="00713B50">
      <w:pPr>
        <w:pBdr>
          <w:top w:val="none" w:sz="0" w:space="0" w:color="auto"/>
          <w:left w:val="none" w:sz="0" w:space="0" w:color="auto"/>
          <w:bottom w:val="none" w:sz="0" w:space="0" w:color="auto"/>
          <w:right w:val="none" w:sz="0" w:space="0" w:color="auto"/>
        </w:pBdr>
        <w:jc w:val="both"/>
        <w:rPr>
          <w:rFonts w:asciiTheme="majorHAnsi" w:hAnsiTheme="majorHAnsi"/>
          <w:sz w:val="20"/>
          <w:szCs w:val="20"/>
          <w:lang w:val="en-US"/>
        </w:rPr>
      </w:pPr>
    </w:p>
    <w:p w14:paraId="2107C624" w14:textId="527F9801" w:rsidR="00713B50" w:rsidRPr="00D01870" w:rsidRDefault="00FC42C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hAnsiTheme="majorHAnsi"/>
          <w:sz w:val="20"/>
          <w:szCs w:val="20"/>
          <w:lang w:val="en-US"/>
        </w:rPr>
      </w:pPr>
      <w:r w:rsidRPr="00D01870">
        <w:rPr>
          <w:rFonts w:asciiTheme="majorHAnsi" w:eastAsia="Times New Roman" w:hAnsiTheme="majorHAnsi"/>
          <w:bCs/>
          <w:sz w:val="20"/>
          <w:szCs w:val="20"/>
          <w:bdr w:val="none" w:sz="0" w:space="0" w:color="auto"/>
          <w:lang w:val="en-US"/>
        </w:rPr>
        <w:t>Based</w:t>
      </w:r>
      <w:r w:rsidRPr="00D01870">
        <w:rPr>
          <w:rFonts w:asciiTheme="majorHAnsi" w:hAnsiTheme="majorHAnsi"/>
          <w:sz w:val="20"/>
          <w:szCs w:val="20"/>
          <w:lang w:val="en-US"/>
        </w:rPr>
        <w:t xml:space="preserve"> on the considerations of fact and law contained in this report, the IACHR concludes that the State of Cuba violated the rights recognized in Articles I</w:t>
      </w:r>
      <w:r w:rsidR="00713B50" w:rsidRPr="00D01870">
        <w:rPr>
          <w:rFonts w:asciiTheme="majorHAnsi" w:hAnsiTheme="majorHAnsi"/>
          <w:sz w:val="20"/>
          <w:szCs w:val="20"/>
          <w:lang w:val="en-US"/>
        </w:rPr>
        <w:t xml:space="preserve"> </w:t>
      </w:r>
      <w:r w:rsidRPr="00D01870">
        <w:rPr>
          <w:rFonts w:asciiTheme="majorHAnsi" w:eastAsia="SimSun" w:hAnsiTheme="majorHAnsi"/>
          <w:sz w:val="20"/>
          <w:szCs w:val="20"/>
          <w:lang w:val="en-US"/>
        </w:rPr>
        <w:t>(right to life, liberty and personal security), II (right to equality before the law), IV (right to freedom of investigation, opinion, expression, and dissemination), V (right to protection of honor, personal reputation, and private and family life), VIII (right to residence and movement), X (right to the inviolability and transmission of correspondence), XVIII (right to a fair trial), XXI (right of assembly), XXIV (right of petition), XXV (right of protection from arbitrary arrest)</w:t>
      </w:r>
      <w:r w:rsidR="00D606F1" w:rsidRPr="00D01870">
        <w:rPr>
          <w:rFonts w:asciiTheme="majorHAnsi" w:eastAsia="SimSun" w:hAnsiTheme="majorHAnsi"/>
          <w:sz w:val="20"/>
          <w:szCs w:val="20"/>
          <w:lang w:val="en-US"/>
        </w:rPr>
        <w:t>, and XXVI (right to due process of law)</w:t>
      </w:r>
      <w:r w:rsidRPr="00D01870">
        <w:rPr>
          <w:rFonts w:asciiTheme="majorHAnsi" w:eastAsia="SimSun" w:hAnsiTheme="majorHAnsi"/>
          <w:sz w:val="20"/>
          <w:szCs w:val="20"/>
          <w:lang w:val="en-US"/>
        </w:rPr>
        <w:t xml:space="preserve"> of the </w:t>
      </w:r>
      <w:r w:rsidRPr="00F66452">
        <w:rPr>
          <w:rFonts w:asciiTheme="majorHAnsi" w:eastAsia="Times New Roman" w:hAnsiTheme="majorHAnsi"/>
          <w:bCs/>
          <w:sz w:val="20"/>
          <w:szCs w:val="20"/>
          <w:bdr w:val="none" w:sz="0" w:space="0" w:color="auto"/>
          <w:lang w:val="en-US"/>
        </w:rPr>
        <w:t>American</w:t>
      </w:r>
      <w:r w:rsidRPr="00D01870">
        <w:rPr>
          <w:rFonts w:asciiTheme="majorHAnsi" w:eastAsia="SimSun" w:hAnsiTheme="majorHAnsi"/>
          <w:sz w:val="20"/>
          <w:szCs w:val="20"/>
          <w:lang w:val="en-US"/>
        </w:rPr>
        <w:t xml:space="preserve"> Declaration of the Rights and Duties of Man</w:t>
      </w:r>
      <w:r w:rsidR="00713B50" w:rsidRPr="00D01870">
        <w:rPr>
          <w:rFonts w:asciiTheme="majorHAnsi" w:eastAsia="SimSun" w:hAnsiTheme="majorHAnsi"/>
          <w:sz w:val="20"/>
          <w:szCs w:val="20"/>
          <w:lang w:val="en-US"/>
        </w:rPr>
        <w:t xml:space="preserve">, </w:t>
      </w:r>
      <w:r w:rsidR="00D606F1" w:rsidRPr="00D01870">
        <w:rPr>
          <w:rFonts w:asciiTheme="majorHAnsi" w:eastAsia="SimSun" w:hAnsiTheme="majorHAnsi"/>
          <w:sz w:val="20"/>
          <w:szCs w:val="20"/>
          <w:lang w:val="en-US"/>
        </w:rPr>
        <w:t>to the detriment of</w:t>
      </w:r>
      <w:r w:rsidR="00713B50" w:rsidRPr="00D01870">
        <w:rPr>
          <w:rFonts w:asciiTheme="majorHAnsi" w:eastAsia="SimSun" w:hAnsiTheme="majorHAnsi"/>
          <w:sz w:val="20"/>
          <w:szCs w:val="20"/>
          <w:lang w:val="en-US"/>
        </w:rPr>
        <w:t xml:space="preserve"> </w:t>
      </w:r>
      <w:proofErr w:type="spellStart"/>
      <w:r w:rsidR="00713B50" w:rsidRPr="00D01870">
        <w:rPr>
          <w:rFonts w:asciiTheme="majorHAnsi" w:eastAsia="SimSun" w:hAnsiTheme="majorHAnsi"/>
          <w:sz w:val="20"/>
          <w:szCs w:val="20"/>
          <w:lang w:val="en-US"/>
        </w:rPr>
        <w:t>Yoani</w:t>
      </w:r>
      <w:proofErr w:type="spellEnd"/>
      <w:r w:rsidR="00713B50" w:rsidRPr="00D01870">
        <w:rPr>
          <w:rFonts w:asciiTheme="majorHAnsi" w:eastAsia="SimSun" w:hAnsiTheme="majorHAnsi"/>
          <w:sz w:val="20"/>
          <w:szCs w:val="20"/>
          <w:lang w:val="en-US"/>
        </w:rPr>
        <w:t xml:space="preserve"> Sánchez Cordero.</w:t>
      </w:r>
      <w:r w:rsidR="00713B50" w:rsidRPr="00D01870">
        <w:rPr>
          <w:rFonts w:asciiTheme="majorHAnsi" w:hAnsiTheme="majorHAnsi"/>
          <w:sz w:val="20"/>
          <w:szCs w:val="20"/>
          <w:lang w:val="en-US"/>
        </w:rPr>
        <w:t xml:space="preserve"> </w:t>
      </w:r>
      <w:r w:rsidR="00D606F1" w:rsidRPr="00D01870">
        <w:rPr>
          <w:rFonts w:asciiTheme="majorHAnsi" w:hAnsiTheme="majorHAnsi" w:cs="Arial"/>
          <w:bCs/>
          <w:sz w:val="20"/>
          <w:szCs w:val="20"/>
          <w:lang w:val="en-US"/>
        </w:rPr>
        <w:t xml:space="preserve">The Commission also concludes that the State is not responsible </w:t>
      </w:r>
      <w:r w:rsidR="00D9737E" w:rsidRPr="00D01870">
        <w:rPr>
          <w:rFonts w:asciiTheme="majorHAnsi" w:hAnsiTheme="majorHAnsi" w:cs="Arial"/>
          <w:bCs/>
          <w:sz w:val="20"/>
          <w:szCs w:val="20"/>
          <w:lang w:val="en-US"/>
        </w:rPr>
        <w:t xml:space="preserve">for violating </w:t>
      </w:r>
      <w:r w:rsidR="00D606F1" w:rsidRPr="00D01870">
        <w:rPr>
          <w:rFonts w:asciiTheme="majorHAnsi" w:hAnsiTheme="majorHAnsi" w:cs="Arial"/>
          <w:bCs/>
          <w:sz w:val="20"/>
          <w:szCs w:val="20"/>
          <w:lang w:val="en-US"/>
        </w:rPr>
        <w:t xml:space="preserve">the rights enshrined in Articles </w:t>
      </w:r>
      <w:r w:rsidR="00D606F1" w:rsidRPr="00D01870">
        <w:rPr>
          <w:rFonts w:asciiTheme="majorHAnsi" w:eastAsia="SimSun" w:hAnsiTheme="majorHAnsi"/>
          <w:sz w:val="20"/>
          <w:szCs w:val="20"/>
          <w:lang w:val="en-US"/>
        </w:rPr>
        <w:t>IX (right to the inviolability of the home</w:t>
      </w:r>
      <w:r w:rsidR="00713B50" w:rsidRPr="00D01870">
        <w:rPr>
          <w:rFonts w:asciiTheme="majorHAnsi" w:eastAsia="SimSun" w:hAnsiTheme="majorHAnsi"/>
          <w:sz w:val="20"/>
          <w:szCs w:val="20"/>
          <w:lang w:val="en-US"/>
        </w:rPr>
        <w:t xml:space="preserve">), </w:t>
      </w:r>
      <w:r w:rsidR="00D606F1" w:rsidRPr="00D01870">
        <w:rPr>
          <w:rFonts w:asciiTheme="majorHAnsi" w:eastAsia="SimSun" w:hAnsiTheme="majorHAnsi"/>
          <w:sz w:val="20"/>
          <w:szCs w:val="20"/>
          <w:lang w:val="en-US"/>
        </w:rPr>
        <w:t>XX (right to vote and to participate in government</w:t>
      </w:r>
      <w:r w:rsidR="00713B50" w:rsidRPr="00D01870">
        <w:rPr>
          <w:rFonts w:asciiTheme="majorHAnsi" w:eastAsia="SimSun" w:hAnsiTheme="majorHAnsi"/>
          <w:sz w:val="20"/>
          <w:szCs w:val="20"/>
          <w:lang w:val="en-US"/>
        </w:rPr>
        <w:t xml:space="preserve">), </w:t>
      </w:r>
      <w:r w:rsidR="00D606F1" w:rsidRPr="00D01870">
        <w:rPr>
          <w:rFonts w:asciiTheme="majorHAnsi" w:eastAsia="SimSun" w:hAnsiTheme="majorHAnsi"/>
          <w:sz w:val="20"/>
          <w:szCs w:val="20"/>
          <w:lang w:val="en-US"/>
        </w:rPr>
        <w:t>and</w:t>
      </w:r>
      <w:r w:rsidR="00713B50" w:rsidRPr="00D01870">
        <w:rPr>
          <w:rFonts w:asciiTheme="majorHAnsi" w:eastAsia="SimSun" w:hAnsiTheme="majorHAnsi"/>
          <w:sz w:val="20"/>
          <w:szCs w:val="20"/>
          <w:lang w:val="en-US"/>
        </w:rPr>
        <w:t xml:space="preserve"> </w:t>
      </w:r>
      <w:r w:rsidR="00D606F1" w:rsidRPr="00D01870">
        <w:rPr>
          <w:rFonts w:asciiTheme="majorHAnsi" w:eastAsia="SimSun" w:hAnsiTheme="majorHAnsi"/>
          <w:sz w:val="20"/>
          <w:szCs w:val="20"/>
          <w:lang w:val="en-US"/>
        </w:rPr>
        <w:t xml:space="preserve">XXII (right of association), to the detriment of </w:t>
      </w:r>
      <w:proofErr w:type="spellStart"/>
      <w:r w:rsidR="00713B50" w:rsidRPr="00D01870">
        <w:rPr>
          <w:rFonts w:asciiTheme="majorHAnsi" w:eastAsia="SimSun" w:hAnsiTheme="majorHAnsi"/>
          <w:sz w:val="20"/>
          <w:szCs w:val="20"/>
          <w:lang w:val="en-US"/>
        </w:rPr>
        <w:t>Yoani</w:t>
      </w:r>
      <w:proofErr w:type="spellEnd"/>
      <w:r w:rsidR="00713B50" w:rsidRPr="00D01870">
        <w:rPr>
          <w:rFonts w:asciiTheme="majorHAnsi" w:eastAsia="SimSun" w:hAnsiTheme="majorHAnsi"/>
          <w:sz w:val="20"/>
          <w:szCs w:val="20"/>
          <w:lang w:val="en-US"/>
        </w:rPr>
        <w:t xml:space="preserve"> Sánchez Cordero.</w:t>
      </w:r>
    </w:p>
    <w:p w14:paraId="21AABAEC" w14:textId="77777777" w:rsidR="00713B50" w:rsidRPr="00D01870" w:rsidRDefault="00713B50" w:rsidP="00713B50">
      <w:pPr>
        <w:pBdr>
          <w:top w:val="none" w:sz="0" w:space="0" w:color="auto"/>
          <w:left w:val="none" w:sz="0" w:space="0" w:color="auto"/>
          <w:bottom w:val="none" w:sz="0" w:space="0" w:color="auto"/>
          <w:right w:val="none" w:sz="0" w:space="0" w:color="auto"/>
        </w:pBdr>
        <w:jc w:val="both"/>
        <w:rPr>
          <w:rFonts w:asciiTheme="majorHAnsi" w:hAnsiTheme="majorHAnsi"/>
          <w:b/>
          <w:bCs/>
          <w:sz w:val="20"/>
          <w:szCs w:val="20"/>
          <w:lang w:val="en-US"/>
        </w:rPr>
      </w:pPr>
    </w:p>
    <w:p w14:paraId="2DD1A276" w14:textId="7D63A3C6" w:rsidR="00713B50" w:rsidRPr="00B24750" w:rsidRDefault="00A445CD" w:rsidP="00713B50">
      <w:pPr>
        <w:pBdr>
          <w:top w:val="none" w:sz="0" w:space="0" w:color="auto"/>
          <w:left w:val="none" w:sz="0" w:space="0" w:color="auto"/>
          <w:bottom w:val="none" w:sz="0" w:space="0" w:color="auto"/>
          <w:right w:val="none" w:sz="0" w:space="0" w:color="auto"/>
        </w:pBdr>
        <w:jc w:val="both"/>
        <w:rPr>
          <w:rFonts w:asciiTheme="majorHAnsi" w:hAnsiTheme="majorHAnsi"/>
          <w:b/>
          <w:bCs/>
          <w:sz w:val="20"/>
          <w:szCs w:val="20"/>
          <w:lang w:val="en-US"/>
        </w:rPr>
      </w:pPr>
      <w:r w:rsidRPr="00D01870">
        <w:rPr>
          <w:rFonts w:asciiTheme="majorHAnsi" w:hAnsiTheme="majorHAnsi"/>
          <w:b/>
          <w:bCs/>
          <w:sz w:val="20"/>
          <w:szCs w:val="20"/>
          <w:lang w:val="en-US"/>
        </w:rPr>
        <w:t>THE INTER-AMERICAN COMMISSION ON HUMAN RIGHTS RE</w:t>
      </w:r>
      <w:r w:rsidR="003101BD" w:rsidRPr="00D01870">
        <w:rPr>
          <w:rFonts w:asciiTheme="majorHAnsi" w:hAnsiTheme="majorHAnsi"/>
          <w:b/>
          <w:bCs/>
          <w:sz w:val="20"/>
          <w:szCs w:val="20"/>
          <w:lang w:val="en-US"/>
        </w:rPr>
        <w:t>ITERATES</w:t>
      </w:r>
      <w:r w:rsidRPr="00A445CD">
        <w:rPr>
          <w:rFonts w:asciiTheme="majorHAnsi" w:hAnsiTheme="majorHAnsi"/>
          <w:b/>
          <w:bCs/>
          <w:sz w:val="20"/>
          <w:szCs w:val="20"/>
          <w:lang w:val="en-US"/>
        </w:rPr>
        <w:t xml:space="preserve"> THAT THE STATE OF CUBA</w:t>
      </w:r>
      <w:r w:rsidR="00713B50" w:rsidRPr="00B24750">
        <w:rPr>
          <w:rFonts w:asciiTheme="majorHAnsi" w:hAnsiTheme="majorHAnsi"/>
          <w:b/>
          <w:bCs/>
          <w:sz w:val="20"/>
          <w:szCs w:val="20"/>
          <w:lang w:val="en-US"/>
        </w:rPr>
        <w:t>:</w:t>
      </w:r>
    </w:p>
    <w:p w14:paraId="5E526195" w14:textId="77777777" w:rsidR="00713B50" w:rsidRPr="00B24750" w:rsidRDefault="00713B50" w:rsidP="00713B50">
      <w:pPr>
        <w:pBdr>
          <w:top w:val="none" w:sz="0" w:space="0" w:color="auto"/>
          <w:left w:val="none" w:sz="0" w:space="0" w:color="auto"/>
          <w:bottom w:val="none" w:sz="0" w:space="0" w:color="auto"/>
          <w:right w:val="none" w:sz="0" w:space="0" w:color="auto"/>
        </w:pBdr>
        <w:jc w:val="both"/>
        <w:rPr>
          <w:rFonts w:asciiTheme="majorHAnsi" w:hAnsiTheme="majorHAnsi"/>
          <w:sz w:val="20"/>
          <w:szCs w:val="20"/>
          <w:lang w:val="en-US"/>
        </w:rPr>
      </w:pPr>
    </w:p>
    <w:p w14:paraId="445A75E4" w14:textId="0CCFF78B" w:rsidR="005C7C82" w:rsidRPr="00281216" w:rsidRDefault="005C7C82"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cs="Times New Roman"/>
          <w:sz w:val="20"/>
          <w:szCs w:val="20"/>
        </w:rPr>
      </w:pPr>
      <w:r w:rsidRPr="00281216">
        <w:rPr>
          <w:rFonts w:cs="Tahoma"/>
          <w:sz w:val="20"/>
          <w:szCs w:val="20"/>
        </w:rPr>
        <w:t xml:space="preserve">Make full and comprehensive reparations, both pecuniary and non-pecuniary, for the human rights violations declared in this report, </w:t>
      </w:r>
      <w:r w:rsidR="00281216" w:rsidRPr="00281216">
        <w:rPr>
          <w:rFonts w:cs="Tahoma"/>
          <w:sz w:val="20"/>
          <w:szCs w:val="20"/>
        </w:rPr>
        <w:t xml:space="preserve">which must include reparation for the stigmatization to which </w:t>
      </w:r>
      <w:proofErr w:type="spellStart"/>
      <w:r w:rsidR="00281216" w:rsidRPr="00281216">
        <w:rPr>
          <w:rFonts w:cs="Tahoma"/>
          <w:sz w:val="20"/>
          <w:szCs w:val="20"/>
        </w:rPr>
        <w:t>Yoani</w:t>
      </w:r>
      <w:proofErr w:type="spellEnd"/>
      <w:r w:rsidR="00281216" w:rsidRPr="00281216">
        <w:rPr>
          <w:rFonts w:cs="Tahoma"/>
          <w:sz w:val="20"/>
          <w:szCs w:val="20"/>
        </w:rPr>
        <w:t xml:space="preserve"> Sánchez has been subjected.</w:t>
      </w:r>
    </w:p>
    <w:p w14:paraId="2E692F43" w14:textId="77777777" w:rsidR="005C7C82" w:rsidRPr="007D1D43" w:rsidRDefault="005C7C82"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rPr>
      </w:pPr>
    </w:p>
    <w:p w14:paraId="6165D7BE" w14:textId="7741E59F" w:rsidR="005C7C82" w:rsidRPr="00A66ACE" w:rsidRDefault="00A445CD"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sz w:val="20"/>
          <w:szCs w:val="20"/>
        </w:rPr>
      </w:pPr>
      <w:r w:rsidRPr="007D1D43">
        <w:rPr>
          <w:sz w:val="20"/>
          <w:szCs w:val="20"/>
        </w:rPr>
        <w:t xml:space="preserve">Immediately cease all persecution against </w:t>
      </w:r>
      <w:proofErr w:type="spellStart"/>
      <w:r w:rsidRPr="007D1D43">
        <w:rPr>
          <w:sz w:val="20"/>
          <w:szCs w:val="20"/>
        </w:rPr>
        <w:t>Yoani</w:t>
      </w:r>
      <w:proofErr w:type="spellEnd"/>
      <w:r w:rsidRPr="007D1D43">
        <w:rPr>
          <w:sz w:val="20"/>
          <w:szCs w:val="20"/>
        </w:rPr>
        <w:t xml:space="preserve"> Sánchez Cordero, in particular, acts of harassment, smear campaigns, wiretapping, attacks, </w:t>
      </w:r>
      <w:r w:rsidR="005C7C82" w:rsidRPr="007D1D43">
        <w:rPr>
          <w:sz w:val="20"/>
          <w:szCs w:val="20"/>
        </w:rPr>
        <w:t xml:space="preserve">arbitrary police </w:t>
      </w:r>
      <w:r w:rsidRPr="007D1D43">
        <w:rPr>
          <w:sz w:val="20"/>
          <w:szCs w:val="20"/>
        </w:rPr>
        <w:t>summonses</w:t>
      </w:r>
      <w:r w:rsidR="00D9737E" w:rsidRPr="007D1D43">
        <w:rPr>
          <w:sz w:val="20"/>
          <w:szCs w:val="20"/>
        </w:rPr>
        <w:t>,</w:t>
      </w:r>
      <w:r w:rsidRPr="007D1D43">
        <w:rPr>
          <w:sz w:val="20"/>
          <w:szCs w:val="20"/>
        </w:rPr>
        <w:t xml:space="preserve"> guaranteeing that the journalist can carry out her work without fear of intimidation or reprisals</w:t>
      </w:r>
      <w:r w:rsidRPr="00DB011F">
        <w:rPr>
          <w:sz w:val="20"/>
          <w:szCs w:val="20"/>
        </w:rPr>
        <w:t>, and without undue restrictions on her right to freedom of expression</w:t>
      </w:r>
      <w:r w:rsidR="00DB011F" w:rsidRPr="00DB011F">
        <w:rPr>
          <w:sz w:val="20"/>
          <w:szCs w:val="20"/>
        </w:rPr>
        <w:t>, of assembly and other rights analyzed in this report</w:t>
      </w:r>
      <w:r w:rsidR="005C7C82" w:rsidRPr="00DB011F">
        <w:rPr>
          <w:rFonts w:eastAsia="Times New Roman"/>
          <w:sz w:val="20"/>
          <w:szCs w:val="20"/>
        </w:rPr>
        <w:t>.</w:t>
      </w:r>
      <w:r w:rsidR="005C7C82" w:rsidRPr="007D1D43">
        <w:rPr>
          <w:rFonts w:eastAsia="Times New Roman"/>
          <w:sz w:val="20"/>
          <w:szCs w:val="20"/>
        </w:rPr>
        <w:t xml:space="preserve"> </w:t>
      </w:r>
    </w:p>
    <w:p w14:paraId="6F7E3281" w14:textId="77777777" w:rsidR="005C7C82" w:rsidRPr="007D1D43" w:rsidRDefault="005C7C82"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rPr>
      </w:pPr>
    </w:p>
    <w:p w14:paraId="5DD571F8" w14:textId="77777777" w:rsidR="005C7C82" w:rsidRPr="007D1D43" w:rsidRDefault="005C7C82"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cs="Times New Roman"/>
          <w:sz w:val="20"/>
          <w:szCs w:val="20"/>
        </w:rPr>
      </w:pPr>
      <w:r w:rsidRPr="007D1D43">
        <w:rPr>
          <w:rFonts w:eastAsia="Times New Roman"/>
          <w:sz w:val="20"/>
          <w:szCs w:val="20"/>
        </w:rPr>
        <w:t xml:space="preserve">Take the necessary measures to fully guarantee </w:t>
      </w:r>
      <w:proofErr w:type="spellStart"/>
      <w:r w:rsidRPr="007D1D43">
        <w:rPr>
          <w:rFonts w:eastAsia="Times New Roman"/>
          <w:sz w:val="20"/>
          <w:szCs w:val="20"/>
        </w:rPr>
        <w:t>Yoani</w:t>
      </w:r>
      <w:proofErr w:type="spellEnd"/>
      <w:r w:rsidRPr="007D1D43">
        <w:rPr>
          <w:rFonts w:eastAsia="Times New Roman"/>
          <w:sz w:val="20"/>
          <w:szCs w:val="20"/>
        </w:rPr>
        <w:t xml:space="preserve"> Sánchez’s right to leave and enter Cuba freely and to move freely within the country.</w:t>
      </w:r>
    </w:p>
    <w:p w14:paraId="6F4E79A0" w14:textId="640F3CBC" w:rsidR="00713B50" w:rsidRPr="007D1D43" w:rsidRDefault="00713B50"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rPr>
      </w:pPr>
    </w:p>
    <w:p w14:paraId="002525C3" w14:textId="130F1EA9" w:rsidR="005C7C82" w:rsidRPr="007D1D43" w:rsidRDefault="005C7C82"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sz w:val="20"/>
          <w:szCs w:val="20"/>
        </w:rPr>
      </w:pPr>
      <w:r w:rsidRPr="007D1D43">
        <w:rPr>
          <w:rFonts w:eastAsia="Times New Roman"/>
          <w:sz w:val="20"/>
          <w:szCs w:val="20"/>
          <w:bdr w:val="none" w:sz="0" w:space="0" w:color="auto"/>
        </w:rPr>
        <w:t xml:space="preserve">Conduct a thorough, impartial, effective, and expeditious investigation to clarify the circumstances of the unlawful and arbitrary detentions and physical assaults perpetrated against </w:t>
      </w:r>
      <w:proofErr w:type="spellStart"/>
      <w:r w:rsidRPr="007D1D43">
        <w:rPr>
          <w:rFonts w:eastAsia="Times New Roman"/>
          <w:sz w:val="20"/>
          <w:szCs w:val="20"/>
          <w:bdr w:val="none" w:sz="0" w:space="0" w:color="auto"/>
        </w:rPr>
        <w:t>Yoani</w:t>
      </w:r>
      <w:proofErr w:type="spellEnd"/>
      <w:r w:rsidRPr="007D1D43">
        <w:rPr>
          <w:rFonts w:eastAsia="Times New Roman"/>
          <w:sz w:val="20"/>
          <w:szCs w:val="20"/>
          <w:bdr w:val="none" w:sz="0" w:space="0" w:color="auto"/>
        </w:rPr>
        <w:t xml:space="preserve"> Sánchez, especially the facts related to the attempted forced nudity, and determine the responsibility of both the direct perpetrators and the masterminds </w:t>
      </w:r>
      <w:r w:rsidR="00B03B0E" w:rsidRPr="00B03B0E">
        <w:rPr>
          <w:rFonts w:eastAsia="Times New Roman"/>
          <w:sz w:val="20"/>
          <w:szCs w:val="20"/>
          <w:bdr w:val="none" w:sz="0" w:space="0" w:color="auto"/>
        </w:rPr>
        <w:t>and adopt measures to prevent events like these from happening again.</w:t>
      </w:r>
    </w:p>
    <w:p w14:paraId="3799F79A" w14:textId="397EF4E7" w:rsidR="005C7C82" w:rsidRPr="007D1D43" w:rsidRDefault="005C7C82"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sz w:val="20"/>
          <w:szCs w:val="20"/>
        </w:rPr>
      </w:pPr>
    </w:p>
    <w:p w14:paraId="6545DC5F" w14:textId="159DC355" w:rsidR="00A66ACE" w:rsidRPr="00A81C17" w:rsidRDefault="00A66ACE"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cs="Times New Roman"/>
          <w:sz w:val="20"/>
          <w:szCs w:val="20"/>
        </w:rPr>
      </w:pPr>
      <w:r w:rsidRPr="007D1D43">
        <w:rPr>
          <w:rFonts w:eastAsia="Times New Roman"/>
          <w:sz w:val="20"/>
          <w:szCs w:val="20"/>
        </w:rPr>
        <w:t xml:space="preserve">Deactivate the computer filter that blocks access to the blog </w:t>
      </w:r>
      <w:r w:rsidR="008F44FE" w:rsidRPr="008F44FE">
        <w:rPr>
          <w:rFonts w:eastAsia="Times New Roman"/>
          <w:sz w:val="20"/>
          <w:szCs w:val="20"/>
        </w:rPr>
        <w:t>“</w:t>
      </w:r>
      <w:proofErr w:type="spellStart"/>
      <w:r w:rsidRPr="008F44FE">
        <w:rPr>
          <w:rFonts w:eastAsia="Times New Roman"/>
          <w:sz w:val="20"/>
          <w:szCs w:val="20"/>
        </w:rPr>
        <w:t>Generación</w:t>
      </w:r>
      <w:proofErr w:type="spellEnd"/>
      <w:r w:rsidRPr="008F44FE">
        <w:rPr>
          <w:rFonts w:eastAsia="Times New Roman"/>
          <w:sz w:val="20"/>
          <w:szCs w:val="20"/>
        </w:rPr>
        <w:t xml:space="preserve"> Y</w:t>
      </w:r>
      <w:r w:rsidR="008F44FE" w:rsidRPr="008F44FE">
        <w:rPr>
          <w:rFonts w:eastAsia="Times New Roman"/>
          <w:sz w:val="20"/>
          <w:szCs w:val="20"/>
        </w:rPr>
        <w:t>”</w:t>
      </w:r>
      <w:r w:rsidRPr="007D1D43">
        <w:rPr>
          <w:rFonts w:eastAsia="Times New Roman"/>
          <w:sz w:val="20"/>
          <w:szCs w:val="20"/>
        </w:rPr>
        <w:t xml:space="preserve"> from public internet sites in </w:t>
      </w:r>
      <w:r w:rsidRPr="00A81C17">
        <w:rPr>
          <w:rFonts w:eastAsia="Times New Roman"/>
          <w:sz w:val="20"/>
          <w:szCs w:val="20"/>
        </w:rPr>
        <w:t xml:space="preserve">Cuba and allow access to </w:t>
      </w:r>
      <w:proofErr w:type="spellStart"/>
      <w:r w:rsidRPr="00A81C17">
        <w:rPr>
          <w:rFonts w:eastAsia="Times New Roman"/>
          <w:sz w:val="20"/>
          <w:szCs w:val="20"/>
        </w:rPr>
        <w:t>Yoani</w:t>
      </w:r>
      <w:proofErr w:type="spellEnd"/>
      <w:r w:rsidRPr="00A81C17">
        <w:rPr>
          <w:rFonts w:eastAsia="Times New Roman"/>
          <w:sz w:val="20"/>
          <w:szCs w:val="20"/>
        </w:rPr>
        <w:t xml:space="preserve"> Sánchez’s online content within Cuba, adhering to the principle of net neutrality under the standards described in this report. </w:t>
      </w:r>
    </w:p>
    <w:p w14:paraId="0BDB962C" w14:textId="77777777" w:rsidR="005C7C82" w:rsidRPr="00A81C17" w:rsidRDefault="005C7C82" w:rsidP="007B681D">
      <w:pPr>
        <w:ind w:left="720" w:hanging="720"/>
        <w:rPr>
          <w:rFonts w:eastAsia="Times New Roman"/>
          <w:sz w:val="20"/>
          <w:szCs w:val="20"/>
          <w:lang w:val="en-US"/>
        </w:rPr>
      </w:pPr>
    </w:p>
    <w:p w14:paraId="35921403" w14:textId="12B8F6C3" w:rsidR="00B03B0E" w:rsidRPr="00A81C17" w:rsidRDefault="00B03B0E"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sz w:val="20"/>
          <w:szCs w:val="20"/>
        </w:rPr>
      </w:pPr>
      <w:r w:rsidRPr="00A81C17">
        <w:rPr>
          <w:rFonts w:eastAsia="Times New Roman"/>
          <w:sz w:val="20"/>
          <w:szCs w:val="20"/>
        </w:rPr>
        <w:lastRenderedPageBreak/>
        <w:t xml:space="preserve">Adopt the following guarantees of non-repetition, for which the State must: </w:t>
      </w:r>
      <w:proofErr w:type="spellStart"/>
      <w:r w:rsidRPr="00A81C17">
        <w:rPr>
          <w:rFonts w:eastAsia="Times New Roman"/>
          <w:sz w:val="20"/>
          <w:szCs w:val="20"/>
        </w:rPr>
        <w:t>i</w:t>
      </w:r>
      <w:proofErr w:type="spellEnd"/>
      <w:r w:rsidRPr="00A81C17">
        <w:rPr>
          <w:rFonts w:eastAsia="Times New Roman"/>
          <w:sz w:val="20"/>
          <w:szCs w:val="20"/>
        </w:rPr>
        <w:t xml:space="preserve">) Adapt its laws, procedures and practices to the international norms and standards on human rights established in this report, for which it must, among other things, modify its internal regulations, including those relating to the digital environment, in order to ensure the </w:t>
      </w:r>
      <w:r w:rsidR="0049429F" w:rsidRPr="00A81C17">
        <w:rPr>
          <w:rFonts w:eastAsia="Times New Roman"/>
          <w:sz w:val="20"/>
          <w:szCs w:val="20"/>
        </w:rPr>
        <w:t xml:space="preserve">effective </w:t>
      </w:r>
      <w:r w:rsidRPr="00A81C17">
        <w:rPr>
          <w:rFonts w:eastAsia="Times New Roman"/>
          <w:sz w:val="20"/>
          <w:szCs w:val="20"/>
        </w:rPr>
        <w:t>exercise and enjoyment of the rights analyzed, especially the right to freedom of expression, without conditioning on the defense of the socialist State, and ii ) Adopt adequate and effective prevention, investigation</w:t>
      </w:r>
      <w:r w:rsidR="006A01C4" w:rsidRPr="00A81C17">
        <w:rPr>
          <w:rFonts w:eastAsia="Times New Roman"/>
          <w:sz w:val="20"/>
          <w:szCs w:val="20"/>
        </w:rPr>
        <w:t>,</w:t>
      </w:r>
      <w:r w:rsidRPr="00A81C17">
        <w:rPr>
          <w:rFonts w:eastAsia="Times New Roman"/>
          <w:sz w:val="20"/>
          <w:szCs w:val="20"/>
        </w:rPr>
        <w:t xml:space="preserve"> and sanction mechanisms, with a gender perspective, to avoid and combat violence and harassment against journalists and/or social communicators, whether they come from state agents or third</w:t>
      </w:r>
      <w:r w:rsidRPr="0049429F">
        <w:rPr>
          <w:rFonts w:eastAsia="Times New Roman"/>
          <w:sz w:val="20"/>
          <w:szCs w:val="20"/>
        </w:rPr>
        <w:t xml:space="preserve"> parties. The foregoing should include public condemnation of any act of aggression, including gender violence, especially from the highest levels of government; refraining from resorting to stigmatizing </w:t>
      </w:r>
      <w:r w:rsidRPr="00A81C17">
        <w:rPr>
          <w:rFonts w:eastAsia="Times New Roman"/>
          <w:sz w:val="20"/>
          <w:szCs w:val="20"/>
        </w:rPr>
        <w:t xml:space="preserve">statements by public authorities or people who use public communication media, as well as the adoption of necessary measures to guarantee the initiation of investigations and judicial processes </w:t>
      </w:r>
      <w:r w:rsidR="00311E7D" w:rsidRPr="00A81C17">
        <w:rPr>
          <w:rFonts w:eastAsia="Times New Roman"/>
          <w:sz w:val="20"/>
          <w:szCs w:val="20"/>
        </w:rPr>
        <w:t xml:space="preserve">when complaints are filed </w:t>
      </w:r>
      <w:r w:rsidRPr="00A81C17">
        <w:rPr>
          <w:rFonts w:eastAsia="Times New Roman"/>
          <w:sz w:val="20"/>
          <w:szCs w:val="20"/>
        </w:rPr>
        <w:t>for the commission of acts of violence, in accordance with the provisions of this report.</w:t>
      </w:r>
    </w:p>
    <w:p w14:paraId="28662324" w14:textId="77777777" w:rsidR="005C7C82" w:rsidRPr="00AF2D01" w:rsidRDefault="005C7C82"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sz w:val="20"/>
          <w:szCs w:val="20"/>
        </w:rPr>
      </w:pPr>
    </w:p>
    <w:p w14:paraId="715EDF70" w14:textId="0AEA2D31" w:rsidR="005C7C82" w:rsidRPr="00A81C17" w:rsidRDefault="0084264C"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sz w:val="20"/>
          <w:szCs w:val="20"/>
          <w:bdr w:val="none" w:sz="0" w:space="0" w:color="auto"/>
        </w:rPr>
      </w:pPr>
      <w:r w:rsidRPr="00A81C17">
        <w:rPr>
          <w:sz w:val="20"/>
          <w:szCs w:val="20"/>
          <w:bdr w:val="none" w:sz="0" w:space="0" w:color="auto"/>
        </w:rPr>
        <w:t>Refrain from exercising absolute control over the internet, as well as filtering and blocking content arbitrarily, that is, for restrictions on freedom of expression on the Internet to be legitimate, they must comply with the requirements of legality, legitimate purpose, necessity</w:t>
      </w:r>
      <w:r w:rsidR="00A96967" w:rsidRPr="00A81C17">
        <w:rPr>
          <w:sz w:val="20"/>
          <w:szCs w:val="20"/>
          <w:bdr w:val="none" w:sz="0" w:space="0" w:color="auto"/>
        </w:rPr>
        <w:t>,</w:t>
      </w:r>
      <w:r w:rsidRPr="00A81C17">
        <w:rPr>
          <w:sz w:val="20"/>
          <w:szCs w:val="20"/>
          <w:bdr w:val="none" w:sz="0" w:space="0" w:color="auto"/>
        </w:rPr>
        <w:t xml:space="preserve"> and proportionality. The State must adopt safeguards to guarantee transparency regarding the contents whose removal has been ordered, based on the requirements described above.</w:t>
      </w:r>
    </w:p>
    <w:p w14:paraId="5FAEC7D8" w14:textId="77777777" w:rsidR="005C7C82" w:rsidRPr="00A81C17" w:rsidRDefault="005C7C82" w:rsidP="007B681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eastAsia="Times New Roman" w:cs="Times New Roman"/>
          <w:sz w:val="20"/>
          <w:szCs w:val="20"/>
        </w:rPr>
      </w:pPr>
    </w:p>
    <w:p w14:paraId="4F35828F" w14:textId="5A523057" w:rsidR="005C7C82" w:rsidRPr="00A96967" w:rsidRDefault="00A96967" w:rsidP="007B681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eastAsia="Times New Roman"/>
          <w:sz w:val="20"/>
          <w:szCs w:val="20"/>
        </w:rPr>
      </w:pPr>
      <w:r w:rsidRPr="00A81C17">
        <w:rPr>
          <w:rFonts w:eastAsia="Times New Roman"/>
          <w:sz w:val="20"/>
          <w:szCs w:val="20"/>
          <w:bdr w:val="none" w:sz="0" w:space="0" w:color="auto"/>
        </w:rPr>
        <w:t>Adopt the necessary measures to guarantee the independence and impartiality, both institutional and functional, of the fiscal and judicial authorities and of any other type of state officials that adopt decisions that determine the scope of human rights of the people, such as the Directorate of Immigration and Foreigners, in accordance with the criteria</w:t>
      </w:r>
      <w:r w:rsidRPr="00A96967">
        <w:rPr>
          <w:rFonts w:eastAsia="Times New Roman"/>
          <w:sz w:val="20"/>
          <w:szCs w:val="20"/>
          <w:bdr w:val="none" w:sz="0" w:space="0" w:color="auto"/>
        </w:rPr>
        <w:t xml:space="preserve"> established in this report.</w:t>
      </w:r>
    </w:p>
    <w:p w14:paraId="72CF16C3" w14:textId="77777777" w:rsidR="001E4D5A" w:rsidRPr="009D14E7" w:rsidRDefault="001E4D5A" w:rsidP="001E4D5A">
      <w:pPr>
        <w:rPr>
          <w:lang w:val="en-US"/>
        </w:rPr>
      </w:pPr>
    </w:p>
    <w:p w14:paraId="0DA93074" w14:textId="77777777" w:rsidR="001E4D5A" w:rsidRPr="00CF0FE6" w:rsidRDefault="001E4D5A" w:rsidP="009D14E7">
      <w:pPr>
        <w:pStyle w:val="Heading1"/>
        <w:rPr>
          <w:rFonts w:ascii="Cambria" w:hAnsi="Cambria"/>
        </w:rPr>
      </w:pPr>
      <w:bookmarkStart w:id="49" w:name="_Toc47694458"/>
      <w:bookmarkStart w:id="50" w:name="_Toc58426172"/>
      <w:bookmarkStart w:id="51" w:name="_Toc58490122"/>
      <w:bookmarkStart w:id="52" w:name="_Toc90392493"/>
      <w:r w:rsidRPr="00CF0FE6">
        <w:t>PUBLICATION</w:t>
      </w:r>
      <w:bookmarkEnd w:id="49"/>
      <w:bookmarkEnd w:id="50"/>
      <w:bookmarkEnd w:id="51"/>
      <w:bookmarkEnd w:id="52"/>
      <w:r w:rsidRPr="00CF0FE6">
        <w:rPr>
          <w:rFonts w:ascii="Cambria" w:hAnsi="Cambria"/>
        </w:rPr>
        <w:t xml:space="preserve"> </w:t>
      </w:r>
    </w:p>
    <w:p w14:paraId="2EB47E20" w14:textId="77777777" w:rsidR="001E4D5A" w:rsidRPr="00CF0FE6" w:rsidRDefault="001E4D5A" w:rsidP="001E4D5A">
      <w:pPr>
        <w:rPr>
          <w:rFonts w:asciiTheme="majorHAnsi" w:hAnsiTheme="majorHAnsi"/>
          <w:sz w:val="20"/>
          <w:szCs w:val="20"/>
        </w:rPr>
      </w:pPr>
    </w:p>
    <w:p w14:paraId="77CD5E13" w14:textId="7829881F" w:rsidR="005639B9" w:rsidRPr="00CF0FE6" w:rsidRDefault="001E4D5A" w:rsidP="00F664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0"/>
        <w:jc w:val="both"/>
        <w:rPr>
          <w:rFonts w:asciiTheme="majorHAnsi" w:hAnsiTheme="majorHAnsi"/>
          <w:sz w:val="20"/>
          <w:szCs w:val="20"/>
          <w:lang w:val="en-US"/>
        </w:rPr>
      </w:pPr>
      <w:r w:rsidRPr="00CF0FE6">
        <w:rPr>
          <w:rFonts w:asciiTheme="majorHAnsi" w:eastAsia="Times New Roman" w:hAnsiTheme="majorHAnsi"/>
          <w:bCs/>
          <w:sz w:val="20"/>
          <w:szCs w:val="20"/>
          <w:bdr w:val="none" w:sz="0" w:space="0" w:color="auto"/>
          <w:lang w:val="en-US"/>
        </w:rPr>
        <w:t>In</w:t>
      </w:r>
      <w:r w:rsidRPr="00CF0FE6">
        <w:rPr>
          <w:rFonts w:asciiTheme="majorHAnsi" w:hAnsiTheme="majorHAnsi"/>
          <w:sz w:val="20"/>
          <w:szCs w:val="20"/>
          <w:lang w:val="en-US"/>
        </w:rPr>
        <w:t xml:space="preserve"> light of the above and in accordance with Article 47.3 of its Rules of Procedure, the IACHR decides to make this report public, and to include it in its Annual Report to the General Assembly of the Organization of American </w:t>
      </w:r>
      <w:r w:rsidRPr="00F66452">
        <w:rPr>
          <w:rFonts w:asciiTheme="majorHAnsi" w:eastAsia="Times New Roman" w:hAnsiTheme="majorHAnsi"/>
          <w:bCs/>
          <w:sz w:val="20"/>
          <w:szCs w:val="20"/>
          <w:bdr w:val="none" w:sz="0" w:space="0" w:color="auto"/>
          <w:lang w:val="en-US"/>
        </w:rPr>
        <w:t>States</w:t>
      </w:r>
      <w:r w:rsidRPr="00CF0FE6">
        <w:rPr>
          <w:rFonts w:asciiTheme="majorHAnsi" w:hAnsiTheme="majorHAnsi"/>
          <w:sz w:val="20"/>
          <w:szCs w:val="20"/>
          <w:lang w:val="en-US"/>
        </w:rPr>
        <w:t xml:space="preserve">. The Inter-American Commission, according to the norms contained in the instruments which govern its mandate, will continue evaluating the measures adopted by Cuba with respect to the above recommendations until it determines there has been full compliance. </w:t>
      </w:r>
    </w:p>
    <w:p w14:paraId="6C580C6A" w14:textId="08E121CB" w:rsidR="003A6945" w:rsidRDefault="003A6945" w:rsidP="003A69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highlight w:val="yellow"/>
          <w:lang w:val="en-US"/>
        </w:rPr>
      </w:pPr>
    </w:p>
    <w:p w14:paraId="25FFEC99" w14:textId="21C54698" w:rsidR="00CF0FE6" w:rsidRPr="009D14E7" w:rsidRDefault="00CF0FE6" w:rsidP="00F6645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lang w:val="en-US"/>
        </w:rPr>
      </w:pPr>
      <w:r w:rsidRPr="009D14E7">
        <w:rPr>
          <w:rFonts w:asciiTheme="majorHAnsi" w:eastAsia="Times New Roman" w:hAnsiTheme="majorHAnsi"/>
          <w:sz w:val="20"/>
          <w:szCs w:val="20"/>
          <w:lang w:val="en-US"/>
        </w:rPr>
        <w:t>Approved by the Inter-American Commission on Human Rights on the 30th day of October 2021. (Signed):</w:t>
      </w:r>
      <w:r w:rsidRPr="009D14E7">
        <w:rPr>
          <w:rFonts w:asciiTheme="majorHAnsi" w:eastAsia="Times New Roman" w:hAnsiTheme="majorHAnsi"/>
          <w:lang w:val="en-US"/>
        </w:rPr>
        <w:t xml:space="preserve"> </w:t>
      </w:r>
      <w:r w:rsidRPr="009D14E7">
        <w:rPr>
          <w:rFonts w:asciiTheme="majorHAnsi" w:eastAsia="Times New Roman" w:hAnsiTheme="majorHAnsi"/>
          <w:sz w:val="20"/>
          <w:szCs w:val="20"/>
          <w:lang w:val="en-US"/>
        </w:rPr>
        <w:t xml:space="preserve">Antonia Urrejola </w:t>
      </w:r>
      <w:proofErr w:type="spellStart"/>
      <w:r w:rsidRPr="009D14E7">
        <w:rPr>
          <w:rFonts w:asciiTheme="majorHAnsi" w:eastAsia="Times New Roman" w:hAnsiTheme="majorHAnsi"/>
          <w:sz w:val="20"/>
          <w:szCs w:val="20"/>
          <w:lang w:val="en-US"/>
        </w:rPr>
        <w:t>Noguera</w:t>
      </w:r>
      <w:proofErr w:type="spellEnd"/>
      <w:r w:rsidRPr="009D14E7">
        <w:rPr>
          <w:rFonts w:asciiTheme="majorHAnsi" w:eastAsia="Times New Roman" w:hAnsiTheme="majorHAnsi"/>
          <w:sz w:val="20"/>
          <w:szCs w:val="20"/>
          <w:lang w:val="en-US"/>
        </w:rPr>
        <w:t>, President; Julissa Mantilla Falcón,</w:t>
      </w:r>
      <w:r w:rsidRPr="009D14E7">
        <w:rPr>
          <w:rFonts w:asciiTheme="majorHAnsi" w:eastAsia="Times New Roman" w:hAnsiTheme="majorHAnsi"/>
          <w:lang w:val="en-US"/>
        </w:rPr>
        <w:t xml:space="preserve"> </w:t>
      </w:r>
      <w:r w:rsidRPr="009D14E7">
        <w:rPr>
          <w:rFonts w:asciiTheme="majorHAnsi" w:eastAsia="Times New Roman" w:hAnsiTheme="majorHAnsi"/>
          <w:sz w:val="20"/>
          <w:szCs w:val="20"/>
          <w:lang w:val="en-US"/>
        </w:rPr>
        <w:t>First Vice President;</w:t>
      </w:r>
      <w:r w:rsidRPr="009D14E7">
        <w:rPr>
          <w:rFonts w:asciiTheme="majorHAnsi" w:eastAsia="Times New Roman" w:hAnsiTheme="majorHAnsi"/>
          <w:lang w:val="en-US"/>
        </w:rPr>
        <w:t xml:space="preserve"> </w:t>
      </w:r>
      <w:proofErr w:type="spellStart"/>
      <w:r w:rsidRPr="009D14E7">
        <w:rPr>
          <w:rFonts w:asciiTheme="majorHAnsi" w:eastAsia="Times New Roman" w:hAnsiTheme="majorHAnsi"/>
          <w:sz w:val="20"/>
          <w:szCs w:val="20"/>
          <w:lang w:val="en-US"/>
        </w:rPr>
        <w:t>Flávia</w:t>
      </w:r>
      <w:proofErr w:type="spellEnd"/>
      <w:r w:rsidRPr="009D14E7">
        <w:rPr>
          <w:rFonts w:asciiTheme="majorHAnsi" w:eastAsia="Times New Roman" w:hAnsiTheme="majorHAnsi"/>
          <w:sz w:val="20"/>
          <w:szCs w:val="20"/>
          <w:lang w:val="en-US"/>
        </w:rPr>
        <w:t xml:space="preserve"> </w:t>
      </w:r>
      <w:proofErr w:type="spellStart"/>
      <w:r w:rsidRPr="009D14E7">
        <w:rPr>
          <w:rFonts w:asciiTheme="majorHAnsi" w:eastAsia="Times New Roman" w:hAnsiTheme="majorHAnsi"/>
          <w:sz w:val="20"/>
          <w:szCs w:val="20"/>
          <w:lang w:val="en-US"/>
        </w:rPr>
        <w:t>Piovesan</w:t>
      </w:r>
      <w:proofErr w:type="spellEnd"/>
      <w:r w:rsidRPr="009D14E7">
        <w:rPr>
          <w:rFonts w:asciiTheme="majorHAnsi" w:eastAsia="Times New Roman" w:hAnsiTheme="majorHAnsi"/>
          <w:sz w:val="20"/>
          <w:szCs w:val="20"/>
          <w:lang w:val="en-US"/>
        </w:rPr>
        <w:t xml:space="preserve">, Second Vice </w:t>
      </w:r>
      <w:r w:rsidRPr="00F66452">
        <w:rPr>
          <w:rFonts w:asciiTheme="majorHAnsi" w:eastAsia="Times New Roman" w:hAnsiTheme="majorHAnsi"/>
          <w:bCs/>
          <w:sz w:val="20"/>
          <w:szCs w:val="20"/>
          <w:bdr w:val="none" w:sz="0" w:space="0" w:color="auto"/>
          <w:lang w:val="en-US"/>
        </w:rPr>
        <w:t>President</w:t>
      </w:r>
      <w:r w:rsidRPr="009D14E7">
        <w:rPr>
          <w:rFonts w:asciiTheme="majorHAnsi" w:eastAsia="Times New Roman" w:hAnsiTheme="majorHAnsi"/>
          <w:sz w:val="20"/>
          <w:szCs w:val="20"/>
          <w:lang w:val="en-US"/>
        </w:rPr>
        <w:t>; Margarette May Macaulay,</w:t>
      </w:r>
      <w:r w:rsidRPr="009D14E7">
        <w:rPr>
          <w:rFonts w:asciiTheme="majorHAnsi" w:eastAsia="Times New Roman" w:hAnsiTheme="majorHAnsi"/>
          <w:lang w:val="en-US"/>
        </w:rPr>
        <w:t xml:space="preserve"> </w:t>
      </w:r>
      <w:r w:rsidRPr="009D14E7">
        <w:rPr>
          <w:rFonts w:asciiTheme="majorHAnsi" w:eastAsia="Times New Roman" w:hAnsiTheme="majorHAnsi"/>
          <w:sz w:val="20"/>
          <w:szCs w:val="20"/>
          <w:lang w:val="en-US"/>
        </w:rPr>
        <w:t xml:space="preserve">Esmeralda E. </w:t>
      </w:r>
      <w:proofErr w:type="spellStart"/>
      <w:r w:rsidRPr="009D14E7">
        <w:rPr>
          <w:rFonts w:asciiTheme="majorHAnsi" w:eastAsia="Times New Roman" w:hAnsiTheme="majorHAnsi"/>
          <w:sz w:val="20"/>
          <w:szCs w:val="20"/>
          <w:lang w:val="en-US"/>
        </w:rPr>
        <w:t>Arosemena</w:t>
      </w:r>
      <w:proofErr w:type="spellEnd"/>
      <w:r w:rsidRPr="009D14E7">
        <w:rPr>
          <w:rFonts w:asciiTheme="majorHAnsi" w:eastAsia="Times New Roman" w:hAnsiTheme="majorHAnsi"/>
          <w:sz w:val="20"/>
          <w:szCs w:val="20"/>
          <w:lang w:val="en-US"/>
        </w:rPr>
        <w:t xml:space="preserve"> Bernal de </w:t>
      </w:r>
      <w:proofErr w:type="spellStart"/>
      <w:r w:rsidRPr="009D14E7">
        <w:rPr>
          <w:rFonts w:asciiTheme="majorHAnsi" w:eastAsia="Times New Roman" w:hAnsiTheme="majorHAnsi"/>
          <w:sz w:val="20"/>
          <w:szCs w:val="20"/>
          <w:lang w:val="en-US"/>
        </w:rPr>
        <w:t>Troitiño</w:t>
      </w:r>
      <w:proofErr w:type="spellEnd"/>
      <w:r w:rsidRPr="009D14E7">
        <w:rPr>
          <w:rFonts w:asciiTheme="majorHAnsi" w:eastAsia="Times New Roman" w:hAnsiTheme="majorHAnsi"/>
          <w:sz w:val="20"/>
          <w:szCs w:val="20"/>
          <w:lang w:val="en-US"/>
        </w:rPr>
        <w:t>, Joel Hernández García and</w:t>
      </w:r>
      <w:r w:rsidRPr="009D14E7">
        <w:rPr>
          <w:rFonts w:asciiTheme="majorHAnsi" w:eastAsia="Times New Roman" w:hAnsiTheme="majorHAnsi"/>
          <w:lang w:val="en-US"/>
        </w:rPr>
        <w:t xml:space="preserve"> </w:t>
      </w:r>
      <w:r w:rsidRPr="009D14E7">
        <w:rPr>
          <w:rFonts w:asciiTheme="majorHAnsi" w:eastAsia="Times New Roman" w:hAnsiTheme="majorHAnsi"/>
          <w:sz w:val="20"/>
          <w:szCs w:val="20"/>
          <w:lang w:val="en-US"/>
        </w:rPr>
        <w:t xml:space="preserve">Edgar </w:t>
      </w:r>
      <w:proofErr w:type="spellStart"/>
      <w:r w:rsidRPr="009D14E7">
        <w:rPr>
          <w:rFonts w:asciiTheme="majorHAnsi" w:eastAsia="Times New Roman" w:hAnsiTheme="majorHAnsi"/>
          <w:sz w:val="20"/>
          <w:szCs w:val="20"/>
          <w:lang w:val="en-US"/>
        </w:rPr>
        <w:t>Stuardo</w:t>
      </w:r>
      <w:proofErr w:type="spellEnd"/>
      <w:r w:rsidRPr="009D14E7">
        <w:rPr>
          <w:rFonts w:asciiTheme="majorHAnsi" w:eastAsia="Times New Roman" w:hAnsiTheme="majorHAnsi"/>
          <w:sz w:val="20"/>
          <w:szCs w:val="20"/>
          <w:lang w:val="en-US"/>
        </w:rPr>
        <w:t xml:space="preserve"> </w:t>
      </w:r>
      <w:proofErr w:type="spellStart"/>
      <w:r w:rsidRPr="009D14E7">
        <w:rPr>
          <w:rFonts w:asciiTheme="majorHAnsi" w:eastAsia="Times New Roman" w:hAnsiTheme="majorHAnsi"/>
          <w:sz w:val="20"/>
          <w:szCs w:val="20"/>
          <w:lang w:val="en-US"/>
        </w:rPr>
        <w:t>Ralón</w:t>
      </w:r>
      <w:proofErr w:type="spellEnd"/>
      <w:r w:rsidRPr="009D14E7">
        <w:rPr>
          <w:rFonts w:asciiTheme="majorHAnsi" w:eastAsia="Times New Roman" w:hAnsiTheme="majorHAnsi"/>
          <w:sz w:val="20"/>
          <w:szCs w:val="20"/>
          <w:lang w:val="en-US"/>
        </w:rPr>
        <w:t xml:space="preserve"> Orellana, Commissioners.</w:t>
      </w:r>
    </w:p>
    <w:p w14:paraId="6624708A" w14:textId="77777777" w:rsidR="00CF0FE6" w:rsidRPr="009D14E7" w:rsidRDefault="00CF0FE6" w:rsidP="00CF0F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n-US"/>
        </w:rPr>
      </w:pPr>
    </w:p>
    <w:sectPr w:rsidR="00CF0FE6" w:rsidRPr="009D14E7" w:rsidSect="00F40B97">
      <w:headerReference w:type="even" r:id="rId10"/>
      <w:headerReference w:type="default" r:id="rId11"/>
      <w:footerReference w:type="defaul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2BD7" w14:textId="77777777" w:rsidR="00A52D71" w:rsidRDefault="00A52D71">
      <w:r>
        <w:separator/>
      </w:r>
    </w:p>
  </w:endnote>
  <w:endnote w:type="continuationSeparator" w:id="0">
    <w:p w14:paraId="516A05C6" w14:textId="77777777" w:rsidR="00A52D71" w:rsidRDefault="00A5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862100F" w14:textId="0C5A4512" w:rsidR="003A6945" w:rsidRPr="00934A2C" w:rsidRDefault="003A694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350ED4E9" w14:textId="77777777" w:rsidR="003A6945" w:rsidRDefault="003A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D7B7" w14:textId="77777777" w:rsidR="003A6945" w:rsidRPr="00934A2C" w:rsidRDefault="003A6945">
    <w:pPr>
      <w:pStyle w:val="Footer"/>
      <w:jc w:val="center"/>
      <w:rPr>
        <w:sz w:val="16"/>
        <w:szCs w:val="22"/>
      </w:rPr>
    </w:pPr>
  </w:p>
  <w:p w14:paraId="44A262E5" w14:textId="77777777" w:rsidR="003A6945" w:rsidRDefault="003A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10CD" w14:textId="77777777" w:rsidR="00A52D71" w:rsidRPr="000F35ED" w:rsidRDefault="00A52D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E07621" w14:textId="77777777" w:rsidR="00A52D71" w:rsidRPr="000F35ED" w:rsidRDefault="00A52D71" w:rsidP="000F35ED">
      <w:pPr>
        <w:rPr>
          <w:rFonts w:asciiTheme="majorHAnsi" w:hAnsiTheme="majorHAnsi"/>
          <w:sz w:val="16"/>
          <w:szCs w:val="16"/>
        </w:rPr>
      </w:pPr>
      <w:r w:rsidRPr="000F35ED">
        <w:rPr>
          <w:rFonts w:asciiTheme="majorHAnsi" w:hAnsiTheme="majorHAnsi"/>
          <w:sz w:val="16"/>
          <w:szCs w:val="16"/>
        </w:rPr>
        <w:separator/>
      </w:r>
    </w:p>
    <w:p w14:paraId="51209E10" w14:textId="77777777" w:rsidR="00A52D71" w:rsidRPr="000F35ED" w:rsidRDefault="00A52D7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5DD8777E" w14:textId="77777777" w:rsidR="00A52D71" w:rsidRPr="000F35ED" w:rsidRDefault="00A52D7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0C3F7D9" w14:textId="4C1F05E4" w:rsidR="003A6945" w:rsidRPr="001C1F8A" w:rsidRDefault="003A6945" w:rsidP="00651FCD">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The petitioners requested that their identity be withheld based on Article 28.2 of the Rules of Procedure of the IACHR, which establishes that “Petitions addressed to the Commission shall contain the following information: […] 2. whether the petitioner wishes that his or her identity be withheld from the State, and the respective reasons.”</w:t>
      </w:r>
    </w:p>
  </w:footnote>
  <w:footnote w:id="3">
    <w:p w14:paraId="5FF8395A" w14:textId="18FEE5B6" w:rsidR="003A6945" w:rsidRPr="001C1F8A" w:rsidRDefault="003A6945" w:rsidP="000C4210">
      <w:pPr>
        <w:pStyle w:val="FootnoteText"/>
        <w:jc w:val="both"/>
        <w:rPr>
          <w:rFonts w:ascii="Cambria" w:hAnsi="Cambria"/>
          <w:sz w:val="16"/>
          <w:szCs w:val="16"/>
          <w:vertAlign w:val="superscript"/>
        </w:rPr>
      </w:pPr>
      <w:r w:rsidRPr="001C1F8A">
        <w:rPr>
          <w:rStyle w:val="FootnoteReference"/>
          <w:rFonts w:ascii="Cambria" w:hAnsi="Cambria"/>
          <w:sz w:val="16"/>
          <w:szCs w:val="16"/>
        </w:rPr>
        <w:footnoteRef/>
      </w:r>
      <w:r w:rsidRPr="001C1F8A">
        <w:rPr>
          <w:rFonts w:ascii="Cambria" w:hAnsi="Cambria"/>
          <w:sz w:val="16"/>
          <w:szCs w:val="16"/>
        </w:rPr>
        <w:t xml:space="preserve"> The petitioners filed a request for precautionary measures on September 28, 2012, in the same brief as the initial petition. On October 5, 2012, they amended that information, and on October 17, 2012, they provided further information to the IACHR at its request. The IACHR requested observations from the Cuban State, which did not reply. The precautionary measures were adopted in a communication dated November 9, 2012, and, as of the date of issue of this report, remain in force. IACHR</w:t>
      </w:r>
      <w:hyperlink r:id="rId1" w:history="1">
        <w:r w:rsidRPr="001C1F8A">
          <w:rPr>
            <w:rStyle w:val="Hyperlink"/>
            <w:rFonts w:ascii="Cambria" w:hAnsi="Cambria"/>
            <w:color w:val="auto"/>
            <w:sz w:val="16"/>
            <w:szCs w:val="16"/>
            <w:u w:val="none"/>
          </w:rPr>
          <w:t xml:space="preserve">. Communication of November 9, 2012. MC-350-12. </w:t>
        </w:r>
        <w:proofErr w:type="spellStart"/>
        <w:r w:rsidRPr="001C1F8A">
          <w:rPr>
            <w:rStyle w:val="Hyperlink"/>
            <w:rFonts w:ascii="Cambria" w:hAnsi="Cambria"/>
            <w:color w:val="auto"/>
            <w:sz w:val="16"/>
            <w:szCs w:val="16"/>
            <w:u w:val="none"/>
          </w:rPr>
          <w:t>Yoani</w:t>
        </w:r>
        <w:proofErr w:type="spellEnd"/>
        <w:r w:rsidRPr="001C1F8A">
          <w:rPr>
            <w:rStyle w:val="Hyperlink"/>
            <w:rFonts w:ascii="Cambria" w:hAnsi="Cambria"/>
            <w:color w:val="auto"/>
            <w:sz w:val="16"/>
            <w:szCs w:val="16"/>
            <w:u w:val="none"/>
          </w:rPr>
          <w:t xml:space="preserve"> María Sánchez Cordero, Cuba</w:t>
        </w:r>
      </w:hyperlink>
      <w:r w:rsidRPr="001C1F8A">
        <w:rPr>
          <w:rFonts w:ascii="Cambria" w:hAnsi="Cambria"/>
          <w:color w:val="auto"/>
          <w:sz w:val="16"/>
          <w:szCs w:val="16"/>
        </w:rPr>
        <w:t>.</w:t>
      </w:r>
    </w:p>
  </w:footnote>
  <w:footnote w:id="4">
    <w:p w14:paraId="0F3E4FEC" w14:textId="6004E760" w:rsidR="003A6945" w:rsidRPr="001C1F8A" w:rsidRDefault="003A6945" w:rsidP="0058539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Communication sent by the IACHR to the State of Cuba on July 23, 2018, giving notice of its decision to implement Resolution 1/16 of October 18, 2016.</w:t>
      </w:r>
    </w:p>
  </w:footnote>
  <w:footnote w:id="5">
    <w:p w14:paraId="648CDB70" w14:textId="40914DD7" w:rsidR="003A6945" w:rsidRPr="001C1F8A" w:rsidRDefault="003A6945" w:rsidP="0058539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lang w:val="en-US"/>
        </w:rPr>
      </w:pPr>
      <w:r w:rsidRPr="001C1F8A">
        <w:rPr>
          <w:rFonts w:ascii="Cambria" w:eastAsia="Calibri" w:hAnsi="Cambria" w:cs="Calibri"/>
          <w:color w:val="000000"/>
          <w:sz w:val="16"/>
          <w:szCs w:val="16"/>
          <w:u w:color="000000"/>
          <w:vertAlign w:val="superscript"/>
          <w:lang w:val="en-US" w:eastAsia="es-ES"/>
        </w:rPr>
        <w:footnoteRef/>
      </w:r>
      <w:r w:rsidRPr="001C1F8A">
        <w:rPr>
          <w:rFonts w:ascii="Cambria" w:eastAsia="Calibri" w:hAnsi="Cambria" w:cs="Calibri"/>
          <w:color w:val="000000"/>
          <w:sz w:val="16"/>
          <w:szCs w:val="16"/>
          <w:u w:color="000000"/>
          <w:lang w:val="en-US" w:eastAsia="es-ES"/>
        </w:rPr>
        <w:t xml:space="preserve"> On July 26, 2016, the IACHR forwarded the relevant parts of the petition. The State did not submit observations on the petition, even though the IACHR reiterated its request. After the adoption and publication of Resolution 1/16, the State still did not submit observations on the admissibility or merits of the case. On February 11, 2019, the petitioning party submitted its observations on the merits.</w:t>
      </w:r>
    </w:p>
  </w:footnote>
  <w:footnote w:id="6">
    <w:p w14:paraId="0F9D6586" w14:textId="2B493900" w:rsidR="003A6945" w:rsidRPr="001C1F8A" w:rsidRDefault="003A6945" w:rsidP="00A6162D">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71/16. Petition 765-09. Admissibility. </w:t>
      </w:r>
      <w:proofErr w:type="spellStart"/>
      <w:r w:rsidRPr="001C1F8A">
        <w:rPr>
          <w:rFonts w:ascii="Cambria" w:hAnsi="Cambria"/>
          <w:sz w:val="16"/>
          <w:szCs w:val="16"/>
        </w:rPr>
        <w:t>Q’oq’ob</w:t>
      </w:r>
      <w:proofErr w:type="spellEnd"/>
      <w:r w:rsidRPr="001C1F8A">
        <w:rPr>
          <w:rFonts w:ascii="Cambria" w:hAnsi="Cambria"/>
          <w:sz w:val="16"/>
          <w:szCs w:val="16"/>
        </w:rPr>
        <w:t xml:space="preserve"> Community of the Municipality of Santa María Nebaj. Guatemala. December 6, 2016, para. 27; IACHR. Report No. 77/20. Petition 1756-10. Inadmissibility. Ismael Estrada. United States of America. March 25, 2020, para. 8.</w:t>
      </w:r>
    </w:p>
  </w:footnote>
  <w:footnote w:id="7">
    <w:p w14:paraId="5BF8063D" w14:textId="77777777" w:rsidR="003A6945" w:rsidRPr="001C1F8A" w:rsidRDefault="003A6945" w:rsidP="00426B6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8/21, Petition 992/10. Admissibility. Guillermo </w:t>
      </w:r>
      <w:proofErr w:type="spellStart"/>
      <w:r w:rsidRPr="001C1F8A">
        <w:rPr>
          <w:rFonts w:ascii="Cambria" w:hAnsi="Cambria"/>
          <w:sz w:val="16"/>
          <w:szCs w:val="16"/>
        </w:rPr>
        <w:t>Zuloaga</w:t>
      </w:r>
      <w:proofErr w:type="spellEnd"/>
      <w:r w:rsidRPr="001C1F8A">
        <w:rPr>
          <w:rFonts w:ascii="Cambria" w:hAnsi="Cambria"/>
          <w:sz w:val="16"/>
          <w:szCs w:val="16"/>
        </w:rPr>
        <w:t xml:space="preserve"> </w:t>
      </w:r>
      <w:proofErr w:type="spellStart"/>
      <w:r w:rsidRPr="001C1F8A">
        <w:rPr>
          <w:rFonts w:ascii="Cambria" w:hAnsi="Cambria"/>
          <w:sz w:val="16"/>
          <w:szCs w:val="16"/>
        </w:rPr>
        <w:t>Núñez</w:t>
      </w:r>
      <w:proofErr w:type="spellEnd"/>
      <w:r w:rsidRPr="001C1F8A">
        <w:rPr>
          <w:rFonts w:ascii="Cambria" w:hAnsi="Cambria"/>
          <w:sz w:val="16"/>
          <w:szCs w:val="16"/>
        </w:rPr>
        <w:t>. Venezuela. January 10, 2021, para. 15.</w:t>
      </w:r>
    </w:p>
  </w:footnote>
  <w:footnote w:id="8">
    <w:p w14:paraId="79FE62BE" w14:textId="77777777"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1C1F8A">
        <w:rPr>
          <w:rFonts w:ascii="Cambria" w:hAnsi="Cambria"/>
          <w:sz w:val="16"/>
          <w:szCs w:val="16"/>
        </w:rPr>
        <w:t xml:space="preserve"> IACHR, Report No. 69/08, Petition 681-00. Admissibility. Guillermo Patricio Lynn. Argentina. October 16, 2008, para. 48, and Report No. 8/21, Petition 992/10. Admissibility. Guillermo </w:t>
      </w:r>
      <w:proofErr w:type="spellStart"/>
      <w:r w:rsidRPr="001C1F8A">
        <w:rPr>
          <w:rFonts w:ascii="Cambria" w:hAnsi="Cambria"/>
          <w:sz w:val="16"/>
          <w:szCs w:val="16"/>
        </w:rPr>
        <w:t>Zuloaga</w:t>
      </w:r>
      <w:proofErr w:type="spellEnd"/>
      <w:r w:rsidRPr="001C1F8A">
        <w:rPr>
          <w:rFonts w:ascii="Cambria" w:hAnsi="Cambria"/>
          <w:sz w:val="16"/>
          <w:szCs w:val="16"/>
        </w:rPr>
        <w:t xml:space="preserve"> </w:t>
      </w:r>
      <w:proofErr w:type="spellStart"/>
      <w:r w:rsidRPr="001C1F8A">
        <w:rPr>
          <w:rFonts w:ascii="Cambria" w:hAnsi="Cambria"/>
          <w:sz w:val="16"/>
          <w:szCs w:val="16"/>
        </w:rPr>
        <w:t>Núñez</w:t>
      </w:r>
      <w:proofErr w:type="spellEnd"/>
      <w:r w:rsidRPr="001C1F8A">
        <w:rPr>
          <w:rFonts w:ascii="Cambria" w:hAnsi="Cambria"/>
          <w:sz w:val="16"/>
          <w:szCs w:val="16"/>
        </w:rPr>
        <w:t xml:space="preserve">. </w:t>
      </w:r>
      <w:r w:rsidRPr="002A7A7E">
        <w:rPr>
          <w:rFonts w:ascii="Cambria" w:hAnsi="Cambria"/>
          <w:sz w:val="16"/>
          <w:szCs w:val="16"/>
          <w:lang w:val="es-PE"/>
        </w:rPr>
        <w:t>Venezuela. January 10, 2021, para. 15.</w:t>
      </w:r>
    </w:p>
  </w:footnote>
  <w:footnote w:id="9">
    <w:p w14:paraId="2F1F0417" w14:textId="71758A9A"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99-101.</w:t>
      </w:r>
    </w:p>
  </w:footnote>
  <w:footnote w:id="10">
    <w:p w14:paraId="53ECC3F1" w14:textId="2D655EE7"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168-175.</w:t>
      </w:r>
    </w:p>
  </w:footnote>
  <w:footnote w:id="11">
    <w:p w14:paraId="3D25C95F" w14:textId="4F72855D"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237-243.</w:t>
      </w:r>
    </w:p>
  </w:footnote>
  <w:footnote w:id="12">
    <w:p w14:paraId="6DAB0CAA" w14:textId="134C46A8"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323-329.</w:t>
      </w:r>
    </w:p>
  </w:footnote>
  <w:footnote w:id="13">
    <w:p w14:paraId="5611B6B7" w14:textId="67A55CDA"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211-216.</w:t>
      </w:r>
    </w:p>
  </w:footnote>
  <w:footnote w:id="14">
    <w:p w14:paraId="009B661F" w14:textId="13B8D66E"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107-114.</w:t>
      </w:r>
    </w:p>
  </w:footnote>
  <w:footnote w:id="15">
    <w:p w14:paraId="64A96C5B" w14:textId="6D54A8EB"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158-159.</w:t>
      </w:r>
    </w:p>
  </w:footnote>
  <w:footnote w:id="16">
    <w:p w14:paraId="52AEC8A2" w14:textId="05B4B3A7"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w:t>
      </w:r>
      <w:r>
        <w:rPr>
          <w:rFonts w:ascii="Cambria" w:hAnsi="Cambria"/>
          <w:sz w:val="16"/>
          <w:szCs w:val="16"/>
          <w:lang w:val="es-PE"/>
        </w:rPr>
        <w:t xml:space="preserve">Cuba, </w:t>
      </w:r>
      <w:r w:rsidRPr="002A7A7E">
        <w:rPr>
          <w:rFonts w:ascii="Cambria" w:hAnsi="Cambria"/>
          <w:sz w:val="16"/>
          <w:szCs w:val="16"/>
          <w:lang w:val="es-PE"/>
        </w:rPr>
        <w:t>paras. 202-204.</w:t>
      </w:r>
    </w:p>
  </w:footnote>
  <w:footnote w:id="17">
    <w:p w14:paraId="1653D189" w14:textId="28447E32"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Cuba, paras. 55-56.</w:t>
      </w:r>
    </w:p>
  </w:footnote>
  <w:footnote w:id="18">
    <w:p w14:paraId="289A30B7" w14:textId="27425E8E"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Cuba, paras. 62-64.</w:t>
      </w:r>
    </w:p>
  </w:footnote>
  <w:footnote w:id="19">
    <w:p w14:paraId="3E4B9BF2" w14:textId="789258CE"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Ch. IV.B, Cuba, paras. 33-35.</w:t>
      </w:r>
    </w:p>
  </w:footnote>
  <w:footnote w:id="20">
    <w:p w14:paraId="75AA66FB" w14:textId="5AF76C61" w:rsidR="003A6945" w:rsidRPr="001C1F8A" w:rsidRDefault="003A6945" w:rsidP="008B5AFB">
      <w:pPr>
        <w:pStyle w:val="FootnoteText"/>
        <w:jc w:val="both"/>
        <w:rPr>
          <w:rFonts w:ascii="Cambria" w:hAnsi="Cambria"/>
          <w:sz w:val="16"/>
          <w:szCs w:val="16"/>
        </w:rPr>
      </w:pPr>
      <w:r w:rsidRPr="001C1F8A">
        <w:rPr>
          <w:rStyle w:val="FootnoteReference"/>
          <w:rFonts w:ascii="Cambria" w:hAnsi="Cambria"/>
          <w:sz w:val="16"/>
          <w:szCs w:val="16"/>
        </w:rPr>
        <w:footnoteRef/>
      </w:r>
      <w:r w:rsidRPr="002A7A7E">
        <w:rPr>
          <w:rFonts w:ascii="Cambria" w:hAnsi="Cambria"/>
          <w:sz w:val="16"/>
          <w:szCs w:val="16"/>
          <w:lang w:val="es-PE"/>
        </w:rPr>
        <w:t xml:space="preserve"> Ch. IV.B, Cuba, paras. </w:t>
      </w:r>
      <w:r w:rsidRPr="001C1F8A">
        <w:rPr>
          <w:rFonts w:ascii="Cambria" w:hAnsi="Cambria"/>
          <w:sz w:val="16"/>
          <w:szCs w:val="16"/>
        </w:rPr>
        <w:t>26-28.</w:t>
      </w:r>
    </w:p>
  </w:footnote>
  <w:footnote w:id="21">
    <w:p w14:paraId="253DA3BF" w14:textId="496B38F1" w:rsidR="003A6945" w:rsidRPr="002A7A7E" w:rsidRDefault="003A6945" w:rsidP="008B5AFB">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2" w:history="1">
        <w:r w:rsidRPr="001C1F8A">
          <w:rPr>
            <w:rStyle w:val="Hyperlink"/>
            <w:rFonts w:ascii="Cambria" w:hAnsi="Cambria"/>
            <w:sz w:val="16"/>
            <w:szCs w:val="16"/>
          </w:rPr>
          <w:t>Special Report on the Situation of Freedom of Expression in Cuba</w:t>
        </w:r>
      </w:hyperlink>
      <w:r w:rsidRPr="001C1F8A">
        <w:rPr>
          <w:rStyle w:val="Hyperlink"/>
          <w:rFonts w:ascii="Cambria" w:hAnsi="Cambria"/>
          <w:sz w:val="16"/>
          <w:szCs w:val="16"/>
          <w:u w:val="none"/>
        </w:rPr>
        <w:t>.</w:t>
      </w:r>
      <w:r w:rsidRPr="001C1F8A">
        <w:rPr>
          <w:rFonts w:ascii="Cambria" w:hAnsi="Cambria"/>
          <w:sz w:val="16"/>
          <w:szCs w:val="16"/>
        </w:rPr>
        <w:t xml:space="preserve"> </w:t>
      </w:r>
      <w:r w:rsidRPr="002A7A7E">
        <w:rPr>
          <w:rFonts w:ascii="Cambria" w:hAnsi="Cambria"/>
          <w:sz w:val="16"/>
          <w:szCs w:val="16"/>
          <w:lang w:val="es-PE"/>
        </w:rPr>
        <w:t xml:space="preserve">OAS/SER.L/V/II CIDH/RELE/INF.21/18. December 31, 2018, para. 184. </w:t>
      </w:r>
    </w:p>
  </w:footnote>
  <w:footnote w:id="22">
    <w:p w14:paraId="48BF93E7" w14:textId="1033DB58" w:rsidR="003A6945" w:rsidRPr="001C1F8A" w:rsidRDefault="003A6945" w:rsidP="008B5AFB">
      <w:pPr>
        <w:pStyle w:val="FootnoteText"/>
        <w:jc w:val="both"/>
        <w:rPr>
          <w:rFonts w:ascii="Cambria" w:hAnsi="Cambria"/>
          <w:sz w:val="16"/>
          <w:szCs w:val="16"/>
        </w:rPr>
      </w:pPr>
      <w:r w:rsidRPr="001C1F8A">
        <w:rPr>
          <w:rStyle w:val="FootnoteReference"/>
          <w:rFonts w:ascii="Cambria" w:hAnsi="Cambria"/>
          <w:sz w:val="16"/>
          <w:szCs w:val="16"/>
        </w:rPr>
        <w:footnoteRef/>
      </w:r>
      <w:r w:rsidRPr="002A7A7E">
        <w:rPr>
          <w:rFonts w:ascii="Cambria" w:hAnsi="Cambria"/>
          <w:sz w:val="16"/>
          <w:szCs w:val="16"/>
          <w:lang w:val="es-PE"/>
        </w:rPr>
        <w:t xml:space="preserve"> Ch. IV.B, Cuba, paras. </w:t>
      </w:r>
      <w:r w:rsidRPr="001C1F8A">
        <w:rPr>
          <w:rFonts w:ascii="Cambria" w:hAnsi="Cambria"/>
          <w:sz w:val="16"/>
          <w:szCs w:val="16"/>
        </w:rPr>
        <w:t>6, 9, 19.</w:t>
      </w:r>
    </w:p>
  </w:footnote>
  <w:footnote w:id="23">
    <w:p w14:paraId="21723177" w14:textId="7417F4BA" w:rsidR="003A6945" w:rsidRPr="00D82AE2" w:rsidRDefault="003A6945" w:rsidP="00085E3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3" w:history="1">
        <w:r w:rsidRPr="00D82AE2">
          <w:rPr>
            <w:rStyle w:val="Hyperlink"/>
            <w:rFonts w:ascii="Cambria" w:hAnsi="Cambria"/>
            <w:sz w:val="16"/>
            <w:szCs w:val="16"/>
          </w:rPr>
          <w:t>Report on the Situation of Human Rights in Cuba</w:t>
        </w:r>
      </w:hyperlink>
      <w:r w:rsidRPr="00D82AE2">
        <w:rPr>
          <w:rFonts w:ascii="Cambria" w:hAnsi="Cambria"/>
          <w:sz w:val="16"/>
          <w:szCs w:val="16"/>
        </w:rPr>
        <w:t>. OEA/</w:t>
      </w:r>
      <w:proofErr w:type="spellStart"/>
      <w:r w:rsidRPr="00D82AE2">
        <w:rPr>
          <w:rFonts w:ascii="Cambria" w:hAnsi="Cambria"/>
          <w:sz w:val="16"/>
          <w:szCs w:val="16"/>
        </w:rPr>
        <w:t>Ser.L</w:t>
      </w:r>
      <w:proofErr w:type="spellEnd"/>
      <w:r w:rsidRPr="00D82AE2">
        <w:rPr>
          <w:rFonts w:ascii="Cambria" w:hAnsi="Cambria"/>
          <w:sz w:val="16"/>
          <w:szCs w:val="16"/>
        </w:rPr>
        <w:t xml:space="preserve">/V/II. Doc 2. February 3, 2020, paras. 114 </w:t>
      </w:r>
      <w:r w:rsidRPr="00D82AE2">
        <w:rPr>
          <w:rFonts w:ascii="Cambria" w:hAnsi="Cambria"/>
          <w:i/>
          <w:iCs/>
          <w:sz w:val="16"/>
          <w:szCs w:val="16"/>
        </w:rPr>
        <w:t>et seq</w:t>
      </w:r>
      <w:r w:rsidRPr="00D82AE2">
        <w:rPr>
          <w:rFonts w:ascii="Cambria" w:hAnsi="Cambria"/>
          <w:sz w:val="16"/>
          <w:szCs w:val="16"/>
        </w:rPr>
        <w:t xml:space="preserve">. </w:t>
      </w:r>
    </w:p>
  </w:footnote>
  <w:footnote w:id="24">
    <w:p w14:paraId="5BC24594" w14:textId="5EB83AE3" w:rsidR="003A6945" w:rsidRPr="008300E7" w:rsidRDefault="003A6945" w:rsidP="00D82AE2">
      <w:pPr>
        <w:pBdr>
          <w:bar w:val="none" w:sz="0" w:color="auto"/>
        </w:pBdr>
        <w:jc w:val="both"/>
        <w:rPr>
          <w:rFonts w:asciiTheme="majorHAnsi" w:eastAsia="Cambria" w:hAnsiTheme="majorHAnsi" w:cs="Cambria"/>
          <w:sz w:val="16"/>
          <w:szCs w:val="16"/>
          <w:lang w:val="en-US"/>
        </w:rPr>
      </w:pPr>
      <w:r w:rsidRPr="00D82AE2">
        <w:rPr>
          <w:rStyle w:val="FootnoteReference"/>
          <w:rFonts w:ascii="Cambria" w:hAnsi="Cambria"/>
          <w:sz w:val="16"/>
          <w:szCs w:val="16"/>
        </w:rPr>
        <w:footnoteRef/>
      </w:r>
      <w:r w:rsidRPr="00D82AE2">
        <w:rPr>
          <w:rFonts w:ascii="Cambria" w:hAnsi="Cambria"/>
          <w:sz w:val="16"/>
          <w:szCs w:val="16"/>
          <w:lang w:val="en-US"/>
        </w:rPr>
        <w:t xml:space="preserve"> IACHR. Annual Report 2020. </w:t>
      </w:r>
      <w:r w:rsidRPr="00AF2D01">
        <w:rPr>
          <w:rFonts w:ascii="Cambria" w:hAnsi="Cambria"/>
          <w:sz w:val="16"/>
          <w:szCs w:val="16"/>
          <w:lang w:val="es-PE"/>
        </w:rPr>
        <w:t xml:space="preserve">Ch. IV.B. Cuba, paras. </w:t>
      </w:r>
      <w:r w:rsidRPr="00D82AE2">
        <w:rPr>
          <w:rFonts w:ascii="Cambria" w:hAnsi="Cambria"/>
          <w:sz w:val="16"/>
          <w:szCs w:val="16"/>
          <w:lang w:val="en-US"/>
        </w:rPr>
        <w:t xml:space="preserve">4, 14. Pursuant to Article 59 subsection 6, literal </w:t>
      </w:r>
      <w:proofErr w:type="spellStart"/>
      <w:r w:rsidRPr="00D82AE2">
        <w:rPr>
          <w:rFonts w:ascii="Cambria" w:hAnsi="Cambria"/>
          <w:sz w:val="16"/>
          <w:szCs w:val="16"/>
          <w:lang w:val="en-US"/>
        </w:rPr>
        <w:t>a.i</w:t>
      </w:r>
      <w:proofErr w:type="spellEnd"/>
      <w:r w:rsidRPr="00D82AE2">
        <w:rPr>
          <w:rFonts w:ascii="Cambria" w:hAnsi="Cambria"/>
          <w:sz w:val="16"/>
          <w:szCs w:val="16"/>
          <w:lang w:val="en-US"/>
        </w:rPr>
        <w:t xml:space="preserve"> and c of the Rules of Procedure, Cuba meets the following criteria to be included in Chapter IV.B: (a) a serious breach of the core requirements and institutions of representative democracy mentioned in the Inter-American Democratic Charter, which are essential means of achieving human rights, including:: (</w:t>
      </w:r>
      <w:proofErr w:type="spellStart"/>
      <w:r w:rsidRPr="00D82AE2">
        <w:rPr>
          <w:rFonts w:ascii="Cambria" w:hAnsi="Cambria"/>
          <w:sz w:val="16"/>
          <w:szCs w:val="16"/>
          <w:lang w:val="en-US"/>
        </w:rPr>
        <w:t>i</w:t>
      </w:r>
      <w:proofErr w:type="spellEnd"/>
      <w:r w:rsidRPr="00D82AE2">
        <w:rPr>
          <w:rFonts w:ascii="Cambria" w:hAnsi="Cambria"/>
          <w:sz w:val="16"/>
          <w:szCs w:val="16"/>
          <w:lang w:val="en-US"/>
        </w:rPr>
        <w:t>) there is discriminatory access to or abusive exercise of power that undermines or denies the rule of law, such as systematic infringement of the independence of the judiciary or lack of subordination of State institutions to the legally constituted civilian authority; and  (c) The State has committed or is committing massive, serious and widespread violations of human rights guaranteed in the American Declaration, the American Convention, or the other applicable human rights instruments.</w:t>
      </w:r>
    </w:p>
  </w:footnote>
  <w:footnote w:id="25">
    <w:p w14:paraId="74FBA3BC" w14:textId="420CEBB1" w:rsidR="003A6945" w:rsidRPr="001C1F8A" w:rsidRDefault="003A6945" w:rsidP="00923CC3">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i/>
          <w:iCs/>
          <w:sz w:val="16"/>
          <w:szCs w:val="16"/>
        </w:rPr>
        <w:t xml:space="preserve">Mutatis </w:t>
      </w:r>
      <w:proofErr w:type="spellStart"/>
      <w:r w:rsidRPr="001C1F8A">
        <w:rPr>
          <w:rFonts w:ascii="Cambria" w:hAnsi="Cambria"/>
          <w:i/>
          <w:iCs/>
          <w:sz w:val="16"/>
          <w:szCs w:val="16"/>
        </w:rPr>
        <w:t>mutandi</w:t>
      </w:r>
      <w:proofErr w:type="spellEnd"/>
      <w:r w:rsidRPr="001C1F8A">
        <w:rPr>
          <w:rFonts w:ascii="Cambria" w:hAnsi="Cambria"/>
          <w:i/>
          <w:iCs/>
          <w:sz w:val="16"/>
          <w:szCs w:val="16"/>
        </w:rPr>
        <w:t xml:space="preserve">. </w:t>
      </w:r>
      <w:r w:rsidRPr="001C1F8A">
        <w:rPr>
          <w:rFonts w:ascii="Cambria" w:hAnsi="Cambria"/>
          <w:sz w:val="16"/>
          <w:szCs w:val="16"/>
        </w:rPr>
        <w:t xml:space="preserve">IACHR. </w:t>
      </w:r>
      <w:hyperlink r:id="rId4" w:history="1">
        <w:r w:rsidRPr="001C1F8A">
          <w:rPr>
            <w:rStyle w:val="Hyperlink"/>
            <w:rFonts w:ascii="Cambria" w:hAnsi="Cambria"/>
            <w:sz w:val="16"/>
            <w:szCs w:val="16"/>
          </w:rPr>
          <w:t>Report on the Situation of Human Rights in Cuba</w:t>
        </w:r>
      </w:hyperlink>
      <w:r w:rsidRPr="00157A82">
        <w:rPr>
          <w:rStyle w:val="Hyperlink"/>
          <w:rFonts w:ascii="Cambria" w:hAnsi="Cambria"/>
          <w:sz w:val="16"/>
          <w:szCs w:val="16"/>
          <w:u w:val="none"/>
        </w:rPr>
        <w:t xml:space="preserve">. </w:t>
      </w:r>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/V/II. Doc 2. February 3, 2020, paras. 114, 126.</w:t>
      </w:r>
    </w:p>
  </w:footnote>
  <w:footnote w:id="26">
    <w:p w14:paraId="62906A34" w14:textId="500CE9EE" w:rsidR="003A6945" w:rsidRPr="001C1F8A" w:rsidRDefault="003A6945" w:rsidP="000A695C">
      <w:pPr>
        <w:shd w:val="clear" w:color="auto" w:fill="FFFFFF"/>
        <w:jc w:val="both"/>
        <w:rPr>
          <w:rFonts w:ascii="Cambria" w:eastAsia="Times New Roman" w:hAnsi="Cambria"/>
          <w:color w:val="000000"/>
          <w:sz w:val="16"/>
          <w:szCs w:val="16"/>
          <w:bdr w:val="none" w:sz="0" w:space="0" w:color="auto"/>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IACHR. </w:t>
      </w:r>
      <w:hyperlink r:id="rId5" w:history="1">
        <w:r>
          <w:rPr>
            <w:rStyle w:val="Hyperlink"/>
            <w:rFonts w:ascii="Cambria" w:hAnsi="Cambria"/>
            <w:sz w:val="16"/>
            <w:szCs w:val="16"/>
            <w:lang w:val="en-US"/>
          </w:rPr>
          <w:t xml:space="preserve">Annual Report 2007. Ch. IV.B. </w:t>
        </w:r>
        <w:r w:rsidRPr="00322648">
          <w:rPr>
            <w:rStyle w:val="Hyperlink"/>
            <w:rFonts w:ascii="Cambria" w:hAnsi="Cambria"/>
            <w:sz w:val="16"/>
            <w:szCs w:val="16"/>
            <w:lang w:val="en-US"/>
          </w:rPr>
          <w:t>Cuba</w:t>
        </w:r>
      </w:hyperlink>
      <w:r>
        <w:rPr>
          <w:rStyle w:val="Hyperlink"/>
          <w:rFonts w:ascii="Cambria" w:hAnsi="Cambria"/>
          <w:sz w:val="16"/>
          <w:szCs w:val="16"/>
          <w:u w:val="none"/>
          <w:lang w:val="en-US"/>
        </w:rPr>
        <w:t xml:space="preserve">. </w:t>
      </w:r>
      <w:r w:rsidRPr="00322648">
        <w:rPr>
          <w:rFonts w:ascii="Cambria" w:hAnsi="Cambria"/>
          <w:sz w:val="16"/>
          <w:szCs w:val="16"/>
          <w:lang w:val="en-US"/>
        </w:rPr>
        <w:t>OEA</w:t>
      </w:r>
      <w:r w:rsidRPr="001C1F8A">
        <w:rPr>
          <w:rFonts w:ascii="Cambria" w:hAnsi="Cambria"/>
          <w:sz w:val="16"/>
          <w:szCs w:val="16"/>
          <w:lang w:val="en-US"/>
        </w:rPr>
        <w:t>/</w:t>
      </w:r>
      <w:proofErr w:type="spellStart"/>
      <w:r w:rsidRPr="001C1F8A">
        <w:rPr>
          <w:rFonts w:ascii="Cambria" w:hAnsi="Cambria"/>
          <w:sz w:val="16"/>
          <w:szCs w:val="16"/>
          <w:lang w:val="en-US"/>
        </w:rPr>
        <w:t>Ser.L</w:t>
      </w:r>
      <w:proofErr w:type="spellEnd"/>
      <w:r w:rsidRPr="001C1F8A">
        <w:rPr>
          <w:rFonts w:ascii="Cambria" w:hAnsi="Cambria"/>
          <w:sz w:val="16"/>
          <w:szCs w:val="16"/>
          <w:lang w:val="en-US"/>
        </w:rPr>
        <w:t xml:space="preserve">/V/II. 130. Doc. 22 rev. 1. 29 December 2007, para. 101. </w:t>
      </w:r>
    </w:p>
  </w:footnote>
  <w:footnote w:id="27">
    <w:p w14:paraId="59474A05" w14:textId="3A106075" w:rsidR="003A6945" w:rsidRPr="001C1F8A" w:rsidRDefault="003A6945" w:rsidP="000A695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6" w:history="1">
        <w:r w:rsidRPr="001C1F8A">
          <w:rPr>
            <w:rStyle w:val="Hyperlink"/>
            <w:rFonts w:ascii="Cambria" w:hAnsi="Cambria"/>
            <w:sz w:val="16"/>
            <w:szCs w:val="16"/>
          </w:rPr>
          <w:t>Report on the Situation of Human Rights in Cuba</w:t>
        </w:r>
      </w:hyperlink>
      <w:r w:rsidRPr="001C1F8A">
        <w:rPr>
          <w:rStyle w:val="Hyperlink"/>
          <w:rFonts w:ascii="Cambria" w:hAnsi="Cambria"/>
          <w:sz w:val="16"/>
          <w:szCs w:val="16"/>
          <w:u w:val="none"/>
        </w:rPr>
        <w:t xml:space="preserve">. </w:t>
      </w:r>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/V/II. Doc 2. February 3, 2020, paras. 114 and 117.</w:t>
      </w:r>
    </w:p>
  </w:footnote>
  <w:footnote w:id="28">
    <w:p w14:paraId="1EEF88B2" w14:textId="425D2F98" w:rsidR="003A6945" w:rsidRPr="001C1F8A" w:rsidRDefault="003A6945" w:rsidP="000A695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r w:rsidRPr="001C1F8A">
        <w:rPr>
          <w:rFonts w:asciiTheme="majorHAnsi" w:hAnsiTheme="majorHAnsi"/>
          <w:sz w:val="16"/>
          <w:szCs w:val="16"/>
        </w:rPr>
        <w:t>IACHR.</w:t>
      </w:r>
      <w:r>
        <w:rPr>
          <w:rFonts w:asciiTheme="majorHAnsi" w:hAnsiTheme="majorHAnsi"/>
          <w:sz w:val="16"/>
          <w:szCs w:val="16"/>
        </w:rPr>
        <w:t xml:space="preserve"> </w:t>
      </w:r>
      <w:r w:rsidRPr="001C1F8A">
        <w:rPr>
          <w:rFonts w:asciiTheme="majorHAnsi" w:hAnsiTheme="majorHAnsi"/>
          <w:sz w:val="16"/>
          <w:szCs w:val="16"/>
        </w:rPr>
        <w:t xml:space="preserve">Office of the Special Rapporteur for Freedom of Expression. Special Report on the Situation of Freedom of Expression in Cuba, </w:t>
      </w:r>
      <w:r w:rsidRPr="001C1F8A">
        <w:rPr>
          <w:rFonts w:asciiTheme="majorHAnsi" w:hAnsiTheme="majorHAnsi"/>
          <w:i/>
          <w:sz w:val="16"/>
          <w:szCs w:val="16"/>
        </w:rPr>
        <w:t>supra</w:t>
      </w:r>
      <w:r w:rsidRPr="001C1F8A">
        <w:rPr>
          <w:rFonts w:asciiTheme="majorHAnsi" w:hAnsiTheme="majorHAnsi"/>
          <w:sz w:val="16"/>
          <w:szCs w:val="16"/>
        </w:rPr>
        <w:t xml:space="preserve"> paras. 1-2.</w:t>
      </w:r>
    </w:p>
  </w:footnote>
  <w:footnote w:id="29">
    <w:p w14:paraId="665BD733" w14:textId="79F67EB8" w:rsidR="003A6945" w:rsidRPr="001C1F8A" w:rsidRDefault="003A6945" w:rsidP="000A695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7" w:history="1">
        <w:r w:rsidRPr="001C1F8A">
          <w:rPr>
            <w:rStyle w:val="Hyperlink"/>
            <w:rFonts w:ascii="Cambria" w:hAnsi="Cambria"/>
            <w:sz w:val="16"/>
            <w:szCs w:val="16"/>
          </w:rPr>
          <w:t>Report on the Situation of Human Rights in Cuba</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 xml:space="preserve">/V/II. Doc 2. February 3, 2020, paras. 106, 113. </w:t>
      </w:r>
      <w:r w:rsidRPr="001C1F8A">
        <w:rPr>
          <w:rFonts w:ascii="Cambria" w:hAnsi="Cambria"/>
          <w:i/>
          <w:iCs/>
          <w:sz w:val="16"/>
          <w:szCs w:val="16"/>
        </w:rPr>
        <w:t>See</w:t>
      </w:r>
      <w:r w:rsidRPr="001C1F8A">
        <w:rPr>
          <w:rFonts w:ascii="Cambria" w:eastAsia="Cambria" w:hAnsi="Cambria" w:cs="Cambria"/>
          <w:sz w:val="16"/>
          <w:szCs w:val="16"/>
        </w:rPr>
        <w:t xml:space="preserve"> Articles 5 and 65 of the 1976 Constitution of the Republic of Cuba and Articles 4 and 5 of the </w:t>
      </w:r>
      <w:hyperlink r:id="rId8" w:history="1">
        <w:r w:rsidRPr="001C1F8A">
          <w:rPr>
            <w:rStyle w:val="Hyperlink1"/>
            <w:lang w:val="en-US"/>
          </w:rPr>
          <w:t>2019 Constitution of the Republic of Cuba</w:t>
        </w:r>
      </w:hyperlink>
      <w:r w:rsidRPr="001C1F8A">
        <w:rPr>
          <w:rFonts w:ascii="Cambria" w:eastAsia="Cambria" w:hAnsi="Cambria" w:cs="Cambria"/>
          <w:sz w:val="16"/>
          <w:szCs w:val="16"/>
        </w:rPr>
        <w:t>. Adopted and published in the Official Gazette of the Republic on April 10, 2019. Article 4 of the 2019 Constitution provides that the defense of the socialist homeland “is the greatest honor and supreme duty of every Cuban,” and “[t]reason is the most serious of crimes. Anyone who commits treason is subject to the most severe penalties.”</w:t>
      </w:r>
    </w:p>
  </w:footnote>
  <w:footnote w:id="30">
    <w:p w14:paraId="3F0287E6" w14:textId="48A48545" w:rsidR="003A6945" w:rsidRPr="002A7A7E" w:rsidRDefault="003A6945" w:rsidP="002F3FD3">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1C1F8A">
        <w:rPr>
          <w:rFonts w:ascii="Cambria" w:hAnsi="Cambria"/>
          <w:sz w:val="16"/>
          <w:szCs w:val="16"/>
        </w:rPr>
        <w:t xml:space="preserve"> IACHR. Report No. 18/14. Petition 1625-07. Admissibility. </w:t>
      </w:r>
      <w:r w:rsidRPr="002A7A7E">
        <w:rPr>
          <w:rFonts w:ascii="Cambria" w:hAnsi="Cambria"/>
          <w:sz w:val="16"/>
          <w:szCs w:val="16"/>
          <w:lang w:val="es-PE"/>
        </w:rPr>
        <w:t>Nicolasa and Family. Colombia. April 3, 2014, para. 45; IACHR. Report No. 62/16. Petition 4449-02. Admissibility. Saulo Arboleda Gómez. Colombia. December 6, 2016, para. 32.</w:t>
      </w:r>
    </w:p>
  </w:footnote>
  <w:footnote w:id="31">
    <w:p w14:paraId="11537764" w14:textId="301BD619" w:rsidR="003A6945" w:rsidRPr="001C1F8A" w:rsidRDefault="003A6945" w:rsidP="008C0B4A">
      <w:pPr>
        <w:pStyle w:val="FootnoteText"/>
        <w:jc w:val="both"/>
        <w:rPr>
          <w:rFonts w:ascii="Cambria" w:hAnsi="Cambria"/>
          <w:sz w:val="16"/>
          <w:szCs w:val="16"/>
        </w:rPr>
      </w:pPr>
      <w:r w:rsidRPr="001C1F8A">
        <w:rPr>
          <w:rStyle w:val="FootnoteReference"/>
          <w:rFonts w:ascii="Cambria" w:hAnsi="Cambria"/>
          <w:sz w:val="16"/>
          <w:szCs w:val="16"/>
        </w:rPr>
        <w:footnoteRef/>
      </w:r>
      <w:r w:rsidRPr="002A7A7E">
        <w:rPr>
          <w:rFonts w:ascii="Cambria" w:hAnsi="Cambria"/>
          <w:sz w:val="16"/>
          <w:szCs w:val="16"/>
          <w:lang w:val="es-PE"/>
        </w:rPr>
        <w:t xml:space="preserve"> IACHR, Report No. 27/18, Case No. 12.127, Merits (Publication). Vladimiro Roca Antúnez and Others. </w:t>
      </w:r>
      <w:r w:rsidRPr="001C1F8A">
        <w:rPr>
          <w:rFonts w:ascii="Cambria" w:hAnsi="Cambria"/>
          <w:sz w:val="16"/>
          <w:szCs w:val="16"/>
        </w:rPr>
        <w:t>Cuba. February 24, 2018, para. 23.</w:t>
      </w:r>
    </w:p>
  </w:footnote>
  <w:footnote w:id="32">
    <w:p w14:paraId="4D093A10" w14:textId="1853D95E" w:rsidR="003A6945" w:rsidRPr="001C1F8A" w:rsidRDefault="003A6945" w:rsidP="008C0B4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hyperlink r:id="rId9" w:anchor="I_8_" w:history="1">
        <w:r w:rsidRPr="001C1F8A">
          <w:rPr>
            <w:rStyle w:val="Hyperlink"/>
            <w:rFonts w:ascii="Cambria" w:hAnsi="Cambria"/>
            <w:sz w:val="16"/>
            <w:szCs w:val="16"/>
          </w:rPr>
          <w:t xml:space="preserve"> Constitution of the Republic of Cuba of 1976</w:t>
        </w:r>
      </w:hyperlink>
      <w:r w:rsidRPr="001C1F8A">
        <w:rPr>
          <w:rFonts w:ascii="Cambria" w:hAnsi="Cambria"/>
          <w:sz w:val="16"/>
          <w:szCs w:val="16"/>
        </w:rPr>
        <w:t>.</w:t>
      </w:r>
    </w:p>
  </w:footnote>
  <w:footnote w:id="33">
    <w:p w14:paraId="1DE93AFC" w14:textId="2ED0FB5E" w:rsidR="003A6945" w:rsidRPr="001C1F8A" w:rsidRDefault="003A6945" w:rsidP="008C0B4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hyperlink r:id="rId10" w:history="1">
        <w:r w:rsidRPr="001C1F8A">
          <w:rPr>
            <w:rStyle w:val="Hyperlink"/>
            <w:rFonts w:ascii="Cambria" w:hAnsi="Cambria"/>
            <w:sz w:val="16"/>
            <w:szCs w:val="16"/>
          </w:rPr>
          <w:t>Constitution of the Republic of Cuba of 2019</w:t>
        </w:r>
        <w:r w:rsidRPr="001C1F8A">
          <w:rPr>
            <w:rStyle w:val="Hyperlink"/>
            <w:rFonts w:ascii="Cambria" w:hAnsi="Cambria"/>
            <w:sz w:val="16"/>
            <w:szCs w:val="16"/>
            <w:u w:val="none"/>
          </w:rPr>
          <w:t xml:space="preserve">. </w:t>
        </w:r>
      </w:hyperlink>
      <w:r w:rsidRPr="001C1F8A">
        <w:rPr>
          <w:rFonts w:ascii="Cambria" w:hAnsi="Cambria"/>
          <w:sz w:val="16"/>
          <w:szCs w:val="16"/>
        </w:rPr>
        <w:t>Adopted and published in the Official Gazette of the Republic on April 10, 2019.</w:t>
      </w:r>
    </w:p>
  </w:footnote>
  <w:footnote w:id="34">
    <w:p w14:paraId="5CC6517C" w14:textId="667B70E6" w:rsidR="003A6945" w:rsidRPr="001C1F8A" w:rsidRDefault="003A6945" w:rsidP="00E03C2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11" w:history="1">
        <w:r w:rsidRPr="001C1F8A">
          <w:rPr>
            <w:rStyle w:val="Hyperlink"/>
            <w:rFonts w:ascii="Cambria" w:hAnsi="Cambria"/>
            <w:sz w:val="16"/>
            <w:szCs w:val="16"/>
          </w:rPr>
          <w:t>Special Report on the Situation of Freedom of Expression in Cuba</w:t>
        </w:r>
      </w:hyperlink>
      <w:r w:rsidRPr="001C1F8A">
        <w:rPr>
          <w:rStyle w:val="Hyperlink"/>
          <w:rFonts w:ascii="Cambria" w:hAnsi="Cambria"/>
          <w:sz w:val="16"/>
          <w:szCs w:val="16"/>
          <w:u w:val="none"/>
        </w:rPr>
        <w:t xml:space="preserve">, </w:t>
      </w:r>
      <w:r w:rsidRPr="001C1F8A">
        <w:rPr>
          <w:rStyle w:val="Hyperlink"/>
          <w:rFonts w:ascii="Cambria" w:hAnsi="Cambria"/>
          <w:i/>
          <w:iCs/>
          <w:sz w:val="16"/>
          <w:szCs w:val="16"/>
          <w:u w:val="none"/>
        </w:rPr>
        <w:t>supra</w:t>
      </w:r>
      <w:r w:rsidRPr="001C1F8A">
        <w:rPr>
          <w:rStyle w:val="Hyperlink"/>
          <w:rFonts w:ascii="Cambria" w:hAnsi="Cambria"/>
          <w:sz w:val="16"/>
          <w:szCs w:val="16"/>
          <w:u w:val="none"/>
        </w:rPr>
        <w:t xml:space="preserve"> </w:t>
      </w:r>
      <w:r w:rsidRPr="001C1F8A">
        <w:rPr>
          <w:rFonts w:ascii="Cambria" w:hAnsi="Cambria"/>
          <w:sz w:val="16"/>
          <w:szCs w:val="16"/>
        </w:rPr>
        <w:t>para. 43.</w:t>
      </w:r>
    </w:p>
  </w:footnote>
  <w:footnote w:id="35">
    <w:p w14:paraId="1E4FB83C" w14:textId="28A72343" w:rsidR="003A6945" w:rsidRPr="001C1F8A" w:rsidRDefault="003A6945" w:rsidP="0018695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iCs/>
          <w:sz w:val="16"/>
          <w:szCs w:val="16"/>
        </w:rPr>
        <w:t>supra</w:t>
      </w:r>
      <w:r w:rsidRPr="001C1F8A">
        <w:rPr>
          <w:rFonts w:ascii="Cambria" w:hAnsi="Cambria"/>
          <w:sz w:val="16"/>
          <w:szCs w:val="16"/>
        </w:rPr>
        <w:t xml:space="preserve"> paras. 1-2.</w:t>
      </w:r>
    </w:p>
  </w:footnote>
  <w:footnote w:id="36">
    <w:p w14:paraId="6BA867CE" w14:textId="78C0149A" w:rsidR="003A6945" w:rsidRPr="001C1F8A" w:rsidRDefault="003A6945" w:rsidP="000E3FF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2007. Ch. IV.B (Human Rights Developments in the Region - Cuba); IACHR. Annual Report 2008. Ch. IV.B (Human Rights Developments in the Region - Cuba); IACHR. Annual Report 2009. Ch. IV.B (Human Rights Developments in the Region - Cuba); IACHR. Annual Report 2010. Ch. IV.B (Human Rights Developments in the Region - Cuba); IACHR. Annual Report 2011. Ch. IV.B (Human Rights Developments in the Region - Cuba); IACHR. Annual Report 2012. Ch. IV.B (Human Rights Developments in the Region - Cuba); </w:t>
      </w:r>
      <w:r w:rsidRPr="001C1F8A">
        <w:rPr>
          <w:rFonts w:ascii="Cambria" w:hAnsi="Cambria"/>
          <w:color w:val="auto"/>
          <w:sz w:val="16"/>
          <w:szCs w:val="16"/>
        </w:rPr>
        <w:t xml:space="preserve">IACHR. Annual Report 2013.  Ch. IV. B (Situation of Human Rights in Cuba); IACHR. Annual Report 2014.  Ch. IV. B (Situation of Human Rights in Cuba); IACHR. Annual Report 2015.  Ch. IV. B (Situation of Human Rights in Cuba); IACHR. Annual Report 2016.  Ch. </w:t>
      </w:r>
      <w:proofErr w:type="spellStart"/>
      <w:r w:rsidRPr="001C1F8A">
        <w:rPr>
          <w:rFonts w:ascii="Cambria" w:hAnsi="Cambria"/>
          <w:color w:val="auto"/>
          <w:sz w:val="16"/>
          <w:szCs w:val="16"/>
        </w:rPr>
        <w:t>IV.b</w:t>
      </w:r>
      <w:proofErr w:type="spellEnd"/>
      <w:r w:rsidRPr="001C1F8A">
        <w:rPr>
          <w:rFonts w:ascii="Cambria" w:hAnsi="Cambria"/>
          <w:color w:val="auto"/>
          <w:sz w:val="16"/>
          <w:szCs w:val="16"/>
        </w:rPr>
        <w:t xml:space="preserve"> (Situation of human rights in Cuba); IACHR. Annual Report 2017.  Ch. IV. B (Situation of human rights in Cuba); IACHR. Annual Report 2018.  Ch. </w:t>
      </w:r>
      <w:proofErr w:type="spellStart"/>
      <w:r w:rsidRPr="001C1F8A">
        <w:rPr>
          <w:rFonts w:ascii="Cambria" w:hAnsi="Cambria"/>
          <w:color w:val="auto"/>
          <w:sz w:val="16"/>
          <w:szCs w:val="16"/>
        </w:rPr>
        <w:t>IV.b</w:t>
      </w:r>
      <w:proofErr w:type="spellEnd"/>
      <w:r w:rsidRPr="001C1F8A">
        <w:rPr>
          <w:rFonts w:ascii="Cambria" w:hAnsi="Cambria"/>
          <w:color w:val="auto"/>
          <w:sz w:val="16"/>
          <w:szCs w:val="16"/>
        </w:rPr>
        <w:t xml:space="preserve"> (Situation of human rights in Cuba); </w:t>
      </w:r>
      <w:r w:rsidRPr="001C1F8A">
        <w:rPr>
          <w:rFonts w:ascii="Cambria" w:hAnsi="Cambria"/>
          <w:sz w:val="16"/>
          <w:szCs w:val="16"/>
        </w:rPr>
        <w:t xml:space="preserve">IACHR. Special Report on the Situation of Freedom of Expression in Cuba, 2018, OEA/SER.L/V/II IACHR/RELE/INF.21/18; </w:t>
      </w:r>
      <w:r w:rsidRPr="001C1F8A">
        <w:rPr>
          <w:rFonts w:ascii="Cambria" w:hAnsi="Cambria"/>
          <w:color w:val="auto"/>
          <w:sz w:val="16"/>
          <w:szCs w:val="16"/>
        </w:rPr>
        <w:t xml:space="preserve">IACHR. Annual Report 2019. Ch. IV. B (Situation of human rights in Cuba); </w:t>
      </w:r>
      <w:r w:rsidRPr="001C1F8A">
        <w:rPr>
          <w:rFonts w:ascii="Cambria" w:hAnsi="Cambria"/>
          <w:sz w:val="16"/>
          <w:szCs w:val="16"/>
        </w:rPr>
        <w:t>IACHR. Situation of Human Rights in Cuba, 2020, OEA/</w:t>
      </w:r>
      <w:proofErr w:type="spellStart"/>
      <w:r w:rsidRPr="001C1F8A">
        <w:rPr>
          <w:rFonts w:ascii="Cambria" w:hAnsi="Cambria"/>
          <w:sz w:val="16"/>
          <w:szCs w:val="16"/>
        </w:rPr>
        <w:t>Ser.L</w:t>
      </w:r>
      <w:proofErr w:type="spellEnd"/>
      <w:r w:rsidRPr="001C1F8A">
        <w:rPr>
          <w:rFonts w:ascii="Cambria" w:hAnsi="Cambria"/>
          <w:sz w:val="16"/>
          <w:szCs w:val="16"/>
        </w:rPr>
        <w:t>/V/II Doc.2/20.</w:t>
      </w:r>
    </w:p>
  </w:footnote>
  <w:footnote w:id="37">
    <w:p w14:paraId="3B0CE28F" w14:textId="1526245B" w:rsidR="003A6945" w:rsidRPr="001C1F8A" w:rsidRDefault="003A6945" w:rsidP="00C83DD7">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Reporters Without Borders (RSF). 2021Ranking. Table of countries: </w:t>
      </w:r>
      <w:hyperlink r:id="rId12" w:history="1">
        <w:r w:rsidRPr="001C1F8A">
          <w:rPr>
            <w:rStyle w:val="Hyperlink"/>
            <w:rFonts w:ascii="Cambria" w:hAnsi="Cambria"/>
            <w:sz w:val="16"/>
            <w:szCs w:val="16"/>
          </w:rPr>
          <w:t>https://rsf.org/en/ranking_table</w:t>
        </w:r>
      </w:hyperlink>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paras. 3 </w:t>
      </w:r>
      <w:r w:rsidRPr="001C1F8A">
        <w:rPr>
          <w:rFonts w:ascii="Cambria" w:hAnsi="Cambria"/>
          <w:i/>
          <w:iCs/>
          <w:sz w:val="16"/>
          <w:szCs w:val="16"/>
        </w:rPr>
        <w:t>et seq</w:t>
      </w:r>
      <w:r w:rsidRPr="001C1F8A">
        <w:rPr>
          <w:rFonts w:ascii="Cambria" w:hAnsi="Cambria"/>
          <w:sz w:val="16"/>
          <w:szCs w:val="16"/>
        </w:rPr>
        <w:t>.</w:t>
      </w:r>
    </w:p>
  </w:footnote>
  <w:footnote w:id="38">
    <w:p w14:paraId="785C4FCD" w14:textId="054EA2C0" w:rsidR="003A6945" w:rsidRPr="001C1F8A" w:rsidRDefault="003A6945" w:rsidP="00C83DD7">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paras. 3 </w:t>
      </w:r>
      <w:r w:rsidRPr="001C1F8A">
        <w:rPr>
          <w:rFonts w:ascii="Cambria" w:hAnsi="Cambria"/>
          <w:i/>
          <w:iCs/>
          <w:sz w:val="16"/>
          <w:szCs w:val="16"/>
        </w:rPr>
        <w:t>et seq.</w:t>
      </w:r>
    </w:p>
  </w:footnote>
  <w:footnote w:id="39">
    <w:p w14:paraId="086E7319" w14:textId="60877DA7" w:rsidR="003A6945" w:rsidRPr="001C1F8A" w:rsidRDefault="003A6945" w:rsidP="00C83DD7">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paras. 26-27.</w:t>
      </w:r>
    </w:p>
  </w:footnote>
  <w:footnote w:id="40">
    <w:p w14:paraId="624FCC36" w14:textId="6AEFF203" w:rsidR="003A6945" w:rsidRPr="001C1F8A" w:rsidRDefault="003A6945" w:rsidP="00FA424B">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2007. Ch. IV.B (Human Rights Developments in the Region - Cuba), para. 127. </w:t>
      </w:r>
    </w:p>
  </w:footnote>
  <w:footnote w:id="41">
    <w:p w14:paraId="5889EED4" w14:textId="77777777" w:rsidR="003A6945" w:rsidRPr="001C1F8A" w:rsidRDefault="003A6945" w:rsidP="0048234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IACHR, Annual Report 2008, Report of the Office of the Special Rapporteur for Freedom of Expression, para. 91. </w:t>
      </w:r>
    </w:p>
  </w:footnote>
  <w:footnote w:id="42">
    <w:p w14:paraId="45107583" w14:textId="21A9FEF5" w:rsidR="003A6945" w:rsidRPr="001C1F8A" w:rsidRDefault="003A6945" w:rsidP="0048234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IACHR, Annual Report 2008, Report of the Office of the Special Rapporteur for Freedom of Expression, para. 94. </w:t>
      </w:r>
    </w:p>
  </w:footnote>
  <w:footnote w:id="43">
    <w:p w14:paraId="717EF064" w14:textId="77777777" w:rsidR="003A6945" w:rsidRPr="001C1F8A" w:rsidRDefault="003A6945" w:rsidP="0048234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2008. Report of the Office of the Special Rapporteur for Freedom of Expression, para. 97. </w:t>
      </w:r>
    </w:p>
  </w:footnote>
  <w:footnote w:id="44">
    <w:p w14:paraId="2DD9287C" w14:textId="77777777" w:rsidR="003A6945" w:rsidRPr="001C1F8A" w:rsidRDefault="003A6945" w:rsidP="0048234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2008. Report of the Office of the Special Rapporteur for Freedom of Expression, para. 84.</w:t>
      </w:r>
    </w:p>
  </w:footnote>
  <w:footnote w:id="45">
    <w:p w14:paraId="13C15DDE" w14:textId="77777777" w:rsidR="003A6945" w:rsidRPr="001C1F8A" w:rsidRDefault="003A6945" w:rsidP="00540A0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2009. Report of the Office of the Special Rapporteur for Freedom of Expression, para. 182</w:t>
      </w:r>
    </w:p>
  </w:footnote>
  <w:footnote w:id="46">
    <w:p w14:paraId="7C3ABA4D" w14:textId="77777777" w:rsidR="003A6945" w:rsidRPr="001C1F8A" w:rsidRDefault="003A6945" w:rsidP="00540A0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2009. Report of the Office of the Special Rapporteur for Freedom of Expression, para. 184. </w:t>
      </w:r>
    </w:p>
  </w:footnote>
  <w:footnote w:id="47">
    <w:p w14:paraId="5A0BD577" w14:textId="78E03A3B" w:rsidR="003A6945" w:rsidRPr="001C1F8A" w:rsidRDefault="003A6945" w:rsidP="006508D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2010. Ch. IV (Human Rights Development Situation in the Region - Cuba), para. 312. </w:t>
      </w:r>
    </w:p>
  </w:footnote>
  <w:footnote w:id="48">
    <w:p w14:paraId="130917A4" w14:textId="77777777" w:rsidR="003A6945" w:rsidRPr="001C1F8A" w:rsidRDefault="003A6945" w:rsidP="006508D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2009. Report of the Office of the Special Rapporteur for Freedom of Expression, para. 184</w:t>
      </w:r>
    </w:p>
  </w:footnote>
  <w:footnote w:id="49">
    <w:p w14:paraId="1CFAE89A" w14:textId="40C8872F" w:rsidR="003A6945" w:rsidRPr="00E15DF1" w:rsidRDefault="003A6945" w:rsidP="000B6086">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November 9, 2012. IACHR </w:t>
      </w:r>
      <w:r w:rsidRPr="00E15DF1">
        <w:rPr>
          <w:rFonts w:ascii="Cambria" w:hAnsi="Cambria"/>
          <w:sz w:val="16"/>
          <w:szCs w:val="16"/>
        </w:rPr>
        <w:t xml:space="preserve">Condemns Arbitrary Arrests of Human Rights Defenders in Cuba. Press Release 132/12. </w:t>
      </w:r>
    </w:p>
  </w:footnote>
  <w:footnote w:id="50">
    <w:p w14:paraId="4A18467C" w14:textId="4544A612" w:rsidR="003A6945" w:rsidRPr="00E15DF1" w:rsidRDefault="003A6945" w:rsidP="005235E9">
      <w:pPr>
        <w:pStyle w:val="FootnoteText"/>
        <w:jc w:val="both"/>
        <w:rPr>
          <w:rFonts w:ascii="Cambria" w:hAnsi="Cambria"/>
          <w:sz w:val="16"/>
          <w:szCs w:val="16"/>
          <w:lang w:val="pt-BR"/>
        </w:rPr>
      </w:pPr>
      <w:r w:rsidRPr="00E15DF1">
        <w:rPr>
          <w:rStyle w:val="FootnoteReference"/>
          <w:rFonts w:ascii="Cambria" w:hAnsi="Cambria"/>
          <w:sz w:val="16"/>
          <w:szCs w:val="16"/>
        </w:rPr>
        <w:footnoteRef/>
      </w:r>
      <w:r w:rsidRPr="00E15DF1">
        <w:rPr>
          <w:rFonts w:ascii="Cambria" w:hAnsi="Cambria"/>
          <w:sz w:val="16"/>
          <w:szCs w:val="16"/>
        </w:rPr>
        <w:t xml:space="preserve"> IACHR. Annual Report 2012. Ch. IV.B, Cuba,</w:t>
      </w:r>
      <w:r w:rsidRPr="00E15DF1" w:rsidDel="005235E9">
        <w:rPr>
          <w:rFonts w:ascii="Cambria" w:hAnsi="Cambria"/>
          <w:sz w:val="16"/>
          <w:szCs w:val="16"/>
        </w:rPr>
        <w:t xml:space="preserve"> </w:t>
      </w:r>
      <w:r w:rsidRPr="00E15DF1">
        <w:rPr>
          <w:rFonts w:ascii="Cambria" w:hAnsi="Cambria"/>
          <w:sz w:val="16"/>
          <w:szCs w:val="16"/>
        </w:rPr>
        <w:t xml:space="preserve">para. </w:t>
      </w:r>
      <w:r w:rsidRPr="00E15DF1">
        <w:rPr>
          <w:rFonts w:ascii="Cambria" w:hAnsi="Cambria"/>
          <w:sz w:val="16"/>
          <w:szCs w:val="16"/>
          <w:lang w:val="pt-BR"/>
        </w:rPr>
        <w:t>14.</w:t>
      </w:r>
    </w:p>
  </w:footnote>
  <w:footnote w:id="51">
    <w:p w14:paraId="6BFD1F62" w14:textId="503258C9" w:rsidR="003A6945" w:rsidRPr="00E15DF1" w:rsidRDefault="003A6945" w:rsidP="000D40C7">
      <w:pPr>
        <w:pStyle w:val="FootnoteText"/>
        <w:jc w:val="both"/>
        <w:rPr>
          <w:rFonts w:ascii="Cambria" w:hAnsi="Cambria"/>
          <w:sz w:val="16"/>
          <w:szCs w:val="16"/>
        </w:rPr>
      </w:pPr>
      <w:r w:rsidRPr="00E15DF1">
        <w:rPr>
          <w:rStyle w:val="FootnoteReference"/>
          <w:rFonts w:ascii="Cambria" w:hAnsi="Cambria"/>
          <w:sz w:val="16"/>
          <w:szCs w:val="16"/>
        </w:rPr>
        <w:footnoteRef/>
      </w:r>
      <w:r w:rsidRPr="00AF2D01">
        <w:rPr>
          <w:rFonts w:ascii="Cambria" w:hAnsi="Cambria"/>
          <w:sz w:val="16"/>
          <w:szCs w:val="16"/>
        </w:rPr>
        <w:t xml:space="preserve"> IACHR. Annual Report 2013, Ch. IV.B, Cuba, paras. </w:t>
      </w:r>
      <w:r w:rsidRPr="00E15DF1">
        <w:rPr>
          <w:rFonts w:ascii="Cambria" w:hAnsi="Cambria"/>
          <w:sz w:val="16"/>
          <w:szCs w:val="16"/>
          <w:lang w:val="pt-BR"/>
        </w:rPr>
        <w:t xml:space="preserve">176 and </w:t>
      </w:r>
      <w:r w:rsidRPr="001C1F8A">
        <w:rPr>
          <w:rFonts w:ascii="Cambria" w:hAnsi="Cambria"/>
          <w:i/>
          <w:iCs/>
          <w:sz w:val="16"/>
          <w:szCs w:val="16"/>
        </w:rPr>
        <w:t>et seq</w:t>
      </w:r>
      <w:r w:rsidRPr="00E15DF1">
        <w:rPr>
          <w:rFonts w:ascii="Cambria" w:hAnsi="Cambria"/>
          <w:sz w:val="16"/>
          <w:szCs w:val="16"/>
          <w:lang w:val="pt-BR"/>
        </w:rPr>
        <w:t xml:space="preserve">, and 202 </w:t>
      </w:r>
      <w:r w:rsidRPr="001C1F8A">
        <w:rPr>
          <w:rFonts w:ascii="Cambria" w:hAnsi="Cambria"/>
          <w:i/>
          <w:iCs/>
          <w:sz w:val="16"/>
          <w:szCs w:val="16"/>
        </w:rPr>
        <w:t>et seq</w:t>
      </w:r>
      <w:r>
        <w:rPr>
          <w:rFonts w:ascii="Cambria" w:hAnsi="Cambria"/>
          <w:i/>
          <w:iCs/>
          <w:sz w:val="16"/>
          <w:szCs w:val="16"/>
        </w:rPr>
        <w:t>.</w:t>
      </w:r>
    </w:p>
  </w:footnote>
  <w:footnote w:id="52">
    <w:p w14:paraId="68A9D116" w14:textId="6A6219E2" w:rsidR="003A6945" w:rsidRPr="00E15DF1" w:rsidRDefault="003A6945" w:rsidP="000D40C7">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IACHR. Annual Report 2013. Ch. IV.B</w:t>
      </w:r>
      <w:proofErr w:type="gramStart"/>
      <w:r w:rsidRPr="00E15DF1">
        <w:rPr>
          <w:rFonts w:ascii="Cambria" w:hAnsi="Cambria"/>
          <w:sz w:val="16"/>
          <w:szCs w:val="16"/>
        </w:rPr>
        <w:t xml:space="preserve">, </w:t>
      </w:r>
      <w:r w:rsidRPr="00E15DF1" w:rsidDel="005235E9">
        <w:rPr>
          <w:rFonts w:ascii="Cambria" w:hAnsi="Cambria"/>
          <w:sz w:val="16"/>
          <w:szCs w:val="16"/>
        </w:rPr>
        <w:t xml:space="preserve"> (</w:t>
      </w:r>
      <w:proofErr w:type="gramEnd"/>
      <w:r w:rsidRPr="00E15DF1">
        <w:rPr>
          <w:rFonts w:ascii="Cambria" w:hAnsi="Cambria"/>
          <w:sz w:val="16"/>
          <w:szCs w:val="16"/>
        </w:rPr>
        <w:t>Cuba</w:t>
      </w:r>
      <w:r w:rsidRPr="00E15DF1" w:rsidDel="005235E9">
        <w:rPr>
          <w:rFonts w:ascii="Cambria" w:hAnsi="Cambria"/>
          <w:sz w:val="16"/>
          <w:szCs w:val="16"/>
        </w:rPr>
        <w:t>)</w:t>
      </w:r>
      <w:r w:rsidRPr="00E15DF1">
        <w:rPr>
          <w:rFonts w:ascii="Cambria" w:hAnsi="Cambria"/>
          <w:sz w:val="16"/>
          <w:szCs w:val="16"/>
        </w:rPr>
        <w:t xml:space="preserve">, para. 209. </w:t>
      </w:r>
    </w:p>
  </w:footnote>
  <w:footnote w:id="53">
    <w:p w14:paraId="5DFB2B55" w14:textId="5087D9D4" w:rsidR="003A6945" w:rsidRPr="001C1F8A" w:rsidRDefault="003A6945" w:rsidP="00342E77">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IACHR. Annual Report 2014, Ch. IV.B, Cuba, para. 216.</w:t>
      </w:r>
    </w:p>
  </w:footnote>
  <w:footnote w:id="54">
    <w:p w14:paraId="2B5621DE" w14:textId="06E0884B" w:rsidR="003A6945" w:rsidRPr="00FC5DB7" w:rsidRDefault="003A6945" w:rsidP="008C0B4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2015. </w:t>
      </w:r>
      <w:r w:rsidRPr="00AF2D01">
        <w:rPr>
          <w:rFonts w:ascii="Cambria" w:hAnsi="Cambria"/>
          <w:sz w:val="16"/>
          <w:szCs w:val="16"/>
        </w:rPr>
        <w:t xml:space="preserve">Ch. IV.B, Cuba, para. </w:t>
      </w:r>
      <w:r w:rsidRPr="00FC5DB7">
        <w:rPr>
          <w:rFonts w:ascii="Cambria" w:hAnsi="Cambria"/>
          <w:sz w:val="16"/>
          <w:szCs w:val="16"/>
        </w:rPr>
        <w:t>57.</w:t>
      </w:r>
    </w:p>
  </w:footnote>
  <w:footnote w:id="55">
    <w:p w14:paraId="73C7669A" w14:textId="6ED9672E" w:rsidR="003A6945" w:rsidRPr="00FC5DB7" w:rsidRDefault="003A6945" w:rsidP="00ED1DEA">
      <w:pPr>
        <w:pStyle w:val="FootnoteText"/>
        <w:jc w:val="both"/>
        <w:rPr>
          <w:rFonts w:ascii="Cambria" w:hAnsi="Cambria"/>
          <w:sz w:val="16"/>
          <w:szCs w:val="16"/>
        </w:rPr>
      </w:pPr>
      <w:r w:rsidRPr="00FC5DB7">
        <w:rPr>
          <w:rStyle w:val="FootnoteReference"/>
          <w:rFonts w:ascii="Cambria" w:hAnsi="Cambria"/>
          <w:sz w:val="16"/>
          <w:szCs w:val="16"/>
        </w:rPr>
        <w:footnoteRef/>
      </w:r>
      <w:r w:rsidRPr="00FC5DB7">
        <w:rPr>
          <w:rFonts w:ascii="Cambria" w:hAnsi="Cambria"/>
          <w:sz w:val="16"/>
          <w:szCs w:val="16"/>
        </w:rPr>
        <w:t xml:space="preserve"> IACHR. Annual Report 2016. </w:t>
      </w:r>
      <w:r w:rsidRPr="001D5255">
        <w:rPr>
          <w:rFonts w:ascii="Cambria" w:hAnsi="Cambria"/>
          <w:sz w:val="16"/>
          <w:szCs w:val="16"/>
        </w:rPr>
        <w:t xml:space="preserve">Ch. IV.B, Cuba, para. </w:t>
      </w:r>
      <w:r>
        <w:rPr>
          <w:rFonts w:ascii="Cambria" w:hAnsi="Cambria"/>
          <w:sz w:val="16"/>
          <w:szCs w:val="16"/>
        </w:rPr>
        <w:t>115.</w:t>
      </w:r>
    </w:p>
  </w:footnote>
  <w:footnote w:id="56">
    <w:p w14:paraId="32E8D326" w14:textId="5D7B620E" w:rsidR="003A6945" w:rsidRPr="00FC5DB7" w:rsidRDefault="003A6945" w:rsidP="00070034">
      <w:pPr>
        <w:pStyle w:val="FootnoteText"/>
        <w:jc w:val="both"/>
        <w:rPr>
          <w:rFonts w:ascii="Cambria" w:hAnsi="Cambria"/>
          <w:sz w:val="16"/>
          <w:szCs w:val="16"/>
        </w:rPr>
      </w:pPr>
      <w:r w:rsidRPr="00FC5DB7">
        <w:rPr>
          <w:rStyle w:val="FootnoteReference"/>
          <w:rFonts w:ascii="Cambria" w:hAnsi="Cambria"/>
          <w:sz w:val="16"/>
          <w:szCs w:val="16"/>
        </w:rPr>
        <w:footnoteRef/>
      </w:r>
      <w:r w:rsidRPr="00FC5DB7">
        <w:rPr>
          <w:rFonts w:ascii="Cambria" w:hAnsi="Cambria"/>
          <w:sz w:val="16"/>
          <w:szCs w:val="16"/>
        </w:rPr>
        <w:t xml:space="preserve"> IACHR. October 13, 2006. Press Release R149/76. </w:t>
      </w:r>
      <w:hyperlink r:id="rId13" w:history="1">
        <w:r w:rsidRPr="00FC5DB7">
          <w:rPr>
            <w:rStyle w:val="Hyperlink"/>
            <w:rFonts w:ascii="Cambria" w:hAnsi="Cambria"/>
            <w:i/>
            <w:iCs/>
            <w:sz w:val="16"/>
            <w:szCs w:val="16"/>
          </w:rPr>
          <w:t>IACHR and the Office of the Special Rapporteur express concern for retaliation actions of the Cuban State against an organization dedicated to defending freedom of expression</w:t>
        </w:r>
        <w:r w:rsidRPr="00FC5DB7">
          <w:rPr>
            <w:rStyle w:val="Hyperlink"/>
            <w:rFonts w:ascii="Cambria" w:hAnsi="Cambria"/>
            <w:i/>
            <w:iCs/>
            <w:sz w:val="16"/>
            <w:szCs w:val="16"/>
            <w:u w:val="none"/>
          </w:rPr>
          <w:t>.</w:t>
        </w:r>
      </w:hyperlink>
    </w:p>
  </w:footnote>
  <w:footnote w:id="57">
    <w:p w14:paraId="28F91546" w14:textId="4718A01A" w:rsidR="003A6945" w:rsidRPr="00FC5DB7" w:rsidRDefault="003A6945" w:rsidP="00070034">
      <w:pPr>
        <w:pStyle w:val="FootnoteText"/>
        <w:jc w:val="both"/>
        <w:rPr>
          <w:rFonts w:ascii="Cambria" w:hAnsi="Cambria"/>
          <w:sz w:val="16"/>
          <w:szCs w:val="16"/>
        </w:rPr>
      </w:pPr>
      <w:r w:rsidRPr="00FC5DB7">
        <w:rPr>
          <w:rStyle w:val="FootnoteReference"/>
          <w:rFonts w:ascii="Cambria" w:hAnsi="Cambria"/>
          <w:sz w:val="16"/>
          <w:szCs w:val="16"/>
        </w:rPr>
        <w:footnoteRef/>
      </w:r>
      <w:r w:rsidRPr="00FC5DB7">
        <w:rPr>
          <w:rFonts w:ascii="Cambria" w:hAnsi="Cambria"/>
          <w:sz w:val="16"/>
          <w:szCs w:val="16"/>
        </w:rPr>
        <w:t xml:space="preserve"> IACHR. Annual Report 2017. </w:t>
      </w:r>
      <w:r w:rsidRPr="00AF2D01">
        <w:rPr>
          <w:rFonts w:ascii="Cambria" w:hAnsi="Cambria"/>
          <w:sz w:val="16"/>
          <w:szCs w:val="16"/>
        </w:rPr>
        <w:t xml:space="preserve">Ch. IV.B, Cuba, para. </w:t>
      </w:r>
      <w:r w:rsidRPr="00FC5DB7">
        <w:rPr>
          <w:rFonts w:ascii="Cambria" w:hAnsi="Cambria"/>
          <w:sz w:val="16"/>
          <w:szCs w:val="16"/>
        </w:rPr>
        <w:t>35.</w:t>
      </w:r>
    </w:p>
  </w:footnote>
  <w:footnote w:id="58">
    <w:p w14:paraId="0F70F528" w14:textId="4BA0F4D7" w:rsidR="003A6945" w:rsidRPr="009D14E7" w:rsidRDefault="003A6945" w:rsidP="008C0B4A">
      <w:pPr>
        <w:pStyle w:val="FootnoteText"/>
        <w:jc w:val="both"/>
        <w:rPr>
          <w:rFonts w:ascii="Cambria" w:hAnsi="Cambria"/>
          <w:sz w:val="16"/>
          <w:szCs w:val="16"/>
        </w:rPr>
      </w:pPr>
      <w:r w:rsidRPr="00FC5DB7">
        <w:rPr>
          <w:rStyle w:val="FootnoteReference"/>
          <w:rFonts w:ascii="Cambria" w:hAnsi="Cambria"/>
          <w:sz w:val="16"/>
          <w:szCs w:val="16"/>
        </w:rPr>
        <w:footnoteRef/>
      </w:r>
      <w:r w:rsidRPr="00FC5DB7">
        <w:rPr>
          <w:rFonts w:ascii="Cambria" w:hAnsi="Cambria"/>
          <w:sz w:val="16"/>
          <w:szCs w:val="16"/>
        </w:rPr>
        <w:t xml:space="preserve"> IACHR. Annual Report 2018. </w:t>
      </w:r>
      <w:r w:rsidRPr="00AF2D01">
        <w:rPr>
          <w:rFonts w:ascii="Cambria" w:hAnsi="Cambria"/>
          <w:sz w:val="16"/>
          <w:szCs w:val="16"/>
        </w:rPr>
        <w:t xml:space="preserve">Ch. IV.B, Cuba, para. </w:t>
      </w:r>
      <w:r w:rsidRPr="009D14E7">
        <w:rPr>
          <w:rFonts w:ascii="Cambria" w:hAnsi="Cambria"/>
          <w:sz w:val="16"/>
          <w:szCs w:val="16"/>
        </w:rPr>
        <w:t>48.</w:t>
      </w:r>
    </w:p>
  </w:footnote>
  <w:footnote w:id="59">
    <w:p w14:paraId="56ACEF7C" w14:textId="24F9A653" w:rsidR="003A6945" w:rsidRPr="001C1F8A" w:rsidRDefault="003A6945" w:rsidP="00FD643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iCs/>
          <w:sz w:val="16"/>
          <w:szCs w:val="16"/>
        </w:rPr>
        <w:t xml:space="preserve">supra </w:t>
      </w:r>
      <w:r w:rsidRPr="001C1F8A">
        <w:rPr>
          <w:rFonts w:ascii="Cambria" w:hAnsi="Cambria"/>
          <w:sz w:val="16"/>
          <w:szCs w:val="16"/>
        </w:rPr>
        <w:t>para. 147.</w:t>
      </w:r>
    </w:p>
  </w:footnote>
  <w:footnote w:id="60">
    <w:p w14:paraId="40AA27D0" w14:textId="3587C2B2" w:rsidR="003A6945" w:rsidRPr="001C1F8A" w:rsidRDefault="003A6945" w:rsidP="003A6AC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91.</w:t>
      </w:r>
    </w:p>
  </w:footnote>
  <w:footnote w:id="61">
    <w:p w14:paraId="5AC62709" w14:textId="44757174" w:rsidR="003A6945" w:rsidRPr="001C1F8A" w:rsidRDefault="003A6945" w:rsidP="003A6AC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111.</w:t>
      </w:r>
    </w:p>
  </w:footnote>
  <w:footnote w:id="62">
    <w:p w14:paraId="1E23F3F0" w14:textId="688E3A5E" w:rsidR="003A6945" w:rsidRPr="001C1F8A" w:rsidRDefault="003A6945" w:rsidP="00F322D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98.</w:t>
      </w:r>
    </w:p>
  </w:footnote>
  <w:footnote w:id="63">
    <w:p w14:paraId="64520990" w14:textId="71B8A8F6" w:rsidR="003A6945" w:rsidRPr="001C1F8A" w:rsidRDefault="003A6945" w:rsidP="00F322D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99.</w:t>
      </w:r>
    </w:p>
  </w:footnote>
  <w:footnote w:id="64">
    <w:p w14:paraId="2B92B2C0" w14:textId="5662E29E" w:rsidR="003A6945" w:rsidRPr="001C1F8A" w:rsidRDefault="003A6945" w:rsidP="003965B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117. </w:t>
      </w:r>
    </w:p>
  </w:footnote>
  <w:footnote w:id="65">
    <w:p w14:paraId="76A5E88F" w14:textId="4AA97FA2" w:rsidR="003A6945" w:rsidRPr="001C1F8A" w:rsidRDefault="003A6945" w:rsidP="00A54FB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bookmarkStart w:id="14" w:name="_Hlk64642245"/>
      <w:r w:rsidRPr="001C1F8A">
        <w:rPr>
          <w:rFonts w:ascii="Cambria" w:hAnsi="Cambria"/>
          <w:sz w:val="16"/>
          <w:szCs w:val="16"/>
        </w:rPr>
        <w:t xml:space="preserve">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para. 241</w:t>
      </w:r>
      <w:bookmarkEnd w:id="14"/>
      <w:r w:rsidRPr="001C1F8A">
        <w:rPr>
          <w:rFonts w:ascii="Cambria" w:hAnsi="Cambria"/>
          <w:sz w:val="16"/>
          <w:szCs w:val="16"/>
        </w:rPr>
        <w:t>.</w:t>
      </w:r>
    </w:p>
  </w:footnote>
  <w:footnote w:id="66">
    <w:p w14:paraId="500CE1B4" w14:textId="315FC56D" w:rsidR="003A6945" w:rsidRPr="001C1F8A" w:rsidRDefault="003A6945" w:rsidP="00707038">
      <w:pPr>
        <w:pStyle w:val="FootnoteText"/>
        <w:jc w:val="both"/>
        <w:rPr>
          <w:rFonts w:ascii="Cambria" w:hAnsi="Cambria"/>
          <w:sz w:val="16"/>
          <w:szCs w:val="16"/>
        </w:rPr>
      </w:pPr>
      <w:r w:rsidRPr="001C1F8A">
        <w:rPr>
          <w:rStyle w:val="FootnoteReference"/>
          <w:rFonts w:ascii="Cambria" w:hAnsi="Cambria"/>
          <w:sz w:val="16"/>
          <w:szCs w:val="16"/>
        </w:rPr>
        <w:footnoteRef/>
      </w:r>
      <w:bookmarkStart w:id="15" w:name="_Hlk64642192"/>
      <w:r w:rsidRPr="001C1F8A">
        <w:rPr>
          <w:rFonts w:ascii="Cambria" w:hAnsi="Cambria"/>
          <w:sz w:val="16"/>
          <w:szCs w:val="16"/>
        </w:rPr>
        <w:t xml:space="preserve"> IACHR. </w:t>
      </w:r>
      <w:hyperlink r:id="rId14" w:history="1">
        <w:r w:rsidRPr="001C1F8A">
          <w:rPr>
            <w:rStyle w:val="Hyperlink"/>
            <w:rFonts w:ascii="Cambria" w:hAnsi="Cambria"/>
            <w:sz w:val="16"/>
            <w:szCs w:val="16"/>
          </w:rPr>
          <w:t>Report on the Situation of Human Rights in Cuba</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/V/II. Doc 2. February 3, 2020, para. 207</w:t>
      </w:r>
      <w:bookmarkEnd w:id="15"/>
      <w:r w:rsidRPr="001C1F8A">
        <w:rPr>
          <w:rFonts w:ascii="Cambria" w:hAnsi="Cambria"/>
          <w:sz w:val="16"/>
          <w:szCs w:val="16"/>
        </w:rPr>
        <w:t xml:space="preserve">. </w:t>
      </w:r>
    </w:p>
  </w:footnote>
  <w:footnote w:id="67">
    <w:p w14:paraId="0048BCA8" w14:textId="6A1B94AD" w:rsidR="003A6945" w:rsidRPr="001C1F8A" w:rsidRDefault="003A6945" w:rsidP="00A54FB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Special Report on the Situation of Freedom of Expression in Cuba, </w:t>
      </w:r>
      <w:r w:rsidRPr="001C1F8A">
        <w:rPr>
          <w:rFonts w:ascii="Cambria" w:hAnsi="Cambria"/>
          <w:i/>
          <w:sz w:val="16"/>
          <w:szCs w:val="16"/>
        </w:rPr>
        <w:t>supra</w:t>
      </w:r>
      <w:r w:rsidRPr="001C1F8A">
        <w:rPr>
          <w:rFonts w:ascii="Cambria" w:hAnsi="Cambria"/>
          <w:sz w:val="16"/>
          <w:szCs w:val="16"/>
        </w:rPr>
        <w:t xml:space="preserve"> p. 184. </w:t>
      </w:r>
    </w:p>
  </w:footnote>
  <w:footnote w:id="68">
    <w:p w14:paraId="61B404AB" w14:textId="572086FE" w:rsidR="003A6945" w:rsidRPr="001C1F8A" w:rsidRDefault="003A6945" w:rsidP="0036636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15" w:history="1">
        <w:r w:rsidRPr="001C1F8A">
          <w:rPr>
            <w:rStyle w:val="Hyperlink"/>
            <w:rFonts w:ascii="Cambria" w:hAnsi="Cambria"/>
            <w:sz w:val="16"/>
            <w:szCs w:val="16"/>
          </w:rPr>
          <w:t>Report on the Situation of Human Rights in Cuba</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 xml:space="preserve">/V/II. Doc 2. February 3, 2020, para. 126. </w:t>
      </w:r>
    </w:p>
  </w:footnote>
  <w:footnote w:id="69">
    <w:p w14:paraId="0E25AC46" w14:textId="348212BB" w:rsidR="003A6945" w:rsidRPr="001C1F8A" w:rsidRDefault="003A6945" w:rsidP="00366365">
      <w:pPr>
        <w:pBdr>
          <w:top w:val="none" w:sz="0" w:space="0" w:color="auto"/>
          <w:left w:val="none" w:sz="0" w:space="0" w:color="auto"/>
          <w:bottom w:val="none" w:sz="0" w:space="0" w:color="auto"/>
          <w:right w:val="none" w:sz="0" w:space="0" w:color="auto"/>
        </w:pBdr>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IACHR, Report No. 27/18, Case No. 12.127, Merits (Publication). </w:t>
      </w:r>
      <w:proofErr w:type="spellStart"/>
      <w:r w:rsidRPr="001C1F8A">
        <w:rPr>
          <w:rFonts w:ascii="Cambria" w:hAnsi="Cambria"/>
          <w:sz w:val="16"/>
          <w:szCs w:val="16"/>
          <w:lang w:val="en-US"/>
        </w:rPr>
        <w:t>Vladimiro</w:t>
      </w:r>
      <w:proofErr w:type="spellEnd"/>
      <w:r w:rsidRPr="001C1F8A">
        <w:rPr>
          <w:rFonts w:ascii="Cambria" w:hAnsi="Cambria"/>
          <w:sz w:val="16"/>
          <w:szCs w:val="16"/>
          <w:lang w:val="en-US"/>
        </w:rPr>
        <w:t xml:space="preserve"> Roca </w:t>
      </w:r>
      <w:proofErr w:type="spellStart"/>
      <w:r w:rsidRPr="001C1F8A">
        <w:rPr>
          <w:rFonts w:ascii="Cambria" w:hAnsi="Cambria"/>
          <w:sz w:val="16"/>
          <w:szCs w:val="16"/>
          <w:lang w:val="en-US"/>
        </w:rPr>
        <w:t>Antunez</w:t>
      </w:r>
      <w:proofErr w:type="spellEnd"/>
      <w:r w:rsidRPr="001C1F8A">
        <w:rPr>
          <w:rFonts w:ascii="Cambria" w:hAnsi="Cambria"/>
          <w:sz w:val="16"/>
          <w:szCs w:val="16"/>
          <w:lang w:val="en-US"/>
        </w:rPr>
        <w:t xml:space="preserve"> and Others. Cuba. February 24, 2018, paras. 52, 61; IACHR, Report No. 67/06, Case No. 12.476. Merits (Publication). Oscar Elías Biscet et al. Cuba. October 21, 2006, paras. 13, 204, 205, 212, 224; IACHR. Annual Report 2002. Ch. IV - Human Rights Developments in the Region - Cuba. </w:t>
      </w:r>
      <w:r w:rsidRPr="001C1F8A">
        <w:rPr>
          <w:rFonts w:ascii="Cambria" w:hAnsi="Cambria"/>
          <w:color w:val="000000"/>
          <w:sz w:val="16"/>
          <w:szCs w:val="16"/>
          <w:lang w:val="en-US"/>
        </w:rPr>
        <w:t>OEA/</w:t>
      </w:r>
      <w:proofErr w:type="spellStart"/>
      <w:r w:rsidRPr="001C1F8A">
        <w:rPr>
          <w:rFonts w:ascii="Cambria" w:hAnsi="Cambria"/>
          <w:color w:val="000000"/>
          <w:sz w:val="16"/>
          <w:szCs w:val="16"/>
          <w:lang w:val="en-US"/>
        </w:rPr>
        <w:t>Ser.L</w:t>
      </w:r>
      <w:proofErr w:type="spellEnd"/>
      <w:r w:rsidRPr="001C1F8A">
        <w:rPr>
          <w:rFonts w:ascii="Cambria" w:hAnsi="Cambria"/>
          <w:color w:val="000000"/>
          <w:sz w:val="16"/>
          <w:szCs w:val="16"/>
          <w:lang w:val="en-US"/>
        </w:rPr>
        <w:t xml:space="preserve">/V/II.117, Doc. 1, rev. 1, March 7, 2003, para. 27; </w:t>
      </w:r>
      <w:r w:rsidRPr="001C1F8A">
        <w:rPr>
          <w:rFonts w:ascii="Cambria" w:hAnsi="Cambria"/>
          <w:sz w:val="16"/>
          <w:szCs w:val="16"/>
          <w:lang w:val="en-US"/>
        </w:rPr>
        <w:t>IACHR. Annual Report 2011. Report of the Office of the Special Rapporteur for Freedom of Expression. OEA/</w:t>
      </w:r>
      <w:proofErr w:type="spellStart"/>
      <w:r w:rsidRPr="001C1F8A">
        <w:rPr>
          <w:rFonts w:ascii="Cambria" w:hAnsi="Cambria"/>
          <w:sz w:val="16"/>
          <w:szCs w:val="16"/>
          <w:lang w:val="en-US"/>
        </w:rPr>
        <w:t>Ser.L</w:t>
      </w:r>
      <w:proofErr w:type="spellEnd"/>
      <w:r w:rsidRPr="001C1F8A">
        <w:rPr>
          <w:rFonts w:ascii="Cambria" w:hAnsi="Cambria"/>
          <w:sz w:val="16"/>
          <w:szCs w:val="16"/>
          <w:lang w:val="en-US"/>
        </w:rPr>
        <w:t xml:space="preserve">/V/II. Doc. 69, 30 December 2011, para. 142. IACHR. Special Report on the Situation of Freedom of Expression in Cuba, OEA/SER.L/V/II IACHR/RELE/INF.21/18, 2018, para. 142. </w:t>
      </w:r>
    </w:p>
  </w:footnote>
  <w:footnote w:id="70">
    <w:p w14:paraId="564EA88F" w14:textId="391D4763" w:rsidR="003A6945" w:rsidRPr="001C1F8A" w:rsidRDefault="003A6945" w:rsidP="0036636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Resolution 19/2019, Precautionary Measures No. 1025-18, Manuel Alejandro León Velázquez et al. regarding Cuba (Journalists of “</w:t>
      </w:r>
      <w:proofErr w:type="spellStart"/>
      <w:r w:rsidRPr="001C1F8A">
        <w:rPr>
          <w:rFonts w:ascii="Cambria" w:hAnsi="Cambria"/>
          <w:sz w:val="16"/>
          <w:szCs w:val="16"/>
        </w:rPr>
        <w:t>Diario</w:t>
      </w:r>
      <w:proofErr w:type="spellEnd"/>
      <w:r w:rsidRPr="001C1F8A">
        <w:rPr>
          <w:rFonts w:ascii="Cambria" w:hAnsi="Cambria"/>
          <w:sz w:val="16"/>
          <w:szCs w:val="16"/>
        </w:rPr>
        <w:t xml:space="preserve"> de Cuba”), April 4, 2019, para. 7; IACHR. Annual Report 2008. Ch. IV. B. Cuba. OEA/</w:t>
      </w:r>
      <w:proofErr w:type="spellStart"/>
      <w:r w:rsidRPr="001C1F8A">
        <w:rPr>
          <w:rFonts w:ascii="Cambria" w:hAnsi="Cambria"/>
          <w:sz w:val="16"/>
          <w:szCs w:val="16"/>
        </w:rPr>
        <w:t>Ser</w:t>
      </w:r>
      <w:r w:rsidRPr="001C1F8A">
        <w:rPr>
          <w:rFonts w:ascii="Cambria" w:hAnsi="Cambria"/>
          <w:sz w:val="16"/>
          <w:szCs w:val="16"/>
          <w:lang w:eastAsia="pt-BR"/>
        </w:rPr>
        <w:t>.L</w:t>
      </w:r>
      <w:proofErr w:type="spellEnd"/>
      <w:r w:rsidRPr="001C1F8A">
        <w:rPr>
          <w:rFonts w:ascii="Cambria" w:hAnsi="Cambria"/>
          <w:sz w:val="16"/>
          <w:szCs w:val="16"/>
          <w:lang w:eastAsia="pt-BR"/>
        </w:rPr>
        <w:t>/V/II.134, Doc. 5 rev. 1, 25 February 2009, para. 219.</w:t>
      </w:r>
    </w:p>
  </w:footnote>
  <w:footnote w:id="71">
    <w:p w14:paraId="22A55975" w14:textId="7E6844D5" w:rsidR="003A6945" w:rsidRPr="001C1F8A" w:rsidRDefault="003A6945" w:rsidP="00366365">
      <w:pPr>
        <w:pBdr>
          <w:top w:val="none" w:sz="0" w:space="0" w:color="auto"/>
          <w:left w:val="none" w:sz="0" w:space="0" w:color="auto"/>
          <w:bottom w:val="none" w:sz="0" w:space="0" w:color="auto"/>
          <w:right w:val="none" w:sz="0" w:space="0" w:color="auto"/>
        </w:pBdr>
        <w:shd w:val="clear" w:color="auto" w:fill="FFFFFF"/>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IACHR. Annual Report 2008. Ch. IV. B. Cuba. OEA/</w:t>
      </w:r>
      <w:proofErr w:type="spellStart"/>
      <w:r w:rsidRPr="001C1F8A">
        <w:rPr>
          <w:rFonts w:ascii="Cambria" w:hAnsi="Cambria"/>
          <w:sz w:val="16"/>
          <w:szCs w:val="16"/>
          <w:lang w:val="en-US"/>
        </w:rPr>
        <w:t>Ser</w:t>
      </w:r>
      <w:r w:rsidRPr="001C1F8A">
        <w:rPr>
          <w:rFonts w:ascii="Cambria" w:hAnsi="Cambria"/>
          <w:color w:val="000000"/>
          <w:sz w:val="16"/>
          <w:szCs w:val="16"/>
          <w:lang w:val="en-US" w:eastAsia="pt-BR"/>
        </w:rPr>
        <w:t>.L</w:t>
      </w:r>
      <w:proofErr w:type="spellEnd"/>
      <w:r w:rsidRPr="001C1F8A">
        <w:rPr>
          <w:rFonts w:ascii="Cambria" w:hAnsi="Cambria"/>
          <w:color w:val="000000"/>
          <w:sz w:val="16"/>
          <w:szCs w:val="16"/>
          <w:lang w:val="en-US" w:eastAsia="pt-BR"/>
        </w:rPr>
        <w:t>/V/II.134, Doc. 5 rev. 1, 25 February 2009, para. 205.</w:t>
      </w:r>
    </w:p>
  </w:footnote>
  <w:footnote w:id="72">
    <w:p w14:paraId="3C65995F" w14:textId="1AF4EE0D" w:rsidR="003A6945" w:rsidRPr="001C1F8A" w:rsidRDefault="003A6945" w:rsidP="00366365">
      <w:pPr>
        <w:pBdr>
          <w:top w:val="none" w:sz="0" w:space="0" w:color="auto"/>
          <w:left w:val="none" w:sz="0" w:space="0" w:color="auto"/>
          <w:bottom w:val="none" w:sz="0" w:space="0" w:color="auto"/>
          <w:right w:val="none" w:sz="0" w:space="0" w:color="auto"/>
        </w:pBdr>
        <w:jc w:val="both"/>
        <w:rPr>
          <w:rFonts w:ascii="Cambria" w:hAnsi="Cambria" w:cs="Tahoma"/>
          <w:color w:val="333333"/>
          <w:sz w:val="16"/>
          <w:szCs w:val="16"/>
          <w:lang w:val="en-US" w:eastAsia="pt-BR"/>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IACHR. Annual Report 2012. Ch. IV. B. Cuba. </w:t>
      </w:r>
      <w:r w:rsidRPr="001C1F8A">
        <w:rPr>
          <w:rFonts w:ascii="Cambria" w:hAnsi="Cambria" w:cs="Tahoma"/>
          <w:color w:val="333333"/>
          <w:sz w:val="16"/>
          <w:szCs w:val="16"/>
          <w:lang w:val="en-US" w:eastAsia="pt-BR"/>
        </w:rPr>
        <w:t>OEA/</w:t>
      </w:r>
      <w:proofErr w:type="spellStart"/>
      <w:r w:rsidRPr="001C1F8A">
        <w:rPr>
          <w:rFonts w:ascii="Cambria" w:hAnsi="Cambria" w:cs="Tahoma"/>
          <w:color w:val="333333"/>
          <w:sz w:val="16"/>
          <w:szCs w:val="16"/>
          <w:lang w:val="en-US" w:eastAsia="pt-BR"/>
        </w:rPr>
        <w:t>Ser.L</w:t>
      </w:r>
      <w:proofErr w:type="spellEnd"/>
      <w:r w:rsidRPr="001C1F8A">
        <w:rPr>
          <w:rFonts w:ascii="Cambria" w:hAnsi="Cambria" w:cs="Tahoma"/>
          <w:color w:val="333333"/>
          <w:sz w:val="16"/>
          <w:szCs w:val="16"/>
          <w:lang w:val="en-US" w:eastAsia="pt-BR"/>
        </w:rPr>
        <w:t xml:space="preserve">/V/II.147, Doc. 1, 5 March 2013, paras. 78, 118. </w:t>
      </w:r>
    </w:p>
  </w:footnote>
  <w:footnote w:id="73">
    <w:p w14:paraId="230F0700" w14:textId="2C626317" w:rsidR="003A6945" w:rsidRPr="00E15DF1" w:rsidRDefault="003A6945" w:rsidP="00A56196">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1. Passport. Annex 1 to the petitioner’s observations on the merits of February 11, 2019.</w:t>
      </w:r>
    </w:p>
  </w:footnote>
  <w:footnote w:id="74">
    <w:p w14:paraId="128C4C7E" w14:textId="77777777" w:rsidR="003A6945" w:rsidRPr="00E15DF1" w:rsidRDefault="003A6945" w:rsidP="00A56196">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pp. 5-6.</w:t>
      </w:r>
    </w:p>
  </w:footnote>
  <w:footnote w:id="75">
    <w:p w14:paraId="0F1CBEE6" w14:textId="77777777" w:rsidR="003A6945" w:rsidRPr="00E15DF1" w:rsidRDefault="003A6945" w:rsidP="005719AB">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5.</w:t>
      </w:r>
    </w:p>
  </w:footnote>
  <w:footnote w:id="76">
    <w:p w14:paraId="5CD43467" w14:textId="77777777" w:rsidR="003A6945" w:rsidRPr="001C1F8A" w:rsidRDefault="003A6945" w:rsidP="005719AB">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Profile of </w:t>
      </w:r>
      <w:proofErr w:type="spellStart"/>
      <w:r w:rsidRPr="00E15DF1">
        <w:rPr>
          <w:rFonts w:ascii="Cambria" w:hAnsi="Cambria"/>
          <w:sz w:val="16"/>
          <w:szCs w:val="16"/>
        </w:rPr>
        <w:t>Yoani</w:t>
      </w:r>
      <w:proofErr w:type="spellEnd"/>
      <w:r w:rsidRPr="00E15DF1">
        <w:rPr>
          <w:rFonts w:ascii="Cambria" w:hAnsi="Cambria"/>
          <w:sz w:val="16"/>
          <w:szCs w:val="16"/>
        </w:rPr>
        <w:t xml:space="preserve"> Sánchez. Cuban newspaper </w:t>
      </w:r>
      <w:r w:rsidRPr="00E15DF1">
        <w:rPr>
          <w:rFonts w:ascii="Cambria" w:hAnsi="Cambria"/>
          <w:i/>
          <w:iCs/>
          <w:sz w:val="16"/>
          <w:szCs w:val="16"/>
        </w:rPr>
        <w:t>14ymedio.com</w:t>
      </w:r>
      <w:r w:rsidRPr="00E15DF1">
        <w:rPr>
          <w:rFonts w:ascii="Cambria" w:hAnsi="Cambria"/>
          <w:sz w:val="16"/>
          <w:szCs w:val="16"/>
        </w:rPr>
        <w:t xml:space="preserve">. Available at: </w:t>
      </w:r>
      <w:hyperlink r:id="rId16" w:history="1">
        <w:r w:rsidRPr="00E15DF1">
          <w:rPr>
            <w:rStyle w:val="Hyperlink"/>
            <w:rFonts w:ascii="Cambria" w:hAnsi="Cambria"/>
            <w:sz w:val="16"/>
            <w:szCs w:val="16"/>
          </w:rPr>
          <w:t xml:space="preserve">https://www.14ymedio.com/blogs/generacion_y/generacion_y-yoani_Sánchez-cuba-habana_7_1558714114.html </w:t>
        </w:r>
      </w:hyperlink>
    </w:p>
  </w:footnote>
  <w:footnote w:id="77">
    <w:p w14:paraId="53EB2BC2" w14:textId="52C55933" w:rsidR="003A6945" w:rsidRPr="002A7A7E" w:rsidRDefault="003A6945" w:rsidP="003A5D2A">
      <w:pPr>
        <w:pStyle w:val="FootnoteText"/>
        <w:jc w:val="both"/>
        <w:rPr>
          <w:rFonts w:ascii="Cambria" w:hAnsi="Cambria"/>
          <w:sz w:val="16"/>
          <w:szCs w:val="16"/>
          <w:lang w:val="es-PE"/>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17" w:history="1">
        <w:r w:rsidRPr="001C1F8A">
          <w:rPr>
            <w:rStyle w:val="Hyperlink"/>
            <w:rFonts w:ascii="Cambria" w:hAnsi="Cambria"/>
            <w:sz w:val="16"/>
            <w:szCs w:val="16"/>
          </w:rPr>
          <w:t>Special Report on the Situation of Freedom of Expression in Cuba</w:t>
        </w:r>
      </w:hyperlink>
      <w:r w:rsidRPr="001C1F8A">
        <w:rPr>
          <w:rStyle w:val="Hyperlink"/>
          <w:rFonts w:ascii="Cambria" w:hAnsi="Cambria"/>
          <w:sz w:val="16"/>
          <w:szCs w:val="16"/>
          <w:u w:val="none"/>
        </w:rPr>
        <w:t>.</w:t>
      </w:r>
      <w:r w:rsidRPr="001C1F8A">
        <w:rPr>
          <w:rFonts w:ascii="Cambria" w:hAnsi="Cambria"/>
          <w:sz w:val="16"/>
          <w:szCs w:val="16"/>
        </w:rPr>
        <w:t xml:space="preserve"> </w:t>
      </w:r>
      <w:r w:rsidRPr="002A7A7E">
        <w:rPr>
          <w:rFonts w:ascii="Cambria" w:hAnsi="Cambria"/>
          <w:sz w:val="16"/>
          <w:szCs w:val="16"/>
          <w:lang w:val="es-PE"/>
        </w:rPr>
        <w:t>OAS/SER.L/V/II CIDH/RELE/INF.21/18. December 31, 2018, para. 233.</w:t>
      </w:r>
    </w:p>
  </w:footnote>
  <w:footnote w:id="78">
    <w:p w14:paraId="747BB0B5" w14:textId="448F7A1D" w:rsidR="003A6945" w:rsidRPr="002A7A7E" w:rsidRDefault="003A6945" w:rsidP="00526497">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C1F8A">
        <w:rPr>
          <w:rFonts w:ascii="Cambria" w:hAnsi="Cambria"/>
          <w:sz w:val="16"/>
          <w:szCs w:val="16"/>
          <w:vertAlign w:val="superscript"/>
        </w:rPr>
        <w:footnoteRef/>
      </w:r>
      <w:hyperlink r:id="rId18" w:history="1">
        <w:r w:rsidRPr="002A7A7E">
          <w:rPr>
            <w:rStyle w:val="Hyperlink"/>
            <w:rFonts w:ascii="Cambria" w:hAnsi="Cambria"/>
            <w:i/>
            <w:iCs/>
            <w:sz w:val="16"/>
            <w:szCs w:val="16"/>
            <w:lang w:val="es-PE"/>
          </w:rPr>
          <w:t xml:space="preserve"> </w:t>
        </w:r>
      </w:hyperlink>
      <w:r w:rsidRPr="002A7A7E">
        <w:rPr>
          <w:rFonts w:ascii="Cambria" w:hAnsi="Cambria"/>
          <w:i/>
          <w:iCs/>
          <w:sz w:val="16"/>
          <w:szCs w:val="16"/>
          <w:lang w:val="es-PE"/>
        </w:rPr>
        <w:t>Generación Y</w:t>
      </w:r>
      <w:r w:rsidRPr="002A7A7E">
        <w:rPr>
          <w:rFonts w:ascii="Cambria" w:hAnsi="Cambria"/>
          <w:sz w:val="16"/>
          <w:szCs w:val="16"/>
          <w:lang w:val="es-PE"/>
        </w:rPr>
        <w:t xml:space="preserve"> blog. October 22, 2007. </w:t>
      </w:r>
      <w:hyperlink r:id="rId19" w:history="1">
        <w:r w:rsidRPr="002A7A7E">
          <w:rPr>
            <w:rStyle w:val="Hyperlink"/>
            <w:rFonts w:ascii="Cambria" w:hAnsi="Cambria"/>
            <w:i/>
            <w:iCs/>
            <w:sz w:val="16"/>
            <w:szCs w:val="16"/>
            <w:lang w:val="es-PE"/>
          </w:rPr>
          <w:t>Yo sospecho, tú sospechas, todos sospechamos</w:t>
        </w:r>
      </w:hyperlink>
      <w:r w:rsidRPr="002A7A7E">
        <w:rPr>
          <w:rFonts w:ascii="Cambria" w:hAnsi="Cambria"/>
          <w:sz w:val="16"/>
          <w:szCs w:val="16"/>
          <w:lang w:val="es-PE"/>
        </w:rPr>
        <w:t xml:space="preserve">; July 11, 2008. </w:t>
      </w:r>
      <w:hyperlink r:id="rId20" w:history="1">
        <w:r w:rsidRPr="002A7A7E">
          <w:rPr>
            <w:rStyle w:val="Hyperlink"/>
            <w:rFonts w:ascii="Cambria" w:hAnsi="Cambria"/>
            <w:i/>
            <w:iCs/>
            <w:sz w:val="16"/>
            <w:szCs w:val="16"/>
            <w:lang w:val="es-PE"/>
          </w:rPr>
          <w:t>Democracia de Chevrolet</w:t>
        </w:r>
      </w:hyperlink>
      <w:r w:rsidRPr="002A7A7E">
        <w:rPr>
          <w:rStyle w:val="Hyperlink"/>
          <w:rFonts w:ascii="Cambria" w:hAnsi="Cambria"/>
          <w:sz w:val="16"/>
          <w:szCs w:val="16"/>
          <w:u w:val="none"/>
          <w:lang w:val="es-PE"/>
        </w:rPr>
        <w:t>;</w:t>
      </w:r>
      <w:r w:rsidRPr="002A7A7E">
        <w:rPr>
          <w:rFonts w:ascii="Cambria" w:hAnsi="Cambria"/>
          <w:sz w:val="16"/>
          <w:szCs w:val="16"/>
          <w:lang w:val="es-PE"/>
        </w:rPr>
        <w:t xml:space="preserve"> </w:t>
      </w:r>
      <w:proofErr w:type="spellStart"/>
      <w:r w:rsidRPr="002A7A7E">
        <w:rPr>
          <w:rFonts w:ascii="Cambria" w:hAnsi="Cambria"/>
          <w:sz w:val="16"/>
          <w:szCs w:val="16"/>
          <w:lang w:val="es-PE"/>
        </w:rPr>
        <w:t>July</w:t>
      </w:r>
      <w:proofErr w:type="spellEnd"/>
      <w:r w:rsidRPr="002A7A7E">
        <w:rPr>
          <w:rFonts w:ascii="Cambria" w:hAnsi="Cambria"/>
          <w:sz w:val="16"/>
          <w:szCs w:val="16"/>
          <w:lang w:val="es-PE"/>
        </w:rPr>
        <w:t xml:space="preserve"> 21, 2008. </w:t>
      </w:r>
      <w:hyperlink r:id="rId21" w:history="1">
        <w:r w:rsidRPr="002A7A7E">
          <w:rPr>
            <w:rStyle w:val="Hyperlink"/>
            <w:rFonts w:ascii="Cambria" w:hAnsi="Cambria"/>
            <w:i/>
            <w:iCs/>
            <w:sz w:val="16"/>
            <w:szCs w:val="16"/>
            <w:lang w:val="es-PE"/>
          </w:rPr>
          <w:t>Ciber-mutilados</w:t>
        </w:r>
      </w:hyperlink>
      <w:r w:rsidRPr="002A7A7E">
        <w:rPr>
          <w:rFonts w:ascii="Cambria" w:hAnsi="Cambria"/>
          <w:sz w:val="16"/>
          <w:szCs w:val="16"/>
          <w:lang w:val="es-PE"/>
        </w:rPr>
        <w:t xml:space="preserve">; July 26, 2009. </w:t>
      </w:r>
      <w:hyperlink r:id="rId22" w:history="1">
        <w:r w:rsidRPr="002A7A7E">
          <w:rPr>
            <w:rStyle w:val="Hyperlink"/>
            <w:rFonts w:ascii="Cambria" w:hAnsi="Cambria"/>
            <w:i/>
            <w:iCs/>
            <w:sz w:val="16"/>
            <w:szCs w:val="16"/>
            <w:lang w:val="es-PE"/>
          </w:rPr>
          <w:t>Leche, agua y sombra</w:t>
        </w:r>
      </w:hyperlink>
      <w:r w:rsidRPr="002A7A7E">
        <w:rPr>
          <w:rFonts w:ascii="Cambria" w:hAnsi="Cambria"/>
          <w:sz w:val="16"/>
          <w:szCs w:val="16"/>
          <w:lang w:val="es-PE"/>
        </w:rPr>
        <w:t xml:space="preserve">; March 15, 2010. </w:t>
      </w:r>
      <w:hyperlink r:id="rId23" w:history="1">
        <w:r w:rsidRPr="002A7A7E">
          <w:rPr>
            <w:rStyle w:val="Hyperlink"/>
            <w:rFonts w:ascii="Cambria" w:hAnsi="Cambria"/>
            <w:i/>
            <w:iCs/>
            <w:sz w:val="16"/>
            <w:szCs w:val="16"/>
            <w:lang w:val="es-PE"/>
          </w:rPr>
          <w:t>Tropical mafia</w:t>
        </w:r>
      </w:hyperlink>
      <w:r w:rsidRPr="002A7A7E">
        <w:rPr>
          <w:rFonts w:ascii="Cambria" w:hAnsi="Cambria"/>
          <w:i/>
          <w:iCs/>
          <w:sz w:val="16"/>
          <w:szCs w:val="16"/>
          <w:lang w:val="es-PE"/>
        </w:rPr>
        <w:t>;</w:t>
      </w:r>
      <w:r w:rsidRPr="002A7A7E">
        <w:rPr>
          <w:rFonts w:ascii="Cambria" w:hAnsi="Cambria"/>
          <w:sz w:val="16"/>
          <w:szCs w:val="16"/>
          <w:lang w:val="es-PE"/>
        </w:rPr>
        <w:t xml:space="preserve"> </w:t>
      </w:r>
      <w:r w:rsidRPr="002A7A7E">
        <w:rPr>
          <w:rFonts w:ascii="Cambria" w:hAnsi="Cambria"/>
          <w:i/>
          <w:iCs/>
          <w:sz w:val="16"/>
          <w:szCs w:val="16"/>
          <w:lang w:val="es-PE"/>
        </w:rPr>
        <w:t>Generación Y</w:t>
      </w:r>
      <w:r w:rsidRPr="002A7A7E">
        <w:rPr>
          <w:rFonts w:ascii="Cambria" w:hAnsi="Cambria"/>
          <w:sz w:val="16"/>
          <w:szCs w:val="16"/>
          <w:lang w:val="es-PE"/>
        </w:rPr>
        <w:t xml:space="preserve"> blog in Portuguese. April 10, 2010. </w:t>
      </w:r>
      <w:hyperlink r:id="rId24" w:history="1">
        <w:r w:rsidRPr="002A7A7E">
          <w:rPr>
            <w:rStyle w:val="Hyperlink"/>
            <w:rFonts w:ascii="Cambria" w:hAnsi="Cambria"/>
            <w:i/>
            <w:iCs/>
            <w:sz w:val="16"/>
            <w:szCs w:val="16"/>
            <w:lang w:val="es-PE"/>
          </w:rPr>
          <w:t xml:space="preserve">Do </w:t>
        </w:r>
        <w:proofErr w:type="spellStart"/>
        <w:r w:rsidRPr="002A7A7E">
          <w:rPr>
            <w:rStyle w:val="Hyperlink"/>
            <w:rFonts w:ascii="Cambria" w:hAnsi="Cambria"/>
            <w:i/>
            <w:iCs/>
            <w:sz w:val="16"/>
            <w:szCs w:val="16"/>
            <w:lang w:val="es-PE"/>
          </w:rPr>
          <w:t>leite</w:t>
        </w:r>
        <w:proofErr w:type="spellEnd"/>
        <w:r w:rsidRPr="002A7A7E">
          <w:rPr>
            <w:rStyle w:val="Hyperlink"/>
            <w:rFonts w:ascii="Cambria" w:hAnsi="Cambria"/>
            <w:i/>
            <w:iCs/>
            <w:sz w:val="16"/>
            <w:szCs w:val="16"/>
            <w:lang w:val="es-PE"/>
          </w:rPr>
          <w:t xml:space="preserve"> à barricada</w:t>
        </w:r>
      </w:hyperlink>
      <w:r w:rsidRPr="002A7A7E">
        <w:rPr>
          <w:rFonts w:ascii="Cambria" w:hAnsi="Cambria"/>
          <w:sz w:val="16"/>
          <w:szCs w:val="16"/>
          <w:lang w:val="es-PE"/>
        </w:rPr>
        <w:t xml:space="preserve">; May 7, 2010. </w:t>
      </w:r>
      <w:hyperlink r:id="rId25" w:history="1">
        <w:r w:rsidRPr="002A7A7E">
          <w:rPr>
            <w:rStyle w:val="Hyperlink"/>
            <w:rFonts w:ascii="Cambria" w:hAnsi="Cambria"/>
            <w:i/>
            <w:iCs/>
            <w:sz w:val="16"/>
            <w:szCs w:val="16"/>
            <w:lang w:val="es-PE"/>
          </w:rPr>
          <w:t xml:space="preserve">El </w:t>
        </w:r>
        <w:proofErr w:type="spellStart"/>
        <w:r w:rsidRPr="002A7A7E">
          <w:rPr>
            <w:rStyle w:val="Hyperlink"/>
            <w:rFonts w:ascii="Cambria" w:hAnsi="Cambria"/>
            <w:i/>
            <w:iCs/>
            <w:sz w:val="16"/>
            <w:szCs w:val="16"/>
            <w:lang w:val="es-PE"/>
          </w:rPr>
          <w:t>Iphone</w:t>
        </w:r>
        <w:proofErr w:type="spellEnd"/>
        <w:r w:rsidRPr="002A7A7E">
          <w:rPr>
            <w:rStyle w:val="Hyperlink"/>
            <w:rFonts w:ascii="Cambria" w:hAnsi="Cambria"/>
            <w:i/>
            <w:iCs/>
            <w:sz w:val="16"/>
            <w:szCs w:val="16"/>
            <w:lang w:val="es-PE"/>
          </w:rPr>
          <w:t xml:space="preserve"> de Rosa Diez</w:t>
        </w:r>
      </w:hyperlink>
      <w:r w:rsidRPr="002A7A7E">
        <w:rPr>
          <w:rFonts w:ascii="Cambria" w:hAnsi="Cambria"/>
          <w:sz w:val="16"/>
          <w:szCs w:val="16"/>
          <w:lang w:val="es-PE"/>
        </w:rPr>
        <w:t xml:space="preserve">; </w:t>
      </w:r>
      <w:r w:rsidRPr="002A7A7E">
        <w:rPr>
          <w:rFonts w:ascii="Cambria" w:hAnsi="Cambria"/>
          <w:i/>
          <w:iCs/>
          <w:sz w:val="16"/>
          <w:szCs w:val="16"/>
          <w:lang w:val="es-PE"/>
        </w:rPr>
        <w:t>Generación Y</w:t>
      </w:r>
      <w:r w:rsidRPr="002A7A7E">
        <w:rPr>
          <w:rFonts w:ascii="Cambria" w:hAnsi="Cambria"/>
          <w:sz w:val="16"/>
          <w:szCs w:val="16"/>
          <w:lang w:val="es-PE"/>
        </w:rPr>
        <w:t xml:space="preserve"> blog in Portuguese. August 2, 2011 </w:t>
      </w:r>
      <w:hyperlink r:id="rId26" w:history="1">
        <w:proofErr w:type="spellStart"/>
        <w:r w:rsidRPr="002A7A7E">
          <w:rPr>
            <w:rStyle w:val="Hyperlink"/>
            <w:rFonts w:ascii="Cambria" w:hAnsi="Cambria"/>
            <w:i/>
            <w:iCs/>
            <w:sz w:val="16"/>
            <w:szCs w:val="16"/>
            <w:lang w:val="es-PE"/>
          </w:rPr>
          <w:t>Na</w:t>
        </w:r>
        <w:proofErr w:type="spellEnd"/>
        <w:r w:rsidRPr="002A7A7E">
          <w:rPr>
            <w:rStyle w:val="Hyperlink"/>
            <w:rFonts w:ascii="Cambria" w:hAnsi="Cambria"/>
            <w:i/>
            <w:iCs/>
            <w:sz w:val="16"/>
            <w:szCs w:val="16"/>
            <w:lang w:val="es-PE"/>
          </w:rPr>
          <w:t xml:space="preserve"> </w:t>
        </w:r>
        <w:proofErr w:type="spellStart"/>
        <w:r w:rsidRPr="002A7A7E">
          <w:rPr>
            <w:rStyle w:val="Hyperlink"/>
            <w:rFonts w:ascii="Cambria" w:hAnsi="Cambria"/>
            <w:i/>
            <w:iCs/>
            <w:sz w:val="16"/>
            <w:szCs w:val="16"/>
            <w:lang w:val="es-PE"/>
          </w:rPr>
          <w:t>própria</w:t>
        </w:r>
        <w:proofErr w:type="spellEnd"/>
        <w:r w:rsidRPr="002A7A7E">
          <w:rPr>
            <w:rStyle w:val="Hyperlink"/>
            <w:rFonts w:ascii="Cambria" w:hAnsi="Cambria"/>
            <w:i/>
            <w:iCs/>
            <w:sz w:val="16"/>
            <w:szCs w:val="16"/>
            <w:lang w:val="es-PE"/>
          </w:rPr>
          <w:t xml:space="preserve"> carne</w:t>
        </w:r>
      </w:hyperlink>
      <w:r w:rsidRPr="002A7A7E">
        <w:rPr>
          <w:rFonts w:ascii="Cambria" w:hAnsi="Cambria"/>
          <w:sz w:val="16"/>
          <w:szCs w:val="16"/>
          <w:lang w:val="es-PE"/>
        </w:rPr>
        <w:t xml:space="preserve">; February 29, 2012. </w:t>
      </w:r>
      <w:hyperlink r:id="rId27" w:history="1">
        <w:r w:rsidRPr="002A7A7E">
          <w:rPr>
            <w:rStyle w:val="Hyperlink"/>
            <w:rFonts w:ascii="Cambria" w:hAnsi="Cambria"/>
            <w:i/>
            <w:iCs/>
            <w:sz w:val="16"/>
            <w:szCs w:val="16"/>
            <w:lang w:val="es-PE"/>
          </w:rPr>
          <w:t>La planta, nuestra planta</w:t>
        </w:r>
      </w:hyperlink>
      <w:r w:rsidRPr="002A7A7E">
        <w:rPr>
          <w:rFonts w:ascii="Cambria" w:hAnsi="Cambria"/>
          <w:i/>
          <w:iCs/>
          <w:sz w:val="16"/>
          <w:szCs w:val="16"/>
          <w:lang w:val="es-PE"/>
        </w:rPr>
        <w:t>.</w:t>
      </w:r>
    </w:p>
  </w:footnote>
  <w:footnote w:id="79">
    <w:p w14:paraId="747AD99D" w14:textId="0F2CBF9E" w:rsidR="003A6945" w:rsidRPr="002A7A7E" w:rsidRDefault="003A6945" w:rsidP="005413B9">
      <w:pPr>
        <w:pStyle w:val="FootnoteText"/>
        <w:jc w:val="both"/>
        <w:rPr>
          <w:rFonts w:ascii="Cambria" w:hAnsi="Cambria"/>
          <w:iCs/>
          <w:color w:val="0070C0"/>
          <w:sz w:val="16"/>
          <w:szCs w:val="16"/>
          <w:lang w:val="es-PE"/>
        </w:rPr>
      </w:pPr>
      <w:r w:rsidRPr="001C1F8A">
        <w:rPr>
          <w:rStyle w:val="FootnoteReference"/>
          <w:rFonts w:ascii="Cambria" w:hAnsi="Cambria"/>
          <w:sz w:val="16"/>
          <w:szCs w:val="16"/>
        </w:rPr>
        <w:footnoteRef/>
      </w:r>
      <w:r w:rsidRPr="002A7A7E">
        <w:rPr>
          <w:rFonts w:ascii="Cambria" w:hAnsi="Cambria"/>
          <w:sz w:val="16"/>
          <w:szCs w:val="16"/>
          <w:lang w:val="es-PE"/>
        </w:rPr>
        <w:t xml:space="preserve"> </w:t>
      </w:r>
      <w:r w:rsidRPr="002A7A7E">
        <w:rPr>
          <w:rFonts w:ascii="Cambria" w:hAnsi="Cambria"/>
          <w:i/>
          <w:iCs/>
          <w:sz w:val="16"/>
          <w:szCs w:val="16"/>
          <w:lang w:val="es-PE"/>
        </w:rPr>
        <w:t>El País</w:t>
      </w:r>
      <w:r w:rsidRPr="002A7A7E">
        <w:rPr>
          <w:rFonts w:ascii="Cambria" w:hAnsi="Cambria"/>
          <w:sz w:val="16"/>
          <w:szCs w:val="16"/>
          <w:lang w:val="es-PE"/>
        </w:rPr>
        <w:t xml:space="preserve">. </w:t>
      </w:r>
      <w:r w:rsidRPr="001C1F8A">
        <w:rPr>
          <w:rFonts w:ascii="Cambria" w:hAnsi="Cambria"/>
          <w:sz w:val="16"/>
          <w:szCs w:val="16"/>
        </w:rPr>
        <w:t xml:space="preserve">April 4, 2008. </w:t>
      </w:r>
      <w:hyperlink r:id="rId28" w:history="1">
        <w:r w:rsidRPr="001C1F8A">
          <w:rPr>
            <w:rStyle w:val="Hyperlink"/>
            <w:rFonts w:ascii="Cambria" w:hAnsi="Cambria"/>
            <w:i/>
            <w:color w:val="0070C0"/>
            <w:sz w:val="16"/>
            <w:szCs w:val="16"/>
          </w:rPr>
          <w:t>The Ortega awards the bravery of investigative journalism</w:t>
        </w:r>
      </w:hyperlink>
      <w:r w:rsidRPr="001C1F8A">
        <w:rPr>
          <w:rFonts w:ascii="Cambria" w:hAnsi="Cambria"/>
          <w:sz w:val="16"/>
          <w:szCs w:val="16"/>
        </w:rPr>
        <w:t xml:space="preserve">; </w:t>
      </w:r>
      <w:proofErr w:type="spellStart"/>
      <w:r w:rsidRPr="001C1F8A">
        <w:rPr>
          <w:rFonts w:ascii="Cambria" w:hAnsi="Cambria"/>
          <w:i/>
          <w:iCs/>
          <w:sz w:val="16"/>
          <w:szCs w:val="16"/>
        </w:rPr>
        <w:t>Periodismo</w:t>
      </w:r>
      <w:proofErr w:type="spellEnd"/>
      <w:r w:rsidRPr="001C1F8A">
        <w:rPr>
          <w:rFonts w:ascii="Cambria" w:hAnsi="Cambria"/>
          <w:i/>
          <w:iCs/>
          <w:sz w:val="16"/>
          <w:szCs w:val="16"/>
        </w:rPr>
        <w:t xml:space="preserve"> </w:t>
      </w:r>
      <w:proofErr w:type="spellStart"/>
      <w:r w:rsidRPr="001C1F8A">
        <w:rPr>
          <w:rFonts w:ascii="Cambria" w:hAnsi="Cambria"/>
          <w:i/>
          <w:iCs/>
          <w:sz w:val="16"/>
          <w:szCs w:val="16"/>
        </w:rPr>
        <w:t>ciudadano</w:t>
      </w:r>
      <w:proofErr w:type="spellEnd"/>
      <w:r w:rsidRPr="001C1F8A">
        <w:rPr>
          <w:rFonts w:ascii="Cambria" w:hAnsi="Cambria"/>
          <w:sz w:val="16"/>
          <w:szCs w:val="16"/>
        </w:rPr>
        <w:t xml:space="preserve">. </w:t>
      </w:r>
      <w:r w:rsidRPr="002A7A7E">
        <w:rPr>
          <w:rFonts w:ascii="Cambria" w:hAnsi="Cambria"/>
          <w:sz w:val="16"/>
          <w:szCs w:val="16"/>
          <w:lang w:val="es-PE"/>
        </w:rPr>
        <w:t xml:space="preserve">Undated. </w:t>
      </w:r>
      <w:hyperlink r:id="rId29" w:history="1">
        <w:r w:rsidRPr="002A7A7E">
          <w:rPr>
            <w:rStyle w:val="Hyperlink"/>
            <w:rFonts w:ascii="Cambria" w:hAnsi="Cambria"/>
            <w:i/>
            <w:color w:val="0070C0"/>
            <w:sz w:val="16"/>
            <w:szCs w:val="16"/>
            <w:lang w:val="es-PE"/>
          </w:rPr>
          <w:t>La Blogger Cubana Yoani Sánchez Gana El Premio Ortega Y Gasset De Periodismo Digital</w:t>
        </w:r>
      </w:hyperlink>
      <w:r w:rsidRPr="002A7A7E">
        <w:rPr>
          <w:rFonts w:ascii="Cambria" w:hAnsi="Cambria"/>
          <w:iCs/>
          <w:color w:val="000000" w:themeColor="text1"/>
          <w:sz w:val="16"/>
          <w:szCs w:val="16"/>
          <w:lang w:val="es-PE"/>
        </w:rPr>
        <w:t xml:space="preserve"> [Cuban Blogger Yoani Sánchez Wins Ortega Y Gasset Award for Digital Journalism].</w:t>
      </w:r>
    </w:p>
  </w:footnote>
  <w:footnote w:id="80">
    <w:p w14:paraId="27FB4516" w14:textId="1A56FBDA" w:rsidR="003A6945" w:rsidRPr="002A7A7E" w:rsidRDefault="003A6945" w:rsidP="005413B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PE"/>
        </w:rPr>
      </w:pPr>
      <w:r w:rsidRPr="001C1F8A">
        <w:rPr>
          <w:rFonts w:ascii="Cambria" w:hAnsi="Cambria"/>
          <w:sz w:val="16"/>
          <w:szCs w:val="16"/>
          <w:vertAlign w:val="superscript"/>
        </w:rPr>
        <w:footnoteRef/>
      </w:r>
      <w:r w:rsidRPr="001C1F8A">
        <w:rPr>
          <w:rFonts w:ascii="Cambria" w:hAnsi="Cambria"/>
          <w:i/>
          <w:iCs/>
          <w:sz w:val="16"/>
          <w:szCs w:val="16"/>
        </w:rPr>
        <w:t xml:space="preserve"> Time</w:t>
      </w:r>
      <w:r w:rsidRPr="001C1F8A">
        <w:rPr>
          <w:rFonts w:ascii="Cambria" w:hAnsi="Cambria"/>
          <w:sz w:val="16"/>
          <w:szCs w:val="16"/>
        </w:rPr>
        <w:t xml:space="preserve">. Undated. </w:t>
      </w:r>
      <w:hyperlink r:id="rId30" w:history="1">
        <w:r w:rsidRPr="001C1F8A">
          <w:rPr>
            <w:rStyle w:val="Hyperlink"/>
            <w:rFonts w:ascii="Cambria" w:hAnsi="Cambria"/>
            <w:i/>
            <w:iCs/>
            <w:color w:val="0070C0"/>
            <w:sz w:val="16"/>
            <w:szCs w:val="16"/>
          </w:rPr>
          <w:t xml:space="preserve">The 2008 Times 100: heroes and pioneers. </w:t>
        </w:r>
        <w:r w:rsidRPr="002A7A7E">
          <w:rPr>
            <w:rStyle w:val="Hyperlink"/>
            <w:rFonts w:ascii="Cambria" w:hAnsi="Cambria"/>
            <w:i/>
            <w:iCs/>
            <w:color w:val="0070C0"/>
            <w:sz w:val="16"/>
            <w:szCs w:val="16"/>
            <w:lang w:val="es-PE"/>
          </w:rPr>
          <w:t>Yoani Sánchez</w:t>
        </w:r>
      </w:hyperlink>
      <w:r w:rsidRPr="002A7A7E">
        <w:rPr>
          <w:rFonts w:ascii="Cambria" w:hAnsi="Cambria"/>
          <w:i/>
          <w:iCs/>
          <w:sz w:val="16"/>
          <w:szCs w:val="16"/>
          <w:lang w:val="es-PE"/>
        </w:rPr>
        <w:t>; Periodismo ciudadano</w:t>
      </w:r>
      <w:r w:rsidRPr="002A7A7E">
        <w:rPr>
          <w:rFonts w:ascii="Cambria" w:hAnsi="Cambria"/>
          <w:sz w:val="16"/>
          <w:szCs w:val="16"/>
          <w:lang w:val="es-PE"/>
        </w:rPr>
        <w:t xml:space="preserve">. Undated. </w:t>
      </w:r>
      <w:hyperlink r:id="rId31" w:history="1">
        <w:r w:rsidRPr="002A7A7E">
          <w:rPr>
            <w:rStyle w:val="Hyperlink"/>
            <w:rFonts w:ascii="Cambria" w:hAnsi="Cambria"/>
            <w:i/>
            <w:iCs/>
            <w:sz w:val="16"/>
            <w:szCs w:val="16"/>
            <w:lang w:val="es-PE"/>
          </w:rPr>
          <w:t>La Bloguera Cubana Yoani Sánchez, Elegida Por La Revista Times Como Una De Las 100 Personas Más Influyentes</w:t>
        </w:r>
      </w:hyperlink>
      <w:r w:rsidRPr="002A7A7E">
        <w:rPr>
          <w:rFonts w:ascii="Cambria" w:hAnsi="Cambria"/>
          <w:i/>
          <w:iCs/>
          <w:sz w:val="16"/>
          <w:szCs w:val="16"/>
          <w:lang w:val="es-PE"/>
        </w:rPr>
        <w:t xml:space="preserve"> </w:t>
      </w:r>
      <w:r w:rsidRPr="002A7A7E">
        <w:rPr>
          <w:rFonts w:ascii="Cambria" w:hAnsi="Cambria"/>
          <w:sz w:val="16"/>
          <w:szCs w:val="16"/>
          <w:lang w:val="es-PE"/>
        </w:rPr>
        <w:t>[Cuban Blogger Yoani Sánchez Named One of Time Magazine’s 100 Most Influential People].</w:t>
      </w:r>
    </w:p>
  </w:footnote>
  <w:footnote w:id="81">
    <w:p w14:paraId="6D9629F1" w14:textId="77777777" w:rsidR="003A6945" w:rsidRPr="001C1F8A" w:rsidRDefault="003A6945" w:rsidP="005413B9">
      <w:pPr>
        <w:pStyle w:val="FootnoteText"/>
        <w:pBdr>
          <w:top w:val="none" w:sz="0" w:space="0" w:color="auto"/>
          <w:left w:val="none" w:sz="0" w:space="0" w:color="auto"/>
          <w:bottom w:val="none" w:sz="0" w:space="0" w:color="auto"/>
          <w:right w:val="none" w:sz="0" w:space="0" w:color="auto"/>
        </w:pBdr>
        <w:jc w:val="both"/>
        <w:rPr>
          <w:rFonts w:ascii="Cambria" w:hAnsi="Cambria"/>
          <w:i/>
          <w:iCs/>
          <w:sz w:val="16"/>
          <w:szCs w:val="16"/>
        </w:rPr>
      </w:pPr>
      <w:r w:rsidRPr="001C1F8A">
        <w:rPr>
          <w:rFonts w:ascii="Cambria" w:hAnsi="Cambria"/>
          <w:sz w:val="16"/>
          <w:szCs w:val="16"/>
          <w:vertAlign w:val="superscript"/>
        </w:rPr>
        <w:footnoteRef/>
      </w:r>
      <w:r w:rsidRPr="001C1F8A">
        <w:rPr>
          <w:rFonts w:ascii="Cambria" w:hAnsi="Cambria"/>
          <w:sz w:val="16"/>
          <w:szCs w:val="16"/>
        </w:rPr>
        <w:t xml:space="preserve"> </w:t>
      </w:r>
      <w:r w:rsidRPr="001C1F8A">
        <w:rPr>
          <w:rFonts w:ascii="Cambria" w:hAnsi="Cambria"/>
          <w:i/>
          <w:iCs/>
          <w:sz w:val="16"/>
          <w:szCs w:val="16"/>
        </w:rPr>
        <w:t>Time</w:t>
      </w:r>
      <w:r w:rsidRPr="001C1F8A">
        <w:rPr>
          <w:rFonts w:ascii="Cambria" w:hAnsi="Cambria"/>
          <w:sz w:val="16"/>
          <w:szCs w:val="16"/>
        </w:rPr>
        <w:t xml:space="preserve">. Undated. </w:t>
      </w:r>
      <w:hyperlink r:id="rId32" w:history="1">
        <w:r w:rsidRPr="001C1F8A">
          <w:rPr>
            <w:rStyle w:val="Hyperlink"/>
            <w:rFonts w:ascii="Cambria" w:hAnsi="Cambria"/>
            <w:i/>
            <w:iCs/>
            <w:sz w:val="16"/>
            <w:szCs w:val="16"/>
          </w:rPr>
          <w:t xml:space="preserve">25 best blogs: </w:t>
        </w:r>
        <w:proofErr w:type="spellStart"/>
        <w:r w:rsidRPr="001C1F8A">
          <w:rPr>
            <w:rStyle w:val="Hyperlink"/>
            <w:rFonts w:ascii="Cambria" w:hAnsi="Cambria"/>
            <w:i/>
            <w:iCs/>
            <w:sz w:val="16"/>
            <w:szCs w:val="16"/>
          </w:rPr>
          <w:t>Generación</w:t>
        </w:r>
        <w:proofErr w:type="spellEnd"/>
        <w:r w:rsidRPr="001C1F8A">
          <w:rPr>
            <w:rStyle w:val="Hyperlink"/>
            <w:rFonts w:ascii="Cambria" w:hAnsi="Cambria"/>
            <w:i/>
            <w:iCs/>
            <w:sz w:val="16"/>
            <w:szCs w:val="16"/>
          </w:rPr>
          <w:t xml:space="preserve"> Y</w:t>
        </w:r>
      </w:hyperlink>
      <w:r w:rsidRPr="001C1F8A">
        <w:rPr>
          <w:rFonts w:ascii="Cambria" w:hAnsi="Cambria"/>
          <w:sz w:val="16"/>
          <w:szCs w:val="16"/>
        </w:rPr>
        <w:t xml:space="preserve">; International Press Institute. September 2, 2010. </w:t>
      </w:r>
      <w:hyperlink r:id="rId33" w:history="1">
        <w:r w:rsidRPr="001C1F8A">
          <w:rPr>
            <w:rStyle w:val="Hyperlink"/>
            <w:rFonts w:ascii="Cambria" w:hAnsi="Cambria"/>
            <w:i/>
            <w:iCs/>
            <w:sz w:val="16"/>
            <w:szCs w:val="16"/>
          </w:rPr>
          <w:t xml:space="preserve">Cuban blogger </w:t>
        </w:r>
        <w:proofErr w:type="spellStart"/>
        <w:r w:rsidRPr="001C1F8A">
          <w:rPr>
            <w:rStyle w:val="Hyperlink"/>
            <w:rFonts w:ascii="Cambria" w:hAnsi="Cambria"/>
            <w:i/>
            <w:iCs/>
            <w:sz w:val="16"/>
            <w:szCs w:val="16"/>
          </w:rPr>
          <w:t>Yoani</w:t>
        </w:r>
        <w:proofErr w:type="spellEnd"/>
        <w:r w:rsidRPr="001C1F8A">
          <w:rPr>
            <w:rStyle w:val="Hyperlink"/>
            <w:rFonts w:ascii="Cambria" w:hAnsi="Cambria"/>
            <w:i/>
            <w:iCs/>
            <w:sz w:val="16"/>
            <w:szCs w:val="16"/>
          </w:rPr>
          <w:t xml:space="preserve"> Sánchez is named IPI's 60th and final World Press Freedom Hero</w:t>
        </w:r>
      </w:hyperlink>
      <w:r w:rsidRPr="001C1F8A">
        <w:rPr>
          <w:rFonts w:ascii="Cambria" w:hAnsi="Cambria"/>
          <w:i/>
          <w:iCs/>
          <w:sz w:val="16"/>
          <w:szCs w:val="16"/>
        </w:rPr>
        <w:t>.</w:t>
      </w:r>
    </w:p>
  </w:footnote>
  <w:footnote w:id="82">
    <w:p w14:paraId="34D3F14C" w14:textId="77777777" w:rsidR="003A6945" w:rsidRPr="001C1F8A" w:rsidRDefault="003A6945" w:rsidP="005413B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Deutsche </w:t>
      </w:r>
      <w:proofErr w:type="spellStart"/>
      <w:r w:rsidRPr="001C1F8A">
        <w:rPr>
          <w:rFonts w:ascii="Cambria" w:hAnsi="Cambria"/>
          <w:sz w:val="16"/>
          <w:szCs w:val="16"/>
        </w:rPr>
        <w:t>Welle</w:t>
      </w:r>
      <w:proofErr w:type="spellEnd"/>
      <w:r w:rsidRPr="001C1F8A">
        <w:rPr>
          <w:rFonts w:ascii="Cambria" w:hAnsi="Cambria"/>
          <w:sz w:val="16"/>
          <w:szCs w:val="16"/>
        </w:rPr>
        <w:t xml:space="preserve">. November 27, 2008. </w:t>
      </w:r>
      <w:hyperlink r:id="rId34" w:history="1">
        <w:proofErr w:type="spellStart"/>
        <w:r w:rsidRPr="001C1F8A">
          <w:rPr>
            <w:rStyle w:val="Hyperlink"/>
            <w:rFonts w:ascii="Cambria" w:hAnsi="Cambria"/>
            <w:i/>
            <w:iCs/>
            <w:sz w:val="16"/>
            <w:szCs w:val="16"/>
          </w:rPr>
          <w:t>GenerationY</w:t>
        </w:r>
        <w:proofErr w:type="spellEnd"/>
        <w:r w:rsidRPr="001C1F8A">
          <w:rPr>
            <w:rStyle w:val="Hyperlink"/>
            <w:rFonts w:ascii="Cambria" w:hAnsi="Cambria"/>
            <w:i/>
            <w:iCs/>
            <w:sz w:val="16"/>
            <w:szCs w:val="16"/>
          </w:rPr>
          <w:t xml:space="preserve"> Wins 2008 Best of the Blogs Award</w:t>
        </w:r>
      </w:hyperlink>
      <w:r w:rsidRPr="001C1F8A">
        <w:rPr>
          <w:rFonts w:ascii="Cambria" w:hAnsi="Cambria"/>
          <w:sz w:val="16"/>
          <w:szCs w:val="16"/>
        </w:rPr>
        <w:t xml:space="preserve">; </w:t>
      </w:r>
      <w:r w:rsidRPr="001C1F8A">
        <w:rPr>
          <w:rFonts w:ascii="Cambria" w:hAnsi="Cambria"/>
          <w:i/>
          <w:iCs/>
          <w:sz w:val="16"/>
          <w:szCs w:val="16"/>
        </w:rPr>
        <w:t>El Nuevo Herald</w:t>
      </w:r>
      <w:r w:rsidRPr="001C1F8A">
        <w:rPr>
          <w:rFonts w:ascii="Cambria" w:hAnsi="Cambria"/>
          <w:sz w:val="16"/>
          <w:szCs w:val="16"/>
        </w:rPr>
        <w:t xml:space="preserve">. November 27, 2008. </w:t>
      </w:r>
      <w:hyperlink r:id="rId35" w:history="1">
        <w:proofErr w:type="spellStart"/>
        <w:r w:rsidRPr="001C1F8A">
          <w:rPr>
            <w:rStyle w:val="Hyperlink"/>
            <w:rFonts w:ascii="Cambria" w:hAnsi="Cambria"/>
            <w:i/>
            <w:iCs/>
            <w:sz w:val="16"/>
            <w:szCs w:val="16"/>
          </w:rPr>
          <w:t>Yoani</w:t>
        </w:r>
        <w:proofErr w:type="spellEnd"/>
        <w:r w:rsidRPr="001C1F8A">
          <w:rPr>
            <w:rStyle w:val="Hyperlink"/>
            <w:rFonts w:ascii="Cambria" w:hAnsi="Cambria"/>
            <w:i/>
            <w:iCs/>
            <w:sz w:val="16"/>
            <w:szCs w:val="16"/>
          </w:rPr>
          <w:t xml:space="preserve"> wins The Bobs Award for Best Blog of 2008</w:t>
        </w:r>
      </w:hyperlink>
      <w:r w:rsidRPr="001C1F8A">
        <w:rPr>
          <w:rFonts w:ascii="Cambria" w:hAnsi="Cambria"/>
          <w:sz w:val="16"/>
          <w:szCs w:val="16"/>
        </w:rPr>
        <w:t xml:space="preserve">. </w:t>
      </w:r>
    </w:p>
  </w:footnote>
  <w:footnote w:id="83">
    <w:p w14:paraId="41DCB611" w14:textId="77777777" w:rsidR="003A6945" w:rsidRPr="001C1F8A" w:rsidRDefault="003A6945" w:rsidP="005413B9">
      <w:pPr>
        <w:pStyle w:val="FootnoteText"/>
        <w:pBdr>
          <w:top w:val="none" w:sz="0" w:space="0" w:color="auto"/>
          <w:left w:val="none" w:sz="0" w:space="0" w:color="auto"/>
          <w:bottom w:val="none" w:sz="0" w:space="0" w:color="auto"/>
          <w:right w:val="none" w:sz="0" w:space="0" w:color="auto"/>
        </w:pBdr>
        <w:jc w:val="both"/>
        <w:rPr>
          <w:rFonts w:ascii="Cambria" w:hAnsi="Cambria"/>
          <w:i/>
          <w:iCs/>
          <w:sz w:val="16"/>
          <w:szCs w:val="16"/>
        </w:rPr>
      </w:pPr>
      <w:r w:rsidRPr="001C1F8A">
        <w:rPr>
          <w:rFonts w:ascii="Cambria" w:hAnsi="Cambria"/>
          <w:sz w:val="16"/>
          <w:szCs w:val="16"/>
          <w:vertAlign w:val="superscript"/>
        </w:rPr>
        <w:footnoteRef/>
      </w:r>
      <w:r w:rsidRPr="001C1F8A">
        <w:rPr>
          <w:rFonts w:ascii="Cambria" w:hAnsi="Cambria"/>
          <w:sz w:val="16"/>
          <w:szCs w:val="16"/>
        </w:rPr>
        <w:t xml:space="preserve"> Columbia. January 26, 2021. </w:t>
      </w:r>
      <w:hyperlink r:id="rId36" w:history="1">
        <w:r w:rsidRPr="001C1F8A">
          <w:rPr>
            <w:rStyle w:val="Hyperlink"/>
            <w:rFonts w:ascii="Cambria" w:hAnsi="Cambria"/>
            <w:i/>
            <w:iCs/>
            <w:sz w:val="16"/>
            <w:szCs w:val="16"/>
          </w:rPr>
          <w:t>Past Maria Moors Cabot Prizes Winners</w:t>
        </w:r>
      </w:hyperlink>
      <w:r w:rsidRPr="001C1F8A">
        <w:rPr>
          <w:rFonts w:ascii="Cambria" w:hAnsi="Cambria"/>
          <w:i/>
          <w:iCs/>
          <w:sz w:val="16"/>
          <w:szCs w:val="16"/>
        </w:rPr>
        <w:t xml:space="preserve">; </w:t>
      </w:r>
      <w:r w:rsidRPr="001C1F8A">
        <w:rPr>
          <w:rFonts w:ascii="Cambria" w:hAnsi="Cambria"/>
          <w:sz w:val="16"/>
          <w:szCs w:val="16"/>
        </w:rPr>
        <w:t xml:space="preserve">Reuters. October 13, 2009. </w:t>
      </w:r>
      <w:hyperlink r:id="rId37" w:history="1">
        <w:r w:rsidRPr="001C1F8A">
          <w:rPr>
            <w:rStyle w:val="Hyperlink"/>
            <w:rFonts w:ascii="Cambria" w:hAnsi="Cambria"/>
            <w:i/>
            <w:iCs/>
            <w:sz w:val="16"/>
            <w:szCs w:val="16"/>
          </w:rPr>
          <w:t>Cuba stops blogger traveling to NYC to accept prize</w:t>
        </w:r>
      </w:hyperlink>
      <w:r w:rsidRPr="001C1F8A">
        <w:rPr>
          <w:rFonts w:ascii="Cambria" w:hAnsi="Cambria"/>
          <w:i/>
          <w:iCs/>
          <w:sz w:val="16"/>
          <w:szCs w:val="16"/>
        </w:rPr>
        <w:t xml:space="preserve">.  </w:t>
      </w:r>
    </w:p>
  </w:footnote>
  <w:footnote w:id="84">
    <w:p w14:paraId="4B4192A0" w14:textId="77777777" w:rsidR="003A6945" w:rsidRPr="001C1F8A" w:rsidRDefault="003A6945" w:rsidP="005413B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hyperlink r:id="rId38" w:history="1">
        <w:r w:rsidRPr="001C1F8A">
          <w:rPr>
            <w:rStyle w:val="Hyperlink"/>
            <w:rFonts w:ascii="Cambria" w:hAnsi="Cambria"/>
            <w:i/>
            <w:iCs/>
            <w:sz w:val="16"/>
            <w:szCs w:val="16"/>
          </w:rPr>
          <w:t xml:space="preserve"> </w:t>
        </w:r>
      </w:hyperlink>
      <w:r w:rsidRPr="001C1F8A">
        <w:rPr>
          <w:rFonts w:ascii="Cambria" w:hAnsi="Cambria"/>
          <w:sz w:val="16"/>
          <w:szCs w:val="16"/>
        </w:rPr>
        <w:t xml:space="preserve">Foreign Policy. November 28, 2011. </w:t>
      </w:r>
      <w:hyperlink r:id="rId39" w:history="1">
        <w:r w:rsidRPr="001C1F8A">
          <w:rPr>
            <w:rStyle w:val="Hyperlink"/>
            <w:rFonts w:ascii="Cambria" w:hAnsi="Cambria"/>
            <w:i/>
            <w:iCs/>
            <w:sz w:val="16"/>
            <w:szCs w:val="16"/>
          </w:rPr>
          <w:t>The FP Top 100 Global Thinkers</w:t>
        </w:r>
      </w:hyperlink>
      <w:r w:rsidRPr="001C1F8A">
        <w:rPr>
          <w:rFonts w:ascii="Cambria" w:hAnsi="Cambria"/>
          <w:i/>
          <w:iCs/>
          <w:sz w:val="16"/>
          <w:szCs w:val="16"/>
        </w:rPr>
        <w:t xml:space="preserve">; </w:t>
      </w:r>
      <w:r w:rsidRPr="001C1F8A">
        <w:rPr>
          <w:rFonts w:ascii="Cambria" w:hAnsi="Cambria"/>
          <w:sz w:val="16"/>
          <w:szCs w:val="16"/>
        </w:rPr>
        <w:t xml:space="preserve">Foundation for Human Rights in Cuba. January 8, 2012. </w:t>
      </w:r>
      <w:hyperlink r:id="rId40" w:history="1">
        <w:proofErr w:type="spellStart"/>
        <w:r w:rsidRPr="001C1F8A">
          <w:rPr>
            <w:rStyle w:val="Hyperlink"/>
            <w:rFonts w:ascii="Cambria" w:hAnsi="Cambria"/>
            <w:i/>
            <w:iCs/>
            <w:sz w:val="16"/>
            <w:szCs w:val="16"/>
          </w:rPr>
          <w:t>Yoani</w:t>
        </w:r>
        <w:proofErr w:type="spellEnd"/>
        <w:r w:rsidRPr="001C1F8A">
          <w:rPr>
            <w:rStyle w:val="Hyperlink"/>
            <w:rFonts w:ascii="Cambria" w:hAnsi="Cambria"/>
            <w:i/>
            <w:iCs/>
            <w:sz w:val="16"/>
            <w:szCs w:val="16"/>
          </w:rPr>
          <w:t xml:space="preserve"> Sánchez Included in Foreign Policy Magazine's "Top 100 Global Thinkers" List</w:t>
        </w:r>
      </w:hyperlink>
      <w:r w:rsidRPr="001C1F8A">
        <w:rPr>
          <w:rFonts w:ascii="Cambria" w:hAnsi="Cambria"/>
          <w:sz w:val="16"/>
          <w:szCs w:val="16"/>
        </w:rPr>
        <w:t xml:space="preserve">. </w:t>
      </w:r>
    </w:p>
  </w:footnote>
  <w:footnote w:id="85">
    <w:p w14:paraId="11B9EBF4" w14:textId="77777777" w:rsidR="003A6945" w:rsidRPr="001C1F8A" w:rsidRDefault="003A6945" w:rsidP="0058424D">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pp. 6-8. </w:t>
      </w:r>
    </w:p>
  </w:footnote>
  <w:footnote w:id="86">
    <w:p w14:paraId="6EB88077" w14:textId="77777777" w:rsidR="003A6945" w:rsidRPr="00E15DF1" w:rsidRDefault="003A6945" w:rsidP="002B377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r w:rsidRPr="00E15DF1">
        <w:rPr>
          <w:rFonts w:ascii="Cambria" w:hAnsi="Cambria"/>
          <w:sz w:val="16"/>
          <w:szCs w:val="16"/>
        </w:rPr>
        <w:t>Initial Petition of September 28, 2012, p. 13.</w:t>
      </w:r>
    </w:p>
  </w:footnote>
  <w:footnote w:id="87">
    <w:p w14:paraId="4AED5F27" w14:textId="77777777" w:rsidR="003A6945" w:rsidRPr="00E15DF1" w:rsidRDefault="003A6945" w:rsidP="0089037B">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14.</w:t>
      </w:r>
    </w:p>
  </w:footnote>
  <w:footnote w:id="88">
    <w:p w14:paraId="0F68262D" w14:textId="558032DC" w:rsidR="003A6945" w:rsidRPr="00E15DF1" w:rsidRDefault="003A6945" w:rsidP="0089037B">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2. Transcript of the recording of the arrest of February 24, 2010, made by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6 to the petitioner’s observations on the merits of February 11, 2019. The alleged victim recorded part of these events and submitted a transcript of the recording.</w:t>
      </w:r>
    </w:p>
  </w:footnote>
  <w:footnote w:id="89">
    <w:p w14:paraId="07495992" w14:textId="322C0308" w:rsidR="003A6945" w:rsidRPr="00E15DF1" w:rsidRDefault="003A6945" w:rsidP="0004068A">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2. Transcript of the recording of the arrest of February 24, 2010, made by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6 to the petitioner’s observations on the merits of February 11, 2019.</w:t>
      </w:r>
    </w:p>
  </w:footnote>
  <w:footnote w:id="90">
    <w:p w14:paraId="23FDF668" w14:textId="5D7D0CF7" w:rsidR="003A6945" w:rsidRPr="00E15DF1" w:rsidRDefault="003A6945" w:rsidP="0004068A">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2. Transcript of the recording of the arrest of February 24, 2010, made by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6 to the petitioner’s observations on the merits of February 11, 2019.</w:t>
      </w:r>
    </w:p>
  </w:footnote>
  <w:footnote w:id="91">
    <w:p w14:paraId="60E2A861" w14:textId="21674F60" w:rsidR="003A6945" w:rsidRPr="00E15DF1" w:rsidRDefault="003A6945" w:rsidP="0004068A">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2. Transcript of the recording of the arrest of February 24, 2010, made by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6 to the petitioner’s observations on the merits of February 11, 2019. </w:t>
      </w:r>
    </w:p>
  </w:footnote>
  <w:footnote w:id="92">
    <w:p w14:paraId="16484290" w14:textId="77777777" w:rsidR="003A6945" w:rsidRPr="00E15DF1" w:rsidRDefault="003A6945" w:rsidP="00E56CB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14.</w:t>
      </w:r>
    </w:p>
  </w:footnote>
  <w:footnote w:id="93">
    <w:p w14:paraId="6D2E5E69" w14:textId="135CE215" w:rsidR="003A6945" w:rsidRPr="00E15DF1" w:rsidRDefault="003A6945" w:rsidP="00E56CB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2. Transcript of the recording of the arrest of February 24, 2010, made by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6 to the petitioner’s observations on the merits of February 11, 2019.</w:t>
      </w:r>
    </w:p>
  </w:footnote>
  <w:footnote w:id="94">
    <w:p w14:paraId="26E8C2A7" w14:textId="77777777" w:rsidR="003A6945" w:rsidRPr="00E15DF1" w:rsidRDefault="003A6945" w:rsidP="00E56CB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14.</w:t>
      </w:r>
    </w:p>
  </w:footnote>
  <w:footnote w:id="95">
    <w:p w14:paraId="38989D1F" w14:textId="77AF7819" w:rsidR="003A6945" w:rsidRPr="00E15DF1" w:rsidRDefault="003A6945" w:rsidP="002135F1">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Petitioner’s observations on the merits of February 11, 2019, p. 11.</w:t>
      </w:r>
    </w:p>
  </w:footnote>
  <w:footnote w:id="96">
    <w:p w14:paraId="51D0834E" w14:textId="6D59E8B0" w:rsidR="003A6945" w:rsidRPr="001C1F8A" w:rsidRDefault="003A6945" w:rsidP="002135F1">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3. News on the detention of </w:t>
      </w:r>
      <w:proofErr w:type="spellStart"/>
      <w:r w:rsidRPr="00E15DF1">
        <w:rPr>
          <w:rFonts w:ascii="Cambria" w:hAnsi="Cambria"/>
          <w:sz w:val="16"/>
          <w:szCs w:val="16"/>
        </w:rPr>
        <w:t>Yoani</w:t>
      </w:r>
      <w:proofErr w:type="spellEnd"/>
      <w:r w:rsidRPr="00E15DF1">
        <w:rPr>
          <w:rFonts w:ascii="Cambria" w:hAnsi="Cambria"/>
          <w:sz w:val="16"/>
          <w:szCs w:val="16"/>
        </w:rPr>
        <w:t xml:space="preserve"> Sánchez. Annex 1 to the petitioner's request for precautionary measures of October 5, 2012. See also, Petitioner’s request</w:t>
      </w:r>
      <w:r w:rsidRPr="001C1F8A">
        <w:rPr>
          <w:rFonts w:ascii="Cambria" w:hAnsi="Cambria"/>
          <w:sz w:val="16"/>
          <w:szCs w:val="16"/>
        </w:rPr>
        <w:t xml:space="preserve"> for precautionary measures of October 5, 2012, p. 1.</w:t>
      </w:r>
    </w:p>
  </w:footnote>
  <w:footnote w:id="97">
    <w:p w14:paraId="474A2765" w14:textId="787CE1EB" w:rsidR="003A6945" w:rsidRPr="001C1F8A" w:rsidRDefault="003A6945" w:rsidP="002135F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Petitioner</w:t>
      </w:r>
      <w:r>
        <w:rPr>
          <w:rFonts w:ascii="Cambria" w:hAnsi="Cambria"/>
          <w:sz w:val="16"/>
          <w:szCs w:val="16"/>
        </w:rPr>
        <w:t>’</w:t>
      </w:r>
      <w:r w:rsidRPr="001C1F8A">
        <w:rPr>
          <w:rFonts w:ascii="Cambria" w:hAnsi="Cambria"/>
          <w:sz w:val="16"/>
          <w:szCs w:val="16"/>
        </w:rPr>
        <w:t xml:space="preserve">s </w:t>
      </w:r>
      <w:r>
        <w:rPr>
          <w:rFonts w:ascii="Cambria" w:hAnsi="Cambria"/>
          <w:sz w:val="16"/>
          <w:szCs w:val="16"/>
        </w:rPr>
        <w:t>observations on the merits</w:t>
      </w:r>
      <w:r w:rsidRPr="001C1F8A">
        <w:rPr>
          <w:rFonts w:ascii="Cambria" w:hAnsi="Cambria"/>
          <w:sz w:val="16"/>
          <w:szCs w:val="16"/>
        </w:rPr>
        <w:t xml:space="preserve"> of February 11, 2019, p. 11.</w:t>
      </w:r>
    </w:p>
  </w:footnote>
  <w:footnote w:id="98">
    <w:p w14:paraId="6B276115" w14:textId="77777777" w:rsidR="003A6945" w:rsidRPr="001C1F8A" w:rsidRDefault="003A6945" w:rsidP="00096E76">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Petitioner's observations on the merits of February 11, 2019, p. 12.</w:t>
      </w:r>
    </w:p>
  </w:footnote>
  <w:footnote w:id="99">
    <w:p w14:paraId="5C2F859F" w14:textId="77777777" w:rsidR="003A6945" w:rsidRPr="00E15DF1" w:rsidRDefault="003A6945" w:rsidP="0022420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Petitioner's observations on the merits of February 11, 2019, p. 12.</w:t>
      </w:r>
    </w:p>
  </w:footnote>
  <w:footnote w:id="100">
    <w:p w14:paraId="69674C19" w14:textId="2D409675" w:rsidR="003A6945" w:rsidRPr="00E15DF1" w:rsidRDefault="003A6945" w:rsidP="00701320">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4. Passport and visas. Annex 1 to the petitioner's observations on the merits dated February 11, 2019.</w:t>
      </w:r>
    </w:p>
  </w:footnote>
  <w:footnote w:id="101">
    <w:p w14:paraId="1A26B097" w14:textId="77777777" w:rsidR="003A6945" w:rsidRPr="00E15DF1" w:rsidRDefault="003A6945" w:rsidP="00510AE9">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15.</w:t>
      </w:r>
    </w:p>
  </w:footnote>
  <w:footnote w:id="102">
    <w:p w14:paraId="59516021" w14:textId="77777777" w:rsidR="003A6945" w:rsidRPr="00E15DF1" w:rsidRDefault="003A6945" w:rsidP="00510AE9">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15.</w:t>
      </w:r>
    </w:p>
  </w:footnote>
  <w:footnote w:id="103">
    <w:p w14:paraId="21E1B293" w14:textId="21D8DD59" w:rsidR="003A6945" w:rsidRPr="00E15DF1" w:rsidRDefault="003A6945" w:rsidP="00510AE9">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5. Requests from the Bureau of Immigration and Alien Affairs to bank branches for the refund of travel fees. Annex 2 to the petitioner’s observations on the merits of February 11, 2019.</w:t>
      </w:r>
    </w:p>
  </w:footnote>
  <w:footnote w:id="104">
    <w:p w14:paraId="642BC9E5" w14:textId="17B066D1" w:rsidR="003A6945" w:rsidRPr="00E15DF1" w:rsidRDefault="003A6945" w:rsidP="00AB05D8">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6. Audio of interview at the </w:t>
      </w:r>
      <w:r w:rsidRPr="00E15DF1">
        <w:rPr>
          <w:rFonts w:ascii="Cambria" w:hAnsi="Cambria" w:cs="Times New Roman"/>
          <w:sz w:val="16"/>
          <w:szCs w:val="16"/>
        </w:rPr>
        <w:t xml:space="preserve">Immigration and Alien Affairs office on Calle 17, February 3, 2012. Annex 2 to the petitioner’s brief of May 10, 2012, received by the IACHR on October 2, 2012. </w:t>
      </w:r>
      <w:proofErr w:type="spellStart"/>
      <w:r w:rsidRPr="00E15DF1">
        <w:rPr>
          <w:rFonts w:ascii="Cambria" w:hAnsi="Cambria"/>
          <w:sz w:val="16"/>
          <w:szCs w:val="16"/>
        </w:rPr>
        <w:t>Yoani</w:t>
      </w:r>
      <w:proofErr w:type="spellEnd"/>
      <w:r w:rsidRPr="00E15DF1">
        <w:rPr>
          <w:rFonts w:ascii="Cambria" w:hAnsi="Cambria"/>
          <w:sz w:val="16"/>
          <w:szCs w:val="16"/>
        </w:rPr>
        <w:t xml:space="preserve"> Sánchez recorded the interview, which is part of the evidence before the IACHR.</w:t>
      </w:r>
    </w:p>
  </w:footnote>
  <w:footnote w:id="105">
    <w:p w14:paraId="7EED3EB6" w14:textId="65651E57" w:rsidR="003A6945" w:rsidRPr="00E15DF1" w:rsidRDefault="003A6945" w:rsidP="00AB05D8">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cs="Times New Roman"/>
          <w:sz w:val="16"/>
          <w:szCs w:val="16"/>
        </w:rPr>
        <w:t xml:space="preserve"> </w:t>
      </w:r>
      <w:r w:rsidRPr="00E15DF1">
        <w:rPr>
          <w:rFonts w:ascii="Cambria" w:hAnsi="Cambria"/>
          <w:sz w:val="16"/>
          <w:szCs w:val="16"/>
        </w:rPr>
        <w:t xml:space="preserve">Annex 6. Audio of interview at the </w:t>
      </w:r>
      <w:r w:rsidRPr="00E15DF1">
        <w:rPr>
          <w:rFonts w:ascii="Cambria" w:hAnsi="Cambria" w:cs="Times New Roman"/>
          <w:sz w:val="16"/>
          <w:szCs w:val="16"/>
        </w:rPr>
        <w:t>Immigration and Alien Affairs office on Calle 17, February 3, 2012. Annex 2 to the petitioner’s brief of May 10, 2012, received by the IACHR on October 2, 2012.</w:t>
      </w:r>
    </w:p>
  </w:footnote>
  <w:footnote w:id="106">
    <w:p w14:paraId="6E8BDB3A" w14:textId="7349D535" w:rsidR="003A6945" w:rsidRPr="00E15DF1" w:rsidRDefault="003A6945" w:rsidP="00AB05D8">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cs="Times New Roman"/>
          <w:sz w:val="16"/>
          <w:szCs w:val="16"/>
        </w:rPr>
        <w:t xml:space="preserve"> </w:t>
      </w:r>
      <w:r w:rsidRPr="00E15DF1">
        <w:rPr>
          <w:rFonts w:ascii="Cambria" w:hAnsi="Cambria"/>
          <w:sz w:val="16"/>
          <w:szCs w:val="16"/>
        </w:rPr>
        <w:t xml:space="preserve">Annex 6. Audio of interview at the </w:t>
      </w:r>
      <w:r w:rsidRPr="00E15DF1">
        <w:rPr>
          <w:rFonts w:ascii="Cambria" w:hAnsi="Cambria" w:cs="Times New Roman"/>
          <w:sz w:val="16"/>
          <w:szCs w:val="16"/>
        </w:rPr>
        <w:t>Immigration and Alien Affairs office on Calle 17, February 3, 2012. Annex 2 to the petitioner’s brief of May 10, 2012, received by the IACHR on October 2, 2012.</w:t>
      </w:r>
    </w:p>
  </w:footnote>
  <w:footnote w:id="107">
    <w:p w14:paraId="10B6FBF8" w14:textId="1DA51153" w:rsidR="003A6945" w:rsidRPr="00E15DF1" w:rsidRDefault="003A6945" w:rsidP="00AD193C">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Petitioner’s observations on the merits of February 11, 2019, p. 3.</w:t>
      </w:r>
    </w:p>
  </w:footnote>
  <w:footnote w:id="108">
    <w:p w14:paraId="15206A91" w14:textId="572F0335" w:rsidR="003A6945" w:rsidRPr="001C1F8A" w:rsidRDefault="003A6945" w:rsidP="00AD193C">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Council of State. </w:t>
      </w:r>
      <w:hyperlink r:id="rId41" w:history="1">
        <w:r w:rsidRPr="00E15DF1">
          <w:rPr>
            <w:rStyle w:val="Hyperlink"/>
            <w:rFonts w:ascii="Cambria" w:hAnsi="Cambria"/>
            <w:sz w:val="16"/>
            <w:szCs w:val="16"/>
          </w:rPr>
          <w:t>Decree Law No. 302</w:t>
        </w:r>
      </w:hyperlink>
      <w:r w:rsidRPr="001C1F8A">
        <w:rPr>
          <w:rFonts w:ascii="Cambria" w:hAnsi="Cambria"/>
          <w:sz w:val="16"/>
          <w:szCs w:val="16"/>
        </w:rPr>
        <w:t>. Amending Law No. 1312 “Law on Migration” of September 20, 1976. Published in the Official Gazette of the Republic of Cuba on October 16, 2012.</w:t>
      </w:r>
    </w:p>
  </w:footnote>
  <w:footnote w:id="109">
    <w:p w14:paraId="17A4E990" w14:textId="474ED85A" w:rsidR="003A6945" w:rsidRPr="00E15DF1" w:rsidRDefault="003A6945" w:rsidP="00AD193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According to public information, Cuba partially eliminated the requirement for authorization to leave the country. Reuters. October 16, 2012. </w:t>
      </w:r>
      <w:hyperlink r:id="rId42" w:history="1">
        <w:r w:rsidRPr="001C1F8A">
          <w:rPr>
            <w:rStyle w:val="Hyperlink"/>
            <w:rFonts w:ascii="Cambria" w:hAnsi="Cambria"/>
            <w:i/>
            <w:iCs/>
            <w:sz w:val="16"/>
            <w:szCs w:val="16"/>
          </w:rPr>
          <w:t>Cuba eliminates restrictions on foreign travel</w:t>
        </w:r>
      </w:hyperlink>
      <w:r w:rsidRPr="001C1F8A">
        <w:rPr>
          <w:rFonts w:ascii="Cambria" w:hAnsi="Cambria"/>
          <w:sz w:val="16"/>
          <w:szCs w:val="16"/>
        </w:rPr>
        <w:t xml:space="preserve">; BBC. October 16, 2012. </w:t>
      </w:r>
      <w:hyperlink r:id="rId43" w:history="1">
        <w:r w:rsidRPr="001C1F8A">
          <w:rPr>
            <w:rStyle w:val="Hyperlink"/>
            <w:rFonts w:ascii="Cambria" w:hAnsi="Cambria"/>
            <w:i/>
            <w:iCs/>
            <w:sz w:val="16"/>
            <w:szCs w:val="16"/>
          </w:rPr>
          <w:t>Cuba eliminates exit permit to travel abroad</w:t>
        </w:r>
      </w:hyperlink>
      <w:r w:rsidRPr="001C1F8A">
        <w:rPr>
          <w:rFonts w:ascii="Cambria" w:hAnsi="Cambria"/>
          <w:sz w:val="16"/>
          <w:szCs w:val="16"/>
        </w:rPr>
        <w:t xml:space="preserve">. The IACHR noted in its 2012 annual report that Decree-Law No. 302, enacted by the Council of State to amend the 1976 Law on Migration, was published in the Official Gazette of the Republic of Cuba on October 16, 2012, and entered into force on January 14, 2013. The main amendments to the Law on Migration included the partial elimination of the requirement for authorization to leave Cuban territory; the extension, from 11 to 24 months, of the period required for a Cuban national who has traveled abroad to be considered an emigrant; and the elimination of the need for a letter of invitation from the destination country, among others. Although Decree-Law No. 302 of 2012 reflects progress with respect to the Law on Migration, the Commission notes that the Decree-Law establishes a set of conditions under which certain Cuban nationals residing in Cuba may not obtain a current passport or may not leave the country for reasons of “national defense and security,” </w:t>
      </w:r>
      <w:r w:rsidRPr="00E15DF1">
        <w:rPr>
          <w:rFonts w:ascii="Cambria" w:hAnsi="Cambria"/>
          <w:sz w:val="16"/>
          <w:szCs w:val="16"/>
        </w:rPr>
        <w:t xml:space="preserve">for “lack of the established authorization, by virtue of regulations aimed at preserving the qualified labor force for the country’s economic, social, scientific, and technical development, as well as for the security and protection of official information”; and “when, for other reasons of public interest, it is determined by the competent authorities”; among other reasons. The Commission observes that the breadth of certain terms gives the Cuban authorities a wide margin of discretion to allow or block the departure of Cuban nationals. IACHR. 2012 Annual Report. Ch. IV.B. Cuba, paras. 95, 96. Available at: </w:t>
      </w:r>
      <w:hyperlink r:id="rId44" w:history="1">
        <w:r w:rsidRPr="00E15DF1">
          <w:rPr>
            <w:rStyle w:val="Hyperlink"/>
            <w:rFonts w:ascii="Cambria" w:hAnsi="Cambria"/>
            <w:sz w:val="16"/>
            <w:szCs w:val="16"/>
          </w:rPr>
          <w:t>https://www.oas.org/en/iachr/docs/annual/2012/Chap.4.Cuba.doc</w:t>
        </w:r>
      </w:hyperlink>
      <w:r w:rsidRPr="00E15DF1">
        <w:rPr>
          <w:rStyle w:val="Hyperlink"/>
          <w:rFonts w:ascii="Cambria" w:hAnsi="Cambria"/>
          <w:sz w:val="16"/>
          <w:szCs w:val="16"/>
        </w:rPr>
        <w:t>.</w:t>
      </w:r>
    </w:p>
  </w:footnote>
  <w:footnote w:id="110">
    <w:p w14:paraId="2E4B162C" w14:textId="77777777" w:rsidR="003A6945" w:rsidRPr="00E15DF1" w:rsidRDefault="003A6945" w:rsidP="00C428C1">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Initial Petition of September 28, 2012, p. 13. </w:t>
      </w:r>
    </w:p>
  </w:footnote>
  <w:footnote w:id="111">
    <w:p w14:paraId="0E354B42" w14:textId="728537C7" w:rsidR="003A6945" w:rsidRPr="00E15DF1" w:rsidRDefault="003A6945" w:rsidP="00C428C1">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7. Acknowledgement of receipt of complaints of March 10, 2012. Annex 5 to the petitioner’s observations on the merits of February 11, 2019.</w:t>
      </w:r>
    </w:p>
  </w:footnote>
  <w:footnote w:id="112">
    <w:p w14:paraId="6F394D3F" w14:textId="7BB9D24A" w:rsidR="003A6945" w:rsidRPr="00E15DF1" w:rsidRDefault="003A6945" w:rsidP="00BB176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8. Request for response filed with the Bureau of Immigration and Alien Affairs</w:t>
      </w:r>
      <w:r w:rsidRPr="00E15DF1">
        <w:rPr>
          <w:rFonts w:ascii="Cambria" w:hAnsi="Cambria" w:cs="Times New Roman"/>
          <w:sz w:val="16"/>
          <w:szCs w:val="16"/>
        </w:rPr>
        <w:t xml:space="preserve"> </w:t>
      </w:r>
      <w:r w:rsidRPr="00E15DF1">
        <w:rPr>
          <w:rFonts w:ascii="Cambria" w:hAnsi="Cambria"/>
          <w:sz w:val="16"/>
          <w:szCs w:val="16"/>
        </w:rPr>
        <w:t>on November 5, 2010. Annex 3 to the petitioner’s observations on the merits of February 11, 2019.</w:t>
      </w:r>
    </w:p>
  </w:footnote>
  <w:footnote w:id="113">
    <w:p w14:paraId="6EA109FB" w14:textId="22C54A9C" w:rsidR="003A6945" w:rsidRPr="00E15DF1" w:rsidRDefault="003A6945" w:rsidP="00BB176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9. Appeal to the Minister of the Interior dated March 30, 2012. Annex 4 to the petitioner’s observations on the merits of February 11, 2019.</w:t>
      </w:r>
    </w:p>
  </w:footnote>
  <w:footnote w:id="114">
    <w:p w14:paraId="3308DD84" w14:textId="05CC018A" w:rsidR="003A6945" w:rsidRPr="001C1F8A" w:rsidRDefault="003A6945" w:rsidP="00BB176F">
      <w:pPr>
        <w:pStyle w:val="FootnoteText"/>
        <w:jc w:val="both"/>
        <w:rPr>
          <w:rFonts w:ascii="Cambria" w:hAnsi="Cambria"/>
          <w:sz w:val="16"/>
          <w:szCs w:val="16"/>
        </w:rPr>
      </w:pPr>
      <w:r w:rsidRPr="00E15DF1">
        <w:rPr>
          <w:rStyle w:val="FootnoteReference"/>
          <w:rFonts w:ascii="Cambria" w:hAnsi="Cambria"/>
          <w:sz w:val="16"/>
          <w:szCs w:val="16"/>
        </w:rPr>
        <w:footnoteRef/>
      </w:r>
      <w:r w:rsidRPr="00E15DF1">
        <w:rPr>
          <w:rFonts w:ascii="Cambria" w:hAnsi="Cambria"/>
          <w:sz w:val="16"/>
          <w:szCs w:val="16"/>
        </w:rPr>
        <w:t xml:space="preserve"> Annex 9. Appeal to the Minister of the Interior dated March 30, 2012. Annex 4 to the petitioner’s observations on the merits of February 11, 2019.</w:t>
      </w:r>
    </w:p>
  </w:footnote>
  <w:footnote w:id="115">
    <w:p w14:paraId="60E451B6" w14:textId="77777777" w:rsidR="003A6945" w:rsidRPr="001C1F8A" w:rsidRDefault="003A6945" w:rsidP="00BB176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9. </w:t>
      </w:r>
    </w:p>
  </w:footnote>
  <w:footnote w:id="116">
    <w:p w14:paraId="321FAE27" w14:textId="77777777" w:rsidR="003A6945" w:rsidRPr="001C1F8A" w:rsidRDefault="003A6945" w:rsidP="00BB176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11.</w:t>
      </w:r>
    </w:p>
  </w:footnote>
  <w:footnote w:id="117">
    <w:p w14:paraId="579D4849" w14:textId="77777777" w:rsidR="003A6945" w:rsidRPr="001C1F8A" w:rsidRDefault="003A6945" w:rsidP="00390BB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11.</w:t>
      </w:r>
    </w:p>
  </w:footnote>
  <w:footnote w:id="118">
    <w:p w14:paraId="47EAED30" w14:textId="77777777" w:rsidR="003A6945" w:rsidRPr="001C1F8A" w:rsidRDefault="003A6945" w:rsidP="00390BB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12.</w:t>
      </w:r>
    </w:p>
  </w:footnote>
  <w:footnote w:id="119">
    <w:p w14:paraId="1A9A2E05" w14:textId="77777777" w:rsidR="003A6945" w:rsidRPr="001C1F8A" w:rsidRDefault="003A6945" w:rsidP="00390BB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11.</w:t>
      </w:r>
    </w:p>
  </w:footnote>
  <w:footnote w:id="120">
    <w:p w14:paraId="53728D6C" w14:textId="77777777"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6.</w:t>
      </w:r>
    </w:p>
  </w:footnote>
  <w:footnote w:id="121">
    <w:p w14:paraId="6CA83FF9" w14:textId="77777777"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11. </w:t>
      </w:r>
    </w:p>
  </w:footnote>
  <w:footnote w:id="122">
    <w:p w14:paraId="0DAB2833" w14:textId="7862D39A"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hyperlink r:id="rId45" w:history="1">
        <w:r w:rsidRPr="001C1F8A">
          <w:rPr>
            <w:rStyle w:val="Hyperlink"/>
            <w:rFonts w:ascii="Cambria" w:hAnsi="Cambria"/>
            <w:i/>
            <w:iCs/>
            <w:sz w:val="16"/>
            <w:szCs w:val="16"/>
          </w:rPr>
          <w:t xml:space="preserve"> </w:t>
        </w:r>
      </w:hyperlink>
      <w:r w:rsidRPr="001C1F8A">
        <w:rPr>
          <w:rFonts w:ascii="Cambria" w:hAnsi="Cambria"/>
          <w:sz w:val="16"/>
          <w:szCs w:val="16"/>
        </w:rPr>
        <w:t xml:space="preserve"> Initial Petition of September 28, 2012, pp. 11-12. </w:t>
      </w:r>
      <w:r w:rsidRPr="001C1F8A">
        <w:rPr>
          <w:rFonts w:ascii="Cambria" w:hAnsi="Cambria"/>
          <w:i/>
          <w:iCs/>
          <w:sz w:val="16"/>
          <w:szCs w:val="16"/>
        </w:rPr>
        <w:t>See also</w:t>
      </w:r>
      <w:r w:rsidRPr="001C1F8A">
        <w:rPr>
          <w:rFonts w:ascii="Cambria" w:hAnsi="Cambria"/>
          <w:sz w:val="16"/>
          <w:szCs w:val="16"/>
        </w:rPr>
        <w:t xml:space="preserve"> Reuters. February 7, 2011. </w:t>
      </w:r>
      <w:hyperlink r:id="rId46" w:history="1">
        <w:r w:rsidRPr="001C1F8A">
          <w:rPr>
            <w:rStyle w:val="Hyperlink"/>
            <w:rFonts w:ascii="Cambria" w:hAnsi="Cambria"/>
            <w:i/>
            <w:iCs/>
            <w:sz w:val="16"/>
            <w:szCs w:val="16"/>
          </w:rPr>
          <w:t>Cuba fears U.S. is pushing cyber-dissidence, according to video</w:t>
        </w:r>
      </w:hyperlink>
      <w:r w:rsidRPr="001C1F8A">
        <w:rPr>
          <w:rFonts w:ascii="Cambria" w:hAnsi="Cambria"/>
          <w:sz w:val="16"/>
          <w:szCs w:val="16"/>
        </w:rPr>
        <w:t xml:space="preserve">; </w:t>
      </w:r>
      <w:r w:rsidRPr="001C1F8A">
        <w:rPr>
          <w:rFonts w:ascii="Cambria" w:hAnsi="Cambria"/>
          <w:i/>
          <w:iCs/>
          <w:sz w:val="16"/>
          <w:szCs w:val="16"/>
        </w:rPr>
        <w:t>El Nuevo Herald</w:t>
      </w:r>
      <w:r w:rsidRPr="001C1F8A">
        <w:rPr>
          <w:rFonts w:ascii="Cambria" w:hAnsi="Cambria"/>
          <w:sz w:val="16"/>
          <w:szCs w:val="16"/>
        </w:rPr>
        <w:t xml:space="preserve">. February 8, 2011. </w:t>
      </w:r>
      <w:hyperlink r:id="rId47" w:history="1">
        <w:r w:rsidRPr="001C1F8A">
          <w:rPr>
            <w:rStyle w:val="Hyperlink"/>
            <w:rFonts w:ascii="Cambria" w:hAnsi="Cambria"/>
            <w:i/>
            <w:iCs/>
            <w:sz w:val="16"/>
            <w:szCs w:val="16"/>
          </w:rPr>
          <w:t xml:space="preserve">Video </w:t>
        </w:r>
        <w:proofErr w:type="spellStart"/>
        <w:r w:rsidRPr="001C1F8A">
          <w:rPr>
            <w:rStyle w:val="Hyperlink"/>
            <w:rFonts w:ascii="Cambria" w:hAnsi="Cambria"/>
            <w:i/>
            <w:iCs/>
            <w:sz w:val="16"/>
            <w:szCs w:val="16"/>
          </w:rPr>
          <w:t>delata</w:t>
        </w:r>
        <w:proofErr w:type="spellEnd"/>
        <w:r w:rsidRPr="001C1F8A">
          <w:rPr>
            <w:rStyle w:val="Hyperlink"/>
            <w:rFonts w:ascii="Cambria" w:hAnsi="Cambria"/>
            <w:i/>
            <w:iCs/>
            <w:sz w:val="16"/>
            <w:szCs w:val="16"/>
          </w:rPr>
          <w:t xml:space="preserve"> </w:t>
        </w:r>
        <w:proofErr w:type="spellStart"/>
        <w:r w:rsidRPr="001C1F8A">
          <w:rPr>
            <w:rStyle w:val="Hyperlink"/>
            <w:rFonts w:ascii="Cambria" w:hAnsi="Cambria"/>
            <w:i/>
            <w:iCs/>
            <w:sz w:val="16"/>
            <w:szCs w:val="16"/>
          </w:rPr>
          <w:t>delata</w:t>
        </w:r>
        <w:proofErr w:type="spellEnd"/>
        <w:r w:rsidRPr="001C1F8A">
          <w:rPr>
            <w:rStyle w:val="Hyperlink"/>
            <w:rFonts w:ascii="Cambria" w:hAnsi="Cambria"/>
            <w:i/>
            <w:iCs/>
            <w:sz w:val="16"/>
            <w:szCs w:val="16"/>
          </w:rPr>
          <w:t xml:space="preserve"> de </w:t>
        </w:r>
        <w:proofErr w:type="spellStart"/>
        <w:r w:rsidRPr="001C1F8A">
          <w:rPr>
            <w:rStyle w:val="Hyperlink"/>
            <w:rFonts w:ascii="Cambria" w:hAnsi="Cambria"/>
            <w:i/>
            <w:iCs/>
            <w:sz w:val="16"/>
            <w:szCs w:val="16"/>
          </w:rPr>
          <w:t>gobierno</w:t>
        </w:r>
        <w:proofErr w:type="spellEnd"/>
        <w:r w:rsidRPr="001C1F8A">
          <w:rPr>
            <w:rStyle w:val="Hyperlink"/>
            <w:rFonts w:ascii="Cambria" w:hAnsi="Cambria"/>
            <w:i/>
            <w:iCs/>
            <w:sz w:val="16"/>
            <w:szCs w:val="16"/>
          </w:rPr>
          <w:t xml:space="preserve"> </w:t>
        </w:r>
        <w:proofErr w:type="spellStart"/>
        <w:r w:rsidRPr="001C1F8A">
          <w:rPr>
            <w:rStyle w:val="Hyperlink"/>
            <w:rFonts w:ascii="Cambria" w:hAnsi="Cambria"/>
            <w:i/>
            <w:iCs/>
            <w:sz w:val="16"/>
            <w:szCs w:val="16"/>
          </w:rPr>
          <w:t>cubano</w:t>
        </w:r>
        <w:proofErr w:type="spellEnd"/>
        <w:r w:rsidRPr="001C1F8A">
          <w:rPr>
            <w:rStyle w:val="Hyperlink"/>
            <w:rFonts w:ascii="Cambria" w:hAnsi="Cambria"/>
            <w:i/>
            <w:iCs/>
            <w:sz w:val="16"/>
            <w:szCs w:val="16"/>
          </w:rPr>
          <w:t xml:space="preserve"> </w:t>
        </w:r>
        <w:proofErr w:type="spellStart"/>
        <w:r w:rsidRPr="001C1F8A">
          <w:rPr>
            <w:rStyle w:val="Hyperlink"/>
            <w:rFonts w:ascii="Cambria" w:hAnsi="Cambria"/>
            <w:i/>
            <w:iCs/>
            <w:sz w:val="16"/>
            <w:szCs w:val="16"/>
          </w:rPr>
          <w:t>temor</w:t>
        </w:r>
        <w:proofErr w:type="spellEnd"/>
        <w:r w:rsidRPr="001C1F8A">
          <w:rPr>
            <w:rStyle w:val="Hyperlink"/>
            <w:rFonts w:ascii="Cambria" w:hAnsi="Cambria"/>
            <w:i/>
            <w:iCs/>
            <w:sz w:val="16"/>
            <w:szCs w:val="16"/>
          </w:rPr>
          <w:t xml:space="preserve"> </w:t>
        </w:r>
        <w:proofErr w:type="spellStart"/>
        <w:proofErr w:type="gramStart"/>
        <w:r w:rsidRPr="001C1F8A">
          <w:rPr>
            <w:rStyle w:val="Hyperlink"/>
            <w:rFonts w:ascii="Cambria" w:hAnsi="Cambria"/>
            <w:i/>
            <w:iCs/>
            <w:sz w:val="16"/>
            <w:szCs w:val="16"/>
          </w:rPr>
          <w:t>a</w:t>
        </w:r>
        <w:proofErr w:type="spellEnd"/>
        <w:proofErr w:type="gramEnd"/>
        <w:r w:rsidRPr="001C1F8A">
          <w:rPr>
            <w:rStyle w:val="Hyperlink"/>
            <w:rFonts w:ascii="Cambria" w:hAnsi="Cambria"/>
            <w:i/>
            <w:iCs/>
            <w:sz w:val="16"/>
            <w:szCs w:val="16"/>
          </w:rPr>
          <w:t xml:space="preserve"> internet</w:t>
        </w:r>
      </w:hyperlink>
      <w:r w:rsidRPr="001C1F8A">
        <w:rPr>
          <w:rFonts w:ascii="Cambria" w:hAnsi="Cambria"/>
          <w:sz w:val="16"/>
          <w:szCs w:val="16"/>
        </w:rPr>
        <w:t xml:space="preserve"> [Video betrays Cuban government’s fear of the internet].</w:t>
      </w:r>
    </w:p>
  </w:footnote>
  <w:footnote w:id="123">
    <w:p w14:paraId="7A31E000" w14:textId="77777777"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10.</w:t>
      </w:r>
    </w:p>
  </w:footnote>
  <w:footnote w:id="124">
    <w:p w14:paraId="666B5808" w14:textId="1E76E932"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r w:rsidRPr="002A7A7E">
        <w:rPr>
          <w:rFonts w:ascii="Cambria" w:hAnsi="Cambria"/>
          <w:sz w:val="16"/>
          <w:szCs w:val="16"/>
          <w:lang w:val="es-PE"/>
        </w:rPr>
        <w:t xml:space="preserve"> </w:t>
      </w:r>
      <w:r w:rsidRPr="002A7A7E">
        <w:rPr>
          <w:rFonts w:ascii="Cambria" w:hAnsi="Cambria"/>
          <w:i/>
          <w:iCs/>
          <w:sz w:val="16"/>
          <w:szCs w:val="16"/>
          <w:lang w:val="es-PE"/>
        </w:rPr>
        <w:t>Televisión Cubana</w:t>
      </w:r>
      <w:r w:rsidRPr="002A7A7E">
        <w:rPr>
          <w:rFonts w:ascii="Cambria" w:hAnsi="Cambria"/>
          <w:sz w:val="16"/>
          <w:szCs w:val="16"/>
          <w:lang w:val="es-PE"/>
        </w:rPr>
        <w:t xml:space="preserve">. YouTube Channel. </w:t>
      </w:r>
      <w:r w:rsidRPr="002A7A7E">
        <w:rPr>
          <w:rFonts w:ascii="Cambria" w:hAnsi="Cambria"/>
          <w:i/>
          <w:iCs/>
          <w:sz w:val="16"/>
          <w:szCs w:val="16"/>
          <w:lang w:val="es-PE"/>
        </w:rPr>
        <w:t>Razones de Cuba</w:t>
      </w:r>
      <w:r w:rsidRPr="002A7A7E">
        <w:rPr>
          <w:rFonts w:ascii="Cambria" w:hAnsi="Cambria"/>
          <w:sz w:val="16"/>
          <w:szCs w:val="16"/>
          <w:lang w:val="es-PE"/>
        </w:rPr>
        <w:t xml:space="preserve"> Series. </w:t>
      </w:r>
      <w:proofErr w:type="spellStart"/>
      <w:r w:rsidRPr="001C1F8A">
        <w:rPr>
          <w:rFonts w:ascii="Cambria" w:hAnsi="Cambria"/>
          <w:i/>
          <w:iCs/>
          <w:sz w:val="16"/>
          <w:szCs w:val="16"/>
        </w:rPr>
        <w:t>Ciberguerra</w:t>
      </w:r>
      <w:proofErr w:type="spellEnd"/>
      <w:r w:rsidRPr="001C1F8A">
        <w:rPr>
          <w:rFonts w:ascii="Cambria" w:hAnsi="Cambria"/>
          <w:sz w:val="16"/>
          <w:szCs w:val="16"/>
        </w:rPr>
        <w:t xml:space="preserve"> Ch. March 21, 2011. Available at: </w:t>
      </w:r>
      <w:hyperlink r:id="rId48" w:history="1">
        <w:r w:rsidRPr="001C1F8A">
          <w:rPr>
            <w:rStyle w:val="Hyperlink"/>
            <w:rFonts w:ascii="Cambria" w:hAnsi="Cambria"/>
            <w:sz w:val="16"/>
            <w:szCs w:val="16"/>
          </w:rPr>
          <w:t>https:</w:t>
        </w:r>
      </w:hyperlink>
      <w:r w:rsidRPr="001C1F8A">
        <w:rPr>
          <w:rFonts w:ascii="Cambria" w:hAnsi="Cambria"/>
          <w:sz w:val="16"/>
          <w:szCs w:val="16"/>
          <w:u w:val="single"/>
        </w:rPr>
        <w:t>//www.youtube.com/watch?v=9r6fXWI98HU</w:t>
      </w:r>
      <w:r w:rsidRPr="001C1F8A">
        <w:rPr>
          <w:rFonts w:ascii="Cambria" w:hAnsi="Cambria"/>
          <w:sz w:val="16"/>
          <w:szCs w:val="16"/>
        </w:rPr>
        <w:t xml:space="preserve">. </w:t>
      </w:r>
      <w:r w:rsidRPr="001C1F8A">
        <w:rPr>
          <w:rFonts w:ascii="Cambria" w:hAnsi="Cambria"/>
          <w:i/>
          <w:iCs/>
          <w:sz w:val="16"/>
          <w:szCs w:val="16"/>
        </w:rPr>
        <w:t>See also</w:t>
      </w:r>
      <w:r w:rsidRPr="001C1F8A">
        <w:rPr>
          <w:rFonts w:ascii="Cambria" w:hAnsi="Cambria"/>
          <w:sz w:val="16"/>
          <w:szCs w:val="16"/>
        </w:rPr>
        <w:t xml:space="preserve"> Initial Petition of September 28, 2012, p. 10.</w:t>
      </w:r>
    </w:p>
  </w:footnote>
  <w:footnote w:id="125">
    <w:p w14:paraId="3F1D2ACF" w14:textId="35C0C334" w:rsidR="003A6945" w:rsidRPr="001C1F8A" w:rsidRDefault="003A6945" w:rsidP="00177AF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BBC. November 8, 2011. </w:t>
      </w:r>
      <w:hyperlink r:id="rId49" w:history="1">
        <w:r w:rsidRPr="001C1F8A">
          <w:rPr>
            <w:rStyle w:val="Hyperlink"/>
            <w:rFonts w:ascii="Cambria" w:hAnsi="Cambria"/>
            <w:i/>
            <w:color w:val="0070C0"/>
            <w:sz w:val="16"/>
            <w:szCs w:val="16"/>
          </w:rPr>
          <w:t>Cuba: a debate that doesn't happen on the streets takes to Twitter</w:t>
        </w:r>
      </w:hyperlink>
      <w:r w:rsidRPr="001C1F8A">
        <w:rPr>
          <w:rFonts w:ascii="Cambria" w:hAnsi="Cambria"/>
          <w:sz w:val="16"/>
          <w:szCs w:val="16"/>
        </w:rPr>
        <w:t xml:space="preserve">. </w:t>
      </w:r>
      <w:r w:rsidRPr="001C1F8A">
        <w:rPr>
          <w:rFonts w:ascii="Cambria" w:hAnsi="Cambria"/>
          <w:i/>
          <w:iCs/>
          <w:sz w:val="16"/>
          <w:szCs w:val="16"/>
        </w:rPr>
        <w:t>See also</w:t>
      </w:r>
      <w:r w:rsidRPr="001C1F8A">
        <w:rPr>
          <w:rFonts w:ascii="Cambria" w:hAnsi="Cambria"/>
          <w:sz w:val="16"/>
          <w:szCs w:val="16"/>
        </w:rPr>
        <w:t xml:space="preserve"> Initial Petition of September 28, 2012, p. 10.</w:t>
      </w:r>
    </w:p>
  </w:footnote>
  <w:footnote w:id="126">
    <w:p w14:paraId="3F252F9F" w14:textId="76D1B872" w:rsidR="003A6945" w:rsidRPr="001C1F8A" w:rsidRDefault="003A6945" w:rsidP="008C0B4A">
      <w:pPr>
        <w:autoSpaceDE w:val="0"/>
        <w:autoSpaceDN w:val="0"/>
        <w:adjustRightInd w:val="0"/>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w:t>
      </w:r>
      <w:r w:rsidRPr="001C1F8A">
        <w:rPr>
          <w:rFonts w:ascii="Cambria" w:hAnsi="Cambria"/>
          <w:i/>
          <w:iCs/>
          <w:sz w:val="16"/>
          <w:szCs w:val="16"/>
          <w:lang w:val="en-US"/>
        </w:rPr>
        <w:t xml:space="preserve">Cuba </w:t>
      </w:r>
      <w:proofErr w:type="spellStart"/>
      <w:r w:rsidRPr="001C1F8A">
        <w:rPr>
          <w:rFonts w:ascii="Cambria" w:hAnsi="Cambria"/>
          <w:i/>
          <w:iCs/>
          <w:sz w:val="16"/>
          <w:szCs w:val="16"/>
          <w:lang w:val="en-US"/>
        </w:rPr>
        <w:t>Información</w:t>
      </w:r>
      <w:proofErr w:type="spellEnd"/>
      <w:r w:rsidRPr="001C1F8A">
        <w:rPr>
          <w:rFonts w:ascii="Cambria" w:hAnsi="Cambria"/>
          <w:i/>
          <w:iCs/>
          <w:sz w:val="16"/>
          <w:szCs w:val="16"/>
          <w:lang w:val="en-US"/>
        </w:rPr>
        <w:t xml:space="preserve"> TV</w:t>
      </w:r>
      <w:r w:rsidRPr="001C1F8A">
        <w:rPr>
          <w:rFonts w:ascii="Cambria" w:hAnsi="Cambria"/>
          <w:sz w:val="16"/>
          <w:szCs w:val="16"/>
          <w:lang w:val="en-US"/>
        </w:rPr>
        <w:t xml:space="preserve">. YouTube Channel. </w:t>
      </w:r>
      <w:r w:rsidRPr="001C1F8A">
        <w:rPr>
          <w:rFonts w:ascii="Cambria" w:hAnsi="Cambria"/>
          <w:i/>
          <w:iCs/>
          <w:sz w:val="16"/>
          <w:szCs w:val="16"/>
          <w:lang w:val="en-US"/>
        </w:rPr>
        <w:t xml:space="preserve">El </w:t>
      </w:r>
      <w:proofErr w:type="spellStart"/>
      <w:r w:rsidRPr="001C1F8A">
        <w:rPr>
          <w:rFonts w:ascii="Cambria" w:hAnsi="Cambria"/>
          <w:i/>
          <w:iCs/>
          <w:sz w:val="16"/>
          <w:szCs w:val="16"/>
          <w:lang w:val="en-US"/>
        </w:rPr>
        <w:t>fraude</w:t>
      </w:r>
      <w:proofErr w:type="spellEnd"/>
      <w:r w:rsidRPr="001C1F8A">
        <w:rPr>
          <w:rFonts w:ascii="Cambria" w:hAnsi="Cambria"/>
          <w:i/>
          <w:iCs/>
          <w:sz w:val="16"/>
          <w:szCs w:val="16"/>
          <w:lang w:val="en-US"/>
        </w:rPr>
        <w:t xml:space="preserve"> de </w:t>
      </w:r>
      <w:proofErr w:type="spellStart"/>
      <w:r w:rsidRPr="001C1F8A">
        <w:rPr>
          <w:rFonts w:ascii="Cambria" w:hAnsi="Cambria"/>
          <w:i/>
          <w:iCs/>
          <w:sz w:val="16"/>
          <w:szCs w:val="16"/>
          <w:lang w:val="en-US"/>
        </w:rPr>
        <w:t>Yoani</w:t>
      </w:r>
      <w:proofErr w:type="spellEnd"/>
      <w:r w:rsidRPr="001C1F8A">
        <w:rPr>
          <w:rFonts w:ascii="Cambria" w:hAnsi="Cambria"/>
          <w:i/>
          <w:iCs/>
          <w:sz w:val="16"/>
          <w:szCs w:val="16"/>
          <w:lang w:val="en-US"/>
        </w:rPr>
        <w:t xml:space="preserve"> Sánchez </w:t>
      </w:r>
      <w:proofErr w:type="spellStart"/>
      <w:r w:rsidRPr="001C1F8A">
        <w:rPr>
          <w:rFonts w:ascii="Cambria" w:hAnsi="Cambria"/>
          <w:i/>
          <w:iCs/>
          <w:sz w:val="16"/>
          <w:szCs w:val="16"/>
          <w:lang w:val="en-US"/>
        </w:rPr>
        <w:t>en</w:t>
      </w:r>
      <w:proofErr w:type="spellEnd"/>
      <w:r w:rsidRPr="001C1F8A">
        <w:rPr>
          <w:rFonts w:ascii="Cambria" w:hAnsi="Cambria"/>
          <w:i/>
          <w:iCs/>
          <w:sz w:val="16"/>
          <w:szCs w:val="16"/>
          <w:lang w:val="en-US"/>
        </w:rPr>
        <w:t xml:space="preserve"> Twitter no </w:t>
      </w:r>
      <w:proofErr w:type="spellStart"/>
      <w:r w:rsidRPr="001C1F8A">
        <w:rPr>
          <w:rFonts w:ascii="Cambria" w:hAnsi="Cambria"/>
          <w:i/>
          <w:iCs/>
          <w:sz w:val="16"/>
          <w:szCs w:val="16"/>
          <w:lang w:val="en-US"/>
        </w:rPr>
        <w:t>llega</w:t>
      </w:r>
      <w:proofErr w:type="spellEnd"/>
      <w:r w:rsidRPr="001C1F8A">
        <w:rPr>
          <w:rFonts w:ascii="Cambria" w:hAnsi="Cambria"/>
          <w:i/>
          <w:iCs/>
          <w:sz w:val="16"/>
          <w:szCs w:val="16"/>
          <w:lang w:val="en-US"/>
        </w:rPr>
        <w:t xml:space="preserve"> los </w:t>
      </w:r>
      <w:proofErr w:type="spellStart"/>
      <w:r w:rsidRPr="001C1F8A">
        <w:rPr>
          <w:rFonts w:ascii="Cambria" w:hAnsi="Cambria"/>
          <w:i/>
          <w:iCs/>
          <w:sz w:val="16"/>
          <w:szCs w:val="16"/>
          <w:lang w:val="en-US"/>
        </w:rPr>
        <w:t>medios</w:t>
      </w:r>
      <w:proofErr w:type="spellEnd"/>
      <w:r w:rsidRPr="001C1F8A">
        <w:rPr>
          <w:rFonts w:ascii="Cambria" w:hAnsi="Cambria"/>
          <w:sz w:val="16"/>
          <w:szCs w:val="16"/>
          <w:lang w:val="en-US"/>
        </w:rPr>
        <w:t xml:space="preserve"> [</w:t>
      </w:r>
      <w:proofErr w:type="spellStart"/>
      <w:r w:rsidRPr="001C1F8A">
        <w:rPr>
          <w:rFonts w:ascii="Cambria" w:hAnsi="Cambria"/>
          <w:sz w:val="16"/>
          <w:szCs w:val="16"/>
          <w:lang w:val="en-US"/>
        </w:rPr>
        <w:t>Yoani</w:t>
      </w:r>
      <w:proofErr w:type="spellEnd"/>
      <w:r w:rsidRPr="001C1F8A">
        <w:rPr>
          <w:rFonts w:ascii="Cambria" w:hAnsi="Cambria"/>
          <w:sz w:val="16"/>
          <w:szCs w:val="16"/>
          <w:lang w:val="en-US"/>
        </w:rPr>
        <w:t xml:space="preserve"> </w:t>
      </w:r>
      <w:r>
        <w:rPr>
          <w:rFonts w:ascii="Cambria" w:hAnsi="Cambria"/>
          <w:sz w:val="16"/>
          <w:szCs w:val="16"/>
          <w:lang w:val="en-US"/>
        </w:rPr>
        <w:t>Sánchez</w:t>
      </w:r>
      <w:r w:rsidRPr="001C1F8A">
        <w:rPr>
          <w:rFonts w:ascii="Cambria" w:hAnsi="Cambria"/>
          <w:sz w:val="16"/>
          <w:szCs w:val="16"/>
          <w:lang w:val="en-US"/>
        </w:rPr>
        <w:t xml:space="preserve">’s fraud on Twitter does not reach the media]. Available at: </w:t>
      </w:r>
      <w:hyperlink r:id="rId50" w:history="1">
        <w:r w:rsidRPr="001C1F8A">
          <w:rPr>
            <w:rStyle w:val="Hyperlink"/>
            <w:rFonts w:ascii="Cambria" w:hAnsi="Cambria"/>
            <w:sz w:val="16"/>
            <w:szCs w:val="16"/>
            <w:lang w:val="en-US"/>
          </w:rPr>
          <w:t>https://www.youtube.com/watch?v=D-5DjXeAovY</w:t>
        </w:r>
      </w:hyperlink>
      <w:r w:rsidRPr="001C1F8A">
        <w:rPr>
          <w:rFonts w:ascii="Cambria" w:hAnsi="Cambria"/>
          <w:sz w:val="16"/>
          <w:szCs w:val="16"/>
          <w:lang w:val="en-US"/>
        </w:rPr>
        <w:t xml:space="preserve"> </w:t>
      </w:r>
    </w:p>
  </w:footnote>
  <w:footnote w:id="127">
    <w:p w14:paraId="10A0ACAC" w14:textId="6C71BE1D" w:rsidR="003A6945" w:rsidRPr="001C1F8A" w:rsidRDefault="003A6945" w:rsidP="008C0B4A">
      <w:pPr>
        <w:autoSpaceDE w:val="0"/>
        <w:autoSpaceDN w:val="0"/>
        <w:adjustRightInd w:val="0"/>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w:t>
      </w:r>
      <w:r w:rsidRPr="001C1F8A">
        <w:rPr>
          <w:rFonts w:ascii="Cambria" w:hAnsi="Cambria"/>
          <w:i/>
          <w:iCs/>
          <w:sz w:val="16"/>
          <w:szCs w:val="16"/>
          <w:lang w:val="en-US"/>
        </w:rPr>
        <w:t xml:space="preserve">Cuba </w:t>
      </w:r>
      <w:proofErr w:type="spellStart"/>
      <w:r w:rsidRPr="001C1F8A">
        <w:rPr>
          <w:rFonts w:ascii="Cambria" w:hAnsi="Cambria"/>
          <w:i/>
          <w:iCs/>
          <w:sz w:val="16"/>
          <w:szCs w:val="16"/>
          <w:lang w:val="en-US"/>
        </w:rPr>
        <w:t>Información</w:t>
      </w:r>
      <w:proofErr w:type="spellEnd"/>
      <w:r w:rsidRPr="001C1F8A">
        <w:rPr>
          <w:rFonts w:ascii="Cambria" w:hAnsi="Cambria"/>
          <w:i/>
          <w:iCs/>
          <w:sz w:val="16"/>
          <w:szCs w:val="16"/>
          <w:lang w:val="en-US"/>
        </w:rPr>
        <w:t xml:space="preserve"> TV</w:t>
      </w:r>
      <w:r w:rsidRPr="001C1F8A">
        <w:rPr>
          <w:rFonts w:ascii="Cambria" w:hAnsi="Cambria"/>
          <w:sz w:val="16"/>
          <w:szCs w:val="16"/>
          <w:lang w:val="en-US"/>
        </w:rPr>
        <w:t xml:space="preserve">. YouTube Channel. </w:t>
      </w:r>
      <w:r w:rsidRPr="001C1F8A">
        <w:rPr>
          <w:rFonts w:ascii="Cambria" w:hAnsi="Cambria"/>
          <w:i/>
          <w:iCs/>
          <w:sz w:val="16"/>
          <w:szCs w:val="16"/>
          <w:lang w:val="en-US"/>
        </w:rPr>
        <w:t xml:space="preserve">El </w:t>
      </w:r>
      <w:proofErr w:type="spellStart"/>
      <w:r w:rsidRPr="001C1F8A">
        <w:rPr>
          <w:rFonts w:ascii="Cambria" w:hAnsi="Cambria"/>
          <w:i/>
          <w:iCs/>
          <w:sz w:val="16"/>
          <w:szCs w:val="16"/>
          <w:lang w:val="en-US"/>
        </w:rPr>
        <w:t>fraude</w:t>
      </w:r>
      <w:proofErr w:type="spellEnd"/>
      <w:r w:rsidRPr="001C1F8A">
        <w:rPr>
          <w:rFonts w:ascii="Cambria" w:hAnsi="Cambria"/>
          <w:i/>
          <w:iCs/>
          <w:sz w:val="16"/>
          <w:szCs w:val="16"/>
          <w:lang w:val="en-US"/>
        </w:rPr>
        <w:t xml:space="preserve"> de </w:t>
      </w:r>
      <w:proofErr w:type="spellStart"/>
      <w:r w:rsidRPr="001C1F8A">
        <w:rPr>
          <w:rFonts w:ascii="Cambria" w:hAnsi="Cambria"/>
          <w:i/>
          <w:iCs/>
          <w:sz w:val="16"/>
          <w:szCs w:val="16"/>
          <w:lang w:val="en-US"/>
        </w:rPr>
        <w:t>Yoani</w:t>
      </w:r>
      <w:proofErr w:type="spellEnd"/>
      <w:r w:rsidRPr="001C1F8A">
        <w:rPr>
          <w:rFonts w:ascii="Cambria" w:hAnsi="Cambria"/>
          <w:i/>
          <w:iCs/>
          <w:sz w:val="16"/>
          <w:szCs w:val="16"/>
          <w:lang w:val="en-US"/>
        </w:rPr>
        <w:t xml:space="preserve"> Sánchez </w:t>
      </w:r>
      <w:proofErr w:type="spellStart"/>
      <w:r w:rsidRPr="001C1F8A">
        <w:rPr>
          <w:rFonts w:ascii="Cambria" w:hAnsi="Cambria"/>
          <w:i/>
          <w:iCs/>
          <w:sz w:val="16"/>
          <w:szCs w:val="16"/>
          <w:lang w:val="en-US"/>
        </w:rPr>
        <w:t>en</w:t>
      </w:r>
      <w:proofErr w:type="spellEnd"/>
      <w:r w:rsidRPr="001C1F8A">
        <w:rPr>
          <w:rFonts w:ascii="Cambria" w:hAnsi="Cambria"/>
          <w:i/>
          <w:iCs/>
          <w:sz w:val="16"/>
          <w:szCs w:val="16"/>
          <w:lang w:val="en-US"/>
        </w:rPr>
        <w:t xml:space="preserve"> Twitter no </w:t>
      </w:r>
      <w:proofErr w:type="spellStart"/>
      <w:r w:rsidRPr="001C1F8A">
        <w:rPr>
          <w:rFonts w:ascii="Cambria" w:hAnsi="Cambria"/>
          <w:i/>
          <w:iCs/>
          <w:sz w:val="16"/>
          <w:szCs w:val="16"/>
          <w:lang w:val="en-US"/>
        </w:rPr>
        <w:t>llega</w:t>
      </w:r>
      <w:proofErr w:type="spellEnd"/>
      <w:r w:rsidRPr="001C1F8A">
        <w:rPr>
          <w:rFonts w:ascii="Cambria" w:hAnsi="Cambria"/>
          <w:i/>
          <w:iCs/>
          <w:sz w:val="16"/>
          <w:szCs w:val="16"/>
          <w:lang w:val="en-US"/>
        </w:rPr>
        <w:t xml:space="preserve"> los </w:t>
      </w:r>
      <w:proofErr w:type="spellStart"/>
      <w:r w:rsidRPr="001C1F8A">
        <w:rPr>
          <w:rFonts w:ascii="Cambria" w:hAnsi="Cambria"/>
          <w:i/>
          <w:iCs/>
          <w:sz w:val="16"/>
          <w:szCs w:val="16"/>
          <w:lang w:val="en-US"/>
        </w:rPr>
        <w:t>medios</w:t>
      </w:r>
      <w:proofErr w:type="spellEnd"/>
      <w:r w:rsidRPr="001C1F8A">
        <w:rPr>
          <w:rFonts w:ascii="Cambria" w:hAnsi="Cambria"/>
          <w:sz w:val="16"/>
          <w:szCs w:val="16"/>
          <w:lang w:val="en-US"/>
        </w:rPr>
        <w:t xml:space="preserve"> [</w:t>
      </w:r>
      <w:proofErr w:type="spellStart"/>
      <w:r w:rsidRPr="001C1F8A">
        <w:rPr>
          <w:rFonts w:ascii="Cambria" w:hAnsi="Cambria"/>
          <w:sz w:val="16"/>
          <w:szCs w:val="16"/>
          <w:lang w:val="en-US"/>
        </w:rPr>
        <w:t>Yoani</w:t>
      </w:r>
      <w:proofErr w:type="spellEnd"/>
      <w:r w:rsidRPr="001C1F8A">
        <w:rPr>
          <w:rFonts w:ascii="Cambria" w:hAnsi="Cambria"/>
          <w:sz w:val="16"/>
          <w:szCs w:val="16"/>
          <w:lang w:val="en-US"/>
        </w:rPr>
        <w:t xml:space="preserve"> </w:t>
      </w:r>
      <w:r>
        <w:rPr>
          <w:rFonts w:ascii="Cambria" w:hAnsi="Cambria"/>
          <w:sz w:val="16"/>
          <w:szCs w:val="16"/>
          <w:lang w:val="en-US"/>
        </w:rPr>
        <w:t>Sánchez</w:t>
      </w:r>
      <w:r w:rsidRPr="001C1F8A">
        <w:rPr>
          <w:rFonts w:ascii="Cambria" w:hAnsi="Cambria"/>
          <w:sz w:val="16"/>
          <w:szCs w:val="16"/>
          <w:lang w:val="en-US"/>
        </w:rPr>
        <w:t xml:space="preserve">’s fraud on Twitter does not reach the media]. Available at: </w:t>
      </w:r>
      <w:hyperlink r:id="rId51" w:history="1">
        <w:r w:rsidRPr="001C1F8A">
          <w:rPr>
            <w:rStyle w:val="Hyperlink"/>
            <w:rFonts w:ascii="Cambria" w:hAnsi="Cambria"/>
            <w:sz w:val="16"/>
            <w:szCs w:val="16"/>
            <w:lang w:val="en-US"/>
          </w:rPr>
          <w:t>https://www.youtube.com/watch?v=D-5DjXeAovY</w:t>
        </w:r>
      </w:hyperlink>
    </w:p>
  </w:footnote>
  <w:footnote w:id="128">
    <w:p w14:paraId="7F0D0804" w14:textId="0570F23C" w:rsidR="003A6945" w:rsidRPr="001C1F8A" w:rsidRDefault="003A6945" w:rsidP="008C0B4A">
      <w:pPr>
        <w:autoSpaceDE w:val="0"/>
        <w:autoSpaceDN w:val="0"/>
        <w:adjustRightInd w:val="0"/>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w:t>
      </w:r>
      <w:r w:rsidRPr="001C1F8A">
        <w:rPr>
          <w:rFonts w:ascii="Cambria" w:hAnsi="Cambria"/>
          <w:i/>
          <w:iCs/>
          <w:sz w:val="16"/>
          <w:szCs w:val="16"/>
          <w:lang w:val="en-US"/>
        </w:rPr>
        <w:t xml:space="preserve">Cuba </w:t>
      </w:r>
      <w:proofErr w:type="spellStart"/>
      <w:r w:rsidRPr="001C1F8A">
        <w:rPr>
          <w:rFonts w:ascii="Cambria" w:hAnsi="Cambria"/>
          <w:i/>
          <w:iCs/>
          <w:sz w:val="16"/>
          <w:szCs w:val="16"/>
          <w:lang w:val="en-US"/>
        </w:rPr>
        <w:t>Información</w:t>
      </w:r>
      <w:proofErr w:type="spellEnd"/>
      <w:r w:rsidRPr="001C1F8A">
        <w:rPr>
          <w:rFonts w:ascii="Cambria" w:hAnsi="Cambria"/>
          <w:i/>
          <w:iCs/>
          <w:sz w:val="16"/>
          <w:szCs w:val="16"/>
          <w:lang w:val="en-US"/>
        </w:rPr>
        <w:t xml:space="preserve"> TV</w:t>
      </w:r>
      <w:r w:rsidRPr="001C1F8A">
        <w:rPr>
          <w:rFonts w:ascii="Cambria" w:hAnsi="Cambria"/>
          <w:sz w:val="16"/>
          <w:szCs w:val="16"/>
          <w:lang w:val="en-US"/>
        </w:rPr>
        <w:t xml:space="preserve">. YouTube Channel. </w:t>
      </w:r>
      <w:r w:rsidRPr="001C1F8A">
        <w:rPr>
          <w:rFonts w:ascii="Cambria" w:hAnsi="Cambria"/>
          <w:i/>
          <w:iCs/>
          <w:sz w:val="16"/>
          <w:szCs w:val="16"/>
          <w:lang w:val="en-US"/>
        </w:rPr>
        <w:t xml:space="preserve">El </w:t>
      </w:r>
      <w:proofErr w:type="spellStart"/>
      <w:r w:rsidRPr="001C1F8A">
        <w:rPr>
          <w:rFonts w:ascii="Cambria" w:hAnsi="Cambria"/>
          <w:i/>
          <w:iCs/>
          <w:sz w:val="16"/>
          <w:szCs w:val="16"/>
          <w:lang w:val="en-US"/>
        </w:rPr>
        <w:t>fraude</w:t>
      </w:r>
      <w:proofErr w:type="spellEnd"/>
      <w:r w:rsidRPr="001C1F8A">
        <w:rPr>
          <w:rFonts w:ascii="Cambria" w:hAnsi="Cambria"/>
          <w:i/>
          <w:iCs/>
          <w:sz w:val="16"/>
          <w:szCs w:val="16"/>
          <w:lang w:val="en-US"/>
        </w:rPr>
        <w:t xml:space="preserve"> de </w:t>
      </w:r>
      <w:proofErr w:type="spellStart"/>
      <w:r w:rsidRPr="001C1F8A">
        <w:rPr>
          <w:rFonts w:ascii="Cambria" w:hAnsi="Cambria"/>
          <w:i/>
          <w:iCs/>
          <w:sz w:val="16"/>
          <w:szCs w:val="16"/>
          <w:lang w:val="en-US"/>
        </w:rPr>
        <w:t>Yoani</w:t>
      </w:r>
      <w:proofErr w:type="spellEnd"/>
      <w:r w:rsidRPr="001C1F8A">
        <w:rPr>
          <w:rFonts w:ascii="Cambria" w:hAnsi="Cambria"/>
          <w:i/>
          <w:iCs/>
          <w:sz w:val="16"/>
          <w:szCs w:val="16"/>
          <w:lang w:val="en-US"/>
        </w:rPr>
        <w:t xml:space="preserve"> Sánchez </w:t>
      </w:r>
      <w:proofErr w:type="spellStart"/>
      <w:r w:rsidRPr="001C1F8A">
        <w:rPr>
          <w:rFonts w:ascii="Cambria" w:hAnsi="Cambria"/>
          <w:i/>
          <w:iCs/>
          <w:sz w:val="16"/>
          <w:szCs w:val="16"/>
          <w:lang w:val="en-US"/>
        </w:rPr>
        <w:t>en</w:t>
      </w:r>
      <w:proofErr w:type="spellEnd"/>
      <w:r w:rsidRPr="001C1F8A">
        <w:rPr>
          <w:rFonts w:ascii="Cambria" w:hAnsi="Cambria"/>
          <w:i/>
          <w:iCs/>
          <w:sz w:val="16"/>
          <w:szCs w:val="16"/>
          <w:lang w:val="en-US"/>
        </w:rPr>
        <w:t xml:space="preserve"> Twitter no </w:t>
      </w:r>
      <w:proofErr w:type="spellStart"/>
      <w:r w:rsidRPr="001C1F8A">
        <w:rPr>
          <w:rFonts w:ascii="Cambria" w:hAnsi="Cambria"/>
          <w:i/>
          <w:iCs/>
          <w:sz w:val="16"/>
          <w:szCs w:val="16"/>
          <w:lang w:val="en-US"/>
        </w:rPr>
        <w:t>llega</w:t>
      </w:r>
      <w:proofErr w:type="spellEnd"/>
      <w:r w:rsidRPr="001C1F8A">
        <w:rPr>
          <w:rFonts w:ascii="Cambria" w:hAnsi="Cambria"/>
          <w:i/>
          <w:iCs/>
          <w:sz w:val="16"/>
          <w:szCs w:val="16"/>
          <w:lang w:val="en-US"/>
        </w:rPr>
        <w:t xml:space="preserve"> los </w:t>
      </w:r>
      <w:proofErr w:type="spellStart"/>
      <w:r w:rsidRPr="001C1F8A">
        <w:rPr>
          <w:rFonts w:ascii="Cambria" w:hAnsi="Cambria"/>
          <w:i/>
          <w:iCs/>
          <w:sz w:val="16"/>
          <w:szCs w:val="16"/>
          <w:lang w:val="en-US"/>
        </w:rPr>
        <w:t>medios</w:t>
      </w:r>
      <w:proofErr w:type="spellEnd"/>
      <w:r w:rsidRPr="001C1F8A">
        <w:rPr>
          <w:rFonts w:ascii="Cambria" w:hAnsi="Cambria"/>
          <w:sz w:val="16"/>
          <w:szCs w:val="16"/>
          <w:lang w:val="en-US"/>
        </w:rPr>
        <w:t xml:space="preserve"> [</w:t>
      </w:r>
      <w:proofErr w:type="spellStart"/>
      <w:r w:rsidRPr="001C1F8A">
        <w:rPr>
          <w:rFonts w:ascii="Cambria" w:hAnsi="Cambria"/>
          <w:sz w:val="16"/>
          <w:szCs w:val="16"/>
          <w:lang w:val="en-US"/>
        </w:rPr>
        <w:t>Yoani</w:t>
      </w:r>
      <w:proofErr w:type="spellEnd"/>
      <w:r w:rsidRPr="001C1F8A">
        <w:rPr>
          <w:rFonts w:ascii="Cambria" w:hAnsi="Cambria"/>
          <w:sz w:val="16"/>
          <w:szCs w:val="16"/>
          <w:lang w:val="en-US"/>
        </w:rPr>
        <w:t xml:space="preserve"> </w:t>
      </w:r>
      <w:r>
        <w:rPr>
          <w:rFonts w:ascii="Cambria" w:hAnsi="Cambria"/>
          <w:sz w:val="16"/>
          <w:szCs w:val="16"/>
          <w:lang w:val="en-US"/>
        </w:rPr>
        <w:t>Sánchez</w:t>
      </w:r>
      <w:r w:rsidRPr="001C1F8A">
        <w:rPr>
          <w:rFonts w:ascii="Cambria" w:hAnsi="Cambria"/>
          <w:sz w:val="16"/>
          <w:szCs w:val="16"/>
          <w:lang w:val="en-US"/>
        </w:rPr>
        <w:t xml:space="preserve">’s fraud on Twitter does not reach the media]. Available at: </w:t>
      </w:r>
      <w:hyperlink r:id="rId52" w:history="1">
        <w:r w:rsidRPr="001C1F8A">
          <w:rPr>
            <w:rStyle w:val="Hyperlink"/>
            <w:rFonts w:ascii="Cambria" w:hAnsi="Cambria"/>
            <w:sz w:val="16"/>
            <w:szCs w:val="16"/>
            <w:lang w:val="en-US"/>
          </w:rPr>
          <w:t>https://www.youtube.com/watch?v=D-5DjXeAovY</w:t>
        </w:r>
      </w:hyperlink>
    </w:p>
  </w:footnote>
  <w:footnote w:id="129">
    <w:p w14:paraId="6ED3A970" w14:textId="77777777" w:rsidR="003A6945" w:rsidRPr="001C1F8A" w:rsidRDefault="003A6945" w:rsidP="0060576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9. According to the petitioners, "this website is only available in Spanish in Cuba. Outside of Cuba, the English version is accessible, but contains fewer articles. See several articles critical of </w:t>
      </w:r>
      <w:proofErr w:type="spellStart"/>
      <w:r w:rsidRPr="001C1F8A">
        <w:rPr>
          <w:rFonts w:ascii="Cambria" w:hAnsi="Cambria"/>
          <w:sz w:val="16"/>
          <w:szCs w:val="16"/>
        </w:rPr>
        <w:t>Yoani</w:t>
      </w:r>
      <w:proofErr w:type="spellEnd"/>
      <w:r w:rsidRPr="001C1F8A">
        <w:rPr>
          <w:rFonts w:ascii="Cambria" w:hAnsi="Cambria"/>
          <w:sz w:val="16"/>
          <w:szCs w:val="16"/>
        </w:rPr>
        <w:t xml:space="preserve"> Sánchez at: </w:t>
      </w:r>
      <w:hyperlink r:id="rId53" w:history="1">
        <w:r w:rsidRPr="001C1F8A">
          <w:rPr>
            <w:rStyle w:val="Hyperlink"/>
            <w:rFonts w:ascii="Cambria" w:hAnsi="Cambria"/>
            <w:sz w:val="16"/>
            <w:szCs w:val="16"/>
          </w:rPr>
          <w:t xml:space="preserve">http://www.cubadebate.cu/?s=Yoani. </w:t>
        </w:r>
      </w:hyperlink>
    </w:p>
  </w:footnote>
  <w:footnote w:id="130">
    <w:p w14:paraId="491811B7" w14:textId="77777777" w:rsidR="003A6945" w:rsidRPr="001C1F8A" w:rsidRDefault="003A6945" w:rsidP="0060576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9. </w:t>
      </w:r>
    </w:p>
  </w:footnote>
  <w:footnote w:id="131">
    <w:p w14:paraId="5F1E8363" w14:textId="77777777" w:rsidR="003A6945" w:rsidRPr="001C1F8A" w:rsidRDefault="003A6945" w:rsidP="00DB7C9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Initial Petition of September 28, 2012, p. 11.</w:t>
      </w:r>
    </w:p>
  </w:footnote>
  <w:footnote w:id="132">
    <w:p w14:paraId="2581731A" w14:textId="232122B7" w:rsidR="003A6945" w:rsidRPr="002A7A7E" w:rsidRDefault="003A6945" w:rsidP="00AA136F">
      <w:pPr>
        <w:pStyle w:val="FootnoteText"/>
        <w:jc w:val="both"/>
        <w:rPr>
          <w:rFonts w:ascii="Cambria" w:hAnsi="Cambria"/>
          <w:color w:val="auto"/>
          <w:sz w:val="16"/>
          <w:szCs w:val="16"/>
          <w:lang w:val="es-PE"/>
        </w:rPr>
      </w:pPr>
      <w:r w:rsidRPr="001C1F8A">
        <w:rPr>
          <w:rStyle w:val="FootnoteReference"/>
          <w:rFonts w:ascii="Cambria" w:hAnsi="Cambria"/>
          <w:sz w:val="16"/>
          <w:szCs w:val="16"/>
        </w:rPr>
        <w:footnoteRef/>
      </w:r>
      <w:r w:rsidRPr="001C1F8A">
        <w:rPr>
          <w:rFonts w:ascii="Cambria" w:hAnsi="Cambria"/>
          <w:color w:val="auto"/>
          <w:sz w:val="16"/>
          <w:szCs w:val="16"/>
        </w:rPr>
        <w:t xml:space="preserve"> IACHR. Annual Report 2016.  Ch</w:t>
      </w:r>
      <w:r>
        <w:rPr>
          <w:rFonts w:ascii="Cambria" w:hAnsi="Cambria"/>
          <w:color w:val="auto"/>
          <w:sz w:val="16"/>
          <w:szCs w:val="16"/>
        </w:rPr>
        <w:t>.</w:t>
      </w:r>
      <w:r w:rsidRPr="001C1F8A">
        <w:rPr>
          <w:rFonts w:ascii="Cambria" w:hAnsi="Cambria"/>
          <w:color w:val="auto"/>
          <w:sz w:val="16"/>
          <w:szCs w:val="16"/>
        </w:rPr>
        <w:t xml:space="preserve"> IV.B. Situation of human rights in Cuba, para. 12; Annual Report 2020.  Ch</w:t>
      </w:r>
      <w:r>
        <w:rPr>
          <w:rFonts w:ascii="Cambria" w:hAnsi="Cambria"/>
          <w:color w:val="auto"/>
          <w:sz w:val="16"/>
          <w:szCs w:val="16"/>
        </w:rPr>
        <w:t>.</w:t>
      </w:r>
      <w:r w:rsidRPr="001C1F8A">
        <w:rPr>
          <w:rFonts w:ascii="Cambria" w:hAnsi="Cambria"/>
          <w:color w:val="auto"/>
          <w:sz w:val="16"/>
          <w:szCs w:val="16"/>
        </w:rPr>
        <w:t xml:space="preserve"> IV.B. Situation of human rights in Cuba, paras. </w:t>
      </w:r>
      <w:r w:rsidRPr="002A7A7E">
        <w:rPr>
          <w:rFonts w:ascii="Cambria" w:hAnsi="Cambria"/>
          <w:color w:val="auto"/>
          <w:sz w:val="16"/>
          <w:szCs w:val="16"/>
          <w:lang w:val="es-PE"/>
        </w:rPr>
        <w:t>10-14.</w:t>
      </w:r>
    </w:p>
  </w:footnote>
  <w:footnote w:id="133">
    <w:p w14:paraId="3BE788B6" w14:textId="21657605" w:rsidR="003A6945" w:rsidRPr="002A7A7E" w:rsidRDefault="003A6945" w:rsidP="0084266C">
      <w:pPr>
        <w:pStyle w:val="FootnoteText"/>
        <w:jc w:val="both"/>
        <w:rPr>
          <w:rFonts w:ascii="Cambria" w:hAnsi="Cambria"/>
          <w:color w:val="auto"/>
          <w:sz w:val="16"/>
          <w:szCs w:val="16"/>
          <w:lang w:val="es-PE"/>
        </w:rPr>
      </w:pPr>
      <w:r w:rsidRPr="001C1F8A">
        <w:rPr>
          <w:rStyle w:val="FootnoteReference"/>
          <w:rFonts w:ascii="Cambria" w:hAnsi="Cambria"/>
          <w:color w:val="auto"/>
          <w:sz w:val="16"/>
          <w:szCs w:val="16"/>
        </w:rPr>
        <w:footnoteRef/>
      </w:r>
      <w:r w:rsidRPr="002A7A7E">
        <w:rPr>
          <w:rFonts w:ascii="Cambria" w:hAnsi="Cambria"/>
          <w:color w:val="auto"/>
          <w:sz w:val="16"/>
          <w:szCs w:val="16"/>
          <w:lang w:val="es-PE"/>
        </w:rPr>
        <w:t xml:space="preserve"> IACHR. Report No. 67/06. Case 12.476. Oscar Elías Biscet et al. (Cuba). October 21, 2006, paras. 40-44; Report No. 68/06. Case 12.477. Merits. Lorenzo Enrique Copello Castillo et al. Cuba. October 21, 2006, paras, 49, 52; IACHR. Merits Report No. 47/96, Case 11.436, Victims of the Tugboat “13 de Marzo,” October 16, 1996; Merits Report No. 86/99, Case 11.589, Armando Alejandre Jr., Carlos Costa, Mario de la Peña, and Pablo Morales, September 29, 1999. </w:t>
      </w:r>
    </w:p>
  </w:footnote>
  <w:footnote w:id="134">
    <w:p w14:paraId="191096C0" w14:textId="7DC0813A" w:rsidR="003A6945" w:rsidRPr="002A7A7E" w:rsidRDefault="003A6945" w:rsidP="0098754D">
      <w:pPr>
        <w:pStyle w:val="FootnoteText"/>
        <w:jc w:val="both"/>
        <w:rPr>
          <w:rFonts w:ascii="Cambria" w:hAnsi="Cambria"/>
          <w:color w:val="auto"/>
          <w:sz w:val="16"/>
          <w:szCs w:val="16"/>
          <w:lang w:val="es-PE"/>
        </w:rPr>
      </w:pPr>
      <w:r w:rsidRPr="001C1F8A">
        <w:rPr>
          <w:rStyle w:val="FootnoteReference"/>
          <w:rFonts w:ascii="Cambria" w:hAnsi="Cambria"/>
          <w:color w:val="auto"/>
          <w:sz w:val="16"/>
          <w:szCs w:val="16"/>
        </w:rPr>
        <w:footnoteRef/>
      </w:r>
      <w:r w:rsidRPr="002A7A7E">
        <w:rPr>
          <w:rFonts w:ascii="Cambria" w:hAnsi="Cambria"/>
          <w:color w:val="auto"/>
          <w:sz w:val="16"/>
          <w:szCs w:val="16"/>
          <w:lang w:val="es-PE"/>
        </w:rPr>
        <w:t xml:space="preserve"> IACHR. Report No. 67/06. Case 12.476. Oscar Elías Biscet et al. Cuba. October 21, 2006, para. 41; Report No. 68/06. Case 12.477. Merits. Lorenzo Enrique Copello Castillo et al. Cuba. October 21, 2006, para. 50.</w:t>
      </w:r>
    </w:p>
  </w:footnote>
  <w:footnote w:id="135">
    <w:p w14:paraId="481EBF65" w14:textId="77777777" w:rsidR="003A6945" w:rsidRPr="002A7A7E" w:rsidRDefault="003A6945" w:rsidP="002647DD">
      <w:pPr>
        <w:pStyle w:val="FootnoteText"/>
        <w:jc w:val="both"/>
        <w:rPr>
          <w:rFonts w:ascii="Cambria" w:hAnsi="Cambria"/>
          <w:color w:val="auto"/>
          <w:sz w:val="16"/>
          <w:szCs w:val="16"/>
          <w:lang w:val="es-PE"/>
        </w:rPr>
      </w:pPr>
      <w:r w:rsidRPr="001C1F8A">
        <w:rPr>
          <w:rStyle w:val="FootnoteReference"/>
          <w:rFonts w:ascii="Cambria" w:hAnsi="Cambria"/>
          <w:color w:val="auto"/>
          <w:sz w:val="16"/>
          <w:szCs w:val="16"/>
        </w:rPr>
        <w:footnoteRef/>
      </w:r>
      <w:r w:rsidRPr="002A7A7E">
        <w:rPr>
          <w:rFonts w:ascii="Cambria" w:hAnsi="Cambria"/>
          <w:color w:val="auto"/>
          <w:sz w:val="16"/>
          <w:szCs w:val="16"/>
          <w:lang w:val="es-PE"/>
        </w:rPr>
        <w:t xml:space="preserve"> IACHR. Report No. 67/06. Case 12.476. Oscar Elías Biscet et al. (Cuba). October 21, 2006, paras. 42; Report No. 68/06. Case 12.477. Merits. Lorenzo Enrique Copello Castillo et al. Cuba. October 21, 2006, para. 51.</w:t>
      </w:r>
    </w:p>
  </w:footnote>
  <w:footnote w:id="136">
    <w:p w14:paraId="0140C4F0" w14:textId="77777777" w:rsidR="003A6945" w:rsidRPr="001C1F8A" w:rsidRDefault="003A6945" w:rsidP="002647DD">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2A7A7E">
        <w:rPr>
          <w:rFonts w:ascii="Cambria" w:hAnsi="Cambria"/>
          <w:color w:val="auto"/>
          <w:sz w:val="16"/>
          <w:szCs w:val="16"/>
          <w:lang w:val="es-PE"/>
        </w:rPr>
        <w:t xml:space="preserve"> IACHR. Report No. 67/06. Case 12.476. Oscar Elías Biscet et al. (Cuba). October 21, 2006, para. 43; Report No. 68/06. Case 12.477. Merits. Lorenzo Enrique Copello Castillo et al. </w:t>
      </w:r>
      <w:r w:rsidRPr="001C1F8A">
        <w:rPr>
          <w:rFonts w:ascii="Cambria" w:hAnsi="Cambria"/>
          <w:color w:val="auto"/>
          <w:sz w:val="16"/>
          <w:szCs w:val="16"/>
        </w:rPr>
        <w:t xml:space="preserve">Cuba. October 21, 2006, para. 52.  </w:t>
      </w:r>
    </w:p>
  </w:footnote>
  <w:footnote w:id="137">
    <w:p w14:paraId="35687705" w14:textId="672C88E4" w:rsidR="003A6945" w:rsidRPr="001C1F8A" w:rsidRDefault="003A6945" w:rsidP="00206BA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bCs/>
          <w:sz w:val="16"/>
          <w:szCs w:val="16"/>
        </w:rPr>
        <w:t xml:space="preserve"> Article I of the American Declaration states that: “[</w:t>
      </w:r>
      <w:r>
        <w:rPr>
          <w:rFonts w:ascii="Cambria" w:hAnsi="Cambria"/>
          <w:bCs/>
          <w:sz w:val="16"/>
          <w:szCs w:val="16"/>
        </w:rPr>
        <w:t>a]</w:t>
      </w:r>
      <w:proofErr w:type="spellStart"/>
      <w:r w:rsidRPr="006A1D4E">
        <w:rPr>
          <w:rFonts w:ascii="Cambria" w:hAnsi="Cambria"/>
          <w:bCs/>
          <w:sz w:val="16"/>
          <w:szCs w:val="16"/>
        </w:rPr>
        <w:t>ll</w:t>
      </w:r>
      <w:proofErr w:type="spellEnd"/>
      <w:r w:rsidRPr="006A1D4E">
        <w:rPr>
          <w:rFonts w:ascii="Cambria" w:hAnsi="Cambria"/>
          <w:bCs/>
          <w:sz w:val="16"/>
          <w:szCs w:val="16"/>
        </w:rPr>
        <w:t xml:space="preserve"> persons are equal before the law and have the rights and duties established in this Declaration, without distinction as to race, sex, language, creed or any other factor</w:t>
      </w:r>
      <w:r w:rsidRPr="001C1F8A">
        <w:rPr>
          <w:rFonts w:ascii="Cambria" w:hAnsi="Cambria"/>
          <w:bCs/>
          <w:sz w:val="16"/>
          <w:szCs w:val="16"/>
        </w:rPr>
        <w:t>.”</w:t>
      </w:r>
    </w:p>
  </w:footnote>
  <w:footnote w:id="138">
    <w:p w14:paraId="0A44146B" w14:textId="74D2BD36" w:rsidR="003A6945" w:rsidRPr="001C1F8A" w:rsidRDefault="003A6945" w:rsidP="006A1D4E">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bCs/>
          <w:sz w:val="16"/>
          <w:szCs w:val="16"/>
        </w:rPr>
        <w:t xml:space="preserve"> Article </w:t>
      </w:r>
      <w:r>
        <w:rPr>
          <w:rFonts w:ascii="Cambria" w:hAnsi="Cambria"/>
          <w:bCs/>
          <w:sz w:val="16"/>
          <w:szCs w:val="16"/>
        </w:rPr>
        <w:t>I</w:t>
      </w:r>
      <w:r w:rsidRPr="001C1F8A">
        <w:rPr>
          <w:rFonts w:ascii="Cambria" w:hAnsi="Cambria"/>
          <w:bCs/>
          <w:sz w:val="16"/>
          <w:szCs w:val="16"/>
        </w:rPr>
        <w:t>I of the American Declaration states that: “[e]very human being has the right to life, liberty, and the security of his person.”</w:t>
      </w:r>
    </w:p>
  </w:footnote>
  <w:footnote w:id="139">
    <w:p w14:paraId="442AA22D" w14:textId="5DF61B55" w:rsidR="003A6945" w:rsidRPr="001C1F8A" w:rsidRDefault="003A6945" w:rsidP="006252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Article XXV </w:t>
      </w:r>
      <w:r w:rsidRPr="001C1F8A">
        <w:rPr>
          <w:rFonts w:ascii="Cambria" w:hAnsi="Cambria"/>
          <w:bCs/>
          <w:sz w:val="16"/>
          <w:szCs w:val="16"/>
          <w:lang w:val="en-US"/>
        </w:rPr>
        <w:t xml:space="preserve">of the American Declaration </w:t>
      </w:r>
      <w:r w:rsidRPr="001C1F8A">
        <w:rPr>
          <w:rFonts w:ascii="Cambria" w:hAnsi="Cambria"/>
          <w:sz w:val="16"/>
          <w:szCs w:val="16"/>
          <w:lang w:val="en-US"/>
        </w:rPr>
        <w:t xml:space="preserve">provides that: “[n]o person may be deprived of his liberty except in the cases and according to the procedures established by pre-existing law. No person may be deprived of liberty for nonfulfillment of obligations of a purely civil character. 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 </w:t>
      </w:r>
    </w:p>
  </w:footnote>
  <w:footnote w:id="140">
    <w:p w14:paraId="1C5B06D1" w14:textId="77777777" w:rsidR="003A6945" w:rsidRPr="001C1F8A" w:rsidRDefault="003A6945" w:rsidP="006252EB">
      <w:pPr>
        <w:pStyle w:val="FootnoteText"/>
        <w:jc w:val="both"/>
        <w:rPr>
          <w:rFonts w:ascii="Cambria" w:hAnsi="Cambria"/>
          <w:sz w:val="16"/>
          <w:szCs w:val="16"/>
        </w:rPr>
      </w:pPr>
      <w:r w:rsidRPr="001C1F8A">
        <w:rPr>
          <w:rStyle w:val="FootnoteReference"/>
          <w:rFonts w:ascii="Cambria" w:hAnsi="Cambria"/>
          <w:color w:val="auto"/>
          <w:sz w:val="16"/>
          <w:szCs w:val="16"/>
        </w:rPr>
        <w:footnoteRef/>
      </w:r>
      <w:r w:rsidRPr="001C1F8A">
        <w:rPr>
          <w:rFonts w:ascii="Cambria" w:eastAsia="Arial Unicode MS" w:hAnsi="Cambria" w:cs="Times New Roman"/>
          <w:color w:val="auto"/>
          <w:sz w:val="16"/>
          <w:szCs w:val="16"/>
          <w:lang w:eastAsia="en-US"/>
        </w:rPr>
        <w:t xml:space="preserve"> IACHR. Report on Terrorism and Human Rights, OEA/</w:t>
      </w:r>
      <w:proofErr w:type="spellStart"/>
      <w:r w:rsidRPr="001C1F8A">
        <w:rPr>
          <w:rFonts w:ascii="Cambria" w:eastAsia="Arial Unicode MS" w:hAnsi="Cambria" w:cs="Times New Roman"/>
          <w:color w:val="auto"/>
          <w:sz w:val="16"/>
          <w:szCs w:val="16"/>
          <w:lang w:eastAsia="en-US"/>
        </w:rPr>
        <w:t>Ser.L</w:t>
      </w:r>
      <w:proofErr w:type="spellEnd"/>
      <w:r w:rsidRPr="001C1F8A">
        <w:rPr>
          <w:rFonts w:ascii="Cambria" w:eastAsia="Arial Unicode MS" w:hAnsi="Cambria" w:cs="Times New Roman"/>
          <w:color w:val="auto"/>
          <w:sz w:val="16"/>
          <w:szCs w:val="16"/>
          <w:lang w:eastAsia="en-US"/>
        </w:rPr>
        <w:t>/V/II.116.Doc.5 rev.1, October 22, 2002, para. 120.</w:t>
      </w:r>
    </w:p>
  </w:footnote>
  <w:footnote w:id="141">
    <w:p w14:paraId="568746C9" w14:textId="77777777" w:rsidR="003A6945" w:rsidRPr="002A7A7E" w:rsidRDefault="003A6945" w:rsidP="00462834">
      <w:pPr>
        <w:pStyle w:val="FootnoteText"/>
        <w:jc w:val="both"/>
        <w:rPr>
          <w:rFonts w:ascii="Cambria" w:hAnsi="Cambria"/>
          <w:sz w:val="16"/>
          <w:szCs w:val="16"/>
          <w:lang w:val="es-PE"/>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Application before the Inter-American Court of Human Rights in the case of Juan Carlos Chaparro Álvarez and Freddy </w:t>
      </w:r>
      <w:proofErr w:type="spellStart"/>
      <w:r w:rsidRPr="001C1F8A">
        <w:rPr>
          <w:rFonts w:ascii="Cambria" w:hAnsi="Cambria"/>
          <w:color w:val="auto"/>
          <w:sz w:val="16"/>
          <w:szCs w:val="16"/>
        </w:rPr>
        <w:t>Hernán</w:t>
      </w:r>
      <w:proofErr w:type="spellEnd"/>
      <w:r w:rsidRPr="001C1F8A">
        <w:rPr>
          <w:rFonts w:ascii="Cambria" w:hAnsi="Cambria"/>
          <w:color w:val="auto"/>
          <w:sz w:val="16"/>
          <w:szCs w:val="16"/>
        </w:rPr>
        <w:t xml:space="preserve"> </w:t>
      </w:r>
      <w:proofErr w:type="spellStart"/>
      <w:r w:rsidRPr="001C1F8A">
        <w:rPr>
          <w:rFonts w:ascii="Cambria" w:hAnsi="Cambria"/>
          <w:color w:val="auto"/>
          <w:sz w:val="16"/>
          <w:szCs w:val="16"/>
        </w:rPr>
        <w:t>Lapo</w:t>
      </w:r>
      <w:proofErr w:type="spellEnd"/>
      <w:r w:rsidRPr="001C1F8A">
        <w:rPr>
          <w:rFonts w:ascii="Cambria" w:hAnsi="Cambria"/>
          <w:color w:val="auto"/>
          <w:sz w:val="16"/>
          <w:szCs w:val="16"/>
        </w:rPr>
        <w:t xml:space="preserve">. </w:t>
      </w:r>
      <w:r w:rsidRPr="002A7A7E">
        <w:rPr>
          <w:rFonts w:ascii="Cambria" w:hAnsi="Cambria"/>
          <w:color w:val="auto"/>
          <w:sz w:val="16"/>
          <w:szCs w:val="16"/>
          <w:lang w:val="es-PE"/>
        </w:rPr>
        <w:t>Case 12.091. Ecuador. June 23, 2006, para. 59.</w:t>
      </w:r>
    </w:p>
  </w:footnote>
  <w:footnote w:id="142">
    <w:p w14:paraId="1EB36CEE" w14:textId="77777777" w:rsidR="003A6945" w:rsidRPr="001C1F8A" w:rsidRDefault="003A6945" w:rsidP="00462834">
      <w:pPr>
        <w:pStyle w:val="FootnoteText"/>
        <w:jc w:val="both"/>
        <w:rPr>
          <w:rFonts w:ascii="Cambria" w:hAnsi="Cambria"/>
          <w:sz w:val="16"/>
          <w:szCs w:val="16"/>
        </w:rPr>
      </w:pPr>
      <w:r w:rsidRPr="001C1F8A">
        <w:rPr>
          <w:rStyle w:val="FootnoteReference"/>
          <w:rFonts w:ascii="Cambria" w:hAnsi="Cambria"/>
          <w:sz w:val="16"/>
          <w:szCs w:val="16"/>
        </w:rPr>
        <w:footnoteRef/>
      </w:r>
      <w:r w:rsidRPr="002A7A7E">
        <w:rPr>
          <w:rFonts w:ascii="Cambria" w:hAnsi="Cambria"/>
          <w:sz w:val="16"/>
          <w:szCs w:val="16"/>
          <w:lang w:val="es-PE"/>
        </w:rPr>
        <w:t xml:space="preserve">  IACHR. Report 129/17. Case 12.315. Merits. Carlos Alberto Fernández and Carlos Alejandro Tumbeiro. </w:t>
      </w:r>
      <w:r w:rsidRPr="001C1F8A">
        <w:rPr>
          <w:rFonts w:ascii="Cambria" w:hAnsi="Cambria"/>
          <w:sz w:val="16"/>
          <w:szCs w:val="16"/>
        </w:rPr>
        <w:t>Argentina. October 25, 2017, para. 50.</w:t>
      </w:r>
    </w:p>
  </w:footnote>
  <w:footnote w:id="143">
    <w:p w14:paraId="2DD1E863" w14:textId="77777777" w:rsidR="003A6945" w:rsidRPr="001C1F8A" w:rsidRDefault="003A6945" w:rsidP="00CB093C">
      <w:pPr>
        <w:pStyle w:val="FootnoteText"/>
        <w:jc w:val="both"/>
        <w:rPr>
          <w:rFonts w:ascii="Cambria" w:hAnsi="Cambria"/>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UN. Body of Principles for the Protection of All Persons under Any Form of Detention or Imprisonment, adopted by General Assembly Resolution 43/173 of 9 December 1988, Principle 4.</w:t>
      </w:r>
    </w:p>
  </w:footnote>
  <w:footnote w:id="144">
    <w:p w14:paraId="68CCF747" w14:textId="77777777" w:rsidR="003A6945" w:rsidRPr="001C1F8A" w:rsidRDefault="003A6945" w:rsidP="00CB093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eastAsia="Arial Unicode MS" w:hAnsi="Cambria" w:cs="Times New Roman"/>
          <w:color w:val="auto"/>
          <w:sz w:val="16"/>
          <w:szCs w:val="16"/>
          <w:lang w:eastAsia="en-US"/>
        </w:rPr>
        <w:t xml:space="preserve"> IACHR, Report No. 8/16. Case 11.661. Merits (Publication). </w:t>
      </w:r>
      <w:proofErr w:type="spellStart"/>
      <w:r w:rsidRPr="001C1F8A">
        <w:rPr>
          <w:rFonts w:ascii="Cambria" w:eastAsia="Arial Unicode MS" w:hAnsi="Cambria" w:cs="Times New Roman"/>
          <w:color w:val="auto"/>
          <w:sz w:val="16"/>
          <w:szCs w:val="16"/>
          <w:lang w:eastAsia="en-US"/>
        </w:rPr>
        <w:t>Manickavasagam</w:t>
      </w:r>
      <w:proofErr w:type="spellEnd"/>
      <w:r w:rsidRPr="001C1F8A">
        <w:rPr>
          <w:rFonts w:ascii="Cambria" w:eastAsia="Arial Unicode MS" w:hAnsi="Cambria" w:cs="Times New Roman"/>
          <w:color w:val="auto"/>
          <w:sz w:val="16"/>
          <w:szCs w:val="16"/>
          <w:lang w:eastAsia="en-US"/>
        </w:rPr>
        <w:t xml:space="preserve"> Suresh. Canada. April 13, 2016, para. 73.</w:t>
      </w:r>
    </w:p>
  </w:footnote>
  <w:footnote w:id="145">
    <w:p w14:paraId="3BEE004E" w14:textId="77777777" w:rsidR="003A6945" w:rsidRPr="001C1F8A" w:rsidRDefault="003A6945" w:rsidP="00720402">
      <w:pPr>
        <w:pStyle w:val="FootnoteText"/>
        <w:jc w:val="both"/>
        <w:rPr>
          <w:rFonts w:ascii="Cambria" w:hAnsi="Cambria"/>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Application before the Inter-American Court of Human Rights in the case of Juan Carlos Chaparro Álvarez and Freddy </w:t>
      </w:r>
      <w:proofErr w:type="spellStart"/>
      <w:r w:rsidRPr="001C1F8A">
        <w:rPr>
          <w:rFonts w:ascii="Cambria" w:hAnsi="Cambria"/>
          <w:color w:val="auto"/>
          <w:sz w:val="16"/>
          <w:szCs w:val="16"/>
        </w:rPr>
        <w:t>Hernán</w:t>
      </w:r>
      <w:proofErr w:type="spellEnd"/>
      <w:r w:rsidRPr="001C1F8A">
        <w:rPr>
          <w:rFonts w:ascii="Cambria" w:hAnsi="Cambria"/>
          <w:color w:val="auto"/>
          <w:sz w:val="16"/>
          <w:szCs w:val="16"/>
        </w:rPr>
        <w:t xml:space="preserve"> </w:t>
      </w:r>
      <w:proofErr w:type="spellStart"/>
      <w:r w:rsidRPr="001C1F8A">
        <w:rPr>
          <w:rFonts w:ascii="Cambria" w:hAnsi="Cambria"/>
          <w:color w:val="auto"/>
          <w:sz w:val="16"/>
          <w:szCs w:val="16"/>
        </w:rPr>
        <w:t>Lapo</w:t>
      </w:r>
      <w:proofErr w:type="spellEnd"/>
      <w:r w:rsidRPr="001C1F8A">
        <w:rPr>
          <w:rFonts w:ascii="Cambria" w:hAnsi="Cambria"/>
          <w:color w:val="auto"/>
          <w:sz w:val="16"/>
          <w:szCs w:val="16"/>
        </w:rPr>
        <w:t>. Case 12.091. Ecuador. June 23, 2006, para. 72.</w:t>
      </w:r>
    </w:p>
  </w:footnote>
  <w:footnote w:id="146">
    <w:p w14:paraId="348E7798" w14:textId="77777777" w:rsidR="003A6945" w:rsidRPr="001C1F8A" w:rsidRDefault="003A6945" w:rsidP="00720402">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Report No. 71/15, Case 12.879. Merits. Vladimir Herzog et al. Brazil. October 28, 2015, para. 149.</w:t>
      </w:r>
    </w:p>
  </w:footnote>
  <w:footnote w:id="147">
    <w:p w14:paraId="7419D191" w14:textId="77777777" w:rsidR="003A6945" w:rsidRPr="001C1F8A" w:rsidRDefault="003A6945" w:rsidP="0045734E">
      <w:pPr>
        <w:pStyle w:val="FootnoteText"/>
        <w:jc w:val="both"/>
        <w:rPr>
          <w:rFonts w:ascii="Cambria" w:hAnsi="Cambria"/>
          <w:sz w:val="16"/>
          <w:szCs w:val="16"/>
          <w:u w:val="single"/>
        </w:rPr>
      </w:pPr>
      <w:r w:rsidRPr="001C1F8A">
        <w:rPr>
          <w:rStyle w:val="FootnoteReference"/>
          <w:rFonts w:ascii="Cambria" w:hAnsi="Cambria"/>
          <w:sz w:val="16"/>
          <w:szCs w:val="16"/>
        </w:rPr>
        <w:footnoteRef/>
      </w:r>
      <w:r w:rsidRPr="001C1F8A">
        <w:rPr>
          <w:rFonts w:ascii="Cambria" w:hAnsi="Cambria"/>
          <w:sz w:val="16"/>
          <w:szCs w:val="16"/>
        </w:rPr>
        <w:t xml:space="preserve">  IACHR. Report No. 27/18, Case No. 12.127. </w:t>
      </w:r>
      <w:r w:rsidRPr="001D5255">
        <w:rPr>
          <w:rFonts w:ascii="Cambria" w:hAnsi="Cambria"/>
          <w:sz w:val="16"/>
          <w:szCs w:val="16"/>
          <w:lang w:val="es-419"/>
        </w:rPr>
        <w:t xml:space="preserve">Merits. Vladimiro Roca Antúnez et al. </w:t>
      </w:r>
      <w:r w:rsidRPr="001C1F8A">
        <w:rPr>
          <w:rFonts w:ascii="Cambria" w:hAnsi="Cambria"/>
          <w:sz w:val="16"/>
          <w:szCs w:val="16"/>
        </w:rPr>
        <w:t>Cuba. February 24, 2018, para. 134.</w:t>
      </w:r>
    </w:p>
  </w:footnote>
  <w:footnote w:id="148">
    <w:p w14:paraId="02E4B403" w14:textId="77777777" w:rsidR="003A6945" w:rsidRPr="001D5255" w:rsidRDefault="003A6945" w:rsidP="002633E3">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es-419"/>
        </w:rPr>
      </w:pPr>
      <w:r w:rsidRPr="001C1F8A">
        <w:rPr>
          <w:rFonts w:ascii="Cambria" w:hAnsi="Cambria"/>
          <w:color w:val="auto"/>
          <w:sz w:val="16"/>
          <w:szCs w:val="16"/>
          <w:vertAlign w:val="superscript"/>
        </w:rPr>
        <w:footnoteRef/>
      </w:r>
      <w:r w:rsidRPr="001C1F8A">
        <w:rPr>
          <w:rFonts w:ascii="Cambria" w:hAnsi="Cambria"/>
          <w:color w:val="auto"/>
          <w:sz w:val="16"/>
          <w:szCs w:val="16"/>
        </w:rPr>
        <w:t xml:space="preserve">  IACHR. Report on Terrorism and Human Rights, OEA/</w:t>
      </w:r>
      <w:proofErr w:type="spellStart"/>
      <w:r w:rsidRPr="001C1F8A">
        <w:rPr>
          <w:rFonts w:ascii="Cambria" w:hAnsi="Cambria"/>
          <w:color w:val="auto"/>
          <w:sz w:val="16"/>
          <w:szCs w:val="16"/>
        </w:rPr>
        <w:t>Ser.L</w:t>
      </w:r>
      <w:proofErr w:type="spellEnd"/>
      <w:r w:rsidRPr="001C1F8A">
        <w:rPr>
          <w:rFonts w:ascii="Cambria" w:hAnsi="Cambria"/>
          <w:color w:val="auto"/>
          <w:sz w:val="16"/>
          <w:szCs w:val="16"/>
        </w:rPr>
        <w:t xml:space="preserve">/V/II.116.Doc.5 rev.1, October 22, 2002, para. </w:t>
      </w:r>
      <w:r w:rsidRPr="001D5255">
        <w:rPr>
          <w:rFonts w:ascii="Cambria" w:hAnsi="Cambria"/>
          <w:color w:val="auto"/>
          <w:sz w:val="16"/>
          <w:szCs w:val="16"/>
          <w:lang w:val="es-419"/>
        </w:rPr>
        <w:t>155.</w:t>
      </w:r>
    </w:p>
  </w:footnote>
  <w:footnote w:id="149">
    <w:p w14:paraId="1ADA7CEE" w14:textId="77777777" w:rsidR="003A6945" w:rsidRPr="001C1F8A" w:rsidRDefault="003A6945" w:rsidP="002633E3">
      <w:pPr>
        <w:pStyle w:val="FootnoteText"/>
        <w:jc w:val="both"/>
        <w:rPr>
          <w:rFonts w:ascii="Cambria" w:hAnsi="Cambria"/>
          <w:sz w:val="16"/>
          <w:szCs w:val="16"/>
        </w:rPr>
      </w:pPr>
      <w:r w:rsidRPr="001C1F8A">
        <w:rPr>
          <w:rStyle w:val="FootnoteReference"/>
          <w:rFonts w:ascii="Cambria" w:hAnsi="Cambria"/>
          <w:sz w:val="16"/>
          <w:szCs w:val="16"/>
        </w:rPr>
        <w:footnoteRef/>
      </w:r>
      <w:r w:rsidRPr="001D5255">
        <w:rPr>
          <w:rFonts w:ascii="Cambria" w:hAnsi="Cambria"/>
          <w:sz w:val="16"/>
          <w:szCs w:val="16"/>
          <w:lang w:val="es-419"/>
        </w:rPr>
        <w:t xml:space="preserve"> IACHR. Report No. 27/18, Case No. 12.127. Merits. Vladimiro Roca Antúnez et al. Cuba. </w:t>
      </w:r>
      <w:r w:rsidRPr="001C1F8A">
        <w:rPr>
          <w:rFonts w:ascii="Cambria" w:hAnsi="Cambria"/>
          <w:sz w:val="16"/>
          <w:szCs w:val="16"/>
        </w:rPr>
        <w:t>February 24, 2018, para. 143.</w:t>
      </w:r>
    </w:p>
  </w:footnote>
  <w:footnote w:id="150">
    <w:p w14:paraId="16D0139E" w14:textId="77777777" w:rsidR="003A6945" w:rsidRPr="001C1F8A" w:rsidRDefault="003A6945" w:rsidP="00FB21E6">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27/18, Case No. 12.127. Merits. </w:t>
      </w:r>
      <w:proofErr w:type="spellStart"/>
      <w:r w:rsidRPr="001C1F8A">
        <w:rPr>
          <w:rFonts w:ascii="Cambria" w:hAnsi="Cambria"/>
          <w:sz w:val="16"/>
          <w:szCs w:val="16"/>
        </w:rPr>
        <w:t>Vladimiro</w:t>
      </w:r>
      <w:proofErr w:type="spellEnd"/>
      <w:r w:rsidRPr="001C1F8A">
        <w:rPr>
          <w:rFonts w:ascii="Cambria" w:hAnsi="Cambria"/>
          <w:sz w:val="16"/>
          <w:szCs w:val="16"/>
        </w:rPr>
        <w:t xml:space="preserve"> Roca </w:t>
      </w:r>
      <w:proofErr w:type="spellStart"/>
      <w:r w:rsidRPr="001C1F8A">
        <w:rPr>
          <w:rFonts w:ascii="Cambria" w:hAnsi="Cambria"/>
          <w:sz w:val="16"/>
          <w:szCs w:val="16"/>
        </w:rPr>
        <w:t>Antúnez</w:t>
      </w:r>
      <w:proofErr w:type="spellEnd"/>
      <w:r w:rsidRPr="001C1F8A">
        <w:rPr>
          <w:rFonts w:ascii="Cambria" w:hAnsi="Cambria"/>
          <w:sz w:val="16"/>
          <w:szCs w:val="16"/>
        </w:rPr>
        <w:t xml:space="preserve"> et al. Cuba. February 24, 2018, para. 144.</w:t>
      </w:r>
    </w:p>
  </w:footnote>
  <w:footnote w:id="151">
    <w:p w14:paraId="44D322C3" w14:textId="262EF1C2" w:rsidR="003A6945" w:rsidRPr="001C1F8A" w:rsidRDefault="003A6945" w:rsidP="00F35B24">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w:t>
      </w:r>
      <w:r w:rsidRPr="001C1F8A">
        <w:rPr>
          <w:rFonts w:ascii="Cambria" w:hAnsi="Cambria"/>
          <w:i/>
          <w:sz w:val="16"/>
          <w:szCs w:val="16"/>
        </w:rPr>
        <w:t>Report on the Human Rights of Persons Deprived of Liberty in the Americas</w:t>
      </w:r>
      <w:r w:rsidRPr="001C1F8A">
        <w:rPr>
          <w:rFonts w:ascii="Cambria" w:hAnsi="Cambria"/>
          <w:iCs/>
          <w:sz w:val="16"/>
          <w:szCs w:val="16"/>
        </w:rPr>
        <w:t xml:space="preserve"> (</w:t>
      </w:r>
      <w:r w:rsidRPr="001C1F8A">
        <w:rPr>
          <w:rFonts w:ascii="Cambria" w:hAnsi="Cambria"/>
          <w:sz w:val="16"/>
          <w:szCs w:val="16"/>
        </w:rPr>
        <w:t xml:space="preserve">2011), para. 50. This principle was first developed by the Inter-American Court of Human Rights in </w:t>
      </w:r>
      <w:proofErr w:type="spellStart"/>
      <w:r w:rsidRPr="001C1F8A">
        <w:rPr>
          <w:rFonts w:ascii="Cambria" w:hAnsi="Cambria"/>
          <w:i/>
          <w:sz w:val="16"/>
          <w:szCs w:val="16"/>
        </w:rPr>
        <w:t>Neira</w:t>
      </w:r>
      <w:proofErr w:type="spellEnd"/>
      <w:r w:rsidRPr="001C1F8A">
        <w:rPr>
          <w:rFonts w:ascii="Cambria" w:hAnsi="Cambria"/>
          <w:i/>
          <w:sz w:val="16"/>
          <w:szCs w:val="16"/>
        </w:rPr>
        <w:t xml:space="preserve"> </w:t>
      </w:r>
      <w:proofErr w:type="spellStart"/>
      <w:r w:rsidRPr="001C1F8A">
        <w:rPr>
          <w:rFonts w:ascii="Cambria" w:hAnsi="Cambria"/>
          <w:i/>
          <w:sz w:val="16"/>
          <w:szCs w:val="16"/>
        </w:rPr>
        <w:t>Alegría</w:t>
      </w:r>
      <w:proofErr w:type="spellEnd"/>
      <w:r w:rsidRPr="001C1F8A">
        <w:rPr>
          <w:rFonts w:ascii="Cambria" w:hAnsi="Cambria"/>
          <w:i/>
          <w:sz w:val="16"/>
          <w:szCs w:val="16"/>
        </w:rPr>
        <w:t xml:space="preserve"> v. Peru </w:t>
      </w:r>
      <w:r w:rsidRPr="001C1F8A">
        <w:rPr>
          <w:rFonts w:ascii="Cambria" w:hAnsi="Cambria"/>
          <w:sz w:val="16"/>
          <w:szCs w:val="16"/>
        </w:rPr>
        <w:t>and further developed in later cases. In the same vein, the Principles and Best Practices on the Protection of Persons Deprived of Liberty in the Americas establishes that "</w:t>
      </w:r>
      <w:r w:rsidRPr="001C1F8A">
        <w:t xml:space="preserve"> </w:t>
      </w:r>
      <w:r w:rsidRPr="001C1F8A">
        <w:rPr>
          <w:rFonts w:ascii="Cambria" w:hAnsi="Cambria"/>
          <w:sz w:val="16"/>
          <w:szCs w:val="16"/>
        </w:rPr>
        <w:t>All persons subject to the jurisdiction of any Member State of the Organization of American States shall be treated humanely, with unconditional respect for their inherent dignity, fundamental rights and guarantees [...] taking into account the special position of the States as guarantors regarding persons deprived of liberty, their life and personal integrity shall be respected and ensured, and they shall be afforded minimum conditions compatible with their dignity” (Principle I).</w:t>
      </w:r>
    </w:p>
  </w:footnote>
  <w:footnote w:id="152">
    <w:p w14:paraId="51191D89" w14:textId="77777777" w:rsidR="003A6945" w:rsidRPr="001C1F8A" w:rsidRDefault="003A6945" w:rsidP="00A44F24">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i/>
          <w:sz w:val="16"/>
          <w:szCs w:val="16"/>
        </w:rPr>
        <w:t xml:space="preserve"> </w:t>
      </w:r>
      <w:r w:rsidRPr="001C1F8A">
        <w:rPr>
          <w:rFonts w:ascii="Cambria" w:hAnsi="Cambria"/>
          <w:sz w:val="16"/>
          <w:szCs w:val="16"/>
        </w:rPr>
        <w:t xml:space="preserve"> IACHR, Merits Report No. 41/99, </w:t>
      </w:r>
      <w:r w:rsidRPr="001C1F8A">
        <w:rPr>
          <w:rFonts w:ascii="Cambria" w:hAnsi="Cambria"/>
          <w:i/>
          <w:sz w:val="16"/>
          <w:szCs w:val="16"/>
        </w:rPr>
        <w:t>Minors in Detention</w:t>
      </w:r>
      <w:r w:rsidRPr="001C1F8A">
        <w:rPr>
          <w:rFonts w:ascii="Cambria" w:hAnsi="Cambria"/>
          <w:sz w:val="16"/>
          <w:szCs w:val="16"/>
        </w:rPr>
        <w:t xml:space="preserve">, Honduras, March 10, 1999, para. 135; IACHR, </w:t>
      </w:r>
      <w:r w:rsidRPr="001C1F8A">
        <w:rPr>
          <w:rFonts w:ascii="Cambria" w:hAnsi="Cambria"/>
          <w:i/>
          <w:sz w:val="16"/>
          <w:szCs w:val="16"/>
        </w:rPr>
        <w:t xml:space="preserve">Special Report on the Situation of Human Rights in </w:t>
      </w:r>
      <w:proofErr w:type="spellStart"/>
      <w:r w:rsidRPr="001C1F8A">
        <w:rPr>
          <w:rFonts w:ascii="Cambria" w:hAnsi="Cambria"/>
          <w:i/>
          <w:sz w:val="16"/>
          <w:szCs w:val="16"/>
        </w:rPr>
        <w:t>Challapalca</w:t>
      </w:r>
      <w:proofErr w:type="spellEnd"/>
      <w:r w:rsidRPr="001C1F8A">
        <w:rPr>
          <w:rFonts w:ascii="Cambria" w:hAnsi="Cambria"/>
          <w:i/>
          <w:sz w:val="16"/>
          <w:szCs w:val="16"/>
        </w:rPr>
        <w:t xml:space="preserve"> Prison</w:t>
      </w:r>
      <w:r w:rsidRPr="001C1F8A">
        <w:rPr>
          <w:rFonts w:ascii="Cambria" w:hAnsi="Cambria"/>
          <w:sz w:val="16"/>
          <w:szCs w:val="16"/>
        </w:rPr>
        <w:t>, Peru, para. 113.</w:t>
      </w:r>
    </w:p>
  </w:footnote>
  <w:footnote w:id="153">
    <w:p w14:paraId="54EA1BB6" w14:textId="5AA9A606" w:rsidR="003A6945" w:rsidRPr="001C1F8A" w:rsidRDefault="003A6945" w:rsidP="001708E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i/>
          <w:sz w:val="16"/>
          <w:szCs w:val="16"/>
        </w:rPr>
        <w:t xml:space="preserve"> </w:t>
      </w:r>
      <w:r w:rsidRPr="001C1F8A">
        <w:rPr>
          <w:rFonts w:ascii="Cambria" w:hAnsi="Cambria"/>
          <w:sz w:val="16"/>
          <w:szCs w:val="16"/>
        </w:rPr>
        <w:t xml:space="preserve"> IACHR, </w:t>
      </w:r>
      <w:r w:rsidRPr="001C1F8A">
        <w:rPr>
          <w:rFonts w:ascii="Cambria" w:hAnsi="Cambria"/>
          <w:i/>
          <w:sz w:val="16"/>
          <w:szCs w:val="16"/>
        </w:rPr>
        <w:t>Report on the Human Rights of Persons Deprived of Liberty in the Americas</w:t>
      </w:r>
      <w:r w:rsidRPr="001C1F8A">
        <w:rPr>
          <w:rFonts w:ascii="Cambria" w:hAnsi="Cambria"/>
          <w:iCs/>
          <w:sz w:val="16"/>
          <w:szCs w:val="16"/>
        </w:rPr>
        <w:t xml:space="preserve"> (</w:t>
      </w:r>
      <w:r w:rsidRPr="001C1F8A">
        <w:rPr>
          <w:rFonts w:ascii="Cambria" w:hAnsi="Cambria"/>
          <w:sz w:val="16"/>
          <w:szCs w:val="16"/>
        </w:rPr>
        <w:t xml:space="preserve">2011), para. 57; </w:t>
      </w:r>
      <w:r w:rsidRPr="001C1F8A">
        <w:rPr>
          <w:rFonts w:ascii="Cambria" w:hAnsi="Cambria"/>
          <w:i/>
          <w:sz w:val="16"/>
          <w:szCs w:val="16"/>
        </w:rPr>
        <w:t xml:space="preserve">see also </w:t>
      </w:r>
      <w:r w:rsidRPr="001C1F8A">
        <w:rPr>
          <w:rFonts w:ascii="Cambria" w:hAnsi="Cambria"/>
          <w:sz w:val="16"/>
          <w:szCs w:val="16"/>
        </w:rPr>
        <w:t>para. 349.</w:t>
      </w:r>
    </w:p>
  </w:footnote>
  <w:footnote w:id="154">
    <w:p w14:paraId="616EF882" w14:textId="77777777" w:rsidR="003A6945" w:rsidRPr="001C1F8A" w:rsidRDefault="003A6945" w:rsidP="001708E5">
      <w:pPr>
        <w:pBdr>
          <w:top w:val="none" w:sz="0" w:space="0" w:color="auto"/>
          <w:left w:val="none" w:sz="0" w:space="0" w:color="auto"/>
          <w:bottom w:val="none" w:sz="0" w:space="0" w:color="auto"/>
          <w:right w:val="none" w:sz="0" w:space="0" w:color="auto"/>
        </w:pBdr>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IACHR. Report No. 29/20. Case 12.865. Merits (Publication). Djamel </w:t>
      </w:r>
      <w:proofErr w:type="spellStart"/>
      <w:r w:rsidRPr="001C1F8A">
        <w:rPr>
          <w:rFonts w:ascii="Cambria" w:hAnsi="Cambria"/>
          <w:sz w:val="16"/>
          <w:szCs w:val="16"/>
          <w:lang w:val="en-US"/>
        </w:rPr>
        <w:t>Ameziane</w:t>
      </w:r>
      <w:proofErr w:type="spellEnd"/>
      <w:r w:rsidRPr="001C1F8A">
        <w:rPr>
          <w:rFonts w:ascii="Cambria" w:hAnsi="Cambria"/>
          <w:sz w:val="16"/>
          <w:szCs w:val="16"/>
          <w:lang w:val="en-US"/>
        </w:rPr>
        <w:t xml:space="preserve">. United States of America, April 22, 2020, para. 143. </w:t>
      </w:r>
    </w:p>
  </w:footnote>
  <w:footnote w:id="155">
    <w:p w14:paraId="79407F45" w14:textId="77777777" w:rsidR="003A6945" w:rsidRPr="001C1F8A" w:rsidRDefault="003A6945" w:rsidP="001708E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12/14, Case 12.231. Merits (Publication). Peter Cash. Commonwealth of the Bahamas. April 2, 2014, para. 98. </w:t>
      </w:r>
    </w:p>
  </w:footnote>
  <w:footnote w:id="156">
    <w:p w14:paraId="62468A59" w14:textId="77777777" w:rsidR="003A6945" w:rsidRPr="001C1F8A" w:rsidRDefault="003A6945" w:rsidP="00970E7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Resolution 1/08. Principles and Best Practices on the Protection of Persons Deprived of Liberty in the Americas, 31 March 2008. </w:t>
      </w:r>
    </w:p>
  </w:footnote>
  <w:footnote w:id="157">
    <w:p w14:paraId="47366594" w14:textId="43F71F02" w:rsidR="003A6945" w:rsidRPr="001C1F8A" w:rsidRDefault="003A6945" w:rsidP="007B681D">
      <w:pPr>
        <w:pStyle w:val="Heading3"/>
      </w:pPr>
      <w:r w:rsidRPr="001C1F8A">
        <w:rPr>
          <w:rFonts w:eastAsiaTheme="minorEastAsia"/>
          <w:vertAlign w:val="superscript"/>
        </w:rPr>
        <w:footnoteRef/>
      </w:r>
      <w:r w:rsidRPr="001C1F8A">
        <w:t xml:space="preserve"> IACHR. Extension of PM 259/02-2013, Detainees at the U.S. Military Base at Guantanamo Bay, United States, July 23, 2013. </w:t>
      </w:r>
    </w:p>
  </w:footnote>
  <w:footnote w:id="158">
    <w:p w14:paraId="03BB98B8" w14:textId="73119BF4"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International Committee of the Red Cross (ICRC). </w:t>
      </w:r>
      <w:hyperlink r:id="rId54" w:history="1">
        <w:r w:rsidRPr="001C1F8A">
          <w:rPr>
            <w:rStyle w:val="Hyperlink"/>
            <w:rFonts w:ascii="Cambria" w:hAnsi="Cambria"/>
            <w:sz w:val="16"/>
            <w:szCs w:val="16"/>
          </w:rPr>
          <w:t>Protecting People Deprived of Their Liberty</w:t>
        </w:r>
      </w:hyperlink>
      <w:r w:rsidRPr="001C1F8A">
        <w:rPr>
          <w:rFonts w:ascii="Cambria" w:hAnsi="Cambria"/>
          <w:sz w:val="16"/>
          <w:szCs w:val="16"/>
        </w:rPr>
        <w:t>. December 2016, p. 42.</w:t>
      </w:r>
      <w:r>
        <w:rPr>
          <w:rFonts w:ascii="Cambria" w:hAnsi="Cambria"/>
          <w:sz w:val="16"/>
          <w:szCs w:val="16"/>
        </w:rPr>
        <w:t xml:space="preserve"> </w:t>
      </w:r>
      <w:r w:rsidRPr="00CB52BD">
        <w:rPr>
          <w:rFonts w:ascii="Cambria" w:hAnsi="Cambria"/>
          <w:sz w:val="16"/>
          <w:szCs w:val="16"/>
        </w:rPr>
        <w:t xml:space="preserve">See also, for example, I/A Court HR. </w:t>
      </w:r>
      <w:r w:rsidRPr="00CB52BD">
        <w:rPr>
          <w:rFonts w:ascii="Cambria" w:hAnsi="Cambria"/>
          <w:i/>
          <w:iCs/>
          <w:sz w:val="16"/>
          <w:szCs w:val="16"/>
        </w:rPr>
        <w:t>Case of J. v. Peru</w:t>
      </w:r>
      <w:r w:rsidRPr="00CB52BD">
        <w:rPr>
          <w:rFonts w:ascii="Cambria" w:hAnsi="Cambria"/>
          <w:sz w:val="16"/>
          <w:szCs w:val="16"/>
        </w:rPr>
        <w:t>. Preliminary Objection, Merits, Reparations</w:t>
      </w:r>
      <w:r>
        <w:rPr>
          <w:rFonts w:ascii="Cambria" w:hAnsi="Cambria"/>
          <w:sz w:val="16"/>
          <w:szCs w:val="16"/>
        </w:rPr>
        <w:t>,</w:t>
      </w:r>
      <w:r w:rsidRPr="00CB52BD">
        <w:rPr>
          <w:rFonts w:ascii="Cambria" w:hAnsi="Cambria"/>
          <w:sz w:val="16"/>
          <w:szCs w:val="16"/>
        </w:rPr>
        <w:t xml:space="preserve"> and Costs. Judgment of November 27, 2013. Series C No. 275; </w:t>
      </w:r>
      <w:r w:rsidRPr="00CB52BD">
        <w:rPr>
          <w:rFonts w:ascii="Cambria" w:hAnsi="Cambria"/>
          <w:i/>
          <w:iCs/>
          <w:sz w:val="16"/>
          <w:szCs w:val="16"/>
        </w:rPr>
        <w:t xml:space="preserve">Case of Espinoza </w:t>
      </w:r>
      <w:proofErr w:type="spellStart"/>
      <w:r w:rsidRPr="00CB52BD">
        <w:rPr>
          <w:rFonts w:ascii="Cambria" w:hAnsi="Cambria"/>
          <w:i/>
          <w:iCs/>
          <w:sz w:val="16"/>
          <w:szCs w:val="16"/>
        </w:rPr>
        <w:t>Gonzáles</w:t>
      </w:r>
      <w:proofErr w:type="spellEnd"/>
      <w:r w:rsidRPr="00CB52BD">
        <w:rPr>
          <w:rFonts w:ascii="Cambria" w:hAnsi="Cambria"/>
          <w:i/>
          <w:iCs/>
          <w:sz w:val="16"/>
          <w:szCs w:val="16"/>
        </w:rPr>
        <w:t xml:space="preserve"> v. Peru</w:t>
      </w:r>
      <w:r w:rsidRPr="00CB52BD">
        <w:rPr>
          <w:rFonts w:ascii="Cambria" w:hAnsi="Cambria"/>
          <w:sz w:val="16"/>
          <w:szCs w:val="16"/>
        </w:rPr>
        <w:t>. Preliminary Objections, Merits, Reparations</w:t>
      </w:r>
      <w:r>
        <w:rPr>
          <w:rFonts w:ascii="Cambria" w:hAnsi="Cambria"/>
          <w:sz w:val="16"/>
          <w:szCs w:val="16"/>
        </w:rPr>
        <w:t>,</w:t>
      </w:r>
      <w:r w:rsidRPr="00CB52BD">
        <w:rPr>
          <w:rFonts w:ascii="Cambria" w:hAnsi="Cambria"/>
          <w:sz w:val="16"/>
          <w:szCs w:val="16"/>
        </w:rPr>
        <w:t xml:space="preserve"> and Costs. Judgment of November 20, 2014. Series C No. 289, and </w:t>
      </w:r>
      <w:r w:rsidRPr="00FE46D3">
        <w:rPr>
          <w:rFonts w:ascii="Cambria" w:hAnsi="Cambria"/>
          <w:i/>
          <w:iCs/>
          <w:sz w:val="16"/>
          <w:szCs w:val="16"/>
        </w:rPr>
        <w:t xml:space="preserve">Case of Women Victims of Sexual Torture in </w:t>
      </w:r>
      <w:proofErr w:type="spellStart"/>
      <w:r w:rsidRPr="00FE46D3">
        <w:rPr>
          <w:rFonts w:ascii="Cambria" w:hAnsi="Cambria"/>
          <w:i/>
          <w:iCs/>
          <w:sz w:val="16"/>
          <w:szCs w:val="16"/>
        </w:rPr>
        <w:t>Atenco</w:t>
      </w:r>
      <w:proofErr w:type="spellEnd"/>
      <w:r w:rsidRPr="00FE46D3">
        <w:rPr>
          <w:rFonts w:ascii="Cambria" w:hAnsi="Cambria"/>
          <w:i/>
          <w:iCs/>
          <w:sz w:val="16"/>
          <w:szCs w:val="16"/>
        </w:rPr>
        <w:t xml:space="preserve"> v. Mexico. </w:t>
      </w:r>
      <w:r w:rsidRPr="00FE46D3">
        <w:rPr>
          <w:rFonts w:ascii="Cambria" w:hAnsi="Cambria"/>
          <w:sz w:val="16"/>
          <w:szCs w:val="16"/>
        </w:rPr>
        <w:t>Preliminary Objection, Merits, Reparations and Costs. Judgment of November 28, 2018. Series C No. 371.</w:t>
      </w:r>
    </w:p>
  </w:footnote>
  <w:footnote w:id="159">
    <w:p w14:paraId="4EDE8669" w14:textId="6BE9924B"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55" w:history="1">
        <w:r w:rsidRPr="001C1F8A">
          <w:rPr>
            <w:rStyle w:val="Hyperlink"/>
            <w:rFonts w:ascii="Cambria" w:hAnsi="Cambria"/>
            <w:sz w:val="16"/>
            <w:szCs w:val="16"/>
          </w:rPr>
          <w:t>Principles and Best Practices on the Protection of Persons Deprived of Liberty in the Americas. 2008</w:t>
        </w:r>
      </w:hyperlink>
      <w:r w:rsidRPr="001C1F8A">
        <w:rPr>
          <w:rFonts w:ascii="Cambria" w:hAnsi="Cambria"/>
          <w:sz w:val="16"/>
          <w:szCs w:val="16"/>
        </w:rPr>
        <w:t>. Principle XX.</w:t>
      </w:r>
    </w:p>
  </w:footnote>
  <w:footnote w:id="160">
    <w:p w14:paraId="49D7537E" w14:textId="0D7C12CA"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56" w:history="1">
        <w:r w:rsidRPr="001C1F8A">
          <w:rPr>
            <w:rStyle w:val="Hyperlink"/>
            <w:rFonts w:ascii="Cambria" w:hAnsi="Cambria"/>
            <w:sz w:val="16"/>
            <w:szCs w:val="16"/>
          </w:rPr>
          <w:t>Principles and Best Practices on the Protection of Persons Deprived of Liberty in the Americas. 2008</w:t>
        </w:r>
      </w:hyperlink>
      <w:r w:rsidRPr="001C1F8A">
        <w:rPr>
          <w:rFonts w:ascii="Cambria" w:hAnsi="Cambria"/>
          <w:sz w:val="16"/>
          <w:szCs w:val="16"/>
        </w:rPr>
        <w:t>. Preamble.</w:t>
      </w:r>
    </w:p>
  </w:footnote>
  <w:footnote w:id="161">
    <w:p w14:paraId="64AAF172" w14:textId="7F79D193"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Style w:val="Hyperlink"/>
          <w:rFonts w:ascii="Cambria" w:hAnsi="Cambria"/>
          <w:sz w:val="16"/>
          <w:szCs w:val="16"/>
          <w:u w:val="none"/>
        </w:rPr>
        <w:t xml:space="preserve"> </w:t>
      </w:r>
      <w:r w:rsidRPr="001C1F8A">
        <w:rPr>
          <w:rFonts w:ascii="Cambria" w:hAnsi="Cambria"/>
          <w:sz w:val="16"/>
          <w:szCs w:val="16"/>
        </w:rPr>
        <w:t xml:space="preserve">Committee on the Elimination of Discrimination against Women (CEDAW). </w:t>
      </w:r>
      <w:hyperlink r:id="rId57" w:history="1">
        <w:r w:rsidRPr="001C1F8A">
          <w:rPr>
            <w:rStyle w:val="Hyperlink"/>
            <w:rFonts w:ascii="Cambria" w:hAnsi="Cambria"/>
            <w:sz w:val="16"/>
            <w:szCs w:val="16"/>
          </w:rPr>
          <w:t>General Recommendation No. 35 "On gender-based violence against women, updating General Recommendation No. 19"</w:t>
        </w:r>
        <w:r w:rsidRPr="001C1F8A">
          <w:rPr>
            <w:rStyle w:val="Hyperlink"/>
            <w:rFonts w:ascii="Cambria" w:hAnsi="Cambria"/>
            <w:sz w:val="16"/>
            <w:szCs w:val="16"/>
            <w:u w:val="none"/>
          </w:rPr>
          <w:t xml:space="preserve">. </w:t>
        </w:r>
      </w:hyperlink>
      <w:r w:rsidRPr="001C1F8A">
        <w:rPr>
          <w:rFonts w:ascii="Cambria" w:hAnsi="Cambria"/>
          <w:sz w:val="16"/>
          <w:szCs w:val="16"/>
        </w:rPr>
        <w:t xml:space="preserve">CEDAW/C/GC/35. </w:t>
      </w:r>
      <w:r>
        <w:rPr>
          <w:rFonts w:ascii="Cambria" w:hAnsi="Cambria"/>
          <w:sz w:val="16"/>
          <w:szCs w:val="16"/>
        </w:rPr>
        <w:t xml:space="preserve">July 26, </w:t>
      </w:r>
      <w:r w:rsidRPr="001C1F8A">
        <w:rPr>
          <w:rFonts w:ascii="Cambria" w:hAnsi="Cambria"/>
          <w:sz w:val="16"/>
          <w:szCs w:val="16"/>
        </w:rPr>
        <w:t>2017, paras. 2, 21.</w:t>
      </w:r>
    </w:p>
  </w:footnote>
  <w:footnote w:id="162">
    <w:p w14:paraId="0CFD991B" w14:textId="3E1AAAAB" w:rsidR="003A6945" w:rsidRPr="001C1F8A" w:rsidRDefault="003A6945" w:rsidP="006A34D5">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1C1F8A">
        <w:rPr>
          <w:rFonts w:ascii="Cambria" w:hAnsi="Cambria"/>
          <w:sz w:val="16"/>
          <w:szCs w:val="16"/>
        </w:rPr>
        <w:t xml:space="preserve">Committee on the Elimination of Discrimination against Women (CEDAW). </w:t>
      </w:r>
      <w:hyperlink r:id="rId58" w:history="1">
        <w:r w:rsidRPr="001C1F8A">
          <w:rPr>
            <w:rStyle w:val="Hyperlink"/>
            <w:rFonts w:ascii="Cambria" w:hAnsi="Cambria"/>
            <w:sz w:val="16"/>
            <w:szCs w:val="16"/>
          </w:rPr>
          <w:t>General Recommendation No. 19 "Violence against women"</w:t>
        </w:r>
        <w:r w:rsidRPr="001C1F8A">
          <w:rPr>
            <w:rStyle w:val="Hyperlink"/>
            <w:rFonts w:ascii="Cambria" w:hAnsi="Cambria"/>
            <w:sz w:val="16"/>
            <w:szCs w:val="16"/>
            <w:u w:val="none"/>
          </w:rPr>
          <w:t xml:space="preserve">. </w:t>
        </w:r>
      </w:hyperlink>
      <w:r w:rsidRPr="001C1F8A">
        <w:rPr>
          <w:rFonts w:ascii="Cambria" w:hAnsi="Cambria"/>
          <w:sz w:val="16"/>
          <w:szCs w:val="16"/>
        </w:rPr>
        <w:t>Doc. HRI/GEN/1/Rev. 1 at 84 (199</w:t>
      </w:r>
      <w:r>
        <w:rPr>
          <w:rFonts w:ascii="Cambria" w:hAnsi="Cambria"/>
          <w:sz w:val="16"/>
          <w:szCs w:val="16"/>
        </w:rPr>
        <w:t>2</w:t>
      </w:r>
      <w:r w:rsidRPr="001C1F8A">
        <w:rPr>
          <w:rFonts w:ascii="Cambria" w:hAnsi="Cambria"/>
          <w:sz w:val="16"/>
          <w:szCs w:val="16"/>
        </w:rPr>
        <w:t>), para. 6</w:t>
      </w:r>
      <w:r>
        <w:rPr>
          <w:rFonts w:ascii="Cambria" w:hAnsi="Cambria"/>
          <w:sz w:val="16"/>
          <w:szCs w:val="16"/>
        </w:rPr>
        <w:t xml:space="preserve">; </w:t>
      </w:r>
      <w:r w:rsidRPr="008B24E1">
        <w:rPr>
          <w:rFonts w:ascii="Cambria" w:hAnsi="Cambria"/>
          <w:sz w:val="16"/>
          <w:szCs w:val="16"/>
        </w:rPr>
        <w:t>and General Recommendation No. 35 “On gender-based violence against women, updating general recommendation no. 19 ". CEDAW/C/GC/35. July 26, 2017, para. 1.</w:t>
      </w:r>
    </w:p>
  </w:footnote>
  <w:footnote w:id="163">
    <w:p w14:paraId="69F13BE0" w14:textId="4398392C" w:rsidR="003A6945" w:rsidRPr="001C1F8A" w:rsidRDefault="003A6945" w:rsidP="008712C8">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Pr>
          <w:rFonts w:ascii="Cambria" w:hAnsi="Cambria"/>
          <w:sz w:val="16"/>
          <w:szCs w:val="16"/>
        </w:rPr>
        <w:t xml:space="preserve"> </w:t>
      </w:r>
      <w:r w:rsidRPr="007C2B8C">
        <w:rPr>
          <w:rFonts w:ascii="Cambria" w:hAnsi="Cambria"/>
          <w:sz w:val="16"/>
          <w:szCs w:val="16"/>
        </w:rPr>
        <w:t xml:space="preserve">IACHR, Report No. 28/07, Cases 12.496-12.498, </w:t>
      </w:r>
      <w:r w:rsidRPr="007C2B8C">
        <w:rPr>
          <w:rFonts w:ascii="Cambria" w:hAnsi="Cambria"/>
          <w:i/>
          <w:iCs/>
          <w:sz w:val="16"/>
          <w:szCs w:val="16"/>
        </w:rPr>
        <w:t>Claudia Ivette González et al., (Mexico)</w:t>
      </w:r>
      <w:r w:rsidRPr="007C2B8C">
        <w:rPr>
          <w:rFonts w:ascii="Cambria" w:hAnsi="Cambria"/>
          <w:sz w:val="16"/>
          <w:szCs w:val="16"/>
        </w:rPr>
        <w:t xml:space="preserve">, March 9, 2007, and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 110.</w:t>
      </w:r>
    </w:p>
  </w:footnote>
  <w:footnote w:id="164">
    <w:p w14:paraId="48EFD98E" w14:textId="5F5C334E" w:rsidR="003A6945" w:rsidRPr="001C1F8A" w:rsidRDefault="003A6945" w:rsidP="008712C8">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B84D10">
        <w:rPr>
          <w:rFonts w:ascii="Cambria" w:hAnsi="Cambria"/>
          <w:sz w:val="16"/>
          <w:szCs w:val="16"/>
        </w:rPr>
        <w:t xml:space="preserve">I/A Court HR. Rights to freedom to organize, collective bargaining, and strike, and their relation to other rights, with a gender perspective (interpretation and scope of articles 13, 15, 16, 24, 25, and 26 in relation to articles 1(1) and 2 of the American Convention on Human Rights; articles 3, 6, 7, and 8 of the Protocol of San Salvador; articles 2, 3, 4, 5, and 6 of the Convention of </w:t>
      </w:r>
      <w:proofErr w:type="spellStart"/>
      <w:r w:rsidRPr="00B84D10">
        <w:rPr>
          <w:rFonts w:ascii="Cambria" w:hAnsi="Cambria"/>
          <w:sz w:val="16"/>
          <w:szCs w:val="16"/>
        </w:rPr>
        <w:t>Belém</w:t>
      </w:r>
      <w:proofErr w:type="spellEnd"/>
      <w:r w:rsidRPr="00B84D10">
        <w:rPr>
          <w:rFonts w:ascii="Cambria" w:hAnsi="Cambria"/>
          <w:sz w:val="16"/>
          <w:szCs w:val="16"/>
        </w:rPr>
        <w:t xml:space="preserve"> do Pará; articles 34, 44, and 45 of the Charter of the Organization of American States; and articles II, IV, XIV, XXI, and XXII of the American Declaration on the Rights and Duties of Man). Advisory Opinion OC-27/21 of May 5, 2021. Series A No. 27</w:t>
      </w:r>
      <w:r>
        <w:rPr>
          <w:rFonts w:ascii="Cambria" w:hAnsi="Cambria"/>
          <w:sz w:val="16"/>
          <w:szCs w:val="16"/>
        </w:rPr>
        <w:t>, para. 61;</w:t>
      </w:r>
      <w:r w:rsidRPr="00F67F1A">
        <w:rPr>
          <w:rFonts w:ascii="Cambria" w:hAnsi="Cambria"/>
          <w:sz w:val="16"/>
          <w:szCs w:val="16"/>
        </w:rPr>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 10</w:t>
      </w:r>
      <w:r>
        <w:rPr>
          <w:rFonts w:ascii="Cambria" w:hAnsi="Cambria"/>
          <w:sz w:val="16"/>
          <w:szCs w:val="16"/>
        </w:rPr>
        <w:t>7</w:t>
      </w:r>
      <w:r w:rsidRPr="007C2B8C">
        <w:rPr>
          <w:rFonts w:ascii="Cambria" w:hAnsi="Cambria"/>
          <w:sz w:val="16"/>
          <w:szCs w:val="16"/>
        </w:rPr>
        <w:t>.</w:t>
      </w:r>
    </w:p>
  </w:footnote>
  <w:footnote w:id="165">
    <w:p w14:paraId="7EA8FFAF" w14:textId="18C4A697" w:rsidR="003A6945" w:rsidRPr="001C1F8A" w:rsidRDefault="003A6945" w:rsidP="00FF6462">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 1</w:t>
      </w:r>
      <w:r>
        <w:rPr>
          <w:rFonts w:ascii="Cambria" w:hAnsi="Cambria"/>
          <w:sz w:val="16"/>
          <w:szCs w:val="16"/>
        </w:rPr>
        <w:t>10</w:t>
      </w:r>
      <w:r w:rsidRPr="007C2B8C">
        <w:rPr>
          <w:rFonts w:ascii="Cambria" w:hAnsi="Cambria"/>
          <w:sz w:val="16"/>
          <w:szCs w:val="16"/>
        </w:rPr>
        <w:t>.</w:t>
      </w:r>
    </w:p>
  </w:footnote>
  <w:footnote w:id="166">
    <w:p w14:paraId="145BCF67" w14:textId="01757BE5" w:rsidR="003A6945" w:rsidRPr="001C1F8A" w:rsidRDefault="003A6945" w:rsidP="00E016EF">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w:t>
      </w:r>
      <w:r>
        <w:rPr>
          <w:rFonts w:ascii="Cambria" w:hAnsi="Cambria"/>
          <w:sz w:val="16"/>
          <w:szCs w:val="16"/>
        </w:rPr>
        <w:t>s</w:t>
      </w:r>
      <w:r w:rsidRPr="007C2B8C">
        <w:rPr>
          <w:rFonts w:ascii="Cambria" w:hAnsi="Cambria"/>
          <w:sz w:val="16"/>
          <w:szCs w:val="16"/>
        </w:rPr>
        <w:t>. 1</w:t>
      </w:r>
      <w:r>
        <w:rPr>
          <w:rFonts w:ascii="Cambria" w:hAnsi="Cambria"/>
          <w:sz w:val="16"/>
          <w:szCs w:val="16"/>
        </w:rPr>
        <w:t xml:space="preserve">23 and 124; </w:t>
      </w:r>
      <w:r w:rsidRPr="009D7251">
        <w:rPr>
          <w:rFonts w:ascii="Cambria" w:hAnsi="Cambria"/>
          <w:sz w:val="16"/>
          <w:szCs w:val="16"/>
        </w:rPr>
        <w:t xml:space="preserve">In this sense, the inter-American system has the Inter-American Convention on the Prevention, Punishment, and Eradication of Violence against Women (“Convention of </w:t>
      </w:r>
      <w:proofErr w:type="spellStart"/>
      <w:r w:rsidRPr="009D7251">
        <w:rPr>
          <w:rFonts w:ascii="Cambria" w:hAnsi="Cambria"/>
          <w:sz w:val="16"/>
          <w:szCs w:val="16"/>
        </w:rPr>
        <w:t>Belém</w:t>
      </w:r>
      <w:proofErr w:type="spellEnd"/>
      <w:r w:rsidRPr="009D7251">
        <w:rPr>
          <w:rFonts w:ascii="Cambria" w:hAnsi="Cambria"/>
          <w:sz w:val="16"/>
          <w:szCs w:val="16"/>
        </w:rPr>
        <w:t xml:space="preserve"> do Pará”)</w:t>
      </w:r>
      <w:r>
        <w:rPr>
          <w:rFonts w:ascii="Cambria" w:hAnsi="Cambria"/>
          <w:sz w:val="16"/>
          <w:szCs w:val="16"/>
        </w:rPr>
        <w:t xml:space="preserve"> </w:t>
      </w:r>
      <w:r w:rsidRPr="009D7251">
        <w:rPr>
          <w:rFonts w:ascii="Cambria" w:hAnsi="Cambria"/>
          <w:sz w:val="16"/>
          <w:szCs w:val="16"/>
        </w:rPr>
        <w:t>adopted on June 9, 1994, in force since March 5, 1995. This Convention has been ratified by 32 of the 35 States parties to the OAS. Cuba is not a State party to this Convention.</w:t>
      </w:r>
    </w:p>
  </w:footnote>
  <w:footnote w:id="167">
    <w:p w14:paraId="385BE7C9" w14:textId="4B908F32" w:rsidR="003A6945" w:rsidRPr="001C1F8A" w:rsidRDefault="003A6945" w:rsidP="00E016EF">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204153">
        <w:rPr>
          <w:rFonts w:ascii="Cambria" w:hAnsi="Cambria"/>
          <w:sz w:val="16"/>
          <w:szCs w:val="16"/>
        </w:rPr>
        <w:t>Committee for the Elimination of Discrimination against Women (CEDAW). General Recommendation No. 35 “On gender-based violence against women, updating general recommendation no. 19 ". CEDAW/C/GC/35. July 26, 2017, para. 2.</w:t>
      </w:r>
    </w:p>
  </w:footnote>
  <w:footnote w:id="168">
    <w:p w14:paraId="59F733E6" w14:textId="1FB9A19B" w:rsidR="003A6945" w:rsidRPr="001C1F8A" w:rsidRDefault="003A6945" w:rsidP="00A56BAC">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w:t>
      </w:r>
      <w:r>
        <w:rPr>
          <w:rFonts w:ascii="Cambria" w:hAnsi="Cambria"/>
          <w:sz w:val="16"/>
          <w:szCs w:val="16"/>
        </w:rPr>
        <w:t>. 118.</w:t>
      </w:r>
    </w:p>
  </w:footnote>
  <w:footnote w:id="169">
    <w:p w14:paraId="52404121" w14:textId="739ABB4F" w:rsidR="003A6945" w:rsidRPr="001C1F8A" w:rsidRDefault="003A6945" w:rsidP="008A24F5">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Pr>
          <w:rFonts w:ascii="Cambria" w:hAnsi="Cambria"/>
          <w:sz w:val="16"/>
          <w:szCs w:val="16"/>
        </w:rPr>
        <w:t xml:space="preserve"> </w:t>
      </w:r>
      <w:r w:rsidRPr="00213647">
        <w:rPr>
          <w:rFonts w:ascii="Cambria" w:hAnsi="Cambria"/>
          <w:sz w:val="16"/>
          <w:szCs w:val="16"/>
        </w:rPr>
        <w:t>See, for example, Resolution of the United Nations General Assembly, Human Rights Council, Accelerating efforts to eliminate all forms of violence against women: ensuring due diligence in prevention, A/HRC/14/L. 9/ Rev.1, June 16, 2010; Resolution of the United Nations General Assembly, Intensification of efforts to eliminate all forms of violence against women, A/RES/64/137, February 11, 2010 and A/RES/63/155, January 30</w:t>
      </w:r>
      <w:r>
        <w:rPr>
          <w:rFonts w:ascii="Cambria" w:hAnsi="Cambria"/>
          <w:sz w:val="16"/>
          <w:szCs w:val="16"/>
        </w:rPr>
        <w:t xml:space="preserve">, </w:t>
      </w:r>
      <w:r w:rsidRPr="00213647">
        <w:rPr>
          <w:rFonts w:ascii="Cambria" w:hAnsi="Cambria"/>
          <w:sz w:val="16"/>
          <w:szCs w:val="16"/>
        </w:rPr>
        <w:t>2009; United Nations, Declaration on the Elimination of Violence against Women, General Assembly Resolution 48/104, December 20, 1993, A/RES/48/104, February 23, 1994; United Nations, Beijing Declaration and Platform for Action, Fourth World Conference on Women, September 15, 1995, A/CONF.177/20 (1995) and A/CONF.177/20/Add.1 (1995); CEDAW, General Recommendation 19, Violence against Women (11th Period of Sessions 1992), UN Doc.</w:t>
      </w:r>
      <w:r>
        <w:rPr>
          <w:rFonts w:ascii="Cambria" w:hAnsi="Cambria"/>
          <w:sz w:val="16"/>
          <w:szCs w:val="16"/>
        </w:rPr>
        <w:t xml:space="preserve"> </w:t>
      </w:r>
      <w:r w:rsidRPr="00213647">
        <w:rPr>
          <w:rFonts w:ascii="Cambria" w:hAnsi="Cambria"/>
          <w:sz w:val="16"/>
          <w:szCs w:val="16"/>
        </w:rPr>
        <w:t>A/47/38 (1993).</w:t>
      </w:r>
      <w:r w:rsidRPr="00B84D10">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w:t>
      </w:r>
      <w:r>
        <w:rPr>
          <w:rFonts w:ascii="Cambria" w:hAnsi="Cambria"/>
          <w:sz w:val="16"/>
          <w:szCs w:val="16"/>
        </w:rPr>
        <w:t>. 129.</w:t>
      </w:r>
    </w:p>
  </w:footnote>
  <w:footnote w:id="170">
    <w:p w14:paraId="67EAB833" w14:textId="375C4F59" w:rsidR="003A6945" w:rsidRPr="001C1F8A" w:rsidRDefault="003A6945" w:rsidP="00EF5802">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AD5B86">
        <w:rPr>
          <w:rFonts w:ascii="Cambria" w:hAnsi="Cambria"/>
          <w:sz w:val="16"/>
          <w:szCs w:val="16"/>
        </w:rPr>
        <w:t xml:space="preserve">UN. CEDAW Committee, Communication 2/2003, </w:t>
      </w:r>
      <w:r w:rsidRPr="00AD5B86">
        <w:rPr>
          <w:rFonts w:ascii="Cambria" w:hAnsi="Cambria"/>
          <w:i/>
          <w:iCs/>
          <w:sz w:val="16"/>
          <w:szCs w:val="16"/>
        </w:rPr>
        <w:t>Mrs. A.T. v. Hungary</w:t>
      </w:r>
      <w:r w:rsidRPr="00AD5B86">
        <w:rPr>
          <w:rFonts w:ascii="Cambria" w:hAnsi="Cambria"/>
          <w:sz w:val="16"/>
          <w:szCs w:val="16"/>
        </w:rPr>
        <w:t xml:space="preserve">, Jan 26, 2005; European Court of Human Rights, </w:t>
      </w:r>
      <w:r w:rsidRPr="00AD5B86">
        <w:rPr>
          <w:rFonts w:ascii="Cambria" w:hAnsi="Cambria"/>
          <w:i/>
          <w:iCs/>
          <w:sz w:val="16"/>
          <w:szCs w:val="16"/>
        </w:rPr>
        <w:t xml:space="preserve">Case of </w:t>
      </w:r>
      <w:proofErr w:type="spellStart"/>
      <w:r w:rsidRPr="00AD5B86">
        <w:rPr>
          <w:rFonts w:ascii="Cambria" w:hAnsi="Cambria"/>
          <w:i/>
          <w:iCs/>
          <w:sz w:val="16"/>
          <w:szCs w:val="16"/>
        </w:rPr>
        <w:t>Opuz</w:t>
      </w:r>
      <w:proofErr w:type="spellEnd"/>
      <w:r w:rsidRPr="00AD5B86">
        <w:rPr>
          <w:rFonts w:ascii="Cambria" w:hAnsi="Cambria"/>
          <w:i/>
          <w:iCs/>
          <w:sz w:val="16"/>
          <w:szCs w:val="16"/>
        </w:rPr>
        <w:t xml:space="preserve"> v. Turkey</w:t>
      </w:r>
      <w:r w:rsidRPr="00AD5B86">
        <w:rPr>
          <w:rFonts w:ascii="Cambria" w:hAnsi="Cambria"/>
          <w:sz w:val="16"/>
          <w:szCs w:val="16"/>
        </w:rPr>
        <w:t>, Petition No. 33401/02, June 9, 2009;</w:t>
      </w:r>
      <w:r>
        <w:rPr>
          <w:rFonts w:ascii="Cambria" w:hAnsi="Cambria"/>
          <w:sz w:val="16"/>
          <w:szCs w:val="16"/>
        </w:rPr>
        <w:t xml:space="preserve"> I</w:t>
      </w:r>
      <w:r w:rsidRPr="007C2B8C">
        <w:rPr>
          <w:rFonts w:ascii="Cambria" w:hAnsi="Cambria"/>
          <w:sz w:val="16"/>
          <w:szCs w:val="16"/>
        </w:rPr>
        <w:t xml:space="preserve">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w:t>
      </w:r>
      <w:r>
        <w:rPr>
          <w:rFonts w:ascii="Cambria" w:hAnsi="Cambria"/>
          <w:sz w:val="16"/>
          <w:szCs w:val="16"/>
        </w:rPr>
        <w:t>. 111.</w:t>
      </w:r>
    </w:p>
  </w:footnote>
  <w:footnote w:id="171">
    <w:p w14:paraId="5959AD59" w14:textId="79CD361F" w:rsidR="003A6945" w:rsidRPr="001C1F8A" w:rsidRDefault="003A6945" w:rsidP="007C626E">
      <w:pPr>
        <w:pStyle w:val="FootnoteText"/>
        <w:jc w:val="both"/>
        <w:rPr>
          <w:rFonts w:ascii="Cambria" w:hAnsi="Cambria"/>
          <w:sz w:val="16"/>
          <w:szCs w:val="16"/>
        </w:rPr>
      </w:pPr>
      <w:r w:rsidRPr="001C1F8A">
        <w:rPr>
          <w:rFonts w:ascii="Cambria" w:hAnsi="Cambria"/>
          <w:sz w:val="16"/>
          <w:szCs w:val="16"/>
        </w:rPr>
        <w:t xml:space="preserve"> </w:t>
      </w:r>
      <w:r w:rsidRPr="001C1F8A">
        <w:rPr>
          <w:rStyle w:val="FootnoteReference"/>
          <w:rFonts w:ascii="Cambria" w:hAnsi="Cambria"/>
          <w:sz w:val="16"/>
          <w:szCs w:val="16"/>
        </w:rPr>
        <w:footnoteRef/>
      </w:r>
      <w:r w:rsidRPr="00B84D10">
        <w:t xml:space="preserve"> </w:t>
      </w:r>
      <w:r w:rsidRPr="007C2B8C">
        <w:rPr>
          <w:rFonts w:ascii="Cambria" w:hAnsi="Cambria"/>
          <w:sz w:val="16"/>
          <w:szCs w:val="16"/>
        </w:rPr>
        <w:t xml:space="preserve">IACHR, Report No. 80/11. Case No. 12.626. </w:t>
      </w:r>
      <w:r>
        <w:rPr>
          <w:rFonts w:ascii="Cambria" w:hAnsi="Cambria"/>
          <w:sz w:val="16"/>
          <w:szCs w:val="16"/>
        </w:rPr>
        <w:t>Merits</w:t>
      </w:r>
      <w:r w:rsidRPr="007C2B8C">
        <w:rPr>
          <w:rFonts w:ascii="Cambria" w:hAnsi="Cambria"/>
          <w:sz w:val="16"/>
          <w:szCs w:val="16"/>
        </w:rPr>
        <w:t xml:space="preserve">. </w:t>
      </w:r>
      <w:r w:rsidRPr="007C2B8C">
        <w:rPr>
          <w:rFonts w:ascii="Cambria" w:hAnsi="Cambria"/>
          <w:i/>
          <w:iCs/>
          <w:sz w:val="16"/>
          <w:szCs w:val="16"/>
        </w:rPr>
        <w:t xml:space="preserve">Jessica </w:t>
      </w:r>
      <w:proofErr w:type="spellStart"/>
      <w:r w:rsidRPr="007C2B8C">
        <w:rPr>
          <w:rFonts w:ascii="Cambria" w:hAnsi="Cambria"/>
          <w:i/>
          <w:iCs/>
          <w:sz w:val="16"/>
          <w:szCs w:val="16"/>
        </w:rPr>
        <w:t>Lenahan</w:t>
      </w:r>
      <w:proofErr w:type="spellEnd"/>
      <w:r w:rsidRPr="007C2B8C">
        <w:rPr>
          <w:rFonts w:ascii="Cambria" w:hAnsi="Cambria"/>
          <w:i/>
          <w:iCs/>
          <w:sz w:val="16"/>
          <w:szCs w:val="16"/>
        </w:rPr>
        <w:t xml:space="preserve"> (González) and others. USA</w:t>
      </w:r>
      <w:r w:rsidRPr="007C2B8C">
        <w:rPr>
          <w:rFonts w:ascii="Cambria" w:hAnsi="Cambria"/>
          <w:sz w:val="16"/>
          <w:szCs w:val="16"/>
        </w:rPr>
        <w:t>. July 21, 2011, para</w:t>
      </w:r>
      <w:r>
        <w:rPr>
          <w:rFonts w:ascii="Cambria" w:hAnsi="Cambria"/>
          <w:sz w:val="16"/>
          <w:szCs w:val="16"/>
        </w:rPr>
        <w:t xml:space="preserve">. 125; </w:t>
      </w:r>
      <w:r w:rsidRPr="00C453CA">
        <w:rPr>
          <w:rFonts w:ascii="Cambria" w:hAnsi="Cambria"/>
          <w:sz w:val="16"/>
          <w:szCs w:val="16"/>
        </w:rPr>
        <w:t xml:space="preserve">See article 7 of the </w:t>
      </w:r>
      <w:proofErr w:type="spellStart"/>
      <w:r w:rsidRPr="00C453CA">
        <w:rPr>
          <w:rFonts w:ascii="Cambria" w:hAnsi="Cambria"/>
          <w:sz w:val="16"/>
          <w:szCs w:val="16"/>
        </w:rPr>
        <w:t>Belém</w:t>
      </w:r>
      <w:proofErr w:type="spellEnd"/>
      <w:r w:rsidRPr="00C453CA">
        <w:rPr>
          <w:rFonts w:ascii="Cambria" w:hAnsi="Cambria"/>
          <w:sz w:val="16"/>
          <w:szCs w:val="16"/>
        </w:rPr>
        <w:t xml:space="preserve"> do Pará</w:t>
      </w:r>
      <w:r>
        <w:rPr>
          <w:rFonts w:ascii="Cambria" w:hAnsi="Cambria"/>
          <w:sz w:val="16"/>
          <w:szCs w:val="16"/>
        </w:rPr>
        <w:t xml:space="preserve"> </w:t>
      </w:r>
      <w:r w:rsidRPr="00C453CA">
        <w:rPr>
          <w:rFonts w:ascii="Cambria" w:hAnsi="Cambria"/>
          <w:sz w:val="16"/>
          <w:szCs w:val="16"/>
        </w:rPr>
        <w:t>Convention</w:t>
      </w:r>
      <w:r>
        <w:rPr>
          <w:rFonts w:ascii="Cambria" w:hAnsi="Cambria"/>
          <w:sz w:val="16"/>
          <w:szCs w:val="16"/>
        </w:rPr>
        <w:t>.</w:t>
      </w:r>
    </w:p>
  </w:footnote>
  <w:footnote w:id="172">
    <w:p w14:paraId="59AD4342" w14:textId="77777777" w:rsidR="003A6945" w:rsidRPr="007871FB" w:rsidRDefault="003A6945" w:rsidP="00A0772F">
      <w:pPr>
        <w:pStyle w:val="FootnoteText"/>
        <w:jc w:val="both"/>
        <w:rPr>
          <w:rFonts w:ascii="Cambria" w:hAnsi="Cambria"/>
          <w:sz w:val="16"/>
          <w:szCs w:val="16"/>
          <w:lang w:val="es-419"/>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59" w:history="1">
        <w:r w:rsidRPr="001C1F8A">
          <w:rPr>
            <w:rStyle w:val="Hyperlink"/>
            <w:rFonts w:ascii="Cambria" w:eastAsia="SimSun" w:hAnsi="Cambria"/>
            <w:sz w:val="16"/>
            <w:szCs w:val="16"/>
          </w:rPr>
          <w:t>Women Journalists and Freedom of Expression</w:t>
        </w:r>
      </w:hyperlink>
      <w:r w:rsidRPr="001C1F8A">
        <w:rPr>
          <w:rFonts w:ascii="Cambria" w:hAnsi="Cambria"/>
          <w:sz w:val="16"/>
          <w:szCs w:val="16"/>
        </w:rPr>
        <w:t xml:space="preserve">. </w:t>
      </w:r>
      <w:r w:rsidRPr="007871FB">
        <w:rPr>
          <w:rFonts w:ascii="Cambria" w:hAnsi="Cambria"/>
          <w:sz w:val="16"/>
          <w:szCs w:val="16"/>
          <w:lang w:val="es-419"/>
        </w:rPr>
        <w:t>OEA/Ser. L/V/II. IACHR/RELE/INF.20/18. October 31, 2018, para. 38.</w:t>
      </w:r>
    </w:p>
  </w:footnote>
  <w:footnote w:id="173">
    <w:p w14:paraId="25FF12AC" w14:textId="12C1E76A" w:rsidR="003A6945" w:rsidRPr="001C1F8A" w:rsidRDefault="003A6945" w:rsidP="007871FB">
      <w:pPr>
        <w:pStyle w:val="FootnoteText"/>
        <w:jc w:val="both"/>
        <w:rPr>
          <w:rFonts w:ascii="Cambria" w:hAnsi="Cambria"/>
          <w:sz w:val="16"/>
          <w:szCs w:val="16"/>
        </w:rPr>
      </w:pPr>
      <w:r w:rsidRPr="007871FB">
        <w:rPr>
          <w:rFonts w:ascii="Cambria" w:hAnsi="Cambria"/>
          <w:sz w:val="16"/>
          <w:szCs w:val="16"/>
          <w:lang w:val="es-419"/>
        </w:rPr>
        <w:t xml:space="preserve"> </w:t>
      </w:r>
      <w:r w:rsidRPr="001C1F8A">
        <w:rPr>
          <w:rStyle w:val="FootnoteReference"/>
          <w:rFonts w:ascii="Cambria" w:hAnsi="Cambria"/>
          <w:sz w:val="16"/>
          <w:szCs w:val="16"/>
        </w:rPr>
        <w:footnoteRef/>
      </w:r>
      <w:r w:rsidRPr="007871FB">
        <w:rPr>
          <w:rFonts w:ascii="Cambria" w:hAnsi="Cambria"/>
          <w:sz w:val="16"/>
          <w:szCs w:val="16"/>
          <w:lang w:val="es-419"/>
        </w:rPr>
        <w:t xml:space="preserve"> IACHR, Report No. 28/07, Cases 12.496-12.498, </w:t>
      </w:r>
      <w:r w:rsidRPr="007871FB">
        <w:rPr>
          <w:rFonts w:ascii="Cambria" w:hAnsi="Cambria"/>
          <w:i/>
          <w:iCs/>
          <w:sz w:val="16"/>
          <w:szCs w:val="16"/>
          <w:lang w:val="es-419"/>
        </w:rPr>
        <w:t>Claudia Ivette González et al., (Mexico)</w:t>
      </w:r>
      <w:r w:rsidRPr="007871FB">
        <w:rPr>
          <w:rFonts w:ascii="Cambria" w:hAnsi="Cambria"/>
          <w:sz w:val="16"/>
          <w:szCs w:val="16"/>
          <w:lang w:val="es-419"/>
        </w:rPr>
        <w:t xml:space="preserve">, March 9, 2007, </w:t>
      </w:r>
      <w:r>
        <w:rPr>
          <w:rFonts w:ascii="Cambria" w:hAnsi="Cambria"/>
          <w:sz w:val="16"/>
          <w:szCs w:val="16"/>
          <w:lang w:val="es-419"/>
        </w:rPr>
        <w:t xml:space="preserve">paras. </w:t>
      </w:r>
      <w:r w:rsidRPr="00AF2D01">
        <w:rPr>
          <w:rFonts w:ascii="Cambria" w:hAnsi="Cambria"/>
          <w:sz w:val="16"/>
          <w:szCs w:val="16"/>
        </w:rPr>
        <w:t xml:space="preserve">251-252; and Report No. 80/11. Case No. 12.626. Merits. </w:t>
      </w:r>
      <w:r w:rsidRPr="00AF2D01">
        <w:rPr>
          <w:rFonts w:ascii="Cambria" w:hAnsi="Cambria"/>
          <w:i/>
          <w:iCs/>
          <w:sz w:val="16"/>
          <w:szCs w:val="16"/>
        </w:rPr>
        <w:t xml:space="preserve">Jessica </w:t>
      </w:r>
      <w:proofErr w:type="spellStart"/>
      <w:r w:rsidRPr="00AF2D01">
        <w:rPr>
          <w:rFonts w:ascii="Cambria" w:hAnsi="Cambria"/>
          <w:i/>
          <w:iCs/>
          <w:sz w:val="16"/>
          <w:szCs w:val="16"/>
        </w:rPr>
        <w:t>Lenahan</w:t>
      </w:r>
      <w:proofErr w:type="spellEnd"/>
      <w:r w:rsidRPr="00AF2D01">
        <w:rPr>
          <w:rFonts w:ascii="Cambria" w:hAnsi="Cambria"/>
          <w:i/>
          <w:iCs/>
          <w:sz w:val="16"/>
          <w:szCs w:val="16"/>
        </w:rPr>
        <w:t xml:space="preserve"> (González) and others. </w:t>
      </w:r>
      <w:r w:rsidRPr="007C2B8C">
        <w:rPr>
          <w:rFonts w:ascii="Cambria" w:hAnsi="Cambria"/>
          <w:i/>
          <w:iCs/>
          <w:sz w:val="16"/>
          <w:szCs w:val="16"/>
        </w:rPr>
        <w:t>USA</w:t>
      </w:r>
      <w:r w:rsidRPr="007C2B8C">
        <w:rPr>
          <w:rFonts w:ascii="Cambria" w:hAnsi="Cambria"/>
          <w:sz w:val="16"/>
          <w:szCs w:val="16"/>
        </w:rPr>
        <w:t>. July 21, 2011, para. 1</w:t>
      </w:r>
      <w:r>
        <w:rPr>
          <w:rFonts w:ascii="Cambria" w:hAnsi="Cambria"/>
          <w:sz w:val="16"/>
          <w:szCs w:val="16"/>
        </w:rPr>
        <w:t>27</w:t>
      </w:r>
      <w:r w:rsidRPr="007C2B8C">
        <w:rPr>
          <w:rFonts w:ascii="Cambria" w:hAnsi="Cambria"/>
          <w:sz w:val="16"/>
          <w:szCs w:val="16"/>
        </w:rPr>
        <w:t>.</w:t>
      </w:r>
    </w:p>
  </w:footnote>
  <w:footnote w:id="174">
    <w:p w14:paraId="64574EDB" w14:textId="77777777" w:rsidR="003A6945" w:rsidRPr="001C1F8A" w:rsidRDefault="003A6945" w:rsidP="004C76F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60" w:history="1">
        <w:r w:rsidRPr="001C1F8A">
          <w:rPr>
            <w:rStyle w:val="Hyperlink"/>
            <w:rFonts w:ascii="Cambria" w:eastAsia="SimSun" w:hAnsi="Cambria"/>
            <w:sz w:val="16"/>
            <w:szCs w:val="16"/>
          </w:rPr>
          <w:t>Women Journalists and Freedom of Expression</w:t>
        </w:r>
      </w:hyperlink>
      <w:r w:rsidRPr="001C1F8A">
        <w:rPr>
          <w:rFonts w:ascii="Cambria" w:hAnsi="Cambria"/>
          <w:sz w:val="16"/>
          <w:szCs w:val="16"/>
        </w:rPr>
        <w:t xml:space="preserve">. </w:t>
      </w:r>
      <w:r w:rsidRPr="002A7A7E">
        <w:rPr>
          <w:rFonts w:ascii="Cambria" w:hAnsi="Cambria"/>
          <w:sz w:val="16"/>
          <w:szCs w:val="16"/>
          <w:lang w:val="es-PE"/>
        </w:rPr>
        <w:t xml:space="preserve">OEA/Ser. L/V/II. IACHR/RELE/INF.20/18. October 31, 2018, para. </w:t>
      </w:r>
      <w:r w:rsidRPr="001C1F8A">
        <w:rPr>
          <w:rFonts w:ascii="Cambria" w:hAnsi="Cambria"/>
          <w:sz w:val="16"/>
          <w:szCs w:val="16"/>
        </w:rPr>
        <w:t>3.</w:t>
      </w:r>
    </w:p>
  </w:footnote>
  <w:footnote w:id="175">
    <w:p w14:paraId="29BCC2EF" w14:textId="196AB0E4" w:rsidR="003A6945" w:rsidRPr="00AF2D01" w:rsidRDefault="003A6945" w:rsidP="004C76F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61" w:history="1">
        <w:r w:rsidRPr="001C1F8A">
          <w:rPr>
            <w:rStyle w:val="Hyperlink"/>
            <w:rFonts w:ascii="Cambria" w:eastAsia="SimSun" w:hAnsi="Cambria"/>
            <w:sz w:val="16"/>
            <w:szCs w:val="16"/>
          </w:rPr>
          <w:t>Women Journalists and Freedom of Expression</w:t>
        </w:r>
      </w:hyperlink>
      <w:r w:rsidRPr="001C1F8A">
        <w:rPr>
          <w:rFonts w:ascii="Cambria" w:hAnsi="Cambria"/>
          <w:sz w:val="16"/>
          <w:szCs w:val="16"/>
        </w:rPr>
        <w:t xml:space="preserve">. </w:t>
      </w:r>
      <w:r w:rsidRPr="004C76F5">
        <w:rPr>
          <w:rFonts w:ascii="Cambria" w:hAnsi="Cambria"/>
          <w:sz w:val="16"/>
          <w:szCs w:val="16"/>
        </w:rPr>
        <w:t xml:space="preserve">OEA/Ser. L/V/II. </w:t>
      </w:r>
      <w:r w:rsidRPr="00AF2D01">
        <w:rPr>
          <w:rFonts w:ascii="Cambria" w:hAnsi="Cambria"/>
          <w:sz w:val="16"/>
          <w:szCs w:val="16"/>
        </w:rPr>
        <w:t>IACHR/RELE/INF.20/18. October 31, 2018, paras. 50 and 76.</w:t>
      </w:r>
    </w:p>
  </w:footnote>
  <w:footnote w:id="176">
    <w:p w14:paraId="0B8B0F17" w14:textId="6291FD06"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AF2D01">
        <w:rPr>
          <w:rFonts w:ascii="Cambria" w:hAnsi="Cambria"/>
          <w:sz w:val="16"/>
          <w:szCs w:val="16"/>
        </w:rPr>
        <w:t xml:space="preserve"> UN. </w:t>
      </w:r>
      <w:r w:rsidRPr="00AF2D01">
        <w:rPr>
          <w:rFonts w:ascii="Cambria" w:hAnsi="Cambria"/>
          <w:i/>
          <w:sz w:val="16"/>
          <w:szCs w:val="16"/>
        </w:rPr>
        <w:t xml:space="preserve">Mutatis </w:t>
      </w:r>
      <w:proofErr w:type="spellStart"/>
      <w:r w:rsidRPr="00AF2D01">
        <w:rPr>
          <w:rFonts w:ascii="Cambria" w:hAnsi="Cambria"/>
          <w:i/>
          <w:sz w:val="16"/>
          <w:szCs w:val="16"/>
        </w:rPr>
        <w:t>mutandi</w:t>
      </w:r>
      <w:proofErr w:type="spellEnd"/>
      <w:r w:rsidRPr="00AF2D01">
        <w:rPr>
          <w:rFonts w:ascii="Cambria" w:hAnsi="Cambria"/>
          <w:sz w:val="16"/>
          <w:szCs w:val="16"/>
        </w:rPr>
        <w:t xml:space="preserve">, Istanbul Protocol. </w:t>
      </w:r>
      <w:r w:rsidRPr="001C1F8A">
        <w:rPr>
          <w:rFonts w:ascii="Cambria" w:hAnsi="Cambria"/>
          <w:sz w:val="16"/>
          <w:szCs w:val="16"/>
        </w:rPr>
        <w:t>Manual on the Effective Investigation and Documentation of Torture and. Other Cruel, Inhuman or Degrading Treatment or Punishment. August 9, 1999, para. 215.</w:t>
      </w:r>
    </w:p>
  </w:footnote>
  <w:footnote w:id="177">
    <w:p w14:paraId="28ACDC96" w14:textId="09F99139" w:rsidR="003A6945" w:rsidRPr="001C1F8A" w:rsidRDefault="003A6945" w:rsidP="00E27C17">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r w:rsidRPr="00CB52BD">
        <w:rPr>
          <w:rFonts w:ascii="Cambria" w:hAnsi="Cambria"/>
          <w:sz w:val="16"/>
          <w:szCs w:val="16"/>
        </w:rPr>
        <w:t xml:space="preserve">I/A Court HR. </w:t>
      </w:r>
      <w:r w:rsidRPr="00FE46D3">
        <w:rPr>
          <w:rFonts w:ascii="Cambria" w:hAnsi="Cambria"/>
          <w:i/>
          <w:iCs/>
          <w:sz w:val="16"/>
          <w:szCs w:val="16"/>
        </w:rPr>
        <w:t xml:space="preserve">Case of Women Victims of Sexual Torture in </w:t>
      </w:r>
      <w:proofErr w:type="spellStart"/>
      <w:r w:rsidRPr="00FE46D3">
        <w:rPr>
          <w:rFonts w:ascii="Cambria" w:hAnsi="Cambria"/>
          <w:i/>
          <w:iCs/>
          <w:sz w:val="16"/>
          <w:szCs w:val="16"/>
        </w:rPr>
        <w:t>Atenco</w:t>
      </w:r>
      <w:proofErr w:type="spellEnd"/>
      <w:r w:rsidRPr="00FE46D3">
        <w:rPr>
          <w:rFonts w:ascii="Cambria" w:hAnsi="Cambria"/>
          <w:i/>
          <w:iCs/>
          <w:sz w:val="16"/>
          <w:szCs w:val="16"/>
        </w:rPr>
        <w:t xml:space="preserve"> v. Mexico. </w:t>
      </w:r>
      <w:r w:rsidRPr="00FE46D3">
        <w:rPr>
          <w:rFonts w:ascii="Cambria" w:hAnsi="Cambria"/>
          <w:sz w:val="16"/>
          <w:szCs w:val="16"/>
        </w:rPr>
        <w:t>Preliminary Objection, Merits, Reparations and Costs. Judgment of November 28, 2018. Series C No. 371</w:t>
      </w:r>
      <w:r>
        <w:rPr>
          <w:rFonts w:ascii="Cambria" w:hAnsi="Cambria"/>
          <w:sz w:val="16"/>
          <w:szCs w:val="16"/>
        </w:rPr>
        <w:t>, para. 196.</w:t>
      </w:r>
    </w:p>
  </w:footnote>
  <w:footnote w:id="178">
    <w:p w14:paraId="70CE8BA4" w14:textId="5931276D"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Court. </w:t>
      </w:r>
      <w:r w:rsidRPr="001C1F8A">
        <w:rPr>
          <w:rFonts w:ascii="Cambria" w:hAnsi="Cambria"/>
          <w:i/>
          <w:sz w:val="16"/>
          <w:szCs w:val="16"/>
        </w:rPr>
        <w:t xml:space="preserve">Case of the Miguel Castro </w:t>
      </w:r>
      <w:proofErr w:type="spellStart"/>
      <w:r w:rsidRPr="001C1F8A">
        <w:rPr>
          <w:rFonts w:ascii="Cambria" w:hAnsi="Cambria"/>
          <w:i/>
          <w:sz w:val="16"/>
          <w:szCs w:val="16"/>
        </w:rPr>
        <w:t>Castro</w:t>
      </w:r>
      <w:proofErr w:type="spellEnd"/>
      <w:r w:rsidRPr="001C1F8A">
        <w:rPr>
          <w:rFonts w:ascii="Cambria" w:hAnsi="Cambria"/>
          <w:i/>
          <w:sz w:val="16"/>
          <w:szCs w:val="16"/>
        </w:rPr>
        <w:t xml:space="preserve"> </w:t>
      </w:r>
      <w:proofErr w:type="spellStart"/>
      <w:r w:rsidRPr="001C1F8A">
        <w:rPr>
          <w:rFonts w:ascii="Cambria" w:hAnsi="Cambria"/>
          <w:i/>
          <w:sz w:val="16"/>
          <w:szCs w:val="16"/>
        </w:rPr>
        <w:t>Castro</w:t>
      </w:r>
      <w:proofErr w:type="spellEnd"/>
      <w:r w:rsidRPr="001C1F8A">
        <w:rPr>
          <w:rFonts w:ascii="Cambria" w:hAnsi="Cambria"/>
          <w:i/>
          <w:sz w:val="16"/>
          <w:szCs w:val="16"/>
        </w:rPr>
        <w:t xml:space="preserve"> Prison v. Peru.</w:t>
      </w:r>
      <w:r w:rsidRPr="001C1F8A">
        <w:rPr>
          <w:rFonts w:ascii="Cambria" w:hAnsi="Cambria"/>
          <w:sz w:val="16"/>
          <w:szCs w:val="16"/>
        </w:rPr>
        <w:t xml:space="preserve"> Merits, Reparations and Costs. Judgment of November 25, 2006. Series C No. 160, paras. 304 </w:t>
      </w:r>
      <w:r w:rsidRPr="001C1F8A">
        <w:rPr>
          <w:rFonts w:ascii="Cambria" w:hAnsi="Cambria"/>
          <w:i/>
          <w:iCs/>
          <w:sz w:val="16"/>
          <w:szCs w:val="16"/>
        </w:rPr>
        <w:t>et seq</w:t>
      </w:r>
      <w:r>
        <w:rPr>
          <w:rFonts w:ascii="Cambria" w:hAnsi="Cambria"/>
          <w:sz w:val="16"/>
          <w:szCs w:val="16"/>
        </w:rPr>
        <w:t xml:space="preserve">; and </w:t>
      </w:r>
      <w:r w:rsidRPr="00FE46D3">
        <w:rPr>
          <w:rFonts w:ascii="Cambria" w:hAnsi="Cambria"/>
          <w:i/>
          <w:iCs/>
          <w:sz w:val="16"/>
          <w:szCs w:val="16"/>
        </w:rPr>
        <w:t xml:space="preserve">Case of Women Victims of Sexual Torture in </w:t>
      </w:r>
      <w:proofErr w:type="spellStart"/>
      <w:r w:rsidRPr="00FE46D3">
        <w:rPr>
          <w:rFonts w:ascii="Cambria" w:hAnsi="Cambria"/>
          <w:i/>
          <w:iCs/>
          <w:sz w:val="16"/>
          <w:szCs w:val="16"/>
        </w:rPr>
        <w:t>Atenco</w:t>
      </w:r>
      <w:proofErr w:type="spellEnd"/>
      <w:r w:rsidRPr="00FE46D3">
        <w:rPr>
          <w:rFonts w:ascii="Cambria" w:hAnsi="Cambria"/>
          <w:i/>
          <w:iCs/>
          <w:sz w:val="16"/>
          <w:szCs w:val="16"/>
        </w:rPr>
        <w:t xml:space="preserve"> v. Mexico. </w:t>
      </w:r>
      <w:r w:rsidRPr="00FE46D3">
        <w:rPr>
          <w:rFonts w:ascii="Cambria" w:hAnsi="Cambria"/>
          <w:sz w:val="16"/>
          <w:szCs w:val="16"/>
        </w:rPr>
        <w:t>Preliminary Objection, Merits, Reparations and Costs. Judgment of November 28, 2018. Series C No. 371</w:t>
      </w:r>
      <w:r>
        <w:rPr>
          <w:rFonts w:ascii="Cambria" w:hAnsi="Cambria"/>
          <w:sz w:val="16"/>
          <w:szCs w:val="16"/>
        </w:rPr>
        <w:t>, para. 188.</w:t>
      </w:r>
    </w:p>
  </w:footnote>
  <w:footnote w:id="179">
    <w:p w14:paraId="3ED00BD0" w14:textId="7C5645EB" w:rsidR="003A6945" w:rsidRPr="001C1F8A" w:rsidRDefault="003A6945" w:rsidP="006A34D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w:t>
      </w:r>
      <w:hyperlink r:id="rId62" w:history="1">
        <w:r w:rsidRPr="001C1F8A">
          <w:rPr>
            <w:rStyle w:val="Hyperlink"/>
            <w:rFonts w:ascii="Cambria" w:eastAsia="SimSun" w:hAnsi="Cambria"/>
            <w:sz w:val="16"/>
            <w:szCs w:val="16"/>
          </w:rPr>
          <w:t>Women Journalists and Freedom of Expression</w:t>
        </w:r>
      </w:hyperlink>
      <w:r w:rsidRPr="001C1F8A">
        <w:rPr>
          <w:rFonts w:ascii="Cambria" w:hAnsi="Cambria"/>
          <w:sz w:val="16"/>
          <w:szCs w:val="16"/>
        </w:rPr>
        <w:t>. OEA/Ser. L/V/II. IACHR/RELE/INF.20/18. October 31, 2018, para. 36</w:t>
      </w:r>
      <w:r>
        <w:rPr>
          <w:rFonts w:ascii="Cambria" w:hAnsi="Cambria"/>
          <w:sz w:val="16"/>
          <w:szCs w:val="16"/>
        </w:rPr>
        <w:t xml:space="preserve">; </w:t>
      </w:r>
      <w:r w:rsidRPr="00CB52BD">
        <w:rPr>
          <w:rFonts w:ascii="Cambria" w:hAnsi="Cambria"/>
          <w:sz w:val="16"/>
          <w:szCs w:val="16"/>
        </w:rPr>
        <w:t xml:space="preserve">I/A Court HR. </w:t>
      </w:r>
      <w:r w:rsidRPr="00FE46D3">
        <w:rPr>
          <w:rFonts w:ascii="Cambria" w:hAnsi="Cambria"/>
          <w:i/>
          <w:iCs/>
          <w:sz w:val="16"/>
          <w:szCs w:val="16"/>
        </w:rPr>
        <w:t xml:space="preserve">Case of Women Victims of Sexual Torture in </w:t>
      </w:r>
      <w:proofErr w:type="spellStart"/>
      <w:r w:rsidRPr="00FE46D3">
        <w:rPr>
          <w:rFonts w:ascii="Cambria" w:hAnsi="Cambria"/>
          <w:i/>
          <w:iCs/>
          <w:sz w:val="16"/>
          <w:szCs w:val="16"/>
        </w:rPr>
        <w:t>Atenco</w:t>
      </w:r>
      <w:proofErr w:type="spellEnd"/>
      <w:r w:rsidRPr="00FE46D3">
        <w:rPr>
          <w:rFonts w:ascii="Cambria" w:hAnsi="Cambria"/>
          <w:i/>
          <w:iCs/>
          <w:sz w:val="16"/>
          <w:szCs w:val="16"/>
        </w:rPr>
        <w:t xml:space="preserve"> v. Mexico. </w:t>
      </w:r>
      <w:r w:rsidRPr="00FE46D3">
        <w:rPr>
          <w:rFonts w:ascii="Cambria" w:hAnsi="Cambria"/>
          <w:sz w:val="16"/>
          <w:szCs w:val="16"/>
        </w:rPr>
        <w:t>Preliminary Objection, Merits, Reparations and Costs. Judgment of November 28, 2018. Series C No. 371</w:t>
      </w:r>
      <w:r>
        <w:rPr>
          <w:rFonts w:ascii="Cambria" w:hAnsi="Cambria"/>
          <w:sz w:val="16"/>
          <w:szCs w:val="16"/>
        </w:rPr>
        <w:t>, paras, 181, 187, and 188.</w:t>
      </w:r>
    </w:p>
  </w:footnote>
  <w:footnote w:id="180">
    <w:p w14:paraId="4E620081" w14:textId="67642D91" w:rsidR="003A6945" w:rsidRPr="001C1F8A" w:rsidRDefault="003A6945" w:rsidP="006A34D5">
      <w:pPr>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IACHR. Annual Report 2011. Ch. IV.B. Situation of human rights in Cuba, paras. 239, 243, 246 </w:t>
      </w:r>
      <w:r w:rsidRPr="001C1F8A">
        <w:rPr>
          <w:rFonts w:ascii="Cambria" w:hAnsi="Cambria"/>
          <w:i/>
          <w:iCs/>
          <w:sz w:val="16"/>
          <w:szCs w:val="16"/>
          <w:lang w:val="en-US"/>
        </w:rPr>
        <w:t>et seq</w:t>
      </w:r>
      <w:r w:rsidRPr="001C1F8A">
        <w:rPr>
          <w:rFonts w:ascii="Cambria" w:hAnsi="Cambria"/>
          <w:sz w:val="16"/>
          <w:szCs w:val="16"/>
          <w:lang w:val="en-US"/>
        </w:rPr>
        <w:t>; Annual Report 2012. Ch. IV.B. Situation of Human Rights in Cuba, paras. 64, 68.</w:t>
      </w:r>
    </w:p>
  </w:footnote>
  <w:footnote w:id="181">
    <w:p w14:paraId="20BA3BD1" w14:textId="49FFD43C" w:rsidR="003A6945" w:rsidRPr="001C1F8A" w:rsidRDefault="003A6945" w:rsidP="006A34D5">
      <w:pPr>
        <w:pStyle w:val="FootnoteText"/>
        <w:jc w:val="both"/>
      </w:pPr>
      <w:r w:rsidRPr="001C1F8A">
        <w:rPr>
          <w:rStyle w:val="FootnoteReference"/>
          <w:rFonts w:ascii="Cambria" w:hAnsi="Cambria"/>
          <w:sz w:val="16"/>
          <w:szCs w:val="16"/>
        </w:rPr>
        <w:footnoteRef/>
      </w:r>
      <w:r w:rsidRPr="001C1F8A">
        <w:rPr>
          <w:rFonts w:ascii="Cambria" w:hAnsi="Cambria"/>
          <w:sz w:val="16"/>
          <w:szCs w:val="16"/>
        </w:rPr>
        <w:t xml:space="preserve"> IACHR. Annual Report 2011. Ch. IV.B. Situation of human rights in Cuba, paras. 239, 243, 246 </w:t>
      </w:r>
      <w:r w:rsidRPr="001C1F8A">
        <w:rPr>
          <w:rFonts w:ascii="Cambria" w:hAnsi="Cambria"/>
          <w:i/>
          <w:iCs/>
          <w:sz w:val="16"/>
          <w:szCs w:val="16"/>
        </w:rPr>
        <w:t>et seq</w:t>
      </w:r>
      <w:r w:rsidRPr="001C1F8A">
        <w:rPr>
          <w:rFonts w:ascii="Cambria" w:hAnsi="Cambria"/>
          <w:sz w:val="16"/>
          <w:szCs w:val="16"/>
        </w:rPr>
        <w:t>; Annual Report 2012. Ch. IV.B. Situation of Human Rights in Cuba, paras. 64, 68; IACHR. Public hearing “Complaints of attacks against women human rights defenders in Cuba” held during the 144</w:t>
      </w:r>
      <w:r w:rsidRPr="001C1F8A">
        <w:rPr>
          <w:rFonts w:ascii="Cambria" w:hAnsi="Cambria"/>
          <w:sz w:val="16"/>
          <w:szCs w:val="16"/>
          <w:vertAlign w:val="superscript"/>
        </w:rPr>
        <w:t>th</w:t>
      </w:r>
      <w:r w:rsidRPr="001C1F8A">
        <w:rPr>
          <w:rFonts w:ascii="Cambria" w:hAnsi="Cambria"/>
          <w:sz w:val="16"/>
          <w:szCs w:val="16"/>
        </w:rPr>
        <w:t xml:space="preserve"> regular session. March 23, 2012. Available at:  </w:t>
      </w:r>
      <w:hyperlink r:id="rId63" w:history="1">
        <w:r w:rsidRPr="001C1F8A">
          <w:rPr>
            <w:rStyle w:val="Hyperlink"/>
            <w:rFonts w:ascii="Cambria" w:hAnsi="Cambria"/>
            <w:sz w:val="16"/>
            <w:szCs w:val="16"/>
          </w:rPr>
          <w:t>http://www.oas.org/es/cidh/audiencias/Hearings.aspx?Lang=es&amp;Session=125</w:t>
        </w:r>
      </w:hyperlink>
      <w:r w:rsidRPr="001C1F8A">
        <w:rPr>
          <w:rStyle w:val="Hyperlink"/>
          <w:rFonts w:ascii="Cambria" w:hAnsi="Cambria"/>
          <w:sz w:val="16"/>
          <w:szCs w:val="16"/>
          <w:u w:val="none"/>
        </w:rPr>
        <w:t xml:space="preserve">; </w:t>
      </w:r>
      <w:r w:rsidRPr="001C1F8A">
        <w:rPr>
          <w:rFonts w:ascii="Cambria" w:hAnsi="Cambria"/>
          <w:i/>
          <w:iCs/>
          <w:sz w:val="16"/>
          <w:szCs w:val="16"/>
        </w:rPr>
        <w:t>See also</w:t>
      </w:r>
      <w:r w:rsidRPr="001C1F8A">
        <w:rPr>
          <w:rFonts w:ascii="Cambria" w:hAnsi="Cambria"/>
          <w:sz w:val="16"/>
          <w:szCs w:val="16"/>
        </w:rPr>
        <w:t xml:space="preserve"> </w:t>
      </w:r>
      <w:proofErr w:type="spellStart"/>
      <w:r w:rsidRPr="001C1F8A">
        <w:rPr>
          <w:rFonts w:ascii="Cambria" w:hAnsi="Cambria"/>
          <w:sz w:val="16"/>
          <w:szCs w:val="16"/>
        </w:rPr>
        <w:t>Cubalex</w:t>
      </w:r>
      <w:proofErr w:type="spellEnd"/>
      <w:r w:rsidRPr="001C1F8A">
        <w:rPr>
          <w:rFonts w:ascii="Cambria" w:hAnsi="Cambria"/>
          <w:sz w:val="16"/>
          <w:szCs w:val="16"/>
        </w:rPr>
        <w:t xml:space="preserve">. </w:t>
      </w:r>
      <w:hyperlink r:id="rId64" w:history="1">
        <w:proofErr w:type="spellStart"/>
        <w:r w:rsidRPr="001C1F8A">
          <w:rPr>
            <w:rStyle w:val="Hyperlink"/>
            <w:rFonts w:ascii="Cambria" w:hAnsi="Cambria"/>
            <w:i/>
            <w:sz w:val="16"/>
            <w:szCs w:val="16"/>
          </w:rPr>
          <w:t>Así</w:t>
        </w:r>
        <w:proofErr w:type="spellEnd"/>
        <w:r w:rsidRPr="001C1F8A">
          <w:rPr>
            <w:rStyle w:val="Hyperlink"/>
            <w:rFonts w:ascii="Cambria" w:hAnsi="Cambria"/>
            <w:i/>
            <w:sz w:val="16"/>
            <w:szCs w:val="16"/>
          </w:rPr>
          <w:t xml:space="preserve"> </w:t>
        </w:r>
        <w:proofErr w:type="spellStart"/>
        <w:r w:rsidRPr="001C1F8A">
          <w:rPr>
            <w:rStyle w:val="Hyperlink"/>
            <w:rFonts w:ascii="Cambria" w:hAnsi="Cambria"/>
            <w:i/>
            <w:sz w:val="16"/>
            <w:szCs w:val="16"/>
          </w:rPr>
          <w:t>reprimen</w:t>
        </w:r>
        <w:proofErr w:type="spellEnd"/>
        <w:r w:rsidRPr="001C1F8A">
          <w:rPr>
            <w:rStyle w:val="Hyperlink"/>
            <w:rFonts w:ascii="Cambria" w:hAnsi="Cambria"/>
            <w:i/>
            <w:sz w:val="16"/>
            <w:szCs w:val="16"/>
          </w:rPr>
          <w:t xml:space="preserve"> a las </w:t>
        </w:r>
        <w:proofErr w:type="spellStart"/>
        <w:r w:rsidRPr="001C1F8A">
          <w:rPr>
            <w:rStyle w:val="Hyperlink"/>
            <w:rFonts w:ascii="Cambria" w:hAnsi="Cambria"/>
            <w:i/>
            <w:sz w:val="16"/>
            <w:szCs w:val="16"/>
          </w:rPr>
          <w:t>mujeres</w:t>
        </w:r>
        <w:proofErr w:type="spellEnd"/>
        <w:r w:rsidRPr="001C1F8A">
          <w:rPr>
            <w:rStyle w:val="Hyperlink"/>
            <w:rFonts w:ascii="Cambria" w:hAnsi="Cambria"/>
            <w:i/>
            <w:sz w:val="16"/>
            <w:szCs w:val="16"/>
          </w:rPr>
          <w:t xml:space="preserve"> </w:t>
        </w:r>
        <w:proofErr w:type="spellStart"/>
        <w:r w:rsidRPr="001C1F8A">
          <w:rPr>
            <w:rStyle w:val="Hyperlink"/>
            <w:rFonts w:ascii="Cambria" w:hAnsi="Cambria"/>
            <w:i/>
            <w:sz w:val="16"/>
            <w:szCs w:val="16"/>
          </w:rPr>
          <w:t>cubanas</w:t>
        </w:r>
        <w:proofErr w:type="spellEnd"/>
        <w:r w:rsidRPr="001C1F8A">
          <w:rPr>
            <w:rStyle w:val="Hyperlink"/>
            <w:rFonts w:ascii="Cambria" w:hAnsi="Cambria"/>
            <w:i/>
            <w:sz w:val="16"/>
            <w:szCs w:val="16"/>
          </w:rPr>
          <w:t xml:space="preserve"> (This is how Cuban women are repressed</w:t>
        </w:r>
        <w:r w:rsidRPr="001C1F8A">
          <w:rPr>
            <w:rStyle w:val="Hyperlink"/>
            <w:rFonts w:ascii="Cambria" w:hAnsi="Cambria"/>
            <w:i/>
            <w:sz w:val="16"/>
            <w:szCs w:val="16"/>
            <w:u w:val="none"/>
          </w:rPr>
          <w:t xml:space="preserve">). </w:t>
        </w:r>
      </w:hyperlink>
      <w:r w:rsidRPr="001C1F8A">
        <w:rPr>
          <w:rFonts w:ascii="Cambria" w:hAnsi="Cambria"/>
          <w:sz w:val="16"/>
          <w:szCs w:val="16"/>
        </w:rPr>
        <w:t>August 4, 2020.</w:t>
      </w:r>
    </w:p>
  </w:footnote>
  <w:footnote w:id="182">
    <w:p w14:paraId="02B84E0D" w14:textId="117BA9E8" w:rsidR="003A6945" w:rsidRPr="001C1F8A" w:rsidRDefault="003A6945" w:rsidP="003D4E3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Constitution of the Republic of Cuba of 1976. Article 58. This article establishes that: “[f]</w:t>
      </w:r>
      <w:proofErr w:type="spellStart"/>
      <w:r w:rsidRPr="001C1F8A">
        <w:rPr>
          <w:rFonts w:ascii="Cambria" w:hAnsi="Cambria"/>
          <w:sz w:val="16"/>
          <w:szCs w:val="16"/>
        </w:rPr>
        <w:t>reedom</w:t>
      </w:r>
      <w:proofErr w:type="spellEnd"/>
      <w:r w:rsidRPr="001C1F8A">
        <w:rPr>
          <w:rFonts w:ascii="Cambria" w:hAnsi="Cambria"/>
          <w:sz w:val="16"/>
          <w:szCs w:val="16"/>
        </w:rPr>
        <w:t xml:space="preserve"> and inviolability of the person are guaranteed to all who reside in the national territory. No one may be detained except in the cases, in the manner, and with the guarantees prescribed by law. The personal integrity of a detainee or prisoner is inviolable.”</w:t>
      </w:r>
    </w:p>
  </w:footnote>
  <w:footnote w:id="183">
    <w:p w14:paraId="7397099C" w14:textId="2DE2A0B2" w:rsidR="003A6945" w:rsidRPr="001C1F8A" w:rsidRDefault="003A6945" w:rsidP="003D4E31">
      <w:pPr>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sz w:val="16"/>
          <w:szCs w:val="16"/>
          <w:lang w:val="en-US"/>
        </w:rPr>
        <w:t xml:space="preserve"> National Assembly of the People’s Power of the Republic of Cuba. Criminal Procedure Act of the Republic of Cuba. July 1977. Articles 241 to 244. Article 241. No person may be arrested except in the cases and following the procedures prescribed by law. </w:t>
      </w:r>
    </w:p>
    <w:p w14:paraId="04588B0E" w14:textId="0FB05CFA" w:rsidR="003A6945" w:rsidRPr="001C1F8A" w:rsidRDefault="003A6945" w:rsidP="003D4E31">
      <w:pPr>
        <w:jc w:val="both"/>
        <w:rPr>
          <w:rFonts w:ascii="Cambria" w:hAnsi="Cambria"/>
          <w:sz w:val="16"/>
          <w:szCs w:val="16"/>
          <w:lang w:val="en-US"/>
        </w:rPr>
      </w:pPr>
      <w:r w:rsidRPr="001C1F8A">
        <w:rPr>
          <w:rFonts w:ascii="Cambria" w:hAnsi="Cambria"/>
          <w:sz w:val="16"/>
          <w:szCs w:val="16"/>
          <w:lang w:val="en-US"/>
        </w:rPr>
        <w:t xml:space="preserve">Any person may arrest: 1. any other person who is attempting to commit an offense, at the moment he or she is about to commit it; 2. any person in flagrante delicto; 3. any person who, by escaping, violates the imprisonment or pretrial security measure to which he or she is being subjected; and 4. any accused person found to be in contempt of court. Whoever arrests a person under the provisions of the preceding paragraph shall immediately hand him over to the Police. </w:t>
      </w:r>
    </w:p>
    <w:p w14:paraId="53DB5959" w14:textId="551EA4E5" w:rsidR="003A6945" w:rsidRPr="001C1F8A" w:rsidRDefault="003A6945" w:rsidP="003D4E31">
      <w:pPr>
        <w:jc w:val="both"/>
        <w:rPr>
          <w:rFonts w:ascii="Cambria" w:hAnsi="Cambria"/>
          <w:sz w:val="16"/>
          <w:szCs w:val="16"/>
          <w:lang w:val="en-US"/>
        </w:rPr>
      </w:pPr>
      <w:r w:rsidRPr="001C1F8A">
        <w:rPr>
          <w:rFonts w:ascii="Cambria" w:hAnsi="Cambria"/>
          <w:sz w:val="16"/>
          <w:szCs w:val="16"/>
          <w:lang w:val="en-US"/>
        </w:rPr>
        <w:t xml:space="preserve">The authority or police officer has the obligation to arrest: 1. anyone in any of the situations described in the article above; anyone who has escaped while in custody or in pretrial detention; or anyone with a warrant for their arrest; 2. anyone accused of a crime against the security of the State; 3. anyone accused of a crime for which the penalty is more than six years' deprivation of liberty; 4. anyone accused of any crime, provided that any of the following circumstances exist: (a) the acts have caused alarm or are of the kind frequently committed in the municipality's jurisdiction; (b) there is sufficient evidence to reasonably believe that the accused is attempting to evade justice. </w:t>
      </w:r>
    </w:p>
    <w:p w14:paraId="20FF8D31" w14:textId="1DAC3582" w:rsidR="003A6945" w:rsidRPr="001C1F8A" w:rsidRDefault="003A6945" w:rsidP="003D4E31">
      <w:pPr>
        <w:jc w:val="both"/>
        <w:rPr>
          <w:rFonts w:ascii="Cambria" w:hAnsi="Cambria"/>
          <w:sz w:val="16"/>
          <w:szCs w:val="16"/>
          <w:lang w:val="en-US"/>
        </w:rPr>
      </w:pPr>
      <w:r w:rsidRPr="001C1F8A">
        <w:rPr>
          <w:rFonts w:ascii="Cambria" w:hAnsi="Cambria"/>
          <w:sz w:val="16"/>
          <w:szCs w:val="16"/>
          <w:lang w:val="en-US"/>
        </w:rPr>
        <w:t>When a person is arrested, a record shall be drawn up immediately, stating the time, date, and reason for the arrest, as well as any other particulars of interest. The record shall be signed by the officer and the detainee. At the request of the detainee or his family members, the police or the detaining authority shall disclose the arrest and the place where the detainee is being held, as well as facilitate communication between them within the time limits and in the manner established in the respective provisions.</w:t>
      </w:r>
    </w:p>
  </w:footnote>
  <w:footnote w:id="184">
    <w:p w14:paraId="21D2CA79" w14:textId="77777777" w:rsidR="003A6945" w:rsidRPr="001C1F8A" w:rsidRDefault="003A6945" w:rsidP="001F5A7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27/18, Case 12.127. Merits (Publication). </w:t>
      </w:r>
      <w:r w:rsidRPr="002A7A7E">
        <w:rPr>
          <w:rFonts w:ascii="Cambria" w:hAnsi="Cambria"/>
          <w:sz w:val="16"/>
          <w:szCs w:val="16"/>
          <w:lang w:val="es-PE"/>
        </w:rPr>
        <w:t xml:space="preserve">Vladimiro Roca Antúnez et al. </w:t>
      </w:r>
      <w:r w:rsidRPr="001C1F8A">
        <w:rPr>
          <w:rFonts w:ascii="Cambria" w:hAnsi="Cambria"/>
          <w:sz w:val="16"/>
          <w:szCs w:val="16"/>
        </w:rPr>
        <w:t xml:space="preserve">Cuba. February 24, 2018, para. 133. </w:t>
      </w:r>
    </w:p>
  </w:footnote>
  <w:footnote w:id="185">
    <w:p w14:paraId="2EAE431F" w14:textId="77777777" w:rsidR="003A6945" w:rsidRPr="001C1F8A" w:rsidRDefault="003A6945" w:rsidP="001F5A7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color w:val="auto"/>
          <w:sz w:val="16"/>
          <w:szCs w:val="16"/>
          <w:vertAlign w:val="superscript"/>
        </w:rPr>
        <w:footnoteRef/>
      </w:r>
      <w:r w:rsidRPr="001C1F8A">
        <w:rPr>
          <w:rFonts w:ascii="Cambria" w:hAnsi="Cambria"/>
          <w:color w:val="auto"/>
          <w:sz w:val="16"/>
          <w:szCs w:val="16"/>
        </w:rPr>
        <w:t xml:space="preserve"> IACHR, Report No. 71/15, Case 12.879. Merits. Vladimir Herzog et al. Brazil. October 28, 2015, para. 149.</w:t>
      </w:r>
    </w:p>
  </w:footnote>
  <w:footnote w:id="186">
    <w:p w14:paraId="161E6D8C" w14:textId="12837B5B" w:rsidR="003A6945" w:rsidRPr="001C1F8A" w:rsidRDefault="003A6945" w:rsidP="006151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16"/>
          <w:szCs w:val="16"/>
          <w:u w:color="000000"/>
          <w:bdr w:val="none" w:sz="0" w:space="0" w:color="auto"/>
          <w:lang w:val="en-US" w:eastAsia="es-ES"/>
        </w:rPr>
      </w:pPr>
      <w:r w:rsidRPr="001C1F8A">
        <w:rPr>
          <w:rStyle w:val="FootnoteReference"/>
          <w:rFonts w:ascii="Cambria" w:hAnsi="Cambria"/>
          <w:sz w:val="16"/>
          <w:szCs w:val="16"/>
          <w:lang w:val="en-US"/>
        </w:rPr>
        <w:footnoteRef/>
      </w:r>
      <w:r w:rsidRPr="001C1F8A">
        <w:rPr>
          <w:rFonts w:ascii="Cambria" w:eastAsia="Times New Roman" w:hAnsi="Cambria" w:cs="Cambria"/>
          <w:color w:val="000000"/>
          <w:sz w:val="16"/>
          <w:szCs w:val="16"/>
          <w:u w:color="000000"/>
          <w:bdr w:val="none" w:sz="0" w:space="0" w:color="auto"/>
          <w:lang w:val="en-US" w:eastAsia="es-ES"/>
        </w:rPr>
        <w:t xml:space="preserve"> Article VIII of the American Declaration establishes that: “Every person has the right to fix his residence within the territory of the state of which he is a national, to move about freely within such territory, and not to leave it except by his own will.”</w:t>
      </w:r>
    </w:p>
  </w:footnote>
  <w:footnote w:id="187">
    <w:p w14:paraId="750F4947" w14:textId="1EBBA762" w:rsidR="003A6945" w:rsidRPr="001C1F8A" w:rsidRDefault="003A6945" w:rsidP="005731B1">
      <w:pPr>
        <w:pStyle w:val="NormalWeb"/>
        <w:spacing w:before="0" w:beforeAutospacing="0" w:after="0" w:afterAutospacing="0"/>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w:t>
      </w:r>
      <w:hyperlink r:id="rId65" w:history="1">
        <w:r w:rsidRPr="001C1F8A">
          <w:rPr>
            <w:rStyle w:val="Hyperlink"/>
            <w:rFonts w:ascii="Cambria" w:hAnsi="Cambria"/>
            <w:sz w:val="16"/>
            <w:szCs w:val="16"/>
          </w:rPr>
          <w:t>Seventh Report on the Situation of Human Rights in Cuba, Ch. VIII</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 xml:space="preserve">/V/II.61, Doc.29 rev. 1. 4 October 1983, para. 2; IACHR. </w:t>
      </w:r>
      <w:r w:rsidRPr="001C1F8A">
        <w:rPr>
          <w:rFonts w:ascii="Cambria" w:hAnsi="Cambria"/>
          <w:i/>
          <w:sz w:val="16"/>
          <w:szCs w:val="16"/>
        </w:rPr>
        <w:t>Ten Years of Activities 1971-1981</w:t>
      </w:r>
      <w:r w:rsidRPr="001C1F8A">
        <w:rPr>
          <w:rFonts w:ascii="Cambria" w:hAnsi="Cambria"/>
          <w:sz w:val="16"/>
          <w:szCs w:val="16"/>
        </w:rPr>
        <w:t>, General Secretariat of the Organization of American States, Washington, D.C., 1982, p. 327.</w:t>
      </w:r>
    </w:p>
  </w:footnote>
  <w:footnote w:id="188">
    <w:p w14:paraId="07523810" w14:textId="77777777" w:rsidR="003A6945" w:rsidRPr="001C1F8A" w:rsidRDefault="003A6945" w:rsidP="005731B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UN. Human Rights Committee. General Comment No. 27. Article 12: Freedom of movement. Sixty-seventh session. U.N. Doc. HRI/GEN/1/Rev.7 at 202 (1999), para. 5.</w:t>
      </w:r>
    </w:p>
  </w:footnote>
  <w:footnote w:id="189">
    <w:p w14:paraId="0204ED6B" w14:textId="77777777" w:rsidR="003A6945" w:rsidRPr="001C1F8A" w:rsidRDefault="003A6945" w:rsidP="00D3424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UN. Human Rights Committee. General Comment No. 27. Article 12: Freedom of movement. Sixty-seventh session. U.N. Doc. HRI/GEN/1/Rev.7 at 202 (1999), para. 8. </w:t>
      </w:r>
    </w:p>
  </w:footnote>
  <w:footnote w:id="190">
    <w:p w14:paraId="16AE9AD0" w14:textId="77777777" w:rsidR="003A6945" w:rsidRPr="001C1F8A" w:rsidRDefault="003A6945" w:rsidP="00D3424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UN. Human Rights Committee. General Comment No. 27. Article 12: Freedom of movement. Sixty-seventh session. U.N. Doc. HRI/GEN/1/Rev.7 at 202 (1999), para. 11.</w:t>
      </w:r>
    </w:p>
  </w:footnote>
  <w:footnote w:id="191">
    <w:p w14:paraId="12B6BD9D" w14:textId="79832B93" w:rsidR="003A6945" w:rsidRPr="001C1F8A" w:rsidRDefault="003A6945" w:rsidP="00492EF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 Court H.R. </w:t>
      </w:r>
      <w:r w:rsidRPr="001C1F8A">
        <w:rPr>
          <w:rFonts w:ascii="Cambria" w:hAnsi="Cambria"/>
          <w:i/>
          <w:iCs/>
          <w:sz w:val="16"/>
          <w:szCs w:val="16"/>
        </w:rPr>
        <w:t xml:space="preserve">Case of Ricardo </w:t>
      </w:r>
      <w:proofErr w:type="spellStart"/>
      <w:r w:rsidRPr="001C1F8A">
        <w:rPr>
          <w:rFonts w:ascii="Cambria" w:hAnsi="Cambria"/>
          <w:i/>
          <w:iCs/>
          <w:sz w:val="16"/>
          <w:szCs w:val="16"/>
        </w:rPr>
        <w:t>Canese</w:t>
      </w:r>
      <w:proofErr w:type="spellEnd"/>
      <w:r w:rsidRPr="001C1F8A">
        <w:rPr>
          <w:rFonts w:ascii="Cambria" w:hAnsi="Cambria"/>
          <w:i/>
          <w:iCs/>
          <w:sz w:val="16"/>
          <w:szCs w:val="16"/>
        </w:rPr>
        <w:t xml:space="preserve"> v. Paraguay</w:t>
      </w:r>
      <w:r w:rsidRPr="001C1F8A">
        <w:rPr>
          <w:rFonts w:ascii="Cambria" w:hAnsi="Cambria"/>
          <w:sz w:val="16"/>
          <w:szCs w:val="16"/>
        </w:rPr>
        <w:t>. Merits, Reparations and Costs. Judgment of August 31, 2004. Series C No. 111, para. 123.</w:t>
      </w:r>
    </w:p>
  </w:footnote>
  <w:footnote w:id="192">
    <w:p w14:paraId="0794EBE8" w14:textId="79C0C6CD" w:rsidR="003A6945" w:rsidRPr="001C1F8A" w:rsidRDefault="003A6945" w:rsidP="00492EF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 Court H.R. </w:t>
      </w:r>
      <w:r w:rsidRPr="001C1F8A">
        <w:rPr>
          <w:rFonts w:ascii="Cambria" w:hAnsi="Cambria"/>
          <w:i/>
          <w:iCs/>
          <w:sz w:val="16"/>
          <w:szCs w:val="16"/>
        </w:rPr>
        <w:t xml:space="preserve">Case of Ricardo </w:t>
      </w:r>
      <w:proofErr w:type="spellStart"/>
      <w:r w:rsidRPr="001C1F8A">
        <w:rPr>
          <w:rFonts w:ascii="Cambria" w:hAnsi="Cambria"/>
          <w:i/>
          <w:iCs/>
          <w:sz w:val="16"/>
          <w:szCs w:val="16"/>
        </w:rPr>
        <w:t>Canese</w:t>
      </w:r>
      <w:proofErr w:type="spellEnd"/>
      <w:r w:rsidRPr="001C1F8A">
        <w:rPr>
          <w:rFonts w:ascii="Cambria" w:hAnsi="Cambria"/>
          <w:i/>
          <w:iCs/>
          <w:sz w:val="16"/>
          <w:szCs w:val="16"/>
        </w:rPr>
        <w:t xml:space="preserve"> v. Paraguay</w:t>
      </w:r>
      <w:r w:rsidRPr="001C1F8A">
        <w:rPr>
          <w:rFonts w:ascii="Cambria" w:hAnsi="Cambria"/>
          <w:sz w:val="16"/>
          <w:szCs w:val="16"/>
        </w:rPr>
        <w:t>. Merits, Reparations and Costs. Judgment of August 31, 2004. Series C No. 111, para. 125.</w:t>
      </w:r>
    </w:p>
  </w:footnote>
  <w:footnote w:id="193">
    <w:p w14:paraId="772ADBC6" w14:textId="23CD1EF5" w:rsidR="003A6945" w:rsidRPr="001C1F8A" w:rsidRDefault="003A6945" w:rsidP="00492EF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Human Rights of Migrants, Refugees, Stateless Persons, Victims of Human Trafficking, and Internally Displaced Persons: Norms and Standards of the Inter-American Human Rights System, OEA/</w:t>
      </w:r>
      <w:proofErr w:type="spellStart"/>
      <w:r w:rsidRPr="001C1F8A">
        <w:rPr>
          <w:rFonts w:ascii="Cambria" w:hAnsi="Cambria"/>
          <w:sz w:val="16"/>
          <w:szCs w:val="16"/>
        </w:rPr>
        <w:t>Ser.L</w:t>
      </w:r>
      <w:proofErr w:type="spellEnd"/>
      <w:r w:rsidRPr="001C1F8A">
        <w:rPr>
          <w:rFonts w:ascii="Cambria" w:hAnsi="Cambria"/>
          <w:sz w:val="16"/>
          <w:szCs w:val="16"/>
        </w:rPr>
        <w:t>/V/II, Doc. 46/15, 31 December 2015, para. 261.</w:t>
      </w:r>
    </w:p>
  </w:footnote>
  <w:footnote w:id="194">
    <w:p w14:paraId="423E397C" w14:textId="19A00616" w:rsidR="003A6945" w:rsidRPr="001C1F8A" w:rsidRDefault="003A6945" w:rsidP="00492EF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 Court H.R. </w:t>
      </w:r>
      <w:r w:rsidRPr="001C1F8A">
        <w:rPr>
          <w:rFonts w:ascii="Cambria" w:hAnsi="Cambria"/>
          <w:i/>
          <w:iCs/>
          <w:sz w:val="16"/>
          <w:szCs w:val="16"/>
        </w:rPr>
        <w:t xml:space="preserve">Case of Ricardo </w:t>
      </w:r>
      <w:proofErr w:type="spellStart"/>
      <w:r w:rsidRPr="001C1F8A">
        <w:rPr>
          <w:rFonts w:ascii="Cambria" w:hAnsi="Cambria"/>
          <w:i/>
          <w:iCs/>
          <w:sz w:val="16"/>
          <w:szCs w:val="16"/>
        </w:rPr>
        <w:t>Canese</w:t>
      </w:r>
      <w:proofErr w:type="spellEnd"/>
      <w:r w:rsidRPr="001C1F8A">
        <w:rPr>
          <w:rFonts w:ascii="Cambria" w:hAnsi="Cambria"/>
          <w:i/>
          <w:iCs/>
          <w:sz w:val="16"/>
          <w:szCs w:val="16"/>
        </w:rPr>
        <w:t xml:space="preserve"> v. Paraguay</w:t>
      </w:r>
      <w:r w:rsidRPr="001C1F8A">
        <w:rPr>
          <w:rFonts w:ascii="Cambria" w:hAnsi="Cambria"/>
          <w:sz w:val="16"/>
          <w:szCs w:val="16"/>
        </w:rPr>
        <w:t>. Merits, Reparations and Costs. Judgment of August 31, 2004. Series C No. 111, para. 133.</w:t>
      </w:r>
    </w:p>
  </w:footnote>
  <w:footnote w:id="195">
    <w:p w14:paraId="290F5FA2" w14:textId="08C5913B" w:rsidR="003A6945" w:rsidRPr="001C1F8A" w:rsidRDefault="003A6945" w:rsidP="0091148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Resolution 18/83, Case 2711, Uruguay, June 30, 1983, para. 4 and operative para. 2. </w:t>
      </w:r>
    </w:p>
  </w:footnote>
  <w:footnote w:id="196">
    <w:p w14:paraId="4DD4A0FE" w14:textId="77777777" w:rsidR="003A6945" w:rsidRPr="001C1F8A" w:rsidRDefault="003A6945" w:rsidP="0091148A">
      <w:pPr>
        <w:pBdr>
          <w:top w:val="none" w:sz="0" w:space="0" w:color="auto"/>
          <w:left w:val="none" w:sz="0" w:space="0" w:color="auto"/>
          <w:bottom w:val="none" w:sz="0" w:space="0" w:color="auto"/>
          <w:right w:val="none" w:sz="0" w:space="0" w:color="auto"/>
        </w:pBdr>
        <w:jc w:val="both"/>
        <w:rPr>
          <w:rFonts w:ascii="Cambria" w:hAnsi="Cambria"/>
          <w:sz w:val="16"/>
          <w:szCs w:val="16"/>
          <w:lang w:val="en-US"/>
        </w:rPr>
      </w:pPr>
      <w:r w:rsidRPr="001C1F8A">
        <w:rPr>
          <w:rFonts w:ascii="Cambria" w:hAnsi="Cambria"/>
          <w:sz w:val="16"/>
          <w:szCs w:val="16"/>
          <w:vertAlign w:val="superscript"/>
          <w:lang w:val="en-US"/>
        </w:rPr>
        <w:footnoteRef/>
      </w:r>
      <w:r w:rsidRPr="001C1F8A">
        <w:rPr>
          <w:rFonts w:ascii="Cambria" w:hAnsi="Cambria" w:cs="Cambria"/>
          <w:color w:val="000000"/>
          <w:sz w:val="16"/>
          <w:szCs w:val="16"/>
          <w:u w:color="000000"/>
          <w:lang w:val="en-US" w:eastAsia="es-ES"/>
        </w:rPr>
        <w:t xml:space="preserve"> IACHR. Resolution 42/81, Case 3992, Cuba, June 25, 1981, operative paragraph 2.</w:t>
      </w:r>
    </w:p>
  </w:footnote>
  <w:footnote w:id="197">
    <w:p w14:paraId="3B0F8ABF" w14:textId="4BD12A5B" w:rsidR="003A6945" w:rsidRPr="001C1F8A" w:rsidRDefault="003A6945" w:rsidP="001141A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Seventh Report on the Situation of Human Rights in Cuba, Ch. VIII, OEA/</w:t>
      </w:r>
      <w:proofErr w:type="spellStart"/>
      <w:r w:rsidRPr="001C1F8A">
        <w:rPr>
          <w:rFonts w:ascii="Cambria" w:hAnsi="Cambria"/>
          <w:sz w:val="16"/>
          <w:szCs w:val="16"/>
        </w:rPr>
        <w:t>Ser.L</w:t>
      </w:r>
      <w:proofErr w:type="spellEnd"/>
      <w:r w:rsidRPr="001C1F8A">
        <w:rPr>
          <w:rFonts w:ascii="Cambria" w:hAnsi="Cambria"/>
          <w:sz w:val="16"/>
          <w:szCs w:val="16"/>
        </w:rPr>
        <w:t>/V/II.61, Doc.29 rev. 1, 4 October 1983, para. 6.</w:t>
      </w:r>
    </w:p>
  </w:footnote>
  <w:footnote w:id="198">
    <w:p w14:paraId="680C2EEA" w14:textId="2CDF5ECE" w:rsidR="003A6945" w:rsidRPr="001C1F8A" w:rsidRDefault="003A6945" w:rsidP="001141A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Annual Report 2012. Ch. IV.B (Human Rights Development Situation in the Region - Cuba), para. 94.</w:t>
      </w:r>
    </w:p>
  </w:footnote>
  <w:footnote w:id="199">
    <w:p w14:paraId="3C610A71" w14:textId="77777777" w:rsidR="003A6945" w:rsidRPr="001C1F8A" w:rsidRDefault="003A6945" w:rsidP="00AB512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hyperlink r:id="rId66" w:history="1">
        <w:r w:rsidRPr="001C1F8A">
          <w:rPr>
            <w:rStyle w:val="Hyperlink"/>
            <w:rFonts w:ascii="Cambria" w:hAnsi="Cambria"/>
            <w:sz w:val="16"/>
            <w:szCs w:val="16"/>
          </w:rPr>
          <w:t xml:space="preserve"> </w:t>
        </w:r>
      </w:hyperlink>
      <w:r w:rsidRPr="001C1F8A">
        <w:rPr>
          <w:rFonts w:ascii="Cambria" w:hAnsi="Cambria"/>
          <w:sz w:val="16"/>
          <w:szCs w:val="16"/>
        </w:rPr>
        <w:t xml:space="preserve"> IACHR</w:t>
      </w:r>
      <w:hyperlink r:id="rId67" w:history="1">
        <w:r w:rsidRPr="001C1F8A">
          <w:rPr>
            <w:rStyle w:val="Hyperlink"/>
            <w:rFonts w:ascii="Cambria" w:hAnsi="Cambria"/>
            <w:sz w:val="16"/>
            <w:szCs w:val="16"/>
          </w:rPr>
          <w:t>. Report on the Situation of Human Rights in Cuba</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 xml:space="preserve">/V/II. Doc 2. February 3, 2020, para. 89. </w:t>
      </w:r>
    </w:p>
  </w:footnote>
  <w:footnote w:id="200">
    <w:p w14:paraId="71DA5A7A" w14:textId="395C6FD8" w:rsidR="003A6945" w:rsidRPr="001C1F8A" w:rsidRDefault="003A6945" w:rsidP="00AB512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Annual Report 2012. Ch. IV.B (Human Rights Development Situation in the Region - Cuba), para. 95. </w:t>
      </w:r>
    </w:p>
  </w:footnote>
  <w:footnote w:id="201">
    <w:p w14:paraId="60CDFAD2" w14:textId="424A8B5C" w:rsidR="003A6945" w:rsidRPr="001C1F8A" w:rsidRDefault="003A6945" w:rsidP="00AB512B">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2015 Annual Report (Ch. IV.B, Cuba), paras. 66-70; IACHR, 2017 Annual Report (Ch. IV.B, Cuba), para. 50; IACHR, 2018 Annual Report (Ch. IV.B, Cuba), paras. 55-60; IACHR. </w:t>
      </w:r>
      <w:hyperlink r:id="rId68" w:history="1">
        <w:r w:rsidRPr="001C1F8A">
          <w:rPr>
            <w:rStyle w:val="Hyperlink"/>
            <w:rFonts w:ascii="Cambria" w:hAnsi="Cambria"/>
            <w:sz w:val="16"/>
            <w:szCs w:val="16"/>
          </w:rPr>
          <w:t>Report on the Situation of Human Rights in Cuba</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/V/II. Doc 2. 3 February 2020, para. 203.</w:t>
      </w:r>
    </w:p>
  </w:footnote>
  <w:footnote w:id="202">
    <w:p w14:paraId="1FC01AA8" w14:textId="2A7BFC3A" w:rsidR="003A6945" w:rsidRPr="001C1F8A" w:rsidRDefault="003A6945" w:rsidP="003650CA">
      <w:pPr>
        <w:autoSpaceDE w:val="0"/>
        <w:autoSpaceDN w:val="0"/>
        <w:adjustRightInd w:val="0"/>
        <w:jc w:val="both"/>
        <w:rPr>
          <w:rFonts w:ascii="Cambria" w:hAnsi="Cambria" w:cs="Arial"/>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bdr w:val="none" w:sz="0" w:space="0" w:color="auto"/>
          <w:lang w:val="en-US"/>
        </w:rPr>
        <w:t xml:space="preserve"> Article XXI of the American Declaration states that: “[e]very person has the right to assemble peaceably with others in a formal public meeting or an informal gathering, in connection with matters of common interest of any nature.”</w:t>
      </w:r>
    </w:p>
  </w:footnote>
  <w:footnote w:id="203">
    <w:p w14:paraId="27CB59DA" w14:textId="61C2C0EE" w:rsidR="003A6945" w:rsidRPr="001C1F8A" w:rsidRDefault="003A6945" w:rsidP="003650C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bdr w:val="none" w:sz="0" w:space="0" w:color="auto"/>
          <w:lang w:val="en-US"/>
        </w:rPr>
      </w:pPr>
      <w:r w:rsidRPr="001C1F8A">
        <w:rPr>
          <w:rStyle w:val="FootnoteReference"/>
          <w:rFonts w:ascii="Cambria" w:hAnsi="Cambria"/>
          <w:sz w:val="16"/>
          <w:szCs w:val="16"/>
          <w:lang w:val="en-US"/>
        </w:rPr>
        <w:footnoteRef/>
      </w:r>
      <w:r w:rsidRPr="001C1F8A">
        <w:rPr>
          <w:rFonts w:ascii="Cambria" w:hAnsi="Cambria"/>
          <w:sz w:val="16"/>
          <w:szCs w:val="16"/>
          <w:bdr w:val="none" w:sz="0" w:space="0" w:color="auto"/>
          <w:lang w:val="en-US"/>
        </w:rPr>
        <w:t xml:space="preserve"> Article XXII of the American Declaration establishes that: “[e]very person has the right to associate with others to promote, exercise and protect his legitimate interests of a political, economic, religious, social, cultural, professional, labor union or other nature.”</w:t>
      </w:r>
    </w:p>
  </w:footnote>
  <w:footnote w:id="204">
    <w:p w14:paraId="3D5E49C1" w14:textId="1C14417C" w:rsidR="003A6945" w:rsidRPr="001C1F8A" w:rsidRDefault="003A6945" w:rsidP="007E5823">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IACHR. Office of the Special Rapporteur for Freedom of Expression. </w:t>
      </w:r>
      <w:hyperlink r:id="rId69" w:history="1">
        <w:r w:rsidRPr="001C1F8A">
          <w:rPr>
            <w:rStyle w:val="Hyperlink"/>
            <w:rFonts w:ascii="Cambria" w:hAnsi="Cambria"/>
            <w:i/>
            <w:iCs/>
            <w:sz w:val="16"/>
            <w:szCs w:val="16"/>
          </w:rPr>
          <w:t>Report on Protest and Human Rights</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/V/II IACHR/RELE/INF.22/19, 2019, para. 19.</w:t>
      </w:r>
    </w:p>
  </w:footnote>
  <w:footnote w:id="205">
    <w:p w14:paraId="456C98BE" w14:textId="15348916" w:rsidR="003A6945" w:rsidRPr="001C1F8A" w:rsidRDefault="003A6945" w:rsidP="001F57D8">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w:t>
      </w:r>
      <w:r w:rsidRPr="008C039F">
        <w:rPr>
          <w:rFonts w:ascii="Cambria" w:hAnsi="Cambria"/>
          <w:sz w:val="16"/>
          <w:szCs w:val="16"/>
        </w:rPr>
        <w:t xml:space="preserve">Report on the Situation of Human Rights Defenders in the Americas, </w:t>
      </w:r>
      <w:r w:rsidRPr="00F804DD">
        <w:rPr>
          <w:rFonts w:ascii="Cambria" w:hAnsi="Cambria"/>
          <w:sz w:val="16"/>
          <w:szCs w:val="16"/>
        </w:rPr>
        <w:t>OEA/</w:t>
      </w:r>
      <w:proofErr w:type="spellStart"/>
      <w:r w:rsidRPr="00F804DD">
        <w:rPr>
          <w:rFonts w:ascii="Cambria" w:hAnsi="Cambria"/>
          <w:sz w:val="16"/>
          <w:szCs w:val="16"/>
        </w:rPr>
        <w:t>Ser.L</w:t>
      </w:r>
      <w:proofErr w:type="spellEnd"/>
      <w:r w:rsidRPr="00F804DD">
        <w:rPr>
          <w:rFonts w:ascii="Cambria" w:hAnsi="Cambria"/>
          <w:sz w:val="16"/>
          <w:szCs w:val="16"/>
        </w:rPr>
        <w:t xml:space="preserve">/V/II 124. Doc 5 rev. 1. </w:t>
      </w:r>
      <w:r w:rsidRPr="009D14E7">
        <w:rPr>
          <w:rFonts w:ascii="Cambria" w:hAnsi="Cambria"/>
          <w:sz w:val="16"/>
          <w:szCs w:val="16"/>
        </w:rPr>
        <w:t xml:space="preserve">March 7, 2006, para. </w:t>
      </w:r>
      <w:r w:rsidRPr="001C1F8A">
        <w:rPr>
          <w:rFonts w:ascii="Cambria" w:hAnsi="Cambria"/>
          <w:sz w:val="16"/>
          <w:szCs w:val="16"/>
        </w:rPr>
        <w:t>52.</w:t>
      </w:r>
    </w:p>
  </w:footnote>
  <w:footnote w:id="206">
    <w:p w14:paraId="722C9AE5" w14:textId="13FE5928" w:rsidR="003A6945" w:rsidRPr="001C1F8A" w:rsidRDefault="003A6945" w:rsidP="001F57D8">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on the Situation of Human Rights Defenders in the Americas, </w:t>
      </w:r>
      <w:r w:rsidRPr="00A80153">
        <w:rPr>
          <w:rFonts w:ascii="Cambria" w:hAnsi="Cambria"/>
          <w:sz w:val="16"/>
          <w:szCs w:val="16"/>
        </w:rPr>
        <w:t>OEA/</w:t>
      </w:r>
      <w:proofErr w:type="spellStart"/>
      <w:r w:rsidRPr="00A80153">
        <w:rPr>
          <w:rFonts w:ascii="Cambria" w:hAnsi="Cambria"/>
          <w:sz w:val="16"/>
          <w:szCs w:val="16"/>
        </w:rPr>
        <w:t>Ser.L</w:t>
      </w:r>
      <w:proofErr w:type="spellEnd"/>
      <w:r w:rsidRPr="00A80153">
        <w:rPr>
          <w:rFonts w:ascii="Cambria" w:hAnsi="Cambria"/>
          <w:sz w:val="16"/>
          <w:szCs w:val="16"/>
        </w:rPr>
        <w:t xml:space="preserve">/V/II 124. </w:t>
      </w:r>
      <w:r w:rsidRPr="001D5255">
        <w:rPr>
          <w:rFonts w:ascii="Cambria" w:hAnsi="Cambria"/>
          <w:sz w:val="16"/>
          <w:szCs w:val="16"/>
        </w:rPr>
        <w:t xml:space="preserve">Doc 5 rev. 1. March 7, </w:t>
      </w:r>
      <w:r w:rsidRPr="001C1F8A">
        <w:rPr>
          <w:rFonts w:ascii="Cambria" w:hAnsi="Cambria"/>
          <w:sz w:val="16"/>
          <w:szCs w:val="16"/>
        </w:rPr>
        <w:t xml:space="preserve">2006, para. 53. </w:t>
      </w:r>
    </w:p>
  </w:footnote>
  <w:footnote w:id="207">
    <w:p w14:paraId="6F84426F" w14:textId="6FD63909" w:rsidR="003A6945" w:rsidRPr="001C1F8A" w:rsidRDefault="003A6945" w:rsidP="0043422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0" w:history="1">
        <w:r w:rsidRPr="001C1F8A">
          <w:rPr>
            <w:rStyle w:val="Hyperlink"/>
            <w:rFonts w:ascii="Cambria" w:hAnsi="Cambria"/>
            <w:i/>
            <w:iCs/>
            <w:sz w:val="16"/>
            <w:szCs w:val="16"/>
          </w:rPr>
          <w:t>Report on Protest and Human Rights</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/V/II IACHR/RELE/INF.22/19, 2019, para. 20.</w:t>
      </w:r>
    </w:p>
  </w:footnote>
  <w:footnote w:id="208">
    <w:p w14:paraId="27437864" w14:textId="77777777" w:rsidR="003A6945" w:rsidRPr="001C1F8A" w:rsidRDefault="003A6945" w:rsidP="002A4DB3">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27/18, Case No. 12.127, Merits (Publication). </w:t>
      </w:r>
      <w:proofErr w:type="spellStart"/>
      <w:r w:rsidRPr="001C1F8A">
        <w:rPr>
          <w:rFonts w:ascii="Cambria" w:hAnsi="Cambria"/>
          <w:sz w:val="16"/>
          <w:szCs w:val="16"/>
        </w:rPr>
        <w:t>Vladimiro</w:t>
      </w:r>
      <w:proofErr w:type="spellEnd"/>
      <w:r w:rsidRPr="001C1F8A">
        <w:rPr>
          <w:rFonts w:ascii="Cambria" w:hAnsi="Cambria"/>
          <w:sz w:val="16"/>
          <w:szCs w:val="16"/>
        </w:rPr>
        <w:t xml:space="preserve"> Roca </w:t>
      </w:r>
      <w:proofErr w:type="spellStart"/>
      <w:r w:rsidRPr="001C1F8A">
        <w:rPr>
          <w:rFonts w:ascii="Cambria" w:hAnsi="Cambria"/>
          <w:sz w:val="16"/>
          <w:szCs w:val="16"/>
        </w:rPr>
        <w:t>Antúnez</w:t>
      </w:r>
      <w:proofErr w:type="spellEnd"/>
      <w:r w:rsidRPr="001C1F8A">
        <w:rPr>
          <w:rFonts w:ascii="Cambria" w:hAnsi="Cambria"/>
          <w:sz w:val="16"/>
          <w:szCs w:val="16"/>
        </w:rPr>
        <w:t xml:space="preserve"> et al. Cuba. February 24, 2018, para. 83.</w:t>
      </w:r>
    </w:p>
  </w:footnote>
  <w:footnote w:id="209">
    <w:p w14:paraId="0CE781B7" w14:textId="77777777" w:rsidR="003A6945" w:rsidRPr="001C1F8A" w:rsidRDefault="003A6945" w:rsidP="00D313E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73/11, Case 11.395 9. Juan José López, Argentina, July 20, 2011, para. 56.  </w:t>
      </w:r>
    </w:p>
  </w:footnote>
  <w:footnote w:id="210">
    <w:p w14:paraId="3BE29298" w14:textId="52DF395A" w:rsidR="003A6945" w:rsidRPr="001C1F8A" w:rsidRDefault="003A6945" w:rsidP="00DB5415">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 Court H.R., </w:t>
      </w:r>
      <w:r w:rsidRPr="001C1F8A">
        <w:rPr>
          <w:rFonts w:ascii="Cambria" w:hAnsi="Cambria"/>
          <w:i/>
          <w:iCs/>
          <w:sz w:val="16"/>
          <w:szCs w:val="16"/>
        </w:rPr>
        <w:t>Case of Escher et al. v. Brazil</w:t>
      </w:r>
      <w:r w:rsidRPr="001C1F8A">
        <w:rPr>
          <w:rFonts w:ascii="Cambria" w:hAnsi="Cambria"/>
          <w:sz w:val="16"/>
          <w:szCs w:val="16"/>
        </w:rPr>
        <w:t xml:space="preserve">. Preliminary Objections, Merits, Reparations, and Costs. Judgment of July 6, 2009. Series C No. 200, para. 169. </w:t>
      </w:r>
    </w:p>
  </w:footnote>
  <w:footnote w:id="211">
    <w:p w14:paraId="2D655043" w14:textId="56CD9C85" w:rsidR="003A6945" w:rsidRPr="001C1F8A" w:rsidRDefault="003A6945" w:rsidP="00F0748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Office of the Special Rapporteur for Freedom of Expression. </w:t>
      </w:r>
      <w:hyperlink r:id="rId71" w:history="1">
        <w:r w:rsidRPr="001C1F8A">
          <w:rPr>
            <w:rStyle w:val="Hyperlink"/>
            <w:rFonts w:ascii="Cambria" w:hAnsi="Cambria"/>
            <w:i/>
            <w:iCs/>
            <w:sz w:val="16"/>
            <w:szCs w:val="16"/>
          </w:rPr>
          <w:t>Report on Protest and Human Rights</w:t>
        </w:r>
      </w:hyperlink>
      <w:r w:rsidRPr="001C1F8A">
        <w:rPr>
          <w:rFonts w:ascii="Cambria" w:hAnsi="Cambria"/>
          <w:sz w:val="16"/>
          <w:szCs w:val="16"/>
        </w:rPr>
        <w:t>. OEA/</w:t>
      </w:r>
      <w:proofErr w:type="spellStart"/>
      <w:r w:rsidRPr="001C1F8A">
        <w:rPr>
          <w:rFonts w:ascii="Cambria" w:hAnsi="Cambria"/>
          <w:sz w:val="16"/>
          <w:szCs w:val="16"/>
        </w:rPr>
        <w:t>Ser.L</w:t>
      </w:r>
      <w:proofErr w:type="spellEnd"/>
      <w:r w:rsidRPr="001C1F8A">
        <w:rPr>
          <w:rFonts w:ascii="Cambria" w:hAnsi="Cambria"/>
          <w:sz w:val="16"/>
          <w:szCs w:val="16"/>
        </w:rPr>
        <w:t>/V/II IACHR/RELE/INF.22/19, 2019, para. 31.</w:t>
      </w:r>
    </w:p>
  </w:footnote>
  <w:footnote w:id="212">
    <w:p w14:paraId="22C4E50C" w14:textId="77777777" w:rsidR="003A6945" w:rsidRPr="001C1F8A" w:rsidRDefault="003A6945" w:rsidP="00F0748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Annual Report 1979-1980, pp. 96-98.</w:t>
      </w:r>
    </w:p>
  </w:footnote>
  <w:footnote w:id="213">
    <w:p w14:paraId="4D6CCA07" w14:textId="77777777" w:rsidR="003A6945" w:rsidRPr="001C1F8A" w:rsidRDefault="003A6945" w:rsidP="00FA0E46">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67/06. Case No. 12.476. Merits. </w:t>
      </w:r>
      <w:r w:rsidRPr="002A7A7E">
        <w:rPr>
          <w:rFonts w:ascii="Cambria" w:hAnsi="Cambria"/>
          <w:sz w:val="16"/>
          <w:szCs w:val="16"/>
          <w:lang w:val="es-PE"/>
        </w:rPr>
        <w:t xml:space="preserve">Oscar Elías Biscet et al. </w:t>
      </w:r>
      <w:r w:rsidRPr="001C1F8A">
        <w:rPr>
          <w:rFonts w:ascii="Cambria" w:hAnsi="Cambria"/>
          <w:sz w:val="16"/>
          <w:szCs w:val="16"/>
        </w:rPr>
        <w:t xml:space="preserve">Cuba. October 21, 2006, para. 222. </w:t>
      </w:r>
    </w:p>
  </w:footnote>
  <w:footnote w:id="214">
    <w:p w14:paraId="2543DC04" w14:textId="503796CA" w:rsidR="003A6945" w:rsidRPr="001C1F8A" w:rsidRDefault="003A6945" w:rsidP="00A13C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bdr w:val="none" w:sz="0" w:space="0" w:color="auto"/>
          <w:lang w:val="en-US"/>
        </w:rPr>
      </w:pPr>
      <w:r w:rsidRPr="001C1F8A">
        <w:rPr>
          <w:rStyle w:val="FootnoteReference"/>
          <w:rFonts w:ascii="Cambria" w:hAnsi="Cambria"/>
          <w:sz w:val="16"/>
          <w:szCs w:val="16"/>
          <w:lang w:val="en-US"/>
        </w:rPr>
        <w:footnoteRef/>
      </w:r>
      <w:r w:rsidRPr="001C1F8A">
        <w:rPr>
          <w:rFonts w:ascii="Cambria" w:hAnsi="Cambria"/>
          <w:sz w:val="16"/>
          <w:szCs w:val="16"/>
          <w:bdr w:val="none" w:sz="0" w:space="0" w:color="auto"/>
          <w:lang w:val="en-US"/>
        </w:rPr>
        <w:t xml:space="preserve"> Article IX of the American Declaration establishes that: “[e]very person has the right to the inviolability of his home.”</w:t>
      </w:r>
    </w:p>
  </w:footnote>
  <w:footnote w:id="215">
    <w:p w14:paraId="375C42BF" w14:textId="4911DE19" w:rsidR="003A6945" w:rsidRPr="001C1F8A" w:rsidRDefault="003A6945" w:rsidP="00A13CEA">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bdr w:val="none" w:sz="0" w:space="0" w:color="auto"/>
        </w:rPr>
        <w:t xml:space="preserve"> Article X of the American Declaration provides that: “[e]very person has the right to the inviolability and transmission of his correspondence.”</w:t>
      </w:r>
    </w:p>
  </w:footnote>
  <w:footnote w:id="216">
    <w:p w14:paraId="517AC994" w14:textId="77777777" w:rsidR="003A6945" w:rsidRPr="001C1F8A" w:rsidRDefault="003A6945" w:rsidP="00EB374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67/06. Case No. 12.476. </w:t>
      </w:r>
      <w:r w:rsidRPr="002A7A7E">
        <w:rPr>
          <w:rFonts w:ascii="Cambria" w:hAnsi="Cambria"/>
          <w:sz w:val="16"/>
          <w:szCs w:val="16"/>
          <w:lang w:val="es-PE"/>
        </w:rPr>
        <w:t xml:space="preserve">Merits. Oscar Elías Biscet et al. </w:t>
      </w:r>
      <w:r w:rsidRPr="001C1F8A">
        <w:rPr>
          <w:rFonts w:ascii="Cambria" w:hAnsi="Cambria"/>
          <w:sz w:val="16"/>
          <w:szCs w:val="16"/>
        </w:rPr>
        <w:t>Cuba. October 21, 2006, para. 259.</w:t>
      </w:r>
    </w:p>
  </w:footnote>
  <w:footnote w:id="217">
    <w:p w14:paraId="6E942375" w14:textId="78CE56FF" w:rsidR="003A6945" w:rsidRPr="001C1F8A" w:rsidRDefault="003A6945" w:rsidP="00EB3741">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2">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 xml:space="preserve">. </w:t>
      </w:r>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188; I/A Court H.R., </w:t>
      </w:r>
      <w:r w:rsidRPr="001C1F8A">
        <w:rPr>
          <w:rFonts w:ascii="Cambria" w:hAnsi="Cambria"/>
          <w:i/>
          <w:iCs/>
          <w:sz w:val="16"/>
          <w:szCs w:val="16"/>
        </w:rPr>
        <w:t xml:space="preserve">Case of </w:t>
      </w:r>
      <w:proofErr w:type="spellStart"/>
      <w:r w:rsidRPr="001C1F8A">
        <w:rPr>
          <w:rFonts w:ascii="Cambria" w:hAnsi="Cambria"/>
          <w:i/>
          <w:iCs/>
          <w:sz w:val="16"/>
          <w:szCs w:val="16"/>
        </w:rPr>
        <w:t>Escué</w:t>
      </w:r>
      <w:proofErr w:type="spellEnd"/>
      <w:r w:rsidRPr="001C1F8A">
        <w:rPr>
          <w:rFonts w:ascii="Cambria" w:hAnsi="Cambria"/>
          <w:i/>
          <w:iCs/>
          <w:sz w:val="16"/>
          <w:szCs w:val="16"/>
        </w:rPr>
        <w:t xml:space="preserve"> Zapata v. Colombia</w:t>
      </w:r>
      <w:r w:rsidRPr="001C1F8A">
        <w:rPr>
          <w:rFonts w:ascii="Cambria" w:hAnsi="Cambria"/>
          <w:sz w:val="16"/>
          <w:szCs w:val="16"/>
        </w:rPr>
        <w:t xml:space="preserve">. Merits, Reparations and Costs. Judgment of July 4, 2007. Series C No. 165; I/A Court H.R., </w:t>
      </w:r>
      <w:r w:rsidRPr="001C1F8A">
        <w:rPr>
          <w:rFonts w:ascii="Cambria" w:hAnsi="Cambria"/>
          <w:i/>
          <w:iCs/>
          <w:sz w:val="16"/>
          <w:szCs w:val="16"/>
        </w:rPr>
        <w:t xml:space="preserve">Case of </w:t>
      </w:r>
      <w:proofErr w:type="spellStart"/>
      <w:r w:rsidRPr="001C1F8A">
        <w:rPr>
          <w:rFonts w:ascii="Cambria" w:hAnsi="Cambria"/>
          <w:i/>
          <w:iCs/>
          <w:sz w:val="16"/>
          <w:szCs w:val="16"/>
        </w:rPr>
        <w:t>Vereda</w:t>
      </w:r>
      <w:proofErr w:type="spellEnd"/>
      <w:r w:rsidRPr="001C1F8A">
        <w:rPr>
          <w:rFonts w:ascii="Cambria" w:hAnsi="Cambria"/>
          <w:i/>
          <w:iCs/>
          <w:sz w:val="16"/>
          <w:szCs w:val="16"/>
        </w:rPr>
        <w:t xml:space="preserve"> La Esperanza v. Colombia</w:t>
      </w:r>
      <w:r w:rsidRPr="001C1F8A">
        <w:rPr>
          <w:rFonts w:ascii="Cambria" w:hAnsi="Cambria"/>
          <w:sz w:val="16"/>
          <w:szCs w:val="16"/>
        </w:rPr>
        <w:t xml:space="preserve">. Preliminary Objections, Merits, Reparations and Costs. Judgment of August 31, 2017. Series C No. 341. </w:t>
      </w:r>
    </w:p>
  </w:footnote>
  <w:footnote w:id="218">
    <w:p w14:paraId="1AE0B246" w14:textId="77777777" w:rsidR="003A6945" w:rsidRPr="001C1F8A" w:rsidRDefault="003A6945" w:rsidP="009D54F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67/06. Case No. 12.476. </w:t>
      </w:r>
      <w:r w:rsidRPr="002A7A7E">
        <w:rPr>
          <w:rFonts w:ascii="Cambria" w:hAnsi="Cambria"/>
          <w:sz w:val="16"/>
          <w:szCs w:val="16"/>
          <w:lang w:val="es-PE"/>
        </w:rPr>
        <w:t xml:space="preserve">Merits. Oscar Elías Biscet et al. </w:t>
      </w:r>
      <w:r w:rsidRPr="001C1F8A">
        <w:rPr>
          <w:rFonts w:ascii="Cambria" w:hAnsi="Cambria"/>
          <w:sz w:val="16"/>
          <w:szCs w:val="16"/>
        </w:rPr>
        <w:t>Cuba. October 21, 2006, para. 242.</w:t>
      </w:r>
    </w:p>
  </w:footnote>
  <w:footnote w:id="219">
    <w:p w14:paraId="3923FA60" w14:textId="4CEB5BAC" w:rsidR="003A6945" w:rsidRPr="001C1F8A" w:rsidRDefault="003A6945" w:rsidP="009D54F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3">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189. See also, ECtHR. </w:t>
      </w:r>
      <w:proofErr w:type="spellStart"/>
      <w:r w:rsidRPr="001C1F8A">
        <w:rPr>
          <w:rFonts w:ascii="Cambria" w:hAnsi="Cambria"/>
          <w:i/>
          <w:iCs/>
          <w:sz w:val="16"/>
          <w:szCs w:val="16"/>
        </w:rPr>
        <w:t>Klass</w:t>
      </w:r>
      <w:proofErr w:type="spellEnd"/>
      <w:r w:rsidRPr="001C1F8A">
        <w:rPr>
          <w:rFonts w:ascii="Cambria" w:hAnsi="Cambria"/>
          <w:i/>
          <w:iCs/>
          <w:sz w:val="16"/>
          <w:szCs w:val="16"/>
        </w:rPr>
        <w:t xml:space="preserve"> et al. v. Germany</w:t>
      </w:r>
      <w:r w:rsidRPr="001C1F8A">
        <w:rPr>
          <w:rFonts w:ascii="Cambria" w:hAnsi="Cambria"/>
          <w:sz w:val="16"/>
          <w:szCs w:val="16"/>
        </w:rPr>
        <w:t xml:space="preserve">. Judgment of 6 September 1978, para. 29; </w:t>
      </w:r>
      <w:r w:rsidRPr="001C1F8A">
        <w:rPr>
          <w:rFonts w:ascii="Cambria" w:hAnsi="Cambria"/>
          <w:i/>
          <w:iCs/>
          <w:sz w:val="16"/>
          <w:szCs w:val="16"/>
        </w:rPr>
        <w:t xml:space="preserve">Halford v. United Kingdom. </w:t>
      </w:r>
      <w:r w:rsidRPr="001C1F8A">
        <w:rPr>
          <w:rFonts w:ascii="Cambria" w:hAnsi="Cambria"/>
          <w:sz w:val="16"/>
          <w:szCs w:val="16"/>
        </w:rPr>
        <w:t xml:space="preserve">Judgment of 27 May 1997, para. 44; </w:t>
      </w:r>
      <w:r w:rsidRPr="001C1F8A">
        <w:rPr>
          <w:rFonts w:ascii="Cambria" w:hAnsi="Cambria"/>
          <w:i/>
          <w:iCs/>
          <w:sz w:val="16"/>
          <w:szCs w:val="16"/>
        </w:rPr>
        <w:t>Amann v. Switzerland</w:t>
      </w:r>
      <w:r w:rsidRPr="001C1F8A">
        <w:rPr>
          <w:rFonts w:ascii="Cambria" w:hAnsi="Cambria"/>
          <w:sz w:val="16"/>
          <w:szCs w:val="16"/>
        </w:rPr>
        <w:t xml:space="preserve">. Judgment of February 16, 2000, para. 44; and </w:t>
      </w:r>
      <w:r w:rsidRPr="001C1F8A">
        <w:rPr>
          <w:rFonts w:ascii="Cambria" w:hAnsi="Cambria"/>
          <w:i/>
          <w:iCs/>
          <w:sz w:val="16"/>
          <w:szCs w:val="16"/>
        </w:rPr>
        <w:t>Copland v. United Kingdom</w:t>
      </w:r>
      <w:r w:rsidRPr="001C1F8A">
        <w:rPr>
          <w:rFonts w:ascii="Cambria" w:hAnsi="Cambria"/>
          <w:sz w:val="16"/>
          <w:szCs w:val="16"/>
        </w:rPr>
        <w:t>. Judgment of March 13, 2007, para. 41.</w:t>
      </w:r>
    </w:p>
  </w:footnote>
  <w:footnote w:id="220">
    <w:p w14:paraId="344911A3" w14:textId="54B73D12" w:rsidR="003A6945" w:rsidRPr="001C1F8A" w:rsidRDefault="003A6945" w:rsidP="009D54F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67/06. Case No. 12.476. Merits. </w:t>
      </w:r>
      <w:r w:rsidRPr="002A7A7E">
        <w:rPr>
          <w:rFonts w:ascii="Cambria" w:hAnsi="Cambria"/>
          <w:sz w:val="16"/>
          <w:szCs w:val="16"/>
          <w:lang w:val="es-PE"/>
        </w:rPr>
        <w:t xml:space="preserve">Oscar Elías Biscet et al. </w:t>
      </w:r>
      <w:r w:rsidRPr="001C1F8A">
        <w:rPr>
          <w:rFonts w:ascii="Cambria" w:hAnsi="Cambria"/>
          <w:sz w:val="16"/>
          <w:szCs w:val="16"/>
        </w:rPr>
        <w:t xml:space="preserve">Cuba. October 21, 2006, para. 242; IACHR. Office of the Special Rapporteur for Freedom of Expression. </w:t>
      </w:r>
      <w:hyperlink r:id="rId74">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paras. 189 and 191.</w:t>
      </w:r>
    </w:p>
  </w:footnote>
  <w:footnote w:id="221">
    <w:p w14:paraId="7B48F47E" w14:textId="1CE0AD11" w:rsidR="003A6945" w:rsidRPr="001C1F8A" w:rsidRDefault="003A6945" w:rsidP="00357EC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5">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10; IACHR. Office of the Special Rapporteur for Freedom of Expression. </w:t>
      </w:r>
      <w:hyperlink r:id="rId76" w:history="1">
        <w:r w:rsidRPr="001C1F8A">
          <w:rPr>
            <w:rStyle w:val="Hyperlink"/>
            <w:rFonts w:ascii="Cambria" w:hAnsi="Cambria"/>
            <w:i/>
            <w:iCs/>
            <w:sz w:val="16"/>
            <w:szCs w:val="16"/>
          </w:rPr>
          <w:t>Special Report on the Situation of Freedom of Expression in Cuba</w:t>
        </w:r>
        <w:r w:rsidRPr="001C1F8A">
          <w:rPr>
            <w:rStyle w:val="Hyperlink"/>
            <w:rFonts w:ascii="Cambria" w:hAnsi="Cambria"/>
            <w:sz w:val="16"/>
            <w:szCs w:val="16"/>
          </w:rPr>
          <w:t>.</w:t>
        </w:r>
      </w:hyperlink>
      <w:r w:rsidRPr="001C1F8A">
        <w:rPr>
          <w:rFonts w:ascii="Cambria" w:hAnsi="Cambria"/>
          <w:sz w:val="16"/>
          <w:szCs w:val="16"/>
        </w:rPr>
        <w:t xml:space="preserve"> OAS/SER.L/V/II CIDH/RELE/INF.21/18. December 31, 2018, para. 243.</w:t>
      </w:r>
    </w:p>
  </w:footnote>
  <w:footnote w:id="222">
    <w:p w14:paraId="379469AD" w14:textId="61F312DB" w:rsidR="003A6945" w:rsidRPr="001C1F8A" w:rsidRDefault="003A6945" w:rsidP="00357EC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7">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188.</w:t>
      </w:r>
    </w:p>
  </w:footnote>
  <w:footnote w:id="223">
    <w:p w14:paraId="53A6D79B" w14:textId="0B954591" w:rsidR="003A6945" w:rsidRPr="001C1F8A" w:rsidRDefault="003A6945" w:rsidP="00357EC8">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8">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216; I/A Court H.R., </w:t>
      </w:r>
      <w:r w:rsidRPr="00546DB3">
        <w:rPr>
          <w:rFonts w:ascii="Cambria" w:hAnsi="Cambria"/>
          <w:i/>
          <w:iCs/>
          <w:sz w:val="16"/>
          <w:szCs w:val="16"/>
        </w:rPr>
        <w:t xml:space="preserve">Case of </w:t>
      </w:r>
      <w:proofErr w:type="spellStart"/>
      <w:r w:rsidRPr="00546DB3">
        <w:rPr>
          <w:rFonts w:ascii="Cambria" w:hAnsi="Cambria"/>
          <w:i/>
          <w:iCs/>
          <w:sz w:val="16"/>
          <w:szCs w:val="16"/>
        </w:rPr>
        <w:t>Tristán</w:t>
      </w:r>
      <w:proofErr w:type="spellEnd"/>
      <w:r w:rsidRPr="00546DB3">
        <w:rPr>
          <w:rFonts w:ascii="Cambria" w:hAnsi="Cambria"/>
          <w:i/>
          <w:iCs/>
          <w:sz w:val="16"/>
          <w:szCs w:val="16"/>
        </w:rPr>
        <w:t xml:space="preserve"> </w:t>
      </w:r>
      <w:proofErr w:type="spellStart"/>
      <w:r w:rsidRPr="00546DB3">
        <w:rPr>
          <w:rFonts w:ascii="Cambria" w:hAnsi="Cambria"/>
          <w:i/>
          <w:iCs/>
          <w:sz w:val="16"/>
          <w:szCs w:val="16"/>
        </w:rPr>
        <w:t>Donoso</w:t>
      </w:r>
      <w:proofErr w:type="spellEnd"/>
      <w:r w:rsidRPr="00546DB3">
        <w:rPr>
          <w:rFonts w:ascii="Cambria" w:hAnsi="Cambria"/>
          <w:i/>
          <w:iCs/>
          <w:sz w:val="16"/>
          <w:szCs w:val="16"/>
        </w:rPr>
        <w:t xml:space="preserve"> v. Panama</w:t>
      </w:r>
      <w:r w:rsidRPr="001C1F8A">
        <w:rPr>
          <w:rFonts w:ascii="Cambria" w:hAnsi="Cambria"/>
          <w:sz w:val="16"/>
          <w:szCs w:val="16"/>
        </w:rPr>
        <w:t xml:space="preserve">. Preliminary Objection, Merits, Reparations and Costs. Judgment of January 27, 2009. Series C No. 193, para. 55.  </w:t>
      </w:r>
    </w:p>
  </w:footnote>
  <w:footnote w:id="224">
    <w:p w14:paraId="0F3E6DE1" w14:textId="1A49ACB7" w:rsidR="003A6945" w:rsidRPr="001C1F8A" w:rsidRDefault="003A6945" w:rsidP="0023626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UN. Human Rights Council. Report of the Special Rapporteur on the promotion and protection of the right to freedom of opinion and expression, Frank La Rue. UN Doc. A/HRC/23/40. April 17, 2013, para. 81. </w:t>
      </w:r>
    </w:p>
  </w:footnote>
  <w:footnote w:id="225">
    <w:p w14:paraId="690A12AD" w14:textId="2A8C6F50" w:rsidR="003A6945" w:rsidRPr="001C1F8A" w:rsidRDefault="003A6945" w:rsidP="0023626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79">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217.</w:t>
      </w:r>
    </w:p>
  </w:footnote>
  <w:footnote w:id="226">
    <w:p w14:paraId="07549EB2" w14:textId="77777777" w:rsidR="003A6945" w:rsidRPr="001C1F8A" w:rsidRDefault="003A6945" w:rsidP="00F6370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67/06, Case No. 12.476, Merits, Oscar Elías Biscet et al, Cuba, October 21, 2006, para. 261.</w:t>
      </w:r>
    </w:p>
  </w:footnote>
  <w:footnote w:id="227">
    <w:p w14:paraId="521CC9C0" w14:textId="0AE1DFD1" w:rsidR="003A6945" w:rsidRPr="001C1F8A" w:rsidRDefault="003A6945" w:rsidP="00625E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Article IV of the American Declaration states that: “[e]very person has the right to freedom of investigation, of opinion, and of the expression and dissemination of ideas, by any medium whatsoever.” </w:t>
      </w:r>
    </w:p>
  </w:footnote>
  <w:footnote w:id="228">
    <w:p w14:paraId="56D266EA" w14:textId="661489A9" w:rsidR="003A6945" w:rsidRPr="001C1F8A" w:rsidRDefault="003A6945" w:rsidP="002D3D3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Article XX of the American Declaration establishes that: “[e]very person having legal capacity is entitled to participate in the government of his country, directly or through his representatives, and to take part in popular elections, which shall be by secret ballot, and shall be honest, periodic and free.”</w:t>
      </w:r>
    </w:p>
  </w:footnote>
  <w:footnote w:id="229">
    <w:p w14:paraId="60C304C2" w14:textId="668A5EF2" w:rsidR="003A6945" w:rsidRPr="001C1F8A" w:rsidRDefault="003A6945" w:rsidP="00625E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Article V of the American Declaration prescribes that: “[e]very person has the right to the protection of the law against abusive attacks upon his honor, his reputation, and his private and family life.”</w:t>
      </w:r>
    </w:p>
  </w:footnote>
  <w:footnote w:id="230">
    <w:p w14:paraId="0E77B58D" w14:textId="673606E4" w:rsidR="003A6945" w:rsidRPr="002A7A7E" w:rsidRDefault="003A6945" w:rsidP="002D3D37">
      <w:pPr>
        <w:pStyle w:val="FootnoteText"/>
        <w:jc w:val="both"/>
        <w:rPr>
          <w:rFonts w:ascii="Cambria" w:hAnsi="Cambria"/>
          <w:sz w:val="16"/>
          <w:szCs w:val="16"/>
          <w:u w:val="single"/>
          <w:lang w:val="es-PE"/>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w:t>
      </w:r>
      <w:hyperlink r:id="rId80" w:history="1">
        <w:r w:rsidRPr="001C1F8A">
          <w:rPr>
            <w:rStyle w:val="Hyperlink"/>
            <w:rFonts w:ascii="Cambria" w:hAnsi="Cambria"/>
            <w:color w:val="auto"/>
            <w:sz w:val="16"/>
            <w:szCs w:val="16"/>
            <w:u w:val="none"/>
          </w:rPr>
          <w:t>Annual Report 2009. Report of the Office of the Special Rapporteur for Freedom of Expression</w:t>
        </w:r>
      </w:hyperlink>
      <w:r w:rsidRPr="001C1F8A">
        <w:rPr>
          <w:rStyle w:val="Hyperlink"/>
          <w:rFonts w:ascii="Cambria" w:hAnsi="Cambria"/>
          <w:color w:val="auto"/>
          <w:sz w:val="16"/>
          <w:szCs w:val="16"/>
          <w:u w:val="none"/>
        </w:rPr>
        <w:t>.</w:t>
      </w:r>
      <w:r w:rsidRPr="001C1F8A">
        <w:rPr>
          <w:rFonts w:ascii="Cambria" w:hAnsi="Cambria"/>
          <w:color w:val="auto"/>
          <w:sz w:val="16"/>
          <w:szCs w:val="16"/>
        </w:rPr>
        <w:t xml:space="preserve"> Ch. III (Inter-American Legal Framework of the Right to Freedom of Expression). OEA/</w:t>
      </w:r>
      <w:proofErr w:type="spellStart"/>
      <w:r w:rsidRPr="001C1F8A">
        <w:rPr>
          <w:rFonts w:ascii="Cambria" w:hAnsi="Cambria"/>
          <w:color w:val="auto"/>
          <w:sz w:val="16"/>
          <w:szCs w:val="16"/>
        </w:rPr>
        <w:t>Ser.L</w:t>
      </w:r>
      <w:proofErr w:type="spellEnd"/>
      <w:r w:rsidRPr="001C1F8A">
        <w:rPr>
          <w:rFonts w:ascii="Cambria" w:hAnsi="Cambria"/>
          <w:color w:val="auto"/>
          <w:sz w:val="16"/>
          <w:szCs w:val="16"/>
        </w:rPr>
        <w:t xml:space="preserve">/V/II. Doc. 51. December 30, 2009, para. 7. </w:t>
      </w:r>
      <w:r w:rsidRPr="001C1F8A">
        <w:rPr>
          <w:rFonts w:ascii="Cambria" w:hAnsi="Cambria"/>
          <w:sz w:val="16"/>
          <w:szCs w:val="16"/>
        </w:rPr>
        <w:t xml:space="preserve">IACHR. Report No. 27/18, Case No. 12,127. </w:t>
      </w:r>
      <w:r w:rsidRPr="002A7A7E">
        <w:rPr>
          <w:rFonts w:ascii="Cambria" w:hAnsi="Cambria"/>
          <w:sz w:val="16"/>
          <w:szCs w:val="16"/>
          <w:lang w:val="es-PE"/>
        </w:rPr>
        <w:t>Vladimiro Roca Antúnez et al. Cuba. February 24, 2018, para. 79.</w:t>
      </w:r>
    </w:p>
  </w:footnote>
  <w:footnote w:id="231">
    <w:p w14:paraId="66D71EC8" w14:textId="3FF147A0" w:rsidR="003A6945" w:rsidRPr="001C1F8A" w:rsidRDefault="003A6945" w:rsidP="0040402E">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2A7A7E">
        <w:rPr>
          <w:rFonts w:ascii="Cambria" w:hAnsi="Cambria"/>
          <w:color w:val="auto"/>
          <w:sz w:val="16"/>
          <w:szCs w:val="16"/>
          <w:lang w:val="es-PE"/>
        </w:rPr>
        <w:t xml:space="preserve"> IACHR, Report No. 103/13, Case 12.816, Merits. Adán Guillermo López Lone et al. Honduras. November 5, 2013, para. 210; IACHR, Report No. 27/15, Case 12.795, Merits. Alfredo Lagos del Campo. </w:t>
      </w:r>
      <w:r w:rsidRPr="001C1F8A">
        <w:rPr>
          <w:rFonts w:ascii="Cambria" w:hAnsi="Cambria"/>
          <w:color w:val="auto"/>
          <w:sz w:val="16"/>
          <w:szCs w:val="16"/>
        </w:rPr>
        <w:t xml:space="preserve">Peru. July 21, 2015, para. 75; IACHR. Pleadings before the Inter-American Court in the </w:t>
      </w:r>
      <w:r w:rsidRPr="001C1F8A">
        <w:rPr>
          <w:rFonts w:ascii="Cambria" w:hAnsi="Cambria"/>
          <w:i/>
          <w:iCs/>
          <w:color w:val="auto"/>
          <w:sz w:val="16"/>
          <w:szCs w:val="16"/>
        </w:rPr>
        <w:t xml:space="preserve">Case of </w:t>
      </w:r>
      <w:proofErr w:type="spellStart"/>
      <w:r w:rsidRPr="001C1F8A">
        <w:rPr>
          <w:rFonts w:ascii="Cambria" w:hAnsi="Cambria"/>
          <w:i/>
          <w:iCs/>
          <w:color w:val="auto"/>
          <w:sz w:val="16"/>
          <w:szCs w:val="16"/>
        </w:rPr>
        <w:t>Ivcher</w:t>
      </w:r>
      <w:proofErr w:type="spellEnd"/>
      <w:r w:rsidRPr="001C1F8A">
        <w:rPr>
          <w:rFonts w:ascii="Cambria" w:hAnsi="Cambria"/>
          <w:i/>
          <w:iCs/>
          <w:color w:val="auto"/>
          <w:sz w:val="16"/>
          <w:szCs w:val="16"/>
        </w:rPr>
        <w:t xml:space="preserve"> Bronstein v. Peru</w:t>
      </w:r>
      <w:r w:rsidRPr="001C1F8A">
        <w:rPr>
          <w:rFonts w:ascii="Cambria" w:hAnsi="Cambria"/>
          <w:color w:val="auto"/>
          <w:sz w:val="16"/>
          <w:szCs w:val="16"/>
        </w:rPr>
        <w:t xml:space="preserve">. Transcribed in I/A Court H.R. </w:t>
      </w:r>
      <w:r w:rsidRPr="001C1F8A">
        <w:rPr>
          <w:rFonts w:ascii="Cambria" w:hAnsi="Cambria"/>
          <w:i/>
          <w:iCs/>
          <w:color w:val="auto"/>
          <w:sz w:val="16"/>
          <w:szCs w:val="16"/>
        </w:rPr>
        <w:t xml:space="preserve">Case of </w:t>
      </w:r>
      <w:proofErr w:type="spellStart"/>
      <w:r w:rsidRPr="001C1F8A">
        <w:rPr>
          <w:rFonts w:ascii="Cambria" w:hAnsi="Cambria"/>
          <w:i/>
          <w:iCs/>
          <w:color w:val="auto"/>
          <w:sz w:val="16"/>
          <w:szCs w:val="16"/>
        </w:rPr>
        <w:t>Ivcher</w:t>
      </w:r>
      <w:proofErr w:type="spellEnd"/>
      <w:r w:rsidRPr="001C1F8A">
        <w:rPr>
          <w:rFonts w:ascii="Cambria" w:hAnsi="Cambria"/>
          <w:i/>
          <w:iCs/>
          <w:color w:val="auto"/>
          <w:sz w:val="16"/>
          <w:szCs w:val="16"/>
        </w:rPr>
        <w:t xml:space="preserve"> Bronstein v. Peru.</w:t>
      </w:r>
      <w:r w:rsidRPr="001C1F8A">
        <w:rPr>
          <w:rFonts w:ascii="Cambria" w:hAnsi="Cambria"/>
          <w:color w:val="auto"/>
          <w:sz w:val="16"/>
          <w:szCs w:val="16"/>
        </w:rPr>
        <w:t xml:space="preserve"> Judgment of February 6, 2001. Series C No. 74, para. 143(d); IACHR. Pleadings before the Inter-American Court in the </w:t>
      </w:r>
      <w:r w:rsidRPr="001C1F8A">
        <w:rPr>
          <w:rFonts w:ascii="Cambria" w:hAnsi="Cambria"/>
          <w:i/>
          <w:iCs/>
          <w:color w:val="auto"/>
          <w:sz w:val="16"/>
          <w:szCs w:val="16"/>
        </w:rPr>
        <w:t>Case of “The Last Temptation of Christ” (Olmedo Bustos et al.) v. Chile</w:t>
      </w:r>
      <w:r w:rsidRPr="001C1F8A">
        <w:rPr>
          <w:rFonts w:ascii="Cambria" w:hAnsi="Cambria"/>
          <w:color w:val="auto"/>
          <w:sz w:val="16"/>
          <w:szCs w:val="16"/>
        </w:rPr>
        <w:t xml:space="preserve">. Transcribed in I/A Court H.R. </w:t>
      </w:r>
      <w:r w:rsidRPr="001C1F8A">
        <w:rPr>
          <w:rFonts w:ascii="Cambria" w:hAnsi="Cambria"/>
          <w:i/>
          <w:iCs/>
          <w:color w:val="auto"/>
          <w:sz w:val="16"/>
          <w:szCs w:val="16"/>
        </w:rPr>
        <w:t>Case of “The Last Temptation of Christ” (Olmedo Bustos et al.) v. Chile.</w:t>
      </w:r>
      <w:r w:rsidRPr="001C1F8A">
        <w:rPr>
          <w:rFonts w:ascii="Cambria" w:hAnsi="Cambria"/>
          <w:color w:val="auto"/>
          <w:sz w:val="16"/>
          <w:szCs w:val="16"/>
        </w:rPr>
        <w:t xml:space="preserve"> Judgment of February 5, 2001. Series C No. 73, para. 61(b).</w:t>
      </w:r>
    </w:p>
  </w:footnote>
  <w:footnote w:id="232">
    <w:p w14:paraId="3D18E0BD" w14:textId="684D4252" w:rsidR="003A6945" w:rsidRPr="001C1F8A" w:rsidRDefault="003A6945" w:rsidP="0040402E">
      <w:pPr>
        <w:pStyle w:val="FootnoteText"/>
        <w:jc w:val="both"/>
        <w:rPr>
          <w:rFonts w:ascii="Cambria" w:hAnsi="Cambria"/>
          <w:color w:val="auto"/>
          <w:spacing w:val="-4"/>
          <w:sz w:val="16"/>
          <w:szCs w:val="16"/>
        </w:rPr>
      </w:pPr>
      <w:r w:rsidRPr="001C1F8A">
        <w:rPr>
          <w:rStyle w:val="FootnoteReference"/>
          <w:rFonts w:ascii="Cambria" w:hAnsi="Cambria"/>
          <w:color w:val="auto"/>
          <w:spacing w:val="-4"/>
          <w:sz w:val="16"/>
          <w:szCs w:val="16"/>
        </w:rPr>
        <w:footnoteRef/>
      </w:r>
      <w:r w:rsidRPr="001C1F8A">
        <w:rPr>
          <w:rFonts w:ascii="Cambria" w:hAnsi="Cambria"/>
          <w:color w:val="auto"/>
          <w:spacing w:val="-4"/>
          <w:sz w:val="16"/>
          <w:szCs w:val="16"/>
        </w:rPr>
        <w:t xml:space="preserve">  I/A Court H.R. </w:t>
      </w:r>
      <w:r w:rsidRPr="001C1F8A">
        <w:rPr>
          <w:rFonts w:ascii="Cambria" w:hAnsi="Cambria"/>
          <w:i/>
          <w:iCs/>
          <w:color w:val="auto"/>
          <w:spacing w:val="-4"/>
          <w:sz w:val="16"/>
          <w:szCs w:val="16"/>
        </w:rPr>
        <w:t xml:space="preserve">Compulsory Membership in an Association Prescribed by Law for the Practice of Journalism (Arts. 13 and 29 American Convention on Human Rights). </w:t>
      </w:r>
      <w:r w:rsidRPr="001C1F8A">
        <w:rPr>
          <w:rFonts w:ascii="Cambria" w:hAnsi="Cambria"/>
          <w:color w:val="auto"/>
          <w:spacing w:val="-4"/>
          <w:sz w:val="16"/>
          <w:szCs w:val="16"/>
        </w:rPr>
        <w:t>Advisory Opinion OC-5/85 of November 13, 1985. Series A No. 5</w:t>
      </w:r>
      <w:r w:rsidRPr="001C1F8A">
        <w:rPr>
          <w:rStyle w:val="Strong"/>
          <w:rFonts w:ascii="Cambria" w:hAnsi="Cambria"/>
          <w:b w:val="0"/>
          <w:color w:val="auto"/>
          <w:sz w:val="16"/>
          <w:szCs w:val="16"/>
          <w:shd w:val="clear" w:color="auto" w:fill="FFFFFF"/>
        </w:rPr>
        <w:t>, para. 70</w:t>
      </w:r>
      <w:r w:rsidRPr="001C1F8A">
        <w:rPr>
          <w:rFonts w:ascii="Cambria" w:hAnsi="Cambria"/>
          <w:color w:val="auto"/>
          <w:spacing w:val="-4"/>
          <w:sz w:val="16"/>
          <w:szCs w:val="16"/>
        </w:rPr>
        <w:t>.</w:t>
      </w:r>
    </w:p>
  </w:footnote>
  <w:footnote w:id="233">
    <w:p w14:paraId="43A76F3E" w14:textId="77777777" w:rsidR="003A6945" w:rsidRPr="001C1F8A" w:rsidRDefault="003A6945" w:rsidP="005C78CD">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Report No. 67/06. Case 12.476. Oscar Elías Biscet et al. (Cuba). October 21, 2006, para. 198. </w:t>
      </w:r>
    </w:p>
  </w:footnote>
  <w:footnote w:id="234">
    <w:p w14:paraId="09636AB4" w14:textId="7147AD3B" w:rsidR="003A6945" w:rsidRPr="001C1F8A" w:rsidRDefault="003A6945" w:rsidP="005C78CD">
      <w:pPr>
        <w:pStyle w:val="FootnoteText"/>
        <w:jc w:val="both"/>
        <w:rPr>
          <w:rFonts w:ascii="Cambria" w:hAnsi="Cambria"/>
          <w:color w:val="auto"/>
          <w:sz w:val="16"/>
          <w:szCs w:val="16"/>
        </w:rPr>
      </w:pPr>
      <w:r w:rsidRPr="001C1F8A">
        <w:rPr>
          <w:rStyle w:val="FootnoteReference"/>
          <w:rFonts w:ascii="Cambria" w:hAnsi="Cambria"/>
          <w:spacing w:val="-4"/>
          <w:sz w:val="16"/>
          <w:szCs w:val="16"/>
        </w:rPr>
        <w:footnoteRef/>
      </w:r>
      <w:r w:rsidRPr="001C1F8A">
        <w:rPr>
          <w:rFonts w:ascii="Cambria" w:hAnsi="Cambria"/>
          <w:i/>
          <w:iCs/>
          <w:color w:val="auto"/>
          <w:spacing w:val="-4"/>
          <w:sz w:val="16"/>
          <w:szCs w:val="16"/>
        </w:rPr>
        <w:t xml:space="preserve"> </w:t>
      </w:r>
      <w:r w:rsidRPr="001C1F8A">
        <w:rPr>
          <w:rFonts w:ascii="Cambria" w:hAnsi="Cambria"/>
          <w:color w:val="auto"/>
          <w:spacing w:val="-4"/>
          <w:sz w:val="16"/>
          <w:szCs w:val="16"/>
        </w:rPr>
        <w:t xml:space="preserve">I/A Court H.R. </w:t>
      </w:r>
      <w:r w:rsidRPr="001C1F8A">
        <w:rPr>
          <w:rFonts w:ascii="Cambria" w:hAnsi="Cambria"/>
          <w:i/>
          <w:iCs/>
          <w:color w:val="auto"/>
          <w:spacing w:val="-4"/>
          <w:sz w:val="16"/>
          <w:szCs w:val="16"/>
        </w:rPr>
        <w:t xml:space="preserve">Compulsory Membership in an Association Prescribed by Law for the Practice of Journalism (Arts. 13 and 29 American Convention on Human Rights). </w:t>
      </w:r>
      <w:r w:rsidRPr="001C1F8A">
        <w:rPr>
          <w:rFonts w:ascii="Cambria" w:hAnsi="Cambria"/>
          <w:color w:val="auto"/>
          <w:spacing w:val="-4"/>
          <w:sz w:val="16"/>
          <w:szCs w:val="16"/>
        </w:rPr>
        <w:t>Advisory Opinion OC-5/85 of November 13, 1985. Series A No. 5</w:t>
      </w:r>
      <w:r w:rsidRPr="001C1F8A">
        <w:rPr>
          <w:rStyle w:val="Strong"/>
          <w:rFonts w:ascii="Cambria" w:hAnsi="Cambria"/>
          <w:b w:val="0"/>
          <w:color w:val="auto"/>
          <w:sz w:val="16"/>
          <w:szCs w:val="16"/>
          <w:shd w:val="clear" w:color="auto" w:fill="FFFFFF"/>
        </w:rPr>
        <w:t xml:space="preserve">, para. </w:t>
      </w:r>
      <w:r w:rsidRPr="001C1F8A">
        <w:rPr>
          <w:rStyle w:val="Strong"/>
          <w:rFonts w:ascii="Cambria" w:hAnsi="Cambria"/>
          <w:b w:val="0"/>
          <w:sz w:val="16"/>
          <w:szCs w:val="16"/>
          <w:shd w:val="clear" w:color="auto" w:fill="FFFFFF"/>
        </w:rPr>
        <w:t xml:space="preserve">30. </w:t>
      </w:r>
      <w:r w:rsidRPr="001C1F8A">
        <w:rPr>
          <w:rFonts w:ascii="Cambria" w:hAnsi="Cambria"/>
          <w:color w:val="auto"/>
          <w:sz w:val="16"/>
          <w:szCs w:val="16"/>
        </w:rPr>
        <w:t xml:space="preserve">IACHR. Report No. 148/19. Case 12.971. Ronald Moya </w:t>
      </w:r>
      <w:proofErr w:type="spellStart"/>
      <w:r w:rsidRPr="001C1F8A">
        <w:rPr>
          <w:rFonts w:ascii="Cambria" w:hAnsi="Cambria"/>
          <w:color w:val="auto"/>
          <w:sz w:val="16"/>
          <w:szCs w:val="16"/>
        </w:rPr>
        <w:t>Chacón</w:t>
      </w:r>
      <w:proofErr w:type="spellEnd"/>
      <w:r w:rsidRPr="001C1F8A">
        <w:rPr>
          <w:rFonts w:ascii="Cambria" w:hAnsi="Cambria"/>
          <w:color w:val="auto"/>
          <w:sz w:val="16"/>
          <w:szCs w:val="16"/>
        </w:rPr>
        <w:t xml:space="preserve"> and Freddy </w:t>
      </w:r>
      <w:proofErr w:type="spellStart"/>
      <w:r w:rsidRPr="001C1F8A">
        <w:rPr>
          <w:rFonts w:ascii="Cambria" w:hAnsi="Cambria"/>
          <w:color w:val="auto"/>
          <w:sz w:val="16"/>
          <w:szCs w:val="16"/>
        </w:rPr>
        <w:t>Parrales</w:t>
      </w:r>
      <w:proofErr w:type="spellEnd"/>
      <w:r w:rsidRPr="001C1F8A">
        <w:rPr>
          <w:rFonts w:ascii="Cambria" w:hAnsi="Cambria"/>
          <w:color w:val="auto"/>
          <w:sz w:val="16"/>
          <w:szCs w:val="16"/>
        </w:rPr>
        <w:t xml:space="preserve"> Chaves. Costa Rica. September 28, 2019, para. 39.</w:t>
      </w:r>
    </w:p>
  </w:footnote>
  <w:footnote w:id="235">
    <w:p w14:paraId="46013250" w14:textId="117D3FC0" w:rsidR="003A6945" w:rsidRPr="001C1F8A" w:rsidRDefault="003A6945" w:rsidP="005C78CD">
      <w:pPr>
        <w:pStyle w:val="FootnoteText"/>
        <w:jc w:val="both"/>
        <w:rPr>
          <w:rFonts w:ascii="Cambria" w:hAnsi="Cambria"/>
          <w:color w:val="auto"/>
          <w:sz w:val="16"/>
          <w:szCs w:val="16"/>
        </w:rPr>
      </w:pPr>
      <w:r w:rsidRPr="001C1F8A">
        <w:rPr>
          <w:rStyle w:val="FootnoteReference"/>
          <w:rFonts w:ascii="Cambria" w:eastAsiaTheme="majorEastAsia" w:hAnsi="Cambria"/>
          <w:color w:val="auto"/>
          <w:spacing w:val="-4"/>
          <w:sz w:val="16"/>
          <w:szCs w:val="16"/>
        </w:rPr>
        <w:footnoteRef/>
      </w:r>
      <w:r w:rsidRPr="001C1F8A">
        <w:rPr>
          <w:rFonts w:ascii="Cambria" w:hAnsi="Cambria"/>
          <w:i/>
          <w:iCs/>
          <w:color w:val="auto"/>
          <w:spacing w:val="-4"/>
          <w:sz w:val="16"/>
          <w:szCs w:val="16"/>
        </w:rPr>
        <w:t xml:space="preserve"> </w:t>
      </w:r>
      <w:r w:rsidRPr="001C1F8A">
        <w:rPr>
          <w:rFonts w:ascii="Cambria" w:hAnsi="Cambria"/>
          <w:color w:val="auto"/>
          <w:spacing w:val="-4"/>
          <w:sz w:val="16"/>
          <w:szCs w:val="16"/>
        </w:rPr>
        <w:t xml:space="preserve">I/A Court H.R. </w:t>
      </w:r>
      <w:r w:rsidRPr="001C1F8A">
        <w:rPr>
          <w:rFonts w:ascii="Cambria" w:hAnsi="Cambria"/>
          <w:i/>
          <w:iCs/>
          <w:color w:val="auto"/>
          <w:spacing w:val="-4"/>
          <w:sz w:val="16"/>
          <w:szCs w:val="16"/>
        </w:rPr>
        <w:t xml:space="preserve">Compulsory Membership in an Association Prescribed by Law for the Practice of Journalism (Arts. 13 and 29 American Convention on Human Rights). </w:t>
      </w:r>
      <w:r w:rsidRPr="001C1F8A">
        <w:rPr>
          <w:rFonts w:ascii="Cambria" w:hAnsi="Cambria"/>
          <w:color w:val="auto"/>
          <w:spacing w:val="-4"/>
          <w:sz w:val="16"/>
          <w:szCs w:val="16"/>
        </w:rPr>
        <w:t>Advisory Opinion OC-5/85 of November 13, 1985. Series A No. 5</w:t>
      </w:r>
      <w:r w:rsidRPr="001C1F8A">
        <w:rPr>
          <w:rStyle w:val="Strong"/>
          <w:rFonts w:ascii="Cambria" w:hAnsi="Cambria"/>
          <w:b w:val="0"/>
          <w:color w:val="auto"/>
          <w:sz w:val="16"/>
          <w:szCs w:val="16"/>
          <w:shd w:val="clear" w:color="auto" w:fill="FFFFFF"/>
        </w:rPr>
        <w:t xml:space="preserve">, para. </w:t>
      </w:r>
      <w:r w:rsidRPr="001C1F8A">
        <w:rPr>
          <w:rStyle w:val="Strong"/>
          <w:rFonts w:ascii="Cambria" w:hAnsi="Cambria"/>
          <w:b w:val="0"/>
          <w:sz w:val="16"/>
          <w:szCs w:val="16"/>
          <w:shd w:val="clear" w:color="auto" w:fill="FFFFFF"/>
        </w:rPr>
        <w:t xml:space="preserve">30. </w:t>
      </w:r>
      <w:r w:rsidRPr="001C1F8A">
        <w:rPr>
          <w:rFonts w:ascii="Cambria" w:hAnsi="Cambria"/>
          <w:color w:val="auto"/>
          <w:sz w:val="16"/>
          <w:szCs w:val="16"/>
        </w:rPr>
        <w:t xml:space="preserve">IACHR. Report No. 148/19. Case 12.971. Ronald Moya </w:t>
      </w:r>
      <w:proofErr w:type="spellStart"/>
      <w:r w:rsidRPr="001C1F8A">
        <w:rPr>
          <w:rFonts w:ascii="Cambria" w:hAnsi="Cambria"/>
          <w:color w:val="auto"/>
          <w:sz w:val="16"/>
          <w:szCs w:val="16"/>
        </w:rPr>
        <w:t>Chacón</w:t>
      </w:r>
      <w:proofErr w:type="spellEnd"/>
      <w:r w:rsidRPr="001C1F8A">
        <w:rPr>
          <w:rFonts w:ascii="Cambria" w:hAnsi="Cambria"/>
          <w:color w:val="auto"/>
          <w:sz w:val="16"/>
          <w:szCs w:val="16"/>
        </w:rPr>
        <w:t xml:space="preserve"> and Freddy </w:t>
      </w:r>
      <w:proofErr w:type="spellStart"/>
      <w:r w:rsidRPr="001C1F8A">
        <w:rPr>
          <w:rFonts w:ascii="Cambria" w:hAnsi="Cambria"/>
          <w:color w:val="auto"/>
          <w:sz w:val="16"/>
          <w:szCs w:val="16"/>
        </w:rPr>
        <w:t>Parrales</w:t>
      </w:r>
      <w:proofErr w:type="spellEnd"/>
      <w:r w:rsidRPr="001C1F8A">
        <w:rPr>
          <w:rFonts w:ascii="Cambria" w:hAnsi="Cambria"/>
          <w:color w:val="auto"/>
          <w:sz w:val="16"/>
          <w:szCs w:val="16"/>
        </w:rPr>
        <w:t xml:space="preserve"> Chaves. Costa Rica. September 28, 2019, para. 39.</w:t>
      </w:r>
    </w:p>
  </w:footnote>
  <w:footnote w:id="236">
    <w:p w14:paraId="575C783B" w14:textId="373D8C86" w:rsidR="003A6945" w:rsidRPr="001C1F8A" w:rsidRDefault="003A6945" w:rsidP="00AC7754">
      <w:pPr>
        <w:pStyle w:val="Footnotes"/>
        <w:spacing w:after="0"/>
        <w:ind w:firstLine="0"/>
        <w:rPr>
          <w:b/>
          <w:bCs/>
          <w:sz w:val="16"/>
          <w:szCs w:val="16"/>
          <w:highlight w:val="yellow"/>
        </w:rPr>
      </w:pPr>
      <w:r w:rsidRPr="001C1F8A">
        <w:rPr>
          <w:rStyle w:val="Strong"/>
          <w:rFonts w:eastAsia="Calibri" w:cs="Calibri"/>
          <w:b w:val="0"/>
          <w:bCs w:val="0"/>
          <w:sz w:val="16"/>
          <w:szCs w:val="16"/>
          <w:bdr w:val="nil"/>
          <w:shd w:val="clear" w:color="auto" w:fill="FFFFFF"/>
          <w:vertAlign w:val="superscript"/>
          <w:lang w:eastAsia="es-ES"/>
        </w:rPr>
        <w:footnoteRef/>
      </w:r>
      <w:r w:rsidRPr="001C1F8A">
        <w:rPr>
          <w:rStyle w:val="Strong"/>
          <w:rFonts w:eastAsia="Calibri" w:cs="Calibri"/>
          <w:b w:val="0"/>
          <w:bCs w:val="0"/>
          <w:sz w:val="16"/>
          <w:szCs w:val="16"/>
          <w:bdr w:val="nil"/>
          <w:shd w:val="clear" w:color="auto" w:fill="FFFFFF"/>
          <w:lang w:eastAsia="es-ES"/>
        </w:rPr>
        <w:t xml:space="preserve"> IACHR. Inter-American Legal Framework regarding the Right to Freedom of Expression. OAS </w:t>
      </w:r>
      <w:proofErr w:type="spellStart"/>
      <w:r w:rsidRPr="001C1F8A">
        <w:rPr>
          <w:rStyle w:val="Strong"/>
          <w:rFonts w:eastAsia="Calibri" w:cs="Calibri"/>
          <w:b w:val="0"/>
          <w:bCs w:val="0"/>
          <w:sz w:val="16"/>
          <w:szCs w:val="16"/>
          <w:bdr w:val="nil"/>
          <w:shd w:val="clear" w:color="auto" w:fill="FFFFFF"/>
          <w:lang w:eastAsia="es-ES"/>
        </w:rPr>
        <w:t>Ser.L</w:t>
      </w:r>
      <w:proofErr w:type="spellEnd"/>
      <w:r w:rsidRPr="001C1F8A">
        <w:rPr>
          <w:rStyle w:val="Strong"/>
          <w:rFonts w:eastAsia="Calibri" w:cs="Calibri"/>
          <w:b w:val="0"/>
          <w:bCs w:val="0"/>
          <w:sz w:val="16"/>
          <w:szCs w:val="16"/>
          <w:bdr w:val="nil"/>
          <w:shd w:val="clear" w:color="auto" w:fill="FFFFFF"/>
          <w:lang w:eastAsia="es-ES"/>
        </w:rPr>
        <w:t xml:space="preserve">/V/II IACHR/RELE/INF doc. 2/09. December 30, 2009, para. </w:t>
      </w:r>
      <w:r w:rsidRPr="00EE25BC">
        <w:rPr>
          <w:rStyle w:val="Strong"/>
          <w:rFonts w:eastAsia="Calibri" w:cs="Calibri"/>
          <w:b w:val="0"/>
          <w:bCs w:val="0"/>
          <w:sz w:val="16"/>
          <w:szCs w:val="16"/>
          <w:bdr w:val="nil"/>
          <w:shd w:val="clear" w:color="auto" w:fill="FFFFFF"/>
          <w:lang w:eastAsia="es-ES"/>
        </w:rPr>
        <w:t>16.</w:t>
      </w:r>
    </w:p>
  </w:footnote>
  <w:footnote w:id="237">
    <w:p w14:paraId="28BC1B77" w14:textId="731C513A" w:rsidR="003A6945" w:rsidRPr="001C1F8A" w:rsidRDefault="003A6945" w:rsidP="00AC7754">
      <w:pPr>
        <w:pStyle w:val="Footnotes"/>
        <w:spacing w:after="0"/>
        <w:ind w:firstLine="0"/>
        <w:rPr>
          <w:sz w:val="16"/>
          <w:szCs w:val="16"/>
          <w:highlight w:val="green"/>
          <w:lang w:eastAsia="pt-BR"/>
        </w:rPr>
      </w:pPr>
      <w:r w:rsidRPr="001C1F8A">
        <w:rPr>
          <w:rStyle w:val="FootnoteReference"/>
          <w:sz w:val="16"/>
          <w:szCs w:val="16"/>
        </w:rPr>
        <w:footnoteRef/>
      </w:r>
      <w:r w:rsidRPr="001C1F8A">
        <w:rPr>
          <w:rFonts w:eastAsia="Calibri" w:cs="Calibri"/>
          <w:color w:val="000000"/>
          <w:sz w:val="16"/>
          <w:szCs w:val="16"/>
          <w:bdr w:val="nil"/>
          <w:lang w:eastAsia="es-ES"/>
        </w:rPr>
        <w:t xml:space="preserve"> </w:t>
      </w:r>
      <w:r w:rsidRPr="001C1F8A">
        <w:rPr>
          <w:rStyle w:val="Strong"/>
          <w:rFonts w:eastAsia="Calibri" w:cs="Calibri"/>
          <w:b w:val="0"/>
          <w:bCs w:val="0"/>
          <w:sz w:val="16"/>
          <w:szCs w:val="16"/>
          <w:bdr w:val="nil"/>
          <w:shd w:val="clear" w:color="auto" w:fill="FFFFFF"/>
          <w:lang w:eastAsia="es-ES"/>
        </w:rPr>
        <w:t xml:space="preserve">IACHR. Inter-American Legal Framework regarding the Right to Freedom of Expression. OAS </w:t>
      </w:r>
      <w:proofErr w:type="spellStart"/>
      <w:r w:rsidRPr="001C1F8A">
        <w:rPr>
          <w:rStyle w:val="Strong"/>
          <w:rFonts w:eastAsia="Calibri" w:cs="Calibri"/>
          <w:b w:val="0"/>
          <w:bCs w:val="0"/>
          <w:sz w:val="16"/>
          <w:szCs w:val="16"/>
          <w:bdr w:val="nil"/>
          <w:shd w:val="clear" w:color="auto" w:fill="FFFFFF"/>
          <w:lang w:eastAsia="es-ES"/>
        </w:rPr>
        <w:t>Ser.L</w:t>
      </w:r>
      <w:proofErr w:type="spellEnd"/>
      <w:r w:rsidRPr="001C1F8A">
        <w:rPr>
          <w:rStyle w:val="Strong"/>
          <w:rFonts w:eastAsia="Calibri" w:cs="Calibri"/>
          <w:b w:val="0"/>
          <w:bCs w:val="0"/>
          <w:sz w:val="16"/>
          <w:szCs w:val="16"/>
          <w:bdr w:val="nil"/>
          <w:shd w:val="clear" w:color="auto" w:fill="FFFFFF"/>
          <w:lang w:eastAsia="es-ES"/>
        </w:rPr>
        <w:t>/V/II IACHR/RELE/INF doc. 2/09. December 30, 2009</w:t>
      </w:r>
      <w:r w:rsidRPr="001C1F8A">
        <w:rPr>
          <w:rFonts w:eastAsia="Calibri" w:cs="Calibri"/>
          <w:color w:val="000000"/>
          <w:sz w:val="16"/>
          <w:szCs w:val="16"/>
          <w:bdr w:val="nil"/>
          <w:lang w:eastAsia="es-ES"/>
        </w:rPr>
        <w:t>, para. 17</w:t>
      </w:r>
      <w:r w:rsidRPr="001C1F8A">
        <w:rPr>
          <w:sz w:val="16"/>
          <w:szCs w:val="16"/>
        </w:rPr>
        <w:t>.</w:t>
      </w:r>
    </w:p>
  </w:footnote>
  <w:footnote w:id="238">
    <w:p w14:paraId="3D46F294" w14:textId="7D437208" w:rsidR="003A6945" w:rsidRPr="001C1F8A" w:rsidRDefault="003A6945" w:rsidP="0071787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cs="Arial"/>
          <w:sz w:val="16"/>
          <w:szCs w:val="16"/>
          <w:vertAlign w:val="superscript"/>
        </w:rPr>
        <w:footnoteRef/>
      </w:r>
      <w:r w:rsidRPr="001C1F8A">
        <w:rPr>
          <w:rFonts w:ascii="Cambria" w:hAnsi="Cambria"/>
          <w:i/>
          <w:sz w:val="16"/>
          <w:szCs w:val="16"/>
        </w:rPr>
        <w:t xml:space="preserve"> </w:t>
      </w:r>
      <w:r w:rsidRPr="001C1F8A">
        <w:rPr>
          <w:rFonts w:ascii="Cambria" w:hAnsi="Cambria" w:cs="Arial"/>
          <w:sz w:val="16"/>
          <w:szCs w:val="16"/>
        </w:rPr>
        <w:t xml:space="preserve">IACHR, Report </w:t>
      </w:r>
      <w:r w:rsidRPr="001C1F8A">
        <w:rPr>
          <w:rFonts w:ascii="Cambria" w:hAnsi="Cambria"/>
          <w:sz w:val="16"/>
          <w:szCs w:val="16"/>
        </w:rPr>
        <w:t xml:space="preserve">No. 40/04, Case 12.053, </w:t>
      </w:r>
      <w:r>
        <w:rPr>
          <w:rFonts w:ascii="Cambria" w:hAnsi="Cambria"/>
          <w:i/>
          <w:sz w:val="16"/>
          <w:szCs w:val="16"/>
        </w:rPr>
        <w:t>Maya Indigenous</w:t>
      </w:r>
      <w:r w:rsidRPr="001C1F8A">
        <w:rPr>
          <w:rFonts w:ascii="Cambria" w:hAnsi="Cambria"/>
          <w:i/>
          <w:sz w:val="16"/>
          <w:szCs w:val="16"/>
        </w:rPr>
        <w:t xml:space="preserve"> Communities of the Toledo District </w:t>
      </w:r>
      <w:r w:rsidRPr="001C1F8A">
        <w:rPr>
          <w:rFonts w:ascii="Cambria" w:hAnsi="Cambria"/>
          <w:sz w:val="16"/>
          <w:szCs w:val="16"/>
        </w:rPr>
        <w:t>(Belize), October 12, 2004, para. 162.</w:t>
      </w:r>
    </w:p>
  </w:footnote>
  <w:footnote w:id="239">
    <w:p w14:paraId="65D4E46A" w14:textId="3CE7588F" w:rsidR="003A6945" w:rsidRPr="001C1F8A" w:rsidRDefault="003A6945" w:rsidP="00717875">
      <w:pPr>
        <w:pStyle w:val="Footnotes"/>
        <w:spacing w:after="0"/>
        <w:ind w:firstLine="0"/>
        <w:rPr>
          <w:sz w:val="16"/>
          <w:szCs w:val="16"/>
        </w:rPr>
      </w:pPr>
      <w:r w:rsidRPr="001C1F8A">
        <w:rPr>
          <w:rFonts w:cs="Arial"/>
          <w:sz w:val="16"/>
          <w:szCs w:val="16"/>
          <w:vertAlign w:val="superscript"/>
        </w:rPr>
        <w:footnoteRef/>
      </w:r>
      <w:r w:rsidRPr="001C1F8A">
        <w:rPr>
          <w:i/>
          <w:sz w:val="16"/>
          <w:szCs w:val="16"/>
        </w:rPr>
        <w:t xml:space="preserve"> </w:t>
      </w:r>
      <w:r w:rsidRPr="001C1F8A">
        <w:rPr>
          <w:sz w:val="16"/>
          <w:szCs w:val="16"/>
        </w:rPr>
        <w:t xml:space="preserve">IACHR, Report No. 80/11, Case 12.626, </w:t>
      </w:r>
      <w:r w:rsidRPr="001C1F8A">
        <w:rPr>
          <w:i/>
          <w:sz w:val="16"/>
          <w:szCs w:val="16"/>
        </w:rPr>
        <w:t xml:space="preserve">Jessica </w:t>
      </w:r>
      <w:proofErr w:type="spellStart"/>
      <w:r w:rsidRPr="001C1F8A">
        <w:rPr>
          <w:i/>
          <w:sz w:val="16"/>
          <w:szCs w:val="16"/>
        </w:rPr>
        <w:t>Lenahan</w:t>
      </w:r>
      <w:proofErr w:type="spellEnd"/>
      <w:r w:rsidRPr="001C1F8A">
        <w:rPr>
          <w:i/>
          <w:sz w:val="16"/>
          <w:szCs w:val="16"/>
        </w:rPr>
        <w:t xml:space="preserve"> (Gonzales) et al. </w:t>
      </w:r>
      <w:r w:rsidRPr="001C1F8A">
        <w:rPr>
          <w:sz w:val="16"/>
          <w:szCs w:val="16"/>
        </w:rPr>
        <w:t xml:space="preserve">(United States), July 21, 2011, para. 108; </w:t>
      </w:r>
      <w:r w:rsidRPr="001C1F8A">
        <w:rPr>
          <w:rFonts w:cs="Arial"/>
          <w:sz w:val="16"/>
          <w:szCs w:val="16"/>
        </w:rPr>
        <w:t xml:space="preserve">IACHR, Report </w:t>
      </w:r>
      <w:r w:rsidRPr="001C1F8A">
        <w:rPr>
          <w:sz w:val="16"/>
          <w:szCs w:val="16"/>
        </w:rPr>
        <w:t xml:space="preserve">No.40/04, Case 12.053, </w:t>
      </w:r>
      <w:r>
        <w:rPr>
          <w:i/>
          <w:sz w:val="16"/>
          <w:szCs w:val="16"/>
        </w:rPr>
        <w:t>Maya Indigenous</w:t>
      </w:r>
      <w:r w:rsidRPr="001C1F8A">
        <w:rPr>
          <w:i/>
          <w:sz w:val="16"/>
          <w:szCs w:val="16"/>
        </w:rPr>
        <w:t xml:space="preserve"> Communities of the Toledo District </w:t>
      </w:r>
      <w:r w:rsidRPr="001C1F8A">
        <w:rPr>
          <w:sz w:val="16"/>
          <w:szCs w:val="16"/>
        </w:rPr>
        <w:t>(Belize), October 12, 2004, para. 162.</w:t>
      </w:r>
    </w:p>
  </w:footnote>
  <w:footnote w:id="240">
    <w:p w14:paraId="562048C5" w14:textId="77777777" w:rsidR="003A6945" w:rsidRPr="001C1F8A" w:rsidRDefault="003A6945" w:rsidP="0086207D">
      <w:pPr>
        <w:pStyle w:val="FootnoteText"/>
        <w:jc w:val="both"/>
        <w:rPr>
          <w:rFonts w:ascii="Cambria" w:hAnsi="Cambria"/>
          <w:color w:val="auto"/>
          <w:spacing w:val="-4"/>
          <w:sz w:val="16"/>
          <w:szCs w:val="16"/>
        </w:rPr>
      </w:pPr>
      <w:r w:rsidRPr="001C1F8A">
        <w:rPr>
          <w:rStyle w:val="FootnoteReference"/>
          <w:rFonts w:ascii="Cambria" w:hAnsi="Cambria"/>
          <w:color w:val="auto"/>
          <w:spacing w:val="-4"/>
          <w:sz w:val="16"/>
          <w:szCs w:val="16"/>
        </w:rPr>
        <w:footnoteRef/>
      </w:r>
      <w:r w:rsidRPr="001C1F8A">
        <w:rPr>
          <w:rFonts w:ascii="Cambria" w:hAnsi="Cambria"/>
          <w:color w:val="auto"/>
          <w:spacing w:val="-4"/>
          <w:sz w:val="16"/>
          <w:szCs w:val="16"/>
        </w:rPr>
        <w:t xml:space="preserve"> IACHR, Report on the Compatibility between Contempt Laws and the American Convention on Human Rights. OEA/ser L/V/II.88, Doc. 9 rev (1995), pp. 210-223, Annex D</w:t>
      </w:r>
      <w:r w:rsidRPr="001C1F8A">
        <w:rPr>
          <w:rFonts w:ascii="Cambria" w:hAnsi="Cambria"/>
          <w:color w:val="auto"/>
          <w:sz w:val="16"/>
          <w:szCs w:val="16"/>
        </w:rPr>
        <w:t xml:space="preserve">. </w:t>
      </w:r>
    </w:p>
  </w:footnote>
  <w:footnote w:id="241">
    <w:p w14:paraId="2F94A142" w14:textId="77777777" w:rsidR="003A6945" w:rsidRPr="001C1F8A" w:rsidRDefault="003A6945" w:rsidP="0086207D">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UN. Human Rights Committee. General Comment No. 34: Article 19 Freedom of opinion and freedom of expression. 12 September 2011.</w:t>
      </w:r>
    </w:p>
  </w:footnote>
  <w:footnote w:id="242">
    <w:p w14:paraId="73FB25D5" w14:textId="77777777" w:rsidR="003A6945" w:rsidRPr="001C1F8A" w:rsidRDefault="003A6945" w:rsidP="0086207D">
      <w:pPr>
        <w:pStyle w:val="FootnoteText"/>
        <w:jc w:val="both"/>
        <w:rPr>
          <w:rFonts w:ascii="Cambria" w:hAnsi="Cambria"/>
          <w:color w:val="auto"/>
          <w:sz w:val="16"/>
          <w:szCs w:val="16"/>
        </w:rPr>
      </w:pPr>
      <w:r w:rsidRPr="001C1F8A">
        <w:rPr>
          <w:rStyle w:val="FootnoteReference"/>
          <w:rFonts w:ascii="Cambria" w:hAnsi="Cambria"/>
          <w:color w:val="auto"/>
          <w:sz w:val="16"/>
          <w:szCs w:val="16"/>
        </w:rPr>
        <w:footnoteRef/>
      </w:r>
      <w:r w:rsidRPr="001C1F8A">
        <w:rPr>
          <w:rFonts w:ascii="Cambria" w:hAnsi="Cambria"/>
          <w:color w:val="auto"/>
          <w:sz w:val="16"/>
          <w:szCs w:val="16"/>
        </w:rPr>
        <w:t xml:space="preserve"> IACHR. Report No. 67/06, adopted on October 21, 2006, in case 12.476 Oscar Elías Biscet et al. (Cuba).</w:t>
      </w:r>
    </w:p>
  </w:footnote>
  <w:footnote w:id="243">
    <w:p w14:paraId="3CDEAD6B" w14:textId="75896474" w:rsidR="003A6945" w:rsidRPr="001C1F8A" w:rsidRDefault="003A6945" w:rsidP="00E5150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r w:rsidRPr="001C1F8A">
        <w:rPr>
          <w:rStyle w:val="Strong"/>
          <w:rFonts w:ascii="Cambria" w:hAnsi="Cambria"/>
          <w:b w:val="0"/>
          <w:bCs w:val="0"/>
          <w:color w:val="auto"/>
          <w:sz w:val="16"/>
          <w:szCs w:val="16"/>
          <w:shd w:val="clear" w:color="auto" w:fill="FFFFFF"/>
        </w:rPr>
        <w:t xml:space="preserve">IACHR, Report No. 4/17, Case 12.663, Merits. </w:t>
      </w:r>
      <w:r w:rsidRPr="001D5255">
        <w:rPr>
          <w:rStyle w:val="Strong"/>
          <w:rFonts w:ascii="Cambria" w:hAnsi="Cambria"/>
          <w:b w:val="0"/>
          <w:bCs w:val="0"/>
          <w:color w:val="auto"/>
          <w:sz w:val="16"/>
          <w:szCs w:val="16"/>
          <w:shd w:val="clear" w:color="auto" w:fill="FFFFFF"/>
        </w:rPr>
        <w:t xml:space="preserve">Tulio Alberto Álvarez. Venezuela. January 26, 2017, para. </w:t>
      </w:r>
      <w:r w:rsidRPr="001C1F8A">
        <w:rPr>
          <w:rStyle w:val="Strong"/>
          <w:rFonts w:ascii="Cambria" w:hAnsi="Cambria"/>
          <w:b w:val="0"/>
          <w:bCs w:val="0"/>
          <w:color w:val="auto"/>
          <w:sz w:val="16"/>
          <w:szCs w:val="16"/>
          <w:shd w:val="clear" w:color="auto" w:fill="FFFFFF"/>
        </w:rPr>
        <w:t>88.</w:t>
      </w:r>
      <w:r w:rsidRPr="001C1F8A">
        <w:rPr>
          <w:rFonts w:ascii="Cambria" w:hAnsi="Cambria"/>
          <w:sz w:val="16"/>
          <w:szCs w:val="16"/>
        </w:rPr>
        <w:t xml:space="preserve"> </w:t>
      </w:r>
    </w:p>
  </w:footnote>
  <w:footnote w:id="244">
    <w:p w14:paraId="45AFADA0" w14:textId="1BE82A41" w:rsidR="003A6945" w:rsidRPr="001C1F8A" w:rsidRDefault="003A6945" w:rsidP="00E51509">
      <w:pPr>
        <w:pStyle w:val="FootnoteText"/>
        <w:jc w:val="both"/>
        <w:rPr>
          <w:rFonts w:ascii="Cambria" w:hAnsi="Cambria"/>
          <w:sz w:val="16"/>
          <w:szCs w:val="16"/>
        </w:rPr>
      </w:pPr>
      <w:r w:rsidRPr="001C1F8A">
        <w:rPr>
          <w:rFonts w:ascii="Cambria" w:eastAsia="Arial Unicode MS" w:hAnsi="Cambria" w:cs="Times New Roman"/>
          <w:color w:val="auto"/>
          <w:sz w:val="16"/>
          <w:szCs w:val="16"/>
          <w:vertAlign w:val="superscript"/>
          <w:lang w:eastAsia="en-US"/>
        </w:rPr>
        <w:footnoteRef/>
      </w:r>
      <w:r w:rsidRPr="001C1F8A">
        <w:rPr>
          <w:rFonts w:ascii="Cambria" w:eastAsia="Arial Unicode MS" w:hAnsi="Cambria" w:cs="Times New Roman"/>
          <w:color w:val="auto"/>
          <w:sz w:val="16"/>
          <w:szCs w:val="16"/>
          <w:lang w:eastAsia="en-US"/>
        </w:rPr>
        <w:t xml:space="preserve"> IACHR. Inter-American Legal Framework regarding the Right to Freedom of Expression. OAS </w:t>
      </w:r>
      <w:proofErr w:type="spellStart"/>
      <w:r w:rsidRPr="001C1F8A">
        <w:rPr>
          <w:rFonts w:ascii="Cambria" w:eastAsia="Arial Unicode MS" w:hAnsi="Cambria" w:cs="Times New Roman"/>
          <w:color w:val="auto"/>
          <w:sz w:val="16"/>
          <w:szCs w:val="16"/>
          <w:lang w:eastAsia="en-US"/>
        </w:rPr>
        <w:t>Ser.L</w:t>
      </w:r>
      <w:proofErr w:type="spellEnd"/>
      <w:r w:rsidRPr="001C1F8A">
        <w:rPr>
          <w:rFonts w:ascii="Cambria" w:eastAsia="Arial Unicode MS" w:hAnsi="Cambria" w:cs="Times New Roman"/>
          <w:color w:val="auto"/>
          <w:sz w:val="16"/>
          <w:szCs w:val="16"/>
          <w:lang w:eastAsia="en-US"/>
        </w:rPr>
        <w:t xml:space="preserve">/V/II IACHR/RELE/INF doc. 2/09. December 30, 2009, paras, 110 </w:t>
      </w:r>
      <w:r w:rsidRPr="001C1F8A">
        <w:rPr>
          <w:rFonts w:ascii="Cambria" w:eastAsia="Arial Unicode MS" w:hAnsi="Cambria" w:cs="Times New Roman"/>
          <w:i/>
          <w:iCs/>
          <w:color w:val="auto"/>
          <w:sz w:val="16"/>
          <w:szCs w:val="16"/>
          <w:lang w:eastAsia="en-US"/>
        </w:rPr>
        <w:t>et seq</w:t>
      </w:r>
      <w:r w:rsidRPr="001C1F8A">
        <w:rPr>
          <w:rFonts w:ascii="Cambria" w:eastAsia="Arial Unicode MS" w:hAnsi="Cambria" w:cs="Times New Roman"/>
          <w:color w:val="auto"/>
          <w:sz w:val="16"/>
          <w:szCs w:val="16"/>
          <w:lang w:eastAsia="en-US"/>
        </w:rPr>
        <w:t>.</w:t>
      </w:r>
      <w:r w:rsidRPr="001C1F8A">
        <w:rPr>
          <w:rFonts w:ascii="Cambria" w:hAnsi="Cambria"/>
          <w:sz w:val="16"/>
          <w:szCs w:val="16"/>
        </w:rPr>
        <w:t xml:space="preserve"> </w:t>
      </w:r>
    </w:p>
  </w:footnote>
  <w:footnote w:id="245">
    <w:p w14:paraId="3137A75B" w14:textId="77777777" w:rsidR="003A6945" w:rsidRPr="001C1F8A" w:rsidRDefault="003A6945" w:rsidP="00BB399D">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Report No. 27/18, Case No. 12.127, Merits (Publication). </w:t>
      </w:r>
      <w:proofErr w:type="spellStart"/>
      <w:r w:rsidRPr="001C1F8A">
        <w:rPr>
          <w:rFonts w:ascii="Cambria" w:hAnsi="Cambria"/>
          <w:sz w:val="16"/>
          <w:szCs w:val="16"/>
        </w:rPr>
        <w:t>Vladimiro</w:t>
      </w:r>
      <w:proofErr w:type="spellEnd"/>
      <w:r w:rsidRPr="001C1F8A">
        <w:rPr>
          <w:rFonts w:ascii="Cambria" w:hAnsi="Cambria"/>
          <w:sz w:val="16"/>
          <w:szCs w:val="16"/>
        </w:rPr>
        <w:t xml:space="preserve"> Roca </w:t>
      </w:r>
      <w:proofErr w:type="spellStart"/>
      <w:r w:rsidRPr="001C1F8A">
        <w:rPr>
          <w:rFonts w:ascii="Cambria" w:hAnsi="Cambria"/>
          <w:sz w:val="16"/>
          <w:szCs w:val="16"/>
        </w:rPr>
        <w:t>Antunez</w:t>
      </w:r>
      <w:proofErr w:type="spellEnd"/>
      <w:r w:rsidRPr="001C1F8A">
        <w:rPr>
          <w:rFonts w:ascii="Cambria" w:hAnsi="Cambria"/>
          <w:sz w:val="16"/>
          <w:szCs w:val="16"/>
        </w:rPr>
        <w:t xml:space="preserve"> and Others. Cuba. February 24, 2018, para. 103. </w:t>
      </w:r>
    </w:p>
  </w:footnote>
  <w:footnote w:id="246">
    <w:p w14:paraId="3C02A44A" w14:textId="2E4E015B" w:rsidR="003A6945" w:rsidRPr="001C1F8A" w:rsidRDefault="003A6945" w:rsidP="004814B0">
      <w:pPr>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hAnsi="Cambria"/>
          <w:sz w:val="16"/>
          <w:szCs w:val="16"/>
          <w:lang w:val="en-US"/>
        </w:rPr>
        <w:t xml:space="preserve"> IACHR. </w:t>
      </w:r>
      <w:hyperlink r:id="rId81" w:history="1">
        <w:r w:rsidRPr="001C1F8A">
          <w:rPr>
            <w:rStyle w:val="Hyperlink"/>
            <w:rFonts w:ascii="Cambria" w:hAnsi="Cambria"/>
            <w:sz w:val="16"/>
            <w:szCs w:val="16"/>
            <w:u w:val="none"/>
            <w:lang w:val="en-US"/>
          </w:rPr>
          <w:t>Annual Report 2009. Report of the Office of the Special Rapporteur for Freedom of Expression</w:t>
        </w:r>
      </w:hyperlink>
      <w:r w:rsidRPr="001C1F8A">
        <w:rPr>
          <w:rFonts w:ascii="Cambria" w:hAnsi="Cambria"/>
          <w:sz w:val="16"/>
          <w:szCs w:val="16"/>
          <w:lang w:val="en-US"/>
        </w:rPr>
        <w:t>. Ch. III (Inter-American Legal Framework of the Right to Freedom of Expression). OEA/</w:t>
      </w:r>
      <w:proofErr w:type="spellStart"/>
      <w:r w:rsidRPr="001C1F8A">
        <w:rPr>
          <w:rFonts w:ascii="Cambria" w:hAnsi="Cambria"/>
          <w:sz w:val="16"/>
          <w:szCs w:val="16"/>
          <w:lang w:val="en-US"/>
        </w:rPr>
        <w:t>Ser.L</w:t>
      </w:r>
      <w:proofErr w:type="spellEnd"/>
      <w:r w:rsidRPr="001C1F8A">
        <w:rPr>
          <w:rFonts w:ascii="Cambria" w:hAnsi="Cambria"/>
          <w:sz w:val="16"/>
          <w:szCs w:val="16"/>
          <w:lang w:val="en-US"/>
        </w:rPr>
        <w:t xml:space="preserve">/V/II. Doc. 51. December 30, 2009, para 100; </w:t>
      </w:r>
      <w:r w:rsidRPr="001C1F8A">
        <w:rPr>
          <w:rFonts w:ascii="Cambria" w:hAnsi="Cambria" w:cs="Arial"/>
          <w:sz w:val="16"/>
          <w:szCs w:val="16"/>
          <w:lang w:val="en-US"/>
        </w:rPr>
        <w:t>IACHR. Annual Report 1994. Ch. V: Report on the Compatibility between “</w:t>
      </w:r>
      <w:proofErr w:type="spellStart"/>
      <w:r w:rsidRPr="001C1F8A">
        <w:rPr>
          <w:rFonts w:ascii="Cambria" w:hAnsi="Cambria" w:cs="Arial"/>
          <w:i/>
          <w:iCs/>
          <w:sz w:val="16"/>
          <w:szCs w:val="16"/>
          <w:lang w:val="en-US"/>
        </w:rPr>
        <w:t>Desacato</w:t>
      </w:r>
      <w:proofErr w:type="spellEnd"/>
      <w:r w:rsidRPr="001C1F8A">
        <w:rPr>
          <w:rFonts w:ascii="Cambria" w:hAnsi="Cambria" w:cs="Arial"/>
          <w:sz w:val="16"/>
          <w:szCs w:val="16"/>
          <w:lang w:val="en-US"/>
        </w:rPr>
        <w:t>” Laws and the American Convention on Human Rights.  OEA/Ser. L/V/II.88. doc. 9 rev. February 17, 1995.</w:t>
      </w:r>
    </w:p>
  </w:footnote>
  <w:footnote w:id="247">
    <w:p w14:paraId="0775D83C" w14:textId="019C14F1" w:rsidR="003A6945" w:rsidRPr="001C1F8A" w:rsidRDefault="003A6945" w:rsidP="000B0B03">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82">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84.</w:t>
      </w:r>
    </w:p>
  </w:footnote>
  <w:footnote w:id="248">
    <w:p w14:paraId="4EF52A9F" w14:textId="31FE73F4" w:rsidR="003A6945" w:rsidRPr="001C1F8A" w:rsidRDefault="003A6945" w:rsidP="000B0B03">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United Nations (UN) Special Rapporteur on the Promotion and Protection of the Right to Freedom of Opinion and Expression, Representative on Freedom of the Media of the Organization for Security and Cooperation in Europe (OSCE), Special Rapporteur for Freedom of Expression of the Inter-American Commission on Human Rights (OAS), and Special Rapporteur on Freedom of Expression and Access to Information of the African Commission on Human and Peoples’ Rights (ACHPR). Joint Declaration on Freedom of Expression and the Internet. June 1, 2011.</w:t>
      </w:r>
    </w:p>
  </w:footnote>
  <w:footnote w:id="249">
    <w:p w14:paraId="2E70F1C6" w14:textId="56FC73DE" w:rsidR="003A6945" w:rsidRPr="001C1F8A" w:rsidRDefault="003A6945" w:rsidP="000B0B03">
      <w:pPr>
        <w:pStyle w:val="FootnoteText"/>
        <w:jc w:val="both"/>
        <w:rPr>
          <w:rFonts w:ascii="Cambria" w:hAnsi="Cambria"/>
          <w:sz w:val="16"/>
          <w:szCs w:val="16"/>
        </w:rPr>
      </w:pPr>
      <w:r w:rsidRPr="001C1F8A">
        <w:rPr>
          <w:rStyle w:val="None"/>
          <w:rFonts w:eastAsia="Times New Roman" w:cs="Times New Roman"/>
          <w:vertAlign w:val="superscript"/>
        </w:rPr>
        <w:footnoteRef/>
      </w:r>
      <w:r w:rsidRPr="001C1F8A">
        <w:rPr>
          <w:rStyle w:val="None"/>
        </w:rPr>
        <w:t xml:space="preserve"> </w:t>
      </w:r>
      <w:r w:rsidRPr="001C1F8A">
        <w:rPr>
          <w:rFonts w:ascii="Cambria" w:hAnsi="Cambria"/>
          <w:sz w:val="16"/>
          <w:szCs w:val="16"/>
        </w:rPr>
        <w:t xml:space="preserve">IACHR. Office of the Special Rapporteur for Freedom of Expression. </w:t>
      </w:r>
      <w:hyperlink r:id="rId83">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 xml:space="preserve">. </w:t>
      </w:r>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32; IACHR. </w:t>
      </w:r>
      <w:r w:rsidRPr="001C1F8A">
        <w:rPr>
          <w:rStyle w:val="None"/>
          <w:rFonts w:asciiTheme="majorHAnsi" w:hAnsiTheme="majorHAnsi"/>
          <w:sz w:val="16"/>
          <w:szCs w:val="16"/>
        </w:rPr>
        <w:t xml:space="preserve">SACROI: COVID-19 </w:t>
      </w:r>
      <w:r w:rsidRPr="001C1F8A">
        <w:rPr>
          <w:rFonts w:asciiTheme="majorHAnsi" w:hAnsiTheme="majorHAnsi"/>
          <w:sz w:val="16"/>
          <w:szCs w:val="16"/>
        </w:rPr>
        <w:t xml:space="preserve">Practical Guide </w:t>
      </w:r>
      <w:r w:rsidRPr="001C1F8A">
        <w:rPr>
          <w:rStyle w:val="None"/>
          <w:rFonts w:asciiTheme="majorHAnsi" w:hAnsiTheme="majorHAnsi"/>
          <w:sz w:val="16"/>
          <w:szCs w:val="16"/>
        </w:rPr>
        <w:t>No. 3. How to Promote Universal Internet Access during the COVID-19 Pandemic.</w:t>
      </w:r>
    </w:p>
  </w:footnote>
  <w:footnote w:id="250">
    <w:p w14:paraId="64BEF732" w14:textId="5171100B" w:rsidR="003A6945" w:rsidRPr="001C1F8A" w:rsidRDefault="003A6945" w:rsidP="00EA60AC">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84">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6.</w:t>
      </w:r>
    </w:p>
  </w:footnote>
  <w:footnote w:id="251">
    <w:p w14:paraId="22DA7C06" w14:textId="10D8C3D4" w:rsidR="003A6945" w:rsidRPr="001C1F8A" w:rsidRDefault="003A6945" w:rsidP="00C803DE">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Freedom of Expression and the Internet,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 11/13, December 31, 2013, para.18. </w:t>
      </w:r>
    </w:p>
  </w:footnote>
  <w:footnote w:id="252">
    <w:p w14:paraId="32D4ACDA" w14:textId="66DD50B0" w:rsidR="003A6945" w:rsidRPr="001C1F8A" w:rsidRDefault="003A6945" w:rsidP="00C803DE">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Freedom of Expression and the Internet,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 11/13, December 31, 2013, para.18. </w:t>
      </w:r>
    </w:p>
  </w:footnote>
  <w:footnote w:id="253">
    <w:p w14:paraId="23F7E34A" w14:textId="536D6460" w:rsidR="003A6945" w:rsidRPr="001C1F8A" w:rsidRDefault="003A6945" w:rsidP="00C803DE">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Freedom of Expression and the Internet,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 11/13, Dec. 31, 2013, para. 19. </w:t>
      </w:r>
    </w:p>
  </w:footnote>
  <w:footnote w:id="254">
    <w:p w14:paraId="77D75B48" w14:textId="7F18BD5B" w:rsidR="003A6945" w:rsidRPr="001C1F8A" w:rsidRDefault="003A6945" w:rsidP="00C803DE">
      <w:pPr>
        <w:pStyle w:val="FootnoteText"/>
        <w:jc w:val="both"/>
        <w:rPr>
          <w:rFonts w:ascii="Cambria" w:hAnsi="Cambria"/>
          <w:sz w:val="16"/>
          <w:szCs w:val="16"/>
          <w:highlight w:val="yellow"/>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85">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 </w:t>
      </w:r>
      <w:r w:rsidRPr="00B4391D">
        <w:rPr>
          <w:rFonts w:ascii="Cambria" w:hAnsi="Cambria"/>
          <w:sz w:val="16"/>
          <w:szCs w:val="16"/>
        </w:rPr>
        <w:t>11.</w:t>
      </w:r>
    </w:p>
  </w:footnote>
  <w:footnote w:id="255">
    <w:p w14:paraId="56847558" w14:textId="77777777" w:rsidR="003A6945" w:rsidRPr="001C1F8A" w:rsidRDefault="003A6945" w:rsidP="009A414D">
      <w:pPr>
        <w:pStyle w:val="FootnoteText"/>
        <w:jc w:val="both"/>
        <w:rPr>
          <w:rFonts w:ascii="Cambria" w:hAnsi="Cambria"/>
          <w:sz w:val="16"/>
          <w:szCs w:val="16"/>
          <w:highlight w:val="yellow"/>
        </w:rPr>
      </w:pPr>
      <w:r w:rsidRPr="001C1F8A">
        <w:rPr>
          <w:rStyle w:val="FootnoteReference"/>
          <w:rFonts w:ascii="Cambria" w:hAnsi="Cambria"/>
          <w:sz w:val="16"/>
          <w:szCs w:val="16"/>
        </w:rPr>
        <w:footnoteRef/>
      </w:r>
      <w:r w:rsidRPr="001C1F8A">
        <w:rPr>
          <w:rFonts w:ascii="Cambria" w:hAnsi="Cambria"/>
          <w:sz w:val="16"/>
          <w:szCs w:val="16"/>
        </w:rPr>
        <w:t xml:space="preserve"> Joint Declaration on Freedom of Expression and the Internet. June 1, 2011, </w:t>
      </w:r>
      <w:r w:rsidRPr="001C1F8A">
        <w:rPr>
          <w:rFonts w:ascii="Cambria" w:hAnsi="Cambria"/>
          <w:i/>
          <w:sz w:val="16"/>
          <w:szCs w:val="16"/>
        </w:rPr>
        <w:t>supra</w:t>
      </w:r>
      <w:r w:rsidRPr="001C1F8A">
        <w:rPr>
          <w:rFonts w:ascii="Cambria" w:hAnsi="Cambria"/>
          <w:sz w:val="16"/>
          <w:szCs w:val="16"/>
        </w:rPr>
        <w:t>.</w:t>
      </w:r>
    </w:p>
  </w:footnote>
  <w:footnote w:id="256">
    <w:p w14:paraId="32969560" w14:textId="533B7087" w:rsidR="003A6945" w:rsidRPr="001C1F8A" w:rsidRDefault="003A6945" w:rsidP="008C3B14">
      <w:pPr>
        <w:rPr>
          <w:rFonts w:asciiTheme="majorHAnsi" w:hAnsiTheme="majorHAnsi"/>
          <w:sz w:val="16"/>
          <w:szCs w:val="16"/>
          <w:lang w:val="en-US"/>
        </w:rPr>
      </w:pPr>
      <w:r w:rsidRPr="001C1F8A">
        <w:rPr>
          <w:rFonts w:asciiTheme="majorHAnsi" w:hAnsiTheme="majorHAnsi"/>
          <w:sz w:val="16"/>
          <w:szCs w:val="16"/>
          <w:lang w:val="en-US"/>
        </w:rPr>
        <w:footnoteRef/>
      </w:r>
      <w:r w:rsidRPr="001C1F8A">
        <w:rPr>
          <w:rFonts w:asciiTheme="majorHAnsi" w:hAnsiTheme="majorHAnsi"/>
          <w:sz w:val="16"/>
          <w:szCs w:val="16"/>
          <w:lang w:val="en-US"/>
        </w:rPr>
        <w:t xml:space="preserve"> IACHR. Office of the Special Rapporteur for Freedom of Expression. </w:t>
      </w:r>
      <w:hyperlink r:id="rId86">
        <w:r w:rsidRPr="001C1F8A">
          <w:rPr>
            <w:rStyle w:val="EnlacedeInternet"/>
            <w:rFonts w:ascii="Cambria" w:hAnsi="Cambria"/>
            <w:i/>
            <w:iCs/>
            <w:sz w:val="16"/>
            <w:szCs w:val="16"/>
            <w:lang w:val="en-US"/>
          </w:rPr>
          <w:t>Standards for a Free, Open and Inclusive Internet</w:t>
        </w:r>
      </w:hyperlink>
      <w:r w:rsidRPr="001C1F8A">
        <w:rPr>
          <w:rFonts w:ascii="Cambria" w:hAnsi="Cambria"/>
          <w:i/>
          <w:iCs/>
          <w:sz w:val="16"/>
          <w:szCs w:val="16"/>
          <w:lang w:val="en-US"/>
        </w:rPr>
        <w:t>.</w:t>
      </w:r>
      <w:r w:rsidRPr="001C1F8A">
        <w:rPr>
          <w:rFonts w:asciiTheme="majorHAnsi" w:hAnsiTheme="majorHAnsi"/>
          <w:sz w:val="16"/>
          <w:szCs w:val="16"/>
          <w:lang w:val="en-US"/>
        </w:rPr>
        <w:t xml:space="preserve"> OEA/</w:t>
      </w:r>
      <w:proofErr w:type="spellStart"/>
      <w:r w:rsidRPr="001C1F8A">
        <w:rPr>
          <w:rFonts w:asciiTheme="majorHAnsi" w:hAnsiTheme="majorHAnsi"/>
          <w:sz w:val="16"/>
          <w:szCs w:val="16"/>
          <w:lang w:val="en-US"/>
        </w:rPr>
        <w:t>Ser.L</w:t>
      </w:r>
      <w:proofErr w:type="spellEnd"/>
      <w:r w:rsidRPr="001C1F8A">
        <w:rPr>
          <w:rFonts w:asciiTheme="majorHAnsi" w:hAnsiTheme="majorHAnsi"/>
          <w:sz w:val="16"/>
          <w:szCs w:val="16"/>
          <w:lang w:val="en-US"/>
        </w:rPr>
        <w:t>/V/II IACHR/RELE/INF.17/17. March 5, 2017, para. 89.</w:t>
      </w:r>
    </w:p>
  </w:footnote>
  <w:footnote w:id="257">
    <w:p w14:paraId="0D92124D" w14:textId="29DC4B68" w:rsidR="003A6945" w:rsidRPr="001C1F8A" w:rsidRDefault="003A6945" w:rsidP="00AE5029">
      <w:pPr>
        <w:pStyle w:val="FootnoteText"/>
        <w:jc w:val="both"/>
        <w:rPr>
          <w:rFonts w:ascii="Cambria" w:hAnsi="Cambria"/>
          <w:sz w:val="16"/>
          <w:szCs w:val="16"/>
          <w:highlight w:val="green"/>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87">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91.</w:t>
      </w:r>
    </w:p>
  </w:footnote>
  <w:footnote w:id="258">
    <w:p w14:paraId="37D4DE87" w14:textId="77777777" w:rsidR="003A6945" w:rsidRPr="001C1F8A" w:rsidRDefault="003A6945" w:rsidP="00AE502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Freedom of Expression and the Internet.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 11/13. December 31, 2013, para. 30. </w:t>
      </w:r>
    </w:p>
  </w:footnote>
  <w:footnote w:id="259">
    <w:p w14:paraId="7C69B09D" w14:textId="1F69280E" w:rsidR="003A6945" w:rsidRPr="001C1F8A" w:rsidRDefault="003A6945" w:rsidP="00AE502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88">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/V/II IACHR/RELE/INF.17/17. March 5, 2017, para. 88.</w:t>
      </w:r>
    </w:p>
  </w:footnote>
  <w:footnote w:id="260">
    <w:p w14:paraId="731A1E91" w14:textId="618BE17F" w:rsidR="003A6945" w:rsidRPr="001C1F8A" w:rsidRDefault="003A6945" w:rsidP="00694937">
      <w:pPr>
        <w:pStyle w:val="FootnoteText"/>
        <w:jc w:val="both"/>
        <w:rPr>
          <w:rFonts w:ascii="Cambria" w:hAnsi="Cambria"/>
          <w:sz w:val="16"/>
          <w:szCs w:val="16"/>
        </w:rPr>
      </w:pPr>
      <w:r w:rsidRPr="001C1F8A">
        <w:rPr>
          <w:rStyle w:val="FootnoteReference"/>
          <w:rFonts w:ascii="Cambria" w:hAnsi="Cambria"/>
          <w:sz w:val="16"/>
          <w:szCs w:val="16"/>
        </w:rPr>
        <w:footnoteRef/>
      </w:r>
      <w:r w:rsidRPr="001C1F8A">
        <w:t xml:space="preserve"> </w:t>
      </w:r>
      <w:r w:rsidRPr="001C1F8A">
        <w:rPr>
          <w:rFonts w:ascii="Cambria" w:hAnsi="Cambria"/>
          <w:sz w:val="16"/>
          <w:szCs w:val="16"/>
        </w:rPr>
        <w:t xml:space="preserve">IACHR. Office of the Special Rapporteur for Freedom of Expression. </w:t>
      </w:r>
      <w:hyperlink r:id="rId89">
        <w:r w:rsidRPr="001C1F8A">
          <w:rPr>
            <w:rStyle w:val="EnlacedeInternet"/>
            <w:rFonts w:ascii="Cambria" w:hAnsi="Cambria"/>
            <w:i/>
            <w:iCs/>
            <w:sz w:val="16"/>
            <w:szCs w:val="16"/>
          </w:rPr>
          <w:t>Standards for a Free, Open and Inclusive Internet</w:t>
        </w:r>
      </w:hyperlink>
      <w:r w:rsidRPr="001C1F8A">
        <w:rPr>
          <w:rFonts w:ascii="Cambria" w:hAnsi="Cambria"/>
          <w:i/>
          <w:iCs/>
          <w:sz w:val="16"/>
          <w:szCs w:val="16"/>
        </w:rPr>
        <w:t>.</w:t>
      </w:r>
      <w:r w:rsidRPr="001C1F8A">
        <w:rPr>
          <w:rFonts w:ascii="Cambria" w:hAnsi="Cambria"/>
          <w:sz w:val="16"/>
          <w:szCs w:val="16"/>
        </w:rPr>
        <w:t xml:space="preserve"> OEA/</w:t>
      </w:r>
      <w:proofErr w:type="spellStart"/>
      <w:r w:rsidRPr="001C1F8A">
        <w:rPr>
          <w:rFonts w:ascii="Cambria" w:hAnsi="Cambria"/>
          <w:sz w:val="16"/>
          <w:szCs w:val="16"/>
        </w:rPr>
        <w:t>Ser.L</w:t>
      </w:r>
      <w:proofErr w:type="spellEnd"/>
      <w:r w:rsidRPr="001C1F8A">
        <w:rPr>
          <w:rFonts w:ascii="Cambria" w:hAnsi="Cambria"/>
          <w:sz w:val="16"/>
          <w:szCs w:val="16"/>
        </w:rPr>
        <w:t xml:space="preserve">/V/II IACHR/RELE/INF.17/17. March 5, 2017, paras. 87-88; IACHR. Office of the Special Rapporteur for Freedom of Expression. June 1, 2011. </w:t>
      </w:r>
      <w:hyperlink r:id="rId90" w:history="1">
        <w:r w:rsidRPr="001C1F8A">
          <w:rPr>
            <w:rStyle w:val="Hyperlink"/>
            <w:rFonts w:ascii="Cambria" w:hAnsi="Cambria"/>
            <w:i/>
            <w:iCs/>
            <w:sz w:val="16"/>
            <w:szCs w:val="16"/>
          </w:rPr>
          <w:t xml:space="preserve">Joint Declaration on Freedom of Expression and the </w:t>
        </w:r>
        <w:r w:rsidRPr="001C1F8A">
          <w:rPr>
            <w:rStyle w:val="Hyperlink"/>
            <w:rFonts w:ascii="Cambria" w:hAnsi="Cambria"/>
            <w:sz w:val="16"/>
            <w:szCs w:val="16"/>
          </w:rPr>
          <w:t>Internet</w:t>
        </w:r>
      </w:hyperlink>
      <w:r w:rsidRPr="001C1F8A">
        <w:rPr>
          <w:rStyle w:val="Hyperlink"/>
          <w:rFonts w:ascii="Cambria" w:hAnsi="Cambria"/>
          <w:sz w:val="16"/>
          <w:szCs w:val="16"/>
          <w:u w:val="none"/>
        </w:rPr>
        <w:t xml:space="preserve">, </w:t>
      </w:r>
      <w:r w:rsidRPr="001C1F8A">
        <w:rPr>
          <w:rFonts w:ascii="Cambria" w:hAnsi="Cambria"/>
          <w:sz w:val="16"/>
          <w:szCs w:val="16"/>
        </w:rPr>
        <w:t xml:space="preserve">Point 3 (a); </w:t>
      </w:r>
      <w:hyperlink r:id="rId91" w:history="1">
        <w:r w:rsidRPr="001C1F8A">
          <w:rPr>
            <w:rStyle w:val="Hyperlink"/>
            <w:rFonts w:ascii="Cambria" w:hAnsi="Cambria"/>
            <w:i/>
            <w:iCs/>
            <w:sz w:val="16"/>
            <w:szCs w:val="16"/>
          </w:rPr>
          <w:t>Joint Declaration on Freedom of Expression and "Fake News”, Disinformation and Propaganda</w:t>
        </w:r>
      </w:hyperlink>
      <w:r w:rsidRPr="001C1F8A">
        <w:rPr>
          <w:rStyle w:val="Hyperlink"/>
          <w:rFonts w:ascii="Cambria" w:hAnsi="Cambria"/>
          <w:i/>
          <w:iCs/>
          <w:sz w:val="16"/>
          <w:szCs w:val="16"/>
          <w:u w:val="none"/>
        </w:rPr>
        <w:t>,</w:t>
      </w:r>
      <w:r w:rsidRPr="001C1F8A">
        <w:rPr>
          <w:rFonts w:ascii="Cambria" w:hAnsi="Cambria"/>
          <w:sz w:val="16"/>
          <w:szCs w:val="16"/>
        </w:rPr>
        <w:t xml:space="preserve"> March 2017. </w:t>
      </w:r>
    </w:p>
  </w:footnote>
  <w:footnote w:id="261">
    <w:p w14:paraId="4C138B00" w14:textId="77777777" w:rsidR="003A6945" w:rsidRPr="001C1F8A" w:rsidRDefault="003A6945" w:rsidP="00694937">
      <w:pPr>
        <w:pStyle w:val="FootnoteText"/>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Joint Declaration on Freedom of Expression and the Internet. June 1, 2011, </w:t>
      </w:r>
      <w:r w:rsidRPr="001C1F8A">
        <w:rPr>
          <w:rFonts w:ascii="Cambria" w:hAnsi="Cambria"/>
          <w:i/>
          <w:sz w:val="16"/>
          <w:szCs w:val="16"/>
        </w:rPr>
        <w:t>supra</w:t>
      </w:r>
      <w:r w:rsidRPr="001C1F8A">
        <w:rPr>
          <w:rFonts w:ascii="Cambria" w:hAnsi="Cambria"/>
          <w:sz w:val="16"/>
          <w:szCs w:val="16"/>
        </w:rPr>
        <w:t>.</w:t>
      </w:r>
    </w:p>
  </w:footnote>
  <w:footnote w:id="262">
    <w:p w14:paraId="1B19C8EA" w14:textId="4FBADC0B" w:rsidR="003A6945" w:rsidRPr="001C1F8A" w:rsidRDefault="003A6945" w:rsidP="00C7579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 Court H.R., </w:t>
      </w:r>
      <w:r w:rsidRPr="001C1F8A">
        <w:rPr>
          <w:rFonts w:ascii="Cambria" w:hAnsi="Cambria"/>
          <w:i/>
          <w:iCs/>
          <w:sz w:val="16"/>
          <w:szCs w:val="16"/>
        </w:rPr>
        <w:t xml:space="preserve">Case of </w:t>
      </w:r>
      <w:proofErr w:type="spellStart"/>
      <w:r w:rsidRPr="001C1F8A">
        <w:rPr>
          <w:rFonts w:ascii="Cambria" w:hAnsi="Cambria"/>
          <w:i/>
          <w:iCs/>
          <w:sz w:val="16"/>
          <w:szCs w:val="16"/>
        </w:rPr>
        <w:t>Castañeda</w:t>
      </w:r>
      <w:proofErr w:type="spellEnd"/>
      <w:r w:rsidRPr="001C1F8A">
        <w:rPr>
          <w:rFonts w:ascii="Cambria" w:hAnsi="Cambria"/>
          <w:i/>
          <w:iCs/>
          <w:sz w:val="16"/>
          <w:szCs w:val="16"/>
        </w:rPr>
        <w:t xml:space="preserve"> Gutman v. Mexico.</w:t>
      </w:r>
      <w:r w:rsidRPr="001C1F8A">
        <w:rPr>
          <w:rFonts w:ascii="Cambria" w:hAnsi="Cambria"/>
          <w:sz w:val="16"/>
          <w:szCs w:val="16"/>
        </w:rPr>
        <w:t xml:space="preserve"> Preliminary Objections, Merits, Reparations, and Costs. Judgment of August 6, 2008. Series C No. 184, para. 146. </w:t>
      </w:r>
    </w:p>
  </w:footnote>
  <w:footnote w:id="263">
    <w:p w14:paraId="473D7374" w14:textId="588A8602" w:rsidR="003A6945" w:rsidRPr="001C1F8A" w:rsidRDefault="003A6945" w:rsidP="00C75792">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Annual Report 2002, 2003, Ch</w:t>
      </w:r>
      <w:r>
        <w:rPr>
          <w:rFonts w:ascii="Cambria" w:hAnsi="Cambria"/>
          <w:sz w:val="16"/>
          <w:szCs w:val="16"/>
        </w:rPr>
        <w:t>.</w:t>
      </w:r>
      <w:r w:rsidRPr="001C1F8A">
        <w:rPr>
          <w:rFonts w:ascii="Cambria" w:hAnsi="Cambria"/>
          <w:sz w:val="16"/>
          <w:szCs w:val="16"/>
        </w:rPr>
        <w:t xml:space="preserve"> IV. B. Cuba, para. 11.</w:t>
      </w:r>
    </w:p>
  </w:footnote>
  <w:footnote w:id="264">
    <w:p w14:paraId="04803C57" w14:textId="77777777" w:rsidR="003A6945" w:rsidRPr="002A7A7E" w:rsidRDefault="003A6945" w:rsidP="00A5695A">
      <w:pPr>
        <w:pStyle w:val="FootnoteText"/>
        <w:jc w:val="both"/>
        <w:rPr>
          <w:rFonts w:ascii="Cambria" w:hAnsi="Cambria"/>
          <w:color w:val="000000" w:themeColor="text1"/>
          <w:sz w:val="16"/>
          <w:szCs w:val="16"/>
          <w:lang w:val="es-PE"/>
        </w:rPr>
      </w:pPr>
      <w:r w:rsidRPr="0016225B">
        <w:rPr>
          <w:rStyle w:val="FootnoteReference"/>
          <w:rFonts w:ascii="Cambria" w:hAnsi="Cambria"/>
          <w:color w:val="000000" w:themeColor="text1"/>
          <w:sz w:val="16"/>
          <w:szCs w:val="16"/>
        </w:rPr>
        <w:footnoteRef/>
      </w:r>
      <w:r w:rsidRPr="0016225B">
        <w:rPr>
          <w:rFonts w:ascii="Cambria" w:hAnsi="Cambria"/>
          <w:color w:val="000000" w:themeColor="text1"/>
          <w:sz w:val="16"/>
          <w:szCs w:val="16"/>
        </w:rPr>
        <w:t xml:space="preserve"> IACHR. Report No. 67/06. Case No. 12.476. </w:t>
      </w:r>
      <w:r w:rsidRPr="002A7A7E">
        <w:rPr>
          <w:rFonts w:ascii="Cambria" w:hAnsi="Cambria"/>
          <w:color w:val="000000" w:themeColor="text1"/>
          <w:sz w:val="16"/>
          <w:szCs w:val="16"/>
          <w:lang w:val="es-PE"/>
        </w:rPr>
        <w:t>Merits. Oscar Elías Biscet et al. Cuba. October 21, 2006, para. 245.</w:t>
      </w:r>
    </w:p>
  </w:footnote>
  <w:footnote w:id="265">
    <w:p w14:paraId="610B568B" w14:textId="77777777" w:rsidR="003A6945" w:rsidRPr="002A7A7E" w:rsidRDefault="003A6945" w:rsidP="00E818EF">
      <w:pPr>
        <w:pStyle w:val="FootnoteText"/>
        <w:jc w:val="both"/>
        <w:rPr>
          <w:rFonts w:ascii="Cambria" w:hAnsi="Cambria"/>
          <w:color w:val="000000" w:themeColor="text1"/>
          <w:sz w:val="16"/>
          <w:szCs w:val="16"/>
          <w:lang w:val="es-PE"/>
        </w:rPr>
      </w:pPr>
      <w:r w:rsidRPr="0016225B">
        <w:rPr>
          <w:rStyle w:val="FootnoteReference"/>
          <w:rFonts w:ascii="Cambria" w:hAnsi="Cambria"/>
          <w:color w:val="000000" w:themeColor="text1"/>
          <w:sz w:val="16"/>
          <w:szCs w:val="16"/>
        </w:rPr>
        <w:footnoteRef/>
      </w:r>
      <w:r w:rsidRPr="002A7A7E">
        <w:rPr>
          <w:rFonts w:ascii="Cambria" w:hAnsi="Cambria"/>
          <w:color w:val="000000" w:themeColor="text1"/>
          <w:sz w:val="16"/>
          <w:szCs w:val="16"/>
          <w:lang w:val="es-PE"/>
        </w:rPr>
        <w:t xml:space="preserve"> IACHR. Report No. 67/06. Case No. 12.476. Merits. Oscar Elías Biscet et al. Cuba. October 21, 2006, para. 246.</w:t>
      </w:r>
    </w:p>
  </w:footnote>
  <w:footnote w:id="266">
    <w:p w14:paraId="313AAE47" w14:textId="2B759CB4" w:rsidR="003A6945" w:rsidRPr="002A7A7E" w:rsidRDefault="003A6945" w:rsidP="00713B50">
      <w:pPr>
        <w:pStyle w:val="FootnoteText"/>
        <w:jc w:val="both"/>
        <w:rPr>
          <w:rFonts w:ascii="Cambria" w:hAnsi="Cambria"/>
          <w:color w:val="000000" w:themeColor="text1"/>
          <w:sz w:val="16"/>
          <w:szCs w:val="16"/>
          <w:lang w:val="es-PE"/>
        </w:rPr>
      </w:pPr>
      <w:r w:rsidRPr="0016225B">
        <w:rPr>
          <w:rStyle w:val="FootnoteReference"/>
          <w:rFonts w:ascii="Cambria" w:hAnsi="Cambria"/>
          <w:color w:val="000000" w:themeColor="text1"/>
          <w:sz w:val="16"/>
          <w:szCs w:val="16"/>
        </w:rPr>
        <w:footnoteRef/>
      </w:r>
      <w:r w:rsidRPr="002A7A7E">
        <w:rPr>
          <w:rFonts w:ascii="Cambria" w:hAnsi="Cambria"/>
          <w:color w:val="000000" w:themeColor="text1"/>
          <w:sz w:val="16"/>
          <w:szCs w:val="16"/>
          <w:lang w:val="es-PE"/>
        </w:rPr>
        <w:t xml:space="preserve"> IACHR. Report No. 67/06. Case No. 12.476. Merits. Oscar Elías Biscet et al. Cuba. October 21, 2006, para. 256.</w:t>
      </w:r>
    </w:p>
  </w:footnote>
  <w:footnote w:id="267">
    <w:p w14:paraId="53ADF3EE" w14:textId="77777777" w:rsidR="003A6945" w:rsidRPr="003D31D7" w:rsidRDefault="003A6945" w:rsidP="008934DA">
      <w:pPr>
        <w:pStyle w:val="FootnoteText"/>
        <w:jc w:val="both"/>
        <w:rPr>
          <w:rFonts w:ascii="Cambria" w:hAnsi="Cambria"/>
          <w:color w:val="auto"/>
          <w:sz w:val="16"/>
          <w:szCs w:val="16"/>
          <w:lang w:val="es-PE"/>
        </w:rPr>
      </w:pPr>
      <w:r w:rsidRPr="00F736F1">
        <w:rPr>
          <w:rStyle w:val="FootnoteReference"/>
          <w:rFonts w:ascii="Cambria" w:hAnsi="Cambria"/>
          <w:sz w:val="16"/>
          <w:szCs w:val="16"/>
        </w:rPr>
        <w:footnoteRef/>
      </w:r>
      <w:r w:rsidRPr="00F736F1">
        <w:rPr>
          <w:rFonts w:ascii="Cambria" w:hAnsi="Cambria"/>
          <w:sz w:val="16"/>
          <w:szCs w:val="16"/>
          <w:lang w:val="pt-BR"/>
        </w:rPr>
        <w:t xml:space="preserve"> </w:t>
      </w:r>
      <w:r w:rsidRPr="00F736F1">
        <w:rPr>
          <w:rFonts w:ascii="Cambria" w:hAnsi="Cambria"/>
          <w:sz w:val="16"/>
          <w:szCs w:val="16"/>
          <w:lang w:val="pt-BR"/>
        </w:rPr>
        <w:t xml:space="preserve">CIDH. Informe No. 67/06. Caso No. 12.476. </w:t>
      </w:r>
      <w:r w:rsidRPr="00F736F1">
        <w:rPr>
          <w:rFonts w:ascii="Cambria" w:hAnsi="Cambria"/>
          <w:sz w:val="16"/>
          <w:szCs w:val="16"/>
          <w:lang w:val="es-PE"/>
        </w:rPr>
        <w:t xml:space="preserve">Fondo. Oscar Elías Biscet y otros. Cuba. 21 de octubre de 2006, párr. 232 a 234, e Informe </w:t>
      </w:r>
      <w:r w:rsidRPr="002D7815">
        <w:rPr>
          <w:rFonts w:ascii="Cambria" w:hAnsi="Cambria"/>
          <w:sz w:val="16"/>
          <w:szCs w:val="16"/>
          <w:lang w:val="pt-BR"/>
        </w:rPr>
        <w:t xml:space="preserve">No. 57/19. Caso No. 12.380. </w:t>
      </w:r>
      <w:r w:rsidRPr="002D7815">
        <w:rPr>
          <w:rFonts w:ascii="Cambria" w:hAnsi="Cambria"/>
          <w:sz w:val="16"/>
          <w:szCs w:val="16"/>
          <w:lang w:val="es-PE"/>
        </w:rPr>
        <w:t xml:space="preserve">Fondo. </w:t>
      </w:r>
      <w:r w:rsidRPr="003D31D7">
        <w:rPr>
          <w:rFonts w:ascii="Cambria" w:hAnsi="Cambria"/>
          <w:color w:val="auto"/>
          <w:sz w:val="16"/>
          <w:szCs w:val="16"/>
          <w:lang w:val="es-PE"/>
        </w:rPr>
        <w:t>Miembros de la Corporación Colectivo de Abogados José Alvear Restrepo</w:t>
      </w:r>
      <w:r w:rsidRPr="003D31D7">
        <w:rPr>
          <w:rFonts w:ascii="Cambria" w:hAnsi="Cambria"/>
          <w:color w:val="auto"/>
          <w:sz w:val="16"/>
          <w:szCs w:val="16"/>
          <w:lang w:val="es-ES"/>
        </w:rPr>
        <w:t xml:space="preserve">. Colombia. </w:t>
      </w:r>
      <w:r w:rsidRPr="003D31D7">
        <w:rPr>
          <w:rFonts w:ascii="Cambria" w:hAnsi="Cambria"/>
          <w:color w:val="auto"/>
          <w:sz w:val="16"/>
          <w:szCs w:val="16"/>
          <w:lang w:val="es-PE"/>
        </w:rPr>
        <w:t>4 de mayo de 2019, párrs. 322 y 323.</w:t>
      </w:r>
    </w:p>
  </w:footnote>
  <w:footnote w:id="268">
    <w:p w14:paraId="18C117DA" w14:textId="77777777" w:rsidR="003A6945" w:rsidRPr="008B5C02" w:rsidRDefault="003A6945" w:rsidP="008934DA">
      <w:pPr>
        <w:pStyle w:val="FootnoteText"/>
        <w:jc w:val="both"/>
        <w:rPr>
          <w:rFonts w:ascii="Cambria" w:hAnsi="Cambria"/>
          <w:sz w:val="16"/>
          <w:szCs w:val="16"/>
          <w:lang w:val="es-PE"/>
        </w:rPr>
      </w:pPr>
      <w:r w:rsidRPr="00F736F1">
        <w:rPr>
          <w:rStyle w:val="FootnoteReference"/>
          <w:rFonts w:ascii="Cambria" w:hAnsi="Cambria"/>
          <w:sz w:val="16"/>
          <w:szCs w:val="16"/>
        </w:rPr>
        <w:footnoteRef/>
      </w:r>
      <w:r w:rsidRPr="00F736F1">
        <w:rPr>
          <w:rFonts w:ascii="Cambria" w:hAnsi="Cambria"/>
          <w:sz w:val="16"/>
          <w:szCs w:val="16"/>
          <w:lang w:val="es-VE"/>
        </w:rPr>
        <w:t xml:space="preserve"> CIDH, Verdad, Justicia y reparación: Cuarto informe sobre la situación de derechos humanos en Colombia, OEA/Ser.L/V/II.Doc.49/13, 31 </w:t>
      </w:r>
      <w:r w:rsidRPr="002D7815">
        <w:rPr>
          <w:rFonts w:ascii="Cambria" w:hAnsi="Cambria"/>
          <w:sz w:val="16"/>
          <w:szCs w:val="16"/>
          <w:lang w:val="es-VE"/>
        </w:rPr>
        <w:t xml:space="preserve">de diciembre de 2013, párr. 775, e </w:t>
      </w:r>
      <w:r w:rsidRPr="002D7815">
        <w:rPr>
          <w:rFonts w:ascii="Cambria" w:hAnsi="Cambria"/>
          <w:sz w:val="16"/>
          <w:szCs w:val="16"/>
          <w:lang w:val="es-PE"/>
        </w:rPr>
        <w:t xml:space="preserve">Informe </w:t>
      </w:r>
      <w:r w:rsidRPr="002D7815">
        <w:rPr>
          <w:rFonts w:ascii="Cambria" w:hAnsi="Cambria"/>
          <w:sz w:val="16"/>
          <w:szCs w:val="16"/>
          <w:lang w:val="pt-BR"/>
        </w:rPr>
        <w:t xml:space="preserve">No. 57/19. Caso No. 12.380. </w:t>
      </w:r>
      <w:r w:rsidRPr="002D7815">
        <w:rPr>
          <w:rFonts w:ascii="Cambria" w:hAnsi="Cambria"/>
          <w:sz w:val="16"/>
          <w:szCs w:val="16"/>
          <w:lang w:val="es-PE"/>
        </w:rPr>
        <w:t xml:space="preserve">Fondo. </w:t>
      </w:r>
      <w:r w:rsidRPr="003D31D7">
        <w:rPr>
          <w:rFonts w:ascii="Cambria" w:hAnsi="Cambria"/>
          <w:color w:val="auto"/>
          <w:sz w:val="16"/>
          <w:szCs w:val="16"/>
          <w:lang w:val="es-PE"/>
        </w:rPr>
        <w:t>Miembros de la Corporación Colectivo de Abogados José Alvear Restrepo</w:t>
      </w:r>
      <w:r w:rsidRPr="003D31D7">
        <w:rPr>
          <w:rFonts w:ascii="Cambria" w:hAnsi="Cambria"/>
          <w:color w:val="auto"/>
          <w:sz w:val="16"/>
          <w:szCs w:val="16"/>
          <w:lang w:val="es-ES"/>
        </w:rPr>
        <w:t>. Colombia.</w:t>
      </w:r>
      <w:r w:rsidRPr="002D7815">
        <w:rPr>
          <w:rFonts w:ascii="Cambria" w:hAnsi="Cambria"/>
          <w:color w:val="595959"/>
          <w:sz w:val="16"/>
          <w:szCs w:val="16"/>
          <w:lang w:val="es-ES"/>
        </w:rPr>
        <w:t xml:space="preserve"> </w:t>
      </w:r>
      <w:r w:rsidRPr="002D7815">
        <w:rPr>
          <w:rFonts w:ascii="Cambria" w:hAnsi="Cambria"/>
          <w:sz w:val="16"/>
          <w:szCs w:val="16"/>
          <w:lang w:val="es-PE"/>
        </w:rPr>
        <w:t>4 de mayo de 2019, párrs. 322 y 323.</w:t>
      </w:r>
    </w:p>
  </w:footnote>
  <w:footnote w:id="269">
    <w:p w14:paraId="5348D91A" w14:textId="77777777" w:rsidR="003A6945" w:rsidRPr="008B5C02" w:rsidRDefault="003A6945" w:rsidP="0016225B">
      <w:pPr>
        <w:pStyle w:val="NoSpacing"/>
        <w:spacing w:before="0" w:after="0"/>
        <w:ind w:firstLine="0"/>
        <w:rPr>
          <w:rFonts w:asciiTheme="minorHAnsi" w:hAnsiTheme="minorHAnsi"/>
          <w:i/>
          <w:szCs w:val="16"/>
          <w:lang w:val="es-PE"/>
        </w:rPr>
      </w:pPr>
      <w:r w:rsidRPr="0016225B">
        <w:rPr>
          <w:rStyle w:val="FootnoteReference"/>
          <w:color w:val="000000" w:themeColor="text1"/>
          <w:sz w:val="16"/>
          <w:szCs w:val="16"/>
        </w:rPr>
        <w:footnoteRef/>
      </w:r>
      <w:r w:rsidRPr="0016225B">
        <w:rPr>
          <w:color w:val="000000" w:themeColor="text1"/>
          <w:sz w:val="16"/>
          <w:szCs w:val="16"/>
          <w:lang w:val="es-PE"/>
        </w:rPr>
        <w:t xml:space="preserve"> Relatoría Especial para la Libertad de Expresión. 2 de mayo de 2018. </w:t>
      </w:r>
      <w:hyperlink r:id="rId92" w:history="1">
        <w:r w:rsidRPr="0016225B">
          <w:rPr>
            <w:rStyle w:val="Hyperlink"/>
            <w:i/>
            <w:color w:val="000000" w:themeColor="text1"/>
            <w:sz w:val="16"/>
            <w:szCs w:val="16"/>
            <w:lang w:val="es-PE"/>
          </w:rPr>
          <w:t>Declaración Conjunta sobre la Independencia y la Diversidad de los Medios de Comunicación en la era Digital</w:t>
        </w:r>
      </w:hyperlink>
      <w:r w:rsidRPr="0016225B">
        <w:rPr>
          <w:color w:val="000000" w:themeColor="text1"/>
          <w:sz w:val="16"/>
          <w:szCs w:val="16"/>
          <w:lang w:val="es-PE"/>
        </w:rPr>
        <w:t>.</w:t>
      </w:r>
      <w:r w:rsidRPr="0016225B">
        <w:rPr>
          <w:rFonts w:asciiTheme="minorHAnsi" w:hAnsiTheme="minorHAnsi"/>
          <w:color w:val="000000" w:themeColor="text1"/>
          <w:szCs w:val="16"/>
          <w:lang w:val="es-PE"/>
        </w:rPr>
        <w:t xml:space="preserve"> </w:t>
      </w:r>
    </w:p>
  </w:footnote>
  <w:footnote w:id="270">
    <w:p w14:paraId="56785AE5" w14:textId="63F0C66B" w:rsidR="003A6945" w:rsidRPr="001C1F8A" w:rsidRDefault="003A6945" w:rsidP="00AB5244">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United Nations (UN) Special Rapporteur for the Protection and Promotion of the Right to Freedom of Opinion and Expression and Special Rapporteur for Freedom of Expression of the Inter-American Commission on Human Rights of the OAS. September 13, 2013. </w:t>
      </w:r>
      <w:hyperlink r:id="rId93" w:history="1">
        <w:r w:rsidRPr="001C1F8A">
          <w:rPr>
            <w:rStyle w:val="Internetlink"/>
            <w:rFonts w:ascii="Cambria" w:hAnsi="Cambria"/>
            <w:i/>
            <w:sz w:val="16"/>
            <w:szCs w:val="16"/>
          </w:rPr>
          <w:t>Joint Declaration on Violence Against Journalists and Media Workers in the Context of Protests</w:t>
        </w:r>
      </w:hyperlink>
      <w:r w:rsidRPr="001C1F8A">
        <w:rPr>
          <w:rFonts w:ascii="Cambria" w:hAnsi="Cambria"/>
          <w:sz w:val="16"/>
          <w:szCs w:val="16"/>
        </w:rPr>
        <w:t>.</w:t>
      </w:r>
    </w:p>
  </w:footnote>
  <w:footnote w:id="271">
    <w:p w14:paraId="6243F1A2" w14:textId="2262C7B7" w:rsidR="003A6945" w:rsidRPr="001C1F8A" w:rsidRDefault="003A6945" w:rsidP="00AB5244">
      <w:pPr>
        <w:pStyle w:val="FootnoteText"/>
        <w:tabs>
          <w:tab w:val="left" w:pos="720"/>
        </w:tabs>
        <w:jc w:val="both"/>
        <w:rPr>
          <w:rFonts w:ascii="Cambria" w:hAnsi="Cambria"/>
          <w:sz w:val="16"/>
          <w:szCs w:val="16"/>
        </w:rPr>
      </w:pPr>
      <w:r w:rsidRPr="001C1F8A">
        <w:rPr>
          <w:rStyle w:val="FootnoteReference"/>
          <w:rFonts w:ascii="Cambria" w:hAnsi="Cambria"/>
          <w:sz w:val="16"/>
          <w:szCs w:val="16"/>
        </w:rPr>
        <w:footnoteRef/>
      </w:r>
      <w:hyperlink r:id="rId94" w:history="1">
        <w:r w:rsidRPr="001C1F8A">
          <w:rPr>
            <w:rStyle w:val="Hyperlink"/>
            <w:rFonts w:ascii="Cambria" w:hAnsi="Cambria"/>
            <w:sz w:val="16"/>
            <w:szCs w:val="16"/>
            <w:u w:val="none"/>
          </w:rPr>
          <w:t xml:space="preserve"> </w:t>
        </w:r>
      </w:hyperlink>
      <w:r w:rsidRPr="001C1F8A">
        <w:rPr>
          <w:rFonts w:ascii="Cambria" w:hAnsi="Cambria"/>
          <w:sz w:val="16"/>
          <w:szCs w:val="16"/>
        </w:rPr>
        <w:t xml:space="preserve">IACHR. Office of the Special Rapporteur for Freedom of Expression. </w:t>
      </w:r>
      <w:hyperlink r:id="rId95" w:history="1">
        <w:r w:rsidRPr="001C1F8A">
          <w:rPr>
            <w:rStyle w:val="Hyperlink"/>
            <w:rFonts w:ascii="Cambria" w:hAnsi="Cambria"/>
            <w:sz w:val="16"/>
            <w:szCs w:val="16"/>
          </w:rPr>
          <w:t>Silenced Zones: Highly dangerous areas for the exercise of freedom of expression</w:t>
        </w:r>
      </w:hyperlink>
      <w:r w:rsidRPr="001C1F8A">
        <w:rPr>
          <w:rStyle w:val="Hyperlink"/>
          <w:rFonts w:ascii="Cambria" w:hAnsi="Cambria"/>
          <w:sz w:val="16"/>
          <w:szCs w:val="16"/>
          <w:u w:val="none"/>
        </w:rPr>
        <w:t xml:space="preserve">. </w:t>
      </w:r>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 xml:space="preserve">/V/IICIDH/RELE/INF.16/17, March 15, 2017, para. 158. </w:t>
      </w:r>
    </w:p>
  </w:footnote>
  <w:footnote w:id="272">
    <w:p w14:paraId="6399CA03" w14:textId="546633F7" w:rsidR="003A6945" w:rsidRPr="001C1F8A" w:rsidRDefault="003A6945" w:rsidP="00AB5244">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 Court H.R., </w:t>
      </w:r>
      <w:r w:rsidRPr="001C1F8A">
        <w:rPr>
          <w:rFonts w:ascii="Cambria" w:hAnsi="Cambria"/>
          <w:i/>
          <w:iCs/>
          <w:sz w:val="16"/>
          <w:szCs w:val="16"/>
        </w:rPr>
        <w:t>Case of Ríos et al. v. Venezuela</w:t>
      </w:r>
      <w:r w:rsidRPr="001C1F8A">
        <w:rPr>
          <w:rFonts w:ascii="Cambria" w:hAnsi="Cambria"/>
          <w:sz w:val="16"/>
          <w:szCs w:val="16"/>
        </w:rPr>
        <w:t xml:space="preserve">. Preliminary Objections, Merits, Reparations, and Costs. Judgment of January 28, 2009. Series C No. 194, paras. 142, 143, 148; </w:t>
      </w:r>
      <w:r w:rsidRPr="001C1F8A">
        <w:rPr>
          <w:rFonts w:ascii="Cambria" w:hAnsi="Cambria"/>
          <w:i/>
          <w:iCs/>
          <w:sz w:val="16"/>
          <w:szCs w:val="16"/>
        </w:rPr>
        <w:t xml:space="preserve">Case of </w:t>
      </w:r>
      <w:proofErr w:type="spellStart"/>
      <w:r w:rsidRPr="001C1F8A">
        <w:rPr>
          <w:rFonts w:ascii="Cambria" w:hAnsi="Cambria"/>
          <w:i/>
          <w:iCs/>
          <w:sz w:val="16"/>
          <w:szCs w:val="16"/>
        </w:rPr>
        <w:t>Perozo</w:t>
      </w:r>
      <w:proofErr w:type="spellEnd"/>
      <w:r w:rsidRPr="001C1F8A">
        <w:rPr>
          <w:rFonts w:ascii="Cambria" w:hAnsi="Cambria"/>
          <w:i/>
          <w:iCs/>
          <w:sz w:val="16"/>
          <w:szCs w:val="16"/>
        </w:rPr>
        <w:t xml:space="preserve"> et al. v. Venezuela.</w:t>
      </w:r>
      <w:r w:rsidRPr="001C1F8A">
        <w:rPr>
          <w:rFonts w:ascii="Cambria" w:hAnsi="Cambria"/>
          <w:sz w:val="16"/>
          <w:szCs w:val="16"/>
        </w:rPr>
        <w:t xml:space="preserve"> Preliminary Objections, Merits, Reparations and Costs. Judgment of January 28, 2009. Series C No. 195, paras. 154, 155, 160.</w:t>
      </w:r>
    </w:p>
  </w:footnote>
  <w:footnote w:id="273">
    <w:p w14:paraId="3A5C4529" w14:textId="77777777" w:rsidR="003A6945" w:rsidRPr="001C1F8A" w:rsidRDefault="003A6945" w:rsidP="003E444E">
      <w:pPr>
        <w:pStyle w:val="FootnoteText"/>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Court. </w:t>
      </w:r>
      <w:r w:rsidRPr="001C1F8A">
        <w:rPr>
          <w:rFonts w:ascii="Cambria" w:hAnsi="Cambria"/>
          <w:i/>
          <w:iCs/>
          <w:sz w:val="16"/>
          <w:szCs w:val="16"/>
        </w:rPr>
        <w:t xml:space="preserve">Case of </w:t>
      </w:r>
      <w:proofErr w:type="spellStart"/>
      <w:r w:rsidRPr="001C1F8A">
        <w:rPr>
          <w:rFonts w:ascii="Cambria" w:hAnsi="Cambria"/>
          <w:i/>
          <w:iCs/>
          <w:sz w:val="16"/>
          <w:szCs w:val="16"/>
        </w:rPr>
        <w:t>Perozo</w:t>
      </w:r>
      <w:proofErr w:type="spellEnd"/>
      <w:r w:rsidRPr="001C1F8A">
        <w:rPr>
          <w:rFonts w:ascii="Cambria" w:hAnsi="Cambria"/>
          <w:i/>
          <w:iCs/>
          <w:sz w:val="16"/>
          <w:szCs w:val="16"/>
        </w:rPr>
        <w:t xml:space="preserve"> et al. v. Venezuela</w:t>
      </w:r>
      <w:r w:rsidRPr="001C1F8A">
        <w:rPr>
          <w:rFonts w:ascii="Cambria" w:hAnsi="Cambria"/>
          <w:sz w:val="16"/>
          <w:szCs w:val="16"/>
        </w:rPr>
        <w:t>. Preliminary Objections, Merits, Reparations and Costs. Judgment of January 28, 2009. Series C No. 195, para. 360.</w:t>
      </w:r>
    </w:p>
  </w:footnote>
  <w:footnote w:id="274">
    <w:p w14:paraId="00D610F0" w14:textId="33FBEE33" w:rsidR="003A6945" w:rsidRPr="001C1F8A" w:rsidRDefault="003A6945" w:rsidP="003E444E">
      <w:pPr>
        <w:pStyle w:val="FootnoteText"/>
        <w:jc w:val="both"/>
        <w:rPr>
          <w:rFonts w:ascii="Cambria" w:hAnsi="Cambria"/>
          <w:sz w:val="16"/>
          <w:szCs w:val="16"/>
        </w:rPr>
      </w:pPr>
      <w:r w:rsidRPr="001C1F8A">
        <w:rPr>
          <w:rFonts w:ascii="Cambria" w:hAnsi="Cambria"/>
          <w:sz w:val="16"/>
          <w:szCs w:val="16"/>
          <w:vertAlign w:val="superscript"/>
        </w:rPr>
        <w:footnoteRef/>
      </w:r>
      <w:hyperlink r:id="rId96" w:history="1">
        <w:r w:rsidRPr="001C1F8A">
          <w:rPr>
            <w:rStyle w:val="Hyperlink"/>
            <w:rFonts w:ascii="Cambria" w:hAnsi="Cambria"/>
            <w:sz w:val="16"/>
            <w:szCs w:val="16"/>
            <w:u w:val="none"/>
          </w:rPr>
          <w:t xml:space="preserve"> </w:t>
        </w:r>
      </w:hyperlink>
      <w:r w:rsidRPr="001C1F8A">
        <w:rPr>
          <w:rFonts w:ascii="Cambria" w:hAnsi="Cambria"/>
          <w:sz w:val="16"/>
          <w:szCs w:val="16"/>
        </w:rPr>
        <w:t xml:space="preserve">IACHR. Office of the Special Rapporteur for Freedom of Expression. </w:t>
      </w:r>
      <w:hyperlink r:id="rId97" w:history="1">
        <w:r w:rsidRPr="001C1F8A">
          <w:t xml:space="preserve"> </w:t>
        </w:r>
        <w:hyperlink r:id="rId98" w:history="1">
          <w:r w:rsidRPr="001C1F8A">
            <w:rPr>
              <w:rStyle w:val="Hyperlink"/>
              <w:rFonts w:ascii="Cambria" w:hAnsi="Cambria"/>
              <w:sz w:val="16"/>
              <w:szCs w:val="16"/>
            </w:rPr>
            <w:t>Silenced Zones: Highly dangerous areas for the exercise of freedom of expression</w:t>
          </w:r>
        </w:hyperlink>
        <w:r w:rsidRPr="001C1F8A">
          <w:rPr>
            <w:rStyle w:val="Hyperlink"/>
            <w:rFonts w:ascii="Cambria" w:hAnsi="Cambria"/>
            <w:sz w:val="16"/>
            <w:szCs w:val="16"/>
            <w:u w:val="none"/>
          </w:rPr>
          <w:t xml:space="preserve">. </w:t>
        </w:r>
      </w:hyperlink>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 xml:space="preserve">/V/IICIDH/RELE/INF.16/17, March 15, 2017, para. 158. </w:t>
      </w:r>
    </w:p>
  </w:footnote>
  <w:footnote w:id="275">
    <w:p w14:paraId="2F546EE7" w14:textId="2BC34620" w:rsidR="003A6945" w:rsidRPr="001C1F8A" w:rsidRDefault="003A6945" w:rsidP="003E444E">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Press Release 05/2021. IACHR Condemns Violence Against Congress and Against the Democratic Processes in the United States. January 8, 2021. </w:t>
      </w:r>
    </w:p>
  </w:footnote>
  <w:footnote w:id="276">
    <w:p w14:paraId="23F8B864" w14:textId="3B04B75B" w:rsidR="003A6945" w:rsidRPr="001C1F8A" w:rsidRDefault="003A6945" w:rsidP="00FB33C1">
      <w:pPr>
        <w:pStyle w:val="FootnoteText"/>
        <w:tabs>
          <w:tab w:val="left" w:pos="1800"/>
        </w:tabs>
        <w:jc w:val="both"/>
        <w:rPr>
          <w:rFonts w:ascii="Cambria" w:hAnsi="Cambria"/>
          <w:sz w:val="16"/>
          <w:szCs w:val="16"/>
        </w:rPr>
      </w:pPr>
      <w:r w:rsidRPr="001C1F8A">
        <w:rPr>
          <w:rStyle w:val="FootnoteReference"/>
          <w:rFonts w:ascii="Cambria" w:hAnsi="Cambria"/>
          <w:sz w:val="16"/>
          <w:szCs w:val="16"/>
        </w:rPr>
        <w:footnoteRef/>
      </w:r>
      <w:hyperlink r:id="rId99" w:history="1">
        <w:r w:rsidRPr="001C1F8A">
          <w:rPr>
            <w:rStyle w:val="Hyperlink"/>
            <w:rFonts w:ascii="Cambria" w:hAnsi="Cambria"/>
            <w:sz w:val="16"/>
            <w:szCs w:val="16"/>
            <w:u w:val="none"/>
          </w:rPr>
          <w:t xml:space="preserve"> </w:t>
        </w:r>
      </w:hyperlink>
      <w:r w:rsidRPr="001C1F8A">
        <w:rPr>
          <w:rFonts w:ascii="Cambria" w:hAnsi="Cambria"/>
          <w:sz w:val="16"/>
          <w:szCs w:val="16"/>
        </w:rPr>
        <w:t xml:space="preserve">IACHR Court. </w:t>
      </w:r>
      <w:r w:rsidRPr="001C1F8A">
        <w:rPr>
          <w:rFonts w:ascii="Cambria" w:hAnsi="Cambria"/>
          <w:i/>
          <w:iCs/>
          <w:sz w:val="16"/>
          <w:szCs w:val="16"/>
        </w:rPr>
        <w:t xml:space="preserve">Case of </w:t>
      </w:r>
      <w:proofErr w:type="spellStart"/>
      <w:r w:rsidRPr="001C1F8A">
        <w:rPr>
          <w:rFonts w:ascii="Cambria" w:hAnsi="Cambria"/>
          <w:i/>
          <w:iCs/>
          <w:sz w:val="16"/>
          <w:szCs w:val="16"/>
        </w:rPr>
        <w:t>Perozo</w:t>
      </w:r>
      <w:proofErr w:type="spellEnd"/>
      <w:r w:rsidRPr="001C1F8A">
        <w:rPr>
          <w:rFonts w:ascii="Cambria" w:hAnsi="Cambria"/>
          <w:i/>
          <w:iCs/>
          <w:sz w:val="16"/>
          <w:szCs w:val="16"/>
        </w:rPr>
        <w:t xml:space="preserve"> et al. v. Venezuela</w:t>
      </w:r>
      <w:r w:rsidRPr="001C1F8A">
        <w:rPr>
          <w:rFonts w:ascii="Cambria" w:hAnsi="Cambria"/>
          <w:sz w:val="16"/>
          <w:szCs w:val="16"/>
        </w:rPr>
        <w:t xml:space="preserve">. Preliminary Objections, Merits, Reparations and Costs. Judgment of January 28, 2009. Series C No. 195, paras. 151 </w:t>
      </w:r>
      <w:r w:rsidRPr="001C1F8A">
        <w:rPr>
          <w:rFonts w:ascii="Cambria" w:hAnsi="Cambria"/>
          <w:i/>
          <w:iCs/>
          <w:sz w:val="16"/>
          <w:szCs w:val="16"/>
        </w:rPr>
        <w:t>et seq</w:t>
      </w:r>
      <w:r w:rsidRPr="001C1F8A">
        <w:rPr>
          <w:rFonts w:ascii="Cambria" w:hAnsi="Cambria"/>
          <w:sz w:val="16"/>
          <w:szCs w:val="16"/>
        </w:rPr>
        <w:t xml:space="preserve">.; IACHR. Office of the Special Rapporteur for Freedom of Expression. </w:t>
      </w:r>
      <w:hyperlink r:id="rId100" w:history="1">
        <w:r w:rsidRPr="001C1F8A">
          <w:t xml:space="preserve"> </w:t>
        </w:r>
        <w:hyperlink r:id="rId101" w:history="1">
          <w:r w:rsidRPr="001C1F8A">
            <w:rPr>
              <w:rStyle w:val="Hyperlink"/>
              <w:rFonts w:ascii="Cambria" w:hAnsi="Cambria"/>
              <w:sz w:val="16"/>
              <w:szCs w:val="16"/>
            </w:rPr>
            <w:t>Silenced Zones: Highly dangerous areas for the exercise of freedom of expression</w:t>
          </w:r>
        </w:hyperlink>
        <w:r w:rsidRPr="001C1F8A">
          <w:rPr>
            <w:rStyle w:val="Hyperlink"/>
            <w:rFonts w:ascii="Cambria" w:hAnsi="Cambria"/>
            <w:sz w:val="16"/>
            <w:szCs w:val="16"/>
            <w:u w:val="none"/>
          </w:rPr>
          <w:t xml:space="preserve">. </w:t>
        </w:r>
      </w:hyperlink>
      <w:r w:rsidRPr="001C1F8A">
        <w:rPr>
          <w:rFonts w:ascii="Cambria" w:hAnsi="Cambria"/>
          <w:sz w:val="16"/>
          <w:szCs w:val="16"/>
        </w:rPr>
        <w:t>OEA/</w:t>
      </w:r>
      <w:proofErr w:type="spellStart"/>
      <w:r w:rsidRPr="001C1F8A">
        <w:rPr>
          <w:rFonts w:ascii="Cambria" w:hAnsi="Cambria"/>
          <w:sz w:val="16"/>
          <w:szCs w:val="16"/>
        </w:rPr>
        <w:t>Ser.L</w:t>
      </w:r>
      <w:proofErr w:type="spellEnd"/>
      <w:r w:rsidRPr="001C1F8A">
        <w:rPr>
          <w:rFonts w:ascii="Cambria" w:hAnsi="Cambria"/>
          <w:sz w:val="16"/>
          <w:szCs w:val="16"/>
        </w:rPr>
        <w:t xml:space="preserve">/V/IICIDH/RELE/INF.16/17, March 15, 2017, para 158. </w:t>
      </w:r>
    </w:p>
  </w:footnote>
  <w:footnote w:id="277">
    <w:p w14:paraId="4EA03B00" w14:textId="1ADF5CD5" w:rsidR="003A6945" w:rsidRPr="007F3449" w:rsidRDefault="003A6945" w:rsidP="00A6480D">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Expression. </w:t>
      </w:r>
      <w:hyperlink r:id="rId102" w:history="1">
        <w:r w:rsidRPr="001C1F8A">
          <w:rPr>
            <w:rStyle w:val="Hyperlink"/>
            <w:rFonts w:ascii="Cambria" w:hAnsi="Cambria"/>
            <w:sz w:val="16"/>
            <w:szCs w:val="16"/>
          </w:rPr>
          <w:t>Special Report on the Situation of Freedom of Expression in Cuba</w:t>
        </w:r>
      </w:hyperlink>
      <w:r w:rsidRPr="001C1F8A">
        <w:rPr>
          <w:rFonts w:ascii="Cambria" w:hAnsi="Cambria"/>
          <w:sz w:val="16"/>
          <w:szCs w:val="16"/>
        </w:rPr>
        <w:t xml:space="preserve">, OAS/SER.L/V/II CIDH/RELE/INF.21/18. </w:t>
      </w:r>
      <w:r w:rsidRPr="007F3449">
        <w:rPr>
          <w:rFonts w:ascii="Cambria" w:hAnsi="Cambria"/>
          <w:sz w:val="16"/>
          <w:szCs w:val="16"/>
        </w:rPr>
        <w:t>December 31, 2018, para. 197.</w:t>
      </w:r>
    </w:p>
  </w:footnote>
  <w:footnote w:id="278">
    <w:p w14:paraId="4D11FFBA" w14:textId="2BC41D99" w:rsidR="003A6945" w:rsidRPr="003D31D7" w:rsidRDefault="003A6945" w:rsidP="00A06C94">
      <w:pPr>
        <w:pStyle w:val="FootnoteText"/>
        <w:jc w:val="both"/>
        <w:rPr>
          <w:rFonts w:ascii="Cambria" w:hAnsi="Cambria"/>
          <w:sz w:val="16"/>
          <w:szCs w:val="16"/>
        </w:rPr>
      </w:pPr>
      <w:r w:rsidRPr="008B5C02">
        <w:rPr>
          <w:rStyle w:val="FootnoteReference"/>
          <w:rFonts w:ascii="Cambria" w:hAnsi="Cambria"/>
          <w:sz w:val="16"/>
          <w:szCs w:val="16"/>
        </w:rPr>
        <w:footnoteRef/>
      </w:r>
      <w:r w:rsidRPr="003D31D7">
        <w:rPr>
          <w:rFonts w:ascii="Cambria" w:hAnsi="Cambria"/>
          <w:sz w:val="16"/>
          <w:szCs w:val="16"/>
        </w:rPr>
        <w:t xml:space="preserve"> </w:t>
      </w:r>
      <w:r w:rsidRPr="001C1F8A">
        <w:rPr>
          <w:rFonts w:ascii="Cambria" w:hAnsi="Cambria"/>
          <w:sz w:val="16"/>
          <w:szCs w:val="16"/>
        </w:rPr>
        <w:t xml:space="preserve">IACHR. Office of the Special Rapporteur for Freedom of Expression. </w:t>
      </w:r>
      <w:hyperlink r:id="rId103" w:history="1">
        <w:r w:rsidRPr="001C1F8A">
          <w:rPr>
            <w:rStyle w:val="Hyperlink"/>
            <w:rFonts w:ascii="Cambria" w:hAnsi="Cambria"/>
            <w:sz w:val="16"/>
            <w:szCs w:val="16"/>
          </w:rPr>
          <w:t>Special Report on the Situation of Freedom of Expression in Cuba</w:t>
        </w:r>
      </w:hyperlink>
      <w:r w:rsidRPr="001C1F8A">
        <w:rPr>
          <w:rFonts w:ascii="Cambria" w:hAnsi="Cambria"/>
          <w:sz w:val="16"/>
          <w:szCs w:val="16"/>
        </w:rPr>
        <w:t xml:space="preserve">, OAS/SER.L/V/II CIDH/RELE/INF.21/18. </w:t>
      </w:r>
      <w:r w:rsidRPr="007F3449">
        <w:rPr>
          <w:rFonts w:ascii="Cambria" w:hAnsi="Cambria"/>
          <w:sz w:val="16"/>
          <w:szCs w:val="16"/>
          <w:lang w:val="es-PE"/>
        </w:rPr>
        <w:t xml:space="preserve">December 31, 2018, para. 198, citing La pupila insomne. </w:t>
      </w:r>
      <w:r w:rsidRPr="003D31D7">
        <w:rPr>
          <w:rFonts w:ascii="Cambria" w:hAnsi="Cambria"/>
          <w:sz w:val="16"/>
          <w:szCs w:val="16"/>
          <w:lang w:val="es-MX"/>
        </w:rPr>
        <w:t>Fidel Castro</w:t>
      </w:r>
      <w:r w:rsidRPr="003D31D7">
        <w:rPr>
          <w:rFonts w:ascii="Cambria" w:hAnsi="Cambria"/>
          <w:i/>
          <w:sz w:val="16"/>
          <w:szCs w:val="16"/>
          <w:lang w:val="es-MX"/>
        </w:rPr>
        <w:t>: "Internet es un instrumento revolucionario".</w:t>
      </w:r>
      <w:r w:rsidRPr="003D31D7">
        <w:rPr>
          <w:rFonts w:ascii="Cambria" w:hAnsi="Cambria"/>
          <w:sz w:val="16"/>
          <w:szCs w:val="16"/>
          <w:lang w:val="es-MX"/>
        </w:rPr>
        <w:t xml:space="preserve"> </w:t>
      </w:r>
      <w:r w:rsidRPr="007F3449">
        <w:rPr>
          <w:rFonts w:ascii="Cambria" w:hAnsi="Cambria"/>
          <w:sz w:val="16"/>
          <w:szCs w:val="16"/>
        </w:rPr>
        <w:t xml:space="preserve">[Fidel Castro: “Internet is a revolutionary instrument”]. </w:t>
      </w:r>
      <w:r w:rsidRPr="003D31D7">
        <w:rPr>
          <w:rFonts w:ascii="Cambria" w:hAnsi="Cambria"/>
          <w:sz w:val="16"/>
          <w:szCs w:val="16"/>
        </w:rPr>
        <w:t>March 7, 2012. In 1995, Fidel Castro believed that the Internet would serve as a “Trojan horse” seeking to promote subversion and division, or an instrument for the dissemination of imperialist propaganda and the manipulation of consciences. Fidel Castro himself described the Internet in 2012 as “a revolutionary instrument that allows us to receive and transmit ideas, in both directions, somethin</w:t>
      </w:r>
      <w:r>
        <w:rPr>
          <w:rFonts w:ascii="Cambria" w:hAnsi="Cambria"/>
          <w:sz w:val="16"/>
          <w:szCs w:val="16"/>
        </w:rPr>
        <w:t>g that we must know how to use</w:t>
      </w:r>
      <w:r w:rsidRPr="003D31D7">
        <w:rPr>
          <w:rFonts w:ascii="Cambria" w:hAnsi="Cambria"/>
          <w:sz w:val="16"/>
          <w:szCs w:val="16"/>
        </w:rPr>
        <w:t>”.</w:t>
      </w:r>
    </w:p>
  </w:footnote>
  <w:footnote w:id="279">
    <w:p w14:paraId="72388EC3" w14:textId="01D9167B" w:rsidR="003A6945" w:rsidRPr="001C1F8A" w:rsidRDefault="003A6945" w:rsidP="00713B5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w:t>
      </w:r>
      <w:r w:rsidRPr="001C1F8A">
        <w:rPr>
          <w:rFonts w:asciiTheme="majorHAnsi" w:hAnsiTheme="majorHAnsi"/>
          <w:sz w:val="16"/>
          <w:szCs w:val="16"/>
        </w:rPr>
        <w:t>Expression. Special Report on the Situation of Freedom of Expression in Cuba,</w:t>
      </w:r>
      <w:r w:rsidRPr="001C1F8A">
        <w:rPr>
          <w:rFonts w:ascii="Cambria" w:hAnsi="Cambria"/>
          <w:sz w:val="16"/>
          <w:szCs w:val="16"/>
        </w:rPr>
        <w:t xml:space="preserve"> </w:t>
      </w:r>
      <w:r w:rsidRPr="001C1F8A">
        <w:rPr>
          <w:rFonts w:ascii="Cambria" w:hAnsi="Cambria"/>
          <w:i/>
          <w:sz w:val="16"/>
          <w:szCs w:val="16"/>
        </w:rPr>
        <w:t>supra</w:t>
      </w:r>
      <w:r w:rsidRPr="001C1F8A">
        <w:rPr>
          <w:rFonts w:ascii="Cambria" w:hAnsi="Cambria"/>
          <w:sz w:val="16"/>
          <w:szCs w:val="16"/>
        </w:rPr>
        <w:t xml:space="preserve"> para. 198.</w:t>
      </w:r>
    </w:p>
  </w:footnote>
  <w:footnote w:id="280">
    <w:p w14:paraId="7EC9D4F5" w14:textId="393AFE42" w:rsidR="003A6945" w:rsidRPr="001C1F8A" w:rsidRDefault="003A6945" w:rsidP="00713B5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w:t>
      </w:r>
      <w:r w:rsidRPr="001C1F8A">
        <w:rPr>
          <w:rFonts w:asciiTheme="majorHAnsi" w:hAnsiTheme="majorHAnsi"/>
          <w:sz w:val="16"/>
          <w:szCs w:val="16"/>
        </w:rPr>
        <w:t>Expression. Special Report on the Situation of Freedom of Expression in Cuba,</w:t>
      </w:r>
      <w:r w:rsidRPr="001C1F8A">
        <w:rPr>
          <w:rFonts w:ascii="Cambria" w:hAnsi="Cambria"/>
          <w:sz w:val="16"/>
          <w:szCs w:val="16"/>
        </w:rPr>
        <w:t xml:space="preserve"> </w:t>
      </w:r>
      <w:r w:rsidRPr="001C1F8A">
        <w:rPr>
          <w:rFonts w:ascii="Cambria" w:hAnsi="Cambria"/>
          <w:i/>
          <w:sz w:val="16"/>
          <w:szCs w:val="16"/>
        </w:rPr>
        <w:t>supra</w:t>
      </w:r>
      <w:r w:rsidRPr="001C1F8A">
        <w:rPr>
          <w:rFonts w:ascii="Cambria" w:hAnsi="Cambria"/>
          <w:sz w:val="16"/>
          <w:szCs w:val="16"/>
        </w:rPr>
        <w:t xml:space="preserve"> para. 200.</w:t>
      </w:r>
    </w:p>
  </w:footnote>
  <w:footnote w:id="281">
    <w:p w14:paraId="79EEE664" w14:textId="096E47D1" w:rsidR="003A6945" w:rsidRPr="001C1F8A" w:rsidRDefault="003A6945" w:rsidP="005D2A3F">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w:t>
      </w:r>
      <w:r w:rsidRPr="001C1F8A">
        <w:rPr>
          <w:rFonts w:asciiTheme="majorHAnsi" w:hAnsiTheme="majorHAnsi"/>
          <w:sz w:val="16"/>
          <w:szCs w:val="16"/>
        </w:rPr>
        <w:t>Expression. Special Report on the Situation of Freedom of Expression in Cuba,</w:t>
      </w:r>
      <w:r w:rsidRPr="001C1F8A">
        <w:rPr>
          <w:rFonts w:ascii="Cambria" w:hAnsi="Cambria"/>
          <w:sz w:val="16"/>
          <w:szCs w:val="16"/>
        </w:rPr>
        <w:t xml:space="preserve"> </w:t>
      </w:r>
      <w:r w:rsidRPr="001C1F8A">
        <w:rPr>
          <w:rFonts w:ascii="Cambria" w:hAnsi="Cambria"/>
          <w:i/>
          <w:sz w:val="16"/>
          <w:szCs w:val="16"/>
        </w:rPr>
        <w:t>supra</w:t>
      </w:r>
      <w:r w:rsidRPr="001C1F8A">
        <w:rPr>
          <w:rFonts w:ascii="Cambria" w:hAnsi="Cambria"/>
          <w:sz w:val="16"/>
          <w:szCs w:val="16"/>
        </w:rPr>
        <w:t xml:space="preserve"> para. 213. </w:t>
      </w:r>
    </w:p>
  </w:footnote>
  <w:footnote w:id="282">
    <w:p w14:paraId="1818A8B1" w14:textId="4DD60C32" w:rsidR="003A6945" w:rsidRPr="001C1F8A" w:rsidRDefault="003A6945" w:rsidP="00713B50">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IACHR. Office of the Special Rapporteur for Freedom of </w:t>
      </w:r>
      <w:r w:rsidRPr="001C1F8A">
        <w:rPr>
          <w:rFonts w:asciiTheme="majorHAnsi" w:hAnsiTheme="majorHAnsi"/>
          <w:sz w:val="16"/>
          <w:szCs w:val="16"/>
        </w:rPr>
        <w:t>Expression. Special Report on the Situation of Freedom of Expression in Cuba,</w:t>
      </w:r>
      <w:r w:rsidRPr="001C1F8A">
        <w:rPr>
          <w:rFonts w:ascii="Cambria" w:hAnsi="Cambria"/>
          <w:sz w:val="16"/>
          <w:szCs w:val="16"/>
        </w:rPr>
        <w:t xml:space="preserve"> </w:t>
      </w:r>
      <w:r w:rsidRPr="001C1F8A">
        <w:rPr>
          <w:rFonts w:ascii="Cambria" w:hAnsi="Cambria"/>
          <w:i/>
          <w:sz w:val="16"/>
          <w:szCs w:val="16"/>
        </w:rPr>
        <w:t>supra</w:t>
      </w:r>
      <w:r w:rsidRPr="001C1F8A">
        <w:rPr>
          <w:rFonts w:ascii="Cambria" w:hAnsi="Cambria"/>
          <w:sz w:val="16"/>
          <w:szCs w:val="16"/>
        </w:rPr>
        <w:t xml:space="preserve"> para. 219. </w:t>
      </w:r>
    </w:p>
  </w:footnote>
  <w:footnote w:id="283">
    <w:p w14:paraId="470CA090" w14:textId="4D4254B0" w:rsidR="003A6945" w:rsidRPr="001C1F8A" w:rsidRDefault="003A6945" w:rsidP="00C9199B">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hyperlink r:id="rId104" w:history="1">
        <w:r w:rsidRPr="001C1F8A">
          <w:rPr>
            <w:rStyle w:val="Hyperlink"/>
            <w:rFonts w:ascii="Cambria" w:hAnsi="Cambria"/>
            <w:sz w:val="16"/>
            <w:szCs w:val="16"/>
            <w:u w:val="none"/>
          </w:rPr>
          <w:t xml:space="preserve">IACHR. </w:t>
        </w:r>
        <w:r w:rsidRPr="001C1F8A">
          <w:rPr>
            <w:rStyle w:val="Hyperlink"/>
            <w:rFonts w:ascii="Cambria" w:hAnsi="Cambria"/>
            <w:sz w:val="16"/>
            <w:szCs w:val="16"/>
          </w:rPr>
          <w:t>Women Journalists and Freedom of Expression</w:t>
        </w:r>
        <w:r w:rsidRPr="001C1F8A">
          <w:rPr>
            <w:rStyle w:val="Hyperlink"/>
            <w:rFonts w:ascii="Cambria" w:hAnsi="Cambria"/>
            <w:sz w:val="16"/>
            <w:szCs w:val="16"/>
            <w:u w:val="none"/>
          </w:rPr>
          <w:t>. OEA/Ser. L/V/II. IACHR/RELE/INF.20/18. 31 October 2018</w:t>
        </w:r>
      </w:hyperlink>
      <w:r w:rsidRPr="001C1F8A">
        <w:rPr>
          <w:rFonts w:ascii="Cambria" w:hAnsi="Cambria"/>
          <w:sz w:val="16"/>
          <w:szCs w:val="16"/>
        </w:rPr>
        <w:t>, paras. 29, 36.</w:t>
      </w:r>
    </w:p>
  </w:footnote>
  <w:footnote w:id="284">
    <w:p w14:paraId="4B3C6E0C" w14:textId="5A416127" w:rsidR="003A6945" w:rsidRPr="001C1F8A" w:rsidRDefault="003A6945" w:rsidP="00A405C4">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w:t>
      </w:r>
      <w:r w:rsidRPr="001C1F8A">
        <w:rPr>
          <w:rFonts w:ascii="Cambria" w:hAnsi="Cambria"/>
          <w:i/>
          <w:iCs/>
          <w:sz w:val="16"/>
          <w:szCs w:val="16"/>
        </w:rPr>
        <w:t xml:space="preserve">Mutatis </w:t>
      </w:r>
      <w:proofErr w:type="spellStart"/>
      <w:r w:rsidRPr="001C1F8A">
        <w:rPr>
          <w:rFonts w:ascii="Cambria" w:hAnsi="Cambria"/>
          <w:i/>
          <w:iCs/>
          <w:sz w:val="16"/>
          <w:szCs w:val="16"/>
        </w:rPr>
        <w:t>mutandi</w:t>
      </w:r>
      <w:proofErr w:type="spellEnd"/>
      <w:r w:rsidRPr="001C1F8A">
        <w:rPr>
          <w:rFonts w:ascii="Cambria" w:hAnsi="Cambria"/>
          <w:sz w:val="16"/>
          <w:szCs w:val="16"/>
        </w:rPr>
        <w:t xml:space="preserve">, United Nations (UN) Special Rapporteur for the Protection and Promotion of the Right to Freedom of Opinion and Expression and Special Rapporteur for Freedom of Expression of the Inter-American Commission on Human Rights of the OAS. September 13, 2013. </w:t>
      </w:r>
      <w:hyperlink r:id="rId105" w:history="1">
        <w:r w:rsidRPr="001C1F8A">
          <w:rPr>
            <w:rStyle w:val="Internetlink"/>
            <w:rFonts w:ascii="Cambria" w:hAnsi="Cambria" w:cs="Cambria"/>
            <w:i/>
            <w:sz w:val="16"/>
            <w:szCs w:val="16"/>
          </w:rPr>
          <w:t>Joint declaration on violence against journalists and media workers in the context of protests</w:t>
        </w:r>
      </w:hyperlink>
      <w:r w:rsidRPr="001C1F8A">
        <w:rPr>
          <w:rFonts w:ascii="Cambria" w:hAnsi="Cambria"/>
          <w:sz w:val="16"/>
          <w:szCs w:val="16"/>
        </w:rPr>
        <w:t>.</w:t>
      </w:r>
    </w:p>
  </w:footnote>
  <w:footnote w:id="285">
    <w:p w14:paraId="634476BD" w14:textId="1FE1627A" w:rsidR="003A6945" w:rsidRPr="001C1F8A" w:rsidRDefault="003A6945" w:rsidP="00406269">
      <w:pPr>
        <w:pStyle w:val="FootnoteText"/>
        <w:pBdr>
          <w:top w:val="none" w:sz="0" w:space="0" w:color="auto"/>
          <w:left w:val="none" w:sz="0" w:space="0" w:color="auto"/>
          <w:bottom w:val="none" w:sz="0" w:space="0" w:color="auto"/>
          <w:right w:val="none" w:sz="0" w:space="0" w:color="auto"/>
        </w:pBdr>
        <w:tabs>
          <w:tab w:val="left" w:pos="1800"/>
        </w:tabs>
        <w:jc w:val="both"/>
        <w:rPr>
          <w:rFonts w:ascii="Cambria" w:hAnsi="Cambria"/>
          <w:sz w:val="16"/>
          <w:szCs w:val="16"/>
        </w:rPr>
      </w:pPr>
      <w:r w:rsidRPr="001C1F8A">
        <w:rPr>
          <w:rFonts w:ascii="Cambria" w:hAnsi="Cambria" w:cs="Cambria"/>
          <w:sz w:val="16"/>
          <w:szCs w:val="16"/>
          <w:vertAlign w:val="superscript"/>
          <w:lang w:eastAsia="x-none"/>
        </w:rPr>
        <w:footnoteRef/>
      </w:r>
      <w:r w:rsidRPr="001C1F8A">
        <w:rPr>
          <w:rFonts w:ascii="Cambria" w:hAnsi="Cambria"/>
          <w:sz w:val="16"/>
          <w:szCs w:val="16"/>
          <w:lang w:eastAsia="x-none"/>
        </w:rPr>
        <w:t xml:space="preserve"> I/A Court H.R., </w:t>
      </w:r>
      <w:r w:rsidRPr="001C1F8A">
        <w:rPr>
          <w:rFonts w:ascii="Cambria" w:hAnsi="Cambria"/>
          <w:bCs/>
          <w:i/>
          <w:sz w:val="16"/>
          <w:szCs w:val="16"/>
          <w:lang w:eastAsia="x-none"/>
        </w:rPr>
        <w:t xml:space="preserve">Case of </w:t>
      </w:r>
      <w:proofErr w:type="spellStart"/>
      <w:r w:rsidRPr="001C1F8A">
        <w:rPr>
          <w:rFonts w:ascii="Cambria" w:hAnsi="Cambria"/>
          <w:bCs/>
          <w:i/>
          <w:sz w:val="16"/>
          <w:szCs w:val="16"/>
          <w:lang w:eastAsia="x-none"/>
        </w:rPr>
        <w:t>Vélez</w:t>
      </w:r>
      <w:proofErr w:type="spellEnd"/>
      <w:r w:rsidRPr="001C1F8A">
        <w:rPr>
          <w:rFonts w:ascii="Cambria" w:hAnsi="Cambria"/>
          <w:bCs/>
          <w:i/>
          <w:sz w:val="16"/>
          <w:szCs w:val="16"/>
          <w:lang w:eastAsia="x-none"/>
        </w:rPr>
        <w:t xml:space="preserve"> Restrepo and Family v. Colombia</w:t>
      </w:r>
      <w:r w:rsidRPr="001C1F8A">
        <w:rPr>
          <w:rFonts w:ascii="Cambria" w:hAnsi="Cambria"/>
          <w:sz w:val="16"/>
          <w:szCs w:val="16"/>
        </w:rPr>
        <w:t xml:space="preserve">. </w:t>
      </w:r>
      <w:r w:rsidRPr="001C1F8A">
        <w:rPr>
          <w:rFonts w:ascii="Cambria" w:hAnsi="Cambria"/>
          <w:iCs/>
          <w:sz w:val="16"/>
          <w:szCs w:val="16"/>
          <w:lang w:eastAsia="x-none"/>
        </w:rPr>
        <w:t>Preliminary Objection, Merits, Reparations and Costs.</w:t>
      </w:r>
      <w:r w:rsidRPr="001C1F8A">
        <w:rPr>
          <w:rFonts w:ascii="Cambria" w:hAnsi="Cambria"/>
          <w:sz w:val="16"/>
          <w:szCs w:val="16"/>
          <w:lang w:eastAsia="x-none"/>
        </w:rPr>
        <w:t xml:space="preserve"> Judgment of September 3, 2012 Series C No. 248, para. 209.</w:t>
      </w:r>
    </w:p>
  </w:footnote>
  <w:footnote w:id="286">
    <w:p w14:paraId="548C11FE" w14:textId="4455059D" w:rsidR="003A6945" w:rsidRPr="001C1F8A" w:rsidRDefault="003A6945" w:rsidP="0040626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United Nations General Assembly. The safety of journalists and the issue of impunity: report of the Secretary-General. A/72/290. 4 August 2017, para. 12.</w:t>
      </w:r>
    </w:p>
  </w:footnote>
  <w:footnote w:id="287">
    <w:p w14:paraId="48D11B22" w14:textId="394A91A7" w:rsidR="003A6945" w:rsidRPr="001C1F8A" w:rsidRDefault="003A6945" w:rsidP="003F7DFF">
      <w:pPr>
        <w:jc w:val="both"/>
        <w:rPr>
          <w:rFonts w:ascii="Cambria" w:hAnsi="Cambria"/>
          <w:sz w:val="16"/>
          <w:szCs w:val="16"/>
          <w:lang w:val="en-US"/>
        </w:rPr>
      </w:pPr>
      <w:r w:rsidRPr="001C1F8A">
        <w:rPr>
          <w:rStyle w:val="FootnoteReference"/>
          <w:rFonts w:ascii="Cambria" w:hAnsi="Cambria"/>
          <w:sz w:val="16"/>
          <w:szCs w:val="16"/>
          <w:lang w:val="en-US"/>
        </w:rPr>
        <w:footnoteRef/>
      </w:r>
      <w:r w:rsidRPr="001C1F8A">
        <w:rPr>
          <w:rFonts w:ascii="Cambria" w:eastAsia="Times New Roman" w:hAnsi="Cambria" w:cs="Cambria"/>
          <w:color w:val="000000"/>
          <w:sz w:val="16"/>
          <w:szCs w:val="16"/>
          <w:u w:color="000000"/>
          <w:bdr w:val="none" w:sz="0" w:space="0" w:color="auto"/>
          <w:lang w:val="en-US" w:eastAsia="es-ES"/>
        </w:rPr>
        <w:t xml:space="preserve"> Article XVIII of the American Declaration of the Rights and Duties of Man establishes that: "[e</w:t>
      </w:r>
      <w:r w:rsidRPr="001C1F8A">
        <w:rPr>
          <w:rFonts w:asciiTheme="majorHAnsi" w:hAnsiTheme="majorHAnsi"/>
          <w:sz w:val="16"/>
          <w:szCs w:val="16"/>
          <w:lang w:val="en-US"/>
        </w:rPr>
        <w:t>]</w:t>
      </w:r>
      <w:r w:rsidRPr="001C1F8A">
        <w:rPr>
          <w:rFonts w:ascii="Cambria" w:eastAsia="Times New Roman" w:hAnsi="Cambria" w:cs="Cambria"/>
          <w:color w:val="000000"/>
          <w:sz w:val="16"/>
          <w:szCs w:val="16"/>
          <w:u w:color="000000"/>
          <w:bdr w:val="none" w:sz="0" w:space="0" w:color="auto"/>
          <w:lang w:val="en-US" w:eastAsia="es-ES"/>
        </w:rPr>
        <w:t xml:space="preserve">very person may resort to the courts to ensure respect for his legal rights.  There should likewise be available to him a simple, brief procedure whereby the courts will protect him from acts of authority that, to his prejudice, violate any fundamental constitutional rights.” </w:t>
      </w:r>
    </w:p>
  </w:footnote>
  <w:footnote w:id="288">
    <w:p w14:paraId="190ACB62" w14:textId="2633F299" w:rsidR="003A6945" w:rsidRPr="001C1F8A" w:rsidRDefault="003A6945" w:rsidP="003F7D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16"/>
          <w:szCs w:val="16"/>
          <w:u w:color="000000"/>
          <w:bdr w:val="none" w:sz="0" w:space="0" w:color="auto"/>
          <w:lang w:val="en-US" w:eastAsia="es-ES"/>
        </w:rPr>
      </w:pPr>
      <w:r w:rsidRPr="001C1F8A">
        <w:rPr>
          <w:rStyle w:val="FootnoteReference"/>
          <w:rFonts w:ascii="Cambria" w:hAnsi="Cambria"/>
          <w:sz w:val="16"/>
          <w:szCs w:val="16"/>
          <w:lang w:val="en-US"/>
        </w:rPr>
        <w:footnoteRef/>
      </w:r>
      <w:r w:rsidRPr="001C1F8A">
        <w:rPr>
          <w:rFonts w:ascii="Cambria" w:eastAsia="Times New Roman" w:hAnsi="Cambria" w:cs="Cambria"/>
          <w:color w:val="000000"/>
          <w:sz w:val="16"/>
          <w:szCs w:val="16"/>
          <w:u w:color="000000"/>
          <w:bdr w:val="none" w:sz="0" w:space="0" w:color="auto"/>
          <w:lang w:val="en-US" w:eastAsia="es-ES"/>
        </w:rPr>
        <w:t xml:space="preserve"> Article XXIV determines that: "[e]very person has the right to submit respectful petitions to any competent authority, for reasons of either general or private interest, and the right to obtain a prompt decision thereon.” </w:t>
      </w:r>
    </w:p>
  </w:footnote>
  <w:footnote w:id="289">
    <w:p w14:paraId="4E2934E2" w14:textId="359A50EB" w:rsidR="003A6945" w:rsidRPr="001C1F8A" w:rsidRDefault="003A6945" w:rsidP="00846BE9">
      <w:pPr>
        <w:pStyle w:val="FootnoteText"/>
        <w:jc w:val="both"/>
        <w:rPr>
          <w:rFonts w:ascii="Cambria" w:hAnsi="Cambria"/>
          <w:sz w:val="16"/>
          <w:szCs w:val="16"/>
        </w:rPr>
      </w:pPr>
      <w:r w:rsidRPr="001C1F8A">
        <w:rPr>
          <w:rStyle w:val="FootnoteReference"/>
          <w:rFonts w:ascii="Cambria" w:hAnsi="Cambria"/>
          <w:sz w:val="16"/>
          <w:szCs w:val="16"/>
        </w:rPr>
        <w:footnoteRef/>
      </w:r>
      <w:r w:rsidRPr="001C1F8A">
        <w:rPr>
          <w:rFonts w:ascii="Cambria" w:hAnsi="Cambria"/>
          <w:sz w:val="16"/>
          <w:szCs w:val="16"/>
        </w:rPr>
        <w:t xml:space="preserve"> Article XXVI states that: "[e]very accused person is presumed to be innocent until proved guilty. Every person accused of an offense has the right to be given an impartial and public hearing, and to be tried by courts previously established in accordance with pre-existing laws, and not to receive cruel, infamous or unusual punishment."</w:t>
      </w:r>
    </w:p>
  </w:footnote>
  <w:footnote w:id="290">
    <w:p w14:paraId="0C9737EB" w14:textId="51BFC0FC" w:rsidR="003A6945" w:rsidRPr="001C1F8A" w:rsidRDefault="003A6945" w:rsidP="00846BE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121/18, Case 10.573. José Isabel Salas Galindo et al. United States. October 5, 2018, para. 437. </w:t>
      </w:r>
    </w:p>
  </w:footnote>
  <w:footnote w:id="291">
    <w:p w14:paraId="2048EAA5" w14:textId="77777777" w:rsidR="003A6945" w:rsidRPr="001C1F8A" w:rsidRDefault="003A6945" w:rsidP="00846BE9">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1C1F8A">
        <w:rPr>
          <w:rFonts w:ascii="Cambria" w:hAnsi="Cambria"/>
          <w:sz w:val="16"/>
          <w:szCs w:val="16"/>
          <w:vertAlign w:val="superscript"/>
        </w:rPr>
        <w:footnoteRef/>
      </w:r>
      <w:r w:rsidRPr="001C1F8A">
        <w:rPr>
          <w:rFonts w:ascii="Cambria" w:hAnsi="Cambria"/>
          <w:sz w:val="16"/>
          <w:szCs w:val="16"/>
        </w:rPr>
        <w:t xml:space="preserve"> IACHR, Report No. 53/16, Case 12.056 Merits. Gabriel Oscar Jenkins. Argentina. December 6, 2016, para. 150 </w:t>
      </w:r>
      <w:r w:rsidRPr="001C1F8A">
        <w:rPr>
          <w:rFonts w:ascii="Cambria" w:hAnsi="Cambria"/>
          <w:i/>
          <w:iCs/>
          <w:sz w:val="16"/>
          <w:szCs w:val="16"/>
        </w:rPr>
        <w:t>et seq</w:t>
      </w:r>
      <w:r w:rsidRPr="001C1F8A">
        <w:rPr>
          <w:rFonts w:ascii="Cambria" w:hAnsi="Cambria"/>
          <w:sz w:val="16"/>
          <w:szCs w:val="16"/>
        </w:rPr>
        <w:t xml:space="preserve">. </w:t>
      </w:r>
    </w:p>
  </w:footnote>
  <w:footnote w:id="292">
    <w:p w14:paraId="25DE0DD7" w14:textId="77777777" w:rsidR="003A6945" w:rsidRPr="002A7A7E" w:rsidRDefault="003A6945" w:rsidP="008E7F1E">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29/20. Case 12.865. Merits (Publication). Djamel </w:t>
      </w:r>
      <w:proofErr w:type="spellStart"/>
      <w:r w:rsidRPr="002A7A7E">
        <w:rPr>
          <w:rFonts w:ascii="Cambria" w:hAnsi="Cambria"/>
          <w:sz w:val="16"/>
          <w:szCs w:val="16"/>
        </w:rPr>
        <w:t>Ameziane</w:t>
      </w:r>
      <w:proofErr w:type="spellEnd"/>
      <w:r w:rsidRPr="002A7A7E">
        <w:rPr>
          <w:rFonts w:ascii="Cambria" w:hAnsi="Cambria"/>
          <w:sz w:val="16"/>
          <w:szCs w:val="16"/>
        </w:rPr>
        <w:t xml:space="preserve">. United States of America, April 22, 2020, para. 211. </w:t>
      </w:r>
    </w:p>
  </w:footnote>
  <w:footnote w:id="293">
    <w:p w14:paraId="52C5C5B3" w14:textId="77777777" w:rsidR="003A6945" w:rsidRPr="002A7A7E" w:rsidRDefault="003A6945" w:rsidP="008E7F1E">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53/16, Case 12.056 Merits. Gabriel Oscar Jenkins. Argentina. December 6, 2016, para. 152.</w:t>
      </w:r>
    </w:p>
  </w:footnote>
  <w:footnote w:id="294">
    <w:p w14:paraId="714E2439" w14:textId="3452666F" w:rsidR="003A6945" w:rsidRPr="00FF1D6A" w:rsidRDefault="003A6945" w:rsidP="00080AF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Annual Report 2013. Report of the Office of the Special Rapporteur for Freedom of Expression. Ch. III (Violence against Journalists and Media Workers: </w:t>
      </w:r>
      <w:r w:rsidRPr="00FF1D6A">
        <w:rPr>
          <w:rFonts w:ascii="Cambria" w:hAnsi="Cambria"/>
          <w:sz w:val="16"/>
          <w:szCs w:val="16"/>
        </w:rPr>
        <w:t>Inter-American Standards and National Practices on Prevention, Protection, and Prosecution of Perpetrators). OEA/</w:t>
      </w:r>
      <w:proofErr w:type="spellStart"/>
      <w:r w:rsidRPr="00FF1D6A">
        <w:rPr>
          <w:rFonts w:ascii="Cambria" w:hAnsi="Cambria"/>
          <w:sz w:val="16"/>
          <w:szCs w:val="16"/>
        </w:rPr>
        <w:t>Ser.L</w:t>
      </w:r>
      <w:proofErr w:type="spellEnd"/>
      <w:r w:rsidRPr="00FF1D6A">
        <w:rPr>
          <w:rFonts w:ascii="Cambria" w:hAnsi="Cambria"/>
          <w:sz w:val="16"/>
          <w:szCs w:val="16"/>
        </w:rPr>
        <w:t>/V/II.149. Doc. 50. 31 December 2013. Para. 166.</w:t>
      </w:r>
    </w:p>
  </w:footnote>
  <w:footnote w:id="295">
    <w:p w14:paraId="4BB0739A" w14:textId="15A75518" w:rsidR="003A6945" w:rsidRPr="00FF1D6A" w:rsidRDefault="003A6945" w:rsidP="00DB4E5D">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FF1D6A">
        <w:rPr>
          <w:rFonts w:ascii="Cambria" w:hAnsi="Cambria"/>
          <w:sz w:val="16"/>
          <w:szCs w:val="16"/>
          <w:vertAlign w:val="superscript"/>
        </w:rPr>
        <w:footnoteRef/>
      </w:r>
      <w:r w:rsidRPr="00FF1D6A">
        <w:rPr>
          <w:rFonts w:ascii="Cambria" w:hAnsi="Cambria"/>
          <w:sz w:val="16"/>
          <w:szCs w:val="16"/>
        </w:rPr>
        <w:t xml:space="preserve"> IACHR, Report No. 7/16, Case 12.213. Merits. </w:t>
      </w:r>
      <w:proofErr w:type="spellStart"/>
      <w:r w:rsidRPr="00FF1D6A">
        <w:rPr>
          <w:rFonts w:ascii="Cambria" w:hAnsi="Cambria"/>
          <w:sz w:val="16"/>
          <w:szCs w:val="16"/>
        </w:rPr>
        <w:t>Aristeu</w:t>
      </w:r>
      <w:proofErr w:type="spellEnd"/>
      <w:r w:rsidRPr="00FF1D6A">
        <w:rPr>
          <w:rFonts w:ascii="Cambria" w:hAnsi="Cambria"/>
          <w:sz w:val="16"/>
          <w:szCs w:val="16"/>
        </w:rPr>
        <w:t xml:space="preserve"> </w:t>
      </w:r>
      <w:proofErr w:type="spellStart"/>
      <w:r w:rsidRPr="00FF1D6A">
        <w:rPr>
          <w:rFonts w:ascii="Cambria" w:hAnsi="Cambria"/>
          <w:sz w:val="16"/>
          <w:szCs w:val="16"/>
        </w:rPr>
        <w:t>Guida</w:t>
      </w:r>
      <w:proofErr w:type="spellEnd"/>
      <w:r w:rsidRPr="00FF1D6A">
        <w:rPr>
          <w:rFonts w:ascii="Cambria" w:hAnsi="Cambria"/>
          <w:sz w:val="16"/>
          <w:szCs w:val="16"/>
        </w:rPr>
        <w:t xml:space="preserve"> da Silva and Family. Brazil. April 13, 2016, para. 150.</w:t>
      </w:r>
    </w:p>
  </w:footnote>
  <w:footnote w:id="296">
    <w:p w14:paraId="5667ADEF" w14:textId="627F49E5" w:rsidR="003A6945" w:rsidRPr="00691B13" w:rsidRDefault="003A6945" w:rsidP="00FF1D6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lang w:val="pt-BR"/>
        </w:rPr>
      </w:pPr>
      <w:r w:rsidRPr="00FF1D6A">
        <w:rPr>
          <w:rFonts w:ascii="Cambria" w:hAnsi="Cambria"/>
          <w:sz w:val="16"/>
          <w:szCs w:val="16"/>
          <w:vertAlign w:val="superscript"/>
        </w:rPr>
        <w:footnoteRef/>
      </w:r>
      <w:r w:rsidRPr="00FF1D6A">
        <w:rPr>
          <w:rFonts w:ascii="Cambria" w:hAnsi="Cambria"/>
          <w:sz w:val="16"/>
          <w:szCs w:val="16"/>
        </w:rPr>
        <w:t xml:space="preserve"> IACHR. Report No. 74/17, Case 12.656. Merits.</w:t>
      </w:r>
      <w:r>
        <w:rPr>
          <w:rFonts w:ascii="Cambria" w:hAnsi="Cambria"/>
          <w:sz w:val="16"/>
          <w:szCs w:val="16"/>
        </w:rPr>
        <w:t xml:space="preserve"> </w:t>
      </w:r>
      <w:proofErr w:type="spellStart"/>
      <w:r w:rsidRPr="00FF1D6A">
        <w:rPr>
          <w:rFonts w:ascii="Cambria" w:hAnsi="Cambria"/>
          <w:sz w:val="16"/>
          <w:szCs w:val="16"/>
        </w:rPr>
        <w:t>Victorio</w:t>
      </w:r>
      <w:proofErr w:type="spellEnd"/>
      <w:r w:rsidRPr="00FF1D6A">
        <w:rPr>
          <w:rFonts w:ascii="Cambria" w:hAnsi="Cambria"/>
          <w:sz w:val="16"/>
          <w:szCs w:val="16"/>
        </w:rPr>
        <w:t xml:space="preserve"> </w:t>
      </w:r>
      <w:proofErr w:type="spellStart"/>
      <w:r w:rsidRPr="00FF1D6A">
        <w:rPr>
          <w:rFonts w:ascii="Cambria" w:hAnsi="Cambria"/>
          <w:sz w:val="16"/>
          <w:szCs w:val="16"/>
        </w:rPr>
        <w:t>Spoltore</w:t>
      </w:r>
      <w:proofErr w:type="spellEnd"/>
      <w:r w:rsidRPr="00FF1D6A">
        <w:rPr>
          <w:rFonts w:ascii="Cambria" w:hAnsi="Cambria"/>
          <w:sz w:val="16"/>
          <w:szCs w:val="16"/>
        </w:rPr>
        <w:t>. Argentina. July 5, 2017, para. 41.</w:t>
      </w:r>
      <w:r w:rsidRPr="00691B13">
        <w:rPr>
          <w:rFonts w:ascii="Cambria" w:hAnsi="Cambria"/>
          <w:sz w:val="16"/>
          <w:szCs w:val="16"/>
          <w:lang w:val="pt-BR"/>
        </w:rPr>
        <w:t xml:space="preserve"> </w:t>
      </w:r>
    </w:p>
  </w:footnote>
  <w:footnote w:id="297">
    <w:p w14:paraId="20F833BE" w14:textId="77777777" w:rsidR="003A6945" w:rsidRPr="00231742" w:rsidRDefault="003A6945" w:rsidP="00027C4E">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231742">
        <w:rPr>
          <w:rFonts w:ascii="Cambria" w:hAnsi="Cambria"/>
          <w:sz w:val="16"/>
          <w:szCs w:val="16"/>
          <w:vertAlign w:val="superscript"/>
        </w:rPr>
        <w:footnoteRef/>
      </w:r>
      <w:r w:rsidRPr="00231742">
        <w:rPr>
          <w:rFonts w:ascii="Cambria" w:hAnsi="Cambria"/>
          <w:sz w:val="16"/>
          <w:szCs w:val="16"/>
        </w:rPr>
        <w:t xml:space="preserve"> United Nations. Human Rights Committee. General Comment No. 32, CCPR/C/GC/32, August 23, 2007, para. 19.</w:t>
      </w:r>
    </w:p>
  </w:footnote>
  <w:footnote w:id="298">
    <w:p w14:paraId="6CE5D657" w14:textId="77777777" w:rsidR="003A6945" w:rsidRPr="00231742" w:rsidRDefault="003A6945" w:rsidP="00027C4E">
      <w:pPr>
        <w:pStyle w:val="FootnoteText"/>
        <w:rPr>
          <w:rFonts w:ascii="Cambria" w:hAnsi="Cambria" w:cstheme="minorBidi"/>
          <w:sz w:val="16"/>
          <w:szCs w:val="16"/>
        </w:rPr>
      </w:pPr>
      <w:r w:rsidRPr="00231742">
        <w:rPr>
          <w:rStyle w:val="FootnoteReference"/>
          <w:rFonts w:ascii="Cambria" w:hAnsi="Cambria"/>
          <w:sz w:val="16"/>
          <w:szCs w:val="16"/>
        </w:rPr>
        <w:footnoteRef/>
      </w:r>
      <w:r w:rsidRPr="00231742">
        <w:rPr>
          <w:rFonts w:ascii="Cambria" w:hAnsi="Cambria"/>
          <w:sz w:val="16"/>
          <w:szCs w:val="16"/>
        </w:rPr>
        <w:t xml:space="preserve"> IACHR. Report 103/13, Case 12.816, Adan Guillermo Lopez Lone et al. Honduras. November 5, 2013, para. 113. </w:t>
      </w:r>
    </w:p>
  </w:footnote>
  <w:footnote w:id="299">
    <w:p w14:paraId="485CAB09" w14:textId="238ADC4F" w:rsidR="003A6945" w:rsidRPr="00231742" w:rsidRDefault="003A6945" w:rsidP="00027C4E">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231742">
        <w:rPr>
          <w:rFonts w:ascii="Cambria" w:hAnsi="Cambria"/>
          <w:sz w:val="16"/>
          <w:szCs w:val="16"/>
          <w:vertAlign w:val="superscript"/>
        </w:rPr>
        <w:footnoteRef/>
      </w:r>
      <w:r w:rsidRPr="00231742">
        <w:rPr>
          <w:rFonts w:ascii="Cambria" w:hAnsi="Cambria"/>
          <w:color w:val="auto"/>
          <w:sz w:val="16"/>
          <w:szCs w:val="16"/>
        </w:rPr>
        <w:t xml:space="preserve"> IACHR. Report No. 67/06. Case 12.476. Oscar Elías Biscet </w:t>
      </w:r>
      <w:r>
        <w:rPr>
          <w:rFonts w:ascii="Cambria" w:hAnsi="Cambria"/>
          <w:color w:val="auto"/>
          <w:sz w:val="16"/>
          <w:szCs w:val="16"/>
        </w:rPr>
        <w:t>et al</w:t>
      </w:r>
      <w:r w:rsidRPr="00231742">
        <w:rPr>
          <w:rFonts w:ascii="Cambria" w:hAnsi="Cambria"/>
          <w:color w:val="auto"/>
          <w:sz w:val="16"/>
          <w:szCs w:val="16"/>
        </w:rPr>
        <w:t xml:space="preserve">. </w:t>
      </w:r>
      <w:r w:rsidRPr="002A7A7E">
        <w:rPr>
          <w:rFonts w:ascii="Cambria" w:hAnsi="Cambria"/>
          <w:color w:val="auto"/>
          <w:sz w:val="16"/>
          <w:szCs w:val="16"/>
          <w:lang w:val="es-PE"/>
        </w:rPr>
        <w:t xml:space="preserve">Cuba. October 21, 2006, para. 169; Report No. 68/06. Case 12.477. Merits. Lorenzo Enrique Copello Castillo et al. </w:t>
      </w:r>
      <w:r w:rsidRPr="00231742">
        <w:rPr>
          <w:rFonts w:ascii="Cambria" w:hAnsi="Cambria"/>
          <w:color w:val="auto"/>
          <w:sz w:val="16"/>
          <w:szCs w:val="16"/>
        </w:rPr>
        <w:t>Cuba. October 21, 2006</w:t>
      </w:r>
      <w:r>
        <w:rPr>
          <w:rFonts w:ascii="Cambria" w:hAnsi="Cambria"/>
          <w:color w:val="auto"/>
          <w:sz w:val="16"/>
          <w:szCs w:val="16"/>
        </w:rPr>
        <w:t>, p</w:t>
      </w:r>
      <w:r w:rsidRPr="00231742">
        <w:rPr>
          <w:rFonts w:ascii="Cambria" w:hAnsi="Cambria"/>
          <w:color w:val="auto"/>
          <w:sz w:val="16"/>
          <w:szCs w:val="16"/>
        </w:rPr>
        <w:t>ara</w:t>
      </w:r>
      <w:r>
        <w:rPr>
          <w:rFonts w:ascii="Cambria" w:hAnsi="Cambria"/>
          <w:color w:val="auto"/>
          <w:sz w:val="16"/>
          <w:szCs w:val="16"/>
        </w:rPr>
        <w:t>s</w:t>
      </w:r>
      <w:r w:rsidRPr="00231742">
        <w:rPr>
          <w:rFonts w:ascii="Cambria" w:hAnsi="Cambria"/>
          <w:color w:val="auto"/>
          <w:sz w:val="16"/>
          <w:szCs w:val="16"/>
        </w:rPr>
        <w:t>. 50</w:t>
      </w:r>
      <w:r w:rsidRPr="00231742">
        <w:rPr>
          <w:rFonts w:ascii="Cambria" w:hAnsi="Cambria"/>
          <w:sz w:val="16"/>
          <w:szCs w:val="16"/>
        </w:rPr>
        <w:t xml:space="preserve">, 119. </w:t>
      </w:r>
    </w:p>
  </w:footnote>
  <w:footnote w:id="300">
    <w:p w14:paraId="02366BA9" w14:textId="77777777" w:rsidR="003A6945" w:rsidRPr="002A7A7E" w:rsidRDefault="003A6945" w:rsidP="00286CDA">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27/18, Case No. 12.127, Merits (Publication). </w:t>
      </w:r>
      <w:proofErr w:type="spellStart"/>
      <w:r w:rsidRPr="002A7A7E">
        <w:rPr>
          <w:rFonts w:ascii="Cambria" w:hAnsi="Cambria"/>
          <w:sz w:val="16"/>
          <w:szCs w:val="16"/>
        </w:rPr>
        <w:t>Vladimiro</w:t>
      </w:r>
      <w:proofErr w:type="spellEnd"/>
      <w:r w:rsidRPr="002A7A7E">
        <w:rPr>
          <w:rFonts w:ascii="Cambria" w:hAnsi="Cambria"/>
          <w:sz w:val="16"/>
          <w:szCs w:val="16"/>
        </w:rPr>
        <w:t xml:space="preserve"> Roca </w:t>
      </w:r>
      <w:proofErr w:type="spellStart"/>
      <w:r w:rsidRPr="002A7A7E">
        <w:rPr>
          <w:rFonts w:ascii="Cambria" w:hAnsi="Cambria"/>
          <w:sz w:val="16"/>
          <w:szCs w:val="16"/>
        </w:rPr>
        <w:t>Antunez</w:t>
      </w:r>
      <w:proofErr w:type="spellEnd"/>
      <w:r w:rsidRPr="002A7A7E">
        <w:rPr>
          <w:rFonts w:ascii="Cambria" w:hAnsi="Cambria"/>
          <w:sz w:val="16"/>
          <w:szCs w:val="16"/>
        </w:rPr>
        <w:t xml:space="preserve"> and Others. Cuba. February 24, 2018, para. 141.</w:t>
      </w:r>
    </w:p>
  </w:footnote>
  <w:footnote w:id="301">
    <w:p w14:paraId="63886401" w14:textId="77777777" w:rsidR="003A6945" w:rsidRPr="002A7A7E" w:rsidRDefault="003A6945" w:rsidP="00E17CC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92/05, Case 12.148. Merits. Michael Gayle. Jamaica, October 24, 2005, para. 56. </w:t>
      </w:r>
    </w:p>
  </w:footnote>
  <w:footnote w:id="302">
    <w:p w14:paraId="027173E7" w14:textId="77777777" w:rsidR="003A6945" w:rsidRPr="002A7A7E" w:rsidRDefault="003A6945" w:rsidP="00E17CC1">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Guarantees for the Independence of Justice Operators: Towards Strengthening Access to Justice and the Rule of Law in the Americas, OEA/</w:t>
      </w:r>
      <w:proofErr w:type="spellStart"/>
      <w:r w:rsidRPr="002A7A7E">
        <w:rPr>
          <w:rFonts w:ascii="Cambria" w:hAnsi="Cambria"/>
          <w:sz w:val="16"/>
          <w:szCs w:val="16"/>
        </w:rPr>
        <w:t>Ser.L</w:t>
      </w:r>
      <w:proofErr w:type="spellEnd"/>
      <w:r w:rsidRPr="002A7A7E">
        <w:rPr>
          <w:rFonts w:ascii="Cambria" w:hAnsi="Cambria"/>
          <w:sz w:val="16"/>
          <w:szCs w:val="16"/>
        </w:rPr>
        <w:t>/V/II. Doc. 44, 5 December 2013, para. 36.</w:t>
      </w:r>
    </w:p>
  </w:footnote>
  <w:footnote w:id="303">
    <w:p w14:paraId="12D34F29" w14:textId="30CDAF39" w:rsidR="003A6945" w:rsidRPr="002A7A7E" w:rsidRDefault="003A6945" w:rsidP="004B3D55">
      <w:pPr>
        <w:pStyle w:val="FootnoteText"/>
        <w:rPr>
          <w:rFonts w:ascii="Cambria" w:hAnsi="Cambria" w:cstheme="minorBidi"/>
          <w:sz w:val="16"/>
          <w:szCs w:val="16"/>
        </w:rPr>
      </w:pPr>
      <w:r>
        <w:rPr>
          <w:rStyle w:val="FootnoteReference"/>
          <w:rFonts w:ascii="Cambria" w:hAnsi="Cambria"/>
          <w:sz w:val="16"/>
          <w:szCs w:val="16"/>
        </w:rPr>
        <w:footnoteRef/>
      </w:r>
      <w:r w:rsidRPr="002A7A7E">
        <w:rPr>
          <w:rFonts w:ascii="Cambria" w:hAnsi="Cambria"/>
          <w:sz w:val="16"/>
          <w:szCs w:val="16"/>
        </w:rPr>
        <w:t xml:space="preserve"> I/A Court H.R., </w:t>
      </w:r>
      <w:r w:rsidRPr="002A7A7E">
        <w:rPr>
          <w:rFonts w:ascii="Cambria" w:hAnsi="Cambria"/>
          <w:i/>
          <w:iCs/>
          <w:sz w:val="16"/>
          <w:szCs w:val="16"/>
        </w:rPr>
        <w:t>Case of Favela Nova Brasília v. Brazil</w:t>
      </w:r>
      <w:r w:rsidRPr="002A7A7E">
        <w:rPr>
          <w:rFonts w:ascii="Cambria" w:hAnsi="Cambria"/>
          <w:sz w:val="16"/>
          <w:szCs w:val="16"/>
        </w:rPr>
        <w:t xml:space="preserve">. Preliminary Objections, Merits, Reparations and Costs. Judgment of February 16, 2017. Series C No. 333, para. 187. </w:t>
      </w:r>
    </w:p>
  </w:footnote>
  <w:footnote w:id="304">
    <w:p w14:paraId="4F9082D4" w14:textId="77777777" w:rsidR="003A6945" w:rsidRPr="002A7A7E" w:rsidRDefault="003A6945" w:rsidP="004B3D55">
      <w:pPr>
        <w:pStyle w:val="FootnoteText"/>
        <w:rPr>
          <w:rFonts w:ascii="Cambria" w:hAnsi="Cambria"/>
          <w:sz w:val="16"/>
          <w:szCs w:val="16"/>
        </w:rPr>
      </w:pPr>
      <w:r>
        <w:rPr>
          <w:rStyle w:val="FootnoteReference"/>
          <w:rFonts w:ascii="Cambria" w:hAnsi="Cambria"/>
          <w:sz w:val="16"/>
          <w:szCs w:val="16"/>
        </w:rPr>
        <w:footnoteRef/>
      </w:r>
      <w:r w:rsidRPr="002A7A7E">
        <w:rPr>
          <w:rFonts w:ascii="Cambria" w:hAnsi="Cambria"/>
          <w:sz w:val="16"/>
          <w:szCs w:val="16"/>
        </w:rPr>
        <w:t xml:space="preserve"> IACHR. Guarantees for the Independence of Justice Operators: Towards Strengthening Access to Justice and the Rule of Law in the Americas, OEA/</w:t>
      </w:r>
      <w:proofErr w:type="spellStart"/>
      <w:r w:rsidRPr="002A7A7E">
        <w:rPr>
          <w:rFonts w:ascii="Cambria" w:hAnsi="Cambria"/>
          <w:sz w:val="16"/>
          <w:szCs w:val="16"/>
        </w:rPr>
        <w:t>Ser.L</w:t>
      </w:r>
      <w:proofErr w:type="spellEnd"/>
      <w:r w:rsidRPr="002A7A7E">
        <w:rPr>
          <w:rFonts w:ascii="Cambria" w:hAnsi="Cambria"/>
          <w:sz w:val="16"/>
          <w:szCs w:val="16"/>
        </w:rPr>
        <w:t xml:space="preserve">/V/II. Doc. 44, 5 December 2013, para. 27. </w:t>
      </w:r>
    </w:p>
  </w:footnote>
  <w:footnote w:id="305">
    <w:p w14:paraId="75F7DBEC" w14:textId="717DE1D9" w:rsidR="003A6945" w:rsidRPr="002A7A7E" w:rsidRDefault="003A6945" w:rsidP="004B3D5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Guarantees for the Independence of Justice Operators: Towards Strengthening Access to Justice and the Rule of Law in the Americas, OEA/</w:t>
      </w:r>
      <w:proofErr w:type="spellStart"/>
      <w:r w:rsidRPr="002A7A7E">
        <w:rPr>
          <w:rFonts w:ascii="Cambria" w:hAnsi="Cambria"/>
          <w:sz w:val="16"/>
          <w:szCs w:val="16"/>
        </w:rPr>
        <w:t>Ser.L</w:t>
      </w:r>
      <w:proofErr w:type="spellEnd"/>
      <w:r w:rsidRPr="002A7A7E">
        <w:rPr>
          <w:rFonts w:ascii="Cambria" w:hAnsi="Cambria"/>
          <w:sz w:val="16"/>
          <w:szCs w:val="16"/>
        </w:rPr>
        <w:t>/V/II. Doc. 44, 5 December 2013, para. 38</w:t>
      </w:r>
    </w:p>
  </w:footnote>
  <w:footnote w:id="306">
    <w:p w14:paraId="40BCF5EE" w14:textId="6B47BB23" w:rsidR="003A6945" w:rsidRPr="002A7A7E" w:rsidRDefault="003A6945" w:rsidP="004B3D55">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150/18, Case 12.954. Merits. </w:t>
      </w:r>
      <w:proofErr w:type="spellStart"/>
      <w:r w:rsidRPr="002A7A7E">
        <w:rPr>
          <w:rFonts w:ascii="Cambria" w:hAnsi="Cambria"/>
          <w:sz w:val="16"/>
          <w:szCs w:val="16"/>
        </w:rPr>
        <w:t>Jineth</w:t>
      </w:r>
      <w:proofErr w:type="spellEnd"/>
      <w:r w:rsidRPr="002A7A7E">
        <w:rPr>
          <w:rFonts w:ascii="Cambria" w:hAnsi="Cambria"/>
          <w:sz w:val="16"/>
          <w:szCs w:val="16"/>
        </w:rPr>
        <w:t xml:space="preserve"> Bedoya Lima and Other. Colombia. December 7, 2018, para. 107.</w:t>
      </w:r>
    </w:p>
  </w:footnote>
  <w:footnote w:id="307">
    <w:p w14:paraId="2D799ACC" w14:textId="55F2844E" w:rsidR="003A6945" w:rsidRPr="002A7A7E" w:rsidRDefault="003A6945" w:rsidP="00EE7260">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shd w:val="clear" w:color="auto" w:fill="FFFFFF"/>
        </w:rPr>
        <w:t xml:space="preserve"> </w:t>
      </w:r>
      <w:r w:rsidRPr="002A7A7E">
        <w:rPr>
          <w:rFonts w:ascii="Cambria" w:hAnsi="Cambria"/>
          <w:sz w:val="16"/>
          <w:szCs w:val="16"/>
        </w:rPr>
        <w:t>IACHR. Annual Report 2002. Ch. IV - Development of Human Rights in the Region - Cuba. OEA/</w:t>
      </w:r>
      <w:proofErr w:type="spellStart"/>
      <w:r w:rsidRPr="002A7A7E">
        <w:rPr>
          <w:rFonts w:ascii="Cambria" w:hAnsi="Cambria"/>
          <w:sz w:val="16"/>
          <w:szCs w:val="16"/>
        </w:rPr>
        <w:t>Ser.L</w:t>
      </w:r>
      <w:proofErr w:type="spellEnd"/>
      <w:r w:rsidRPr="002A7A7E">
        <w:rPr>
          <w:rFonts w:ascii="Cambria" w:hAnsi="Cambria"/>
          <w:sz w:val="16"/>
          <w:szCs w:val="16"/>
        </w:rPr>
        <w:t xml:space="preserve">/V/II.117. </w:t>
      </w:r>
      <w:r w:rsidRPr="002A7A7E">
        <w:rPr>
          <w:rFonts w:ascii="Cambria" w:hAnsi="Cambria"/>
          <w:i/>
          <w:iCs/>
          <w:sz w:val="16"/>
          <w:szCs w:val="16"/>
        </w:rPr>
        <w:t>Citing</w:t>
      </w:r>
      <w:r w:rsidRPr="002A7A7E">
        <w:rPr>
          <w:rFonts w:ascii="Cambria" w:hAnsi="Cambria"/>
          <w:sz w:val="16"/>
          <w:szCs w:val="16"/>
        </w:rPr>
        <w:t xml:space="preserve"> </w:t>
      </w:r>
      <w:r w:rsidRPr="002A7A7E">
        <w:rPr>
          <w:rFonts w:ascii="Cambria" w:hAnsi="Cambria"/>
          <w:sz w:val="16"/>
          <w:szCs w:val="16"/>
          <w:shd w:val="clear" w:color="auto" w:fill="FFFFFF"/>
        </w:rPr>
        <w:t xml:space="preserve">United Nations Economic and Social Council, Integration of the Human Rights of Women and the Gender Perspective, Violence against Women, </w:t>
      </w:r>
      <w:r w:rsidRPr="002A7A7E">
        <w:rPr>
          <w:rFonts w:ascii="Cambria" w:hAnsi="Cambria"/>
          <w:i/>
          <w:iCs/>
          <w:sz w:val="16"/>
          <w:szCs w:val="16"/>
          <w:shd w:val="clear" w:color="auto" w:fill="FFFFFF"/>
        </w:rPr>
        <w:t>Report of the Special Rapporteur on violence against women, its causes and consequences, Ms. Radhika Coomaraswamy</w:t>
      </w:r>
      <w:r w:rsidRPr="002A7A7E">
        <w:rPr>
          <w:rFonts w:ascii="Cambria" w:hAnsi="Cambria"/>
          <w:sz w:val="16"/>
          <w:szCs w:val="16"/>
          <w:shd w:val="clear" w:color="auto" w:fill="FFFFFF"/>
        </w:rPr>
        <w:t>, submitted in accordance with Commission on Human Rights resolution 1997/44, Report on the Mission to Cuba, 56th session, item 12(a) of the provisional agenda, E/CN.4/2000/68/Add.2, February 8, 2000, paragraph 6.</w:t>
      </w:r>
    </w:p>
  </w:footnote>
  <w:footnote w:id="308">
    <w:p w14:paraId="7B430042" w14:textId="1BC1847D" w:rsidR="003A6945" w:rsidRPr="002A7A7E" w:rsidRDefault="003A6945" w:rsidP="00DE70F0">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 Court H.R., </w:t>
      </w:r>
      <w:r w:rsidRPr="002A7A7E">
        <w:rPr>
          <w:rFonts w:ascii="Cambria" w:hAnsi="Cambria"/>
          <w:i/>
          <w:iCs/>
          <w:sz w:val="16"/>
          <w:szCs w:val="16"/>
        </w:rPr>
        <w:t>Case of Claude Reyes et al. v. Chile</w:t>
      </w:r>
      <w:r w:rsidRPr="002A7A7E">
        <w:rPr>
          <w:rFonts w:ascii="Cambria" w:hAnsi="Cambria"/>
          <w:sz w:val="16"/>
          <w:szCs w:val="16"/>
        </w:rPr>
        <w:t xml:space="preserve">. Merits, Reparations and Costs. Judgment of September 19, 2006. Series C No. 151, paras. 118 and 119. </w:t>
      </w:r>
    </w:p>
  </w:footnote>
  <w:footnote w:id="309">
    <w:p w14:paraId="546DE17B" w14:textId="2772C8A1" w:rsidR="003A6945" w:rsidRPr="002A7A7E" w:rsidRDefault="003A6945" w:rsidP="00DE70F0">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 Court H.R., </w:t>
      </w:r>
      <w:r w:rsidRPr="002A7A7E">
        <w:rPr>
          <w:rFonts w:ascii="Cambria" w:hAnsi="Cambria"/>
          <w:i/>
          <w:iCs/>
          <w:sz w:val="16"/>
          <w:szCs w:val="16"/>
        </w:rPr>
        <w:t xml:space="preserve">Case of </w:t>
      </w:r>
      <w:proofErr w:type="spellStart"/>
      <w:r w:rsidRPr="002A7A7E">
        <w:rPr>
          <w:rFonts w:ascii="Cambria" w:hAnsi="Cambria"/>
          <w:i/>
          <w:iCs/>
          <w:sz w:val="16"/>
          <w:szCs w:val="16"/>
        </w:rPr>
        <w:t>Baena</w:t>
      </w:r>
      <w:proofErr w:type="spellEnd"/>
      <w:r w:rsidRPr="002A7A7E">
        <w:rPr>
          <w:rFonts w:ascii="Cambria" w:hAnsi="Cambria"/>
          <w:i/>
          <w:iCs/>
          <w:sz w:val="16"/>
          <w:szCs w:val="16"/>
        </w:rPr>
        <w:t xml:space="preserve"> Ricardo et al. v. Panama</w:t>
      </w:r>
      <w:r w:rsidRPr="002A7A7E">
        <w:rPr>
          <w:rFonts w:ascii="Cambria" w:hAnsi="Cambria"/>
          <w:sz w:val="16"/>
          <w:szCs w:val="16"/>
        </w:rPr>
        <w:t xml:space="preserve">. Merits, Reparations and Costs. Judgment of February 2, 2001. Series C No. 72, para. 126. </w:t>
      </w:r>
    </w:p>
  </w:footnote>
  <w:footnote w:id="310">
    <w:p w14:paraId="16700F1E" w14:textId="77777777" w:rsidR="003A6945" w:rsidRPr="002A7A7E" w:rsidRDefault="003A6945" w:rsidP="00DE70F0">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691B13">
        <w:rPr>
          <w:rFonts w:ascii="Cambria" w:hAnsi="Cambria"/>
          <w:sz w:val="16"/>
          <w:szCs w:val="16"/>
          <w:vertAlign w:val="superscript"/>
        </w:rPr>
        <w:footnoteRef/>
      </w:r>
      <w:r w:rsidRPr="002A7A7E">
        <w:rPr>
          <w:rFonts w:ascii="Cambria" w:hAnsi="Cambria"/>
          <w:sz w:val="16"/>
          <w:szCs w:val="16"/>
        </w:rPr>
        <w:t xml:space="preserve"> IACHR, Report No. 17/19, Case 12.702, Merits. </w:t>
      </w:r>
      <w:r w:rsidRPr="00691B13">
        <w:rPr>
          <w:rFonts w:ascii="Cambria" w:hAnsi="Cambria"/>
          <w:sz w:val="16"/>
          <w:szCs w:val="16"/>
          <w:lang w:val="es-PE"/>
        </w:rPr>
        <w:t xml:space="preserve">Bonifacio Rios Avalos and Carlos Fernández Gadea. </w:t>
      </w:r>
      <w:r w:rsidRPr="002A7A7E">
        <w:rPr>
          <w:rFonts w:ascii="Cambria" w:hAnsi="Cambria"/>
          <w:sz w:val="16"/>
          <w:szCs w:val="16"/>
        </w:rPr>
        <w:t xml:space="preserve">Paraguay. February 12, 2019, para. 56. </w:t>
      </w:r>
    </w:p>
  </w:footnote>
  <w:footnote w:id="311">
    <w:p w14:paraId="4C88A49E" w14:textId="151EFB71" w:rsidR="003A6945" w:rsidRPr="00F06E57" w:rsidRDefault="003A6945" w:rsidP="007C08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bCs/>
          <w:sz w:val="16"/>
          <w:szCs w:val="16"/>
          <w:bdr w:val="none" w:sz="0" w:space="0" w:color="auto"/>
          <w:lang w:val="en-US"/>
        </w:rPr>
      </w:pPr>
      <w:r w:rsidRPr="00F06E57">
        <w:rPr>
          <w:rStyle w:val="FootnoteReference"/>
          <w:rFonts w:ascii="Cambria" w:hAnsi="Cambria"/>
          <w:sz w:val="16"/>
          <w:szCs w:val="16"/>
          <w:lang w:val="en-US"/>
        </w:rPr>
        <w:footnoteRef/>
      </w:r>
      <w:r w:rsidRPr="00F06E57">
        <w:rPr>
          <w:rFonts w:ascii="Cambria" w:hAnsi="Cambria"/>
          <w:bCs/>
          <w:sz w:val="16"/>
          <w:szCs w:val="16"/>
          <w:bdr w:val="none" w:sz="0" w:space="0" w:color="auto"/>
          <w:lang w:val="en-US"/>
        </w:rPr>
        <w:t xml:space="preserve"> Article II of the American Declaration provides: “[a]</w:t>
      </w:r>
      <w:proofErr w:type="spellStart"/>
      <w:r w:rsidRPr="00F06E57">
        <w:rPr>
          <w:rFonts w:ascii="Cambria" w:hAnsi="Cambria"/>
          <w:bCs/>
          <w:sz w:val="16"/>
          <w:szCs w:val="16"/>
          <w:bdr w:val="none" w:sz="0" w:space="0" w:color="auto"/>
          <w:lang w:val="en-US"/>
        </w:rPr>
        <w:t>ll</w:t>
      </w:r>
      <w:proofErr w:type="spellEnd"/>
      <w:r w:rsidRPr="00F06E57">
        <w:rPr>
          <w:rFonts w:ascii="Cambria" w:hAnsi="Cambria"/>
          <w:bCs/>
          <w:sz w:val="16"/>
          <w:szCs w:val="16"/>
          <w:bdr w:val="none" w:sz="0" w:space="0" w:color="auto"/>
          <w:lang w:val="en-US"/>
        </w:rPr>
        <w:t xml:space="preserve"> persons are equal before the law and have the rights and duties established in this Declaration, without distinction as to race, sex, language, creed or any other factor.”</w:t>
      </w:r>
    </w:p>
  </w:footnote>
  <w:footnote w:id="312">
    <w:p w14:paraId="56DF3BB3" w14:textId="0F16D740" w:rsidR="003A6945" w:rsidRPr="00F06E57" w:rsidRDefault="003A6945" w:rsidP="00952C52">
      <w:pPr>
        <w:pStyle w:val="Footnotes"/>
        <w:spacing w:after="0"/>
        <w:ind w:firstLine="0"/>
        <w:rPr>
          <w:sz w:val="16"/>
          <w:szCs w:val="16"/>
        </w:rPr>
      </w:pPr>
      <w:r w:rsidRPr="00F06E57">
        <w:rPr>
          <w:sz w:val="16"/>
          <w:szCs w:val="16"/>
          <w:vertAlign w:val="superscript"/>
        </w:rPr>
        <w:footnoteRef/>
      </w:r>
      <w:r w:rsidRPr="00F06E57">
        <w:rPr>
          <w:i/>
          <w:sz w:val="16"/>
          <w:szCs w:val="16"/>
        </w:rPr>
        <w:t xml:space="preserve"> </w:t>
      </w:r>
      <w:r w:rsidRPr="00F06E57">
        <w:rPr>
          <w:sz w:val="16"/>
          <w:szCs w:val="16"/>
        </w:rPr>
        <w:t xml:space="preserve"> IACHR, Report No. 80/11, Case 12.626, </w:t>
      </w:r>
      <w:r w:rsidRPr="00F06E57">
        <w:rPr>
          <w:i/>
          <w:sz w:val="16"/>
          <w:szCs w:val="16"/>
        </w:rPr>
        <w:t xml:space="preserve">Jessica </w:t>
      </w:r>
      <w:proofErr w:type="spellStart"/>
      <w:r w:rsidRPr="00F06E57">
        <w:rPr>
          <w:i/>
          <w:sz w:val="16"/>
          <w:szCs w:val="16"/>
        </w:rPr>
        <w:t>Lenahan</w:t>
      </w:r>
      <w:proofErr w:type="spellEnd"/>
      <w:r w:rsidRPr="00F06E57">
        <w:rPr>
          <w:i/>
          <w:sz w:val="16"/>
          <w:szCs w:val="16"/>
        </w:rPr>
        <w:t xml:space="preserve"> (Gonzales) et al. </w:t>
      </w:r>
      <w:r w:rsidRPr="00F06E57">
        <w:rPr>
          <w:sz w:val="16"/>
          <w:szCs w:val="16"/>
        </w:rPr>
        <w:t xml:space="preserve">(United States), July 21, 2011, para. 107; </w:t>
      </w:r>
      <w:r w:rsidRPr="00F06E57">
        <w:rPr>
          <w:rFonts w:cs="Arial"/>
          <w:sz w:val="16"/>
          <w:szCs w:val="16"/>
        </w:rPr>
        <w:t xml:space="preserve">IACHR, Report </w:t>
      </w:r>
      <w:r w:rsidRPr="00F06E57">
        <w:rPr>
          <w:sz w:val="16"/>
          <w:szCs w:val="16"/>
        </w:rPr>
        <w:t xml:space="preserve">40/04, Case 12.053, </w:t>
      </w:r>
      <w:r w:rsidRPr="00F06E57">
        <w:rPr>
          <w:i/>
          <w:sz w:val="16"/>
          <w:szCs w:val="16"/>
        </w:rPr>
        <w:t xml:space="preserve">Maya Indigenous Communities of the Toledo District </w:t>
      </w:r>
      <w:r w:rsidRPr="00F06E57">
        <w:rPr>
          <w:sz w:val="16"/>
          <w:szCs w:val="16"/>
        </w:rPr>
        <w:t xml:space="preserve">(Belize), October 12, 2004, para. 163; IACHR, Report 67/06, Case 12.476, </w:t>
      </w:r>
      <w:r w:rsidRPr="00F06E57">
        <w:rPr>
          <w:i/>
          <w:sz w:val="16"/>
          <w:szCs w:val="16"/>
        </w:rPr>
        <w:t>Oscar Elías Bi</w:t>
      </w:r>
      <w:r>
        <w:rPr>
          <w:i/>
          <w:sz w:val="16"/>
          <w:szCs w:val="16"/>
        </w:rPr>
        <w:t>s</w:t>
      </w:r>
      <w:r w:rsidRPr="00F06E57">
        <w:rPr>
          <w:i/>
          <w:sz w:val="16"/>
          <w:szCs w:val="16"/>
        </w:rPr>
        <w:t xml:space="preserve">cet et al. </w:t>
      </w:r>
      <w:r w:rsidRPr="00F06E57">
        <w:rPr>
          <w:sz w:val="16"/>
          <w:szCs w:val="16"/>
        </w:rPr>
        <w:t xml:space="preserve">(Cuba), October 21, 2006, para. 228; IACHR, </w:t>
      </w:r>
      <w:r w:rsidRPr="00F06E57">
        <w:rPr>
          <w:i/>
          <w:sz w:val="16"/>
          <w:szCs w:val="16"/>
        </w:rPr>
        <w:t>Report on Terrorism and Human Rights</w:t>
      </w:r>
      <w:r w:rsidRPr="00F06E57">
        <w:rPr>
          <w:sz w:val="16"/>
          <w:szCs w:val="16"/>
        </w:rPr>
        <w:t>, OEA Doc. Doc. 5 rev. 1 corr. 22 October 2002, para. 335.</w:t>
      </w:r>
    </w:p>
  </w:footnote>
  <w:footnote w:id="313">
    <w:p w14:paraId="4D022708" w14:textId="48624CA4" w:rsidR="003A6945" w:rsidRPr="00F06E57" w:rsidRDefault="003A6945" w:rsidP="00952C52">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F06E57">
        <w:rPr>
          <w:rFonts w:ascii="Cambria" w:hAnsi="Cambria" w:cs="Times New Roman"/>
          <w:sz w:val="16"/>
          <w:szCs w:val="16"/>
          <w:vertAlign w:val="superscript"/>
        </w:rPr>
        <w:footnoteRef/>
      </w:r>
      <w:r w:rsidRPr="00F06E57">
        <w:rPr>
          <w:rFonts w:ascii="Cambria" w:hAnsi="Cambria" w:cs="Arial"/>
          <w:sz w:val="16"/>
          <w:szCs w:val="16"/>
        </w:rPr>
        <w:t xml:space="preserve"> </w:t>
      </w:r>
      <w:r w:rsidRPr="00F06E57">
        <w:rPr>
          <w:rFonts w:ascii="Cambria" w:hAnsi="Cambria" w:cs="Arial"/>
          <w:i/>
          <w:sz w:val="16"/>
          <w:szCs w:val="16"/>
        </w:rPr>
        <w:t xml:space="preserve">See, e.g., </w:t>
      </w:r>
      <w:r w:rsidRPr="00F06E57">
        <w:rPr>
          <w:rFonts w:ascii="Cambria" w:hAnsi="Cambria" w:cs="Arial"/>
          <w:sz w:val="16"/>
          <w:szCs w:val="16"/>
        </w:rPr>
        <w:t>the International Covenant on Civil and Political Rights (arts. 2, 26), the International Covenant on Economic, Social and Cultural Rights (arts. 2.2, 3), the European Convention on Human Rights (art. 14) and the African Charter on Human and Peoples’ Rights (art. 2).</w:t>
      </w:r>
    </w:p>
  </w:footnote>
  <w:footnote w:id="314">
    <w:p w14:paraId="66A0320C" w14:textId="74985F6D" w:rsidR="003A6945" w:rsidRPr="00F06E57" w:rsidRDefault="003A6945" w:rsidP="001A23E0">
      <w:pPr>
        <w:rPr>
          <w:rFonts w:asciiTheme="majorHAnsi" w:eastAsia="Times New Roman" w:hAnsiTheme="majorHAnsi"/>
          <w:sz w:val="16"/>
          <w:szCs w:val="16"/>
          <w:bdr w:val="none" w:sz="0" w:space="0" w:color="auto"/>
          <w:lang w:val="en-US"/>
        </w:rPr>
      </w:pPr>
      <w:r w:rsidRPr="00F06E57">
        <w:rPr>
          <w:rStyle w:val="FootnoteReference"/>
          <w:rFonts w:asciiTheme="majorHAnsi" w:hAnsiTheme="majorHAnsi"/>
          <w:sz w:val="16"/>
          <w:szCs w:val="16"/>
          <w:lang w:val="en-US"/>
        </w:rPr>
        <w:footnoteRef/>
      </w:r>
      <w:r w:rsidRPr="00F06E57">
        <w:rPr>
          <w:rFonts w:asciiTheme="majorHAnsi" w:hAnsiTheme="majorHAnsi"/>
          <w:sz w:val="16"/>
          <w:szCs w:val="16"/>
          <w:lang w:val="en-US"/>
        </w:rPr>
        <w:t xml:space="preserve"> </w:t>
      </w:r>
      <w:r w:rsidRPr="00F06E57">
        <w:rPr>
          <w:rFonts w:asciiTheme="majorHAnsi" w:eastAsia="Times New Roman" w:hAnsiTheme="majorHAnsi" w:cs="Open Sans"/>
          <w:color w:val="000000" w:themeColor="text1"/>
          <w:sz w:val="16"/>
          <w:szCs w:val="16"/>
          <w:bdr w:val="none" w:sz="0" w:space="0" w:color="auto"/>
          <w:shd w:val="clear" w:color="auto" w:fill="FFFFFF"/>
          <w:lang w:val="en-US"/>
        </w:rPr>
        <w:t xml:space="preserve">I/A Court H.R., </w:t>
      </w:r>
      <w:r w:rsidRPr="00F06E57">
        <w:rPr>
          <w:rFonts w:asciiTheme="majorHAnsi" w:eastAsia="Times New Roman" w:hAnsiTheme="majorHAnsi" w:cs="Open Sans"/>
          <w:i/>
          <w:iCs/>
          <w:color w:val="000000" w:themeColor="text1"/>
          <w:sz w:val="16"/>
          <w:szCs w:val="16"/>
          <w:bdr w:val="none" w:sz="0" w:space="0" w:color="auto"/>
          <w:shd w:val="clear" w:color="auto" w:fill="FFFFFF"/>
          <w:lang w:val="en-US"/>
        </w:rPr>
        <w:t>Juridical Condition and Rights of the Undocumented Migrants</w:t>
      </w:r>
      <w:r w:rsidRPr="00F06E57">
        <w:rPr>
          <w:rFonts w:asciiTheme="majorHAnsi" w:eastAsia="Times New Roman" w:hAnsiTheme="majorHAnsi" w:cs="Open Sans"/>
          <w:color w:val="000000" w:themeColor="text1"/>
          <w:sz w:val="16"/>
          <w:szCs w:val="16"/>
          <w:bdr w:val="none" w:sz="0" w:space="0" w:color="auto"/>
          <w:shd w:val="clear" w:color="auto" w:fill="FFFFFF"/>
          <w:lang w:val="en-US"/>
        </w:rPr>
        <w:t>. Advisory Opinion OC-18/03 of September 17, 2003. Series A No.18</w:t>
      </w:r>
      <w:r w:rsidRPr="00F06E57">
        <w:rPr>
          <w:rFonts w:asciiTheme="majorHAnsi" w:hAnsiTheme="majorHAnsi"/>
          <w:color w:val="000000" w:themeColor="text1"/>
          <w:sz w:val="16"/>
          <w:szCs w:val="16"/>
          <w:lang w:val="en-US"/>
        </w:rPr>
        <w:t xml:space="preserve">, </w:t>
      </w:r>
      <w:r w:rsidRPr="00F06E57">
        <w:rPr>
          <w:rFonts w:asciiTheme="majorHAnsi" w:hAnsiTheme="majorHAnsi"/>
          <w:sz w:val="16"/>
          <w:szCs w:val="16"/>
          <w:lang w:val="en-US"/>
        </w:rPr>
        <w:t xml:space="preserve">para. 101. IACHR. </w:t>
      </w:r>
      <w:r w:rsidRPr="00F06E57">
        <w:rPr>
          <w:rFonts w:asciiTheme="majorHAnsi" w:hAnsiTheme="majorHAnsi" w:cs="Arial"/>
          <w:sz w:val="16"/>
          <w:szCs w:val="16"/>
          <w:lang w:val="en-US"/>
        </w:rPr>
        <w:t xml:space="preserve">Report </w:t>
      </w:r>
      <w:r w:rsidRPr="00F06E57">
        <w:rPr>
          <w:rFonts w:asciiTheme="majorHAnsi" w:hAnsiTheme="majorHAnsi"/>
          <w:sz w:val="16"/>
          <w:szCs w:val="16"/>
          <w:lang w:val="en-US"/>
        </w:rPr>
        <w:t xml:space="preserve">No. 29/20. Case 12.865. Djamel </w:t>
      </w:r>
      <w:proofErr w:type="spellStart"/>
      <w:r w:rsidRPr="00F06E57">
        <w:rPr>
          <w:rFonts w:asciiTheme="majorHAnsi" w:hAnsiTheme="majorHAnsi"/>
          <w:sz w:val="16"/>
          <w:szCs w:val="16"/>
          <w:lang w:val="en-US"/>
        </w:rPr>
        <w:t>Ameziane</w:t>
      </w:r>
      <w:proofErr w:type="spellEnd"/>
      <w:r w:rsidRPr="00F06E57">
        <w:rPr>
          <w:rFonts w:asciiTheme="majorHAnsi" w:hAnsiTheme="majorHAnsi"/>
          <w:sz w:val="16"/>
          <w:szCs w:val="16"/>
          <w:lang w:val="en-US"/>
        </w:rPr>
        <w:t>. United States. April 22, 2020, para. 249.</w:t>
      </w:r>
    </w:p>
  </w:footnote>
  <w:footnote w:id="315">
    <w:p w14:paraId="2C099483" w14:textId="46DEFC1A" w:rsidR="003A6945" w:rsidRPr="00F06E57" w:rsidRDefault="003A6945" w:rsidP="004422E2">
      <w:pPr>
        <w:pStyle w:val="FootnoteText"/>
        <w:pBdr>
          <w:top w:val="none" w:sz="0" w:space="0" w:color="auto"/>
          <w:left w:val="none" w:sz="0" w:space="0" w:color="auto"/>
          <w:bottom w:val="none" w:sz="0" w:space="0" w:color="auto"/>
          <w:right w:val="none" w:sz="0" w:space="0" w:color="auto"/>
        </w:pBdr>
        <w:jc w:val="both"/>
        <w:rPr>
          <w:rFonts w:ascii="Cambria" w:hAnsi="Cambria"/>
          <w:sz w:val="16"/>
          <w:szCs w:val="16"/>
        </w:rPr>
      </w:pPr>
      <w:r w:rsidRPr="00F06E57">
        <w:rPr>
          <w:rFonts w:ascii="Cambria" w:hAnsi="Cambria" w:cs="Arial"/>
          <w:sz w:val="16"/>
          <w:szCs w:val="16"/>
          <w:vertAlign w:val="superscript"/>
        </w:rPr>
        <w:footnoteRef/>
      </w:r>
      <w:r w:rsidRPr="00F06E57">
        <w:rPr>
          <w:rFonts w:ascii="Cambria" w:hAnsi="Cambria"/>
          <w:i/>
          <w:sz w:val="16"/>
          <w:szCs w:val="16"/>
        </w:rPr>
        <w:t xml:space="preserve"> </w:t>
      </w:r>
      <w:r w:rsidRPr="00F06E57">
        <w:rPr>
          <w:rFonts w:ascii="Cambria" w:hAnsi="Cambria" w:cs="Arial"/>
          <w:sz w:val="16"/>
          <w:szCs w:val="16"/>
        </w:rPr>
        <w:t xml:space="preserve">IACHR, Report </w:t>
      </w:r>
      <w:r w:rsidRPr="00F06E57">
        <w:rPr>
          <w:rFonts w:ascii="Cambria" w:hAnsi="Cambria"/>
          <w:sz w:val="16"/>
          <w:szCs w:val="16"/>
        </w:rPr>
        <w:t xml:space="preserve">No. 40/04, Case 12.053, </w:t>
      </w:r>
      <w:r w:rsidRPr="00F06E57">
        <w:rPr>
          <w:rFonts w:ascii="Cambria" w:hAnsi="Cambria"/>
          <w:i/>
          <w:sz w:val="16"/>
          <w:szCs w:val="16"/>
        </w:rPr>
        <w:t xml:space="preserve">Maya Indigenous Communities of the Toledo District </w:t>
      </w:r>
      <w:r w:rsidRPr="00F06E57">
        <w:rPr>
          <w:rFonts w:ascii="Cambria" w:hAnsi="Cambria"/>
          <w:sz w:val="16"/>
          <w:szCs w:val="16"/>
        </w:rPr>
        <w:t>(Belize), October 12, 2004, para. 162.</w:t>
      </w:r>
    </w:p>
  </w:footnote>
  <w:footnote w:id="316">
    <w:p w14:paraId="069339E3" w14:textId="351D0766" w:rsidR="003A6945" w:rsidRPr="000E758A" w:rsidRDefault="003A6945" w:rsidP="004422E2">
      <w:pPr>
        <w:pStyle w:val="Footnotes"/>
        <w:spacing w:after="0"/>
        <w:ind w:firstLine="0"/>
        <w:rPr>
          <w:sz w:val="16"/>
          <w:szCs w:val="16"/>
        </w:rPr>
      </w:pPr>
      <w:r w:rsidRPr="00F06E57">
        <w:rPr>
          <w:rFonts w:cs="Arial"/>
          <w:sz w:val="16"/>
          <w:szCs w:val="16"/>
          <w:vertAlign w:val="superscript"/>
        </w:rPr>
        <w:footnoteRef/>
      </w:r>
      <w:r w:rsidRPr="00F06E57">
        <w:rPr>
          <w:i/>
          <w:sz w:val="16"/>
          <w:szCs w:val="16"/>
        </w:rPr>
        <w:t xml:space="preserve"> </w:t>
      </w:r>
      <w:r w:rsidRPr="000E758A">
        <w:rPr>
          <w:sz w:val="16"/>
          <w:szCs w:val="16"/>
        </w:rPr>
        <w:t xml:space="preserve">IACHR, Report No. 80/11, Case 12.626, </w:t>
      </w:r>
      <w:r w:rsidRPr="000E758A">
        <w:rPr>
          <w:i/>
          <w:sz w:val="16"/>
          <w:szCs w:val="16"/>
        </w:rPr>
        <w:t xml:space="preserve">Jessica </w:t>
      </w:r>
      <w:proofErr w:type="spellStart"/>
      <w:r w:rsidRPr="000E758A">
        <w:rPr>
          <w:i/>
          <w:sz w:val="16"/>
          <w:szCs w:val="16"/>
        </w:rPr>
        <w:t>Lenahan</w:t>
      </w:r>
      <w:proofErr w:type="spellEnd"/>
      <w:r w:rsidRPr="000E758A">
        <w:rPr>
          <w:i/>
          <w:sz w:val="16"/>
          <w:szCs w:val="16"/>
        </w:rPr>
        <w:t xml:space="preserve"> (Gonzales) et al. </w:t>
      </w:r>
      <w:r w:rsidRPr="000E758A">
        <w:rPr>
          <w:sz w:val="16"/>
          <w:szCs w:val="16"/>
        </w:rPr>
        <w:t xml:space="preserve">(United States), July 21, 2011, para. 108; </w:t>
      </w:r>
      <w:r w:rsidRPr="000E758A">
        <w:rPr>
          <w:rFonts w:cs="Arial"/>
          <w:sz w:val="16"/>
          <w:szCs w:val="16"/>
        </w:rPr>
        <w:t xml:space="preserve">IACHR, Report </w:t>
      </w:r>
      <w:r w:rsidRPr="000E758A">
        <w:rPr>
          <w:sz w:val="16"/>
          <w:szCs w:val="16"/>
        </w:rPr>
        <w:t xml:space="preserve">No.40/04, Case 12.053, </w:t>
      </w:r>
      <w:r w:rsidRPr="000E758A">
        <w:rPr>
          <w:i/>
          <w:sz w:val="16"/>
          <w:szCs w:val="16"/>
        </w:rPr>
        <w:t xml:space="preserve">Maya Indigenous Communities of the Toledo District </w:t>
      </w:r>
      <w:r w:rsidRPr="000E758A">
        <w:rPr>
          <w:sz w:val="16"/>
          <w:szCs w:val="16"/>
        </w:rPr>
        <w:t>(Belize), October 12, 2004, para. 162.</w:t>
      </w:r>
    </w:p>
  </w:footnote>
  <w:footnote w:id="317">
    <w:p w14:paraId="51504039" w14:textId="7F6B252D" w:rsidR="003A6945" w:rsidRPr="000E758A" w:rsidRDefault="003A6945" w:rsidP="004422E2">
      <w:pPr>
        <w:pStyle w:val="Footnotes"/>
        <w:spacing w:after="0"/>
        <w:ind w:firstLine="0"/>
        <w:rPr>
          <w:sz w:val="16"/>
          <w:szCs w:val="16"/>
        </w:rPr>
      </w:pPr>
      <w:r w:rsidRPr="000E758A">
        <w:rPr>
          <w:sz w:val="16"/>
          <w:szCs w:val="16"/>
          <w:vertAlign w:val="superscript"/>
        </w:rPr>
        <w:footnoteRef/>
      </w:r>
      <w:r w:rsidRPr="000E758A">
        <w:rPr>
          <w:sz w:val="16"/>
          <w:szCs w:val="16"/>
        </w:rPr>
        <w:t xml:space="preserve">  IACHR, Report No. 51/01, Case 9903, </w:t>
      </w:r>
      <w:r w:rsidRPr="000E758A">
        <w:rPr>
          <w:i/>
          <w:sz w:val="16"/>
          <w:szCs w:val="16"/>
        </w:rPr>
        <w:t>Rafael Ferrer-</w:t>
      </w:r>
      <w:proofErr w:type="spellStart"/>
      <w:r w:rsidRPr="000E758A">
        <w:rPr>
          <w:i/>
          <w:sz w:val="16"/>
          <w:szCs w:val="16"/>
        </w:rPr>
        <w:t>Mazorra</w:t>
      </w:r>
      <w:proofErr w:type="spellEnd"/>
      <w:r w:rsidRPr="000E758A">
        <w:rPr>
          <w:i/>
          <w:sz w:val="16"/>
          <w:szCs w:val="16"/>
        </w:rPr>
        <w:t xml:space="preserve"> et al.</w:t>
      </w:r>
      <w:r w:rsidRPr="000E758A">
        <w:rPr>
          <w:sz w:val="16"/>
          <w:szCs w:val="16"/>
        </w:rPr>
        <w:t xml:space="preserve">, United States, April 4, 2001, para. 23; IACHR, </w:t>
      </w:r>
      <w:r w:rsidRPr="000E758A">
        <w:rPr>
          <w:i/>
          <w:sz w:val="16"/>
          <w:szCs w:val="16"/>
        </w:rPr>
        <w:t>Report on the Situation of Human Rights of Asylum Seekers Within the Canadian Refugee Determination System</w:t>
      </w:r>
      <w:r w:rsidRPr="000E758A">
        <w:rPr>
          <w:sz w:val="16"/>
          <w:szCs w:val="16"/>
        </w:rPr>
        <w:t>, Feb. 28, 2000, OEA/</w:t>
      </w:r>
      <w:proofErr w:type="spellStart"/>
      <w:r w:rsidRPr="000E758A">
        <w:rPr>
          <w:sz w:val="16"/>
          <w:szCs w:val="16"/>
        </w:rPr>
        <w:t>Ser.L</w:t>
      </w:r>
      <w:proofErr w:type="spellEnd"/>
      <w:r w:rsidRPr="000E758A">
        <w:rPr>
          <w:sz w:val="16"/>
          <w:szCs w:val="16"/>
        </w:rPr>
        <w:t>/V/II.106 Doc. 40 rev. para. 96 (citing the Inter-American Juridical Committee, “Draft Declaration of the International Rights and Duties of Man and Accompanying Report” (1946)); IACHR, Report No. 51/96, IACHR Annual Report 1996, p. 550, paras. 177-178.</w:t>
      </w:r>
    </w:p>
  </w:footnote>
  <w:footnote w:id="318">
    <w:p w14:paraId="0EBCB75B" w14:textId="77777777" w:rsidR="003A6945" w:rsidRPr="000E758A" w:rsidRDefault="003A6945" w:rsidP="004422E2">
      <w:pPr>
        <w:pStyle w:val="Footnotes"/>
        <w:spacing w:after="0"/>
        <w:ind w:firstLine="0"/>
        <w:rPr>
          <w:sz w:val="16"/>
          <w:szCs w:val="16"/>
        </w:rPr>
      </w:pPr>
      <w:r w:rsidRPr="000E758A">
        <w:rPr>
          <w:sz w:val="16"/>
          <w:szCs w:val="16"/>
          <w:vertAlign w:val="superscript"/>
        </w:rPr>
        <w:footnoteRef/>
      </w:r>
      <w:r w:rsidRPr="000E758A">
        <w:rPr>
          <w:sz w:val="16"/>
          <w:szCs w:val="16"/>
        </w:rPr>
        <w:t xml:space="preserve">  IACHR, Report No. 57/96, Case 11.139, </w:t>
      </w:r>
      <w:r w:rsidRPr="000E758A">
        <w:rPr>
          <w:i/>
          <w:sz w:val="16"/>
          <w:szCs w:val="16"/>
        </w:rPr>
        <w:t xml:space="preserve">William Andrews </w:t>
      </w:r>
      <w:r w:rsidRPr="000E758A">
        <w:rPr>
          <w:sz w:val="16"/>
          <w:szCs w:val="16"/>
        </w:rPr>
        <w:t xml:space="preserve">(United States), December 6, 1996, para. 173. </w:t>
      </w:r>
    </w:p>
  </w:footnote>
  <w:footnote w:id="319">
    <w:p w14:paraId="78D2E011" w14:textId="159836ED" w:rsidR="003A6945" w:rsidRPr="000E758A" w:rsidRDefault="003A6945" w:rsidP="004422E2">
      <w:pPr>
        <w:pStyle w:val="Footnotes"/>
        <w:spacing w:after="0"/>
        <w:ind w:firstLine="0"/>
        <w:rPr>
          <w:sz w:val="16"/>
          <w:szCs w:val="16"/>
        </w:rPr>
      </w:pPr>
      <w:r w:rsidRPr="000E758A">
        <w:rPr>
          <w:sz w:val="16"/>
          <w:szCs w:val="16"/>
          <w:vertAlign w:val="superscript"/>
        </w:rPr>
        <w:footnoteRef/>
      </w:r>
      <w:r w:rsidRPr="000E758A">
        <w:rPr>
          <w:i/>
          <w:sz w:val="16"/>
          <w:szCs w:val="16"/>
        </w:rPr>
        <w:t xml:space="preserve"> </w:t>
      </w:r>
      <w:r w:rsidRPr="000E758A">
        <w:rPr>
          <w:sz w:val="16"/>
          <w:szCs w:val="16"/>
        </w:rPr>
        <w:t xml:space="preserve"> IACHR, Report No. 67/06, Case 12.476, </w:t>
      </w:r>
      <w:r w:rsidRPr="000E758A">
        <w:rPr>
          <w:i/>
          <w:sz w:val="16"/>
          <w:szCs w:val="16"/>
        </w:rPr>
        <w:t>Oscar Elías Bi</w:t>
      </w:r>
      <w:r>
        <w:rPr>
          <w:i/>
          <w:sz w:val="16"/>
          <w:szCs w:val="16"/>
        </w:rPr>
        <w:t>s</w:t>
      </w:r>
      <w:r w:rsidRPr="000E758A">
        <w:rPr>
          <w:i/>
          <w:sz w:val="16"/>
          <w:szCs w:val="16"/>
        </w:rPr>
        <w:t xml:space="preserve">cet et al. </w:t>
      </w:r>
      <w:r w:rsidRPr="000E758A">
        <w:rPr>
          <w:sz w:val="16"/>
          <w:szCs w:val="16"/>
        </w:rPr>
        <w:t xml:space="preserve">(Cuba), October 21, 2006, paras. 228-231; IACHR, Report No. 40/04, Case 12.053, </w:t>
      </w:r>
      <w:r w:rsidRPr="000E758A">
        <w:rPr>
          <w:i/>
          <w:sz w:val="16"/>
          <w:szCs w:val="16"/>
        </w:rPr>
        <w:t xml:space="preserve">Maya Indigenous Communities of the Toledo District </w:t>
      </w:r>
      <w:r w:rsidRPr="000E758A">
        <w:rPr>
          <w:sz w:val="16"/>
          <w:szCs w:val="16"/>
        </w:rPr>
        <w:t>(Belize), October 12, 2004, paras. 162, 166.</w:t>
      </w:r>
    </w:p>
  </w:footnote>
  <w:footnote w:id="320">
    <w:p w14:paraId="15A7EFBC" w14:textId="658220A1" w:rsidR="003A6945" w:rsidRPr="002A7A7E" w:rsidRDefault="003A6945" w:rsidP="000E0793">
      <w:pPr>
        <w:pStyle w:val="Footnotes"/>
        <w:spacing w:after="0"/>
        <w:ind w:firstLine="0"/>
        <w:rPr>
          <w:sz w:val="16"/>
          <w:szCs w:val="16"/>
        </w:rPr>
      </w:pPr>
      <w:r w:rsidRPr="000E758A">
        <w:rPr>
          <w:sz w:val="16"/>
          <w:szCs w:val="16"/>
          <w:vertAlign w:val="superscript"/>
        </w:rPr>
        <w:footnoteRef/>
      </w:r>
      <w:r w:rsidRPr="000E758A">
        <w:rPr>
          <w:sz w:val="16"/>
          <w:szCs w:val="16"/>
        </w:rPr>
        <w:t xml:space="preserve">  IACHR, Report No. 51/01, Case 9903, </w:t>
      </w:r>
      <w:r w:rsidRPr="000E758A">
        <w:rPr>
          <w:i/>
          <w:sz w:val="16"/>
          <w:szCs w:val="16"/>
        </w:rPr>
        <w:t>Rafael Ferrer-</w:t>
      </w:r>
      <w:proofErr w:type="spellStart"/>
      <w:r w:rsidRPr="000E758A">
        <w:rPr>
          <w:i/>
          <w:sz w:val="16"/>
          <w:szCs w:val="16"/>
        </w:rPr>
        <w:t>Mazorra</w:t>
      </w:r>
      <w:proofErr w:type="spellEnd"/>
      <w:r w:rsidRPr="000E758A">
        <w:rPr>
          <w:i/>
          <w:sz w:val="16"/>
          <w:szCs w:val="16"/>
        </w:rPr>
        <w:t xml:space="preserve"> et al</w:t>
      </w:r>
      <w:r w:rsidRPr="000E758A">
        <w:rPr>
          <w:sz w:val="16"/>
          <w:szCs w:val="16"/>
        </w:rPr>
        <w:t>, United States, April 4, 2001, para. 238 (</w:t>
      </w:r>
      <w:r w:rsidRPr="000E758A">
        <w:rPr>
          <w:i/>
          <w:iCs/>
          <w:sz w:val="16"/>
          <w:szCs w:val="16"/>
        </w:rPr>
        <w:t>citing</w:t>
      </w:r>
      <w:r w:rsidRPr="000E758A">
        <w:rPr>
          <w:sz w:val="16"/>
          <w:szCs w:val="16"/>
        </w:rPr>
        <w:t xml:space="preserve"> </w:t>
      </w:r>
      <w:proofErr w:type="spellStart"/>
      <w:r w:rsidRPr="000E758A">
        <w:rPr>
          <w:sz w:val="16"/>
          <w:szCs w:val="16"/>
        </w:rPr>
        <w:t>Eur.Ct.H.R</w:t>
      </w:r>
      <w:proofErr w:type="spellEnd"/>
      <w:r w:rsidRPr="000E758A">
        <w:rPr>
          <w:sz w:val="16"/>
          <w:szCs w:val="16"/>
        </w:rPr>
        <w:t xml:space="preserve">., </w:t>
      </w:r>
      <w:r w:rsidRPr="000E758A">
        <w:rPr>
          <w:i/>
          <w:iCs/>
          <w:color w:val="000000"/>
          <w:sz w:val="16"/>
          <w:szCs w:val="16"/>
        </w:rPr>
        <w:t>Belgian Linguistics Case</w:t>
      </w:r>
      <w:r w:rsidRPr="000E758A">
        <w:rPr>
          <w:color w:val="000000"/>
          <w:sz w:val="16"/>
          <w:szCs w:val="16"/>
        </w:rPr>
        <w:t>, July 23, 1968, Series A No. 6, 1 E.H.R.R. 252, p. 35, para. 10).</w:t>
      </w:r>
      <w:r w:rsidRPr="002A7A7E">
        <w:rPr>
          <w:color w:val="000000"/>
          <w:sz w:val="16"/>
          <w:szCs w:val="16"/>
        </w:rPr>
        <w:t xml:space="preserve"> </w:t>
      </w:r>
    </w:p>
  </w:footnote>
  <w:footnote w:id="321">
    <w:p w14:paraId="17F33B88" w14:textId="77777777" w:rsidR="003A6945" w:rsidRPr="00800E74" w:rsidRDefault="003A6945" w:rsidP="000E758A">
      <w:pPr>
        <w:pStyle w:val="Footnotes"/>
        <w:spacing w:after="0"/>
        <w:ind w:firstLine="0"/>
        <w:rPr>
          <w:sz w:val="16"/>
          <w:szCs w:val="16"/>
        </w:rPr>
      </w:pPr>
      <w:r w:rsidRPr="00800E74">
        <w:rPr>
          <w:sz w:val="16"/>
          <w:szCs w:val="16"/>
          <w:vertAlign w:val="superscript"/>
        </w:rPr>
        <w:footnoteRef/>
      </w:r>
      <w:r w:rsidRPr="00800E74">
        <w:rPr>
          <w:sz w:val="16"/>
          <w:szCs w:val="16"/>
        </w:rPr>
        <w:t xml:space="preserve">  United Nations Human Rights Committee, Compilation of general comments and general recommendations adopted by human rights treaty bodies, HRI/GEN/1/Rev.1 (1994), General Comment 18, Non-discrimination, p. 26. </w:t>
      </w:r>
    </w:p>
  </w:footnote>
  <w:footnote w:id="322">
    <w:p w14:paraId="73C18C7E" w14:textId="50E100AC" w:rsidR="003A6945" w:rsidRPr="006E65D7" w:rsidRDefault="003A6945" w:rsidP="00821FED">
      <w:pPr>
        <w:pStyle w:val="FootnoteText"/>
        <w:tabs>
          <w:tab w:val="left" w:pos="986"/>
        </w:tabs>
        <w:jc w:val="both"/>
        <w:rPr>
          <w:rFonts w:ascii="Cambria" w:hAnsi="Cambria"/>
          <w:sz w:val="16"/>
          <w:szCs w:val="16"/>
          <w:lang w:val="es-PE"/>
        </w:rPr>
      </w:pPr>
      <w:r w:rsidRPr="00D10A28">
        <w:rPr>
          <w:rStyle w:val="FootnoteReference"/>
          <w:rFonts w:ascii="Cambria" w:hAnsi="Cambria"/>
          <w:sz w:val="16"/>
          <w:szCs w:val="16"/>
        </w:rPr>
        <w:footnoteRef/>
      </w:r>
      <w:r w:rsidRPr="002A7A7E">
        <w:t xml:space="preserve"> </w:t>
      </w:r>
      <w:r w:rsidRPr="002A7A7E">
        <w:rPr>
          <w:rFonts w:ascii="Cambria" w:hAnsi="Cambria"/>
          <w:sz w:val="16"/>
          <w:szCs w:val="16"/>
        </w:rPr>
        <w:t xml:space="preserve">IACHR. Office of the </w:t>
      </w:r>
      <w:r w:rsidRPr="002A7A7E">
        <w:rPr>
          <w:rFonts w:asciiTheme="majorHAnsi" w:hAnsiTheme="majorHAnsi"/>
          <w:sz w:val="16"/>
          <w:szCs w:val="16"/>
        </w:rPr>
        <w:t xml:space="preserve">Special Rapporteur for Freedom of Expression. Special </w:t>
      </w:r>
      <w:r w:rsidRPr="00800E74">
        <w:rPr>
          <w:rFonts w:asciiTheme="majorHAnsi" w:hAnsiTheme="majorHAnsi"/>
          <w:sz w:val="16"/>
          <w:szCs w:val="16"/>
        </w:rPr>
        <w:t xml:space="preserve">Report </w:t>
      </w:r>
      <w:r w:rsidRPr="002A7A7E">
        <w:rPr>
          <w:rFonts w:asciiTheme="majorHAnsi" w:hAnsiTheme="majorHAnsi"/>
          <w:sz w:val="16"/>
          <w:szCs w:val="16"/>
        </w:rPr>
        <w:t xml:space="preserve">on the Situation of Freedom of Expression in Cuba, </w:t>
      </w:r>
      <w:r w:rsidRPr="002A7A7E">
        <w:rPr>
          <w:rFonts w:asciiTheme="majorHAnsi" w:hAnsiTheme="majorHAnsi"/>
          <w:i/>
          <w:sz w:val="16"/>
          <w:szCs w:val="16"/>
        </w:rPr>
        <w:t>supra</w:t>
      </w:r>
      <w:r w:rsidRPr="002A7A7E">
        <w:rPr>
          <w:rFonts w:asciiTheme="majorHAnsi" w:hAnsiTheme="majorHAnsi"/>
          <w:sz w:val="16"/>
          <w:szCs w:val="16"/>
        </w:rPr>
        <w:t xml:space="preserve"> para. </w:t>
      </w:r>
      <w:r w:rsidRPr="00800E74">
        <w:rPr>
          <w:rFonts w:asciiTheme="majorHAnsi" w:hAnsiTheme="majorHAnsi"/>
          <w:sz w:val="16"/>
          <w:szCs w:val="16"/>
          <w:lang w:val="es-MX"/>
        </w:rPr>
        <w:t>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3422" w14:textId="77777777" w:rsidR="003A6945" w:rsidRDefault="003A6945"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9A5B7EB" w14:textId="77777777" w:rsidR="003A6945" w:rsidRDefault="003A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A85" w14:textId="5E6D4767" w:rsidR="003A6945" w:rsidRDefault="003A6945" w:rsidP="00A50FCF">
    <w:pPr>
      <w:pStyle w:val="Header"/>
      <w:tabs>
        <w:tab w:val="clear" w:pos="4320"/>
        <w:tab w:val="clear" w:pos="8640"/>
      </w:tabs>
      <w:jc w:val="center"/>
      <w:rPr>
        <w:sz w:val="22"/>
        <w:szCs w:val="22"/>
      </w:rPr>
    </w:pPr>
    <w:r>
      <w:rPr>
        <w:noProof/>
        <w:sz w:val="22"/>
        <w:szCs w:val="22"/>
        <w:lang w:val="en-US"/>
      </w:rPr>
      <w:drawing>
        <wp:inline distT="0" distB="0" distL="0" distR="0" wp14:anchorId="2FEC49E9" wp14:editId="16DC40CB">
          <wp:extent cx="2209800" cy="117396"/>
          <wp:effectExtent l="0" t="0" r="0" b="0"/>
          <wp:docPr id="58" name="Picture 58"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7B520B6" w14:textId="77777777" w:rsidR="003A6945" w:rsidRPr="00EC7D62" w:rsidRDefault="00A52D71" w:rsidP="00A50FCF">
    <w:pPr>
      <w:pStyle w:val="Header"/>
      <w:tabs>
        <w:tab w:val="clear" w:pos="4320"/>
        <w:tab w:val="clear" w:pos="8640"/>
      </w:tabs>
      <w:jc w:val="center"/>
      <w:rPr>
        <w:sz w:val="22"/>
        <w:szCs w:val="22"/>
      </w:rPr>
    </w:pPr>
    <w:r>
      <w:rPr>
        <w:noProof/>
        <w:sz w:val="22"/>
        <w:szCs w:val="22"/>
        <w:bdr w:val="nil"/>
      </w:rPr>
      <w:pict w14:anchorId="5DFAA21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39A5F1C"/>
    <w:multiLevelType w:val="hybridMultilevel"/>
    <w:tmpl w:val="1F48536C"/>
    <w:styleLink w:val="ImportedStyle2"/>
    <w:lvl w:ilvl="0" w:tplc="C3341E8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96CB6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FD694F4">
      <w:start w:val="1"/>
      <w:numFmt w:val="lowerRoman"/>
      <w:lvlText w:val="%3."/>
      <w:lvlJc w:val="left"/>
      <w:pPr>
        <w:tabs>
          <w:tab w:val="left" w:pos="1440"/>
        </w:tabs>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C8C0286C">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600D07E">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1748E7A">
      <w:start w:val="1"/>
      <w:numFmt w:val="lowerRoman"/>
      <w:lvlText w:val="%6."/>
      <w:lvlJc w:val="left"/>
      <w:pPr>
        <w:tabs>
          <w:tab w:val="left" w:pos="1440"/>
        </w:tabs>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3C0194">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8E0A412">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24658E2">
      <w:start w:val="1"/>
      <w:numFmt w:val="lowerRoman"/>
      <w:lvlText w:val="%9."/>
      <w:lvlJc w:val="left"/>
      <w:pPr>
        <w:tabs>
          <w:tab w:val="left" w:pos="1440"/>
        </w:tabs>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A162EF"/>
    <w:multiLevelType w:val="hybridMultilevel"/>
    <w:tmpl w:val="F4D2B8FC"/>
    <w:lvl w:ilvl="0" w:tplc="F88226B2">
      <w:start w:val="1"/>
      <w:numFmt w:val="decimal"/>
      <w:lvlText w:val="%1."/>
      <w:lvlJc w:val="left"/>
      <w:pPr>
        <w:ind w:left="1080" w:hanging="360"/>
      </w:pPr>
      <w:rPr>
        <w:rFonts w:eastAsia="Cambria" w:cs="Tahom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C57C3"/>
    <w:multiLevelType w:val="hybridMultilevel"/>
    <w:tmpl w:val="EC923BC2"/>
    <w:lvl w:ilvl="0" w:tplc="CEA649C8">
      <w:start w:val="1"/>
      <w:numFmt w:val="decimal"/>
      <w:lvlText w:val="%1."/>
      <w:lvlJc w:val="left"/>
      <w:pPr>
        <w:tabs>
          <w:tab w:val="num" w:pos="720"/>
        </w:tabs>
        <w:ind w:left="0" w:firstLine="720"/>
      </w:pPr>
      <w:rPr>
        <w:rFonts w:hint="default"/>
        <w:b w:val="0"/>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B35892"/>
    <w:multiLevelType w:val="hybridMultilevel"/>
    <w:tmpl w:val="FBF8E4EE"/>
    <w:lvl w:ilvl="0" w:tplc="FD08D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5195813"/>
    <w:multiLevelType w:val="hybridMultilevel"/>
    <w:tmpl w:val="E00CCBDA"/>
    <w:lvl w:ilvl="0" w:tplc="EA4604FE">
      <w:start w:val="1"/>
      <w:numFmt w:val="decimal"/>
      <w:lvlText w:val="%1."/>
      <w:lvlJc w:val="left"/>
      <w:pPr>
        <w:ind w:left="1170" w:hanging="360"/>
      </w:pPr>
      <w:rPr>
        <w:rFonts w:ascii="Cambria" w:hAnsi="Cambria"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8AB599B"/>
    <w:multiLevelType w:val="hybridMultilevel"/>
    <w:tmpl w:val="D1F411C0"/>
    <w:lvl w:ilvl="0" w:tplc="48CC1600">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517423"/>
    <w:multiLevelType w:val="hybridMultilevel"/>
    <w:tmpl w:val="68D8C7E2"/>
    <w:lvl w:ilvl="0" w:tplc="C32E5F02">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CBE26E3"/>
    <w:multiLevelType w:val="hybridMultilevel"/>
    <w:tmpl w:val="3DA4234A"/>
    <w:lvl w:ilvl="0" w:tplc="36A84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2990FDFA"/>
    <w:lvl w:ilvl="0" w:tplc="2368CB7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F705E"/>
    <w:multiLevelType w:val="hybridMultilevel"/>
    <w:tmpl w:val="0EFE7ADC"/>
    <w:lvl w:ilvl="0" w:tplc="E2A0A534">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9"/>
  </w:num>
  <w:num w:numId="4">
    <w:abstractNumId w:val="24"/>
  </w:num>
  <w:num w:numId="5">
    <w:abstractNumId w:val="52"/>
  </w:num>
  <w:num w:numId="6">
    <w:abstractNumId w:val="29"/>
  </w:num>
  <w:num w:numId="7">
    <w:abstractNumId w:val="8"/>
  </w:num>
  <w:num w:numId="8">
    <w:abstractNumId w:val="20"/>
  </w:num>
  <w:num w:numId="9">
    <w:abstractNumId w:val="44"/>
  </w:num>
  <w:num w:numId="10">
    <w:abstractNumId w:val="2"/>
  </w:num>
  <w:num w:numId="11">
    <w:abstractNumId w:val="39"/>
  </w:num>
  <w:num w:numId="12">
    <w:abstractNumId w:val="40"/>
  </w:num>
  <w:num w:numId="13">
    <w:abstractNumId w:val="47"/>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51"/>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3"/>
  </w:num>
  <w:num w:numId="52">
    <w:abstractNumId w:val="43"/>
  </w:num>
  <w:num w:numId="53">
    <w:abstractNumId w:val="55"/>
  </w:num>
  <w:num w:numId="54">
    <w:abstractNumId w:val="49"/>
  </w:num>
  <w:num w:numId="55">
    <w:abstractNumId w:val="19"/>
  </w:num>
  <w:num w:numId="56">
    <w:abstractNumId w:val="57"/>
  </w:num>
  <w:num w:numId="57">
    <w:abstractNumId w:val="50"/>
  </w:num>
  <w:num w:numId="58">
    <w:abstractNumId w:val="48"/>
  </w:num>
  <w:num w:numId="59">
    <w:abstractNumId w:val="45"/>
  </w:num>
  <w:num w:numId="60">
    <w:abstractNumId w:val="46"/>
  </w:num>
  <w:num w:numId="61">
    <w:abstractNumId w:val="36"/>
  </w:num>
  <w:num w:numId="62">
    <w:abstractNumId w:val="1"/>
  </w:num>
  <w:num w:numId="63">
    <w:abstractNumId w:val="14"/>
  </w:num>
  <w:num w:numId="64">
    <w:abstractNumId w:val="6"/>
  </w:num>
  <w:num w:numId="65">
    <w:abstractNumId w:val="55"/>
  </w:num>
  <w:num w:numId="66">
    <w:abstractNumId w:val="57"/>
    <w:lvlOverride w:ilvl="0">
      <w:startOverride w:val="1"/>
    </w:lvlOverride>
  </w:num>
  <w:num w:numId="67">
    <w:abstractNumId w:val="57"/>
    <w:lvlOverride w:ilvl="0">
      <w:startOverride w:val="1"/>
    </w:lvlOverride>
  </w:num>
  <w:num w:numId="68">
    <w:abstractNumId w:val="57"/>
    <w:lvlOverride w:ilvl="0">
      <w:startOverride w:val="1"/>
    </w:lvlOverride>
  </w:num>
  <w:num w:numId="69">
    <w:abstractNumId w:val="46"/>
    <w:lvlOverride w:ilvl="0">
      <w:startOverride w:val="1"/>
    </w:lvlOverride>
  </w:num>
  <w:num w:numId="70">
    <w:abstractNumId w:val="46"/>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9EE"/>
    <w:rsid w:val="00000AF5"/>
    <w:rsid w:val="00000CDA"/>
    <w:rsid w:val="00001596"/>
    <w:rsid w:val="00002435"/>
    <w:rsid w:val="00002CDF"/>
    <w:rsid w:val="00002FD2"/>
    <w:rsid w:val="00003916"/>
    <w:rsid w:val="00004343"/>
    <w:rsid w:val="000044F6"/>
    <w:rsid w:val="000047CD"/>
    <w:rsid w:val="00005059"/>
    <w:rsid w:val="00005545"/>
    <w:rsid w:val="00006E1F"/>
    <w:rsid w:val="000070D7"/>
    <w:rsid w:val="0000774E"/>
    <w:rsid w:val="00011905"/>
    <w:rsid w:val="00011D58"/>
    <w:rsid w:val="0001286D"/>
    <w:rsid w:val="000128F1"/>
    <w:rsid w:val="00013FAE"/>
    <w:rsid w:val="000140E8"/>
    <w:rsid w:val="00014BE7"/>
    <w:rsid w:val="00014C20"/>
    <w:rsid w:val="00014CF3"/>
    <w:rsid w:val="00015412"/>
    <w:rsid w:val="0001583A"/>
    <w:rsid w:val="00016720"/>
    <w:rsid w:val="00017227"/>
    <w:rsid w:val="0001788C"/>
    <w:rsid w:val="00017DF0"/>
    <w:rsid w:val="0002045D"/>
    <w:rsid w:val="000208E9"/>
    <w:rsid w:val="00021308"/>
    <w:rsid w:val="00021D69"/>
    <w:rsid w:val="00021EEF"/>
    <w:rsid w:val="00022BE2"/>
    <w:rsid w:val="00022E75"/>
    <w:rsid w:val="00022F3E"/>
    <w:rsid w:val="00023002"/>
    <w:rsid w:val="00024654"/>
    <w:rsid w:val="000248F9"/>
    <w:rsid w:val="000249C2"/>
    <w:rsid w:val="00024CF7"/>
    <w:rsid w:val="00024E16"/>
    <w:rsid w:val="00025DFF"/>
    <w:rsid w:val="00026324"/>
    <w:rsid w:val="000270D6"/>
    <w:rsid w:val="000278BD"/>
    <w:rsid w:val="00027C4E"/>
    <w:rsid w:val="00027FD6"/>
    <w:rsid w:val="0003174D"/>
    <w:rsid w:val="00031E08"/>
    <w:rsid w:val="00031FE6"/>
    <w:rsid w:val="00033024"/>
    <w:rsid w:val="00033D3A"/>
    <w:rsid w:val="000343E2"/>
    <w:rsid w:val="000343E8"/>
    <w:rsid w:val="0003475A"/>
    <w:rsid w:val="00034923"/>
    <w:rsid w:val="0003493F"/>
    <w:rsid w:val="0003496A"/>
    <w:rsid w:val="000350CB"/>
    <w:rsid w:val="000357D6"/>
    <w:rsid w:val="00035D67"/>
    <w:rsid w:val="000369F9"/>
    <w:rsid w:val="00036AED"/>
    <w:rsid w:val="00036B50"/>
    <w:rsid w:val="00036CAA"/>
    <w:rsid w:val="00036F88"/>
    <w:rsid w:val="000374A3"/>
    <w:rsid w:val="0003755D"/>
    <w:rsid w:val="00037A3A"/>
    <w:rsid w:val="00040179"/>
    <w:rsid w:val="0004068A"/>
    <w:rsid w:val="00040C3A"/>
    <w:rsid w:val="00040C50"/>
    <w:rsid w:val="00041311"/>
    <w:rsid w:val="00041B6B"/>
    <w:rsid w:val="00041E83"/>
    <w:rsid w:val="00041EEF"/>
    <w:rsid w:val="00042291"/>
    <w:rsid w:val="000438E9"/>
    <w:rsid w:val="00045B1D"/>
    <w:rsid w:val="000470D2"/>
    <w:rsid w:val="000501C6"/>
    <w:rsid w:val="000512A3"/>
    <w:rsid w:val="00051488"/>
    <w:rsid w:val="00051795"/>
    <w:rsid w:val="0005199E"/>
    <w:rsid w:val="0005255B"/>
    <w:rsid w:val="000525FB"/>
    <w:rsid w:val="000534E6"/>
    <w:rsid w:val="00053947"/>
    <w:rsid w:val="00055202"/>
    <w:rsid w:val="00055BF3"/>
    <w:rsid w:val="0005628A"/>
    <w:rsid w:val="0005663F"/>
    <w:rsid w:val="00056720"/>
    <w:rsid w:val="00056B8A"/>
    <w:rsid w:val="00056CD8"/>
    <w:rsid w:val="00057B17"/>
    <w:rsid w:val="00057DD7"/>
    <w:rsid w:val="00060806"/>
    <w:rsid w:val="00060BBA"/>
    <w:rsid w:val="00060EB9"/>
    <w:rsid w:val="00061170"/>
    <w:rsid w:val="00061B74"/>
    <w:rsid w:val="00061EF1"/>
    <w:rsid w:val="0006300D"/>
    <w:rsid w:val="0006382F"/>
    <w:rsid w:val="00063C04"/>
    <w:rsid w:val="00063CA8"/>
    <w:rsid w:val="000644E3"/>
    <w:rsid w:val="000659C8"/>
    <w:rsid w:val="00065E27"/>
    <w:rsid w:val="000660FF"/>
    <w:rsid w:val="00066323"/>
    <w:rsid w:val="00067146"/>
    <w:rsid w:val="00067677"/>
    <w:rsid w:val="0006778D"/>
    <w:rsid w:val="00070034"/>
    <w:rsid w:val="00071425"/>
    <w:rsid w:val="000716C5"/>
    <w:rsid w:val="00071FF6"/>
    <w:rsid w:val="00072499"/>
    <w:rsid w:val="00072D55"/>
    <w:rsid w:val="00072D8B"/>
    <w:rsid w:val="00073360"/>
    <w:rsid w:val="00073D64"/>
    <w:rsid w:val="0007537A"/>
    <w:rsid w:val="00075E23"/>
    <w:rsid w:val="0007660C"/>
    <w:rsid w:val="0007748F"/>
    <w:rsid w:val="00077559"/>
    <w:rsid w:val="00080139"/>
    <w:rsid w:val="00080804"/>
    <w:rsid w:val="00080AF1"/>
    <w:rsid w:val="00080CF9"/>
    <w:rsid w:val="00080F4E"/>
    <w:rsid w:val="00081DD8"/>
    <w:rsid w:val="00081ED4"/>
    <w:rsid w:val="0008236B"/>
    <w:rsid w:val="00083A15"/>
    <w:rsid w:val="00083A27"/>
    <w:rsid w:val="00083B44"/>
    <w:rsid w:val="00083F14"/>
    <w:rsid w:val="000843AA"/>
    <w:rsid w:val="0008551D"/>
    <w:rsid w:val="00085713"/>
    <w:rsid w:val="00085DC0"/>
    <w:rsid w:val="00085E39"/>
    <w:rsid w:val="00086755"/>
    <w:rsid w:val="00086A2A"/>
    <w:rsid w:val="000873AF"/>
    <w:rsid w:val="00090660"/>
    <w:rsid w:val="0009131D"/>
    <w:rsid w:val="00091922"/>
    <w:rsid w:val="0009222E"/>
    <w:rsid w:val="000927F8"/>
    <w:rsid w:val="00092FDD"/>
    <w:rsid w:val="000933C9"/>
    <w:rsid w:val="0009344A"/>
    <w:rsid w:val="000937DE"/>
    <w:rsid w:val="000953BE"/>
    <w:rsid w:val="00096E76"/>
    <w:rsid w:val="00097DB6"/>
    <w:rsid w:val="000A03AE"/>
    <w:rsid w:val="000A0AA1"/>
    <w:rsid w:val="000A15AF"/>
    <w:rsid w:val="000A19AB"/>
    <w:rsid w:val="000A228B"/>
    <w:rsid w:val="000A23A1"/>
    <w:rsid w:val="000A2E4F"/>
    <w:rsid w:val="000A3198"/>
    <w:rsid w:val="000A392E"/>
    <w:rsid w:val="000A3FC3"/>
    <w:rsid w:val="000A575F"/>
    <w:rsid w:val="000A695C"/>
    <w:rsid w:val="000A7373"/>
    <w:rsid w:val="000A7676"/>
    <w:rsid w:val="000B0307"/>
    <w:rsid w:val="000B03D5"/>
    <w:rsid w:val="000B0B03"/>
    <w:rsid w:val="000B13D6"/>
    <w:rsid w:val="000B1436"/>
    <w:rsid w:val="000B153D"/>
    <w:rsid w:val="000B1E84"/>
    <w:rsid w:val="000B2E59"/>
    <w:rsid w:val="000B36B5"/>
    <w:rsid w:val="000B3CA2"/>
    <w:rsid w:val="000B458E"/>
    <w:rsid w:val="000B467E"/>
    <w:rsid w:val="000B4FEA"/>
    <w:rsid w:val="000B5E1C"/>
    <w:rsid w:val="000B6086"/>
    <w:rsid w:val="000B6D81"/>
    <w:rsid w:val="000B78C9"/>
    <w:rsid w:val="000C0D5A"/>
    <w:rsid w:val="000C1509"/>
    <w:rsid w:val="000C163B"/>
    <w:rsid w:val="000C19EB"/>
    <w:rsid w:val="000C1A8D"/>
    <w:rsid w:val="000C1C5D"/>
    <w:rsid w:val="000C2806"/>
    <w:rsid w:val="000C28BB"/>
    <w:rsid w:val="000C4210"/>
    <w:rsid w:val="000C4257"/>
    <w:rsid w:val="000C4CC9"/>
    <w:rsid w:val="000C622F"/>
    <w:rsid w:val="000C7692"/>
    <w:rsid w:val="000D00EE"/>
    <w:rsid w:val="000D07E5"/>
    <w:rsid w:val="000D10DB"/>
    <w:rsid w:val="000D26CB"/>
    <w:rsid w:val="000D28E1"/>
    <w:rsid w:val="000D341D"/>
    <w:rsid w:val="000D40C7"/>
    <w:rsid w:val="000D470D"/>
    <w:rsid w:val="000D4E41"/>
    <w:rsid w:val="000D4F38"/>
    <w:rsid w:val="000D5B44"/>
    <w:rsid w:val="000D5F63"/>
    <w:rsid w:val="000D6A13"/>
    <w:rsid w:val="000D6D2B"/>
    <w:rsid w:val="000D7C8B"/>
    <w:rsid w:val="000D7E9C"/>
    <w:rsid w:val="000E0793"/>
    <w:rsid w:val="000E221D"/>
    <w:rsid w:val="000E2340"/>
    <w:rsid w:val="000E34A4"/>
    <w:rsid w:val="000E34F9"/>
    <w:rsid w:val="000E35A0"/>
    <w:rsid w:val="000E3BC7"/>
    <w:rsid w:val="000E3FFC"/>
    <w:rsid w:val="000E45B8"/>
    <w:rsid w:val="000E48AD"/>
    <w:rsid w:val="000E497E"/>
    <w:rsid w:val="000E50DB"/>
    <w:rsid w:val="000E5119"/>
    <w:rsid w:val="000E534B"/>
    <w:rsid w:val="000E53D1"/>
    <w:rsid w:val="000E5466"/>
    <w:rsid w:val="000E5EB5"/>
    <w:rsid w:val="000E758A"/>
    <w:rsid w:val="000E7A7F"/>
    <w:rsid w:val="000F1C8C"/>
    <w:rsid w:val="000F1CC3"/>
    <w:rsid w:val="000F35ED"/>
    <w:rsid w:val="000F3984"/>
    <w:rsid w:val="000F4E32"/>
    <w:rsid w:val="000F5975"/>
    <w:rsid w:val="000F5AFC"/>
    <w:rsid w:val="000F691D"/>
    <w:rsid w:val="000F72A4"/>
    <w:rsid w:val="000F736F"/>
    <w:rsid w:val="000F760C"/>
    <w:rsid w:val="0010041C"/>
    <w:rsid w:val="0010099F"/>
    <w:rsid w:val="00102690"/>
    <w:rsid w:val="00104A9F"/>
    <w:rsid w:val="00104E09"/>
    <w:rsid w:val="00104E62"/>
    <w:rsid w:val="001068AA"/>
    <w:rsid w:val="00106D93"/>
    <w:rsid w:val="00107131"/>
    <w:rsid w:val="0010729D"/>
    <w:rsid w:val="0010736F"/>
    <w:rsid w:val="00107D34"/>
    <w:rsid w:val="00110E47"/>
    <w:rsid w:val="00111F53"/>
    <w:rsid w:val="001129F3"/>
    <w:rsid w:val="00112AF9"/>
    <w:rsid w:val="00112D7A"/>
    <w:rsid w:val="0011310D"/>
    <w:rsid w:val="00113DCF"/>
    <w:rsid w:val="00113F44"/>
    <w:rsid w:val="00113F73"/>
    <w:rsid w:val="001141AA"/>
    <w:rsid w:val="00114292"/>
    <w:rsid w:val="00114448"/>
    <w:rsid w:val="00114B5A"/>
    <w:rsid w:val="001154D3"/>
    <w:rsid w:val="00115B08"/>
    <w:rsid w:val="00115F27"/>
    <w:rsid w:val="001167EB"/>
    <w:rsid w:val="00116F9B"/>
    <w:rsid w:val="00117A30"/>
    <w:rsid w:val="00117F75"/>
    <w:rsid w:val="00120867"/>
    <w:rsid w:val="00121332"/>
    <w:rsid w:val="00121CC2"/>
    <w:rsid w:val="00122A72"/>
    <w:rsid w:val="00122DB7"/>
    <w:rsid w:val="00123889"/>
    <w:rsid w:val="001238A3"/>
    <w:rsid w:val="00123FFB"/>
    <w:rsid w:val="001246B8"/>
    <w:rsid w:val="001252CD"/>
    <w:rsid w:val="001277C1"/>
    <w:rsid w:val="00130364"/>
    <w:rsid w:val="0013172B"/>
    <w:rsid w:val="0013192F"/>
    <w:rsid w:val="00131B39"/>
    <w:rsid w:val="00133EE5"/>
    <w:rsid w:val="00134977"/>
    <w:rsid w:val="001361EE"/>
    <w:rsid w:val="00136569"/>
    <w:rsid w:val="0013665F"/>
    <w:rsid w:val="00136B93"/>
    <w:rsid w:val="00136DC3"/>
    <w:rsid w:val="00137841"/>
    <w:rsid w:val="00137DF8"/>
    <w:rsid w:val="001416F1"/>
    <w:rsid w:val="001422E1"/>
    <w:rsid w:val="001427B5"/>
    <w:rsid w:val="00142940"/>
    <w:rsid w:val="00143409"/>
    <w:rsid w:val="00144303"/>
    <w:rsid w:val="001443C1"/>
    <w:rsid w:val="0014502E"/>
    <w:rsid w:val="0014666E"/>
    <w:rsid w:val="00146860"/>
    <w:rsid w:val="00147743"/>
    <w:rsid w:val="00147A72"/>
    <w:rsid w:val="00147F53"/>
    <w:rsid w:val="00147FD7"/>
    <w:rsid w:val="00150218"/>
    <w:rsid w:val="001507F5"/>
    <w:rsid w:val="00150C87"/>
    <w:rsid w:val="00151146"/>
    <w:rsid w:val="001511BA"/>
    <w:rsid w:val="00152266"/>
    <w:rsid w:val="00154D40"/>
    <w:rsid w:val="00155569"/>
    <w:rsid w:val="00155DCF"/>
    <w:rsid w:val="001566B5"/>
    <w:rsid w:val="00157A82"/>
    <w:rsid w:val="001615B1"/>
    <w:rsid w:val="00161E0C"/>
    <w:rsid w:val="0016225B"/>
    <w:rsid w:val="00165132"/>
    <w:rsid w:val="00165D10"/>
    <w:rsid w:val="0016693F"/>
    <w:rsid w:val="00167281"/>
    <w:rsid w:val="00167A34"/>
    <w:rsid w:val="00167D7C"/>
    <w:rsid w:val="00167DD8"/>
    <w:rsid w:val="001703DC"/>
    <w:rsid w:val="001708E5"/>
    <w:rsid w:val="0017155A"/>
    <w:rsid w:val="001730A8"/>
    <w:rsid w:val="00173448"/>
    <w:rsid w:val="001748AD"/>
    <w:rsid w:val="00174ECE"/>
    <w:rsid w:val="0017640D"/>
    <w:rsid w:val="001766B2"/>
    <w:rsid w:val="0017732E"/>
    <w:rsid w:val="00177AF9"/>
    <w:rsid w:val="0018050B"/>
    <w:rsid w:val="00181180"/>
    <w:rsid w:val="00181715"/>
    <w:rsid w:val="001818AC"/>
    <w:rsid w:val="00181F21"/>
    <w:rsid w:val="00182D70"/>
    <w:rsid w:val="00184FA3"/>
    <w:rsid w:val="001852BD"/>
    <w:rsid w:val="00185929"/>
    <w:rsid w:val="00185B87"/>
    <w:rsid w:val="00185D7B"/>
    <w:rsid w:val="001862EF"/>
    <w:rsid w:val="00186803"/>
    <w:rsid w:val="00186950"/>
    <w:rsid w:val="00186987"/>
    <w:rsid w:val="00186F73"/>
    <w:rsid w:val="00187B30"/>
    <w:rsid w:val="00190180"/>
    <w:rsid w:val="00190E80"/>
    <w:rsid w:val="0019151D"/>
    <w:rsid w:val="00192426"/>
    <w:rsid w:val="00192FB2"/>
    <w:rsid w:val="001930A3"/>
    <w:rsid w:val="00193D76"/>
    <w:rsid w:val="00194FDD"/>
    <w:rsid w:val="001958E3"/>
    <w:rsid w:val="00195A73"/>
    <w:rsid w:val="00195D1E"/>
    <w:rsid w:val="00195DDA"/>
    <w:rsid w:val="00196544"/>
    <w:rsid w:val="001A0C47"/>
    <w:rsid w:val="001A23E0"/>
    <w:rsid w:val="001A3052"/>
    <w:rsid w:val="001A5797"/>
    <w:rsid w:val="001A5B6E"/>
    <w:rsid w:val="001A6C08"/>
    <w:rsid w:val="001A701C"/>
    <w:rsid w:val="001A7354"/>
    <w:rsid w:val="001A7870"/>
    <w:rsid w:val="001B0AD2"/>
    <w:rsid w:val="001B14E5"/>
    <w:rsid w:val="001B1903"/>
    <w:rsid w:val="001B2514"/>
    <w:rsid w:val="001B2586"/>
    <w:rsid w:val="001B2A96"/>
    <w:rsid w:val="001B416D"/>
    <w:rsid w:val="001B5A1D"/>
    <w:rsid w:val="001B5FE5"/>
    <w:rsid w:val="001B653A"/>
    <w:rsid w:val="001B76D2"/>
    <w:rsid w:val="001B7C0A"/>
    <w:rsid w:val="001B7CE6"/>
    <w:rsid w:val="001C01C5"/>
    <w:rsid w:val="001C0BA1"/>
    <w:rsid w:val="001C0D04"/>
    <w:rsid w:val="001C17CA"/>
    <w:rsid w:val="001C1B41"/>
    <w:rsid w:val="001C1E57"/>
    <w:rsid w:val="001C1F8A"/>
    <w:rsid w:val="001C25DC"/>
    <w:rsid w:val="001C3FD2"/>
    <w:rsid w:val="001C445E"/>
    <w:rsid w:val="001C4C3A"/>
    <w:rsid w:val="001C4D3D"/>
    <w:rsid w:val="001C4DBB"/>
    <w:rsid w:val="001C5321"/>
    <w:rsid w:val="001C60A3"/>
    <w:rsid w:val="001C63F1"/>
    <w:rsid w:val="001C68EF"/>
    <w:rsid w:val="001C7C89"/>
    <w:rsid w:val="001C7F7F"/>
    <w:rsid w:val="001D06A6"/>
    <w:rsid w:val="001D09F9"/>
    <w:rsid w:val="001D0DE2"/>
    <w:rsid w:val="001D112A"/>
    <w:rsid w:val="001D255F"/>
    <w:rsid w:val="001D3048"/>
    <w:rsid w:val="001D33D3"/>
    <w:rsid w:val="001D3404"/>
    <w:rsid w:val="001D40DA"/>
    <w:rsid w:val="001D4986"/>
    <w:rsid w:val="001D5255"/>
    <w:rsid w:val="001D52DA"/>
    <w:rsid w:val="001D64DB"/>
    <w:rsid w:val="001D65EF"/>
    <w:rsid w:val="001D6798"/>
    <w:rsid w:val="001D69B6"/>
    <w:rsid w:val="001E0C91"/>
    <w:rsid w:val="001E237E"/>
    <w:rsid w:val="001E2597"/>
    <w:rsid w:val="001E3B15"/>
    <w:rsid w:val="001E4AF2"/>
    <w:rsid w:val="001E4B62"/>
    <w:rsid w:val="001E4D5A"/>
    <w:rsid w:val="001E542B"/>
    <w:rsid w:val="001E555F"/>
    <w:rsid w:val="001E65E4"/>
    <w:rsid w:val="001E7BE2"/>
    <w:rsid w:val="001E7F1C"/>
    <w:rsid w:val="001F0295"/>
    <w:rsid w:val="001F1580"/>
    <w:rsid w:val="001F1D62"/>
    <w:rsid w:val="001F1E7D"/>
    <w:rsid w:val="001F35DB"/>
    <w:rsid w:val="001F3980"/>
    <w:rsid w:val="001F47D6"/>
    <w:rsid w:val="001F4A36"/>
    <w:rsid w:val="001F56BB"/>
    <w:rsid w:val="001F57D8"/>
    <w:rsid w:val="001F5A75"/>
    <w:rsid w:val="001F75F9"/>
    <w:rsid w:val="002015AD"/>
    <w:rsid w:val="0020238C"/>
    <w:rsid w:val="0020382E"/>
    <w:rsid w:val="00203B0F"/>
    <w:rsid w:val="00204153"/>
    <w:rsid w:val="00204217"/>
    <w:rsid w:val="00204ACB"/>
    <w:rsid w:val="00205011"/>
    <w:rsid w:val="00205939"/>
    <w:rsid w:val="00205AA1"/>
    <w:rsid w:val="00205C17"/>
    <w:rsid w:val="00205E9E"/>
    <w:rsid w:val="00206BA2"/>
    <w:rsid w:val="00207B4E"/>
    <w:rsid w:val="0021016A"/>
    <w:rsid w:val="002101C6"/>
    <w:rsid w:val="00210E39"/>
    <w:rsid w:val="00211470"/>
    <w:rsid w:val="00212DF4"/>
    <w:rsid w:val="00213426"/>
    <w:rsid w:val="002135F1"/>
    <w:rsid w:val="00213647"/>
    <w:rsid w:val="00213B82"/>
    <w:rsid w:val="00214149"/>
    <w:rsid w:val="002145AE"/>
    <w:rsid w:val="00214764"/>
    <w:rsid w:val="00214861"/>
    <w:rsid w:val="0021486A"/>
    <w:rsid w:val="00215116"/>
    <w:rsid w:val="00216145"/>
    <w:rsid w:val="00216484"/>
    <w:rsid w:val="002166F3"/>
    <w:rsid w:val="00217902"/>
    <w:rsid w:val="00217980"/>
    <w:rsid w:val="00220ABC"/>
    <w:rsid w:val="00223E1F"/>
    <w:rsid w:val="00223F24"/>
    <w:rsid w:val="002241D0"/>
    <w:rsid w:val="002241ED"/>
    <w:rsid w:val="0022420F"/>
    <w:rsid w:val="002250A3"/>
    <w:rsid w:val="00225FA5"/>
    <w:rsid w:val="00226389"/>
    <w:rsid w:val="00226409"/>
    <w:rsid w:val="00226539"/>
    <w:rsid w:val="00226E88"/>
    <w:rsid w:val="0023074E"/>
    <w:rsid w:val="00230F48"/>
    <w:rsid w:val="00231742"/>
    <w:rsid w:val="00232A2D"/>
    <w:rsid w:val="002330DE"/>
    <w:rsid w:val="00233159"/>
    <w:rsid w:val="002346C7"/>
    <w:rsid w:val="00235217"/>
    <w:rsid w:val="0023619F"/>
    <w:rsid w:val="00236260"/>
    <w:rsid w:val="00236B2F"/>
    <w:rsid w:val="00236F18"/>
    <w:rsid w:val="00241396"/>
    <w:rsid w:val="002420B8"/>
    <w:rsid w:val="00243C2E"/>
    <w:rsid w:val="00244861"/>
    <w:rsid w:val="00245102"/>
    <w:rsid w:val="00245497"/>
    <w:rsid w:val="00245E7A"/>
    <w:rsid w:val="0024651F"/>
    <w:rsid w:val="0024677F"/>
    <w:rsid w:val="00246D1F"/>
    <w:rsid w:val="00246EEC"/>
    <w:rsid w:val="00247403"/>
    <w:rsid w:val="00247542"/>
    <w:rsid w:val="00247C4D"/>
    <w:rsid w:val="002513E3"/>
    <w:rsid w:val="0025173B"/>
    <w:rsid w:val="00251E3A"/>
    <w:rsid w:val="00252CB7"/>
    <w:rsid w:val="00252E96"/>
    <w:rsid w:val="00252F09"/>
    <w:rsid w:val="00254178"/>
    <w:rsid w:val="00254A44"/>
    <w:rsid w:val="00257830"/>
    <w:rsid w:val="002608EA"/>
    <w:rsid w:val="00261745"/>
    <w:rsid w:val="00262593"/>
    <w:rsid w:val="002630CB"/>
    <w:rsid w:val="002633E3"/>
    <w:rsid w:val="00263C5E"/>
    <w:rsid w:val="002647DD"/>
    <w:rsid w:val="00264EBA"/>
    <w:rsid w:val="0026512B"/>
    <w:rsid w:val="0026525D"/>
    <w:rsid w:val="00265AAA"/>
    <w:rsid w:val="00266702"/>
    <w:rsid w:val="00266B61"/>
    <w:rsid w:val="00266C80"/>
    <w:rsid w:val="0026712A"/>
    <w:rsid w:val="00267AAE"/>
    <w:rsid w:val="00267F1D"/>
    <w:rsid w:val="0027004C"/>
    <w:rsid w:val="002704DB"/>
    <w:rsid w:val="0027321E"/>
    <w:rsid w:val="002732C7"/>
    <w:rsid w:val="00273680"/>
    <w:rsid w:val="002741C4"/>
    <w:rsid w:val="002746A7"/>
    <w:rsid w:val="00274B80"/>
    <w:rsid w:val="00274C9D"/>
    <w:rsid w:val="00275FD9"/>
    <w:rsid w:val="00277956"/>
    <w:rsid w:val="002803B9"/>
    <w:rsid w:val="00280A5E"/>
    <w:rsid w:val="00281216"/>
    <w:rsid w:val="00283388"/>
    <w:rsid w:val="002840D7"/>
    <w:rsid w:val="002840F7"/>
    <w:rsid w:val="0028618A"/>
    <w:rsid w:val="00286CDA"/>
    <w:rsid w:val="0029020F"/>
    <w:rsid w:val="00291062"/>
    <w:rsid w:val="0029109E"/>
    <w:rsid w:val="002910DA"/>
    <w:rsid w:val="002926E5"/>
    <w:rsid w:val="00292A0A"/>
    <w:rsid w:val="00292EB1"/>
    <w:rsid w:val="00293FF4"/>
    <w:rsid w:val="00294030"/>
    <w:rsid w:val="00295049"/>
    <w:rsid w:val="002967A2"/>
    <w:rsid w:val="002A0AAE"/>
    <w:rsid w:val="002A12BC"/>
    <w:rsid w:val="002A1571"/>
    <w:rsid w:val="002A17A4"/>
    <w:rsid w:val="002A1843"/>
    <w:rsid w:val="002A1910"/>
    <w:rsid w:val="002A244B"/>
    <w:rsid w:val="002A3A98"/>
    <w:rsid w:val="002A458D"/>
    <w:rsid w:val="002A459B"/>
    <w:rsid w:val="002A4DB3"/>
    <w:rsid w:val="002A5820"/>
    <w:rsid w:val="002A615A"/>
    <w:rsid w:val="002A6575"/>
    <w:rsid w:val="002A7A7E"/>
    <w:rsid w:val="002A7EA0"/>
    <w:rsid w:val="002B06BB"/>
    <w:rsid w:val="002B0DDA"/>
    <w:rsid w:val="002B1691"/>
    <w:rsid w:val="002B16AD"/>
    <w:rsid w:val="002B1749"/>
    <w:rsid w:val="002B377C"/>
    <w:rsid w:val="002B3BB2"/>
    <w:rsid w:val="002B4D07"/>
    <w:rsid w:val="002B4F4B"/>
    <w:rsid w:val="002B6079"/>
    <w:rsid w:val="002C099E"/>
    <w:rsid w:val="002C0D7F"/>
    <w:rsid w:val="002C0EBD"/>
    <w:rsid w:val="002C1121"/>
    <w:rsid w:val="002C183C"/>
    <w:rsid w:val="002C193A"/>
    <w:rsid w:val="002C1BFC"/>
    <w:rsid w:val="002C4ACB"/>
    <w:rsid w:val="002C601A"/>
    <w:rsid w:val="002C71EF"/>
    <w:rsid w:val="002D0B3D"/>
    <w:rsid w:val="002D1355"/>
    <w:rsid w:val="002D198E"/>
    <w:rsid w:val="002D1EDE"/>
    <w:rsid w:val="002D2B26"/>
    <w:rsid w:val="002D2C06"/>
    <w:rsid w:val="002D3D37"/>
    <w:rsid w:val="002D3ED1"/>
    <w:rsid w:val="002D58CE"/>
    <w:rsid w:val="002D5C58"/>
    <w:rsid w:val="002D6A3F"/>
    <w:rsid w:val="002D7B37"/>
    <w:rsid w:val="002D7EA2"/>
    <w:rsid w:val="002E004B"/>
    <w:rsid w:val="002E09D5"/>
    <w:rsid w:val="002E0A91"/>
    <w:rsid w:val="002E0C6C"/>
    <w:rsid w:val="002E10AB"/>
    <w:rsid w:val="002E11A3"/>
    <w:rsid w:val="002E165A"/>
    <w:rsid w:val="002E1679"/>
    <w:rsid w:val="002E187C"/>
    <w:rsid w:val="002E1AEC"/>
    <w:rsid w:val="002E1F58"/>
    <w:rsid w:val="002E37F8"/>
    <w:rsid w:val="002E4014"/>
    <w:rsid w:val="002E422D"/>
    <w:rsid w:val="002E61ED"/>
    <w:rsid w:val="002E69BB"/>
    <w:rsid w:val="002E6EE9"/>
    <w:rsid w:val="002E7225"/>
    <w:rsid w:val="002F01F6"/>
    <w:rsid w:val="002F173F"/>
    <w:rsid w:val="002F1DA9"/>
    <w:rsid w:val="002F222E"/>
    <w:rsid w:val="002F38CF"/>
    <w:rsid w:val="002F3FD3"/>
    <w:rsid w:val="002F5F13"/>
    <w:rsid w:val="002F6D66"/>
    <w:rsid w:val="002F725B"/>
    <w:rsid w:val="002F7B5B"/>
    <w:rsid w:val="002F7C6D"/>
    <w:rsid w:val="00300484"/>
    <w:rsid w:val="003018E5"/>
    <w:rsid w:val="00301CD7"/>
    <w:rsid w:val="00302733"/>
    <w:rsid w:val="00302D75"/>
    <w:rsid w:val="00303272"/>
    <w:rsid w:val="00303BE7"/>
    <w:rsid w:val="00303BF2"/>
    <w:rsid w:val="00304394"/>
    <w:rsid w:val="003048F3"/>
    <w:rsid w:val="00304F03"/>
    <w:rsid w:val="00305237"/>
    <w:rsid w:val="003060D5"/>
    <w:rsid w:val="0030611D"/>
    <w:rsid w:val="003076DF"/>
    <w:rsid w:val="00307905"/>
    <w:rsid w:val="00307FA6"/>
    <w:rsid w:val="003101A3"/>
    <w:rsid w:val="003101BD"/>
    <w:rsid w:val="00310A4E"/>
    <w:rsid w:val="00311310"/>
    <w:rsid w:val="003117F0"/>
    <w:rsid w:val="00311E7D"/>
    <w:rsid w:val="00314078"/>
    <w:rsid w:val="0031433F"/>
    <w:rsid w:val="00314423"/>
    <w:rsid w:val="0031463D"/>
    <w:rsid w:val="0031466E"/>
    <w:rsid w:val="0031470F"/>
    <w:rsid w:val="0031535D"/>
    <w:rsid w:val="003161DE"/>
    <w:rsid w:val="00316C94"/>
    <w:rsid w:val="00316D39"/>
    <w:rsid w:val="00317093"/>
    <w:rsid w:val="00317421"/>
    <w:rsid w:val="003174CE"/>
    <w:rsid w:val="0031756E"/>
    <w:rsid w:val="0032067D"/>
    <w:rsid w:val="00321975"/>
    <w:rsid w:val="00322648"/>
    <w:rsid w:val="00324B26"/>
    <w:rsid w:val="00324CBE"/>
    <w:rsid w:val="00326588"/>
    <w:rsid w:val="003267FA"/>
    <w:rsid w:val="00326924"/>
    <w:rsid w:val="0032692E"/>
    <w:rsid w:val="00326956"/>
    <w:rsid w:val="00331406"/>
    <w:rsid w:val="0033169F"/>
    <w:rsid w:val="003322A8"/>
    <w:rsid w:val="0033260A"/>
    <w:rsid w:val="003336CD"/>
    <w:rsid w:val="00333EE0"/>
    <w:rsid w:val="0033467B"/>
    <w:rsid w:val="003346DF"/>
    <w:rsid w:val="00334E93"/>
    <w:rsid w:val="00335809"/>
    <w:rsid w:val="003362AA"/>
    <w:rsid w:val="003364B0"/>
    <w:rsid w:val="003367FB"/>
    <w:rsid w:val="00336A74"/>
    <w:rsid w:val="00337569"/>
    <w:rsid w:val="003375DE"/>
    <w:rsid w:val="00337D80"/>
    <w:rsid w:val="00340782"/>
    <w:rsid w:val="0034079A"/>
    <w:rsid w:val="00341014"/>
    <w:rsid w:val="0034205A"/>
    <w:rsid w:val="00342E77"/>
    <w:rsid w:val="00343267"/>
    <w:rsid w:val="00343E40"/>
    <w:rsid w:val="00344299"/>
    <w:rsid w:val="00344F71"/>
    <w:rsid w:val="00345E78"/>
    <w:rsid w:val="003465BC"/>
    <w:rsid w:val="00346C95"/>
    <w:rsid w:val="00347383"/>
    <w:rsid w:val="00347634"/>
    <w:rsid w:val="00350E4D"/>
    <w:rsid w:val="00350F55"/>
    <w:rsid w:val="00351608"/>
    <w:rsid w:val="00351866"/>
    <w:rsid w:val="003529BB"/>
    <w:rsid w:val="003534C3"/>
    <w:rsid w:val="00354736"/>
    <w:rsid w:val="003547F7"/>
    <w:rsid w:val="00354B57"/>
    <w:rsid w:val="0035522A"/>
    <w:rsid w:val="00355425"/>
    <w:rsid w:val="00355700"/>
    <w:rsid w:val="00355D5E"/>
    <w:rsid w:val="00356185"/>
    <w:rsid w:val="00356E67"/>
    <w:rsid w:val="00357083"/>
    <w:rsid w:val="00357A20"/>
    <w:rsid w:val="00357A73"/>
    <w:rsid w:val="00357EC8"/>
    <w:rsid w:val="00360380"/>
    <w:rsid w:val="00360E40"/>
    <w:rsid w:val="00362547"/>
    <w:rsid w:val="0036288B"/>
    <w:rsid w:val="00363A43"/>
    <w:rsid w:val="00364FCE"/>
    <w:rsid w:val="003650C2"/>
    <w:rsid w:val="003650CA"/>
    <w:rsid w:val="00365D51"/>
    <w:rsid w:val="00366365"/>
    <w:rsid w:val="003664B3"/>
    <w:rsid w:val="003704D0"/>
    <w:rsid w:val="00370865"/>
    <w:rsid w:val="00370BF0"/>
    <w:rsid w:val="00370E15"/>
    <w:rsid w:val="00371739"/>
    <w:rsid w:val="00372104"/>
    <w:rsid w:val="00372F0D"/>
    <w:rsid w:val="003730E7"/>
    <w:rsid w:val="00373954"/>
    <w:rsid w:val="00374350"/>
    <w:rsid w:val="0037519E"/>
    <w:rsid w:val="0037579B"/>
    <w:rsid w:val="00375BB5"/>
    <w:rsid w:val="003769CC"/>
    <w:rsid w:val="003773FC"/>
    <w:rsid w:val="00380278"/>
    <w:rsid w:val="003808DB"/>
    <w:rsid w:val="00380C47"/>
    <w:rsid w:val="003812E1"/>
    <w:rsid w:val="00381DE7"/>
    <w:rsid w:val="00384EF0"/>
    <w:rsid w:val="00385595"/>
    <w:rsid w:val="00386A5F"/>
    <w:rsid w:val="00386CF0"/>
    <w:rsid w:val="0039018C"/>
    <w:rsid w:val="00390BB8"/>
    <w:rsid w:val="0039145A"/>
    <w:rsid w:val="003914C0"/>
    <w:rsid w:val="00391B32"/>
    <w:rsid w:val="003936BA"/>
    <w:rsid w:val="003937F5"/>
    <w:rsid w:val="00394260"/>
    <w:rsid w:val="00394C61"/>
    <w:rsid w:val="0039570A"/>
    <w:rsid w:val="00396566"/>
    <w:rsid w:val="003965B1"/>
    <w:rsid w:val="00397BB3"/>
    <w:rsid w:val="003A147D"/>
    <w:rsid w:val="003A26A5"/>
    <w:rsid w:val="003A3471"/>
    <w:rsid w:val="003A38E9"/>
    <w:rsid w:val="003A47A9"/>
    <w:rsid w:val="003A51E5"/>
    <w:rsid w:val="003A5D2A"/>
    <w:rsid w:val="003A6945"/>
    <w:rsid w:val="003A6AC1"/>
    <w:rsid w:val="003A7099"/>
    <w:rsid w:val="003A7FD8"/>
    <w:rsid w:val="003B01E8"/>
    <w:rsid w:val="003B04F8"/>
    <w:rsid w:val="003B06C1"/>
    <w:rsid w:val="003B1130"/>
    <w:rsid w:val="003B1890"/>
    <w:rsid w:val="003B2B4D"/>
    <w:rsid w:val="003B2E20"/>
    <w:rsid w:val="003B3D4E"/>
    <w:rsid w:val="003B638B"/>
    <w:rsid w:val="003B6782"/>
    <w:rsid w:val="003B67FB"/>
    <w:rsid w:val="003B75C0"/>
    <w:rsid w:val="003B770E"/>
    <w:rsid w:val="003C1655"/>
    <w:rsid w:val="003C2765"/>
    <w:rsid w:val="003C2E6F"/>
    <w:rsid w:val="003C2F1F"/>
    <w:rsid w:val="003C36B9"/>
    <w:rsid w:val="003C44A8"/>
    <w:rsid w:val="003C5088"/>
    <w:rsid w:val="003C676B"/>
    <w:rsid w:val="003C6E10"/>
    <w:rsid w:val="003C6F1B"/>
    <w:rsid w:val="003C7FA1"/>
    <w:rsid w:val="003D09BF"/>
    <w:rsid w:val="003D0F30"/>
    <w:rsid w:val="003D180A"/>
    <w:rsid w:val="003D1D62"/>
    <w:rsid w:val="003D21E8"/>
    <w:rsid w:val="003D22AD"/>
    <w:rsid w:val="003D2966"/>
    <w:rsid w:val="003D2A2B"/>
    <w:rsid w:val="003D31D7"/>
    <w:rsid w:val="003D337B"/>
    <w:rsid w:val="003D3BC2"/>
    <w:rsid w:val="003D4E31"/>
    <w:rsid w:val="003D5023"/>
    <w:rsid w:val="003D5B30"/>
    <w:rsid w:val="003D6A37"/>
    <w:rsid w:val="003D7075"/>
    <w:rsid w:val="003D761A"/>
    <w:rsid w:val="003D7C0F"/>
    <w:rsid w:val="003E02E6"/>
    <w:rsid w:val="003E1212"/>
    <w:rsid w:val="003E167F"/>
    <w:rsid w:val="003E3B47"/>
    <w:rsid w:val="003E3B9D"/>
    <w:rsid w:val="003E4419"/>
    <w:rsid w:val="003E444E"/>
    <w:rsid w:val="003E4EB1"/>
    <w:rsid w:val="003E51C0"/>
    <w:rsid w:val="003E6CA1"/>
    <w:rsid w:val="003E6EE8"/>
    <w:rsid w:val="003E7FC6"/>
    <w:rsid w:val="003F13DC"/>
    <w:rsid w:val="003F3071"/>
    <w:rsid w:val="003F33E2"/>
    <w:rsid w:val="003F4AE4"/>
    <w:rsid w:val="003F5830"/>
    <w:rsid w:val="003F6014"/>
    <w:rsid w:val="003F6409"/>
    <w:rsid w:val="003F66AF"/>
    <w:rsid w:val="003F6DE5"/>
    <w:rsid w:val="003F76C0"/>
    <w:rsid w:val="003F799D"/>
    <w:rsid w:val="003F7A45"/>
    <w:rsid w:val="003F7DFF"/>
    <w:rsid w:val="00400ACA"/>
    <w:rsid w:val="00401E05"/>
    <w:rsid w:val="00403AB2"/>
    <w:rsid w:val="0040402E"/>
    <w:rsid w:val="00404AE9"/>
    <w:rsid w:val="00404B79"/>
    <w:rsid w:val="00405970"/>
    <w:rsid w:val="00405D5E"/>
    <w:rsid w:val="00406269"/>
    <w:rsid w:val="0040655B"/>
    <w:rsid w:val="00406DA6"/>
    <w:rsid w:val="0040771B"/>
    <w:rsid w:val="004077F9"/>
    <w:rsid w:val="0041040E"/>
    <w:rsid w:val="004104C0"/>
    <w:rsid w:val="00412085"/>
    <w:rsid w:val="00413722"/>
    <w:rsid w:val="0041465D"/>
    <w:rsid w:val="004151FF"/>
    <w:rsid w:val="004165C2"/>
    <w:rsid w:val="00417081"/>
    <w:rsid w:val="004176CB"/>
    <w:rsid w:val="00417C12"/>
    <w:rsid w:val="00417D76"/>
    <w:rsid w:val="00417F2F"/>
    <w:rsid w:val="004229F5"/>
    <w:rsid w:val="00426065"/>
    <w:rsid w:val="0042653D"/>
    <w:rsid w:val="00426832"/>
    <w:rsid w:val="00426B62"/>
    <w:rsid w:val="00427CBB"/>
    <w:rsid w:val="00430C21"/>
    <w:rsid w:val="00430E03"/>
    <w:rsid w:val="0043125C"/>
    <w:rsid w:val="00431AF9"/>
    <w:rsid w:val="0043204F"/>
    <w:rsid w:val="0043206D"/>
    <w:rsid w:val="00432D6E"/>
    <w:rsid w:val="004330B2"/>
    <w:rsid w:val="00433279"/>
    <w:rsid w:val="00433C4C"/>
    <w:rsid w:val="0043422A"/>
    <w:rsid w:val="00434A70"/>
    <w:rsid w:val="00435204"/>
    <w:rsid w:val="00435E86"/>
    <w:rsid w:val="00437313"/>
    <w:rsid w:val="00440883"/>
    <w:rsid w:val="00440CDD"/>
    <w:rsid w:val="00440D2C"/>
    <w:rsid w:val="00440F43"/>
    <w:rsid w:val="004412CB"/>
    <w:rsid w:val="004413C2"/>
    <w:rsid w:val="00441BEA"/>
    <w:rsid w:val="00441DBA"/>
    <w:rsid w:val="00441ECB"/>
    <w:rsid w:val="004422E2"/>
    <w:rsid w:val="00443C49"/>
    <w:rsid w:val="0044493A"/>
    <w:rsid w:val="00444BE9"/>
    <w:rsid w:val="00444E2D"/>
    <w:rsid w:val="004473AE"/>
    <w:rsid w:val="0045063E"/>
    <w:rsid w:val="004509B5"/>
    <w:rsid w:val="00450D45"/>
    <w:rsid w:val="00450E8A"/>
    <w:rsid w:val="00451972"/>
    <w:rsid w:val="00451D97"/>
    <w:rsid w:val="004524F6"/>
    <w:rsid w:val="0045289F"/>
    <w:rsid w:val="004541F0"/>
    <w:rsid w:val="00454BFF"/>
    <w:rsid w:val="004556C0"/>
    <w:rsid w:val="004570C2"/>
    <w:rsid w:val="0045734E"/>
    <w:rsid w:val="004608A5"/>
    <w:rsid w:val="00460D77"/>
    <w:rsid w:val="00462834"/>
    <w:rsid w:val="004633B4"/>
    <w:rsid w:val="004636D1"/>
    <w:rsid w:val="00463D17"/>
    <w:rsid w:val="004642EF"/>
    <w:rsid w:val="004649DC"/>
    <w:rsid w:val="00464E2E"/>
    <w:rsid w:val="004658D6"/>
    <w:rsid w:val="00466965"/>
    <w:rsid w:val="00466B01"/>
    <w:rsid w:val="004670A6"/>
    <w:rsid w:val="004678C6"/>
    <w:rsid w:val="00467B7E"/>
    <w:rsid w:val="004700C1"/>
    <w:rsid w:val="00470318"/>
    <w:rsid w:val="00470646"/>
    <w:rsid w:val="00471403"/>
    <w:rsid w:val="0047244C"/>
    <w:rsid w:val="00472601"/>
    <w:rsid w:val="00472D34"/>
    <w:rsid w:val="0047469E"/>
    <w:rsid w:val="004763DB"/>
    <w:rsid w:val="00476FA1"/>
    <w:rsid w:val="004771E0"/>
    <w:rsid w:val="00477592"/>
    <w:rsid w:val="004775C4"/>
    <w:rsid w:val="00480252"/>
    <w:rsid w:val="004802AB"/>
    <w:rsid w:val="00480521"/>
    <w:rsid w:val="00480618"/>
    <w:rsid w:val="00480668"/>
    <w:rsid w:val="00480DF4"/>
    <w:rsid w:val="004814B0"/>
    <w:rsid w:val="0048215A"/>
    <w:rsid w:val="00482345"/>
    <w:rsid w:val="00483288"/>
    <w:rsid w:val="00483ADA"/>
    <w:rsid w:val="00483E6B"/>
    <w:rsid w:val="00484EEA"/>
    <w:rsid w:val="00485810"/>
    <w:rsid w:val="0048587F"/>
    <w:rsid w:val="00485D86"/>
    <w:rsid w:val="00486960"/>
    <w:rsid w:val="00486F1C"/>
    <w:rsid w:val="00490B1B"/>
    <w:rsid w:val="00490D0A"/>
    <w:rsid w:val="00490E3C"/>
    <w:rsid w:val="00492726"/>
    <w:rsid w:val="00492EFA"/>
    <w:rsid w:val="004930EA"/>
    <w:rsid w:val="004933C2"/>
    <w:rsid w:val="00493FAF"/>
    <w:rsid w:val="0049419D"/>
    <w:rsid w:val="0049429F"/>
    <w:rsid w:val="00496BF7"/>
    <w:rsid w:val="004970D1"/>
    <w:rsid w:val="004A1870"/>
    <w:rsid w:val="004A18F0"/>
    <w:rsid w:val="004A2041"/>
    <w:rsid w:val="004A209B"/>
    <w:rsid w:val="004A3277"/>
    <w:rsid w:val="004A3AED"/>
    <w:rsid w:val="004A43B6"/>
    <w:rsid w:val="004A588D"/>
    <w:rsid w:val="004A59BE"/>
    <w:rsid w:val="004A6038"/>
    <w:rsid w:val="004A60F0"/>
    <w:rsid w:val="004A6F3B"/>
    <w:rsid w:val="004A7443"/>
    <w:rsid w:val="004B0C05"/>
    <w:rsid w:val="004B1721"/>
    <w:rsid w:val="004B2325"/>
    <w:rsid w:val="004B274F"/>
    <w:rsid w:val="004B37A8"/>
    <w:rsid w:val="004B3D55"/>
    <w:rsid w:val="004B44D0"/>
    <w:rsid w:val="004B4D35"/>
    <w:rsid w:val="004B4DFA"/>
    <w:rsid w:val="004B4E86"/>
    <w:rsid w:val="004B5290"/>
    <w:rsid w:val="004B5BA9"/>
    <w:rsid w:val="004B6196"/>
    <w:rsid w:val="004B7757"/>
    <w:rsid w:val="004B7A65"/>
    <w:rsid w:val="004C001A"/>
    <w:rsid w:val="004C0141"/>
    <w:rsid w:val="004C09B3"/>
    <w:rsid w:val="004C0F2D"/>
    <w:rsid w:val="004C161F"/>
    <w:rsid w:val="004C1C05"/>
    <w:rsid w:val="004C20D2"/>
    <w:rsid w:val="004C26F5"/>
    <w:rsid w:val="004C44D7"/>
    <w:rsid w:val="004C49D8"/>
    <w:rsid w:val="004C4B62"/>
    <w:rsid w:val="004C54C9"/>
    <w:rsid w:val="004C6315"/>
    <w:rsid w:val="004C76F5"/>
    <w:rsid w:val="004D06A0"/>
    <w:rsid w:val="004D077C"/>
    <w:rsid w:val="004D1133"/>
    <w:rsid w:val="004D15C1"/>
    <w:rsid w:val="004D1C5E"/>
    <w:rsid w:val="004D50A9"/>
    <w:rsid w:val="004D59D8"/>
    <w:rsid w:val="004D6025"/>
    <w:rsid w:val="004D6029"/>
    <w:rsid w:val="004D6654"/>
    <w:rsid w:val="004D7915"/>
    <w:rsid w:val="004E01F7"/>
    <w:rsid w:val="004E0231"/>
    <w:rsid w:val="004E0278"/>
    <w:rsid w:val="004E063A"/>
    <w:rsid w:val="004E09F9"/>
    <w:rsid w:val="004E0E5F"/>
    <w:rsid w:val="004E1597"/>
    <w:rsid w:val="004E1F36"/>
    <w:rsid w:val="004E21A3"/>
    <w:rsid w:val="004E221E"/>
    <w:rsid w:val="004E2649"/>
    <w:rsid w:val="004E311E"/>
    <w:rsid w:val="004E3B56"/>
    <w:rsid w:val="004E3B65"/>
    <w:rsid w:val="004E3BC5"/>
    <w:rsid w:val="004E4C33"/>
    <w:rsid w:val="004E532E"/>
    <w:rsid w:val="004E54F3"/>
    <w:rsid w:val="004E764B"/>
    <w:rsid w:val="004E799C"/>
    <w:rsid w:val="004E7DDA"/>
    <w:rsid w:val="004E7E99"/>
    <w:rsid w:val="004F049D"/>
    <w:rsid w:val="004F0A83"/>
    <w:rsid w:val="004F0CA7"/>
    <w:rsid w:val="004F21D4"/>
    <w:rsid w:val="004F3241"/>
    <w:rsid w:val="004F3545"/>
    <w:rsid w:val="004F43DE"/>
    <w:rsid w:val="004F4DEA"/>
    <w:rsid w:val="004F5079"/>
    <w:rsid w:val="004F7146"/>
    <w:rsid w:val="004F7568"/>
    <w:rsid w:val="005008B8"/>
    <w:rsid w:val="00500C97"/>
    <w:rsid w:val="0050135F"/>
    <w:rsid w:val="00501399"/>
    <w:rsid w:val="00501BAD"/>
    <w:rsid w:val="0050332B"/>
    <w:rsid w:val="005037BA"/>
    <w:rsid w:val="005038D5"/>
    <w:rsid w:val="00504218"/>
    <w:rsid w:val="005048CA"/>
    <w:rsid w:val="00504AF5"/>
    <w:rsid w:val="00505294"/>
    <w:rsid w:val="00505CA5"/>
    <w:rsid w:val="0050633D"/>
    <w:rsid w:val="00507BC4"/>
    <w:rsid w:val="00510AE9"/>
    <w:rsid w:val="005128BC"/>
    <w:rsid w:val="005128E4"/>
    <w:rsid w:val="005133DB"/>
    <w:rsid w:val="00514641"/>
    <w:rsid w:val="00515905"/>
    <w:rsid w:val="00516878"/>
    <w:rsid w:val="005202F6"/>
    <w:rsid w:val="005202FA"/>
    <w:rsid w:val="005219F5"/>
    <w:rsid w:val="00522696"/>
    <w:rsid w:val="00522708"/>
    <w:rsid w:val="00522716"/>
    <w:rsid w:val="005230BD"/>
    <w:rsid w:val="00523110"/>
    <w:rsid w:val="005235E9"/>
    <w:rsid w:val="0052524E"/>
    <w:rsid w:val="00525560"/>
    <w:rsid w:val="00525EAE"/>
    <w:rsid w:val="00526497"/>
    <w:rsid w:val="00527A57"/>
    <w:rsid w:val="005316A2"/>
    <w:rsid w:val="00531A90"/>
    <w:rsid w:val="00532604"/>
    <w:rsid w:val="00532A47"/>
    <w:rsid w:val="005334A4"/>
    <w:rsid w:val="00533FFB"/>
    <w:rsid w:val="00535582"/>
    <w:rsid w:val="00535DAA"/>
    <w:rsid w:val="0053600B"/>
    <w:rsid w:val="00536B02"/>
    <w:rsid w:val="00536F65"/>
    <w:rsid w:val="00536F72"/>
    <w:rsid w:val="0053741A"/>
    <w:rsid w:val="00537490"/>
    <w:rsid w:val="005376E8"/>
    <w:rsid w:val="005403F8"/>
    <w:rsid w:val="00540A0F"/>
    <w:rsid w:val="005412D8"/>
    <w:rsid w:val="005413B9"/>
    <w:rsid w:val="0054199F"/>
    <w:rsid w:val="00541C39"/>
    <w:rsid w:val="00541CA3"/>
    <w:rsid w:val="00541CB4"/>
    <w:rsid w:val="00541FD6"/>
    <w:rsid w:val="0054313C"/>
    <w:rsid w:val="00543264"/>
    <w:rsid w:val="0054467F"/>
    <w:rsid w:val="00544B43"/>
    <w:rsid w:val="00544C49"/>
    <w:rsid w:val="00545DBA"/>
    <w:rsid w:val="00546DB3"/>
    <w:rsid w:val="00547D7F"/>
    <w:rsid w:val="00550E98"/>
    <w:rsid w:val="00550FA2"/>
    <w:rsid w:val="0055101A"/>
    <w:rsid w:val="005516A1"/>
    <w:rsid w:val="00552CCA"/>
    <w:rsid w:val="00555014"/>
    <w:rsid w:val="0055632C"/>
    <w:rsid w:val="00556B6F"/>
    <w:rsid w:val="00556EA5"/>
    <w:rsid w:val="00560E8A"/>
    <w:rsid w:val="005614B1"/>
    <w:rsid w:val="00561535"/>
    <w:rsid w:val="00561EBD"/>
    <w:rsid w:val="00563006"/>
    <w:rsid w:val="00563724"/>
    <w:rsid w:val="005639B9"/>
    <w:rsid w:val="00564960"/>
    <w:rsid w:val="00565D42"/>
    <w:rsid w:val="00565EAA"/>
    <w:rsid w:val="0056633D"/>
    <w:rsid w:val="005702D4"/>
    <w:rsid w:val="005719AB"/>
    <w:rsid w:val="00572E77"/>
    <w:rsid w:val="005731B1"/>
    <w:rsid w:val="0057402A"/>
    <w:rsid w:val="0057466A"/>
    <w:rsid w:val="00575285"/>
    <w:rsid w:val="005760CA"/>
    <w:rsid w:val="005771D0"/>
    <w:rsid w:val="0058049E"/>
    <w:rsid w:val="005806D4"/>
    <w:rsid w:val="00580850"/>
    <w:rsid w:val="00581B90"/>
    <w:rsid w:val="0058290F"/>
    <w:rsid w:val="00582E43"/>
    <w:rsid w:val="005830C2"/>
    <w:rsid w:val="00584213"/>
    <w:rsid w:val="0058424D"/>
    <w:rsid w:val="005842FE"/>
    <w:rsid w:val="00584E25"/>
    <w:rsid w:val="0058539F"/>
    <w:rsid w:val="00587815"/>
    <w:rsid w:val="00587818"/>
    <w:rsid w:val="0059113D"/>
    <w:rsid w:val="0059191A"/>
    <w:rsid w:val="00591A95"/>
    <w:rsid w:val="005921FF"/>
    <w:rsid w:val="005922DC"/>
    <w:rsid w:val="00592AB7"/>
    <w:rsid w:val="005931BE"/>
    <w:rsid w:val="005934DE"/>
    <w:rsid w:val="00594411"/>
    <w:rsid w:val="00596831"/>
    <w:rsid w:val="00597282"/>
    <w:rsid w:val="005979A0"/>
    <w:rsid w:val="005A0195"/>
    <w:rsid w:val="005A07B9"/>
    <w:rsid w:val="005A15BE"/>
    <w:rsid w:val="005A1B2A"/>
    <w:rsid w:val="005A1EAE"/>
    <w:rsid w:val="005A2188"/>
    <w:rsid w:val="005A2EFD"/>
    <w:rsid w:val="005A3067"/>
    <w:rsid w:val="005A3A9A"/>
    <w:rsid w:val="005A46C8"/>
    <w:rsid w:val="005A4E8F"/>
    <w:rsid w:val="005A5CFB"/>
    <w:rsid w:val="005A5FB1"/>
    <w:rsid w:val="005A6029"/>
    <w:rsid w:val="005A6105"/>
    <w:rsid w:val="005A6612"/>
    <w:rsid w:val="005A6A9E"/>
    <w:rsid w:val="005A6D0E"/>
    <w:rsid w:val="005A73BB"/>
    <w:rsid w:val="005A73CB"/>
    <w:rsid w:val="005B0780"/>
    <w:rsid w:val="005B0B39"/>
    <w:rsid w:val="005B0CD1"/>
    <w:rsid w:val="005B0FC8"/>
    <w:rsid w:val="005B112D"/>
    <w:rsid w:val="005B19EB"/>
    <w:rsid w:val="005B1EF5"/>
    <w:rsid w:val="005B217C"/>
    <w:rsid w:val="005B26C5"/>
    <w:rsid w:val="005B3B8D"/>
    <w:rsid w:val="005B4492"/>
    <w:rsid w:val="005B45BC"/>
    <w:rsid w:val="005B47D1"/>
    <w:rsid w:val="005B4A76"/>
    <w:rsid w:val="005B4C94"/>
    <w:rsid w:val="005B5087"/>
    <w:rsid w:val="005B52B0"/>
    <w:rsid w:val="005B6176"/>
    <w:rsid w:val="005B6482"/>
    <w:rsid w:val="005B6806"/>
    <w:rsid w:val="005B722B"/>
    <w:rsid w:val="005B772F"/>
    <w:rsid w:val="005B7894"/>
    <w:rsid w:val="005B7AE4"/>
    <w:rsid w:val="005C0BAC"/>
    <w:rsid w:val="005C0D72"/>
    <w:rsid w:val="005C1302"/>
    <w:rsid w:val="005C2962"/>
    <w:rsid w:val="005C2FCA"/>
    <w:rsid w:val="005C4225"/>
    <w:rsid w:val="005C4C5E"/>
    <w:rsid w:val="005C5F05"/>
    <w:rsid w:val="005C6A29"/>
    <w:rsid w:val="005C6FE4"/>
    <w:rsid w:val="005C78CD"/>
    <w:rsid w:val="005C7C82"/>
    <w:rsid w:val="005D0447"/>
    <w:rsid w:val="005D0D3F"/>
    <w:rsid w:val="005D249D"/>
    <w:rsid w:val="005D2A3F"/>
    <w:rsid w:val="005D2E0D"/>
    <w:rsid w:val="005D3E4A"/>
    <w:rsid w:val="005D3E9D"/>
    <w:rsid w:val="005D4E50"/>
    <w:rsid w:val="005D5B8D"/>
    <w:rsid w:val="005D6623"/>
    <w:rsid w:val="005D6865"/>
    <w:rsid w:val="005E0E22"/>
    <w:rsid w:val="005E1469"/>
    <w:rsid w:val="005E1B53"/>
    <w:rsid w:val="005E2810"/>
    <w:rsid w:val="005E2C2F"/>
    <w:rsid w:val="005E2E0F"/>
    <w:rsid w:val="005E4E75"/>
    <w:rsid w:val="005E4FFE"/>
    <w:rsid w:val="005E5447"/>
    <w:rsid w:val="005E5606"/>
    <w:rsid w:val="005E5CEE"/>
    <w:rsid w:val="005E669E"/>
    <w:rsid w:val="005E79E4"/>
    <w:rsid w:val="005E7DB2"/>
    <w:rsid w:val="005E7DCA"/>
    <w:rsid w:val="005E7F78"/>
    <w:rsid w:val="005F0D34"/>
    <w:rsid w:val="005F0DAD"/>
    <w:rsid w:val="005F0F33"/>
    <w:rsid w:val="005F10F1"/>
    <w:rsid w:val="005F1293"/>
    <w:rsid w:val="005F1E2E"/>
    <w:rsid w:val="005F1F8B"/>
    <w:rsid w:val="005F35F6"/>
    <w:rsid w:val="005F3B57"/>
    <w:rsid w:val="005F45F6"/>
    <w:rsid w:val="005F4CF5"/>
    <w:rsid w:val="005F5293"/>
    <w:rsid w:val="005F6AF2"/>
    <w:rsid w:val="005F6EA6"/>
    <w:rsid w:val="005F6FDB"/>
    <w:rsid w:val="005F73A7"/>
    <w:rsid w:val="005F7905"/>
    <w:rsid w:val="005F7C3D"/>
    <w:rsid w:val="005F7FE2"/>
    <w:rsid w:val="006003F1"/>
    <w:rsid w:val="00600A90"/>
    <w:rsid w:val="00600DEB"/>
    <w:rsid w:val="00601FB9"/>
    <w:rsid w:val="00602DE7"/>
    <w:rsid w:val="006041FB"/>
    <w:rsid w:val="00604D63"/>
    <w:rsid w:val="00605762"/>
    <w:rsid w:val="00605BD2"/>
    <w:rsid w:val="00607EE2"/>
    <w:rsid w:val="006110EB"/>
    <w:rsid w:val="00611FAF"/>
    <w:rsid w:val="00613AFF"/>
    <w:rsid w:val="00614D7D"/>
    <w:rsid w:val="00614EFA"/>
    <w:rsid w:val="006151DD"/>
    <w:rsid w:val="00615DD8"/>
    <w:rsid w:val="00620344"/>
    <w:rsid w:val="00621159"/>
    <w:rsid w:val="00621689"/>
    <w:rsid w:val="006217A6"/>
    <w:rsid w:val="00623922"/>
    <w:rsid w:val="00623B9D"/>
    <w:rsid w:val="00625038"/>
    <w:rsid w:val="006252EB"/>
    <w:rsid w:val="00625EC3"/>
    <w:rsid w:val="00626655"/>
    <w:rsid w:val="00626897"/>
    <w:rsid w:val="00626C70"/>
    <w:rsid w:val="00627C9F"/>
    <w:rsid w:val="006311E9"/>
    <w:rsid w:val="00631339"/>
    <w:rsid w:val="00631402"/>
    <w:rsid w:val="00631459"/>
    <w:rsid w:val="00632354"/>
    <w:rsid w:val="00632D9B"/>
    <w:rsid w:val="00633410"/>
    <w:rsid w:val="00635307"/>
    <w:rsid w:val="006357CE"/>
    <w:rsid w:val="0063685A"/>
    <w:rsid w:val="0063724D"/>
    <w:rsid w:val="0063790D"/>
    <w:rsid w:val="00637DF7"/>
    <w:rsid w:val="0064066E"/>
    <w:rsid w:val="00641BCF"/>
    <w:rsid w:val="006420F0"/>
    <w:rsid w:val="00642810"/>
    <w:rsid w:val="00642C6F"/>
    <w:rsid w:val="00644D46"/>
    <w:rsid w:val="00644F39"/>
    <w:rsid w:val="0064503D"/>
    <w:rsid w:val="00646739"/>
    <w:rsid w:val="00647B4B"/>
    <w:rsid w:val="00647F33"/>
    <w:rsid w:val="00647F5D"/>
    <w:rsid w:val="0065081B"/>
    <w:rsid w:val="006508D8"/>
    <w:rsid w:val="00650BE7"/>
    <w:rsid w:val="00650CC4"/>
    <w:rsid w:val="00651FCD"/>
    <w:rsid w:val="00652333"/>
    <w:rsid w:val="006536C5"/>
    <w:rsid w:val="006538EE"/>
    <w:rsid w:val="00654D55"/>
    <w:rsid w:val="00654F3A"/>
    <w:rsid w:val="00655179"/>
    <w:rsid w:val="00655954"/>
    <w:rsid w:val="00655CB3"/>
    <w:rsid w:val="00656748"/>
    <w:rsid w:val="006577DA"/>
    <w:rsid w:val="006600AD"/>
    <w:rsid w:val="00660DA7"/>
    <w:rsid w:val="00661ACB"/>
    <w:rsid w:val="00661BA6"/>
    <w:rsid w:val="00662D47"/>
    <w:rsid w:val="00665E73"/>
    <w:rsid w:val="006660F4"/>
    <w:rsid w:val="00666405"/>
    <w:rsid w:val="00666DE9"/>
    <w:rsid w:val="006670C6"/>
    <w:rsid w:val="00667B88"/>
    <w:rsid w:val="00670147"/>
    <w:rsid w:val="00670637"/>
    <w:rsid w:val="006712FC"/>
    <w:rsid w:val="0067131F"/>
    <w:rsid w:val="0067197C"/>
    <w:rsid w:val="00672C6C"/>
    <w:rsid w:val="006747A6"/>
    <w:rsid w:val="006748B7"/>
    <w:rsid w:val="00675914"/>
    <w:rsid w:val="00675ECD"/>
    <w:rsid w:val="00676AE4"/>
    <w:rsid w:val="006774D6"/>
    <w:rsid w:val="0068009E"/>
    <w:rsid w:val="00680608"/>
    <w:rsid w:val="0068108E"/>
    <w:rsid w:val="00681424"/>
    <w:rsid w:val="00681A79"/>
    <w:rsid w:val="00681D41"/>
    <w:rsid w:val="00682342"/>
    <w:rsid w:val="006826CB"/>
    <w:rsid w:val="00683C71"/>
    <w:rsid w:val="00684157"/>
    <w:rsid w:val="00684E61"/>
    <w:rsid w:val="0068571C"/>
    <w:rsid w:val="00685DF6"/>
    <w:rsid w:val="00687404"/>
    <w:rsid w:val="006902CA"/>
    <w:rsid w:val="00691149"/>
    <w:rsid w:val="00691295"/>
    <w:rsid w:val="006913AA"/>
    <w:rsid w:val="006919E0"/>
    <w:rsid w:val="0069217B"/>
    <w:rsid w:val="00692219"/>
    <w:rsid w:val="00693618"/>
    <w:rsid w:val="0069395C"/>
    <w:rsid w:val="00694937"/>
    <w:rsid w:val="006955FA"/>
    <w:rsid w:val="0069564D"/>
    <w:rsid w:val="00695A8D"/>
    <w:rsid w:val="00695B7B"/>
    <w:rsid w:val="00696264"/>
    <w:rsid w:val="006965DA"/>
    <w:rsid w:val="00696855"/>
    <w:rsid w:val="006A01C4"/>
    <w:rsid w:val="006A0295"/>
    <w:rsid w:val="006A077B"/>
    <w:rsid w:val="006A08D3"/>
    <w:rsid w:val="006A0D1E"/>
    <w:rsid w:val="006A17D2"/>
    <w:rsid w:val="006A1A03"/>
    <w:rsid w:val="006A1C38"/>
    <w:rsid w:val="006A1D4E"/>
    <w:rsid w:val="006A2789"/>
    <w:rsid w:val="006A2B52"/>
    <w:rsid w:val="006A30C8"/>
    <w:rsid w:val="006A3163"/>
    <w:rsid w:val="006A34D5"/>
    <w:rsid w:val="006A4774"/>
    <w:rsid w:val="006A47BB"/>
    <w:rsid w:val="006A4804"/>
    <w:rsid w:val="006A5197"/>
    <w:rsid w:val="006A6275"/>
    <w:rsid w:val="006A6F12"/>
    <w:rsid w:val="006A73E6"/>
    <w:rsid w:val="006A7DE0"/>
    <w:rsid w:val="006A7F78"/>
    <w:rsid w:val="006B0809"/>
    <w:rsid w:val="006B0F6E"/>
    <w:rsid w:val="006B0FC8"/>
    <w:rsid w:val="006B12C2"/>
    <w:rsid w:val="006B1712"/>
    <w:rsid w:val="006B25EE"/>
    <w:rsid w:val="006B2A19"/>
    <w:rsid w:val="006B2D22"/>
    <w:rsid w:val="006B2D5C"/>
    <w:rsid w:val="006B3977"/>
    <w:rsid w:val="006B3D01"/>
    <w:rsid w:val="006B43D8"/>
    <w:rsid w:val="006B4917"/>
    <w:rsid w:val="006B56D2"/>
    <w:rsid w:val="006B6767"/>
    <w:rsid w:val="006B7B96"/>
    <w:rsid w:val="006C040E"/>
    <w:rsid w:val="006C17EA"/>
    <w:rsid w:val="006C1E15"/>
    <w:rsid w:val="006C246E"/>
    <w:rsid w:val="006C34C4"/>
    <w:rsid w:val="006C476B"/>
    <w:rsid w:val="006C4933"/>
    <w:rsid w:val="006C4BBE"/>
    <w:rsid w:val="006C4CD5"/>
    <w:rsid w:val="006C4CFE"/>
    <w:rsid w:val="006C4EB1"/>
    <w:rsid w:val="006C58FA"/>
    <w:rsid w:val="006C61D4"/>
    <w:rsid w:val="006C6E89"/>
    <w:rsid w:val="006C6FDD"/>
    <w:rsid w:val="006C7F6C"/>
    <w:rsid w:val="006D0CA2"/>
    <w:rsid w:val="006D1A64"/>
    <w:rsid w:val="006D1FF4"/>
    <w:rsid w:val="006D2747"/>
    <w:rsid w:val="006D3546"/>
    <w:rsid w:val="006D38E5"/>
    <w:rsid w:val="006D3CDA"/>
    <w:rsid w:val="006D3D82"/>
    <w:rsid w:val="006D400A"/>
    <w:rsid w:val="006D5AC1"/>
    <w:rsid w:val="006D74C3"/>
    <w:rsid w:val="006D767B"/>
    <w:rsid w:val="006D7AF8"/>
    <w:rsid w:val="006E0166"/>
    <w:rsid w:val="006E0457"/>
    <w:rsid w:val="006E05D5"/>
    <w:rsid w:val="006E1A11"/>
    <w:rsid w:val="006E1A52"/>
    <w:rsid w:val="006E1B7A"/>
    <w:rsid w:val="006E1ECE"/>
    <w:rsid w:val="006E2D94"/>
    <w:rsid w:val="006E36F2"/>
    <w:rsid w:val="006E4220"/>
    <w:rsid w:val="006E4500"/>
    <w:rsid w:val="006E541F"/>
    <w:rsid w:val="006E62A8"/>
    <w:rsid w:val="006E6733"/>
    <w:rsid w:val="006E6A39"/>
    <w:rsid w:val="006E6E44"/>
    <w:rsid w:val="006E6E70"/>
    <w:rsid w:val="006E7B0D"/>
    <w:rsid w:val="006E7B34"/>
    <w:rsid w:val="006E7EFA"/>
    <w:rsid w:val="006F0110"/>
    <w:rsid w:val="006F06B2"/>
    <w:rsid w:val="006F0A74"/>
    <w:rsid w:val="006F135B"/>
    <w:rsid w:val="006F1970"/>
    <w:rsid w:val="006F26E4"/>
    <w:rsid w:val="006F295D"/>
    <w:rsid w:val="006F2C2F"/>
    <w:rsid w:val="006F3ED5"/>
    <w:rsid w:val="006F4847"/>
    <w:rsid w:val="006F4E8D"/>
    <w:rsid w:val="006F5275"/>
    <w:rsid w:val="006F5328"/>
    <w:rsid w:val="006F6B10"/>
    <w:rsid w:val="006F6F3C"/>
    <w:rsid w:val="00700149"/>
    <w:rsid w:val="0070015E"/>
    <w:rsid w:val="00700C31"/>
    <w:rsid w:val="00701320"/>
    <w:rsid w:val="007015BD"/>
    <w:rsid w:val="00701BA9"/>
    <w:rsid w:val="007029D7"/>
    <w:rsid w:val="007040A1"/>
    <w:rsid w:val="007053BE"/>
    <w:rsid w:val="00705749"/>
    <w:rsid w:val="00706581"/>
    <w:rsid w:val="0070697F"/>
    <w:rsid w:val="00707038"/>
    <w:rsid w:val="007071AC"/>
    <w:rsid w:val="00711192"/>
    <w:rsid w:val="007111BE"/>
    <w:rsid w:val="00711AA5"/>
    <w:rsid w:val="00711B0D"/>
    <w:rsid w:val="00713580"/>
    <w:rsid w:val="00713674"/>
    <w:rsid w:val="00713A1F"/>
    <w:rsid w:val="00713B50"/>
    <w:rsid w:val="00713BBB"/>
    <w:rsid w:val="00713BF6"/>
    <w:rsid w:val="00713EFF"/>
    <w:rsid w:val="00713F53"/>
    <w:rsid w:val="007145C3"/>
    <w:rsid w:val="007147AF"/>
    <w:rsid w:val="00714B3A"/>
    <w:rsid w:val="007158B2"/>
    <w:rsid w:val="00715F0E"/>
    <w:rsid w:val="0071652E"/>
    <w:rsid w:val="0071685F"/>
    <w:rsid w:val="00716A18"/>
    <w:rsid w:val="00716BE0"/>
    <w:rsid w:val="00717592"/>
    <w:rsid w:val="00717875"/>
    <w:rsid w:val="007178B7"/>
    <w:rsid w:val="00720312"/>
    <w:rsid w:val="00720402"/>
    <w:rsid w:val="007207C5"/>
    <w:rsid w:val="00721188"/>
    <w:rsid w:val="0072199C"/>
    <w:rsid w:val="00722BC1"/>
    <w:rsid w:val="00722C9F"/>
    <w:rsid w:val="007234EF"/>
    <w:rsid w:val="007250DA"/>
    <w:rsid w:val="007253B8"/>
    <w:rsid w:val="00725F07"/>
    <w:rsid w:val="007265C0"/>
    <w:rsid w:val="00731764"/>
    <w:rsid w:val="00731969"/>
    <w:rsid w:val="00731BEB"/>
    <w:rsid w:val="0073201F"/>
    <w:rsid w:val="00732600"/>
    <w:rsid w:val="007336E0"/>
    <w:rsid w:val="00733D47"/>
    <w:rsid w:val="00734DCA"/>
    <w:rsid w:val="007357D2"/>
    <w:rsid w:val="00735811"/>
    <w:rsid w:val="00735B2D"/>
    <w:rsid w:val="007364CA"/>
    <w:rsid w:val="0073741F"/>
    <w:rsid w:val="00740166"/>
    <w:rsid w:val="007407D8"/>
    <w:rsid w:val="00741694"/>
    <w:rsid w:val="007431A8"/>
    <w:rsid w:val="00744640"/>
    <w:rsid w:val="00745C58"/>
    <w:rsid w:val="00746299"/>
    <w:rsid w:val="007470B3"/>
    <w:rsid w:val="007473C3"/>
    <w:rsid w:val="0075132C"/>
    <w:rsid w:val="007527F1"/>
    <w:rsid w:val="007529C5"/>
    <w:rsid w:val="00752C67"/>
    <w:rsid w:val="007539FB"/>
    <w:rsid w:val="00754097"/>
    <w:rsid w:val="00754219"/>
    <w:rsid w:val="007555E8"/>
    <w:rsid w:val="007563BB"/>
    <w:rsid w:val="007565D7"/>
    <w:rsid w:val="007572D2"/>
    <w:rsid w:val="00757519"/>
    <w:rsid w:val="007577EE"/>
    <w:rsid w:val="0075781E"/>
    <w:rsid w:val="00757D1C"/>
    <w:rsid w:val="00760164"/>
    <w:rsid w:val="007615FE"/>
    <w:rsid w:val="00761860"/>
    <w:rsid w:val="00763140"/>
    <w:rsid w:val="00763402"/>
    <w:rsid w:val="00763968"/>
    <w:rsid w:val="00764263"/>
    <w:rsid w:val="00764469"/>
    <w:rsid w:val="007644B8"/>
    <w:rsid w:val="00764A06"/>
    <w:rsid w:val="00765748"/>
    <w:rsid w:val="00765E5D"/>
    <w:rsid w:val="0076643F"/>
    <w:rsid w:val="00766BDA"/>
    <w:rsid w:val="00766ED0"/>
    <w:rsid w:val="00771FDD"/>
    <w:rsid w:val="007722D3"/>
    <w:rsid w:val="00772FAE"/>
    <w:rsid w:val="00772FF5"/>
    <w:rsid w:val="0077369B"/>
    <w:rsid w:val="00773A2F"/>
    <w:rsid w:val="00773B57"/>
    <w:rsid w:val="00774C12"/>
    <w:rsid w:val="00774E46"/>
    <w:rsid w:val="00775122"/>
    <w:rsid w:val="00775321"/>
    <w:rsid w:val="0077574B"/>
    <w:rsid w:val="00775FD2"/>
    <w:rsid w:val="00776F3D"/>
    <w:rsid w:val="00777F63"/>
    <w:rsid w:val="00781102"/>
    <w:rsid w:val="007813B6"/>
    <w:rsid w:val="0078217F"/>
    <w:rsid w:val="00782507"/>
    <w:rsid w:val="00782D23"/>
    <w:rsid w:val="0078319B"/>
    <w:rsid w:val="00783C00"/>
    <w:rsid w:val="00784521"/>
    <w:rsid w:val="00784C23"/>
    <w:rsid w:val="00785E98"/>
    <w:rsid w:val="00785FBA"/>
    <w:rsid w:val="00786BF9"/>
    <w:rsid w:val="007871FB"/>
    <w:rsid w:val="0078776A"/>
    <w:rsid w:val="00787F1E"/>
    <w:rsid w:val="00790D16"/>
    <w:rsid w:val="00791108"/>
    <w:rsid w:val="00791460"/>
    <w:rsid w:val="00791637"/>
    <w:rsid w:val="00791D74"/>
    <w:rsid w:val="00792816"/>
    <w:rsid w:val="0079299B"/>
    <w:rsid w:val="0079334A"/>
    <w:rsid w:val="007933BC"/>
    <w:rsid w:val="0079348D"/>
    <w:rsid w:val="00793B6B"/>
    <w:rsid w:val="00794732"/>
    <w:rsid w:val="00796286"/>
    <w:rsid w:val="0079647E"/>
    <w:rsid w:val="007967A5"/>
    <w:rsid w:val="00797B8A"/>
    <w:rsid w:val="007A165B"/>
    <w:rsid w:val="007A1C32"/>
    <w:rsid w:val="007A1EB1"/>
    <w:rsid w:val="007A2FD7"/>
    <w:rsid w:val="007A5817"/>
    <w:rsid w:val="007A5BCE"/>
    <w:rsid w:val="007A5DD9"/>
    <w:rsid w:val="007A6424"/>
    <w:rsid w:val="007A68CF"/>
    <w:rsid w:val="007A75C5"/>
    <w:rsid w:val="007A7C3B"/>
    <w:rsid w:val="007B01A4"/>
    <w:rsid w:val="007B02BE"/>
    <w:rsid w:val="007B103C"/>
    <w:rsid w:val="007B1090"/>
    <w:rsid w:val="007B141C"/>
    <w:rsid w:val="007B162B"/>
    <w:rsid w:val="007B1B0D"/>
    <w:rsid w:val="007B2CC4"/>
    <w:rsid w:val="007B2EB9"/>
    <w:rsid w:val="007B4149"/>
    <w:rsid w:val="007B4E2E"/>
    <w:rsid w:val="007B60E9"/>
    <w:rsid w:val="007B681D"/>
    <w:rsid w:val="007B688A"/>
    <w:rsid w:val="007B6CC3"/>
    <w:rsid w:val="007B70B6"/>
    <w:rsid w:val="007B7886"/>
    <w:rsid w:val="007C0070"/>
    <w:rsid w:val="007C0869"/>
    <w:rsid w:val="007C1710"/>
    <w:rsid w:val="007C172A"/>
    <w:rsid w:val="007C2B8C"/>
    <w:rsid w:val="007C3334"/>
    <w:rsid w:val="007C3DFC"/>
    <w:rsid w:val="007C5AE2"/>
    <w:rsid w:val="007C626E"/>
    <w:rsid w:val="007C655E"/>
    <w:rsid w:val="007C6AAA"/>
    <w:rsid w:val="007C7477"/>
    <w:rsid w:val="007C748F"/>
    <w:rsid w:val="007C7975"/>
    <w:rsid w:val="007D1AFC"/>
    <w:rsid w:val="007D1D43"/>
    <w:rsid w:val="007D1E61"/>
    <w:rsid w:val="007D208A"/>
    <w:rsid w:val="007D286D"/>
    <w:rsid w:val="007D2B98"/>
    <w:rsid w:val="007D3A09"/>
    <w:rsid w:val="007D3D5C"/>
    <w:rsid w:val="007D4D3F"/>
    <w:rsid w:val="007D52EE"/>
    <w:rsid w:val="007D542C"/>
    <w:rsid w:val="007E047A"/>
    <w:rsid w:val="007E1669"/>
    <w:rsid w:val="007E198E"/>
    <w:rsid w:val="007E21BC"/>
    <w:rsid w:val="007E25B6"/>
    <w:rsid w:val="007E2CBB"/>
    <w:rsid w:val="007E2DA4"/>
    <w:rsid w:val="007E2E80"/>
    <w:rsid w:val="007E33CB"/>
    <w:rsid w:val="007E4308"/>
    <w:rsid w:val="007E4856"/>
    <w:rsid w:val="007E508A"/>
    <w:rsid w:val="007E50EA"/>
    <w:rsid w:val="007E5823"/>
    <w:rsid w:val="007E5B7D"/>
    <w:rsid w:val="007E60BE"/>
    <w:rsid w:val="007E666C"/>
    <w:rsid w:val="007E782D"/>
    <w:rsid w:val="007E7D41"/>
    <w:rsid w:val="007E7DA6"/>
    <w:rsid w:val="007F09C4"/>
    <w:rsid w:val="007F3449"/>
    <w:rsid w:val="007F3519"/>
    <w:rsid w:val="007F5961"/>
    <w:rsid w:val="007F5B89"/>
    <w:rsid w:val="007F618C"/>
    <w:rsid w:val="007F6673"/>
    <w:rsid w:val="007F6EF2"/>
    <w:rsid w:val="007F7269"/>
    <w:rsid w:val="007F74E4"/>
    <w:rsid w:val="007F75AD"/>
    <w:rsid w:val="007F767F"/>
    <w:rsid w:val="007F7841"/>
    <w:rsid w:val="0080071E"/>
    <w:rsid w:val="00800E74"/>
    <w:rsid w:val="0080120D"/>
    <w:rsid w:val="00801453"/>
    <w:rsid w:val="00801F7E"/>
    <w:rsid w:val="00802631"/>
    <w:rsid w:val="0080265B"/>
    <w:rsid w:val="00803F1C"/>
    <w:rsid w:val="008041DB"/>
    <w:rsid w:val="008042D7"/>
    <w:rsid w:val="00804B0A"/>
    <w:rsid w:val="00804E51"/>
    <w:rsid w:val="00804F03"/>
    <w:rsid w:val="008056E2"/>
    <w:rsid w:val="00805DEC"/>
    <w:rsid w:val="00805E8D"/>
    <w:rsid w:val="0080600E"/>
    <w:rsid w:val="00807CA4"/>
    <w:rsid w:val="008103C1"/>
    <w:rsid w:val="008106F4"/>
    <w:rsid w:val="00810F85"/>
    <w:rsid w:val="00813477"/>
    <w:rsid w:val="00814232"/>
    <w:rsid w:val="008144B3"/>
    <w:rsid w:val="008171B2"/>
    <w:rsid w:val="00817305"/>
    <w:rsid w:val="00817612"/>
    <w:rsid w:val="008176EC"/>
    <w:rsid w:val="00820107"/>
    <w:rsid w:val="00820114"/>
    <w:rsid w:val="00821CB5"/>
    <w:rsid w:val="00821FB1"/>
    <w:rsid w:val="00821FED"/>
    <w:rsid w:val="0082228A"/>
    <w:rsid w:val="00823395"/>
    <w:rsid w:val="008237AB"/>
    <w:rsid w:val="00824926"/>
    <w:rsid w:val="00824AED"/>
    <w:rsid w:val="008300E7"/>
    <w:rsid w:val="008301D0"/>
    <w:rsid w:val="00831155"/>
    <w:rsid w:val="00831220"/>
    <w:rsid w:val="00832008"/>
    <w:rsid w:val="00832A8C"/>
    <w:rsid w:val="008338A4"/>
    <w:rsid w:val="008343AD"/>
    <w:rsid w:val="0083451C"/>
    <w:rsid w:val="00834FA5"/>
    <w:rsid w:val="00835059"/>
    <w:rsid w:val="00835232"/>
    <w:rsid w:val="008354CC"/>
    <w:rsid w:val="00835674"/>
    <w:rsid w:val="00836736"/>
    <w:rsid w:val="00836994"/>
    <w:rsid w:val="0083742D"/>
    <w:rsid w:val="00837C45"/>
    <w:rsid w:val="00840EA6"/>
    <w:rsid w:val="00840F0B"/>
    <w:rsid w:val="00840F11"/>
    <w:rsid w:val="00841597"/>
    <w:rsid w:val="00841F2C"/>
    <w:rsid w:val="0084205C"/>
    <w:rsid w:val="0084264C"/>
    <w:rsid w:val="0084266C"/>
    <w:rsid w:val="00842776"/>
    <w:rsid w:val="00844730"/>
    <w:rsid w:val="00844E76"/>
    <w:rsid w:val="00844FCD"/>
    <w:rsid w:val="008456D9"/>
    <w:rsid w:val="008457C2"/>
    <w:rsid w:val="00845AA4"/>
    <w:rsid w:val="008463C3"/>
    <w:rsid w:val="00846BE9"/>
    <w:rsid w:val="00847102"/>
    <w:rsid w:val="00847608"/>
    <w:rsid w:val="00847ACD"/>
    <w:rsid w:val="00847CE5"/>
    <w:rsid w:val="00851EFB"/>
    <w:rsid w:val="00852475"/>
    <w:rsid w:val="008527FC"/>
    <w:rsid w:val="00852DC5"/>
    <w:rsid w:val="00852DEF"/>
    <w:rsid w:val="00854ADD"/>
    <w:rsid w:val="00854C01"/>
    <w:rsid w:val="00855453"/>
    <w:rsid w:val="00855AE6"/>
    <w:rsid w:val="00857A82"/>
    <w:rsid w:val="00860794"/>
    <w:rsid w:val="00861079"/>
    <w:rsid w:val="0086207D"/>
    <w:rsid w:val="008627AD"/>
    <w:rsid w:val="00862C50"/>
    <w:rsid w:val="008633FF"/>
    <w:rsid w:val="008636FE"/>
    <w:rsid w:val="008645D0"/>
    <w:rsid w:val="00864CE6"/>
    <w:rsid w:val="0086513E"/>
    <w:rsid w:val="008651FF"/>
    <w:rsid w:val="0086632D"/>
    <w:rsid w:val="0086633E"/>
    <w:rsid w:val="00867FE1"/>
    <w:rsid w:val="00870A08"/>
    <w:rsid w:val="00870C80"/>
    <w:rsid w:val="00870E84"/>
    <w:rsid w:val="00871168"/>
    <w:rsid w:val="008712C8"/>
    <w:rsid w:val="00872E3A"/>
    <w:rsid w:val="00873836"/>
    <w:rsid w:val="00873F9C"/>
    <w:rsid w:val="00877628"/>
    <w:rsid w:val="0087769B"/>
    <w:rsid w:val="00880DC9"/>
    <w:rsid w:val="0088158C"/>
    <w:rsid w:val="008817AB"/>
    <w:rsid w:val="008821B0"/>
    <w:rsid w:val="00882D8F"/>
    <w:rsid w:val="00883D8A"/>
    <w:rsid w:val="008852A5"/>
    <w:rsid w:val="00885737"/>
    <w:rsid w:val="00886524"/>
    <w:rsid w:val="00886BFF"/>
    <w:rsid w:val="0088723C"/>
    <w:rsid w:val="00887832"/>
    <w:rsid w:val="00887ECA"/>
    <w:rsid w:val="00890095"/>
    <w:rsid w:val="0089037B"/>
    <w:rsid w:val="00890650"/>
    <w:rsid w:val="00890823"/>
    <w:rsid w:val="00891BAE"/>
    <w:rsid w:val="008934DA"/>
    <w:rsid w:val="00895385"/>
    <w:rsid w:val="00895956"/>
    <w:rsid w:val="00895AF9"/>
    <w:rsid w:val="0089674D"/>
    <w:rsid w:val="008968F2"/>
    <w:rsid w:val="00896E69"/>
    <w:rsid w:val="008970D9"/>
    <w:rsid w:val="0089743E"/>
    <w:rsid w:val="0089776D"/>
    <w:rsid w:val="00897E12"/>
    <w:rsid w:val="008A1842"/>
    <w:rsid w:val="008A24F5"/>
    <w:rsid w:val="008A281E"/>
    <w:rsid w:val="008A373C"/>
    <w:rsid w:val="008A3E2A"/>
    <w:rsid w:val="008A4215"/>
    <w:rsid w:val="008A438C"/>
    <w:rsid w:val="008A4522"/>
    <w:rsid w:val="008A4602"/>
    <w:rsid w:val="008A4A2E"/>
    <w:rsid w:val="008A4E0A"/>
    <w:rsid w:val="008A66AA"/>
    <w:rsid w:val="008A690C"/>
    <w:rsid w:val="008A70C2"/>
    <w:rsid w:val="008A7E0F"/>
    <w:rsid w:val="008B036A"/>
    <w:rsid w:val="008B04C4"/>
    <w:rsid w:val="008B05BF"/>
    <w:rsid w:val="008B0E79"/>
    <w:rsid w:val="008B12F5"/>
    <w:rsid w:val="008B1F4E"/>
    <w:rsid w:val="008B24E1"/>
    <w:rsid w:val="008B25B9"/>
    <w:rsid w:val="008B2FF1"/>
    <w:rsid w:val="008B392F"/>
    <w:rsid w:val="008B3FB6"/>
    <w:rsid w:val="008B4055"/>
    <w:rsid w:val="008B4181"/>
    <w:rsid w:val="008B4393"/>
    <w:rsid w:val="008B45D3"/>
    <w:rsid w:val="008B477A"/>
    <w:rsid w:val="008B53AC"/>
    <w:rsid w:val="008B5AFB"/>
    <w:rsid w:val="008B6925"/>
    <w:rsid w:val="008B7A71"/>
    <w:rsid w:val="008C039F"/>
    <w:rsid w:val="008C0854"/>
    <w:rsid w:val="008C0B4A"/>
    <w:rsid w:val="008C0BF0"/>
    <w:rsid w:val="008C1801"/>
    <w:rsid w:val="008C23E1"/>
    <w:rsid w:val="008C24EB"/>
    <w:rsid w:val="008C25DE"/>
    <w:rsid w:val="008C31A0"/>
    <w:rsid w:val="008C38E4"/>
    <w:rsid w:val="008C3B14"/>
    <w:rsid w:val="008C3F7F"/>
    <w:rsid w:val="008C439A"/>
    <w:rsid w:val="008C43C7"/>
    <w:rsid w:val="008C5A53"/>
    <w:rsid w:val="008C5DDF"/>
    <w:rsid w:val="008C697E"/>
    <w:rsid w:val="008C6BA3"/>
    <w:rsid w:val="008C7915"/>
    <w:rsid w:val="008C7D0F"/>
    <w:rsid w:val="008D0F0D"/>
    <w:rsid w:val="008D18CE"/>
    <w:rsid w:val="008D1964"/>
    <w:rsid w:val="008D1B59"/>
    <w:rsid w:val="008D2787"/>
    <w:rsid w:val="008D2CBF"/>
    <w:rsid w:val="008D3285"/>
    <w:rsid w:val="008D424D"/>
    <w:rsid w:val="008D4797"/>
    <w:rsid w:val="008D52CD"/>
    <w:rsid w:val="008D534E"/>
    <w:rsid w:val="008D5891"/>
    <w:rsid w:val="008D605F"/>
    <w:rsid w:val="008D6A72"/>
    <w:rsid w:val="008D6BDE"/>
    <w:rsid w:val="008D733E"/>
    <w:rsid w:val="008D768D"/>
    <w:rsid w:val="008D7987"/>
    <w:rsid w:val="008E01CE"/>
    <w:rsid w:val="008E062C"/>
    <w:rsid w:val="008E0E77"/>
    <w:rsid w:val="008E2683"/>
    <w:rsid w:val="008E2A7E"/>
    <w:rsid w:val="008E2DB4"/>
    <w:rsid w:val="008E3293"/>
    <w:rsid w:val="008E34A8"/>
    <w:rsid w:val="008E3759"/>
    <w:rsid w:val="008E42A4"/>
    <w:rsid w:val="008E47BE"/>
    <w:rsid w:val="008E491E"/>
    <w:rsid w:val="008E4E4B"/>
    <w:rsid w:val="008E5087"/>
    <w:rsid w:val="008E6874"/>
    <w:rsid w:val="008E7103"/>
    <w:rsid w:val="008E7F1E"/>
    <w:rsid w:val="008F0751"/>
    <w:rsid w:val="008F0F58"/>
    <w:rsid w:val="008F1912"/>
    <w:rsid w:val="008F2390"/>
    <w:rsid w:val="008F24EA"/>
    <w:rsid w:val="008F2652"/>
    <w:rsid w:val="008F2A5B"/>
    <w:rsid w:val="008F3AA0"/>
    <w:rsid w:val="008F3FAF"/>
    <w:rsid w:val="008F420B"/>
    <w:rsid w:val="008F44FE"/>
    <w:rsid w:val="008F7640"/>
    <w:rsid w:val="008F7B39"/>
    <w:rsid w:val="0090000A"/>
    <w:rsid w:val="00900728"/>
    <w:rsid w:val="00901E95"/>
    <w:rsid w:val="0090270B"/>
    <w:rsid w:val="00902751"/>
    <w:rsid w:val="00903947"/>
    <w:rsid w:val="0090399F"/>
    <w:rsid w:val="009041DC"/>
    <w:rsid w:val="00904D0E"/>
    <w:rsid w:val="009062E1"/>
    <w:rsid w:val="00907095"/>
    <w:rsid w:val="0090761A"/>
    <w:rsid w:val="0091011E"/>
    <w:rsid w:val="00910AA5"/>
    <w:rsid w:val="0091148A"/>
    <w:rsid w:val="00911F4F"/>
    <w:rsid w:val="0091297C"/>
    <w:rsid w:val="00913125"/>
    <w:rsid w:val="00913522"/>
    <w:rsid w:val="00913BEC"/>
    <w:rsid w:val="00913C5C"/>
    <w:rsid w:val="0091525C"/>
    <w:rsid w:val="00916765"/>
    <w:rsid w:val="00917196"/>
    <w:rsid w:val="009177F0"/>
    <w:rsid w:val="00917905"/>
    <w:rsid w:val="00917B5A"/>
    <w:rsid w:val="00920A58"/>
    <w:rsid w:val="00920A77"/>
    <w:rsid w:val="00920A8C"/>
    <w:rsid w:val="00921590"/>
    <w:rsid w:val="0092195D"/>
    <w:rsid w:val="00921A39"/>
    <w:rsid w:val="009221A1"/>
    <w:rsid w:val="0092250F"/>
    <w:rsid w:val="00923815"/>
    <w:rsid w:val="00923CC3"/>
    <w:rsid w:val="00924644"/>
    <w:rsid w:val="00924DAB"/>
    <w:rsid w:val="009256DD"/>
    <w:rsid w:val="009264A8"/>
    <w:rsid w:val="00926FA8"/>
    <w:rsid w:val="00927E59"/>
    <w:rsid w:val="009309AC"/>
    <w:rsid w:val="00931168"/>
    <w:rsid w:val="00931294"/>
    <w:rsid w:val="009337FC"/>
    <w:rsid w:val="00933999"/>
    <w:rsid w:val="00934A2C"/>
    <w:rsid w:val="0093767D"/>
    <w:rsid w:val="00940FDE"/>
    <w:rsid w:val="00941073"/>
    <w:rsid w:val="00941F5D"/>
    <w:rsid w:val="00942424"/>
    <w:rsid w:val="00942425"/>
    <w:rsid w:val="0094270F"/>
    <w:rsid w:val="00942738"/>
    <w:rsid w:val="00942A89"/>
    <w:rsid w:val="00944D46"/>
    <w:rsid w:val="00945210"/>
    <w:rsid w:val="009458B2"/>
    <w:rsid w:val="00945A3A"/>
    <w:rsid w:val="00946133"/>
    <w:rsid w:val="0094635B"/>
    <w:rsid w:val="009464AE"/>
    <w:rsid w:val="00946642"/>
    <w:rsid w:val="00946A6F"/>
    <w:rsid w:val="00946CFE"/>
    <w:rsid w:val="0094743D"/>
    <w:rsid w:val="009474D6"/>
    <w:rsid w:val="009504A0"/>
    <w:rsid w:val="00950C19"/>
    <w:rsid w:val="00950FE2"/>
    <w:rsid w:val="00951388"/>
    <w:rsid w:val="009523C6"/>
    <w:rsid w:val="00952C42"/>
    <w:rsid w:val="00952C52"/>
    <w:rsid w:val="00952F32"/>
    <w:rsid w:val="009532B4"/>
    <w:rsid w:val="0095335E"/>
    <w:rsid w:val="009542DE"/>
    <w:rsid w:val="009556FD"/>
    <w:rsid w:val="009568DB"/>
    <w:rsid w:val="00960104"/>
    <w:rsid w:val="009606A3"/>
    <w:rsid w:val="0096239D"/>
    <w:rsid w:val="009623D1"/>
    <w:rsid w:val="0096277A"/>
    <w:rsid w:val="00962E56"/>
    <w:rsid w:val="009632A8"/>
    <w:rsid w:val="00963704"/>
    <w:rsid w:val="00964097"/>
    <w:rsid w:val="00964318"/>
    <w:rsid w:val="009643CF"/>
    <w:rsid w:val="00964AA8"/>
    <w:rsid w:val="009655FB"/>
    <w:rsid w:val="00965657"/>
    <w:rsid w:val="0096706E"/>
    <w:rsid w:val="009672E5"/>
    <w:rsid w:val="00967BDE"/>
    <w:rsid w:val="0097032A"/>
    <w:rsid w:val="00970A76"/>
    <w:rsid w:val="00970E7B"/>
    <w:rsid w:val="00970E90"/>
    <w:rsid w:val="009712E2"/>
    <w:rsid w:val="00971624"/>
    <w:rsid w:val="009721AC"/>
    <w:rsid w:val="00972E45"/>
    <w:rsid w:val="00973A2A"/>
    <w:rsid w:val="00973BC1"/>
    <w:rsid w:val="00973E5A"/>
    <w:rsid w:val="00973F09"/>
    <w:rsid w:val="0097436C"/>
    <w:rsid w:val="00974376"/>
    <w:rsid w:val="00974A49"/>
    <w:rsid w:val="0097536E"/>
    <w:rsid w:val="00975401"/>
    <w:rsid w:val="00975C4E"/>
    <w:rsid w:val="00976792"/>
    <w:rsid w:val="00976E8F"/>
    <w:rsid w:val="0097702A"/>
    <w:rsid w:val="00981BFE"/>
    <w:rsid w:val="00981F8C"/>
    <w:rsid w:val="00981FBA"/>
    <w:rsid w:val="009829B6"/>
    <w:rsid w:val="00982F74"/>
    <w:rsid w:val="0098469E"/>
    <w:rsid w:val="00984AD9"/>
    <w:rsid w:val="00984CA7"/>
    <w:rsid w:val="00985C09"/>
    <w:rsid w:val="0098754D"/>
    <w:rsid w:val="00987B7C"/>
    <w:rsid w:val="0099063F"/>
    <w:rsid w:val="00990C03"/>
    <w:rsid w:val="00991774"/>
    <w:rsid w:val="00991791"/>
    <w:rsid w:val="0099192E"/>
    <w:rsid w:val="00993B9C"/>
    <w:rsid w:val="00993D7F"/>
    <w:rsid w:val="00993FA0"/>
    <w:rsid w:val="009957F2"/>
    <w:rsid w:val="0099626D"/>
    <w:rsid w:val="00996E8A"/>
    <w:rsid w:val="00997BC5"/>
    <w:rsid w:val="00997D68"/>
    <w:rsid w:val="00997DB0"/>
    <w:rsid w:val="009A0FDB"/>
    <w:rsid w:val="009A10B1"/>
    <w:rsid w:val="009A1C2E"/>
    <w:rsid w:val="009A1F14"/>
    <w:rsid w:val="009A1F56"/>
    <w:rsid w:val="009A1F5C"/>
    <w:rsid w:val="009A259B"/>
    <w:rsid w:val="009A2B81"/>
    <w:rsid w:val="009A2BC4"/>
    <w:rsid w:val="009A2F02"/>
    <w:rsid w:val="009A39BE"/>
    <w:rsid w:val="009A414D"/>
    <w:rsid w:val="009A42CE"/>
    <w:rsid w:val="009A47F0"/>
    <w:rsid w:val="009A4D92"/>
    <w:rsid w:val="009A4F41"/>
    <w:rsid w:val="009A54EA"/>
    <w:rsid w:val="009A552C"/>
    <w:rsid w:val="009A56BC"/>
    <w:rsid w:val="009A5CC7"/>
    <w:rsid w:val="009A5F06"/>
    <w:rsid w:val="009A66E8"/>
    <w:rsid w:val="009A6AB8"/>
    <w:rsid w:val="009A6CA9"/>
    <w:rsid w:val="009A7DF3"/>
    <w:rsid w:val="009A7F71"/>
    <w:rsid w:val="009B04AE"/>
    <w:rsid w:val="009B090B"/>
    <w:rsid w:val="009B1B71"/>
    <w:rsid w:val="009B1DB8"/>
    <w:rsid w:val="009B2E24"/>
    <w:rsid w:val="009B2F1F"/>
    <w:rsid w:val="009B381B"/>
    <w:rsid w:val="009B4208"/>
    <w:rsid w:val="009B53BB"/>
    <w:rsid w:val="009B646B"/>
    <w:rsid w:val="009B66A7"/>
    <w:rsid w:val="009B6844"/>
    <w:rsid w:val="009B6A16"/>
    <w:rsid w:val="009B6CE9"/>
    <w:rsid w:val="009B7007"/>
    <w:rsid w:val="009B7205"/>
    <w:rsid w:val="009C03E7"/>
    <w:rsid w:val="009C0D6B"/>
    <w:rsid w:val="009C0F80"/>
    <w:rsid w:val="009C25F1"/>
    <w:rsid w:val="009C286B"/>
    <w:rsid w:val="009C2969"/>
    <w:rsid w:val="009C3A7F"/>
    <w:rsid w:val="009C42CF"/>
    <w:rsid w:val="009C5451"/>
    <w:rsid w:val="009C5E57"/>
    <w:rsid w:val="009C617A"/>
    <w:rsid w:val="009C61A8"/>
    <w:rsid w:val="009C72B1"/>
    <w:rsid w:val="009C7476"/>
    <w:rsid w:val="009D026D"/>
    <w:rsid w:val="009D02E9"/>
    <w:rsid w:val="009D09C6"/>
    <w:rsid w:val="009D0D1A"/>
    <w:rsid w:val="009D123F"/>
    <w:rsid w:val="009D13FF"/>
    <w:rsid w:val="009D14E7"/>
    <w:rsid w:val="009D1753"/>
    <w:rsid w:val="009D2581"/>
    <w:rsid w:val="009D2FC4"/>
    <w:rsid w:val="009D38E8"/>
    <w:rsid w:val="009D4D8C"/>
    <w:rsid w:val="009D54F2"/>
    <w:rsid w:val="009D6195"/>
    <w:rsid w:val="009D6644"/>
    <w:rsid w:val="009D69DC"/>
    <w:rsid w:val="009D7251"/>
    <w:rsid w:val="009D7611"/>
    <w:rsid w:val="009E051D"/>
    <w:rsid w:val="009E087A"/>
    <w:rsid w:val="009E0B61"/>
    <w:rsid w:val="009E14EB"/>
    <w:rsid w:val="009E4E6F"/>
    <w:rsid w:val="009E53DE"/>
    <w:rsid w:val="009E5B17"/>
    <w:rsid w:val="009E68D2"/>
    <w:rsid w:val="009E6F88"/>
    <w:rsid w:val="009E70F6"/>
    <w:rsid w:val="009E710C"/>
    <w:rsid w:val="009F0583"/>
    <w:rsid w:val="009F0754"/>
    <w:rsid w:val="009F0B9A"/>
    <w:rsid w:val="009F11A4"/>
    <w:rsid w:val="009F2A55"/>
    <w:rsid w:val="009F2CA6"/>
    <w:rsid w:val="009F3D9F"/>
    <w:rsid w:val="009F4B2F"/>
    <w:rsid w:val="009F60B9"/>
    <w:rsid w:val="009F6A07"/>
    <w:rsid w:val="009F6A37"/>
    <w:rsid w:val="009F7CE7"/>
    <w:rsid w:val="009F7ECB"/>
    <w:rsid w:val="00A0001D"/>
    <w:rsid w:val="00A0010B"/>
    <w:rsid w:val="00A00256"/>
    <w:rsid w:val="00A0029B"/>
    <w:rsid w:val="00A011F2"/>
    <w:rsid w:val="00A012E8"/>
    <w:rsid w:val="00A0172C"/>
    <w:rsid w:val="00A025A3"/>
    <w:rsid w:val="00A03C2D"/>
    <w:rsid w:val="00A03F88"/>
    <w:rsid w:val="00A040A7"/>
    <w:rsid w:val="00A04863"/>
    <w:rsid w:val="00A055E5"/>
    <w:rsid w:val="00A05D6B"/>
    <w:rsid w:val="00A06B9B"/>
    <w:rsid w:val="00A06C94"/>
    <w:rsid w:val="00A076EC"/>
    <w:rsid w:val="00A0772F"/>
    <w:rsid w:val="00A100C7"/>
    <w:rsid w:val="00A1213E"/>
    <w:rsid w:val="00A13CEA"/>
    <w:rsid w:val="00A13D0E"/>
    <w:rsid w:val="00A13F1C"/>
    <w:rsid w:val="00A141F5"/>
    <w:rsid w:val="00A15C1A"/>
    <w:rsid w:val="00A163CA"/>
    <w:rsid w:val="00A165CD"/>
    <w:rsid w:val="00A16958"/>
    <w:rsid w:val="00A16ADF"/>
    <w:rsid w:val="00A17214"/>
    <w:rsid w:val="00A17D49"/>
    <w:rsid w:val="00A20979"/>
    <w:rsid w:val="00A21B32"/>
    <w:rsid w:val="00A21E41"/>
    <w:rsid w:val="00A22263"/>
    <w:rsid w:val="00A229B0"/>
    <w:rsid w:val="00A22F29"/>
    <w:rsid w:val="00A2392E"/>
    <w:rsid w:val="00A2399E"/>
    <w:rsid w:val="00A24101"/>
    <w:rsid w:val="00A246E2"/>
    <w:rsid w:val="00A24CE5"/>
    <w:rsid w:val="00A24E7D"/>
    <w:rsid w:val="00A25BE3"/>
    <w:rsid w:val="00A25F0B"/>
    <w:rsid w:val="00A263CE"/>
    <w:rsid w:val="00A26A8B"/>
    <w:rsid w:val="00A27F89"/>
    <w:rsid w:val="00A30619"/>
    <w:rsid w:val="00A3080D"/>
    <w:rsid w:val="00A31081"/>
    <w:rsid w:val="00A31AD5"/>
    <w:rsid w:val="00A32527"/>
    <w:rsid w:val="00A3257B"/>
    <w:rsid w:val="00A328B3"/>
    <w:rsid w:val="00A32C66"/>
    <w:rsid w:val="00A33E1F"/>
    <w:rsid w:val="00A344D5"/>
    <w:rsid w:val="00A35225"/>
    <w:rsid w:val="00A35780"/>
    <w:rsid w:val="00A357C2"/>
    <w:rsid w:val="00A360FE"/>
    <w:rsid w:val="00A361A1"/>
    <w:rsid w:val="00A36717"/>
    <w:rsid w:val="00A3675E"/>
    <w:rsid w:val="00A36E0C"/>
    <w:rsid w:val="00A37BAC"/>
    <w:rsid w:val="00A403EE"/>
    <w:rsid w:val="00A4044F"/>
    <w:rsid w:val="00A405C4"/>
    <w:rsid w:val="00A412C1"/>
    <w:rsid w:val="00A42EE5"/>
    <w:rsid w:val="00A43DD3"/>
    <w:rsid w:val="00A44222"/>
    <w:rsid w:val="00A443AE"/>
    <w:rsid w:val="00A445CD"/>
    <w:rsid w:val="00A44AD8"/>
    <w:rsid w:val="00A44F24"/>
    <w:rsid w:val="00A46E7B"/>
    <w:rsid w:val="00A473BC"/>
    <w:rsid w:val="00A474A3"/>
    <w:rsid w:val="00A4799A"/>
    <w:rsid w:val="00A47A11"/>
    <w:rsid w:val="00A47B57"/>
    <w:rsid w:val="00A47F90"/>
    <w:rsid w:val="00A50C48"/>
    <w:rsid w:val="00A50FCF"/>
    <w:rsid w:val="00A51401"/>
    <w:rsid w:val="00A51570"/>
    <w:rsid w:val="00A528D1"/>
    <w:rsid w:val="00A52D71"/>
    <w:rsid w:val="00A54211"/>
    <w:rsid w:val="00A547F1"/>
    <w:rsid w:val="00A54974"/>
    <w:rsid w:val="00A54FB8"/>
    <w:rsid w:val="00A5524E"/>
    <w:rsid w:val="00A55F08"/>
    <w:rsid w:val="00A56064"/>
    <w:rsid w:val="00A56196"/>
    <w:rsid w:val="00A5695A"/>
    <w:rsid w:val="00A56BAC"/>
    <w:rsid w:val="00A600D9"/>
    <w:rsid w:val="00A6015F"/>
    <w:rsid w:val="00A605B1"/>
    <w:rsid w:val="00A60F16"/>
    <w:rsid w:val="00A61079"/>
    <w:rsid w:val="00A610CD"/>
    <w:rsid w:val="00A6162D"/>
    <w:rsid w:val="00A61733"/>
    <w:rsid w:val="00A62481"/>
    <w:rsid w:val="00A63A65"/>
    <w:rsid w:val="00A63CA9"/>
    <w:rsid w:val="00A6480D"/>
    <w:rsid w:val="00A65194"/>
    <w:rsid w:val="00A6559C"/>
    <w:rsid w:val="00A656B1"/>
    <w:rsid w:val="00A65C91"/>
    <w:rsid w:val="00A65D14"/>
    <w:rsid w:val="00A667B3"/>
    <w:rsid w:val="00A66ACE"/>
    <w:rsid w:val="00A67725"/>
    <w:rsid w:val="00A70B72"/>
    <w:rsid w:val="00A717EF"/>
    <w:rsid w:val="00A71B42"/>
    <w:rsid w:val="00A72455"/>
    <w:rsid w:val="00A72B47"/>
    <w:rsid w:val="00A73D11"/>
    <w:rsid w:val="00A74B3D"/>
    <w:rsid w:val="00A7518A"/>
    <w:rsid w:val="00A76B23"/>
    <w:rsid w:val="00A77121"/>
    <w:rsid w:val="00A800BC"/>
    <w:rsid w:val="00A815C8"/>
    <w:rsid w:val="00A81C17"/>
    <w:rsid w:val="00A81E14"/>
    <w:rsid w:val="00A82014"/>
    <w:rsid w:val="00A822D9"/>
    <w:rsid w:val="00A82EB0"/>
    <w:rsid w:val="00A833AE"/>
    <w:rsid w:val="00A83473"/>
    <w:rsid w:val="00A83560"/>
    <w:rsid w:val="00A836AC"/>
    <w:rsid w:val="00A84F76"/>
    <w:rsid w:val="00A85002"/>
    <w:rsid w:val="00A85449"/>
    <w:rsid w:val="00A85F06"/>
    <w:rsid w:val="00A86406"/>
    <w:rsid w:val="00A86A9F"/>
    <w:rsid w:val="00A871CB"/>
    <w:rsid w:val="00A87414"/>
    <w:rsid w:val="00A87A34"/>
    <w:rsid w:val="00A87ACD"/>
    <w:rsid w:val="00A902D6"/>
    <w:rsid w:val="00A9054A"/>
    <w:rsid w:val="00A90A1C"/>
    <w:rsid w:val="00A91E45"/>
    <w:rsid w:val="00A927F6"/>
    <w:rsid w:val="00A92E7B"/>
    <w:rsid w:val="00A939E6"/>
    <w:rsid w:val="00A950CC"/>
    <w:rsid w:val="00A956D6"/>
    <w:rsid w:val="00A957AD"/>
    <w:rsid w:val="00A9616F"/>
    <w:rsid w:val="00A96967"/>
    <w:rsid w:val="00A975E0"/>
    <w:rsid w:val="00A97F69"/>
    <w:rsid w:val="00A97FBA"/>
    <w:rsid w:val="00AA053E"/>
    <w:rsid w:val="00AA09A2"/>
    <w:rsid w:val="00AA0D3C"/>
    <w:rsid w:val="00AA136F"/>
    <w:rsid w:val="00AA1776"/>
    <w:rsid w:val="00AA1B15"/>
    <w:rsid w:val="00AA2114"/>
    <w:rsid w:val="00AA277C"/>
    <w:rsid w:val="00AA29E3"/>
    <w:rsid w:val="00AA2D14"/>
    <w:rsid w:val="00AA2D31"/>
    <w:rsid w:val="00AA2E1C"/>
    <w:rsid w:val="00AA2F69"/>
    <w:rsid w:val="00AA306F"/>
    <w:rsid w:val="00AA358F"/>
    <w:rsid w:val="00AA4860"/>
    <w:rsid w:val="00AA5A95"/>
    <w:rsid w:val="00AA6577"/>
    <w:rsid w:val="00AA678A"/>
    <w:rsid w:val="00AA69F0"/>
    <w:rsid w:val="00AA6B22"/>
    <w:rsid w:val="00AA6B69"/>
    <w:rsid w:val="00AA6FF4"/>
    <w:rsid w:val="00AA71FC"/>
    <w:rsid w:val="00AA73D7"/>
    <w:rsid w:val="00AA77D4"/>
    <w:rsid w:val="00AA77DD"/>
    <w:rsid w:val="00AA7996"/>
    <w:rsid w:val="00AA7FE2"/>
    <w:rsid w:val="00AB05D8"/>
    <w:rsid w:val="00AB1452"/>
    <w:rsid w:val="00AB1902"/>
    <w:rsid w:val="00AB1CA8"/>
    <w:rsid w:val="00AB1D6B"/>
    <w:rsid w:val="00AB2816"/>
    <w:rsid w:val="00AB4C88"/>
    <w:rsid w:val="00AB512B"/>
    <w:rsid w:val="00AB5244"/>
    <w:rsid w:val="00AB5748"/>
    <w:rsid w:val="00AB5A7D"/>
    <w:rsid w:val="00AB5D98"/>
    <w:rsid w:val="00AB656B"/>
    <w:rsid w:val="00AB66F4"/>
    <w:rsid w:val="00AB75D3"/>
    <w:rsid w:val="00AB7CEA"/>
    <w:rsid w:val="00AC014E"/>
    <w:rsid w:val="00AC0307"/>
    <w:rsid w:val="00AC0748"/>
    <w:rsid w:val="00AC0AAC"/>
    <w:rsid w:val="00AC0AD9"/>
    <w:rsid w:val="00AC0F07"/>
    <w:rsid w:val="00AC19CB"/>
    <w:rsid w:val="00AC1FBE"/>
    <w:rsid w:val="00AC258F"/>
    <w:rsid w:val="00AC288D"/>
    <w:rsid w:val="00AC2A11"/>
    <w:rsid w:val="00AC2B1C"/>
    <w:rsid w:val="00AC310A"/>
    <w:rsid w:val="00AC36D8"/>
    <w:rsid w:val="00AC3BD2"/>
    <w:rsid w:val="00AC4B69"/>
    <w:rsid w:val="00AC5A05"/>
    <w:rsid w:val="00AC68BF"/>
    <w:rsid w:val="00AC6F64"/>
    <w:rsid w:val="00AC72FA"/>
    <w:rsid w:val="00AC7754"/>
    <w:rsid w:val="00AC7B1A"/>
    <w:rsid w:val="00AD0007"/>
    <w:rsid w:val="00AD193C"/>
    <w:rsid w:val="00AD1973"/>
    <w:rsid w:val="00AD1A1E"/>
    <w:rsid w:val="00AD1E43"/>
    <w:rsid w:val="00AD27AC"/>
    <w:rsid w:val="00AD2C07"/>
    <w:rsid w:val="00AD4537"/>
    <w:rsid w:val="00AD5130"/>
    <w:rsid w:val="00AD539F"/>
    <w:rsid w:val="00AD5B86"/>
    <w:rsid w:val="00AD65FF"/>
    <w:rsid w:val="00AD7047"/>
    <w:rsid w:val="00AD7DD5"/>
    <w:rsid w:val="00AE0AE8"/>
    <w:rsid w:val="00AE1327"/>
    <w:rsid w:val="00AE2324"/>
    <w:rsid w:val="00AE3878"/>
    <w:rsid w:val="00AE394B"/>
    <w:rsid w:val="00AE4705"/>
    <w:rsid w:val="00AE4DA0"/>
    <w:rsid w:val="00AE5029"/>
    <w:rsid w:val="00AE5236"/>
    <w:rsid w:val="00AE5488"/>
    <w:rsid w:val="00AE5B4E"/>
    <w:rsid w:val="00AE61D2"/>
    <w:rsid w:val="00AE6D89"/>
    <w:rsid w:val="00AE6F91"/>
    <w:rsid w:val="00AE78BC"/>
    <w:rsid w:val="00AE79CA"/>
    <w:rsid w:val="00AF0124"/>
    <w:rsid w:val="00AF012A"/>
    <w:rsid w:val="00AF16ED"/>
    <w:rsid w:val="00AF1E8A"/>
    <w:rsid w:val="00AF2128"/>
    <w:rsid w:val="00AF28C8"/>
    <w:rsid w:val="00AF2D01"/>
    <w:rsid w:val="00AF4243"/>
    <w:rsid w:val="00AF5571"/>
    <w:rsid w:val="00AF5B3A"/>
    <w:rsid w:val="00AF60B1"/>
    <w:rsid w:val="00AF760F"/>
    <w:rsid w:val="00B007CD"/>
    <w:rsid w:val="00B00F48"/>
    <w:rsid w:val="00B01B48"/>
    <w:rsid w:val="00B024FF"/>
    <w:rsid w:val="00B0311C"/>
    <w:rsid w:val="00B0386E"/>
    <w:rsid w:val="00B03B0E"/>
    <w:rsid w:val="00B03C2A"/>
    <w:rsid w:val="00B04480"/>
    <w:rsid w:val="00B0498F"/>
    <w:rsid w:val="00B04A21"/>
    <w:rsid w:val="00B04A9C"/>
    <w:rsid w:val="00B05658"/>
    <w:rsid w:val="00B056A5"/>
    <w:rsid w:val="00B069F6"/>
    <w:rsid w:val="00B071E3"/>
    <w:rsid w:val="00B07341"/>
    <w:rsid w:val="00B07F80"/>
    <w:rsid w:val="00B104F6"/>
    <w:rsid w:val="00B109FD"/>
    <w:rsid w:val="00B11644"/>
    <w:rsid w:val="00B11D90"/>
    <w:rsid w:val="00B1233E"/>
    <w:rsid w:val="00B12F55"/>
    <w:rsid w:val="00B13E3A"/>
    <w:rsid w:val="00B146C5"/>
    <w:rsid w:val="00B1499D"/>
    <w:rsid w:val="00B14C98"/>
    <w:rsid w:val="00B14EDC"/>
    <w:rsid w:val="00B16340"/>
    <w:rsid w:val="00B166D1"/>
    <w:rsid w:val="00B16C9D"/>
    <w:rsid w:val="00B1776A"/>
    <w:rsid w:val="00B206D2"/>
    <w:rsid w:val="00B21188"/>
    <w:rsid w:val="00B21CB2"/>
    <w:rsid w:val="00B21FA7"/>
    <w:rsid w:val="00B232DF"/>
    <w:rsid w:val="00B2397B"/>
    <w:rsid w:val="00B24599"/>
    <w:rsid w:val="00B24750"/>
    <w:rsid w:val="00B25A09"/>
    <w:rsid w:val="00B25CEA"/>
    <w:rsid w:val="00B26361"/>
    <w:rsid w:val="00B2758F"/>
    <w:rsid w:val="00B30030"/>
    <w:rsid w:val="00B30539"/>
    <w:rsid w:val="00B314DB"/>
    <w:rsid w:val="00B324F7"/>
    <w:rsid w:val="00B32EF6"/>
    <w:rsid w:val="00B33AC0"/>
    <w:rsid w:val="00B33D1B"/>
    <w:rsid w:val="00B34D6F"/>
    <w:rsid w:val="00B34FCF"/>
    <w:rsid w:val="00B361F2"/>
    <w:rsid w:val="00B36C1B"/>
    <w:rsid w:val="00B3718B"/>
    <w:rsid w:val="00B376BD"/>
    <w:rsid w:val="00B376EC"/>
    <w:rsid w:val="00B37967"/>
    <w:rsid w:val="00B37987"/>
    <w:rsid w:val="00B4031E"/>
    <w:rsid w:val="00B41B82"/>
    <w:rsid w:val="00B42124"/>
    <w:rsid w:val="00B42A55"/>
    <w:rsid w:val="00B4391D"/>
    <w:rsid w:val="00B44234"/>
    <w:rsid w:val="00B44D0F"/>
    <w:rsid w:val="00B45AC7"/>
    <w:rsid w:val="00B45E8E"/>
    <w:rsid w:val="00B4632A"/>
    <w:rsid w:val="00B469C3"/>
    <w:rsid w:val="00B47222"/>
    <w:rsid w:val="00B50236"/>
    <w:rsid w:val="00B50969"/>
    <w:rsid w:val="00B50E7C"/>
    <w:rsid w:val="00B5105B"/>
    <w:rsid w:val="00B51669"/>
    <w:rsid w:val="00B51696"/>
    <w:rsid w:val="00B52B85"/>
    <w:rsid w:val="00B530F1"/>
    <w:rsid w:val="00B5316C"/>
    <w:rsid w:val="00B55126"/>
    <w:rsid w:val="00B55873"/>
    <w:rsid w:val="00B55A8F"/>
    <w:rsid w:val="00B55C8E"/>
    <w:rsid w:val="00B55E40"/>
    <w:rsid w:val="00B56BEA"/>
    <w:rsid w:val="00B576FA"/>
    <w:rsid w:val="00B6095B"/>
    <w:rsid w:val="00B60E66"/>
    <w:rsid w:val="00B6221C"/>
    <w:rsid w:val="00B62789"/>
    <w:rsid w:val="00B62C81"/>
    <w:rsid w:val="00B632FA"/>
    <w:rsid w:val="00B6364E"/>
    <w:rsid w:val="00B63B4D"/>
    <w:rsid w:val="00B63CB9"/>
    <w:rsid w:val="00B646A3"/>
    <w:rsid w:val="00B650ED"/>
    <w:rsid w:val="00B65614"/>
    <w:rsid w:val="00B6729D"/>
    <w:rsid w:val="00B674EA"/>
    <w:rsid w:val="00B67CA0"/>
    <w:rsid w:val="00B70119"/>
    <w:rsid w:val="00B7097A"/>
    <w:rsid w:val="00B70BF2"/>
    <w:rsid w:val="00B73241"/>
    <w:rsid w:val="00B7391E"/>
    <w:rsid w:val="00B75162"/>
    <w:rsid w:val="00B7630F"/>
    <w:rsid w:val="00B80AAF"/>
    <w:rsid w:val="00B8121A"/>
    <w:rsid w:val="00B8181F"/>
    <w:rsid w:val="00B81C23"/>
    <w:rsid w:val="00B829BE"/>
    <w:rsid w:val="00B82B19"/>
    <w:rsid w:val="00B834C2"/>
    <w:rsid w:val="00B836CC"/>
    <w:rsid w:val="00B83813"/>
    <w:rsid w:val="00B843FE"/>
    <w:rsid w:val="00B84D10"/>
    <w:rsid w:val="00B851B0"/>
    <w:rsid w:val="00B8528E"/>
    <w:rsid w:val="00B86974"/>
    <w:rsid w:val="00B87244"/>
    <w:rsid w:val="00B87BCA"/>
    <w:rsid w:val="00B87EA0"/>
    <w:rsid w:val="00B90618"/>
    <w:rsid w:val="00B917E7"/>
    <w:rsid w:val="00B933AF"/>
    <w:rsid w:val="00B9394C"/>
    <w:rsid w:val="00B93AA6"/>
    <w:rsid w:val="00B94523"/>
    <w:rsid w:val="00B951FA"/>
    <w:rsid w:val="00B969BC"/>
    <w:rsid w:val="00B97769"/>
    <w:rsid w:val="00B97BF9"/>
    <w:rsid w:val="00B97D2B"/>
    <w:rsid w:val="00B97D2C"/>
    <w:rsid w:val="00BA1BEC"/>
    <w:rsid w:val="00BA1D72"/>
    <w:rsid w:val="00BA276C"/>
    <w:rsid w:val="00BA2CFC"/>
    <w:rsid w:val="00BA3070"/>
    <w:rsid w:val="00BA33CF"/>
    <w:rsid w:val="00BA35AD"/>
    <w:rsid w:val="00BA4C90"/>
    <w:rsid w:val="00BA59F6"/>
    <w:rsid w:val="00BA5C99"/>
    <w:rsid w:val="00BA5E06"/>
    <w:rsid w:val="00BA6438"/>
    <w:rsid w:val="00BA722D"/>
    <w:rsid w:val="00BA73BE"/>
    <w:rsid w:val="00BA7461"/>
    <w:rsid w:val="00BA74DC"/>
    <w:rsid w:val="00BA7A41"/>
    <w:rsid w:val="00BB0829"/>
    <w:rsid w:val="00BB1425"/>
    <w:rsid w:val="00BB1673"/>
    <w:rsid w:val="00BB176F"/>
    <w:rsid w:val="00BB1B5B"/>
    <w:rsid w:val="00BB2233"/>
    <w:rsid w:val="00BB287E"/>
    <w:rsid w:val="00BB2D37"/>
    <w:rsid w:val="00BB2E11"/>
    <w:rsid w:val="00BB306F"/>
    <w:rsid w:val="00BB399D"/>
    <w:rsid w:val="00BB3F33"/>
    <w:rsid w:val="00BB47DE"/>
    <w:rsid w:val="00BB4F1C"/>
    <w:rsid w:val="00BB550D"/>
    <w:rsid w:val="00BB56F1"/>
    <w:rsid w:val="00BB5EA4"/>
    <w:rsid w:val="00BB6C19"/>
    <w:rsid w:val="00BB7D15"/>
    <w:rsid w:val="00BC094B"/>
    <w:rsid w:val="00BC1AA6"/>
    <w:rsid w:val="00BC1D7E"/>
    <w:rsid w:val="00BC21A9"/>
    <w:rsid w:val="00BC2AB2"/>
    <w:rsid w:val="00BC41E0"/>
    <w:rsid w:val="00BC5683"/>
    <w:rsid w:val="00BC60F0"/>
    <w:rsid w:val="00BC7972"/>
    <w:rsid w:val="00BC7E5B"/>
    <w:rsid w:val="00BD0970"/>
    <w:rsid w:val="00BD1394"/>
    <w:rsid w:val="00BD1688"/>
    <w:rsid w:val="00BD2C51"/>
    <w:rsid w:val="00BD2D09"/>
    <w:rsid w:val="00BD2EF5"/>
    <w:rsid w:val="00BD32C9"/>
    <w:rsid w:val="00BD3E0E"/>
    <w:rsid w:val="00BD4403"/>
    <w:rsid w:val="00BD4B89"/>
    <w:rsid w:val="00BD56A5"/>
    <w:rsid w:val="00BD5ACC"/>
    <w:rsid w:val="00BD5C94"/>
    <w:rsid w:val="00BD5D9B"/>
    <w:rsid w:val="00BD5E75"/>
    <w:rsid w:val="00BD6044"/>
    <w:rsid w:val="00BD63E6"/>
    <w:rsid w:val="00BD6BB8"/>
    <w:rsid w:val="00BD6C0A"/>
    <w:rsid w:val="00BD6EA7"/>
    <w:rsid w:val="00BD7BB3"/>
    <w:rsid w:val="00BD7F7B"/>
    <w:rsid w:val="00BE0ACF"/>
    <w:rsid w:val="00BE0E54"/>
    <w:rsid w:val="00BE130E"/>
    <w:rsid w:val="00BE33B9"/>
    <w:rsid w:val="00BE36F9"/>
    <w:rsid w:val="00BE6866"/>
    <w:rsid w:val="00BF01BC"/>
    <w:rsid w:val="00BF0985"/>
    <w:rsid w:val="00BF2C73"/>
    <w:rsid w:val="00BF34EE"/>
    <w:rsid w:val="00BF3E90"/>
    <w:rsid w:val="00BF4264"/>
    <w:rsid w:val="00BF46FF"/>
    <w:rsid w:val="00BF4938"/>
    <w:rsid w:val="00BF5220"/>
    <w:rsid w:val="00BF55E7"/>
    <w:rsid w:val="00BF64F4"/>
    <w:rsid w:val="00BF6FD8"/>
    <w:rsid w:val="00BF720B"/>
    <w:rsid w:val="00BF7E3F"/>
    <w:rsid w:val="00BF7F72"/>
    <w:rsid w:val="00C0012F"/>
    <w:rsid w:val="00C00A0B"/>
    <w:rsid w:val="00C00B36"/>
    <w:rsid w:val="00C0108B"/>
    <w:rsid w:val="00C01FD6"/>
    <w:rsid w:val="00C0204A"/>
    <w:rsid w:val="00C023A3"/>
    <w:rsid w:val="00C02B5B"/>
    <w:rsid w:val="00C02F8E"/>
    <w:rsid w:val="00C03680"/>
    <w:rsid w:val="00C03787"/>
    <w:rsid w:val="00C04198"/>
    <w:rsid w:val="00C048AC"/>
    <w:rsid w:val="00C04D7F"/>
    <w:rsid w:val="00C053DE"/>
    <w:rsid w:val="00C054DF"/>
    <w:rsid w:val="00C05E5D"/>
    <w:rsid w:val="00C06A8D"/>
    <w:rsid w:val="00C070E5"/>
    <w:rsid w:val="00C07BF8"/>
    <w:rsid w:val="00C1079E"/>
    <w:rsid w:val="00C107D1"/>
    <w:rsid w:val="00C10D0C"/>
    <w:rsid w:val="00C116BD"/>
    <w:rsid w:val="00C1203D"/>
    <w:rsid w:val="00C145D7"/>
    <w:rsid w:val="00C148DA"/>
    <w:rsid w:val="00C1569D"/>
    <w:rsid w:val="00C159B6"/>
    <w:rsid w:val="00C16381"/>
    <w:rsid w:val="00C163B0"/>
    <w:rsid w:val="00C172F7"/>
    <w:rsid w:val="00C17930"/>
    <w:rsid w:val="00C21762"/>
    <w:rsid w:val="00C21A09"/>
    <w:rsid w:val="00C22D10"/>
    <w:rsid w:val="00C22D5B"/>
    <w:rsid w:val="00C2415D"/>
    <w:rsid w:val="00C24543"/>
    <w:rsid w:val="00C253A8"/>
    <w:rsid w:val="00C256A2"/>
    <w:rsid w:val="00C25921"/>
    <w:rsid w:val="00C26985"/>
    <w:rsid w:val="00C26A77"/>
    <w:rsid w:val="00C26BBD"/>
    <w:rsid w:val="00C26C7E"/>
    <w:rsid w:val="00C26E03"/>
    <w:rsid w:val="00C31336"/>
    <w:rsid w:val="00C31CD1"/>
    <w:rsid w:val="00C32CB5"/>
    <w:rsid w:val="00C330D5"/>
    <w:rsid w:val="00C33163"/>
    <w:rsid w:val="00C35DC2"/>
    <w:rsid w:val="00C362D1"/>
    <w:rsid w:val="00C3653D"/>
    <w:rsid w:val="00C36A3B"/>
    <w:rsid w:val="00C36D45"/>
    <w:rsid w:val="00C375E5"/>
    <w:rsid w:val="00C37900"/>
    <w:rsid w:val="00C37993"/>
    <w:rsid w:val="00C408B7"/>
    <w:rsid w:val="00C41057"/>
    <w:rsid w:val="00C412F3"/>
    <w:rsid w:val="00C42063"/>
    <w:rsid w:val="00C428C1"/>
    <w:rsid w:val="00C42BB9"/>
    <w:rsid w:val="00C445B3"/>
    <w:rsid w:val="00C448A3"/>
    <w:rsid w:val="00C45190"/>
    <w:rsid w:val="00C453CA"/>
    <w:rsid w:val="00C45936"/>
    <w:rsid w:val="00C47088"/>
    <w:rsid w:val="00C502DA"/>
    <w:rsid w:val="00C50385"/>
    <w:rsid w:val="00C50748"/>
    <w:rsid w:val="00C51515"/>
    <w:rsid w:val="00C52C05"/>
    <w:rsid w:val="00C52C06"/>
    <w:rsid w:val="00C530C1"/>
    <w:rsid w:val="00C53258"/>
    <w:rsid w:val="00C533F4"/>
    <w:rsid w:val="00C557C6"/>
    <w:rsid w:val="00C557EF"/>
    <w:rsid w:val="00C558A4"/>
    <w:rsid w:val="00C5660B"/>
    <w:rsid w:val="00C56A8F"/>
    <w:rsid w:val="00C603DF"/>
    <w:rsid w:val="00C6161D"/>
    <w:rsid w:val="00C62834"/>
    <w:rsid w:val="00C641BB"/>
    <w:rsid w:val="00C64706"/>
    <w:rsid w:val="00C65B61"/>
    <w:rsid w:val="00C66B72"/>
    <w:rsid w:val="00C66EE9"/>
    <w:rsid w:val="00C6779A"/>
    <w:rsid w:val="00C67E88"/>
    <w:rsid w:val="00C67F7A"/>
    <w:rsid w:val="00C70D01"/>
    <w:rsid w:val="00C716EB"/>
    <w:rsid w:val="00C7388F"/>
    <w:rsid w:val="00C740AA"/>
    <w:rsid w:val="00C7448C"/>
    <w:rsid w:val="00C74651"/>
    <w:rsid w:val="00C74D56"/>
    <w:rsid w:val="00C7559D"/>
    <w:rsid w:val="00C75792"/>
    <w:rsid w:val="00C76603"/>
    <w:rsid w:val="00C772FD"/>
    <w:rsid w:val="00C77518"/>
    <w:rsid w:val="00C77B4F"/>
    <w:rsid w:val="00C803DE"/>
    <w:rsid w:val="00C81589"/>
    <w:rsid w:val="00C836FF"/>
    <w:rsid w:val="00C83DD7"/>
    <w:rsid w:val="00C83F9B"/>
    <w:rsid w:val="00C848FA"/>
    <w:rsid w:val="00C84C4B"/>
    <w:rsid w:val="00C84C67"/>
    <w:rsid w:val="00C85206"/>
    <w:rsid w:val="00C85586"/>
    <w:rsid w:val="00C85E34"/>
    <w:rsid w:val="00C862FC"/>
    <w:rsid w:val="00C86856"/>
    <w:rsid w:val="00C8732B"/>
    <w:rsid w:val="00C87FE3"/>
    <w:rsid w:val="00C9199B"/>
    <w:rsid w:val="00C920FF"/>
    <w:rsid w:val="00C9258B"/>
    <w:rsid w:val="00C92C2B"/>
    <w:rsid w:val="00C9567A"/>
    <w:rsid w:val="00C95875"/>
    <w:rsid w:val="00C95E69"/>
    <w:rsid w:val="00C96C81"/>
    <w:rsid w:val="00CA06C0"/>
    <w:rsid w:val="00CA1278"/>
    <w:rsid w:val="00CA27C6"/>
    <w:rsid w:val="00CA4291"/>
    <w:rsid w:val="00CA4B0F"/>
    <w:rsid w:val="00CA4E46"/>
    <w:rsid w:val="00CA64AC"/>
    <w:rsid w:val="00CA65D6"/>
    <w:rsid w:val="00CA6B50"/>
    <w:rsid w:val="00CA717C"/>
    <w:rsid w:val="00CA7451"/>
    <w:rsid w:val="00CA7797"/>
    <w:rsid w:val="00CB0630"/>
    <w:rsid w:val="00CB093C"/>
    <w:rsid w:val="00CB0D53"/>
    <w:rsid w:val="00CB19D7"/>
    <w:rsid w:val="00CB212D"/>
    <w:rsid w:val="00CB2660"/>
    <w:rsid w:val="00CB35AA"/>
    <w:rsid w:val="00CB3A33"/>
    <w:rsid w:val="00CB44B4"/>
    <w:rsid w:val="00CB467C"/>
    <w:rsid w:val="00CB52BD"/>
    <w:rsid w:val="00CB67B9"/>
    <w:rsid w:val="00CB6A85"/>
    <w:rsid w:val="00CB7249"/>
    <w:rsid w:val="00CB7A07"/>
    <w:rsid w:val="00CB7D5A"/>
    <w:rsid w:val="00CC1718"/>
    <w:rsid w:val="00CC39A5"/>
    <w:rsid w:val="00CC43EA"/>
    <w:rsid w:val="00CC4CDC"/>
    <w:rsid w:val="00CC513E"/>
    <w:rsid w:val="00CC5395"/>
    <w:rsid w:val="00CC53AE"/>
    <w:rsid w:val="00CC5E90"/>
    <w:rsid w:val="00CC6738"/>
    <w:rsid w:val="00CC6827"/>
    <w:rsid w:val="00CC6E48"/>
    <w:rsid w:val="00CC774E"/>
    <w:rsid w:val="00CD02E3"/>
    <w:rsid w:val="00CD046C"/>
    <w:rsid w:val="00CD04FD"/>
    <w:rsid w:val="00CD0ACE"/>
    <w:rsid w:val="00CD1850"/>
    <w:rsid w:val="00CD1BC0"/>
    <w:rsid w:val="00CD207C"/>
    <w:rsid w:val="00CD395D"/>
    <w:rsid w:val="00CD4A93"/>
    <w:rsid w:val="00CD5E9E"/>
    <w:rsid w:val="00CD7634"/>
    <w:rsid w:val="00CE076C"/>
    <w:rsid w:val="00CE09A1"/>
    <w:rsid w:val="00CE0DC3"/>
    <w:rsid w:val="00CE0E8C"/>
    <w:rsid w:val="00CE0FA0"/>
    <w:rsid w:val="00CE1937"/>
    <w:rsid w:val="00CE32FA"/>
    <w:rsid w:val="00CE3DDB"/>
    <w:rsid w:val="00CE3E0C"/>
    <w:rsid w:val="00CE429B"/>
    <w:rsid w:val="00CE451A"/>
    <w:rsid w:val="00CE4546"/>
    <w:rsid w:val="00CE4792"/>
    <w:rsid w:val="00CE5199"/>
    <w:rsid w:val="00CE5558"/>
    <w:rsid w:val="00CE6553"/>
    <w:rsid w:val="00CE65FF"/>
    <w:rsid w:val="00CE66D5"/>
    <w:rsid w:val="00CE7172"/>
    <w:rsid w:val="00CE7BB5"/>
    <w:rsid w:val="00CE7D4B"/>
    <w:rsid w:val="00CF0FE6"/>
    <w:rsid w:val="00CF1BE1"/>
    <w:rsid w:val="00CF2833"/>
    <w:rsid w:val="00CF3E4C"/>
    <w:rsid w:val="00CF43F6"/>
    <w:rsid w:val="00CF5B36"/>
    <w:rsid w:val="00CF5D1C"/>
    <w:rsid w:val="00CF5D86"/>
    <w:rsid w:val="00CF5FD5"/>
    <w:rsid w:val="00CF637A"/>
    <w:rsid w:val="00CF744B"/>
    <w:rsid w:val="00D00092"/>
    <w:rsid w:val="00D01870"/>
    <w:rsid w:val="00D01FF8"/>
    <w:rsid w:val="00D02ED2"/>
    <w:rsid w:val="00D02F20"/>
    <w:rsid w:val="00D02F80"/>
    <w:rsid w:val="00D03992"/>
    <w:rsid w:val="00D03DC5"/>
    <w:rsid w:val="00D0549C"/>
    <w:rsid w:val="00D05695"/>
    <w:rsid w:val="00D059DE"/>
    <w:rsid w:val="00D05F2F"/>
    <w:rsid w:val="00D064F4"/>
    <w:rsid w:val="00D064F7"/>
    <w:rsid w:val="00D06BD3"/>
    <w:rsid w:val="00D07150"/>
    <w:rsid w:val="00D075B0"/>
    <w:rsid w:val="00D0786B"/>
    <w:rsid w:val="00D07E69"/>
    <w:rsid w:val="00D10380"/>
    <w:rsid w:val="00D10C84"/>
    <w:rsid w:val="00D110D7"/>
    <w:rsid w:val="00D12582"/>
    <w:rsid w:val="00D12742"/>
    <w:rsid w:val="00D13FCE"/>
    <w:rsid w:val="00D153E0"/>
    <w:rsid w:val="00D155CF"/>
    <w:rsid w:val="00D1656C"/>
    <w:rsid w:val="00D16668"/>
    <w:rsid w:val="00D16DF5"/>
    <w:rsid w:val="00D201CC"/>
    <w:rsid w:val="00D221BC"/>
    <w:rsid w:val="00D22671"/>
    <w:rsid w:val="00D22C54"/>
    <w:rsid w:val="00D22CD4"/>
    <w:rsid w:val="00D2300F"/>
    <w:rsid w:val="00D23051"/>
    <w:rsid w:val="00D2313B"/>
    <w:rsid w:val="00D234DD"/>
    <w:rsid w:val="00D23C12"/>
    <w:rsid w:val="00D23ED3"/>
    <w:rsid w:val="00D23FF2"/>
    <w:rsid w:val="00D255DB"/>
    <w:rsid w:val="00D25B84"/>
    <w:rsid w:val="00D25FA7"/>
    <w:rsid w:val="00D26707"/>
    <w:rsid w:val="00D2703D"/>
    <w:rsid w:val="00D271A8"/>
    <w:rsid w:val="00D27374"/>
    <w:rsid w:val="00D306D1"/>
    <w:rsid w:val="00D30C33"/>
    <w:rsid w:val="00D31043"/>
    <w:rsid w:val="00D313E9"/>
    <w:rsid w:val="00D32338"/>
    <w:rsid w:val="00D328B9"/>
    <w:rsid w:val="00D337E6"/>
    <w:rsid w:val="00D3424B"/>
    <w:rsid w:val="00D34786"/>
    <w:rsid w:val="00D347E2"/>
    <w:rsid w:val="00D349B1"/>
    <w:rsid w:val="00D34AEB"/>
    <w:rsid w:val="00D35323"/>
    <w:rsid w:val="00D36B2E"/>
    <w:rsid w:val="00D37045"/>
    <w:rsid w:val="00D374C2"/>
    <w:rsid w:val="00D377B9"/>
    <w:rsid w:val="00D37BFC"/>
    <w:rsid w:val="00D4004F"/>
    <w:rsid w:val="00D41C8C"/>
    <w:rsid w:val="00D41E96"/>
    <w:rsid w:val="00D422E2"/>
    <w:rsid w:val="00D42BC8"/>
    <w:rsid w:val="00D43266"/>
    <w:rsid w:val="00D44150"/>
    <w:rsid w:val="00D44267"/>
    <w:rsid w:val="00D44564"/>
    <w:rsid w:val="00D44A76"/>
    <w:rsid w:val="00D454E9"/>
    <w:rsid w:val="00D45901"/>
    <w:rsid w:val="00D468D9"/>
    <w:rsid w:val="00D46CE5"/>
    <w:rsid w:val="00D47A8E"/>
    <w:rsid w:val="00D47DC9"/>
    <w:rsid w:val="00D50103"/>
    <w:rsid w:val="00D50784"/>
    <w:rsid w:val="00D50ADB"/>
    <w:rsid w:val="00D519DA"/>
    <w:rsid w:val="00D52D14"/>
    <w:rsid w:val="00D52EAC"/>
    <w:rsid w:val="00D534E8"/>
    <w:rsid w:val="00D53748"/>
    <w:rsid w:val="00D558CF"/>
    <w:rsid w:val="00D57C19"/>
    <w:rsid w:val="00D57F13"/>
    <w:rsid w:val="00D6054D"/>
    <w:rsid w:val="00D606F1"/>
    <w:rsid w:val="00D60DF1"/>
    <w:rsid w:val="00D62920"/>
    <w:rsid w:val="00D62E3A"/>
    <w:rsid w:val="00D62F47"/>
    <w:rsid w:val="00D64A61"/>
    <w:rsid w:val="00D64D62"/>
    <w:rsid w:val="00D654F2"/>
    <w:rsid w:val="00D65BD6"/>
    <w:rsid w:val="00D671FE"/>
    <w:rsid w:val="00D67BDE"/>
    <w:rsid w:val="00D70454"/>
    <w:rsid w:val="00D70488"/>
    <w:rsid w:val="00D712D3"/>
    <w:rsid w:val="00D71422"/>
    <w:rsid w:val="00D71DFE"/>
    <w:rsid w:val="00D72135"/>
    <w:rsid w:val="00D72DC6"/>
    <w:rsid w:val="00D7318D"/>
    <w:rsid w:val="00D744C5"/>
    <w:rsid w:val="00D745D6"/>
    <w:rsid w:val="00D74723"/>
    <w:rsid w:val="00D74C28"/>
    <w:rsid w:val="00D74EA6"/>
    <w:rsid w:val="00D7558D"/>
    <w:rsid w:val="00D75EF6"/>
    <w:rsid w:val="00D763EF"/>
    <w:rsid w:val="00D76CC9"/>
    <w:rsid w:val="00D77BE6"/>
    <w:rsid w:val="00D800E5"/>
    <w:rsid w:val="00D8126C"/>
    <w:rsid w:val="00D813D8"/>
    <w:rsid w:val="00D81678"/>
    <w:rsid w:val="00D81835"/>
    <w:rsid w:val="00D81D92"/>
    <w:rsid w:val="00D8290B"/>
    <w:rsid w:val="00D82AE2"/>
    <w:rsid w:val="00D83300"/>
    <w:rsid w:val="00D8352E"/>
    <w:rsid w:val="00D83BA1"/>
    <w:rsid w:val="00D84473"/>
    <w:rsid w:val="00D84474"/>
    <w:rsid w:val="00D84FBE"/>
    <w:rsid w:val="00D85B9D"/>
    <w:rsid w:val="00D87985"/>
    <w:rsid w:val="00D87BAF"/>
    <w:rsid w:val="00D87CD9"/>
    <w:rsid w:val="00D907EC"/>
    <w:rsid w:val="00D91341"/>
    <w:rsid w:val="00D919D0"/>
    <w:rsid w:val="00D9309C"/>
    <w:rsid w:val="00D93353"/>
    <w:rsid w:val="00D9349C"/>
    <w:rsid w:val="00D946CB"/>
    <w:rsid w:val="00D9609C"/>
    <w:rsid w:val="00D968E2"/>
    <w:rsid w:val="00D96FBC"/>
    <w:rsid w:val="00D9737E"/>
    <w:rsid w:val="00D97550"/>
    <w:rsid w:val="00DA04C5"/>
    <w:rsid w:val="00DA15F9"/>
    <w:rsid w:val="00DA1EC1"/>
    <w:rsid w:val="00DA224D"/>
    <w:rsid w:val="00DA2727"/>
    <w:rsid w:val="00DA582D"/>
    <w:rsid w:val="00DA6284"/>
    <w:rsid w:val="00DA63B1"/>
    <w:rsid w:val="00DA684A"/>
    <w:rsid w:val="00DA70FE"/>
    <w:rsid w:val="00DA7B5F"/>
    <w:rsid w:val="00DB011F"/>
    <w:rsid w:val="00DB04A3"/>
    <w:rsid w:val="00DB100B"/>
    <w:rsid w:val="00DB11D8"/>
    <w:rsid w:val="00DB157E"/>
    <w:rsid w:val="00DB20E5"/>
    <w:rsid w:val="00DB278D"/>
    <w:rsid w:val="00DB2E96"/>
    <w:rsid w:val="00DB4E5D"/>
    <w:rsid w:val="00DB4F77"/>
    <w:rsid w:val="00DB5415"/>
    <w:rsid w:val="00DB60CE"/>
    <w:rsid w:val="00DB630C"/>
    <w:rsid w:val="00DB6370"/>
    <w:rsid w:val="00DB7353"/>
    <w:rsid w:val="00DB7573"/>
    <w:rsid w:val="00DB764F"/>
    <w:rsid w:val="00DB7C90"/>
    <w:rsid w:val="00DB7DF9"/>
    <w:rsid w:val="00DC08AB"/>
    <w:rsid w:val="00DC100B"/>
    <w:rsid w:val="00DC11E7"/>
    <w:rsid w:val="00DC2CC7"/>
    <w:rsid w:val="00DC3715"/>
    <w:rsid w:val="00DC3CE7"/>
    <w:rsid w:val="00DC3DB1"/>
    <w:rsid w:val="00DC3E9B"/>
    <w:rsid w:val="00DC4B80"/>
    <w:rsid w:val="00DC4EA4"/>
    <w:rsid w:val="00DC5D69"/>
    <w:rsid w:val="00DC6573"/>
    <w:rsid w:val="00DC6B2F"/>
    <w:rsid w:val="00DC7023"/>
    <w:rsid w:val="00DC769A"/>
    <w:rsid w:val="00DC78E3"/>
    <w:rsid w:val="00DC79B8"/>
    <w:rsid w:val="00DD1211"/>
    <w:rsid w:val="00DD1E88"/>
    <w:rsid w:val="00DD3D86"/>
    <w:rsid w:val="00DD4794"/>
    <w:rsid w:val="00DD514A"/>
    <w:rsid w:val="00DD5403"/>
    <w:rsid w:val="00DD5DBF"/>
    <w:rsid w:val="00DD6188"/>
    <w:rsid w:val="00DD7C06"/>
    <w:rsid w:val="00DE058A"/>
    <w:rsid w:val="00DE0941"/>
    <w:rsid w:val="00DE0C1A"/>
    <w:rsid w:val="00DE127D"/>
    <w:rsid w:val="00DE25B8"/>
    <w:rsid w:val="00DE26F2"/>
    <w:rsid w:val="00DE2F95"/>
    <w:rsid w:val="00DE425A"/>
    <w:rsid w:val="00DE4303"/>
    <w:rsid w:val="00DE4A12"/>
    <w:rsid w:val="00DE567C"/>
    <w:rsid w:val="00DE6BB3"/>
    <w:rsid w:val="00DE70F0"/>
    <w:rsid w:val="00DE743D"/>
    <w:rsid w:val="00DE7484"/>
    <w:rsid w:val="00DE7823"/>
    <w:rsid w:val="00DF087D"/>
    <w:rsid w:val="00DF0F0C"/>
    <w:rsid w:val="00DF1848"/>
    <w:rsid w:val="00DF1B00"/>
    <w:rsid w:val="00DF1E94"/>
    <w:rsid w:val="00DF1EC4"/>
    <w:rsid w:val="00DF1F6C"/>
    <w:rsid w:val="00DF329B"/>
    <w:rsid w:val="00DF3843"/>
    <w:rsid w:val="00DF3A5E"/>
    <w:rsid w:val="00DF5AC4"/>
    <w:rsid w:val="00DF611E"/>
    <w:rsid w:val="00E00212"/>
    <w:rsid w:val="00E01137"/>
    <w:rsid w:val="00E016EF"/>
    <w:rsid w:val="00E02555"/>
    <w:rsid w:val="00E02FFA"/>
    <w:rsid w:val="00E0340B"/>
    <w:rsid w:val="00E0372A"/>
    <w:rsid w:val="00E0390A"/>
    <w:rsid w:val="00E03C2A"/>
    <w:rsid w:val="00E0464C"/>
    <w:rsid w:val="00E04A90"/>
    <w:rsid w:val="00E05097"/>
    <w:rsid w:val="00E053E8"/>
    <w:rsid w:val="00E0655B"/>
    <w:rsid w:val="00E079D9"/>
    <w:rsid w:val="00E10040"/>
    <w:rsid w:val="00E10BA7"/>
    <w:rsid w:val="00E11CA0"/>
    <w:rsid w:val="00E13A7E"/>
    <w:rsid w:val="00E13CEC"/>
    <w:rsid w:val="00E14276"/>
    <w:rsid w:val="00E149FC"/>
    <w:rsid w:val="00E14F2A"/>
    <w:rsid w:val="00E157AF"/>
    <w:rsid w:val="00E15A02"/>
    <w:rsid w:val="00E15DF1"/>
    <w:rsid w:val="00E1661C"/>
    <w:rsid w:val="00E1693B"/>
    <w:rsid w:val="00E16F8B"/>
    <w:rsid w:val="00E17CC1"/>
    <w:rsid w:val="00E17CE2"/>
    <w:rsid w:val="00E20213"/>
    <w:rsid w:val="00E20BC5"/>
    <w:rsid w:val="00E2111E"/>
    <w:rsid w:val="00E219C7"/>
    <w:rsid w:val="00E22AA0"/>
    <w:rsid w:val="00E22C65"/>
    <w:rsid w:val="00E22EB7"/>
    <w:rsid w:val="00E23CF7"/>
    <w:rsid w:val="00E2500A"/>
    <w:rsid w:val="00E25213"/>
    <w:rsid w:val="00E25436"/>
    <w:rsid w:val="00E2601C"/>
    <w:rsid w:val="00E26590"/>
    <w:rsid w:val="00E279F2"/>
    <w:rsid w:val="00E27C17"/>
    <w:rsid w:val="00E30363"/>
    <w:rsid w:val="00E30672"/>
    <w:rsid w:val="00E30BC2"/>
    <w:rsid w:val="00E31237"/>
    <w:rsid w:val="00E3209F"/>
    <w:rsid w:val="00E32A49"/>
    <w:rsid w:val="00E32AB2"/>
    <w:rsid w:val="00E334AB"/>
    <w:rsid w:val="00E33715"/>
    <w:rsid w:val="00E34111"/>
    <w:rsid w:val="00E342F8"/>
    <w:rsid w:val="00E34369"/>
    <w:rsid w:val="00E352A6"/>
    <w:rsid w:val="00E3660C"/>
    <w:rsid w:val="00E36A38"/>
    <w:rsid w:val="00E37137"/>
    <w:rsid w:val="00E375C4"/>
    <w:rsid w:val="00E3771A"/>
    <w:rsid w:val="00E40757"/>
    <w:rsid w:val="00E40C75"/>
    <w:rsid w:val="00E41416"/>
    <w:rsid w:val="00E42200"/>
    <w:rsid w:val="00E43157"/>
    <w:rsid w:val="00E437B8"/>
    <w:rsid w:val="00E43CC1"/>
    <w:rsid w:val="00E4501E"/>
    <w:rsid w:val="00E45259"/>
    <w:rsid w:val="00E4552F"/>
    <w:rsid w:val="00E45995"/>
    <w:rsid w:val="00E461CE"/>
    <w:rsid w:val="00E510E5"/>
    <w:rsid w:val="00E51509"/>
    <w:rsid w:val="00E534F0"/>
    <w:rsid w:val="00E537D0"/>
    <w:rsid w:val="00E5381F"/>
    <w:rsid w:val="00E53CF9"/>
    <w:rsid w:val="00E53EA4"/>
    <w:rsid w:val="00E5415E"/>
    <w:rsid w:val="00E54CE6"/>
    <w:rsid w:val="00E54DB4"/>
    <w:rsid w:val="00E56B84"/>
    <w:rsid w:val="00E56C15"/>
    <w:rsid w:val="00E56CBF"/>
    <w:rsid w:val="00E570DA"/>
    <w:rsid w:val="00E571DC"/>
    <w:rsid w:val="00E575DD"/>
    <w:rsid w:val="00E57FC4"/>
    <w:rsid w:val="00E6119A"/>
    <w:rsid w:val="00E62178"/>
    <w:rsid w:val="00E625BF"/>
    <w:rsid w:val="00E626CD"/>
    <w:rsid w:val="00E62A24"/>
    <w:rsid w:val="00E6361D"/>
    <w:rsid w:val="00E638A1"/>
    <w:rsid w:val="00E65495"/>
    <w:rsid w:val="00E65597"/>
    <w:rsid w:val="00E663A8"/>
    <w:rsid w:val="00E66F5D"/>
    <w:rsid w:val="00E67146"/>
    <w:rsid w:val="00E67AA0"/>
    <w:rsid w:val="00E701DE"/>
    <w:rsid w:val="00E70579"/>
    <w:rsid w:val="00E70608"/>
    <w:rsid w:val="00E70EE3"/>
    <w:rsid w:val="00E71531"/>
    <w:rsid w:val="00E720CA"/>
    <w:rsid w:val="00E7309C"/>
    <w:rsid w:val="00E733C4"/>
    <w:rsid w:val="00E73B82"/>
    <w:rsid w:val="00E75901"/>
    <w:rsid w:val="00E75C47"/>
    <w:rsid w:val="00E761AD"/>
    <w:rsid w:val="00E76343"/>
    <w:rsid w:val="00E76839"/>
    <w:rsid w:val="00E76A9C"/>
    <w:rsid w:val="00E80288"/>
    <w:rsid w:val="00E80872"/>
    <w:rsid w:val="00E816BA"/>
    <w:rsid w:val="00E818EF"/>
    <w:rsid w:val="00E81FEC"/>
    <w:rsid w:val="00E82C0C"/>
    <w:rsid w:val="00E82C1B"/>
    <w:rsid w:val="00E8381C"/>
    <w:rsid w:val="00E83A35"/>
    <w:rsid w:val="00E84EB5"/>
    <w:rsid w:val="00E85662"/>
    <w:rsid w:val="00E8671D"/>
    <w:rsid w:val="00E8789F"/>
    <w:rsid w:val="00E90081"/>
    <w:rsid w:val="00E90BE2"/>
    <w:rsid w:val="00E91F2F"/>
    <w:rsid w:val="00E91F73"/>
    <w:rsid w:val="00E92634"/>
    <w:rsid w:val="00E938A7"/>
    <w:rsid w:val="00E95273"/>
    <w:rsid w:val="00E9603C"/>
    <w:rsid w:val="00E97B71"/>
    <w:rsid w:val="00E97D9E"/>
    <w:rsid w:val="00EA0B99"/>
    <w:rsid w:val="00EA1447"/>
    <w:rsid w:val="00EA1CDE"/>
    <w:rsid w:val="00EA2445"/>
    <w:rsid w:val="00EA3D34"/>
    <w:rsid w:val="00EA460D"/>
    <w:rsid w:val="00EA49D8"/>
    <w:rsid w:val="00EA50F8"/>
    <w:rsid w:val="00EA529D"/>
    <w:rsid w:val="00EA60AC"/>
    <w:rsid w:val="00EB0117"/>
    <w:rsid w:val="00EB22AB"/>
    <w:rsid w:val="00EB2C4C"/>
    <w:rsid w:val="00EB3741"/>
    <w:rsid w:val="00EB454D"/>
    <w:rsid w:val="00EB60B4"/>
    <w:rsid w:val="00EB72EC"/>
    <w:rsid w:val="00EC16CC"/>
    <w:rsid w:val="00EC1DE7"/>
    <w:rsid w:val="00EC419F"/>
    <w:rsid w:val="00EC4B25"/>
    <w:rsid w:val="00EC5091"/>
    <w:rsid w:val="00EC67D5"/>
    <w:rsid w:val="00EC6F01"/>
    <w:rsid w:val="00EC71C6"/>
    <w:rsid w:val="00EC7F1C"/>
    <w:rsid w:val="00ED088B"/>
    <w:rsid w:val="00ED0D0C"/>
    <w:rsid w:val="00ED1727"/>
    <w:rsid w:val="00ED1DEA"/>
    <w:rsid w:val="00ED21DF"/>
    <w:rsid w:val="00ED256A"/>
    <w:rsid w:val="00ED2C23"/>
    <w:rsid w:val="00ED3A83"/>
    <w:rsid w:val="00ED4D31"/>
    <w:rsid w:val="00ED50BD"/>
    <w:rsid w:val="00ED6224"/>
    <w:rsid w:val="00ED6749"/>
    <w:rsid w:val="00ED68FB"/>
    <w:rsid w:val="00ED7365"/>
    <w:rsid w:val="00ED76BE"/>
    <w:rsid w:val="00ED7ACC"/>
    <w:rsid w:val="00ED7C35"/>
    <w:rsid w:val="00ED7E5E"/>
    <w:rsid w:val="00EE0FEB"/>
    <w:rsid w:val="00EE1D98"/>
    <w:rsid w:val="00EE1E98"/>
    <w:rsid w:val="00EE25BC"/>
    <w:rsid w:val="00EE276A"/>
    <w:rsid w:val="00EE290D"/>
    <w:rsid w:val="00EE2E60"/>
    <w:rsid w:val="00EE37A5"/>
    <w:rsid w:val="00EE40F0"/>
    <w:rsid w:val="00EE4A0D"/>
    <w:rsid w:val="00EE547A"/>
    <w:rsid w:val="00EE5829"/>
    <w:rsid w:val="00EE6516"/>
    <w:rsid w:val="00EE6857"/>
    <w:rsid w:val="00EE6DFF"/>
    <w:rsid w:val="00EE6FCE"/>
    <w:rsid w:val="00EE71AA"/>
    <w:rsid w:val="00EE7260"/>
    <w:rsid w:val="00EE7EB7"/>
    <w:rsid w:val="00EF023C"/>
    <w:rsid w:val="00EF0E72"/>
    <w:rsid w:val="00EF10F7"/>
    <w:rsid w:val="00EF1678"/>
    <w:rsid w:val="00EF1E7A"/>
    <w:rsid w:val="00EF2F4D"/>
    <w:rsid w:val="00EF44FF"/>
    <w:rsid w:val="00EF53B6"/>
    <w:rsid w:val="00EF5802"/>
    <w:rsid w:val="00EF619B"/>
    <w:rsid w:val="00EF629E"/>
    <w:rsid w:val="00F0077E"/>
    <w:rsid w:val="00F00B55"/>
    <w:rsid w:val="00F01097"/>
    <w:rsid w:val="00F010D8"/>
    <w:rsid w:val="00F01137"/>
    <w:rsid w:val="00F0131A"/>
    <w:rsid w:val="00F0167F"/>
    <w:rsid w:val="00F020EC"/>
    <w:rsid w:val="00F02AD1"/>
    <w:rsid w:val="00F03085"/>
    <w:rsid w:val="00F03B3F"/>
    <w:rsid w:val="00F041B6"/>
    <w:rsid w:val="00F050DB"/>
    <w:rsid w:val="00F055A5"/>
    <w:rsid w:val="00F05877"/>
    <w:rsid w:val="00F06DC5"/>
    <w:rsid w:val="00F06E4E"/>
    <w:rsid w:val="00F06E57"/>
    <w:rsid w:val="00F0707B"/>
    <w:rsid w:val="00F07163"/>
    <w:rsid w:val="00F07485"/>
    <w:rsid w:val="00F10B4F"/>
    <w:rsid w:val="00F11D6B"/>
    <w:rsid w:val="00F1358A"/>
    <w:rsid w:val="00F13643"/>
    <w:rsid w:val="00F155B0"/>
    <w:rsid w:val="00F15ACE"/>
    <w:rsid w:val="00F15D28"/>
    <w:rsid w:val="00F15DD3"/>
    <w:rsid w:val="00F162FA"/>
    <w:rsid w:val="00F168A2"/>
    <w:rsid w:val="00F16AC1"/>
    <w:rsid w:val="00F16CE5"/>
    <w:rsid w:val="00F17D97"/>
    <w:rsid w:val="00F202EE"/>
    <w:rsid w:val="00F20568"/>
    <w:rsid w:val="00F210EF"/>
    <w:rsid w:val="00F211EA"/>
    <w:rsid w:val="00F213E1"/>
    <w:rsid w:val="00F21964"/>
    <w:rsid w:val="00F21A19"/>
    <w:rsid w:val="00F2241E"/>
    <w:rsid w:val="00F23156"/>
    <w:rsid w:val="00F253CC"/>
    <w:rsid w:val="00F2558F"/>
    <w:rsid w:val="00F258BD"/>
    <w:rsid w:val="00F259C1"/>
    <w:rsid w:val="00F25F09"/>
    <w:rsid w:val="00F262A0"/>
    <w:rsid w:val="00F2636D"/>
    <w:rsid w:val="00F263CB"/>
    <w:rsid w:val="00F27AF1"/>
    <w:rsid w:val="00F30DD5"/>
    <w:rsid w:val="00F311B6"/>
    <w:rsid w:val="00F317F5"/>
    <w:rsid w:val="00F31BA6"/>
    <w:rsid w:val="00F31EB4"/>
    <w:rsid w:val="00F322DC"/>
    <w:rsid w:val="00F3269A"/>
    <w:rsid w:val="00F33272"/>
    <w:rsid w:val="00F3327E"/>
    <w:rsid w:val="00F335A0"/>
    <w:rsid w:val="00F337B7"/>
    <w:rsid w:val="00F35B24"/>
    <w:rsid w:val="00F36663"/>
    <w:rsid w:val="00F37106"/>
    <w:rsid w:val="00F37462"/>
    <w:rsid w:val="00F37C85"/>
    <w:rsid w:val="00F4051A"/>
    <w:rsid w:val="00F4068E"/>
    <w:rsid w:val="00F40873"/>
    <w:rsid w:val="00F4094A"/>
    <w:rsid w:val="00F40A17"/>
    <w:rsid w:val="00F40B97"/>
    <w:rsid w:val="00F40FA4"/>
    <w:rsid w:val="00F4117E"/>
    <w:rsid w:val="00F4190B"/>
    <w:rsid w:val="00F41B34"/>
    <w:rsid w:val="00F4289C"/>
    <w:rsid w:val="00F445DB"/>
    <w:rsid w:val="00F44D30"/>
    <w:rsid w:val="00F45209"/>
    <w:rsid w:val="00F45405"/>
    <w:rsid w:val="00F50E60"/>
    <w:rsid w:val="00F519CF"/>
    <w:rsid w:val="00F51B15"/>
    <w:rsid w:val="00F51D6C"/>
    <w:rsid w:val="00F5206A"/>
    <w:rsid w:val="00F531A4"/>
    <w:rsid w:val="00F534F0"/>
    <w:rsid w:val="00F53E54"/>
    <w:rsid w:val="00F54365"/>
    <w:rsid w:val="00F55914"/>
    <w:rsid w:val="00F55BDD"/>
    <w:rsid w:val="00F5687A"/>
    <w:rsid w:val="00F568CD"/>
    <w:rsid w:val="00F56B5F"/>
    <w:rsid w:val="00F56BA5"/>
    <w:rsid w:val="00F57E35"/>
    <w:rsid w:val="00F60E22"/>
    <w:rsid w:val="00F61016"/>
    <w:rsid w:val="00F6106F"/>
    <w:rsid w:val="00F61220"/>
    <w:rsid w:val="00F615C5"/>
    <w:rsid w:val="00F6176E"/>
    <w:rsid w:val="00F61ECB"/>
    <w:rsid w:val="00F6268E"/>
    <w:rsid w:val="00F62B1A"/>
    <w:rsid w:val="00F62B23"/>
    <w:rsid w:val="00F63701"/>
    <w:rsid w:val="00F64392"/>
    <w:rsid w:val="00F66452"/>
    <w:rsid w:val="00F66C2F"/>
    <w:rsid w:val="00F66D70"/>
    <w:rsid w:val="00F6791C"/>
    <w:rsid w:val="00F67B0A"/>
    <w:rsid w:val="00F67B40"/>
    <w:rsid w:val="00F67F1A"/>
    <w:rsid w:val="00F70713"/>
    <w:rsid w:val="00F70DF0"/>
    <w:rsid w:val="00F7275D"/>
    <w:rsid w:val="00F727AE"/>
    <w:rsid w:val="00F72DF5"/>
    <w:rsid w:val="00F73C29"/>
    <w:rsid w:val="00F73D33"/>
    <w:rsid w:val="00F747F7"/>
    <w:rsid w:val="00F74C7B"/>
    <w:rsid w:val="00F74F2F"/>
    <w:rsid w:val="00F755A1"/>
    <w:rsid w:val="00F76795"/>
    <w:rsid w:val="00F770D6"/>
    <w:rsid w:val="00F77FB5"/>
    <w:rsid w:val="00F804DD"/>
    <w:rsid w:val="00F81395"/>
    <w:rsid w:val="00F81C89"/>
    <w:rsid w:val="00F81D8B"/>
    <w:rsid w:val="00F81EBF"/>
    <w:rsid w:val="00F8242E"/>
    <w:rsid w:val="00F83E65"/>
    <w:rsid w:val="00F84528"/>
    <w:rsid w:val="00F84CAF"/>
    <w:rsid w:val="00F85A74"/>
    <w:rsid w:val="00F86BB4"/>
    <w:rsid w:val="00F872B3"/>
    <w:rsid w:val="00F87E35"/>
    <w:rsid w:val="00F90A8C"/>
    <w:rsid w:val="00F917D1"/>
    <w:rsid w:val="00F934B6"/>
    <w:rsid w:val="00F93738"/>
    <w:rsid w:val="00F93B52"/>
    <w:rsid w:val="00F93C8E"/>
    <w:rsid w:val="00F93E53"/>
    <w:rsid w:val="00F94346"/>
    <w:rsid w:val="00F9582A"/>
    <w:rsid w:val="00F95F43"/>
    <w:rsid w:val="00F9653B"/>
    <w:rsid w:val="00F96C06"/>
    <w:rsid w:val="00FA0420"/>
    <w:rsid w:val="00FA04DE"/>
    <w:rsid w:val="00FA0C42"/>
    <w:rsid w:val="00FA0E46"/>
    <w:rsid w:val="00FA138B"/>
    <w:rsid w:val="00FA190E"/>
    <w:rsid w:val="00FA255E"/>
    <w:rsid w:val="00FA2A97"/>
    <w:rsid w:val="00FA3353"/>
    <w:rsid w:val="00FA424B"/>
    <w:rsid w:val="00FA44B0"/>
    <w:rsid w:val="00FA4EAA"/>
    <w:rsid w:val="00FA5885"/>
    <w:rsid w:val="00FA5C19"/>
    <w:rsid w:val="00FA68D9"/>
    <w:rsid w:val="00FA6ECD"/>
    <w:rsid w:val="00FA72CB"/>
    <w:rsid w:val="00FA781B"/>
    <w:rsid w:val="00FA7CAF"/>
    <w:rsid w:val="00FB03F4"/>
    <w:rsid w:val="00FB10D9"/>
    <w:rsid w:val="00FB21E6"/>
    <w:rsid w:val="00FB2B33"/>
    <w:rsid w:val="00FB33C1"/>
    <w:rsid w:val="00FB62CF"/>
    <w:rsid w:val="00FB6383"/>
    <w:rsid w:val="00FB743B"/>
    <w:rsid w:val="00FB7595"/>
    <w:rsid w:val="00FC0024"/>
    <w:rsid w:val="00FC04BB"/>
    <w:rsid w:val="00FC1484"/>
    <w:rsid w:val="00FC2AC7"/>
    <w:rsid w:val="00FC2BEC"/>
    <w:rsid w:val="00FC36BD"/>
    <w:rsid w:val="00FC37D5"/>
    <w:rsid w:val="00FC42CA"/>
    <w:rsid w:val="00FC4CAA"/>
    <w:rsid w:val="00FC4F88"/>
    <w:rsid w:val="00FC5351"/>
    <w:rsid w:val="00FC5640"/>
    <w:rsid w:val="00FC5A25"/>
    <w:rsid w:val="00FC5DB7"/>
    <w:rsid w:val="00FD0A96"/>
    <w:rsid w:val="00FD1271"/>
    <w:rsid w:val="00FD1AE6"/>
    <w:rsid w:val="00FD1FF8"/>
    <w:rsid w:val="00FD2927"/>
    <w:rsid w:val="00FD2E9A"/>
    <w:rsid w:val="00FD3C3B"/>
    <w:rsid w:val="00FD4D43"/>
    <w:rsid w:val="00FD5A31"/>
    <w:rsid w:val="00FD6432"/>
    <w:rsid w:val="00FD6488"/>
    <w:rsid w:val="00FD66A3"/>
    <w:rsid w:val="00FD6A0A"/>
    <w:rsid w:val="00FD7389"/>
    <w:rsid w:val="00FD7B45"/>
    <w:rsid w:val="00FD7D56"/>
    <w:rsid w:val="00FD7F71"/>
    <w:rsid w:val="00FE05C7"/>
    <w:rsid w:val="00FE24B7"/>
    <w:rsid w:val="00FE2E5F"/>
    <w:rsid w:val="00FE3B64"/>
    <w:rsid w:val="00FE46D3"/>
    <w:rsid w:val="00FE4756"/>
    <w:rsid w:val="00FE485E"/>
    <w:rsid w:val="00FE48B0"/>
    <w:rsid w:val="00FE4CBF"/>
    <w:rsid w:val="00FE53E7"/>
    <w:rsid w:val="00FE680C"/>
    <w:rsid w:val="00FE6B45"/>
    <w:rsid w:val="00FE7051"/>
    <w:rsid w:val="00FE7AE3"/>
    <w:rsid w:val="00FF0F93"/>
    <w:rsid w:val="00FF1D26"/>
    <w:rsid w:val="00FF1D6A"/>
    <w:rsid w:val="00FF216F"/>
    <w:rsid w:val="00FF389D"/>
    <w:rsid w:val="00FF3978"/>
    <w:rsid w:val="00FF42FD"/>
    <w:rsid w:val="00FF4E8F"/>
    <w:rsid w:val="00FF5007"/>
    <w:rsid w:val="00FF5324"/>
    <w:rsid w:val="00FF55F3"/>
    <w:rsid w:val="00FF5851"/>
    <w:rsid w:val="00FF5B55"/>
    <w:rsid w:val="00FF6462"/>
    <w:rsid w:val="00FF6E48"/>
    <w:rsid w:val="00FF76F2"/>
    <w:rsid w:val="00FF79E6"/>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9D14E7"/>
    <w:pPr>
      <w:keepNext/>
      <w:keepLines/>
      <w:numPr>
        <w:numId w:val="53"/>
      </w:numPr>
      <w:ind w:left="0" w:firstLine="0"/>
      <w:outlineLvl w:val="0"/>
    </w:pPr>
    <w:rPr>
      <w:rFonts w:asciiTheme="majorHAnsi" w:eastAsiaTheme="majorEastAsia" w:hAnsiTheme="majorHAnsi" w:cstheme="majorBidi"/>
      <w:b/>
      <w:bCs/>
      <w:sz w:val="20"/>
      <w:szCs w:val="20"/>
      <w:lang w:val="en-US"/>
    </w:rPr>
  </w:style>
  <w:style w:type="paragraph" w:styleId="Heading2">
    <w:name w:val="heading 2"/>
    <w:basedOn w:val="Normal"/>
    <w:next w:val="Normal"/>
    <w:link w:val="Heading2Char"/>
    <w:qFormat/>
    <w:rsid w:val="009D14E7"/>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1"/>
    </w:pPr>
    <w:rPr>
      <w:rFonts w:asciiTheme="majorHAnsi" w:eastAsia="Times New Roman" w:hAnsiTheme="majorHAnsi" w:cs="Arial"/>
      <w:b/>
      <w:bCs/>
      <w:iCs/>
      <w:sz w:val="20"/>
      <w:szCs w:val="20"/>
      <w:bdr w:val="none" w:sz="0" w:space="0" w:color="auto"/>
      <w:lang w:val="en-US"/>
    </w:rPr>
  </w:style>
  <w:style w:type="paragraph" w:styleId="Heading3">
    <w:name w:val="heading 3"/>
    <w:basedOn w:val="Normal"/>
    <w:next w:val="Normal"/>
    <w:link w:val="Heading3Char"/>
    <w:qFormat/>
    <w:rsid w:val="007B681D"/>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left="720" w:hanging="720"/>
      <w:outlineLvl w:val="2"/>
    </w:pPr>
    <w:rPr>
      <w:rFonts w:asciiTheme="majorHAnsi" w:eastAsia="Times New Roman" w:hAnsiTheme="majorHAnsi" w:cs="Arial"/>
      <w:b/>
      <w:bCs/>
      <w:sz w:val="20"/>
      <w:szCs w:val="20"/>
      <w:bdr w:val="none" w:sz="0" w:space="0" w:color="auto"/>
      <w:lang w:val="en-US"/>
    </w:rPr>
  </w:style>
  <w:style w:type="paragraph" w:styleId="Heading5">
    <w:name w:val="heading 5"/>
    <w:basedOn w:val="Normal"/>
    <w:next w:val="Normal"/>
    <w:link w:val="Heading5Char"/>
    <w:uiPriority w:val="9"/>
    <w:unhideWhenUsed/>
    <w:qFormat/>
    <w:rsid w:val="00713B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Colorful List - Accent 1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D14E7"/>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24651F"/>
    <w:pPr>
      <w:tabs>
        <w:tab w:val="left" w:pos="1440"/>
        <w:tab w:val="right" w:leader="dot" w:pos="9350"/>
      </w:tabs>
      <w:spacing w:after="100"/>
      <w:ind w:left="1440" w:hanging="720"/>
    </w:pPr>
    <w:rPr>
      <w:rFonts w:asciiTheme="majorHAnsi" w:hAnsiTheme="majorHAnsi"/>
      <w:noProof/>
      <w:sz w:val="20"/>
      <w:szCs w:val="20"/>
      <w:lang w:val="en-US"/>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441BEA"/>
    <w:pPr>
      <w:tabs>
        <w:tab w:val="left" w:pos="880"/>
        <w:tab w:val="left" w:pos="2160"/>
        <w:tab w:val="right" w:leader="dot" w:pos="9350"/>
      </w:tabs>
      <w:spacing w:after="100"/>
      <w:ind w:left="2160" w:hanging="720"/>
    </w:pPr>
    <w:rPr>
      <w:rFonts w:asciiTheme="majorHAnsi" w:hAnsiTheme="majorHAnsi"/>
      <w:noProof/>
      <w:sz w:val="20"/>
      <w:szCs w:val="20"/>
      <w:lang w:val="en-US"/>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9D14E7"/>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rsid w:val="007B681D"/>
    <w:rPr>
      <w:rFonts w:asciiTheme="majorHAnsi" w:eastAsia="Times New Roman" w:hAnsiTheme="majorHAnsi" w:cs="Arial"/>
      <w:b/>
      <w:bCs/>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unhideWhenUsed/>
    <w:rsid w:val="00406DA6"/>
    <w:rPr>
      <w:sz w:val="20"/>
      <w:szCs w:val="20"/>
    </w:rPr>
  </w:style>
  <w:style w:type="character" w:customStyle="1" w:styleId="CommentTextChar">
    <w:name w:val="Comment Text Char"/>
    <w:basedOn w:val="DefaultParagraphFont"/>
    <w:link w:val="CommentText"/>
    <w:uiPriority w:val="99"/>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C4D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table" w:styleId="TableGrid">
    <w:name w:val="Table Grid"/>
    <w:basedOn w:val="TableNormal"/>
    <w:uiPriority w:val="59"/>
    <w:rsid w:val="004670A6"/>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pPr>
    <w:rPr>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rafosChar">
    <w:name w:val="parrafos Char"/>
    <w:basedOn w:val="DefaultParagraphFont"/>
    <w:link w:val="parrafos"/>
    <w:locked/>
    <w:rsid w:val="0050332B"/>
    <w:rPr>
      <w:rFonts w:asciiTheme="majorHAnsi" w:hAnsiTheme="majorHAnsi"/>
      <w:color w:val="000000" w:themeColor="text1"/>
      <w:lang w:val="es-VE" w:eastAsia="en-US"/>
    </w:rPr>
  </w:style>
  <w:style w:type="paragraph" w:customStyle="1" w:styleId="parrafos">
    <w:name w:val="parrafos"/>
    <w:basedOn w:val="Normal"/>
    <w:link w:val="parrafosChar"/>
    <w:qFormat/>
    <w:rsid w:val="005033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ListParagraphChar">
    <w:name w:val="List Paragraph Char"/>
    <w:aliases w:val="Párrafo de lista1 Char,List Paragraph1 Char,Colorful List - Accent 11 Char,List Paragraph11 Char,List Paragraph2 Char,Colorful List - Accent 12 Char,Lista vistosa - Énfasis 11 Char"/>
    <w:link w:val="ListParagraph"/>
    <w:uiPriority w:val="99"/>
    <w:locked/>
    <w:rsid w:val="00DD5403"/>
    <w:rPr>
      <w:rFonts w:ascii="Cambria" w:eastAsia="Cambria" w:hAnsi="Cambria" w:cs="Cambria"/>
      <w:color w:val="000000"/>
      <w:sz w:val="24"/>
      <w:szCs w:val="24"/>
      <w:u w:color="000000"/>
      <w:lang w:val="en-US"/>
    </w:rPr>
  </w:style>
  <w:style w:type="paragraph" w:customStyle="1" w:styleId="Refdenotaalpi">
    <w:name w:val="Ref. de nota al pi"/>
    <w:aliases w:val="f1"/>
    <w:basedOn w:val="Normal"/>
    <w:uiPriority w:val="99"/>
    <w:rsid w:val="00061170"/>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eastAsia="es-ES"/>
    </w:rPr>
  </w:style>
  <w:style w:type="character" w:styleId="Strong">
    <w:name w:val="Strong"/>
    <w:uiPriority w:val="22"/>
    <w:qFormat/>
    <w:rsid w:val="00061170"/>
    <w:rPr>
      <w:b/>
      <w:bCs/>
    </w:rPr>
  </w:style>
  <w:style w:type="paragraph" w:customStyle="1" w:styleId="Footnotes">
    <w:name w:val="Footnotes"/>
    <w:basedOn w:val="FootnoteText"/>
    <w:qFormat/>
    <w:rsid w:val="00740166"/>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Times New Roman" w:hAnsi="Cambria" w:cs="Times New Roman"/>
      <w:color w:val="auto"/>
      <w:sz w:val="18"/>
      <w:szCs w:val="18"/>
      <w:bdr w:val="none" w:sz="0" w:space="0" w:color="auto"/>
      <w:lang w:eastAsia="en-US"/>
    </w:rPr>
  </w:style>
  <w:style w:type="paragraph" w:styleId="TOCHeading">
    <w:name w:val="TOC Heading"/>
    <w:basedOn w:val="Heading1"/>
    <w:next w:val="Normal"/>
    <w:uiPriority w:val="39"/>
    <w:unhideWhenUsed/>
    <w:qFormat/>
    <w:rsid w:val="00536F6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color w:val="365F91" w:themeColor="accent1" w:themeShade="BF"/>
      <w:sz w:val="32"/>
      <w:szCs w:val="32"/>
      <w:bdr w:val="none" w:sz="0" w:space="0" w:color="auto"/>
    </w:rPr>
  </w:style>
  <w:style w:type="paragraph" w:styleId="NormalWeb">
    <w:name w:val="Normal (Web)"/>
    <w:basedOn w:val="Normal"/>
    <w:uiPriority w:val="99"/>
    <w:unhideWhenUsed/>
    <w:rsid w:val="001F0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paragraph" w:styleId="Revision">
    <w:name w:val="Revision"/>
    <w:hidden/>
    <w:uiPriority w:val="99"/>
    <w:semiHidden/>
    <w:rsid w:val="00985C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FollowedHyperlink">
    <w:name w:val="FollowedHyperlink"/>
    <w:basedOn w:val="DefaultParagraphFont"/>
    <w:uiPriority w:val="99"/>
    <w:semiHidden/>
    <w:unhideWhenUsed/>
    <w:rsid w:val="007E2E80"/>
    <w:rPr>
      <w:color w:val="800080" w:themeColor="followedHyperlink"/>
      <w:u w:val="single"/>
    </w:rPr>
  </w:style>
  <w:style w:type="character" w:customStyle="1" w:styleId="UnresolvedMention1">
    <w:name w:val="Unresolved Mention1"/>
    <w:basedOn w:val="DefaultParagraphFont"/>
    <w:uiPriority w:val="99"/>
    <w:semiHidden/>
    <w:unhideWhenUsed/>
    <w:rsid w:val="006670C6"/>
    <w:rPr>
      <w:color w:val="605E5C"/>
      <w:shd w:val="clear" w:color="auto" w:fill="E1DFDD"/>
    </w:rPr>
  </w:style>
  <w:style w:type="character" w:customStyle="1" w:styleId="EnlacedeInternet">
    <w:name w:val="Enlace de Internet"/>
    <w:uiPriority w:val="99"/>
    <w:unhideWhenUsed/>
    <w:rsid w:val="00031E08"/>
    <w:rPr>
      <w:color w:val="0000FF"/>
      <w:u w:val="single"/>
    </w:rPr>
  </w:style>
  <w:style w:type="paragraph" w:styleId="NoSpacing">
    <w:name w:val="No Spacing"/>
    <w:aliases w:val="Informes"/>
    <w:link w:val="NoSpacingChar"/>
    <w:uiPriority w:val="1"/>
    <w:qFormat/>
    <w:rsid w:val="005B3B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20"/>
      <w:jc w:val="both"/>
    </w:pPr>
    <w:rPr>
      <w:rFonts w:ascii="Cambria" w:eastAsia="Times New Roman" w:hAnsi="Cambria"/>
      <w:szCs w:val="22"/>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5806D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200" w:after="160" w:line="240" w:lineRule="exact"/>
      <w:ind w:left="544" w:hanging="544"/>
      <w:jc w:val="both"/>
    </w:pPr>
    <w:rPr>
      <w:rFonts w:asciiTheme="minorHAnsi" w:eastAsia="Times New Roman" w:hAnsiTheme="minorHAnsi"/>
      <w:sz w:val="22"/>
      <w:szCs w:val="22"/>
      <w:bdr w:val="none" w:sz="0" w:space="0" w:color="auto"/>
      <w:vertAlign w:val="superscript"/>
      <w:lang w:val="en-US"/>
    </w:rPr>
  </w:style>
  <w:style w:type="character" w:customStyle="1" w:styleId="Internetlink">
    <w:name w:val="Internet link"/>
    <w:rsid w:val="005806D4"/>
    <w:rPr>
      <w:color w:val="0000FF"/>
      <w:u w:val="single"/>
    </w:rPr>
  </w:style>
  <w:style w:type="character" w:customStyle="1" w:styleId="NoSpacingChar">
    <w:name w:val="No Spacing Char"/>
    <w:aliases w:val="Informes Char"/>
    <w:link w:val="NoSpacing"/>
    <w:uiPriority w:val="1"/>
    <w:qFormat/>
    <w:locked/>
    <w:rsid w:val="005806D4"/>
    <w:rPr>
      <w:rFonts w:ascii="Cambria" w:eastAsia="Times New Roman" w:hAnsi="Cambria"/>
      <w:szCs w:val="22"/>
      <w:bdr w:val="none" w:sz="0" w:space="0" w:color="auto"/>
      <w:lang w:val="en-US" w:eastAsia="en-US"/>
    </w:rPr>
  </w:style>
  <w:style w:type="character" w:customStyle="1" w:styleId="UnresolvedMention2">
    <w:name w:val="Unresolved Mention2"/>
    <w:basedOn w:val="DefaultParagraphFont"/>
    <w:uiPriority w:val="99"/>
    <w:semiHidden/>
    <w:unhideWhenUsed/>
    <w:rsid w:val="003A5D2A"/>
    <w:rPr>
      <w:color w:val="605E5C"/>
      <w:shd w:val="clear" w:color="auto" w:fill="E1DFDD"/>
    </w:rPr>
  </w:style>
  <w:style w:type="table" w:customStyle="1" w:styleId="TableGrid1">
    <w:name w:val="Table Grid1"/>
    <w:basedOn w:val="TableNormal"/>
    <w:next w:val="TableGrid"/>
    <w:uiPriority w:val="59"/>
    <w:rsid w:val="00AC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0A695C"/>
    <w:rPr>
      <w:rFonts w:ascii="Cambria" w:eastAsia="Cambria" w:hAnsi="Cambria" w:cs="Cambria"/>
      <w:outline w:val="0"/>
      <w:color w:val="0000FF"/>
      <w:sz w:val="16"/>
      <w:szCs w:val="16"/>
      <w:u w:val="single" w:color="0000FF"/>
      <w:lang w:val="es-ES_tradnl"/>
    </w:rPr>
  </w:style>
  <w:style w:type="character" w:customStyle="1" w:styleId="Heading5Char">
    <w:name w:val="Heading 5 Char"/>
    <w:basedOn w:val="DefaultParagraphFont"/>
    <w:link w:val="Heading5"/>
    <w:uiPriority w:val="9"/>
    <w:rsid w:val="00713B50"/>
    <w:rPr>
      <w:rFonts w:asciiTheme="majorHAnsi" w:eastAsiaTheme="majorEastAsia" w:hAnsiTheme="majorHAnsi" w:cstheme="majorBidi"/>
      <w:color w:val="365F91" w:themeColor="accent1" w:themeShade="BF"/>
      <w:sz w:val="24"/>
      <w:szCs w:val="24"/>
      <w:lang w:eastAsia="en-US"/>
    </w:rPr>
  </w:style>
  <w:style w:type="character" w:customStyle="1" w:styleId="None">
    <w:name w:val="None"/>
    <w:rsid w:val="00713B50"/>
  </w:style>
  <w:style w:type="paragraph" w:customStyle="1" w:styleId="Body">
    <w:name w:val="Body"/>
    <w:rsid w:val="00713B50"/>
    <w:rPr>
      <w:rFonts w:cs="Arial Unicode MS"/>
      <w:color w:val="000000"/>
      <w:sz w:val="24"/>
      <w:szCs w:val="24"/>
      <w:u w:color="000000"/>
      <w:lang w:val="en-US" w:eastAsia="en-US"/>
      <w14:textOutline w14:w="0" w14:cap="flat" w14:cmpd="sng" w14:algn="ctr">
        <w14:noFill/>
        <w14:prstDash w14:val="solid"/>
        <w14:bevel/>
      </w14:textOutline>
    </w:rPr>
  </w:style>
  <w:style w:type="numbering" w:customStyle="1" w:styleId="ImportedStyle2">
    <w:name w:val="Imported Style 2"/>
    <w:rsid w:val="00713B50"/>
    <w:pPr>
      <w:numPr>
        <w:numId w:val="62"/>
      </w:numPr>
    </w:pPr>
  </w:style>
  <w:style w:type="character" w:customStyle="1" w:styleId="Hyperlink10">
    <w:name w:val="Hyperlink.10"/>
    <w:basedOn w:val="None"/>
    <w:rsid w:val="00713B50"/>
    <w:rPr>
      <w:rFonts w:ascii="Cambria" w:eastAsia="Cambria" w:hAnsi="Cambria" w:cs="Cambria"/>
      <w:i/>
      <w:iCs/>
      <w:outline w:val="0"/>
      <w:color w:val="0000FF"/>
      <w:sz w:val="16"/>
      <w:szCs w:val="16"/>
      <w:u w:val="single" w:color="0000FF"/>
      <w:shd w:val="clear" w:color="auto" w:fill="00FF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072">
      <w:bodyDiv w:val="1"/>
      <w:marLeft w:val="0"/>
      <w:marRight w:val="0"/>
      <w:marTop w:val="0"/>
      <w:marBottom w:val="0"/>
      <w:divBdr>
        <w:top w:val="none" w:sz="0" w:space="0" w:color="auto"/>
        <w:left w:val="none" w:sz="0" w:space="0" w:color="auto"/>
        <w:bottom w:val="none" w:sz="0" w:space="0" w:color="auto"/>
        <w:right w:val="none" w:sz="0" w:space="0" w:color="auto"/>
      </w:divBdr>
    </w:div>
    <w:div w:id="229272779">
      <w:bodyDiv w:val="1"/>
      <w:marLeft w:val="0"/>
      <w:marRight w:val="0"/>
      <w:marTop w:val="0"/>
      <w:marBottom w:val="0"/>
      <w:divBdr>
        <w:top w:val="none" w:sz="0" w:space="0" w:color="auto"/>
        <w:left w:val="none" w:sz="0" w:space="0" w:color="auto"/>
        <w:bottom w:val="none" w:sz="0" w:space="0" w:color="auto"/>
        <w:right w:val="none" w:sz="0" w:space="0" w:color="auto"/>
      </w:divBdr>
    </w:div>
    <w:div w:id="392773846">
      <w:bodyDiv w:val="1"/>
      <w:marLeft w:val="0"/>
      <w:marRight w:val="0"/>
      <w:marTop w:val="0"/>
      <w:marBottom w:val="0"/>
      <w:divBdr>
        <w:top w:val="none" w:sz="0" w:space="0" w:color="auto"/>
        <w:left w:val="none" w:sz="0" w:space="0" w:color="auto"/>
        <w:bottom w:val="none" w:sz="0" w:space="0" w:color="auto"/>
        <w:right w:val="none" w:sz="0" w:space="0" w:color="auto"/>
      </w:divBdr>
    </w:div>
    <w:div w:id="409280704">
      <w:bodyDiv w:val="1"/>
      <w:marLeft w:val="0"/>
      <w:marRight w:val="0"/>
      <w:marTop w:val="0"/>
      <w:marBottom w:val="0"/>
      <w:divBdr>
        <w:top w:val="none" w:sz="0" w:space="0" w:color="auto"/>
        <w:left w:val="none" w:sz="0" w:space="0" w:color="auto"/>
        <w:bottom w:val="none" w:sz="0" w:space="0" w:color="auto"/>
        <w:right w:val="none" w:sz="0" w:space="0" w:color="auto"/>
      </w:divBdr>
    </w:div>
    <w:div w:id="409741480">
      <w:bodyDiv w:val="1"/>
      <w:marLeft w:val="0"/>
      <w:marRight w:val="0"/>
      <w:marTop w:val="0"/>
      <w:marBottom w:val="0"/>
      <w:divBdr>
        <w:top w:val="none" w:sz="0" w:space="0" w:color="auto"/>
        <w:left w:val="none" w:sz="0" w:space="0" w:color="auto"/>
        <w:bottom w:val="none" w:sz="0" w:space="0" w:color="auto"/>
        <w:right w:val="none" w:sz="0" w:space="0" w:color="auto"/>
      </w:divBdr>
    </w:div>
    <w:div w:id="511341718">
      <w:bodyDiv w:val="1"/>
      <w:marLeft w:val="0"/>
      <w:marRight w:val="0"/>
      <w:marTop w:val="0"/>
      <w:marBottom w:val="0"/>
      <w:divBdr>
        <w:top w:val="none" w:sz="0" w:space="0" w:color="auto"/>
        <w:left w:val="none" w:sz="0" w:space="0" w:color="auto"/>
        <w:bottom w:val="none" w:sz="0" w:space="0" w:color="auto"/>
        <w:right w:val="none" w:sz="0" w:space="0" w:color="auto"/>
      </w:divBdr>
      <w:divsChild>
        <w:div w:id="557981962">
          <w:marLeft w:val="0"/>
          <w:marRight w:val="0"/>
          <w:marTop w:val="0"/>
          <w:marBottom w:val="0"/>
          <w:divBdr>
            <w:top w:val="none" w:sz="0" w:space="0" w:color="auto"/>
            <w:left w:val="none" w:sz="0" w:space="0" w:color="auto"/>
            <w:bottom w:val="none" w:sz="0" w:space="0" w:color="auto"/>
            <w:right w:val="none" w:sz="0" w:space="0" w:color="auto"/>
          </w:divBdr>
          <w:divsChild>
            <w:div w:id="1266769050">
              <w:marLeft w:val="0"/>
              <w:marRight w:val="0"/>
              <w:marTop w:val="0"/>
              <w:marBottom w:val="0"/>
              <w:divBdr>
                <w:top w:val="none" w:sz="0" w:space="0" w:color="auto"/>
                <w:left w:val="none" w:sz="0" w:space="0" w:color="auto"/>
                <w:bottom w:val="none" w:sz="0" w:space="0" w:color="auto"/>
                <w:right w:val="none" w:sz="0" w:space="0" w:color="auto"/>
              </w:divBdr>
              <w:divsChild>
                <w:div w:id="18002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20774">
      <w:bodyDiv w:val="1"/>
      <w:marLeft w:val="0"/>
      <w:marRight w:val="0"/>
      <w:marTop w:val="0"/>
      <w:marBottom w:val="0"/>
      <w:divBdr>
        <w:top w:val="none" w:sz="0" w:space="0" w:color="auto"/>
        <w:left w:val="none" w:sz="0" w:space="0" w:color="auto"/>
        <w:bottom w:val="none" w:sz="0" w:space="0" w:color="auto"/>
        <w:right w:val="none" w:sz="0" w:space="0" w:color="auto"/>
      </w:divBdr>
    </w:div>
    <w:div w:id="621765050">
      <w:bodyDiv w:val="1"/>
      <w:marLeft w:val="0"/>
      <w:marRight w:val="0"/>
      <w:marTop w:val="0"/>
      <w:marBottom w:val="0"/>
      <w:divBdr>
        <w:top w:val="none" w:sz="0" w:space="0" w:color="auto"/>
        <w:left w:val="none" w:sz="0" w:space="0" w:color="auto"/>
        <w:bottom w:val="none" w:sz="0" w:space="0" w:color="auto"/>
        <w:right w:val="none" w:sz="0" w:space="0" w:color="auto"/>
      </w:divBdr>
    </w:div>
    <w:div w:id="691732665">
      <w:bodyDiv w:val="1"/>
      <w:marLeft w:val="0"/>
      <w:marRight w:val="0"/>
      <w:marTop w:val="0"/>
      <w:marBottom w:val="0"/>
      <w:divBdr>
        <w:top w:val="none" w:sz="0" w:space="0" w:color="auto"/>
        <w:left w:val="none" w:sz="0" w:space="0" w:color="auto"/>
        <w:bottom w:val="none" w:sz="0" w:space="0" w:color="auto"/>
        <w:right w:val="none" w:sz="0" w:space="0" w:color="auto"/>
      </w:divBdr>
    </w:div>
    <w:div w:id="691954706">
      <w:bodyDiv w:val="1"/>
      <w:marLeft w:val="0"/>
      <w:marRight w:val="0"/>
      <w:marTop w:val="0"/>
      <w:marBottom w:val="0"/>
      <w:divBdr>
        <w:top w:val="none" w:sz="0" w:space="0" w:color="auto"/>
        <w:left w:val="none" w:sz="0" w:space="0" w:color="auto"/>
        <w:bottom w:val="none" w:sz="0" w:space="0" w:color="auto"/>
        <w:right w:val="none" w:sz="0" w:space="0" w:color="auto"/>
      </w:divBdr>
    </w:div>
    <w:div w:id="1125660535">
      <w:bodyDiv w:val="1"/>
      <w:marLeft w:val="0"/>
      <w:marRight w:val="0"/>
      <w:marTop w:val="0"/>
      <w:marBottom w:val="0"/>
      <w:divBdr>
        <w:top w:val="none" w:sz="0" w:space="0" w:color="auto"/>
        <w:left w:val="none" w:sz="0" w:space="0" w:color="auto"/>
        <w:bottom w:val="none" w:sz="0" w:space="0" w:color="auto"/>
        <w:right w:val="none" w:sz="0" w:space="0" w:color="auto"/>
      </w:divBdr>
    </w:div>
    <w:div w:id="1234193273">
      <w:bodyDiv w:val="1"/>
      <w:marLeft w:val="0"/>
      <w:marRight w:val="0"/>
      <w:marTop w:val="0"/>
      <w:marBottom w:val="0"/>
      <w:divBdr>
        <w:top w:val="none" w:sz="0" w:space="0" w:color="auto"/>
        <w:left w:val="none" w:sz="0" w:space="0" w:color="auto"/>
        <w:bottom w:val="none" w:sz="0" w:space="0" w:color="auto"/>
        <w:right w:val="none" w:sz="0" w:space="0" w:color="auto"/>
      </w:divBdr>
    </w:div>
    <w:div w:id="1322536504">
      <w:bodyDiv w:val="1"/>
      <w:marLeft w:val="0"/>
      <w:marRight w:val="0"/>
      <w:marTop w:val="0"/>
      <w:marBottom w:val="0"/>
      <w:divBdr>
        <w:top w:val="none" w:sz="0" w:space="0" w:color="auto"/>
        <w:left w:val="none" w:sz="0" w:space="0" w:color="auto"/>
        <w:bottom w:val="none" w:sz="0" w:space="0" w:color="auto"/>
        <w:right w:val="none" w:sz="0" w:space="0" w:color="auto"/>
      </w:divBdr>
    </w:div>
    <w:div w:id="1336230672">
      <w:bodyDiv w:val="1"/>
      <w:marLeft w:val="0"/>
      <w:marRight w:val="0"/>
      <w:marTop w:val="0"/>
      <w:marBottom w:val="0"/>
      <w:divBdr>
        <w:top w:val="none" w:sz="0" w:space="0" w:color="auto"/>
        <w:left w:val="none" w:sz="0" w:space="0" w:color="auto"/>
        <w:bottom w:val="none" w:sz="0" w:space="0" w:color="auto"/>
        <w:right w:val="none" w:sz="0" w:space="0" w:color="auto"/>
      </w:divBdr>
      <w:divsChild>
        <w:div w:id="164169967">
          <w:marLeft w:val="0"/>
          <w:marRight w:val="0"/>
          <w:marTop w:val="0"/>
          <w:marBottom w:val="0"/>
          <w:divBdr>
            <w:top w:val="none" w:sz="0" w:space="0" w:color="auto"/>
            <w:left w:val="none" w:sz="0" w:space="0" w:color="auto"/>
            <w:bottom w:val="none" w:sz="0" w:space="0" w:color="auto"/>
            <w:right w:val="none" w:sz="0" w:space="0" w:color="auto"/>
          </w:divBdr>
          <w:divsChild>
            <w:div w:id="93986765">
              <w:marLeft w:val="0"/>
              <w:marRight w:val="0"/>
              <w:marTop w:val="0"/>
              <w:marBottom w:val="0"/>
              <w:divBdr>
                <w:top w:val="none" w:sz="0" w:space="0" w:color="auto"/>
                <w:left w:val="none" w:sz="0" w:space="0" w:color="auto"/>
                <w:bottom w:val="none" w:sz="0" w:space="0" w:color="auto"/>
                <w:right w:val="none" w:sz="0" w:space="0" w:color="auto"/>
              </w:divBdr>
              <w:divsChild>
                <w:div w:id="185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619">
      <w:bodyDiv w:val="1"/>
      <w:marLeft w:val="0"/>
      <w:marRight w:val="0"/>
      <w:marTop w:val="0"/>
      <w:marBottom w:val="0"/>
      <w:divBdr>
        <w:top w:val="none" w:sz="0" w:space="0" w:color="auto"/>
        <w:left w:val="none" w:sz="0" w:space="0" w:color="auto"/>
        <w:bottom w:val="none" w:sz="0" w:space="0" w:color="auto"/>
        <w:right w:val="none" w:sz="0" w:space="0" w:color="auto"/>
      </w:divBdr>
    </w:div>
    <w:div w:id="1560706534">
      <w:bodyDiv w:val="1"/>
      <w:marLeft w:val="0"/>
      <w:marRight w:val="0"/>
      <w:marTop w:val="0"/>
      <w:marBottom w:val="0"/>
      <w:divBdr>
        <w:top w:val="none" w:sz="0" w:space="0" w:color="auto"/>
        <w:left w:val="none" w:sz="0" w:space="0" w:color="auto"/>
        <w:bottom w:val="none" w:sz="0" w:space="0" w:color="auto"/>
        <w:right w:val="none" w:sz="0" w:space="0" w:color="auto"/>
      </w:divBdr>
      <w:divsChild>
        <w:div w:id="1031952759">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0"/>
              <w:marBottom w:val="0"/>
              <w:divBdr>
                <w:top w:val="none" w:sz="0" w:space="0" w:color="auto"/>
                <w:left w:val="none" w:sz="0" w:space="0" w:color="auto"/>
                <w:bottom w:val="none" w:sz="0" w:space="0" w:color="auto"/>
                <w:right w:val="none" w:sz="0" w:space="0" w:color="auto"/>
              </w:divBdr>
              <w:divsChild>
                <w:div w:id="6390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7332542">
      <w:bodyDiv w:val="1"/>
      <w:marLeft w:val="0"/>
      <w:marRight w:val="0"/>
      <w:marTop w:val="0"/>
      <w:marBottom w:val="0"/>
      <w:divBdr>
        <w:top w:val="none" w:sz="0" w:space="0" w:color="auto"/>
        <w:left w:val="none" w:sz="0" w:space="0" w:color="auto"/>
        <w:bottom w:val="none" w:sz="0" w:space="0" w:color="auto"/>
        <w:right w:val="none" w:sz="0" w:space="0" w:color="auto"/>
      </w:divBdr>
    </w:div>
    <w:div w:id="1994328219">
      <w:bodyDiv w:val="1"/>
      <w:marLeft w:val="0"/>
      <w:marRight w:val="0"/>
      <w:marTop w:val="0"/>
      <w:marBottom w:val="0"/>
      <w:divBdr>
        <w:top w:val="none" w:sz="0" w:space="0" w:color="auto"/>
        <w:left w:val="none" w:sz="0" w:space="0" w:color="auto"/>
        <w:bottom w:val="none" w:sz="0" w:space="0" w:color="auto"/>
        <w:right w:val="none" w:sz="0" w:space="0" w:color="auto"/>
      </w:divBdr>
      <w:divsChild>
        <w:div w:id="1190801941">
          <w:marLeft w:val="0"/>
          <w:marRight w:val="0"/>
          <w:marTop w:val="0"/>
          <w:marBottom w:val="0"/>
          <w:divBdr>
            <w:top w:val="none" w:sz="0" w:space="0" w:color="auto"/>
            <w:left w:val="none" w:sz="0" w:space="0" w:color="auto"/>
            <w:bottom w:val="none" w:sz="0" w:space="0" w:color="auto"/>
            <w:right w:val="none" w:sz="0" w:space="0" w:color="auto"/>
          </w:divBdr>
        </w:div>
        <w:div w:id="15508042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generacionypt.wordpress.com/2011/08/02/na-propria-carne-2/" TargetMode="External"/><Relationship Id="rId21" Type="http://schemas.openxmlformats.org/officeDocument/2006/relationships/hyperlink" Target="https://generacionypt.wordpress.com/2008/07/21/ciber-mutilados-placeholders/" TargetMode="External"/><Relationship Id="rId42" Type="http://schemas.openxmlformats.org/officeDocument/2006/relationships/hyperlink" Target="https://www.reuters.com/article/portada-cuba-reforma-viajes-idLTASIE89F00H20121016" TargetMode="External"/><Relationship Id="rId47" Type="http://schemas.openxmlformats.org/officeDocument/2006/relationships/hyperlink" Target="https://www.elnuevoherald.com/ultimas-noticias/article2012539.html" TargetMode="External"/><Relationship Id="rId63" Type="http://schemas.openxmlformats.org/officeDocument/2006/relationships/hyperlink" Target="http://www.oas.org/es/cidh/audiencias/Hearings.aspx?Lang=es&amp;Session=125" TargetMode="External"/><Relationship Id="rId68" Type="http://schemas.openxmlformats.org/officeDocument/2006/relationships/hyperlink" Target="http://www.oas.org/en/iachr/reports/pdfs/Cuba2020-en.pdf" TargetMode="External"/><Relationship Id="rId84" Type="http://schemas.openxmlformats.org/officeDocument/2006/relationships/hyperlink" Target="http://www.oas.org/en/iachr/expression/docs/publications/internet_2016_eng.pdf" TargetMode="External"/><Relationship Id="rId89" Type="http://schemas.openxmlformats.org/officeDocument/2006/relationships/hyperlink" Target="http://www.oas.org/en/iachr/expression/docs/publications/internet_2016_eng.pdf" TargetMode="External"/><Relationship Id="rId7" Type="http://schemas.openxmlformats.org/officeDocument/2006/relationships/hyperlink" Target="http://www.oas.org/en/iachr/reports/pdfs/Cuba2020-en.pdf" TargetMode="External"/><Relationship Id="rId71" Type="http://schemas.openxmlformats.org/officeDocument/2006/relationships/hyperlink" Target="https://www.oas.org/en/iachr/expression/publications/Protesta/ProtestHumanRights.pdf" TargetMode="External"/><Relationship Id="rId92" Type="http://schemas.openxmlformats.org/officeDocument/2006/relationships/hyperlink" Target="http://www.oas.org/es/cidh/expresion/showarticle.asp?artID=1100&amp;lID=2" TargetMode="External"/><Relationship Id="rId2" Type="http://schemas.openxmlformats.org/officeDocument/2006/relationships/hyperlink" Target="http://www.oas.org/en/iachr/expression/docs/reports/Cuba-en.pdf" TargetMode="External"/><Relationship Id="rId16" Type="http://schemas.openxmlformats.org/officeDocument/2006/relationships/hyperlink" Target="https://www.14ymedio.com/blogs/generacion_y/generacion_y-yoani_sanchez-cuba-habana_7_1558714114.html" TargetMode="External"/><Relationship Id="rId29" Type="http://schemas.openxmlformats.org/officeDocument/2006/relationships/hyperlink" Target="https://www.periodismociudadano.com/la-blogger-cubana-yoani-sanchez-gana-el-premio-ortega-y-gasset-de-periodismo-digital/" TargetMode="External"/><Relationship Id="rId11" Type="http://schemas.openxmlformats.org/officeDocument/2006/relationships/hyperlink" Target="http://www.oas.org/en/iachr/expression/docs/reports/Cuba-en.pdf" TargetMode="External"/><Relationship Id="rId24" Type="http://schemas.openxmlformats.org/officeDocument/2006/relationships/hyperlink" Target="https://generacionypt.wordpress.com/2010/04/10/do-leite-a-barricada/" TargetMode="External"/><Relationship Id="rId32" Type="http://schemas.openxmlformats.org/officeDocument/2006/relationships/hyperlink" Target="http://content.time.com/time/specials/packages/article/0,28804,1879276_1879279_1879300,00.html" TargetMode="External"/><Relationship Id="rId37" Type="http://schemas.openxmlformats.org/officeDocument/2006/relationships/hyperlink" Target="https://www.reuters.com/article/us-usa-cuba-blogger/cuba-stops-blogger-traveling-to-nyc-to-accept-prize-idUSTRE59C5VB20091013" TargetMode="External"/><Relationship Id="rId40" Type="http://schemas.openxmlformats.org/officeDocument/2006/relationships/hyperlink" Target="http://www.fhrcuba.org/2012/01/yoani-sanchez-included-in-foreign-policy-magazines-top-100-global-thinkers-list/" TargetMode="External"/><Relationship Id="rId45" Type="http://schemas.openxmlformats.org/officeDocument/2006/relationships/hyperlink" Target="https://www.reuters.com/article/internet-cuba-usa-ciberwar-idLTASIE7160SY20110207" TargetMode="External"/><Relationship Id="rId53" Type="http://schemas.openxmlformats.org/officeDocument/2006/relationships/hyperlink" Target="http://www.cubadebate.cu/?s=Yoani" TargetMode="External"/><Relationship Id="rId58" Type="http://schemas.openxmlformats.org/officeDocument/2006/relationships/hyperlink" Target="https://tbinternet.ohchr.org/Treaties/CEDAW/Shared%20Documents/1_Global/INT_CEDAW_GEC_3731_E.pdf" TargetMode="External"/><Relationship Id="rId66" Type="http://schemas.openxmlformats.org/officeDocument/2006/relationships/hyperlink" Target="http://www.oas.org/es/cidh/informes/pdfs/Cuba2020-es.pdf" TargetMode="External"/><Relationship Id="rId74" Type="http://schemas.openxmlformats.org/officeDocument/2006/relationships/hyperlink" Target="http://www.oas.org/en/iachr/expression/docs/publications/internet_2016_eng.pdf" TargetMode="External"/><Relationship Id="rId79" Type="http://schemas.openxmlformats.org/officeDocument/2006/relationships/hyperlink" Target="http://www.oas.org/en/iachr/expression/docs/publications/internet_2016_eng.pdf" TargetMode="External"/><Relationship Id="rId87" Type="http://schemas.openxmlformats.org/officeDocument/2006/relationships/hyperlink" Target="http://www.oas.org/en/iachr/expression/docs/publications/internet_2016_eng.pdf" TargetMode="External"/><Relationship Id="rId102" Type="http://schemas.openxmlformats.org/officeDocument/2006/relationships/hyperlink" Target="http://www.oas.org/en/iachr/expression/docs/reports/Cuba-en.pdf" TargetMode="External"/><Relationship Id="rId5" Type="http://schemas.openxmlformats.org/officeDocument/2006/relationships/hyperlink" Target="http://www.cidh.oas.org/annualrep/2007sp/cap4Cuba.sp.htm" TargetMode="External"/><Relationship Id="rId61" Type="http://schemas.openxmlformats.org/officeDocument/2006/relationships/hyperlink" Target="http://www.oas.org/en/iachr/expression/docs/reports/WomenJournalists.pdf" TargetMode="External"/><Relationship Id="rId82" Type="http://schemas.openxmlformats.org/officeDocument/2006/relationships/hyperlink" Target="http://www.oas.org/en/iachr/expression/docs/publications/internet_2016_eng.pdf" TargetMode="External"/><Relationship Id="rId90" Type="http://schemas.openxmlformats.org/officeDocument/2006/relationships/hyperlink" Target="http://www.oas.org/en/iachr/expression/showarticle.asp?artID=849&amp;lID=1" TargetMode="External"/><Relationship Id="rId95" Type="http://schemas.openxmlformats.org/officeDocument/2006/relationships/hyperlink" Target="http://www.oas.org/en/iachr/expression/docs/publications/zonas_silenciadas_eng.pdf" TargetMode="External"/><Relationship Id="rId19" Type="http://schemas.openxmlformats.org/officeDocument/2006/relationships/hyperlink" Target="https://www.14ymedio.com/blogs/generacion_y/sospecho-sospechas-sospechamos_7_123057694.html" TargetMode="External"/><Relationship Id="rId14" Type="http://schemas.openxmlformats.org/officeDocument/2006/relationships/hyperlink" Target="http://www.oas.org/en/iachr/reports/pdfs/Cuba2020-en.pdf" TargetMode="External"/><Relationship Id="rId22" Type="http://schemas.openxmlformats.org/officeDocument/2006/relationships/hyperlink" Target="https://www.14ymedio.com/blogs/generacion_y/Leche-agua-sombra_7_508219174.html" TargetMode="External"/><Relationship Id="rId27" Type="http://schemas.openxmlformats.org/officeDocument/2006/relationships/hyperlink" Target="https://www.14ymedio.com/blogs/generacion_y/planta_7_1076962294.html" TargetMode="External"/><Relationship Id="rId30" Type="http://schemas.openxmlformats.org/officeDocument/2006/relationships/hyperlink" Target="http://content.time.com/time/specials/2007/article/0,28804,1733748_1733756_1735878,00.html" TargetMode="External"/><Relationship Id="rId35" Type="http://schemas.openxmlformats.org/officeDocument/2006/relationships/hyperlink" Target="https://d.docs.live.net/20895565342ea0bb/Documents/CIDH/Peticiones%20y%20casos/Yoani%20Sanchez%20Vs.%20Cuba/Yoani%20se%20lleva%20el%20Premio%20The%20Bobs%20al%20mejor%20blog%20del%202008" TargetMode="External"/><Relationship Id="rId43" Type="http://schemas.openxmlformats.org/officeDocument/2006/relationships/hyperlink" Target="https://www.bbc.com/mundo/noticias/2012/10/121016_ultnot_cuba_permisos_viaje_extranjero_jmp" TargetMode="External"/><Relationship Id="rId48" Type="http://schemas.openxmlformats.org/officeDocument/2006/relationships/hyperlink" Target="https://www.youtube.com/watch?v=9r6fXWI98HU" TargetMode="External"/><Relationship Id="rId56" Type="http://schemas.openxmlformats.org/officeDocument/2006/relationships/hyperlink" Target="https://www.oas.org/en/iachr/mandate/Basics/principlesdeprived.asp" TargetMode="External"/><Relationship Id="rId64" Type="http://schemas.openxmlformats.org/officeDocument/2006/relationships/hyperlink" Target="https://cubalex.org/2020/08/04/asi-reprimen-a-las-mujeres-cubanas/" TargetMode="External"/><Relationship Id="rId69" Type="http://schemas.openxmlformats.org/officeDocument/2006/relationships/hyperlink" Target="https://www.oas.org/en/iachr/expression/publications/Protesta/ProtestHumanRights.pdf" TargetMode="External"/><Relationship Id="rId77" Type="http://schemas.openxmlformats.org/officeDocument/2006/relationships/hyperlink" Target="http://www.oas.org/en/iachr/expression/docs/publications/internet_2016_eng.pdf" TargetMode="External"/><Relationship Id="rId100" Type="http://schemas.openxmlformats.org/officeDocument/2006/relationships/hyperlink" Target="http://www.oas.org/es/cidh/expresion/docs/publicaciones/ZONAS_SILENCIADAS_ESP.pdf" TargetMode="External"/><Relationship Id="rId105" Type="http://schemas.openxmlformats.org/officeDocument/2006/relationships/hyperlink" Target="http://www.oas.org/en/iachr/expression/showarticle.asp?artID=951&amp;lID=1" TargetMode="External"/><Relationship Id="rId8" Type="http://schemas.openxmlformats.org/officeDocument/2006/relationships/hyperlink" Target="http://juriscuba.com/constitucion-de-la-republica-de-cuba-2019/" TargetMode="External"/><Relationship Id="rId51" Type="http://schemas.openxmlformats.org/officeDocument/2006/relationships/hyperlink" Target="https://www.youtube.com/watch?v=D-5DjXeAovY" TargetMode="External"/><Relationship Id="rId72" Type="http://schemas.openxmlformats.org/officeDocument/2006/relationships/hyperlink" Target="http://www.oas.org/en/iachr/expression/docs/publications/internet_2016_eng.pdf" TargetMode="External"/><Relationship Id="rId80" Type="http://schemas.openxmlformats.org/officeDocument/2006/relationships/hyperlink" Target="http://www.oas.org/en/iachr/expression/docs/reports/annual/Informe%20Anual%202009%202%20ENG.pdf" TargetMode="External"/><Relationship Id="rId85" Type="http://schemas.openxmlformats.org/officeDocument/2006/relationships/hyperlink" Target="http://www.oas.org/en/iachr/expression/docs/publications/internet_2016_eng.pdf" TargetMode="External"/><Relationship Id="rId93" Type="http://schemas.openxmlformats.org/officeDocument/2006/relationships/hyperlink" Target="http://www.oas.org/en/iachr/expression/showarticle.asp?artID=951&amp;lID=1" TargetMode="External"/><Relationship Id="rId98" Type="http://schemas.openxmlformats.org/officeDocument/2006/relationships/hyperlink" Target="http://www.oas.org/en/iachr/expression/docs/publications/zonas_silenciadas_eng.pdf" TargetMode="External"/><Relationship Id="rId3" Type="http://schemas.openxmlformats.org/officeDocument/2006/relationships/hyperlink" Target="http://www.oas.org/en/iachr/reports/pdfs/Cuba2020-en.pdf" TargetMode="External"/><Relationship Id="rId12" Type="http://schemas.openxmlformats.org/officeDocument/2006/relationships/hyperlink" Target="https://rsf.org/en/ranking_table" TargetMode="External"/><Relationship Id="rId17" Type="http://schemas.openxmlformats.org/officeDocument/2006/relationships/hyperlink" Target="http://www.oas.org/en/iachr/expression/docs/reports/Cuba-en.pdf" TargetMode="External"/><Relationship Id="rId25" Type="http://schemas.openxmlformats.org/officeDocument/2006/relationships/hyperlink" Target="https://www.14ymedio.com/blogs/generacion_y/IPhone-Rosa_7_679202074.html" TargetMode="External"/><Relationship Id="rId33" Type="http://schemas.openxmlformats.org/officeDocument/2006/relationships/hyperlink" Target="https://ipi.media/cuban-blogger-yoani-sanchez-is-named-ipis-60th-and-final-world-press-freedom-hero/" TargetMode="External"/><Relationship Id="rId38" Type="http://schemas.openxmlformats.org/officeDocument/2006/relationships/hyperlink" Target="http://www.fhrcuba.org/2012/01/yoani-sanchez-included-in-foreign-policy-magazines-top-100-global-thinkers-list/" TargetMode="External"/><Relationship Id="rId46" Type="http://schemas.openxmlformats.org/officeDocument/2006/relationships/hyperlink" Target="https://www.reuters.com/article/internet-cuba-usa-ciberwar-idLTASIE7160SY20110207" TargetMode="External"/><Relationship Id="rId59" Type="http://schemas.openxmlformats.org/officeDocument/2006/relationships/hyperlink" Target="http://www.oas.org/en/iachr/expression/docs/reports/WomenJournalists.pdf" TargetMode="External"/><Relationship Id="rId67" Type="http://schemas.openxmlformats.org/officeDocument/2006/relationships/hyperlink" Target="http://www.oas.org/es/cidh/informes/pdfs/Cuba2020-es.pdf" TargetMode="External"/><Relationship Id="rId103" Type="http://schemas.openxmlformats.org/officeDocument/2006/relationships/hyperlink" Target="http://www.oas.org/en/iachr/expression/docs/reports/Cuba-en.pdf" TargetMode="External"/><Relationship Id="rId20" Type="http://schemas.openxmlformats.org/officeDocument/2006/relationships/hyperlink" Target="https://www.14ymedio.com/blogs/generacion_y/Democracia-Chevrolet_7_280241974.html" TargetMode="External"/><Relationship Id="rId41" Type="http://schemas.openxmlformats.org/officeDocument/2006/relationships/hyperlink" Target="https://www.acnur.org/fileadmin/Documentos/BDL/2012/8950.pdf" TargetMode="External"/><Relationship Id="rId54" Type="http://schemas.openxmlformats.org/officeDocument/2006/relationships/hyperlink" Target="https://www.icrc.org/sites/default/files/topic/file_plus_list/0685_002_people-deprived-liberty_web.pdf" TargetMode="External"/><Relationship Id="rId62" Type="http://schemas.openxmlformats.org/officeDocument/2006/relationships/hyperlink" Target="http://www.oas.org/en/iachr/expression/docs/reports/WomenJournalists.pdf" TargetMode="External"/><Relationship Id="rId70" Type="http://schemas.openxmlformats.org/officeDocument/2006/relationships/hyperlink" Target="https://www.oas.org/en/iachr/expression/publications/Protesta/ProtestHumanRights.pdf" TargetMode="External"/><Relationship Id="rId75" Type="http://schemas.openxmlformats.org/officeDocument/2006/relationships/hyperlink" Target="http://www.oas.org/en/iachr/expression/docs/publications/internet_2016_eng.pdf" TargetMode="External"/><Relationship Id="rId83" Type="http://schemas.openxmlformats.org/officeDocument/2006/relationships/hyperlink" Target="http://www.oas.org/en/iachr/expression/docs/publications/internet_2016_eng.pdf" TargetMode="External"/><Relationship Id="rId88" Type="http://schemas.openxmlformats.org/officeDocument/2006/relationships/hyperlink" Target="http://www.oas.org/en/iachr/expression/docs/publications/internet_2016_eng.pdf" TargetMode="External"/><Relationship Id="rId91" Type="http://schemas.openxmlformats.org/officeDocument/2006/relationships/hyperlink" Target="http://www.oas.org/en/iachr/expression/showarticle.asp?artID=1056&amp;lID=1" TargetMode="External"/><Relationship Id="rId96" Type="http://schemas.openxmlformats.org/officeDocument/2006/relationships/hyperlink" Target="http://www.oas.org/es/cidh/expresion/docs/publicaciones/ZONAS_SILENCIADAS_ESP.pdf" TargetMode="External"/><Relationship Id="rId1" Type="http://schemas.openxmlformats.org/officeDocument/2006/relationships/hyperlink" Target="http://www.oas.org/es/cidh/decisiones/MC/cautelares.asp?Year=2012&amp;Country=CUB" TargetMode="External"/><Relationship Id="rId6" Type="http://schemas.openxmlformats.org/officeDocument/2006/relationships/hyperlink" Target="http://www.oas.org/en/iachr/reports/pdfs/Cuba2020-en.pdf" TargetMode="External"/><Relationship Id="rId15" Type="http://schemas.openxmlformats.org/officeDocument/2006/relationships/hyperlink" Target="http://www.oas.org/en/iachr/reports/pdfs/Cuba2020-en.pdf" TargetMode="External"/><Relationship Id="rId23" Type="http://schemas.openxmlformats.org/officeDocument/2006/relationships/hyperlink" Target="https://www.14ymedio.com/blogs/generacion_y/Tropical-mafia_7_647405254.html" TargetMode="External"/><Relationship Id="rId28" Type="http://schemas.openxmlformats.org/officeDocument/2006/relationships/hyperlink" Target="https://elpais.com/diario/2008/04/05/sociedad/1207346408_850215.html" TargetMode="External"/><Relationship Id="rId36" Type="http://schemas.openxmlformats.org/officeDocument/2006/relationships/hyperlink" Target="https://journalism.columbia.edu/system/files/content/past_cabot_winners_list-2021.pdf" TargetMode="External"/><Relationship Id="rId49" Type="http://schemas.openxmlformats.org/officeDocument/2006/relationships/hyperlink" Target="https://www.bbc.com/mundo/noticias/2011/11/111108_debate_twitter_yoani_mariela_castro_lav" TargetMode="External"/><Relationship Id="rId57" Type="http://schemas.openxmlformats.org/officeDocument/2006/relationships/hyperlink" Target="https://tbinternet.ohchr.org/_layouts/15/treatybodyexternal/Download.aspx?symbolno=CEDAW/C/GC/35&amp;Lang=en" TargetMode="External"/><Relationship Id="rId10" Type="http://schemas.openxmlformats.org/officeDocument/2006/relationships/hyperlink" Target="http://juriscuba.com/constitucion-de-la-republica-de-cuba-2019/" TargetMode="External"/><Relationship Id="rId31" Type="http://schemas.openxmlformats.org/officeDocument/2006/relationships/hyperlink" Target="https://www.periodismociudadano.com/la-bloguera-cubana-yoani-sanchez-elegida-por-la-revista-times-como-una-de-las-100-personas-mas-influyentes/" TargetMode="External"/><Relationship Id="rId44" Type="http://schemas.openxmlformats.org/officeDocument/2006/relationships/hyperlink" Target="https://www.oas.org/en/iachr/docs/annual/2012/Chap.4.Cuba.doc" TargetMode="External"/><Relationship Id="rId52" Type="http://schemas.openxmlformats.org/officeDocument/2006/relationships/hyperlink" Target="https://www.youtube.com/watch?v=D-5DjXeAovY" TargetMode="External"/><Relationship Id="rId60" Type="http://schemas.openxmlformats.org/officeDocument/2006/relationships/hyperlink" Target="http://www.oas.org/en/iachr/expression/docs/reports/WomenJournalists.pdf" TargetMode="External"/><Relationship Id="rId65" Type="http://schemas.openxmlformats.org/officeDocument/2006/relationships/hyperlink" Target="http://www.cidh.org/countryrep/Cuba83eng/chap.8.htm" TargetMode="External"/><Relationship Id="rId73" Type="http://schemas.openxmlformats.org/officeDocument/2006/relationships/hyperlink" Target="http://www.oas.org/en/iachr/expression/docs/publications/internet_2016_eng.pdf" TargetMode="External"/><Relationship Id="rId78" Type="http://schemas.openxmlformats.org/officeDocument/2006/relationships/hyperlink" Target="http://www.oas.org/en/iachr/expression/docs/publications/internet_2016_eng.pdf" TargetMode="External"/><Relationship Id="rId81" Type="http://schemas.openxmlformats.org/officeDocument/2006/relationships/hyperlink" Target="http://www.oas.org/es/cidh/expresion/docs/informes/anuales/Informe%20Anual%202009%201%20ESP.pdf" TargetMode="External"/><Relationship Id="rId86" Type="http://schemas.openxmlformats.org/officeDocument/2006/relationships/hyperlink" Target="http://www.oas.org/en/iachr/expression/docs/publications/internet_2016_eng.pdf" TargetMode="External"/><Relationship Id="rId94" Type="http://schemas.openxmlformats.org/officeDocument/2006/relationships/hyperlink" Target="http://www.oas.org/es/cidh/expresion/docs/publicaciones/ZONAS_SILENCIADAS_ESP.pdf" TargetMode="External"/><Relationship Id="rId99" Type="http://schemas.openxmlformats.org/officeDocument/2006/relationships/hyperlink" Target="http://www.oas.org/es/cidh/expresion/docs/publicaciones/ZONAS_SILENCIADAS_ESP.pdf" TargetMode="External"/><Relationship Id="rId101" Type="http://schemas.openxmlformats.org/officeDocument/2006/relationships/hyperlink" Target="http://www.oas.org/en/iachr/expression/docs/publications/zonas_silenciadas_eng.pdf" TargetMode="External"/><Relationship Id="rId4" Type="http://schemas.openxmlformats.org/officeDocument/2006/relationships/hyperlink" Target="http://www.oas.org/en/iachr/reports/pdfs/Cuba2020-en.pdf" TargetMode="External"/><Relationship Id="rId9" Type="http://schemas.openxmlformats.org/officeDocument/2006/relationships/hyperlink" Target="http://www.cervantesvirtual.com/obra-visor/constitucion-de-la-republica-de-cuba-de-1976-incluye-la-reforma-constitucional-del-26-de-mayo-2002/html/d89469f5-2cfd-4009-85ab-ba8540d6d5ec_2.html" TargetMode="External"/><Relationship Id="rId13" Type="http://schemas.openxmlformats.org/officeDocument/2006/relationships/hyperlink" Target="http://www.oas.org/en/iachr/expression/showarticle.asp?artID=1042&amp;lID=1" TargetMode="External"/><Relationship Id="rId18" Type="http://schemas.openxmlformats.org/officeDocument/2006/relationships/hyperlink" Target="https://www.14ymedio.com/blogs/generacion_y/sospecho-sospechas-sospechamos_7_123057694.html" TargetMode="External"/><Relationship Id="rId39" Type="http://schemas.openxmlformats.org/officeDocument/2006/relationships/hyperlink" Target="https://foreignpolicy.com/2011/11/28/the-fp-top-100-global-thinkers-4/" TargetMode="External"/><Relationship Id="rId34" Type="http://schemas.openxmlformats.org/officeDocument/2006/relationships/hyperlink" Target="https://d.docs.live.net/20895565342ea0bb/Documents/CIDH/Peticiones%20y%20casos/Yoani%20Sanchez%20Vs.%20Cuba/Generacion%20Y%20Wins%202008%20Best%20of%20the%20Blogs%20Award" TargetMode="External"/><Relationship Id="rId50" Type="http://schemas.openxmlformats.org/officeDocument/2006/relationships/hyperlink" Target="https://www.youtube.com/watch?v=D-5DjXeAovY" TargetMode="External"/><Relationship Id="rId55" Type="http://schemas.openxmlformats.org/officeDocument/2006/relationships/hyperlink" Target="https://www.oas.org/en/iachr/mandate/Basics/principlesdeprived.asp" TargetMode="External"/><Relationship Id="rId76" Type="http://schemas.openxmlformats.org/officeDocument/2006/relationships/hyperlink" Target="http://www.oas.org/es/cidh/expresion/docs/informes/Cuba-es.pdf" TargetMode="External"/><Relationship Id="rId97" Type="http://schemas.openxmlformats.org/officeDocument/2006/relationships/hyperlink" Target="http://www.oas.org/es/cidh/expresion/docs/publicaciones/ZONAS_SILENCIADAS_ESP.pdf" TargetMode="External"/><Relationship Id="rId104" Type="http://schemas.openxmlformats.org/officeDocument/2006/relationships/hyperlink" Target="http://www.oas.org/en/iachr/expression/docs/reports/WomenJournalis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0E65-5D63-4718-94A6-FC33770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25882</Words>
  <Characters>147533</Characters>
  <Application>Microsoft Office Word</Application>
  <DocSecurity>0</DocSecurity>
  <Lines>1229</Lines>
  <Paragraphs>346</Paragraphs>
  <ScaleCrop>false</ScaleCrop>
  <Company/>
  <LinksUpToDate>false</LinksUpToDate>
  <CharactersWithSpaces>173069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297/21</dc:title>
  <dc:subject/>
  <dc:creator/>
  <cp:keywords/>
  <dc:description/>
  <cp:lastModifiedBy/>
  <cp:revision>1</cp:revision>
  <dcterms:created xsi:type="dcterms:W3CDTF">2021-12-15T15:57:00Z</dcterms:created>
  <dcterms:modified xsi:type="dcterms:W3CDTF">2021-12-15T15:57:00Z</dcterms:modified>
</cp:coreProperties>
</file>