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FFDC" w14:textId="77777777" w:rsidR="00040C3A" w:rsidRPr="008C5978" w:rsidRDefault="006311DA" w:rsidP="001E4D7D">
      <w:pPr>
        <w:jc w:val="both"/>
        <w:rPr>
          <w:rFonts w:asciiTheme="majorHAnsi" w:hAnsiTheme="majorHAnsi" w:cs="Univers"/>
          <w:b/>
          <w:bCs/>
          <w:sz w:val="22"/>
          <w:szCs w:val="22"/>
          <w:lang w:val="es-ES_tradnl"/>
        </w:rPr>
      </w:pPr>
      <w:r w:rsidRPr="008C597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AC58256" wp14:editId="4625EE8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4C13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8C597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83D010B" wp14:editId="175DE5D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557DF" w14:textId="77777777" w:rsidR="003472AC" w:rsidRDefault="003472AC">
                            <w:r>
                              <w:rPr>
                                <w:noProof/>
                              </w:rPr>
                              <w:drawing>
                                <wp:inline distT="0" distB="0" distL="0" distR="0" wp14:anchorId="35F33923" wp14:editId="4EE3BBB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D010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4FB557DF" w14:textId="77777777" w:rsidR="003472AC" w:rsidRDefault="003472AC">
                      <w:r>
                        <w:rPr>
                          <w:noProof/>
                        </w:rPr>
                        <w:drawing>
                          <wp:inline distT="0" distB="0" distL="0" distR="0" wp14:anchorId="35F33923" wp14:editId="4EE3BBB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0EA8EE9" w14:textId="77777777" w:rsidR="00040C3A" w:rsidRPr="008C5978" w:rsidRDefault="00040C3A" w:rsidP="00040C3A">
      <w:pPr>
        <w:tabs>
          <w:tab w:val="center" w:pos="5400"/>
        </w:tabs>
        <w:suppressAutoHyphens/>
        <w:jc w:val="both"/>
        <w:rPr>
          <w:rFonts w:asciiTheme="majorHAnsi" w:hAnsiTheme="majorHAnsi"/>
          <w:sz w:val="22"/>
          <w:szCs w:val="22"/>
          <w:lang w:val="es-ES"/>
        </w:rPr>
      </w:pPr>
    </w:p>
    <w:p w14:paraId="21796161" w14:textId="77777777" w:rsidR="00040C3A" w:rsidRPr="008C5978" w:rsidRDefault="00040C3A" w:rsidP="00040C3A">
      <w:pPr>
        <w:tabs>
          <w:tab w:val="center" w:pos="5400"/>
        </w:tabs>
        <w:suppressAutoHyphens/>
        <w:jc w:val="both"/>
        <w:rPr>
          <w:rFonts w:asciiTheme="majorHAnsi" w:hAnsiTheme="majorHAnsi"/>
          <w:sz w:val="22"/>
          <w:szCs w:val="22"/>
          <w:lang w:val="es-ES"/>
        </w:rPr>
      </w:pPr>
    </w:p>
    <w:p w14:paraId="48998CD2" w14:textId="77777777" w:rsidR="005128E4" w:rsidRPr="008C5978" w:rsidRDefault="005128E4" w:rsidP="00040C3A">
      <w:pPr>
        <w:tabs>
          <w:tab w:val="center" w:pos="5400"/>
        </w:tabs>
        <w:suppressAutoHyphens/>
        <w:rPr>
          <w:rFonts w:asciiTheme="majorHAnsi" w:hAnsiTheme="majorHAnsi"/>
          <w:sz w:val="22"/>
          <w:szCs w:val="22"/>
          <w:lang w:val="es-ES_tradnl"/>
        </w:rPr>
      </w:pPr>
    </w:p>
    <w:p w14:paraId="45BC322D" w14:textId="77777777" w:rsidR="005128E4" w:rsidRPr="008C5978" w:rsidRDefault="005128E4" w:rsidP="00040C3A">
      <w:pPr>
        <w:tabs>
          <w:tab w:val="center" w:pos="5400"/>
        </w:tabs>
        <w:suppressAutoHyphens/>
        <w:rPr>
          <w:rFonts w:asciiTheme="majorHAnsi" w:hAnsiTheme="majorHAnsi"/>
          <w:sz w:val="22"/>
          <w:szCs w:val="22"/>
          <w:lang w:val="es-ES_tradnl"/>
        </w:rPr>
      </w:pPr>
    </w:p>
    <w:p w14:paraId="5FDDB2AD" w14:textId="77777777" w:rsidR="005128E4" w:rsidRPr="008C5978" w:rsidRDefault="005128E4" w:rsidP="00040C3A">
      <w:pPr>
        <w:tabs>
          <w:tab w:val="center" w:pos="5400"/>
        </w:tabs>
        <w:suppressAutoHyphens/>
        <w:rPr>
          <w:rFonts w:asciiTheme="majorHAnsi" w:hAnsiTheme="majorHAnsi"/>
          <w:sz w:val="22"/>
          <w:szCs w:val="22"/>
          <w:lang w:val="es-ES_tradnl"/>
        </w:rPr>
      </w:pPr>
    </w:p>
    <w:p w14:paraId="571C77E1" w14:textId="77777777" w:rsidR="00040C3A" w:rsidRPr="008C5978" w:rsidRDefault="00040C3A" w:rsidP="005128E4">
      <w:pPr>
        <w:tabs>
          <w:tab w:val="center" w:pos="5400"/>
        </w:tabs>
        <w:suppressAutoHyphens/>
        <w:jc w:val="center"/>
        <w:rPr>
          <w:rFonts w:asciiTheme="majorHAnsi" w:hAnsiTheme="majorHAnsi"/>
          <w:sz w:val="22"/>
          <w:szCs w:val="22"/>
          <w:lang w:val="es-ES_tradnl"/>
        </w:rPr>
      </w:pPr>
    </w:p>
    <w:p w14:paraId="7A2FD531" w14:textId="77777777" w:rsidR="00040C3A" w:rsidRPr="008C5978" w:rsidRDefault="00DA1520" w:rsidP="005128E4">
      <w:pPr>
        <w:tabs>
          <w:tab w:val="center" w:pos="5400"/>
        </w:tabs>
        <w:suppressAutoHyphens/>
        <w:jc w:val="center"/>
        <w:rPr>
          <w:rFonts w:asciiTheme="majorHAnsi" w:hAnsiTheme="majorHAnsi"/>
          <w:sz w:val="22"/>
          <w:szCs w:val="22"/>
          <w:lang w:val="es-ES_tradnl"/>
        </w:rPr>
      </w:pPr>
      <w:r w:rsidRPr="008C5978">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0846BFE6" wp14:editId="1D3C91C7">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83120" w14:textId="77777777" w:rsidR="003472AC" w:rsidRDefault="003472AC" w:rsidP="004B7EB6">
                            <w:pPr>
                              <w:spacing w:line="276" w:lineRule="auto"/>
                              <w:rPr>
                                <w:rFonts w:asciiTheme="majorHAnsi" w:hAnsiTheme="majorHAnsi" w:cs="Arial"/>
                                <w:b/>
                                <w:bCs/>
                                <w:color w:val="0D0D0D" w:themeColor="text1" w:themeTint="F2"/>
                                <w:sz w:val="36"/>
                                <w:szCs w:val="40"/>
                              </w:rPr>
                            </w:pPr>
                          </w:p>
                          <w:p w14:paraId="01816894" w14:textId="77777777" w:rsidR="003472AC" w:rsidRDefault="003472AC" w:rsidP="004B7EB6">
                            <w:pPr>
                              <w:spacing w:line="276" w:lineRule="auto"/>
                              <w:rPr>
                                <w:rFonts w:asciiTheme="majorHAnsi" w:hAnsiTheme="majorHAnsi" w:cs="Arial"/>
                                <w:b/>
                                <w:bCs/>
                                <w:color w:val="0D0D0D" w:themeColor="text1" w:themeTint="F2"/>
                                <w:sz w:val="36"/>
                                <w:szCs w:val="40"/>
                              </w:rPr>
                            </w:pPr>
                          </w:p>
                          <w:p w14:paraId="5C95A1F9" w14:textId="77777777" w:rsidR="003472AC" w:rsidRDefault="003472AC" w:rsidP="004B7EB6">
                            <w:pPr>
                              <w:spacing w:line="276" w:lineRule="auto"/>
                              <w:rPr>
                                <w:rFonts w:asciiTheme="majorHAnsi" w:hAnsiTheme="majorHAnsi" w:cs="Arial"/>
                                <w:b/>
                                <w:bCs/>
                                <w:color w:val="0D0D0D" w:themeColor="text1" w:themeTint="F2"/>
                                <w:sz w:val="36"/>
                                <w:szCs w:val="40"/>
                              </w:rPr>
                            </w:pPr>
                          </w:p>
                          <w:p w14:paraId="7373ADBD" w14:textId="77777777" w:rsidR="003472AC" w:rsidRDefault="003472AC" w:rsidP="004B7EB6">
                            <w:pPr>
                              <w:spacing w:line="276" w:lineRule="auto"/>
                              <w:rPr>
                                <w:rFonts w:asciiTheme="majorHAnsi" w:hAnsiTheme="majorHAnsi" w:cs="Arial"/>
                                <w:b/>
                                <w:bCs/>
                                <w:color w:val="0D0D0D" w:themeColor="text1" w:themeTint="F2"/>
                                <w:sz w:val="36"/>
                                <w:szCs w:val="40"/>
                              </w:rPr>
                            </w:pPr>
                          </w:p>
                          <w:p w14:paraId="37DD20A0" w14:textId="09EBA044" w:rsidR="003472AC" w:rsidRPr="004B7EB6" w:rsidRDefault="003472A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333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3939626E" w14:textId="77777777" w:rsidR="003472AC" w:rsidRPr="004B7EB6" w:rsidRDefault="003472A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871</w:t>
                            </w:r>
                          </w:p>
                          <w:p w14:paraId="6981FAAA" w14:textId="34EBBA13" w:rsidR="003472AC" w:rsidRPr="004B7EB6" w:rsidRDefault="003472AC"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w:t>
                            </w:r>
                            <w:r w:rsidRPr="00341D3C">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w:t>
                            </w:r>
                          </w:p>
                          <w:p w14:paraId="3A7A2A65" w14:textId="77777777" w:rsidR="003472AC" w:rsidRPr="004B7EB6" w:rsidRDefault="003472AC" w:rsidP="004B7EB6">
                            <w:pPr>
                              <w:spacing w:line="276" w:lineRule="auto"/>
                              <w:rPr>
                                <w:rFonts w:asciiTheme="majorHAnsi" w:hAnsiTheme="majorHAnsi" w:cs="Arial"/>
                                <w:color w:val="0D0D0D" w:themeColor="text1" w:themeTint="F2"/>
                                <w:szCs w:val="22"/>
                              </w:rPr>
                            </w:pPr>
                          </w:p>
                          <w:p w14:paraId="7BB927F9" w14:textId="77777777" w:rsidR="003472AC" w:rsidRPr="00444596" w:rsidRDefault="003472A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VIRGILIO MALDONADO RODRIGUEZ</w:t>
                            </w:r>
                          </w:p>
                          <w:p w14:paraId="093F8002" w14:textId="77777777" w:rsidR="003472AC" w:rsidRDefault="003472A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641E8CA3" w14:textId="77777777" w:rsidR="003472AC" w:rsidRPr="00E57833" w:rsidRDefault="003472AC"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6BFE6"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" filled="f" stroked="f" strokeweight=".5pt">
                <v:textbox>
                  <w:txbxContent>
                    <w:p w14:paraId="39F83120" w14:textId="77777777" w:rsidR="003472AC" w:rsidRDefault="003472AC" w:rsidP="004B7EB6">
                      <w:pPr>
                        <w:spacing w:line="276" w:lineRule="auto"/>
                        <w:rPr>
                          <w:rFonts w:asciiTheme="majorHAnsi" w:hAnsiTheme="majorHAnsi" w:cs="Arial"/>
                          <w:b/>
                          <w:bCs/>
                          <w:color w:val="0D0D0D" w:themeColor="text1" w:themeTint="F2"/>
                          <w:sz w:val="36"/>
                          <w:szCs w:val="40"/>
                        </w:rPr>
                      </w:pPr>
                    </w:p>
                    <w:p w14:paraId="01816894" w14:textId="77777777" w:rsidR="003472AC" w:rsidRDefault="003472AC" w:rsidP="004B7EB6">
                      <w:pPr>
                        <w:spacing w:line="276" w:lineRule="auto"/>
                        <w:rPr>
                          <w:rFonts w:asciiTheme="majorHAnsi" w:hAnsiTheme="majorHAnsi" w:cs="Arial"/>
                          <w:b/>
                          <w:bCs/>
                          <w:color w:val="0D0D0D" w:themeColor="text1" w:themeTint="F2"/>
                          <w:sz w:val="36"/>
                          <w:szCs w:val="40"/>
                        </w:rPr>
                      </w:pPr>
                    </w:p>
                    <w:p w14:paraId="5C95A1F9" w14:textId="77777777" w:rsidR="003472AC" w:rsidRDefault="003472AC" w:rsidP="004B7EB6">
                      <w:pPr>
                        <w:spacing w:line="276" w:lineRule="auto"/>
                        <w:rPr>
                          <w:rFonts w:asciiTheme="majorHAnsi" w:hAnsiTheme="majorHAnsi" w:cs="Arial"/>
                          <w:b/>
                          <w:bCs/>
                          <w:color w:val="0D0D0D" w:themeColor="text1" w:themeTint="F2"/>
                          <w:sz w:val="36"/>
                          <w:szCs w:val="40"/>
                        </w:rPr>
                      </w:pPr>
                    </w:p>
                    <w:p w14:paraId="7373ADBD" w14:textId="77777777" w:rsidR="003472AC" w:rsidRDefault="003472AC" w:rsidP="004B7EB6">
                      <w:pPr>
                        <w:spacing w:line="276" w:lineRule="auto"/>
                        <w:rPr>
                          <w:rFonts w:asciiTheme="majorHAnsi" w:hAnsiTheme="majorHAnsi" w:cs="Arial"/>
                          <w:b/>
                          <w:bCs/>
                          <w:color w:val="0D0D0D" w:themeColor="text1" w:themeTint="F2"/>
                          <w:sz w:val="36"/>
                          <w:szCs w:val="40"/>
                        </w:rPr>
                      </w:pPr>
                    </w:p>
                    <w:p w14:paraId="37DD20A0" w14:textId="09EBA044" w:rsidR="003472AC" w:rsidRPr="004B7EB6" w:rsidRDefault="003472A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333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3939626E" w14:textId="77777777" w:rsidR="003472AC" w:rsidRPr="004B7EB6" w:rsidRDefault="003472A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871</w:t>
                      </w:r>
                    </w:p>
                    <w:p w14:paraId="6981FAAA" w14:textId="34EBBA13" w:rsidR="003472AC" w:rsidRPr="004B7EB6" w:rsidRDefault="003472AC"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w:t>
                      </w:r>
                      <w:r w:rsidRPr="00341D3C">
                        <w:rPr>
                          <w:rFonts w:asciiTheme="majorHAnsi" w:hAnsiTheme="majorHAnsi" w:cs="Arial"/>
                          <w:color w:val="0D0D0D" w:themeColor="text1" w:themeTint="F2"/>
                          <w:szCs w:val="22"/>
                        </w:rPr>
                        <w:t>PUBLICATION</w:t>
                      </w:r>
                      <w:r>
                        <w:rPr>
                          <w:rFonts w:asciiTheme="majorHAnsi" w:hAnsiTheme="majorHAnsi" w:cs="Arial"/>
                          <w:color w:val="0D0D0D" w:themeColor="text1" w:themeTint="F2"/>
                          <w:szCs w:val="22"/>
                        </w:rPr>
                        <w:t>)</w:t>
                      </w:r>
                    </w:p>
                    <w:p w14:paraId="3A7A2A65" w14:textId="77777777" w:rsidR="003472AC" w:rsidRPr="004B7EB6" w:rsidRDefault="003472AC" w:rsidP="004B7EB6">
                      <w:pPr>
                        <w:spacing w:line="276" w:lineRule="auto"/>
                        <w:rPr>
                          <w:rFonts w:asciiTheme="majorHAnsi" w:hAnsiTheme="majorHAnsi" w:cs="Arial"/>
                          <w:color w:val="0D0D0D" w:themeColor="text1" w:themeTint="F2"/>
                          <w:szCs w:val="22"/>
                        </w:rPr>
                      </w:pPr>
                    </w:p>
                    <w:p w14:paraId="7BB927F9" w14:textId="77777777" w:rsidR="003472AC" w:rsidRPr="00444596" w:rsidRDefault="003472A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VIRGILIO MALDONADO RODRIGUEZ</w:t>
                      </w:r>
                    </w:p>
                    <w:p w14:paraId="093F8002" w14:textId="77777777" w:rsidR="003472AC" w:rsidRDefault="003472A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641E8CA3" w14:textId="77777777" w:rsidR="003472AC" w:rsidRPr="00E57833" w:rsidRDefault="003472AC" w:rsidP="004B7EB6">
                      <w:pPr>
                        <w:spacing w:line="276" w:lineRule="auto"/>
                        <w:rPr>
                          <w:rFonts w:asciiTheme="majorHAnsi" w:hAnsiTheme="majorHAnsi"/>
                          <w:color w:val="0D0D0D" w:themeColor="text1" w:themeTint="F2"/>
                        </w:rPr>
                      </w:pPr>
                    </w:p>
                  </w:txbxContent>
                </v:textbox>
              </v:shape>
            </w:pict>
          </mc:Fallback>
        </mc:AlternateContent>
      </w:r>
    </w:p>
    <w:p w14:paraId="1812AC91" w14:textId="77777777" w:rsidR="005B52B0" w:rsidRPr="008C5978" w:rsidRDefault="005B52B0" w:rsidP="005128E4">
      <w:pPr>
        <w:tabs>
          <w:tab w:val="center" w:pos="5400"/>
        </w:tabs>
        <w:suppressAutoHyphens/>
        <w:jc w:val="center"/>
        <w:rPr>
          <w:rFonts w:asciiTheme="majorHAnsi" w:hAnsiTheme="majorHAnsi"/>
          <w:sz w:val="22"/>
          <w:szCs w:val="22"/>
          <w:lang w:val="es-ES_tradnl"/>
        </w:rPr>
      </w:pPr>
    </w:p>
    <w:p w14:paraId="1F730295" w14:textId="77777777" w:rsidR="005B52B0" w:rsidRPr="008C5978" w:rsidRDefault="005B52B0" w:rsidP="005128E4">
      <w:pPr>
        <w:tabs>
          <w:tab w:val="center" w:pos="5400"/>
        </w:tabs>
        <w:suppressAutoHyphens/>
        <w:jc w:val="center"/>
        <w:rPr>
          <w:rFonts w:asciiTheme="majorHAnsi" w:hAnsiTheme="majorHAnsi"/>
          <w:sz w:val="22"/>
          <w:szCs w:val="22"/>
          <w:lang w:val="es-ES_tradnl"/>
        </w:rPr>
      </w:pPr>
    </w:p>
    <w:p w14:paraId="1A36C1AF" w14:textId="77777777" w:rsidR="005B52B0" w:rsidRPr="008C5978" w:rsidRDefault="005B52B0" w:rsidP="005128E4">
      <w:pPr>
        <w:tabs>
          <w:tab w:val="center" w:pos="5400"/>
        </w:tabs>
        <w:suppressAutoHyphens/>
        <w:jc w:val="center"/>
        <w:rPr>
          <w:rFonts w:asciiTheme="majorHAnsi" w:hAnsiTheme="majorHAnsi"/>
          <w:sz w:val="22"/>
          <w:szCs w:val="22"/>
          <w:lang w:val="es-ES_tradnl"/>
        </w:rPr>
      </w:pPr>
    </w:p>
    <w:p w14:paraId="41B108DA"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3FAD6877"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7A8D6BD4"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1E6E929D"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12FB4869" w14:textId="77777777" w:rsidR="00040C3A" w:rsidRPr="008C5978" w:rsidRDefault="00A84A45" w:rsidP="00040C3A">
      <w:pPr>
        <w:tabs>
          <w:tab w:val="center" w:pos="5400"/>
        </w:tabs>
        <w:suppressAutoHyphens/>
        <w:jc w:val="center"/>
        <w:rPr>
          <w:rFonts w:asciiTheme="majorHAnsi" w:hAnsiTheme="majorHAnsi"/>
          <w:sz w:val="22"/>
          <w:szCs w:val="22"/>
          <w:lang w:val="es-ES_tradnl"/>
        </w:rPr>
      </w:pPr>
      <w:r w:rsidRPr="008C597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7B1541D" wp14:editId="28F4A7B1">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2438E" w14:textId="2CD383FD" w:rsidR="003472AC" w:rsidRPr="009F340C" w:rsidRDefault="003472AC" w:rsidP="002C1641">
                            <w:pPr>
                              <w:jc w:val="right"/>
                              <w:rPr>
                                <w:rFonts w:asciiTheme="minorHAnsi" w:hAnsiTheme="minorHAnsi"/>
                                <w:color w:val="FFFFFF" w:themeColor="background1"/>
                                <w:sz w:val="22"/>
                                <w:lang w:val="es-ES"/>
                              </w:rPr>
                            </w:pPr>
                            <w:r w:rsidRPr="009F340C">
                              <w:rPr>
                                <w:rFonts w:asciiTheme="minorHAnsi" w:hAnsiTheme="minorHAnsi"/>
                                <w:color w:val="FFFFFF" w:themeColor="background1"/>
                                <w:sz w:val="22"/>
                                <w:lang w:val="es-ES"/>
                              </w:rPr>
                              <w:t>OEA/</w:t>
                            </w:r>
                            <w:proofErr w:type="spellStart"/>
                            <w:r w:rsidRPr="009F340C">
                              <w:rPr>
                                <w:rFonts w:asciiTheme="minorHAnsi" w:hAnsiTheme="minorHAnsi"/>
                                <w:color w:val="FFFFFF" w:themeColor="background1"/>
                                <w:sz w:val="22"/>
                                <w:lang w:val="es-ES"/>
                              </w:rPr>
                              <w:t>Ser.L</w:t>
                            </w:r>
                            <w:proofErr w:type="spellEnd"/>
                            <w:r w:rsidRPr="009F340C">
                              <w:rPr>
                                <w:rFonts w:asciiTheme="minorHAnsi" w:hAnsiTheme="minorHAnsi"/>
                                <w:color w:val="FFFFFF" w:themeColor="background1"/>
                                <w:sz w:val="22"/>
                                <w:lang w:val="es-ES"/>
                              </w:rPr>
                              <w:t>/V/II</w:t>
                            </w:r>
                          </w:p>
                          <w:p w14:paraId="5D465E47" w14:textId="41FE315C" w:rsidR="003472AC" w:rsidRPr="009F340C" w:rsidRDefault="003472AC" w:rsidP="002C1641">
                            <w:pPr>
                              <w:jc w:val="right"/>
                              <w:rPr>
                                <w:rFonts w:asciiTheme="minorHAnsi" w:hAnsiTheme="minorHAnsi"/>
                                <w:color w:val="FFFFFF" w:themeColor="background1"/>
                                <w:sz w:val="22"/>
                                <w:lang w:val="es-ES"/>
                              </w:rPr>
                            </w:pPr>
                            <w:r w:rsidRPr="009F340C">
                              <w:rPr>
                                <w:rFonts w:asciiTheme="minorHAnsi" w:hAnsiTheme="minorHAnsi"/>
                                <w:color w:val="FFFFFF" w:themeColor="background1"/>
                                <w:sz w:val="22"/>
                                <w:lang w:val="es-ES"/>
                              </w:rPr>
                              <w:t xml:space="preserve">Doc. </w:t>
                            </w:r>
                            <w:r>
                              <w:rPr>
                                <w:rFonts w:asciiTheme="minorHAnsi" w:hAnsiTheme="minorHAnsi"/>
                                <w:color w:val="FFFFFF" w:themeColor="background1"/>
                                <w:sz w:val="22"/>
                                <w:lang w:val="es-ES"/>
                              </w:rPr>
                              <w:t>343</w:t>
                            </w:r>
                          </w:p>
                          <w:p w14:paraId="6F9BA368" w14:textId="0DE55B85" w:rsidR="003472AC" w:rsidRPr="004B7EB6" w:rsidRDefault="003472AC"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E575CD">
                              <w:rPr>
                                <w:rFonts w:asciiTheme="minorHAnsi" w:hAnsiTheme="minorHAnsi"/>
                                <w:color w:val="FFFFFF" w:themeColor="background1"/>
                                <w:sz w:val="22"/>
                              </w:rPr>
                              <w:t xml:space="preserve"> November</w:t>
                            </w:r>
                            <w:r>
                              <w:rPr>
                                <w:rFonts w:asciiTheme="minorHAnsi" w:hAnsiTheme="minorHAnsi"/>
                                <w:color w:val="FFFFFF" w:themeColor="background1"/>
                                <w:sz w:val="22"/>
                              </w:rPr>
                              <w:t xml:space="preserve"> 2020</w:t>
                            </w:r>
                          </w:p>
                          <w:p w14:paraId="40D8AFE9" w14:textId="77777777" w:rsidR="003472AC" w:rsidRPr="004B7EB6" w:rsidRDefault="003472A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1541D" id="_x0000_t202" coordsize="21600,21600" o:spt="202" path="m,l,21600r21600,l21600,xe">
                <v:stroke joinstyle="miter"/>
                <v:path gradientshapeok="t" o:connecttype="rect"/>
              </v:shapetype>
              <v:shap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" filled="f" stroked="f" strokeweight=".5pt">
                <v:textbox>
                  <w:txbxContent>
                    <w:p w14:paraId="22E2438E" w14:textId="2CD383FD" w:rsidR="003472AC" w:rsidRPr="009F340C" w:rsidRDefault="003472AC" w:rsidP="002C1641">
                      <w:pPr>
                        <w:jc w:val="right"/>
                        <w:rPr>
                          <w:rFonts w:asciiTheme="minorHAnsi" w:hAnsiTheme="minorHAnsi"/>
                          <w:color w:val="FFFFFF" w:themeColor="background1"/>
                          <w:sz w:val="22"/>
                          <w:lang w:val="es-ES"/>
                        </w:rPr>
                      </w:pPr>
                      <w:r w:rsidRPr="009F340C">
                        <w:rPr>
                          <w:rFonts w:asciiTheme="minorHAnsi" w:hAnsiTheme="minorHAnsi"/>
                          <w:color w:val="FFFFFF" w:themeColor="background1"/>
                          <w:sz w:val="22"/>
                          <w:lang w:val="es-ES"/>
                        </w:rPr>
                        <w:t>OEA/</w:t>
                      </w:r>
                      <w:proofErr w:type="spellStart"/>
                      <w:r w:rsidRPr="009F340C">
                        <w:rPr>
                          <w:rFonts w:asciiTheme="minorHAnsi" w:hAnsiTheme="minorHAnsi"/>
                          <w:color w:val="FFFFFF" w:themeColor="background1"/>
                          <w:sz w:val="22"/>
                          <w:lang w:val="es-ES"/>
                        </w:rPr>
                        <w:t>Ser.L</w:t>
                      </w:r>
                      <w:proofErr w:type="spellEnd"/>
                      <w:r w:rsidRPr="009F340C">
                        <w:rPr>
                          <w:rFonts w:asciiTheme="minorHAnsi" w:hAnsiTheme="minorHAnsi"/>
                          <w:color w:val="FFFFFF" w:themeColor="background1"/>
                          <w:sz w:val="22"/>
                          <w:lang w:val="es-ES"/>
                        </w:rPr>
                        <w:t>/V/II</w:t>
                      </w:r>
                    </w:p>
                    <w:p w14:paraId="5D465E47" w14:textId="41FE315C" w:rsidR="003472AC" w:rsidRPr="009F340C" w:rsidRDefault="003472AC" w:rsidP="002C1641">
                      <w:pPr>
                        <w:jc w:val="right"/>
                        <w:rPr>
                          <w:rFonts w:asciiTheme="minorHAnsi" w:hAnsiTheme="minorHAnsi"/>
                          <w:color w:val="FFFFFF" w:themeColor="background1"/>
                          <w:sz w:val="22"/>
                          <w:lang w:val="es-ES"/>
                        </w:rPr>
                      </w:pPr>
                      <w:r w:rsidRPr="009F340C">
                        <w:rPr>
                          <w:rFonts w:asciiTheme="minorHAnsi" w:hAnsiTheme="minorHAnsi"/>
                          <w:color w:val="FFFFFF" w:themeColor="background1"/>
                          <w:sz w:val="22"/>
                          <w:lang w:val="es-ES"/>
                        </w:rPr>
                        <w:t xml:space="preserve">Doc. </w:t>
                      </w:r>
                      <w:r>
                        <w:rPr>
                          <w:rFonts w:asciiTheme="minorHAnsi" w:hAnsiTheme="minorHAnsi"/>
                          <w:color w:val="FFFFFF" w:themeColor="background1"/>
                          <w:sz w:val="22"/>
                          <w:lang w:val="es-ES"/>
                        </w:rPr>
                        <w:t>343</w:t>
                      </w:r>
                    </w:p>
                    <w:p w14:paraId="6F9BA368" w14:textId="0DE55B85" w:rsidR="003472AC" w:rsidRPr="004B7EB6" w:rsidRDefault="003472AC"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E575CD">
                        <w:rPr>
                          <w:rFonts w:asciiTheme="minorHAnsi" w:hAnsiTheme="minorHAnsi"/>
                          <w:color w:val="FFFFFF" w:themeColor="background1"/>
                          <w:sz w:val="22"/>
                        </w:rPr>
                        <w:t xml:space="preserve"> November</w:t>
                      </w:r>
                      <w:r>
                        <w:rPr>
                          <w:rFonts w:asciiTheme="minorHAnsi" w:hAnsiTheme="minorHAnsi"/>
                          <w:color w:val="FFFFFF" w:themeColor="background1"/>
                          <w:sz w:val="22"/>
                        </w:rPr>
                        <w:t xml:space="preserve"> 2020</w:t>
                      </w:r>
                    </w:p>
                    <w:p w14:paraId="40D8AFE9" w14:textId="77777777" w:rsidR="003472AC" w:rsidRPr="004B7EB6" w:rsidRDefault="003472A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4D15A089" w14:textId="77777777" w:rsidR="00040C3A" w:rsidRPr="008C5978" w:rsidRDefault="00040C3A" w:rsidP="00040C3A">
      <w:pPr>
        <w:tabs>
          <w:tab w:val="center" w:pos="5400"/>
        </w:tabs>
        <w:suppressAutoHyphens/>
        <w:jc w:val="center"/>
        <w:rPr>
          <w:rFonts w:asciiTheme="majorHAnsi" w:hAnsiTheme="majorHAnsi" w:cs="Arial"/>
          <w:sz w:val="22"/>
          <w:szCs w:val="22"/>
          <w:lang w:val="es-ES_tradnl"/>
        </w:rPr>
      </w:pPr>
    </w:p>
    <w:p w14:paraId="51BC910B"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4A1534B4"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2A93B1D6"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7F1A2D6A"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2A4D3112" w14:textId="77777777" w:rsidR="005128E4" w:rsidRPr="008C5978" w:rsidRDefault="005128E4" w:rsidP="00040C3A">
      <w:pPr>
        <w:tabs>
          <w:tab w:val="center" w:pos="5400"/>
        </w:tabs>
        <w:suppressAutoHyphens/>
        <w:jc w:val="center"/>
        <w:rPr>
          <w:rFonts w:asciiTheme="majorHAnsi" w:hAnsiTheme="majorHAnsi"/>
          <w:sz w:val="22"/>
          <w:szCs w:val="22"/>
          <w:lang w:val="es-ES_tradnl"/>
        </w:rPr>
      </w:pPr>
    </w:p>
    <w:p w14:paraId="6E60593A"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014BF02C" w14:textId="77777777" w:rsidR="005128E4" w:rsidRPr="008C5978" w:rsidRDefault="005128E4" w:rsidP="00040C3A">
      <w:pPr>
        <w:tabs>
          <w:tab w:val="center" w:pos="5400"/>
        </w:tabs>
        <w:suppressAutoHyphens/>
        <w:jc w:val="center"/>
        <w:rPr>
          <w:rFonts w:asciiTheme="majorHAnsi" w:hAnsiTheme="majorHAnsi"/>
          <w:sz w:val="22"/>
          <w:szCs w:val="22"/>
          <w:lang w:val="es-ES_tradnl"/>
        </w:rPr>
      </w:pPr>
    </w:p>
    <w:p w14:paraId="59498340" w14:textId="77777777" w:rsidR="005128E4" w:rsidRPr="008C5978" w:rsidRDefault="005128E4" w:rsidP="00040C3A">
      <w:pPr>
        <w:tabs>
          <w:tab w:val="center" w:pos="5400"/>
        </w:tabs>
        <w:suppressAutoHyphens/>
        <w:jc w:val="center"/>
        <w:rPr>
          <w:rFonts w:asciiTheme="majorHAnsi" w:hAnsiTheme="majorHAnsi"/>
          <w:sz w:val="22"/>
          <w:szCs w:val="22"/>
          <w:lang w:val="es-ES_tradnl"/>
        </w:rPr>
      </w:pPr>
    </w:p>
    <w:p w14:paraId="743D2216" w14:textId="77777777" w:rsidR="005128E4" w:rsidRPr="008C5978" w:rsidRDefault="005128E4" w:rsidP="00040C3A">
      <w:pPr>
        <w:tabs>
          <w:tab w:val="center" w:pos="5400"/>
        </w:tabs>
        <w:suppressAutoHyphens/>
        <w:jc w:val="center"/>
        <w:rPr>
          <w:rFonts w:asciiTheme="majorHAnsi" w:hAnsiTheme="majorHAnsi"/>
          <w:sz w:val="22"/>
          <w:szCs w:val="22"/>
          <w:lang w:val="es-ES_tradnl"/>
        </w:rPr>
      </w:pPr>
    </w:p>
    <w:p w14:paraId="6851AA9D"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200B365C" w14:textId="77777777" w:rsidR="00040C3A" w:rsidRPr="008C5978" w:rsidRDefault="00040C3A" w:rsidP="00040C3A">
      <w:pPr>
        <w:tabs>
          <w:tab w:val="center" w:pos="5400"/>
        </w:tabs>
        <w:suppressAutoHyphens/>
        <w:jc w:val="center"/>
        <w:rPr>
          <w:rFonts w:asciiTheme="majorHAnsi" w:hAnsiTheme="majorHAnsi"/>
          <w:sz w:val="22"/>
          <w:szCs w:val="22"/>
          <w:lang w:val="es-ES_tradnl"/>
        </w:rPr>
      </w:pPr>
    </w:p>
    <w:p w14:paraId="69311B6C"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1BF5DA53"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41C55EB2"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4BCEA383"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5163B20E"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78B29847"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7688C9C9"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78B216BB"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631F07BB"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38787E41"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01905DFB"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1A721BE9"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26A57631" w14:textId="77777777" w:rsidR="002C1641" w:rsidRPr="008C5978" w:rsidRDefault="003C32BC" w:rsidP="00040C3A">
      <w:pPr>
        <w:tabs>
          <w:tab w:val="center" w:pos="5400"/>
        </w:tabs>
        <w:suppressAutoHyphens/>
        <w:jc w:val="center"/>
        <w:rPr>
          <w:rFonts w:asciiTheme="majorHAnsi" w:hAnsiTheme="majorHAnsi"/>
          <w:sz w:val="18"/>
          <w:szCs w:val="22"/>
          <w:lang w:val="es-ES_tradnl"/>
        </w:rPr>
      </w:pPr>
      <w:r w:rsidRPr="008C597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CD1EBE5" wp14:editId="2C538BA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1ED08" w14:textId="633758DE" w:rsidR="003472AC" w:rsidRPr="003C32BC" w:rsidRDefault="003472A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 November 22,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1EBE5"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" filled="f" stroked="f" strokeweight=".5pt">
                <v:textbox>
                  <w:txbxContent>
                    <w:p w14:paraId="08B1ED08" w14:textId="633758DE" w:rsidR="003472AC" w:rsidRPr="003C32BC" w:rsidRDefault="003472A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 November 22, 2021.</w:t>
                      </w:r>
                    </w:p>
                  </w:txbxContent>
                </v:textbox>
              </v:shape>
            </w:pict>
          </mc:Fallback>
        </mc:AlternateContent>
      </w:r>
    </w:p>
    <w:p w14:paraId="34B3EBCA"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75696621"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677FFBF4"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33F1C0E5"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5C81D154" w14:textId="77777777" w:rsidR="002C1641" w:rsidRPr="008C5978" w:rsidRDefault="003C32BC" w:rsidP="00040C3A">
      <w:pPr>
        <w:tabs>
          <w:tab w:val="center" w:pos="5400"/>
        </w:tabs>
        <w:suppressAutoHyphens/>
        <w:jc w:val="center"/>
        <w:rPr>
          <w:rFonts w:asciiTheme="majorHAnsi" w:hAnsiTheme="majorHAnsi"/>
          <w:sz w:val="18"/>
          <w:szCs w:val="22"/>
          <w:lang w:val="es-ES_tradnl"/>
        </w:rPr>
      </w:pPr>
      <w:r w:rsidRPr="008C597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C2263BC" wp14:editId="6E58EEB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2F178" w14:textId="77A93D6D" w:rsidR="003472AC" w:rsidRPr="003C32BC" w:rsidRDefault="003472AC"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333</w:t>
                            </w:r>
                            <w:r w:rsidRPr="0080483B">
                              <w:rPr>
                                <w:rFonts w:asciiTheme="majorHAnsi" w:hAnsiTheme="majorHAnsi"/>
                                <w:color w:val="595959" w:themeColor="text1" w:themeTint="A6"/>
                                <w:sz w:val="18"/>
                              </w:rPr>
                              <w:t>/</w:t>
                            </w:r>
                            <w:r>
                              <w:rPr>
                                <w:rFonts w:asciiTheme="majorHAnsi" w:hAnsiTheme="majorHAnsi"/>
                                <w:color w:val="595959" w:themeColor="text1" w:themeTint="A6"/>
                                <w:sz w:val="18"/>
                              </w:rPr>
                              <w:t>21</w:t>
                            </w:r>
                            <w:r w:rsidRPr="0080483B">
                              <w:rPr>
                                <w:rFonts w:asciiTheme="majorHAnsi" w:hAnsiTheme="majorHAnsi"/>
                                <w:color w:val="595959" w:themeColor="text1" w:themeTint="A6"/>
                                <w:sz w:val="18"/>
                              </w:rPr>
                              <w:t xml:space="preserve">. </w:t>
                            </w:r>
                            <w:r w:rsidRPr="009F340C">
                              <w:rPr>
                                <w:rFonts w:asciiTheme="majorHAnsi" w:hAnsiTheme="majorHAnsi"/>
                                <w:color w:val="595959" w:themeColor="text1" w:themeTint="A6"/>
                                <w:sz w:val="18"/>
                                <w:lang w:val="es-ES"/>
                              </w:rPr>
                              <w:t xml:space="preserve">Case 12.871. </w:t>
                            </w:r>
                            <w:r w:rsidRPr="005F55DC">
                              <w:rPr>
                                <w:rFonts w:asciiTheme="majorHAnsi" w:hAnsiTheme="majorHAnsi"/>
                                <w:color w:val="595959" w:themeColor="text1" w:themeTint="A6"/>
                                <w:sz w:val="18"/>
                                <w:lang w:val="es-CO"/>
                              </w:rPr>
                              <w:t>Merits</w:t>
                            </w:r>
                            <w:r>
                              <w:rPr>
                                <w:rFonts w:asciiTheme="majorHAnsi" w:hAnsiTheme="majorHAnsi"/>
                                <w:color w:val="595959" w:themeColor="text1" w:themeTint="A6"/>
                                <w:sz w:val="18"/>
                                <w:lang w:val="es-CO"/>
                              </w:rPr>
                              <w:t xml:space="preserve"> (</w:t>
                            </w:r>
                            <w:r w:rsidRPr="00341D3C">
                              <w:rPr>
                                <w:rFonts w:asciiTheme="majorHAnsi" w:hAnsiTheme="majorHAnsi"/>
                                <w:color w:val="595959" w:themeColor="text1" w:themeTint="A6"/>
                                <w:sz w:val="18"/>
                                <w:lang w:val="es-CO"/>
                              </w:rPr>
                              <w:t>Publication</w:t>
                            </w:r>
                            <w:r>
                              <w:rPr>
                                <w:rFonts w:asciiTheme="majorHAnsi" w:hAnsiTheme="majorHAnsi"/>
                                <w:color w:val="595959" w:themeColor="text1" w:themeTint="A6"/>
                                <w:sz w:val="18"/>
                                <w:lang w:val="es-CO"/>
                              </w:rPr>
                              <w:t>)</w:t>
                            </w:r>
                            <w:r w:rsidRPr="005F55DC">
                              <w:rPr>
                                <w:rFonts w:asciiTheme="majorHAnsi" w:hAnsiTheme="majorHAnsi"/>
                                <w:color w:val="595959" w:themeColor="text1" w:themeTint="A6"/>
                                <w:sz w:val="18"/>
                                <w:lang w:val="es-CO"/>
                              </w:rPr>
                              <w:t xml:space="preserve">. Virgilio Maldonado Rodriguez.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November 22,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63B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" filled="f" stroked="f" strokeweight=".5pt">
                <v:textbox>
                  <w:txbxContent>
                    <w:p w14:paraId="00D2F178" w14:textId="77A93D6D" w:rsidR="003472AC" w:rsidRPr="003C32BC" w:rsidRDefault="003472AC"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333</w:t>
                      </w:r>
                      <w:r w:rsidRPr="0080483B">
                        <w:rPr>
                          <w:rFonts w:asciiTheme="majorHAnsi" w:hAnsiTheme="majorHAnsi"/>
                          <w:color w:val="595959" w:themeColor="text1" w:themeTint="A6"/>
                          <w:sz w:val="18"/>
                        </w:rPr>
                        <w:t>/</w:t>
                      </w:r>
                      <w:r>
                        <w:rPr>
                          <w:rFonts w:asciiTheme="majorHAnsi" w:hAnsiTheme="majorHAnsi"/>
                          <w:color w:val="595959" w:themeColor="text1" w:themeTint="A6"/>
                          <w:sz w:val="18"/>
                        </w:rPr>
                        <w:t>21</w:t>
                      </w:r>
                      <w:r w:rsidRPr="0080483B">
                        <w:rPr>
                          <w:rFonts w:asciiTheme="majorHAnsi" w:hAnsiTheme="majorHAnsi"/>
                          <w:color w:val="595959" w:themeColor="text1" w:themeTint="A6"/>
                          <w:sz w:val="18"/>
                        </w:rPr>
                        <w:t xml:space="preserve">. </w:t>
                      </w:r>
                      <w:r w:rsidRPr="009F340C">
                        <w:rPr>
                          <w:rFonts w:asciiTheme="majorHAnsi" w:hAnsiTheme="majorHAnsi"/>
                          <w:color w:val="595959" w:themeColor="text1" w:themeTint="A6"/>
                          <w:sz w:val="18"/>
                          <w:lang w:val="es-ES"/>
                        </w:rPr>
                        <w:t xml:space="preserve">Case 12.871. </w:t>
                      </w:r>
                      <w:r w:rsidRPr="005F55DC">
                        <w:rPr>
                          <w:rFonts w:asciiTheme="majorHAnsi" w:hAnsiTheme="majorHAnsi"/>
                          <w:color w:val="595959" w:themeColor="text1" w:themeTint="A6"/>
                          <w:sz w:val="18"/>
                          <w:lang w:val="es-CO"/>
                        </w:rPr>
                        <w:t>Merits</w:t>
                      </w:r>
                      <w:r>
                        <w:rPr>
                          <w:rFonts w:asciiTheme="majorHAnsi" w:hAnsiTheme="majorHAnsi"/>
                          <w:color w:val="595959" w:themeColor="text1" w:themeTint="A6"/>
                          <w:sz w:val="18"/>
                          <w:lang w:val="es-CO"/>
                        </w:rPr>
                        <w:t xml:space="preserve"> (</w:t>
                      </w:r>
                      <w:r w:rsidRPr="00341D3C">
                        <w:rPr>
                          <w:rFonts w:asciiTheme="majorHAnsi" w:hAnsiTheme="majorHAnsi"/>
                          <w:color w:val="595959" w:themeColor="text1" w:themeTint="A6"/>
                          <w:sz w:val="18"/>
                          <w:lang w:val="es-CO"/>
                        </w:rPr>
                        <w:t>Publication</w:t>
                      </w:r>
                      <w:r>
                        <w:rPr>
                          <w:rFonts w:asciiTheme="majorHAnsi" w:hAnsiTheme="majorHAnsi"/>
                          <w:color w:val="595959" w:themeColor="text1" w:themeTint="A6"/>
                          <w:sz w:val="18"/>
                          <w:lang w:val="es-CO"/>
                        </w:rPr>
                        <w:t>)</w:t>
                      </w:r>
                      <w:r w:rsidRPr="005F55DC">
                        <w:rPr>
                          <w:rFonts w:asciiTheme="majorHAnsi" w:hAnsiTheme="majorHAnsi"/>
                          <w:color w:val="595959" w:themeColor="text1" w:themeTint="A6"/>
                          <w:sz w:val="18"/>
                          <w:lang w:val="es-CO"/>
                        </w:rPr>
                        <w:t xml:space="preserve">. Virgilio Maldonado Rodriguez.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November 22, 2021</w:t>
                      </w:r>
                      <w:r w:rsidRPr="007607C4">
                        <w:rPr>
                          <w:rFonts w:asciiTheme="majorHAnsi" w:hAnsiTheme="majorHAnsi"/>
                          <w:color w:val="595959" w:themeColor="text1" w:themeTint="A6"/>
                          <w:sz w:val="18"/>
                        </w:rPr>
                        <w:t>.</w:t>
                      </w:r>
                    </w:p>
                  </w:txbxContent>
                </v:textbox>
              </v:shape>
            </w:pict>
          </mc:Fallback>
        </mc:AlternateContent>
      </w:r>
    </w:p>
    <w:p w14:paraId="7B486FEF"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24FB1DA9" w14:textId="77777777" w:rsidR="002C1641" w:rsidRPr="008C5978" w:rsidRDefault="002C1641" w:rsidP="00040C3A">
      <w:pPr>
        <w:tabs>
          <w:tab w:val="center" w:pos="5400"/>
        </w:tabs>
        <w:suppressAutoHyphens/>
        <w:jc w:val="center"/>
        <w:rPr>
          <w:rFonts w:asciiTheme="majorHAnsi" w:hAnsiTheme="majorHAnsi"/>
          <w:sz w:val="18"/>
          <w:szCs w:val="22"/>
          <w:lang w:val="es-ES_tradnl"/>
        </w:rPr>
      </w:pPr>
    </w:p>
    <w:p w14:paraId="50AD9D5B" w14:textId="77777777" w:rsidR="003C32BC" w:rsidRPr="008C5978" w:rsidRDefault="003C32BC" w:rsidP="003C32BC">
      <w:pPr>
        <w:tabs>
          <w:tab w:val="center" w:pos="5400"/>
        </w:tabs>
        <w:suppressAutoHyphens/>
        <w:jc w:val="center"/>
        <w:rPr>
          <w:rFonts w:asciiTheme="majorHAnsi" w:hAnsiTheme="majorHAnsi"/>
          <w:sz w:val="18"/>
          <w:szCs w:val="22"/>
        </w:rPr>
      </w:pPr>
    </w:p>
    <w:p w14:paraId="2F7A9868" w14:textId="77777777" w:rsidR="003C32BC" w:rsidRPr="008C5978" w:rsidRDefault="006311DA" w:rsidP="003C32BC">
      <w:pPr>
        <w:tabs>
          <w:tab w:val="center" w:pos="5400"/>
        </w:tabs>
        <w:suppressAutoHyphens/>
        <w:jc w:val="center"/>
        <w:rPr>
          <w:rFonts w:asciiTheme="majorHAnsi" w:hAnsiTheme="majorHAnsi"/>
          <w:sz w:val="18"/>
          <w:szCs w:val="22"/>
        </w:rPr>
      </w:pPr>
      <w:r w:rsidRPr="008C597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4CC1237" wp14:editId="03E3B98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AD3D6" w14:textId="77777777" w:rsidR="003472AC" w:rsidRPr="004B7EB6" w:rsidRDefault="003472A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123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" filled="f" stroked="f" strokeweight=".5pt">
                <v:textbox>
                  <w:txbxContent>
                    <w:p w14:paraId="336AD3D6" w14:textId="77777777" w:rsidR="003472AC" w:rsidRPr="004B7EB6" w:rsidRDefault="003472A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C597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2501E18" wp14:editId="0687087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F7E7D" w14:textId="0D9286D3" w:rsidR="003472AC" w:rsidRDefault="00E575CD">
                            <w:r>
                              <w:rPr>
                                <w:noProof/>
                              </w:rPr>
                              <w:drawing>
                                <wp:inline distT="0" distB="0" distL="0" distR="0" wp14:anchorId="494AF770" wp14:editId="5887041B">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01E1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AEF7E7D" w14:textId="0D9286D3" w:rsidR="003472AC" w:rsidRDefault="00E575CD">
                      <w:r>
                        <w:rPr>
                          <w:noProof/>
                        </w:rPr>
                        <w:drawing>
                          <wp:inline distT="0" distB="0" distL="0" distR="0" wp14:anchorId="494AF770" wp14:editId="5887041B">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0D359A49" w14:textId="77777777" w:rsidR="007607C4" w:rsidRPr="008C5978" w:rsidRDefault="007607C4" w:rsidP="003C32BC">
      <w:pPr>
        <w:tabs>
          <w:tab w:val="center" w:pos="5400"/>
        </w:tabs>
        <w:suppressAutoHyphens/>
        <w:jc w:val="center"/>
        <w:rPr>
          <w:rFonts w:asciiTheme="majorHAnsi" w:hAnsiTheme="majorHAnsi"/>
          <w:sz w:val="18"/>
          <w:szCs w:val="22"/>
        </w:rPr>
        <w:sectPr w:rsidR="007607C4" w:rsidRPr="008C5978"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5C6CA774" w14:textId="77777777" w:rsidR="00FC3EB4" w:rsidRPr="008C5978" w:rsidRDefault="00FC3EB4" w:rsidP="00FC3EB4">
      <w:pPr>
        <w:tabs>
          <w:tab w:val="center" w:pos="5400"/>
        </w:tabs>
        <w:suppressAutoHyphens/>
        <w:spacing w:line="276" w:lineRule="auto"/>
        <w:jc w:val="center"/>
        <w:rPr>
          <w:rFonts w:asciiTheme="majorHAnsi" w:hAnsiTheme="majorHAnsi"/>
          <w:b/>
          <w:sz w:val="18"/>
          <w:szCs w:val="18"/>
        </w:rPr>
      </w:pPr>
      <w:r w:rsidRPr="008C5978">
        <w:rPr>
          <w:rFonts w:asciiTheme="majorHAnsi" w:hAnsiTheme="majorHAnsi"/>
          <w:b/>
          <w:sz w:val="18"/>
          <w:szCs w:val="18"/>
        </w:rPr>
        <w:lastRenderedPageBreak/>
        <w:t>INDEX</w:t>
      </w:r>
    </w:p>
    <w:p w14:paraId="4F60EB2D" w14:textId="77777777" w:rsidR="007607C4" w:rsidRPr="008C5978" w:rsidRDefault="007607C4" w:rsidP="00145EDC">
      <w:pPr>
        <w:tabs>
          <w:tab w:val="center" w:pos="5400"/>
        </w:tabs>
        <w:suppressAutoHyphens/>
        <w:spacing w:line="276" w:lineRule="auto"/>
        <w:rPr>
          <w:rFonts w:asciiTheme="majorHAnsi" w:hAnsiTheme="majorHAnsi"/>
          <w:sz w:val="18"/>
          <w:szCs w:val="18"/>
        </w:rPr>
      </w:pPr>
    </w:p>
    <w:p w14:paraId="542AF59D" w14:textId="77777777" w:rsidR="007607C4" w:rsidRPr="00341D3C" w:rsidRDefault="007607C4" w:rsidP="00145EDC">
      <w:pPr>
        <w:tabs>
          <w:tab w:val="center" w:pos="5400"/>
        </w:tabs>
        <w:suppressAutoHyphens/>
        <w:spacing w:line="276" w:lineRule="auto"/>
        <w:rPr>
          <w:rFonts w:asciiTheme="majorHAnsi" w:hAnsiTheme="majorHAnsi"/>
          <w:sz w:val="20"/>
          <w:szCs w:val="20"/>
        </w:rPr>
      </w:pPr>
    </w:p>
    <w:p w14:paraId="196F42AB" w14:textId="27B392E7" w:rsidR="00341D3C" w:rsidRPr="00341D3C" w:rsidRDefault="00864785">
      <w:pPr>
        <w:pStyle w:val="TOC1"/>
        <w:rPr>
          <w:rFonts w:eastAsiaTheme="minorEastAsia" w:cstheme="minorBidi"/>
          <w:bdr w:val="none" w:sz="0" w:space="0" w:color="auto"/>
          <w:lang w:val="es-US" w:eastAsia="zh-CN"/>
        </w:rPr>
      </w:pPr>
      <w:r w:rsidRPr="00341D3C">
        <w:fldChar w:fldCharType="begin"/>
      </w:r>
      <w:r w:rsidRPr="00341D3C">
        <w:instrText xml:space="preserve"> TOC \o "1-3" \h \z \u </w:instrText>
      </w:r>
      <w:r w:rsidRPr="00341D3C">
        <w:fldChar w:fldCharType="separate"/>
      </w:r>
      <w:hyperlink w:anchor="_Toc89506710" w:history="1">
        <w:r w:rsidR="00341D3C" w:rsidRPr="00341D3C">
          <w:rPr>
            <w:rStyle w:val="Hyperlink"/>
          </w:rPr>
          <w:t>I.</w:t>
        </w:r>
        <w:r w:rsidR="00341D3C" w:rsidRPr="00341D3C">
          <w:rPr>
            <w:rFonts w:eastAsiaTheme="minorEastAsia" w:cstheme="minorBidi"/>
            <w:bdr w:val="none" w:sz="0" w:space="0" w:color="auto"/>
            <w:lang w:val="es-US" w:eastAsia="zh-CN"/>
          </w:rPr>
          <w:tab/>
        </w:r>
        <w:r w:rsidR="00341D3C" w:rsidRPr="00341D3C">
          <w:rPr>
            <w:rStyle w:val="Hyperlink"/>
          </w:rPr>
          <w:t>INTRODUCTION</w:t>
        </w:r>
        <w:r w:rsidR="00341D3C" w:rsidRPr="00341D3C">
          <w:rPr>
            <w:webHidden/>
          </w:rPr>
          <w:tab/>
        </w:r>
        <w:r w:rsidR="00341D3C" w:rsidRPr="00341D3C">
          <w:rPr>
            <w:webHidden/>
          </w:rPr>
          <w:fldChar w:fldCharType="begin"/>
        </w:r>
        <w:r w:rsidR="00341D3C" w:rsidRPr="00341D3C">
          <w:rPr>
            <w:webHidden/>
          </w:rPr>
          <w:instrText xml:space="preserve"> PAGEREF _Toc89506710 \h </w:instrText>
        </w:r>
        <w:r w:rsidR="00341D3C" w:rsidRPr="00341D3C">
          <w:rPr>
            <w:webHidden/>
          </w:rPr>
        </w:r>
        <w:r w:rsidR="00341D3C" w:rsidRPr="00341D3C">
          <w:rPr>
            <w:webHidden/>
          </w:rPr>
          <w:fldChar w:fldCharType="separate"/>
        </w:r>
        <w:r w:rsidR="00905EBA">
          <w:rPr>
            <w:webHidden/>
          </w:rPr>
          <w:t>2</w:t>
        </w:r>
        <w:r w:rsidR="00341D3C" w:rsidRPr="00341D3C">
          <w:rPr>
            <w:webHidden/>
          </w:rPr>
          <w:fldChar w:fldCharType="end"/>
        </w:r>
      </w:hyperlink>
    </w:p>
    <w:p w14:paraId="5C5D468E" w14:textId="16BEEA8D" w:rsidR="00341D3C" w:rsidRPr="00341D3C" w:rsidRDefault="00844831">
      <w:pPr>
        <w:pStyle w:val="TOC1"/>
        <w:rPr>
          <w:rFonts w:eastAsiaTheme="minorEastAsia" w:cstheme="minorBidi"/>
          <w:bdr w:val="none" w:sz="0" w:space="0" w:color="auto"/>
          <w:lang w:val="es-US" w:eastAsia="zh-CN"/>
        </w:rPr>
      </w:pPr>
      <w:hyperlink w:anchor="_Toc89506711" w:history="1">
        <w:r w:rsidR="00341D3C" w:rsidRPr="00341D3C">
          <w:rPr>
            <w:rStyle w:val="Hyperlink"/>
          </w:rPr>
          <w:t>II.</w:t>
        </w:r>
        <w:r w:rsidR="00341D3C" w:rsidRPr="00341D3C">
          <w:rPr>
            <w:rFonts w:eastAsiaTheme="minorEastAsia" w:cstheme="minorBidi"/>
            <w:bdr w:val="none" w:sz="0" w:space="0" w:color="auto"/>
            <w:lang w:val="es-US" w:eastAsia="zh-CN"/>
          </w:rPr>
          <w:tab/>
        </w:r>
        <w:r w:rsidR="00341D3C" w:rsidRPr="00341D3C">
          <w:rPr>
            <w:rStyle w:val="Hyperlink"/>
          </w:rPr>
          <w:t>POSITIONS OF THE PARTIES</w:t>
        </w:r>
        <w:r w:rsidR="00341D3C" w:rsidRPr="00341D3C">
          <w:rPr>
            <w:webHidden/>
          </w:rPr>
          <w:tab/>
        </w:r>
        <w:r w:rsidR="00341D3C" w:rsidRPr="00341D3C">
          <w:rPr>
            <w:webHidden/>
          </w:rPr>
          <w:fldChar w:fldCharType="begin"/>
        </w:r>
        <w:r w:rsidR="00341D3C" w:rsidRPr="00341D3C">
          <w:rPr>
            <w:webHidden/>
          </w:rPr>
          <w:instrText xml:space="preserve"> PAGEREF _Toc89506711 \h </w:instrText>
        </w:r>
        <w:r w:rsidR="00341D3C" w:rsidRPr="00341D3C">
          <w:rPr>
            <w:webHidden/>
          </w:rPr>
        </w:r>
        <w:r w:rsidR="00341D3C" w:rsidRPr="00341D3C">
          <w:rPr>
            <w:webHidden/>
          </w:rPr>
          <w:fldChar w:fldCharType="separate"/>
        </w:r>
        <w:r w:rsidR="00905EBA">
          <w:rPr>
            <w:webHidden/>
          </w:rPr>
          <w:t>2</w:t>
        </w:r>
        <w:r w:rsidR="00341D3C" w:rsidRPr="00341D3C">
          <w:rPr>
            <w:webHidden/>
          </w:rPr>
          <w:fldChar w:fldCharType="end"/>
        </w:r>
      </w:hyperlink>
    </w:p>
    <w:p w14:paraId="01689B6B" w14:textId="3822052E"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2" w:history="1">
        <w:r w:rsidR="00341D3C" w:rsidRPr="00341D3C">
          <w:rPr>
            <w:rStyle w:val="Hyperlink"/>
            <w:rFonts w:asciiTheme="majorHAnsi" w:hAnsiTheme="majorHAnsi"/>
            <w:noProof/>
            <w:sz w:val="20"/>
            <w:szCs w:val="20"/>
          </w:rPr>
          <w:t>A.</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Petitioners</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_Toc89506712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2</w:t>
        </w:r>
        <w:r w:rsidR="00341D3C" w:rsidRPr="00341D3C">
          <w:rPr>
            <w:rFonts w:asciiTheme="majorHAnsi" w:hAnsiTheme="majorHAnsi"/>
            <w:noProof/>
            <w:webHidden/>
            <w:sz w:val="20"/>
            <w:szCs w:val="20"/>
          </w:rPr>
          <w:fldChar w:fldCharType="end"/>
        </w:r>
      </w:hyperlink>
    </w:p>
    <w:p w14:paraId="251F0594" w14:textId="3ABFA047"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3" w:history="1">
        <w:r w:rsidR="00341D3C" w:rsidRPr="00341D3C">
          <w:rPr>
            <w:rStyle w:val="Hyperlink"/>
            <w:rFonts w:asciiTheme="majorHAnsi" w:hAnsiTheme="majorHAnsi"/>
            <w:noProof/>
            <w:sz w:val="20"/>
            <w:szCs w:val="20"/>
          </w:rPr>
          <w:t>B.</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State</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_Toc89506713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3</w:t>
        </w:r>
        <w:r w:rsidR="00341D3C" w:rsidRPr="00341D3C">
          <w:rPr>
            <w:rFonts w:asciiTheme="majorHAnsi" w:hAnsiTheme="majorHAnsi"/>
            <w:noProof/>
            <w:webHidden/>
            <w:sz w:val="20"/>
            <w:szCs w:val="20"/>
          </w:rPr>
          <w:fldChar w:fldCharType="end"/>
        </w:r>
      </w:hyperlink>
    </w:p>
    <w:p w14:paraId="3225D0F7" w14:textId="1B7CB58A" w:rsidR="00341D3C" w:rsidRPr="00341D3C" w:rsidRDefault="00844831">
      <w:pPr>
        <w:pStyle w:val="TOC1"/>
        <w:rPr>
          <w:rFonts w:eastAsiaTheme="minorEastAsia" w:cstheme="minorBidi"/>
          <w:bdr w:val="none" w:sz="0" w:space="0" w:color="auto"/>
          <w:lang w:val="es-US" w:eastAsia="zh-CN"/>
        </w:rPr>
      </w:pPr>
      <w:hyperlink w:anchor="_Toc89506714" w:history="1">
        <w:r w:rsidR="00341D3C" w:rsidRPr="00341D3C">
          <w:rPr>
            <w:rStyle w:val="Hyperlink"/>
          </w:rPr>
          <w:t>III.</w:t>
        </w:r>
        <w:r w:rsidR="00341D3C" w:rsidRPr="00341D3C">
          <w:rPr>
            <w:rFonts w:eastAsiaTheme="minorEastAsia" w:cstheme="minorBidi"/>
            <w:bdr w:val="none" w:sz="0" w:space="0" w:color="auto"/>
            <w:lang w:val="es-US" w:eastAsia="zh-CN"/>
          </w:rPr>
          <w:tab/>
        </w:r>
        <w:r w:rsidR="00341D3C" w:rsidRPr="00341D3C">
          <w:rPr>
            <w:rStyle w:val="Hyperlink"/>
          </w:rPr>
          <w:t>FINDINGS OF FACT</w:t>
        </w:r>
        <w:r w:rsidR="00341D3C" w:rsidRPr="00341D3C">
          <w:rPr>
            <w:webHidden/>
          </w:rPr>
          <w:tab/>
        </w:r>
        <w:r w:rsidR="00341D3C" w:rsidRPr="00341D3C">
          <w:rPr>
            <w:webHidden/>
          </w:rPr>
          <w:fldChar w:fldCharType="begin"/>
        </w:r>
        <w:r w:rsidR="00341D3C" w:rsidRPr="00341D3C">
          <w:rPr>
            <w:webHidden/>
          </w:rPr>
          <w:instrText xml:space="preserve"> PAGEREF _Toc89506714 \h </w:instrText>
        </w:r>
        <w:r w:rsidR="00341D3C" w:rsidRPr="00341D3C">
          <w:rPr>
            <w:webHidden/>
          </w:rPr>
        </w:r>
        <w:r w:rsidR="00341D3C" w:rsidRPr="00341D3C">
          <w:rPr>
            <w:webHidden/>
          </w:rPr>
          <w:fldChar w:fldCharType="separate"/>
        </w:r>
        <w:r w:rsidR="00905EBA">
          <w:rPr>
            <w:webHidden/>
          </w:rPr>
          <w:t>4</w:t>
        </w:r>
        <w:r w:rsidR="00341D3C" w:rsidRPr="00341D3C">
          <w:rPr>
            <w:webHidden/>
          </w:rPr>
          <w:fldChar w:fldCharType="end"/>
        </w:r>
      </w:hyperlink>
    </w:p>
    <w:p w14:paraId="6FCE5CAC" w14:textId="3CC884AC"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5" w:history="1">
        <w:r w:rsidR="00341D3C" w:rsidRPr="00341D3C">
          <w:rPr>
            <w:rStyle w:val="Hyperlink"/>
            <w:rFonts w:asciiTheme="majorHAnsi" w:hAnsiTheme="majorHAnsi"/>
            <w:noProof/>
            <w:sz w:val="20"/>
            <w:szCs w:val="20"/>
          </w:rPr>
          <w:t>A.</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Mr. Maldonado’s conviction and death sentence</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_Toc89506715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4</w:t>
        </w:r>
        <w:r w:rsidR="00341D3C" w:rsidRPr="00341D3C">
          <w:rPr>
            <w:rFonts w:asciiTheme="majorHAnsi" w:hAnsiTheme="majorHAnsi"/>
            <w:noProof/>
            <w:webHidden/>
            <w:sz w:val="20"/>
            <w:szCs w:val="20"/>
          </w:rPr>
          <w:fldChar w:fldCharType="end"/>
        </w:r>
      </w:hyperlink>
    </w:p>
    <w:p w14:paraId="5AC618DF" w14:textId="40C928A0"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6" w:history="1">
        <w:r w:rsidR="00341D3C" w:rsidRPr="00341D3C">
          <w:rPr>
            <w:rStyle w:val="Hyperlink"/>
            <w:rFonts w:asciiTheme="majorHAnsi" w:hAnsiTheme="majorHAnsi"/>
            <w:noProof/>
            <w:sz w:val="20"/>
            <w:szCs w:val="20"/>
          </w:rPr>
          <w:t>B.</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State and federal post-conviction proceedings</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_Toc89506716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6</w:t>
        </w:r>
        <w:r w:rsidR="00341D3C" w:rsidRPr="00341D3C">
          <w:rPr>
            <w:rFonts w:asciiTheme="majorHAnsi" w:hAnsiTheme="majorHAnsi"/>
            <w:noProof/>
            <w:webHidden/>
            <w:sz w:val="20"/>
            <w:szCs w:val="20"/>
          </w:rPr>
          <w:fldChar w:fldCharType="end"/>
        </w:r>
      </w:hyperlink>
    </w:p>
    <w:p w14:paraId="7CB51845" w14:textId="11CF7E82"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7" w:history="1">
        <w:r w:rsidR="00341D3C" w:rsidRPr="00341D3C">
          <w:rPr>
            <w:rStyle w:val="Hyperlink"/>
            <w:rFonts w:asciiTheme="majorHAnsi" w:hAnsiTheme="majorHAnsi"/>
            <w:noProof/>
            <w:sz w:val="20"/>
            <w:szCs w:val="20"/>
          </w:rPr>
          <w:t>C.</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Sentence of life imprisonment</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_Toc89506717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7</w:t>
        </w:r>
        <w:r w:rsidR="00341D3C" w:rsidRPr="00341D3C">
          <w:rPr>
            <w:rFonts w:asciiTheme="majorHAnsi" w:hAnsiTheme="majorHAnsi"/>
            <w:noProof/>
            <w:webHidden/>
            <w:sz w:val="20"/>
            <w:szCs w:val="20"/>
          </w:rPr>
          <w:fldChar w:fldCharType="end"/>
        </w:r>
      </w:hyperlink>
    </w:p>
    <w:p w14:paraId="4A711989" w14:textId="45713898"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8" w:history="1">
        <w:r w:rsidR="00341D3C" w:rsidRPr="00341D3C">
          <w:rPr>
            <w:rStyle w:val="Hyperlink"/>
            <w:rFonts w:asciiTheme="majorHAnsi" w:hAnsiTheme="majorHAnsi"/>
            <w:noProof/>
            <w:sz w:val="20"/>
            <w:szCs w:val="20"/>
          </w:rPr>
          <w:t>D.</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Investigations by post-conviction counsel</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_Toc89506718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7</w:t>
        </w:r>
        <w:r w:rsidR="00341D3C" w:rsidRPr="00341D3C">
          <w:rPr>
            <w:rFonts w:asciiTheme="majorHAnsi" w:hAnsiTheme="majorHAnsi"/>
            <w:noProof/>
            <w:webHidden/>
            <w:sz w:val="20"/>
            <w:szCs w:val="20"/>
          </w:rPr>
          <w:fldChar w:fldCharType="end"/>
        </w:r>
      </w:hyperlink>
    </w:p>
    <w:p w14:paraId="6FED6A05" w14:textId="0A2A2358"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19" w:history="1">
        <w:r w:rsidR="00341D3C" w:rsidRPr="00341D3C">
          <w:rPr>
            <w:rStyle w:val="Hyperlink"/>
            <w:rFonts w:asciiTheme="majorHAnsi" w:hAnsiTheme="majorHAnsi"/>
            <w:noProof/>
            <w:sz w:val="20"/>
            <w:szCs w:val="20"/>
          </w:rPr>
          <w:t>E.</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Consular notification</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_Toc89506719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7</w:t>
        </w:r>
        <w:r w:rsidR="00341D3C" w:rsidRPr="00341D3C">
          <w:rPr>
            <w:rFonts w:asciiTheme="majorHAnsi" w:hAnsiTheme="majorHAnsi"/>
            <w:noProof/>
            <w:webHidden/>
            <w:sz w:val="20"/>
            <w:szCs w:val="20"/>
          </w:rPr>
          <w:fldChar w:fldCharType="end"/>
        </w:r>
      </w:hyperlink>
    </w:p>
    <w:p w14:paraId="02092613" w14:textId="312AAEC5" w:rsidR="00341D3C" w:rsidRPr="00341D3C" w:rsidRDefault="00844831">
      <w:pPr>
        <w:pStyle w:val="TOC1"/>
        <w:rPr>
          <w:rFonts w:eastAsiaTheme="minorEastAsia" w:cstheme="minorBidi"/>
          <w:bdr w:val="none" w:sz="0" w:space="0" w:color="auto"/>
          <w:lang w:val="es-US" w:eastAsia="zh-CN"/>
        </w:rPr>
      </w:pPr>
      <w:hyperlink w:anchor="_Toc89506720" w:history="1">
        <w:r w:rsidR="00341D3C" w:rsidRPr="00341D3C">
          <w:rPr>
            <w:rStyle w:val="Hyperlink"/>
          </w:rPr>
          <w:t>IV.</w:t>
        </w:r>
        <w:r w:rsidR="00341D3C" w:rsidRPr="00341D3C">
          <w:rPr>
            <w:rFonts w:eastAsiaTheme="minorEastAsia" w:cstheme="minorBidi"/>
            <w:bdr w:val="none" w:sz="0" w:space="0" w:color="auto"/>
            <w:lang w:val="es-US" w:eastAsia="zh-CN"/>
          </w:rPr>
          <w:tab/>
        </w:r>
        <w:r w:rsidR="00341D3C" w:rsidRPr="00341D3C">
          <w:rPr>
            <w:rStyle w:val="Hyperlink"/>
          </w:rPr>
          <w:t>ANALYSIS OF LAW</w:t>
        </w:r>
        <w:r w:rsidR="00341D3C" w:rsidRPr="00341D3C">
          <w:rPr>
            <w:webHidden/>
          </w:rPr>
          <w:tab/>
        </w:r>
        <w:r w:rsidR="00341D3C" w:rsidRPr="00341D3C">
          <w:rPr>
            <w:webHidden/>
          </w:rPr>
          <w:fldChar w:fldCharType="begin"/>
        </w:r>
        <w:r w:rsidR="00341D3C" w:rsidRPr="00341D3C">
          <w:rPr>
            <w:webHidden/>
          </w:rPr>
          <w:instrText xml:space="preserve"> PAGEREF _Toc89506720 \h </w:instrText>
        </w:r>
        <w:r w:rsidR="00341D3C" w:rsidRPr="00341D3C">
          <w:rPr>
            <w:webHidden/>
          </w:rPr>
        </w:r>
        <w:r w:rsidR="00341D3C" w:rsidRPr="00341D3C">
          <w:rPr>
            <w:webHidden/>
          </w:rPr>
          <w:fldChar w:fldCharType="separate"/>
        </w:r>
        <w:r w:rsidR="00905EBA">
          <w:rPr>
            <w:webHidden/>
          </w:rPr>
          <w:t>10</w:t>
        </w:r>
        <w:r w:rsidR="00341D3C" w:rsidRPr="00341D3C">
          <w:rPr>
            <w:webHidden/>
          </w:rPr>
          <w:fldChar w:fldCharType="end"/>
        </w:r>
      </w:hyperlink>
    </w:p>
    <w:p w14:paraId="34065BE1" w14:textId="68FEA836"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21" w:history="1">
        <w:r w:rsidR="00341D3C" w:rsidRPr="00341D3C">
          <w:rPr>
            <w:rStyle w:val="Hyperlink"/>
            <w:rFonts w:asciiTheme="majorHAnsi" w:hAnsiTheme="majorHAnsi"/>
            <w:noProof/>
            <w:sz w:val="20"/>
            <w:szCs w:val="20"/>
          </w:rPr>
          <w:t>A.</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Preliminary considerations</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_Toc89506721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10</w:t>
        </w:r>
        <w:r w:rsidR="00341D3C" w:rsidRPr="00341D3C">
          <w:rPr>
            <w:rFonts w:asciiTheme="majorHAnsi" w:hAnsiTheme="majorHAnsi"/>
            <w:noProof/>
            <w:webHidden/>
            <w:sz w:val="20"/>
            <w:szCs w:val="20"/>
          </w:rPr>
          <w:fldChar w:fldCharType="end"/>
        </w:r>
      </w:hyperlink>
    </w:p>
    <w:p w14:paraId="72FF8A53" w14:textId="748B5523"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22" w:history="1">
        <w:r w:rsidR="00341D3C" w:rsidRPr="00341D3C">
          <w:rPr>
            <w:rStyle w:val="Hyperlink"/>
            <w:rFonts w:asciiTheme="majorHAnsi" w:hAnsiTheme="majorHAnsi"/>
            <w:noProof/>
            <w:sz w:val="20"/>
            <w:szCs w:val="20"/>
          </w:rPr>
          <w:t>B.</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Right to a fair trial and to due process of law</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_Toc89506722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11</w:t>
        </w:r>
        <w:r w:rsidR="00341D3C" w:rsidRPr="00341D3C">
          <w:rPr>
            <w:rFonts w:asciiTheme="majorHAnsi" w:hAnsiTheme="majorHAnsi"/>
            <w:noProof/>
            <w:webHidden/>
            <w:sz w:val="20"/>
            <w:szCs w:val="20"/>
          </w:rPr>
          <w:fldChar w:fldCharType="end"/>
        </w:r>
      </w:hyperlink>
    </w:p>
    <w:p w14:paraId="506A7CD9" w14:textId="506A3A27" w:rsidR="00341D3C" w:rsidRPr="00341D3C" w:rsidRDefault="00844831">
      <w:pPr>
        <w:pStyle w:val="TOC3"/>
        <w:rPr>
          <w:rFonts w:asciiTheme="majorHAnsi" w:eastAsiaTheme="minorEastAsia" w:hAnsiTheme="majorHAnsi" w:cstheme="minorBidi"/>
          <w:noProof/>
          <w:sz w:val="20"/>
          <w:szCs w:val="20"/>
          <w:bdr w:val="none" w:sz="0" w:space="0" w:color="auto"/>
          <w:lang w:val="es-US" w:eastAsia="zh-CN"/>
        </w:rPr>
      </w:pPr>
      <w:hyperlink w:anchor="_Toc89506723" w:history="1">
        <w:r w:rsidR="00341D3C" w:rsidRPr="00341D3C">
          <w:rPr>
            <w:rStyle w:val="Hyperlink"/>
            <w:rFonts w:asciiTheme="majorHAnsi" w:hAnsiTheme="majorHAnsi"/>
            <w:noProof/>
            <w:sz w:val="20"/>
            <w:szCs w:val="20"/>
          </w:rPr>
          <w:t>1.</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General considerations regarding ineffective assistance of court-appointed counsel</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_Toc89506723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11</w:t>
        </w:r>
        <w:r w:rsidR="00341D3C" w:rsidRPr="00341D3C">
          <w:rPr>
            <w:rFonts w:asciiTheme="majorHAnsi" w:hAnsiTheme="majorHAnsi"/>
            <w:noProof/>
            <w:webHidden/>
            <w:sz w:val="20"/>
            <w:szCs w:val="20"/>
          </w:rPr>
          <w:fldChar w:fldCharType="end"/>
        </w:r>
      </w:hyperlink>
    </w:p>
    <w:p w14:paraId="204483D9" w14:textId="7636A1F2" w:rsidR="00341D3C" w:rsidRPr="00341D3C" w:rsidRDefault="00844831">
      <w:pPr>
        <w:pStyle w:val="TOC3"/>
        <w:rPr>
          <w:rFonts w:asciiTheme="majorHAnsi" w:eastAsiaTheme="minorEastAsia" w:hAnsiTheme="majorHAnsi" w:cstheme="minorBidi"/>
          <w:noProof/>
          <w:sz w:val="20"/>
          <w:szCs w:val="20"/>
          <w:bdr w:val="none" w:sz="0" w:space="0" w:color="auto"/>
          <w:lang w:val="es-US" w:eastAsia="zh-CN"/>
        </w:rPr>
      </w:pPr>
      <w:hyperlink w:anchor="_Toc89506724" w:history="1">
        <w:r w:rsidR="00341D3C" w:rsidRPr="00341D3C">
          <w:rPr>
            <w:rStyle w:val="Hyperlink"/>
            <w:rFonts w:asciiTheme="majorHAnsi" w:hAnsiTheme="majorHAnsi"/>
            <w:noProof/>
            <w:sz w:val="20"/>
            <w:szCs w:val="20"/>
          </w:rPr>
          <w:t>2.</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Analysis of the case</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_Toc89506724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12</w:t>
        </w:r>
        <w:r w:rsidR="00341D3C" w:rsidRPr="00341D3C">
          <w:rPr>
            <w:rFonts w:asciiTheme="majorHAnsi" w:hAnsiTheme="majorHAnsi"/>
            <w:noProof/>
            <w:webHidden/>
            <w:sz w:val="20"/>
            <w:szCs w:val="20"/>
          </w:rPr>
          <w:fldChar w:fldCharType="end"/>
        </w:r>
      </w:hyperlink>
    </w:p>
    <w:p w14:paraId="7F82EEB3" w14:textId="1998F9E1" w:rsidR="00341D3C" w:rsidRPr="00341D3C" w:rsidRDefault="00844831">
      <w:pPr>
        <w:pStyle w:val="TOC3"/>
        <w:rPr>
          <w:rFonts w:asciiTheme="majorHAnsi" w:eastAsiaTheme="minorEastAsia" w:hAnsiTheme="majorHAnsi" w:cstheme="minorBidi"/>
          <w:noProof/>
          <w:sz w:val="20"/>
          <w:szCs w:val="20"/>
          <w:bdr w:val="none" w:sz="0" w:space="0" w:color="auto"/>
          <w:lang w:val="es-US" w:eastAsia="zh-CN"/>
        </w:rPr>
      </w:pPr>
      <w:hyperlink w:anchor="_Toc89506725" w:history="1">
        <w:r w:rsidR="00341D3C" w:rsidRPr="00341D3C">
          <w:rPr>
            <w:rStyle w:val="Hyperlink"/>
            <w:rFonts w:asciiTheme="majorHAnsi" w:hAnsiTheme="majorHAnsi"/>
            <w:noProof/>
            <w:sz w:val="20"/>
            <w:szCs w:val="20"/>
          </w:rPr>
          <w:t>3.</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General considerations regarding the right to consular notification</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_Toc89506725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13</w:t>
        </w:r>
        <w:r w:rsidR="00341D3C" w:rsidRPr="00341D3C">
          <w:rPr>
            <w:rFonts w:asciiTheme="majorHAnsi" w:hAnsiTheme="majorHAnsi"/>
            <w:noProof/>
            <w:webHidden/>
            <w:sz w:val="20"/>
            <w:szCs w:val="20"/>
          </w:rPr>
          <w:fldChar w:fldCharType="end"/>
        </w:r>
      </w:hyperlink>
    </w:p>
    <w:p w14:paraId="5D0C452F" w14:textId="52D4E646" w:rsidR="00341D3C" w:rsidRPr="00341D3C" w:rsidRDefault="00844831">
      <w:pPr>
        <w:pStyle w:val="TOC3"/>
        <w:rPr>
          <w:rFonts w:asciiTheme="majorHAnsi" w:eastAsiaTheme="minorEastAsia" w:hAnsiTheme="majorHAnsi" w:cstheme="minorBidi"/>
          <w:noProof/>
          <w:sz w:val="20"/>
          <w:szCs w:val="20"/>
          <w:bdr w:val="none" w:sz="0" w:space="0" w:color="auto"/>
          <w:lang w:val="es-US" w:eastAsia="zh-CN"/>
        </w:rPr>
      </w:pPr>
      <w:hyperlink w:anchor="_Toc89506726" w:history="1">
        <w:r w:rsidR="00341D3C" w:rsidRPr="00341D3C">
          <w:rPr>
            <w:rStyle w:val="Hyperlink"/>
            <w:rFonts w:asciiTheme="majorHAnsi" w:hAnsiTheme="majorHAnsi"/>
            <w:noProof/>
            <w:sz w:val="20"/>
            <w:szCs w:val="20"/>
          </w:rPr>
          <w:t>4.</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Analysis of the case</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_Toc89506726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14</w:t>
        </w:r>
        <w:r w:rsidR="00341D3C" w:rsidRPr="00341D3C">
          <w:rPr>
            <w:rFonts w:asciiTheme="majorHAnsi" w:hAnsiTheme="majorHAnsi"/>
            <w:noProof/>
            <w:webHidden/>
            <w:sz w:val="20"/>
            <w:szCs w:val="20"/>
          </w:rPr>
          <w:fldChar w:fldCharType="end"/>
        </w:r>
      </w:hyperlink>
    </w:p>
    <w:p w14:paraId="3AC6F52A" w14:textId="7156AC18" w:rsidR="00341D3C" w:rsidRPr="00341D3C" w:rsidRDefault="00844831">
      <w:pPr>
        <w:pStyle w:val="TOC2"/>
        <w:rPr>
          <w:rFonts w:asciiTheme="majorHAnsi" w:eastAsiaTheme="minorEastAsia" w:hAnsiTheme="majorHAnsi" w:cstheme="minorBidi"/>
          <w:noProof/>
          <w:sz w:val="20"/>
          <w:szCs w:val="20"/>
          <w:bdr w:val="none" w:sz="0" w:space="0" w:color="auto"/>
          <w:lang w:val="es-US" w:eastAsia="zh-CN"/>
        </w:rPr>
      </w:pPr>
      <w:hyperlink w:anchor="_Toc89506727" w:history="1">
        <w:r w:rsidR="00341D3C" w:rsidRPr="00341D3C">
          <w:rPr>
            <w:rStyle w:val="Hyperlink"/>
            <w:rFonts w:asciiTheme="majorHAnsi" w:hAnsiTheme="majorHAnsi"/>
            <w:noProof/>
            <w:sz w:val="20"/>
            <w:szCs w:val="20"/>
          </w:rPr>
          <w:t>C.</w:t>
        </w:r>
        <w:r w:rsidR="00341D3C" w:rsidRPr="00341D3C">
          <w:rPr>
            <w:rFonts w:asciiTheme="majorHAnsi" w:eastAsiaTheme="minorEastAsia" w:hAnsiTheme="majorHAnsi" w:cstheme="minorBidi"/>
            <w:noProof/>
            <w:sz w:val="20"/>
            <w:szCs w:val="20"/>
            <w:bdr w:val="none" w:sz="0" w:space="0" w:color="auto"/>
            <w:lang w:val="es-US" w:eastAsia="zh-CN"/>
          </w:rPr>
          <w:tab/>
        </w:r>
        <w:r w:rsidR="00341D3C" w:rsidRPr="00341D3C">
          <w:rPr>
            <w:rStyle w:val="Hyperlink"/>
            <w:rFonts w:asciiTheme="majorHAnsi" w:hAnsiTheme="majorHAnsi"/>
            <w:noProof/>
            <w:sz w:val="20"/>
            <w:szCs w:val="20"/>
          </w:rPr>
          <w:t>The deprivation of liberty on death row and the right of protection against cruel, infamous or unusual punishment</w:t>
        </w:r>
        <w:r w:rsidR="00341D3C" w:rsidRPr="00341D3C">
          <w:rPr>
            <w:rFonts w:asciiTheme="majorHAnsi" w:hAnsiTheme="majorHAnsi"/>
            <w:noProof/>
            <w:webHidden/>
            <w:sz w:val="20"/>
            <w:szCs w:val="20"/>
          </w:rPr>
          <w:tab/>
        </w:r>
        <w:r w:rsidR="00341D3C" w:rsidRPr="00341D3C">
          <w:rPr>
            <w:rFonts w:asciiTheme="majorHAnsi" w:hAnsiTheme="majorHAnsi"/>
            <w:noProof/>
            <w:webHidden/>
            <w:sz w:val="20"/>
            <w:szCs w:val="20"/>
          </w:rPr>
          <w:fldChar w:fldCharType="begin"/>
        </w:r>
        <w:r w:rsidR="00341D3C" w:rsidRPr="00341D3C">
          <w:rPr>
            <w:rFonts w:asciiTheme="majorHAnsi" w:hAnsiTheme="majorHAnsi"/>
            <w:noProof/>
            <w:webHidden/>
            <w:sz w:val="20"/>
            <w:szCs w:val="20"/>
          </w:rPr>
          <w:instrText xml:space="preserve"> PAGEREF _Toc89506727 \h </w:instrText>
        </w:r>
        <w:r w:rsidR="00341D3C" w:rsidRPr="00341D3C">
          <w:rPr>
            <w:rFonts w:asciiTheme="majorHAnsi" w:hAnsiTheme="majorHAnsi"/>
            <w:noProof/>
            <w:webHidden/>
            <w:sz w:val="20"/>
            <w:szCs w:val="20"/>
          </w:rPr>
        </w:r>
        <w:r w:rsidR="00341D3C" w:rsidRPr="00341D3C">
          <w:rPr>
            <w:rFonts w:asciiTheme="majorHAnsi" w:hAnsiTheme="majorHAnsi"/>
            <w:noProof/>
            <w:webHidden/>
            <w:sz w:val="20"/>
            <w:szCs w:val="20"/>
          </w:rPr>
          <w:fldChar w:fldCharType="separate"/>
        </w:r>
        <w:r w:rsidR="00905EBA">
          <w:rPr>
            <w:rFonts w:asciiTheme="majorHAnsi" w:hAnsiTheme="majorHAnsi"/>
            <w:noProof/>
            <w:webHidden/>
            <w:sz w:val="20"/>
            <w:szCs w:val="20"/>
          </w:rPr>
          <w:t>15</w:t>
        </w:r>
        <w:r w:rsidR="00341D3C" w:rsidRPr="00341D3C">
          <w:rPr>
            <w:rFonts w:asciiTheme="majorHAnsi" w:hAnsiTheme="majorHAnsi"/>
            <w:noProof/>
            <w:webHidden/>
            <w:sz w:val="20"/>
            <w:szCs w:val="20"/>
          </w:rPr>
          <w:fldChar w:fldCharType="end"/>
        </w:r>
      </w:hyperlink>
    </w:p>
    <w:p w14:paraId="7DB824F8" w14:textId="1E6AD03B" w:rsidR="00341D3C" w:rsidRPr="00341D3C" w:rsidRDefault="00844831">
      <w:pPr>
        <w:pStyle w:val="TOC1"/>
        <w:rPr>
          <w:rFonts w:eastAsiaTheme="minorEastAsia" w:cstheme="minorBidi"/>
          <w:bdr w:val="none" w:sz="0" w:space="0" w:color="auto"/>
          <w:lang w:val="es-US" w:eastAsia="zh-CN"/>
        </w:rPr>
      </w:pPr>
      <w:hyperlink w:anchor="_Toc89506728" w:history="1">
        <w:r w:rsidR="00341D3C" w:rsidRPr="00341D3C">
          <w:rPr>
            <w:rStyle w:val="Hyperlink"/>
          </w:rPr>
          <w:t>V.</w:t>
        </w:r>
        <w:r w:rsidR="00341D3C" w:rsidRPr="00341D3C">
          <w:rPr>
            <w:rFonts w:eastAsiaTheme="minorEastAsia" w:cstheme="minorBidi"/>
            <w:bdr w:val="none" w:sz="0" w:space="0" w:color="auto"/>
            <w:lang w:val="es-US" w:eastAsia="zh-CN"/>
          </w:rPr>
          <w:tab/>
        </w:r>
        <w:r w:rsidR="00341D3C" w:rsidRPr="00341D3C">
          <w:rPr>
            <w:rStyle w:val="Hyperlink"/>
          </w:rPr>
          <w:t>ACTIONS SUBSEQUENT TO REPORT No. 93/19</w:t>
        </w:r>
        <w:r w:rsidR="00341D3C" w:rsidRPr="00341D3C">
          <w:rPr>
            <w:webHidden/>
          </w:rPr>
          <w:tab/>
        </w:r>
        <w:r w:rsidR="00341D3C" w:rsidRPr="00341D3C">
          <w:rPr>
            <w:webHidden/>
          </w:rPr>
          <w:fldChar w:fldCharType="begin"/>
        </w:r>
        <w:r w:rsidR="00341D3C" w:rsidRPr="00341D3C">
          <w:rPr>
            <w:webHidden/>
          </w:rPr>
          <w:instrText xml:space="preserve"> PAGEREF _Toc89506728 \h </w:instrText>
        </w:r>
        <w:r w:rsidR="00341D3C" w:rsidRPr="00341D3C">
          <w:rPr>
            <w:webHidden/>
          </w:rPr>
        </w:r>
        <w:r w:rsidR="00341D3C" w:rsidRPr="00341D3C">
          <w:rPr>
            <w:webHidden/>
          </w:rPr>
          <w:fldChar w:fldCharType="separate"/>
        </w:r>
        <w:r w:rsidR="00905EBA">
          <w:rPr>
            <w:webHidden/>
          </w:rPr>
          <w:t>16</w:t>
        </w:r>
        <w:r w:rsidR="00341D3C" w:rsidRPr="00341D3C">
          <w:rPr>
            <w:webHidden/>
          </w:rPr>
          <w:fldChar w:fldCharType="end"/>
        </w:r>
      </w:hyperlink>
    </w:p>
    <w:p w14:paraId="1C6F40B2" w14:textId="304940BC" w:rsidR="00341D3C" w:rsidRPr="00341D3C" w:rsidRDefault="00844831">
      <w:pPr>
        <w:pStyle w:val="TOC1"/>
        <w:rPr>
          <w:rFonts w:eastAsiaTheme="minorEastAsia" w:cstheme="minorBidi"/>
          <w:bdr w:val="none" w:sz="0" w:space="0" w:color="auto"/>
          <w:lang w:val="es-US" w:eastAsia="zh-CN"/>
        </w:rPr>
      </w:pPr>
      <w:hyperlink w:anchor="_Toc89506729" w:history="1">
        <w:r w:rsidR="00341D3C" w:rsidRPr="00341D3C">
          <w:rPr>
            <w:rStyle w:val="Hyperlink"/>
          </w:rPr>
          <w:t>VI.</w:t>
        </w:r>
        <w:r w:rsidR="00341D3C" w:rsidRPr="00341D3C">
          <w:rPr>
            <w:rFonts w:eastAsiaTheme="minorEastAsia" w:cstheme="minorBidi"/>
            <w:bdr w:val="none" w:sz="0" w:space="0" w:color="auto"/>
            <w:lang w:val="es-US" w:eastAsia="zh-CN"/>
          </w:rPr>
          <w:tab/>
        </w:r>
        <w:r w:rsidR="00341D3C" w:rsidRPr="00341D3C">
          <w:rPr>
            <w:rStyle w:val="Hyperlink"/>
          </w:rPr>
          <w:t>ACTIONS SUBSEQUENT TO REPORT No. 32/20</w:t>
        </w:r>
        <w:r w:rsidR="00341D3C" w:rsidRPr="00341D3C">
          <w:rPr>
            <w:webHidden/>
          </w:rPr>
          <w:tab/>
        </w:r>
        <w:r w:rsidR="00341D3C" w:rsidRPr="00341D3C">
          <w:rPr>
            <w:webHidden/>
          </w:rPr>
          <w:fldChar w:fldCharType="begin"/>
        </w:r>
        <w:r w:rsidR="00341D3C" w:rsidRPr="00341D3C">
          <w:rPr>
            <w:webHidden/>
          </w:rPr>
          <w:instrText xml:space="preserve"> PAGEREF _Toc89506729 \h </w:instrText>
        </w:r>
        <w:r w:rsidR="00341D3C" w:rsidRPr="00341D3C">
          <w:rPr>
            <w:webHidden/>
          </w:rPr>
        </w:r>
        <w:r w:rsidR="00341D3C" w:rsidRPr="00341D3C">
          <w:rPr>
            <w:webHidden/>
          </w:rPr>
          <w:fldChar w:fldCharType="separate"/>
        </w:r>
        <w:r w:rsidR="00905EBA">
          <w:rPr>
            <w:webHidden/>
          </w:rPr>
          <w:t>16</w:t>
        </w:r>
        <w:r w:rsidR="00341D3C" w:rsidRPr="00341D3C">
          <w:rPr>
            <w:webHidden/>
          </w:rPr>
          <w:fldChar w:fldCharType="end"/>
        </w:r>
      </w:hyperlink>
    </w:p>
    <w:p w14:paraId="7311B737" w14:textId="063EC240" w:rsidR="00341D3C" w:rsidRPr="00341D3C" w:rsidRDefault="00844831">
      <w:pPr>
        <w:pStyle w:val="TOC1"/>
        <w:rPr>
          <w:rFonts w:eastAsiaTheme="minorEastAsia" w:cstheme="minorBidi"/>
          <w:bdr w:val="none" w:sz="0" w:space="0" w:color="auto"/>
          <w:lang w:val="es-US" w:eastAsia="zh-CN"/>
        </w:rPr>
      </w:pPr>
      <w:hyperlink w:anchor="_Toc89506730" w:history="1">
        <w:r w:rsidR="00341D3C" w:rsidRPr="00341D3C">
          <w:rPr>
            <w:rStyle w:val="Hyperlink"/>
          </w:rPr>
          <w:t>VII.</w:t>
        </w:r>
        <w:r w:rsidR="00341D3C" w:rsidRPr="00341D3C">
          <w:rPr>
            <w:rFonts w:eastAsiaTheme="minorEastAsia" w:cstheme="minorBidi"/>
            <w:bdr w:val="none" w:sz="0" w:space="0" w:color="auto"/>
            <w:lang w:val="es-US" w:eastAsia="zh-CN"/>
          </w:rPr>
          <w:tab/>
        </w:r>
        <w:r w:rsidR="00341D3C" w:rsidRPr="00341D3C">
          <w:rPr>
            <w:rStyle w:val="Hyperlink"/>
          </w:rPr>
          <w:t>FINAL CONCLUSIONS AND RECOMMENDATIONS</w:t>
        </w:r>
        <w:r w:rsidR="00341D3C" w:rsidRPr="00341D3C">
          <w:rPr>
            <w:webHidden/>
          </w:rPr>
          <w:tab/>
        </w:r>
        <w:r w:rsidR="00341D3C" w:rsidRPr="00341D3C">
          <w:rPr>
            <w:webHidden/>
          </w:rPr>
          <w:fldChar w:fldCharType="begin"/>
        </w:r>
        <w:r w:rsidR="00341D3C" w:rsidRPr="00341D3C">
          <w:rPr>
            <w:webHidden/>
          </w:rPr>
          <w:instrText xml:space="preserve"> PAGEREF _Toc89506730 \h </w:instrText>
        </w:r>
        <w:r w:rsidR="00341D3C" w:rsidRPr="00341D3C">
          <w:rPr>
            <w:webHidden/>
          </w:rPr>
        </w:r>
        <w:r w:rsidR="00341D3C" w:rsidRPr="00341D3C">
          <w:rPr>
            <w:webHidden/>
          </w:rPr>
          <w:fldChar w:fldCharType="separate"/>
        </w:r>
        <w:r w:rsidR="00905EBA">
          <w:rPr>
            <w:webHidden/>
          </w:rPr>
          <w:t>17</w:t>
        </w:r>
        <w:r w:rsidR="00341D3C" w:rsidRPr="00341D3C">
          <w:rPr>
            <w:webHidden/>
          </w:rPr>
          <w:fldChar w:fldCharType="end"/>
        </w:r>
      </w:hyperlink>
    </w:p>
    <w:p w14:paraId="09AEAEEC" w14:textId="6763D865" w:rsidR="00341D3C" w:rsidRPr="00341D3C" w:rsidRDefault="00844831">
      <w:pPr>
        <w:pStyle w:val="TOC1"/>
        <w:rPr>
          <w:rFonts w:eastAsiaTheme="minorEastAsia" w:cstheme="minorBidi"/>
          <w:bdr w:val="none" w:sz="0" w:space="0" w:color="auto"/>
          <w:lang w:val="es-US" w:eastAsia="zh-CN"/>
        </w:rPr>
      </w:pPr>
      <w:hyperlink w:anchor="_Toc89506731" w:history="1">
        <w:r w:rsidR="00341D3C" w:rsidRPr="00341D3C">
          <w:rPr>
            <w:rStyle w:val="Hyperlink"/>
          </w:rPr>
          <w:t>VIII.</w:t>
        </w:r>
        <w:r w:rsidR="00341D3C" w:rsidRPr="00341D3C">
          <w:rPr>
            <w:rFonts w:eastAsiaTheme="minorEastAsia" w:cstheme="minorBidi"/>
            <w:bdr w:val="none" w:sz="0" w:space="0" w:color="auto"/>
            <w:lang w:val="es-US" w:eastAsia="zh-CN"/>
          </w:rPr>
          <w:tab/>
        </w:r>
        <w:r w:rsidR="00341D3C" w:rsidRPr="00341D3C">
          <w:rPr>
            <w:rStyle w:val="Hyperlink"/>
          </w:rPr>
          <w:t>PUBLICATION</w:t>
        </w:r>
        <w:r w:rsidR="00341D3C" w:rsidRPr="00341D3C">
          <w:rPr>
            <w:webHidden/>
          </w:rPr>
          <w:tab/>
        </w:r>
        <w:r w:rsidR="00341D3C" w:rsidRPr="00341D3C">
          <w:rPr>
            <w:webHidden/>
          </w:rPr>
          <w:fldChar w:fldCharType="begin"/>
        </w:r>
        <w:r w:rsidR="00341D3C" w:rsidRPr="00341D3C">
          <w:rPr>
            <w:webHidden/>
          </w:rPr>
          <w:instrText xml:space="preserve"> PAGEREF _Toc89506731 \h </w:instrText>
        </w:r>
        <w:r w:rsidR="00341D3C" w:rsidRPr="00341D3C">
          <w:rPr>
            <w:webHidden/>
          </w:rPr>
        </w:r>
        <w:r w:rsidR="00341D3C" w:rsidRPr="00341D3C">
          <w:rPr>
            <w:webHidden/>
          </w:rPr>
          <w:fldChar w:fldCharType="separate"/>
        </w:r>
        <w:r w:rsidR="00905EBA">
          <w:rPr>
            <w:webHidden/>
          </w:rPr>
          <w:t>17</w:t>
        </w:r>
        <w:r w:rsidR="00341D3C" w:rsidRPr="00341D3C">
          <w:rPr>
            <w:webHidden/>
          </w:rPr>
          <w:fldChar w:fldCharType="end"/>
        </w:r>
      </w:hyperlink>
    </w:p>
    <w:p w14:paraId="76B4977C" w14:textId="0D79439E" w:rsidR="007607C4" w:rsidRPr="008C5978" w:rsidRDefault="00864785" w:rsidP="00145EDC">
      <w:pPr>
        <w:tabs>
          <w:tab w:val="center" w:pos="5400"/>
        </w:tabs>
        <w:suppressAutoHyphens/>
        <w:spacing w:line="276" w:lineRule="auto"/>
        <w:rPr>
          <w:rFonts w:asciiTheme="majorHAnsi" w:hAnsiTheme="majorHAnsi"/>
          <w:sz w:val="18"/>
          <w:szCs w:val="18"/>
        </w:rPr>
      </w:pPr>
      <w:r w:rsidRPr="00341D3C">
        <w:rPr>
          <w:rFonts w:asciiTheme="majorHAnsi" w:hAnsiTheme="majorHAnsi"/>
          <w:sz w:val="20"/>
          <w:szCs w:val="20"/>
        </w:rPr>
        <w:fldChar w:fldCharType="end"/>
      </w:r>
    </w:p>
    <w:p w14:paraId="09246876" w14:textId="77777777" w:rsidR="007607C4" w:rsidRPr="008C5978" w:rsidRDefault="007607C4" w:rsidP="00145EDC">
      <w:pPr>
        <w:tabs>
          <w:tab w:val="center" w:pos="5400"/>
        </w:tabs>
        <w:suppressAutoHyphens/>
        <w:spacing w:line="276" w:lineRule="auto"/>
        <w:rPr>
          <w:rFonts w:asciiTheme="majorHAnsi" w:hAnsiTheme="majorHAnsi"/>
          <w:sz w:val="18"/>
          <w:szCs w:val="18"/>
        </w:rPr>
      </w:pPr>
    </w:p>
    <w:p w14:paraId="54C82672" w14:textId="77777777" w:rsidR="007607C4" w:rsidRPr="008C5978" w:rsidRDefault="007607C4" w:rsidP="00145EDC">
      <w:pPr>
        <w:tabs>
          <w:tab w:val="center" w:pos="5400"/>
        </w:tabs>
        <w:suppressAutoHyphens/>
        <w:spacing w:line="276" w:lineRule="auto"/>
        <w:rPr>
          <w:rFonts w:asciiTheme="majorHAnsi" w:hAnsiTheme="majorHAnsi"/>
          <w:sz w:val="18"/>
          <w:szCs w:val="18"/>
        </w:rPr>
      </w:pPr>
    </w:p>
    <w:p w14:paraId="1D77CA5E" w14:textId="77777777" w:rsidR="007607C4" w:rsidRPr="008C5978" w:rsidRDefault="007607C4" w:rsidP="00145EDC">
      <w:pPr>
        <w:tabs>
          <w:tab w:val="center" w:pos="5400"/>
        </w:tabs>
        <w:suppressAutoHyphens/>
        <w:spacing w:line="276" w:lineRule="auto"/>
        <w:rPr>
          <w:rFonts w:asciiTheme="majorHAnsi" w:hAnsiTheme="majorHAnsi"/>
          <w:sz w:val="20"/>
          <w:szCs w:val="20"/>
        </w:rPr>
      </w:pPr>
    </w:p>
    <w:p w14:paraId="179B41A8" w14:textId="77777777" w:rsidR="007607C4" w:rsidRPr="008C5978" w:rsidRDefault="007607C4" w:rsidP="00145EDC">
      <w:pPr>
        <w:tabs>
          <w:tab w:val="center" w:pos="5400"/>
        </w:tabs>
        <w:suppressAutoHyphens/>
        <w:spacing w:line="276" w:lineRule="auto"/>
        <w:rPr>
          <w:rFonts w:asciiTheme="majorHAnsi" w:hAnsiTheme="majorHAnsi"/>
          <w:sz w:val="20"/>
          <w:szCs w:val="20"/>
        </w:rPr>
      </w:pPr>
    </w:p>
    <w:p w14:paraId="3A3284C7" w14:textId="77777777" w:rsidR="007607C4" w:rsidRPr="008C5978" w:rsidRDefault="007607C4" w:rsidP="00145EDC">
      <w:pPr>
        <w:tabs>
          <w:tab w:val="center" w:pos="5400"/>
        </w:tabs>
        <w:suppressAutoHyphens/>
        <w:spacing w:line="276" w:lineRule="auto"/>
        <w:rPr>
          <w:rFonts w:asciiTheme="majorHAnsi" w:hAnsiTheme="majorHAnsi"/>
          <w:sz w:val="20"/>
          <w:szCs w:val="20"/>
        </w:rPr>
      </w:pPr>
    </w:p>
    <w:p w14:paraId="3F1C895B" w14:textId="77777777" w:rsidR="007607C4" w:rsidRPr="008C5978" w:rsidRDefault="007607C4" w:rsidP="00145EDC">
      <w:pPr>
        <w:tabs>
          <w:tab w:val="center" w:pos="5400"/>
        </w:tabs>
        <w:suppressAutoHyphens/>
        <w:spacing w:line="276" w:lineRule="auto"/>
        <w:rPr>
          <w:rFonts w:asciiTheme="majorHAnsi" w:hAnsiTheme="majorHAnsi"/>
          <w:sz w:val="20"/>
          <w:szCs w:val="20"/>
        </w:rPr>
      </w:pPr>
    </w:p>
    <w:p w14:paraId="44CE3157" w14:textId="77777777" w:rsidR="00A84A45" w:rsidRPr="008C5978" w:rsidRDefault="00A84A45">
      <w:pPr>
        <w:rPr>
          <w:rFonts w:asciiTheme="majorHAnsi" w:hAnsiTheme="majorHAnsi"/>
          <w:b/>
          <w:sz w:val="18"/>
          <w:szCs w:val="20"/>
        </w:rPr>
      </w:pPr>
      <w:r w:rsidRPr="008C5978">
        <w:rPr>
          <w:rFonts w:asciiTheme="majorHAnsi" w:hAnsiTheme="majorHAnsi"/>
          <w:b/>
          <w:sz w:val="18"/>
          <w:szCs w:val="20"/>
        </w:rPr>
        <w:br w:type="page"/>
      </w:r>
    </w:p>
    <w:p w14:paraId="21A94745" w14:textId="77777777" w:rsidR="001C4006" w:rsidRPr="008C5978" w:rsidRDefault="00830E88" w:rsidP="002C3D66">
      <w:pPr>
        <w:pStyle w:val="Heading1"/>
        <w:spacing w:before="0"/>
        <w:ind w:hanging="720"/>
        <w:rPr>
          <w:color w:val="auto"/>
          <w:sz w:val="20"/>
          <w:szCs w:val="20"/>
        </w:rPr>
      </w:pPr>
      <w:bookmarkStart w:id="0" w:name="_Toc89506710"/>
      <w:r w:rsidRPr="008C5978">
        <w:rPr>
          <w:color w:val="auto"/>
          <w:sz w:val="20"/>
          <w:szCs w:val="20"/>
        </w:rPr>
        <w:lastRenderedPageBreak/>
        <w:t>INTRODUCTION</w:t>
      </w:r>
      <w:bookmarkEnd w:id="0"/>
      <w:r w:rsidR="001C4006" w:rsidRPr="008C5978">
        <w:rPr>
          <w:color w:val="auto"/>
          <w:sz w:val="20"/>
          <w:szCs w:val="20"/>
        </w:rPr>
        <w:t xml:space="preserve"> </w:t>
      </w:r>
    </w:p>
    <w:p w14:paraId="761FE4C0" w14:textId="77777777" w:rsidR="001C4006" w:rsidRPr="008C5978" w:rsidRDefault="001C4006" w:rsidP="00BB5A59">
      <w:pPr>
        <w:suppressAutoHyphens/>
        <w:ind w:left="1440" w:hanging="720"/>
        <w:rPr>
          <w:rFonts w:asciiTheme="majorHAnsi" w:hAnsiTheme="majorHAnsi"/>
          <w:b/>
          <w:sz w:val="20"/>
          <w:szCs w:val="20"/>
        </w:rPr>
      </w:pPr>
    </w:p>
    <w:p w14:paraId="40978CEA" w14:textId="77777777" w:rsidR="001C4006" w:rsidRPr="008C5978" w:rsidRDefault="001C4006" w:rsidP="002C3D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8C5978">
        <w:rPr>
          <w:rFonts w:asciiTheme="majorHAnsi" w:hAnsiTheme="majorHAnsi"/>
          <w:color w:val="000000" w:themeColor="text1"/>
          <w:sz w:val="20"/>
          <w:szCs w:val="20"/>
        </w:rPr>
        <w:t xml:space="preserve">On </w:t>
      </w:r>
      <w:r w:rsidR="00706D7E" w:rsidRPr="008C5978">
        <w:rPr>
          <w:rFonts w:asciiTheme="majorHAnsi" w:hAnsiTheme="majorHAnsi"/>
          <w:color w:val="000000" w:themeColor="text1"/>
          <w:sz w:val="20"/>
          <w:szCs w:val="20"/>
        </w:rPr>
        <w:t>December 9</w:t>
      </w:r>
      <w:r w:rsidRPr="008C5978">
        <w:rPr>
          <w:rFonts w:asciiTheme="majorHAnsi" w:hAnsiTheme="majorHAnsi"/>
          <w:color w:val="000000" w:themeColor="text1"/>
          <w:sz w:val="20"/>
          <w:szCs w:val="20"/>
        </w:rPr>
        <w:t xml:space="preserve">, </w:t>
      </w:r>
      <w:r w:rsidR="00706D7E" w:rsidRPr="008C5978">
        <w:rPr>
          <w:rFonts w:asciiTheme="majorHAnsi" w:hAnsiTheme="majorHAnsi"/>
          <w:color w:val="000000" w:themeColor="text1"/>
          <w:sz w:val="20"/>
          <w:szCs w:val="20"/>
        </w:rPr>
        <w:t xml:space="preserve">2011, </w:t>
      </w:r>
      <w:r w:rsidRPr="008C5978">
        <w:rPr>
          <w:rFonts w:asciiTheme="majorHAnsi" w:hAnsiTheme="majorHAnsi"/>
          <w:color w:val="000000" w:themeColor="text1"/>
          <w:sz w:val="20"/>
          <w:szCs w:val="20"/>
        </w:rPr>
        <w:t>the Inter-American Commission on Human Rights (the “Inter-American Commission” or “IACHR”) received a petition</w:t>
      </w:r>
      <w:r w:rsidR="00444596" w:rsidRPr="008C5978">
        <w:rPr>
          <w:rFonts w:asciiTheme="majorHAnsi" w:hAnsiTheme="majorHAnsi"/>
          <w:color w:val="000000" w:themeColor="text1"/>
          <w:sz w:val="20"/>
          <w:szCs w:val="20"/>
        </w:rPr>
        <w:t xml:space="preserve"> submitted by </w:t>
      </w:r>
      <w:r w:rsidR="00706D7E" w:rsidRPr="008C5978">
        <w:rPr>
          <w:rFonts w:asciiTheme="majorHAnsi" w:hAnsiTheme="majorHAnsi"/>
          <w:color w:val="000000" w:themeColor="text1"/>
          <w:sz w:val="20"/>
          <w:szCs w:val="20"/>
        </w:rPr>
        <w:t xml:space="preserve">Sandra L. Babcock from the Northwestern University School of Law </w:t>
      </w:r>
      <w:r w:rsidR="00444596" w:rsidRPr="008C5978">
        <w:rPr>
          <w:rFonts w:asciiTheme="majorHAnsi" w:hAnsiTheme="majorHAnsi"/>
          <w:color w:val="000000" w:themeColor="text1"/>
          <w:sz w:val="20"/>
          <w:szCs w:val="20"/>
        </w:rPr>
        <w:t>(the “petitioners”)</w:t>
      </w:r>
      <w:r w:rsidR="000B25FC" w:rsidRPr="008C5978">
        <w:rPr>
          <w:rFonts w:asciiTheme="majorHAnsi" w:hAnsiTheme="majorHAnsi"/>
          <w:color w:val="000000" w:themeColor="text1"/>
          <w:sz w:val="20"/>
          <w:szCs w:val="20"/>
        </w:rPr>
        <w:t>,</w:t>
      </w:r>
      <w:r w:rsidRPr="008C5978">
        <w:rPr>
          <w:rFonts w:asciiTheme="majorHAnsi" w:hAnsiTheme="majorHAnsi"/>
          <w:color w:val="000000" w:themeColor="text1"/>
          <w:sz w:val="20"/>
          <w:szCs w:val="20"/>
        </w:rPr>
        <w:t xml:space="preserve"> alleg</w:t>
      </w:r>
      <w:r w:rsidR="00E86EAF" w:rsidRPr="008C5978">
        <w:rPr>
          <w:rFonts w:asciiTheme="majorHAnsi" w:hAnsiTheme="majorHAnsi"/>
          <w:color w:val="000000" w:themeColor="text1"/>
          <w:sz w:val="20"/>
          <w:szCs w:val="20"/>
        </w:rPr>
        <w:t xml:space="preserve">ing </w:t>
      </w:r>
      <w:r w:rsidRPr="008C5978">
        <w:rPr>
          <w:rFonts w:asciiTheme="majorHAnsi" w:hAnsiTheme="majorHAnsi"/>
          <w:color w:val="000000" w:themeColor="text1"/>
          <w:sz w:val="20"/>
          <w:szCs w:val="20"/>
        </w:rPr>
        <w:t xml:space="preserve">the international responsibility of </w:t>
      </w:r>
      <w:r w:rsidR="0046072C" w:rsidRPr="008C5978">
        <w:rPr>
          <w:rFonts w:asciiTheme="majorHAnsi" w:hAnsiTheme="majorHAnsi"/>
          <w:color w:val="000000" w:themeColor="text1"/>
          <w:sz w:val="20"/>
          <w:szCs w:val="20"/>
        </w:rPr>
        <w:t>the United States of America</w:t>
      </w:r>
      <w:r w:rsidRPr="008C5978">
        <w:rPr>
          <w:rFonts w:asciiTheme="majorHAnsi" w:hAnsiTheme="majorHAnsi"/>
          <w:color w:val="000000" w:themeColor="text1"/>
          <w:sz w:val="20"/>
          <w:szCs w:val="20"/>
        </w:rPr>
        <w:t xml:space="preserve"> (the “State” or “</w:t>
      </w:r>
      <w:r w:rsidR="0046072C" w:rsidRPr="008C5978">
        <w:rPr>
          <w:rFonts w:asciiTheme="majorHAnsi" w:hAnsiTheme="majorHAnsi"/>
          <w:color w:val="000000" w:themeColor="text1"/>
          <w:sz w:val="20"/>
          <w:szCs w:val="20"/>
        </w:rPr>
        <w:t>the United States</w:t>
      </w:r>
      <w:r w:rsidRPr="008C5978">
        <w:rPr>
          <w:rFonts w:asciiTheme="majorHAnsi" w:hAnsiTheme="majorHAnsi"/>
          <w:color w:val="000000" w:themeColor="text1"/>
          <w:sz w:val="20"/>
          <w:szCs w:val="20"/>
        </w:rPr>
        <w:t xml:space="preserve">”) for </w:t>
      </w:r>
      <w:r w:rsidR="00F769C7" w:rsidRPr="008C5978">
        <w:rPr>
          <w:rFonts w:asciiTheme="majorHAnsi" w:hAnsiTheme="majorHAnsi"/>
          <w:color w:val="000000" w:themeColor="text1"/>
          <w:sz w:val="20"/>
          <w:szCs w:val="20"/>
        </w:rPr>
        <w:t xml:space="preserve">the </w:t>
      </w:r>
      <w:r w:rsidRPr="008C5978">
        <w:rPr>
          <w:rFonts w:asciiTheme="majorHAnsi" w:hAnsiTheme="majorHAnsi"/>
          <w:color w:val="000000" w:themeColor="text1"/>
          <w:sz w:val="20"/>
          <w:szCs w:val="20"/>
        </w:rPr>
        <w:t>violation of the right</w:t>
      </w:r>
      <w:r w:rsidR="00706D7E" w:rsidRPr="008C5978">
        <w:rPr>
          <w:rFonts w:asciiTheme="majorHAnsi" w:hAnsiTheme="majorHAnsi"/>
          <w:color w:val="000000" w:themeColor="text1"/>
          <w:sz w:val="20"/>
          <w:szCs w:val="20"/>
        </w:rPr>
        <w:t>s</w:t>
      </w:r>
      <w:r w:rsidRPr="008C5978">
        <w:rPr>
          <w:rFonts w:asciiTheme="majorHAnsi" w:hAnsiTheme="majorHAnsi"/>
          <w:color w:val="000000" w:themeColor="text1"/>
          <w:sz w:val="20"/>
          <w:szCs w:val="20"/>
        </w:rPr>
        <w:t xml:space="preserve"> of </w:t>
      </w:r>
      <w:r w:rsidR="00706D7E" w:rsidRPr="008C5978">
        <w:rPr>
          <w:rFonts w:asciiTheme="majorHAnsi" w:hAnsiTheme="majorHAnsi"/>
          <w:color w:val="000000" w:themeColor="text1"/>
          <w:sz w:val="20"/>
          <w:szCs w:val="20"/>
        </w:rPr>
        <w:t>Virgilio Maldonado Rodriguez</w:t>
      </w:r>
      <w:r w:rsidR="00F769C7" w:rsidRPr="008C5978">
        <w:rPr>
          <w:rFonts w:asciiTheme="majorHAnsi" w:hAnsiTheme="majorHAnsi"/>
          <w:color w:val="000000" w:themeColor="text1"/>
          <w:sz w:val="20"/>
          <w:szCs w:val="20"/>
        </w:rPr>
        <w:t xml:space="preserve"> (“Mr. </w:t>
      </w:r>
      <w:r w:rsidR="00706D7E" w:rsidRPr="008C5978">
        <w:rPr>
          <w:rFonts w:asciiTheme="majorHAnsi" w:hAnsiTheme="majorHAnsi"/>
          <w:color w:val="000000" w:themeColor="text1"/>
          <w:sz w:val="20"/>
          <w:szCs w:val="20"/>
        </w:rPr>
        <w:t>Maldonado</w:t>
      </w:r>
      <w:r w:rsidR="00F769C7" w:rsidRPr="008C5978">
        <w:rPr>
          <w:rFonts w:asciiTheme="majorHAnsi" w:hAnsiTheme="majorHAnsi"/>
          <w:color w:val="000000" w:themeColor="text1"/>
          <w:sz w:val="20"/>
          <w:szCs w:val="20"/>
        </w:rPr>
        <w:t>”)</w:t>
      </w:r>
      <w:r w:rsidR="00D20D54" w:rsidRPr="008C5978">
        <w:rPr>
          <w:rFonts w:asciiTheme="majorHAnsi" w:hAnsiTheme="majorHAnsi"/>
          <w:color w:val="000000" w:themeColor="text1"/>
          <w:sz w:val="20"/>
          <w:szCs w:val="20"/>
        </w:rPr>
        <w:t xml:space="preserve">, </w:t>
      </w:r>
      <w:r w:rsidR="00706D7E" w:rsidRPr="008C5978">
        <w:rPr>
          <w:rFonts w:asciiTheme="majorHAnsi" w:hAnsiTheme="majorHAnsi"/>
          <w:color w:val="000000" w:themeColor="text1"/>
          <w:sz w:val="20"/>
          <w:szCs w:val="20"/>
        </w:rPr>
        <w:t xml:space="preserve">a Mexican national </w:t>
      </w:r>
      <w:r w:rsidR="00D20D54" w:rsidRPr="008C5978">
        <w:rPr>
          <w:rFonts w:asciiTheme="majorHAnsi" w:hAnsiTheme="majorHAnsi"/>
          <w:color w:val="000000" w:themeColor="text1"/>
          <w:sz w:val="20"/>
          <w:szCs w:val="20"/>
        </w:rPr>
        <w:t xml:space="preserve">who </w:t>
      </w:r>
      <w:r w:rsidR="00E052B0" w:rsidRPr="008C5978">
        <w:rPr>
          <w:rFonts w:asciiTheme="majorHAnsi" w:hAnsiTheme="majorHAnsi"/>
          <w:color w:val="000000" w:themeColor="text1"/>
          <w:sz w:val="20"/>
          <w:szCs w:val="20"/>
        </w:rPr>
        <w:t xml:space="preserve">was at the time </w:t>
      </w:r>
      <w:r w:rsidR="00D20D54" w:rsidRPr="008C5978">
        <w:rPr>
          <w:rFonts w:asciiTheme="majorHAnsi" w:hAnsiTheme="majorHAnsi"/>
          <w:color w:val="000000" w:themeColor="text1"/>
          <w:sz w:val="20"/>
          <w:szCs w:val="20"/>
        </w:rPr>
        <w:t xml:space="preserve">on death row in </w:t>
      </w:r>
      <w:r w:rsidR="00706D7E" w:rsidRPr="008C5978">
        <w:rPr>
          <w:rFonts w:asciiTheme="majorHAnsi" w:hAnsiTheme="majorHAnsi"/>
          <w:color w:val="000000" w:themeColor="text1"/>
          <w:sz w:val="20"/>
          <w:szCs w:val="20"/>
        </w:rPr>
        <w:t>Texas</w:t>
      </w:r>
      <w:r w:rsidRPr="008C5978">
        <w:rPr>
          <w:rFonts w:asciiTheme="majorHAnsi" w:hAnsiTheme="majorHAnsi"/>
          <w:color w:val="000000" w:themeColor="text1"/>
          <w:sz w:val="20"/>
          <w:szCs w:val="20"/>
        </w:rPr>
        <w:t xml:space="preserve">. </w:t>
      </w:r>
    </w:p>
    <w:p w14:paraId="1105CDE5" w14:textId="77777777" w:rsidR="001C4006" w:rsidRPr="008C5978"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szCs w:val="20"/>
        </w:rPr>
      </w:pPr>
    </w:p>
    <w:p w14:paraId="26B87859" w14:textId="77777777" w:rsidR="001C4006" w:rsidRPr="008C5978" w:rsidRDefault="001C4006" w:rsidP="002C3D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8C5978">
        <w:rPr>
          <w:rFonts w:asciiTheme="majorHAnsi" w:hAnsiTheme="majorHAnsi"/>
          <w:color w:val="000000" w:themeColor="text1"/>
          <w:sz w:val="20"/>
          <w:szCs w:val="20"/>
        </w:rPr>
        <w:t xml:space="preserve">The Commission approved its admissibility report No. </w:t>
      </w:r>
      <w:r w:rsidR="00F17799" w:rsidRPr="008C5978">
        <w:rPr>
          <w:rFonts w:asciiTheme="majorHAnsi" w:hAnsiTheme="majorHAnsi"/>
          <w:color w:val="000000" w:themeColor="text1"/>
          <w:sz w:val="20"/>
          <w:szCs w:val="20"/>
        </w:rPr>
        <w:t>63</w:t>
      </w:r>
      <w:r w:rsidRPr="008C5978">
        <w:rPr>
          <w:rFonts w:asciiTheme="majorHAnsi" w:hAnsiTheme="majorHAnsi"/>
          <w:color w:val="000000" w:themeColor="text1"/>
          <w:sz w:val="20"/>
          <w:szCs w:val="20"/>
        </w:rPr>
        <w:t>/</w:t>
      </w:r>
      <w:r w:rsidR="00F17799" w:rsidRPr="008C5978">
        <w:rPr>
          <w:rFonts w:asciiTheme="majorHAnsi" w:hAnsiTheme="majorHAnsi"/>
          <w:color w:val="000000" w:themeColor="text1"/>
          <w:sz w:val="20"/>
          <w:szCs w:val="20"/>
        </w:rPr>
        <w:t>12</w:t>
      </w:r>
      <w:r w:rsidRPr="008C5978">
        <w:rPr>
          <w:rFonts w:asciiTheme="majorHAnsi" w:hAnsiTheme="majorHAnsi"/>
          <w:color w:val="000000" w:themeColor="text1"/>
          <w:sz w:val="20"/>
          <w:szCs w:val="20"/>
        </w:rPr>
        <w:t xml:space="preserve"> on </w:t>
      </w:r>
      <w:r w:rsidR="002C3D66" w:rsidRPr="008C5978">
        <w:rPr>
          <w:rFonts w:asciiTheme="majorHAnsi" w:hAnsiTheme="majorHAnsi"/>
          <w:color w:val="000000" w:themeColor="text1"/>
          <w:sz w:val="20"/>
          <w:szCs w:val="20"/>
        </w:rPr>
        <w:t>March</w:t>
      </w:r>
      <w:r w:rsidR="000B25FC" w:rsidRPr="008C5978">
        <w:rPr>
          <w:rFonts w:asciiTheme="majorHAnsi" w:hAnsiTheme="majorHAnsi"/>
          <w:color w:val="000000" w:themeColor="text1"/>
          <w:sz w:val="20"/>
          <w:szCs w:val="20"/>
        </w:rPr>
        <w:t xml:space="preserve"> </w:t>
      </w:r>
      <w:r w:rsidR="00F17799" w:rsidRPr="008C5978">
        <w:rPr>
          <w:rFonts w:asciiTheme="majorHAnsi" w:hAnsiTheme="majorHAnsi"/>
          <w:color w:val="000000" w:themeColor="text1"/>
          <w:sz w:val="20"/>
          <w:szCs w:val="20"/>
        </w:rPr>
        <w:t>29</w:t>
      </w:r>
      <w:r w:rsidR="0046072C" w:rsidRPr="008C5978">
        <w:rPr>
          <w:rFonts w:asciiTheme="majorHAnsi" w:hAnsiTheme="majorHAnsi"/>
          <w:color w:val="000000" w:themeColor="text1"/>
          <w:sz w:val="20"/>
          <w:szCs w:val="20"/>
        </w:rPr>
        <w:t>, 20</w:t>
      </w:r>
      <w:r w:rsidR="002C3D66" w:rsidRPr="008C5978">
        <w:rPr>
          <w:rFonts w:asciiTheme="majorHAnsi" w:hAnsiTheme="majorHAnsi"/>
          <w:color w:val="000000" w:themeColor="text1"/>
          <w:sz w:val="20"/>
          <w:szCs w:val="20"/>
        </w:rPr>
        <w:t>1</w:t>
      </w:r>
      <w:r w:rsidR="00F17799" w:rsidRPr="008C5978">
        <w:rPr>
          <w:rFonts w:asciiTheme="majorHAnsi" w:hAnsiTheme="majorHAnsi"/>
          <w:color w:val="000000" w:themeColor="text1"/>
          <w:sz w:val="20"/>
          <w:szCs w:val="20"/>
        </w:rPr>
        <w:t>2</w:t>
      </w:r>
      <w:r w:rsidRPr="008C5978">
        <w:rPr>
          <w:rFonts w:asciiTheme="majorHAnsi" w:hAnsiTheme="majorHAnsi"/>
          <w:color w:val="000000" w:themeColor="text1"/>
          <w:sz w:val="20"/>
          <w:szCs w:val="20"/>
        </w:rPr>
        <w:t>.</w:t>
      </w:r>
      <w:r w:rsidRPr="008C5978">
        <w:rPr>
          <w:rStyle w:val="FootnoteReference"/>
          <w:rFonts w:asciiTheme="majorHAnsi" w:hAnsiTheme="majorHAnsi"/>
          <w:sz w:val="20"/>
          <w:szCs w:val="20"/>
        </w:rPr>
        <w:footnoteReference w:id="2"/>
      </w:r>
      <w:r w:rsidRPr="008C5978">
        <w:rPr>
          <w:rFonts w:asciiTheme="majorHAnsi" w:hAnsiTheme="majorHAnsi"/>
          <w:color w:val="000000" w:themeColor="text1"/>
          <w:sz w:val="20"/>
          <w:szCs w:val="20"/>
        </w:rPr>
        <w:t xml:space="preserve"> On </w:t>
      </w:r>
      <w:r w:rsidR="0048119E" w:rsidRPr="008C5978">
        <w:rPr>
          <w:rFonts w:asciiTheme="majorHAnsi" w:hAnsiTheme="majorHAnsi"/>
          <w:color w:val="000000" w:themeColor="text1"/>
          <w:sz w:val="20"/>
          <w:szCs w:val="20"/>
        </w:rPr>
        <w:t>April 2</w:t>
      </w:r>
      <w:r w:rsidRPr="008C5978">
        <w:rPr>
          <w:rFonts w:asciiTheme="majorHAnsi" w:hAnsiTheme="majorHAnsi"/>
          <w:color w:val="000000" w:themeColor="text1"/>
          <w:sz w:val="20"/>
          <w:szCs w:val="20"/>
        </w:rPr>
        <w:t>,</w:t>
      </w:r>
      <w:r w:rsidR="002B110C" w:rsidRPr="008C5978">
        <w:rPr>
          <w:rFonts w:asciiTheme="majorHAnsi" w:hAnsiTheme="majorHAnsi"/>
          <w:color w:val="000000" w:themeColor="text1"/>
          <w:sz w:val="20"/>
          <w:szCs w:val="20"/>
        </w:rPr>
        <w:t xml:space="preserve"> 20</w:t>
      </w:r>
      <w:r w:rsidR="0048119E" w:rsidRPr="008C5978">
        <w:rPr>
          <w:rFonts w:asciiTheme="majorHAnsi" w:hAnsiTheme="majorHAnsi"/>
          <w:color w:val="000000" w:themeColor="text1"/>
          <w:sz w:val="20"/>
          <w:szCs w:val="20"/>
        </w:rPr>
        <w:t>12</w:t>
      </w:r>
      <w:r w:rsidR="002B110C" w:rsidRPr="008C5978">
        <w:rPr>
          <w:rFonts w:asciiTheme="majorHAnsi" w:hAnsiTheme="majorHAnsi"/>
          <w:color w:val="000000" w:themeColor="text1"/>
          <w:sz w:val="20"/>
          <w:szCs w:val="20"/>
        </w:rPr>
        <w:t>,</w:t>
      </w:r>
      <w:r w:rsidRPr="008C5978">
        <w:rPr>
          <w:rFonts w:asciiTheme="majorHAnsi" w:hAnsiTheme="majorHAnsi"/>
          <w:color w:val="000000" w:themeColor="text1"/>
          <w:sz w:val="20"/>
          <w:szCs w:val="20"/>
        </w:rPr>
        <w:t xml:space="preserve"> the </w:t>
      </w:r>
      <w:r w:rsidR="00DA7151" w:rsidRPr="008C5978">
        <w:rPr>
          <w:rFonts w:asciiTheme="majorHAnsi" w:hAnsiTheme="majorHAnsi"/>
          <w:color w:val="000000" w:themeColor="text1"/>
          <w:sz w:val="20"/>
          <w:szCs w:val="20"/>
        </w:rPr>
        <w:t>IACHR</w:t>
      </w:r>
      <w:r w:rsidRPr="008C5978">
        <w:rPr>
          <w:rFonts w:asciiTheme="majorHAnsi" w:hAnsiTheme="majorHAnsi"/>
          <w:color w:val="000000" w:themeColor="text1"/>
          <w:sz w:val="20"/>
          <w:szCs w:val="20"/>
        </w:rPr>
        <w:t xml:space="preserve"> notified th</w:t>
      </w:r>
      <w:r w:rsidR="00DA7151" w:rsidRPr="008C5978">
        <w:rPr>
          <w:rFonts w:asciiTheme="majorHAnsi" w:hAnsiTheme="majorHAnsi"/>
          <w:color w:val="000000" w:themeColor="text1"/>
          <w:sz w:val="20"/>
          <w:szCs w:val="20"/>
        </w:rPr>
        <w:t>e</w:t>
      </w:r>
      <w:r w:rsidRPr="008C5978">
        <w:rPr>
          <w:rFonts w:asciiTheme="majorHAnsi" w:hAnsiTheme="majorHAnsi"/>
          <w:color w:val="000000" w:themeColor="text1"/>
          <w:sz w:val="20"/>
          <w:szCs w:val="20"/>
        </w:rPr>
        <w:t xml:space="preserve"> report to the parties and placed itself at the disposition of the parties to reach a friendly settlement. The parties </w:t>
      </w:r>
      <w:r w:rsidR="00092817" w:rsidRPr="008C5978">
        <w:rPr>
          <w:rFonts w:asciiTheme="majorHAnsi" w:hAnsiTheme="majorHAnsi"/>
          <w:color w:val="000000" w:themeColor="text1"/>
          <w:sz w:val="20"/>
          <w:szCs w:val="20"/>
        </w:rPr>
        <w:t xml:space="preserve">were allocated </w:t>
      </w:r>
      <w:r w:rsidRPr="008C5978">
        <w:rPr>
          <w:rFonts w:asciiTheme="majorHAnsi" w:hAnsiTheme="majorHAnsi"/>
          <w:color w:val="000000" w:themeColor="text1"/>
          <w:sz w:val="20"/>
          <w:szCs w:val="20"/>
        </w:rPr>
        <w:t>the time periods provided for in the IACHR’s Rules of Procedure to present additional observations on the merits</w:t>
      </w:r>
      <w:r w:rsidR="00092817" w:rsidRPr="008C5978">
        <w:rPr>
          <w:rFonts w:asciiTheme="majorHAnsi" w:hAnsiTheme="majorHAnsi"/>
          <w:color w:val="000000" w:themeColor="text1"/>
          <w:sz w:val="20"/>
          <w:szCs w:val="20"/>
        </w:rPr>
        <w:t xml:space="preserve"> of the case</w:t>
      </w:r>
      <w:r w:rsidRPr="008C5978">
        <w:rPr>
          <w:rFonts w:asciiTheme="majorHAnsi" w:hAnsiTheme="majorHAnsi"/>
          <w:color w:val="000000" w:themeColor="text1"/>
          <w:sz w:val="20"/>
          <w:szCs w:val="20"/>
        </w:rPr>
        <w:t xml:space="preserve">. All </w:t>
      </w:r>
      <w:r w:rsidR="00092817" w:rsidRPr="008C5978">
        <w:rPr>
          <w:rFonts w:asciiTheme="majorHAnsi" w:hAnsiTheme="majorHAnsi"/>
          <w:color w:val="000000" w:themeColor="text1"/>
          <w:sz w:val="20"/>
          <w:szCs w:val="20"/>
        </w:rPr>
        <w:t xml:space="preserve">of </w:t>
      </w:r>
      <w:r w:rsidRPr="008C5978">
        <w:rPr>
          <w:rFonts w:asciiTheme="majorHAnsi" w:hAnsiTheme="majorHAnsi"/>
          <w:color w:val="000000" w:themeColor="text1"/>
          <w:sz w:val="20"/>
          <w:szCs w:val="20"/>
        </w:rPr>
        <w:t xml:space="preserve">the information received by the </w:t>
      </w:r>
      <w:r w:rsidR="00DA7151" w:rsidRPr="008C5978">
        <w:rPr>
          <w:rFonts w:asciiTheme="majorHAnsi" w:hAnsiTheme="majorHAnsi"/>
          <w:color w:val="000000" w:themeColor="text1"/>
          <w:sz w:val="20"/>
          <w:szCs w:val="20"/>
        </w:rPr>
        <w:t>IACHR</w:t>
      </w:r>
      <w:r w:rsidRPr="008C5978">
        <w:rPr>
          <w:rFonts w:asciiTheme="majorHAnsi" w:hAnsiTheme="majorHAnsi"/>
          <w:color w:val="000000" w:themeColor="text1"/>
          <w:sz w:val="20"/>
          <w:szCs w:val="20"/>
        </w:rPr>
        <w:t xml:space="preserve"> was duly transmitted to the parties. </w:t>
      </w:r>
    </w:p>
    <w:p w14:paraId="0DEDC3FA" w14:textId="77777777" w:rsidR="001C4006" w:rsidRPr="008C5978"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000000" w:themeColor="text1"/>
          <w:sz w:val="20"/>
          <w:szCs w:val="20"/>
        </w:rPr>
      </w:pPr>
    </w:p>
    <w:p w14:paraId="758418E5" w14:textId="77777777" w:rsidR="001C4006" w:rsidRPr="008C5978" w:rsidRDefault="001C4006" w:rsidP="00830E88">
      <w:pPr>
        <w:pStyle w:val="Heading1"/>
        <w:spacing w:before="0"/>
        <w:ind w:hanging="720"/>
        <w:rPr>
          <w:color w:val="auto"/>
          <w:sz w:val="20"/>
          <w:szCs w:val="20"/>
        </w:rPr>
      </w:pPr>
      <w:bookmarkStart w:id="1" w:name="_Toc89506711"/>
      <w:r w:rsidRPr="008C5978">
        <w:rPr>
          <w:color w:val="auto"/>
          <w:sz w:val="20"/>
          <w:szCs w:val="20"/>
        </w:rPr>
        <w:t>POSITIONS OF THE PARTIES</w:t>
      </w:r>
      <w:bookmarkEnd w:id="1"/>
    </w:p>
    <w:p w14:paraId="67BC098B" w14:textId="77777777" w:rsidR="001C4006" w:rsidRPr="008C5978" w:rsidRDefault="001C4006" w:rsidP="00BB5A59">
      <w:pPr>
        <w:suppressAutoHyphens/>
        <w:ind w:left="1440" w:hanging="720"/>
        <w:rPr>
          <w:rFonts w:asciiTheme="majorHAnsi" w:hAnsiTheme="majorHAnsi"/>
          <w:sz w:val="20"/>
          <w:szCs w:val="20"/>
        </w:rPr>
      </w:pPr>
    </w:p>
    <w:p w14:paraId="33C6F92E" w14:textId="77777777" w:rsidR="005C164F" w:rsidRPr="008C5978" w:rsidRDefault="005C164F" w:rsidP="00706D7E">
      <w:pPr>
        <w:pStyle w:val="Heading2"/>
        <w:numPr>
          <w:ilvl w:val="0"/>
          <w:numId w:val="58"/>
        </w:numPr>
        <w:spacing w:before="0"/>
        <w:ind w:hanging="720"/>
        <w:rPr>
          <w:color w:val="auto"/>
          <w:sz w:val="20"/>
          <w:szCs w:val="20"/>
        </w:rPr>
      </w:pPr>
      <w:bookmarkStart w:id="2" w:name="_Toc89506712"/>
      <w:r w:rsidRPr="008C5978">
        <w:rPr>
          <w:color w:val="auto"/>
          <w:sz w:val="20"/>
          <w:szCs w:val="20"/>
        </w:rPr>
        <w:t>P</w:t>
      </w:r>
      <w:r w:rsidR="00262ECA" w:rsidRPr="008C5978">
        <w:rPr>
          <w:color w:val="auto"/>
          <w:sz w:val="20"/>
          <w:szCs w:val="20"/>
        </w:rPr>
        <w:t>etitioners</w:t>
      </w:r>
      <w:bookmarkEnd w:id="2"/>
    </w:p>
    <w:p w14:paraId="735231D3" w14:textId="77777777" w:rsidR="005C164F" w:rsidRPr="008C5978" w:rsidRDefault="005C164F" w:rsidP="00BB5A59">
      <w:pPr>
        <w:suppressAutoHyphens/>
        <w:ind w:left="1440" w:hanging="720"/>
        <w:rPr>
          <w:rFonts w:asciiTheme="majorHAnsi" w:hAnsiTheme="majorHAnsi"/>
          <w:sz w:val="20"/>
          <w:szCs w:val="20"/>
        </w:rPr>
      </w:pPr>
    </w:p>
    <w:p w14:paraId="334E5CDF" w14:textId="77777777" w:rsidR="00DF5077" w:rsidRPr="008C5978" w:rsidRDefault="00565B4B" w:rsidP="00CF55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8C5978">
        <w:rPr>
          <w:rFonts w:ascii="Cambria" w:hAnsi="Cambria"/>
          <w:sz w:val="20"/>
          <w:szCs w:val="20"/>
        </w:rPr>
        <w:t>The petitioner</w:t>
      </w:r>
      <w:r w:rsidR="005C5F93" w:rsidRPr="008C5978">
        <w:rPr>
          <w:rFonts w:ascii="Cambria" w:hAnsi="Cambria"/>
          <w:sz w:val="20"/>
          <w:szCs w:val="20"/>
        </w:rPr>
        <w:t>s</w:t>
      </w:r>
      <w:r w:rsidRPr="008C5978">
        <w:rPr>
          <w:rFonts w:ascii="Cambria" w:hAnsi="Cambria"/>
          <w:sz w:val="20"/>
          <w:szCs w:val="20"/>
        </w:rPr>
        <w:t xml:space="preserve"> initially </w:t>
      </w:r>
      <w:r w:rsidR="00E052B0" w:rsidRPr="008C5978">
        <w:rPr>
          <w:rFonts w:ascii="Cambria" w:hAnsi="Cambria"/>
          <w:sz w:val="20"/>
          <w:szCs w:val="20"/>
        </w:rPr>
        <w:t xml:space="preserve">claimed that Mr. Maldonado suffered from severe mental disabilities; that the court-appointed attorney who represented him was ineffective; that the police failed to notify him of his right to consular notification in violation of Article 36 of the Vienna Convention on Consular Relations; and that the lethal injection as it was practiced in Texas created an unacceptable risk of causing excruciating pain and suffering to the inmate. </w:t>
      </w:r>
    </w:p>
    <w:p w14:paraId="604D9C2B" w14:textId="77777777" w:rsidR="00DF5077" w:rsidRPr="008C5978" w:rsidRDefault="00DF5077" w:rsidP="00DF507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1C6D1090" w14:textId="36B77405" w:rsidR="00DF5077" w:rsidRPr="008C5978" w:rsidRDefault="00A84A53" w:rsidP="00E052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8C5978">
        <w:rPr>
          <w:rFonts w:ascii="Cambria" w:hAnsi="Cambria"/>
          <w:sz w:val="20"/>
          <w:szCs w:val="20"/>
        </w:rPr>
        <w:t xml:space="preserve">On September 5, 2013, the petitioners informed the IACHR that </w:t>
      </w:r>
      <w:r w:rsidR="0067329C" w:rsidRPr="008C5978">
        <w:rPr>
          <w:rFonts w:ascii="Cambria" w:hAnsi="Cambria"/>
          <w:sz w:val="20"/>
          <w:szCs w:val="20"/>
        </w:rPr>
        <w:t>on December 13, 2012, the 338</w:t>
      </w:r>
      <w:r w:rsidR="0067329C" w:rsidRPr="008C5978">
        <w:rPr>
          <w:rFonts w:ascii="Cambria" w:hAnsi="Cambria"/>
          <w:sz w:val="20"/>
          <w:szCs w:val="20"/>
          <w:vertAlign w:val="superscript"/>
        </w:rPr>
        <w:t>th</w:t>
      </w:r>
      <w:r w:rsidR="0067329C" w:rsidRPr="008C5978">
        <w:rPr>
          <w:rFonts w:ascii="Cambria" w:hAnsi="Cambria"/>
          <w:sz w:val="20"/>
          <w:szCs w:val="20"/>
        </w:rPr>
        <w:t xml:space="preserve"> District Court of Harris County, Texas, found that Mr. Maldonado is </w:t>
      </w:r>
      <w:r w:rsidR="009424BD" w:rsidRPr="008C5978">
        <w:rPr>
          <w:rFonts w:ascii="Cambria" w:hAnsi="Cambria"/>
          <w:sz w:val="20"/>
          <w:szCs w:val="20"/>
        </w:rPr>
        <w:t>“</w:t>
      </w:r>
      <w:r w:rsidR="0067329C" w:rsidRPr="008C5978">
        <w:rPr>
          <w:rFonts w:ascii="Cambria" w:hAnsi="Cambria"/>
          <w:sz w:val="20"/>
          <w:szCs w:val="20"/>
        </w:rPr>
        <w:t>mentally retarded</w:t>
      </w:r>
      <w:r w:rsidR="009424BD" w:rsidRPr="008C5978">
        <w:rPr>
          <w:rFonts w:ascii="Cambria" w:hAnsi="Cambria"/>
          <w:sz w:val="20"/>
          <w:szCs w:val="20"/>
        </w:rPr>
        <w:t>”</w:t>
      </w:r>
      <w:r w:rsidR="0067329C" w:rsidRPr="008C5978">
        <w:rPr>
          <w:rFonts w:ascii="Cambria" w:hAnsi="Cambria"/>
          <w:sz w:val="20"/>
          <w:szCs w:val="20"/>
        </w:rPr>
        <w:t xml:space="preserve"> and is therefore ineligible for execution. That decision was confirmed by the Texas Court of Criminal Appeals on May 22, 20</w:t>
      </w:r>
      <w:r w:rsidR="00674465" w:rsidRPr="008C5978">
        <w:rPr>
          <w:rFonts w:ascii="Cambria" w:hAnsi="Cambria"/>
          <w:sz w:val="20"/>
          <w:szCs w:val="20"/>
        </w:rPr>
        <w:t>1</w:t>
      </w:r>
      <w:r w:rsidR="0067329C" w:rsidRPr="008C5978">
        <w:rPr>
          <w:rFonts w:ascii="Cambria" w:hAnsi="Cambria"/>
          <w:sz w:val="20"/>
          <w:szCs w:val="20"/>
        </w:rPr>
        <w:t xml:space="preserve">3, and Mr. Maldonado’s death sentence was commuted to a sentence of life imprisonment. </w:t>
      </w:r>
      <w:r w:rsidR="00EC45C1" w:rsidRPr="008C5978">
        <w:rPr>
          <w:rFonts w:ascii="Cambria" w:hAnsi="Cambria"/>
          <w:sz w:val="20"/>
          <w:szCs w:val="20"/>
        </w:rPr>
        <w:t xml:space="preserve">Mr. Maldonado was subsequently transferred </w:t>
      </w:r>
      <w:r w:rsidR="00DF5077" w:rsidRPr="008C5978">
        <w:rPr>
          <w:rFonts w:ascii="Cambria" w:hAnsi="Cambria"/>
          <w:sz w:val="20"/>
          <w:szCs w:val="20"/>
        </w:rPr>
        <w:t xml:space="preserve">from death row, and he is now serving a prison sentence in a separate facility. In light of these developments, the petitioners withdraw their claims pertaining to Mr. Maldonado’s mental </w:t>
      </w:r>
      <w:r w:rsidR="00674465" w:rsidRPr="008C5978">
        <w:rPr>
          <w:rFonts w:ascii="Cambria" w:hAnsi="Cambria"/>
          <w:sz w:val="20"/>
          <w:szCs w:val="20"/>
        </w:rPr>
        <w:t>disability</w:t>
      </w:r>
      <w:r w:rsidR="00DF5077" w:rsidRPr="008C5978">
        <w:rPr>
          <w:rFonts w:ascii="Cambria" w:hAnsi="Cambria"/>
          <w:sz w:val="20"/>
          <w:szCs w:val="20"/>
        </w:rPr>
        <w:t xml:space="preserve"> and the risk of cruel, inhuman or degrading treatment or punishment if he was subjected to lethal injection. Therefore, the IACHR will analyze in this report the claim of ineffective assistance of counsel</w:t>
      </w:r>
      <w:r w:rsidR="009424BD" w:rsidRPr="008C5978">
        <w:rPr>
          <w:rFonts w:ascii="Cambria" w:hAnsi="Cambria"/>
          <w:sz w:val="20"/>
          <w:szCs w:val="20"/>
        </w:rPr>
        <w:t xml:space="preserve">, considering Mr. Maldonado’s disability, </w:t>
      </w:r>
      <w:r w:rsidR="00DF5077" w:rsidRPr="008C5978">
        <w:rPr>
          <w:rFonts w:ascii="Cambria" w:hAnsi="Cambria"/>
          <w:sz w:val="20"/>
          <w:szCs w:val="20"/>
        </w:rPr>
        <w:t xml:space="preserve">and the alleged violation of </w:t>
      </w:r>
      <w:r w:rsidR="009424BD" w:rsidRPr="008C5978">
        <w:rPr>
          <w:rFonts w:ascii="Cambria" w:hAnsi="Cambria"/>
          <w:sz w:val="20"/>
          <w:szCs w:val="20"/>
        </w:rPr>
        <w:t>his</w:t>
      </w:r>
      <w:r w:rsidR="00DF5077" w:rsidRPr="008C5978">
        <w:rPr>
          <w:rFonts w:ascii="Cambria" w:hAnsi="Cambria"/>
          <w:sz w:val="20"/>
          <w:szCs w:val="20"/>
        </w:rPr>
        <w:t xml:space="preserve"> right to consular notification.</w:t>
      </w:r>
    </w:p>
    <w:p w14:paraId="1F213038" w14:textId="77777777" w:rsidR="00DF5077" w:rsidRPr="008C5978" w:rsidRDefault="00DF5077" w:rsidP="00DF5077">
      <w:pPr>
        <w:pStyle w:val="ListParagraph"/>
        <w:rPr>
          <w:sz w:val="20"/>
          <w:szCs w:val="20"/>
        </w:rPr>
      </w:pPr>
    </w:p>
    <w:p w14:paraId="574387E5" w14:textId="77777777" w:rsidR="00774375" w:rsidRPr="008C5978" w:rsidRDefault="00267EF0" w:rsidP="00C47E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8C5978">
        <w:rPr>
          <w:rFonts w:ascii="Cambria" w:hAnsi="Cambria"/>
          <w:sz w:val="20"/>
          <w:szCs w:val="20"/>
        </w:rPr>
        <w:t>The petitioners state</w:t>
      </w:r>
      <w:r w:rsidR="00CF5539" w:rsidRPr="008C5978">
        <w:rPr>
          <w:rFonts w:ascii="Cambria" w:hAnsi="Cambria"/>
          <w:sz w:val="20"/>
          <w:szCs w:val="20"/>
        </w:rPr>
        <w:t xml:space="preserve"> that </w:t>
      </w:r>
      <w:r w:rsidR="00774375" w:rsidRPr="008C5978">
        <w:rPr>
          <w:rFonts w:ascii="Cambria" w:hAnsi="Cambria"/>
          <w:sz w:val="20"/>
          <w:szCs w:val="20"/>
        </w:rPr>
        <w:t xml:space="preserve">on April 11, 1996, Mr. Maldonado, a Mexican national, was arrested in Houston, Texas, for a bank robbery unrelated to the murder of Augustin Saucedo, for which he was ultimately convicted. They state that Mr. Maldonado was appointed a lawyer to represent him on the robbery charge, who advised him not to talk to the police. After the alleged victim refused to talk to a police officer, the police supposedly re-initiated contact with him. According to the petitioners, “only then did Mr. Maldonado “confess” in response to the police interrogation”. They argue that the resulting confession was not only invalid and illegally obtained; it was the only factual basis for Mr. Maldonado’s conviction. Mr. Maldonado was convicted of capital murder and sentenced to death on October 6, 1997. The conviction and sentence </w:t>
      </w:r>
      <w:proofErr w:type="gramStart"/>
      <w:r w:rsidR="00774375" w:rsidRPr="008C5978">
        <w:rPr>
          <w:rFonts w:ascii="Cambria" w:hAnsi="Cambria"/>
          <w:sz w:val="20"/>
          <w:szCs w:val="20"/>
        </w:rPr>
        <w:t>was</w:t>
      </w:r>
      <w:proofErr w:type="gramEnd"/>
      <w:r w:rsidR="00774375" w:rsidRPr="008C5978">
        <w:rPr>
          <w:rFonts w:ascii="Cambria" w:hAnsi="Cambria"/>
          <w:sz w:val="20"/>
          <w:szCs w:val="20"/>
        </w:rPr>
        <w:t xml:space="preserve"> confirmed by the higher courts.</w:t>
      </w:r>
    </w:p>
    <w:p w14:paraId="54C134D5" w14:textId="77777777" w:rsidR="00C340DC" w:rsidRPr="008C5978" w:rsidRDefault="00C340DC" w:rsidP="00C340DC">
      <w:pPr>
        <w:pStyle w:val="ListParagraph"/>
        <w:rPr>
          <w:sz w:val="20"/>
          <w:szCs w:val="20"/>
        </w:rPr>
      </w:pPr>
    </w:p>
    <w:p w14:paraId="1314A4A6" w14:textId="0C5EB246" w:rsidR="00C340DC" w:rsidRPr="008C5978" w:rsidRDefault="00C340DC" w:rsidP="00C47E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8C5978">
        <w:rPr>
          <w:rFonts w:ascii="Cambria" w:hAnsi="Cambria"/>
          <w:sz w:val="20"/>
          <w:szCs w:val="20"/>
        </w:rPr>
        <w:t>The petitioners note</w:t>
      </w:r>
      <w:r w:rsidR="00674465" w:rsidRPr="008C5978">
        <w:rPr>
          <w:rFonts w:ascii="Cambria" w:hAnsi="Cambria"/>
          <w:sz w:val="20"/>
          <w:szCs w:val="20"/>
        </w:rPr>
        <w:t xml:space="preserve"> that</w:t>
      </w:r>
      <w:r w:rsidRPr="008C5978">
        <w:rPr>
          <w:rFonts w:ascii="Cambria" w:hAnsi="Cambria"/>
          <w:sz w:val="20"/>
          <w:szCs w:val="20"/>
        </w:rPr>
        <w:t xml:space="preserve"> the Consular Notification Compliance Act (CNCA) was introduced on June 14, 2011. According to the petitioners, it would grant Mr. Maldonado a right to the judicial process required by </w:t>
      </w:r>
      <w:r w:rsidR="00264870" w:rsidRPr="008C5978">
        <w:rPr>
          <w:rFonts w:ascii="Cambria" w:hAnsi="Cambria"/>
          <w:sz w:val="20"/>
          <w:szCs w:val="20"/>
        </w:rPr>
        <w:t xml:space="preserve">the </w:t>
      </w:r>
      <w:proofErr w:type="spellStart"/>
      <w:r w:rsidR="00264870" w:rsidRPr="008C5978">
        <w:rPr>
          <w:rFonts w:ascii="Cambria" w:hAnsi="Cambria"/>
          <w:sz w:val="20"/>
          <w:szCs w:val="20"/>
        </w:rPr>
        <w:t>Avena</w:t>
      </w:r>
      <w:proofErr w:type="spellEnd"/>
      <w:r w:rsidR="00264870" w:rsidRPr="008C5978">
        <w:rPr>
          <w:rFonts w:ascii="Cambria" w:hAnsi="Cambria"/>
          <w:sz w:val="20"/>
          <w:szCs w:val="20"/>
        </w:rPr>
        <w:t xml:space="preserve"> Case decided by the International Court</w:t>
      </w:r>
      <w:r w:rsidR="009424BD" w:rsidRPr="008C5978">
        <w:rPr>
          <w:rFonts w:ascii="Cambria" w:hAnsi="Cambria"/>
          <w:sz w:val="20"/>
          <w:szCs w:val="20"/>
        </w:rPr>
        <w:t xml:space="preserve"> of Justice</w:t>
      </w:r>
      <w:r w:rsidR="00264870" w:rsidRPr="008C5978">
        <w:rPr>
          <w:rFonts w:ascii="Cambria" w:hAnsi="Cambria"/>
          <w:sz w:val="20"/>
          <w:szCs w:val="20"/>
        </w:rPr>
        <w:t>.</w:t>
      </w:r>
      <w:r w:rsidR="00264870" w:rsidRPr="008C5978">
        <w:rPr>
          <w:rStyle w:val="FootnoteReference"/>
          <w:rFonts w:asciiTheme="majorHAnsi" w:hAnsiTheme="majorHAnsi"/>
          <w:sz w:val="20"/>
          <w:szCs w:val="20"/>
        </w:rPr>
        <w:footnoteReference w:id="3"/>
      </w:r>
      <w:r w:rsidR="00264870" w:rsidRPr="008C5978">
        <w:rPr>
          <w:rFonts w:ascii="Cambria" w:hAnsi="Cambria"/>
          <w:sz w:val="20"/>
          <w:szCs w:val="20"/>
        </w:rPr>
        <w:t xml:space="preserve"> However, they argue that the likelihood that the United Sates will provide him with the review and reconsideration to which he is entitled under </w:t>
      </w:r>
      <w:proofErr w:type="spellStart"/>
      <w:r w:rsidR="00264870" w:rsidRPr="008C5978">
        <w:rPr>
          <w:rFonts w:ascii="Cambria" w:hAnsi="Cambria"/>
          <w:sz w:val="20"/>
          <w:szCs w:val="20"/>
        </w:rPr>
        <w:t>Avena</w:t>
      </w:r>
      <w:proofErr w:type="spellEnd"/>
      <w:r w:rsidR="00264870" w:rsidRPr="008C5978">
        <w:rPr>
          <w:rFonts w:ascii="Cambria" w:hAnsi="Cambria"/>
          <w:sz w:val="20"/>
          <w:szCs w:val="20"/>
        </w:rPr>
        <w:t xml:space="preserve"> remains slim.</w:t>
      </w:r>
    </w:p>
    <w:p w14:paraId="19FD42E8" w14:textId="77777777" w:rsidR="00774375" w:rsidRPr="008C5978" w:rsidRDefault="00774375" w:rsidP="00774375">
      <w:pPr>
        <w:pStyle w:val="ListParagraph"/>
        <w:rPr>
          <w:sz w:val="20"/>
          <w:szCs w:val="20"/>
        </w:rPr>
      </w:pPr>
    </w:p>
    <w:p w14:paraId="23FC8684" w14:textId="77777777" w:rsidR="004A0977" w:rsidRPr="008C5978" w:rsidRDefault="00C47E39" w:rsidP="00346D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8C5978">
        <w:rPr>
          <w:rFonts w:ascii="Cambria" w:hAnsi="Cambria"/>
          <w:sz w:val="20"/>
          <w:szCs w:val="20"/>
        </w:rPr>
        <w:lastRenderedPageBreak/>
        <w:t xml:space="preserve">According to the petitioners, </w:t>
      </w:r>
      <w:r w:rsidR="004A0977" w:rsidRPr="008C5978">
        <w:rPr>
          <w:rFonts w:ascii="Cambria" w:hAnsi="Cambria"/>
          <w:sz w:val="20"/>
          <w:szCs w:val="20"/>
        </w:rPr>
        <w:t xml:space="preserve">at his 1997 trial, Mr. Maldonado was represented by a court-appointed attorney who failed to meaningfully investigate, develop, and present substantial mitigating evidence that could have swayed the jury to spare his life.  They note that Mr. Maldonado was sentenced to death by a jury who did not know of his </w:t>
      </w:r>
      <w:r w:rsidR="00674465" w:rsidRPr="008C5978">
        <w:rPr>
          <w:rFonts w:ascii="Cambria" w:hAnsi="Cambria"/>
          <w:sz w:val="20"/>
          <w:szCs w:val="20"/>
        </w:rPr>
        <w:t>“</w:t>
      </w:r>
      <w:r w:rsidR="004A0977" w:rsidRPr="008C5978">
        <w:rPr>
          <w:rFonts w:ascii="Cambria" w:hAnsi="Cambria"/>
          <w:sz w:val="20"/>
          <w:szCs w:val="20"/>
        </w:rPr>
        <w:t>mental retardation,</w:t>
      </w:r>
      <w:r w:rsidR="00674465" w:rsidRPr="008C5978">
        <w:rPr>
          <w:rFonts w:ascii="Cambria" w:hAnsi="Cambria"/>
          <w:sz w:val="20"/>
          <w:szCs w:val="20"/>
        </w:rPr>
        <w:t>”</w:t>
      </w:r>
      <w:r w:rsidR="004A0977" w:rsidRPr="008C5978">
        <w:rPr>
          <w:rFonts w:ascii="Cambria" w:hAnsi="Cambria"/>
          <w:sz w:val="20"/>
          <w:szCs w:val="20"/>
        </w:rPr>
        <w:t xml:space="preserve"> horrific childhood, and the extreme poverty he endured in Mexico. </w:t>
      </w:r>
      <w:r w:rsidR="00674465" w:rsidRPr="008C5978">
        <w:rPr>
          <w:rFonts w:ascii="Cambria" w:hAnsi="Cambria"/>
          <w:sz w:val="20"/>
          <w:szCs w:val="20"/>
        </w:rPr>
        <w:t>T</w:t>
      </w:r>
      <w:r w:rsidR="00AC4F7C" w:rsidRPr="008C5978">
        <w:rPr>
          <w:rFonts w:ascii="Cambria" w:hAnsi="Cambria"/>
          <w:sz w:val="20"/>
          <w:szCs w:val="20"/>
        </w:rPr>
        <w:t>he petitioners</w:t>
      </w:r>
      <w:r w:rsidR="00674465" w:rsidRPr="008C5978">
        <w:rPr>
          <w:rFonts w:ascii="Cambria" w:hAnsi="Cambria"/>
          <w:sz w:val="20"/>
          <w:szCs w:val="20"/>
        </w:rPr>
        <w:t xml:space="preserve"> allege that</w:t>
      </w:r>
      <w:r w:rsidR="00AC4F7C" w:rsidRPr="008C5978">
        <w:rPr>
          <w:rFonts w:ascii="Cambria" w:hAnsi="Cambria"/>
          <w:sz w:val="20"/>
          <w:szCs w:val="20"/>
        </w:rPr>
        <w:t xml:space="preserve"> trial counsel’s entire penalty phase defense rested on a single character witness who was absent from Mr. Maldonado’s childhood and adolescence. </w:t>
      </w:r>
      <w:r w:rsidR="004A0977" w:rsidRPr="008C5978">
        <w:rPr>
          <w:rFonts w:ascii="Cambria" w:hAnsi="Cambria"/>
          <w:sz w:val="20"/>
          <w:szCs w:val="20"/>
        </w:rPr>
        <w:t xml:space="preserve">In addition, petitioners point out that in his appeal to the Texas Court of Criminal Appeals, the alleged victim’s court-appointed appellate counsel failed to raise the violation of Article 36 of the Vienna Convention. They state that the appeal was rejected and that subsequent appeals based on ineffective assistance of counsel and violations of the Vienna Convention have failed based on the court’s findings that such claims were foreclosed by procedural default.  </w:t>
      </w:r>
    </w:p>
    <w:p w14:paraId="29C12D54" w14:textId="77777777" w:rsidR="004A0977" w:rsidRPr="008C5978" w:rsidRDefault="004A0977" w:rsidP="002F1B00">
      <w:pPr>
        <w:tabs>
          <w:tab w:val="num" w:pos="1440"/>
        </w:tabs>
        <w:jc w:val="both"/>
        <w:rPr>
          <w:rFonts w:ascii="Cambria" w:hAnsi="Cambria"/>
          <w:sz w:val="20"/>
          <w:szCs w:val="20"/>
        </w:rPr>
      </w:pPr>
    </w:p>
    <w:p w14:paraId="72F4ABE8" w14:textId="77777777" w:rsidR="004A0977" w:rsidRPr="008C5978" w:rsidRDefault="004A0977"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With regard to Mr. Maldonado’s consular rights, petitioners point out that, although the police </w:t>
      </w:r>
      <w:proofErr w:type="gramStart"/>
      <w:r w:rsidRPr="008C5978">
        <w:rPr>
          <w:rFonts w:ascii="Cambria" w:hAnsi="Cambria"/>
          <w:sz w:val="20"/>
          <w:szCs w:val="20"/>
        </w:rPr>
        <w:t>was</w:t>
      </w:r>
      <w:proofErr w:type="gramEnd"/>
      <w:r w:rsidRPr="008C5978">
        <w:rPr>
          <w:rFonts w:ascii="Cambria" w:hAnsi="Cambria"/>
          <w:sz w:val="20"/>
          <w:szCs w:val="20"/>
        </w:rPr>
        <w:t xml:space="preserve"> aware that he was a Mexican national, they failed to notify him of his right to consular notification in violation of Article 36 of the Vienna Convention. They </w:t>
      </w:r>
      <w:r w:rsidR="00AC313B" w:rsidRPr="008C5978">
        <w:rPr>
          <w:rFonts w:ascii="Cambria" w:hAnsi="Cambria"/>
          <w:sz w:val="20"/>
          <w:szCs w:val="20"/>
        </w:rPr>
        <w:t xml:space="preserve">further </w:t>
      </w:r>
      <w:r w:rsidRPr="008C5978">
        <w:rPr>
          <w:rFonts w:ascii="Cambria" w:hAnsi="Cambria"/>
          <w:sz w:val="20"/>
          <w:szCs w:val="20"/>
        </w:rPr>
        <w:t xml:space="preserve">state that Mr. Maldonado was born and raised in Mexico until the age of twenty-one; that he spoke no English at the time of his arrest; and that he told the police that he went to school in Mexico. The petitioners also contend that the Mexican Consulate did not learn of Mr. Maldonado’s detention until one month before the start of the trial, and after </w:t>
      </w:r>
      <w:proofErr w:type="spellStart"/>
      <w:r w:rsidRPr="008C5978">
        <w:rPr>
          <w:rFonts w:ascii="Cambria" w:hAnsi="Cambria"/>
          <w:i/>
          <w:sz w:val="20"/>
          <w:szCs w:val="20"/>
        </w:rPr>
        <w:t>voir</w:t>
      </w:r>
      <w:proofErr w:type="spellEnd"/>
      <w:r w:rsidRPr="008C5978">
        <w:rPr>
          <w:rFonts w:ascii="Cambria" w:hAnsi="Cambria"/>
          <w:i/>
          <w:sz w:val="20"/>
          <w:szCs w:val="20"/>
        </w:rPr>
        <w:t xml:space="preserve"> dire</w:t>
      </w:r>
      <w:r w:rsidRPr="008C5978">
        <w:rPr>
          <w:rFonts w:ascii="Cambria" w:hAnsi="Cambria"/>
          <w:sz w:val="20"/>
          <w:szCs w:val="20"/>
        </w:rPr>
        <w:t xml:space="preserve"> had begun.  They conclude that, had the Consulate been notified sooner, the office would have offered Mr. Maldonado flexible and far-reaching assistance to avoid the imposition of the death penalty.</w:t>
      </w:r>
    </w:p>
    <w:p w14:paraId="2F73CC8F" w14:textId="77777777" w:rsidR="001C4006" w:rsidRPr="008C5978" w:rsidRDefault="001C4006" w:rsidP="00BB5A59">
      <w:pPr>
        <w:suppressAutoHyphens/>
        <w:ind w:left="1440" w:hanging="720"/>
        <w:rPr>
          <w:rFonts w:asciiTheme="majorHAnsi" w:hAnsiTheme="majorHAnsi"/>
          <w:sz w:val="20"/>
          <w:szCs w:val="20"/>
        </w:rPr>
      </w:pPr>
    </w:p>
    <w:p w14:paraId="087B455F" w14:textId="77777777" w:rsidR="001C4006" w:rsidRPr="008C5978" w:rsidRDefault="001C4006" w:rsidP="00F17799">
      <w:pPr>
        <w:pStyle w:val="Heading2"/>
        <w:numPr>
          <w:ilvl w:val="0"/>
          <w:numId w:val="58"/>
        </w:numPr>
        <w:spacing w:before="0"/>
        <w:ind w:hanging="720"/>
        <w:rPr>
          <w:color w:val="auto"/>
          <w:sz w:val="20"/>
          <w:szCs w:val="20"/>
        </w:rPr>
      </w:pPr>
      <w:bookmarkStart w:id="3" w:name="_Toc89506713"/>
      <w:r w:rsidRPr="008C5978">
        <w:rPr>
          <w:color w:val="auto"/>
          <w:sz w:val="20"/>
          <w:szCs w:val="20"/>
        </w:rPr>
        <w:t>S</w:t>
      </w:r>
      <w:r w:rsidR="00262ECA" w:rsidRPr="008C5978">
        <w:rPr>
          <w:color w:val="auto"/>
          <w:sz w:val="20"/>
          <w:szCs w:val="20"/>
        </w:rPr>
        <w:t>tate</w:t>
      </w:r>
      <w:bookmarkEnd w:id="3"/>
    </w:p>
    <w:p w14:paraId="7C21028F" w14:textId="77777777" w:rsidR="001C4006" w:rsidRPr="008C5978" w:rsidRDefault="001C4006" w:rsidP="001C4006">
      <w:pPr>
        <w:suppressAutoHyphens/>
        <w:rPr>
          <w:rFonts w:asciiTheme="majorHAnsi" w:hAnsiTheme="majorHAnsi"/>
          <w:sz w:val="20"/>
          <w:szCs w:val="20"/>
        </w:rPr>
      </w:pPr>
    </w:p>
    <w:p w14:paraId="196C18DE" w14:textId="77777777" w:rsidR="009E374A" w:rsidRPr="008C5978" w:rsidRDefault="00F86EE8"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According to the State, the petitioners’ claim regarding compliance with the Vienna Convention is not a matter within the Commission’s competence and the allegation of ineffective assistance of counsel fails to state facts that establish a violation of the American Declaration. </w:t>
      </w:r>
      <w:r w:rsidR="001B56BC" w:rsidRPr="008C5978">
        <w:rPr>
          <w:rFonts w:ascii="Cambria" w:hAnsi="Cambria"/>
          <w:sz w:val="20"/>
          <w:szCs w:val="20"/>
        </w:rPr>
        <w:t>According to t</w:t>
      </w:r>
      <w:r w:rsidR="009B1206" w:rsidRPr="008C5978">
        <w:rPr>
          <w:rFonts w:ascii="Cambria" w:hAnsi="Cambria"/>
          <w:sz w:val="20"/>
          <w:szCs w:val="20"/>
        </w:rPr>
        <w:t>he United States</w:t>
      </w:r>
      <w:r w:rsidR="001B56BC" w:rsidRPr="008C5978">
        <w:rPr>
          <w:rFonts w:ascii="Cambria" w:hAnsi="Cambria"/>
          <w:sz w:val="20"/>
          <w:szCs w:val="20"/>
        </w:rPr>
        <w:t xml:space="preserve">, </w:t>
      </w:r>
      <w:r w:rsidR="009E374A" w:rsidRPr="008C5978">
        <w:rPr>
          <w:rFonts w:ascii="Cambria" w:hAnsi="Cambria"/>
          <w:sz w:val="20"/>
          <w:szCs w:val="20"/>
        </w:rPr>
        <w:t>Mr. Maldonado was afforded extensive due process protections</w:t>
      </w:r>
      <w:r w:rsidR="00D12D6C" w:rsidRPr="008C5978">
        <w:rPr>
          <w:rFonts w:ascii="Cambria" w:hAnsi="Cambria"/>
          <w:sz w:val="20"/>
          <w:szCs w:val="20"/>
        </w:rPr>
        <w:t xml:space="preserve"> </w:t>
      </w:r>
      <w:r w:rsidR="009E374A" w:rsidRPr="008C5978">
        <w:rPr>
          <w:rFonts w:ascii="Cambria" w:hAnsi="Cambria"/>
          <w:sz w:val="20"/>
          <w:szCs w:val="20"/>
        </w:rPr>
        <w:t xml:space="preserve">in criminal proceedings. </w:t>
      </w:r>
    </w:p>
    <w:p w14:paraId="6302CC4C" w14:textId="77777777" w:rsidR="009E374A" w:rsidRPr="008C5978" w:rsidRDefault="009E374A" w:rsidP="009E374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7D645CAB" w14:textId="77777777" w:rsidR="00D12D6C" w:rsidRPr="008C5978" w:rsidRDefault="009E374A"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With regard to the Vienna Convention claim, </w:t>
      </w:r>
      <w:r w:rsidR="006516FE" w:rsidRPr="008C5978">
        <w:rPr>
          <w:rFonts w:ascii="Cambria" w:hAnsi="Cambria"/>
          <w:sz w:val="20"/>
          <w:szCs w:val="20"/>
        </w:rPr>
        <w:t xml:space="preserve">the State reiterates its position that the IACHR lacks competence to review claims under the Vienna Convention and that consular notification claims do not raise a violation of </w:t>
      </w:r>
      <w:r w:rsidR="001B56BC" w:rsidRPr="008C5978">
        <w:rPr>
          <w:rFonts w:ascii="Cambria" w:hAnsi="Cambria"/>
          <w:sz w:val="20"/>
          <w:szCs w:val="20"/>
        </w:rPr>
        <w:t>the American Declaration</w:t>
      </w:r>
      <w:r w:rsidR="006516FE" w:rsidRPr="008C5978">
        <w:rPr>
          <w:rFonts w:ascii="Cambria" w:hAnsi="Cambria"/>
          <w:sz w:val="20"/>
          <w:szCs w:val="20"/>
        </w:rPr>
        <w:t>. I</w:t>
      </w:r>
      <w:r w:rsidR="000427EE" w:rsidRPr="008C5978">
        <w:rPr>
          <w:rFonts w:ascii="Cambria" w:hAnsi="Cambria"/>
          <w:sz w:val="20"/>
          <w:szCs w:val="20"/>
        </w:rPr>
        <w:t>t</w:t>
      </w:r>
      <w:r w:rsidR="006516FE" w:rsidRPr="008C5978">
        <w:rPr>
          <w:rFonts w:ascii="Cambria" w:hAnsi="Cambria"/>
          <w:sz w:val="20"/>
          <w:szCs w:val="20"/>
        </w:rPr>
        <w:t xml:space="preserve"> argues that consular notification is not a human right and that the “Vienna Convention’s consular notification protections are based on principles of reciprocity, nationality, and function, and persons do not enjoy these protections by mere virtue of their human existence.” The State note</w:t>
      </w:r>
      <w:r w:rsidR="000427EE" w:rsidRPr="008C5978">
        <w:rPr>
          <w:rFonts w:ascii="Cambria" w:hAnsi="Cambria"/>
          <w:sz w:val="20"/>
          <w:szCs w:val="20"/>
        </w:rPr>
        <w:t>s</w:t>
      </w:r>
      <w:r w:rsidR="006516FE" w:rsidRPr="008C5978">
        <w:rPr>
          <w:rFonts w:ascii="Cambria" w:hAnsi="Cambria"/>
          <w:sz w:val="20"/>
          <w:szCs w:val="20"/>
        </w:rPr>
        <w:t xml:space="preserve"> that it is up to representatives of the detained individual’s state of nationality to determine whether to provide assistance, and the Vienna Convention does not provide the detained individual any right or authority to demand it. </w:t>
      </w:r>
      <w:r w:rsidR="000427EE" w:rsidRPr="008C5978">
        <w:rPr>
          <w:rFonts w:ascii="Cambria" w:hAnsi="Cambria"/>
          <w:sz w:val="20"/>
          <w:szCs w:val="20"/>
        </w:rPr>
        <w:t>According to the State,</w:t>
      </w:r>
      <w:r w:rsidR="006516FE" w:rsidRPr="008C5978">
        <w:rPr>
          <w:rFonts w:ascii="Cambria" w:hAnsi="Cambria"/>
          <w:sz w:val="20"/>
          <w:szCs w:val="20"/>
        </w:rPr>
        <w:t xml:space="preserve"> </w:t>
      </w:r>
      <w:r w:rsidR="000427EE" w:rsidRPr="008C5978">
        <w:rPr>
          <w:rFonts w:ascii="Cambria" w:hAnsi="Cambria"/>
          <w:sz w:val="20"/>
          <w:szCs w:val="20"/>
        </w:rPr>
        <w:t>to accept the argument that a “consular notification claim amounts to a human rights violation under the American Declaration would require the untenable conclusion that any foreign national who does not receive consular assistance, because of an absence of consular relations or because his government did not provide assistance, cannot receive a fair trial or due process.”</w:t>
      </w:r>
      <w:r w:rsidRPr="008C5978">
        <w:rPr>
          <w:rFonts w:ascii="Cambria" w:hAnsi="Cambria"/>
          <w:sz w:val="20"/>
          <w:szCs w:val="20"/>
        </w:rPr>
        <w:t xml:space="preserve"> </w:t>
      </w:r>
    </w:p>
    <w:p w14:paraId="0E43FCE4" w14:textId="77777777" w:rsidR="005D6891" w:rsidRPr="008C5978" w:rsidRDefault="005D6891" w:rsidP="005D68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6149788A" w14:textId="77777777" w:rsidR="005D6891" w:rsidRPr="008C5978" w:rsidRDefault="005C5F93"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The United States points out that its criminal justice system gives full effect to the fair trial protections and procedural guarantees contained in the American Declaration and has done so in Mr. Maldonado’s case. </w:t>
      </w:r>
      <w:r w:rsidR="00F311E2" w:rsidRPr="008C5978">
        <w:rPr>
          <w:rFonts w:ascii="Cambria" w:hAnsi="Cambria"/>
          <w:sz w:val="20"/>
          <w:szCs w:val="20"/>
        </w:rPr>
        <w:t>According to the State, the claim of ineffective assistance of the state-appointed trial counsel received multiple layers of judicial review in U.S. courts. Specifically, the State argues that the jury heard about his difficult childhood, and that his father testified and admitted that he was an absent parent and that Mr. Maldonado was forced to drink alcohol as a child. The United States indicates that, despite this evidence of his background, the jury concluded that the mitigating circumstances did not warrant a life sentence</w:t>
      </w:r>
      <w:r w:rsidR="00624716" w:rsidRPr="008C5978">
        <w:rPr>
          <w:rFonts w:ascii="Cambria" w:hAnsi="Cambria"/>
          <w:sz w:val="20"/>
          <w:szCs w:val="20"/>
        </w:rPr>
        <w:t>.</w:t>
      </w:r>
    </w:p>
    <w:p w14:paraId="5AA22B6F" w14:textId="77777777" w:rsidR="00624716" w:rsidRPr="008C5978" w:rsidRDefault="00624716" w:rsidP="00624716">
      <w:pPr>
        <w:pStyle w:val="ListParagraph"/>
        <w:rPr>
          <w:sz w:val="20"/>
          <w:szCs w:val="20"/>
        </w:rPr>
      </w:pPr>
    </w:p>
    <w:p w14:paraId="1A693158" w14:textId="49B2AC4F" w:rsidR="001126EB" w:rsidRPr="008C5978" w:rsidRDefault="00624716"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According to the State,</w:t>
      </w:r>
      <w:r w:rsidR="004B40A9" w:rsidRPr="008C5978">
        <w:rPr>
          <w:rFonts w:ascii="Cambria" w:hAnsi="Cambria"/>
          <w:sz w:val="20"/>
          <w:szCs w:val="20"/>
        </w:rPr>
        <w:t xml:space="preserve"> evidence of severe mental impairment and mitigating factors were presented at a seven-day hearing</w:t>
      </w:r>
      <w:r w:rsidR="00B84FC7" w:rsidRPr="008C5978">
        <w:rPr>
          <w:rFonts w:ascii="Cambria" w:hAnsi="Cambria"/>
          <w:sz w:val="20"/>
          <w:szCs w:val="20"/>
        </w:rPr>
        <w:t xml:space="preserve">, and a number of lay witnesses, some from Mexico, testified about Mr. Maldonado’s social history, background and character but the court concluded that he had not met his burden of establishing severe mental impairment. </w:t>
      </w:r>
      <w:r w:rsidR="001126EB" w:rsidRPr="008C5978">
        <w:rPr>
          <w:rFonts w:ascii="Cambria" w:hAnsi="Cambria"/>
          <w:sz w:val="20"/>
          <w:szCs w:val="20"/>
        </w:rPr>
        <w:t xml:space="preserve">The State emphasizes that that finding was adopted by the Texas Court of Criminal Appeals, and two federal courts agreed on collateral review that this conclusion was not unreasonable. Moreover, the State indicates that Mr. Maldonado was given ample opportunity to raise trial counsel’s alleged ineffectiveness in his state and federal habeas proceedings, and the courts determined he was not entitled to a new trial or other relief on this basis. </w:t>
      </w:r>
    </w:p>
    <w:p w14:paraId="5096C5A6" w14:textId="77777777" w:rsidR="001126EB" w:rsidRPr="008C5978" w:rsidRDefault="001126EB" w:rsidP="00346D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4329527D" w14:textId="77777777" w:rsidR="006322B9" w:rsidRPr="008C5978" w:rsidRDefault="001126EB"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The State also argues that decisions by counsel at trial and sentencing, including decisions not to develop certain lines of argument, </w:t>
      </w:r>
      <w:r w:rsidR="00D15E54" w:rsidRPr="008C5978">
        <w:rPr>
          <w:rFonts w:ascii="Cambria" w:hAnsi="Cambria"/>
          <w:sz w:val="20"/>
          <w:szCs w:val="20"/>
        </w:rPr>
        <w:t>“</w:t>
      </w:r>
      <w:r w:rsidRPr="008C5978">
        <w:rPr>
          <w:rFonts w:ascii="Cambria" w:hAnsi="Cambria"/>
          <w:sz w:val="20"/>
          <w:szCs w:val="20"/>
        </w:rPr>
        <w:t>may in retrospect seem like bad ones, but may nonetheless have been valid, strategic decisions at the time.</w:t>
      </w:r>
      <w:r w:rsidR="00D15E54" w:rsidRPr="008C5978">
        <w:rPr>
          <w:rFonts w:ascii="Cambria" w:hAnsi="Cambria"/>
          <w:sz w:val="20"/>
          <w:szCs w:val="20"/>
        </w:rPr>
        <w:t>” It states in this regard that an attorney’s “decision not to present evidence of severe mental impairment to the jury could be one such decision; as the Supreme Court has acknowledged, evidence of severe mental impairment can also suggest an inability to learn from mistakes, and lead a jury to aggravate rather than mitigate a sentence.”</w:t>
      </w:r>
    </w:p>
    <w:p w14:paraId="234E4F71" w14:textId="77777777" w:rsidR="006322B9" w:rsidRPr="008C5978" w:rsidRDefault="006322B9" w:rsidP="00346D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0E4A6737" w14:textId="77777777" w:rsidR="00624716" w:rsidRPr="008C5978" w:rsidRDefault="006322B9"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Finally, the United States notes its longstanding position that the American Declaration is a non-binding </w:t>
      </w:r>
      <w:r w:rsidR="00780ED7" w:rsidRPr="008C5978">
        <w:rPr>
          <w:rFonts w:ascii="Cambria" w:hAnsi="Cambria"/>
          <w:sz w:val="20"/>
          <w:szCs w:val="20"/>
        </w:rPr>
        <w:t>instrument and does not create legal rights or impose legal obligations on States.</w:t>
      </w:r>
      <w:r w:rsidR="001126EB" w:rsidRPr="008C5978">
        <w:rPr>
          <w:rFonts w:ascii="Cambria" w:hAnsi="Cambria"/>
          <w:sz w:val="20"/>
          <w:szCs w:val="20"/>
        </w:rPr>
        <w:t xml:space="preserve"> </w:t>
      </w:r>
      <w:r w:rsidR="00B84FC7" w:rsidRPr="008C5978">
        <w:rPr>
          <w:rFonts w:ascii="Cambria" w:hAnsi="Cambria"/>
          <w:sz w:val="20"/>
          <w:szCs w:val="20"/>
        </w:rPr>
        <w:t xml:space="preserve"> </w:t>
      </w:r>
      <w:r w:rsidR="004B40A9" w:rsidRPr="008C5978">
        <w:rPr>
          <w:rFonts w:ascii="Cambria" w:hAnsi="Cambria"/>
          <w:sz w:val="20"/>
          <w:szCs w:val="20"/>
        </w:rPr>
        <w:t xml:space="preserve">  </w:t>
      </w:r>
      <w:r w:rsidR="00624716" w:rsidRPr="008C5978">
        <w:rPr>
          <w:rFonts w:ascii="Cambria" w:hAnsi="Cambria"/>
          <w:sz w:val="20"/>
          <w:szCs w:val="20"/>
        </w:rPr>
        <w:t xml:space="preserve"> </w:t>
      </w:r>
    </w:p>
    <w:p w14:paraId="57664F31" w14:textId="77777777" w:rsidR="00D12D6C" w:rsidRPr="008C5978" w:rsidRDefault="00D12D6C" w:rsidP="00D12D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0AF8FD12" w14:textId="77777777" w:rsidR="001C4006" w:rsidRPr="008C5978" w:rsidRDefault="001C4006" w:rsidP="00A71D99">
      <w:pPr>
        <w:pStyle w:val="Heading1"/>
        <w:spacing w:before="0"/>
        <w:ind w:hanging="720"/>
        <w:rPr>
          <w:color w:val="auto"/>
          <w:sz w:val="20"/>
          <w:szCs w:val="20"/>
        </w:rPr>
      </w:pPr>
      <w:bookmarkStart w:id="4" w:name="_Toc89506714"/>
      <w:r w:rsidRPr="008C5978">
        <w:rPr>
          <w:color w:val="auto"/>
          <w:sz w:val="20"/>
          <w:szCs w:val="20"/>
        </w:rPr>
        <w:t>FINDINGS OF FACT</w:t>
      </w:r>
      <w:bookmarkEnd w:id="4"/>
    </w:p>
    <w:p w14:paraId="0D114F18" w14:textId="77777777" w:rsidR="001C4006" w:rsidRPr="008C5978" w:rsidRDefault="001C4006" w:rsidP="00BB5A59">
      <w:pPr>
        <w:rPr>
          <w:rFonts w:asciiTheme="majorHAnsi" w:hAnsiTheme="majorHAnsi"/>
          <w:b/>
          <w:sz w:val="20"/>
          <w:szCs w:val="20"/>
        </w:rPr>
      </w:pPr>
    </w:p>
    <w:p w14:paraId="6C13FDFE" w14:textId="77777777" w:rsidR="00E7126F" w:rsidRPr="008C5978" w:rsidRDefault="0004390C"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In application of Article 43(1) of its Rules of Procedure, the IACHR will examine the arguments and evidence provided by the petitioners and the State. Likewise, the Commission will take into account publicly available information that may be relevant </w:t>
      </w:r>
      <w:r w:rsidR="00143E4B" w:rsidRPr="008C5978">
        <w:rPr>
          <w:rFonts w:ascii="Cambria" w:hAnsi="Cambria"/>
          <w:sz w:val="20"/>
          <w:szCs w:val="20"/>
        </w:rPr>
        <w:t xml:space="preserve">to </w:t>
      </w:r>
      <w:r w:rsidRPr="008C5978">
        <w:rPr>
          <w:rFonts w:ascii="Cambria" w:hAnsi="Cambria"/>
          <w:sz w:val="20"/>
          <w:szCs w:val="20"/>
        </w:rPr>
        <w:t>the analysis and decision of the instant case.</w:t>
      </w:r>
    </w:p>
    <w:p w14:paraId="5603F4E7" w14:textId="77777777" w:rsidR="009F0AED" w:rsidRPr="008C5978" w:rsidRDefault="009F0AED" w:rsidP="009F0AED">
      <w:pPr>
        <w:pStyle w:val="Heading2"/>
        <w:spacing w:before="0"/>
        <w:ind w:left="1440"/>
        <w:rPr>
          <w:color w:val="auto"/>
          <w:sz w:val="20"/>
          <w:szCs w:val="20"/>
        </w:rPr>
      </w:pPr>
    </w:p>
    <w:p w14:paraId="70D73707" w14:textId="77777777" w:rsidR="00912642" w:rsidRPr="008C5978" w:rsidRDefault="00C340DC" w:rsidP="00A71D99">
      <w:pPr>
        <w:pStyle w:val="Heading2"/>
        <w:numPr>
          <w:ilvl w:val="0"/>
          <w:numId w:val="59"/>
        </w:numPr>
        <w:spacing w:before="0"/>
        <w:ind w:hanging="720"/>
        <w:rPr>
          <w:color w:val="auto"/>
          <w:sz w:val="20"/>
          <w:szCs w:val="20"/>
        </w:rPr>
      </w:pPr>
      <w:bookmarkStart w:id="5" w:name="_Toc89506715"/>
      <w:r w:rsidRPr="008C5978">
        <w:rPr>
          <w:color w:val="auto"/>
          <w:sz w:val="20"/>
          <w:szCs w:val="20"/>
        </w:rPr>
        <w:t xml:space="preserve">Mr. Maldonado’s conviction and death </w:t>
      </w:r>
      <w:r w:rsidR="00F7730A" w:rsidRPr="008C5978">
        <w:rPr>
          <w:color w:val="auto"/>
          <w:sz w:val="20"/>
          <w:szCs w:val="20"/>
        </w:rPr>
        <w:t>sentence</w:t>
      </w:r>
      <w:bookmarkEnd w:id="5"/>
    </w:p>
    <w:p w14:paraId="0B670414" w14:textId="77777777" w:rsidR="00E4390D" w:rsidRPr="008C5978" w:rsidRDefault="00E4390D"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1440" w:hanging="720"/>
        <w:jc w:val="both"/>
        <w:rPr>
          <w:rFonts w:asciiTheme="majorHAnsi" w:hAnsiTheme="majorHAnsi"/>
          <w:sz w:val="20"/>
          <w:szCs w:val="20"/>
        </w:rPr>
      </w:pPr>
    </w:p>
    <w:p w14:paraId="0A14228D" w14:textId="77777777" w:rsidR="006059FA" w:rsidRPr="008C5978" w:rsidRDefault="0086628D"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On October 6, 1997, </w:t>
      </w:r>
      <w:r w:rsidR="00702CD7" w:rsidRPr="008C5978">
        <w:rPr>
          <w:rFonts w:ascii="Cambria" w:hAnsi="Cambria"/>
          <w:sz w:val="20"/>
          <w:szCs w:val="20"/>
        </w:rPr>
        <w:t>a jury</w:t>
      </w:r>
      <w:r w:rsidRPr="008C5978">
        <w:rPr>
          <w:rFonts w:ascii="Cambria" w:hAnsi="Cambria"/>
          <w:sz w:val="20"/>
          <w:szCs w:val="20"/>
        </w:rPr>
        <w:t xml:space="preserve"> convicted </w:t>
      </w:r>
      <w:r w:rsidR="00702CD7" w:rsidRPr="008C5978">
        <w:rPr>
          <w:rFonts w:ascii="Cambria" w:hAnsi="Cambria"/>
          <w:sz w:val="20"/>
          <w:szCs w:val="20"/>
        </w:rPr>
        <w:t xml:space="preserve">Mr. Maldonado </w:t>
      </w:r>
      <w:r w:rsidRPr="008C5978">
        <w:rPr>
          <w:rFonts w:ascii="Cambria" w:hAnsi="Cambria"/>
          <w:sz w:val="20"/>
          <w:szCs w:val="20"/>
        </w:rPr>
        <w:t xml:space="preserve">of capital murder and </w:t>
      </w:r>
      <w:r w:rsidR="00702CD7" w:rsidRPr="008C5978">
        <w:rPr>
          <w:rFonts w:ascii="Cambria" w:hAnsi="Cambria"/>
          <w:sz w:val="20"/>
          <w:szCs w:val="20"/>
        </w:rPr>
        <w:t xml:space="preserve">the </w:t>
      </w:r>
      <w:r w:rsidR="00590BF3" w:rsidRPr="008C5978">
        <w:rPr>
          <w:rFonts w:ascii="Cambria" w:hAnsi="Cambria"/>
          <w:sz w:val="20"/>
          <w:szCs w:val="20"/>
        </w:rPr>
        <w:t xml:space="preserve">338th </w:t>
      </w:r>
      <w:r w:rsidR="00B540E8" w:rsidRPr="008C5978">
        <w:rPr>
          <w:rFonts w:ascii="Cambria" w:hAnsi="Cambria"/>
          <w:sz w:val="20"/>
          <w:szCs w:val="20"/>
        </w:rPr>
        <w:t xml:space="preserve">District Court </w:t>
      </w:r>
      <w:r w:rsidR="00B301E8" w:rsidRPr="008C5978">
        <w:rPr>
          <w:rFonts w:ascii="Cambria" w:hAnsi="Cambria"/>
          <w:sz w:val="20"/>
          <w:szCs w:val="20"/>
        </w:rPr>
        <w:t xml:space="preserve">of </w:t>
      </w:r>
      <w:r w:rsidR="00B540E8" w:rsidRPr="008C5978">
        <w:rPr>
          <w:rFonts w:ascii="Cambria" w:hAnsi="Cambria"/>
          <w:sz w:val="20"/>
          <w:szCs w:val="20"/>
        </w:rPr>
        <w:t>Harris County</w:t>
      </w:r>
      <w:r w:rsidR="00B301E8" w:rsidRPr="008C5978">
        <w:rPr>
          <w:rFonts w:ascii="Cambria" w:hAnsi="Cambria"/>
          <w:sz w:val="20"/>
          <w:szCs w:val="20"/>
        </w:rPr>
        <w:t xml:space="preserve">, </w:t>
      </w:r>
      <w:r w:rsidR="00B540E8" w:rsidRPr="008C5978">
        <w:rPr>
          <w:rFonts w:ascii="Cambria" w:hAnsi="Cambria"/>
          <w:sz w:val="20"/>
          <w:szCs w:val="20"/>
        </w:rPr>
        <w:t xml:space="preserve">Texas, </w:t>
      </w:r>
      <w:r w:rsidRPr="008C5978">
        <w:rPr>
          <w:rFonts w:ascii="Cambria" w:hAnsi="Cambria"/>
          <w:sz w:val="20"/>
          <w:szCs w:val="20"/>
        </w:rPr>
        <w:t xml:space="preserve">sentenced </w:t>
      </w:r>
      <w:r w:rsidR="00702CD7" w:rsidRPr="008C5978">
        <w:rPr>
          <w:rFonts w:ascii="Cambria" w:hAnsi="Cambria"/>
          <w:sz w:val="20"/>
          <w:szCs w:val="20"/>
        </w:rPr>
        <w:t xml:space="preserve">him </w:t>
      </w:r>
      <w:r w:rsidRPr="008C5978">
        <w:rPr>
          <w:rFonts w:ascii="Cambria" w:hAnsi="Cambria"/>
          <w:sz w:val="20"/>
          <w:szCs w:val="20"/>
        </w:rPr>
        <w:t>to death.</w:t>
      </w:r>
      <w:r w:rsidR="00FE769E" w:rsidRPr="008C5978">
        <w:rPr>
          <w:rStyle w:val="FootnoteReference"/>
          <w:rFonts w:ascii="Cambria" w:hAnsi="Cambria"/>
          <w:sz w:val="20"/>
          <w:szCs w:val="20"/>
        </w:rPr>
        <w:footnoteReference w:id="4"/>
      </w:r>
      <w:r w:rsidRPr="008C5978">
        <w:rPr>
          <w:rStyle w:val="FootnoteReference"/>
        </w:rPr>
        <w:t xml:space="preserve"> </w:t>
      </w:r>
      <w:r w:rsidR="0016440B" w:rsidRPr="008C5978">
        <w:rPr>
          <w:rFonts w:ascii="Cambria" w:hAnsi="Cambria"/>
          <w:sz w:val="20"/>
          <w:szCs w:val="20"/>
        </w:rPr>
        <w:t>In one of the pretrial hearings conducted before the District Court on September 18, 1997, t</w:t>
      </w:r>
      <w:r w:rsidR="002F17C9" w:rsidRPr="008C5978">
        <w:rPr>
          <w:rFonts w:ascii="Cambria" w:hAnsi="Cambria"/>
          <w:sz w:val="20"/>
          <w:szCs w:val="20"/>
        </w:rPr>
        <w:t xml:space="preserve">he police officer who arrested Mr. Maldonado testified </w:t>
      </w:r>
      <w:r w:rsidR="00AF22CE" w:rsidRPr="008C5978">
        <w:rPr>
          <w:rFonts w:ascii="Cambria" w:hAnsi="Cambria"/>
          <w:sz w:val="20"/>
          <w:szCs w:val="20"/>
        </w:rPr>
        <w:t>the following</w:t>
      </w:r>
      <w:r w:rsidR="002F17C9" w:rsidRPr="008C5978">
        <w:rPr>
          <w:rFonts w:ascii="Cambria" w:hAnsi="Cambria"/>
          <w:sz w:val="20"/>
          <w:szCs w:val="20"/>
        </w:rPr>
        <w:t>:</w:t>
      </w:r>
      <w:r w:rsidR="003B6950" w:rsidRPr="008C5978">
        <w:rPr>
          <w:rStyle w:val="FootnoteReference"/>
          <w:rFonts w:ascii="Cambria" w:hAnsi="Cambria"/>
          <w:sz w:val="20"/>
          <w:szCs w:val="20"/>
        </w:rPr>
        <w:footnoteReference w:id="5"/>
      </w:r>
    </w:p>
    <w:p w14:paraId="417E1FF0" w14:textId="77777777" w:rsidR="002F17C9" w:rsidRPr="008C5978" w:rsidRDefault="002F17C9" w:rsidP="002F17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1E9C142E" w14:textId="77777777" w:rsidR="002F17C9" w:rsidRPr="008C5978" w:rsidRDefault="003B6950"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 So, at the time you interviewed [Mr. Maldonado], you didn’t know whether he had a lawyer in the bank robbery case at all?</w:t>
      </w:r>
    </w:p>
    <w:p w14:paraId="64BEE1F4" w14:textId="77777777" w:rsidR="003B6950" w:rsidRPr="008C5978" w:rsidRDefault="003B6950"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09EF4528" w14:textId="77777777" w:rsidR="003B6950"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w:t>
      </w:r>
    </w:p>
    <w:p w14:paraId="3B3CB825"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You knew at that time, Mr. Escalante, that Mr. Maldonado had been appointed a lawyer by the name of Dominique Gerard, didn’t you, sir?</w:t>
      </w:r>
    </w:p>
    <w:p w14:paraId="23712827"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 I didn’t.</w:t>
      </w:r>
    </w:p>
    <w:p w14:paraId="471E294C"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Well, didn’t you ask Mr. Maldonado if he had a lawyer?</w:t>
      </w:r>
    </w:p>
    <w:p w14:paraId="6B232D3C"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 xml:space="preserve">A </w:t>
      </w:r>
      <w:r w:rsidR="00674465" w:rsidRPr="008C5978">
        <w:rPr>
          <w:rFonts w:ascii="Cambria" w:hAnsi="Cambria"/>
          <w:sz w:val="18"/>
          <w:szCs w:val="18"/>
        </w:rPr>
        <w:t>Yes, sir, I</w:t>
      </w:r>
      <w:r w:rsidRPr="008C5978">
        <w:rPr>
          <w:rFonts w:ascii="Cambria" w:hAnsi="Cambria"/>
          <w:sz w:val="18"/>
          <w:szCs w:val="18"/>
        </w:rPr>
        <w:t xml:space="preserve"> did.</w:t>
      </w:r>
    </w:p>
    <w:p w14:paraId="3F8B54D4"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Is that on your tape-recorded conversation?</w:t>
      </w:r>
    </w:p>
    <w:p w14:paraId="5F421092"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04829CCA"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Did you make a report about that?</w:t>
      </w:r>
    </w:p>
    <w:p w14:paraId="21C5AC81"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37779067"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You didn’t write it in the report, sir?</w:t>
      </w:r>
    </w:p>
    <w:p w14:paraId="00EB9A76"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69914894"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You were there to interview him on a capital murder case and you don’t ask him whether or not he has a lawyer?</w:t>
      </w:r>
    </w:p>
    <w:p w14:paraId="059A39F3"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Yes, sir, I did.</w:t>
      </w:r>
    </w:p>
    <w:p w14:paraId="08ADD89A"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But you don’t write that in your report though?</w:t>
      </w:r>
    </w:p>
    <w:p w14:paraId="105B3DB3"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I didn’t.</w:t>
      </w:r>
    </w:p>
    <w:p w14:paraId="175AC6E2"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w:t>
      </w:r>
    </w:p>
    <w:p w14:paraId="108C9130" w14:textId="77777777" w:rsidR="00283909" w:rsidRPr="008C5978" w:rsidRDefault="00283909"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 xml:space="preserve">Q </w:t>
      </w:r>
      <w:r w:rsidR="003B5C8C" w:rsidRPr="008C5978">
        <w:rPr>
          <w:rFonts w:ascii="Cambria" w:hAnsi="Cambria"/>
          <w:sz w:val="18"/>
          <w:szCs w:val="18"/>
        </w:rPr>
        <w:t>Did you make a report about the interview, sir?</w:t>
      </w:r>
    </w:p>
    <w:p w14:paraId="7BAAA40B"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Yes, sir, I did.</w:t>
      </w:r>
    </w:p>
    <w:p w14:paraId="5C643062"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But you didn’t include the fact he talked to you about an attorney?</w:t>
      </w:r>
    </w:p>
    <w:p w14:paraId="0AA0F925"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5C82B63D"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 xml:space="preserve">Q Did you make an effort to contact […] the prosecutor […] to ask: Hey who’s this guy’s lawyer? […] </w:t>
      </w:r>
    </w:p>
    <w:p w14:paraId="1D962C09"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25242200"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Did you check the records? You have access to find out who represented a certain defendant, do you not, sir?</w:t>
      </w:r>
    </w:p>
    <w:p w14:paraId="76390D79"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Yes, sir, I get somebody to do that, that’s correct.</w:t>
      </w:r>
    </w:p>
    <w:p w14:paraId="05C6D2FF"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Q Did you do that in this case?</w:t>
      </w:r>
    </w:p>
    <w:p w14:paraId="379933D0" w14:textId="77777777" w:rsidR="003B5C8C" w:rsidRPr="008C5978" w:rsidRDefault="003B5C8C" w:rsidP="0016440B">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18"/>
          <w:szCs w:val="18"/>
        </w:rPr>
      </w:pPr>
      <w:r w:rsidRPr="008C5978">
        <w:rPr>
          <w:rFonts w:ascii="Cambria" w:hAnsi="Cambria"/>
          <w:sz w:val="18"/>
          <w:szCs w:val="18"/>
        </w:rPr>
        <w:t>A No, sir.</w:t>
      </w:r>
    </w:p>
    <w:p w14:paraId="0B658EBA" w14:textId="77777777" w:rsidR="006059FA" w:rsidRPr="008C5978" w:rsidRDefault="006059FA" w:rsidP="006059F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52213914" w14:textId="77777777" w:rsidR="007B186C" w:rsidRPr="008C5978" w:rsidRDefault="007B186C"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In a hearing conducted on September 30</w:t>
      </w:r>
      <w:r w:rsidR="002B1184" w:rsidRPr="008C5978">
        <w:rPr>
          <w:rFonts w:ascii="Cambria" w:hAnsi="Cambria"/>
          <w:sz w:val="20"/>
          <w:szCs w:val="20"/>
        </w:rPr>
        <w:t>,</w:t>
      </w:r>
      <w:r w:rsidRPr="008C5978">
        <w:rPr>
          <w:rFonts w:ascii="Cambria" w:hAnsi="Cambria"/>
          <w:sz w:val="20"/>
          <w:szCs w:val="20"/>
        </w:rPr>
        <w:t xml:space="preserve"> 1997, </w:t>
      </w:r>
      <w:r w:rsidR="002B1184" w:rsidRPr="008C5978">
        <w:rPr>
          <w:rFonts w:ascii="Cambria" w:hAnsi="Cambria"/>
          <w:sz w:val="20"/>
          <w:szCs w:val="20"/>
        </w:rPr>
        <w:t>the same police officer testified the following:</w:t>
      </w:r>
      <w:r w:rsidR="00C22DD6" w:rsidRPr="008C5978">
        <w:rPr>
          <w:rStyle w:val="FootnoteReference"/>
          <w:rFonts w:asciiTheme="majorHAnsi" w:hAnsiTheme="majorHAnsi"/>
          <w:sz w:val="20"/>
          <w:szCs w:val="20"/>
          <w:lang w:val="en-GB"/>
        </w:rPr>
        <w:footnoteReference w:id="6"/>
      </w:r>
    </w:p>
    <w:p w14:paraId="5F97A75B" w14:textId="77777777" w:rsidR="002B1184" w:rsidRPr="008C5978" w:rsidRDefault="002B1184" w:rsidP="002B1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GB"/>
        </w:rPr>
      </w:pPr>
    </w:p>
    <w:p w14:paraId="57FC27E5" w14:textId="77777777" w:rsidR="002B1184" w:rsidRPr="008C5978" w:rsidRDefault="002B1184" w:rsidP="00C22DD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n-GB"/>
        </w:rPr>
      </w:pPr>
      <w:r w:rsidRPr="008C5978">
        <w:rPr>
          <w:rFonts w:ascii="Cambria" w:hAnsi="Cambria"/>
          <w:sz w:val="18"/>
          <w:szCs w:val="18"/>
          <w:lang w:val="en-GB"/>
        </w:rPr>
        <w:t>Q When you went to talk to him on the 24</w:t>
      </w:r>
      <w:r w:rsidRPr="008C5978">
        <w:rPr>
          <w:rFonts w:ascii="Cambria" w:hAnsi="Cambria"/>
          <w:sz w:val="18"/>
          <w:szCs w:val="18"/>
          <w:vertAlign w:val="superscript"/>
          <w:lang w:val="en-GB"/>
        </w:rPr>
        <w:t>th</w:t>
      </w:r>
      <w:r w:rsidRPr="008C5978">
        <w:rPr>
          <w:rFonts w:ascii="Cambria" w:hAnsi="Cambria"/>
          <w:sz w:val="18"/>
          <w:szCs w:val="18"/>
          <w:lang w:val="en-GB"/>
        </w:rPr>
        <w:t>, did you tell him that he had a right to contact the Mexican Consulate’s office for advice? Or that he had a right to contact it regarding his detainment and imprisonment or incarceration? Did you tell him that?</w:t>
      </w:r>
    </w:p>
    <w:p w14:paraId="7F937439" w14:textId="77777777" w:rsidR="002B1184" w:rsidRPr="008C5978" w:rsidRDefault="002B1184" w:rsidP="00C22DD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n-GB"/>
        </w:rPr>
      </w:pPr>
      <w:r w:rsidRPr="008C5978">
        <w:rPr>
          <w:rFonts w:ascii="Cambria" w:hAnsi="Cambria"/>
          <w:sz w:val="18"/>
          <w:szCs w:val="18"/>
          <w:lang w:val="en-GB"/>
        </w:rPr>
        <w:t>A No, sir, I never brought up the Mexican Consulate.</w:t>
      </w:r>
    </w:p>
    <w:p w14:paraId="56DEAE75" w14:textId="77777777" w:rsidR="002B1184" w:rsidRPr="008C5978" w:rsidRDefault="00C22DD6" w:rsidP="00C22DD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n-GB"/>
        </w:rPr>
      </w:pPr>
      <w:r w:rsidRPr="008C5978">
        <w:rPr>
          <w:rFonts w:ascii="Cambria" w:hAnsi="Cambria"/>
          <w:sz w:val="18"/>
          <w:szCs w:val="18"/>
          <w:lang w:val="en-GB"/>
        </w:rPr>
        <w:t>[…]</w:t>
      </w:r>
    </w:p>
    <w:p w14:paraId="37D7B32B" w14:textId="77777777" w:rsidR="007B186C" w:rsidRPr="008C5978" w:rsidRDefault="007B186C" w:rsidP="007B18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n-GB"/>
        </w:rPr>
      </w:pPr>
    </w:p>
    <w:p w14:paraId="69014B57" w14:textId="77777777" w:rsidR="007809DA" w:rsidRPr="008C5978" w:rsidRDefault="007809DA"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At the penalty phase, trial counsel offered Mr. Maldonado’s father</w:t>
      </w:r>
      <w:r w:rsidR="007C22DF" w:rsidRPr="008C5978">
        <w:rPr>
          <w:rFonts w:ascii="Cambria" w:hAnsi="Cambria"/>
          <w:sz w:val="20"/>
          <w:szCs w:val="20"/>
        </w:rPr>
        <w:t>, Jose Maldonado,</w:t>
      </w:r>
      <w:r w:rsidRPr="008C5978">
        <w:rPr>
          <w:rFonts w:ascii="Cambria" w:hAnsi="Cambria"/>
          <w:sz w:val="20"/>
          <w:szCs w:val="20"/>
        </w:rPr>
        <w:t xml:space="preserve"> as a character witness, who in a hearing held o</w:t>
      </w:r>
      <w:r w:rsidR="00883E89" w:rsidRPr="008C5978">
        <w:rPr>
          <w:rFonts w:ascii="Cambria" w:hAnsi="Cambria"/>
          <w:sz w:val="20"/>
          <w:szCs w:val="20"/>
        </w:rPr>
        <w:t>n October 6, 1997,</w:t>
      </w:r>
      <w:r w:rsidRPr="008C5978">
        <w:rPr>
          <w:rFonts w:ascii="Cambria" w:hAnsi="Cambria"/>
          <w:sz w:val="20"/>
          <w:szCs w:val="20"/>
        </w:rPr>
        <w:t xml:space="preserve"> testified the following:</w:t>
      </w:r>
      <w:r w:rsidR="009B71D5" w:rsidRPr="008C5978">
        <w:rPr>
          <w:rStyle w:val="FootnoteReference"/>
          <w:rFonts w:asciiTheme="majorHAnsi" w:hAnsiTheme="majorHAnsi"/>
          <w:sz w:val="20"/>
          <w:szCs w:val="20"/>
          <w:lang w:val="en-GB"/>
        </w:rPr>
        <w:footnoteReference w:id="7"/>
      </w:r>
    </w:p>
    <w:p w14:paraId="71B436D3" w14:textId="77777777" w:rsidR="007809DA" w:rsidRPr="008C5978" w:rsidRDefault="007809DA" w:rsidP="007809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n-GB"/>
        </w:rPr>
      </w:pPr>
    </w:p>
    <w:p w14:paraId="29A81DE9" w14:textId="77777777" w:rsidR="00883E89"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THE COURT: All right. You have any witnesses in the courtroom, sir?</w:t>
      </w:r>
    </w:p>
    <w:p w14:paraId="319044CB"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MR. CERVANTES [trial counsel]: Yes, I do. They’re outside, Judge.</w:t>
      </w:r>
    </w:p>
    <w:p w14:paraId="06ABEEB9"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THE COURT: Would you ask them to step in so I can ask them to come in at the same time.</w:t>
      </w:r>
    </w:p>
    <w:p w14:paraId="0CF1F3EB"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MR. CERVANTES: Your </w:t>
      </w:r>
      <w:proofErr w:type="spellStart"/>
      <w:r w:rsidRPr="008C5978">
        <w:rPr>
          <w:rFonts w:asciiTheme="majorHAnsi" w:hAnsiTheme="majorHAnsi"/>
          <w:sz w:val="18"/>
          <w:szCs w:val="18"/>
          <w:lang w:val="en-GB"/>
        </w:rPr>
        <w:t>Honor</w:t>
      </w:r>
      <w:proofErr w:type="spellEnd"/>
      <w:r w:rsidRPr="008C5978">
        <w:rPr>
          <w:rFonts w:asciiTheme="majorHAnsi" w:hAnsiTheme="majorHAnsi"/>
          <w:sz w:val="18"/>
          <w:szCs w:val="18"/>
          <w:lang w:val="en-GB"/>
        </w:rPr>
        <w:t>, we have one.</w:t>
      </w:r>
    </w:p>
    <w:p w14:paraId="39274780"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THE COURT: Just one, right now?</w:t>
      </w:r>
    </w:p>
    <w:p w14:paraId="32EEDE21"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MR. CERVANTES: That’s it. His name is Jose Maldonado.</w:t>
      </w:r>
    </w:p>
    <w:p w14:paraId="10CC6FA8"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w:t>
      </w:r>
    </w:p>
    <w:p w14:paraId="0DE44771"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Q [by Mr. Cervantes] When was the last time you saw […] Virgilio’s mother?</w:t>
      </w:r>
    </w:p>
    <w:p w14:paraId="09957180"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A It’s been many years. He was still not yet born when I separated from her.</w:t>
      </w:r>
    </w:p>
    <w:p w14:paraId="452FFEDC"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w:t>
      </w:r>
    </w:p>
    <w:p w14:paraId="5D512313"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Q So when was the first time you saw Virgilio Maldonado?</w:t>
      </w:r>
    </w:p>
    <w:p w14:paraId="0CBB71FD"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A I don’t remember exactly the year. But when we saw each other he was 21 years old.</w:t>
      </w:r>
    </w:p>
    <w:p w14:paraId="0E10A179"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Q Was there a time that you saw him, at least for an hour or 30 minutes or 15 minutes, in Mexico as a child?</w:t>
      </w:r>
    </w:p>
    <w:p w14:paraId="2F0F5907" w14:textId="77777777" w:rsidR="007C22DF" w:rsidRPr="008C5978" w:rsidRDefault="007C22DF"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A Yes. I went one time. I went to go</w:t>
      </w:r>
      <w:r w:rsidR="00FF0651" w:rsidRPr="008C5978">
        <w:rPr>
          <w:rFonts w:asciiTheme="majorHAnsi" w:hAnsiTheme="majorHAnsi"/>
          <w:sz w:val="18"/>
          <w:szCs w:val="18"/>
          <w:lang w:val="en-GB"/>
        </w:rPr>
        <w:t xml:space="preserve"> visit my parents in the town […] and he happened to be in there. And his mom told him to come by, to come see me.</w:t>
      </w:r>
    </w:p>
    <w:p w14:paraId="7AD7329D" w14:textId="77777777" w:rsidR="00FF0651" w:rsidRPr="008C5978" w:rsidRDefault="00FF0651"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Q And was that the first time you had seen Virgilio?</w:t>
      </w:r>
    </w:p>
    <w:p w14:paraId="2CBD9F68" w14:textId="77777777" w:rsidR="00FF0651" w:rsidRPr="008C5978" w:rsidRDefault="00FF0651"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A Yes.</w:t>
      </w:r>
    </w:p>
    <w:p w14:paraId="019921B1" w14:textId="77777777" w:rsidR="00FF0651" w:rsidRPr="008C5978" w:rsidRDefault="00FF0651"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w:t>
      </w:r>
    </w:p>
    <w:p w14:paraId="6AAE2CA9" w14:textId="77777777" w:rsidR="00FF0651" w:rsidRPr="008C5978" w:rsidRDefault="00FF0651"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Q So between the age of the time he was born until the age of 21 you saw your son for maybe 30 minutes to an hour?</w:t>
      </w:r>
    </w:p>
    <w:p w14:paraId="36F4336D" w14:textId="77777777" w:rsidR="009B71D5" w:rsidRPr="008C5978" w:rsidRDefault="009B71D5"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A You could say it was even less than that. Maybe half an hour he came to see me and then he ran back to his mother.</w:t>
      </w:r>
    </w:p>
    <w:p w14:paraId="5165AE58" w14:textId="77777777" w:rsidR="009B71D5" w:rsidRPr="008C5978" w:rsidRDefault="009B71D5"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Q And I believe you said at the time he </w:t>
      </w:r>
      <w:proofErr w:type="gramStart"/>
      <w:r w:rsidRPr="008C5978">
        <w:rPr>
          <w:rFonts w:asciiTheme="majorHAnsi" w:hAnsiTheme="majorHAnsi"/>
          <w:sz w:val="18"/>
          <w:szCs w:val="18"/>
          <w:lang w:val="en-GB"/>
        </w:rPr>
        <w:t>was</w:t>
      </w:r>
      <w:proofErr w:type="gramEnd"/>
      <w:r w:rsidRPr="008C5978">
        <w:rPr>
          <w:rFonts w:asciiTheme="majorHAnsi" w:hAnsiTheme="majorHAnsi"/>
          <w:sz w:val="18"/>
          <w:szCs w:val="18"/>
          <w:lang w:val="en-GB"/>
        </w:rPr>
        <w:t xml:space="preserve"> how old?</w:t>
      </w:r>
    </w:p>
    <w:p w14:paraId="44DE4654" w14:textId="77777777" w:rsidR="009B71D5" w:rsidRPr="008C5978" w:rsidRDefault="009B71D5" w:rsidP="009B71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A About two years old.</w:t>
      </w:r>
    </w:p>
    <w:p w14:paraId="1E3CCE9F" w14:textId="77777777" w:rsidR="00883E89" w:rsidRPr="008C5978" w:rsidRDefault="00883E89" w:rsidP="00883E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n-GB"/>
        </w:rPr>
      </w:pPr>
    </w:p>
    <w:p w14:paraId="1DCF75E4" w14:textId="77777777" w:rsidR="007B04BF" w:rsidRPr="008C5978" w:rsidRDefault="007B04BF"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At his closing argument at the punishment phase, trial counsel said:</w:t>
      </w:r>
      <w:r w:rsidRPr="008C5978">
        <w:rPr>
          <w:rStyle w:val="FootnoteReference"/>
          <w:rFonts w:asciiTheme="majorHAnsi" w:hAnsiTheme="majorHAnsi"/>
          <w:sz w:val="20"/>
          <w:szCs w:val="20"/>
          <w:lang w:val="en-GB"/>
        </w:rPr>
        <w:footnoteReference w:id="8"/>
      </w:r>
    </w:p>
    <w:p w14:paraId="3AEA7449" w14:textId="77777777" w:rsidR="007B04BF" w:rsidRPr="008C5978" w:rsidRDefault="007B04BF" w:rsidP="007B04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4F7BE0CC" w14:textId="77777777" w:rsidR="007B04BF" w:rsidRPr="008C5978" w:rsidRDefault="00B478C4" w:rsidP="007B04B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8C5978">
        <w:rPr>
          <w:rFonts w:ascii="Cambria" w:hAnsi="Cambria"/>
          <w:sz w:val="18"/>
          <w:szCs w:val="18"/>
        </w:rPr>
        <w:t>[…]</w:t>
      </w:r>
      <w:r w:rsidR="007B04BF" w:rsidRPr="008C5978">
        <w:rPr>
          <w:rFonts w:ascii="Cambria" w:hAnsi="Cambria"/>
          <w:sz w:val="18"/>
          <w:szCs w:val="18"/>
        </w:rPr>
        <w:t xml:space="preserve"> Mr. Maldonado, he never had a life. Mother was a prostitute. Grew up on his own, however he could. Mom too</w:t>
      </w:r>
      <w:r w:rsidRPr="008C5978">
        <w:rPr>
          <w:rFonts w:ascii="Cambria" w:hAnsi="Cambria"/>
          <w:sz w:val="18"/>
          <w:szCs w:val="18"/>
        </w:rPr>
        <w:t>k</w:t>
      </w:r>
      <w:r w:rsidR="007B04BF" w:rsidRPr="008C5978">
        <w:rPr>
          <w:rFonts w:ascii="Cambria" w:hAnsi="Cambria"/>
          <w:sz w:val="18"/>
          <w:szCs w:val="18"/>
        </w:rPr>
        <w:t xml:space="preserve"> him to bars, gave him beers, get him drunk so he stays at the dance. That’s something to take into account.</w:t>
      </w:r>
    </w:p>
    <w:p w14:paraId="5E6BC880" w14:textId="77777777" w:rsidR="007B04BF" w:rsidRPr="008C5978" w:rsidRDefault="007B04BF" w:rsidP="007B04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hAnsi="Univers"/>
          <w:sz w:val="20"/>
          <w:szCs w:val="20"/>
          <w:lang w:val="en-GB"/>
        </w:rPr>
      </w:pPr>
    </w:p>
    <w:p w14:paraId="67F7C0E5" w14:textId="77777777" w:rsidR="00147723" w:rsidRPr="008C5978" w:rsidRDefault="00FE769E"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On June 30, 1999, t</w:t>
      </w:r>
      <w:r w:rsidR="0086628D" w:rsidRPr="008C5978">
        <w:rPr>
          <w:rFonts w:ascii="Cambria" w:hAnsi="Cambria"/>
          <w:sz w:val="20"/>
          <w:szCs w:val="20"/>
        </w:rPr>
        <w:t xml:space="preserve">he Texas Court of Criminal Appeals denied Mr. Maldonado’s </w:t>
      </w:r>
      <w:r w:rsidRPr="008C5978">
        <w:rPr>
          <w:rFonts w:ascii="Cambria" w:hAnsi="Cambria"/>
          <w:sz w:val="20"/>
          <w:szCs w:val="20"/>
        </w:rPr>
        <w:t>direct</w:t>
      </w:r>
      <w:r w:rsidR="00F21703" w:rsidRPr="008C5978">
        <w:rPr>
          <w:rFonts w:ascii="Cambria" w:hAnsi="Cambria"/>
          <w:sz w:val="20"/>
          <w:szCs w:val="20"/>
        </w:rPr>
        <w:t xml:space="preserve"> appeal</w:t>
      </w:r>
      <w:r w:rsidR="005D5C54" w:rsidRPr="008C5978">
        <w:rPr>
          <w:rFonts w:ascii="Cambria" w:hAnsi="Cambria"/>
          <w:sz w:val="20"/>
          <w:szCs w:val="20"/>
        </w:rPr>
        <w:t xml:space="preserve"> and rehearing was denied on September 15, 1999</w:t>
      </w:r>
      <w:r w:rsidR="0086628D" w:rsidRPr="008C5978">
        <w:rPr>
          <w:rFonts w:ascii="Cambria" w:hAnsi="Cambria"/>
          <w:sz w:val="20"/>
          <w:szCs w:val="20"/>
        </w:rPr>
        <w:t>.</w:t>
      </w:r>
      <w:r w:rsidR="009E3A41" w:rsidRPr="008C5978">
        <w:rPr>
          <w:rFonts w:ascii="Cambria" w:hAnsi="Cambria"/>
          <w:sz w:val="20"/>
          <w:szCs w:val="20"/>
        </w:rPr>
        <w:t xml:space="preserve"> </w:t>
      </w:r>
      <w:r w:rsidR="00147723" w:rsidRPr="008C5978">
        <w:rPr>
          <w:rFonts w:ascii="Cambria" w:hAnsi="Cambria"/>
          <w:sz w:val="20"/>
          <w:szCs w:val="20"/>
        </w:rPr>
        <w:t>In his direct appeal, Mr. Maldonado</w:t>
      </w:r>
      <w:r w:rsidR="00E64863" w:rsidRPr="008C5978">
        <w:rPr>
          <w:rFonts w:ascii="Cambria" w:hAnsi="Cambria"/>
          <w:sz w:val="20"/>
          <w:szCs w:val="20"/>
        </w:rPr>
        <w:t>’s counsel</w:t>
      </w:r>
      <w:r w:rsidR="00147723" w:rsidRPr="008C5978">
        <w:rPr>
          <w:rFonts w:ascii="Cambria" w:hAnsi="Cambria"/>
          <w:sz w:val="20"/>
          <w:szCs w:val="20"/>
        </w:rPr>
        <w:t xml:space="preserve"> </w:t>
      </w:r>
      <w:r w:rsidR="00E64863" w:rsidRPr="008C5978">
        <w:rPr>
          <w:rFonts w:ascii="Cambria" w:hAnsi="Cambria"/>
          <w:sz w:val="20"/>
          <w:szCs w:val="20"/>
        </w:rPr>
        <w:t xml:space="preserve">raised eleven points. </w:t>
      </w:r>
      <w:r w:rsidR="007E783F" w:rsidRPr="008C5978">
        <w:rPr>
          <w:rFonts w:ascii="Cambria" w:hAnsi="Cambria"/>
          <w:sz w:val="20"/>
          <w:szCs w:val="20"/>
        </w:rPr>
        <w:t xml:space="preserve">With regard to point five about the </w:t>
      </w:r>
      <w:r w:rsidR="00E53BD8" w:rsidRPr="008C5978">
        <w:rPr>
          <w:rFonts w:ascii="Cambria" w:hAnsi="Cambria"/>
          <w:sz w:val="20"/>
          <w:szCs w:val="20"/>
        </w:rPr>
        <w:t>lack of consular notification</w:t>
      </w:r>
      <w:r w:rsidR="007E783F" w:rsidRPr="008C5978">
        <w:rPr>
          <w:rFonts w:ascii="Cambria" w:hAnsi="Cambria"/>
          <w:sz w:val="20"/>
          <w:szCs w:val="20"/>
        </w:rPr>
        <w:t>, the Court established the following:</w:t>
      </w:r>
      <w:r w:rsidR="00597C8A" w:rsidRPr="008C5978">
        <w:rPr>
          <w:rStyle w:val="FootnoteReference"/>
          <w:rFonts w:asciiTheme="majorHAnsi" w:hAnsiTheme="majorHAnsi"/>
          <w:sz w:val="20"/>
          <w:szCs w:val="20"/>
          <w:lang w:val="en-GB"/>
        </w:rPr>
        <w:footnoteReference w:id="9"/>
      </w:r>
    </w:p>
    <w:p w14:paraId="26B00EB3" w14:textId="77777777" w:rsidR="00E64863" w:rsidRPr="008C5978" w:rsidRDefault="00E64863" w:rsidP="007E783F">
      <w:pPr>
        <w:pStyle w:val="ListParagraph"/>
        <w:ind w:right="720"/>
        <w:jc w:val="both"/>
        <w:rPr>
          <w:rFonts w:asciiTheme="majorHAnsi" w:hAnsiTheme="majorHAnsi"/>
          <w:color w:val="000000" w:themeColor="text1"/>
          <w:sz w:val="18"/>
          <w:szCs w:val="18"/>
          <w:lang w:val="en-GB"/>
        </w:rPr>
      </w:pPr>
    </w:p>
    <w:p w14:paraId="4B30A605" w14:textId="77777777" w:rsidR="00E64863" w:rsidRPr="008C5978" w:rsidRDefault="00E64863" w:rsidP="007E783F">
      <w:pPr>
        <w:pStyle w:val="NormalWeb"/>
        <w:shd w:val="clear" w:color="auto" w:fill="FFFFFF"/>
        <w:spacing w:before="0" w:beforeAutospacing="0" w:after="0" w:afterAutospacing="0"/>
        <w:ind w:left="720" w:right="720"/>
        <w:jc w:val="both"/>
        <w:textAlignment w:val="top"/>
        <w:rPr>
          <w:rFonts w:asciiTheme="majorHAnsi" w:hAnsiTheme="majorHAnsi" w:cs="Arial"/>
          <w:color w:val="000000" w:themeColor="text1"/>
          <w:sz w:val="18"/>
          <w:szCs w:val="18"/>
          <w:lang w:val="en"/>
        </w:rPr>
      </w:pPr>
      <w:r w:rsidRPr="008C5978">
        <w:rPr>
          <w:rFonts w:asciiTheme="majorHAnsi" w:hAnsiTheme="majorHAnsi" w:cs="Arial"/>
          <w:color w:val="000000" w:themeColor="text1"/>
          <w:sz w:val="18"/>
          <w:szCs w:val="18"/>
          <w:lang w:val="en"/>
        </w:rPr>
        <w:t xml:space="preserve">In point of error five, appellant again contends the trial court failed to give a jury instruction in violation of Article 38.23(a). He argues he was entitled to an instruction ordering the jury to ignore appellant's audio-taped in-custody statement and the transcription of the tape if it found appellant had not been advised of his right to contact the Mexican Consulate before making a statement to the police. Appellant cites Article 36 of the Vienna Convention on Consular Relations. </w:t>
      </w:r>
      <w:r w:rsidR="00131042" w:rsidRPr="008C5978">
        <w:rPr>
          <w:rFonts w:asciiTheme="majorHAnsi" w:hAnsiTheme="majorHAnsi" w:cs="Arial"/>
          <w:color w:val="000000" w:themeColor="text1"/>
          <w:sz w:val="18"/>
          <w:szCs w:val="18"/>
          <w:lang w:val="en"/>
        </w:rPr>
        <w:t>[…]</w:t>
      </w:r>
      <w:r w:rsidRPr="008C5978">
        <w:rPr>
          <w:rFonts w:asciiTheme="majorHAnsi" w:hAnsiTheme="majorHAnsi" w:cs="Arial"/>
          <w:color w:val="000000" w:themeColor="text1"/>
          <w:sz w:val="18"/>
          <w:szCs w:val="18"/>
          <w:lang w:val="en"/>
        </w:rPr>
        <w:t xml:space="preserve"> Appellant asserts he is a Mexican </w:t>
      </w:r>
      <w:r w:rsidRPr="008C5978">
        <w:rPr>
          <w:rFonts w:asciiTheme="majorHAnsi" w:hAnsiTheme="majorHAnsi" w:cs="Arial"/>
          <w:color w:val="000000" w:themeColor="text1"/>
          <w:sz w:val="18"/>
          <w:szCs w:val="18"/>
          <w:lang w:val="en"/>
        </w:rPr>
        <w:lastRenderedPageBreak/>
        <w:t>citizen and emphasizes that Officer Escalante admitted he never mentioned the Mexican Consulate to him.</w:t>
      </w:r>
    </w:p>
    <w:p w14:paraId="245DE21D" w14:textId="77777777" w:rsidR="00E64863" w:rsidRPr="008C5978" w:rsidRDefault="00E64863" w:rsidP="00597C8A">
      <w:pPr>
        <w:pStyle w:val="NormalWeb"/>
        <w:shd w:val="clear" w:color="auto" w:fill="FFFFFF"/>
        <w:spacing w:before="0" w:beforeAutospacing="0" w:after="0" w:afterAutospacing="0"/>
        <w:ind w:left="720" w:right="720"/>
        <w:jc w:val="both"/>
        <w:textAlignment w:val="top"/>
        <w:rPr>
          <w:rFonts w:asciiTheme="majorHAnsi" w:hAnsiTheme="majorHAnsi" w:cs="Arial"/>
          <w:color w:val="000000" w:themeColor="text1"/>
          <w:sz w:val="18"/>
          <w:szCs w:val="18"/>
          <w:lang w:val="en"/>
        </w:rPr>
      </w:pPr>
      <w:r w:rsidRPr="008C5978">
        <w:rPr>
          <w:rFonts w:asciiTheme="majorHAnsi" w:hAnsiTheme="majorHAnsi" w:cs="Arial"/>
          <w:color w:val="000000" w:themeColor="text1"/>
          <w:sz w:val="18"/>
          <w:szCs w:val="18"/>
          <w:lang w:val="en"/>
        </w:rPr>
        <w:t xml:space="preserve">The Vienna Convention on Consular Relations grants a foreign national who has been arrested, imprisoned or taken into custody a right to contact his consulate and requires the arresting government authorities to inform the individual of this right "without delay." </w:t>
      </w:r>
      <w:r w:rsidR="00597C8A" w:rsidRPr="008C5978">
        <w:rPr>
          <w:rFonts w:asciiTheme="majorHAnsi" w:hAnsiTheme="majorHAnsi" w:cs="Arial"/>
          <w:color w:val="000000" w:themeColor="text1"/>
          <w:sz w:val="18"/>
          <w:szCs w:val="18"/>
          <w:lang w:val="en"/>
        </w:rPr>
        <w:t>[…]</w:t>
      </w:r>
      <w:r w:rsidRPr="008C5978">
        <w:rPr>
          <w:rFonts w:asciiTheme="majorHAnsi" w:hAnsiTheme="majorHAnsi" w:cs="Arial"/>
          <w:color w:val="000000" w:themeColor="text1"/>
          <w:sz w:val="18"/>
          <w:szCs w:val="18"/>
          <w:lang w:val="en"/>
        </w:rPr>
        <w:t xml:space="preserve"> Article 38.23(a) provides that evidence obtained in violation of a federal or state law or constitutional provision shall not be admitted against the accused and mandates that the jury be instructed to disregard evidence obtained in violation of the law if the issue is raised by the evidence. Under the Supremacy Clause of the United States Constitution, states must adhere to United States treaties and give them the same force and effect as any other federal law. </w:t>
      </w:r>
      <w:r w:rsidR="00597C8A" w:rsidRPr="008C5978">
        <w:rPr>
          <w:rFonts w:asciiTheme="majorHAnsi" w:hAnsiTheme="majorHAnsi" w:cs="Arial"/>
          <w:color w:val="000000" w:themeColor="text1"/>
          <w:sz w:val="18"/>
          <w:szCs w:val="18"/>
          <w:lang w:val="en"/>
        </w:rPr>
        <w:t>[…]</w:t>
      </w:r>
      <w:r w:rsidRPr="008C5978">
        <w:rPr>
          <w:rFonts w:asciiTheme="majorHAnsi" w:hAnsiTheme="majorHAnsi" w:cs="Arial"/>
          <w:color w:val="000000" w:themeColor="text1"/>
          <w:sz w:val="18"/>
          <w:szCs w:val="18"/>
          <w:lang w:val="en"/>
        </w:rPr>
        <w:t xml:space="preserve"> Thus, a violation of this treaty would arguably fall under the language in Article 38.23(a) if the issue is raised by the evidence. </w:t>
      </w:r>
      <w:r w:rsidR="00597C8A" w:rsidRPr="008C5978">
        <w:rPr>
          <w:rFonts w:asciiTheme="majorHAnsi" w:hAnsiTheme="majorHAnsi" w:cs="Arial"/>
          <w:iCs/>
          <w:color w:val="000000" w:themeColor="text1"/>
          <w:sz w:val="18"/>
          <w:szCs w:val="18"/>
          <w:lang w:val="en"/>
        </w:rPr>
        <w:t>[…]</w:t>
      </w:r>
    </w:p>
    <w:p w14:paraId="40B83346" w14:textId="77777777" w:rsidR="00E64863" w:rsidRPr="008C5978" w:rsidRDefault="00E64863" w:rsidP="00597C8A">
      <w:pPr>
        <w:pStyle w:val="NormalWeb"/>
        <w:shd w:val="clear" w:color="auto" w:fill="FFFFFF"/>
        <w:spacing w:before="0" w:beforeAutospacing="0" w:after="0" w:afterAutospacing="0"/>
        <w:ind w:left="720" w:right="720"/>
        <w:jc w:val="both"/>
        <w:textAlignment w:val="top"/>
        <w:rPr>
          <w:rFonts w:asciiTheme="majorHAnsi" w:hAnsiTheme="majorHAnsi"/>
          <w:color w:val="000000" w:themeColor="text1"/>
          <w:sz w:val="18"/>
          <w:szCs w:val="18"/>
          <w:lang w:val="en-GB"/>
        </w:rPr>
      </w:pPr>
      <w:r w:rsidRPr="008C5978">
        <w:rPr>
          <w:rFonts w:asciiTheme="majorHAnsi" w:hAnsiTheme="majorHAnsi" w:cs="Arial"/>
          <w:color w:val="000000" w:themeColor="text1"/>
          <w:sz w:val="18"/>
          <w:szCs w:val="18"/>
          <w:lang w:val="en"/>
        </w:rPr>
        <w:t xml:space="preserve">Only if appellant is a foreign national did authorities have an obligation to notify him of his right to consular access. Testimony at trial showed that appellant lived in Mexico when he was a child and that is where he knew the victim's son, Augustin Saucedo. This evidence does not preclude the possibility that appellant became a United States citizen after coming to this country. Other evidence showed appellant had lived in the United States for many years, spoke some English, had a Texas driver's license, and had purchased a car in the United States. No one testified that applicant was not a United States citizen. In sum, trial evidence did not show appellant was a Mexican citizen. Therefore, appellant was not entitled to an instruction under Article 38.23. </w:t>
      </w:r>
      <w:r w:rsidRPr="008C5978">
        <w:rPr>
          <w:rFonts w:asciiTheme="majorHAnsi" w:hAnsiTheme="majorHAnsi" w:cs="Arial"/>
          <w:i/>
          <w:iCs/>
          <w:color w:val="000000" w:themeColor="text1"/>
          <w:sz w:val="18"/>
          <w:szCs w:val="18"/>
          <w:lang w:val="en"/>
        </w:rPr>
        <w:t>See id.</w:t>
      </w:r>
      <w:r w:rsidRPr="008C5978">
        <w:rPr>
          <w:rFonts w:asciiTheme="majorHAnsi" w:hAnsiTheme="majorHAnsi" w:cs="Arial"/>
          <w:color w:val="000000" w:themeColor="text1"/>
          <w:sz w:val="18"/>
          <w:szCs w:val="18"/>
          <w:lang w:val="en"/>
        </w:rPr>
        <w:t xml:space="preserve"> Appellant's fifth point of error is overruled.</w:t>
      </w:r>
    </w:p>
    <w:p w14:paraId="7593DBDE" w14:textId="77777777" w:rsidR="00B45ECD" w:rsidRPr="008C5978" w:rsidRDefault="00B45ECD" w:rsidP="00B45ECD">
      <w:pPr>
        <w:pStyle w:val="Heading2"/>
        <w:spacing w:before="0"/>
        <w:ind w:left="720"/>
        <w:rPr>
          <w:color w:val="auto"/>
          <w:sz w:val="20"/>
          <w:szCs w:val="20"/>
        </w:rPr>
      </w:pPr>
    </w:p>
    <w:p w14:paraId="4466D2E0" w14:textId="77777777" w:rsidR="00B45ECD" w:rsidRPr="008C5978" w:rsidRDefault="00FA310E" w:rsidP="00B45ECD">
      <w:pPr>
        <w:pStyle w:val="Heading2"/>
        <w:numPr>
          <w:ilvl w:val="0"/>
          <w:numId w:val="59"/>
        </w:numPr>
        <w:spacing w:before="0"/>
        <w:ind w:hanging="720"/>
        <w:rPr>
          <w:color w:val="auto"/>
          <w:sz w:val="20"/>
          <w:szCs w:val="20"/>
        </w:rPr>
      </w:pPr>
      <w:bookmarkStart w:id="6" w:name="_Toc89506716"/>
      <w:r w:rsidRPr="008C5978">
        <w:rPr>
          <w:color w:val="auto"/>
          <w:sz w:val="20"/>
          <w:szCs w:val="20"/>
        </w:rPr>
        <w:t>State and federal p</w:t>
      </w:r>
      <w:r w:rsidR="00620A65" w:rsidRPr="008C5978">
        <w:rPr>
          <w:color w:val="auto"/>
          <w:sz w:val="20"/>
          <w:szCs w:val="20"/>
        </w:rPr>
        <w:t>ost-conviction proceedings</w:t>
      </w:r>
      <w:bookmarkEnd w:id="6"/>
      <w:r w:rsidR="00B45ECD" w:rsidRPr="008C5978">
        <w:rPr>
          <w:color w:val="auto"/>
          <w:sz w:val="20"/>
          <w:szCs w:val="20"/>
        </w:rPr>
        <w:t xml:space="preserve"> </w:t>
      </w:r>
    </w:p>
    <w:p w14:paraId="37B4C5B3" w14:textId="77777777" w:rsidR="005D5C54" w:rsidRPr="008C5978" w:rsidRDefault="005D5C54" w:rsidP="007E78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olor w:val="000000" w:themeColor="text1"/>
          <w:sz w:val="18"/>
          <w:szCs w:val="18"/>
          <w:lang w:val="en-GB"/>
        </w:rPr>
      </w:pPr>
    </w:p>
    <w:p w14:paraId="2D113434" w14:textId="77777777" w:rsidR="005D5C54" w:rsidRPr="008C5978" w:rsidRDefault="005D5C54"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Mr. Maldonado file</w:t>
      </w:r>
      <w:r w:rsidR="00B540E8" w:rsidRPr="008C5978">
        <w:rPr>
          <w:rFonts w:ascii="Cambria" w:hAnsi="Cambria"/>
          <w:sz w:val="20"/>
          <w:szCs w:val="20"/>
        </w:rPr>
        <w:t>d</w:t>
      </w:r>
      <w:r w:rsidR="00FA310E" w:rsidRPr="008C5978">
        <w:rPr>
          <w:rFonts w:ascii="Cambria" w:hAnsi="Cambria"/>
          <w:sz w:val="20"/>
          <w:szCs w:val="20"/>
        </w:rPr>
        <w:t xml:space="preserve"> his initial writ </w:t>
      </w:r>
      <w:r w:rsidRPr="008C5978">
        <w:rPr>
          <w:rFonts w:ascii="Cambria" w:hAnsi="Cambria"/>
          <w:sz w:val="20"/>
          <w:szCs w:val="20"/>
        </w:rPr>
        <w:t>application in the trial court in February 1999, and the Texas Court of Criminal Appeals denied relief on March 6, 2002.</w:t>
      </w:r>
      <w:r w:rsidR="00147723" w:rsidRPr="008C5978">
        <w:rPr>
          <w:rStyle w:val="FootnoteReference"/>
          <w:rFonts w:asciiTheme="majorHAnsi" w:hAnsiTheme="majorHAnsi"/>
          <w:sz w:val="20"/>
          <w:szCs w:val="20"/>
          <w:lang w:val="en-GB"/>
        </w:rPr>
        <w:footnoteReference w:id="10"/>
      </w:r>
      <w:r w:rsidR="00DF1CDD" w:rsidRPr="008C5978">
        <w:rPr>
          <w:rFonts w:ascii="Cambria" w:hAnsi="Cambria"/>
          <w:sz w:val="20"/>
          <w:szCs w:val="20"/>
        </w:rPr>
        <w:t xml:space="preserve"> </w:t>
      </w:r>
      <w:r w:rsidR="00104C50" w:rsidRPr="008C5978">
        <w:rPr>
          <w:rFonts w:ascii="Cambria" w:hAnsi="Cambria"/>
          <w:sz w:val="20"/>
          <w:szCs w:val="20"/>
        </w:rPr>
        <w:t>On June 7, 2001, the court appointed counsel to represent Mr. Maldonado in his federal habeas proceedings.</w:t>
      </w:r>
      <w:r w:rsidR="00104C50" w:rsidRPr="008C5978">
        <w:rPr>
          <w:rStyle w:val="FootnoteReference"/>
          <w:rFonts w:asciiTheme="majorHAnsi" w:hAnsiTheme="majorHAnsi"/>
          <w:sz w:val="20"/>
          <w:szCs w:val="20"/>
          <w:lang w:val="en-GB"/>
        </w:rPr>
        <w:footnoteReference w:id="11"/>
      </w:r>
      <w:r w:rsidR="00104C50" w:rsidRPr="008C5978">
        <w:rPr>
          <w:rFonts w:ascii="Cambria" w:hAnsi="Cambria"/>
          <w:sz w:val="20"/>
          <w:szCs w:val="20"/>
        </w:rPr>
        <w:t xml:space="preserve"> On June 20, 2002, the United States Supreme Court in Atkins held that individuals with “mental retardation” are constitutionally ineligible for the death penalty under the Eight Amendment.</w:t>
      </w:r>
      <w:r w:rsidR="00104C50" w:rsidRPr="008C5978">
        <w:rPr>
          <w:rStyle w:val="FootnoteReference"/>
          <w:rFonts w:asciiTheme="majorHAnsi" w:hAnsiTheme="majorHAnsi"/>
          <w:sz w:val="20"/>
          <w:szCs w:val="20"/>
          <w:lang w:val="en-GB"/>
        </w:rPr>
        <w:footnoteReference w:id="12"/>
      </w:r>
      <w:r w:rsidR="00104C50" w:rsidRPr="008C5978">
        <w:rPr>
          <w:rStyle w:val="FootnoteReference"/>
          <w:rFonts w:asciiTheme="majorHAnsi" w:hAnsiTheme="majorHAnsi"/>
          <w:lang w:val="en-GB"/>
        </w:rPr>
        <w:t xml:space="preserve"> </w:t>
      </w:r>
      <w:r w:rsidR="00032BDA" w:rsidRPr="008C5978">
        <w:rPr>
          <w:rFonts w:ascii="Cambria" w:hAnsi="Cambria"/>
          <w:sz w:val="20"/>
          <w:szCs w:val="20"/>
        </w:rPr>
        <w:t>Therefore, Mr. Maldonado’s counsel raised an unexhausted “Atkins claim” in his federal petition, and then returned to the state courts to exhaust that claim, filing a second petition for a writ of habeas corpus on June 17, 2003.</w:t>
      </w:r>
      <w:r w:rsidR="00032BDA" w:rsidRPr="008C5978">
        <w:rPr>
          <w:rStyle w:val="FootnoteReference"/>
          <w:rFonts w:asciiTheme="majorHAnsi" w:hAnsiTheme="majorHAnsi"/>
          <w:sz w:val="20"/>
          <w:szCs w:val="20"/>
          <w:lang w:val="en-GB"/>
        </w:rPr>
        <w:footnoteReference w:id="13"/>
      </w:r>
      <w:r w:rsidR="00DF1CDD" w:rsidRPr="008C5978">
        <w:rPr>
          <w:rFonts w:ascii="Cambria" w:hAnsi="Cambria"/>
          <w:sz w:val="20"/>
          <w:szCs w:val="20"/>
        </w:rPr>
        <w:t xml:space="preserve"> The Texas Court of Criminal Appeals remanded the claim to the trial court for consideration</w:t>
      </w:r>
      <w:r w:rsidR="00455165" w:rsidRPr="008C5978">
        <w:rPr>
          <w:rFonts w:ascii="Cambria" w:hAnsi="Cambria"/>
          <w:sz w:val="20"/>
          <w:szCs w:val="20"/>
        </w:rPr>
        <w:t xml:space="preserve"> on July 2, 2003</w:t>
      </w:r>
      <w:r w:rsidR="00DF1CDD" w:rsidRPr="008C5978">
        <w:rPr>
          <w:rFonts w:ascii="Cambria" w:hAnsi="Cambria"/>
          <w:sz w:val="20"/>
          <w:szCs w:val="20"/>
        </w:rPr>
        <w:t>.</w:t>
      </w:r>
      <w:r w:rsidR="00DF1CDD" w:rsidRPr="008C5978">
        <w:rPr>
          <w:rStyle w:val="FootnoteReference"/>
          <w:rFonts w:asciiTheme="majorHAnsi" w:hAnsiTheme="majorHAnsi"/>
          <w:sz w:val="20"/>
          <w:szCs w:val="20"/>
          <w:lang w:val="en-GB"/>
        </w:rPr>
        <w:footnoteReference w:id="14"/>
      </w:r>
      <w:r w:rsidR="00E461F9" w:rsidRPr="008C5978">
        <w:rPr>
          <w:rFonts w:ascii="Cambria" w:hAnsi="Cambria"/>
          <w:sz w:val="20"/>
          <w:szCs w:val="20"/>
        </w:rPr>
        <w:t xml:space="preserve"> </w:t>
      </w:r>
      <w:r w:rsidR="002A036F" w:rsidRPr="008C5978">
        <w:rPr>
          <w:rFonts w:ascii="Cambria" w:hAnsi="Cambria"/>
          <w:sz w:val="20"/>
          <w:szCs w:val="20"/>
        </w:rPr>
        <w:t xml:space="preserve">Following an evidentiary hearing </w:t>
      </w:r>
      <w:r w:rsidR="00455165" w:rsidRPr="008C5978">
        <w:rPr>
          <w:rFonts w:ascii="Cambria" w:hAnsi="Cambria"/>
          <w:sz w:val="20"/>
          <w:szCs w:val="20"/>
        </w:rPr>
        <w:t xml:space="preserve">conducted in 2006, </w:t>
      </w:r>
      <w:r w:rsidR="002A036F" w:rsidRPr="008C5978">
        <w:rPr>
          <w:rFonts w:ascii="Cambria" w:hAnsi="Cambria"/>
          <w:sz w:val="20"/>
          <w:szCs w:val="20"/>
        </w:rPr>
        <w:t xml:space="preserve">the trial court concluded that Mr. Maldonado’s Eighth Amendment claims should be denied. </w:t>
      </w:r>
      <w:r w:rsidR="00E461F9" w:rsidRPr="008C5978">
        <w:rPr>
          <w:rFonts w:ascii="Cambria" w:hAnsi="Cambria"/>
          <w:sz w:val="20"/>
          <w:szCs w:val="20"/>
        </w:rPr>
        <w:t>The record was subsequently sent to the Texas Court of Criminal Appeals, and relief was denied on September 12, 2007.</w:t>
      </w:r>
      <w:r w:rsidR="00E461F9" w:rsidRPr="008C5978">
        <w:rPr>
          <w:rStyle w:val="FootnoteReference"/>
          <w:rFonts w:asciiTheme="majorHAnsi" w:hAnsiTheme="majorHAnsi"/>
          <w:sz w:val="20"/>
          <w:szCs w:val="20"/>
          <w:lang w:val="en-GB"/>
        </w:rPr>
        <w:footnoteReference w:id="15"/>
      </w:r>
    </w:p>
    <w:p w14:paraId="080C7002" w14:textId="77777777" w:rsidR="002A036F" w:rsidRPr="008C5978" w:rsidRDefault="002A036F" w:rsidP="002A03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hAnsi="Univers"/>
          <w:sz w:val="20"/>
          <w:szCs w:val="20"/>
          <w:lang w:val="en-GB"/>
        </w:rPr>
      </w:pPr>
    </w:p>
    <w:p w14:paraId="6031AA48" w14:textId="77777777" w:rsidR="002A036F" w:rsidRPr="00376462" w:rsidRDefault="00C25808"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According to the allegations of the parties, o</w:t>
      </w:r>
      <w:r w:rsidR="002A036F" w:rsidRPr="008C5978">
        <w:rPr>
          <w:rFonts w:ascii="Cambria" w:hAnsi="Cambria"/>
          <w:sz w:val="20"/>
          <w:szCs w:val="20"/>
        </w:rPr>
        <w:t xml:space="preserve">n March 26, 2005, Mr. Maldonado filed a third petition for a writ of habeas corpus, asserting that his rights under Article 36 of the Vienna Convention on Consular Relations had been violated. The Texas Court of Criminal Appeals dismissed the </w:t>
      </w:r>
      <w:r w:rsidR="00E711AB" w:rsidRPr="008C5978">
        <w:rPr>
          <w:rFonts w:ascii="Cambria" w:hAnsi="Cambria"/>
          <w:sz w:val="20"/>
          <w:szCs w:val="20"/>
        </w:rPr>
        <w:t>claim on September 12, 2007. A p</w:t>
      </w:r>
      <w:r w:rsidR="002A036F" w:rsidRPr="008C5978">
        <w:rPr>
          <w:rFonts w:ascii="Cambria" w:hAnsi="Cambria"/>
          <w:sz w:val="20"/>
          <w:szCs w:val="20"/>
        </w:rPr>
        <w:t xml:space="preserve">etition asserting violations of the Fifth, Sixth, and Eighth Amendments and the Vienna Convention was also denied on September 24, 2009. On August 10, 2010, the Fifth Circuit held that Mr. Maldonado was entitled to a </w:t>
      </w:r>
      <w:r w:rsidR="00E711AB" w:rsidRPr="008C5978">
        <w:rPr>
          <w:rFonts w:ascii="Cambria" w:hAnsi="Cambria"/>
          <w:sz w:val="20"/>
          <w:szCs w:val="20"/>
        </w:rPr>
        <w:t xml:space="preserve">certificate </w:t>
      </w:r>
      <w:r w:rsidR="00E711AB" w:rsidRPr="00376462">
        <w:rPr>
          <w:rFonts w:ascii="Cambria" w:hAnsi="Cambria"/>
          <w:sz w:val="20"/>
          <w:szCs w:val="20"/>
        </w:rPr>
        <w:t>of a</w:t>
      </w:r>
      <w:r w:rsidR="002A036F" w:rsidRPr="00376462">
        <w:rPr>
          <w:rFonts w:ascii="Cambria" w:hAnsi="Cambria"/>
          <w:sz w:val="20"/>
          <w:szCs w:val="20"/>
        </w:rPr>
        <w:t xml:space="preserve">ppealability on the issue of whether he was </w:t>
      </w:r>
      <w:r w:rsidR="00E711AB" w:rsidRPr="00376462">
        <w:rPr>
          <w:rFonts w:ascii="Cambria" w:hAnsi="Cambria"/>
          <w:sz w:val="20"/>
          <w:szCs w:val="20"/>
        </w:rPr>
        <w:t>“</w:t>
      </w:r>
      <w:r w:rsidR="002A036F" w:rsidRPr="00376462">
        <w:rPr>
          <w:rFonts w:ascii="Cambria" w:hAnsi="Cambria"/>
          <w:sz w:val="20"/>
          <w:szCs w:val="20"/>
        </w:rPr>
        <w:t>mentally retarded</w:t>
      </w:r>
      <w:r w:rsidR="00E711AB" w:rsidRPr="00376462">
        <w:rPr>
          <w:rFonts w:ascii="Cambria" w:hAnsi="Cambria"/>
          <w:sz w:val="20"/>
          <w:szCs w:val="20"/>
        </w:rPr>
        <w:t>”</w:t>
      </w:r>
      <w:r w:rsidR="002A036F" w:rsidRPr="00376462">
        <w:rPr>
          <w:rFonts w:ascii="Cambria" w:hAnsi="Cambria"/>
          <w:sz w:val="20"/>
          <w:szCs w:val="20"/>
        </w:rPr>
        <w:t xml:space="preserve"> and thus ineligible for execution. The habeas relief was denied as well as a rehearing. Mr. Maldonado’s petition for a writ of certiorari was denied by the United States Supreme Court on October 3, 2011.  </w:t>
      </w:r>
    </w:p>
    <w:p w14:paraId="6A9C5809" w14:textId="77777777" w:rsidR="004606C0" w:rsidRPr="00376462" w:rsidRDefault="004606C0" w:rsidP="004606C0">
      <w:pPr>
        <w:pStyle w:val="ListParagraph"/>
        <w:rPr>
          <w:sz w:val="20"/>
          <w:szCs w:val="20"/>
        </w:rPr>
      </w:pPr>
    </w:p>
    <w:p w14:paraId="5365272A" w14:textId="2A1DFA9A" w:rsidR="004606C0" w:rsidRPr="00376462" w:rsidRDefault="00D671D3"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376462">
        <w:rPr>
          <w:rFonts w:ascii="Cambria" w:hAnsi="Cambria"/>
          <w:sz w:val="20"/>
          <w:szCs w:val="20"/>
        </w:rPr>
        <w:t xml:space="preserve">Based on </w:t>
      </w:r>
      <w:r w:rsidR="004606C0" w:rsidRPr="00376462">
        <w:rPr>
          <w:rFonts w:ascii="Cambria" w:hAnsi="Cambria"/>
          <w:sz w:val="20"/>
          <w:szCs w:val="20"/>
        </w:rPr>
        <w:t>available information, the IACHR understands that, while on Texas’ death row, Mr. Maldonado was detained at</w:t>
      </w:r>
      <w:r w:rsidR="00922B74" w:rsidRPr="00376462">
        <w:rPr>
          <w:rFonts w:ascii="Cambria" w:hAnsi="Cambria"/>
          <w:sz w:val="20"/>
          <w:szCs w:val="20"/>
        </w:rPr>
        <w:t xml:space="preserve"> </w:t>
      </w:r>
      <w:proofErr w:type="spellStart"/>
      <w:r w:rsidR="004606C0" w:rsidRPr="00376462">
        <w:rPr>
          <w:rFonts w:ascii="Cambria" w:hAnsi="Cambria"/>
          <w:sz w:val="20"/>
          <w:szCs w:val="20"/>
        </w:rPr>
        <w:t>Polunsky</w:t>
      </w:r>
      <w:proofErr w:type="spellEnd"/>
      <w:r w:rsidR="00922B74" w:rsidRPr="00376462">
        <w:rPr>
          <w:rFonts w:ascii="Cambria" w:hAnsi="Cambria"/>
          <w:sz w:val="20"/>
          <w:szCs w:val="20"/>
        </w:rPr>
        <w:t xml:space="preserve"> Unit. </w:t>
      </w:r>
      <w:r w:rsidR="004606C0" w:rsidRPr="00376462">
        <w:rPr>
          <w:rFonts w:ascii="Cambria" w:hAnsi="Cambria"/>
          <w:sz w:val="20"/>
          <w:szCs w:val="20"/>
        </w:rPr>
        <w:t xml:space="preserve"> </w:t>
      </w:r>
      <w:r w:rsidR="00922B74" w:rsidRPr="00376462">
        <w:rPr>
          <w:rFonts w:ascii="Cambria" w:hAnsi="Cambria"/>
          <w:sz w:val="20"/>
          <w:szCs w:val="20"/>
        </w:rPr>
        <w:t xml:space="preserve">According to a report published by the Human Rights Clinic of the University of Texas School of Law, detainees on death row </w:t>
      </w:r>
      <w:r w:rsidR="00E01798" w:rsidRPr="00376462">
        <w:rPr>
          <w:rFonts w:ascii="Cambria" w:hAnsi="Cambria"/>
          <w:sz w:val="20"/>
          <w:szCs w:val="20"/>
        </w:rPr>
        <w:t xml:space="preserve">at </w:t>
      </w:r>
      <w:proofErr w:type="spellStart"/>
      <w:r w:rsidR="00E01798" w:rsidRPr="00376462">
        <w:rPr>
          <w:rFonts w:ascii="Cambria" w:hAnsi="Cambria"/>
          <w:sz w:val="20"/>
          <w:szCs w:val="20"/>
        </w:rPr>
        <w:t>Polunsky</w:t>
      </w:r>
      <w:proofErr w:type="spellEnd"/>
      <w:r w:rsidR="00E01798" w:rsidRPr="00376462">
        <w:rPr>
          <w:rFonts w:ascii="Cambria" w:hAnsi="Cambria"/>
          <w:sz w:val="20"/>
          <w:szCs w:val="20"/>
        </w:rPr>
        <w:t xml:space="preserve"> Unit </w:t>
      </w:r>
      <w:r w:rsidR="00922B74" w:rsidRPr="00376462">
        <w:rPr>
          <w:rFonts w:ascii="Cambria" w:hAnsi="Cambria"/>
          <w:sz w:val="20"/>
          <w:szCs w:val="20"/>
        </w:rPr>
        <w:t xml:space="preserve">are subject to mandatory solitary confinement, which “involves total segregation of individuals who are confined to their cells for twenty-two to </w:t>
      </w:r>
      <w:r w:rsidR="00922B74" w:rsidRPr="00376462">
        <w:rPr>
          <w:rFonts w:ascii="Cambria" w:hAnsi="Cambria"/>
          <w:sz w:val="20"/>
          <w:szCs w:val="20"/>
        </w:rPr>
        <w:lastRenderedPageBreak/>
        <w:t>twenty-four hours per day,</w:t>
      </w:r>
      <w:r w:rsidR="00E01798" w:rsidRPr="00376462">
        <w:rPr>
          <w:rFonts w:ascii="Cambria" w:hAnsi="Cambria"/>
          <w:sz w:val="20"/>
          <w:szCs w:val="20"/>
        </w:rPr>
        <w:t xml:space="preserve"> </w:t>
      </w:r>
      <w:r w:rsidR="00922B74" w:rsidRPr="00376462">
        <w:rPr>
          <w:rFonts w:ascii="Cambria" w:hAnsi="Cambria"/>
          <w:sz w:val="20"/>
          <w:szCs w:val="20"/>
        </w:rPr>
        <w:t>with a complete prohibition on recreating or eating with other inmates.”</w:t>
      </w:r>
      <w:r w:rsidR="00922B74" w:rsidRPr="00376462">
        <w:rPr>
          <w:rStyle w:val="FootnoteReference"/>
          <w:rFonts w:ascii="Cambria" w:hAnsi="Cambria"/>
          <w:sz w:val="20"/>
          <w:szCs w:val="20"/>
        </w:rPr>
        <w:footnoteReference w:id="16"/>
      </w:r>
      <w:r w:rsidRPr="00376462">
        <w:rPr>
          <w:rFonts w:ascii="Cambria" w:hAnsi="Cambria"/>
          <w:sz w:val="20"/>
          <w:szCs w:val="20"/>
        </w:rPr>
        <w:t xml:space="preserve"> </w:t>
      </w:r>
      <w:r w:rsidR="00520369" w:rsidRPr="00376462">
        <w:rPr>
          <w:rFonts w:ascii="Cambria" w:hAnsi="Cambria"/>
          <w:sz w:val="20"/>
          <w:szCs w:val="20"/>
        </w:rPr>
        <w:t xml:space="preserve">The report also </w:t>
      </w:r>
      <w:r w:rsidR="00D31472" w:rsidRPr="00376462">
        <w:rPr>
          <w:rFonts w:ascii="Cambria" w:hAnsi="Cambria"/>
          <w:sz w:val="20"/>
          <w:szCs w:val="20"/>
        </w:rPr>
        <w:t>found that this prolonged solitary confinement “has overwhelmingly negative effects on inmates’ mental health, exacerbating existing mental health conditions and causing many prisoners to develop mental illness for the first time.”</w:t>
      </w:r>
      <w:r w:rsidR="00D31472" w:rsidRPr="00376462">
        <w:rPr>
          <w:rStyle w:val="FootnoteReference"/>
          <w:rFonts w:ascii="Cambria" w:hAnsi="Cambria"/>
          <w:sz w:val="20"/>
          <w:szCs w:val="20"/>
        </w:rPr>
        <w:footnoteReference w:id="17"/>
      </w:r>
    </w:p>
    <w:p w14:paraId="6C5E76C7" w14:textId="77777777" w:rsidR="00731DA0" w:rsidRPr="00922B74" w:rsidRDefault="00731DA0" w:rsidP="00731D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EFF9C56" w14:textId="77777777" w:rsidR="00731DA0" w:rsidRPr="008C5978" w:rsidRDefault="00255475" w:rsidP="002E18E3">
      <w:pPr>
        <w:pStyle w:val="Heading2"/>
        <w:numPr>
          <w:ilvl w:val="0"/>
          <w:numId w:val="59"/>
        </w:numPr>
        <w:spacing w:before="0"/>
        <w:ind w:hanging="720"/>
        <w:rPr>
          <w:color w:val="auto"/>
          <w:sz w:val="20"/>
          <w:szCs w:val="20"/>
        </w:rPr>
      </w:pPr>
      <w:bookmarkStart w:id="7" w:name="_Toc89506717"/>
      <w:r w:rsidRPr="008C5978">
        <w:rPr>
          <w:color w:val="auto"/>
          <w:sz w:val="20"/>
          <w:szCs w:val="20"/>
        </w:rPr>
        <w:t>Sentence of life imprisonment</w:t>
      </w:r>
      <w:bookmarkEnd w:id="7"/>
    </w:p>
    <w:p w14:paraId="2F1D8CC0" w14:textId="77777777" w:rsidR="00731DA0" w:rsidRPr="008C5978" w:rsidRDefault="00731DA0" w:rsidP="00731DA0">
      <w:pPr>
        <w:rPr>
          <w:rFonts w:asciiTheme="majorHAnsi" w:hAnsiTheme="majorHAnsi"/>
          <w:sz w:val="20"/>
          <w:szCs w:val="20"/>
          <w:lang w:val="en-GB"/>
        </w:rPr>
      </w:pPr>
    </w:p>
    <w:p w14:paraId="1BAD5ED2" w14:textId="77777777" w:rsidR="00F04AFE" w:rsidRPr="008C5978" w:rsidRDefault="00F04AFE"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In April 2011, Dr. George </w:t>
      </w:r>
      <w:proofErr w:type="spellStart"/>
      <w:r w:rsidRPr="008C5978">
        <w:rPr>
          <w:rFonts w:ascii="Cambria" w:hAnsi="Cambria"/>
          <w:sz w:val="20"/>
          <w:szCs w:val="20"/>
        </w:rPr>
        <w:t>Denkowski</w:t>
      </w:r>
      <w:proofErr w:type="spellEnd"/>
      <w:r w:rsidRPr="008C5978">
        <w:rPr>
          <w:rFonts w:ascii="Cambria" w:hAnsi="Cambria"/>
          <w:sz w:val="20"/>
          <w:szCs w:val="20"/>
        </w:rPr>
        <w:t xml:space="preserve">, who </w:t>
      </w:r>
      <w:r w:rsidR="00455165" w:rsidRPr="008C5978">
        <w:rPr>
          <w:rFonts w:ascii="Cambria" w:hAnsi="Cambria"/>
          <w:sz w:val="20"/>
          <w:szCs w:val="20"/>
        </w:rPr>
        <w:t>was the sole expert witness to testify at the 2006 hearing conducted by the trial court</w:t>
      </w:r>
      <w:r w:rsidRPr="008C5978">
        <w:rPr>
          <w:rFonts w:ascii="Cambria" w:hAnsi="Cambria"/>
          <w:sz w:val="20"/>
          <w:szCs w:val="20"/>
        </w:rPr>
        <w:t>, entered into a Settlement Agreement with the Texas State Board of Examiners of Psychologists, in which his license was reprimanded for his unethical conduct in Mr. Maldonado’s case, among others.</w:t>
      </w:r>
      <w:r w:rsidRPr="008C5978">
        <w:rPr>
          <w:rStyle w:val="FootnoteReference"/>
          <w:rFonts w:asciiTheme="majorHAnsi" w:hAnsiTheme="majorHAnsi"/>
          <w:sz w:val="20"/>
          <w:szCs w:val="20"/>
        </w:rPr>
        <w:footnoteReference w:id="18"/>
      </w:r>
      <w:r w:rsidRPr="008C5978">
        <w:rPr>
          <w:rStyle w:val="FootnoteReference"/>
          <w:rFonts w:asciiTheme="majorHAnsi" w:hAnsiTheme="majorHAnsi"/>
        </w:rPr>
        <w:t xml:space="preserve"> </w:t>
      </w:r>
      <w:r w:rsidRPr="008C5978">
        <w:rPr>
          <w:rFonts w:ascii="Cambria" w:hAnsi="Cambria"/>
          <w:sz w:val="20"/>
          <w:szCs w:val="20"/>
        </w:rPr>
        <w:t>Pursuant to this settlement, Mr. Maldonado’s counsel submitted a request that the Texas Court of Criminal Appeals reconsidered its previous denial of his “mental retardation claim.” In light of the settlement agreement, on April 25, 2012, the Court exercised its authority to reconsider the case on its own initiative and remanded it to the trial court to reconsider and re-evaluate its previous findings.</w:t>
      </w:r>
      <w:r w:rsidRPr="008C5978">
        <w:rPr>
          <w:rStyle w:val="FootnoteReference"/>
          <w:rFonts w:asciiTheme="majorHAnsi" w:hAnsiTheme="majorHAnsi"/>
          <w:sz w:val="20"/>
          <w:szCs w:val="20"/>
        </w:rPr>
        <w:footnoteReference w:id="19"/>
      </w:r>
      <w:r w:rsidRPr="008C5978">
        <w:rPr>
          <w:rStyle w:val="FootnoteReference"/>
          <w:rFonts w:asciiTheme="majorHAnsi" w:hAnsiTheme="majorHAnsi"/>
        </w:rPr>
        <w:t xml:space="preserve"> </w:t>
      </w:r>
    </w:p>
    <w:p w14:paraId="651B5330" w14:textId="77777777" w:rsidR="00F04AFE" w:rsidRPr="008C5978" w:rsidRDefault="00F04AFE" w:rsidP="00F04A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hAnsi="Univers"/>
          <w:sz w:val="20"/>
          <w:szCs w:val="20"/>
          <w:lang w:val="en-GB"/>
        </w:rPr>
      </w:pPr>
    </w:p>
    <w:p w14:paraId="64533B6A" w14:textId="77777777" w:rsidR="00362FE0" w:rsidRPr="008C5978" w:rsidRDefault="00362FE0"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 reconsideration hearing took place before the 338th District Court of Harris County, Texas, on October 25 and 26, 2012</w:t>
      </w:r>
      <w:r w:rsidR="00F51F0D" w:rsidRPr="008C5978">
        <w:rPr>
          <w:rFonts w:ascii="Cambria" w:hAnsi="Cambria"/>
          <w:sz w:val="20"/>
          <w:szCs w:val="20"/>
        </w:rPr>
        <w:t>. O</w:t>
      </w:r>
      <w:r w:rsidR="001917D9" w:rsidRPr="008C5978">
        <w:rPr>
          <w:rFonts w:ascii="Cambria" w:hAnsi="Cambria"/>
          <w:sz w:val="20"/>
          <w:szCs w:val="20"/>
        </w:rPr>
        <w:t xml:space="preserve">n December 13, 2012, the trial court found that Mr. Maldonado is “mentally retarded” and is therefore ineligible for </w:t>
      </w:r>
      <w:proofErr w:type="gramStart"/>
      <w:r w:rsidR="001917D9" w:rsidRPr="008C5978">
        <w:rPr>
          <w:rFonts w:ascii="Cambria" w:hAnsi="Cambria"/>
          <w:sz w:val="20"/>
          <w:szCs w:val="20"/>
        </w:rPr>
        <w:t>execution</w:t>
      </w:r>
      <w:r w:rsidR="005B28A7" w:rsidRPr="008C5978">
        <w:rPr>
          <w:rFonts w:ascii="Cambria" w:hAnsi="Cambria"/>
          <w:sz w:val="20"/>
          <w:szCs w:val="20"/>
        </w:rPr>
        <w:t>, and</w:t>
      </w:r>
      <w:proofErr w:type="gramEnd"/>
      <w:r w:rsidR="005B28A7" w:rsidRPr="008C5978">
        <w:rPr>
          <w:rFonts w:ascii="Cambria" w:hAnsi="Cambria"/>
          <w:sz w:val="20"/>
          <w:szCs w:val="20"/>
        </w:rPr>
        <w:t xml:space="preserve"> modified his death sentence to a sentence of life imprisonment</w:t>
      </w:r>
      <w:r w:rsidR="001917D9" w:rsidRPr="008C5978">
        <w:rPr>
          <w:rFonts w:ascii="Cambria" w:hAnsi="Cambria"/>
          <w:sz w:val="20"/>
          <w:szCs w:val="20"/>
        </w:rPr>
        <w:t>.</w:t>
      </w:r>
      <w:r w:rsidRPr="008C5978">
        <w:rPr>
          <w:rStyle w:val="FootnoteReference"/>
          <w:rFonts w:asciiTheme="majorHAnsi" w:hAnsiTheme="majorHAnsi"/>
          <w:sz w:val="20"/>
          <w:szCs w:val="20"/>
        </w:rPr>
        <w:footnoteReference w:id="20"/>
      </w:r>
      <w:r w:rsidR="001917D9" w:rsidRPr="008C5978">
        <w:rPr>
          <w:rStyle w:val="FootnoteReference"/>
          <w:rFonts w:asciiTheme="majorHAnsi" w:hAnsiTheme="majorHAnsi"/>
        </w:rPr>
        <w:t xml:space="preserve"> </w:t>
      </w:r>
    </w:p>
    <w:p w14:paraId="681B4FAF" w14:textId="77777777" w:rsidR="00853A23" w:rsidRPr="008C5978" w:rsidRDefault="00853A23" w:rsidP="00853A23">
      <w:pPr>
        <w:pStyle w:val="ListParagraph"/>
        <w:rPr>
          <w:rFonts w:asciiTheme="majorHAnsi" w:hAnsiTheme="majorHAnsi"/>
          <w:sz w:val="20"/>
          <w:szCs w:val="20"/>
          <w:lang w:val="en-GB"/>
        </w:rPr>
      </w:pPr>
    </w:p>
    <w:p w14:paraId="7ACCE847" w14:textId="77777777" w:rsidR="009021D6" w:rsidRPr="008C5978" w:rsidRDefault="009021D6" w:rsidP="009021D6">
      <w:pPr>
        <w:pStyle w:val="Heading2"/>
        <w:numPr>
          <w:ilvl w:val="0"/>
          <w:numId w:val="59"/>
        </w:numPr>
        <w:spacing w:before="0"/>
        <w:ind w:hanging="720"/>
        <w:rPr>
          <w:color w:val="auto"/>
          <w:sz w:val="20"/>
          <w:szCs w:val="20"/>
        </w:rPr>
      </w:pPr>
      <w:bookmarkStart w:id="8" w:name="_Toc89506718"/>
      <w:r w:rsidRPr="008C5978">
        <w:rPr>
          <w:color w:val="auto"/>
          <w:sz w:val="20"/>
          <w:szCs w:val="20"/>
        </w:rPr>
        <w:t>Investigations by post-conviction counsel</w:t>
      </w:r>
      <w:bookmarkEnd w:id="8"/>
    </w:p>
    <w:p w14:paraId="21F7E7BA" w14:textId="77777777" w:rsidR="009021D6" w:rsidRPr="008C5978" w:rsidRDefault="009021D6" w:rsidP="009021D6">
      <w:pPr>
        <w:pStyle w:val="Heading2"/>
        <w:spacing w:before="0"/>
        <w:ind w:left="720"/>
        <w:rPr>
          <w:color w:val="auto"/>
          <w:sz w:val="20"/>
          <w:szCs w:val="20"/>
        </w:rPr>
      </w:pPr>
    </w:p>
    <w:p w14:paraId="3E818ED5" w14:textId="77777777" w:rsidR="008E5615" w:rsidRPr="008C5978" w:rsidRDefault="008E5615"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According to post-conviction counsel</w:t>
      </w:r>
      <w:r w:rsidR="00711137" w:rsidRPr="008C5978">
        <w:rPr>
          <w:rFonts w:ascii="Cambria" w:hAnsi="Cambria"/>
          <w:sz w:val="20"/>
          <w:szCs w:val="20"/>
        </w:rPr>
        <w:t>’s investigations into Mr. Maldonado’s background</w:t>
      </w:r>
      <w:r w:rsidRPr="008C5978">
        <w:rPr>
          <w:rFonts w:ascii="Cambria" w:hAnsi="Cambria"/>
          <w:sz w:val="20"/>
          <w:szCs w:val="20"/>
        </w:rPr>
        <w:t>,</w:t>
      </w:r>
      <w:r w:rsidR="00711137" w:rsidRPr="008C5978">
        <w:rPr>
          <w:rFonts w:ascii="Cambria" w:hAnsi="Cambria"/>
          <w:sz w:val="20"/>
          <w:szCs w:val="20"/>
        </w:rPr>
        <w:t xml:space="preserve"> </w:t>
      </w:r>
      <w:r w:rsidR="00E767BD" w:rsidRPr="008C5978">
        <w:rPr>
          <w:rFonts w:ascii="Cambria" w:hAnsi="Cambria"/>
          <w:sz w:val="20"/>
          <w:szCs w:val="20"/>
        </w:rPr>
        <w:t>“[t]here is a great possibility that he suffers from Fetal Alcohol Syndrome (FAS), […] one of the leading known causes of mental retardation and birth defects.”</w:t>
      </w:r>
      <w:r w:rsidR="00E767BD" w:rsidRPr="008C5978">
        <w:rPr>
          <w:rStyle w:val="FootnoteReference"/>
          <w:rFonts w:asciiTheme="majorHAnsi" w:hAnsiTheme="majorHAnsi"/>
          <w:sz w:val="20"/>
          <w:szCs w:val="20"/>
        </w:rPr>
        <w:footnoteReference w:id="21"/>
      </w:r>
      <w:r w:rsidR="00E767BD" w:rsidRPr="008C5978">
        <w:rPr>
          <w:rFonts w:ascii="Cambria" w:hAnsi="Cambria"/>
          <w:sz w:val="20"/>
          <w:szCs w:val="20"/>
        </w:rPr>
        <w:t xml:space="preserve"> </w:t>
      </w:r>
      <w:r w:rsidR="00D002FC" w:rsidRPr="008C5978">
        <w:rPr>
          <w:rFonts w:ascii="Cambria" w:hAnsi="Cambria"/>
          <w:sz w:val="20"/>
          <w:szCs w:val="20"/>
        </w:rPr>
        <w:t>Also, according to the same study, Mr. Maldonado</w:t>
      </w:r>
      <w:r w:rsidR="00711137" w:rsidRPr="008C5978">
        <w:rPr>
          <w:rFonts w:ascii="Cambria" w:hAnsi="Cambria"/>
          <w:sz w:val="20"/>
          <w:szCs w:val="20"/>
        </w:rPr>
        <w:t xml:space="preserve"> was regularly and severely physically abused by his alcoholic prostitute mother</w:t>
      </w:r>
      <w:r w:rsidR="00EF56CE" w:rsidRPr="008C5978">
        <w:rPr>
          <w:rFonts w:ascii="Cambria" w:hAnsi="Cambria"/>
          <w:sz w:val="20"/>
          <w:szCs w:val="20"/>
        </w:rPr>
        <w:t xml:space="preserve"> who drank heavily during the majority of the pregnancy. The study found that he suffered from malnutrition and that he started drinking alcohol as a young child.</w:t>
      </w:r>
      <w:r w:rsidR="00EF56CE" w:rsidRPr="008C5978">
        <w:rPr>
          <w:rStyle w:val="FootnoteReference"/>
          <w:rFonts w:asciiTheme="majorHAnsi" w:hAnsiTheme="majorHAnsi"/>
          <w:sz w:val="20"/>
          <w:szCs w:val="20"/>
        </w:rPr>
        <w:footnoteReference w:id="22"/>
      </w:r>
      <w:r w:rsidR="00EF56CE" w:rsidRPr="008C5978">
        <w:rPr>
          <w:rStyle w:val="FootnoteReference"/>
          <w:rFonts w:asciiTheme="majorHAnsi" w:hAnsiTheme="majorHAnsi"/>
        </w:rPr>
        <w:t xml:space="preserve"> </w:t>
      </w:r>
      <w:r w:rsidR="00EF56CE" w:rsidRPr="008C5978">
        <w:rPr>
          <w:rFonts w:ascii="Cambria" w:hAnsi="Cambria"/>
          <w:sz w:val="20"/>
          <w:szCs w:val="20"/>
        </w:rPr>
        <w:t>Mr. Maldonado</w:t>
      </w:r>
      <w:r w:rsidR="00D002FC" w:rsidRPr="008C5978">
        <w:rPr>
          <w:rFonts w:ascii="Cambria" w:hAnsi="Cambria"/>
          <w:sz w:val="20"/>
          <w:szCs w:val="20"/>
        </w:rPr>
        <w:t xml:space="preserve"> started working at the age of 13 in the fields, carrying a tank on his back filled with chemicals agents that often leaked into his skin and that are known to cause damage to the central nervous system</w:t>
      </w:r>
      <w:r w:rsidR="00711137" w:rsidRPr="008C5978">
        <w:rPr>
          <w:rFonts w:ascii="Cambria" w:hAnsi="Cambria"/>
          <w:sz w:val="20"/>
          <w:szCs w:val="20"/>
        </w:rPr>
        <w:t>.</w:t>
      </w:r>
      <w:r w:rsidR="00711137" w:rsidRPr="008C5978">
        <w:rPr>
          <w:rStyle w:val="FootnoteReference"/>
          <w:rFonts w:asciiTheme="majorHAnsi" w:hAnsiTheme="majorHAnsi"/>
          <w:sz w:val="20"/>
          <w:szCs w:val="20"/>
        </w:rPr>
        <w:footnoteReference w:id="23"/>
      </w:r>
      <w:r w:rsidRPr="008C5978">
        <w:rPr>
          <w:rFonts w:ascii="Cambria" w:hAnsi="Cambria"/>
          <w:sz w:val="20"/>
          <w:szCs w:val="20"/>
        </w:rPr>
        <w:t xml:space="preserve"> </w:t>
      </w:r>
      <w:r w:rsidR="00D002FC" w:rsidRPr="008C5978">
        <w:rPr>
          <w:rFonts w:ascii="Cambria" w:hAnsi="Cambria"/>
          <w:sz w:val="20"/>
          <w:szCs w:val="20"/>
        </w:rPr>
        <w:t xml:space="preserve">He was unable to pass from first grade and </w:t>
      </w:r>
      <w:r w:rsidR="00B60E25" w:rsidRPr="008C5978">
        <w:rPr>
          <w:rFonts w:ascii="Cambria" w:hAnsi="Cambria"/>
          <w:sz w:val="20"/>
          <w:szCs w:val="20"/>
        </w:rPr>
        <w:t>dropped out of school</w:t>
      </w:r>
      <w:r w:rsidR="00D002FC" w:rsidRPr="008C5978">
        <w:rPr>
          <w:rFonts w:ascii="Cambria" w:hAnsi="Cambria"/>
          <w:sz w:val="20"/>
          <w:szCs w:val="20"/>
        </w:rPr>
        <w:t>.</w:t>
      </w:r>
      <w:r w:rsidR="00D002FC" w:rsidRPr="008C5978">
        <w:rPr>
          <w:rStyle w:val="FootnoteReference"/>
          <w:rFonts w:asciiTheme="majorHAnsi" w:hAnsiTheme="majorHAnsi"/>
          <w:sz w:val="20"/>
          <w:szCs w:val="20"/>
        </w:rPr>
        <w:footnoteReference w:id="24"/>
      </w:r>
    </w:p>
    <w:p w14:paraId="0B514711" w14:textId="336BF76D" w:rsidR="009021D6" w:rsidRDefault="009021D6" w:rsidP="009021D6"/>
    <w:p w14:paraId="482007CE" w14:textId="77777777" w:rsidR="009E3A41" w:rsidRPr="008C5978" w:rsidRDefault="00247592" w:rsidP="002E18E3">
      <w:pPr>
        <w:pStyle w:val="Heading2"/>
        <w:numPr>
          <w:ilvl w:val="0"/>
          <w:numId w:val="59"/>
        </w:numPr>
        <w:spacing w:before="0"/>
        <w:ind w:hanging="720"/>
        <w:rPr>
          <w:color w:val="auto"/>
          <w:sz w:val="20"/>
          <w:szCs w:val="20"/>
        </w:rPr>
      </w:pPr>
      <w:bookmarkStart w:id="9" w:name="_Toc89506719"/>
      <w:r w:rsidRPr="008C5978">
        <w:rPr>
          <w:color w:val="auto"/>
          <w:sz w:val="20"/>
          <w:szCs w:val="20"/>
        </w:rPr>
        <w:t>Consular notification</w:t>
      </w:r>
      <w:bookmarkEnd w:id="9"/>
    </w:p>
    <w:p w14:paraId="0FD83F42" w14:textId="77777777" w:rsidR="00247592" w:rsidRPr="008C5978" w:rsidRDefault="00247592" w:rsidP="002475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5FF7D26" w14:textId="77777777" w:rsidR="008665EC" w:rsidRPr="008C5978" w:rsidRDefault="008665EC"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Acc</w:t>
      </w:r>
      <w:r w:rsidR="00213A2F" w:rsidRPr="008C5978">
        <w:rPr>
          <w:rFonts w:ascii="Cambria" w:hAnsi="Cambria"/>
          <w:sz w:val="20"/>
          <w:szCs w:val="20"/>
        </w:rPr>
        <w:t>ording to an affidavit submitted by Mr. Manuel Perez Cardenas, Consul General of Mexico in Houston, Texas, from August 1995 to July 1998:</w:t>
      </w:r>
    </w:p>
    <w:p w14:paraId="65710128" w14:textId="77777777" w:rsidR="00213A2F" w:rsidRPr="008C5978" w:rsidRDefault="00213A2F" w:rsidP="00213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n-GB"/>
        </w:rPr>
      </w:pPr>
    </w:p>
    <w:p w14:paraId="3B463A2B" w14:textId="77777777" w:rsidR="00213A2F" w:rsidRPr="008C5978" w:rsidRDefault="00483D9E" w:rsidP="00483D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6. Over the last several decades, Mexico has established an extensive and sophisticated program of consular assistance to Mexican nationals residing in the United States. […]</w:t>
      </w:r>
    </w:p>
    <w:p w14:paraId="103246E9" w14:textId="77777777" w:rsidR="00241B9E" w:rsidRPr="008C5978" w:rsidRDefault="00241B9E" w:rsidP="00483D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73D71077" w14:textId="77777777" w:rsidR="00483D9E" w:rsidRPr="008C5978" w:rsidRDefault="00483D9E" w:rsidP="00483D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w:t>
      </w:r>
    </w:p>
    <w:p w14:paraId="1C9F8B6F" w14:textId="77777777" w:rsidR="00241B9E" w:rsidRPr="008C5978" w:rsidRDefault="00241B9E" w:rsidP="00483D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2FB4F1E0" w14:textId="77777777" w:rsidR="00241B9E" w:rsidRPr="008C5978" w:rsidRDefault="00483D9E"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14. Mexican consular offices have spent considerable time, energy, and resources on capital cases over the years. In these cases, Mexico’s overriding concern is to ensure each national receives an adequate </w:t>
      </w:r>
      <w:r w:rsidRPr="008C5978">
        <w:rPr>
          <w:rFonts w:asciiTheme="majorHAnsi" w:hAnsiTheme="majorHAnsi"/>
          <w:sz w:val="18"/>
          <w:szCs w:val="18"/>
          <w:lang w:val="en-GB"/>
        </w:rPr>
        <w:lastRenderedPageBreak/>
        <w:t xml:space="preserve">legal </w:t>
      </w:r>
      <w:proofErr w:type="spellStart"/>
      <w:r w:rsidRPr="008C5978">
        <w:rPr>
          <w:rFonts w:asciiTheme="majorHAnsi" w:hAnsiTheme="majorHAnsi"/>
          <w:sz w:val="18"/>
          <w:szCs w:val="18"/>
          <w:lang w:val="en-GB"/>
        </w:rPr>
        <w:t>defense</w:t>
      </w:r>
      <w:proofErr w:type="spellEnd"/>
      <w:r w:rsidRPr="008C5978">
        <w:rPr>
          <w:rFonts w:asciiTheme="majorHAnsi" w:hAnsiTheme="majorHAnsi"/>
          <w:sz w:val="18"/>
          <w:szCs w:val="18"/>
          <w:lang w:val="en-GB"/>
        </w:rPr>
        <w:t xml:space="preserve"> from competent and vigorous </w:t>
      </w:r>
      <w:proofErr w:type="spellStart"/>
      <w:r w:rsidRPr="008C5978">
        <w:rPr>
          <w:rFonts w:asciiTheme="majorHAnsi" w:hAnsiTheme="majorHAnsi"/>
          <w:sz w:val="18"/>
          <w:szCs w:val="18"/>
          <w:lang w:val="en-GB"/>
        </w:rPr>
        <w:t>defense</w:t>
      </w:r>
      <w:proofErr w:type="spellEnd"/>
      <w:r w:rsidRPr="008C5978">
        <w:rPr>
          <w:rFonts w:asciiTheme="majorHAnsi" w:hAnsiTheme="majorHAnsi"/>
          <w:sz w:val="18"/>
          <w:szCs w:val="18"/>
          <w:lang w:val="en-GB"/>
        </w:rPr>
        <w:t xml:space="preserve"> counsel. </w:t>
      </w:r>
      <w:r w:rsidR="00241B9E" w:rsidRPr="008C5978">
        <w:rPr>
          <w:rFonts w:asciiTheme="majorHAnsi" w:hAnsiTheme="majorHAnsi"/>
          <w:sz w:val="18"/>
          <w:szCs w:val="18"/>
          <w:lang w:val="en-GB"/>
        </w:rPr>
        <w:t xml:space="preserve">The quality of attorneys representing indigent defendants is uneven, at best. For this reason, consular officers are instructed to monitor and support </w:t>
      </w:r>
      <w:proofErr w:type="spellStart"/>
      <w:r w:rsidR="00241B9E" w:rsidRPr="008C5978">
        <w:rPr>
          <w:rFonts w:asciiTheme="majorHAnsi" w:hAnsiTheme="majorHAnsi"/>
          <w:sz w:val="18"/>
          <w:szCs w:val="18"/>
          <w:lang w:val="en-GB"/>
        </w:rPr>
        <w:t>defense</w:t>
      </w:r>
      <w:proofErr w:type="spellEnd"/>
      <w:r w:rsidR="00241B9E" w:rsidRPr="008C5978">
        <w:rPr>
          <w:rFonts w:asciiTheme="majorHAnsi" w:hAnsiTheme="majorHAnsi"/>
          <w:sz w:val="18"/>
          <w:szCs w:val="18"/>
          <w:lang w:val="en-GB"/>
        </w:rPr>
        <w:t xml:space="preserve"> counsel’s efforts, confer </w:t>
      </w:r>
      <w:r w:rsidR="00C62BF4" w:rsidRPr="008C5978">
        <w:rPr>
          <w:rFonts w:asciiTheme="majorHAnsi" w:hAnsiTheme="majorHAnsi"/>
          <w:sz w:val="18"/>
          <w:szCs w:val="18"/>
          <w:lang w:val="en-GB"/>
        </w:rPr>
        <w:t>regularly</w:t>
      </w:r>
      <w:r w:rsidR="00241B9E" w:rsidRPr="008C5978">
        <w:rPr>
          <w:rFonts w:asciiTheme="majorHAnsi" w:hAnsiTheme="majorHAnsi"/>
          <w:sz w:val="18"/>
          <w:szCs w:val="18"/>
          <w:lang w:val="en-GB"/>
        </w:rPr>
        <w:t xml:space="preserve"> with the defendant and his family, and attend court proceedings. In many cases, consulates provide funds for expert and investigative assistance, and assist in gathering evidence in preparation for the guilt and penalty phases of capital trials. In others, consular officers support defendants’ attempts to obtain more qualified counsel, sometimes providing funds so that experienced counsel may be retained. </w:t>
      </w:r>
    </w:p>
    <w:p w14:paraId="4BAFDBF7" w14:textId="77777777" w:rsidR="00241B9E" w:rsidRPr="008C5978" w:rsidRDefault="00241B9E"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34967869" w14:textId="77777777" w:rsidR="00241B9E" w:rsidRPr="008C5978" w:rsidRDefault="00241B9E"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15. Mexico’s goal is not to interfere with the judicial process, but rather to ensure its nationals receive the protection to which they are entitled under domestic and international law. Pursuant to this mandates, Mexican consular officers have assisted attorneys in innumerable capital cases. Attached to this affidavit as Exhibit A are examples of three capital cases in which the involvement of Mexican consular officers was instrumental in avoiding the imposition of the death penalty. These cases, all of which were prosecuted in the late 1980s and early 1990s, demonstrate Mexico’s longstanding policy of providing meaningful consular </w:t>
      </w:r>
      <w:r w:rsidR="00C62BF4" w:rsidRPr="008C5978">
        <w:rPr>
          <w:rFonts w:asciiTheme="majorHAnsi" w:hAnsiTheme="majorHAnsi"/>
          <w:sz w:val="18"/>
          <w:szCs w:val="18"/>
          <w:lang w:val="en-GB"/>
        </w:rPr>
        <w:t>assistance</w:t>
      </w:r>
      <w:r w:rsidRPr="008C5978">
        <w:rPr>
          <w:rFonts w:asciiTheme="majorHAnsi" w:hAnsiTheme="majorHAnsi"/>
          <w:sz w:val="18"/>
          <w:szCs w:val="18"/>
          <w:lang w:val="en-GB"/>
        </w:rPr>
        <w:t xml:space="preserve"> in capital cases. While they are not the only cases in which Mexico has provided substantial assistance, they provide a representative sampling of the efforts made by Mexico’s consular officers to provide assistance to Mexican nationals involved in capital cases</w:t>
      </w:r>
      <w:r w:rsidR="00C144E7" w:rsidRPr="008C5978">
        <w:rPr>
          <w:rFonts w:asciiTheme="majorHAnsi" w:hAnsiTheme="majorHAnsi"/>
          <w:sz w:val="18"/>
          <w:szCs w:val="18"/>
          <w:lang w:val="en-GB"/>
        </w:rPr>
        <w:t>.</w:t>
      </w:r>
    </w:p>
    <w:p w14:paraId="0B961A48" w14:textId="77777777" w:rsidR="00C144E7" w:rsidRPr="008C5978" w:rsidRDefault="00C144E7"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187AF03C" w14:textId="77777777" w:rsidR="00C144E7" w:rsidRPr="008C5978" w:rsidRDefault="00C144E7"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16. Under article 36(1) of the Vienna Convention on Consular Relations, law enforcement officers are required to notify detained foreign nationals of their right to communicate with their consulate “without delay.” Prompt notification is a crucial component of this article. In Mexico’s experience, early intervention by consular officers can often prevent the imposition of a death sentence.</w:t>
      </w:r>
    </w:p>
    <w:p w14:paraId="3F5EEA7D" w14:textId="77777777" w:rsidR="00C144E7" w:rsidRPr="008C5978" w:rsidRDefault="00C144E7"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37569C32" w14:textId="77777777" w:rsidR="00C144E7" w:rsidRPr="008C5978" w:rsidRDefault="00C144E7"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17. I first learned that Mr. Maldonado was a Mexican national facing a capital murder trial in August 1997, almost a year and a half after his initial detention in April 1996. This information came to me as a result of the media. If we had known that Mr. Maldonado was a Mexican national at the time of his initial detention, consular officials would have offered flexible and far-reaching assistance to avoid the imposition of the death penalty. Our consular assistance spans a wide variety of services, and we would have made all of them available to Mr. Maldonado.</w:t>
      </w:r>
    </w:p>
    <w:p w14:paraId="10B2FB64" w14:textId="77777777" w:rsidR="00A50CF2" w:rsidRPr="008C5978" w:rsidRDefault="00A50CF2"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3D62DAE8" w14:textId="77777777" w:rsidR="00A50CF2" w:rsidRPr="008C5978" w:rsidRDefault="00A50CF2"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18. First, exercising our rights under the Vienna Convention, we would have visited him in the jail as soon as possible and explained the nature of the American adversarial system, a system that is largely foreign to most Mexican nationals. Most particularly, we would have advised him in no uncertain terms that he should not speak to any law enforcement officer without first speaking with an American attorney. We would have explained that such an attorney would represent him without cost. And we would have explained that this attorney had a right to be present any time he was questioned by the police.</w:t>
      </w:r>
    </w:p>
    <w:p w14:paraId="1474DD3C" w14:textId="77777777" w:rsidR="00A50CF2" w:rsidRPr="008C5978" w:rsidRDefault="00A50CF2"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6258104D" w14:textId="77777777" w:rsidR="00A50CF2" w:rsidRPr="008C5978" w:rsidRDefault="00A50CF2"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19.  Consular representatives would have continued to visit Mr. Maldonado on a regular basis throughout his detention. We would have maintained contact with his family, as well, to ensure they understood the nature of the proceedings. </w:t>
      </w:r>
    </w:p>
    <w:p w14:paraId="67763B14" w14:textId="77777777" w:rsidR="00A50CF2" w:rsidRPr="008C5978" w:rsidRDefault="00A50CF2"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3DC557B1" w14:textId="77777777" w:rsidR="00A50CF2" w:rsidRPr="008C5978" w:rsidRDefault="00A50CF2"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20. One of the duties of a consular officer is to monitor legal counsel’s activities on behalf of a detained national. In a capital case, I take that responsibility very seriously. In the case of Mr. Maldonado if I saw that his lawyer was mishandling the case, or lacked the necessary experience to properly defend him, I would have requested that the court appoint more experienced counsel. At the time of Mr. Maldonado’s detention, the consulate also had some funds that could have been used for the purpose of retaining a lawyer to advise appointed counsel. If the court refused to appoint substitute counsel, I would have sought leave from the Mexican Foreign Ministry to retain additional legal counsel to assist Mr. Maldonado. Since the Mexican Government places such a high </w:t>
      </w:r>
      <w:r w:rsidR="00DC6453" w:rsidRPr="008C5978">
        <w:rPr>
          <w:rFonts w:asciiTheme="majorHAnsi" w:hAnsiTheme="majorHAnsi"/>
          <w:sz w:val="18"/>
          <w:szCs w:val="18"/>
          <w:lang w:val="en-GB"/>
        </w:rPr>
        <w:t>priority on capital cases, I feel certain the Ministry would have authorized the expenditure of these funds.</w:t>
      </w:r>
    </w:p>
    <w:p w14:paraId="56C1EA94" w14:textId="77777777" w:rsidR="00DC6453" w:rsidRPr="008C5978" w:rsidRDefault="00DC6453" w:rsidP="00241B9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68512254" w14:textId="77777777" w:rsidR="00DC6453" w:rsidRPr="008C5978" w:rsidRDefault="00DC6453" w:rsidP="00DC645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21. The consulate would also have provided funds for a Spanish-speaking psychologist or psychiatrist to examine Mr. Maldonado for evidence of mental retardation, organic brain damage, </w:t>
      </w:r>
      <w:proofErr w:type="spellStart"/>
      <w:r w:rsidRPr="008C5978">
        <w:rPr>
          <w:rFonts w:asciiTheme="majorHAnsi" w:hAnsiTheme="majorHAnsi"/>
          <w:sz w:val="18"/>
          <w:szCs w:val="18"/>
          <w:lang w:val="en-GB"/>
        </w:rPr>
        <w:t>fetal</w:t>
      </w:r>
      <w:proofErr w:type="spellEnd"/>
      <w:r w:rsidRPr="008C5978">
        <w:rPr>
          <w:rFonts w:asciiTheme="majorHAnsi" w:hAnsiTheme="majorHAnsi"/>
          <w:sz w:val="18"/>
          <w:szCs w:val="18"/>
          <w:lang w:val="en-GB"/>
        </w:rPr>
        <w:t xml:space="preserve"> alcohol syndrome, or other mental and physical problems that could have been used as mitigating evidence at this trial. The consulate would also have provided funds for an investigator or mitigation specialist. Moreover, we would have been willing to assist Mr. Maldonado’s appointed counsel in gathering records from Mexico, arranging the transport of Mexican witnesses to the trial, and facilitating contact with Spanish-speaking witnesses. By the time we learned of his detention, however, it was too late to provide the comprehensive </w:t>
      </w:r>
      <w:r w:rsidR="00C62BF4" w:rsidRPr="008C5978">
        <w:rPr>
          <w:rFonts w:asciiTheme="majorHAnsi" w:hAnsiTheme="majorHAnsi"/>
          <w:sz w:val="18"/>
          <w:szCs w:val="18"/>
          <w:lang w:val="en-GB"/>
        </w:rPr>
        <w:t>assistance</w:t>
      </w:r>
      <w:r w:rsidRPr="008C5978">
        <w:rPr>
          <w:rFonts w:asciiTheme="majorHAnsi" w:hAnsiTheme="majorHAnsi"/>
          <w:sz w:val="18"/>
          <w:szCs w:val="18"/>
          <w:lang w:val="en-GB"/>
        </w:rPr>
        <w:t xml:space="preserve"> that could have affected the outcome of the trial.</w:t>
      </w:r>
    </w:p>
    <w:p w14:paraId="0B9EE64E" w14:textId="77777777" w:rsidR="00DC6453" w:rsidRPr="008C5978" w:rsidRDefault="00DC6453" w:rsidP="00DC645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69F6067D" w14:textId="77777777" w:rsidR="00DC6453" w:rsidRPr="008C5978" w:rsidRDefault="00DC6453" w:rsidP="0000524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jc w:val="both"/>
        <w:rPr>
          <w:rFonts w:asciiTheme="majorHAnsi" w:hAnsiTheme="majorHAnsi"/>
          <w:sz w:val="18"/>
          <w:szCs w:val="18"/>
          <w:lang w:val="en-GB"/>
        </w:rPr>
      </w:pPr>
      <w:r w:rsidRPr="008C5978">
        <w:rPr>
          <w:rFonts w:asciiTheme="majorHAnsi" w:hAnsiTheme="majorHAnsi"/>
          <w:sz w:val="18"/>
          <w:szCs w:val="18"/>
          <w:lang w:val="en-GB"/>
        </w:rPr>
        <w:lastRenderedPageBreak/>
        <w:t xml:space="preserve">In 1996, the Houston consulate had a close working relationship with local attorneys who were available to advise us in complex criminal cases involving Mexican </w:t>
      </w:r>
      <w:r w:rsidR="00C62BF4" w:rsidRPr="008C5978">
        <w:rPr>
          <w:rFonts w:asciiTheme="majorHAnsi" w:hAnsiTheme="majorHAnsi"/>
          <w:sz w:val="18"/>
          <w:szCs w:val="18"/>
          <w:lang w:val="en-GB"/>
        </w:rPr>
        <w:t>nationals</w:t>
      </w:r>
      <w:r w:rsidRPr="008C5978">
        <w:rPr>
          <w:rFonts w:asciiTheme="majorHAnsi" w:hAnsiTheme="majorHAnsi"/>
          <w:sz w:val="18"/>
          <w:szCs w:val="18"/>
          <w:lang w:val="en-GB"/>
        </w:rPr>
        <w:t xml:space="preserve">. </w:t>
      </w:r>
      <w:proofErr w:type="gramStart"/>
      <w:r w:rsidRPr="008C5978">
        <w:rPr>
          <w:rFonts w:asciiTheme="majorHAnsi" w:hAnsiTheme="majorHAnsi"/>
          <w:sz w:val="18"/>
          <w:szCs w:val="18"/>
          <w:lang w:val="en-GB"/>
        </w:rPr>
        <w:t>Also</w:t>
      </w:r>
      <w:proofErr w:type="gramEnd"/>
      <w:r w:rsidRPr="008C5978">
        <w:rPr>
          <w:rFonts w:asciiTheme="majorHAnsi" w:hAnsiTheme="majorHAnsi"/>
          <w:sz w:val="18"/>
          <w:szCs w:val="18"/>
          <w:lang w:val="en-GB"/>
        </w:rPr>
        <w:t xml:space="preserve"> during this time, there were members of the Mexican foreign service who had been trained in U.S. law schools. If the consulate had been promptly notified of Mr. Maldonado’s arrest and detention, I would have unquestionably sought the advice of these experts to assist consular officials during his pre-trial detention. Specifically, I would have requested expert assistance from the Foreign Ministry or from local attorneys during the critical months of Mr. Maldonado’s pre-trial detention, in order to assess the kinds of consular services that would have the greatest chance of affecting the outcome of his trial. These experts could also have assisted us at plea negotiations with the prosecutions.</w:t>
      </w:r>
    </w:p>
    <w:p w14:paraId="1E63E68B" w14:textId="77777777" w:rsidR="00C62BF4" w:rsidRPr="008C5978" w:rsidRDefault="00C62BF4" w:rsidP="00C62BF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Theme="majorHAnsi" w:hAnsiTheme="majorHAnsi"/>
          <w:sz w:val="18"/>
          <w:szCs w:val="18"/>
          <w:lang w:val="en-GB"/>
        </w:rPr>
      </w:pPr>
    </w:p>
    <w:p w14:paraId="79902302" w14:textId="77777777" w:rsidR="00DC6453" w:rsidRPr="008C5978" w:rsidRDefault="00DC6453" w:rsidP="0000524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jc w:val="both"/>
        <w:rPr>
          <w:rFonts w:asciiTheme="majorHAnsi" w:hAnsiTheme="majorHAnsi"/>
          <w:sz w:val="18"/>
          <w:szCs w:val="18"/>
          <w:lang w:val="en-GB"/>
        </w:rPr>
      </w:pPr>
      <w:r w:rsidRPr="008C5978">
        <w:rPr>
          <w:rFonts w:asciiTheme="majorHAnsi" w:hAnsiTheme="majorHAnsi"/>
          <w:sz w:val="18"/>
          <w:szCs w:val="18"/>
          <w:lang w:val="en-GB"/>
        </w:rPr>
        <w:t>To summarize, the Houston consulate would have played as active a role as necessary to help ensure Mr. Maldonado avoided the death penalty. Though our role varied from case to case, I can safely say we would have undertaken the following consular interventions:</w:t>
      </w:r>
    </w:p>
    <w:p w14:paraId="299BECA1" w14:textId="77777777" w:rsidR="00DC6453" w:rsidRPr="008C5978" w:rsidRDefault="00DC645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Arranging for and assisting with visits from Mr. Maldonado’s family;</w:t>
      </w:r>
    </w:p>
    <w:p w14:paraId="5DD19B5A" w14:textId="77777777" w:rsidR="00DC6453" w:rsidRPr="008C5978" w:rsidRDefault="00DC645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Arranging for and assisting counsel with investigations and record-gathering in Mexico;</w:t>
      </w:r>
    </w:p>
    <w:p w14:paraId="4D41B4BF" w14:textId="77777777" w:rsidR="00DC6453" w:rsidRPr="008C5978" w:rsidRDefault="00DC645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Assisting in raising legal issues surrounding the Vienna Convention, if such issues arose;</w:t>
      </w:r>
    </w:p>
    <w:p w14:paraId="6CBFD030" w14:textId="77777777" w:rsidR="006D01E3" w:rsidRPr="008C5978" w:rsidRDefault="006D01E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Assisting counsel with funding, if he was not able to secure the funds from American courts;</w:t>
      </w:r>
    </w:p>
    <w:p w14:paraId="15A2A23F" w14:textId="77777777" w:rsidR="006D01E3" w:rsidRPr="008C5978" w:rsidRDefault="006D01E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Assisting counsel in locating expert and lay witnesses regarding issues of importance to Mr. Maldonado, whether at the guilt or punishment phases;</w:t>
      </w:r>
    </w:p>
    <w:p w14:paraId="1B371871" w14:textId="77777777" w:rsidR="00DC6453" w:rsidRPr="008C5978" w:rsidRDefault="006D01E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Providing affidavits and documentary evidence from Mexico;</w:t>
      </w:r>
    </w:p>
    <w:p w14:paraId="2BB15A74" w14:textId="77777777" w:rsidR="006D01E3" w:rsidRPr="008C5978" w:rsidRDefault="006D01E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Assisting as needed at all court proceedings, including offering testimony about consular practices or the Vienna Convention;</w:t>
      </w:r>
    </w:p>
    <w:p w14:paraId="4DE7DED8" w14:textId="77777777" w:rsidR="006D01E3" w:rsidRPr="008C5978" w:rsidRDefault="006D01E3" w:rsidP="0000524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n-GB"/>
        </w:rPr>
      </w:pPr>
      <w:r w:rsidRPr="008C5978">
        <w:rPr>
          <w:rFonts w:asciiTheme="majorHAnsi" w:hAnsiTheme="majorHAnsi"/>
          <w:sz w:val="18"/>
          <w:szCs w:val="18"/>
          <w:lang w:val="en-GB"/>
        </w:rPr>
        <w:t>Assisting in plea negotiations</w:t>
      </w:r>
    </w:p>
    <w:p w14:paraId="535CE1FA" w14:textId="77777777" w:rsidR="006D01E3" w:rsidRPr="008C5978" w:rsidRDefault="006D01E3" w:rsidP="006D01E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sz w:val="20"/>
          <w:szCs w:val="20"/>
          <w:lang w:val="en-GB"/>
        </w:rPr>
      </w:pPr>
    </w:p>
    <w:p w14:paraId="2D562809" w14:textId="77777777" w:rsidR="00125D3B" w:rsidRPr="008C5978" w:rsidRDefault="00125D3B"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According to the declaration of </w:t>
      </w:r>
      <w:r w:rsidR="00213A2F" w:rsidRPr="008C5978">
        <w:rPr>
          <w:rFonts w:ascii="Cambria" w:hAnsi="Cambria"/>
          <w:sz w:val="20"/>
          <w:szCs w:val="20"/>
        </w:rPr>
        <w:t xml:space="preserve">Mr. </w:t>
      </w:r>
      <w:r w:rsidRPr="008C5978">
        <w:rPr>
          <w:rFonts w:ascii="Cambria" w:hAnsi="Cambria"/>
          <w:sz w:val="20"/>
          <w:szCs w:val="20"/>
        </w:rPr>
        <w:t>Adrian Franco, Mexican criminal defen</w:t>
      </w:r>
      <w:r w:rsidR="00241B9E" w:rsidRPr="008C5978">
        <w:rPr>
          <w:rFonts w:ascii="Cambria" w:hAnsi="Cambria"/>
          <w:sz w:val="20"/>
          <w:szCs w:val="20"/>
        </w:rPr>
        <w:t>s</w:t>
      </w:r>
      <w:r w:rsidRPr="008C5978">
        <w:rPr>
          <w:rFonts w:ascii="Cambria" w:hAnsi="Cambria"/>
          <w:sz w:val="20"/>
          <w:szCs w:val="20"/>
        </w:rPr>
        <w:t xml:space="preserve">e attorney, before the International Court of Justice in </w:t>
      </w:r>
      <w:proofErr w:type="spellStart"/>
      <w:r w:rsidRPr="008C5978">
        <w:rPr>
          <w:rFonts w:ascii="Cambria" w:hAnsi="Cambria"/>
          <w:sz w:val="20"/>
          <w:szCs w:val="20"/>
        </w:rPr>
        <w:t>Avena</w:t>
      </w:r>
      <w:proofErr w:type="spellEnd"/>
      <w:r w:rsidRPr="008C5978">
        <w:rPr>
          <w:rStyle w:val="FootnoteReference"/>
          <w:rFonts w:asciiTheme="majorHAnsi" w:hAnsiTheme="majorHAnsi"/>
          <w:sz w:val="20"/>
          <w:szCs w:val="20"/>
        </w:rPr>
        <w:footnoteReference w:id="25"/>
      </w:r>
      <w:r w:rsidRPr="008C5978">
        <w:rPr>
          <w:rFonts w:ascii="Cambria" w:hAnsi="Cambria"/>
          <w:sz w:val="20"/>
          <w:szCs w:val="20"/>
        </w:rPr>
        <w:t xml:space="preserve"> submitted by the petitioners:</w:t>
      </w:r>
      <w:r w:rsidR="00EC6931" w:rsidRPr="008C5978">
        <w:rPr>
          <w:rStyle w:val="FootnoteReference"/>
          <w:rFonts w:asciiTheme="majorHAnsi" w:hAnsiTheme="majorHAnsi"/>
          <w:sz w:val="20"/>
          <w:szCs w:val="20"/>
        </w:rPr>
        <w:footnoteReference w:id="26"/>
      </w:r>
    </w:p>
    <w:p w14:paraId="5D4AB08B" w14:textId="77777777" w:rsidR="00125D3B" w:rsidRPr="008C5978" w:rsidRDefault="00125D3B" w:rsidP="00125D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n-GB"/>
        </w:rPr>
      </w:pPr>
    </w:p>
    <w:p w14:paraId="1563A515" w14:textId="77777777" w:rsidR="00125D3B" w:rsidRPr="008C5978" w:rsidRDefault="00125D3B"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Even if a Mexican national were familiar with Mexican rules of criminal procedure and the corresponding rules of evidence, this knowledge would be of no use to anyone seeking to understand his or her rights in the United States’ criminal justice system. Mexico’s criminal justice system differs from that of the United States in several fundamental aspects.</w:t>
      </w:r>
    </w:p>
    <w:p w14:paraId="2AC0CF47" w14:textId="77777777" w:rsidR="00125D3B" w:rsidRPr="008C5978" w:rsidRDefault="00125D3B"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41DC968F" w14:textId="77777777" w:rsidR="00125D3B" w:rsidRPr="008C5978" w:rsidRDefault="00125D3B"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i/>
          <w:sz w:val="18"/>
          <w:szCs w:val="18"/>
          <w:lang w:val="en-GB"/>
        </w:rPr>
        <w:t>First</w:t>
      </w:r>
      <w:r w:rsidRPr="008C5978">
        <w:rPr>
          <w:rFonts w:asciiTheme="majorHAnsi" w:hAnsiTheme="majorHAnsi"/>
          <w:sz w:val="18"/>
          <w:szCs w:val="18"/>
          <w:lang w:val="en-GB"/>
        </w:rPr>
        <w:t>, in cases involving serious felony charges such as homicide, Mexican law does not allow for reduced penalties pursuant to d</w:t>
      </w:r>
      <w:r w:rsidR="004C599D" w:rsidRPr="008C5978">
        <w:rPr>
          <w:rFonts w:asciiTheme="majorHAnsi" w:hAnsiTheme="majorHAnsi"/>
          <w:sz w:val="18"/>
          <w:szCs w:val="18"/>
          <w:lang w:val="en-GB"/>
        </w:rPr>
        <w:t>e</w:t>
      </w:r>
      <w:r w:rsidRPr="008C5978">
        <w:rPr>
          <w:rFonts w:asciiTheme="majorHAnsi" w:hAnsiTheme="majorHAnsi"/>
          <w:sz w:val="18"/>
          <w:szCs w:val="18"/>
          <w:lang w:val="en-GB"/>
        </w:rPr>
        <w:t>als brokered through negotiations between the prosecutor (the “</w:t>
      </w:r>
      <w:proofErr w:type="spellStart"/>
      <w:r w:rsidRPr="008C5978">
        <w:rPr>
          <w:rFonts w:asciiTheme="majorHAnsi" w:hAnsiTheme="majorHAnsi"/>
          <w:sz w:val="18"/>
          <w:szCs w:val="18"/>
          <w:lang w:val="en-GB"/>
        </w:rPr>
        <w:t>Ministerio</w:t>
      </w:r>
      <w:proofErr w:type="spellEnd"/>
      <w:r w:rsidRPr="008C5978">
        <w:rPr>
          <w:rFonts w:asciiTheme="majorHAnsi" w:hAnsiTheme="majorHAnsi"/>
          <w:sz w:val="18"/>
          <w:szCs w:val="18"/>
          <w:lang w:val="en-GB"/>
        </w:rPr>
        <w:t xml:space="preserve"> </w:t>
      </w:r>
      <w:proofErr w:type="spellStart"/>
      <w:r w:rsidRPr="008C5978">
        <w:rPr>
          <w:rFonts w:asciiTheme="majorHAnsi" w:hAnsiTheme="majorHAnsi"/>
          <w:sz w:val="18"/>
          <w:szCs w:val="18"/>
          <w:lang w:val="en-GB"/>
        </w:rPr>
        <w:t>Público</w:t>
      </w:r>
      <w:proofErr w:type="spellEnd"/>
      <w:r w:rsidRPr="008C5978">
        <w:rPr>
          <w:rFonts w:asciiTheme="majorHAnsi" w:hAnsiTheme="majorHAnsi"/>
          <w:sz w:val="18"/>
          <w:szCs w:val="18"/>
          <w:lang w:val="en-GB"/>
        </w:rPr>
        <w:t>”) and defendant, as in the so-called “plea bargaining” process in the United States. […]</w:t>
      </w:r>
      <w:r w:rsidR="004C599D" w:rsidRPr="008C5978">
        <w:rPr>
          <w:rFonts w:asciiTheme="majorHAnsi" w:hAnsiTheme="majorHAnsi"/>
          <w:sz w:val="18"/>
          <w:szCs w:val="18"/>
          <w:lang w:val="en-GB"/>
        </w:rPr>
        <w:t xml:space="preserve"> Any such negotiated agreement between the prosecutor and defendant would violate Mexican constitutional law and public policy </w:t>
      </w:r>
      <w:proofErr w:type="gramStart"/>
      <w:r w:rsidR="004C599D" w:rsidRPr="008C5978">
        <w:rPr>
          <w:rFonts w:asciiTheme="majorHAnsi" w:hAnsiTheme="majorHAnsi"/>
          <w:sz w:val="18"/>
          <w:szCs w:val="18"/>
          <w:lang w:val="en-GB"/>
        </w:rPr>
        <w:t>mandates, and</w:t>
      </w:r>
      <w:proofErr w:type="gramEnd"/>
      <w:r w:rsidR="004C599D" w:rsidRPr="008C5978">
        <w:rPr>
          <w:rFonts w:asciiTheme="majorHAnsi" w:hAnsiTheme="majorHAnsi"/>
          <w:sz w:val="18"/>
          <w:szCs w:val="18"/>
          <w:lang w:val="en-GB"/>
        </w:rPr>
        <w:t xml:space="preserve"> would be considered void. </w:t>
      </w:r>
    </w:p>
    <w:p w14:paraId="4688B587" w14:textId="77777777" w:rsidR="00125D3B" w:rsidRPr="008C5978" w:rsidRDefault="00125D3B"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05A8E41F" w14:textId="77777777" w:rsidR="004C599D" w:rsidRPr="008C5978" w:rsidRDefault="004C599D"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i/>
          <w:sz w:val="18"/>
          <w:szCs w:val="18"/>
          <w:lang w:val="en-GB"/>
        </w:rPr>
        <w:t>Second</w:t>
      </w:r>
      <w:r w:rsidRPr="008C5978">
        <w:rPr>
          <w:rFonts w:asciiTheme="majorHAnsi" w:hAnsiTheme="majorHAnsi"/>
          <w:sz w:val="18"/>
          <w:szCs w:val="18"/>
          <w:lang w:val="en-GB"/>
        </w:rPr>
        <w:t>, the role of confessions as evidence against the accused differs markedly between the two jurisdictions. Under Article 20 of the Mexican Constitution, a confession obtained from a criminal defendant is not admissible against that defendant unless the confession was taken in fro</w:t>
      </w:r>
      <w:r w:rsidR="00E711AB" w:rsidRPr="008C5978">
        <w:rPr>
          <w:rFonts w:asciiTheme="majorHAnsi" w:hAnsiTheme="majorHAnsi"/>
          <w:sz w:val="18"/>
          <w:szCs w:val="18"/>
          <w:lang w:val="en-GB"/>
        </w:rPr>
        <w:t xml:space="preserve">nt </w:t>
      </w:r>
      <w:r w:rsidRPr="008C5978">
        <w:rPr>
          <w:rFonts w:asciiTheme="majorHAnsi" w:hAnsiTheme="majorHAnsi"/>
          <w:sz w:val="18"/>
          <w:szCs w:val="18"/>
          <w:lang w:val="en-GB"/>
        </w:rPr>
        <w:t xml:space="preserve">of the </w:t>
      </w:r>
      <w:proofErr w:type="spellStart"/>
      <w:r w:rsidRPr="008C5978">
        <w:rPr>
          <w:rFonts w:asciiTheme="majorHAnsi" w:hAnsiTheme="majorHAnsi"/>
          <w:sz w:val="18"/>
          <w:szCs w:val="18"/>
          <w:lang w:val="en-GB"/>
        </w:rPr>
        <w:t>Ministerio</w:t>
      </w:r>
      <w:proofErr w:type="spellEnd"/>
      <w:r w:rsidRPr="008C5978">
        <w:rPr>
          <w:rFonts w:asciiTheme="majorHAnsi" w:hAnsiTheme="majorHAnsi"/>
          <w:sz w:val="18"/>
          <w:szCs w:val="18"/>
          <w:lang w:val="en-GB"/>
        </w:rPr>
        <w:t xml:space="preserve"> </w:t>
      </w:r>
      <w:proofErr w:type="spellStart"/>
      <w:r w:rsidRPr="008C5978">
        <w:rPr>
          <w:rFonts w:asciiTheme="majorHAnsi" w:hAnsiTheme="majorHAnsi"/>
          <w:sz w:val="18"/>
          <w:szCs w:val="18"/>
          <w:lang w:val="en-GB"/>
        </w:rPr>
        <w:t>Público</w:t>
      </w:r>
      <w:proofErr w:type="spellEnd"/>
      <w:r w:rsidRPr="008C5978">
        <w:rPr>
          <w:rFonts w:asciiTheme="majorHAnsi" w:hAnsiTheme="majorHAnsi"/>
          <w:sz w:val="18"/>
          <w:szCs w:val="18"/>
          <w:lang w:val="en-GB"/>
        </w:rPr>
        <w:t xml:space="preserve"> or judge and in the presence of counsel or “person of confidence” to the defendant. Moreover, pursuant to Article 287 of the Federal Code of Criminal Procedure and Article 249 of the Mexico City Code of Criminal Procedure, confessions given only to the judicial police have no evidentiary value; that is, they are inadmissible at trial, whether or not they are deemed voluntary. In the United States, by contrast, confessions given to the police are admissible at trial, provided that two basic conditions are met: (1) the confession is voluntary; and (2) the police advised the defendant of his constitutional rights, pursuant to Miranda v. Arizona, before any custodial interrogation. </w:t>
      </w:r>
    </w:p>
    <w:p w14:paraId="3B443834" w14:textId="77777777" w:rsidR="00EC6931" w:rsidRPr="008C5978" w:rsidRDefault="00EC6931"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432CEC8C" w14:textId="77777777" w:rsidR="00EC6931" w:rsidRPr="008C5978" w:rsidRDefault="00EC6931"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w:t>
      </w:r>
    </w:p>
    <w:p w14:paraId="2D7B7F8B" w14:textId="77777777" w:rsidR="00EC6931" w:rsidRPr="008C5978" w:rsidRDefault="00EC6931"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p>
    <w:p w14:paraId="75D8B250" w14:textId="77777777" w:rsidR="00EC6931" w:rsidRPr="008C5978" w:rsidRDefault="00EC6931" w:rsidP="00EC693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i/>
          <w:sz w:val="18"/>
          <w:szCs w:val="18"/>
          <w:lang w:val="en-GB"/>
        </w:rPr>
        <w:t>Third</w:t>
      </w:r>
      <w:r w:rsidRPr="008C5978">
        <w:rPr>
          <w:rFonts w:asciiTheme="majorHAnsi" w:hAnsiTheme="majorHAnsi"/>
          <w:sz w:val="18"/>
          <w:szCs w:val="18"/>
          <w:lang w:val="en-GB"/>
        </w:rPr>
        <w:t>, the judicial procedures followed in the Mexican criminal justice system differ substantially from those of the United States. […]</w:t>
      </w:r>
    </w:p>
    <w:p w14:paraId="153D9775" w14:textId="184B2D8E" w:rsidR="00247592" w:rsidRPr="008C5978" w:rsidRDefault="00247592" w:rsidP="002475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21A9BF89" w14:textId="77777777" w:rsidR="00E575CD" w:rsidRDefault="00E575CD">
      <w:pPr>
        <w:rPr>
          <w:rFonts w:asciiTheme="majorHAnsi" w:eastAsiaTheme="majorEastAsia" w:hAnsiTheme="majorHAnsi" w:cstheme="majorBidi"/>
          <w:b/>
          <w:bCs/>
          <w:sz w:val="20"/>
          <w:szCs w:val="20"/>
        </w:rPr>
      </w:pPr>
      <w:bookmarkStart w:id="10" w:name="_Toc89506720"/>
      <w:r>
        <w:rPr>
          <w:sz w:val="20"/>
          <w:szCs w:val="20"/>
        </w:rPr>
        <w:br w:type="page"/>
      </w:r>
    </w:p>
    <w:p w14:paraId="76E828A9" w14:textId="4EB57080" w:rsidR="001C4006" w:rsidRPr="008C5978" w:rsidRDefault="001C4006" w:rsidP="00EE5D7E">
      <w:pPr>
        <w:pStyle w:val="Heading1"/>
        <w:spacing w:before="0"/>
        <w:ind w:left="0" w:firstLine="0"/>
        <w:rPr>
          <w:color w:val="auto"/>
          <w:sz w:val="20"/>
          <w:szCs w:val="20"/>
        </w:rPr>
      </w:pPr>
      <w:r w:rsidRPr="008C5978">
        <w:rPr>
          <w:color w:val="auto"/>
          <w:sz w:val="20"/>
          <w:szCs w:val="20"/>
        </w:rPr>
        <w:lastRenderedPageBreak/>
        <w:t>ANALYSIS OF LAW</w:t>
      </w:r>
      <w:bookmarkEnd w:id="10"/>
    </w:p>
    <w:p w14:paraId="436CCE56" w14:textId="77777777" w:rsidR="001C4006" w:rsidRPr="008C5978" w:rsidRDefault="001C4006" w:rsidP="00EE5D7E">
      <w:pPr>
        <w:suppressAutoHyphens/>
        <w:rPr>
          <w:rFonts w:asciiTheme="majorHAnsi" w:hAnsiTheme="majorHAnsi"/>
          <w:b/>
          <w:sz w:val="20"/>
          <w:szCs w:val="20"/>
        </w:rPr>
      </w:pPr>
    </w:p>
    <w:p w14:paraId="4034854B" w14:textId="77777777" w:rsidR="007D2FEE" w:rsidRPr="008C5978" w:rsidRDefault="007D2FEE" w:rsidP="00EE5D7E">
      <w:pPr>
        <w:pStyle w:val="Heading2"/>
        <w:spacing w:before="0"/>
        <w:rPr>
          <w:color w:val="auto"/>
          <w:sz w:val="20"/>
          <w:szCs w:val="20"/>
        </w:rPr>
      </w:pPr>
      <w:bookmarkStart w:id="11" w:name="_Toc412815742"/>
      <w:bookmarkStart w:id="12" w:name="_Toc89506721"/>
      <w:r w:rsidRPr="008C5978">
        <w:rPr>
          <w:color w:val="auto"/>
          <w:sz w:val="20"/>
          <w:szCs w:val="20"/>
        </w:rPr>
        <w:t>A.</w:t>
      </w:r>
      <w:r w:rsidRPr="008C5978">
        <w:rPr>
          <w:color w:val="auto"/>
          <w:sz w:val="20"/>
          <w:szCs w:val="20"/>
        </w:rPr>
        <w:tab/>
        <w:t xml:space="preserve">Preliminary </w:t>
      </w:r>
      <w:bookmarkEnd w:id="11"/>
      <w:r w:rsidRPr="008C5978">
        <w:rPr>
          <w:color w:val="auto"/>
          <w:sz w:val="20"/>
          <w:szCs w:val="20"/>
        </w:rPr>
        <w:t>considerations</w:t>
      </w:r>
      <w:bookmarkEnd w:id="12"/>
    </w:p>
    <w:p w14:paraId="39EA7619" w14:textId="77777777" w:rsidR="007D2FEE" w:rsidRPr="008C5978" w:rsidRDefault="007D2FEE" w:rsidP="00090720">
      <w:pPr>
        <w:ind w:left="720"/>
        <w:jc w:val="both"/>
        <w:rPr>
          <w:rFonts w:ascii="Cambria" w:hAnsi="Cambria"/>
          <w:sz w:val="20"/>
          <w:szCs w:val="20"/>
        </w:rPr>
      </w:pPr>
    </w:p>
    <w:p w14:paraId="72C16D7A" w14:textId="77777777" w:rsidR="007D2FEE" w:rsidRPr="008C5978" w:rsidRDefault="007D2FEE"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Before embarking on its analysis of the merits in the case of </w:t>
      </w:r>
      <w:r w:rsidR="00861437" w:rsidRPr="008C5978">
        <w:rPr>
          <w:rFonts w:ascii="Cambria" w:hAnsi="Cambria"/>
          <w:sz w:val="20"/>
          <w:szCs w:val="20"/>
        </w:rPr>
        <w:t>Virgilio Maldonado Rodriguez</w:t>
      </w:r>
      <w:r w:rsidRPr="008C5978">
        <w:rPr>
          <w:rFonts w:ascii="Cambria" w:hAnsi="Cambria"/>
          <w:sz w:val="20"/>
          <w:szCs w:val="20"/>
        </w:rPr>
        <w:t xml:space="preserve">, the Inter-American Commission believes it should reiterate its previous rulings regarding the heightened scrutiny to be used in cases involving the death penalty. The right to life has received broad recognition as the supreme human right and as a </w:t>
      </w:r>
      <w:r w:rsidRPr="008C5978">
        <w:rPr>
          <w:rFonts w:ascii="Cambria" w:hAnsi="Cambria"/>
          <w:i/>
          <w:sz w:val="20"/>
          <w:szCs w:val="20"/>
        </w:rPr>
        <w:t>sine qua non</w:t>
      </w:r>
      <w:r w:rsidRPr="008C5978">
        <w:rPr>
          <w:rFonts w:ascii="Cambria" w:hAnsi="Cambria"/>
          <w:sz w:val="20"/>
          <w:szCs w:val="20"/>
        </w:rPr>
        <w:t xml:space="preserve"> for the enjoyment of all other rights. </w:t>
      </w:r>
    </w:p>
    <w:p w14:paraId="0191DDB5" w14:textId="77777777" w:rsidR="007D2FEE" w:rsidRPr="008C5978" w:rsidRDefault="007D2FEE" w:rsidP="009E075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53F309F2" w14:textId="77777777" w:rsidR="007D2FEE" w:rsidRPr="008C5978" w:rsidRDefault="007D2FEE"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That gives rise to the particular importance of the IACHR’s obligation to ensure that any denial of life that may arise from the enforcement of the death penalty strictly abides by the requirements set forth in the applicable instruments of the </w:t>
      </w:r>
      <w:r w:rsidR="008F7F3F" w:rsidRPr="008C5978">
        <w:rPr>
          <w:rFonts w:ascii="Cambria" w:hAnsi="Cambria"/>
          <w:sz w:val="20"/>
          <w:szCs w:val="20"/>
        </w:rPr>
        <w:t>I</w:t>
      </w:r>
      <w:r w:rsidRPr="008C5978">
        <w:rPr>
          <w:rFonts w:ascii="Cambria" w:hAnsi="Cambria"/>
          <w:sz w:val="20"/>
          <w:szCs w:val="20"/>
        </w:rPr>
        <w:t>nter-American human rights system, including the American Declaration. That heightened scrutiny is consistent with the restrictive approach adopted by other international human rights bodies in cases involving the imposition of the death penalty,</w:t>
      </w:r>
      <w:r w:rsidRPr="008C5978">
        <w:rPr>
          <w:rStyle w:val="FootnoteReference"/>
          <w:rFonts w:asciiTheme="majorHAnsi" w:hAnsiTheme="majorHAnsi"/>
          <w:sz w:val="20"/>
          <w:szCs w:val="20"/>
        </w:rPr>
        <w:footnoteReference w:id="27"/>
      </w:r>
      <w:r w:rsidRPr="008C5978">
        <w:rPr>
          <w:rFonts w:ascii="Cambria" w:hAnsi="Cambria"/>
          <w:sz w:val="20"/>
          <w:szCs w:val="20"/>
        </w:rPr>
        <w:t xml:space="preserve"> and it has been set out and applied by the Inter-American Commission in previous capital cases brought before it.</w:t>
      </w:r>
      <w:r w:rsidRPr="008C5978">
        <w:rPr>
          <w:rStyle w:val="FootnoteReference"/>
          <w:rFonts w:asciiTheme="majorHAnsi" w:hAnsiTheme="majorHAnsi"/>
          <w:sz w:val="20"/>
          <w:szCs w:val="20"/>
        </w:rPr>
        <w:footnoteReference w:id="28"/>
      </w:r>
      <w:r w:rsidR="00C01451" w:rsidRPr="008C5978">
        <w:t xml:space="preserve"> </w:t>
      </w:r>
      <w:r w:rsidRPr="008C5978">
        <w:rPr>
          <w:rFonts w:ascii="Cambria" w:hAnsi="Cambria"/>
          <w:sz w:val="20"/>
          <w:szCs w:val="20"/>
        </w:rPr>
        <w:t>As the Inter-American Commission has explained, this standard of review is the necessary consequence of the specific penalty at issue and the right to a fair trial and all attendant due process guarantees, among others.</w:t>
      </w:r>
      <w:r w:rsidRPr="008C5978">
        <w:rPr>
          <w:rStyle w:val="FootnoteReference"/>
          <w:rFonts w:asciiTheme="majorHAnsi" w:hAnsiTheme="majorHAnsi"/>
          <w:sz w:val="20"/>
          <w:szCs w:val="20"/>
        </w:rPr>
        <w:footnoteReference w:id="29"/>
      </w:r>
      <w:r w:rsidRPr="008C5978">
        <w:rPr>
          <w:rStyle w:val="FootnoteReference"/>
          <w:rFonts w:asciiTheme="majorHAnsi" w:hAnsiTheme="majorHAnsi"/>
        </w:rPr>
        <w:t xml:space="preserve"> </w:t>
      </w:r>
      <w:r w:rsidRPr="008C5978">
        <w:rPr>
          <w:rFonts w:ascii="Cambria" w:hAnsi="Cambria"/>
          <w:sz w:val="20"/>
          <w:szCs w:val="20"/>
        </w:rPr>
        <w:t>In the words of the Commission:</w:t>
      </w:r>
    </w:p>
    <w:p w14:paraId="2DD174AA" w14:textId="77777777" w:rsidR="007D2FEE" w:rsidRPr="008C5978" w:rsidRDefault="007D2FEE" w:rsidP="007D2FEE">
      <w:pPr>
        <w:pStyle w:val="ListParagraph"/>
        <w:rPr>
          <w:sz w:val="20"/>
          <w:szCs w:val="20"/>
        </w:rPr>
      </w:pPr>
    </w:p>
    <w:p w14:paraId="57756457" w14:textId="77777777" w:rsidR="007D2FEE" w:rsidRPr="008C5978" w:rsidRDefault="007D2FEE" w:rsidP="007D2FEE">
      <w:pPr>
        <w:autoSpaceDE w:val="0"/>
        <w:autoSpaceDN w:val="0"/>
        <w:adjustRightInd w:val="0"/>
        <w:ind w:left="720" w:right="720"/>
        <w:jc w:val="both"/>
        <w:rPr>
          <w:rFonts w:ascii="Cambria" w:hAnsi="Cambria" w:cs="Calibri"/>
          <w:sz w:val="18"/>
          <w:szCs w:val="18"/>
        </w:rPr>
      </w:pPr>
      <w:r w:rsidRPr="008C5978">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w:t>
      </w:r>
      <w:r w:rsidR="006D5D5D" w:rsidRPr="008C5978">
        <w:rPr>
          <w:rFonts w:ascii="Cambria" w:hAnsi="Cambria" w:cs="Calibri"/>
          <w:sz w:val="18"/>
          <w:szCs w:val="18"/>
        </w:rPr>
        <w:t>,</w:t>
      </w:r>
      <w:r w:rsidRPr="008C5978">
        <w:rPr>
          <w:rFonts w:ascii="Cambria" w:hAnsi="Cambria" w:cs="Calibri"/>
          <w:sz w:val="18"/>
          <w:szCs w:val="18"/>
        </w:rPr>
        <w:t xml:space="preserve"> warrants a particularly stringent need for reliability in determining whether a person is responsible for a crime that carries a penalty of death.</w:t>
      </w:r>
      <w:r w:rsidRPr="008C5978">
        <w:rPr>
          <w:rStyle w:val="FootnoteReference"/>
          <w:rFonts w:ascii="Cambria" w:hAnsi="Cambria"/>
          <w:sz w:val="18"/>
          <w:szCs w:val="18"/>
        </w:rPr>
        <w:footnoteReference w:id="30"/>
      </w:r>
    </w:p>
    <w:p w14:paraId="4D973B7D" w14:textId="77777777" w:rsidR="007D2FEE" w:rsidRPr="008C5978" w:rsidRDefault="007D2FEE" w:rsidP="007D2FEE">
      <w:pPr>
        <w:jc w:val="both"/>
        <w:rPr>
          <w:rFonts w:ascii="Cambria" w:hAnsi="Cambria"/>
          <w:sz w:val="20"/>
          <w:szCs w:val="20"/>
        </w:rPr>
      </w:pPr>
    </w:p>
    <w:p w14:paraId="0D44DEB3" w14:textId="5DF651D7" w:rsidR="007D2FEE" w:rsidRPr="008C5978" w:rsidRDefault="007D2FEE"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sz w:val="20"/>
          <w:szCs w:val="20"/>
        </w:rPr>
      </w:pPr>
      <w:r w:rsidRPr="008C5978">
        <w:rPr>
          <w:rFonts w:ascii="Cambria" w:hAnsi="Cambria"/>
          <w:sz w:val="20"/>
          <w:szCs w:val="20"/>
        </w:rPr>
        <w:t>The Inter-American Commission will therefore review the petitioners’ allegations in the present case with a heightened level of scrutiny, to ensure in particular that the rights to life, due process, and to a fair trial as prescribed under the American Declaration have been respected by the State.</w:t>
      </w:r>
      <w:r w:rsidR="009D15C7" w:rsidRPr="008C5978">
        <w:rPr>
          <w:rFonts w:ascii="Cambria" w:hAnsi="Cambria"/>
          <w:sz w:val="20"/>
          <w:szCs w:val="20"/>
        </w:rPr>
        <w:t xml:space="preserve"> </w:t>
      </w:r>
    </w:p>
    <w:p w14:paraId="5AD81BDF" w14:textId="77777777" w:rsidR="009424BD" w:rsidRPr="008C5978" w:rsidRDefault="009424BD" w:rsidP="009424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26201E7E" w14:textId="3B9EEC32" w:rsidR="006B6D64" w:rsidRPr="008C5978" w:rsidRDefault="006B6D64"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w:t>
      </w:r>
      <w:r w:rsidR="00C423E4" w:rsidRPr="008C5978">
        <w:rPr>
          <w:rFonts w:ascii="Cambria" w:hAnsi="Cambria"/>
          <w:sz w:val="20"/>
          <w:szCs w:val="20"/>
        </w:rPr>
        <w:t xml:space="preserve">he Commission recalls that its review does not consist of determining that the death penalty </w:t>
      </w:r>
      <w:r w:rsidR="005744A4" w:rsidRPr="008C5978">
        <w:rPr>
          <w:rFonts w:ascii="Cambria" w:hAnsi="Cambria"/>
          <w:sz w:val="20"/>
          <w:szCs w:val="20"/>
        </w:rPr>
        <w:t xml:space="preserve">in </w:t>
      </w:r>
      <w:r w:rsidR="00C423E4" w:rsidRPr="008C5978">
        <w:rPr>
          <w:rFonts w:ascii="Cambria" w:hAnsi="Cambria"/>
          <w:sz w:val="20"/>
          <w:szCs w:val="20"/>
        </w:rPr>
        <w:t xml:space="preserve">and of itself violates the American Declaration. What this section addresses </w:t>
      </w:r>
      <w:proofErr w:type="gramStart"/>
      <w:r w:rsidR="00C423E4" w:rsidRPr="008C5978">
        <w:rPr>
          <w:rFonts w:ascii="Cambria" w:hAnsi="Cambria"/>
          <w:sz w:val="20"/>
          <w:szCs w:val="20"/>
        </w:rPr>
        <w:t>is</w:t>
      </w:r>
      <w:proofErr w:type="gramEnd"/>
      <w:r w:rsidR="00C423E4" w:rsidRPr="008C5978">
        <w:rPr>
          <w:rFonts w:ascii="Cambria" w:hAnsi="Cambria"/>
          <w:sz w:val="20"/>
          <w:szCs w:val="20"/>
        </w:rPr>
        <w:t xml:space="preserve"> the standard of review of the alleged human rights violations in the context of a trial culminating in the death penalty.</w:t>
      </w:r>
    </w:p>
    <w:p w14:paraId="393E9AB8" w14:textId="77777777" w:rsidR="006B6D64" w:rsidRPr="008C5978" w:rsidRDefault="006B6D64" w:rsidP="006B6D64">
      <w:pPr>
        <w:pStyle w:val="NormalWeb"/>
        <w:shd w:val="clear" w:color="auto" w:fill="FFFFFF"/>
        <w:spacing w:before="0" w:beforeAutospacing="0" w:after="0" w:afterAutospacing="0"/>
        <w:jc w:val="both"/>
        <w:rPr>
          <w:rFonts w:ascii="Cambria" w:eastAsia="Arial Unicode MS" w:hAnsi="Cambria"/>
          <w:sz w:val="20"/>
          <w:szCs w:val="20"/>
          <w:bdr w:val="nil"/>
        </w:rPr>
      </w:pPr>
    </w:p>
    <w:p w14:paraId="31C2619B" w14:textId="77777777" w:rsidR="006B6D64" w:rsidRPr="008C5978" w:rsidRDefault="006B6D64"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Finally, </w:t>
      </w:r>
      <w:r w:rsidR="00BA2988" w:rsidRPr="008C5978">
        <w:rPr>
          <w:rFonts w:ascii="Cambria" w:hAnsi="Cambria"/>
          <w:sz w:val="20"/>
          <w:szCs w:val="20"/>
        </w:rPr>
        <w:t xml:space="preserve">given the allegation of the State regarding the non-binging nature of the American Declaration, </w:t>
      </w:r>
      <w:r w:rsidRPr="008C5978">
        <w:rPr>
          <w:rFonts w:ascii="Cambria" w:hAnsi="Cambria"/>
          <w:sz w:val="20"/>
          <w:szCs w:val="20"/>
        </w:rPr>
        <w:t>the IACHR would like to briefly refer to the legal status of the Declaration. The American Declaration is, for the Member States not parties to the American Convention on Human Rights, the source of international obligation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the rights referred to in the Charter are those enunciated and defined in the American Declaration.</w:t>
      </w:r>
      <w:r w:rsidRPr="008C5978">
        <w:rPr>
          <w:rStyle w:val="FootnoteReference"/>
          <w:rFonts w:asciiTheme="majorHAnsi" w:hAnsiTheme="majorHAnsi"/>
          <w:sz w:val="20"/>
          <w:szCs w:val="20"/>
        </w:rPr>
        <w:footnoteReference w:id="31"/>
      </w:r>
      <w:r w:rsidRPr="008C5978">
        <w:rPr>
          <w:rFonts w:ascii="Cambria" w:hAnsi="Cambria"/>
          <w:sz w:val="20"/>
          <w:szCs w:val="20"/>
        </w:rPr>
        <w:t xml:space="preserve"> Therefore, the American Declaration crystallizes the fundamental principles recognized by the American States. The OAS General Assembly has also repeatedly recognized that the American Declaration is a source of international obligation for the member states of the OAS.</w:t>
      </w:r>
      <w:r w:rsidRPr="008C5978">
        <w:rPr>
          <w:rStyle w:val="FootnoteReference"/>
          <w:rFonts w:asciiTheme="majorHAnsi" w:hAnsiTheme="majorHAnsi"/>
          <w:sz w:val="20"/>
          <w:szCs w:val="20"/>
        </w:rPr>
        <w:footnoteReference w:id="32"/>
      </w:r>
      <w:r w:rsidRPr="008C5978">
        <w:rPr>
          <w:rFonts w:ascii="Cambria" w:hAnsi="Cambria"/>
          <w:sz w:val="20"/>
          <w:szCs w:val="20"/>
        </w:rPr>
        <w:t xml:space="preserve"> In this </w:t>
      </w:r>
      <w:r w:rsidRPr="008C5978">
        <w:rPr>
          <w:rFonts w:ascii="Cambria" w:hAnsi="Cambria"/>
          <w:sz w:val="20"/>
          <w:szCs w:val="20"/>
        </w:rPr>
        <w:lastRenderedPageBreak/>
        <w:t>respect, the Inter-American Court of Human Rights noted that “by means of an authoritative interpretation, the member states of the Organization have signaled their agreement that the Declaration contains and defines the fundamental human rights referred to in the Charter.”</w:t>
      </w:r>
      <w:r w:rsidRPr="008C5978">
        <w:rPr>
          <w:rStyle w:val="FootnoteReference"/>
          <w:rFonts w:asciiTheme="majorHAnsi" w:hAnsiTheme="majorHAnsi"/>
          <w:sz w:val="20"/>
          <w:szCs w:val="20"/>
        </w:rPr>
        <w:footnoteReference w:id="33"/>
      </w:r>
    </w:p>
    <w:p w14:paraId="09274C35" w14:textId="77777777" w:rsidR="001D1343" w:rsidRPr="008C5978" w:rsidRDefault="000973C5" w:rsidP="00EE5D7E">
      <w:pPr>
        <w:pStyle w:val="Heading2"/>
        <w:rPr>
          <w:rFonts w:eastAsia="Arial Unicode MS"/>
          <w:color w:val="auto"/>
          <w:sz w:val="20"/>
          <w:szCs w:val="20"/>
        </w:rPr>
      </w:pPr>
      <w:bookmarkStart w:id="13" w:name="_Toc89506722"/>
      <w:r w:rsidRPr="008C5978">
        <w:rPr>
          <w:rFonts w:eastAsia="Arial Unicode MS"/>
          <w:color w:val="auto"/>
          <w:sz w:val="20"/>
          <w:szCs w:val="20"/>
        </w:rPr>
        <w:t>B.</w:t>
      </w:r>
      <w:r w:rsidRPr="008C5978">
        <w:rPr>
          <w:rFonts w:eastAsia="Arial Unicode MS"/>
          <w:color w:val="auto"/>
          <w:sz w:val="20"/>
          <w:szCs w:val="20"/>
        </w:rPr>
        <w:tab/>
      </w:r>
      <w:r w:rsidR="00C04473" w:rsidRPr="008C5978">
        <w:rPr>
          <w:rFonts w:eastAsia="Arial Unicode MS"/>
          <w:color w:val="auto"/>
          <w:sz w:val="20"/>
          <w:szCs w:val="20"/>
        </w:rPr>
        <w:t xml:space="preserve">Right to a fair </w:t>
      </w:r>
      <w:r w:rsidR="000F4547" w:rsidRPr="008C5978">
        <w:rPr>
          <w:rFonts w:eastAsia="Arial Unicode MS"/>
          <w:color w:val="auto"/>
          <w:sz w:val="20"/>
          <w:szCs w:val="20"/>
        </w:rPr>
        <w:t>trial</w:t>
      </w:r>
      <w:r w:rsidR="00EE36D7" w:rsidRPr="008C5978">
        <w:rPr>
          <w:rStyle w:val="FootnoteReference"/>
          <w:rFonts w:eastAsia="Arial Unicode MS"/>
          <w:color w:val="auto"/>
          <w:sz w:val="20"/>
          <w:szCs w:val="20"/>
        </w:rPr>
        <w:footnoteReference w:id="34"/>
      </w:r>
      <w:r w:rsidR="000F4547" w:rsidRPr="008C5978">
        <w:rPr>
          <w:rFonts w:eastAsia="Arial Unicode MS"/>
          <w:color w:val="auto"/>
          <w:sz w:val="20"/>
          <w:szCs w:val="20"/>
        </w:rPr>
        <w:t xml:space="preserve"> and to due process of law</w:t>
      </w:r>
      <w:r w:rsidR="00EE36D7" w:rsidRPr="008C5978">
        <w:rPr>
          <w:rStyle w:val="FootnoteReference"/>
          <w:rFonts w:eastAsia="Arial Unicode MS"/>
          <w:color w:val="auto"/>
          <w:sz w:val="20"/>
          <w:szCs w:val="20"/>
        </w:rPr>
        <w:footnoteReference w:id="35"/>
      </w:r>
      <w:bookmarkEnd w:id="13"/>
      <w:r w:rsidR="00C04473" w:rsidRPr="008C5978">
        <w:rPr>
          <w:rFonts w:eastAsia="Arial Unicode MS"/>
          <w:color w:val="auto"/>
          <w:sz w:val="20"/>
          <w:szCs w:val="20"/>
        </w:rPr>
        <w:t xml:space="preserve">   </w:t>
      </w:r>
    </w:p>
    <w:p w14:paraId="43A33903" w14:textId="77777777" w:rsidR="00E02360" w:rsidRPr="008C5978" w:rsidRDefault="00E02360" w:rsidP="00E02360">
      <w:pPr>
        <w:pStyle w:val="Heading3"/>
        <w:rPr>
          <w:color w:val="auto"/>
          <w:sz w:val="20"/>
          <w:szCs w:val="20"/>
        </w:rPr>
      </w:pPr>
      <w:bookmarkStart w:id="14" w:name="_Toc89506723"/>
      <w:r w:rsidRPr="008C5978">
        <w:rPr>
          <w:color w:val="auto"/>
          <w:sz w:val="20"/>
          <w:szCs w:val="20"/>
        </w:rPr>
        <w:t>1.</w:t>
      </w:r>
      <w:r w:rsidRPr="008C5978">
        <w:rPr>
          <w:color w:val="auto"/>
          <w:sz w:val="20"/>
          <w:szCs w:val="20"/>
        </w:rPr>
        <w:tab/>
      </w:r>
      <w:r w:rsidR="00754E95" w:rsidRPr="008C5978">
        <w:rPr>
          <w:color w:val="auto"/>
          <w:sz w:val="20"/>
          <w:szCs w:val="20"/>
        </w:rPr>
        <w:t xml:space="preserve">General considerations regarding </w:t>
      </w:r>
      <w:r w:rsidR="00C9055F" w:rsidRPr="008C5978">
        <w:rPr>
          <w:color w:val="auto"/>
          <w:sz w:val="20"/>
          <w:szCs w:val="20"/>
        </w:rPr>
        <w:t xml:space="preserve">ineffective assistance </w:t>
      </w:r>
      <w:r w:rsidRPr="008C5978">
        <w:rPr>
          <w:color w:val="auto"/>
          <w:sz w:val="20"/>
          <w:szCs w:val="20"/>
        </w:rPr>
        <w:t>of court</w:t>
      </w:r>
      <w:r w:rsidR="00C9055F" w:rsidRPr="008C5978">
        <w:rPr>
          <w:color w:val="auto"/>
          <w:sz w:val="20"/>
          <w:szCs w:val="20"/>
        </w:rPr>
        <w:t>-appointed counsel</w:t>
      </w:r>
      <w:bookmarkEnd w:id="14"/>
    </w:p>
    <w:p w14:paraId="67CF04ED" w14:textId="77777777" w:rsidR="00C9055F" w:rsidRPr="008C5978" w:rsidRDefault="00C9055F" w:rsidP="00C9055F">
      <w:pPr>
        <w:pStyle w:val="ListParagraph"/>
        <w:rPr>
          <w:rFonts w:asciiTheme="majorHAnsi" w:hAnsiTheme="majorHAnsi"/>
          <w:bCs/>
          <w:sz w:val="20"/>
          <w:szCs w:val="20"/>
        </w:rPr>
      </w:pPr>
    </w:p>
    <w:p w14:paraId="0BFCD3F7" w14:textId="77777777" w:rsidR="00C9055F" w:rsidRPr="008C5978" w:rsidRDefault="00C9055F"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8C5978">
        <w:rPr>
          <w:rStyle w:val="FootnoteReference"/>
          <w:rFonts w:asciiTheme="majorHAnsi" w:hAnsiTheme="majorHAnsi"/>
          <w:sz w:val="20"/>
          <w:szCs w:val="20"/>
        </w:rPr>
        <w:footnoteReference w:id="36"/>
      </w:r>
      <w:r w:rsidRPr="008C5978">
        <w:rPr>
          <w:rFonts w:ascii="Cambria" w:hAnsi="Cambria"/>
          <w:sz w:val="20"/>
          <w:szCs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8C5978">
        <w:rPr>
          <w:rStyle w:val="FootnoteReference"/>
          <w:rFonts w:asciiTheme="majorHAnsi" w:hAnsiTheme="majorHAnsi"/>
          <w:sz w:val="20"/>
          <w:szCs w:val="20"/>
        </w:rPr>
        <w:footnoteReference w:id="37"/>
      </w:r>
    </w:p>
    <w:p w14:paraId="7D5C525D" w14:textId="77777777" w:rsidR="00C9055F" w:rsidRPr="008C5978" w:rsidRDefault="00C9055F" w:rsidP="009E075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rPr>
      </w:pPr>
    </w:p>
    <w:p w14:paraId="59D0BD5C" w14:textId="77777777" w:rsidR="00C9055F" w:rsidRPr="008C5978" w:rsidRDefault="00C9055F"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  In the present case, the interests at stake included the potential application of the death penalty, and the assistance of counsel must be evaluated in that context.</w:t>
      </w:r>
      <w:r w:rsidR="00A709DB" w:rsidRPr="008C5978">
        <w:rPr>
          <w:rStyle w:val="FootnoteReference"/>
          <w:rFonts w:asciiTheme="majorHAnsi" w:hAnsiTheme="majorHAnsi"/>
          <w:sz w:val="20"/>
          <w:szCs w:val="20"/>
        </w:rPr>
        <w:footnoteReference w:id="38"/>
      </w:r>
      <w:r w:rsidRPr="008C5978">
        <w:rPr>
          <w:rStyle w:val="FootnoteReference"/>
          <w:rFonts w:asciiTheme="majorHAnsi" w:hAnsiTheme="majorHAnsi"/>
        </w:rPr>
        <w:t xml:space="preserve"> </w:t>
      </w:r>
    </w:p>
    <w:p w14:paraId="37FD4AC3" w14:textId="77777777" w:rsidR="00C9055F" w:rsidRPr="008C5978" w:rsidRDefault="00C9055F" w:rsidP="00525C32">
      <w:pPr>
        <w:pStyle w:val="ListParagraph"/>
        <w:tabs>
          <w:tab w:val="left" w:pos="720"/>
        </w:tabs>
        <w:rPr>
          <w:rFonts w:asciiTheme="majorHAnsi" w:hAnsiTheme="majorHAnsi"/>
          <w:sz w:val="20"/>
          <w:szCs w:val="20"/>
        </w:rPr>
      </w:pPr>
    </w:p>
    <w:p w14:paraId="0B29FA9A" w14:textId="77777777" w:rsidR="00C9055F" w:rsidRPr="008C5978" w:rsidRDefault="00C9055F"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8C5978">
        <w:rPr>
          <w:rStyle w:val="FootnoteReference"/>
          <w:rFonts w:asciiTheme="majorHAnsi" w:hAnsiTheme="majorHAnsi"/>
          <w:sz w:val="20"/>
        </w:rPr>
        <w:footnoteReference w:id="39"/>
      </w:r>
      <w:r w:rsidRPr="008C5978">
        <w:rPr>
          <w:rFonts w:ascii="Cambria" w:hAnsi="Cambria"/>
          <w:sz w:val="20"/>
          <w:szCs w:val="20"/>
        </w:rPr>
        <w:t xml:space="preserve"> The Commission has also indicated that due process protections, under the Declaration: </w:t>
      </w:r>
    </w:p>
    <w:p w14:paraId="647F9EAA" w14:textId="77777777" w:rsidR="00C9055F" w:rsidRPr="008C5978" w:rsidRDefault="00C9055F" w:rsidP="00C9055F">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0EF6CCDB" w14:textId="77777777" w:rsidR="00C9055F" w:rsidRPr="008C5978" w:rsidRDefault="00C9055F" w:rsidP="00C9055F">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18"/>
          <w:szCs w:val="18"/>
        </w:rPr>
      </w:pPr>
      <w:r w:rsidRPr="008C5978">
        <w:rPr>
          <w:rFonts w:ascii="Cambria" w:hAnsi="Cambria"/>
          <w:sz w:val="18"/>
          <w:szCs w:val="18"/>
        </w:rPr>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8C5978">
        <w:rPr>
          <w:rStyle w:val="FootnoteReference"/>
          <w:rFonts w:ascii="Cambria" w:hAnsi="Cambria"/>
          <w:sz w:val="18"/>
          <w:szCs w:val="18"/>
        </w:rPr>
        <w:footnoteReference w:id="40"/>
      </w:r>
    </w:p>
    <w:p w14:paraId="2D1DB305" w14:textId="77777777" w:rsidR="00C9055F" w:rsidRPr="008C5978" w:rsidRDefault="00C9055F" w:rsidP="00C905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Cs/>
          <w:sz w:val="20"/>
          <w:szCs w:val="20"/>
        </w:rPr>
      </w:pPr>
    </w:p>
    <w:p w14:paraId="676988E7" w14:textId="277C5518" w:rsidR="00C9055F" w:rsidRPr="008C5978" w:rsidRDefault="00C9055F"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It may be noted that the fundamental nature of this guarantee has been reflected in practice guidelines for lawyers. The American Bar Association has prepared and adopted guidelines and related commentaries </w:t>
      </w:r>
      <w:r w:rsidRPr="008C5978">
        <w:rPr>
          <w:rFonts w:ascii="Cambria" w:hAnsi="Cambria"/>
          <w:sz w:val="20"/>
          <w:szCs w:val="20"/>
        </w:rPr>
        <w:lastRenderedPageBreak/>
        <w:t>that emphasize the importance of investigating and presenting mitigating evidence in death penalty cases.</w:t>
      </w:r>
      <w:r w:rsidRPr="008C5978">
        <w:rPr>
          <w:rStyle w:val="FootnoteReference"/>
          <w:rFonts w:asciiTheme="majorHAnsi" w:hAnsiTheme="majorHAnsi"/>
          <w:sz w:val="20"/>
        </w:rPr>
        <w:footnoteReference w:id="41"/>
      </w:r>
      <w:r w:rsidRPr="008C5978">
        <w:rPr>
          <w:rFonts w:ascii="Cambria" w:hAnsi="Cambria"/>
          <w:sz w:val="20"/>
          <w:szCs w:val="20"/>
        </w:rPr>
        <w:t xml:space="preserve"> According to these guidelines, the duty of counsel in the United States to investigate and present mitigating evidence is now well-established and “[b]</w:t>
      </w:r>
      <w:proofErr w:type="spellStart"/>
      <w:r w:rsidRPr="008C5978">
        <w:rPr>
          <w:rFonts w:ascii="Cambria" w:hAnsi="Cambria"/>
          <w:sz w:val="20"/>
          <w:szCs w:val="20"/>
        </w:rPr>
        <w:t>ecause</w:t>
      </w:r>
      <w:proofErr w:type="spellEnd"/>
      <w:r w:rsidRPr="008C5978">
        <w:rPr>
          <w:rFonts w:ascii="Cambria" w:hAnsi="Cambria"/>
          <w:sz w:val="20"/>
          <w:szCs w:val="20"/>
        </w:rPr>
        <w:t xml:space="preserv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8C5978">
        <w:rPr>
          <w:rStyle w:val="FootnoteReference"/>
          <w:rFonts w:asciiTheme="majorHAnsi" w:hAnsiTheme="majorHAnsi"/>
          <w:sz w:val="20"/>
        </w:rPr>
        <w:footnoteReference w:id="42"/>
      </w:r>
      <w:r w:rsidRPr="008C5978">
        <w:rPr>
          <w:rFonts w:ascii="Cambria" w:hAnsi="Cambria"/>
          <w:sz w:val="20"/>
          <w:szCs w:val="20"/>
        </w:rPr>
        <w:t xml:space="preserve"> 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8C5978">
        <w:rPr>
          <w:rStyle w:val="FootnoteReference"/>
          <w:rFonts w:asciiTheme="majorHAnsi" w:hAnsiTheme="majorHAnsi"/>
          <w:sz w:val="20"/>
        </w:rPr>
        <w:footnoteReference w:id="43"/>
      </w:r>
      <w:r w:rsidRPr="008C5978">
        <w:rPr>
          <w:rFonts w:ascii="Cambria" w:hAnsi="Cambria"/>
          <w:sz w:val="20"/>
          <w:szCs w:val="20"/>
        </w:rPr>
        <w:t xml:space="preserve"> </w:t>
      </w:r>
    </w:p>
    <w:p w14:paraId="67D94804" w14:textId="77777777" w:rsidR="000C1094" w:rsidRPr="008C5978" w:rsidRDefault="000C1094" w:rsidP="000C10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246DE1C0" w14:textId="7BE7C65F" w:rsidR="000C1094" w:rsidRPr="008C5978" w:rsidRDefault="000C1094"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Finally, the Commission notes that the international responsibility of the State is activated not only when court-appointed counsel is inefficient but also when the manifest negligence of the defense should have been evident to the judicial authorities and the necessary and sufficient actions were not taken to prevent and/or remedy the violation of the right to defense.</w:t>
      </w:r>
      <w:r w:rsidR="00B36E37" w:rsidRPr="008C5978">
        <w:rPr>
          <w:rStyle w:val="FootnoteReference"/>
          <w:rFonts w:ascii="Cambria" w:hAnsi="Cambria"/>
          <w:sz w:val="20"/>
          <w:szCs w:val="20"/>
        </w:rPr>
        <w:footnoteReference w:id="44"/>
      </w:r>
    </w:p>
    <w:p w14:paraId="56B5E7B3" w14:textId="77777777" w:rsidR="00525C32" w:rsidRPr="008C5978" w:rsidRDefault="00E02360" w:rsidP="00E02360">
      <w:pPr>
        <w:pStyle w:val="Heading3"/>
        <w:rPr>
          <w:color w:val="auto"/>
          <w:sz w:val="20"/>
          <w:szCs w:val="20"/>
        </w:rPr>
      </w:pPr>
      <w:bookmarkStart w:id="15" w:name="_Toc89506724"/>
      <w:r w:rsidRPr="008C5978">
        <w:rPr>
          <w:color w:val="auto"/>
          <w:sz w:val="20"/>
          <w:szCs w:val="20"/>
        </w:rPr>
        <w:t>2.</w:t>
      </w:r>
      <w:r w:rsidRPr="008C5978">
        <w:rPr>
          <w:color w:val="auto"/>
          <w:sz w:val="20"/>
          <w:szCs w:val="20"/>
        </w:rPr>
        <w:tab/>
      </w:r>
      <w:r w:rsidR="00525C32" w:rsidRPr="008C5978">
        <w:rPr>
          <w:color w:val="auto"/>
          <w:sz w:val="20"/>
          <w:szCs w:val="20"/>
        </w:rPr>
        <w:t>Analysis of the case</w:t>
      </w:r>
      <w:bookmarkEnd w:id="15"/>
    </w:p>
    <w:p w14:paraId="1B869971" w14:textId="77777777" w:rsidR="00754E95" w:rsidRPr="008C5978" w:rsidRDefault="00754E95" w:rsidP="00754E95"/>
    <w:p w14:paraId="15B94E9B" w14:textId="77777777" w:rsidR="00525C32" w:rsidRPr="008C5978" w:rsidRDefault="00ED19E9"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Based on the available information, t</w:t>
      </w:r>
      <w:r w:rsidR="00525C32" w:rsidRPr="008C5978">
        <w:rPr>
          <w:rFonts w:ascii="Cambria" w:hAnsi="Cambria"/>
          <w:sz w:val="20"/>
          <w:szCs w:val="20"/>
        </w:rPr>
        <w:t xml:space="preserve">he Commission will analyze whether the assistance of counsel was effective in the overall context of Mr. Maldonado’s case and taking into account the specific interests at stake. </w:t>
      </w:r>
    </w:p>
    <w:p w14:paraId="01095FE3" w14:textId="77777777" w:rsidR="00A95F1A" w:rsidRPr="008C5978" w:rsidRDefault="00A95F1A" w:rsidP="00A95F1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Theme="majorHAnsi" w:hAnsiTheme="majorHAnsi" w:cs="Arial"/>
          <w:sz w:val="20"/>
          <w:szCs w:val="20"/>
        </w:rPr>
      </w:pPr>
    </w:p>
    <w:p w14:paraId="5FB03731" w14:textId="77777777" w:rsidR="00A95F1A" w:rsidRPr="008C5978" w:rsidRDefault="00A95F1A"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The petitioners claim that, at his trial, Mr. Maldonado was represented by a court-appointed attorney who failed to meaningfully investigate, develop, and present substantial mitigating evidence. The S</w:t>
      </w:r>
      <w:r w:rsidR="00EB0252" w:rsidRPr="008C5978">
        <w:rPr>
          <w:rFonts w:ascii="Cambria" w:hAnsi="Cambria"/>
          <w:sz w:val="20"/>
          <w:szCs w:val="20"/>
        </w:rPr>
        <w:t>t</w:t>
      </w:r>
      <w:r w:rsidRPr="008C5978">
        <w:rPr>
          <w:rFonts w:ascii="Cambria" w:hAnsi="Cambria"/>
          <w:sz w:val="20"/>
          <w:szCs w:val="20"/>
        </w:rPr>
        <w:t>ate argues that, despite the evidence about Mr. Maldonado’s difficult childhood presented by the defense, the jury concluded that the mitigating circumstances did not warrant a life sentence.</w:t>
      </w:r>
    </w:p>
    <w:p w14:paraId="064247B2" w14:textId="77777777" w:rsidR="00A95F1A" w:rsidRPr="008C5978" w:rsidRDefault="00A95F1A" w:rsidP="00A95F1A">
      <w:pPr>
        <w:pStyle w:val="ListParagraph"/>
        <w:rPr>
          <w:rFonts w:asciiTheme="majorHAnsi" w:hAnsiTheme="majorHAnsi" w:cs="Arial"/>
          <w:sz w:val="20"/>
          <w:szCs w:val="20"/>
        </w:rPr>
      </w:pPr>
    </w:p>
    <w:p w14:paraId="37C51E07" w14:textId="3B812736" w:rsidR="005B3EF2" w:rsidRPr="008C5978" w:rsidRDefault="008C7564"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According to the facts established in this report, </w:t>
      </w:r>
      <w:r w:rsidR="00EB0252" w:rsidRPr="008C5978">
        <w:rPr>
          <w:rFonts w:ascii="Cambria" w:hAnsi="Cambria"/>
          <w:sz w:val="20"/>
          <w:szCs w:val="20"/>
        </w:rPr>
        <w:t xml:space="preserve">Mr. Maldonado suffered </w:t>
      </w:r>
      <w:r w:rsidR="00E23A98" w:rsidRPr="008C5978">
        <w:rPr>
          <w:rFonts w:ascii="Cambria" w:hAnsi="Cambria"/>
          <w:sz w:val="20"/>
          <w:szCs w:val="20"/>
        </w:rPr>
        <w:t xml:space="preserve">malnutrition as well as early and </w:t>
      </w:r>
      <w:r w:rsidR="00EB0252" w:rsidRPr="008C5978">
        <w:rPr>
          <w:rFonts w:ascii="Cambria" w:hAnsi="Cambria"/>
          <w:sz w:val="20"/>
          <w:szCs w:val="20"/>
        </w:rPr>
        <w:t>severe physical and emotional abuse during his childhood</w:t>
      </w:r>
      <w:r w:rsidR="00E23A98" w:rsidRPr="008C5978">
        <w:rPr>
          <w:rFonts w:ascii="Cambria" w:hAnsi="Cambria"/>
          <w:sz w:val="20"/>
          <w:szCs w:val="20"/>
        </w:rPr>
        <w:t xml:space="preserve"> in Mexico, h</w:t>
      </w:r>
      <w:r w:rsidR="00725EA9">
        <w:rPr>
          <w:rFonts w:ascii="Cambria" w:hAnsi="Cambria"/>
          <w:sz w:val="20"/>
          <w:szCs w:val="20"/>
        </w:rPr>
        <w:t>is</w:t>
      </w:r>
      <w:r w:rsidR="00E23A98" w:rsidRPr="008C5978">
        <w:rPr>
          <w:rFonts w:ascii="Cambria" w:hAnsi="Cambria"/>
          <w:sz w:val="20"/>
          <w:szCs w:val="20"/>
        </w:rPr>
        <w:t xml:space="preserve"> mother drank heavily during the pregnancy,</w:t>
      </w:r>
      <w:r w:rsidR="00EB0252" w:rsidRPr="008C5978">
        <w:rPr>
          <w:rFonts w:ascii="Cambria" w:hAnsi="Cambria"/>
          <w:sz w:val="20"/>
          <w:szCs w:val="20"/>
        </w:rPr>
        <w:t xml:space="preserve"> and </w:t>
      </w:r>
      <w:r w:rsidR="00E23A98" w:rsidRPr="008C5978">
        <w:rPr>
          <w:rFonts w:ascii="Cambria" w:hAnsi="Cambria"/>
          <w:sz w:val="20"/>
          <w:szCs w:val="20"/>
        </w:rPr>
        <w:t>he started drinking alcohol as a young child. It is also a fact that Mr. Maldonado dropped out</w:t>
      </w:r>
      <w:r w:rsidR="00EB0252" w:rsidRPr="008C5978">
        <w:rPr>
          <w:rFonts w:ascii="Cambria" w:hAnsi="Cambria"/>
          <w:sz w:val="20"/>
          <w:szCs w:val="20"/>
        </w:rPr>
        <w:t xml:space="preserve"> </w:t>
      </w:r>
      <w:r w:rsidR="00E23A98" w:rsidRPr="008C5978">
        <w:rPr>
          <w:rFonts w:ascii="Cambria" w:hAnsi="Cambria"/>
          <w:sz w:val="20"/>
          <w:szCs w:val="20"/>
        </w:rPr>
        <w:t>of school after failing to pass first grade</w:t>
      </w:r>
      <w:r w:rsidR="00CF6754" w:rsidRPr="008C5978">
        <w:rPr>
          <w:rFonts w:ascii="Cambria" w:hAnsi="Cambria"/>
          <w:sz w:val="20"/>
          <w:szCs w:val="20"/>
        </w:rPr>
        <w:t>,</w:t>
      </w:r>
      <w:r w:rsidR="00E23A98" w:rsidRPr="008C5978">
        <w:rPr>
          <w:rFonts w:ascii="Cambria" w:hAnsi="Cambria"/>
          <w:sz w:val="20"/>
          <w:szCs w:val="20"/>
        </w:rPr>
        <w:t xml:space="preserve"> and that</w:t>
      </w:r>
      <w:r w:rsidR="00CF6754" w:rsidRPr="008C5978">
        <w:rPr>
          <w:rFonts w:ascii="Cambria" w:hAnsi="Cambria"/>
          <w:sz w:val="20"/>
          <w:szCs w:val="20"/>
        </w:rPr>
        <w:t xml:space="preserve"> </w:t>
      </w:r>
      <w:r w:rsidR="00E23A98" w:rsidRPr="008C5978">
        <w:rPr>
          <w:rFonts w:ascii="Cambria" w:hAnsi="Cambria"/>
          <w:sz w:val="20"/>
          <w:szCs w:val="20"/>
        </w:rPr>
        <w:t xml:space="preserve">he </w:t>
      </w:r>
      <w:r w:rsidR="005B3EF2" w:rsidRPr="008C5978">
        <w:rPr>
          <w:rFonts w:ascii="Cambria" w:hAnsi="Cambria"/>
          <w:sz w:val="20"/>
          <w:szCs w:val="20"/>
        </w:rPr>
        <w:t>started working</w:t>
      </w:r>
      <w:r w:rsidR="00DC7693" w:rsidRPr="008C5978">
        <w:rPr>
          <w:rFonts w:ascii="Cambria" w:hAnsi="Cambria"/>
          <w:sz w:val="20"/>
          <w:szCs w:val="20"/>
        </w:rPr>
        <w:t xml:space="preserve"> </w:t>
      </w:r>
      <w:r w:rsidR="00CF6754" w:rsidRPr="008C5978">
        <w:rPr>
          <w:rFonts w:ascii="Cambria" w:hAnsi="Cambria"/>
          <w:sz w:val="20"/>
          <w:szCs w:val="20"/>
        </w:rPr>
        <w:t xml:space="preserve">in the fields at the age of 13 </w:t>
      </w:r>
      <w:r w:rsidR="00DC7693" w:rsidRPr="008C5978">
        <w:rPr>
          <w:rFonts w:ascii="Cambria" w:hAnsi="Cambria"/>
          <w:sz w:val="20"/>
          <w:szCs w:val="20"/>
        </w:rPr>
        <w:t>carrying</w:t>
      </w:r>
      <w:r w:rsidR="005B3EF2" w:rsidRPr="008C5978">
        <w:rPr>
          <w:rFonts w:ascii="Cambria" w:hAnsi="Cambria"/>
          <w:sz w:val="20"/>
          <w:szCs w:val="20"/>
        </w:rPr>
        <w:t xml:space="preserve"> chemical agents that are known to cause damage to the central nervous system. </w:t>
      </w:r>
      <w:r w:rsidR="00BA3099" w:rsidRPr="008C5978">
        <w:rPr>
          <w:rFonts w:ascii="Cambria" w:hAnsi="Cambria"/>
          <w:sz w:val="20"/>
          <w:szCs w:val="20"/>
        </w:rPr>
        <w:t xml:space="preserve">All these constitute relevant and critical pieces of evidence </w:t>
      </w:r>
      <w:r w:rsidR="00253F1B" w:rsidRPr="008C5978">
        <w:rPr>
          <w:rFonts w:ascii="Cambria" w:hAnsi="Cambria"/>
          <w:sz w:val="20"/>
          <w:szCs w:val="20"/>
        </w:rPr>
        <w:t xml:space="preserve">that </w:t>
      </w:r>
      <w:r w:rsidR="00BF7C42" w:rsidRPr="008C5978">
        <w:rPr>
          <w:rFonts w:ascii="Cambria" w:hAnsi="Cambria"/>
          <w:sz w:val="20"/>
          <w:szCs w:val="20"/>
        </w:rPr>
        <w:t>a</w:t>
      </w:r>
      <w:r w:rsidR="00DA7982" w:rsidRPr="008C5978">
        <w:rPr>
          <w:rFonts w:ascii="Cambria" w:hAnsi="Cambria"/>
          <w:sz w:val="20"/>
          <w:szCs w:val="20"/>
        </w:rPr>
        <w:t xml:space="preserve"> diligent defense would</w:t>
      </w:r>
      <w:r w:rsidR="00253F1B" w:rsidRPr="008C5978">
        <w:rPr>
          <w:rFonts w:ascii="Cambria" w:hAnsi="Cambria"/>
          <w:sz w:val="20"/>
          <w:szCs w:val="20"/>
        </w:rPr>
        <w:t xml:space="preserve"> have</w:t>
      </w:r>
      <w:r w:rsidR="00BA3099" w:rsidRPr="008C5978">
        <w:rPr>
          <w:rFonts w:ascii="Cambria" w:hAnsi="Cambria"/>
          <w:sz w:val="20"/>
          <w:szCs w:val="20"/>
        </w:rPr>
        <w:t xml:space="preserve"> </w:t>
      </w:r>
      <w:r w:rsidR="00F3379A" w:rsidRPr="008C5978">
        <w:rPr>
          <w:rFonts w:ascii="Cambria" w:hAnsi="Cambria"/>
          <w:sz w:val="20"/>
          <w:szCs w:val="20"/>
        </w:rPr>
        <w:t>presented</w:t>
      </w:r>
      <w:r w:rsidR="00BA3099" w:rsidRPr="008C5978">
        <w:rPr>
          <w:rFonts w:ascii="Cambria" w:hAnsi="Cambria"/>
          <w:sz w:val="20"/>
          <w:szCs w:val="20"/>
        </w:rPr>
        <w:t xml:space="preserve"> </w:t>
      </w:r>
      <w:r w:rsidR="00253F1B" w:rsidRPr="008C5978">
        <w:rPr>
          <w:rFonts w:ascii="Cambria" w:hAnsi="Cambria"/>
          <w:sz w:val="20"/>
          <w:szCs w:val="20"/>
        </w:rPr>
        <w:t>as</w:t>
      </w:r>
      <w:r w:rsidR="00BA3099" w:rsidRPr="008C5978">
        <w:rPr>
          <w:rFonts w:ascii="Cambria" w:hAnsi="Cambria"/>
          <w:sz w:val="20"/>
          <w:szCs w:val="20"/>
        </w:rPr>
        <w:t xml:space="preserve"> mitigat</w:t>
      </w:r>
      <w:r w:rsidR="00253F1B" w:rsidRPr="008C5978">
        <w:rPr>
          <w:rFonts w:ascii="Cambria" w:hAnsi="Cambria"/>
          <w:sz w:val="20"/>
          <w:szCs w:val="20"/>
        </w:rPr>
        <w:t xml:space="preserve">ing </w:t>
      </w:r>
      <w:r w:rsidR="00F3379A" w:rsidRPr="008C5978">
        <w:rPr>
          <w:rFonts w:ascii="Cambria" w:hAnsi="Cambria"/>
          <w:sz w:val="20"/>
          <w:szCs w:val="20"/>
        </w:rPr>
        <w:t>circumstances</w:t>
      </w:r>
      <w:r w:rsidR="00253F1B" w:rsidRPr="008C5978">
        <w:rPr>
          <w:rFonts w:ascii="Cambria" w:hAnsi="Cambria"/>
          <w:sz w:val="20"/>
          <w:szCs w:val="20"/>
        </w:rPr>
        <w:t>.</w:t>
      </w:r>
      <w:r w:rsidR="00BA3099" w:rsidRPr="008C5978">
        <w:rPr>
          <w:rFonts w:ascii="Cambria" w:hAnsi="Cambria"/>
          <w:sz w:val="20"/>
          <w:szCs w:val="20"/>
        </w:rPr>
        <w:t xml:space="preserve"> </w:t>
      </w:r>
    </w:p>
    <w:p w14:paraId="201DCC62" w14:textId="77777777" w:rsidR="007B762A" w:rsidRPr="008C5978" w:rsidRDefault="007B762A" w:rsidP="00B506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11742F73" w14:textId="64CA2572" w:rsidR="00E337D9" w:rsidRPr="008C5978" w:rsidRDefault="007B762A"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Despite all th</w:t>
      </w:r>
      <w:r w:rsidR="00DA7982" w:rsidRPr="008C5978">
        <w:rPr>
          <w:rFonts w:ascii="Cambria" w:hAnsi="Cambria"/>
          <w:sz w:val="20"/>
          <w:szCs w:val="20"/>
        </w:rPr>
        <w:t>e</w:t>
      </w:r>
      <w:r w:rsidRPr="008C5978">
        <w:rPr>
          <w:rFonts w:ascii="Cambria" w:hAnsi="Cambria"/>
          <w:sz w:val="20"/>
          <w:szCs w:val="20"/>
        </w:rPr>
        <w:t xml:space="preserve"> available information, court-appointed </w:t>
      </w:r>
      <w:r w:rsidR="00CF6754" w:rsidRPr="008C5978">
        <w:rPr>
          <w:rFonts w:ascii="Cambria" w:hAnsi="Cambria"/>
          <w:sz w:val="20"/>
          <w:szCs w:val="20"/>
        </w:rPr>
        <w:t xml:space="preserve">trial </w:t>
      </w:r>
      <w:r w:rsidRPr="008C5978">
        <w:rPr>
          <w:rFonts w:ascii="Cambria" w:hAnsi="Cambria"/>
          <w:sz w:val="20"/>
          <w:szCs w:val="20"/>
        </w:rPr>
        <w:t>counsel decided to call only one character witness</w:t>
      </w:r>
      <w:r w:rsidR="00CF6754" w:rsidRPr="008C5978">
        <w:rPr>
          <w:rFonts w:ascii="Cambria" w:hAnsi="Cambria"/>
          <w:sz w:val="20"/>
          <w:szCs w:val="20"/>
        </w:rPr>
        <w:t xml:space="preserve"> at the penalty phase, Mr. Maldonado’s father, who abandoned his family before Mr. Maldonado was even born and who only saw him </w:t>
      </w:r>
      <w:r w:rsidR="00A500DA" w:rsidRPr="008C5978">
        <w:rPr>
          <w:rFonts w:ascii="Cambria" w:hAnsi="Cambria"/>
          <w:sz w:val="20"/>
          <w:szCs w:val="20"/>
        </w:rPr>
        <w:t>one day, for</w:t>
      </w:r>
      <w:r w:rsidR="00CF6754" w:rsidRPr="008C5978">
        <w:rPr>
          <w:rFonts w:ascii="Cambria" w:hAnsi="Cambria"/>
          <w:sz w:val="20"/>
          <w:szCs w:val="20"/>
        </w:rPr>
        <w:t xml:space="preserve"> a total of 30 minutes</w:t>
      </w:r>
      <w:r w:rsidR="00A500DA" w:rsidRPr="008C5978">
        <w:rPr>
          <w:rFonts w:ascii="Cambria" w:hAnsi="Cambria"/>
          <w:sz w:val="20"/>
          <w:szCs w:val="20"/>
        </w:rPr>
        <w:t>,</w:t>
      </w:r>
      <w:r w:rsidR="00CF6754" w:rsidRPr="008C5978">
        <w:rPr>
          <w:rFonts w:ascii="Cambria" w:hAnsi="Cambria"/>
          <w:sz w:val="20"/>
          <w:szCs w:val="20"/>
        </w:rPr>
        <w:t xml:space="preserve"> up until the time he was 21 years old</w:t>
      </w:r>
      <w:r w:rsidR="00A500DA" w:rsidRPr="008C5978">
        <w:rPr>
          <w:rFonts w:ascii="Cambria" w:hAnsi="Cambria"/>
          <w:sz w:val="20"/>
          <w:szCs w:val="20"/>
        </w:rPr>
        <w:t xml:space="preserve">. </w:t>
      </w:r>
      <w:r w:rsidR="00D04137" w:rsidRPr="008C5978">
        <w:rPr>
          <w:rFonts w:ascii="Cambria" w:hAnsi="Cambria"/>
          <w:sz w:val="20"/>
          <w:szCs w:val="20"/>
        </w:rPr>
        <w:t>The Commission considers that the sole testimony of Mr. Maldonado’s father, who merely gave general and third-hand information regarding his son’s difficult childhood, fell short of effectively demonstrating the violence and deprivations experienced by Mr. Maldonado</w:t>
      </w:r>
      <w:r w:rsidR="00301B3D" w:rsidRPr="008C5978">
        <w:rPr>
          <w:rFonts w:ascii="Cambria" w:hAnsi="Cambria"/>
          <w:sz w:val="20"/>
          <w:szCs w:val="20"/>
        </w:rPr>
        <w:t>, as well as his mental and intellectual disability</w:t>
      </w:r>
      <w:r w:rsidR="00D04137" w:rsidRPr="008C5978">
        <w:rPr>
          <w:rFonts w:ascii="Cambria" w:hAnsi="Cambria"/>
          <w:sz w:val="20"/>
          <w:szCs w:val="20"/>
        </w:rPr>
        <w:t>. Further, a</w:t>
      </w:r>
      <w:r w:rsidR="00B23A86" w:rsidRPr="008C5978">
        <w:rPr>
          <w:rFonts w:ascii="Cambria" w:hAnsi="Cambria"/>
          <w:sz w:val="20"/>
          <w:szCs w:val="20"/>
        </w:rPr>
        <w:t xml:space="preserve">ccording to the information available, trial counsel </w:t>
      </w:r>
      <w:r w:rsidR="00D04137" w:rsidRPr="008C5978">
        <w:rPr>
          <w:rFonts w:ascii="Cambria" w:hAnsi="Cambria"/>
          <w:sz w:val="20"/>
          <w:szCs w:val="20"/>
        </w:rPr>
        <w:t xml:space="preserve">did not conduct a thorough investigation into Mr. Maldonado’s background to gather information which could have been presented at the penalty phase of his trial. </w:t>
      </w:r>
      <w:r w:rsidR="00DE62F2" w:rsidRPr="008C5978">
        <w:rPr>
          <w:rFonts w:ascii="Cambria" w:hAnsi="Cambria"/>
          <w:sz w:val="20"/>
          <w:szCs w:val="20"/>
        </w:rPr>
        <w:t>He</w:t>
      </w:r>
      <w:r w:rsidR="00D04137" w:rsidRPr="008C5978">
        <w:rPr>
          <w:rFonts w:ascii="Cambria" w:hAnsi="Cambria"/>
          <w:sz w:val="20"/>
          <w:szCs w:val="20"/>
        </w:rPr>
        <w:t xml:space="preserve"> </w:t>
      </w:r>
      <w:r w:rsidR="00B23A86" w:rsidRPr="008C5978">
        <w:rPr>
          <w:rFonts w:ascii="Cambria" w:hAnsi="Cambria"/>
          <w:sz w:val="20"/>
          <w:szCs w:val="20"/>
        </w:rPr>
        <w:t>made no effort to contact other relatives closer to Mr. Maldonado</w:t>
      </w:r>
      <w:r w:rsidR="00DA7982" w:rsidRPr="008C5978">
        <w:rPr>
          <w:rFonts w:ascii="Cambria" w:hAnsi="Cambria"/>
          <w:sz w:val="20"/>
          <w:szCs w:val="20"/>
        </w:rPr>
        <w:t>,</w:t>
      </w:r>
      <w:r w:rsidR="00CF6754" w:rsidRPr="008C5978">
        <w:rPr>
          <w:rFonts w:ascii="Cambria" w:hAnsi="Cambria"/>
          <w:sz w:val="20"/>
          <w:szCs w:val="20"/>
        </w:rPr>
        <w:t xml:space="preserve"> </w:t>
      </w:r>
      <w:r w:rsidR="00751379" w:rsidRPr="008C5978">
        <w:rPr>
          <w:rFonts w:ascii="Cambria" w:hAnsi="Cambria"/>
          <w:sz w:val="20"/>
          <w:szCs w:val="20"/>
        </w:rPr>
        <w:t xml:space="preserve">schoolteachers in Mexico </w:t>
      </w:r>
      <w:r w:rsidR="00DA7982" w:rsidRPr="008C5978">
        <w:rPr>
          <w:rFonts w:ascii="Cambria" w:hAnsi="Cambria"/>
          <w:sz w:val="20"/>
          <w:szCs w:val="20"/>
        </w:rPr>
        <w:t>or</w:t>
      </w:r>
      <w:r w:rsidR="00751379" w:rsidRPr="008C5978">
        <w:rPr>
          <w:rFonts w:ascii="Cambria" w:hAnsi="Cambria"/>
          <w:sz w:val="20"/>
          <w:szCs w:val="20"/>
        </w:rPr>
        <w:t xml:space="preserve"> former employers to testify at trial. </w:t>
      </w:r>
      <w:r w:rsidR="00976E74" w:rsidRPr="008C5978">
        <w:rPr>
          <w:rFonts w:ascii="Cambria" w:hAnsi="Cambria"/>
          <w:sz w:val="20"/>
          <w:szCs w:val="20"/>
        </w:rPr>
        <w:t xml:space="preserve">Further, trial counsel did not </w:t>
      </w:r>
      <w:r w:rsidR="00BA3099" w:rsidRPr="008C5978">
        <w:rPr>
          <w:rFonts w:ascii="Cambria" w:hAnsi="Cambria"/>
          <w:sz w:val="20"/>
          <w:szCs w:val="20"/>
        </w:rPr>
        <w:t>seek to test Mr. Maldonado for fetal alcohol syndrome or organic brain damage, which could have been used as mitigating evidence.</w:t>
      </w:r>
      <w:r w:rsidR="005343C0" w:rsidRPr="008C5978">
        <w:rPr>
          <w:rFonts w:ascii="Cambria" w:hAnsi="Cambria"/>
          <w:sz w:val="20"/>
          <w:szCs w:val="20"/>
        </w:rPr>
        <w:t xml:space="preserve"> </w:t>
      </w:r>
    </w:p>
    <w:p w14:paraId="6840D9A9" w14:textId="77777777" w:rsidR="00541B01" w:rsidRPr="008C5978" w:rsidRDefault="00541B01" w:rsidP="00541B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28743530" w14:textId="3F4A155C" w:rsidR="00B36E37" w:rsidRPr="008C5978" w:rsidRDefault="00541B01"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Also, the Commission </w:t>
      </w:r>
      <w:r w:rsidR="00B36E37" w:rsidRPr="008C5978">
        <w:rPr>
          <w:rFonts w:ascii="Cambria" w:hAnsi="Cambria"/>
          <w:sz w:val="20"/>
          <w:szCs w:val="20"/>
        </w:rPr>
        <w:t>notes that this deficiency was made evident by the judge’s reaction when he noted that the defense would present only one character witness:</w:t>
      </w:r>
    </w:p>
    <w:p w14:paraId="0D293700" w14:textId="77777777" w:rsidR="00B36E37" w:rsidRPr="008C5978" w:rsidRDefault="00B36E37" w:rsidP="00B36E37">
      <w:pPr>
        <w:pStyle w:val="ListParagraph"/>
        <w:rPr>
          <w:sz w:val="20"/>
          <w:szCs w:val="20"/>
        </w:rPr>
      </w:pPr>
    </w:p>
    <w:p w14:paraId="012FB633" w14:textId="77777777" w:rsidR="00B36E37" w:rsidRPr="008C5978" w:rsidRDefault="00B36E37" w:rsidP="00B36E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THE COURT: Would you ask them to step in so I can ask them to come in at the same time.</w:t>
      </w:r>
    </w:p>
    <w:p w14:paraId="1E6D62AD" w14:textId="77777777" w:rsidR="00B36E37" w:rsidRPr="008C5978" w:rsidRDefault="00B36E37" w:rsidP="00B36E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 xml:space="preserve">MR. CERVANTES: Your </w:t>
      </w:r>
      <w:proofErr w:type="spellStart"/>
      <w:r w:rsidRPr="008C5978">
        <w:rPr>
          <w:rFonts w:asciiTheme="majorHAnsi" w:hAnsiTheme="majorHAnsi"/>
          <w:sz w:val="18"/>
          <w:szCs w:val="18"/>
          <w:lang w:val="en-GB"/>
        </w:rPr>
        <w:t>Honor</w:t>
      </w:r>
      <w:proofErr w:type="spellEnd"/>
      <w:r w:rsidRPr="008C5978">
        <w:rPr>
          <w:rFonts w:asciiTheme="majorHAnsi" w:hAnsiTheme="majorHAnsi"/>
          <w:sz w:val="18"/>
          <w:szCs w:val="18"/>
          <w:lang w:val="en-GB"/>
        </w:rPr>
        <w:t>, we have one.</w:t>
      </w:r>
    </w:p>
    <w:p w14:paraId="1DCBF652" w14:textId="76AD445E" w:rsidR="00541B01" w:rsidRPr="008C5978" w:rsidRDefault="00B36E37" w:rsidP="00B36E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n-GB"/>
        </w:rPr>
      </w:pPr>
      <w:r w:rsidRPr="008C5978">
        <w:rPr>
          <w:rFonts w:asciiTheme="majorHAnsi" w:hAnsiTheme="majorHAnsi"/>
          <w:sz w:val="18"/>
          <w:szCs w:val="18"/>
          <w:lang w:val="en-GB"/>
        </w:rPr>
        <w:t>THE COURT: Just one, right now?</w:t>
      </w:r>
    </w:p>
    <w:p w14:paraId="314CFE0F" w14:textId="77777777" w:rsidR="00E337D9" w:rsidRPr="008C5978" w:rsidRDefault="00E337D9" w:rsidP="00B506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rPr>
      </w:pPr>
    </w:p>
    <w:p w14:paraId="51784ADA" w14:textId="083656C5" w:rsidR="00357C4D" w:rsidRPr="008C5978" w:rsidRDefault="00357C4D"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Therefore, </w:t>
      </w:r>
      <w:r w:rsidR="0080393B" w:rsidRPr="008C5978">
        <w:rPr>
          <w:rFonts w:ascii="Cambria" w:hAnsi="Cambria"/>
          <w:sz w:val="20"/>
          <w:szCs w:val="20"/>
        </w:rPr>
        <w:t xml:space="preserve">the IACHR also concludes that judicial authorities </w:t>
      </w:r>
      <w:r w:rsidR="00476B10" w:rsidRPr="008C5978">
        <w:rPr>
          <w:rFonts w:ascii="Cambria" w:hAnsi="Cambria"/>
          <w:sz w:val="20"/>
          <w:szCs w:val="20"/>
        </w:rPr>
        <w:t>failed to</w:t>
      </w:r>
      <w:r w:rsidR="0080393B" w:rsidRPr="008C5978">
        <w:rPr>
          <w:rFonts w:ascii="Cambria" w:hAnsi="Cambria"/>
          <w:sz w:val="20"/>
          <w:szCs w:val="20"/>
        </w:rPr>
        <w:t xml:space="preserve"> take the necessary actions to prevent Mr. Maldonado’s violation of the right to effective legal representation</w:t>
      </w:r>
      <w:r w:rsidR="00476B10" w:rsidRPr="008C5978">
        <w:rPr>
          <w:rFonts w:ascii="Cambria" w:hAnsi="Cambria"/>
          <w:sz w:val="20"/>
          <w:szCs w:val="20"/>
        </w:rPr>
        <w:t xml:space="preserve"> according to the above-mentioned standard</w:t>
      </w:r>
      <w:r w:rsidR="0080393B" w:rsidRPr="008C5978">
        <w:rPr>
          <w:rFonts w:ascii="Cambria" w:hAnsi="Cambria"/>
          <w:sz w:val="20"/>
          <w:szCs w:val="20"/>
        </w:rPr>
        <w:t xml:space="preserve">. </w:t>
      </w:r>
    </w:p>
    <w:p w14:paraId="1D5C48EC" w14:textId="77777777" w:rsidR="00357C4D" w:rsidRPr="008C5978" w:rsidRDefault="00357C4D" w:rsidP="00357C4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71BB5086" w14:textId="736053B5" w:rsidR="00E337D9" w:rsidRPr="008C5978" w:rsidRDefault="00E337D9"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As a consequence of these failures on the part of court-appointed counsel, and the corresponding failure on the part of the State to ensure that Mr. Maldonado received effective assistance according to the standards applicable in a capital case, the Inter-American Commission concludes that the United States violated Mr. Maldonado’s right to due process and to a fair trial under Articles XVIII and XXVI of the American Declaration.</w:t>
      </w:r>
    </w:p>
    <w:p w14:paraId="3A0D2508" w14:textId="77777777" w:rsidR="003F03FA" w:rsidRPr="008C5978" w:rsidRDefault="00E02360" w:rsidP="00E02360">
      <w:pPr>
        <w:pStyle w:val="Heading3"/>
        <w:rPr>
          <w:color w:val="auto"/>
          <w:sz w:val="20"/>
          <w:szCs w:val="20"/>
        </w:rPr>
      </w:pPr>
      <w:bookmarkStart w:id="16" w:name="_Toc89506725"/>
      <w:r w:rsidRPr="008C5978">
        <w:rPr>
          <w:color w:val="auto"/>
          <w:sz w:val="20"/>
          <w:szCs w:val="20"/>
        </w:rPr>
        <w:t>3.</w:t>
      </w:r>
      <w:r w:rsidRPr="008C5978">
        <w:rPr>
          <w:color w:val="auto"/>
          <w:sz w:val="20"/>
          <w:szCs w:val="20"/>
        </w:rPr>
        <w:tab/>
      </w:r>
      <w:r w:rsidR="009F24FF" w:rsidRPr="008C5978">
        <w:rPr>
          <w:color w:val="auto"/>
          <w:sz w:val="20"/>
          <w:szCs w:val="20"/>
        </w:rPr>
        <w:t>General considerations regarding</w:t>
      </w:r>
      <w:r w:rsidR="002A00C2" w:rsidRPr="008C5978">
        <w:rPr>
          <w:color w:val="auto"/>
          <w:sz w:val="20"/>
          <w:szCs w:val="20"/>
        </w:rPr>
        <w:t xml:space="preserve"> the right to consular notification</w:t>
      </w:r>
      <w:bookmarkEnd w:id="16"/>
    </w:p>
    <w:p w14:paraId="25528397" w14:textId="77777777" w:rsidR="00516BBE" w:rsidRPr="008C5978" w:rsidRDefault="00516BBE" w:rsidP="00F427E6">
      <w:pPr>
        <w:pStyle w:val="NormalWeb"/>
        <w:shd w:val="clear" w:color="auto" w:fill="FFFFFF"/>
        <w:spacing w:before="0" w:beforeAutospacing="0" w:after="0" w:afterAutospacing="0"/>
        <w:jc w:val="both"/>
        <w:rPr>
          <w:rFonts w:asciiTheme="majorHAnsi" w:eastAsia="Arial Unicode MS" w:hAnsiTheme="majorHAnsi"/>
          <w:sz w:val="20"/>
          <w:szCs w:val="20"/>
          <w:bdr w:val="nil"/>
        </w:rPr>
      </w:pPr>
    </w:p>
    <w:p w14:paraId="698F0FF8" w14:textId="43E4E513" w:rsidR="002A00C2" w:rsidRPr="008C5978" w:rsidRDefault="002A00C2"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The Commission has determined in previous cases that it is necessary and appropriate to consider the extent to which a state party has given effect to the requirements of Article 36 of the Vienna Convention</w:t>
      </w:r>
      <w:r w:rsidR="00476B10" w:rsidRPr="008C5978">
        <w:rPr>
          <w:rFonts w:ascii="Cambria" w:hAnsi="Cambria"/>
          <w:sz w:val="20"/>
          <w:szCs w:val="20"/>
        </w:rPr>
        <w:t xml:space="preserve"> on Consular Relations</w:t>
      </w:r>
      <w:r w:rsidRPr="008C5978">
        <w:rPr>
          <w:rFonts w:ascii="Cambria" w:hAnsi="Cambria"/>
          <w:sz w:val="20"/>
          <w:szCs w:val="20"/>
        </w:rPr>
        <w:t xml:space="preserve"> for the purpose of evaluating that state’s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8C5978">
        <w:rPr>
          <w:rStyle w:val="FootnoteReference"/>
          <w:rFonts w:ascii="Cambria" w:hAnsi="Cambria" w:cs="Arial"/>
          <w:sz w:val="20"/>
          <w:szCs w:val="20"/>
        </w:rPr>
        <w:footnoteReference w:id="45"/>
      </w:r>
    </w:p>
    <w:p w14:paraId="30648E50" w14:textId="77777777" w:rsidR="002A00C2" w:rsidRPr="008C5978" w:rsidRDefault="002A00C2" w:rsidP="002A00C2">
      <w:pPr>
        <w:tabs>
          <w:tab w:val="left" w:pos="0"/>
        </w:tabs>
        <w:jc w:val="both"/>
        <w:rPr>
          <w:rFonts w:ascii="Cambria" w:hAnsi="Cambria" w:cs="Arial"/>
          <w:sz w:val="20"/>
          <w:szCs w:val="20"/>
        </w:rPr>
      </w:pPr>
    </w:p>
    <w:p w14:paraId="1CB45826" w14:textId="1D576ECD" w:rsidR="002A00C2" w:rsidRPr="008C5978" w:rsidRDefault="002A00C2"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In this regard, the Commission has noted that “non-compliance with obligations under Article 36 of the Vienna Convention</w:t>
      </w:r>
      <w:r w:rsidR="00476B10" w:rsidRPr="008C5978">
        <w:rPr>
          <w:rFonts w:ascii="Cambria" w:hAnsi="Cambria"/>
          <w:sz w:val="20"/>
          <w:szCs w:val="20"/>
        </w:rPr>
        <w:t xml:space="preserve"> on Consular Relations</w:t>
      </w:r>
      <w:r w:rsidRPr="008C5978">
        <w:rPr>
          <w:rFonts w:ascii="Cambria" w:hAnsi="Cambria"/>
          <w:sz w:val="20"/>
          <w:szCs w:val="20"/>
        </w:rPr>
        <w:t xml:space="preserve"> is a factor that must be evaluated together with all of the other circumstances of each case in order to determine whether a defendant received a fair trial.”</w:t>
      </w:r>
      <w:r w:rsidRPr="008C5978">
        <w:rPr>
          <w:rStyle w:val="FootnoteReference"/>
          <w:rFonts w:ascii="Cambria" w:hAnsi="Cambria" w:cs="Arial"/>
          <w:sz w:val="20"/>
          <w:szCs w:val="20"/>
        </w:rPr>
        <w:footnoteReference w:id="46"/>
      </w:r>
    </w:p>
    <w:p w14:paraId="4DA66F6A" w14:textId="77777777" w:rsidR="002A00C2" w:rsidRPr="008C5978" w:rsidRDefault="002A00C2" w:rsidP="00B506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050D0589" w14:textId="77777777" w:rsidR="002A00C2" w:rsidRPr="008C5978" w:rsidRDefault="002A00C2"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In addition, the “Principles and Best Practices on the Protection of Persons Deprived of Liberty in the Americas” adopted by the Commission in 2008 establish that:</w:t>
      </w:r>
      <w:r w:rsidR="00011E4C" w:rsidRPr="008C5978">
        <w:rPr>
          <w:rStyle w:val="FootnoteReference"/>
          <w:rFonts w:ascii="Cambria" w:hAnsi="Cambria" w:cs="Arial"/>
          <w:sz w:val="20"/>
          <w:szCs w:val="20"/>
        </w:rPr>
        <w:footnoteReference w:id="47"/>
      </w:r>
      <w:r w:rsidR="00011E4C" w:rsidRPr="008C5978">
        <w:rPr>
          <w:rStyle w:val="FootnoteReference"/>
          <w:rFonts w:cs="Arial"/>
        </w:rPr>
        <w:t xml:space="preserve"> </w:t>
      </w:r>
      <w:r w:rsidRPr="008C5978">
        <w:rPr>
          <w:rStyle w:val="FootnoteReference"/>
          <w:rFonts w:cs="Arial"/>
        </w:rPr>
        <w:t xml:space="preserve"> </w:t>
      </w:r>
    </w:p>
    <w:p w14:paraId="5F9A0BF2" w14:textId="77777777" w:rsidR="002A00C2" w:rsidRPr="008C5978" w:rsidRDefault="002A00C2" w:rsidP="002A00C2">
      <w:pPr>
        <w:jc w:val="both"/>
        <w:rPr>
          <w:rFonts w:ascii="Cambria" w:hAnsi="Cambria" w:cs="Arial"/>
          <w:sz w:val="20"/>
          <w:szCs w:val="20"/>
        </w:rPr>
      </w:pPr>
    </w:p>
    <w:p w14:paraId="33C91F14" w14:textId="77777777" w:rsidR="002A00C2" w:rsidRPr="008C5978" w:rsidRDefault="002A00C2" w:rsidP="00011E4C">
      <w:pPr>
        <w:ind w:left="720" w:right="720"/>
        <w:jc w:val="both"/>
        <w:rPr>
          <w:rFonts w:ascii="Cambria" w:hAnsi="Cambria" w:cs="Arial"/>
          <w:sz w:val="18"/>
          <w:szCs w:val="18"/>
        </w:rPr>
      </w:pPr>
      <w:r w:rsidRPr="008C5978">
        <w:rPr>
          <w:rFonts w:ascii="Cambria" w:hAnsi="Cambria" w:cs="Arial"/>
          <w:sz w:val="18"/>
          <w:szCs w:val="18"/>
        </w:rPr>
        <w:t xml:space="preserve">Persons deprived of liberty in a Member State of the Organization of American States of which they are not nationals, shall be informed, without delay, and in any case before they make any statement to the competent authorities, of their right to consular or diplomatic assistance, and to request that consular or diplomatic authorities be notified of their deprivation of liberty immediately. Furthermore, they shall have the right to communicate with their diplomatic and consular authorities freely and in private. </w:t>
      </w:r>
    </w:p>
    <w:p w14:paraId="45BA05C7" w14:textId="77777777" w:rsidR="002A00C2" w:rsidRPr="008C5978" w:rsidRDefault="002A00C2" w:rsidP="002A00C2">
      <w:pPr>
        <w:jc w:val="both"/>
        <w:rPr>
          <w:rFonts w:ascii="Cambria" w:hAnsi="Cambria" w:cs="Arial"/>
          <w:sz w:val="20"/>
          <w:szCs w:val="20"/>
        </w:rPr>
      </w:pPr>
    </w:p>
    <w:p w14:paraId="0C7C7006" w14:textId="13220937" w:rsidR="002A00C2" w:rsidRPr="008C5978" w:rsidRDefault="002A00C2"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The significance of consular notification is also reflected in practice guidelines such as those adopted by the American Bar Association, </w:t>
      </w:r>
      <w:r w:rsidR="001B7BA1" w:rsidRPr="008C5978">
        <w:rPr>
          <w:rFonts w:ascii="Cambria" w:hAnsi="Cambria"/>
          <w:sz w:val="20"/>
          <w:szCs w:val="20"/>
        </w:rPr>
        <w:t xml:space="preserve">a national organization for the legal profession in the United States, </w:t>
      </w:r>
      <w:r w:rsidRPr="008C5978">
        <w:rPr>
          <w:rFonts w:ascii="Cambria" w:hAnsi="Cambria"/>
          <w:sz w:val="20"/>
          <w:szCs w:val="20"/>
        </w:rPr>
        <w:t>concerning the due process rights of foreign nationals in capital proceedings. The ABA has indicated in its Guidelines for the Appointment and Performance of Defense Counsel in Death Penalty Cases that:</w:t>
      </w:r>
      <w:r w:rsidRPr="008C5978">
        <w:rPr>
          <w:rStyle w:val="FootnoteReference"/>
          <w:rFonts w:ascii="Cambria" w:hAnsi="Cambria" w:cs="Arial"/>
          <w:sz w:val="20"/>
          <w:szCs w:val="20"/>
        </w:rPr>
        <w:footnoteReference w:id="48"/>
      </w:r>
    </w:p>
    <w:p w14:paraId="1CE249A8" w14:textId="77777777" w:rsidR="002A00C2" w:rsidRPr="008C5978" w:rsidRDefault="002A00C2" w:rsidP="002A00C2">
      <w:pPr>
        <w:jc w:val="both"/>
        <w:rPr>
          <w:rFonts w:ascii="Cambria" w:hAnsi="Cambria" w:cs="Arial"/>
          <w:sz w:val="20"/>
          <w:szCs w:val="20"/>
        </w:rPr>
      </w:pPr>
    </w:p>
    <w:p w14:paraId="303083B4" w14:textId="7E147541" w:rsidR="002A00C2" w:rsidRPr="008C5978" w:rsidRDefault="002A00C2" w:rsidP="002A00C2">
      <w:pPr>
        <w:ind w:left="720" w:right="720"/>
        <w:jc w:val="both"/>
        <w:rPr>
          <w:rFonts w:ascii="Cambria" w:hAnsi="Cambria" w:cs="Arial"/>
          <w:sz w:val="18"/>
          <w:szCs w:val="18"/>
        </w:rPr>
      </w:pPr>
      <w:r w:rsidRPr="008C5978">
        <w:rPr>
          <w:rFonts w:ascii="Cambria" w:hAnsi="Cambria" w:cs="Arial"/>
          <w:sz w:val="18"/>
          <w:szCs w:val="18"/>
        </w:rPr>
        <w:t>[u]</w:t>
      </w:r>
      <w:proofErr w:type="spellStart"/>
      <w:r w:rsidRPr="008C5978">
        <w:rPr>
          <w:rFonts w:ascii="Cambria" w:hAnsi="Cambria" w:cs="Arial"/>
          <w:sz w:val="18"/>
          <w:szCs w:val="18"/>
        </w:rPr>
        <w:t>nless</w:t>
      </w:r>
      <w:proofErr w:type="spellEnd"/>
      <w:r w:rsidRPr="008C5978">
        <w:rPr>
          <w:rFonts w:ascii="Cambria" w:hAnsi="Cambria" w:cs="Arial"/>
          <w:sz w:val="18"/>
          <w:szCs w:val="18"/>
        </w:rPr>
        <w:t xml:space="preserve"> predecessor counsel has already done so, counsel representing a foreign national should: 1. immediately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p>
    <w:p w14:paraId="1D23DC1D" w14:textId="77777777" w:rsidR="00E575CD" w:rsidRDefault="00E575CD">
      <w:pPr>
        <w:rPr>
          <w:rFonts w:asciiTheme="majorHAnsi" w:eastAsiaTheme="majorEastAsia" w:hAnsiTheme="majorHAnsi" w:cstheme="majorBidi"/>
          <w:b/>
          <w:bCs/>
          <w:sz w:val="20"/>
          <w:szCs w:val="20"/>
        </w:rPr>
      </w:pPr>
      <w:bookmarkStart w:id="17" w:name="_Toc89506726"/>
      <w:r>
        <w:rPr>
          <w:sz w:val="20"/>
          <w:szCs w:val="20"/>
        </w:rPr>
        <w:br w:type="page"/>
      </w:r>
    </w:p>
    <w:p w14:paraId="503969C8" w14:textId="61DAACCB" w:rsidR="00011E4C" w:rsidRPr="008C5978" w:rsidRDefault="00E02360" w:rsidP="00E02360">
      <w:pPr>
        <w:pStyle w:val="Heading3"/>
        <w:rPr>
          <w:color w:val="auto"/>
          <w:sz w:val="20"/>
          <w:szCs w:val="20"/>
        </w:rPr>
      </w:pPr>
      <w:r w:rsidRPr="008C5978">
        <w:rPr>
          <w:color w:val="auto"/>
          <w:sz w:val="20"/>
          <w:szCs w:val="20"/>
        </w:rPr>
        <w:lastRenderedPageBreak/>
        <w:t>4.</w:t>
      </w:r>
      <w:r w:rsidRPr="008C5978">
        <w:rPr>
          <w:color w:val="auto"/>
          <w:sz w:val="20"/>
          <w:szCs w:val="20"/>
        </w:rPr>
        <w:tab/>
      </w:r>
      <w:r w:rsidR="00011E4C" w:rsidRPr="008C5978">
        <w:rPr>
          <w:color w:val="auto"/>
          <w:sz w:val="20"/>
          <w:szCs w:val="20"/>
        </w:rPr>
        <w:t>Analysis of the case</w:t>
      </w:r>
      <w:bookmarkEnd w:id="17"/>
    </w:p>
    <w:p w14:paraId="459BEBE2" w14:textId="77777777" w:rsidR="00011E4C" w:rsidRPr="008C5978" w:rsidRDefault="00011E4C" w:rsidP="002A00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09B508DC" w14:textId="3A0B76A8" w:rsidR="00EB4080" w:rsidRPr="008C5978" w:rsidRDefault="00EB4080"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The petitioners allege that, although the police w</w:t>
      </w:r>
      <w:r w:rsidR="001F1E47">
        <w:rPr>
          <w:rFonts w:ascii="Cambria" w:hAnsi="Cambria"/>
          <w:sz w:val="20"/>
          <w:szCs w:val="20"/>
        </w:rPr>
        <w:t>ere</w:t>
      </w:r>
      <w:r w:rsidRPr="008C5978">
        <w:rPr>
          <w:rFonts w:ascii="Cambria" w:hAnsi="Cambria"/>
          <w:sz w:val="20"/>
          <w:szCs w:val="20"/>
        </w:rPr>
        <w:t xml:space="preserve"> aware that Mr. Maldonado was a Mexican national, they failed to notify him of his right to consular notification. The State argues that consular notification is not a human right and therefore it does not raise a violation of the American Declaration.</w:t>
      </w:r>
      <w:r w:rsidR="00CF1FF5" w:rsidRPr="008C5978">
        <w:rPr>
          <w:rFonts w:ascii="Cambria" w:hAnsi="Cambria"/>
          <w:sz w:val="20"/>
          <w:szCs w:val="20"/>
        </w:rPr>
        <w:t xml:space="preserve"> It alleges that, to accept the argument that a “consular notification claim amounts to a human rights violation under the American Declaration would require the untenable conclusion that any foreign national who does not receive consular assistance, because of an absence of consular relations or because his government did not provide assistance, cannot receive a fair trial or due process.” </w:t>
      </w:r>
    </w:p>
    <w:p w14:paraId="0121858A" w14:textId="77777777" w:rsidR="00CF1FF5" w:rsidRPr="008C5978" w:rsidRDefault="00CF1FF5" w:rsidP="00CF1FF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7E0CB9A6" w14:textId="77777777" w:rsidR="006D2D13" w:rsidRPr="008C5978" w:rsidRDefault="00CF1FF5"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The IACHR will first </w:t>
      </w:r>
      <w:r w:rsidR="00AA792C" w:rsidRPr="008C5978">
        <w:rPr>
          <w:rFonts w:ascii="Cambria" w:hAnsi="Cambria"/>
          <w:sz w:val="20"/>
          <w:szCs w:val="20"/>
        </w:rPr>
        <w:t xml:space="preserve">refer to </w:t>
      </w:r>
      <w:r w:rsidRPr="008C5978">
        <w:rPr>
          <w:rFonts w:ascii="Cambria" w:hAnsi="Cambria"/>
          <w:sz w:val="20"/>
          <w:szCs w:val="20"/>
        </w:rPr>
        <w:t xml:space="preserve">the scope of the right to consular notification </w:t>
      </w:r>
      <w:r w:rsidR="00AA792C" w:rsidRPr="008C5978">
        <w:rPr>
          <w:rFonts w:ascii="Cambria" w:hAnsi="Cambria"/>
          <w:sz w:val="20"/>
          <w:szCs w:val="20"/>
        </w:rPr>
        <w:t xml:space="preserve">in order to address the State’s allegation </w:t>
      </w:r>
      <w:r w:rsidRPr="008C5978">
        <w:rPr>
          <w:rFonts w:ascii="Cambria" w:hAnsi="Cambria"/>
          <w:sz w:val="20"/>
          <w:szCs w:val="20"/>
        </w:rPr>
        <w:t xml:space="preserve">and then it </w:t>
      </w:r>
      <w:r w:rsidR="00EF0CEF" w:rsidRPr="008C5978">
        <w:rPr>
          <w:rFonts w:ascii="Cambria" w:hAnsi="Cambria"/>
          <w:sz w:val="20"/>
          <w:szCs w:val="20"/>
        </w:rPr>
        <w:t>will</w:t>
      </w:r>
      <w:r w:rsidR="00AA792C" w:rsidRPr="008C5978">
        <w:rPr>
          <w:rFonts w:ascii="Cambria" w:hAnsi="Cambria"/>
          <w:sz w:val="20"/>
          <w:szCs w:val="20"/>
        </w:rPr>
        <w:t xml:space="preserve"> </w:t>
      </w:r>
      <w:r w:rsidR="006D2D13" w:rsidRPr="008C5978">
        <w:rPr>
          <w:rFonts w:ascii="Cambria" w:hAnsi="Cambria"/>
          <w:sz w:val="20"/>
          <w:szCs w:val="20"/>
        </w:rPr>
        <w:t>examine whether the State complied with its international human rights obligations.</w:t>
      </w:r>
    </w:p>
    <w:p w14:paraId="493B1030" w14:textId="77777777" w:rsidR="00EF0CEF" w:rsidRPr="008C5978" w:rsidRDefault="00EF0CEF" w:rsidP="00EF0CEF">
      <w:pPr>
        <w:pStyle w:val="ListParagraph"/>
        <w:rPr>
          <w:sz w:val="20"/>
          <w:szCs w:val="20"/>
        </w:rPr>
      </w:pPr>
    </w:p>
    <w:p w14:paraId="79E8E29E" w14:textId="77777777" w:rsidR="005068B0" w:rsidRPr="008C5978" w:rsidRDefault="00EF0CEF"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Under the Vienna Convention o</w:t>
      </w:r>
      <w:r w:rsidR="00AB0745" w:rsidRPr="008C5978">
        <w:rPr>
          <w:rFonts w:ascii="Cambria" w:hAnsi="Cambria"/>
          <w:sz w:val="20"/>
          <w:szCs w:val="20"/>
        </w:rPr>
        <w:t xml:space="preserve">n Consular Relations, when a foreign national </w:t>
      </w:r>
      <w:r w:rsidR="002F6ECD" w:rsidRPr="008C5978">
        <w:rPr>
          <w:rFonts w:ascii="Cambria" w:hAnsi="Cambria"/>
          <w:sz w:val="20"/>
          <w:szCs w:val="20"/>
        </w:rPr>
        <w:t>has been arrested, committed to trial or to custody pending trial, or is detained in any other manner</w:t>
      </w:r>
      <w:r w:rsidR="00AB0745" w:rsidRPr="008C5978">
        <w:rPr>
          <w:rFonts w:ascii="Cambria" w:hAnsi="Cambria"/>
          <w:sz w:val="20"/>
          <w:szCs w:val="20"/>
        </w:rPr>
        <w:t xml:space="preserve">, the competent authorities </w:t>
      </w:r>
      <w:r w:rsidRPr="008C5978">
        <w:rPr>
          <w:rFonts w:ascii="Cambria" w:hAnsi="Cambria"/>
          <w:sz w:val="20"/>
          <w:szCs w:val="20"/>
        </w:rPr>
        <w:t>sh</w:t>
      </w:r>
      <w:r w:rsidR="004C0FE4" w:rsidRPr="008C5978">
        <w:rPr>
          <w:rFonts w:ascii="Cambria" w:hAnsi="Cambria"/>
          <w:sz w:val="20"/>
          <w:szCs w:val="20"/>
        </w:rPr>
        <w:t>all, without delay,</w:t>
      </w:r>
      <w:r w:rsidR="00AB0745" w:rsidRPr="008C5978">
        <w:rPr>
          <w:rFonts w:ascii="Cambria" w:hAnsi="Cambria"/>
          <w:sz w:val="20"/>
          <w:szCs w:val="20"/>
        </w:rPr>
        <w:t xml:space="preserve"> notify him or her of the right to communicate </w:t>
      </w:r>
      <w:r w:rsidR="004C0FE4" w:rsidRPr="008C5978">
        <w:rPr>
          <w:rFonts w:ascii="Cambria" w:hAnsi="Cambria"/>
          <w:sz w:val="20"/>
          <w:szCs w:val="20"/>
        </w:rPr>
        <w:t>with consular officers. If the person so requests</w:t>
      </w:r>
      <w:r w:rsidR="00AB0745" w:rsidRPr="008C5978">
        <w:rPr>
          <w:rFonts w:ascii="Cambria" w:hAnsi="Cambria"/>
          <w:sz w:val="20"/>
          <w:szCs w:val="20"/>
        </w:rPr>
        <w:t>,</w:t>
      </w:r>
      <w:r w:rsidR="004C0FE4" w:rsidRPr="008C5978">
        <w:rPr>
          <w:rFonts w:ascii="Cambria" w:hAnsi="Cambria"/>
          <w:sz w:val="20"/>
          <w:szCs w:val="20"/>
        </w:rPr>
        <w:t xml:space="preserve"> they shall,</w:t>
      </w:r>
      <w:r w:rsidR="00AB0745" w:rsidRPr="008C5978">
        <w:rPr>
          <w:rFonts w:ascii="Cambria" w:hAnsi="Cambria"/>
          <w:sz w:val="20"/>
          <w:szCs w:val="20"/>
        </w:rPr>
        <w:t xml:space="preserve"> without delay,</w:t>
      </w:r>
      <w:r w:rsidR="004C0FE4" w:rsidRPr="008C5978">
        <w:rPr>
          <w:rFonts w:ascii="Cambria" w:hAnsi="Cambria"/>
          <w:sz w:val="20"/>
          <w:szCs w:val="20"/>
        </w:rPr>
        <w:t xml:space="preserve"> inform</w:t>
      </w:r>
      <w:r w:rsidR="00AB0745" w:rsidRPr="008C5978">
        <w:rPr>
          <w:rFonts w:ascii="Cambria" w:hAnsi="Cambria"/>
          <w:sz w:val="20"/>
          <w:szCs w:val="20"/>
        </w:rPr>
        <w:t xml:space="preserve"> </w:t>
      </w:r>
      <w:r w:rsidR="004C0FE4" w:rsidRPr="008C5978">
        <w:rPr>
          <w:rFonts w:ascii="Cambria" w:hAnsi="Cambria"/>
          <w:sz w:val="20"/>
          <w:szCs w:val="20"/>
        </w:rPr>
        <w:t>the consular officers</w:t>
      </w:r>
      <w:r w:rsidRPr="008C5978">
        <w:rPr>
          <w:rFonts w:ascii="Cambria" w:hAnsi="Cambria"/>
          <w:sz w:val="20"/>
          <w:szCs w:val="20"/>
        </w:rPr>
        <w:t xml:space="preserve"> </w:t>
      </w:r>
      <w:r w:rsidR="004C0FE4" w:rsidRPr="008C5978">
        <w:rPr>
          <w:rFonts w:ascii="Cambria" w:hAnsi="Cambria"/>
          <w:sz w:val="20"/>
          <w:szCs w:val="20"/>
        </w:rPr>
        <w:t xml:space="preserve">about </w:t>
      </w:r>
      <w:r w:rsidR="00EB51EA" w:rsidRPr="008C5978">
        <w:rPr>
          <w:rFonts w:ascii="Cambria" w:hAnsi="Cambria"/>
          <w:sz w:val="20"/>
          <w:szCs w:val="20"/>
        </w:rPr>
        <w:t>the</w:t>
      </w:r>
      <w:r w:rsidR="004C0FE4" w:rsidRPr="008C5978">
        <w:rPr>
          <w:rFonts w:ascii="Cambria" w:hAnsi="Cambria"/>
          <w:sz w:val="20"/>
          <w:szCs w:val="20"/>
        </w:rPr>
        <w:t xml:space="preserve"> detention and </w:t>
      </w:r>
      <w:r w:rsidR="00973798" w:rsidRPr="008C5978">
        <w:rPr>
          <w:rFonts w:ascii="Cambria" w:hAnsi="Cambria"/>
          <w:sz w:val="20"/>
          <w:szCs w:val="20"/>
        </w:rPr>
        <w:t xml:space="preserve">ensure </w:t>
      </w:r>
      <w:r w:rsidR="00EB51EA" w:rsidRPr="008C5978">
        <w:rPr>
          <w:rFonts w:ascii="Cambria" w:hAnsi="Cambria"/>
          <w:sz w:val="20"/>
          <w:szCs w:val="20"/>
        </w:rPr>
        <w:t>free</w:t>
      </w:r>
      <w:r w:rsidR="00C44ECB" w:rsidRPr="008C5978">
        <w:rPr>
          <w:rFonts w:ascii="Cambria" w:hAnsi="Cambria"/>
          <w:sz w:val="20"/>
          <w:szCs w:val="20"/>
        </w:rPr>
        <w:t xml:space="preserve"> and private</w:t>
      </w:r>
      <w:r w:rsidR="00EB51EA" w:rsidRPr="008C5978">
        <w:rPr>
          <w:rFonts w:ascii="Cambria" w:hAnsi="Cambria"/>
          <w:sz w:val="20"/>
          <w:szCs w:val="20"/>
        </w:rPr>
        <w:t xml:space="preserve"> access and communication between the foreign national and the consular authorities. </w:t>
      </w:r>
      <w:proofErr w:type="gramStart"/>
      <w:r w:rsidR="00EB51EA" w:rsidRPr="008C5978">
        <w:rPr>
          <w:rFonts w:ascii="Cambria" w:hAnsi="Cambria"/>
          <w:sz w:val="20"/>
          <w:szCs w:val="20"/>
        </w:rPr>
        <w:t xml:space="preserve">This </w:t>
      </w:r>
      <w:r w:rsidR="002F6ECD" w:rsidRPr="008C5978">
        <w:rPr>
          <w:rFonts w:ascii="Cambria" w:hAnsi="Cambria"/>
          <w:sz w:val="20"/>
          <w:szCs w:val="20"/>
        </w:rPr>
        <w:t>notification and free access and communication,</w:t>
      </w:r>
      <w:proofErr w:type="gramEnd"/>
      <w:r w:rsidR="002F6ECD" w:rsidRPr="008C5978">
        <w:rPr>
          <w:rFonts w:ascii="Cambria" w:hAnsi="Cambria"/>
          <w:sz w:val="20"/>
          <w:szCs w:val="20"/>
        </w:rPr>
        <w:t xml:space="preserve"> are the </w:t>
      </w:r>
      <w:r w:rsidR="00945F51" w:rsidRPr="008C5978">
        <w:rPr>
          <w:rFonts w:ascii="Cambria" w:hAnsi="Cambria"/>
          <w:sz w:val="20"/>
          <w:szCs w:val="20"/>
        </w:rPr>
        <w:t xml:space="preserve">factors analyzed by </w:t>
      </w:r>
      <w:r w:rsidR="002F6ECD" w:rsidRPr="008C5978">
        <w:rPr>
          <w:rFonts w:ascii="Cambria" w:hAnsi="Cambria"/>
          <w:sz w:val="20"/>
          <w:szCs w:val="20"/>
        </w:rPr>
        <w:t>the IACHR</w:t>
      </w:r>
      <w:r w:rsidR="00945F51" w:rsidRPr="008C5978">
        <w:rPr>
          <w:rFonts w:ascii="Cambria" w:hAnsi="Cambria"/>
          <w:sz w:val="20"/>
          <w:szCs w:val="20"/>
        </w:rPr>
        <w:t xml:space="preserve"> in order to evaluate the state’s compliance with a foreign national’s due process rights.</w:t>
      </w:r>
      <w:r w:rsidR="002F6ECD" w:rsidRPr="008C5978">
        <w:rPr>
          <w:rFonts w:ascii="Cambria" w:hAnsi="Cambria"/>
          <w:sz w:val="20"/>
          <w:szCs w:val="20"/>
        </w:rPr>
        <w:t xml:space="preserve"> </w:t>
      </w:r>
    </w:p>
    <w:p w14:paraId="764AB7CA" w14:textId="77777777" w:rsidR="005068B0" w:rsidRPr="008C5978" w:rsidRDefault="005068B0" w:rsidP="005068B0">
      <w:pPr>
        <w:pStyle w:val="ListParagraph"/>
        <w:rPr>
          <w:sz w:val="20"/>
          <w:szCs w:val="20"/>
        </w:rPr>
      </w:pPr>
    </w:p>
    <w:p w14:paraId="2B79ABE8" w14:textId="625973D3" w:rsidR="00CF768E" w:rsidRPr="008C5978" w:rsidRDefault="005902A3"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Therefore,</w:t>
      </w:r>
      <w:r w:rsidR="00D22F94" w:rsidRPr="008C5978">
        <w:rPr>
          <w:rFonts w:ascii="Cambria" w:hAnsi="Cambria"/>
          <w:sz w:val="20"/>
          <w:szCs w:val="20"/>
        </w:rPr>
        <w:t xml:space="preserve"> </w:t>
      </w:r>
      <w:r w:rsidRPr="008C5978">
        <w:rPr>
          <w:rFonts w:ascii="Cambria" w:hAnsi="Cambria"/>
          <w:sz w:val="20"/>
          <w:szCs w:val="20"/>
        </w:rPr>
        <w:t xml:space="preserve">the IACHR </w:t>
      </w:r>
      <w:r w:rsidR="005068B0" w:rsidRPr="008C5978">
        <w:rPr>
          <w:rFonts w:ascii="Cambria" w:hAnsi="Cambria"/>
          <w:sz w:val="20"/>
          <w:szCs w:val="20"/>
        </w:rPr>
        <w:t>has considered consular notification as one factor, among others, that it must examine when assessing whether due process guarantees have been respected in the case of foreign nationals.</w:t>
      </w:r>
      <w:r w:rsidR="00C44ECB" w:rsidRPr="008C5978">
        <w:rPr>
          <w:rFonts w:ascii="Cambria" w:hAnsi="Cambria"/>
          <w:sz w:val="20"/>
          <w:szCs w:val="20"/>
        </w:rPr>
        <w:t xml:space="preserve"> </w:t>
      </w:r>
      <w:r w:rsidR="00D22F94" w:rsidRPr="008C5978">
        <w:rPr>
          <w:rFonts w:ascii="Cambria" w:hAnsi="Cambria"/>
          <w:sz w:val="20"/>
          <w:szCs w:val="20"/>
        </w:rPr>
        <w:t>T</w:t>
      </w:r>
      <w:r w:rsidR="00C44ECB" w:rsidRPr="008C5978">
        <w:rPr>
          <w:rFonts w:ascii="Cambria" w:hAnsi="Cambria"/>
          <w:sz w:val="20"/>
          <w:szCs w:val="20"/>
        </w:rPr>
        <w:t xml:space="preserve">he Commission </w:t>
      </w:r>
      <w:r w:rsidR="00D22F94" w:rsidRPr="008C5978">
        <w:rPr>
          <w:rFonts w:ascii="Cambria" w:hAnsi="Cambria"/>
          <w:sz w:val="20"/>
          <w:szCs w:val="20"/>
        </w:rPr>
        <w:t xml:space="preserve">has not </w:t>
      </w:r>
      <w:r w:rsidR="00C44ECB" w:rsidRPr="008C5978">
        <w:rPr>
          <w:rFonts w:ascii="Cambria" w:hAnsi="Cambria"/>
          <w:sz w:val="20"/>
          <w:szCs w:val="20"/>
        </w:rPr>
        <w:t>established</w:t>
      </w:r>
      <w:r w:rsidR="00D22F94" w:rsidRPr="008C5978">
        <w:rPr>
          <w:rFonts w:ascii="Cambria" w:hAnsi="Cambria"/>
          <w:sz w:val="20"/>
          <w:szCs w:val="20"/>
        </w:rPr>
        <w:t>, however,</w:t>
      </w:r>
      <w:r w:rsidR="00C44ECB" w:rsidRPr="008C5978">
        <w:rPr>
          <w:rFonts w:ascii="Cambria" w:hAnsi="Cambria"/>
          <w:sz w:val="20"/>
          <w:szCs w:val="20"/>
        </w:rPr>
        <w:t xml:space="preserve"> that, if the person does not receive consular assistance, for whatever reason, his or her right to due process is automatically </w:t>
      </w:r>
      <w:r w:rsidR="00CF768E" w:rsidRPr="008C5978">
        <w:rPr>
          <w:rFonts w:ascii="Cambria" w:hAnsi="Cambria"/>
          <w:sz w:val="20"/>
          <w:szCs w:val="20"/>
        </w:rPr>
        <w:t>infringed</w:t>
      </w:r>
      <w:r w:rsidR="00C44ECB" w:rsidRPr="008C5978">
        <w:rPr>
          <w:rFonts w:ascii="Cambria" w:hAnsi="Cambria"/>
          <w:sz w:val="20"/>
          <w:szCs w:val="20"/>
        </w:rPr>
        <w:t xml:space="preserve">. </w:t>
      </w:r>
    </w:p>
    <w:p w14:paraId="75C4AFEE" w14:textId="77777777" w:rsidR="00CF768E" w:rsidRPr="008C5978" w:rsidRDefault="00CF768E" w:rsidP="00CF768E">
      <w:pPr>
        <w:pStyle w:val="ListParagraph"/>
        <w:rPr>
          <w:sz w:val="20"/>
          <w:szCs w:val="20"/>
        </w:rPr>
      </w:pPr>
    </w:p>
    <w:p w14:paraId="159E36B3" w14:textId="77777777" w:rsidR="005902A3" w:rsidRPr="008C5978" w:rsidRDefault="00CF768E"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Consular notification</w:t>
      </w:r>
      <w:r w:rsidR="00952DC4" w:rsidRPr="008C5978">
        <w:rPr>
          <w:rFonts w:ascii="Cambria" w:hAnsi="Cambria"/>
          <w:sz w:val="20"/>
          <w:szCs w:val="20"/>
        </w:rPr>
        <w:t xml:space="preserve"> is not a mere theoretical issue. It allows consular </w:t>
      </w:r>
      <w:r w:rsidR="00E648F3" w:rsidRPr="008C5978">
        <w:rPr>
          <w:rFonts w:ascii="Cambria" w:hAnsi="Cambria"/>
          <w:sz w:val="20"/>
          <w:szCs w:val="20"/>
        </w:rPr>
        <w:t>authorities the possibility to assist their nationals</w:t>
      </w:r>
      <w:r w:rsidR="001025B1" w:rsidRPr="008C5978">
        <w:rPr>
          <w:rFonts w:ascii="Cambria" w:hAnsi="Cambria"/>
          <w:sz w:val="20"/>
          <w:szCs w:val="20"/>
        </w:rPr>
        <w:t>,</w:t>
      </w:r>
      <w:r w:rsidR="00952DC4" w:rsidRPr="008C5978">
        <w:rPr>
          <w:rFonts w:ascii="Cambria" w:hAnsi="Cambria"/>
          <w:sz w:val="20"/>
          <w:szCs w:val="20"/>
        </w:rPr>
        <w:t xml:space="preserve"> which has shown to have important practical implications, particularly in capital cases of </w:t>
      </w:r>
      <w:r w:rsidR="001025B1" w:rsidRPr="008C5978">
        <w:rPr>
          <w:rFonts w:ascii="Cambria" w:hAnsi="Cambria"/>
          <w:sz w:val="20"/>
          <w:szCs w:val="20"/>
        </w:rPr>
        <w:t>Mexican nationals detained in the United States</w:t>
      </w:r>
      <w:r w:rsidR="00952DC4" w:rsidRPr="008C5978">
        <w:rPr>
          <w:rFonts w:ascii="Cambria" w:hAnsi="Cambria"/>
          <w:sz w:val="20"/>
          <w:szCs w:val="20"/>
        </w:rPr>
        <w:t xml:space="preserve">. </w:t>
      </w:r>
      <w:r w:rsidR="00E7676B" w:rsidRPr="008C5978">
        <w:rPr>
          <w:rFonts w:ascii="Cambria" w:hAnsi="Cambria"/>
          <w:sz w:val="20"/>
          <w:szCs w:val="20"/>
        </w:rPr>
        <w:t xml:space="preserve">As it has been established in this report, </w:t>
      </w:r>
      <w:r w:rsidR="00477BE3" w:rsidRPr="008C5978">
        <w:rPr>
          <w:rFonts w:ascii="Cambria" w:hAnsi="Cambria"/>
          <w:sz w:val="20"/>
          <w:szCs w:val="20"/>
        </w:rPr>
        <w:t>Mexico has an extensive and sophisticated program of consular assistance to Mexican nationals residing in the United States</w:t>
      </w:r>
      <w:r w:rsidR="004D37B1" w:rsidRPr="008C5978">
        <w:rPr>
          <w:rFonts w:ascii="Cambria" w:hAnsi="Cambria"/>
          <w:sz w:val="20"/>
          <w:szCs w:val="20"/>
        </w:rPr>
        <w:t xml:space="preserve">, </w:t>
      </w:r>
      <w:r w:rsidR="006516A4" w:rsidRPr="008C5978">
        <w:rPr>
          <w:rFonts w:ascii="Cambria" w:hAnsi="Cambria"/>
          <w:sz w:val="20"/>
          <w:szCs w:val="20"/>
        </w:rPr>
        <w:t>as well as a longstanding policy of providing meaningful consular assistance in capital cases</w:t>
      </w:r>
      <w:r w:rsidR="004D37B1" w:rsidRPr="008C5978">
        <w:rPr>
          <w:rFonts w:ascii="Cambria" w:hAnsi="Cambria"/>
          <w:sz w:val="20"/>
          <w:szCs w:val="20"/>
        </w:rPr>
        <w:t>, which was already in place at the time of Mr. Maldonado’s detention</w:t>
      </w:r>
      <w:r w:rsidR="003E60B8" w:rsidRPr="008C5978">
        <w:rPr>
          <w:rFonts w:ascii="Cambria" w:hAnsi="Cambria"/>
          <w:sz w:val="20"/>
          <w:szCs w:val="20"/>
        </w:rPr>
        <w:t>.</w:t>
      </w:r>
    </w:p>
    <w:p w14:paraId="71A5209B" w14:textId="77777777" w:rsidR="00DD2635" w:rsidRPr="008C5978" w:rsidRDefault="00DD2635" w:rsidP="00DD2635">
      <w:pPr>
        <w:pStyle w:val="ListParagraph"/>
        <w:rPr>
          <w:sz w:val="20"/>
          <w:szCs w:val="20"/>
        </w:rPr>
      </w:pPr>
    </w:p>
    <w:p w14:paraId="66E0C142" w14:textId="77777777" w:rsidR="006516A4" w:rsidRPr="008C5978" w:rsidRDefault="004A1B66"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According to the facts established in this report</w:t>
      </w:r>
      <w:r w:rsidR="001E5F04" w:rsidRPr="008C5978">
        <w:rPr>
          <w:rFonts w:ascii="Cambria" w:hAnsi="Cambria"/>
          <w:sz w:val="20"/>
          <w:szCs w:val="20"/>
        </w:rPr>
        <w:t xml:space="preserve">, </w:t>
      </w:r>
      <w:r w:rsidR="0030446B" w:rsidRPr="008C5978">
        <w:rPr>
          <w:rFonts w:ascii="Cambria" w:hAnsi="Cambria"/>
          <w:sz w:val="20"/>
          <w:szCs w:val="20"/>
        </w:rPr>
        <w:t xml:space="preserve">the police officer who arrested Mr. Maldonado </w:t>
      </w:r>
      <w:r w:rsidRPr="008C5978">
        <w:rPr>
          <w:rFonts w:ascii="Cambria" w:hAnsi="Cambria"/>
          <w:sz w:val="20"/>
          <w:szCs w:val="20"/>
        </w:rPr>
        <w:t>and</w:t>
      </w:r>
      <w:r w:rsidR="0030446B" w:rsidRPr="008C5978">
        <w:rPr>
          <w:rFonts w:ascii="Cambria" w:hAnsi="Cambria"/>
          <w:sz w:val="20"/>
          <w:szCs w:val="20"/>
        </w:rPr>
        <w:t xml:space="preserve"> interviewed him</w:t>
      </w:r>
      <w:r w:rsidRPr="008C5978">
        <w:rPr>
          <w:rFonts w:ascii="Cambria" w:hAnsi="Cambria"/>
          <w:sz w:val="20"/>
          <w:szCs w:val="20"/>
        </w:rPr>
        <w:t xml:space="preserve"> on April 24, 1996, failed to notify</w:t>
      </w:r>
      <w:r w:rsidR="0030446B" w:rsidRPr="008C5978">
        <w:rPr>
          <w:rFonts w:ascii="Cambria" w:hAnsi="Cambria"/>
          <w:sz w:val="20"/>
          <w:szCs w:val="20"/>
        </w:rPr>
        <w:t xml:space="preserve"> Mr. Maldonado of his right to communicate with the Mexican Consulate. </w:t>
      </w:r>
      <w:r w:rsidR="00EB4080" w:rsidRPr="008C5978">
        <w:rPr>
          <w:rFonts w:ascii="Cambria" w:hAnsi="Cambria"/>
          <w:sz w:val="20"/>
          <w:szCs w:val="20"/>
        </w:rPr>
        <w:t xml:space="preserve">This was admitted by the police officer during his testimony </w:t>
      </w:r>
      <w:r w:rsidR="0088373B" w:rsidRPr="008C5978">
        <w:rPr>
          <w:rFonts w:ascii="Cambria" w:hAnsi="Cambria"/>
          <w:sz w:val="20"/>
          <w:szCs w:val="20"/>
        </w:rPr>
        <w:t xml:space="preserve">at a hearing conducted on September 30, 1997. The </w:t>
      </w:r>
      <w:r w:rsidR="00F86E36" w:rsidRPr="008C5978">
        <w:rPr>
          <w:rFonts w:ascii="Cambria" w:hAnsi="Cambria"/>
          <w:sz w:val="20"/>
          <w:szCs w:val="20"/>
        </w:rPr>
        <w:t>Consul General of Mexico in Houston, Texas,</w:t>
      </w:r>
      <w:r w:rsidR="0088373B" w:rsidRPr="008C5978">
        <w:rPr>
          <w:rFonts w:ascii="Cambria" w:hAnsi="Cambria"/>
          <w:sz w:val="20"/>
          <w:szCs w:val="20"/>
        </w:rPr>
        <w:t xml:space="preserve"> first learned</w:t>
      </w:r>
      <w:r w:rsidR="00A10403" w:rsidRPr="008C5978">
        <w:rPr>
          <w:rFonts w:ascii="Cambria" w:hAnsi="Cambria"/>
          <w:sz w:val="20"/>
          <w:szCs w:val="20"/>
        </w:rPr>
        <w:t>, through the media,</w:t>
      </w:r>
      <w:r w:rsidR="0088373B" w:rsidRPr="008C5978">
        <w:rPr>
          <w:rFonts w:ascii="Cambria" w:hAnsi="Cambria"/>
          <w:sz w:val="20"/>
          <w:szCs w:val="20"/>
        </w:rPr>
        <w:t xml:space="preserve"> that Mr. Maldonado was facing a capital murder trial in August 1997, almost a year and a half after his initial detention. </w:t>
      </w:r>
    </w:p>
    <w:p w14:paraId="5762F0FE" w14:textId="77777777" w:rsidR="003712A0" w:rsidRPr="008C5978" w:rsidRDefault="003712A0" w:rsidP="003712A0">
      <w:pPr>
        <w:pStyle w:val="ListParagraph"/>
        <w:rPr>
          <w:sz w:val="20"/>
          <w:szCs w:val="20"/>
        </w:rPr>
      </w:pPr>
    </w:p>
    <w:p w14:paraId="09C42F52" w14:textId="77777777" w:rsidR="00656085" w:rsidRPr="008C5978" w:rsidRDefault="006516A4"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 xml:space="preserve">In Mr. Maldonado’s case, consular assistance at the pre-trial stage would have been </w:t>
      </w:r>
      <w:r w:rsidR="00DF7793" w:rsidRPr="008C5978">
        <w:rPr>
          <w:rFonts w:ascii="Cambria" w:hAnsi="Cambria"/>
          <w:sz w:val="20"/>
          <w:szCs w:val="20"/>
        </w:rPr>
        <w:t>instrumental</w:t>
      </w:r>
      <w:r w:rsidRPr="008C5978">
        <w:rPr>
          <w:rFonts w:ascii="Cambria" w:hAnsi="Cambria"/>
          <w:sz w:val="20"/>
          <w:szCs w:val="20"/>
        </w:rPr>
        <w:t xml:space="preserve"> in </w:t>
      </w:r>
      <w:r w:rsidR="00DF7793" w:rsidRPr="008C5978">
        <w:rPr>
          <w:rFonts w:ascii="Cambria" w:hAnsi="Cambria"/>
          <w:sz w:val="20"/>
          <w:szCs w:val="20"/>
        </w:rPr>
        <w:t>avoiding</w:t>
      </w:r>
      <w:r w:rsidRPr="008C5978">
        <w:rPr>
          <w:rFonts w:ascii="Cambria" w:hAnsi="Cambria"/>
          <w:sz w:val="20"/>
          <w:szCs w:val="20"/>
        </w:rPr>
        <w:t xml:space="preserve"> the deficiencies in the defense that have already been established by the IACHR. </w:t>
      </w:r>
      <w:r w:rsidR="00DF7793" w:rsidRPr="008C5978">
        <w:rPr>
          <w:rFonts w:ascii="Cambria" w:hAnsi="Cambria"/>
          <w:sz w:val="20"/>
          <w:szCs w:val="20"/>
        </w:rPr>
        <w:t>Prompt notification is a crucial component of Article 36</w:t>
      </w:r>
      <w:r w:rsidR="00301B3D" w:rsidRPr="008C5978">
        <w:rPr>
          <w:rFonts w:ascii="Cambria" w:hAnsi="Cambria"/>
          <w:sz w:val="20"/>
          <w:szCs w:val="20"/>
        </w:rPr>
        <w:t>.1</w:t>
      </w:r>
      <w:r w:rsidR="00DF7793" w:rsidRPr="008C5978">
        <w:rPr>
          <w:rFonts w:ascii="Cambria" w:hAnsi="Cambria"/>
          <w:sz w:val="20"/>
          <w:szCs w:val="20"/>
        </w:rPr>
        <w:t xml:space="preserve"> of the Vienna Convention. </w:t>
      </w:r>
      <w:r w:rsidR="00447468" w:rsidRPr="008C5978">
        <w:rPr>
          <w:rFonts w:ascii="Cambria" w:hAnsi="Cambria"/>
          <w:sz w:val="20"/>
          <w:szCs w:val="20"/>
        </w:rPr>
        <w:t>As the Consul General of Mexico in Houston, Texas, at the time of Mr. Maldonado’s detention declared, “[</w:t>
      </w:r>
      <w:proofErr w:type="spellStart"/>
      <w:r w:rsidR="00447468" w:rsidRPr="008C5978">
        <w:rPr>
          <w:rFonts w:ascii="Cambria" w:hAnsi="Cambria"/>
          <w:sz w:val="20"/>
          <w:szCs w:val="20"/>
        </w:rPr>
        <w:t>i</w:t>
      </w:r>
      <w:proofErr w:type="spellEnd"/>
      <w:r w:rsidR="00447468" w:rsidRPr="008C5978">
        <w:rPr>
          <w:rFonts w:ascii="Cambria" w:hAnsi="Cambria"/>
          <w:sz w:val="20"/>
          <w:szCs w:val="20"/>
        </w:rPr>
        <w:t xml:space="preserve">]n Mexico’s experience, early intervention by consular officers can often prevent the imposition of a death sentence.” </w:t>
      </w:r>
      <w:r w:rsidR="00656085" w:rsidRPr="008C5978">
        <w:rPr>
          <w:rFonts w:ascii="Cambria" w:hAnsi="Cambria"/>
          <w:sz w:val="20"/>
          <w:szCs w:val="20"/>
        </w:rPr>
        <w:t xml:space="preserve">By the time </w:t>
      </w:r>
      <w:r w:rsidR="008D33C9" w:rsidRPr="008C5978">
        <w:rPr>
          <w:rFonts w:ascii="Cambria" w:hAnsi="Cambria"/>
          <w:sz w:val="20"/>
          <w:szCs w:val="20"/>
        </w:rPr>
        <w:t>they</w:t>
      </w:r>
      <w:r w:rsidR="00656085" w:rsidRPr="008C5978">
        <w:rPr>
          <w:rFonts w:ascii="Cambria" w:hAnsi="Cambria"/>
          <w:sz w:val="20"/>
          <w:szCs w:val="20"/>
        </w:rPr>
        <w:t xml:space="preserve"> learned of his detention, however, it was too late to provide the comprehensive assistance that could have affected the outcome of the trial.</w:t>
      </w:r>
    </w:p>
    <w:p w14:paraId="4658179C" w14:textId="77777777" w:rsidR="00656085" w:rsidRPr="008C5978" w:rsidRDefault="00656085" w:rsidP="00656085">
      <w:pPr>
        <w:pStyle w:val="ListParagraph"/>
        <w:rPr>
          <w:sz w:val="20"/>
          <w:szCs w:val="20"/>
        </w:rPr>
      </w:pPr>
    </w:p>
    <w:p w14:paraId="3C8E85B4" w14:textId="64D3E89D" w:rsidR="001965CC" w:rsidRPr="008C5978" w:rsidRDefault="00447468"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Consular officials would have advised Mr. Maldonado not to speak to any law enforcement officer without first speaking with an attorney, could have provided funds for expert and investigative assistance, and assisted in gathering evidence in preparation for the guilt and penalty phases. They could have requested that the court appoint more experienced counsel or retain additional legal counsel. The consulate would also have provided funds for a Spanish-speaking psychologist</w:t>
      </w:r>
      <w:r w:rsidR="00FD1DD0" w:rsidRPr="008C5978">
        <w:rPr>
          <w:rFonts w:ascii="Cambria" w:hAnsi="Cambria"/>
          <w:sz w:val="20"/>
          <w:szCs w:val="20"/>
        </w:rPr>
        <w:t>,</w:t>
      </w:r>
      <w:r w:rsidRPr="008C5978">
        <w:rPr>
          <w:rFonts w:ascii="Cambria" w:hAnsi="Cambria"/>
          <w:sz w:val="20"/>
          <w:szCs w:val="20"/>
        </w:rPr>
        <w:t xml:space="preserve"> psychiatrist </w:t>
      </w:r>
      <w:r w:rsidR="00FD1DD0" w:rsidRPr="008C5978">
        <w:rPr>
          <w:rFonts w:ascii="Cambria" w:hAnsi="Cambria"/>
          <w:sz w:val="20"/>
          <w:szCs w:val="20"/>
        </w:rPr>
        <w:t xml:space="preserve">or other medical expert </w:t>
      </w:r>
      <w:r w:rsidRPr="008C5978">
        <w:rPr>
          <w:rFonts w:ascii="Cambria" w:hAnsi="Cambria"/>
          <w:sz w:val="20"/>
          <w:szCs w:val="20"/>
        </w:rPr>
        <w:t xml:space="preserve">to examine Mr. Maldonado for evidence of mental </w:t>
      </w:r>
      <w:r w:rsidR="00BE4C89" w:rsidRPr="008C5978">
        <w:rPr>
          <w:rFonts w:ascii="Cambria" w:hAnsi="Cambria"/>
          <w:sz w:val="20"/>
          <w:szCs w:val="20"/>
        </w:rPr>
        <w:t>disability</w:t>
      </w:r>
      <w:r w:rsidRPr="008C5978">
        <w:rPr>
          <w:rFonts w:ascii="Cambria" w:hAnsi="Cambria"/>
          <w:sz w:val="20"/>
          <w:szCs w:val="20"/>
        </w:rPr>
        <w:t>, organic brain damage, fetal alcohol syndrome, or other mental and physical problems that could have been used as mitigating evidence at this trial.</w:t>
      </w:r>
      <w:r w:rsidR="00BE4C89" w:rsidRPr="008C5978">
        <w:rPr>
          <w:rFonts w:ascii="Cambria" w:hAnsi="Cambria"/>
          <w:sz w:val="20"/>
          <w:szCs w:val="20"/>
        </w:rPr>
        <w:t xml:space="preserve"> </w:t>
      </w:r>
      <w:r w:rsidR="00170976" w:rsidRPr="008C5978">
        <w:rPr>
          <w:rFonts w:ascii="Cambria" w:hAnsi="Cambria"/>
          <w:sz w:val="20"/>
          <w:szCs w:val="20"/>
        </w:rPr>
        <w:t>Early intervention by consular officers could have spared</w:t>
      </w:r>
      <w:r w:rsidR="00301B3D" w:rsidRPr="008C5978">
        <w:rPr>
          <w:rFonts w:ascii="Cambria" w:hAnsi="Cambria"/>
          <w:sz w:val="20"/>
          <w:szCs w:val="20"/>
        </w:rPr>
        <w:t xml:space="preserve"> him </w:t>
      </w:r>
      <w:r w:rsidR="00170976" w:rsidRPr="008C5978">
        <w:rPr>
          <w:rFonts w:ascii="Cambria" w:hAnsi="Cambria"/>
          <w:sz w:val="20"/>
          <w:szCs w:val="20"/>
        </w:rPr>
        <w:t>15 years on death row.</w:t>
      </w:r>
      <w:r w:rsidR="00BE4C89" w:rsidRPr="008C5978">
        <w:rPr>
          <w:rFonts w:ascii="Cambria" w:hAnsi="Cambria"/>
          <w:sz w:val="20"/>
          <w:szCs w:val="20"/>
        </w:rPr>
        <w:t xml:space="preserve"> </w:t>
      </w:r>
    </w:p>
    <w:p w14:paraId="42AC0F8D" w14:textId="77777777" w:rsidR="001965CC" w:rsidRPr="008C5978" w:rsidRDefault="001965CC" w:rsidP="001965CC">
      <w:pPr>
        <w:pStyle w:val="ListParagraph"/>
        <w:rPr>
          <w:sz w:val="20"/>
          <w:szCs w:val="20"/>
        </w:rPr>
      </w:pPr>
    </w:p>
    <w:p w14:paraId="5DDD60CC" w14:textId="77777777" w:rsidR="001965CC" w:rsidRPr="008C5978" w:rsidRDefault="00423909"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sz w:val="20"/>
          <w:szCs w:val="20"/>
        </w:rPr>
        <w:t>Given the comprehensive assistance provided by the Mexican Government to its citizens in death penalty cases in the United States, the IACHR believes that there is a reasonable probability that, had Mr. Maldonado received consular assistance at the time of his arrest, this would have had a positive impact in the development of his criminal case.  More specifically, it may well have had a positive impact on his right to an adequate defense.</w:t>
      </w:r>
    </w:p>
    <w:p w14:paraId="10D76461" w14:textId="77777777" w:rsidR="001965CC" w:rsidRPr="008C5978" w:rsidRDefault="001965CC" w:rsidP="001965CC">
      <w:pPr>
        <w:pStyle w:val="ListParagraph"/>
        <w:rPr>
          <w:rFonts w:cs="Arial"/>
          <w:sz w:val="20"/>
          <w:szCs w:val="20"/>
        </w:rPr>
      </w:pPr>
    </w:p>
    <w:p w14:paraId="323290CA" w14:textId="0B971D43" w:rsidR="004A1B66" w:rsidRPr="008C5978" w:rsidRDefault="004A1B66"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rPr>
      </w:pPr>
      <w:r w:rsidRPr="008C5978">
        <w:rPr>
          <w:rFonts w:ascii="Cambria" w:hAnsi="Cambria" w:cs="Arial"/>
          <w:sz w:val="20"/>
          <w:szCs w:val="20"/>
        </w:rPr>
        <w:t>Based upon the foregoing, the IACHR concludes that the State’s obligation under Article 36.1 of the Vienna Convention to inform Mr. Maldonado of his right to consular notification constituted a fundamental component of the due process standards to which he was entitled under the American Declaration.  Therefore, the State’s failure to respect and ensure this obligation deprived Mr. Maldonado of a criminal process that satisfied the minimum standards of due process and a fair trial required under Articles XVIII and XXVI of the Declaration.</w:t>
      </w:r>
    </w:p>
    <w:p w14:paraId="58E96E06" w14:textId="77777777" w:rsidR="00985A4B" w:rsidRPr="008C5978" w:rsidRDefault="00985A4B" w:rsidP="00985A4B">
      <w:pPr>
        <w:pStyle w:val="Heading2"/>
        <w:numPr>
          <w:ilvl w:val="0"/>
          <w:numId w:val="58"/>
        </w:numPr>
        <w:ind w:hanging="720"/>
        <w:rPr>
          <w:rFonts w:eastAsia="Arial Unicode MS"/>
          <w:color w:val="auto"/>
          <w:sz w:val="20"/>
          <w:szCs w:val="20"/>
        </w:rPr>
      </w:pPr>
      <w:bookmarkStart w:id="18" w:name="_Toc535334404"/>
      <w:bookmarkStart w:id="19" w:name="_Toc89506727"/>
      <w:r w:rsidRPr="008C5978">
        <w:rPr>
          <w:rFonts w:eastAsia="Arial Unicode MS"/>
          <w:color w:val="auto"/>
          <w:sz w:val="20"/>
          <w:szCs w:val="20"/>
        </w:rPr>
        <w:t>The deprivation of liberty on death row and the right of protection against cruel, infamous or unusual punishment</w:t>
      </w:r>
      <w:r w:rsidRPr="008C5978">
        <w:rPr>
          <w:rStyle w:val="FootnoteReference"/>
          <w:rFonts w:ascii="Cambria" w:eastAsia="Arial Unicode MS" w:hAnsi="Cambria"/>
          <w:bCs w:val="0"/>
          <w:color w:val="auto"/>
          <w:sz w:val="20"/>
          <w:szCs w:val="20"/>
        </w:rPr>
        <w:footnoteReference w:id="49"/>
      </w:r>
      <w:bookmarkEnd w:id="18"/>
      <w:bookmarkEnd w:id="19"/>
      <w:r w:rsidRPr="008C5978">
        <w:rPr>
          <w:rStyle w:val="FootnoteReference"/>
          <w:rFonts w:ascii="Cambria" w:eastAsia="Arial Unicode MS" w:hAnsi="Cambria"/>
          <w:bCs w:val="0"/>
          <w:color w:val="auto"/>
          <w:sz w:val="20"/>
          <w:szCs w:val="20"/>
        </w:rPr>
        <w:t xml:space="preserve"> </w:t>
      </w:r>
    </w:p>
    <w:p w14:paraId="0E2EB174" w14:textId="77777777" w:rsidR="00985A4B" w:rsidRPr="008C5978" w:rsidRDefault="00985A4B" w:rsidP="00985A4B">
      <w:pPr>
        <w:widowControl w:val="0"/>
        <w:tabs>
          <w:tab w:val="left" w:pos="360"/>
        </w:tabs>
        <w:suppressAutoHyphens/>
        <w:jc w:val="both"/>
        <w:rPr>
          <w:rFonts w:ascii="Cambria" w:hAnsi="Cambria"/>
          <w:b/>
          <w:sz w:val="20"/>
          <w:szCs w:val="20"/>
        </w:rPr>
      </w:pPr>
    </w:p>
    <w:p w14:paraId="303DCA55" w14:textId="77777777" w:rsidR="00595766" w:rsidRDefault="00985A4B"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r w:rsidRPr="008C5978">
        <w:rPr>
          <w:rFonts w:ascii="Cambria" w:hAnsi="Cambria" w:cs="Arial"/>
          <w:sz w:val="20"/>
          <w:szCs w:val="20"/>
        </w:rPr>
        <w:t>In both international human rights law and comparative law, the issue of long term deprivation of liberty on death row, known as the “death row phenomenon,” has been developed for decades, in light of the prohibition of cruel, inhuman or degrading punishment in Constitutions and in multiple international treaties, including the American Declaration (Articles XXV and XXVI).</w:t>
      </w:r>
      <w:r w:rsidRPr="008C5978">
        <w:rPr>
          <w:rStyle w:val="FootnoteReference"/>
          <w:rFonts w:ascii="Cambria" w:hAnsi="Cambria"/>
          <w:sz w:val="20"/>
          <w:szCs w:val="20"/>
        </w:rPr>
        <w:footnoteReference w:id="50"/>
      </w:r>
      <w:r w:rsidRPr="008C5978">
        <w:rPr>
          <w:rFonts w:ascii="Cambria" w:hAnsi="Cambria" w:cs="Arial"/>
          <w:sz w:val="20"/>
          <w:szCs w:val="20"/>
        </w:rPr>
        <w:t xml:space="preserve"> Based on those standards, in the case of Russell </w:t>
      </w:r>
      <w:proofErr w:type="spellStart"/>
      <w:r w:rsidRPr="008C5978">
        <w:rPr>
          <w:rFonts w:ascii="Cambria" w:hAnsi="Cambria" w:cs="Arial"/>
          <w:sz w:val="20"/>
          <w:szCs w:val="20"/>
        </w:rPr>
        <w:t>Bucklew</w:t>
      </w:r>
      <w:proofErr w:type="spellEnd"/>
      <w:r w:rsidRPr="008C5978">
        <w:rPr>
          <w:rFonts w:ascii="Cambria" w:hAnsi="Cambria" w:cs="Arial"/>
          <w:sz w:val="20"/>
          <w:szCs w:val="20"/>
        </w:rPr>
        <w:t xml:space="preserve"> the IACHR found that “the very fact of spending 20 years on death row is, by any account, excessive and inhuman.”</w:t>
      </w:r>
      <w:r w:rsidRPr="008C5978">
        <w:rPr>
          <w:rStyle w:val="FootnoteReference"/>
          <w:rFonts w:ascii="Cambria" w:hAnsi="Cambria"/>
          <w:sz w:val="20"/>
          <w:szCs w:val="20"/>
        </w:rPr>
        <w:footnoteReference w:id="51"/>
      </w:r>
    </w:p>
    <w:p w14:paraId="7301AC29" w14:textId="77777777" w:rsidR="00595766" w:rsidRDefault="00595766" w:rsidP="005957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267F387A" w14:textId="77777777" w:rsidR="008150B2" w:rsidRPr="00376462" w:rsidRDefault="00595766"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proofErr w:type="gramStart"/>
      <w:r w:rsidRPr="00376462">
        <w:rPr>
          <w:rFonts w:ascii="Cambria" w:hAnsi="Cambria"/>
          <w:sz w:val="20"/>
        </w:rPr>
        <w:t>Specifically</w:t>
      </w:r>
      <w:proofErr w:type="gramEnd"/>
      <w:r w:rsidRPr="00376462">
        <w:rPr>
          <w:rFonts w:ascii="Cambria" w:hAnsi="Cambria"/>
          <w:sz w:val="20"/>
        </w:rPr>
        <w:t xml:space="preserve"> regarding the matter of prolonged solitary confinement on death row, the Inter-American Commission has determined that deprivation of liberty under certain conditions on death row, including solitary confinement for four years, constituted inhuman treatment.</w:t>
      </w:r>
      <w:r w:rsidRPr="00376462">
        <w:rPr>
          <w:rFonts w:ascii="Cambria" w:hAnsi="Cambria"/>
          <w:sz w:val="20"/>
          <w:vertAlign w:val="superscript"/>
        </w:rPr>
        <w:footnoteReference w:id="52"/>
      </w:r>
      <w:r w:rsidRPr="00376462">
        <w:rPr>
          <w:rFonts w:ascii="Cambria" w:hAnsi="Cambria"/>
          <w:sz w:val="20"/>
        </w:rPr>
        <w:t xml:space="preserve">     </w:t>
      </w:r>
    </w:p>
    <w:p w14:paraId="7E877828" w14:textId="77777777" w:rsidR="008150B2" w:rsidRPr="00376462" w:rsidRDefault="008150B2" w:rsidP="008150B2">
      <w:pPr>
        <w:pStyle w:val="ListParagraph"/>
        <w:rPr>
          <w:sz w:val="20"/>
        </w:rPr>
      </w:pPr>
    </w:p>
    <w:p w14:paraId="2952C8FA" w14:textId="79A65E95" w:rsidR="008150B2" w:rsidRPr="00376462" w:rsidRDefault="008150B2"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r w:rsidRPr="00376462">
        <w:rPr>
          <w:rFonts w:ascii="Cambria" w:hAnsi="Cambria"/>
          <w:sz w:val="20"/>
        </w:rPr>
        <w:t xml:space="preserve">The UN Special Rapporteur on Torture has found that: </w:t>
      </w:r>
    </w:p>
    <w:p w14:paraId="67F4D956" w14:textId="77777777" w:rsidR="008150B2" w:rsidRPr="00376462" w:rsidRDefault="008150B2" w:rsidP="008150B2">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18700BD2" w14:textId="16D1D141" w:rsidR="008150B2" w:rsidRPr="00376462" w:rsidRDefault="008150B2" w:rsidP="008150B2">
      <w:pPr>
        <w:pBdr>
          <w:top w:val="none" w:sz="0" w:space="0" w:color="auto"/>
          <w:left w:val="none" w:sz="0" w:space="0" w:color="auto"/>
          <w:bottom w:val="none" w:sz="0" w:space="0" w:color="auto"/>
          <w:right w:val="none" w:sz="0" w:space="0" w:color="auto"/>
          <w:bar w:val="none" w:sz="0" w:color="auto"/>
        </w:pBdr>
        <w:ind w:left="720" w:right="720"/>
        <w:jc w:val="both"/>
        <w:rPr>
          <w:rFonts w:ascii="Cambria" w:eastAsia="Times New Roman" w:hAnsi="Cambria"/>
          <w:sz w:val="18"/>
          <w:szCs w:val="18"/>
        </w:rPr>
      </w:pPr>
      <w:r w:rsidRPr="00376462">
        <w:rPr>
          <w:rFonts w:ascii="Cambria" w:eastAsia="Times New Roman" w:hAnsi="Cambria"/>
          <w:sz w:val="18"/>
          <w:szCs w:val="18"/>
        </w:rPr>
        <w:t>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on death row is by definition prolonged and indefinite and thus constitutes cruel, inhuman or degrading treatment or punishment or even torture.</w:t>
      </w:r>
      <w:r w:rsidRPr="00376462">
        <w:rPr>
          <w:rFonts w:ascii="Cambria" w:eastAsia="Times New Roman" w:hAnsi="Cambria"/>
          <w:sz w:val="18"/>
          <w:szCs w:val="18"/>
          <w:vertAlign w:val="superscript"/>
        </w:rPr>
        <w:footnoteReference w:id="53"/>
      </w:r>
    </w:p>
    <w:p w14:paraId="14D6EC79" w14:textId="77777777" w:rsidR="00985A4B" w:rsidRPr="00376462" w:rsidRDefault="00985A4B" w:rsidP="00985A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143A9555" w14:textId="1A5264BB" w:rsidR="00985A4B" w:rsidRPr="008C5978" w:rsidRDefault="00985A4B"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r w:rsidRPr="00376462">
        <w:rPr>
          <w:rFonts w:ascii="Cambria" w:hAnsi="Cambria" w:cs="Arial"/>
          <w:sz w:val="20"/>
          <w:szCs w:val="20"/>
        </w:rPr>
        <w:t xml:space="preserve">As established in this report, </w:t>
      </w:r>
      <w:r w:rsidRPr="00376462">
        <w:rPr>
          <w:rFonts w:ascii="Cambria" w:hAnsi="Cambria"/>
          <w:sz w:val="20"/>
          <w:szCs w:val="20"/>
        </w:rPr>
        <w:t>Mr. Maldonado spent 15 years on death row</w:t>
      </w:r>
      <w:r w:rsidR="001A1B32" w:rsidRPr="00376462">
        <w:rPr>
          <w:rFonts w:ascii="Cambria" w:hAnsi="Cambria"/>
          <w:sz w:val="20"/>
          <w:szCs w:val="20"/>
        </w:rPr>
        <w:t xml:space="preserve"> in complete isolation</w:t>
      </w:r>
      <w:r w:rsidRPr="00376462">
        <w:rPr>
          <w:rFonts w:ascii="Cambria" w:hAnsi="Cambria"/>
          <w:sz w:val="20"/>
          <w:szCs w:val="20"/>
        </w:rPr>
        <w:t>, until he was found ineligible for execution given his mental disability.</w:t>
      </w:r>
      <w:r w:rsidRPr="00376462">
        <w:rPr>
          <w:rFonts w:ascii="Cambria" w:hAnsi="Cambria" w:cs="Arial"/>
          <w:sz w:val="20"/>
          <w:szCs w:val="20"/>
        </w:rPr>
        <w:t xml:space="preserve"> The Commission notes that the very fact of spending 15 years on death row is, by any account, excessive and inhuman, and is aggravated by </w:t>
      </w:r>
      <w:r w:rsidR="0046574C" w:rsidRPr="00376462">
        <w:rPr>
          <w:rFonts w:ascii="Cambria" w:hAnsi="Cambria" w:cs="Arial"/>
          <w:sz w:val="20"/>
          <w:szCs w:val="20"/>
        </w:rPr>
        <w:t xml:space="preserve">Mr. Maldonado’s mental health condition as well as by </w:t>
      </w:r>
      <w:r w:rsidRPr="00376462">
        <w:rPr>
          <w:rFonts w:ascii="Cambria" w:hAnsi="Cambria" w:cs="Arial"/>
          <w:sz w:val="20"/>
          <w:szCs w:val="20"/>
        </w:rPr>
        <w:t xml:space="preserve">the prolonged expectation that the death sentence could be executed. </w:t>
      </w:r>
      <w:r w:rsidR="001A1B32" w:rsidRPr="00376462">
        <w:rPr>
          <w:rFonts w:ascii="Cambria" w:hAnsi="Cambria" w:cs="Arial"/>
          <w:sz w:val="20"/>
          <w:szCs w:val="20"/>
        </w:rPr>
        <w:t xml:space="preserve">The IACHR notes in this regard that Mr. Maldonado spent approximately 23 hours a day in complete isolation and with no exposure to natural light for 15 years. </w:t>
      </w:r>
      <w:r w:rsidRPr="00376462">
        <w:rPr>
          <w:rFonts w:ascii="Cambria" w:hAnsi="Cambria" w:cs="Arial"/>
          <w:sz w:val="20"/>
          <w:szCs w:val="20"/>
        </w:rPr>
        <w:t xml:space="preserve">Consequently, the United States is responsible for violating, to the detriment of Mr. </w:t>
      </w:r>
      <w:r w:rsidR="0046574C" w:rsidRPr="00376462">
        <w:rPr>
          <w:rFonts w:ascii="Cambria" w:hAnsi="Cambria" w:cs="Arial"/>
          <w:sz w:val="20"/>
          <w:szCs w:val="20"/>
        </w:rPr>
        <w:t>Maldonado</w:t>
      </w:r>
      <w:r w:rsidRPr="00376462">
        <w:rPr>
          <w:rFonts w:ascii="Cambria" w:hAnsi="Cambria" w:cs="Arial"/>
          <w:sz w:val="20"/>
          <w:szCs w:val="20"/>
        </w:rPr>
        <w:t>, the right to humane treatment, and not to receive cruel, infamous or unusual punishment established in the American Declaration</w:t>
      </w:r>
      <w:r w:rsidRPr="008C5978">
        <w:rPr>
          <w:rFonts w:ascii="Cambria" w:hAnsi="Cambria" w:cs="Arial"/>
          <w:sz w:val="20"/>
          <w:szCs w:val="20"/>
        </w:rPr>
        <w:t xml:space="preserve">.  </w:t>
      </w:r>
    </w:p>
    <w:p w14:paraId="6E9401E6" w14:textId="77777777" w:rsidR="00C45A93" w:rsidRPr="008C5978" w:rsidRDefault="00C45A93" w:rsidP="002A00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30426884" w14:textId="09F907E2" w:rsidR="00B905CC" w:rsidRPr="009F340C" w:rsidRDefault="00B905CC" w:rsidP="00B905CC">
      <w:pPr>
        <w:pStyle w:val="Heading1"/>
        <w:spacing w:before="0"/>
        <w:ind w:hanging="720"/>
        <w:rPr>
          <w:color w:val="auto"/>
          <w:sz w:val="20"/>
          <w:szCs w:val="20"/>
        </w:rPr>
      </w:pPr>
      <w:bookmarkStart w:id="20" w:name="_Toc89506728"/>
      <w:r w:rsidRPr="009F340C">
        <w:rPr>
          <w:color w:val="auto"/>
          <w:sz w:val="20"/>
          <w:szCs w:val="20"/>
        </w:rPr>
        <w:t>ACTIONS SUBSEQUENT TO REPORT No. 93/19</w:t>
      </w:r>
      <w:bookmarkEnd w:id="20"/>
    </w:p>
    <w:p w14:paraId="2D7F232D" w14:textId="77777777" w:rsidR="00B905CC" w:rsidRPr="009F340C" w:rsidRDefault="00B905CC" w:rsidP="00B905CC"/>
    <w:p w14:paraId="3F8051E4" w14:textId="7C43ADA7" w:rsidR="00B905CC" w:rsidRPr="009F340C" w:rsidRDefault="00B905CC"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r w:rsidRPr="009F340C">
        <w:rPr>
          <w:rFonts w:ascii="Cambria" w:hAnsi="Cambria" w:cs="Arial"/>
          <w:sz w:val="20"/>
          <w:szCs w:val="20"/>
        </w:rPr>
        <w:t xml:space="preserve">On June 14, 2019, the Commission approved Report No. 93/19 on the merits of the instant case, which encompasses paragraphs 1 to 63 </w:t>
      </w:r>
      <w:r w:rsidRPr="009F340C">
        <w:rPr>
          <w:rFonts w:ascii="Cambria" w:hAnsi="Cambria" w:cs="Arial"/>
          <w:i/>
          <w:sz w:val="20"/>
          <w:szCs w:val="20"/>
        </w:rPr>
        <w:t>supra</w:t>
      </w:r>
      <w:r w:rsidRPr="009F340C">
        <w:rPr>
          <w:rFonts w:ascii="Cambria" w:hAnsi="Cambria" w:cs="Arial"/>
          <w:sz w:val="20"/>
          <w:szCs w:val="20"/>
        </w:rPr>
        <w:t xml:space="preserve">, and issued the following recommendations to the State: </w:t>
      </w:r>
    </w:p>
    <w:p w14:paraId="03C84104" w14:textId="77777777" w:rsidR="00B905CC" w:rsidRPr="009F340C" w:rsidRDefault="00B905CC" w:rsidP="00B905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cs="Arial"/>
          <w:sz w:val="20"/>
          <w:szCs w:val="20"/>
        </w:rPr>
      </w:pPr>
    </w:p>
    <w:p w14:paraId="5F1F9827" w14:textId="77777777" w:rsidR="00B905CC" w:rsidRPr="009F340C" w:rsidRDefault="00B905CC" w:rsidP="00B905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9F340C">
        <w:rPr>
          <w:rFonts w:eastAsia="Times New Roman" w:cs="Tahoma"/>
          <w:sz w:val="20"/>
          <w:szCs w:val="20"/>
          <w:bdr w:val="none" w:sz="0" w:space="0" w:color="auto"/>
        </w:rPr>
        <w:t xml:space="preserve">Grant </w:t>
      </w:r>
      <w:r w:rsidRPr="009F340C">
        <w:rPr>
          <w:rFonts w:asciiTheme="majorHAnsi" w:hAnsiTheme="majorHAnsi"/>
          <w:color w:val="000000" w:themeColor="text1"/>
          <w:sz w:val="20"/>
          <w:szCs w:val="20"/>
        </w:rPr>
        <w:t>Mr. Virgilio Maldonado Rodriguez</w:t>
      </w:r>
      <w:r w:rsidRPr="009F340C">
        <w:rPr>
          <w:rFonts w:eastAsia="Times New Roman" w:cs="Tahoma"/>
          <w:sz w:val="20"/>
          <w:szCs w:val="20"/>
          <w:bdr w:val="none" w:sz="0" w:space="0" w:color="auto"/>
        </w:rPr>
        <w:t xml:space="preserve"> effective relief, including the review of his trial and sentence in accordance with the guarantees of fair trial and due process set forth in Articles </w:t>
      </w:r>
      <w:r w:rsidRPr="009F340C">
        <w:rPr>
          <w:rFonts w:asciiTheme="majorHAnsi" w:hAnsiTheme="majorHAnsi"/>
          <w:color w:val="000000" w:themeColor="text1"/>
          <w:sz w:val="20"/>
          <w:szCs w:val="20"/>
        </w:rPr>
        <w:t xml:space="preserve">XVIII, XXV and XXVI </w:t>
      </w:r>
      <w:r w:rsidRPr="009F340C">
        <w:rPr>
          <w:rFonts w:eastAsia="Times New Roman" w:cs="Tahoma"/>
          <w:sz w:val="20"/>
          <w:szCs w:val="20"/>
          <w:bdr w:val="none" w:sz="0" w:space="0" w:color="auto"/>
        </w:rPr>
        <w:t xml:space="preserve">of the American Declaration, and the payment of pecuniary compensation. </w:t>
      </w:r>
      <w:r w:rsidRPr="009F340C">
        <w:t xml:space="preserve"> </w:t>
      </w:r>
    </w:p>
    <w:p w14:paraId="5A1CFC10" w14:textId="77777777" w:rsidR="00B905CC" w:rsidRPr="009F340C" w:rsidRDefault="00B905CC" w:rsidP="00B905C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24FEE13C" w14:textId="77777777" w:rsidR="00B905CC" w:rsidRPr="009F340C" w:rsidRDefault="00B905CC" w:rsidP="00B905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9F340C">
        <w:rPr>
          <w:sz w:val="20"/>
        </w:rPr>
        <w:t>Review its laws, procedures, and practices to ensure that persons accused of capital crimes are tried and, if convicted, sentenced in accordance with the rights established in the American Declaration, including Articles XVIII, XXV and XXVI thereof, and, in particular,</w:t>
      </w:r>
      <w:r w:rsidRPr="009F340C">
        <w:rPr>
          <w:rFonts w:eastAsia="Times New Roman"/>
          <w:sz w:val="20"/>
          <w:szCs w:val="20"/>
          <w:bdr w:val="none" w:sz="0" w:space="0" w:color="auto"/>
        </w:rPr>
        <w:t xml:space="preserve"> that no one with a mental or intellectual disability at the time of the commission of the crime or execution of the death sentence receives the death penalty or is executed</w:t>
      </w:r>
      <w:r w:rsidRPr="009F340C">
        <w:rPr>
          <w:sz w:val="20"/>
        </w:rPr>
        <w:t>.</w:t>
      </w:r>
    </w:p>
    <w:p w14:paraId="61137218" w14:textId="77777777" w:rsidR="00B905CC" w:rsidRPr="009F340C" w:rsidRDefault="00B905CC" w:rsidP="00B905CC">
      <w:pPr>
        <w:pStyle w:val="ListParagraph"/>
        <w:rPr>
          <w:rFonts w:eastAsia="Times New Roman" w:cs="Tahoma"/>
          <w:sz w:val="20"/>
          <w:szCs w:val="20"/>
          <w:bdr w:val="none" w:sz="0" w:space="0" w:color="auto"/>
        </w:rPr>
      </w:pPr>
    </w:p>
    <w:p w14:paraId="420CDE82" w14:textId="77777777" w:rsidR="00B905CC" w:rsidRPr="009F340C" w:rsidRDefault="00B905CC" w:rsidP="00B905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9F340C">
        <w:rPr>
          <w:sz w:val="20"/>
          <w:szCs w:val="20"/>
          <w:bdr w:val="none" w:sz="0" w:space="0" w:color="auto" w:frame="1"/>
        </w:rPr>
        <w:t>Ensure that the legal counsel provided by the State in death penalty cases is effective, trained to serve in death penalty cases, and able to thoroughly and diligently investigate all mitigating evidence.</w:t>
      </w:r>
    </w:p>
    <w:p w14:paraId="02C0E843" w14:textId="77777777" w:rsidR="00B905CC" w:rsidRPr="009F340C" w:rsidRDefault="00B905CC" w:rsidP="00B905CC">
      <w:pPr>
        <w:pStyle w:val="ListParagraph"/>
        <w:rPr>
          <w:rFonts w:eastAsia="Times New Roman" w:cs="Tahoma"/>
          <w:sz w:val="20"/>
          <w:szCs w:val="20"/>
          <w:bdr w:val="none" w:sz="0" w:space="0" w:color="auto"/>
        </w:rPr>
      </w:pPr>
    </w:p>
    <w:p w14:paraId="3D9B0D4F" w14:textId="77777777" w:rsidR="00B905CC" w:rsidRPr="009F340C" w:rsidRDefault="00B905CC" w:rsidP="00B905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9F340C">
        <w:rPr>
          <w:rFonts w:eastAsia="Times New Roman" w:cs="Tahoma"/>
          <w:sz w:val="20"/>
          <w:szCs w:val="20"/>
          <w:bdr w:val="none" w:sz="0" w:space="0" w:color="auto"/>
        </w:rPr>
        <w:t xml:space="preserve">Ensure that conditions on death row at Texas’ </w:t>
      </w:r>
      <w:proofErr w:type="spellStart"/>
      <w:r w:rsidRPr="009F340C">
        <w:rPr>
          <w:rFonts w:eastAsia="Times New Roman" w:cs="Tahoma"/>
          <w:sz w:val="20"/>
          <w:szCs w:val="20"/>
          <w:bdr w:val="none" w:sz="0" w:space="0" w:color="auto"/>
        </w:rPr>
        <w:t>Polunsky</w:t>
      </w:r>
      <w:proofErr w:type="spellEnd"/>
      <w:r w:rsidRPr="009F340C">
        <w:rPr>
          <w:rFonts w:eastAsia="Times New Roman" w:cs="Tahoma"/>
          <w:sz w:val="20"/>
          <w:szCs w:val="20"/>
          <w:bdr w:val="none" w:sz="0" w:space="0" w:color="auto"/>
        </w:rPr>
        <w:t xml:space="preserve"> Unit are compatible with international human rights standards and that solitary confinement is only used in exceptional circumstances, for the shortest period possible.</w:t>
      </w:r>
    </w:p>
    <w:p w14:paraId="005A67AC" w14:textId="77777777" w:rsidR="00B905CC" w:rsidRPr="009F340C" w:rsidRDefault="00B905CC" w:rsidP="00B905CC">
      <w:pPr>
        <w:pStyle w:val="ListParagraph"/>
        <w:rPr>
          <w:sz w:val="20"/>
        </w:rPr>
      </w:pPr>
    </w:p>
    <w:p w14:paraId="2747DF0B" w14:textId="77777777" w:rsidR="00B905CC" w:rsidRPr="009F340C" w:rsidRDefault="00B905CC" w:rsidP="00B905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9F340C">
        <w:rPr>
          <w:rFonts w:ascii="Cambria" w:hAnsi="Cambria"/>
          <w:sz w:val="20"/>
          <w:szCs w:val="20"/>
        </w:rPr>
        <w:t>Ensure that every foreign national deprived of his or her liberty is informed, without delay and prior to his or her first statement, of his or her right to consular notification and to request that the diplomatic authorities be immediately notified of his or her arrest or detention.</w:t>
      </w:r>
    </w:p>
    <w:p w14:paraId="0B446D43" w14:textId="77777777" w:rsidR="00B905CC" w:rsidRPr="009F340C" w:rsidRDefault="00B905CC" w:rsidP="00B905CC">
      <w:pPr>
        <w:autoSpaceDE w:val="0"/>
        <w:autoSpaceDN w:val="0"/>
        <w:adjustRightInd w:val="0"/>
        <w:ind w:firstLine="900"/>
        <w:jc w:val="both"/>
        <w:rPr>
          <w:rFonts w:ascii="Cambria" w:hAnsi="Cambria"/>
          <w:sz w:val="20"/>
          <w:szCs w:val="20"/>
        </w:rPr>
      </w:pPr>
    </w:p>
    <w:p w14:paraId="5B20510B" w14:textId="77777777" w:rsidR="00B905CC" w:rsidRPr="009F340C" w:rsidRDefault="00B905CC" w:rsidP="00B905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rPr>
      </w:pPr>
      <w:r w:rsidRPr="009F340C">
        <w:rPr>
          <w:rFonts w:ascii="Cambria" w:hAnsi="Cambria"/>
          <w:sz w:val="20"/>
          <w:szCs w:val="20"/>
        </w:rPr>
        <w:t>Push for urgent passage of the bill for the “Consular Notification Compliance Act” (“CNCA”), which has been pending with the United States Congress since 2011.</w:t>
      </w:r>
    </w:p>
    <w:p w14:paraId="01D20B8F" w14:textId="77777777" w:rsidR="00B905CC" w:rsidRPr="009F340C" w:rsidRDefault="00B905CC" w:rsidP="00B905C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r w:rsidRPr="009F340C">
        <w:rPr>
          <w:rFonts w:asciiTheme="majorHAnsi" w:hAnsiTheme="majorHAnsi"/>
          <w:sz w:val="20"/>
        </w:rPr>
        <w:t xml:space="preserve"> </w:t>
      </w:r>
    </w:p>
    <w:p w14:paraId="72122A63" w14:textId="77777777" w:rsidR="00B905CC" w:rsidRPr="009F340C" w:rsidRDefault="00B905CC" w:rsidP="00B905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9F340C">
        <w:rPr>
          <w:rFonts w:asciiTheme="majorHAnsi" w:hAnsiTheme="majorHAnsi"/>
          <w:sz w:val="20"/>
        </w:rPr>
        <w:t>Given the violations of the American Declaration the IACHR has established in the present</w:t>
      </w:r>
      <w:r w:rsidRPr="009F340C">
        <w:rPr>
          <w:sz w:val="20"/>
        </w:rPr>
        <w:t xml:space="preserve"> case and in others involving application of the death penalty, the Inter-American Commission also recommends to the United States that it adopt a moratorium on executions of persons sentenced to death.</w:t>
      </w:r>
      <w:r w:rsidRPr="009F340C">
        <w:rPr>
          <w:rStyle w:val="FootnoteReference"/>
          <w:sz w:val="20"/>
        </w:rPr>
        <w:footnoteReference w:id="54"/>
      </w:r>
    </w:p>
    <w:p w14:paraId="3472D7F2" w14:textId="77777777" w:rsidR="00B905CC" w:rsidRPr="009F340C" w:rsidRDefault="00B905CC" w:rsidP="00B905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cs="Arial"/>
          <w:sz w:val="20"/>
          <w:szCs w:val="20"/>
        </w:rPr>
      </w:pPr>
    </w:p>
    <w:p w14:paraId="0C6FD162" w14:textId="5BE074FA" w:rsidR="00B905CC" w:rsidRDefault="00B905CC"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r w:rsidRPr="009F340C">
        <w:rPr>
          <w:rFonts w:ascii="Cambria" w:hAnsi="Cambria" w:cs="Arial"/>
          <w:sz w:val="20"/>
          <w:szCs w:val="20"/>
        </w:rPr>
        <w:t>On August 6, 2019, the Commission transmitted the report to the State with a time period of two months to inform the Inter-American Commission on the measures taken to comply with its recommendations. On that same date the IACHR notified the petitioners about the adoption of the report. To date, the IACHR has not received any response from the United States regarding Report No. 93/19.</w:t>
      </w:r>
    </w:p>
    <w:p w14:paraId="4CF4800C" w14:textId="77777777" w:rsidR="00DD705F" w:rsidRPr="009F340C" w:rsidRDefault="00DD705F" w:rsidP="00DD70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06B5D7EC" w14:textId="6FACFFC2" w:rsidR="00DD705F" w:rsidRPr="00341D3C" w:rsidRDefault="00DD705F" w:rsidP="00846C8C">
      <w:pPr>
        <w:pStyle w:val="Heading1"/>
        <w:spacing w:before="0"/>
        <w:ind w:hanging="720"/>
        <w:rPr>
          <w:color w:val="auto"/>
          <w:sz w:val="20"/>
          <w:szCs w:val="20"/>
        </w:rPr>
      </w:pPr>
      <w:bookmarkStart w:id="21" w:name="_Toc26550943"/>
      <w:bookmarkStart w:id="22" w:name="_Toc89506729"/>
      <w:r w:rsidRPr="00341D3C">
        <w:rPr>
          <w:color w:val="auto"/>
          <w:sz w:val="20"/>
          <w:szCs w:val="20"/>
        </w:rPr>
        <w:t>ACTIONS SUBSEQUENT TO REPORT No. 32/</w:t>
      </w:r>
      <w:bookmarkEnd w:id="21"/>
      <w:r w:rsidRPr="00341D3C">
        <w:rPr>
          <w:color w:val="auto"/>
          <w:sz w:val="20"/>
          <w:szCs w:val="20"/>
        </w:rPr>
        <w:t>20</w:t>
      </w:r>
      <w:bookmarkEnd w:id="22"/>
    </w:p>
    <w:p w14:paraId="0929203A" w14:textId="77777777" w:rsidR="00DD705F" w:rsidRPr="00341D3C" w:rsidRDefault="00DD705F" w:rsidP="00DD705F">
      <w:pPr>
        <w:rPr>
          <w:sz w:val="20"/>
          <w:szCs w:val="20"/>
        </w:rPr>
      </w:pPr>
    </w:p>
    <w:p w14:paraId="09C5F9FC" w14:textId="42CCF8D9" w:rsidR="00DD705F" w:rsidRPr="00341D3C" w:rsidRDefault="00DD705F" w:rsidP="00846C8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sz w:val="20"/>
          <w:szCs w:val="20"/>
        </w:rPr>
      </w:pPr>
      <w:r w:rsidRPr="00341D3C">
        <w:rPr>
          <w:rFonts w:ascii="Cambria" w:hAnsi="Cambria" w:cs="Arial"/>
          <w:sz w:val="20"/>
          <w:szCs w:val="20"/>
        </w:rPr>
        <w:t>On</w:t>
      </w:r>
      <w:r w:rsidRPr="00341D3C">
        <w:rPr>
          <w:rFonts w:ascii="Cambria" w:hAnsi="Cambria"/>
          <w:sz w:val="20"/>
          <w:szCs w:val="20"/>
        </w:rPr>
        <w:t xml:space="preserve"> April 13, 2020, the Commission approved Final Merits Report No. 32/20, which encompasses paragraphs 1 to 65 </w:t>
      </w:r>
      <w:r w:rsidRPr="00341D3C">
        <w:rPr>
          <w:rFonts w:ascii="Cambria" w:hAnsi="Cambria"/>
          <w:i/>
          <w:sz w:val="20"/>
          <w:szCs w:val="20"/>
        </w:rPr>
        <w:t>supra</w:t>
      </w:r>
      <w:r w:rsidRPr="00341D3C">
        <w:rPr>
          <w:rFonts w:ascii="Cambria" w:hAnsi="Cambria"/>
          <w:sz w:val="20"/>
          <w:szCs w:val="20"/>
        </w:rPr>
        <w:t xml:space="preserve">, and issued its final conclusions and recommendations to the State. On April 28, 2020, the Commission transmitted the report to the State and the petitioners with a time period of two months to inform the Inter-American Commission on the measures taken to comply with its recommendations. </w:t>
      </w:r>
      <w:r w:rsidR="00846C8C" w:rsidRPr="00341D3C">
        <w:rPr>
          <w:rFonts w:ascii="Cambria" w:hAnsi="Cambria"/>
          <w:sz w:val="20"/>
          <w:szCs w:val="20"/>
        </w:rPr>
        <w:t>To date, the IACHR has not received any response from the United States or the petitioners regarding Report No. 32/20.</w:t>
      </w:r>
    </w:p>
    <w:p w14:paraId="01753BC9" w14:textId="77777777" w:rsidR="00B905CC" w:rsidRPr="000B0BA6" w:rsidRDefault="00B905CC" w:rsidP="00B905CC">
      <w:pPr>
        <w:rPr>
          <w:sz w:val="20"/>
          <w:szCs w:val="20"/>
        </w:rPr>
      </w:pPr>
    </w:p>
    <w:p w14:paraId="771BB6F0" w14:textId="77777777" w:rsidR="00E575CD" w:rsidRDefault="00E575CD">
      <w:pPr>
        <w:rPr>
          <w:rFonts w:asciiTheme="majorHAnsi" w:eastAsiaTheme="majorEastAsia" w:hAnsiTheme="majorHAnsi" w:cstheme="majorBidi"/>
          <w:b/>
          <w:bCs/>
          <w:sz w:val="20"/>
          <w:szCs w:val="20"/>
        </w:rPr>
      </w:pPr>
      <w:bookmarkStart w:id="23" w:name="_Toc89506730"/>
      <w:r>
        <w:rPr>
          <w:sz w:val="20"/>
          <w:szCs w:val="20"/>
        </w:rPr>
        <w:br w:type="page"/>
      </w:r>
    </w:p>
    <w:p w14:paraId="084E3258" w14:textId="03BFFB63" w:rsidR="001C4006" w:rsidRPr="008C5978" w:rsidRDefault="00B905CC" w:rsidP="001965CC">
      <w:pPr>
        <w:pStyle w:val="Heading1"/>
        <w:spacing w:before="0"/>
        <w:ind w:hanging="720"/>
        <w:rPr>
          <w:color w:val="auto"/>
          <w:sz w:val="20"/>
          <w:szCs w:val="20"/>
        </w:rPr>
      </w:pPr>
      <w:r w:rsidRPr="009F340C">
        <w:rPr>
          <w:color w:val="auto"/>
          <w:sz w:val="20"/>
          <w:szCs w:val="20"/>
        </w:rPr>
        <w:lastRenderedPageBreak/>
        <w:t>FINAL</w:t>
      </w:r>
      <w:r>
        <w:rPr>
          <w:color w:val="auto"/>
          <w:sz w:val="20"/>
          <w:szCs w:val="20"/>
        </w:rPr>
        <w:t xml:space="preserve"> </w:t>
      </w:r>
      <w:r w:rsidR="001C4006" w:rsidRPr="008C5978">
        <w:rPr>
          <w:color w:val="auto"/>
          <w:sz w:val="20"/>
          <w:szCs w:val="20"/>
        </w:rPr>
        <w:t>CONCLUSIONS AND RECOMMENDATIONS</w:t>
      </w:r>
      <w:bookmarkEnd w:id="23"/>
    </w:p>
    <w:p w14:paraId="3AEE1550" w14:textId="77777777" w:rsidR="001C4006" w:rsidRPr="008C5978" w:rsidRDefault="001C4006" w:rsidP="009412E0">
      <w:pPr>
        <w:suppressAutoHyphens/>
        <w:ind w:left="1440" w:hanging="720"/>
        <w:rPr>
          <w:rFonts w:asciiTheme="majorHAnsi" w:hAnsiTheme="majorHAnsi"/>
          <w:b/>
          <w:sz w:val="20"/>
          <w:szCs w:val="20"/>
        </w:rPr>
      </w:pPr>
    </w:p>
    <w:p w14:paraId="5AB47281" w14:textId="77777777" w:rsidR="0064712F" w:rsidRPr="00B905CC" w:rsidRDefault="00F1763D" w:rsidP="000052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rPr>
      </w:pPr>
      <w:r w:rsidRPr="00B905CC">
        <w:rPr>
          <w:rFonts w:ascii="Cambria" w:hAnsi="Cambria" w:cs="Arial"/>
          <w:sz w:val="20"/>
          <w:szCs w:val="20"/>
        </w:rPr>
        <w:t>On the basis of determinations of fact and law, the Inter-American Commission conclude</w:t>
      </w:r>
      <w:r w:rsidR="00D80440" w:rsidRPr="00B905CC">
        <w:rPr>
          <w:rFonts w:ascii="Cambria" w:hAnsi="Cambria" w:cs="Arial"/>
          <w:sz w:val="20"/>
          <w:szCs w:val="20"/>
        </w:rPr>
        <w:t>s</w:t>
      </w:r>
      <w:r w:rsidRPr="00B905CC">
        <w:rPr>
          <w:rFonts w:ascii="Cambria" w:hAnsi="Cambria" w:cs="Arial"/>
          <w:sz w:val="20"/>
          <w:szCs w:val="20"/>
        </w:rPr>
        <w:t xml:space="preserve"> that the State is responsible for the violation of Articles XVIII (fair trial)</w:t>
      </w:r>
      <w:r w:rsidR="000550C0" w:rsidRPr="00B905CC">
        <w:rPr>
          <w:rFonts w:ascii="Cambria" w:hAnsi="Cambria" w:cs="Arial"/>
          <w:sz w:val="20"/>
          <w:szCs w:val="20"/>
        </w:rPr>
        <w:t>, XXV (</w:t>
      </w:r>
      <w:r w:rsidR="00DC4839" w:rsidRPr="00B905CC">
        <w:rPr>
          <w:rFonts w:ascii="Cambria" w:hAnsi="Cambria" w:cs="Arial"/>
          <w:sz w:val="20"/>
          <w:szCs w:val="20"/>
        </w:rPr>
        <w:t>protection from arbitrary detention</w:t>
      </w:r>
      <w:r w:rsidR="00985A4B" w:rsidRPr="00B905CC">
        <w:rPr>
          <w:rFonts w:ascii="Cambria" w:hAnsi="Cambria" w:cs="Arial"/>
          <w:sz w:val="20"/>
          <w:szCs w:val="20"/>
        </w:rPr>
        <w:t>)</w:t>
      </w:r>
      <w:r w:rsidRPr="00B905CC">
        <w:rPr>
          <w:rFonts w:ascii="Cambria" w:hAnsi="Cambria" w:cs="Arial"/>
          <w:sz w:val="20"/>
          <w:szCs w:val="20"/>
        </w:rPr>
        <w:t xml:space="preserve"> and XXVI (due process) of the American Declaration. </w:t>
      </w:r>
    </w:p>
    <w:p w14:paraId="5799B3E6" w14:textId="77777777" w:rsidR="00BA7984" w:rsidRPr="008C5978" w:rsidRDefault="00BA7984" w:rsidP="00085F6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rPr>
      </w:pPr>
    </w:p>
    <w:p w14:paraId="3E97741E" w14:textId="50A6C285" w:rsidR="001C4006" w:rsidRPr="008C5978" w:rsidRDefault="001C4006" w:rsidP="001965CC">
      <w:pPr>
        <w:jc w:val="both"/>
        <w:rPr>
          <w:rFonts w:ascii="Cambria" w:hAnsi="Cambria"/>
          <w:b/>
          <w:sz w:val="20"/>
          <w:szCs w:val="20"/>
        </w:rPr>
      </w:pPr>
      <w:r w:rsidRPr="008C5978">
        <w:rPr>
          <w:rFonts w:ascii="Cambria" w:hAnsi="Cambria"/>
          <w:b/>
          <w:sz w:val="20"/>
          <w:szCs w:val="20"/>
        </w:rPr>
        <w:t xml:space="preserve">THE INTER-AMERICAN COMMISSION ON HUMAN </w:t>
      </w:r>
      <w:r w:rsidRPr="00341D3C">
        <w:rPr>
          <w:rFonts w:ascii="Cambria" w:hAnsi="Cambria"/>
          <w:b/>
          <w:sz w:val="20"/>
          <w:szCs w:val="20"/>
        </w:rPr>
        <w:t>RIGHTS R</w:t>
      </w:r>
      <w:r w:rsidR="00846C8C" w:rsidRPr="00341D3C">
        <w:rPr>
          <w:rFonts w:ascii="Cambria" w:hAnsi="Cambria"/>
          <w:b/>
          <w:sz w:val="20"/>
          <w:szCs w:val="20"/>
        </w:rPr>
        <w:t>EITERATES</w:t>
      </w:r>
      <w:r w:rsidRPr="008C5978">
        <w:rPr>
          <w:rFonts w:ascii="Cambria" w:hAnsi="Cambria"/>
          <w:b/>
          <w:sz w:val="20"/>
          <w:szCs w:val="20"/>
        </w:rPr>
        <w:t xml:space="preserve"> THAT THE </w:t>
      </w:r>
      <w:r w:rsidR="002E432F" w:rsidRPr="008C5978">
        <w:rPr>
          <w:rFonts w:ascii="Cambria" w:hAnsi="Cambria"/>
          <w:b/>
          <w:sz w:val="20"/>
          <w:szCs w:val="20"/>
        </w:rPr>
        <w:t xml:space="preserve">UNITED </w:t>
      </w:r>
      <w:r w:rsidRPr="008C5978">
        <w:rPr>
          <w:rFonts w:ascii="Cambria" w:hAnsi="Cambria"/>
          <w:b/>
          <w:sz w:val="20"/>
          <w:szCs w:val="20"/>
        </w:rPr>
        <w:t>STATE</w:t>
      </w:r>
      <w:r w:rsidR="002E432F" w:rsidRPr="008C5978">
        <w:rPr>
          <w:rFonts w:ascii="Cambria" w:hAnsi="Cambria"/>
          <w:b/>
          <w:sz w:val="20"/>
          <w:szCs w:val="20"/>
        </w:rPr>
        <w:t>S</w:t>
      </w:r>
      <w:r w:rsidRPr="008C5978">
        <w:rPr>
          <w:rFonts w:ascii="Cambria" w:hAnsi="Cambria"/>
          <w:b/>
          <w:sz w:val="20"/>
          <w:szCs w:val="20"/>
        </w:rPr>
        <w:t xml:space="preserve"> OF</w:t>
      </w:r>
      <w:r w:rsidR="002E432F" w:rsidRPr="008C5978">
        <w:rPr>
          <w:rFonts w:ascii="Cambria" w:hAnsi="Cambria"/>
          <w:b/>
          <w:sz w:val="20"/>
          <w:szCs w:val="20"/>
        </w:rPr>
        <w:t xml:space="preserve"> AMERICA</w:t>
      </w:r>
      <w:r w:rsidRPr="008C5978">
        <w:rPr>
          <w:rFonts w:ascii="Cambria" w:hAnsi="Cambria"/>
          <w:b/>
          <w:sz w:val="20"/>
          <w:szCs w:val="20"/>
        </w:rPr>
        <w:t>,</w:t>
      </w:r>
    </w:p>
    <w:p w14:paraId="534E7C83" w14:textId="77777777" w:rsidR="001C4006" w:rsidRPr="008C5978" w:rsidRDefault="001C4006" w:rsidP="001C4006">
      <w:pPr>
        <w:ind w:firstLine="720"/>
        <w:jc w:val="both"/>
        <w:rPr>
          <w:rFonts w:ascii="Cambria" w:hAnsi="Cambria"/>
          <w:b/>
          <w:sz w:val="20"/>
          <w:szCs w:val="20"/>
        </w:rPr>
      </w:pPr>
    </w:p>
    <w:p w14:paraId="050B90B9" w14:textId="491E8179" w:rsidR="00A54E22" w:rsidRPr="00376462" w:rsidRDefault="00A163A4" w:rsidP="000052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8C5978">
        <w:rPr>
          <w:rFonts w:eastAsia="Times New Roman" w:cs="Tahoma"/>
          <w:sz w:val="20"/>
          <w:szCs w:val="20"/>
          <w:bdr w:val="none" w:sz="0" w:space="0" w:color="auto"/>
        </w:rPr>
        <w:t xml:space="preserve">Grant </w:t>
      </w:r>
      <w:r w:rsidR="00130A27" w:rsidRPr="008C5978">
        <w:rPr>
          <w:rFonts w:asciiTheme="majorHAnsi" w:hAnsiTheme="majorHAnsi"/>
          <w:color w:val="000000" w:themeColor="text1"/>
          <w:sz w:val="20"/>
          <w:szCs w:val="20"/>
        </w:rPr>
        <w:t>Mr. Virgilio Maldonado Rodriguez</w:t>
      </w:r>
      <w:r w:rsidRPr="008C5978">
        <w:rPr>
          <w:rFonts w:eastAsia="Times New Roman" w:cs="Tahoma"/>
          <w:sz w:val="20"/>
          <w:szCs w:val="20"/>
          <w:bdr w:val="none" w:sz="0" w:space="0" w:color="auto"/>
        </w:rPr>
        <w:t xml:space="preserve"> effective relief, including the review of his trial and sentence in </w:t>
      </w:r>
      <w:r w:rsidRPr="00376462">
        <w:rPr>
          <w:rFonts w:eastAsia="Times New Roman" w:cs="Tahoma"/>
          <w:sz w:val="20"/>
          <w:szCs w:val="20"/>
          <w:bdr w:val="none" w:sz="0" w:space="0" w:color="auto"/>
        </w:rPr>
        <w:t xml:space="preserve">accordance with the guarantees of fair trial and due process set forth in Articles </w:t>
      </w:r>
      <w:r w:rsidR="005B0001" w:rsidRPr="00376462">
        <w:rPr>
          <w:rFonts w:asciiTheme="majorHAnsi" w:hAnsiTheme="majorHAnsi"/>
          <w:color w:val="000000" w:themeColor="text1"/>
          <w:sz w:val="20"/>
          <w:szCs w:val="20"/>
        </w:rPr>
        <w:t xml:space="preserve">XVIII, XXV and XXVI </w:t>
      </w:r>
      <w:r w:rsidRPr="00376462">
        <w:rPr>
          <w:rFonts w:eastAsia="Times New Roman" w:cs="Tahoma"/>
          <w:sz w:val="20"/>
          <w:szCs w:val="20"/>
          <w:bdr w:val="none" w:sz="0" w:space="0" w:color="auto"/>
        </w:rPr>
        <w:t>of the American Declaration</w:t>
      </w:r>
      <w:r w:rsidR="00793A12" w:rsidRPr="00376462">
        <w:rPr>
          <w:rFonts w:eastAsia="Times New Roman" w:cs="Tahoma"/>
          <w:sz w:val="20"/>
          <w:szCs w:val="20"/>
          <w:bdr w:val="none" w:sz="0" w:space="0" w:color="auto"/>
        </w:rPr>
        <w:t>, and the payment of pecuniary compensation</w:t>
      </w:r>
      <w:r w:rsidRPr="00376462">
        <w:rPr>
          <w:rFonts w:eastAsia="Times New Roman" w:cs="Tahoma"/>
          <w:sz w:val="20"/>
          <w:szCs w:val="20"/>
          <w:bdr w:val="none" w:sz="0" w:space="0" w:color="auto"/>
        </w:rPr>
        <w:t>.</w:t>
      </w:r>
      <w:r w:rsidR="00250F42" w:rsidRPr="00376462">
        <w:rPr>
          <w:rFonts w:eastAsia="Times New Roman" w:cs="Tahoma"/>
          <w:sz w:val="20"/>
          <w:szCs w:val="20"/>
          <w:bdr w:val="none" w:sz="0" w:space="0" w:color="auto"/>
        </w:rPr>
        <w:t xml:space="preserve"> </w:t>
      </w:r>
      <w:r w:rsidR="00793A12" w:rsidRPr="00376462">
        <w:t xml:space="preserve"> </w:t>
      </w:r>
    </w:p>
    <w:p w14:paraId="27BBC899" w14:textId="77777777" w:rsidR="00A54E22" w:rsidRPr="00376462" w:rsidRDefault="00A54E22" w:rsidP="00A54E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6A0B62AE" w14:textId="77777777" w:rsidR="00380ECF" w:rsidRPr="008C5978" w:rsidRDefault="00A54E22" w:rsidP="000052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376462">
        <w:rPr>
          <w:sz w:val="20"/>
        </w:rPr>
        <w:t>Review its laws, procedures, and practices to ensure that persons accused of capital crimes are tried and, if convicted</w:t>
      </w:r>
      <w:r w:rsidRPr="008C5978">
        <w:rPr>
          <w:sz w:val="20"/>
        </w:rPr>
        <w:t>, sentenced in accordance with the rights established in the American Declaration, including Articles XVIII, X</w:t>
      </w:r>
      <w:r w:rsidR="0059770B" w:rsidRPr="008C5978">
        <w:rPr>
          <w:sz w:val="20"/>
        </w:rPr>
        <w:t>X</w:t>
      </w:r>
      <w:r w:rsidRPr="008C5978">
        <w:rPr>
          <w:sz w:val="20"/>
        </w:rPr>
        <w:t>V and XXVI thereof</w:t>
      </w:r>
      <w:bookmarkStart w:id="24" w:name="_ftn34"/>
      <w:bookmarkEnd w:id="24"/>
      <w:r w:rsidR="002A733A" w:rsidRPr="008C5978">
        <w:rPr>
          <w:sz w:val="20"/>
        </w:rPr>
        <w:t>, and, in particular,</w:t>
      </w:r>
      <w:r w:rsidR="002A733A" w:rsidRPr="008C5978">
        <w:rPr>
          <w:rFonts w:eastAsia="Times New Roman"/>
          <w:sz w:val="20"/>
          <w:szCs w:val="20"/>
          <w:bdr w:val="none" w:sz="0" w:space="0" w:color="auto"/>
        </w:rPr>
        <w:t xml:space="preserve"> that no one with a mental or intellectual disability at the time of the commission of the crime or execution of the death sentence receives the death penalty or is executed</w:t>
      </w:r>
      <w:r w:rsidR="00952CAA" w:rsidRPr="008C5978">
        <w:rPr>
          <w:sz w:val="20"/>
        </w:rPr>
        <w:t>.</w:t>
      </w:r>
    </w:p>
    <w:p w14:paraId="51D5A9E4" w14:textId="77777777" w:rsidR="00130A27" w:rsidRPr="008C5978" w:rsidRDefault="00130A27" w:rsidP="00130A27">
      <w:pPr>
        <w:pStyle w:val="ListParagraph"/>
        <w:rPr>
          <w:rFonts w:eastAsia="Times New Roman" w:cs="Tahoma"/>
          <w:sz w:val="20"/>
          <w:szCs w:val="20"/>
          <w:bdr w:val="none" w:sz="0" w:space="0" w:color="auto"/>
        </w:rPr>
      </w:pPr>
    </w:p>
    <w:p w14:paraId="0CE37343" w14:textId="77777777" w:rsidR="00130A27" w:rsidRPr="00440E90" w:rsidRDefault="00130A27" w:rsidP="000052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8C5978">
        <w:rPr>
          <w:sz w:val="20"/>
          <w:szCs w:val="20"/>
          <w:bdr w:val="none" w:sz="0" w:space="0" w:color="auto" w:frame="1"/>
        </w:rPr>
        <w:t>Ensure that the legal counsel provided by the State in death penalty cases is effective, trained to serve in death penalty cases, and able to thoroughly and diligently investigate all mitigating evidence.</w:t>
      </w:r>
    </w:p>
    <w:p w14:paraId="637E2E13" w14:textId="77777777" w:rsidR="00440E90" w:rsidRPr="00440E90" w:rsidRDefault="00440E90" w:rsidP="00440E90">
      <w:pPr>
        <w:pStyle w:val="ListParagraph"/>
        <w:rPr>
          <w:rFonts w:eastAsia="Times New Roman" w:cs="Tahoma"/>
          <w:sz w:val="20"/>
          <w:szCs w:val="20"/>
          <w:bdr w:val="none" w:sz="0" w:space="0" w:color="auto"/>
        </w:rPr>
      </w:pPr>
    </w:p>
    <w:p w14:paraId="307DC1BD" w14:textId="2C006BC9" w:rsidR="00440E90" w:rsidRPr="00376462" w:rsidRDefault="00440E90" w:rsidP="000052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376462">
        <w:rPr>
          <w:rFonts w:eastAsia="Times New Roman" w:cs="Tahoma"/>
          <w:sz w:val="20"/>
          <w:szCs w:val="20"/>
          <w:bdr w:val="none" w:sz="0" w:space="0" w:color="auto"/>
        </w:rPr>
        <w:t xml:space="preserve">Ensure that conditions on death row at Texas’ </w:t>
      </w:r>
      <w:proofErr w:type="spellStart"/>
      <w:r w:rsidRPr="00376462">
        <w:rPr>
          <w:rFonts w:eastAsia="Times New Roman" w:cs="Tahoma"/>
          <w:sz w:val="20"/>
          <w:szCs w:val="20"/>
          <w:bdr w:val="none" w:sz="0" w:space="0" w:color="auto"/>
        </w:rPr>
        <w:t>Pol</w:t>
      </w:r>
      <w:r w:rsidR="0036775E" w:rsidRPr="00376462">
        <w:rPr>
          <w:rFonts w:eastAsia="Times New Roman" w:cs="Tahoma"/>
          <w:sz w:val="20"/>
          <w:szCs w:val="20"/>
          <w:bdr w:val="none" w:sz="0" w:space="0" w:color="auto"/>
        </w:rPr>
        <w:t>u</w:t>
      </w:r>
      <w:r w:rsidRPr="00376462">
        <w:rPr>
          <w:rFonts w:eastAsia="Times New Roman" w:cs="Tahoma"/>
          <w:sz w:val="20"/>
          <w:szCs w:val="20"/>
          <w:bdr w:val="none" w:sz="0" w:space="0" w:color="auto"/>
        </w:rPr>
        <w:t>nsky</w:t>
      </w:r>
      <w:proofErr w:type="spellEnd"/>
      <w:r w:rsidRPr="00376462">
        <w:rPr>
          <w:rFonts w:eastAsia="Times New Roman" w:cs="Tahoma"/>
          <w:sz w:val="20"/>
          <w:szCs w:val="20"/>
          <w:bdr w:val="none" w:sz="0" w:space="0" w:color="auto"/>
        </w:rPr>
        <w:t xml:space="preserve"> Unit are </w:t>
      </w:r>
      <w:r w:rsidR="00172A98" w:rsidRPr="00376462">
        <w:rPr>
          <w:rFonts w:eastAsia="Times New Roman" w:cs="Tahoma"/>
          <w:sz w:val="20"/>
          <w:szCs w:val="20"/>
          <w:bdr w:val="none" w:sz="0" w:space="0" w:color="auto"/>
        </w:rPr>
        <w:t xml:space="preserve">compatible with international human rights standards and that solitary confinement </w:t>
      </w:r>
      <w:r w:rsidR="0036775E" w:rsidRPr="00376462">
        <w:rPr>
          <w:rFonts w:eastAsia="Times New Roman" w:cs="Tahoma"/>
          <w:sz w:val="20"/>
          <w:szCs w:val="20"/>
          <w:bdr w:val="none" w:sz="0" w:space="0" w:color="auto"/>
        </w:rPr>
        <w:t>is</w:t>
      </w:r>
      <w:r w:rsidR="00172A98" w:rsidRPr="00376462">
        <w:rPr>
          <w:rFonts w:eastAsia="Times New Roman" w:cs="Tahoma"/>
          <w:sz w:val="20"/>
          <w:szCs w:val="20"/>
          <w:bdr w:val="none" w:sz="0" w:space="0" w:color="auto"/>
        </w:rPr>
        <w:t xml:space="preserve"> only used in exceptional circumstances, for the shortest period possible.</w:t>
      </w:r>
    </w:p>
    <w:p w14:paraId="0CC9863E" w14:textId="77777777" w:rsidR="0059770B" w:rsidRPr="00376462" w:rsidRDefault="0059770B" w:rsidP="0059770B">
      <w:pPr>
        <w:pStyle w:val="ListParagraph"/>
        <w:rPr>
          <w:sz w:val="20"/>
        </w:rPr>
      </w:pPr>
    </w:p>
    <w:p w14:paraId="2A2FB524" w14:textId="00CF0EF6" w:rsidR="00130A27" w:rsidRPr="008C5978" w:rsidRDefault="00130A27" w:rsidP="000052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76462">
        <w:rPr>
          <w:rFonts w:ascii="Cambria" w:hAnsi="Cambria"/>
          <w:sz w:val="20"/>
          <w:szCs w:val="20"/>
        </w:rPr>
        <w:t xml:space="preserve">Ensure that every foreign national deprived of his or her liberty is informed, without delay and prior to his or her first statement, of his or her right to consular </w:t>
      </w:r>
      <w:r w:rsidR="00AC4350" w:rsidRPr="00376462">
        <w:rPr>
          <w:rFonts w:ascii="Cambria" w:hAnsi="Cambria"/>
          <w:sz w:val="20"/>
          <w:szCs w:val="20"/>
        </w:rPr>
        <w:t>notification</w:t>
      </w:r>
      <w:r w:rsidRPr="00376462">
        <w:rPr>
          <w:rFonts w:ascii="Cambria" w:hAnsi="Cambria"/>
          <w:sz w:val="20"/>
          <w:szCs w:val="20"/>
        </w:rPr>
        <w:t xml:space="preserve"> and to request that the diplomatic</w:t>
      </w:r>
      <w:r w:rsidRPr="008C5978">
        <w:rPr>
          <w:rFonts w:ascii="Cambria" w:hAnsi="Cambria"/>
          <w:sz w:val="20"/>
          <w:szCs w:val="20"/>
        </w:rPr>
        <w:t xml:space="preserve"> authorities be immediately notified of his or her arrest or detention.</w:t>
      </w:r>
    </w:p>
    <w:p w14:paraId="0344FDE6" w14:textId="77777777" w:rsidR="00130A27" w:rsidRPr="008C5978" w:rsidRDefault="00130A27" w:rsidP="00130A27">
      <w:pPr>
        <w:autoSpaceDE w:val="0"/>
        <w:autoSpaceDN w:val="0"/>
        <w:adjustRightInd w:val="0"/>
        <w:ind w:firstLine="900"/>
        <w:jc w:val="both"/>
        <w:rPr>
          <w:rFonts w:ascii="Cambria" w:hAnsi="Cambria"/>
          <w:sz w:val="20"/>
          <w:szCs w:val="20"/>
        </w:rPr>
      </w:pPr>
    </w:p>
    <w:p w14:paraId="08CD0F8A" w14:textId="77777777" w:rsidR="00130A27" w:rsidRPr="008C5978" w:rsidRDefault="00130A27" w:rsidP="000052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rPr>
      </w:pPr>
      <w:r w:rsidRPr="008C5978">
        <w:rPr>
          <w:rFonts w:ascii="Cambria" w:hAnsi="Cambria"/>
          <w:sz w:val="20"/>
          <w:szCs w:val="20"/>
        </w:rPr>
        <w:t>Push for urgent passage of the bill for the “Consular Notification Compliance Act” (“CNCA”), which has been pending with the United States Congress since 2011.</w:t>
      </w:r>
    </w:p>
    <w:p w14:paraId="3DD9D057" w14:textId="6A04AA2A" w:rsidR="00130A27" w:rsidRPr="008C5978" w:rsidRDefault="00130A27" w:rsidP="00B905C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firstLine="45"/>
        <w:jc w:val="both"/>
        <w:rPr>
          <w:rFonts w:eastAsia="Times New Roman" w:cs="Tahoma"/>
          <w:sz w:val="20"/>
          <w:szCs w:val="20"/>
          <w:bdr w:val="none" w:sz="0" w:space="0" w:color="auto"/>
        </w:rPr>
      </w:pPr>
    </w:p>
    <w:p w14:paraId="681A74B5" w14:textId="77777777" w:rsidR="001C4006" w:rsidRPr="008C5978" w:rsidRDefault="00A54E22" w:rsidP="0000524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8C5978">
        <w:rPr>
          <w:rFonts w:asciiTheme="majorHAnsi" w:hAnsiTheme="majorHAnsi"/>
          <w:sz w:val="20"/>
        </w:rPr>
        <w:t>Given the violations of the American Declaration the IACHR has established in the present</w:t>
      </w:r>
      <w:r w:rsidRPr="008C5978">
        <w:rPr>
          <w:sz w:val="20"/>
        </w:rPr>
        <w:t xml:space="preserve"> case and in others involving application of the death penalty, the Inter-American Commission also recommends to the United States that it adopt a moratorium on executions of persons sentenced to death.</w:t>
      </w:r>
      <w:r w:rsidRPr="008C5978">
        <w:rPr>
          <w:rStyle w:val="FootnoteReference"/>
          <w:sz w:val="20"/>
        </w:rPr>
        <w:footnoteReference w:id="55"/>
      </w:r>
    </w:p>
    <w:p w14:paraId="4C08A96A" w14:textId="77777777" w:rsidR="00846C8C" w:rsidRPr="00D2222C" w:rsidRDefault="00846C8C" w:rsidP="00846C8C">
      <w:pPr>
        <w:pStyle w:val="Heading1"/>
        <w:numPr>
          <w:ilvl w:val="0"/>
          <w:numId w:val="0"/>
        </w:numPr>
        <w:spacing w:before="0"/>
        <w:rPr>
          <w:color w:val="auto"/>
          <w:sz w:val="20"/>
          <w:szCs w:val="20"/>
        </w:rPr>
      </w:pPr>
    </w:p>
    <w:p w14:paraId="035837AE" w14:textId="77777777" w:rsidR="00846C8C" w:rsidRPr="00341D3C" w:rsidRDefault="00846C8C" w:rsidP="00846C8C">
      <w:pPr>
        <w:pStyle w:val="Heading1"/>
        <w:spacing w:before="0"/>
        <w:ind w:hanging="720"/>
        <w:rPr>
          <w:color w:val="auto"/>
          <w:sz w:val="20"/>
          <w:szCs w:val="20"/>
        </w:rPr>
      </w:pPr>
      <w:bookmarkStart w:id="25" w:name="_Toc26550945"/>
      <w:bookmarkStart w:id="26" w:name="_Toc89506731"/>
      <w:r w:rsidRPr="00341D3C">
        <w:rPr>
          <w:color w:val="auto"/>
          <w:sz w:val="20"/>
          <w:szCs w:val="20"/>
        </w:rPr>
        <w:t>PUBLICATION</w:t>
      </w:r>
      <w:bookmarkEnd w:id="25"/>
      <w:bookmarkEnd w:id="26"/>
    </w:p>
    <w:p w14:paraId="6A5CBE76" w14:textId="77777777" w:rsidR="00846C8C" w:rsidRPr="00341D3C" w:rsidRDefault="00846C8C" w:rsidP="00846C8C">
      <w:pPr>
        <w:rPr>
          <w:rFonts w:asciiTheme="majorHAnsi" w:hAnsiTheme="majorHAnsi"/>
          <w:sz w:val="20"/>
          <w:szCs w:val="20"/>
        </w:rPr>
      </w:pPr>
    </w:p>
    <w:p w14:paraId="0303B42D" w14:textId="77777777" w:rsidR="00846C8C" w:rsidRPr="00341D3C" w:rsidRDefault="00846C8C" w:rsidP="000B0B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eastAsia="Times New Roman" w:hAnsi="Cambria"/>
          <w:sz w:val="20"/>
          <w:szCs w:val="20"/>
        </w:rPr>
      </w:pPr>
      <w:r w:rsidRPr="00341D3C">
        <w:rPr>
          <w:rFonts w:ascii="Cambria" w:hAnsi="Cambria" w:cs="Arial"/>
          <w:sz w:val="20"/>
          <w:szCs w:val="20"/>
        </w:rPr>
        <w:t>In</w:t>
      </w:r>
      <w:r w:rsidRPr="00341D3C">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2232C6B8" w14:textId="32A68206" w:rsidR="00B905CC" w:rsidRDefault="00B905CC" w:rsidP="00B905CC"/>
    <w:p w14:paraId="69A2097C" w14:textId="059284F0" w:rsidR="00341D3C" w:rsidRPr="00A525CC" w:rsidRDefault="00341D3C" w:rsidP="00E575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A525CC">
        <w:rPr>
          <w:rFonts w:asciiTheme="majorHAnsi" w:eastAsia="Times New Roman" w:hAnsiTheme="majorHAnsi"/>
          <w:sz w:val="20"/>
          <w:szCs w:val="20"/>
        </w:rPr>
        <w:t xml:space="preserve">Approved by the Inter-American Commission on Human Rights on the </w:t>
      </w:r>
      <w:r w:rsidR="00E3364B" w:rsidRPr="003472AC">
        <w:rPr>
          <w:rFonts w:asciiTheme="majorHAnsi" w:eastAsia="Times New Roman" w:hAnsiTheme="majorHAnsi"/>
          <w:sz w:val="20"/>
          <w:szCs w:val="20"/>
        </w:rPr>
        <w:t>22nd</w:t>
      </w:r>
      <w:r w:rsidRPr="00A525CC">
        <w:rPr>
          <w:rFonts w:asciiTheme="majorHAnsi" w:eastAsia="Times New Roman" w:hAnsiTheme="majorHAnsi"/>
          <w:sz w:val="20"/>
          <w:szCs w:val="20"/>
        </w:rPr>
        <w:t xml:space="preserve"> day of November 2021. (Signed):</w:t>
      </w:r>
      <w:r>
        <w:rPr>
          <w:rFonts w:asciiTheme="majorHAnsi" w:eastAsia="Times New Roman" w:hAnsiTheme="majorHAnsi"/>
        </w:rPr>
        <w:t xml:space="preserve"> </w:t>
      </w:r>
      <w:r w:rsidRPr="00A525CC">
        <w:rPr>
          <w:rFonts w:asciiTheme="majorHAnsi" w:eastAsia="Times New Roman" w:hAnsiTheme="majorHAnsi"/>
          <w:sz w:val="20"/>
          <w:szCs w:val="20"/>
        </w:rPr>
        <w:t>Antonia Urrejola Noguera, President; Julissa Mantilla Falcón,</w:t>
      </w:r>
      <w:r>
        <w:rPr>
          <w:rFonts w:asciiTheme="majorHAnsi" w:eastAsia="Times New Roman" w:hAnsiTheme="majorHAnsi"/>
        </w:rPr>
        <w:t xml:space="preserve"> </w:t>
      </w:r>
      <w:r w:rsidRPr="00A525CC">
        <w:rPr>
          <w:rFonts w:asciiTheme="majorHAnsi" w:eastAsia="Times New Roman" w:hAnsiTheme="majorHAnsi"/>
          <w:sz w:val="20"/>
          <w:szCs w:val="20"/>
        </w:rPr>
        <w:t>First Vice President;</w:t>
      </w:r>
      <w:r>
        <w:rPr>
          <w:rFonts w:asciiTheme="majorHAnsi" w:eastAsia="Times New Roman" w:hAnsiTheme="majorHAnsi"/>
        </w:rPr>
        <w:t xml:space="preserve"> </w:t>
      </w:r>
      <w:r w:rsidRPr="00A525CC">
        <w:rPr>
          <w:rFonts w:asciiTheme="majorHAnsi" w:eastAsia="Times New Roman" w:hAnsiTheme="majorHAnsi"/>
          <w:sz w:val="20"/>
          <w:szCs w:val="20"/>
        </w:rPr>
        <w:t>Flávia Piovesan, Second Vice President; Margarette May Macaulay,</w:t>
      </w:r>
      <w:r>
        <w:rPr>
          <w:rFonts w:asciiTheme="majorHAnsi" w:eastAsia="Times New Roman" w:hAnsiTheme="majorHAnsi"/>
        </w:rPr>
        <w:t xml:space="preserve"> </w:t>
      </w:r>
      <w:r w:rsidRPr="00A525CC">
        <w:rPr>
          <w:rFonts w:asciiTheme="majorHAnsi" w:eastAsia="Times New Roman" w:hAnsiTheme="majorHAnsi"/>
          <w:sz w:val="20"/>
          <w:szCs w:val="20"/>
        </w:rPr>
        <w:t>Esmeralda E. Arosemena Bernal de Troitiño</w:t>
      </w:r>
      <w:r>
        <w:rPr>
          <w:rFonts w:asciiTheme="majorHAnsi" w:eastAsia="Times New Roman" w:hAnsiTheme="majorHAnsi"/>
          <w:sz w:val="20"/>
          <w:szCs w:val="20"/>
        </w:rPr>
        <w:t xml:space="preserve"> </w:t>
      </w:r>
      <w:r w:rsidRPr="00A525CC">
        <w:rPr>
          <w:rFonts w:asciiTheme="majorHAnsi" w:eastAsia="Times New Roman" w:hAnsiTheme="majorHAnsi"/>
          <w:sz w:val="20"/>
          <w:szCs w:val="20"/>
        </w:rPr>
        <w:t>and</w:t>
      </w:r>
      <w:r>
        <w:rPr>
          <w:rFonts w:asciiTheme="majorHAnsi" w:eastAsia="Times New Roman" w:hAnsiTheme="majorHAnsi"/>
        </w:rPr>
        <w:t xml:space="preserve"> </w:t>
      </w:r>
      <w:r w:rsidRPr="00A525CC">
        <w:rPr>
          <w:rFonts w:asciiTheme="majorHAnsi" w:eastAsia="Times New Roman" w:hAnsiTheme="majorHAnsi"/>
          <w:sz w:val="20"/>
          <w:szCs w:val="20"/>
        </w:rPr>
        <w:t>Edgar Stuardo Ralón Orellana, Commissioners.</w:t>
      </w:r>
    </w:p>
    <w:sectPr w:rsidR="00341D3C" w:rsidRPr="00A525CC"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F6F8" w14:textId="77777777" w:rsidR="00844831" w:rsidRDefault="00844831" w:rsidP="00036A8A">
      <w:r>
        <w:separator/>
      </w:r>
    </w:p>
  </w:endnote>
  <w:endnote w:type="continuationSeparator" w:id="0">
    <w:p w14:paraId="116059F3" w14:textId="77777777" w:rsidR="00844831" w:rsidRDefault="0084483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321DFE8" w14:textId="41F86AA1" w:rsidR="003472AC" w:rsidRPr="006311DA" w:rsidRDefault="003472A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14:paraId="55979787" w14:textId="77777777" w:rsidR="003472AC" w:rsidRDefault="0034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FF36" w14:textId="77777777" w:rsidR="003472AC" w:rsidRDefault="003472AC">
    <w:pPr>
      <w:pStyle w:val="Footer"/>
      <w:jc w:val="center"/>
    </w:pPr>
  </w:p>
  <w:p w14:paraId="12687F41" w14:textId="77777777" w:rsidR="003472AC" w:rsidRDefault="00347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23FF6EAE" w14:textId="77777777" w:rsidR="003472AC" w:rsidRDefault="003472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945E081" w14:textId="77777777" w:rsidR="003472AC" w:rsidRDefault="0034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0C67" w14:textId="77777777" w:rsidR="00844831" w:rsidRPr="00036A8A" w:rsidRDefault="0084483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AB5857D" w14:textId="77777777" w:rsidR="00844831" w:rsidRPr="00036A8A" w:rsidRDefault="00844831" w:rsidP="00036A8A">
      <w:pPr>
        <w:rPr>
          <w:rFonts w:asciiTheme="majorHAnsi" w:hAnsiTheme="majorHAnsi"/>
          <w:sz w:val="16"/>
          <w:szCs w:val="16"/>
        </w:rPr>
      </w:pPr>
      <w:r w:rsidRPr="00036A8A">
        <w:rPr>
          <w:rFonts w:asciiTheme="majorHAnsi" w:hAnsiTheme="majorHAnsi"/>
          <w:sz w:val="16"/>
          <w:szCs w:val="16"/>
        </w:rPr>
        <w:separator/>
      </w:r>
    </w:p>
    <w:p w14:paraId="70CEC0B5" w14:textId="77777777" w:rsidR="00844831" w:rsidRPr="00036A8A" w:rsidRDefault="0084483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23759FA" w14:textId="77777777" w:rsidR="00844831" w:rsidRPr="0093441A" w:rsidRDefault="0084483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ECD4D89" w14:textId="2BEFE9C1" w:rsidR="003472AC" w:rsidRDefault="003472AC" w:rsidP="00476DF6">
      <w:pPr>
        <w:pStyle w:val="FootnoteText"/>
        <w:jc w:val="both"/>
        <w:rPr>
          <w:rFonts w:asciiTheme="majorHAnsi" w:hAnsiTheme="majorHAnsi"/>
          <w:color w:val="auto"/>
          <w:sz w:val="16"/>
          <w:szCs w:val="16"/>
        </w:rPr>
      </w:pPr>
      <w:r w:rsidRPr="00476DF6">
        <w:rPr>
          <w:rFonts w:asciiTheme="majorHAnsi" w:hAnsiTheme="majorHAnsi"/>
          <w:color w:val="auto"/>
          <w:sz w:val="16"/>
          <w:szCs w:val="16"/>
        </w:rPr>
        <w:t>*</w:t>
      </w:r>
      <w:r>
        <w:rPr>
          <w:rFonts w:asciiTheme="majorHAnsi" w:hAnsiTheme="majorHAnsi"/>
          <w:color w:val="auto"/>
          <w:sz w:val="16"/>
          <w:szCs w:val="16"/>
        </w:rPr>
        <w:t xml:space="preserve"> </w:t>
      </w:r>
      <w:r w:rsidRPr="0080483B">
        <w:rPr>
          <w:rFonts w:asciiTheme="majorHAnsi" w:hAnsiTheme="majorHAnsi"/>
          <w:color w:val="auto"/>
          <w:sz w:val="16"/>
          <w:szCs w:val="16"/>
        </w:rPr>
        <w:t>Commissioner Joel Hernandez</w:t>
      </w:r>
      <w:r>
        <w:rPr>
          <w:rFonts w:asciiTheme="majorHAnsi" w:hAnsiTheme="majorHAnsi"/>
          <w:color w:val="auto"/>
          <w:sz w:val="16"/>
          <w:szCs w:val="16"/>
        </w:rPr>
        <w:t xml:space="preserve"> Garcia</w:t>
      </w:r>
      <w:r w:rsidRPr="0080483B">
        <w:rPr>
          <w:rFonts w:asciiTheme="majorHAnsi" w:hAnsiTheme="majorHAnsi"/>
          <w:color w:val="auto"/>
          <w:sz w:val="16"/>
          <w:szCs w:val="16"/>
        </w:rPr>
        <w:t>, a Mexican national, consider</w:t>
      </w:r>
      <w:r>
        <w:rPr>
          <w:rFonts w:asciiTheme="majorHAnsi" w:hAnsiTheme="majorHAnsi"/>
          <w:color w:val="auto"/>
          <w:sz w:val="16"/>
          <w:szCs w:val="16"/>
        </w:rPr>
        <w:t>ed</w:t>
      </w:r>
      <w:r w:rsidRPr="0080483B">
        <w:rPr>
          <w:rFonts w:asciiTheme="majorHAnsi" w:hAnsiTheme="majorHAnsi"/>
          <w:color w:val="auto"/>
          <w:sz w:val="16"/>
          <w:szCs w:val="16"/>
        </w:rPr>
        <w:t xml:space="preserve"> that, based on Article 17(3) of the Rules of Procedure of the IACHR, he should abstain from participating in the deliberation and decision of this matter.</w:t>
      </w:r>
    </w:p>
    <w:p w14:paraId="65203F43" w14:textId="77777777" w:rsidR="003472AC" w:rsidRPr="008C5978" w:rsidRDefault="003472AC" w:rsidP="00ED56AB">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63/12. Petition 1762-11. Admissibility. </w:t>
      </w:r>
      <w:r w:rsidRPr="009F340C">
        <w:rPr>
          <w:rFonts w:asciiTheme="majorHAnsi" w:hAnsiTheme="majorHAnsi"/>
          <w:color w:val="auto"/>
          <w:sz w:val="16"/>
          <w:szCs w:val="16"/>
          <w:lang w:val="es-ES"/>
        </w:rPr>
        <w:t xml:space="preserve">Virgilio Maldonado </w:t>
      </w:r>
      <w:proofErr w:type="spellStart"/>
      <w:r w:rsidRPr="009F340C">
        <w:rPr>
          <w:rFonts w:asciiTheme="majorHAnsi" w:hAnsiTheme="majorHAnsi"/>
          <w:color w:val="auto"/>
          <w:sz w:val="16"/>
          <w:szCs w:val="16"/>
          <w:lang w:val="es-ES"/>
        </w:rPr>
        <w:t>Rodriguez</w:t>
      </w:r>
      <w:proofErr w:type="spellEnd"/>
      <w:r w:rsidRPr="009F340C">
        <w:rPr>
          <w:rFonts w:asciiTheme="majorHAnsi" w:hAnsiTheme="majorHAnsi"/>
          <w:color w:val="auto"/>
          <w:sz w:val="16"/>
          <w:szCs w:val="16"/>
          <w:lang w:val="es-ES"/>
        </w:rPr>
        <w:t xml:space="preserve">. </w:t>
      </w:r>
      <w:proofErr w:type="spellStart"/>
      <w:r w:rsidRPr="009F340C">
        <w:rPr>
          <w:rFonts w:asciiTheme="majorHAnsi" w:hAnsiTheme="majorHAnsi"/>
          <w:color w:val="auto"/>
          <w:sz w:val="16"/>
          <w:szCs w:val="16"/>
          <w:lang w:val="es-ES"/>
        </w:rPr>
        <w:t>United</w:t>
      </w:r>
      <w:proofErr w:type="spellEnd"/>
      <w:r w:rsidRPr="009F340C">
        <w:rPr>
          <w:rFonts w:asciiTheme="majorHAnsi" w:hAnsiTheme="majorHAnsi"/>
          <w:color w:val="auto"/>
          <w:sz w:val="16"/>
          <w:szCs w:val="16"/>
          <w:lang w:val="es-ES"/>
        </w:rPr>
        <w:t xml:space="preserve"> </w:t>
      </w:r>
      <w:proofErr w:type="spellStart"/>
      <w:r w:rsidRPr="009F340C">
        <w:rPr>
          <w:rFonts w:asciiTheme="majorHAnsi" w:hAnsiTheme="majorHAnsi"/>
          <w:color w:val="auto"/>
          <w:sz w:val="16"/>
          <w:szCs w:val="16"/>
          <w:lang w:val="es-ES"/>
        </w:rPr>
        <w:t>States</w:t>
      </w:r>
      <w:proofErr w:type="spellEnd"/>
      <w:r w:rsidRPr="009F340C">
        <w:rPr>
          <w:rFonts w:asciiTheme="majorHAnsi" w:hAnsiTheme="majorHAnsi"/>
          <w:color w:val="auto"/>
          <w:sz w:val="16"/>
          <w:szCs w:val="16"/>
          <w:lang w:val="es-ES"/>
        </w:rPr>
        <w:t xml:space="preserve">. </w:t>
      </w:r>
      <w:r w:rsidRPr="008C5978">
        <w:rPr>
          <w:rFonts w:asciiTheme="majorHAnsi" w:hAnsiTheme="majorHAnsi"/>
          <w:color w:val="auto"/>
          <w:sz w:val="16"/>
          <w:szCs w:val="16"/>
        </w:rPr>
        <w:t xml:space="preserve">March 29, 2012. </w:t>
      </w:r>
    </w:p>
  </w:footnote>
  <w:footnote w:id="3">
    <w:p w14:paraId="2127D917" w14:textId="77777777" w:rsidR="003472AC" w:rsidRPr="008C5978" w:rsidRDefault="003472AC" w:rsidP="00F7730A">
      <w:pPr>
        <w:pStyle w:val="FootnoteText"/>
        <w:spacing w:after="120"/>
        <w:ind w:right="-720"/>
        <w:jc w:val="both"/>
        <w:rPr>
          <w:rFonts w:ascii="Univers" w:hAnsi="Univers"/>
          <w:sz w:val="16"/>
          <w:szCs w:val="16"/>
        </w:rPr>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w:t>
      </w:r>
      <w:hyperlink r:id="rId1" w:tooltip="Mexico v. United States of America" w:history="1">
        <w:r w:rsidRPr="008C5978">
          <w:rPr>
            <w:rFonts w:asciiTheme="majorHAnsi" w:hAnsiTheme="majorHAnsi"/>
            <w:sz w:val="16"/>
            <w:szCs w:val="16"/>
          </w:rPr>
          <w:t xml:space="preserve">Case Concerning </w:t>
        </w:r>
        <w:proofErr w:type="spellStart"/>
        <w:r w:rsidRPr="008C5978">
          <w:rPr>
            <w:rFonts w:asciiTheme="majorHAnsi" w:hAnsiTheme="majorHAnsi"/>
            <w:sz w:val="16"/>
            <w:szCs w:val="16"/>
          </w:rPr>
          <w:t>Avena</w:t>
        </w:r>
        <w:proofErr w:type="spellEnd"/>
        <w:r w:rsidRPr="008C5978">
          <w:rPr>
            <w:rFonts w:asciiTheme="majorHAnsi" w:hAnsiTheme="majorHAnsi"/>
            <w:sz w:val="16"/>
            <w:szCs w:val="16"/>
          </w:rPr>
          <w:t xml:space="preserve"> and Other Mexican Nationals (Mex. v. U. S.)</w:t>
        </w:r>
      </w:hyperlink>
      <w:r w:rsidRPr="008C5978">
        <w:rPr>
          <w:rFonts w:asciiTheme="majorHAnsi" w:hAnsiTheme="majorHAnsi"/>
          <w:color w:val="auto"/>
          <w:sz w:val="16"/>
          <w:szCs w:val="16"/>
        </w:rPr>
        <w:t xml:space="preserve">, </w:t>
      </w:r>
      <w:hyperlink r:id="rId2" w:tooltip="Case citation" w:history="1">
        <w:r w:rsidRPr="008C5978">
          <w:rPr>
            <w:rFonts w:asciiTheme="majorHAnsi" w:hAnsiTheme="majorHAnsi"/>
            <w:sz w:val="16"/>
            <w:szCs w:val="16"/>
          </w:rPr>
          <w:t>2004 I.C.J. 12</w:t>
        </w:r>
      </w:hyperlink>
      <w:r w:rsidRPr="008C5978">
        <w:rPr>
          <w:rFonts w:asciiTheme="majorHAnsi" w:hAnsiTheme="majorHAnsi"/>
          <w:color w:val="auto"/>
          <w:sz w:val="16"/>
          <w:szCs w:val="16"/>
        </w:rPr>
        <w:t xml:space="preserve"> (Judgment of March 31, 2004).</w:t>
      </w:r>
    </w:p>
  </w:footnote>
  <w:footnote w:id="4">
    <w:p w14:paraId="10C0027A" w14:textId="77777777" w:rsidR="003472AC" w:rsidRPr="008C5978" w:rsidRDefault="003472AC" w:rsidP="00882C32">
      <w:pPr>
        <w:pStyle w:val="FootnoteText"/>
        <w:jc w:val="both"/>
        <w:rPr>
          <w:rFonts w:asciiTheme="majorHAnsi" w:hAnsiTheme="majorHAnsi"/>
          <w:sz w:val="16"/>
          <w:szCs w:val="16"/>
        </w:rPr>
      </w:pPr>
      <w:r w:rsidRPr="008C5978">
        <w:rPr>
          <w:rStyle w:val="FootnoteReference"/>
          <w:rFonts w:asciiTheme="majorHAnsi" w:hAnsiTheme="majorHAnsi"/>
          <w:sz w:val="16"/>
          <w:szCs w:val="16"/>
        </w:rPr>
        <w:footnoteRef/>
      </w:r>
      <w:r w:rsidRPr="009F340C">
        <w:rPr>
          <w:rFonts w:asciiTheme="majorHAnsi" w:hAnsiTheme="majorHAnsi"/>
          <w:sz w:val="16"/>
          <w:szCs w:val="16"/>
          <w:lang w:val="es-ES"/>
        </w:rPr>
        <w:t xml:space="preserve"> </w:t>
      </w:r>
      <w:r w:rsidRPr="009F340C">
        <w:rPr>
          <w:rFonts w:asciiTheme="majorHAnsi" w:hAnsiTheme="majorHAnsi"/>
          <w:i/>
          <w:sz w:val="16"/>
          <w:szCs w:val="16"/>
          <w:lang w:val="es-ES"/>
        </w:rPr>
        <w:t>Ex parte</w:t>
      </w:r>
      <w:r w:rsidRPr="009F340C">
        <w:rPr>
          <w:rFonts w:asciiTheme="majorHAnsi" w:hAnsiTheme="majorHAnsi"/>
          <w:sz w:val="16"/>
          <w:szCs w:val="16"/>
          <w:lang w:val="es-ES"/>
        </w:rPr>
        <w:t xml:space="preserve"> Maldonado, No WR-51,612-01 (Tex. </w:t>
      </w:r>
      <w:r w:rsidRPr="008C5978">
        <w:rPr>
          <w:rFonts w:asciiTheme="majorHAnsi" w:hAnsiTheme="majorHAnsi"/>
          <w:sz w:val="16"/>
          <w:szCs w:val="16"/>
        </w:rPr>
        <w:t xml:space="preserve">Crim. App. April 25, 2012). Exhibit A submitted with petitioners’ additional observations on the merits on July 2, 2012. </w:t>
      </w:r>
    </w:p>
  </w:footnote>
  <w:footnote w:id="5">
    <w:p w14:paraId="312BC1DC" w14:textId="77777777" w:rsidR="003472AC" w:rsidRPr="008C5978" w:rsidRDefault="003472AC" w:rsidP="007B186C">
      <w:pPr>
        <w:pStyle w:val="FootnoteText"/>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Reporter’s record. Volume 18, pages, 14-17 and 34-37. Exhibit 9 submitted with petitioners’ original petition on December 9, 2011.</w:t>
      </w:r>
    </w:p>
  </w:footnote>
  <w:footnote w:id="6">
    <w:p w14:paraId="76B8EFF5" w14:textId="77777777" w:rsidR="003472AC" w:rsidRPr="008C5978" w:rsidRDefault="003472AC" w:rsidP="002027D1">
      <w:pPr>
        <w:pStyle w:val="FootnoteText"/>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Style w:val="FootnoteReference"/>
          <w:rFonts w:asciiTheme="majorHAnsi" w:hAnsiTheme="majorHAnsi"/>
          <w:sz w:val="16"/>
          <w:szCs w:val="16"/>
        </w:rPr>
        <w:t xml:space="preserve"> </w:t>
      </w:r>
      <w:r w:rsidRPr="008C5978">
        <w:rPr>
          <w:rFonts w:asciiTheme="majorHAnsi" w:hAnsiTheme="majorHAnsi"/>
          <w:sz w:val="16"/>
          <w:szCs w:val="16"/>
        </w:rPr>
        <w:t>Reporter’s record. Volume 18, page 81. Exhibit 9 submitted with petitioners’ original petition on December 9, 2011.</w:t>
      </w:r>
    </w:p>
  </w:footnote>
  <w:footnote w:id="7">
    <w:p w14:paraId="2FDA7E72" w14:textId="77777777" w:rsidR="003472AC" w:rsidRPr="008C5978" w:rsidRDefault="003472AC">
      <w:pPr>
        <w:pStyle w:val="FootnoteText"/>
      </w:pPr>
      <w:r w:rsidRPr="008C5978">
        <w:rPr>
          <w:rStyle w:val="FootnoteReference"/>
          <w:rFonts w:asciiTheme="majorHAnsi" w:hAnsiTheme="majorHAnsi"/>
          <w:sz w:val="16"/>
          <w:szCs w:val="16"/>
        </w:rPr>
        <w:footnoteRef/>
      </w:r>
      <w:r w:rsidRPr="008C5978">
        <w:rPr>
          <w:rStyle w:val="FootnoteReference"/>
          <w:rFonts w:asciiTheme="majorHAnsi" w:hAnsiTheme="majorHAnsi"/>
          <w:sz w:val="16"/>
          <w:szCs w:val="16"/>
        </w:rPr>
        <w:t xml:space="preserve"> </w:t>
      </w:r>
      <w:r w:rsidRPr="008C5978">
        <w:rPr>
          <w:rFonts w:asciiTheme="majorHAnsi" w:hAnsiTheme="majorHAnsi"/>
          <w:sz w:val="16"/>
          <w:szCs w:val="16"/>
        </w:rPr>
        <w:t>Reporter’s record. Volume 28, pages 7-10. Exhibit 9 submitted with petitioners’ original petition on December 9, 2011.</w:t>
      </w:r>
    </w:p>
  </w:footnote>
  <w:footnote w:id="8">
    <w:p w14:paraId="6C319961" w14:textId="77777777" w:rsidR="003472AC" w:rsidRPr="008C5978" w:rsidRDefault="003472AC">
      <w:pPr>
        <w:pStyle w:val="FootnoteText"/>
      </w:pPr>
      <w:r w:rsidRPr="008C5978">
        <w:rPr>
          <w:rStyle w:val="FootnoteReference"/>
          <w:rFonts w:asciiTheme="majorHAnsi" w:hAnsiTheme="majorHAnsi"/>
          <w:sz w:val="16"/>
          <w:szCs w:val="16"/>
        </w:rPr>
        <w:footnoteRef/>
      </w:r>
      <w:r w:rsidRPr="008C5978">
        <w:rPr>
          <w:rStyle w:val="FootnoteReference"/>
          <w:rFonts w:asciiTheme="majorHAnsi" w:hAnsiTheme="majorHAnsi"/>
          <w:sz w:val="16"/>
          <w:szCs w:val="16"/>
        </w:rPr>
        <w:t xml:space="preserve"> </w:t>
      </w:r>
      <w:r w:rsidRPr="008C5978">
        <w:rPr>
          <w:rFonts w:asciiTheme="majorHAnsi" w:hAnsiTheme="majorHAnsi"/>
          <w:sz w:val="16"/>
          <w:szCs w:val="16"/>
        </w:rPr>
        <w:t>Reporter’s record. Volume 28, page 38. Exhibit 9 submitted with petitioners’ original petition on December 9, 2011.</w:t>
      </w:r>
    </w:p>
  </w:footnote>
  <w:footnote w:id="9">
    <w:p w14:paraId="45D60065" w14:textId="77777777" w:rsidR="003472AC" w:rsidRPr="008C5978" w:rsidRDefault="003472AC">
      <w:pPr>
        <w:pStyle w:val="FootnoteText"/>
      </w:pPr>
      <w:r w:rsidRPr="008C5978">
        <w:rPr>
          <w:rStyle w:val="FootnoteReference"/>
          <w:rFonts w:asciiTheme="majorHAnsi" w:hAnsiTheme="majorHAnsi"/>
          <w:sz w:val="16"/>
          <w:szCs w:val="16"/>
        </w:rPr>
        <w:footnoteRef/>
      </w:r>
      <w:r w:rsidRPr="008C5978">
        <w:rPr>
          <w:rStyle w:val="FootnoteReference"/>
          <w:rFonts w:asciiTheme="majorHAnsi" w:hAnsiTheme="majorHAnsi"/>
          <w:sz w:val="16"/>
          <w:szCs w:val="16"/>
          <w:lang w:val="pt-BR"/>
        </w:rPr>
        <w:t xml:space="preserve"> </w:t>
      </w:r>
      <w:r w:rsidRPr="008C5978">
        <w:rPr>
          <w:rFonts w:asciiTheme="majorHAnsi" w:hAnsiTheme="majorHAnsi"/>
          <w:sz w:val="16"/>
          <w:szCs w:val="16"/>
          <w:lang w:val="pt-BR"/>
        </w:rPr>
        <w:t xml:space="preserve">Maldonado v. </w:t>
      </w:r>
      <w:r w:rsidRPr="008C5978">
        <w:rPr>
          <w:rFonts w:asciiTheme="majorHAnsi" w:hAnsiTheme="majorHAnsi"/>
          <w:sz w:val="16"/>
          <w:szCs w:val="16"/>
          <w:lang w:val="pt-BR"/>
        </w:rPr>
        <w:t xml:space="preserve">State, 998 S.W. 2d 239 (Tex. Crim. App. 1999). </w:t>
      </w:r>
      <w:r w:rsidRPr="008C5978">
        <w:rPr>
          <w:rFonts w:asciiTheme="majorHAnsi" w:hAnsiTheme="majorHAnsi"/>
          <w:sz w:val="16"/>
          <w:szCs w:val="16"/>
        </w:rPr>
        <w:t xml:space="preserve">Available at: </w:t>
      </w:r>
      <w:hyperlink r:id="rId3" w:history="1">
        <w:r w:rsidRPr="008C5978">
          <w:rPr>
            <w:rStyle w:val="Hyperlink"/>
            <w:rFonts w:asciiTheme="majorHAnsi" w:hAnsiTheme="majorHAnsi"/>
            <w:sz w:val="16"/>
            <w:szCs w:val="16"/>
          </w:rPr>
          <w:t>https://www.leagle.com/decision/19991237998sw2d23911233#</w:t>
        </w:r>
      </w:hyperlink>
    </w:p>
  </w:footnote>
  <w:footnote w:id="10">
    <w:p w14:paraId="3DD9FABC" w14:textId="77777777" w:rsidR="003472AC" w:rsidRPr="008C5978" w:rsidRDefault="003472AC">
      <w:pPr>
        <w:pStyle w:val="FootnoteText"/>
      </w:pPr>
      <w:r w:rsidRPr="008C5978">
        <w:rPr>
          <w:rStyle w:val="FootnoteReference"/>
          <w:rFonts w:asciiTheme="majorHAnsi" w:hAnsiTheme="majorHAnsi"/>
          <w:sz w:val="16"/>
          <w:szCs w:val="16"/>
        </w:rPr>
        <w:footnoteRef/>
      </w:r>
      <w:r w:rsidRPr="008C5978">
        <w:rPr>
          <w:rStyle w:val="FootnoteReference"/>
          <w:rFonts w:asciiTheme="majorHAnsi" w:hAnsiTheme="majorHAnsi"/>
          <w:lang w:val="pt-BR"/>
        </w:rPr>
        <w:t xml:space="preserve"> </w:t>
      </w:r>
      <w:r w:rsidRPr="008C5978">
        <w:rPr>
          <w:rFonts w:asciiTheme="majorHAnsi" w:hAnsiTheme="majorHAnsi"/>
          <w:i/>
          <w:sz w:val="16"/>
          <w:szCs w:val="16"/>
          <w:lang w:val="pt-BR"/>
        </w:rPr>
        <w:t>Ex parte</w:t>
      </w:r>
      <w:r w:rsidRPr="008C5978">
        <w:rPr>
          <w:rFonts w:asciiTheme="majorHAnsi" w:hAnsiTheme="majorHAnsi"/>
          <w:sz w:val="16"/>
          <w:szCs w:val="16"/>
          <w:lang w:val="pt-BR"/>
        </w:rPr>
        <w:t xml:space="preserve"> Maldonado, No WR-51,612-01 (Tex. Crim. App. April 25, 2012) (citing </w:t>
      </w:r>
      <w:r w:rsidRPr="008C5978">
        <w:rPr>
          <w:rFonts w:asciiTheme="majorHAnsi" w:hAnsiTheme="majorHAnsi"/>
          <w:i/>
          <w:sz w:val="16"/>
          <w:szCs w:val="16"/>
          <w:lang w:val="pt-BR"/>
        </w:rPr>
        <w:t>Ex parte</w:t>
      </w:r>
      <w:r w:rsidRPr="008C5978">
        <w:rPr>
          <w:rFonts w:asciiTheme="majorHAnsi" w:hAnsiTheme="majorHAnsi"/>
          <w:sz w:val="16"/>
          <w:szCs w:val="16"/>
          <w:lang w:val="pt-BR"/>
        </w:rPr>
        <w:t xml:space="preserve"> Maldonado, No. WR-51,612-01 (Tex. Crim. App. </w:t>
      </w:r>
      <w:r w:rsidRPr="008C5978">
        <w:rPr>
          <w:rFonts w:asciiTheme="majorHAnsi" w:hAnsiTheme="majorHAnsi"/>
          <w:sz w:val="16"/>
          <w:szCs w:val="16"/>
        </w:rPr>
        <w:t>March 6, 2002)). Exhibit A submitted with petitioners’ additional observations on the merits on July 2, 2012.</w:t>
      </w:r>
    </w:p>
  </w:footnote>
  <w:footnote w:id="11">
    <w:p w14:paraId="6E74C22E" w14:textId="77777777" w:rsidR="003472AC" w:rsidRPr="008C5978" w:rsidRDefault="003472AC" w:rsidP="003A2DC1">
      <w:pPr>
        <w:pStyle w:val="FootnoteText"/>
        <w:jc w:val="both"/>
      </w:pPr>
      <w:r w:rsidRPr="008C5978">
        <w:rPr>
          <w:rStyle w:val="FootnoteReference"/>
          <w:rFonts w:asciiTheme="majorHAnsi" w:hAnsiTheme="majorHAnsi"/>
          <w:sz w:val="16"/>
          <w:szCs w:val="16"/>
        </w:rPr>
        <w:footnoteRef/>
      </w:r>
      <w:r w:rsidRPr="008C5978">
        <w:rPr>
          <w:rStyle w:val="FootnoteReference"/>
          <w:rFonts w:asciiTheme="majorHAnsi" w:hAnsiTheme="majorHAnsi"/>
        </w:rPr>
        <w:t xml:space="preserve"> </w:t>
      </w:r>
      <w:r w:rsidRPr="008C5978">
        <w:rPr>
          <w:rFonts w:asciiTheme="majorHAnsi" w:hAnsiTheme="majorHAnsi"/>
          <w:sz w:val="16"/>
          <w:szCs w:val="16"/>
        </w:rPr>
        <w:t>Order of the 338th District Court of Harris County, Texas, signed on December 12, 2012, p. 2. Exhibit submitted with petitioners’ supplemental observations on December 28, 2012.</w:t>
      </w:r>
    </w:p>
  </w:footnote>
  <w:footnote w:id="12">
    <w:p w14:paraId="104A4E48" w14:textId="77777777" w:rsidR="003472AC" w:rsidRPr="008C5978" w:rsidRDefault="003472AC">
      <w:pPr>
        <w:pStyle w:val="FootnoteText"/>
        <w:rPr>
          <w:sz w:val="16"/>
          <w:szCs w:val="16"/>
        </w:rPr>
      </w:pPr>
      <w:r w:rsidRPr="008C5978">
        <w:rPr>
          <w:rStyle w:val="FootnoteReference"/>
          <w:rFonts w:asciiTheme="majorHAnsi" w:hAnsiTheme="majorHAnsi"/>
          <w:sz w:val="16"/>
          <w:szCs w:val="16"/>
        </w:rPr>
        <w:footnoteRef/>
      </w:r>
      <w:r w:rsidRPr="008C5978">
        <w:rPr>
          <w:rStyle w:val="FootnoteReference"/>
          <w:rFonts w:asciiTheme="majorHAnsi" w:hAnsiTheme="majorHAnsi"/>
        </w:rPr>
        <w:t xml:space="preserve"> </w:t>
      </w:r>
      <w:r w:rsidRPr="008C5978">
        <w:rPr>
          <w:sz w:val="16"/>
          <w:szCs w:val="16"/>
        </w:rPr>
        <w:t>Atkins v. Virginia, 536 U.S. 304 (2002).</w:t>
      </w:r>
    </w:p>
  </w:footnote>
  <w:footnote w:id="13">
    <w:p w14:paraId="0DA9E578" w14:textId="77777777" w:rsidR="003472AC" w:rsidRPr="008C5978" w:rsidRDefault="003472AC">
      <w:pPr>
        <w:pStyle w:val="FootnoteText"/>
      </w:pPr>
      <w:r w:rsidRPr="008C5978">
        <w:rPr>
          <w:rStyle w:val="FootnoteReference"/>
          <w:rFonts w:asciiTheme="majorHAnsi" w:hAnsiTheme="majorHAnsi"/>
          <w:sz w:val="16"/>
          <w:szCs w:val="16"/>
        </w:rPr>
        <w:footnoteRef/>
      </w:r>
      <w:r w:rsidRPr="008C5978">
        <w:rPr>
          <w:rStyle w:val="FootnoteReference"/>
          <w:rFonts w:asciiTheme="majorHAnsi" w:hAnsiTheme="majorHAnsi"/>
          <w:sz w:val="16"/>
          <w:szCs w:val="16"/>
        </w:rPr>
        <w:t xml:space="preserve"> </w:t>
      </w:r>
      <w:r w:rsidRPr="008C5978">
        <w:rPr>
          <w:rFonts w:asciiTheme="majorHAnsi" w:hAnsiTheme="majorHAnsi"/>
          <w:sz w:val="16"/>
          <w:szCs w:val="16"/>
        </w:rPr>
        <w:t>Order of the 338th District Court of Harris County, Texas, signed on December 12, 2012, p. 2. Exhibit submitted with petitioners’ supplemental observations on December 28, 2012.</w:t>
      </w:r>
    </w:p>
  </w:footnote>
  <w:footnote w:id="14">
    <w:p w14:paraId="49D4E0BE" w14:textId="77777777" w:rsidR="003472AC" w:rsidRPr="008C5978" w:rsidRDefault="003472AC">
      <w:pPr>
        <w:pStyle w:val="FootnoteText"/>
      </w:pPr>
      <w:r w:rsidRPr="008C5978">
        <w:rPr>
          <w:rStyle w:val="FootnoteReference"/>
          <w:rFonts w:asciiTheme="majorHAnsi" w:hAnsiTheme="majorHAnsi"/>
          <w:sz w:val="16"/>
          <w:szCs w:val="16"/>
        </w:rPr>
        <w:footnoteRef/>
      </w:r>
      <w:r w:rsidRPr="008C5978">
        <w:rPr>
          <w:rStyle w:val="FootnoteReference"/>
          <w:rFonts w:asciiTheme="majorHAnsi" w:hAnsiTheme="majorHAnsi"/>
        </w:rPr>
        <w:t xml:space="preserve"> </w:t>
      </w:r>
      <w:r w:rsidRPr="008C5978">
        <w:rPr>
          <w:rFonts w:asciiTheme="majorHAnsi" w:hAnsiTheme="majorHAnsi"/>
          <w:i/>
          <w:sz w:val="16"/>
          <w:szCs w:val="16"/>
        </w:rPr>
        <w:t xml:space="preserve">Ex </w:t>
      </w:r>
      <w:proofErr w:type="spellStart"/>
      <w:r w:rsidRPr="008C5978">
        <w:rPr>
          <w:rFonts w:asciiTheme="majorHAnsi" w:hAnsiTheme="majorHAnsi"/>
          <w:i/>
          <w:sz w:val="16"/>
          <w:szCs w:val="16"/>
        </w:rPr>
        <w:t>parte</w:t>
      </w:r>
      <w:proofErr w:type="spellEnd"/>
      <w:r w:rsidRPr="008C5978">
        <w:rPr>
          <w:rFonts w:asciiTheme="majorHAnsi" w:hAnsiTheme="majorHAnsi"/>
          <w:sz w:val="16"/>
          <w:szCs w:val="16"/>
        </w:rPr>
        <w:t xml:space="preserve"> Maldonado, No WR-51,612-01 (Tex. </w:t>
      </w:r>
      <w:r w:rsidRPr="008C5978">
        <w:rPr>
          <w:rFonts w:asciiTheme="majorHAnsi" w:hAnsiTheme="majorHAnsi"/>
          <w:sz w:val="16"/>
          <w:szCs w:val="16"/>
          <w:lang w:val="pt-BR"/>
        </w:rPr>
        <w:t xml:space="preserve">Crim. App. April 25, 2012) (citing </w:t>
      </w:r>
      <w:r w:rsidRPr="008C5978">
        <w:rPr>
          <w:rFonts w:asciiTheme="majorHAnsi" w:hAnsiTheme="majorHAnsi"/>
          <w:i/>
          <w:sz w:val="16"/>
          <w:szCs w:val="16"/>
          <w:lang w:val="pt-BR"/>
        </w:rPr>
        <w:t>Ex parte</w:t>
      </w:r>
      <w:r w:rsidRPr="008C5978">
        <w:rPr>
          <w:rFonts w:asciiTheme="majorHAnsi" w:hAnsiTheme="majorHAnsi"/>
          <w:sz w:val="16"/>
          <w:szCs w:val="16"/>
          <w:lang w:val="pt-BR"/>
        </w:rPr>
        <w:t xml:space="preserve"> Maldonado, No. </w:t>
      </w:r>
      <w:r w:rsidRPr="008C5978">
        <w:rPr>
          <w:rFonts w:asciiTheme="majorHAnsi" w:hAnsiTheme="majorHAnsi"/>
          <w:sz w:val="16"/>
          <w:szCs w:val="16"/>
        </w:rPr>
        <w:t>WR-51,612-01 (Tex. Crim. App. July 2, 2003)). Exhibit A submitted with petitioners’ additional observations on the merits on July 2, 2012.</w:t>
      </w:r>
    </w:p>
  </w:footnote>
  <w:footnote w:id="15">
    <w:p w14:paraId="06BEC30D" w14:textId="77777777" w:rsidR="003472AC" w:rsidRPr="00376462" w:rsidRDefault="003472AC">
      <w:pPr>
        <w:pStyle w:val="FootnoteText"/>
      </w:pPr>
      <w:r w:rsidRPr="008C5978">
        <w:rPr>
          <w:rStyle w:val="FootnoteReference"/>
          <w:sz w:val="16"/>
          <w:szCs w:val="16"/>
        </w:rPr>
        <w:footnoteRef/>
      </w:r>
      <w:r w:rsidRPr="008C5978">
        <w:rPr>
          <w:sz w:val="16"/>
          <w:szCs w:val="16"/>
          <w:lang w:val="pt-BR"/>
        </w:rPr>
        <w:t xml:space="preserve"> </w:t>
      </w:r>
      <w:r w:rsidRPr="008C5978">
        <w:rPr>
          <w:rFonts w:asciiTheme="majorHAnsi" w:hAnsiTheme="majorHAnsi"/>
          <w:i/>
          <w:sz w:val="16"/>
          <w:szCs w:val="16"/>
          <w:lang w:val="pt-BR"/>
        </w:rPr>
        <w:t>Ex parte</w:t>
      </w:r>
      <w:r w:rsidRPr="008C5978">
        <w:rPr>
          <w:rFonts w:asciiTheme="majorHAnsi" w:hAnsiTheme="majorHAnsi"/>
          <w:sz w:val="16"/>
          <w:szCs w:val="16"/>
          <w:lang w:val="pt-BR"/>
        </w:rPr>
        <w:t xml:space="preserve"> Maldonado, </w:t>
      </w:r>
      <w:r w:rsidRPr="00376462">
        <w:rPr>
          <w:rFonts w:asciiTheme="majorHAnsi" w:hAnsiTheme="majorHAnsi"/>
          <w:sz w:val="16"/>
          <w:szCs w:val="16"/>
          <w:lang w:val="pt-BR"/>
        </w:rPr>
        <w:t xml:space="preserve">No WR-51,612-01 (Tex. Crim. App. April 25, 2012) (citing </w:t>
      </w:r>
      <w:r w:rsidRPr="00376462">
        <w:rPr>
          <w:rFonts w:asciiTheme="majorHAnsi" w:hAnsiTheme="majorHAnsi"/>
          <w:i/>
          <w:sz w:val="16"/>
          <w:szCs w:val="16"/>
          <w:lang w:val="pt-BR"/>
        </w:rPr>
        <w:t>Ex parte</w:t>
      </w:r>
      <w:r w:rsidRPr="00376462">
        <w:rPr>
          <w:rFonts w:asciiTheme="majorHAnsi" w:hAnsiTheme="majorHAnsi"/>
          <w:sz w:val="16"/>
          <w:szCs w:val="16"/>
          <w:lang w:val="pt-BR"/>
        </w:rPr>
        <w:t xml:space="preserve"> Maldonado, No. WR-51,612-01 (Tex. Crim. App. </w:t>
      </w:r>
      <w:r w:rsidRPr="00376462">
        <w:rPr>
          <w:rFonts w:asciiTheme="majorHAnsi" w:hAnsiTheme="majorHAnsi"/>
          <w:sz w:val="16"/>
          <w:szCs w:val="16"/>
        </w:rPr>
        <w:t>September 12, 2007)). Exhibit A submitted with petitioners’ additional observations on the merits on July 2, 2012.</w:t>
      </w:r>
    </w:p>
  </w:footnote>
  <w:footnote w:id="16">
    <w:p w14:paraId="68675093" w14:textId="29DF2D19" w:rsidR="003472AC" w:rsidRPr="00376462" w:rsidRDefault="003472AC" w:rsidP="003D3CAC">
      <w:pPr>
        <w:pStyle w:val="FootnoteText"/>
        <w:jc w:val="both"/>
      </w:pPr>
      <w:r w:rsidRPr="00376462">
        <w:rPr>
          <w:rStyle w:val="FootnoteReference"/>
          <w:sz w:val="16"/>
          <w:szCs w:val="16"/>
        </w:rPr>
        <w:footnoteRef/>
      </w:r>
      <w:r w:rsidRPr="00376462">
        <w:rPr>
          <w:rStyle w:val="FootnoteReference"/>
          <w:sz w:val="16"/>
          <w:szCs w:val="16"/>
        </w:rPr>
        <w:t xml:space="preserve"> </w:t>
      </w:r>
      <w:r w:rsidRPr="00376462">
        <w:rPr>
          <w:rFonts w:asciiTheme="majorHAnsi" w:hAnsiTheme="majorHAnsi"/>
          <w:sz w:val="16"/>
          <w:szCs w:val="16"/>
        </w:rPr>
        <w:t xml:space="preserve">The University of Texas School of Law, Human Rights Clinic. “Designed to break you. Human rights violations on Texas’ death row.” April 2017, p. 5. Available at: </w:t>
      </w:r>
      <w:hyperlink r:id="rId4" w:history="1">
        <w:r w:rsidRPr="00376462">
          <w:rPr>
            <w:rFonts w:asciiTheme="majorHAnsi" w:hAnsiTheme="majorHAnsi"/>
            <w:sz w:val="16"/>
            <w:szCs w:val="16"/>
          </w:rPr>
          <w:t>https://law.utexas.edu/wp-content/uploads/sites/11/2017/04/2017-HRC-DesignedToBreakYou-Report.pdf</w:t>
        </w:r>
      </w:hyperlink>
    </w:p>
  </w:footnote>
  <w:footnote w:id="17">
    <w:p w14:paraId="5B23BB83" w14:textId="1D2CDC3F" w:rsidR="003472AC" w:rsidRPr="009F340C" w:rsidRDefault="003472AC" w:rsidP="00D31472">
      <w:pPr>
        <w:pStyle w:val="FootnoteText"/>
        <w:jc w:val="both"/>
        <w:rPr>
          <w:lang w:val="es-ES"/>
        </w:rPr>
      </w:pPr>
      <w:r w:rsidRPr="00376462">
        <w:rPr>
          <w:rStyle w:val="FootnoteReference"/>
          <w:sz w:val="16"/>
          <w:szCs w:val="16"/>
        </w:rPr>
        <w:footnoteRef/>
      </w:r>
      <w:r w:rsidRPr="00376462">
        <w:rPr>
          <w:rStyle w:val="FootnoteReference"/>
          <w:sz w:val="16"/>
          <w:szCs w:val="16"/>
        </w:rPr>
        <w:t xml:space="preserve"> </w:t>
      </w:r>
      <w:r w:rsidRPr="00376462">
        <w:rPr>
          <w:rFonts w:asciiTheme="majorHAnsi" w:hAnsiTheme="majorHAnsi"/>
          <w:sz w:val="16"/>
          <w:szCs w:val="16"/>
        </w:rPr>
        <w:t xml:space="preserve">The University of Texas School of Law, Human Rights Clinic. “Designed to break you. Human rights violations on Texas’ death row.” </w:t>
      </w:r>
      <w:r w:rsidRPr="009F340C">
        <w:rPr>
          <w:rFonts w:asciiTheme="majorHAnsi" w:hAnsiTheme="majorHAnsi"/>
          <w:sz w:val="16"/>
          <w:szCs w:val="16"/>
          <w:lang w:val="es-ES"/>
        </w:rPr>
        <w:t xml:space="preserve">April 2017, p. 5. </w:t>
      </w:r>
    </w:p>
  </w:footnote>
  <w:footnote w:id="18">
    <w:p w14:paraId="5F4D7E05" w14:textId="77777777" w:rsidR="003472AC" w:rsidRPr="008C5978" w:rsidRDefault="003472AC" w:rsidP="00F04AFE">
      <w:pPr>
        <w:pStyle w:val="FootnoteText"/>
        <w:jc w:val="both"/>
      </w:pPr>
      <w:r w:rsidRPr="00376462">
        <w:rPr>
          <w:rStyle w:val="FootnoteReference"/>
          <w:rFonts w:asciiTheme="majorHAnsi" w:hAnsiTheme="majorHAnsi"/>
          <w:color w:val="auto"/>
          <w:sz w:val="16"/>
          <w:szCs w:val="16"/>
        </w:rPr>
        <w:footnoteRef/>
      </w:r>
      <w:r w:rsidRPr="009F340C">
        <w:rPr>
          <w:rStyle w:val="FootnoteReference"/>
          <w:rFonts w:asciiTheme="majorHAnsi" w:hAnsiTheme="majorHAnsi"/>
          <w:color w:val="auto"/>
          <w:sz w:val="16"/>
          <w:szCs w:val="16"/>
          <w:lang w:val="es-ES"/>
        </w:rPr>
        <w:t xml:space="preserve"> </w:t>
      </w:r>
      <w:r w:rsidRPr="009F340C">
        <w:rPr>
          <w:rFonts w:asciiTheme="majorHAnsi" w:hAnsiTheme="majorHAnsi"/>
          <w:i/>
          <w:sz w:val="16"/>
          <w:szCs w:val="16"/>
          <w:lang w:val="es-ES"/>
        </w:rPr>
        <w:t>Ex parte</w:t>
      </w:r>
      <w:r w:rsidRPr="009F340C">
        <w:rPr>
          <w:rFonts w:asciiTheme="majorHAnsi" w:hAnsiTheme="majorHAnsi"/>
          <w:sz w:val="16"/>
          <w:szCs w:val="16"/>
          <w:lang w:val="es-ES"/>
        </w:rPr>
        <w:t xml:space="preserve"> Maldonado, No WR-51,612-01 (Tex. </w:t>
      </w:r>
      <w:proofErr w:type="spellStart"/>
      <w:r w:rsidRPr="009F340C">
        <w:rPr>
          <w:rFonts w:asciiTheme="majorHAnsi" w:hAnsiTheme="majorHAnsi"/>
          <w:sz w:val="16"/>
          <w:szCs w:val="16"/>
          <w:lang w:val="es-ES"/>
        </w:rPr>
        <w:t>Crim</w:t>
      </w:r>
      <w:proofErr w:type="spellEnd"/>
      <w:r w:rsidRPr="009F340C">
        <w:rPr>
          <w:rFonts w:asciiTheme="majorHAnsi" w:hAnsiTheme="majorHAnsi"/>
          <w:sz w:val="16"/>
          <w:szCs w:val="16"/>
          <w:lang w:val="es-ES"/>
        </w:rPr>
        <w:t xml:space="preserve">. App. </w:t>
      </w:r>
      <w:r w:rsidRPr="00376462">
        <w:rPr>
          <w:rFonts w:asciiTheme="majorHAnsi" w:hAnsiTheme="majorHAnsi"/>
          <w:sz w:val="16"/>
          <w:szCs w:val="16"/>
        </w:rPr>
        <w:t>April 25, 2012). Exhibit A submitted with petitioners’ additional observations on the merits on July 2, 2012.</w:t>
      </w:r>
    </w:p>
  </w:footnote>
  <w:footnote w:id="19">
    <w:p w14:paraId="3AE87DC7" w14:textId="77777777" w:rsidR="003472AC" w:rsidRPr="008C5978" w:rsidRDefault="003472AC" w:rsidP="00EC6931">
      <w:pPr>
        <w:pStyle w:val="FootnoteText"/>
        <w:jc w:val="both"/>
      </w:pPr>
      <w:r w:rsidRPr="008C5978">
        <w:rPr>
          <w:rStyle w:val="FootnoteReference"/>
          <w:rFonts w:asciiTheme="majorHAnsi" w:hAnsiTheme="majorHAnsi"/>
          <w:color w:val="auto"/>
          <w:sz w:val="16"/>
          <w:szCs w:val="16"/>
        </w:rPr>
        <w:footnoteRef/>
      </w:r>
      <w:r w:rsidRPr="009F340C">
        <w:rPr>
          <w:rStyle w:val="FootnoteReference"/>
          <w:rFonts w:asciiTheme="majorHAnsi" w:hAnsiTheme="majorHAnsi"/>
          <w:color w:val="auto"/>
          <w:sz w:val="16"/>
          <w:szCs w:val="16"/>
          <w:lang w:val="es-ES"/>
        </w:rPr>
        <w:t xml:space="preserve"> </w:t>
      </w:r>
      <w:r w:rsidRPr="009F340C">
        <w:rPr>
          <w:rFonts w:asciiTheme="majorHAnsi" w:hAnsiTheme="majorHAnsi"/>
          <w:i/>
          <w:sz w:val="16"/>
          <w:szCs w:val="16"/>
          <w:lang w:val="es-ES"/>
        </w:rPr>
        <w:t>Ex parte</w:t>
      </w:r>
      <w:r w:rsidRPr="009F340C">
        <w:rPr>
          <w:rFonts w:asciiTheme="majorHAnsi" w:hAnsiTheme="majorHAnsi"/>
          <w:sz w:val="16"/>
          <w:szCs w:val="16"/>
          <w:lang w:val="es-ES"/>
        </w:rPr>
        <w:t xml:space="preserve"> Maldonado, No WR-51,612-01 (Tex. </w:t>
      </w:r>
      <w:r w:rsidRPr="008C5978">
        <w:rPr>
          <w:rFonts w:asciiTheme="majorHAnsi" w:hAnsiTheme="majorHAnsi"/>
          <w:sz w:val="16"/>
          <w:szCs w:val="16"/>
        </w:rPr>
        <w:t>Crim. App. April 25, 2012). Exhibit A submitted with petitioners’ additional observations on the merits on July 2, 2012.</w:t>
      </w:r>
    </w:p>
  </w:footnote>
  <w:footnote w:id="20">
    <w:p w14:paraId="042E0DB8" w14:textId="77777777" w:rsidR="003472AC" w:rsidRPr="008C5978" w:rsidRDefault="003472AC" w:rsidP="001917D9">
      <w:pPr>
        <w:pStyle w:val="FootnoteText"/>
        <w:jc w:val="both"/>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sz w:val="16"/>
          <w:szCs w:val="16"/>
        </w:rPr>
        <w:t>Order of the 338th District Court of Harris County, Texas, signed on December 12, 2012, p. 5. Exhibit submitted with petitioners’ supplemental observations on December 28, 2012.</w:t>
      </w:r>
    </w:p>
  </w:footnote>
  <w:footnote w:id="21">
    <w:p w14:paraId="75D0F7D3" w14:textId="77777777" w:rsidR="003472AC" w:rsidRPr="008C5978" w:rsidRDefault="003472AC" w:rsidP="003245A7">
      <w:pPr>
        <w:pStyle w:val="FootnoteText"/>
        <w:jc w:val="both"/>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sz w:val="16"/>
          <w:szCs w:val="16"/>
        </w:rPr>
        <w:t>Declaration of Ricardo Weinstein, Ph.D. Exhibit 5 submitted with petitioners’ original petition on December 9, 2011, para. 23.</w:t>
      </w:r>
    </w:p>
  </w:footnote>
  <w:footnote w:id="22">
    <w:p w14:paraId="6CC04B64" w14:textId="77777777" w:rsidR="003472AC" w:rsidRPr="008C5978" w:rsidRDefault="003472AC">
      <w:pPr>
        <w:pStyle w:val="FootnoteText"/>
      </w:pPr>
      <w:r w:rsidRPr="00F72B58">
        <w:rPr>
          <w:rStyle w:val="FootnoteReference"/>
          <w:rFonts w:asciiTheme="majorHAnsi" w:hAnsiTheme="majorHAnsi"/>
          <w:color w:val="auto"/>
          <w:sz w:val="16"/>
          <w:szCs w:val="16"/>
        </w:rPr>
        <w:footnoteRef/>
      </w:r>
      <w:r w:rsidRPr="008C5978">
        <w:t xml:space="preserve"> </w:t>
      </w:r>
      <w:r w:rsidRPr="008C5978">
        <w:rPr>
          <w:rFonts w:asciiTheme="majorHAnsi" w:hAnsiTheme="majorHAnsi"/>
          <w:sz w:val="16"/>
          <w:szCs w:val="16"/>
        </w:rPr>
        <w:t>Declaration of Ricardo Weinstein, Ph.D. Exhibit 5 submitted with petitioners’ original petition on December 9, 2011, para. 25.</w:t>
      </w:r>
    </w:p>
  </w:footnote>
  <w:footnote w:id="23">
    <w:p w14:paraId="28193158" w14:textId="77777777" w:rsidR="003472AC" w:rsidRPr="008C5978" w:rsidRDefault="003472AC">
      <w:pPr>
        <w:pStyle w:val="FootnoteText"/>
      </w:pPr>
      <w:r w:rsidRPr="008C5978">
        <w:rPr>
          <w:rStyle w:val="FootnoteReference"/>
          <w:rFonts w:asciiTheme="majorHAnsi" w:hAnsiTheme="majorHAnsi"/>
          <w:color w:val="auto"/>
          <w:sz w:val="16"/>
          <w:szCs w:val="16"/>
        </w:rPr>
        <w:footnoteRef/>
      </w:r>
      <w:r w:rsidRPr="008C5978">
        <w:t xml:space="preserve"> </w:t>
      </w:r>
      <w:r w:rsidRPr="008C5978">
        <w:rPr>
          <w:rFonts w:asciiTheme="majorHAnsi" w:hAnsiTheme="majorHAnsi"/>
          <w:sz w:val="16"/>
          <w:szCs w:val="16"/>
        </w:rPr>
        <w:t>Declaration of Ricardo Weinstein, Ph.D. Exhibit 5 submitted with petitioners’ original petition on December 9, 2011, paras. 24-27.</w:t>
      </w:r>
    </w:p>
  </w:footnote>
  <w:footnote w:id="24">
    <w:p w14:paraId="6986B3BD" w14:textId="77777777" w:rsidR="003472AC" w:rsidRPr="008C5978" w:rsidRDefault="003472AC">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sz w:val="16"/>
          <w:szCs w:val="16"/>
        </w:rPr>
        <w:t>Declaration of Ricardo Weinstein, Ph.D. Exhibit 5 submitted with petitioners’ original petition on December 9, 2011, para. 28.</w:t>
      </w:r>
    </w:p>
  </w:footnote>
  <w:footnote w:id="25">
    <w:p w14:paraId="6FAA5165" w14:textId="77777777" w:rsidR="003472AC" w:rsidRPr="008C5978" w:rsidRDefault="003472AC" w:rsidP="00125D3B">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hyperlink r:id="rId5" w:tooltip="Mexico v. United States of America" w:history="1">
        <w:r w:rsidRPr="008C5978">
          <w:rPr>
            <w:rFonts w:asciiTheme="majorHAnsi" w:hAnsiTheme="majorHAnsi"/>
            <w:sz w:val="16"/>
            <w:szCs w:val="16"/>
          </w:rPr>
          <w:t xml:space="preserve">Case Concerning </w:t>
        </w:r>
        <w:proofErr w:type="spellStart"/>
        <w:r w:rsidRPr="008C5978">
          <w:rPr>
            <w:rFonts w:asciiTheme="majorHAnsi" w:hAnsiTheme="majorHAnsi"/>
            <w:sz w:val="16"/>
            <w:szCs w:val="16"/>
          </w:rPr>
          <w:t>Avena</w:t>
        </w:r>
        <w:proofErr w:type="spellEnd"/>
        <w:r w:rsidRPr="008C5978">
          <w:rPr>
            <w:rFonts w:asciiTheme="majorHAnsi" w:hAnsiTheme="majorHAnsi"/>
            <w:sz w:val="16"/>
            <w:szCs w:val="16"/>
          </w:rPr>
          <w:t xml:space="preserve"> and Other Mexican Nationals (Mex. v. U. S.)</w:t>
        </w:r>
      </w:hyperlink>
      <w:r w:rsidRPr="008C5978">
        <w:rPr>
          <w:rFonts w:asciiTheme="majorHAnsi" w:hAnsiTheme="majorHAnsi"/>
          <w:color w:val="auto"/>
          <w:sz w:val="16"/>
          <w:szCs w:val="16"/>
        </w:rPr>
        <w:t xml:space="preserve">, </w:t>
      </w:r>
      <w:hyperlink r:id="rId6" w:tooltip="Case citation" w:history="1">
        <w:r w:rsidRPr="008C5978">
          <w:rPr>
            <w:rFonts w:asciiTheme="majorHAnsi" w:hAnsiTheme="majorHAnsi"/>
            <w:sz w:val="16"/>
            <w:szCs w:val="16"/>
          </w:rPr>
          <w:t>2004 I.C.J. 12</w:t>
        </w:r>
      </w:hyperlink>
      <w:r w:rsidRPr="008C5978">
        <w:rPr>
          <w:rFonts w:asciiTheme="majorHAnsi" w:hAnsiTheme="majorHAnsi"/>
          <w:color w:val="auto"/>
          <w:sz w:val="16"/>
          <w:szCs w:val="16"/>
        </w:rPr>
        <w:t xml:space="preserve"> (Judgment of March 31, 2004).</w:t>
      </w:r>
    </w:p>
  </w:footnote>
  <w:footnote w:id="26">
    <w:p w14:paraId="74017391" w14:textId="77777777" w:rsidR="003472AC" w:rsidRPr="008C5978" w:rsidRDefault="003472AC">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sz w:val="16"/>
          <w:szCs w:val="16"/>
        </w:rPr>
        <w:t>Declaration of Adrian Franco. Exhibit 10 submitted with petitioners’ original petition on December 9, 2011.</w:t>
      </w:r>
    </w:p>
  </w:footnote>
  <w:footnote w:id="27">
    <w:p w14:paraId="76BB86D2" w14:textId="77777777" w:rsidR="003472AC" w:rsidRPr="008C5978" w:rsidRDefault="003472AC" w:rsidP="00ED56AB">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See, for example: I/A Court H. R., Advisory Opinion OC-16/99 (October 1, 1999), </w:t>
      </w:r>
      <w:r w:rsidRPr="008C5978">
        <w:rPr>
          <w:rFonts w:asciiTheme="majorHAnsi" w:hAnsiTheme="majorHAnsi"/>
          <w:i/>
          <w:iCs/>
          <w:color w:val="auto"/>
          <w:sz w:val="16"/>
          <w:szCs w:val="16"/>
        </w:rPr>
        <w:t>The Right to Information on Consular Assistance in the Framework of the Guarantees of the Due Process of Law</w:t>
      </w:r>
      <w:r w:rsidRPr="008C5978">
        <w:rPr>
          <w:rFonts w:asciiTheme="majorHAnsi" w:hAnsiTheme="majorHAnsi"/>
          <w:color w:val="auto"/>
          <w:sz w:val="16"/>
          <w:szCs w:val="16"/>
        </w:rPr>
        <w:t xml:space="preserve">, para. 136; United Nations Human Rights Committee, </w:t>
      </w:r>
      <w:proofErr w:type="spellStart"/>
      <w:r w:rsidRPr="008C5978">
        <w:rPr>
          <w:rFonts w:asciiTheme="majorHAnsi" w:hAnsiTheme="majorHAnsi"/>
          <w:i/>
          <w:iCs/>
          <w:color w:val="auto"/>
          <w:sz w:val="16"/>
          <w:szCs w:val="16"/>
        </w:rPr>
        <w:t>Baboheram-Adhin</w:t>
      </w:r>
      <w:proofErr w:type="spellEnd"/>
      <w:r w:rsidRPr="008C5978">
        <w:rPr>
          <w:rFonts w:asciiTheme="majorHAnsi" w:hAnsiTheme="majorHAnsi"/>
          <w:i/>
          <w:iCs/>
          <w:color w:val="auto"/>
          <w:sz w:val="16"/>
          <w:szCs w:val="16"/>
        </w:rPr>
        <w:t xml:space="preserve"> et al. v. Suriname</w:t>
      </w:r>
      <w:r w:rsidRPr="008C5978">
        <w:rPr>
          <w:rFonts w:asciiTheme="majorHAnsi" w:hAnsiTheme="majorHAnsi"/>
          <w:color w:val="auto"/>
          <w:sz w:val="16"/>
          <w:szCs w:val="16"/>
        </w:rPr>
        <w:t>,</w:t>
      </w:r>
      <w:r w:rsidRPr="008C5978">
        <w:rPr>
          <w:rFonts w:asciiTheme="majorHAnsi" w:hAnsiTheme="majorHAnsi"/>
          <w:i/>
          <w:iCs/>
          <w:color w:val="auto"/>
          <w:sz w:val="16"/>
          <w:szCs w:val="16"/>
        </w:rPr>
        <w:t xml:space="preserve"> </w:t>
      </w:r>
      <w:r w:rsidRPr="008C5978">
        <w:rPr>
          <w:rFonts w:asciiTheme="majorHAnsi" w:hAnsiTheme="majorHAnsi"/>
          <w:color w:val="auto"/>
          <w:sz w:val="16"/>
          <w:szCs w:val="16"/>
        </w:rPr>
        <w:t xml:space="preserve">Communications Nos. 148-154/1983, adopted on April 4, 1985, para. 14.3; </w:t>
      </w:r>
      <w:r w:rsidRPr="008C5978">
        <w:rPr>
          <w:rFonts w:asciiTheme="majorHAnsi" w:hAnsiTheme="majorHAnsi"/>
          <w:i/>
          <w:iCs/>
          <w:color w:val="auto"/>
          <w:sz w:val="16"/>
          <w:szCs w:val="16"/>
        </w:rPr>
        <w:t>Report of the United Nations Special Rapporteur on Extrajudicial Executions</w:t>
      </w:r>
      <w:r w:rsidRPr="008C5978">
        <w:rPr>
          <w:rFonts w:asciiTheme="majorHAnsi" w:hAnsiTheme="majorHAnsi"/>
          <w:color w:val="auto"/>
          <w:sz w:val="16"/>
          <w:szCs w:val="16"/>
        </w:rPr>
        <w:t xml:space="preserve">, </w:t>
      </w:r>
      <w:proofErr w:type="spellStart"/>
      <w:r w:rsidRPr="008C5978">
        <w:rPr>
          <w:rFonts w:asciiTheme="majorHAnsi" w:hAnsiTheme="majorHAnsi"/>
          <w:color w:val="auto"/>
          <w:sz w:val="16"/>
          <w:szCs w:val="16"/>
        </w:rPr>
        <w:t>Bacre</w:t>
      </w:r>
      <w:proofErr w:type="spellEnd"/>
      <w:r w:rsidRPr="008C5978">
        <w:rPr>
          <w:rFonts w:asciiTheme="majorHAnsi" w:hAnsiTheme="majorHAnsi"/>
          <w:color w:val="auto"/>
          <w:sz w:val="16"/>
          <w:szCs w:val="16"/>
        </w:rPr>
        <w:t xml:space="preserve"> Waly Ndiaye, submitted pursuant to Commission on Human Rights Resolution 1994/82, Question of the Violation of Human Rights and Fundamental Freedoms in any part of the World, with particular reference to Colonial and Other Dependent Countries and Territories, UN </w:t>
      </w:r>
      <w:proofErr w:type="spellStart"/>
      <w:r w:rsidRPr="008C5978">
        <w:rPr>
          <w:rFonts w:asciiTheme="majorHAnsi" w:hAnsiTheme="majorHAnsi"/>
          <w:color w:val="auto"/>
          <w:sz w:val="16"/>
          <w:szCs w:val="16"/>
        </w:rPr>
        <w:t>Doc.E</w:t>
      </w:r>
      <w:proofErr w:type="spellEnd"/>
      <w:r w:rsidRPr="008C5978">
        <w:rPr>
          <w:rFonts w:asciiTheme="majorHAnsi" w:hAnsiTheme="majorHAnsi"/>
          <w:color w:val="auto"/>
          <w:sz w:val="16"/>
          <w:szCs w:val="16"/>
        </w:rPr>
        <w:t>/CN.4/1995/61 (December 14, 1994), para. 378.</w:t>
      </w:r>
    </w:p>
  </w:footnote>
  <w:footnote w:id="28">
    <w:p w14:paraId="13301DF4" w14:textId="77777777" w:rsidR="003472AC" w:rsidRPr="008C5978" w:rsidRDefault="003472AC" w:rsidP="00ED56AB">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w:t>
      </w:r>
      <w:r w:rsidRPr="008C5978">
        <w:rPr>
          <w:rFonts w:asciiTheme="majorHAnsi" w:hAnsiTheme="majorHAnsi"/>
          <w:i/>
          <w:iCs/>
          <w:color w:val="auto"/>
          <w:sz w:val="16"/>
          <w:szCs w:val="16"/>
        </w:rPr>
        <w:t xml:space="preserve"> </w:t>
      </w:r>
      <w:r w:rsidRPr="008C5978">
        <w:rPr>
          <w:rFonts w:asciiTheme="majorHAnsi" w:hAnsiTheme="majorHAnsi"/>
          <w:color w:val="auto"/>
          <w:sz w:val="16"/>
          <w:szCs w:val="16"/>
        </w:rPr>
        <w:t xml:space="preserve">Report No. 57/96, </w:t>
      </w:r>
      <w:r w:rsidRPr="008C5978">
        <w:rPr>
          <w:rFonts w:asciiTheme="majorHAnsi" w:hAnsiTheme="majorHAnsi"/>
          <w:iCs/>
          <w:color w:val="auto"/>
          <w:sz w:val="16"/>
          <w:szCs w:val="16"/>
        </w:rPr>
        <w:t>Andrews, United States</w:t>
      </w:r>
      <w:r w:rsidRPr="008C5978">
        <w:rPr>
          <w:rFonts w:asciiTheme="majorHAnsi" w:hAnsiTheme="majorHAnsi"/>
          <w:color w:val="auto"/>
          <w:sz w:val="16"/>
          <w:szCs w:val="16"/>
        </w:rPr>
        <w:t xml:space="preserve">, IACHR Annual Report 1997, para. 170-171; Report No. 38/00 Baptiste, Grenada, IACHR Annual Report 1999, paras. 64-66; Report No. 41/00, McKenzie </w:t>
      </w:r>
      <w:r w:rsidRPr="008C5978">
        <w:rPr>
          <w:rFonts w:asciiTheme="majorHAnsi" w:hAnsiTheme="majorHAnsi"/>
          <w:i/>
          <w:iCs/>
          <w:color w:val="auto"/>
          <w:sz w:val="16"/>
          <w:szCs w:val="16"/>
        </w:rPr>
        <w:t>et al.</w:t>
      </w:r>
      <w:r w:rsidRPr="008C5978">
        <w:rPr>
          <w:rFonts w:asciiTheme="majorHAnsi" w:hAnsiTheme="majorHAnsi"/>
          <w:iCs/>
          <w:color w:val="auto"/>
          <w:sz w:val="16"/>
          <w:szCs w:val="16"/>
        </w:rPr>
        <w:t>,</w:t>
      </w:r>
      <w:r w:rsidRPr="008C5978">
        <w:rPr>
          <w:rFonts w:asciiTheme="majorHAnsi" w:hAnsiTheme="majorHAnsi"/>
          <w:color w:val="auto"/>
          <w:sz w:val="16"/>
          <w:szCs w:val="16"/>
        </w:rPr>
        <w:t xml:space="preserve"> Jamaica, IACHR Annual Report 1999, paras. 169-171.</w:t>
      </w:r>
    </w:p>
  </w:footnote>
  <w:footnote w:id="29">
    <w:p w14:paraId="37F9D044" w14:textId="77777777" w:rsidR="003472AC" w:rsidRPr="008C5978" w:rsidRDefault="003472AC" w:rsidP="006B6D64">
      <w:pPr>
        <w:autoSpaceDE w:val="0"/>
        <w:autoSpaceDN w:val="0"/>
        <w:adjustRightInd w:val="0"/>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IACHR, The death penalty in the Inter-American System of Human Rights: From restrictions to abolition, </w:t>
      </w:r>
      <w:r w:rsidRPr="008C5978">
        <w:rPr>
          <w:rFonts w:asciiTheme="majorHAnsi" w:hAnsiTheme="majorHAnsi" w:cs="Calibri"/>
          <w:sz w:val="16"/>
          <w:szCs w:val="16"/>
        </w:rPr>
        <w:t>OEA/</w:t>
      </w:r>
      <w:proofErr w:type="spellStart"/>
      <w:r w:rsidRPr="008C5978">
        <w:rPr>
          <w:rFonts w:asciiTheme="majorHAnsi" w:hAnsiTheme="majorHAnsi" w:cs="Calibri"/>
          <w:sz w:val="16"/>
          <w:szCs w:val="16"/>
        </w:rPr>
        <w:t>Ser.L</w:t>
      </w:r>
      <w:proofErr w:type="spellEnd"/>
      <w:r w:rsidRPr="008C5978">
        <w:rPr>
          <w:rFonts w:asciiTheme="majorHAnsi" w:hAnsiTheme="majorHAnsi" w:cs="Calibri"/>
          <w:sz w:val="16"/>
          <w:szCs w:val="16"/>
        </w:rPr>
        <w:t xml:space="preserve">/V/II.Doc. 68, December 31, 2011, </w:t>
      </w:r>
      <w:r w:rsidRPr="008C5978">
        <w:rPr>
          <w:rFonts w:asciiTheme="majorHAnsi" w:hAnsiTheme="majorHAnsi"/>
          <w:sz w:val="16"/>
          <w:szCs w:val="16"/>
        </w:rPr>
        <w:t>para. 41.</w:t>
      </w:r>
    </w:p>
  </w:footnote>
  <w:footnote w:id="30">
    <w:p w14:paraId="05B78424" w14:textId="77777777" w:rsidR="003472AC" w:rsidRPr="008C5978" w:rsidRDefault="003472AC" w:rsidP="006B6D64">
      <w:pPr>
        <w:autoSpaceDE w:val="0"/>
        <w:autoSpaceDN w:val="0"/>
        <w:adjustRightInd w:val="0"/>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IACHR, Report No. 78/07, Case 12.265, Merits (Publication), Chad Roger Goodman, The Bahamas, October 15, 2007, para. 34.</w:t>
      </w:r>
    </w:p>
  </w:footnote>
  <w:footnote w:id="31">
    <w:p w14:paraId="188CD5B4" w14:textId="4400FC00" w:rsidR="003472AC" w:rsidRPr="008C5978" w:rsidRDefault="003472AC" w:rsidP="006B6D64">
      <w:pPr>
        <w:tabs>
          <w:tab w:val="left" w:pos="0"/>
        </w:tabs>
        <w:jc w:val="both"/>
        <w:rPr>
          <w:rFonts w:ascii="Cambria" w:hAnsi="Cambria"/>
          <w:sz w:val="16"/>
          <w:szCs w:val="16"/>
        </w:rPr>
      </w:pPr>
      <w:r w:rsidRPr="008C5978">
        <w:rPr>
          <w:rStyle w:val="FootnoteReference"/>
          <w:rFonts w:ascii="Cambria" w:hAnsi="Cambria"/>
          <w:sz w:val="16"/>
          <w:szCs w:val="16"/>
        </w:rPr>
        <w:footnoteRef/>
      </w:r>
      <w:r w:rsidRPr="008C5978">
        <w:rPr>
          <w:rFonts w:ascii="Cambria" w:hAnsi="Cambria"/>
          <w:sz w:val="16"/>
          <w:szCs w:val="16"/>
        </w:rPr>
        <w:t xml:space="preserve"> See Article 1 of the Commission's Statute approved by Resolution No. 447, adopted by the General Assembly of the OAS at its Ninth Regular Period of Sessions, held in La Paz, Bolivia, in October 1979.</w:t>
      </w:r>
    </w:p>
  </w:footnote>
  <w:footnote w:id="32">
    <w:p w14:paraId="6DEF2BD6" w14:textId="77777777" w:rsidR="003472AC" w:rsidRPr="008C5978" w:rsidRDefault="003472AC" w:rsidP="006B6D64">
      <w:pPr>
        <w:tabs>
          <w:tab w:val="left" w:pos="0"/>
        </w:tabs>
        <w:jc w:val="both"/>
        <w:rPr>
          <w:rFonts w:ascii="Cambria" w:hAnsi="Cambria"/>
          <w:sz w:val="16"/>
          <w:szCs w:val="16"/>
        </w:rPr>
      </w:pPr>
      <w:r w:rsidRPr="008C5978">
        <w:rPr>
          <w:rStyle w:val="FootnoteReference"/>
          <w:rFonts w:ascii="Cambria" w:hAnsi="Cambria"/>
          <w:sz w:val="16"/>
          <w:szCs w:val="16"/>
        </w:rPr>
        <w:footnoteRef/>
      </w:r>
      <w:r w:rsidRPr="008C5978">
        <w:rPr>
          <w:rFonts w:ascii="Cambria" w:hAnsi="Cambria"/>
          <w:sz w:val="16"/>
          <w:szCs w:val="16"/>
        </w:rPr>
        <w:t xml:space="preserve"> See in this regard, Resolution 314 (VII-0/77) of June 22, 1977, charging the Inter-American Commission with the preparation of a study to "set forth their obligation to carry out the commitments assumed in the American Declaration of the Rights and Duties of Man;" Resolution 371 (VIII-0/78) of July 1, 1978, in which the General Assembly reaffirmed "its commitment to promote the observance of the American Declaration of the Rights and Duties of Man;" and Resolution 370 (VIII-0/78) of July 1, 1978, referring to the "international commitments" of a member state of the Organization to respect the rights of man "recognized in the American Declaration of the Rights and Duties of Man."</w:t>
      </w:r>
    </w:p>
  </w:footnote>
  <w:footnote w:id="33">
    <w:p w14:paraId="0B719B98" w14:textId="77777777" w:rsidR="003472AC" w:rsidRPr="008C5978" w:rsidRDefault="003472AC" w:rsidP="006B6D64">
      <w:pPr>
        <w:pStyle w:val="FootnoteText"/>
        <w:jc w:val="both"/>
        <w:rPr>
          <w:rFonts w:ascii="Cambria" w:hAnsi="Cambria"/>
          <w:sz w:val="16"/>
          <w:szCs w:val="16"/>
        </w:rPr>
      </w:pPr>
      <w:r w:rsidRPr="008C5978">
        <w:rPr>
          <w:rStyle w:val="FootnoteReference"/>
          <w:rFonts w:ascii="Cambria" w:hAnsi="Cambria"/>
          <w:sz w:val="16"/>
          <w:szCs w:val="16"/>
        </w:rPr>
        <w:footnoteRef/>
      </w:r>
      <w:r w:rsidRPr="008C5978">
        <w:rPr>
          <w:rFonts w:ascii="Cambria" w:hAnsi="Cambria"/>
          <w:sz w:val="16"/>
          <w:szCs w:val="16"/>
        </w:rPr>
        <w:t xml:space="preserve"> I/A Court H.R., Interpretation of the American Declaration of the Rights and Duties of Man within the Framework of Article 64 of the American Convention on Human Rights. Advisory Opinion OC-10/89 of July 14, 1989. Series A No. 10, para. 43.</w:t>
      </w:r>
    </w:p>
  </w:footnote>
  <w:footnote w:id="34">
    <w:p w14:paraId="206ACA99" w14:textId="77777777" w:rsidR="003472AC" w:rsidRPr="008C5978" w:rsidRDefault="003472AC" w:rsidP="00EE36D7">
      <w:pPr>
        <w:jc w:val="both"/>
      </w:pPr>
      <w:r w:rsidRPr="008C5978">
        <w:rPr>
          <w:rStyle w:val="FootnoteReference"/>
          <w:rFonts w:asciiTheme="majorHAnsi" w:hAnsiTheme="majorHAnsi"/>
          <w:sz w:val="16"/>
          <w:szCs w:val="16"/>
        </w:rPr>
        <w:footnoteRef/>
      </w:r>
      <w:r w:rsidRPr="008C5978">
        <w:rPr>
          <w:rFonts w:asciiTheme="majorHAnsi" w:hAnsiTheme="majorHAnsi"/>
          <w:sz w:val="16"/>
          <w:szCs w:val="16"/>
        </w:rPr>
        <w:t xml:space="preserve"> 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35">
    <w:p w14:paraId="3BEB01C9" w14:textId="77777777" w:rsidR="003472AC" w:rsidRPr="008C5978" w:rsidRDefault="003472AC" w:rsidP="00EE36D7">
      <w:pPr>
        <w:keepNext/>
        <w:jc w:val="both"/>
        <w:rPr>
          <w:rFonts w:asciiTheme="majorHAnsi" w:hAnsiTheme="majorHAnsi"/>
          <w:sz w:val="16"/>
          <w:szCs w:val="16"/>
        </w:rPr>
      </w:pPr>
      <w:r w:rsidRPr="008C5978">
        <w:rPr>
          <w:rStyle w:val="FootnoteReference"/>
          <w:rFonts w:asciiTheme="majorHAnsi" w:hAnsiTheme="majorHAnsi"/>
          <w:sz w:val="16"/>
          <w:szCs w:val="16"/>
        </w:rPr>
        <w:footnoteRef/>
      </w:r>
      <w:r w:rsidRPr="008C5978">
        <w:rPr>
          <w:rStyle w:val="FootnoteReference"/>
          <w:rFonts w:asciiTheme="majorHAnsi" w:hAnsiTheme="majorHAnsi"/>
          <w:sz w:val="16"/>
          <w:szCs w:val="16"/>
        </w:rPr>
        <w:t xml:space="preserve"> </w:t>
      </w:r>
      <w:r w:rsidRPr="008C5978">
        <w:rPr>
          <w:rFonts w:asciiTheme="majorHAnsi" w:hAnsiTheme="majorHAnsi"/>
          <w:sz w:val="16"/>
          <w:szCs w:val="16"/>
        </w:rPr>
        <w:t>Article XXVI of the American Declaration provides: “Every accused person is presumed to be innocent until proved guilty.</w:t>
      </w:r>
    </w:p>
    <w:p w14:paraId="41B04A52" w14:textId="77777777" w:rsidR="003472AC" w:rsidRPr="008C5978" w:rsidRDefault="003472AC" w:rsidP="00EE36D7">
      <w:pPr>
        <w:pStyle w:val="FootnoteText"/>
        <w:jc w:val="both"/>
      </w:pPr>
      <w:r w:rsidRPr="008C5978">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36">
    <w:p w14:paraId="231FFE83" w14:textId="77777777" w:rsidR="003472AC" w:rsidRPr="008C5978" w:rsidRDefault="003472AC" w:rsidP="00C9055F">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w:t>
      </w:r>
      <w:proofErr w:type="spellStart"/>
      <w:r w:rsidRPr="008C5978">
        <w:rPr>
          <w:rFonts w:asciiTheme="majorHAnsi" w:hAnsiTheme="majorHAnsi"/>
          <w:color w:val="auto"/>
          <w:sz w:val="16"/>
          <w:szCs w:val="16"/>
        </w:rPr>
        <w:t>Ser.L</w:t>
      </w:r>
      <w:proofErr w:type="spellEnd"/>
      <w:r w:rsidRPr="008C5978">
        <w:rPr>
          <w:rFonts w:asciiTheme="majorHAnsi" w:hAnsiTheme="majorHAnsi"/>
          <w:color w:val="auto"/>
          <w:sz w:val="16"/>
          <w:szCs w:val="16"/>
        </w:rPr>
        <w:t>/V/II.Doc. 68, December 31, 2011, p. 123.</w:t>
      </w:r>
    </w:p>
  </w:footnote>
  <w:footnote w:id="37">
    <w:p w14:paraId="1D73AF73" w14:textId="77777777" w:rsidR="003472AC" w:rsidRPr="008C5978" w:rsidRDefault="003472AC" w:rsidP="00C9055F">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w:t>
      </w:r>
      <w:proofErr w:type="spellStart"/>
      <w:r w:rsidRPr="008C5978">
        <w:rPr>
          <w:rFonts w:asciiTheme="majorHAnsi" w:hAnsiTheme="majorHAnsi"/>
          <w:color w:val="auto"/>
          <w:sz w:val="16"/>
          <w:szCs w:val="16"/>
        </w:rPr>
        <w:t>Ser.L</w:t>
      </w:r>
      <w:proofErr w:type="spellEnd"/>
      <w:r w:rsidRPr="008C5978">
        <w:rPr>
          <w:rFonts w:asciiTheme="majorHAnsi" w:hAnsiTheme="majorHAnsi"/>
          <w:color w:val="auto"/>
          <w:sz w:val="16"/>
          <w:szCs w:val="16"/>
        </w:rPr>
        <w:t>/V/II.Doc. 68, December 31, 2011, p. 123.</w:t>
      </w:r>
    </w:p>
  </w:footnote>
  <w:footnote w:id="38">
    <w:p w14:paraId="7A1E89AB" w14:textId="77777777" w:rsidR="003472AC" w:rsidRPr="008C5978" w:rsidRDefault="003472AC">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Cambria" w:hAnsi="Cambria" w:cs="Arial"/>
          <w:sz w:val="16"/>
          <w:szCs w:val="16"/>
        </w:rPr>
        <w:t xml:space="preserve">IACHR, </w:t>
      </w:r>
      <w:r w:rsidRPr="008C5978">
        <w:rPr>
          <w:rFonts w:ascii="Cambria" w:hAnsi="Cambria" w:cs="Arial"/>
          <w:bCs/>
          <w:sz w:val="16"/>
          <w:szCs w:val="16"/>
        </w:rPr>
        <w:t>Report No. 79/15</w:t>
      </w:r>
      <w:r w:rsidRPr="008C5978">
        <w:rPr>
          <w:rFonts w:ascii="Cambria" w:hAnsi="Cambria" w:cs="Arial"/>
          <w:sz w:val="16"/>
          <w:szCs w:val="16"/>
        </w:rPr>
        <w:t xml:space="preserve">, Case 12.994. Merits (Publication). Bernardo </w:t>
      </w:r>
      <w:proofErr w:type="spellStart"/>
      <w:r w:rsidRPr="008C5978">
        <w:rPr>
          <w:rFonts w:ascii="Cambria" w:hAnsi="Cambria" w:cs="Arial"/>
          <w:sz w:val="16"/>
          <w:szCs w:val="16"/>
        </w:rPr>
        <w:t>Aban</w:t>
      </w:r>
      <w:proofErr w:type="spellEnd"/>
      <w:r w:rsidRPr="008C5978">
        <w:rPr>
          <w:rFonts w:ascii="Cambria" w:hAnsi="Cambria" w:cs="Arial"/>
          <w:sz w:val="16"/>
          <w:szCs w:val="16"/>
        </w:rPr>
        <w:t xml:space="preserve"> </w:t>
      </w:r>
      <w:proofErr w:type="spellStart"/>
      <w:r w:rsidRPr="008C5978">
        <w:rPr>
          <w:rFonts w:ascii="Cambria" w:hAnsi="Cambria" w:cs="Arial"/>
          <w:sz w:val="16"/>
          <w:szCs w:val="16"/>
        </w:rPr>
        <w:t>Tercero</w:t>
      </w:r>
      <w:proofErr w:type="spellEnd"/>
      <w:r w:rsidRPr="008C5978">
        <w:rPr>
          <w:rFonts w:ascii="Cambria" w:hAnsi="Cambria" w:cs="Arial"/>
          <w:sz w:val="16"/>
          <w:szCs w:val="16"/>
        </w:rPr>
        <w:t>. United States. October 28, 2015, para. 111.</w:t>
      </w:r>
    </w:p>
  </w:footnote>
  <w:footnote w:id="39">
    <w:p w14:paraId="00945C7C" w14:textId="77777777" w:rsidR="003472AC" w:rsidRPr="008C5978" w:rsidRDefault="003472AC" w:rsidP="00C9055F">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w:t>
      </w:r>
    </w:p>
  </w:footnote>
  <w:footnote w:id="40">
    <w:p w14:paraId="56ACC229" w14:textId="77777777" w:rsidR="003472AC" w:rsidRPr="008C5978" w:rsidRDefault="003472AC" w:rsidP="00C9055F">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 </w:t>
      </w:r>
    </w:p>
  </w:footnote>
  <w:footnote w:id="41">
    <w:p w14:paraId="3CA172D1" w14:textId="77777777" w:rsidR="003472AC" w:rsidRPr="008C5978" w:rsidRDefault="003472AC" w:rsidP="00C9055F">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Available at: </w:t>
      </w:r>
      <w:hyperlink r:id="rId7" w:history="1">
        <w:r w:rsidRPr="008C5978">
          <w:rPr>
            <w:rStyle w:val="Hyperlink"/>
            <w:rFonts w:asciiTheme="majorHAnsi" w:hAnsiTheme="majorHAnsi" w:cs="Arial"/>
            <w:color w:val="auto"/>
            <w:sz w:val="16"/>
            <w:szCs w:val="16"/>
          </w:rPr>
          <w:t xml:space="preserve">http://www.abanet.org/legalservices/downloads/ </w:t>
        </w:r>
        <w:proofErr w:type="spellStart"/>
        <w:r w:rsidRPr="008C5978">
          <w:rPr>
            <w:rStyle w:val="Hyperlink"/>
            <w:rFonts w:asciiTheme="majorHAnsi" w:hAnsiTheme="majorHAnsi" w:cs="Arial"/>
            <w:color w:val="auto"/>
            <w:sz w:val="16"/>
            <w:szCs w:val="16"/>
          </w:rPr>
          <w:t>sclaid</w:t>
        </w:r>
        <w:proofErr w:type="spellEnd"/>
        <w:r w:rsidRPr="008C5978">
          <w:rPr>
            <w:rStyle w:val="Hyperlink"/>
            <w:rFonts w:asciiTheme="majorHAnsi" w:hAnsiTheme="majorHAnsi" w:cs="Arial"/>
            <w:color w:val="auto"/>
            <w:sz w:val="16"/>
            <w:szCs w:val="16"/>
          </w:rPr>
          <w:t>/deathpenaltyguidelines.pdf</w:t>
        </w:r>
      </w:hyperlink>
      <w:r w:rsidRPr="008C5978">
        <w:rPr>
          <w:rFonts w:asciiTheme="majorHAnsi" w:hAnsiTheme="majorHAnsi" w:cs="Arial"/>
          <w:color w:val="auto"/>
          <w:sz w:val="16"/>
          <w:szCs w:val="16"/>
        </w:rPr>
        <w:t xml:space="preserve">. </w:t>
      </w:r>
    </w:p>
  </w:footnote>
  <w:footnote w:id="42">
    <w:p w14:paraId="18BE8BA7" w14:textId="77777777" w:rsidR="003472AC" w:rsidRPr="008C5978" w:rsidRDefault="003472AC" w:rsidP="002A00C2">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at 82.</w:t>
      </w:r>
    </w:p>
  </w:footnote>
  <w:footnote w:id="43">
    <w:p w14:paraId="61004355" w14:textId="77777777" w:rsidR="003472AC" w:rsidRPr="008C5978" w:rsidRDefault="003472AC" w:rsidP="002A00C2">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at 83.</w:t>
      </w:r>
    </w:p>
  </w:footnote>
  <w:footnote w:id="44">
    <w:p w14:paraId="05B2246D" w14:textId="55BFA235" w:rsidR="003472AC" w:rsidRPr="008C5978" w:rsidRDefault="003472AC" w:rsidP="00114527">
      <w:pPr>
        <w:pStyle w:val="FootnoteText"/>
        <w:jc w:val="both"/>
      </w:pPr>
      <w:r w:rsidRPr="008C5978">
        <w:rPr>
          <w:rStyle w:val="FootnoteReference"/>
          <w:rFonts w:asciiTheme="majorHAnsi" w:hAnsiTheme="majorHAnsi" w:cs="Arial"/>
          <w:color w:val="auto"/>
          <w:sz w:val="16"/>
          <w:szCs w:val="16"/>
        </w:rPr>
        <w:footnoteRef/>
      </w:r>
      <w:r w:rsidRPr="008C5978">
        <w:rPr>
          <w:rStyle w:val="FootnoteReference"/>
          <w:rFonts w:asciiTheme="majorHAnsi" w:hAnsiTheme="majorHAnsi" w:cs="Arial"/>
          <w:color w:val="auto"/>
          <w:sz w:val="16"/>
          <w:szCs w:val="16"/>
        </w:rPr>
        <w:t xml:space="preserve"> </w:t>
      </w:r>
      <w:r w:rsidRPr="008C5978">
        <w:rPr>
          <w:rFonts w:asciiTheme="majorHAnsi" w:hAnsiTheme="majorHAnsi" w:cs="Arial"/>
          <w:color w:val="auto"/>
          <w:sz w:val="16"/>
          <w:szCs w:val="16"/>
        </w:rPr>
        <w:t xml:space="preserve">See </w:t>
      </w:r>
      <w:r w:rsidRPr="008C5978">
        <w:rPr>
          <w:rFonts w:asciiTheme="majorHAnsi" w:hAnsiTheme="majorHAnsi" w:cs="Arial"/>
          <w:i/>
          <w:color w:val="auto"/>
          <w:sz w:val="16"/>
          <w:szCs w:val="16"/>
        </w:rPr>
        <w:t xml:space="preserve">mutatis </w:t>
      </w:r>
      <w:proofErr w:type="spellStart"/>
      <w:r w:rsidRPr="008C5978">
        <w:rPr>
          <w:rFonts w:asciiTheme="majorHAnsi" w:hAnsiTheme="majorHAnsi" w:cs="Arial"/>
          <w:i/>
          <w:color w:val="auto"/>
          <w:sz w:val="16"/>
          <w:szCs w:val="16"/>
        </w:rPr>
        <w:t>mutandi</w:t>
      </w:r>
      <w:proofErr w:type="spellEnd"/>
      <w:r w:rsidRPr="008C5978">
        <w:rPr>
          <w:rFonts w:asciiTheme="majorHAnsi" w:hAnsiTheme="majorHAnsi" w:cs="Arial"/>
          <w:color w:val="auto"/>
          <w:sz w:val="16"/>
          <w:szCs w:val="16"/>
        </w:rPr>
        <w:t xml:space="preserve">, I/A Court. </w:t>
      </w:r>
      <w:r w:rsidRPr="008C5978">
        <w:rPr>
          <w:rFonts w:asciiTheme="majorHAnsi" w:hAnsiTheme="majorHAnsi" w:cs="Arial"/>
          <w:color w:val="auto"/>
          <w:sz w:val="16"/>
          <w:szCs w:val="16"/>
          <w:lang w:val="es-ES"/>
        </w:rPr>
        <w:t xml:space="preserve">Case of Ruano Torres et al. vs. El Salvador. </w:t>
      </w:r>
      <w:r w:rsidRPr="008C5978">
        <w:rPr>
          <w:rFonts w:asciiTheme="majorHAnsi" w:hAnsiTheme="majorHAnsi" w:cs="Arial"/>
          <w:color w:val="auto"/>
          <w:sz w:val="16"/>
          <w:szCs w:val="16"/>
        </w:rPr>
        <w:t>Merits, Reparations and Costs. Judgment of October 5, 2015. Serie C. No. 303, para. 172 (available only in Spanish).</w:t>
      </w:r>
    </w:p>
  </w:footnote>
  <w:footnote w:id="45">
    <w:p w14:paraId="62240086" w14:textId="77777777" w:rsidR="003472AC" w:rsidRPr="008C5978" w:rsidRDefault="003472AC" w:rsidP="002A00C2">
      <w:pPr>
        <w:pStyle w:val="FootnoteText"/>
        <w:jc w:val="both"/>
        <w:rPr>
          <w:rFonts w:ascii="Cambria" w:hAnsi="Cambria"/>
          <w:sz w:val="16"/>
          <w:szCs w:val="16"/>
        </w:rPr>
      </w:pPr>
      <w:r w:rsidRPr="008C5978">
        <w:rPr>
          <w:rStyle w:val="FootnoteReference"/>
          <w:rFonts w:ascii="Cambria" w:hAnsi="Cambria" w:cs="Arial"/>
          <w:sz w:val="16"/>
          <w:szCs w:val="16"/>
        </w:rPr>
        <w:footnoteRef/>
      </w:r>
      <w:r w:rsidRPr="008C5978">
        <w:rPr>
          <w:rFonts w:ascii="Cambria" w:hAnsi="Cambria" w:cs="Arial"/>
          <w:sz w:val="16"/>
          <w:szCs w:val="16"/>
        </w:rPr>
        <w:t xml:space="preserve"> IACHR, </w:t>
      </w:r>
      <w:r w:rsidRPr="008C5978">
        <w:rPr>
          <w:rFonts w:ascii="Cambria" w:hAnsi="Cambria" w:cs="Arial"/>
          <w:bCs/>
          <w:sz w:val="16"/>
          <w:szCs w:val="16"/>
        </w:rPr>
        <w:t>Report No. 11/15</w:t>
      </w:r>
      <w:r w:rsidRPr="008C5978">
        <w:rPr>
          <w:rFonts w:ascii="Cambria" w:hAnsi="Cambria" w:cs="Arial"/>
          <w:sz w:val="16"/>
          <w:szCs w:val="16"/>
        </w:rPr>
        <w:t xml:space="preserve">, Case 12.833. Merits (Publication). Felix Rocha Diaz. United States. March 23, 2015, para. 63.  </w:t>
      </w:r>
    </w:p>
  </w:footnote>
  <w:footnote w:id="46">
    <w:p w14:paraId="1A34FD0F" w14:textId="77777777" w:rsidR="003472AC" w:rsidRPr="008C5978" w:rsidRDefault="003472AC" w:rsidP="002A00C2">
      <w:pPr>
        <w:pStyle w:val="FootnoteText"/>
        <w:jc w:val="both"/>
        <w:rPr>
          <w:rFonts w:ascii="Cambria" w:hAnsi="Cambria"/>
          <w:sz w:val="16"/>
          <w:szCs w:val="16"/>
        </w:rPr>
      </w:pPr>
      <w:r w:rsidRPr="008C5978">
        <w:rPr>
          <w:rStyle w:val="FootnoteReference"/>
          <w:rFonts w:ascii="Cambria" w:hAnsi="Cambria"/>
          <w:sz w:val="16"/>
          <w:szCs w:val="16"/>
        </w:rPr>
        <w:footnoteRef/>
      </w:r>
      <w:r w:rsidRPr="008C5978">
        <w:rPr>
          <w:rFonts w:ascii="Cambria" w:hAnsi="Cambria"/>
          <w:sz w:val="16"/>
          <w:szCs w:val="16"/>
        </w:rPr>
        <w:t xml:space="preserve"> </w:t>
      </w:r>
      <w:r w:rsidRPr="008C5978">
        <w:rPr>
          <w:rFonts w:ascii="Cambria" w:hAnsi="Cambria" w:cs="Arial"/>
          <w:sz w:val="16"/>
          <w:szCs w:val="16"/>
        </w:rPr>
        <w:t xml:space="preserve">IACHR, </w:t>
      </w:r>
      <w:r w:rsidRPr="008C5978">
        <w:rPr>
          <w:rFonts w:ascii="Cambria" w:hAnsi="Cambria" w:cs="Arial"/>
          <w:bCs/>
          <w:sz w:val="16"/>
          <w:szCs w:val="16"/>
        </w:rPr>
        <w:t>Report No. 79/15</w:t>
      </w:r>
      <w:r w:rsidRPr="008C5978">
        <w:rPr>
          <w:rFonts w:ascii="Cambria" w:hAnsi="Cambria" w:cs="Arial"/>
          <w:sz w:val="16"/>
          <w:szCs w:val="16"/>
        </w:rPr>
        <w:t xml:space="preserve">, Case 12.994. Merits (Publication). Bernardo </w:t>
      </w:r>
      <w:proofErr w:type="spellStart"/>
      <w:r w:rsidRPr="008C5978">
        <w:rPr>
          <w:rFonts w:ascii="Cambria" w:hAnsi="Cambria" w:cs="Arial"/>
          <w:sz w:val="16"/>
          <w:szCs w:val="16"/>
        </w:rPr>
        <w:t>Aban</w:t>
      </w:r>
      <w:proofErr w:type="spellEnd"/>
      <w:r w:rsidRPr="008C5978">
        <w:rPr>
          <w:rFonts w:ascii="Cambria" w:hAnsi="Cambria" w:cs="Arial"/>
          <w:sz w:val="16"/>
          <w:szCs w:val="16"/>
        </w:rPr>
        <w:t xml:space="preserve"> </w:t>
      </w:r>
      <w:proofErr w:type="spellStart"/>
      <w:r w:rsidRPr="008C5978">
        <w:rPr>
          <w:rFonts w:ascii="Cambria" w:hAnsi="Cambria" w:cs="Arial"/>
          <w:sz w:val="16"/>
          <w:szCs w:val="16"/>
        </w:rPr>
        <w:t>Tercero</w:t>
      </w:r>
      <w:proofErr w:type="spellEnd"/>
      <w:r w:rsidRPr="008C5978">
        <w:rPr>
          <w:rFonts w:ascii="Cambria" w:hAnsi="Cambria" w:cs="Arial"/>
          <w:sz w:val="16"/>
          <w:szCs w:val="16"/>
        </w:rPr>
        <w:t>. United States. October 28, 2015, para. 126.</w:t>
      </w:r>
    </w:p>
  </w:footnote>
  <w:footnote w:id="47">
    <w:p w14:paraId="7DDCDCE5" w14:textId="77777777" w:rsidR="003472AC" w:rsidRPr="008C5978" w:rsidRDefault="003472AC" w:rsidP="00011E4C">
      <w:pPr>
        <w:pStyle w:val="FootnoteText"/>
        <w:jc w:val="both"/>
        <w:rPr>
          <w:rFonts w:ascii="Cambria" w:hAnsi="Cambria"/>
          <w:sz w:val="16"/>
          <w:szCs w:val="16"/>
        </w:rPr>
      </w:pPr>
      <w:r w:rsidRPr="008C5978">
        <w:rPr>
          <w:rStyle w:val="FootnoteReference"/>
          <w:rFonts w:ascii="Cambria" w:hAnsi="Cambria" w:cs="Arial"/>
          <w:sz w:val="16"/>
          <w:szCs w:val="16"/>
        </w:rPr>
        <w:footnoteRef/>
      </w:r>
      <w:r w:rsidRPr="008C5978">
        <w:rPr>
          <w:rFonts w:ascii="Cambria" w:hAnsi="Cambria" w:cs="Arial"/>
          <w:sz w:val="16"/>
          <w:szCs w:val="16"/>
        </w:rPr>
        <w:t xml:space="preserve"> </w:t>
      </w:r>
      <w:r w:rsidRPr="008C5978">
        <w:rPr>
          <w:rFonts w:ascii="Cambria" w:hAnsi="Cambria" w:cs="Arial"/>
          <w:sz w:val="16"/>
          <w:szCs w:val="16"/>
          <w:lang w:val="en-GB"/>
        </w:rPr>
        <w:t>Principle V (Due Process) of the “Principles and Best Practices on the Protection of Persons Deprived of Liberty in the Americas” approved by the Commission during its 131</w:t>
      </w:r>
      <w:r w:rsidRPr="008C5978">
        <w:rPr>
          <w:rFonts w:ascii="Cambria" w:hAnsi="Cambria" w:cs="Arial"/>
          <w:sz w:val="16"/>
          <w:szCs w:val="16"/>
          <w:vertAlign w:val="superscript"/>
          <w:lang w:val="en-GB"/>
        </w:rPr>
        <w:t>st</w:t>
      </w:r>
      <w:r w:rsidRPr="008C5978">
        <w:rPr>
          <w:rFonts w:ascii="Cambria" w:hAnsi="Cambria" w:cs="Arial"/>
          <w:sz w:val="16"/>
          <w:szCs w:val="16"/>
          <w:lang w:val="en-GB"/>
        </w:rPr>
        <w:t xml:space="preserve"> regular period of sessions, held from March 3-14, 2008, </w:t>
      </w:r>
      <w:hyperlink r:id="rId8" w:history="1">
        <w:r w:rsidRPr="008C5978">
          <w:rPr>
            <w:rStyle w:val="Hyperlink"/>
            <w:rFonts w:ascii="Cambria" w:hAnsi="Cambria" w:cs="Arial"/>
            <w:sz w:val="16"/>
            <w:szCs w:val="16"/>
            <w:lang w:val="en-GB"/>
          </w:rPr>
          <w:t>http://www.cidh.org/Basicos/English/Basic21.a.Principles%20and%20Best%20Practices%20PDL.htm</w:t>
        </w:r>
      </w:hyperlink>
    </w:p>
  </w:footnote>
  <w:footnote w:id="48">
    <w:p w14:paraId="1D134317" w14:textId="77777777" w:rsidR="003472AC" w:rsidRPr="008C5978" w:rsidRDefault="003472AC" w:rsidP="002A00C2">
      <w:pPr>
        <w:pStyle w:val="FootnoteText"/>
        <w:jc w:val="both"/>
        <w:rPr>
          <w:rFonts w:ascii="Cambria" w:hAnsi="Cambria"/>
          <w:sz w:val="16"/>
          <w:szCs w:val="16"/>
        </w:rPr>
      </w:pPr>
      <w:r w:rsidRPr="008C5978">
        <w:rPr>
          <w:rStyle w:val="FootnoteReference"/>
          <w:rFonts w:ascii="Cambria" w:hAnsi="Cambria" w:cs="Arial"/>
          <w:sz w:val="16"/>
          <w:szCs w:val="16"/>
        </w:rPr>
        <w:footnoteRef/>
      </w:r>
      <w:r w:rsidRPr="008C5978">
        <w:rPr>
          <w:rFonts w:ascii="Cambria" w:hAnsi="Cambria" w:cs="Arial"/>
          <w:sz w:val="16"/>
          <w:szCs w:val="16"/>
        </w:rPr>
        <w:t xml:space="preserve"> American Bar Association, </w:t>
      </w:r>
      <w:r w:rsidRPr="008C5978">
        <w:rPr>
          <w:rFonts w:ascii="Cambria" w:hAnsi="Cambria" w:cs="Arial"/>
          <w:i/>
          <w:iCs/>
          <w:sz w:val="16"/>
          <w:szCs w:val="16"/>
        </w:rPr>
        <w:t>Guidelines for the Appointment and Performance of Defense Counsel in Death Penalty Cases</w:t>
      </w:r>
      <w:r w:rsidRPr="008C5978">
        <w:rPr>
          <w:rFonts w:ascii="Cambria" w:hAnsi="Cambria" w:cs="Arial"/>
          <w:sz w:val="16"/>
          <w:szCs w:val="16"/>
        </w:rPr>
        <w:t xml:space="preserve"> (Revised </w:t>
      </w:r>
      <w:proofErr w:type="gramStart"/>
      <w:r w:rsidRPr="008C5978">
        <w:rPr>
          <w:rFonts w:ascii="Cambria" w:hAnsi="Cambria" w:cs="Arial"/>
          <w:sz w:val="16"/>
          <w:szCs w:val="16"/>
        </w:rPr>
        <w:t>Edition)(</w:t>
      </w:r>
      <w:proofErr w:type="gramEnd"/>
      <w:r w:rsidRPr="008C5978">
        <w:rPr>
          <w:rFonts w:ascii="Cambria" w:hAnsi="Cambria" w:cs="Arial"/>
          <w:sz w:val="16"/>
          <w:szCs w:val="16"/>
        </w:rPr>
        <w:t>February 2003), Guideline 10.6B “Additional Obligations of Counsel Representing a Foreign National.”</w:t>
      </w:r>
    </w:p>
  </w:footnote>
  <w:footnote w:id="49">
    <w:p w14:paraId="0701939D" w14:textId="77777777" w:rsidR="003472AC" w:rsidRPr="008C5978" w:rsidRDefault="003472AC" w:rsidP="00985A4B">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Article XXV of the American Declaration provides: “[…] Every individual who has been deprived of his liberty has the right […] to humane treatment during the time he is in custody.” </w:t>
      </w:r>
    </w:p>
    <w:p w14:paraId="6288A1BC" w14:textId="77777777" w:rsidR="003472AC" w:rsidRPr="008C5978" w:rsidRDefault="003472AC" w:rsidP="00985A4B">
      <w:pPr>
        <w:pStyle w:val="FootnoteText"/>
        <w:jc w:val="both"/>
        <w:rPr>
          <w:rFonts w:asciiTheme="majorHAnsi" w:hAnsiTheme="majorHAnsi"/>
          <w:color w:val="auto"/>
          <w:sz w:val="16"/>
          <w:szCs w:val="16"/>
        </w:rPr>
      </w:pPr>
      <w:r w:rsidRPr="008C5978">
        <w:rPr>
          <w:rFonts w:asciiTheme="majorHAnsi" w:hAnsiTheme="majorHAnsi"/>
          <w:color w:val="auto"/>
          <w:sz w:val="16"/>
          <w:szCs w:val="16"/>
        </w:rPr>
        <w:t>Article XXVI of the American Declaration provides: “[…] Every person accused of an offense has the right […] not to receive cruel, infamous or unusual punishment.”</w:t>
      </w:r>
    </w:p>
  </w:footnote>
  <w:footnote w:id="50">
    <w:p w14:paraId="2EB18FE0" w14:textId="77777777" w:rsidR="003472AC" w:rsidRPr="008C5978" w:rsidRDefault="003472AC" w:rsidP="00985A4B">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 xml:space="preserve">IACHR, Report No. 71/18, Case 12.958. Merits. Russell </w:t>
      </w:r>
      <w:proofErr w:type="spellStart"/>
      <w:r w:rsidRPr="008C5978">
        <w:rPr>
          <w:rFonts w:asciiTheme="majorHAnsi" w:hAnsiTheme="majorHAnsi"/>
          <w:color w:val="auto"/>
          <w:sz w:val="16"/>
          <w:szCs w:val="16"/>
        </w:rPr>
        <w:t>Bucklew</w:t>
      </w:r>
      <w:proofErr w:type="spellEnd"/>
      <w:r w:rsidRPr="008C5978">
        <w:rPr>
          <w:rFonts w:asciiTheme="majorHAnsi" w:hAnsiTheme="majorHAnsi"/>
          <w:color w:val="auto"/>
          <w:sz w:val="16"/>
          <w:szCs w:val="16"/>
        </w:rPr>
        <w:t>. United States, May 10, 2018, paras. 86-90. In this report the Commission has cited a number of developments in the inter-American and other protections systems, including the regional and United Nations systems.</w:t>
      </w:r>
    </w:p>
  </w:footnote>
  <w:footnote w:id="51">
    <w:p w14:paraId="6CE95166" w14:textId="77777777" w:rsidR="003472AC" w:rsidRPr="00376462" w:rsidRDefault="003472AC" w:rsidP="008150B2">
      <w:pPr>
        <w:pStyle w:val="FootnoteText"/>
        <w:tabs>
          <w:tab w:val="left" w:pos="0"/>
        </w:tabs>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IACHR, Report No. 71/18, Case 12.</w:t>
      </w:r>
      <w:r w:rsidRPr="00376462">
        <w:rPr>
          <w:rFonts w:asciiTheme="majorHAnsi" w:hAnsiTheme="majorHAnsi"/>
          <w:color w:val="auto"/>
          <w:sz w:val="16"/>
          <w:szCs w:val="16"/>
        </w:rPr>
        <w:t xml:space="preserve">958. Merits. Russell </w:t>
      </w:r>
      <w:proofErr w:type="spellStart"/>
      <w:r w:rsidRPr="00376462">
        <w:rPr>
          <w:rFonts w:asciiTheme="majorHAnsi" w:hAnsiTheme="majorHAnsi"/>
          <w:color w:val="auto"/>
          <w:sz w:val="16"/>
          <w:szCs w:val="16"/>
        </w:rPr>
        <w:t>Bucklew</w:t>
      </w:r>
      <w:proofErr w:type="spellEnd"/>
      <w:r w:rsidRPr="00376462">
        <w:rPr>
          <w:rFonts w:asciiTheme="majorHAnsi" w:hAnsiTheme="majorHAnsi"/>
          <w:color w:val="auto"/>
          <w:sz w:val="16"/>
          <w:szCs w:val="16"/>
        </w:rPr>
        <w:t>. United States, May 10, 2018, para. 83.</w:t>
      </w:r>
    </w:p>
  </w:footnote>
  <w:footnote w:id="52">
    <w:p w14:paraId="207849F1" w14:textId="16BDC751" w:rsidR="003472AC" w:rsidRPr="00376462" w:rsidRDefault="003472AC" w:rsidP="008150B2">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rPr>
      </w:pPr>
      <w:r w:rsidRPr="00376462">
        <w:rPr>
          <w:rStyle w:val="FootnoteReference"/>
          <w:rFonts w:asciiTheme="majorHAnsi" w:hAnsiTheme="majorHAnsi"/>
          <w:color w:val="auto"/>
          <w:sz w:val="16"/>
          <w:szCs w:val="16"/>
        </w:rPr>
        <w:footnoteRef/>
      </w:r>
      <w:r w:rsidRPr="00376462">
        <w:rPr>
          <w:rStyle w:val="FootnoteReference"/>
          <w:rFonts w:asciiTheme="majorHAnsi" w:hAnsiTheme="majorHAnsi"/>
          <w:color w:val="auto"/>
          <w:sz w:val="16"/>
          <w:szCs w:val="16"/>
        </w:rPr>
        <w:t xml:space="preserve"> </w:t>
      </w:r>
      <w:r w:rsidRPr="00376462">
        <w:rPr>
          <w:rFonts w:asciiTheme="majorHAnsi" w:hAnsiTheme="majorHAnsi"/>
          <w:color w:val="auto"/>
          <w:sz w:val="16"/>
          <w:szCs w:val="16"/>
        </w:rPr>
        <w:t xml:space="preserve">IACHR, Report No. 24/17, Case 12.254. Merits. Victor </w:t>
      </w:r>
      <w:proofErr w:type="spellStart"/>
      <w:r w:rsidRPr="00376462">
        <w:rPr>
          <w:rFonts w:asciiTheme="majorHAnsi" w:hAnsiTheme="majorHAnsi"/>
          <w:color w:val="auto"/>
          <w:sz w:val="16"/>
          <w:szCs w:val="16"/>
        </w:rPr>
        <w:t>Saldaño</w:t>
      </w:r>
      <w:proofErr w:type="spellEnd"/>
      <w:r w:rsidRPr="00376462">
        <w:rPr>
          <w:rFonts w:asciiTheme="majorHAnsi" w:hAnsiTheme="majorHAnsi"/>
          <w:color w:val="auto"/>
          <w:sz w:val="16"/>
          <w:szCs w:val="16"/>
        </w:rPr>
        <w:t>. United States. March 18, 2017, para. 246, citing IACHR, Report No. 58/02. Merits. Case 12.275. Denton Aitken. Jamaica. October 21, 2002, paras. 133 and 134.</w:t>
      </w:r>
    </w:p>
  </w:footnote>
  <w:footnote w:id="53">
    <w:p w14:paraId="14DEA845" w14:textId="231008AD" w:rsidR="003472AC" w:rsidRPr="00590D73" w:rsidRDefault="003472AC" w:rsidP="008150B2">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rPr>
      </w:pPr>
      <w:r w:rsidRPr="00376462">
        <w:rPr>
          <w:rStyle w:val="FootnoteReference"/>
          <w:rFonts w:ascii="Cambria" w:hAnsi="Cambria"/>
          <w:color w:val="auto"/>
          <w:sz w:val="16"/>
          <w:szCs w:val="16"/>
        </w:rPr>
        <w:footnoteRef/>
      </w:r>
      <w:r w:rsidRPr="00376462">
        <w:rPr>
          <w:rFonts w:ascii="Cambria" w:hAnsi="Cambria"/>
          <w:color w:val="auto"/>
          <w:sz w:val="16"/>
          <w:szCs w:val="16"/>
        </w:rPr>
        <w:t xml:space="preserve"> United Nations. Interim report of the Special Rapporteur on torture and other cruel, inhuman or degrading treatment of punishment.  9 August 2012. A/67/279. para 48.</w:t>
      </w:r>
    </w:p>
  </w:footnote>
  <w:footnote w:id="54">
    <w:p w14:paraId="3DF11612" w14:textId="77777777" w:rsidR="003472AC" w:rsidRPr="00700471" w:rsidRDefault="003472AC" w:rsidP="00B905CC">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8C5978">
        <w:rPr>
          <w:rFonts w:asciiTheme="majorHAnsi" w:hAnsiTheme="majorHAnsi"/>
          <w:color w:val="auto"/>
          <w:sz w:val="16"/>
          <w:szCs w:val="16"/>
        </w:rPr>
        <w:t>Ser.L</w:t>
      </w:r>
      <w:proofErr w:type="spellEnd"/>
      <w:r w:rsidRPr="008C5978">
        <w:rPr>
          <w:rFonts w:asciiTheme="majorHAnsi" w:hAnsiTheme="majorHAnsi"/>
          <w:color w:val="auto"/>
          <w:sz w:val="16"/>
          <w:szCs w:val="16"/>
        </w:rPr>
        <w:t>/V/</w:t>
      </w:r>
      <w:proofErr w:type="gramStart"/>
      <w:r w:rsidRPr="008C5978">
        <w:rPr>
          <w:rFonts w:asciiTheme="majorHAnsi" w:hAnsiTheme="majorHAnsi"/>
          <w:color w:val="auto"/>
          <w:sz w:val="16"/>
          <w:szCs w:val="16"/>
        </w:rPr>
        <w:t>II.Doc</w:t>
      </w:r>
      <w:proofErr w:type="gramEnd"/>
      <w:r w:rsidRPr="008C5978">
        <w:rPr>
          <w:rFonts w:asciiTheme="majorHAnsi" w:hAnsiTheme="majorHAnsi"/>
          <w:color w:val="auto"/>
          <w:sz w:val="16"/>
          <w:szCs w:val="16"/>
        </w:rPr>
        <w:t xml:space="preserve"> 68, December 31, 2011.</w:t>
      </w:r>
    </w:p>
  </w:footnote>
  <w:footnote w:id="55">
    <w:p w14:paraId="4DE4ABC4" w14:textId="77777777" w:rsidR="003472AC" w:rsidRPr="00700471" w:rsidRDefault="003472AC" w:rsidP="0059770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8C5978">
        <w:rPr>
          <w:rFonts w:asciiTheme="majorHAnsi" w:hAnsiTheme="majorHAnsi"/>
          <w:color w:val="auto"/>
          <w:sz w:val="16"/>
          <w:szCs w:val="16"/>
        </w:rPr>
        <w:t>Ser.L</w:t>
      </w:r>
      <w:proofErr w:type="spellEnd"/>
      <w:r w:rsidRPr="008C5978">
        <w:rPr>
          <w:rFonts w:asciiTheme="majorHAnsi" w:hAnsiTheme="majorHAnsi"/>
          <w:color w:val="auto"/>
          <w:sz w:val="16"/>
          <w:szCs w:val="16"/>
        </w:rPr>
        <w:t>/V/</w:t>
      </w:r>
      <w:proofErr w:type="gramStart"/>
      <w:r w:rsidRPr="008C5978">
        <w:rPr>
          <w:rFonts w:asciiTheme="majorHAnsi" w:hAnsiTheme="majorHAnsi"/>
          <w:color w:val="auto"/>
          <w:sz w:val="16"/>
          <w:szCs w:val="16"/>
        </w:rPr>
        <w:t>II.Doc</w:t>
      </w:r>
      <w:proofErr w:type="gramEnd"/>
      <w:r w:rsidRPr="008C5978">
        <w:rPr>
          <w:rFonts w:asciiTheme="majorHAnsi" w:hAnsiTheme="majorHAnsi"/>
          <w:color w:val="auto"/>
          <w:sz w:val="16"/>
          <w:szCs w:val="16"/>
        </w:rPr>
        <w:t xml:space="preserve">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C2CD" w14:textId="77777777" w:rsidR="003472AC" w:rsidRDefault="003472AC"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EFF245E" w14:textId="77777777" w:rsidR="003472AC" w:rsidRDefault="00347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E96" w14:textId="77777777" w:rsidR="003472AC" w:rsidRDefault="003472AC" w:rsidP="002C1641">
    <w:pPr>
      <w:pStyle w:val="Header"/>
      <w:tabs>
        <w:tab w:val="clear" w:pos="4320"/>
        <w:tab w:val="clear" w:pos="8640"/>
      </w:tabs>
      <w:jc w:val="center"/>
      <w:rPr>
        <w:sz w:val="22"/>
        <w:szCs w:val="22"/>
      </w:rPr>
    </w:pPr>
    <w:r>
      <w:rPr>
        <w:noProof/>
        <w:sz w:val="22"/>
        <w:szCs w:val="22"/>
      </w:rPr>
      <w:drawing>
        <wp:inline distT="0" distB="0" distL="0" distR="0" wp14:anchorId="3D812BF6" wp14:editId="1F804CC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B678A40" w14:textId="77777777" w:rsidR="003472AC" w:rsidRPr="00EC7D62" w:rsidRDefault="00844831" w:rsidP="002C1641">
    <w:pPr>
      <w:pStyle w:val="Header"/>
      <w:tabs>
        <w:tab w:val="clear" w:pos="4320"/>
        <w:tab w:val="clear" w:pos="8640"/>
      </w:tabs>
      <w:jc w:val="center"/>
      <w:rPr>
        <w:sz w:val="22"/>
        <w:szCs w:val="22"/>
      </w:rPr>
    </w:pPr>
    <w:r>
      <w:rPr>
        <w:noProof/>
        <w:sz w:val="22"/>
        <w:szCs w:val="22"/>
        <w:bdr w:val="nil"/>
      </w:rPr>
      <w:pict w14:anchorId="0C6DB7B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322AA3"/>
    <w:multiLevelType w:val="hybridMultilevel"/>
    <w:tmpl w:val="5ADE4DC2"/>
    <w:lvl w:ilvl="0" w:tplc="028C10D6">
      <w:start w:val="8"/>
      <w:numFmt w:val="decimal"/>
      <w:lvlText w:val="%1."/>
      <w:lvlJc w:val="left"/>
      <w:pPr>
        <w:tabs>
          <w:tab w:val="num" w:pos="1080"/>
        </w:tabs>
        <w:ind w:left="360" w:firstLine="720"/>
      </w:pPr>
      <w:rPr>
        <w:rFonts w:hint="default"/>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15C7125"/>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97E60A7"/>
    <w:multiLevelType w:val="hybridMultilevel"/>
    <w:tmpl w:val="F700628C"/>
    <w:lvl w:ilvl="0" w:tplc="07746C0C">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964690"/>
    <w:multiLevelType w:val="hybridMultilevel"/>
    <w:tmpl w:val="45B00094"/>
    <w:lvl w:ilvl="0" w:tplc="B8DA1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893AFD0C"/>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0"/>
  </w:num>
  <w:num w:numId="5">
    <w:abstractNumId w:val="47"/>
  </w:num>
  <w:num w:numId="6">
    <w:abstractNumId w:val="25"/>
  </w:num>
  <w:num w:numId="7">
    <w:abstractNumId w:val="6"/>
  </w:num>
  <w:num w:numId="8">
    <w:abstractNumId w:val="16"/>
  </w:num>
  <w:num w:numId="9">
    <w:abstractNumId w:val="41"/>
  </w:num>
  <w:num w:numId="10">
    <w:abstractNumId w:val="0"/>
  </w:num>
  <w:num w:numId="11">
    <w:abstractNumId w:val="34"/>
  </w:num>
  <w:num w:numId="12">
    <w:abstractNumId w:val="35"/>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6"/>
  </w:num>
  <w:num w:numId="42">
    <w:abstractNumId w:val="50"/>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19"/>
  </w:num>
  <w:num w:numId="52">
    <w:abstractNumId w:val="38"/>
  </w:num>
  <w:num w:numId="53">
    <w:abstractNumId w:val="53"/>
  </w:num>
  <w:num w:numId="54">
    <w:abstractNumId w:val="44"/>
  </w:num>
  <w:num w:numId="55">
    <w:abstractNumId w:val="45"/>
  </w:num>
  <w:num w:numId="56">
    <w:abstractNumId w:val="42"/>
  </w:num>
  <w:num w:numId="57">
    <w:abstractNumId w:val="48"/>
  </w:num>
  <w:num w:numId="58">
    <w:abstractNumId w:val="40"/>
  </w:num>
  <w:num w:numId="59">
    <w:abstractNumId w:val="55"/>
  </w:num>
  <w:num w:numId="60">
    <w:abstractNumId w:val="4"/>
  </w:num>
  <w:num w:numId="61">
    <w:abstractNumId w:val="49"/>
  </w:num>
  <w:num w:numId="62">
    <w:abstractNumId w:val="51"/>
  </w:num>
  <w:num w:numId="63">
    <w:abstractNumId w:val="39"/>
  </w:num>
  <w:num w:numId="64">
    <w:abstractNumId w:val="53"/>
  </w:num>
  <w:num w:numId="65">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2E65"/>
    <w:rsid w:val="000050CC"/>
    <w:rsid w:val="0000524E"/>
    <w:rsid w:val="00006DD7"/>
    <w:rsid w:val="00006E50"/>
    <w:rsid w:val="00006EDD"/>
    <w:rsid w:val="000070D7"/>
    <w:rsid w:val="00007690"/>
    <w:rsid w:val="00007B4D"/>
    <w:rsid w:val="00010877"/>
    <w:rsid w:val="00010A7E"/>
    <w:rsid w:val="000111A8"/>
    <w:rsid w:val="00011E4C"/>
    <w:rsid w:val="00011EB8"/>
    <w:rsid w:val="00012470"/>
    <w:rsid w:val="00012683"/>
    <w:rsid w:val="00012905"/>
    <w:rsid w:val="00012ADD"/>
    <w:rsid w:val="00012E4F"/>
    <w:rsid w:val="00013F78"/>
    <w:rsid w:val="00015F42"/>
    <w:rsid w:val="00017552"/>
    <w:rsid w:val="0001788C"/>
    <w:rsid w:val="00021201"/>
    <w:rsid w:val="00022424"/>
    <w:rsid w:val="0002357A"/>
    <w:rsid w:val="00024730"/>
    <w:rsid w:val="00024BB7"/>
    <w:rsid w:val="000265CB"/>
    <w:rsid w:val="0002681D"/>
    <w:rsid w:val="0003022F"/>
    <w:rsid w:val="00030834"/>
    <w:rsid w:val="00031A82"/>
    <w:rsid w:val="00032BDA"/>
    <w:rsid w:val="0003324D"/>
    <w:rsid w:val="000332F4"/>
    <w:rsid w:val="00036A8A"/>
    <w:rsid w:val="00040C3A"/>
    <w:rsid w:val="000427EE"/>
    <w:rsid w:val="0004390C"/>
    <w:rsid w:val="00045601"/>
    <w:rsid w:val="000459E0"/>
    <w:rsid w:val="0004681B"/>
    <w:rsid w:val="0004761C"/>
    <w:rsid w:val="00047C5F"/>
    <w:rsid w:val="00047F35"/>
    <w:rsid w:val="000516F4"/>
    <w:rsid w:val="000517B2"/>
    <w:rsid w:val="00051EB4"/>
    <w:rsid w:val="000520FB"/>
    <w:rsid w:val="00053172"/>
    <w:rsid w:val="00053C3B"/>
    <w:rsid w:val="00054E1B"/>
    <w:rsid w:val="000550C0"/>
    <w:rsid w:val="000564E1"/>
    <w:rsid w:val="000576AA"/>
    <w:rsid w:val="00057D4F"/>
    <w:rsid w:val="00057EDB"/>
    <w:rsid w:val="00060666"/>
    <w:rsid w:val="0006097A"/>
    <w:rsid w:val="00062C0F"/>
    <w:rsid w:val="00062FEC"/>
    <w:rsid w:val="000630E1"/>
    <w:rsid w:val="000639C0"/>
    <w:rsid w:val="000657E1"/>
    <w:rsid w:val="000679BC"/>
    <w:rsid w:val="00070F3A"/>
    <w:rsid w:val="0007127E"/>
    <w:rsid w:val="000716C5"/>
    <w:rsid w:val="00071A9D"/>
    <w:rsid w:val="00071E45"/>
    <w:rsid w:val="00074669"/>
    <w:rsid w:val="00075E23"/>
    <w:rsid w:val="000764E3"/>
    <w:rsid w:val="00077A87"/>
    <w:rsid w:val="00080249"/>
    <w:rsid w:val="00080357"/>
    <w:rsid w:val="00081EC3"/>
    <w:rsid w:val="000823DA"/>
    <w:rsid w:val="00082CBB"/>
    <w:rsid w:val="000830D5"/>
    <w:rsid w:val="00084A11"/>
    <w:rsid w:val="00084C5B"/>
    <w:rsid w:val="00085F60"/>
    <w:rsid w:val="00085F65"/>
    <w:rsid w:val="00086BFA"/>
    <w:rsid w:val="0008733D"/>
    <w:rsid w:val="00090720"/>
    <w:rsid w:val="00091707"/>
    <w:rsid w:val="000922C5"/>
    <w:rsid w:val="00092817"/>
    <w:rsid w:val="000929D9"/>
    <w:rsid w:val="00092F32"/>
    <w:rsid w:val="00093055"/>
    <w:rsid w:val="0009344A"/>
    <w:rsid w:val="0009454E"/>
    <w:rsid w:val="00094AFA"/>
    <w:rsid w:val="00095575"/>
    <w:rsid w:val="0009575D"/>
    <w:rsid w:val="000973C5"/>
    <w:rsid w:val="000A0EF3"/>
    <w:rsid w:val="000A16DB"/>
    <w:rsid w:val="000A1E84"/>
    <w:rsid w:val="000A2085"/>
    <w:rsid w:val="000A254B"/>
    <w:rsid w:val="000A3276"/>
    <w:rsid w:val="000A3E84"/>
    <w:rsid w:val="000A4138"/>
    <w:rsid w:val="000A4DDD"/>
    <w:rsid w:val="000A575F"/>
    <w:rsid w:val="000A584B"/>
    <w:rsid w:val="000A5B0F"/>
    <w:rsid w:val="000A62C0"/>
    <w:rsid w:val="000A650D"/>
    <w:rsid w:val="000A6C50"/>
    <w:rsid w:val="000A7A76"/>
    <w:rsid w:val="000A7DBA"/>
    <w:rsid w:val="000B040F"/>
    <w:rsid w:val="000B0BA6"/>
    <w:rsid w:val="000B25FC"/>
    <w:rsid w:val="000B276D"/>
    <w:rsid w:val="000B2EF7"/>
    <w:rsid w:val="000B478D"/>
    <w:rsid w:val="000B4DAF"/>
    <w:rsid w:val="000B4EAA"/>
    <w:rsid w:val="000B50C3"/>
    <w:rsid w:val="000C0092"/>
    <w:rsid w:val="000C0149"/>
    <w:rsid w:val="000C04CF"/>
    <w:rsid w:val="000C1094"/>
    <w:rsid w:val="000C1B5A"/>
    <w:rsid w:val="000C6FFD"/>
    <w:rsid w:val="000D10DB"/>
    <w:rsid w:val="000D1FC7"/>
    <w:rsid w:val="000D3921"/>
    <w:rsid w:val="000D3B27"/>
    <w:rsid w:val="000D5691"/>
    <w:rsid w:val="000D649C"/>
    <w:rsid w:val="000D6817"/>
    <w:rsid w:val="000D68F4"/>
    <w:rsid w:val="000D6AD4"/>
    <w:rsid w:val="000D6EEF"/>
    <w:rsid w:val="000E0F8F"/>
    <w:rsid w:val="000E1356"/>
    <w:rsid w:val="000E3937"/>
    <w:rsid w:val="000E44C7"/>
    <w:rsid w:val="000E56C3"/>
    <w:rsid w:val="000E69B3"/>
    <w:rsid w:val="000E6EDD"/>
    <w:rsid w:val="000E7140"/>
    <w:rsid w:val="000E7636"/>
    <w:rsid w:val="000E7ED0"/>
    <w:rsid w:val="000E7F69"/>
    <w:rsid w:val="000F0A25"/>
    <w:rsid w:val="000F0EEC"/>
    <w:rsid w:val="000F4547"/>
    <w:rsid w:val="000F4D36"/>
    <w:rsid w:val="000F7409"/>
    <w:rsid w:val="00101553"/>
    <w:rsid w:val="001024E3"/>
    <w:rsid w:val="001025B1"/>
    <w:rsid w:val="001032AB"/>
    <w:rsid w:val="00103526"/>
    <w:rsid w:val="00104889"/>
    <w:rsid w:val="00104896"/>
    <w:rsid w:val="00104C50"/>
    <w:rsid w:val="001063FA"/>
    <w:rsid w:val="00106990"/>
    <w:rsid w:val="00112617"/>
    <w:rsid w:val="001126EB"/>
    <w:rsid w:val="00113149"/>
    <w:rsid w:val="00114527"/>
    <w:rsid w:val="00115009"/>
    <w:rsid w:val="00123ECD"/>
    <w:rsid w:val="00125D3B"/>
    <w:rsid w:val="001267FB"/>
    <w:rsid w:val="00130A27"/>
    <w:rsid w:val="00130DE9"/>
    <w:rsid w:val="00131042"/>
    <w:rsid w:val="0013104F"/>
    <w:rsid w:val="0013178F"/>
    <w:rsid w:val="00131B01"/>
    <w:rsid w:val="00133465"/>
    <w:rsid w:val="0013403C"/>
    <w:rsid w:val="00134FF0"/>
    <w:rsid w:val="001357AD"/>
    <w:rsid w:val="001365B6"/>
    <w:rsid w:val="00137EBA"/>
    <w:rsid w:val="00140921"/>
    <w:rsid w:val="00141DEA"/>
    <w:rsid w:val="00142AE8"/>
    <w:rsid w:val="00143E4B"/>
    <w:rsid w:val="00143EB9"/>
    <w:rsid w:val="00145EDC"/>
    <w:rsid w:val="00147723"/>
    <w:rsid w:val="001503E0"/>
    <w:rsid w:val="00150DD0"/>
    <w:rsid w:val="00152085"/>
    <w:rsid w:val="00152829"/>
    <w:rsid w:val="00152944"/>
    <w:rsid w:val="0015335C"/>
    <w:rsid w:val="00154179"/>
    <w:rsid w:val="00155F1D"/>
    <w:rsid w:val="00157341"/>
    <w:rsid w:val="001577B2"/>
    <w:rsid w:val="00157A9F"/>
    <w:rsid w:val="001600A4"/>
    <w:rsid w:val="0016108B"/>
    <w:rsid w:val="00161150"/>
    <w:rsid w:val="00162AAD"/>
    <w:rsid w:val="00162CEF"/>
    <w:rsid w:val="001638DF"/>
    <w:rsid w:val="0016440B"/>
    <w:rsid w:val="0016465A"/>
    <w:rsid w:val="00166F26"/>
    <w:rsid w:val="00167A34"/>
    <w:rsid w:val="00170952"/>
    <w:rsid w:val="00170976"/>
    <w:rsid w:val="001710D1"/>
    <w:rsid w:val="00171725"/>
    <w:rsid w:val="00172A98"/>
    <w:rsid w:val="001733D5"/>
    <w:rsid w:val="0017348C"/>
    <w:rsid w:val="001739DA"/>
    <w:rsid w:val="001739F5"/>
    <w:rsid w:val="001747B4"/>
    <w:rsid w:val="00174911"/>
    <w:rsid w:val="00174F72"/>
    <w:rsid w:val="00175827"/>
    <w:rsid w:val="0017642E"/>
    <w:rsid w:val="001765FF"/>
    <w:rsid w:val="0018037F"/>
    <w:rsid w:val="001805B4"/>
    <w:rsid w:val="00180D3C"/>
    <w:rsid w:val="00180E3B"/>
    <w:rsid w:val="001819A8"/>
    <w:rsid w:val="00182F27"/>
    <w:rsid w:val="00184083"/>
    <w:rsid w:val="00184C6F"/>
    <w:rsid w:val="00187268"/>
    <w:rsid w:val="00190214"/>
    <w:rsid w:val="001917D9"/>
    <w:rsid w:val="0019332D"/>
    <w:rsid w:val="001937A5"/>
    <w:rsid w:val="001965CC"/>
    <w:rsid w:val="0019748D"/>
    <w:rsid w:val="001A1B32"/>
    <w:rsid w:val="001A2434"/>
    <w:rsid w:val="001A5F27"/>
    <w:rsid w:val="001A6423"/>
    <w:rsid w:val="001A64EB"/>
    <w:rsid w:val="001A7439"/>
    <w:rsid w:val="001A7870"/>
    <w:rsid w:val="001A7EDC"/>
    <w:rsid w:val="001B17B9"/>
    <w:rsid w:val="001B3279"/>
    <w:rsid w:val="001B4974"/>
    <w:rsid w:val="001B56BC"/>
    <w:rsid w:val="001B5F45"/>
    <w:rsid w:val="001B7BA1"/>
    <w:rsid w:val="001C04BF"/>
    <w:rsid w:val="001C1B41"/>
    <w:rsid w:val="001C2003"/>
    <w:rsid w:val="001C2173"/>
    <w:rsid w:val="001C3032"/>
    <w:rsid w:val="001C38BC"/>
    <w:rsid w:val="001C3B2D"/>
    <w:rsid w:val="001C4006"/>
    <w:rsid w:val="001C48AF"/>
    <w:rsid w:val="001C6025"/>
    <w:rsid w:val="001C68E7"/>
    <w:rsid w:val="001C6E0E"/>
    <w:rsid w:val="001C6F52"/>
    <w:rsid w:val="001D1343"/>
    <w:rsid w:val="001D1A17"/>
    <w:rsid w:val="001D1FC1"/>
    <w:rsid w:val="001D4D75"/>
    <w:rsid w:val="001D59B1"/>
    <w:rsid w:val="001D7B45"/>
    <w:rsid w:val="001E0270"/>
    <w:rsid w:val="001E10CA"/>
    <w:rsid w:val="001E2867"/>
    <w:rsid w:val="001E3060"/>
    <w:rsid w:val="001E3F3E"/>
    <w:rsid w:val="001E477E"/>
    <w:rsid w:val="001E4D7D"/>
    <w:rsid w:val="001E53FB"/>
    <w:rsid w:val="001E5A1A"/>
    <w:rsid w:val="001E5F04"/>
    <w:rsid w:val="001E699E"/>
    <w:rsid w:val="001E6C37"/>
    <w:rsid w:val="001F0B72"/>
    <w:rsid w:val="001F1E47"/>
    <w:rsid w:val="001F3B00"/>
    <w:rsid w:val="001F62D9"/>
    <w:rsid w:val="002027D1"/>
    <w:rsid w:val="00202A19"/>
    <w:rsid w:val="00203841"/>
    <w:rsid w:val="00203C1E"/>
    <w:rsid w:val="00204924"/>
    <w:rsid w:val="00204DFD"/>
    <w:rsid w:val="002056C8"/>
    <w:rsid w:val="00207544"/>
    <w:rsid w:val="0021055A"/>
    <w:rsid w:val="00210E0E"/>
    <w:rsid w:val="00213A2F"/>
    <w:rsid w:val="0021591D"/>
    <w:rsid w:val="00215CE2"/>
    <w:rsid w:val="00217D6A"/>
    <w:rsid w:val="0022169F"/>
    <w:rsid w:val="00222050"/>
    <w:rsid w:val="002226AA"/>
    <w:rsid w:val="00223245"/>
    <w:rsid w:val="00225375"/>
    <w:rsid w:val="002256AE"/>
    <w:rsid w:val="002277C3"/>
    <w:rsid w:val="0023061B"/>
    <w:rsid w:val="00231CD1"/>
    <w:rsid w:val="002351E7"/>
    <w:rsid w:val="00236FA5"/>
    <w:rsid w:val="0024070A"/>
    <w:rsid w:val="00241B9E"/>
    <w:rsid w:val="0024247E"/>
    <w:rsid w:val="0024379B"/>
    <w:rsid w:val="00245446"/>
    <w:rsid w:val="00246E7D"/>
    <w:rsid w:val="00247019"/>
    <w:rsid w:val="00247403"/>
    <w:rsid w:val="00247542"/>
    <w:rsid w:val="00247592"/>
    <w:rsid w:val="00250662"/>
    <w:rsid w:val="00250B61"/>
    <w:rsid w:val="00250F0E"/>
    <w:rsid w:val="00250F42"/>
    <w:rsid w:val="00253F1B"/>
    <w:rsid w:val="00255140"/>
    <w:rsid w:val="002552DF"/>
    <w:rsid w:val="0025532E"/>
    <w:rsid w:val="00255475"/>
    <w:rsid w:val="00255759"/>
    <w:rsid w:val="00256813"/>
    <w:rsid w:val="00256D45"/>
    <w:rsid w:val="00257893"/>
    <w:rsid w:val="0026109F"/>
    <w:rsid w:val="0026154C"/>
    <w:rsid w:val="002626A2"/>
    <w:rsid w:val="002626F5"/>
    <w:rsid w:val="00262ECA"/>
    <w:rsid w:val="00263B2B"/>
    <w:rsid w:val="00264033"/>
    <w:rsid w:val="00264870"/>
    <w:rsid w:val="00264944"/>
    <w:rsid w:val="00266092"/>
    <w:rsid w:val="00266B61"/>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4F86"/>
    <w:rsid w:val="00275FC9"/>
    <w:rsid w:val="00276C31"/>
    <w:rsid w:val="0028111A"/>
    <w:rsid w:val="00283909"/>
    <w:rsid w:val="00284E86"/>
    <w:rsid w:val="002869C6"/>
    <w:rsid w:val="00287642"/>
    <w:rsid w:val="00290094"/>
    <w:rsid w:val="00291C7D"/>
    <w:rsid w:val="00292239"/>
    <w:rsid w:val="00292CEC"/>
    <w:rsid w:val="0029397E"/>
    <w:rsid w:val="00293AEB"/>
    <w:rsid w:val="00293B75"/>
    <w:rsid w:val="0029466E"/>
    <w:rsid w:val="00294727"/>
    <w:rsid w:val="00294B4A"/>
    <w:rsid w:val="00294FA9"/>
    <w:rsid w:val="0029615A"/>
    <w:rsid w:val="002963E4"/>
    <w:rsid w:val="0029715B"/>
    <w:rsid w:val="00297288"/>
    <w:rsid w:val="0029754B"/>
    <w:rsid w:val="002A00C2"/>
    <w:rsid w:val="002A036F"/>
    <w:rsid w:val="002A05B1"/>
    <w:rsid w:val="002A1C6E"/>
    <w:rsid w:val="002A1D6A"/>
    <w:rsid w:val="002A24D4"/>
    <w:rsid w:val="002A2720"/>
    <w:rsid w:val="002A3CD5"/>
    <w:rsid w:val="002A733A"/>
    <w:rsid w:val="002A7A01"/>
    <w:rsid w:val="002B008D"/>
    <w:rsid w:val="002B0BE7"/>
    <w:rsid w:val="002B110C"/>
    <w:rsid w:val="002B1184"/>
    <w:rsid w:val="002B2AB5"/>
    <w:rsid w:val="002B30E6"/>
    <w:rsid w:val="002B4B61"/>
    <w:rsid w:val="002B5F8A"/>
    <w:rsid w:val="002C10D7"/>
    <w:rsid w:val="002C1641"/>
    <w:rsid w:val="002C1EB3"/>
    <w:rsid w:val="002C3312"/>
    <w:rsid w:val="002C3671"/>
    <w:rsid w:val="002C3D66"/>
    <w:rsid w:val="002C4070"/>
    <w:rsid w:val="002C58D2"/>
    <w:rsid w:val="002C5A89"/>
    <w:rsid w:val="002C5EC4"/>
    <w:rsid w:val="002D033F"/>
    <w:rsid w:val="002D2118"/>
    <w:rsid w:val="002D45C2"/>
    <w:rsid w:val="002D4CA0"/>
    <w:rsid w:val="002D628F"/>
    <w:rsid w:val="002D6E69"/>
    <w:rsid w:val="002D7DC4"/>
    <w:rsid w:val="002D7EA2"/>
    <w:rsid w:val="002E03A4"/>
    <w:rsid w:val="002E10DC"/>
    <w:rsid w:val="002E15DF"/>
    <w:rsid w:val="002E187C"/>
    <w:rsid w:val="002E18E3"/>
    <w:rsid w:val="002E1CDE"/>
    <w:rsid w:val="002E349E"/>
    <w:rsid w:val="002E35D7"/>
    <w:rsid w:val="002E3C15"/>
    <w:rsid w:val="002E432F"/>
    <w:rsid w:val="002E61E7"/>
    <w:rsid w:val="002E6267"/>
    <w:rsid w:val="002E6E57"/>
    <w:rsid w:val="002E755E"/>
    <w:rsid w:val="002E78C1"/>
    <w:rsid w:val="002E7BE1"/>
    <w:rsid w:val="002E7E79"/>
    <w:rsid w:val="002F097A"/>
    <w:rsid w:val="002F17C9"/>
    <w:rsid w:val="002F1B00"/>
    <w:rsid w:val="002F2D41"/>
    <w:rsid w:val="002F3202"/>
    <w:rsid w:val="002F3554"/>
    <w:rsid w:val="002F3598"/>
    <w:rsid w:val="002F35CB"/>
    <w:rsid w:val="002F3D27"/>
    <w:rsid w:val="002F414B"/>
    <w:rsid w:val="002F443F"/>
    <w:rsid w:val="002F503E"/>
    <w:rsid w:val="002F5E45"/>
    <w:rsid w:val="002F6201"/>
    <w:rsid w:val="002F63D9"/>
    <w:rsid w:val="002F6C1E"/>
    <w:rsid w:val="002F6ECD"/>
    <w:rsid w:val="002F7B0F"/>
    <w:rsid w:val="00301075"/>
    <w:rsid w:val="00301B3D"/>
    <w:rsid w:val="00301F71"/>
    <w:rsid w:val="00302733"/>
    <w:rsid w:val="00303B04"/>
    <w:rsid w:val="0030446B"/>
    <w:rsid w:val="00304EED"/>
    <w:rsid w:val="0030600F"/>
    <w:rsid w:val="00306D2A"/>
    <w:rsid w:val="00307C8D"/>
    <w:rsid w:val="003112C6"/>
    <w:rsid w:val="00311A4F"/>
    <w:rsid w:val="00313332"/>
    <w:rsid w:val="00314078"/>
    <w:rsid w:val="00315905"/>
    <w:rsid w:val="00316559"/>
    <w:rsid w:val="0031724D"/>
    <w:rsid w:val="00317255"/>
    <w:rsid w:val="00317E8A"/>
    <w:rsid w:val="00320402"/>
    <w:rsid w:val="00320A64"/>
    <w:rsid w:val="00321A96"/>
    <w:rsid w:val="00322398"/>
    <w:rsid w:val="00322450"/>
    <w:rsid w:val="003241CF"/>
    <w:rsid w:val="003245A7"/>
    <w:rsid w:val="003246B5"/>
    <w:rsid w:val="003249CF"/>
    <w:rsid w:val="003267B5"/>
    <w:rsid w:val="00327501"/>
    <w:rsid w:val="00330196"/>
    <w:rsid w:val="00330E0E"/>
    <w:rsid w:val="0033161A"/>
    <w:rsid w:val="00331687"/>
    <w:rsid w:val="0033169F"/>
    <w:rsid w:val="00331F29"/>
    <w:rsid w:val="00332152"/>
    <w:rsid w:val="003330D2"/>
    <w:rsid w:val="00336085"/>
    <w:rsid w:val="00337546"/>
    <w:rsid w:val="003378E0"/>
    <w:rsid w:val="00337961"/>
    <w:rsid w:val="00337C43"/>
    <w:rsid w:val="003407E0"/>
    <w:rsid w:val="00340A95"/>
    <w:rsid w:val="003410A6"/>
    <w:rsid w:val="003414AC"/>
    <w:rsid w:val="003414E6"/>
    <w:rsid w:val="00341D3C"/>
    <w:rsid w:val="00342070"/>
    <w:rsid w:val="003447BB"/>
    <w:rsid w:val="00344B38"/>
    <w:rsid w:val="00346D16"/>
    <w:rsid w:val="003472AC"/>
    <w:rsid w:val="00347742"/>
    <w:rsid w:val="003520F3"/>
    <w:rsid w:val="0035485A"/>
    <w:rsid w:val="00355779"/>
    <w:rsid w:val="00356185"/>
    <w:rsid w:val="00357206"/>
    <w:rsid w:val="00357C4D"/>
    <w:rsid w:val="00357D78"/>
    <w:rsid w:val="00360380"/>
    <w:rsid w:val="0036137D"/>
    <w:rsid w:val="00361EB7"/>
    <w:rsid w:val="00362FE0"/>
    <w:rsid w:val="0036346A"/>
    <w:rsid w:val="00365D52"/>
    <w:rsid w:val="00366182"/>
    <w:rsid w:val="00366DBE"/>
    <w:rsid w:val="00367444"/>
    <w:rsid w:val="003675B8"/>
    <w:rsid w:val="0036775E"/>
    <w:rsid w:val="00370DD4"/>
    <w:rsid w:val="003712A0"/>
    <w:rsid w:val="003712A7"/>
    <w:rsid w:val="00371EFD"/>
    <w:rsid w:val="00372F8E"/>
    <w:rsid w:val="00373790"/>
    <w:rsid w:val="003741EF"/>
    <w:rsid w:val="003745F9"/>
    <w:rsid w:val="00374940"/>
    <w:rsid w:val="003750C8"/>
    <w:rsid w:val="003759D2"/>
    <w:rsid w:val="00376244"/>
    <w:rsid w:val="00376462"/>
    <w:rsid w:val="00377AD8"/>
    <w:rsid w:val="00380645"/>
    <w:rsid w:val="00380A1D"/>
    <w:rsid w:val="00380B68"/>
    <w:rsid w:val="00380ECF"/>
    <w:rsid w:val="0038209A"/>
    <w:rsid w:val="00382598"/>
    <w:rsid w:val="00382CE7"/>
    <w:rsid w:val="0038330F"/>
    <w:rsid w:val="00384072"/>
    <w:rsid w:val="0038421B"/>
    <w:rsid w:val="00385B08"/>
    <w:rsid w:val="00386CF0"/>
    <w:rsid w:val="00386FEA"/>
    <w:rsid w:val="003902B2"/>
    <w:rsid w:val="0039061F"/>
    <w:rsid w:val="00390D19"/>
    <w:rsid w:val="00391CD8"/>
    <w:rsid w:val="00393C8E"/>
    <w:rsid w:val="00394608"/>
    <w:rsid w:val="0039471C"/>
    <w:rsid w:val="00394A5D"/>
    <w:rsid w:val="00396106"/>
    <w:rsid w:val="003964BF"/>
    <w:rsid w:val="003A187E"/>
    <w:rsid w:val="003A1AE3"/>
    <w:rsid w:val="003A27F4"/>
    <w:rsid w:val="003A2DC1"/>
    <w:rsid w:val="003A3C43"/>
    <w:rsid w:val="003A4790"/>
    <w:rsid w:val="003A485E"/>
    <w:rsid w:val="003A4B42"/>
    <w:rsid w:val="003A527A"/>
    <w:rsid w:val="003A6019"/>
    <w:rsid w:val="003A632E"/>
    <w:rsid w:val="003A71F1"/>
    <w:rsid w:val="003A7BFE"/>
    <w:rsid w:val="003B2C86"/>
    <w:rsid w:val="003B349D"/>
    <w:rsid w:val="003B3E94"/>
    <w:rsid w:val="003B5C8C"/>
    <w:rsid w:val="003B63A0"/>
    <w:rsid w:val="003B640E"/>
    <w:rsid w:val="003B6423"/>
    <w:rsid w:val="003B66DC"/>
    <w:rsid w:val="003B6950"/>
    <w:rsid w:val="003C1141"/>
    <w:rsid w:val="003C32BC"/>
    <w:rsid w:val="003C3722"/>
    <w:rsid w:val="003C4BC0"/>
    <w:rsid w:val="003C54AD"/>
    <w:rsid w:val="003C6480"/>
    <w:rsid w:val="003C7061"/>
    <w:rsid w:val="003D0C05"/>
    <w:rsid w:val="003D0D3E"/>
    <w:rsid w:val="003D1E49"/>
    <w:rsid w:val="003D2871"/>
    <w:rsid w:val="003D2C7F"/>
    <w:rsid w:val="003D3435"/>
    <w:rsid w:val="003D3507"/>
    <w:rsid w:val="003D3CAC"/>
    <w:rsid w:val="003D3E1C"/>
    <w:rsid w:val="003D40A7"/>
    <w:rsid w:val="003D4A67"/>
    <w:rsid w:val="003D51A2"/>
    <w:rsid w:val="003D5A38"/>
    <w:rsid w:val="003D5CD7"/>
    <w:rsid w:val="003D5F18"/>
    <w:rsid w:val="003D79BC"/>
    <w:rsid w:val="003E06A3"/>
    <w:rsid w:val="003E0852"/>
    <w:rsid w:val="003E1FEC"/>
    <w:rsid w:val="003E2564"/>
    <w:rsid w:val="003E366F"/>
    <w:rsid w:val="003E4D93"/>
    <w:rsid w:val="003E4E8A"/>
    <w:rsid w:val="003E520F"/>
    <w:rsid w:val="003E60B8"/>
    <w:rsid w:val="003E65E7"/>
    <w:rsid w:val="003E68BB"/>
    <w:rsid w:val="003E6FB6"/>
    <w:rsid w:val="003E70A6"/>
    <w:rsid w:val="003E7380"/>
    <w:rsid w:val="003F0153"/>
    <w:rsid w:val="003F03FA"/>
    <w:rsid w:val="003F0B2B"/>
    <w:rsid w:val="003F1230"/>
    <w:rsid w:val="003F1BBF"/>
    <w:rsid w:val="003F2D46"/>
    <w:rsid w:val="003F6707"/>
    <w:rsid w:val="003F7001"/>
    <w:rsid w:val="003F7161"/>
    <w:rsid w:val="00400E6B"/>
    <w:rsid w:val="00400EA4"/>
    <w:rsid w:val="004010E9"/>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3B37"/>
    <w:rsid w:val="004142F6"/>
    <w:rsid w:val="00415BAE"/>
    <w:rsid w:val="004165C2"/>
    <w:rsid w:val="00417263"/>
    <w:rsid w:val="00417356"/>
    <w:rsid w:val="0041797E"/>
    <w:rsid w:val="00423909"/>
    <w:rsid w:val="00426A93"/>
    <w:rsid w:val="00426DB7"/>
    <w:rsid w:val="00427406"/>
    <w:rsid w:val="0042749C"/>
    <w:rsid w:val="00432731"/>
    <w:rsid w:val="004332C3"/>
    <w:rsid w:val="00436C66"/>
    <w:rsid w:val="00440B14"/>
    <w:rsid w:val="00440E90"/>
    <w:rsid w:val="004413C0"/>
    <w:rsid w:val="00441D48"/>
    <w:rsid w:val="00444596"/>
    <w:rsid w:val="00445C74"/>
    <w:rsid w:val="00446F15"/>
    <w:rsid w:val="0044706E"/>
    <w:rsid w:val="00447468"/>
    <w:rsid w:val="00447B8F"/>
    <w:rsid w:val="00450A4A"/>
    <w:rsid w:val="00450D96"/>
    <w:rsid w:val="00453466"/>
    <w:rsid w:val="00454492"/>
    <w:rsid w:val="0045481D"/>
    <w:rsid w:val="00455165"/>
    <w:rsid w:val="0045524E"/>
    <w:rsid w:val="00457228"/>
    <w:rsid w:val="00457B89"/>
    <w:rsid w:val="0046041C"/>
    <w:rsid w:val="004606C0"/>
    <w:rsid w:val="0046072C"/>
    <w:rsid w:val="0046208F"/>
    <w:rsid w:val="00462248"/>
    <w:rsid w:val="00462781"/>
    <w:rsid w:val="00462F9A"/>
    <w:rsid w:val="004642EF"/>
    <w:rsid w:val="0046574C"/>
    <w:rsid w:val="004666FB"/>
    <w:rsid w:val="00467542"/>
    <w:rsid w:val="00467B7E"/>
    <w:rsid w:val="00467CF1"/>
    <w:rsid w:val="0047006D"/>
    <w:rsid w:val="00471BC8"/>
    <w:rsid w:val="004730AF"/>
    <w:rsid w:val="00476B10"/>
    <w:rsid w:val="00476DF6"/>
    <w:rsid w:val="00477BE3"/>
    <w:rsid w:val="00477D29"/>
    <w:rsid w:val="0048119E"/>
    <w:rsid w:val="00481C1F"/>
    <w:rsid w:val="00482208"/>
    <w:rsid w:val="00482528"/>
    <w:rsid w:val="00482644"/>
    <w:rsid w:val="00483146"/>
    <w:rsid w:val="00483697"/>
    <w:rsid w:val="00483974"/>
    <w:rsid w:val="00483D9E"/>
    <w:rsid w:val="00484B2F"/>
    <w:rsid w:val="00484F80"/>
    <w:rsid w:val="004850C2"/>
    <w:rsid w:val="00486A15"/>
    <w:rsid w:val="0048701C"/>
    <w:rsid w:val="004907E1"/>
    <w:rsid w:val="00490BE7"/>
    <w:rsid w:val="00490C98"/>
    <w:rsid w:val="0049419D"/>
    <w:rsid w:val="00495029"/>
    <w:rsid w:val="00495396"/>
    <w:rsid w:val="00495CD7"/>
    <w:rsid w:val="004962B8"/>
    <w:rsid w:val="00496687"/>
    <w:rsid w:val="00496C69"/>
    <w:rsid w:val="00496DBC"/>
    <w:rsid w:val="0049749D"/>
    <w:rsid w:val="004977D3"/>
    <w:rsid w:val="00497D68"/>
    <w:rsid w:val="004A0977"/>
    <w:rsid w:val="004A17A5"/>
    <w:rsid w:val="004A1B66"/>
    <w:rsid w:val="004A1EEA"/>
    <w:rsid w:val="004A2B9D"/>
    <w:rsid w:val="004A37A5"/>
    <w:rsid w:val="004A3806"/>
    <w:rsid w:val="004A3DC4"/>
    <w:rsid w:val="004A4A3E"/>
    <w:rsid w:val="004A4DB0"/>
    <w:rsid w:val="004A514F"/>
    <w:rsid w:val="004B2762"/>
    <w:rsid w:val="004B2DE8"/>
    <w:rsid w:val="004B388C"/>
    <w:rsid w:val="004B40A9"/>
    <w:rsid w:val="004B45B7"/>
    <w:rsid w:val="004B4E6F"/>
    <w:rsid w:val="004B7EB6"/>
    <w:rsid w:val="004C0FE4"/>
    <w:rsid w:val="004C17B4"/>
    <w:rsid w:val="004C4B62"/>
    <w:rsid w:val="004C599D"/>
    <w:rsid w:val="004C68B8"/>
    <w:rsid w:val="004C7257"/>
    <w:rsid w:val="004C758F"/>
    <w:rsid w:val="004C77DC"/>
    <w:rsid w:val="004C7EE2"/>
    <w:rsid w:val="004D0229"/>
    <w:rsid w:val="004D37B1"/>
    <w:rsid w:val="004D4782"/>
    <w:rsid w:val="004D4A6A"/>
    <w:rsid w:val="004D4D1B"/>
    <w:rsid w:val="004D6025"/>
    <w:rsid w:val="004D657F"/>
    <w:rsid w:val="004D72BC"/>
    <w:rsid w:val="004D78B4"/>
    <w:rsid w:val="004E2452"/>
    <w:rsid w:val="004E3A16"/>
    <w:rsid w:val="004E4761"/>
    <w:rsid w:val="004E6C9C"/>
    <w:rsid w:val="004F04A5"/>
    <w:rsid w:val="004F0842"/>
    <w:rsid w:val="004F15C4"/>
    <w:rsid w:val="004F16E8"/>
    <w:rsid w:val="004F1DAD"/>
    <w:rsid w:val="004F2694"/>
    <w:rsid w:val="004F2FC4"/>
    <w:rsid w:val="004F37CA"/>
    <w:rsid w:val="004F3905"/>
    <w:rsid w:val="004F441A"/>
    <w:rsid w:val="004F4C1C"/>
    <w:rsid w:val="004F530D"/>
    <w:rsid w:val="004F5466"/>
    <w:rsid w:val="004F6949"/>
    <w:rsid w:val="004F69EA"/>
    <w:rsid w:val="004F69ED"/>
    <w:rsid w:val="005008C7"/>
    <w:rsid w:val="00501399"/>
    <w:rsid w:val="00501DFB"/>
    <w:rsid w:val="00502E35"/>
    <w:rsid w:val="00503C4C"/>
    <w:rsid w:val="0050536C"/>
    <w:rsid w:val="00505B63"/>
    <w:rsid w:val="005066A4"/>
    <w:rsid w:val="005068B0"/>
    <w:rsid w:val="00507534"/>
    <w:rsid w:val="00507BC4"/>
    <w:rsid w:val="00510311"/>
    <w:rsid w:val="005128E4"/>
    <w:rsid w:val="00512A35"/>
    <w:rsid w:val="00513229"/>
    <w:rsid w:val="005152B7"/>
    <w:rsid w:val="00516BBE"/>
    <w:rsid w:val="00520369"/>
    <w:rsid w:val="00521909"/>
    <w:rsid w:val="005223AF"/>
    <w:rsid w:val="00523977"/>
    <w:rsid w:val="00524268"/>
    <w:rsid w:val="00524748"/>
    <w:rsid w:val="00525278"/>
    <w:rsid w:val="00525560"/>
    <w:rsid w:val="00525C32"/>
    <w:rsid w:val="00525F05"/>
    <w:rsid w:val="00526204"/>
    <w:rsid w:val="005267AC"/>
    <w:rsid w:val="00527461"/>
    <w:rsid w:val="00530295"/>
    <w:rsid w:val="00530B2B"/>
    <w:rsid w:val="00531008"/>
    <w:rsid w:val="0053187E"/>
    <w:rsid w:val="005325F6"/>
    <w:rsid w:val="005343C0"/>
    <w:rsid w:val="005346E1"/>
    <w:rsid w:val="00535135"/>
    <w:rsid w:val="005357A6"/>
    <w:rsid w:val="0053592E"/>
    <w:rsid w:val="00535FF9"/>
    <w:rsid w:val="005366E5"/>
    <w:rsid w:val="005367D0"/>
    <w:rsid w:val="00536848"/>
    <w:rsid w:val="00536B9E"/>
    <w:rsid w:val="005401F2"/>
    <w:rsid w:val="00540AEC"/>
    <w:rsid w:val="00541B01"/>
    <w:rsid w:val="005422EF"/>
    <w:rsid w:val="005430A6"/>
    <w:rsid w:val="00543705"/>
    <w:rsid w:val="005439C3"/>
    <w:rsid w:val="00544C49"/>
    <w:rsid w:val="0054561F"/>
    <w:rsid w:val="005456B2"/>
    <w:rsid w:val="0054591A"/>
    <w:rsid w:val="00547EB7"/>
    <w:rsid w:val="00550141"/>
    <w:rsid w:val="0055160C"/>
    <w:rsid w:val="005531BB"/>
    <w:rsid w:val="00553EC6"/>
    <w:rsid w:val="00554BAB"/>
    <w:rsid w:val="005557F2"/>
    <w:rsid w:val="00555A6E"/>
    <w:rsid w:val="00557C07"/>
    <w:rsid w:val="005627FD"/>
    <w:rsid w:val="00562E4A"/>
    <w:rsid w:val="005633E7"/>
    <w:rsid w:val="00563F04"/>
    <w:rsid w:val="0056432A"/>
    <w:rsid w:val="00565B4B"/>
    <w:rsid w:val="005706EF"/>
    <w:rsid w:val="00570AF2"/>
    <w:rsid w:val="00571247"/>
    <w:rsid w:val="0057402A"/>
    <w:rsid w:val="00574148"/>
    <w:rsid w:val="005744A4"/>
    <w:rsid w:val="005755D5"/>
    <w:rsid w:val="005764DD"/>
    <w:rsid w:val="00576832"/>
    <w:rsid w:val="005771D0"/>
    <w:rsid w:val="0058022B"/>
    <w:rsid w:val="00582750"/>
    <w:rsid w:val="0058343A"/>
    <w:rsid w:val="00584C28"/>
    <w:rsid w:val="00585DED"/>
    <w:rsid w:val="00587964"/>
    <w:rsid w:val="005902A3"/>
    <w:rsid w:val="0059066D"/>
    <w:rsid w:val="00590BF3"/>
    <w:rsid w:val="00590C43"/>
    <w:rsid w:val="005910C0"/>
    <w:rsid w:val="005916E2"/>
    <w:rsid w:val="0059191A"/>
    <w:rsid w:val="00591B96"/>
    <w:rsid w:val="00591F60"/>
    <w:rsid w:val="005921FF"/>
    <w:rsid w:val="0059318E"/>
    <w:rsid w:val="005937E2"/>
    <w:rsid w:val="00594CE1"/>
    <w:rsid w:val="00595766"/>
    <w:rsid w:val="00596514"/>
    <w:rsid w:val="0059670F"/>
    <w:rsid w:val="00596ABE"/>
    <w:rsid w:val="00596AD3"/>
    <w:rsid w:val="00596F42"/>
    <w:rsid w:val="00597162"/>
    <w:rsid w:val="0059770B"/>
    <w:rsid w:val="00597C8A"/>
    <w:rsid w:val="005A0410"/>
    <w:rsid w:val="005A2E9B"/>
    <w:rsid w:val="005A482E"/>
    <w:rsid w:val="005A6205"/>
    <w:rsid w:val="005A6D0E"/>
    <w:rsid w:val="005A6E50"/>
    <w:rsid w:val="005A734E"/>
    <w:rsid w:val="005B0001"/>
    <w:rsid w:val="005B222D"/>
    <w:rsid w:val="005B28A7"/>
    <w:rsid w:val="005B3DEC"/>
    <w:rsid w:val="005B3EF2"/>
    <w:rsid w:val="005B52B0"/>
    <w:rsid w:val="005B67DE"/>
    <w:rsid w:val="005B6806"/>
    <w:rsid w:val="005B711D"/>
    <w:rsid w:val="005C00F9"/>
    <w:rsid w:val="005C05FA"/>
    <w:rsid w:val="005C164F"/>
    <w:rsid w:val="005C1853"/>
    <w:rsid w:val="005C1A8D"/>
    <w:rsid w:val="005C1D8E"/>
    <w:rsid w:val="005C207A"/>
    <w:rsid w:val="005C23BD"/>
    <w:rsid w:val="005C2BA2"/>
    <w:rsid w:val="005C2E02"/>
    <w:rsid w:val="005C3149"/>
    <w:rsid w:val="005C4011"/>
    <w:rsid w:val="005C4225"/>
    <w:rsid w:val="005C4AF4"/>
    <w:rsid w:val="005C5F93"/>
    <w:rsid w:val="005D0AC5"/>
    <w:rsid w:val="005D0FBF"/>
    <w:rsid w:val="005D1076"/>
    <w:rsid w:val="005D50AD"/>
    <w:rsid w:val="005D55A5"/>
    <w:rsid w:val="005D5C54"/>
    <w:rsid w:val="005D5DED"/>
    <w:rsid w:val="005D6891"/>
    <w:rsid w:val="005D6A03"/>
    <w:rsid w:val="005D6AC4"/>
    <w:rsid w:val="005D6B2C"/>
    <w:rsid w:val="005D7191"/>
    <w:rsid w:val="005D7280"/>
    <w:rsid w:val="005E09BC"/>
    <w:rsid w:val="005E1D4B"/>
    <w:rsid w:val="005E2BDE"/>
    <w:rsid w:val="005E4A95"/>
    <w:rsid w:val="005E5196"/>
    <w:rsid w:val="005E5258"/>
    <w:rsid w:val="005E5419"/>
    <w:rsid w:val="005E6C0C"/>
    <w:rsid w:val="005E6EE3"/>
    <w:rsid w:val="005E74C5"/>
    <w:rsid w:val="005E7642"/>
    <w:rsid w:val="005F0F33"/>
    <w:rsid w:val="005F1C54"/>
    <w:rsid w:val="005F2A0D"/>
    <w:rsid w:val="005F32A0"/>
    <w:rsid w:val="005F3F11"/>
    <w:rsid w:val="005F5456"/>
    <w:rsid w:val="005F55DC"/>
    <w:rsid w:val="005F7C35"/>
    <w:rsid w:val="0060040E"/>
    <w:rsid w:val="006005C1"/>
    <w:rsid w:val="00600A96"/>
    <w:rsid w:val="00600DEB"/>
    <w:rsid w:val="00600EE3"/>
    <w:rsid w:val="00602146"/>
    <w:rsid w:val="00602B9B"/>
    <w:rsid w:val="00603D6F"/>
    <w:rsid w:val="00604B83"/>
    <w:rsid w:val="006059FA"/>
    <w:rsid w:val="00607F83"/>
    <w:rsid w:val="006112EF"/>
    <w:rsid w:val="00613027"/>
    <w:rsid w:val="00613120"/>
    <w:rsid w:val="00613A08"/>
    <w:rsid w:val="0061412F"/>
    <w:rsid w:val="00614153"/>
    <w:rsid w:val="00614AE8"/>
    <w:rsid w:val="00615073"/>
    <w:rsid w:val="0061546B"/>
    <w:rsid w:val="00616320"/>
    <w:rsid w:val="00617156"/>
    <w:rsid w:val="006206FF"/>
    <w:rsid w:val="00620A30"/>
    <w:rsid w:val="00620A65"/>
    <w:rsid w:val="00620B75"/>
    <w:rsid w:val="006225B7"/>
    <w:rsid w:val="00623324"/>
    <w:rsid w:val="006238CB"/>
    <w:rsid w:val="00624716"/>
    <w:rsid w:val="006247DB"/>
    <w:rsid w:val="00624E66"/>
    <w:rsid w:val="00626360"/>
    <w:rsid w:val="006263C9"/>
    <w:rsid w:val="006263CE"/>
    <w:rsid w:val="00626A1D"/>
    <w:rsid w:val="00627A51"/>
    <w:rsid w:val="00627C9F"/>
    <w:rsid w:val="006307DF"/>
    <w:rsid w:val="00630B42"/>
    <w:rsid w:val="00630C75"/>
    <w:rsid w:val="00630F01"/>
    <w:rsid w:val="00630F7D"/>
    <w:rsid w:val="006311DA"/>
    <w:rsid w:val="006311E9"/>
    <w:rsid w:val="006322B9"/>
    <w:rsid w:val="00632354"/>
    <w:rsid w:val="00632429"/>
    <w:rsid w:val="00632BF2"/>
    <w:rsid w:val="00633261"/>
    <w:rsid w:val="006354CD"/>
    <w:rsid w:val="00636406"/>
    <w:rsid w:val="00636E0C"/>
    <w:rsid w:val="00636F4A"/>
    <w:rsid w:val="00637539"/>
    <w:rsid w:val="00637B7B"/>
    <w:rsid w:val="00637E84"/>
    <w:rsid w:val="00640173"/>
    <w:rsid w:val="006418C1"/>
    <w:rsid w:val="006420B7"/>
    <w:rsid w:val="00642810"/>
    <w:rsid w:val="00643F66"/>
    <w:rsid w:val="006458AD"/>
    <w:rsid w:val="0064712F"/>
    <w:rsid w:val="0064793C"/>
    <w:rsid w:val="00650FA3"/>
    <w:rsid w:val="006516A4"/>
    <w:rsid w:val="006516FE"/>
    <w:rsid w:val="00651D1D"/>
    <w:rsid w:val="00651F2A"/>
    <w:rsid w:val="00652333"/>
    <w:rsid w:val="006549A4"/>
    <w:rsid w:val="00656085"/>
    <w:rsid w:val="00656FE7"/>
    <w:rsid w:val="0065765B"/>
    <w:rsid w:val="006605AC"/>
    <w:rsid w:val="00662F5D"/>
    <w:rsid w:val="006634C1"/>
    <w:rsid w:val="00664C08"/>
    <w:rsid w:val="00664DDE"/>
    <w:rsid w:val="00666536"/>
    <w:rsid w:val="00666AEF"/>
    <w:rsid w:val="0067329C"/>
    <w:rsid w:val="00674465"/>
    <w:rsid w:val="0067472A"/>
    <w:rsid w:val="00677938"/>
    <w:rsid w:val="0068009E"/>
    <w:rsid w:val="00683305"/>
    <w:rsid w:val="00684434"/>
    <w:rsid w:val="006847BC"/>
    <w:rsid w:val="006849BF"/>
    <w:rsid w:val="00685184"/>
    <w:rsid w:val="00687432"/>
    <w:rsid w:val="00687725"/>
    <w:rsid w:val="006901ED"/>
    <w:rsid w:val="0069244C"/>
    <w:rsid w:val="00692996"/>
    <w:rsid w:val="00692A55"/>
    <w:rsid w:val="0069578C"/>
    <w:rsid w:val="006972FB"/>
    <w:rsid w:val="006A0548"/>
    <w:rsid w:val="006A0F00"/>
    <w:rsid w:val="006A0F77"/>
    <w:rsid w:val="006A11FD"/>
    <w:rsid w:val="006A17D2"/>
    <w:rsid w:val="006A3B33"/>
    <w:rsid w:val="006A508B"/>
    <w:rsid w:val="006A538E"/>
    <w:rsid w:val="006A58D1"/>
    <w:rsid w:val="006A5C07"/>
    <w:rsid w:val="006A6E1A"/>
    <w:rsid w:val="006A70B4"/>
    <w:rsid w:val="006A73E6"/>
    <w:rsid w:val="006A7408"/>
    <w:rsid w:val="006A7764"/>
    <w:rsid w:val="006B0169"/>
    <w:rsid w:val="006B130C"/>
    <w:rsid w:val="006B17B3"/>
    <w:rsid w:val="006B248C"/>
    <w:rsid w:val="006B2623"/>
    <w:rsid w:val="006B265D"/>
    <w:rsid w:val="006B295E"/>
    <w:rsid w:val="006B2D5C"/>
    <w:rsid w:val="006B4324"/>
    <w:rsid w:val="006B544B"/>
    <w:rsid w:val="006B6D64"/>
    <w:rsid w:val="006B6FFA"/>
    <w:rsid w:val="006C0F5D"/>
    <w:rsid w:val="006C1815"/>
    <w:rsid w:val="006C2346"/>
    <w:rsid w:val="006C2B38"/>
    <w:rsid w:val="006C4233"/>
    <w:rsid w:val="006C4596"/>
    <w:rsid w:val="006C4EB1"/>
    <w:rsid w:val="006C6E31"/>
    <w:rsid w:val="006C7E62"/>
    <w:rsid w:val="006D0195"/>
    <w:rsid w:val="006D01E3"/>
    <w:rsid w:val="006D0424"/>
    <w:rsid w:val="006D1A3C"/>
    <w:rsid w:val="006D2C28"/>
    <w:rsid w:val="006D2D13"/>
    <w:rsid w:val="006D48BB"/>
    <w:rsid w:val="006D5D5D"/>
    <w:rsid w:val="006D6E36"/>
    <w:rsid w:val="006D7976"/>
    <w:rsid w:val="006E00AB"/>
    <w:rsid w:val="006E0166"/>
    <w:rsid w:val="006E1163"/>
    <w:rsid w:val="006E18B8"/>
    <w:rsid w:val="006E35A0"/>
    <w:rsid w:val="006E4B61"/>
    <w:rsid w:val="006E4CCE"/>
    <w:rsid w:val="006E5C58"/>
    <w:rsid w:val="006E6048"/>
    <w:rsid w:val="006E67F6"/>
    <w:rsid w:val="006E6C78"/>
    <w:rsid w:val="006E6F1E"/>
    <w:rsid w:val="006E7B34"/>
    <w:rsid w:val="006E7EA4"/>
    <w:rsid w:val="006F157C"/>
    <w:rsid w:val="006F3590"/>
    <w:rsid w:val="006F3597"/>
    <w:rsid w:val="006F374D"/>
    <w:rsid w:val="006F672E"/>
    <w:rsid w:val="006F7488"/>
    <w:rsid w:val="0070045F"/>
    <w:rsid w:val="00700471"/>
    <w:rsid w:val="00700C65"/>
    <w:rsid w:val="00701610"/>
    <w:rsid w:val="00701B24"/>
    <w:rsid w:val="00702565"/>
    <w:rsid w:val="0070267B"/>
    <w:rsid w:val="00702A7C"/>
    <w:rsid w:val="00702CD7"/>
    <w:rsid w:val="00702DE6"/>
    <w:rsid w:val="00702EA5"/>
    <w:rsid w:val="00703F90"/>
    <w:rsid w:val="0070404E"/>
    <w:rsid w:val="00704098"/>
    <w:rsid w:val="0070456C"/>
    <w:rsid w:val="0070603C"/>
    <w:rsid w:val="00706591"/>
    <w:rsid w:val="00706698"/>
    <w:rsid w:val="00706D7E"/>
    <w:rsid w:val="00707486"/>
    <w:rsid w:val="00707BAF"/>
    <w:rsid w:val="00707E8E"/>
    <w:rsid w:val="00710376"/>
    <w:rsid w:val="00710ED5"/>
    <w:rsid w:val="00711137"/>
    <w:rsid w:val="007140C0"/>
    <w:rsid w:val="00715928"/>
    <w:rsid w:val="00716BEC"/>
    <w:rsid w:val="00716D62"/>
    <w:rsid w:val="00717B70"/>
    <w:rsid w:val="0072003B"/>
    <w:rsid w:val="0072130B"/>
    <w:rsid w:val="0072335A"/>
    <w:rsid w:val="007237C3"/>
    <w:rsid w:val="0072472F"/>
    <w:rsid w:val="007247E2"/>
    <w:rsid w:val="00725EA9"/>
    <w:rsid w:val="00727D80"/>
    <w:rsid w:val="00730731"/>
    <w:rsid w:val="00731DA0"/>
    <w:rsid w:val="007359CB"/>
    <w:rsid w:val="00737A15"/>
    <w:rsid w:val="007400D8"/>
    <w:rsid w:val="0074145C"/>
    <w:rsid w:val="00741D4C"/>
    <w:rsid w:val="007433B0"/>
    <w:rsid w:val="007451C8"/>
    <w:rsid w:val="0074535C"/>
    <w:rsid w:val="0074572F"/>
    <w:rsid w:val="0074581C"/>
    <w:rsid w:val="00745899"/>
    <w:rsid w:val="00750078"/>
    <w:rsid w:val="00750568"/>
    <w:rsid w:val="00750BB6"/>
    <w:rsid w:val="00751379"/>
    <w:rsid w:val="0075164B"/>
    <w:rsid w:val="007538FC"/>
    <w:rsid w:val="00754A2A"/>
    <w:rsid w:val="00754E95"/>
    <w:rsid w:val="00755F05"/>
    <w:rsid w:val="007561AD"/>
    <w:rsid w:val="007570FA"/>
    <w:rsid w:val="00757F66"/>
    <w:rsid w:val="007607C4"/>
    <w:rsid w:val="007607EC"/>
    <w:rsid w:val="00761A58"/>
    <w:rsid w:val="00762A2F"/>
    <w:rsid w:val="007649AF"/>
    <w:rsid w:val="00765584"/>
    <w:rsid w:val="00765CB7"/>
    <w:rsid w:val="0076643F"/>
    <w:rsid w:val="00771045"/>
    <w:rsid w:val="00771205"/>
    <w:rsid w:val="00773C5A"/>
    <w:rsid w:val="00774375"/>
    <w:rsid w:val="007744CC"/>
    <w:rsid w:val="007771C5"/>
    <w:rsid w:val="007776FF"/>
    <w:rsid w:val="0078069F"/>
    <w:rsid w:val="007809DA"/>
    <w:rsid w:val="00780ED7"/>
    <w:rsid w:val="00781C89"/>
    <w:rsid w:val="007820BB"/>
    <w:rsid w:val="00782E68"/>
    <w:rsid w:val="0078426B"/>
    <w:rsid w:val="00784600"/>
    <w:rsid w:val="00784DE5"/>
    <w:rsid w:val="00784FEC"/>
    <w:rsid w:val="0078587E"/>
    <w:rsid w:val="0078595F"/>
    <w:rsid w:val="00785F8D"/>
    <w:rsid w:val="00786501"/>
    <w:rsid w:val="00790499"/>
    <w:rsid w:val="0079228E"/>
    <w:rsid w:val="007928DA"/>
    <w:rsid w:val="00793A12"/>
    <w:rsid w:val="00795940"/>
    <w:rsid w:val="00795E01"/>
    <w:rsid w:val="00796E7A"/>
    <w:rsid w:val="007977A5"/>
    <w:rsid w:val="007A13D7"/>
    <w:rsid w:val="007A17C8"/>
    <w:rsid w:val="007A18EB"/>
    <w:rsid w:val="007A2423"/>
    <w:rsid w:val="007A2EC7"/>
    <w:rsid w:val="007A2F70"/>
    <w:rsid w:val="007A3293"/>
    <w:rsid w:val="007A3478"/>
    <w:rsid w:val="007A4240"/>
    <w:rsid w:val="007A4980"/>
    <w:rsid w:val="007A57A6"/>
    <w:rsid w:val="007A7F31"/>
    <w:rsid w:val="007B04BF"/>
    <w:rsid w:val="007B186C"/>
    <w:rsid w:val="007B19A1"/>
    <w:rsid w:val="007B19FE"/>
    <w:rsid w:val="007B1B6A"/>
    <w:rsid w:val="007B2769"/>
    <w:rsid w:val="007B3C72"/>
    <w:rsid w:val="007B430B"/>
    <w:rsid w:val="007B4826"/>
    <w:rsid w:val="007B4C00"/>
    <w:rsid w:val="007B5867"/>
    <w:rsid w:val="007B6279"/>
    <w:rsid w:val="007B6C22"/>
    <w:rsid w:val="007B762A"/>
    <w:rsid w:val="007C10AC"/>
    <w:rsid w:val="007C16AB"/>
    <w:rsid w:val="007C22DF"/>
    <w:rsid w:val="007C3334"/>
    <w:rsid w:val="007C3481"/>
    <w:rsid w:val="007C50F6"/>
    <w:rsid w:val="007C52BB"/>
    <w:rsid w:val="007C5476"/>
    <w:rsid w:val="007C58E8"/>
    <w:rsid w:val="007C7402"/>
    <w:rsid w:val="007C757E"/>
    <w:rsid w:val="007C798F"/>
    <w:rsid w:val="007C7B95"/>
    <w:rsid w:val="007D0207"/>
    <w:rsid w:val="007D0309"/>
    <w:rsid w:val="007D06CB"/>
    <w:rsid w:val="007D278F"/>
    <w:rsid w:val="007D2B98"/>
    <w:rsid w:val="007D2FEE"/>
    <w:rsid w:val="007D3E9B"/>
    <w:rsid w:val="007D4C93"/>
    <w:rsid w:val="007D4FA5"/>
    <w:rsid w:val="007D69AC"/>
    <w:rsid w:val="007E13CE"/>
    <w:rsid w:val="007E1856"/>
    <w:rsid w:val="007E42C4"/>
    <w:rsid w:val="007E5338"/>
    <w:rsid w:val="007E6DAC"/>
    <w:rsid w:val="007E783F"/>
    <w:rsid w:val="007F05E6"/>
    <w:rsid w:val="007F074A"/>
    <w:rsid w:val="007F410D"/>
    <w:rsid w:val="007F42BF"/>
    <w:rsid w:val="007F4A54"/>
    <w:rsid w:val="007F4B82"/>
    <w:rsid w:val="007F4F2C"/>
    <w:rsid w:val="007F4FE2"/>
    <w:rsid w:val="00800983"/>
    <w:rsid w:val="00800E57"/>
    <w:rsid w:val="00801B96"/>
    <w:rsid w:val="0080393B"/>
    <w:rsid w:val="00803F1C"/>
    <w:rsid w:val="0080483B"/>
    <w:rsid w:val="0080600E"/>
    <w:rsid w:val="0081181A"/>
    <w:rsid w:val="00812EAF"/>
    <w:rsid w:val="008150B2"/>
    <w:rsid w:val="00816539"/>
    <w:rsid w:val="00817612"/>
    <w:rsid w:val="00817D2F"/>
    <w:rsid w:val="00820D73"/>
    <w:rsid w:val="008215C0"/>
    <w:rsid w:val="008218A2"/>
    <w:rsid w:val="00823A91"/>
    <w:rsid w:val="00825B7F"/>
    <w:rsid w:val="00827DB7"/>
    <w:rsid w:val="00830E88"/>
    <w:rsid w:val="00835F5A"/>
    <w:rsid w:val="0083716D"/>
    <w:rsid w:val="008373B6"/>
    <w:rsid w:val="00837C45"/>
    <w:rsid w:val="008414A3"/>
    <w:rsid w:val="008422DA"/>
    <w:rsid w:val="008426FE"/>
    <w:rsid w:val="00842D1A"/>
    <w:rsid w:val="00844831"/>
    <w:rsid w:val="00845C1A"/>
    <w:rsid w:val="00846865"/>
    <w:rsid w:val="00846C8C"/>
    <w:rsid w:val="008472FB"/>
    <w:rsid w:val="00847A8B"/>
    <w:rsid w:val="00847B26"/>
    <w:rsid w:val="008509CC"/>
    <w:rsid w:val="00853419"/>
    <w:rsid w:val="00853A23"/>
    <w:rsid w:val="00854FE3"/>
    <w:rsid w:val="008560E1"/>
    <w:rsid w:val="00860233"/>
    <w:rsid w:val="00861437"/>
    <w:rsid w:val="0086147D"/>
    <w:rsid w:val="00861972"/>
    <w:rsid w:val="00861EC2"/>
    <w:rsid w:val="008628FD"/>
    <w:rsid w:val="00864785"/>
    <w:rsid w:val="00865279"/>
    <w:rsid w:val="00865368"/>
    <w:rsid w:val="00865C9B"/>
    <w:rsid w:val="0086628D"/>
    <w:rsid w:val="008665EC"/>
    <w:rsid w:val="00866D7E"/>
    <w:rsid w:val="008678EF"/>
    <w:rsid w:val="0087014C"/>
    <w:rsid w:val="00871372"/>
    <w:rsid w:val="00871EBE"/>
    <w:rsid w:val="008741A2"/>
    <w:rsid w:val="00874BEE"/>
    <w:rsid w:val="00875ABB"/>
    <w:rsid w:val="00875EC6"/>
    <w:rsid w:val="00876085"/>
    <w:rsid w:val="00877E1B"/>
    <w:rsid w:val="00880B21"/>
    <w:rsid w:val="00880F95"/>
    <w:rsid w:val="00882952"/>
    <w:rsid w:val="00882C32"/>
    <w:rsid w:val="0088373B"/>
    <w:rsid w:val="00883E89"/>
    <w:rsid w:val="00883EA4"/>
    <w:rsid w:val="00884270"/>
    <w:rsid w:val="008869BA"/>
    <w:rsid w:val="00887B7D"/>
    <w:rsid w:val="008903D5"/>
    <w:rsid w:val="0089156D"/>
    <w:rsid w:val="008917C2"/>
    <w:rsid w:val="00893E24"/>
    <w:rsid w:val="00893E44"/>
    <w:rsid w:val="008945B4"/>
    <w:rsid w:val="0089514B"/>
    <w:rsid w:val="008969D3"/>
    <w:rsid w:val="008971D8"/>
    <w:rsid w:val="00897E12"/>
    <w:rsid w:val="008A065A"/>
    <w:rsid w:val="008A1C4B"/>
    <w:rsid w:val="008A3434"/>
    <w:rsid w:val="008A36FA"/>
    <w:rsid w:val="008A4FAC"/>
    <w:rsid w:val="008A5A80"/>
    <w:rsid w:val="008A5BF4"/>
    <w:rsid w:val="008A67CF"/>
    <w:rsid w:val="008A6DA2"/>
    <w:rsid w:val="008A7F97"/>
    <w:rsid w:val="008A7FC7"/>
    <w:rsid w:val="008B0E6D"/>
    <w:rsid w:val="008B0EE7"/>
    <w:rsid w:val="008B14CB"/>
    <w:rsid w:val="008B24D5"/>
    <w:rsid w:val="008B25FC"/>
    <w:rsid w:val="008B2DA9"/>
    <w:rsid w:val="008B3466"/>
    <w:rsid w:val="008B44C5"/>
    <w:rsid w:val="008B5124"/>
    <w:rsid w:val="008C00EE"/>
    <w:rsid w:val="008C2789"/>
    <w:rsid w:val="008C2DF6"/>
    <w:rsid w:val="008C5978"/>
    <w:rsid w:val="008C606A"/>
    <w:rsid w:val="008C6FC4"/>
    <w:rsid w:val="008C7564"/>
    <w:rsid w:val="008D0556"/>
    <w:rsid w:val="008D307A"/>
    <w:rsid w:val="008D33C9"/>
    <w:rsid w:val="008D43BA"/>
    <w:rsid w:val="008D6249"/>
    <w:rsid w:val="008D7317"/>
    <w:rsid w:val="008D7DF4"/>
    <w:rsid w:val="008E10AE"/>
    <w:rsid w:val="008E33FB"/>
    <w:rsid w:val="008E3759"/>
    <w:rsid w:val="008E53E4"/>
    <w:rsid w:val="008E5615"/>
    <w:rsid w:val="008E71E6"/>
    <w:rsid w:val="008F298E"/>
    <w:rsid w:val="008F2A35"/>
    <w:rsid w:val="008F2A73"/>
    <w:rsid w:val="008F2E03"/>
    <w:rsid w:val="008F2E1C"/>
    <w:rsid w:val="008F3BF9"/>
    <w:rsid w:val="008F3E4A"/>
    <w:rsid w:val="008F4101"/>
    <w:rsid w:val="008F4522"/>
    <w:rsid w:val="008F49E6"/>
    <w:rsid w:val="008F559D"/>
    <w:rsid w:val="008F7B4C"/>
    <w:rsid w:val="008F7F3F"/>
    <w:rsid w:val="009021D6"/>
    <w:rsid w:val="009041DC"/>
    <w:rsid w:val="009047EE"/>
    <w:rsid w:val="00904B4B"/>
    <w:rsid w:val="00905EBA"/>
    <w:rsid w:val="0090668D"/>
    <w:rsid w:val="009104B4"/>
    <w:rsid w:val="00912171"/>
    <w:rsid w:val="00912642"/>
    <w:rsid w:val="00913B6D"/>
    <w:rsid w:val="00915CDE"/>
    <w:rsid w:val="00915FDE"/>
    <w:rsid w:val="0091677E"/>
    <w:rsid w:val="0091728F"/>
    <w:rsid w:val="0091789D"/>
    <w:rsid w:val="00921023"/>
    <w:rsid w:val="00922A9F"/>
    <w:rsid w:val="00922B74"/>
    <w:rsid w:val="00923920"/>
    <w:rsid w:val="00924F0A"/>
    <w:rsid w:val="00925FCD"/>
    <w:rsid w:val="00927B0B"/>
    <w:rsid w:val="0093035E"/>
    <w:rsid w:val="00930ED0"/>
    <w:rsid w:val="009322FE"/>
    <w:rsid w:val="0093441A"/>
    <w:rsid w:val="00934829"/>
    <w:rsid w:val="009356F2"/>
    <w:rsid w:val="00935735"/>
    <w:rsid w:val="009359E3"/>
    <w:rsid w:val="00935A29"/>
    <w:rsid w:val="00936C4F"/>
    <w:rsid w:val="009412E0"/>
    <w:rsid w:val="0094199B"/>
    <w:rsid w:val="009424BD"/>
    <w:rsid w:val="00942AA6"/>
    <w:rsid w:val="00942BBC"/>
    <w:rsid w:val="009435DC"/>
    <w:rsid w:val="00945F51"/>
    <w:rsid w:val="0094702E"/>
    <w:rsid w:val="00950D77"/>
    <w:rsid w:val="00951A16"/>
    <w:rsid w:val="00952CAA"/>
    <w:rsid w:val="00952DC4"/>
    <w:rsid w:val="0095466D"/>
    <w:rsid w:val="00954BF7"/>
    <w:rsid w:val="00955093"/>
    <w:rsid w:val="009554F0"/>
    <w:rsid w:val="00955EA3"/>
    <w:rsid w:val="0095641C"/>
    <w:rsid w:val="00957A32"/>
    <w:rsid w:val="00960555"/>
    <w:rsid w:val="00963233"/>
    <w:rsid w:val="009653A0"/>
    <w:rsid w:val="00965F42"/>
    <w:rsid w:val="009668D9"/>
    <w:rsid w:val="009668E5"/>
    <w:rsid w:val="0096706E"/>
    <w:rsid w:val="00967ECF"/>
    <w:rsid w:val="009714F6"/>
    <w:rsid w:val="009724C3"/>
    <w:rsid w:val="00973675"/>
    <w:rsid w:val="00973798"/>
    <w:rsid w:val="00973E1D"/>
    <w:rsid w:val="009753D7"/>
    <w:rsid w:val="00976E74"/>
    <w:rsid w:val="00981FBA"/>
    <w:rsid w:val="00982E24"/>
    <w:rsid w:val="00983AF6"/>
    <w:rsid w:val="009843A2"/>
    <w:rsid w:val="00985A4B"/>
    <w:rsid w:val="00986129"/>
    <w:rsid w:val="00986662"/>
    <w:rsid w:val="00986AEE"/>
    <w:rsid w:val="009879D3"/>
    <w:rsid w:val="009937A7"/>
    <w:rsid w:val="00994ECF"/>
    <w:rsid w:val="009967AF"/>
    <w:rsid w:val="0099714E"/>
    <w:rsid w:val="00997E99"/>
    <w:rsid w:val="009A03E7"/>
    <w:rsid w:val="009A0816"/>
    <w:rsid w:val="009A0B09"/>
    <w:rsid w:val="009A0F04"/>
    <w:rsid w:val="009A1A5D"/>
    <w:rsid w:val="009A1D2A"/>
    <w:rsid w:val="009A28FA"/>
    <w:rsid w:val="009A6130"/>
    <w:rsid w:val="009A7953"/>
    <w:rsid w:val="009B07BE"/>
    <w:rsid w:val="009B1206"/>
    <w:rsid w:val="009B1525"/>
    <w:rsid w:val="009B26C8"/>
    <w:rsid w:val="009B2F9E"/>
    <w:rsid w:val="009B351F"/>
    <w:rsid w:val="009B381B"/>
    <w:rsid w:val="009B5129"/>
    <w:rsid w:val="009B541A"/>
    <w:rsid w:val="009B61B2"/>
    <w:rsid w:val="009B6619"/>
    <w:rsid w:val="009B71D5"/>
    <w:rsid w:val="009B74A4"/>
    <w:rsid w:val="009C1615"/>
    <w:rsid w:val="009C1691"/>
    <w:rsid w:val="009C1877"/>
    <w:rsid w:val="009C1D8B"/>
    <w:rsid w:val="009C2F9F"/>
    <w:rsid w:val="009C458A"/>
    <w:rsid w:val="009C4893"/>
    <w:rsid w:val="009C4D68"/>
    <w:rsid w:val="009D0946"/>
    <w:rsid w:val="009D0DEE"/>
    <w:rsid w:val="009D15C7"/>
    <w:rsid w:val="009D16D3"/>
    <w:rsid w:val="009D2342"/>
    <w:rsid w:val="009D280B"/>
    <w:rsid w:val="009D3728"/>
    <w:rsid w:val="009D561E"/>
    <w:rsid w:val="009D6116"/>
    <w:rsid w:val="009D7611"/>
    <w:rsid w:val="009E075C"/>
    <w:rsid w:val="009E27A9"/>
    <w:rsid w:val="009E3488"/>
    <w:rsid w:val="009E374A"/>
    <w:rsid w:val="009E3A41"/>
    <w:rsid w:val="009E3ABD"/>
    <w:rsid w:val="009E3C23"/>
    <w:rsid w:val="009E4906"/>
    <w:rsid w:val="009E53DE"/>
    <w:rsid w:val="009E6FD9"/>
    <w:rsid w:val="009F0AED"/>
    <w:rsid w:val="009F114F"/>
    <w:rsid w:val="009F1ED5"/>
    <w:rsid w:val="009F24AF"/>
    <w:rsid w:val="009F24FF"/>
    <w:rsid w:val="009F297A"/>
    <w:rsid w:val="009F2CC4"/>
    <w:rsid w:val="009F340C"/>
    <w:rsid w:val="009F7113"/>
    <w:rsid w:val="009F76DF"/>
    <w:rsid w:val="009F76E5"/>
    <w:rsid w:val="00A014DA"/>
    <w:rsid w:val="00A03579"/>
    <w:rsid w:val="00A03B6C"/>
    <w:rsid w:val="00A03DA5"/>
    <w:rsid w:val="00A05C64"/>
    <w:rsid w:val="00A06FEB"/>
    <w:rsid w:val="00A10246"/>
    <w:rsid w:val="00A10403"/>
    <w:rsid w:val="00A10450"/>
    <w:rsid w:val="00A10C01"/>
    <w:rsid w:val="00A12250"/>
    <w:rsid w:val="00A13A94"/>
    <w:rsid w:val="00A14D37"/>
    <w:rsid w:val="00A15A9B"/>
    <w:rsid w:val="00A15C9A"/>
    <w:rsid w:val="00A163A4"/>
    <w:rsid w:val="00A1688B"/>
    <w:rsid w:val="00A17625"/>
    <w:rsid w:val="00A17E82"/>
    <w:rsid w:val="00A2015A"/>
    <w:rsid w:val="00A20B65"/>
    <w:rsid w:val="00A20F5F"/>
    <w:rsid w:val="00A22B7B"/>
    <w:rsid w:val="00A23924"/>
    <w:rsid w:val="00A24331"/>
    <w:rsid w:val="00A2456A"/>
    <w:rsid w:val="00A27314"/>
    <w:rsid w:val="00A31451"/>
    <w:rsid w:val="00A31CB0"/>
    <w:rsid w:val="00A3286C"/>
    <w:rsid w:val="00A32D38"/>
    <w:rsid w:val="00A34273"/>
    <w:rsid w:val="00A36168"/>
    <w:rsid w:val="00A36E16"/>
    <w:rsid w:val="00A37DA9"/>
    <w:rsid w:val="00A40463"/>
    <w:rsid w:val="00A40CED"/>
    <w:rsid w:val="00A43458"/>
    <w:rsid w:val="00A438C4"/>
    <w:rsid w:val="00A438F6"/>
    <w:rsid w:val="00A444C4"/>
    <w:rsid w:val="00A445B3"/>
    <w:rsid w:val="00A447CD"/>
    <w:rsid w:val="00A47174"/>
    <w:rsid w:val="00A47D0B"/>
    <w:rsid w:val="00A500DA"/>
    <w:rsid w:val="00A50201"/>
    <w:rsid w:val="00A5028C"/>
    <w:rsid w:val="00A50CF2"/>
    <w:rsid w:val="00A52375"/>
    <w:rsid w:val="00A5251F"/>
    <w:rsid w:val="00A527E1"/>
    <w:rsid w:val="00A528D1"/>
    <w:rsid w:val="00A53D23"/>
    <w:rsid w:val="00A542D1"/>
    <w:rsid w:val="00A54E22"/>
    <w:rsid w:val="00A55776"/>
    <w:rsid w:val="00A60093"/>
    <w:rsid w:val="00A6269C"/>
    <w:rsid w:val="00A6287A"/>
    <w:rsid w:val="00A63958"/>
    <w:rsid w:val="00A64DA8"/>
    <w:rsid w:val="00A64EE8"/>
    <w:rsid w:val="00A64F5F"/>
    <w:rsid w:val="00A650D1"/>
    <w:rsid w:val="00A669C6"/>
    <w:rsid w:val="00A66BE5"/>
    <w:rsid w:val="00A709DB"/>
    <w:rsid w:val="00A70FA6"/>
    <w:rsid w:val="00A71D99"/>
    <w:rsid w:val="00A7605D"/>
    <w:rsid w:val="00A774E2"/>
    <w:rsid w:val="00A80C1E"/>
    <w:rsid w:val="00A81D28"/>
    <w:rsid w:val="00A8335C"/>
    <w:rsid w:val="00A83588"/>
    <w:rsid w:val="00A84A45"/>
    <w:rsid w:val="00A84A53"/>
    <w:rsid w:val="00A84B01"/>
    <w:rsid w:val="00A871CA"/>
    <w:rsid w:val="00A87FF5"/>
    <w:rsid w:val="00A91C87"/>
    <w:rsid w:val="00A91F89"/>
    <w:rsid w:val="00A92714"/>
    <w:rsid w:val="00A92DCA"/>
    <w:rsid w:val="00A947C6"/>
    <w:rsid w:val="00A95F1A"/>
    <w:rsid w:val="00A978E7"/>
    <w:rsid w:val="00A97CDE"/>
    <w:rsid w:val="00AA23D3"/>
    <w:rsid w:val="00AA33AF"/>
    <w:rsid w:val="00AA4746"/>
    <w:rsid w:val="00AA5C88"/>
    <w:rsid w:val="00AA792C"/>
    <w:rsid w:val="00AA7A2C"/>
    <w:rsid w:val="00AA7E8A"/>
    <w:rsid w:val="00AB0745"/>
    <w:rsid w:val="00AB097B"/>
    <w:rsid w:val="00AB3118"/>
    <w:rsid w:val="00AB3712"/>
    <w:rsid w:val="00AB55B8"/>
    <w:rsid w:val="00AB6166"/>
    <w:rsid w:val="00AB7EE1"/>
    <w:rsid w:val="00AC0531"/>
    <w:rsid w:val="00AC313B"/>
    <w:rsid w:val="00AC388E"/>
    <w:rsid w:val="00AC4106"/>
    <w:rsid w:val="00AC4350"/>
    <w:rsid w:val="00AC4E50"/>
    <w:rsid w:val="00AC4F7C"/>
    <w:rsid w:val="00AC6AE6"/>
    <w:rsid w:val="00AC7F4D"/>
    <w:rsid w:val="00AD1E27"/>
    <w:rsid w:val="00AD29F5"/>
    <w:rsid w:val="00AD34D9"/>
    <w:rsid w:val="00AD37C1"/>
    <w:rsid w:val="00AD38E9"/>
    <w:rsid w:val="00AD3984"/>
    <w:rsid w:val="00AD4435"/>
    <w:rsid w:val="00AD452E"/>
    <w:rsid w:val="00AD4A7C"/>
    <w:rsid w:val="00AD4CD7"/>
    <w:rsid w:val="00AD4E05"/>
    <w:rsid w:val="00AD5EB5"/>
    <w:rsid w:val="00AD7A33"/>
    <w:rsid w:val="00AE0DEC"/>
    <w:rsid w:val="00AE15A9"/>
    <w:rsid w:val="00AE1F0C"/>
    <w:rsid w:val="00AE4C43"/>
    <w:rsid w:val="00AE6271"/>
    <w:rsid w:val="00AE66EC"/>
    <w:rsid w:val="00AE6AE5"/>
    <w:rsid w:val="00AE6F91"/>
    <w:rsid w:val="00AF0440"/>
    <w:rsid w:val="00AF22CE"/>
    <w:rsid w:val="00AF2782"/>
    <w:rsid w:val="00AF3344"/>
    <w:rsid w:val="00AF5571"/>
    <w:rsid w:val="00AF79FA"/>
    <w:rsid w:val="00B016BF"/>
    <w:rsid w:val="00B016EF"/>
    <w:rsid w:val="00B01D8D"/>
    <w:rsid w:val="00B033E8"/>
    <w:rsid w:val="00B0667E"/>
    <w:rsid w:val="00B06BF4"/>
    <w:rsid w:val="00B124E6"/>
    <w:rsid w:val="00B14837"/>
    <w:rsid w:val="00B160A4"/>
    <w:rsid w:val="00B167E9"/>
    <w:rsid w:val="00B16FF4"/>
    <w:rsid w:val="00B1724A"/>
    <w:rsid w:val="00B207F5"/>
    <w:rsid w:val="00B20B83"/>
    <w:rsid w:val="00B21064"/>
    <w:rsid w:val="00B21BC5"/>
    <w:rsid w:val="00B22C40"/>
    <w:rsid w:val="00B23A86"/>
    <w:rsid w:val="00B27127"/>
    <w:rsid w:val="00B2728E"/>
    <w:rsid w:val="00B301E8"/>
    <w:rsid w:val="00B30278"/>
    <w:rsid w:val="00B314DB"/>
    <w:rsid w:val="00B316A7"/>
    <w:rsid w:val="00B31EBE"/>
    <w:rsid w:val="00B34D82"/>
    <w:rsid w:val="00B36E37"/>
    <w:rsid w:val="00B3718B"/>
    <w:rsid w:val="00B37C3B"/>
    <w:rsid w:val="00B41AAC"/>
    <w:rsid w:val="00B424CD"/>
    <w:rsid w:val="00B42ABC"/>
    <w:rsid w:val="00B432D6"/>
    <w:rsid w:val="00B44F4C"/>
    <w:rsid w:val="00B45BE7"/>
    <w:rsid w:val="00B45ECD"/>
    <w:rsid w:val="00B46033"/>
    <w:rsid w:val="00B46313"/>
    <w:rsid w:val="00B4632A"/>
    <w:rsid w:val="00B478B1"/>
    <w:rsid w:val="00B478C4"/>
    <w:rsid w:val="00B506F8"/>
    <w:rsid w:val="00B5149E"/>
    <w:rsid w:val="00B515A8"/>
    <w:rsid w:val="00B540E8"/>
    <w:rsid w:val="00B55E95"/>
    <w:rsid w:val="00B574EE"/>
    <w:rsid w:val="00B575D6"/>
    <w:rsid w:val="00B60E25"/>
    <w:rsid w:val="00B62894"/>
    <w:rsid w:val="00B62BC0"/>
    <w:rsid w:val="00B63572"/>
    <w:rsid w:val="00B63577"/>
    <w:rsid w:val="00B673F4"/>
    <w:rsid w:val="00B70462"/>
    <w:rsid w:val="00B72E00"/>
    <w:rsid w:val="00B74DAF"/>
    <w:rsid w:val="00B75D57"/>
    <w:rsid w:val="00B765F1"/>
    <w:rsid w:val="00B76BE8"/>
    <w:rsid w:val="00B777B0"/>
    <w:rsid w:val="00B77B09"/>
    <w:rsid w:val="00B801CB"/>
    <w:rsid w:val="00B84FC7"/>
    <w:rsid w:val="00B85B6B"/>
    <w:rsid w:val="00B8646F"/>
    <w:rsid w:val="00B86577"/>
    <w:rsid w:val="00B8664E"/>
    <w:rsid w:val="00B868A4"/>
    <w:rsid w:val="00B8786D"/>
    <w:rsid w:val="00B90178"/>
    <w:rsid w:val="00B905CC"/>
    <w:rsid w:val="00B920B7"/>
    <w:rsid w:val="00B926B1"/>
    <w:rsid w:val="00B92DC9"/>
    <w:rsid w:val="00B933E4"/>
    <w:rsid w:val="00BA0E3E"/>
    <w:rsid w:val="00BA11D2"/>
    <w:rsid w:val="00BA198F"/>
    <w:rsid w:val="00BA1D41"/>
    <w:rsid w:val="00BA276C"/>
    <w:rsid w:val="00BA2988"/>
    <w:rsid w:val="00BA3099"/>
    <w:rsid w:val="00BA3133"/>
    <w:rsid w:val="00BA31DF"/>
    <w:rsid w:val="00BA6FFA"/>
    <w:rsid w:val="00BA7984"/>
    <w:rsid w:val="00BB151F"/>
    <w:rsid w:val="00BB285D"/>
    <w:rsid w:val="00BB3066"/>
    <w:rsid w:val="00BB306F"/>
    <w:rsid w:val="00BB3466"/>
    <w:rsid w:val="00BB356D"/>
    <w:rsid w:val="00BB36D4"/>
    <w:rsid w:val="00BB521F"/>
    <w:rsid w:val="00BB53AD"/>
    <w:rsid w:val="00BB5A59"/>
    <w:rsid w:val="00BB6D96"/>
    <w:rsid w:val="00BB78FE"/>
    <w:rsid w:val="00BB7B0A"/>
    <w:rsid w:val="00BB7C52"/>
    <w:rsid w:val="00BC04F8"/>
    <w:rsid w:val="00BC2154"/>
    <w:rsid w:val="00BC243A"/>
    <w:rsid w:val="00BC35EB"/>
    <w:rsid w:val="00BC397C"/>
    <w:rsid w:val="00BC68ED"/>
    <w:rsid w:val="00BC6FB1"/>
    <w:rsid w:val="00BC73B5"/>
    <w:rsid w:val="00BD10AC"/>
    <w:rsid w:val="00BD232B"/>
    <w:rsid w:val="00BD2C5B"/>
    <w:rsid w:val="00BD3469"/>
    <w:rsid w:val="00BD393F"/>
    <w:rsid w:val="00BD4B89"/>
    <w:rsid w:val="00BD5B66"/>
    <w:rsid w:val="00BD7F14"/>
    <w:rsid w:val="00BE0098"/>
    <w:rsid w:val="00BE014C"/>
    <w:rsid w:val="00BE118B"/>
    <w:rsid w:val="00BE1438"/>
    <w:rsid w:val="00BE201A"/>
    <w:rsid w:val="00BE35D9"/>
    <w:rsid w:val="00BE36D7"/>
    <w:rsid w:val="00BE4872"/>
    <w:rsid w:val="00BE4C89"/>
    <w:rsid w:val="00BE60A3"/>
    <w:rsid w:val="00BE6182"/>
    <w:rsid w:val="00BE6B74"/>
    <w:rsid w:val="00BE7E23"/>
    <w:rsid w:val="00BF0063"/>
    <w:rsid w:val="00BF08CB"/>
    <w:rsid w:val="00BF1F10"/>
    <w:rsid w:val="00BF2523"/>
    <w:rsid w:val="00BF2939"/>
    <w:rsid w:val="00BF4865"/>
    <w:rsid w:val="00BF4871"/>
    <w:rsid w:val="00BF4AF7"/>
    <w:rsid w:val="00BF7C42"/>
    <w:rsid w:val="00C0028D"/>
    <w:rsid w:val="00C01451"/>
    <w:rsid w:val="00C03059"/>
    <w:rsid w:val="00C0391B"/>
    <w:rsid w:val="00C03A29"/>
    <w:rsid w:val="00C04473"/>
    <w:rsid w:val="00C070BA"/>
    <w:rsid w:val="00C07884"/>
    <w:rsid w:val="00C101BC"/>
    <w:rsid w:val="00C144E7"/>
    <w:rsid w:val="00C14557"/>
    <w:rsid w:val="00C14701"/>
    <w:rsid w:val="00C14CE0"/>
    <w:rsid w:val="00C1525C"/>
    <w:rsid w:val="00C16D95"/>
    <w:rsid w:val="00C2142B"/>
    <w:rsid w:val="00C21762"/>
    <w:rsid w:val="00C224DF"/>
    <w:rsid w:val="00C22DD6"/>
    <w:rsid w:val="00C23BA8"/>
    <w:rsid w:val="00C24049"/>
    <w:rsid w:val="00C24543"/>
    <w:rsid w:val="00C256A2"/>
    <w:rsid w:val="00C25808"/>
    <w:rsid w:val="00C26A69"/>
    <w:rsid w:val="00C31770"/>
    <w:rsid w:val="00C3238A"/>
    <w:rsid w:val="00C32A61"/>
    <w:rsid w:val="00C338B0"/>
    <w:rsid w:val="00C33EB0"/>
    <w:rsid w:val="00C340DC"/>
    <w:rsid w:val="00C3492D"/>
    <w:rsid w:val="00C34F68"/>
    <w:rsid w:val="00C3629F"/>
    <w:rsid w:val="00C36E35"/>
    <w:rsid w:val="00C4068A"/>
    <w:rsid w:val="00C41AB9"/>
    <w:rsid w:val="00C423E4"/>
    <w:rsid w:val="00C43FC7"/>
    <w:rsid w:val="00C443E8"/>
    <w:rsid w:val="00C44886"/>
    <w:rsid w:val="00C44ECB"/>
    <w:rsid w:val="00C45555"/>
    <w:rsid w:val="00C45976"/>
    <w:rsid w:val="00C45A93"/>
    <w:rsid w:val="00C4696E"/>
    <w:rsid w:val="00C46A80"/>
    <w:rsid w:val="00C4716E"/>
    <w:rsid w:val="00C47791"/>
    <w:rsid w:val="00C4793D"/>
    <w:rsid w:val="00C47E39"/>
    <w:rsid w:val="00C506EB"/>
    <w:rsid w:val="00C50C1E"/>
    <w:rsid w:val="00C53F60"/>
    <w:rsid w:val="00C546AB"/>
    <w:rsid w:val="00C5474E"/>
    <w:rsid w:val="00C548FA"/>
    <w:rsid w:val="00C55378"/>
    <w:rsid w:val="00C55560"/>
    <w:rsid w:val="00C60644"/>
    <w:rsid w:val="00C61997"/>
    <w:rsid w:val="00C62393"/>
    <w:rsid w:val="00C62BF4"/>
    <w:rsid w:val="00C669C1"/>
    <w:rsid w:val="00C66B72"/>
    <w:rsid w:val="00C674CD"/>
    <w:rsid w:val="00C67F18"/>
    <w:rsid w:val="00C714BB"/>
    <w:rsid w:val="00C7275B"/>
    <w:rsid w:val="00C7281A"/>
    <w:rsid w:val="00C74AAA"/>
    <w:rsid w:val="00C74C37"/>
    <w:rsid w:val="00C7526E"/>
    <w:rsid w:val="00C75A4F"/>
    <w:rsid w:val="00C75E68"/>
    <w:rsid w:val="00C76135"/>
    <w:rsid w:val="00C768EA"/>
    <w:rsid w:val="00C77013"/>
    <w:rsid w:val="00C77F47"/>
    <w:rsid w:val="00C81339"/>
    <w:rsid w:val="00C81FBE"/>
    <w:rsid w:val="00C82B0B"/>
    <w:rsid w:val="00C84B0E"/>
    <w:rsid w:val="00C84E16"/>
    <w:rsid w:val="00C850FD"/>
    <w:rsid w:val="00C85897"/>
    <w:rsid w:val="00C85CF6"/>
    <w:rsid w:val="00C85DDE"/>
    <w:rsid w:val="00C86C06"/>
    <w:rsid w:val="00C8737F"/>
    <w:rsid w:val="00C9055F"/>
    <w:rsid w:val="00C92CF7"/>
    <w:rsid w:val="00C936C3"/>
    <w:rsid w:val="00C949E2"/>
    <w:rsid w:val="00C94BF5"/>
    <w:rsid w:val="00C9567A"/>
    <w:rsid w:val="00C957E5"/>
    <w:rsid w:val="00C95BF6"/>
    <w:rsid w:val="00C9670F"/>
    <w:rsid w:val="00C96AF3"/>
    <w:rsid w:val="00C96BFF"/>
    <w:rsid w:val="00CA0E2F"/>
    <w:rsid w:val="00CA249C"/>
    <w:rsid w:val="00CA28C5"/>
    <w:rsid w:val="00CA44E8"/>
    <w:rsid w:val="00CA53D1"/>
    <w:rsid w:val="00CA61E3"/>
    <w:rsid w:val="00CA65F1"/>
    <w:rsid w:val="00CA6E49"/>
    <w:rsid w:val="00CB13BC"/>
    <w:rsid w:val="00CB17C1"/>
    <w:rsid w:val="00CB2422"/>
    <w:rsid w:val="00CB2660"/>
    <w:rsid w:val="00CB2A1A"/>
    <w:rsid w:val="00CB3738"/>
    <w:rsid w:val="00CB3827"/>
    <w:rsid w:val="00CB3A1A"/>
    <w:rsid w:val="00CB712B"/>
    <w:rsid w:val="00CB7A42"/>
    <w:rsid w:val="00CC30E5"/>
    <w:rsid w:val="00CC5E13"/>
    <w:rsid w:val="00CC5E90"/>
    <w:rsid w:val="00CD046C"/>
    <w:rsid w:val="00CD36BA"/>
    <w:rsid w:val="00CD6BCF"/>
    <w:rsid w:val="00CE1390"/>
    <w:rsid w:val="00CE4868"/>
    <w:rsid w:val="00CE4999"/>
    <w:rsid w:val="00CE5199"/>
    <w:rsid w:val="00CE66D5"/>
    <w:rsid w:val="00CF1FF5"/>
    <w:rsid w:val="00CF2824"/>
    <w:rsid w:val="00CF3EBB"/>
    <w:rsid w:val="00CF4138"/>
    <w:rsid w:val="00CF439C"/>
    <w:rsid w:val="00CF5539"/>
    <w:rsid w:val="00CF6754"/>
    <w:rsid w:val="00CF768E"/>
    <w:rsid w:val="00D002FC"/>
    <w:rsid w:val="00D02E9F"/>
    <w:rsid w:val="00D03633"/>
    <w:rsid w:val="00D03C39"/>
    <w:rsid w:val="00D04137"/>
    <w:rsid w:val="00D04674"/>
    <w:rsid w:val="00D05066"/>
    <w:rsid w:val="00D07439"/>
    <w:rsid w:val="00D0799B"/>
    <w:rsid w:val="00D07A1B"/>
    <w:rsid w:val="00D11349"/>
    <w:rsid w:val="00D1169D"/>
    <w:rsid w:val="00D11888"/>
    <w:rsid w:val="00D12D6C"/>
    <w:rsid w:val="00D14582"/>
    <w:rsid w:val="00D14B21"/>
    <w:rsid w:val="00D15ABB"/>
    <w:rsid w:val="00D15E54"/>
    <w:rsid w:val="00D16299"/>
    <w:rsid w:val="00D16C41"/>
    <w:rsid w:val="00D20D54"/>
    <w:rsid w:val="00D211D9"/>
    <w:rsid w:val="00D2131F"/>
    <w:rsid w:val="00D21D95"/>
    <w:rsid w:val="00D21DA2"/>
    <w:rsid w:val="00D2250C"/>
    <w:rsid w:val="00D22F94"/>
    <w:rsid w:val="00D2345D"/>
    <w:rsid w:val="00D23785"/>
    <w:rsid w:val="00D24291"/>
    <w:rsid w:val="00D2456B"/>
    <w:rsid w:val="00D25889"/>
    <w:rsid w:val="00D25C75"/>
    <w:rsid w:val="00D27FBF"/>
    <w:rsid w:val="00D31472"/>
    <w:rsid w:val="00D31A13"/>
    <w:rsid w:val="00D32D94"/>
    <w:rsid w:val="00D340AA"/>
    <w:rsid w:val="00D34786"/>
    <w:rsid w:val="00D35609"/>
    <w:rsid w:val="00D36696"/>
    <w:rsid w:val="00D36A2C"/>
    <w:rsid w:val="00D37539"/>
    <w:rsid w:val="00D4040F"/>
    <w:rsid w:val="00D40A1E"/>
    <w:rsid w:val="00D41308"/>
    <w:rsid w:val="00D42BAB"/>
    <w:rsid w:val="00D43C78"/>
    <w:rsid w:val="00D44A80"/>
    <w:rsid w:val="00D44B04"/>
    <w:rsid w:val="00D44BDF"/>
    <w:rsid w:val="00D45150"/>
    <w:rsid w:val="00D45500"/>
    <w:rsid w:val="00D46CDC"/>
    <w:rsid w:val="00D47631"/>
    <w:rsid w:val="00D47E97"/>
    <w:rsid w:val="00D5025B"/>
    <w:rsid w:val="00D50AFF"/>
    <w:rsid w:val="00D512DC"/>
    <w:rsid w:val="00D52B5B"/>
    <w:rsid w:val="00D537DA"/>
    <w:rsid w:val="00D53F3D"/>
    <w:rsid w:val="00D54FD9"/>
    <w:rsid w:val="00D558C4"/>
    <w:rsid w:val="00D55D01"/>
    <w:rsid w:val="00D568A0"/>
    <w:rsid w:val="00D57019"/>
    <w:rsid w:val="00D57833"/>
    <w:rsid w:val="00D6092C"/>
    <w:rsid w:val="00D61163"/>
    <w:rsid w:val="00D6144B"/>
    <w:rsid w:val="00D62BD0"/>
    <w:rsid w:val="00D63033"/>
    <w:rsid w:val="00D63233"/>
    <w:rsid w:val="00D65E4F"/>
    <w:rsid w:val="00D6603B"/>
    <w:rsid w:val="00D671D3"/>
    <w:rsid w:val="00D677D5"/>
    <w:rsid w:val="00D712D3"/>
    <w:rsid w:val="00D71422"/>
    <w:rsid w:val="00D7145E"/>
    <w:rsid w:val="00D72985"/>
    <w:rsid w:val="00D73376"/>
    <w:rsid w:val="00D73E27"/>
    <w:rsid w:val="00D74A1F"/>
    <w:rsid w:val="00D74B5B"/>
    <w:rsid w:val="00D74C93"/>
    <w:rsid w:val="00D74F68"/>
    <w:rsid w:val="00D7558D"/>
    <w:rsid w:val="00D76232"/>
    <w:rsid w:val="00D7649A"/>
    <w:rsid w:val="00D80440"/>
    <w:rsid w:val="00D811FF"/>
    <w:rsid w:val="00D81D92"/>
    <w:rsid w:val="00D826A0"/>
    <w:rsid w:val="00D82EA8"/>
    <w:rsid w:val="00D838BE"/>
    <w:rsid w:val="00D83DD3"/>
    <w:rsid w:val="00D83FFE"/>
    <w:rsid w:val="00D86569"/>
    <w:rsid w:val="00D87416"/>
    <w:rsid w:val="00D8763F"/>
    <w:rsid w:val="00D9040B"/>
    <w:rsid w:val="00D9087A"/>
    <w:rsid w:val="00D915AB"/>
    <w:rsid w:val="00D91B1E"/>
    <w:rsid w:val="00D93446"/>
    <w:rsid w:val="00D9382D"/>
    <w:rsid w:val="00D946AA"/>
    <w:rsid w:val="00D94D1C"/>
    <w:rsid w:val="00D9539C"/>
    <w:rsid w:val="00D95402"/>
    <w:rsid w:val="00D96245"/>
    <w:rsid w:val="00D978E5"/>
    <w:rsid w:val="00DA1520"/>
    <w:rsid w:val="00DA2A7C"/>
    <w:rsid w:val="00DA3005"/>
    <w:rsid w:val="00DA300A"/>
    <w:rsid w:val="00DA4E4E"/>
    <w:rsid w:val="00DA5ECF"/>
    <w:rsid w:val="00DA6AB3"/>
    <w:rsid w:val="00DA7151"/>
    <w:rsid w:val="00DA77AA"/>
    <w:rsid w:val="00DA7982"/>
    <w:rsid w:val="00DA79D0"/>
    <w:rsid w:val="00DA7B5F"/>
    <w:rsid w:val="00DB18A8"/>
    <w:rsid w:val="00DB3050"/>
    <w:rsid w:val="00DB30EC"/>
    <w:rsid w:val="00DB3374"/>
    <w:rsid w:val="00DB4A1E"/>
    <w:rsid w:val="00DB4D80"/>
    <w:rsid w:val="00DB5C3C"/>
    <w:rsid w:val="00DC07A4"/>
    <w:rsid w:val="00DC174D"/>
    <w:rsid w:val="00DC28C0"/>
    <w:rsid w:val="00DC2FF2"/>
    <w:rsid w:val="00DC3121"/>
    <w:rsid w:val="00DC4839"/>
    <w:rsid w:val="00DC6453"/>
    <w:rsid w:val="00DC6D2C"/>
    <w:rsid w:val="00DC7597"/>
    <w:rsid w:val="00DC7693"/>
    <w:rsid w:val="00DD045E"/>
    <w:rsid w:val="00DD1E65"/>
    <w:rsid w:val="00DD2635"/>
    <w:rsid w:val="00DD2BE4"/>
    <w:rsid w:val="00DD2C54"/>
    <w:rsid w:val="00DD6DEF"/>
    <w:rsid w:val="00DD6F04"/>
    <w:rsid w:val="00DD705F"/>
    <w:rsid w:val="00DD759E"/>
    <w:rsid w:val="00DE0266"/>
    <w:rsid w:val="00DE26A2"/>
    <w:rsid w:val="00DE62F2"/>
    <w:rsid w:val="00DE735D"/>
    <w:rsid w:val="00DE7417"/>
    <w:rsid w:val="00DE783D"/>
    <w:rsid w:val="00DE7D2E"/>
    <w:rsid w:val="00DF1CDD"/>
    <w:rsid w:val="00DF1DF9"/>
    <w:rsid w:val="00DF4BDE"/>
    <w:rsid w:val="00DF5077"/>
    <w:rsid w:val="00DF7793"/>
    <w:rsid w:val="00E01798"/>
    <w:rsid w:val="00E01B40"/>
    <w:rsid w:val="00E02360"/>
    <w:rsid w:val="00E023DF"/>
    <w:rsid w:val="00E052B0"/>
    <w:rsid w:val="00E067A6"/>
    <w:rsid w:val="00E06DDE"/>
    <w:rsid w:val="00E0702F"/>
    <w:rsid w:val="00E0734B"/>
    <w:rsid w:val="00E0740A"/>
    <w:rsid w:val="00E11392"/>
    <w:rsid w:val="00E1451D"/>
    <w:rsid w:val="00E1542D"/>
    <w:rsid w:val="00E15FBA"/>
    <w:rsid w:val="00E16F9D"/>
    <w:rsid w:val="00E17683"/>
    <w:rsid w:val="00E2121C"/>
    <w:rsid w:val="00E22278"/>
    <w:rsid w:val="00E2284A"/>
    <w:rsid w:val="00E230FD"/>
    <w:rsid w:val="00E2398E"/>
    <w:rsid w:val="00E23A98"/>
    <w:rsid w:val="00E25A41"/>
    <w:rsid w:val="00E2673A"/>
    <w:rsid w:val="00E26F97"/>
    <w:rsid w:val="00E26FCD"/>
    <w:rsid w:val="00E27AA4"/>
    <w:rsid w:val="00E30281"/>
    <w:rsid w:val="00E3317B"/>
    <w:rsid w:val="00E3364B"/>
    <w:rsid w:val="00E337D9"/>
    <w:rsid w:val="00E33E64"/>
    <w:rsid w:val="00E3622A"/>
    <w:rsid w:val="00E364C4"/>
    <w:rsid w:val="00E3757F"/>
    <w:rsid w:val="00E37980"/>
    <w:rsid w:val="00E42C74"/>
    <w:rsid w:val="00E43157"/>
    <w:rsid w:val="00E43212"/>
    <w:rsid w:val="00E4390D"/>
    <w:rsid w:val="00E43C54"/>
    <w:rsid w:val="00E43C96"/>
    <w:rsid w:val="00E45D29"/>
    <w:rsid w:val="00E461F9"/>
    <w:rsid w:val="00E46307"/>
    <w:rsid w:val="00E4781D"/>
    <w:rsid w:val="00E50136"/>
    <w:rsid w:val="00E533FF"/>
    <w:rsid w:val="00E53BD8"/>
    <w:rsid w:val="00E53DC6"/>
    <w:rsid w:val="00E53E5E"/>
    <w:rsid w:val="00E54EF8"/>
    <w:rsid w:val="00E56477"/>
    <w:rsid w:val="00E575CD"/>
    <w:rsid w:val="00E57833"/>
    <w:rsid w:val="00E57B6B"/>
    <w:rsid w:val="00E57ECF"/>
    <w:rsid w:val="00E608CA"/>
    <w:rsid w:val="00E61067"/>
    <w:rsid w:val="00E61DC3"/>
    <w:rsid w:val="00E61FC3"/>
    <w:rsid w:val="00E62965"/>
    <w:rsid w:val="00E6356C"/>
    <w:rsid w:val="00E6364D"/>
    <w:rsid w:val="00E63B98"/>
    <w:rsid w:val="00E64645"/>
    <w:rsid w:val="00E64863"/>
    <w:rsid w:val="00E648F3"/>
    <w:rsid w:val="00E64AF6"/>
    <w:rsid w:val="00E64E6F"/>
    <w:rsid w:val="00E654A2"/>
    <w:rsid w:val="00E65CB4"/>
    <w:rsid w:val="00E709B3"/>
    <w:rsid w:val="00E70B54"/>
    <w:rsid w:val="00E711AB"/>
    <w:rsid w:val="00E7126F"/>
    <w:rsid w:val="00E71E57"/>
    <w:rsid w:val="00E71FD7"/>
    <w:rsid w:val="00E74123"/>
    <w:rsid w:val="00E74177"/>
    <w:rsid w:val="00E753FA"/>
    <w:rsid w:val="00E7676B"/>
    <w:rsid w:val="00E767BD"/>
    <w:rsid w:val="00E7739E"/>
    <w:rsid w:val="00E774E4"/>
    <w:rsid w:val="00E80E83"/>
    <w:rsid w:val="00E81771"/>
    <w:rsid w:val="00E81A3E"/>
    <w:rsid w:val="00E82F32"/>
    <w:rsid w:val="00E830CC"/>
    <w:rsid w:val="00E86ABD"/>
    <w:rsid w:val="00E86E84"/>
    <w:rsid w:val="00E86EAF"/>
    <w:rsid w:val="00E87515"/>
    <w:rsid w:val="00E8789F"/>
    <w:rsid w:val="00E908CF"/>
    <w:rsid w:val="00E91BE2"/>
    <w:rsid w:val="00E920D0"/>
    <w:rsid w:val="00E92215"/>
    <w:rsid w:val="00E92993"/>
    <w:rsid w:val="00E9316D"/>
    <w:rsid w:val="00E93BDB"/>
    <w:rsid w:val="00E94203"/>
    <w:rsid w:val="00E94D19"/>
    <w:rsid w:val="00E94E3D"/>
    <w:rsid w:val="00E96942"/>
    <w:rsid w:val="00E978C5"/>
    <w:rsid w:val="00E97B71"/>
    <w:rsid w:val="00EA01E7"/>
    <w:rsid w:val="00EA077D"/>
    <w:rsid w:val="00EA1283"/>
    <w:rsid w:val="00EA26BA"/>
    <w:rsid w:val="00EA5A04"/>
    <w:rsid w:val="00EA5FE2"/>
    <w:rsid w:val="00EA603E"/>
    <w:rsid w:val="00EA6A6E"/>
    <w:rsid w:val="00EA70E0"/>
    <w:rsid w:val="00EB0252"/>
    <w:rsid w:val="00EB24D7"/>
    <w:rsid w:val="00EB4080"/>
    <w:rsid w:val="00EB454D"/>
    <w:rsid w:val="00EB454F"/>
    <w:rsid w:val="00EB4B7E"/>
    <w:rsid w:val="00EB51DC"/>
    <w:rsid w:val="00EB51EA"/>
    <w:rsid w:val="00EB55C1"/>
    <w:rsid w:val="00EB6170"/>
    <w:rsid w:val="00EB62D9"/>
    <w:rsid w:val="00EB6B06"/>
    <w:rsid w:val="00EB7F0A"/>
    <w:rsid w:val="00EC0BA4"/>
    <w:rsid w:val="00EC112E"/>
    <w:rsid w:val="00EC20C2"/>
    <w:rsid w:val="00EC2AAD"/>
    <w:rsid w:val="00EC31F9"/>
    <w:rsid w:val="00EC45C1"/>
    <w:rsid w:val="00EC5570"/>
    <w:rsid w:val="00EC68B2"/>
    <w:rsid w:val="00EC6931"/>
    <w:rsid w:val="00EC74EB"/>
    <w:rsid w:val="00ED0E31"/>
    <w:rsid w:val="00ED0F40"/>
    <w:rsid w:val="00ED1405"/>
    <w:rsid w:val="00ED147C"/>
    <w:rsid w:val="00ED18FD"/>
    <w:rsid w:val="00ED19E9"/>
    <w:rsid w:val="00ED2D1D"/>
    <w:rsid w:val="00ED3A8E"/>
    <w:rsid w:val="00ED3AB2"/>
    <w:rsid w:val="00ED56AB"/>
    <w:rsid w:val="00ED5BE1"/>
    <w:rsid w:val="00EE04C1"/>
    <w:rsid w:val="00EE0BA9"/>
    <w:rsid w:val="00EE0D3E"/>
    <w:rsid w:val="00EE140F"/>
    <w:rsid w:val="00EE3522"/>
    <w:rsid w:val="00EE36D7"/>
    <w:rsid w:val="00EE39AD"/>
    <w:rsid w:val="00EE4E4B"/>
    <w:rsid w:val="00EE5C5E"/>
    <w:rsid w:val="00EE5D7E"/>
    <w:rsid w:val="00EE5E58"/>
    <w:rsid w:val="00EF04A0"/>
    <w:rsid w:val="00EF0CEF"/>
    <w:rsid w:val="00EF2493"/>
    <w:rsid w:val="00EF36AC"/>
    <w:rsid w:val="00EF49F0"/>
    <w:rsid w:val="00EF4EC3"/>
    <w:rsid w:val="00EF56CE"/>
    <w:rsid w:val="00EF5AA9"/>
    <w:rsid w:val="00EF619B"/>
    <w:rsid w:val="00EF6972"/>
    <w:rsid w:val="00EF7231"/>
    <w:rsid w:val="00F005EE"/>
    <w:rsid w:val="00F00B55"/>
    <w:rsid w:val="00F04AFE"/>
    <w:rsid w:val="00F059CF"/>
    <w:rsid w:val="00F06961"/>
    <w:rsid w:val="00F1005F"/>
    <w:rsid w:val="00F11242"/>
    <w:rsid w:val="00F1380F"/>
    <w:rsid w:val="00F14F0E"/>
    <w:rsid w:val="00F14F98"/>
    <w:rsid w:val="00F15799"/>
    <w:rsid w:val="00F15B6A"/>
    <w:rsid w:val="00F16AD4"/>
    <w:rsid w:val="00F175ED"/>
    <w:rsid w:val="00F1763D"/>
    <w:rsid w:val="00F17799"/>
    <w:rsid w:val="00F20161"/>
    <w:rsid w:val="00F20236"/>
    <w:rsid w:val="00F2059E"/>
    <w:rsid w:val="00F20D2B"/>
    <w:rsid w:val="00F21553"/>
    <w:rsid w:val="00F21703"/>
    <w:rsid w:val="00F2328B"/>
    <w:rsid w:val="00F24C29"/>
    <w:rsid w:val="00F253CC"/>
    <w:rsid w:val="00F25C31"/>
    <w:rsid w:val="00F267BE"/>
    <w:rsid w:val="00F27458"/>
    <w:rsid w:val="00F277DB"/>
    <w:rsid w:val="00F27ACD"/>
    <w:rsid w:val="00F27CD8"/>
    <w:rsid w:val="00F311E2"/>
    <w:rsid w:val="00F31814"/>
    <w:rsid w:val="00F3379A"/>
    <w:rsid w:val="00F34265"/>
    <w:rsid w:val="00F35C2A"/>
    <w:rsid w:val="00F35E2A"/>
    <w:rsid w:val="00F36D40"/>
    <w:rsid w:val="00F36F27"/>
    <w:rsid w:val="00F37481"/>
    <w:rsid w:val="00F37F99"/>
    <w:rsid w:val="00F40B92"/>
    <w:rsid w:val="00F427E6"/>
    <w:rsid w:val="00F434F9"/>
    <w:rsid w:val="00F438CD"/>
    <w:rsid w:val="00F441B9"/>
    <w:rsid w:val="00F45EBF"/>
    <w:rsid w:val="00F46498"/>
    <w:rsid w:val="00F503B5"/>
    <w:rsid w:val="00F51F0D"/>
    <w:rsid w:val="00F545AC"/>
    <w:rsid w:val="00F548A6"/>
    <w:rsid w:val="00F5497B"/>
    <w:rsid w:val="00F55507"/>
    <w:rsid w:val="00F55F3B"/>
    <w:rsid w:val="00F5694D"/>
    <w:rsid w:val="00F56A40"/>
    <w:rsid w:val="00F56BA5"/>
    <w:rsid w:val="00F56BE1"/>
    <w:rsid w:val="00F56D59"/>
    <w:rsid w:val="00F57538"/>
    <w:rsid w:val="00F6022A"/>
    <w:rsid w:val="00F60E01"/>
    <w:rsid w:val="00F61379"/>
    <w:rsid w:val="00F6160F"/>
    <w:rsid w:val="00F61BE4"/>
    <w:rsid w:val="00F6255A"/>
    <w:rsid w:val="00F62C42"/>
    <w:rsid w:val="00F637BF"/>
    <w:rsid w:val="00F644E6"/>
    <w:rsid w:val="00F6589A"/>
    <w:rsid w:val="00F66BDC"/>
    <w:rsid w:val="00F71643"/>
    <w:rsid w:val="00F71F53"/>
    <w:rsid w:val="00F725D1"/>
    <w:rsid w:val="00F72B58"/>
    <w:rsid w:val="00F737D9"/>
    <w:rsid w:val="00F7392C"/>
    <w:rsid w:val="00F746CA"/>
    <w:rsid w:val="00F74B0B"/>
    <w:rsid w:val="00F769C7"/>
    <w:rsid w:val="00F7730A"/>
    <w:rsid w:val="00F7784C"/>
    <w:rsid w:val="00F77995"/>
    <w:rsid w:val="00F77BFA"/>
    <w:rsid w:val="00F77E6F"/>
    <w:rsid w:val="00F820EF"/>
    <w:rsid w:val="00F82683"/>
    <w:rsid w:val="00F83D11"/>
    <w:rsid w:val="00F857F6"/>
    <w:rsid w:val="00F86E36"/>
    <w:rsid w:val="00F86EE8"/>
    <w:rsid w:val="00F87A9A"/>
    <w:rsid w:val="00F916AC"/>
    <w:rsid w:val="00F92CA1"/>
    <w:rsid w:val="00F93826"/>
    <w:rsid w:val="00F9653B"/>
    <w:rsid w:val="00F97B89"/>
    <w:rsid w:val="00F97D53"/>
    <w:rsid w:val="00FA01C8"/>
    <w:rsid w:val="00FA081A"/>
    <w:rsid w:val="00FA1759"/>
    <w:rsid w:val="00FA1ADA"/>
    <w:rsid w:val="00FA2245"/>
    <w:rsid w:val="00FA2C02"/>
    <w:rsid w:val="00FA2C1D"/>
    <w:rsid w:val="00FA310E"/>
    <w:rsid w:val="00FA359A"/>
    <w:rsid w:val="00FA3BDF"/>
    <w:rsid w:val="00FA63CD"/>
    <w:rsid w:val="00FA7982"/>
    <w:rsid w:val="00FA7CCD"/>
    <w:rsid w:val="00FB0E27"/>
    <w:rsid w:val="00FB0F94"/>
    <w:rsid w:val="00FB1A16"/>
    <w:rsid w:val="00FB1A3C"/>
    <w:rsid w:val="00FB2597"/>
    <w:rsid w:val="00FB4EE9"/>
    <w:rsid w:val="00FB62CF"/>
    <w:rsid w:val="00FC052E"/>
    <w:rsid w:val="00FC084F"/>
    <w:rsid w:val="00FC1E3D"/>
    <w:rsid w:val="00FC3262"/>
    <w:rsid w:val="00FC3283"/>
    <w:rsid w:val="00FC3EB4"/>
    <w:rsid w:val="00FC544A"/>
    <w:rsid w:val="00FC6C58"/>
    <w:rsid w:val="00FC78B0"/>
    <w:rsid w:val="00FD1C8A"/>
    <w:rsid w:val="00FD1DD0"/>
    <w:rsid w:val="00FD279F"/>
    <w:rsid w:val="00FD3BD1"/>
    <w:rsid w:val="00FD5518"/>
    <w:rsid w:val="00FD635E"/>
    <w:rsid w:val="00FD71F0"/>
    <w:rsid w:val="00FD746F"/>
    <w:rsid w:val="00FE09CA"/>
    <w:rsid w:val="00FE0FF3"/>
    <w:rsid w:val="00FE144F"/>
    <w:rsid w:val="00FE157F"/>
    <w:rsid w:val="00FE1EAD"/>
    <w:rsid w:val="00FE21AB"/>
    <w:rsid w:val="00FE3CEC"/>
    <w:rsid w:val="00FE40DE"/>
    <w:rsid w:val="00FE4DAB"/>
    <w:rsid w:val="00FE6B45"/>
    <w:rsid w:val="00FE6B58"/>
    <w:rsid w:val="00FE6EBC"/>
    <w:rsid w:val="00FE769E"/>
    <w:rsid w:val="00FF05BC"/>
    <w:rsid w:val="00FF0651"/>
    <w:rsid w:val="00FF1B5F"/>
    <w:rsid w:val="00FF1C1C"/>
    <w:rsid w:val="00FF379A"/>
    <w:rsid w:val="00FF3FB7"/>
    <w:rsid w:val="00FF4B22"/>
    <w:rsid w:val="00FF5724"/>
    <w:rsid w:val="00FF5851"/>
    <w:rsid w:val="00FF6C89"/>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uiPriority w:val="99"/>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Basicos/English/Basic21.a.Principles%20and%20Best%20Practices%20PDL.htm" TargetMode="External"/><Relationship Id="rId3" Type="http://schemas.openxmlformats.org/officeDocument/2006/relationships/hyperlink" Target="https://www.leagle.com/decision/19991237998sw2d23911233" TargetMode="External"/><Relationship Id="rId7" Type="http://schemas.openxmlformats.org/officeDocument/2006/relationships/hyperlink" Target="http://www.abanet.org/legalservices/downloads/%20sclaid/deathpenaltyguidelines.pdf" TargetMode="External"/><Relationship Id="rId2" Type="http://schemas.openxmlformats.org/officeDocument/2006/relationships/hyperlink" Target="http://en.wikipedia.org/wiki/Case_citation" TargetMode="External"/><Relationship Id="rId1" Type="http://schemas.openxmlformats.org/officeDocument/2006/relationships/hyperlink" Target="http://en.wikipedia.org/wiki/Mexico_v._United_States_of_America" TargetMode="External"/><Relationship Id="rId6" Type="http://schemas.openxmlformats.org/officeDocument/2006/relationships/hyperlink" Target="http://en.wikipedia.org/wiki/Case_citation" TargetMode="External"/><Relationship Id="rId5" Type="http://schemas.openxmlformats.org/officeDocument/2006/relationships/hyperlink" Target="http://en.wikipedia.org/wiki/Mexico_v._United_States_of_America" TargetMode="External"/><Relationship Id="rId4" Type="http://schemas.openxmlformats.org/officeDocument/2006/relationships/hyperlink" Target="https://law.utexas.edu/wp-content/uploads/sites/11/2017/04/2017-HRC-DesignedToBreakYou-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2C91-12F0-497D-9E4F-D7151AA4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333/21</dc:title>
  <dc:creator/>
  <cp:lastModifiedBy/>
  <cp:revision>1</cp:revision>
  <dcterms:created xsi:type="dcterms:W3CDTF">2021-12-15T18:25:00Z</dcterms:created>
  <dcterms:modified xsi:type="dcterms:W3CDTF">2021-12-15T18:25:00Z</dcterms:modified>
</cp:coreProperties>
</file>