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95FBA" w14:textId="77777777" w:rsidR="00040C3A" w:rsidRPr="00EC55EA" w:rsidRDefault="00AC4B90" w:rsidP="00EC55EA">
      <w:pPr>
        <w:jc w:val="both"/>
        <w:rPr>
          <w:rFonts w:asciiTheme="majorHAnsi" w:hAnsiTheme="majorHAnsi" w:cs="Univers"/>
          <w:b/>
          <w:bCs/>
          <w:sz w:val="20"/>
          <w:szCs w:val="20"/>
          <w:lang w:val="es-ES_tradnl"/>
        </w:rPr>
      </w:pPr>
      <w:r w:rsidRPr="00EC55EA">
        <w:rPr>
          <w:rFonts w:asciiTheme="majorHAnsi" w:hAnsiTheme="majorHAnsi"/>
          <w:noProof/>
          <w:sz w:val="20"/>
          <w:szCs w:val="20"/>
        </w:rPr>
        <mc:AlternateContent>
          <mc:Choice Requires="wps">
            <w:drawing>
              <wp:anchor distT="0" distB="0" distL="114300" distR="114300" simplePos="0" relativeHeight="251661311" behindDoc="0" locked="0" layoutInCell="1" allowOverlap="1" wp14:anchorId="738823F7" wp14:editId="48D8B8E9">
                <wp:simplePos x="0" y="0"/>
                <wp:positionH relativeFrom="column">
                  <wp:posOffset>-415925</wp:posOffset>
                </wp:positionH>
                <wp:positionV relativeFrom="paragraph">
                  <wp:posOffset>-356870</wp:posOffset>
                </wp:positionV>
                <wp:extent cx="1409700" cy="897763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626C7808"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" fillcolor="#67ae3c" stroked="f" strokeweight="2pt"/>
            </w:pict>
          </mc:Fallback>
        </mc:AlternateContent>
      </w:r>
      <w:r w:rsidRPr="00EC55EA">
        <w:rPr>
          <w:rFonts w:asciiTheme="majorHAnsi" w:hAnsiTheme="majorHAnsi"/>
          <w:noProof/>
          <w:sz w:val="20"/>
          <w:szCs w:val="20"/>
        </w:rPr>
        <mc:AlternateContent>
          <mc:Choice Requires="wps">
            <w:drawing>
              <wp:anchor distT="0" distB="0" distL="114300" distR="114300" simplePos="0" relativeHeight="251673600" behindDoc="0" locked="0" layoutInCell="1" allowOverlap="1" wp14:anchorId="3D3A97FD" wp14:editId="0BE59A7B">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6127859" w14:textId="77777777" w:rsidR="002B2833" w:rsidRDefault="002B2833">
                            <w:r>
                              <w:rPr>
                                <w:noProof/>
                              </w:rPr>
                              <w:drawing>
                                <wp:inline distT="0" distB="0" distL="0" distR="0" wp14:anchorId="17CA3923" wp14:editId="43FEB6DA">
                                  <wp:extent cx="2522763" cy="485775"/>
                                  <wp:effectExtent l="0" t="0" r="0" b="0"/>
                                  <wp:docPr id="6" name="Picture 6"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3A97FD"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" filled="f" stroked="f" strokeweight=".5pt">
                <v:textbox>
                  <w:txbxContent>
                    <w:p w14:paraId="16127859" w14:textId="77777777" w:rsidR="002B2833" w:rsidRDefault="002B2833">
                      <w:r>
                        <w:rPr>
                          <w:noProof/>
                        </w:rPr>
                        <w:drawing>
                          <wp:inline distT="0" distB="0" distL="0" distR="0" wp14:anchorId="17CA3923" wp14:editId="43FEB6DA">
                            <wp:extent cx="2522763" cy="485775"/>
                            <wp:effectExtent l="0" t="0" r="0" b="0"/>
                            <wp:docPr id="6" name="Picture 6"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v:textbox>
              </v:shape>
            </w:pict>
          </mc:Fallback>
        </mc:AlternateContent>
      </w:r>
    </w:p>
    <w:p w14:paraId="5D4A5A74" w14:textId="77777777" w:rsidR="00040C3A" w:rsidRPr="00EC55EA" w:rsidRDefault="00040C3A" w:rsidP="00EC55EA">
      <w:pPr>
        <w:tabs>
          <w:tab w:val="center" w:pos="5400"/>
        </w:tabs>
        <w:suppressAutoHyphens/>
        <w:jc w:val="both"/>
        <w:rPr>
          <w:rFonts w:asciiTheme="majorHAnsi" w:hAnsiTheme="majorHAnsi"/>
          <w:sz w:val="20"/>
          <w:szCs w:val="20"/>
          <w:lang w:val="es-ES"/>
        </w:rPr>
      </w:pPr>
    </w:p>
    <w:p w14:paraId="087D05F6" w14:textId="77777777" w:rsidR="00040C3A" w:rsidRPr="00EC55EA" w:rsidRDefault="00040C3A" w:rsidP="00EC55EA">
      <w:pPr>
        <w:tabs>
          <w:tab w:val="center" w:pos="5400"/>
        </w:tabs>
        <w:suppressAutoHyphens/>
        <w:jc w:val="both"/>
        <w:rPr>
          <w:rFonts w:asciiTheme="majorHAnsi" w:hAnsiTheme="majorHAnsi"/>
          <w:sz w:val="20"/>
          <w:szCs w:val="20"/>
          <w:lang w:val="es-ES"/>
        </w:rPr>
      </w:pPr>
    </w:p>
    <w:p w14:paraId="3F5A5E79" w14:textId="77777777" w:rsidR="005128E4" w:rsidRPr="00EC55EA" w:rsidRDefault="005128E4" w:rsidP="00EC55EA">
      <w:pPr>
        <w:tabs>
          <w:tab w:val="center" w:pos="5400"/>
        </w:tabs>
        <w:suppressAutoHyphens/>
        <w:rPr>
          <w:rFonts w:asciiTheme="majorHAnsi" w:hAnsiTheme="majorHAnsi"/>
          <w:sz w:val="20"/>
          <w:szCs w:val="20"/>
          <w:lang w:val="es-ES_tradnl"/>
        </w:rPr>
      </w:pPr>
    </w:p>
    <w:p w14:paraId="08E712F7" w14:textId="77777777" w:rsidR="005128E4" w:rsidRPr="00EC55EA" w:rsidRDefault="005128E4" w:rsidP="00EC55EA">
      <w:pPr>
        <w:tabs>
          <w:tab w:val="center" w:pos="5400"/>
        </w:tabs>
        <w:suppressAutoHyphens/>
        <w:rPr>
          <w:rFonts w:asciiTheme="majorHAnsi" w:hAnsiTheme="majorHAnsi"/>
          <w:sz w:val="20"/>
          <w:szCs w:val="20"/>
          <w:lang w:val="es-ES_tradnl"/>
        </w:rPr>
      </w:pPr>
    </w:p>
    <w:p w14:paraId="23CF3A64" w14:textId="77777777" w:rsidR="005128E4" w:rsidRPr="00EC55EA" w:rsidRDefault="005128E4" w:rsidP="00EC55EA">
      <w:pPr>
        <w:tabs>
          <w:tab w:val="center" w:pos="5400"/>
        </w:tabs>
        <w:suppressAutoHyphens/>
        <w:rPr>
          <w:rFonts w:asciiTheme="majorHAnsi" w:hAnsiTheme="majorHAnsi"/>
          <w:sz w:val="20"/>
          <w:szCs w:val="20"/>
          <w:lang w:val="es-ES_tradnl"/>
        </w:rPr>
      </w:pPr>
    </w:p>
    <w:p w14:paraId="5FFFCBB1" w14:textId="77777777" w:rsidR="00040C3A" w:rsidRPr="00EC55EA" w:rsidRDefault="00040C3A" w:rsidP="00EC55EA">
      <w:pPr>
        <w:tabs>
          <w:tab w:val="center" w:pos="5400"/>
        </w:tabs>
        <w:suppressAutoHyphens/>
        <w:jc w:val="center"/>
        <w:rPr>
          <w:rFonts w:asciiTheme="majorHAnsi" w:hAnsiTheme="majorHAnsi"/>
          <w:sz w:val="20"/>
          <w:szCs w:val="20"/>
          <w:lang w:val="es-ES_tradnl"/>
        </w:rPr>
      </w:pPr>
    </w:p>
    <w:p w14:paraId="73363C6F" w14:textId="77777777" w:rsidR="00040C3A" w:rsidRPr="00EC55EA" w:rsidRDefault="00AC4B90" w:rsidP="00EC55EA">
      <w:pPr>
        <w:tabs>
          <w:tab w:val="center" w:pos="5400"/>
        </w:tabs>
        <w:suppressAutoHyphens/>
        <w:jc w:val="center"/>
        <w:rPr>
          <w:rFonts w:asciiTheme="majorHAnsi" w:hAnsiTheme="majorHAnsi"/>
          <w:sz w:val="20"/>
          <w:szCs w:val="20"/>
          <w:lang w:val="es-ES_tradnl"/>
        </w:rPr>
      </w:pPr>
      <w:r w:rsidRPr="00EC55EA">
        <w:rPr>
          <w:rFonts w:asciiTheme="majorHAnsi" w:hAnsiTheme="majorHAnsi"/>
          <w:noProof/>
          <w:sz w:val="20"/>
          <w:szCs w:val="20"/>
        </w:rPr>
        <mc:AlternateContent>
          <mc:Choice Requires="wps">
            <w:drawing>
              <wp:anchor distT="0" distB="0" distL="114300" distR="114300" simplePos="0" relativeHeight="251657216" behindDoc="0" locked="0" layoutInCell="1" allowOverlap="1" wp14:anchorId="026424CC" wp14:editId="56E45DDB">
                <wp:simplePos x="0" y="0"/>
                <wp:positionH relativeFrom="column">
                  <wp:posOffset>1078230</wp:posOffset>
                </wp:positionH>
                <wp:positionV relativeFrom="paragraph">
                  <wp:posOffset>88900</wp:posOffset>
                </wp:positionV>
                <wp:extent cx="4333875" cy="367792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33875" cy="36779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F7F9A56" w14:textId="77777777" w:rsidR="002B2833" w:rsidRDefault="002B2833" w:rsidP="004B7EB6">
                            <w:pPr>
                              <w:spacing w:line="276" w:lineRule="auto"/>
                              <w:rPr>
                                <w:rFonts w:asciiTheme="majorHAnsi" w:hAnsiTheme="majorHAnsi" w:cs="Arial"/>
                                <w:b/>
                                <w:bCs/>
                                <w:color w:val="0D0D0D" w:themeColor="text1" w:themeTint="F2"/>
                                <w:sz w:val="36"/>
                                <w:szCs w:val="40"/>
                              </w:rPr>
                            </w:pPr>
                          </w:p>
                          <w:p w14:paraId="6D50BCDE" w14:textId="77777777" w:rsidR="002B2833" w:rsidRDefault="002B2833" w:rsidP="004B7EB6">
                            <w:pPr>
                              <w:spacing w:line="276" w:lineRule="auto"/>
                              <w:rPr>
                                <w:rFonts w:asciiTheme="majorHAnsi" w:hAnsiTheme="majorHAnsi" w:cs="Arial"/>
                                <w:b/>
                                <w:bCs/>
                                <w:color w:val="0D0D0D" w:themeColor="text1" w:themeTint="F2"/>
                                <w:sz w:val="36"/>
                                <w:szCs w:val="40"/>
                              </w:rPr>
                            </w:pPr>
                          </w:p>
                          <w:p w14:paraId="4D6A7281" w14:textId="77777777" w:rsidR="002B2833" w:rsidRDefault="002B2833" w:rsidP="004B7EB6">
                            <w:pPr>
                              <w:spacing w:line="276" w:lineRule="auto"/>
                              <w:rPr>
                                <w:rFonts w:asciiTheme="majorHAnsi" w:hAnsiTheme="majorHAnsi" w:cs="Arial"/>
                                <w:b/>
                                <w:bCs/>
                                <w:color w:val="0D0D0D" w:themeColor="text1" w:themeTint="F2"/>
                                <w:sz w:val="36"/>
                                <w:szCs w:val="40"/>
                              </w:rPr>
                            </w:pPr>
                          </w:p>
                          <w:p w14:paraId="07B7A166" w14:textId="77777777" w:rsidR="002B2833" w:rsidRDefault="002B2833" w:rsidP="004B7EB6">
                            <w:pPr>
                              <w:spacing w:line="276" w:lineRule="auto"/>
                              <w:rPr>
                                <w:rFonts w:asciiTheme="majorHAnsi" w:hAnsiTheme="majorHAnsi" w:cs="Arial"/>
                                <w:b/>
                                <w:bCs/>
                                <w:color w:val="0D0D0D" w:themeColor="text1" w:themeTint="F2"/>
                                <w:sz w:val="36"/>
                                <w:szCs w:val="40"/>
                              </w:rPr>
                            </w:pPr>
                          </w:p>
                          <w:p w14:paraId="2AB77410" w14:textId="31219D6D" w:rsidR="002B2833" w:rsidRPr="004B7EB6" w:rsidRDefault="002B2833"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REPORT No. </w:t>
                            </w:r>
                            <w:r w:rsidR="00A9729A">
                              <w:rPr>
                                <w:rFonts w:asciiTheme="majorHAnsi" w:hAnsiTheme="majorHAnsi" w:cs="Arial"/>
                                <w:b/>
                                <w:bCs/>
                                <w:color w:val="0D0D0D" w:themeColor="text1" w:themeTint="F2"/>
                                <w:sz w:val="36"/>
                                <w:szCs w:val="40"/>
                              </w:rPr>
                              <w:t>263</w:t>
                            </w:r>
                            <w:r>
                              <w:rPr>
                                <w:rFonts w:asciiTheme="majorHAnsi" w:hAnsiTheme="majorHAnsi" w:cs="Arial"/>
                                <w:b/>
                                <w:bCs/>
                                <w:color w:val="0D0D0D" w:themeColor="text1" w:themeTint="F2"/>
                                <w:sz w:val="36"/>
                                <w:szCs w:val="40"/>
                              </w:rPr>
                              <w:t>/2</w:t>
                            </w:r>
                            <w:r w:rsidR="000E4B19">
                              <w:rPr>
                                <w:rFonts w:asciiTheme="majorHAnsi" w:hAnsiTheme="majorHAnsi" w:cs="Arial"/>
                                <w:b/>
                                <w:bCs/>
                                <w:color w:val="0D0D0D" w:themeColor="text1" w:themeTint="F2"/>
                                <w:sz w:val="36"/>
                                <w:szCs w:val="40"/>
                              </w:rPr>
                              <w:t>3</w:t>
                            </w:r>
                          </w:p>
                          <w:p w14:paraId="5AEC5184" w14:textId="77777777" w:rsidR="002B2833" w:rsidRPr="004B7EB6" w:rsidRDefault="002B2833"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CASE </w:t>
                            </w:r>
                            <w:r>
                              <w:rPr>
                                <w:rFonts w:asciiTheme="majorHAnsi" w:hAnsiTheme="majorHAnsi" w:cs="Arial"/>
                                <w:b/>
                                <w:bCs/>
                                <w:color w:val="0D0D0D" w:themeColor="text1" w:themeTint="F2"/>
                                <w:sz w:val="36"/>
                                <w:szCs w:val="40"/>
                              </w:rPr>
                              <w:t>13.352</w:t>
                            </w:r>
                          </w:p>
                          <w:p w14:paraId="37002EA3" w14:textId="5A105E02" w:rsidR="002B2833" w:rsidRPr="004B7EB6" w:rsidRDefault="002B2833" w:rsidP="00F45EBF">
                            <w:pPr>
                              <w:spacing w:line="276" w:lineRule="auto"/>
                              <w:rPr>
                                <w:rFonts w:asciiTheme="majorHAnsi" w:hAnsiTheme="majorHAnsi" w:cs="Arial"/>
                                <w:color w:val="0D0D0D" w:themeColor="text1" w:themeTint="F2"/>
                                <w:szCs w:val="22"/>
                              </w:rPr>
                            </w:pPr>
                            <w:r w:rsidRPr="00E05E02">
                              <w:rPr>
                                <w:rFonts w:asciiTheme="majorHAnsi" w:hAnsiTheme="majorHAnsi" w:cs="Arial"/>
                                <w:color w:val="0D0D0D" w:themeColor="text1" w:themeTint="F2"/>
                                <w:szCs w:val="22"/>
                              </w:rPr>
                              <w:t>REPORT ON ADMISSIBILITY AND MERITS</w:t>
                            </w:r>
                            <w:r>
                              <w:rPr>
                                <w:rFonts w:asciiTheme="majorHAnsi" w:hAnsiTheme="majorHAnsi" w:cs="Arial"/>
                                <w:color w:val="0D0D0D" w:themeColor="text1" w:themeTint="F2"/>
                                <w:szCs w:val="22"/>
                              </w:rPr>
                              <w:t xml:space="preserve"> </w:t>
                            </w:r>
                            <w:r w:rsidRPr="00A9729A">
                              <w:rPr>
                                <w:rFonts w:asciiTheme="majorHAnsi" w:hAnsiTheme="majorHAnsi" w:cs="Arial"/>
                                <w:color w:val="0D0D0D" w:themeColor="text1" w:themeTint="F2"/>
                                <w:szCs w:val="22"/>
                              </w:rPr>
                              <w:t>(PUBLICA</w:t>
                            </w:r>
                            <w:r w:rsidR="00D41D03" w:rsidRPr="00A9729A">
                              <w:rPr>
                                <w:rFonts w:asciiTheme="majorHAnsi" w:hAnsiTheme="majorHAnsi" w:cs="Arial"/>
                                <w:color w:val="0D0D0D" w:themeColor="text1" w:themeTint="F2"/>
                                <w:szCs w:val="22"/>
                              </w:rPr>
                              <w:t>TIO</w:t>
                            </w:r>
                            <w:r w:rsidRPr="00A9729A">
                              <w:rPr>
                                <w:rFonts w:asciiTheme="majorHAnsi" w:hAnsiTheme="majorHAnsi" w:cs="Arial"/>
                                <w:color w:val="0D0D0D" w:themeColor="text1" w:themeTint="F2"/>
                                <w:szCs w:val="22"/>
                              </w:rPr>
                              <w:t>N)</w:t>
                            </w:r>
                            <w:r w:rsidRPr="004B7EB6">
                              <w:rPr>
                                <w:rFonts w:asciiTheme="majorHAnsi" w:hAnsiTheme="majorHAnsi" w:cs="Arial"/>
                                <w:color w:val="0D0D0D" w:themeColor="text1" w:themeTint="F2"/>
                                <w:szCs w:val="22"/>
                              </w:rPr>
                              <w:t xml:space="preserve"> </w:t>
                            </w:r>
                          </w:p>
                          <w:p w14:paraId="1D09FC75" w14:textId="77777777" w:rsidR="002B2833" w:rsidRPr="004B7EB6" w:rsidRDefault="002B2833" w:rsidP="004B7EB6">
                            <w:pPr>
                              <w:spacing w:line="276" w:lineRule="auto"/>
                              <w:rPr>
                                <w:rFonts w:asciiTheme="majorHAnsi" w:hAnsiTheme="majorHAnsi" w:cs="Arial"/>
                                <w:color w:val="0D0D0D" w:themeColor="text1" w:themeTint="F2"/>
                                <w:szCs w:val="22"/>
                              </w:rPr>
                            </w:pPr>
                          </w:p>
                          <w:p w14:paraId="2326D4CB" w14:textId="77777777" w:rsidR="002B2833" w:rsidRPr="00444596" w:rsidRDefault="002B2833"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 xml:space="preserve">JURIJUS KADAMOVAS </w:t>
                            </w:r>
                            <w:r w:rsidRPr="00052075">
                              <w:rPr>
                                <w:rFonts w:asciiTheme="majorHAnsi" w:hAnsiTheme="majorHAnsi" w:cs="Arial"/>
                                <w:i/>
                                <w:color w:val="0D0D0D" w:themeColor="text1" w:themeTint="F2"/>
                                <w:szCs w:val="22"/>
                              </w:rPr>
                              <w:t>ET AL.</w:t>
                            </w:r>
                          </w:p>
                          <w:p w14:paraId="23BE43BE" w14:textId="77777777" w:rsidR="002B2833" w:rsidRDefault="002B2833"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UNITED STATES OF AMERICA</w:t>
                            </w:r>
                          </w:p>
                          <w:p w14:paraId="55399B40" w14:textId="77777777" w:rsidR="002B2833" w:rsidRPr="00E57833" w:rsidRDefault="002B2833" w:rsidP="008D2EA5">
                            <w:pPr>
                              <w:spacing w:line="276" w:lineRule="auto"/>
                              <w:jc w:val="both"/>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6424CC" id="Text Box 5" o:spid="_x0000_s1027" type="#_x0000_t202" style="position:absolute;left:0;text-align:left;margin-left:84.9pt;margin-top:7pt;width:341.25pt;height:289.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" filled="f" stroked="f" strokeweight=".5pt">
                <v:textbox>
                  <w:txbxContent>
                    <w:p w14:paraId="4F7F9A56" w14:textId="77777777" w:rsidR="002B2833" w:rsidRDefault="002B2833" w:rsidP="004B7EB6">
                      <w:pPr>
                        <w:spacing w:line="276" w:lineRule="auto"/>
                        <w:rPr>
                          <w:rFonts w:asciiTheme="majorHAnsi" w:hAnsiTheme="majorHAnsi" w:cs="Arial"/>
                          <w:b/>
                          <w:bCs/>
                          <w:color w:val="0D0D0D" w:themeColor="text1" w:themeTint="F2"/>
                          <w:sz w:val="36"/>
                          <w:szCs w:val="40"/>
                        </w:rPr>
                      </w:pPr>
                    </w:p>
                    <w:p w14:paraId="6D50BCDE" w14:textId="77777777" w:rsidR="002B2833" w:rsidRDefault="002B2833" w:rsidP="004B7EB6">
                      <w:pPr>
                        <w:spacing w:line="276" w:lineRule="auto"/>
                        <w:rPr>
                          <w:rFonts w:asciiTheme="majorHAnsi" w:hAnsiTheme="majorHAnsi" w:cs="Arial"/>
                          <w:b/>
                          <w:bCs/>
                          <w:color w:val="0D0D0D" w:themeColor="text1" w:themeTint="F2"/>
                          <w:sz w:val="36"/>
                          <w:szCs w:val="40"/>
                        </w:rPr>
                      </w:pPr>
                    </w:p>
                    <w:p w14:paraId="4D6A7281" w14:textId="77777777" w:rsidR="002B2833" w:rsidRDefault="002B2833" w:rsidP="004B7EB6">
                      <w:pPr>
                        <w:spacing w:line="276" w:lineRule="auto"/>
                        <w:rPr>
                          <w:rFonts w:asciiTheme="majorHAnsi" w:hAnsiTheme="majorHAnsi" w:cs="Arial"/>
                          <w:b/>
                          <w:bCs/>
                          <w:color w:val="0D0D0D" w:themeColor="text1" w:themeTint="F2"/>
                          <w:sz w:val="36"/>
                          <w:szCs w:val="40"/>
                        </w:rPr>
                      </w:pPr>
                    </w:p>
                    <w:p w14:paraId="07B7A166" w14:textId="77777777" w:rsidR="002B2833" w:rsidRDefault="002B2833" w:rsidP="004B7EB6">
                      <w:pPr>
                        <w:spacing w:line="276" w:lineRule="auto"/>
                        <w:rPr>
                          <w:rFonts w:asciiTheme="majorHAnsi" w:hAnsiTheme="majorHAnsi" w:cs="Arial"/>
                          <w:b/>
                          <w:bCs/>
                          <w:color w:val="0D0D0D" w:themeColor="text1" w:themeTint="F2"/>
                          <w:sz w:val="36"/>
                          <w:szCs w:val="40"/>
                        </w:rPr>
                      </w:pPr>
                    </w:p>
                    <w:p w14:paraId="2AB77410" w14:textId="31219D6D" w:rsidR="002B2833" w:rsidRPr="004B7EB6" w:rsidRDefault="002B2833"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REPORT No. </w:t>
                      </w:r>
                      <w:r w:rsidR="00A9729A">
                        <w:rPr>
                          <w:rFonts w:asciiTheme="majorHAnsi" w:hAnsiTheme="majorHAnsi" w:cs="Arial"/>
                          <w:b/>
                          <w:bCs/>
                          <w:color w:val="0D0D0D" w:themeColor="text1" w:themeTint="F2"/>
                          <w:sz w:val="36"/>
                          <w:szCs w:val="40"/>
                        </w:rPr>
                        <w:t>263</w:t>
                      </w:r>
                      <w:r>
                        <w:rPr>
                          <w:rFonts w:asciiTheme="majorHAnsi" w:hAnsiTheme="majorHAnsi" w:cs="Arial"/>
                          <w:b/>
                          <w:bCs/>
                          <w:color w:val="0D0D0D" w:themeColor="text1" w:themeTint="F2"/>
                          <w:sz w:val="36"/>
                          <w:szCs w:val="40"/>
                        </w:rPr>
                        <w:t>/2</w:t>
                      </w:r>
                      <w:r w:rsidR="000E4B19">
                        <w:rPr>
                          <w:rFonts w:asciiTheme="majorHAnsi" w:hAnsiTheme="majorHAnsi" w:cs="Arial"/>
                          <w:b/>
                          <w:bCs/>
                          <w:color w:val="0D0D0D" w:themeColor="text1" w:themeTint="F2"/>
                          <w:sz w:val="36"/>
                          <w:szCs w:val="40"/>
                        </w:rPr>
                        <w:t>3</w:t>
                      </w:r>
                    </w:p>
                    <w:p w14:paraId="5AEC5184" w14:textId="77777777" w:rsidR="002B2833" w:rsidRPr="004B7EB6" w:rsidRDefault="002B2833"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CASE </w:t>
                      </w:r>
                      <w:r>
                        <w:rPr>
                          <w:rFonts w:asciiTheme="majorHAnsi" w:hAnsiTheme="majorHAnsi" w:cs="Arial"/>
                          <w:b/>
                          <w:bCs/>
                          <w:color w:val="0D0D0D" w:themeColor="text1" w:themeTint="F2"/>
                          <w:sz w:val="36"/>
                          <w:szCs w:val="40"/>
                        </w:rPr>
                        <w:t>13.352</w:t>
                      </w:r>
                    </w:p>
                    <w:p w14:paraId="37002EA3" w14:textId="5A105E02" w:rsidR="002B2833" w:rsidRPr="004B7EB6" w:rsidRDefault="002B2833" w:rsidP="00F45EBF">
                      <w:pPr>
                        <w:spacing w:line="276" w:lineRule="auto"/>
                        <w:rPr>
                          <w:rFonts w:asciiTheme="majorHAnsi" w:hAnsiTheme="majorHAnsi" w:cs="Arial"/>
                          <w:color w:val="0D0D0D" w:themeColor="text1" w:themeTint="F2"/>
                          <w:szCs w:val="22"/>
                        </w:rPr>
                      </w:pPr>
                      <w:r w:rsidRPr="00E05E02">
                        <w:rPr>
                          <w:rFonts w:asciiTheme="majorHAnsi" w:hAnsiTheme="majorHAnsi" w:cs="Arial"/>
                          <w:color w:val="0D0D0D" w:themeColor="text1" w:themeTint="F2"/>
                          <w:szCs w:val="22"/>
                        </w:rPr>
                        <w:t>REPORT ON ADMISSIBILITY AND MERITS</w:t>
                      </w:r>
                      <w:r>
                        <w:rPr>
                          <w:rFonts w:asciiTheme="majorHAnsi" w:hAnsiTheme="majorHAnsi" w:cs="Arial"/>
                          <w:color w:val="0D0D0D" w:themeColor="text1" w:themeTint="F2"/>
                          <w:szCs w:val="22"/>
                        </w:rPr>
                        <w:t xml:space="preserve"> </w:t>
                      </w:r>
                      <w:r w:rsidRPr="00A9729A">
                        <w:rPr>
                          <w:rFonts w:asciiTheme="majorHAnsi" w:hAnsiTheme="majorHAnsi" w:cs="Arial"/>
                          <w:color w:val="0D0D0D" w:themeColor="text1" w:themeTint="F2"/>
                          <w:szCs w:val="22"/>
                        </w:rPr>
                        <w:t>(PUBLICA</w:t>
                      </w:r>
                      <w:r w:rsidR="00D41D03" w:rsidRPr="00A9729A">
                        <w:rPr>
                          <w:rFonts w:asciiTheme="majorHAnsi" w:hAnsiTheme="majorHAnsi" w:cs="Arial"/>
                          <w:color w:val="0D0D0D" w:themeColor="text1" w:themeTint="F2"/>
                          <w:szCs w:val="22"/>
                        </w:rPr>
                        <w:t>TIO</w:t>
                      </w:r>
                      <w:r w:rsidRPr="00A9729A">
                        <w:rPr>
                          <w:rFonts w:asciiTheme="majorHAnsi" w:hAnsiTheme="majorHAnsi" w:cs="Arial"/>
                          <w:color w:val="0D0D0D" w:themeColor="text1" w:themeTint="F2"/>
                          <w:szCs w:val="22"/>
                        </w:rPr>
                        <w:t>N)</w:t>
                      </w:r>
                      <w:r w:rsidRPr="004B7EB6">
                        <w:rPr>
                          <w:rFonts w:asciiTheme="majorHAnsi" w:hAnsiTheme="majorHAnsi" w:cs="Arial"/>
                          <w:color w:val="0D0D0D" w:themeColor="text1" w:themeTint="F2"/>
                          <w:szCs w:val="22"/>
                        </w:rPr>
                        <w:t xml:space="preserve"> </w:t>
                      </w:r>
                    </w:p>
                    <w:p w14:paraId="1D09FC75" w14:textId="77777777" w:rsidR="002B2833" w:rsidRPr="004B7EB6" w:rsidRDefault="002B2833" w:rsidP="004B7EB6">
                      <w:pPr>
                        <w:spacing w:line="276" w:lineRule="auto"/>
                        <w:rPr>
                          <w:rFonts w:asciiTheme="majorHAnsi" w:hAnsiTheme="majorHAnsi" w:cs="Arial"/>
                          <w:color w:val="0D0D0D" w:themeColor="text1" w:themeTint="F2"/>
                          <w:szCs w:val="22"/>
                        </w:rPr>
                      </w:pPr>
                    </w:p>
                    <w:p w14:paraId="2326D4CB" w14:textId="77777777" w:rsidR="002B2833" w:rsidRPr="00444596" w:rsidRDefault="002B2833"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 xml:space="preserve">JURIJUS KADAMOVAS </w:t>
                      </w:r>
                      <w:r w:rsidRPr="00052075">
                        <w:rPr>
                          <w:rFonts w:asciiTheme="majorHAnsi" w:hAnsiTheme="majorHAnsi" w:cs="Arial"/>
                          <w:i/>
                          <w:color w:val="0D0D0D" w:themeColor="text1" w:themeTint="F2"/>
                          <w:szCs w:val="22"/>
                        </w:rPr>
                        <w:t>ET AL.</w:t>
                      </w:r>
                    </w:p>
                    <w:p w14:paraId="23BE43BE" w14:textId="77777777" w:rsidR="002B2833" w:rsidRDefault="002B2833"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UNITED STATES OF AMERICA</w:t>
                      </w:r>
                    </w:p>
                    <w:p w14:paraId="55399B40" w14:textId="77777777" w:rsidR="002B2833" w:rsidRPr="00E57833" w:rsidRDefault="002B2833" w:rsidP="008D2EA5">
                      <w:pPr>
                        <w:spacing w:line="276" w:lineRule="auto"/>
                        <w:jc w:val="both"/>
                        <w:rPr>
                          <w:rFonts w:asciiTheme="majorHAnsi" w:hAnsiTheme="majorHAnsi"/>
                          <w:color w:val="0D0D0D" w:themeColor="text1" w:themeTint="F2"/>
                        </w:rPr>
                      </w:pPr>
                    </w:p>
                  </w:txbxContent>
                </v:textbox>
              </v:shape>
            </w:pict>
          </mc:Fallback>
        </mc:AlternateContent>
      </w:r>
    </w:p>
    <w:p w14:paraId="02B96730" w14:textId="77777777" w:rsidR="005B52B0" w:rsidRPr="00EC55EA" w:rsidRDefault="005B52B0" w:rsidP="00EC55EA">
      <w:pPr>
        <w:tabs>
          <w:tab w:val="center" w:pos="5400"/>
        </w:tabs>
        <w:suppressAutoHyphens/>
        <w:jc w:val="center"/>
        <w:rPr>
          <w:rFonts w:asciiTheme="majorHAnsi" w:hAnsiTheme="majorHAnsi"/>
          <w:sz w:val="20"/>
          <w:szCs w:val="20"/>
          <w:lang w:val="es-ES_tradnl"/>
        </w:rPr>
      </w:pPr>
    </w:p>
    <w:p w14:paraId="1DB84F77" w14:textId="77777777" w:rsidR="005B52B0" w:rsidRPr="00EC55EA" w:rsidRDefault="005B52B0" w:rsidP="00EC55EA">
      <w:pPr>
        <w:tabs>
          <w:tab w:val="center" w:pos="5400"/>
        </w:tabs>
        <w:suppressAutoHyphens/>
        <w:jc w:val="center"/>
        <w:rPr>
          <w:rFonts w:asciiTheme="majorHAnsi" w:hAnsiTheme="majorHAnsi"/>
          <w:sz w:val="20"/>
          <w:szCs w:val="20"/>
          <w:lang w:val="es-ES_tradnl"/>
        </w:rPr>
      </w:pPr>
    </w:p>
    <w:p w14:paraId="42CD5675" w14:textId="77777777" w:rsidR="005B52B0" w:rsidRPr="00EC55EA" w:rsidRDefault="005B52B0" w:rsidP="00EC55EA">
      <w:pPr>
        <w:tabs>
          <w:tab w:val="center" w:pos="5400"/>
        </w:tabs>
        <w:suppressAutoHyphens/>
        <w:jc w:val="center"/>
        <w:rPr>
          <w:rFonts w:asciiTheme="majorHAnsi" w:hAnsiTheme="majorHAnsi"/>
          <w:sz w:val="20"/>
          <w:szCs w:val="20"/>
          <w:lang w:val="es-ES_tradnl"/>
        </w:rPr>
      </w:pPr>
    </w:p>
    <w:p w14:paraId="5A7AA942" w14:textId="77777777" w:rsidR="00040C3A" w:rsidRPr="00EC55EA" w:rsidRDefault="00040C3A" w:rsidP="00EC55EA">
      <w:pPr>
        <w:tabs>
          <w:tab w:val="center" w:pos="5400"/>
        </w:tabs>
        <w:suppressAutoHyphens/>
        <w:jc w:val="center"/>
        <w:rPr>
          <w:rFonts w:asciiTheme="majorHAnsi" w:hAnsiTheme="majorHAnsi"/>
          <w:sz w:val="20"/>
          <w:szCs w:val="20"/>
          <w:lang w:val="es-ES_tradnl"/>
        </w:rPr>
      </w:pPr>
    </w:p>
    <w:p w14:paraId="2EBC3241" w14:textId="77777777" w:rsidR="00040C3A" w:rsidRPr="00EC55EA" w:rsidRDefault="00040C3A" w:rsidP="00EC55EA">
      <w:pPr>
        <w:tabs>
          <w:tab w:val="center" w:pos="5400"/>
        </w:tabs>
        <w:suppressAutoHyphens/>
        <w:jc w:val="center"/>
        <w:rPr>
          <w:rFonts w:asciiTheme="majorHAnsi" w:hAnsiTheme="majorHAnsi"/>
          <w:sz w:val="20"/>
          <w:szCs w:val="20"/>
          <w:lang w:val="es-ES_tradnl"/>
        </w:rPr>
      </w:pPr>
    </w:p>
    <w:p w14:paraId="04E0A2F6" w14:textId="77777777" w:rsidR="00040C3A" w:rsidRPr="00EC55EA" w:rsidRDefault="00040C3A" w:rsidP="00EC55EA">
      <w:pPr>
        <w:tabs>
          <w:tab w:val="center" w:pos="5400"/>
        </w:tabs>
        <w:suppressAutoHyphens/>
        <w:jc w:val="center"/>
        <w:rPr>
          <w:rFonts w:asciiTheme="majorHAnsi" w:hAnsiTheme="majorHAnsi"/>
          <w:sz w:val="20"/>
          <w:szCs w:val="20"/>
          <w:lang w:val="es-ES_tradnl"/>
        </w:rPr>
      </w:pPr>
    </w:p>
    <w:p w14:paraId="38D86573" w14:textId="77777777" w:rsidR="00040C3A" w:rsidRPr="00EC55EA" w:rsidRDefault="00040C3A" w:rsidP="00EC55EA">
      <w:pPr>
        <w:tabs>
          <w:tab w:val="center" w:pos="5400"/>
        </w:tabs>
        <w:suppressAutoHyphens/>
        <w:jc w:val="center"/>
        <w:rPr>
          <w:rFonts w:asciiTheme="majorHAnsi" w:hAnsiTheme="majorHAnsi"/>
          <w:sz w:val="20"/>
          <w:szCs w:val="20"/>
          <w:lang w:val="es-ES_tradnl"/>
        </w:rPr>
      </w:pPr>
    </w:p>
    <w:p w14:paraId="60B8BB73" w14:textId="77777777" w:rsidR="00040C3A" w:rsidRPr="00EC55EA" w:rsidRDefault="00AC4B90" w:rsidP="00EC55EA">
      <w:pPr>
        <w:tabs>
          <w:tab w:val="center" w:pos="5400"/>
        </w:tabs>
        <w:suppressAutoHyphens/>
        <w:jc w:val="center"/>
        <w:rPr>
          <w:rFonts w:asciiTheme="majorHAnsi" w:hAnsiTheme="majorHAnsi"/>
          <w:sz w:val="20"/>
          <w:szCs w:val="20"/>
          <w:lang w:val="es-ES_tradnl"/>
        </w:rPr>
      </w:pPr>
      <w:r w:rsidRPr="00EC55EA">
        <w:rPr>
          <w:rFonts w:asciiTheme="majorHAnsi" w:hAnsiTheme="majorHAnsi"/>
          <w:noProof/>
          <w:sz w:val="20"/>
          <w:szCs w:val="20"/>
        </w:rPr>
        <mc:AlternateContent>
          <mc:Choice Requires="wps">
            <w:drawing>
              <wp:anchor distT="0" distB="0" distL="114300" distR="114300" simplePos="0" relativeHeight="251671552" behindDoc="0" locked="0" layoutInCell="1" allowOverlap="1" wp14:anchorId="11F179CC" wp14:editId="77DA4C6A">
                <wp:simplePos x="0" y="0"/>
                <wp:positionH relativeFrom="column">
                  <wp:posOffset>-370205</wp:posOffset>
                </wp:positionH>
                <wp:positionV relativeFrom="paragraph">
                  <wp:posOffset>43180</wp:posOffset>
                </wp:positionV>
                <wp:extent cx="1334135" cy="835025"/>
                <wp:effectExtent l="0" t="0" r="0" b="31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34135" cy="835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FC36BB6" w14:textId="3A50D926" w:rsidR="002B2833" w:rsidRPr="00E86BEA" w:rsidRDefault="002B2833" w:rsidP="002C1641">
                            <w:pPr>
                              <w:jc w:val="right"/>
                              <w:rPr>
                                <w:rFonts w:asciiTheme="minorHAnsi" w:hAnsiTheme="minorHAnsi"/>
                                <w:color w:val="FFFFFF" w:themeColor="background1"/>
                                <w:sz w:val="22"/>
                              </w:rPr>
                            </w:pPr>
                            <w:r w:rsidRPr="00E86BEA">
                              <w:rPr>
                                <w:rFonts w:asciiTheme="minorHAnsi" w:hAnsiTheme="minorHAnsi"/>
                                <w:color w:val="FFFFFF" w:themeColor="background1"/>
                                <w:sz w:val="22"/>
                              </w:rPr>
                              <w:t>OEA/Ser.L/V/II</w:t>
                            </w:r>
                          </w:p>
                          <w:p w14:paraId="67081D60" w14:textId="6AAEF5C2" w:rsidR="002B2833" w:rsidRPr="00706D7E" w:rsidRDefault="002B2833" w:rsidP="002C1641">
                            <w:pPr>
                              <w:jc w:val="right"/>
                              <w:rPr>
                                <w:rFonts w:asciiTheme="minorHAnsi" w:hAnsiTheme="minorHAnsi"/>
                                <w:color w:val="FFFFFF" w:themeColor="background1"/>
                                <w:sz w:val="22"/>
                              </w:rPr>
                            </w:pPr>
                            <w:r>
                              <w:rPr>
                                <w:rFonts w:asciiTheme="minorHAnsi" w:hAnsiTheme="minorHAnsi"/>
                                <w:color w:val="FFFFFF" w:themeColor="background1"/>
                                <w:sz w:val="22"/>
                              </w:rPr>
                              <w:t>Doc.</w:t>
                            </w:r>
                            <w:r w:rsidR="00A9729A">
                              <w:rPr>
                                <w:rFonts w:asciiTheme="minorHAnsi" w:hAnsiTheme="minorHAnsi"/>
                                <w:color w:val="FFFFFF" w:themeColor="background1"/>
                                <w:sz w:val="22"/>
                              </w:rPr>
                              <w:t>282</w:t>
                            </w:r>
                          </w:p>
                          <w:p w14:paraId="3D5BDA2C" w14:textId="6FC2DD9C" w:rsidR="002B2833" w:rsidRPr="004B7EB6" w:rsidRDefault="00A9729A" w:rsidP="002C1641">
                            <w:pPr>
                              <w:jc w:val="right"/>
                              <w:rPr>
                                <w:rFonts w:asciiTheme="minorHAnsi" w:hAnsiTheme="minorHAnsi"/>
                                <w:color w:val="FFFFFF" w:themeColor="background1"/>
                                <w:sz w:val="22"/>
                              </w:rPr>
                            </w:pPr>
                            <w:r>
                              <w:rPr>
                                <w:rFonts w:asciiTheme="minorHAnsi" w:hAnsiTheme="minorHAnsi"/>
                                <w:color w:val="FFFFFF" w:themeColor="background1"/>
                                <w:sz w:val="22"/>
                              </w:rPr>
                              <w:t>May</w:t>
                            </w:r>
                            <w:r w:rsidR="002B2833">
                              <w:rPr>
                                <w:rFonts w:asciiTheme="minorHAnsi" w:hAnsiTheme="minorHAnsi"/>
                                <w:color w:val="FFFFFF" w:themeColor="background1"/>
                                <w:sz w:val="22"/>
                              </w:rPr>
                              <w:t xml:space="preserve"> </w:t>
                            </w:r>
                            <w:r>
                              <w:rPr>
                                <w:rFonts w:asciiTheme="minorHAnsi" w:hAnsiTheme="minorHAnsi"/>
                                <w:color w:val="FFFFFF" w:themeColor="background1"/>
                                <w:sz w:val="22"/>
                              </w:rPr>
                              <w:t>12</w:t>
                            </w:r>
                            <w:r w:rsidR="002B2833">
                              <w:rPr>
                                <w:rFonts w:asciiTheme="minorHAnsi" w:hAnsiTheme="minorHAnsi"/>
                                <w:color w:val="FFFFFF" w:themeColor="background1"/>
                                <w:sz w:val="22"/>
                              </w:rPr>
                              <w:t>, 202</w:t>
                            </w:r>
                            <w:r w:rsidR="000E4B19">
                              <w:rPr>
                                <w:rFonts w:asciiTheme="minorHAnsi" w:hAnsiTheme="minorHAnsi"/>
                                <w:color w:val="FFFFFF" w:themeColor="background1"/>
                                <w:sz w:val="22"/>
                              </w:rPr>
                              <w:t>3</w:t>
                            </w:r>
                          </w:p>
                          <w:p w14:paraId="07CD8BDA" w14:textId="77777777" w:rsidR="002B2833" w:rsidRPr="004B7EB6" w:rsidRDefault="002B2833"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 English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F179CC" id="Text Box 8" o:spid="_x0000_s1028" type="#_x0000_t202" style="position:absolute;left:0;text-align:left;margin-left:-29.15pt;margin-top:3.4pt;width:105.05pt;height:6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" filled="f" stroked="f" strokeweight=".5pt">
                <v:textbox>
                  <w:txbxContent>
                    <w:p w14:paraId="5FC36BB6" w14:textId="3A50D926" w:rsidR="002B2833" w:rsidRPr="00E86BEA" w:rsidRDefault="002B2833" w:rsidP="002C1641">
                      <w:pPr>
                        <w:jc w:val="right"/>
                        <w:rPr>
                          <w:rFonts w:asciiTheme="minorHAnsi" w:hAnsiTheme="minorHAnsi"/>
                          <w:color w:val="FFFFFF" w:themeColor="background1"/>
                          <w:sz w:val="22"/>
                        </w:rPr>
                      </w:pPr>
                      <w:r w:rsidRPr="00E86BEA">
                        <w:rPr>
                          <w:rFonts w:asciiTheme="minorHAnsi" w:hAnsiTheme="minorHAnsi"/>
                          <w:color w:val="FFFFFF" w:themeColor="background1"/>
                          <w:sz w:val="22"/>
                        </w:rPr>
                        <w:t>OEA/Ser.L/V/II</w:t>
                      </w:r>
                    </w:p>
                    <w:p w14:paraId="67081D60" w14:textId="6AAEF5C2" w:rsidR="002B2833" w:rsidRPr="00706D7E" w:rsidRDefault="002B2833" w:rsidP="002C1641">
                      <w:pPr>
                        <w:jc w:val="right"/>
                        <w:rPr>
                          <w:rFonts w:asciiTheme="minorHAnsi" w:hAnsiTheme="minorHAnsi"/>
                          <w:color w:val="FFFFFF" w:themeColor="background1"/>
                          <w:sz w:val="22"/>
                        </w:rPr>
                      </w:pPr>
                      <w:r>
                        <w:rPr>
                          <w:rFonts w:asciiTheme="minorHAnsi" w:hAnsiTheme="minorHAnsi"/>
                          <w:color w:val="FFFFFF" w:themeColor="background1"/>
                          <w:sz w:val="22"/>
                        </w:rPr>
                        <w:t>Doc.</w:t>
                      </w:r>
                      <w:r w:rsidR="00A9729A">
                        <w:rPr>
                          <w:rFonts w:asciiTheme="minorHAnsi" w:hAnsiTheme="minorHAnsi"/>
                          <w:color w:val="FFFFFF" w:themeColor="background1"/>
                          <w:sz w:val="22"/>
                        </w:rPr>
                        <w:t>282</w:t>
                      </w:r>
                    </w:p>
                    <w:p w14:paraId="3D5BDA2C" w14:textId="6FC2DD9C" w:rsidR="002B2833" w:rsidRPr="004B7EB6" w:rsidRDefault="00A9729A" w:rsidP="002C1641">
                      <w:pPr>
                        <w:jc w:val="right"/>
                        <w:rPr>
                          <w:rFonts w:asciiTheme="minorHAnsi" w:hAnsiTheme="minorHAnsi"/>
                          <w:color w:val="FFFFFF" w:themeColor="background1"/>
                          <w:sz w:val="22"/>
                        </w:rPr>
                      </w:pPr>
                      <w:r>
                        <w:rPr>
                          <w:rFonts w:asciiTheme="minorHAnsi" w:hAnsiTheme="minorHAnsi"/>
                          <w:color w:val="FFFFFF" w:themeColor="background1"/>
                          <w:sz w:val="22"/>
                        </w:rPr>
                        <w:t>May</w:t>
                      </w:r>
                      <w:r w:rsidR="002B2833">
                        <w:rPr>
                          <w:rFonts w:asciiTheme="minorHAnsi" w:hAnsiTheme="minorHAnsi"/>
                          <w:color w:val="FFFFFF" w:themeColor="background1"/>
                          <w:sz w:val="22"/>
                        </w:rPr>
                        <w:t xml:space="preserve"> </w:t>
                      </w:r>
                      <w:r>
                        <w:rPr>
                          <w:rFonts w:asciiTheme="minorHAnsi" w:hAnsiTheme="minorHAnsi"/>
                          <w:color w:val="FFFFFF" w:themeColor="background1"/>
                          <w:sz w:val="22"/>
                        </w:rPr>
                        <w:t>12</w:t>
                      </w:r>
                      <w:r w:rsidR="002B2833">
                        <w:rPr>
                          <w:rFonts w:asciiTheme="minorHAnsi" w:hAnsiTheme="minorHAnsi"/>
                          <w:color w:val="FFFFFF" w:themeColor="background1"/>
                          <w:sz w:val="22"/>
                        </w:rPr>
                        <w:t>, 202</w:t>
                      </w:r>
                      <w:r w:rsidR="000E4B19">
                        <w:rPr>
                          <w:rFonts w:asciiTheme="minorHAnsi" w:hAnsiTheme="minorHAnsi"/>
                          <w:color w:val="FFFFFF" w:themeColor="background1"/>
                          <w:sz w:val="22"/>
                        </w:rPr>
                        <w:t>3</w:t>
                      </w:r>
                    </w:p>
                    <w:p w14:paraId="07CD8BDA" w14:textId="77777777" w:rsidR="002B2833" w:rsidRPr="004B7EB6" w:rsidRDefault="002B2833"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 English</w:t>
                      </w:r>
                    </w:p>
                  </w:txbxContent>
                </v:textbox>
              </v:shape>
            </w:pict>
          </mc:Fallback>
        </mc:AlternateContent>
      </w:r>
    </w:p>
    <w:p w14:paraId="29FC2057" w14:textId="77777777" w:rsidR="00040C3A" w:rsidRPr="00EC55EA" w:rsidRDefault="00040C3A" w:rsidP="00EC55EA">
      <w:pPr>
        <w:tabs>
          <w:tab w:val="center" w:pos="5400"/>
        </w:tabs>
        <w:suppressAutoHyphens/>
        <w:jc w:val="center"/>
        <w:rPr>
          <w:rFonts w:asciiTheme="majorHAnsi" w:hAnsiTheme="majorHAnsi" w:cs="Arial"/>
          <w:sz w:val="20"/>
          <w:szCs w:val="20"/>
          <w:lang w:val="es-ES_tradnl"/>
        </w:rPr>
      </w:pPr>
    </w:p>
    <w:p w14:paraId="48718338" w14:textId="77777777" w:rsidR="00040C3A" w:rsidRPr="00EC55EA" w:rsidRDefault="00040C3A" w:rsidP="00EC55EA">
      <w:pPr>
        <w:tabs>
          <w:tab w:val="center" w:pos="5400"/>
        </w:tabs>
        <w:suppressAutoHyphens/>
        <w:jc w:val="center"/>
        <w:rPr>
          <w:rFonts w:asciiTheme="majorHAnsi" w:hAnsiTheme="majorHAnsi"/>
          <w:sz w:val="20"/>
          <w:szCs w:val="20"/>
          <w:lang w:val="es-ES_tradnl"/>
        </w:rPr>
      </w:pPr>
    </w:p>
    <w:p w14:paraId="45C3DE79" w14:textId="77777777" w:rsidR="00040C3A" w:rsidRPr="00EC55EA" w:rsidRDefault="00040C3A" w:rsidP="00EC55EA">
      <w:pPr>
        <w:tabs>
          <w:tab w:val="center" w:pos="5400"/>
        </w:tabs>
        <w:suppressAutoHyphens/>
        <w:jc w:val="center"/>
        <w:rPr>
          <w:rFonts w:asciiTheme="majorHAnsi" w:hAnsiTheme="majorHAnsi"/>
          <w:sz w:val="20"/>
          <w:szCs w:val="20"/>
          <w:lang w:val="es-ES_tradnl"/>
        </w:rPr>
      </w:pPr>
    </w:p>
    <w:p w14:paraId="063AADB7" w14:textId="77777777" w:rsidR="00040C3A" w:rsidRPr="00EC55EA" w:rsidRDefault="00040C3A" w:rsidP="00EC55EA">
      <w:pPr>
        <w:tabs>
          <w:tab w:val="center" w:pos="5400"/>
        </w:tabs>
        <w:suppressAutoHyphens/>
        <w:jc w:val="center"/>
        <w:rPr>
          <w:rFonts w:asciiTheme="majorHAnsi" w:hAnsiTheme="majorHAnsi"/>
          <w:sz w:val="20"/>
          <w:szCs w:val="20"/>
          <w:lang w:val="es-ES_tradnl"/>
        </w:rPr>
      </w:pPr>
    </w:p>
    <w:p w14:paraId="1426EC39" w14:textId="77777777" w:rsidR="00040C3A" w:rsidRPr="00EC55EA" w:rsidRDefault="00040C3A" w:rsidP="00EC55EA">
      <w:pPr>
        <w:tabs>
          <w:tab w:val="center" w:pos="5400"/>
        </w:tabs>
        <w:suppressAutoHyphens/>
        <w:jc w:val="center"/>
        <w:rPr>
          <w:rFonts w:asciiTheme="majorHAnsi" w:hAnsiTheme="majorHAnsi"/>
          <w:sz w:val="20"/>
          <w:szCs w:val="20"/>
          <w:lang w:val="es-ES_tradnl"/>
        </w:rPr>
      </w:pPr>
    </w:p>
    <w:p w14:paraId="3440F6AA" w14:textId="77777777" w:rsidR="005128E4" w:rsidRPr="00EC55EA" w:rsidRDefault="005128E4" w:rsidP="00EC55EA">
      <w:pPr>
        <w:tabs>
          <w:tab w:val="center" w:pos="5400"/>
        </w:tabs>
        <w:suppressAutoHyphens/>
        <w:jc w:val="center"/>
        <w:rPr>
          <w:rFonts w:asciiTheme="majorHAnsi" w:hAnsiTheme="majorHAnsi"/>
          <w:sz w:val="20"/>
          <w:szCs w:val="20"/>
          <w:lang w:val="es-ES_tradnl"/>
        </w:rPr>
      </w:pPr>
    </w:p>
    <w:p w14:paraId="3B4394D3" w14:textId="77777777" w:rsidR="00040C3A" w:rsidRPr="00EC55EA" w:rsidRDefault="00040C3A" w:rsidP="00EC55EA">
      <w:pPr>
        <w:tabs>
          <w:tab w:val="center" w:pos="5400"/>
        </w:tabs>
        <w:suppressAutoHyphens/>
        <w:jc w:val="center"/>
        <w:rPr>
          <w:rFonts w:asciiTheme="majorHAnsi" w:hAnsiTheme="majorHAnsi"/>
          <w:sz w:val="20"/>
          <w:szCs w:val="20"/>
          <w:lang w:val="es-ES_tradnl"/>
        </w:rPr>
      </w:pPr>
    </w:p>
    <w:p w14:paraId="2AB13DEB" w14:textId="77777777" w:rsidR="005128E4" w:rsidRPr="00EC55EA" w:rsidRDefault="005128E4" w:rsidP="00EC55EA">
      <w:pPr>
        <w:tabs>
          <w:tab w:val="center" w:pos="5400"/>
        </w:tabs>
        <w:suppressAutoHyphens/>
        <w:jc w:val="center"/>
        <w:rPr>
          <w:rFonts w:asciiTheme="majorHAnsi" w:hAnsiTheme="majorHAnsi"/>
          <w:sz w:val="20"/>
          <w:szCs w:val="20"/>
          <w:lang w:val="es-ES_tradnl"/>
        </w:rPr>
      </w:pPr>
    </w:p>
    <w:p w14:paraId="6CA11CFC" w14:textId="77777777" w:rsidR="005128E4" w:rsidRPr="00EC55EA" w:rsidRDefault="005128E4" w:rsidP="00EC55EA">
      <w:pPr>
        <w:tabs>
          <w:tab w:val="center" w:pos="5400"/>
        </w:tabs>
        <w:suppressAutoHyphens/>
        <w:jc w:val="center"/>
        <w:rPr>
          <w:rFonts w:asciiTheme="majorHAnsi" w:hAnsiTheme="majorHAnsi"/>
          <w:sz w:val="20"/>
          <w:szCs w:val="20"/>
          <w:lang w:val="es-ES_tradnl"/>
        </w:rPr>
      </w:pPr>
    </w:p>
    <w:p w14:paraId="7BE1EDB9" w14:textId="77777777" w:rsidR="005128E4" w:rsidRPr="00EC55EA" w:rsidRDefault="005128E4" w:rsidP="00EC55EA">
      <w:pPr>
        <w:tabs>
          <w:tab w:val="center" w:pos="5400"/>
        </w:tabs>
        <w:suppressAutoHyphens/>
        <w:jc w:val="center"/>
        <w:rPr>
          <w:rFonts w:asciiTheme="majorHAnsi" w:hAnsiTheme="majorHAnsi"/>
          <w:sz w:val="20"/>
          <w:szCs w:val="20"/>
          <w:lang w:val="es-ES_tradnl"/>
        </w:rPr>
      </w:pPr>
    </w:p>
    <w:p w14:paraId="2569CDEA" w14:textId="77777777" w:rsidR="00040C3A" w:rsidRPr="00EC55EA" w:rsidRDefault="00040C3A" w:rsidP="00EC55EA">
      <w:pPr>
        <w:tabs>
          <w:tab w:val="center" w:pos="5400"/>
        </w:tabs>
        <w:suppressAutoHyphens/>
        <w:jc w:val="center"/>
        <w:rPr>
          <w:rFonts w:asciiTheme="majorHAnsi" w:hAnsiTheme="majorHAnsi"/>
          <w:sz w:val="20"/>
          <w:szCs w:val="20"/>
          <w:lang w:val="es-ES_tradnl"/>
        </w:rPr>
      </w:pPr>
    </w:p>
    <w:p w14:paraId="670D5FA6" w14:textId="77777777" w:rsidR="00040C3A" w:rsidRPr="00EC55EA" w:rsidRDefault="00040C3A" w:rsidP="00EC55EA">
      <w:pPr>
        <w:tabs>
          <w:tab w:val="center" w:pos="5400"/>
        </w:tabs>
        <w:suppressAutoHyphens/>
        <w:jc w:val="center"/>
        <w:rPr>
          <w:rFonts w:asciiTheme="majorHAnsi" w:hAnsiTheme="majorHAnsi"/>
          <w:sz w:val="20"/>
          <w:szCs w:val="20"/>
          <w:lang w:val="es-ES_tradnl"/>
        </w:rPr>
      </w:pPr>
    </w:p>
    <w:p w14:paraId="071B54C0" w14:textId="77777777" w:rsidR="002C1641" w:rsidRPr="00EC55EA" w:rsidRDefault="002C1641" w:rsidP="00EC55EA">
      <w:pPr>
        <w:tabs>
          <w:tab w:val="center" w:pos="5400"/>
        </w:tabs>
        <w:suppressAutoHyphens/>
        <w:jc w:val="center"/>
        <w:rPr>
          <w:rFonts w:asciiTheme="majorHAnsi" w:hAnsiTheme="majorHAnsi"/>
          <w:sz w:val="20"/>
          <w:szCs w:val="20"/>
          <w:lang w:val="es-ES_tradnl"/>
        </w:rPr>
      </w:pPr>
    </w:p>
    <w:p w14:paraId="3E8EFD60" w14:textId="77777777" w:rsidR="002C1641" w:rsidRPr="00EC55EA" w:rsidRDefault="002C1641" w:rsidP="00EC55EA">
      <w:pPr>
        <w:tabs>
          <w:tab w:val="center" w:pos="5400"/>
        </w:tabs>
        <w:suppressAutoHyphens/>
        <w:jc w:val="center"/>
        <w:rPr>
          <w:rFonts w:asciiTheme="majorHAnsi" w:hAnsiTheme="majorHAnsi"/>
          <w:sz w:val="20"/>
          <w:szCs w:val="20"/>
          <w:lang w:val="es-ES_tradnl"/>
        </w:rPr>
      </w:pPr>
    </w:p>
    <w:p w14:paraId="0E9B2B7D" w14:textId="77777777" w:rsidR="002C1641" w:rsidRPr="00EC55EA" w:rsidRDefault="002C1641" w:rsidP="00EC55EA">
      <w:pPr>
        <w:tabs>
          <w:tab w:val="center" w:pos="5400"/>
        </w:tabs>
        <w:suppressAutoHyphens/>
        <w:jc w:val="center"/>
        <w:rPr>
          <w:rFonts w:asciiTheme="majorHAnsi" w:hAnsiTheme="majorHAnsi"/>
          <w:sz w:val="20"/>
          <w:szCs w:val="20"/>
          <w:lang w:val="es-ES_tradnl"/>
        </w:rPr>
      </w:pPr>
    </w:p>
    <w:p w14:paraId="71E00531" w14:textId="77777777" w:rsidR="002C1641" w:rsidRPr="00EC55EA" w:rsidRDefault="002C1641" w:rsidP="00EC55EA">
      <w:pPr>
        <w:tabs>
          <w:tab w:val="center" w:pos="5400"/>
        </w:tabs>
        <w:suppressAutoHyphens/>
        <w:jc w:val="center"/>
        <w:rPr>
          <w:rFonts w:asciiTheme="majorHAnsi" w:hAnsiTheme="majorHAnsi"/>
          <w:sz w:val="20"/>
          <w:szCs w:val="20"/>
          <w:lang w:val="es-ES_tradnl"/>
        </w:rPr>
      </w:pPr>
    </w:p>
    <w:p w14:paraId="3A341E24" w14:textId="77777777" w:rsidR="002C1641" w:rsidRPr="00EC55EA" w:rsidRDefault="002C1641" w:rsidP="00EC55EA">
      <w:pPr>
        <w:tabs>
          <w:tab w:val="center" w:pos="5400"/>
        </w:tabs>
        <w:suppressAutoHyphens/>
        <w:jc w:val="center"/>
        <w:rPr>
          <w:rFonts w:asciiTheme="majorHAnsi" w:hAnsiTheme="majorHAnsi"/>
          <w:sz w:val="20"/>
          <w:szCs w:val="20"/>
          <w:lang w:val="es-ES_tradnl"/>
        </w:rPr>
      </w:pPr>
    </w:p>
    <w:p w14:paraId="7C750FEF" w14:textId="77777777" w:rsidR="002C1641" w:rsidRPr="00EC55EA" w:rsidRDefault="002C1641" w:rsidP="00EC55EA">
      <w:pPr>
        <w:tabs>
          <w:tab w:val="center" w:pos="5400"/>
        </w:tabs>
        <w:suppressAutoHyphens/>
        <w:jc w:val="center"/>
        <w:rPr>
          <w:rFonts w:asciiTheme="majorHAnsi" w:hAnsiTheme="majorHAnsi"/>
          <w:sz w:val="20"/>
          <w:szCs w:val="20"/>
          <w:lang w:val="es-ES_tradnl"/>
        </w:rPr>
      </w:pPr>
    </w:p>
    <w:p w14:paraId="31F14141" w14:textId="77777777" w:rsidR="002C1641" w:rsidRPr="00EC55EA" w:rsidRDefault="002C1641" w:rsidP="00EC55EA">
      <w:pPr>
        <w:tabs>
          <w:tab w:val="center" w:pos="5400"/>
        </w:tabs>
        <w:suppressAutoHyphens/>
        <w:jc w:val="center"/>
        <w:rPr>
          <w:rFonts w:asciiTheme="majorHAnsi" w:hAnsiTheme="majorHAnsi"/>
          <w:sz w:val="20"/>
          <w:szCs w:val="20"/>
          <w:lang w:val="es-ES_tradnl"/>
        </w:rPr>
      </w:pPr>
    </w:p>
    <w:p w14:paraId="0F613727" w14:textId="77777777" w:rsidR="002C1641" w:rsidRPr="00EC55EA" w:rsidRDefault="002C1641" w:rsidP="00EC55EA">
      <w:pPr>
        <w:tabs>
          <w:tab w:val="center" w:pos="5400"/>
        </w:tabs>
        <w:suppressAutoHyphens/>
        <w:jc w:val="center"/>
        <w:rPr>
          <w:rFonts w:asciiTheme="majorHAnsi" w:hAnsiTheme="majorHAnsi"/>
          <w:sz w:val="20"/>
          <w:szCs w:val="20"/>
          <w:lang w:val="es-ES_tradnl"/>
        </w:rPr>
      </w:pPr>
    </w:p>
    <w:p w14:paraId="1F8D9329" w14:textId="77777777" w:rsidR="002C1641" w:rsidRPr="00EC55EA" w:rsidRDefault="002C1641" w:rsidP="00EC55EA">
      <w:pPr>
        <w:tabs>
          <w:tab w:val="center" w:pos="5400"/>
        </w:tabs>
        <w:suppressAutoHyphens/>
        <w:jc w:val="center"/>
        <w:rPr>
          <w:rFonts w:asciiTheme="majorHAnsi" w:hAnsiTheme="majorHAnsi"/>
          <w:sz w:val="20"/>
          <w:szCs w:val="20"/>
          <w:lang w:val="es-ES_tradnl"/>
        </w:rPr>
      </w:pPr>
    </w:p>
    <w:p w14:paraId="15534405" w14:textId="77777777" w:rsidR="002C1641" w:rsidRPr="00EC55EA" w:rsidRDefault="002C1641" w:rsidP="00EC55EA">
      <w:pPr>
        <w:tabs>
          <w:tab w:val="center" w:pos="5400"/>
        </w:tabs>
        <w:suppressAutoHyphens/>
        <w:jc w:val="center"/>
        <w:rPr>
          <w:rFonts w:asciiTheme="majorHAnsi" w:hAnsiTheme="majorHAnsi"/>
          <w:sz w:val="20"/>
          <w:szCs w:val="20"/>
          <w:lang w:val="es-ES_tradnl"/>
        </w:rPr>
      </w:pPr>
    </w:p>
    <w:p w14:paraId="3665292B" w14:textId="77777777" w:rsidR="002C1641" w:rsidRPr="00EC55EA" w:rsidRDefault="002C1641" w:rsidP="00EC55EA">
      <w:pPr>
        <w:tabs>
          <w:tab w:val="center" w:pos="5400"/>
        </w:tabs>
        <w:suppressAutoHyphens/>
        <w:jc w:val="center"/>
        <w:rPr>
          <w:rFonts w:asciiTheme="majorHAnsi" w:hAnsiTheme="majorHAnsi"/>
          <w:sz w:val="20"/>
          <w:szCs w:val="20"/>
          <w:lang w:val="es-ES_tradnl"/>
        </w:rPr>
      </w:pPr>
    </w:p>
    <w:p w14:paraId="61E916AF" w14:textId="77777777" w:rsidR="002C1641" w:rsidRPr="00EC55EA" w:rsidRDefault="002C1641" w:rsidP="00EC55EA">
      <w:pPr>
        <w:tabs>
          <w:tab w:val="center" w:pos="5400"/>
        </w:tabs>
        <w:suppressAutoHyphens/>
        <w:jc w:val="center"/>
        <w:rPr>
          <w:rFonts w:asciiTheme="majorHAnsi" w:hAnsiTheme="majorHAnsi"/>
          <w:sz w:val="20"/>
          <w:szCs w:val="20"/>
          <w:lang w:val="es-ES_tradnl"/>
        </w:rPr>
      </w:pPr>
    </w:p>
    <w:p w14:paraId="46181D07" w14:textId="77777777" w:rsidR="002C1641" w:rsidRPr="00EC55EA" w:rsidRDefault="00AC4B90" w:rsidP="00EC55EA">
      <w:pPr>
        <w:tabs>
          <w:tab w:val="center" w:pos="5400"/>
        </w:tabs>
        <w:suppressAutoHyphens/>
        <w:jc w:val="center"/>
        <w:rPr>
          <w:rFonts w:asciiTheme="majorHAnsi" w:hAnsiTheme="majorHAnsi"/>
          <w:sz w:val="20"/>
          <w:szCs w:val="20"/>
          <w:lang w:val="es-ES_tradnl"/>
        </w:rPr>
      </w:pPr>
      <w:r w:rsidRPr="00EC55EA">
        <w:rPr>
          <w:rFonts w:asciiTheme="majorHAnsi" w:hAnsiTheme="majorHAnsi"/>
          <w:noProof/>
          <w:sz w:val="20"/>
          <w:szCs w:val="20"/>
        </w:rPr>
        <mc:AlternateContent>
          <mc:Choice Requires="wps">
            <w:drawing>
              <wp:anchor distT="0" distB="0" distL="114300" distR="114300" simplePos="0" relativeHeight="251670528" behindDoc="0" locked="0" layoutInCell="1" allowOverlap="1" wp14:anchorId="0CB27F63" wp14:editId="36CDBCA0">
                <wp:simplePos x="0" y="0"/>
                <wp:positionH relativeFrom="column">
                  <wp:posOffset>1209675</wp:posOffset>
                </wp:positionH>
                <wp:positionV relativeFrom="paragraph">
                  <wp:posOffset>71120</wp:posOffset>
                </wp:positionV>
                <wp:extent cx="4595495" cy="69532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95495"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9A59788" w14:textId="2124F800" w:rsidR="002B2833" w:rsidRPr="003C32BC" w:rsidRDefault="002B2833"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w:t>
                            </w:r>
                            <w:r>
                              <w:rPr>
                                <w:rFonts w:asciiTheme="majorHAnsi" w:hAnsiTheme="majorHAnsi"/>
                                <w:color w:val="0D0D0D" w:themeColor="text1" w:themeTint="F2"/>
                                <w:sz w:val="18"/>
                                <w:szCs w:val="20"/>
                              </w:rPr>
                              <w:t xml:space="preserve">roved electronically by the Commission </w:t>
                            </w:r>
                            <w:r w:rsidRPr="003C32BC">
                              <w:rPr>
                                <w:rFonts w:asciiTheme="majorHAnsi" w:hAnsiTheme="majorHAnsi"/>
                                <w:color w:val="0D0D0D" w:themeColor="text1" w:themeTint="F2"/>
                                <w:sz w:val="18"/>
                                <w:szCs w:val="20"/>
                              </w:rPr>
                              <w:t xml:space="preserve">on </w:t>
                            </w:r>
                            <w:r w:rsidR="00A9729A">
                              <w:rPr>
                                <w:rFonts w:asciiTheme="majorHAnsi" w:hAnsiTheme="majorHAnsi"/>
                                <w:color w:val="0D0D0D" w:themeColor="text1" w:themeTint="F2"/>
                                <w:sz w:val="18"/>
                                <w:szCs w:val="20"/>
                              </w:rPr>
                              <w:t>May</w:t>
                            </w:r>
                            <w:r>
                              <w:rPr>
                                <w:rFonts w:asciiTheme="majorHAnsi" w:hAnsiTheme="majorHAnsi"/>
                                <w:color w:val="0D0D0D" w:themeColor="text1" w:themeTint="F2"/>
                                <w:sz w:val="18"/>
                                <w:szCs w:val="20"/>
                              </w:rPr>
                              <w:t xml:space="preserve"> </w:t>
                            </w:r>
                            <w:r w:rsidR="00A9729A">
                              <w:rPr>
                                <w:rFonts w:asciiTheme="majorHAnsi" w:hAnsiTheme="majorHAnsi"/>
                                <w:color w:val="0D0D0D" w:themeColor="text1" w:themeTint="F2"/>
                                <w:sz w:val="18"/>
                                <w:szCs w:val="20"/>
                              </w:rPr>
                              <w:t>12</w:t>
                            </w:r>
                            <w:r>
                              <w:rPr>
                                <w:rFonts w:asciiTheme="majorHAnsi" w:hAnsiTheme="majorHAnsi"/>
                                <w:color w:val="0D0D0D" w:themeColor="text1" w:themeTint="F2"/>
                                <w:sz w:val="18"/>
                                <w:szCs w:val="20"/>
                              </w:rPr>
                              <w:t>, 202</w:t>
                            </w:r>
                            <w:r w:rsidR="000E4B19">
                              <w:rPr>
                                <w:rFonts w:asciiTheme="majorHAnsi" w:hAnsiTheme="majorHAnsi"/>
                                <w:color w:val="0D0D0D" w:themeColor="text1" w:themeTint="F2"/>
                                <w:sz w:val="18"/>
                                <w:szCs w:val="20"/>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B27F63" id="Text Box 7" o:spid="_x0000_s1029" type="#_x0000_t202" style="position:absolute;left:0;text-align:left;margin-left:95.25pt;margin-top:5.6pt;width:361.85pt;height:5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" filled="f" stroked="f" strokeweight=".5pt">
                <v:textbox>
                  <w:txbxContent>
                    <w:p w14:paraId="49A59788" w14:textId="2124F800" w:rsidR="002B2833" w:rsidRPr="003C32BC" w:rsidRDefault="002B2833"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w:t>
                      </w:r>
                      <w:r>
                        <w:rPr>
                          <w:rFonts w:asciiTheme="majorHAnsi" w:hAnsiTheme="majorHAnsi"/>
                          <w:color w:val="0D0D0D" w:themeColor="text1" w:themeTint="F2"/>
                          <w:sz w:val="18"/>
                          <w:szCs w:val="20"/>
                        </w:rPr>
                        <w:t xml:space="preserve">roved electronically by the Commission </w:t>
                      </w:r>
                      <w:r w:rsidRPr="003C32BC">
                        <w:rPr>
                          <w:rFonts w:asciiTheme="majorHAnsi" w:hAnsiTheme="majorHAnsi"/>
                          <w:color w:val="0D0D0D" w:themeColor="text1" w:themeTint="F2"/>
                          <w:sz w:val="18"/>
                          <w:szCs w:val="20"/>
                        </w:rPr>
                        <w:t xml:space="preserve">on </w:t>
                      </w:r>
                      <w:r w:rsidR="00A9729A">
                        <w:rPr>
                          <w:rFonts w:asciiTheme="majorHAnsi" w:hAnsiTheme="majorHAnsi"/>
                          <w:color w:val="0D0D0D" w:themeColor="text1" w:themeTint="F2"/>
                          <w:sz w:val="18"/>
                          <w:szCs w:val="20"/>
                        </w:rPr>
                        <w:t>May</w:t>
                      </w:r>
                      <w:r>
                        <w:rPr>
                          <w:rFonts w:asciiTheme="majorHAnsi" w:hAnsiTheme="majorHAnsi"/>
                          <w:color w:val="0D0D0D" w:themeColor="text1" w:themeTint="F2"/>
                          <w:sz w:val="18"/>
                          <w:szCs w:val="20"/>
                        </w:rPr>
                        <w:t xml:space="preserve"> </w:t>
                      </w:r>
                      <w:r w:rsidR="00A9729A">
                        <w:rPr>
                          <w:rFonts w:asciiTheme="majorHAnsi" w:hAnsiTheme="majorHAnsi"/>
                          <w:color w:val="0D0D0D" w:themeColor="text1" w:themeTint="F2"/>
                          <w:sz w:val="18"/>
                          <w:szCs w:val="20"/>
                        </w:rPr>
                        <w:t>12</w:t>
                      </w:r>
                      <w:r>
                        <w:rPr>
                          <w:rFonts w:asciiTheme="majorHAnsi" w:hAnsiTheme="majorHAnsi"/>
                          <w:color w:val="0D0D0D" w:themeColor="text1" w:themeTint="F2"/>
                          <w:sz w:val="18"/>
                          <w:szCs w:val="20"/>
                        </w:rPr>
                        <w:t>, 202</w:t>
                      </w:r>
                      <w:r w:rsidR="000E4B19">
                        <w:rPr>
                          <w:rFonts w:asciiTheme="majorHAnsi" w:hAnsiTheme="majorHAnsi"/>
                          <w:color w:val="0D0D0D" w:themeColor="text1" w:themeTint="F2"/>
                          <w:sz w:val="18"/>
                          <w:szCs w:val="20"/>
                        </w:rPr>
                        <w:t>3</w:t>
                      </w:r>
                    </w:p>
                  </w:txbxContent>
                </v:textbox>
              </v:shape>
            </w:pict>
          </mc:Fallback>
        </mc:AlternateContent>
      </w:r>
    </w:p>
    <w:p w14:paraId="261E6D23" w14:textId="77777777" w:rsidR="002C1641" w:rsidRPr="00EC55EA" w:rsidRDefault="002C1641" w:rsidP="00EC55EA">
      <w:pPr>
        <w:tabs>
          <w:tab w:val="center" w:pos="5400"/>
        </w:tabs>
        <w:suppressAutoHyphens/>
        <w:jc w:val="center"/>
        <w:rPr>
          <w:rFonts w:asciiTheme="majorHAnsi" w:hAnsiTheme="majorHAnsi"/>
          <w:sz w:val="20"/>
          <w:szCs w:val="20"/>
          <w:lang w:val="es-ES_tradnl"/>
        </w:rPr>
      </w:pPr>
    </w:p>
    <w:p w14:paraId="784D9826" w14:textId="77777777" w:rsidR="002C1641" w:rsidRPr="00EC55EA" w:rsidRDefault="002C1641" w:rsidP="00EC55EA">
      <w:pPr>
        <w:tabs>
          <w:tab w:val="center" w:pos="5400"/>
        </w:tabs>
        <w:suppressAutoHyphens/>
        <w:jc w:val="center"/>
        <w:rPr>
          <w:rFonts w:asciiTheme="majorHAnsi" w:hAnsiTheme="majorHAnsi"/>
          <w:sz w:val="20"/>
          <w:szCs w:val="20"/>
          <w:lang w:val="es-ES_tradnl"/>
        </w:rPr>
      </w:pPr>
    </w:p>
    <w:p w14:paraId="53D2F219" w14:textId="77777777" w:rsidR="002C1641" w:rsidRPr="00EC55EA" w:rsidRDefault="002C1641" w:rsidP="00EC55EA">
      <w:pPr>
        <w:tabs>
          <w:tab w:val="center" w:pos="5400"/>
        </w:tabs>
        <w:suppressAutoHyphens/>
        <w:jc w:val="center"/>
        <w:rPr>
          <w:rFonts w:asciiTheme="majorHAnsi" w:hAnsiTheme="majorHAnsi"/>
          <w:sz w:val="20"/>
          <w:szCs w:val="20"/>
          <w:lang w:val="es-ES_tradnl"/>
        </w:rPr>
      </w:pPr>
    </w:p>
    <w:p w14:paraId="5E9E9281" w14:textId="77777777" w:rsidR="002C1641" w:rsidRPr="00EC55EA" w:rsidRDefault="002C1641" w:rsidP="00EC55EA">
      <w:pPr>
        <w:tabs>
          <w:tab w:val="center" w:pos="5400"/>
        </w:tabs>
        <w:suppressAutoHyphens/>
        <w:jc w:val="center"/>
        <w:rPr>
          <w:rFonts w:asciiTheme="majorHAnsi" w:hAnsiTheme="majorHAnsi"/>
          <w:sz w:val="20"/>
          <w:szCs w:val="20"/>
          <w:lang w:val="es-ES_tradnl"/>
        </w:rPr>
      </w:pPr>
    </w:p>
    <w:p w14:paraId="04674E83" w14:textId="77777777" w:rsidR="002C1641" w:rsidRPr="00EC55EA" w:rsidRDefault="00AC4B90" w:rsidP="00EC55EA">
      <w:pPr>
        <w:tabs>
          <w:tab w:val="center" w:pos="5400"/>
        </w:tabs>
        <w:suppressAutoHyphens/>
        <w:jc w:val="center"/>
        <w:rPr>
          <w:rFonts w:asciiTheme="majorHAnsi" w:hAnsiTheme="majorHAnsi"/>
          <w:sz w:val="20"/>
          <w:szCs w:val="20"/>
          <w:lang w:val="es-ES_tradnl"/>
        </w:rPr>
      </w:pPr>
      <w:r w:rsidRPr="00EC55EA">
        <w:rPr>
          <w:rFonts w:asciiTheme="majorHAnsi" w:hAnsiTheme="majorHAnsi"/>
          <w:noProof/>
          <w:sz w:val="20"/>
          <w:szCs w:val="20"/>
        </w:rPr>
        <mc:AlternateContent>
          <mc:Choice Requires="wps">
            <w:drawing>
              <wp:anchor distT="0" distB="0" distL="114300" distR="114300" simplePos="0" relativeHeight="251683840" behindDoc="0" locked="0" layoutInCell="1" allowOverlap="1" wp14:anchorId="0DCA20CB" wp14:editId="1E58B6FB">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EF69CC1" w14:textId="1D701B79" w:rsidR="002B2833" w:rsidRPr="003C32BC" w:rsidRDefault="002B2833" w:rsidP="00F45EBF">
                            <w:pPr>
                              <w:spacing w:line="276" w:lineRule="auto"/>
                              <w:jc w:val="both"/>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A9729A">
                              <w:rPr>
                                <w:rFonts w:asciiTheme="majorHAnsi" w:hAnsiTheme="majorHAnsi"/>
                                <w:color w:val="595959" w:themeColor="text1" w:themeTint="A6"/>
                                <w:sz w:val="18"/>
                              </w:rPr>
                              <w:t>263</w:t>
                            </w:r>
                            <w:r>
                              <w:rPr>
                                <w:rFonts w:asciiTheme="majorHAnsi" w:hAnsiTheme="majorHAnsi"/>
                                <w:color w:val="595959" w:themeColor="text1" w:themeTint="A6"/>
                                <w:sz w:val="18"/>
                              </w:rPr>
                              <w:t>/2</w:t>
                            </w:r>
                            <w:r w:rsidR="000E4B19">
                              <w:rPr>
                                <w:rFonts w:asciiTheme="majorHAnsi" w:hAnsiTheme="majorHAnsi"/>
                                <w:color w:val="595959" w:themeColor="text1" w:themeTint="A6"/>
                                <w:sz w:val="18"/>
                              </w:rPr>
                              <w:t>3</w:t>
                            </w:r>
                            <w:r>
                              <w:rPr>
                                <w:rFonts w:asciiTheme="majorHAnsi" w:hAnsiTheme="majorHAnsi"/>
                                <w:color w:val="595959" w:themeColor="text1" w:themeTint="A6"/>
                                <w:sz w:val="18"/>
                              </w:rPr>
                              <w:t>.</w:t>
                            </w:r>
                            <w:r w:rsidRPr="003C32BC">
                              <w:rPr>
                                <w:rFonts w:asciiTheme="majorHAnsi" w:hAnsiTheme="majorHAnsi"/>
                                <w:color w:val="595959" w:themeColor="text1" w:themeTint="A6"/>
                                <w:sz w:val="18"/>
                              </w:rPr>
                              <w:t xml:space="preserve"> </w:t>
                            </w:r>
                            <w:r w:rsidRPr="009424BD">
                              <w:rPr>
                                <w:rFonts w:asciiTheme="majorHAnsi" w:hAnsiTheme="majorHAnsi"/>
                                <w:color w:val="595959" w:themeColor="text1" w:themeTint="A6"/>
                                <w:sz w:val="18"/>
                              </w:rPr>
                              <w:t xml:space="preserve">Case </w:t>
                            </w:r>
                            <w:r>
                              <w:rPr>
                                <w:rFonts w:asciiTheme="majorHAnsi" w:hAnsiTheme="majorHAnsi"/>
                                <w:color w:val="595959" w:themeColor="text1" w:themeTint="A6"/>
                                <w:sz w:val="18"/>
                              </w:rPr>
                              <w:t>13.</w:t>
                            </w:r>
                            <w:r w:rsidRPr="00E05E02">
                              <w:rPr>
                                <w:rFonts w:asciiTheme="majorHAnsi" w:hAnsiTheme="majorHAnsi"/>
                                <w:color w:val="595959" w:themeColor="text1" w:themeTint="A6"/>
                                <w:sz w:val="18"/>
                              </w:rPr>
                              <w:t>352. Admissibility and Merits</w:t>
                            </w:r>
                            <w:r>
                              <w:rPr>
                                <w:rFonts w:asciiTheme="majorHAnsi" w:hAnsiTheme="majorHAnsi"/>
                                <w:color w:val="595959" w:themeColor="text1" w:themeTint="A6"/>
                                <w:sz w:val="18"/>
                              </w:rPr>
                              <w:t xml:space="preserve"> (Publication)</w:t>
                            </w:r>
                            <w:r w:rsidRPr="00E05E02">
                              <w:rPr>
                                <w:rFonts w:asciiTheme="majorHAnsi" w:hAnsiTheme="majorHAnsi"/>
                                <w:color w:val="595959" w:themeColor="text1" w:themeTint="A6"/>
                                <w:sz w:val="18"/>
                              </w:rPr>
                              <w:t>. Jurijus Kadamovas</w:t>
                            </w:r>
                            <w:r>
                              <w:rPr>
                                <w:rFonts w:asciiTheme="majorHAnsi" w:hAnsiTheme="majorHAnsi"/>
                                <w:color w:val="595959" w:themeColor="text1" w:themeTint="A6"/>
                                <w:sz w:val="18"/>
                              </w:rPr>
                              <w:t xml:space="preserve"> </w:t>
                            </w:r>
                            <w:r w:rsidRPr="00052075">
                              <w:rPr>
                                <w:rFonts w:asciiTheme="majorHAnsi" w:hAnsiTheme="majorHAnsi"/>
                                <w:i/>
                                <w:color w:val="595959" w:themeColor="text1" w:themeTint="A6"/>
                                <w:sz w:val="18"/>
                              </w:rPr>
                              <w:t>et al</w:t>
                            </w:r>
                            <w:r>
                              <w:rPr>
                                <w:rFonts w:asciiTheme="majorHAnsi" w:hAnsiTheme="majorHAnsi"/>
                                <w:color w:val="595959" w:themeColor="text1" w:themeTint="A6"/>
                                <w:sz w:val="18"/>
                              </w:rPr>
                              <w:t xml:space="preserve">. United States of America. </w:t>
                            </w:r>
                            <w:r w:rsidR="00A9729A">
                              <w:rPr>
                                <w:rFonts w:asciiTheme="majorHAnsi" w:hAnsiTheme="majorHAnsi"/>
                                <w:color w:val="595959" w:themeColor="text1" w:themeTint="A6"/>
                                <w:sz w:val="18"/>
                              </w:rPr>
                              <w:t>May</w:t>
                            </w:r>
                            <w:r>
                              <w:rPr>
                                <w:rFonts w:asciiTheme="majorHAnsi" w:hAnsiTheme="majorHAnsi"/>
                                <w:color w:val="595959" w:themeColor="text1" w:themeTint="A6"/>
                                <w:sz w:val="18"/>
                              </w:rPr>
                              <w:t xml:space="preserve"> </w:t>
                            </w:r>
                            <w:r w:rsidR="00A9729A">
                              <w:rPr>
                                <w:rFonts w:asciiTheme="majorHAnsi" w:hAnsiTheme="majorHAnsi"/>
                                <w:color w:val="595959" w:themeColor="text1" w:themeTint="A6"/>
                                <w:sz w:val="18"/>
                              </w:rPr>
                              <w:t>12</w:t>
                            </w:r>
                            <w:r>
                              <w:rPr>
                                <w:rFonts w:asciiTheme="majorHAnsi" w:hAnsiTheme="majorHAnsi"/>
                                <w:color w:val="595959" w:themeColor="text1" w:themeTint="A6"/>
                                <w:sz w:val="18"/>
                              </w:rPr>
                              <w:t>, 202</w:t>
                            </w:r>
                            <w:r w:rsidR="000E4B19">
                              <w:rPr>
                                <w:rFonts w:asciiTheme="majorHAnsi" w:hAnsiTheme="majorHAnsi"/>
                                <w:color w:val="595959" w:themeColor="text1" w:themeTint="A6"/>
                                <w:sz w:val="18"/>
                              </w:rPr>
                              <w:t>3</w:t>
                            </w:r>
                            <w:r w:rsidRPr="00E05E02">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CA20CB"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" filled="f" stroked="f" strokeweight=".5pt">
                <v:textbox>
                  <w:txbxContent>
                    <w:p w14:paraId="1EF69CC1" w14:textId="1D701B79" w:rsidR="002B2833" w:rsidRPr="003C32BC" w:rsidRDefault="002B2833" w:rsidP="00F45EBF">
                      <w:pPr>
                        <w:spacing w:line="276" w:lineRule="auto"/>
                        <w:jc w:val="both"/>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A9729A">
                        <w:rPr>
                          <w:rFonts w:asciiTheme="majorHAnsi" w:hAnsiTheme="majorHAnsi"/>
                          <w:color w:val="595959" w:themeColor="text1" w:themeTint="A6"/>
                          <w:sz w:val="18"/>
                        </w:rPr>
                        <w:t>263</w:t>
                      </w:r>
                      <w:r>
                        <w:rPr>
                          <w:rFonts w:asciiTheme="majorHAnsi" w:hAnsiTheme="majorHAnsi"/>
                          <w:color w:val="595959" w:themeColor="text1" w:themeTint="A6"/>
                          <w:sz w:val="18"/>
                        </w:rPr>
                        <w:t>/2</w:t>
                      </w:r>
                      <w:r w:rsidR="000E4B19">
                        <w:rPr>
                          <w:rFonts w:asciiTheme="majorHAnsi" w:hAnsiTheme="majorHAnsi"/>
                          <w:color w:val="595959" w:themeColor="text1" w:themeTint="A6"/>
                          <w:sz w:val="18"/>
                        </w:rPr>
                        <w:t>3</w:t>
                      </w:r>
                      <w:r>
                        <w:rPr>
                          <w:rFonts w:asciiTheme="majorHAnsi" w:hAnsiTheme="majorHAnsi"/>
                          <w:color w:val="595959" w:themeColor="text1" w:themeTint="A6"/>
                          <w:sz w:val="18"/>
                        </w:rPr>
                        <w:t>.</w:t>
                      </w:r>
                      <w:r w:rsidRPr="003C32BC">
                        <w:rPr>
                          <w:rFonts w:asciiTheme="majorHAnsi" w:hAnsiTheme="majorHAnsi"/>
                          <w:color w:val="595959" w:themeColor="text1" w:themeTint="A6"/>
                          <w:sz w:val="18"/>
                        </w:rPr>
                        <w:t xml:space="preserve"> </w:t>
                      </w:r>
                      <w:r w:rsidRPr="009424BD">
                        <w:rPr>
                          <w:rFonts w:asciiTheme="majorHAnsi" w:hAnsiTheme="majorHAnsi"/>
                          <w:color w:val="595959" w:themeColor="text1" w:themeTint="A6"/>
                          <w:sz w:val="18"/>
                        </w:rPr>
                        <w:t xml:space="preserve">Case </w:t>
                      </w:r>
                      <w:r>
                        <w:rPr>
                          <w:rFonts w:asciiTheme="majorHAnsi" w:hAnsiTheme="majorHAnsi"/>
                          <w:color w:val="595959" w:themeColor="text1" w:themeTint="A6"/>
                          <w:sz w:val="18"/>
                        </w:rPr>
                        <w:t>13.</w:t>
                      </w:r>
                      <w:r w:rsidRPr="00E05E02">
                        <w:rPr>
                          <w:rFonts w:asciiTheme="majorHAnsi" w:hAnsiTheme="majorHAnsi"/>
                          <w:color w:val="595959" w:themeColor="text1" w:themeTint="A6"/>
                          <w:sz w:val="18"/>
                        </w:rPr>
                        <w:t>352. Admissibility and Merits</w:t>
                      </w:r>
                      <w:r>
                        <w:rPr>
                          <w:rFonts w:asciiTheme="majorHAnsi" w:hAnsiTheme="majorHAnsi"/>
                          <w:color w:val="595959" w:themeColor="text1" w:themeTint="A6"/>
                          <w:sz w:val="18"/>
                        </w:rPr>
                        <w:t xml:space="preserve"> (Publication)</w:t>
                      </w:r>
                      <w:r w:rsidRPr="00E05E02">
                        <w:rPr>
                          <w:rFonts w:asciiTheme="majorHAnsi" w:hAnsiTheme="majorHAnsi"/>
                          <w:color w:val="595959" w:themeColor="text1" w:themeTint="A6"/>
                          <w:sz w:val="18"/>
                        </w:rPr>
                        <w:t>. Jurijus Kadamovas</w:t>
                      </w:r>
                      <w:r>
                        <w:rPr>
                          <w:rFonts w:asciiTheme="majorHAnsi" w:hAnsiTheme="majorHAnsi"/>
                          <w:color w:val="595959" w:themeColor="text1" w:themeTint="A6"/>
                          <w:sz w:val="18"/>
                        </w:rPr>
                        <w:t xml:space="preserve"> </w:t>
                      </w:r>
                      <w:r w:rsidRPr="00052075">
                        <w:rPr>
                          <w:rFonts w:asciiTheme="majorHAnsi" w:hAnsiTheme="majorHAnsi"/>
                          <w:i/>
                          <w:color w:val="595959" w:themeColor="text1" w:themeTint="A6"/>
                          <w:sz w:val="18"/>
                        </w:rPr>
                        <w:t>et al</w:t>
                      </w:r>
                      <w:r>
                        <w:rPr>
                          <w:rFonts w:asciiTheme="majorHAnsi" w:hAnsiTheme="majorHAnsi"/>
                          <w:color w:val="595959" w:themeColor="text1" w:themeTint="A6"/>
                          <w:sz w:val="18"/>
                        </w:rPr>
                        <w:t xml:space="preserve">. United States of America. </w:t>
                      </w:r>
                      <w:r w:rsidR="00A9729A">
                        <w:rPr>
                          <w:rFonts w:asciiTheme="majorHAnsi" w:hAnsiTheme="majorHAnsi"/>
                          <w:color w:val="595959" w:themeColor="text1" w:themeTint="A6"/>
                          <w:sz w:val="18"/>
                        </w:rPr>
                        <w:t>May</w:t>
                      </w:r>
                      <w:r>
                        <w:rPr>
                          <w:rFonts w:asciiTheme="majorHAnsi" w:hAnsiTheme="majorHAnsi"/>
                          <w:color w:val="595959" w:themeColor="text1" w:themeTint="A6"/>
                          <w:sz w:val="18"/>
                        </w:rPr>
                        <w:t xml:space="preserve"> </w:t>
                      </w:r>
                      <w:r w:rsidR="00A9729A">
                        <w:rPr>
                          <w:rFonts w:asciiTheme="majorHAnsi" w:hAnsiTheme="majorHAnsi"/>
                          <w:color w:val="595959" w:themeColor="text1" w:themeTint="A6"/>
                          <w:sz w:val="18"/>
                        </w:rPr>
                        <w:t>12</w:t>
                      </w:r>
                      <w:r>
                        <w:rPr>
                          <w:rFonts w:asciiTheme="majorHAnsi" w:hAnsiTheme="majorHAnsi"/>
                          <w:color w:val="595959" w:themeColor="text1" w:themeTint="A6"/>
                          <w:sz w:val="18"/>
                        </w:rPr>
                        <w:t>, 202</w:t>
                      </w:r>
                      <w:r w:rsidR="000E4B19">
                        <w:rPr>
                          <w:rFonts w:asciiTheme="majorHAnsi" w:hAnsiTheme="majorHAnsi"/>
                          <w:color w:val="595959" w:themeColor="text1" w:themeTint="A6"/>
                          <w:sz w:val="18"/>
                        </w:rPr>
                        <w:t>3</w:t>
                      </w:r>
                      <w:r w:rsidRPr="00E05E02">
                        <w:rPr>
                          <w:rFonts w:asciiTheme="majorHAnsi" w:hAnsiTheme="majorHAnsi"/>
                          <w:color w:val="595959" w:themeColor="text1" w:themeTint="A6"/>
                          <w:sz w:val="18"/>
                        </w:rPr>
                        <w:t>.</w:t>
                      </w:r>
                    </w:p>
                  </w:txbxContent>
                </v:textbox>
              </v:shape>
            </w:pict>
          </mc:Fallback>
        </mc:AlternateContent>
      </w:r>
    </w:p>
    <w:p w14:paraId="0A3B9D6F" w14:textId="77777777" w:rsidR="002C1641" w:rsidRPr="00EC55EA" w:rsidRDefault="002C1641" w:rsidP="00EC55EA">
      <w:pPr>
        <w:tabs>
          <w:tab w:val="center" w:pos="5400"/>
        </w:tabs>
        <w:suppressAutoHyphens/>
        <w:jc w:val="center"/>
        <w:rPr>
          <w:rFonts w:asciiTheme="majorHAnsi" w:hAnsiTheme="majorHAnsi"/>
          <w:sz w:val="20"/>
          <w:szCs w:val="20"/>
          <w:lang w:val="es-ES_tradnl"/>
        </w:rPr>
      </w:pPr>
    </w:p>
    <w:p w14:paraId="2C135463" w14:textId="77777777" w:rsidR="002C1641" w:rsidRPr="00EC55EA" w:rsidRDefault="002C1641" w:rsidP="00EC55EA">
      <w:pPr>
        <w:tabs>
          <w:tab w:val="center" w:pos="5400"/>
        </w:tabs>
        <w:suppressAutoHyphens/>
        <w:jc w:val="center"/>
        <w:rPr>
          <w:rFonts w:asciiTheme="majorHAnsi" w:hAnsiTheme="majorHAnsi"/>
          <w:sz w:val="20"/>
          <w:szCs w:val="20"/>
          <w:lang w:val="es-ES_tradnl"/>
        </w:rPr>
      </w:pPr>
    </w:p>
    <w:p w14:paraId="7C99221E" w14:textId="77777777" w:rsidR="003C32BC" w:rsidRPr="00EC55EA" w:rsidRDefault="003C32BC" w:rsidP="00EC55EA">
      <w:pPr>
        <w:tabs>
          <w:tab w:val="center" w:pos="5400"/>
        </w:tabs>
        <w:suppressAutoHyphens/>
        <w:jc w:val="center"/>
        <w:rPr>
          <w:rFonts w:asciiTheme="majorHAnsi" w:hAnsiTheme="majorHAnsi"/>
          <w:sz w:val="20"/>
          <w:szCs w:val="20"/>
        </w:rPr>
      </w:pPr>
    </w:p>
    <w:p w14:paraId="19BED608" w14:textId="77777777" w:rsidR="003C32BC" w:rsidRPr="00EC55EA" w:rsidRDefault="00AC4B90" w:rsidP="00EC55EA">
      <w:pPr>
        <w:tabs>
          <w:tab w:val="center" w:pos="5400"/>
        </w:tabs>
        <w:suppressAutoHyphens/>
        <w:jc w:val="center"/>
        <w:rPr>
          <w:rFonts w:asciiTheme="majorHAnsi" w:hAnsiTheme="majorHAnsi"/>
          <w:sz w:val="20"/>
          <w:szCs w:val="20"/>
        </w:rPr>
      </w:pPr>
      <w:r w:rsidRPr="00EC55EA">
        <w:rPr>
          <w:rFonts w:asciiTheme="majorHAnsi" w:hAnsiTheme="majorHAnsi"/>
          <w:noProof/>
          <w:sz w:val="20"/>
          <w:szCs w:val="20"/>
        </w:rPr>
        <mc:AlternateContent>
          <mc:Choice Requires="wps">
            <w:drawing>
              <wp:anchor distT="0" distB="0" distL="114300" distR="114300" simplePos="0" relativeHeight="251686912" behindDoc="0" locked="0" layoutInCell="1" allowOverlap="1" wp14:anchorId="4C708D9B" wp14:editId="14F545A8">
                <wp:simplePos x="0" y="0"/>
                <wp:positionH relativeFrom="column">
                  <wp:posOffset>-299085</wp:posOffset>
                </wp:positionH>
                <wp:positionV relativeFrom="paragraph">
                  <wp:posOffset>859155</wp:posOffset>
                </wp:positionV>
                <wp:extent cx="1181100" cy="33274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FE96A0" w14:textId="77777777" w:rsidR="002B2833" w:rsidRPr="004B7EB6" w:rsidRDefault="002B2833"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708D9B"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" filled="f" stroked="f" strokeweight=".5pt">
                <v:textbox>
                  <w:txbxContent>
                    <w:p w14:paraId="6DFE96A0" w14:textId="77777777" w:rsidR="002B2833" w:rsidRPr="004B7EB6" w:rsidRDefault="002B2833"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EC55EA">
        <w:rPr>
          <w:rFonts w:asciiTheme="majorHAnsi" w:hAnsiTheme="majorHAnsi"/>
          <w:noProof/>
          <w:sz w:val="20"/>
          <w:szCs w:val="20"/>
        </w:rPr>
        <mc:AlternateContent>
          <mc:Choice Requires="wps">
            <w:drawing>
              <wp:anchor distT="0" distB="0" distL="114300" distR="114300" simplePos="0" relativeHeight="251684864" behindDoc="0" locked="0" layoutInCell="1" allowOverlap="1" wp14:anchorId="207E0969" wp14:editId="1E3BD0A5">
                <wp:simplePos x="0" y="0"/>
                <wp:positionH relativeFrom="column">
                  <wp:posOffset>1208405</wp:posOffset>
                </wp:positionH>
                <wp:positionV relativeFrom="paragraph">
                  <wp:posOffset>722630</wp:posOffset>
                </wp:positionV>
                <wp:extent cx="2085975" cy="485775"/>
                <wp:effectExtent l="0" t="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E40978B" w14:textId="77777777" w:rsidR="002B2833" w:rsidRDefault="002B2833">
                            <w:r>
                              <w:rPr>
                                <w:noProof/>
                              </w:rPr>
                              <w:drawing>
                                <wp:inline distT="0" distB="0" distL="0" distR="0" wp14:anchorId="1DB99972" wp14:editId="7440727E">
                                  <wp:extent cx="1123950" cy="378416"/>
                                  <wp:effectExtent l="0" t="0" r="0" b="3175"/>
                                  <wp:docPr id="9" name="Picture 9"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7E0969"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" fillcolor="white [3201]" stroked="f" strokeweight=".5pt">
                <v:textbox>
                  <w:txbxContent>
                    <w:p w14:paraId="2E40978B" w14:textId="77777777" w:rsidR="002B2833" w:rsidRDefault="002B2833">
                      <w:r>
                        <w:rPr>
                          <w:noProof/>
                        </w:rPr>
                        <w:drawing>
                          <wp:inline distT="0" distB="0" distL="0" distR="0" wp14:anchorId="1DB99972" wp14:editId="7440727E">
                            <wp:extent cx="1123950" cy="378416"/>
                            <wp:effectExtent l="0" t="0" r="0" b="3175"/>
                            <wp:docPr id="9" name="Picture 9"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14:paraId="4925B192" w14:textId="77777777" w:rsidR="007607C4" w:rsidRPr="00EC55EA" w:rsidRDefault="007607C4" w:rsidP="00EC55EA">
      <w:pPr>
        <w:tabs>
          <w:tab w:val="center" w:pos="5400"/>
        </w:tabs>
        <w:suppressAutoHyphens/>
        <w:jc w:val="center"/>
        <w:rPr>
          <w:rFonts w:asciiTheme="majorHAnsi" w:hAnsiTheme="majorHAnsi"/>
          <w:sz w:val="20"/>
          <w:szCs w:val="20"/>
        </w:rPr>
        <w:sectPr w:rsidR="007607C4" w:rsidRPr="00EC55EA">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p>
    <w:p w14:paraId="72914130" w14:textId="78131158" w:rsidR="00A9729A" w:rsidRPr="00E86BEA" w:rsidRDefault="00A9729A" w:rsidP="00A9729A">
      <w:pPr>
        <w:tabs>
          <w:tab w:val="center" w:pos="5400"/>
        </w:tabs>
        <w:suppressAutoHyphens/>
        <w:jc w:val="center"/>
        <w:rPr>
          <w:rFonts w:ascii="Cambria" w:hAnsi="Cambria"/>
          <w:b/>
          <w:sz w:val="20"/>
          <w:szCs w:val="20"/>
        </w:rPr>
      </w:pPr>
      <w:r w:rsidRPr="00E86BEA">
        <w:rPr>
          <w:rFonts w:ascii="Cambria" w:hAnsi="Cambria"/>
          <w:b/>
          <w:sz w:val="20"/>
          <w:szCs w:val="20"/>
        </w:rPr>
        <w:lastRenderedPageBreak/>
        <w:t>REPORT No. 263/23</w:t>
      </w:r>
    </w:p>
    <w:p w14:paraId="497ECF04" w14:textId="5270D97A" w:rsidR="00A9729A" w:rsidRPr="00E86BEA" w:rsidRDefault="00A9729A" w:rsidP="00A9729A">
      <w:pPr>
        <w:tabs>
          <w:tab w:val="center" w:pos="5400"/>
        </w:tabs>
        <w:suppressAutoHyphens/>
        <w:jc w:val="center"/>
        <w:rPr>
          <w:rFonts w:ascii="Cambria" w:hAnsi="Cambria"/>
          <w:b/>
          <w:sz w:val="20"/>
          <w:szCs w:val="20"/>
        </w:rPr>
      </w:pPr>
      <w:r w:rsidRPr="00E86BEA">
        <w:rPr>
          <w:rFonts w:ascii="Cambria" w:hAnsi="Cambria"/>
          <w:b/>
          <w:sz w:val="20"/>
          <w:szCs w:val="20"/>
        </w:rPr>
        <w:t>CASE 13.352</w:t>
      </w:r>
    </w:p>
    <w:p w14:paraId="20D89A9B" w14:textId="1C929235" w:rsidR="00A9729A" w:rsidRPr="00E86BEA" w:rsidRDefault="00427056" w:rsidP="00A9729A">
      <w:pPr>
        <w:tabs>
          <w:tab w:val="center" w:pos="5400"/>
        </w:tabs>
        <w:suppressAutoHyphens/>
        <w:jc w:val="center"/>
        <w:rPr>
          <w:rFonts w:ascii="Cambria" w:hAnsi="Cambria"/>
          <w:b/>
          <w:bCs/>
          <w:sz w:val="20"/>
          <w:szCs w:val="20"/>
        </w:rPr>
      </w:pPr>
      <w:r w:rsidRPr="00E86BEA">
        <w:rPr>
          <w:rFonts w:ascii="Cambria" w:hAnsi="Cambria"/>
          <w:b/>
          <w:bCs/>
          <w:sz w:val="20"/>
          <w:szCs w:val="20"/>
        </w:rPr>
        <w:t xml:space="preserve">ADMISSIBILITY AND </w:t>
      </w:r>
      <w:r w:rsidR="00A9729A" w:rsidRPr="00E86BEA">
        <w:rPr>
          <w:rFonts w:ascii="Cambria" w:hAnsi="Cambria"/>
          <w:b/>
          <w:bCs/>
          <w:sz w:val="20"/>
          <w:szCs w:val="20"/>
        </w:rPr>
        <w:t>MERITS REPORT</w:t>
      </w:r>
      <w:r w:rsidRPr="00E86BEA">
        <w:rPr>
          <w:rFonts w:ascii="Cambria" w:hAnsi="Cambria"/>
          <w:b/>
          <w:bCs/>
          <w:sz w:val="20"/>
          <w:szCs w:val="20"/>
        </w:rPr>
        <w:t xml:space="preserve"> (PUBLICATION)</w:t>
      </w:r>
    </w:p>
    <w:p w14:paraId="30AFF118" w14:textId="712DA2B5" w:rsidR="00A9729A" w:rsidRPr="00E86BEA" w:rsidRDefault="00A9729A" w:rsidP="00A9729A">
      <w:pPr>
        <w:tabs>
          <w:tab w:val="center" w:pos="5400"/>
        </w:tabs>
        <w:suppressAutoHyphens/>
        <w:jc w:val="center"/>
        <w:rPr>
          <w:rFonts w:ascii="Cambria" w:hAnsi="Cambria"/>
          <w:b/>
          <w:bCs/>
          <w:sz w:val="20"/>
          <w:szCs w:val="20"/>
        </w:rPr>
      </w:pPr>
      <w:r w:rsidRPr="00E86BEA">
        <w:rPr>
          <w:rFonts w:ascii="Cambria" w:hAnsi="Cambria"/>
          <w:b/>
          <w:bCs/>
          <w:sz w:val="20"/>
          <w:szCs w:val="20"/>
        </w:rPr>
        <w:t xml:space="preserve">JURIJUS KADAMOVAS </w:t>
      </w:r>
      <w:r w:rsidRPr="00E86BEA">
        <w:rPr>
          <w:rFonts w:ascii="Cambria" w:hAnsi="Cambria"/>
          <w:b/>
          <w:bCs/>
          <w:i/>
          <w:iCs/>
          <w:sz w:val="20"/>
          <w:szCs w:val="20"/>
        </w:rPr>
        <w:t>ET AL</w:t>
      </w:r>
      <w:r w:rsidRPr="00E86BEA">
        <w:rPr>
          <w:rFonts w:ascii="Cambria" w:hAnsi="Cambria"/>
          <w:b/>
          <w:bCs/>
          <w:sz w:val="20"/>
          <w:szCs w:val="20"/>
        </w:rPr>
        <w:t xml:space="preserve"> </w:t>
      </w:r>
    </w:p>
    <w:p w14:paraId="68C0F5D1" w14:textId="13F84035" w:rsidR="00A9729A" w:rsidRPr="00E86BEA" w:rsidRDefault="00A9729A" w:rsidP="00A9729A">
      <w:pPr>
        <w:tabs>
          <w:tab w:val="center" w:pos="5400"/>
        </w:tabs>
        <w:suppressAutoHyphens/>
        <w:jc w:val="center"/>
        <w:rPr>
          <w:rFonts w:ascii="Cambria" w:hAnsi="Cambria"/>
          <w:b/>
          <w:bCs/>
          <w:sz w:val="20"/>
          <w:szCs w:val="20"/>
        </w:rPr>
      </w:pPr>
      <w:r w:rsidRPr="00E86BEA">
        <w:rPr>
          <w:rFonts w:ascii="Cambria" w:hAnsi="Cambria"/>
          <w:b/>
          <w:bCs/>
          <w:sz w:val="20"/>
          <w:szCs w:val="20"/>
        </w:rPr>
        <w:t>UNITED STATES</w:t>
      </w:r>
      <w:r w:rsidR="00427056">
        <w:rPr>
          <w:rStyle w:val="FootnoteReference"/>
          <w:rFonts w:ascii="Cambria" w:hAnsi="Cambria"/>
          <w:b/>
          <w:bCs/>
          <w:sz w:val="20"/>
          <w:szCs w:val="20"/>
          <w:lang w:val="es-ES_tradnl"/>
        </w:rPr>
        <w:footnoteReference w:id="2"/>
      </w:r>
    </w:p>
    <w:p w14:paraId="4DA3336F" w14:textId="09F6BD1C" w:rsidR="00A9729A" w:rsidRPr="00427056" w:rsidRDefault="00A9729A" w:rsidP="00A9729A">
      <w:pPr>
        <w:tabs>
          <w:tab w:val="center" w:pos="5400"/>
        </w:tabs>
        <w:suppressAutoHyphens/>
        <w:jc w:val="center"/>
        <w:rPr>
          <w:rFonts w:ascii="Cambria" w:hAnsi="Cambria"/>
          <w:b/>
          <w:bCs/>
          <w:sz w:val="20"/>
          <w:szCs w:val="20"/>
          <w:lang w:val="es-ES_tradnl"/>
        </w:rPr>
      </w:pPr>
      <w:r w:rsidRPr="00427056">
        <w:rPr>
          <w:rFonts w:ascii="Cambria" w:hAnsi="Cambria"/>
          <w:b/>
          <w:bCs/>
          <w:sz w:val="20"/>
          <w:szCs w:val="20"/>
          <w:lang w:val="es-ES_tradnl"/>
        </w:rPr>
        <w:t>MAY 12, 2023</w:t>
      </w:r>
    </w:p>
    <w:p w14:paraId="4F359FA6" w14:textId="77777777" w:rsidR="00A9729A" w:rsidRDefault="00A9729A" w:rsidP="00EC55EA">
      <w:pPr>
        <w:tabs>
          <w:tab w:val="center" w:pos="5400"/>
        </w:tabs>
        <w:suppressAutoHyphens/>
        <w:spacing w:line="276" w:lineRule="auto"/>
        <w:jc w:val="center"/>
        <w:rPr>
          <w:rFonts w:asciiTheme="majorHAnsi" w:hAnsiTheme="majorHAnsi"/>
          <w:b/>
          <w:sz w:val="20"/>
          <w:szCs w:val="20"/>
        </w:rPr>
      </w:pPr>
    </w:p>
    <w:p w14:paraId="4619FE83" w14:textId="2AC7D4A6" w:rsidR="00FC3EB4" w:rsidRPr="008647B6" w:rsidRDefault="00FC3EB4" w:rsidP="00EC55EA">
      <w:pPr>
        <w:tabs>
          <w:tab w:val="center" w:pos="5400"/>
        </w:tabs>
        <w:suppressAutoHyphens/>
        <w:spacing w:line="276" w:lineRule="auto"/>
        <w:jc w:val="center"/>
        <w:rPr>
          <w:rFonts w:asciiTheme="majorHAnsi" w:hAnsiTheme="majorHAnsi"/>
          <w:b/>
          <w:sz w:val="20"/>
          <w:szCs w:val="20"/>
        </w:rPr>
      </w:pPr>
      <w:r w:rsidRPr="008647B6">
        <w:rPr>
          <w:rFonts w:asciiTheme="majorHAnsi" w:hAnsiTheme="majorHAnsi"/>
          <w:b/>
          <w:sz w:val="20"/>
          <w:szCs w:val="20"/>
        </w:rPr>
        <w:t>INDEX</w:t>
      </w:r>
    </w:p>
    <w:p w14:paraId="6E45C493" w14:textId="77777777" w:rsidR="007607C4" w:rsidRPr="008647B6" w:rsidRDefault="007607C4" w:rsidP="00EC55EA">
      <w:pPr>
        <w:tabs>
          <w:tab w:val="center" w:pos="5400"/>
        </w:tabs>
        <w:suppressAutoHyphens/>
        <w:spacing w:line="276" w:lineRule="auto"/>
        <w:rPr>
          <w:rFonts w:asciiTheme="majorHAnsi" w:hAnsiTheme="majorHAnsi"/>
          <w:sz w:val="20"/>
          <w:szCs w:val="20"/>
        </w:rPr>
      </w:pPr>
    </w:p>
    <w:p w14:paraId="0AE27418" w14:textId="279FA404" w:rsidR="008647B6" w:rsidRPr="008647B6" w:rsidRDefault="001C14CB">
      <w:pPr>
        <w:pStyle w:val="TOC1"/>
        <w:rPr>
          <w:rFonts w:eastAsiaTheme="minorEastAsia" w:cstheme="minorBidi"/>
          <w:b w:val="0"/>
          <w:kern w:val="2"/>
          <w:bdr w:val="none" w:sz="0" w:space="0" w:color="auto"/>
          <w:lang w:val="es-US" w:eastAsia="zh-CN"/>
          <w14:ligatures w14:val="standardContextual"/>
        </w:rPr>
      </w:pPr>
      <w:r w:rsidRPr="008647B6">
        <w:rPr>
          <w:b w:val="0"/>
        </w:rPr>
        <w:fldChar w:fldCharType="begin"/>
      </w:r>
      <w:r w:rsidR="00864785" w:rsidRPr="008647B6">
        <w:rPr>
          <w:b w:val="0"/>
          <w:lang w:val="en-US"/>
        </w:rPr>
        <w:instrText xml:space="preserve"> TOC \o "1-3" \h \z \u </w:instrText>
      </w:r>
      <w:r w:rsidRPr="008647B6">
        <w:rPr>
          <w:b w:val="0"/>
        </w:rPr>
        <w:fldChar w:fldCharType="separate"/>
      </w:r>
      <w:hyperlink w:anchor="_Toc150524373" w:history="1">
        <w:r w:rsidR="008647B6" w:rsidRPr="008647B6">
          <w:rPr>
            <w:rStyle w:val="Hyperlink"/>
          </w:rPr>
          <w:t>I.</w:t>
        </w:r>
        <w:r w:rsidR="008647B6" w:rsidRPr="008647B6">
          <w:rPr>
            <w:rFonts w:eastAsiaTheme="minorEastAsia" w:cstheme="minorBidi"/>
            <w:b w:val="0"/>
            <w:kern w:val="2"/>
            <w:bdr w:val="none" w:sz="0" w:space="0" w:color="auto"/>
            <w:lang w:val="es-US" w:eastAsia="zh-CN"/>
            <w14:ligatures w14:val="standardContextual"/>
          </w:rPr>
          <w:tab/>
        </w:r>
        <w:r w:rsidR="008647B6" w:rsidRPr="008647B6">
          <w:rPr>
            <w:rStyle w:val="Hyperlink"/>
          </w:rPr>
          <w:t>INTRODUCTION</w:t>
        </w:r>
        <w:r w:rsidR="008647B6" w:rsidRPr="008647B6">
          <w:rPr>
            <w:webHidden/>
          </w:rPr>
          <w:tab/>
        </w:r>
        <w:r w:rsidR="008647B6" w:rsidRPr="008647B6">
          <w:rPr>
            <w:webHidden/>
          </w:rPr>
          <w:fldChar w:fldCharType="begin"/>
        </w:r>
        <w:r w:rsidR="008647B6" w:rsidRPr="008647B6">
          <w:rPr>
            <w:webHidden/>
          </w:rPr>
          <w:instrText xml:space="preserve"> PAGEREF _Toc150524373 \h </w:instrText>
        </w:r>
        <w:r w:rsidR="008647B6" w:rsidRPr="008647B6">
          <w:rPr>
            <w:webHidden/>
          </w:rPr>
        </w:r>
        <w:r w:rsidR="008647B6" w:rsidRPr="008647B6">
          <w:rPr>
            <w:webHidden/>
          </w:rPr>
          <w:fldChar w:fldCharType="separate"/>
        </w:r>
        <w:r w:rsidR="008261BF">
          <w:rPr>
            <w:webHidden/>
          </w:rPr>
          <w:t>2</w:t>
        </w:r>
        <w:r w:rsidR="008647B6" w:rsidRPr="008647B6">
          <w:rPr>
            <w:webHidden/>
          </w:rPr>
          <w:fldChar w:fldCharType="end"/>
        </w:r>
      </w:hyperlink>
    </w:p>
    <w:p w14:paraId="2C8C7631" w14:textId="42505BBB" w:rsidR="008647B6" w:rsidRPr="008647B6" w:rsidRDefault="008261BF">
      <w:pPr>
        <w:pStyle w:val="TOC1"/>
        <w:rPr>
          <w:rFonts w:eastAsiaTheme="minorEastAsia" w:cstheme="minorBidi"/>
          <w:b w:val="0"/>
          <w:kern w:val="2"/>
          <w:bdr w:val="none" w:sz="0" w:space="0" w:color="auto"/>
          <w:lang w:val="es-US" w:eastAsia="zh-CN"/>
          <w14:ligatures w14:val="standardContextual"/>
        </w:rPr>
      </w:pPr>
      <w:hyperlink w:anchor="_Toc150524374" w:history="1">
        <w:r w:rsidR="008647B6" w:rsidRPr="008647B6">
          <w:rPr>
            <w:rStyle w:val="Hyperlink"/>
          </w:rPr>
          <w:t>II.</w:t>
        </w:r>
        <w:r w:rsidR="008647B6" w:rsidRPr="008647B6">
          <w:rPr>
            <w:rFonts w:eastAsiaTheme="minorEastAsia" w:cstheme="minorBidi"/>
            <w:b w:val="0"/>
            <w:kern w:val="2"/>
            <w:bdr w:val="none" w:sz="0" w:space="0" w:color="auto"/>
            <w:lang w:val="es-US" w:eastAsia="zh-CN"/>
            <w14:ligatures w14:val="standardContextual"/>
          </w:rPr>
          <w:tab/>
        </w:r>
        <w:r w:rsidR="008647B6" w:rsidRPr="008647B6">
          <w:rPr>
            <w:rStyle w:val="Hyperlink"/>
          </w:rPr>
          <w:t>POSITIONS OF THE PARTIES</w:t>
        </w:r>
        <w:r w:rsidR="008647B6" w:rsidRPr="008647B6">
          <w:rPr>
            <w:webHidden/>
          </w:rPr>
          <w:tab/>
        </w:r>
        <w:r w:rsidR="008647B6" w:rsidRPr="008647B6">
          <w:rPr>
            <w:webHidden/>
          </w:rPr>
          <w:fldChar w:fldCharType="begin"/>
        </w:r>
        <w:r w:rsidR="008647B6" w:rsidRPr="008647B6">
          <w:rPr>
            <w:webHidden/>
          </w:rPr>
          <w:instrText xml:space="preserve"> PAGEREF _Toc150524374 \h </w:instrText>
        </w:r>
        <w:r w:rsidR="008647B6" w:rsidRPr="008647B6">
          <w:rPr>
            <w:webHidden/>
          </w:rPr>
        </w:r>
        <w:r w:rsidR="008647B6" w:rsidRPr="008647B6">
          <w:rPr>
            <w:webHidden/>
          </w:rPr>
          <w:fldChar w:fldCharType="separate"/>
        </w:r>
        <w:r>
          <w:rPr>
            <w:webHidden/>
          </w:rPr>
          <w:t>2</w:t>
        </w:r>
        <w:r w:rsidR="008647B6" w:rsidRPr="008647B6">
          <w:rPr>
            <w:webHidden/>
          </w:rPr>
          <w:fldChar w:fldCharType="end"/>
        </w:r>
      </w:hyperlink>
    </w:p>
    <w:p w14:paraId="239EF57E" w14:textId="5078953A" w:rsidR="008647B6" w:rsidRPr="008647B6" w:rsidRDefault="008261BF">
      <w:pPr>
        <w:pStyle w:val="TOC2"/>
        <w:rPr>
          <w:rFonts w:asciiTheme="majorHAnsi" w:eastAsiaTheme="minorEastAsia" w:hAnsiTheme="majorHAnsi" w:cstheme="minorBidi"/>
          <w:kern w:val="2"/>
          <w:sz w:val="20"/>
          <w:szCs w:val="20"/>
          <w:bdr w:val="none" w:sz="0" w:space="0" w:color="auto"/>
          <w:lang w:val="es-US" w:eastAsia="zh-CN"/>
          <w14:ligatures w14:val="standardContextual"/>
        </w:rPr>
      </w:pPr>
      <w:hyperlink w:anchor="_Toc150524375" w:history="1">
        <w:r w:rsidR="008647B6" w:rsidRPr="008647B6">
          <w:rPr>
            <w:rStyle w:val="Hyperlink"/>
            <w:rFonts w:asciiTheme="majorHAnsi" w:hAnsiTheme="majorHAnsi"/>
            <w:sz w:val="20"/>
            <w:szCs w:val="20"/>
          </w:rPr>
          <w:t>A.</w:t>
        </w:r>
        <w:r w:rsidR="008647B6" w:rsidRPr="008647B6">
          <w:rPr>
            <w:rFonts w:asciiTheme="majorHAnsi" w:eastAsiaTheme="minorEastAsia" w:hAnsiTheme="majorHAnsi" w:cstheme="minorBidi"/>
            <w:kern w:val="2"/>
            <w:sz w:val="20"/>
            <w:szCs w:val="20"/>
            <w:bdr w:val="none" w:sz="0" w:space="0" w:color="auto"/>
            <w:lang w:val="es-US" w:eastAsia="zh-CN"/>
            <w14:ligatures w14:val="standardContextual"/>
          </w:rPr>
          <w:tab/>
        </w:r>
        <w:r w:rsidR="008647B6" w:rsidRPr="008647B6">
          <w:rPr>
            <w:rStyle w:val="Hyperlink"/>
            <w:rFonts w:asciiTheme="majorHAnsi" w:hAnsiTheme="majorHAnsi"/>
            <w:sz w:val="20"/>
            <w:szCs w:val="20"/>
          </w:rPr>
          <w:t>Petitioners</w:t>
        </w:r>
        <w:r w:rsidR="008647B6" w:rsidRPr="008647B6">
          <w:rPr>
            <w:rFonts w:asciiTheme="majorHAnsi" w:hAnsiTheme="majorHAnsi"/>
            <w:webHidden/>
            <w:sz w:val="20"/>
            <w:szCs w:val="20"/>
          </w:rPr>
          <w:tab/>
        </w:r>
        <w:r w:rsidR="008647B6" w:rsidRPr="008647B6">
          <w:rPr>
            <w:rFonts w:asciiTheme="majorHAnsi" w:hAnsiTheme="majorHAnsi"/>
            <w:webHidden/>
            <w:sz w:val="20"/>
            <w:szCs w:val="20"/>
          </w:rPr>
          <w:fldChar w:fldCharType="begin"/>
        </w:r>
        <w:r w:rsidR="008647B6" w:rsidRPr="008647B6">
          <w:rPr>
            <w:rFonts w:asciiTheme="majorHAnsi" w:hAnsiTheme="majorHAnsi"/>
            <w:webHidden/>
            <w:sz w:val="20"/>
            <w:szCs w:val="20"/>
          </w:rPr>
          <w:instrText xml:space="preserve"> PAGEREF _Toc150524375 \h </w:instrText>
        </w:r>
        <w:r w:rsidR="008647B6" w:rsidRPr="008647B6">
          <w:rPr>
            <w:rFonts w:asciiTheme="majorHAnsi" w:hAnsiTheme="majorHAnsi"/>
            <w:webHidden/>
            <w:sz w:val="20"/>
            <w:szCs w:val="20"/>
          </w:rPr>
        </w:r>
        <w:r w:rsidR="008647B6" w:rsidRPr="008647B6">
          <w:rPr>
            <w:rFonts w:asciiTheme="majorHAnsi" w:hAnsiTheme="majorHAnsi"/>
            <w:webHidden/>
            <w:sz w:val="20"/>
            <w:szCs w:val="20"/>
          </w:rPr>
          <w:fldChar w:fldCharType="separate"/>
        </w:r>
        <w:r>
          <w:rPr>
            <w:rFonts w:asciiTheme="majorHAnsi" w:hAnsiTheme="majorHAnsi"/>
            <w:webHidden/>
            <w:sz w:val="20"/>
            <w:szCs w:val="20"/>
          </w:rPr>
          <w:t>2</w:t>
        </w:r>
        <w:r w:rsidR="008647B6" w:rsidRPr="008647B6">
          <w:rPr>
            <w:rFonts w:asciiTheme="majorHAnsi" w:hAnsiTheme="majorHAnsi"/>
            <w:webHidden/>
            <w:sz w:val="20"/>
            <w:szCs w:val="20"/>
          </w:rPr>
          <w:fldChar w:fldCharType="end"/>
        </w:r>
      </w:hyperlink>
    </w:p>
    <w:p w14:paraId="243CA563" w14:textId="03B420C1" w:rsidR="008647B6" w:rsidRPr="008647B6" w:rsidRDefault="008261BF">
      <w:pPr>
        <w:pStyle w:val="TOC2"/>
        <w:rPr>
          <w:rFonts w:asciiTheme="majorHAnsi" w:eastAsiaTheme="minorEastAsia" w:hAnsiTheme="majorHAnsi" w:cstheme="minorBidi"/>
          <w:kern w:val="2"/>
          <w:sz w:val="20"/>
          <w:szCs w:val="20"/>
          <w:bdr w:val="none" w:sz="0" w:space="0" w:color="auto"/>
          <w:lang w:val="es-US" w:eastAsia="zh-CN"/>
          <w14:ligatures w14:val="standardContextual"/>
        </w:rPr>
      </w:pPr>
      <w:hyperlink w:anchor="_Toc150524376" w:history="1">
        <w:r w:rsidR="008647B6" w:rsidRPr="008647B6">
          <w:rPr>
            <w:rStyle w:val="Hyperlink"/>
            <w:rFonts w:asciiTheme="majorHAnsi" w:hAnsiTheme="majorHAnsi"/>
            <w:sz w:val="20"/>
            <w:szCs w:val="20"/>
          </w:rPr>
          <w:t>B.</w:t>
        </w:r>
        <w:r w:rsidR="008647B6" w:rsidRPr="008647B6">
          <w:rPr>
            <w:rFonts w:asciiTheme="majorHAnsi" w:eastAsiaTheme="minorEastAsia" w:hAnsiTheme="majorHAnsi" w:cstheme="minorBidi"/>
            <w:kern w:val="2"/>
            <w:sz w:val="20"/>
            <w:szCs w:val="20"/>
            <w:bdr w:val="none" w:sz="0" w:space="0" w:color="auto"/>
            <w:lang w:val="es-US" w:eastAsia="zh-CN"/>
            <w14:ligatures w14:val="standardContextual"/>
          </w:rPr>
          <w:tab/>
        </w:r>
        <w:r w:rsidR="008647B6" w:rsidRPr="008647B6">
          <w:rPr>
            <w:rStyle w:val="Hyperlink"/>
            <w:rFonts w:asciiTheme="majorHAnsi" w:hAnsiTheme="majorHAnsi"/>
            <w:sz w:val="20"/>
            <w:szCs w:val="20"/>
          </w:rPr>
          <w:t>State</w:t>
        </w:r>
        <w:r w:rsidR="008647B6" w:rsidRPr="008647B6">
          <w:rPr>
            <w:rFonts w:asciiTheme="majorHAnsi" w:hAnsiTheme="majorHAnsi"/>
            <w:webHidden/>
            <w:sz w:val="20"/>
            <w:szCs w:val="20"/>
          </w:rPr>
          <w:tab/>
        </w:r>
        <w:r w:rsidR="008647B6" w:rsidRPr="008647B6">
          <w:rPr>
            <w:rFonts w:asciiTheme="majorHAnsi" w:hAnsiTheme="majorHAnsi"/>
            <w:webHidden/>
            <w:sz w:val="20"/>
            <w:szCs w:val="20"/>
          </w:rPr>
          <w:fldChar w:fldCharType="begin"/>
        </w:r>
        <w:r w:rsidR="008647B6" w:rsidRPr="008647B6">
          <w:rPr>
            <w:rFonts w:asciiTheme="majorHAnsi" w:hAnsiTheme="majorHAnsi"/>
            <w:webHidden/>
            <w:sz w:val="20"/>
            <w:szCs w:val="20"/>
          </w:rPr>
          <w:instrText xml:space="preserve"> PAGEREF _Toc150524376 \h </w:instrText>
        </w:r>
        <w:r w:rsidR="008647B6" w:rsidRPr="008647B6">
          <w:rPr>
            <w:rFonts w:asciiTheme="majorHAnsi" w:hAnsiTheme="majorHAnsi"/>
            <w:webHidden/>
            <w:sz w:val="20"/>
            <w:szCs w:val="20"/>
          </w:rPr>
        </w:r>
        <w:r w:rsidR="008647B6" w:rsidRPr="008647B6">
          <w:rPr>
            <w:rFonts w:asciiTheme="majorHAnsi" w:hAnsiTheme="majorHAnsi"/>
            <w:webHidden/>
            <w:sz w:val="20"/>
            <w:szCs w:val="20"/>
          </w:rPr>
          <w:fldChar w:fldCharType="separate"/>
        </w:r>
        <w:r>
          <w:rPr>
            <w:rFonts w:asciiTheme="majorHAnsi" w:hAnsiTheme="majorHAnsi"/>
            <w:webHidden/>
            <w:sz w:val="20"/>
            <w:szCs w:val="20"/>
          </w:rPr>
          <w:t>3</w:t>
        </w:r>
        <w:r w:rsidR="008647B6" w:rsidRPr="008647B6">
          <w:rPr>
            <w:rFonts w:asciiTheme="majorHAnsi" w:hAnsiTheme="majorHAnsi"/>
            <w:webHidden/>
            <w:sz w:val="20"/>
            <w:szCs w:val="20"/>
          </w:rPr>
          <w:fldChar w:fldCharType="end"/>
        </w:r>
      </w:hyperlink>
    </w:p>
    <w:p w14:paraId="45A18CCC" w14:textId="680976A2" w:rsidR="008647B6" w:rsidRPr="008647B6" w:rsidRDefault="008261BF">
      <w:pPr>
        <w:pStyle w:val="TOC1"/>
        <w:rPr>
          <w:rFonts w:eastAsiaTheme="minorEastAsia" w:cstheme="minorBidi"/>
          <w:b w:val="0"/>
          <w:kern w:val="2"/>
          <w:bdr w:val="none" w:sz="0" w:space="0" w:color="auto"/>
          <w:lang w:val="es-US" w:eastAsia="zh-CN"/>
          <w14:ligatures w14:val="standardContextual"/>
        </w:rPr>
      </w:pPr>
      <w:hyperlink w:anchor="_Toc150524377" w:history="1">
        <w:r w:rsidR="008647B6" w:rsidRPr="008647B6">
          <w:rPr>
            <w:rStyle w:val="Hyperlink"/>
          </w:rPr>
          <w:t>III.</w:t>
        </w:r>
        <w:r w:rsidR="008647B6" w:rsidRPr="008647B6">
          <w:rPr>
            <w:rFonts w:eastAsiaTheme="minorEastAsia" w:cstheme="minorBidi"/>
            <w:b w:val="0"/>
            <w:kern w:val="2"/>
            <w:bdr w:val="none" w:sz="0" w:space="0" w:color="auto"/>
            <w:lang w:val="es-US" w:eastAsia="zh-CN"/>
            <w14:ligatures w14:val="standardContextual"/>
          </w:rPr>
          <w:tab/>
        </w:r>
        <w:r w:rsidR="008647B6" w:rsidRPr="008647B6">
          <w:rPr>
            <w:rStyle w:val="Hyperlink"/>
          </w:rPr>
          <w:t>ADMISSIBILITY</w:t>
        </w:r>
        <w:r w:rsidR="008647B6" w:rsidRPr="008647B6">
          <w:rPr>
            <w:webHidden/>
          </w:rPr>
          <w:tab/>
        </w:r>
        <w:r w:rsidR="008647B6" w:rsidRPr="008647B6">
          <w:rPr>
            <w:webHidden/>
          </w:rPr>
          <w:fldChar w:fldCharType="begin"/>
        </w:r>
        <w:r w:rsidR="008647B6" w:rsidRPr="008647B6">
          <w:rPr>
            <w:webHidden/>
          </w:rPr>
          <w:instrText xml:space="preserve"> PAGEREF _Toc150524377 \h </w:instrText>
        </w:r>
        <w:r w:rsidR="008647B6" w:rsidRPr="008647B6">
          <w:rPr>
            <w:webHidden/>
          </w:rPr>
        </w:r>
        <w:r w:rsidR="008647B6" w:rsidRPr="008647B6">
          <w:rPr>
            <w:webHidden/>
          </w:rPr>
          <w:fldChar w:fldCharType="separate"/>
        </w:r>
        <w:r>
          <w:rPr>
            <w:webHidden/>
          </w:rPr>
          <w:t>4</w:t>
        </w:r>
        <w:r w:rsidR="008647B6" w:rsidRPr="008647B6">
          <w:rPr>
            <w:webHidden/>
          </w:rPr>
          <w:fldChar w:fldCharType="end"/>
        </w:r>
      </w:hyperlink>
    </w:p>
    <w:p w14:paraId="61A35309" w14:textId="32BE3DA4" w:rsidR="008647B6" w:rsidRPr="008647B6" w:rsidRDefault="008261BF">
      <w:pPr>
        <w:pStyle w:val="TOC2"/>
        <w:rPr>
          <w:rFonts w:asciiTheme="majorHAnsi" w:eastAsiaTheme="minorEastAsia" w:hAnsiTheme="majorHAnsi" w:cstheme="minorBidi"/>
          <w:kern w:val="2"/>
          <w:sz w:val="20"/>
          <w:szCs w:val="20"/>
          <w:bdr w:val="none" w:sz="0" w:space="0" w:color="auto"/>
          <w:lang w:val="es-US" w:eastAsia="zh-CN"/>
          <w14:ligatures w14:val="standardContextual"/>
        </w:rPr>
      </w:pPr>
      <w:hyperlink w:anchor="_Toc150524378" w:history="1">
        <w:r w:rsidR="008647B6" w:rsidRPr="008647B6">
          <w:rPr>
            <w:rStyle w:val="Hyperlink"/>
            <w:rFonts w:asciiTheme="majorHAnsi" w:hAnsiTheme="majorHAnsi"/>
            <w:sz w:val="20"/>
            <w:szCs w:val="20"/>
          </w:rPr>
          <w:t>A.</w:t>
        </w:r>
        <w:r w:rsidR="008647B6" w:rsidRPr="008647B6">
          <w:rPr>
            <w:rFonts w:asciiTheme="majorHAnsi" w:eastAsiaTheme="minorEastAsia" w:hAnsiTheme="majorHAnsi" w:cstheme="minorBidi"/>
            <w:kern w:val="2"/>
            <w:sz w:val="20"/>
            <w:szCs w:val="20"/>
            <w:bdr w:val="none" w:sz="0" w:space="0" w:color="auto"/>
            <w:lang w:val="es-US" w:eastAsia="zh-CN"/>
            <w14:ligatures w14:val="standardContextual"/>
          </w:rPr>
          <w:tab/>
        </w:r>
        <w:r w:rsidR="008647B6" w:rsidRPr="008647B6">
          <w:rPr>
            <w:rStyle w:val="Hyperlink"/>
            <w:rFonts w:asciiTheme="majorHAnsi" w:hAnsiTheme="majorHAnsi"/>
            <w:sz w:val="20"/>
            <w:szCs w:val="20"/>
          </w:rPr>
          <w:t xml:space="preserve">Competence, duplication of procedures and international </w:t>
        </w:r>
        <w:r w:rsidR="008647B6" w:rsidRPr="008647B6">
          <w:rPr>
            <w:rStyle w:val="Hyperlink"/>
            <w:rFonts w:asciiTheme="majorHAnsi" w:hAnsiTheme="majorHAnsi"/>
            <w:i/>
            <w:sz w:val="20"/>
            <w:szCs w:val="20"/>
          </w:rPr>
          <w:t>res judicata</w:t>
        </w:r>
        <w:r w:rsidR="008647B6" w:rsidRPr="008647B6">
          <w:rPr>
            <w:rFonts w:asciiTheme="majorHAnsi" w:hAnsiTheme="majorHAnsi"/>
            <w:webHidden/>
            <w:sz w:val="20"/>
            <w:szCs w:val="20"/>
          </w:rPr>
          <w:tab/>
        </w:r>
        <w:r w:rsidR="008647B6" w:rsidRPr="008647B6">
          <w:rPr>
            <w:rFonts w:asciiTheme="majorHAnsi" w:hAnsiTheme="majorHAnsi"/>
            <w:webHidden/>
            <w:sz w:val="20"/>
            <w:szCs w:val="20"/>
          </w:rPr>
          <w:fldChar w:fldCharType="begin"/>
        </w:r>
        <w:r w:rsidR="008647B6" w:rsidRPr="008647B6">
          <w:rPr>
            <w:rFonts w:asciiTheme="majorHAnsi" w:hAnsiTheme="majorHAnsi"/>
            <w:webHidden/>
            <w:sz w:val="20"/>
            <w:szCs w:val="20"/>
          </w:rPr>
          <w:instrText xml:space="preserve"> PAGEREF _Toc150524378 \h </w:instrText>
        </w:r>
        <w:r w:rsidR="008647B6" w:rsidRPr="008647B6">
          <w:rPr>
            <w:rFonts w:asciiTheme="majorHAnsi" w:hAnsiTheme="majorHAnsi"/>
            <w:webHidden/>
            <w:sz w:val="20"/>
            <w:szCs w:val="20"/>
          </w:rPr>
        </w:r>
        <w:r w:rsidR="008647B6" w:rsidRPr="008647B6">
          <w:rPr>
            <w:rFonts w:asciiTheme="majorHAnsi" w:hAnsiTheme="majorHAnsi"/>
            <w:webHidden/>
            <w:sz w:val="20"/>
            <w:szCs w:val="20"/>
          </w:rPr>
          <w:fldChar w:fldCharType="separate"/>
        </w:r>
        <w:r>
          <w:rPr>
            <w:rFonts w:asciiTheme="majorHAnsi" w:hAnsiTheme="majorHAnsi"/>
            <w:webHidden/>
            <w:sz w:val="20"/>
            <w:szCs w:val="20"/>
          </w:rPr>
          <w:t>4</w:t>
        </w:r>
        <w:r w:rsidR="008647B6" w:rsidRPr="008647B6">
          <w:rPr>
            <w:rFonts w:asciiTheme="majorHAnsi" w:hAnsiTheme="majorHAnsi"/>
            <w:webHidden/>
            <w:sz w:val="20"/>
            <w:szCs w:val="20"/>
          </w:rPr>
          <w:fldChar w:fldCharType="end"/>
        </w:r>
      </w:hyperlink>
    </w:p>
    <w:p w14:paraId="51B573CF" w14:textId="540DCFBF" w:rsidR="008647B6" w:rsidRPr="008647B6" w:rsidRDefault="008261BF">
      <w:pPr>
        <w:pStyle w:val="TOC2"/>
        <w:rPr>
          <w:rFonts w:asciiTheme="majorHAnsi" w:eastAsiaTheme="minorEastAsia" w:hAnsiTheme="majorHAnsi" w:cstheme="minorBidi"/>
          <w:kern w:val="2"/>
          <w:sz w:val="20"/>
          <w:szCs w:val="20"/>
          <w:bdr w:val="none" w:sz="0" w:space="0" w:color="auto"/>
          <w:lang w:val="es-US" w:eastAsia="zh-CN"/>
          <w14:ligatures w14:val="standardContextual"/>
        </w:rPr>
      </w:pPr>
      <w:hyperlink w:anchor="_Toc150524379" w:history="1">
        <w:r w:rsidR="008647B6" w:rsidRPr="008647B6">
          <w:rPr>
            <w:rStyle w:val="Hyperlink"/>
            <w:rFonts w:asciiTheme="majorHAnsi" w:hAnsiTheme="majorHAnsi" w:cs="Tahoma"/>
            <w:sz w:val="20"/>
            <w:szCs w:val="20"/>
          </w:rPr>
          <w:t>B.</w:t>
        </w:r>
        <w:r w:rsidR="008647B6" w:rsidRPr="008647B6">
          <w:rPr>
            <w:rFonts w:asciiTheme="majorHAnsi" w:eastAsiaTheme="minorEastAsia" w:hAnsiTheme="majorHAnsi" w:cstheme="minorBidi"/>
            <w:kern w:val="2"/>
            <w:sz w:val="20"/>
            <w:szCs w:val="20"/>
            <w:bdr w:val="none" w:sz="0" w:space="0" w:color="auto"/>
            <w:lang w:val="es-US" w:eastAsia="zh-CN"/>
            <w14:ligatures w14:val="standardContextual"/>
          </w:rPr>
          <w:tab/>
        </w:r>
        <w:r w:rsidR="008647B6" w:rsidRPr="008647B6">
          <w:rPr>
            <w:rStyle w:val="Hyperlink"/>
            <w:rFonts w:asciiTheme="majorHAnsi" w:hAnsiTheme="majorHAnsi" w:cs="Tahoma"/>
            <w:sz w:val="20"/>
            <w:szCs w:val="20"/>
            <w:shd w:val="clear" w:color="auto" w:fill="FFFFFF"/>
          </w:rPr>
          <w:t>Exhaustion of domestic remedies and timeliness of the petition</w:t>
        </w:r>
        <w:r w:rsidR="008647B6" w:rsidRPr="008647B6">
          <w:rPr>
            <w:rFonts w:asciiTheme="majorHAnsi" w:hAnsiTheme="majorHAnsi"/>
            <w:webHidden/>
            <w:sz w:val="20"/>
            <w:szCs w:val="20"/>
          </w:rPr>
          <w:tab/>
        </w:r>
        <w:r w:rsidR="008647B6" w:rsidRPr="008647B6">
          <w:rPr>
            <w:rFonts w:asciiTheme="majorHAnsi" w:hAnsiTheme="majorHAnsi"/>
            <w:webHidden/>
            <w:sz w:val="20"/>
            <w:szCs w:val="20"/>
          </w:rPr>
          <w:fldChar w:fldCharType="begin"/>
        </w:r>
        <w:r w:rsidR="008647B6" w:rsidRPr="008647B6">
          <w:rPr>
            <w:rFonts w:asciiTheme="majorHAnsi" w:hAnsiTheme="majorHAnsi"/>
            <w:webHidden/>
            <w:sz w:val="20"/>
            <w:szCs w:val="20"/>
          </w:rPr>
          <w:instrText xml:space="preserve"> PAGEREF _Toc150524379 \h </w:instrText>
        </w:r>
        <w:r w:rsidR="008647B6" w:rsidRPr="008647B6">
          <w:rPr>
            <w:rFonts w:asciiTheme="majorHAnsi" w:hAnsiTheme="majorHAnsi"/>
            <w:webHidden/>
            <w:sz w:val="20"/>
            <w:szCs w:val="20"/>
          </w:rPr>
        </w:r>
        <w:r w:rsidR="008647B6" w:rsidRPr="008647B6">
          <w:rPr>
            <w:rFonts w:asciiTheme="majorHAnsi" w:hAnsiTheme="majorHAnsi"/>
            <w:webHidden/>
            <w:sz w:val="20"/>
            <w:szCs w:val="20"/>
          </w:rPr>
          <w:fldChar w:fldCharType="separate"/>
        </w:r>
        <w:r>
          <w:rPr>
            <w:rFonts w:asciiTheme="majorHAnsi" w:hAnsiTheme="majorHAnsi"/>
            <w:webHidden/>
            <w:sz w:val="20"/>
            <w:szCs w:val="20"/>
          </w:rPr>
          <w:t>5</w:t>
        </w:r>
        <w:r w:rsidR="008647B6" w:rsidRPr="008647B6">
          <w:rPr>
            <w:rFonts w:asciiTheme="majorHAnsi" w:hAnsiTheme="majorHAnsi"/>
            <w:webHidden/>
            <w:sz w:val="20"/>
            <w:szCs w:val="20"/>
          </w:rPr>
          <w:fldChar w:fldCharType="end"/>
        </w:r>
      </w:hyperlink>
    </w:p>
    <w:p w14:paraId="3928A97C" w14:textId="46B5117A" w:rsidR="008647B6" w:rsidRPr="008647B6" w:rsidRDefault="008261BF">
      <w:pPr>
        <w:pStyle w:val="TOC2"/>
        <w:rPr>
          <w:rFonts w:asciiTheme="majorHAnsi" w:eastAsiaTheme="minorEastAsia" w:hAnsiTheme="majorHAnsi" w:cstheme="minorBidi"/>
          <w:kern w:val="2"/>
          <w:sz w:val="20"/>
          <w:szCs w:val="20"/>
          <w:bdr w:val="none" w:sz="0" w:space="0" w:color="auto"/>
          <w:lang w:val="es-US" w:eastAsia="zh-CN"/>
          <w14:ligatures w14:val="standardContextual"/>
        </w:rPr>
      </w:pPr>
      <w:hyperlink w:anchor="_Toc150524380" w:history="1">
        <w:r w:rsidR="008647B6" w:rsidRPr="008647B6">
          <w:rPr>
            <w:rStyle w:val="Hyperlink"/>
            <w:rFonts w:asciiTheme="majorHAnsi" w:hAnsiTheme="majorHAnsi"/>
            <w:sz w:val="20"/>
            <w:szCs w:val="20"/>
          </w:rPr>
          <w:t>C.</w:t>
        </w:r>
        <w:r w:rsidR="008647B6" w:rsidRPr="008647B6">
          <w:rPr>
            <w:rFonts w:asciiTheme="majorHAnsi" w:eastAsiaTheme="minorEastAsia" w:hAnsiTheme="majorHAnsi" w:cstheme="minorBidi"/>
            <w:kern w:val="2"/>
            <w:sz w:val="20"/>
            <w:szCs w:val="20"/>
            <w:bdr w:val="none" w:sz="0" w:space="0" w:color="auto"/>
            <w:lang w:val="es-US" w:eastAsia="zh-CN"/>
            <w14:ligatures w14:val="standardContextual"/>
          </w:rPr>
          <w:tab/>
        </w:r>
        <w:r w:rsidR="008647B6" w:rsidRPr="008647B6">
          <w:rPr>
            <w:rStyle w:val="Hyperlink"/>
            <w:rFonts w:asciiTheme="majorHAnsi" w:hAnsiTheme="majorHAnsi"/>
            <w:sz w:val="20"/>
            <w:szCs w:val="20"/>
          </w:rPr>
          <w:t>Colorable claim</w:t>
        </w:r>
        <w:r w:rsidR="008647B6" w:rsidRPr="008647B6">
          <w:rPr>
            <w:rFonts w:asciiTheme="majorHAnsi" w:hAnsiTheme="majorHAnsi"/>
            <w:webHidden/>
            <w:sz w:val="20"/>
            <w:szCs w:val="20"/>
          </w:rPr>
          <w:tab/>
        </w:r>
        <w:r w:rsidR="008647B6" w:rsidRPr="008647B6">
          <w:rPr>
            <w:rFonts w:asciiTheme="majorHAnsi" w:hAnsiTheme="majorHAnsi"/>
            <w:webHidden/>
            <w:sz w:val="20"/>
            <w:szCs w:val="20"/>
          </w:rPr>
          <w:fldChar w:fldCharType="begin"/>
        </w:r>
        <w:r w:rsidR="008647B6" w:rsidRPr="008647B6">
          <w:rPr>
            <w:rFonts w:asciiTheme="majorHAnsi" w:hAnsiTheme="majorHAnsi"/>
            <w:webHidden/>
            <w:sz w:val="20"/>
            <w:szCs w:val="20"/>
          </w:rPr>
          <w:instrText xml:space="preserve"> PAGEREF _Toc150524380 \h </w:instrText>
        </w:r>
        <w:r w:rsidR="008647B6" w:rsidRPr="008647B6">
          <w:rPr>
            <w:rFonts w:asciiTheme="majorHAnsi" w:hAnsiTheme="majorHAnsi"/>
            <w:webHidden/>
            <w:sz w:val="20"/>
            <w:szCs w:val="20"/>
          </w:rPr>
        </w:r>
        <w:r w:rsidR="008647B6" w:rsidRPr="008647B6">
          <w:rPr>
            <w:rFonts w:asciiTheme="majorHAnsi" w:hAnsiTheme="majorHAnsi"/>
            <w:webHidden/>
            <w:sz w:val="20"/>
            <w:szCs w:val="20"/>
          </w:rPr>
          <w:fldChar w:fldCharType="separate"/>
        </w:r>
        <w:r>
          <w:rPr>
            <w:rFonts w:asciiTheme="majorHAnsi" w:hAnsiTheme="majorHAnsi"/>
            <w:webHidden/>
            <w:sz w:val="20"/>
            <w:szCs w:val="20"/>
          </w:rPr>
          <w:t>6</w:t>
        </w:r>
        <w:r w:rsidR="008647B6" w:rsidRPr="008647B6">
          <w:rPr>
            <w:rFonts w:asciiTheme="majorHAnsi" w:hAnsiTheme="majorHAnsi"/>
            <w:webHidden/>
            <w:sz w:val="20"/>
            <w:szCs w:val="20"/>
          </w:rPr>
          <w:fldChar w:fldCharType="end"/>
        </w:r>
      </w:hyperlink>
    </w:p>
    <w:p w14:paraId="67FAD95B" w14:textId="77648FB3" w:rsidR="008647B6" w:rsidRPr="008647B6" w:rsidRDefault="008261BF">
      <w:pPr>
        <w:pStyle w:val="TOC1"/>
        <w:rPr>
          <w:rFonts w:eastAsiaTheme="minorEastAsia" w:cstheme="minorBidi"/>
          <w:b w:val="0"/>
          <w:kern w:val="2"/>
          <w:bdr w:val="none" w:sz="0" w:space="0" w:color="auto"/>
          <w:lang w:val="es-US" w:eastAsia="zh-CN"/>
          <w14:ligatures w14:val="standardContextual"/>
        </w:rPr>
      </w:pPr>
      <w:hyperlink w:anchor="_Toc150524381" w:history="1">
        <w:r w:rsidR="008647B6" w:rsidRPr="008647B6">
          <w:rPr>
            <w:rStyle w:val="Hyperlink"/>
          </w:rPr>
          <w:t>IV.</w:t>
        </w:r>
        <w:r w:rsidR="008647B6" w:rsidRPr="008647B6">
          <w:rPr>
            <w:rFonts w:eastAsiaTheme="minorEastAsia" w:cstheme="minorBidi"/>
            <w:b w:val="0"/>
            <w:kern w:val="2"/>
            <w:bdr w:val="none" w:sz="0" w:space="0" w:color="auto"/>
            <w:lang w:val="es-US" w:eastAsia="zh-CN"/>
            <w14:ligatures w14:val="standardContextual"/>
          </w:rPr>
          <w:tab/>
        </w:r>
        <w:r w:rsidR="008647B6" w:rsidRPr="008647B6">
          <w:rPr>
            <w:rStyle w:val="Hyperlink"/>
          </w:rPr>
          <w:t>FINDINGS OF FACT</w:t>
        </w:r>
        <w:r w:rsidR="008647B6" w:rsidRPr="008647B6">
          <w:rPr>
            <w:webHidden/>
          </w:rPr>
          <w:tab/>
        </w:r>
        <w:r w:rsidR="008647B6" w:rsidRPr="008647B6">
          <w:rPr>
            <w:webHidden/>
          </w:rPr>
          <w:fldChar w:fldCharType="begin"/>
        </w:r>
        <w:r w:rsidR="008647B6" w:rsidRPr="008647B6">
          <w:rPr>
            <w:webHidden/>
          </w:rPr>
          <w:instrText xml:space="preserve"> PAGEREF _Toc150524381 \h </w:instrText>
        </w:r>
        <w:r w:rsidR="008647B6" w:rsidRPr="008647B6">
          <w:rPr>
            <w:webHidden/>
          </w:rPr>
        </w:r>
        <w:r w:rsidR="008647B6" w:rsidRPr="008647B6">
          <w:rPr>
            <w:webHidden/>
          </w:rPr>
          <w:fldChar w:fldCharType="separate"/>
        </w:r>
        <w:r>
          <w:rPr>
            <w:webHidden/>
          </w:rPr>
          <w:t>6</w:t>
        </w:r>
        <w:r w:rsidR="008647B6" w:rsidRPr="008647B6">
          <w:rPr>
            <w:webHidden/>
          </w:rPr>
          <w:fldChar w:fldCharType="end"/>
        </w:r>
      </w:hyperlink>
    </w:p>
    <w:p w14:paraId="1D7153B3" w14:textId="0B8C7808" w:rsidR="008647B6" w:rsidRPr="008647B6" w:rsidRDefault="008261BF">
      <w:pPr>
        <w:pStyle w:val="TOC2"/>
        <w:rPr>
          <w:rFonts w:asciiTheme="majorHAnsi" w:eastAsiaTheme="minorEastAsia" w:hAnsiTheme="majorHAnsi" w:cstheme="minorBidi"/>
          <w:kern w:val="2"/>
          <w:sz w:val="20"/>
          <w:szCs w:val="20"/>
          <w:bdr w:val="none" w:sz="0" w:space="0" w:color="auto"/>
          <w:lang w:val="es-US" w:eastAsia="zh-CN"/>
          <w14:ligatures w14:val="standardContextual"/>
        </w:rPr>
      </w:pPr>
      <w:hyperlink w:anchor="_Toc150524382" w:history="1">
        <w:r w:rsidR="008647B6" w:rsidRPr="008647B6">
          <w:rPr>
            <w:rStyle w:val="Hyperlink"/>
            <w:rFonts w:asciiTheme="majorHAnsi" w:hAnsiTheme="majorHAnsi"/>
            <w:sz w:val="20"/>
            <w:szCs w:val="20"/>
          </w:rPr>
          <w:t>A.</w:t>
        </w:r>
        <w:r w:rsidR="008647B6" w:rsidRPr="008647B6">
          <w:rPr>
            <w:rFonts w:asciiTheme="majorHAnsi" w:eastAsiaTheme="minorEastAsia" w:hAnsiTheme="majorHAnsi" w:cstheme="minorBidi"/>
            <w:kern w:val="2"/>
            <w:sz w:val="20"/>
            <w:szCs w:val="20"/>
            <w:bdr w:val="none" w:sz="0" w:space="0" w:color="auto"/>
            <w:lang w:val="es-US" w:eastAsia="zh-CN"/>
            <w14:ligatures w14:val="standardContextual"/>
          </w:rPr>
          <w:tab/>
        </w:r>
        <w:r w:rsidR="008647B6" w:rsidRPr="008647B6">
          <w:rPr>
            <w:rStyle w:val="Hyperlink"/>
            <w:rFonts w:asciiTheme="majorHAnsi" w:hAnsiTheme="majorHAnsi"/>
            <w:sz w:val="20"/>
            <w:szCs w:val="20"/>
          </w:rPr>
          <w:t>Facts of the case</w:t>
        </w:r>
        <w:r w:rsidR="008647B6" w:rsidRPr="008647B6">
          <w:rPr>
            <w:rFonts w:asciiTheme="majorHAnsi" w:hAnsiTheme="majorHAnsi"/>
            <w:webHidden/>
            <w:sz w:val="20"/>
            <w:szCs w:val="20"/>
          </w:rPr>
          <w:tab/>
        </w:r>
        <w:r w:rsidR="008647B6" w:rsidRPr="008647B6">
          <w:rPr>
            <w:rFonts w:asciiTheme="majorHAnsi" w:hAnsiTheme="majorHAnsi"/>
            <w:webHidden/>
            <w:sz w:val="20"/>
            <w:szCs w:val="20"/>
          </w:rPr>
          <w:fldChar w:fldCharType="begin"/>
        </w:r>
        <w:r w:rsidR="008647B6" w:rsidRPr="008647B6">
          <w:rPr>
            <w:rFonts w:asciiTheme="majorHAnsi" w:hAnsiTheme="majorHAnsi"/>
            <w:webHidden/>
            <w:sz w:val="20"/>
            <w:szCs w:val="20"/>
          </w:rPr>
          <w:instrText xml:space="preserve"> PAGEREF _Toc150524382 \h </w:instrText>
        </w:r>
        <w:r w:rsidR="008647B6" w:rsidRPr="008647B6">
          <w:rPr>
            <w:rFonts w:asciiTheme="majorHAnsi" w:hAnsiTheme="majorHAnsi"/>
            <w:webHidden/>
            <w:sz w:val="20"/>
            <w:szCs w:val="20"/>
          </w:rPr>
        </w:r>
        <w:r w:rsidR="008647B6" w:rsidRPr="008647B6">
          <w:rPr>
            <w:rFonts w:asciiTheme="majorHAnsi" w:hAnsiTheme="majorHAnsi"/>
            <w:webHidden/>
            <w:sz w:val="20"/>
            <w:szCs w:val="20"/>
          </w:rPr>
          <w:fldChar w:fldCharType="separate"/>
        </w:r>
        <w:r>
          <w:rPr>
            <w:rFonts w:asciiTheme="majorHAnsi" w:hAnsiTheme="majorHAnsi"/>
            <w:webHidden/>
            <w:sz w:val="20"/>
            <w:szCs w:val="20"/>
          </w:rPr>
          <w:t>6</w:t>
        </w:r>
        <w:r w:rsidR="008647B6" w:rsidRPr="008647B6">
          <w:rPr>
            <w:rFonts w:asciiTheme="majorHAnsi" w:hAnsiTheme="majorHAnsi"/>
            <w:webHidden/>
            <w:sz w:val="20"/>
            <w:szCs w:val="20"/>
          </w:rPr>
          <w:fldChar w:fldCharType="end"/>
        </w:r>
      </w:hyperlink>
    </w:p>
    <w:p w14:paraId="1FA4B320" w14:textId="4FCC0924" w:rsidR="008647B6" w:rsidRPr="008647B6" w:rsidRDefault="008261BF">
      <w:pPr>
        <w:pStyle w:val="TOC2"/>
        <w:rPr>
          <w:rFonts w:asciiTheme="majorHAnsi" w:eastAsiaTheme="minorEastAsia" w:hAnsiTheme="majorHAnsi" w:cstheme="minorBidi"/>
          <w:kern w:val="2"/>
          <w:sz w:val="20"/>
          <w:szCs w:val="20"/>
          <w:bdr w:val="none" w:sz="0" w:space="0" w:color="auto"/>
          <w:lang w:val="es-US" w:eastAsia="zh-CN"/>
          <w14:ligatures w14:val="standardContextual"/>
        </w:rPr>
      </w:pPr>
      <w:hyperlink w:anchor="_Toc150524383" w:history="1">
        <w:r w:rsidR="008647B6" w:rsidRPr="008647B6">
          <w:rPr>
            <w:rStyle w:val="Hyperlink"/>
            <w:rFonts w:asciiTheme="majorHAnsi" w:hAnsiTheme="majorHAnsi"/>
            <w:sz w:val="20"/>
            <w:szCs w:val="20"/>
          </w:rPr>
          <w:t>B.</w:t>
        </w:r>
        <w:r w:rsidR="008647B6" w:rsidRPr="008647B6">
          <w:rPr>
            <w:rFonts w:asciiTheme="majorHAnsi" w:eastAsiaTheme="minorEastAsia" w:hAnsiTheme="majorHAnsi" w:cstheme="minorBidi"/>
            <w:kern w:val="2"/>
            <w:sz w:val="20"/>
            <w:szCs w:val="20"/>
            <w:bdr w:val="none" w:sz="0" w:space="0" w:color="auto"/>
            <w:lang w:val="es-US" w:eastAsia="zh-CN"/>
            <w14:ligatures w14:val="standardContextual"/>
          </w:rPr>
          <w:tab/>
        </w:r>
        <w:r w:rsidR="008647B6" w:rsidRPr="008647B6">
          <w:rPr>
            <w:rStyle w:val="Hyperlink"/>
            <w:rFonts w:asciiTheme="majorHAnsi" w:hAnsiTheme="majorHAnsi"/>
            <w:sz w:val="20"/>
            <w:szCs w:val="20"/>
          </w:rPr>
          <w:t>Trial and death sentence</w:t>
        </w:r>
        <w:r w:rsidR="008647B6" w:rsidRPr="008647B6">
          <w:rPr>
            <w:rFonts w:asciiTheme="majorHAnsi" w:hAnsiTheme="majorHAnsi"/>
            <w:webHidden/>
            <w:sz w:val="20"/>
            <w:szCs w:val="20"/>
          </w:rPr>
          <w:tab/>
        </w:r>
        <w:r w:rsidR="008647B6" w:rsidRPr="008647B6">
          <w:rPr>
            <w:rFonts w:asciiTheme="majorHAnsi" w:hAnsiTheme="majorHAnsi"/>
            <w:webHidden/>
            <w:sz w:val="20"/>
            <w:szCs w:val="20"/>
          </w:rPr>
          <w:fldChar w:fldCharType="begin"/>
        </w:r>
        <w:r w:rsidR="008647B6" w:rsidRPr="008647B6">
          <w:rPr>
            <w:rFonts w:asciiTheme="majorHAnsi" w:hAnsiTheme="majorHAnsi"/>
            <w:webHidden/>
            <w:sz w:val="20"/>
            <w:szCs w:val="20"/>
          </w:rPr>
          <w:instrText xml:space="preserve"> PAGEREF _Toc150524383 \h </w:instrText>
        </w:r>
        <w:r w:rsidR="008647B6" w:rsidRPr="008647B6">
          <w:rPr>
            <w:rFonts w:asciiTheme="majorHAnsi" w:hAnsiTheme="majorHAnsi"/>
            <w:webHidden/>
            <w:sz w:val="20"/>
            <w:szCs w:val="20"/>
          </w:rPr>
        </w:r>
        <w:r w:rsidR="008647B6" w:rsidRPr="008647B6">
          <w:rPr>
            <w:rFonts w:asciiTheme="majorHAnsi" w:hAnsiTheme="majorHAnsi"/>
            <w:webHidden/>
            <w:sz w:val="20"/>
            <w:szCs w:val="20"/>
          </w:rPr>
          <w:fldChar w:fldCharType="separate"/>
        </w:r>
        <w:r>
          <w:rPr>
            <w:rFonts w:asciiTheme="majorHAnsi" w:hAnsiTheme="majorHAnsi"/>
            <w:webHidden/>
            <w:sz w:val="20"/>
            <w:szCs w:val="20"/>
          </w:rPr>
          <w:t>7</w:t>
        </w:r>
        <w:r w:rsidR="008647B6" w:rsidRPr="008647B6">
          <w:rPr>
            <w:rFonts w:asciiTheme="majorHAnsi" w:hAnsiTheme="majorHAnsi"/>
            <w:webHidden/>
            <w:sz w:val="20"/>
            <w:szCs w:val="20"/>
          </w:rPr>
          <w:fldChar w:fldCharType="end"/>
        </w:r>
      </w:hyperlink>
    </w:p>
    <w:p w14:paraId="0C7895D7" w14:textId="26A042C3" w:rsidR="008647B6" w:rsidRPr="008647B6" w:rsidRDefault="008261BF">
      <w:pPr>
        <w:pStyle w:val="TOC2"/>
        <w:rPr>
          <w:rFonts w:asciiTheme="majorHAnsi" w:eastAsiaTheme="minorEastAsia" w:hAnsiTheme="majorHAnsi" w:cstheme="minorBidi"/>
          <w:kern w:val="2"/>
          <w:sz w:val="20"/>
          <w:szCs w:val="20"/>
          <w:bdr w:val="none" w:sz="0" w:space="0" w:color="auto"/>
          <w:lang w:val="es-US" w:eastAsia="zh-CN"/>
          <w14:ligatures w14:val="standardContextual"/>
        </w:rPr>
      </w:pPr>
      <w:hyperlink w:anchor="_Toc150524384" w:history="1">
        <w:r w:rsidR="008647B6" w:rsidRPr="008647B6">
          <w:rPr>
            <w:rStyle w:val="Hyperlink"/>
            <w:rFonts w:asciiTheme="majorHAnsi" w:hAnsiTheme="majorHAnsi"/>
            <w:sz w:val="20"/>
            <w:szCs w:val="20"/>
          </w:rPr>
          <w:t>C.</w:t>
        </w:r>
        <w:r w:rsidR="008647B6" w:rsidRPr="008647B6">
          <w:rPr>
            <w:rFonts w:asciiTheme="majorHAnsi" w:eastAsiaTheme="minorEastAsia" w:hAnsiTheme="majorHAnsi" w:cstheme="minorBidi"/>
            <w:kern w:val="2"/>
            <w:sz w:val="20"/>
            <w:szCs w:val="20"/>
            <w:bdr w:val="none" w:sz="0" w:space="0" w:color="auto"/>
            <w:lang w:val="es-US" w:eastAsia="zh-CN"/>
            <w14:ligatures w14:val="standardContextual"/>
          </w:rPr>
          <w:tab/>
        </w:r>
        <w:r w:rsidR="008647B6" w:rsidRPr="008647B6">
          <w:rPr>
            <w:rStyle w:val="Hyperlink"/>
            <w:rFonts w:asciiTheme="majorHAnsi" w:hAnsiTheme="majorHAnsi"/>
            <w:sz w:val="20"/>
            <w:szCs w:val="20"/>
          </w:rPr>
          <w:t>Appeals and other remedies</w:t>
        </w:r>
        <w:r w:rsidR="008647B6" w:rsidRPr="008647B6">
          <w:rPr>
            <w:rFonts w:asciiTheme="majorHAnsi" w:hAnsiTheme="majorHAnsi"/>
            <w:webHidden/>
            <w:sz w:val="20"/>
            <w:szCs w:val="20"/>
          </w:rPr>
          <w:tab/>
        </w:r>
        <w:r w:rsidR="008647B6" w:rsidRPr="008647B6">
          <w:rPr>
            <w:rFonts w:asciiTheme="majorHAnsi" w:hAnsiTheme="majorHAnsi"/>
            <w:webHidden/>
            <w:sz w:val="20"/>
            <w:szCs w:val="20"/>
          </w:rPr>
          <w:fldChar w:fldCharType="begin"/>
        </w:r>
        <w:r w:rsidR="008647B6" w:rsidRPr="008647B6">
          <w:rPr>
            <w:rFonts w:asciiTheme="majorHAnsi" w:hAnsiTheme="majorHAnsi"/>
            <w:webHidden/>
            <w:sz w:val="20"/>
            <w:szCs w:val="20"/>
          </w:rPr>
          <w:instrText xml:space="preserve"> PAGEREF _Toc150524384 \h </w:instrText>
        </w:r>
        <w:r w:rsidR="008647B6" w:rsidRPr="008647B6">
          <w:rPr>
            <w:rFonts w:asciiTheme="majorHAnsi" w:hAnsiTheme="majorHAnsi"/>
            <w:webHidden/>
            <w:sz w:val="20"/>
            <w:szCs w:val="20"/>
          </w:rPr>
        </w:r>
        <w:r w:rsidR="008647B6" w:rsidRPr="008647B6">
          <w:rPr>
            <w:rFonts w:asciiTheme="majorHAnsi" w:hAnsiTheme="majorHAnsi"/>
            <w:webHidden/>
            <w:sz w:val="20"/>
            <w:szCs w:val="20"/>
          </w:rPr>
          <w:fldChar w:fldCharType="separate"/>
        </w:r>
        <w:r>
          <w:rPr>
            <w:rFonts w:asciiTheme="majorHAnsi" w:hAnsiTheme="majorHAnsi"/>
            <w:webHidden/>
            <w:sz w:val="20"/>
            <w:szCs w:val="20"/>
          </w:rPr>
          <w:t>7</w:t>
        </w:r>
        <w:r w:rsidR="008647B6" w:rsidRPr="008647B6">
          <w:rPr>
            <w:rFonts w:asciiTheme="majorHAnsi" w:hAnsiTheme="majorHAnsi"/>
            <w:webHidden/>
            <w:sz w:val="20"/>
            <w:szCs w:val="20"/>
          </w:rPr>
          <w:fldChar w:fldCharType="end"/>
        </w:r>
      </w:hyperlink>
    </w:p>
    <w:p w14:paraId="091909F6" w14:textId="1650D2EF" w:rsidR="008647B6" w:rsidRPr="008647B6" w:rsidRDefault="008261BF">
      <w:pPr>
        <w:pStyle w:val="TOC1"/>
        <w:rPr>
          <w:rFonts w:eastAsiaTheme="minorEastAsia" w:cstheme="minorBidi"/>
          <w:b w:val="0"/>
          <w:kern w:val="2"/>
          <w:bdr w:val="none" w:sz="0" w:space="0" w:color="auto"/>
          <w:lang w:val="es-US" w:eastAsia="zh-CN"/>
          <w14:ligatures w14:val="standardContextual"/>
        </w:rPr>
      </w:pPr>
      <w:hyperlink w:anchor="_Toc150524385" w:history="1">
        <w:r w:rsidR="008647B6" w:rsidRPr="008647B6">
          <w:rPr>
            <w:rStyle w:val="Hyperlink"/>
          </w:rPr>
          <w:t>V.</w:t>
        </w:r>
        <w:r w:rsidR="008647B6" w:rsidRPr="008647B6">
          <w:rPr>
            <w:rFonts w:eastAsiaTheme="minorEastAsia" w:cstheme="minorBidi"/>
            <w:b w:val="0"/>
            <w:kern w:val="2"/>
            <w:bdr w:val="none" w:sz="0" w:space="0" w:color="auto"/>
            <w:lang w:val="es-US" w:eastAsia="zh-CN"/>
            <w14:ligatures w14:val="standardContextual"/>
          </w:rPr>
          <w:tab/>
        </w:r>
        <w:r w:rsidR="008647B6" w:rsidRPr="008647B6">
          <w:rPr>
            <w:rStyle w:val="Hyperlink"/>
          </w:rPr>
          <w:t>ANALYSIS OF LAW</w:t>
        </w:r>
        <w:r w:rsidR="008647B6" w:rsidRPr="008647B6">
          <w:rPr>
            <w:webHidden/>
          </w:rPr>
          <w:tab/>
        </w:r>
        <w:r w:rsidR="008647B6" w:rsidRPr="008647B6">
          <w:rPr>
            <w:webHidden/>
          </w:rPr>
          <w:fldChar w:fldCharType="begin"/>
        </w:r>
        <w:r w:rsidR="008647B6" w:rsidRPr="008647B6">
          <w:rPr>
            <w:webHidden/>
          </w:rPr>
          <w:instrText xml:space="preserve"> PAGEREF _Toc150524385 \h </w:instrText>
        </w:r>
        <w:r w:rsidR="008647B6" w:rsidRPr="008647B6">
          <w:rPr>
            <w:webHidden/>
          </w:rPr>
        </w:r>
        <w:r w:rsidR="008647B6" w:rsidRPr="008647B6">
          <w:rPr>
            <w:webHidden/>
          </w:rPr>
          <w:fldChar w:fldCharType="separate"/>
        </w:r>
        <w:r>
          <w:rPr>
            <w:webHidden/>
          </w:rPr>
          <w:t>9</w:t>
        </w:r>
        <w:r w:rsidR="008647B6" w:rsidRPr="008647B6">
          <w:rPr>
            <w:webHidden/>
          </w:rPr>
          <w:fldChar w:fldCharType="end"/>
        </w:r>
      </w:hyperlink>
    </w:p>
    <w:p w14:paraId="209FE654" w14:textId="110B0C67" w:rsidR="008647B6" w:rsidRPr="008647B6" w:rsidRDefault="008261BF">
      <w:pPr>
        <w:pStyle w:val="TOC2"/>
        <w:rPr>
          <w:rFonts w:asciiTheme="majorHAnsi" w:eastAsiaTheme="minorEastAsia" w:hAnsiTheme="majorHAnsi" w:cstheme="minorBidi"/>
          <w:kern w:val="2"/>
          <w:sz w:val="20"/>
          <w:szCs w:val="20"/>
          <w:bdr w:val="none" w:sz="0" w:space="0" w:color="auto"/>
          <w:lang w:val="es-US" w:eastAsia="zh-CN"/>
          <w14:ligatures w14:val="standardContextual"/>
        </w:rPr>
      </w:pPr>
      <w:hyperlink w:anchor="_Toc150524386" w:history="1">
        <w:r w:rsidR="008647B6" w:rsidRPr="008647B6">
          <w:rPr>
            <w:rStyle w:val="Hyperlink"/>
            <w:rFonts w:asciiTheme="majorHAnsi" w:hAnsiTheme="majorHAnsi"/>
            <w:sz w:val="20"/>
            <w:szCs w:val="20"/>
          </w:rPr>
          <w:t>A.</w:t>
        </w:r>
        <w:r w:rsidR="008647B6" w:rsidRPr="008647B6">
          <w:rPr>
            <w:rFonts w:asciiTheme="majorHAnsi" w:eastAsiaTheme="minorEastAsia" w:hAnsiTheme="majorHAnsi" w:cstheme="minorBidi"/>
            <w:kern w:val="2"/>
            <w:sz w:val="20"/>
            <w:szCs w:val="20"/>
            <w:bdr w:val="none" w:sz="0" w:space="0" w:color="auto"/>
            <w:lang w:val="es-US" w:eastAsia="zh-CN"/>
            <w14:ligatures w14:val="standardContextual"/>
          </w:rPr>
          <w:tab/>
        </w:r>
        <w:r w:rsidR="008647B6" w:rsidRPr="008647B6">
          <w:rPr>
            <w:rStyle w:val="Hyperlink"/>
            <w:rFonts w:asciiTheme="majorHAnsi" w:hAnsiTheme="majorHAnsi"/>
            <w:sz w:val="20"/>
            <w:szCs w:val="20"/>
          </w:rPr>
          <w:t>Preliminary considerations</w:t>
        </w:r>
        <w:r w:rsidR="008647B6" w:rsidRPr="008647B6">
          <w:rPr>
            <w:rFonts w:asciiTheme="majorHAnsi" w:hAnsiTheme="majorHAnsi"/>
            <w:webHidden/>
            <w:sz w:val="20"/>
            <w:szCs w:val="20"/>
          </w:rPr>
          <w:tab/>
        </w:r>
        <w:r w:rsidR="008647B6" w:rsidRPr="008647B6">
          <w:rPr>
            <w:rFonts w:asciiTheme="majorHAnsi" w:hAnsiTheme="majorHAnsi"/>
            <w:webHidden/>
            <w:sz w:val="20"/>
            <w:szCs w:val="20"/>
          </w:rPr>
          <w:fldChar w:fldCharType="begin"/>
        </w:r>
        <w:r w:rsidR="008647B6" w:rsidRPr="008647B6">
          <w:rPr>
            <w:rFonts w:asciiTheme="majorHAnsi" w:hAnsiTheme="majorHAnsi"/>
            <w:webHidden/>
            <w:sz w:val="20"/>
            <w:szCs w:val="20"/>
          </w:rPr>
          <w:instrText xml:space="preserve"> PAGEREF _Toc150524386 \h </w:instrText>
        </w:r>
        <w:r w:rsidR="008647B6" w:rsidRPr="008647B6">
          <w:rPr>
            <w:rFonts w:asciiTheme="majorHAnsi" w:hAnsiTheme="majorHAnsi"/>
            <w:webHidden/>
            <w:sz w:val="20"/>
            <w:szCs w:val="20"/>
          </w:rPr>
        </w:r>
        <w:r w:rsidR="008647B6" w:rsidRPr="008647B6">
          <w:rPr>
            <w:rFonts w:asciiTheme="majorHAnsi" w:hAnsiTheme="majorHAnsi"/>
            <w:webHidden/>
            <w:sz w:val="20"/>
            <w:szCs w:val="20"/>
          </w:rPr>
          <w:fldChar w:fldCharType="separate"/>
        </w:r>
        <w:r>
          <w:rPr>
            <w:rFonts w:asciiTheme="majorHAnsi" w:hAnsiTheme="majorHAnsi"/>
            <w:webHidden/>
            <w:sz w:val="20"/>
            <w:szCs w:val="20"/>
          </w:rPr>
          <w:t>9</w:t>
        </w:r>
        <w:r w:rsidR="008647B6" w:rsidRPr="008647B6">
          <w:rPr>
            <w:rFonts w:asciiTheme="majorHAnsi" w:hAnsiTheme="majorHAnsi"/>
            <w:webHidden/>
            <w:sz w:val="20"/>
            <w:szCs w:val="20"/>
          </w:rPr>
          <w:fldChar w:fldCharType="end"/>
        </w:r>
      </w:hyperlink>
    </w:p>
    <w:p w14:paraId="3153F4B1" w14:textId="1F46A581" w:rsidR="008647B6" w:rsidRPr="008647B6" w:rsidRDefault="008261BF">
      <w:pPr>
        <w:pStyle w:val="TOC2"/>
        <w:rPr>
          <w:rFonts w:asciiTheme="majorHAnsi" w:eastAsiaTheme="minorEastAsia" w:hAnsiTheme="majorHAnsi" w:cstheme="minorBidi"/>
          <w:kern w:val="2"/>
          <w:sz w:val="20"/>
          <w:szCs w:val="20"/>
          <w:bdr w:val="none" w:sz="0" w:space="0" w:color="auto"/>
          <w:lang w:val="es-US" w:eastAsia="zh-CN"/>
          <w14:ligatures w14:val="standardContextual"/>
        </w:rPr>
      </w:pPr>
      <w:hyperlink w:anchor="_Toc150524387" w:history="1">
        <w:r w:rsidR="008647B6" w:rsidRPr="008647B6">
          <w:rPr>
            <w:rStyle w:val="Hyperlink"/>
            <w:rFonts w:asciiTheme="majorHAnsi" w:hAnsiTheme="majorHAnsi"/>
            <w:sz w:val="20"/>
            <w:szCs w:val="20"/>
          </w:rPr>
          <w:t>B.</w:t>
        </w:r>
        <w:r w:rsidR="008647B6" w:rsidRPr="008647B6">
          <w:rPr>
            <w:rFonts w:asciiTheme="majorHAnsi" w:eastAsiaTheme="minorEastAsia" w:hAnsiTheme="majorHAnsi" w:cstheme="minorBidi"/>
            <w:kern w:val="2"/>
            <w:sz w:val="20"/>
            <w:szCs w:val="20"/>
            <w:bdr w:val="none" w:sz="0" w:space="0" w:color="auto"/>
            <w:lang w:val="es-US" w:eastAsia="zh-CN"/>
            <w14:ligatures w14:val="standardContextual"/>
          </w:rPr>
          <w:tab/>
        </w:r>
        <w:r w:rsidR="008647B6" w:rsidRPr="008647B6">
          <w:rPr>
            <w:rStyle w:val="Hyperlink"/>
            <w:rFonts w:asciiTheme="majorHAnsi" w:hAnsiTheme="majorHAnsi"/>
            <w:sz w:val="20"/>
            <w:szCs w:val="20"/>
          </w:rPr>
          <w:t>Right to a fair trial, right of petition, and right to due process of law</w:t>
        </w:r>
        <w:r w:rsidR="008647B6" w:rsidRPr="008647B6">
          <w:rPr>
            <w:rFonts w:asciiTheme="majorHAnsi" w:hAnsiTheme="majorHAnsi"/>
            <w:webHidden/>
            <w:sz w:val="20"/>
            <w:szCs w:val="20"/>
          </w:rPr>
          <w:tab/>
        </w:r>
        <w:r w:rsidR="008647B6" w:rsidRPr="008647B6">
          <w:rPr>
            <w:rFonts w:asciiTheme="majorHAnsi" w:hAnsiTheme="majorHAnsi"/>
            <w:webHidden/>
            <w:sz w:val="20"/>
            <w:szCs w:val="20"/>
          </w:rPr>
          <w:fldChar w:fldCharType="begin"/>
        </w:r>
        <w:r w:rsidR="008647B6" w:rsidRPr="008647B6">
          <w:rPr>
            <w:rFonts w:asciiTheme="majorHAnsi" w:hAnsiTheme="majorHAnsi"/>
            <w:webHidden/>
            <w:sz w:val="20"/>
            <w:szCs w:val="20"/>
          </w:rPr>
          <w:instrText xml:space="preserve"> PAGEREF _Toc150524387 \h </w:instrText>
        </w:r>
        <w:r w:rsidR="008647B6" w:rsidRPr="008647B6">
          <w:rPr>
            <w:rFonts w:asciiTheme="majorHAnsi" w:hAnsiTheme="majorHAnsi"/>
            <w:webHidden/>
            <w:sz w:val="20"/>
            <w:szCs w:val="20"/>
          </w:rPr>
        </w:r>
        <w:r w:rsidR="008647B6" w:rsidRPr="008647B6">
          <w:rPr>
            <w:rFonts w:asciiTheme="majorHAnsi" w:hAnsiTheme="majorHAnsi"/>
            <w:webHidden/>
            <w:sz w:val="20"/>
            <w:szCs w:val="20"/>
          </w:rPr>
          <w:fldChar w:fldCharType="separate"/>
        </w:r>
        <w:r>
          <w:rPr>
            <w:rFonts w:asciiTheme="majorHAnsi" w:hAnsiTheme="majorHAnsi"/>
            <w:webHidden/>
            <w:sz w:val="20"/>
            <w:szCs w:val="20"/>
          </w:rPr>
          <w:t>10</w:t>
        </w:r>
        <w:r w:rsidR="008647B6" w:rsidRPr="008647B6">
          <w:rPr>
            <w:rFonts w:asciiTheme="majorHAnsi" w:hAnsiTheme="majorHAnsi"/>
            <w:webHidden/>
            <w:sz w:val="20"/>
            <w:szCs w:val="20"/>
          </w:rPr>
          <w:fldChar w:fldCharType="end"/>
        </w:r>
      </w:hyperlink>
    </w:p>
    <w:p w14:paraId="7CDEEB69" w14:textId="0954C359" w:rsidR="008647B6" w:rsidRPr="008647B6" w:rsidRDefault="008261BF">
      <w:pPr>
        <w:pStyle w:val="TOC3"/>
        <w:rPr>
          <w:rFonts w:asciiTheme="majorHAnsi" w:eastAsiaTheme="minorEastAsia" w:hAnsiTheme="majorHAnsi" w:cstheme="minorBidi"/>
          <w:noProof/>
          <w:kern w:val="2"/>
          <w:sz w:val="20"/>
          <w:szCs w:val="20"/>
          <w:bdr w:val="none" w:sz="0" w:space="0" w:color="auto"/>
          <w:lang w:val="es-US" w:eastAsia="zh-CN"/>
          <w14:ligatures w14:val="standardContextual"/>
        </w:rPr>
      </w:pPr>
      <w:hyperlink w:anchor="_Toc150524388" w:history="1">
        <w:r w:rsidR="008647B6" w:rsidRPr="008647B6">
          <w:rPr>
            <w:rStyle w:val="Hyperlink"/>
            <w:rFonts w:asciiTheme="majorHAnsi" w:hAnsiTheme="majorHAnsi"/>
            <w:noProof/>
            <w:sz w:val="20"/>
            <w:szCs w:val="20"/>
          </w:rPr>
          <w:t>1.</w:t>
        </w:r>
        <w:r w:rsidR="008647B6" w:rsidRPr="008647B6">
          <w:rPr>
            <w:rFonts w:asciiTheme="majorHAnsi" w:eastAsiaTheme="minorEastAsia" w:hAnsiTheme="majorHAnsi" w:cstheme="minorBidi"/>
            <w:noProof/>
            <w:kern w:val="2"/>
            <w:sz w:val="20"/>
            <w:szCs w:val="20"/>
            <w:bdr w:val="none" w:sz="0" w:space="0" w:color="auto"/>
            <w:lang w:val="es-US" w:eastAsia="zh-CN"/>
            <w14:ligatures w14:val="standardContextual"/>
          </w:rPr>
          <w:tab/>
        </w:r>
        <w:r w:rsidR="008647B6" w:rsidRPr="008647B6">
          <w:rPr>
            <w:rStyle w:val="Hyperlink"/>
            <w:rFonts w:asciiTheme="majorHAnsi" w:hAnsiTheme="majorHAnsi"/>
            <w:noProof/>
            <w:sz w:val="20"/>
            <w:szCs w:val="20"/>
          </w:rPr>
          <w:t>Right to information on consular assistance</w:t>
        </w:r>
        <w:r w:rsidR="008647B6" w:rsidRPr="008647B6">
          <w:rPr>
            <w:rFonts w:asciiTheme="majorHAnsi" w:hAnsiTheme="majorHAnsi"/>
            <w:noProof/>
            <w:webHidden/>
            <w:sz w:val="20"/>
            <w:szCs w:val="20"/>
          </w:rPr>
          <w:tab/>
        </w:r>
        <w:r w:rsidR="008647B6" w:rsidRPr="008647B6">
          <w:rPr>
            <w:rFonts w:asciiTheme="majorHAnsi" w:hAnsiTheme="majorHAnsi"/>
            <w:noProof/>
            <w:webHidden/>
            <w:sz w:val="20"/>
            <w:szCs w:val="20"/>
          </w:rPr>
          <w:fldChar w:fldCharType="begin"/>
        </w:r>
        <w:r w:rsidR="008647B6" w:rsidRPr="008647B6">
          <w:rPr>
            <w:rFonts w:asciiTheme="majorHAnsi" w:hAnsiTheme="majorHAnsi"/>
            <w:noProof/>
            <w:webHidden/>
            <w:sz w:val="20"/>
            <w:szCs w:val="20"/>
          </w:rPr>
          <w:instrText xml:space="preserve"> PAGEREF _Toc150524388 \h </w:instrText>
        </w:r>
        <w:r w:rsidR="008647B6" w:rsidRPr="008647B6">
          <w:rPr>
            <w:rFonts w:asciiTheme="majorHAnsi" w:hAnsiTheme="majorHAnsi"/>
            <w:noProof/>
            <w:webHidden/>
            <w:sz w:val="20"/>
            <w:szCs w:val="20"/>
          </w:rPr>
        </w:r>
        <w:r w:rsidR="008647B6" w:rsidRPr="008647B6">
          <w:rPr>
            <w:rFonts w:asciiTheme="majorHAnsi" w:hAnsiTheme="majorHAnsi"/>
            <w:noProof/>
            <w:webHidden/>
            <w:sz w:val="20"/>
            <w:szCs w:val="20"/>
          </w:rPr>
          <w:fldChar w:fldCharType="separate"/>
        </w:r>
        <w:r>
          <w:rPr>
            <w:rFonts w:asciiTheme="majorHAnsi" w:hAnsiTheme="majorHAnsi"/>
            <w:noProof/>
            <w:webHidden/>
            <w:sz w:val="20"/>
            <w:szCs w:val="20"/>
          </w:rPr>
          <w:t>10</w:t>
        </w:r>
        <w:r w:rsidR="008647B6" w:rsidRPr="008647B6">
          <w:rPr>
            <w:rFonts w:asciiTheme="majorHAnsi" w:hAnsiTheme="majorHAnsi"/>
            <w:noProof/>
            <w:webHidden/>
            <w:sz w:val="20"/>
            <w:szCs w:val="20"/>
          </w:rPr>
          <w:fldChar w:fldCharType="end"/>
        </w:r>
      </w:hyperlink>
    </w:p>
    <w:p w14:paraId="0EFA156E" w14:textId="36EB2651" w:rsidR="008647B6" w:rsidRPr="008647B6" w:rsidRDefault="008261BF">
      <w:pPr>
        <w:pStyle w:val="TOC3"/>
        <w:rPr>
          <w:rFonts w:asciiTheme="majorHAnsi" w:eastAsiaTheme="minorEastAsia" w:hAnsiTheme="majorHAnsi" w:cstheme="minorBidi"/>
          <w:noProof/>
          <w:kern w:val="2"/>
          <w:sz w:val="20"/>
          <w:szCs w:val="20"/>
          <w:bdr w:val="none" w:sz="0" w:space="0" w:color="auto"/>
          <w:lang w:val="es-US" w:eastAsia="zh-CN"/>
          <w14:ligatures w14:val="standardContextual"/>
        </w:rPr>
      </w:pPr>
      <w:hyperlink w:anchor="_Toc150524389" w:history="1">
        <w:r w:rsidR="008647B6" w:rsidRPr="008647B6">
          <w:rPr>
            <w:rStyle w:val="Hyperlink"/>
            <w:rFonts w:asciiTheme="majorHAnsi" w:hAnsiTheme="majorHAnsi"/>
            <w:noProof/>
            <w:sz w:val="20"/>
            <w:szCs w:val="20"/>
          </w:rPr>
          <w:t>2.</w:t>
        </w:r>
        <w:r w:rsidR="008647B6" w:rsidRPr="008647B6">
          <w:rPr>
            <w:rFonts w:asciiTheme="majorHAnsi" w:eastAsiaTheme="minorEastAsia" w:hAnsiTheme="majorHAnsi" w:cstheme="minorBidi"/>
            <w:noProof/>
            <w:kern w:val="2"/>
            <w:sz w:val="20"/>
            <w:szCs w:val="20"/>
            <w:bdr w:val="none" w:sz="0" w:space="0" w:color="auto"/>
            <w:lang w:val="es-US" w:eastAsia="zh-CN"/>
            <w14:ligatures w14:val="standardContextual"/>
          </w:rPr>
          <w:tab/>
        </w:r>
        <w:r w:rsidR="008647B6" w:rsidRPr="008647B6">
          <w:rPr>
            <w:rStyle w:val="Hyperlink"/>
            <w:rFonts w:asciiTheme="majorHAnsi" w:hAnsiTheme="majorHAnsi"/>
            <w:noProof/>
            <w:sz w:val="20"/>
            <w:szCs w:val="20"/>
          </w:rPr>
          <w:t>Ineffective assistance of court-appointed counsel</w:t>
        </w:r>
        <w:r w:rsidR="008647B6" w:rsidRPr="008647B6">
          <w:rPr>
            <w:rFonts w:asciiTheme="majorHAnsi" w:hAnsiTheme="majorHAnsi"/>
            <w:noProof/>
            <w:webHidden/>
            <w:sz w:val="20"/>
            <w:szCs w:val="20"/>
          </w:rPr>
          <w:tab/>
        </w:r>
        <w:r w:rsidR="008647B6" w:rsidRPr="008647B6">
          <w:rPr>
            <w:rFonts w:asciiTheme="majorHAnsi" w:hAnsiTheme="majorHAnsi"/>
            <w:noProof/>
            <w:webHidden/>
            <w:sz w:val="20"/>
            <w:szCs w:val="20"/>
          </w:rPr>
          <w:fldChar w:fldCharType="begin"/>
        </w:r>
        <w:r w:rsidR="008647B6" w:rsidRPr="008647B6">
          <w:rPr>
            <w:rFonts w:asciiTheme="majorHAnsi" w:hAnsiTheme="majorHAnsi"/>
            <w:noProof/>
            <w:webHidden/>
            <w:sz w:val="20"/>
            <w:szCs w:val="20"/>
          </w:rPr>
          <w:instrText xml:space="preserve"> PAGEREF _Toc150524389 \h </w:instrText>
        </w:r>
        <w:r w:rsidR="008647B6" w:rsidRPr="008647B6">
          <w:rPr>
            <w:rFonts w:asciiTheme="majorHAnsi" w:hAnsiTheme="majorHAnsi"/>
            <w:noProof/>
            <w:webHidden/>
            <w:sz w:val="20"/>
            <w:szCs w:val="20"/>
          </w:rPr>
        </w:r>
        <w:r w:rsidR="008647B6" w:rsidRPr="008647B6">
          <w:rPr>
            <w:rFonts w:asciiTheme="majorHAnsi" w:hAnsiTheme="majorHAnsi"/>
            <w:noProof/>
            <w:webHidden/>
            <w:sz w:val="20"/>
            <w:szCs w:val="20"/>
          </w:rPr>
          <w:fldChar w:fldCharType="separate"/>
        </w:r>
        <w:r>
          <w:rPr>
            <w:rFonts w:asciiTheme="majorHAnsi" w:hAnsiTheme="majorHAnsi"/>
            <w:noProof/>
            <w:webHidden/>
            <w:sz w:val="20"/>
            <w:szCs w:val="20"/>
          </w:rPr>
          <w:t>11</w:t>
        </w:r>
        <w:r w:rsidR="008647B6" w:rsidRPr="008647B6">
          <w:rPr>
            <w:rFonts w:asciiTheme="majorHAnsi" w:hAnsiTheme="majorHAnsi"/>
            <w:noProof/>
            <w:webHidden/>
            <w:sz w:val="20"/>
            <w:szCs w:val="20"/>
          </w:rPr>
          <w:fldChar w:fldCharType="end"/>
        </w:r>
      </w:hyperlink>
    </w:p>
    <w:p w14:paraId="2B14E139" w14:textId="3DC67199" w:rsidR="008647B6" w:rsidRPr="008647B6" w:rsidRDefault="008261BF">
      <w:pPr>
        <w:pStyle w:val="TOC3"/>
        <w:rPr>
          <w:rFonts w:asciiTheme="majorHAnsi" w:eastAsiaTheme="minorEastAsia" w:hAnsiTheme="majorHAnsi" w:cstheme="minorBidi"/>
          <w:noProof/>
          <w:kern w:val="2"/>
          <w:sz w:val="20"/>
          <w:szCs w:val="20"/>
          <w:bdr w:val="none" w:sz="0" w:space="0" w:color="auto"/>
          <w:lang w:val="es-US" w:eastAsia="zh-CN"/>
          <w14:ligatures w14:val="standardContextual"/>
        </w:rPr>
      </w:pPr>
      <w:hyperlink w:anchor="_Toc150524390" w:history="1">
        <w:r w:rsidR="008647B6" w:rsidRPr="008647B6">
          <w:rPr>
            <w:rStyle w:val="Hyperlink"/>
            <w:rFonts w:asciiTheme="majorHAnsi" w:hAnsiTheme="majorHAnsi"/>
            <w:noProof/>
            <w:sz w:val="20"/>
            <w:szCs w:val="20"/>
          </w:rPr>
          <w:t>3.</w:t>
        </w:r>
        <w:r w:rsidR="008647B6" w:rsidRPr="008647B6">
          <w:rPr>
            <w:rFonts w:asciiTheme="majorHAnsi" w:eastAsiaTheme="minorEastAsia" w:hAnsiTheme="majorHAnsi" w:cstheme="minorBidi"/>
            <w:noProof/>
            <w:kern w:val="2"/>
            <w:sz w:val="20"/>
            <w:szCs w:val="20"/>
            <w:bdr w:val="none" w:sz="0" w:space="0" w:color="auto"/>
            <w:lang w:val="es-US" w:eastAsia="zh-CN"/>
            <w14:ligatures w14:val="standardContextual"/>
          </w:rPr>
          <w:tab/>
        </w:r>
        <w:r w:rsidR="008647B6" w:rsidRPr="008647B6">
          <w:rPr>
            <w:rStyle w:val="Hyperlink"/>
            <w:rFonts w:asciiTheme="majorHAnsi" w:hAnsiTheme="majorHAnsi"/>
            <w:noProof/>
            <w:sz w:val="20"/>
            <w:szCs w:val="20"/>
          </w:rPr>
          <w:t>Future dangerousness in the imposition of the death penalty</w:t>
        </w:r>
        <w:r w:rsidR="008647B6" w:rsidRPr="008647B6">
          <w:rPr>
            <w:rFonts w:asciiTheme="majorHAnsi" w:hAnsiTheme="majorHAnsi"/>
            <w:noProof/>
            <w:webHidden/>
            <w:sz w:val="20"/>
            <w:szCs w:val="20"/>
          </w:rPr>
          <w:tab/>
        </w:r>
        <w:r w:rsidR="008647B6" w:rsidRPr="008647B6">
          <w:rPr>
            <w:rFonts w:asciiTheme="majorHAnsi" w:hAnsiTheme="majorHAnsi"/>
            <w:noProof/>
            <w:webHidden/>
            <w:sz w:val="20"/>
            <w:szCs w:val="20"/>
          </w:rPr>
          <w:fldChar w:fldCharType="begin"/>
        </w:r>
        <w:r w:rsidR="008647B6" w:rsidRPr="008647B6">
          <w:rPr>
            <w:rFonts w:asciiTheme="majorHAnsi" w:hAnsiTheme="majorHAnsi"/>
            <w:noProof/>
            <w:webHidden/>
            <w:sz w:val="20"/>
            <w:szCs w:val="20"/>
          </w:rPr>
          <w:instrText xml:space="preserve"> PAGEREF _Toc150524390 \h </w:instrText>
        </w:r>
        <w:r w:rsidR="008647B6" w:rsidRPr="008647B6">
          <w:rPr>
            <w:rFonts w:asciiTheme="majorHAnsi" w:hAnsiTheme="majorHAnsi"/>
            <w:noProof/>
            <w:webHidden/>
            <w:sz w:val="20"/>
            <w:szCs w:val="20"/>
          </w:rPr>
        </w:r>
        <w:r w:rsidR="008647B6" w:rsidRPr="008647B6">
          <w:rPr>
            <w:rFonts w:asciiTheme="majorHAnsi" w:hAnsiTheme="majorHAnsi"/>
            <w:noProof/>
            <w:webHidden/>
            <w:sz w:val="20"/>
            <w:szCs w:val="20"/>
          </w:rPr>
          <w:fldChar w:fldCharType="separate"/>
        </w:r>
        <w:r>
          <w:rPr>
            <w:rFonts w:asciiTheme="majorHAnsi" w:hAnsiTheme="majorHAnsi"/>
            <w:noProof/>
            <w:webHidden/>
            <w:sz w:val="20"/>
            <w:szCs w:val="20"/>
          </w:rPr>
          <w:t>12</w:t>
        </w:r>
        <w:r w:rsidR="008647B6" w:rsidRPr="008647B6">
          <w:rPr>
            <w:rFonts w:asciiTheme="majorHAnsi" w:hAnsiTheme="majorHAnsi"/>
            <w:noProof/>
            <w:webHidden/>
            <w:sz w:val="20"/>
            <w:szCs w:val="20"/>
          </w:rPr>
          <w:fldChar w:fldCharType="end"/>
        </w:r>
      </w:hyperlink>
    </w:p>
    <w:p w14:paraId="5B110D64" w14:textId="17358CAB" w:rsidR="008647B6" w:rsidRPr="008647B6" w:rsidRDefault="008261BF">
      <w:pPr>
        <w:pStyle w:val="TOC2"/>
        <w:rPr>
          <w:rFonts w:asciiTheme="majorHAnsi" w:eastAsiaTheme="minorEastAsia" w:hAnsiTheme="majorHAnsi" w:cstheme="minorBidi"/>
          <w:kern w:val="2"/>
          <w:sz w:val="20"/>
          <w:szCs w:val="20"/>
          <w:bdr w:val="none" w:sz="0" w:space="0" w:color="auto"/>
          <w:lang w:val="es-US" w:eastAsia="zh-CN"/>
          <w14:ligatures w14:val="standardContextual"/>
        </w:rPr>
      </w:pPr>
      <w:hyperlink w:anchor="_Toc150524391" w:history="1">
        <w:r w:rsidR="008647B6" w:rsidRPr="008647B6">
          <w:rPr>
            <w:rStyle w:val="Hyperlink"/>
            <w:rFonts w:asciiTheme="majorHAnsi" w:hAnsiTheme="majorHAnsi"/>
            <w:sz w:val="20"/>
            <w:szCs w:val="20"/>
          </w:rPr>
          <w:t>C.</w:t>
        </w:r>
        <w:r w:rsidR="008647B6" w:rsidRPr="008647B6">
          <w:rPr>
            <w:rFonts w:asciiTheme="majorHAnsi" w:eastAsiaTheme="minorEastAsia" w:hAnsiTheme="majorHAnsi" w:cstheme="minorBidi"/>
            <w:kern w:val="2"/>
            <w:sz w:val="20"/>
            <w:szCs w:val="20"/>
            <w:bdr w:val="none" w:sz="0" w:space="0" w:color="auto"/>
            <w:lang w:val="es-US" w:eastAsia="zh-CN"/>
            <w14:ligatures w14:val="standardContextual"/>
          </w:rPr>
          <w:tab/>
        </w:r>
        <w:r w:rsidR="008647B6" w:rsidRPr="008647B6">
          <w:rPr>
            <w:rStyle w:val="Hyperlink"/>
            <w:rFonts w:asciiTheme="majorHAnsi" w:hAnsiTheme="majorHAnsi"/>
            <w:sz w:val="20"/>
            <w:szCs w:val="20"/>
          </w:rPr>
          <w:t>Right to humane treatment during custody, right to health, and not to receive cruel, infamous or unusual punishment</w:t>
        </w:r>
        <w:r w:rsidR="008647B6" w:rsidRPr="008647B6">
          <w:rPr>
            <w:rFonts w:asciiTheme="majorHAnsi" w:hAnsiTheme="majorHAnsi"/>
            <w:webHidden/>
            <w:sz w:val="20"/>
            <w:szCs w:val="20"/>
          </w:rPr>
          <w:tab/>
        </w:r>
        <w:r w:rsidR="008647B6" w:rsidRPr="008647B6">
          <w:rPr>
            <w:rFonts w:asciiTheme="majorHAnsi" w:hAnsiTheme="majorHAnsi"/>
            <w:webHidden/>
            <w:sz w:val="20"/>
            <w:szCs w:val="20"/>
          </w:rPr>
          <w:fldChar w:fldCharType="begin"/>
        </w:r>
        <w:r w:rsidR="008647B6" w:rsidRPr="008647B6">
          <w:rPr>
            <w:rFonts w:asciiTheme="majorHAnsi" w:hAnsiTheme="majorHAnsi"/>
            <w:webHidden/>
            <w:sz w:val="20"/>
            <w:szCs w:val="20"/>
          </w:rPr>
          <w:instrText xml:space="preserve"> PAGEREF _Toc150524391 \h </w:instrText>
        </w:r>
        <w:r w:rsidR="008647B6" w:rsidRPr="008647B6">
          <w:rPr>
            <w:rFonts w:asciiTheme="majorHAnsi" w:hAnsiTheme="majorHAnsi"/>
            <w:webHidden/>
            <w:sz w:val="20"/>
            <w:szCs w:val="20"/>
          </w:rPr>
        </w:r>
        <w:r w:rsidR="008647B6" w:rsidRPr="008647B6">
          <w:rPr>
            <w:rFonts w:asciiTheme="majorHAnsi" w:hAnsiTheme="majorHAnsi"/>
            <w:webHidden/>
            <w:sz w:val="20"/>
            <w:szCs w:val="20"/>
          </w:rPr>
          <w:fldChar w:fldCharType="separate"/>
        </w:r>
        <w:r>
          <w:rPr>
            <w:rFonts w:asciiTheme="majorHAnsi" w:hAnsiTheme="majorHAnsi"/>
            <w:webHidden/>
            <w:sz w:val="20"/>
            <w:szCs w:val="20"/>
          </w:rPr>
          <w:t>13</w:t>
        </w:r>
        <w:r w:rsidR="008647B6" w:rsidRPr="008647B6">
          <w:rPr>
            <w:rFonts w:asciiTheme="majorHAnsi" w:hAnsiTheme="majorHAnsi"/>
            <w:webHidden/>
            <w:sz w:val="20"/>
            <w:szCs w:val="20"/>
          </w:rPr>
          <w:fldChar w:fldCharType="end"/>
        </w:r>
      </w:hyperlink>
    </w:p>
    <w:p w14:paraId="383B8C52" w14:textId="6047010B" w:rsidR="008647B6" w:rsidRPr="008647B6" w:rsidRDefault="008261BF">
      <w:pPr>
        <w:pStyle w:val="TOC3"/>
        <w:rPr>
          <w:rFonts w:asciiTheme="majorHAnsi" w:eastAsiaTheme="minorEastAsia" w:hAnsiTheme="majorHAnsi" w:cstheme="minorBidi"/>
          <w:noProof/>
          <w:kern w:val="2"/>
          <w:sz w:val="20"/>
          <w:szCs w:val="20"/>
          <w:bdr w:val="none" w:sz="0" w:space="0" w:color="auto"/>
          <w:lang w:val="es-US" w:eastAsia="zh-CN"/>
          <w14:ligatures w14:val="standardContextual"/>
        </w:rPr>
      </w:pPr>
      <w:hyperlink w:anchor="_Toc150524392" w:history="1">
        <w:r w:rsidR="008647B6" w:rsidRPr="008647B6">
          <w:rPr>
            <w:rStyle w:val="Hyperlink"/>
            <w:rFonts w:asciiTheme="majorHAnsi" w:hAnsiTheme="majorHAnsi"/>
            <w:noProof/>
            <w:sz w:val="20"/>
            <w:szCs w:val="20"/>
          </w:rPr>
          <w:t>1.</w:t>
        </w:r>
        <w:r w:rsidR="008647B6" w:rsidRPr="008647B6">
          <w:rPr>
            <w:rFonts w:asciiTheme="majorHAnsi" w:eastAsiaTheme="minorEastAsia" w:hAnsiTheme="majorHAnsi" w:cstheme="minorBidi"/>
            <w:noProof/>
            <w:kern w:val="2"/>
            <w:sz w:val="20"/>
            <w:szCs w:val="20"/>
            <w:bdr w:val="none" w:sz="0" w:space="0" w:color="auto"/>
            <w:lang w:val="es-US" w:eastAsia="zh-CN"/>
            <w14:ligatures w14:val="standardContextual"/>
          </w:rPr>
          <w:tab/>
        </w:r>
        <w:r w:rsidR="008647B6" w:rsidRPr="008647B6">
          <w:rPr>
            <w:rStyle w:val="Hyperlink"/>
            <w:rFonts w:asciiTheme="majorHAnsi" w:hAnsiTheme="majorHAnsi"/>
            <w:noProof/>
            <w:sz w:val="20"/>
            <w:szCs w:val="20"/>
          </w:rPr>
          <w:t>The deprivation of liberty on death row and the right of protection against cruel, infamous or unusual punishment</w:t>
        </w:r>
        <w:r w:rsidR="008647B6" w:rsidRPr="008647B6">
          <w:rPr>
            <w:rFonts w:asciiTheme="majorHAnsi" w:hAnsiTheme="majorHAnsi"/>
            <w:noProof/>
            <w:webHidden/>
            <w:sz w:val="20"/>
            <w:szCs w:val="20"/>
          </w:rPr>
          <w:tab/>
        </w:r>
        <w:r w:rsidR="008647B6" w:rsidRPr="008647B6">
          <w:rPr>
            <w:rFonts w:asciiTheme="majorHAnsi" w:hAnsiTheme="majorHAnsi"/>
            <w:noProof/>
            <w:webHidden/>
            <w:sz w:val="20"/>
            <w:szCs w:val="20"/>
          </w:rPr>
          <w:fldChar w:fldCharType="begin"/>
        </w:r>
        <w:r w:rsidR="008647B6" w:rsidRPr="008647B6">
          <w:rPr>
            <w:rFonts w:asciiTheme="majorHAnsi" w:hAnsiTheme="majorHAnsi"/>
            <w:noProof/>
            <w:webHidden/>
            <w:sz w:val="20"/>
            <w:szCs w:val="20"/>
          </w:rPr>
          <w:instrText xml:space="preserve"> PAGEREF _Toc150524392 \h </w:instrText>
        </w:r>
        <w:r w:rsidR="008647B6" w:rsidRPr="008647B6">
          <w:rPr>
            <w:rFonts w:asciiTheme="majorHAnsi" w:hAnsiTheme="majorHAnsi"/>
            <w:noProof/>
            <w:webHidden/>
            <w:sz w:val="20"/>
            <w:szCs w:val="20"/>
          </w:rPr>
        </w:r>
        <w:r w:rsidR="008647B6" w:rsidRPr="008647B6">
          <w:rPr>
            <w:rFonts w:asciiTheme="majorHAnsi" w:hAnsiTheme="majorHAnsi"/>
            <w:noProof/>
            <w:webHidden/>
            <w:sz w:val="20"/>
            <w:szCs w:val="20"/>
          </w:rPr>
          <w:fldChar w:fldCharType="separate"/>
        </w:r>
        <w:r>
          <w:rPr>
            <w:rFonts w:asciiTheme="majorHAnsi" w:hAnsiTheme="majorHAnsi"/>
            <w:noProof/>
            <w:webHidden/>
            <w:sz w:val="20"/>
            <w:szCs w:val="20"/>
          </w:rPr>
          <w:t>13</w:t>
        </w:r>
        <w:r w:rsidR="008647B6" w:rsidRPr="008647B6">
          <w:rPr>
            <w:rFonts w:asciiTheme="majorHAnsi" w:hAnsiTheme="majorHAnsi"/>
            <w:noProof/>
            <w:webHidden/>
            <w:sz w:val="20"/>
            <w:szCs w:val="20"/>
          </w:rPr>
          <w:fldChar w:fldCharType="end"/>
        </w:r>
      </w:hyperlink>
    </w:p>
    <w:p w14:paraId="5F82FB35" w14:textId="5BCA2CC1" w:rsidR="008647B6" w:rsidRPr="008647B6" w:rsidRDefault="008261BF">
      <w:pPr>
        <w:pStyle w:val="TOC3"/>
        <w:rPr>
          <w:rFonts w:asciiTheme="majorHAnsi" w:eastAsiaTheme="minorEastAsia" w:hAnsiTheme="majorHAnsi" w:cstheme="minorBidi"/>
          <w:noProof/>
          <w:kern w:val="2"/>
          <w:sz w:val="20"/>
          <w:szCs w:val="20"/>
          <w:bdr w:val="none" w:sz="0" w:space="0" w:color="auto"/>
          <w:lang w:val="es-US" w:eastAsia="zh-CN"/>
          <w14:ligatures w14:val="standardContextual"/>
        </w:rPr>
      </w:pPr>
      <w:hyperlink w:anchor="_Toc150524393" w:history="1">
        <w:r w:rsidR="008647B6" w:rsidRPr="008647B6">
          <w:rPr>
            <w:rStyle w:val="Hyperlink"/>
            <w:rFonts w:asciiTheme="majorHAnsi" w:hAnsiTheme="majorHAnsi"/>
            <w:noProof/>
            <w:sz w:val="20"/>
            <w:szCs w:val="20"/>
          </w:rPr>
          <w:t>2.</w:t>
        </w:r>
        <w:r w:rsidR="008647B6" w:rsidRPr="008647B6">
          <w:rPr>
            <w:rFonts w:asciiTheme="majorHAnsi" w:eastAsiaTheme="minorEastAsia" w:hAnsiTheme="majorHAnsi" w:cstheme="minorBidi"/>
            <w:noProof/>
            <w:kern w:val="2"/>
            <w:sz w:val="20"/>
            <w:szCs w:val="20"/>
            <w:bdr w:val="none" w:sz="0" w:space="0" w:color="auto"/>
            <w:lang w:val="es-US" w:eastAsia="zh-CN"/>
            <w14:ligatures w14:val="standardContextual"/>
          </w:rPr>
          <w:tab/>
        </w:r>
        <w:r w:rsidR="008647B6" w:rsidRPr="008647B6">
          <w:rPr>
            <w:rStyle w:val="Hyperlink"/>
            <w:rFonts w:asciiTheme="majorHAnsi" w:hAnsiTheme="majorHAnsi"/>
            <w:noProof/>
            <w:sz w:val="20"/>
            <w:szCs w:val="20"/>
          </w:rPr>
          <w:t>Right to the preservation of health and to well being</w:t>
        </w:r>
        <w:r w:rsidR="008647B6" w:rsidRPr="008647B6">
          <w:rPr>
            <w:rFonts w:asciiTheme="majorHAnsi" w:hAnsiTheme="majorHAnsi"/>
            <w:noProof/>
            <w:webHidden/>
            <w:sz w:val="20"/>
            <w:szCs w:val="20"/>
          </w:rPr>
          <w:tab/>
        </w:r>
        <w:r w:rsidR="008647B6" w:rsidRPr="008647B6">
          <w:rPr>
            <w:rFonts w:asciiTheme="majorHAnsi" w:hAnsiTheme="majorHAnsi"/>
            <w:noProof/>
            <w:webHidden/>
            <w:sz w:val="20"/>
            <w:szCs w:val="20"/>
          </w:rPr>
          <w:fldChar w:fldCharType="begin"/>
        </w:r>
        <w:r w:rsidR="008647B6" w:rsidRPr="008647B6">
          <w:rPr>
            <w:rFonts w:asciiTheme="majorHAnsi" w:hAnsiTheme="majorHAnsi"/>
            <w:noProof/>
            <w:webHidden/>
            <w:sz w:val="20"/>
            <w:szCs w:val="20"/>
          </w:rPr>
          <w:instrText xml:space="preserve"> PAGEREF _Toc150524393 \h </w:instrText>
        </w:r>
        <w:r w:rsidR="008647B6" w:rsidRPr="008647B6">
          <w:rPr>
            <w:rFonts w:asciiTheme="majorHAnsi" w:hAnsiTheme="majorHAnsi"/>
            <w:noProof/>
            <w:webHidden/>
            <w:sz w:val="20"/>
            <w:szCs w:val="20"/>
          </w:rPr>
        </w:r>
        <w:r w:rsidR="008647B6" w:rsidRPr="008647B6">
          <w:rPr>
            <w:rFonts w:asciiTheme="majorHAnsi" w:hAnsiTheme="majorHAnsi"/>
            <w:noProof/>
            <w:webHidden/>
            <w:sz w:val="20"/>
            <w:szCs w:val="20"/>
          </w:rPr>
          <w:fldChar w:fldCharType="separate"/>
        </w:r>
        <w:r>
          <w:rPr>
            <w:rFonts w:asciiTheme="majorHAnsi" w:hAnsiTheme="majorHAnsi"/>
            <w:noProof/>
            <w:webHidden/>
            <w:sz w:val="20"/>
            <w:szCs w:val="20"/>
          </w:rPr>
          <w:t>14</w:t>
        </w:r>
        <w:r w:rsidR="008647B6" w:rsidRPr="008647B6">
          <w:rPr>
            <w:rFonts w:asciiTheme="majorHAnsi" w:hAnsiTheme="majorHAnsi"/>
            <w:noProof/>
            <w:webHidden/>
            <w:sz w:val="20"/>
            <w:szCs w:val="20"/>
          </w:rPr>
          <w:fldChar w:fldCharType="end"/>
        </w:r>
      </w:hyperlink>
    </w:p>
    <w:p w14:paraId="3EEBFCCA" w14:textId="55F9B21F" w:rsidR="008647B6" w:rsidRPr="008647B6" w:rsidRDefault="008261BF">
      <w:pPr>
        <w:pStyle w:val="TOC3"/>
        <w:rPr>
          <w:rFonts w:asciiTheme="majorHAnsi" w:eastAsiaTheme="minorEastAsia" w:hAnsiTheme="majorHAnsi" w:cstheme="minorBidi"/>
          <w:noProof/>
          <w:kern w:val="2"/>
          <w:sz w:val="20"/>
          <w:szCs w:val="20"/>
          <w:bdr w:val="none" w:sz="0" w:space="0" w:color="auto"/>
          <w:lang w:val="es-US" w:eastAsia="zh-CN"/>
          <w14:ligatures w14:val="standardContextual"/>
        </w:rPr>
      </w:pPr>
      <w:hyperlink w:anchor="_Toc150524394" w:history="1">
        <w:r w:rsidR="008647B6" w:rsidRPr="008647B6">
          <w:rPr>
            <w:rStyle w:val="Hyperlink"/>
            <w:rFonts w:asciiTheme="majorHAnsi" w:hAnsiTheme="majorHAnsi"/>
            <w:noProof/>
            <w:sz w:val="20"/>
            <w:szCs w:val="20"/>
          </w:rPr>
          <w:t>3.</w:t>
        </w:r>
        <w:r w:rsidR="008647B6" w:rsidRPr="008647B6">
          <w:rPr>
            <w:rFonts w:asciiTheme="majorHAnsi" w:eastAsiaTheme="minorEastAsia" w:hAnsiTheme="majorHAnsi" w:cstheme="minorBidi"/>
            <w:noProof/>
            <w:kern w:val="2"/>
            <w:sz w:val="20"/>
            <w:szCs w:val="20"/>
            <w:bdr w:val="none" w:sz="0" w:space="0" w:color="auto"/>
            <w:lang w:val="es-US" w:eastAsia="zh-CN"/>
            <w14:ligatures w14:val="standardContextual"/>
          </w:rPr>
          <w:tab/>
        </w:r>
        <w:r w:rsidR="008647B6" w:rsidRPr="008647B6">
          <w:rPr>
            <w:rStyle w:val="Hyperlink"/>
            <w:rFonts w:asciiTheme="majorHAnsi" w:hAnsiTheme="majorHAnsi"/>
            <w:noProof/>
            <w:sz w:val="20"/>
            <w:szCs w:val="20"/>
          </w:rPr>
          <w:t>Forced feeding:</w:t>
        </w:r>
        <w:r w:rsidR="008647B6" w:rsidRPr="008647B6">
          <w:rPr>
            <w:rFonts w:asciiTheme="majorHAnsi" w:hAnsiTheme="majorHAnsi"/>
            <w:noProof/>
            <w:webHidden/>
            <w:sz w:val="20"/>
            <w:szCs w:val="20"/>
          </w:rPr>
          <w:tab/>
        </w:r>
        <w:r w:rsidR="008647B6" w:rsidRPr="008647B6">
          <w:rPr>
            <w:rFonts w:asciiTheme="majorHAnsi" w:hAnsiTheme="majorHAnsi"/>
            <w:noProof/>
            <w:webHidden/>
            <w:sz w:val="20"/>
            <w:szCs w:val="20"/>
          </w:rPr>
          <w:fldChar w:fldCharType="begin"/>
        </w:r>
        <w:r w:rsidR="008647B6" w:rsidRPr="008647B6">
          <w:rPr>
            <w:rFonts w:asciiTheme="majorHAnsi" w:hAnsiTheme="majorHAnsi"/>
            <w:noProof/>
            <w:webHidden/>
            <w:sz w:val="20"/>
            <w:szCs w:val="20"/>
          </w:rPr>
          <w:instrText xml:space="preserve"> PAGEREF _Toc150524394 \h </w:instrText>
        </w:r>
        <w:r w:rsidR="008647B6" w:rsidRPr="008647B6">
          <w:rPr>
            <w:rFonts w:asciiTheme="majorHAnsi" w:hAnsiTheme="majorHAnsi"/>
            <w:noProof/>
            <w:webHidden/>
            <w:sz w:val="20"/>
            <w:szCs w:val="20"/>
          </w:rPr>
        </w:r>
        <w:r w:rsidR="008647B6" w:rsidRPr="008647B6">
          <w:rPr>
            <w:rFonts w:asciiTheme="majorHAnsi" w:hAnsiTheme="majorHAnsi"/>
            <w:noProof/>
            <w:webHidden/>
            <w:sz w:val="20"/>
            <w:szCs w:val="20"/>
          </w:rPr>
          <w:fldChar w:fldCharType="separate"/>
        </w:r>
        <w:r>
          <w:rPr>
            <w:rFonts w:asciiTheme="majorHAnsi" w:hAnsiTheme="majorHAnsi"/>
            <w:noProof/>
            <w:webHidden/>
            <w:sz w:val="20"/>
            <w:szCs w:val="20"/>
          </w:rPr>
          <w:t>14</w:t>
        </w:r>
        <w:r w:rsidR="008647B6" w:rsidRPr="008647B6">
          <w:rPr>
            <w:rFonts w:asciiTheme="majorHAnsi" w:hAnsiTheme="majorHAnsi"/>
            <w:noProof/>
            <w:webHidden/>
            <w:sz w:val="20"/>
            <w:szCs w:val="20"/>
          </w:rPr>
          <w:fldChar w:fldCharType="end"/>
        </w:r>
      </w:hyperlink>
    </w:p>
    <w:p w14:paraId="7E4DB7BB" w14:textId="30EA9A0D" w:rsidR="008647B6" w:rsidRPr="008647B6" w:rsidRDefault="008261BF">
      <w:pPr>
        <w:pStyle w:val="TOC2"/>
        <w:rPr>
          <w:rFonts w:asciiTheme="majorHAnsi" w:eastAsiaTheme="minorEastAsia" w:hAnsiTheme="majorHAnsi" w:cstheme="minorBidi"/>
          <w:kern w:val="2"/>
          <w:sz w:val="20"/>
          <w:szCs w:val="20"/>
          <w:bdr w:val="none" w:sz="0" w:space="0" w:color="auto"/>
          <w:lang w:val="es-US" w:eastAsia="zh-CN"/>
          <w14:ligatures w14:val="standardContextual"/>
        </w:rPr>
      </w:pPr>
      <w:hyperlink w:anchor="_Toc150524395" w:history="1">
        <w:r w:rsidR="008647B6" w:rsidRPr="008647B6">
          <w:rPr>
            <w:rStyle w:val="Hyperlink"/>
            <w:rFonts w:asciiTheme="majorHAnsi" w:hAnsiTheme="majorHAnsi"/>
            <w:sz w:val="20"/>
            <w:szCs w:val="20"/>
          </w:rPr>
          <w:t>D.</w:t>
        </w:r>
        <w:r w:rsidR="008647B6" w:rsidRPr="008647B6">
          <w:rPr>
            <w:rFonts w:asciiTheme="majorHAnsi" w:eastAsiaTheme="minorEastAsia" w:hAnsiTheme="majorHAnsi" w:cstheme="minorBidi"/>
            <w:kern w:val="2"/>
            <w:sz w:val="20"/>
            <w:szCs w:val="20"/>
            <w:bdr w:val="none" w:sz="0" w:space="0" w:color="auto"/>
            <w:lang w:val="es-US" w:eastAsia="zh-CN"/>
            <w14:ligatures w14:val="standardContextual"/>
          </w:rPr>
          <w:tab/>
        </w:r>
        <w:r w:rsidR="008647B6" w:rsidRPr="008647B6">
          <w:rPr>
            <w:rStyle w:val="Hyperlink"/>
            <w:rFonts w:asciiTheme="majorHAnsi" w:hAnsiTheme="majorHAnsi"/>
            <w:sz w:val="20"/>
            <w:szCs w:val="20"/>
          </w:rPr>
          <w:t>Right to life and to protection against cruel, infamous or unusual punishment with respect to the eventual execution of Jurijus Kadamovas and Robert L. Bolden</w:t>
        </w:r>
        <w:r w:rsidR="008647B6" w:rsidRPr="008647B6">
          <w:rPr>
            <w:rFonts w:asciiTheme="majorHAnsi" w:hAnsiTheme="majorHAnsi"/>
            <w:webHidden/>
            <w:sz w:val="20"/>
            <w:szCs w:val="20"/>
          </w:rPr>
          <w:tab/>
        </w:r>
        <w:r w:rsidR="008647B6" w:rsidRPr="008647B6">
          <w:rPr>
            <w:rFonts w:asciiTheme="majorHAnsi" w:hAnsiTheme="majorHAnsi"/>
            <w:webHidden/>
            <w:sz w:val="20"/>
            <w:szCs w:val="20"/>
          </w:rPr>
          <w:fldChar w:fldCharType="begin"/>
        </w:r>
        <w:r w:rsidR="008647B6" w:rsidRPr="008647B6">
          <w:rPr>
            <w:rFonts w:asciiTheme="majorHAnsi" w:hAnsiTheme="majorHAnsi"/>
            <w:webHidden/>
            <w:sz w:val="20"/>
            <w:szCs w:val="20"/>
          </w:rPr>
          <w:instrText xml:space="preserve"> PAGEREF _Toc150524395 \h </w:instrText>
        </w:r>
        <w:r w:rsidR="008647B6" w:rsidRPr="008647B6">
          <w:rPr>
            <w:rFonts w:asciiTheme="majorHAnsi" w:hAnsiTheme="majorHAnsi"/>
            <w:webHidden/>
            <w:sz w:val="20"/>
            <w:szCs w:val="20"/>
          </w:rPr>
        </w:r>
        <w:r w:rsidR="008647B6" w:rsidRPr="008647B6">
          <w:rPr>
            <w:rFonts w:asciiTheme="majorHAnsi" w:hAnsiTheme="majorHAnsi"/>
            <w:webHidden/>
            <w:sz w:val="20"/>
            <w:szCs w:val="20"/>
          </w:rPr>
          <w:fldChar w:fldCharType="separate"/>
        </w:r>
        <w:r>
          <w:rPr>
            <w:rFonts w:asciiTheme="majorHAnsi" w:hAnsiTheme="majorHAnsi"/>
            <w:webHidden/>
            <w:sz w:val="20"/>
            <w:szCs w:val="20"/>
          </w:rPr>
          <w:t>15</w:t>
        </w:r>
        <w:r w:rsidR="008647B6" w:rsidRPr="008647B6">
          <w:rPr>
            <w:rFonts w:asciiTheme="majorHAnsi" w:hAnsiTheme="majorHAnsi"/>
            <w:webHidden/>
            <w:sz w:val="20"/>
            <w:szCs w:val="20"/>
          </w:rPr>
          <w:fldChar w:fldCharType="end"/>
        </w:r>
      </w:hyperlink>
    </w:p>
    <w:p w14:paraId="068E85C9" w14:textId="1F7C5C5B" w:rsidR="008647B6" w:rsidRPr="008647B6" w:rsidRDefault="008261BF">
      <w:pPr>
        <w:pStyle w:val="TOC1"/>
        <w:rPr>
          <w:rFonts w:eastAsiaTheme="minorEastAsia" w:cstheme="minorBidi"/>
          <w:b w:val="0"/>
          <w:kern w:val="2"/>
          <w:bdr w:val="none" w:sz="0" w:space="0" w:color="auto"/>
          <w:lang w:val="es-US" w:eastAsia="zh-CN"/>
          <w14:ligatures w14:val="standardContextual"/>
        </w:rPr>
      </w:pPr>
      <w:hyperlink w:anchor="_Toc150524396" w:history="1">
        <w:r w:rsidR="008647B6" w:rsidRPr="008647B6">
          <w:rPr>
            <w:rStyle w:val="Hyperlink"/>
          </w:rPr>
          <w:t>VI.</w:t>
        </w:r>
        <w:r w:rsidR="008647B6" w:rsidRPr="008647B6">
          <w:rPr>
            <w:rFonts w:eastAsiaTheme="minorEastAsia" w:cstheme="minorBidi"/>
            <w:b w:val="0"/>
            <w:kern w:val="2"/>
            <w:bdr w:val="none" w:sz="0" w:space="0" w:color="auto"/>
            <w:lang w:val="es-US" w:eastAsia="zh-CN"/>
            <w14:ligatures w14:val="standardContextual"/>
          </w:rPr>
          <w:tab/>
        </w:r>
        <w:r w:rsidR="008647B6" w:rsidRPr="008647B6">
          <w:rPr>
            <w:rStyle w:val="Hyperlink"/>
          </w:rPr>
          <w:t>REPORT No. 10/20 AND INFORMATION ABOUT COMPLIANCE</w:t>
        </w:r>
        <w:r w:rsidR="008647B6" w:rsidRPr="008647B6">
          <w:rPr>
            <w:webHidden/>
          </w:rPr>
          <w:tab/>
        </w:r>
        <w:r w:rsidR="008647B6" w:rsidRPr="008647B6">
          <w:rPr>
            <w:webHidden/>
          </w:rPr>
          <w:fldChar w:fldCharType="begin"/>
        </w:r>
        <w:r w:rsidR="008647B6" w:rsidRPr="008647B6">
          <w:rPr>
            <w:webHidden/>
          </w:rPr>
          <w:instrText xml:space="preserve"> PAGEREF _Toc150524396 \h </w:instrText>
        </w:r>
        <w:r w:rsidR="008647B6" w:rsidRPr="008647B6">
          <w:rPr>
            <w:webHidden/>
          </w:rPr>
        </w:r>
        <w:r w:rsidR="008647B6" w:rsidRPr="008647B6">
          <w:rPr>
            <w:webHidden/>
          </w:rPr>
          <w:fldChar w:fldCharType="separate"/>
        </w:r>
        <w:r>
          <w:rPr>
            <w:webHidden/>
          </w:rPr>
          <w:t>15</w:t>
        </w:r>
        <w:r w:rsidR="008647B6" w:rsidRPr="008647B6">
          <w:rPr>
            <w:webHidden/>
          </w:rPr>
          <w:fldChar w:fldCharType="end"/>
        </w:r>
      </w:hyperlink>
    </w:p>
    <w:p w14:paraId="24AF2572" w14:textId="09F84895" w:rsidR="008647B6" w:rsidRPr="008647B6" w:rsidRDefault="008261BF">
      <w:pPr>
        <w:pStyle w:val="TOC1"/>
        <w:rPr>
          <w:rFonts w:eastAsiaTheme="minorEastAsia" w:cstheme="minorBidi"/>
          <w:b w:val="0"/>
          <w:kern w:val="2"/>
          <w:bdr w:val="none" w:sz="0" w:space="0" w:color="auto"/>
          <w:lang w:val="es-US" w:eastAsia="zh-CN"/>
          <w14:ligatures w14:val="standardContextual"/>
        </w:rPr>
      </w:pPr>
      <w:hyperlink w:anchor="_Toc150524397" w:history="1">
        <w:r w:rsidR="008647B6" w:rsidRPr="008647B6">
          <w:rPr>
            <w:rStyle w:val="Hyperlink"/>
          </w:rPr>
          <w:t>VII.</w:t>
        </w:r>
        <w:r w:rsidR="008647B6" w:rsidRPr="008647B6">
          <w:rPr>
            <w:rFonts w:eastAsiaTheme="minorEastAsia" w:cstheme="minorBidi"/>
            <w:b w:val="0"/>
            <w:kern w:val="2"/>
            <w:bdr w:val="none" w:sz="0" w:space="0" w:color="auto"/>
            <w:lang w:val="es-US" w:eastAsia="zh-CN"/>
            <w14:ligatures w14:val="standardContextual"/>
          </w:rPr>
          <w:tab/>
        </w:r>
        <w:r w:rsidR="008647B6" w:rsidRPr="008647B6">
          <w:rPr>
            <w:rStyle w:val="Hyperlink"/>
          </w:rPr>
          <w:t>ACTIONS SUBSEQUENT TO REPORT No. 330/21</w:t>
        </w:r>
        <w:r w:rsidR="008647B6" w:rsidRPr="008647B6">
          <w:rPr>
            <w:webHidden/>
          </w:rPr>
          <w:tab/>
        </w:r>
        <w:r w:rsidR="008647B6" w:rsidRPr="008647B6">
          <w:rPr>
            <w:webHidden/>
          </w:rPr>
          <w:fldChar w:fldCharType="begin"/>
        </w:r>
        <w:r w:rsidR="008647B6" w:rsidRPr="008647B6">
          <w:rPr>
            <w:webHidden/>
          </w:rPr>
          <w:instrText xml:space="preserve"> PAGEREF _Toc150524397 \h </w:instrText>
        </w:r>
        <w:r w:rsidR="008647B6" w:rsidRPr="008647B6">
          <w:rPr>
            <w:webHidden/>
          </w:rPr>
        </w:r>
        <w:r w:rsidR="008647B6" w:rsidRPr="008647B6">
          <w:rPr>
            <w:webHidden/>
          </w:rPr>
          <w:fldChar w:fldCharType="separate"/>
        </w:r>
        <w:r>
          <w:rPr>
            <w:webHidden/>
          </w:rPr>
          <w:t>16</w:t>
        </w:r>
        <w:r w:rsidR="008647B6" w:rsidRPr="008647B6">
          <w:rPr>
            <w:webHidden/>
          </w:rPr>
          <w:fldChar w:fldCharType="end"/>
        </w:r>
      </w:hyperlink>
    </w:p>
    <w:p w14:paraId="6E3C4D72" w14:textId="02CC6CD0" w:rsidR="008647B6" w:rsidRPr="008647B6" w:rsidRDefault="008261BF">
      <w:pPr>
        <w:pStyle w:val="TOC1"/>
        <w:rPr>
          <w:rFonts w:eastAsiaTheme="minorEastAsia" w:cstheme="minorBidi"/>
          <w:b w:val="0"/>
          <w:kern w:val="2"/>
          <w:bdr w:val="none" w:sz="0" w:space="0" w:color="auto"/>
          <w:lang w:val="es-US" w:eastAsia="zh-CN"/>
          <w14:ligatures w14:val="standardContextual"/>
        </w:rPr>
      </w:pPr>
      <w:hyperlink w:anchor="_Toc150524398" w:history="1">
        <w:r w:rsidR="008647B6" w:rsidRPr="008647B6">
          <w:rPr>
            <w:rStyle w:val="Hyperlink"/>
          </w:rPr>
          <w:t>VIII.</w:t>
        </w:r>
        <w:r w:rsidR="008647B6" w:rsidRPr="008647B6">
          <w:rPr>
            <w:rFonts w:eastAsiaTheme="minorEastAsia" w:cstheme="minorBidi"/>
            <w:b w:val="0"/>
            <w:kern w:val="2"/>
            <w:bdr w:val="none" w:sz="0" w:space="0" w:color="auto"/>
            <w:lang w:val="es-US" w:eastAsia="zh-CN"/>
            <w14:ligatures w14:val="standardContextual"/>
          </w:rPr>
          <w:tab/>
        </w:r>
        <w:r w:rsidR="008647B6" w:rsidRPr="008647B6">
          <w:rPr>
            <w:rStyle w:val="Hyperlink"/>
          </w:rPr>
          <w:t>FINAL CONCLUSIONS AND RECOMMENDATIONS</w:t>
        </w:r>
        <w:r w:rsidR="008647B6" w:rsidRPr="008647B6">
          <w:rPr>
            <w:webHidden/>
          </w:rPr>
          <w:tab/>
        </w:r>
        <w:r w:rsidR="008647B6" w:rsidRPr="008647B6">
          <w:rPr>
            <w:webHidden/>
          </w:rPr>
          <w:fldChar w:fldCharType="begin"/>
        </w:r>
        <w:r w:rsidR="008647B6" w:rsidRPr="008647B6">
          <w:rPr>
            <w:webHidden/>
          </w:rPr>
          <w:instrText xml:space="preserve"> PAGEREF _Toc150524398 \h </w:instrText>
        </w:r>
        <w:r w:rsidR="008647B6" w:rsidRPr="008647B6">
          <w:rPr>
            <w:webHidden/>
          </w:rPr>
        </w:r>
        <w:r w:rsidR="008647B6" w:rsidRPr="008647B6">
          <w:rPr>
            <w:webHidden/>
          </w:rPr>
          <w:fldChar w:fldCharType="separate"/>
        </w:r>
        <w:r>
          <w:rPr>
            <w:webHidden/>
          </w:rPr>
          <w:t>16</w:t>
        </w:r>
        <w:r w:rsidR="008647B6" w:rsidRPr="008647B6">
          <w:rPr>
            <w:webHidden/>
          </w:rPr>
          <w:fldChar w:fldCharType="end"/>
        </w:r>
      </w:hyperlink>
    </w:p>
    <w:p w14:paraId="1A73EFC0" w14:textId="31141C33" w:rsidR="008647B6" w:rsidRPr="008647B6" w:rsidRDefault="008261BF">
      <w:pPr>
        <w:pStyle w:val="TOC1"/>
        <w:rPr>
          <w:rFonts w:eastAsiaTheme="minorEastAsia" w:cstheme="minorBidi"/>
          <w:b w:val="0"/>
          <w:kern w:val="2"/>
          <w:bdr w:val="none" w:sz="0" w:space="0" w:color="auto"/>
          <w:lang w:val="es-US" w:eastAsia="zh-CN"/>
          <w14:ligatures w14:val="standardContextual"/>
        </w:rPr>
      </w:pPr>
      <w:hyperlink w:anchor="_Toc150524399" w:history="1">
        <w:r w:rsidR="008647B6" w:rsidRPr="008647B6">
          <w:rPr>
            <w:rStyle w:val="Hyperlink"/>
          </w:rPr>
          <w:t>IX.</w:t>
        </w:r>
        <w:r w:rsidR="008647B6" w:rsidRPr="008647B6">
          <w:rPr>
            <w:rFonts w:eastAsiaTheme="minorEastAsia" w:cstheme="minorBidi"/>
            <w:b w:val="0"/>
            <w:kern w:val="2"/>
            <w:bdr w:val="none" w:sz="0" w:space="0" w:color="auto"/>
            <w:lang w:val="es-US" w:eastAsia="zh-CN"/>
            <w14:ligatures w14:val="standardContextual"/>
          </w:rPr>
          <w:tab/>
        </w:r>
        <w:r w:rsidR="008647B6" w:rsidRPr="008647B6">
          <w:rPr>
            <w:rStyle w:val="Hyperlink"/>
          </w:rPr>
          <w:t>PUBLICATION</w:t>
        </w:r>
        <w:r w:rsidR="008647B6" w:rsidRPr="008647B6">
          <w:rPr>
            <w:webHidden/>
          </w:rPr>
          <w:tab/>
        </w:r>
        <w:r w:rsidR="008647B6" w:rsidRPr="008647B6">
          <w:rPr>
            <w:webHidden/>
          </w:rPr>
          <w:fldChar w:fldCharType="begin"/>
        </w:r>
        <w:r w:rsidR="008647B6" w:rsidRPr="008647B6">
          <w:rPr>
            <w:webHidden/>
          </w:rPr>
          <w:instrText xml:space="preserve"> PAGEREF _Toc150524399 \h </w:instrText>
        </w:r>
        <w:r w:rsidR="008647B6" w:rsidRPr="008647B6">
          <w:rPr>
            <w:webHidden/>
          </w:rPr>
        </w:r>
        <w:r w:rsidR="008647B6" w:rsidRPr="008647B6">
          <w:rPr>
            <w:webHidden/>
          </w:rPr>
          <w:fldChar w:fldCharType="separate"/>
        </w:r>
        <w:r>
          <w:rPr>
            <w:webHidden/>
          </w:rPr>
          <w:t>17</w:t>
        </w:r>
        <w:r w:rsidR="008647B6" w:rsidRPr="008647B6">
          <w:rPr>
            <w:webHidden/>
          </w:rPr>
          <w:fldChar w:fldCharType="end"/>
        </w:r>
      </w:hyperlink>
    </w:p>
    <w:p w14:paraId="7499364D" w14:textId="3D239E8E" w:rsidR="00DB6682" w:rsidRDefault="001C14CB" w:rsidP="00E86BEA">
      <w:pPr>
        <w:tabs>
          <w:tab w:val="center" w:pos="5400"/>
        </w:tabs>
        <w:suppressAutoHyphens/>
        <w:spacing w:line="276" w:lineRule="auto"/>
        <w:rPr>
          <w:rFonts w:asciiTheme="majorHAnsi" w:hAnsiTheme="majorHAnsi"/>
          <w:sz w:val="20"/>
          <w:szCs w:val="20"/>
        </w:rPr>
      </w:pPr>
      <w:r w:rsidRPr="008647B6">
        <w:rPr>
          <w:rFonts w:asciiTheme="majorHAnsi" w:hAnsiTheme="majorHAnsi"/>
          <w:sz w:val="20"/>
          <w:szCs w:val="20"/>
        </w:rPr>
        <w:fldChar w:fldCharType="end"/>
      </w:r>
      <w:r w:rsidR="00DB6682">
        <w:rPr>
          <w:rFonts w:asciiTheme="majorHAnsi" w:hAnsiTheme="majorHAnsi"/>
          <w:sz w:val="20"/>
          <w:szCs w:val="20"/>
        </w:rPr>
        <w:br w:type="page"/>
      </w:r>
    </w:p>
    <w:p w14:paraId="20B1F19C" w14:textId="77777777" w:rsidR="001C4006" w:rsidRPr="00EC55EA" w:rsidRDefault="00830E88" w:rsidP="00EC55EA">
      <w:pPr>
        <w:pStyle w:val="Heading1"/>
        <w:tabs>
          <w:tab w:val="left" w:pos="360"/>
        </w:tabs>
        <w:spacing w:before="0"/>
        <w:ind w:hanging="720"/>
        <w:rPr>
          <w:color w:val="auto"/>
          <w:sz w:val="20"/>
          <w:szCs w:val="20"/>
        </w:rPr>
      </w:pPr>
      <w:bookmarkStart w:id="0" w:name="_Toc150524373"/>
      <w:r w:rsidRPr="00EC55EA">
        <w:rPr>
          <w:color w:val="auto"/>
          <w:sz w:val="20"/>
          <w:szCs w:val="20"/>
        </w:rPr>
        <w:lastRenderedPageBreak/>
        <w:t>INTRODUCTION</w:t>
      </w:r>
      <w:bookmarkEnd w:id="0"/>
      <w:r w:rsidR="001C4006" w:rsidRPr="00EC55EA">
        <w:rPr>
          <w:color w:val="auto"/>
          <w:sz w:val="20"/>
          <w:szCs w:val="20"/>
        </w:rPr>
        <w:t xml:space="preserve"> </w:t>
      </w:r>
    </w:p>
    <w:p w14:paraId="658EAFFB" w14:textId="77777777" w:rsidR="001C4006" w:rsidRPr="00EC55EA" w:rsidRDefault="001C4006" w:rsidP="00EC55EA">
      <w:pPr>
        <w:suppressAutoHyphens/>
        <w:ind w:left="1440" w:hanging="720"/>
        <w:rPr>
          <w:rFonts w:asciiTheme="majorHAnsi" w:hAnsiTheme="majorHAnsi"/>
          <w:b/>
          <w:sz w:val="20"/>
          <w:szCs w:val="20"/>
        </w:rPr>
      </w:pPr>
    </w:p>
    <w:p w14:paraId="2E0226DF" w14:textId="77777777" w:rsidR="001C4006" w:rsidRPr="00EC55EA" w:rsidRDefault="001C4006" w:rsidP="00EC55E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hAnsiTheme="majorHAnsi"/>
          <w:sz w:val="20"/>
          <w:szCs w:val="20"/>
        </w:rPr>
      </w:pPr>
      <w:r w:rsidRPr="00EC55EA">
        <w:rPr>
          <w:rFonts w:asciiTheme="majorHAnsi" w:hAnsiTheme="majorHAnsi"/>
          <w:sz w:val="20"/>
          <w:szCs w:val="20"/>
        </w:rPr>
        <w:t xml:space="preserve">On </w:t>
      </w:r>
      <w:r w:rsidR="006475B4" w:rsidRPr="00EC55EA">
        <w:rPr>
          <w:rFonts w:asciiTheme="majorHAnsi" w:hAnsiTheme="majorHAnsi"/>
          <w:sz w:val="20"/>
          <w:szCs w:val="20"/>
        </w:rPr>
        <w:t>September 21</w:t>
      </w:r>
      <w:r w:rsidR="00EA1D9B" w:rsidRPr="00EC55EA">
        <w:rPr>
          <w:rFonts w:asciiTheme="majorHAnsi" w:hAnsiTheme="majorHAnsi"/>
          <w:sz w:val="20"/>
          <w:szCs w:val="20"/>
        </w:rPr>
        <w:t>, 2011</w:t>
      </w:r>
      <w:r w:rsidR="0007716F" w:rsidRPr="00EC55EA">
        <w:rPr>
          <w:rFonts w:asciiTheme="majorHAnsi" w:hAnsiTheme="majorHAnsi"/>
          <w:sz w:val="20"/>
          <w:szCs w:val="20"/>
        </w:rPr>
        <w:t xml:space="preserve">, </w:t>
      </w:r>
      <w:r w:rsidRPr="00EC55EA">
        <w:rPr>
          <w:rFonts w:asciiTheme="majorHAnsi" w:hAnsiTheme="majorHAnsi"/>
          <w:sz w:val="20"/>
          <w:szCs w:val="20"/>
        </w:rPr>
        <w:t>the Inter-American Commission on Human Rights (the “Inter-American Commission”</w:t>
      </w:r>
      <w:r w:rsidR="004D4E01" w:rsidRPr="00EC55EA">
        <w:rPr>
          <w:rFonts w:asciiTheme="majorHAnsi" w:hAnsiTheme="majorHAnsi"/>
          <w:sz w:val="20"/>
          <w:szCs w:val="20"/>
        </w:rPr>
        <w:t>, “Commission”</w:t>
      </w:r>
      <w:r w:rsidRPr="00EC55EA">
        <w:rPr>
          <w:rFonts w:asciiTheme="majorHAnsi" w:hAnsiTheme="majorHAnsi"/>
          <w:sz w:val="20"/>
          <w:szCs w:val="20"/>
        </w:rPr>
        <w:t xml:space="preserve"> or “IACHR”) received a petition</w:t>
      </w:r>
      <w:r w:rsidR="00B24A00" w:rsidRPr="00EC55EA">
        <w:rPr>
          <w:rFonts w:asciiTheme="majorHAnsi" w:hAnsiTheme="majorHAnsi"/>
          <w:sz w:val="20"/>
          <w:szCs w:val="20"/>
        </w:rPr>
        <w:t xml:space="preserve"> </w:t>
      </w:r>
      <w:r w:rsidR="00444596" w:rsidRPr="00EC55EA">
        <w:rPr>
          <w:rFonts w:asciiTheme="majorHAnsi" w:hAnsiTheme="majorHAnsi"/>
          <w:sz w:val="20"/>
          <w:szCs w:val="20"/>
        </w:rPr>
        <w:t xml:space="preserve">submitted by </w:t>
      </w:r>
      <w:r w:rsidR="00EA1D9B" w:rsidRPr="00EC55EA">
        <w:rPr>
          <w:rFonts w:asciiTheme="majorHAnsi" w:hAnsiTheme="majorHAnsi"/>
          <w:sz w:val="20"/>
          <w:szCs w:val="20"/>
        </w:rPr>
        <w:t>Robert L. Bolden</w:t>
      </w:r>
      <w:r w:rsidR="007C52EB" w:rsidRPr="00EC55EA">
        <w:rPr>
          <w:rFonts w:asciiTheme="majorHAnsi" w:hAnsiTheme="majorHAnsi"/>
          <w:sz w:val="20"/>
          <w:szCs w:val="20"/>
        </w:rPr>
        <w:t xml:space="preserve"> a Canadian citizen</w:t>
      </w:r>
      <w:r w:rsidR="00EA1D9B" w:rsidRPr="00EC55EA">
        <w:rPr>
          <w:rFonts w:asciiTheme="majorHAnsi" w:hAnsiTheme="majorHAnsi"/>
          <w:sz w:val="20"/>
          <w:szCs w:val="20"/>
        </w:rPr>
        <w:t>, and Jurijus Kadamovas</w:t>
      </w:r>
      <w:r w:rsidR="007C52EB" w:rsidRPr="00EC55EA">
        <w:rPr>
          <w:rFonts w:asciiTheme="majorHAnsi" w:hAnsiTheme="majorHAnsi"/>
          <w:sz w:val="20"/>
          <w:szCs w:val="20"/>
        </w:rPr>
        <w:t>, a Lithuanian citizen</w:t>
      </w:r>
      <w:r w:rsidR="00221704" w:rsidRPr="00EC55EA">
        <w:rPr>
          <w:rFonts w:asciiTheme="majorHAnsi" w:hAnsiTheme="majorHAnsi"/>
          <w:sz w:val="20"/>
          <w:szCs w:val="20"/>
        </w:rPr>
        <w:t xml:space="preserve"> </w:t>
      </w:r>
      <w:r w:rsidR="00A649AE" w:rsidRPr="00EC55EA">
        <w:rPr>
          <w:rFonts w:asciiTheme="majorHAnsi" w:hAnsiTheme="majorHAnsi"/>
          <w:sz w:val="20"/>
          <w:szCs w:val="20"/>
        </w:rPr>
        <w:t>(the “petitioner</w:t>
      </w:r>
      <w:r w:rsidR="00221704" w:rsidRPr="00EC55EA">
        <w:rPr>
          <w:rFonts w:asciiTheme="majorHAnsi" w:hAnsiTheme="majorHAnsi"/>
          <w:sz w:val="20"/>
          <w:szCs w:val="20"/>
        </w:rPr>
        <w:t>s</w:t>
      </w:r>
      <w:r w:rsidR="00244E7D" w:rsidRPr="00EC55EA">
        <w:rPr>
          <w:rFonts w:asciiTheme="majorHAnsi" w:hAnsiTheme="majorHAnsi"/>
          <w:sz w:val="20"/>
          <w:szCs w:val="20"/>
        </w:rPr>
        <w:t>”)</w:t>
      </w:r>
      <w:r w:rsidR="009F7E41" w:rsidRPr="00EC55EA">
        <w:rPr>
          <w:rFonts w:asciiTheme="majorHAnsi" w:hAnsiTheme="majorHAnsi"/>
          <w:sz w:val="20"/>
          <w:szCs w:val="20"/>
        </w:rPr>
        <w:t>,</w:t>
      </w:r>
      <w:r w:rsidR="00764912" w:rsidRPr="00EC55EA">
        <w:rPr>
          <w:rStyle w:val="FootnoteReference"/>
          <w:rFonts w:asciiTheme="majorHAnsi" w:hAnsiTheme="majorHAnsi"/>
          <w:sz w:val="20"/>
          <w:szCs w:val="20"/>
        </w:rPr>
        <w:footnoteReference w:id="3"/>
      </w:r>
      <w:r w:rsidR="0076495F" w:rsidRPr="00EC55EA">
        <w:rPr>
          <w:rFonts w:asciiTheme="majorHAnsi" w:hAnsiTheme="majorHAnsi"/>
          <w:sz w:val="20"/>
          <w:szCs w:val="20"/>
        </w:rPr>
        <w:t xml:space="preserve"> </w:t>
      </w:r>
      <w:r w:rsidR="003C240D" w:rsidRPr="00EC55EA">
        <w:rPr>
          <w:rFonts w:asciiTheme="majorHAnsi" w:hAnsiTheme="majorHAnsi"/>
          <w:sz w:val="20"/>
          <w:szCs w:val="20"/>
        </w:rPr>
        <w:t>on their behalf and t</w:t>
      </w:r>
      <w:r w:rsidR="00B37047" w:rsidRPr="00EC55EA">
        <w:rPr>
          <w:rFonts w:asciiTheme="majorHAnsi" w:hAnsiTheme="majorHAnsi"/>
          <w:sz w:val="20"/>
          <w:szCs w:val="20"/>
        </w:rPr>
        <w:t>he behalf of German Si</w:t>
      </w:r>
      <w:r w:rsidR="007C52EB" w:rsidRPr="00EC55EA">
        <w:rPr>
          <w:rFonts w:asciiTheme="majorHAnsi" w:hAnsiTheme="majorHAnsi"/>
          <w:sz w:val="20"/>
          <w:szCs w:val="20"/>
        </w:rPr>
        <w:t>nister</w:t>
      </w:r>
      <w:r w:rsidR="00B37047" w:rsidRPr="00EC55EA">
        <w:rPr>
          <w:rFonts w:asciiTheme="majorHAnsi" w:hAnsiTheme="majorHAnsi"/>
          <w:sz w:val="20"/>
          <w:szCs w:val="20"/>
        </w:rPr>
        <w:t>r</w:t>
      </w:r>
      <w:r w:rsidR="007C52EB" w:rsidRPr="00EC55EA">
        <w:rPr>
          <w:rFonts w:asciiTheme="majorHAnsi" w:hAnsiTheme="majorHAnsi"/>
          <w:sz w:val="20"/>
          <w:szCs w:val="20"/>
        </w:rPr>
        <w:t xml:space="preserve">a and </w:t>
      </w:r>
      <w:r w:rsidR="003C240D" w:rsidRPr="00EC55EA">
        <w:rPr>
          <w:rFonts w:asciiTheme="majorHAnsi" w:hAnsiTheme="majorHAnsi"/>
          <w:sz w:val="20"/>
          <w:szCs w:val="20"/>
        </w:rPr>
        <w:t xml:space="preserve">Arboleda Ortiz, </w:t>
      </w:r>
      <w:r w:rsidR="007C52EB" w:rsidRPr="00EC55EA">
        <w:rPr>
          <w:rFonts w:asciiTheme="majorHAnsi" w:hAnsiTheme="majorHAnsi"/>
          <w:sz w:val="20"/>
          <w:szCs w:val="20"/>
        </w:rPr>
        <w:t xml:space="preserve">citizens of Colombia; </w:t>
      </w:r>
      <w:r w:rsidR="003C240D" w:rsidRPr="00EC55EA">
        <w:rPr>
          <w:rFonts w:asciiTheme="majorHAnsi" w:hAnsiTheme="majorHAnsi"/>
          <w:sz w:val="20"/>
          <w:szCs w:val="20"/>
        </w:rPr>
        <w:t xml:space="preserve">Iouri Mikhel, </w:t>
      </w:r>
      <w:r w:rsidR="005959C4" w:rsidRPr="00EC55EA">
        <w:rPr>
          <w:rFonts w:asciiTheme="majorHAnsi" w:hAnsiTheme="majorHAnsi"/>
          <w:sz w:val="20"/>
          <w:szCs w:val="20"/>
        </w:rPr>
        <w:t xml:space="preserve">a </w:t>
      </w:r>
      <w:r w:rsidR="007C2C3C" w:rsidRPr="00EC55EA">
        <w:rPr>
          <w:rFonts w:asciiTheme="majorHAnsi" w:hAnsiTheme="majorHAnsi"/>
          <w:sz w:val="20"/>
          <w:szCs w:val="20"/>
        </w:rPr>
        <w:t>citizen</w:t>
      </w:r>
      <w:r w:rsidR="007C52EB" w:rsidRPr="00EC55EA">
        <w:rPr>
          <w:rFonts w:asciiTheme="majorHAnsi" w:hAnsiTheme="majorHAnsi"/>
          <w:sz w:val="20"/>
          <w:szCs w:val="20"/>
        </w:rPr>
        <w:t xml:space="preserve"> of Russia </w:t>
      </w:r>
      <w:r w:rsidR="003C240D" w:rsidRPr="00EC55EA">
        <w:rPr>
          <w:rFonts w:asciiTheme="majorHAnsi" w:hAnsiTheme="majorHAnsi"/>
          <w:sz w:val="20"/>
          <w:szCs w:val="20"/>
        </w:rPr>
        <w:t xml:space="preserve">and Alejandro Umana, </w:t>
      </w:r>
      <w:r w:rsidR="007C52EB" w:rsidRPr="00EC55EA">
        <w:rPr>
          <w:rFonts w:asciiTheme="majorHAnsi" w:hAnsiTheme="majorHAnsi"/>
          <w:sz w:val="20"/>
          <w:szCs w:val="20"/>
        </w:rPr>
        <w:t xml:space="preserve">a citizen of El Salvador, </w:t>
      </w:r>
      <w:r w:rsidRPr="00EC55EA">
        <w:rPr>
          <w:rFonts w:asciiTheme="majorHAnsi" w:hAnsiTheme="majorHAnsi"/>
          <w:sz w:val="20"/>
          <w:szCs w:val="20"/>
        </w:rPr>
        <w:t>alleg</w:t>
      </w:r>
      <w:r w:rsidR="00E86EAF" w:rsidRPr="00EC55EA">
        <w:rPr>
          <w:rFonts w:asciiTheme="majorHAnsi" w:hAnsiTheme="majorHAnsi"/>
          <w:sz w:val="20"/>
          <w:szCs w:val="20"/>
        </w:rPr>
        <w:t xml:space="preserve">ing </w:t>
      </w:r>
      <w:r w:rsidRPr="00EC55EA">
        <w:rPr>
          <w:rFonts w:asciiTheme="majorHAnsi" w:hAnsiTheme="majorHAnsi"/>
          <w:sz w:val="20"/>
          <w:szCs w:val="20"/>
        </w:rPr>
        <w:t xml:space="preserve">the international responsibility of </w:t>
      </w:r>
      <w:r w:rsidR="0046072C" w:rsidRPr="00EC55EA">
        <w:rPr>
          <w:rFonts w:asciiTheme="majorHAnsi" w:hAnsiTheme="majorHAnsi"/>
          <w:sz w:val="20"/>
          <w:szCs w:val="20"/>
        </w:rPr>
        <w:t>the United States of America</w:t>
      </w:r>
      <w:r w:rsidRPr="00EC55EA">
        <w:rPr>
          <w:rFonts w:asciiTheme="majorHAnsi" w:hAnsiTheme="majorHAnsi"/>
          <w:sz w:val="20"/>
          <w:szCs w:val="20"/>
        </w:rPr>
        <w:t xml:space="preserve"> (the “State” or “</w:t>
      </w:r>
      <w:r w:rsidR="0046072C" w:rsidRPr="00EC55EA">
        <w:rPr>
          <w:rFonts w:asciiTheme="majorHAnsi" w:hAnsiTheme="majorHAnsi"/>
          <w:sz w:val="20"/>
          <w:szCs w:val="20"/>
        </w:rPr>
        <w:t>the United States</w:t>
      </w:r>
      <w:r w:rsidRPr="00EC55EA">
        <w:rPr>
          <w:rFonts w:asciiTheme="majorHAnsi" w:hAnsiTheme="majorHAnsi"/>
          <w:sz w:val="20"/>
          <w:szCs w:val="20"/>
        </w:rPr>
        <w:t xml:space="preserve">”) for </w:t>
      </w:r>
      <w:r w:rsidR="00F769C7" w:rsidRPr="00EC55EA">
        <w:rPr>
          <w:rFonts w:asciiTheme="majorHAnsi" w:hAnsiTheme="majorHAnsi"/>
          <w:sz w:val="20"/>
          <w:szCs w:val="20"/>
        </w:rPr>
        <w:t xml:space="preserve">the </w:t>
      </w:r>
      <w:r w:rsidRPr="00EC55EA">
        <w:rPr>
          <w:rFonts w:asciiTheme="majorHAnsi" w:hAnsiTheme="majorHAnsi"/>
          <w:sz w:val="20"/>
          <w:szCs w:val="20"/>
        </w:rPr>
        <w:t>violation of the</w:t>
      </w:r>
      <w:r w:rsidR="003C240D" w:rsidRPr="00EC55EA">
        <w:rPr>
          <w:rFonts w:asciiTheme="majorHAnsi" w:hAnsiTheme="majorHAnsi"/>
          <w:sz w:val="20"/>
          <w:szCs w:val="20"/>
        </w:rPr>
        <w:t>ir</w:t>
      </w:r>
      <w:r w:rsidRPr="00EC55EA">
        <w:rPr>
          <w:rFonts w:asciiTheme="majorHAnsi" w:hAnsiTheme="majorHAnsi"/>
          <w:sz w:val="20"/>
          <w:szCs w:val="20"/>
        </w:rPr>
        <w:t xml:space="preserve"> right</w:t>
      </w:r>
      <w:r w:rsidR="00706D7E" w:rsidRPr="00EC55EA">
        <w:rPr>
          <w:rFonts w:asciiTheme="majorHAnsi" w:hAnsiTheme="majorHAnsi"/>
          <w:sz w:val="20"/>
          <w:szCs w:val="20"/>
        </w:rPr>
        <w:t>s</w:t>
      </w:r>
      <w:r w:rsidRPr="00EC55EA">
        <w:rPr>
          <w:rFonts w:asciiTheme="majorHAnsi" w:hAnsiTheme="majorHAnsi"/>
          <w:sz w:val="20"/>
          <w:szCs w:val="20"/>
        </w:rPr>
        <w:t xml:space="preserve"> </w:t>
      </w:r>
      <w:r w:rsidR="00E05E02" w:rsidRPr="00EC55EA">
        <w:rPr>
          <w:rFonts w:asciiTheme="majorHAnsi" w:hAnsiTheme="majorHAnsi"/>
          <w:sz w:val="20"/>
          <w:szCs w:val="20"/>
        </w:rPr>
        <w:t>as federal p</w:t>
      </w:r>
      <w:r w:rsidR="003C240D" w:rsidRPr="00EC55EA">
        <w:rPr>
          <w:rFonts w:asciiTheme="majorHAnsi" w:hAnsiTheme="majorHAnsi"/>
          <w:sz w:val="20"/>
          <w:szCs w:val="20"/>
        </w:rPr>
        <w:t>risoners</w:t>
      </w:r>
      <w:r w:rsidR="003B0978" w:rsidRPr="00EC55EA">
        <w:rPr>
          <w:rFonts w:asciiTheme="majorHAnsi" w:hAnsiTheme="majorHAnsi"/>
          <w:sz w:val="20"/>
          <w:szCs w:val="20"/>
        </w:rPr>
        <w:t>.</w:t>
      </w:r>
      <w:r w:rsidR="003B0978" w:rsidRPr="00EC55EA">
        <w:rPr>
          <w:rStyle w:val="FootnoteReference"/>
          <w:rFonts w:asciiTheme="majorHAnsi" w:hAnsiTheme="majorHAnsi"/>
          <w:sz w:val="20"/>
          <w:szCs w:val="20"/>
        </w:rPr>
        <w:footnoteReference w:id="4"/>
      </w:r>
      <w:r w:rsidRPr="00EC55EA">
        <w:rPr>
          <w:rFonts w:asciiTheme="majorHAnsi" w:hAnsiTheme="majorHAnsi"/>
          <w:sz w:val="20"/>
          <w:szCs w:val="20"/>
        </w:rPr>
        <w:t xml:space="preserve"> </w:t>
      </w:r>
    </w:p>
    <w:p w14:paraId="239A0810" w14:textId="77777777" w:rsidR="001C4006" w:rsidRPr="00EC55EA" w:rsidRDefault="001C4006" w:rsidP="00EC55E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rPr>
          <w:rFonts w:asciiTheme="majorHAnsi" w:hAnsiTheme="majorHAnsi"/>
          <w:sz w:val="20"/>
          <w:szCs w:val="20"/>
        </w:rPr>
      </w:pPr>
    </w:p>
    <w:p w14:paraId="6734197D" w14:textId="77777777" w:rsidR="001C4006" w:rsidRPr="00EC55EA" w:rsidRDefault="00BE1B74" w:rsidP="00EC55E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hAnsiTheme="majorHAnsi"/>
          <w:sz w:val="20"/>
          <w:szCs w:val="20"/>
        </w:rPr>
      </w:pPr>
      <w:r w:rsidRPr="00EC55EA">
        <w:rPr>
          <w:rFonts w:asciiTheme="majorHAnsi" w:hAnsiTheme="majorHAnsi"/>
          <w:sz w:val="20"/>
          <w:szCs w:val="20"/>
        </w:rPr>
        <w:t xml:space="preserve">On </w:t>
      </w:r>
      <w:r w:rsidR="001D02D5" w:rsidRPr="00EC55EA">
        <w:rPr>
          <w:rFonts w:asciiTheme="majorHAnsi" w:hAnsiTheme="majorHAnsi"/>
          <w:sz w:val="20"/>
          <w:szCs w:val="20"/>
        </w:rPr>
        <w:t xml:space="preserve">October </w:t>
      </w:r>
      <w:r w:rsidR="00AD73A3" w:rsidRPr="00EC55EA">
        <w:rPr>
          <w:rFonts w:asciiTheme="majorHAnsi" w:hAnsiTheme="majorHAnsi"/>
          <w:sz w:val="20"/>
          <w:szCs w:val="20"/>
        </w:rPr>
        <w:t>1</w:t>
      </w:r>
      <w:r w:rsidR="001D02D5" w:rsidRPr="00EC55EA">
        <w:rPr>
          <w:rFonts w:asciiTheme="majorHAnsi" w:hAnsiTheme="majorHAnsi"/>
          <w:sz w:val="20"/>
          <w:szCs w:val="20"/>
        </w:rPr>
        <w:t>8</w:t>
      </w:r>
      <w:r w:rsidR="004810B3" w:rsidRPr="00EC55EA">
        <w:rPr>
          <w:rFonts w:asciiTheme="majorHAnsi" w:hAnsiTheme="majorHAnsi"/>
          <w:sz w:val="20"/>
          <w:szCs w:val="20"/>
        </w:rPr>
        <w:t>,</w:t>
      </w:r>
      <w:r w:rsidR="001D02D5" w:rsidRPr="00EC55EA">
        <w:rPr>
          <w:rFonts w:asciiTheme="majorHAnsi" w:hAnsiTheme="majorHAnsi"/>
          <w:sz w:val="20"/>
          <w:szCs w:val="20"/>
        </w:rPr>
        <w:t xml:space="preserve"> 2016</w:t>
      </w:r>
      <w:r w:rsidR="00A05601" w:rsidRPr="00EC55EA">
        <w:rPr>
          <w:rFonts w:asciiTheme="majorHAnsi" w:hAnsiTheme="majorHAnsi"/>
          <w:sz w:val="20"/>
          <w:szCs w:val="20"/>
        </w:rPr>
        <w:t>, the Com</w:t>
      </w:r>
      <w:r w:rsidR="0027671E" w:rsidRPr="00EC55EA">
        <w:rPr>
          <w:rFonts w:asciiTheme="majorHAnsi" w:hAnsiTheme="majorHAnsi"/>
          <w:sz w:val="20"/>
          <w:szCs w:val="20"/>
        </w:rPr>
        <w:t>m</w:t>
      </w:r>
      <w:r w:rsidR="00A05601" w:rsidRPr="00EC55EA">
        <w:rPr>
          <w:rFonts w:asciiTheme="majorHAnsi" w:hAnsiTheme="majorHAnsi"/>
          <w:sz w:val="20"/>
          <w:szCs w:val="20"/>
        </w:rPr>
        <w:t>ission notified the parties of the application of Article 36 (3) of its Rules of Procedure, since the petition falls within the criteria established in its Resolution 1/16, and placed itself at the disposition of the parties to reach a friendly settlement. The parties enjoyed the time periods provided for in the IACHR’s Rules to present additional observations on the merits. All the information received by the Commission was duly transmitted to the parties</w:t>
      </w:r>
      <w:r w:rsidR="0027671E" w:rsidRPr="00EC55EA">
        <w:rPr>
          <w:rFonts w:asciiTheme="majorHAnsi" w:hAnsiTheme="majorHAnsi"/>
          <w:sz w:val="20"/>
          <w:szCs w:val="20"/>
        </w:rPr>
        <w:t>.</w:t>
      </w:r>
    </w:p>
    <w:p w14:paraId="54C2BBC8" w14:textId="77777777" w:rsidR="001C4006" w:rsidRPr="00EC55EA" w:rsidRDefault="001C4006" w:rsidP="00EC55E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rPr>
          <w:rFonts w:asciiTheme="majorHAnsi" w:hAnsiTheme="majorHAnsi"/>
          <w:sz w:val="20"/>
          <w:szCs w:val="20"/>
        </w:rPr>
      </w:pPr>
    </w:p>
    <w:p w14:paraId="4DAACCA9" w14:textId="77777777" w:rsidR="001C4006" w:rsidRPr="00EC55EA" w:rsidRDefault="001C4006" w:rsidP="00EC55EA">
      <w:pPr>
        <w:pStyle w:val="Heading1"/>
        <w:tabs>
          <w:tab w:val="left" w:pos="360"/>
        </w:tabs>
        <w:spacing w:before="0"/>
        <w:ind w:hanging="720"/>
        <w:rPr>
          <w:color w:val="auto"/>
          <w:sz w:val="20"/>
          <w:szCs w:val="20"/>
        </w:rPr>
      </w:pPr>
      <w:bookmarkStart w:id="1" w:name="_Toc150524374"/>
      <w:r w:rsidRPr="00EC55EA">
        <w:rPr>
          <w:color w:val="auto"/>
          <w:sz w:val="20"/>
          <w:szCs w:val="20"/>
        </w:rPr>
        <w:t>POSITIONS OF THE PARTIES</w:t>
      </w:r>
      <w:bookmarkEnd w:id="1"/>
    </w:p>
    <w:p w14:paraId="2C7A438A" w14:textId="77777777" w:rsidR="001C4006" w:rsidRPr="00EC55EA" w:rsidRDefault="001C4006" w:rsidP="00EC55EA">
      <w:pPr>
        <w:suppressAutoHyphens/>
        <w:ind w:left="1440" w:hanging="720"/>
        <w:rPr>
          <w:rFonts w:asciiTheme="majorHAnsi" w:hAnsiTheme="majorHAnsi"/>
          <w:sz w:val="20"/>
          <w:szCs w:val="20"/>
        </w:rPr>
      </w:pPr>
    </w:p>
    <w:p w14:paraId="697DDE4C" w14:textId="77777777" w:rsidR="005C164F" w:rsidRPr="00EC55EA" w:rsidRDefault="005C164F" w:rsidP="00EC55EA">
      <w:pPr>
        <w:pStyle w:val="Heading2"/>
        <w:numPr>
          <w:ilvl w:val="0"/>
          <w:numId w:val="57"/>
        </w:numPr>
        <w:tabs>
          <w:tab w:val="left" w:pos="360"/>
        </w:tabs>
        <w:spacing w:before="0"/>
        <w:ind w:hanging="720"/>
        <w:rPr>
          <w:color w:val="auto"/>
          <w:sz w:val="20"/>
          <w:szCs w:val="20"/>
        </w:rPr>
      </w:pPr>
      <w:bookmarkStart w:id="2" w:name="_Toc150524375"/>
      <w:r w:rsidRPr="00EC55EA">
        <w:rPr>
          <w:color w:val="auto"/>
          <w:sz w:val="20"/>
          <w:szCs w:val="20"/>
        </w:rPr>
        <w:t>P</w:t>
      </w:r>
      <w:r w:rsidR="00262ECA" w:rsidRPr="00EC55EA">
        <w:rPr>
          <w:color w:val="auto"/>
          <w:sz w:val="20"/>
          <w:szCs w:val="20"/>
        </w:rPr>
        <w:t>etitioner</w:t>
      </w:r>
      <w:r w:rsidR="00837A50" w:rsidRPr="00EC55EA">
        <w:rPr>
          <w:color w:val="auto"/>
          <w:sz w:val="20"/>
          <w:szCs w:val="20"/>
        </w:rPr>
        <w:t>s</w:t>
      </w:r>
      <w:bookmarkEnd w:id="2"/>
    </w:p>
    <w:p w14:paraId="1CC5E94C" w14:textId="77777777" w:rsidR="00837A50" w:rsidRPr="00EC55EA" w:rsidRDefault="00837A50" w:rsidP="00EC55EA"/>
    <w:p w14:paraId="6F93BA5C" w14:textId="77777777" w:rsidR="00CA2199" w:rsidRPr="00EC55EA" w:rsidRDefault="007E2AC2" w:rsidP="00EC55E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hAnsiTheme="majorHAnsi"/>
          <w:sz w:val="20"/>
          <w:szCs w:val="20"/>
        </w:rPr>
      </w:pPr>
      <w:r w:rsidRPr="00EC55EA">
        <w:rPr>
          <w:rFonts w:asciiTheme="majorHAnsi" w:hAnsiTheme="majorHAnsi"/>
          <w:sz w:val="20"/>
          <w:szCs w:val="20"/>
        </w:rPr>
        <w:t>The petitioners claim the</w:t>
      </w:r>
      <w:r w:rsidR="000F5BCA" w:rsidRPr="00EC55EA">
        <w:rPr>
          <w:rFonts w:asciiTheme="majorHAnsi" w:hAnsiTheme="majorHAnsi"/>
          <w:sz w:val="20"/>
          <w:szCs w:val="20"/>
        </w:rPr>
        <w:t xml:space="preserve"> denial of </w:t>
      </w:r>
      <w:r w:rsidRPr="00EC55EA">
        <w:rPr>
          <w:rFonts w:asciiTheme="majorHAnsi" w:hAnsiTheme="majorHAnsi"/>
          <w:sz w:val="20"/>
          <w:szCs w:val="20"/>
        </w:rPr>
        <w:t xml:space="preserve">their </w:t>
      </w:r>
      <w:r w:rsidR="000F5BCA" w:rsidRPr="00EC55EA">
        <w:rPr>
          <w:rFonts w:asciiTheme="majorHAnsi" w:hAnsiTheme="majorHAnsi"/>
          <w:sz w:val="20"/>
          <w:szCs w:val="20"/>
        </w:rPr>
        <w:t>consular rights</w:t>
      </w:r>
      <w:r w:rsidRPr="00EC55EA">
        <w:rPr>
          <w:rFonts w:asciiTheme="majorHAnsi" w:hAnsiTheme="majorHAnsi"/>
          <w:sz w:val="20"/>
          <w:szCs w:val="20"/>
        </w:rPr>
        <w:t>,</w:t>
      </w:r>
      <w:r w:rsidR="000F5BCA" w:rsidRPr="00EC55EA">
        <w:rPr>
          <w:rFonts w:asciiTheme="majorHAnsi" w:hAnsiTheme="majorHAnsi"/>
          <w:sz w:val="20"/>
          <w:szCs w:val="20"/>
        </w:rPr>
        <w:t xml:space="preserve"> under Article 36</w:t>
      </w:r>
      <w:r w:rsidRPr="00EC55EA">
        <w:rPr>
          <w:rFonts w:asciiTheme="majorHAnsi" w:hAnsiTheme="majorHAnsi"/>
          <w:sz w:val="20"/>
          <w:szCs w:val="20"/>
        </w:rPr>
        <w:t xml:space="preserve"> of the Vienna Convention on Consular Relations</w:t>
      </w:r>
      <w:r w:rsidR="00B82710" w:rsidRPr="00EC55EA">
        <w:rPr>
          <w:rFonts w:asciiTheme="majorHAnsi" w:hAnsiTheme="majorHAnsi"/>
          <w:sz w:val="20"/>
          <w:szCs w:val="20"/>
        </w:rPr>
        <w:t xml:space="preserve"> (“Vienna Convention”)</w:t>
      </w:r>
      <w:r w:rsidRPr="00EC55EA">
        <w:rPr>
          <w:rFonts w:asciiTheme="majorHAnsi" w:hAnsiTheme="majorHAnsi"/>
          <w:sz w:val="20"/>
          <w:szCs w:val="20"/>
        </w:rPr>
        <w:t xml:space="preserve">, </w:t>
      </w:r>
      <w:r w:rsidR="00CA2199" w:rsidRPr="00EC55EA">
        <w:rPr>
          <w:rFonts w:asciiTheme="majorHAnsi" w:hAnsiTheme="majorHAnsi" w:cs="Arial"/>
          <w:color w:val="000000"/>
          <w:sz w:val="20"/>
          <w:szCs w:val="20"/>
        </w:rPr>
        <w:t>and</w:t>
      </w:r>
      <w:r w:rsidR="006C0F95" w:rsidRPr="00EC55EA">
        <w:rPr>
          <w:rFonts w:asciiTheme="majorHAnsi" w:hAnsiTheme="majorHAnsi" w:cs="Arial"/>
          <w:color w:val="000000"/>
          <w:sz w:val="20"/>
          <w:szCs w:val="20"/>
        </w:rPr>
        <w:t xml:space="preserve"> allege discrimination based on nationality, inhumane prison conditions, and lack of medical attention. </w:t>
      </w:r>
      <w:r w:rsidR="00CA2199" w:rsidRPr="00EC55EA">
        <w:rPr>
          <w:rFonts w:asciiTheme="majorHAnsi" w:hAnsiTheme="majorHAnsi" w:cs="Arial"/>
          <w:color w:val="000000"/>
          <w:sz w:val="20"/>
          <w:szCs w:val="20"/>
        </w:rPr>
        <w:t xml:space="preserve">With regards to the latter, the petitioners allege that Jurijus Kadamovas has not received psychiatric or psychological support in spite of his </w:t>
      </w:r>
      <w:r w:rsidR="00CA2199" w:rsidRPr="00EC55EA">
        <w:rPr>
          <w:rFonts w:asciiTheme="majorHAnsi" w:hAnsiTheme="majorHAnsi" w:cs="Arial"/>
          <w:sz w:val="20"/>
          <w:szCs w:val="20"/>
        </w:rPr>
        <w:t>requests; and</w:t>
      </w:r>
      <w:r w:rsidR="00CA2199" w:rsidRPr="00EC55EA">
        <w:rPr>
          <w:rFonts w:asciiTheme="majorHAnsi" w:hAnsiTheme="majorHAnsi" w:cs="Arial"/>
          <w:color w:val="000000"/>
          <w:sz w:val="20"/>
          <w:szCs w:val="20"/>
        </w:rPr>
        <w:t xml:space="preserve"> that Robert L. Bolden is not receiving treatment for his type 1 diabetes. </w:t>
      </w:r>
    </w:p>
    <w:p w14:paraId="11614CA4" w14:textId="77777777" w:rsidR="00CA2199" w:rsidRPr="00EC55EA" w:rsidRDefault="00CA2199" w:rsidP="00EC55EA">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jc w:val="both"/>
        <w:rPr>
          <w:rFonts w:asciiTheme="majorHAnsi" w:hAnsiTheme="majorHAnsi"/>
          <w:sz w:val="20"/>
          <w:szCs w:val="20"/>
        </w:rPr>
      </w:pPr>
    </w:p>
    <w:p w14:paraId="5CC5F4BC" w14:textId="77777777" w:rsidR="006C0F95" w:rsidRPr="00EC55EA" w:rsidRDefault="00C22723" w:rsidP="00EC55E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hAnsiTheme="majorHAnsi"/>
          <w:sz w:val="20"/>
          <w:szCs w:val="20"/>
        </w:rPr>
      </w:pPr>
      <w:r w:rsidRPr="00EC55EA">
        <w:rPr>
          <w:rFonts w:asciiTheme="majorHAnsi" w:hAnsiTheme="majorHAnsi"/>
          <w:sz w:val="20"/>
          <w:szCs w:val="20"/>
        </w:rPr>
        <w:t xml:space="preserve">The petitioners further assert a </w:t>
      </w:r>
      <w:r w:rsidR="004250D6" w:rsidRPr="00EC55EA">
        <w:rPr>
          <w:rFonts w:asciiTheme="majorHAnsi" w:hAnsiTheme="majorHAnsi"/>
          <w:sz w:val="20"/>
          <w:szCs w:val="20"/>
        </w:rPr>
        <w:t>breach of the United States</w:t>
      </w:r>
      <w:r w:rsidR="00B41A5D" w:rsidRPr="00EC55EA">
        <w:rPr>
          <w:rFonts w:asciiTheme="majorHAnsi" w:hAnsiTheme="majorHAnsi"/>
          <w:sz w:val="20"/>
          <w:szCs w:val="20"/>
        </w:rPr>
        <w:t>’</w:t>
      </w:r>
      <w:r w:rsidR="004250D6" w:rsidRPr="00EC55EA">
        <w:rPr>
          <w:rFonts w:asciiTheme="majorHAnsi" w:hAnsiTheme="majorHAnsi"/>
          <w:sz w:val="20"/>
          <w:szCs w:val="20"/>
        </w:rPr>
        <w:t xml:space="preserve"> Constitution’s prohibition agai</w:t>
      </w:r>
      <w:r w:rsidR="006C555D" w:rsidRPr="00EC55EA">
        <w:rPr>
          <w:rFonts w:asciiTheme="majorHAnsi" w:hAnsiTheme="majorHAnsi"/>
          <w:sz w:val="20"/>
          <w:szCs w:val="20"/>
        </w:rPr>
        <w:t xml:space="preserve">nst cruel and inhumane punishment, </w:t>
      </w:r>
      <w:r w:rsidR="00B41A5D" w:rsidRPr="00EC55EA">
        <w:rPr>
          <w:rFonts w:asciiTheme="majorHAnsi" w:hAnsiTheme="majorHAnsi"/>
          <w:sz w:val="20"/>
          <w:szCs w:val="20"/>
        </w:rPr>
        <w:t>as a result of</w:t>
      </w:r>
      <w:r w:rsidR="006C555D" w:rsidRPr="00EC55EA">
        <w:rPr>
          <w:rFonts w:asciiTheme="majorHAnsi" w:hAnsiTheme="majorHAnsi"/>
          <w:sz w:val="20"/>
          <w:szCs w:val="20"/>
        </w:rPr>
        <w:t xml:space="preserve"> humiliation endured under the tor</w:t>
      </w:r>
      <w:r w:rsidR="00B41A5D" w:rsidRPr="00EC55EA">
        <w:rPr>
          <w:rFonts w:asciiTheme="majorHAnsi" w:hAnsiTheme="majorHAnsi"/>
          <w:sz w:val="20"/>
          <w:szCs w:val="20"/>
        </w:rPr>
        <w:t xml:space="preserve">tuous conditions of confinement. They </w:t>
      </w:r>
      <w:r w:rsidR="00095BFB" w:rsidRPr="00EC55EA">
        <w:rPr>
          <w:rFonts w:asciiTheme="majorHAnsi" w:hAnsiTheme="majorHAnsi"/>
          <w:sz w:val="20"/>
          <w:szCs w:val="20"/>
        </w:rPr>
        <w:t>claim to have suffered</w:t>
      </w:r>
      <w:r w:rsidR="006C555D" w:rsidRPr="00EC55EA">
        <w:rPr>
          <w:rFonts w:asciiTheme="majorHAnsi" w:hAnsiTheme="majorHAnsi"/>
          <w:sz w:val="20"/>
          <w:szCs w:val="20"/>
        </w:rPr>
        <w:t xml:space="preserve"> and continue to suffer while remanded in the custody of the Bureau of Prisons on Federal Death Row in Terre Haute, Indiana</w:t>
      </w:r>
      <w:r w:rsidR="005959C4" w:rsidRPr="00EC55EA">
        <w:rPr>
          <w:rFonts w:asciiTheme="majorHAnsi" w:hAnsiTheme="majorHAnsi"/>
          <w:sz w:val="20"/>
          <w:szCs w:val="20"/>
        </w:rPr>
        <w:t xml:space="preserve"> (hereinafter BOP)</w:t>
      </w:r>
      <w:r w:rsidR="006C555D" w:rsidRPr="00EC55EA">
        <w:rPr>
          <w:rFonts w:asciiTheme="majorHAnsi" w:hAnsiTheme="majorHAnsi"/>
          <w:sz w:val="20"/>
          <w:szCs w:val="20"/>
        </w:rPr>
        <w:t xml:space="preserve">. </w:t>
      </w:r>
    </w:p>
    <w:p w14:paraId="314AC33D" w14:textId="77777777" w:rsidR="00A24082" w:rsidRPr="00EC55EA" w:rsidRDefault="00A24082" w:rsidP="00EC55EA">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jc w:val="both"/>
        <w:rPr>
          <w:rFonts w:asciiTheme="majorHAnsi" w:hAnsiTheme="majorHAnsi"/>
          <w:sz w:val="20"/>
          <w:szCs w:val="20"/>
        </w:rPr>
      </w:pPr>
    </w:p>
    <w:p w14:paraId="1C30C711" w14:textId="77777777" w:rsidR="00976D29" w:rsidRPr="00EC55EA" w:rsidRDefault="00976D29" w:rsidP="00EC55E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hAnsiTheme="majorHAnsi"/>
          <w:sz w:val="20"/>
          <w:szCs w:val="20"/>
        </w:rPr>
      </w:pPr>
      <w:r w:rsidRPr="00EC55EA">
        <w:rPr>
          <w:rFonts w:asciiTheme="majorHAnsi" w:hAnsiTheme="majorHAnsi"/>
          <w:sz w:val="20"/>
          <w:szCs w:val="20"/>
        </w:rPr>
        <w:t>With regards to Mr. Kadamovas, i</w:t>
      </w:r>
      <w:r w:rsidR="00B41104" w:rsidRPr="00EC55EA">
        <w:rPr>
          <w:rFonts w:asciiTheme="majorHAnsi" w:hAnsiTheme="majorHAnsi"/>
          <w:sz w:val="20"/>
          <w:szCs w:val="20"/>
        </w:rPr>
        <w:t xml:space="preserve">t is </w:t>
      </w:r>
      <w:r w:rsidR="007E350C" w:rsidRPr="00EC55EA">
        <w:rPr>
          <w:rFonts w:asciiTheme="majorHAnsi" w:hAnsiTheme="majorHAnsi"/>
          <w:sz w:val="20"/>
          <w:szCs w:val="20"/>
        </w:rPr>
        <w:t xml:space="preserve">explained </w:t>
      </w:r>
      <w:r w:rsidR="00B41104" w:rsidRPr="00EC55EA">
        <w:rPr>
          <w:rFonts w:asciiTheme="majorHAnsi" w:hAnsiTheme="majorHAnsi"/>
          <w:sz w:val="20"/>
          <w:szCs w:val="20"/>
        </w:rPr>
        <w:t xml:space="preserve">that </w:t>
      </w:r>
      <w:r w:rsidR="007E350C" w:rsidRPr="00EC55EA">
        <w:rPr>
          <w:rFonts w:asciiTheme="majorHAnsi" w:hAnsiTheme="majorHAnsi"/>
          <w:sz w:val="20"/>
          <w:szCs w:val="20"/>
        </w:rPr>
        <w:t xml:space="preserve">he is </w:t>
      </w:r>
      <w:r w:rsidR="00B41104" w:rsidRPr="00EC55EA">
        <w:rPr>
          <w:rFonts w:asciiTheme="majorHAnsi" w:hAnsiTheme="majorHAnsi"/>
          <w:sz w:val="20"/>
          <w:szCs w:val="20"/>
        </w:rPr>
        <w:t xml:space="preserve">a native Russian speaker, </w:t>
      </w:r>
      <w:r w:rsidR="007E350C" w:rsidRPr="00EC55EA">
        <w:rPr>
          <w:rFonts w:asciiTheme="majorHAnsi" w:hAnsiTheme="majorHAnsi"/>
          <w:sz w:val="20"/>
          <w:szCs w:val="20"/>
        </w:rPr>
        <w:t xml:space="preserve">who </w:t>
      </w:r>
      <w:r w:rsidR="00DC28DD" w:rsidRPr="00EC55EA">
        <w:rPr>
          <w:rFonts w:asciiTheme="majorHAnsi" w:hAnsiTheme="majorHAnsi"/>
          <w:sz w:val="20"/>
          <w:szCs w:val="20"/>
        </w:rPr>
        <w:t>has</w:t>
      </w:r>
      <w:r w:rsidR="00B41104" w:rsidRPr="00EC55EA">
        <w:rPr>
          <w:rFonts w:asciiTheme="majorHAnsi" w:hAnsiTheme="majorHAnsi"/>
          <w:sz w:val="20"/>
          <w:szCs w:val="20"/>
        </w:rPr>
        <w:t xml:space="preserve"> struggled to learn English, </w:t>
      </w:r>
      <w:r w:rsidR="00814843" w:rsidRPr="00EC55EA">
        <w:rPr>
          <w:rFonts w:asciiTheme="majorHAnsi" w:hAnsiTheme="majorHAnsi"/>
          <w:sz w:val="20"/>
          <w:szCs w:val="20"/>
        </w:rPr>
        <w:t xml:space="preserve">and thereby has struggled </w:t>
      </w:r>
      <w:r w:rsidR="00B41104" w:rsidRPr="00EC55EA">
        <w:rPr>
          <w:rFonts w:asciiTheme="majorHAnsi" w:hAnsiTheme="majorHAnsi"/>
          <w:sz w:val="20"/>
          <w:szCs w:val="20"/>
        </w:rPr>
        <w:t>to commun</w:t>
      </w:r>
      <w:r w:rsidR="00DC28DD" w:rsidRPr="00EC55EA">
        <w:rPr>
          <w:rFonts w:asciiTheme="majorHAnsi" w:hAnsiTheme="majorHAnsi"/>
          <w:sz w:val="20"/>
          <w:szCs w:val="20"/>
        </w:rPr>
        <w:t xml:space="preserve">icate and to assist his counsel. </w:t>
      </w:r>
      <w:r w:rsidR="00571713" w:rsidRPr="00EC55EA">
        <w:rPr>
          <w:rFonts w:asciiTheme="majorHAnsi" w:hAnsiTheme="majorHAnsi"/>
          <w:sz w:val="20"/>
          <w:szCs w:val="20"/>
        </w:rPr>
        <w:t>Moreover,</w:t>
      </w:r>
      <w:r w:rsidR="00DC28DD" w:rsidRPr="00EC55EA">
        <w:rPr>
          <w:rFonts w:asciiTheme="majorHAnsi" w:hAnsiTheme="majorHAnsi"/>
          <w:sz w:val="20"/>
          <w:szCs w:val="20"/>
        </w:rPr>
        <w:t xml:space="preserve"> that he </w:t>
      </w:r>
      <w:r w:rsidR="00B41104" w:rsidRPr="00EC55EA">
        <w:rPr>
          <w:rFonts w:asciiTheme="majorHAnsi" w:hAnsiTheme="majorHAnsi"/>
          <w:sz w:val="20"/>
          <w:szCs w:val="20"/>
        </w:rPr>
        <w:t xml:space="preserve">has limited access to any material in his native language. </w:t>
      </w:r>
      <w:r w:rsidR="008053D5" w:rsidRPr="00EC55EA">
        <w:rPr>
          <w:rFonts w:asciiTheme="majorHAnsi" w:hAnsiTheme="majorHAnsi"/>
          <w:sz w:val="20"/>
          <w:szCs w:val="20"/>
        </w:rPr>
        <w:t xml:space="preserve">According to the petitioners, the alleged victims’ rights under Article 36 of the Vienna Convention </w:t>
      </w:r>
      <w:r w:rsidR="00DC28DD" w:rsidRPr="00EC55EA">
        <w:rPr>
          <w:rFonts w:asciiTheme="majorHAnsi" w:hAnsiTheme="majorHAnsi"/>
          <w:sz w:val="20"/>
          <w:szCs w:val="20"/>
        </w:rPr>
        <w:t>was</w:t>
      </w:r>
      <w:r w:rsidR="008053D5" w:rsidRPr="00EC55EA">
        <w:rPr>
          <w:rFonts w:asciiTheme="majorHAnsi" w:hAnsiTheme="majorHAnsi"/>
          <w:sz w:val="20"/>
          <w:szCs w:val="20"/>
        </w:rPr>
        <w:t xml:space="preserve"> violated</w:t>
      </w:r>
      <w:r w:rsidR="006D7A08" w:rsidRPr="00EC55EA">
        <w:rPr>
          <w:rFonts w:asciiTheme="majorHAnsi" w:hAnsiTheme="majorHAnsi"/>
          <w:sz w:val="20"/>
          <w:szCs w:val="20"/>
        </w:rPr>
        <w:t xml:space="preserve">, as the alleged victim was not notified of his right to contact the </w:t>
      </w:r>
      <w:r w:rsidR="002E7736" w:rsidRPr="00EC55EA">
        <w:rPr>
          <w:rFonts w:asciiTheme="majorHAnsi" w:hAnsiTheme="majorHAnsi"/>
          <w:sz w:val="20"/>
          <w:szCs w:val="20"/>
        </w:rPr>
        <w:t>Lithuanian</w:t>
      </w:r>
      <w:r w:rsidR="006D7A08" w:rsidRPr="00EC55EA">
        <w:rPr>
          <w:rFonts w:asciiTheme="majorHAnsi" w:hAnsiTheme="majorHAnsi"/>
          <w:sz w:val="20"/>
          <w:szCs w:val="20"/>
        </w:rPr>
        <w:t xml:space="preserve"> consulate upon his arrest nor was the consulate notified of his arrest</w:t>
      </w:r>
      <w:r w:rsidR="008053D5" w:rsidRPr="00EC55EA">
        <w:rPr>
          <w:rFonts w:asciiTheme="majorHAnsi" w:hAnsiTheme="majorHAnsi"/>
          <w:sz w:val="20"/>
          <w:szCs w:val="20"/>
        </w:rPr>
        <w:t xml:space="preserve">. </w:t>
      </w:r>
      <w:r w:rsidR="00D611FB" w:rsidRPr="00EC55EA">
        <w:rPr>
          <w:rFonts w:asciiTheme="majorHAnsi" w:hAnsiTheme="majorHAnsi"/>
          <w:sz w:val="20"/>
          <w:szCs w:val="20"/>
        </w:rPr>
        <w:t xml:space="preserve">Additionally, </w:t>
      </w:r>
      <w:r w:rsidR="00B41104" w:rsidRPr="00EC55EA">
        <w:rPr>
          <w:rFonts w:asciiTheme="majorHAnsi" w:hAnsiTheme="majorHAnsi"/>
          <w:sz w:val="20"/>
          <w:szCs w:val="20"/>
        </w:rPr>
        <w:t>Mr. Kadamovas claims that he would not have been convicted of th</w:t>
      </w:r>
      <w:r w:rsidR="00DC28DD" w:rsidRPr="00EC55EA">
        <w:rPr>
          <w:rFonts w:asciiTheme="majorHAnsi" w:hAnsiTheme="majorHAnsi"/>
          <w:sz w:val="20"/>
          <w:szCs w:val="20"/>
        </w:rPr>
        <w:t xml:space="preserve">e crimes charged if he was able </w:t>
      </w:r>
      <w:r w:rsidR="00B41104" w:rsidRPr="00EC55EA">
        <w:rPr>
          <w:rFonts w:asciiTheme="majorHAnsi" w:hAnsiTheme="majorHAnsi"/>
          <w:sz w:val="20"/>
          <w:szCs w:val="20"/>
        </w:rPr>
        <w:t>to review his legal do</w:t>
      </w:r>
      <w:r w:rsidR="00F74F0B" w:rsidRPr="00EC55EA">
        <w:rPr>
          <w:rFonts w:asciiTheme="majorHAnsi" w:hAnsiTheme="majorHAnsi"/>
          <w:sz w:val="20"/>
          <w:szCs w:val="20"/>
        </w:rPr>
        <w:t>cuments in his native language. It is alleged that because of this limitation, he</w:t>
      </w:r>
      <w:r w:rsidR="00B41104" w:rsidRPr="00EC55EA">
        <w:rPr>
          <w:rFonts w:asciiTheme="majorHAnsi" w:hAnsiTheme="majorHAnsi"/>
          <w:sz w:val="20"/>
          <w:szCs w:val="20"/>
        </w:rPr>
        <w:t xml:space="preserve"> was unable to point out discrepancies and factual errors in his discovery. </w:t>
      </w:r>
      <w:r w:rsidR="00F74F0B" w:rsidRPr="00EC55EA">
        <w:rPr>
          <w:rFonts w:asciiTheme="majorHAnsi" w:hAnsiTheme="majorHAnsi"/>
          <w:sz w:val="20"/>
          <w:szCs w:val="20"/>
        </w:rPr>
        <w:t xml:space="preserve">Mr. Kadamovas explained that, at the time of his petition, the </w:t>
      </w:r>
      <w:r w:rsidRPr="00EC55EA">
        <w:rPr>
          <w:rFonts w:asciiTheme="majorHAnsi" w:hAnsiTheme="majorHAnsi"/>
          <w:sz w:val="20"/>
          <w:szCs w:val="20"/>
        </w:rPr>
        <w:t xml:space="preserve">discovery and trial transcripts </w:t>
      </w:r>
      <w:r w:rsidR="00F74F0B" w:rsidRPr="00EC55EA">
        <w:rPr>
          <w:rFonts w:asciiTheme="majorHAnsi" w:hAnsiTheme="majorHAnsi"/>
          <w:sz w:val="20"/>
          <w:szCs w:val="20"/>
        </w:rPr>
        <w:t xml:space="preserve">respective to his case </w:t>
      </w:r>
      <w:r w:rsidRPr="00EC55EA">
        <w:rPr>
          <w:rFonts w:asciiTheme="majorHAnsi" w:hAnsiTheme="majorHAnsi"/>
          <w:sz w:val="20"/>
          <w:szCs w:val="20"/>
        </w:rPr>
        <w:t>remain</w:t>
      </w:r>
      <w:r w:rsidR="00F74F0B" w:rsidRPr="00EC55EA">
        <w:rPr>
          <w:rFonts w:asciiTheme="majorHAnsi" w:hAnsiTheme="majorHAnsi"/>
          <w:sz w:val="20"/>
          <w:szCs w:val="20"/>
        </w:rPr>
        <w:t>ed without translation</w:t>
      </w:r>
      <w:r w:rsidRPr="00EC55EA">
        <w:rPr>
          <w:rFonts w:asciiTheme="majorHAnsi" w:hAnsiTheme="majorHAnsi"/>
          <w:sz w:val="20"/>
          <w:szCs w:val="20"/>
        </w:rPr>
        <w:t xml:space="preserve"> and </w:t>
      </w:r>
      <w:r w:rsidR="00F74F0B" w:rsidRPr="00EC55EA">
        <w:rPr>
          <w:rFonts w:asciiTheme="majorHAnsi" w:hAnsiTheme="majorHAnsi"/>
          <w:sz w:val="20"/>
          <w:szCs w:val="20"/>
        </w:rPr>
        <w:t xml:space="preserve">that </w:t>
      </w:r>
      <w:r w:rsidRPr="00EC55EA">
        <w:rPr>
          <w:rFonts w:asciiTheme="majorHAnsi" w:hAnsiTheme="majorHAnsi"/>
          <w:sz w:val="20"/>
          <w:szCs w:val="20"/>
        </w:rPr>
        <w:t xml:space="preserve">he continues with inadequate translation devices and assistance. </w:t>
      </w:r>
    </w:p>
    <w:p w14:paraId="16518ABB" w14:textId="77777777" w:rsidR="00B41104" w:rsidRPr="00EC55EA" w:rsidRDefault="00B41104" w:rsidP="00EC55EA">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jc w:val="both"/>
        <w:rPr>
          <w:rFonts w:asciiTheme="majorHAnsi" w:hAnsiTheme="majorHAnsi"/>
          <w:sz w:val="20"/>
          <w:szCs w:val="20"/>
        </w:rPr>
      </w:pPr>
    </w:p>
    <w:p w14:paraId="5143DA36" w14:textId="77777777" w:rsidR="007C52EB" w:rsidRPr="00EC55EA" w:rsidRDefault="0037116B" w:rsidP="00EC55E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hAnsiTheme="majorHAnsi"/>
          <w:sz w:val="20"/>
          <w:szCs w:val="20"/>
        </w:rPr>
      </w:pPr>
      <w:r w:rsidRPr="00EC55EA">
        <w:rPr>
          <w:rFonts w:asciiTheme="majorHAnsi" w:hAnsiTheme="majorHAnsi"/>
          <w:sz w:val="20"/>
          <w:szCs w:val="20"/>
        </w:rPr>
        <w:t>The petition asserts</w:t>
      </w:r>
      <w:r w:rsidR="00430F9F" w:rsidRPr="00EC55EA">
        <w:rPr>
          <w:rFonts w:asciiTheme="majorHAnsi" w:hAnsiTheme="majorHAnsi"/>
          <w:sz w:val="20"/>
          <w:szCs w:val="20"/>
        </w:rPr>
        <w:t xml:space="preserve"> discriminatio</w:t>
      </w:r>
      <w:r w:rsidRPr="00EC55EA">
        <w:rPr>
          <w:rFonts w:asciiTheme="majorHAnsi" w:hAnsiTheme="majorHAnsi"/>
          <w:sz w:val="20"/>
          <w:szCs w:val="20"/>
        </w:rPr>
        <w:t xml:space="preserve">n by the Bureau of prisons </w:t>
      </w:r>
      <w:r w:rsidR="00B82710" w:rsidRPr="00EC55EA">
        <w:rPr>
          <w:rFonts w:asciiTheme="majorHAnsi" w:hAnsiTheme="majorHAnsi"/>
          <w:sz w:val="20"/>
          <w:szCs w:val="20"/>
        </w:rPr>
        <w:t>(“</w:t>
      </w:r>
      <w:r w:rsidR="00C61095" w:rsidRPr="00EC55EA">
        <w:rPr>
          <w:rFonts w:asciiTheme="majorHAnsi" w:hAnsiTheme="majorHAnsi"/>
          <w:sz w:val="20"/>
          <w:szCs w:val="20"/>
        </w:rPr>
        <w:t>BOP</w:t>
      </w:r>
      <w:r w:rsidR="00B82710" w:rsidRPr="00EC55EA">
        <w:rPr>
          <w:rFonts w:asciiTheme="majorHAnsi" w:hAnsiTheme="majorHAnsi"/>
          <w:sz w:val="20"/>
          <w:szCs w:val="20"/>
        </w:rPr>
        <w:t>”</w:t>
      </w:r>
      <w:r w:rsidR="00C61095" w:rsidRPr="00EC55EA">
        <w:rPr>
          <w:rFonts w:asciiTheme="majorHAnsi" w:hAnsiTheme="majorHAnsi"/>
          <w:sz w:val="20"/>
          <w:szCs w:val="20"/>
        </w:rPr>
        <w:t xml:space="preserve">) </w:t>
      </w:r>
      <w:r w:rsidRPr="00EC55EA">
        <w:rPr>
          <w:rFonts w:asciiTheme="majorHAnsi" w:hAnsiTheme="majorHAnsi"/>
          <w:sz w:val="20"/>
          <w:szCs w:val="20"/>
        </w:rPr>
        <w:t>as Mr. Kadamovas</w:t>
      </w:r>
      <w:r w:rsidR="00430F9F" w:rsidRPr="00EC55EA">
        <w:rPr>
          <w:rFonts w:asciiTheme="majorHAnsi" w:hAnsiTheme="majorHAnsi"/>
          <w:sz w:val="20"/>
          <w:szCs w:val="20"/>
        </w:rPr>
        <w:t xml:space="preserve"> has not been afforded the opportunity to learn English by the Education Department as </w:t>
      </w:r>
      <w:r w:rsidRPr="00EC55EA">
        <w:rPr>
          <w:rFonts w:asciiTheme="majorHAnsi" w:hAnsiTheme="majorHAnsi"/>
          <w:sz w:val="20"/>
          <w:szCs w:val="20"/>
        </w:rPr>
        <w:t xml:space="preserve">he claims </w:t>
      </w:r>
      <w:r w:rsidR="00430F9F" w:rsidRPr="00EC55EA">
        <w:rPr>
          <w:rFonts w:asciiTheme="majorHAnsi" w:hAnsiTheme="majorHAnsi"/>
          <w:sz w:val="20"/>
          <w:szCs w:val="20"/>
        </w:rPr>
        <w:t xml:space="preserve">the institution only provides materials for </w:t>
      </w:r>
      <w:r w:rsidR="00F3282B" w:rsidRPr="00EC55EA">
        <w:rPr>
          <w:rFonts w:asciiTheme="majorHAnsi" w:hAnsiTheme="majorHAnsi"/>
          <w:sz w:val="20"/>
          <w:szCs w:val="20"/>
        </w:rPr>
        <w:t>native</w:t>
      </w:r>
      <w:r w:rsidR="00430F9F" w:rsidRPr="00EC55EA">
        <w:rPr>
          <w:rFonts w:asciiTheme="majorHAnsi" w:hAnsiTheme="majorHAnsi"/>
          <w:sz w:val="20"/>
          <w:szCs w:val="20"/>
        </w:rPr>
        <w:t xml:space="preserve"> Spanis</w:t>
      </w:r>
      <w:r w:rsidR="00A24082" w:rsidRPr="00EC55EA">
        <w:rPr>
          <w:rFonts w:asciiTheme="majorHAnsi" w:hAnsiTheme="majorHAnsi"/>
          <w:sz w:val="20"/>
          <w:szCs w:val="20"/>
        </w:rPr>
        <w:t>h speakers</w:t>
      </w:r>
      <w:r w:rsidR="00430F9F" w:rsidRPr="00EC55EA">
        <w:rPr>
          <w:rFonts w:asciiTheme="majorHAnsi" w:hAnsiTheme="majorHAnsi"/>
          <w:sz w:val="20"/>
          <w:szCs w:val="20"/>
        </w:rPr>
        <w:t>. Further</w:t>
      </w:r>
      <w:r w:rsidRPr="00EC55EA">
        <w:rPr>
          <w:rFonts w:asciiTheme="majorHAnsi" w:hAnsiTheme="majorHAnsi"/>
          <w:sz w:val="20"/>
          <w:szCs w:val="20"/>
        </w:rPr>
        <w:t>, it is claimed</w:t>
      </w:r>
      <w:r w:rsidR="00430F9F" w:rsidRPr="00EC55EA">
        <w:rPr>
          <w:rFonts w:asciiTheme="majorHAnsi" w:hAnsiTheme="majorHAnsi"/>
          <w:sz w:val="20"/>
          <w:szCs w:val="20"/>
        </w:rPr>
        <w:t xml:space="preserve"> that the Bureau has failed to safeguard </w:t>
      </w:r>
      <w:r w:rsidRPr="00EC55EA">
        <w:rPr>
          <w:rFonts w:asciiTheme="majorHAnsi" w:hAnsiTheme="majorHAnsi"/>
          <w:sz w:val="20"/>
          <w:szCs w:val="20"/>
        </w:rPr>
        <w:t>Mr. Kadamovas’s</w:t>
      </w:r>
      <w:r w:rsidR="00430F9F" w:rsidRPr="00EC55EA">
        <w:rPr>
          <w:rFonts w:asciiTheme="majorHAnsi" w:hAnsiTheme="majorHAnsi"/>
          <w:sz w:val="20"/>
          <w:szCs w:val="20"/>
        </w:rPr>
        <w:t xml:space="preserve"> materials, and even allowed a </w:t>
      </w:r>
      <w:r w:rsidR="00F3282B" w:rsidRPr="00EC55EA">
        <w:rPr>
          <w:rFonts w:asciiTheme="majorHAnsi" w:hAnsiTheme="majorHAnsi"/>
          <w:sz w:val="20"/>
          <w:szCs w:val="20"/>
        </w:rPr>
        <w:t>translation</w:t>
      </w:r>
      <w:r w:rsidR="00430F9F" w:rsidRPr="00EC55EA">
        <w:rPr>
          <w:rFonts w:asciiTheme="majorHAnsi" w:hAnsiTheme="majorHAnsi"/>
          <w:sz w:val="20"/>
          <w:szCs w:val="20"/>
        </w:rPr>
        <w:t xml:space="preserve"> device to be stolen and broken by another inmate</w:t>
      </w:r>
      <w:r w:rsidR="00FA5112" w:rsidRPr="00EC55EA">
        <w:rPr>
          <w:rFonts w:asciiTheme="majorHAnsi" w:hAnsiTheme="majorHAnsi"/>
          <w:sz w:val="20"/>
          <w:szCs w:val="20"/>
        </w:rPr>
        <w:t xml:space="preserve"> who</w:t>
      </w:r>
      <w:r w:rsidRPr="00EC55EA">
        <w:rPr>
          <w:rFonts w:asciiTheme="majorHAnsi" w:hAnsiTheme="majorHAnsi"/>
          <w:sz w:val="20"/>
          <w:szCs w:val="20"/>
        </w:rPr>
        <w:t>,</w:t>
      </w:r>
      <w:r w:rsidR="00FA5112" w:rsidRPr="00EC55EA">
        <w:rPr>
          <w:rFonts w:asciiTheme="majorHAnsi" w:hAnsiTheme="majorHAnsi"/>
          <w:sz w:val="20"/>
          <w:szCs w:val="20"/>
        </w:rPr>
        <w:t xml:space="preserve"> </w:t>
      </w:r>
      <w:r w:rsidRPr="00EC55EA">
        <w:rPr>
          <w:rFonts w:asciiTheme="majorHAnsi" w:hAnsiTheme="majorHAnsi"/>
          <w:sz w:val="20"/>
          <w:szCs w:val="20"/>
        </w:rPr>
        <w:t>Mr. Kadamovas</w:t>
      </w:r>
      <w:r w:rsidR="00FA5112" w:rsidRPr="00EC55EA">
        <w:rPr>
          <w:rFonts w:asciiTheme="majorHAnsi" w:hAnsiTheme="majorHAnsi"/>
          <w:sz w:val="20"/>
          <w:szCs w:val="20"/>
        </w:rPr>
        <w:t xml:space="preserve"> claims</w:t>
      </w:r>
      <w:r w:rsidRPr="00EC55EA">
        <w:rPr>
          <w:rFonts w:asciiTheme="majorHAnsi" w:hAnsiTheme="majorHAnsi"/>
          <w:sz w:val="20"/>
          <w:szCs w:val="20"/>
        </w:rPr>
        <w:t>,</w:t>
      </w:r>
      <w:r w:rsidR="00FA5112" w:rsidRPr="00EC55EA">
        <w:rPr>
          <w:rFonts w:asciiTheme="majorHAnsi" w:hAnsiTheme="majorHAnsi"/>
          <w:sz w:val="20"/>
          <w:szCs w:val="20"/>
        </w:rPr>
        <w:t xml:space="preserve"> had access to his confidential material in violation of his right to privacy and confidentiality with his attorney. </w:t>
      </w:r>
      <w:r w:rsidRPr="00EC55EA">
        <w:rPr>
          <w:rFonts w:asciiTheme="majorHAnsi" w:hAnsiTheme="majorHAnsi"/>
          <w:sz w:val="20"/>
          <w:szCs w:val="20"/>
        </w:rPr>
        <w:t xml:space="preserve">Moreover, </w:t>
      </w:r>
      <w:r w:rsidR="00196728" w:rsidRPr="00EC55EA">
        <w:rPr>
          <w:rFonts w:asciiTheme="majorHAnsi" w:hAnsiTheme="majorHAnsi"/>
          <w:sz w:val="20"/>
          <w:szCs w:val="20"/>
        </w:rPr>
        <w:t>Mr. Kadamovas</w:t>
      </w:r>
      <w:r w:rsidRPr="00EC55EA">
        <w:rPr>
          <w:rFonts w:asciiTheme="majorHAnsi" w:hAnsiTheme="majorHAnsi"/>
          <w:sz w:val="20"/>
          <w:szCs w:val="20"/>
        </w:rPr>
        <w:t xml:space="preserve"> c</w:t>
      </w:r>
      <w:r w:rsidR="00FA5112" w:rsidRPr="00EC55EA">
        <w:rPr>
          <w:rFonts w:asciiTheme="majorHAnsi" w:hAnsiTheme="majorHAnsi"/>
          <w:sz w:val="20"/>
          <w:szCs w:val="20"/>
        </w:rPr>
        <w:t>laims being wrongly placed on restricted general written correspondence</w:t>
      </w:r>
      <w:r w:rsidR="00C61095" w:rsidRPr="00EC55EA">
        <w:rPr>
          <w:rFonts w:asciiTheme="majorHAnsi" w:hAnsiTheme="majorHAnsi"/>
          <w:sz w:val="20"/>
          <w:szCs w:val="20"/>
        </w:rPr>
        <w:t xml:space="preserve"> by the BOP</w:t>
      </w:r>
      <w:r w:rsidR="00FA5112" w:rsidRPr="00EC55EA">
        <w:rPr>
          <w:rFonts w:asciiTheme="majorHAnsi" w:hAnsiTheme="majorHAnsi"/>
          <w:sz w:val="20"/>
          <w:szCs w:val="20"/>
        </w:rPr>
        <w:t xml:space="preserve">, </w:t>
      </w:r>
      <w:r w:rsidR="00C61095" w:rsidRPr="00EC55EA">
        <w:rPr>
          <w:rFonts w:asciiTheme="majorHAnsi" w:hAnsiTheme="majorHAnsi"/>
          <w:sz w:val="20"/>
          <w:szCs w:val="20"/>
        </w:rPr>
        <w:t xml:space="preserve">whereby he was </w:t>
      </w:r>
      <w:r w:rsidR="00FA5112" w:rsidRPr="00EC55EA">
        <w:rPr>
          <w:rFonts w:asciiTheme="majorHAnsi" w:hAnsiTheme="majorHAnsi"/>
          <w:sz w:val="20"/>
          <w:szCs w:val="20"/>
        </w:rPr>
        <w:t xml:space="preserve">only able to receive mail from his attorney, embassy and immediate family. </w:t>
      </w:r>
    </w:p>
    <w:p w14:paraId="33171EE3" w14:textId="77777777" w:rsidR="00273854" w:rsidRPr="00EC55EA" w:rsidRDefault="00273854" w:rsidP="00EC55EA">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jc w:val="both"/>
        <w:rPr>
          <w:rFonts w:asciiTheme="majorHAnsi" w:hAnsiTheme="majorHAnsi"/>
          <w:sz w:val="20"/>
          <w:szCs w:val="20"/>
        </w:rPr>
      </w:pPr>
    </w:p>
    <w:p w14:paraId="1908B911" w14:textId="77777777" w:rsidR="00803C4E" w:rsidRPr="00EC55EA" w:rsidRDefault="00007A99" w:rsidP="00EC55E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hAnsiTheme="majorHAnsi"/>
          <w:sz w:val="20"/>
          <w:szCs w:val="20"/>
        </w:rPr>
      </w:pPr>
      <w:r w:rsidRPr="00EC55EA">
        <w:rPr>
          <w:rFonts w:asciiTheme="majorHAnsi" w:hAnsiTheme="majorHAnsi"/>
          <w:sz w:val="20"/>
          <w:szCs w:val="20"/>
        </w:rPr>
        <w:t xml:space="preserve">The petitioners claim that Mr. Kadamovas continues to suffer the impact of long-term solitary </w:t>
      </w:r>
      <w:r w:rsidR="00583C2B" w:rsidRPr="00EC55EA">
        <w:rPr>
          <w:rFonts w:asciiTheme="majorHAnsi" w:hAnsiTheme="majorHAnsi"/>
          <w:sz w:val="20"/>
          <w:szCs w:val="20"/>
        </w:rPr>
        <w:t>confinement on</w:t>
      </w:r>
      <w:r w:rsidRPr="00EC55EA">
        <w:rPr>
          <w:rFonts w:asciiTheme="majorHAnsi" w:hAnsiTheme="majorHAnsi"/>
          <w:sz w:val="20"/>
          <w:szCs w:val="20"/>
        </w:rPr>
        <w:t xml:space="preserve"> his mental</w:t>
      </w:r>
      <w:r w:rsidR="00885063" w:rsidRPr="00EC55EA">
        <w:rPr>
          <w:rFonts w:asciiTheme="majorHAnsi" w:hAnsiTheme="majorHAnsi"/>
          <w:sz w:val="20"/>
          <w:szCs w:val="20"/>
        </w:rPr>
        <w:t>, physical and emotional health</w:t>
      </w:r>
      <w:r w:rsidR="00F427D9" w:rsidRPr="00EC55EA">
        <w:rPr>
          <w:rFonts w:asciiTheme="majorHAnsi" w:hAnsiTheme="majorHAnsi"/>
          <w:sz w:val="20"/>
          <w:szCs w:val="20"/>
        </w:rPr>
        <w:t>.</w:t>
      </w:r>
      <w:r w:rsidR="000A2229" w:rsidRPr="00EC55EA">
        <w:rPr>
          <w:rFonts w:asciiTheme="majorHAnsi" w:hAnsiTheme="majorHAnsi"/>
          <w:sz w:val="20"/>
          <w:szCs w:val="20"/>
        </w:rPr>
        <w:t xml:space="preserve"> </w:t>
      </w:r>
      <w:r w:rsidR="0045672D" w:rsidRPr="00EC55EA">
        <w:rPr>
          <w:rFonts w:asciiTheme="majorHAnsi" w:hAnsiTheme="majorHAnsi"/>
          <w:sz w:val="20"/>
          <w:szCs w:val="20"/>
        </w:rPr>
        <w:t xml:space="preserve">He allegedly engaged in two hunger strikes to protest his </w:t>
      </w:r>
      <w:r w:rsidR="00583C2B" w:rsidRPr="00EC55EA">
        <w:rPr>
          <w:rFonts w:asciiTheme="majorHAnsi" w:hAnsiTheme="majorHAnsi"/>
          <w:sz w:val="20"/>
          <w:szCs w:val="20"/>
        </w:rPr>
        <w:t>confinement</w:t>
      </w:r>
      <w:r w:rsidR="0045672D" w:rsidRPr="00EC55EA">
        <w:rPr>
          <w:rFonts w:asciiTheme="majorHAnsi" w:hAnsiTheme="majorHAnsi"/>
          <w:sz w:val="20"/>
          <w:szCs w:val="20"/>
        </w:rPr>
        <w:t xml:space="preserve"> </w:t>
      </w:r>
      <w:r w:rsidR="003937BC" w:rsidRPr="00EC55EA">
        <w:rPr>
          <w:rFonts w:asciiTheme="majorHAnsi" w:hAnsiTheme="majorHAnsi"/>
          <w:sz w:val="20"/>
          <w:szCs w:val="20"/>
        </w:rPr>
        <w:t>conditions</w:t>
      </w:r>
      <w:r w:rsidR="00F6140C" w:rsidRPr="00EC55EA">
        <w:rPr>
          <w:rFonts w:asciiTheme="majorHAnsi" w:hAnsiTheme="majorHAnsi"/>
          <w:sz w:val="20"/>
          <w:szCs w:val="20"/>
        </w:rPr>
        <w:t xml:space="preserve">. Petitioners claim </w:t>
      </w:r>
      <w:r w:rsidR="0045672D" w:rsidRPr="00EC55EA">
        <w:rPr>
          <w:rFonts w:asciiTheme="majorHAnsi" w:hAnsiTheme="majorHAnsi"/>
          <w:sz w:val="20"/>
          <w:szCs w:val="20"/>
        </w:rPr>
        <w:t>that</w:t>
      </w:r>
      <w:r w:rsidR="00F6140C" w:rsidRPr="00EC55EA">
        <w:rPr>
          <w:rFonts w:asciiTheme="majorHAnsi" w:hAnsiTheme="majorHAnsi"/>
          <w:sz w:val="20"/>
          <w:szCs w:val="20"/>
        </w:rPr>
        <w:t>, on the first strike,</w:t>
      </w:r>
      <w:r w:rsidR="0045672D" w:rsidRPr="00EC55EA">
        <w:rPr>
          <w:rFonts w:asciiTheme="majorHAnsi" w:hAnsiTheme="majorHAnsi"/>
          <w:sz w:val="20"/>
          <w:szCs w:val="20"/>
        </w:rPr>
        <w:t xml:space="preserve"> he was injured when prematurely force-fed</w:t>
      </w:r>
      <w:r w:rsidR="00F6140C" w:rsidRPr="00EC55EA">
        <w:rPr>
          <w:rFonts w:asciiTheme="majorHAnsi" w:hAnsiTheme="majorHAnsi"/>
          <w:sz w:val="20"/>
          <w:szCs w:val="20"/>
        </w:rPr>
        <w:t xml:space="preserve">, a tactic petitioners believe was designed to force him to end the strike. </w:t>
      </w:r>
      <w:r w:rsidR="0045672D" w:rsidRPr="00EC55EA">
        <w:rPr>
          <w:rFonts w:asciiTheme="majorHAnsi" w:hAnsiTheme="majorHAnsi"/>
          <w:sz w:val="20"/>
          <w:szCs w:val="20"/>
        </w:rPr>
        <w:t xml:space="preserve"> </w:t>
      </w:r>
      <w:r w:rsidR="00F6140C" w:rsidRPr="00EC55EA">
        <w:rPr>
          <w:rFonts w:asciiTheme="majorHAnsi" w:hAnsiTheme="majorHAnsi"/>
          <w:sz w:val="20"/>
          <w:szCs w:val="20"/>
        </w:rPr>
        <w:t>They also claim that he was</w:t>
      </w:r>
      <w:r w:rsidR="0045672D" w:rsidRPr="00EC55EA">
        <w:rPr>
          <w:rFonts w:asciiTheme="majorHAnsi" w:hAnsiTheme="majorHAnsi"/>
          <w:sz w:val="20"/>
          <w:szCs w:val="20"/>
        </w:rPr>
        <w:t xml:space="preserve"> injured </w:t>
      </w:r>
      <w:r w:rsidR="00F427D9" w:rsidRPr="00EC55EA">
        <w:rPr>
          <w:rFonts w:asciiTheme="majorHAnsi" w:hAnsiTheme="majorHAnsi"/>
          <w:sz w:val="20"/>
          <w:szCs w:val="20"/>
        </w:rPr>
        <w:t xml:space="preserve">again during the second hunger strike </w:t>
      </w:r>
      <w:r w:rsidR="00F6140C" w:rsidRPr="00EC55EA">
        <w:rPr>
          <w:rFonts w:asciiTheme="majorHAnsi" w:hAnsiTheme="majorHAnsi"/>
          <w:sz w:val="20"/>
          <w:szCs w:val="20"/>
        </w:rPr>
        <w:t>when p</w:t>
      </w:r>
      <w:r w:rsidR="0045672D" w:rsidRPr="00EC55EA">
        <w:rPr>
          <w:rFonts w:asciiTheme="majorHAnsi" w:hAnsiTheme="majorHAnsi"/>
          <w:sz w:val="20"/>
          <w:szCs w:val="20"/>
        </w:rPr>
        <w:t xml:space="preserve">rison staff shoved him, hurt his leg and left shoulder </w:t>
      </w:r>
      <w:r w:rsidR="00FC2B76" w:rsidRPr="00EC55EA">
        <w:rPr>
          <w:rFonts w:asciiTheme="majorHAnsi" w:hAnsiTheme="majorHAnsi"/>
          <w:sz w:val="20"/>
          <w:szCs w:val="20"/>
        </w:rPr>
        <w:t>in order</w:t>
      </w:r>
      <w:r w:rsidR="007B1BD2" w:rsidRPr="00EC55EA">
        <w:rPr>
          <w:rFonts w:asciiTheme="majorHAnsi" w:hAnsiTheme="majorHAnsi"/>
          <w:sz w:val="20"/>
          <w:szCs w:val="20"/>
        </w:rPr>
        <w:t xml:space="preserve"> to draw blood to monitor his health. </w:t>
      </w:r>
    </w:p>
    <w:p w14:paraId="7EB08967" w14:textId="77777777" w:rsidR="00B67B9B" w:rsidRPr="00EC55EA" w:rsidRDefault="00B67B9B" w:rsidP="00EC55EA">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jc w:val="both"/>
        <w:rPr>
          <w:rFonts w:asciiTheme="majorHAnsi" w:hAnsiTheme="majorHAnsi"/>
          <w:sz w:val="20"/>
          <w:szCs w:val="20"/>
        </w:rPr>
      </w:pPr>
    </w:p>
    <w:p w14:paraId="55943884" w14:textId="77777777" w:rsidR="00264998" w:rsidRPr="00EC55EA" w:rsidRDefault="00B67B9B" w:rsidP="00EC55E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hAnsiTheme="majorHAnsi"/>
          <w:sz w:val="20"/>
          <w:szCs w:val="20"/>
        </w:rPr>
      </w:pPr>
      <w:r w:rsidRPr="00EC55EA">
        <w:rPr>
          <w:rFonts w:asciiTheme="majorHAnsi" w:hAnsiTheme="majorHAnsi"/>
          <w:sz w:val="20"/>
          <w:szCs w:val="20"/>
        </w:rPr>
        <w:t xml:space="preserve">Regarding Mr. Bolden, it is claimed that he was not notified of his right to contact the Canadian consulate upon his arrest nor was the consulate notified of his arrest and detention until almost 8 years thereafter.  </w:t>
      </w:r>
      <w:r w:rsidR="008E45EF" w:rsidRPr="00EC55EA">
        <w:rPr>
          <w:rFonts w:asciiTheme="majorHAnsi" w:hAnsiTheme="majorHAnsi"/>
          <w:sz w:val="20"/>
          <w:szCs w:val="20"/>
        </w:rPr>
        <w:t xml:space="preserve">He claims he was thereby denied consular assistance prior to, during his trial and </w:t>
      </w:r>
      <w:r w:rsidR="00D443A5" w:rsidRPr="00EC55EA">
        <w:rPr>
          <w:rFonts w:asciiTheme="majorHAnsi" w:hAnsiTheme="majorHAnsi"/>
          <w:sz w:val="20"/>
          <w:szCs w:val="20"/>
        </w:rPr>
        <w:t xml:space="preserve">during </w:t>
      </w:r>
      <w:r w:rsidR="008E45EF" w:rsidRPr="00EC55EA">
        <w:rPr>
          <w:rFonts w:asciiTheme="majorHAnsi" w:hAnsiTheme="majorHAnsi"/>
          <w:sz w:val="20"/>
          <w:szCs w:val="20"/>
        </w:rPr>
        <w:t xml:space="preserve">sentencing. </w:t>
      </w:r>
      <w:r w:rsidR="00C64686" w:rsidRPr="00EC55EA">
        <w:rPr>
          <w:rFonts w:asciiTheme="majorHAnsi" w:hAnsiTheme="majorHAnsi"/>
          <w:sz w:val="20"/>
          <w:szCs w:val="20"/>
        </w:rPr>
        <w:t xml:space="preserve">The </w:t>
      </w:r>
      <w:r w:rsidR="008E45EF" w:rsidRPr="00EC55EA">
        <w:rPr>
          <w:rFonts w:asciiTheme="majorHAnsi" w:hAnsiTheme="majorHAnsi"/>
          <w:sz w:val="20"/>
          <w:szCs w:val="20"/>
        </w:rPr>
        <w:t xml:space="preserve">petition asserts that the Canadian </w:t>
      </w:r>
      <w:r w:rsidR="00C64686" w:rsidRPr="00EC55EA">
        <w:rPr>
          <w:rFonts w:asciiTheme="majorHAnsi" w:hAnsiTheme="majorHAnsi"/>
          <w:sz w:val="20"/>
          <w:szCs w:val="20"/>
        </w:rPr>
        <w:t>consulate was notified of the case in 2010</w:t>
      </w:r>
      <w:r w:rsidR="00D443A5" w:rsidRPr="00EC55EA">
        <w:rPr>
          <w:rFonts w:asciiTheme="majorHAnsi" w:hAnsiTheme="majorHAnsi"/>
          <w:sz w:val="20"/>
          <w:szCs w:val="20"/>
        </w:rPr>
        <w:t>,</w:t>
      </w:r>
      <w:r w:rsidR="00C64686" w:rsidRPr="00EC55EA">
        <w:rPr>
          <w:rFonts w:asciiTheme="majorHAnsi" w:hAnsiTheme="majorHAnsi"/>
          <w:sz w:val="20"/>
          <w:szCs w:val="20"/>
        </w:rPr>
        <w:t xml:space="preserve"> when the attorneys preparing </w:t>
      </w:r>
      <w:r w:rsidR="008E45EF" w:rsidRPr="00EC55EA">
        <w:rPr>
          <w:rFonts w:asciiTheme="majorHAnsi" w:hAnsiTheme="majorHAnsi"/>
          <w:sz w:val="20"/>
          <w:szCs w:val="20"/>
        </w:rPr>
        <w:t>Mr. Bolden’s</w:t>
      </w:r>
      <w:r w:rsidR="00C64686" w:rsidRPr="00EC55EA">
        <w:rPr>
          <w:rFonts w:asciiTheme="majorHAnsi" w:hAnsiTheme="majorHAnsi"/>
          <w:sz w:val="20"/>
          <w:szCs w:val="20"/>
        </w:rPr>
        <w:t xml:space="preserve"> habeas corpus proc</w:t>
      </w:r>
      <w:r w:rsidR="008E45EF" w:rsidRPr="00EC55EA">
        <w:rPr>
          <w:rFonts w:asciiTheme="majorHAnsi" w:hAnsiTheme="majorHAnsi"/>
          <w:sz w:val="20"/>
          <w:szCs w:val="20"/>
        </w:rPr>
        <w:t>eedings investigated his case.</w:t>
      </w:r>
      <w:r w:rsidR="00C64686" w:rsidRPr="00EC55EA">
        <w:rPr>
          <w:rFonts w:asciiTheme="majorHAnsi" w:hAnsiTheme="majorHAnsi"/>
          <w:sz w:val="20"/>
          <w:szCs w:val="20"/>
        </w:rPr>
        <w:t xml:space="preserve"> </w:t>
      </w:r>
      <w:r w:rsidR="000611E2" w:rsidRPr="00EC55EA">
        <w:rPr>
          <w:rFonts w:asciiTheme="majorHAnsi" w:hAnsiTheme="majorHAnsi"/>
          <w:sz w:val="20"/>
          <w:szCs w:val="20"/>
        </w:rPr>
        <w:t xml:space="preserve">The petition asserts that as </w:t>
      </w:r>
      <w:r w:rsidR="00C64686" w:rsidRPr="00EC55EA">
        <w:rPr>
          <w:rFonts w:asciiTheme="majorHAnsi" w:hAnsiTheme="majorHAnsi"/>
          <w:sz w:val="20"/>
          <w:szCs w:val="20"/>
        </w:rPr>
        <w:t>a diabetic, diagnose</w:t>
      </w:r>
      <w:r w:rsidR="000611E2" w:rsidRPr="00EC55EA">
        <w:rPr>
          <w:rFonts w:asciiTheme="majorHAnsi" w:hAnsiTheme="majorHAnsi"/>
          <w:sz w:val="20"/>
          <w:szCs w:val="20"/>
        </w:rPr>
        <w:t>d</w:t>
      </w:r>
      <w:r w:rsidR="00C64686" w:rsidRPr="00EC55EA">
        <w:rPr>
          <w:rFonts w:asciiTheme="majorHAnsi" w:hAnsiTheme="majorHAnsi"/>
          <w:sz w:val="20"/>
          <w:szCs w:val="20"/>
        </w:rPr>
        <w:t xml:space="preserve"> with Type I, insulin-dependent diabetes; </w:t>
      </w:r>
      <w:r w:rsidR="000611E2" w:rsidRPr="00EC55EA">
        <w:rPr>
          <w:rFonts w:asciiTheme="majorHAnsi" w:hAnsiTheme="majorHAnsi"/>
          <w:sz w:val="20"/>
          <w:szCs w:val="20"/>
        </w:rPr>
        <w:t xml:space="preserve">Mr. Bolden </w:t>
      </w:r>
      <w:r w:rsidR="00C64686" w:rsidRPr="00EC55EA">
        <w:rPr>
          <w:rFonts w:asciiTheme="majorHAnsi" w:hAnsiTheme="majorHAnsi"/>
          <w:sz w:val="20"/>
          <w:szCs w:val="20"/>
        </w:rPr>
        <w:t xml:space="preserve">requires insulin, regular blood sugar monitoring, regular </w:t>
      </w:r>
      <w:r w:rsidR="00F3282B" w:rsidRPr="00EC55EA">
        <w:rPr>
          <w:rFonts w:asciiTheme="majorHAnsi" w:hAnsiTheme="majorHAnsi"/>
          <w:sz w:val="20"/>
          <w:szCs w:val="20"/>
        </w:rPr>
        <w:t>exercise</w:t>
      </w:r>
      <w:r w:rsidR="00C64686" w:rsidRPr="00EC55EA">
        <w:rPr>
          <w:rFonts w:asciiTheme="majorHAnsi" w:hAnsiTheme="majorHAnsi"/>
          <w:sz w:val="20"/>
          <w:szCs w:val="20"/>
        </w:rPr>
        <w:t xml:space="preserve"> and a controlled diabetic diet to manage his disease. </w:t>
      </w:r>
    </w:p>
    <w:p w14:paraId="324902C9" w14:textId="77777777" w:rsidR="00264998" w:rsidRPr="00EC55EA" w:rsidRDefault="00264998" w:rsidP="00EC55EA">
      <w:pPr>
        <w:pStyle w:val="ListParagraph"/>
        <w:rPr>
          <w:rFonts w:asciiTheme="majorHAnsi" w:hAnsiTheme="majorHAnsi"/>
          <w:sz w:val="20"/>
          <w:szCs w:val="20"/>
        </w:rPr>
      </w:pPr>
    </w:p>
    <w:p w14:paraId="35FCA2E6" w14:textId="77777777" w:rsidR="00273854" w:rsidRPr="00EC55EA" w:rsidRDefault="00CF396A" w:rsidP="00EC55E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hAnsiTheme="majorHAnsi"/>
          <w:sz w:val="20"/>
          <w:szCs w:val="20"/>
        </w:rPr>
      </w:pPr>
      <w:r w:rsidRPr="00EC55EA">
        <w:rPr>
          <w:rFonts w:asciiTheme="majorHAnsi" w:hAnsiTheme="majorHAnsi"/>
          <w:sz w:val="20"/>
          <w:szCs w:val="20"/>
        </w:rPr>
        <w:t>The petition explains that upon</w:t>
      </w:r>
      <w:r w:rsidR="00C64686" w:rsidRPr="00EC55EA">
        <w:rPr>
          <w:rFonts w:asciiTheme="majorHAnsi" w:hAnsiTheme="majorHAnsi"/>
          <w:sz w:val="20"/>
          <w:szCs w:val="20"/>
        </w:rPr>
        <w:t xml:space="preserve"> </w:t>
      </w:r>
      <w:r w:rsidRPr="00EC55EA">
        <w:rPr>
          <w:rFonts w:asciiTheme="majorHAnsi" w:hAnsiTheme="majorHAnsi"/>
          <w:sz w:val="20"/>
          <w:szCs w:val="20"/>
        </w:rPr>
        <w:t>Mr. Bolden’s</w:t>
      </w:r>
      <w:r w:rsidR="00C64686" w:rsidRPr="00EC55EA">
        <w:rPr>
          <w:rFonts w:asciiTheme="majorHAnsi" w:hAnsiTheme="majorHAnsi"/>
          <w:sz w:val="20"/>
          <w:szCs w:val="20"/>
        </w:rPr>
        <w:t xml:space="preserve"> conviction, the court recommended the Bureau conf</w:t>
      </w:r>
      <w:r w:rsidR="002B6682" w:rsidRPr="00EC55EA">
        <w:rPr>
          <w:rFonts w:asciiTheme="majorHAnsi" w:hAnsiTheme="majorHAnsi"/>
          <w:sz w:val="20"/>
          <w:szCs w:val="20"/>
        </w:rPr>
        <w:t xml:space="preserve">ine him in a medical facility </w:t>
      </w:r>
      <w:r w:rsidR="00C64686" w:rsidRPr="00EC55EA">
        <w:rPr>
          <w:rFonts w:asciiTheme="majorHAnsi" w:hAnsiTheme="majorHAnsi"/>
          <w:sz w:val="20"/>
          <w:szCs w:val="20"/>
        </w:rPr>
        <w:t>to allow him to r</w:t>
      </w:r>
      <w:r w:rsidR="002B6682" w:rsidRPr="00EC55EA">
        <w:rPr>
          <w:rFonts w:asciiTheme="majorHAnsi" w:hAnsiTheme="majorHAnsi"/>
          <w:sz w:val="20"/>
          <w:szCs w:val="20"/>
        </w:rPr>
        <w:t>eceive treatment for diabetes</w:t>
      </w:r>
      <w:r w:rsidR="00C64686" w:rsidRPr="00EC55EA">
        <w:rPr>
          <w:rFonts w:asciiTheme="majorHAnsi" w:hAnsiTheme="majorHAnsi"/>
          <w:sz w:val="20"/>
          <w:szCs w:val="20"/>
        </w:rPr>
        <w:t xml:space="preserve">. It is claimed that the Bureau ignored the court’s request and sent </w:t>
      </w:r>
      <w:r w:rsidR="00F3282B" w:rsidRPr="00EC55EA">
        <w:rPr>
          <w:rFonts w:asciiTheme="majorHAnsi" w:hAnsiTheme="majorHAnsi"/>
          <w:sz w:val="20"/>
          <w:szCs w:val="20"/>
        </w:rPr>
        <w:t>Mr.</w:t>
      </w:r>
      <w:r w:rsidR="00A23BD2" w:rsidRPr="00EC55EA">
        <w:rPr>
          <w:rFonts w:asciiTheme="majorHAnsi" w:hAnsiTheme="majorHAnsi"/>
          <w:sz w:val="20"/>
          <w:szCs w:val="20"/>
        </w:rPr>
        <w:t xml:space="preserve"> Bolden to</w:t>
      </w:r>
      <w:r w:rsidR="00C64686" w:rsidRPr="00EC55EA">
        <w:rPr>
          <w:rFonts w:asciiTheme="majorHAnsi" w:hAnsiTheme="majorHAnsi"/>
          <w:sz w:val="20"/>
          <w:szCs w:val="20"/>
        </w:rPr>
        <w:t xml:space="preserve"> Terre Haute where he claims officials act with indifference to his medical needs</w:t>
      </w:r>
      <w:r w:rsidR="00A23BD2" w:rsidRPr="00EC55EA">
        <w:rPr>
          <w:rFonts w:asciiTheme="majorHAnsi" w:hAnsiTheme="majorHAnsi"/>
          <w:sz w:val="20"/>
          <w:szCs w:val="20"/>
        </w:rPr>
        <w:t>. Mr. Bolden c</w:t>
      </w:r>
      <w:r w:rsidR="0066797D" w:rsidRPr="00EC55EA">
        <w:rPr>
          <w:rFonts w:asciiTheme="majorHAnsi" w:hAnsiTheme="majorHAnsi"/>
          <w:sz w:val="20"/>
          <w:szCs w:val="20"/>
        </w:rPr>
        <w:t xml:space="preserve">laims </w:t>
      </w:r>
      <w:r w:rsidR="00A23BD2" w:rsidRPr="00EC55EA">
        <w:rPr>
          <w:rFonts w:asciiTheme="majorHAnsi" w:hAnsiTheme="majorHAnsi"/>
          <w:sz w:val="20"/>
          <w:szCs w:val="20"/>
        </w:rPr>
        <w:t xml:space="preserve">that his </w:t>
      </w:r>
      <w:r w:rsidR="0066797D" w:rsidRPr="00EC55EA">
        <w:rPr>
          <w:rFonts w:asciiTheme="majorHAnsi" w:hAnsiTheme="majorHAnsi"/>
          <w:sz w:val="20"/>
          <w:szCs w:val="20"/>
        </w:rPr>
        <w:t xml:space="preserve">life </w:t>
      </w:r>
      <w:r w:rsidR="00A23BD2" w:rsidRPr="00EC55EA">
        <w:rPr>
          <w:rFonts w:asciiTheme="majorHAnsi" w:hAnsiTheme="majorHAnsi"/>
          <w:sz w:val="20"/>
          <w:szCs w:val="20"/>
        </w:rPr>
        <w:t xml:space="preserve">has been </w:t>
      </w:r>
      <w:r w:rsidR="0066797D" w:rsidRPr="00EC55EA">
        <w:rPr>
          <w:rFonts w:asciiTheme="majorHAnsi" w:hAnsiTheme="majorHAnsi"/>
          <w:sz w:val="20"/>
          <w:szCs w:val="20"/>
        </w:rPr>
        <w:t xml:space="preserve">jeopardized by prolonged hyperglycemia leading to ketoacidosis and other episodes of hypoglycemia rendering him incoherent, unresponsive and comatose. </w:t>
      </w:r>
      <w:r w:rsidR="00C15824" w:rsidRPr="00EC55EA">
        <w:rPr>
          <w:rFonts w:asciiTheme="majorHAnsi" w:hAnsiTheme="majorHAnsi"/>
          <w:sz w:val="20"/>
          <w:szCs w:val="20"/>
        </w:rPr>
        <w:t>Further</w:t>
      </w:r>
      <w:r w:rsidR="00E2586D" w:rsidRPr="00EC55EA">
        <w:rPr>
          <w:rFonts w:asciiTheme="majorHAnsi" w:hAnsiTheme="majorHAnsi"/>
          <w:sz w:val="20"/>
          <w:szCs w:val="20"/>
        </w:rPr>
        <w:t>,</w:t>
      </w:r>
      <w:r w:rsidR="00C15824" w:rsidRPr="00EC55EA">
        <w:rPr>
          <w:rFonts w:asciiTheme="majorHAnsi" w:hAnsiTheme="majorHAnsi"/>
          <w:sz w:val="20"/>
          <w:szCs w:val="20"/>
        </w:rPr>
        <w:t xml:space="preserve"> that the failure by the </w:t>
      </w:r>
      <w:r w:rsidR="00E2586D" w:rsidRPr="00EC55EA">
        <w:rPr>
          <w:rFonts w:asciiTheme="majorHAnsi" w:hAnsiTheme="majorHAnsi"/>
          <w:sz w:val="20"/>
          <w:szCs w:val="20"/>
        </w:rPr>
        <w:t>BOP</w:t>
      </w:r>
      <w:r w:rsidR="00C15824" w:rsidRPr="00EC55EA">
        <w:rPr>
          <w:rFonts w:asciiTheme="majorHAnsi" w:hAnsiTheme="majorHAnsi"/>
          <w:sz w:val="20"/>
          <w:szCs w:val="20"/>
        </w:rPr>
        <w:t xml:space="preserve"> interferes with his constitutional right to access the courts as he may require dialysis because of hi</w:t>
      </w:r>
      <w:r w:rsidR="00AC75FB" w:rsidRPr="00EC55EA">
        <w:rPr>
          <w:rFonts w:asciiTheme="majorHAnsi" w:hAnsiTheme="majorHAnsi"/>
          <w:sz w:val="20"/>
          <w:szCs w:val="20"/>
        </w:rPr>
        <w:t>s creatinine levels increasing. Moreover, he affirms that</w:t>
      </w:r>
      <w:r w:rsidR="00C15824" w:rsidRPr="00EC55EA">
        <w:rPr>
          <w:rFonts w:asciiTheme="majorHAnsi" w:hAnsiTheme="majorHAnsi"/>
          <w:sz w:val="20"/>
          <w:szCs w:val="20"/>
        </w:rPr>
        <w:t xml:space="preserve"> with a shortened life expectancy</w:t>
      </w:r>
      <w:r w:rsidR="00AC75FB" w:rsidRPr="00EC55EA">
        <w:rPr>
          <w:rFonts w:asciiTheme="majorHAnsi" w:hAnsiTheme="majorHAnsi"/>
          <w:sz w:val="20"/>
          <w:szCs w:val="20"/>
        </w:rPr>
        <w:t>,</w:t>
      </w:r>
      <w:r w:rsidR="00C15824" w:rsidRPr="00EC55EA">
        <w:rPr>
          <w:rFonts w:asciiTheme="majorHAnsi" w:hAnsiTheme="majorHAnsi"/>
          <w:sz w:val="20"/>
          <w:szCs w:val="20"/>
        </w:rPr>
        <w:t xml:space="preserve"> this shortens his opportunity to f</w:t>
      </w:r>
      <w:r w:rsidR="00797969" w:rsidRPr="00EC55EA">
        <w:rPr>
          <w:rFonts w:asciiTheme="majorHAnsi" w:hAnsiTheme="majorHAnsi"/>
          <w:sz w:val="20"/>
          <w:szCs w:val="20"/>
        </w:rPr>
        <w:t>ully challenge his conviction; s</w:t>
      </w:r>
      <w:r w:rsidR="00AC75FB" w:rsidRPr="00EC55EA">
        <w:rPr>
          <w:rFonts w:asciiTheme="majorHAnsi" w:hAnsiTheme="majorHAnsi"/>
          <w:sz w:val="20"/>
          <w:szCs w:val="20"/>
        </w:rPr>
        <w:t>pecifically because</w:t>
      </w:r>
      <w:r w:rsidR="00C15824" w:rsidRPr="00EC55EA">
        <w:rPr>
          <w:rFonts w:asciiTheme="majorHAnsi" w:hAnsiTheme="majorHAnsi"/>
          <w:sz w:val="20"/>
          <w:szCs w:val="20"/>
        </w:rPr>
        <w:t xml:space="preserve"> the debilitation he suffers renders him unable to focus on his case</w:t>
      </w:r>
      <w:r w:rsidR="00AC75FB" w:rsidRPr="00EC55EA">
        <w:rPr>
          <w:rFonts w:asciiTheme="majorHAnsi" w:hAnsiTheme="majorHAnsi"/>
          <w:sz w:val="20"/>
          <w:szCs w:val="20"/>
        </w:rPr>
        <w:t>,</w:t>
      </w:r>
      <w:r w:rsidR="00C15824" w:rsidRPr="00EC55EA">
        <w:rPr>
          <w:rFonts w:asciiTheme="majorHAnsi" w:hAnsiTheme="majorHAnsi"/>
          <w:sz w:val="20"/>
          <w:szCs w:val="20"/>
        </w:rPr>
        <w:t xml:space="preserve"> as he focuses instead on his deteriorating health and prison neglect. </w:t>
      </w:r>
    </w:p>
    <w:p w14:paraId="38022F24" w14:textId="77777777" w:rsidR="006D070F" w:rsidRPr="00EC55EA" w:rsidRDefault="006D070F" w:rsidP="00EC55EA">
      <w:pPr>
        <w:pStyle w:val="ListParagraph"/>
        <w:rPr>
          <w:rFonts w:asciiTheme="majorHAnsi" w:hAnsiTheme="majorHAnsi"/>
          <w:sz w:val="20"/>
          <w:szCs w:val="20"/>
        </w:rPr>
      </w:pPr>
    </w:p>
    <w:p w14:paraId="46D74CE6" w14:textId="77777777" w:rsidR="00264998" w:rsidRPr="00EC55EA" w:rsidRDefault="00F3282B" w:rsidP="00EC55E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hAnsiTheme="majorHAnsi"/>
          <w:sz w:val="20"/>
          <w:szCs w:val="20"/>
        </w:rPr>
      </w:pPr>
      <w:r w:rsidRPr="00EC55EA">
        <w:rPr>
          <w:rFonts w:asciiTheme="majorHAnsi" w:hAnsiTheme="majorHAnsi"/>
          <w:sz w:val="20"/>
          <w:szCs w:val="20"/>
        </w:rPr>
        <w:t xml:space="preserve">The legal representatives </w:t>
      </w:r>
      <w:r w:rsidR="00A158BA" w:rsidRPr="00EC55EA">
        <w:rPr>
          <w:rFonts w:asciiTheme="majorHAnsi" w:hAnsiTheme="majorHAnsi"/>
          <w:sz w:val="20"/>
          <w:szCs w:val="20"/>
        </w:rPr>
        <w:t xml:space="preserve">of Mr. Bolden explain </w:t>
      </w:r>
      <w:r w:rsidRPr="00EC55EA">
        <w:rPr>
          <w:rFonts w:asciiTheme="majorHAnsi" w:hAnsiTheme="majorHAnsi"/>
          <w:sz w:val="20"/>
          <w:szCs w:val="20"/>
        </w:rPr>
        <w:t xml:space="preserve">that they encountered difficulties obtaining a complete copy of medical records from </w:t>
      </w:r>
      <w:r w:rsidR="00A158BA" w:rsidRPr="00EC55EA">
        <w:rPr>
          <w:rFonts w:asciiTheme="majorHAnsi" w:hAnsiTheme="majorHAnsi"/>
          <w:sz w:val="20"/>
          <w:szCs w:val="20"/>
        </w:rPr>
        <w:t>the BOP. Additionally, in preparation</w:t>
      </w:r>
      <w:r w:rsidRPr="00EC55EA">
        <w:rPr>
          <w:rFonts w:asciiTheme="majorHAnsi" w:hAnsiTheme="majorHAnsi"/>
          <w:sz w:val="20"/>
          <w:szCs w:val="20"/>
        </w:rPr>
        <w:t xml:space="preserve"> of </w:t>
      </w:r>
      <w:r w:rsidR="009043CE" w:rsidRPr="00EC55EA">
        <w:rPr>
          <w:rFonts w:asciiTheme="majorHAnsi" w:hAnsiTheme="majorHAnsi"/>
          <w:sz w:val="20"/>
          <w:szCs w:val="20"/>
        </w:rPr>
        <w:t xml:space="preserve">Mr. </w:t>
      </w:r>
      <w:r w:rsidR="00C55AA8" w:rsidRPr="00EC55EA">
        <w:rPr>
          <w:rFonts w:asciiTheme="majorHAnsi" w:hAnsiTheme="majorHAnsi"/>
          <w:sz w:val="20"/>
          <w:szCs w:val="20"/>
        </w:rPr>
        <w:t>Bolden</w:t>
      </w:r>
      <w:r w:rsidR="009043CE" w:rsidRPr="00EC55EA">
        <w:rPr>
          <w:rFonts w:asciiTheme="majorHAnsi" w:hAnsiTheme="majorHAnsi"/>
          <w:sz w:val="20"/>
          <w:szCs w:val="20"/>
        </w:rPr>
        <w:t>’s</w:t>
      </w:r>
      <w:r w:rsidRPr="00EC55EA">
        <w:rPr>
          <w:rFonts w:asciiTheme="majorHAnsi" w:hAnsiTheme="majorHAnsi"/>
          <w:sz w:val="20"/>
          <w:szCs w:val="20"/>
        </w:rPr>
        <w:t xml:space="preserve"> litigation process, the team requested and</w:t>
      </w:r>
      <w:r w:rsidR="00A158BA" w:rsidRPr="00EC55EA">
        <w:rPr>
          <w:rFonts w:asciiTheme="majorHAnsi" w:hAnsiTheme="majorHAnsi"/>
          <w:sz w:val="20"/>
          <w:szCs w:val="20"/>
        </w:rPr>
        <w:t xml:space="preserve"> were denied subpoenas for the</w:t>
      </w:r>
      <w:r w:rsidRPr="00EC55EA">
        <w:rPr>
          <w:rFonts w:asciiTheme="majorHAnsi" w:hAnsiTheme="majorHAnsi"/>
          <w:sz w:val="20"/>
          <w:szCs w:val="20"/>
        </w:rPr>
        <w:t xml:space="preserve"> records</w:t>
      </w:r>
      <w:r w:rsidR="002B6682" w:rsidRPr="00EC55EA">
        <w:rPr>
          <w:rFonts w:asciiTheme="majorHAnsi" w:hAnsiTheme="majorHAnsi"/>
          <w:sz w:val="20"/>
          <w:szCs w:val="20"/>
        </w:rPr>
        <w:t>.</w:t>
      </w:r>
      <w:r w:rsidR="00217555" w:rsidRPr="00EC55EA">
        <w:rPr>
          <w:rFonts w:asciiTheme="majorHAnsi" w:hAnsiTheme="majorHAnsi"/>
          <w:sz w:val="20"/>
          <w:szCs w:val="20"/>
        </w:rPr>
        <w:t xml:space="preserve"> </w:t>
      </w:r>
      <w:r w:rsidR="00D877E9" w:rsidRPr="00EC55EA">
        <w:rPr>
          <w:rFonts w:asciiTheme="majorHAnsi" w:hAnsiTheme="majorHAnsi"/>
          <w:sz w:val="20"/>
          <w:szCs w:val="20"/>
        </w:rPr>
        <w:t xml:space="preserve">It is asserted that Mr. Bolden’s </w:t>
      </w:r>
      <w:r w:rsidR="00217555" w:rsidRPr="00EC55EA">
        <w:rPr>
          <w:rFonts w:asciiTheme="majorHAnsi" w:hAnsiTheme="majorHAnsi"/>
          <w:sz w:val="20"/>
          <w:szCs w:val="20"/>
        </w:rPr>
        <w:t xml:space="preserve">recent A1C tests do not demonstrate good control of his diabetes. </w:t>
      </w:r>
      <w:r w:rsidR="00E215EF" w:rsidRPr="00EC55EA">
        <w:rPr>
          <w:rFonts w:asciiTheme="majorHAnsi" w:hAnsiTheme="majorHAnsi"/>
          <w:sz w:val="20"/>
          <w:szCs w:val="20"/>
        </w:rPr>
        <w:t>The petition highlights that the BOP observed</w:t>
      </w:r>
      <w:r w:rsidR="00217555" w:rsidRPr="00EC55EA">
        <w:rPr>
          <w:rFonts w:asciiTheme="majorHAnsi" w:hAnsiTheme="majorHAnsi"/>
          <w:sz w:val="20"/>
          <w:szCs w:val="20"/>
        </w:rPr>
        <w:t xml:space="preserve"> that </w:t>
      </w:r>
      <w:r w:rsidR="00E215EF" w:rsidRPr="00EC55EA">
        <w:rPr>
          <w:rFonts w:asciiTheme="majorHAnsi" w:hAnsiTheme="majorHAnsi"/>
          <w:sz w:val="20"/>
          <w:szCs w:val="20"/>
        </w:rPr>
        <w:t xml:space="preserve">Mr. Bolden’s </w:t>
      </w:r>
      <w:r w:rsidR="00217555" w:rsidRPr="00EC55EA">
        <w:rPr>
          <w:rFonts w:asciiTheme="majorHAnsi" w:hAnsiTheme="majorHAnsi"/>
          <w:sz w:val="20"/>
          <w:szCs w:val="20"/>
        </w:rPr>
        <w:t>suga</w:t>
      </w:r>
      <w:r w:rsidR="00E215EF" w:rsidRPr="00EC55EA">
        <w:rPr>
          <w:rFonts w:asciiTheme="majorHAnsi" w:hAnsiTheme="majorHAnsi"/>
          <w:sz w:val="20"/>
          <w:szCs w:val="20"/>
        </w:rPr>
        <w:t>r levels are not under control. F</w:t>
      </w:r>
      <w:r w:rsidR="00217555" w:rsidRPr="00EC55EA">
        <w:rPr>
          <w:rFonts w:asciiTheme="majorHAnsi" w:hAnsiTheme="majorHAnsi"/>
          <w:sz w:val="20"/>
          <w:szCs w:val="20"/>
        </w:rPr>
        <w:t>urther</w:t>
      </w:r>
      <w:r w:rsidR="00E215EF" w:rsidRPr="00EC55EA">
        <w:rPr>
          <w:rFonts w:asciiTheme="majorHAnsi" w:hAnsiTheme="majorHAnsi"/>
          <w:sz w:val="20"/>
          <w:szCs w:val="20"/>
        </w:rPr>
        <w:t>,</w:t>
      </w:r>
      <w:r w:rsidR="00217555" w:rsidRPr="00EC55EA">
        <w:rPr>
          <w:rFonts w:asciiTheme="majorHAnsi" w:hAnsiTheme="majorHAnsi"/>
          <w:sz w:val="20"/>
          <w:szCs w:val="20"/>
        </w:rPr>
        <w:t xml:space="preserve"> that the American Diabetes Association recommends that a diabeti</w:t>
      </w:r>
      <w:r w:rsidR="00E215EF" w:rsidRPr="00EC55EA">
        <w:rPr>
          <w:rFonts w:asciiTheme="majorHAnsi" w:hAnsiTheme="majorHAnsi"/>
          <w:sz w:val="20"/>
          <w:szCs w:val="20"/>
        </w:rPr>
        <w:t>c maintain an A1C below 7, and that a</w:t>
      </w:r>
      <w:r w:rsidR="00217555" w:rsidRPr="00EC55EA">
        <w:rPr>
          <w:rFonts w:asciiTheme="majorHAnsi" w:hAnsiTheme="majorHAnsi"/>
          <w:sz w:val="20"/>
          <w:szCs w:val="20"/>
        </w:rPr>
        <w:t>n A1C of 8.3 doe</w:t>
      </w:r>
      <w:r w:rsidR="007A5E25" w:rsidRPr="00EC55EA">
        <w:rPr>
          <w:rFonts w:asciiTheme="majorHAnsi" w:hAnsiTheme="majorHAnsi"/>
          <w:sz w:val="20"/>
          <w:szCs w:val="20"/>
        </w:rPr>
        <w:t xml:space="preserve">s not demonstrate good control. </w:t>
      </w:r>
      <w:r w:rsidR="00217555" w:rsidRPr="00EC55EA">
        <w:rPr>
          <w:rFonts w:asciiTheme="majorHAnsi" w:hAnsiTheme="majorHAnsi"/>
          <w:sz w:val="20"/>
          <w:szCs w:val="20"/>
        </w:rPr>
        <w:t xml:space="preserve"> </w:t>
      </w:r>
      <w:r w:rsidR="007A5E25" w:rsidRPr="00EC55EA">
        <w:rPr>
          <w:rFonts w:asciiTheme="majorHAnsi" w:hAnsiTheme="majorHAnsi"/>
          <w:sz w:val="20"/>
          <w:szCs w:val="20"/>
        </w:rPr>
        <w:t>It is purported that</w:t>
      </w:r>
      <w:r w:rsidR="00217555" w:rsidRPr="00EC55EA">
        <w:rPr>
          <w:rFonts w:asciiTheme="majorHAnsi" w:hAnsiTheme="majorHAnsi"/>
          <w:sz w:val="20"/>
          <w:szCs w:val="20"/>
        </w:rPr>
        <w:t xml:space="preserve"> reliance on the A1C tests only ignores the daily and hourly fluctuations in the blood glucose levels and that during the week of July 16, 2012</w:t>
      </w:r>
      <w:r w:rsidR="00E412F2" w:rsidRPr="00EC55EA">
        <w:rPr>
          <w:rFonts w:asciiTheme="majorHAnsi" w:hAnsiTheme="majorHAnsi"/>
          <w:sz w:val="20"/>
          <w:szCs w:val="20"/>
        </w:rPr>
        <w:t>,</w:t>
      </w:r>
      <w:r w:rsidR="00217555" w:rsidRPr="00EC55EA">
        <w:rPr>
          <w:rFonts w:asciiTheme="majorHAnsi" w:hAnsiTheme="majorHAnsi"/>
          <w:sz w:val="20"/>
          <w:szCs w:val="20"/>
        </w:rPr>
        <w:t xml:space="preserve"> Mr. Bolden experienced three potentially fatal hypoglycemic episodes. </w:t>
      </w:r>
      <w:r w:rsidR="007A5E25" w:rsidRPr="00EC55EA">
        <w:rPr>
          <w:rFonts w:asciiTheme="majorHAnsi" w:hAnsiTheme="majorHAnsi"/>
          <w:sz w:val="20"/>
          <w:szCs w:val="20"/>
        </w:rPr>
        <w:t>It is claimed that t</w:t>
      </w:r>
      <w:r w:rsidR="001D475E" w:rsidRPr="00EC55EA">
        <w:rPr>
          <w:rFonts w:asciiTheme="majorHAnsi" w:hAnsiTheme="majorHAnsi"/>
          <w:sz w:val="20"/>
          <w:szCs w:val="20"/>
        </w:rPr>
        <w:t>he BOP does not ma</w:t>
      </w:r>
      <w:r w:rsidR="00264998" w:rsidRPr="00EC55EA">
        <w:rPr>
          <w:rFonts w:asciiTheme="majorHAnsi" w:hAnsiTheme="majorHAnsi"/>
          <w:sz w:val="20"/>
          <w:szCs w:val="20"/>
        </w:rPr>
        <w:t>intain a separate diabetic menu, a</w:t>
      </w:r>
      <w:r w:rsidR="002840B2" w:rsidRPr="00EC55EA">
        <w:rPr>
          <w:rFonts w:asciiTheme="majorHAnsi" w:hAnsiTheme="majorHAnsi"/>
          <w:sz w:val="20"/>
          <w:szCs w:val="20"/>
        </w:rPr>
        <w:t>nd despite having</w:t>
      </w:r>
      <w:r w:rsidR="001D475E" w:rsidRPr="00EC55EA">
        <w:rPr>
          <w:rFonts w:asciiTheme="majorHAnsi" w:hAnsiTheme="majorHAnsi"/>
          <w:sz w:val="20"/>
          <w:szCs w:val="20"/>
        </w:rPr>
        <w:t xml:space="preserve"> been</w:t>
      </w:r>
      <w:r w:rsidR="002840B2" w:rsidRPr="00EC55EA">
        <w:rPr>
          <w:rFonts w:asciiTheme="majorHAnsi" w:hAnsiTheme="majorHAnsi"/>
          <w:sz w:val="20"/>
          <w:szCs w:val="20"/>
        </w:rPr>
        <w:t xml:space="preserve"> offered a “heart healthy” diet, the </w:t>
      </w:r>
      <w:r w:rsidR="001D475E" w:rsidRPr="00EC55EA">
        <w:rPr>
          <w:rFonts w:asciiTheme="majorHAnsi" w:hAnsiTheme="majorHAnsi"/>
          <w:sz w:val="20"/>
          <w:szCs w:val="20"/>
        </w:rPr>
        <w:t xml:space="preserve">diet is not a diabetic diet </w:t>
      </w:r>
      <w:r w:rsidR="002840B2" w:rsidRPr="00EC55EA">
        <w:rPr>
          <w:rFonts w:asciiTheme="majorHAnsi" w:hAnsiTheme="majorHAnsi"/>
          <w:sz w:val="20"/>
          <w:szCs w:val="20"/>
        </w:rPr>
        <w:t xml:space="preserve">specifically </w:t>
      </w:r>
      <w:r w:rsidR="001D475E" w:rsidRPr="00EC55EA">
        <w:rPr>
          <w:rFonts w:asciiTheme="majorHAnsi" w:hAnsiTheme="majorHAnsi"/>
          <w:sz w:val="20"/>
          <w:szCs w:val="20"/>
        </w:rPr>
        <w:t xml:space="preserve">and </w:t>
      </w:r>
      <w:r w:rsidR="002840B2" w:rsidRPr="00EC55EA">
        <w:rPr>
          <w:rFonts w:asciiTheme="majorHAnsi" w:hAnsiTheme="majorHAnsi"/>
          <w:sz w:val="20"/>
          <w:szCs w:val="20"/>
        </w:rPr>
        <w:t xml:space="preserve">that </w:t>
      </w:r>
      <w:r w:rsidR="001D475E" w:rsidRPr="00EC55EA">
        <w:rPr>
          <w:rFonts w:asciiTheme="majorHAnsi" w:hAnsiTheme="majorHAnsi"/>
          <w:sz w:val="20"/>
          <w:szCs w:val="20"/>
        </w:rPr>
        <w:t>Mr. Bolden</w:t>
      </w:r>
      <w:r w:rsidR="002840B2" w:rsidRPr="00EC55EA">
        <w:rPr>
          <w:rFonts w:asciiTheme="majorHAnsi" w:hAnsiTheme="majorHAnsi"/>
          <w:sz w:val="20"/>
          <w:szCs w:val="20"/>
        </w:rPr>
        <w:t>,</w:t>
      </w:r>
      <w:r w:rsidR="001D475E" w:rsidRPr="00EC55EA">
        <w:rPr>
          <w:rFonts w:asciiTheme="majorHAnsi" w:hAnsiTheme="majorHAnsi"/>
          <w:sz w:val="20"/>
          <w:szCs w:val="20"/>
        </w:rPr>
        <w:t xml:space="preserve"> after some time refused this diet after the prison failed to provide meat with several meals. </w:t>
      </w:r>
    </w:p>
    <w:p w14:paraId="4CADDEB5" w14:textId="77777777" w:rsidR="00264998" w:rsidRPr="00EC55EA" w:rsidRDefault="00264998" w:rsidP="00EC55EA">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jc w:val="both"/>
        <w:rPr>
          <w:rFonts w:asciiTheme="majorHAnsi" w:hAnsiTheme="majorHAnsi"/>
          <w:sz w:val="20"/>
          <w:szCs w:val="20"/>
        </w:rPr>
      </w:pPr>
    </w:p>
    <w:p w14:paraId="4545A6B6" w14:textId="77777777" w:rsidR="006D070F" w:rsidRPr="00EC55EA" w:rsidRDefault="002840B2" w:rsidP="00EC55E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hAnsiTheme="majorHAnsi"/>
          <w:sz w:val="20"/>
          <w:szCs w:val="20"/>
        </w:rPr>
      </w:pPr>
      <w:r w:rsidRPr="00EC55EA">
        <w:rPr>
          <w:rFonts w:asciiTheme="majorHAnsi" w:hAnsiTheme="majorHAnsi"/>
          <w:sz w:val="20"/>
          <w:szCs w:val="20"/>
        </w:rPr>
        <w:t>It is argued that although t</w:t>
      </w:r>
      <w:r w:rsidR="001D475E" w:rsidRPr="00EC55EA">
        <w:rPr>
          <w:rFonts w:asciiTheme="majorHAnsi" w:hAnsiTheme="majorHAnsi"/>
          <w:sz w:val="20"/>
          <w:szCs w:val="20"/>
        </w:rPr>
        <w:t xml:space="preserve">he BOP </w:t>
      </w:r>
      <w:r w:rsidRPr="00EC55EA">
        <w:rPr>
          <w:rFonts w:asciiTheme="majorHAnsi" w:hAnsiTheme="majorHAnsi"/>
          <w:sz w:val="20"/>
          <w:szCs w:val="20"/>
        </w:rPr>
        <w:t>asserts</w:t>
      </w:r>
      <w:r w:rsidR="001D475E" w:rsidRPr="00EC55EA">
        <w:rPr>
          <w:rFonts w:asciiTheme="majorHAnsi" w:hAnsiTheme="majorHAnsi"/>
          <w:sz w:val="20"/>
          <w:szCs w:val="20"/>
        </w:rPr>
        <w:t xml:space="preserve"> that the poor glucose control is Mr. Bolden’s fa</w:t>
      </w:r>
      <w:r w:rsidRPr="00EC55EA">
        <w:rPr>
          <w:rFonts w:asciiTheme="majorHAnsi" w:hAnsiTheme="majorHAnsi"/>
          <w:sz w:val="20"/>
          <w:szCs w:val="20"/>
        </w:rPr>
        <w:t>ult because he purchases snacks,</w:t>
      </w:r>
      <w:r w:rsidR="001D475E" w:rsidRPr="00EC55EA">
        <w:rPr>
          <w:rFonts w:asciiTheme="majorHAnsi" w:hAnsiTheme="majorHAnsi"/>
          <w:sz w:val="20"/>
          <w:szCs w:val="20"/>
        </w:rPr>
        <w:t xml:space="preserve"> this is </w:t>
      </w:r>
      <w:r w:rsidR="009043CE" w:rsidRPr="00EC55EA">
        <w:rPr>
          <w:rFonts w:asciiTheme="majorHAnsi" w:hAnsiTheme="majorHAnsi"/>
          <w:sz w:val="20"/>
          <w:szCs w:val="20"/>
        </w:rPr>
        <w:t xml:space="preserve">an </w:t>
      </w:r>
      <w:r w:rsidR="001D475E" w:rsidRPr="00EC55EA">
        <w:rPr>
          <w:rFonts w:asciiTheme="majorHAnsi" w:hAnsiTheme="majorHAnsi"/>
          <w:sz w:val="20"/>
          <w:szCs w:val="20"/>
        </w:rPr>
        <w:t>integral part of his diabetes management</w:t>
      </w:r>
      <w:r w:rsidRPr="00EC55EA">
        <w:rPr>
          <w:rFonts w:asciiTheme="majorHAnsi" w:hAnsiTheme="majorHAnsi"/>
          <w:sz w:val="20"/>
          <w:szCs w:val="20"/>
        </w:rPr>
        <w:t>,</w:t>
      </w:r>
      <w:r w:rsidR="001D475E" w:rsidRPr="00EC55EA">
        <w:rPr>
          <w:rFonts w:asciiTheme="majorHAnsi" w:hAnsiTheme="majorHAnsi"/>
          <w:sz w:val="20"/>
          <w:szCs w:val="20"/>
        </w:rPr>
        <w:t xml:space="preserve"> as </w:t>
      </w:r>
      <w:r w:rsidRPr="00EC55EA">
        <w:rPr>
          <w:rFonts w:asciiTheme="majorHAnsi" w:hAnsiTheme="majorHAnsi"/>
          <w:sz w:val="20"/>
          <w:szCs w:val="20"/>
        </w:rPr>
        <w:t>the snacks</w:t>
      </w:r>
      <w:r w:rsidR="001D475E" w:rsidRPr="00EC55EA">
        <w:rPr>
          <w:rFonts w:asciiTheme="majorHAnsi" w:hAnsiTheme="majorHAnsi"/>
          <w:sz w:val="20"/>
          <w:szCs w:val="20"/>
        </w:rPr>
        <w:t xml:space="preserve"> provide something to eat if his blood sugar drops between meals. </w:t>
      </w:r>
      <w:r w:rsidR="005A1832" w:rsidRPr="00EC55EA">
        <w:rPr>
          <w:rFonts w:asciiTheme="majorHAnsi" w:hAnsiTheme="majorHAnsi"/>
          <w:sz w:val="20"/>
          <w:szCs w:val="20"/>
        </w:rPr>
        <w:t>The petition</w:t>
      </w:r>
      <w:r w:rsidR="001D475E" w:rsidRPr="00EC55EA">
        <w:rPr>
          <w:rFonts w:asciiTheme="majorHAnsi" w:hAnsiTheme="majorHAnsi"/>
          <w:sz w:val="20"/>
          <w:szCs w:val="20"/>
        </w:rPr>
        <w:t xml:space="preserve"> asserts that </w:t>
      </w:r>
      <w:r w:rsidR="005A1832" w:rsidRPr="00EC55EA">
        <w:rPr>
          <w:rFonts w:asciiTheme="majorHAnsi" w:hAnsiTheme="majorHAnsi"/>
          <w:sz w:val="20"/>
          <w:szCs w:val="20"/>
        </w:rPr>
        <w:t>Mr. Bolden</w:t>
      </w:r>
      <w:r w:rsidR="001D475E" w:rsidRPr="00EC55EA">
        <w:rPr>
          <w:rFonts w:asciiTheme="majorHAnsi" w:hAnsiTheme="majorHAnsi"/>
          <w:sz w:val="20"/>
          <w:szCs w:val="20"/>
        </w:rPr>
        <w:t xml:space="preserve"> did not see a physician from No</w:t>
      </w:r>
      <w:r w:rsidR="00034BF9" w:rsidRPr="00EC55EA">
        <w:rPr>
          <w:rFonts w:asciiTheme="majorHAnsi" w:hAnsiTheme="majorHAnsi"/>
          <w:sz w:val="20"/>
          <w:szCs w:val="20"/>
        </w:rPr>
        <w:t>vember 4, 2011 to May 15, 2012. Moreover, that in</w:t>
      </w:r>
      <w:r w:rsidR="00BB3E94" w:rsidRPr="00EC55EA">
        <w:rPr>
          <w:rFonts w:asciiTheme="majorHAnsi" w:hAnsiTheme="majorHAnsi"/>
          <w:sz w:val="20"/>
          <w:szCs w:val="20"/>
        </w:rPr>
        <w:t xml:space="preserve"> retaliation for </w:t>
      </w:r>
      <w:r w:rsidR="00CB02CB" w:rsidRPr="00EC55EA">
        <w:rPr>
          <w:rFonts w:asciiTheme="majorHAnsi" w:hAnsiTheme="majorHAnsi"/>
          <w:sz w:val="20"/>
          <w:szCs w:val="20"/>
        </w:rPr>
        <w:t xml:space="preserve">Mr. Bolden’s </w:t>
      </w:r>
      <w:r w:rsidR="00BB3E94" w:rsidRPr="00EC55EA">
        <w:rPr>
          <w:rFonts w:asciiTheme="majorHAnsi" w:hAnsiTheme="majorHAnsi"/>
          <w:sz w:val="20"/>
          <w:szCs w:val="20"/>
        </w:rPr>
        <w:t xml:space="preserve">complaints against </w:t>
      </w:r>
      <w:r w:rsidR="00034BF9" w:rsidRPr="00EC55EA">
        <w:rPr>
          <w:rFonts w:asciiTheme="majorHAnsi" w:hAnsiTheme="majorHAnsi"/>
          <w:sz w:val="20"/>
          <w:szCs w:val="20"/>
        </w:rPr>
        <w:t xml:space="preserve">the </w:t>
      </w:r>
      <w:r w:rsidR="00BB3E94" w:rsidRPr="00EC55EA">
        <w:rPr>
          <w:rFonts w:asciiTheme="majorHAnsi" w:hAnsiTheme="majorHAnsi"/>
          <w:sz w:val="20"/>
          <w:szCs w:val="20"/>
        </w:rPr>
        <w:t>prison</w:t>
      </w:r>
      <w:r w:rsidR="00034BF9" w:rsidRPr="00EC55EA">
        <w:rPr>
          <w:rFonts w:asciiTheme="majorHAnsi" w:hAnsiTheme="majorHAnsi"/>
          <w:sz w:val="20"/>
          <w:szCs w:val="20"/>
        </w:rPr>
        <w:t>,</w:t>
      </w:r>
      <w:r w:rsidR="00BB3E94" w:rsidRPr="00EC55EA">
        <w:rPr>
          <w:rFonts w:asciiTheme="majorHAnsi" w:hAnsiTheme="majorHAnsi"/>
          <w:sz w:val="20"/>
          <w:szCs w:val="20"/>
        </w:rPr>
        <w:t xml:space="preserve"> the BOP is maliciously interfering with the ability to utilize the internal admini</w:t>
      </w:r>
      <w:r w:rsidR="00034BF9" w:rsidRPr="00EC55EA">
        <w:rPr>
          <w:rFonts w:asciiTheme="majorHAnsi" w:hAnsiTheme="majorHAnsi"/>
          <w:sz w:val="20"/>
          <w:szCs w:val="20"/>
        </w:rPr>
        <w:t>strative remedy process and has</w:t>
      </w:r>
      <w:r w:rsidR="00BB3E94" w:rsidRPr="00EC55EA">
        <w:rPr>
          <w:rFonts w:asciiTheme="majorHAnsi" w:hAnsiTheme="majorHAnsi"/>
          <w:sz w:val="20"/>
          <w:szCs w:val="20"/>
        </w:rPr>
        <w:t xml:space="preserve"> begun denying administrative remedy appeals </w:t>
      </w:r>
      <w:r w:rsidR="00AE2C24" w:rsidRPr="00EC55EA">
        <w:rPr>
          <w:rFonts w:asciiTheme="majorHAnsi" w:hAnsiTheme="majorHAnsi"/>
          <w:sz w:val="20"/>
          <w:szCs w:val="20"/>
        </w:rPr>
        <w:t xml:space="preserve">to Mr. Bolden </w:t>
      </w:r>
      <w:r w:rsidR="00BB3E94" w:rsidRPr="00EC55EA">
        <w:rPr>
          <w:rFonts w:asciiTheme="majorHAnsi" w:hAnsiTheme="majorHAnsi"/>
          <w:sz w:val="20"/>
          <w:szCs w:val="20"/>
        </w:rPr>
        <w:t xml:space="preserve">on technicalities such as lack of copies when copying is within the control of BOP staff to </w:t>
      </w:r>
      <w:r w:rsidR="00395C89" w:rsidRPr="00EC55EA">
        <w:rPr>
          <w:rFonts w:asciiTheme="majorHAnsi" w:hAnsiTheme="majorHAnsi"/>
          <w:sz w:val="20"/>
          <w:szCs w:val="20"/>
        </w:rPr>
        <w:t>provide to prisoners; and refusing</w:t>
      </w:r>
      <w:r w:rsidR="00BB3E94" w:rsidRPr="00EC55EA">
        <w:rPr>
          <w:rFonts w:asciiTheme="majorHAnsi" w:hAnsiTheme="majorHAnsi"/>
          <w:sz w:val="20"/>
          <w:szCs w:val="20"/>
        </w:rPr>
        <w:t xml:space="preserve"> to provide Mr. Bolden with receipts documenting when denials were delivered for the purpose of curing procedural defects from the dates of denials. </w:t>
      </w:r>
    </w:p>
    <w:p w14:paraId="1C196F9B" w14:textId="77777777" w:rsidR="000D32CB" w:rsidRPr="00EC55EA" w:rsidRDefault="000D32CB" w:rsidP="00EC55EA">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jc w:val="both"/>
        <w:rPr>
          <w:rFonts w:asciiTheme="majorHAnsi" w:hAnsiTheme="majorHAnsi"/>
          <w:sz w:val="20"/>
          <w:szCs w:val="20"/>
        </w:rPr>
      </w:pPr>
    </w:p>
    <w:p w14:paraId="16DB5ED5" w14:textId="77777777" w:rsidR="000D32CB" w:rsidRPr="00EC55EA" w:rsidRDefault="00C6257E" w:rsidP="00EC55E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hAnsiTheme="majorHAnsi"/>
          <w:sz w:val="20"/>
          <w:szCs w:val="20"/>
        </w:rPr>
      </w:pPr>
      <w:r w:rsidRPr="00EC55EA">
        <w:rPr>
          <w:rFonts w:asciiTheme="majorHAnsi" w:hAnsiTheme="majorHAnsi"/>
          <w:sz w:val="20"/>
          <w:szCs w:val="20"/>
        </w:rPr>
        <w:t>Lastly, t</w:t>
      </w:r>
      <w:r w:rsidR="000D32CB" w:rsidRPr="00EC55EA">
        <w:rPr>
          <w:rFonts w:asciiTheme="majorHAnsi" w:hAnsiTheme="majorHAnsi"/>
          <w:sz w:val="20"/>
          <w:szCs w:val="20"/>
        </w:rPr>
        <w:t xml:space="preserve">he petitioners claim that limited access to the other </w:t>
      </w:r>
      <w:r w:rsidR="005022A2" w:rsidRPr="00EC55EA">
        <w:rPr>
          <w:rFonts w:asciiTheme="majorHAnsi" w:hAnsiTheme="majorHAnsi"/>
          <w:sz w:val="20"/>
          <w:szCs w:val="20"/>
        </w:rPr>
        <w:t>inmates</w:t>
      </w:r>
      <w:r w:rsidR="000D32CB" w:rsidRPr="00EC55EA">
        <w:rPr>
          <w:rFonts w:asciiTheme="majorHAnsi" w:hAnsiTheme="majorHAnsi"/>
          <w:sz w:val="20"/>
          <w:szCs w:val="20"/>
        </w:rPr>
        <w:t xml:space="preserve"> listed in the petition prohibits detailed discussion of the violations in respect to </w:t>
      </w:r>
      <w:r w:rsidR="005022A2" w:rsidRPr="00EC55EA">
        <w:rPr>
          <w:rFonts w:asciiTheme="majorHAnsi" w:hAnsiTheme="majorHAnsi"/>
          <w:sz w:val="20"/>
          <w:szCs w:val="20"/>
        </w:rPr>
        <w:t>them</w:t>
      </w:r>
      <w:r w:rsidR="000D32CB" w:rsidRPr="00EC55EA">
        <w:rPr>
          <w:rFonts w:asciiTheme="majorHAnsi" w:hAnsiTheme="majorHAnsi"/>
          <w:sz w:val="20"/>
          <w:szCs w:val="20"/>
        </w:rPr>
        <w:t xml:space="preserve">. </w:t>
      </w:r>
    </w:p>
    <w:p w14:paraId="78D1DCD4" w14:textId="77777777" w:rsidR="00D10FF4" w:rsidRPr="00EC55EA" w:rsidRDefault="00D10FF4" w:rsidP="00EC55E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sz w:val="20"/>
          <w:szCs w:val="20"/>
        </w:rPr>
      </w:pPr>
    </w:p>
    <w:p w14:paraId="2611ADD9" w14:textId="77777777" w:rsidR="00F516D3" w:rsidRPr="00EC55EA" w:rsidRDefault="00F516D3" w:rsidP="00EC55EA">
      <w:pPr>
        <w:pStyle w:val="Heading2"/>
        <w:numPr>
          <w:ilvl w:val="0"/>
          <w:numId w:val="57"/>
        </w:numPr>
        <w:tabs>
          <w:tab w:val="left" w:pos="360"/>
        </w:tabs>
        <w:spacing w:before="0"/>
        <w:ind w:hanging="720"/>
        <w:rPr>
          <w:color w:val="auto"/>
          <w:sz w:val="20"/>
          <w:szCs w:val="20"/>
        </w:rPr>
      </w:pPr>
      <w:bookmarkStart w:id="3" w:name="_Toc150524376"/>
      <w:r w:rsidRPr="00EC55EA">
        <w:rPr>
          <w:color w:val="auto"/>
          <w:sz w:val="20"/>
          <w:szCs w:val="20"/>
        </w:rPr>
        <w:t>State</w:t>
      </w:r>
      <w:bookmarkEnd w:id="3"/>
    </w:p>
    <w:p w14:paraId="0F4728FD" w14:textId="77777777" w:rsidR="00A238D4" w:rsidRPr="00EC55EA" w:rsidRDefault="00A238D4" w:rsidP="00EC55EA">
      <w:pPr>
        <w:rPr>
          <w:rFonts w:asciiTheme="majorHAnsi" w:hAnsiTheme="majorHAnsi"/>
          <w:sz w:val="20"/>
          <w:szCs w:val="20"/>
        </w:rPr>
      </w:pPr>
    </w:p>
    <w:p w14:paraId="37FC2C81" w14:textId="77777777" w:rsidR="00400FDE" w:rsidRPr="00EC55EA" w:rsidRDefault="00281829" w:rsidP="00EC55E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suppressAutoHyphens/>
        <w:ind w:left="0" w:firstLine="0"/>
        <w:jc w:val="both"/>
        <w:rPr>
          <w:rFonts w:asciiTheme="majorHAnsi" w:hAnsiTheme="majorHAnsi"/>
          <w:sz w:val="20"/>
          <w:szCs w:val="20"/>
        </w:rPr>
      </w:pPr>
      <w:r w:rsidRPr="00EC55EA">
        <w:rPr>
          <w:rFonts w:asciiTheme="majorHAnsi" w:hAnsiTheme="majorHAnsi"/>
          <w:sz w:val="20"/>
          <w:szCs w:val="20"/>
        </w:rPr>
        <w:t xml:space="preserve">The State </w:t>
      </w:r>
      <w:r w:rsidR="00D62108" w:rsidRPr="00EC55EA">
        <w:rPr>
          <w:rFonts w:asciiTheme="majorHAnsi" w:hAnsiTheme="majorHAnsi"/>
          <w:sz w:val="20"/>
          <w:szCs w:val="20"/>
        </w:rPr>
        <w:t>refutes the claims made by</w:t>
      </w:r>
      <w:r w:rsidRPr="00EC55EA">
        <w:rPr>
          <w:rFonts w:asciiTheme="majorHAnsi" w:hAnsiTheme="majorHAnsi"/>
          <w:sz w:val="20"/>
          <w:szCs w:val="20"/>
        </w:rPr>
        <w:t xml:space="preserve"> </w:t>
      </w:r>
      <w:r w:rsidR="00FA5FCF" w:rsidRPr="00EC55EA">
        <w:rPr>
          <w:rFonts w:asciiTheme="majorHAnsi" w:hAnsiTheme="majorHAnsi"/>
          <w:sz w:val="20"/>
          <w:szCs w:val="20"/>
        </w:rPr>
        <w:t>the petition</w:t>
      </w:r>
      <w:r w:rsidR="00D62108" w:rsidRPr="00EC55EA">
        <w:rPr>
          <w:rFonts w:asciiTheme="majorHAnsi" w:hAnsiTheme="majorHAnsi"/>
          <w:sz w:val="20"/>
          <w:szCs w:val="20"/>
        </w:rPr>
        <w:t xml:space="preserve">, specifically asserting that </w:t>
      </w:r>
      <w:r w:rsidR="00FA5FCF" w:rsidRPr="00EC55EA">
        <w:rPr>
          <w:rFonts w:asciiTheme="majorHAnsi" w:hAnsiTheme="majorHAnsi"/>
          <w:sz w:val="20"/>
          <w:szCs w:val="20"/>
        </w:rPr>
        <w:t>Mr. Kadamovas</w:t>
      </w:r>
      <w:r w:rsidR="00F55AB7" w:rsidRPr="00EC55EA">
        <w:rPr>
          <w:rFonts w:asciiTheme="majorHAnsi" w:hAnsiTheme="majorHAnsi"/>
          <w:sz w:val="20"/>
          <w:szCs w:val="20"/>
        </w:rPr>
        <w:t xml:space="preserve"> receives monthly visits from the psychologist, with no known significant history of mental health treatment or concerns, </w:t>
      </w:r>
      <w:r w:rsidR="00F55AB7" w:rsidRPr="00EC55EA">
        <w:rPr>
          <w:rFonts w:asciiTheme="majorHAnsi" w:hAnsiTheme="majorHAnsi"/>
          <w:sz w:val="20"/>
          <w:szCs w:val="20"/>
        </w:rPr>
        <w:lastRenderedPageBreak/>
        <w:t xml:space="preserve">and has </w:t>
      </w:r>
      <w:r w:rsidR="00D62108" w:rsidRPr="00EC55EA">
        <w:rPr>
          <w:rFonts w:asciiTheme="majorHAnsi" w:hAnsiTheme="majorHAnsi"/>
          <w:sz w:val="20"/>
          <w:szCs w:val="20"/>
        </w:rPr>
        <w:t xml:space="preserve">been </w:t>
      </w:r>
      <w:r w:rsidR="00F55AB7" w:rsidRPr="00EC55EA">
        <w:rPr>
          <w:rFonts w:asciiTheme="majorHAnsi" w:hAnsiTheme="majorHAnsi"/>
          <w:sz w:val="20"/>
          <w:szCs w:val="20"/>
        </w:rPr>
        <w:t>presented as relatively stable.</w:t>
      </w:r>
      <w:r w:rsidR="00D62108" w:rsidRPr="00EC55EA">
        <w:rPr>
          <w:rFonts w:asciiTheme="majorHAnsi" w:hAnsiTheme="majorHAnsi"/>
          <w:sz w:val="20"/>
          <w:szCs w:val="20"/>
        </w:rPr>
        <w:t xml:space="preserve"> It</w:t>
      </w:r>
      <w:r w:rsidR="00FA5FCF" w:rsidRPr="00EC55EA">
        <w:rPr>
          <w:rFonts w:asciiTheme="majorHAnsi" w:hAnsiTheme="majorHAnsi"/>
          <w:sz w:val="20"/>
          <w:szCs w:val="20"/>
        </w:rPr>
        <w:t xml:space="preserve"> is also asserted</w:t>
      </w:r>
      <w:r w:rsidR="00D62108" w:rsidRPr="00EC55EA">
        <w:rPr>
          <w:rFonts w:asciiTheme="majorHAnsi" w:hAnsiTheme="majorHAnsi"/>
          <w:sz w:val="20"/>
          <w:szCs w:val="20"/>
        </w:rPr>
        <w:t xml:space="preserve"> that Mr. Kadamovas also</w:t>
      </w:r>
      <w:r w:rsidR="00F55AB7" w:rsidRPr="00EC55EA">
        <w:rPr>
          <w:rFonts w:asciiTheme="majorHAnsi" w:hAnsiTheme="majorHAnsi"/>
          <w:sz w:val="20"/>
          <w:szCs w:val="20"/>
        </w:rPr>
        <w:t xml:space="preserve"> receives additional psychological visits from the BOP psychologist upon request or referral by staff.  </w:t>
      </w:r>
    </w:p>
    <w:p w14:paraId="60442C59" w14:textId="77777777" w:rsidR="00D62108" w:rsidRPr="00EC55EA" w:rsidRDefault="00D62108" w:rsidP="00EC55EA">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suppressAutoHyphens/>
        <w:jc w:val="both"/>
        <w:rPr>
          <w:rFonts w:asciiTheme="majorHAnsi" w:hAnsiTheme="majorHAnsi"/>
          <w:sz w:val="20"/>
          <w:szCs w:val="20"/>
        </w:rPr>
      </w:pPr>
    </w:p>
    <w:p w14:paraId="32664A38" w14:textId="77777777" w:rsidR="0014320C" w:rsidRPr="00EC55EA" w:rsidRDefault="00D62108" w:rsidP="00EC55E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suppressAutoHyphens/>
        <w:ind w:left="0" w:firstLine="0"/>
        <w:jc w:val="both"/>
        <w:rPr>
          <w:rFonts w:asciiTheme="majorHAnsi" w:hAnsiTheme="majorHAnsi"/>
          <w:sz w:val="20"/>
          <w:szCs w:val="20"/>
        </w:rPr>
      </w:pPr>
      <w:r w:rsidRPr="00EC55EA">
        <w:rPr>
          <w:rFonts w:asciiTheme="majorHAnsi" w:hAnsiTheme="majorHAnsi"/>
          <w:sz w:val="20"/>
          <w:szCs w:val="20"/>
        </w:rPr>
        <w:t xml:space="preserve">With regard to Mr. Bolden, the State </w:t>
      </w:r>
      <w:r w:rsidR="00FA5FCF" w:rsidRPr="00EC55EA">
        <w:rPr>
          <w:rFonts w:asciiTheme="majorHAnsi" w:hAnsiTheme="majorHAnsi"/>
          <w:sz w:val="20"/>
          <w:szCs w:val="20"/>
        </w:rPr>
        <w:t xml:space="preserve">asserts that </w:t>
      </w:r>
      <w:r w:rsidRPr="00EC55EA">
        <w:rPr>
          <w:rFonts w:asciiTheme="majorHAnsi" w:hAnsiTheme="majorHAnsi"/>
          <w:sz w:val="20"/>
          <w:szCs w:val="20"/>
        </w:rPr>
        <w:t xml:space="preserve">he has received extensive care for his diabetic condition, further that his recent checks reveal good control of his diabetes. </w:t>
      </w:r>
      <w:r w:rsidR="00FA5FCF" w:rsidRPr="00EC55EA">
        <w:rPr>
          <w:rFonts w:asciiTheme="majorHAnsi" w:hAnsiTheme="majorHAnsi"/>
          <w:sz w:val="20"/>
          <w:szCs w:val="20"/>
        </w:rPr>
        <w:t>Additionally</w:t>
      </w:r>
      <w:r w:rsidRPr="00EC55EA">
        <w:rPr>
          <w:rFonts w:asciiTheme="majorHAnsi" w:hAnsiTheme="majorHAnsi"/>
          <w:sz w:val="20"/>
          <w:szCs w:val="20"/>
        </w:rPr>
        <w:t>, that he is approved to receive a diabetic diet, but has chosen not to partici</w:t>
      </w:r>
      <w:r w:rsidR="00CB02CB" w:rsidRPr="00EC55EA">
        <w:rPr>
          <w:rFonts w:asciiTheme="majorHAnsi" w:hAnsiTheme="majorHAnsi"/>
          <w:sz w:val="20"/>
          <w:szCs w:val="20"/>
        </w:rPr>
        <w:t>pate. The State explains that Mr. Bolden</w:t>
      </w:r>
      <w:r w:rsidRPr="00EC55EA">
        <w:rPr>
          <w:rFonts w:asciiTheme="majorHAnsi" w:hAnsiTheme="majorHAnsi"/>
          <w:sz w:val="20"/>
          <w:szCs w:val="20"/>
        </w:rPr>
        <w:t xml:space="preserve"> had not always complied with diet recommendations and has had</w:t>
      </w:r>
      <w:r w:rsidR="00FA5FCF" w:rsidRPr="00EC55EA">
        <w:rPr>
          <w:rFonts w:asciiTheme="majorHAnsi" w:hAnsiTheme="majorHAnsi"/>
          <w:sz w:val="20"/>
          <w:szCs w:val="20"/>
        </w:rPr>
        <w:t xml:space="preserve"> occurrences of low blood sugar.</w:t>
      </w:r>
      <w:r w:rsidRPr="00EC55EA">
        <w:rPr>
          <w:rFonts w:asciiTheme="majorHAnsi" w:hAnsiTheme="majorHAnsi"/>
          <w:sz w:val="20"/>
          <w:szCs w:val="20"/>
        </w:rPr>
        <w:t xml:space="preserve"> </w:t>
      </w:r>
      <w:r w:rsidR="00FA5FCF" w:rsidRPr="00EC55EA">
        <w:rPr>
          <w:rFonts w:asciiTheme="majorHAnsi" w:hAnsiTheme="majorHAnsi"/>
          <w:sz w:val="20"/>
          <w:szCs w:val="20"/>
        </w:rPr>
        <w:t>The State asserts</w:t>
      </w:r>
      <w:r w:rsidRPr="00EC55EA">
        <w:rPr>
          <w:rFonts w:asciiTheme="majorHAnsi" w:hAnsiTheme="majorHAnsi"/>
          <w:sz w:val="20"/>
          <w:szCs w:val="20"/>
        </w:rPr>
        <w:t xml:space="preserve"> that </w:t>
      </w:r>
      <w:r w:rsidR="00FA5FCF" w:rsidRPr="00EC55EA">
        <w:rPr>
          <w:rFonts w:asciiTheme="majorHAnsi" w:hAnsiTheme="majorHAnsi"/>
          <w:sz w:val="20"/>
          <w:szCs w:val="20"/>
        </w:rPr>
        <w:t>staff monitor</w:t>
      </w:r>
      <w:r w:rsidRPr="00EC55EA">
        <w:rPr>
          <w:rFonts w:asciiTheme="majorHAnsi" w:hAnsiTheme="majorHAnsi"/>
          <w:sz w:val="20"/>
          <w:szCs w:val="20"/>
        </w:rPr>
        <w:t xml:space="preserve"> his condition and remain available to assist him </w:t>
      </w:r>
      <w:r w:rsidR="00FA5FCF" w:rsidRPr="00EC55EA">
        <w:rPr>
          <w:rFonts w:asciiTheme="majorHAnsi" w:hAnsiTheme="majorHAnsi"/>
          <w:sz w:val="20"/>
          <w:szCs w:val="20"/>
        </w:rPr>
        <w:t>in</w:t>
      </w:r>
      <w:r w:rsidRPr="00EC55EA">
        <w:rPr>
          <w:rFonts w:asciiTheme="majorHAnsi" w:hAnsiTheme="majorHAnsi"/>
          <w:sz w:val="20"/>
          <w:szCs w:val="20"/>
        </w:rPr>
        <w:t xml:space="preserve"> </w:t>
      </w:r>
      <w:r w:rsidR="00F352AF" w:rsidRPr="00EC55EA">
        <w:rPr>
          <w:rFonts w:asciiTheme="majorHAnsi" w:hAnsiTheme="majorHAnsi"/>
          <w:sz w:val="20"/>
          <w:szCs w:val="20"/>
        </w:rPr>
        <w:t>controlling</w:t>
      </w:r>
      <w:r w:rsidRPr="00EC55EA">
        <w:rPr>
          <w:rFonts w:asciiTheme="majorHAnsi" w:hAnsiTheme="majorHAnsi"/>
          <w:sz w:val="20"/>
          <w:szCs w:val="20"/>
        </w:rPr>
        <w:t xml:space="preserve"> his blood sugar</w:t>
      </w:r>
      <w:r w:rsidR="00FA5FCF" w:rsidRPr="00EC55EA">
        <w:rPr>
          <w:rFonts w:asciiTheme="majorHAnsi" w:hAnsiTheme="majorHAnsi"/>
          <w:sz w:val="20"/>
          <w:szCs w:val="20"/>
        </w:rPr>
        <w:t xml:space="preserve"> better</w:t>
      </w:r>
      <w:r w:rsidRPr="00EC55EA">
        <w:rPr>
          <w:rFonts w:asciiTheme="majorHAnsi" w:hAnsiTheme="majorHAnsi"/>
          <w:sz w:val="20"/>
          <w:szCs w:val="20"/>
        </w:rPr>
        <w:t xml:space="preserve">. </w:t>
      </w:r>
      <w:r w:rsidR="00390045" w:rsidRPr="00EC55EA">
        <w:rPr>
          <w:rFonts w:asciiTheme="majorHAnsi" w:hAnsiTheme="majorHAnsi"/>
          <w:sz w:val="20"/>
          <w:szCs w:val="20"/>
        </w:rPr>
        <w:t>Moreover,</w:t>
      </w:r>
      <w:r w:rsidRPr="00EC55EA">
        <w:rPr>
          <w:rFonts w:asciiTheme="majorHAnsi" w:hAnsiTheme="majorHAnsi"/>
          <w:sz w:val="20"/>
          <w:szCs w:val="20"/>
        </w:rPr>
        <w:t xml:space="preserve"> that Mr. Bolden receives at minimum, quarterly consultations with a ph</w:t>
      </w:r>
      <w:r w:rsidR="00390045" w:rsidRPr="00EC55EA">
        <w:rPr>
          <w:rFonts w:asciiTheme="majorHAnsi" w:hAnsiTheme="majorHAnsi"/>
          <w:sz w:val="20"/>
          <w:szCs w:val="20"/>
        </w:rPr>
        <w:t>ysician at a Chronic Clinic; and that</w:t>
      </w:r>
      <w:r w:rsidRPr="00EC55EA">
        <w:rPr>
          <w:rFonts w:asciiTheme="majorHAnsi" w:hAnsiTheme="majorHAnsi"/>
          <w:sz w:val="20"/>
          <w:szCs w:val="20"/>
        </w:rPr>
        <w:t xml:space="preserve"> a nurse visits his h</w:t>
      </w:r>
      <w:r w:rsidR="00390045" w:rsidRPr="00EC55EA">
        <w:rPr>
          <w:rFonts w:asciiTheme="majorHAnsi" w:hAnsiTheme="majorHAnsi"/>
          <w:sz w:val="20"/>
          <w:szCs w:val="20"/>
        </w:rPr>
        <w:t xml:space="preserve">ousing unit daily for rounds, to distribute medications, to </w:t>
      </w:r>
      <w:r w:rsidRPr="00EC55EA">
        <w:rPr>
          <w:rFonts w:asciiTheme="majorHAnsi" w:hAnsiTheme="majorHAnsi"/>
          <w:sz w:val="20"/>
          <w:szCs w:val="20"/>
        </w:rPr>
        <w:t>make any medical concerns known</w:t>
      </w:r>
      <w:r w:rsidR="00390045" w:rsidRPr="00EC55EA">
        <w:rPr>
          <w:rFonts w:asciiTheme="majorHAnsi" w:hAnsiTheme="majorHAnsi"/>
          <w:sz w:val="20"/>
          <w:szCs w:val="20"/>
        </w:rPr>
        <w:t xml:space="preserve"> to physicians</w:t>
      </w:r>
      <w:r w:rsidRPr="00EC55EA">
        <w:rPr>
          <w:rFonts w:asciiTheme="majorHAnsi" w:hAnsiTheme="majorHAnsi"/>
          <w:sz w:val="20"/>
          <w:szCs w:val="20"/>
        </w:rPr>
        <w:t>, and request a visit with either the phys</w:t>
      </w:r>
      <w:r w:rsidR="00390045" w:rsidRPr="00EC55EA">
        <w:rPr>
          <w:rFonts w:asciiTheme="majorHAnsi" w:hAnsiTheme="majorHAnsi"/>
          <w:sz w:val="20"/>
          <w:szCs w:val="20"/>
        </w:rPr>
        <w:t>ician or Mid-level professional.</w:t>
      </w:r>
    </w:p>
    <w:p w14:paraId="193A11CD" w14:textId="77777777" w:rsidR="0014320C" w:rsidRPr="00EC55EA" w:rsidRDefault="0014320C" w:rsidP="00EC55EA">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suppressAutoHyphens/>
        <w:jc w:val="both"/>
        <w:rPr>
          <w:rFonts w:asciiTheme="majorHAnsi" w:hAnsiTheme="majorHAnsi"/>
          <w:sz w:val="20"/>
          <w:szCs w:val="20"/>
        </w:rPr>
      </w:pPr>
    </w:p>
    <w:p w14:paraId="63C99593" w14:textId="77777777" w:rsidR="00D62108" w:rsidRPr="00EC55EA" w:rsidRDefault="0014320C" w:rsidP="00EC55E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textAlignment w:val="baseline"/>
        <w:rPr>
          <w:rFonts w:asciiTheme="majorHAnsi" w:hAnsiTheme="majorHAnsi"/>
          <w:sz w:val="20"/>
          <w:szCs w:val="20"/>
        </w:rPr>
      </w:pPr>
      <w:r w:rsidRPr="00EC55EA">
        <w:rPr>
          <w:rFonts w:asciiTheme="majorHAnsi" w:hAnsiTheme="majorHAnsi"/>
          <w:sz w:val="20"/>
          <w:szCs w:val="20"/>
        </w:rPr>
        <w:t xml:space="preserve">The State emphasizes that claims concerning consular notification do not raise a violation of a human right enshrined in any international instrument to which the state is a party or has endorsed and claims that Article 20 of the Commission’s statute and Articles 23 and 27 of the rules preclude their consideration by the Commission. </w:t>
      </w:r>
    </w:p>
    <w:p w14:paraId="477C19C5" w14:textId="77777777" w:rsidR="00D62108" w:rsidRPr="00EC55EA" w:rsidRDefault="00D62108" w:rsidP="00EC55EA">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suppressAutoHyphens/>
        <w:jc w:val="both"/>
        <w:rPr>
          <w:rFonts w:asciiTheme="majorHAnsi" w:hAnsiTheme="majorHAnsi"/>
          <w:sz w:val="20"/>
          <w:szCs w:val="20"/>
        </w:rPr>
      </w:pPr>
    </w:p>
    <w:p w14:paraId="7EF56D95" w14:textId="210C4D8B" w:rsidR="00E67E23" w:rsidRPr="00EC55EA" w:rsidRDefault="00D62108" w:rsidP="00EC55E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suppressAutoHyphens/>
        <w:ind w:left="0" w:firstLine="0"/>
        <w:jc w:val="both"/>
        <w:rPr>
          <w:rFonts w:asciiTheme="majorHAnsi" w:hAnsiTheme="majorHAnsi"/>
          <w:sz w:val="20"/>
          <w:szCs w:val="20"/>
        </w:rPr>
      </w:pPr>
      <w:r w:rsidRPr="00EC55EA">
        <w:rPr>
          <w:rFonts w:asciiTheme="majorHAnsi" w:hAnsiTheme="majorHAnsi"/>
          <w:sz w:val="20"/>
          <w:szCs w:val="20"/>
        </w:rPr>
        <w:t>The United States claims that the matter is inadmissible under Articles 28, 31, and 34 of the Rules of Procedure.</w:t>
      </w:r>
      <w:r w:rsidR="00CB02CB" w:rsidRPr="00EC55EA">
        <w:rPr>
          <w:rFonts w:asciiTheme="majorHAnsi" w:hAnsiTheme="majorHAnsi"/>
          <w:sz w:val="20"/>
          <w:szCs w:val="20"/>
        </w:rPr>
        <w:t xml:space="preserve"> </w:t>
      </w:r>
      <w:r w:rsidRPr="00EC55EA">
        <w:rPr>
          <w:rFonts w:asciiTheme="majorHAnsi" w:hAnsiTheme="majorHAnsi"/>
          <w:sz w:val="20"/>
          <w:szCs w:val="20"/>
        </w:rPr>
        <w:t xml:space="preserve">The State </w:t>
      </w:r>
      <w:r w:rsidR="00D443A5" w:rsidRPr="00EC55EA">
        <w:rPr>
          <w:rFonts w:asciiTheme="majorHAnsi" w:hAnsiTheme="majorHAnsi"/>
          <w:sz w:val="20"/>
          <w:szCs w:val="20"/>
        </w:rPr>
        <w:t>argues</w:t>
      </w:r>
      <w:r w:rsidRPr="00EC55EA">
        <w:rPr>
          <w:rFonts w:asciiTheme="majorHAnsi" w:hAnsiTheme="majorHAnsi"/>
          <w:sz w:val="20"/>
          <w:szCs w:val="20"/>
        </w:rPr>
        <w:t>that if the</w:t>
      </w:r>
      <w:r w:rsidR="007707B4" w:rsidRPr="00EC55EA">
        <w:rPr>
          <w:rFonts w:asciiTheme="majorHAnsi" w:hAnsiTheme="majorHAnsi"/>
          <w:sz w:val="20"/>
          <w:szCs w:val="20"/>
        </w:rPr>
        <w:t xml:space="preserve"> claims within the petition</w:t>
      </w:r>
      <w:r w:rsidR="00E67E23" w:rsidRPr="00EC55EA">
        <w:rPr>
          <w:rFonts w:asciiTheme="majorHAnsi" w:hAnsiTheme="majorHAnsi"/>
          <w:sz w:val="20"/>
          <w:szCs w:val="20"/>
        </w:rPr>
        <w:t xml:space="preserve"> are to be considered, they should be dismissed for failing to meet the threshold under Article 28 and if they meet the threshold</w:t>
      </w:r>
      <w:r w:rsidR="007707B4" w:rsidRPr="00EC55EA">
        <w:rPr>
          <w:rFonts w:asciiTheme="majorHAnsi" w:hAnsiTheme="majorHAnsi"/>
          <w:sz w:val="20"/>
          <w:szCs w:val="20"/>
        </w:rPr>
        <w:t>, that they</w:t>
      </w:r>
      <w:r w:rsidR="00E67E23" w:rsidRPr="00EC55EA">
        <w:rPr>
          <w:rFonts w:asciiTheme="majorHAnsi" w:hAnsiTheme="majorHAnsi"/>
          <w:sz w:val="20"/>
          <w:szCs w:val="20"/>
        </w:rPr>
        <w:t xml:space="preserve"> are inadmissible under Article 34(a) for failing to state facts that tend to establish a violation of the American </w:t>
      </w:r>
      <w:r w:rsidR="007707B4" w:rsidRPr="00EC55EA">
        <w:rPr>
          <w:rFonts w:asciiTheme="majorHAnsi" w:hAnsiTheme="majorHAnsi"/>
          <w:sz w:val="20"/>
          <w:szCs w:val="20"/>
        </w:rPr>
        <w:t>Declaration</w:t>
      </w:r>
      <w:r w:rsidR="00E67E23" w:rsidRPr="00EC55EA">
        <w:rPr>
          <w:rFonts w:asciiTheme="majorHAnsi" w:hAnsiTheme="majorHAnsi"/>
          <w:sz w:val="20"/>
          <w:szCs w:val="20"/>
        </w:rPr>
        <w:t>. Further that the petition is inadmissible under the exhaustion of domestic remedies requirement in Article 31</w:t>
      </w:r>
      <w:r w:rsidR="007707B4" w:rsidRPr="00EC55EA">
        <w:rPr>
          <w:rFonts w:asciiTheme="majorHAnsi" w:hAnsiTheme="majorHAnsi"/>
          <w:sz w:val="20"/>
          <w:szCs w:val="20"/>
        </w:rPr>
        <w:t>,</w:t>
      </w:r>
      <w:r w:rsidR="00E67E23" w:rsidRPr="00EC55EA">
        <w:rPr>
          <w:rFonts w:asciiTheme="majorHAnsi" w:hAnsiTheme="majorHAnsi"/>
          <w:sz w:val="20"/>
          <w:szCs w:val="20"/>
        </w:rPr>
        <w:t xml:space="preserve"> as Mr. Kadamovas ‘s appeal from his criminal conviction is pending in the U</w:t>
      </w:r>
      <w:r w:rsidR="003F0EFF" w:rsidRPr="00EC55EA">
        <w:rPr>
          <w:rFonts w:asciiTheme="majorHAnsi" w:hAnsiTheme="majorHAnsi"/>
          <w:sz w:val="20"/>
          <w:szCs w:val="20"/>
        </w:rPr>
        <w:t xml:space="preserve">nited </w:t>
      </w:r>
      <w:r w:rsidR="00E67E23" w:rsidRPr="00EC55EA">
        <w:rPr>
          <w:rFonts w:asciiTheme="majorHAnsi" w:hAnsiTheme="majorHAnsi"/>
          <w:sz w:val="20"/>
          <w:szCs w:val="20"/>
        </w:rPr>
        <w:t>S</w:t>
      </w:r>
      <w:r w:rsidR="003F0EFF" w:rsidRPr="00EC55EA">
        <w:rPr>
          <w:rFonts w:asciiTheme="majorHAnsi" w:hAnsiTheme="majorHAnsi"/>
          <w:sz w:val="20"/>
          <w:szCs w:val="20"/>
        </w:rPr>
        <w:t>tates</w:t>
      </w:r>
      <w:r w:rsidR="00E67E23" w:rsidRPr="00EC55EA">
        <w:rPr>
          <w:rFonts w:asciiTheme="majorHAnsi" w:hAnsiTheme="majorHAnsi"/>
          <w:sz w:val="20"/>
          <w:szCs w:val="20"/>
        </w:rPr>
        <w:t xml:space="preserve"> C</w:t>
      </w:r>
      <w:r w:rsidR="003F0EFF" w:rsidRPr="00EC55EA">
        <w:rPr>
          <w:rFonts w:asciiTheme="majorHAnsi" w:hAnsiTheme="majorHAnsi"/>
          <w:sz w:val="20"/>
          <w:szCs w:val="20"/>
        </w:rPr>
        <w:t xml:space="preserve">ourt of </w:t>
      </w:r>
      <w:r w:rsidR="00E67E23" w:rsidRPr="00EC55EA">
        <w:rPr>
          <w:rFonts w:asciiTheme="majorHAnsi" w:hAnsiTheme="majorHAnsi"/>
          <w:sz w:val="20"/>
          <w:szCs w:val="20"/>
        </w:rPr>
        <w:t>A</w:t>
      </w:r>
      <w:r w:rsidR="003F0EFF" w:rsidRPr="00EC55EA">
        <w:rPr>
          <w:rFonts w:asciiTheme="majorHAnsi" w:hAnsiTheme="majorHAnsi"/>
          <w:sz w:val="20"/>
          <w:szCs w:val="20"/>
        </w:rPr>
        <w:t>ppeal</w:t>
      </w:r>
      <w:r w:rsidR="00E67E23" w:rsidRPr="00EC55EA">
        <w:rPr>
          <w:rFonts w:asciiTheme="majorHAnsi" w:hAnsiTheme="majorHAnsi"/>
          <w:sz w:val="20"/>
          <w:szCs w:val="20"/>
        </w:rPr>
        <w:t xml:space="preserve"> for the ninth circuit and he had two pending civil claims </w:t>
      </w:r>
      <w:r w:rsidR="00BA4BCF" w:rsidRPr="00EC55EA">
        <w:rPr>
          <w:rFonts w:asciiTheme="majorHAnsi" w:hAnsiTheme="majorHAnsi"/>
          <w:sz w:val="20"/>
          <w:szCs w:val="20"/>
        </w:rPr>
        <w:t>related</w:t>
      </w:r>
      <w:r w:rsidR="00E67E23" w:rsidRPr="00EC55EA">
        <w:rPr>
          <w:rFonts w:asciiTheme="majorHAnsi" w:hAnsiTheme="majorHAnsi"/>
          <w:sz w:val="20"/>
          <w:szCs w:val="20"/>
        </w:rPr>
        <w:t xml:space="preserve"> to prison conditions before the U.S. District court for the southern district of Indiana. </w:t>
      </w:r>
    </w:p>
    <w:p w14:paraId="2879F739" w14:textId="77777777" w:rsidR="00E06730" w:rsidRPr="00EC55EA" w:rsidRDefault="00E06730" w:rsidP="00EC55EA">
      <w:pPr>
        <w:rPr>
          <w:rFonts w:asciiTheme="majorHAnsi" w:hAnsiTheme="majorHAnsi"/>
          <w:sz w:val="20"/>
          <w:szCs w:val="20"/>
        </w:rPr>
      </w:pPr>
    </w:p>
    <w:p w14:paraId="6A0E168D" w14:textId="77777777" w:rsidR="002152E5" w:rsidRPr="00EC55EA" w:rsidRDefault="00BA4BCF" w:rsidP="00EC55E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textAlignment w:val="baseline"/>
        <w:rPr>
          <w:rFonts w:asciiTheme="majorHAnsi" w:hAnsiTheme="majorHAnsi"/>
          <w:sz w:val="20"/>
          <w:szCs w:val="20"/>
        </w:rPr>
      </w:pPr>
      <w:r w:rsidRPr="00EC55EA">
        <w:rPr>
          <w:rFonts w:asciiTheme="majorHAnsi" w:hAnsiTheme="majorHAnsi"/>
          <w:sz w:val="20"/>
          <w:szCs w:val="20"/>
        </w:rPr>
        <w:t>The State simil</w:t>
      </w:r>
      <w:r w:rsidR="002152E5" w:rsidRPr="00EC55EA">
        <w:rPr>
          <w:rFonts w:asciiTheme="majorHAnsi" w:hAnsiTheme="majorHAnsi"/>
          <w:sz w:val="20"/>
          <w:szCs w:val="20"/>
        </w:rPr>
        <w:t>arly asserts that Mr. Bolden has</w:t>
      </w:r>
      <w:r w:rsidRPr="00EC55EA">
        <w:rPr>
          <w:rFonts w:asciiTheme="majorHAnsi" w:hAnsiTheme="majorHAnsi"/>
          <w:sz w:val="20"/>
          <w:szCs w:val="20"/>
        </w:rPr>
        <w:t xml:space="preserve"> failed</w:t>
      </w:r>
      <w:r w:rsidR="00E06730" w:rsidRPr="00EC55EA">
        <w:rPr>
          <w:rFonts w:asciiTheme="majorHAnsi" w:hAnsiTheme="majorHAnsi"/>
          <w:sz w:val="20"/>
          <w:szCs w:val="20"/>
        </w:rPr>
        <w:t xml:space="preserve"> to demonstrate the admissibility of his claims. </w:t>
      </w:r>
      <w:r w:rsidR="00B849A5" w:rsidRPr="00EC55EA">
        <w:rPr>
          <w:rFonts w:asciiTheme="majorHAnsi" w:hAnsiTheme="majorHAnsi"/>
          <w:sz w:val="20"/>
          <w:szCs w:val="20"/>
        </w:rPr>
        <w:t xml:space="preserve">Specifically, the State explains </w:t>
      </w:r>
      <w:r w:rsidR="002152E5" w:rsidRPr="00EC55EA">
        <w:rPr>
          <w:rFonts w:asciiTheme="majorHAnsi" w:hAnsiTheme="majorHAnsi"/>
          <w:sz w:val="20"/>
          <w:szCs w:val="20"/>
        </w:rPr>
        <w:t>that, at the time of the petition, Mr. Bolden had</w:t>
      </w:r>
      <w:r w:rsidR="00FF3563" w:rsidRPr="00EC55EA">
        <w:rPr>
          <w:rFonts w:asciiTheme="majorHAnsi" w:hAnsiTheme="majorHAnsi"/>
          <w:sz w:val="20"/>
          <w:szCs w:val="20"/>
        </w:rPr>
        <w:t xml:space="preserve"> filed numerous civil lawsuits related to allegations of inadequate medical care and nutrition, inadequate access to the law library, computer services and to legal services; </w:t>
      </w:r>
      <w:r w:rsidR="002152E5" w:rsidRPr="00EC55EA">
        <w:rPr>
          <w:rFonts w:asciiTheme="majorHAnsi" w:hAnsiTheme="majorHAnsi"/>
          <w:sz w:val="20"/>
          <w:szCs w:val="20"/>
        </w:rPr>
        <w:t>and that he continued</w:t>
      </w:r>
      <w:r w:rsidR="00FF3563" w:rsidRPr="00EC55EA">
        <w:rPr>
          <w:rFonts w:asciiTheme="majorHAnsi" w:hAnsiTheme="majorHAnsi"/>
          <w:sz w:val="20"/>
          <w:szCs w:val="20"/>
        </w:rPr>
        <w:t xml:space="preserve"> to litigate at least one of the lawsuits in the District Court for the Southern District of Indiana, alleging the </w:t>
      </w:r>
      <w:r w:rsidR="002152E5" w:rsidRPr="00EC55EA">
        <w:rPr>
          <w:rFonts w:asciiTheme="majorHAnsi" w:hAnsiTheme="majorHAnsi"/>
          <w:sz w:val="20"/>
          <w:szCs w:val="20"/>
        </w:rPr>
        <w:t>BOP had</w:t>
      </w:r>
      <w:r w:rsidR="00FF3563" w:rsidRPr="00EC55EA">
        <w:rPr>
          <w:rFonts w:asciiTheme="majorHAnsi" w:hAnsiTheme="majorHAnsi"/>
          <w:sz w:val="20"/>
          <w:szCs w:val="20"/>
        </w:rPr>
        <w:t xml:space="preserve"> denied him medical treatment required under the constitution. Given that </w:t>
      </w:r>
      <w:r w:rsidR="002152E5" w:rsidRPr="00EC55EA">
        <w:rPr>
          <w:rFonts w:asciiTheme="majorHAnsi" w:hAnsiTheme="majorHAnsi"/>
          <w:sz w:val="20"/>
          <w:szCs w:val="20"/>
        </w:rPr>
        <w:t xml:space="preserve">Mr. Bolden </w:t>
      </w:r>
      <w:r w:rsidR="00FF3563" w:rsidRPr="00EC55EA">
        <w:rPr>
          <w:rFonts w:asciiTheme="majorHAnsi" w:hAnsiTheme="majorHAnsi"/>
          <w:sz w:val="20"/>
          <w:szCs w:val="20"/>
        </w:rPr>
        <w:t xml:space="preserve">continues to exhaust remedies and because additional domestic remedies remain available for him to pursue, the state alleges that he has not fulfilled Article 31 of the procedure rules. </w:t>
      </w:r>
    </w:p>
    <w:p w14:paraId="39841F0D" w14:textId="77777777" w:rsidR="002A6EAD" w:rsidRPr="00EC55EA" w:rsidRDefault="002A6EAD" w:rsidP="00EC55EA">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jc w:val="both"/>
        <w:textAlignment w:val="baseline"/>
        <w:rPr>
          <w:rFonts w:asciiTheme="majorHAnsi" w:hAnsiTheme="majorHAnsi"/>
          <w:sz w:val="20"/>
          <w:szCs w:val="20"/>
        </w:rPr>
      </w:pPr>
    </w:p>
    <w:p w14:paraId="1CA80AEB" w14:textId="77777777" w:rsidR="00BA64E3" w:rsidRPr="00EC55EA" w:rsidRDefault="002A6EAD" w:rsidP="00EC55E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suppressAutoHyphens/>
        <w:ind w:left="0" w:firstLine="0"/>
        <w:jc w:val="both"/>
        <w:textAlignment w:val="baseline"/>
        <w:rPr>
          <w:rFonts w:asciiTheme="majorHAnsi" w:hAnsiTheme="majorHAnsi"/>
          <w:sz w:val="20"/>
          <w:szCs w:val="20"/>
        </w:rPr>
      </w:pPr>
      <w:r w:rsidRPr="00EC55EA">
        <w:rPr>
          <w:rFonts w:asciiTheme="majorHAnsi" w:hAnsiTheme="majorHAnsi"/>
          <w:sz w:val="20"/>
          <w:szCs w:val="20"/>
        </w:rPr>
        <w:t xml:space="preserve">With regards to </w:t>
      </w:r>
      <w:r w:rsidR="00673523" w:rsidRPr="00EC55EA">
        <w:rPr>
          <w:rFonts w:asciiTheme="majorHAnsi" w:hAnsiTheme="majorHAnsi"/>
          <w:sz w:val="20"/>
          <w:szCs w:val="20"/>
        </w:rPr>
        <w:t>the alleged victims of Mr.</w:t>
      </w:r>
      <w:r w:rsidR="00F352AF" w:rsidRPr="00EC55EA">
        <w:rPr>
          <w:rFonts w:asciiTheme="majorHAnsi" w:hAnsiTheme="majorHAnsi"/>
          <w:sz w:val="20"/>
          <w:szCs w:val="20"/>
        </w:rPr>
        <w:t xml:space="preserve"> Si</w:t>
      </w:r>
      <w:r w:rsidRPr="00EC55EA">
        <w:rPr>
          <w:rFonts w:asciiTheme="majorHAnsi" w:hAnsiTheme="majorHAnsi"/>
          <w:sz w:val="20"/>
          <w:szCs w:val="20"/>
        </w:rPr>
        <w:t>nister</w:t>
      </w:r>
      <w:r w:rsidR="008D7623" w:rsidRPr="00EC55EA">
        <w:rPr>
          <w:rFonts w:asciiTheme="majorHAnsi" w:hAnsiTheme="majorHAnsi"/>
          <w:sz w:val="20"/>
          <w:szCs w:val="20"/>
        </w:rPr>
        <w:t>r</w:t>
      </w:r>
      <w:r w:rsidRPr="00EC55EA">
        <w:rPr>
          <w:rFonts w:asciiTheme="majorHAnsi" w:hAnsiTheme="majorHAnsi"/>
          <w:sz w:val="20"/>
          <w:szCs w:val="20"/>
        </w:rPr>
        <w:t xml:space="preserve">a, </w:t>
      </w:r>
      <w:r w:rsidR="00673523" w:rsidRPr="00EC55EA">
        <w:rPr>
          <w:rFonts w:asciiTheme="majorHAnsi" w:hAnsiTheme="majorHAnsi"/>
          <w:sz w:val="20"/>
          <w:szCs w:val="20"/>
        </w:rPr>
        <w:t xml:space="preserve">Mr. </w:t>
      </w:r>
      <w:r w:rsidRPr="00EC55EA">
        <w:rPr>
          <w:rFonts w:asciiTheme="majorHAnsi" w:hAnsiTheme="majorHAnsi"/>
          <w:sz w:val="20"/>
          <w:szCs w:val="20"/>
        </w:rPr>
        <w:t xml:space="preserve">Ortiz, </w:t>
      </w:r>
      <w:r w:rsidR="00673523" w:rsidRPr="00EC55EA">
        <w:rPr>
          <w:rFonts w:asciiTheme="majorHAnsi" w:hAnsiTheme="majorHAnsi"/>
          <w:sz w:val="20"/>
          <w:szCs w:val="20"/>
        </w:rPr>
        <w:t xml:space="preserve">Mr. </w:t>
      </w:r>
      <w:r w:rsidRPr="00EC55EA">
        <w:rPr>
          <w:rFonts w:asciiTheme="majorHAnsi" w:hAnsiTheme="majorHAnsi"/>
          <w:sz w:val="20"/>
          <w:szCs w:val="20"/>
        </w:rPr>
        <w:t xml:space="preserve">Mikhel and </w:t>
      </w:r>
      <w:r w:rsidR="00673523" w:rsidRPr="00EC55EA">
        <w:rPr>
          <w:rFonts w:asciiTheme="majorHAnsi" w:hAnsiTheme="majorHAnsi"/>
          <w:sz w:val="20"/>
          <w:szCs w:val="20"/>
        </w:rPr>
        <w:t xml:space="preserve">Mr. </w:t>
      </w:r>
      <w:r w:rsidR="001D12B7" w:rsidRPr="00EC55EA">
        <w:rPr>
          <w:rFonts w:asciiTheme="majorHAnsi" w:hAnsiTheme="majorHAnsi"/>
          <w:sz w:val="20"/>
          <w:szCs w:val="20"/>
        </w:rPr>
        <w:t>Umana, the State</w:t>
      </w:r>
      <w:r w:rsidRPr="00EC55EA">
        <w:rPr>
          <w:rFonts w:asciiTheme="majorHAnsi" w:hAnsiTheme="majorHAnsi"/>
          <w:sz w:val="20"/>
          <w:szCs w:val="20"/>
        </w:rPr>
        <w:t xml:space="preserve"> claims </w:t>
      </w:r>
      <w:r w:rsidR="00FC06C3" w:rsidRPr="00EC55EA">
        <w:rPr>
          <w:rFonts w:asciiTheme="majorHAnsi" w:hAnsiTheme="majorHAnsi"/>
          <w:sz w:val="20"/>
          <w:szCs w:val="20"/>
        </w:rPr>
        <w:t>the petition has failed</w:t>
      </w:r>
      <w:r w:rsidRPr="00EC55EA">
        <w:rPr>
          <w:rFonts w:asciiTheme="majorHAnsi" w:hAnsiTheme="majorHAnsi"/>
          <w:sz w:val="20"/>
          <w:szCs w:val="20"/>
        </w:rPr>
        <w:t xml:space="preserve"> to reach the threshold requirements of Article</w:t>
      </w:r>
      <w:r w:rsidR="00BA64E3" w:rsidRPr="00EC55EA">
        <w:rPr>
          <w:rFonts w:asciiTheme="majorHAnsi" w:hAnsiTheme="majorHAnsi"/>
          <w:sz w:val="20"/>
          <w:szCs w:val="20"/>
        </w:rPr>
        <w:t xml:space="preserve"> </w:t>
      </w:r>
      <w:r w:rsidRPr="00EC55EA">
        <w:rPr>
          <w:rFonts w:asciiTheme="majorHAnsi" w:hAnsiTheme="majorHAnsi"/>
          <w:sz w:val="20"/>
          <w:szCs w:val="20"/>
        </w:rPr>
        <w:t>28 of the rules of procedure</w:t>
      </w:r>
      <w:r w:rsidR="00BA64E3" w:rsidRPr="00EC55EA">
        <w:rPr>
          <w:rFonts w:asciiTheme="majorHAnsi" w:hAnsiTheme="majorHAnsi"/>
          <w:sz w:val="20"/>
          <w:szCs w:val="20"/>
        </w:rPr>
        <w:t xml:space="preserve">. Further, that </w:t>
      </w:r>
      <w:r w:rsidRPr="00EC55EA">
        <w:rPr>
          <w:rFonts w:asciiTheme="majorHAnsi" w:hAnsiTheme="majorHAnsi"/>
          <w:sz w:val="20"/>
          <w:szCs w:val="20"/>
        </w:rPr>
        <w:t xml:space="preserve">the </w:t>
      </w:r>
      <w:r w:rsidR="00AF020C" w:rsidRPr="00EC55EA">
        <w:rPr>
          <w:rFonts w:asciiTheme="majorHAnsi" w:hAnsiTheme="majorHAnsi"/>
          <w:sz w:val="20"/>
          <w:szCs w:val="20"/>
        </w:rPr>
        <w:t>absence of any facts related to those petitioners makes</w:t>
      </w:r>
      <w:r w:rsidR="00BA64E3" w:rsidRPr="00EC55EA">
        <w:rPr>
          <w:rFonts w:asciiTheme="majorHAnsi" w:hAnsiTheme="majorHAnsi"/>
          <w:sz w:val="20"/>
          <w:szCs w:val="20"/>
        </w:rPr>
        <w:t xml:space="preserve"> any claims in respect to </w:t>
      </w:r>
      <w:r w:rsidR="00AF020C" w:rsidRPr="00EC55EA">
        <w:rPr>
          <w:rFonts w:asciiTheme="majorHAnsi" w:hAnsiTheme="majorHAnsi"/>
          <w:sz w:val="20"/>
          <w:szCs w:val="20"/>
        </w:rPr>
        <w:t>them inadmissible</w:t>
      </w:r>
      <w:r w:rsidRPr="00EC55EA">
        <w:rPr>
          <w:rFonts w:asciiTheme="majorHAnsi" w:hAnsiTheme="majorHAnsi"/>
          <w:sz w:val="20"/>
          <w:szCs w:val="20"/>
        </w:rPr>
        <w:t xml:space="preserve"> under Article 34(a) even if they met the threshold. </w:t>
      </w:r>
    </w:p>
    <w:p w14:paraId="75B7A100" w14:textId="77777777" w:rsidR="00FF3563" w:rsidRPr="00EC55EA" w:rsidRDefault="00FF3563" w:rsidP="00EC55EA">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suppressAutoHyphens/>
        <w:jc w:val="both"/>
        <w:textAlignment w:val="baseline"/>
        <w:rPr>
          <w:rFonts w:asciiTheme="majorHAnsi" w:hAnsiTheme="majorHAnsi"/>
          <w:sz w:val="20"/>
          <w:szCs w:val="20"/>
        </w:rPr>
      </w:pPr>
    </w:p>
    <w:p w14:paraId="20A86FB8" w14:textId="77777777" w:rsidR="005A0B5A" w:rsidRPr="00EC55EA" w:rsidRDefault="00FF3563" w:rsidP="00EC55E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suppressAutoHyphens/>
        <w:ind w:left="0" w:firstLine="0"/>
        <w:jc w:val="both"/>
        <w:rPr>
          <w:rFonts w:asciiTheme="majorHAnsi" w:hAnsiTheme="majorHAnsi"/>
          <w:sz w:val="20"/>
          <w:szCs w:val="20"/>
        </w:rPr>
      </w:pPr>
      <w:r w:rsidRPr="00EC55EA">
        <w:rPr>
          <w:rFonts w:asciiTheme="majorHAnsi" w:hAnsiTheme="majorHAnsi"/>
          <w:sz w:val="20"/>
          <w:szCs w:val="20"/>
        </w:rPr>
        <w:t>The state submits that the Commission does not have authority to request or require that the United States adopts precautionary measures and construes the request as a n</w:t>
      </w:r>
      <w:r w:rsidR="00DC043A" w:rsidRPr="00EC55EA">
        <w:rPr>
          <w:rFonts w:asciiTheme="majorHAnsi" w:hAnsiTheme="majorHAnsi"/>
          <w:sz w:val="20"/>
          <w:szCs w:val="20"/>
        </w:rPr>
        <w:t>on-binding recommendation. The S</w:t>
      </w:r>
      <w:r w:rsidRPr="00EC55EA">
        <w:rPr>
          <w:rFonts w:asciiTheme="majorHAnsi" w:hAnsiTheme="majorHAnsi"/>
          <w:sz w:val="20"/>
          <w:szCs w:val="20"/>
        </w:rPr>
        <w:t>tate respectfully declines the recommendation and requests that the Commission withdraw the recommendation</w:t>
      </w:r>
      <w:r w:rsidR="00FB3991" w:rsidRPr="00EC55EA">
        <w:rPr>
          <w:rFonts w:asciiTheme="majorHAnsi" w:hAnsiTheme="majorHAnsi"/>
          <w:sz w:val="20"/>
          <w:szCs w:val="20"/>
        </w:rPr>
        <w:t>. The state highlights the lack of information and claims that the petitioners are not in immi</w:t>
      </w:r>
      <w:r w:rsidR="00B550D3" w:rsidRPr="00EC55EA">
        <w:rPr>
          <w:rFonts w:asciiTheme="majorHAnsi" w:hAnsiTheme="majorHAnsi"/>
          <w:sz w:val="20"/>
          <w:szCs w:val="20"/>
        </w:rPr>
        <w:t>nent danger of irreparable harm as</w:t>
      </w:r>
      <w:r w:rsidR="00FB3991" w:rsidRPr="00EC55EA">
        <w:rPr>
          <w:rFonts w:asciiTheme="majorHAnsi" w:hAnsiTheme="majorHAnsi"/>
          <w:sz w:val="20"/>
          <w:szCs w:val="20"/>
        </w:rPr>
        <w:t xml:space="preserve"> none are scheduled to be executed, and some are still pursuing domestic </w:t>
      </w:r>
      <w:r w:rsidR="00B550D3" w:rsidRPr="00EC55EA">
        <w:rPr>
          <w:rFonts w:asciiTheme="majorHAnsi" w:hAnsiTheme="majorHAnsi"/>
          <w:sz w:val="20"/>
          <w:szCs w:val="20"/>
        </w:rPr>
        <w:t xml:space="preserve">remedies. Further, the State </w:t>
      </w:r>
      <w:r w:rsidR="00FB3991" w:rsidRPr="00EC55EA">
        <w:rPr>
          <w:rFonts w:asciiTheme="majorHAnsi" w:hAnsiTheme="majorHAnsi"/>
          <w:sz w:val="20"/>
          <w:szCs w:val="20"/>
        </w:rPr>
        <w:t xml:space="preserve">reports that the Department of Justice is continuing to review the federal execution protocol used by the Federal Bureau of Prisons as well as policy issues related to the death penalty, and no executions will occur during the pendency of that review. </w:t>
      </w:r>
    </w:p>
    <w:p w14:paraId="78D29CEA" w14:textId="77777777" w:rsidR="00D10FF4" w:rsidRPr="00EC55EA" w:rsidRDefault="00D10FF4" w:rsidP="00EC55EA">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suppressAutoHyphens/>
        <w:jc w:val="both"/>
        <w:rPr>
          <w:rFonts w:asciiTheme="majorHAnsi" w:hAnsiTheme="majorHAnsi"/>
          <w:sz w:val="20"/>
          <w:szCs w:val="20"/>
        </w:rPr>
      </w:pPr>
    </w:p>
    <w:p w14:paraId="42DAAA41" w14:textId="77777777" w:rsidR="00A473E3" w:rsidRPr="00EC55EA" w:rsidRDefault="00F516D3" w:rsidP="00EC55EA">
      <w:pPr>
        <w:pStyle w:val="Heading1"/>
        <w:tabs>
          <w:tab w:val="left" w:pos="360"/>
        </w:tabs>
        <w:spacing w:before="0"/>
        <w:ind w:hanging="720"/>
        <w:rPr>
          <w:color w:val="auto"/>
          <w:sz w:val="20"/>
          <w:szCs w:val="20"/>
        </w:rPr>
      </w:pPr>
      <w:bookmarkStart w:id="4" w:name="_Toc150524377"/>
      <w:r w:rsidRPr="00EC55EA">
        <w:rPr>
          <w:color w:val="auto"/>
          <w:sz w:val="20"/>
          <w:szCs w:val="20"/>
        </w:rPr>
        <w:t>ADMISSIBILITY</w:t>
      </w:r>
      <w:bookmarkEnd w:id="4"/>
      <w:r w:rsidR="0081365E" w:rsidRPr="00EC55EA">
        <w:rPr>
          <w:sz w:val="20"/>
          <w:szCs w:val="20"/>
        </w:rPr>
        <w:tab/>
      </w:r>
    </w:p>
    <w:p w14:paraId="59C25328" w14:textId="77777777" w:rsidR="00F516D3" w:rsidRPr="00EC55EA" w:rsidRDefault="00F516D3" w:rsidP="00EC55EA">
      <w:pPr>
        <w:rPr>
          <w:rFonts w:asciiTheme="majorHAnsi" w:hAnsiTheme="majorHAnsi"/>
          <w:sz w:val="20"/>
          <w:szCs w:val="20"/>
        </w:rPr>
      </w:pPr>
    </w:p>
    <w:p w14:paraId="0EFD13AE" w14:textId="77777777" w:rsidR="00F516D3" w:rsidRPr="00EC55EA" w:rsidRDefault="00F516D3" w:rsidP="00EC55EA">
      <w:pPr>
        <w:pStyle w:val="Heading2"/>
        <w:keepLines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before="0"/>
        <w:ind w:left="360"/>
        <w:rPr>
          <w:rFonts w:cs="Times New Roman"/>
          <w:color w:val="auto"/>
          <w:sz w:val="20"/>
          <w:szCs w:val="20"/>
        </w:rPr>
      </w:pPr>
      <w:bookmarkStart w:id="5" w:name="_Toc7602623"/>
      <w:bookmarkStart w:id="6" w:name="_Toc150524378"/>
      <w:bookmarkStart w:id="7" w:name="_Toc6349142"/>
      <w:r w:rsidRPr="00EC55EA">
        <w:rPr>
          <w:rFonts w:cs="Times New Roman"/>
          <w:color w:val="auto"/>
          <w:sz w:val="20"/>
          <w:szCs w:val="20"/>
        </w:rPr>
        <w:t xml:space="preserve">Competence, duplication of procedures and international </w:t>
      </w:r>
      <w:r w:rsidRPr="00EC55EA">
        <w:rPr>
          <w:rFonts w:cs="Times New Roman"/>
          <w:i/>
          <w:color w:val="auto"/>
          <w:sz w:val="20"/>
          <w:szCs w:val="20"/>
        </w:rPr>
        <w:t>res judicata</w:t>
      </w:r>
      <w:bookmarkEnd w:id="5"/>
      <w:bookmarkEnd w:id="6"/>
      <w:r w:rsidRPr="00EC55EA">
        <w:rPr>
          <w:rFonts w:cs="Times New Roman"/>
          <w:color w:val="auto"/>
          <w:sz w:val="20"/>
          <w:szCs w:val="20"/>
        </w:rPr>
        <w:t xml:space="preserve"> </w:t>
      </w:r>
      <w:bookmarkEnd w:id="7"/>
    </w:p>
    <w:p w14:paraId="1DE8AE23" w14:textId="77777777" w:rsidR="00947B86" w:rsidRPr="00EC55EA" w:rsidRDefault="00947B86" w:rsidP="00EC55EA">
      <w:pPr>
        <w:rPr>
          <w:rFonts w:asciiTheme="majorHAnsi" w:hAnsiTheme="majorHAnsi"/>
          <w:sz w:val="20"/>
          <w:szCs w:val="20"/>
        </w:rPr>
      </w:pP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2"/>
        <w:gridCol w:w="5680"/>
      </w:tblGrid>
      <w:tr w:rsidR="00947B86" w:rsidRPr="00EC55EA" w14:paraId="2F440142" w14:textId="77777777">
        <w:trPr>
          <w:cantSplit/>
        </w:trPr>
        <w:tc>
          <w:tcPr>
            <w:tcW w:w="3600" w:type="dxa"/>
            <w:tcBorders>
              <w:top w:val="single" w:sz="4" w:space="0" w:color="auto"/>
              <w:bottom w:val="single" w:sz="6" w:space="0" w:color="auto"/>
            </w:tcBorders>
            <w:shd w:val="clear" w:color="auto" w:fill="386294"/>
            <w:vAlign w:val="center"/>
          </w:tcPr>
          <w:p w14:paraId="026D49D6" w14:textId="77777777" w:rsidR="00947B86" w:rsidRPr="00EC55EA" w:rsidRDefault="00947B86" w:rsidP="00EC55EA">
            <w:pPr>
              <w:jc w:val="center"/>
              <w:rPr>
                <w:rFonts w:asciiTheme="majorHAnsi" w:hAnsiTheme="majorHAnsi"/>
                <w:b/>
                <w:bCs/>
                <w:i/>
                <w:color w:val="FFFFFF" w:themeColor="background1"/>
                <w:sz w:val="20"/>
                <w:szCs w:val="20"/>
              </w:rPr>
            </w:pPr>
            <w:r w:rsidRPr="00EC55EA">
              <w:rPr>
                <w:rFonts w:asciiTheme="majorHAnsi" w:hAnsiTheme="majorHAnsi"/>
                <w:b/>
                <w:bCs/>
                <w:color w:val="FFFFFF" w:themeColor="background1"/>
                <w:sz w:val="20"/>
                <w:szCs w:val="20"/>
              </w:rPr>
              <w:t>Competence</w:t>
            </w:r>
            <w:r w:rsidRPr="00EC55EA">
              <w:rPr>
                <w:rFonts w:asciiTheme="majorHAnsi" w:hAnsiTheme="majorHAnsi"/>
                <w:b/>
                <w:bCs/>
                <w:i/>
                <w:color w:val="FFFFFF" w:themeColor="background1"/>
                <w:sz w:val="20"/>
                <w:szCs w:val="20"/>
              </w:rPr>
              <w:t xml:space="preserve"> Ratione personae:</w:t>
            </w:r>
          </w:p>
        </w:tc>
        <w:tc>
          <w:tcPr>
            <w:tcW w:w="5760" w:type="dxa"/>
            <w:vAlign w:val="center"/>
          </w:tcPr>
          <w:p w14:paraId="35B65768" w14:textId="77777777" w:rsidR="00947B86" w:rsidRPr="00EC55EA" w:rsidRDefault="00947B86" w:rsidP="00EC55EA">
            <w:pPr>
              <w:rPr>
                <w:rFonts w:asciiTheme="majorHAnsi" w:hAnsiTheme="majorHAnsi"/>
                <w:bCs/>
                <w:sz w:val="20"/>
                <w:szCs w:val="20"/>
              </w:rPr>
            </w:pPr>
            <w:r w:rsidRPr="00EC55EA">
              <w:rPr>
                <w:rFonts w:asciiTheme="majorHAnsi" w:hAnsiTheme="majorHAnsi"/>
                <w:bCs/>
                <w:sz w:val="20"/>
                <w:szCs w:val="20"/>
              </w:rPr>
              <w:t>Yes</w:t>
            </w:r>
          </w:p>
        </w:tc>
      </w:tr>
      <w:tr w:rsidR="00947B86" w:rsidRPr="00EC55EA" w14:paraId="42087BCB" w14:textId="77777777">
        <w:trPr>
          <w:cantSplit/>
        </w:trPr>
        <w:tc>
          <w:tcPr>
            <w:tcW w:w="3600" w:type="dxa"/>
            <w:tcBorders>
              <w:top w:val="single" w:sz="6" w:space="0" w:color="auto"/>
              <w:bottom w:val="single" w:sz="6" w:space="0" w:color="auto"/>
            </w:tcBorders>
            <w:shd w:val="clear" w:color="auto" w:fill="386294"/>
            <w:vAlign w:val="center"/>
          </w:tcPr>
          <w:p w14:paraId="5EF10E9A" w14:textId="77777777" w:rsidR="00947B86" w:rsidRPr="00EC55EA" w:rsidRDefault="00947B86" w:rsidP="00EC55EA">
            <w:pPr>
              <w:jc w:val="center"/>
              <w:rPr>
                <w:rFonts w:asciiTheme="majorHAnsi" w:hAnsiTheme="majorHAnsi"/>
                <w:b/>
                <w:bCs/>
                <w:color w:val="FFFFFF" w:themeColor="background1"/>
                <w:sz w:val="20"/>
                <w:szCs w:val="20"/>
              </w:rPr>
            </w:pPr>
            <w:r w:rsidRPr="00EC55EA">
              <w:rPr>
                <w:rFonts w:asciiTheme="majorHAnsi" w:hAnsiTheme="majorHAnsi"/>
                <w:b/>
                <w:bCs/>
                <w:color w:val="FFFFFF" w:themeColor="background1"/>
                <w:sz w:val="20"/>
                <w:szCs w:val="20"/>
              </w:rPr>
              <w:t>Competence</w:t>
            </w:r>
            <w:r w:rsidRPr="00EC55EA">
              <w:rPr>
                <w:rFonts w:asciiTheme="majorHAnsi" w:hAnsiTheme="majorHAnsi"/>
                <w:b/>
                <w:bCs/>
                <w:i/>
                <w:color w:val="FFFFFF" w:themeColor="background1"/>
                <w:sz w:val="20"/>
                <w:szCs w:val="20"/>
              </w:rPr>
              <w:t xml:space="preserve"> Ratione loci</w:t>
            </w:r>
            <w:r w:rsidRPr="00EC55EA">
              <w:rPr>
                <w:rFonts w:asciiTheme="majorHAnsi" w:hAnsiTheme="majorHAnsi"/>
                <w:b/>
                <w:bCs/>
                <w:color w:val="FFFFFF" w:themeColor="background1"/>
                <w:sz w:val="20"/>
                <w:szCs w:val="20"/>
              </w:rPr>
              <w:t>:</w:t>
            </w:r>
          </w:p>
        </w:tc>
        <w:tc>
          <w:tcPr>
            <w:tcW w:w="5760" w:type="dxa"/>
            <w:vAlign w:val="center"/>
          </w:tcPr>
          <w:p w14:paraId="60CA0AAD" w14:textId="77777777" w:rsidR="00947B86" w:rsidRPr="00EC55EA" w:rsidRDefault="00947B86" w:rsidP="00EC55EA">
            <w:pPr>
              <w:rPr>
                <w:rFonts w:asciiTheme="majorHAnsi" w:hAnsiTheme="majorHAnsi"/>
                <w:bCs/>
                <w:sz w:val="20"/>
                <w:szCs w:val="20"/>
              </w:rPr>
            </w:pPr>
            <w:r w:rsidRPr="00EC55EA">
              <w:rPr>
                <w:rFonts w:asciiTheme="majorHAnsi" w:hAnsiTheme="majorHAnsi"/>
                <w:bCs/>
                <w:sz w:val="20"/>
                <w:szCs w:val="20"/>
              </w:rPr>
              <w:t>Yes</w:t>
            </w:r>
          </w:p>
        </w:tc>
      </w:tr>
      <w:tr w:rsidR="00947B86" w:rsidRPr="00EC55EA" w14:paraId="0434AABF" w14:textId="77777777">
        <w:trPr>
          <w:cantSplit/>
        </w:trPr>
        <w:tc>
          <w:tcPr>
            <w:tcW w:w="3600" w:type="dxa"/>
            <w:tcBorders>
              <w:top w:val="single" w:sz="6" w:space="0" w:color="auto"/>
              <w:bottom w:val="single" w:sz="6" w:space="0" w:color="auto"/>
            </w:tcBorders>
            <w:shd w:val="clear" w:color="auto" w:fill="386294"/>
            <w:vAlign w:val="center"/>
          </w:tcPr>
          <w:p w14:paraId="5A81F8A1" w14:textId="77777777" w:rsidR="00947B86" w:rsidRPr="00EC55EA" w:rsidRDefault="00947B86" w:rsidP="00EC55EA">
            <w:pPr>
              <w:jc w:val="center"/>
              <w:rPr>
                <w:rFonts w:asciiTheme="majorHAnsi" w:hAnsiTheme="majorHAnsi"/>
                <w:b/>
                <w:bCs/>
                <w:color w:val="FFFFFF" w:themeColor="background1"/>
                <w:sz w:val="20"/>
                <w:szCs w:val="20"/>
              </w:rPr>
            </w:pPr>
            <w:r w:rsidRPr="00EC55EA">
              <w:rPr>
                <w:rFonts w:asciiTheme="majorHAnsi" w:hAnsiTheme="majorHAnsi"/>
                <w:b/>
                <w:bCs/>
                <w:color w:val="FFFFFF" w:themeColor="background1"/>
                <w:sz w:val="20"/>
                <w:szCs w:val="20"/>
              </w:rPr>
              <w:t>Competence</w:t>
            </w:r>
            <w:r w:rsidRPr="00EC55EA">
              <w:rPr>
                <w:rFonts w:asciiTheme="majorHAnsi" w:hAnsiTheme="majorHAnsi"/>
                <w:b/>
                <w:bCs/>
                <w:i/>
                <w:color w:val="FFFFFF" w:themeColor="background1"/>
                <w:sz w:val="20"/>
                <w:szCs w:val="20"/>
              </w:rPr>
              <w:t xml:space="preserve"> Ratione temporis</w:t>
            </w:r>
            <w:r w:rsidRPr="00EC55EA">
              <w:rPr>
                <w:rFonts w:asciiTheme="majorHAnsi" w:hAnsiTheme="majorHAnsi"/>
                <w:b/>
                <w:bCs/>
                <w:color w:val="FFFFFF" w:themeColor="background1"/>
                <w:sz w:val="20"/>
                <w:szCs w:val="20"/>
              </w:rPr>
              <w:t>:</w:t>
            </w:r>
          </w:p>
        </w:tc>
        <w:tc>
          <w:tcPr>
            <w:tcW w:w="5760" w:type="dxa"/>
            <w:vAlign w:val="center"/>
          </w:tcPr>
          <w:p w14:paraId="472C292E" w14:textId="77777777" w:rsidR="00947B86" w:rsidRPr="00EC55EA" w:rsidRDefault="00947B86" w:rsidP="00EC55EA">
            <w:pPr>
              <w:rPr>
                <w:rFonts w:asciiTheme="majorHAnsi" w:hAnsiTheme="majorHAnsi"/>
                <w:bCs/>
                <w:sz w:val="20"/>
                <w:szCs w:val="20"/>
              </w:rPr>
            </w:pPr>
            <w:r w:rsidRPr="00EC55EA">
              <w:rPr>
                <w:rFonts w:asciiTheme="majorHAnsi" w:hAnsiTheme="majorHAnsi"/>
                <w:bCs/>
                <w:sz w:val="20"/>
                <w:szCs w:val="20"/>
              </w:rPr>
              <w:t>Yes</w:t>
            </w:r>
          </w:p>
        </w:tc>
      </w:tr>
      <w:tr w:rsidR="00947B86" w:rsidRPr="00EC55EA" w14:paraId="30CFA8E5" w14:textId="77777777">
        <w:trPr>
          <w:cantSplit/>
        </w:trPr>
        <w:tc>
          <w:tcPr>
            <w:tcW w:w="3600" w:type="dxa"/>
            <w:tcBorders>
              <w:top w:val="single" w:sz="6" w:space="0" w:color="auto"/>
              <w:bottom w:val="single" w:sz="6" w:space="0" w:color="auto"/>
            </w:tcBorders>
            <w:shd w:val="clear" w:color="auto" w:fill="386294"/>
            <w:vAlign w:val="center"/>
          </w:tcPr>
          <w:p w14:paraId="73871D7A" w14:textId="77777777" w:rsidR="00947B86" w:rsidRPr="00EC55EA" w:rsidRDefault="00947B86" w:rsidP="00EC55EA">
            <w:pPr>
              <w:jc w:val="center"/>
              <w:rPr>
                <w:rFonts w:asciiTheme="majorHAnsi" w:hAnsiTheme="majorHAnsi"/>
                <w:b/>
                <w:bCs/>
                <w:color w:val="FFFFFF" w:themeColor="background1"/>
                <w:sz w:val="20"/>
                <w:szCs w:val="20"/>
              </w:rPr>
            </w:pPr>
            <w:r w:rsidRPr="00EC55EA">
              <w:rPr>
                <w:rFonts w:asciiTheme="majorHAnsi" w:hAnsiTheme="majorHAnsi"/>
                <w:b/>
                <w:bCs/>
                <w:color w:val="FFFFFF" w:themeColor="background1"/>
                <w:sz w:val="20"/>
                <w:szCs w:val="20"/>
              </w:rPr>
              <w:lastRenderedPageBreak/>
              <w:t>Competence</w:t>
            </w:r>
            <w:r w:rsidRPr="00EC55EA">
              <w:rPr>
                <w:rFonts w:asciiTheme="majorHAnsi" w:hAnsiTheme="majorHAnsi"/>
                <w:b/>
                <w:bCs/>
                <w:i/>
                <w:color w:val="FFFFFF" w:themeColor="background1"/>
                <w:sz w:val="20"/>
                <w:szCs w:val="20"/>
              </w:rPr>
              <w:t xml:space="preserve"> Ratione materiae</w:t>
            </w:r>
            <w:r w:rsidRPr="00EC55EA">
              <w:rPr>
                <w:rFonts w:asciiTheme="majorHAnsi" w:hAnsiTheme="majorHAnsi"/>
                <w:b/>
                <w:bCs/>
                <w:color w:val="FFFFFF" w:themeColor="background1"/>
                <w:sz w:val="20"/>
                <w:szCs w:val="20"/>
              </w:rPr>
              <w:t>:</w:t>
            </w:r>
          </w:p>
        </w:tc>
        <w:tc>
          <w:tcPr>
            <w:tcW w:w="5760" w:type="dxa"/>
            <w:vAlign w:val="center"/>
          </w:tcPr>
          <w:p w14:paraId="2182C516" w14:textId="77777777" w:rsidR="00947B86" w:rsidRPr="00EC55EA" w:rsidRDefault="00947B86" w:rsidP="00EC55EA">
            <w:pPr>
              <w:jc w:val="both"/>
              <w:rPr>
                <w:rFonts w:asciiTheme="majorHAnsi" w:hAnsiTheme="majorHAnsi"/>
                <w:bCs/>
                <w:sz w:val="20"/>
                <w:szCs w:val="20"/>
              </w:rPr>
            </w:pPr>
            <w:r w:rsidRPr="00EC55EA">
              <w:rPr>
                <w:rFonts w:asciiTheme="majorHAnsi" w:hAnsiTheme="majorHAnsi"/>
                <w:bCs/>
                <w:sz w:val="20"/>
                <w:szCs w:val="20"/>
              </w:rPr>
              <w:t>Yes, American Declaration of the Rights and Duties of Man (ratification of the OAS Charter on June 19, 1951)</w:t>
            </w:r>
          </w:p>
        </w:tc>
      </w:tr>
      <w:tr w:rsidR="00947B86" w:rsidRPr="00EC55EA" w14:paraId="592EF00B" w14:textId="77777777">
        <w:trPr>
          <w:cantSplit/>
        </w:trPr>
        <w:tc>
          <w:tcPr>
            <w:tcW w:w="3600" w:type="dxa"/>
            <w:tcBorders>
              <w:top w:val="single" w:sz="6" w:space="0" w:color="auto"/>
              <w:bottom w:val="single" w:sz="6" w:space="0" w:color="auto"/>
            </w:tcBorders>
            <w:shd w:val="clear" w:color="auto" w:fill="386294"/>
            <w:vAlign w:val="center"/>
          </w:tcPr>
          <w:p w14:paraId="298F331B" w14:textId="77777777" w:rsidR="00947B86" w:rsidRPr="00EC55EA" w:rsidRDefault="00947B86" w:rsidP="00EC55EA">
            <w:pPr>
              <w:jc w:val="center"/>
              <w:rPr>
                <w:rFonts w:asciiTheme="majorHAnsi" w:hAnsiTheme="majorHAnsi"/>
                <w:b/>
                <w:bCs/>
                <w:color w:val="FFFFFF" w:themeColor="background1"/>
                <w:sz w:val="20"/>
                <w:szCs w:val="20"/>
              </w:rPr>
            </w:pPr>
            <w:r w:rsidRPr="00EC55EA">
              <w:rPr>
                <w:rFonts w:asciiTheme="majorHAnsi" w:hAnsiTheme="majorHAnsi"/>
                <w:b/>
                <w:bCs/>
                <w:color w:val="FFFFFF" w:themeColor="background1"/>
                <w:sz w:val="20"/>
                <w:szCs w:val="20"/>
              </w:rPr>
              <w:t xml:space="preserve">Duplication of procedures and international </w:t>
            </w:r>
            <w:r w:rsidRPr="00EC55EA">
              <w:rPr>
                <w:rFonts w:asciiTheme="majorHAnsi" w:hAnsiTheme="majorHAnsi"/>
                <w:b/>
                <w:bCs/>
                <w:i/>
                <w:iCs/>
                <w:color w:val="FFFFFF" w:themeColor="background1"/>
                <w:sz w:val="20"/>
                <w:szCs w:val="20"/>
              </w:rPr>
              <w:t>res judicata</w:t>
            </w:r>
            <w:r w:rsidRPr="00EC55EA">
              <w:rPr>
                <w:rFonts w:asciiTheme="majorHAnsi" w:hAnsiTheme="majorHAnsi"/>
                <w:b/>
                <w:bCs/>
                <w:color w:val="FFFFFF" w:themeColor="background1"/>
                <w:sz w:val="20"/>
                <w:szCs w:val="20"/>
              </w:rPr>
              <w:t>:</w:t>
            </w:r>
          </w:p>
        </w:tc>
        <w:tc>
          <w:tcPr>
            <w:tcW w:w="5760" w:type="dxa"/>
            <w:vAlign w:val="center"/>
          </w:tcPr>
          <w:p w14:paraId="75A86B72" w14:textId="77777777" w:rsidR="00947B86" w:rsidRPr="00EC55EA" w:rsidRDefault="00947B86" w:rsidP="00EC55EA">
            <w:pPr>
              <w:jc w:val="both"/>
              <w:rPr>
                <w:rFonts w:asciiTheme="majorHAnsi" w:hAnsiTheme="majorHAnsi"/>
                <w:bCs/>
                <w:sz w:val="20"/>
                <w:szCs w:val="20"/>
              </w:rPr>
            </w:pPr>
            <w:r w:rsidRPr="00EC55EA">
              <w:rPr>
                <w:rFonts w:asciiTheme="majorHAnsi" w:hAnsiTheme="majorHAnsi"/>
                <w:bCs/>
                <w:sz w:val="20"/>
                <w:szCs w:val="20"/>
              </w:rPr>
              <w:t>No</w:t>
            </w:r>
          </w:p>
        </w:tc>
      </w:tr>
    </w:tbl>
    <w:p w14:paraId="78BBCB1B" w14:textId="77777777" w:rsidR="0081365E" w:rsidRPr="00EC55EA" w:rsidRDefault="0081365E" w:rsidP="00EC55EA">
      <w:pPr>
        <w:rPr>
          <w:rFonts w:asciiTheme="majorHAnsi" w:hAnsiTheme="majorHAnsi"/>
          <w:sz w:val="20"/>
          <w:szCs w:val="20"/>
        </w:rPr>
      </w:pPr>
    </w:p>
    <w:p w14:paraId="576BC757" w14:textId="77777777" w:rsidR="00CB5E44" w:rsidRPr="00EC55EA" w:rsidRDefault="00CB5E44" w:rsidP="00EC55E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suppressAutoHyphens/>
        <w:ind w:left="0" w:firstLine="0"/>
        <w:jc w:val="both"/>
        <w:rPr>
          <w:rFonts w:asciiTheme="majorHAnsi" w:hAnsiTheme="majorHAnsi"/>
          <w:sz w:val="20"/>
          <w:szCs w:val="20"/>
        </w:rPr>
      </w:pPr>
      <w:r w:rsidRPr="00EC55EA">
        <w:rPr>
          <w:rFonts w:asciiTheme="majorHAnsi" w:hAnsiTheme="majorHAnsi"/>
          <w:sz w:val="20"/>
          <w:szCs w:val="20"/>
        </w:rPr>
        <w:t>The IACHR notes the State’s position that the Commission does not have competence to review claims arising under the Vienna Convention. As it will be addressed below, while the Commission has no jurisdiction to find a violation of such provisions, it may consider them for the purpose of evaluating the State’s compliance with a foreign national’s due process rights under the American Declaration.</w:t>
      </w:r>
    </w:p>
    <w:p w14:paraId="5CCB2A3F" w14:textId="77777777" w:rsidR="00626FB3" w:rsidRPr="00EC55EA" w:rsidRDefault="00626FB3" w:rsidP="00EC55EA">
      <w:pPr>
        <w:rPr>
          <w:rFonts w:asciiTheme="majorHAnsi" w:hAnsiTheme="majorHAnsi"/>
          <w:sz w:val="20"/>
          <w:szCs w:val="20"/>
        </w:rPr>
      </w:pPr>
    </w:p>
    <w:p w14:paraId="7920A453" w14:textId="77777777" w:rsidR="00F516D3" w:rsidRPr="00EC55EA" w:rsidRDefault="00317FC6" w:rsidP="00EC55EA">
      <w:pPr>
        <w:pStyle w:val="Heading2"/>
        <w:keepLines w:val="0"/>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before="0"/>
        <w:ind w:left="360"/>
        <w:rPr>
          <w:rFonts w:cs="Tahoma"/>
          <w:color w:val="auto"/>
          <w:sz w:val="20"/>
          <w:szCs w:val="20"/>
          <w:shd w:val="clear" w:color="auto" w:fill="FFFFFF"/>
        </w:rPr>
      </w:pPr>
      <w:bookmarkStart w:id="8" w:name="_Toc150524379"/>
      <w:r w:rsidRPr="00EC55EA">
        <w:rPr>
          <w:rFonts w:cs="Tahoma"/>
          <w:color w:val="auto"/>
          <w:sz w:val="20"/>
          <w:szCs w:val="20"/>
          <w:shd w:val="clear" w:color="auto" w:fill="FFFFFF"/>
        </w:rPr>
        <w:t>Exhaustion of domestic remedies and timeliness of the petition</w:t>
      </w:r>
      <w:bookmarkEnd w:id="8"/>
    </w:p>
    <w:p w14:paraId="744D0480" w14:textId="77777777" w:rsidR="00D94F44" w:rsidRPr="00EC55EA" w:rsidRDefault="00D94F44" w:rsidP="00EC55EA">
      <w:pPr>
        <w:rPr>
          <w:rFonts w:asciiTheme="majorHAnsi" w:hAnsiTheme="majorHAnsi"/>
          <w:color w:val="FF0000"/>
          <w:sz w:val="20"/>
          <w:szCs w:val="20"/>
        </w:rPr>
      </w:pPr>
    </w:p>
    <w:p w14:paraId="49B2A88C" w14:textId="77777777" w:rsidR="005613AC" w:rsidRPr="00EC55EA" w:rsidRDefault="00DA36AE" w:rsidP="00EC55E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textAlignment w:val="baseline"/>
        <w:rPr>
          <w:rFonts w:asciiTheme="majorHAnsi" w:hAnsiTheme="majorHAnsi"/>
          <w:sz w:val="20"/>
          <w:szCs w:val="20"/>
        </w:rPr>
      </w:pPr>
      <w:r w:rsidRPr="00EC55EA">
        <w:rPr>
          <w:rFonts w:asciiTheme="majorHAnsi" w:hAnsiTheme="majorHAnsi"/>
          <w:sz w:val="20"/>
          <w:szCs w:val="20"/>
        </w:rPr>
        <w:t xml:space="preserve">According to the information available, and as established in </w:t>
      </w:r>
      <w:r w:rsidR="00C5237D" w:rsidRPr="00EC55EA">
        <w:rPr>
          <w:rFonts w:asciiTheme="majorHAnsi" w:hAnsiTheme="majorHAnsi"/>
          <w:sz w:val="20"/>
          <w:szCs w:val="20"/>
        </w:rPr>
        <w:t>the facts described below</w:t>
      </w:r>
      <w:r w:rsidR="00FE5C4B" w:rsidRPr="00EC55EA">
        <w:rPr>
          <w:rFonts w:asciiTheme="majorHAnsi" w:hAnsiTheme="majorHAnsi"/>
          <w:sz w:val="20"/>
          <w:szCs w:val="20"/>
        </w:rPr>
        <w:t>,</w:t>
      </w:r>
      <w:r w:rsidR="00787CDF" w:rsidRPr="00EC55EA">
        <w:rPr>
          <w:rFonts w:asciiTheme="majorHAnsi" w:hAnsiTheme="majorHAnsi"/>
          <w:sz w:val="20"/>
          <w:szCs w:val="20"/>
        </w:rPr>
        <w:t xml:space="preserve"> </w:t>
      </w:r>
      <w:r w:rsidR="009F5BEF" w:rsidRPr="00EC55EA">
        <w:rPr>
          <w:rFonts w:asciiTheme="majorHAnsi" w:hAnsiTheme="majorHAnsi"/>
          <w:sz w:val="20"/>
          <w:szCs w:val="20"/>
        </w:rPr>
        <w:t xml:space="preserve">Mr. Kadamovas and </w:t>
      </w:r>
      <w:r w:rsidR="008E168D" w:rsidRPr="00EC55EA">
        <w:rPr>
          <w:rFonts w:asciiTheme="majorHAnsi" w:hAnsiTheme="majorHAnsi"/>
          <w:sz w:val="20"/>
          <w:szCs w:val="20"/>
        </w:rPr>
        <w:t xml:space="preserve">Mr. Bolden have availed themselves to the </w:t>
      </w:r>
      <w:r w:rsidR="003F5C67" w:rsidRPr="00EC55EA">
        <w:rPr>
          <w:rFonts w:asciiTheme="majorHAnsi" w:hAnsiTheme="majorHAnsi"/>
          <w:sz w:val="20"/>
          <w:szCs w:val="20"/>
        </w:rPr>
        <w:t>judicial appeal process for t</w:t>
      </w:r>
      <w:r w:rsidR="00722EC5" w:rsidRPr="00EC55EA">
        <w:rPr>
          <w:rFonts w:asciiTheme="majorHAnsi" w:hAnsiTheme="majorHAnsi"/>
          <w:sz w:val="20"/>
          <w:szCs w:val="20"/>
        </w:rPr>
        <w:t>heir convictions and sentences</w:t>
      </w:r>
      <w:r w:rsidR="007A52E1" w:rsidRPr="00EC55EA">
        <w:rPr>
          <w:rFonts w:asciiTheme="majorHAnsi" w:hAnsiTheme="majorHAnsi"/>
          <w:sz w:val="20"/>
          <w:szCs w:val="20"/>
        </w:rPr>
        <w:t>,</w:t>
      </w:r>
      <w:r w:rsidR="00722EC5" w:rsidRPr="00EC55EA">
        <w:rPr>
          <w:rFonts w:asciiTheme="majorHAnsi" w:hAnsiTheme="majorHAnsi"/>
          <w:sz w:val="20"/>
          <w:szCs w:val="20"/>
        </w:rPr>
        <w:t xml:space="preserve"> and </w:t>
      </w:r>
      <w:r w:rsidR="003F5C67" w:rsidRPr="00EC55EA">
        <w:rPr>
          <w:rFonts w:asciiTheme="majorHAnsi" w:hAnsiTheme="majorHAnsi"/>
          <w:sz w:val="20"/>
          <w:szCs w:val="20"/>
        </w:rPr>
        <w:t>the BOP’s administrative remedy process</w:t>
      </w:r>
      <w:r w:rsidR="008E168D" w:rsidRPr="00EC55EA">
        <w:rPr>
          <w:rFonts w:asciiTheme="majorHAnsi" w:hAnsiTheme="majorHAnsi"/>
          <w:sz w:val="20"/>
          <w:szCs w:val="20"/>
        </w:rPr>
        <w:t xml:space="preserve">, which is the primary procedural step in seeking relief with regards to prison conditions within the Federal system of the United States. </w:t>
      </w:r>
    </w:p>
    <w:p w14:paraId="65F8DB0C" w14:textId="77777777" w:rsidR="005613AC" w:rsidRPr="00EC55EA" w:rsidRDefault="005613AC" w:rsidP="00EC55EA">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jc w:val="both"/>
        <w:textAlignment w:val="baseline"/>
        <w:rPr>
          <w:rFonts w:asciiTheme="majorHAnsi" w:hAnsiTheme="majorHAnsi"/>
          <w:sz w:val="20"/>
          <w:szCs w:val="20"/>
        </w:rPr>
      </w:pPr>
    </w:p>
    <w:p w14:paraId="16F8538C" w14:textId="77777777" w:rsidR="007A52E1" w:rsidRPr="00EC55EA" w:rsidRDefault="00537159" w:rsidP="00EC55E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textAlignment w:val="baseline"/>
        <w:rPr>
          <w:rFonts w:asciiTheme="majorHAnsi" w:hAnsiTheme="majorHAnsi"/>
          <w:sz w:val="20"/>
          <w:szCs w:val="20"/>
        </w:rPr>
      </w:pPr>
      <w:r w:rsidRPr="00EC55EA">
        <w:rPr>
          <w:rFonts w:asciiTheme="majorHAnsi" w:hAnsiTheme="majorHAnsi"/>
          <w:sz w:val="20"/>
          <w:szCs w:val="20"/>
        </w:rPr>
        <w:t>Mr. Bolden’s conviction and sentence were affirmed on appeal in 2008 and his petition for writ of certiorari denied in 2009</w:t>
      </w:r>
      <w:r w:rsidR="00CB5E44" w:rsidRPr="00EC55EA">
        <w:rPr>
          <w:rFonts w:asciiTheme="majorHAnsi" w:hAnsiTheme="majorHAnsi"/>
          <w:sz w:val="20"/>
          <w:szCs w:val="20"/>
        </w:rPr>
        <w:t>.</w:t>
      </w:r>
      <w:r w:rsidRPr="00EC55EA">
        <w:rPr>
          <w:rFonts w:asciiTheme="majorHAnsi" w:hAnsiTheme="majorHAnsi"/>
          <w:sz w:val="20"/>
          <w:szCs w:val="20"/>
        </w:rPr>
        <w:t xml:space="preserve"> </w:t>
      </w:r>
      <w:r w:rsidR="005613AC" w:rsidRPr="00EC55EA">
        <w:rPr>
          <w:rFonts w:asciiTheme="majorHAnsi" w:hAnsiTheme="majorHAnsi"/>
          <w:sz w:val="20"/>
          <w:szCs w:val="20"/>
        </w:rPr>
        <w:t xml:space="preserve">He then filed a motion for post-conviction relief under 28 U.S.C. § 2253 which was denied by the U.S. Court of Appeals for the Eighth Circuit in 2016. The court also denied a certificate of appealability. </w:t>
      </w:r>
      <w:r w:rsidRPr="00EC55EA">
        <w:rPr>
          <w:rFonts w:asciiTheme="majorHAnsi" w:hAnsiTheme="majorHAnsi"/>
          <w:sz w:val="20"/>
          <w:szCs w:val="20"/>
        </w:rPr>
        <w:t xml:space="preserve">Mr. Kadamovas’s </w:t>
      </w:r>
      <w:r w:rsidR="00C63576" w:rsidRPr="00EC55EA">
        <w:rPr>
          <w:rFonts w:asciiTheme="majorHAnsi" w:hAnsiTheme="majorHAnsi"/>
          <w:sz w:val="20"/>
          <w:szCs w:val="20"/>
        </w:rPr>
        <w:t xml:space="preserve">and Mr. Mikhel’s </w:t>
      </w:r>
      <w:r w:rsidRPr="00EC55EA">
        <w:rPr>
          <w:rFonts w:asciiTheme="majorHAnsi" w:hAnsiTheme="majorHAnsi"/>
          <w:sz w:val="20"/>
          <w:szCs w:val="20"/>
        </w:rPr>
        <w:t>conviction</w:t>
      </w:r>
      <w:r w:rsidR="00C63576" w:rsidRPr="00EC55EA">
        <w:rPr>
          <w:rFonts w:asciiTheme="majorHAnsi" w:hAnsiTheme="majorHAnsi"/>
          <w:sz w:val="20"/>
          <w:szCs w:val="20"/>
        </w:rPr>
        <w:t>s</w:t>
      </w:r>
      <w:r w:rsidRPr="00EC55EA">
        <w:rPr>
          <w:rFonts w:asciiTheme="majorHAnsi" w:hAnsiTheme="majorHAnsi"/>
          <w:sz w:val="20"/>
          <w:szCs w:val="20"/>
        </w:rPr>
        <w:t xml:space="preserve"> and sentence</w:t>
      </w:r>
      <w:r w:rsidR="00C63576" w:rsidRPr="00EC55EA">
        <w:rPr>
          <w:rFonts w:asciiTheme="majorHAnsi" w:hAnsiTheme="majorHAnsi"/>
          <w:sz w:val="20"/>
          <w:szCs w:val="20"/>
        </w:rPr>
        <w:t>s</w:t>
      </w:r>
      <w:r w:rsidRPr="00EC55EA">
        <w:rPr>
          <w:rFonts w:asciiTheme="majorHAnsi" w:hAnsiTheme="majorHAnsi"/>
          <w:sz w:val="20"/>
          <w:szCs w:val="20"/>
        </w:rPr>
        <w:t xml:space="preserve"> were also appealed and</w:t>
      </w:r>
      <w:r w:rsidR="00CB5E44" w:rsidRPr="00EC55EA">
        <w:rPr>
          <w:rFonts w:asciiTheme="majorHAnsi" w:hAnsiTheme="majorHAnsi"/>
          <w:sz w:val="20"/>
          <w:szCs w:val="20"/>
        </w:rPr>
        <w:t>,</w:t>
      </w:r>
      <w:r w:rsidRPr="00EC55EA">
        <w:rPr>
          <w:rFonts w:asciiTheme="majorHAnsi" w:hAnsiTheme="majorHAnsi"/>
          <w:sz w:val="20"/>
          <w:szCs w:val="20"/>
        </w:rPr>
        <w:t xml:space="preserve"> on January 10, 2018, the District Court’s judgment was affirmed. On January 14, 2019 </w:t>
      </w:r>
      <w:r w:rsidR="00C63576" w:rsidRPr="00EC55EA">
        <w:rPr>
          <w:rFonts w:asciiTheme="majorHAnsi" w:hAnsiTheme="majorHAnsi"/>
          <w:sz w:val="20"/>
          <w:szCs w:val="20"/>
        </w:rPr>
        <w:t>t</w:t>
      </w:r>
      <w:r w:rsidRPr="00EC55EA">
        <w:rPr>
          <w:rFonts w:asciiTheme="majorHAnsi" w:hAnsiTheme="majorHAnsi"/>
          <w:sz w:val="20"/>
          <w:szCs w:val="20"/>
        </w:rPr>
        <w:t>he</w:t>
      </w:r>
      <w:r w:rsidR="00C63576" w:rsidRPr="00EC55EA">
        <w:rPr>
          <w:rFonts w:asciiTheme="majorHAnsi" w:hAnsiTheme="majorHAnsi"/>
          <w:sz w:val="20"/>
          <w:szCs w:val="20"/>
        </w:rPr>
        <w:t>y</w:t>
      </w:r>
      <w:r w:rsidRPr="00EC55EA">
        <w:rPr>
          <w:rFonts w:asciiTheme="majorHAnsi" w:hAnsiTheme="majorHAnsi"/>
          <w:sz w:val="20"/>
          <w:szCs w:val="20"/>
        </w:rPr>
        <w:t xml:space="preserve"> filed a petition for a writ of certiorari</w:t>
      </w:r>
      <w:r w:rsidR="00423240" w:rsidRPr="00EC55EA">
        <w:rPr>
          <w:rFonts w:asciiTheme="majorHAnsi" w:hAnsiTheme="majorHAnsi"/>
          <w:sz w:val="20"/>
          <w:szCs w:val="20"/>
        </w:rPr>
        <w:t xml:space="preserve"> </w:t>
      </w:r>
      <w:r w:rsidR="007A52E1" w:rsidRPr="00EC55EA">
        <w:rPr>
          <w:rFonts w:asciiTheme="majorHAnsi" w:hAnsiTheme="majorHAnsi"/>
          <w:sz w:val="20"/>
          <w:szCs w:val="20"/>
        </w:rPr>
        <w:t xml:space="preserve">and </w:t>
      </w:r>
      <w:r w:rsidRPr="00EC55EA">
        <w:rPr>
          <w:rFonts w:asciiTheme="majorHAnsi" w:hAnsiTheme="majorHAnsi"/>
          <w:sz w:val="20"/>
          <w:szCs w:val="20"/>
        </w:rPr>
        <w:t xml:space="preserve">a </w:t>
      </w:r>
      <w:r w:rsidR="007A52E1" w:rsidRPr="00EC55EA">
        <w:rPr>
          <w:rFonts w:asciiTheme="majorHAnsi" w:hAnsiTheme="majorHAnsi"/>
          <w:sz w:val="20"/>
          <w:szCs w:val="20"/>
        </w:rPr>
        <w:t>motion for leave to proceed,</w:t>
      </w:r>
      <w:r w:rsidRPr="00EC55EA">
        <w:rPr>
          <w:rFonts w:asciiTheme="majorHAnsi" w:hAnsiTheme="majorHAnsi"/>
          <w:sz w:val="20"/>
          <w:szCs w:val="20"/>
        </w:rPr>
        <w:t xml:space="preserve"> but o</w:t>
      </w:r>
      <w:r w:rsidR="007A52E1" w:rsidRPr="00EC55EA">
        <w:rPr>
          <w:rFonts w:asciiTheme="majorHAnsi" w:hAnsiTheme="majorHAnsi"/>
          <w:sz w:val="20"/>
          <w:szCs w:val="20"/>
        </w:rPr>
        <w:t xml:space="preserve">n October 7, 2019 </w:t>
      </w:r>
      <w:r w:rsidRPr="00EC55EA">
        <w:rPr>
          <w:rFonts w:asciiTheme="majorHAnsi" w:hAnsiTheme="majorHAnsi"/>
          <w:sz w:val="20"/>
          <w:szCs w:val="20"/>
        </w:rPr>
        <w:t xml:space="preserve">the </w:t>
      </w:r>
      <w:r w:rsidR="007A52E1" w:rsidRPr="00EC55EA">
        <w:rPr>
          <w:rFonts w:asciiTheme="majorHAnsi" w:hAnsiTheme="majorHAnsi"/>
          <w:sz w:val="20"/>
          <w:szCs w:val="20"/>
        </w:rPr>
        <w:t xml:space="preserve">petition </w:t>
      </w:r>
      <w:r w:rsidRPr="00EC55EA">
        <w:rPr>
          <w:rFonts w:asciiTheme="majorHAnsi" w:hAnsiTheme="majorHAnsi"/>
          <w:sz w:val="20"/>
          <w:szCs w:val="20"/>
        </w:rPr>
        <w:t xml:space="preserve">was </w:t>
      </w:r>
      <w:r w:rsidR="007A52E1" w:rsidRPr="00EC55EA">
        <w:rPr>
          <w:rFonts w:asciiTheme="majorHAnsi" w:hAnsiTheme="majorHAnsi"/>
          <w:sz w:val="20"/>
          <w:szCs w:val="20"/>
        </w:rPr>
        <w:t>denied</w:t>
      </w:r>
      <w:r w:rsidR="00821F4B" w:rsidRPr="00EC55EA">
        <w:rPr>
          <w:rFonts w:asciiTheme="majorHAnsi" w:hAnsiTheme="majorHAnsi"/>
          <w:sz w:val="20"/>
          <w:szCs w:val="20"/>
        </w:rPr>
        <w:t>.</w:t>
      </w:r>
      <w:r w:rsidR="007A52E1" w:rsidRPr="00EC55EA">
        <w:rPr>
          <w:rFonts w:asciiTheme="majorHAnsi" w:hAnsiTheme="majorHAnsi"/>
          <w:sz w:val="20"/>
          <w:szCs w:val="20"/>
        </w:rPr>
        <w:t xml:space="preserve"> </w:t>
      </w:r>
    </w:p>
    <w:p w14:paraId="4FA9E2D2" w14:textId="77777777" w:rsidR="007354E7" w:rsidRPr="00EC55EA" w:rsidRDefault="007354E7" w:rsidP="00EC55EA">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jc w:val="both"/>
        <w:textAlignment w:val="baseline"/>
        <w:rPr>
          <w:rFonts w:asciiTheme="majorHAnsi" w:hAnsiTheme="majorHAnsi"/>
          <w:sz w:val="20"/>
          <w:szCs w:val="20"/>
        </w:rPr>
      </w:pPr>
    </w:p>
    <w:p w14:paraId="436F7EA3" w14:textId="74EEFBFC" w:rsidR="007A52E1" w:rsidRPr="00EC55EA" w:rsidRDefault="007354E7" w:rsidP="00EC55E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textAlignment w:val="baseline"/>
        <w:rPr>
          <w:rFonts w:asciiTheme="majorHAnsi" w:hAnsiTheme="majorHAnsi"/>
          <w:sz w:val="20"/>
          <w:szCs w:val="20"/>
        </w:rPr>
      </w:pPr>
      <w:r w:rsidRPr="00EC55EA">
        <w:rPr>
          <w:rFonts w:asciiTheme="majorHAnsi" w:hAnsiTheme="majorHAnsi"/>
          <w:sz w:val="20"/>
          <w:szCs w:val="20"/>
        </w:rPr>
        <w:t xml:space="preserve">With regard to the other alleged victims, according to the information available, Mr. Mikhel </w:t>
      </w:r>
      <w:r w:rsidR="0017695A" w:rsidRPr="00EC55EA">
        <w:rPr>
          <w:rFonts w:asciiTheme="majorHAnsi" w:hAnsiTheme="majorHAnsi"/>
          <w:sz w:val="20"/>
          <w:szCs w:val="20"/>
        </w:rPr>
        <w:t xml:space="preserve">was sentenced to death in a joint trial with Mr. Kadamovas, and remedies were also filed jointly. </w:t>
      </w:r>
      <w:r w:rsidRPr="00EC55EA">
        <w:rPr>
          <w:rFonts w:asciiTheme="majorHAnsi" w:hAnsiTheme="majorHAnsi"/>
          <w:sz w:val="20"/>
          <w:szCs w:val="20"/>
        </w:rPr>
        <w:t xml:space="preserve">Mr. Umana </w:t>
      </w:r>
      <w:r w:rsidR="0017695A" w:rsidRPr="00EC55EA">
        <w:rPr>
          <w:rFonts w:asciiTheme="majorHAnsi" w:hAnsiTheme="majorHAnsi"/>
          <w:sz w:val="20"/>
          <w:szCs w:val="20"/>
        </w:rPr>
        <w:t>was</w:t>
      </w:r>
      <w:r w:rsidRPr="00EC55EA">
        <w:rPr>
          <w:rFonts w:asciiTheme="majorHAnsi" w:hAnsiTheme="majorHAnsi"/>
          <w:sz w:val="20"/>
          <w:szCs w:val="20"/>
        </w:rPr>
        <w:t xml:space="preserve"> sentenced to death on April 28, 2010</w:t>
      </w:r>
      <w:r w:rsidR="00997C4E" w:rsidRPr="00EC55EA">
        <w:rPr>
          <w:rFonts w:asciiTheme="majorHAnsi" w:hAnsiTheme="majorHAnsi"/>
          <w:sz w:val="20"/>
          <w:szCs w:val="20"/>
        </w:rPr>
        <w:t>, and the Court of Appeals for the Fourth Circuit affirmed the conviction and sentence</w:t>
      </w:r>
      <w:r w:rsidRPr="00EC55EA">
        <w:rPr>
          <w:rFonts w:asciiTheme="majorHAnsi" w:hAnsiTheme="majorHAnsi"/>
          <w:sz w:val="20"/>
          <w:szCs w:val="20"/>
        </w:rPr>
        <w:t>.</w:t>
      </w:r>
      <w:r w:rsidR="00C92987" w:rsidRPr="00EC55EA">
        <w:rPr>
          <w:rFonts w:asciiTheme="majorHAnsi" w:hAnsiTheme="majorHAnsi"/>
          <w:sz w:val="20"/>
          <w:szCs w:val="20"/>
        </w:rPr>
        <w:t xml:space="preserve"> </w:t>
      </w:r>
      <w:r w:rsidR="00C028C4" w:rsidRPr="00EC55EA">
        <w:rPr>
          <w:rFonts w:asciiTheme="majorHAnsi" w:hAnsiTheme="majorHAnsi"/>
          <w:sz w:val="20"/>
          <w:szCs w:val="20"/>
        </w:rPr>
        <w:t xml:space="preserve">On June 22, 2015, </w:t>
      </w:r>
      <w:r w:rsidR="001B54FA" w:rsidRPr="00EC55EA">
        <w:rPr>
          <w:rFonts w:asciiTheme="majorHAnsi" w:hAnsiTheme="majorHAnsi"/>
          <w:sz w:val="20"/>
          <w:szCs w:val="20"/>
        </w:rPr>
        <w:t>the U.S. Supreme Court denied his</w:t>
      </w:r>
      <w:r w:rsidR="00C028C4" w:rsidRPr="00EC55EA">
        <w:rPr>
          <w:rFonts w:asciiTheme="majorHAnsi" w:hAnsiTheme="majorHAnsi"/>
          <w:sz w:val="20"/>
          <w:szCs w:val="20"/>
        </w:rPr>
        <w:t xml:space="preserve"> petition for certiorari. </w:t>
      </w:r>
      <w:r w:rsidR="00C92987" w:rsidRPr="00EC55EA">
        <w:rPr>
          <w:rFonts w:asciiTheme="majorHAnsi" w:hAnsiTheme="majorHAnsi"/>
          <w:sz w:val="20"/>
          <w:szCs w:val="20"/>
        </w:rPr>
        <w:t>Mr. Ortiz</w:t>
      </w:r>
      <w:r w:rsidRPr="00EC55EA">
        <w:rPr>
          <w:rFonts w:asciiTheme="majorHAnsi" w:hAnsiTheme="majorHAnsi"/>
          <w:sz w:val="20"/>
          <w:szCs w:val="20"/>
        </w:rPr>
        <w:t xml:space="preserve"> and Mr. Sinistera</w:t>
      </w:r>
      <w:r w:rsidR="00C92987" w:rsidRPr="00EC55EA">
        <w:rPr>
          <w:rFonts w:asciiTheme="majorHAnsi" w:hAnsiTheme="majorHAnsi"/>
          <w:sz w:val="20"/>
          <w:szCs w:val="20"/>
        </w:rPr>
        <w:t xml:space="preserve"> were sentenced to death in a joint trial in May 2000. Mr. Ortiz’s sentence was later commuted to life imprisonment by </w:t>
      </w:r>
      <w:r w:rsidR="00C82791" w:rsidRPr="00EC55EA">
        <w:rPr>
          <w:rFonts w:asciiTheme="majorHAnsi" w:hAnsiTheme="majorHAnsi"/>
          <w:sz w:val="20"/>
          <w:szCs w:val="20"/>
        </w:rPr>
        <w:t xml:space="preserve">the </w:t>
      </w:r>
      <w:r w:rsidR="00C92987" w:rsidRPr="00EC55EA">
        <w:rPr>
          <w:rFonts w:asciiTheme="majorHAnsi" w:hAnsiTheme="majorHAnsi"/>
          <w:sz w:val="20"/>
          <w:szCs w:val="20"/>
        </w:rPr>
        <w:t>President</w:t>
      </w:r>
      <w:r w:rsidR="00C82791" w:rsidRPr="00EC55EA">
        <w:rPr>
          <w:rFonts w:asciiTheme="majorHAnsi" w:hAnsiTheme="majorHAnsi"/>
          <w:sz w:val="20"/>
          <w:szCs w:val="20"/>
        </w:rPr>
        <w:t xml:space="preserve"> of th</w:t>
      </w:r>
      <w:r w:rsidR="006F6BFD" w:rsidRPr="00EC55EA">
        <w:rPr>
          <w:rFonts w:asciiTheme="majorHAnsi" w:hAnsiTheme="majorHAnsi"/>
          <w:sz w:val="20"/>
          <w:szCs w:val="20"/>
        </w:rPr>
        <w:t>e</w:t>
      </w:r>
      <w:r w:rsidR="00C82791" w:rsidRPr="00EC55EA">
        <w:rPr>
          <w:rFonts w:asciiTheme="majorHAnsi" w:hAnsiTheme="majorHAnsi"/>
          <w:sz w:val="20"/>
          <w:szCs w:val="20"/>
        </w:rPr>
        <w:t xml:space="preserve"> United States.</w:t>
      </w:r>
      <w:r w:rsidR="00C92987" w:rsidRPr="00EC55EA">
        <w:rPr>
          <w:rFonts w:asciiTheme="majorHAnsi" w:hAnsiTheme="majorHAnsi"/>
          <w:sz w:val="20"/>
          <w:szCs w:val="20"/>
        </w:rPr>
        <w:t xml:space="preserve">. </w:t>
      </w:r>
      <w:r w:rsidRPr="00EC55EA">
        <w:rPr>
          <w:rFonts w:asciiTheme="majorHAnsi" w:hAnsiTheme="majorHAnsi"/>
          <w:sz w:val="20"/>
          <w:szCs w:val="20"/>
        </w:rPr>
        <w:t>Mr. Sinister</w:t>
      </w:r>
      <w:r w:rsidR="00D10FF4" w:rsidRPr="00EC55EA">
        <w:rPr>
          <w:rFonts w:asciiTheme="majorHAnsi" w:hAnsiTheme="majorHAnsi"/>
          <w:sz w:val="20"/>
          <w:szCs w:val="20"/>
        </w:rPr>
        <w:t>r</w:t>
      </w:r>
      <w:r w:rsidRPr="00EC55EA">
        <w:rPr>
          <w:rFonts w:asciiTheme="majorHAnsi" w:hAnsiTheme="majorHAnsi"/>
          <w:sz w:val="20"/>
          <w:szCs w:val="20"/>
        </w:rPr>
        <w:t>a</w:t>
      </w:r>
      <w:r w:rsidR="00821F4B" w:rsidRPr="00EC55EA">
        <w:rPr>
          <w:rFonts w:asciiTheme="majorHAnsi" w:hAnsiTheme="majorHAnsi"/>
          <w:sz w:val="20"/>
          <w:szCs w:val="20"/>
        </w:rPr>
        <w:t xml:space="preserve"> </w:t>
      </w:r>
      <w:r w:rsidRPr="00EC55EA">
        <w:rPr>
          <w:rFonts w:asciiTheme="majorHAnsi" w:hAnsiTheme="majorHAnsi"/>
          <w:sz w:val="20"/>
          <w:szCs w:val="20"/>
        </w:rPr>
        <w:t xml:space="preserve">died in prison in March 2013. </w:t>
      </w:r>
    </w:p>
    <w:p w14:paraId="2759FFB8" w14:textId="77777777" w:rsidR="00046D41" w:rsidRPr="00EC55EA" w:rsidRDefault="00046D41" w:rsidP="00EC55EA">
      <w:pPr>
        <w:pStyle w:val="ListParagraph"/>
        <w:rPr>
          <w:rFonts w:asciiTheme="majorHAnsi" w:hAnsiTheme="majorHAnsi"/>
          <w:sz w:val="20"/>
          <w:szCs w:val="20"/>
        </w:rPr>
      </w:pPr>
    </w:p>
    <w:p w14:paraId="42B3FAC7" w14:textId="77777777" w:rsidR="00837EDD" w:rsidRPr="00EC55EA" w:rsidRDefault="00046D41" w:rsidP="00EC55E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textAlignment w:val="baseline"/>
        <w:rPr>
          <w:rFonts w:asciiTheme="majorHAnsi" w:hAnsiTheme="majorHAnsi"/>
          <w:color w:val="FF0000"/>
          <w:sz w:val="20"/>
          <w:szCs w:val="20"/>
        </w:rPr>
      </w:pPr>
      <w:r w:rsidRPr="00EC55EA">
        <w:rPr>
          <w:rFonts w:asciiTheme="majorHAnsi" w:hAnsiTheme="majorHAnsi"/>
          <w:sz w:val="20"/>
          <w:szCs w:val="20"/>
        </w:rPr>
        <w:t xml:space="preserve">The IACHR notes that the State alleges that Mr. Kadamovas and Mr. Bolden have not exhausted domestic remedies as they </w:t>
      </w:r>
      <w:r w:rsidR="00AB160E" w:rsidRPr="00EC55EA">
        <w:rPr>
          <w:rFonts w:asciiTheme="majorHAnsi" w:hAnsiTheme="majorHAnsi"/>
          <w:sz w:val="20"/>
          <w:szCs w:val="20"/>
        </w:rPr>
        <w:t xml:space="preserve">have civil claims pending before domestic courts. </w:t>
      </w:r>
      <w:r w:rsidR="00812C8D" w:rsidRPr="00EC55EA">
        <w:rPr>
          <w:rFonts w:asciiTheme="majorHAnsi" w:hAnsiTheme="majorHAnsi"/>
          <w:sz w:val="20"/>
          <w:szCs w:val="20"/>
        </w:rPr>
        <w:t xml:space="preserve">The rule requiring </w:t>
      </w:r>
      <w:r w:rsidR="00B66B51" w:rsidRPr="00EC55EA">
        <w:rPr>
          <w:rFonts w:asciiTheme="majorHAnsi" w:hAnsiTheme="majorHAnsi"/>
          <w:sz w:val="20"/>
          <w:szCs w:val="20"/>
        </w:rPr>
        <w:t xml:space="preserve">the </w:t>
      </w:r>
      <w:r w:rsidR="00812C8D" w:rsidRPr="00EC55EA">
        <w:rPr>
          <w:rFonts w:asciiTheme="majorHAnsi" w:hAnsiTheme="majorHAnsi"/>
          <w:sz w:val="20"/>
          <w:szCs w:val="20"/>
        </w:rPr>
        <w:t>exhaustion of domestic remedies does not mean that alleged victims have to exhaust every remedy available. In this regard, the Commission has repeatedly held that “the rule which requires the prior exhaustion of domestic remedies is designed for the benefit of the State, for that rule seeks to excuse the State from having to respond to charges before an international body for acts imputed to it before it has had the opportunity to remedy them by internal means.”</w:t>
      </w:r>
      <w:r w:rsidR="00812C8D" w:rsidRPr="00EC55EA">
        <w:rPr>
          <w:rStyle w:val="FootnoteReference"/>
          <w:rFonts w:asciiTheme="majorHAnsi" w:hAnsiTheme="majorHAnsi"/>
          <w:sz w:val="20"/>
          <w:szCs w:val="20"/>
        </w:rPr>
        <w:footnoteReference w:id="5"/>
      </w:r>
      <w:r w:rsidR="00812C8D" w:rsidRPr="00EC55EA">
        <w:rPr>
          <w:rFonts w:asciiTheme="majorHAnsi" w:hAnsiTheme="majorHAnsi"/>
          <w:sz w:val="20"/>
          <w:szCs w:val="20"/>
        </w:rPr>
        <w:t xml:space="preserve"> Therefore, if the alleged victim raised the issue by any lawful and appropriate alternative under the domestic juridical system and the State had the opportunity to remedy the matter within its jurisdiction, the purpose of the international rule has thus been served.</w:t>
      </w:r>
      <w:r w:rsidR="00812C8D" w:rsidRPr="00EC55EA">
        <w:rPr>
          <w:rStyle w:val="FootnoteReference"/>
          <w:rFonts w:asciiTheme="majorHAnsi" w:hAnsiTheme="majorHAnsi"/>
          <w:sz w:val="20"/>
          <w:szCs w:val="20"/>
        </w:rPr>
        <w:footnoteReference w:id="6"/>
      </w:r>
      <w:r w:rsidR="000F5D64" w:rsidRPr="00EC55EA">
        <w:rPr>
          <w:rFonts w:asciiTheme="majorHAnsi" w:hAnsiTheme="majorHAnsi"/>
          <w:sz w:val="20"/>
          <w:szCs w:val="20"/>
        </w:rPr>
        <w:t xml:space="preserve"> </w:t>
      </w:r>
    </w:p>
    <w:p w14:paraId="0DA88255" w14:textId="77777777" w:rsidR="00FB0135" w:rsidRPr="00EC55EA" w:rsidRDefault="00FB0135" w:rsidP="00EC55EA">
      <w:pPr>
        <w:pStyle w:val="ListParagraph"/>
        <w:rPr>
          <w:rFonts w:asciiTheme="majorHAnsi" w:hAnsiTheme="majorHAnsi"/>
          <w:color w:val="FF0000"/>
          <w:sz w:val="20"/>
          <w:szCs w:val="20"/>
        </w:rPr>
      </w:pPr>
    </w:p>
    <w:p w14:paraId="149CA8C9" w14:textId="77777777" w:rsidR="004804D4" w:rsidRPr="00EC55EA" w:rsidRDefault="00FB0135" w:rsidP="00EC55EA">
      <w:pPr>
        <w:pStyle w:val="parrafos"/>
        <w:numPr>
          <w:ilvl w:val="0"/>
          <w:numId w:val="55"/>
        </w:numPr>
        <w:ind w:left="0" w:firstLine="0"/>
      </w:pPr>
      <w:r w:rsidRPr="00EC55EA">
        <w:t xml:space="preserve">Based on the above factors, the Inter-American Commission concludes that the </w:t>
      </w:r>
      <w:r w:rsidR="004804D4" w:rsidRPr="00EC55EA">
        <w:t>alleged victims</w:t>
      </w:r>
      <w:r w:rsidRPr="00EC55EA">
        <w:t xml:space="preserve"> properly exhausted domestic remedies available within the domestic legal system and, therefore, that </w:t>
      </w:r>
      <w:r w:rsidR="004804D4" w:rsidRPr="00EC55EA">
        <w:t>their</w:t>
      </w:r>
      <w:r w:rsidRPr="00EC55EA">
        <w:t xml:space="preserve"> claims before the Commission are not barred from consideration by the requirement of exhaustion of domestic remedies under Article 31(1) of its Rules of Procedure.</w:t>
      </w:r>
      <w:r w:rsidR="00C43943" w:rsidRPr="00EC55EA">
        <w:t xml:space="preserve"> </w:t>
      </w:r>
    </w:p>
    <w:p w14:paraId="5903D972" w14:textId="77777777" w:rsidR="004804D4" w:rsidRPr="00EC55EA" w:rsidRDefault="004804D4" w:rsidP="00EC55EA">
      <w:pPr>
        <w:pStyle w:val="ListParagraph"/>
      </w:pPr>
    </w:p>
    <w:p w14:paraId="03B9CDA0" w14:textId="77777777" w:rsidR="00FB0135" w:rsidRPr="00EC55EA" w:rsidRDefault="00C43943" w:rsidP="00EC55EA">
      <w:pPr>
        <w:pStyle w:val="parrafos"/>
        <w:numPr>
          <w:ilvl w:val="0"/>
          <w:numId w:val="55"/>
        </w:numPr>
        <w:ind w:left="0" w:firstLine="0"/>
      </w:pPr>
      <w:r w:rsidRPr="00EC55EA">
        <w:t xml:space="preserve">The petition before the IACHR was presented on </w:t>
      </w:r>
      <w:r w:rsidR="00537159" w:rsidRPr="00EC55EA">
        <w:t>September 21, 2011</w:t>
      </w:r>
      <w:r w:rsidR="00BF4994" w:rsidRPr="00EC55EA">
        <w:t>. T</w:t>
      </w:r>
      <w:r w:rsidR="007E2CB3" w:rsidRPr="00EC55EA">
        <w:t xml:space="preserve">he </w:t>
      </w:r>
      <w:r w:rsidR="005C566A" w:rsidRPr="00EC55EA">
        <w:t xml:space="preserve">United States Supreme Court denied </w:t>
      </w:r>
      <w:r w:rsidR="007E2CB3" w:rsidRPr="00EC55EA">
        <w:t xml:space="preserve">the </w:t>
      </w:r>
      <w:r w:rsidR="005C566A" w:rsidRPr="00EC55EA">
        <w:t>writ of certiorari</w:t>
      </w:r>
      <w:r w:rsidR="007E2CB3" w:rsidRPr="00EC55EA">
        <w:t xml:space="preserve"> </w:t>
      </w:r>
      <w:r w:rsidR="00537159" w:rsidRPr="00EC55EA">
        <w:t>in 2009 for Mr. Bolden and October 7, 2019</w:t>
      </w:r>
      <w:r w:rsidR="00C028C4" w:rsidRPr="00EC55EA">
        <w:t>,</w:t>
      </w:r>
      <w:r w:rsidR="00537159" w:rsidRPr="00EC55EA">
        <w:t xml:space="preserve"> for Mr. Kadamovas</w:t>
      </w:r>
      <w:r w:rsidR="00A64D06" w:rsidRPr="00EC55EA">
        <w:t xml:space="preserve"> and Mr. Mikhel</w:t>
      </w:r>
      <w:r w:rsidR="00D31A84" w:rsidRPr="00EC55EA">
        <w:t xml:space="preserve">. </w:t>
      </w:r>
      <w:r w:rsidR="002222EF" w:rsidRPr="00EC55EA">
        <w:t xml:space="preserve">The matters brought </w:t>
      </w:r>
      <w:r w:rsidR="0058497E" w:rsidRPr="00EC55EA">
        <w:t xml:space="preserve">by Mr. Kadamovas and Mr. Bolden </w:t>
      </w:r>
      <w:r w:rsidR="002222EF" w:rsidRPr="00EC55EA">
        <w:t xml:space="preserve">before the Commission are within various civil suits on prison conditions and treatment. </w:t>
      </w:r>
      <w:r w:rsidR="00F547B5" w:rsidRPr="00EC55EA">
        <w:t>With regard to the other alleged victims, o</w:t>
      </w:r>
      <w:r w:rsidR="00C028C4" w:rsidRPr="00EC55EA">
        <w:t>n June 22, 2015, the U.S. Supreme Court denied Mr. Umana’s petition for certiorari</w:t>
      </w:r>
      <w:r w:rsidR="00BF4994" w:rsidRPr="00EC55EA">
        <w:t>; on January 18, 2017, Mr</w:t>
      </w:r>
      <w:r w:rsidR="00C028C4" w:rsidRPr="00EC55EA">
        <w:t xml:space="preserve">. </w:t>
      </w:r>
      <w:r w:rsidR="00D10FF4" w:rsidRPr="00EC55EA">
        <w:t>Ortiz</w:t>
      </w:r>
      <w:r w:rsidR="00BF4994" w:rsidRPr="00EC55EA">
        <w:t xml:space="preserve">’s sentence was commuted to </w:t>
      </w:r>
      <w:r w:rsidR="00BF4994" w:rsidRPr="00EC55EA">
        <w:lastRenderedPageBreak/>
        <w:t>life imprisonment; and</w:t>
      </w:r>
      <w:r w:rsidR="00D10FF4" w:rsidRPr="00EC55EA">
        <w:t xml:space="preserve"> </w:t>
      </w:r>
      <w:r w:rsidR="009B4FCA" w:rsidRPr="00EC55EA">
        <w:t xml:space="preserve">Mr. Sinisterra died in prison in March 2013. </w:t>
      </w:r>
      <w:r w:rsidR="00D31A84" w:rsidRPr="00EC55EA">
        <w:t>The Commission</w:t>
      </w:r>
      <w:r w:rsidR="00FB0135" w:rsidRPr="00EC55EA">
        <w:t xml:space="preserve"> </w:t>
      </w:r>
      <w:r w:rsidR="00A274BD" w:rsidRPr="00EC55EA">
        <w:t xml:space="preserve">therefore </w:t>
      </w:r>
      <w:r w:rsidR="00FB0135" w:rsidRPr="00EC55EA">
        <w:t xml:space="preserve">concludes that </w:t>
      </w:r>
      <w:r w:rsidR="00A274BD" w:rsidRPr="00EC55EA">
        <w:t xml:space="preserve">the requirement specified in Article 32(1) of its Rules of Procedure has been met. </w:t>
      </w:r>
    </w:p>
    <w:p w14:paraId="0A12131F" w14:textId="77777777" w:rsidR="00D20BFA" w:rsidRPr="00EC55EA" w:rsidRDefault="00D20BFA" w:rsidP="00EC55EA">
      <w:pPr>
        <w:pStyle w:val="parrafos"/>
        <w:ind w:left="0" w:firstLine="0"/>
      </w:pPr>
    </w:p>
    <w:p w14:paraId="7274553D" w14:textId="77777777" w:rsidR="00F516D3" w:rsidRPr="00EC55EA" w:rsidRDefault="00F516D3" w:rsidP="00EC55EA">
      <w:pPr>
        <w:pStyle w:val="Heading2"/>
        <w:keepLines w:val="0"/>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before="0"/>
        <w:ind w:left="360"/>
        <w:rPr>
          <w:rFonts w:cs="Times New Roman"/>
          <w:color w:val="auto"/>
          <w:sz w:val="20"/>
          <w:szCs w:val="20"/>
        </w:rPr>
      </w:pPr>
      <w:bookmarkStart w:id="9" w:name="_Toc7602625"/>
      <w:bookmarkStart w:id="10" w:name="_Toc150524380"/>
      <w:bookmarkStart w:id="11" w:name="_Toc6349144"/>
      <w:r w:rsidRPr="00EC55EA">
        <w:rPr>
          <w:rFonts w:cs="Times New Roman"/>
          <w:color w:val="auto"/>
          <w:sz w:val="20"/>
          <w:szCs w:val="20"/>
        </w:rPr>
        <w:t>Colorable claim</w:t>
      </w:r>
      <w:bookmarkEnd w:id="9"/>
      <w:bookmarkEnd w:id="10"/>
      <w:r w:rsidRPr="00EC55EA">
        <w:rPr>
          <w:rFonts w:cs="Times New Roman"/>
          <w:color w:val="auto"/>
          <w:sz w:val="20"/>
          <w:szCs w:val="20"/>
        </w:rPr>
        <w:t xml:space="preserve"> </w:t>
      </w:r>
      <w:bookmarkEnd w:id="11"/>
    </w:p>
    <w:p w14:paraId="73F70236" w14:textId="77777777" w:rsidR="00764470" w:rsidRPr="00EC55EA" w:rsidRDefault="00764470" w:rsidP="00EC55EA">
      <w:pPr>
        <w:rPr>
          <w:rFonts w:asciiTheme="majorHAnsi" w:hAnsiTheme="majorHAnsi"/>
          <w:sz w:val="20"/>
          <w:szCs w:val="20"/>
        </w:rPr>
      </w:pPr>
    </w:p>
    <w:p w14:paraId="661CD7F6" w14:textId="77777777" w:rsidR="008277A8" w:rsidRPr="00EC55EA" w:rsidRDefault="00764470" w:rsidP="00EC55E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suppressAutoHyphens/>
        <w:ind w:left="0" w:firstLine="0"/>
        <w:jc w:val="both"/>
        <w:rPr>
          <w:rFonts w:asciiTheme="majorHAnsi" w:hAnsiTheme="majorHAnsi"/>
          <w:sz w:val="20"/>
          <w:szCs w:val="20"/>
        </w:rPr>
      </w:pPr>
      <w:r w:rsidRPr="00EC55EA">
        <w:rPr>
          <w:rFonts w:asciiTheme="majorHAnsi" w:hAnsiTheme="majorHAnsi"/>
          <w:sz w:val="20"/>
          <w:szCs w:val="20"/>
        </w:rPr>
        <w:t xml:space="preserve">The Commission considers that, if proven, the facts alleged would tend to establish violations of the rights set forth in </w:t>
      </w:r>
      <w:r w:rsidR="00CF0A29" w:rsidRPr="00EC55EA">
        <w:rPr>
          <w:rFonts w:asciiTheme="majorHAnsi" w:hAnsiTheme="majorHAnsi"/>
          <w:sz w:val="20"/>
          <w:szCs w:val="20"/>
        </w:rPr>
        <w:t>Articles</w:t>
      </w:r>
      <w:r w:rsidR="00550FAA" w:rsidRPr="00EC55EA">
        <w:rPr>
          <w:rFonts w:asciiTheme="majorHAnsi" w:hAnsiTheme="majorHAnsi"/>
          <w:sz w:val="20"/>
          <w:szCs w:val="20"/>
        </w:rPr>
        <w:t xml:space="preserve"> I,</w:t>
      </w:r>
      <w:r w:rsidR="00967987" w:rsidRPr="00EC55EA">
        <w:rPr>
          <w:rFonts w:asciiTheme="majorHAnsi" w:hAnsiTheme="majorHAnsi"/>
          <w:sz w:val="20"/>
          <w:szCs w:val="20"/>
        </w:rPr>
        <w:t xml:space="preserve"> </w:t>
      </w:r>
      <w:r w:rsidR="00AF29D4" w:rsidRPr="00EC55EA">
        <w:rPr>
          <w:rFonts w:asciiTheme="majorHAnsi" w:hAnsiTheme="majorHAnsi"/>
          <w:sz w:val="20"/>
          <w:szCs w:val="20"/>
        </w:rPr>
        <w:t>XI, XVIII</w:t>
      </w:r>
      <w:r w:rsidR="00967987" w:rsidRPr="00EC55EA">
        <w:rPr>
          <w:rFonts w:asciiTheme="majorHAnsi" w:hAnsiTheme="majorHAnsi"/>
          <w:sz w:val="20"/>
          <w:szCs w:val="20"/>
        </w:rPr>
        <w:t>,</w:t>
      </w:r>
      <w:r w:rsidR="00550FAA" w:rsidRPr="00EC55EA">
        <w:rPr>
          <w:rFonts w:asciiTheme="majorHAnsi" w:hAnsiTheme="majorHAnsi"/>
          <w:sz w:val="20"/>
          <w:szCs w:val="20"/>
        </w:rPr>
        <w:t xml:space="preserve"> XXV and XXVI</w:t>
      </w:r>
      <w:r w:rsidR="00CF0A29" w:rsidRPr="00EC55EA">
        <w:rPr>
          <w:rFonts w:asciiTheme="majorHAnsi" w:hAnsiTheme="majorHAnsi"/>
          <w:sz w:val="20"/>
          <w:szCs w:val="20"/>
        </w:rPr>
        <w:t xml:space="preserve"> </w:t>
      </w:r>
      <w:r w:rsidRPr="00EC55EA">
        <w:rPr>
          <w:rFonts w:asciiTheme="majorHAnsi" w:hAnsiTheme="majorHAnsi"/>
          <w:sz w:val="20"/>
          <w:szCs w:val="20"/>
        </w:rPr>
        <w:t>of the American Declaration,</w:t>
      </w:r>
      <w:r w:rsidR="005B1DBA" w:rsidRPr="00EC55EA">
        <w:rPr>
          <w:rFonts w:asciiTheme="majorHAnsi" w:hAnsiTheme="majorHAnsi"/>
          <w:sz w:val="20"/>
          <w:szCs w:val="20"/>
        </w:rPr>
        <w:t xml:space="preserve"> to the detriment of </w:t>
      </w:r>
      <w:r w:rsidR="00AF40A7" w:rsidRPr="00EC55EA">
        <w:rPr>
          <w:rFonts w:asciiTheme="majorHAnsi" w:hAnsiTheme="majorHAnsi"/>
          <w:sz w:val="20"/>
          <w:szCs w:val="20"/>
        </w:rPr>
        <w:t>Mr. Kadamovas and Mr. Bolden</w:t>
      </w:r>
      <w:r w:rsidRPr="00EC55EA">
        <w:rPr>
          <w:rFonts w:asciiTheme="majorHAnsi" w:hAnsiTheme="majorHAnsi"/>
          <w:sz w:val="20"/>
          <w:szCs w:val="20"/>
        </w:rPr>
        <w:t xml:space="preserve">. </w:t>
      </w:r>
    </w:p>
    <w:p w14:paraId="7B95EC6E" w14:textId="77777777" w:rsidR="008277A8" w:rsidRPr="00EC55EA" w:rsidRDefault="008277A8" w:rsidP="00EC55EA">
      <w:pPr>
        <w:pStyle w:val="ListParagraph"/>
        <w:rPr>
          <w:rFonts w:asciiTheme="majorHAnsi" w:hAnsiTheme="majorHAnsi"/>
          <w:sz w:val="20"/>
          <w:szCs w:val="20"/>
        </w:rPr>
      </w:pPr>
    </w:p>
    <w:p w14:paraId="419C1FA9" w14:textId="77777777" w:rsidR="00B41B62" w:rsidRPr="00EC55EA" w:rsidRDefault="008277A8" w:rsidP="00EC55E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suppressAutoHyphens/>
        <w:ind w:left="0" w:firstLine="0"/>
        <w:jc w:val="both"/>
        <w:rPr>
          <w:rFonts w:asciiTheme="majorHAnsi" w:hAnsiTheme="majorHAnsi"/>
          <w:sz w:val="20"/>
          <w:szCs w:val="20"/>
        </w:rPr>
      </w:pPr>
      <w:r w:rsidRPr="00EC55EA">
        <w:rPr>
          <w:rFonts w:asciiTheme="majorHAnsi" w:hAnsiTheme="majorHAnsi"/>
          <w:sz w:val="20"/>
          <w:szCs w:val="20"/>
        </w:rPr>
        <w:t xml:space="preserve">With regard to Mr. Sinnistera, Mr. Ortiz, Mr. Mikhel and Mr. Umana, </w:t>
      </w:r>
      <w:r w:rsidR="00B41B62" w:rsidRPr="00EC55EA">
        <w:rPr>
          <w:rFonts w:asciiTheme="majorHAnsi" w:hAnsiTheme="majorHAnsi"/>
          <w:sz w:val="20"/>
          <w:szCs w:val="20"/>
        </w:rPr>
        <w:t xml:space="preserve">the Commission </w:t>
      </w:r>
      <w:r w:rsidR="006049EC" w:rsidRPr="00EC55EA">
        <w:rPr>
          <w:rFonts w:asciiTheme="majorHAnsi" w:hAnsiTheme="majorHAnsi"/>
          <w:sz w:val="20"/>
          <w:szCs w:val="20"/>
        </w:rPr>
        <w:t>lack</w:t>
      </w:r>
      <w:r w:rsidR="00B41B62" w:rsidRPr="00EC55EA">
        <w:rPr>
          <w:rFonts w:asciiTheme="majorHAnsi" w:hAnsiTheme="majorHAnsi"/>
          <w:sz w:val="20"/>
          <w:szCs w:val="20"/>
        </w:rPr>
        <w:t>s</w:t>
      </w:r>
      <w:r w:rsidR="006049EC" w:rsidRPr="00EC55EA">
        <w:rPr>
          <w:rFonts w:asciiTheme="majorHAnsi" w:hAnsiTheme="majorHAnsi"/>
          <w:sz w:val="20"/>
          <w:szCs w:val="20"/>
        </w:rPr>
        <w:t xml:space="preserve"> </w:t>
      </w:r>
      <w:r w:rsidR="00B41B62" w:rsidRPr="00EC55EA">
        <w:rPr>
          <w:rFonts w:asciiTheme="majorHAnsi" w:hAnsiTheme="majorHAnsi"/>
          <w:sz w:val="20"/>
          <w:szCs w:val="20"/>
        </w:rPr>
        <w:t xml:space="preserve">information about their claims. Therefore, </w:t>
      </w:r>
      <w:r w:rsidR="00736389" w:rsidRPr="00EC55EA">
        <w:rPr>
          <w:rFonts w:asciiTheme="majorHAnsi" w:hAnsiTheme="majorHAnsi"/>
          <w:sz w:val="20"/>
          <w:szCs w:val="20"/>
        </w:rPr>
        <w:t>given</w:t>
      </w:r>
      <w:r w:rsidR="00B41B62" w:rsidRPr="00EC55EA">
        <w:rPr>
          <w:rFonts w:asciiTheme="majorHAnsi" w:hAnsiTheme="majorHAnsi"/>
          <w:sz w:val="20"/>
          <w:szCs w:val="20"/>
        </w:rPr>
        <w:t xml:space="preserve"> this absence of </w:t>
      </w:r>
      <w:r w:rsidR="006049EC" w:rsidRPr="00EC55EA">
        <w:rPr>
          <w:rFonts w:asciiTheme="majorHAnsi" w:hAnsiTheme="majorHAnsi"/>
          <w:sz w:val="20"/>
          <w:szCs w:val="20"/>
        </w:rPr>
        <w:t>factual information</w:t>
      </w:r>
      <w:r w:rsidR="00B41B62" w:rsidRPr="00EC55EA">
        <w:rPr>
          <w:rFonts w:asciiTheme="majorHAnsi" w:hAnsiTheme="majorHAnsi"/>
          <w:sz w:val="20"/>
          <w:szCs w:val="20"/>
        </w:rPr>
        <w:t xml:space="preserve">, the Commission declares the petition inadmissible </w:t>
      </w:r>
      <w:r w:rsidR="00736389" w:rsidRPr="00EC55EA">
        <w:rPr>
          <w:rFonts w:asciiTheme="majorHAnsi" w:hAnsiTheme="majorHAnsi"/>
          <w:sz w:val="20"/>
          <w:szCs w:val="20"/>
        </w:rPr>
        <w:t>based on Article 34(a) of its Rules</w:t>
      </w:r>
      <w:r w:rsidR="006049EC" w:rsidRPr="00EC55EA">
        <w:rPr>
          <w:rFonts w:asciiTheme="majorHAnsi" w:hAnsiTheme="majorHAnsi"/>
          <w:sz w:val="20"/>
          <w:szCs w:val="20"/>
        </w:rPr>
        <w:t xml:space="preserve"> </w:t>
      </w:r>
      <w:r w:rsidR="00736389" w:rsidRPr="00EC55EA">
        <w:rPr>
          <w:rFonts w:asciiTheme="majorHAnsi" w:hAnsiTheme="majorHAnsi"/>
          <w:sz w:val="20"/>
          <w:szCs w:val="20"/>
        </w:rPr>
        <w:t>with regard to the four aforementioned alleged victims.</w:t>
      </w:r>
    </w:p>
    <w:p w14:paraId="1D777F39" w14:textId="77777777" w:rsidR="00B41B62" w:rsidRPr="00EC55EA" w:rsidRDefault="00B41B62" w:rsidP="00EC55EA">
      <w:pPr>
        <w:pStyle w:val="ListParagraph"/>
        <w:rPr>
          <w:rFonts w:asciiTheme="majorHAnsi" w:hAnsiTheme="majorHAnsi"/>
          <w:sz w:val="20"/>
          <w:szCs w:val="20"/>
        </w:rPr>
      </w:pPr>
    </w:p>
    <w:p w14:paraId="0C58659B" w14:textId="77777777" w:rsidR="00F40F3F" w:rsidRPr="00EC55EA" w:rsidRDefault="00F516D3" w:rsidP="00EC55EA">
      <w:pPr>
        <w:pStyle w:val="Heading1"/>
        <w:tabs>
          <w:tab w:val="left" w:pos="360"/>
        </w:tabs>
        <w:spacing w:before="0"/>
        <w:ind w:hanging="720"/>
        <w:rPr>
          <w:color w:val="auto"/>
          <w:sz w:val="20"/>
          <w:szCs w:val="20"/>
        </w:rPr>
      </w:pPr>
      <w:bookmarkStart w:id="12" w:name="_Toc150524381"/>
      <w:r w:rsidRPr="00EC55EA">
        <w:rPr>
          <w:color w:val="auto"/>
          <w:sz w:val="20"/>
          <w:szCs w:val="20"/>
        </w:rPr>
        <w:t>FINDINGS OF FACT</w:t>
      </w:r>
      <w:bookmarkEnd w:id="12"/>
    </w:p>
    <w:p w14:paraId="363EB21E" w14:textId="77777777" w:rsidR="003963B7" w:rsidRPr="00EC55EA" w:rsidRDefault="003963B7" w:rsidP="00EC55EA">
      <w:pPr>
        <w:rPr>
          <w:rFonts w:asciiTheme="majorHAnsi" w:hAnsiTheme="majorHAnsi"/>
          <w:sz w:val="20"/>
          <w:szCs w:val="20"/>
        </w:rPr>
      </w:pPr>
    </w:p>
    <w:p w14:paraId="1E43F554" w14:textId="77777777" w:rsidR="00DA249D" w:rsidRPr="00EC55EA" w:rsidRDefault="00DA249D" w:rsidP="00EC55EA">
      <w:pPr>
        <w:pStyle w:val="Heading2"/>
        <w:numPr>
          <w:ilvl w:val="0"/>
          <w:numId w:val="58"/>
        </w:numPr>
        <w:tabs>
          <w:tab w:val="left" w:pos="360"/>
        </w:tabs>
        <w:spacing w:before="0"/>
        <w:ind w:hanging="720"/>
        <w:rPr>
          <w:color w:val="auto"/>
          <w:sz w:val="20"/>
          <w:szCs w:val="20"/>
        </w:rPr>
      </w:pPr>
      <w:bookmarkStart w:id="13" w:name="_Toc26881333"/>
      <w:bookmarkStart w:id="14" w:name="_Toc150524382"/>
      <w:r w:rsidRPr="00EC55EA">
        <w:rPr>
          <w:color w:val="auto"/>
          <w:sz w:val="20"/>
          <w:szCs w:val="20"/>
        </w:rPr>
        <w:t>Facts of the case</w:t>
      </w:r>
      <w:bookmarkEnd w:id="13"/>
      <w:bookmarkEnd w:id="14"/>
    </w:p>
    <w:p w14:paraId="3027557C" w14:textId="77777777" w:rsidR="00DA249D" w:rsidRPr="00EC55EA" w:rsidRDefault="00DA249D" w:rsidP="00EC55EA">
      <w:pPr>
        <w:rPr>
          <w:rFonts w:asciiTheme="majorHAnsi" w:hAnsiTheme="majorHAnsi"/>
          <w:sz w:val="20"/>
          <w:szCs w:val="20"/>
        </w:rPr>
      </w:pPr>
    </w:p>
    <w:p w14:paraId="700731D6" w14:textId="77777777" w:rsidR="004600B6" w:rsidRPr="00EC55EA" w:rsidRDefault="00DA249D" w:rsidP="00EC55E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textAlignment w:val="baseline"/>
        <w:rPr>
          <w:rFonts w:asciiTheme="majorHAnsi" w:hAnsiTheme="majorHAnsi"/>
          <w:sz w:val="20"/>
          <w:szCs w:val="20"/>
        </w:rPr>
      </w:pPr>
      <w:r w:rsidRPr="00EC55EA">
        <w:rPr>
          <w:rFonts w:ascii="Cambria" w:hAnsi="Cambria"/>
          <w:sz w:val="20"/>
          <w:szCs w:val="20"/>
        </w:rPr>
        <w:t>According to the information available</w:t>
      </w:r>
      <w:r w:rsidR="00C251B1" w:rsidRPr="00EC55EA">
        <w:rPr>
          <w:rFonts w:ascii="Cambria" w:hAnsi="Cambria"/>
          <w:sz w:val="20"/>
          <w:szCs w:val="20"/>
        </w:rPr>
        <w:t xml:space="preserve"> within the appeal to the United States Court of Appeal </w:t>
      </w:r>
      <w:r w:rsidR="0021485B" w:rsidRPr="00EC55EA">
        <w:rPr>
          <w:rFonts w:ascii="Cambria" w:hAnsi="Cambria"/>
          <w:sz w:val="20"/>
          <w:szCs w:val="20"/>
        </w:rPr>
        <w:t>for the Ninth C</w:t>
      </w:r>
      <w:r w:rsidR="00835BDD" w:rsidRPr="00EC55EA">
        <w:rPr>
          <w:rFonts w:ascii="Cambria" w:hAnsi="Cambria"/>
          <w:sz w:val="20"/>
          <w:szCs w:val="20"/>
        </w:rPr>
        <w:t>ircuit, 2018</w:t>
      </w:r>
      <w:r w:rsidR="004F07A6" w:rsidRPr="00EC55EA">
        <w:rPr>
          <w:rStyle w:val="FootnoteReference"/>
          <w:rFonts w:ascii="Cambria" w:hAnsi="Cambria"/>
          <w:sz w:val="20"/>
          <w:szCs w:val="20"/>
        </w:rPr>
        <w:footnoteReference w:id="7"/>
      </w:r>
      <w:r w:rsidRPr="00EC55EA">
        <w:rPr>
          <w:rFonts w:ascii="Cambria" w:hAnsi="Cambria"/>
          <w:sz w:val="20"/>
          <w:szCs w:val="20"/>
        </w:rPr>
        <w:t xml:space="preserve">, </w:t>
      </w:r>
      <w:r w:rsidR="004600B6" w:rsidRPr="00EC55EA">
        <w:rPr>
          <w:rFonts w:ascii="Cambria" w:hAnsi="Cambria"/>
          <w:sz w:val="20"/>
          <w:szCs w:val="20"/>
        </w:rPr>
        <w:t xml:space="preserve">between late 2001 and early 2002, Mr. Kadamovas and Mr. Mikhel abducted, held hostage and killed five people, dumping each victim’s body in the New Melones Reservoir outside Yosemite National Park. After a </w:t>
      </w:r>
      <w:r w:rsidR="008277A8" w:rsidRPr="00EC55EA">
        <w:rPr>
          <w:rFonts w:ascii="Cambria" w:hAnsi="Cambria"/>
          <w:sz w:val="20"/>
          <w:szCs w:val="20"/>
        </w:rPr>
        <w:t>five-month</w:t>
      </w:r>
      <w:r w:rsidR="004600B6" w:rsidRPr="00EC55EA">
        <w:rPr>
          <w:rFonts w:ascii="Cambria" w:hAnsi="Cambria"/>
          <w:sz w:val="20"/>
          <w:szCs w:val="20"/>
        </w:rPr>
        <w:t xml:space="preserve"> trial, a jury convicted the two men of various federal crimes including multiple counts of hostage taking resulting in death.  </w:t>
      </w:r>
      <w:r w:rsidR="00F703D1" w:rsidRPr="00EC55EA">
        <w:rPr>
          <w:rFonts w:ascii="Cambria" w:hAnsi="Cambria"/>
          <w:sz w:val="20"/>
          <w:szCs w:val="20"/>
        </w:rPr>
        <w:t>Both men lived in Los Angeles, Califo</w:t>
      </w:r>
      <w:r w:rsidR="004F07A6" w:rsidRPr="00EC55EA">
        <w:rPr>
          <w:rFonts w:ascii="Cambria" w:hAnsi="Cambria"/>
          <w:sz w:val="20"/>
          <w:szCs w:val="20"/>
        </w:rPr>
        <w:t>rnia at the time of the events. It is provided that both men were assisted at various times by conspirators Petro Krylov, Ainar Altmanis, Aleksejus Markovskis, and Natalya Solovyeva; who all pleaded guilty and testified for the government</w:t>
      </w:r>
      <w:r w:rsidR="00C965D3" w:rsidRPr="00EC55EA">
        <w:rPr>
          <w:rFonts w:ascii="Cambria" w:hAnsi="Cambria"/>
          <w:sz w:val="20"/>
          <w:szCs w:val="20"/>
        </w:rPr>
        <w:t>. Mr.</w:t>
      </w:r>
      <w:r w:rsidR="004F07A6" w:rsidRPr="00EC55EA">
        <w:rPr>
          <w:rFonts w:ascii="Cambria" w:hAnsi="Cambria"/>
          <w:sz w:val="20"/>
          <w:szCs w:val="20"/>
        </w:rPr>
        <w:t xml:space="preserve"> Krylov </w:t>
      </w:r>
      <w:r w:rsidR="00C965D3" w:rsidRPr="00EC55EA">
        <w:rPr>
          <w:rFonts w:ascii="Cambria" w:hAnsi="Cambria"/>
          <w:sz w:val="20"/>
          <w:szCs w:val="20"/>
        </w:rPr>
        <w:t xml:space="preserve">was </w:t>
      </w:r>
      <w:r w:rsidR="004F07A6" w:rsidRPr="00EC55EA">
        <w:rPr>
          <w:rFonts w:ascii="Cambria" w:hAnsi="Cambria"/>
          <w:sz w:val="20"/>
          <w:szCs w:val="20"/>
        </w:rPr>
        <w:t xml:space="preserve">tried and convicted in a separate trial. </w:t>
      </w:r>
    </w:p>
    <w:p w14:paraId="5F0FDCFF" w14:textId="77777777" w:rsidR="00FF2A07" w:rsidRPr="00EC55EA" w:rsidRDefault="00FF2A07" w:rsidP="00EC55EA">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jc w:val="both"/>
        <w:textAlignment w:val="baseline"/>
        <w:rPr>
          <w:rFonts w:asciiTheme="majorHAnsi" w:hAnsiTheme="majorHAnsi"/>
          <w:sz w:val="20"/>
          <w:szCs w:val="20"/>
        </w:rPr>
      </w:pPr>
    </w:p>
    <w:p w14:paraId="7E9DFF05" w14:textId="77777777" w:rsidR="00F7144F" w:rsidRPr="00EC55EA" w:rsidRDefault="00FF2A07" w:rsidP="00EC55E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textAlignment w:val="baseline"/>
        <w:rPr>
          <w:rFonts w:asciiTheme="majorHAnsi" w:hAnsiTheme="majorHAnsi"/>
          <w:sz w:val="20"/>
          <w:szCs w:val="20"/>
        </w:rPr>
      </w:pPr>
      <w:r w:rsidRPr="00EC55EA">
        <w:rPr>
          <w:rFonts w:asciiTheme="majorHAnsi" w:hAnsiTheme="majorHAnsi"/>
          <w:sz w:val="20"/>
          <w:szCs w:val="20"/>
        </w:rPr>
        <w:t>The murders for which the men were convicted of,</w:t>
      </w:r>
      <w:r w:rsidR="00265031" w:rsidRPr="00EC55EA">
        <w:rPr>
          <w:rFonts w:asciiTheme="majorHAnsi" w:hAnsiTheme="majorHAnsi"/>
          <w:sz w:val="20"/>
          <w:szCs w:val="20"/>
        </w:rPr>
        <w:t xml:space="preserve"> were those of Meyer Muscatel, Rita Pekler, Alexander Umansky, Nick Kharabaze and George Safiev</w:t>
      </w:r>
      <w:r w:rsidRPr="00EC55EA">
        <w:rPr>
          <w:rFonts w:asciiTheme="majorHAnsi" w:hAnsiTheme="majorHAnsi"/>
          <w:sz w:val="20"/>
          <w:szCs w:val="20"/>
        </w:rPr>
        <w:t>. All recorded deaths were following attempts at financial gain from the victims. Regarding Meyer Muscatel, Mr. Kadamovas and Mr. Mikhel injected him with Dimedrol, a sedative, and using a plastic bag and force, suffocated him to death. Thereafter they dumped his body in the New Melones Reservoir. Rita Pekler was injected with Dimedrol, strangled and thrown off the Parrots Ferry Bridge. Alexander Umansky was strangled with</w:t>
      </w:r>
      <w:r w:rsidR="00C965D3" w:rsidRPr="00EC55EA">
        <w:rPr>
          <w:rFonts w:asciiTheme="majorHAnsi" w:hAnsiTheme="majorHAnsi"/>
          <w:sz w:val="20"/>
          <w:szCs w:val="20"/>
        </w:rPr>
        <w:t xml:space="preserve"> a</w:t>
      </w:r>
      <w:r w:rsidRPr="00EC55EA">
        <w:rPr>
          <w:rFonts w:asciiTheme="majorHAnsi" w:hAnsiTheme="majorHAnsi"/>
          <w:sz w:val="20"/>
          <w:szCs w:val="20"/>
        </w:rPr>
        <w:t xml:space="preserve"> rope and then thrown into the New Melones Reservoir. </w:t>
      </w:r>
      <w:r w:rsidR="00265031" w:rsidRPr="00EC55EA">
        <w:rPr>
          <w:rFonts w:asciiTheme="majorHAnsi" w:hAnsiTheme="majorHAnsi"/>
          <w:sz w:val="20"/>
          <w:szCs w:val="20"/>
        </w:rPr>
        <w:t>Nick Kharabaze and George Safiev were strangled and thrown into the New Melones Reservoir.</w:t>
      </w:r>
    </w:p>
    <w:p w14:paraId="0E4D6199" w14:textId="77777777" w:rsidR="00F7144F" w:rsidRPr="00EC55EA" w:rsidRDefault="00F7144F" w:rsidP="00EC55EA">
      <w:pPr>
        <w:rPr>
          <w:rFonts w:asciiTheme="majorHAnsi" w:hAnsiTheme="majorHAnsi"/>
          <w:sz w:val="20"/>
          <w:szCs w:val="20"/>
        </w:rPr>
      </w:pPr>
    </w:p>
    <w:p w14:paraId="49A5EAF2" w14:textId="77777777" w:rsidR="000D0A5D" w:rsidRPr="00EC55EA" w:rsidRDefault="00F7144F" w:rsidP="00EC55E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textAlignment w:val="baseline"/>
        <w:rPr>
          <w:rFonts w:asciiTheme="majorHAnsi" w:hAnsiTheme="majorHAnsi"/>
          <w:sz w:val="20"/>
          <w:szCs w:val="20"/>
        </w:rPr>
      </w:pPr>
      <w:r w:rsidRPr="00EC55EA">
        <w:rPr>
          <w:rFonts w:ascii="Cambria" w:hAnsi="Cambria"/>
          <w:sz w:val="20"/>
          <w:szCs w:val="20"/>
        </w:rPr>
        <w:t xml:space="preserve">According to the information available within the appeal to the United States </w:t>
      </w:r>
      <w:r w:rsidR="00C965D3" w:rsidRPr="00EC55EA">
        <w:rPr>
          <w:rFonts w:ascii="Cambria" w:hAnsi="Cambria"/>
          <w:sz w:val="20"/>
          <w:szCs w:val="20"/>
        </w:rPr>
        <w:t>Court of Appeal for the Ninth C</w:t>
      </w:r>
      <w:r w:rsidRPr="00EC55EA">
        <w:rPr>
          <w:rFonts w:ascii="Cambria" w:hAnsi="Cambria"/>
          <w:sz w:val="20"/>
          <w:szCs w:val="20"/>
        </w:rPr>
        <w:t xml:space="preserve">ircuit, </w:t>
      </w:r>
      <w:r w:rsidR="00007BD1" w:rsidRPr="00EC55EA">
        <w:rPr>
          <w:rFonts w:ascii="Cambria" w:hAnsi="Cambria"/>
          <w:sz w:val="20"/>
          <w:szCs w:val="20"/>
        </w:rPr>
        <w:t>2009</w:t>
      </w:r>
      <w:r w:rsidRPr="00EC55EA">
        <w:rPr>
          <w:rStyle w:val="FootnoteReference"/>
          <w:rFonts w:ascii="Cambria" w:hAnsi="Cambria"/>
          <w:sz w:val="20"/>
          <w:szCs w:val="20"/>
        </w:rPr>
        <w:footnoteReference w:id="8"/>
      </w:r>
      <w:r w:rsidRPr="00EC55EA">
        <w:rPr>
          <w:rFonts w:ascii="Cambria" w:hAnsi="Cambria"/>
          <w:sz w:val="20"/>
          <w:szCs w:val="20"/>
        </w:rPr>
        <w:t xml:space="preserve">, </w:t>
      </w:r>
      <w:r w:rsidR="000D0A5D" w:rsidRPr="00EC55EA">
        <w:rPr>
          <w:rFonts w:asciiTheme="majorHAnsi" w:hAnsiTheme="majorHAnsi"/>
          <w:sz w:val="20"/>
          <w:szCs w:val="28"/>
          <w:bdr w:val="none" w:sz="0" w:space="0" w:color="auto"/>
        </w:rPr>
        <w:t xml:space="preserve">Dominick Price testified that, on the morning of October 7, 2002, Bolden asked Price to help rob a Bank of America branch because Bolden needed $2,000 to avoid being evicted from his home. As the two “cased” the bank, Bolden told a hesitant Price his plan: Bolden would brandish his handgun and disarm the guard outside the bank, then Bolden and Price would take the guard into the bank as a hostage, demand money, and drive away in Bolden’s car. The two men purchased nylon stocking caps, and Bolden recruited a third man, Corteze Edwards, to assist in the robbery. </w:t>
      </w:r>
    </w:p>
    <w:p w14:paraId="7D3320E0" w14:textId="77777777" w:rsidR="000D0A5D" w:rsidRPr="00EC55EA" w:rsidRDefault="000D0A5D" w:rsidP="00EC55EA">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jc w:val="both"/>
        <w:textAlignment w:val="baseline"/>
        <w:rPr>
          <w:rFonts w:asciiTheme="majorHAnsi" w:hAnsiTheme="majorHAnsi"/>
          <w:sz w:val="20"/>
          <w:szCs w:val="28"/>
          <w:bdr w:val="none" w:sz="0" w:space="0" w:color="auto"/>
        </w:rPr>
      </w:pPr>
    </w:p>
    <w:p w14:paraId="2D811ED9" w14:textId="77777777" w:rsidR="00DA249D" w:rsidRPr="00EC55EA" w:rsidRDefault="000D0A5D" w:rsidP="00EC55E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textAlignment w:val="baseline"/>
        <w:rPr>
          <w:rFonts w:asciiTheme="majorHAnsi" w:hAnsiTheme="majorHAnsi"/>
          <w:sz w:val="20"/>
          <w:szCs w:val="20"/>
        </w:rPr>
      </w:pPr>
      <w:r w:rsidRPr="00EC55EA">
        <w:rPr>
          <w:rFonts w:asciiTheme="majorHAnsi" w:hAnsiTheme="majorHAnsi"/>
          <w:sz w:val="20"/>
          <w:szCs w:val="28"/>
          <w:bdr w:val="none" w:sz="0" w:space="0" w:color="auto"/>
        </w:rPr>
        <w:t xml:space="preserve">Early that afternoon, the trio dressed in dark clothing and drove to a parking lot near the bank. Price and Edwards wore masks. Bolden did not. When bank guard Ley walked out of the bank, Bolden approached on foot, with Price and Edwards fifteen-to-twenty feet behind. Price testified that Bolden stopped a short distance from Ley and pointed his handgun at the guard. After a brief dialog, Ley reached for the gun, and they struggled. Bolden regained control of the gun and shot Ley in the jaw. As Ley fell, Bolden took a step back and fired another shot into Ley’s head. Ley died from the second wound later that afternoon. The three robbers ran off, shedding clothing as they ran. Many bystanders witnessed the shooting. One saw Bolden drive away, and he was arrested that evening. </w:t>
      </w:r>
    </w:p>
    <w:p w14:paraId="4D892CD8" w14:textId="77777777" w:rsidR="00DC7C8C" w:rsidRPr="00EC55EA" w:rsidRDefault="009D44D1" w:rsidP="00EC55EA">
      <w:pPr>
        <w:pStyle w:val="Heading2"/>
        <w:numPr>
          <w:ilvl w:val="0"/>
          <w:numId w:val="58"/>
        </w:numPr>
        <w:tabs>
          <w:tab w:val="left" w:pos="360"/>
        </w:tabs>
        <w:spacing w:before="0"/>
        <w:ind w:hanging="720"/>
        <w:rPr>
          <w:color w:val="auto"/>
          <w:sz w:val="20"/>
          <w:szCs w:val="20"/>
        </w:rPr>
      </w:pPr>
      <w:bookmarkStart w:id="15" w:name="_Toc150524383"/>
      <w:r w:rsidRPr="00EC55EA">
        <w:rPr>
          <w:color w:val="auto"/>
          <w:sz w:val="20"/>
          <w:szCs w:val="20"/>
        </w:rPr>
        <w:lastRenderedPageBreak/>
        <w:t>Trial and death sentence</w:t>
      </w:r>
      <w:bookmarkEnd w:id="15"/>
    </w:p>
    <w:p w14:paraId="228A3549" w14:textId="77777777" w:rsidR="00021557" w:rsidRPr="00EC55EA" w:rsidRDefault="00021557" w:rsidP="00EC55EA"/>
    <w:p w14:paraId="2B2AEAB1" w14:textId="77777777" w:rsidR="00501CF1" w:rsidRPr="00EC55EA" w:rsidRDefault="009A3D51" w:rsidP="00EC55E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textAlignment w:val="baseline"/>
        <w:rPr>
          <w:rFonts w:asciiTheme="majorHAnsi" w:hAnsiTheme="majorHAnsi"/>
          <w:sz w:val="20"/>
          <w:szCs w:val="20"/>
        </w:rPr>
      </w:pPr>
      <w:r w:rsidRPr="00EC55EA">
        <w:rPr>
          <w:rFonts w:asciiTheme="majorHAnsi" w:hAnsiTheme="majorHAnsi"/>
          <w:sz w:val="20"/>
          <w:szCs w:val="20"/>
        </w:rPr>
        <w:t>According to the information available</w:t>
      </w:r>
      <w:r w:rsidR="008101A8" w:rsidRPr="00EC55EA">
        <w:rPr>
          <w:rFonts w:asciiTheme="majorHAnsi" w:hAnsiTheme="majorHAnsi"/>
          <w:sz w:val="20"/>
          <w:szCs w:val="20"/>
        </w:rPr>
        <w:t>,</w:t>
      </w:r>
      <w:r w:rsidRPr="00EC55EA">
        <w:rPr>
          <w:rFonts w:asciiTheme="majorHAnsi" w:hAnsiTheme="majorHAnsi"/>
          <w:sz w:val="20"/>
          <w:szCs w:val="20"/>
        </w:rPr>
        <w:t xml:space="preserve"> a</w:t>
      </w:r>
      <w:r w:rsidR="00D86110" w:rsidRPr="00EC55EA">
        <w:rPr>
          <w:rFonts w:asciiTheme="majorHAnsi" w:hAnsiTheme="majorHAnsi"/>
          <w:sz w:val="20"/>
          <w:szCs w:val="20"/>
        </w:rPr>
        <w:t xml:space="preserve"> grand jury indicted Mr. Kadamovas on conspiracy to take hostages resulting in death, hostage-taking resulting in death, conspiracy to launder monetary instruments, conspiracy to escape from custody and criminal forfeiture. </w:t>
      </w:r>
      <w:r w:rsidR="008101A8" w:rsidRPr="00EC55EA">
        <w:rPr>
          <w:rFonts w:asciiTheme="majorHAnsi" w:hAnsiTheme="majorHAnsi"/>
          <w:sz w:val="20"/>
          <w:szCs w:val="20"/>
        </w:rPr>
        <w:t xml:space="preserve">The guilt phase of the trial began in July 2006, and spanned five months. </w:t>
      </w:r>
      <w:r w:rsidR="00D86110" w:rsidRPr="00EC55EA">
        <w:rPr>
          <w:rFonts w:asciiTheme="majorHAnsi" w:hAnsiTheme="majorHAnsi"/>
          <w:sz w:val="20"/>
          <w:szCs w:val="20"/>
        </w:rPr>
        <w:t xml:space="preserve">Mr. Kadamovas was found guilty on January 17, 2007 and </w:t>
      </w:r>
      <w:r w:rsidR="0091418E" w:rsidRPr="00EC55EA">
        <w:rPr>
          <w:rFonts w:asciiTheme="majorHAnsi" w:hAnsiTheme="majorHAnsi"/>
          <w:sz w:val="20"/>
          <w:szCs w:val="20"/>
        </w:rPr>
        <w:t>on February 13, 2007 a jury sentenced Mr. Kadamovas to death.</w:t>
      </w:r>
      <w:r w:rsidR="00057789" w:rsidRPr="00EC55EA">
        <w:rPr>
          <w:rStyle w:val="FootnoteReference"/>
          <w:rFonts w:asciiTheme="majorHAnsi" w:hAnsiTheme="majorHAnsi"/>
          <w:sz w:val="20"/>
          <w:szCs w:val="20"/>
        </w:rPr>
        <w:footnoteReference w:id="9"/>
      </w:r>
    </w:p>
    <w:p w14:paraId="287A527B" w14:textId="77777777" w:rsidR="001B02A6" w:rsidRPr="00EC55EA" w:rsidRDefault="001B02A6" w:rsidP="00EC55EA">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jc w:val="both"/>
        <w:textAlignment w:val="baseline"/>
        <w:rPr>
          <w:rFonts w:asciiTheme="majorHAnsi" w:hAnsiTheme="majorHAnsi"/>
          <w:sz w:val="20"/>
          <w:szCs w:val="20"/>
        </w:rPr>
      </w:pPr>
    </w:p>
    <w:p w14:paraId="77BB0BC7" w14:textId="77777777" w:rsidR="008E211D" w:rsidRPr="00EC55EA" w:rsidRDefault="001B02A6" w:rsidP="00EC55E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textAlignment w:val="baseline"/>
        <w:rPr>
          <w:rFonts w:asciiTheme="majorHAnsi" w:hAnsiTheme="majorHAnsi"/>
          <w:sz w:val="20"/>
          <w:szCs w:val="20"/>
        </w:rPr>
      </w:pPr>
      <w:r w:rsidRPr="00EC55EA">
        <w:rPr>
          <w:rFonts w:asciiTheme="majorHAnsi" w:hAnsiTheme="majorHAnsi"/>
          <w:sz w:val="20"/>
          <w:szCs w:val="20"/>
        </w:rPr>
        <w:t>Mr. Bolden</w:t>
      </w:r>
      <w:r w:rsidR="00B70902" w:rsidRPr="00EC55EA">
        <w:rPr>
          <w:rFonts w:asciiTheme="majorHAnsi" w:hAnsiTheme="majorHAnsi"/>
          <w:sz w:val="20"/>
          <w:szCs w:val="20"/>
        </w:rPr>
        <w:t>,</w:t>
      </w:r>
      <w:r w:rsidRPr="00EC55EA">
        <w:rPr>
          <w:rFonts w:asciiTheme="majorHAnsi" w:hAnsiTheme="majorHAnsi"/>
          <w:sz w:val="20"/>
          <w:szCs w:val="20"/>
        </w:rPr>
        <w:t xml:space="preserve"> was charged with conspiring to commit armed robbery</w:t>
      </w:r>
      <w:r w:rsidR="00B70902" w:rsidRPr="00EC55EA">
        <w:rPr>
          <w:rFonts w:asciiTheme="majorHAnsi" w:hAnsiTheme="majorHAnsi"/>
          <w:sz w:val="20"/>
          <w:szCs w:val="20"/>
        </w:rPr>
        <w:t>, and in so doing, killing a security guard attempting to rob a bank and in so doing, killing a security guard; using and carrying a firearm during and in relation to the attempted bank robbery, and in doing so committing murder; and being a convicted felon in possession of a firearm. On May 23, 2006 a jury found Mr. Bolden guilty of all four charges and sentenced him to death. The judgment was affirmed on appeal in 2008 and his petition for certiorari was denied in 2009.</w:t>
      </w:r>
      <w:r w:rsidR="00886C29" w:rsidRPr="00EC55EA">
        <w:rPr>
          <w:rStyle w:val="FootnoteReference"/>
          <w:rFonts w:asciiTheme="majorHAnsi" w:hAnsiTheme="majorHAnsi"/>
          <w:sz w:val="20"/>
        </w:rPr>
        <w:footnoteReference w:id="10"/>
      </w:r>
    </w:p>
    <w:p w14:paraId="5DBFBBFD" w14:textId="77777777" w:rsidR="008E211D" w:rsidRPr="00EC55EA" w:rsidRDefault="008E211D" w:rsidP="00EC55EA">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jc w:val="both"/>
        <w:textAlignment w:val="baseline"/>
        <w:rPr>
          <w:rFonts w:asciiTheme="majorHAnsi" w:hAnsiTheme="majorHAnsi"/>
          <w:sz w:val="20"/>
          <w:szCs w:val="20"/>
        </w:rPr>
      </w:pPr>
    </w:p>
    <w:p w14:paraId="1F9BCBED" w14:textId="77777777" w:rsidR="006271AD" w:rsidRPr="00EC55EA" w:rsidRDefault="008E211D" w:rsidP="00EC55EA">
      <w:pPr>
        <w:pStyle w:val="NormalWeb"/>
        <w:numPr>
          <w:ilvl w:val="0"/>
          <w:numId w:val="55"/>
        </w:numPr>
        <w:tabs>
          <w:tab w:val="left" w:pos="360"/>
          <w:tab w:val="left" w:pos="720"/>
          <w:tab w:val="left" w:pos="1440"/>
        </w:tabs>
        <w:spacing w:before="0" w:beforeAutospacing="0" w:after="0" w:afterAutospacing="0"/>
        <w:ind w:left="0" w:firstLine="0"/>
        <w:jc w:val="both"/>
        <w:textAlignment w:val="baseline"/>
        <w:rPr>
          <w:rFonts w:asciiTheme="majorHAnsi" w:hAnsiTheme="majorHAnsi"/>
          <w:sz w:val="20"/>
          <w:szCs w:val="20"/>
        </w:rPr>
      </w:pPr>
      <w:r w:rsidRPr="00EC55EA">
        <w:rPr>
          <w:rFonts w:asciiTheme="majorHAnsi" w:hAnsiTheme="majorHAnsi"/>
          <w:sz w:val="20"/>
          <w:szCs w:val="20"/>
        </w:rPr>
        <w:t>Mr. Mikhel</w:t>
      </w:r>
      <w:r w:rsidR="00CD1893" w:rsidRPr="00EC55EA">
        <w:rPr>
          <w:rFonts w:asciiTheme="majorHAnsi" w:hAnsiTheme="majorHAnsi"/>
          <w:sz w:val="20"/>
          <w:szCs w:val="20"/>
        </w:rPr>
        <w:t>, in a joint trial with Mr. Kadamovas,</w:t>
      </w:r>
      <w:r w:rsidRPr="00EC55EA">
        <w:rPr>
          <w:rFonts w:asciiTheme="majorHAnsi" w:hAnsiTheme="majorHAnsi"/>
          <w:sz w:val="20"/>
          <w:szCs w:val="20"/>
        </w:rPr>
        <w:t xml:space="preserve"> was also sentenced to death on February 13, 2007 after being convicted of murders in a kidnapping for ransom scheme. </w:t>
      </w:r>
      <w:r w:rsidR="006271AD" w:rsidRPr="00EC55EA">
        <w:rPr>
          <w:rFonts w:asciiTheme="majorHAnsi" w:hAnsiTheme="majorHAnsi"/>
          <w:sz w:val="20"/>
          <w:szCs w:val="20"/>
        </w:rPr>
        <w:t>As regards the trial process, Sonia E. Chahin</w:t>
      </w:r>
      <w:r w:rsidR="00847431" w:rsidRPr="00EC55EA">
        <w:rPr>
          <w:rFonts w:asciiTheme="majorHAnsi" w:hAnsiTheme="majorHAnsi"/>
          <w:sz w:val="20"/>
          <w:szCs w:val="20"/>
        </w:rPr>
        <w:t>,</w:t>
      </w:r>
      <w:r w:rsidR="006271AD" w:rsidRPr="00EC55EA">
        <w:rPr>
          <w:rStyle w:val="FootnoteReference"/>
          <w:rFonts w:asciiTheme="majorHAnsi" w:hAnsiTheme="majorHAnsi"/>
          <w:sz w:val="20"/>
          <w:szCs w:val="20"/>
        </w:rPr>
        <w:footnoteReference w:id="11"/>
      </w:r>
      <w:r w:rsidR="006271AD" w:rsidRPr="00EC55EA">
        <w:rPr>
          <w:rFonts w:asciiTheme="majorHAnsi" w:hAnsiTheme="majorHAnsi"/>
          <w:sz w:val="20"/>
          <w:szCs w:val="20"/>
        </w:rPr>
        <w:t xml:space="preserve"> state appointed counsel for Mr. Kadamovas, admits to having insufficient time to prepare for the complexity and magnitude of his case given the volume of reading material and the various languages the evidence existed in. </w:t>
      </w:r>
    </w:p>
    <w:p w14:paraId="36EB15F8" w14:textId="77777777" w:rsidR="006271AD" w:rsidRPr="00EC55EA" w:rsidRDefault="006271AD" w:rsidP="00EC55EA">
      <w:pPr>
        <w:pStyle w:val="NormalWeb"/>
        <w:tabs>
          <w:tab w:val="left" w:pos="360"/>
          <w:tab w:val="left" w:pos="720"/>
          <w:tab w:val="left" w:pos="1440"/>
        </w:tabs>
        <w:spacing w:before="0" w:beforeAutospacing="0" w:after="0" w:afterAutospacing="0"/>
        <w:jc w:val="both"/>
        <w:textAlignment w:val="baseline"/>
        <w:rPr>
          <w:rFonts w:asciiTheme="majorHAnsi" w:hAnsiTheme="majorHAnsi"/>
          <w:sz w:val="20"/>
          <w:szCs w:val="20"/>
        </w:rPr>
      </w:pPr>
    </w:p>
    <w:p w14:paraId="73B6A0E2" w14:textId="5E53AF2D" w:rsidR="00886C29" w:rsidRPr="00EC55EA" w:rsidRDefault="00CD1893" w:rsidP="00EC55E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textAlignment w:val="baseline"/>
        <w:rPr>
          <w:rFonts w:asciiTheme="majorHAnsi" w:hAnsiTheme="majorHAnsi"/>
          <w:sz w:val="20"/>
          <w:szCs w:val="20"/>
        </w:rPr>
      </w:pPr>
      <w:r w:rsidRPr="00EC55EA">
        <w:rPr>
          <w:rFonts w:asciiTheme="majorHAnsi" w:hAnsiTheme="majorHAnsi"/>
          <w:sz w:val="20"/>
          <w:szCs w:val="20"/>
        </w:rPr>
        <w:t>Mr. Umana</w:t>
      </w:r>
      <w:r w:rsidR="00B00604" w:rsidRPr="00EC55EA">
        <w:rPr>
          <w:rFonts w:asciiTheme="majorHAnsi" w:hAnsiTheme="majorHAnsi"/>
          <w:sz w:val="20"/>
          <w:szCs w:val="20"/>
        </w:rPr>
        <w:t xml:space="preserve"> was sentenced to death on April 28, 2010.</w:t>
      </w:r>
      <w:r w:rsidR="00111D3C" w:rsidRPr="00EC55EA">
        <w:rPr>
          <w:rFonts w:asciiTheme="majorHAnsi" w:hAnsiTheme="majorHAnsi"/>
          <w:sz w:val="20"/>
          <w:szCs w:val="20"/>
        </w:rPr>
        <w:t xml:space="preserve"> According to publicly available information, the Court of Appeals for the Fourth Circuit affirmed the conviction and sentence</w:t>
      </w:r>
      <w:r w:rsidR="00C028C4" w:rsidRPr="00EC55EA">
        <w:rPr>
          <w:rFonts w:asciiTheme="majorHAnsi" w:hAnsiTheme="majorHAnsi"/>
          <w:sz w:val="20"/>
          <w:szCs w:val="20"/>
        </w:rPr>
        <w:t xml:space="preserve"> and on June 22, 2015, the U.S. Supreme Court denied a petition for certiorari.</w:t>
      </w:r>
      <w:r w:rsidR="00111D3C" w:rsidRPr="00EC55EA">
        <w:rPr>
          <w:rStyle w:val="FootnoteReference"/>
          <w:rFonts w:asciiTheme="majorHAnsi" w:hAnsiTheme="majorHAnsi"/>
          <w:sz w:val="20"/>
          <w:szCs w:val="20"/>
        </w:rPr>
        <w:footnoteReference w:id="12"/>
      </w:r>
      <w:r w:rsidR="00B00604" w:rsidRPr="00EC55EA">
        <w:rPr>
          <w:rFonts w:asciiTheme="majorHAnsi" w:hAnsiTheme="majorHAnsi"/>
          <w:sz w:val="20"/>
          <w:szCs w:val="20"/>
        </w:rPr>
        <w:t xml:space="preserve"> </w:t>
      </w:r>
      <w:r w:rsidR="00F9491E" w:rsidRPr="00EC55EA">
        <w:rPr>
          <w:rFonts w:asciiTheme="majorHAnsi" w:hAnsiTheme="majorHAnsi"/>
          <w:sz w:val="20"/>
          <w:szCs w:val="20"/>
        </w:rPr>
        <w:t>Mr. Ortiz was sentenced to death in May 2000</w:t>
      </w:r>
      <w:r w:rsidR="00EA0FBB" w:rsidRPr="00EC55EA">
        <w:rPr>
          <w:rFonts w:asciiTheme="majorHAnsi" w:hAnsiTheme="majorHAnsi"/>
          <w:sz w:val="20"/>
          <w:szCs w:val="20"/>
        </w:rPr>
        <w:t>. According to publicly available information, on December 14, 2007, the district court denied a motion for post-conviction relief. Th</w:t>
      </w:r>
      <w:r w:rsidR="00D10FF4" w:rsidRPr="00EC55EA">
        <w:rPr>
          <w:rFonts w:asciiTheme="majorHAnsi" w:hAnsiTheme="majorHAnsi"/>
          <w:sz w:val="20"/>
          <w:szCs w:val="20"/>
        </w:rPr>
        <w:t>e</w:t>
      </w:r>
      <w:r w:rsidR="00EA0FBB" w:rsidRPr="00EC55EA">
        <w:rPr>
          <w:rFonts w:asciiTheme="majorHAnsi" w:hAnsiTheme="majorHAnsi"/>
          <w:sz w:val="20"/>
          <w:szCs w:val="20"/>
        </w:rPr>
        <w:t xml:space="preserve"> </w:t>
      </w:r>
      <w:r w:rsidR="006D12A5" w:rsidRPr="00EC55EA">
        <w:rPr>
          <w:rFonts w:asciiTheme="majorHAnsi" w:hAnsiTheme="majorHAnsi"/>
          <w:sz w:val="20"/>
          <w:szCs w:val="20"/>
        </w:rPr>
        <w:t>U.S. Court of Appeals for the Eighth Circuit later</w:t>
      </w:r>
      <w:r w:rsidR="00EA0FBB" w:rsidRPr="00EC55EA">
        <w:rPr>
          <w:rFonts w:asciiTheme="majorHAnsi" w:hAnsiTheme="majorHAnsi"/>
          <w:sz w:val="20"/>
          <w:szCs w:val="20"/>
        </w:rPr>
        <w:t xml:space="preserve"> vacated</w:t>
      </w:r>
      <w:r w:rsidR="006D12A5" w:rsidRPr="00EC55EA">
        <w:rPr>
          <w:rFonts w:asciiTheme="majorHAnsi" w:hAnsiTheme="majorHAnsi"/>
          <w:sz w:val="20"/>
          <w:szCs w:val="20"/>
        </w:rPr>
        <w:t xml:space="preserve"> this denial</w:t>
      </w:r>
      <w:r w:rsidR="00EA0FBB" w:rsidRPr="00EC55EA">
        <w:rPr>
          <w:rFonts w:asciiTheme="majorHAnsi" w:hAnsiTheme="majorHAnsi"/>
          <w:sz w:val="20"/>
          <w:szCs w:val="20"/>
        </w:rPr>
        <w:t xml:space="preserve"> and remanded for reconsideration</w:t>
      </w:r>
      <w:r w:rsidR="00F55FC4" w:rsidRPr="00EC55EA">
        <w:rPr>
          <w:rFonts w:asciiTheme="majorHAnsi" w:hAnsiTheme="majorHAnsi"/>
          <w:sz w:val="20"/>
          <w:szCs w:val="20"/>
        </w:rPr>
        <w:t xml:space="preserve"> on December 19, 2011</w:t>
      </w:r>
      <w:r w:rsidR="00EA0FBB" w:rsidRPr="00EC55EA">
        <w:rPr>
          <w:rFonts w:asciiTheme="majorHAnsi" w:hAnsiTheme="majorHAnsi"/>
          <w:sz w:val="20"/>
          <w:szCs w:val="20"/>
        </w:rPr>
        <w:t>.</w:t>
      </w:r>
      <w:r w:rsidR="00EA0FBB" w:rsidRPr="00EC55EA">
        <w:rPr>
          <w:rStyle w:val="FootnoteReference"/>
          <w:rFonts w:asciiTheme="majorHAnsi" w:hAnsiTheme="majorHAnsi"/>
          <w:sz w:val="20"/>
          <w:szCs w:val="20"/>
        </w:rPr>
        <w:footnoteReference w:id="13"/>
      </w:r>
      <w:r w:rsidR="00EA0FBB" w:rsidRPr="00EC55EA">
        <w:rPr>
          <w:rFonts w:asciiTheme="majorHAnsi" w:hAnsiTheme="majorHAnsi"/>
          <w:sz w:val="20"/>
          <w:szCs w:val="20"/>
        </w:rPr>
        <w:t xml:space="preserve"> </w:t>
      </w:r>
      <w:r w:rsidR="00BF4994" w:rsidRPr="00EC55EA">
        <w:rPr>
          <w:rFonts w:asciiTheme="majorHAnsi" w:hAnsiTheme="majorHAnsi"/>
          <w:sz w:val="20"/>
          <w:szCs w:val="20"/>
        </w:rPr>
        <w:t>The</w:t>
      </w:r>
      <w:r w:rsidR="00C420AF" w:rsidRPr="00EC55EA">
        <w:rPr>
          <w:rFonts w:asciiTheme="majorHAnsi" w:hAnsiTheme="majorHAnsi"/>
          <w:sz w:val="20"/>
          <w:szCs w:val="20"/>
        </w:rPr>
        <w:t xml:space="preserve"> death</w:t>
      </w:r>
      <w:r w:rsidR="00F9491E" w:rsidRPr="00EC55EA">
        <w:rPr>
          <w:rFonts w:asciiTheme="majorHAnsi" w:hAnsiTheme="majorHAnsi"/>
          <w:sz w:val="20"/>
          <w:szCs w:val="20"/>
        </w:rPr>
        <w:t xml:space="preserve"> sentence </w:t>
      </w:r>
      <w:r w:rsidR="00C420AF" w:rsidRPr="00EC55EA">
        <w:rPr>
          <w:rFonts w:asciiTheme="majorHAnsi" w:hAnsiTheme="majorHAnsi"/>
          <w:sz w:val="20"/>
          <w:szCs w:val="20"/>
        </w:rPr>
        <w:t xml:space="preserve">was </w:t>
      </w:r>
      <w:r w:rsidR="00F9491E" w:rsidRPr="00EC55EA">
        <w:rPr>
          <w:rFonts w:asciiTheme="majorHAnsi" w:hAnsiTheme="majorHAnsi"/>
          <w:sz w:val="20"/>
          <w:szCs w:val="20"/>
        </w:rPr>
        <w:t xml:space="preserve">commuted to life imprisonment without parole </w:t>
      </w:r>
      <w:r w:rsidR="00F55FC4" w:rsidRPr="00EC55EA">
        <w:rPr>
          <w:rFonts w:asciiTheme="majorHAnsi" w:hAnsiTheme="majorHAnsi"/>
          <w:sz w:val="20"/>
          <w:szCs w:val="20"/>
        </w:rPr>
        <w:t xml:space="preserve">on January 18, 2017, </w:t>
      </w:r>
      <w:r w:rsidR="00F9491E" w:rsidRPr="00EC55EA">
        <w:rPr>
          <w:rFonts w:asciiTheme="majorHAnsi" w:hAnsiTheme="majorHAnsi"/>
          <w:sz w:val="20"/>
          <w:szCs w:val="20"/>
        </w:rPr>
        <w:t>a</w:t>
      </w:r>
      <w:r w:rsidR="00C420AF" w:rsidRPr="00EC55EA">
        <w:rPr>
          <w:rFonts w:asciiTheme="majorHAnsi" w:hAnsiTheme="majorHAnsi"/>
          <w:sz w:val="20"/>
          <w:szCs w:val="20"/>
        </w:rPr>
        <w:t xml:space="preserve">fter a clemency petition to </w:t>
      </w:r>
      <w:r w:rsidR="00F9491E" w:rsidRPr="00EC55EA">
        <w:rPr>
          <w:rFonts w:asciiTheme="majorHAnsi" w:hAnsiTheme="majorHAnsi"/>
          <w:sz w:val="20"/>
          <w:szCs w:val="20"/>
        </w:rPr>
        <w:t>the</w:t>
      </w:r>
      <w:r w:rsidR="001D6D5D" w:rsidRPr="00EC55EA">
        <w:rPr>
          <w:rFonts w:asciiTheme="majorHAnsi" w:hAnsiTheme="majorHAnsi"/>
          <w:sz w:val="20"/>
          <w:szCs w:val="20"/>
        </w:rPr>
        <w:t xml:space="preserve"> US </w:t>
      </w:r>
      <w:r w:rsidR="00F9491E" w:rsidRPr="00EC55EA">
        <w:rPr>
          <w:rFonts w:asciiTheme="majorHAnsi" w:hAnsiTheme="majorHAnsi"/>
          <w:sz w:val="20"/>
          <w:szCs w:val="20"/>
        </w:rPr>
        <w:t xml:space="preserve"> President </w:t>
      </w:r>
      <w:r w:rsidR="00C420AF" w:rsidRPr="00EC55EA">
        <w:rPr>
          <w:rFonts w:asciiTheme="majorHAnsi" w:hAnsiTheme="majorHAnsi"/>
          <w:sz w:val="20"/>
          <w:szCs w:val="20"/>
        </w:rPr>
        <w:t xml:space="preserve">based on his intellectual </w:t>
      </w:r>
      <w:r w:rsidR="00C614A9" w:rsidRPr="00EC55EA">
        <w:rPr>
          <w:rFonts w:asciiTheme="majorHAnsi" w:hAnsiTheme="majorHAnsi"/>
          <w:sz w:val="20"/>
          <w:szCs w:val="20"/>
        </w:rPr>
        <w:t>impairment</w:t>
      </w:r>
      <w:r w:rsidR="00F9491E" w:rsidRPr="00EC55EA">
        <w:rPr>
          <w:rFonts w:asciiTheme="majorHAnsi" w:hAnsiTheme="majorHAnsi"/>
          <w:sz w:val="20"/>
          <w:szCs w:val="20"/>
        </w:rPr>
        <w:t>, his right</w:t>
      </w:r>
      <w:r w:rsidR="00B82D01" w:rsidRPr="00EC55EA">
        <w:rPr>
          <w:rFonts w:asciiTheme="majorHAnsi" w:hAnsiTheme="majorHAnsi"/>
          <w:sz w:val="20"/>
          <w:szCs w:val="20"/>
        </w:rPr>
        <w:t xml:space="preserve"> under the Vienna Convention having</w:t>
      </w:r>
      <w:r w:rsidR="00F9491E" w:rsidRPr="00EC55EA">
        <w:rPr>
          <w:rFonts w:asciiTheme="majorHAnsi" w:hAnsiTheme="majorHAnsi"/>
          <w:sz w:val="20"/>
          <w:szCs w:val="20"/>
        </w:rPr>
        <w:t xml:space="preserve"> been violated, </w:t>
      </w:r>
      <w:r w:rsidR="00B82D01" w:rsidRPr="00EC55EA">
        <w:rPr>
          <w:rFonts w:asciiTheme="majorHAnsi" w:hAnsiTheme="majorHAnsi"/>
          <w:sz w:val="20"/>
          <w:szCs w:val="20"/>
        </w:rPr>
        <w:t>him being</w:t>
      </w:r>
      <w:r w:rsidR="00F9491E" w:rsidRPr="00EC55EA">
        <w:rPr>
          <w:rFonts w:asciiTheme="majorHAnsi" w:hAnsiTheme="majorHAnsi"/>
          <w:sz w:val="20"/>
          <w:szCs w:val="20"/>
        </w:rPr>
        <w:t xml:space="preserve"> an accomplice who was not in the room at the time of the murder and </w:t>
      </w:r>
      <w:r w:rsidR="00B82D01" w:rsidRPr="00EC55EA">
        <w:rPr>
          <w:rFonts w:asciiTheme="majorHAnsi" w:hAnsiTheme="majorHAnsi"/>
          <w:sz w:val="20"/>
          <w:szCs w:val="20"/>
        </w:rPr>
        <w:t>him having</w:t>
      </w:r>
      <w:r w:rsidR="00F9491E" w:rsidRPr="00EC55EA">
        <w:rPr>
          <w:rFonts w:asciiTheme="majorHAnsi" w:hAnsiTheme="majorHAnsi"/>
          <w:sz w:val="20"/>
          <w:szCs w:val="20"/>
        </w:rPr>
        <w:t xml:space="preserve"> been denied effective assistance of counsel. </w:t>
      </w:r>
      <w:r w:rsidR="00CA16AD" w:rsidRPr="00EC55EA">
        <w:rPr>
          <w:rFonts w:asciiTheme="majorHAnsi" w:hAnsiTheme="majorHAnsi"/>
          <w:sz w:val="20"/>
          <w:szCs w:val="20"/>
        </w:rPr>
        <w:t>Mr. Sinister</w:t>
      </w:r>
      <w:r w:rsidR="008D7623" w:rsidRPr="00EC55EA">
        <w:rPr>
          <w:rFonts w:asciiTheme="majorHAnsi" w:hAnsiTheme="majorHAnsi"/>
          <w:sz w:val="20"/>
          <w:szCs w:val="20"/>
        </w:rPr>
        <w:t>r</w:t>
      </w:r>
      <w:r w:rsidR="00CA16AD" w:rsidRPr="00EC55EA">
        <w:rPr>
          <w:rFonts w:asciiTheme="majorHAnsi" w:hAnsiTheme="majorHAnsi"/>
          <w:sz w:val="20"/>
          <w:szCs w:val="20"/>
        </w:rPr>
        <w:t xml:space="preserve">a, in joint trial with Mr. Ortiz, was similarly sentenced to death and died in prison in March 2013. </w:t>
      </w:r>
    </w:p>
    <w:p w14:paraId="4046FD7B" w14:textId="77777777" w:rsidR="00D876B2" w:rsidRPr="00EC55EA" w:rsidRDefault="00D876B2" w:rsidP="00EC55EA">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jc w:val="both"/>
        <w:textAlignment w:val="baseline"/>
        <w:rPr>
          <w:rFonts w:asciiTheme="majorHAnsi" w:hAnsiTheme="majorHAnsi"/>
          <w:sz w:val="20"/>
          <w:szCs w:val="20"/>
        </w:rPr>
      </w:pPr>
    </w:p>
    <w:p w14:paraId="7E77296D" w14:textId="77777777" w:rsidR="000A2229" w:rsidRPr="00EC55EA" w:rsidRDefault="00700BCA" w:rsidP="00EC55EA">
      <w:pPr>
        <w:pStyle w:val="Heading2"/>
        <w:numPr>
          <w:ilvl w:val="0"/>
          <w:numId w:val="58"/>
        </w:numPr>
        <w:tabs>
          <w:tab w:val="left" w:pos="360"/>
        </w:tabs>
        <w:spacing w:before="0"/>
        <w:ind w:hanging="720"/>
        <w:rPr>
          <w:color w:val="auto"/>
          <w:sz w:val="20"/>
          <w:szCs w:val="20"/>
        </w:rPr>
      </w:pPr>
      <w:bookmarkStart w:id="16" w:name="_Toc150524384"/>
      <w:r w:rsidRPr="00EC55EA">
        <w:rPr>
          <w:color w:val="auto"/>
          <w:sz w:val="20"/>
          <w:szCs w:val="20"/>
        </w:rPr>
        <w:t>Appeals and other remedies</w:t>
      </w:r>
      <w:bookmarkEnd w:id="16"/>
    </w:p>
    <w:p w14:paraId="3C7D4152" w14:textId="77777777" w:rsidR="007A51E3" w:rsidRPr="00EC55EA" w:rsidRDefault="007A51E3" w:rsidP="00EC55EA">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jc w:val="both"/>
        <w:textAlignment w:val="baseline"/>
        <w:rPr>
          <w:rFonts w:asciiTheme="majorHAnsi" w:hAnsiTheme="majorHAnsi"/>
          <w:sz w:val="20"/>
          <w:szCs w:val="20"/>
        </w:rPr>
      </w:pPr>
    </w:p>
    <w:p w14:paraId="2C3FB10B" w14:textId="619C1510" w:rsidR="009A7F2B" w:rsidRPr="00EC55EA" w:rsidRDefault="004F48CC" w:rsidP="00EC55E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textAlignment w:val="baseline"/>
        <w:rPr>
          <w:rFonts w:asciiTheme="majorHAnsi" w:hAnsiTheme="majorHAnsi"/>
          <w:sz w:val="20"/>
          <w:szCs w:val="20"/>
        </w:rPr>
      </w:pPr>
      <w:r w:rsidRPr="00EC55EA">
        <w:rPr>
          <w:rFonts w:asciiTheme="majorHAnsi" w:hAnsiTheme="majorHAnsi"/>
          <w:sz w:val="20"/>
          <w:szCs w:val="20"/>
        </w:rPr>
        <w:t>Mr. Kadamovas and Mr. Mikhel appealed their convictions and sentences</w:t>
      </w:r>
      <w:r w:rsidR="006045A7" w:rsidRPr="00EC55EA">
        <w:rPr>
          <w:rFonts w:asciiTheme="majorHAnsi" w:hAnsiTheme="majorHAnsi"/>
          <w:sz w:val="20"/>
          <w:szCs w:val="20"/>
        </w:rPr>
        <w:t>,</w:t>
      </w:r>
      <w:r w:rsidRPr="00EC55EA">
        <w:rPr>
          <w:rStyle w:val="FootnoteReference"/>
          <w:rFonts w:asciiTheme="majorHAnsi" w:hAnsiTheme="majorHAnsi"/>
          <w:sz w:val="20"/>
          <w:szCs w:val="20"/>
        </w:rPr>
        <w:footnoteReference w:id="14"/>
      </w:r>
      <w:r w:rsidRPr="00EC55EA">
        <w:rPr>
          <w:rFonts w:asciiTheme="majorHAnsi" w:hAnsiTheme="majorHAnsi"/>
          <w:sz w:val="20"/>
          <w:szCs w:val="20"/>
        </w:rPr>
        <w:t xml:space="preserve"> claiming errors in both guilt and penalty phases of trial. </w:t>
      </w:r>
      <w:r w:rsidR="00EC192C" w:rsidRPr="00EC55EA">
        <w:rPr>
          <w:rFonts w:asciiTheme="majorHAnsi" w:hAnsiTheme="majorHAnsi"/>
          <w:sz w:val="20"/>
          <w:szCs w:val="20"/>
        </w:rPr>
        <w:t xml:space="preserve">Regarding the alleged denial of computer access by Mr. Kadamovas, the court found no such pattern of denial as a detailed declaration of the BOP’s supervisory attorney attested that Mr. Kadamovas had regular computer access but was often not using it; further that prison records evidenced approval of various requests to use his computer, along with isolated incidents of denial </w:t>
      </w:r>
      <w:r w:rsidR="00E9068B" w:rsidRPr="00EC55EA">
        <w:rPr>
          <w:rFonts w:asciiTheme="majorHAnsi" w:hAnsiTheme="majorHAnsi"/>
          <w:sz w:val="20"/>
          <w:szCs w:val="20"/>
        </w:rPr>
        <w:t>consistent</w:t>
      </w:r>
      <w:r w:rsidR="00EC192C" w:rsidRPr="00EC55EA">
        <w:rPr>
          <w:rFonts w:asciiTheme="majorHAnsi" w:hAnsiTheme="majorHAnsi"/>
          <w:sz w:val="20"/>
          <w:szCs w:val="20"/>
        </w:rPr>
        <w:t xml:space="preserve"> with the Government’s stipulation terms of providing that access subject to the safety, security, m</w:t>
      </w:r>
      <w:r w:rsidR="003D1D4D" w:rsidRPr="00EC55EA">
        <w:rPr>
          <w:rFonts w:asciiTheme="majorHAnsi" w:hAnsiTheme="majorHAnsi"/>
          <w:sz w:val="20"/>
          <w:szCs w:val="20"/>
        </w:rPr>
        <w:t>anagement and operational needs</w:t>
      </w:r>
      <w:r w:rsidR="00EC192C" w:rsidRPr="00EC55EA">
        <w:rPr>
          <w:rFonts w:asciiTheme="majorHAnsi" w:hAnsiTheme="majorHAnsi"/>
          <w:sz w:val="20"/>
          <w:szCs w:val="20"/>
        </w:rPr>
        <w:t xml:space="preserve">. </w:t>
      </w:r>
      <w:r w:rsidR="007E048D" w:rsidRPr="00EC55EA">
        <w:rPr>
          <w:rFonts w:asciiTheme="majorHAnsi" w:hAnsiTheme="majorHAnsi"/>
          <w:sz w:val="20"/>
          <w:szCs w:val="20"/>
        </w:rPr>
        <w:t xml:space="preserve">Regarding the claim of prosecutorial </w:t>
      </w:r>
      <w:r w:rsidR="006D0B44" w:rsidRPr="00EC55EA">
        <w:rPr>
          <w:rFonts w:asciiTheme="majorHAnsi" w:hAnsiTheme="majorHAnsi"/>
          <w:sz w:val="20"/>
          <w:szCs w:val="20"/>
        </w:rPr>
        <w:t>mis</w:t>
      </w:r>
      <w:r w:rsidR="007E048D" w:rsidRPr="00EC55EA">
        <w:rPr>
          <w:rFonts w:asciiTheme="majorHAnsi" w:hAnsiTheme="majorHAnsi"/>
          <w:sz w:val="20"/>
          <w:szCs w:val="20"/>
        </w:rPr>
        <w:t>conduct, the court reasoned that the prosecution</w:t>
      </w:r>
      <w:r w:rsidR="008B03ED" w:rsidRPr="00EC55EA">
        <w:rPr>
          <w:rFonts w:asciiTheme="majorHAnsi" w:hAnsiTheme="majorHAnsi"/>
          <w:sz w:val="20"/>
          <w:szCs w:val="20"/>
        </w:rPr>
        <w:t xml:space="preserve"> </w:t>
      </w:r>
      <w:r w:rsidR="007E048D" w:rsidRPr="00EC55EA">
        <w:rPr>
          <w:rFonts w:asciiTheme="majorHAnsi" w:hAnsiTheme="majorHAnsi"/>
          <w:sz w:val="20"/>
          <w:szCs w:val="20"/>
        </w:rPr>
        <w:t xml:space="preserve">should not have </w:t>
      </w:r>
      <w:r w:rsidR="008B03ED" w:rsidRPr="00EC55EA">
        <w:rPr>
          <w:rFonts w:asciiTheme="majorHAnsi" w:hAnsiTheme="majorHAnsi"/>
          <w:sz w:val="20"/>
          <w:szCs w:val="20"/>
        </w:rPr>
        <w:t>made</w:t>
      </w:r>
      <w:r w:rsidR="007E048D" w:rsidRPr="00EC55EA">
        <w:rPr>
          <w:rFonts w:asciiTheme="majorHAnsi" w:hAnsiTheme="majorHAnsi"/>
          <w:sz w:val="20"/>
          <w:szCs w:val="20"/>
        </w:rPr>
        <w:t xml:space="preserve"> a comparison of life in prison to the victim’</w:t>
      </w:r>
      <w:r w:rsidR="008B03ED" w:rsidRPr="00EC55EA">
        <w:rPr>
          <w:rFonts w:asciiTheme="majorHAnsi" w:hAnsiTheme="majorHAnsi"/>
          <w:sz w:val="20"/>
          <w:szCs w:val="20"/>
        </w:rPr>
        <w:t xml:space="preserve">s death in order to argue that prison life was less dire than as presented by the Defendants </w:t>
      </w:r>
      <w:r w:rsidR="005840B2" w:rsidRPr="00EC55EA">
        <w:rPr>
          <w:rFonts w:asciiTheme="majorHAnsi" w:hAnsiTheme="majorHAnsi"/>
          <w:sz w:val="20"/>
          <w:szCs w:val="20"/>
        </w:rPr>
        <w:t>(that prison life was already harsh as to be sufficient punishment)</w:t>
      </w:r>
      <w:r w:rsidR="008B03ED" w:rsidRPr="00EC55EA">
        <w:rPr>
          <w:rFonts w:asciiTheme="majorHAnsi" w:hAnsiTheme="majorHAnsi"/>
          <w:sz w:val="20"/>
          <w:szCs w:val="20"/>
        </w:rPr>
        <w:t xml:space="preserve">. </w:t>
      </w:r>
    </w:p>
    <w:p w14:paraId="2277CD10" w14:textId="77777777" w:rsidR="009A7F2B" w:rsidRPr="00EC55EA" w:rsidRDefault="009A7F2B" w:rsidP="00EC55EA">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jc w:val="both"/>
        <w:textAlignment w:val="baseline"/>
        <w:rPr>
          <w:rFonts w:asciiTheme="majorHAnsi" w:hAnsiTheme="majorHAnsi"/>
          <w:sz w:val="20"/>
          <w:szCs w:val="20"/>
        </w:rPr>
      </w:pPr>
    </w:p>
    <w:p w14:paraId="69029F06" w14:textId="77777777" w:rsidR="005840B2" w:rsidRPr="00EC55EA" w:rsidRDefault="008B03ED" w:rsidP="00EC55E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textAlignment w:val="baseline"/>
        <w:rPr>
          <w:rFonts w:asciiTheme="majorHAnsi" w:hAnsiTheme="majorHAnsi"/>
          <w:sz w:val="20"/>
          <w:szCs w:val="20"/>
        </w:rPr>
      </w:pPr>
      <w:r w:rsidRPr="00EC55EA">
        <w:rPr>
          <w:rFonts w:asciiTheme="majorHAnsi" w:hAnsiTheme="majorHAnsi"/>
          <w:sz w:val="20"/>
          <w:szCs w:val="20"/>
        </w:rPr>
        <w:lastRenderedPageBreak/>
        <w:t xml:space="preserve">The court recognized that the comparison was not necessary to rebut the defendant’s arguments and appears to have been calculated to unnecessarily inflame the passions of the jury. However, the court concluded that the statements </w:t>
      </w:r>
      <w:r w:rsidR="00784694" w:rsidRPr="00EC55EA">
        <w:rPr>
          <w:rFonts w:asciiTheme="majorHAnsi" w:hAnsiTheme="majorHAnsi"/>
          <w:sz w:val="20"/>
          <w:szCs w:val="20"/>
        </w:rPr>
        <w:t xml:space="preserve">made </w:t>
      </w:r>
      <w:r w:rsidRPr="00EC55EA">
        <w:rPr>
          <w:rFonts w:asciiTheme="majorHAnsi" w:hAnsiTheme="majorHAnsi"/>
          <w:sz w:val="20"/>
          <w:szCs w:val="20"/>
        </w:rPr>
        <w:t>by the prosecution did not so affect the jury’s ability to consider the totality of the evidence fairly</w:t>
      </w:r>
      <w:r w:rsidR="00784694" w:rsidRPr="00EC55EA">
        <w:rPr>
          <w:rFonts w:asciiTheme="majorHAnsi" w:hAnsiTheme="majorHAnsi"/>
          <w:sz w:val="20"/>
          <w:szCs w:val="20"/>
        </w:rPr>
        <w:t xml:space="preserve"> that it tainted the</w:t>
      </w:r>
      <w:r w:rsidRPr="00EC55EA">
        <w:rPr>
          <w:rFonts w:asciiTheme="majorHAnsi" w:hAnsiTheme="majorHAnsi"/>
          <w:sz w:val="20"/>
          <w:szCs w:val="20"/>
        </w:rPr>
        <w:t xml:space="preserve"> verdict and deprive the defendants of a fair trial. </w:t>
      </w:r>
      <w:r w:rsidR="00965000" w:rsidRPr="00EC55EA">
        <w:rPr>
          <w:rFonts w:asciiTheme="majorHAnsi" w:hAnsiTheme="majorHAnsi"/>
          <w:sz w:val="20"/>
          <w:szCs w:val="20"/>
        </w:rPr>
        <w:t xml:space="preserve">Additionally, the appeal contested that the non-statutory aggravating factor of future dangerousness violated due process and intruded on the jury’s fact-finding role. </w:t>
      </w:r>
      <w:r w:rsidR="00E56EB8" w:rsidRPr="00EC55EA">
        <w:rPr>
          <w:rFonts w:asciiTheme="majorHAnsi" w:hAnsiTheme="majorHAnsi"/>
          <w:sz w:val="20"/>
          <w:szCs w:val="20"/>
        </w:rPr>
        <w:t>Although the factor was limited to future dangerousness in federal prison, this took into consideration prospect of continuing pattern of violence, escape risk and institutional misconduct, and lack of remorse. The court concluded that nay error in that regard was harmless</w:t>
      </w:r>
      <w:r w:rsidR="00B71CEC" w:rsidRPr="00EC55EA">
        <w:rPr>
          <w:rFonts w:asciiTheme="majorHAnsi" w:hAnsiTheme="majorHAnsi"/>
          <w:sz w:val="20"/>
          <w:szCs w:val="20"/>
        </w:rPr>
        <w:t xml:space="preserve"> and reasoned according to </w:t>
      </w:r>
      <w:r w:rsidR="00696F6F" w:rsidRPr="00EC55EA">
        <w:rPr>
          <w:rFonts w:asciiTheme="majorHAnsi" w:hAnsiTheme="majorHAnsi"/>
          <w:sz w:val="20"/>
          <w:szCs w:val="20"/>
        </w:rPr>
        <w:t>precedent</w:t>
      </w:r>
      <w:r w:rsidR="00B71CEC" w:rsidRPr="00EC55EA">
        <w:rPr>
          <w:rStyle w:val="FootnoteReference"/>
          <w:rFonts w:asciiTheme="majorHAnsi" w:hAnsiTheme="majorHAnsi"/>
          <w:sz w:val="20"/>
          <w:szCs w:val="20"/>
        </w:rPr>
        <w:footnoteReference w:id="15"/>
      </w:r>
      <w:r w:rsidR="00696F6F" w:rsidRPr="00EC55EA">
        <w:rPr>
          <w:rFonts w:asciiTheme="majorHAnsi" w:hAnsiTheme="majorHAnsi"/>
          <w:sz w:val="20"/>
          <w:szCs w:val="20"/>
        </w:rPr>
        <w:t xml:space="preserve"> that an error in jury instruction or verdict form is harmless </w:t>
      </w:r>
      <w:r w:rsidR="00836223" w:rsidRPr="00EC55EA">
        <w:rPr>
          <w:rFonts w:asciiTheme="majorHAnsi" w:hAnsiTheme="majorHAnsi"/>
          <w:sz w:val="20"/>
          <w:szCs w:val="20"/>
        </w:rPr>
        <w:t>if</w:t>
      </w:r>
      <w:r w:rsidR="00696F6F" w:rsidRPr="00EC55EA">
        <w:rPr>
          <w:rFonts w:asciiTheme="majorHAnsi" w:hAnsiTheme="majorHAnsi"/>
          <w:sz w:val="20"/>
          <w:szCs w:val="20"/>
        </w:rPr>
        <w:t xml:space="preserve"> it is “clear beyond reasonable doubt that a rational jury” would have reached the same decision absent the error. </w:t>
      </w:r>
      <w:r w:rsidR="007C4478" w:rsidRPr="00EC55EA">
        <w:rPr>
          <w:rFonts w:asciiTheme="majorHAnsi" w:hAnsiTheme="majorHAnsi"/>
          <w:sz w:val="20"/>
          <w:szCs w:val="20"/>
        </w:rPr>
        <w:t xml:space="preserve">The Court of Appeal affirmed the </w:t>
      </w:r>
      <w:r w:rsidR="00377ACE" w:rsidRPr="00EC55EA">
        <w:rPr>
          <w:rFonts w:asciiTheme="majorHAnsi" w:hAnsiTheme="majorHAnsi"/>
          <w:sz w:val="20"/>
          <w:szCs w:val="20"/>
        </w:rPr>
        <w:t>District</w:t>
      </w:r>
      <w:r w:rsidR="007C4478" w:rsidRPr="00EC55EA">
        <w:rPr>
          <w:rFonts w:asciiTheme="majorHAnsi" w:hAnsiTheme="majorHAnsi"/>
          <w:sz w:val="20"/>
          <w:szCs w:val="20"/>
        </w:rPr>
        <w:t xml:space="preserve"> Court’s rulings on conviction and sentence. </w:t>
      </w:r>
    </w:p>
    <w:p w14:paraId="249B9C92" w14:textId="77777777" w:rsidR="006045A7" w:rsidRPr="00EC55EA" w:rsidRDefault="006045A7" w:rsidP="00EC55EA">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jc w:val="both"/>
        <w:textAlignment w:val="baseline"/>
        <w:rPr>
          <w:rFonts w:asciiTheme="majorHAnsi" w:hAnsiTheme="majorHAnsi"/>
          <w:sz w:val="20"/>
          <w:szCs w:val="20"/>
        </w:rPr>
      </w:pPr>
    </w:p>
    <w:p w14:paraId="00D25C64" w14:textId="77777777" w:rsidR="006045A7" w:rsidRPr="00EC55EA" w:rsidRDefault="006045A7" w:rsidP="00EC55E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textAlignment w:val="baseline"/>
        <w:rPr>
          <w:rFonts w:asciiTheme="majorHAnsi" w:hAnsiTheme="majorHAnsi"/>
          <w:sz w:val="20"/>
          <w:szCs w:val="20"/>
        </w:rPr>
      </w:pPr>
      <w:r w:rsidRPr="00EC55EA">
        <w:rPr>
          <w:rFonts w:asciiTheme="majorHAnsi" w:hAnsiTheme="majorHAnsi"/>
          <w:sz w:val="20"/>
          <w:szCs w:val="20"/>
        </w:rPr>
        <w:t>According to information provided by the petitioners, not contested by the State, Mr. Kadamovas filed a civil lawsuit “challenging the prison’s handling and mishandling of his legal materials and the failure to allow him to work on his case in his native language.” This lawsuit came to a conclusion on October 2, 2017, when the United States Supreme Court declined to consider the petition.</w:t>
      </w:r>
      <w:r w:rsidRPr="00EC55EA">
        <w:rPr>
          <w:rStyle w:val="FootnoteReference"/>
          <w:rFonts w:asciiTheme="majorHAnsi" w:hAnsiTheme="majorHAnsi"/>
          <w:sz w:val="20"/>
          <w:szCs w:val="20"/>
        </w:rPr>
        <w:footnoteReference w:id="16"/>
      </w:r>
    </w:p>
    <w:p w14:paraId="212F2985" w14:textId="77777777" w:rsidR="006045A7" w:rsidRPr="00EC55EA" w:rsidRDefault="006045A7" w:rsidP="00EC55EA">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jc w:val="both"/>
        <w:textAlignment w:val="baseline"/>
        <w:rPr>
          <w:rFonts w:asciiTheme="majorHAnsi" w:hAnsiTheme="majorHAnsi"/>
          <w:sz w:val="20"/>
          <w:szCs w:val="20"/>
        </w:rPr>
      </w:pPr>
    </w:p>
    <w:p w14:paraId="295887D8" w14:textId="362FD02B" w:rsidR="006045A7" w:rsidRPr="00EC55EA" w:rsidRDefault="006045A7" w:rsidP="00EC55E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textAlignment w:val="baseline"/>
        <w:rPr>
          <w:rFonts w:asciiTheme="majorHAnsi" w:hAnsiTheme="majorHAnsi"/>
          <w:sz w:val="20"/>
          <w:szCs w:val="20"/>
        </w:rPr>
      </w:pPr>
      <w:r w:rsidRPr="00EC55EA">
        <w:rPr>
          <w:rFonts w:asciiTheme="majorHAnsi" w:hAnsiTheme="majorHAnsi"/>
          <w:sz w:val="20"/>
          <w:szCs w:val="20"/>
        </w:rPr>
        <w:t xml:space="preserve">On September 19, 2018, </w:t>
      </w:r>
      <w:r w:rsidR="00FC240A" w:rsidRPr="00EC55EA">
        <w:rPr>
          <w:rFonts w:asciiTheme="majorHAnsi" w:hAnsiTheme="majorHAnsi"/>
          <w:sz w:val="20"/>
          <w:szCs w:val="20"/>
        </w:rPr>
        <w:t xml:space="preserve">a pardon application on behalf of Mr. Kadamovas was submitted to President </w:t>
      </w:r>
      <w:r w:rsidR="00BD7B08" w:rsidRPr="00EC55EA">
        <w:rPr>
          <w:rFonts w:asciiTheme="majorHAnsi" w:hAnsiTheme="majorHAnsi"/>
          <w:sz w:val="20"/>
          <w:szCs w:val="20"/>
        </w:rPr>
        <w:t>the US President</w:t>
      </w:r>
      <w:r w:rsidR="00FC240A" w:rsidRPr="00EC55EA">
        <w:rPr>
          <w:rFonts w:asciiTheme="majorHAnsi" w:hAnsiTheme="majorHAnsi"/>
          <w:sz w:val="20"/>
          <w:szCs w:val="20"/>
        </w:rPr>
        <w:t>.</w:t>
      </w:r>
      <w:r w:rsidR="0005416F" w:rsidRPr="00EC55EA">
        <w:rPr>
          <w:rStyle w:val="FootnoteReference"/>
          <w:rFonts w:asciiTheme="majorHAnsi" w:hAnsiTheme="majorHAnsi"/>
          <w:sz w:val="20"/>
          <w:szCs w:val="20"/>
        </w:rPr>
        <w:footnoteReference w:id="17"/>
      </w:r>
      <w:r w:rsidR="00FC240A" w:rsidRPr="00EC55EA">
        <w:rPr>
          <w:rFonts w:asciiTheme="majorHAnsi" w:hAnsiTheme="majorHAnsi"/>
          <w:sz w:val="20"/>
          <w:szCs w:val="20"/>
        </w:rPr>
        <w:t xml:space="preserve"> There is no information on the file about the outcome of this petition.</w:t>
      </w:r>
    </w:p>
    <w:p w14:paraId="4460351C" w14:textId="77777777" w:rsidR="008B03ED" w:rsidRPr="00EC55EA" w:rsidRDefault="008B03ED" w:rsidP="00EC55EA">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jc w:val="both"/>
        <w:textAlignment w:val="baseline"/>
        <w:rPr>
          <w:rFonts w:asciiTheme="majorHAnsi" w:hAnsiTheme="majorHAnsi"/>
          <w:sz w:val="20"/>
          <w:szCs w:val="20"/>
        </w:rPr>
      </w:pPr>
    </w:p>
    <w:p w14:paraId="39E247E1" w14:textId="77777777" w:rsidR="004F48CC" w:rsidRPr="00EC55EA" w:rsidRDefault="00377ACE" w:rsidP="00EC55E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textAlignment w:val="baseline"/>
        <w:rPr>
          <w:rFonts w:asciiTheme="majorHAnsi" w:hAnsiTheme="majorHAnsi"/>
          <w:sz w:val="20"/>
          <w:szCs w:val="20"/>
        </w:rPr>
      </w:pPr>
      <w:r w:rsidRPr="00EC55EA">
        <w:rPr>
          <w:rFonts w:asciiTheme="majorHAnsi" w:hAnsiTheme="majorHAnsi"/>
          <w:sz w:val="20"/>
          <w:szCs w:val="20"/>
        </w:rPr>
        <w:t xml:space="preserve">On </w:t>
      </w:r>
      <w:r w:rsidR="009A5765" w:rsidRPr="00EC55EA">
        <w:rPr>
          <w:rFonts w:asciiTheme="majorHAnsi" w:hAnsiTheme="majorHAnsi"/>
          <w:sz w:val="20"/>
          <w:szCs w:val="20"/>
        </w:rPr>
        <w:t xml:space="preserve">January 14, 2019, </w:t>
      </w:r>
      <w:r w:rsidRPr="00EC55EA">
        <w:rPr>
          <w:rFonts w:asciiTheme="majorHAnsi" w:hAnsiTheme="majorHAnsi"/>
          <w:sz w:val="20"/>
          <w:szCs w:val="20"/>
        </w:rPr>
        <w:t xml:space="preserve">Mr. Kadamovas filed a </w:t>
      </w:r>
      <w:r w:rsidR="009A5765" w:rsidRPr="00EC55EA">
        <w:rPr>
          <w:rFonts w:asciiTheme="majorHAnsi" w:hAnsiTheme="majorHAnsi"/>
          <w:sz w:val="20"/>
          <w:szCs w:val="20"/>
        </w:rPr>
        <w:t>petition for a writ of certiorari an</w:t>
      </w:r>
      <w:r w:rsidRPr="00EC55EA">
        <w:rPr>
          <w:rFonts w:asciiTheme="majorHAnsi" w:hAnsiTheme="majorHAnsi"/>
          <w:sz w:val="20"/>
          <w:szCs w:val="20"/>
        </w:rPr>
        <w:t>d motion for leave to proceed</w:t>
      </w:r>
      <w:r w:rsidR="000E0FB5" w:rsidRPr="00EC55EA">
        <w:rPr>
          <w:rFonts w:asciiTheme="majorHAnsi" w:hAnsiTheme="majorHAnsi"/>
          <w:sz w:val="20"/>
          <w:szCs w:val="20"/>
        </w:rPr>
        <w:t>, and</w:t>
      </w:r>
      <w:r w:rsidRPr="00EC55EA">
        <w:rPr>
          <w:rFonts w:asciiTheme="majorHAnsi" w:hAnsiTheme="majorHAnsi"/>
          <w:sz w:val="20"/>
          <w:szCs w:val="20"/>
        </w:rPr>
        <w:t xml:space="preserve"> o</w:t>
      </w:r>
      <w:r w:rsidR="007A1B40" w:rsidRPr="00EC55EA">
        <w:rPr>
          <w:rFonts w:asciiTheme="majorHAnsi" w:hAnsiTheme="majorHAnsi"/>
          <w:sz w:val="20"/>
          <w:szCs w:val="20"/>
        </w:rPr>
        <w:t xml:space="preserve">n October 7, 2019, the </w:t>
      </w:r>
      <w:r w:rsidR="009A5765" w:rsidRPr="00EC55EA">
        <w:rPr>
          <w:rFonts w:asciiTheme="majorHAnsi" w:hAnsiTheme="majorHAnsi"/>
          <w:sz w:val="20"/>
          <w:szCs w:val="20"/>
        </w:rPr>
        <w:t xml:space="preserve">petition </w:t>
      </w:r>
      <w:r w:rsidR="007A1B40" w:rsidRPr="00EC55EA">
        <w:rPr>
          <w:rFonts w:asciiTheme="majorHAnsi" w:hAnsiTheme="majorHAnsi"/>
          <w:sz w:val="20"/>
          <w:szCs w:val="20"/>
        </w:rPr>
        <w:t xml:space="preserve">was </w:t>
      </w:r>
      <w:r w:rsidR="009A5765" w:rsidRPr="00EC55EA">
        <w:rPr>
          <w:rFonts w:asciiTheme="majorHAnsi" w:hAnsiTheme="majorHAnsi"/>
          <w:sz w:val="20"/>
          <w:szCs w:val="20"/>
        </w:rPr>
        <w:t>denied</w:t>
      </w:r>
      <w:r w:rsidR="006045A7" w:rsidRPr="00EC55EA">
        <w:rPr>
          <w:rFonts w:asciiTheme="majorHAnsi" w:hAnsiTheme="majorHAnsi"/>
          <w:sz w:val="20"/>
          <w:szCs w:val="20"/>
        </w:rPr>
        <w:t>.</w:t>
      </w:r>
      <w:r w:rsidR="009A5765" w:rsidRPr="00EC55EA">
        <w:rPr>
          <w:rStyle w:val="FootnoteReference"/>
          <w:rFonts w:asciiTheme="majorHAnsi" w:hAnsiTheme="majorHAnsi"/>
          <w:sz w:val="20"/>
          <w:szCs w:val="20"/>
        </w:rPr>
        <w:footnoteReference w:id="18"/>
      </w:r>
      <w:r w:rsidR="009A5765" w:rsidRPr="00EC55EA">
        <w:rPr>
          <w:rFonts w:asciiTheme="majorHAnsi" w:hAnsiTheme="majorHAnsi"/>
          <w:sz w:val="20"/>
          <w:szCs w:val="20"/>
        </w:rPr>
        <w:t xml:space="preserve"> </w:t>
      </w:r>
      <w:r w:rsidR="0091627C" w:rsidRPr="00EC55EA">
        <w:rPr>
          <w:rFonts w:asciiTheme="majorHAnsi" w:hAnsiTheme="majorHAnsi"/>
          <w:sz w:val="20"/>
          <w:szCs w:val="20"/>
        </w:rPr>
        <w:t xml:space="preserve">Mr. Kadamovas has also sought relief through administrative requests and appeals on the issues of limited communication, solitary confinement and access to information. </w:t>
      </w:r>
    </w:p>
    <w:p w14:paraId="38EC56A9" w14:textId="77777777" w:rsidR="006E6945" w:rsidRPr="00EC55EA" w:rsidRDefault="006E6945" w:rsidP="00EC55EA">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jc w:val="both"/>
        <w:textAlignment w:val="baseline"/>
        <w:rPr>
          <w:rFonts w:asciiTheme="majorHAnsi" w:hAnsiTheme="majorHAnsi"/>
          <w:sz w:val="20"/>
          <w:szCs w:val="20"/>
        </w:rPr>
      </w:pPr>
    </w:p>
    <w:p w14:paraId="5DC555A7" w14:textId="77777777" w:rsidR="007F701E" w:rsidRPr="00EC55EA" w:rsidRDefault="007605EC" w:rsidP="00EC55E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textAlignment w:val="baseline"/>
        <w:rPr>
          <w:rFonts w:asciiTheme="majorHAnsi" w:hAnsiTheme="majorHAnsi"/>
          <w:sz w:val="20"/>
          <w:szCs w:val="20"/>
        </w:rPr>
      </w:pPr>
      <w:r w:rsidRPr="00EC55EA">
        <w:rPr>
          <w:rFonts w:asciiTheme="majorHAnsi" w:hAnsiTheme="majorHAnsi"/>
          <w:sz w:val="20"/>
          <w:szCs w:val="20"/>
        </w:rPr>
        <w:t>Mr. Bolden appealed</w:t>
      </w:r>
      <w:r w:rsidR="00E078E6" w:rsidRPr="00EC55EA">
        <w:rPr>
          <w:rFonts w:asciiTheme="majorHAnsi" w:hAnsiTheme="majorHAnsi"/>
          <w:sz w:val="20"/>
          <w:szCs w:val="20"/>
        </w:rPr>
        <w:t xml:space="preserve"> the District Court’s judgement</w:t>
      </w:r>
      <w:r w:rsidRPr="00EC55EA">
        <w:rPr>
          <w:rFonts w:asciiTheme="majorHAnsi" w:hAnsiTheme="majorHAnsi"/>
          <w:sz w:val="20"/>
          <w:szCs w:val="20"/>
        </w:rPr>
        <w:t xml:space="preserve">, claiming that the trial court committed reversible errors prior to and during trial. </w:t>
      </w:r>
      <w:r w:rsidR="00E078E6" w:rsidRPr="00EC55EA">
        <w:rPr>
          <w:rFonts w:asciiTheme="majorHAnsi" w:hAnsiTheme="majorHAnsi"/>
          <w:sz w:val="20"/>
          <w:szCs w:val="20"/>
        </w:rPr>
        <w:t>The issues raised entailed a Batson challeng</w:t>
      </w:r>
      <w:r w:rsidR="00972F48" w:rsidRPr="00EC55EA">
        <w:rPr>
          <w:rFonts w:asciiTheme="majorHAnsi" w:hAnsiTheme="majorHAnsi"/>
          <w:sz w:val="20"/>
          <w:szCs w:val="20"/>
        </w:rPr>
        <w:t xml:space="preserve">e and </w:t>
      </w:r>
      <w:r w:rsidR="0088011F" w:rsidRPr="00EC55EA">
        <w:rPr>
          <w:rFonts w:asciiTheme="majorHAnsi" w:hAnsiTheme="majorHAnsi"/>
          <w:sz w:val="20"/>
          <w:szCs w:val="20"/>
        </w:rPr>
        <w:t xml:space="preserve">a challenge of the aggravating </w:t>
      </w:r>
      <w:r w:rsidR="00972F48" w:rsidRPr="00EC55EA">
        <w:rPr>
          <w:rFonts w:asciiTheme="majorHAnsi" w:hAnsiTheme="majorHAnsi"/>
          <w:sz w:val="20"/>
          <w:szCs w:val="20"/>
        </w:rPr>
        <w:t xml:space="preserve">factors presented. </w:t>
      </w:r>
      <w:r w:rsidR="00E078E6" w:rsidRPr="00EC55EA">
        <w:rPr>
          <w:rFonts w:asciiTheme="majorHAnsi" w:hAnsiTheme="majorHAnsi"/>
          <w:sz w:val="20"/>
          <w:szCs w:val="20"/>
        </w:rPr>
        <w:t>R</w:t>
      </w:r>
      <w:r w:rsidR="00EE504E" w:rsidRPr="00EC55EA">
        <w:rPr>
          <w:rFonts w:asciiTheme="majorHAnsi" w:hAnsiTheme="majorHAnsi"/>
          <w:sz w:val="20"/>
          <w:szCs w:val="20"/>
        </w:rPr>
        <w:t>egarding the B</w:t>
      </w:r>
      <w:r w:rsidR="00E078E6" w:rsidRPr="00EC55EA">
        <w:rPr>
          <w:rFonts w:asciiTheme="majorHAnsi" w:hAnsiTheme="majorHAnsi"/>
          <w:sz w:val="20"/>
          <w:szCs w:val="20"/>
        </w:rPr>
        <w:t xml:space="preserve">atson challenge, Mr. Bolden alleged that the prosecution used a peremptory challenge to strike a prospective juror, considered African American, solely based on race. </w:t>
      </w:r>
      <w:r w:rsidR="00D34C1A" w:rsidRPr="00EC55EA">
        <w:rPr>
          <w:rFonts w:asciiTheme="majorHAnsi" w:hAnsiTheme="majorHAnsi"/>
          <w:sz w:val="20"/>
          <w:szCs w:val="20"/>
        </w:rPr>
        <w:t>The prosecution had expressed concern that the prospective juror may give more weight than was warranted to her legal training and thereby might affect the deliberation process. The court considered the prosecution’</w:t>
      </w:r>
      <w:r w:rsidR="00DA3E52" w:rsidRPr="00EC55EA">
        <w:rPr>
          <w:rFonts w:asciiTheme="majorHAnsi" w:hAnsiTheme="majorHAnsi"/>
          <w:sz w:val="20"/>
          <w:szCs w:val="20"/>
        </w:rPr>
        <w:t>s reasoning to be race-neutral.</w:t>
      </w:r>
      <w:r w:rsidR="00D34C1A" w:rsidRPr="00EC55EA">
        <w:rPr>
          <w:rFonts w:asciiTheme="majorHAnsi" w:hAnsiTheme="majorHAnsi"/>
          <w:sz w:val="20"/>
          <w:szCs w:val="20"/>
        </w:rPr>
        <w:t xml:space="preserve"> </w:t>
      </w:r>
      <w:r w:rsidR="0088011F" w:rsidRPr="00EC55EA">
        <w:rPr>
          <w:rFonts w:asciiTheme="majorHAnsi" w:hAnsiTheme="majorHAnsi"/>
          <w:sz w:val="20"/>
          <w:szCs w:val="20"/>
        </w:rPr>
        <w:t xml:space="preserve">Mr. Bolden challenged the two aggravating factors of pecuniary gain and his past conviction for two felony drug offences; which the Court did not concede to finding that the jury was properly instructed on the law. </w:t>
      </w:r>
      <w:r w:rsidR="00E078E6" w:rsidRPr="00EC55EA">
        <w:rPr>
          <w:rFonts w:asciiTheme="majorHAnsi" w:hAnsiTheme="majorHAnsi"/>
          <w:sz w:val="20"/>
          <w:szCs w:val="20"/>
        </w:rPr>
        <w:t xml:space="preserve">Mr. </w:t>
      </w:r>
      <w:r w:rsidR="007F701E" w:rsidRPr="00EC55EA">
        <w:rPr>
          <w:rFonts w:asciiTheme="majorHAnsi" w:hAnsiTheme="majorHAnsi"/>
          <w:sz w:val="20"/>
          <w:szCs w:val="20"/>
        </w:rPr>
        <w:t>Bolden’s conviction and sentence were affirmed on appeal in 2008</w:t>
      </w:r>
      <w:r w:rsidR="007F701E" w:rsidRPr="00EC55EA">
        <w:rPr>
          <w:rStyle w:val="FootnoteReference"/>
          <w:rFonts w:asciiTheme="majorHAnsi" w:hAnsiTheme="majorHAnsi"/>
          <w:sz w:val="20"/>
          <w:szCs w:val="20"/>
        </w:rPr>
        <w:footnoteReference w:id="19"/>
      </w:r>
      <w:r w:rsidR="007F701E" w:rsidRPr="00EC55EA">
        <w:rPr>
          <w:rFonts w:asciiTheme="majorHAnsi" w:hAnsiTheme="majorHAnsi"/>
          <w:sz w:val="20"/>
          <w:szCs w:val="20"/>
        </w:rPr>
        <w:t xml:space="preserve"> and his petition for writ of certiorari denied in 2009</w:t>
      </w:r>
      <w:r w:rsidR="00C965D3" w:rsidRPr="00EC55EA">
        <w:rPr>
          <w:rFonts w:asciiTheme="majorHAnsi" w:hAnsiTheme="majorHAnsi"/>
          <w:sz w:val="20"/>
          <w:szCs w:val="20"/>
        </w:rPr>
        <w:t>.</w:t>
      </w:r>
      <w:r w:rsidR="007F701E" w:rsidRPr="00EC55EA">
        <w:rPr>
          <w:rStyle w:val="FootnoteReference"/>
          <w:rFonts w:asciiTheme="majorHAnsi" w:hAnsiTheme="majorHAnsi"/>
          <w:sz w:val="20"/>
          <w:szCs w:val="20"/>
        </w:rPr>
        <w:footnoteReference w:id="20"/>
      </w:r>
    </w:p>
    <w:p w14:paraId="7673D3B6" w14:textId="77777777" w:rsidR="00253609" w:rsidRPr="00EC55EA" w:rsidRDefault="00253609" w:rsidP="00EC55EA">
      <w:pPr>
        <w:pStyle w:val="ListParagraph"/>
        <w:rPr>
          <w:rFonts w:asciiTheme="majorHAnsi" w:hAnsiTheme="majorHAnsi"/>
          <w:sz w:val="20"/>
          <w:szCs w:val="20"/>
        </w:rPr>
      </w:pPr>
    </w:p>
    <w:p w14:paraId="548DEA79" w14:textId="77777777" w:rsidR="00253609" w:rsidRPr="00EC55EA" w:rsidRDefault="00253609" w:rsidP="00EC55E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textAlignment w:val="baseline"/>
        <w:rPr>
          <w:rFonts w:asciiTheme="majorHAnsi" w:hAnsiTheme="majorHAnsi"/>
          <w:sz w:val="20"/>
          <w:szCs w:val="20"/>
        </w:rPr>
      </w:pPr>
      <w:r w:rsidRPr="00EC55EA">
        <w:rPr>
          <w:rFonts w:asciiTheme="majorHAnsi" w:hAnsiTheme="majorHAnsi"/>
          <w:sz w:val="20"/>
          <w:szCs w:val="20"/>
        </w:rPr>
        <w:t>Mr. Bolden then filed a motion for post-conviction relief under 28 U.S.C. § 2253. In this motion, he claimed</w:t>
      </w:r>
      <w:r w:rsidRPr="00EC55EA">
        <w:rPr>
          <w:rFonts w:asciiTheme="majorHAnsi" w:hAnsiTheme="majorHAnsi"/>
          <w:i/>
          <w:sz w:val="20"/>
          <w:szCs w:val="20"/>
        </w:rPr>
        <w:t>, inter alia</w:t>
      </w:r>
      <w:r w:rsidRPr="00EC55EA">
        <w:rPr>
          <w:rFonts w:asciiTheme="majorHAnsi" w:hAnsiTheme="majorHAnsi"/>
          <w:sz w:val="20"/>
          <w:szCs w:val="20"/>
        </w:rPr>
        <w:t xml:space="preserve">, that the government did not give him notice of any rights he had under the Vienna Convention, nor did it notify the Canadian Consulate of the criminal proceedings against him. The </w:t>
      </w:r>
      <w:r w:rsidR="00761AA5" w:rsidRPr="00EC55EA">
        <w:rPr>
          <w:rFonts w:asciiTheme="majorHAnsi" w:hAnsiTheme="majorHAnsi"/>
          <w:sz w:val="20"/>
          <w:szCs w:val="20"/>
        </w:rPr>
        <w:t>U.S. Court of Appeals for the Eighth Circuit</w:t>
      </w:r>
      <w:r w:rsidRPr="00EC55EA">
        <w:rPr>
          <w:rFonts w:asciiTheme="majorHAnsi" w:hAnsiTheme="majorHAnsi"/>
          <w:sz w:val="20"/>
          <w:szCs w:val="20"/>
        </w:rPr>
        <w:t xml:space="preserve"> ruled that this claim was procedurally barred because </w:t>
      </w:r>
      <w:r w:rsidR="00761AA5" w:rsidRPr="00EC55EA">
        <w:rPr>
          <w:rFonts w:asciiTheme="majorHAnsi" w:hAnsiTheme="majorHAnsi"/>
          <w:sz w:val="20"/>
          <w:szCs w:val="20"/>
        </w:rPr>
        <w:t>Mr. Bolden</w:t>
      </w:r>
      <w:r w:rsidRPr="00EC55EA">
        <w:rPr>
          <w:rFonts w:asciiTheme="majorHAnsi" w:hAnsiTheme="majorHAnsi"/>
          <w:sz w:val="20"/>
          <w:szCs w:val="20"/>
        </w:rPr>
        <w:t xml:space="preserve"> failed to present it on direct appeal. It further found that Mr. Bolden could not establish cause for the default and therefore could not established that he was prejudiced. In this regard, the court concluded that Mr. Bolden failed to show that the alleged Convention violations affected his conviction and sentence.</w:t>
      </w:r>
      <w:r w:rsidR="00761AA5" w:rsidRPr="00EC55EA">
        <w:rPr>
          <w:rFonts w:asciiTheme="majorHAnsi" w:hAnsiTheme="majorHAnsi"/>
          <w:sz w:val="20"/>
          <w:szCs w:val="20"/>
        </w:rPr>
        <w:t xml:space="preserve"> The motion was denied in 2016 and the court did not issue a certificate of appealability.</w:t>
      </w:r>
      <w:r w:rsidR="00761AA5" w:rsidRPr="00EC55EA">
        <w:rPr>
          <w:rStyle w:val="FootnoteReference"/>
          <w:rFonts w:asciiTheme="majorHAnsi" w:hAnsiTheme="majorHAnsi"/>
          <w:sz w:val="20"/>
          <w:szCs w:val="20"/>
        </w:rPr>
        <w:footnoteReference w:id="21"/>
      </w:r>
    </w:p>
    <w:p w14:paraId="6368F973" w14:textId="77777777" w:rsidR="00253609" w:rsidRPr="00EC55EA" w:rsidRDefault="00253609" w:rsidP="00EC55EA">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jc w:val="both"/>
        <w:textAlignment w:val="baseline"/>
        <w:rPr>
          <w:rFonts w:asciiTheme="majorHAnsi" w:hAnsiTheme="majorHAnsi"/>
          <w:sz w:val="20"/>
          <w:szCs w:val="20"/>
        </w:rPr>
      </w:pPr>
    </w:p>
    <w:p w14:paraId="4D369448" w14:textId="75A9D7E2" w:rsidR="00933441" w:rsidRPr="00EC55EA" w:rsidRDefault="00C42196" w:rsidP="00EC55E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textAlignment w:val="baseline"/>
        <w:rPr>
          <w:rFonts w:asciiTheme="majorHAnsi" w:hAnsiTheme="majorHAnsi"/>
          <w:sz w:val="20"/>
          <w:szCs w:val="20"/>
        </w:rPr>
      </w:pPr>
      <w:r w:rsidRPr="00EC55EA">
        <w:rPr>
          <w:rFonts w:asciiTheme="majorHAnsi" w:hAnsiTheme="majorHAnsi"/>
          <w:sz w:val="20"/>
          <w:szCs w:val="20"/>
        </w:rPr>
        <w:t xml:space="preserve">As an additional </w:t>
      </w:r>
      <w:r w:rsidR="000E6F7E" w:rsidRPr="00EC55EA">
        <w:rPr>
          <w:rFonts w:asciiTheme="majorHAnsi" w:hAnsiTheme="majorHAnsi"/>
          <w:sz w:val="20"/>
          <w:szCs w:val="20"/>
        </w:rPr>
        <w:t>remedy</w:t>
      </w:r>
      <w:r w:rsidRPr="00EC55EA">
        <w:rPr>
          <w:rFonts w:asciiTheme="majorHAnsi" w:hAnsiTheme="majorHAnsi"/>
          <w:sz w:val="20"/>
          <w:szCs w:val="20"/>
        </w:rPr>
        <w:t xml:space="preserve">, </w:t>
      </w:r>
      <w:r w:rsidR="004520C7" w:rsidRPr="00EC55EA">
        <w:rPr>
          <w:rFonts w:asciiTheme="majorHAnsi" w:hAnsiTheme="majorHAnsi"/>
          <w:sz w:val="20"/>
          <w:szCs w:val="20"/>
        </w:rPr>
        <w:t xml:space="preserve">Mr. </w:t>
      </w:r>
      <w:r w:rsidR="009A30CA" w:rsidRPr="00EC55EA">
        <w:rPr>
          <w:rFonts w:asciiTheme="majorHAnsi" w:hAnsiTheme="majorHAnsi"/>
          <w:sz w:val="20"/>
          <w:szCs w:val="20"/>
        </w:rPr>
        <w:t>Bolden’s legal representatives, through letters to the BOP</w:t>
      </w:r>
      <w:r w:rsidR="00950120" w:rsidRPr="00EC55EA">
        <w:rPr>
          <w:rFonts w:asciiTheme="majorHAnsi" w:hAnsiTheme="majorHAnsi"/>
          <w:sz w:val="20"/>
          <w:szCs w:val="20"/>
        </w:rPr>
        <w:t>,</w:t>
      </w:r>
      <w:r w:rsidR="009A30CA" w:rsidRPr="00EC55EA">
        <w:rPr>
          <w:rFonts w:asciiTheme="majorHAnsi" w:hAnsiTheme="majorHAnsi"/>
          <w:sz w:val="20"/>
          <w:szCs w:val="20"/>
        </w:rPr>
        <w:t xml:space="preserve"> requested medical records and brought to the attention of the BOP officials the need for better monitoring of Mr. Bolden’s medical </w:t>
      </w:r>
      <w:r w:rsidR="009A30CA" w:rsidRPr="00EC55EA">
        <w:rPr>
          <w:rFonts w:asciiTheme="majorHAnsi" w:hAnsiTheme="majorHAnsi"/>
          <w:sz w:val="20"/>
          <w:szCs w:val="20"/>
        </w:rPr>
        <w:lastRenderedPageBreak/>
        <w:t xml:space="preserve">condition. </w:t>
      </w:r>
      <w:r w:rsidR="0015197E" w:rsidRPr="00EC55EA">
        <w:rPr>
          <w:rFonts w:ascii="Cambria" w:hAnsi="Cambria"/>
          <w:sz w:val="20"/>
        </w:rPr>
        <w:t>The evidence before the Commission shows that Mr. Bolden had several abnormal glucose readings between 2010 and 2012 and that insulin dosage was adjusted on several occasions</w:t>
      </w:r>
      <w:r w:rsidR="0015197E">
        <w:rPr>
          <w:rStyle w:val="FootnoteReference"/>
          <w:rFonts w:ascii="Cambria" w:hAnsi="Cambria"/>
          <w:sz w:val="20"/>
        </w:rPr>
        <w:footnoteReference w:id="22"/>
      </w:r>
      <w:r w:rsidR="0015197E" w:rsidRPr="00EC55EA">
        <w:rPr>
          <w:rFonts w:ascii="Cambria" w:hAnsi="Cambria"/>
          <w:sz w:val="20"/>
        </w:rPr>
        <w:t>.</w:t>
      </w:r>
    </w:p>
    <w:p w14:paraId="41E37063" w14:textId="77777777" w:rsidR="00847431" w:rsidRPr="00EC55EA" w:rsidRDefault="00847431" w:rsidP="00EC55EA">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suppressAutoHyphens/>
        <w:ind w:right="360"/>
        <w:jc w:val="both"/>
        <w:rPr>
          <w:rFonts w:asciiTheme="majorHAnsi" w:hAnsiTheme="majorHAnsi"/>
          <w:sz w:val="20"/>
          <w:szCs w:val="20"/>
        </w:rPr>
      </w:pPr>
    </w:p>
    <w:p w14:paraId="4D5B64D3" w14:textId="77777777" w:rsidR="00677DA7" w:rsidRPr="00EC55EA" w:rsidRDefault="00677DA7" w:rsidP="00EC55EA">
      <w:pPr>
        <w:pStyle w:val="Heading1"/>
        <w:tabs>
          <w:tab w:val="left" w:pos="360"/>
        </w:tabs>
        <w:spacing w:before="0"/>
        <w:ind w:hanging="720"/>
        <w:rPr>
          <w:color w:val="auto"/>
          <w:sz w:val="20"/>
          <w:szCs w:val="20"/>
        </w:rPr>
      </w:pPr>
      <w:bookmarkStart w:id="17" w:name="_Toc150524385"/>
      <w:r w:rsidRPr="00EC55EA">
        <w:rPr>
          <w:color w:val="auto"/>
          <w:sz w:val="20"/>
          <w:szCs w:val="20"/>
        </w:rPr>
        <w:t>ANALYSIS OF LAW</w:t>
      </w:r>
      <w:bookmarkEnd w:id="17"/>
    </w:p>
    <w:p w14:paraId="4637CAD8" w14:textId="77777777" w:rsidR="00E57AC6" w:rsidRPr="00EC55EA" w:rsidRDefault="00E57AC6" w:rsidP="00EC55EA">
      <w:pPr>
        <w:rPr>
          <w:rFonts w:asciiTheme="majorHAnsi" w:hAnsiTheme="majorHAnsi"/>
          <w:sz w:val="20"/>
          <w:szCs w:val="20"/>
        </w:rPr>
      </w:pPr>
    </w:p>
    <w:p w14:paraId="656D924A" w14:textId="77777777" w:rsidR="00677DA7" w:rsidRPr="00EC55EA" w:rsidRDefault="00677DA7" w:rsidP="00EC55EA">
      <w:pPr>
        <w:pStyle w:val="Heading2"/>
        <w:numPr>
          <w:ilvl w:val="0"/>
          <w:numId w:val="61"/>
        </w:numPr>
        <w:tabs>
          <w:tab w:val="left" w:pos="360"/>
        </w:tabs>
        <w:spacing w:before="0"/>
        <w:ind w:left="0" w:firstLine="0"/>
        <w:rPr>
          <w:color w:val="auto"/>
          <w:sz w:val="20"/>
          <w:szCs w:val="20"/>
        </w:rPr>
      </w:pPr>
      <w:bookmarkStart w:id="18" w:name="_Toc150524386"/>
      <w:r w:rsidRPr="00EC55EA">
        <w:rPr>
          <w:color w:val="auto"/>
          <w:sz w:val="20"/>
          <w:szCs w:val="20"/>
        </w:rPr>
        <w:t>Preliminary considerations</w:t>
      </w:r>
      <w:bookmarkEnd w:id="18"/>
    </w:p>
    <w:p w14:paraId="37920836" w14:textId="77777777" w:rsidR="00E57AC6" w:rsidRPr="00EC55EA" w:rsidRDefault="00E57AC6" w:rsidP="00EC55EA">
      <w:pPr>
        <w:pStyle w:val="ListParagraph"/>
        <w:rPr>
          <w:sz w:val="20"/>
          <w:szCs w:val="20"/>
        </w:rPr>
      </w:pPr>
    </w:p>
    <w:p w14:paraId="7851C599" w14:textId="70E5CC4D" w:rsidR="00E57AC6" w:rsidRPr="00EC55EA" w:rsidRDefault="00E57AC6" w:rsidP="00EC55EA">
      <w:pPr>
        <w:pStyle w:val="parrafos"/>
        <w:numPr>
          <w:ilvl w:val="0"/>
          <w:numId w:val="55"/>
        </w:numPr>
        <w:ind w:left="0" w:firstLine="0"/>
      </w:pPr>
      <w:r w:rsidRPr="00EC55EA">
        <w:t xml:space="preserve">Before embarking on its analysis of the merits in the case of </w:t>
      </w:r>
      <w:r w:rsidR="00C965D3" w:rsidRPr="00EC55EA">
        <w:t>Jurijus Kadamovas and Robert L. Bolden</w:t>
      </w:r>
      <w:r w:rsidRPr="00EC55EA">
        <w:t>, the Inter-American Commission reiterate</w:t>
      </w:r>
      <w:r w:rsidR="00BD7B08" w:rsidRPr="00EC55EA">
        <w:t>s</w:t>
      </w:r>
      <w:r w:rsidRPr="00EC55EA">
        <w:t xml:space="preserve"> its previous rulings regarding the heightened scrutiny to be used in cases involving the death penalty. The right to life has received broad recognition as the supreme human right and as a sine qua non for the enjoyment of all other rights. </w:t>
      </w:r>
    </w:p>
    <w:p w14:paraId="74167172" w14:textId="77777777" w:rsidR="00E57AC6" w:rsidRPr="00EC55EA" w:rsidRDefault="00E57AC6" w:rsidP="00EC55E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p>
    <w:p w14:paraId="1C0B0DCA" w14:textId="77777777" w:rsidR="00E57AC6" w:rsidRPr="00EC55EA" w:rsidRDefault="00E57AC6" w:rsidP="00EC55EA">
      <w:pPr>
        <w:pStyle w:val="parrafos"/>
        <w:numPr>
          <w:ilvl w:val="0"/>
          <w:numId w:val="55"/>
        </w:numPr>
        <w:ind w:left="0" w:firstLine="0"/>
      </w:pPr>
      <w:r w:rsidRPr="00EC55EA">
        <w:t>That gives rise to the particular importance of the IACHR’s obligation to ensure that any denial of life that may arise from the enforcement of the death penalty strictly abides by the requirements set forth in the applicable instruments of the Inter-American human rights system, including the American Declaration. That heightened scrutiny is consistent with the restrictive approach adopted by other international human rights bodies in cases involving the imposition of the death penalty,</w:t>
      </w:r>
      <w:r w:rsidRPr="00EC55EA">
        <w:rPr>
          <w:rStyle w:val="FootnoteReference"/>
        </w:rPr>
        <w:footnoteReference w:id="23"/>
      </w:r>
      <w:r w:rsidRPr="00EC55EA">
        <w:t xml:space="preserve"> and it has been set out and applied by the Inter-American Commission in previous capital cases brought before it.</w:t>
      </w:r>
      <w:r w:rsidRPr="00EC55EA">
        <w:rPr>
          <w:rStyle w:val="FootnoteReference"/>
        </w:rPr>
        <w:footnoteReference w:id="24"/>
      </w:r>
      <w:r w:rsidRPr="00EC55EA">
        <w:t xml:space="preserve"> As the Inter-American Commission has explained, this standard of review is the necessary consequence of the specific penalty at issue and the right to a fair trial and all attendant due process guarantees, among others.</w:t>
      </w:r>
      <w:r w:rsidRPr="00EC55EA">
        <w:rPr>
          <w:rStyle w:val="FootnoteReference"/>
        </w:rPr>
        <w:footnoteReference w:id="25"/>
      </w:r>
      <w:r w:rsidRPr="00EC55EA">
        <w:t xml:space="preserve"> In the words of the Commission:</w:t>
      </w:r>
    </w:p>
    <w:p w14:paraId="6F1CBD18" w14:textId="77777777" w:rsidR="00E57AC6" w:rsidRPr="00EC55EA" w:rsidRDefault="00E57AC6" w:rsidP="00EC55EA">
      <w:pPr>
        <w:pStyle w:val="ListParagraph"/>
        <w:rPr>
          <w:sz w:val="20"/>
          <w:szCs w:val="20"/>
        </w:rPr>
      </w:pPr>
    </w:p>
    <w:p w14:paraId="3C8F4332" w14:textId="77777777" w:rsidR="00E57AC6" w:rsidRPr="00EC55EA" w:rsidRDefault="00E57AC6" w:rsidP="00EC55EA">
      <w:pPr>
        <w:autoSpaceDE w:val="0"/>
        <w:autoSpaceDN w:val="0"/>
        <w:adjustRightInd w:val="0"/>
        <w:ind w:left="360" w:right="360"/>
        <w:jc w:val="both"/>
        <w:rPr>
          <w:rFonts w:ascii="Cambria" w:hAnsi="Cambria" w:cs="Calibri"/>
          <w:sz w:val="20"/>
          <w:szCs w:val="18"/>
        </w:rPr>
      </w:pPr>
      <w:r w:rsidRPr="00EC55EA">
        <w:rPr>
          <w:rFonts w:ascii="Cambria" w:hAnsi="Cambria" w:cs="Calibri"/>
          <w:sz w:val="20"/>
          <w:szCs w:val="18"/>
        </w:rPr>
        <w:t>due in part to its irrevocable and irreversible nature, the death penalty is a form of punishment that differs in substance as well as in degree in comparison with other means of punishment, and therefore, warrants a particularly stringent need for reliability in determining whether a person is responsible for a crime that carries a penalty of death.</w:t>
      </w:r>
      <w:r w:rsidRPr="00EC55EA">
        <w:rPr>
          <w:rStyle w:val="FootnoteReference"/>
          <w:rFonts w:ascii="Cambria" w:hAnsi="Cambria"/>
          <w:sz w:val="20"/>
          <w:szCs w:val="18"/>
        </w:rPr>
        <w:footnoteReference w:id="26"/>
      </w:r>
    </w:p>
    <w:p w14:paraId="5F11AA35" w14:textId="77777777" w:rsidR="00E57AC6" w:rsidRPr="00EC55EA" w:rsidRDefault="00E57AC6" w:rsidP="00EC55EA">
      <w:pPr>
        <w:jc w:val="both"/>
        <w:rPr>
          <w:rFonts w:ascii="Cambria" w:hAnsi="Cambria"/>
          <w:sz w:val="20"/>
          <w:szCs w:val="20"/>
        </w:rPr>
      </w:pPr>
    </w:p>
    <w:p w14:paraId="43BB9350" w14:textId="77777777" w:rsidR="00E57AC6" w:rsidRPr="00EC55EA" w:rsidRDefault="00E57AC6" w:rsidP="00EC55EA">
      <w:pPr>
        <w:pStyle w:val="NormalWeb"/>
        <w:numPr>
          <w:ilvl w:val="0"/>
          <w:numId w:val="55"/>
        </w:numPr>
        <w:tabs>
          <w:tab w:val="left" w:pos="360"/>
        </w:tabs>
        <w:spacing w:before="0" w:beforeAutospacing="0" w:after="0" w:afterAutospacing="0"/>
        <w:ind w:left="0" w:firstLine="0"/>
        <w:jc w:val="both"/>
        <w:rPr>
          <w:rFonts w:ascii="Cambria" w:eastAsia="Arial Unicode MS" w:hAnsi="Cambria"/>
          <w:sz w:val="20"/>
          <w:szCs w:val="20"/>
          <w:bdr w:val="nil"/>
        </w:rPr>
      </w:pPr>
      <w:r w:rsidRPr="00EC55EA">
        <w:rPr>
          <w:rFonts w:asciiTheme="majorHAnsi" w:hAnsiTheme="majorHAnsi"/>
          <w:sz w:val="20"/>
          <w:szCs w:val="20"/>
        </w:rPr>
        <w:t xml:space="preserve">The Inter-American Commission will therefore review the petitioner’s allegations in the present case with a heightened level of scrutiny, to ensure in particular that the rights to life, </w:t>
      </w:r>
      <w:r w:rsidR="003B1D61" w:rsidRPr="00EC55EA">
        <w:rPr>
          <w:rFonts w:asciiTheme="majorHAnsi" w:hAnsiTheme="majorHAnsi"/>
          <w:sz w:val="20"/>
          <w:szCs w:val="20"/>
        </w:rPr>
        <w:t xml:space="preserve">not to receive cruel, infamous or unusual punishment, to </w:t>
      </w:r>
      <w:r w:rsidRPr="00EC55EA">
        <w:rPr>
          <w:rFonts w:asciiTheme="majorHAnsi" w:hAnsiTheme="majorHAnsi"/>
          <w:sz w:val="20"/>
          <w:szCs w:val="20"/>
        </w:rPr>
        <w:t>due process, and to a fair trial as prescribed under the American Declaration</w:t>
      </w:r>
      <w:r w:rsidR="003B1D61" w:rsidRPr="00EC55EA">
        <w:rPr>
          <w:rFonts w:asciiTheme="majorHAnsi" w:hAnsiTheme="majorHAnsi"/>
          <w:sz w:val="20"/>
          <w:szCs w:val="20"/>
        </w:rPr>
        <w:t>,</w:t>
      </w:r>
      <w:r w:rsidRPr="00EC55EA">
        <w:rPr>
          <w:rFonts w:asciiTheme="majorHAnsi" w:hAnsiTheme="majorHAnsi"/>
          <w:sz w:val="20"/>
          <w:szCs w:val="20"/>
        </w:rPr>
        <w:t xml:space="preserve"> have been respected by the State. With regard to the legal status of the American</w:t>
      </w:r>
      <w:r w:rsidRPr="00EC55EA">
        <w:rPr>
          <w:rFonts w:ascii="Cambria" w:hAnsi="Cambria"/>
          <w:sz w:val="20"/>
        </w:rPr>
        <w:t xml:space="preserve"> Declaration, the IACHR reiterates that:</w:t>
      </w:r>
      <w:r w:rsidRPr="00EC55EA">
        <w:rPr>
          <w:rStyle w:val="FootnoteReference"/>
          <w:rFonts w:ascii="Cambria" w:hAnsi="Cambria"/>
          <w:sz w:val="20"/>
          <w:szCs w:val="20"/>
        </w:rPr>
        <w:footnoteReference w:id="27"/>
      </w:r>
      <w:r w:rsidRPr="00EC55EA">
        <w:rPr>
          <w:rFonts w:ascii="Cambria" w:hAnsi="Cambria" w:cs="Tahoma"/>
          <w:color w:val="262626"/>
          <w:sz w:val="20"/>
          <w:szCs w:val="20"/>
        </w:rPr>
        <w:t xml:space="preserve"> </w:t>
      </w:r>
    </w:p>
    <w:p w14:paraId="0E0F38A9" w14:textId="77777777" w:rsidR="00E57AC6" w:rsidRPr="00EC55EA" w:rsidRDefault="00E57AC6" w:rsidP="00EC55EA">
      <w:pPr>
        <w:tabs>
          <w:tab w:val="left" w:pos="630"/>
          <w:tab w:val="left" w:pos="810"/>
        </w:tabs>
        <w:autoSpaceDE w:val="0"/>
        <w:autoSpaceDN w:val="0"/>
        <w:adjustRightInd w:val="0"/>
        <w:jc w:val="both"/>
        <w:rPr>
          <w:rFonts w:ascii="Cambria" w:hAnsi="Cambria" w:cs="Calibri"/>
          <w:sz w:val="20"/>
          <w:szCs w:val="20"/>
        </w:rPr>
      </w:pPr>
    </w:p>
    <w:p w14:paraId="78FD61A4" w14:textId="77777777" w:rsidR="00E57AC6" w:rsidRPr="00EC55EA" w:rsidRDefault="00E57AC6" w:rsidP="00EC55EA">
      <w:pPr>
        <w:tabs>
          <w:tab w:val="left" w:pos="630"/>
          <w:tab w:val="left" w:pos="810"/>
        </w:tabs>
        <w:autoSpaceDE w:val="0"/>
        <w:autoSpaceDN w:val="0"/>
        <w:adjustRightInd w:val="0"/>
        <w:ind w:left="360" w:right="360"/>
        <w:jc w:val="both"/>
        <w:rPr>
          <w:rFonts w:ascii="Cambria" w:hAnsi="Cambria" w:cs="Calibri"/>
          <w:sz w:val="18"/>
          <w:szCs w:val="18"/>
        </w:rPr>
      </w:pPr>
      <w:r w:rsidRPr="00EC55EA">
        <w:rPr>
          <w:rFonts w:ascii="Cambria" w:hAnsi="Cambria"/>
          <w:sz w:val="18"/>
          <w:szCs w:val="18"/>
        </w:rPr>
        <w:t>[t]he American Declaration is, for the Member States not parties to the American Convention, the source of international obligations related to the OAS Charter. The Charter of the Organization gave the IACHR the principal function of promoting the observance and protection of human rights in the Member States. Article 106 of the OAS Charter does not, however, list or define those rights. The General Assembly of the OAS at its Ninth Regular Period of Sessions, held in La Paz, Bolivia, in October 1979, agreed that those rights are those enunciated and defined in the American Declaration. Therefore, the American Declaration crystallizes the fundamental principles recognized by the American States. The OAS General Assembly has also repeatedly recognized that the American Declaration is a source of international obligations for the member states of the OAS.</w:t>
      </w:r>
    </w:p>
    <w:p w14:paraId="2B97BDE6" w14:textId="77777777" w:rsidR="00E57AC6" w:rsidRPr="00EC55EA" w:rsidRDefault="00E57AC6" w:rsidP="00EC55EA">
      <w:pPr>
        <w:pStyle w:val="ListParagraph"/>
        <w:rPr>
          <w:sz w:val="20"/>
          <w:szCs w:val="20"/>
        </w:rPr>
      </w:pPr>
    </w:p>
    <w:p w14:paraId="775CFAFD" w14:textId="77777777" w:rsidR="00E57AC6" w:rsidRPr="00EC55EA" w:rsidRDefault="00E57AC6" w:rsidP="00EC55EA">
      <w:pPr>
        <w:pStyle w:val="NormalWeb"/>
        <w:numPr>
          <w:ilvl w:val="0"/>
          <w:numId w:val="55"/>
        </w:numPr>
        <w:tabs>
          <w:tab w:val="left" w:pos="360"/>
        </w:tabs>
        <w:spacing w:before="0" w:beforeAutospacing="0" w:after="0" w:afterAutospacing="0"/>
        <w:ind w:left="0" w:firstLine="0"/>
        <w:jc w:val="both"/>
        <w:rPr>
          <w:rFonts w:asciiTheme="majorHAnsi" w:eastAsia="Arial Unicode MS" w:hAnsiTheme="majorHAnsi"/>
          <w:sz w:val="20"/>
          <w:szCs w:val="20"/>
          <w:bdr w:val="nil"/>
        </w:rPr>
      </w:pPr>
      <w:r w:rsidRPr="00EC55EA">
        <w:rPr>
          <w:rFonts w:asciiTheme="majorHAnsi" w:hAnsiTheme="majorHAnsi"/>
          <w:sz w:val="20"/>
        </w:rPr>
        <w:t xml:space="preserve">Finally, the Commission recalls that its review does not consist of determining that the death penalty in and of itself violates the American Declaration. What this section addresses is the standard of review of the </w:t>
      </w:r>
      <w:r w:rsidRPr="00EC55EA">
        <w:rPr>
          <w:rFonts w:asciiTheme="majorHAnsi" w:hAnsiTheme="majorHAnsi"/>
          <w:sz w:val="20"/>
        </w:rPr>
        <w:lastRenderedPageBreak/>
        <w:t xml:space="preserve">alleged human rights violations in the context of </w:t>
      </w:r>
      <w:r w:rsidR="002E3921" w:rsidRPr="00EC55EA">
        <w:rPr>
          <w:rFonts w:asciiTheme="majorHAnsi" w:hAnsiTheme="majorHAnsi"/>
          <w:sz w:val="20"/>
        </w:rPr>
        <w:t>criminal proceedings in a case involving the application of t</w:t>
      </w:r>
      <w:r w:rsidRPr="00EC55EA">
        <w:rPr>
          <w:rFonts w:asciiTheme="majorHAnsi" w:hAnsiTheme="majorHAnsi"/>
          <w:sz w:val="20"/>
        </w:rPr>
        <w:t>he death penalty.</w:t>
      </w:r>
    </w:p>
    <w:p w14:paraId="6F400672" w14:textId="77777777" w:rsidR="00847431" w:rsidRPr="00EC55EA" w:rsidRDefault="00847431" w:rsidP="00EC55EA"/>
    <w:p w14:paraId="064448F1" w14:textId="77777777" w:rsidR="00677DA7" w:rsidRPr="00EC55EA" w:rsidRDefault="00582D0D" w:rsidP="00EC55EA">
      <w:pPr>
        <w:pStyle w:val="Heading2"/>
        <w:numPr>
          <w:ilvl w:val="0"/>
          <w:numId w:val="61"/>
        </w:numPr>
        <w:tabs>
          <w:tab w:val="left" w:pos="360"/>
        </w:tabs>
        <w:spacing w:before="0"/>
        <w:ind w:left="0" w:firstLine="0"/>
        <w:jc w:val="both"/>
        <w:rPr>
          <w:color w:val="auto"/>
          <w:sz w:val="20"/>
          <w:szCs w:val="20"/>
        </w:rPr>
      </w:pPr>
      <w:bookmarkStart w:id="19" w:name="_Toc150524387"/>
      <w:r w:rsidRPr="00EC55EA">
        <w:rPr>
          <w:color w:val="auto"/>
          <w:sz w:val="20"/>
          <w:szCs w:val="20"/>
        </w:rPr>
        <w:t>R</w:t>
      </w:r>
      <w:r w:rsidR="00AB2ECE" w:rsidRPr="00EC55EA">
        <w:rPr>
          <w:color w:val="auto"/>
          <w:sz w:val="20"/>
          <w:szCs w:val="20"/>
        </w:rPr>
        <w:t>ight to a fair trial</w:t>
      </w:r>
      <w:r w:rsidR="002E3921" w:rsidRPr="00EC55EA">
        <w:rPr>
          <w:color w:val="auto"/>
          <w:sz w:val="20"/>
          <w:szCs w:val="20"/>
        </w:rPr>
        <w:t>,</w:t>
      </w:r>
      <w:r w:rsidR="00F61B4C" w:rsidRPr="00EC55EA">
        <w:rPr>
          <w:rStyle w:val="FootnoteReference"/>
          <w:color w:val="auto"/>
          <w:sz w:val="20"/>
          <w:szCs w:val="20"/>
        </w:rPr>
        <w:footnoteReference w:id="28"/>
      </w:r>
      <w:r w:rsidR="002E3921" w:rsidRPr="00EC55EA">
        <w:rPr>
          <w:color w:val="auto"/>
          <w:sz w:val="20"/>
          <w:szCs w:val="20"/>
        </w:rPr>
        <w:t xml:space="preserve"> right of petition,</w:t>
      </w:r>
      <w:r w:rsidR="009C03AE" w:rsidRPr="00EC55EA">
        <w:rPr>
          <w:rStyle w:val="FootnoteReference"/>
          <w:color w:val="auto"/>
          <w:sz w:val="20"/>
          <w:szCs w:val="20"/>
        </w:rPr>
        <w:footnoteReference w:id="29"/>
      </w:r>
      <w:r w:rsidR="00BE66B0" w:rsidRPr="00EC55EA">
        <w:rPr>
          <w:color w:val="auto"/>
          <w:sz w:val="20"/>
          <w:szCs w:val="20"/>
        </w:rPr>
        <w:t xml:space="preserve"> and</w:t>
      </w:r>
      <w:r w:rsidR="00AB2ECE" w:rsidRPr="00EC55EA">
        <w:rPr>
          <w:color w:val="auto"/>
          <w:sz w:val="20"/>
          <w:szCs w:val="20"/>
        </w:rPr>
        <w:t xml:space="preserve"> </w:t>
      </w:r>
      <w:r w:rsidR="00B55F23" w:rsidRPr="00EC55EA">
        <w:rPr>
          <w:color w:val="auto"/>
          <w:sz w:val="20"/>
          <w:szCs w:val="20"/>
        </w:rPr>
        <w:t>right to due process of law</w:t>
      </w:r>
      <w:r w:rsidR="00F61B4C" w:rsidRPr="00EC55EA">
        <w:rPr>
          <w:rStyle w:val="FootnoteReference"/>
          <w:color w:val="auto"/>
          <w:sz w:val="20"/>
          <w:szCs w:val="20"/>
        </w:rPr>
        <w:footnoteReference w:id="30"/>
      </w:r>
      <w:bookmarkEnd w:id="19"/>
      <w:r w:rsidR="00B55F23" w:rsidRPr="00EC55EA">
        <w:rPr>
          <w:color w:val="auto"/>
          <w:sz w:val="20"/>
          <w:szCs w:val="20"/>
        </w:rPr>
        <w:t xml:space="preserve"> </w:t>
      </w:r>
    </w:p>
    <w:p w14:paraId="04AEED0B" w14:textId="77777777" w:rsidR="005D447F" w:rsidRPr="00EC55EA" w:rsidRDefault="005D447F" w:rsidP="00EC55EA">
      <w:pPr>
        <w:pStyle w:val="NormalWeb"/>
        <w:tabs>
          <w:tab w:val="left" w:pos="360"/>
        </w:tabs>
        <w:spacing w:before="0" w:beforeAutospacing="0" w:after="0" w:afterAutospacing="0"/>
        <w:jc w:val="both"/>
        <w:rPr>
          <w:rFonts w:asciiTheme="majorHAnsi" w:hAnsiTheme="majorHAnsi"/>
          <w:sz w:val="20"/>
          <w:szCs w:val="20"/>
        </w:rPr>
      </w:pPr>
    </w:p>
    <w:p w14:paraId="45C867E8" w14:textId="7673FF07" w:rsidR="004C5505" w:rsidRPr="002F3937" w:rsidRDefault="00FD3996" w:rsidP="00EC55EA">
      <w:pPr>
        <w:pStyle w:val="Heading3"/>
        <w:numPr>
          <w:ilvl w:val="1"/>
          <w:numId w:val="53"/>
        </w:numPr>
        <w:spacing w:before="0"/>
        <w:ind w:left="360"/>
        <w:rPr>
          <w:color w:val="auto"/>
          <w:sz w:val="20"/>
          <w:szCs w:val="20"/>
        </w:rPr>
      </w:pPr>
      <w:bookmarkStart w:id="20" w:name="_Toc150524388"/>
      <w:r w:rsidRPr="00EC55EA">
        <w:rPr>
          <w:color w:val="auto"/>
          <w:sz w:val="20"/>
          <w:szCs w:val="20"/>
        </w:rPr>
        <w:t>R</w:t>
      </w:r>
      <w:r w:rsidR="004C5505" w:rsidRPr="00EC55EA">
        <w:rPr>
          <w:color w:val="auto"/>
          <w:sz w:val="20"/>
          <w:szCs w:val="20"/>
        </w:rPr>
        <w:t xml:space="preserve">ight </w:t>
      </w:r>
      <w:r w:rsidR="004C5505" w:rsidRPr="002F3937">
        <w:rPr>
          <w:color w:val="auto"/>
          <w:sz w:val="20"/>
          <w:szCs w:val="20"/>
        </w:rPr>
        <w:t xml:space="preserve">to </w:t>
      </w:r>
      <w:r w:rsidR="00651A30" w:rsidRPr="002F3937">
        <w:rPr>
          <w:color w:val="auto"/>
          <w:sz w:val="20"/>
          <w:szCs w:val="20"/>
        </w:rPr>
        <w:t xml:space="preserve">information on </w:t>
      </w:r>
      <w:r w:rsidR="004C5505" w:rsidRPr="002F3937">
        <w:rPr>
          <w:color w:val="auto"/>
          <w:sz w:val="20"/>
          <w:szCs w:val="20"/>
        </w:rPr>
        <w:t xml:space="preserve">consular </w:t>
      </w:r>
      <w:r w:rsidR="007944C5" w:rsidRPr="002F3937">
        <w:rPr>
          <w:color w:val="auto"/>
          <w:sz w:val="20"/>
          <w:szCs w:val="20"/>
        </w:rPr>
        <w:t>assistance</w:t>
      </w:r>
      <w:bookmarkEnd w:id="20"/>
      <w:r w:rsidR="004C5505" w:rsidRPr="002F3937">
        <w:rPr>
          <w:color w:val="auto"/>
          <w:sz w:val="20"/>
          <w:szCs w:val="20"/>
        </w:rPr>
        <w:t xml:space="preserve"> </w:t>
      </w:r>
    </w:p>
    <w:p w14:paraId="34470FDD" w14:textId="77777777" w:rsidR="004C5505" w:rsidRPr="002F3937" w:rsidRDefault="004C5505" w:rsidP="00EC55EA">
      <w:pPr>
        <w:pStyle w:val="NormalWeb"/>
        <w:tabs>
          <w:tab w:val="left" w:pos="360"/>
        </w:tabs>
        <w:spacing w:before="0" w:beforeAutospacing="0" w:after="0" w:afterAutospacing="0"/>
        <w:jc w:val="both"/>
        <w:rPr>
          <w:rFonts w:asciiTheme="majorHAnsi" w:hAnsiTheme="majorHAnsi"/>
          <w:sz w:val="20"/>
          <w:szCs w:val="20"/>
        </w:rPr>
      </w:pPr>
    </w:p>
    <w:p w14:paraId="70576C15" w14:textId="77777777" w:rsidR="00651A30" w:rsidRPr="002F3937" w:rsidRDefault="00FD3996" w:rsidP="00651A30">
      <w:pPr>
        <w:pStyle w:val="NormalWeb"/>
        <w:numPr>
          <w:ilvl w:val="0"/>
          <w:numId w:val="55"/>
        </w:numPr>
        <w:tabs>
          <w:tab w:val="left" w:pos="360"/>
        </w:tabs>
        <w:spacing w:before="0" w:beforeAutospacing="0" w:after="0" w:afterAutospacing="0"/>
        <w:ind w:left="0" w:firstLine="0"/>
        <w:jc w:val="both"/>
        <w:rPr>
          <w:rFonts w:asciiTheme="majorHAnsi" w:hAnsiTheme="majorHAnsi"/>
          <w:sz w:val="20"/>
          <w:szCs w:val="20"/>
        </w:rPr>
      </w:pPr>
      <w:r w:rsidRPr="002F3937">
        <w:rPr>
          <w:rFonts w:asciiTheme="majorHAnsi" w:hAnsiTheme="majorHAnsi"/>
          <w:sz w:val="20"/>
          <w:szCs w:val="20"/>
        </w:rPr>
        <w:t>The Commission has determined in previous cases that it is necessary and appropriate to consider the extent to which a state party has given effect to the requirements of Article 36 of the Vienna Convention for the purpose of evaluating that state’s compliance with a foreign national’s due process rights under Articles XVIII and XXVI of the American Declaration. Therefore, it does consider compliance with Article 36 of the Vienna Convention when interpreting and applying the provisions of the American Declaration to a foreign national who has been arrested, committed to trial or to custody pending trial, or is detained in any other manner by that state.</w:t>
      </w:r>
      <w:r w:rsidRPr="002F3937">
        <w:rPr>
          <w:rStyle w:val="FootnoteReference"/>
          <w:rFonts w:asciiTheme="majorHAnsi" w:hAnsiTheme="majorHAnsi"/>
          <w:sz w:val="20"/>
          <w:szCs w:val="20"/>
        </w:rPr>
        <w:footnoteReference w:id="31"/>
      </w:r>
    </w:p>
    <w:p w14:paraId="5F98E4A9" w14:textId="77777777" w:rsidR="00651A30" w:rsidRPr="002F3937" w:rsidRDefault="00651A30" w:rsidP="00651A30">
      <w:pPr>
        <w:pStyle w:val="NormalWeb"/>
        <w:tabs>
          <w:tab w:val="left" w:pos="360"/>
        </w:tabs>
        <w:spacing w:before="0" w:beforeAutospacing="0" w:after="0" w:afterAutospacing="0"/>
        <w:jc w:val="both"/>
        <w:rPr>
          <w:rFonts w:asciiTheme="majorHAnsi" w:hAnsiTheme="majorHAnsi"/>
          <w:sz w:val="20"/>
          <w:szCs w:val="20"/>
        </w:rPr>
      </w:pPr>
    </w:p>
    <w:p w14:paraId="6E2A7599" w14:textId="77777777" w:rsidR="00651A30" w:rsidRPr="002F3937" w:rsidRDefault="00651A30" w:rsidP="00651A30">
      <w:pPr>
        <w:pStyle w:val="NormalWeb"/>
        <w:numPr>
          <w:ilvl w:val="0"/>
          <w:numId w:val="55"/>
        </w:numPr>
        <w:tabs>
          <w:tab w:val="left" w:pos="360"/>
        </w:tabs>
        <w:spacing w:before="0" w:beforeAutospacing="0" w:after="0" w:afterAutospacing="0"/>
        <w:ind w:left="0" w:firstLine="0"/>
        <w:jc w:val="both"/>
        <w:rPr>
          <w:rFonts w:asciiTheme="majorHAnsi" w:hAnsiTheme="majorHAnsi"/>
          <w:sz w:val="20"/>
          <w:szCs w:val="20"/>
        </w:rPr>
      </w:pPr>
      <w:r w:rsidRPr="002F3937">
        <w:rPr>
          <w:rFonts w:asciiTheme="majorHAnsi" w:hAnsiTheme="majorHAnsi"/>
          <w:sz w:val="20"/>
          <w:szCs w:val="20"/>
        </w:rPr>
        <w:t xml:space="preserve">In its Advisory Opinion OC-16/99, the Inter-American Court established that sub-paragraphs (b) and (c) of Article 36(1) of the Vienna Convention “recognize, </w:t>
      </w:r>
      <w:r w:rsidRPr="002F3937">
        <w:rPr>
          <w:rFonts w:asciiTheme="majorHAnsi" w:hAnsiTheme="majorHAnsi"/>
          <w:i/>
          <w:sz w:val="20"/>
          <w:szCs w:val="20"/>
        </w:rPr>
        <w:t>inter alia</w:t>
      </w:r>
      <w:r w:rsidRPr="002F3937">
        <w:rPr>
          <w:rFonts w:asciiTheme="majorHAnsi" w:hAnsiTheme="majorHAnsi"/>
          <w:sz w:val="20"/>
          <w:szCs w:val="20"/>
        </w:rPr>
        <w:t>, a detained foreign national’s right to be advised, without delay, that he has:</w:t>
      </w:r>
    </w:p>
    <w:p w14:paraId="234B7539" w14:textId="77777777" w:rsidR="00651A30" w:rsidRPr="002F3937" w:rsidRDefault="00651A30" w:rsidP="00651A30">
      <w:pPr>
        <w:pStyle w:val="ListParagraph"/>
        <w:rPr>
          <w:rFonts w:asciiTheme="majorHAnsi" w:hAnsiTheme="majorHAnsi"/>
          <w:sz w:val="20"/>
          <w:szCs w:val="20"/>
        </w:rPr>
      </w:pPr>
    </w:p>
    <w:p w14:paraId="32233C1F" w14:textId="0E870DD6" w:rsidR="00651A30" w:rsidRPr="002F3937" w:rsidRDefault="00651A30" w:rsidP="00651A30">
      <w:pPr>
        <w:pStyle w:val="NormalWeb"/>
        <w:tabs>
          <w:tab w:val="left" w:pos="360"/>
        </w:tabs>
        <w:spacing w:before="0" w:beforeAutospacing="0" w:after="0" w:afterAutospacing="0"/>
        <w:ind w:left="360" w:right="360"/>
        <w:jc w:val="both"/>
        <w:rPr>
          <w:rFonts w:asciiTheme="majorHAnsi" w:hAnsiTheme="majorHAnsi"/>
          <w:sz w:val="18"/>
          <w:szCs w:val="18"/>
        </w:rPr>
      </w:pPr>
      <w:r w:rsidRPr="002F3937">
        <w:rPr>
          <w:rFonts w:asciiTheme="majorHAnsi" w:hAnsiTheme="majorHAnsi"/>
          <w:sz w:val="18"/>
          <w:szCs w:val="18"/>
        </w:rPr>
        <w:t>a) the right to request and obtain from the competent authorities of the host State that they inform the appropriate consular post that he has been arrested, committed to prison, placed in preventive custody or otherwise detained, and</w:t>
      </w:r>
    </w:p>
    <w:p w14:paraId="2FD89C11" w14:textId="61BBDF46" w:rsidR="00651A30" w:rsidRPr="002F3937" w:rsidRDefault="00651A30" w:rsidP="00651A30">
      <w:pPr>
        <w:pStyle w:val="BodyText"/>
        <w:tabs>
          <w:tab w:val="left" w:pos="360"/>
        </w:tabs>
        <w:ind w:left="360" w:right="360"/>
        <w:jc w:val="both"/>
        <w:rPr>
          <w:rFonts w:asciiTheme="majorHAnsi" w:eastAsia="Times New Roman" w:hAnsiTheme="majorHAnsi"/>
          <w:sz w:val="18"/>
          <w:szCs w:val="18"/>
          <w:bdr w:val="none" w:sz="0" w:space="0" w:color="auto"/>
        </w:rPr>
      </w:pPr>
      <w:r w:rsidRPr="002F3937">
        <w:rPr>
          <w:rFonts w:asciiTheme="majorHAnsi" w:eastAsia="Times New Roman" w:hAnsiTheme="majorHAnsi"/>
          <w:sz w:val="18"/>
          <w:szCs w:val="18"/>
          <w:bdr w:val="none" w:sz="0" w:space="0" w:color="auto"/>
        </w:rPr>
        <w:t>b) the right to address a communication to the appropriate consular post, which is to be forwarded “without delay.”</w:t>
      </w:r>
      <w:r w:rsidR="003339C8" w:rsidRPr="002F3937">
        <w:rPr>
          <w:rStyle w:val="FootnoteReference"/>
          <w:rFonts w:asciiTheme="majorHAnsi" w:eastAsia="Times New Roman" w:hAnsiTheme="majorHAnsi"/>
          <w:sz w:val="18"/>
          <w:szCs w:val="18"/>
          <w:bdr w:val="none" w:sz="0" w:space="0" w:color="auto"/>
        </w:rPr>
        <w:footnoteReference w:id="32"/>
      </w:r>
    </w:p>
    <w:p w14:paraId="43F23F8B" w14:textId="77777777" w:rsidR="00651A30" w:rsidRPr="002F3937" w:rsidRDefault="00651A30" w:rsidP="00651A30">
      <w:pPr>
        <w:pStyle w:val="BodyText"/>
        <w:tabs>
          <w:tab w:val="left" w:pos="360"/>
        </w:tabs>
        <w:spacing w:after="0"/>
        <w:ind w:right="360"/>
        <w:jc w:val="both"/>
        <w:rPr>
          <w:rFonts w:asciiTheme="majorHAnsi" w:eastAsia="Times New Roman" w:hAnsiTheme="majorHAnsi"/>
          <w:sz w:val="18"/>
          <w:szCs w:val="18"/>
          <w:bdr w:val="none" w:sz="0" w:space="0" w:color="auto"/>
        </w:rPr>
      </w:pPr>
    </w:p>
    <w:p w14:paraId="7C11D374" w14:textId="7D66A176" w:rsidR="00FD3996" w:rsidRPr="002F3937" w:rsidRDefault="00FD3996" w:rsidP="00EC55EA">
      <w:pPr>
        <w:pStyle w:val="NormalWeb"/>
        <w:numPr>
          <w:ilvl w:val="0"/>
          <w:numId w:val="55"/>
        </w:numPr>
        <w:tabs>
          <w:tab w:val="left" w:pos="360"/>
        </w:tabs>
        <w:spacing w:before="0" w:beforeAutospacing="0" w:after="0" w:afterAutospacing="0"/>
        <w:ind w:left="0" w:firstLine="0"/>
        <w:jc w:val="both"/>
        <w:rPr>
          <w:rFonts w:asciiTheme="majorHAnsi" w:hAnsiTheme="majorHAnsi"/>
          <w:sz w:val="20"/>
          <w:szCs w:val="20"/>
        </w:rPr>
      </w:pPr>
      <w:r w:rsidRPr="002F3937">
        <w:rPr>
          <w:rFonts w:ascii="Cambria" w:hAnsi="Cambria"/>
          <w:sz w:val="20"/>
          <w:szCs w:val="20"/>
        </w:rPr>
        <w:t xml:space="preserve">The significance of </w:t>
      </w:r>
      <w:r w:rsidR="007F3523" w:rsidRPr="002F3937">
        <w:rPr>
          <w:rFonts w:ascii="Cambria" w:hAnsi="Cambria"/>
          <w:sz w:val="20"/>
          <w:szCs w:val="20"/>
        </w:rPr>
        <w:t xml:space="preserve">the right to information on </w:t>
      </w:r>
      <w:r w:rsidRPr="002F3937">
        <w:rPr>
          <w:rFonts w:ascii="Cambria" w:hAnsi="Cambria"/>
          <w:sz w:val="20"/>
          <w:szCs w:val="20"/>
        </w:rPr>
        <w:t xml:space="preserve">consular </w:t>
      </w:r>
      <w:r w:rsidR="007944C5" w:rsidRPr="002F3937">
        <w:rPr>
          <w:rFonts w:ascii="Cambria" w:hAnsi="Cambria"/>
          <w:sz w:val="20"/>
          <w:szCs w:val="20"/>
        </w:rPr>
        <w:t>assistance</w:t>
      </w:r>
      <w:r w:rsidRPr="002F3937">
        <w:rPr>
          <w:rFonts w:ascii="Cambria" w:hAnsi="Cambria"/>
          <w:sz w:val="20"/>
          <w:szCs w:val="20"/>
        </w:rPr>
        <w:t xml:space="preserve"> is also reflected in practice guidelines such as those adopted by the American Bar Association, a national organization for the legal profession in the United States, concerning the due process rights of foreign nationals in capital proceedings. The ABA has indicated in its Guidelines for the Appointment and Performance of Defense Counsel in Death Penalty Cases that:</w:t>
      </w:r>
      <w:r w:rsidRPr="002F3937">
        <w:rPr>
          <w:rStyle w:val="FootnoteReference"/>
          <w:rFonts w:ascii="Cambria" w:hAnsi="Cambria" w:cs="Arial"/>
          <w:sz w:val="20"/>
          <w:szCs w:val="20"/>
        </w:rPr>
        <w:footnoteReference w:id="33"/>
      </w:r>
    </w:p>
    <w:p w14:paraId="52E9F137" w14:textId="77777777" w:rsidR="00FD3996" w:rsidRPr="002F3937" w:rsidRDefault="00FD3996" w:rsidP="00EC55EA">
      <w:pPr>
        <w:jc w:val="both"/>
        <w:rPr>
          <w:rFonts w:ascii="Cambria" w:hAnsi="Cambria" w:cs="Arial"/>
          <w:sz w:val="20"/>
          <w:szCs w:val="20"/>
        </w:rPr>
      </w:pPr>
    </w:p>
    <w:p w14:paraId="73D7BBE5" w14:textId="77777777" w:rsidR="00FD3996" w:rsidRPr="00EC55EA" w:rsidRDefault="00FD3996" w:rsidP="00EC55EA">
      <w:pPr>
        <w:ind w:left="360" w:right="360"/>
        <w:jc w:val="both"/>
        <w:rPr>
          <w:rFonts w:ascii="Cambria" w:hAnsi="Cambria" w:cs="Arial"/>
          <w:sz w:val="18"/>
          <w:szCs w:val="18"/>
        </w:rPr>
      </w:pPr>
      <w:r w:rsidRPr="002F3937">
        <w:rPr>
          <w:rFonts w:ascii="Cambria" w:hAnsi="Cambria" w:cs="Arial"/>
          <w:sz w:val="18"/>
          <w:szCs w:val="18"/>
        </w:rPr>
        <w:t>[u]nless predecessor counsel has already done so, counsel representing a foreign national should: 1. immediately</w:t>
      </w:r>
      <w:r w:rsidRPr="00EC55EA">
        <w:rPr>
          <w:rFonts w:ascii="Cambria" w:hAnsi="Cambria" w:cs="Arial"/>
          <w:sz w:val="18"/>
          <w:szCs w:val="18"/>
        </w:rPr>
        <w:t xml:space="preserve"> advise the client of his or her right to communicate with the relevant consular office; and 2. obtain the consent of the client to contact the consular office. After obtaining consent, counsel should immediately contact the client’s consular office and inform it of the client’s detention or arrest […]</w:t>
      </w:r>
    </w:p>
    <w:p w14:paraId="36503621" w14:textId="77777777" w:rsidR="00FD3996" w:rsidRPr="00EC55EA" w:rsidRDefault="00FD3996" w:rsidP="00EC55EA">
      <w:pPr>
        <w:pStyle w:val="NormalWeb"/>
        <w:tabs>
          <w:tab w:val="left" w:pos="360"/>
        </w:tabs>
        <w:spacing w:before="0" w:beforeAutospacing="0" w:after="0" w:afterAutospacing="0"/>
        <w:jc w:val="both"/>
        <w:rPr>
          <w:rFonts w:ascii="Cambria" w:hAnsi="Cambria"/>
          <w:sz w:val="20"/>
          <w:szCs w:val="20"/>
        </w:rPr>
      </w:pPr>
    </w:p>
    <w:p w14:paraId="3E39663B" w14:textId="5F94A0A6" w:rsidR="00DC190C" w:rsidRPr="002F3937" w:rsidRDefault="00681A6B" w:rsidP="00EC55EA">
      <w:pPr>
        <w:pStyle w:val="NormalWeb"/>
        <w:numPr>
          <w:ilvl w:val="0"/>
          <w:numId w:val="55"/>
        </w:numPr>
        <w:tabs>
          <w:tab w:val="left" w:pos="360"/>
        </w:tabs>
        <w:spacing w:before="0" w:beforeAutospacing="0" w:after="0" w:afterAutospacing="0"/>
        <w:ind w:left="0" w:firstLine="0"/>
        <w:jc w:val="both"/>
        <w:rPr>
          <w:rFonts w:ascii="Cambria" w:hAnsi="Cambria"/>
          <w:sz w:val="20"/>
          <w:szCs w:val="20"/>
        </w:rPr>
      </w:pPr>
      <w:r w:rsidRPr="002F3937">
        <w:rPr>
          <w:rFonts w:ascii="Cambria" w:hAnsi="Cambria"/>
          <w:sz w:val="20"/>
          <w:szCs w:val="20"/>
        </w:rPr>
        <w:t>In th</w:t>
      </w:r>
      <w:r w:rsidR="00880395" w:rsidRPr="002F3937">
        <w:rPr>
          <w:rFonts w:ascii="Cambria" w:hAnsi="Cambria"/>
          <w:sz w:val="20"/>
          <w:szCs w:val="20"/>
        </w:rPr>
        <w:t xml:space="preserve">e present case, </w:t>
      </w:r>
      <w:r w:rsidR="00AC78C4" w:rsidRPr="002F3937">
        <w:rPr>
          <w:rFonts w:ascii="Cambria" w:hAnsi="Cambria"/>
          <w:sz w:val="20"/>
          <w:szCs w:val="20"/>
        </w:rPr>
        <w:t>the Commission notes that</w:t>
      </w:r>
      <w:r w:rsidRPr="002F3937">
        <w:rPr>
          <w:rFonts w:ascii="Cambria" w:hAnsi="Cambria"/>
          <w:sz w:val="20"/>
          <w:szCs w:val="20"/>
        </w:rPr>
        <w:t xml:space="preserve"> Mr. </w:t>
      </w:r>
      <w:r w:rsidR="00880395" w:rsidRPr="002F3937">
        <w:rPr>
          <w:rFonts w:ascii="Cambria" w:hAnsi="Cambria"/>
          <w:sz w:val="20"/>
          <w:szCs w:val="20"/>
        </w:rPr>
        <w:t>Kadamovas</w:t>
      </w:r>
      <w:r w:rsidRPr="002F3937">
        <w:rPr>
          <w:rFonts w:ascii="Cambria" w:hAnsi="Cambria"/>
          <w:sz w:val="20"/>
          <w:szCs w:val="20"/>
        </w:rPr>
        <w:t xml:space="preserve"> is a national of </w:t>
      </w:r>
      <w:r w:rsidR="00880395" w:rsidRPr="002F3937">
        <w:rPr>
          <w:rFonts w:ascii="Cambria" w:hAnsi="Cambria"/>
          <w:sz w:val="20"/>
          <w:szCs w:val="20"/>
        </w:rPr>
        <w:t>Lithu</w:t>
      </w:r>
      <w:r w:rsidR="00400B9A" w:rsidRPr="002F3937">
        <w:rPr>
          <w:rFonts w:ascii="Cambria" w:hAnsi="Cambria"/>
          <w:sz w:val="20"/>
          <w:szCs w:val="20"/>
        </w:rPr>
        <w:t>ania and M</w:t>
      </w:r>
      <w:r w:rsidR="00880395" w:rsidRPr="002F3937">
        <w:rPr>
          <w:rFonts w:ascii="Cambria" w:hAnsi="Cambria"/>
          <w:sz w:val="20"/>
          <w:szCs w:val="20"/>
        </w:rPr>
        <w:t xml:space="preserve">r. Bolden is a national of Canada. Both assert that they were not informed of their </w:t>
      </w:r>
      <w:r w:rsidRPr="002F3937">
        <w:rPr>
          <w:rFonts w:ascii="Cambria" w:hAnsi="Cambria"/>
          <w:sz w:val="20"/>
          <w:szCs w:val="20"/>
        </w:rPr>
        <w:t xml:space="preserve">right to </w:t>
      </w:r>
      <w:r w:rsidR="007F3523" w:rsidRPr="002F3937">
        <w:rPr>
          <w:rFonts w:ascii="Cambria" w:hAnsi="Cambria"/>
          <w:sz w:val="20"/>
          <w:szCs w:val="20"/>
        </w:rPr>
        <w:t xml:space="preserve">information on </w:t>
      </w:r>
      <w:r w:rsidRPr="002F3937">
        <w:rPr>
          <w:rFonts w:ascii="Cambria" w:hAnsi="Cambria"/>
          <w:sz w:val="20"/>
          <w:szCs w:val="20"/>
        </w:rPr>
        <w:t xml:space="preserve">consular </w:t>
      </w:r>
      <w:r w:rsidR="007944C5" w:rsidRPr="002F3937">
        <w:rPr>
          <w:rFonts w:ascii="Cambria" w:hAnsi="Cambria"/>
          <w:sz w:val="20"/>
          <w:szCs w:val="20"/>
        </w:rPr>
        <w:t>assistance</w:t>
      </w:r>
      <w:r w:rsidRPr="002F3937">
        <w:rPr>
          <w:rFonts w:ascii="Cambria" w:hAnsi="Cambria"/>
          <w:sz w:val="20"/>
          <w:szCs w:val="20"/>
        </w:rPr>
        <w:t xml:space="preserve"> when </w:t>
      </w:r>
      <w:r w:rsidR="00603CB6" w:rsidRPr="002F3937">
        <w:rPr>
          <w:rFonts w:ascii="Cambria" w:hAnsi="Cambria"/>
          <w:sz w:val="20"/>
          <w:szCs w:val="20"/>
        </w:rPr>
        <w:t>arrested or subsequent thereto in the case of Mr. Bolden</w:t>
      </w:r>
      <w:r w:rsidRPr="002F3937">
        <w:rPr>
          <w:rFonts w:ascii="Cambria" w:hAnsi="Cambria"/>
          <w:sz w:val="20"/>
          <w:szCs w:val="20"/>
        </w:rPr>
        <w:t xml:space="preserve">. </w:t>
      </w:r>
    </w:p>
    <w:p w14:paraId="3B13C1E5" w14:textId="77777777" w:rsidR="00592A6D" w:rsidRPr="002F3937" w:rsidRDefault="00592A6D" w:rsidP="00EC55EA">
      <w:pPr>
        <w:pStyle w:val="NormalWeb"/>
        <w:tabs>
          <w:tab w:val="left" w:pos="360"/>
        </w:tabs>
        <w:spacing w:before="0" w:beforeAutospacing="0" w:after="0" w:afterAutospacing="0"/>
        <w:jc w:val="both"/>
        <w:rPr>
          <w:rFonts w:ascii="Cambria" w:hAnsi="Cambria"/>
          <w:sz w:val="20"/>
          <w:szCs w:val="20"/>
        </w:rPr>
      </w:pPr>
    </w:p>
    <w:p w14:paraId="00024D94" w14:textId="77777777" w:rsidR="00381A63" w:rsidRPr="002F3937" w:rsidRDefault="005D3E9A" w:rsidP="00EC55EA">
      <w:pPr>
        <w:pStyle w:val="NormalWeb"/>
        <w:numPr>
          <w:ilvl w:val="0"/>
          <w:numId w:val="55"/>
        </w:numPr>
        <w:tabs>
          <w:tab w:val="left" w:pos="360"/>
        </w:tabs>
        <w:spacing w:before="0" w:beforeAutospacing="0" w:after="0" w:afterAutospacing="0"/>
        <w:ind w:left="0" w:firstLine="0"/>
        <w:jc w:val="both"/>
        <w:rPr>
          <w:rFonts w:asciiTheme="majorHAnsi" w:hAnsiTheme="majorHAnsi"/>
          <w:sz w:val="20"/>
          <w:szCs w:val="20"/>
        </w:rPr>
      </w:pPr>
      <w:r w:rsidRPr="002F3937">
        <w:rPr>
          <w:rFonts w:asciiTheme="majorHAnsi" w:hAnsiTheme="majorHAnsi"/>
          <w:sz w:val="20"/>
          <w:szCs w:val="20"/>
        </w:rPr>
        <w:lastRenderedPageBreak/>
        <w:t>Mr. Kadamovas was arrested in March 2002.</w:t>
      </w:r>
      <w:r w:rsidRPr="002F3937">
        <w:rPr>
          <w:rStyle w:val="FootnoteReference"/>
          <w:rFonts w:asciiTheme="majorHAnsi" w:hAnsiTheme="majorHAnsi"/>
          <w:sz w:val="20"/>
          <w:szCs w:val="20"/>
        </w:rPr>
        <w:footnoteReference w:id="34"/>
      </w:r>
      <w:r w:rsidRPr="002F3937">
        <w:rPr>
          <w:rFonts w:asciiTheme="majorHAnsi" w:hAnsiTheme="majorHAnsi"/>
          <w:sz w:val="20"/>
          <w:szCs w:val="20"/>
        </w:rPr>
        <w:t xml:space="preserve"> </w:t>
      </w:r>
      <w:r w:rsidR="00381A63" w:rsidRPr="002F3937">
        <w:rPr>
          <w:rFonts w:asciiTheme="majorHAnsi" w:hAnsiTheme="majorHAnsi"/>
          <w:sz w:val="20"/>
          <w:szCs w:val="20"/>
        </w:rPr>
        <w:t>According to</w:t>
      </w:r>
      <w:r w:rsidR="008669E2" w:rsidRPr="002F3937">
        <w:rPr>
          <w:rFonts w:asciiTheme="majorHAnsi" w:hAnsiTheme="majorHAnsi"/>
          <w:sz w:val="20"/>
          <w:szCs w:val="20"/>
        </w:rPr>
        <w:t xml:space="preserve"> a letter from the Ministry of Foreign Affairs of the Republic of Lithuania</w:t>
      </w:r>
      <w:r w:rsidR="00A55ED2" w:rsidRPr="002F3937">
        <w:rPr>
          <w:rFonts w:asciiTheme="majorHAnsi" w:hAnsiTheme="majorHAnsi"/>
          <w:sz w:val="20"/>
          <w:szCs w:val="20"/>
        </w:rPr>
        <w:t xml:space="preserve"> dated</w:t>
      </w:r>
      <w:r w:rsidR="0060181F" w:rsidRPr="002F3937">
        <w:rPr>
          <w:rFonts w:asciiTheme="majorHAnsi" w:hAnsiTheme="majorHAnsi"/>
          <w:sz w:val="20"/>
          <w:szCs w:val="20"/>
        </w:rPr>
        <w:t xml:space="preserve"> November 14, 2016</w:t>
      </w:r>
      <w:r w:rsidR="008669E2" w:rsidRPr="002F3937">
        <w:rPr>
          <w:rFonts w:asciiTheme="majorHAnsi" w:hAnsiTheme="majorHAnsi"/>
          <w:sz w:val="20"/>
          <w:szCs w:val="20"/>
        </w:rPr>
        <w:t xml:space="preserve">, </w:t>
      </w:r>
      <w:r w:rsidR="00381A63" w:rsidRPr="002F3937">
        <w:rPr>
          <w:rFonts w:asciiTheme="majorHAnsi" w:hAnsiTheme="majorHAnsi"/>
          <w:sz w:val="20"/>
          <w:szCs w:val="20"/>
        </w:rPr>
        <w:t>since</w:t>
      </w:r>
      <w:r w:rsidR="008669E2" w:rsidRPr="002F3937">
        <w:rPr>
          <w:rFonts w:asciiTheme="majorHAnsi" w:hAnsiTheme="majorHAnsi"/>
          <w:sz w:val="20"/>
          <w:szCs w:val="20"/>
        </w:rPr>
        <w:t xml:space="preserve"> 2003</w:t>
      </w:r>
      <w:r w:rsidR="00381A63" w:rsidRPr="002F3937">
        <w:rPr>
          <w:rFonts w:asciiTheme="majorHAnsi" w:hAnsiTheme="majorHAnsi"/>
          <w:sz w:val="20"/>
          <w:szCs w:val="20"/>
        </w:rPr>
        <w:t xml:space="preserve"> </w:t>
      </w:r>
      <w:r w:rsidR="008669E2" w:rsidRPr="002F3937">
        <w:rPr>
          <w:rFonts w:asciiTheme="majorHAnsi" w:hAnsiTheme="majorHAnsi"/>
          <w:sz w:val="20"/>
          <w:szCs w:val="20"/>
        </w:rPr>
        <w:t xml:space="preserve">the </w:t>
      </w:r>
      <w:r w:rsidR="00A55ED2" w:rsidRPr="002F3937">
        <w:rPr>
          <w:rFonts w:asciiTheme="majorHAnsi" w:hAnsiTheme="majorHAnsi"/>
          <w:sz w:val="20"/>
          <w:szCs w:val="20"/>
        </w:rPr>
        <w:t xml:space="preserve">Lithuanian </w:t>
      </w:r>
      <w:r w:rsidR="008669E2" w:rsidRPr="002F3937">
        <w:rPr>
          <w:rFonts w:asciiTheme="majorHAnsi" w:hAnsiTheme="majorHAnsi"/>
          <w:sz w:val="20"/>
          <w:szCs w:val="20"/>
        </w:rPr>
        <w:t>Embassy in the United States</w:t>
      </w:r>
      <w:r w:rsidR="00381A63" w:rsidRPr="002F3937">
        <w:rPr>
          <w:rFonts w:asciiTheme="majorHAnsi" w:hAnsiTheme="majorHAnsi"/>
          <w:sz w:val="20"/>
          <w:szCs w:val="20"/>
        </w:rPr>
        <w:t xml:space="preserve"> had</w:t>
      </w:r>
      <w:r w:rsidR="008669E2" w:rsidRPr="002F3937">
        <w:rPr>
          <w:rFonts w:asciiTheme="majorHAnsi" w:hAnsiTheme="majorHAnsi"/>
          <w:sz w:val="20"/>
          <w:szCs w:val="20"/>
        </w:rPr>
        <w:t xml:space="preserve"> been in constant communication with Mr. Kadamovas, his lawyers and Non-Governmental Organizations involved in the case. Moreover, Mr. Kadamovas </w:t>
      </w:r>
      <w:r w:rsidR="00136D3B" w:rsidRPr="002F3937">
        <w:rPr>
          <w:rFonts w:asciiTheme="majorHAnsi" w:hAnsiTheme="majorHAnsi"/>
          <w:sz w:val="20"/>
          <w:szCs w:val="20"/>
        </w:rPr>
        <w:t xml:space="preserve">has </w:t>
      </w:r>
      <w:r w:rsidR="00381A63" w:rsidRPr="002F3937">
        <w:rPr>
          <w:rFonts w:asciiTheme="majorHAnsi" w:hAnsiTheme="majorHAnsi"/>
          <w:sz w:val="20"/>
          <w:szCs w:val="20"/>
        </w:rPr>
        <w:t xml:space="preserve">indicated that </w:t>
      </w:r>
      <w:r w:rsidR="008669E2" w:rsidRPr="002F3937">
        <w:rPr>
          <w:rFonts w:asciiTheme="majorHAnsi" w:hAnsiTheme="majorHAnsi"/>
          <w:sz w:val="20"/>
          <w:szCs w:val="20"/>
        </w:rPr>
        <w:t xml:space="preserve">his trial counsel travelled to Lithuania before his trial. </w:t>
      </w:r>
      <w:r w:rsidR="00136D3B" w:rsidRPr="002F3937">
        <w:rPr>
          <w:rFonts w:asciiTheme="majorHAnsi" w:hAnsiTheme="majorHAnsi"/>
          <w:sz w:val="20"/>
          <w:szCs w:val="20"/>
        </w:rPr>
        <w:t xml:space="preserve">Therefore, the available information shows that Mr. Kadamovas had access to consular authorities a year after his arrest. </w:t>
      </w:r>
    </w:p>
    <w:p w14:paraId="7366E301" w14:textId="77777777" w:rsidR="00381A63" w:rsidRPr="002F3937" w:rsidRDefault="00381A63" w:rsidP="00EC55EA">
      <w:pPr>
        <w:pStyle w:val="NormalWeb"/>
        <w:tabs>
          <w:tab w:val="left" w:pos="360"/>
        </w:tabs>
        <w:spacing w:before="0" w:beforeAutospacing="0" w:after="0" w:afterAutospacing="0"/>
        <w:jc w:val="both"/>
        <w:rPr>
          <w:rFonts w:asciiTheme="majorHAnsi" w:hAnsiTheme="majorHAnsi"/>
          <w:sz w:val="20"/>
          <w:szCs w:val="20"/>
        </w:rPr>
      </w:pPr>
    </w:p>
    <w:p w14:paraId="4D1F9F11" w14:textId="5CD0F104" w:rsidR="00381A63" w:rsidRPr="002F3937" w:rsidRDefault="00F810EB" w:rsidP="00EC55EA">
      <w:pPr>
        <w:pStyle w:val="NormalWeb"/>
        <w:numPr>
          <w:ilvl w:val="0"/>
          <w:numId w:val="55"/>
        </w:numPr>
        <w:tabs>
          <w:tab w:val="left" w:pos="360"/>
          <w:tab w:val="left" w:pos="720"/>
          <w:tab w:val="left" w:pos="1440"/>
        </w:tabs>
        <w:spacing w:before="0" w:beforeAutospacing="0" w:after="0" w:afterAutospacing="0"/>
        <w:ind w:left="0" w:firstLine="0"/>
        <w:jc w:val="both"/>
        <w:textAlignment w:val="baseline"/>
        <w:rPr>
          <w:rFonts w:ascii="Cambria" w:hAnsi="Cambria"/>
          <w:sz w:val="20"/>
          <w:szCs w:val="20"/>
        </w:rPr>
      </w:pPr>
      <w:r w:rsidRPr="002F3937">
        <w:rPr>
          <w:rFonts w:ascii="Cambria" w:hAnsi="Cambria"/>
          <w:sz w:val="20"/>
          <w:szCs w:val="20"/>
        </w:rPr>
        <w:t xml:space="preserve">With regard to Mr. Bolden, </w:t>
      </w:r>
      <w:r w:rsidR="00A7730C" w:rsidRPr="002F3937">
        <w:rPr>
          <w:rFonts w:ascii="Cambria" w:hAnsi="Cambria"/>
          <w:sz w:val="20"/>
          <w:szCs w:val="20"/>
        </w:rPr>
        <w:t xml:space="preserve">the Commission notes </w:t>
      </w:r>
      <w:r w:rsidR="00A7730C" w:rsidRPr="002F3937">
        <w:rPr>
          <w:rFonts w:asciiTheme="majorHAnsi" w:hAnsiTheme="majorHAnsi"/>
          <w:sz w:val="20"/>
          <w:szCs w:val="20"/>
        </w:rPr>
        <w:t xml:space="preserve">that the state appointed counsel failed to inform Mr. Bolden, during trial and on appeal, of his </w:t>
      </w:r>
      <w:r w:rsidR="007F3523" w:rsidRPr="002F3937">
        <w:rPr>
          <w:rFonts w:asciiTheme="majorHAnsi" w:hAnsiTheme="majorHAnsi"/>
          <w:sz w:val="20"/>
          <w:szCs w:val="20"/>
        </w:rPr>
        <w:t xml:space="preserve">right to information on </w:t>
      </w:r>
      <w:r w:rsidR="00912195" w:rsidRPr="002F3937">
        <w:rPr>
          <w:rFonts w:asciiTheme="majorHAnsi" w:hAnsiTheme="majorHAnsi"/>
          <w:sz w:val="20"/>
          <w:szCs w:val="20"/>
        </w:rPr>
        <w:t xml:space="preserve">consular </w:t>
      </w:r>
      <w:r w:rsidR="007944C5" w:rsidRPr="002F3937">
        <w:rPr>
          <w:rFonts w:ascii="Cambria" w:hAnsi="Cambria"/>
          <w:sz w:val="20"/>
          <w:szCs w:val="20"/>
        </w:rPr>
        <w:t>assistance</w:t>
      </w:r>
      <w:r w:rsidR="00A7730C" w:rsidRPr="002F3937">
        <w:rPr>
          <w:rFonts w:asciiTheme="majorHAnsi" w:hAnsiTheme="majorHAnsi"/>
          <w:sz w:val="20"/>
          <w:szCs w:val="20"/>
        </w:rPr>
        <w:t xml:space="preserve">. </w:t>
      </w:r>
      <w:r w:rsidR="00912195" w:rsidRPr="002F3937">
        <w:rPr>
          <w:rFonts w:ascii="Cambria" w:hAnsi="Cambria"/>
          <w:sz w:val="20"/>
          <w:szCs w:val="20"/>
        </w:rPr>
        <w:t xml:space="preserve">Also, </w:t>
      </w:r>
      <w:r w:rsidRPr="002F3937">
        <w:rPr>
          <w:rFonts w:ascii="Cambria" w:hAnsi="Cambria"/>
          <w:sz w:val="20"/>
          <w:szCs w:val="20"/>
        </w:rPr>
        <w:t>a</w:t>
      </w:r>
      <w:r w:rsidR="00381A63" w:rsidRPr="002F3937">
        <w:rPr>
          <w:rFonts w:ascii="Cambria" w:hAnsi="Cambria"/>
          <w:sz w:val="20"/>
          <w:szCs w:val="20"/>
        </w:rPr>
        <w:t xml:space="preserve">ccording to the facts established in this report, this claim was brought by Mr. Bolden in a post-conviction motion but the court considered that he failed to show that the lack of </w:t>
      </w:r>
      <w:r w:rsidR="007944C5" w:rsidRPr="002F3937">
        <w:rPr>
          <w:rFonts w:ascii="Cambria" w:hAnsi="Cambria"/>
          <w:sz w:val="20"/>
          <w:szCs w:val="20"/>
        </w:rPr>
        <w:t xml:space="preserve">information on </w:t>
      </w:r>
      <w:r w:rsidR="00381A63" w:rsidRPr="002F3937">
        <w:rPr>
          <w:rFonts w:ascii="Cambria" w:hAnsi="Cambria"/>
          <w:sz w:val="20"/>
          <w:szCs w:val="20"/>
        </w:rPr>
        <w:t xml:space="preserve">consular </w:t>
      </w:r>
      <w:r w:rsidR="007944C5" w:rsidRPr="002F3937">
        <w:rPr>
          <w:rFonts w:ascii="Cambria" w:hAnsi="Cambria"/>
          <w:sz w:val="20"/>
          <w:szCs w:val="20"/>
        </w:rPr>
        <w:t>assistance</w:t>
      </w:r>
      <w:r w:rsidR="00381A63" w:rsidRPr="002F3937">
        <w:rPr>
          <w:rFonts w:ascii="Cambria" w:hAnsi="Cambria"/>
          <w:sz w:val="20"/>
          <w:szCs w:val="20"/>
        </w:rPr>
        <w:t xml:space="preserve"> </w:t>
      </w:r>
      <w:r w:rsidR="00381A63" w:rsidRPr="002F3937">
        <w:rPr>
          <w:rFonts w:asciiTheme="majorHAnsi" w:hAnsiTheme="majorHAnsi"/>
          <w:sz w:val="20"/>
          <w:szCs w:val="20"/>
        </w:rPr>
        <w:t xml:space="preserve">affected his conviction and sentence. </w:t>
      </w:r>
    </w:p>
    <w:p w14:paraId="5126209F" w14:textId="77777777" w:rsidR="00F810EB" w:rsidRPr="002F3937" w:rsidRDefault="00F810EB" w:rsidP="00EC55EA">
      <w:pPr>
        <w:pStyle w:val="NormalWeb"/>
        <w:tabs>
          <w:tab w:val="left" w:pos="360"/>
          <w:tab w:val="left" w:pos="720"/>
          <w:tab w:val="left" w:pos="1440"/>
        </w:tabs>
        <w:spacing w:before="0" w:beforeAutospacing="0" w:after="0" w:afterAutospacing="0"/>
        <w:jc w:val="both"/>
        <w:textAlignment w:val="baseline"/>
        <w:rPr>
          <w:rFonts w:ascii="Cambria" w:hAnsi="Cambria"/>
          <w:sz w:val="20"/>
          <w:szCs w:val="20"/>
        </w:rPr>
      </w:pPr>
    </w:p>
    <w:p w14:paraId="3EBE5E9C" w14:textId="2A35EC5D" w:rsidR="00681A6B" w:rsidRPr="002F3937" w:rsidRDefault="00DC190C" w:rsidP="00EC55EA">
      <w:pPr>
        <w:pStyle w:val="NormalWeb"/>
        <w:numPr>
          <w:ilvl w:val="0"/>
          <w:numId w:val="55"/>
        </w:numPr>
        <w:tabs>
          <w:tab w:val="left" w:pos="360"/>
        </w:tabs>
        <w:spacing w:before="0" w:beforeAutospacing="0" w:after="0" w:afterAutospacing="0"/>
        <w:ind w:left="0" w:firstLine="0"/>
        <w:jc w:val="both"/>
        <w:rPr>
          <w:rFonts w:ascii="Cambria" w:hAnsi="Cambria"/>
          <w:sz w:val="20"/>
          <w:szCs w:val="20"/>
        </w:rPr>
      </w:pPr>
      <w:r w:rsidRPr="002F3937">
        <w:rPr>
          <w:rFonts w:ascii="Cambria" w:hAnsi="Cambria"/>
          <w:sz w:val="20"/>
          <w:szCs w:val="20"/>
        </w:rPr>
        <w:t xml:space="preserve">The State has not disputed the petitioners’ contentions in this regard save for </w:t>
      </w:r>
      <w:r w:rsidR="00047AF6" w:rsidRPr="002F3937">
        <w:rPr>
          <w:rFonts w:ascii="Cambria" w:hAnsi="Cambria"/>
          <w:sz w:val="20"/>
          <w:szCs w:val="20"/>
        </w:rPr>
        <w:t xml:space="preserve">the allegation that claims concerning </w:t>
      </w:r>
      <w:r w:rsidR="007944C5" w:rsidRPr="002F3937">
        <w:rPr>
          <w:rFonts w:ascii="Cambria" w:hAnsi="Cambria"/>
          <w:sz w:val="20"/>
          <w:szCs w:val="20"/>
        </w:rPr>
        <w:t xml:space="preserve">information on </w:t>
      </w:r>
      <w:r w:rsidR="00047AF6" w:rsidRPr="002F3937">
        <w:rPr>
          <w:rFonts w:ascii="Cambria" w:hAnsi="Cambria"/>
          <w:sz w:val="20"/>
          <w:szCs w:val="20"/>
        </w:rPr>
        <w:t xml:space="preserve">consular </w:t>
      </w:r>
      <w:r w:rsidR="007944C5" w:rsidRPr="002F3937">
        <w:rPr>
          <w:rFonts w:ascii="Cambria" w:hAnsi="Cambria"/>
          <w:sz w:val="20"/>
          <w:szCs w:val="20"/>
        </w:rPr>
        <w:t>assistance</w:t>
      </w:r>
      <w:r w:rsidR="00047AF6" w:rsidRPr="002F3937">
        <w:rPr>
          <w:rFonts w:ascii="Cambria" w:hAnsi="Cambria"/>
          <w:sz w:val="20"/>
          <w:szCs w:val="20"/>
        </w:rPr>
        <w:t xml:space="preserve"> do not raise a violation of a human right. </w:t>
      </w:r>
      <w:r w:rsidR="003D3F3F" w:rsidRPr="002F3937">
        <w:rPr>
          <w:rFonts w:ascii="Cambria" w:hAnsi="Cambria"/>
          <w:sz w:val="20"/>
          <w:szCs w:val="20"/>
        </w:rPr>
        <w:t>Accordingly, based upon the information and arguments presented, the Commission co</w:t>
      </w:r>
      <w:r w:rsidR="001773AE" w:rsidRPr="002F3937">
        <w:rPr>
          <w:rFonts w:ascii="Cambria" w:hAnsi="Cambria"/>
          <w:sz w:val="20"/>
          <w:szCs w:val="20"/>
        </w:rPr>
        <w:t>ncludes that the alleged victim</w:t>
      </w:r>
      <w:r w:rsidR="007944C5" w:rsidRPr="002F3937">
        <w:rPr>
          <w:rFonts w:ascii="Cambria" w:hAnsi="Cambria"/>
          <w:sz w:val="20"/>
          <w:szCs w:val="20"/>
        </w:rPr>
        <w:t>s</w:t>
      </w:r>
      <w:r w:rsidR="001773AE" w:rsidRPr="002F3937">
        <w:rPr>
          <w:rFonts w:ascii="Cambria" w:hAnsi="Cambria"/>
          <w:sz w:val="20"/>
          <w:szCs w:val="20"/>
        </w:rPr>
        <w:t xml:space="preserve"> w</w:t>
      </w:r>
      <w:r w:rsidR="007944C5" w:rsidRPr="002F3937">
        <w:rPr>
          <w:rFonts w:ascii="Cambria" w:hAnsi="Cambria"/>
          <w:sz w:val="20"/>
          <w:szCs w:val="20"/>
        </w:rPr>
        <w:t>ere</w:t>
      </w:r>
      <w:r w:rsidR="003D3F3F" w:rsidRPr="002F3937">
        <w:rPr>
          <w:rFonts w:ascii="Cambria" w:hAnsi="Cambria"/>
          <w:sz w:val="20"/>
          <w:szCs w:val="20"/>
        </w:rPr>
        <w:t xml:space="preserve"> not notified of </w:t>
      </w:r>
      <w:r w:rsidR="007944C5" w:rsidRPr="002F3937">
        <w:rPr>
          <w:rFonts w:ascii="Cambria" w:hAnsi="Cambria"/>
          <w:sz w:val="20"/>
          <w:szCs w:val="20"/>
        </w:rPr>
        <w:t xml:space="preserve">their </w:t>
      </w:r>
      <w:r w:rsidR="003D3F3F" w:rsidRPr="002F3937">
        <w:rPr>
          <w:rFonts w:ascii="Cambria" w:hAnsi="Cambria"/>
          <w:sz w:val="20"/>
          <w:szCs w:val="20"/>
        </w:rPr>
        <w:t xml:space="preserve">right to </w:t>
      </w:r>
      <w:r w:rsidR="007944C5" w:rsidRPr="002F3937">
        <w:rPr>
          <w:rFonts w:ascii="Cambria" w:hAnsi="Cambria"/>
          <w:sz w:val="20"/>
          <w:szCs w:val="20"/>
        </w:rPr>
        <w:t xml:space="preserve">information on </w:t>
      </w:r>
      <w:r w:rsidR="003D3F3F" w:rsidRPr="002F3937">
        <w:rPr>
          <w:rFonts w:ascii="Cambria" w:hAnsi="Cambria"/>
          <w:sz w:val="20"/>
          <w:szCs w:val="20"/>
        </w:rPr>
        <w:t xml:space="preserve">consular </w:t>
      </w:r>
      <w:r w:rsidR="007944C5" w:rsidRPr="002F3937">
        <w:rPr>
          <w:rFonts w:ascii="Cambria" w:hAnsi="Cambria"/>
          <w:sz w:val="20"/>
          <w:szCs w:val="20"/>
        </w:rPr>
        <w:t xml:space="preserve">assistance </w:t>
      </w:r>
      <w:r w:rsidR="003D3F3F" w:rsidRPr="002F3937">
        <w:rPr>
          <w:rFonts w:ascii="Cambria" w:hAnsi="Cambria"/>
          <w:sz w:val="20"/>
          <w:szCs w:val="20"/>
        </w:rPr>
        <w:t>at or subsequent to the t</w:t>
      </w:r>
      <w:r w:rsidR="00234BE7" w:rsidRPr="002F3937">
        <w:rPr>
          <w:rFonts w:ascii="Cambria" w:hAnsi="Cambria"/>
          <w:sz w:val="20"/>
          <w:szCs w:val="20"/>
        </w:rPr>
        <w:t xml:space="preserve">ime of </w:t>
      </w:r>
      <w:r w:rsidR="001773AE" w:rsidRPr="002F3937">
        <w:rPr>
          <w:rFonts w:ascii="Cambria" w:hAnsi="Cambria"/>
          <w:sz w:val="20"/>
          <w:szCs w:val="20"/>
        </w:rPr>
        <w:t>his</w:t>
      </w:r>
      <w:r w:rsidR="00234BE7" w:rsidRPr="002F3937">
        <w:rPr>
          <w:rFonts w:ascii="Cambria" w:hAnsi="Cambria"/>
          <w:sz w:val="20"/>
          <w:szCs w:val="20"/>
        </w:rPr>
        <w:t xml:space="preserve"> respective arrests</w:t>
      </w:r>
      <w:r w:rsidR="003D3F3F" w:rsidRPr="002F3937">
        <w:rPr>
          <w:rFonts w:ascii="Cambria" w:hAnsi="Cambria"/>
          <w:sz w:val="20"/>
          <w:szCs w:val="20"/>
        </w:rPr>
        <w:t xml:space="preserve">. </w:t>
      </w:r>
    </w:p>
    <w:p w14:paraId="28406143" w14:textId="77777777" w:rsidR="002F023D" w:rsidRPr="002F3937" w:rsidRDefault="002F023D" w:rsidP="00EC55EA">
      <w:pPr>
        <w:rPr>
          <w:sz w:val="20"/>
          <w:szCs w:val="20"/>
        </w:rPr>
      </w:pPr>
    </w:p>
    <w:p w14:paraId="48E011F8" w14:textId="34749160" w:rsidR="002411A1" w:rsidRPr="002F3937" w:rsidRDefault="002F023D" w:rsidP="00EC55EA">
      <w:pPr>
        <w:pStyle w:val="NormalWeb"/>
        <w:numPr>
          <w:ilvl w:val="0"/>
          <w:numId w:val="55"/>
        </w:numPr>
        <w:tabs>
          <w:tab w:val="left" w:pos="360"/>
        </w:tabs>
        <w:spacing w:before="0" w:beforeAutospacing="0" w:after="0" w:afterAutospacing="0"/>
        <w:ind w:left="0" w:firstLine="0"/>
        <w:jc w:val="both"/>
        <w:rPr>
          <w:rFonts w:ascii="Cambria" w:hAnsi="Cambria"/>
          <w:sz w:val="20"/>
          <w:szCs w:val="20"/>
        </w:rPr>
      </w:pPr>
      <w:r w:rsidRPr="002F3937">
        <w:rPr>
          <w:rFonts w:ascii="Cambria" w:hAnsi="Cambria"/>
          <w:sz w:val="20"/>
          <w:szCs w:val="20"/>
        </w:rPr>
        <w:t xml:space="preserve">Based upon the foregoing, the Commission concludes that the State’s obligation under Article 36 of the Vienna Convention to inform Mr. </w:t>
      </w:r>
      <w:r w:rsidR="00400B9A" w:rsidRPr="002F3937">
        <w:rPr>
          <w:rFonts w:ascii="Cambria" w:hAnsi="Cambria"/>
          <w:sz w:val="20"/>
          <w:szCs w:val="20"/>
        </w:rPr>
        <w:t xml:space="preserve">Kadamovas </w:t>
      </w:r>
      <w:r w:rsidR="006271AD" w:rsidRPr="002F3937">
        <w:rPr>
          <w:rFonts w:ascii="Cambria" w:hAnsi="Cambria"/>
          <w:sz w:val="20"/>
          <w:szCs w:val="20"/>
        </w:rPr>
        <w:t xml:space="preserve">(at the time of his arrest) </w:t>
      </w:r>
      <w:r w:rsidR="00400B9A" w:rsidRPr="002F3937">
        <w:rPr>
          <w:rFonts w:ascii="Cambria" w:hAnsi="Cambria"/>
          <w:sz w:val="20"/>
          <w:szCs w:val="20"/>
        </w:rPr>
        <w:t>and Mr. Bolden</w:t>
      </w:r>
      <w:r w:rsidRPr="002F3937">
        <w:rPr>
          <w:rFonts w:ascii="Cambria" w:hAnsi="Cambria"/>
          <w:sz w:val="20"/>
          <w:szCs w:val="20"/>
        </w:rPr>
        <w:t xml:space="preserve"> of </w:t>
      </w:r>
      <w:r w:rsidR="00400B9A" w:rsidRPr="002F3937">
        <w:rPr>
          <w:rFonts w:ascii="Cambria" w:hAnsi="Cambria"/>
          <w:sz w:val="20"/>
          <w:szCs w:val="20"/>
        </w:rPr>
        <w:t>their</w:t>
      </w:r>
      <w:r w:rsidRPr="002F3937">
        <w:rPr>
          <w:rFonts w:ascii="Cambria" w:hAnsi="Cambria"/>
          <w:sz w:val="20"/>
          <w:szCs w:val="20"/>
        </w:rPr>
        <w:t xml:space="preserve"> rig</w:t>
      </w:r>
      <w:r w:rsidR="006271AD" w:rsidRPr="002F3937">
        <w:rPr>
          <w:rFonts w:ascii="Cambria" w:hAnsi="Cambria"/>
          <w:sz w:val="20"/>
          <w:szCs w:val="20"/>
        </w:rPr>
        <w:t xml:space="preserve">ht to </w:t>
      </w:r>
      <w:r w:rsidR="007944C5" w:rsidRPr="002F3937">
        <w:rPr>
          <w:rFonts w:ascii="Cambria" w:hAnsi="Cambria"/>
          <w:sz w:val="20"/>
          <w:szCs w:val="20"/>
        </w:rPr>
        <w:t xml:space="preserve">information on </w:t>
      </w:r>
      <w:r w:rsidR="006271AD" w:rsidRPr="002F3937">
        <w:rPr>
          <w:rFonts w:ascii="Cambria" w:hAnsi="Cambria"/>
          <w:sz w:val="20"/>
          <w:szCs w:val="20"/>
        </w:rPr>
        <w:t xml:space="preserve">consular </w:t>
      </w:r>
      <w:r w:rsidR="007944C5" w:rsidRPr="002F3937">
        <w:rPr>
          <w:rFonts w:ascii="Cambria" w:hAnsi="Cambria"/>
          <w:sz w:val="20"/>
          <w:szCs w:val="20"/>
        </w:rPr>
        <w:t>assistance</w:t>
      </w:r>
      <w:r w:rsidR="006271AD" w:rsidRPr="002F3937">
        <w:rPr>
          <w:rFonts w:ascii="Cambria" w:hAnsi="Cambria"/>
          <w:sz w:val="20"/>
          <w:szCs w:val="20"/>
        </w:rPr>
        <w:t xml:space="preserve"> </w:t>
      </w:r>
      <w:r w:rsidRPr="002F3937">
        <w:rPr>
          <w:rFonts w:ascii="Cambria" w:hAnsi="Cambria"/>
          <w:sz w:val="20"/>
          <w:szCs w:val="20"/>
        </w:rPr>
        <w:t xml:space="preserve">constituted a fundamental component of the due process standards to which </w:t>
      </w:r>
      <w:r w:rsidR="005650AC" w:rsidRPr="002F3937">
        <w:rPr>
          <w:rFonts w:ascii="Cambria" w:hAnsi="Cambria"/>
          <w:sz w:val="20"/>
          <w:szCs w:val="20"/>
        </w:rPr>
        <w:t>they are</w:t>
      </w:r>
      <w:r w:rsidRPr="002F3937">
        <w:rPr>
          <w:rFonts w:ascii="Cambria" w:hAnsi="Cambria"/>
          <w:sz w:val="20"/>
          <w:szCs w:val="20"/>
        </w:rPr>
        <w:t xml:space="preserve"> entitled under Article XVIII and XXVI of the Declaration, and that the State’s failure to respect and ensure this obligation deprived </w:t>
      </w:r>
      <w:r w:rsidR="00FA083B" w:rsidRPr="002F3937">
        <w:rPr>
          <w:rFonts w:ascii="Cambria" w:hAnsi="Cambria"/>
          <w:sz w:val="20"/>
          <w:szCs w:val="20"/>
        </w:rPr>
        <w:t>the alleged victims</w:t>
      </w:r>
      <w:r w:rsidRPr="002F3937">
        <w:rPr>
          <w:rFonts w:ascii="Cambria" w:hAnsi="Cambria"/>
          <w:sz w:val="20"/>
          <w:szCs w:val="20"/>
        </w:rPr>
        <w:t xml:space="preserve"> of a criminal process that satisfied the minimum standards of due process and a fair trial required under Articles XVIII and XXVI of the Declaration. </w:t>
      </w:r>
    </w:p>
    <w:p w14:paraId="571E2DA3" w14:textId="77777777" w:rsidR="00893298" w:rsidRPr="002F3937" w:rsidRDefault="00893298" w:rsidP="00EC55EA">
      <w:pPr>
        <w:pStyle w:val="NormalWeb"/>
        <w:tabs>
          <w:tab w:val="left" w:pos="360"/>
        </w:tabs>
        <w:spacing w:before="0" w:beforeAutospacing="0" w:after="0" w:afterAutospacing="0"/>
        <w:jc w:val="both"/>
        <w:rPr>
          <w:rFonts w:asciiTheme="majorHAnsi" w:hAnsiTheme="majorHAnsi"/>
          <w:sz w:val="20"/>
          <w:szCs w:val="20"/>
        </w:rPr>
      </w:pPr>
    </w:p>
    <w:p w14:paraId="3BC99830" w14:textId="77777777" w:rsidR="00893298" w:rsidRPr="002F3937" w:rsidRDefault="00893298" w:rsidP="00EC55EA">
      <w:pPr>
        <w:pStyle w:val="Heading3"/>
        <w:numPr>
          <w:ilvl w:val="1"/>
          <w:numId w:val="53"/>
        </w:numPr>
        <w:spacing w:before="0"/>
        <w:ind w:left="360"/>
        <w:rPr>
          <w:color w:val="auto"/>
          <w:sz w:val="20"/>
          <w:szCs w:val="20"/>
        </w:rPr>
      </w:pPr>
      <w:bookmarkStart w:id="21" w:name="_Toc150524389"/>
      <w:r w:rsidRPr="002F3937">
        <w:rPr>
          <w:color w:val="auto"/>
          <w:sz w:val="20"/>
          <w:szCs w:val="20"/>
        </w:rPr>
        <w:t>Ineffective assistance of court-appointed counsel</w:t>
      </w:r>
      <w:bookmarkEnd w:id="21"/>
      <w:r w:rsidRPr="002F3937">
        <w:rPr>
          <w:color w:val="auto"/>
          <w:sz w:val="20"/>
          <w:szCs w:val="20"/>
        </w:rPr>
        <w:t xml:space="preserve"> </w:t>
      </w:r>
    </w:p>
    <w:p w14:paraId="3FE03856" w14:textId="77777777" w:rsidR="00893298" w:rsidRPr="002F3937" w:rsidRDefault="00893298" w:rsidP="00EC55EA">
      <w:pPr>
        <w:pStyle w:val="NormalWeb"/>
        <w:tabs>
          <w:tab w:val="left" w:pos="360"/>
        </w:tabs>
        <w:spacing w:before="0" w:beforeAutospacing="0" w:after="0" w:afterAutospacing="0"/>
        <w:jc w:val="both"/>
        <w:rPr>
          <w:rFonts w:asciiTheme="majorHAnsi" w:hAnsiTheme="majorHAnsi"/>
          <w:b/>
          <w:sz w:val="20"/>
          <w:szCs w:val="20"/>
        </w:rPr>
      </w:pPr>
    </w:p>
    <w:p w14:paraId="17DE1F59" w14:textId="77777777" w:rsidR="00893298" w:rsidRPr="002F3937" w:rsidRDefault="00893298" w:rsidP="00EC55EA">
      <w:pPr>
        <w:pStyle w:val="NormalWeb"/>
        <w:numPr>
          <w:ilvl w:val="0"/>
          <w:numId w:val="55"/>
        </w:numPr>
        <w:tabs>
          <w:tab w:val="left" w:pos="360"/>
        </w:tabs>
        <w:spacing w:before="0" w:beforeAutospacing="0" w:after="0" w:afterAutospacing="0"/>
        <w:ind w:left="0" w:firstLine="0"/>
        <w:jc w:val="both"/>
        <w:rPr>
          <w:rFonts w:asciiTheme="majorHAnsi" w:hAnsiTheme="majorHAnsi"/>
          <w:sz w:val="20"/>
          <w:szCs w:val="20"/>
        </w:rPr>
      </w:pPr>
      <w:r w:rsidRPr="002F3937">
        <w:rPr>
          <w:rFonts w:asciiTheme="majorHAnsi" w:hAnsiTheme="majorHAnsi"/>
          <w:sz w:val="20"/>
          <w:szCs w:val="20"/>
        </w:rPr>
        <w:t>Adequate legal representation is a fundamental component of the right to a fair trial. The IACHR has found that “[t]he right to due process and to a fair trial includes the right to adequate means for the preparation of a defense, assisted by adequate legal counsel.”</w:t>
      </w:r>
      <w:r w:rsidRPr="002F3937">
        <w:rPr>
          <w:rStyle w:val="FootnoteReference"/>
          <w:rFonts w:asciiTheme="majorHAnsi" w:eastAsia="Arial Unicode MS" w:hAnsiTheme="majorHAnsi"/>
          <w:sz w:val="20"/>
          <w:szCs w:val="20"/>
          <w:bdr w:val="nil"/>
        </w:rPr>
        <w:footnoteReference w:id="35"/>
      </w:r>
      <w:r w:rsidRPr="002F3937">
        <w:rPr>
          <w:rFonts w:asciiTheme="majorHAnsi" w:hAnsiTheme="majorHAnsi"/>
          <w:sz w:val="20"/>
          <w:szCs w:val="20"/>
        </w:rPr>
        <w:t xml:space="preserve"> According to the Commission, “[t]he State cannot be held responsible for all deficiencies in the conduct of State-funded defense counsel. National authorities are, however, required […] to intervene if a failure by legal aid counsel to provide effective representation is manifest or sufficiently brought to their attention. Rigorous compliance with the defendant’s right to competent counsel is compelled by the possibility of the application of the death penalty.”</w:t>
      </w:r>
      <w:r w:rsidRPr="002F3937">
        <w:rPr>
          <w:rStyle w:val="FootnoteReference"/>
          <w:rFonts w:asciiTheme="majorHAnsi" w:eastAsia="Arial Unicode MS" w:hAnsiTheme="majorHAnsi"/>
          <w:sz w:val="20"/>
          <w:szCs w:val="20"/>
          <w:bdr w:val="nil"/>
        </w:rPr>
        <w:footnoteReference w:id="36"/>
      </w:r>
    </w:p>
    <w:p w14:paraId="3F656695" w14:textId="77777777" w:rsidR="00C56511" w:rsidRPr="002F3937" w:rsidRDefault="00C56511" w:rsidP="00EC55EA">
      <w:pPr>
        <w:pStyle w:val="NormalWeb"/>
        <w:tabs>
          <w:tab w:val="left" w:pos="360"/>
        </w:tabs>
        <w:spacing w:before="0" w:beforeAutospacing="0" w:after="0" w:afterAutospacing="0"/>
        <w:jc w:val="both"/>
        <w:rPr>
          <w:rFonts w:asciiTheme="majorHAnsi" w:hAnsiTheme="majorHAnsi"/>
          <w:sz w:val="20"/>
          <w:szCs w:val="20"/>
        </w:rPr>
      </w:pPr>
    </w:p>
    <w:p w14:paraId="301D4662" w14:textId="0BB7A075" w:rsidR="00427A53" w:rsidRPr="002F3937" w:rsidRDefault="00E06B5A" w:rsidP="00EC55EA">
      <w:pPr>
        <w:pStyle w:val="NormalWeb"/>
        <w:numPr>
          <w:ilvl w:val="0"/>
          <w:numId w:val="55"/>
        </w:numPr>
        <w:tabs>
          <w:tab w:val="left" w:pos="360"/>
        </w:tabs>
        <w:spacing w:before="0" w:beforeAutospacing="0" w:after="0" w:afterAutospacing="0"/>
        <w:ind w:left="0" w:firstLine="0"/>
        <w:jc w:val="both"/>
        <w:rPr>
          <w:rFonts w:asciiTheme="majorHAnsi" w:hAnsiTheme="majorHAnsi"/>
          <w:sz w:val="20"/>
          <w:szCs w:val="20"/>
        </w:rPr>
      </w:pPr>
      <w:r w:rsidRPr="002F3937">
        <w:rPr>
          <w:rFonts w:asciiTheme="majorHAnsi" w:hAnsiTheme="majorHAnsi"/>
          <w:sz w:val="20"/>
          <w:szCs w:val="20"/>
        </w:rPr>
        <w:t xml:space="preserve">As previously mentioned, a failure by state-appointed counsel to inform </w:t>
      </w:r>
      <w:r w:rsidR="00EB315A" w:rsidRPr="002F3937">
        <w:rPr>
          <w:rFonts w:asciiTheme="majorHAnsi" w:hAnsiTheme="majorHAnsi"/>
          <w:sz w:val="20"/>
          <w:szCs w:val="20"/>
        </w:rPr>
        <w:t xml:space="preserve">Mr. Bolden of his right to consular </w:t>
      </w:r>
      <w:r w:rsidR="00C56511" w:rsidRPr="002F3937">
        <w:rPr>
          <w:rFonts w:asciiTheme="majorHAnsi" w:hAnsiTheme="majorHAnsi"/>
          <w:sz w:val="20"/>
          <w:szCs w:val="20"/>
        </w:rPr>
        <w:t xml:space="preserve">notification </w:t>
      </w:r>
      <w:r w:rsidR="00BD7B08" w:rsidRPr="002F3937">
        <w:rPr>
          <w:rFonts w:asciiTheme="majorHAnsi" w:hAnsiTheme="majorHAnsi"/>
          <w:sz w:val="20"/>
          <w:szCs w:val="20"/>
        </w:rPr>
        <w:t>is</w:t>
      </w:r>
      <w:r w:rsidR="00EB315A" w:rsidRPr="002F3937">
        <w:rPr>
          <w:rFonts w:asciiTheme="majorHAnsi" w:hAnsiTheme="majorHAnsi"/>
          <w:sz w:val="20"/>
          <w:szCs w:val="20"/>
        </w:rPr>
        <w:t xml:space="preserve"> a breach of his right t</w:t>
      </w:r>
      <w:r w:rsidR="00EC1674" w:rsidRPr="002F3937">
        <w:rPr>
          <w:rFonts w:asciiTheme="majorHAnsi" w:hAnsiTheme="majorHAnsi"/>
          <w:sz w:val="20"/>
          <w:szCs w:val="20"/>
        </w:rPr>
        <w:t xml:space="preserve">o due process and a fair trial. </w:t>
      </w:r>
      <w:r w:rsidR="00427A53" w:rsidRPr="002F3937">
        <w:rPr>
          <w:rFonts w:asciiTheme="majorHAnsi" w:hAnsiTheme="majorHAnsi"/>
          <w:sz w:val="20"/>
          <w:szCs w:val="20"/>
        </w:rPr>
        <w:t xml:space="preserve">Also, counsel failed to present the claim regarding lack of consular notification on direct appeal. This had an impact on Mr. Bolden’s post-conviction motion as </w:t>
      </w:r>
      <w:r w:rsidR="003C789A" w:rsidRPr="002F3937">
        <w:rPr>
          <w:rFonts w:asciiTheme="majorHAnsi" w:hAnsiTheme="majorHAnsi"/>
          <w:sz w:val="20"/>
          <w:szCs w:val="20"/>
        </w:rPr>
        <w:t>the Eighth Circuit Court ruled that the claim was procedurally barred.</w:t>
      </w:r>
    </w:p>
    <w:p w14:paraId="6E21F8C9" w14:textId="77777777" w:rsidR="00427A53" w:rsidRPr="002F3937" w:rsidRDefault="00427A53" w:rsidP="00EC55EA">
      <w:pPr>
        <w:pStyle w:val="ListParagraph"/>
        <w:rPr>
          <w:rFonts w:asciiTheme="majorHAnsi" w:hAnsiTheme="majorHAnsi"/>
          <w:sz w:val="20"/>
          <w:szCs w:val="20"/>
        </w:rPr>
      </w:pPr>
    </w:p>
    <w:p w14:paraId="28523966" w14:textId="77777777" w:rsidR="00893298" w:rsidRPr="00EC55EA" w:rsidRDefault="00893298" w:rsidP="00EC55EA">
      <w:pPr>
        <w:pStyle w:val="NormalWeb"/>
        <w:numPr>
          <w:ilvl w:val="0"/>
          <w:numId w:val="55"/>
        </w:numPr>
        <w:tabs>
          <w:tab w:val="left" w:pos="360"/>
        </w:tabs>
        <w:spacing w:before="0" w:beforeAutospacing="0" w:after="0" w:afterAutospacing="0"/>
        <w:ind w:left="0" w:firstLine="0"/>
        <w:jc w:val="both"/>
        <w:rPr>
          <w:rFonts w:asciiTheme="majorHAnsi" w:hAnsiTheme="majorHAnsi"/>
          <w:sz w:val="20"/>
          <w:szCs w:val="20"/>
        </w:rPr>
      </w:pPr>
      <w:r w:rsidRPr="002F3937">
        <w:rPr>
          <w:rFonts w:asciiTheme="majorHAnsi" w:hAnsiTheme="majorHAnsi"/>
          <w:sz w:val="20"/>
          <w:szCs w:val="20"/>
        </w:rPr>
        <w:t>Additionally, the Commission notes</w:t>
      </w:r>
      <w:r w:rsidR="00C56511" w:rsidRPr="002F3937">
        <w:rPr>
          <w:rFonts w:asciiTheme="majorHAnsi" w:hAnsiTheme="majorHAnsi"/>
          <w:sz w:val="20"/>
          <w:szCs w:val="20"/>
        </w:rPr>
        <w:t xml:space="preserve"> that </w:t>
      </w:r>
      <w:r w:rsidR="00DA21AB" w:rsidRPr="002F3937">
        <w:rPr>
          <w:rFonts w:asciiTheme="majorHAnsi" w:hAnsiTheme="majorHAnsi"/>
          <w:sz w:val="20"/>
          <w:szCs w:val="20"/>
        </w:rPr>
        <w:t>Sonia E. Chahin</w:t>
      </w:r>
      <w:r w:rsidR="00DA21AB" w:rsidRPr="002F3937">
        <w:rPr>
          <w:rStyle w:val="FootnoteReference"/>
          <w:rFonts w:asciiTheme="majorHAnsi" w:hAnsiTheme="majorHAnsi"/>
          <w:sz w:val="20"/>
          <w:szCs w:val="20"/>
        </w:rPr>
        <w:footnoteReference w:id="37"/>
      </w:r>
      <w:r w:rsidRPr="002F3937">
        <w:rPr>
          <w:rFonts w:asciiTheme="majorHAnsi" w:hAnsiTheme="majorHAnsi"/>
          <w:sz w:val="20"/>
          <w:szCs w:val="20"/>
        </w:rPr>
        <w:t>,</w:t>
      </w:r>
      <w:r w:rsidR="003B3E27" w:rsidRPr="002F3937">
        <w:rPr>
          <w:rFonts w:asciiTheme="majorHAnsi" w:hAnsiTheme="majorHAnsi"/>
          <w:sz w:val="20"/>
          <w:szCs w:val="20"/>
        </w:rPr>
        <w:t xml:space="preserve"> </w:t>
      </w:r>
      <w:r w:rsidRPr="002F3937">
        <w:rPr>
          <w:rFonts w:asciiTheme="majorHAnsi" w:hAnsiTheme="majorHAnsi"/>
          <w:sz w:val="20"/>
          <w:szCs w:val="20"/>
        </w:rPr>
        <w:t>state appoi</w:t>
      </w:r>
      <w:r w:rsidR="00DA21AB" w:rsidRPr="002F3937">
        <w:rPr>
          <w:rFonts w:asciiTheme="majorHAnsi" w:hAnsiTheme="majorHAnsi"/>
          <w:sz w:val="20"/>
          <w:szCs w:val="20"/>
        </w:rPr>
        <w:t>nted counsel for Mr. Kadamovas</w:t>
      </w:r>
      <w:r w:rsidRPr="002F3937">
        <w:rPr>
          <w:rFonts w:asciiTheme="majorHAnsi" w:hAnsiTheme="majorHAnsi"/>
          <w:sz w:val="20"/>
          <w:szCs w:val="20"/>
        </w:rPr>
        <w:t xml:space="preserve">, admits to having insufficient time to prepare for the complexity and magnitude of his case given the volume of reading material and the various languages the evidence existed in. </w:t>
      </w:r>
      <w:r w:rsidR="00E377C8" w:rsidRPr="002F3937">
        <w:rPr>
          <w:rFonts w:asciiTheme="majorHAnsi" w:hAnsiTheme="majorHAnsi"/>
          <w:sz w:val="20"/>
        </w:rPr>
        <w:t>Sonia Chahin explained that she was not aware of the quantity of non-documentary discovery materials which formed a large part of discovery and that approximately in March 15, 2006 was able to determine that the non-documentary discovery materials included: approx. 121 audiotapes, 139 CD Roms, 29 DVDs, 117 videotapes, and information seized from the hard drives</w:t>
      </w:r>
      <w:r w:rsidR="00E377C8" w:rsidRPr="00EC55EA">
        <w:rPr>
          <w:rFonts w:asciiTheme="majorHAnsi" w:hAnsiTheme="majorHAnsi"/>
          <w:sz w:val="20"/>
        </w:rPr>
        <w:t xml:space="preserve"> of approx. 19 computers that were seized during the course of the investigation. A motion was filed </w:t>
      </w:r>
      <w:r w:rsidR="00E377C8" w:rsidRPr="00EC55EA">
        <w:rPr>
          <w:rFonts w:asciiTheme="majorHAnsi" w:hAnsiTheme="majorHAnsi"/>
          <w:sz w:val="20"/>
        </w:rPr>
        <w:lastRenderedPageBreak/>
        <w:t xml:space="preserve">requesting continuance of 6 months, from scheduled commencement of July 11, 2006, until January 9, 2007 was made but was denied by the courts. </w:t>
      </w:r>
    </w:p>
    <w:p w14:paraId="7570B3A0" w14:textId="77777777" w:rsidR="00893298" w:rsidRPr="00EC55EA" w:rsidRDefault="00893298" w:rsidP="00EC55EA">
      <w:pPr>
        <w:pStyle w:val="ListParagraph"/>
        <w:rPr>
          <w:rFonts w:asciiTheme="majorHAnsi" w:hAnsiTheme="majorHAnsi"/>
          <w:sz w:val="20"/>
          <w:szCs w:val="20"/>
        </w:rPr>
      </w:pPr>
    </w:p>
    <w:p w14:paraId="7FA7FC74" w14:textId="77777777" w:rsidR="00893298" w:rsidRPr="00EC55EA" w:rsidRDefault="00893298" w:rsidP="00EC55EA">
      <w:pPr>
        <w:pStyle w:val="NormalWeb"/>
        <w:numPr>
          <w:ilvl w:val="0"/>
          <w:numId w:val="55"/>
        </w:numPr>
        <w:tabs>
          <w:tab w:val="left" w:pos="360"/>
        </w:tabs>
        <w:spacing w:before="0" w:beforeAutospacing="0" w:after="0" w:afterAutospacing="0"/>
        <w:ind w:left="0" w:firstLine="0"/>
        <w:jc w:val="both"/>
        <w:rPr>
          <w:rFonts w:asciiTheme="majorHAnsi" w:hAnsiTheme="majorHAnsi"/>
          <w:sz w:val="20"/>
          <w:szCs w:val="20"/>
        </w:rPr>
      </w:pPr>
      <w:r w:rsidRPr="00EC55EA">
        <w:rPr>
          <w:rFonts w:asciiTheme="majorHAnsi" w:hAnsiTheme="majorHAnsi"/>
          <w:sz w:val="20"/>
          <w:szCs w:val="20"/>
        </w:rPr>
        <w:t xml:space="preserve">Considering that the fundamental due process and fair trial requirements for capital trials include the obligation to afford adequate legal representation, </w:t>
      </w:r>
      <w:r w:rsidR="00E86761" w:rsidRPr="00EC55EA">
        <w:rPr>
          <w:rFonts w:asciiTheme="majorHAnsi" w:hAnsiTheme="majorHAnsi"/>
          <w:sz w:val="20"/>
          <w:szCs w:val="20"/>
        </w:rPr>
        <w:t xml:space="preserve">inclusive of the adequate time to prepare for trial, </w:t>
      </w:r>
      <w:r w:rsidRPr="00EC55EA">
        <w:rPr>
          <w:rFonts w:asciiTheme="majorHAnsi" w:hAnsiTheme="majorHAnsi"/>
          <w:sz w:val="20"/>
          <w:szCs w:val="20"/>
        </w:rPr>
        <w:t>and that the failure to inform a client of his rights to various forms of assistance, specifically, to consular assistance when the client is a foreign national, would constitute inadequate representation. Based on the aforementioned considerations and on the information on record, the Commission concludes that the actions by the state appointed counsel</w:t>
      </w:r>
      <w:r w:rsidRPr="00EC55EA">
        <w:rPr>
          <w:rFonts w:asciiTheme="majorHAnsi" w:hAnsiTheme="majorHAnsi" w:cs="Arial"/>
          <w:sz w:val="20"/>
          <w:szCs w:val="20"/>
        </w:rPr>
        <w:t xml:space="preserve"> constitute inadequate representation; and that the United States has violated Mr. Kadamovas’s and Mr. Bolden’s right to due process and to a fair trial under Articles XVIII and XXVI of the American Declaration.</w:t>
      </w:r>
    </w:p>
    <w:p w14:paraId="6A8CEDBE" w14:textId="77777777" w:rsidR="002411A1" w:rsidRPr="00EC55EA" w:rsidRDefault="002411A1" w:rsidP="00EC55EA">
      <w:pPr>
        <w:pStyle w:val="NormalWeb"/>
        <w:tabs>
          <w:tab w:val="left" w:pos="360"/>
        </w:tabs>
        <w:spacing w:before="0" w:beforeAutospacing="0" w:after="0" w:afterAutospacing="0"/>
        <w:jc w:val="both"/>
        <w:rPr>
          <w:rFonts w:asciiTheme="majorHAnsi" w:hAnsiTheme="majorHAnsi"/>
          <w:sz w:val="20"/>
          <w:szCs w:val="20"/>
        </w:rPr>
      </w:pPr>
    </w:p>
    <w:p w14:paraId="1C1BFC98" w14:textId="77777777" w:rsidR="00A96B68" w:rsidRPr="00EC55EA" w:rsidRDefault="002411A1" w:rsidP="00EC55EA">
      <w:pPr>
        <w:pStyle w:val="Heading3"/>
        <w:numPr>
          <w:ilvl w:val="1"/>
          <w:numId w:val="53"/>
        </w:numPr>
        <w:spacing w:before="0"/>
        <w:ind w:left="360"/>
        <w:rPr>
          <w:color w:val="auto"/>
          <w:sz w:val="20"/>
          <w:szCs w:val="20"/>
        </w:rPr>
      </w:pPr>
      <w:bookmarkStart w:id="22" w:name="_Toc150524390"/>
      <w:r w:rsidRPr="00EC55EA">
        <w:rPr>
          <w:color w:val="auto"/>
          <w:sz w:val="20"/>
          <w:szCs w:val="20"/>
        </w:rPr>
        <w:t>Future dangerousness</w:t>
      </w:r>
      <w:r w:rsidR="00A96B68" w:rsidRPr="00EC55EA">
        <w:rPr>
          <w:color w:val="auto"/>
          <w:sz w:val="20"/>
          <w:szCs w:val="20"/>
        </w:rPr>
        <w:t xml:space="preserve"> in the imposition of the death penalty</w:t>
      </w:r>
      <w:bookmarkEnd w:id="22"/>
    </w:p>
    <w:p w14:paraId="78B61082" w14:textId="77777777" w:rsidR="00A96B68" w:rsidRPr="00EC55EA" w:rsidRDefault="00A96B68" w:rsidP="00EC55EA">
      <w:pPr>
        <w:pStyle w:val="NormalWeb"/>
        <w:tabs>
          <w:tab w:val="left" w:pos="360"/>
        </w:tabs>
        <w:spacing w:before="0" w:beforeAutospacing="0" w:after="0" w:afterAutospacing="0"/>
        <w:jc w:val="both"/>
        <w:rPr>
          <w:rFonts w:asciiTheme="majorHAnsi" w:hAnsiTheme="majorHAnsi"/>
          <w:sz w:val="20"/>
          <w:szCs w:val="20"/>
        </w:rPr>
      </w:pPr>
    </w:p>
    <w:p w14:paraId="7BA43B64" w14:textId="77777777" w:rsidR="00A96B68" w:rsidRPr="00EC55EA" w:rsidRDefault="003E475D" w:rsidP="00EC55EA">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adjustRightInd w:val="0"/>
        <w:ind w:left="0" w:firstLine="0"/>
        <w:jc w:val="both"/>
        <w:rPr>
          <w:bCs/>
          <w:sz w:val="20"/>
          <w:szCs w:val="20"/>
        </w:rPr>
      </w:pPr>
      <w:r w:rsidRPr="00EC55EA">
        <w:rPr>
          <w:rFonts w:asciiTheme="majorHAnsi" w:hAnsiTheme="majorHAnsi"/>
          <w:bCs/>
          <w:sz w:val="20"/>
          <w:szCs w:val="20"/>
        </w:rPr>
        <w:t xml:space="preserve">With regard to the assessment of future dangerousness in the imposition of a sentence, </w:t>
      </w:r>
      <w:r w:rsidRPr="00EC55EA">
        <w:rPr>
          <w:rFonts w:asciiTheme="majorHAnsi" w:hAnsiTheme="majorHAnsi"/>
          <w:bCs/>
          <w:color w:val="auto"/>
          <w:sz w:val="20"/>
          <w:szCs w:val="20"/>
        </w:rPr>
        <w:t>this Commission has noted that</w:t>
      </w:r>
      <w:r w:rsidR="00A96B68" w:rsidRPr="00EC55EA">
        <w:rPr>
          <w:sz w:val="20"/>
        </w:rPr>
        <w:t xml:space="preserve"> studies point to </w:t>
      </w:r>
      <w:r w:rsidRPr="00EC55EA">
        <w:rPr>
          <w:sz w:val="20"/>
        </w:rPr>
        <w:t>its</w:t>
      </w:r>
      <w:r w:rsidR="00A96B68" w:rsidRPr="00EC55EA">
        <w:rPr>
          <w:sz w:val="20"/>
        </w:rPr>
        <w:t xml:space="preserve"> lack of reliability.</w:t>
      </w:r>
      <w:r w:rsidR="00A96B68" w:rsidRPr="00EC55EA">
        <w:rPr>
          <w:rStyle w:val="FootnoteReference"/>
          <w:sz w:val="20"/>
        </w:rPr>
        <w:footnoteReference w:id="38"/>
      </w:r>
      <w:r w:rsidR="00A96B68" w:rsidRPr="00EC55EA">
        <w:rPr>
          <w:sz w:val="20"/>
        </w:rPr>
        <w:t xml:space="preserve"> The IACHR has stated that future dangerousness may prove problematic given its discretionary nature and the risk of considerations based on factors such as race:</w:t>
      </w:r>
      <w:r w:rsidR="00A96B68" w:rsidRPr="00EC55EA">
        <w:rPr>
          <w:rStyle w:val="FootnoteReference"/>
          <w:sz w:val="20"/>
        </w:rPr>
        <w:footnoteReference w:id="39"/>
      </w:r>
    </w:p>
    <w:p w14:paraId="66876862" w14:textId="77777777" w:rsidR="00A96B68" w:rsidRPr="00EC55EA" w:rsidRDefault="00A96B68" w:rsidP="00EC55EA">
      <w:pPr>
        <w:pStyle w:val="ListParagraph"/>
        <w:rPr>
          <w:sz w:val="20"/>
        </w:rPr>
      </w:pPr>
    </w:p>
    <w:p w14:paraId="73BC5795" w14:textId="77777777" w:rsidR="00A96B68" w:rsidRPr="00EC55EA" w:rsidRDefault="00A96B68" w:rsidP="00EC55EA">
      <w:pPr>
        <w:pStyle w:val="ListParagraph"/>
        <w:tabs>
          <w:tab w:val="left" w:pos="360"/>
        </w:tabs>
        <w:autoSpaceDE w:val="0"/>
        <w:autoSpaceDN w:val="0"/>
        <w:adjustRightInd w:val="0"/>
        <w:ind w:left="360" w:right="360"/>
        <w:jc w:val="both"/>
        <w:rPr>
          <w:bCs/>
          <w:sz w:val="18"/>
          <w:szCs w:val="18"/>
        </w:rPr>
      </w:pPr>
      <w:r w:rsidRPr="00EC55EA">
        <w:rPr>
          <w:sz w:val="18"/>
          <w:szCs w:val="18"/>
        </w:rPr>
        <w:t xml:space="preserve">[t]he element of future dangerousness accords the jury a high degree of discretionary authority to impose the harshest possible penalty and may prove problematic, given the likelihood that a future act will occur, exceeding the scope of the crime actually committed by the person in question. Accordingly, the Commission considers that, given that this is a matter of a criterion that depends on a subjective and speculative decision by the jury, the mere fact that it is required under internal law of the State of Texas constitutes a permanent risk that human rights violations could be committed against the person convicted and in consequence, that the death penalty could be imposed arbitrarily. […]  </w:t>
      </w:r>
    </w:p>
    <w:p w14:paraId="1B78E31F" w14:textId="77777777" w:rsidR="00A96B68" w:rsidRPr="00EC55EA" w:rsidRDefault="00A96B68" w:rsidP="00EC55EA">
      <w:pPr>
        <w:pStyle w:val="ListParagraph"/>
        <w:tabs>
          <w:tab w:val="left" w:pos="360"/>
        </w:tabs>
        <w:autoSpaceDE w:val="0"/>
        <w:autoSpaceDN w:val="0"/>
        <w:adjustRightInd w:val="0"/>
        <w:ind w:left="0"/>
        <w:jc w:val="both"/>
        <w:rPr>
          <w:rFonts w:asciiTheme="majorHAnsi" w:hAnsiTheme="majorHAnsi"/>
          <w:bCs/>
          <w:color w:val="auto"/>
          <w:sz w:val="20"/>
          <w:szCs w:val="20"/>
        </w:rPr>
      </w:pPr>
    </w:p>
    <w:p w14:paraId="07ADD6A2" w14:textId="77777777" w:rsidR="00A96B68" w:rsidRPr="00EC55EA" w:rsidRDefault="00A96B68" w:rsidP="00EC55EA">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360"/>
        </w:tabs>
        <w:autoSpaceDE w:val="0"/>
        <w:autoSpaceDN w:val="0"/>
        <w:adjustRightInd w:val="0"/>
        <w:ind w:left="0" w:firstLine="0"/>
        <w:jc w:val="both"/>
        <w:rPr>
          <w:bCs/>
          <w:sz w:val="20"/>
          <w:szCs w:val="20"/>
        </w:rPr>
      </w:pPr>
      <w:r w:rsidRPr="00EC55EA">
        <w:rPr>
          <w:rFonts w:asciiTheme="majorHAnsi" w:hAnsiTheme="majorHAnsi"/>
          <w:sz w:val="20"/>
          <w:szCs w:val="20"/>
        </w:rPr>
        <w:t xml:space="preserve">The Inter-American Court has ruled that the consideration of future dangerousness constitutes an infringement of the principle of legality. The Court indicated that “it clearly constitutes an expression of the exercise of the State's </w:t>
      </w:r>
      <w:r w:rsidRPr="00EC55EA">
        <w:rPr>
          <w:rFonts w:asciiTheme="majorHAnsi" w:hAnsiTheme="majorHAnsi"/>
          <w:i/>
          <w:sz w:val="20"/>
          <w:szCs w:val="20"/>
        </w:rPr>
        <w:t>ius puniendi</w:t>
      </w:r>
      <w:r w:rsidRPr="00EC55EA">
        <w:rPr>
          <w:rFonts w:asciiTheme="majorHAnsi" w:hAnsiTheme="majorHAnsi"/>
          <w:sz w:val="20"/>
          <w:szCs w:val="20"/>
        </w:rPr>
        <w:t xml:space="preserve"> on the basis of the personal characteristics of the person and not of the act committed, that is, it substitutes the criminal law of act or fact, characteristic of the criminal system of a democratic society, for the criminal law of the author, which opens the door to authoritarianism precisely in a matter in which the legal assets of the highest hierarchy are at stake.”</w:t>
      </w:r>
      <w:r w:rsidRPr="00EC55EA">
        <w:rPr>
          <w:rStyle w:val="FootnoteReference"/>
          <w:rFonts w:asciiTheme="majorHAnsi" w:hAnsiTheme="majorHAnsi"/>
          <w:sz w:val="20"/>
          <w:szCs w:val="20"/>
        </w:rPr>
        <w:footnoteReference w:id="40"/>
      </w:r>
      <w:r w:rsidRPr="00EC55EA">
        <w:rPr>
          <w:rFonts w:asciiTheme="majorHAnsi" w:hAnsiTheme="majorHAnsi"/>
          <w:sz w:val="20"/>
          <w:szCs w:val="20"/>
        </w:rPr>
        <w:t xml:space="preserve"> </w:t>
      </w:r>
      <w:r w:rsidRPr="00EC55EA">
        <w:rPr>
          <w:bCs/>
          <w:sz w:val="20"/>
          <w:szCs w:val="20"/>
        </w:rPr>
        <w:t>The Court also pointed out that the assessment of dangerousness:</w:t>
      </w:r>
      <w:r w:rsidRPr="00EC55EA">
        <w:rPr>
          <w:rStyle w:val="FootnoteReference"/>
          <w:bCs/>
          <w:sz w:val="20"/>
          <w:szCs w:val="20"/>
        </w:rPr>
        <w:footnoteReference w:id="41"/>
      </w:r>
    </w:p>
    <w:p w14:paraId="330FCB6F" w14:textId="77777777" w:rsidR="00A96B68" w:rsidRPr="00EC55EA" w:rsidRDefault="00A96B68" w:rsidP="00EC55EA">
      <w:pPr>
        <w:pStyle w:val="ListParagraph"/>
        <w:tabs>
          <w:tab w:val="num" w:pos="0"/>
          <w:tab w:val="left" w:pos="360"/>
        </w:tabs>
        <w:autoSpaceDE w:val="0"/>
        <w:autoSpaceDN w:val="0"/>
        <w:adjustRightInd w:val="0"/>
        <w:ind w:left="0"/>
        <w:jc w:val="both"/>
        <w:rPr>
          <w:bCs/>
          <w:sz w:val="20"/>
          <w:szCs w:val="20"/>
        </w:rPr>
      </w:pPr>
    </w:p>
    <w:p w14:paraId="7FFC3F35" w14:textId="77777777" w:rsidR="00A96B68" w:rsidRPr="00EC55EA" w:rsidRDefault="00A96B68" w:rsidP="00EC55EA">
      <w:pPr>
        <w:pStyle w:val="ListParagraph"/>
        <w:tabs>
          <w:tab w:val="num" w:pos="360"/>
        </w:tabs>
        <w:autoSpaceDE w:val="0"/>
        <w:autoSpaceDN w:val="0"/>
        <w:adjustRightInd w:val="0"/>
        <w:ind w:left="360" w:right="360"/>
        <w:jc w:val="both"/>
        <w:rPr>
          <w:bCs/>
          <w:sz w:val="18"/>
          <w:szCs w:val="18"/>
        </w:rPr>
      </w:pPr>
      <w:r w:rsidRPr="00EC55EA">
        <w:rPr>
          <w:bCs/>
          <w:sz w:val="18"/>
          <w:szCs w:val="18"/>
        </w:rPr>
        <w:t xml:space="preserve">[…] implies the judge's appreciation of the probabilities that the accused will commit criminal acts in the future, that is, it adds to the indictment for the acts committed, the forecast of future act that will probably occur […] In the end, the individual would be sanctioned - including the possibility of the application of the death penalty - not based on what he has done, but based on what he or she is. There is no need to ponder the implications, which are evident, of this return to the past, which is absolutely unacceptable from a human rights perspective. </w:t>
      </w:r>
    </w:p>
    <w:p w14:paraId="0B11C4F3" w14:textId="77777777" w:rsidR="00A96B68" w:rsidRPr="00EC55EA" w:rsidRDefault="00A96B68" w:rsidP="00EC55EA">
      <w:pPr>
        <w:pStyle w:val="NormalWeb"/>
        <w:tabs>
          <w:tab w:val="left" w:pos="360"/>
        </w:tabs>
        <w:spacing w:before="0" w:beforeAutospacing="0" w:after="0" w:afterAutospacing="0"/>
        <w:jc w:val="both"/>
        <w:rPr>
          <w:rFonts w:asciiTheme="majorHAnsi" w:hAnsiTheme="majorHAnsi"/>
          <w:sz w:val="20"/>
          <w:szCs w:val="20"/>
        </w:rPr>
      </w:pPr>
    </w:p>
    <w:p w14:paraId="43BD58F2" w14:textId="77777777" w:rsidR="00091ED5" w:rsidRPr="00EC55EA" w:rsidRDefault="003E475D" w:rsidP="00EC55EA">
      <w:pPr>
        <w:pStyle w:val="NormalWeb"/>
        <w:numPr>
          <w:ilvl w:val="0"/>
          <w:numId w:val="55"/>
        </w:numPr>
        <w:tabs>
          <w:tab w:val="left" w:pos="360"/>
        </w:tabs>
        <w:spacing w:before="0" w:beforeAutospacing="0" w:after="0" w:afterAutospacing="0"/>
        <w:ind w:left="0" w:firstLine="0"/>
        <w:jc w:val="both"/>
        <w:rPr>
          <w:rFonts w:asciiTheme="majorHAnsi" w:hAnsiTheme="majorHAnsi"/>
          <w:sz w:val="20"/>
          <w:szCs w:val="20"/>
        </w:rPr>
      </w:pPr>
      <w:r w:rsidRPr="00EC55EA">
        <w:rPr>
          <w:rFonts w:asciiTheme="majorHAnsi" w:eastAsiaTheme="minorHAnsi" w:hAnsiTheme="majorHAnsi"/>
          <w:sz w:val="20"/>
        </w:rPr>
        <w:t>Thus</w:t>
      </w:r>
      <w:r w:rsidR="00A96B68" w:rsidRPr="00EC55EA">
        <w:rPr>
          <w:rFonts w:asciiTheme="majorHAnsi" w:eastAsiaTheme="minorHAnsi" w:hAnsiTheme="majorHAnsi"/>
          <w:sz w:val="20"/>
        </w:rPr>
        <w:t>, d</w:t>
      </w:r>
      <w:r w:rsidR="00091ED5" w:rsidRPr="00EC55EA">
        <w:rPr>
          <w:rFonts w:asciiTheme="majorHAnsi" w:hAnsiTheme="majorHAnsi"/>
          <w:bCs/>
          <w:sz w:val="20"/>
          <w:szCs w:val="20"/>
        </w:rPr>
        <w:t xml:space="preserve">etermining </w:t>
      </w:r>
      <w:r w:rsidR="00A96B68" w:rsidRPr="00EC55EA">
        <w:rPr>
          <w:rFonts w:asciiTheme="majorHAnsi" w:hAnsiTheme="majorHAnsi"/>
          <w:bCs/>
          <w:sz w:val="20"/>
          <w:szCs w:val="20"/>
        </w:rPr>
        <w:t>a</w:t>
      </w:r>
      <w:r w:rsidR="00091ED5" w:rsidRPr="00EC55EA">
        <w:rPr>
          <w:rFonts w:asciiTheme="majorHAnsi" w:hAnsiTheme="majorHAnsi"/>
          <w:bCs/>
          <w:sz w:val="20"/>
          <w:szCs w:val="20"/>
        </w:rPr>
        <w:t xml:space="preserve"> sentence on the subjective assessment of future dangerousness breaches the presumption of innocence as it equates to a presumption of guilt to future offenses that may never be committed, the penalty therefore would be generated to prevent such presumed acts as opposed to penalize the convict for his </w:t>
      </w:r>
      <w:r w:rsidRPr="00EC55EA">
        <w:rPr>
          <w:rFonts w:asciiTheme="majorHAnsi" w:hAnsiTheme="majorHAnsi"/>
          <w:bCs/>
          <w:sz w:val="20"/>
          <w:szCs w:val="20"/>
        </w:rPr>
        <w:t xml:space="preserve">or her </w:t>
      </w:r>
      <w:r w:rsidR="00091ED5" w:rsidRPr="00EC55EA">
        <w:rPr>
          <w:rFonts w:asciiTheme="majorHAnsi" w:hAnsiTheme="majorHAnsi"/>
          <w:bCs/>
          <w:sz w:val="20"/>
          <w:szCs w:val="20"/>
        </w:rPr>
        <w:t>current actions</w:t>
      </w:r>
      <w:r w:rsidR="00091ED5" w:rsidRPr="00EC55EA">
        <w:rPr>
          <w:rStyle w:val="FootnoteReference"/>
          <w:rFonts w:asciiTheme="majorHAnsi" w:hAnsiTheme="majorHAnsi"/>
          <w:bCs/>
          <w:sz w:val="20"/>
          <w:szCs w:val="20"/>
        </w:rPr>
        <w:footnoteReference w:id="42"/>
      </w:r>
      <w:r w:rsidR="00091ED5" w:rsidRPr="00EC55EA">
        <w:rPr>
          <w:rFonts w:asciiTheme="majorHAnsi" w:hAnsiTheme="majorHAnsi"/>
          <w:bCs/>
          <w:sz w:val="20"/>
          <w:szCs w:val="20"/>
        </w:rPr>
        <w:t xml:space="preserve">. </w:t>
      </w:r>
      <w:r w:rsidR="001749B0" w:rsidRPr="00EC55EA">
        <w:rPr>
          <w:rFonts w:asciiTheme="majorHAnsi" w:hAnsiTheme="majorHAnsi"/>
          <w:bCs/>
          <w:sz w:val="20"/>
          <w:szCs w:val="20"/>
        </w:rPr>
        <w:t>Therefore</w:t>
      </w:r>
      <w:r w:rsidR="00091ED5" w:rsidRPr="00EC55EA">
        <w:rPr>
          <w:rFonts w:asciiTheme="majorHAnsi" w:hAnsiTheme="majorHAnsi"/>
          <w:sz w:val="20"/>
        </w:rPr>
        <w:t xml:space="preserve">, the element of future dangerousness accords the jury a high degree of discretionary authority to impose the harshest possible penalty and may prove problematic, given the likelihood that a future act will occur, exceeding the scope of the crime actually committed by the </w:t>
      </w:r>
      <w:r w:rsidR="00091ED5" w:rsidRPr="00EC55EA">
        <w:rPr>
          <w:rFonts w:asciiTheme="majorHAnsi" w:hAnsiTheme="majorHAnsi"/>
          <w:sz w:val="20"/>
        </w:rPr>
        <w:lastRenderedPageBreak/>
        <w:t xml:space="preserve">person in question. </w:t>
      </w:r>
      <w:r w:rsidR="001749B0" w:rsidRPr="00EC55EA">
        <w:rPr>
          <w:rFonts w:asciiTheme="majorHAnsi" w:eastAsiaTheme="minorHAnsi" w:hAnsiTheme="majorHAnsi"/>
          <w:sz w:val="20"/>
        </w:rPr>
        <w:t>The Human Rights Committee of the International Covenant on Civil and Political Rights has reached similar conclusions.</w:t>
      </w:r>
      <w:r w:rsidR="001749B0" w:rsidRPr="00EC55EA">
        <w:rPr>
          <w:rStyle w:val="FootnoteReference"/>
          <w:rFonts w:asciiTheme="majorHAnsi" w:eastAsia="Cambria" w:hAnsiTheme="majorHAnsi"/>
          <w:bCs/>
          <w:color w:val="000000"/>
          <w:sz w:val="20"/>
          <w:u w:color="000000"/>
          <w:bdr w:val="nil"/>
          <w:lang w:eastAsia="es-ES"/>
        </w:rPr>
        <w:footnoteReference w:id="43"/>
      </w:r>
    </w:p>
    <w:p w14:paraId="520A1E5E" w14:textId="77777777" w:rsidR="00091ED5" w:rsidRPr="00EC55EA" w:rsidRDefault="00091ED5" w:rsidP="00EC55EA">
      <w:pPr>
        <w:pStyle w:val="ListParagraph"/>
        <w:rPr>
          <w:rFonts w:asciiTheme="majorHAnsi" w:eastAsiaTheme="minorHAnsi" w:hAnsiTheme="majorHAnsi"/>
          <w:sz w:val="20"/>
        </w:rPr>
      </w:pPr>
    </w:p>
    <w:p w14:paraId="693BEFE9" w14:textId="77777777" w:rsidR="00091ED5" w:rsidRPr="00EC55EA" w:rsidRDefault="00091ED5" w:rsidP="00EC55EA">
      <w:pPr>
        <w:pStyle w:val="NormalWeb"/>
        <w:numPr>
          <w:ilvl w:val="0"/>
          <w:numId w:val="55"/>
        </w:numPr>
        <w:tabs>
          <w:tab w:val="left" w:pos="360"/>
        </w:tabs>
        <w:spacing w:before="0" w:beforeAutospacing="0" w:after="0" w:afterAutospacing="0"/>
        <w:ind w:left="0" w:firstLine="0"/>
        <w:jc w:val="both"/>
        <w:rPr>
          <w:rFonts w:asciiTheme="majorHAnsi" w:hAnsiTheme="majorHAnsi"/>
          <w:sz w:val="20"/>
          <w:szCs w:val="20"/>
        </w:rPr>
      </w:pPr>
      <w:r w:rsidRPr="00EC55EA">
        <w:rPr>
          <w:rFonts w:asciiTheme="majorHAnsi" w:eastAsiaTheme="minorHAnsi" w:hAnsiTheme="majorHAnsi"/>
          <w:sz w:val="20"/>
        </w:rPr>
        <w:t xml:space="preserve">The Commission deems it important to take into consideration the similar observations of (hereinafter "the Human Rights Committee"), to which the United States is party. It has pointed out that: </w:t>
      </w:r>
    </w:p>
    <w:p w14:paraId="3B6FAFD6" w14:textId="77777777" w:rsidR="00091ED5" w:rsidRPr="00EC55EA" w:rsidRDefault="00091ED5" w:rsidP="00EC55EA">
      <w:pPr>
        <w:pStyle w:val="ListParagraph"/>
        <w:ind w:left="360"/>
        <w:rPr>
          <w:rFonts w:asciiTheme="majorHAnsi" w:eastAsiaTheme="minorHAnsi" w:hAnsiTheme="majorHAnsi"/>
          <w:sz w:val="20"/>
          <w:bdr w:val="none" w:sz="0" w:space="0" w:color="auto"/>
        </w:rPr>
      </w:pPr>
    </w:p>
    <w:p w14:paraId="46B977B0" w14:textId="77777777" w:rsidR="00091ED5" w:rsidRPr="00EC55EA" w:rsidRDefault="00091ED5" w:rsidP="00EC55EA">
      <w:pPr>
        <w:pBdr>
          <w:top w:val="none" w:sz="0" w:space="0" w:color="auto"/>
          <w:left w:val="none" w:sz="0" w:space="0" w:color="auto"/>
          <w:bottom w:val="none" w:sz="0" w:space="0" w:color="auto"/>
          <w:right w:val="none" w:sz="0" w:space="0" w:color="auto"/>
          <w:between w:val="none" w:sz="0" w:space="0" w:color="auto"/>
          <w:bar w:val="none" w:sz="0" w:color="auto"/>
        </w:pBdr>
        <w:ind w:left="360" w:right="360"/>
        <w:jc w:val="both"/>
        <w:rPr>
          <w:rFonts w:ascii="Cambria" w:eastAsia="Cambria" w:hAnsi="Cambria" w:cs="Cambria"/>
          <w:sz w:val="18"/>
          <w:szCs w:val="20"/>
        </w:rPr>
      </w:pPr>
      <w:r w:rsidRPr="00EC55EA">
        <w:rPr>
          <w:rFonts w:ascii="Cambria" w:eastAsia="Cambria" w:hAnsi="Cambria" w:cs="Cambria"/>
          <w:sz w:val="18"/>
          <w:szCs w:val="20"/>
        </w:rPr>
        <w:t>The concept of feared or predicted dangerousness to the community applicable in the case of past offenders is inherently problematic. It is essentially based on opinion as distinct from factual evidence... While Courts are free to accept or reject expert opinion and are required to consider all other available relevant evidence, the reality is that the Courts must make a finding of fact on the suspected future behavior of a past offender which may or may not materialize.</w:t>
      </w:r>
    </w:p>
    <w:p w14:paraId="543177B3" w14:textId="77777777" w:rsidR="00091ED5" w:rsidRPr="00EC55EA" w:rsidRDefault="00091ED5" w:rsidP="00EC55EA">
      <w:pPr>
        <w:pStyle w:val="NormalWeb"/>
        <w:tabs>
          <w:tab w:val="left" w:pos="360"/>
        </w:tabs>
        <w:spacing w:before="0" w:beforeAutospacing="0" w:after="0" w:afterAutospacing="0"/>
        <w:jc w:val="both"/>
        <w:rPr>
          <w:rFonts w:asciiTheme="majorHAnsi" w:hAnsiTheme="majorHAnsi"/>
          <w:sz w:val="20"/>
          <w:szCs w:val="20"/>
        </w:rPr>
      </w:pPr>
    </w:p>
    <w:p w14:paraId="08C9E2ED" w14:textId="3DE4A8C9" w:rsidR="004C5505" w:rsidRPr="00EC55EA" w:rsidRDefault="0019569B" w:rsidP="00EC55EA">
      <w:pPr>
        <w:pStyle w:val="NormalWeb"/>
        <w:numPr>
          <w:ilvl w:val="0"/>
          <w:numId w:val="55"/>
        </w:numPr>
        <w:tabs>
          <w:tab w:val="left" w:pos="360"/>
        </w:tabs>
        <w:spacing w:before="0" w:beforeAutospacing="0" w:after="0" w:afterAutospacing="0"/>
        <w:ind w:left="0" w:firstLine="0"/>
        <w:jc w:val="both"/>
        <w:rPr>
          <w:rFonts w:asciiTheme="majorHAnsi" w:hAnsiTheme="majorHAnsi"/>
          <w:sz w:val="20"/>
          <w:szCs w:val="20"/>
        </w:rPr>
      </w:pPr>
      <w:r w:rsidRPr="00EC55EA">
        <w:rPr>
          <w:rFonts w:asciiTheme="majorHAnsi" w:hAnsiTheme="majorHAnsi"/>
          <w:sz w:val="20"/>
        </w:rPr>
        <w:t>The Commission notes that, i</w:t>
      </w:r>
      <w:r w:rsidR="009D2A12" w:rsidRPr="00EC55EA">
        <w:rPr>
          <w:rFonts w:asciiTheme="majorHAnsi" w:hAnsiTheme="majorHAnsi"/>
          <w:sz w:val="20"/>
        </w:rPr>
        <w:t xml:space="preserve">n Mr. Kadamovas’s trial, the jury was instructed to consider his future dangerousness </w:t>
      </w:r>
      <w:r w:rsidR="0079513F" w:rsidRPr="00EC55EA">
        <w:rPr>
          <w:rFonts w:asciiTheme="majorHAnsi" w:hAnsiTheme="majorHAnsi"/>
          <w:sz w:val="20"/>
          <w:szCs w:val="20"/>
        </w:rPr>
        <w:t>in federal prison, and in particular, the prospect of a continuing pattern of violence, escape risk and institutional misconduct, and lack of remorse.</w:t>
      </w:r>
      <w:r w:rsidR="0079513F" w:rsidRPr="00EC55EA">
        <w:rPr>
          <w:rFonts w:asciiTheme="majorHAnsi" w:hAnsiTheme="majorHAnsi"/>
          <w:sz w:val="20"/>
        </w:rPr>
        <w:t xml:space="preserve"> </w:t>
      </w:r>
      <w:r w:rsidR="00091ED5" w:rsidRPr="00EC55EA">
        <w:rPr>
          <w:rFonts w:asciiTheme="majorHAnsi" w:hAnsiTheme="majorHAnsi"/>
          <w:sz w:val="20"/>
        </w:rPr>
        <w:t xml:space="preserve">Accordingly, the Commission considers that, given that this is a matter of a criterion that depends on a subjective </w:t>
      </w:r>
      <w:r w:rsidR="00091ED5" w:rsidRPr="00EC55EA">
        <w:rPr>
          <w:rFonts w:asciiTheme="majorHAnsi" w:eastAsiaTheme="minorHAnsi" w:hAnsiTheme="majorHAnsi"/>
          <w:sz w:val="20"/>
        </w:rPr>
        <w:t>and</w:t>
      </w:r>
      <w:r w:rsidR="00091ED5" w:rsidRPr="00EC55EA">
        <w:rPr>
          <w:rFonts w:asciiTheme="majorHAnsi" w:hAnsiTheme="majorHAnsi"/>
          <w:sz w:val="20"/>
        </w:rPr>
        <w:t xml:space="preserve"> speculative decision by the jury, the mere fact that it is required </w:t>
      </w:r>
      <w:r w:rsidR="009D2A12" w:rsidRPr="00EC55EA">
        <w:rPr>
          <w:rFonts w:asciiTheme="majorHAnsi" w:hAnsiTheme="majorHAnsi"/>
          <w:sz w:val="20"/>
        </w:rPr>
        <w:t xml:space="preserve">and was instructed to the jury, </w:t>
      </w:r>
      <w:r w:rsidR="00091ED5" w:rsidRPr="00EC55EA">
        <w:rPr>
          <w:rFonts w:asciiTheme="majorHAnsi" w:hAnsiTheme="majorHAnsi"/>
          <w:sz w:val="20"/>
        </w:rPr>
        <w:t xml:space="preserve">constitutes a </w:t>
      </w:r>
      <w:r w:rsidRPr="00EC55EA">
        <w:rPr>
          <w:rFonts w:asciiTheme="majorHAnsi" w:hAnsiTheme="majorHAnsi"/>
          <w:sz w:val="20"/>
        </w:rPr>
        <w:t xml:space="preserve">violation of the rights </w:t>
      </w:r>
      <w:r w:rsidRPr="00EC55EA">
        <w:rPr>
          <w:rFonts w:asciiTheme="majorHAnsi" w:hAnsiTheme="majorHAnsi"/>
          <w:sz w:val="20"/>
          <w:szCs w:val="20"/>
        </w:rPr>
        <w:t xml:space="preserve">established in Articles XVIII and XXVI of the American Declaration to the </w:t>
      </w:r>
      <w:r w:rsidR="00E06D84" w:rsidRPr="00EC55EA">
        <w:rPr>
          <w:rFonts w:asciiTheme="majorHAnsi" w:hAnsiTheme="majorHAnsi"/>
          <w:sz w:val="20"/>
          <w:szCs w:val="20"/>
        </w:rPr>
        <w:t xml:space="preserve">detriment of Mr. Kadamovas. </w:t>
      </w:r>
    </w:p>
    <w:p w14:paraId="441349DB" w14:textId="77777777" w:rsidR="004C5505" w:rsidRPr="00EC55EA" w:rsidRDefault="004C5505" w:rsidP="00EC55EA">
      <w:pPr>
        <w:pStyle w:val="NormalWeb"/>
        <w:tabs>
          <w:tab w:val="left" w:pos="360"/>
        </w:tabs>
        <w:spacing w:before="0" w:beforeAutospacing="0" w:after="0" w:afterAutospacing="0"/>
        <w:jc w:val="both"/>
        <w:rPr>
          <w:rFonts w:asciiTheme="majorHAnsi" w:hAnsiTheme="majorHAnsi"/>
          <w:sz w:val="20"/>
          <w:szCs w:val="20"/>
        </w:rPr>
      </w:pPr>
    </w:p>
    <w:p w14:paraId="33053365" w14:textId="77777777" w:rsidR="00E90530" w:rsidRPr="00EC55EA" w:rsidRDefault="006B5C2E" w:rsidP="00EC55EA">
      <w:pPr>
        <w:pStyle w:val="Heading2"/>
        <w:numPr>
          <w:ilvl w:val="0"/>
          <w:numId w:val="61"/>
        </w:numPr>
        <w:tabs>
          <w:tab w:val="left" w:pos="360"/>
        </w:tabs>
        <w:spacing w:before="0"/>
        <w:ind w:left="0" w:firstLine="0"/>
        <w:jc w:val="both"/>
        <w:rPr>
          <w:color w:val="auto"/>
          <w:sz w:val="20"/>
          <w:szCs w:val="20"/>
        </w:rPr>
      </w:pPr>
      <w:bookmarkStart w:id="23" w:name="_Toc150524391"/>
      <w:r w:rsidRPr="00EC55EA">
        <w:rPr>
          <w:color w:val="auto"/>
          <w:sz w:val="20"/>
          <w:szCs w:val="20"/>
        </w:rPr>
        <w:t>Right to humane treatment during custody</w:t>
      </w:r>
      <w:r w:rsidR="00157CE4" w:rsidRPr="00EC55EA">
        <w:rPr>
          <w:color w:val="auto"/>
          <w:sz w:val="20"/>
          <w:szCs w:val="20"/>
        </w:rPr>
        <w:t>,</w:t>
      </w:r>
      <w:r w:rsidR="009C03AE" w:rsidRPr="00EC55EA">
        <w:rPr>
          <w:rStyle w:val="FootnoteReference"/>
          <w:color w:val="auto"/>
          <w:sz w:val="20"/>
          <w:szCs w:val="20"/>
        </w:rPr>
        <w:footnoteReference w:id="44"/>
      </w:r>
      <w:r w:rsidR="00157CE4" w:rsidRPr="00EC55EA">
        <w:rPr>
          <w:color w:val="auto"/>
          <w:sz w:val="20"/>
          <w:szCs w:val="20"/>
        </w:rPr>
        <w:t xml:space="preserve"> right to health,</w:t>
      </w:r>
      <w:r w:rsidR="00157CE4" w:rsidRPr="00EC55EA">
        <w:rPr>
          <w:rStyle w:val="FootnoteReference"/>
          <w:rFonts w:eastAsia="Times New Roman"/>
          <w:color w:val="auto"/>
          <w:sz w:val="20"/>
          <w:szCs w:val="20"/>
          <w:bdr w:val="none" w:sz="0" w:space="0" w:color="auto"/>
        </w:rPr>
        <w:footnoteReference w:id="45"/>
      </w:r>
      <w:r w:rsidRPr="00EC55EA">
        <w:rPr>
          <w:color w:val="auto"/>
          <w:sz w:val="20"/>
          <w:szCs w:val="20"/>
        </w:rPr>
        <w:t xml:space="preserve"> and not to receive cruel, infamous or unusual punishment</w:t>
      </w:r>
      <w:bookmarkEnd w:id="23"/>
      <w:r w:rsidRPr="00EC55EA">
        <w:rPr>
          <w:color w:val="auto"/>
          <w:sz w:val="20"/>
          <w:szCs w:val="20"/>
        </w:rPr>
        <w:t xml:space="preserve"> </w:t>
      </w:r>
    </w:p>
    <w:p w14:paraId="6991858D" w14:textId="77777777" w:rsidR="00801C7F" w:rsidRPr="00EC55EA" w:rsidRDefault="00801C7F" w:rsidP="00EC55EA">
      <w:pPr>
        <w:pStyle w:val="ListParagraph"/>
        <w:tabs>
          <w:tab w:val="left" w:pos="360"/>
        </w:tabs>
        <w:rPr>
          <w:sz w:val="20"/>
          <w:szCs w:val="20"/>
        </w:rPr>
      </w:pPr>
    </w:p>
    <w:p w14:paraId="0EBD6697" w14:textId="77777777" w:rsidR="00801C7F" w:rsidRPr="00EC55EA" w:rsidRDefault="00BB76B9" w:rsidP="00EC55EA">
      <w:pPr>
        <w:pStyle w:val="Heading3"/>
        <w:numPr>
          <w:ilvl w:val="3"/>
          <w:numId w:val="53"/>
        </w:numPr>
        <w:spacing w:before="0"/>
        <w:ind w:left="360"/>
        <w:jc w:val="both"/>
        <w:rPr>
          <w:color w:val="auto"/>
          <w:sz w:val="20"/>
          <w:szCs w:val="20"/>
        </w:rPr>
      </w:pPr>
      <w:bookmarkStart w:id="24" w:name="_Toc150524392"/>
      <w:r w:rsidRPr="00EC55EA">
        <w:rPr>
          <w:color w:val="auto"/>
          <w:sz w:val="20"/>
          <w:szCs w:val="20"/>
        </w:rPr>
        <w:t>The d</w:t>
      </w:r>
      <w:r w:rsidR="00801C7F" w:rsidRPr="00EC55EA">
        <w:rPr>
          <w:color w:val="auto"/>
          <w:sz w:val="20"/>
          <w:szCs w:val="20"/>
        </w:rPr>
        <w:t>eprivation of liberty on death row</w:t>
      </w:r>
      <w:r w:rsidRPr="00EC55EA">
        <w:rPr>
          <w:color w:val="auto"/>
          <w:sz w:val="20"/>
          <w:szCs w:val="20"/>
        </w:rPr>
        <w:t xml:space="preserve"> and the right of protection against cruel, infamous or unusual punishment</w:t>
      </w:r>
      <w:bookmarkEnd w:id="24"/>
    </w:p>
    <w:p w14:paraId="131565B5" w14:textId="77777777" w:rsidR="00801C7F" w:rsidRPr="00EC55EA" w:rsidRDefault="00801C7F" w:rsidP="00EC55EA">
      <w:pPr>
        <w:pStyle w:val="ListParagraph"/>
        <w:tabs>
          <w:tab w:val="left" w:pos="360"/>
        </w:tabs>
        <w:ind w:left="0"/>
        <w:rPr>
          <w:b/>
          <w:sz w:val="20"/>
          <w:szCs w:val="20"/>
        </w:rPr>
      </w:pPr>
    </w:p>
    <w:p w14:paraId="36EB82BB" w14:textId="77777777" w:rsidR="00BE3560" w:rsidRPr="00EC55EA" w:rsidRDefault="003A5E9B" w:rsidP="00EC55EA">
      <w:pPr>
        <w:pStyle w:val="NormalWeb"/>
        <w:numPr>
          <w:ilvl w:val="0"/>
          <w:numId w:val="55"/>
        </w:numPr>
        <w:tabs>
          <w:tab w:val="left" w:pos="360"/>
        </w:tabs>
        <w:spacing w:before="0" w:beforeAutospacing="0" w:after="0" w:afterAutospacing="0"/>
        <w:ind w:left="0" w:firstLine="0"/>
        <w:jc w:val="both"/>
        <w:rPr>
          <w:rFonts w:ascii="Cambria" w:hAnsi="Cambria"/>
          <w:sz w:val="20"/>
          <w:szCs w:val="20"/>
        </w:rPr>
      </w:pPr>
      <w:r w:rsidRPr="00EC55EA">
        <w:rPr>
          <w:rFonts w:ascii="Cambria" w:hAnsi="Cambria"/>
          <w:sz w:val="20"/>
          <w:szCs w:val="20"/>
        </w:rPr>
        <w:t>In both international human rights law and comparative law, the issue of long term deprivation of liberty on death row, known as the “death row phenomenon,” has been developed for decades, in light of the prohibition of cruel, inhuman or degrading punishment in Constitutions and in multiple international treaties, including the American Declaration (Articles XXV and XXVI).</w:t>
      </w:r>
      <w:r w:rsidRPr="00EC55EA">
        <w:rPr>
          <w:rFonts w:ascii="Cambria" w:eastAsia="Arial Unicode MS" w:hAnsi="Cambria"/>
          <w:sz w:val="20"/>
          <w:bdr w:val="nil"/>
          <w:vertAlign w:val="superscript"/>
        </w:rPr>
        <w:footnoteReference w:id="46"/>
      </w:r>
      <w:r w:rsidRPr="00EC55EA">
        <w:rPr>
          <w:rFonts w:ascii="Cambria" w:eastAsia="Arial Unicode MS" w:hAnsi="Cambria"/>
          <w:sz w:val="20"/>
          <w:bdr w:val="nil"/>
          <w:vertAlign w:val="superscript"/>
        </w:rPr>
        <w:t xml:space="preserve"> </w:t>
      </w:r>
      <w:r w:rsidRPr="00EC55EA">
        <w:rPr>
          <w:rFonts w:ascii="Cambria" w:hAnsi="Cambria"/>
          <w:sz w:val="20"/>
          <w:szCs w:val="20"/>
        </w:rPr>
        <w:t>Based on those standards, in the case of Russell Bucklew the IACHR found that “the very fact of spending 20 years on death row is, by any account, excessive and inhuman.”</w:t>
      </w:r>
      <w:r w:rsidRPr="00EC55EA">
        <w:rPr>
          <w:rFonts w:ascii="Cambria" w:eastAsia="Arial Unicode MS" w:hAnsi="Cambria"/>
          <w:sz w:val="20"/>
          <w:bdr w:val="nil"/>
          <w:vertAlign w:val="superscript"/>
        </w:rPr>
        <w:footnoteReference w:id="47"/>
      </w:r>
    </w:p>
    <w:p w14:paraId="04031FB2" w14:textId="77777777" w:rsidR="00BE3560" w:rsidRPr="00EC55EA" w:rsidRDefault="00BE3560" w:rsidP="00EC55EA">
      <w:pPr>
        <w:pStyle w:val="NormalWeb"/>
        <w:tabs>
          <w:tab w:val="left" w:pos="360"/>
        </w:tabs>
        <w:spacing w:before="0" w:beforeAutospacing="0" w:after="0" w:afterAutospacing="0"/>
        <w:jc w:val="both"/>
        <w:rPr>
          <w:rFonts w:ascii="Cambria" w:hAnsi="Cambria"/>
          <w:sz w:val="20"/>
          <w:szCs w:val="20"/>
        </w:rPr>
      </w:pPr>
    </w:p>
    <w:p w14:paraId="06E3A863" w14:textId="77777777" w:rsidR="00BE3560" w:rsidRPr="00EC55EA" w:rsidRDefault="003A5E9B" w:rsidP="00EC55EA">
      <w:pPr>
        <w:pStyle w:val="NormalWeb"/>
        <w:numPr>
          <w:ilvl w:val="0"/>
          <w:numId w:val="55"/>
        </w:numPr>
        <w:tabs>
          <w:tab w:val="left" w:pos="360"/>
        </w:tabs>
        <w:spacing w:before="0" w:beforeAutospacing="0" w:after="0" w:afterAutospacing="0"/>
        <w:ind w:left="0" w:firstLine="0"/>
        <w:jc w:val="both"/>
        <w:rPr>
          <w:rFonts w:ascii="Cambria" w:hAnsi="Cambria"/>
          <w:sz w:val="20"/>
          <w:szCs w:val="20"/>
        </w:rPr>
      </w:pPr>
      <w:r w:rsidRPr="00EC55EA">
        <w:rPr>
          <w:rFonts w:ascii="Cambria" w:hAnsi="Cambria"/>
          <w:sz w:val="20"/>
        </w:rPr>
        <w:t>Specifically regarding the matter of prolonged solitary confinement on death row, the Inter-American Commission has determined that deprivation of liberty under certain conditions on death row, including solitary confinement for four years, constituted inhuman treatment.</w:t>
      </w:r>
      <w:r w:rsidRPr="00EC55EA">
        <w:rPr>
          <w:rFonts w:ascii="Cambria" w:eastAsia="Arial Unicode MS" w:hAnsi="Cambria"/>
          <w:sz w:val="20"/>
          <w:bdr w:val="nil"/>
          <w:vertAlign w:val="superscript"/>
        </w:rPr>
        <w:footnoteReference w:id="48"/>
      </w:r>
      <w:r w:rsidRPr="00EC55EA">
        <w:rPr>
          <w:rFonts w:ascii="Cambria" w:eastAsia="Arial Unicode MS" w:hAnsi="Cambria"/>
          <w:sz w:val="20"/>
          <w:bdr w:val="nil"/>
          <w:vertAlign w:val="superscript"/>
        </w:rPr>
        <w:t xml:space="preserve">   </w:t>
      </w:r>
      <w:r w:rsidRPr="00EC55EA">
        <w:rPr>
          <w:rFonts w:ascii="Cambria" w:hAnsi="Cambria"/>
          <w:sz w:val="20"/>
        </w:rPr>
        <w:t xml:space="preserve">  </w:t>
      </w:r>
    </w:p>
    <w:p w14:paraId="66BFA4B2" w14:textId="77777777" w:rsidR="00BE3560" w:rsidRPr="00EC55EA" w:rsidRDefault="00BE3560" w:rsidP="00EC55EA">
      <w:pPr>
        <w:pStyle w:val="ListParagraph"/>
        <w:rPr>
          <w:sz w:val="20"/>
        </w:rPr>
      </w:pPr>
    </w:p>
    <w:p w14:paraId="611E2C7C" w14:textId="77777777" w:rsidR="003A5E9B" w:rsidRPr="00EC55EA" w:rsidRDefault="003A5E9B" w:rsidP="00EC55EA">
      <w:pPr>
        <w:pStyle w:val="NormalWeb"/>
        <w:numPr>
          <w:ilvl w:val="0"/>
          <w:numId w:val="55"/>
        </w:numPr>
        <w:tabs>
          <w:tab w:val="left" w:pos="360"/>
        </w:tabs>
        <w:spacing w:before="0" w:beforeAutospacing="0" w:after="0" w:afterAutospacing="0"/>
        <w:ind w:left="0" w:firstLine="0"/>
        <w:jc w:val="both"/>
        <w:rPr>
          <w:rFonts w:ascii="Cambria" w:hAnsi="Cambria"/>
          <w:sz w:val="20"/>
          <w:szCs w:val="20"/>
        </w:rPr>
      </w:pPr>
      <w:r w:rsidRPr="00EC55EA">
        <w:rPr>
          <w:rFonts w:ascii="Cambria" w:hAnsi="Cambria"/>
          <w:sz w:val="20"/>
        </w:rPr>
        <w:t xml:space="preserve">The UN Special Rapporteur on Torture has found that: </w:t>
      </w:r>
    </w:p>
    <w:p w14:paraId="5D9D797F" w14:textId="77777777" w:rsidR="003A5E9B" w:rsidRPr="00EC55EA" w:rsidRDefault="003A5E9B" w:rsidP="00EC55EA">
      <w:pPr>
        <w:widowControl w:val="0"/>
        <w:pBdr>
          <w:top w:val="none" w:sz="0" w:space="0" w:color="auto"/>
          <w:left w:val="none" w:sz="0" w:space="0" w:color="auto"/>
          <w:bottom w:val="none" w:sz="0" w:space="0" w:color="auto"/>
          <w:right w:val="none" w:sz="0" w:space="0" w:color="auto"/>
          <w:bar w:val="none" w:sz="0" w:color="auto"/>
        </w:pBdr>
        <w:tabs>
          <w:tab w:val="left" w:pos="360"/>
        </w:tabs>
        <w:suppressAutoHyphens/>
        <w:ind w:left="1500"/>
        <w:jc w:val="both"/>
        <w:rPr>
          <w:rFonts w:ascii="Cambria" w:hAnsi="Cambria"/>
          <w:b/>
          <w:bCs/>
          <w:sz w:val="20"/>
        </w:rPr>
      </w:pPr>
    </w:p>
    <w:p w14:paraId="7D4ADEEA" w14:textId="77777777" w:rsidR="003A5E9B" w:rsidRPr="00EC55EA" w:rsidRDefault="003A5E9B" w:rsidP="00EC55EA">
      <w:pPr>
        <w:pBdr>
          <w:top w:val="none" w:sz="0" w:space="0" w:color="auto"/>
          <w:left w:val="none" w:sz="0" w:space="0" w:color="auto"/>
          <w:bottom w:val="none" w:sz="0" w:space="0" w:color="auto"/>
          <w:right w:val="none" w:sz="0" w:space="0" w:color="auto"/>
          <w:bar w:val="none" w:sz="0" w:color="auto"/>
        </w:pBdr>
        <w:ind w:left="360" w:right="360"/>
        <w:jc w:val="both"/>
        <w:rPr>
          <w:rFonts w:ascii="Cambria" w:eastAsia="Times New Roman" w:hAnsi="Cambria"/>
          <w:sz w:val="18"/>
          <w:szCs w:val="18"/>
        </w:rPr>
      </w:pPr>
      <w:r w:rsidRPr="00EC55EA">
        <w:rPr>
          <w:rFonts w:ascii="Cambria" w:eastAsia="Times New Roman" w:hAnsi="Cambria"/>
          <w:sz w:val="18"/>
          <w:szCs w:val="18"/>
        </w:rPr>
        <w:t xml:space="preserve">Individuals held in solitary confinement suffer extreme forms of sensory deprivation, anxiety and exclusion, clearly surpassing lawful conditions of deprivation of liberty. Solitary confinement, in combination with the foreknowledge of death and the uncertainty of whether or when an execution is to take place, contributes to the risk of serious and irreparable mental and physical harm and suffering to the inmate. Solitary confinement used </w:t>
      </w:r>
      <w:r w:rsidRPr="00EC55EA">
        <w:rPr>
          <w:rFonts w:ascii="Cambria" w:eastAsia="Times New Roman" w:hAnsi="Cambria"/>
          <w:sz w:val="18"/>
          <w:szCs w:val="18"/>
        </w:rPr>
        <w:lastRenderedPageBreak/>
        <w:t>on death row is by definition prolonged and indefinite and thus constitutes cruel, inhuman or degrading treatment or punishment or even torture.</w:t>
      </w:r>
      <w:r w:rsidRPr="00EC55EA">
        <w:rPr>
          <w:rFonts w:ascii="Cambria" w:eastAsia="Times New Roman" w:hAnsi="Cambria"/>
          <w:sz w:val="18"/>
          <w:szCs w:val="18"/>
          <w:vertAlign w:val="superscript"/>
        </w:rPr>
        <w:footnoteReference w:id="49"/>
      </w:r>
    </w:p>
    <w:p w14:paraId="3C56B8C9" w14:textId="77777777" w:rsidR="003A5E9B" w:rsidRPr="00EC55EA" w:rsidRDefault="003A5E9B" w:rsidP="00EC55E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sz w:val="20"/>
          <w:szCs w:val="20"/>
        </w:rPr>
      </w:pPr>
    </w:p>
    <w:p w14:paraId="65FBC192" w14:textId="77777777" w:rsidR="003A5E9B" w:rsidRPr="00EC55EA" w:rsidRDefault="003A5E9B" w:rsidP="00EC55EA">
      <w:pPr>
        <w:pStyle w:val="NormalWeb"/>
        <w:numPr>
          <w:ilvl w:val="0"/>
          <w:numId w:val="55"/>
        </w:numPr>
        <w:tabs>
          <w:tab w:val="left" w:pos="360"/>
        </w:tabs>
        <w:spacing w:before="0" w:beforeAutospacing="0" w:after="0" w:afterAutospacing="0"/>
        <w:ind w:left="0" w:firstLine="0"/>
        <w:jc w:val="both"/>
        <w:rPr>
          <w:rFonts w:ascii="Cambria" w:hAnsi="Cambria"/>
          <w:sz w:val="20"/>
        </w:rPr>
      </w:pPr>
      <w:r w:rsidRPr="00EC55EA">
        <w:rPr>
          <w:rFonts w:ascii="Cambria" w:hAnsi="Cambria"/>
          <w:sz w:val="20"/>
        </w:rPr>
        <w:t xml:space="preserve">As established in this report, Mr. </w:t>
      </w:r>
      <w:r w:rsidR="004023A0" w:rsidRPr="00EC55EA">
        <w:rPr>
          <w:rFonts w:ascii="Cambria" w:hAnsi="Cambria"/>
          <w:sz w:val="20"/>
        </w:rPr>
        <w:t xml:space="preserve">Kadamovas </w:t>
      </w:r>
      <w:r w:rsidR="00D73D78" w:rsidRPr="00EC55EA">
        <w:rPr>
          <w:rFonts w:ascii="Cambria" w:hAnsi="Cambria"/>
          <w:sz w:val="20"/>
        </w:rPr>
        <w:t>has been deprived of his liberty on death row for</w:t>
      </w:r>
      <w:r w:rsidRPr="00EC55EA">
        <w:rPr>
          <w:rFonts w:ascii="Cambria" w:hAnsi="Cambria"/>
          <w:sz w:val="20"/>
        </w:rPr>
        <w:t xml:space="preserve"> </w:t>
      </w:r>
      <w:r w:rsidR="00A02FFE" w:rsidRPr="00EC55EA">
        <w:rPr>
          <w:rFonts w:ascii="Cambria" w:hAnsi="Cambria"/>
          <w:sz w:val="20"/>
        </w:rPr>
        <w:t xml:space="preserve">12 </w:t>
      </w:r>
      <w:r w:rsidRPr="00EC55EA">
        <w:rPr>
          <w:rFonts w:ascii="Cambria" w:hAnsi="Cambria"/>
          <w:sz w:val="20"/>
        </w:rPr>
        <w:t>years</w:t>
      </w:r>
      <w:r w:rsidR="00A02FFE" w:rsidRPr="00EC55EA">
        <w:rPr>
          <w:rFonts w:ascii="Cambria" w:hAnsi="Cambria"/>
          <w:sz w:val="20"/>
        </w:rPr>
        <w:t xml:space="preserve"> and Mr. Bolden has been similarly deprived for 13 years</w:t>
      </w:r>
      <w:r w:rsidRPr="00EC55EA">
        <w:rPr>
          <w:rFonts w:ascii="Cambria" w:hAnsi="Cambria"/>
          <w:sz w:val="20"/>
        </w:rPr>
        <w:t xml:space="preserve">. The Commission notes that the very fact of spending </w:t>
      </w:r>
      <w:r w:rsidR="00A02FFE" w:rsidRPr="00EC55EA">
        <w:rPr>
          <w:rFonts w:ascii="Cambria" w:hAnsi="Cambria"/>
          <w:sz w:val="20"/>
        </w:rPr>
        <w:t>12 and 13</w:t>
      </w:r>
      <w:r w:rsidRPr="00EC55EA">
        <w:rPr>
          <w:rFonts w:ascii="Cambria" w:hAnsi="Cambria"/>
          <w:sz w:val="20"/>
        </w:rPr>
        <w:t xml:space="preserve"> years </w:t>
      </w:r>
      <w:r w:rsidR="00A02FFE" w:rsidRPr="00EC55EA">
        <w:rPr>
          <w:rFonts w:ascii="Cambria" w:hAnsi="Cambria"/>
          <w:sz w:val="20"/>
        </w:rPr>
        <w:t xml:space="preserve">respectively </w:t>
      </w:r>
      <w:r w:rsidRPr="00EC55EA">
        <w:rPr>
          <w:rFonts w:ascii="Cambria" w:hAnsi="Cambria"/>
          <w:sz w:val="20"/>
        </w:rPr>
        <w:t xml:space="preserve">on death row is, by any account, excessive and inhuman, and is aggravated by </w:t>
      </w:r>
      <w:r w:rsidR="00F84B63" w:rsidRPr="00EC55EA">
        <w:rPr>
          <w:rFonts w:ascii="Cambria" w:hAnsi="Cambria"/>
          <w:sz w:val="20"/>
        </w:rPr>
        <w:t xml:space="preserve">solitary confinement </w:t>
      </w:r>
      <w:r w:rsidR="009E3162" w:rsidRPr="00EC55EA">
        <w:rPr>
          <w:rFonts w:ascii="Cambria" w:hAnsi="Cambria"/>
          <w:sz w:val="20"/>
        </w:rPr>
        <w:t xml:space="preserve">which is policy within the BOP for death row inmates, </w:t>
      </w:r>
      <w:r w:rsidR="00F84B63" w:rsidRPr="00EC55EA">
        <w:rPr>
          <w:rFonts w:ascii="Cambria" w:hAnsi="Cambria"/>
          <w:sz w:val="20"/>
        </w:rPr>
        <w:t xml:space="preserve">and </w:t>
      </w:r>
      <w:r w:rsidRPr="00EC55EA">
        <w:rPr>
          <w:rFonts w:ascii="Cambria" w:hAnsi="Cambria"/>
          <w:sz w:val="20"/>
        </w:rPr>
        <w:t xml:space="preserve">the prolonged expectation that the death sentence could be executed. Consequently, the United States is responsible for violating, to the detriment of </w:t>
      </w:r>
      <w:r w:rsidR="00A02FFE" w:rsidRPr="00EC55EA">
        <w:rPr>
          <w:rFonts w:ascii="Cambria" w:hAnsi="Cambria"/>
          <w:sz w:val="20"/>
        </w:rPr>
        <w:t>the alleged victims</w:t>
      </w:r>
      <w:r w:rsidRPr="00EC55EA">
        <w:rPr>
          <w:rFonts w:ascii="Cambria" w:hAnsi="Cambria"/>
          <w:sz w:val="20"/>
        </w:rPr>
        <w:t xml:space="preserve">, the right to humane treatment, and not to receive cruel, infamous or unusual punishment established in </w:t>
      </w:r>
      <w:r w:rsidR="00970813" w:rsidRPr="00EC55EA">
        <w:rPr>
          <w:rFonts w:ascii="Cambria" w:hAnsi="Cambria"/>
          <w:sz w:val="20"/>
        </w:rPr>
        <w:t xml:space="preserve">Articles XXV and XXVI of </w:t>
      </w:r>
      <w:r w:rsidRPr="00EC55EA">
        <w:rPr>
          <w:rFonts w:ascii="Cambria" w:hAnsi="Cambria"/>
          <w:sz w:val="20"/>
        </w:rPr>
        <w:t xml:space="preserve">the American Declaration.  </w:t>
      </w:r>
    </w:p>
    <w:p w14:paraId="063DF3FB" w14:textId="77777777" w:rsidR="001604B8" w:rsidRPr="00EC55EA" w:rsidRDefault="001604B8" w:rsidP="00EC55EA">
      <w:pPr>
        <w:tabs>
          <w:tab w:val="left" w:pos="360"/>
        </w:tabs>
        <w:rPr>
          <w:sz w:val="20"/>
          <w:szCs w:val="20"/>
        </w:rPr>
      </w:pPr>
    </w:p>
    <w:p w14:paraId="11C593EB" w14:textId="77777777" w:rsidR="001604B8" w:rsidRPr="00EC55EA" w:rsidRDefault="00801880" w:rsidP="00EC55EA">
      <w:pPr>
        <w:pStyle w:val="Heading3"/>
        <w:numPr>
          <w:ilvl w:val="3"/>
          <w:numId w:val="53"/>
        </w:numPr>
        <w:spacing w:before="0"/>
        <w:ind w:left="360"/>
        <w:rPr>
          <w:color w:val="auto"/>
          <w:sz w:val="20"/>
          <w:szCs w:val="20"/>
        </w:rPr>
      </w:pPr>
      <w:bookmarkStart w:id="25" w:name="_Toc150524393"/>
      <w:r w:rsidRPr="00EC55EA">
        <w:rPr>
          <w:color w:val="auto"/>
          <w:sz w:val="20"/>
          <w:szCs w:val="20"/>
        </w:rPr>
        <w:t>Right to t</w:t>
      </w:r>
      <w:r w:rsidR="00140FF3" w:rsidRPr="00EC55EA">
        <w:rPr>
          <w:color w:val="auto"/>
          <w:sz w:val="20"/>
          <w:szCs w:val="20"/>
        </w:rPr>
        <w:t>he preservation of</w:t>
      </w:r>
      <w:r w:rsidR="001604B8" w:rsidRPr="00EC55EA">
        <w:rPr>
          <w:color w:val="auto"/>
          <w:sz w:val="20"/>
          <w:szCs w:val="20"/>
        </w:rPr>
        <w:t xml:space="preserve"> health and </w:t>
      </w:r>
      <w:r w:rsidR="00140FF3" w:rsidRPr="00EC55EA">
        <w:rPr>
          <w:color w:val="auto"/>
          <w:sz w:val="20"/>
          <w:szCs w:val="20"/>
        </w:rPr>
        <w:t>to well being</w:t>
      </w:r>
      <w:bookmarkEnd w:id="25"/>
    </w:p>
    <w:p w14:paraId="63C84688" w14:textId="77777777" w:rsidR="001604B8" w:rsidRPr="00EC55EA" w:rsidRDefault="001604B8" w:rsidP="00EC55EA">
      <w:pPr>
        <w:pStyle w:val="ListParagraph"/>
        <w:tabs>
          <w:tab w:val="left" w:pos="360"/>
        </w:tabs>
        <w:ind w:left="0"/>
        <w:rPr>
          <w:b/>
          <w:sz w:val="20"/>
          <w:szCs w:val="20"/>
        </w:rPr>
      </w:pPr>
    </w:p>
    <w:p w14:paraId="1546B709" w14:textId="77777777" w:rsidR="00865379" w:rsidRPr="00EC55EA" w:rsidRDefault="00865379" w:rsidP="00EC55EA">
      <w:pPr>
        <w:pStyle w:val="NormalWeb"/>
        <w:numPr>
          <w:ilvl w:val="0"/>
          <w:numId w:val="55"/>
        </w:numPr>
        <w:tabs>
          <w:tab w:val="left" w:pos="360"/>
        </w:tabs>
        <w:spacing w:before="0" w:beforeAutospacing="0" w:after="0" w:afterAutospacing="0"/>
        <w:ind w:left="0" w:firstLine="0"/>
        <w:jc w:val="both"/>
        <w:rPr>
          <w:rFonts w:ascii="Cambria" w:hAnsi="Cambria" w:cs="Arial"/>
          <w:sz w:val="20"/>
          <w:szCs w:val="20"/>
        </w:rPr>
      </w:pPr>
      <w:r w:rsidRPr="00EC55EA">
        <w:rPr>
          <w:rFonts w:asciiTheme="majorHAnsi" w:hAnsiTheme="majorHAnsi"/>
          <w:sz w:val="20"/>
        </w:rPr>
        <w:t xml:space="preserve">The Inter-American Commission has established that the obligation to </w:t>
      </w:r>
      <w:r w:rsidR="003877F8" w:rsidRPr="00EC55EA">
        <w:rPr>
          <w:rFonts w:asciiTheme="majorHAnsi" w:hAnsiTheme="majorHAnsi"/>
          <w:sz w:val="20"/>
        </w:rPr>
        <w:t xml:space="preserve">provide detainees with </w:t>
      </w:r>
      <w:r w:rsidRPr="00EC55EA">
        <w:rPr>
          <w:rFonts w:asciiTheme="majorHAnsi" w:hAnsiTheme="majorHAnsi"/>
          <w:sz w:val="20"/>
        </w:rPr>
        <w:t>adequate medical care arises directly from the State’s duty to ensure the humane treatment of such persons under the American Declaration.</w:t>
      </w:r>
      <w:r w:rsidR="00480502" w:rsidRPr="00EC55EA">
        <w:rPr>
          <w:rStyle w:val="FootnoteReference"/>
          <w:rFonts w:asciiTheme="majorHAnsi" w:hAnsiTheme="majorHAnsi"/>
          <w:sz w:val="20"/>
        </w:rPr>
        <w:footnoteReference w:id="50"/>
      </w:r>
      <w:r w:rsidRPr="00EC55EA">
        <w:rPr>
          <w:rFonts w:asciiTheme="majorHAnsi" w:hAnsiTheme="majorHAnsi"/>
          <w:sz w:val="20"/>
        </w:rPr>
        <w:t xml:space="preserve"> In this respect, the IACHR has established that “the obligation of States to respect their physical integrity, not to use cruel or inhuman treatment, and to respect the inherent dignity of the human person, includes guaranteeing access to proper medical care.”</w:t>
      </w:r>
      <w:r w:rsidR="00480502" w:rsidRPr="00EC55EA">
        <w:rPr>
          <w:rStyle w:val="FootnoteReference"/>
          <w:rFonts w:asciiTheme="majorHAnsi" w:hAnsiTheme="majorHAnsi"/>
          <w:sz w:val="20"/>
        </w:rPr>
        <w:footnoteReference w:id="51"/>
      </w:r>
      <w:r w:rsidRPr="00EC55EA">
        <w:rPr>
          <w:rFonts w:asciiTheme="majorHAnsi" w:hAnsiTheme="majorHAnsi"/>
          <w:sz w:val="20"/>
        </w:rPr>
        <w:t xml:space="preserve"> </w:t>
      </w:r>
    </w:p>
    <w:p w14:paraId="54E88FC3" w14:textId="77777777" w:rsidR="00020925" w:rsidRPr="00EC55EA" w:rsidRDefault="00020925" w:rsidP="00EC55EA">
      <w:pPr>
        <w:pStyle w:val="NormalWeb"/>
        <w:tabs>
          <w:tab w:val="left" w:pos="360"/>
        </w:tabs>
        <w:spacing w:before="0" w:beforeAutospacing="0" w:after="0" w:afterAutospacing="0"/>
        <w:jc w:val="both"/>
        <w:rPr>
          <w:rFonts w:ascii="Cambria" w:hAnsi="Cambria" w:cs="Arial"/>
          <w:sz w:val="20"/>
          <w:szCs w:val="20"/>
        </w:rPr>
      </w:pPr>
    </w:p>
    <w:p w14:paraId="78E00E38" w14:textId="77777777" w:rsidR="00020925" w:rsidRPr="00EC55EA" w:rsidRDefault="00020925" w:rsidP="00EC55EA">
      <w:pPr>
        <w:pStyle w:val="NormalWeb"/>
        <w:numPr>
          <w:ilvl w:val="0"/>
          <w:numId w:val="55"/>
        </w:numPr>
        <w:tabs>
          <w:tab w:val="left" w:pos="360"/>
        </w:tabs>
        <w:spacing w:before="0" w:beforeAutospacing="0" w:after="0" w:afterAutospacing="0"/>
        <w:ind w:left="0" w:firstLine="0"/>
        <w:jc w:val="both"/>
        <w:rPr>
          <w:rFonts w:ascii="Cambria" w:hAnsi="Cambria" w:cs="Arial"/>
          <w:sz w:val="20"/>
          <w:szCs w:val="20"/>
        </w:rPr>
      </w:pPr>
      <w:r w:rsidRPr="00EC55EA">
        <w:rPr>
          <w:rFonts w:asciiTheme="majorHAnsi" w:hAnsiTheme="majorHAnsi"/>
          <w:sz w:val="20"/>
        </w:rPr>
        <w:t xml:space="preserve">Regarding the quality of medical care, </w:t>
      </w:r>
      <w:r w:rsidR="005E22BD" w:rsidRPr="00EC55EA">
        <w:rPr>
          <w:rFonts w:asciiTheme="majorHAnsi" w:hAnsiTheme="majorHAnsi"/>
          <w:sz w:val="20"/>
        </w:rPr>
        <w:t xml:space="preserve">according to </w:t>
      </w:r>
      <w:r w:rsidRPr="00EC55EA">
        <w:rPr>
          <w:rFonts w:asciiTheme="majorHAnsi" w:hAnsiTheme="majorHAnsi"/>
          <w:sz w:val="20"/>
        </w:rPr>
        <w:t>Principle X</w:t>
      </w:r>
      <w:r w:rsidR="00F51F28" w:rsidRPr="00EC55EA">
        <w:rPr>
          <w:rFonts w:asciiTheme="majorHAnsi" w:hAnsiTheme="majorHAnsi"/>
          <w:sz w:val="20"/>
        </w:rPr>
        <w:t xml:space="preserve"> of </w:t>
      </w:r>
      <w:r w:rsidR="005E22BD" w:rsidRPr="00EC55EA">
        <w:rPr>
          <w:rFonts w:asciiTheme="majorHAnsi" w:hAnsiTheme="majorHAnsi"/>
          <w:sz w:val="20"/>
        </w:rPr>
        <w:t>the IACHR</w:t>
      </w:r>
      <w:r w:rsidR="00F51F28" w:rsidRPr="00EC55EA">
        <w:rPr>
          <w:rFonts w:asciiTheme="majorHAnsi" w:hAnsiTheme="majorHAnsi"/>
          <w:sz w:val="20"/>
        </w:rPr>
        <w:t xml:space="preserve">’s Principles and Best Practices </w:t>
      </w:r>
      <w:r w:rsidR="005E22BD" w:rsidRPr="00EC55EA">
        <w:rPr>
          <w:rFonts w:asciiTheme="majorHAnsi" w:hAnsiTheme="majorHAnsi"/>
          <w:sz w:val="20"/>
        </w:rPr>
        <w:t>on the Protection of Persons Deprived of Liberty in the Americas,</w:t>
      </w:r>
      <w:r w:rsidR="00F51F28" w:rsidRPr="00EC55EA">
        <w:rPr>
          <w:rFonts w:asciiTheme="majorHAnsi" w:hAnsiTheme="majorHAnsi"/>
          <w:sz w:val="20"/>
        </w:rPr>
        <w:t xml:space="preserve"> “treatment shall be based on scientific principles and apply the best practices” and that “the provision of health services shall, in all circumstances, respect the following principles: medical confidentiality; patient autonomy; and informed consent to medical treatment within the physician-patient relationship.”</w:t>
      </w:r>
    </w:p>
    <w:p w14:paraId="468E6724" w14:textId="77777777" w:rsidR="00F51F28" w:rsidRPr="00EC55EA" w:rsidRDefault="00F51F28" w:rsidP="00EC55EA">
      <w:pPr>
        <w:pStyle w:val="ListParagraph"/>
        <w:rPr>
          <w:rFonts w:cs="Arial"/>
          <w:sz w:val="20"/>
          <w:szCs w:val="20"/>
        </w:rPr>
      </w:pPr>
    </w:p>
    <w:p w14:paraId="6017A006" w14:textId="77777777" w:rsidR="00FB5B57" w:rsidRPr="00EC55EA" w:rsidRDefault="00806658" w:rsidP="00EC55EA">
      <w:pPr>
        <w:pStyle w:val="NormalWeb"/>
        <w:numPr>
          <w:ilvl w:val="0"/>
          <w:numId w:val="55"/>
        </w:numPr>
        <w:tabs>
          <w:tab w:val="left" w:pos="360"/>
        </w:tabs>
        <w:spacing w:before="0" w:beforeAutospacing="0" w:after="0" w:afterAutospacing="0"/>
        <w:ind w:left="0" w:firstLine="0"/>
        <w:jc w:val="both"/>
        <w:rPr>
          <w:rFonts w:ascii="Cambria" w:hAnsi="Cambria" w:cs="Arial"/>
          <w:sz w:val="20"/>
          <w:szCs w:val="20"/>
        </w:rPr>
      </w:pPr>
      <w:r w:rsidRPr="00EC55EA">
        <w:rPr>
          <w:rFonts w:ascii="Cambria" w:hAnsi="Cambria" w:cs="Arial"/>
          <w:sz w:val="20"/>
          <w:szCs w:val="20"/>
        </w:rPr>
        <w:t>According to the inter-American system, t</w:t>
      </w:r>
      <w:r w:rsidR="00F51F28" w:rsidRPr="00EC55EA">
        <w:rPr>
          <w:rFonts w:ascii="Cambria" w:hAnsi="Cambria" w:cs="Arial"/>
          <w:sz w:val="20"/>
          <w:szCs w:val="20"/>
        </w:rPr>
        <w:t xml:space="preserve">he State’s duty to ensure </w:t>
      </w:r>
      <w:r w:rsidR="003877F8" w:rsidRPr="00EC55EA">
        <w:rPr>
          <w:rFonts w:ascii="Cambria" w:hAnsi="Cambria" w:cs="Arial"/>
          <w:sz w:val="20"/>
          <w:szCs w:val="20"/>
        </w:rPr>
        <w:t xml:space="preserve">prisoners’ </w:t>
      </w:r>
      <w:r w:rsidR="00F51F28" w:rsidRPr="00EC55EA">
        <w:rPr>
          <w:rFonts w:ascii="Cambria" w:hAnsi="Cambria" w:cs="Arial"/>
          <w:sz w:val="20"/>
          <w:szCs w:val="20"/>
        </w:rPr>
        <w:t xml:space="preserve">adequate </w:t>
      </w:r>
      <w:r w:rsidR="0023660F" w:rsidRPr="00EC55EA">
        <w:rPr>
          <w:rFonts w:ascii="Cambria" w:hAnsi="Cambria" w:cs="Arial"/>
          <w:sz w:val="20"/>
          <w:szCs w:val="20"/>
        </w:rPr>
        <w:t xml:space="preserve">medical </w:t>
      </w:r>
      <w:r w:rsidR="00F51F28" w:rsidRPr="00EC55EA">
        <w:rPr>
          <w:rFonts w:ascii="Cambria" w:hAnsi="Cambria" w:cs="Arial"/>
          <w:sz w:val="20"/>
          <w:szCs w:val="20"/>
        </w:rPr>
        <w:t>care, however, “does not imply the existence of a duty to satisfy all wishes and preferences of a person deprived of liberty regarding medical assistance, but only those real needs consistent with the actual circumstances and condition of the detainee.”</w:t>
      </w:r>
      <w:r w:rsidR="003877F8" w:rsidRPr="00EC55EA">
        <w:rPr>
          <w:rStyle w:val="FootnoteReference"/>
          <w:rFonts w:ascii="Cambria" w:hAnsi="Cambria"/>
          <w:sz w:val="20"/>
          <w:szCs w:val="20"/>
        </w:rPr>
        <w:footnoteReference w:id="52"/>
      </w:r>
      <w:r w:rsidR="00F51F28" w:rsidRPr="00EC55EA">
        <w:rPr>
          <w:rFonts w:ascii="Cambria" w:hAnsi="Cambria" w:cs="Arial"/>
          <w:sz w:val="20"/>
          <w:szCs w:val="20"/>
        </w:rPr>
        <w:t xml:space="preserve"> </w:t>
      </w:r>
    </w:p>
    <w:p w14:paraId="0562FF1E" w14:textId="77777777" w:rsidR="00FB5B57" w:rsidRPr="00EC55EA" w:rsidRDefault="00FB5B57" w:rsidP="00EC55EA">
      <w:pPr>
        <w:pStyle w:val="ListParagraph"/>
        <w:rPr>
          <w:rFonts w:asciiTheme="majorHAnsi" w:hAnsiTheme="majorHAnsi"/>
          <w:sz w:val="20"/>
        </w:rPr>
      </w:pPr>
    </w:p>
    <w:p w14:paraId="41E1DBD1" w14:textId="347200E8" w:rsidR="00701487" w:rsidRPr="00EC55EA" w:rsidRDefault="001604B8" w:rsidP="00EC55EA">
      <w:pPr>
        <w:pStyle w:val="NormalWeb"/>
        <w:numPr>
          <w:ilvl w:val="0"/>
          <w:numId w:val="55"/>
        </w:numPr>
        <w:tabs>
          <w:tab w:val="left" w:pos="360"/>
        </w:tabs>
        <w:spacing w:before="0" w:beforeAutospacing="0" w:after="0" w:afterAutospacing="0"/>
        <w:ind w:left="0" w:firstLine="0"/>
        <w:jc w:val="both"/>
        <w:rPr>
          <w:rFonts w:ascii="Cambria" w:hAnsi="Cambria"/>
          <w:sz w:val="20"/>
        </w:rPr>
      </w:pPr>
      <w:r w:rsidRPr="00EC55EA">
        <w:rPr>
          <w:rFonts w:ascii="Cambria" w:hAnsi="Cambria"/>
          <w:sz w:val="20"/>
        </w:rPr>
        <w:t xml:space="preserve">The Commission notes </w:t>
      </w:r>
      <w:r w:rsidR="00112956" w:rsidRPr="00EC55EA">
        <w:rPr>
          <w:rFonts w:ascii="Cambria" w:hAnsi="Cambria"/>
          <w:sz w:val="20"/>
        </w:rPr>
        <w:t xml:space="preserve">the State responsibility in providing adequate medical care for Mr. Bolden, a prisoner with diabetes. </w:t>
      </w:r>
      <w:r w:rsidR="00AF511A" w:rsidRPr="00EC55EA">
        <w:rPr>
          <w:rFonts w:ascii="Cambria" w:hAnsi="Cambria"/>
          <w:sz w:val="20"/>
        </w:rPr>
        <w:t>The State</w:t>
      </w:r>
      <w:r w:rsidR="00383691" w:rsidRPr="00EC55EA">
        <w:rPr>
          <w:rFonts w:ascii="Cambria" w:hAnsi="Cambria"/>
          <w:sz w:val="20"/>
        </w:rPr>
        <w:t>, for its part,</w:t>
      </w:r>
      <w:r w:rsidR="00AF511A" w:rsidRPr="00EC55EA">
        <w:rPr>
          <w:rFonts w:ascii="Cambria" w:hAnsi="Cambria"/>
          <w:sz w:val="20"/>
        </w:rPr>
        <w:t xml:space="preserve"> contests Mr. Bolden’</w:t>
      </w:r>
      <w:r w:rsidR="00383691" w:rsidRPr="00EC55EA">
        <w:rPr>
          <w:rFonts w:ascii="Cambria" w:hAnsi="Cambria"/>
          <w:sz w:val="20"/>
        </w:rPr>
        <w:t>s allegations of lack of</w:t>
      </w:r>
      <w:r w:rsidR="00AF511A" w:rsidRPr="00EC55EA">
        <w:rPr>
          <w:rFonts w:ascii="Cambria" w:hAnsi="Cambria"/>
          <w:sz w:val="20"/>
        </w:rPr>
        <w:t xml:space="preserve"> adequate medical care. </w:t>
      </w:r>
      <w:r w:rsidR="00D52434" w:rsidRPr="00EC55EA">
        <w:rPr>
          <w:rFonts w:ascii="Cambria" w:hAnsi="Cambria"/>
          <w:sz w:val="20"/>
        </w:rPr>
        <w:t>The evidence before the Commission shows that Mr. Bolden had several abnormal glucose readings between 2010 and 2012 and th</w:t>
      </w:r>
      <w:r w:rsidR="00DD6E25" w:rsidRPr="00EC55EA">
        <w:rPr>
          <w:rFonts w:ascii="Cambria" w:hAnsi="Cambria"/>
          <w:sz w:val="20"/>
        </w:rPr>
        <w:t>at insulin dosage was adjusted o</w:t>
      </w:r>
      <w:r w:rsidR="00D52434" w:rsidRPr="00EC55EA">
        <w:rPr>
          <w:rFonts w:ascii="Cambria" w:hAnsi="Cambria"/>
          <w:sz w:val="20"/>
        </w:rPr>
        <w:t>n several occasions</w:t>
      </w:r>
      <w:r w:rsidR="0015197E">
        <w:rPr>
          <w:rStyle w:val="FootnoteReference"/>
          <w:rFonts w:ascii="Cambria" w:hAnsi="Cambria"/>
          <w:sz w:val="20"/>
        </w:rPr>
        <w:footnoteReference w:id="53"/>
      </w:r>
      <w:r w:rsidR="00D52434" w:rsidRPr="00EC55EA">
        <w:rPr>
          <w:rFonts w:ascii="Cambria" w:hAnsi="Cambria"/>
          <w:sz w:val="20"/>
        </w:rPr>
        <w:t>.</w:t>
      </w:r>
      <w:r w:rsidR="00112956" w:rsidRPr="00EC55EA">
        <w:rPr>
          <w:rFonts w:ascii="Cambria" w:hAnsi="Cambria"/>
          <w:sz w:val="20"/>
        </w:rPr>
        <w:t xml:space="preserve"> </w:t>
      </w:r>
      <w:r w:rsidR="00701487" w:rsidRPr="00EC55EA">
        <w:rPr>
          <w:rFonts w:ascii="Cambria" w:hAnsi="Cambria"/>
          <w:sz w:val="20"/>
        </w:rPr>
        <w:t xml:space="preserve">Further, there is no information or evidence before the Commission indicting that </w:t>
      </w:r>
      <w:r w:rsidR="00F4316F" w:rsidRPr="00EC55EA">
        <w:rPr>
          <w:rFonts w:ascii="Cambria" w:hAnsi="Cambria"/>
          <w:sz w:val="20"/>
        </w:rPr>
        <w:t>any of the principles established above (</w:t>
      </w:r>
      <w:r w:rsidR="00F4316F" w:rsidRPr="00EC55EA">
        <w:rPr>
          <w:rFonts w:asciiTheme="majorHAnsi" w:hAnsiTheme="majorHAnsi"/>
          <w:sz w:val="20"/>
        </w:rPr>
        <w:t>medical confidentiality; patient autonomy; and informed consent to medical treatment) have been infringed</w:t>
      </w:r>
      <w:r w:rsidR="00383691" w:rsidRPr="00EC55EA">
        <w:rPr>
          <w:rFonts w:asciiTheme="majorHAnsi" w:hAnsiTheme="majorHAnsi"/>
          <w:sz w:val="20"/>
        </w:rPr>
        <w:t xml:space="preserve"> by the State</w:t>
      </w:r>
      <w:r w:rsidR="00F4316F" w:rsidRPr="00EC55EA">
        <w:rPr>
          <w:rFonts w:asciiTheme="majorHAnsi" w:hAnsiTheme="majorHAnsi"/>
          <w:sz w:val="20"/>
        </w:rPr>
        <w:t>.</w:t>
      </w:r>
      <w:r w:rsidR="00383691" w:rsidRPr="00EC55EA">
        <w:rPr>
          <w:rFonts w:asciiTheme="majorHAnsi" w:hAnsiTheme="majorHAnsi"/>
          <w:sz w:val="20"/>
        </w:rPr>
        <w:t xml:space="preserve"> Therefore, the IACHR </w:t>
      </w:r>
      <w:r w:rsidR="00EE22E3" w:rsidRPr="00EC55EA">
        <w:rPr>
          <w:rFonts w:asciiTheme="majorHAnsi" w:hAnsiTheme="majorHAnsi"/>
          <w:sz w:val="20"/>
        </w:rPr>
        <w:t>does not have</w:t>
      </w:r>
      <w:r w:rsidR="00383691" w:rsidRPr="00EC55EA">
        <w:rPr>
          <w:rFonts w:asciiTheme="majorHAnsi" w:hAnsiTheme="majorHAnsi"/>
          <w:sz w:val="20"/>
        </w:rPr>
        <w:t xml:space="preserve"> sufficient elements to conclude that the United States is internationally responsible for the violation of Mr. Bolden’s right to health</w:t>
      </w:r>
      <w:r w:rsidR="00801880" w:rsidRPr="00EC55EA">
        <w:rPr>
          <w:rFonts w:asciiTheme="majorHAnsi" w:hAnsiTheme="majorHAnsi"/>
          <w:sz w:val="20"/>
        </w:rPr>
        <w:t xml:space="preserve"> based on lack of adequate medical care. </w:t>
      </w:r>
    </w:p>
    <w:p w14:paraId="10BACA6E" w14:textId="77777777" w:rsidR="00CB4BF9" w:rsidRPr="00EC55EA" w:rsidRDefault="00CB4BF9" w:rsidP="00EC55EA">
      <w:pPr>
        <w:pStyle w:val="NormalWeb"/>
        <w:tabs>
          <w:tab w:val="left" w:pos="360"/>
        </w:tabs>
        <w:spacing w:before="0" w:beforeAutospacing="0" w:after="0" w:afterAutospacing="0"/>
        <w:jc w:val="both"/>
        <w:rPr>
          <w:rFonts w:ascii="Cambria" w:hAnsi="Cambria"/>
          <w:sz w:val="20"/>
        </w:rPr>
      </w:pPr>
    </w:p>
    <w:p w14:paraId="68F487D8" w14:textId="77777777" w:rsidR="00CB4BF9" w:rsidRPr="00EC55EA" w:rsidRDefault="00CB4BF9" w:rsidP="00EC55EA">
      <w:pPr>
        <w:pStyle w:val="Heading3"/>
        <w:numPr>
          <w:ilvl w:val="3"/>
          <w:numId w:val="53"/>
        </w:numPr>
        <w:spacing w:before="0"/>
        <w:ind w:left="360"/>
        <w:rPr>
          <w:color w:val="auto"/>
          <w:sz w:val="20"/>
          <w:szCs w:val="20"/>
        </w:rPr>
      </w:pPr>
      <w:bookmarkStart w:id="26" w:name="_Toc150524394"/>
      <w:r w:rsidRPr="00EC55EA">
        <w:rPr>
          <w:color w:val="auto"/>
          <w:sz w:val="20"/>
          <w:szCs w:val="20"/>
        </w:rPr>
        <w:t>Force</w:t>
      </w:r>
      <w:r w:rsidR="00B93E70" w:rsidRPr="00EC55EA">
        <w:rPr>
          <w:color w:val="auto"/>
          <w:sz w:val="20"/>
          <w:szCs w:val="20"/>
        </w:rPr>
        <w:t>d</w:t>
      </w:r>
      <w:r w:rsidRPr="00EC55EA">
        <w:rPr>
          <w:color w:val="auto"/>
          <w:sz w:val="20"/>
          <w:szCs w:val="20"/>
        </w:rPr>
        <w:t xml:space="preserve"> feeding:</w:t>
      </w:r>
      <w:bookmarkEnd w:id="26"/>
    </w:p>
    <w:p w14:paraId="080C57EB" w14:textId="77777777" w:rsidR="00AF511A" w:rsidRPr="00EC55EA" w:rsidRDefault="00AF511A" w:rsidP="00EC55EA">
      <w:pPr>
        <w:pStyle w:val="ListParagraph"/>
        <w:rPr>
          <w:sz w:val="20"/>
        </w:rPr>
      </w:pPr>
    </w:p>
    <w:p w14:paraId="5C957BCE" w14:textId="77777777" w:rsidR="00203AEE" w:rsidRPr="00EC55EA" w:rsidRDefault="00CB4BF9" w:rsidP="00EC55EA">
      <w:pPr>
        <w:pStyle w:val="NormalWeb"/>
        <w:numPr>
          <w:ilvl w:val="0"/>
          <w:numId w:val="55"/>
        </w:numPr>
        <w:tabs>
          <w:tab w:val="left" w:pos="360"/>
        </w:tabs>
        <w:spacing w:before="0" w:beforeAutospacing="0" w:after="0" w:afterAutospacing="0"/>
        <w:ind w:left="0" w:firstLine="0"/>
        <w:jc w:val="both"/>
        <w:rPr>
          <w:rFonts w:ascii="Cambria" w:hAnsi="Cambria"/>
          <w:sz w:val="20"/>
        </w:rPr>
      </w:pPr>
      <w:r w:rsidRPr="00EC55EA">
        <w:rPr>
          <w:rFonts w:ascii="Cambria" w:hAnsi="Cambria"/>
          <w:sz w:val="20"/>
        </w:rPr>
        <w:t>A</w:t>
      </w:r>
      <w:r w:rsidR="00203AEE" w:rsidRPr="00EC55EA">
        <w:rPr>
          <w:rFonts w:ascii="Cambria" w:hAnsi="Cambria"/>
          <w:sz w:val="20"/>
        </w:rPr>
        <w:t xml:space="preserve">ccording to the </w:t>
      </w:r>
      <w:r w:rsidR="002131D3" w:rsidRPr="00EC55EA">
        <w:rPr>
          <w:rFonts w:ascii="Cambria" w:hAnsi="Cambria"/>
          <w:sz w:val="20"/>
        </w:rPr>
        <w:t xml:space="preserve">available </w:t>
      </w:r>
      <w:r w:rsidR="00203AEE" w:rsidRPr="00EC55EA">
        <w:rPr>
          <w:rFonts w:ascii="Cambria" w:hAnsi="Cambria"/>
          <w:sz w:val="20"/>
        </w:rPr>
        <w:t>information</w:t>
      </w:r>
      <w:r w:rsidR="002131D3" w:rsidRPr="00EC55EA">
        <w:rPr>
          <w:rFonts w:ascii="Cambria" w:hAnsi="Cambria"/>
          <w:sz w:val="20"/>
        </w:rPr>
        <w:t>,</w:t>
      </w:r>
      <w:r w:rsidR="00112956" w:rsidRPr="00EC55EA">
        <w:rPr>
          <w:rFonts w:ascii="Cambria" w:hAnsi="Cambria"/>
          <w:sz w:val="20"/>
        </w:rPr>
        <w:t xml:space="preserve"> prison officials’ attempt</w:t>
      </w:r>
      <w:r w:rsidR="00203AEE" w:rsidRPr="00EC55EA">
        <w:rPr>
          <w:rFonts w:ascii="Cambria" w:hAnsi="Cambria"/>
          <w:sz w:val="20"/>
        </w:rPr>
        <w:t>ed</w:t>
      </w:r>
      <w:r w:rsidR="00112956" w:rsidRPr="00EC55EA">
        <w:rPr>
          <w:rFonts w:ascii="Cambria" w:hAnsi="Cambria"/>
          <w:sz w:val="20"/>
        </w:rPr>
        <w:t xml:space="preserve"> to force-feed </w:t>
      </w:r>
      <w:r w:rsidRPr="00EC55EA">
        <w:rPr>
          <w:rFonts w:ascii="Cambria" w:hAnsi="Cambria"/>
          <w:sz w:val="20"/>
        </w:rPr>
        <w:t>Mr. Kadamovas</w:t>
      </w:r>
      <w:r w:rsidR="00203AEE" w:rsidRPr="00EC55EA">
        <w:rPr>
          <w:rFonts w:ascii="Cambria" w:hAnsi="Cambria"/>
          <w:sz w:val="20"/>
        </w:rPr>
        <w:t xml:space="preserve">. The Inter-American Commission has noted that hunger strikes are a well-known form of protest and that making a blanket determination that all the individuals on hunger strike have suicidal intentions and therefore must be force-fed is not in line with medical ethics requirements. In this regard, the Commission has sustained that the State “has an obligation to make an individualized assessment to determine whether the individual detainee actually possesses the capacity to make a judgment about the physical consequences of refusing food” and if </w:t>
      </w:r>
      <w:r w:rsidR="00203AEE" w:rsidRPr="00EC55EA">
        <w:rPr>
          <w:rFonts w:ascii="Cambria" w:hAnsi="Cambria"/>
          <w:sz w:val="20"/>
        </w:rPr>
        <w:lastRenderedPageBreak/>
        <w:t>“the individual understands those consequences, the right to refuse food should be respected both under medical ethics and international law.”</w:t>
      </w:r>
      <w:r w:rsidR="002131D3" w:rsidRPr="00EC55EA">
        <w:rPr>
          <w:rStyle w:val="FootnoteReference"/>
          <w:rFonts w:ascii="Cambria" w:hAnsi="Cambria"/>
          <w:sz w:val="20"/>
        </w:rPr>
        <w:footnoteReference w:id="54"/>
      </w:r>
    </w:p>
    <w:p w14:paraId="6DBB78D5" w14:textId="77777777" w:rsidR="00313D9B" w:rsidRPr="00EC55EA" w:rsidRDefault="00313D9B" w:rsidP="00EC55EA">
      <w:pPr>
        <w:pStyle w:val="ListParagraph"/>
        <w:rPr>
          <w:sz w:val="20"/>
        </w:rPr>
      </w:pPr>
    </w:p>
    <w:p w14:paraId="4C176BE7" w14:textId="77777777" w:rsidR="00313D9B" w:rsidRPr="00EC55EA" w:rsidRDefault="00313D9B" w:rsidP="00EC55EA">
      <w:pPr>
        <w:pStyle w:val="NormalWeb"/>
        <w:numPr>
          <w:ilvl w:val="0"/>
          <w:numId w:val="55"/>
        </w:numPr>
        <w:tabs>
          <w:tab w:val="left" w:pos="360"/>
        </w:tabs>
        <w:spacing w:before="0" w:beforeAutospacing="0" w:after="0" w:afterAutospacing="0"/>
        <w:ind w:left="0" w:firstLine="0"/>
        <w:jc w:val="both"/>
        <w:rPr>
          <w:rFonts w:ascii="Cambria" w:hAnsi="Cambria"/>
          <w:sz w:val="20"/>
        </w:rPr>
      </w:pPr>
      <w:r w:rsidRPr="00EC55EA">
        <w:rPr>
          <w:rFonts w:ascii="Cambria" w:hAnsi="Cambria"/>
          <w:sz w:val="20"/>
        </w:rPr>
        <w:t>The IACHR has stressed that:</w:t>
      </w:r>
      <w:r w:rsidR="00B93E70" w:rsidRPr="00EC55EA">
        <w:rPr>
          <w:rStyle w:val="FootnoteReference"/>
          <w:rFonts w:ascii="Cambria" w:hAnsi="Cambria"/>
          <w:sz w:val="20"/>
        </w:rPr>
        <w:footnoteReference w:id="55"/>
      </w:r>
    </w:p>
    <w:p w14:paraId="399365BE" w14:textId="77777777" w:rsidR="00313D9B" w:rsidRPr="00EC55EA" w:rsidRDefault="00313D9B" w:rsidP="00EC55EA">
      <w:pPr>
        <w:pStyle w:val="ListParagraph"/>
        <w:rPr>
          <w:sz w:val="20"/>
        </w:rPr>
      </w:pPr>
    </w:p>
    <w:p w14:paraId="66B30848" w14:textId="77777777" w:rsidR="00313D9B" w:rsidRPr="00EC55EA" w:rsidRDefault="00313D9B" w:rsidP="00EC55EA">
      <w:pPr>
        <w:pStyle w:val="NormalWeb"/>
        <w:tabs>
          <w:tab w:val="left" w:pos="360"/>
        </w:tabs>
        <w:spacing w:before="0" w:beforeAutospacing="0" w:after="0" w:afterAutospacing="0"/>
        <w:ind w:left="360" w:right="360"/>
        <w:jc w:val="both"/>
        <w:rPr>
          <w:rFonts w:ascii="Cambria" w:hAnsi="Cambria"/>
          <w:sz w:val="18"/>
          <w:szCs w:val="18"/>
        </w:rPr>
      </w:pPr>
      <w:r w:rsidRPr="00EC55EA">
        <w:rPr>
          <w:rFonts w:ascii="Cambria" w:hAnsi="Cambria"/>
          <w:sz w:val="18"/>
          <w:szCs w:val="18"/>
        </w:rPr>
        <w:t>“according to the World Medical Assembly’s Declaration of Malta, in cases involving people on hunger strikes, the duty of medical personnel to act ethically and the principle of respect for individuals’ autonomy, among other principles, must be respected. Under these principles, it is unjustifiable to engage in forced feeding of individuals contrary to their informed and voluntary refusal of such a measure, moreover, hunger strikers should be protected from all forms of coercion, even more so when this is done through force and in some cases through physical violence. Health care personnel may not apply undue pressure of any sort on individuals who have opted for the extreme recourse of a hunger strike. It is also not acceptable to use threats of forced feeding or other types of physical or psychological coercion against individuals who have voluntarily decided to go on a hunger strike.”</w:t>
      </w:r>
    </w:p>
    <w:p w14:paraId="7D519F53" w14:textId="77777777" w:rsidR="00203AEE" w:rsidRPr="00EC55EA" w:rsidRDefault="00203AEE" w:rsidP="00EC55EA">
      <w:pPr>
        <w:pStyle w:val="ListParagraph"/>
        <w:rPr>
          <w:sz w:val="20"/>
        </w:rPr>
      </w:pPr>
    </w:p>
    <w:p w14:paraId="3F5A25F1" w14:textId="77777777" w:rsidR="00C07B4D" w:rsidRPr="00EC55EA" w:rsidRDefault="00041B79" w:rsidP="00EC55EA">
      <w:pPr>
        <w:pStyle w:val="NormalWeb"/>
        <w:numPr>
          <w:ilvl w:val="0"/>
          <w:numId w:val="55"/>
        </w:numPr>
        <w:tabs>
          <w:tab w:val="left" w:pos="0"/>
          <w:tab w:val="left" w:pos="360"/>
        </w:tabs>
        <w:spacing w:before="0" w:beforeAutospacing="0" w:after="0" w:afterAutospacing="0"/>
        <w:ind w:left="0" w:firstLine="0"/>
        <w:jc w:val="both"/>
        <w:rPr>
          <w:rFonts w:ascii="Cambria" w:hAnsi="Cambria"/>
          <w:sz w:val="20"/>
        </w:rPr>
      </w:pPr>
      <w:r w:rsidRPr="00EC55EA">
        <w:rPr>
          <w:rFonts w:ascii="Cambria" w:hAnsi="Cambria"/>
          <w:sz w:val="20"/>
        </w:rPr>
        <w:t xml:space="preserve">There is no </w:t>
      </w:r>
      <w:r w:rsidR="00410E41" w:rsidRPr="00EC55EA">
        <w:rPr>
          <w:rFonts w:ascii="Cambria" w:hAnsi="Cambria"/>
          <w:sz w:val="20"/>
        </w:rPr>
        <w:t>indication</w:t>
      </w:r>
      <w:r w:rsidRPr="00EC55EA">
        <w:rPr>
          <w:rFonts w:ascii="Cambria" w:hAnsi="Cambria"/>
          <w:sz w:val="20"/>
        </w:rPr>
        <w:t xml:space="preserve"> on the record</w:t>
      </w:r>
      <w:r w:rsidR="00410E41" w:rsidRPr="00EC55EA">
        <w:rPr>
          <w:rFonts w:ascii="Cambria" w:hAnsi="Cambria"/>
          <w:sz w:val="20"/>
        </w:rPr>
        <w:t xml:space="preserve"> </w:t>
      </w:r>
      <w:r w:rsidRPr="00EC55EA">
        <w:rPr>
          <w:rFonts w:ascii="Cambria" w:hAnsi="Cambria"/>
          <w:sz w:val="20"/>
        </w:rPr>
        <w:t xml:space="preserve">that </w:t>
      </w:r>
      <w:r w:rsidR="00436653" w:rsidRPr="00EC55EA">
        <w:rPr>
          <w:rFonts w:ascii="Cambria" w:hAnsi="Cambria"/>
          <w:sz w:val="20"/>
        </w:rPr>
        <w:t>prison officials</w:t>
      </w:r>
      <w:r w:rsidR="00A31F51" w:rsidRPr="00EC55EA">
        <w:rPr>
          <w:rFonts w:ascii="Cambria" w:hAnsi="Cambria"/>
          <w:sz w:val="20"/>
        </w:rPr>
        <w:t>, before force-feeding Mr. Kadamovas,</w:t>
      </w:r>
      <w:r w:rsidR="00436653" w:rsidRPr="00EC55EA">
        <w:rPr>
          <w:rFonts w:ascii="Cambria" w:hAnsi="Cambria"/>
          <w:sz w:val="20"/>
        </w:rPr>
        <w:t xml:space="preserve"> made an individualized assessment to determine whether </w:t>
      </w:r>
      <w:r w:rsidR="00A31F51" w:rsidRPr="00EC55EA">
        <w:rPr>
          <w:rFonts w:ascii="Cambria" w:hAnsi="Cambria"/>
          <w:sz w:val="20"/>
        </w:rPr>
        <w:t>he</w:t>
      </w:r>
      <w:r w:rsidR="00436653" w:rsidRPr="00EC55EA">
        <w:rPr>
          <w:rFonts w:ascii="Cambria" w:hAnsi="Cambria"/>
          <w:sz w:val="20"/>
        </w:rPr>
        <w:t xml:space="preserve"> possessed the capacity to make a judgment about the physical consequences of refusing food. </w:t>
      </w:r>
      <w:r w:rsidR="00A31F51" w:rsidRPr="00EC55EA">
        <w:rPr>
          <w:rFonts w:ascii="Cambria" w:hAnsi="Cambria"/>
          <w:sz w:val="20"/>
        </w:rPr>
        <w:t xml:space="preserve">Considering that the present case concerns a person in the custody of the State and that a stricter scrutiny applies, the State has the burden of rebutting the claim made by the petitioners. </w:t>
      </w:r>
      <w:r w:rsidR="005D6A17" w:rsidRPr="00EC55EA">
        <w:rPr>
          <w:rFonts w:ascii="Cambria" w:hAnsi="Cambria"/>
          <w:sz w:val="20"/>
        </w:rPr>
        <w:t xml:space="preserve">Based on </w:t>
      </w:r>
      <w:r w:rsidR="00A31F51" w:rsidRPr="00EC55EA">
        <w:rPr>
          <w:rFonts w:ascii="Cambria" w:hAnsi="Cambria"/>
          <w:sz w:val="20"/>
        </w:rPr>
        <w:t xml:space="preserve">these circumstances, on </w:t>
      </w:r>
      <w:r w:rsidR="005D6A17" w:rsidRPr="00EC55EA">
        <w:rPr>
          <w:rFonts w:ascii="Cambria" w:hAnsi="Cambria"/>
          <w:sz w:val="20"/>
        </w:rPr>
        <w:t xml:space="preserve">the </w:t>
      </w:r>
      <w:r w:rsidR="00A31F51" w:rsidRPr="00EC55EA">
        <w:rPr>
          <w:rFonts w:ascii="Cambria" w:hAnsi="Cambria"/>
          <w:sz w:val="20"/>
        </w:rPr>
        <w:t xml:space="preserve">available </w:t>
      </w:r>
      <w:r w:rsidR="005D6A17" w:rsidRPr="00EC55EA">
        <w:rPr>
          <w:rFonts w:ascii="Cambria" w:hAnsi="Cambria"/>
          <w:sz w:val="20"/>
        </w:rPr>
        <w:t>information provided</w:t>
      </w:r>
      <w:r w:rsidR="00C07B4D" w:rsidRPr="00EC55EA">
        <w:rPr>
          <w:rFonts w:ascii="Cambria" w:hAnsi="Cambria"/>
          <w:sz w:val="20"/>
        </w:rPr>
        <w:t xml:space="preserve"> and </w:t>
      </w:r>
      <w:r w:rsidR="00A31F51" w:rsidRPr="00EC55EA">
        <w:rPr>
          <w:rFonts w:ascii="Cambria" w:hAnsi="Cambria"/>
          <w:sz w:val="20"/>
        </w:rPr>
        <w:t xml:space="preserve">on </w:t>
      </w:r>
      <w:r w:rsidR="00C07B4D" w:rsidRPr="00EC55EA">
        <w:rPr>
          <w:rFonts w:ascii="Cambria" w:hAnsi="Cambria"/>
          <w:sz w:val="20"/>
        </w:rPr>
        <w:t>the above-mentioned standards, the Commission concludes that the</w:t>
      </w:r>
      <w:r w:rsidR="00771730" w:rsidRPr="00EC55EA">
        <w:rPr>
          <w:rFonts w:ascii="Cambria" w:hAnsi="Cambria"/>
          <w:sz w:val="20"/>
        </w:rPr>
        <w:t xml:space="preserve"> lack of individualized assessment before</w:t>
      </w:r>
      <w:r w:rsidR="00C07B4D" w:rsidRPr="00EC55EA">
        <w:rPr>
          <w:rFonts w:ascii="Cambria" w:hAnsi="Cambria"/>
          <w:sz w:val="20"/>
        </w:rPr>
        <w:t xml:space="preserve"> force-feed</w:t>
      </w:r>
      <w:r w:rsidR="00771730" w:rsidRPr="00EC55EA">
        <w:rPr>
          <w:rFonts w:ascii="Cambria" w:hAnsi="Cambria"/>
          <w:sz w:val="20"/>
        </w:rPr>
        <w:t>ing</w:t>
      </w:r>
      <w:r w:rsidR="00C07B4D" w:rsidRPr="00EC55EA">
        <w:rPr>
          <w:rFonts w:ascii="Cambria" w:hAnsi="Cambria"/>
          <w:sz w:val="20"/>
        </w:rPr>
        <w:t xml:space="preserve"> Mr. Kadamovas constitutes a violation of his right to humane treatment during custody, established in Article XXV of the American Declaration.</w:t>
      </w:r>
    </w:p>
    <w:p w14:paraId="006E72E2" w14:textId="77777777" w:rsidR="00C07B4D" w:rsidRPr="00EC55EA" w:rsidRDefault="00C07B4D" w:rsidP="00EC55EA">
      <w:pPr>
        <w:pStyle w:val="NormalWeb"/>
        <w:tabs>
          <w:tab w:val="left" w:pos="360"/>
        </w:tabs>
        <w:spacing w:before="0" w:beforeAutospacing="0" w:after="0" w:afterAutospacing="0"/>
        <w:jc w:val="both"/>
        <w:rPr>
          <w:rFonts w:ascii="Cambria" w:hAnsi="Cambria"/>
          <w:sz w:val="20"/>
        </w:rPr>
      </w:pPr>
    </w:p>
    <w:p w14:paraId="283A03E5" w14:textId="77777777" w:rsidR="00801C7F" w:rsidRPr="00EC55EA" w:rsidRDefault="00375D88" w:rsidP="00EC55EA">
      <w:pPr>
        <w:pStyle w:val="Heading2"/>
        <w:numPr>
          <w:ilvl w:val="0"/>
          <w:numId w:val="61"/>
        </w:numPr>
        <w:tabs>
          <w:tab w:val="left" w:pos="360"/>
        </w:tabs>
        <w:spacing w:before="0"/>
        <w:ind w:left="0" w:firstLine="0"/>
        <w:jc w:val="both"/>
        <w:rPr>
          <w:color w:val="auto"/>
          <w:sz w:val="20"/>
          <w:szCs w:val="20"/>
        </w:rPr>
      </w:pPr>
      <w:bookmarkStart w:id="27" w:name="_Toc150524395"/>
      <w:r w:rsidRPr="00EC55EA">
        <w:rPr>
          <w:color w:val="auto"/>
          <w:sz w:val="20"/>
          <w:szCs w:val="20"/>
        </w:rPr>
        <w:t>R</w:t>
      </w:r>
      <w:r w:rsidR="002B4417" w:rsidRPr="00EC55EA">
        <w:rPr>
          <w:color w:val="auto"/>
          <w:sz w:val="20"/>
          <w:szCs w:val="20"/>
        </w:rPr>
        <w:t>ight to life</w:t>
      </w:r>
      <w:r w:rsidR="00C535F1" w:rsidRPr="00EC55EA">
        <w:rPr>
          <w:rStyle w:val="FootnoteReference"/>
          <w:color w:val="auto"/>
          <w:sz w:val="20"/>
          <w:szCs w:val="20"/>
        </w:rPr>
        <w:footnoteReference w:id="56"/>
      </w:r>
      <w:r w:rsidR="00DD5501" w:rsidRPr="00EC55EA">
        <w:rPr>
          <w:color w:val="auto"/>
          <w:sz w:val="20"/>
          <w:szCs w:val="20"/>
        </w:rPr>
        <w:t xml:space="preserve"> and to protection against cruel, infamous o</w:t>
      </w:r>
      <w:r w:rsidR="00224AA7" w:rsidRPr="00EC55EA">
        <w:rPr>
          <w:color w:val="auto"/>
          <w:sz w:val="20"/>
          <w:szCs w:val="20"/>
        </w:rPr>
        <w:t>r</w:t>
      </w:r>
      <w:r w:rsidR="00DD5501" w:rsidRPr="00EC55EA">
        <w:rPr>
          <w:color w:val="auto"/>
          <w:sz w:val="20"/>
          <w:szCs w:val="20"/>
        </w:rPr>
        <w:t xml:space="preserve"> unusual punishment with respect to the eventual execution of </w:t>
      </w:r>
      <w:r w:rsidR="009D45F5" w:rsidRPr="00EC55EA">
        <w:rPr>
          <w:color w:val="auto"/>
          <w:sz w:val="20"/>
          <w:szCs w:val="20"/>
        </w:rPr>
        <w:t>Jurijus Kadamovas and Robert L. Bolden</w:t>
      </w:r>
      <w:bookmarkEnd w:id="27"/>
      <w:r w:rsidR="009D45F5" w:rsidRPr="00EC55EA">
        <w:rPr>
          <w:sz w:val="20"/>
          <w:szCs w:val="20"/>
        </w:rPr>
        <w:t xml:space="preserve"> </w:t>
      </w:r>
    </w:p>
    <w:p w14:paraId="54B44015" w14:textId="77777777" w:rsidR="00867DA3" w:rsidRPr="00EC55EA" w:rsidRDefault="00867DA3" w:rsidP="00EC55EA">
      <w:pPr>
        <w:rPr>
          <w:rFonts w:asciiTheme="majorHAnsi" w:hAnsiTheme="majorHAnsi"/>
          <w:sz w:val="20"/>
          <w:szCs w:val="20"/>
        </w:rPr>
      </w:pPr>
    </w:p>
    <w:p w14:paraId="220B4D72" w14:textId="77777777" w:rsidR="00BE3560" w:rsidRPr="00EC55EA" w:rsidRDefault="00BE3560" w:rsidP="00EC55E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ind w:left="0" w:firstLine="0"/>
        <w:jc w:val="both"/>
        <w:rPr>
          <w:rFonts w:ascii="Cambria" w:hAnsi="Cambria"/>
          <w:sz w:val="20"/>
          <w:szCs w:val="20"/>
        </w:rPr>
      </w:pPr>
      <w:r w:rsidRPr="00EC55EA">
        <w:rPr>
          <w:rFonts w:ascii="Cambria" w:hAnsi="Cambria"/>
          <w:sz w:val="20"/>
          <w:szCs w:val="20"/>
        </w:rPr>
        <w:t>As indicated above, the Inter-American Commission considers that it is incumbent upon the national courts, not the Commission, to interpret and apply national law. Nevertheless, the IACHR must ensure that any deprivation of life resulting from imposition of the death penalty complies with the requirements of the American Declaration.</w:t>
      </w:r>
      <w:r w:rsidRPr="00EC55EA">
        <w:rPr>
          <w:rStyle w:val="FootnoteReference"/>
          <w:rFonts w:ascii="Cambria" w:hAnsi="Cambria"/>
          <w:sz w:val="20"/>
          <w:szCs w:val="20"/>
        </w:rPr>
        <w:footnoteReference w:id="57"/>
      </w:r>
    </w:p>
    <w:p w14:paraId="26A6C81C" w14:textId="77777777" w:rsidR="00BE3560" w:rsidRPr="00EC55EA" w:rsidRDefault="00BE3560" w:rsidP="00EC55EA">
      <w:pPr>
        <w:rPr>
          <w:sz w:val="20"/>
          <w:szCs w:val="20"/>
        </w:rPr>
      </w:pPr>
    </w:p>
    <w:p w14:paraId="6757AEC4" w14:textId="77777777" w:rsidR="00FF19E2" w:rsidRPr="00EC55EA" w:rsidRDefault="00BE3560" w:rsidP="00EC55E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ind w:left="0" w:firstLine="0"/>
        <w:jc w:val="both"/>
        <w:rPr>
          <w:rFonts w:ascii="Cambria" w:hAnsi="Cambria"/>
          <w:sz w:val="20"/>
          <w:szCs w:val="20"/>
        </w:rPr>
      </w:pPr>
      <w:r w:rsidRPr="00EC55EA">
        <w:rPr>
          <w:rFonts w:ascii="Cambria" w:hAnsi="Cambria"/>
          <w:sz w:val="20"/>
          <w:szCs w:val="20"/>
        </w:rPr>
        <w:t>Under these circumstances, the IACHR has maintained that executing a person</w:t>
      </w:r>
      <w:r w:rsidR="002D5D4E" w:rsidRPr="00EC55EA">
        <w:rPr>
          <w:rFonts w:ascii="Cambria" w:hAnsi="Cambria"/>
          <w:sz w:val="20"/>
          <w:szCs w:val="20"/>
        </w:rPr>
        <w:t>,</w:t>
      </w:r>
      <w:r w:rsidRPr="00EC55EA">
        <w:rPr>
          <w:rFonts w:ascii="Cambria" w:hAnsi="Cambria"/>
          <w:sz w:val="20"/>
          <w:szCs w:val="20"/>
        </w:rPr>
        <w:t xml:space="preserve"> after proceedings that were conducted in violation of his rights</w:t>
      </w:r>
      <w:r w:rsidR="002D5D4E" w:rsidRPr="00EC55EA">
        <w:rPr>
          <w:rFonts w:ascii="Cambria" w:hAnsi="Cambria"/>
          <w:sz w:val="20"/>
          <w:szCs w:val="20"/>
        </w:rPr>
        <w:t>,</w:t>
      </w:r>
      <w:r w:rsidRPr="00EC55EA">
        <w:rPr>
          <w:rFonts w:ascii="Cambria" w:hAnsi="Cambria"/>
          <w:sz w:val="20"/>
          <w:szCs w:val="20"/>
        </w:rPr>
        <w:t xml:space="preserve"> would be extremely grave and constitute a deliberate violation of the right to life established in Article I of the American Declaration.</w:t>
      </w:r>
      <w:r w:rsidRPr="00EC55EA">
        <w:rPr>
          <w:rStyle w:val="FootnoteReference"/>
          <w:rFonts w:ascii="Cambria" w:hAnsi="Cambria"/>
          <w:sz w:val="20"/>
          <w:szCs w:val="20"/>
        </w:rPr>
        <w:footnoteReference w:id="58"/>
      </w:r>
      <w:r w:rsidRPr="00EC55EA">
        <w:rPr>
          <w:rFonts w:ascii="Cambria" w:hAnsi="Cambria"/>
          <w:sz w:val="20"/>
          <w:szCs w:val="20"/>
        </w:rPr>
        <w:t xml:space="preserve"> Further, based on the conclusions regarding the deprivation of liberty on death row, the eventual execution of </w:t>
      </w:r>
      <w:r w:rsidR="009729C9" w:rsidRPr="00EC55EA">
        <w:rPr>
          <w:rFonts w:ascii="Cambria" w:hAnsi="Cambria"/>
          <w:sz w:val="20"/>
          <w:szCs w:val="20"/>
        </w:rPr>
        <w:t>the alleged victims</w:t>
      </w:r>
      <w:r w:rsidRPr="00EC55EA">
        <w:rPr>
          <w:rFonts w:ascii="Cambria" w:hAnsi="Cambria"/>
          <w:sz w:val="20"/>
          <w:szCs w:val="20"/>
        </w:rPr>
        <w:t xml:space="preserve"> would constitute, by any account, a violation of the right to protection against cruel, infamous or unusual punishment. In light of the foregoing and taking into account the determinations made throughout this report, the IACHR concludes that the execution of </w:t>
      </w:r>
      <w:r w:rsidR="009729C9" w:rsidRPr="00EC55EA">
        <w:rPr>
          <w:rFonts w:ascii="Cambria" w:hAnsi="Cambria"/>
          <w:sz w:val="20"/>
          <w:szCs w:val="20"/>
        </w:rPr>
        <w:t>Mr. Kadamovas and Mr. Bolden</w:t>
      </w:r>
      <w:r w:rsidRPr="00EC55EA">
        <w:rPr>
          <w:rFonts w:ascii="Cambria" w:hAnsi="Cambria"/>
          <w:sz w:val="20"/>
          <w:szCs w:val="20"/>
        </w:rPr>
        <w:t xml:space="preserve"> would constitute a serious violation of his right to life established in Articles I of the American Declaration.</w:t>
      </w:r>
    </w:p>
    <w:p w14:paraId="71B7920C" w14:textId="77777777" w:rsidR="005D0B9F" w:rsidRPr="005D0B9F" w:rsidRDefault="005D0B9F" w:rsidP="005D0B9F">
      <w:pPr>
        <w:rPr>
          <w:rFonts w:asciiTheme="majorHAnsi" w:hAnsiTheme="majorHAnsi"/>
          <w:sz w:val="20"/>
          <w:szCs w:val="20"/>
        </w:rPr>
      </w:pPr>
    </w:p>
    <w:p w14:paraId="2A6ADAC2" w14:textId="1CBD30EE" w:rsidR="005D0B9F" w:rsidRPr="002B2833" w:rsidRDefault="005D0B9F" w:rsidP="005D0B9F">
      <w:pPr>
        <w:pStyle w:val="Heading1"/>
        <w:tabs>
          <w:tab w:val="left" w:pos="360"/>
        </w:tabs>
        <w:spacing w:before="0"/>
        <w:ind w:hanging="720"/>
        <w:rPr>
          <w:color w:val="auto"/>
          <w:sz w:val="20"/>
          <w:szCs w:val="20"/>
        </w:rPr>
      </w:pPr>
      <w:bookmarkStart w:id="28" w:name="_Toc45105400"/>
      <w:bookmarkStart w:id="29" w:name="_Toc47714178"/>
      <w:bookmarkStart w:id="30" w:name="_Toc87432711"/>
      <w:bookmarkStart w:id="31" w:name="_Toc87518249"/>
      <w:bookmarkStart w:id="32" w:name="_Toc150524396"/>
      <w:r w:rsidRPr="002B2833">
        <w:rPr>
          <w:color w:val="auto"/>
          <w:sz w:val="20"/>
          <w:szCs w:val="20"/>
        </w:rPr>
        <w:t>REPORT No. 10/20 AND INFORMATION ABOUT COMPLIANCE</w:t>
      </w:r>
      <w:bookmarkEnd w:id="28"/>
      <w:bookmarkEnd w:id="29"/>
      <w:bookmarkEnd w:id="30"/>
      <w:bookmarkEnd w:id="31"/>
      <w:bookmarkEnd w:id="32"/>
    </w:p>
    <w:p w14:paraId="60571CD1" w14:textId="77777777" w:rsidR="005D0B9F" w:rsidRPr="002B2833" w:rsidRDefault="005D0B9F" w:rsidP="005D0B9F">
      <w:pPr>
        <w:rPr>
          <w:rFonts w:asciiTheme="majorHAnsi" w:hAnsiTheme="majorHAnsi"/>
          <w:sz w:val="20"/>
          <w:szCs w:val="20"/>
        </w:rPr>
      </w:pPr>
    </w:p>
    <w:p w14:paraId="08F95DB0" w14:textId="6AA7A4FF" w:rsidR="005D0B9F" w:rsidRPr="002B2833" w:rsidRDefault="005D0B9F" w:rsidP="005D0B9F">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540"/>
        </w:tabs>
        <w:autoSpaceDE w:val="0"/>
        <w:autoSpaceDN w:val="0"/>
        <w:adjustRightInd w:val="0"/>
        <w:ind w:left="0" w:firstLine="0"/>
        <w:jc w:val="both"/>
        <w:rPr>
          <w:rFonts w:asciiTheme="majorHAnsi" w:hAnsiTheme="majorHAnsi"/>
          <w:sz w:val="20"/>
          <w:szCs w:val="20"/>
        </w:rPr>
      </w:pPr>
      <w:r w:rsidRPr="002B2833">
        <w:rPr>
          <w:rFonts w:asciiTheme="majorHAnsi" w:hAnsiTheme="majorHAnsi"/>
          <w:sz w:val="20"/>
          <w:szCs w:val="20"/>
        </w:rPr>
        <w:t xml:space="preserve">On March 3, 2020, the Commission approved Report No. 10/20 on the merits of the instant case, which encompasses paragraphs 1 to 78 supra, and issued the following recommendations to the State: </w:t>
      </w:r>
    </w:p>
    <w:p w14:paraId="65E733B5" w14:textId="77777777" w:rsidR="005D0B9F" w:rsidRDefault="005D0B9F" w:rsidP="00EC55EA">
      <w:pPr>
        <w:rPr>
          <w:rFonts w:asciiTheme="majorHAnsi" w:hAnsiTheme="majorHAnsi"/>
          <w:sz w:val="20"/>
          <w:szCs w:val="20"/>
        </w:rPr>
      </w:pPr>
    </w:p>
    <w:p w14:paraId="42A4D71D" w14:textId="77777777" w:rsidR="005D0B9F" w:rsidRPr="00EC55EA" w:rsidRDefault="005D0B9F" w:rsidP="005D0B9F">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360" w:hanging="360"/>
        <w:jc w:val="both"/>
        <w:rPr>
          <w:rFonts w:eastAsia="Times New Roman" w:cs="Tahoma"/>
          <w:sz w:val="20"/>
          <w:szCs w:val="20"/>
          <w:bdr w:val="none" w:sz="0" w:space="0" w:color="auto" w:frame="1"/>
        </w:rPr>
      </w:pPr>
      <w:r w:rsidRPr="00EC55EA">
        <w:rPr>
          <w:rFonts w:eastAsia="Times New Roman" w:cs="Tahoma"/>
          <w:sz w:val="20"/>
          <w:szCs w:val="20"/>
          <w:bdr w:val="none" w:sz="0" w:space="0" w:color="auto" w:frame="1"/>
        </w:rPr>
        <w:t xml:space="preserve">Grant </w:t>
      </w:r>
      <w:r w:rsidRPr="00EC55EA">
        <w:rPr>
          <w:rFonts w:asciiTheme="majorHAnsi" w:hAnsiTheme="majorHAnsi"/>
          <w:color w:val="auto"/>
          <w:sz w:val="20"/>
          <w:szCs w:val="20"/>
        </w:rPr>
        <w:t>Jurijus Kadamovas and Robert Bolden</w:t>
      </w:r>
      <w:r w:rsidRPr="00EC55EA">
        <w:rPr>
          <w:rFonts w:eastAsia="Times New Roman" w:cs="Tahoma"/>
          <w:sz w:val="20"/>
          <w:szCs w:val="20"/>
          <w:bdr w:val="none" w:sz="0" w:space="0" w:color="auto" w:frame="1"/>
        </w:rPr>
        <w:t xml:space="preserve"> effective relief, including the review of their trials and sentences in accordance with the guarantees of fair trial and due process set forth in Articles </w:t>
      </w:r>
      <w:r w:rsidRPr="00EC55EA">
        <w:rPr>
          <w:rFonts w:asciiTheme="majorHAnsi" w:hAnsiTheme="majorHAnsi"/>
          <w:color w:val="000000" w:themeColor="text1"/>
          <w:sz w:val="20"/>
          <w:szCs w:val="20"/>
        </w:rPr>
        <w:t xml:space="preserve">XVIII, and XXVI </w:t>
      </w:r>
      <w:r w:rsidRPr="00EC55EA">
        <w:rPr>
          <w:rFonts w:eastAsia="Times New Roman" w:cs="Tahoma"/>
          <w:sz w:val="20"/>
          <w:szCs w:val="20"/>
          <w:bdr w:val="none" w:sz="0" w:space="0" w:color="auto" w:frame="1"/>
        </w:rPr>
        <w:t xml:space="preserve">of the American Declaration, and the payment of pecuniary compensation. </w:t>
      </w:r>
      <w:r w:rsidRPr="00EC55EA">
        <w:rPr>
          <w:rFonts w:cs="Arial"/>
          <w:color w:val="auto"/>
          <w:sz w:val="20"/>
          <w:szCs w:val="20"/>
        </w:rPr>
        <w:t xml:space="preserve">Taking into account the conclusions of the IACHR on the time </w:t>
      </w:r>
      <w:r w:rsidRPr="00EC55EA">
        <w:rPr>
          <w:rFonts w:asciiTheme="majorHAnsi" w:hAnsiTheme="majorHAnsi"/>
          <w:color w:val="auto"/>
          <w:sz w:val="20"/>
          <w:szCs w:val="20"/>
        </w:rPr>
        <w:t>the alleged victims have</w:t>
      </w:r>
      <w:r w:rsidRPr="00EC55EA">
        <w:rPr>
          <w:rFonts w:cs="Arial"/>
          <w:color w:val="auto"/>
          <w:sz w:val="20"/>
          <w:szCs w:val="20"/>
        </w:rPr>
        <w:t xml:space="preserve"> been held on death row, the Commission recommends that their sentences be commuted</w:t>
      </w:r>
      <w:r w:rsidRPr="00EC55EA">
        <w:rPr>
          <w:rFonts w:eastAsia="Times New Roman" w:cs="Tahoma"/>
          <w:sz w:val="20"/>
          <w:szCs w:val="20"/>
          <w:bdr w:val="none" w:sz="0" w:space="0" w:color="auto" w:frame="1"/>
        </w:rPr>
        <w:t>.</w:t>
      </w:r>
    </w:p>
    <w:p w14:paraId="48DD3CD1" w14:textId="77777777" w:rsidR="005D0B9F" w:rsidRPr="00EC55EA" w:rsidRDefault="005D0B9F" w:rsidP="005D0B9F">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360"/>
        <w:jc w:val="both"/>
        <w:rPr>
          <w:rFonts w:eastAsia="Times New Roman" w:cs="Tahoma"/>
          <w:sz w:val="20"/>
          <w:szCs w:val="20"/>
          <w:bdr w:val="none" w:sz="0" w:space="0" w:color="auto" w:frame="1"/>
        </w:rPr>
      </w:pPr>
    </w:p>
    <w:p w14:paraId="6A72EA20" w14:textId="77777777" w:rsidR="005D0B9F" w:rsidRPr="00EC55EA" w:rsidRDefault="005D0B9F" w:rsidP="005D0B9F">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360" w:hanging="360"/>
        <w:jc w:val="both"/>
        <w:rPr>
          <w:rFonts w:eastAsia="Times New Roman" w:cs="Tahoma"/>
          <w:sz w:val="20"/>
          <w:szCs w:val="20"/>
          <w:bdr w:val="none" w:sz="0" w:space="0" w:color="auto" w:frame="1"/>
        </w:rPr>
      </w:pPr>
      <w:r w:rsidRPr="00EC55EA">
        <w:rPr>
          <w:sz w:val="20"/>
        </w:rPr>
        <w:lastRenderedPageBreak/>
        <w:t>Review its laws, procedures, and practices at the federal level to ensure that persons accused of capital crimes are tried and, if convicted, sentenced in accordance with the rights established in the American Declaration, including Articles I, XVIII, XXV and XXVI thereof, and, in particular:</w:t>
      </w:r>
    </w:p>
    <w:p w14:paraId="558CC369" w14:textId="77777777" w:rsidR="005D0B9F" w:rsidRPr="00EC55EA" w:rsidRDefault="005D0B9F" w:rsidP="005D0B9F">
      <w:pPr>
        <w:pStyle w:val="ListParagraph"/>
        <w:rPr>
          <w:rFonts w:asciiTheme="majorHAnsi" w:eastAsia="Times New Roman" w:hAnsiTheme="majorHAnsi" w:cs="Tahoma"/>
          <w:sz w:val="20"/>
          <w:szCs w:val="20"/>
          <w:bdr w:val="none" w:sz="0" w:space="0" w:color="auto"/>
        </w:rPr>
      </w:pPr>
    </w:p>
    <w:p w14:paraId="143181AB" w14:textId="77777777" w:rsidR="005D0B9F" w:rsidRPr="00EC55EA" w:rsidRDefault="005D0B9F" w:rsidP="005D0B9F">
      <w:pPr>
        <w:pStyle w:val="ListParagraph"/>
        <w:numPr>
          <w:ilvl w:val="1"/>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1080"/>
        <w:jc w:val="both"/>
        <w:rPr>
          <w:rFonts w:eastAsia="Times New Roman" w:cs="Tahoma"/>
          <w:sz w:val="20"/>
          <w:szCs w:val="20"/>
          <w:bdr w:val="none" w:sz="0" w:space="0" w:color="auto" w:frame="1"/>
        </w:rPr>
      </w:pPr>
      <w:r w:rsidRPr="00EC55EA">
        <w:rPr>
          <w:rFonts w:asciiTheme="majorHAnsi" w:eastAsia="Times New Roman" w:hAnsiTheme="majorHAnsi" w:cs="Tahoma"/>
          <w:sz w:val="20"/>
          <w:szCs w:val="20"/>
          <w:bdr w:val="none" w:sz="0" w:space="0" w:color="auto"/>
        </w:rPr>
        <w:t xml:space="preserve">Ensure that </w:t>
      </w:r>
      <w:r w:rsidRPr="00EC55EA">
        <w:rPr>
          <w:rFonts w:asciiTheme="majorHAnsi" w:hAnsiTheme="majorHAnsi"/>
          <w:sz w:val="20"/>
          <w:szCs w:val="20"/>
        </w:rPr>
        <w:t>every foreign national deprived of his or her liberty is informed, without delay and prior to his or her first statement, of the right to request that consular authorities be immediately notified of his or her arrest or detention;</w:t>
      </w:r>
      <w:r w:rsidRPr="00EC55EA">
        <w:rPr>
          <w:rFonts w:asciiTheme="majorHAnsi" w:eastAsia="Times New Roman" w:hAnsiTheme="majorHAnsi" w:cs="Tahoma"/>
          <w:sz w:val="20"/>
          <w:szCs w:val="20"/>
          <w:bdr w:val="none" w:sz="0" w:space="0" w:color="auto"/>
        </w:rPr>
        <w:t xml:space="preserve"> and</w:t>
      </w:r>
    </w:p>
    <w:p w14:paraId="4A482D86" w14:textId="77777777" w:rsidR="005D0B9F" w:rsidRPr="00EC55EA" w:rsidRDefault="005D0B9F" w:rsidP="005D0B9F">
      <w:pPr>
        <w:pStyle w:val="ListParagraph"/>
        <w:ind w:left="1080"/>
        <w:rPr>
          <w:sz w:val="20"/>
          <w:szCs w:val="20"/>
          <w:bdr w:val="none" w:sz="0" w:space="0" w:color="auto" w:frame="1"/>
        </w:rPr>
      </w:pPr>
    </w:p>
    <w:p w14:paraId="4E07548E" w14:textId="77777777" w:rsidR="005D0B9F" w:rsidRPr="00EC55EA" w:rsidRDefault="005D0B9F" w:rsidP="005D0B9F">
      <w:pPr>
        <w:pStyle w:val="ListParagraph"/>
        <w:numPr>
          <w:ilvl w:val="1"/>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1080"/>
        <w:jc w:val="both"/>
        <w:rPr>
          <w:rFonts w:eastAsia="Times New Roman" w:cs="Tahoma"/>
          <w:sz w:val="20"/>
          <w:szCs w:val="20"/>
          <w:bdr w:val="none" w:sz="0" w:space="0" w:color="auto" w:frame="1"/>
        </w:rPr>
      </w:pPr>
      <w:r w:rsidRPr="00EC55EA">
        <w:rPr>
          <w:sz w:val="20"/>
          <w:szCs w:val="20"/>
          <w:bdr w:val="none" w:sz="0" w:space="0" w:color="auto" w:frame="1"/>
        </w:rPr>
        <w:t xml:space="preserve">Ensure that court-appointed appellate counsel provides adequate legal representation in death penalty cases. </w:t>
      </w:r>
    </w:p>
    <w:p w14:paraId="0A43B47D" w14:textId="77777777" w:rsidR="005D0B9F" w:rsidRPr="00EC55EA" w:rsidRDefault="005D0B9F" w:rsidP="005D0B9F">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rPr>
          <w:rFonts w:eastAsia="Times New Roman" w:cs="Tahoma"/>
          <w:sz w:val="20"/>
          <w:szCs w:val="20"/>
          <w:bdr w:val="none" w:sz="0" w:space="0" w:color="auto" w:frame="1"/>
        </w:rPr>
      </w:pPr>
    </w:p>
    <w:p w14:paraId="626FDE46" w14:textId="77777777" w:rsidR="005D0B9F" w:rsidRPr="00EC55EA" w:rsidRDefault="005D0B9F" w:rsidP="005D0B9F">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360" w:hanging="360"/>
        <w:jc w:val="both"/>
        <w:rPr>
          <w:rFonts w:eastAsia="Times New Roman" w:cs="Tahoma"/>
          <w:sz w:val="20"/>
          <w:szCs w:val="20"/>
          <w:bdr w:val="none" w:sz="0" w:space="0" w:color="auto" w:frame="1"/>
        </w:rPr>
      </w:pPr>
      <w:r w:rsidRPr="00EC55EA">
        <w:rPr>
          <w:rFonts w:eastAsia="Times New Roman" w:cs="Tahoma"/>
          <w:sz w:val="20"/>
          <w:szCs w:val="20"/>
          <w:bdr w:val="none" w:sz="0" w:space="0" w:color="auto" w:frame="1"/>
        </w:rPr>
        <w:t xml:space="preserve">Ensure that an individual evaluation, in accordance with the principles established in this report, is conducted every time a person is on a hunger strike, to determine the appropriate action plan, respecting their right to autonomy. </w:t>
      </w:r>
    </w:p>
    <w:p w14:paraId="78AF0C7A" w14:textId="77777777" w:rsidR="005D0B9F" w:rsidRPr="00EC55EA" w:rsidRDefault="005D0B9F" w:rsidP="005D0B9F">
      <w:pPr>
        <w:tabs>
          <w:tab w:val="left" w:pos="360"/>
        </w:tabs>
        <w:jc w:val="both"/>
        <w:rPr>
          <w:rFonts w:eastAsia="Times New Roman" w:cs="Tahoma"/>
          <w:sz w:val="20"/>
          <w:szCs w:val="20"/>
          <w:bdr w:val="none" w:sz="0" w:space="0" w:color="auto" w:frame="1"/>
        </w:rPr>
      </w:pPr>
    </w:p>
    <w:p w14:paraId="6E7E977C" w14:textId="77777777" w:rsidR="005D0B9F" w:rsidRPr="00EC55EA" w:rsidRDefault="005D0B9F" w:rsidP="005D0B9F">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360" w:hanging="360"/>
        <w:jc w:val="both"/>
        <w:rPr>
          <w:rFonts w:eastAsia="Times New Roman" w:cs="Tahoma"/>
          <w:sz w:val="20"/>
          <w:szCs w:val="20"/>
          <w:bdr w:val="none" w:sz="0" w:space="0" w:color="auto" w:frame="1"/>
        </w:rPr>
      </w:pPr>
      <w:r w:rsidRPr="00EC55EA">
        <w:rPr>
          <w:rFonts w:asciiTheme="majorHAnsi" w:hAnsiTheme="majorHAnsi"/>
          <w:sz w:val="20"/>
        </w:rPr>
        <w:t xml:space="preserve">Given the violations of the </w:t>
      </w:r>
      <w:r w:rsidRPr="002F3937">
        <w:rPr>
          <w:rFonts w:asciiTheme="majorHAnsi" w:hAnsiTheme="majorHAnsi"/>
          <w:sz w:val="20"/>
        </w:rPr>
        <w:t>American Declaration the IACHR has established in the present</w:t>
      </w:r>
      <w:r w:rsidRPr="002F3937">
        <w:rPr>
          <w:sz w:val="20"/>
        </w:rPr>
        <w:t xml:space="preserve"> case and in others involving application of the death penalty, the Inter-American Commission also recommends to the United States that it abolishes the federal death penalty.</w:t>
      </w:r>
      <w:r w:rsidRPr="002F3937">
        <w:rPr>
          <w:rStyle w:val="FootnoteReference"/>
          <w:sz w:val="20"/>
        </w:rPr>
        <w:footnoteReference w:id="59"/>
      </w:r>
    </w:p>
    <w:p w14:paraId="04476971" w14:textId="77777777" w:rsidR="005D0B9F" w:rsidRDefault="005D0B9F" w:rsidP="00EC55EA">
      <w:pPr>
        <w:rPr>
          <w:rFonts w:asciiTheme="majorHAnsi" w:hAnsiTheme="majorHAnsi"/>
          <w:sz w:val="20"/>
          <w:szCs w:val="20"/>
        </w:rPr>
      </w:pPr>
    </w:p>
    <w:p w14:paraId="4FD4941D" w14:textId="5A148107" w:rsidR="005D0B9F" w:rsidRPr="002B2833" w:rsidRDefault="005D0B9F" w:rsidP="005D0B9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540"/>
          <w:tab w:val="left" w:pos="1440"/>
        </w:tabs>
        <w:ind w:left="0" w:firstLine="0"/>
        <w:jc w:val="both"/>
        <w:rPr>
          <w:sz w:val="20"/>
          <w:szCs w:val="20"/>
        </w:rPr>
      </w:pPr>
      <w:r w:rsidRPr="002B2833">
        <w:rPr>
          <w:sz w:val="20"/>
          <w:szCs w:val="20"/>
        </w:rPr>
        <w:t xml:space="preserve">On </w:t>
      </w:r>
      <w:r w:rsidR="00562D50" w:rsidRPr="002B2833">
        <w:rPr>
          <w:rFonts w:ascii="Cambria" w:eastAsia="Cambria" w:hAnsi="Cambria" w:cs="Cambria"/>
          <w:color w:val="000000"/>
          <w:sz w:val="20"/>
          <w:szCs w:val="20"/>
          <w:u w:color="000000"/>
          <w:lang w:eastAsia="es-ES"/>
        </w:rPr>
        <w:t>July</w:t>
      </w:r>
      <w:r w:rsidRPr="002B2833">
        <w:rPr>
          <w:sz w:val="20"/>
          <w:szCs w:val="20"/>
        </w:rPr>
        <w:t xml:space="preserve"> 2, 2020 the IACHR transmitted the report to the State with a time period of two months to inform the Commission on the measures taken to comply with its recommendations. To date, the Commission has not received any response from the United States regarding report No. </w:t>
      </w:r>
      <w:r w:rsidR="00562D50" w:rsidRPr="002B2833">
        <w:rPr>
          <w:sz w:val="20"/>
          <w:szCs w:val="20"/>
        </w:rPr>
        <w:t>10</w:t>
      </w:r>
      <w:r w:rsidRPr="002B2833">
        <w:rPr>
          <w:sz w:val="20"/>
          <w:szCs w:val="20"/>
        </w:rPr>
        <w:t>/</w:t>
      </w:r>
      <w:r w:rsidR="00562D50" w:rsidRPr="002B2833">
        <w:rPr>
          <w:sz w:val="20"/>
          <w:szCs w:val="20"/>
        </w:rPr>
        <w:t>20</w:t>
      </w:r>
      <w:r w:rsidRPr="002B2833">
        <w:rPr>
          <w:sz w:val="20"/>
          <w:szCs w:val="20"/>
        </w:rPr>
        <w:t>.</w:t>
      </w:r>
    </w:p>
    <w:p w14:paraId="2E555780" w14:textId="77777777" w:rsidR="002B2833" w:rsidRPr="00B645F5" w:rsidRDefault="002B2833" w:rsidP="002B2833">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360"/>
        </w:tabs>
        <w:jc w:val="both"/>
        <w:rPr>
          <w:rFonts w:asciiTheme="majorHAnsi" w:hAnsiTheme="majorHAnsi"/>
          <w:color w:val="000000" w:themeColor="text1"/>
          <w:sz w:val="20"/>
          <w:szCs w:val="20"/>
        </w:rPr>
      </w:pPr>
    </w:p>
    <w:p w14:paraId="1B0AA165" w14:textId="6F4772E0" w:rsidR="002B2833" w:rsidRPr="008647B6" w:rsidRDefault="002B2833" w:rsidP="002B2833">
      <w:pPr>
        <w:pStyle w:val="Heading1"/>
        <w:spacing w:before="0"/>
        <w:ind w:hanging="720"/>
        <w:rPr>
          <w:color w:val="auto"/>
          <w:sz w:val="20"/>
          <w:szCs w:val="20"/>
        </w:rPr>
      </w:pPr>
      <w:bookmarkStart w:id="33" w:name="_Toc26550943"/>
      <w:bookmarkStart w:id="34" w:name="_Toc87522016"/>
      <w:bookmarkStart w:id="35" w:name="_Toc90115136"/>
      <w:bookmarkStart w:id="36" w:name="_Toc90283315"/>
      <w:bookmarkStart w:id="37" w:name="_Toc90284149"/>
      <w:bookmarkStart w:id="38" w:name="_Toc150524397"/>
      <w:r w:rsidRPr="008647B6">
        <w:rPr>
          <w:color w:val="auto"/>
          <w:sz w:val="20"/>
          <w:szCs w:val="20"/>
        </w:rPr>
        <w:t>ACTIONS SUBSEQUENT TO REPORT No. 3</w:t>
      </w:r>
      <w:r w:rsidR="00EC7B4D" w:rsidRPr="008647B6">
        <w:rPr>
          <w:color w:val="auto"/>
          <w:sz w:val="20"/>
          <w:szCs w:val="20"/>
        </w:rPr>
        <w:t>30</w:t>
      </w:r>
      <w:r w:rsidRPr="008647B6">
        <w:rPr>
          <w:color w:val="auto"/>
          <w:sz w:val="20"/>
          <w:szCs w:val="20"/>
        </w:rPr>
        <w:t>/</w:t>
      </w:r>
      <w:bookmarkEnd w:id="33"/>
      <w:r w:rsidRPr="008647B6">
        <w:rPr>
          <w:color w:val="auto"/>
          <w:sz w:val="20"/>
          <w:szCs w:val="20"/>
        </w:rPr>
        <w:t>2</w:t>
      </w:r>
      <w:bookmarkEnd w:id="34"/>
      <w:r w:rsidRPr="008647B6">
        <w:rPr>
          <w:color w:val="auto"/>
          <w:sz w:val="20"/>
          <w:szCs w:val="20"/>
        </w:rPr>
        <w:t>1</w:t>
      </w:r>
      <w:bookmarkEnd w:id="35"/>
      <w:bookmarkEnd w:id="36"/>
      <w:bookmarkEnd w:id="37"/>
      <w:bookmarkEnd w:id="38"/>
    </w:p>
    <w:p w14:paraId="01DE55A5" w14:textId="77777777" w:rsidR="002B2833" w:rsidRPr="008647B6" w:rsidRDefault="002B2833" w:rsidP="002B2833">
      <w:pPr>
        <w:rPr>
          <w:sz w:val="20"/>
          <w:szCs w:val="20"/>
        </w:rPr>
      </w:pPr>
    </w:p>
    <w:p w14:paraId="49884606" w14:textId="47FB8005" w:rsidR="002B2833" w:rsidRPr="008647B6" w:rsidRDefault="002B2833" w:rsidP="002B283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540"/>
          <w:tab w:val="num" w:pos="720"/>
          <w:tab w:val="left" w:pos="1440"/>
        </w:tabs>
        <w:ind w:left="0" w:firstLine="0"/>
        <w:jc w:val="both"/>
        <w:rPr>
          <w:sz w:val="20"/>
          <w:szCs w:val="20"/>
        </w:rPr>
      </w:pPr>
      <w:r w:rsidRPr="008647B6">
        <w:rPr>
          <w:sz w:val="20"/>
          <w:szCs w:val="20"/>
        </w:rPr>
        <w:t>On</w:t>
      </w:r>
      <w:r w:rsidRPr="008647B6">
        <w:rPr>
          <w:rFonts w:ascii="Cambria" w:hAnsi="Cambria"/>
          <w:sz w:val="20"/>
          <w:szCs w:val="20"/>
        </w:rPr>
        <w:t xml:space="preserve"> November 19, 2021, the Commission approved Final Merits Report No. 3</w:t>
      </w:r>
      <w:r w:rsidR="00F435AC" w:rsidRPr="008647B6">
        <w:rPr>
          <w:rFonts w:ascii="Cambria" w:hAnsi="Cambria"/>
          <w:sz w:val="20"/>
          <w:szCs w:val="20"/>
        </w:rPr>
        <w:t>30</w:t>
      </w:r>
      <w:r w:rsidRPr="008647B6">
        <w:rPr>
          <w:rFonts w:ascii="Cambria" w:hAnsi="Cambria"/>
          <w:sz w:val="20"/>
          <w:szCs w:val="20"/>
        </w:rPr>
        <w:t xml:space="preserve">/21, which encompasses paragraphs 1 to </w:t>
      </w:r>
      <w:r w:rsidR="00F435AC" w:rsidRPr="008647B6">
        <w:rPr>
          <w:rFonts w:ascii="Cambria" w:hAnsi="Cambria"/>
          <w:sz w:val="20"/>
          <w:szCs w:val="20"/>
        </w:rPr>
        <w:t>80</w:t>
      </w:r>
      <w:r w:rsidRPr="008647B6">
        <w:rPr>
          <w:rFonts w:ascii="Cambria" w:hAnsi="Cambria"/>
          <w:sz w:val="20"/>
          <w:szCs w:val="20"/>
        </w:rPr>
        <w:t xml:space="preserve"> </w:t>
      </w:r>
      <w:r w:rsidRPr="008647B6">
        <w:rPr>
          <w:rFonts w:ascii="Cambria" w:hAnsi="Cambria"/>
          <w:i/>
          <w:sz w:val="20"/>
          <w:szCs w:val="20"/>
        </w:rPr>
        <w:t>supra</w:t>
      </w:r>
      <w:r w:rsidRPr="008647B6">
        <w:rPr>
          <w:rFonts w:ascii="Cambria" w:hAnsi="Cambria"/>
          <w:sz w:val="20"/>
          <w:szCs w:val="20"/>
        </w:rPr>
        <w:t xml:space="preserve">, and issued its final conclusions and recommendations to the State. On </w:t>
      </w:r>
      <w:r w:rsidR="00885446" w:rsidRPr="008647B6">
        <w:rPr>
          <w:rFonts w:ascii="Cambria" w:hAnsi="Cambria"/>
          <w:sz w:val="20"/>
          <w:szCs w:val="20"/>
        </w:rPr>
        <w:t>Dec</w:t>
      </w:r>
      <w:r w:rsidRPr="008647B6">
        <w:rPr>
          <w:rFonts w:ascii="Cambria" w:hAnsi="Cambria"/>
          <w:sz w:val="20"/>
          <w:szCs w:val="20"/>
        </w:rPr>
        <w:t xml:space="preserve">ember </w:t>
      </w:r>
      <w:r w:rsidR="00885446" w:rsidRPr="008647B6">
        <w:rPr>
          <w:rFonts w:ascii="Cambria" w:hAnsi="Cambria"/>
          <w:sz w:val="20"/>
          <w:szCs w:val="20"/>
        </w:rPr>
        <w:t>1</w:t>
      </w:r>
      <w:r w:rsidRPr="008647B6">
        <w:rPr>
          <w:rFonts w:ascii="Cambria" w:hAnsi="Cambria"/>
          <w:sz w:val="20"/>
          <w:szCs w:val="20"/>
        </w:rPr>
        <w:t>, 2021, the Commission transmitted the report to the State and the petitioners with a time period of three weeks to inform the Inter-American Commission on the measures taken to comply with its recommendations. To date, the IACHR has not received any response from the United States or the petitioners regarding Report No. 3</w:t>
      </w:r>
      <w:r w:rsidR="00F435AC" w:rsidRPr="008647B6">
        <w:rPr>
          <w:rFonts w:ascii="Cambria" w:hAnsi="Cambria"/>
          <w:sz w:val="20"/>
          <w:szCs w:val="20"/>
        </w:rPr>
        <w:t>30</w:t>
      </w:r>
      <w:r w:rsidRPr="008647B6">
        <w:rPr>
          <w:rFonts w:ascii="Cambria" w:hAnsi="Cambria"/>
          <w:sz w:val="20"/>
          <w:szCs w:val="20"/>
        </w:rPr>
        <w:t>/21.</w:t>
      </w:r>
    </w:p>
    <w:p w14:paraId="2BFD4539" w14:textId="77777777" w:rsidR="002B2833" w:rsidRPr="00EC55EA" w:rsidRDefault="002B2833" w:rsidP="00EC55EA">
      <w:pPr>
        <w:rPr>
          <w:rFonts w:asciiTheme="majorHAnsi" w:hAnsiTheme="majorHAnsi"/>
          <w:sz w:val="20"/>
          <w:szCs w:val="20"/>
        </w:rPr>
      </w:pPr>
    </w:p>
    <w:p w14:paraId="6F9325E1" w14:textId="6D013B56" w:rsidR="00C55560" w:rsidRPr="002B2833" w:rsidRDefault="005D0B9F" w:rsidP="00EC55EA">
      <w:pPr>
        <w:pStyle w:val="Heading1"/>
        <w:tabs>
          <w:tab w:val="left" w:pos="360"/>
        </w:tabs>
        <w:spacing w:before="0"/>
        <w:ind w:hanging="720"/>
        <w:rPr>
          <w:color w:val="auto"/>
          <w:sz w:val="20"/>
          <w:szCs w:val="20"/>
        </w:rPr>
      </w:pPr>
      <w:bookmarkStart w:id="39" w:name="_Toc150524398"/>
      <w:r w:rsidRPr="002B2833">
        <w:rPr>
          <w:color w:val="auto"/>
          <w:sz w:val="20"/>
          <w:szCs w:val="20"/>
        </w:rPr>
        <w:t xml:space="preserve">FINAL </w:t>
      </w:r>
      <w:r w:rsidR="00677DA7" w:rsidRPr="002B2833">
        <w:rPr>
          <w:color w:val="auto"/>
          <w:sz w:val="20"/>
          <w:szCs w:val="20"/>
        </w:rPr>
        <w:t>CONCLUSIONS AND RECOMMENDATIONS</w:t>
      </w:r>
      <w:bookmarkEnd w:id="39"/>
    </w:p>
    <w:p w14:paraId="7B212976" w14:textId="77777777" w:rsidR="00BC5766" w:rsidRPr="002B2833" w:rsidRDefault="00BC5766" w:rsidP="00EC55EA"/>
    <w:p w14:paraId="42409678" w14:textId="77777777" w:rsidR="00BC5766" w:rsidRPr="002B2833" w:rsidRDefault="00BC5766" w:rsidP="00EC55E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360"/>
        </w:tabs>
        <w:ind w:left="0" w:firstLine="0"/>
        <w:jc w:val="both"/>
        <w:rPr>
          <w:rFonts w:ascii="Cambria" w:hAnsi="Cambria"/>
          <w:sz w:val="20"/>
          <w:szCs w:val="20"/>
        </w:rPr>
      </w:pPr>
      <w:r w:rsidRPr="002B2833">
        <w:rPr>
          <w:rFonts w:asciiTheme="majorHAnsi" w:hAnsiTheme="majorHAnsi"/>
          <w:color w:val="000000" w:themeColor="text1"/>
          <w:sz w:val="20"/>
          <w:szCs w:val="20"/>
        </w:rPr>
        <w:t xml:space="preserve">On the basis of determinations of fact and law, the Inter-American Commission concludes that the State is responsible for the violation of Articles I (life, liberty, and security), XVIII (fair trial), XXV (protection from arbitrary detention), and XXVI (due process) of the American Declaration. </w:t>
      </w:r>
    </w:p>
    <w:p w14:paraId="4E7BE764" w14:textId="77777777" w:rsidR="007944C5" w:rsidRPr="002B2833" w:rsidRDefault="007944C5" w:rsidP="00EC55EA">
      <w:pPr>
        <w:tabs>
          <w:tab w:val="left" w:pos="360"/>
        </w:tabs>
        <w:jc w:val="both"/>
        <w:rPr>
          <w:rFonts w:ascii="Cambria" w:hAnsi="Cambria"/>
          <w:b/>
          <w:sz w:val="20"/>
          <w:szCs w:val="20"/>
        </w:rPr>
      </w:pPr>
    </w:p>
    <w:p w14:paraId="24183561" w14:textId="507E1450" w:rsidR="00BC5766" w:rsidRPr="00EC55EA" w:rsidRDefault="00BC5766" w:rsidP="00EC55EA">
      <w:pPr>
        <w:tabs>
          <w:tab w:val="left" w:pos="360"/>
        </w:tabs>
        <w:jc w:val="both"/>
        <w:rPr>
          <w:rFonts w:ascii="Cambria" w:hAnsi="Cambria"/>
          <w:b/>
          <w:sz w:val="20"/>
          <w:szCs w:val="20"/>
        </w:rPr>
      </w:pPr>
      <w:r w:rsidRPr="002B2833">
        <w:rPr>
          <w:rFonts w:ascii="Cambria" w:hAnsi="Cambria"/>
          <w:b/>
          <w:sz w:val="20"/>
          <w:szCs w:val="20"/>
        </w:rPr>
        <w:t>THE INTER-AMERICAN COMMISSION ON HUMAN RIGHTS RE</w:t>
      </w:r>
      <w:r w:rsidR="005D0B9F" w:rsidRPr="002B2833">
        <w:rPr>
          <w:rFonts w:ascii="Cambria" w:hAnsi="Cambria"/>
          <w:b/>
          <w:sz w:val="20"/>
          <w:szCs w:val="20"/>
        </w:rPr>
        <w:t>ITERATES</w:t>
      </w:r>
      <w:r w:rsidRPr="00EC55EA">
        <w:rPr>
          <w:rFonts w:ascii="Cambria" w:hAnsi="Cambria"/>
          <w:b/>
          <w:sz w:val="20"/>
          <w:szCs w:val="20"/>
        </w:rPr>
        <w:t xml:space="preserve"> THAT THE UNITED STATES OF AMERICA,</w:t>
      </w:r>
    </w:p>
    <w:p w14:paraId="4FC4A055" w14:textId="77777777" w:rsidR="00AA3C9F" w:rsidRPr="00EC55EA" w:rsidRDefault="00AA3C9F" w:rsidP="00EC55EA"/>
    <w:p w14:paraId="4547AB67" w14:textId="057D6B40" w:rsidR="002237F3" w:rsidRPr="00EC55EA" w:rsidRDefault="00AA3C9F" w:rsidP="0096077B">
      <w:pPr>
        <w:pStyle w:val="ListParagraph"/>
        <w:numPr>
          <w:ilvl w:val="3"/>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360"/>
        <w:jc w:val="both"/>
        <w:rPr>
          <w:rFonts w:eastAsia="Times New Roman" w:cs="Tahoma"/>
          <w:sz w:val="20"/>
          <w:szCs w:val="20"/>
          <w:bdr w:val="none" w:sz="0" w:space="0" w:color="auto" w:frame="1"/>
        </w:rPr>
      </w:pPr>
      <w:r w:rsidRPr="00EC55EA">
        <w:rPr>
          <w:rFonts w:eastAsia="Times New Roman" w:cs="Tahoma"/>
          <w:sz w:val="20"/>
          <w:szCs w:val="20"/>
          <w:bdr w:val="none" w:sz="0" w:space="0" w:color="auto" w:frame="1"/>
        </w:rPr>
        <w:t xml:space="preserve">Grant </w:t>
      </w:r>
      <w:r w:rsidR="00887E8A" w:rsidRPr="00EC55EA">
        <w:rPr>
          <w:rFonts w:asciiTheme="majorHAnsi" w:hAnsiTheme="majorHAnsi"/>
          <w:color w:val="auto"/>
          <w:sz w:val="20"/>
          <w:szCs w:val="20"/>
        </w:rPr>
        <w:t>Jurijus Kadamovas and Robert Bolden</w:t>
      </w:r>
      <w:r w:rsidRPr="00EC55EA">
        <w:rPr>
          <w:rFonts w:eastAsia="Times New Roman" w:cs="Tahoma"/>
          <w:sz w:val="20"/>
          <w:szCs w:val="20"/>
          <w:bdr w:val="none" w:sz="0" w:space="0" w:color="auto" w:frame="1"/>
        </w:rPr>
        <w:t xml:space="preserve"> effective rel</w:t>
      </w:r>
      <w:r w:rsidR="00887E8A" w:rsidRPr="00EC55EA">
        <w:rPr>
          <w:rFonts w:eastAsia="Times New Roman" w:cs="Tahoma"/>
          <w:sz w:val="20"/>
          <w:szCs w:val="20"/>
          <w:bdr w:val="none" w:sz="0" w:space="0" w:color="auto" w:frame="1"/>
        </w:rPr>
        <w:t>ief, including the review of their</w:t>
      </w:r>
      <w:r w:rsidRPr="00EC55EA">
        <w:rPr>
          <w:rFonts w:eastAsia="Times New Roman" w:cs="Tahoma"/>
          <w:sz w:val="20"/>
          <w:szCs w:val="20"/>
          <w:bdr w:val="none" w:sz="0" w:space="0" w:color="auto" w:frame="1"/>
        </w:rPr>
        <w:t xml:space="preserve"> trial</w:t>
      </w:r>
      <w:r w:rsidR="00887E8A" w:rsidRPr="00EC55EA">
        <w:rPr>
          <w:rFonts w:eastAsia="Times New Roman" w:cs="Tahoma"/>
          <w:sz w:val="20"/>
          <w:szCs w:val="20"/>
          <w:bdr w:val="none" w:sz="0" w:space="0" w:color="auto" w:frame="1"/>
        </w:rPr>
        <w:t>s</w:t>
      </w:r>
      <w:r w:rsidRPr="00EC55EA">
        <w:rPr>
          <w:rFonts w:eastAsia="Times New Roman" w:cs="Tahoma"/>
          <w:sz w:val="20"/>
          <w:szCs w:val="20"/>
          <w:bdr w:val="none" w:sz="0" w:space="0" w:color="auto" w:frame="1"/>
        </w:rPr>
        <w:t xml:space="preserve"> and sentence</w:t>
      </w:r>
      <w:r w:rsidR="00887E8A" w:rsidRPr="00EC55EA">
        <w:rPr>
          <w:rFonts w:eastAsia="Times New Roman" w:cs="Tahoma"/>
          <w:sz w:val="20"/>
          <w:szCs w:val="20"/>
          <w:bdr w:val="none" w:sz="0" w:space="0" w:color="auto" w:frame="1"/>
        </w:rPr>
        <w:t>s</w:t>
      </w:r>
      <w:r w:rsidRPr="00EC55EA">
        <w:rPr>
          <w:rFonts w:eastAsia="Times New Roman" w:cs="Tahoma"/>
          <w:sz w:val="20"/>
          <w:szCs w:val="20"/>
          <w:bdr w:val="none" w:sz="0" w:space="0" w:color="auto" w:frame="1"/>
        </w:rPr>
        <w:t xml:space="preserve"> in accordance with the guarantees of fair trial and due process set forth in Articles </w:t>
      </w:r>
      <w:r w:rsidRPr="00EC55EA">
        <w:rPr>
          <w:rFonts w:asciiTheme="majorHAnsi" w:hAnsiTheme="majorHAnsi"/>
          <w:color w:val="000000" w:themeColor="text1"/>
          <w:sz w:val="20"/>
          <w:szCs w:val="20"/>
        </w:rPr>
        <w:t xml:space="preserve">XVIII, and XXVI </w:t>
      </w:r>
      <w:r w:rsidRPr="00EC55EA">
        <w:rPr>
          <w:rFonts w:eastAsia="Times New Roman" w:cs="Tahoma"/>
          <w:sz w:val="20"/>
          <w:szCs w:val="20"/>
          <w:bdr w:val="none" w:sz="0" w:space="0" w:color="auto" w:frame="1"/>
        </w:rPr>
        <w:t xml:space="preserve">of the American Declaration, and the payment of pecuniary compensation. </w:t>
      </w:r>
      <w:r w:rsidRPr="00EC55EA">
        <w:rPr>
          <w:rFonts w:cs="Arial"/>
          <w:color w:val="auto"/>
          <w:sz w:val="20"/>
          <w:szCs w:val="20"/>
        </w:rPr>
        <w:t xml:space="preserve">Taking into account the conclusions of the IACHR on the time </w:t>
      </w:r>
      <w:r w:rsidR="00887E8A" w:rsidRPr="00EC55EA">
        <w:rPr>
          <w:rFonts w:asciiTheme="majorHAnsi" w:hAnsiTheme="majorHAnsi"/>
          <w:color w:val="auto"/>
          <w:sz w:val="20"/>
          <w:szCs w:val="20"/>
        </w:rPr>
        <w:t>the alleged victims have</w:t>
      </w:r>
      <w:r w:rsidRPr="00EC55EA">
        <w:rPr>
          <w:rFonts w:cs="Arial"/>
          <w:color w:val="auto"/>
          <w:sz w:val="20"/>
          <w:szCs w:val="20"/>
        </w:rPr>
        <w:t xml:space="preserve"> been held on death row, the Commission recommends that </w:t>
      </w:r>
      <w:r w:rsidR="00362872" w:rsidRPr="00EC55EA">
        <w:rPr>
          <w:rFonts w:cs="Arial"/>
          <w:color w:val="auto"/>
          <w:sz w:val="20"/>
          <w:szCs w:val="20"/>
        </w:rPr>
        <w:t>their</w:t>
      </w:r>
      <w:r w:rsidRPr="00EC55EA">
        <w:rPr>
          <w:rFonts w:cs="Arial"/>
          <w:color w:val="auto"/>
          <w:sz w:val="20"/>
          <w:szCs w:val="20"/>
        </w:rPr>
        <w:t xml:space="preserve"> sentence</w:t>
      </w:r>
      <w:r w:rsidR="00362872" w:rsidRPr="00EC55EA">
        <w:rPr>
          <w:rFonts w:cs="Arial"/>
          <w:color w:val="auto"/>
          <w:sz w:val="20"/>
          <w:szCs w:val="20"/>
        </w:rPr>
        <w:t>s</w:t>
      </w:r>
      <w:r w:rsidRPr="00EC55EA">
        <w:rPr>
          <w:rFonts w:cs="Arial"/>
          <w:color w:val="auto"/>
          <w:sz w:val="20"/>
          <w:szCs w:val="20"/>
        </w:rPr>
        <w:t xml:space="preserve"> be commuted</w:t>
      </w:r>
      <w:r w:rsidRPr="00EC55EA">
        <w:rPr>
          <w:rFonts w:eastAsia="Times New Roman" w:cs="Tahoma"/>
          <w:sz w:val="20"/>
          <w:szCs w:val="20"/>
          <w:bdr w:val="none" w:sz="0" w:space="0" w:color="auto" w:frame="1"/>
        </w:rPr>
        <w:t>.</w:t>
      </w:r>
    </w:p>
    <w:p w14:paraId="6987760B" w14:textId="77777777" w:rsidR="002237F3" w:rsidRPr="00EC55EA" w:rsidRDefault="002237F3" w:rsidP="00EC55EA">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360"/>
        <w:jc w:val="both"/>
        <w:rPr>
          <w:rFonts w:eastAsia="Times New Roman" w:cs="Tahoma"/>
          <w:sz w:val="20"/>
          <w:szCs w:val="20"/>
          <w:bdr w:val="none" w:sz="0" w:space="0" w:color="auto" w:frame="1"/>
        </w:rPr>
      </w:pPr>
    </w:p>
    <w:p w14:paraId="0CC865DB" w14:textId="77777777" w:rsidR="000060AC" w:rsidRPr="00EC55EA" w:rsidRDefault="00AA3C9F" w:rsidP="0096077B">
      <w:pPr>
        <w:pStyle w:val="ListParagraph"/>
        <w:numPr>
          <w:ilvl w:val="3"/>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360"/>
        <w:jc w:val="both"/>
        <w:rPr>
          <w:rFonts w:eastAsia="Times New Roman" w:cs="Tahoma"/>
          <w:sz w:val="20"/>
          <w:szCs w:val="20"/>
          <w:bdr w:val="none" w:sz="0" w:space="0" w:color="auto" w:frame="1"/>
        </w:rPr>
      </w:pPr>
      <w:r w:rsidRPr="00EC55EA">
        <w:rPr>
          <w:sz w:val="20"/>
        </w:rPr>
        <w:t xml:space="preserve">Review its laws, procedures, and practices </w:t>
      </w:r>
      <w:r w:rsidR="00E67CBA" w:rsidRPr="00EC55EA">
        <w:rPr>
          <w:sz w:val="20"/>
        </w:rPr>
        <w:t xml:space="preserve">at the federal level </w:t>
      </w:r>
      <w:r w:rsidRPr="00EC55EA">
        <w:rPr>
          <w:sz w:val="20"/>
        </w:rPr>
        <w:t>to ensure that persons accused of capital crimes are tried and, if convicted, sentenced in accordance with the rights established in the American Dec</w:t>
      </w:r>
      <w:r w:rsidR="00FD50E1" w:rsidRPr="00EC55EA">
        <w:rPr>
          <w:sz w:val="20"/>
        </w:rPr>
        <w:t>laration, including Articles I</w:t>
      </w:r>
      <w:r w:rsidR="00125C97" w:rsidRPr="00EC55EA">
        <w:rPr>
          <w:sz w:val="20"/>
        </w:rPr>
        <w:t xml:space="preserve">, </w:t>
      </w:r>
      <w:r w:rsidRPr="00EC55EA">
        <w:rPr>
          <w:sz w:val="20"/>
        </w:rPr>
        <w:t>XVIII, XXV and XXVI thereof</w:t>
      </w:r>
      <w:bookmarkStart w:id="40" w:name="_ftn34"/>
      <w:bookmarkEnd w:id="40"/>
      <w:r w:rsidR="000060AC" w:rsidRPr="00EC55EA">
        <w:rPr>
          <w:sz w:val="20"/>
        </w:rPr>
        <w:t>, and, in particular:</w:t>
      </w:r>
    </w:p>
    <w:p w14:paraId="7EF83E93" w14:textId="77777777" w:rsidR="000060AC" w:rsidRPr="00EC55EA" w:rsidRDefault="000060AC" w:rsidP="00EC55EA">
      <w:pPr>
        <w:pStyle w:val="ListParagraph"/>
        <w:rPr>
          <w:rFonts w:asciiTheme="majorHAnsi" w:eastAsia="Times New Roman" w:hAnsiTheme="majorHAnsi" w:cs="Tahoma"/>
          <w:sz w:val="20"/>
          <w:szCs w:val="20"/>
          <w:bdr w:val="none" w:sz="0" w:space="0" w:color="auto"/>
        </w:rPr>
      </w:pPr>
    </w:p>
    <w:p w14:paraId="14857A34" w14:textId="0C917F41" w:rsidR="000060AC" w:rsidRPr="00EC55EA" w:rsidRDefault="000060AC" w:rsidP="00E57D5D">
      <w:pPr>
        <w:pStyle w:val="ListParagraph"/>
        <w:numPr>
          <w:ilvl w:val="4"/>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1080"/>
        <w:jc w:val="both"/>
        <w:rPr>
          <w:rFonts w:eastAsia="Times New Roman" w:cs="Tahoma"/>
          <w:sz w:val="20"/>
          <w:szCs w:val="20"/>
          <w:bdr w:val="none" w:sz="0" w:space="0" w:color="auto" w:frame="1"/>
        </w:rPr>
      </w:pPr>
      <w:r w:rsidRPr="00EC55EA">
        <w:rPr>
          <w:rFonts w:asciiTheme="majorHAnsi" w:eastAsia="Times New Roman" w:hAnsiTheme="majorHAnsi" w:cs="Tahoma"/>
          <w:sz w:val="20"/>
          <w:szCs w:val="20"/>
          <w:bdr w:val="none" w:sz="0" w:space="0" w:color="auto"/>
        </w:rPr>
        <w:lastRenderedPageBreak/>
        <w:t xml:space="preserve">Ensure that </w:t>
      </w:r>
      <w:r w:rsidRPr="00EC55EA">
        <w:rPr>
          <w:rFonts w:asciiTheme="majorHAnsi" w:hAnsiTheme="majorHAnsi"/>
          <w:sz w:val="20"/>
          <w:szCs w:val="20"/>
        </w:rPr>
        <w:t>every foreign national deprived of his or her liberty is informed, without delay and prior to his or her first statement, of the right to request that consular authorities be immediately notified of his or her arrest or detention;</w:t>
      </w:r>
      <w:r w:rsidRPr="00EC55EA">
        <w:rPr>
          <w:rFonts w:asciiTheme="majorHAnsi" w:eastAsia="Times New Roman" w:hAnsiTheme="majorHAnsi" w:cs="Tahoma"/>
          <w:sz w:val="20"/>
          <w:szCs w:val="20"/>
          <w:bdr w:val="none" w:sz="0" w:space="0" w:color="auto"/>
        </w:rPr>
        <w:t xml:space="preserve"> and</w:t>
      </w:r>
    </w:p>
    <w:p w14:paraId="5FADC679" w14:textId="77777777" w:rsidR="000060AC" w:rsidRPr="00EC55EA" w:rsidRDefault="000060AC" w:rsidP="00EC55EA">
      <w:pPr>
        <w:pStyle w:val="ListParagraph"/>
        <w:ind w:left="1080"/>
        <w:rPr>
          <w:sz w:val="20"/>
          <w:szCs w:val="20"/>
          <w:bdr w:val="none" w:sz="0" w:space="0" w:color="auto" w:frame="1"/>
        </w:rPr>
      </w:pPr>
    </w:p>
    <w:p w14:paraId="28A408E5" w14:textId="77777777" w:rsidR="002237F3" w:rsidRPr="00EC55EA" w:rsidRDefault="000060AC" w:rsidP="00EC55EA">
      <w:pPr>
        <w:pStyle w:val="ListParagraph"/>
        <w:numPr>
          <w:ilvl w:val="1"/>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1080"/>
        <w:jc w:val="both"/>
        <w:rPr>
          <w:rFonts w:eastAsia="Times New Roman" w:cs="Tahoma"/>
          <w:sz w:val="20"/>
          <w:szCs w:val="20"/>
          <w:bdr w:val="none" w:sz="0" w:space="0" w:color="auto" w:frame="1"/>
        </w:rPr>
      </w:pPr>
      <w:r w:rsidRPr="00EC55EA">
        <w:rPr>
          <w:sz w:val="20"/>
          <w:szCs w:val="20"/>
          <w:bdr w:val="none" w:sz="0" w:space="0" w:color="auto" w:frame="1"/>
        </w:rPr>
        <w:t xml:space="preserve">Ensure that court-appointed appellate counsel provides adequate legal representation in death penalty cases. </w:t>
      </w:r>
    </w:p>
    <w:p w14:paraId="4F477ED6" w14:textId="77777777" w:rsidR="0096077B" w:rsidRPr="0096077B" w:rsidRDefault="0096077B" w:rsidP="0096077B">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360"/>
        <w:jc w:val="both"/>
        <w:rPr>
          <w:rFonts w:eastAsia="Times New Roman" w:cs="Tahoma"/>
          <w:sz w:val="20"/>
          <w:szCs w:val="20"/>
          <w:bdr w:val="none" w:sz="0" w:space="0" w:color="auto" w:frame="1"/>
        </w:rPr>
      </w:pPr>
    </w:p>
    <w:p w14:paraId="717C62AB" w14:textId="3EED2185" w:rsidR="002237F3" w:rsidRPr="0096077B" w:rsidRDefault="00480FC3" w:rsidP="0096077B">
      <w:pPr>
        <w:pStyle w:val="ListParagraph"/>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360"/>
        <w:jc w:val="both"/>
        <w:rPr>
          <w:rFonts w:eastAsia="Times New Roman" w:cs="Tahoma"/>
          <w:sz w:val="20"/>
          <w:szCs w:val="20"/>
          <w:bdr w:val="none" w:sz="0" w:space="0" w:color="auto" w:frame="1"/>
        </w:rPr>
      </w:pPr>
      <w:r w:rsidRPr="0096077B">
        <w:rPr>
          <w:sz w:val="20"/>
        </w:rPr>
        <w:t>Ensure</w:t>
      </w:r>
      <w:r w:rsidRPr="0096077B">
        <w:rPr>
          <w:rFonts w:eastAsia="Times New Roman" w:cs="Tahoma"/>
          <w:sz w:val="20"/>
          <w:szCs w:val="20"/>
          <w:bdr w:val="none" w:sz="0" w:space="0" w:color="auto" w:frame="1"/>
        </w:rPr>
        <w:t xml:space="preserve"> </w:t>
      </w:r>
      <w:r w:rsidR="00A12196" w:rsidRPr="0096077B">
        <w:rPr>
          <w:rFonts w:eastAsia="Times New Roman" w:cs="Tahoma"/>
          <w:sz w:val="20"/>
          <w:szCs w:val="20"/>
          <w:bdr w:val="none" w:sz="0" w:space="0" w:color="auto" w:frame="1"/>
        </w:rPr>
        <w:t xml:space="preserve">that </w:t>
      </w:r>
      <w:r w:rsidR="002D7148" w:rsidRPr="0096077B">
        <w:rPr>
          <w:rFonts w:eastAsia="Times New Roman" w:cs="Tahoma"/>
          <w:sz w:val="20"/>
          <w:szCs w:val="20"/>
          <w:bdr w:val="none" w:sz="0" w:space="0" w:color="auto" w:frame="1"/>
        </w:rPr>
        <w:t xml:space="preserve">an individual </w:t>
      </w:r>
      <w:r w:rsidR="00561869" w:rsidRPr="0096077B">
        <w:rPr>
          <w:rFonts w:eastAsia="Times New Roman" w:cs="Tahoma"/>
          <w:sz w:val="20"/>
          <w:szCs w:val="20"/>
          <w:bdr w:val="none" w:sz="0" w:space="0" w:color="auto" w:frame="1"/>
        </w:rPr>
        <w:t>evaluation, in accordance with the principles established in this report,</w:t>
      </w:r>
      <w:r w:rsidR="002D7148" w:rsidRPr="0096077B">
        <w:rPr>
          <w:rFonts w:eastAsia="Times New Roman" w:cs="Tahoma"/>
          <w:sz w:val="20"/>
          <w:szCs w:val="20"/>
          <w:bdr w:val="none" w:sz="0" w:space="0" w:color="auto" w:frame="1"/>
        </w:rPr>
        <w:t xml:space="preserve"> is conducted every time a person is </w:t>
      </w:r>
      <w:r w:rsidR="00561869" w:rsidRPr="0096077B">
        <w:rPr>
          <w:rFonts w:eastAsia="Times New Roman" w:cs="Tahoma"/>
          <w:sz w:val="20"/>
          <w:szCs w:val="20"/>
          <w:bdr w:val="none" w:sz="0" w:space="0" w:color="auto" w:frame="1"/>
        </w:rPr>
        <w:t>o</w:t>
      </w:r>
      <w:r w:rsidR="002D7148" w:rsidRPr="0096077B">
        <w:rPr>
          <w:rFonts w:eastAsia="Times New Roman" w:cs="Tahoma"/>
          <w:sz w:val="20"/>
          <w:szCs w:val="20"/>
          <w:bdr w:val="none" w:sz="0" w:space="0" w:color="auto" w:frame="1"/>
        </w:rPr>
        <w:t xml:space="preserve">n </w:t>
      </w:r>
      <w:r w:rsidR="00561869" w:rsidRPr="0096077B">
        <w:rPr>
          <w:rFonts w:eastAsia="Times New Roman" w:cs="Tahoma"/>
          <w:sz w:val="20"/>
          <w:szCs w:val="20"/>
          <w:bdr w:val="none" w:sz="0" w:space="0" w:color="auto" w:frame="1"/>
        </w:rPr>
        <w:t xml:space="preserve">a </w:t>
      </w:r>
      <w:r w:rsidR="002D7148" w:rsidRPr="0096077B">
        <w:rPr>
          <w:rFonts w:eastAsia="Times New Roman" w:cs="Tahoma"/>
          <w:sz w:val="20"/>
          <w:szCs w:val="20"/>
          <w:bdr w:val="none" w:sz="0" w:space="0" w:color="auto" w:frame="1"/>
        </w:rPr>
        <w:t xml:space="preserve">hunger strike, to determine the appropriate action plan, respecting their right to autonomy. </w:t>
      </w:r>
    </w:p>
    <w:p w14:paraId="4BE230BB" w14:textId="77777777" w:rsidR="00AA3C9F" w:rsidRPr="00EC55EA" w:rsidRDefault="00AA3C9F" w:rsidP="00EC55EA">
      <w:pPr>
        <w:tabs>
          <w:tab w:val="left" w:pos="360"/>
        </w:tabs>
        <w:jc w:val="both"/>
        <w:rPr>
          <w:rFonts w:eastAsia="Times New Roman" w:cs="Tahoma"/>
          <w:sz w:val="20"/>
          <w:szCs w:val="20"/>
          <w:bdr w:val="none" w:sz="0" w:space="0" w:color="auto" w:frame="1"/>
        </w:rPr>
      </w:pPr>
    </w:p>
    <w:p w14:paraId="7DEDD678" w14:textId="1ADA8CD2" w:rsidR="008F4A4D" w:rsidRPr="002B2833" w:rsidRDefault="00AA3C9F" w:rsidP="002B2833">
      <w:pPr>
        <w:pStyle w:val="ListParagraph"/>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360"/>
        <w:jc w:val="both"/>
        <w:rPr>
          <w:rFonts w:eastAsia="Times New Roman" w:cs="Tahoma"/>
          <w:sz w:val="20"/>
          <w:szCs w:val="20"/>
          <w:bdr w:val="none" w:sz="0" w:space="0" w:color="auto" w:frame="1"/>
        </w:rPr>
      </w:pPr>
      <w:r w:rsidRPr="0096077B">
        <w:rPr>
          <w:rFonts w:asciiTheme="majorHAnsi" w:hAnsiTheme="majorHAnsi"/>
          <w:sz w:val="20"/>
        </w:rPr>
        <w:t>Given the violations of the American Declaration the IACHR has established in the present</w:t>
      </w:r>
      <w:r w:rsidRPr="0096077B">
        <w:rPr>
          <w:sz w:val="20"/>
        </w:rPr>
        <w:t xml:space="preserve"> case and in others involving application of the death penalty, the Inter-American Commission also recommends to the United States that it </w:t>
      </w:r>
      <w:r w:rsidR="007944C5" w:rsidRPr="0096077B">
        <w:rPr>
          <w:sz w:val="20"/>
        </w:rPr>
        <w:t>abolishes the federal death penalty</w:t>
      </w:r>
      <w:r w:rsidRPr="0096077B">
        <w:rPr>
          <w:sz w:val="20"/>
        </w:rPr>
        <w:t>.</w:t>
      </w:r>
      <w:r w:rsidRPr="002F3937">
        <w:rPr>
          <w:rStyle w:val="FootnoteReference"/>
          <w:sz w:val="20"/>
        </w:rPr>
        <w:footnoteReference w:id="60"/>
      </w:r>
    </w:p>
    <w:p w14:paraId="4431AF9E" w14:textId="77777777" w:rsidR="002B2833" w:rsidRPr="00D2222C" w:rsidRDefault="002B2833" w:rsidP="002B2833">
      <w:pPr>
        <w:pStyle w:val="Heading1"/>
        <w:numPr>
          <w:ilvl w:val="0"/>
          <w:numId w:val="0"/>
        </w:numPr>
        <w:spacing w:before="0"/>
        <w:rPr>
          <w:color w:val="auto"/>
          <w:sz w:val="20"/>
          <w:szCs w:val="20"/>
        </w:rPr>
      </w:pPr>
    </w:p>
    <w:p w14:paraId="412B0E8D" w14:textId="77777777" w:rsidR="002B2833" w:rsidRPr="008647B6" w:rsidRDefault="002B2833" w:rsidP="002B2833">
      <w:pPr>
        <w:pStyle w:val="Heading1"/>
        <w:spacing w:before="0"/>
        <w:ind w:hanging="720"/>
        <w:rPr>
          <w:color w:val="auto"/>
          <w:sz w:val="20"/>
          <w:szCs w:val="20"/>
        </w:rPr>
      </w:pPr>
      <w:bookmarkStart w:id="41" w:name="_Toc26550945"/>
      <w:bookmarkStart w:id="42" w:name="_Toc87522018"/>
      <w:bookmarkStart w:id="43" w:name="_Toc90115138"/>
      <w:bookmarkStart w:id="44" w:name="_Toc90283317"/>
      <w:bookmarkStart w:id="45" w:name="_Toc90284151"/>
      <w:bookmarkStart w:id="46" w:name="_Toc150524399"/>
      <w:r w:rsidRPr="008647B6">
        <w:rPr>
          <w:color w:val="auto"/>
          <w:sz w:val="20"/>
          <w:szCs w:val="20"/>
        </w:rPr>
        <w:t>PUBLICATION</w:t>
      </w:r>
      <w:bookmarkEnd w:id="41"/>
      <w:bookmarkEnd w:id="42"/>
      <w:bookmarkEnd w:id="43"/>
      <w:bookmarkEnd w:id="44"/>
      <w:bookmarkEnd w:id="45"/>
      <w:bookmarkEnd w:id="46"/>
    </w:p>
    <w:p w14:paraId="2BD9FC02" w14:textId="77777777" w:rsidR="002B2833" w:rsidRPr="008647B6" w:rsidRDefault="002B2833" w:rsidP="002B2833">
      <w:pPr>
        <w:rPr>
          <w:rFonts w:asciiTheme="majorHAnsi" w:hAnsiTheme="majorHAnsi"/>
          <w:sz w:val="20"/>
          <w:szCs w:val="20"/>
        </w:rPr>
      </w:pPr>
    </w:p>
    <w:p w14:paraId="64A5A8D3" w14:textId="77777777" w:rsidR="002B2833" w:rsidRPr="008647B6" w:rsidRDefault="002B2833" w:rsidP="002B283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num" w:pos="720"/>
          <w:tab w:val="left" w:pos="1440"/>
        </w:tabs>
        <w:ind w:left="0" w:firstLine="0"/>
        <w:jc w:val="both"/>
        <w:rPr>
          <w:rFonts w:ascii="Cambria" w:eastAsia="Times New Roman" w:hAnsi="Cambria"/>
          <w:sz w:val="20"/>
          <w:szCs w:val="20"/>
        </w:rPr>
      </w:pPr>
      <w:r w:rsidRPr="008647B6">
        <w:rPr>
          <w:rFonts w:asciiTheme="majorHAnsi" w:hAnsiTheme="majorHAnsi"/>
          <w:color w:val="000000" w:themeColor="text1"/>
          <w:sz w:val="20"/>
          <w:szCs w:val="20"/>
        </w:rPr>
        <w:t>In</w:t>
      </w:r>
      <w:r w:rsidRPr="008647B6">
        <w:rPr>
          <w:rFonts w:ascii="Cambria" w:eastAsia="Times New Roman" w:hAnsi="Cambria"/>
          <w:sz w:val="20"/>
          <w:szCs w:val="20"/>
        </w:rPr>
        <w:t xml:space="preserve"> light of the above and in accordance with Article 47.3 of its Rules of Procedure, the IACHR decides to make this report public, and to include it in its Annual Report to the General Assembly of the Organization of American States. The Inter-American Commission, according to the norms contained in the instruments which govern its mandate, will continue evaluating the measures adopted by the United States with respect to the above recommendations until it determines there has been full compliance. </w:t>
      </w:r>
    </w:p>
    <w:p w14:paraId="277CF3C9" w14:textId="77777777" w:rsidR="00A9729A" w:rsidRPr="008647B6" w:rsidRDefault="00A9729A" w:rsidP="00A9729A">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jc w:val="both"/>
        <w:rPr>
          <w:rFonts w:ascii="Cambria" w:eastAsia="Times New Roman" w:hAnsi="Cambria"/>
          <w:sz w:val="20"/>
          <w:szCs w:val="20"/>
        </w:rPr>
      </w:pPr>
    </w:p>
    <w:p w14:paraId="14971835" w14:textId="18C4824A" w:rsidR="002B2833" w:rsidRDefault="004E5B49" w:rsidP="004E5B49">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jc w:val="both"/>
        <w:rPr>
          <w:rFonts w:ascii="Cambria" w:eastAsia="Times New Roman" w:hAnsi="Cambria"/>
          <w:sz w:val="20"/>
          <w:szCs w:val="20"/>
        </w:rPr>
      </w:pPr>
      <w:r>
        <w:rPr>
          <w:rFonts w:ascii="Cambria" w:eastAsia="Times New Roman" w:hAnsi="Cambria"/>
          <w:sz w:val="20"/>
          <w:szCs w:val="20"/>
        </w:rPr>
        <w:tab/>
      </w:r>
      <w:r>
        <w:rPr>
          <w:rFonts w:ascii="Cambria" w:eastAsia="Times New Roman" w:hAnsi="Cambria"/>
          <w:sz w:val="20"/>
          <w:szCs w:val="20"/>
        </w:rPr>
        <w:tab/>
      </w:r>
      <w:r w:rsidR="006022E8" w:rsidRPr="006022E8">
        <w:rPr>
          <w:rFonts w:ascii="Cambria" w:eastAsia="Times New Roman" w:hAnsi="Cambria"/>
          <w:sz w:val="20"/>
          <w:szCs w:val="20"/>
        </w:rPr>
        <w:t>Approved by the Inter-American Commission on Human Rights on the 1</w:t>
      </w:r>
      <w:r w:rsidR="00427056">
        <w:rPr>
          <w:rFonts w:ascii="Cambria" w:eastAsia="Times New Roman" w:hAnsi="Cambria"/>
          <w:sz w:val="20"/>
          <w:szCs w:val="20"/>
        </w:rPr>
        <w:t>2</w:t>
      </w:r>
      <w:r w:rsidR="006022E8" w:rsidRPr="006022E8">
        <w:rPr>
          <w:rFonts w:ascii="Cambria" w:eastAsia="Times New Roman" w:hAnsi="Cambria"/>
          <w:sz w:val="20"/>
          <w:szCs w:val="20"/>
        </w:rPr>
        <w:t>th day of the month of May</w:t>
      </w:r>
      <w:r w:rsidR="00427056">
        <w:rPr>
          <w:rFonts w:ascii="Cambria" w:eastAsia="Times New Roman" w:hAnsi="Cambria"/>
          <w:sz w:val="20"/>
          <w:szCs w:val="20"/>
        </w:rPr>
        <w:t xml:space="preserve"> </w:t>
      </w:r>
      <w:r w:rsidR="006022E8" w:rsidRPr="006022E8">
        <w:rPr>
          <w:rFonts w:ascii="Cambria" w:eastAsia="Times New Roman" w:hAnsi="Cambria"/>
          <w:sz w:val="20"/>
          <w:szCs w:val="20"/>
        </w:rPr>
        <w:t>2023. (Signed): Margarette May Macaulay, Chair; Esmeralda Arosemena de Troitiño, First Vice-Chair; Roberta Clarke, Second Vice-Chair; Joel Hernández García</w:t>
      </w:r>
      <w:r w:rsidR="00861624">
        <w:rPr>
          <w:rFonts w:ascii="Cambria" w:eastAsia="Times New Roman" w:hAnsi="Cambria"/>
          <w:sz w:val="20"/>
          <w:szCs w:val="20"/>
        </w:rPr>
        <w:t xml:space="preserve"> and</w:t>
      </w:r>
      <w:r w:rsidR="006022E8" w:rsidRPr="006022E8">
        <w:rPr>
          <w:rFonts w:ascii="Cambria" w:eastAsia="Times New Roman" w:hAnsi="Cambria"/>
          <w:sz w:val="20"/>
          <w:szCs w:val="20"/>
        </w:rPr>
        <w:t xml:space="preserve"> Julissa Mantilla Falcón</w:t>
      </w:r>
      <w:r w:rsidR="00861624">
        <w:rPr>
          <w:rFonts w:ascii="Cambria" w:eastAsia="Times New Roman" w:hAnsi="Cambria"/>
          <w:sz w:val="20"/>
          <w:szCs w:val="20"/>
        </w:rPr>
        <w:t xml:space="preserve">, </w:t>
      </w:r>
      <w:r w:rsidR="006022E8" w:rsidRPr="006022E8">
        <w:rPr>
          <w:rFonts w:ascii="Cambria" w:eastAsia="Times New Roman" w:hAnsi="Cambria"/>
          <w:sz w:val="20"/>
          <w:szCs w:val="20"/>
        </w:rPr>
        <w:t>members of the Commission.</w:t>
      </w:r>
    </w:p>
    <w:p w14:paraId="0F4EDDD7" w14:textId="77777777" w:rsidR="004E5B49" w:rsidRDefault="004E5B49" w:rsidP="004E5B49">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ahoma"/>
          <w:sz w:val="20"/>
          <w:szCs w:val="20"/>
          <w:bdr w:val="none" w:sz="0" w:space="0" w:color="auto"/>
        </w:rPr>
      </w:pPr>
    </w:p>
    <w:p w14:paraId="563859B8" w14:textId="16141523" w:rsidR="004E5B49" w:rsidRDefault="004E5B49" w:rsidP="0014053D">
      <w:pPr>
        <w:tabs>
          <w:tab w:val="left" w:pos="720"/>
        </w:tabs>
        <w:jc w:val="both"/>
        <w:rPr>
          <w:rFonts w:ascii="Cambria" w:hAnsi="Cambria" w:cstheme="minorHAnsi"/>
          <w:sz w:val="20"/>
          <w:szCs w:val="20"/>
          <w:lang w:val="pt-BR"/>
        </w:rPr>
      </w:pPr>
      <w:r>
        <w:rPr>
          <w:rFonts w:ascii="Cambria" w:hAnsi="Cambria"/>
          <w:sz w:val="20"/>
        </w:rPr>
        <w:tab/>
      </w:r>
    </w:p>
    <w:p w14:paraId="4AD6D34A" w14:textId="77777777" w:rsidR="004E5B49" w:rsidRDefault="004E5B49" w:rsidP="004E5B49">
      <w:pPr>
        <w:jc w:val="center"/>
        <w:rPr>
          <w:rFonts w:ascii="Cambria" w:hAnsi="Cambria" w:cstheme="minorHAnsi"/>
          <w:sz w:val="20"/>
          <w:szCs w:val="20"/>
          <w:lang w:val="pt-BR"/>
        </w:rPr>
      </w:pPr>
    </w:p>
    <w:sectPr w:rsidR="004E5B49" w:rsidSect="006311DA">
      <w:footerReference w:type="first" r:id="rId14"/>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2D8A6" w14:textId="77777777" w:rsidR="00AD61C8" w:rsidRDefault="00AD61C8" w:rsidP="00036A8A">
      <w:r>
        <w:separator/>
      </w:r>
    </w:p>
  </w:endnote>
  <w:endnote w:type="continuationSeparator" w:id="0">
    <w:p w14:paraId="2A22F4F4" w14:textId="77777777" w:rsidR="00AD61C8" w:rsidRDefault="00AD61C8"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3163477"/>
      <w:docPartObj>
        <w:docPartGallery w:val="Page Numbers (Bottom of Page)"/>
        <w:docPartUnique/>
      </w:docPartObj>
    </w:sdtPr>
    <w:sdtEndPr>
      <w:rPr>
        <w:noProof/>
        <w:sz w:val="16"/>
      </w:rPr>
    </w:sdtEndPr>
    <w:sdtContent>
      <w:p w14:paraId="14881A20" w14:textId="597717A2" w:rsidR="002B2833" w:rsidRPr="006311DA" w:rsidRDefault="002B2833">
        <w:pPr>
          <w:pStyle w:val="Footer"/>
          <w:jc w:val="center"/>
          <w:rPr>
            <w:sz w:val="16"/>
          </w:rPr>
        </w:pPr>
        <w:r>
          <w:rPr>
            <w:noProof/>
            <w:sz w:val="16"/>
          </w:rPr>
          <w:fldChar w:fldCharType="begin"/>
        </w:r>
        <w:r>
          <w:rPr>
            <w:noProof/>
            <w:sz w:val="16"/>
          </w:rPr>
          <w:instrText xml:space="preserve"> PAGE   \* MERGEFORMAT </w:instrText>
        </w:r>
        <w:r>
          <w:rPr>
            <w:noProof/>
            <w:sz w:val="16"/>
          </w:rPr>
          <w:fldChar w:fldCharType="separate"/>
        </w:r>
        <w:r>
          <w:rPr>
            <w:noProof/>
            <w:sz w:val="16"/>
          </w:rPr>
          <w:t>16</w:t>
        </w:r>
        <w:r>
          <w:rPr>
            <w:noProof/>
            <w:sz w:val="16"/>
          </w:rPr>
          <w:fldChar w:fldCharType="end"/>
        </w:r>
      </w:p>
    </w:sdtContent>
  </w:sdt>
  <w:p w14:paraId="445EE75C" w14:textId="77777777" w:rsidR="002B2833" w:rsidRDefault="002B28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44681" w14:textId="77777777" w:rsidR="002B2833" w:rsidRDefault="002B2833">
    <w:pPr>
      <w:pStyle w:val="Footer"/>
      <w:jc w:val="center"/>
    </w:pPr>
  </w:p>
  <w:p w14:paraId="1C1186C0" w14:textId="77777777" w:rsidR="002B2833" w:rsidRDefault="002B28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9189080"/>
      <w:docPartObj>
        <w:docPartGallery w:val="Page Numbers (Bottom of Page)"/>
        <w:docPartUnique/>
      </w:docPartObj>
    </w:sdtPr>
    <w:sdtEndPr>
      <w:rPr>
        <w:noProof/>
      </w:rPr>
    </w:sdtEndPr>
    <w:sdtContent>
      <w:p w14:paraId="180E53BE" w14:textId="77777777" w:rsidR="002B2833" w:rsidRDefault="002B2833">
        <w:pPr>
          <w:pStyle w:val="Footer"/>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14:paraId="78AF5BD0" w14:textId="77777777" w:rsidR="002B2833" w:rsidRDefault="002B28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00301" w14:textId="77777777" w:rsidR="00AD61C8" w:rsidRPr="00036A8A" w:rsidRDefault="00AD61C8"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41D743BF" w14:textId="77777777" w:rsidR="00AD61C8" w:rsidRPr="00036A8A" w:rsidRDefault="00AD61C8" w:rsidP="00036A8A">
      <w:pPr>
        <w:rPr>
          <w:rFonts w:asciiTheme="majorHAnsi" w:hAnsiTheme="majorHAnsi"/>
          <w:sz w:val="16"/>
          <w:szCs w:val="16"/>
        </w:rPr>
      </w:pPr>
      <w:r w:rsidRPr="00036A8A">
        <w:rPr>
          <w:rFonts w:asciiTheme="majorHAnsi" w:hAnsiTheme="majorHAnsi"/>
          <w:sz w:val="16"/>
          <w:szCs w:val="16"/>
        </w:rPr>
        <w:separator/>
      </w:r>
    </w:p>
    <w:p w14:paraId="7A4ECBE0" w14:textId="77777777" w:rsidR="00AD61C8" w:rsidRPr="00036A8A" w:rsidRDefault="00AD61C8"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0EC2DEC2" w14:textId="77777777" w:rsidR="00AD61C8" w:rsidRPr="0093441A" w:rsidRDefault="00AD61C8"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35C3EFF8" w14:textId="356779B7" w:rsidR="00427056" w:rsidRPr="00E86BEA" w:rsidRDefault="00427056" w:rsidP="00427056">
      <w:pPr>
        <w:pStyle w:val="FootnoteText"/>
        <w:jc w:val="both"/>
        <w:rPr>
          <w:rFonts w:asciiTheme="majorHAnsi" w:hAnsiTheme="majorHAnsi"/>
          <w:sz w:val="16"/>
          <w:szCs w:val="16"/>
        </w:rPr>
      </w:pPr>
      <w:r w:rsidRPr="00427056">
        <w:rPr>
          <w:rStyle w:val="FootnoteReference"/>
          <w:rFonts w:asciiTheme="majorHAnsi" w:hAnsiTheme="majorHAnsi"/>
          <w:sz w:val="16"/>
          <w:szCs w:val="16"/>
        </w:rPr>
        <w:footnoteRef/>
      </w:r>
      <w:r w:rsidRPr="00427056">
        <w:rPr>
          <w:rFonts w:asciiTheme="majorHAnsi" w:hAnsiTheme="majorHAnsi"/>
          <w:sz w:val="16"/>
          <w:szCs w:val="16"/>
        </w:rPr>
        <w:t xml:space="preserve"> Pursuant to Article 17.3 of the Commission's Rules of Procedure, Commissioner Carlos Bernal Pulido, resident in the United States, did not participate in the discussion or decision of this report.</w:t>
      </w:r>
    </w:p>
  </w:footnote>
  <w:footnote w:id="3">
    <w:p w14:paraId="3236A877" w14:textId="77777777" w:rsidR="002B2833" w:rsidRPr="00CA06E5" w:rsidRDefault="002B2833">
      <w:pPr>
        <w:pStyle w:val="FootnoteText"/>
        <w:rPr>
          <w:rFonts w:asciiTheme="majorHAnsi" w:hAnsiTheme="majorHAnsi"/>
          <w:sz w:val="16"/>
          <w:szCs w:val="16"/>
        </w:rPr>
      </w:pPr>
      <w:r w:rsidRPr="00CA06E5">
        <w:rPr>
          <w:rStyle w:val="FootnoteReference"/>
          <w:rFonts w:asciiTheme="majorHAnsi" w:hAnsiTheme="majorHAnsi"/>
          <w:sz w:val="16"/>
          <w:szCs w:val="16"/>
        </w:rPr>
        <w:footnoteRef/>
      </w:r>
      <w:r w:rsidRPr="00CA06E5">
        <w:rPr>
          <w:rFonts w:asciiTheme="majorHAnsi" w:hAnsiTheme="majorHAnsi"/>
          <w:sz w:val="16"/>
          <w:szCs w:val="16"/>
        </w:rPr>
        <w:t xml:space="preserve"> On February 27, 2012, the Death Penalty Litigation Clinic informed that they were representing Mr. Bolden. On August 6, 2012, attorney Margaret O’Donnell, informed that she was representing Mr. Kadamovas.</w:t>
      </w:r>
    </w:p>
  </w:footnote>
  <w:footnote w:id="4">
    <w:p w14:paraId="75E99BCB" w14:textId="77777777" w:rsidR="002B2833" w:rsidRPr="00CA06E5" w:rsidRDefault="002B2833" w:rsidP="003B0978">
      <w:pPr>
        <w:pStyle w:val="FootnoteText"/>
        <w:jc w:val="both"/>
        <w:rPr>
          <w:rFonts w:asciiTheme="majorHAnsi" w:hAnsiTheme="majorHAnsi"/>
          <w:sz w:val="16"/>
          <w:szCs w:val="16"/>
        </w:rPr>
      </w:pPr>
      <w:r w:rsidRPr="00CA06E5">
        <w:rPr>
          <w:rStyle w:val="FootnoteReference"/>
          <w:rFonts w:asciiTheme="majorHAnsi" w:hAnsiTheme="majorHAnsi"/>
          <w:sz w:val="16"/>
          <w:szCs w:val="16"/>
        </w:rPr>
        <w:footnoteRef/>
      </w:r>
      <w:r w:rsidRPr="00CA06E5">
        <w:rPr>
          <w:rFonts w:asciiTheme="majorHAnsi" w:hAnsiTheme="majorHAnsi"/>
          <w:sz w:val="16"/>
          <w:szCs w:val="16"/>
        </w:rPr>
        <w:t xml:space="preserve"> On December 27, 2011, the IACHR granted precautionary measures on behalf of Mr. Kadamovas, Mr. Bolden, </w:t>
      </w:r>
      <w:r w:rsidRPr="00CA06E5">
        <w:rPr>
          <w:rFonts w:asciiTheme="majorHAnsi" w:hAnsiTheme="majorHAnsi" w:cs="Arial"/>
          <w:sz w:val="16"/>
        </w:rPr>
        <w:t>Mr. Sinnistera, Mr. Ortiz, Mr. Bolden, Mr. Mikhel, and Mr. Umana</w:t>
      </w:r>
      <w:r w:rsidRPr="00CA06E5">
        <w:rPr>
          <w:rFonts w:asciiTheme="majorHAnsi" w:hAnsiTheme="majorHAnsi" w:cs="Arial"/>
        </w:rPr>
        <w:t xml:space="preserve"> </w:t>
      </w:r>
      <w:r w:rsidRPr="00CA06E5">
        <w:rPr>
          <w:rFonts w:asciiTheme="majorHAnsi" w:hAnsiTheme="majorHAnsi"/>
          <w:sz w:val="16"/>
          <w:szCs w:val="16"/>
        </w:rPr>
        <w:t>pursuant to Article 25(1) of its Rules of Procedure and requested the United States to take the measures necessary to preserve the life and physical integrity of the alleged victims so as not to hinder the processing of their case before the Inter-American system.</w:t>
      </w:r>
    </w:p>
  </w:footnote>
  <w:footnote w:id="5">
    <w:p w14:paraId="1E0AAE4A" w14:textId="77777777" w:rsidR="002B2833" w:rsidRPr="00CA06E5" w:rsidRDefault="002B2833" w:rsidP="00CD403E">
      <w:pPr>
        <w:pStyle w:val="FootnoteText"/>
        <w:jc w:val="both"/>
        <w:rPr>
          <w:rFonts w:asciiTheme="majorHAnsi" w:hAnsiTheme="majorHAnsi"/>
          <w:sz w:val="16"/>
          <w:szCs w:val="16"/>
        </w:rPr>
      </w:pPr>
      <w:r w:rsidRPr="00CA06E5">
        <w:rPr>
          <w:rStyle w:val="FootnoteReference"/>
          <w:rFonts w:asciiTheme="majorHAnsi" w:hAnsiTheme="majorHAnsi"/>
          <w:color w:val="auto"/>
          <w:sz w:val="16"/>
          <w:szCs w:val="16"/>
        </w:rPr>
        <w:footnoteRef/>
      </w:r>
      <w:r w:rsidRPr="00CA06E5">
        <w:rPr>
          <w:rStyle w:val="FootnoteReference"/>
          <w:rFonts w:asciiTheme="majorHAnsi" w:hAnsiTheme="majorHAnsi"/>
          <w:color w:val="auto"/>
          <w:sz w:val="16"/>
          <w:szCs w:val="16"/>
        </w:rPr>
        <w:t xml:space="preserve"> </w:t>
      </w:r>
      <w:r w:rsidRPr="00CA06E5">
        <w:rPr>
          <w:rFonts w:asciiTheme="majorHAnsi" w:hAnsiTheme="majorHAnsi"/>
          <w:color w:val="auto"/>
          <w:sz w:val="16"/>
          <w:szCs w:val="16"/>
        </w:rPr>
        <w:t>IACHR, Report No. 54/14, Petition 684-14. Admissibility. Russel Bucklew and Charles Warner. United States. July 21, 2014, para. 28.</w:t>
      </w:r>
    </w:p>
  </w:footnote>
  <w:footnote w:id="6">
    <w:p w14:paraId="1ACD03F5" w14:textId="77777777" w:rsidR="002B2833" w:rsidRPr="00CA06E5" w:rsidRDefault="002B2833" w:rsidP="00CD403E">
      <w:pPr>
        <w:pStyle w:val="FootnoteText"/>
        <w:jc w:val="both"/>
        <w:rPr>
          <w:rFonts w:asciiTheme="majorHAnsi" w:hAnsiTheme="majorHAnsi"/>
          <w:sz w:val="16"/>
          <w:szCs w:val="16"/>
        </w:rPr>
      </w:pPr>
      <w:r w:rsidRPr="00CA06E5">
        <w:rPr>
          <w:rStyle w:val="FootnoteReference"/>
          <w:rFonts w:asciiTheme="majorHAnsi" w:hAnsiTheme="majorHAnsi"/>
          <w:color w:val="auto"/>
          <w:sz w:val="16"/>
          <w:szCs w:val="16"/>
        </w:rPr>
        <w:footnoteRef/>
      </w:r>
      <w:r w:rsidRPr="00CA06E5">
        <w:rPr>
          <w:rStyle w:val="FootnoteReference"/>
          <w:rFonts w:asciiTheme="majorHAnsi" w:hAnsiTheme="majorHAnsi"/>
          <w:color w:val="auto"/>
          <w:sz w:val="16"/>
          <w:szCs w:val="16"/>
        </w:rPr>
        <w:t xml:space="preserve"> </w:t>
      </w:r>
      <w:r w:rsidRPr="00CA06E5">
        <w:rPr>
          <w:rFonts w:asciiTheme="majorHAnsi" w:hAnsiTheme="majorHAnsi"/>
          <w:color w:val="auto"/>
          <w:sz w:val="16"/>
          <w:szCs w:val="16"/>
        </w:rPr>
        <w:t>IACHR, Report No. 54/14, Petition 684-14. Admissibility. Russel Bucklew and Charles Warner. United States. July 21, 2014, para. 28.</w:t>
      </w:r>
    </w:p>
  </w:footnote>
  <w:footnote w:id="7">
    <w:p w14:paraId="461D94E3" w14:textId="77777777" w:rsidR="002B2833" w:rsidRPr="00CA06E5" w:rsidRDefault="002B2833" w:rsidP="00F6140C">
      <w:pPr>
        <w:pStyle w:val="FootnoteText"/>
        <w:jc w:val="both"/>
      </w:pPr>
      <w:r w:rsidRPr="00CA06E5">
        <w:rPr>
          <w:rStyle w:val="FootnoteReference"/>
          <w:sz w:val="16"/>
          <w:szCs w:val="16"/>
        </w:rPr>
        <w:footnoteRef/>
      </w:r>
      <w:r w:rsidRPr="00CA06E5">
        <w:rPr>
          <w:sz w:val="16"/>
          <w:szCs w:val="16"/>
        </w:rPr>
        <w:t xml:space="preserve"> </w:t>
      </w:r>
      <w:r w:rsidRPr="00CA06E5">
        <w:rPr>
          <w:rFonts w:asciiTheme="majorHAnsi" w:hAnsiTheme="majorHAnsi"/>
          <w:sz w:val="16"/>
        </w:rPr>
        <w:t>United States of America v Mikhel and Kadamovas, No. 07-99008 and No. 07-99009. United States Court of Appeals for the Ninth Circuit, argued and submitted January 10, 2018 and filed May 9, 2018. Submitted as attachment with communication filed by petitioners on July 27, 2008.</w:t>
      </w:r>
    </w:p>
  </w:footnote>
  <w:footnote w:id="8">
    <w:p w14:paraId="77E59BDB" w14:textId="77777777" w:rsidR="002B2833" w:rsidRPr="00CA06E5" w:rsidRDefault="002B2833" w:rsidP="007354E7">
      <w:pPr>
        <w:pStyle w:val="FootnoteText"/>
        <w:jc w:val="both"/>
      </w:pPr>
      <w:r w:rsidRPr="00CA06E5">
        <w:rPr>
          <w:rStyle w:val="FootnoteReference"/>
          <w:sz w:val="16"/>
          <w:szCs w:val="16"/>
        </w:rPr>
        <w:footnoteRef/>
      </w:r>
      <w:r w:rsidRPr="00CA06E5">
        <w:rPr>
          <w:sz w:val="16"/>
          <w:szCs w:val="16"/>
        </w:rPr>
        <w:t xml:space="preserve"> </w:t>
      </w:r>
      <w:r w:rsidRPr="00CA06E5">
        <w:rPr>
          <w:rFonts w:asciiTheme="majorHAnsi" w:hAnsiTheme="majorHAnsi"/>
          <w:sz w:val="16"/>
        </w:rPr>
        <w:t>United States of America v Robert L. Bolden, No. 06-3264, United States Court of Appeals for the Eighth Circuit, submitted June 9, 2008 and filed November 4, 2008.</w:t>
      </w:r>
    </w:p>
  </w:footnote>
  <w:footnote w:id="9">
    <w:p w14:paraId="3E992721" w14:textId="77777777" w:rsidR="002B2833" w:rsidRPr="00CA06E5" w:rsidRDefault="002B2833" w:rsidP="00847431">
      <w:pPr>
        <w:pStyle w:val="FootnoteText"/>
        <w:jc w:val="both"/>
        <w:rPr>
          <w:rFonts w:asciiTheme="majorHAnsi" w:hAnsiTheme="majorHAnsi"/>
          <w:sz w:val="16"/>
        </w:rPr>
      </w:pPr>
      <w:r w:rsidRPr="00CA06E5">
        <w:rPr>
          <w:rStyle w:val="FootnoteReference"/>
          <w:rFonts w:asciiTheme="majorHAnsi" w:hAnsiTheme="majorHAnsi"/>
          <w:sz w:val="16"/>
        </w:rPr>
        <w:footnoteRef/>
      </w:r>
      <w:r w:rsidRPr="00CA06E5">
        <w:rPr>
          <w:rFonts w:asciiTheme="majorHAnsi" w:hAnsiTheme="majorHAnsi"/>
          <w:sz w:val="16"/>
        </w:rPr>
        <w:t xml:space="preserve"> United States of America v Mikhel and Kadamovas, No. 07-99008 and No. 07-99009, United States Court of Appeals for the Ninth Circuit, argued and submitted January 10, 2018 and filed May 9, 2018.</w:t>
      </w:r>
    </w:p>
  </w:footnote>
  <w:footnote w:id="10">
    <w:p w14:paraId="147EFF86" w14:textId="77777777" w:rsidR="002B2833" w:rsidRPr="00CA06E5" w:rsidRDefault="002B2833" w:rsidP="00847431">
      <w:pPr>
        <w:pStyle w:val="FootnoteText"/>
        <w:jc w:val="both"/>
        <w:rPr>
          <w:rFonts w:asciiTheme="majorHAnsi" w:hAnsiTheme="majorHAnsi"/>
          <w:sz w:val="16"/>
        </w:rPr>
      </w:pPr>
      <w:r w:rsidRPr="00CA06E5">
        <w:rPr>
          <w:rStyle w:val="FootnoteReference"/>
          <w:rFonts w:asciiTheme="majorHAnsi" w:hAnsiTheme="majorHAnsi"/>
          <w:sz w:val="16"/>
        </w:rPr>
        <w:footnoteRef/>
      </w:r>
      <w:r w:rsidRPr="00CA06E5">
        <w:rPr>
          <w:rFonts w:asciiTheme="majorHAnsi" w:hAnsiTheme="majorHAnsi"/>
          <w:sz w:val="16"/>
        </w:rPr>
        <w:t xml:space="preserve"> </w:t>
      </w:r>
      <w:r w:rsidRPr="00CA06E5">
        <w:rPr>
          <w:rFonts w:asciiTheme="majorHAnsi" w:eastAsia="Times New Roman" w:hAnsiTheme="majorHAnsi"/>
          <w:iCs/>
          <w:sz w:val="16"/>
          <w:bdr w:val="none" w:sz="0" w:space="0" w:color="auto"/>
        </w:rPr>
        <w:t>Bolden v. United States</w:t>
      </w:r>
      <w:r w:rsidRPr="00CA06E5">
        <w:rPr>
          <w:rFonts w:asciiTheme="majorHAnsi" w:eastAsia="Times New Roman" w:hAnsiTheme="majorHAnsi"/>
          <w:sz w:val="16"/>
          <w:bdr w:val="none" w:sz="0" w:space="0" w:color="auto"/>
        </w:rPr>
        <w:t>, 171 F. Supp. 3d 891, 899 (E.D. Mo. 2016).</w:t>
      </w:r>
    </w:p>
  </w:footnote>
  <w:footnote w:id="11">
    <w:p w14:paraId="671D65AF" w14:textId="77777777" w:rsidR="002B2833" w:rsidRPr="00CA06E5" w:rsidRDefault="002B2833" w:rsidP="00847431">
      <w:pPr>
        <w:pStyle w:val="FootnoteText"/>
        <w:jc w:val="both"/>
        <w:rPr>
          <w:rFonts w:asciiTheme="majorHAnsi" w:hAnsiTheme="majorHAnsi"/>
          <w:sz w:val="16"/>
        </w:rPr>
      </w:pPr>
      <w:r w:rsidRPr="00CA06E5">
        <w:rPr>
          <w:rStyle w:val="FootnoteReference"/>
          <w:rFonts w:asciiTheme="majorHAnsi" w:hAnsiTheme="majorHAnsi"/>
          <w:sz w:val="16"/>
        </w:rPr>
        <w:footnoteRef/>
      </w:r>
      <w:r w:rsidRPr="00CA06E5">
        <w:rPr>
          <w:rFonts w:asciiTheme="majorHAnsi" w:hAnsiTheme="majorHAnsi"/>
          <w:sz w:val="16"/>
        </w:rPr>
        <w:t xml:space="preserve"> State appointed counsel for Mr. Kadamovas, from November 28, 2005 after the application to be relieved as counsel by Marcia Brewer. Exhibit 10, submitted with petitioners’ communication on March 7, 2019. </w:t>
      </w:r>
    </w:p>
  </w:footnote>
  <w:footnote w:id="12">
    <w:p w14:paraId="6DD2D8A4" w14:textId="77777777" w:rsidR="002B2833" w:rsidRPr="00CA06E5" w:rsidRDefault="002B2833" w:rsidP="00847431">
      <w:pPr>
        <w:pStyle w:val="FootnoteText"/>
        <w:jc w:val="both"/>
        <w:rPr>
          <w:rFonts w:asciiTheme="majorHAnsi" w:hAnsiTheme="majorHAnsi"/>
          <w:color w:val="auto"/>
          <w:sz w:val="16"/>
          <w:szCs w:val="16"/>
        </w:rPr>
      </w:pPr>
      <w:r w:rsidRPr="00CA06E5">
        <w:rPr>
          <w:rStyle w:val="FootnoteReference"/>
          <w:rFonts w:asciiTheme="majorHAnsi" w:hAnsiTheme="majorHAnsi"/>
          <w:color w:val="auto"/>
          <w:sz w:val="16"/>
          <w:szCs w:val="16"/>
        </w:rPr>
        <w:footnoteRef/>
      </w:r>
      <w:r w:rsidRPr="00CA06E5">
        <w:rPr>
          <w:rFonts w:asciiTheme="majorHAnsi" w:hAnsiTheme="majorHAnsi"/>
          <w:color w:val="auto"/>
          <w:sz w:val="16"/>
          <w:szCs w:val="16"/>
        </w:rPr>
        <w:t xml:space="preserve"> Umaña v. U.S. </w:t>
      </w:r>
      <w:r w:rsidRPr="00CA06E5">
        <w:rPr>
          <w:rFonts w:asciiTheme="majorHAnsi" w:hAnsiTheme="majorHAnsi" w:cs="Helvetica"/>
          <w:color w:val="auto"/>
          <w:sz w:val="16"/>
          <w:szCs w:val="16"/>
          <w:lang w:val="en"/>
        </w:rPr>
        <w:t xml:space="preserve">229 F.Supp.3d 388 (2017). Available at: </w:t>
      </w:r>
      <w:hyperlink r:id="rId1" w:history="1">
        <w:r w:rsidRPr="00CA06E5">
          <w:rPr>
            <w:rStyle w:val="Hyperlink"/>
            <w:rFonts w:asciiTheme="majorHAnsi" w:hAnsiTheme="majorHAnsi" w:cs="Helvetica"/>
            <w:color w:val="auto"/>
            <w:sz w:val="16"/>
            <w:szCs w:val="16"/>
            <w:lang w:val="en"/>
          </w:rPr>
          <w:t>https://www.leagle.com/decision/infdco20170127r69</w:t>
        </w:r>
      </w:hyperlink>
      <w:r w:rsidRPr="00CA06E5">
        <w:rPr>
          <w:rFonts w:asciiTheme="majorHAnsi" w:hAnsiTheme="majorHAnsi" w:cs="Helvetica"/>
          <w:color w:val="auto"/>
          <w:sz w:val="16"/>
          <w:szCs w:val="16"/>
          <w:lang w:val="en"/>
        </w:rPr>
        <w:t xml:space="preserve">; and Umana v. United States, Petition for certiorari denied on June 22, 2015. Available at: </w:t>
      </w:r>
      <w:hyperlink r:id="rId2" w:history="1">
        <w:r w:rsidRPr="00CA06E5">
          <w:rPr>
            <w:rStyle w:val="Hyperlink"/>
            <w:rFonts w:asciiTheme="majorHAnsi" w:hAnsiTheme="majorHAnsi" w:cs="Helvetica"/>
            <w:sz w:val="16"/>
            <w:szCs w:val="16"/>
            <w:lang w:val="en"/>
          </w:rPr>
          <w:t>https://www.scotusblog.com/case-files/cases/umana-v-united-states/</w:t>
        </w:r>
      </w:hyperlink>
      <w:r w:rsidRPr="00CA06E5">
        <w:rPr>
          <w:rFonts w:asciiTheme="majorHAnsi" w:hAnsiTheme="majorHAnsi" w:cs="Helvetica"/>
          <w:color w:val="auto"/>
          <w:sz w:val="16"/>
          <w:szCs w:val="16"/>
          <w:lang w:val="en"/>
        </w:rPr>
        <w:t xml:space="preserve">   </w:t>
      </w:r>
    </w:p>
  </w:footnote>
  <w:footnote w:id="13">
    <w:p w14:paraId="4CCE0543" w14:textId="77777777" w:rsidR="002B2833" w:rsidRPr="00CA06E5" w:rsidRDefault="002B2833" w:rsidP="00847431">
      <w:pPr>
        <w:pStyle w:val="FootnoteText"/>
        <w:jc w:val="both"/>
        <w:rPr>
          <w:rFonts w:asciiTheme="majorHAnsi" w:hAnsiTheme="majorHAnsi"/>
          <w:sz w:val="16"/>
          <w:szCs w:val="16"/>
        </w:rPr>
      </w:pPr>
      <w:r w:rsidRPr="00CA06E5">
        <w:rPr>
          <w:rStyle w:val="FootnoteReference"/>
          <w:rFonts w:asciiTheme="majorHAnsi" w:hAnsiTheme="majorHAnsi"/>
          <w:sz w:val="16"/>
          <w:szCs w:val="16"/>
        </w:rPr>
        <w:footnoteRef/>
      </w:r>
      <w:r w:rsidRPr="00CA06E5">
        <w:rPr>
          <w:rFonts w:asciiTheme="majorHAnsi" w:hAnsiTheme="majorHAnsi"/>
          <w:sz w:val="16"/>
          <w:szCs w:val="16"/>
        </w:rPr>
        <w:t xml:space="preserve"> Arboleda A. Ortiz, v. United States of America. United States Court of Appeals for the Eighth Circuit. December 19, 2011. Available at: </w:t>
      </w:r>
      <w:hyperlink r:id="rId3" w:history="1">
        <w:r w:rsidRPr="00CA06E5">
          <w:rPr>
            <w:rStyle w:val="Hyperlink"/>
            <w:rFonts w:asciiTheme="majorHAnsi" w:hAnsiTheme="majorHAnsi"/>
            <w:sz w:val="16"/>
            <w:szCs w:val="16"/>
          </w:rPr>
          <w:t>https://www.govinfo.gov/content/pkg/USCOURTS-ca8-08-01749/pdf/USCOURTS-ca8-08-01749-0.pdf</w:t>
        </w:r>
      </w:hyperlink>
      <w:r w:rsidRPr="00CA06E5">
        <w:rPr>
          <w:rFonts w:asciiTheme="majorHAnsi" w:hAnsiTheme="majorHAnsi"/>
          <w:sz w:val="16"/>
          <w:szCs w:val="16"/>
        </w:rPr>
        <w:t xml:space="preserve"> </w:t>
      </w:r>
    </w:p>
  </w:footnote>
  <w:footnote w:id="14">
    <w:p w14:paraId="16ACB495" w14:textId="77777777" w:rsidR="002B2833" w:rsidRPr="00CA06E5" w:rsidRDefault="002B2833" w:rsidP="00847431">
      <w:pPr>
        <w:pStyle w:val="FootnoteText"/>
        <w:jc w:val="both"/>
      </w:pPr>
      <w:r w:rsidRPr="00CA06E5">
        <w:rPr>
          <w:rStyle w:val="FootnoteReference"/>
          <w:sz w:val="16"/>
          <w:szCs w:val="16"/>
        </w:rPr>
        <w:footnoteRef/>
      </w:r>
      <w:r w:rsidRPr="00CA06E5">
        <w:t xml:space="preserve"> </w:t>
      </w:r>
      <w:r w:rsidRPr="00CA06E5">
        <w:rPr>
          <w:rFonts w:asciiTheme="majorHAnsi" w:hAnsiTheme="majorHAnsi"/>
          <w:sz w:val="16"/>
        </w:rPr>
        <w:t>United States of America v Mikhel and Kadamovas, No. 07-99008 and No. 07-99009, United States Court of Appeals for the Ninth Circuit, argued and submitted January 10, 2018 and filed May 9, 2018.</w:t>
      </w:r>
    </w:p>
  </w:footnote>
  <w:footnote w:id="15">
    <w:p w14:paraId="7A98786A" w14:textId="77777777" w:rsidR="002B2833" w:rsidRPr="00CA06E5" w:rsidRDefault="002B2833">
      <w:pPr>
        <w:pStyle w:val="FootnoteText"/>
        <w:rPr>
          <w:rFonts w:asciiTheme="majorHAnsi" w:hAnsiTheme="majorHAnsi"/>
          <w:sz w:val="16"/>
        </w:rPr>
      </w:pPr>
      <w:r w:rsidRPr="00CA06E5">
        <w:rPr>
          <w:rStyle w:val="FootnoteReference"/>
          <w:rFonts w:asciiTheme="majorHAnsi" w:hAnsiTheme="majorHAnsi"/>
          <w:sz w:val="16"/>
        </w:rPr>
        <w:footnoteRef/>
      </w:r>
      <w:r w:rsidRPr="00CA06E5">
        <w:rPr>
          <w:rFonts w:asciiTheme="majorHAnsi" w:hAnsiTheme="majorHAnsi"/>
          <w:sz w:val="16"/>
        </w:rPr>
        <w:t xml:space="preserve"> United States v Anchrum, 590 F. 3d 795, 801 (9</w:t>
      </w:r>
      <w:r w:rsidRPr="00CA06E5">
        <w:rPr>
          <w:rFonts w:asciiTheme="majorHAnsi" w:hAnsiTheme="majorHAnsi"/>
          <w:sz w:val="16"/>
          <w:vertAlign w:val="superscript"/>
        </w:rPr>
        <w:t>th</w:t>
      </w:r>
      <w:r w:rsidRPr="00CA06E5">
        <w:rPr>
          <w:rFonts w:asciiTheme="majorHAnsi" w:hAnsiTheme="majorHAnsi"/>
          <w:sz w:val="16"/>
        </w:rPr>
        <w:t xml:space="preserve"> Circuit 2009).</w:t>
      </w:r>
    </w:p>
  </w:footnote>
  <w:footnote w:id="16">
    <w:p w14:paraId="465074DE" w14:textId="77777777" w:rsidR="002B2833" w:rsidRPr="00CA06E5" w:rsidRDefault="002B2833" w:rsidP="006045A7">
      <w:pPr>
        <w:pStyle w:val="CommentText"/>
      </w:pPr>
      <w:r w:rsidRPr="00CA06E5">
        <w:rPr>
          <w:rStyle w:val="FootnoteReference"/>
          <w:rFonts w:asciiTheme="majorHAnsi" w:eastAsia="Calibri" w:hAnsiTheme="majorHAnsi"/>
          <w:color w:val="000000"/>
          <w:sz w:val="16"/>
          <w:u w:color="000000"/>
          <w:lang w:eastAsia="es-ES"/>
        </w:rPr>
        <w:footnoteRef/>
      </w:r>
      <w:r w:rsidRPr="00CA06E5">
        <w:t xml:space="preserve"> </w:t>
      </w:r>
      <w:r w:rsidRPr="00CA06E5">
        <w:rPr>
          <w:rFonts w:asciiTheme="majorHAnsi" w:eastAsia="Calibri" w:hAnsiTheme="majorHAnsi" w:cs="Calibri"/>
          <w:color w:val="000000"/>
          <w:sz w:val="16"/>
          <w:szCs w:val="16"/>
          <w:u w:color="000000"/>
          <w:lang w:eastAsia="es-ES"/>
        </w:rPr>
        <w:t>Letter dated October 4, 2017, from Margareth H. O’Donnel, Esq. to the Ministry of Justice of the Republic of Lithuania, submitted by the petitioners on March 12, 2019.</w:t>
      </w:r>
    </w:p>
  </w:footnote>
  <w:footnote w:id="17">
    <w:p w14:paraId="17A033F4" w14:textId="77777777" w:rsidR="002B2833" w:rsidRPr="00CA06E5" w:rsidRDefault="002B2833">
      <w:pPr>
        <w:pStyle w:val="FootnoteText"/>
      </w:pPr>
      <w:r w:rsidRPr="00CA06E5">
        <w:rPr>
          <w:rStyle w:val="FootnoteReference"/>
          <w:rFonts w:asciiTheme="majorHAnsi" w:hAnsiTheme="majorHAnsi"/>
          <w:sz w:val="16"/>
        </w:rPr>
        <w:footnoteRef/>
      </w:r>
      <w:r w:rsidRPr="00CA06E5">
        <w:rPr>
          <w:rStyle w:val="FootnoteReference"/>
          <w:rFonts w:asciiTheme="majorHAnsi" w:hAnsiTheme="majorHAnsi"/>
          <w:sz w:val="16"/>
        </w:rPr>
        <w:t xml:space="preserve"> </w:t>
      </w:r>
      <w:r w:rsidRPr="00CA06E5">
        <w:rPr>
          <w:rFonts w:asciiTheme="majorHAnsi" w:hAnsiTheme="majorHAnsi"/>
          <w:sz w:val="16"/>
          <w:szCs w:val="16"/>
        </w:rPr>
        <w:t>Petitioners’ brief submitted on March 12, 2019.</w:t>
      </w:r>
    </w:p>
  </w:footnote>
  <w:footnote w:id="18">
    <w:p w14:paraId="77F5E02B" w14:textId="77777777" w:rsidR="002B2833" w:rsidRPr="00CA06E5" w:rsidRDefault="002B2833" w:rsidP="005E5E0D">
      <w:pPr>
        <w:pStyle w:val="FootnoteText"/>
        <w:rPr>
          <w:rFonts w:asciiTheme="majorHAnsi" w:hAnsiTheme="majorHAnsi"/>
          <w:sz w:val="16"/>
          <w:szCs w:val="16"/>
        </w:rPr>
      </w:pPr>
      <w:r w:rsidRPr="00CA06E5">
        <w:rPr>
          <w:rStyle w:val="FootnoteReference"/>
          <w:rFonts w:asciiTheme="majorHAnsi" w:hAnsiTheme="majorHAnsi"/>
          <w:sz w:val="16"/>
          <w:szCs w:val="16"/>
        </w:rPr>
        <w:footnoteRef/>
      </w:r>
      <w:r w:rsidRPr="00CA06E5">
        <w:rPr>
          <w:rFonts w:asciiTheme="majorHAnsi" w:hAnsiTheme="majorHAnsi"/>
          <w:sz w:val="16"/>
          <w:szCs w:val="16"/>
        </w:rPr>
        <w:t xml:space="preserve"> Information available at the United States Supreme Court’s website: </w:t>
      </w:r>
      <w:hyperlink r:id="rId4" w:history="1">
        <w:r w:rsidRPr="00CA06E5">
          <w:rPr>
            <w:rStyle w:val="Hyperlink"/>
            <w:rFonts w:asciiTheme="majorHAnsi" w:hAnsiTheme="majorHAnsi"/>
            <w:sz w:val="16"/>
            <w:szCs w:val="16"/>
          </w:rPr>
          <w:t>https://www.supremecourt.gov/search.aspx?filename=/docket/docketfiles/html/public/18-7489.html</w:t>
        </w:r>
      </w:hyperlink>
      <w:r w:rsidRPr="00CA06E5">
        <w:rPr>
          <w:rFonts w:asciiTheme="majorHAnsi" w:hAnsiTheme="majorHAnsi"/>
          <w:sz w:val="16"/>
          <w:szCs w:val="16"/>
        </w:rPr>
        <w:t xml:space="preserve"> </w:t>
      </w:r>
    </w:p>
  </w:footnote>
  <w:footnote w:id="19">
    <w:p w14:paraId="2EA5CB3B" w14:textId="77777777" w:rsidR="002B2833" w:rsidRPr="00CA06E5" w:rsidRDefault="002B2833">
      <w:pPr>
        <w:pStyle w:val="FootnoteText"/>
        <w:rPr>
          <w:rFonts w:asciiTheme="majorHAnsi" w:hAnsiTheme="majorHAnsi"/>
          <w:sz w:val="16"/>
          <w:szCs w:val="16"/>
        </w:rPr>
      </w:pPr>
      <w:r w:rsidRPr="00CA06E5">
        <w:rPr>
          <w:rStyle w:val="FootnoteReference"/>
          <w:rFonts w:asciiTheme="majorHAnsi" w:hAnsiTheme="majorHAnsi"/>
          <w:sz w:val="16"/>
          <w:szCs w:val="16"/>
        </w:rPr>
        <w:footnoteRef/>
      </w:r>
      <w:r w:rsidRPr="00CA06E5">
        <w:rPr>
          <w:rFonts w:asciiTheme="majorHAnsi" w:hAnsiTheme="majorHAnsi"/>
          <w:sz w:val="16"/>
          <w:szCs w:val="16"/>
        </w:rPr>
        <w:t xml:space="preserve"> United States v Bolden, 545 F. 3d 609 (8</w:t>
      </w:r>
      <w:r w:rsidRPr="00CA06E5">
        <w:rPr>
          <w:rFonts w:asciiTheme="majorHAnsi" w:hAnsiTheme="majorHAnsi"/>
          <w:sz w:val="16"/>
          <w:szCs w:val="16"/>
          <w:vertAlign w:val="superscript"/>
        </w:rPr>
        <w:t>th</w:t>
      </w:r>
      <w:r w:rsidRPr="00CA06E5">
        <w:rPr>
          <w:rFonts w:asciiTheme="majorHAnsi" w:hAnsiTheme="majorHAnsi"/>
          <w:sz w:val="16"/>
          <w:szCs w:val="16"/>
        </w:rPr>
        <w:t xml:space="preserve"> Cir. 2008).</w:t>
      </w:r>
    </w:p>
  </w:footnote>
  <w:footnote w:id="20">
    <w:p w14:paraId="297268C8" w14:textId="77777777" w:rsidR="002B2833" w:rsidRPr="00CA06E5" w:rsidRDefault="002B2833">
      <w:pPr>
        <w:pStyle w:val="FootnoteText"/>
        <w:rPr>
          <w:rFonts w:asciiTheme="majorHAnsi" w:hAnsiTheme="majorHAnsi"/>
          <w:sz w:val="16"/>
          <w:szCs w:val="16"/>
        </w:rPr>
      </w:pPr>
      <w:r w:rsidRPr="00CA06E5">
        <w:rPr>
          <w:rStyle w:val="FootnoteReference"/>
          <w:rFonts w:asciiTheme="majorHAnsi" w:hAnsiTheme="majorHAnsi"/>
          <w:sz w:val="16"/>
          <w:szCs w:val="16"/>
        </w:rPr>
        <w:footnoteRef/>
      </w:r>
      <w:r w:rsidRPr="00CA06E5">
        <w:rPr>
          <w:rFonts w:asciiTheme="majorHAnsi" w:hAnsiTheme="majorHAnsi"/>
          <w:sz w:val="16"/>
          <w:szCs w:val="16"/>
        </w:rPr>
        <w:t xml:space="preserve"> United States v Bolden, 558 U.S. 1077 (2009).</w:t>
      </w:r>
    </w:p>
  </w:footnote>
  <w:footnote w:id="21">
    <w:p w14:paraId="252A8C09" w14:textId="77777777" w:rsidR="002B2833" w:rsidRPr="00CA06E5" w:rsidRDefault="002B2833">
      <w:pPr>
        <w:pStyle w:val="FootnoteText"/>
        <w:rPr>
          <w:rFonts w:asciiTheme="majorHAnsi" w:hAnsiTheme="majorHAnsi"/>
          <w:sz w:val="16"/>
          <w:szCs w:val="16"/>
        </w:rPr>
      </w:pPr>
      <w:r w:rsidRPr="00CA06E5">
        <w:rPr>
          <w:rStyle w:val="FootnoteReference"/>
          <w:rFonts w:asciiTheme="majorHAnsi" w:hAnsiTheme="majorHAnsi"/>
          <w:sz w:val="16"/>
          <w:szCs w:val="16"/>
        </w:rPr>
        <w:footnoteRef/>
      </w:r>
      <w:r w:rsidRPr="00CA06E5">
        <w:rPr>
          <w:rFonts w:asciiTheme="majorHAnsi" w:hAnsiTheme="majorHAnsi"/>
          <w:sz w:val="16"/>
          <w:szCs w:val="16"/>
        </w:rPr>
        <w:t xml:space="preserve"> </w:t>
      </w:r>
      <w:r w:rsidRPr="00CA06E5">
        <w:rPr>
          <w:rFonts w:asciiTheme="majorHAnsi" w:eastAsia="Times New Roman" w:hAnsiTheme="majorHAnsi"/>
          <w:iCs/>
          <w:sz w:val="16"/>
          <w:szCs w:val="16"/>
          <w:bdr w:val="none" w:sz="0" w:space="0" w:color="auto"/>
        </w:rPr>
        <w:t>Bolden v. United States</w:t>
      </w:r>
      <w:r w:rsidRPr="00CA06E5">
        <w:rPr>
          <w:rFonts w:asciiTheme="majorHAnsi" w:eastAsia="Times New Roman" w:hAnsiTheme="majorHAnsi"/>
          <w:sz w:val="16"/>
          <w:szCs w:val="16"/>
          <w:bdr w:val="none" w:sz="0" w:space="0" w:color="auto"/>
        </w:rPr>
        <w:t>, 171 F. Supp. 3d 891, 899 (E.D. Mo. 2016).</w:t>
      </w:r>
    </w:p>
  </w:footnote>
  <w:footnote w:id="22">
    <w:p w14:paraId="0FCBE18E" w14:textId="77777777" w:rsidR="002B2833" w:rsidRPr="0015197E" w:rsidRDefault="002B2833" w:rsidP="0015197E">
      <w:pPr>
        <w:pStyle w:val="FootnoteText"/>
      </w:pPr>
      <w:r>
        <w:rPr>
          <w:rStyle w:val="FootnoteReference"/>
        </w:rPr>
        <w:footnoteRef/>
      </w:r>
      <w:r>
        <w:t xml:space="preserve"> See</w:t>
      </w:r>
      <w:r w:rsidRPr="0015197E">
        <w:rPr>
          <w:rFonts w:asciiTheme="majorHAnsi" w:hAnsiTheme="majorHAnsi"/>
          <w:sz w:val="16"/>
          <w:szCs w:val="16"/>
        </w:rPr>
        <w:t>, Bureau of Prisons, Health Services, Blood Glucose Record, Patient Education Assessment &amp; Topic,  Health Services, Clinical Encounter.</w:t>
      </w:r>
    </w:p>
  </w:footnote>
  <w:footnote w:id="23">
    <w:p w14:paraId="6C4B04C4" w14:textId="77777777" w:rsidR="002B2833" w:rsidRPr="00CA06E5" w:rsidRDefault="002B2833" w:rsidP="00E57AC6">
      <w:pPr>
        <w:pStyle w:val="FootnoteText"/>
        <w:jc w:val="both"/>
        <w:rPr>
          <w:rFonts w:asciiTheme="majorHAnsi" w:hAnsiTheme="majorHAnsi"/>
          <w:color w:val="auto"/>
          <w:sz w:val="16"/>
          <w:szCs w:val="16"/>
        </w:rPr>
      </w:pPr>
      <w:r w:rsidRPr="00CA06E5">
        <w:rPr>
          <w:rStyle w:val="FootnoteReference"/>
          <w:rFonts w:asciiTheme="majorHAnsi" w:hAnsiTheme="majorHAnsi"/>
          <w:color w:val="auto"/>
          <w:sz w:val="16"/>
          <w:szCs w:val="16"/>
        </w:rPr>
        <w:footnoteRef/>
      </w:r>
      <w:r w:rsidRPr="00CA06E5">
        <w:rPr>
          <w:rFonts w:asciiTheme="majorHAnsi" w:hAnsiTheme="majorHAnsi"/>
          <w:color w:val="auto"/>
          <w:sz w:val="16"/>
          <w:szCs w:val="16"/>
        </w:rPr>
        <w:t xml:space="preserve"> See, for example: I/A Court H. R., Advisory Opinion OC-16/99 (October 1, 1999), </w:t>
      </w:r>
      <w:r w:rsidRPr="00CA06E5">
        <w:rPr>
          <w:rFonts w:asciiTheme="majorHAnsi" w:hAnsiTheme="majorHAnsi"/>
          <w:iCs/>
          <w:color w:val="auto"/>
          <w:sz w:val="16"/>
          <w:szCs w:val="16"/>
        </w:rPr>
        <w:t>The Right to Information on Consular Assistance in the Framework of the Guarantees of the Due Process of Law</w:t>
      </w:r>
      <w:r w:rsidRPr="00CA06E5">
        <w:rPr>
          <w:rFonts w:asciiTheme="majorHAnsi" w:hAnsiTheme="majorHAnsi"/>
          <w:color w:val="auto"/>
          <w:sz w:val="16"/>
          <w:szCs w:val="16"/>
        </w:rPr>
        <w:t xml:space="preserve">, para. 136; United Nations Human Rights Committee, </w:t>
      </w:r>
      <w:r w:rsidRPr="00CA06E5">
        <w:rPr>
          <w:rFonts w:asciiTheme="majorHAnsi" w:hAnsiTheme="majorHAnsi"/>
          <w:iCs/>
          <w:color w:val="auto"/>
          <w:sz w:val="16"/>
          <w:szCs w:val="16"/>
        </w:rPr>
        <w:t>Baboheram-Adhin et al. v. Suriname</w:t>
      </w:r>
      <w:r w:rsidRPr="00CA06E5">
        <w:rPr>
          <w:rFonts w:asciiTheme="majorHAnsi" w:hAnsiTheme="majorHAnsi"/>
          <w:color w:val="auto"/>
          <w:sz w:val="16"/>
          <w:szCs w:val="16"/>
        </w:rPr>
        <w:t>,</w:t>
      </w:r>
      <w:r w:rsidRPr="00CA06E5">
        <w:rPr>
          <w:rFonts w:asciiTheme="majorHAnsi" w:hAnsiTheme="majorHAnsi"/>
          <w:iCs/>
          <w:color w:val="auto"/>
          <w:sz w:val="16"/>
          <w:szCs w:val="16"/>
        </w:rPr>
        <w:t xml:space="preserve"> </w:t>
      </w:r>
      <w:r w:rsidRPr="00CA06E5">
        <w:rPr>
          <w:rFonts w:asciiTheme="majorHAnsi" w:hAnsiTheme="majorHAnsi"/>
          <w:color w:val="auto"/>
          <w:sz w:val="16"/>
          <w:szCs w:val="16"/>
        </w:rPr>
        <w:t xml:space="preserve">Communications Nos. 148-154/1983, adopted on April 4, 1985, para. 14.3; </w:t>
      </w:r>
      <w:r w:rsidRPr="00CA06E5">
        <w:rPr>
          <w:rFonts w:asciiTheme="majorHAnsi" w:hAnsiTheme="majorHAnsi"/>
          <w:iCs/>
          <w:color w:val="auto"/>
          <w:sz w:val="16"/>
          <w:szCs w:val="16"/>
        </w:rPr>
        <w:t>Report of the United Nations Special Rapporteur on Extrajudicial Executions</w:t>
      </w:r>
      <w:r w:rsidRPr="00CA06E5">
        <w:rPr>
          <w:rFonts w:asciiTheme="majorHAnsi" w:hAnsiTheme="majorHAnsi"/>
          <w:color w:val="auto"/>
          <w:sz w:val="16"/>
          <w:szCs w:val="16"/>
        </w:rPr>
        <w:t>, Bacre Waly Ndiaye, submitted pursuant to Commission on Human Rights Resolution 1994/82, Question of the Violation of Human Rights and Fundamental Freedoms in any part of the World, with particular reference to Colonial and Other Dependent Countries and Territories, UN Doc.E/CN.4/1995/61 (December 14, 1994), para. 378.</w:t>
      </w:r>
    </w:p>
  </w:footnote>
  <w:footnote w:id="24">
    <w:p w14:paraId="1502C8B2" w14:textId="77777777" w:rsidR="002B2833" w:rsidRPr="00CA06E5" w:rsidRDefault="002B2833" w:rsidP="00E57AC6">
      <w:pPr>
        <w:pStyle w:val="FootnoteText"/>
        <w:jc w:val="both"/>
        <w:rPr>
          <w:rFonts w:asciiTheme="majorHAnsi" w:hAnsiTheme="majorHAnsi"/>
          <w:color w:val="auto"/>
          <w:sz w:val="16"/>
          <w:szCs w:val="16"/>
        </w:rPr>
      </w:pPr>
      <w:r w:rsidRPr="00CA06E5">
        <w:rPr>
          <w:rStyle w:val="FootnoteReference"/>
          <w:rFonts w:asciiTheme="majorHAnsi" w:hAnsiTheme="majorHAnsi"/>
          <w:color w:val="auto"/>
          <w:sz w:val="16"/>
          <w:szCs w:val="16"/>
        </w:rPr>
        <w:footnoteRef/>
      </w:r>
      <w:r w:rsidRPr="00CA06E5">
        <w:rPr>
          <w:rFonts w:asciiTheme="majorHAnsi" w:hAnsiTheme="majorHAnsi"/>
          <w:color w:val="auto"/>
          <w:sz w:val="16"/>
          <w:szCs w:val="16"/>
        </w:rPr>
        <w:t xml:space="preserve"> IACHR,</w:t>
      </w:r>
      <w:r w:rsidRPr="00CA06E5">
        <w:rPr>
          <w:rFonts w:asciiTheme="majorHAnsi" w:hAnsiTheme="majorHAnsi"/>
          <w:iCs/>
          <w:color w:val="auto"/>
          <w:sz w:val="16"/>
          <w:szCs w:val="16"/>
        </w:rPr>
        <w:t xml:space="preserve"> </w:t>
      </w:r>
      <w:r w:rsidRPr="00CA06E5">
        <w:rPr>
          <w:rFonts w:asciiTheme="majorHAnsi" w:hAnsiTheme="majorHAnsi"/>
          <w:color w:val="auto"/>
          <w:sz w:val="16"/>
          <w:szCs w:val="16"/>
        </w:rPr>
        <w:t xml:space="preserve">Report No. 57/96, </w:t>
      </w:r>
      <w:r w:rsidRPr="00CA06E5">
        <w:rPr>
          <w:rFonts w:asciiTheme="majorHAnsi" w:hAnsiTheme="majorHAnsi"/>
          <w:iCs/>
          <w:color w:val="auto"/>
          <w:sz w:val="16"/>
          <w:szCs w:val="16"/>
        </w:rPr>
        <w:t>Andrews, United States</w:t>
      </w:r>
      <w:r w:rsidRPr="00CA06E5">
        <w:rPr>
          <w:rFonts w:asciiTheme="majorHAnsi" w:hAnsiTheme="majorHAnsi"/>
          <w:color w:val="auto"/>
          <w:sz w:val="16"/>
          <w:szCs w:val="16"/>
        </w:rPr>
        <w:t xml:space="preserve">, IACHR Annual Report 1997, para. 170-171; Report No. 38/00 Baptiste, Grenada, IACHR Annual Report 1999, paras. 64-66; Report No. 41/00, McKenzie </w:t>
      </w:r>
      <w:r w:rsidRPr="00CA06E5">
        <w:rPr>
          <w:rFonts w:asciiTheme="majorHAnsi" w:hAnsiTheme="majorHAnsi"/>
          <w:iCs/>
          <w:color w:val="auto"/>
          <w:sz w:val="16"/>
          <w:szCs w:val="16"/>
        </w:rPr>
        <w:t>et al.,</w:t>
      </w:r>
      <w:r w:rsidRPr="00CA06E5">
        <w:rPr>
          <w:rFonts w:asciiTheme="majorHAnsi" w:hAnsiTheme="majorHAnsi"/>
          <w:color w:val="auto"/>
          <w:sz w:val="16"/>
          <w:szCs w:val="16"/>
        </w:rPr>
        <w:t xml:space="preserve"> Jamaica, IACHR Annual Report 1999, paras. 169-171.</w:t>
      </w:r>
    </w:p>
  </w:footnote>
  <w:footnote w:id="25">
    <w:p w14:paraId="26DA00F3" w14:textId="77777777" w:rsidR="002B2833" w:rsidRPr="00CA06E5" w:rsidRDefault="002B2833" w:rsidP="00E57AC6">
      <w:pPr>
        <w:autoSpaceDE w:val="0"/>
        <w:autoSpaceDN w:val="0"/>
        <w:adjustRightInd w:val="0"/>
        <w:jc w:val="both"/>
        <w:rPr>
          <w:rFonts w:asciiTheme="majorHAnsi" w:hAnsiTheme="majorHAnsi"/>
          <w:sz w:val="16"/>
          <w:szCs w:val="16"/>
        </w:rPr>
      </w:pPr>
      <w:r w:rsidRPr="00CA06E5">
        <w:rPr>
          <w:rStyle w:val="FootnoteReference"/>
          <w:rFonts w:asciiTheme="majorHAnsi" w:hAnsiTheme="majorHAnsi"/>
          <w:sz w:val="16"/>
          <w:szCs w:val="16"/>
        </w:rPr>
        <w:footnoteRef/>
      </w:r>
      <w:r w:rsidRPr="00CA06E5">
        <w:rPr>
          <w:rFonts w:asciiTheme="majorHAnsi" w:hAnsiTheme="majorHAnsi"/>
          <w:sz w:val="16"/>
          <w:szCs w:val="16"/>
        </w:rPr>
        <w:t xml:space="preserve"> IACHR, The death penalty in the Inter-American System of Human Rights: From restrictions to abolition, </w:t>
      </w:r>
      <w:r w:rsidRPr="00CA06E5">
        <w:rPr>
          <w:rFonts w:asciiTheme="majorHAnsi" w:hAnsiTheme="majorHAnsi" w:cs="Calibri"/>
          <w:sz w:val="16"/>
          <w:szCs w:val="16"/>
        </w:rPr>
        <w:t xml:space="preserve">OEA/Ser.L/V/II.Doc. 68, December 31, 2011, </w:t>
      </w:r>
      <w:r w:rsidRPr="00CA06E5">
        <w:rPr>
          <w:rFonts w:asciiTheme="majorHAnsi" w:hAnsiTheme="majorHAnsi"/>
          <w:sz w:val="16"/>
          <w:szCs w:val="16"/>
        </w:rPr>
        <w:t>para. 41.</w:t>
      </w:r>
    </w:p>
  </w:footnote>
  <w:footnote w:id="26">
    <w:p w14:paraId="14632B2B" w14:textId="77777777" w:rsidR="002B2833" w:rsidRPr="00CA06E5" w:rsidRDefault="002B2833" w:rsidP="00E57AC6">
      <w:pPr>
        <w:autoSpaceDE w:val="0"/>
        <w:autoSpaceDN w:val="0"/>
        <w:adjustRightInd w:val="0"/>
        <w:jc w:val="both"/>
        <w:rPr>
          <w:rFonts w:asciiTheme="majorHAnsi" w:hAnsiTheme="majorHAnsi"/>
          <w:sz w:val="16"/>
          <w:szCs w:val="16"/>
        </w:rPr>
      </w:pPr>
      <w:r w:rsidRPr="00CA06E5">
        <w:rPr>
          <w:rStyle w:val="FootnoteReference"/>
          <w:rFonts w:asciiTheme="majorHAnsi" w:hAnsiTheme="majorHAnsi"/>
          <w:sz w:val="16"/>
          <w:szCs w:val="16"/>
        </w:rPr>
        <w:footnoteRef/>
      </w:r>
      <w:r w:rsidRPr="00CA06E5">
        <w:rPr>
          <w:rFonts w:asciiTheme="majorHAnsi" w:hAnsiTheme="majorHAnsi"/>
          <w:sz w:val="16"/>
          <w:szCs w:val="16"/>
        </w:rPr>
        <w:t xml:space="preserve"> IACHR, Report No. 78/07, Case 12.265, Merits (Publication), Chad Roger Goodman, The Bahamas, October 15, 2007, para. 34.</w:t>
      </w:r>
    </w:p>
  </w:footnote>
  <w:footnote w:id="27">
    <w:p w14:paraId="3B7BCFA3" w14:textId="77777777" w:rsidR="002B2833" w:rsidRPr="00CA06E5" w:rsidRDefault="002B2833" w:rsidP="00E57AC6">
      <w:pPr>
        <w:pStyle w:val="FootnoteText"/>
        <w:jc w:val="both"/>
        <w:rPr>
          <w:rFonts w:asciiTheme="majorHAnsi" w:hAnsiTheme="majorHAnsi" w:cs="Times New Roman"/>
          <w:color w:val="auto"/>
          <w:sz w:val="16"/>
          <w:szCs w:val="16"/>
        </w:rPr>
      </w:pPr>
      <w:r w:rsidRPr="00CA06E5">
        <w:rPr>
          <w:rStyle w:val="FootnoteReference"/>
          <w:rFonts w:asciiTheme="majorHAnsi" w:hAnsiTheme="majorHAnsi"/>
          <w:color w:val="auto"/>
          <w:sz w:val="16"/>
          <w:szCs w:val="16"/>
        </w:rPr>
        <w:footnoteRef/>
      </w:r>
      <w:r w:rsidRPr="00CA06E5">
        <w:rPr>
          <w:rFonts w:asciiTheme="majorHAnsi" w:hAnsiTheme="majorHAnsi"/>
          <w:color w:val="auto"/>
          <w:sz w:val="16"/>
          <w:szCs w:val="16"/>
        </w:rPr>
        <w:t xml:space="preserve"> IACHR, Report No. 44/14, Case 12,873, Report on Merits (Publication), Edgar Tamayo Arias, United States, July 17, 2014, para. 214.</w:t>
      </w:r>
    </w:p>
  </w:footnote>
  <w:footnote w:id="28">
    <w:p w14:paraId="17D970D7" w14:textId="77777777" w:rsidR="002B2833" w:rsidRPr="00CA06E5" w:rsidRDefault="002B2833" w:rsidP="00D12883">
      <w:pPr>
        <w:pStyle w:val="FootnoteText"/>
        <w:jc w:val="both"/>
        <w:rPr>
          <w:rFonts w:asciiTheme="majorHAnsi" w:hAnsiTheme="majorHAnsi"/>
          <w:sz w:val="16"/>
          <w:szCs w:val="16"/>
        </w:rPr>
      </w:pPr>
      <w:r w:rsidRPr="00CA06E5">
        <w:rPr>
          <w:rStyle w:val="FootnoteReference"/>
          <w:rFonts w:asciiTheme="majorHAnsi" w:hAnsiTheme="majorHAnsi"/>
          <w:sz w:val="16"/>
          <w:szCs w:val="16"/>
        </w:rPr>
        <w:footnoteRef/>
      </w:r>
      <w:r w:rsidRPr="00CA06E5">
        <w:rPr>
          <w:rFonts w:asciiTheme="majorHAnsi" w:hAnsiTheme="majorHAnsi"/>
          <w:sz w:val="16"/>
          <w:szCs w:val="16"/>
        </w:rPr>
        <w:t xml:space="preserve"> </w:t>
      </w:r>
      <w:r w:rsidRPr="00CA06E5">
        <w:rPr>
          <w:rFonts w:asciiTheme="majorHAnsi" w:eastAsia="Arial Unicode MS" w:hAnsiTheme="majorHAnsi" w:cs="Times New Roman"/>
          <w:color w:val="auto"/>
          <w:sz w:val="16"/>
          <w:szCs w:val="16"/>
          <w:lang w:eastAsia="en-US"/>
        </w:rPr>
        <w:t xml:space="preserve">Article XVIII of the American Declaration establishes: </w:t>
      </w:r>
      <w:r w:rsidRPr="00CA06E5">
        <w:rPr>
          <w:rFonts w:asciiTheme="majorHAnsi" w:hAnsiTheme="majorHAnsi"/>
          <w:sz w:val="16"/>
          <w:szCs w:val="16"/>
        </w:rPr>
        <w:t>Every person may resort to the courts to ensure respect for his legal rights. There should likewise be available to him a simple, brief procedure whereby the courts will protect him from acts of authority that, to his prejudice, violate any fundamental constitutional rights.</w:t>
      </w:r>
    </w:p>
  </w:footnote>
  <w:footnote w:id="29">
    <w:p w14:paraId="0BCAACAB" w14:textId="77777777" w:rsidR="002B2833" w:rsidRPr="00CA06E5" w:rsidRDefault="002B2833" w:rsidP="009C03AE">
      <w:pPr>
        <w:pStyle w:val="FootnoteText"/>
        <w:jc w:val="both"/>
      </w:pPr>
      <w:r w:rsidRPr="00CA06E5">
        <w:rPr>
          <w:rStyle w:val="FootnoteReference"/>
          <w:rFonts w:asciiTheme="majorHAnsi" w:hAnsiTheme="majorHAnsi"/>
          <w:sz w:val="16"/>
          <w:szCs w:val="16"/>
        </w:rPr>
        <w:footnoteRef/>
      </w:r>
      <w:r w:rsidRPr="00CA06E5">
        <w:rPr>
          <w:rStyle w:val="FootnoteReference"/>
          <w:rFonts w:asciiTheme="majorHAnsi" w:hAnsiTheme="majorHAnsi"/>
          <w:sz w:val="16"/>
          <w:szCs w:val="16"/>
        </w:rPr>
        <w:t xml:space="preserve"> </w:t>
      </w:r>
      <w:r w:rsidRPr="00CA06E5">
        <w:rPr>
          <w:rFonts w:asciiTheme="majorHAnsi" w:eastAsia="Arial Unicode MS" w:hAnsiTheme="majorHAnsi" w:cs="Times New Roman"/>
          <w:color w:val="auto"/>
          <w:sz w:val="16"/>
          <w:szCs w:val="16"/>
          <w:lang w:eastAsia="en-US"/>
        </w:rPr>
        <w:t xml:space="preserve">Article XXIV of the American Declaration establishes: </w:t>
      </w:r>
      <w:r w:rsidRPr="00CA06E5">
        <w:rPr>
          <w:rFonts w:asciiTheme="majorHAnsi" w:hAnsiTheme="majorHAnsi"/>
          <w:sz w:val="16"/>
          <w:szCs w:val="16"/>
        </w:rPr>
        <w:t>Every person has the right to submit respectful petitions to any competent authority, for reasons of either general or private interest, and the right to obtain a prompt decision thereon.</w:t>
      </w:r>
    </w:p>
  </w:footnote>
  <w:footnote w:id="30">
    <w:p w14:paraId="794ED750" w14:textId="77777777" w:rsidR="002B2833" w:rsidRPr="00CA06E5" w:rsidRDefault="002B2833" w:rsidP="00D12883">
      <w:pPr>
        <w:pStyle w:val="FootnoteText"/>
        <w:jc w:val="both"/>
        <w:rPr>
          <w:rFonts w:asciiTheme="majorHAnsi" w:hAnsiTheme="majorHAnsi"/>
          <w:sz w:val="16"/>
          <w:szCs w:val="16"/>
        </w:rPr>
      </w:pPr>
      <w:r w:rsidRPr="00CA06E5">
        <w:rPr>
          <w:rStyle w:val="FootnoteReference"/>
          <w:rFonts w:asciiTheme="majorHAnsi" w:hAnsiTheme="majorHAnsi"/>
          <w:sz w:val="16"/>
          <w:szCs w:val="16"/>
        </w:rPr>
        <w:footnoteRef/>
      </w:r>
      <w:r w:rsidRPr="00CA06E5">
        <w:rPr>
          <w:rFonts w:asciiTheme="majorHAnsi" w:hAnsiTheme="majorHAnsi"/>
          <w:sz w:val="16"/>
          <w:szCs w:val="16"/>
        </w:rPr>
        <w:t xml:space="preserve"> </w:t>
      </w:r>
      <w:r w:rsidRPr="00CA06E5">
        <w:rPr>
          <w:rFonts w:asciiTheme="majorHAnsi" w:eastAsia="Arial Unicode MS" w:hAnsiTheme="majorHAnsi" w:cs="Times New Roman"/>
          <w:color w:val="auto"/>
          <w:sz w:val="16"/>
          <w:szCs w:val="16"/>
          <w:lang w:eastAsia="en-US"/>
        </w:rPr>
        <w:t>Article XXVI of the American Declaration establishes:</w:t>
      </w:r>
      <w:r w:rsidRPr="00CA06E5">
        <w:rPr>
          <w:rStyle w:val="FootnoteReference"/>
          <w:rFonts w:asciiTheme="majorHAnsi" w:hAnsiTheme="majorHAnsi"/>
          <w:sz w:val="16"/>
          <w:szCs w:val="16"/>
        </w:rPr>
        <w:t xml:space="preserve"> </w:t>
      </w:r>
      <w:r w:rsidRPr="00CA06E5">
        <w:rPr>
          <w:rFonts w:asciiTheme="majorHAnsi" w:hAnsiTheme="majorHAnsi"/>
          <w:sz w:val="16"/>
          <w:szCs w:val="16"/>
        </w:rPr>
        <w:t>Every accused person is presumed to be innocent until proved guilty.</w:t>
      </w:r>
    </w:p>
    <w:p w14:paraId="60A704EF" w14:textId="77777777" w:rsidR="002B2833" w:rsidRPr="00CA06E5" w:rsidRDefault="002B2833" w:rsidP="00D12883">
      <w:pPr>
        <w:pStyle w:val="FootnoteText"/>
        <w:jc w:val="both"/>
      </w:pPr>
      <w:r w:rsidRPr="00CA06E5">
        <w:rPr>
          <w:rFonts w:asciiTheme="majorHAnsi" w:hAnsiTheme="majorHAnsi"/>
          <w:sz w:val="16"/>
          <w:szCs w:val="16"/>
        </w:rPr>
        <w:t>Every person accused of an offense has the right to be given an impartial and public hearing, and to be tried by courts previously established in accordance with pre-existing laws, and not to receive cruel, infamous or unusual punishment.</w:t>
      </w:r>
    </w:p>
  </w:footnote>
  <w:footnote w:id="31">
    <w:p w14:paraId="02751BD2" w14:textId="77777777" w:rsidR="002B2833" w:rsidRPr="00482052" w:rsidRDefault="002B2833" w:rsidP="00FD3996">
      <w:pPr>
        <w:pStyle w:val="FootnoteText"/>
        <w:jc w:val="both"/>
        <w:rPr>
          <w:rFonts w:ascii="Cambria" w:hAnsi="Cambria"/>
          <w:sz w:val="16"/>
          <w:szCs w:val="16"/>
        </w:rPr>
      </w:pPr>
      <w:r w:rsidRPr="00CA06E5">
        <w:rPr>
          <w:rStyle w:val="FootnoteReference"/>
          <w:rFonts w:ascii="Cambria" w:hAnsi="Cambria" w:cs="Arial"/>
          <w:sz w:val="16"/>
          <w:szCs w:val="16"/>
        </w:rPr>
        <w:footnoteRef/>
      </w:r>
      <w:r w:rsidRPr="00CA06E5">
        <w:rPr>
          <w:rFonts w:ascii="Cambria" w:hAnsi="Cambria" w:cs="Arial"/>
          <w:sz w:val="16"/>
          <w:szCs w:val="16"/>
        </w:rPr>
        <w:t xml:space="preserve"> IACHR, </w:t>
      </w:r>
      <w:r w:rsidRPr="00CA06E5">
        <w:rPr>
          <w:rFonts w:ascii="Cambria" w:hAnsi="Cambria" w:cs="Arial"/>
          <w:bCs/>
          <w:sz w:val="16"/>
          <w:szCs w:val="16"/>
        </w:rPr>
        <w:t>Report No. 90/09</w:t>
      </w:r>
      <w:r w:rsidRPr="00CA06E5">
        <w:rPr>
          <w:rFonts w:ascii="Cambria" w:hAnsi="Cambria" w:cs="Arial"/>
          <w:sz w:val="16"/>
          <w:szCs w:val="16"/>
        </w:rPr>
        <w:t xml:space="preserve">, Case 12.644, Admissibility and Merits (Publication), Medellín, Ramírez Cardenas and Leal García, United States, August 7, 2009, paras 124-132.  See also, IACHR, </w:t>
      </w:r>
      <w:r w:rsidRPr="00CA06E5">
        <w:rPr>
          <w:rFonts w:ascii="Cambria" w:hAnsi="Cambria" w:cs="Arial"/>
          <w:sz w:val="16"/>
          <w:szCs w:val="16"/>
          <w:lang w:val="en-GB"/>
        </w:rPr>
        <w:t xml:space="preserve">Report No. 91/05 (Javier Suarez Medina), United States, Annual Report of the IACHR 2005; </w:t>
      </w:r>
      <w:r w:rsidRPr="00482052">
        <w:rPr>
          <w:rFonts w:ascii="Cambria" w:hAnsi="Cambria" w:cs="Arial"/>
          <w:sz w:val="16"/>
          <w:szCs w:val="16"/>
          <w:lang w:val="en-GB"/>
        </w:rPr>
        <w:t>Report No. 1/05 (Roberto Moreno Ramos), United States, Annual Report of the IACHR 2005; and Report 52/02, Case 11.753 (Ramón Martinez Villarreal), United States, Annual Report of the IACHR 2002.</w:t>
      </w:r>
    </w:p>
  </w:footnote>
  <w:footnote w:id="32">
    <w:p w14:paraId="7F715BC4" w14:textId="17A215E5" w:rsidR="002B2833" w:rsidRPr="00482052" w:rsidRDefault="002B2833" w:rsidP="003339C8">
      <w:pPr>
        <w:jc w:val="both"/>
        <w:rPr>
          <w:rFonts w:ascii="Tahoma" w:eastAsia="Times New Roman" w:hAnsi="Tahoma" w:cs="Tahoma"/>
          <w:color w:val="000000"/>
          <w:sz w:val="20"/>
          <w:szCs w:val="20"/>
        </w:rPr>
      </w:pPr>
      <w:r w:rsidRPr="00482052">
        <w:rPr>
          <w:rStyle w:val="FootnoteReference"/>
          <w:rFonts w:ascii="Cambria" w:eastAsia="Calibri" w:hAnsi="Cambria" w:cs="Arial"/>
          <w:color w:val="000000"/>
          <w:sz w:val="16"/>
          <w:szCs w:val="16"/>
          <w:u w:color="000000"/>
          <w:lang w:eastAsia="es-ES"/>
        </w:rPr>
        <w:footnoteRef/>
      </w:r>
      <w:r w:rsidRPr="00482052">
        <w:rPr>
          <w:rStyle w:val="FootnoteReference"/>
          <w:rFonts w:ascii="Cambria" w:eastAsia="Calibri" w:hAnsi="Cambria" w:cs="Arial"/>
          <w:color w:val="000000"/>
          <w:sz w:val="16"/>
          <w:szCs w:val="16"/>
          <w:u w:color="000000"/>
          <w:lang w:eastAsia="es-ES"/>
        </w:rPr>
        <w:t xml:space="preserve"> </w:t>
      </w:r>
      <w:r w:rsidRPr="00482052">
        <w:rPr>
          <w:rFonts w:ascii="Cambria" w:eastAsia="Calibri" w:hAnsi="Cambria" w:cs="Arial"/>
          <w:bCs/>
          <w:sz w:val="16"/>
          <w:szCs w:val="16"/>
          <w:u w:color="000000"/>
          <w:lang w:val="en-GB" w:eastAsia="es-ES"/>
        </w:rPr>
        <w:t>I/A Court H.R., The Right to Information on Consular Assistance in the Framework of the Guarantees of the due Process of Law. Advisory Opinion OC-16/99 of October 1, 1999. Series A No.16, para. 81.</w:t>
      </w:r>
    </w:p>
  </w:footnote>
  <w:footnote w:id="33">
    <w:p w14:paraId="61B8F658" w14:textId="77777777" w:rsidR="002B2833" w:rsidRPr="00CA06E5" w:rsidRDefault="002B2833" w:rsidP="00FD3996">
      <w:pPr>
        <w:pStyle w:val="FootnoteText"/>
        <w:jc w:val="both"/>
        <w:rPr>
          <w:rFonts w:ascii="Cambria" w:hAnsi="Cambria"/>
          <w:sz w:val="16"/>
          <w:szCs w:val="16"/>
        </w:rPr>
      </w:pPr>
      <w:r w:rsidRPr="00482052">
        <w:rPr>
          <w:rStyle w:val="FootnoteReference"/>
          <w:rFonts w:ascii="Cambria" w:hAnsi="Cambria" w:cs="Arial"/>
          <w:sz w:val="16"/>
          <w:szCs w:val="16"/>
        </w:rPr>
        <w:footnoteRef/>
      </w:r>
      <w:r w:rsidRPr="00482052">
        <w:rPr>
          <w:rFonts w:ascii="Cambria" w:hAnsi="Cambria" w:cs="Arial"/>
          <w:sz w:val="16"/>
          <w:szCs w:val="16"/>
        </w:rPr>
        <w:t xml:space="preserve"> American Bar Association, </w:t>
      </w:r>
      <w:r w:rsidRPr="00482052">
        <w:rPr>
          <w:rFonts w:ascii="Cambria" w:hAnsi="Cambria" w:cs="Arial"/>
          <w:i/>
          <w:iCs/>
          <w:sz w:val="16"/>
          <w:szCs w:val="16"/>
        </w:rPr>
        <w:t>Guidelines for the Appointment and Performance of Defense Counsel in Death Penalty Cases</w:t>
      </w:r>
      <w:r w:rsidRPr="00482052">
        <w:rPr>
          <w:rFonts w:ascii="Cambria" w:hAnsi="Cambria" w:cs="Arial"/>
          <w:sz w:val="16"/>
          <w:szCs w:val="16"/>
        </w:rPr>
        <w:t xml:space="preserve"> (Revised Edition) (February 2003), Guideline 10.6B “Additional Obligations of Counsel Representing</w:t>
      </w:r>
      <w:r w:rsidRPr="00CA06E5">
        <w:rPr>
          <w:rFonts w:ascii="Cambria" w:hAnsi="Cambria" w:cs="Arial"/>
          <w:sz w:val="16"/>
          <w:szCs w:val="16"/>
        </w:rPr>
        <w:t xml:space="preserve"> a Foreign National.”</w:t>
      </w:r>
    </w:p>
  </w:footnote>
  <w:footnote w:id="34">
    <w:p w14:paraId="0FCF6A83" w14:textId="77777777" w:rsidR="002B2833" w:rsidRPr="00CA06E5" w:rsidRDefault="002B2833" w:rsidP="005D3E9A">
      <w:pPr>
        <w:pStyle w:val="FootnoteText"/>
        <w:jc w:val="both"/>
        <w:rPr>
          <w:rFonts w:asciiTheme="majorHAnsi" w:hAnsiTheme="majorHAnsi"/>
          <w:sz w:val="16"/>
          <w:szCs w:val="16"/>
        </w:rPr>
      </w:pPr>
      <w:r w:rsidRPr="00CA06E5">
        <w:rPr>
          <w:rStyle w:val="FootnoteReference"/>
          <w:rFonts w:asciiTheme="majorHAnsi" w:hAnsiTheme="majorHAnsi"/>
          <w:sz w:val="16"/>
          <w:szCs w:val="16"/>
        </w:rPr>
        <w:footnoteRef/>
      </w:r>
      <w:r w:rsidRPr="00CA06E5">
        <w:rPr>
          <w:rFonts w:asciiTheme="majorHAnsi" w:hAnsiTheme="majorHAnsi"/>
          <w:sz w:val="16"/>
          <w:szCs w:val="16"/>
        </w:rPr>
        <w:t xml:space="preserve"> The New York Times. 4 Immigran Killings Linked to Russian Kidnapping Gang. March 23, 2002. Available at: </w:t>
      </w:r>
      <w:hyperlink r:id="rId5" w:history="1">
        <w:r w:rsidRPr="00CA06E5">
          <w:rPr>
            <w:rStyle w:val="Hyperlink"/>
            <w:rFonts w:asciiTheme="majorHAnsi" w:hAnsiTheme="majorHAnsi"/>
            <w:sz w:val="16"/>
            <w:szCs w:val="16"/>
          </w:rPr>
          <w:t>https://www.nytimes.com/2002/03/23/us/4-immigrant-killings-linked-to-russian-kidnapping-gang.html</w:t>
        </w:r>
      </w:hyperlink>
      <w:r w:rsidRPr="00CA06E5">
        <w:rPr>
          <w:rFonts w:asciiTheme="majorHAnsi" w:hAnsiTheme="majorHAnsi"/>
          <w:sz w:val="16"/>
          <w:szCs w:val="16"/>
        </w:rPr>
        <w:t xml:space="preserve"> </w:t>
      </w:r>
    </w:p>
  </w:footnote>
  <w:footnote w:id="35">
    <w:p w14:paraId="2335D438" w14:textId="77777777" w:rsidR="002B2833" w:rsidRPr="00CA06E5" w:rsidRDefault="002B2833" w:rsidP="00893298">
      <w:pPr>
        <w:pStyle w:val="FootnoteText"/>
        <w:jc w:val="both"/>
        <w:rPr>
          <w:rFonts w:asciiTheme="majorHAnsi" w:hAnsiTheme="majorHAnsi"/>
          <w:color w:val="auto"/>
          <w:sz w:val="16"/>
          <w:szCs w:val="16"/>
        </w:rPr>
      </w:pPr>
      <w:r w:rsidRPr="00CA06E5">
        <w:rPr>
          <w:rStyle w:val="FootnoteReference"/>
          <w:rFonts w:asciiTheme="majorHAnsi" w:hAnsiTheme="majorHAnsi"/>
          <w:color w:val="auto"/>
          <w:sz w:val="16"/>
          <w:szCs w:val="16"/>
        </w:rPr>
        <w:footnoteRef/>
      </w:r>
      <w:r w:rsidRPr="00CA06E5">
        <w:rPr>
          <w:rFonts w:asciiTheme="majorHAnsi" w:hAnsiTheme="majorHAnsi"/>
          <w:color w:val="auto"/>
          <w:sz w:val="16"/>
          <w:szCs w:val="16"/>
        </w:rPr>
        <w:t xml:space="preserve"> IACHR, The death penalty in the Inter-American System of Human Rights: From restrictions to abolition, OEA/Ser.L/V/II.Doc. 68, December 31, 2011, p. 123.</w:t>
      </w:r>
    </w:p>
  </w:footnote>
  <w:footnote w:id="36">
    <w:p w14:paraId="631B3DC3" w14:textId="77777777" w:rsidR="002B2833" w:rsidRPr="00CA06E5" w:rsidRDefault="002B2833" w:rsidP="00893298">
      <w:pPr>
        <w:pStyle w:val="FootnoteText"/>
        <w:jc w:val="both"/>
        <w:rPr>
          <w:rFonts w:asciiTheme="majorHAnsi" w:hAnsiTheme="majorHAnsi"/>
          <w:color w:val="auto"/>
          <w:sz w:val="16"/>
          <w:szCs w:val="16"/>
        </w:rPr>
      </w:pPr>
      <w:r w:rsidRPr="00CA06E5">
        <w:rPr>
          <w:rStyle w:val="FootnoteReference"/>
          <w:rFonts w:asciiTheme="majorHAnsi" w:hAnsiTheme="majorHAnsi"/>
          <w:color w:val="auto"/>
          <w:sz w:val="16"/>
          <w:szCs w:val="16"/>
        </w:rPr>
        <w:footnoteRef/>
      </w:r>
      <w:r w:rsidRPr="00CA06E5">
        <w:rPr>
          <w:rFonts w:asciiTheme="majorHAnsi" w:hAnsiTheme="majorHAnsi"/>
          <w:color w:val="auto"/>
          <w:sz w:val="16"/>
          <w:szCs w:val="16"/>
        </w:rPr>
        <w:t xml:space="preserve"> IACHR, The death penalty in the Inter-American System of Human Rights: From restrictions to abolition, OEA/Ser.L/V/II.Doc. 68, December 31, 2011, p. 123.</w:t>
      </w:r>
    </w:p>
  </w:footnote>
  <w:footnote w:id="37">
    <w:p w14:paraId="271D3E61" w14:textId="77777777" w:rsidR="002B2833" w:rsidRPr="00CA06E5" w:rsidRDefault="002B2833">
      <w:pPr>
        <w:pStyle w:val="FootnoteText"/>
        <w:rPr>
          <w:rFonts w:asciiTheme="majorHAnsi" w:hAnsiTheme="majorHAnsi"/>
          <w:sz w:val="16"/>
        </w:rPr>
      </w:pPr>
      <w:r w:rsidRPr="00CA06E5">
        <w:rPr>
          <w:rStyle w:val="FootnoteReference"/>
          <w:rFonts w:asciiTheme="majorHAnsi" w:hAnsiTheme="majorHAnsi"/>
          <w:sz w:val="16"/>
        </w:rPr>
        <w:footnoteRef/>
      </w:r>
      <w:r w:rsidRPr="00CA06E5">
        <w:rPr>
          <w:rFonts w:asciiTheme="majorHAnsi" w:hAnsiTheme="majorHAnsi"/>
          <w:sz w:val="16"/>
        </w:rPr>
        <w:t xml:space="preserve"> State appointed counsel for Mr. Kadamovas, from November 28, 2005 after the application to be relieved as counsel by Marcia Brewer.</w:t>
      </w:r>
    </w:p>
  </w:footnote>
  <w:footnote w:id="38">
    <w:p w14:paraId="27EECF3B" w14:textId="77777777" w:rsidR="002B2833" w:rsidRPr="00CA06E5" w:rsidRDefault="002B2833" w:rsidP="00A96B68">
      <w:pPr>
        <w:pStyle w:val="FootnoteText"/>
        <w:jc w:val="both"/>
        <w:rPr>
          <w:color w:val="auto"/>
        </w:rPr>
      </w:pPr>
      <w:r w:rsidRPr="00CA06E5">
        <w:rPr>
          <w:rStyle w:val="FootnoteReference"/>
          <w:rFonts w:ascii="Cambria" w:hAnsi="Cambria"/>
          <w:color w:val="auto"/>
          <w:sz w:val="16"/>
          <w:szCs w:val="16"/>
        </w:rPr>
        <w:footnoteRef/>
      </w:r>
      <w:r w:rsidRPr="00CA06E5">
        <w:rPr>
          <w:rFonts w:ascii="Cambria" w:hAnsi="Cambria"/>
          <w:color w:val="auto"/>
          <w:sz w:val="16"/>
          <w:szCs w:val="16"/>
        </w:rPr>
        <w:t xml:space="preserve">Deadly Speculation: Misleading Texas Capital Juries with False Predictions of Future Dangerousness 34 (2004) http://texasdefender.org/wp- content/uploads/TDS_Deadly-Speculation.pdf; Thomas J. Reidy, Jon R. Sorenson &amp; Mark D. Cunningham, Probability of Criminal Acts of Violence: A Test of Jury Predictive Accuracy, 31 Behav. Sci. L. 286, 289 (2013). </w:t>
      </w:r>
    </w:p>
  </w:footnote>
  <w:footnote w:id="39">
    <w:p w14:paraId="0F90C28F" w14:textId="77777777" w:rsidR="002B2833" w:rsidRPr="00CA06E5" w:rsidRDefault="002B2833" w:rsidP="00A96B68">
      <w:pPr>
        <w:pStyle w:val="FootnoteText"/>
        <w:rPr>
          <w:lang w:val="es-ES"/>
        </w:rPr>
      </w:pPr>
      <w:r w:rsidRPr="00CA06E5">
        <w:rPr>
          <w:rStyle w:val="FootnoteReference"/>
          <w:rFonts w:ascii="Cambria" w:hAnsi="Cambria"/>
          <w:color w:val="auto"/>
          <w:sz w:val="16"/>
          <w:szCs w:val="16"/>
        </w:rPr>
        <w:footnoteRef/>
      </w:r>
      <w:r w:rsidRPr="00CA06E5">
        <w:rPr>
          <w:rStyle w:val="FootnoteReference"/>
          <w:rFonts w:ascii="Cambria" w:hAnsi="Cambria"/>
          <w:color w:val="auto"/>
          <w:sz w:val="16"/>
          <w:szCs w:val="16"/>
        </w:rPr>
        <w:t xml:space="preserve"> </w:t>
      </w:r>
      <w:r w:rsidRPr="00CA06E5">
        <w:rPr>
          <w:rFonts w:asciiTheme="majorHAnsi" w:eastAsia="Arial Unicode MS" w:hAnsiTheme="majorHAnsi" w:cs="Times New Roman"/>
          <w:color w:val="auto"/>
          <w:sz w:val="16"/>
          <w:szCs w:val="16"/>
          <w:lang w:eastAsia="en-US"/>
        </w:rPr>
        <w:t xml:space="preserve">IACHR, Report No. 24/17, Case 12.254. Merits. Victor Saldaño. United States. </w:t>
      </w:r>
      <w:r w:rsidRPr="00CA06E5">
        <w:rPr>
          <w:rFonts w:asciiTheme="majorHAnsi" w:eastAsia="Arial Unicode MS" w:hAnsiTheme="majorHAnsi" w:cs="Times New Roman"/>
          <w:color w:val="auto"/>
          <w:sz w:val="16"/>
          <w:szCs w:val="16"/>
          <w:lang w:val="es-ES" w:eastAsia="en-US"/>
        </w:rPr>
        <w:t>March 18, 2017, para. 184.</w:t>
      </w:r>
    </w:p>
  </w:footnote>
  <w:footnote w:id="40">
    <w:p w14:paraId="3F849D4C" w14:textId="77777777" w:rsidR="002B2833" w:rsidRPr="00CA06E5" w:rsidRDefault="002B2833" w:rsidP="00A96B68">
      <w:pPr>
        <w:pStyle w:val="FootnoteText"/>
        <w:jc w:val="both"/>
        <w:rPr>
          <w:rFonts w:asciiTheme="majorHAnsi" w:hAnsiTheme="majorHAnsi"/>
          <w:sz w:val="16"/>
          <w:szCs w:val="16"/>
          <w:lang w:val="es-ES"/>
        </w:rPr>
      </w:pPr>
      <w:r w:rsidRPr="00CA06E5">
        <w:rPr>
          <w:rStyle w:val="FootnoteReference"/>
          <w:rFonts w:asciiTheme="majorHAnsi" w:hAnsiTheme="majorHAnsi"/>
          <w:sz w:val="16"/>
          <w:szCs w:val="16"/>
        </w:rPr>
        <w:footnoteRef/>
      </w:r>
      <w:r w:rsidRPr="00CA06E5">
        <w:rPr>
          <w:rFonts w:asciiTheme="majorHAnsi" w:hAnsiTheme="majorHAnsi"/>
          <w:sz w:val="16"/>
          <w:szCs w:val="16"/>
          <w:lang w:val="es-ES"/>
        </w:rPr>
        <w:t xml:space="preserve"> Corte IDH. Caso Fermín Ramírez vs. Guatemala. </w:t>
      </w:r>
      <w:r w:rsidRPr="00CA06E5">
        <w:rPr>
          <w:rFonts w:asciiTheme="majorHAnsi" w:hAnsiTheme="majorHAnsi"/>
          <w:sz w:val="16"/>
          <w:szCs w:val="16"/>
          <w:lang w:val="es-VE"/>
        </w:rPr>
        <w:t xml:space="preserve">Fondo, Reparaciones y Costas. Sentencia de 20 de junio de 2005. Serie C No. 126, para. 94. </w:t>
      </w:r>
    </w:p>
  </w:footnote>
  <w:footnote w:id="41">
    <w:p w14:paraId="5D935309" w14:textId="77777777" w:rsidR="002B2833" w:rsidRPr="00CA06E5" w:rsidRDefault="002B2833" w:rsidP="00A96B68">
      <w:pPr>
        <w:pStyle w:val="FootnoteText"/>
        <w:jc w:val="both"/>
      </w:pPr>
      <w:r w:rsidRPr="00CA06E5">
        <w:rPr>
          <w:rStyle w:val="FootnoteReference"/>
          <w:rFonts w:asciiTheme="majorHAnsi" w:hAnsiTheme="majorHAnsi"/>
          <w:sz w:val="16"/>
          <w:szCs w:val="16"/>
        </w:rPr>
        <w:footnoteRef/>
      </w:r>
      <w:r w:rsidRPr="00CA06E5">
        <w:rPr>
          <w:rStyle w:val="FootnoteReference"/>
          <w:rFonts w:asciiTheme="majorHAnsi" w:hAnsiTheme="majorHAnsi"/>
          <w:sz w:val="16"/>
          <w:szCs w:val="16"/>
          <w:lang w:val="es-ES"/>
        </w:rPr>
        <w:t xml:space="preserve"> </w:t>
      </w:r>
      <w:r w:rsidRPr="00CA06E5">
        <w:rPr>
          <w:rFonts w:asciiTheme="majorHAnsi" w:hAnsiTheme="majorHAnsi"/>
          <w:sz w:val="16"/>
          <w:szCs w:val="16"/>
          <w:lang w:val="es-ES"/>
        </w:rPr>
        <w:t xml:space="preserve">Corte IDH. Caso Fermín Ramírez vs. Guatemala. </w:t>
      </w:r>
      <w:r w:rsidRPr="00CA06E5">
        <w:rPr>
          <w:rFonts w:asciiTheme="majorHAnsi" w:hAnsiTheme="majorHAnsi"/>
          <w:sz w:val="16"/>
          <w:szCs w:val="16"/>
          <w:lang w:val="es-VE"/>
        </w:rPr>
        <w:t xml:space="preserve">Fondo, Reparaciones y Costas. </w:t>
      </w:r>
      <w:r w:rsidRPr="00E86BEA">
        <w:rPr>
          <w:rFonts w:asciiTheme="majorHAnsi" w:hAnsiTheme="majorHAnsi"/>
          <w:sz w:val="16"/>
          <w:szCs w:val="16"/>
        </w:rPr>
        <w:t xml:space="preserve">Sentencia de 20 de junio de 2005. </w:t>
      </w:r>
      <w:r w:rsidRPr="00CA06E5">
        <w:rPr>
          <w:rFonts w:asciiTheme="majorHAnsi" w:hAnsiTheme="majorHAnsi"/>
          <w:sz w:val="16"/>
          <w:szCs w:val="16"/>
        </w:rPr>
        <w:t>Serie C No. 126, para. 94.</w:t>
      </w:r>
    </w:p>
  </w:footnote>
  <w:footnote w:id="42">
    <w:p w14:paraId="77E565B8" w14:textId="77777777" w:rsidR="002B2833" w:rsidRPr="00CA06E5" w:rsidRDefault="002B2833" w:rsidP="00C55C6F">
      <w:pPr>
        <w:pStyle w:val="FootnoteText"/>
        <w:jc w:val="both"/>
        <w:rPr>
          <w:rFonts w:ascii="Cambria" w:hAnsi="Cambria"/>
          <w:sz w:val="16"/>
          <w:szCs w:val="16"/>
        </w:rPr>
      </w:pPr>
      <w:r w:rsidRPr="00CA06E5">
        <w:rPr>
          <w:rStyle w:val="FootnoteReference"/>
          <w:rFonts w:ascii="Cambria" w:hAnsi="Cambria"/>
          <w:sz w:val="16"/>
          <w:szCs w:val="16"/>
        </w:rPr>
        <w:footnoteRef/>
      </w:r>
      <w:r w:rsidRPr="00CA06E5">
        <w:rPr>
          <w:rFonts w:ascii="Cambria" w:hAnsi="Cambria"/>
          <w:sz w:val="16"/>
          <w:szCs w:val="16"/>
        </w:rPr>
        <w:t xml:space="preserve"> IACHR, The Death Penalty in the Inter-American System of Human Rights: From restrictions to abolition, OEA/Ser. L/ V/II Doc. 681, December 31, 2011.</w:t>
      </w:r>
    </w:p>
  </w:footnote>
  <w:footnote w:id="43">
    <w:p w14:paraId="367C41CD" w14:textId="77777777" w:rsidR="002B2833" w:rsidRPr="00CA06E5" w:rsidRDefault="002B2833" w:rsidP="001749B0">
      <w:pPr>
        <w:jc w:val="both"/>
        <w:rPr>
          <w:rFonts w:asciiTheme="majorHAnsi" w:hAnsiTheme="majorHAnsi"/>
          <w:bCs/>
          <w:sz w:val="16"/>
          <w:szCs w:val="16"/>
        </w:rPr>
      </w:pPr>
      <w:r w:rsidRPr="00CA06E5">
        <w:rPr>
          <w:rStyle w:val="FootnoteReference"/>
          <w:rFonts w:asciiTheme="majorHAnsi" w:hAnsiTheme="majorHAnsi"/>
          <w:sz w:val="16"/>
          <w:szCs w:val="16"/>
        </w:rPr>
        <w:footnoteRef/>
      </w:r>
      <w:r w:rsidRPr="00CA06E5">
        <w:rPr>
          <w:rFonts w:asciiTheme="majorHAnsi" w:eastAsiaTheme="minorHAnsi" w:hAnsiTheme="majorHAnsi"/>
          <w:sz w:val="16"/>
          <w:szCs w:val="16"/>
          <w:bdr w:val="none" w:sz="0" w:space="0" w:color="auto"/>
        </w:rPr>
        <w:t xml:space="preserve"> Human Rights Committee of the ICCPR. Robert John Fardon v. Australia, Communication No. 1629/2007, U.N. Doc. CCPR/C/98/D/1629/2007 (2010). Para. 7.4.</w:t>
      </w:r>
    </w:p>
  </w:footnote>
  <w:footnote w:id="44">
    <w:p w14:paraId="57F515FC" w14:textId="77777777" w:rsidR="002B2833" w:rsidRPr="00CA06E5" w:rsidRDefault="002B2833" w:rsidP="009C03AE">
      <w:pPr>
        <w:pStyle w:val="FootnoteText"/>
        <w:jc w:val="both"/>
        <w:rPr>
          <w:rFonts w:asciiTheme="majorHAnsi" w:hAnsiTheme="majorHAnsi"/>
          <w:color w:val="auto"/>
          <w:sz w:val="16"/>
          <w:szCs w:val="16"/>
        </w:rPr>
      </w:pPr>
      <w:r w:rsidRPr="00CA06E5">
        <w:rPr>
          <w:rStyle w:val="FootnoteReference"/>
          <w:rFonts w:asciiTheme="majorHAnsi" w:hAnsiTheme="majorHAnsi"/>
          <w:sz w:val="16"/>
          <w:szCs w:val="16"/>
        </w:rPr>
        <w:footnoteRef/>
      </w:r>
      <w:r w:rsidRPr="00CA06E5">
        <w:rPr>
          <w:rStyle w:val="FootnoteReference"/>
          <w:rFonts w:asciiTheme="majorHAnsi" w:hAnsiTheme="majorHAnsi"/>
          <w:sz w:val="16"/>
          <w:szCs w:val="16"/>
        </w:rPr>
        <w:t xml:space="preserve"> </w:t>
      </w:r>
      <w:r w:rsidRPr="00CA06E5">
        <w:rPr>
          <w:rFonts w:asciiTheme="majorHAnsi" w:hAnsiTheme="majorHAnsi"/>
          <w:color w:val="auto"/>
          <w:sz w:val="16"/>
          <w:szCs w:val="16"/>
        </w:rPr>
        <w:t>Article I of the American Declaration establishes: Every human being has the right to life, liberty and the security of his person.</w:t>
      </w:r>
    </w:p>
    <w:p w14:paraId="70594D72" w14:textId="77777777" w:rsidR="002B2833" w:rsidRPr="00CA06E5" w:rsidRDefault="002B2833" w:rsidP="009C03AE">
      <w:pPr>
        <w:pStyle w:val="FootnoteText"/>
        <w:jc w:val="both"/>
      </w:pPr>
      <w:r w:rsidRPr="00CA06E5">
        <w:rPr>
          <w:rFonts w:asciiTheme="majorHAnsi" w:hAnsiTheme="majorHAnsi"/>
          <w:color w:val="auto"/>
          <w:sz w:val="16"/>
          <w:szCs w:val="16"/>
        </w:rPr>
        <w:t>Article XXV of the American Declaration provides: “[…] Every individual who has been deprived of his liberty has the right […] to humane treatment during the time he is in custody.”</w:t>
      </w:r>
    </w:p>
  </w:footnote>
  <w:footnote w:id="45">
    <w:p w14:paraId="2CFCF3A5" w14:textId="77777777" w:rsidR="002B2833" w:rsidRPr="00CA06E5" w:rsidRDefault="002B2833" w:rsidP="00D62F66">
      <w:pPr>
        <w:pStyle w:val="FootnoteText"/>
        <w:jc w:val="both"/>
      </w:pPr>
      <w:r w:rsidRPr="00CA06E5">
        <w:rPr>
          <w:rStyle w:val="FootnoteReference"/>
          <w:rFonts w:asciiTheme="majorHAnsi" w:eastAsia="Arial Unicode MS" w:hAnsiTheme="majorHAnsi"/>
          <w:color w:val="auto"/>
          <w:sz w:val="16"/>
          <w:szCs w:val="16"/>
          <w:lang w:eastAsia="en-US"/>
        </w:rPr>
        <w:footnoteRef/>
      </w:r>
      <w:r w:rsidRPr="00CA06E5">
        <w:rPr>
          <w:rStyle w:val="FootnoteReference"/>
          <w:rFonts w:asciiTheme="majorHAnsi" w:eastAsia="Arial Unicode MS" w:hAnsiTheme="majorHAnsi"/>
          <w:color w:val="auto"/>
          <w:sz w:val="16"/>
          <w:szCs w:val="16"/>
          <w:lang w:eastAsia="en-US"/>
        </w:rPr>
        <w:t xml:space="preserve"> </w:t>
      </w:r>
      <w:r w:rsidRPr="00CA06E5">
        <w:rPr>
          <w:rFonts w:asciiTheme="majorHAnsi" w:hAnsiTheme="majorHAnsi"/>
          <w:color w:val="auto"/>
          <w:sz w:val="16"/>
          <w:szCs w:val="16"/>
        </w:rPr>
        <w:t>Article XI of the American Declaration establishes: “Every person has the right to the preservation of his health through sanitary and social measures relating to food, clothing, housing and medical care, to the extent permitted by public and community resources.</w:t>
      </w:r>
    </w:p>
  </w:footnote>
  <w:footnote w:id="46">
    <w:p w14:paraId="7F1BC3B3" w14:textId="77777777" w:rsidR="002B2833" w:rsidRPr="00CA06E5" w:rsidRDefault="002B2833" w:rsidP="00F91540">
      <w:pPr>
        <w:pStyle w:val="FootnoteText"/>
        <w:jc w:val="both"/>
        <w:rPr>
          <w:rFonts w:asciiTheme="majorHAnsi" w:hAnsiTheme="majorHAnsi"/>
          <w:color w:val="auto"/>
          <w:sz w:val="16"/>
          <w:szCs w:val="16"/>
        </w:rPr>
      </w:pPr>
      <w:r w:rsidRPr="00CA06E5">
        <w:rPr>
          <w:rStyle w:val="FootnoteReference"/>
          <w:rFonts w:asciiTheme="majorHAnsi" w:hAnsiTheme="majorHAnsi"/>
          <w:color w:val="auto"/>
          <w:sz w:val="16"/>
          <w:szCs w:val="16"/>
        </w:rPr>
        <w:footnoteRef/>
      </w:r>
      <w:r w:rsidRPr="00CA06E5">
        <w:rPr>
          <w:rStyle w:val="FootnoteReference"/>
          <w:rFonts w:asciiTheme="majorHAnsi" w:hAnsiTheme="majorHAnsi"/>
          <w:color w:val="auto"/>
          <w:sz w:val="16"/>
          <w:szCs w:val="16"/>
        </w:rPr>
        <w:t xml:space="preserve"> </w:t>
      </w:r>
      <w:r w:rsidRPr="00CA06E5">
        <w:rPr>
          <w:rFonts w:asciiTheme="majorHAnsi" w:hAnsiTheme="majorHAnsi"/>
          <w:color w:val="auto"/>
          <w:sz w:val="16"/>
          <w:szCs w:val="16"/>
        </w:rPr>
        <w:t>IACHR, Report No. 71/18, Case 12.958. Merits. Russell Bucklew. United States, May 10, 2018, paras. 86-90. In this report the Commission has cited a number of developments in the inter-American and other protections systems, including the regional and United Nations systems.</w:t>
      </w:r>
    </w:p>
  </w:footnote>
  <w:footnote w:id="47">
    <w:p w14:paraId="672FA429" w14:textId="77777777" w:rsidR="002B2833" w:rsidRPr="00CA06E5" w:rsidRDefault="002B2833" w:rsidP="003A5E9B">
      <w:pPr>
        <w:pStyle w:val="FootnoteText"/>
        <w:tabs>
          <w:tab w:val="left" w:pos="0"/>
        </w:tabs>
      </w:pPr>
      <w:r w:rsidRPr="00CA06E5">
        <w:rPr>
          <w:rStyle w:val="FootnoteReference"/>
          <w:rFonts w:asciiTheme="majorHAnsi" w:hAnsiTheme="majorHAnsi"/>
          <w:color w:val="auto"/>
          <w:sz w:val="16"/>
          <w:szCs w:val="16"/>
        </w:rPr>
        <w:footnoteRef/>
      </w:r>
      <w:r w:rsidRPr="00CA06E5">
        <w:rPr>
          <w:rStyle w:val="FootnoteReference"/>
          <w:rFonts w:asciiTheme="majorHAnsi" w:hAnsiTheme="majorHAnsi"/>
          <w:color w:val="auto"/>
          <w:sz w:val="16"/>
          <w:szCs w:val="16"/>
        </w:rPr>
        <w:t xml:space="preserve"> </w:t>
      </w:r>
      <w:r w:rsidRPr="00CA06E5">
        <w:rPr>
          <w:rFonts w:asciiTheme="majorHAnsi" w:hAnsiTheme="majorHAnsi"/>
          <w:color w:val="auto"/>
          <w:sz w:val="16"/>
          <w:szCs w:val="16"/>
        </w:rPr>
        <w:t>IACHR, Report No. 71/18, Case 12.958. Merits. Russell Bucklew. United States, May 10, 2018, para. 83.</w:t>
      </w:r>
    </w:p>
  </w:footnote>
  <w:footnote w:id="48">
    <w:p w14:paraId="29B995BB" w14:textId="77777777" w:rsidR="002B2833" w:rsidRPr="00CA06E5" w:rsidRDefault="002B2833" w:rsidP="003A5E9B">
      <w:pPr>
        <w:pStyle w:val="FootnoteText"/>
        <w:pBdr>
          <w:top w:val="none" w:sz="0" w:space="0" w:color="auto"/>
          <w:left w:val="none" w:sz="0" w:space="0" w:color="auto"/>
          <w:bottom w:val="none" w:sz="0" w:space="0" w:color="auto"/>
          <w:right w:val="none" w:sz="0" w:space="0" w:color="auto"/>
          <w:bar w:val="none" w:sz="0" w:color="auto"/>
        </w:pBdr>
        <w:tabs>
          <w:tab w:val="left" w:pos="0"/>
          <w:tab w:val="right" w:pos="540"/>
          <w:tab w:val="left" w:pos="900"/>
        </w:tabs>
        <w:jc w:val="both"/>
        <w:rPr>
          <w:color w:val="auto"/>
        </w:rPr>
      </w:pPr>
      <w:r w:rsidRPr="00CA06E5">
        <w:rPr>
          <w:rStyle w:val="FootnoteReference"/>
          <w:rFonts w:asciiTheme="majorHAnsi" w:hAnsiTheme="majorHAnsi"/>
          <w:color w:val="auto"/>
          <w:sz w:val="16"/>
          <w:szCs w:val="16"/>
        </w:rPr>
        <w:footnoteRef/>
      </w:r>
      <w:r w:rsidRPr="00CA06E5">
        <w:rPr>
          <w:rStyle w:val="FootnoteReference"/>
          <w:rFonts w:asciiTheme="majorHAnsi" w:hAnsiTheme="majorHAnsi"/>
          <w:color w:val="auto"/>
          <w:sz w:val="16"/>
          <w:szCs w:val="16"/>
        </w:rPr>
        <w:t xml:space="preserve"> </w:t>
      </w:r>
      <w:r w:rsidRPr="00CA06E5">
        <w:rPr>
          <w:rFonts w:asciiTheme="majorHAnsi" w:hAnsiTheme="majorHAnsi"/>
          <w:color w:val="auto"/>
          <w:sz w:val="16"/>
          <w:szCs w:val="16"/>
        </w:rPr>
        <w:t>IACHR, Report No. 24/17, Case 12.254. Merits. Victor Saldaño. United States. March 18, 2017, para. 246, citing IACHR, Report No. 58/02. Merits. Case 12.275. Denton Aitken. Jamaica. October 21, 2002, paras. 133 and 134.</w:t>
      </w:r>
    </w:p>
  </w:footnote>
  <w:footnote w:id="49">
    <w:p w14:paraId="4FB202CC" w14:textId="77777777" w:rsidR="002B2833" w:rsidRPr="00CA06E5" w:rsidRDefault="002B2833" w:rsidP="003A5E9B">
      <w:pPr>
        <w:pStyle w:val="FootnoteText"/>
        <w:pBdr>
          <w:top w:val="none" w:sz="0" w:space="0" w:color="auto"/>
          <w:left w:val="none" w:sz="0" w:space="0" w:color="auto"/>
          <w:bottom w:val="none" w:sz="0" w:space="0" w:color="auto"/>
          <w:right w:val="none" w:sz="0" w:space="0" w:color="auto"/>
          <w:bar w:val="none" w:sz="0" w:color="auto"/>
        </w:pBdr>
        <w:tabs>
          <w:tab w:val="left" w:pos="0"/>
        </w:tabs>
        <w:jc w:val="both"/>
        <w:rPr>
          <w:color w:val="auto"/>
        </w:rPr>
      </w:pPr>
      <w:r w:rsidRPr="00CA06E5">
        <w:rPr>
          <w:rStyle w:val="FootnoteReference"/>
          <w:rFonts w:ascii="Cambria" w:hAnsi="Cambria"/>
          <w:color w:val="auto"/>
          <w:sz w:val="16"/>
          <w:szCs w:val="16"/>
        </w:rPr>
        <w:footnoteRef/>
      </w:r>
      <w:r w:rsidRPr="00CA06E5">
        <w:rPr>
          <w:rFonts w:ascii="Cambria" w:hAnsi="Cambria"/>
          <w:color w:val="auto"/>
          <w:sz w:val="16"/>
          <w:szCs w:val="16"/>
        </w:rPr>
        <w:t xml:space="preserve"> United Nations. Interim report of the Special Rapporteur on torture and other cruel, inhuman or degrading treatment of punishment.  9 August 2012. A/67/279. para 48.</w:t>
      </w:r>
    </w:p>
  </w:footnote>
  <w:footnote w:id="50">
    <w:p w14:paraId="7B221A1B" w14:textId="77777777" w:rsidR="002B2833" w:rsidRPr="00CA06E5" w:rsidRDefault="002B2833" w:rsidP="003877F8">
      <w:pPr>
        <w:pStyle w:val="FootnoteText"/>
        <w:jc w:val="both"/>
        <w:rPr>
          <w:rFonts w:asciiTheme="majorHAnsi" w:hAnsiTheme="majorHAnsi"/>
          <w:sz w:val="16"/>
          <w:szCs w:val="16"/>
        </w:rPr>
      </w:pPr>
      <w:r w:rsidRPr="00CA06E5">
        <w:rPr>
          <w:rStyle w:val="FootnoteReference"/>
          <w:rFonts w:asciiTheme="majorHAnsi" w:hAnsiTheme="majorHAnsi"/>
          <w:sz w:val="16"/>
          <w:szCs w:val="16"/>
        </w:rPr>
        <w:footnoteRef/>
      </w:r>
      <w:r w:rsidRPr="00CA06E5">
        <w:rPr>
          <w:rFonts w:asciiTheme="majorHAnsi" w:hAnsiTheme="majorHAnsi"/>
          <w:sz w:val="16"/>
          <w:szCs w:val="16"/>
        </w:rPr>
        <w:t xml:space="preserve"> IACHR. Report on the Human Rights of Persons Deprived of Liberty in the Americas. OEA/Ser.L/V/II. Doc. 64. December 31, 2011, para. 519.</w:t>
      </w:r>
    </w:p>
  </w:footnote>
  <w:footnote w:id="51">
    <w:p w14:paraId="66508161" w14:textId="77777777" w:rsidR="002B2833" w:rsidRPr="00CA06E5" w:rsidRDefault="002B2833" w:rsidP="003877F8">
      <w:pPr>
        <w:pStyle w:val="FootnoteText"/>
        <w:jc w:val="both"/>
        <w:rPr>
          <w:rFonts w:asciiTheme="majorHAnsi" w:hAnsiTheme="majorHAnsi"/>
          <w:sz w:val="16"/>
          <w:szCs w:val="16"/>
        </w:rPr>
      </w:pPr>
      <w:r w:rsidRPr="00CA06E5">
        <w:rPr>
          <w:rStyle w:val="FootnoteReference"/>
          <w:rFonts w:asciiTheme="majorHAnsi" w:hAnsiTheme="majorHAnsi"/>
          <w:sz w:val="16"/>
          <w:szCs w:val="16"/>
        </w:rPr>
        <w:footnoteRef/>
      </w:r>
      <w:r w:rsidRPr="00CA06E5">
        <w:rPr>
          <w:rFonts w:asciiTheme="majorHAnsi" w:hAnsiTheme="majorHAnsi"/>
          <w:sz w:val="16"/>
          <w:szCs w:val="16"/>
        </w:rPr>
        <w:t xml:space="preserve"> IACHR, Application to the I/A Court H.R. in the Case of Pedro Miguel Vera Vera, Case 11.535, Ecuador, February 24, 2010, para. 42.</w:t>
      </w:r>
    </w:p>
  </w:footnote>
  <w:footnote w:id="52">
    <w:p w14:paraId="398064F1" w14:textId="77777777" w:rsidR="002B2833" w:rsidRPr="00CA06E5" w:rsidRDefault="002B2833" w:rsidP="003877F8">
      <w:pPr>
        <w:pStyle w:val="FootnoteText"/>
        <w:jc w:val="both"/>
        <w:rPr>
          <w:rFonts w:asciiTheme="majorHAnsi" w:hAnsiTheme="majorHAnsi"/>
          <w:sz w:val="16"/>
          <w:szCs w:val="16"/>
        </w:rPr>
      </w:pPr>
      <w:r w:rsidRPr="00CA06E5">
        <w:rPr>
          <w:rStyle w:val="FootnoteReference"/>
          <w:rFonts w:asciiTheme="majorHAnsi" w:hAnsiTheme="majorHAnsi"/>
          <w:sz w:val="16"/>
          <w:szCs w:val="16"/>
        </w:rPr>
        <w:footnoteRef/>
      </w:r>
      <w:r w:rsidRPr="00CA06E5">
        <w:rPr>
          <w:rFonts w:asciiTheme="majorHAnsi" w:hAnsiTheme="majorHAnsi"/>
          <w:sz w:val="16"/>
          <w:szCs w:val="16"/>
        </w:rPr>
        <w:t xml:space="preserve"> I/A Court H.R., Case of Garcia-Asto and Ramirez-Rojas V. Peru. Judgment of November 25, 2005. Series C No. 137, para. 126.</w:t>
      </w:r>
    </w:p>
  </w:footnote>
  <w:footnote w:id="53">
    <w:p w14:paraId="1499913C" w14:textId="7978CF7F" w:rsidR="002B2833" w:rsidRPr="0015197E" w:rsidRDefault="002B2833">
      <w:pPr>
        <w:pStyle w:val="FootnoteText"/>
      </w:pPr>
      <w:r>
        <w:rPr>
          <w:rStyle w:val="FootnoteReference"/>
        </w:rPr>
        <w:footnoteRef/>
      </w:r>
      <w:r>
        <w:t xml:space="preserve"> See</w:t>
      </w:r>
      <w:r w:rsidRPr="0015197E">
        <w:rPr>
          <w:rFonts w:asciiTheme="majorHAnsi" w:hAnsiTheme="majorHAnsi"/>
          <w:sz w:val="16"/>
          <w:szCs w:val="16"/>
        </w:rPr>
        <w:t>, Bureau of Prisons, Health Services, Blood Glucose Record, Patient</w:t>
      </w:r>
      <w:r>
        <w:rPr>
          <w:rFonts w:asciiTheme="majorHAnsi" w:hAnsiTheme="majorHAnsi"/>
          <w:sz w:val="16"/>
          <w:szCs w:val="16"/>
        </w:rPr>
        <w:t xml:space="preserve"> Education Assessment &amp; Topic, </w:t>
      </w:r>
      <w:r w:rsidRPr="0015197E">
        <w:rPr>
          <w:rFonts w:asciiTheme="majorHAnsi" w:hAnsiTheme="majorHAnsi"/>
          <w:sz w:val="16"/>
          <w:szCs w:val="16"/>
        </w:rPr>
        <w:t>Health Services, Clinical Encounter.</w:t>
      </w:r>
    </w:p>
  </w:footnote>
  <w:footnote w:id="54">
    <w:p w14:paraId="0DAD5150" w14:textId="77777777" w:rsidR="002B2833" w:rsidRPr="00E86BEA" w:rsidRDefault="002B2833" w:rsidP="00EF1B3F">
      <w:pPr>
        <w:pStyle w:val="FootnoteText"/>
        <w:shd w:val="clear" w:color="auto" w:fill="FFFFFF" w:themeFill="background1"/>
        <w:jc w:val="both"/>
        <w:rPr>
          <w:rFonts w:asciiTheme="majorHAnsi" w:hAnsiTheme="majorHAnsi"/>
          <w:sz w:val="16"/>
          <w:szCs w:val="16"/>
        </w:rPr>
      </w:pPr>
      <w:r w:rsidRPr="00CA06E5">
        <w:rPr>
          <w:rStyle w:val="FootnoteReference"/>
          <w:rFonts w:asciiTheme="majorHAnsi" w:hAnsiTheme="majorHAnsi"/>
          <w:sz w:val="16"/>
          <w:szCs w:val="16"/>
        </w:rPr>
        <w:footnoteRef/>
      </w:r>
      <w:r w:rsidRPr="00CA06E5">
        <w:rPr>
          <w:rFonts w:asciiTheme="majorHAnsi" w:hAnsiTheme="majorHAnsi"/>
          <w:sz w:val="16"/>
          <w:szCs w:val="16"/>
        </w:rPr>
        <w:t xml:space="preserve"> IACHR. Towards the Closure of Guantanamo. </w:t>
      </w:r>
      <w:r w:rsidRPr="005057C7">
        <w:rPr>
          <w:rFonts w:asciiTheme="majorHAnsi" w:hAnsiTheme="majorHAnsi"/>
          <w:sz w:val="16"/>
          <w:szCs w:val="16"/>
          <w:lang w:val="pt-BR"/>
        </w:rPr>
        <w:t xml:space="preserve">OAS/Ser.L/V/II.Doc. 20/15. </w:t>
      </w:r>
      <w:r w:rsidRPr="00E86BEA">
        <w:rPr>
          <w:rFonts w:asciiTheme="majorHAnsi" w:hAnsiTheme="majorHAnsi"/>
          <w:sz w:val="16"/>
          <w:szCs w:val="16"/>
        </w:rPr>
        <w:t>June 3, 2015, para 146.</w:t>
      </w:r>
    </w:p>
  </w:footnote>
  <w:footnote w:id="55">
    <w:p w14:paraId="4D1522C8" w14:textId="77777777" w:rsidR="002B2833" w:rsidRPr="00CA06E5" w:rsidRDefault="002B2833" w:rsidP="00EF1B3F">
      <w:pPr>
        <w:pStyle w:val="FootnoteText"/>
        <w:shd w:val="clear" w:color="auto" w:fill="FFFFFF" w:themeFill="background1"/>
      </w:pPr>
      <w:r w:rsidRPr="00CA06E5">
        <w:rPr>
          <w:rStyle w:val="FootnoteReference"/>
          <w:rFonts w:asciiTheme="majorHAnsi" w:hAnsiTheme="majorHAnsi"/>
          <w:sz w:val="16"/>
          <w:szCs w:val="16"/>
        </w:rPr>
        <w:footnoteRef/>
      </w:r>
      <w:r w:rsidRPr="00CA06E5">
        <w:t xml:space="preserve"> </w:t>
      </w:r>
      <w:r w:rsidRPr="00CA06E5">
        <w:rPr>
          <w:rFonts w:asciiTheme="majorHAnsi" w:hAnsiTheme="majorHAnsi"/>
          <w:sz w:val="16"/>
          <w:szCs w:val="16"/>
        </w:rPr>
        <w:t>IACHR. Towards the Closure of Guantanamo, para 148.</w:t>
      </w:r>
    </w:p>
  </w:footnote>
  <w:footnote w:id="56">
    <w:p w14:paraId="3EE43FC1" w14:textId="77777777" w:rsidR="002B2833" w:rsidRPr="00CA06E5" w:rsidRDefault="002B2833" w:rsidP="00C55C6F">
      <w:pPr>
        <w:pStyle w:val="FootnoteText"/>
        <w:jc w:val="both"/>
        <w:rPr>
          <w:rFonts w:asciiTheme="majorHAnsi" w:hAnsiTheme="majorHAnsi"/>
          <w:sz w:val="16"/>
        </w:rPr>
      </w:pPr>
      <w:r w:rsidRPr="00CA06E5">
        <w:rPr>
          <w:rStyle w:val="FootnoteReference"/>
          <w:rFonts w:asciiTheme="majorHAnsi" w:hAnsiTheme="majorHAnsi"/>
          <w:color w:val="auto"/>
          <w:sz w:val="16"/>
          <w:szCs w:val="16"/>
        </w:rPr>
        <w:footnoteRef/>
      </w:r>
      <w:r w:rsidRPr="00CA06E5">
        <w:rPr>
          <w:rStyle w:val="FootnoteReference"/>
          <w:rFonts w:asciiTheme="majorHAnsi" w:hAnsiTheme="majorHAnsi"/>
          <w:color w:val="auto"/>
          <w:sz w:val="16"/>
          <w:szCs w:val="16"/>
        </w:rPr>
        <w:t xml:space="preserve"> </w:t>
      </w:r>
      <w:r w:rsidRPr="00CA06E5">
        <w:rPr>
          <w:rFonts w:asciiTheme="majorHAnsi" w:hAnsiTheme="majorHAnsi"/>
          <w:color w:val="auto"/>
          <w:sz w:val="16"/>
          <w:szCs w:val="16"/>
        </w:rPr>
        <w:t>Article I of the American Declaration establishes: Every human being has the right to life, liberty and the security of his person.</w:t>
      </w:r>
    </w:p>
  </w:footnote>
  <w:footnote w:id="57">
    <w:p w14:paraId="556E9492" w14:textId="77777777" w:rsidR="002B2833" w:rsidRPr="00CA06E5" w:rsidRDefault="002B2833" w:rsidP="00C55C6F">
      <w:pPr>
        <w:pStyle w:val="FootnoteText"/>
        <w:jc w:val="both"/>
        <w:rPr>
          <w:rFonts w:asciiTheme="majorHAnsi" w:hAnsiTheme="majorHAnsi"/>
          <w:color w:val="auto"/>
          <w:sz w:val="16"/>
          <w:szCs w:val="16"/>
        </w:rPr>
      </w:pPr>
      <w:r w:rsidRPr="00CA06E5">
        <w:rPr>
          <w:rStyle w:val="FootnoteReference"/>
          <w:rFonts w:asciiTheme="majorHAnsi" w:hAnsiTheme="majorHAnsi"/>
          <w:color w:val="auto"/>
          <w:sz w:val="16"/>
          <w:szCs w:val="16"/>
        </w:rPr>
        <w:footnoteRef/>
      </w:r>
      <w:r w:rsidRPr="00CA06E5">
        <w:rPr>
          <w:rFonts w:asciiTheme="majorHAnsi" w:hAnsiTheme="majorHAnsi"/>
          <w:color w:val="auto"/>
          <w:sz w:val="16"/>
          <w:szCs w:val="16"/>
        </w:rPr>
        <w:t xml:space="preserve"> IACHR, Report No. 53/13, Case 12.864, Merits (Publication), Ivan Teleguz, United States, July 15, 2013, para. 129.</w:t>
      </w:r>
    </w:p>
  </w:footnote>
  <w:footnote w:id="58">
    <w:p w14:paraId="0E468D7E" w14:textId="77777777" w:rsidR="002B2833" w:rsidRPr="00CA06E5" w:rsidRDefault="002B2833" w:rsidP="00C55C6F">
      <w:pPr>
        <w:pStyle w:val="FootnoteText"/>
        <w:jc w:val="both"/>
        <w:rPr>
          <w:rFonts w:asciiTheme="majorHAnsi" w:hAnsiTheme="majorHAnsi"/>
          <w:color w:val="auto"/>
          <w:sz w:val="16"/>
          <w:szCs w:val="16"/>
        </w:rPr>
      </w:pPr>
      <w:r w:rsidRPr="00CA06E5">
        <w:rPr>
          <w:rStyle w:val="FootnoteReference"/>
          <w:rFonts w:asciiTheme="majorHAnsi" w:hAnsiTheme="majorHAnsi"/>
          <w:color w:val="auto"/>
          <w:sz w:val="16"/>
          <w:szCs w:val="16"/>
        </w:rPr>
        <w:footnoteRef/>
      </w:r>
      <w:r w:rsidRPr="00CA06E5">
        <w:rPr>
          <w:rFonts w:asciiTheme="majorHAnsi" w:hAnsiTheme="majorHAnsi"/>
          <w:color w:val="auto"/>
          <w:sz w:val="16"/>
          <w:szCs w:val="16"/>
        </w:rPr>
        <w:t xml:space="preserve"> IACHR, Report No. 11/15, Case 12.833, Merits (Publication), Félix Rocha Díaz, United States, March 23, 2015, para. 106.</w:t>
      </w:r>
    </w:p>
  </w:footnote>
  <w:footnote w:id="59">
    <w:p w14:paraId="00DB8F0F" w14:textId="77777777" w:rsidR="002B2833" w:rsidRPr="00CA06E5" w:rsidRDefault="002B2833" w:rsidP="005D0B9F">
      <w:pPr>
        <w:pStyle w:val="FootnoteText"/>
        <w:jc w:val="both"/>
        <w:rPr>
          <w:rFonts w:asciiTheme="majorHAnsi" w:hAnsiTheme="majorHAnsi"/>
          <w:color w:val="auto"/>
          <w:sz w:val="16"/>
          <w:szCs w:val="16"/>
          <w:bdr w:val="none" w:sz="0" w:space="0" w:color="auto"/>
        </w:rPr>
      </w:pPr>
      <w:r w:rsidRPr="00CA06E5">
        <w:rPr>
          <w:rStyle w:val="FootnoteReference"/>
          <w:rFonts w:asciiTheme="majorHAnsi" w:hAnsiTheme="majorHAnsi"/>
          <w:color w:val="auto"/>
          <w:sz w:val="16"/>
          <w:szCs w:val="16"/>
        </w:rPr>
        <w:footnoteRef/>
      </w:r>
      <w:r w:rsidRPr="00CA06E5">
        <w:rPr>
          <w:rFonts w:asciiTheme="majorHAnsi" w:hAnsiTheme="majorHAnsi"/>
          <w:color w:val="auto"/>
          <w:sz w:val="16"/>
          <w:szCs w:val="16"/>
        </w:rPr>
        <w:t xml:space="preserve"> See in this regard, IACHR, The death penalty in the Inter-American Human Rights System: From restrictions to abolition, OEA/Ser.L/V/II.Doc 68, December 31, 2011.</w:t>
      </w:r>
    </w:p>
  </w:footnote>
  <w:footnote w:id="60">
    <w:p w14:paraId="43AED631" w14:textId="1E15BC8C" w:rsidR="002B2833" w:rsidRPr="00CA06E5" w:rsidRDefault="002B2833" w:rsidP="00AA3C9F">
      <w:pPr>
        <w:pStyle w:val="FootnoteText"/>
        <w:jc w:val="both"/>
        <w:rPr>
          <w:rFonts w:asciiTheme="majorHAnsi" w:hAnsiTheme="majorHAnsi"/>
          <w:color w:val="auto"/>
          <w:sz w:val="16"/>
          <w:szCs w:val="16"/>
          <w:bdr w:val="none" w:sz="0" w:space="0" w:color="auto"/>
        </w:rPr>
      </w:pPr>
      <w:r w:rsidRPr="00CA06E5">
        <w:rPr>
          <w:rStyle w:val="FootnoteReference"/>
          <w:rFonts w:asciiTheme="majorHAnsi" w:hAnsiTheme="majorHAnsi"/>
          <w:color w:val="auto"/>
          <w:sz w:val="16"/>
          <w:szCs w:val="16"/>
        </w:rPr>
        <w:footnoteRef/>
      </w:r>
      <w:r w:rsidRPr="00CA06E5">
        <w:rPr>
          <w:rFonts w:asciiTheme="majorHAnsi" w:hAnsiTheme="majorHAnsi"/>
          <w:color w:val="auto"/>
          <w:sz w:val="16"/>
          <w:szCs w:val="16"/>
        </w:rPr>
        <w:t xml:space="preserve"> See in this regard, IACHR, The death penalty in the Inter-American Human Rights System: From restrictions to abolition, OEA/Ser.L/V/II.Doc 68, December 31, 2011.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846B9" w14:textId="77777777" w:rsidR="002B2833" w:rsidRDefault="002B2833" w:rsidP="00C14701">
    <w:pPr>
      <w:pStyle w:val="Header"/>
      <w:framePr w:wrap="around" w:vAnchor="text" w:hAnchor="margin" w:xAlign="center" w:y="1"/>
      <w:rPr>
        <w:rStyle w:val="PageNumber"/>
        <w:rFonts w:ascii="Times New Roman" w:eastAsia="Arial Unicode MS" w:hAnsi="Times New Roman" w:cs="Times New Roman"/>
        <w:bdr w:val="nil"/>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0C8E0372" w14:textId="77777777" w:rsidR="002B2833" w:rsidRDefault="002B28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A77CC" w14:textId="77777777" w:rsidR="002B2833" w:rsidRDefault="002B2833" w:rsidP="002C1641">
    <w:pPr>
      <w:pStyle w:val="Header"/>
      <w:tabs>
        <w:tab w:val="clear" w:pos="4320"/>
        <w:tab w:val="clear" w:pos="8640"/>
      </w:tabs>
      <w:jc w:val="center"/>
      <w:rPr>
        <w:sz w:val="22"/>
        <w:szCs w:val="22"/>
      </w:rPr>
    </w:pPr>
    <w:r>
      <w:rPr>
        <w:noProof/>
        <w:sz w:val="22"/>
        <w:szCs w:val="22"/>
      </w:rPr>
      <w:drawing>
        <wp:inline distT="0" distB="0" distL="0" distR="0" wp14:anchorId="6B6F838D" wp14:editId="3016A5EB">
          <wp:extent cx="2209800" cy="117396"/>
          <wp:effectExtent l="0" t="0" r="0" b="0"/>
          <wp:docPr id="10" name="Picture 10"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5C32A752" w14:textId="77777777" w:rsidR="002B2833" w:rsidRPr="00EC7D62" w:rsidRDefault="008261BF" w:rsidP="002C1641">
    <w:pPr>
      <w:pStyle w:val="Header"/>
      <w:tabs>
        <w:tab w:val="clear" w:pos="4320"/>
        <w:tab w:val="clear" w:pos="8640"/>
      </w:tabs>
      <w:jc w:val="center"/>
      <w:rPr>
        <w:sz w:val="22"/>
        <w:szCs w:val="22"/>
      </w:rPr>
    </w:pPr>
    <w:r>
      <w:rPr>
        <w:noProof/>
        <w:sz w:val="22"/>
        <w:szCs w:val="22"/>
        <w:bdr w:val="nil"/>
      </w:rPr>
      <w:pict w14:anchorId="54B63102">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2322AA3"/>
    <w:multiLevelType w:val="hybridMultilevel"/>
    <w:tmpl w:val="5ADE4DC2"/>
    <w:lvl w:ilvl="0" w:tplc="028C10D6">
      <w:start w:val="8"/>
      <w:numFmt w:val="decimal"/>
      <w:lvlText w:val="%1."/>
      <w:lvlJc w:val="left"/>
      <w:pPr>
        <w:tabs>
          <w:tab w:val="num" w:pos="1080"/>
        </w:tabs>
        <w:ind w:left="360" w:firstLine="720"/>
      </w:pPr>
      <w:rPr>
        <w:color w:val="auto"/>
      </w:rPr>
    </w:lvl>
    <w:lvl w:ilvl="1" w:tplc="739EDB44">
      <w:start w:val="7"/>
      <w:numFmt w:val="decimal"/>
      <w:lvlText w:val="%2."/>
      <w:lvlJc w:val="left"/>
      <w:pPr>
        <w:tabs>
          <w:tab w:val="num" w:pos="1440"/>
        </w:tabs>
        <w:ind w:left="720" w:firstLine="720"/>
      </w:pPr>
      <w:rPr>
        <w:rFonts w:ascii="Univers" w:hAnsi="Univers" w:hint="default"/>
        <w:color w:val="auto"/>
        <w:sz w:val="20"/>
      </w:rPr>
    </w:lvl>
    <w:lvl w:ilvl="2" w:tplc="64C66088">
      <w:start w:val="4"/>
      <w:numFmt w:val="upperRoman"/>
      <w:lvlText w:val="%3."/>
      <w:lvlJc w:val="left"/>
      <w:pPr>
        <w:tabs>
          <w:tab w:val="num" w:pos="3060"/>
        </w:tabs>
        <w:ind w:left="3060" w:hanging="720"/>
      </w:pPr>
      <w:rPr>
        <w:b/>
      </w:r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37F1AB3"/>
    <w:multiLevelType w:val="hybridMultilevel"/>
    <w:tmpl w:val="9F72651E"/>
    <w:lvl w:ilvl="0" w:tplc="D1FE9124">
      <w:start w:val="3"/>
      <w:numFmt w:val="decimal"/>
      <w:lvlText w:val="%1"/>
      <w:lvlJc w:val="left"/>
      <w:pPr>
        <w:ind w:left="720" w:hanging="360"/>
      </w:pPr>
      <w:rPr>
        <w:rFonts w:eastAsia="Cambria" w:cs="Cambria"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A2B6925"/>
    <w:multiLevelType w:val="hybridMultilevel"/>
    <w:tmpl w:val="CDE0834C"/>
    <w:lvl w:ilvl="0" w:tplc="23BA019A">
      <w:start w:val="3"/>
      <w:numFmt w:val="decimal"/>
      <w:lvlText w:val="%1"/>
      <w:lvlJc w:val="left"/>
      <w:pPr>
        <w:ind w:left="720" w:hanging="360"/>
      </w:pPr>
      <w:rPr>
        <w:rFonts w:eastAsia="Cambria" w:cs="Cambria"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1EB7415"/>
    <w:multiLevelType w:val="hybridMultilevel"/>
    <w:tmpl w:val="CD1AEBEA"/>
    <w:lvl w:ilvl="0" w:tplc="2BA82C8E">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24A2B98"/>
    <w:multiLevelType w:val="hybridMultilevel"/>
    <w:tmpl w:val="F76477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A681F10"/>
    <w:multiLevelType w:val="hybridMultilevel"/>
    <w:tmpl w:val="41F4A2C8"/>
    <w:lvl w:ilvl="0" w:tplc="529A4590">
      <w:start w:val="1"/>
      <w:numFmt w:val="decimal"/>
      <w:lvlText w:val="%1."/>
      <w:lvlJc w:val="left"/>
      <w:pPr>
        <w:ind w:left="1425" w:hanging="705"/>
      </w:pPr>
      <w:rPr>
        <w:sz w:val="20"/>
        <w:szCs w:val="2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2120D"/>
    <w:multiLevelType w:val="hybridMultilevel"/>
    <w:tmpl w:val="FB2C6814"/>
    <w:lvl w:ilvl="0" w:tplc="4C62B966">
      <w:start w:val="4"/>
      <w:numFmt w:val="decimal"/>
      <w:lvlText w:val="%1."/>
      <w:lvlJc w:val="left"/>
      <w:pPr>
        <w:ind w:left="3240" w:hanging="360"/>
      </w:pPr>
      <w:rPr>
        <w:rFonts w:asciiTheme="majorHAnsi" w:eastAsia="Arial Unicode MS" w:hAnsiTheme="majorHAnsi" w:cs="Times New Roman" w:hint="default"/>
      </w:rPr>
    </w:lvl>
    <w:lvl w:ilvl="1" w:tplc="040A0019" w:tentative="1">
      <w:start w:val="1"/>
      <w:numFmt w:val="lowerLetter"/>
      <w:lvlText w:val="%2."/>
      <w:lvlJc w:val="left"/>
      <w:pPr>
        <w:ind w:left="3960" w:hanging="360"/>
      </w:pPr>
    </w:lvl>
    <w:lvl w:ilvl="2" w:tplc="040A001B" w:tentative="1">
      <w:start w:val="1"/>
      <w:numFmt w:val="lowerRoman"/>
      <w:lvlText w:val="%3."/>
      <w:lvlJc w:val="right"/>
      <w:pPr>
        <w:ind w:left="4680" w:hanging="180"/>
      </w:pPr>
    </w:lvl>
    <w:lvl w:ilvl="3" w:tplc="040A000F" w:tentative="1">
      <w:start w:val="1"/>
      <w:numFmt w:val="decimal"/>
      <w:lvlText w:val="%4."/>
      <w:lvlJc w:val="left"/>
      <w:pPr>
        <w:ind w:left="5400" w:hanging="360"/>
      </w:pPr>
    </w:lvl>
    <w:lvl w:ilvl="4" w:tplc="040A0019" w:tentative="1">
      <w:start w:val="1"/>
      <w:numFmt w:val="lowerLetter"/>
      <w:lvlText w:val="%5."/>
      <w:lvlJc w:val="left"/>
      <w:pPr>
        <w:ind w:left="6120" w:hanging="360"/>
      </w:pPr>
    </w:lvl>
    <w:lvl w:ilvl="5" w:tplc="040A001B" w:tentative="1">
      <w:start w:val="1"/>
      <w:numFmt w:val="lowerRoman"/>
      <w:lvlText w:val="%6."/>
      <w:lvlJc w:val="right"/>
      <w:pPr>
        <w:ind w:left="6840" w:hanging="180"/>
      </w:pPr>
    </w:lvl>
    <w:lvl w:ilvl="6" w:tplc="040A000F" w:tentative="1">
      <w:start w:val="1"/>
      <w:numFmt w:val="decimal"/>
      <w:lvlText w:val="%7."/>
      <w:lvlJc w:val="left"/>
      <w:pPr>
        <w:ind w:left="7560" w:hanging="360"/>
      </w:pPr>
    </w:lvl>
    <w:lvl w:ilvl="7" w:tplc="040A0019" w:tentative="1">
      <w:start w:val="1"/>
      <w:numFmt w:val="lowerLetter"/>
      <w:lvlText w:val="%8."/>
      <w:lvlJc w:val="left"/>
      <w:pPr>
        <w:ind w:left="8280" w:hanging="360"/>
      </w:pPr>
    </w:lvl>
    <w:lvl w:ilvl="8" w:tplc="040A001B" w:tentative="1">
      <w:start w:val="1"/>
      <w:numFmt w:val="lowerRoman"/>
      <w:lvlText w:val="%9."/>
      <w:lvlJc w:val="right"/>
      <w:pPr>
        <w:ind w:left="9000" w:hanging="180"/>
      </w:pPr>
    </w:lvl>
  </w:abstractNum>
  <w:abstractNum w:abstractNumId="47"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5D7D4B9D"/>
    <w:multiLevelType w:val="hybridMultilevel"/>
    <w:tmpl w:val="B2BEA4E0"/>
    <w:lvl w:ilvl="0" w:tplc="5830BC58">
      <w:start w:val="1"/>
      <w:numFmt w:val="decimal"/>
      <w:lvlText w:val="%1."/>
      <w:lvlJc w:val="left"/>
      <w:pPr>
        <w:ind w:left="720" w:hanging="360"/>
      </w:pPr>
      <w:rPr>
        <w:rFonts w:ascii="Cambria" w:hAnsi="Cambria" w:hint="default"/>
        <w:b w:val="0"/>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15:restartNumberingAfterBreak="0">
    <w:nsid w:val="67CC5ADF"/>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0786ED7"/>
    <w:multiLevelType w:val="hybridMultilevel"/>
    <w:tmpl w:val="073A8A9E"/>
    <w:lvl w:ilvl="0" w:tplc="69020C3E">
      <w:start w:val="1"/>
      <w:numFmt w:val="upperRoman"/>
      <w:pStyle w:val="Heading1"/>
      <w:lvlText w:val="%1."/>
      <w:lvlJc w:val="left"/>
      <w:pPr>
        <w:ind w:left="720" w:hanging="360"/>
      </w:pPr>
      <w:rPr>
        <w:rFonts w:hint="default"/>
      </w:rPr>
    </w:lvl>
    <w:lvl w:ilvl="1" w:tplc="677C583C">
      <w:start w:val="1"/>
      <w:numFmt w:val="decimal"/>
      <w:lvlText w:val="%2."/>
      <w:lvlJc w:val="left"/>
      <w:pPr>
        <w:ind w:left="1530" w:hanging="360"/>
      </w:pPr>
      <w:rPr>
        <w:rFonts w:hint="default"/>
      </w:rPr>
    </w:lvl>
    <w:lvl w:ilvl="2" w:tplc="0409001B">
      <w:start w:val="1"/>
      <w:numFmt w:val="lowerRoman"/>
      <w:lvlText w:val="%3."/>
      <w:lvlJc w:val="right"/>
      <w:pPr>
        <w:ind w:left="2160" w:hanging="180"/>
      </w:pPr>
    </w:lvl>
    <w:lvl w:ilvl="3" w:tplc="7BB669AE">
      <w:start w:val="1"/>
      <w:numFmt w:val="decimal"/>
      <w:lvlText w:val="%4."/>
      <w:lvlJc w:val="left"/>
      <w:pPr>
        <w:ind w:left="2880" w:hanging="360"/>
      </w:pPr>
      <w:rPr>
        <w:sz w:val="20"/>
        <w:szCs w:val="2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4471F5F"/>
    <w:multiLevelType w:val="hybridMultilevel"/>
    <w:tmpl w:val="81E83EEA"/>
    <w:lvl w:ilvl="0" w:tplc="1FFEA4DE">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745554A"/>
    <w:multiLevelType w:val="hybridMultilevel"/>
    <w:tmpl w:val="73D87E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0"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146635056">
    <w:abstractNumId w:val="3"/>
  </w:num>
  <w:num w:numId="2" w16cid:durableId="790635488">
    <w:abstractNumId w:val="5"/>
  </w:num>
  <w:num w:numId="3" w16cid:durableId="547030376">
    <w:abstractNumId w:val="59"/>
  </w:num>
  <w:num w:numId="4" w16cid:durableId="1578398453">
    <w:abstractNumId w:val="22"/>
  </w:num>
  <w:num w:numId="5" w16cid:durableId="1582372458">
    <w:abstractNumId w:val="50"/>
  </w:num>
  <w:num w:numId="6" w16cid:durableId="1686639771">
    <w:abstractNumId w:val="27"/>
  </w:num>
  <w:num w:numId="7" w16cid:durableId="485901718">
    <w:abstractNumId w:val="7"/>
  </w:num>
  <w:num w:numId="8" w16cid:durableId="330255871">
    <w:abstractNumId w:val="18"/>
  </w:num>
  <w:num w:numId="9" w16cid:durableId="1741903454">
    <w:abstractNumId w:val="43"/>
  </w:num>
  <w:num w:numId="10" w16cid:durableId="437411826">
    <w:abstractNumId w:val="0"/>
  </w:num>
  <w:num w:numId="11" w16cid:durableId="1800567583">
    <w:abstractNumId w:val="36"/>
  </w:num>
  <w:num w:numId="12" w16cid:durableId="1196041927">
    <w:abstractNumId w:val="37"/>
  </w:num>
  <w:num w:numId="13" w16cid:durableId="1620646974">
    <w:abstractNumId w:val="45"/>
  </w:num>
  <w:num w:numId="14" w16cid:durableId="1823309001">
    <w:abstractNumId w:val="1"/>
  </w:num>
  <w:num w:numId="15" w16cid:durableId="1912157630">
    <w:abstractNumId w:val="2"/>
  </w:num>
  <w:num w:numId="16" w16cid:durableId="1003361783">
    <w:abstractNumId w:val="8"/>
  </w:num>
  <w:num w:numId="17" w16cid:durableId="1863401850">
    <w:abstractNumId w:val="9"/>
  </w:num>
  <w:num w:numId="18" w16cid:durableId="1954702154">
    <w:abstractNumId w:val="10"/>
  </w:num>
  <w:num w:numId="19" w16cid:durableId="253977345">
    <w:abstractNumId w:val="11"/>
  </w:num>
  <w:num w:numId="20" w16cid:durableId="1362828738">
    <w:abstractNumId w:val="12"/>
  </w:num>
  <w:num w:numId="21" w16cid:durableId="1485852846">
    <w:abstractNumId w:val="13"/>
  </w:num>
  <w:num w:numId="22" w16cid:durableId="1455903657">
    <w:abstractNumId w:val="14"/>
  </w:num>
  <w:num w:numId="23" w16cid:durableId="1276212089">
    <w:abstractNumId w:val="15"/>
  </w:num>
  <w:num w:numId="24" w16cid:durableId="1248005935">
    <w:abstractNumId w:val="16"/>
  </w:num>
  <w:num w:numId="25" w16cid:durableId="1576277547">
    <w:abstractNumId w:val="19"/>
  </w:num>
  <w:num w:numId="26" w16cid:durableId="1764448707">
    <w:abstractNumId w:val="20"/>
  </w:num>
  <w:num w:numId="27" w16cid:durableId="902644972">
    <w:abstractNumId w:val="23"/>
  </w:num>
  <w:num w:numId="28" w16cid:durableId="1181116313">
    <w:abstractNumId w:val="24"/>
  </w:num>
  <w:num w:numId="29" w16cid:durableId="1587347615">
    <w:abstractNumId w:val="25"/>
  </w:num>
  <w:num w:numId="30" w16cid:durableId="1425420163">
    <w:abstractNumId w:val="26"/>
  </w:num>
  <w:num w:numId="31" w16cid:durableId="402215607">
    <w:abstractNumId w:val="28"/>
  </w:num>
  <w:num w:numId="32" w16cid:durableId="79257119">
    <w:abstractNumId w:val="29"/>
  </w:num>
  <w:num w:numId="33" w16cid:durableId="1133988920">
    <w:abstractNumId w:val="30"/>
  </w:num>
  <w:num w:numId="34" w16cid:durableId="527647052">
    <w:abstractNumId w:val="31"/>
  </w:num>
  <w:num w:numId="35" w16cid:durableId="560604566">
    <w:abstractNumId w:val="32"/>
  </w:num>
  <w:num w:numId="36" w16cid:durableId="562713292">
    <w:abstractNumId w:val="33"/>
  </w:num>
  <w:num w:numId="37" w16cid:durableId="418871211">
    <w:abstractNumId w:val="34"/>
  </w:num>
  <w:num w:numId="38" w16cid:durableId="84420971">
    <w:abstractNumId w:val="35"/>
  </w:num>
  <w:num w:numId="39" w16cid:durableId="136072033">
    <w:abstractNumId w:val="38"/>
  </w:num>
  <w:num w:numId="40" w16cid:durableId="1335493042">
    <w:abstractNumId w:val="39"/>
  </w:num>
  <w:num w:numId="41" w16cid:durableId="202645487">
    <w:abstractNumId w:val="49"/>
  </w:num>
  <w:num w:numId="42" w16cid:durableId="1020743671">
    <w:abstractNumId w:val="52"/>
  </w:num>
  <w:num w:numId="43" w16cid:durableId="1773042612">
    <w:abstractNumId w:val="53"/>
  </w:num>
  <w:num w:numId="44" w16cid:durableId="887105974">
    <w:abstractNumId w:val="56"/>
  </w:num>
  <w:num w:numId="45" w16cid:durableId="484854098">
    <w:abstractNumId w:val="58"/>
  </w:num>
  <w:num w:numId="46" w16cid:durableId="816610089">
    <w:abstractNumId w:val="60"/>
  </w:num>
  <w:num w:numId="47" w16cid:durableId="443427299">
    <w:abstractNumId w:val="61"/>
  </w:num>
  <w:num w:numId="48" w16cid:durableId="469132168">
    <w:abstractNumId w:val="62"/>
  </w:num>
  <w:num w:numId="49" w16cid:durableId="1956130243">
    <w:abstractNumId w:val="63"/>
  </w:num>
  <w:num w:numId="50" w16cid:durableId="957948675">
    <w:abstractNumId w:val="64"/>
  </w:num>
  <w:num w:numId="51" w16cid:durableId="775558652">
    <w:abstractNumId w:val="21"/>
  </w:num>
  <w:num w:numId="52" w16cid:durableId="871262877">
    <w:abstractNumId w:val="40"/>
  </w:num>
  <w:num w:numId="53" w16cid:durableId="501822968">
    <w:abstractNumId w:val="54"/>
  </w:num>
  <w:num w:numId="54" w16cid:durableId="112985451">
    <w:abstractNumId w:val="47"/>
  </w:num>
  <w:num w:numId="55" w16cid:durableId="1011639101">
    <w:abstractNumId w:val="48"/>
  </w:num>
  <w:num w:numId="56" w16cid:durableId="641808659">
    <w:abstractNumId w:val="51"/>
  </w:num>
  <w:num w:numId="57" w16cid:durableId="744037795">
    <w:abstractNumId w:val="42"/>
  </w:num>
  <w:num w:numId="58" w16cid:durableId="1129788849">
    <w:abstractNumId w:val="57"/>
  </w:num>
  <w:num w:numId="59" w16cid:durableId="1832215214">
    <w:abstractNumId w:val="55"/>
    <w:lvlOverride w:ilvl="0">
      <w:startOverride w:val="1"/>
    </w:lvlOverride>
  </w:num>
  <w:num w:numId="60" w16cid:durableId="1836023558">
    <w:abstractNumId w:val="55"/>
  </w:num>
  <w:num w:numId="61" w16cid:durableId="1116291374">
    <w:abstractNumId w:val="41"/>
  </w:num>
  <w:num w:numId="62" w16cid:durableId="18810486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276209254">
    <w:abstractNumId w:val="4"/>
    <w:lvlOverride w:ilvl="0">
      <w:startOverride w:val="8"/>
    </w:lvlOverride>
    <w:lvlOverride w:ilvl="1">
      <w:startOverride w:val="7"/>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55315695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485319211">
    <w:abstractNumId w:val="4"/>
  </w:num>
  <w:num w:numId="66" w16cid:durableId="513156881">
    <w:abstractNumId w:val="6"/>
  </w:num>
  <w:num w:numId="67" w16cid:durableId="1251545687">
    <w:abstractNumId w:val="17"/>
  </w:num>
  <w:num w:numId="68" w16cid:durableId="1062287361">
    <w:abstractNumId w:val="46"/>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5C"/>
    <w:rsid w:val="0000036F"/>
    <w:rsid w:val="00000CDA"/>
    <w:rsid w:val="00001132"/>
    <w:rsid w:val="0000197A"/>
    <w:rsid w:val="00001B5B"/>
    <w:rsid w:val="00002328"/>
    <w:rsid w:val="00003AC1"/>
    <w:rsid w:val="00003EC6"/>
    <w:rsid w:val="00004013"/>
    <w:rsid w:val="000050CC"/>
    <w:rsid w:val="00005E59"/>
    <w:rsid w:val="000060AC"/>
    <w:rsid w:val="00006693"/>
    <w:rsid w:val="00006DD7"/>
    <w:rsid w:val="00006E50"/>
    <w:rsid w:val="00006EDD"/>
    <w:rsid w:val="000070D7"/>
    <w:rsid w:val="00007690"/>
    <w:rsid w:val="00007A99"/>
    <w:rsid w:val="00007B4D"/>
    <w:rsid w:val="00007BD1"/>
    <w:rsid w:val="00010600"/>
    <w:rsid w:val="00010877"/>
    <w:rsid w:val="00010A7E"/>
    <w:rsid w:val="000111A1"/>
    <w:rsid w:val="000111A8"/>
    <w:rsid w:val="00011E4C"/>
    <w:rsid w:val="00011EB8"/>
    <w:rsid w:val="00012267"/>
    <w:rsid w:val="00012470"/>
    <w:rsid w:val="00012683"/>
    <w:rsid w:val="00012ADD"/>
    <w:rsid w:val="00012C65"/>
    <w:rsid w:val="00012E4F"/>
    <w:rsid w:val="00013BDD"/>
    <w:rsid w:val="00013F78"/>
    <w:rsid w:val="00014FBC"/>
    <w:rsid w:val="00015472"/>
    <w:rsid w:val="00015F42"/>
    <w:rsid w:val="000169CA"/>
    <w:rsid w:val="00016B44"/>
    <w:rsid w:val="00017552"/>
    <w:rsid w:val="0001788C"/>
    <w:rsid w:val="00020925"/>
    <w:rsid w:val="00021201"/>
    <w:rsid w:val="00021557"/>
    <w:rsid w:val="00022424"/>
    <w:rsid w:val="00022F55"/>
    <w:rsid w:val="0002357A"/>
    <w:rsid w:val="00024428"/>
    <w:rsid w:val="00024730"/>
    <w:rsid w:val="000249D7"/>
    <w:rsid w:val="00024BB7"/>
    <w:rsid w:val="000265CB"/>
    <w:rsid w:val="0002681D"/>
    <w:rsid w:val="0003022F"/>
    <w:rsid w:val="00030834"/>
    <w:rsid w:val="00031189"/>
    <w:rsid w:val="00031A82"/>
    <w:rsid w:val="0003262C"/>
    <w:rsid w:val="00032BDA"/>
    <w:rsid w:val="0003324D"/>
    <w:rsid w:val="000332F4"/>
    <w:rsid w:val="00034BF9"/>
    <w:rsid w:val="00035616"/>
    <w:rsid w:val="00035ECA"/>
    <w:rsid w:val="00036A8A"/>
    <w:rsid w:val="00037633"/>
    <w:rsid w:val="000378D5"/>
    <w:rsid w:val="0004051B"/>
    <w:rsid w:val="00040A05"/>
    <w:rsid w:val="00040C3A"/>
    <w:rsid w:val="000414D2"/>
    <w:rsid w:val="00041B79"/>
    <w:rsid w:val="000427EE"/>
    <w:rsid w:val="00042A17"/>
    <w:rsid w:val="00042B2A"/>
    <w:rsid w:val="0004390C"/>
    <w:rsid w:val="00045601"/>
    <w:rsid w:val="000459E0"/>
    <w:rsid w:val="0004681B"/>
    <w:rsid w:val="00046D40"/>
    <w:rsid w:val="00046D41"/>
    <w:rsid w:val="0004761C"/>
    <w:rsid w:val="00047AF6"/>
    <w:rsid w:val="00047DA5"/>
    <w:rsid w:val="00047E5D"/>
    <w:rsid w:val="00047F35"/>
    <w:rsid w:val="000516F4"/>
    <w:rsid w:val="000517B2"/>
    <w:rsid w:val="00051DB2"/>
    <w:rsid w:val="00051EB4"/>
    <w:rsid w:val="00052075"/>
    <w:rsid w:val="000520FB"/>
    <w:rsid w:val="00052C1E"/>
    <w:rsid w:val="00052D20"/>
    <w:rsid w:val="00053172"/>
    <w:rsid w:val="00053B2F"/>
    <w:rsid w:val="0005416F"/>
    <w:rsid w:val="00054E1B"/>
    <w:rsid w:val="000550C0"/>
    <w:rsid w:val="000552C7"/>
    <w:rsid w:val="00056205"/>
    <w:rsid w:val="000564E1"/>
    <w:rsid w:val="00056C0E"/>
    <w:rsid w:val="000576AA"/>
    <w:rsid w:val="00057789"/>
    <w:rsid w:val="00057D4F"/>
    <w:rsid w:val="00057EDB"/>
    <w:rsid w:val="00060666"/>
    <w:rsid w:val="0006097A"/>
    <w:rsid w:val="0006100F"/>
    <w:rsid w:val="000611E2"/>
    <w:rsid w:val="00062269"/>
    <w:rsid w:val="00062C0F"/>
    <w:rsid w:val="00062FEC"/>
    <w:rsid w:val="000630E1"/>
    <w:rsid w:val="000639C0"/>
    <w:rsid w:val="000657E1"/>
    <w:rsid w:val="00065FBA"/>
    <w:rsid w:val="00066108"/>
    <w:rsid w:val="00066378"/>
    <w:rsid w:val="000679BC"/>
    <w:rsid w:val="00070187"/>
    <w:rsid w:val="00070B9D"/>
    <w:rsid w:val="00070F3A"/>
    <w:rsid w:val="0007127E"/>
    <w:rsid w:val="000716C5"/>
    <w:rsid w:val="00071A9D"/>
    <w:rsid w:val="00071E45"/>
    <w:rsid w:val="000728CA"/>
    <w:rsid w:val="00072B03"/>
    <w:rsid w:val="00073C65"/>
    <w:rsid w:val="00074669"/>
    <w:rsid w:val="000756B4"/>
    <w:rsid w:val="00075E23"/>
    <w:rsid w:val="00075E4E"/>
    <w:rsid w:val="000764E3"/>
    <w:rsid w:val="0007716F"/>
    <w:rsid w:val="00077A87"/>
    <w:rsid w:val="00080249"/>
    <w:rsid w:val="00080357"/>
    <w:rsid w:val="00081EC3"/>
    <w:rsid w:val="000823DA"/>
    <w:rsid w:val="00082CBB"/>
    <w:rsid w:val="000830D5"/>
    <w:rsid w:val="0008366A"/>
    <w:rsid w:val="00083BF4"/>
    <w:rsid w:val="00084A11"/>
    <w:rsid w:val="00084C5B"/>
    <w:rsid w:val="00085519"/>
    <w:rsid w:val="00085F60"/>
    <w:rsid w:val="00085F65"/>
    <w:rsid w:val="000864A6"/>
    <w:rsid w:val="0008675E"/>
    <w:rsid w:val="00086BFA"/>
    <w:rsid w:val="00087231"/>
    <w:rsid w:val="0008733D"/>
    <w:rsid w:val="000901D7"/>
    <w:rsid w:val="00090720"/>
    <w:rsid w:val="00090E48"/>
    <w:rsid w:val="00090E82"/>
    <w:rsid w:val="00091707"/>
    <w:rsid w:val="00091ED5"/>
    <w:rsid w:val="000922C5"/>
    <w:rsid w:val="00092817"/>
    <w:rsid w:val="000929D9"/>
    <w:rsid w:val="00092F32"/>
    <w:rsid w:val="00093055"/>
    <w:rsid w:val="0009344A"/>
    <w:rsid w:val="0009454E"/>
    <w:rsid w:val="00094AFA"/>
    <w:rsid w:val="0009533B"/>
    <w:rsid w:val="00095575"/>
    <w:rsid w:val="0009575D"/>
    <w:rsid w:val="00095BFB"/>
    <w:rsid w:val="000966E9"/>
    <w:rsid w:val="000973C5"/>
    <w:rsid w:val="000A0948"/>
    <w:rsid w:val="000A0BA7"/>
    <w:rsid w:val="000A0EF3"/>
    <w:rsid w:val="000A16DB"/>
    <w:rsid w:val="000A1E84"/>
    <w:rsid w:val="000A2085"/>
    <w:rsid w:val="000A2229"/>
    <w:rsid w:val="000A254B"/>
    <w:rsid w:val="000A25B1"/>
    <w:rsid w:val="000A3276"/>
    <w:rsid w:val="000A393C"/>
    <w:rsid w:val="000A3E84"/>
    <w:rsid w:val="000A4138"/>
    <w:rsid w:val="000A4481"/>
    <w:rsid w:val="000A4DDD"/>
    <w:rsid w:val="000A5152"/>
    <w:rsid w:val="000A51D4"/>
    <w:rsid w:val="000A5214"/>
    <w:rsid w:val="000A575F"/>
    <w:rsid w:val="000A584B"/>
    <w:rsid w:val="000A5B0F"/>
    <w:rsid w:val="000A62C0"/>
    <w:rsid w:val="000A650D"/>
    <w:rsid w:val="000A68B6"/>
    <w:rsid w:val="000A6BA2"/>
    <w:rsid w:val="000A6C50"/>
    <w:rsid w:val="000A73C0"/>
    <w:rsid w:val="000A76B0"/>
    <w:rsid w:val="000A7A76"/>
    <w:rsid w:val="000A7DBA"/>
    <w:rsid w:val="000A7FB8"/>
    <w:rsid w:val="000B040F"/>
    <w:rsid w:val="000B06AC"/>
    <w:rsid w:val="000B094A"/>
    <w:rsid w:val="000B25B8"/>
    <w:rsid w:val="000B25FC"/>
    <w:rsid w:val="000B276D"/>
    <w:rsid w:val="000B2EF7"/>
    <w:rsid w:val="000B3198"/>
    <w:rsid w:val="000B3441"/>
    <w:rsid w:val="000B39B4"/>
    <w:rsid w:val="000B418A"/>
    <w:rsid w:val="000B478D"/>
    <w:rsid w:val="000B4DAF"/>
    <w:rsid w:val="000B4EAA"/>
    <w:rsid w:val="000B50C3"/>
    <w:rsid w:val="000C0092"/>
    <w:rsid w:val="000C0149"/>
    <w:rsid w:val="000C04CF"/>
    <w:rsid w:val="000C0DC6"/>
    <w:rsid w:val="000C1094"/>
    <w:rsid w:val="000C1324"/>
    <w:rsid w:val="000C1B5A"/>
    <w:rsid w:val="000C1C2F"/>
    <w:rsid w:val="000C1E67"/>
    <w:rsid w:val="000C24CD"/>
    <w:rsid w:val="000C2C82"/>
    <w:rsid w:val="000C3514"/>
    <w:rsid w:val="000C45C3"/>
    <w:rsid w:val="000C5219"/>
    <w:rsid w:val="000C556C"/>
    <w:rsid w:val="000C55CE"/>
    <w:rsid w:val="000C5DEE"/>
    <w:rsid w:val="000C6E20"/>
    <w:rsid w:val="000C6FFD"/>
    <w:rsid w:val="000C7F55"/>
    <w:rsid w:val="000D0A5D"/>
    <w:rsid w:val="000D0BD2"/>
    <w:rsid w:val="000D10DB"/>
    <w:rsid w:val="000D18C8"/>
    <w:rsid w:val="000D1FC7"/>
    <w:rsid w:val="000D32CB"/>
    <w:rsid w:val="000D3921"/>
    <w:rsid w:val="000D3B27"/>
    <w:rsid w:val="000D43E0"/>
    <w:rsid w:val="000D5691"/>
    <w:rsid w:val="000D600D"/>
    <w:rsid w:val="000D6817"/>
    <w:rsid w:val="000D68F4"/>
    <w:rsid w:val="000D6EEF"/>
    <w:rsid w:val="000E0392"/>
    <w:rsid w:val="000E07F7"/>
    <w:rsid w:val="000E0F8F"/>
    <w:rsid w:val="000E0FB5"/>
    <w:rsid w:val="000E1356"/>
    <w:rsid w:val="000E22B6"/>
    <w:rsid w:val="000E24D2"/>
    <w:rsid w:val="000E3937"/>
    <w:rsid w:val="000E43DA"/>
    <w:rsid w:val="000E44C7"/>
    <w:rsid w:val="000E4B19"/>
    <w:rsid w:val="000E56C3"/>
    <w:rsid w:val="000E69B3"/>
    <w:rsid w:val="000E6A5E"/>
    <w:rsid w:val="000E6EDD"/>
    <w:rsid w:val="000E6F7E"/>
    <w:rsid w:val="000E7140"/>
    <w:rsid w:val="000E7636"/>
    <w:rsid w:val="000E7ED0"/>
    <w:rsid w:val="000E7F69"/>
    <w:rsid w:val="000F0A25"/>
    <w:rsid w:val="000F0EEC"/>
    <w:rsid w:val="000F4547"/>
    <w:rsid w:val="000F4D36"/>
    <w:rsid w:val="000F51DA"/>
    <w:rsid w:val="000F5BCA"/>
    <w:rsid w:val="000F5D64"/>
    <w:rsid w:val="000F7409"/>
    <w:rsid w:val="00100FB7"/>
    <w:rsid w:val="00101553"/>
    <w:rsid w:val="001024E3"/>
    <w:rsid w:val="001025B1"/>
    <w:rsid w:val="00102742"/>
    <w:rsid w:val="0010275F"/>
    <w:rsid w:val="001032AB"/>
    <w:rsid w:val="00103331"/>
    <w:rsid w:val="00103526"/>
    <w:rsid w:val="00103ABE"/>
    <w:rsid w:val="00104889"/>
    <w:rsid w:val="00104896"/>
    <w:rsid w:val="00104B11"/>
    <w:rsid w:val="00104C50"/>
    <w:rsid w:val="00105599"/>
    <w:rsid w:val="0010592A"/>
    <w:rsid w:val="00105C96"/>
    <w:rsid w:val="0010625B"/>
    <w:rsid w:val="001063FA"/>
    <w:rsid w:val="00106990"/>
    <w:rsid w:val="00107FBC"/>
    <w:rsid w:val="001110DA"/>
    <w:rsid w:val="00111D3C"/>
    <w:rsid w:val="00112617"/>
    <w:rsid w:val="001126EB"/>
    <w:rsid w:val="001128E0"/>
    <w:rsid w:val="00112956"/>
    <w:rsid w:val="00113149"/>
    <w:rsid w:val="001131EC"/>
    <w:rsid w:val="00113ACF"/>
    <w:rsid w:val="001142FE"/>
    <w:rsid w:val="00114527"/>
    <w:rsid w:val="00115009"/>
    <w:rsid w:val="00115CB1"/>
    <w:rsid w:val="001171CF"/>
    <w:rsid w:val="00122709"/>
    <w:rsid w:val="00122DF4"/>
    <w:rsid w:val="00122F98"/>
    <w:rsid w:val="00123ECD"/>
    <w:rsid w:val="00125C97"/>
    <w:rsid w:val="00125D3B"/>
    <w:rsid w:val="0012610A"/>
    <w:rsid w:val="001267FB"/>
    <w:rsid w:val="00126BC6"/>
    <w:rsid w:val="00126CA5"/>
    <w:rsid w:val="00126F3B"/>
    <w:rsid w:val="00127AE1"/>
    <w:rsid w:val="00130A27"/>
    <w:rsid w:val="00130DE9"/>
    <w:rsid w:val="00131042"/>
    <w:rsid w:val="0013104F"/>
    <w:rsid w:val="0013178F"/>
    <w:rsid w:val="00131B01"/>
    <w:rsid w:val="00131B9D"/>
    <w:rsid w:val="00133465"/>
    <w:rsid w:val="0013403C"/>
    <w:rsid w:val="00134A7E"/>
    <w:rsid w:val="00134FD9"/>
    <w:rsid w:val="00134FF0"/>
    <w:rsid w:val="001357AD"/>
    <w:rsid w:val="00135988"/>
    <w:rsid w:val="001365B6"/>
    <w:rsid w:val="00136CB7"/>
    <w:rsid w:val="00136D3B"/>
    <w:rsid w:val="00137EBA"/>
    <w:rsid w:val="00140380"/>
    <w:rsid w:val="0014051C"/>
    <w:rsid w:val="0014053D"/>
    <w:rsid w:val="001405A0"/>
    <w:rsid w:val="00140921"/>
    <w:rsid w:val="00140FF3"/>
    <w:rsid w:val="00141DEA"/>
    <w:rsid w:val="00142AE8"/>
    <w:rsid w:val="00142FA1"/>
    <w:rsid w:val="0014320C"/>
    <w:rsid w:val="00143E4B"/>
    <w:rsid w:val="00143EB9"/>
    <w:rsid w:val="0014445A"/>
    <w:rsid w:val="001447D2"/>
    <w:rsid w:val="00145EDC"/>
    <w:rsid w:val="00147723"/>
    <w:rsid w:val="00147DC5"/>
    <w:rsid w:val="00150054"/>
    <w:rsid w:val="001503E0"/>
    <w:rsid w:val="00150DD0"/>
    <w:rsid w:val="0015197E"/>
    <w:rsid w:val="00152085"/>
    <w:rsid w:val="00152829"/>
    <w:rsid w:val="00152944"/>
    <w:rsid w:val="0015335C"/>
    <w:rsid w:val="00154179"/>
    <w:rsid w:val="0015592F"/>
    <w:rsid w:val="00155EEE"/>
    <w:rsid w:val="00155F1D"/>
    <w:rsid w:val="00157341"/>
    <w:rsid w:val="001577B2"/>
    <w:rsid w:val="00157A9F"/>
    <w:rsid w:val="00157CE4"/>
    <w:rsid w:val="001600A4"/>
    <w:rsid w:val="001603B5"/>
    <w:rsid w:val="001604B8"/>
    <w:rsid w:val="0016108B"/>
    <w:rsid w:val="00161150"/>
    <w:rsid w:val="0016235F"/>
    <w:rsid w:val="00162778"/>
    <w:rsid w:val="00162AAD"/>
    <w:rsid w:val="00162CEF"/>
    <w:rsid w:val="0016356D"/>
    <w:rsid w:val="00163742"/>
    <w:rsid w:val="001638DF"/>
    <w:rsid w:val="0016411C"/>
    <w:rsid w:val="0016440B"/>
    <w:rsid w:val="00164449"/>
    <w:rsid w:val="0016465A"/>
    <w:rsid w:val="0016499F"/>
    <w:rsid w:val="00165F52"/>
    <w:rsid w:val="00166496"/>
    <w:rsid w:val="00166F26"/>
    <w:rsid w:val="00166F35"/>
    <w:rsid w:val="00167A34"/>
    <w:rsid w:val="00170952"/>
    <w:rsid w:val="00170976"/>
    <w:rsid w:val="001710D1"/>
    <w:rsid w:val="00171725"/>
    <w:rsid w:val="0017269A"/>
    <w:rsid w:val="00172A98"/>
    <w:rsid w:val="001733D5"/>
    <w:rsid w:val="0017348C"/>
    <w:rsid w:val="001739DA"/>
    <w:rsid w:val="001739F5"/>
    <w:rsid w:val="001747B4"/>
    <w:rsid w:val="00174911"/>
    <w:rsid w:val="001749B0"/>
    <w:rsid w:val="00174F72"/>
    <w:rsid w:val="00175827"/>
    <w:rsid w:val="0017642E"/>
    <w:rsid w:val="0017695A"/>
    <w:rsid w:val="00176967"/>
    <w:rsid w:val="001773AE"/>
    <w:rsid w:val="00180064"/>
    <w:rsid w:val="0018009D"/>
    <w:rsid w:val="0018037F"/>
    <w:rsid w:val="001805B4"/>
    <w:rsid w:val="00180D3C"/>
    <w:rsid w:val="00180E3B"/>
    <w:rsid w:val="001819A8"/>
    <w:rsid w:val="00182F27"/>
    <w:rsid w:val="001836BA"/>
    <w:rsid w:val="00183937"/>
    <w:rsid w:val="00183D04"/>
    <w:rsid w:val="00184083"/>
    <w:rsid w:val="0018495E"/>
    <w:rsid w:val="00184C6F"/>
    <w:rsid w:val="00187268"/>
    <w:rsid w:val="00190214"/>
    <w:rsid w:val="00190E99"/>
    <w:rsid w:val="00190F48"/>
    <w:rsid w:val="0019136D"/>
    <w:rsid w:val="001913E1"/>
    <w:rsid w:val="001917D9"/>
    <w:rsid w:val="00192FD4"/>
    <w:rsid w:val="0019332D"/>
    <w:rsid w:val="001937A5"/>
    <w:rsid w:val="001940F0"/>
    <w:rsid w:val="0019569B"/>
    <w:rsid w:val="00196280"/>
    <w:rsid w:val="001965CC"/>
    <w:rsid w:val="00196728"/>
    <w:rsid w:val="001970F2"/>
    <w:rsid w:val="0019748D"/>
    <w:rsid w:val="001A013D"/>
    <w:rsid w:val="001A0782"/>
    <w:rsid w:val="001A0B42"/>
    <w:rsid w:val="001A1A51"/>
    <w:rsid w:val="001A1B32"/>
    <w:rsid w:val="001A2434"/>
    <w:rsid w:val="001A39CF"/>
    <w:rsid w:val="001A4221"/>
    <w:rsid w:val="001A4B7F"/>
    <w:rsid w:val="001A5F27"/>
    <w:rsid w:val="001A6423"/>
    <w:rsid w:val="001A64EB"/>
    <w:rsid w:val="001A7439"/>
    <w:rsid w:val="001A7870"/>
    <w:rsid w:val="001A7D5B"/>
    <w:rsid w:val="001A7EDC"/>
    <w:rsid w:val="001B02A6"/>
    <w:rsid w:val="001B17B9"/>
    <w:rsid w:val="001B22EB"/>
    <w:rsid w:val="001B2FCD"/>
    <w:rsid w:val="001B3279"/>
    <w:rsid w:val="001B413D"/>
    <w:rsid w:val="001B4593"/>
    <w:rsid w:val="001B4974"/>
    <w:rsid w:val="001B4E52"/>
    <w:rsid w:val="001B54FA"/>
    <w:rsid w:val="001B56BC"/>
    <w:rsid w:val="001B5F45"/>
    <w:rsid w:val="001B60FE"/>
    <w:rsid w:val="001B658D"/>
    <w:rsid w:val="001B77F0"/>
    <w:rsid w:val="001B7BA1"/>
    <w:rsid w:val="001C04BF"/>
    <w:rsid w:val="001C0710"/>
    <w:rsid w:val="001C1241"/>
    <w:rsid w:val="001C14CB"/>
    <w:rsid w:val="001C1B41"/>
    <w:rsid w:val="001C2003"/>
    <w:rsid w:val="001C2173"/>
    <w:rsid w:val="001C217B"/>
    <w:rsid w:val="001C29C2"/>
    <w:rsid w:val="001C2F45"/>
    <w:rsid w:val="001C3032"/>
    <w:rsid w:val="001C311D"/>
    <w:rsid w:val="001C38BC"/>
    <w:rsid w:val="001C3B2D"/>
    <w:rsid w:val="001C3FE4"/>
    <w:rsid w:val="001C4006"/>
    <w:rsid w:val="001C460D"/>
    <w:rsid w:val="001C48AF"/>
    <w:rsid w:val="001C4ADD"/>
    <w:rsid w:val="001C50DC"/>
    <w:rsid w:val="001C6025"/>
    <w:rsid w:val="001C66D3"/>
    <w:rsid w:val="001C68E7"/>
    <w:rsid w:val="001C6E0E"/>
    <w:rsid w:val="001C6F52"/>
    <w:rsid w:val="001D02D5"/>
    <w:rsid w:val="001D12B7"/>
    <w:rsid w:val="001D1343"/>
    <w:rsid w:val="001D1A17"/>
    <w:rsid w:val="001D1FC1"/>
    <w:rsid w:val="001D3218"/>
    <w:rsid w:val="001D42A6"/>
    <w:rsid w:val="001D475E"/>
    <w:rsid w:val="001D4D75"/>
    <w:rsid w:val="001D59B1"/>
    <w:rsid w:val="001D5FB5"/>
    <w:rsid w:val="001D652F"/>
    <w:rsid w:val="001D6BA1"/>
    <w:rsid w:val="001D6D5D"/>
    <w:rsid w:val="001D75F2"/>
    <w:rsid w:val="001D7B45"/>
    <w:rsid w:val="001E0270"/>
    <w:rsid w:val="001E0808"/>
    <w:rsid w:val="001E1061"/>
    <w:rsid w:val="001E10CA"/>
    <w:rsid w:val="001E2867"/>
    <w:rsid w:val="001E3030"/>
    <w:rsid w:val="001E3060"/>
    <w:rsid w:val="001E31D4"/>
    <w:rsid w:val="001E3F3E"/>
    <w:rsid w:val="001E477E"/>
    <w:rsid w:val="001E4D7D"/>
    <w:rsid w:val="001E53FB"/>
    <w:rsid w:val="001E59A9"/>
    <w:rsid w:val="001E5A1A"/>
    <w:rsid w:val="001E5F04"/>
    <w:rsid w:val="001E699E"/>
    <w:rsid w:val="001E6C29"/>
    <w:rsid w:val="001E6C37"/>
    <w:rsid w:val="001F094C"/>
    <w:rsid w:val="001F0B72"/>
    <w:rsid w:val="001F3B00"/>
    <w:rsid w:val="001F4A4B"/>
    <w:rsid w:val="001F4DB8"/>
    <w:rsid w:val="001F5DD2"/>
    <w:rsid w:val="001F62D9"/>
    <w:rsid w:val="001F65E5"/>
    <w:rsid w:val="001F6E7F"/>
    <w:rsid w:val="00200D2E"/>
    <w:rsid w:val="002018AF"/>
    <w:rsid w:val="002027D1"/>
    <w:rsid w:val="00202A19"/>
    <w:rsid w:val="00203841"/>
    <w:rsid w:val="00203AEE"/>
    <w:rsid w:val="00204924"/>
    <w:rsid w:val="00204DFD"/>
    <w:rsid w:val="002056C8"/>
    <w:rsid w:val="00206728"/>
    <w:rsid w:val="002067F4"/>
    <w:rsid w:val="00207544"/>
    <w:rsid w:val="0021055A"/>
    <w:rsid w:val="00210E0E"/>
    <w:rsid w:val="002112A5"/>
    <w:rsid w:val="00211891"/>
    <w:rsid w:val="00211F19"/>
    <w:rsid w:val="00211F3B"/>
    <w:rsid w:val="002131D3"/>
    <w:rsid w:val="00213A2F"/>
    <w:rsid w:val="0021485B"/>
    <w:rsid w:val="00214962"/>
    <w:rsid w:val="002152E5"/>
    <w:rsid w:val="0021591D"/>
    <w:rsid w:val="00215CE2"/>
    <w:rsid w:val="00217555"/>
    <w:rsid w:val="00217D6A"/>
    <w:rsid w:val="00220F56"/>
    <w:rsid w:val="0022169F"/>
    <w:rsid w:val="00221704"/>
    <w:rsid w:val="002218FD"/>
    <w:rsid w:val="00222050"/>
    <w:rsid w:val="002222EF"/>
    <w:rsid w:val="00222647"/>
    <w:rsid w:val="002226AA"/>
    <w:rsid w:val="00223245"/>
    <w:rsid w:val="002232BE"/>
    <w:rsid w:val="002237F3"/>
    <w:rsid w:val="00224AA7"/>
    <w:rsid w:val="00224CA5"/>
    <w:rsid w:val="00224E5F"/>
    <w:rsid w:val="00225375"/>
    <w:rsid w:val="002256AE"/>
    <w:rsid w:val="00225D07"/>
    <w:rsid w:val="00227020"/>
    <w:rsid w:val="002277C3"/>
    <w:rsid w:val="0023061B"/>
    <w:rsid w:val="00231242"/>
    <w:rsid w:val="00231CD1"/>
    <w:rsid w:val="00232A3C"/>
    <w:rsid w:val="00233353"/>
    <w:rsid w:val="00234BE7"/>
    <w:rsid w:val="002351E7"/>
    <w:rsid w:val="0023660F"/>
    <w:rsid w:val="002368C5"/>
    <w:rsid w:val="00236FA5"/>
    <w:rsid w:val="0024070A"/>
    <w:rsid w:val="002411A1"/>
    <w:rsid w:val="00241B9E"/>
    <w:rsid w:val="00241F98"/>
    <w:rsid w:val="0024247E"/>
    <w:rsid w:val="0024379B"/>
    <w:rsid w:val="00244E7D"/>
    <w:rsid w:val="00245446"/>
    <w:rsid w:val="00245452"/>
    <w:rsid w:val="00245F40"/>
    <w:rsid w:val="002461CD"/>
    <w:rsid w:val="00246859"/>
    <w:rsid w:val="00246E7D"/>
    <w:rsid w:val="00247019"/>
    <w:rsid w:val="00247403"/>
    <w:rsid w:val="00247542"/>
    <w:rsid w:val="00247592"/>
    <w:rsid w:val="00247E0E"/>
    <w:rsid w:val="00250662"/>
    <w:rsid w:val="00250B61"/>
    <w:rsid w:val="00250F0E"/>
    <w:rsid w:val="00250F42"/>
    <w:rsid w:val="0025100E"/>
    <w:rsid w:val="0025135E"/>
    <w:rsid w:val="002520C0"/>
    <w:rsid w:val="00253609"/>
    <w:rsid w:val="00253F1B"/>
    <w:rsid w:val="00254210"/>
    <w:rsid w:val="00255140"/>
    <w:rsid w:val="002552DF"/>
    <w:rsid w:val="0025532E"/>
    <w:rsid w:val="00255475"/>
    <w:rsid w:val="00255759"/>
    <w:rsid w:val="00255BE3"/>
    <w:rsid w:val="002560C3"/>
    <w:rsid w:val="00256813"/>
    <w:rsid w:val="00256D45"/>
    <w:rsid w:val="0025711C"/>
    <w:rsid w:val="0025755D"/>
    <w:rsid w:val="00257893"/>
    <w:rsid w:val="00260C70"/>
    <w:rsid w:val="0026109F"/>
    <w:rsid w:val="0026124E"/>
    <w:rsid w:val="0026154C"/>
    <w:rsid w:val="00261C06"/>
    <w:rsid w:val="002626A2"/>
    <w:rsid w:val="002626F5"/>
    <w:rsid w:val="00262ECA"/>
    <w:rsid w:val="00263B2B"/>
    <w:rsid w:val="00264033"/>
    <w:rsid w:val="00264870"/>
    <w:rsid w:val="00264944"/>
    <w:rsid w:val="00264998"/>
    <w:rsid w:val="00264A11"/>
    <w:rsid w:val="00265031"/>
    <w:rsid w:val="00266092"/>
    <w:rsid w:val="00266B61"/>
    <w:rsid w:val="0026712A"/>
    <w:rsid w:val="00267891"/>
    <w:rsid w:val="00267EF0"/>
    <w:rsid w:val="0027004C"/>
    <w:rsid w:val="002701A7"/>
    <w:rsid w:val="002704DB"/>
    <w:rsid w:val="002704E0"/>
    <w:rsid w:val="002706E4"/>
    <w:rsid w:val="00270C7A"/>
    <w:rsid w:val="00271104"/>
    <w:rsid w:val="00271175"/>
    <w:rsid w:val="0027128E"/>
    <w:rsid w:val="00272570"/>
    <w:rsid w:val="00272596"/>
    <w:rsid w:val="00272854"/>
    <w:rsid w:val="00272A02"/>
    <w:rsid w:val="00272DEF"/>
    <w:rsid w:val="00272F7D"/>
    <w:rsid w:val="00273032"/>
    <w:rsid w:val="002730F6"/>
    <w:rsid w:val="00273854"/>
    <w:rsid w:val="00274F86"/>
    <w:rsid w:val="002758EF"/>
    <w:rsid w:val="00275FC9"/>
    <w:rsid w:val="0027671E"/>
    <w:rsid w:val="00276C31"/>
    <w:rsid w:val="002772E3"/>
    <w:rsid w:val="002809AC"/>
    <w:rsid w:val="0028111A"/>
    <w:rsid w:val="00281829"/>
    <w:rsid w:val="00283909"/>
    <w:rsid w:val="0028392E"/>
    <w:rsid w:val="002840B2"/>
    <w:rsid w:val="00284173"/>
    <w:rsid w:val="00284E86"/>
    <w:rsid w:val="002869C6"/>
    <w:rsid w:val="00287642"/>
    <w:rsid w:val="00287B22"/>
    <w:rsid w:val="00290094"/>
    <w:rsid w:val="0029089D"/>
    <w:rsid w:val="00291C7D"/>
    <w:rsid w:val="00292239"/>
    <w:rsid w:val="00292CEC"/>
    <w:rsid w:val="0029397E"/>
    <w:rsid w:val="00293AEB"/>
    <w:rsid w:val="00293B75"/>
    <w:rsid w:val="0029466E"/>
    <w:rsid w:val="00294727"/>
    <w:rsid w:val="00294B4A"/>
    <w:rsid w:val="00294FA9"/>
    <w:rsid w:val="002955D3"/>
    <w:rsid w:val="002957D7"/>
    <w:rsid w:val="00295C76"/>
    <w:rsid w:val="0029615A"/>
    <w:rsid w:val="002963E4"/>
    <w:rsid w:val="00296BE8"/>
    <w:rsid w:val="0029715B"/>
    <w:rsid w:val="00297288"/>
    <w:rsid w:val="0029754B"/>
    <w:rsid w:val="002A00C2"/>
    <w:rsid w:val="002A036F"/>
    <w:rsid w:val="002A05B1"/>
    <w:rsid w:val="002A1564"/>
    <w:rsid w:val="002A1C6E"/>
    <w:rsid w:val="002A1D6A"/>
    <w:rsid w:val="002A1EF3"/>
    <w:rsid w:val="002A24D4"/>
    <w:rsid w:val="002A2593"/>
    <w:rsid w:val="002A2720"/>
    <w:rsid w:val="002A2BEB"/>
    <w:rsid w:val="002A3CD5"/>
    <w:rsid w:val="002A5150"/>
    <w:rsid w:val="002A6EAD"/>
    <w:rsid w:val="002A733A"/>
    <w:rsid w:val="002A7524"/>
    <w:rsid w:val="002A7A01"/>
    <w:rsid w:val="002B008D"/>
    <w:rsid w:val="002B0BE7"/>
    <w:rsid w:val="002B0C15"/>
    <w:rsid w:val="002B110C"/>
    <w:rsid w:val="002B1184"/>
    <w:rsid w:val="002B1D55"/>
    <w:rsid w:val="002B2833"/>
    <w:rsid w:val="002B2AB5"/>
    <w:rsid w:val="002B30E6"/>
    <w:rsid w:val="002B3A2B"/>
    <w:rsid w:val="002B3CCF"/>
    <w:rsid w:val="002B4417"/>
    <w:rsid w:val="002B4B61"/>
    <w:rsid w:val="002B5794"/>
    <w:rsid w:val="002B5AF9"/>
    <w:rsid w:val="002B5F8A"/>
    <w:rsid w:val="002B6682"/>
    <w:rsid w:val="002B7448"/>
    <w:rsid w:val="002C0B64"/>
    <w:rsid w:val="002C10D7"/>
    <w:rsid w:val="002C1641"/>
    <w:rsid w:val="002C1EB3"/>
    <w:rsid w:val="002C1F13"/>
    <w:rsid w:val="002C2792"/>
    <w:rsid w:val="002C3312"/>
    <w:rsid w:val="002C3671"/>
    <w:rsid w:val="002C37C7"/>
    <w:rsid w:val="002C3D66"/>
    <w:rsid w:val="002C4070"/>
    <w:rsid w:val="002C440D"/>
    <w:rsid w:val="002C58D2"/>
    <w:rsid w:val="002C5A89"/>
    <w:rsid w:val="002C5BCE"/>
    <w:rsid w:val="002C5EC4"/>
    <w:rsid w:val="002C6C33"/>
    <w:rsid w:val="002D0295"/>
    <w:rsid w:val="002D033F"/>
    <w:rsid w:val="002D064D"/>
    <w:rsid w:val="002D12CF"/>
    <w:rsid w:val="002D1B85"/>
    <w:rsid w:val="002D1CFA"/>
    <w:rsid w:val="002D33B3"/>
    <w:rsid w:val="002D40D8"/>
    <w:rsid w:val="002D41C9"/>
    <w:rsid w:val="002D45C2"/>
    <w:rsid w:val="002D4CA0"/>
    <w:rsid w:val="002D5514"/>
    <w:rsid w:val="002D5D4E"/>
    <w:rsid w:val="002D628F"/>
    <w:rsid w:val="002D6E69"/>
    <w:rsid w:val="002D7148"/>
    <w:rsid w:val="002D7DC4"/>
    <w:rsid w:val="002D7EA2"/>
    <w:rsid w:val="002E03A4"/>
    <w:rsid w:val="002E10CD"/>
    <w:rsid w:val="002E10DC"/>
    <w:rsid w:val="002E121B"/>
    <w:rsid w:val="002E1358"/>
    <w:rsid w:val="002E15DF"/>
    <w:rsid w:val="002E16E8"/>
    <w:rsid w:val="002E187C"/>
    <w:rsid w:val="002E18E3"/>
    <w:rsid w:val="002E1CDE"/>
    <w:rsid w:val="002E2779"/>
    <w:rsid w:val="002E349E"/>
    <w:rsid w:val="002E35D7"/>
    <w:rsid w:val="002E3921"/>
    <w:rsid w:val="002E3C15"/>
    <w:rsid w:val="002E42B5"/>
    <w:rsid w:val="002E432F"/>
    <w:rsid w:val="002E4F0A"/>
    <w:rsid w:val="002E5A58"/>
    <w:rsid w:val="002E61E7"/>
    <w:rsid w:val="002E620F"/>
    <w:rsid w:val="002E6267"/>
    <w:rsid w:val="002E6663"/>
    <w:rsid w:val="002E6B47"/>
    <w:rsid w:val="002E6E57"/>
    <w:rsid w:val="002E755E"/>
    <w:rsid w:val="002E7736"/>
    <w:rsid w:val="002E78C1"/>
    <w:rsid w:val="002E7E79"/>
    <w:rsid w:val="002F023D"/>
    <w:rsid w:val="002F097A"/>
    <w:rsid w:val="002F17C9"/>
    <w:rsid w:val="002F1B00"/>
    <w:rsid w:val="002F1B4A"/>
    <w:rsid w:val="002F2358"/>
    <w:rsid w:val="002F2430"/>
    <w:rsid w:val="002F2D41"/>
    <w:rsid w:val="002F2FCB"/>
    <w:rsid w:val="002F3202"/>
    <w:rsid w:val="002F3554"/>
    <w:rsid w:val="002F3598"/>
    <w:rsid w:val="002F35CB"/>
    <w:rsid w:val="002F3937"/>
    <w:rsid w:val="002F3D27"/>
    <w:rsid w:val="002F414B"/>
    <w:rsid w:val="002F443F"/>
    <w:rsid w:val="002F4AB5"/>
    <w:rsid w:val="002F4FE5"/>
    <w:rsid w:val="002F503E"/>
    <w:rsid w:val="002F5686"/>
    <w:rsid w:val="002F5941"/>
    <w:rsid w:val="002F5E45"/>
    <w:rsid w:val="002F6201"/>
    <w:rsid w:val="002F63D9"/>
    <w:rsid w:val="002F64D5"/>
    <w:rsid w:val="002F6C1E"/>
    <w:rsid w:val="002F6ECD"/>
    <w:rsid w:val="002F7B0F"/>
    <w:rsid w:val="00301075"/>
    <w:rsid w:val="00301990"/>
    <w:rsid w:val="00301B3D"/>
    <w:rsid w:val="00301F71"/>
    <w:rsid w:val="00302733"/>
    <w:rsid w:val="003035DD"/>
    <w:rsid w:val="00303B04"/>
    <w:rsid w:val="00304182"/>
    <w:rsid w:val="0030446B"/>
    <w:rsid w:val="00304EED"/>
    <w:rsid w:val="003058E3"/>
    <w:rsid w:val="0030600F"/>
    <w:rsid w:val="00306012"/>
    <w:rsid w:val="00306C30"/>
    <w:rsid w:val="00306D2A"/>
    <w:rsid w:val="003070DE"/>
    <w:rsid w:val="003070EA"/>
    <w:rsid w:val="00307577"/>
    <w:rsid w:val="00307C8D"/>
    <w:rsid w:val="00307DF7"/>
    <w:rsid w:val="00310EFD"/>
    <w:rsid w:val="003112C6"/>
    <w:rsid w:val="00311628"/>
    <w:rsid w:val="00311A4F"/>
    <w:rsid w:val="00313332"/>
    <w:rsid w:val="00313519"/>
    <w:rsid w:val="00313D9B"/>
    <w:rsid w:val="00314078"/>
    <w:rsid w:val="00315905"/>
    <w:rsid w:val="00316026"/>
    <w:rsid w:val="00316559"/>
    <w:rsid w:val="003166CB"/>
    <w:rsid w:val="003169FA"/>
    <w:rsid w:val="0031724D"/>
    <w:rsid w:val="00317255"/>
    <w:rsid w:val="00317E8A"/>
    <w:rsid w:val="00317FC6"/>
    <w:rsid w:val="00320402"/>
    <w:rsid w:val="00320A64"/>
    <w:rsid w:val="00320AB6"/>
    <w:rsid w:val="00320D26"/>
    <w:rsid w:val="003215F2"/>
    <w:rsid w:val="003218DF"/>
    <w:rsid w:val="00321A96"/>
    <w:rsid w:val="00322398"/>
    <w:rsid w:val="00322450"/>
    <w:rsid w:val="003241CF"/>
    <w:rsid w:val="003245A7"/>
    <w:rsid w:val="003246B5"/>
    <w:rsid w:val="00324882"/>
    <w:rsid w:val="003249CF"/>
    <w:rsid w:val="003267B5"/>
    <w:rsid w:val="00327501"/>
    <w:rsid w:val="00327AC5"/>
    <w:rsid w:val="00330196"/>
    <w:rsid w:val="0033054B"/>
    <w:rsid w:val="00330DB1"/>
    <w:rsid w:val="00330E0E"/>
    <w:rsid w:val="0033161A"/>
    <w:rsid w:val="00331687"/>
    <w:rsid w:val="0033169F"/>
    <w:rsid w:val="00331F29"/>
    <w:rsid w:val="00332045"/>
    <w:rsid w:val="00332152"/>
    <w:rsid w:val="003326C2"/>
    <w:rsid w:val="00332A4D"/>
    <w:rsid w:val="003330D2"/>
    <w:rsid w:val="003339C8"/>
    <w:rsid w:val="00333FDB"/>
    <w:rsid w:val="003343F1"/>
    <w:rsid w:val="00334B00"/>
    <w:rsid w:val="00336085"/>
    <w:rsid w:val="00337546"/>
    <w:rsid w:val="003378E0"/>
    <w:rsid w:val="00337961"/>
    <w:rsid w:val="00337C43"/>
    <w:rsid w:val="003407E0"/>
    <w:rsid w:val="00340A95"/>
    <w:rsid w:val="003410A6"/>
    <w:rsid w:val="003414AC"/>
    <w:rsid w:val="003414E6"/>
    <w:rsid w:val="00341F71"/>
    <w:rsid w:val="00342070"/>
    <w:rsid w:val="00342FA8"/>
    <w:rsid w:val="003447BB"/>
    <w:rsid w:val="003447DA"/>
    <w:rsid w:val="00344B38"/>
    <w:rsid w:val="0034569F"/>
    <w:rsid w:val="00345AEC"/>
    <w:rsid w:val="00346D16"/>
    <w:rsid w:val="00347742"/>
    <w:rsid w:val="00351655"/>
    <w:rsid w:val="003520F3"/>
    <w:rsid w:val="0035485A"/>
    <w:rsid w:val="00355079"/>
    <w:rsid w:val="00355351"/>
    <w:rsid w:val="00355779"/>
    <w:rsid w:val="00356185"/>
    <w:rsid w:val="003567C7"/>
    <w:rsid w:val="00357206"/>
    <w:rsid w:val="00357961"/>
    <w:rsid w:val="00357C4D"/>
    <w:rsid w:val="00357D78"/>
    <w:rsid w:val="00360380"/>
    <w:rsid w:val="0036056F"/>
    <w:rsid w:val="0036137D"/>
    <w:rsid w:val="00361EB7"/>
    <w:rsid w:val="00362872"/>
    <w:rsid w:val="00362FE0"/>
    <w:rsid w:val="0036346A"/>
    <w:rsid w:val="00363954"/>
    <w:rsid w:val="003642D6"/>
    <w:rsid w:val="00364B6E"/>
    <w:rsid w:val="003659F2"/>
    <w:rsid w:val="00365D52"/>
    <w:rsid w:val="00366182"/>
    <w:rsid w:val="00366DBE"/>
    <w:rsid w:val="00367444"/>
    <w:rsid w:val="003675B8"/>
    <w:rsid w:val="003676F1"/>
    <w:rsid w:val="0036775E"/>
    <w:rsid w:val="00367EDD"/>
    <w:rsid w:val="00370DD4"/>
    <w:rsid w:val="0037116B"/>
    <w:rsid w:val="003712A0"/>
    <w:rsid w:val="003712A7"/>
    <w:rsid w:val="00371EFD"/>
    <w:rsid w:val="003729BF"/>
    <w:rsid w:val="00372AD5"/>
    <w:rsid w:val="00372B13"/>
    <w:rsid w:val="00372F8E"/>
    <w:rsid w:val="00373790"/>
    <w:rsid w:val="003741EF"/>
    <w:rsid w:val="003745F9"/>
    <w:rsid w:val="00374940"/>
    <w:rsid w:val="003750C8"/>
    <w:rsid w:val="003759D2"/>
    <w:rsid w:val="00375D88"/>
    <w:rsid w:val="00376244"/>
    <w:rsid w:val="00376462"/>
    <w:rsid w:val="00376CCB"/>
    <w:rsid w:val="00377614"/>
    <w:rsid w:val="00377ACE"/>
    <w:rsid w:val="00377AD8"/>
    <w:rsid w:val="00380645"/>
    <w:rsid w:val="00380831"/>
    <w:rsid w:val="00380A1D"/>
    <w:rsid w:val="00380AC1"/>
    <w:rsid w:val="00380B68"/>
    <w:rsid w:val="00380ECF"/>
    <w:rsid w:val="00381A63"/>
    <w:rsid w:val="0038209A"/>
    <w:rsid w:val="00382598"/>
    <w:rsid w:val="0038262B"/>
    <w:rsid w:val="00382CE7"/>
    <w:rsid w:val="003832D9"/>
    <w:rsid w:val="0038330F"/>
    <w:rsid w:val="00383691"/>
    <w:rsid w:val="00384072"/>
    <w:rsid w:val="0038421B"/>
    <w:rsid w:val="00384BAF"/>
    <w:rsid w:val="0038559B"/>
    <w:rsid w:val="00385990"/>
    <w:rsid w:val="00385B08"/>
    <w:rsid w:val="00386CF0"/>
    <w:rsid w:val="00386F39"/>
    <w:rsid w:val="00386FEA"/>
    <w:rsid w:val="003877F8"/>
    <w:rsid w:val="00390045"/>
    <w:rsid w:val="003902B2"/>
    <w:rsid w:val="00390397"/>
    <w:rsid w:val="0039061F"/>
    <w:rsid w:val="00390D19"/>
    <w:rsid w:val="00391056"/>
    <w:rsid w:val="00391B88"/>
    <w:rsid w:val="00391CD8"/>
    <w:rsid w:val="003937BC"/>
    <w:rsid w:val="00393C8E"/>
    <w:rsid w:val="00394608"/>
    <w:rsid w:val="0039471C"/>
    <w:rsid w:val="00394A5D"/>
    <w:rsid w:val="00395C89"/>
    <w:rsid w:val="00396106"/>
    <w:rsid w:val="003963B7"/>
    <w:rsid w:val="003964BF"/>
    <w:rsid w:val="003A187E"/>
    <w:rsid w:val="003A18F4"/>
    <w:rsid w:val="003A1AE3"/>
    <w:rsid w:val="003A27F4"/>
    <w:rsid w:val="003A2DC1"/>
    <w:rsid w:val="003A33F8"/>
    <w:rsid w:val="003A348D"/>
    <w:rsid w:val="003A3C43"/>
    <w:rsid w:val="003A430F"/>
    <w:rsid w:val="003A4790"/>
    <w:rsid w:val="003A485E"/>
    <w:rsid w:val="003A4B42"/>
    <w:rsid w:val="003A527A"/>
    <w:rsid w:val="003A52B8"/>
    <w:rsid w:val="003A54CE"/>
    <w:rsid w:val="003A565C"/>
    <w:rsid w:val="003A5CAF"/>
    <w:rsid w:val="003A5DB5"/>
    <w:rsid w:val="003A5E9B"/>
    <w:rsid w:val="003A6019"/>
    <w:rsid w:val="003A632E"/>
    <w:rsid w:val="003A6858"/>
    <w:rsid w:val="003A7118"/>
    <w:rsid w:val="003A71F1"/>
    <w:rsid w:val="003A789A"/>
    <w:rsid w:val="003A7BFE"/>
    <w:rsid w:val="003B0978"/>
    <w:rsid w:val="003B1BD7"/>
    <w:rsid w:val="003B1D61"/>
    <w:rsid w:val="003B27EA"/>
    <w:rsid w:val="003B2C86"/>
    <w:rsid w:val="003B349D"/>
    <w:rsid w:val="003B3E27"/>
    <w:rsid w:val="003B3E94"/>
    <w:rsid w:val="003B4AB3"/>
    <w:rsid w:val="003B4DEB"/>
    <w:rsid w:val="003B5191"/>
    <w:rsid w:val="003B5C8C"/>
    <w:rsid w:val="003B63A0"/>
    <w:rsid w:val="003B640E"/>
    <w:rsid w:val="003B6423"/>
    <w:rsid w:val="003B66DC"/>
    <w:rsid w:val="003B6950"/>
    <w:rsid w:val="003C21BD"/>
    <w:rsid w:val="003C240D"/>
    <w:rsid w:val="003C269F"/>
    <w:rsid w:val="003C32BC"/>
    <w:rsid w:val="003C3722"/>
    <w:rsid w:val="003C42CB"/>
    <w:rsid w:val="003C49F4"/>
    <w:rsid w:val="003C4BC0"/>
    <w:rsid w:val="003C4F69"/>
    <w:rsid w:val="003C54AD"/>
    <w:rsid w:val="003C57E7"/>
    <w:rsid w:val="003C6480"/>
    <w:rsid w:val="003C7061"/>
    <w:rsid w:val="003C789A"/>
    <w:rsid w:val="003D007D"/>
    <w:rsid w:val="003D0C05"/>
    <w:rsid w:val="003D0D3E"/>
    <w:rsid w:val="003D1D4D"/>
    <w:rsid w:val="003D1E49"/>
    <w:rsid w:val="003D2871"/>
    <w:rsid w:val="003D2C7F"/>
    <w:rsid w:val="003D3279"/>
    <w:rsid w:val="003D3435"/>
    <w:rsid w:val="003D3507"/>
    <w:rsid w:val="003D3CAC"/>
    <w:rsid w:val="003D3E1C"/>
    <w:rsid w:val="003D3F3F"/>
    <w:rsid w:val="003D40A7"/>
    <w:rsid w:val="003D45DE"/>
    <w:rsid w:val="003D4A67"/>
    <w:rsid w:val="003D51A2"/>
    <w:rsid w:val="003D56C2"/>
    <w:rsid w:val="003D598B"/>
    <w:rsid w:val="003D5A38"/>
    <w:rsid w:val="003D5C6C"/>
    <w:rsid w:val="003D5CD7"/>
    <w:rsid w:val="003D5F18"/>
    <w:rsid w:val="003D79BC"/>
    <w:rsid w:val="003E06A3"/>
    <w:rsid w:val="003E0852"/>
    <w:rsid w:val="003E14B0"/>
    <w:rsid w:val="003E1FEC"/>
    <w:rsid w:val="003E2564"/>
    <w:rsid w:val="003E2DFE"/>
    <w:rsid w:val="003E366F"/>
    <w:rsid w:val="003E475D"/>
    <w:rsid w:val="003E4D93"/>
    <w:rsid w:val="003E4E8A"/>
    <w:rsid w:val="003E520F"/>
    <w:rsid w:val="003E60B8"/>
    <w:rsid w:val="003E65E7"/>
    <w:rsid w:val="003E68BB"/>
    <w:rsid w:val="003E6D7E"/>
    <w:rsid w:val="003E6FB6"/>
    <w:rsid w:val="003E70A6"/>
    <w:rsid w:val="003E7291"/>
    <w:rsid w:val="003E7380"/>
    <w:rsid w:val="003E752C"/>
    <w:rsid w:val="003F0153"/>
    <w:rsid w:val="003F03FA"/>
    <w:rsid w:val="003F06FB"/>
    <w:rsid w:val="003F0B2B"/>
    <w:rsid w:val="003F0EFF"/>
    <w:rsid w:val="003F1230"/>
    <w:rsid w:val="003F19D4"/>
    <w:rsid w:val="003F1BBF"/>
    <w:rsid w:val="003F2D46"/>
    <w:rsid w:val="003F2E8B"/>
    <w:rsid w:val="003F572E"/>
    <w:rsid w:val="003F57C9"/>
    <w:rsid w:val="003F5C67"/>
    <w:rsid w:val="003F6707"/>
    <w:rsid w:val="003F7001"/>
    <w:rsid w:val="003F7161"/>
    <w:rsid w:val="00400B9A"/>
    <w:rsid w:val="00400C14"/>
    <w:rsid w:val="00400E6B"/>
    <w:rsid w:val="00400EA4"/>
    <w:rsid w:val="00400FDE"/>
    <w:rsid w:val="00400FF0"/>
    <w:rsid w:val="004010E9"/>
    <w:rsid w:val="0040128B"/>
    <w:rsid w:val="004022E4"/>
    <w:rsid w:val="004023A0"/>
    <w:rsid w:val="00403306"/>
    <w:rsid w:val="00404333"/>
    <w:rsid w:val="00404A51"/>
    <w:rsid w:val="00404EFC"/>
    <w:rsid w:val="00404F22"/>
    <w:rsid w:val="00405991"/>
    <w:rsid w:val="00405F19"/>
    <w:rsid w:val="00406721"/>
    <w:rsid w:val="00406CB6"/>
    <w:rsid w:val="0040735D"/>
    <w:rsid w:val="0040759C"/>
    <w:rsid w:val="00407F3D"/>
    <w:rsid w:val="004106DD"/>
    <w:rsid w:val="00410840"/>
    <w:rsid w:val="00410925"/>
    <w:rsid w:val="00410E41"/>
    <w:rsid w:val="00411E9E"/>
    <w:rsid w:val="0041204B"/>
    <w:rsid w:val="004122AE"/>
    <w:rsid w:val="00412AF2"/>
    <w:rsid w:val="00413779"/>
    <w:rsid w:val="0041384F"/>
    <w:rsid w:val="00413B37"/>
    <w:rsid w:val="004142F6"/>
    <w:rsid w:val="0041459D"/>
    <w:rsid w:val="00414A54"/>
    <w:rsid w:val="00414D3F"/>
    <w:rsid w:val="004154F4"/>
    <w:rsid w:val="00415BAE"/>
    <w:rsid w:val="00416443"/>
    <w:rsid w:val="004165C2"/>
    <w:rsid w:val="00416614"/>
    <w:rsid w:val="00416AD8"/>
    <w:rsid w:val="00416BC5"/>
    <w:rsid w:val="00416CB3"/>
    <w:rsid w:val="00417263"/>
    <w:rsid w:val="004172CB"/>
    <w:rsid w:val="00417356"/>
    <w:rsid w:val="0041797E"/>
    <w:rsid w:val="00420486"/>
    <w:rsid w:val="00421966"/>
    <w:rsid w:val="00421D29"/>
    <w:rsid w:val="00422536"/>
    <w:rsid w:val="00422543"/>
    <w:rsid w:val="00422E3D"/>
    <w:rsid w:val="00423240"/>
    <w:rsid w:val="00423909"/>
    <w:rsid w:val="00423E69"/>
    <w:rsid w:val="004250D6"/>
    <w:rsid w:val="004262BB"/>
    <w:rsid w:val="004264FA"/>
    <w:rsid w:val="00426A93"/>
    <w:rsid w:val="00426DB7"/>
    <w:rsid w:val="00427056"/>
    <w:rsid w:val="00427406"/>
    <w:rsid w:val="0042749C"/>
    <w:rsid w:val="00427737"/>
    <w:rsid w:val="00427A53"/>
    <w:rsid w:val="00430052"/>
    <w:rsid w:val="00430F9F"/>
    <w:rsid w:val="00432731"/>
    <w:rsid w:val="004332C3"/>
    <w:rsid w:val="004337C0"/>
    <w:rsid w:val="004343C8"/>
    <w:rsid w:val="00435DF5"/>
    <w:rsid w:val="00436653"/>
    <w:rsid w:val="00436C66"/>
    <w:rsid w:val="004375C9"/>
    <w:rsid w:val="00437A98"/>
    <w:rsid w:val="004401E5"/>
    <w:rsid w:val="00440CD9"/>
    <w:rsid w:val="00440DB6"/>
    <w:rsid w:val="00440E90"/>
    <w:rsid w:val="004413C0"/>
    <w:rsid w:val="00441D48"/>
    <w:rsid w:val="00443C71"/>
    <w:rsid w:val="004443A8"/>
    <w:rsid w:val="00444596"/>
    <w:rsid w:val="00445183"/>
    <w:rsid w:val="00445C74"/>
    <w:rsid w:val="0044650B"/>
    <w:rsid w:val="004467BD"/>
    <w:rsid w:val="00446F15"/>
    <w:rsid w:val="0044706E"/>
    <w:rsid w:val="00447468"/>
    <w:rsid w:val="00447B8F"/>
    <w:rsid w:val="00447CE2"/>
    <w:rsid w:val="00447D9D"/>
    <w:rsid w:val="0045037E"/>
    <w:rsid w:val="00450A4A"/>
    <w:rsid w:val="00450D96"/>
    <w:rsid w:val="004520C7"/>
    <w:rsid w:val="00453466"/>
    <w:rsid w:val="00454345"/>
    <w:rsid w:val="00454492"/>
    <w:rsid w:val="0045481D"/>
    <w:rsid w:val="00455165"/>
    <w:rsid w:val="0045524E"/>
    <w:rsid w:val="004563B1"/>
    <w:rsid w:val="0045672D"/>
    <w:rsid w:val="00456CCD"/>
    <w:rsid w:val="00456D70"/>
    <w:rsid w:val="00456FF9"/>
    <w:rsid w:val="00457228"/>
    <w:rsid w:val="00457974"/>
    <w:rsid w:val="00457B89"/>
    <w:rsid w:val="004600B6"/>
    <w:rsid w:val="0046041C"/>
    <w:rsid w:val="004606C0"/>
    <w:rsid w:val="0046072C"/>
    <w:rsid w:val="00461E19"/>
    <w:rsid w:val="0046208F"/>
    <w:rsid w:val="004621BE"/>
    <w:rsid w:val="00462248"/>
    <w:rsid w:val="00462781"/>
    <w:rsid w:val="004628BB"/>
    <w:rsid w:val="00462F9A"/>
    <w:rsid w:val="004642EF"/>
    <w:rsid w:val="0046488C"/>
    <w:rsid w:val="0046574C"/>
    <w:rsid w:val="004662B0"/>
    <w:rsid w:val="004666FB"/>
    <w:rsid w:val="0046682E"/>
    <w:rsid w:val="00466A6B"/>
    <w:rsid w:val="00466F19"/>
    <w:rsid w:val="00467542"/>
    <w:rsid w:val="00467B7E"/>
    <w:rsid w:val="00467CF1"/>
    <w:rsid w:val="0047006D"/>
    <w:rsid w:val="004702E9"/>
    <w:rsid w:val="00470FD7"/>
    <w:rsid w:val="004715B7"/>
    <w:rsid w:val="00471BC8"/>
    <w:rsid w:val="00471ED1"/>
    <w:rsid w:val="00472B0E"/>
    <w:rsid w:val="004730AF"/>
    <w:rsid w:val="00473197"/>
    <w:rsid w:val="0047327D"/>
    <w:rsid w:val="00475C62"/>
    <w:rsid w:val="00475DDB"/>
    <w:rsid w:val="00476B10"/>
    <w:rsid w:val="004773D3"/>
    <w:rsid w:val="00477BE3"/>
    <w:rsid w:val="00477D29"/>
    <w:rsid w:val="004804D4"/>
    <w:rsid w:val="00480502"/>
    <w:rsid w:val="00480B24"/>
    <w:rsid w:val="00480FC3"/>
    <w:rsid w:val="004810B3"/>
    <w:rsid w:val="0048119E"/>
    <w:rsid w:val="004817BD"/>
    <w:rsid w:val="00481C1F"/>
    <w:rsid w:val="00482052"/>
    <w:rsid w:val="00482208"/>
    <w:rsid w:val="00482528"/>
    <w:rsid w:val="00482644"/>
    <w:rsid w:val="00483146"/>
    <w:rsid w:val="00483697"/>
    <w:rsid w:val="00483974"/>
    <w:rsid w:val="00483D9E"/>
    <w:rsid w:val="00484B2F"/>
    <w:rsid w:val="00484F80"/>
    <w:rsid w:val="004850C2"/>
    <w:rsid w:val="00486A15"/>
    <w:rsid w:val="0048701C"/>
    <w:rsid w:val="00490018"/>
    <w:rsid w:val="004907E1"/>
    <w:rsid w:val="00490BE7"/>
    <w:rsid w:val="00490C98"/>
    <w:rsid w:val="0049419D"/>
    <w:rsid w:val="004949AA"/>
    <w:rsid w:val="00494ACB"/>
    <w:rsid w:val="00494BFF"/>
    <w:rsid w:val="00495029"/>
    <w:rsid w:val="00495396"/>
    <w:rsid w:val="00495CD7"/>
    <w:rsid w:val="004962B8"/>
    <w:rsid w:val="00496687"/>
    <w:rsid w:val="00496C69"/>
    <w:rsid w:val="00496DBC"/>
    <w:rsid w:val="00497493"/>
    <w:rsid w:val="0049749D"/>
    <w:rsid w:val="004977D3"/>
    <w:rsid w:val="00497D68"/>
    <w:rsid w:val="004A068E"/>
    <w:rsid w:val="004A0977"/>
    <w:rsid w:val="004A1588"/>
    <w:rsid w:val="004A17A5"/>
    <w:rsid w:val="004A1B3A"/>
    <w:rsid w:val="004A1B66"/>
    <w:rsid w:val="004A1EEA"/>
    <w:rsid w:val="004A2B9D"/>
    <w:rsid w:val="004A37A5"/>
    <w:rsid w:val="004A3806"/>
    <w:rsid w:val="004A38DF"/>
    <w:rsid w:val="004A3DC4"/>
    <w:rsid w:val="004A423C"/>
    <w:rsid w:val="004A4400"/>
    <w:rsid w:val="004A4A3E"/>
    <w:rsid w:val="004A4DB0"/>
    <w:rsid w:val="004A514F"/>
    <w:rsid w:val="004A53E7"/>
    <w:rsid w:val="004A5614"/>
    <w:rsid w:val="004A5A1D"/>
    <w:rsid w:val="004A5E29"/>
    <w:rsid w:val="004A6298"/>
    <w:rsid w:val="004A6629"/>
    <w:rsid w:val="004B0A49"/>
    <w:rsid w:val="004B13D0"/>
    <w:rsid w:val="004B1BD9"/>
    <w:rsid w:val="004B23FB"/>
    <w:rsid w:val="004B2429"/>
    <w:rsid w:val="004B2762"/>
    <w:rsid w:val="004B2DE8"/>
    <w:rsid w:val="004B31F9"/>
    <w:rsid w:val="004B388C"/>
    <w:rsid w:val="004B40A9"/>
    <w:rsid w:val="004B45B7"/>
    <w:rsid w:val="004B4E6F"/>
    <w:rsid w:val="004B634D"/>
    <w:rsid w:val="004B7D4C"/>
    <w:rsid w:val="004B7EB6"/>
    <w:rsid w:val="004C0FE4"/>
    <w:rsid w:val="004C14B0"/>
    <w:rsid w:val="004C17B4"/>
    <w:rsid w:val="004C2235"/>
    <w:rsid w:val="004C427F"/>
    <w:rsid w:val="004C4B62"/>
    <w:rsid w:val="004C5505"/>
    <w:rsid w:val="004C599D"/>
    <w:rsid w:val="004C68B8"/>
    <w:rsid w:val="004C7257"/>
    <w:rsid w:val="004C758F"/>
    <w:rsid w:val="004C77DC"/>
    <w:rsid w:val="004C7B18"/>
    <w:rsid w:val="004C7EE2"/>
    <w:rsid w:val="004D0229"/>
    <w:rsid w:val="004D15C2"/>
    <w:rsid w:val="004D37B1"/>
    <w:rsid w:val="004D45F7"/>
    <w:rsid w:val="004D46A5"/>
    <w:rsid w:val="004D4782"/>
    <w:rsid w:val="004D4A6A"/>
    <w:rsid w:val="004D4D1B"/>
    <w:rsid w:val="004D4E01"/>
    <w:rsid w:val="004D5FA1"/>
    <w:rsid w:val="004D6025"/>
    <w:rsid w:val="004D61E8"/>
    <w:rsid w:val="004D657F"/>
    <w:rsid w:val="004D6A97"/>
    <w:rsid w:val="004D72BC"/>
    <w:rsid w:val="004D78B4"/>
    <w:rsid w:val="004E021C"/>
    <w:rsid w:val="004E13F5"/>
    <w:rsid w:val="004E2452"/>
    <w:rsid w:val="004E2FE2"/>
    <w:rsid w:val="004E3A16"/>
    <w:rsid w:val="004E4761"/>
    <w:rsid w:val="004E4C6B"/>
    <w:rsid w:val="004E5B49"/>
    <w:rsid w:val="004E662D"/>
    <w:rsid w:val="004E6C4E"/>
    <w:rsid w:val="004E6C9C"/>
    <w:rsid w:val="004F04A5"/>
    <w:rsid w:val="004F07A6"/>
    <w:rsid w:val="004F0842"/>
    <w:rsid w:val="004F0B52"/>
    <w:rsid w:val="004F15C4"/>
    <w:rsid w:val="004F16E8"/>
    <w:rsid w:val="004F173D"/>
    <w:rsid w:val="004F1DAD"/>
    <w:rsid w:val="004F2694"/>
    <w:rsid w:val="004F2FC4"/>
    <w:rsid w:val="004F302F"/>
    <w:rsid w:val="004F37CA"/>
    <w:rsid w:val="004F38E0"/>
    <w:rsid w:val="004F3905"/>
    <w:rsid w:val="004F441A"/>
    <w:rsid w:val="004F48CC"/>
    <w:rsid w:val="004F4C1C"/>
    <w:rsid w:val="004F530D"/>
    <w:rsid w:val="004F5466"/>
    <w:rsid w:val="004F5EE6"/>
    <w:rsid w:val="004F6949"/>
    <w:rsid w:val="004F69EA"/>
    <w:rsid w:val="004F69ED"/>
    <w:rsid w:val="004F6D1E"/>
    <w:rsid w:val="004F7707"/>
    <w:rsid w:val="004F7B86"/>
    <w:rsid w:val="005008C7"/>
    <w:rsid w:val="00501399"/>
    <w:rsid w:val="00501CF1"/>
    <w:rsid w:val="00501D6B"/>
    <w:rsid w:val="00501DFB"/>
    <w:rsid w:val="005022A2"/>
    <w:rsid w:val="00502E35"/>
    <w:rsid w:val="00503834"/>
    <w:rsid w:val="00503C4C"/>
    <w:rsid w:val="0050536C"/>
    <w:rsid w:val="0050578B"/>
    <w:rsid w:val="005057C7"/>
    <w:rsid w:val="00505B63"/>
    <w:rsid w:val="005066A4"/>
    <w:rsid w:val="005068B0"/>
    <w:rsid w:val="00507534"/>
    <w:rsid w:val="005076FD"/>
    <w:rsid w:val="00507B5A"/>
    <w:rsid w:val="00507BC4"/>
    <w:rsid w:val="00507C24"/>
    <w:rsid w:val="00510142"/>
    <w:rsid w:val="00510311"/>
    <w:rsid w:val="00510327"/>
    <w:rsid w:val="00511E3F"/>
    <w:rsid w:val="005128E4"/>
    <w:rsid w:val="00512A35"/>
    <w:rsid w:val="00513229"/>
    <w:rsid w:val="00513B84"/>
    <w:rsid w:val="005140FC"/>
    <w:rsid w:val="005142E0"/>
    <w:rsid w:val="005152B7"/>
    <w:rsid w:val="00516035"/>
    <w:rsid w:val="00516196"/>
    <w:rsid w:val="00516BBE"/>
    <w:rsid w:val="00520095"/>
    <w:rsid w:val="00520369"/>
    <w:rsid w:val="00521895"/>
    <w:rsid w:val="00521909"/>
    <w:rsid w:val="005223AF"/>
    <w:rsid w:val="00522646"/>
    <w:rsid w:val="005234E7"/>
    <w:rsid w:val="00523977"/>
    <w:rsid w:val="00524268"/>
    <w:rsid w:val="00524748"/>
    <w:rsid w:val="00524EB4"/>
    <w:rsid w:val="00524EBD"/>
    <w:rsid w:val="00525278"/>
    <w:rsid w:val="00525560"/>
    <w:rsid w:val="00525C32"/>
    <w:rsid w:val="00525F05"/>
    <w:rsid w:val="00526204"/>
    <w:rsid w:val="00526492"/>
    <w:rsid w:val="005267AC"/>
    <w:rsid w:val="00526EF8"/>
    <w:rsid w:val="0052719A"/>
    <w:rsid w:val="00527461"/>
    <w:rsid w:val="00527E0A"/>
    <w:rsid w:val="00530295"/>
    <w:rsid w:val="00530B2B"/>
    <w:rsid w:val="00531008"/>
    <w:rsid w:val="0053134C"/>
    <w:rsid w:val="005313DA"/>
    <w:rsid w:val="00531517"/>
    <w:rsid w:val="0053187E"/>
    <w:rsid w:val="00531EA6"/>
    <w:rsid w:val="005325F6"/>
    <w:rsid w:val="005343C0"/>
    <w:rsid w:val="005346E1"/>
    <w:rsid w:val="00535135"/>
    <w:rsid w:val="005357A6"/>
    <w:rsid w:val="0053592E"/>
    <w:rsid w:val="00535D22"/>
    <w:rsid w:val="00535FF9"/>
    <w:rsid w:val="005366E5"/>
    <w:rsid w:val="005367D0"/>
    <w:rsid w:val="00536848"/>
    <w:rsid w:val="005369AE"/>
    <w:rsid w:val="00536ADF"/>
    <w:rsid w:val="00536B9E"/>
    <w:rsid w:val="00537159"/>
    <w:rsid w:val="005401F2"/>
    <w:rsid w:val="00540853"/>
    <w:rsid w:val="00540AEC"/>
    <w:rsid w:val="00541B01"/>
    <w:rsid w:val="005422EF"/>
    <w:rsid w:val="00542375"/>
    <w:rsid w:val="005430A6"/>
    <w:rsid w:val="00543705"/>
    <w:rsid w:val="005439C3"/>
    <w:rsid w:val="00544C49"/>
    <w:rsid w:val="0054561F"/>
    <w:rsid w:val="005456B2"/>
    <w:rsid w:val="005458F3"/>
    <w:rsid w:val="0054591A"/>
    <w:rsid w:val="00546C7A"/>
    <w:rsid w:val="00547EB7"/>
    <w:rsid w:val="00550141"/>
    <w:rsid w:val="00550FAA"/>
    <w:rsid w:val="005514A9"/>
    <w:rsid w:val="0055160C"/>
    <w:rsid w:val="005531BB"/>
    <w:rsid w:val="00553A04"/>
    <w:rsid w:val="00553EC6"/>
    <w:rsid w:val="00554BAB"/>
    <w:rsid w:val="00554D3A"/>
    <w:rsid w:val="00555492"/>
    <w:rsid w:val="00555780"/>
    <w:rsid w:val="005557F2"/>
    <w:rsid w:val="00555A6E"/>
    <w:rsid w:val="00555C6B"/>
    <w:rsid w:val="00555E95"/>
    <w:rsid w:val="0055667E"/>
    <w:rsid w:val="00557C07"/>
    <w:rsid w:val="00560563"/>
    <w:rsid w:val="005613AC"/>
    <w:rsid w:val="00561869"/>
    <w:rsid w:val="00562460"/>
    <w:rsid w:val="005627FD"/>
    <w:rsid w:val="00562D50"/>
    <w:rsid w:val="00562E4A"/>
    <w:rsid w:val="00563167"/>
    <w:rsid w:val="00563314"/>
    <w:rsid w:val="005633E7"/>
    <w:rsid w:val="00563C47"/>
    <w:rsid w:val="00563F04"/>
    <w:rsid w:val="0056432A"/>
    <w:rsid w:val="005650AC"/>
    <w:rsid w:val="005656C4"/>
    <w:rsid w:val="00565B4B"/>
    <w:rsid w:val="00565C1A"/>
    <w:rsid w:val="00566AEA"/>
    <w:rsid w:val="00566FD0"/>
    <w:rsid w:val="00567533"/>
    <w:rsid w:val="00570699"/>
    <w:rsid w:val="005706EF"/>
    <w:rsid w:val="00570AF2"/>
    <w:rsid w:val="00571247"/>
    <w:rsid w:val="005713C7"/>
    <w:rsid w:val="00571713"/>
    <w:rsid w:val="00572495"/>
    <w:rsid w:val="0057276F"/>
    <w:rsid w:val="0057402A"/>
    <w:rsid w:val="00574148"/>
    <w:rsid w:val="005744A4"/>
    <w:rsid w:val="00574D8E"/>
    <w:rsid w:val="0057516B"/>
    <w:rsid w:val="005755D5"/>
    <w:rsid w:val="005761DA"/>
    <w:rsid w:val="005764DD"/>
    <w:rsid w:val="00576832"/>
    <w:rsid w:val="005771D0"/>
    <w:rsid w:val="00577B42"/>
    <w:rsid w:val="0058022B"/>
    <w:rsid w:val="00580EE0"/>
    <w:rsid w:val="00581FF3"/>
    <w:rsid w:val="005826EA"/>
    <w:rsid w:val="00582750"/>
    <w:rsid w:val="00582D0D"/>
    <w:rsid w:val="0058343A"/>
    <w:rsid w:val="00583C2B"/>
    <w:rsid w:val="005840B2"/>
    <w:rsid w:val="0058497E"/>
    <w:rsid w:val="00584C28"/>
    <w:rsid w:val="00584F43"/>
    <w:rsid w:val="00585DED"/>
    <w:rsid w:val="00587964"/>
    <w:rsid w:val="005902A3"/>
    <w:rsid w:val="0059066D"/>
    <w:rsid w:val="00590872"/>
    <w:rsid w:val="00590A3C"/>
    <w:rsid w:val="00590A78"/>
    <w:rsid w:val="00590BF3"/>
    <w:rsid w:val="00590C43"/>
    <w:rsid w:val="00590C5B"/>
    <w:rsid w:val="00590E8E"/>
    <w:rsid w:val="005910C0"/>
    <w:rsid w:val="005916E2"/>
    <w:rsid w:val="005916F8"/>
    <w:rsid w:val="0059191A"/>
    <w:rsid w:val="00591B96"/>
    <w:rsid w:val="00591F60"/>
    <w:rsid w:val="005921FF"/>
    <w:rsid w:val="00592299"/>
    <w:rsid w:val="00592A6D"/>
    <w:rsid w:val="00592EDC"/>
    <w:rsid w:val="0059318E"/>
    <w:rsid w:val="005937E2"/>
    <w:rsid w:val="005946FF"/>
    <w:rsid w:val="00594CE1"/>
    <w:rsid w:val="00595766"/>
    <w:rsid w:val="005959C4"/>
    <w:rsid w:val="00595EDB"/>
    <w:rsid w:val="00596514"/>
    <w:rsid w:val="0059670F"/>
    <w:rsid w:val="00596ABE"/>
    <w:rsid w:val="00596AD3"/>
    <w:rsid w:val="00596B97"/>
    <w:rsid w:val="00596F42"/>
    <w:rsid w:val="00597162"/>
    <w:rsid w:val="0059770B"/>
    <w:rsid w:val="00597C8A"/>
    <w:rsid w:val="005A01B6"/>
    <w:rsid w:val="005A0410"/>
    <w:rsid w:val="005A0B5A"/>
    <w:rsid w:val="005A10C2"/>
    <w:rsid w:val="005A1832"/>
    <w:rsid w:val="005A2E9B"/>
    <w:rsid w:val="005A37BB"/>
    <w:rsid w:val="005A482E"/>
    <w:rsid w:val="005A4B8E"/>
    <w:rsid w:val="005A6205"/>
    <w:rsid w:val="005A6A13"/>
    <w:rsid w:val="005A6D0E"/>
    <w:rsid w:val="005A6E50"/>
    <w:rsid w:val="005A6E68"/>
    <w:rsid w:val="005A734E"/>
    <w:rsid w:val="005B0001"/>
    <w:rsid w:val="005B0676"/>
    <w:rsid w:val="005B0C41"/>
    <w:rsid w:val="005B12C2"/>
    <w:rsid w:val="005B1DBA"/>
    <w:rsid w:val="005B222D"/>
    <w:rsid w:val="005B245E"/>
    <w:rsid w:val="005B28A7"/>
    <w:rsid w:val="005B3609"/>
    <w:rsid w:val="005B3795"/>
    <w:rsid w:val="005B3A12"/>
    <w:rsid w:val="005B3DEC"/>
    <w:rsid w:val="005B3EF2"/>
    <w:rsid w:val="005B52B0"/>
    <w:rsid w:val="005B65AF"/>
    <w:rsid w:val="005B67DE"/>
    <w:rsid w:val="005B6806"/>
    <w:rsid w:val="005B711D"/>
    <w:rsid w:val="005B7EDC"/>
    <w:rsid w:val="005C00AF"/>
    <w:rsid w:val="005C00F9"/>
    <w:rsid w:val="005C05FA"/>
    <w:rsid w:val="005C164F"/>
    <w:rsid w:val="005C1853"/>
    <w:rsid w:val="005C1A8D"/>
    <w:rsid w:val="005C1D8E"/>
    <w:rsid w:val="005C207A"/>
    <w:rsid w:val="005C23BD"/>
    <w:rsid w:val="005C2B10"/>
    <w:rsid w:val="005C2BA2"/>
    <w:rsid w:val="005C2E02"/>
    <w:rsid w:val="005C3149"/>
    <w:rsid w:val="005C34BB"/>
    <w:rsid w:val="005C3944"/>
    <w:rsid w:val="005C3DAB"/>
    <w:rsid w:val="005C3E22"/>
    <w:rsid w:val="005C4011"/>
    <w:rsid w:val="005C4225"/>
    <w:rsid w:val="005C4541"/>
    <w:rsid w:val="005C456D"/>
    <w:rsid w:val="005C4AF4"/>
    <w:rsid w:val="005C566A"/>
    <w:rsid w:val="005C5F93"/>
    <w:rsid w:val="005C6248"/>
    <w:rsid w:val="005C6A11"/>
    <w:rsid w:val="005C6F09"/>
    <w:rsid w:val="005D05F4"/>
    <w:rsid w:val="005D0AC5"/>
    <w:rsid w:val="005D0B9F"/>
    <w:rsid w:val="005D0FBF"/>
    <w:rsid w:val="005D1076"/>
    <w:rsid w:val="005D1128"/>
    <w:rsid w:val="005D1CBA"/>
    <w:rsid w:val="005D1D34"/>
    <w:rsid w:val="005D2B93"/>
    <w:rsid w:val="005D2E13"/>
    <w:rsid w:val="005D3E9A"/>
    <w:rsid w:val="005D447F"/>
    <w:rsid w:val="005D489C"/>
    <w:rsid w:val="005D50AD"/>
    <w:rsid w:val="005D55A5"/>
    <w:rsid w:val="005D5A45"/>
    <w:rsid w:val="005D5C54"/>
    <w:rsid w:val="005D5DED"/>
    <w:rsid w:val="005D6891"/>
    <w:rsid w:val="005D6A03"/>
    <w:rsid w:val="005D6A17"/>
    <w:rsid w:val="005D6AC4"/>
    <w:rsid w:val="005D6B2C"/>
    <w:rsid w:val="005D7191"/>
    <w:rsid w:val="005D7280"/>
    <w:rsid w:val="005E04BC"/>
    <w:rsid w:val="005E065C"/>
    <w:rsid w:val="005E09BC"/>
    <w:rsid w:val="005E0B92"/>
    <w:rsid w:val="005E1D4B"/>
    <w:rsid w:val="005E22BD"/>
    <w:rsid w:val="005E2BDE"/>
    <w:rsid w:val="005E4013"/>
    <w:rsid w:val="005E47E8"/>
    <w:rsid w:val="005E4A95"/>
    <w:rsid w:val="005E4CF1"/>
    <w:rsid w:val="005E5196"/>
    <w:rsid w:val="005E5258"/>
    <w:rsid w:val="005E5419"/>
    <w:rsid w:val="005E5E0D"/>
    <w:rsid w:val="005E6203"/>
    <w:rsid w:val="005E6C0C"/>
    <w:rsid w:val="005E6EE3"/>
    <w:rsid w:val="005E74C5"/>
    <w:rsid w:val="005E7539"/>
    <w:rsid w:val="005E7642"/>
    <w:rsid w:val="005F03C7"/>
    <w:rsid w:val="005F0F33"/>
    <w:rsid w:val="005F1C54"/>
    <w:rsid w:val="005F1F31"/>
    <w:rsid w:val="005F2A0D"/>
    <w:rsid w:val="005F32A0"/>
    <w:rsid w:val="005F3F11"/>
    <w:rsid w:val="005F5456"/>
    <w:rsid w:val="005F55DC"/>
    <w:rsid w:val="005F57C1"/>
    <w:rsid w:val="005F7C35"/>
    <w:rsid w:val="0060040E"/>
    <w:rsid w:val="006005C1"/>
    <w:rsid w:val="00600A96"/>
    <w:rsid w:val="00600DEB"/>
    <w:rsid w:val="00600EE3"/>
    <w:rsid w:val="0060181F"/>
    <w:rsid w:val="00602146"/>
    <w:rsid w:val="006021D4"/>
    <w:rsid w:val="006022E8"/>
    <w:rsid w:val="0060270A"/>
    <w:rsid w:val="00602B9B"/>
    <w:rsid w:val="00603CB6"/>
    <w:rsid w:val="00603D6F"/>
    <w:rsid w:val="006041C5"/>
    <w:rsid w:val="006045A7"/>
    <w:rsid w:val="006049BD"/>
    <w:rsid w:val="006049EC"/>
    <w:rsid w:val="006049F6"/>
    <w:rsid w:val="00604B83"/>
    <w:rsid w:val="00604BEF"/>
    <w:rsid w:val="006059FA"/>
    <w:rsid w:val="00606B40"/>
    <w:rsid w:val="00607325"/>
    <w:rsid w:val="00607F83"/>
    <w:rsid w:val="006104FA"/>
    <w:rsid w:val="00610F4D"/>
    <w:rsid w:val="006112EF"/>
    <w:rsid w:val="00612B39"/>
    <w:rsid w:val="00613027"/>
    <w:rsid w:val="00613120"/>
    <w:rsid w:val="00613A08"/>
    <w:rsid w:val="0061412F"/>
    <w:rsid w:val="00614153"/>
    <w:rsid w:val="006146AC"/>
    <w:rsid w:val="00614AE8"/>
    <w:rsid w:val="00615073"/>
    <w:rsid w:val="0061546B"/>
    <w:rsid w:val="00615B67"/>
    <w:rsid w:val="00615F46"/>
    <w:rsid w:val="00616320"/>
    <w:rsid w:val="00617156"/>
    <w:rsid w:val="006176BF"/>
    <w:rsid w:val="00617842"/>
    <w:rsid w:val="006206FF"/>
    <w:rsid w:val="00620A30"/>
    <w:rsid w:val="00620A65"/>
    <w:rsid w:val="00620B75"/>
    <w:rsid w:val="00621B67"/>
    <w:rsid w:val="006220E5"/>
    <w:rsid w:val="006225B7"/>
    <w:rsid w:val="00623324"/>
    <w:rsid w:val="006238CB"/>
    <w:rsid w:val="00624716"/>
    <w:rsid w:val="006247DB"/>
    <w:rsid w:val="00624E66"/>
    <w:rsid w:val="006250EE"/>
    <w:rsid w:val="00625577"/>
    <w:rsid w:val="00625585"/>
    <w:rsid w:val="006260B6"/>
    <w:rsid w:val="00626360"/>
    <w:rsid w:val="006263C9"/>
    <w:rsid w:val="006263CE"/>
    <w:rsid w:val="00626A1D"/>
    <w:rsid w:val="00626FB3"/>
    <w:rsid w:val="006271AD"/>
    <w:rsid w:val="006272AD"/>
    <w:rsid w:val="00627A51"/>
    <w:rsid w:val="00627C9F"/>
    <w:rsid w:val="006307DF"/>
    <w:rsid w:val="00630A0E"/>
    <w:rsid w:val="00630B42"/>
    <w:rsid w:val="00630C75"/>
    <w:rsid w:val="00630F01"/>
    <w:rsid w:val="00630F7D"/>
    <w:rsid w:val="006311DA"/>
    <w:rsid w:val="006311E9"/>
    <w:rsid w:val="00631FE8"/>
    <w:rsid w:val="006322B9"/>
    <w:rsid w:val="00632354"/>
    <w:rsid w:val="00632429"/>
    <w:rsid w:val="0063262B"/>
    <w:rsid w:val="00632BF2"/>
    <w:rsid w:val="00633261"/>
    <w:rsid w:val="00634FA0"/>
    <w:rsid w:val="006354CD"/>
    <w:rsid w:val="006360C4"/>
    <w:rsid w:val="00636406"/>
    <w:rsid w:val="00636E0C"/>
    <w:rsid w:val="00636F4A"/>
    <w:rsid w:val="00637539"/>
    <w:rsid w:val="00637B7B"/>
    <w:rsid w:val="00637E84"/>
    <w:rsid w:val="00640173"/>
    <w:rsid w:val="0064172A"/>
    <w:rsid w:val="006418C1"/>
    <w:rsid w:val="006420B7"/>
    <w:rsid w:val="00642573"/>
    <w:rsid w:val="00642810"/>
    <w:rsid w:val="00642EBB"/>
    <w:rsid w:val="00643F66"/>
    <w:rsid w:val="006458AD"/>
    <w:rsid w:val="00646251"/>
    <w:rsid w:val="00647033"/>
    <w:rsid w:val="0064712F"/>
    <w:rsid w:val="006475B4"/>
    <w:rsid w:val="0064793C"/>
    <w:rsid w:val="00650422"/>
    <w:rsid w:val="006504D5"/>
    <w:rsid w:val="00650FA3"/>
    <w:rsid w:val="0065154E"/>
    <w:rsid w:val="006516A4"/>
    <w:rsid w:val="006516FE"/>
    <w:rsid w:val="00651A30"/>
    <w:rsid w:val="00651D1D"/>
    <w:rsid w:val="00652333"/>
    <w:rsid w:val="00653FB1"/>
    <w:rsid w:val="006549A4"/>
    <w:rsid w:val="00656085"/>
    <w:rsid w:val="00656FE7"/>
    <w:rsid w:val="0065723A"/>
    <w:rsid w:val="0065765B"/>
    <w:rsid w:val="006605AC"/>
    <w:rsid w:val="006609DD"/>
    <w:rsid w:val="00662F5D"/>
    <w:rsid w:val="006634C1"/>
    <w:rsid w:val="00663536"/>
    <w:rsid w:val="006635A6"/>
    <w:rsid w:val="00663FCB"/>
    <w:rsid w:val="00664C08"/>
    <w:rsid w:val="00664DDE"/>
    <w:rsid w:val="0066584C"/>
    <w:rsid w:val="00666382"/>
    <w:rsid w:val="006663C5"/>
    <w:rsid w:val="00666536"/>
    <w:rsid w:val="0066666B"/>
    <w:rsid w:val="00666AEF"/>
    <w:rsid w:val="0066797D"/>
    <w:rsid w:val="006705A7"/>
    <w:rsid w:val="00670B3D"/>
    <w:rsid w:val="006716B8"/>
    <w:rsid w:val="0067329C"/>
    <w:rsid w:val="00673523"/>
    <w:rsid w:val="00674465"/>
    <w:rsid w:val="0067472A"/>
    <w:rsid w:val="00674C6A"/>
    <w:rsid w:val="00676ED0"/>
    <w:rsid w:val="00677938"/>
    <w:rsid w:val="00677DA7"/>
    <w:rsid w:val="0068009E"/>
    <w:rsid w:val="00680A71"/>
    <w:rsid w:val="00680AC6"/>
    <w:rsid w:val="00681A6B"/>
    <w:rsid w:val="00681ED3"/>
    <w:rsid w:val="00682CC9"/>
    <w:rsid w:val="00682D35"/>
    <w:rsid w:val="006831D4"/>
    <w:rsid w:val="00683305"/>
    <w:rsid w:val="00684434"/>
    <w:rsid w:val="006847BC"/>
    <w:rsid w:val="006849BF"/>
    <w:rsid w:val="00684EFB"/>
    <w:rsid w:val="00685184"/>
    <w:rsid w:val="0068579A"/>
    <w:rsid w:val="006865D7"/>
    <w:rsid w:val="00686D22"/>
    <w:rsid w:val="00687432"/>
    <w:rsid w:val="006874B7"/>
    <w:rsid w:val="00687725"/>
    <w:rsid w:val="006901ED"/>
    <w:rsid w:val="006912EE"/>
    <w:rsid w:val="00691C6D"/>
    <w:rsid w:val="00691DE4"/>
    <w:rsid w:val="0069244C"/>
    <w:rsid w:val="00692996"/>
    <w:rsid w:val="00692A55"/>
    <w:rsid w:val="00692F79"/>
    <w:rsid w:val="006951BB"/>
    <w:rsid w:val="0069578C"/>
    <w:rsid w:val="00695EAA"/>
    <w:rsid w:val="00696944"/>
    <w:rsid w:val="00696F6F"/>
    <w:rsid w:val="006972FB"/>
    <w:rsid w:val="00697726"/>
    <w:rsid w:val="00697B2C"/>
    <w:rsid w:val="006A0548"/>
    <w:rsid w:val="006A074F"/>
    <w:rsid w:val="006A0F00"/>
    <w:rsid w:val="006A0F77"/>
    <w:rsid w:val="006A11FD"/>
    <w:rsid w:val="006A15B5"/>
    <w:rsid w:val="006A17D2"/>
    <w:rsid w:val="006A2490"/>
    <w:rsid w:val="006A288E"/>
    <w:rsid w:val="006A3B33"/>
    <w:rsid w:val="006A3EE1"/>
    <w:rsid w:val="006A4B8C"/>
    <w:rsid w:val="006A508B"/>
    <w:rsid w:val="006A538E"/>
    <w:rsid w:val="006A5570"/>
    <w:rsid w:val="006A58D1"/>
    <w:rsid w:val="006A69A5"/>
    <w:rsid w:val="006A6DB8"/>
    <w:rsid w:val="006A6E1A"/>
    <w:rsid w:val="006A70B4"/>
    <w:rsid w:val="006A73E6"/>
    <w:rsid w:val="006A7408"/>
    <w:rsid w:val="006A7764"/>
    <w:rsid w:val="006B00DA"/>
    <w:rsid w:val="006B0169"/>
    <w:rsid w:val="006B05D1"/>
    <w:rsid w:val="006B130C"/>
    <w:rsid w:val="006B17B3"/>
    <w:rsid w:val="006B22C0"/>
    <w:rsid w:val="006B231D"/>
    <w:rsid w:val="006B248C"/>
    <w:rsid w:val="006B2623"/>
    <w:rsid w:val="006B265D"/>
    <w:rsid w:val="006B295E"/>
    <w:rsid w:val="006B2D5C"/>
    <w:rsid w:val="006B37DA"/>
    <w:rsid w:val="006B3BC7"/>
    <w:rsid w:val="006B4324"/>
    <w:rsid w:val="006B50D6"/>
    <w:rsid w:val="006B544B"/>
    <w:rsid w:val="006B5C2E"/>
    <w:rsid w:val="006B5FBA"/>
    <w:rsid w:val="006B6D64"/>
    <w:rsid w:val="006B6FFA"/>
    <w:rsid w:val="006C030E"/>
    <w:rsid w:val="006C0F5D"/>
    <w:rsid w:val="006C0F95"/>
    <w:rsid w:val="006C116A"/>
    <w:rsid w:val="006C11E8"/>
    <w:rsid w:val="006C1815"/>
    <w:rsid w:val="006C2346"/>
    <w:rsid w:val="006C2B38"/>
    <w:rsid w:val="006C3179"/>
    <w:rsid w:val="006C4233"/>
    <w:rsid w:val="006C448A"/>
    <w:rsid w:val="006C4596"/>
    <w:rsid w:val="006C4D48"/>
    <w:rsid w:val="006C4EB1"/>
    <w:rsid w:val="006C523B"/>
    <w:rsid w:val="006C555D"/>
    <w:rsid w:val="006C6E31"/>
    <w:rsid w:val="006C73ED"/>
    <w:rsid w:val="006C7E62"/>
    <w:rsid w:val="006D0195"/>
    <w:rsid w:val="006D01E3"/>
    <w:rsid w:val="006D0424"/>
    <w:rsid w:val="006D070F"/>
    <w:rsid w:val="006D0A9A"/>
    <w:rsid w:val="006D0B44"/>
    <w:rsid w:val="006D0F86"/>
    <w:rsid w:val="006D12A5"/>
    <w:rsid w:val="006D1A3C"/>
    <w:rsid w:val="006D1D69"/>
    <w:rsid w:val="006D2C28"/>
    <w:rsid w:val="006D2CC2"/>
    <w:rsid w:val="006D2D13"/>
    <w:rsid w:val="006D48BB"/>
    <w:rsid w:val="006D52FC"/>
    <w:rsid w:val="006D562F"/>
    <w:rsid w:val="006D5D5D"/>
    <w:rsid w:val="006D605A"/>
    <w:rsid w:val="006D6E36"/>
    <w:rsid w:val="006D6FD5"/>
    <w:rsid w:val="006D7976"/>
    <w:rsid w:val="006D7A08"/>
    <w:rsid w:val="006E00AB"/>
    <w:rsid w:val="006E0166"/>
    <w:rsid w:val="006E0DF6"/>
    <w:rsid w:val="006E0F9B"/>
    <w:rsid w:val="006E0FB2"/>
    <w:rsid w:val="006E1163"/>
    <w:rsid w:val="006E1407"/>
    <w:rsid w:val="006E18B8"/>
    <w:rsid w:val="006E2E6B"/>
    <w:rsid w:val="006E30DB"/>
    <w:rsid w:val="006E35A0"/>
    <w:rsid w:val="006E37D3"/>
    <w:rsid w:val="006E4B61"/>
    <w:rsid w:val="006E4CCE"/>
    <w:rsid w:val="006E5C58"/>
    <w:rsid w:val="006E6048"/>
    <w:rsid w:val="006E67F6"/>
    <w:rsid w:val="006E6945"/>
    <w:rsid w:val="006E6C78"/>
    <w:rsid w:val="006E6F1E"/>
    <w:rsid w:val="006E7B34"/>
    <w:rsid w:val="006E7EA4"/>
    <w:rsid w:val="006F157C"/>
    <w:rsid w:val="006F1601"/>
    <w:rsid w:val="006F1716"/>
    <w:rsid w:val="006F2580"/>
    <w:rsid w:val="006F3590"/>
    <w:rsid w:val="006F3597"/>
    <w:rsid w:val="006F374D"/>
    <w:rsid w:val="006F41F1"/>
    <w:rsid w:val="006F5590"/>
    <w:rsid w:val="006F5723"/>
    <w:rsid w:val="006F57AE"/>
    <w:rsid w:val="006F672E"/>
    <w:rsid w:val="006F6BFD"/>
    <w:rsid w:val="006F6DFD"/>
    <w:rsid w:val="006F6EE6"/>
    <w:rsid w:val="006F7488"/>
    <w:rsid w:val="0070045F"/>
    <w:rsid w:val="00700471"/>
    <w:rsid w:val="00700940"/>
    <w:rsid w:val="00700BCA"/>
    <w:rsid w:val="00700C65"/>
    <w:rsid w:val="00700E42"/>
    <w:rsid w:val="00701487"/>
    <w:rsid w:val="00701610"/>
    <w:rsid w:val="007016FE"/>
    <w:rsid w:val="00701B24"/>
    <w:rsid w:val="00702565"/>
    <w:rsid w:val="007025EB"/>
    <w:rsid w:val="0070267B"/>
    <w:rsid w:val="00702A7C"/>
    <w:rsid w:val="00702CC5"/>
    <w:rsid w:val="00702CD7"/>
    <w:rsid w:val="00702DE6"/>
    <w:rsid w:val="00702EA5"/>
    <w:rsid w:val="00703320"/>
    <w:rsid w:val="00703F16"/>
    <w:rsid w:val="00703F90"/>
    <w:rsid w:val="0070404E"/>
    <w:rsid w:val="00704098"/>
    <w:rsid w:val="0070456C"/>
    <w:rsid w:val="00704B18"/>
    <w:rsid w:val="00704B88"/>
    <w:rsid w:val="00705FAC"/>
    <w:rsid w:val="0070603C"/>
    <w:rsid w:val="00706347"/>
    <w:rsid w:val="00706591"/>
    <w:rsid w:val="00706698"/>
    <w:rsid w:val="00706D7E"/>
    <w:rsid w:val="00707486"/>
    <w:rsid w:val="00707A5C"/>
    <w:rsid w:val="00707BAF"/>
    <w:rsid w:val="00707E8E"/>
    <w:rsid w:val="00710376"/>
    <w:rsid w:val="00710ED5"/>
    <w:rsid w:val="00711137"/>
    <w:rsid w:val="00711F7B"/>
    <w:rsid w:val="007140C0"/>
    <w:rsid w:val="00714711"/>
    <w:rsid w:val="00715928"/>
    <w:rsid w:val="00716BEC"/>
    <w:rsid w:val="00716D62"/>
    <w:rsid w:val="00717B70"/>
    <w:rsid w:val="0072003B"/>
    <w:rsid w:val="007201F0"/>
    <w:rsid w:val="0072130B"/>
    <w:rsid w:val="00721ABD"/>
    <w:rsid w:val="00721AC2"/>
    <w:rsid w:val="00722293"/>
    <w:rsid w:val="0072287B"/>
    <w:rsid w:val="00722990"/>
    <w:rsid w:val="00722EC5"/>
    <w:rsid w:val="0072335A"/>
    <w:rsid w:val="007237C3"/>
    <w:rsid w:val="0072472F"/>
    <w:rsid w:val="007247E2"/>
    <w:rsid w:val="007258C2"/>
    <w:rsid w:val="00727D80"/>
    <w:rsid w:val="00730731"/>
    <w:rsid w:val="00731457"/>
    <w:rsid w:val="00731DA0"/>
    <w:rsid w:val="00733573"/>
    <w:rsid w:val="00733C24"/>
    <w:rsid w:val="007354E7"/>
    <w:rsid w:val="007359CB"/>
    <w:rsid w:val="00736389"/>
    <w:rsid w:val="00737A15"/>
    <w:rsid w:val="007400D8"/>
    <w:rsid w:val="00741346"/>
    <w:rsid w:val="0074145C"/>
    <w:rsid w:val="00741D4C"/>
    <w:rsid w:val="0074296A"/>
    <w:rsid w:val="007433B0"/>
    <w:rsid w:val="007451C8"/>
    <w:rsid w:val="0074535C"/>
    <w:rsid w:val="0074572F"/>
    <w:rsid w:val="0074581C"/>
    <w:rsid w:val="00745899"/>
    <w:rsid w:val="00745BEA"/>
    <w:rsid w:val="007475F5"/>
    <w:rsid w:val="00750078"/>
    <w:rsid w:val="00750568"/>
    <w:rsid w:val="00750BB6"/>
    <w:rsid w:val="00750E1A"/>
    <w:rsid w:val="007510D4"/>
    <w:rsid w:val="00751379"/>
    <w:rsid w:val="0075164B"/>
    <w:rsid w:val="0075274A"/>
    <w:rsid w:val="00753374"/>
    <w:rsid w:val="007538FC"/>
    <w:rsid w:val="00754A2A"/>
    <w:rsid w:val="00754E95"/>
    <w:rsid w:val="00755F05"/>
    <w:rsid w:val="007561AD"/>
    <w:rsid w:val="007569B0"/>
    <w:rsid w:val="00756D00"/>
    <w:rsid w:val="007570FA"/>
    <w:rsid w:val="00757F66"/>
    <w:rsid w:val="007605EC"/>
    <w:rsid w:val="007607C4"/>
    <w:rsid w:val="007607EC"/>
    <w:rsid w:val="007611A5"/>
    <w:rsid w:val="00761A58"/>
    <w:rsid w:val="00761AA5"/>
    <w:rsid w:val="00761FA1"/>
    <w:rsid w:val="007628EE"/>
    <w:rsid w:val="00762A2F"/>
    <w:rsid w:val="0076408D"/>
    <w:rsid w:val="00764470"/>
    <w:rsid w:val="00764912"/>
    <w:rsid w:val="0076495F"/>
    <w:rsid w:val="007649AF"/>
    <w:rsid w:val="00765584"/>
    <w:rsid w:val="00765CB7"/>
    <w:rsid w:val="0076643F"/>
    <w:rsid w:val="007676F5"/>
    <w:rsid w:val="007707B4"/>
    <w:rsid w:val="00770D4B"/>
    <w:rsid w:val="00771045"/>
    <w:rsid w:val="0077118F"/>
    <w:rsid w:val="00771205"/>
    <w:rsid w:val="00771730"/>
    <w:rsid w:val="00773C5A"/>
    <w:rsid w:val="00774375"/>
    <w:rsid w:val="007744CC"/>
    <w:rsid w:val="0077454A"/>
    <w:rsid w:val="00774C36"/>
    <w:rsid w:val="00776561"/>
    <w:rsid w:val="007769BE"/>
    <w:rsid w:val="007771C5"/>
    <w:rsid w:val="007775C0"/>
    <w:rsid w:val="007776FF"/>
    <w:rsid w:val="0078069F"/>
    <w:rsid w:val="007809DA"/>
    <w:rsid w:val="00780AD1"/>
    <w:rsid w:val="00780BCB"/>
    <w:rsid w:val="00780ED7"/>
    <w:rsid w:val="00781C89"/>
    <w:rsid w:val="007820A7"/>
    <w:rsid w:val="007820BB"/>
    <w:rsid w:val="00782E68"/>
    <w:rsid w:val="0078426B"/>
    <w:rsid w:val="00784600"/>
    <w:rsid w:val="00784694"/>
    <w:rsid w:val="00784DE5"/>
    <w:rsid w:val="00784FEC"/>
    <w:rsid w:val="00785522"/>
    <w:rsid w:val="007855C3"/>
    <w:rsid w:val="0078587E"/>
    <w:rsid w:val="0078595F"/>
    <w:rsid w:val="00785EE3"/>
    <w:rsid w:val="00785F8D"/>
    <w:rsid w:val="00786501"/>
    <w:rsid w:val="0078761D"/>
    <w:rsid w:val="00787CDF"/>
    <w:rsid w:val="00787D57"/>
    <w:rsid w:val="00790499"/>
    <w:rsid w:val="00791124"/>
    <w:rsid w:val="00791BF2"/>
    <w:rsid w:val="007928DA"/>
    <w:rsid w:val="00792EA6"/>
    <w:rsid w:val="00793A12"/>
    <w:rsid w:val="0079416E"/>
    <w:rsid w:val="00794415"/>
    <w:rsid w:val="007944C5"/>
    <w:rsid w:val="00794E14"/>
    <w:rsid w:val="0079513F"/>
    <w:rsid w:val="00795940"/>
    <w:rsid w:val="00795B5E"/>
    <w:rsid w:val="00795E01"/>
    <w:rsid w:val="00796E7A"/>
    <w:rsid w:val="007977A5"/>
    <w:rsid w:val="00797969"/>
    <w:rsid w:val="00797AE7"/>
    <w:rsid w:val="007A13D7"/>
    <w:rsid w:val="007A17C8"/>
    <w:rsid w:val="007A18EB"/>
    <w:rsid w:val="007A1B40"/>
    <w:rsid w:val="007A22A0"/>
    <w:rsid w:val="007A2423"/>
    <w:rsid w:val="007A281C"/>
    <w:rsid w:val="007A2BD9"/>
    <w:rsid w:val="007A2EC7"/>
    <w:rsid w:val="007A2F70"/>
    <w:rsid w:val="007A3293"/>
    <w:rsid w:val="007A329D"/>
    <w:rsid w:val="007A3478"/>
    <w:rsid w:val="007A4240"/>
    <w:rsid w:val="007A4760"/>
    <w:rsid w:val="007A4980"/>
    <w:rsid w:val="007A5158"/>
    <w:rsid w:val="007A51E3"/>
    <w:rsid w:val="007A52E1"/>
    <w:rsid w:val="007A57A6"/>
    <w:rsid w:val="007A5893"/>
    <w:rsid w:val="007A5E25"/>
    <w:rsid w:val="007A636F"/>
    <w:rsid w:val="007A6474"/>
    <w:rsid w:val="007A7560"/>
    <w:rsid w:val="007A7F31"/>
    <w:rsid w:val="007B030C"/>
    <w:rsid w:val="007B04BF"/>
    <w:rsid w:val="007B0DBB"/>
    <w:rsid w:val="007B1494"/>
    <w:rsid w:val="007B186C"/>
    <w:rsid w:val="007B19A1"/>
    <w:rsid w:val="007B19FE"/>
    <w:rsid w:val="007B1B6A"/>
    <w:rsid w:val="007B1BD2"/>
    <w:rsid w:val="007B24E8"/>
    <w:rsid w:val="007B2769"/>
    <w:rsid w:val="007B3C72"/>
    <w:rsid w:val="007B430B"/>
    <w:rsid w:val="007B4826"/>
    <w:rsid w:val="007B499F"/>
    <w:rsid w:val="007B4C00"/>
    <w:rsid w:val="007B54BA"/>
    <w:rsid w:val="007B5867"/>
    <w:rsid w:val="007B6279"/>
    <w:rsid w:val="007B6C22"/>
    <w:rsid w:val="007B6EC4"/>
    <w:rsid w:val="007B762A"/>
    <w:rsid w:val="007C0F3E"/>
    <w:rsid w:val="007C10AC"/>
    <w:rsid w:val="007C16AB"/>
    <w:rsid w:val="007C1BDE"/>
    <w:rsid w:val="007C1D74"/>
    <w:rsid w:val="007C22DF"/>
    <w:rsid w:val="007C2B7D"/>
    <w:rsid w:val="007C2C3C"/>
    <w:rsid w:val="007C3334"/>
    <w:rsid w:val="007C3481"/>
    <w:rsid w:val="007C3734"/>
    <w:rsid w:val="007C4478"/>
    <w:rsid w:val="007C4F1C"/>
    <w:rsid w:val="007C50F6"/>
    <w:rsid w:val="007C52BB"/>
    <w:rsid w:val="007C52EB"/>
    <w:rsid w:val="007C5476"/>
    <w:rsid w:val="007C58E8"/>
    <w:rsid w:val="007C6630"/>
    <w:rsid w:val="007C7402"/>
    <w:rsid w:val="007C757E"/>
    <w:rsid w:val="007C769E"/>
    <w:rsid w:val="007C798F"/>
    <w:rsid w:val="007C7B95"/>
    <w:rsid w:val="007D0207"/>
    <w:rsid w:val="007D0309"/>
    <w:rsid w:val="007D06CB"/>
    <w:rsid w:val="007D071A"/>
    <w:rsid w:val="007D08BD"/>
    <w:rsid w:val="007D105B"/>
    <w:rsid w:val="007D278F"/>
    <w:rsid w:val="007D2B98"/>
    <w:rsid w:val="007D2FEE"/>
    <w:rsid w:val="007D33BE"/>
    <w:rsid w:val="007D362A"/>
    <w:rsid w:val="007D37C2"/>
    <w:rsid w:val="007D3E9B"/>
    <w:rsid w:val="007D4C93"/>
    <w:rsid w:val="007D4CD9"/>
    <w:rsid w:val="007D4FA5"/>
    <w:rsid w:val="007D5A45"/>
    <w:rsid w:val="007D69AC"/>
    <w:rsid w:val="007E048D"/>
    <w:rsid w:val="007E13CE"/>
    <w:rsid w:val="007E1856"/>
    <w:rsid w:val="007E2569"/>
    <w:rsid w:val="007E2AC2"/>
    <w:rsid w:val="007E2C05"/>
    <w:rsid w:val="007E2CB3"/>
    <w:rsid w:val="007E33C3"/>
    <w:rsid w:val="007E350C"/>
    <w:rsid w:val="007E42C4"/>
    <w:rsid w:val="007E5338"/>
    <w:rsid w:val="007E59F7"/>
    <w:rsid w:val="007E5CC7"/>
    <w:rsid w:val="007E5EEF"/>
    <w:rsid w:val="007E6DAC"/>
    <w:rsid w:val="007E715E"/>
    <w:rsid w:val="007E783F"/>
    <w:rsid w:val="007F05E6"/>
    <w:rsid w:val="007F074A"/>
    <w:rsid w:val="007F1641"/>
    <w:rsid w:val="007F210C"/>
    <w:rsid w:val="007F3523"/>
    <w:rsid w:val="007F39A0"/>
    <w:rsid w:val="007F410D"/>
    <w:rsid w:val="007F4167"/>
    <w:rsid w:val="007F42BF"/>
    <w:rsid w:val="007F4652"/>
    <w:rsid w:val="007F4A54"/>
    <w:rsid w:val="007F4B82"/>
    <w:rsid w:val="007F4F2C"/>
    <w:rsid w:val="007F4FE2"/>
    <w:rsid w:val="007F6BB0"/>
    <w:rsid w:val="007F701E"/>
    <w:rsid w:val="008007AE"/>
    <w:rsid w:val="00800983"/>
    <w:rsid w:val="00800C25"/>
    <w:rsid w:val="00800E57"/>
    <w:rsid w:val="00800F71"/>
    <w:rsid w:val="00801880"/>
    <w:rsid w:val="00801B96"/>
    <w:rsid w:val="00801C7F"/>
    <w:rsid w:val="00802A23"/>
    <w:rsid w:val="0080393B"/>
    <w:rsid w:val="00803C4E"/>
    <w:rsid w:val="00803F1C"/>
    <w:rsid w:val="008053D5"/>
    <w:rsid w:val="0080600E"/>
    <w:rsid w:val="00806658"/>
    <w:rsid w:val="0080677A"/>
    <w:rsid w:val="00807549"/>
    <w:rsid w:val="008101A8"/>
    <w:rsid w:val="0081181A"/>
    <w:rsid w:val="00812C8D"/>
    <w:rsid w:val="00812EAF"/>
    <w:rsid w:val="0081365E"/>
    <w:rsid w:val="00814843"/>
    <w:rsid w:val="008150B2"/>
    <w:rsid w:val="00816E06"/>
    <w:rsid w:val="00817612"/>
    <w:rsid w:val="00817884"/>
    <w:rsid w:val="00817967"/>
    <w:rsid w:val="00817D2F"/>
    <w:rsid w:val="00820334"/>
    <w:rsid w:val="008204AE"/>
    <w:rsid w:val="00820573"/>
    <w:rsid w:val="00820D73"/>
    <w:rsid w:val="008215C0"/>
    <w:rsid w:val="008218A2"/>
    <w:rsid w:val="00821F4B"/>
    <w:rsid w:val="00823A91"/>
    <w:rsid w:val="008245AD"/>
    <w:rsid w:val="00824ACC"/>
    <w:rsid w:val="00824B62"/>
    <w:rsid w:val="00825952"/>
    <w:rsid w:val="00825B7F"/>
    <w:rsid w:val="008261BF"/>
    <w:rsid w:val="008277A8"/>
    <w:rsid w:val="00827DB7"/>
    <w:rsid w:val="00830E88"/>
    <w:rsid w:val="008315C5"/>
    <w:rsid w:val="008316A7"/>
    <w:rsid w:val="00831D65"/>
    <w:rsid w:val="00832398"/>
    <w:rsid w:val="00834FC9"/>
    <w:rsid w:val="00835A28"/>
    <w:rsid w:val="00835BDD"/>
    <w:rsid w:val="00835F5A"/>
    <w:rsid w:val="00836223"/>
    <w:rsid w:val="00836E5C"/>
    <w:rsid w:val="0083716D"/>
    <w:rsid w:val="008373B6"/>
    <w:rsid w:val="00837A50"/>
    <w:rsid w:val="00837C45"/>
    <w:rsid w:val="00837EDD"/>
    <w:rsid w:val="0084043E"/>
    <w:rsid w:val="00840923"/>
    <w:rsid w:val="008414A3"/>
    <w:rsid w:val="008417E4"/>
    <w:rsid w:val="008422DA"/>
    <w:rsid w:val="00842441"/>
    <w:rsid w:val="008426FE"/>
    <w:rsid w:val="0084302E"/>
    <w:rsid w:val="00843C1B"/>
    <w:rsid w:val="00843E8C"/>
    <w:rsid w:val="0084554C"/>
    <w:rsid w:val="008456F3"/>
    <w:rsid w:val="008459C2"/>
    <w:rsid w:val="00845C1A"/>
    <w:rsid w:val="0084649B"/>
    <w:rsid w:val="00846865"/>
    <w:rsid w:val="00846B2C"/>
    <w:rsid w:val="00846D39"/>
    <w:rsid w:val="008472FB"/>
    <w:rsid w:val="008473B2"/>
    <w:rsid w:val="00847431"/>
    <w:rsid w:val="00847A8B"/>
    <w:rsid w:val="00847B26"/>
    <w:rsid w:val="00850933"/>
    <w:rsid w:val="008509CC"/>
    <w:rsid w:val="0085268D"/>
    <w:rsid w:val="0085323F"/>
    <w:rsid w:val="00853419"/>
    <w:rsid w:val="00853512"/>
    <w:rsid w:val="00853A23"/>
    <w:rsid w:val="00853F53"/>
    <w:rsid w:val="00854FE3"/>
    <w:rsid w:val="00855876"/>
    <w:rsid w:val="008560E1"/>
    <w:rsid w:val="00856256"/>
    <w:rsid w:val="008573A3"/>
    <w:rsid w:val="00860233"/>
    <w:rsid w:val="00860A02"/>
    <w:rsid w:val="00860C50"/>
    <w:rsid w:val="00861437"/>
    <w:rsid w:val="0086147D"/>
    <w:rsid w:val="00861624"/>
    <w:rsid w:val="00861972"/>
    <w:rsid w:val="00861D01"/>
    <w:rsid w:val="00861EC2"/>
    <w:rsid w:val="00861F6D"/>
    <w:rsid w:val="008628FD"/>
    <w:rsid w:val="00863E9F"/>
    <w:rsid w:val="00864785"/>
    <w:rsid w:val="008647B6"/>
    <w:rsid w:val="00865279"/>
    <w:rsid w:val="00865368"/>
    <w:rsid w:val="00865379"/>
    <w:rsid w:val="0086581A"/>
    <w:rsid w:val="00865C9B"/>
    <w:rsid w:val="0086628D"/>
    <w:rsid w:val="008665EC"/>
    <w:rsid w:val="008669E2"/>
    <w:rsid w:val="00866D7E"/>
    <w:rsid w:val="008676D3"/>
    <w:rsid w:val="008678EF"/>
    <w:rsid w:val="00867DA3"/>
    <w:rsid w:val="0087014C"/>
    <w:rsid w:val="00871372"/>
    <w:rsid w:val="00871EBE"/>
    <w:rsid w:val="008741A2"/>
    <w:rsid w:val="008745BF"/>
    <w:rsid w:val="00874BEE"/>
    <w:rsid w:val="00875128"/>
    <w:rsid w:val="00875ABB"/>
    <w:rsid w:val="00875EC6"/>
    <w:rsid w:val="00876085"/>
    <w:rsid w:val="00877E1B"/>
    <w:rsid w:val="0088011F"/>
    <w:rsid w:val="00880395"/>
    <w:rsid w:val="00880B21"/>
    <w:rsid w:val="00880F95"/>
    <w:rsid w:val="0088253F"/>
    <w:rsid w:val="00882952"/>
    <w:rsid w:val="00882C32"/>
    <w:rsid w:val="0088373B"/>
    <w:rsid w:val="00883E89"/>
    <w:rsid w:val="00883EA4"/>
    <w:rsid w:val="00884270"/>
    <w:rsid w:val="00885063"/>
    <w:rsid w:val="00885446"/>
    <w:rsid w:val="008869BA"/>
    <w:rsid w:val="00886C29"/>
    <w:rsid w:val="00887B7D"/>
    <w:rsid w:val="00887E8A"/>
    <w:rsid w:val="008903D5"/>
    <w:rsid w:val="0089156D"/>
    <w:rsid w:val="008917C2"/>
    <w:rsid w:val="00892E68"/>
    <w:rsid w:val="00893298"/>
    <w:rsid w:val="00893A3F"/>
    <w:rsid w:val="00893E24"/>
    <w:rsid w:val="00893E44"/>
    <w:rsid w:val="008945B4"/>
    <w:rsid w:val="0089514B"/>
    <w:rsid w:val="00895C72"/>
    <w:rsid w:val="008969D3"/>
    <w:rsid w:val="00896EC2"/>
    <w:rsid w:val="008971D8"/>
    <w:rsid w:val="00897A3D"/>
    <w:rsid w:val="00897E12"/>
    <w:rsid w:val="008A065A"/>
    <w:rsid w:val="008A0A23"/>
    <w:rsid w:val="008A1C4B"/>
    <w:rsid w:val="008A2C74"/>
    <w:rsid w:val="008A3434"/>
    <w:rsid w:val="008A36FA"/>
    <w:rsid w:val="008A4FAC"/>
    <w:rsid w:val="008A5A80"/>
    <w:rsid w:val="008A5BF4"/>
    <w:rsid w:val="008A5F54"/>
    <w:rsid w:val="008A6043"/>
    <w:rsid w:val="008A6435"/>
    <w:rsid w:val="008A645F"/>
    <w:rsid w:val="008A67CF"/>
    <w:rsid w:val="008A6DA2"/>
    <w:rsid w:val="008A7460"/>
    <w:rsid w:val="008A7E83"/>
    <w:rsid w:val="008A7F97"/>
    <w:rsid w:val="008A7FC7"/>
    <w:rsid w:val="008B03ED"/>
    <w:rsid w:val="008B0E6D"/>
    <w:rsid w:val="008B0EE7"/>
    <w:rsid w:val="008B14CB"/>
    <w:rsid w:val="008B1CA7"/>
    <w:rsid w:val="008B1EF4"/>
    <w:rsid w:val="008B24D5"/>
    <w:rsid w:val="008B25FC"/>
    <w:rsid w:val="008B2DA9"/>
    <w:rsid w:val="008B3466"/>
    <w:rsid w:val="008B44C5"/>
    <w:rsid w:val="008B5124"/>
    <w:rsid w:val="008B768E"/>
    <w:rsid w:val="008B7B3C"/>
    <w:rsid w:val="008C00EE"/>
    <w:rsid w:val="008C05DD"/>
    <w:rsid w:val="008C067C"/>
    <w:rsid w:val="008C2789"/>
    <w:rsid w:val="008C2DF6"/>
    <w:rsid w:val="008C3182"/>
    <w:rsid w:val="008C3B28"/>
    <w:rsid w:val="008C5978"/>
    <w:rsid w:val="008C606A"/>
    <w:rsid w:val="008C698C"/>
    <w:rsid w:val="008C6F82"/>
    <w:rsid w:val="008C6FC4"/>
    <w:rsid w:val="008C7564"/>
    <w:rsid w:val="008C7643"/>
    <w:rsid w:val="008D02D4"/>
    <w:rsid w:val="008D0556"/>
    <w:rsid w:val="008D07D4"/>
    <w:rsid w:val="008D0D4E"/>
    <w:rsid w:val="008D0DD0"/>
    <w:rsid w:val="008D10C8"/>
    <w:rsid w:val="008D1734"/>
    <w:rsid w:val="008D2272"/>
    <w:rsid w:val="008D2EA5"/>
    <w:rsid w:val="008D307A"/>
    <w:rsid w:val="008D33C9"/>
    <w:rsid w:val="008D344B"/>
    <w:rsid w:val="008D3D6F"/>
    <w:rsid w:val="008D3DF6"/>
    <w:rsid w:val="008D43BA"/>
    <w:rsid w:val="008D4F11"/>
    <w:rsid w:val="008D6086"/>
    <w:rsid w:val="008D6249"/>
    <w:rsid w:val="008D7317"/>
    <w:rsid w:val="008D7623"/>
    <w:rsid w:val="008D7DF4"/>
    <w:rsid w:val="008E06C9"/>
    <w:rsid w:val="008E0A77"/>
    <w:rsid w:val="008E10AE"/>
    <w:rsid w:val="008E164D"/>
    <w:rsid w:val="008E168D"/>
    <w:rsid w:val="008E211D"/>
    <w:rsid w:val="008E33FB"/>
    <w:rsid w:val="008E3759"/>
    <w:rsid w:val="008E3EE8"/>
    <w:rsid w:val="008E45EF"/>
    <w:rsid w:val="008E53E4"/>
    <w:rsid w:val="008E5615"/>
    <w:rsid w:val="008E57D1"/>
    <w:rsid w:val="008E62A4"/>
    <w:rsid w:val="008E71E6"/>
    <w:rsid w:val="008F166D"/>
    <w:rsid w:val="008F2796"/>
    <w:rsid w:val="008F298E"/>
    <w:rsid w:val="008F2A35"/>
    <w:rsid w:val="008F2A73"/>
    <w:rsid w:val="008F2E03"/>
    <w:rsid w:val="008F2E1C"/>
    <w:rsid w:val="008F3B12"/>
    <w:rsid w:val="008F3BF9"/>
    <w:rsid w:val="008F3C7F"/>
    <w:rsid w:val="008F3E4A"/>
    <w:rsid w:val="008F4101"/>
    <w:rsid w:val="008F4522"/>
    <w:rsid w:val="008F49E6"/>
    <w:rsid w:val="008F4A17"/>
    <w:rsid w:val="008F4A4D"/>
    <w:rsid w:val="008F559D"/>
    <w:rsid w:val="008F575C"/>
    <w:rsid w:val="008F6014"/>
    <w:rsid w:val="008F7B4C"/>
    <w:rsid w:val="008F7F3F"/>
    <w:rsid w:val="00900365"/>
    <w:rsid w:val="00900D01"/>
    <w:rsid w:val="009021D6"/>
    <w:rsid w:val="0090296E"/>
    <w:rsid w:val="00902D58"/>
    <w:rsid w:val="009039DC"/>
    <w:rsid w:val="00903BE6"/>
    <w:rsid w:val="009041DC"/>
    <w:rsid w:val="009043CE"/>
    <w:rsid w:val="009047EE"/>
    <w:rsid w:val="00904B4B"/>
    <w:rsid w:val="009062C5"/>
    <w:rsid w:val="0090640F"/>
    <w:rsid w:val="009065A1"/>
    <w:rsid w:val="00906679"/>
    <w:rsid w:val="0090668D"/>
    <w:rsid w:val="009104B4"/>
    <w:rsid w:val="009111FF"/>
    <w:rsid w:val="00912171"/>
    <w:rsid w:val="00912195"/>
    <w:rsid w:val="00912523"/>
    <w:rsid w:val="00912642"/>
    <w:rsid w:val="00913018"/>
    <w:rsid w:val="00913B6D"/>
    <w:rsid w:val="0091418E"/>
    <w:rsid w:val="00915CDE"/>
    <w:rsid w:val="00915FDE"/>
    <w:rsid w:val="0091627C"/>
    <w:rsid w:val="0091677E"/>
    <w:rsid w:val="0091728F"/>
    <w:rsid w:val="0091789D"/>
    <w:rsid w:val="00917F4B"/>
    <w:rsid w:val="00920A6E"/>
    <w:rsid w:val="00921023"/>
    <w:rsid w:val="009214A7"/>
    <w:rsid w:val="009214C8"/>
    <w:rsid w:val="00921DC6"/>
    <w:rsid w:val="00922A9F"/>
    <w:rsid w:val="00922B74"/>
    <w:rsid w:val="00922E4D"/>
    <w:rsid w:val="00923561"/>
    <w:rsid w:val="00923920"/>
    <w:rsid w:val="00923E54"/>
    <w:rsid w:val="00923EA6"/>
    <w:rsid w:val="00924F0A"/>
    <w:rsid w:val="00925FCD"/>
    <w:rsid w:val="00927B0B"/>
    <w:rsid w:val="009300A7"/>
    <w:rsid w:val="0093035E"/>
    <w:rsid w:val="00930A5D"/>
    <w:rsid w:val="00930ED0"/>
    <w:rsid w:val="009315CD"/>
    <w:rsid w:val="009320F5"/>
    <w:rsid w:val="009322FE"/>
    <w:rsid w:val="00932B67"/>
    <w:rsid w:val="00933441"/>
    <w:rsid w:val="00933621"/>
    <w:rsid w:val="0093441A"/>
    <w:rsid w:val="00934829"/>
    <w:rsid w:val="009356F2"/>
    <w:rsid w:val="00935735"/>
    <w:rsid w:val="009359E3"/>
    <w:rsid w:val="00935A29"/>
    <w:rsid w:val="00936C4F"/>
    <w:rsid w:val="0093721A"/>
    <w:rsid w:val="00940D0A"/>
    <w:rsid w:val="009412E0"/>
    <w:rsid w:val="00941393"/>
    <w:rsid w:val="0094199B"/>
    <w:rsid w:val="009424BD"/>
    <w:rsid w:val="0094253B"/>
    <w:rsid w:val="00942AA6"/>
    <w:rsid w:val="00942BBC"/>
    <w:rsid w:val="009435DC"/>
    <w:rsid w:val="00943E51"/>
    <w:rsid w:val="0094598C"/>
    <w:rsid w:val="00945F51"/>
    <w:rsid w:val="00945FBD"/>
    <w:rsid w:val="00946729"/>
    <w:rsid w:val="0094702E"/>
    <w:rsid w:val="00947215"/>
    <w:rsid w:val="00947306"/>
    <w:rsid w:val="00947B86"/>
    <w:rsid w:val="00950120"/>
    <w:rsid w:val="00950D77"/>
    <w:rsid w:val="00951A16"/>
    <w:rsid w:val="00952323"/>
    <w:rsid w:val="00952CAA"/>
    <w:rsid w:val="00952DC4"/>
    <w:rsid w:val="009544AF"/>
    <w:rsid w:val="0095466D"/>
    <w:rsid w:val="00954BF7"/>
    <w:rsid w:val="00955093"/>
    <w:rsid w:val="009552DA"/>
    <w:rsid w:val="009554F0"/>
    <w:rsid w:val="00955C06"/>
    <w:rsid w:val="00955CB9"/>
    <w:rsid w:val="00955EA3"/>
    <w:rsid w:val="0095641C"/>
    <w:rsid w:val="00956868"/>
    <w:rsid w:val="00956AAD"/>
    <w:rsid w:val="0095713F"/>
    <w:rsid w:val="009579D8"/>
    <w:rsid w:val="00957A32"/>
    <w:rsid w:val="00960555"/>
    <w:rsid w:val="0096077B"/>
    <w:rsid w:val="00962F1A"/>
    <w:rsid w:val="00963233"/>
    <w:rsid w:val="00964917"/>
    <w:rsid w:val="00964BC4"/>
    <w:rsid w:val="00965000"/>
    <w:rsid w:val="009653A0"/>
    <w:rsid w:val="00965F42"/>
    <w:rsid w:val="009661DF"/>
    <w:rsid w:val="009668D9"/>
    <w:rsid w:val="009668E5"/>
    <w:rsid w:val="0096706E"/>
    <w:rsid w:val="009678C3"/>
    <w:rsid w:val="00967987"/>
    <w:rsid w:val="00967996"/>
    <w:rsid w:val="00967ECF"/>
    <w:rsid w:val="00970813"/>
    <w:rsid w:val="00970FD7"/>
    <w:rsid w:val="009714F6"/>
    <w:rsid w:val="009724C3"/>
    <w:rsid w:val="0097261D"/>
    <w:rsid w:val="009729C9"/>
    <w:rsid w:val="00972F48"/>
    <w:rsid w:val="00973675"/>
    <w:rsid w:val="00973798"/>
    <w:rsid w:val="00973E1D"/>
    <w:rsid w:val="009753D7"/>
    <w:rsid w:val="009757D0"/>
    <w:rsid w:val="00976295"/>
    <w:rsid w:val="0097691D"/>
    <w:rsid w:val="00976D29"/>
    <w:rsid w:val="00976E74"/>
    <w:rsid w:val="009803A4"/>
    <w:rsid w:val="00981FBA"/>
    <w:rsid w:val="00982E24"/>
    <w:rsid w:val="00983AF6"/>
    <w:rsid w:val="00983D6A"/>
    <w:rsid w:val="00983F8C"/>
    <w:rsid w:val="009843A2"/>
    <w:rsid w:val="009856D7"/>
    <w:rsid w:val="00985A4B"/>
    <w:rsid w:val="00986129"/>
    <w:rsid w:val="00986662"/>
    <w:rsid w:val="009869B3"/>
    <w:rsid w:val="00986AEE"/>
    <w:rsid w:val="009879D3"/>
    <w:rsid w:val="00992D3D"/>
    <w:rsid w:val="009937A7"/>
    <w:rsid w:val="00994ECF"/>
    <w:rsid w:val="0099538C"/>
    <w:rsid w:val="009967AF"/>
    <w:rsid w:val="0099714E"/>
    <w:rsid w:val="009974BF"/>
    <w:rsid w:val="009978F5"/>
    <w:rsid w:val="00997C4E"/>
    <w:rsid w:val="00997E99"/>
    <w:rsid w:val="009A01D8"/>
    <w:rsid w:val="009A03E7"/>
    <w:rsid w:val="009A0816"/>
    <w:rsid w:val="009A0B09"/>
    <w:rsid w:val="009A0F04"/>
    <w:rsid w:val="009A1A5D"/>
    <w:rsid w:val="009A1D2A"/>
    <w:rsid w:val="009A28FA"/>
    <w:rsid w:val="009A30CA"/>
    <w:rsid w:val="009A3D51"/>
    <w:rsid w:val="009A5765"/>
    <w:rsid w:val="009A6130"/>
    <w:rsid w:val="009A700D"/>
    <w:rsid w:val="009A7953"/>
    <w:rsid w:val="009A7F2B"/>
    <w:rsid w:val="009B074C"/>
    <w:rsid w:val="009B07BE"/>
    <w:rsid w:val="009B0A1C"/>
    <w:rsid w:val="009B1206"/>
    <w:rsid w:val="009B1525"/>
    <w:rsid w:val="009B18E1"/>
    <w:rsid w:val="009B26C8"/>
    <w:rsid w:val="009B2F9E"/>
    <w:rsid w:val="009B351F"/>
    <w:rsid w:val="009B381B"/>
    <w:rsid w:val="009B4FCA"/>
    <w:rsid w:val="009B5129"/>
    <w:rsid w:val="009B541A"/>
    <w:rsid w:val="009B5D32"/>
    <w:rsid w:val="009B61B2"/>
    <w:rsid w:val="009B6619"/>
    <w:rsid w:val="009B71D5"/>
    <w:rsid w:val="009B74A4"/>
    <w:rsid w:val="009B76BF"/>
    <w:rsid w:val="009B7794"/>
    <w:rsid w:val="009C03AE"/>
    <w:rsid w:val="009C047F"/>
    <w:rsid w:val="009C14DA"/>
    <w:rsid w:val="009C1615"/>
    <w:rsid w:val="009C1691"/>
    <w:rsid w:val="009C1877"/>
    <w:rsid w:val="009C1D8B"/>
    <w:rsid w:val="009C2F75"/>
    <w:rsid w:val="009C2F9F"/>
    <w:rsid w:val="009C458A"/>
    <w:rsid w:val="009C4893"/>
    <w:rsid w:val="009C4D68"/>
    <w:rsid w:val="009C5559"/>
    <w:rsid w:val="009C59D3"/>
    <w:rsid w:val="009C6457"/>
    <w:rsid w:val="009C70F6"/>
    <w:rsid w:val="009C799E"/>
    <w:rsid w:val="009D0012"/>
    <w:rsid w:val="009D0946"/>
    <w:rsid w:val="009D0DEE"/>
    <w:rsid w:val="009D15C7"/>
    <w:rsid w:val="009D16D3"/>
    <w:rsid w:val="009D173B"/>
    <w:rsid w:val="009D2137"/>
    <w:rsid w:val="009D2342"/>
    <w:rsid w:val="009D241E"/>
    <w:rsid w:val="009D280B"/>
    <w:rsid w:val="009D28C4"/>
    <w:rsid w:val="009D2A12"/>
    <w:rsid w:val="009D2BBE"/>
    <w:rsid w:val="009D3728"/>
    <w:rsid w:val="009D44D1"/>
    <w:rsid w:val="009D45F5"/>
    <w:rsid w:val="009D4AFD"/>
    <w:rsid w:val="009D561E"/>
    <w:rsid w:val="009D6116"/>
    <w:rsid w:val="009D62CD"/>
    <w:rsid w:val="009D7611"/>
    <w:rsid w:val="009E075C"/>
    <w:rsid w:val="009E15DB"/>
    <w:rsid w:val="009E25B3"/>
    <w:rsid w:val="009E27A9"/>
    <w:rsid w:val="009E3162"/>
    <w:rsid w:val="009E3488"/>
    <w:rsid w:val="009E374A"/>
    <w:rsid w:val="009E3A41"/>
    <w:rsid w:val="009E3ABD"/>
    <w:rsid w:val="009E3C23"/>
    <w:rsid w:val="009E3F7C"/>
    <w:rsid w:val="009E41B3"/>
    <w:rsid w:val="009E4906"/>
    <w:rsid w:val="009E53DE"/>
    <w:rsid w:val="009E6FD9"/>
    <w:rsid w:val="009F0AED"/>
    <w:rsid w:val="009F0D8A"/>
    <w:rsid w:val="009F114F"/>
    <w:rsid w:val="009F1ED5"/>
    <w:rsid w:val="009F229C"/>
    <w:rsid w:val="009F2349"/>
    <w:rsid w:val="009F24AF"/>
    <w:rsid w:val="009F24FF"/>
    <w:rsid w:val="009F297A"/>
    <w:rsid w:val="009F2CC4"/>
    <w:rsid w:val="009F382B"/>
    <w:rsid w:val="009F5BEF"/>
    <w:rsid w:val="009F64BD"/>
    <w:rsid w:val="009F7113"/>
    <w:rsid w:val="009F76DF"/>
    <w:rsid w:val="009F76E5"/>
    <w:rsid w:val="009F7E41"/>
    <w:rsid w:val="00A00FB8"/>
    <w:rsid w:val="00A01453"/>
    <w:rsid w:val="00A014DA"/>
    <w:rsid w:val="00A02FFE"/>
    <w:rsid w:val="00A03222"/>
    <w:rsid w:val="00A0345B"/>
    <w:rsid w:val="00A03579"/>
    <w:rsid w:val="00A036B7"/>
    <w:rsid w:val="00A0370F"/>
    <w:rsid w:val="00A03B6C"/>
    <w:rsid w:val="00A03DA5"/>
    <w:rsid w:val="00A04910"/>
    <w:rsid w:val="00A050D8"/>
    <w:rsid w:val="00A05601"/>
    <w:rsid w:val="00A057B8"/>
    <w:rsid w:val="00A05C64"/>
    <w:rsid w:val="00A062DD"/>
    <w:rsid w:val="00A0645D"/>
    <w:rsid w:val="00A06FEB"/>
    <w:rsid w:val="00A07134"/>
    <w:rsid w:val="00A07809"/>
    <w:rsid w:val="00A10246"/>
    <w:rsid w:val="00A10403"/>
    <w:rsid w:val="00A10450"/>
    <w:rsid w:val="00A10C01"/>
    <w:rsid w:val="00A10CCC"/>
    <w:rsid w:val="00A1131F"/>
    <w:rsid w:val="00A12196"/>
    <w:rsid w:val="00A12250"/>
    <w:rsid w:val="00A12773"/>
    <w:rsid w:val="00A13A94"/>
    <w:rsid w:val="00A14D37"/>
    <w:rsid w:val="00A158BA"/>
    <w:rsid w:val="00A15A9B"/>
    <w:rsid w:val="00A15C9A"/>
    <w:rsid w:val="00A163A4"/>
    <w:rsid w:val="00A1688B"/>
    <w:rsid w:val="00A16943"/>
    <w:rsid w:val="00A17625"/>
    <w:rsid w:val="00A17E82"/>
    <w:rsid w:val="00A2015A"/>
    <w:rsid w:val="00A2089E"/>
    <w:rsid w:val="00A20B65"/>
    <w:rsid w:val="00A20F5F"/>
    <w:rsid w:val="00A2130F"/>
    <w:rsid w:val="00A21930"/>
    <w:rsid w:val="00A21BFD"/>
    <w:rsid w:val="00A2232B"/>
    <w:rsid w:val="00A22AE8"/>
    <w:rsid w:val="00A22B7B"/>
    <w:rsid w:val="00A23100"/>
    <w:rsid w:val="00A238D4"/>
    <w:rsid w:val="00A23924"/>
    <w:rsid w:val="00A23AFA"/>
    <w:rsid w:val="00A23BD2"/>
    <w:rsid w:val="00A23E45"/>
    <w:rsid w:val="00A24082"/>
    <w:rsid w:val="00A24331"/>
    <w:rsid w:val="00A243E5"/>
    <w:rsid w:val="00A2456A"/>
    <w:rsid w:val="00A249A8"/>
    <w:rsid w:val="00A255BD"/>
    <w:rsid w:val="00A26545"/>
    <w:rsid w:val="00A269C8"/>
    <w:rsid w:val="00A27314"/>
    <w:rsid w:val="00A274BD"/>
    <w:rsid w:val="00A27C5A"/>
    <w:rsid w:val="00A3014C"/>
    <w:rsid w:val="00A30FDD"/>
    <w:rsid w:val="00A31451"/>
    <w:rsid w:val="00A31CB0"/>
    <w:rsid w:val="00A31F51"/>
    <w:rsid w:val="00A321C2"/>
    <w:rsid w:val="00A3286C"/>
    <w:rsid w:val="00A32D38"/>
    <w:rsid w:val="00A33219"/>
    <w:rsid w:val="00A33DB9"/>
    <w:rsid w:val="00A34273"/>
    <w:rsid w:val="00A359C5"/>
    <w:rsid w:val="00A36168"/>
    <w:rsid w:val="00A36C33"/>
    <w:rsid w:val="00A36E16"/>
    <w:rsid w:val="00A37DA9"/>
    <w:rsid w:val="00A40463"/>
    <w:rsid w:val="00A40C4A"/>
    <w:rsid w:val="00A40CED"/>
    <w:rsid w:val="00A42803"/>
    <w:rsid w:val="00A43458"/>
    <w:rsid w:val="00A438C4"/>
    <w:rsid w:val="00A438F6"/>
    <w:rsid w:val="00A43E87"/>
    <w:rsid w:val="00A444C4"/>
    <w:rsid w:val="00A445B3"/>
    <w:rsid w:val="00A447CD"/>
    <w:rsid w:val="00A4561B"/>
    <w:rsid w:val="00A47174"/>
    <w:rsid w:val="00A473E3"/>
    <w:rsid w:val="00A47406"/>
    <w:rsid w:val="00A47D0B"/>
    <w:rsid w:val="00A500DA"/>
    <w:rsid w:val="00A50201"/>
    <w:rsid w:val="00A5028C"/>
    <w:rsid w:val="00A50CF2"/>
    <w:rsid w:val="00A51D32"/>
    <w:rsid w:val="00A52375"/>
    <w:rsid w:val="00A5251F"/>
    <w:rsid w:val="00A527E1"/>
    <w:rsid w:val="00A52876"/>
    <w:rsid w:val="00A528D1"/>
    <w:rsid w:val="00A52D39"/>
    <w:rsid w:val="00A53D23"/>
    <w:rsid w:val="00A542D1"/>
    <w:rsid w:val="00A547A8"/>
    <w:rsid w:val="00A54E22"/>
    <w:rsid w:val="00A55776"/>
    <w:rsid w:val="00A55BB2"/>
    <w:rsid w:val="00A55ED2"/>
    <w:rsid w:val="00A60093"/>
    <w:rsid w:val="00A60198"/>
    <w:rsid w:val="00A60F07"/>
    <w:rsid w:val="00A6269C"/>
    <w:rsid w:val="00A6287A"/>
    <w:rsid w:val="00A6386E"/>
    <w:rsid w:val="00A63958"/>
    <w:rsid w:val="00A642B6"/>
    <w:rsid w:val="00A643CA"/>
    <w:rsid w:val="00A647EB"/>
    <w:rsid w:val="00A649AE"/>
    <w:rsid w:val="00A64D06"/>
    <w:rsid w:val="00A64DA8"/>
    <w:rsid w:val="00A64EE8"/>
    <w:rsid w:val="00A64F5F"/>
    <w:rsid w:val="00A650D1"/>
    <w:rsid w:val="00A6588A"/>
    <w:rsid w:val="00A659E8"/>
    <w:rsid w:val="00A669C6"/>
    <w:rsid w:val="00A66BE5"/>
    <w:rsid w:val="00A67461"/>
    <w:rsid w:val="00A67539"/>
    <w:rsid w:val="00A709DB"/>
    <w:rsid w:val="00A70FA6"/>
    <w:rsid w:val="00A71D99"/>
    <w:rsid w:val="00A73439"/>
    <w:rsid w:val="00A734B2"/>
    <w:rsid w:val="00A73772"/>
    <w:rsid w:val="00A75A39"/>
    <w:rsid w:val="00A7605D"/>
    <w:rsid w:val="00A763D4"/>
    <w:rsid w:val="00A7730C"/>
    <w:rsid w:val="00A774E2"/>
    <w:rsid w:val="00A77E82"/>
    <w:rsid w:val="00A80079"/>
    <w:rsid w:val="00A80C1E"/>
    <w:rsid w:val="00A8162B"/>
    <w:rsid w:val="00A81A9A"/>
    <w:rsid w:val="00A81D28"/>
    <w:rsid w:val="00A823ED"/>
    <w:rsid w:val="00A8335C"/>
    <w:rsid w:val="00A83588"/>
    <w:rsid w:val="00A845BE"/>
    <w:rsid w:val="00A84A45"/>
    <w:rsid w:val="00A84A53"/>
    <w:rsid w:val="00A84B01"/>
    <w:rsid w:val="00A8653E"/>
    <w:rsid w:val="00A86646"/>
    <w:rsid w:val="00A86CF8"/>
    <w:rsid w:val="00A871CA"/>
    <w:rsid w:val="00A87FF5"/>
    <w:rsid w:val="00A91578"/>
    <w:rsid w:val="00A91614"/>
    <w:rsid w:val="00A91C87"/>
    <w:rsid w:val="00A91ED0"/>
    <w:rsid w:val="00A91F89"/>
    <w:rsid w:val="00A92714"/>
    <w:rsid w:val="00A92DCA"/>
    <w:rsid w:val="00A947C6"/>
    <w:rsid w:val="00A94BBB"/>
    <w:rsid w:val="00A94DF1"/>
    <w:rsid w:val="00A95F1A"/>
    <w:rsid w:val="00A9641B"/>
    <w:rsid w:val="00A96B68"/>
    <w:rsid w:val="00A96D18"/>
    <w:rsid w:val="00A96F96"/>
    <w:rsid w:val="00A9729A"/>
    <w:rsid w:val="00A97366"/>
    <w:rsid w:val="00A978E7"/>
    <w:rsid w:val="00A979CE"/>
    <w:rsid w:val="00A97CDE"/>
    <w:rsid w:val="00AA07DC"/>
    <w:rsid w:val="00AA23D3"/>
    <w:rsid w:val="00AA33AF"/>
    <w:rsid w:val="00AA3C9F"/>
    <w:rsid w:val="00AA4746"/>
    <w:rsid w:val="00AA4D70"/>
    <w:rsid w:val="00AA4DF0"/>
    <w:rsid w:val="00AA5C88"/>
    <w:rsid w:val="00AA792C"/>
    <w:rsid w:val="00AA7A2C"/>
    <w:rsid w:val="00AA7A53"/>
    <w:rsid w:val="00AA7AD9"/>
    <w:rsid w:val="00AA7E8A"/>
    <w:rsid w:val="00AB0745"/>
    <w:rsid w:val="00AB097B"/>
    <w:rsid w:val="00AB160E"/>
    <w:rsid w:val="00AB2ECE"/>
    <w:rsid w:val="00AB3118"/>
    <w:rsid w:val="00AB3712"/>
    <w:rsid w:val="00AB45A1"/>
    <w:rsid w:val="00AB55B8"/>
    <w:rsid w:val="00AB6166"/>
    <w:rsid w:val="00AB6D53"/>
    <w:rsid w:val="00AB6F62"/>
    <w:rsid w:val="00AB7EE1"/>
    <w:rsid w:val="00AC00EA"/>
    <w:rsid w:val="00AC0531"/>
    <w:rsid w:val="00AC0F5B"/>
    <w:rsid w:val="00AC2C44"/>
    <w:rsid w:val="00AC30C7"/>
    <w:rsid w:val="00AC313B"/>
    <w:rsid w:val="00AC388E"/>
    <w:rsid w:val="00AC3AAE"/>
    <w:rsid w:val="00AC3B78"/>
    <w:rsid w:val="00AC3EE2"/>
    <w:rsid w:val="00AC4106"/>
    <w:rsid w:val="00AC4350"/>
    <w:rsid w:val="00AC4B75"/>
    <w:rsid w:val="00AC4B90"/>
    <w:rsid w:val="00AC4E50"/>
    <w:rsid w:val="00AC4F7C"/>
    <w:rsid w:val="00AC53DA"/>
    <w:rsid w:val="00AC5728"/>
    <w:rsid w:val="00AC6AE6"/>
    <w:rsid w:val="00AC740E"/>
    <w:rsid w:val="00AC75FB"/>
    <w:rsid w:val="00AC78C4"/>
    <w:rsid w:val="00AC7969"/>
    <w:rsid w:val="00AC7AC6"/>
    <w:rsid w:val="00AC7F4D"/>
    <w:rsid w:val="00AD08D1"/>
    <w:rsid w:val="00AD0D8F"/>
    <w:rsid w:val="00AD0E15"/>
    <w:rsid w:val="00AD1293"/>
    <w:rsid w:val="00AD1317"/>
    <w:rsid w:val="00AD1E27"/>
    <w:rsid w:val="00AD2957"/>
    <w:rsid w:val="00AD29F5"/>
    <w:rsid w:val="00AD34D9"/>
    <w:rsid w:val="00AD37C1"/>
    <w:rsid w:val="00AD38E9"/>
    <w:rsid w:val="00AD4435"/>
    <w:rsid w:val="00AD452E"/>
    <w:rsid w:val="00AD4A7C"/>
    <w:rsid w:val="00AD4C43"/>
    <w:rsid w:val="00AD4CD7"/>
    <w:rsid w:val="00AD4E05"/>
    <w:rsid w:val="00AD5EB5"/>
    <w:rsid w:val="00AD61C8"/>
    <w:rsid w:val="00AD72AC"/>
    <w:rsid w:val="00AD73A3"/>
    <w:rsid w:val="00AD7A33"/>
    <w:rsid w:val="00AE04AD"/>
    <w:rsid w:val="00AE0DEC"/>
    <w:rsid w:val="00AE15A9"/>
    <w:rsid w:val="00AE1852"/>
    <w:rsid w:val="00AE1A08"/>
    <w:rsid w:val="00AE1A2D"/>
    <w:rsid w:val="00AE1F0C"/>
    <w:rsid w:val="00AE2C24"/>
    <w:rsid w:val="00AE3F3C"/>
    <w:rsid w:val="00AE449F"/>
    <w:rsid w:val="00AE4C05"/>
    <w:rsid w:val="00AE4C43"/>
    <w:rsid w:val="00AE501F"/>
    <w:rsid w:val="00AE6271"/>
    <w:rsid w:val="00AE653F"/>
    <w:rsid w:val="00AE66EC"/>
    <w:rsid w:val="00AE6AE5"/>
    <w:rsid w:val="00AE6F91"/>
    <w:rsid w:val="00AF010B"/>
    <w:rsid w:val="00AF020C"/>
    <w:rsid w:val="00AF0440"/>
    <w:rsid w:val="00AF0F61"/>
    <w:rsid w:val="00AF0FB6"/>
    <w:rsid w:val="00AF10BC"/>
    <w:rsid w:val="00AF14A6"/>
    <w:rsid w:val="00AF22CE"/>
    <w:rsid w:val="00AF2782"/>
    <w:rsid w:val="00AF29D4"/>
    <w:rsid w:val="00AF3344"/>
    <w:rsid w:val="00AF40A7"/>
    <w:rsid w:val="00AF511A"/>
    <w:rsid w:val="00AF5571"/>
    <w:rsid w:val="00AF5B3F"/>
    <w:rsid w:val="00AF7526"/>
    <w:rsid w:val="00AF79FA"/>
    <w:rsid w:val="00B00604"/>
    <w:rsid w:val="00B00CBD"/>
    <w:rsid w:val="00B016BF"/>
    <w:rsid w:val="00B016EF"/>
    <w:rsid w:val="00B018F6"/>
    <w:rsid w:val="00B01D8D"/>
    <w:rsid w:val="00B0207D"/>
    <w:rsid w:val="00B033E8"/>
    <w:rsid w:val="00B0350E"/>
    <w:rsid w:val="00B0379A"/>
    <w:rsid w:val="00B05B2D"/>
    <w:rsid w:val="00B06114"/>
    <w:rsid w:val="00B0667E"/>
    <w:rsid w:val="00B06BF4"/>
    <w:rsid w:val="00B07033"/>
    <w:rsid w:val="00B07227"/>
    <w:rsid w:val="00B11C6F"/>
    <w:rsid w:val="00B11E55"/>
    <w:rsid w:val="00B11F9A"/>
    <w:rsid w:val="00B124E6"/>
    <w:rsid w:val="00B12638"/>
    <w:rsid w:val="00B13ABA"/>
    <w:rsid w:val="00B14837"/>
    <w:rsid w:val="00B160A4"/>
    <w:rsid w:val="00B167E9"/>
    <w:rsid w:val="00B16FF4"/>
    <w:rsid w:val="00B1724A"/>
    <w:rsid w:val="00B17640"/>
    <w:rsid w:val="00B207F5"/>
    <w:rsid w:val="00B20B83"/>
    <w:rsid w:val="00B21064"/>
    <w:rsid w:val="00B21BC5"/>
    <w:rsid w:val="00B22C40"/>
    <w:rsid w:val="00B23A86"/>
    <w:rsid w:val="00B24509"/>
    <w:rsid w:val="00B24749"/>
    <w:rsid w:val="00B24A00"/>
    <w:rsid w:val="00B270C2"/>
    <w:rsid w:val="00B27127"/>
    <w:rsid w:val="00B2728E"/>
    <w:rsid w:val="00B301E8"/>
    <w:rsid w:val="00B30278"/>
    <w:rsid w:val="00B31391"/>
    <w:rsid w:val="00B314DB"/>
    <w:rsid w:val="00B316A7"/>
    <w:rsid w:val="00B3171A"/>
    <w:rsid w:val="00B31EBE"/>
    <w:rsid w:val="00B324F0"/>
    <w:rsid w:val="00B3401D"/>
    <w:rsid w:val="00B34D82"/>
    <w:rsid w:val="00B34E2B"/>
    <w:rsid w:val="00B34F8C"/>
    <w:rsid w:val="00B367B1"/>
    <w:rsid w:val="00B36E37"/>
    <w:rsid w:val="00B37047"/>
    <w:rsid w:val="00B3718B"/>
    <w:rsid w:val="00B37584"/>
    <w:rsid w:val="00B37C3B"/>
    <w:rsid w:val="00B41104"/>
    <w:rsid w:val="00B41A5D"/>
    <w:rsid w:val="00B41A5F"/>
    <w:rsid w:val="00B41AAC"/>
    <w:rsid w:val="00B41B62"/>
    <w:rsid w:val="00B424CD"/>
    <w:rsid w:val="00B42ABC"/>
    <w:rsid w:val="00B432D6"/>
    <w:rsid w:val="00B441B9"/>
    <w:rsid w:val="00B44448"/>
    <w:rsid w:val="00B44F4C"/>
    <w:rsid w:val="00B45BE7"/>
    <w:rsid w:val="00B45ECD"/>
    <w:rsid w:val="00B46033"/>
    <w:rsid w:val="00B46313"/>
    <w:rsid w:val="00B4632A"/>
    <w:rsid w:val="00B46771"/>
    <w:rsid w:val="00B478B1"/>
    <w:rsid w:val="00B478C4"/>
    <w:rsid w:val="00B506F8"/>
    <w:rsid w:val="00B50B18"/>
    <w:rsid w:val="00B50DB9"/>
    <w:rsid w:val="00B5149E"/>
    <w:rsid w:val="00B515A8"/>
    <w:rsid w:val="00B52BB8"/>
    <w:rsid w:val="00B540E8"/>
    <w:rsid w:val="00B54DF4"/>
    <w:rsid w:val="00B550D3"/>
    <w:rsid w:val="00B552E7"/>
    <w:rsid w:val="00B55402"/>
    <w:rsid w:val="00B55E95"/>
    <w:rsid w:val="00B55F23"/>
    <w:rsid w:val="00B56929"/>
    <w:rsid w:val="00B5746F"/>
    <w:rsid w:val="00B574A0"/>
    <w:rsid w:val="00B574EE"/>
    <w:rsid w:val="00B575D6"/>
    <w:rsid w:val="00B57C17"/>
    <w:rsid w:val="00B57C7D"/>
    <w:rsid w:val="00B6077E"/>
    <w:rsid w:val="00B60E25"/>
    <w:rsid w:val="00B62894"/>
    <w:rsid w:val="00B62BC0"/>
    <w:rsid w:val="00B63572"/>
    <w:rsid w:val="00B63577"/>
    <w:rsid w:val="00B6408B"/>
    <w:rsid w:val="00B64CF2"/>
    <w:rsid w:val="00B66B51"/>
    <w:rsid w:val="00B67053"/>
    <w:rsid w:val="00B673F4"/>
    <w:rsid w:val="00B67B19"/>
    <w:rsid w:val="00B67B9B"/>
    <w:rsid w:val="00B70040"/>
    <w:rsid w:val="00B70462"/>
    <w:rsid w:val="00B70902"/>
    <w:rsid w:val="00B71CEC"/>
    <w:rsid w:val="00B72E00"/>
    <w:rsid w:val="00B72F71"/>
    <w:rsid w:val="00B74BBA"/>
    <w:rsid w:val="00B74DAF"/>
    <w:rsid w:val="00B75D57"/>
    <w:rsid w:val="00B765F1"/>
    <w:rsid w:val="00B766A1"/>
    <w:rsid w:val="00B76BE8"/>
    <w:rsid w:val="00B777B0"/>
    <w:rsid w:val="00B77B09"/>
    <w:rsid w:val="00B801CB"/>
    <w:rsid w:val="00B82710"/>
    <w:rsid w:val="00B82D01"/>
    <w:rsid w:val="00B849A5"/>
    <w:rsid w:val="00B84FC7"/>
    <w:rsid w:val="00B8596A"/>
    <w:rsid w:val="00B85B6B"/>
    <w:rsid w:val="00B8646F"/>
    <w:rsid w:val="00B86577"/>
    <w:rsid w:val="00B8664E"/>
    <w:rsid w:val="00B868A4"/>
    <w:rsid w:val="00B86D99"/>
    <w:rsid w:val="00B8724D"/>
    <w:rsid w:val="00B8786D"/>
    <w:rsid w:val="00B90178"/>
    <w:rsid w:val="00B90496"/>
    <w:rsid w:val="00B920B7"/>
    <w:rsid w:val="00B92546"/>
    <w:rsid w:val="00B926B1"/>
    <w:rsid w:val="00B92DC9"/>
    <w:rsid w:val="00B933E4"/>
    <w:rsid w:val="00B93E70"/>
    <w:rsid w:val="00B93EF7"/>
    <w:rsid w:val="00B96FE9"/>
    <w:rsid w:val="00B97838"/>
    <w:rsid w:val="00B979E4"/>
    <w:rsid w:val="00BA0E3E"/>
    <w:rsid w:val="00BA10D9"/>
    <w:rsid w:val="00BA11D2"/>
    <w:rsid w:val="00BA198F"/>
    <w:rsid w:val="00BA1D41"/>
    <w:rsid w:val="00BA276C"/>
    <w:rsid w:val="00BA2988"/>
    <w:rsid w:val="00BA3099"/>
    <w:rsid w:val="00BA3133"/>
    <w:rsid w:val="00BA31DF"/>
    <w:rsid w:val="00BA3DCF"/>
    <w:rsid w:val="00BA4BCF"/>
    <w:rsid w:val="00BA542F"/>
    <w:rsid w:val="00BA64E3"/>
    <w:rsid w:val="00BA6FFA"/>
    <w:rsid w:val="00BA7984"/>
    <w:rsid w:val="00BB151F"/>
    <w:rsid w:val="00BB17B3"/>
    <w:rsid w:val="00BB285D"/>
    <w:rsid w:val="00BB2AFE"/>
    <w:rsid w:val="00BB3066"/>
    <w:rsid w:val="00BB306F"/>
    <w:rsid w:val="00BB3466"/>
    <w:rsid w:val="00BB356D"/>
    <w:rsid w:val="00BB36D4"/>
    <w:rsid w:val="00BB3E94"/>
    <w:rsid w:val="00BB4212"/>
    <w:rsid w:val="00BB521F"/>
    <w:rsid w:val="00BB53AD"/>
    <w:rsid w:val="00BB59AB"/>
    <w:rsid w:val="00BB5A59"/>
    <w:rsid w:val="00BB645E"/>
    <w:rsid w:val="00BB6D82"/>
    <w:rsid w:val="00BB6D96"/>
    <w:rsid w:val="00BB7163"/>
    <w:rsid w:val="00BB76B9"/>
    <w:rsid w:val="00BB78FE"/>
    <w:rsid w:val="00BB7B0A"/>
    <w:rsid w:val="00BB7C52"/>
    <w:rsid w:val="00BC04F8"/>
    <w:rsid w:val="00BC1521"/>
    <w:rsid w:val="00BC2154"/>
    <w:rsid w:val="00BC243A"/>
    <w:rsid w:val="00BC26AE"/>
    <w:rsid w:val="00BC35EB"/>
    <w:rsid w:val="00BC397C"/>
    <w:rsid w:val="00BC5766"/>
    <w:rsid w:val="00BC5D20"/>
    <w:rsid w:val="00BC6714"/>
    <w:rsid w:val="00BC68ED"/>
    <w:rsid w:val="00BC6DA1"/>
    <w:rsid w:val="00BC6FB1"/>
    <w:rsid w:val="00BC73B5"/>
    <w:rsid w:val="00BD10AC"/>
    <w:rsid w:val="00BD11DC"/>
    <w:rsid w:val="00BD232B"/>
    <w:rsid w:val="00BD2C5B"/>
    <w:rsid w:val="00BD3469"/>
    <w:rsid w:val="00BD393F"/>
    <w:rsid w:val="00BD4B89"/>
    <w:rsid w:val="00BD5B66"/>
    <w:rsid w:val="00BD5CCE"/>
    <w:rsid w:val="00BD5E83"/>
    <w:rsid w:val="00BD5F0C"/>
    <w:rsid w:val="00BD63B7"/>
    <w:rsid w:val="00BD7B08"/>
    <w:rsid w:val="00BD7F14"/>
    <w:rsid w:val="00BE0098"/>
    <w:rsid w:val="00BE014C"/>
    <w:rsid w:val="00BE118B"/>
    <w:rsid w:val="00BE1438"/>
    <w:rsid w:val="00BE1B74"/>
    <w:rsid w:val="00BE201A"/>
    <w:rsid w:val="00BE34C6"/>
    <w:rsid w:val="00BE3560"/>
    <w:rsid w:val="00BE35D9"/>
    <w:rsid w:val="00BE36D7"/>
    <w:rsid w:val="00BE3967"/>
    <w:rsid w:val="00BE4872"/>
    <w:rsid w:val="00BE4C89"/>
    <w:rsid w:val="00BE4DCA"/>
    <w:rsid w:val="00BE5AD0"/>
    <w:rsid w:val="00BE60A3"/>
    <w:rsid w:val="00BE6182"/>
    <w:rsid w:val="00BE66B0"/>
    <w:rsid w:val="00BE6B74"/>
    <w:rsid w:val="00BE6FDB"/>
    <w:rsid w:val="00BE7E23"/>
    <w:rsid w:val="00BF0063"/>
    <w:rsid w:val="00BF08CB"/>
    <w:rsid w:val="00BF0EAA"/>
    <w:rsid w:val="00BF1F10"/>
    <w:rsid w:val="00BF206B"/>
    <w:rsid w:val="00BF2523"/>
    <w:rsid w:val="00BF2939"/>
    <w:rsid w:val="00BF2EA8"/>
    <w:rsid w:val="00BF40C6"/>
    <w:rsid w:val="00BF4600"/>
    <w:rsid w:val="00BF4865"/>
    <w:rsid w:val="00BF4871"/>
    <w:rsid w:val="00BF4994"/>
    <w:rsid w:val="00BF4AF7"/>
    <w:rsid w:val="00BF5F11"/>
    <w:rsid w:val="00BF649B"/>
    <w:rsid w:val="00BF65BD"/>
    <w:rsid w:val="00BF7B54"/>
    <w:rsid w:val="00BF7C42"/>
    <w:rsid w:val="00C0028D"/>
    <w:rsid w:val="00C01451"/>
    <w:rsid w:val="00C01882"/>
    <w:rsid w:val="00C018FF"/>
    <w:rsid w:val="00C028C4"/>
    <w:rsid w:val="00C02A78"/>
    <w:rsid w:val="00C03059"/>
    <w:rsid w:val="00C0391B"/>
    <w:rsid w:val="00C03A29"/>
    <w:rsid w:val="00C04473"/>
    <w:rsid w:val="00C04FA3"/>
    <w:rsid w:val="00C05169"/>
    <w:rsid w:val="00C0546D"/>
    <w:rsid w:val="00C05820"/>
    <w:rsid w:val="00C06128"/>
    <w:rsid w:val="00C070BA"/>
    <w:rsid w:val="00C07884"/>
    <w:rsid w:val="00C07B4D"/>
    <w:rsid w:val="00C07BB8"/>
    <w:rsid w:val="00C101BC"/>
    <w:rsid w:val="00C10283"/>
    <w:rsid w:val="00C10EA4"/>
    <w:rsid w:val="00C136FB"/>
    <w:rsid w:val="00C144E7"/>
    <w:rsid w:val="00C14557"/>
    <w:rsid w:val="00C14701"/>
    <w:rsid w:val="00C14A51"/>
    <w:rsid w:val="00C14CE0"/>
    <w:rsid w:val="00C1525C"/>
    <w:rsid w:val="00C153DE"/>
    <w:rsid w:val="00C15824"/>
    <w:rsid w:val="00C16D95"/>
    <w:rsid w:val="00C17BAA"/>
    <w:rsid w:val="00C20667"/>
    <w:rsid w:val="00C2142B"/>
    <w:rsid w:val="00C21701"/>
    <w:rsid w:val="00C21762"/>
    <w:rsid w:val="00C21EFD"/>
    <w:rsid w:val="00C224DF"/>
    <w:rsid w:val="00C22723"/>
    <w:rsid w:val="00C22DD6"/>
    <w:rsid w:val="00C23BA8"/>
    <w:rsid w:val="00C23DC3"/>
    <w:rsid w:val="00C24049"/>
    <w:rsid w:val="00C24543"/>
    <w:rsid w:val="00C251B1"/>
    <w:rsid w:val="00C256A2"/>
    <w:rsid w:val="00C25804"/>
    <w:rsid w:val="00C25808"/>
    <w:rsid w:val="00C258A0"/>
    <w:rsid w:val="00C25B0D"/>
    <w:rsid w:val="00C26350"/>
    <w:rsid w:val="00C26A69"/>
    <w:rsid w:val="00C31770"/>
    <w:rsid w:val="00C3238A"/>
    <w:rsid w:val="00C32415"/>
    <w:rsid w:val="00C32A61"/>
    <w:rsid w:val="00C338B0"/>
    <w:rsid w:val="00C33EB0"/>
    <w:rsid w:val="00C340DC"/>
    <w:rsid w:val="00C344B0"/>
    <w:rsid w:val="00C3492D"/>
    <w:rsid w:val="00C34973"/>
    <w:rsid w:val="00C34F68"/>
    <w:rsid w:val="00C35423"/>
    <w:rsid w:val="00C3629F"/>
    <w:rsid w:val="00C36568"/>
    <w:rsid w:val="00C36E35"/>
    <w:rsid w:val="00C4068A"/>
    <w:rsid w:val="00C41AB9"/>
    <w:rsid w:val="00C420AF"/>
    <w:rsid w:val="00C42196"/>
    <w:rsid w:val="00C4237D"/>
    <w:rsid w:val="00C423E4"/>
    <w:rsid w:val="00C432D8"/>
    <w:rsid w:val="00C43943"/>
    <w:rsid w:val="00C43FC7"/>
    <w:rsid w:val="00C443E8"/>
    <w:rsid w:val="00C44886"/>
    <w:rsid w:val="00C44ECB"/>
    <w:rsid w:val="00C45555"/>
    <w:rsid w:val="00C45976"/>
    <w:rsid w:val="00C45A93"/>
    <w:rsid w:val="00C4696E"/>
    <w:rsid w:val="00C46A80"/>
    <w:rsid w:val="00C4716E"/>
    <w:rsid w:val="00C47791"/>
    <w:rsid w:val="00C4793D"/>
    <w:rsid w:val="00C47B6D"/>
    <w:rsid w:val="00C47E39"/>
    <w:rsid w:val="00C506EB"/>
    <w:rsid w:val="00C50C1E"/>
    <w:rsid w:val="00C51C98"/>
    <w:rsid w:val="00C5237D"/>
    <w:rsid w:val="00C535F1"/>
    <w:rsid w:val="00C53F60"/>
    <w:rsid w:val="00C546AB"/>
    <w:rsid w:val="00C5474E"/>
    <w:rsid w:val="00C548F2"/>
    <w:rsid w:val="00C548FA"/>
    <w:rsid w:val="00C55378"/>
    <w:rsid w:val="00C55560"/>
    <w:rsid w:val="00C55738"/>
    <w:rsid w:val="00C55AA8"/>
    <w:rsid w:val="00C55C6F"/>
    <w:rsid w:val="00C56511"/>
    <w:rsid w:val="00C568F9"/>
    <w:rsid w:val="00C57994"/>
    <w:rsid w:val="00C57D17"/>
    <w:rsid w:val="00C60644"/>
    <w:rsid w:val="00C60AB3"/>
    <w:rsid w:val="00C61095"/>
    <w:rsid w:val="00C614A9"/>
    <w:rsid w:val="00C618A0"/>
    <w:rsid w:val="00C61956"/>
    <w:rsid w:val="00C61997"/>
    <w:rsid w:val="00C62393"/>
    <w:rsid w:val="00C6257E"/>
    <w:rsid w:val="00C6293A"/>
    <w:rsid w:val="00C62BF4"/>
    <w:rsid w:val="00C6323C"/>
    <w:rsid w:val="00C634B4"/>
    <w:rsid w:val="00C63576"/>
    <w:rsid w:val="00C63585"/>
    <w:rsid w:val="00C64686"/>
    <w:rsid w:val="00C65998"/>
    <w:rsid w:val="00C669C1"/>
    <w:rsid w:val="00C66B72"/>
    <w:rsid w:val="00C674CD"/>
    <w:rsid w:val="00C67F18"/>
    <w:rsid w:val="00C703DF"/>
    <w:rsid w:val="00C714BB"/>
    <w:rsid w:val="00C7275B"/>
    <w:rsid w:val="00C7281A"/>
    <w:rsid w:val="00C73738"/>
    <w:rsid w:val="00C7377E"/>
    <w:rsid w:val="00C73BAE"/>
    <w:rsid w:val="00C748D8"/>
    <w:rsid w:val="00C74AAA"/>
    <w:rsid w:val="00C74C37"/>
    <w:rsid w:val="00C7526E"/>
    <w:rsid w:val="00C759BE"/>
    <w:rsid w:val="00C75A4F"/>
    <w:rsid w:val="00C75E68"/>
    <w:rsid w:val="00C76135"/>
    <w:rsid w:val="00C768EA"/>
    <w:rsid w:val="00C76C96"/>
    <w:rsid w:val="00C77013"/>
    <w:rsid w:val="00C77F47"/>
    <w:rsid w:val="00C804FA"/>
    <w:rsid w:val="00C80A54"/>
    <w:rsid w:val="00C811BA"/>
    <w:rsid w:val="00C81339"/>
    <w:rsid w:val="00C81FBE"/>
    <w:rsid w:val="00C8212F"/>
    <w:rsid w:val="00C82791"/>
    <w:rsid w:val="00C82B0B"/>
    <w:rsid w:val="00C83A33"/>
    <w:rsid w:val="00C83A40"/>
    <w:rsid w:val="00C84B0E"/>
    <w:rsid w:val="00C84E16"/>
    <w:rsid w:val="00C850FD"/>
    <w:rsid w:val="00C857A1"/>
    <w:rsid w:val="00C85897"/>
    <w:rsid w:val="00C85CF6"/>
    <w:rsid w:val="00C85DDE"/>
    <w:rsid w:val="00C86C06"/>
    <w:rsid w:val="00C8734C"/>
    <w:rsid w:val="00C8737F"/>
    <w:rsid w:val="00C87A0C"/>
    <w:rsid w:val="00C9055F"/>
    <w:rsid w:val="00C91645"/>
    <w:rsid w:val="00C92987"/>
    <w:rsid w:val="00C92CF7"/>
    <w:rsid w:val="00C936C3"/>
    <w:rsid w:val="00C93DCE"/>
    <w:rsid w:val="00C949E2"/>
    <w:rsid w:val="00C94BF5"/>
    <w:rsid w:val="00C9567A"/>
    <w:rsid w:val="00C957E5"/>
    <w:rsid w:val="00C95B20"/>
    <w:rsid w:val="00C95BF6"/>
    <w:rsid w:val="00C965D3"/>
    <w:rsid w:val="00C9670F"/>
    <w:rsid w:val="00C96AF3"/>
    <w:rsid w:val="00C96BFF"/>
    <w:rsid w:val="00C97B52"/>
    <w:rsid w:val="00CA0428"/>
    <w:rsid w:val="00CA06E5"/>
    <w:rsid w:val="00CA0730"/>
    <w:rsid w:val="00CA0E2F"/>
    <w:rsid w:val="00CA164C"/>
    <w:rsid w:val="00CA16AD"/>
    <w:rsid w:val="00CA1D19"/>
    <w:rsid w:val="00CA2199"/>
    <w:rsid w:val="00CA249C"/>
    <w:rsid w:val="00CA28C5"/>
    <w:rsid w:val="00CA2DE7"/>
    <w:rsid w:val="00CA3B1D"/>
    <w:rsid w:val="00CA4160"/>
    <w:rsid w:val="00CA44E8"/>
    <w:rsid w:val="00CA4BE3"/>
    <w:rsid w:val="00CA53D1"/>
    <w:rsid w:val="00CA5B5E"/>
    <w:rsid w:val="00CA61E3"/>
    <w:rsid w:val="00CA6219"/>
    <w:rsid w:val="00CA65F1"/>
    <w:rsid w:val="00CA6E49"/>
    <w:rsid w:val="00CA6EE1"/>
    <w:rsid w:val="00CB02CB"/>
    <w:rsid w:val="00CB08A1"/>
    <w:rsid w:val="00CB13BC"/>
    <w:rsid w:val="00CB17C1"/>
    <w:rsid w:val="00CB2422"/>
    <w:rsid w:val="00CB2660"/>
    <w:rsid w:val="00CB2A1A"/>
    <w:rsid w:val="00CB320F"/>
    <w:rsid w:val="00CB3418"/>
    <w:rsid w:val="00CB36CE"/>
    <w:rsid w:val="00CB3738"/>
    <w:rsid w:val="00CB3827"/>
    <w:rsid w:val="00CB3A1A"/>
    <w:rsid w:val="00CB4965"/>
    <w:rsid w:val="00CB4BF9"/>
    <w:rsid w:val="00CB4C01"/>
    <w:rsid w:val="00CB5334"/>
    <w:rsid w:val="00CB5E44"/>
    <w:rsid w:val="00CB712B"/>
    <w:rsid w:val="00CB7805"/>
    <w:rsid w:val="00CB7A42"/>
    <w:rsid w:val="00CB7D6F"/>
    <w:rsid w:val="00CC012E"/>
    <w:rsid w:val="00CC0E8C"/>
    <w:rsid w:val="00CC1DF2"/>
    <w:rsid w:val="00CC232B"/>
    <w:rsid w:val="00CC25A6"/>
    <w:rsid w:val="00CC30E5"/>
    <w:rsid w:val="00CC44ED"/>
    <w:rsid w:val="00CC5639"/>
    <w:rsid w:val="00CC5E13"/>
    <w:rsid w:val="00CC5E90"/>
    <w:rsid w:val="00CC72FB"/>
    <w:rsid w:val="00CD046C"/>
    <w:rsid w:val="00CD0979"/>
    <w:rsid w:val="00CD1893"/>
    <w:rsid w:val="00CD36BA"/>
    <w:rsid w:val="00CD38C8"/>
    <w:rsid w:val="00CD403E"/>
    <w:rsid w:val="00CD4FB1"/>
    <w:rsid w:val="00CD58F8"/>
    <w:rsid w:val="00CD6BCF"/>
    <w:rsid w:val="00CD7BBE"/>
    <w:rsid w:val="00CE0052"/>
    <w:rsid w:val="00CE1390"/>
    <w:rsid w:val="00CE1E71"/>
    <w:rsid w:val="00CE2A6C"/>
    <w:rsid w:val="00CE4868"/>
    <w:rsid w:val="00CE4999"/>
    <w:rsid w:val="00CE5199"/>
    <w:rsid w:val="00CE66D5"/>
    <w:rsid w:val="00CE66E4"/>
    <w:rsid w:val="00CF07C3"/>
    <w:rsid w:val="00CF0A29"/>
    <w:rsid w:val="00CF0AD5"/>
    <w:rsid w:val="00CF12C1"/>
    <w:rsid w:val="00CF1E94"/>
    <w:rsid w:val="00CF1FF5"/>
    <w:rsid w:val="00CF273B"/>
    <w:rsid w:val="00CF2824"/>
    <w:rsid w:val="00CF396A"/>
    <w:rsid w:val="00CF3EBB"/>
    <w:rsid w:val="00CF4138"/>
    <w:rsid w:val="00CF439C"/>
    <w:rsid w:val="00CF4B16"/>
    <w:rsid w:val="00CF5539"/>
    <w:rsid w:val="00CF634E"/>
    <w:rsid w:val="00CF63BF"/>
    <w:rsid w:val="00CF6754"/>
    <w:rsid w:val="00CF768E"/>
    <w:rsid w:val="00D002FC"/>
    <w:rsid w:val="00D01E81"/>
    <w:rsid w:val="00D01F78"/>
    <w:rsid w:val="00D01FAC"/>
    <w:rsid w:val="00D0228D"/>
    <w:rsid w:val="00D02E9F"/>
    <w:rsid w:val="00D03633"/>
    <w:rsid w:val="00D03C39"/>
    <w:rsid w:val="00D04137"/>
    <w:rsid w:val="00D04674"/>
    <w:rsid w:val="00D05066"/>
    <w:rsid w:val="00D065A9"/>
    <w:rsid w:val="00D06AE0"/>
    <w:rsid w:val="00D06D0A"/>
    <w:rsid w:val="00D070D7"/>
    <w:rsid w:val="00D07439"/>
    <w:rsid w:val="00D0799B"/>
    <w:rsid w:val="00D07A1B"/>
    <w:rsid w:val="00D10D00"/>
    <w:rsid w:val="00D10FF4"/>
    <w:rsid w:val="00D11349"/>
    <w:rsid w:val="00D1134B"/>
    <w:rsid w:val="00D1169D"/>
    <w:rsid w:val="00D11888"/>
    <w:rsid w:val="00D12883"/>
    <w:rsid w:val="00D12D6C"/>
    <w:rsid w:val="00D12F97"/>
    <w:rsid w:val="00D13FAB"/>
    <w:rsid w:val="00D14582"/>
    <w:rsid w:val="00D14B21"/>
    <w:rsid w:val="00D1539E"/>
    <w:rsid w:val="00D15858"/>
    <w:rsid w:val="00D15ABB"/>
    <w:rsid w:val="00D15E54"/>
    <w:rsid w:val="00D16299"/>
    <w:rsid w:val="00D162B0"/>
    <w:rsid w:val="00D16C41"/>
    <w:rsid w:val="00D2095A"/>
    <w:rsid w:val="00D209B8"/>
    <w:rsid w:val="00D20BFA"/>
    <w:rsid w:val="00D20CB3"/>
    <w:rsid w:val="00D20D54"/>
    <w:rsid w:val="00D210F8"/>
    <w:rsid w:val="00D211D9"/>
    <w:rsid w:val="00D2131F"/>
    <w:rsid w:val="00D21D95"/>
    <w:rsid w:val="00D21DA2"/>
    <w:rsid w:val="00D2250C"/>
    <w:rsid w:val="00D22F94"/>
    <w:rsid w:val="00D2345D"/>
    <w:rsid w:val="00D23567"/>
    <w:rsid w:val="00D23785"/>
    <w:rsid w:val="00D23A91"/>
    <w:rsid w:val="00D24291"/>
    <w:rsid w:val="00D2456B"/>
    <w:rsid w:val="00D25889"/>
    <w:rsid w:val="00D25C75"/>
    <w:rsid w:val="00D25FCD"/>
    <w:rsid w:val="00D275B4"/>
    <w:rsid w:val="00D27E50"/>
    <w:rsid w:val="00D27F0D"/>
    <w:rsid w:val="00D27FBF"/>
    <w:rsid w:val="00D31472"/>
    <w:rsid w:val="00D31A13"/>
    <w:rsid w:val="00D31A84"/>
    <w:rsid w:val="00D32BCF"/>
    <w:rsid w:val="00D32D94"/>
    <w:rsid w:val="00D330A7"/>
    <w:rsid w:val="00D3350E"/>
    <w:rsid w:val="00D340AA"/>
    <w:rsid w:val="00D34786"/>
    <w:rsid w:val="00D34C1A"/>
    <w:rsid w:val="00D35609"/>
    <w:rsid w:val="00D35A0A"/>
    <w:rsid w:val="00D35A72"/>
    <w:rsid w:val="00D35CFB"/>
    <w:rsid w:val="00D36696"/>
    <w:rsid w:val="00D36A2C"/>
    <w:rsid w:val="00D37539"/>
    <w:rsid w:val="00D37557"/>
    <w:rsid w:val="00D4040F"/>
    <w:rsid w:val="00D40A1E"/>
    <w:rsid w:val="00D41308"/>
    <w:rsid w:val="00D41D03"/>
    <w:rsid w:val="00D42007"/>
    <w:rsid w:val="00D42A76"/>
    <w:rsid w:val="00D42BAB"/>
    <w:rsid w:val="00D43C78"/>
    <w:rsid w:val="00D43D02"/>
    <w:rsid w:val="00D443A5"/>
    <w:rsid w:val="00D44A80"/>
    <w:rsid w:val="00D44B04"/>
    <w:rsid w:val="00D44BDF"/>
    <w:rsid w:val="00D45150"/>
    <w:rsid w:val="00D45500"/>
    <w:rsid w:val="00D4662C"/>
    <w:rsid w:val="00D46CDC"/>
    <w:rsid w:val="00D46FBE"/>
    <w:rsid w:val="00D47631"/>
    <w:rsid w:val="00D47E97"/>
    <w:rsid w:val="00D47F4D"/>
    <w:rsid w:val="00D5025B"/>
    <w:rsid w:val="00D50AFF"/>
    <w:rsid w:val="00D50CBE"/>
    <w:rsid w:val="00D512DC"/>
    <w:rsid w:val="00D523C3"/>
    <w:rsid w:val="00D52434"/>
    <w:rsid w:val="00D52B5B"/>
    <w:rsid w:val="00D52C14"/>
    <w:rsid w:val="00D537DA"/>
    <w:rsid w:val="00D53960"/>
    <w:rsid w:val="00D539A6"/>
    <w:rsid w:val="00D53F3D"/>
    <w:rsid w:val="00D54537"/>
    <w:rsid w:val="00D54FD9"/>
    <w:rsid w:val="00D558C4"/>
    <w:rsid w:val="00D55D01"/>
    <w:rsid w:val="00D55EC8"/>
    <w:rsid w:val="00D568A0"/>
    <w:rsid w:val="00D56E33"/>
    <w:rsid w:val="00D57019"/>
    <w:rsid w:val="00D57833"/>
    <w:rsid w:val="00D606AC"/>
    <w:rsid w:val="00D6092C"/>
    <w:rsid w:val="00D60BBD"/>
    <w:rsid w:val="00D60D42"/>
    <w:rsid w:val="00D61163"/>
    <w:rsid w:val="00D611FB"/>
    <w:rsid w:val="00D6144B"/>
    <w:rsid w:val="00D620D2"/>
    <w:rsid w:val="00D62108"/>
    <w:rsid w:val="00D6211E"/>
    <w:rsid w:val="00D62894"/>
    <w:rsid w:val="00D62BD0"/>
    <w:rsid w:val="00D62F66"/>
    <w:rsid w:val="00D62FB8"/>
    <w:rsid w:val="00D63033"/>
    <w:rsid w:val="00D63233"/>
    <w:rsid w:val="00D64AAD"/>
    <w:rsid w:val="00D65E4F"/>
    <w:rsid w:val="00D6603B"/>
    <w:rsid w:val="00D66F60"/>
    <w:rsid w:val="00D671D3"/>
    <w:rsid w:val="00D677D5"/>
    <w:rsid w:val="00D70778"/>
    <w:rsid w:val="00D70D74"/>
    <w:rsid w:val="00D70EFB"/>
    <w:rsid w:val="00D712D3"/>
    <w:rsid w:val="00D71422"/>
    <w:rsid w:val="00D7145E"/>
    <w:rsid w:val="00D72789"/>
    <w:rsid w:val="00D72985"/>
    <w:rsid w:val="00D73376"/>
    <w:rsid w:val="00D73D78"/>
    <w:rsid w:val="00D73E27"/>
    <w:rsid w:val="00D74A1F"/>
    <w:rsid w:val="00D74B5B"/>
    <w:rsid w:val="00D74C93"/>
    <w:rsid w:val="00D74E82"/>
    <w:rsid w:val="00D74F68"/>
    <w:rsid w:val="00D7514B"/>
    <w:rsid w:val="00D7558D"/>
    <w:rsid w:val="00D76232"/>
    <w:rsid w:val="00D7649A"/>
    <w:rsid w:val="00D76A3D"/>
    <w:rsid w:val="00D7762E"/>
    <w:rsid w:val="00D77A99"/>
    <w:rsid w:val="00D77B2C"/>
    <w:rsid w:val="00D77BCE"/>
    <w:rsid w:val="00D80250"/>
    <w:rsid w:val="00D80440"/>
    <w:rsid w:val="00D80C85"/>
    <w:rsid w:val="00D811FF"/>
    <w:rsid w:val="00D81C90"/>
    <w:rsid w:val="00D81D92"/>
    <w:rsid w:val="00D81F73"/>
    <w:rsid w:val="00D826A0"/>
    <w:rsid w:val="00D82760"/>
    <w:rsid w:val="00D82876"/>
    <w:rsid w:val="00D82EA8"/>
    <w:rsid w:val="00D838BE"/>
    <w:rsid w:val="00D83DD3"/>
    <w:rsid w:val="00D83FFE"/>
    <w:rsid w:val="00D86110"/>
    <w:rsid w:val="00D86402"/>
    <w:rsid w:val="00D86569"/>
    <w:rsid w:val="00D865A2"/>
    <w:rsid w:val="00D87416"/>
    <w:rsid w:val="00D8763F"/>
    <w:rsid w:val="00D876B2"/>
    <w:rsid w:val="00D877E9"/>
    <w:rsid w:val="00D878CA"/>
    <w:rsid w:val="00D9040B"/>
    <w:rsid w:val="00D9087A"/>
    <w:rsid w:val="00D91047"/>
    <w:rsid w:val="00D912A6"/>
    <w:rsid w:val="00D9141D"/>
    <w:rsid w:val="00D915AB"/>
    <w:rsid w:val="00D91B1E"/>
    <w:rsid w:val="00D91D59"/>
    <w:rsid w:val="00D92374"/>
    <w:rsid w:val="00D93446"/>
    <w:rsid w:val="00D9382D"/>
    <w:rsid w:val="00D946AA"/>
    <w:rsid w:val="00D94D1C"/>
    <w:rsid w:val="00D94F44"/>
    <w:rsid w:val="00D9539C"/>
    <w:rsid w:val="00D95402"/>
    <w:rsid w:val="00D96245"/>
    <w:rsid w:val="00D9657F"/>
    <w:rsid w:val="00D975F8"/>
    <w:rsid w:val="00D978E5"/>
    <w:rsid w:val="00DA062D"/>
    <w:rsid w:val="00DA1520"/>
    <w:rsid w:val="00DA1F9E"/>
    <w:rsid w:val="00DA21AB"/>
    <w:rsid w:val="00DA249D"/>
    <w:rsid w:val="00DA2A7C"/>
    <w:rsid w:val="00DA3005"/>
    <w:rsid w:val="00DA300A"/>
    <w:rsid w:val="00DA36AE"/>
    <w:rsid w:val="00DA3E52"/>
    <w:rsid w:val="00DA40CF"/>
    <w:rsid w:val="00DA4E4E"/>
    <w:rsid w:val="00DA5DEA"/>
    <w:rsid w:val="00DA5ECF"/>
    <w:rsid w:val="00DA6812"/>
    <w:rsid w:val="00DA6AB3"/>
    <w:rsid w:val="00DA7151"/>
    <w:rsid w:val="00DA755B"/>
    <w:rsid w:val="00DA77AA"/>
    <w:rsid w:val="00DA7982"/>
    <w:rsid w:val="00DA79D0"/>
    <w:rsid w:val="00DA7B5F"/>
    <w:rsid w:val="00DB18A8"/>
    <w:rsid w:val="00DB1D14"/>
    <w:rsid w:val="00DB3050"/>
    <w:rsid w:val="00DB30EC"/>
    <w:rsid w:val="00DB3374"/>
    <w:rsid w:val="00DB3ED4"/>
    <w:rsid w:val="00DB4A1E"/>
    <w:rsid w:val="00DB4D80"/>
    <w:rsid w:val="00DB5C3C"/>
    <w:rsid w:val="00DB6682"/>
    <w:rsid w:val="00DB6C6C"/>
    <w:rsid w:val="00DC043A"/>
    <w:rsid w:val="00DC07A4"/>
    <w:rsid w:val="00DC12A5"/>
    <w:rsid w:val="00DC174D"/>
    <w:rsid w:val="00DC190C"/>
    <w:rsid w:val="00DC2858"/>
    <w:rsid w:val="00DC28C0"/>
    <w:rsid w:val="00DC28DD"/>
    <w:rsid w:val="00DC2FF2"/>
    <w:rsid w:val="00DC3121"/>
    <w:rsid w:val="00DC4238"/>
    <w:rsid w:val="00DC42BF"/>
    <w:rsid w:val="00DC4839"/>
    <w:rsid w:val="00DC5FD6"/>
    <w:rsid w:val="00DC6453"/>
    <w:rsid w:val="00DC6D2C"/>
    <w:rsid w:val="00DC7597"/>
    <w:rsid w:val="00DC7693"/>
    <w:rsid w:val="00DC7C8C"/>
    <w:rsid w:val="00DD045E"/>
    <w:rsid w:val="00DD1E65"/>
    <w:rsid w:val="00DD2032"/>
    <w:rsid w:val="00DD2635"/>
    <w:rsid w:val="00DD2BE4"/>
    <w:rsid w:val="00DD2C54"/>
    <w:rsid w:val="00DD3FE1"/>
    <w:rsid w:val="00DD4B5B"/>
    <w:rsid w:val="00DD5501"/>
    <w:rsid w:val="00DD6D8F"/>
    <w:rsid w:val="00DD6DEF"/>
    <w:rsid w:val="00DD6E25"/>
    <w:rsid w:val="00DD6F04"/>
    <w:rsid w:val="00DD759E"/>
    <w:rsid w:val="00DD7F29"/>
    <w:rsid w:val="00DE01CB"/>
    <w:rsid w:val="00DE0266"/>
    <w:rsid w:val="00DE0893"/>
    <w:rsid w:val="00DE1546"/>
    <w:rsid w:val="00DE16C3"/>
    <w:rsid w:val="00DE181C"/>
    <w:rsid w:val="00DE26A2"/>
    <w:rsid w:val="00DE2792"/>
    <w:rsid w:val="00DE3B4F"/>
    <w:rsid w:val="00DE3E14"/>
    <w:rsid w:val="00DE6249"/>
    <w:rsid w:val="00DE62F2"/>
    <w:rsid w:val="00DE735D"/>
    <w:rsid w:val="00DE7417"/>
    <w:rsid w:val="00DE783D"/>
    <w:rsid w:val="00DE7D2E"/>
    <w:rsid w:val="00DF1CDD"/>
    <w:rsid w:val="00DF1DF9"/>
    <w:rsid w:val="00DF2FDC"/>
    <w:rsid w:val="00DF3130"/>
    <w:rsid w:val="00DF3A3C"/>
    <w:rsid w:val="00DF42A0"/>
    <w:rsid w:val="00DF472F"/>
    <w:rsid w:val="00DF4BDE"/>
    <w:rsid w:val="00DF5077"/>
    <w:rsid w:val="00DF56EC"/>
    <w:rsid w:val="00DF7793"/>
    <w:rsid w:val="00E0059C"/>
    <w:rsid w:val="00E01798"/>
    <w:rsid w:val="00E018BA"/>
    <w:rsid w:val="00E01B40"/>
    <w:rsid w:val="00E02360"/>
    <w:rsid w:val="00E023DF"/>
    <w:rsid w:val="00E04CC5"/>
    <w:rsid w:val="00E052B0"/>
    <w:rsid w:val="00E05E02"/>
    <w:rsid w:val="00E06730"/>
    <w:rsid w:val="00E067A6"/>
    <w:rsid w:val="00E068E0"/>
    <w:rsid w:val="00E06B5A"/>
    <w:rsid w:val="00E06BAE"/>
    <w:rsid w:val="00E06D84"/>
    <w:rsid w:val="00E06DDE"/>
    <w:rsid w:val="00E0702F"/>
    <w:rsid w:val="00E070DA"/>
    <w:rsid w:val="00E07187"/>
    <w:rsid w:val="00E0734B"/>
    <w:rsid w:val="00E0740A"/>
    <w:rsid w:val="00E07618"/>
    <w:rsid w:val="00E078E6"/>
    <w:rsid w:val="00E079D8"/>
    <w:rsid w:val="00E11392"/>
    <w:rsid w:val="00E114A7"/>
    <w:rsid w:val="00E121DA"/>
    <w:rsid w:val="00E137B4"/>
    <w:rsid w:val="00E13D70"/>
    <w:rsid w:val="00E1451D"/>
    <w:rsid w:val="00E15130"/>
    <w:rsid w:val="00E15217"/>
    <w:rsid w:val="00E1542D"/>
    <w:rsid w:val="00E1578C"/>
    <w:rsid w:val="00E15F82"/>
    <w:rsid w:val="00E15FBA"/>
    <w:rsid w:val="00E16F9D"/>
    <w:rsid w:val="00E17683"/>
    <w:rsid w:val="00E2121C"/>
    <w:rsid w:val="00E215EF"/>
    <w:rsid w:val="00E22278"/>
    <w:rsid w:val="00E2284A"/>
    <w:rsid w:val="00E230FD"/>
    <w:rsid w:val="00E236F1"/>
    <w:rsid w:val="00E2398E"/>
    <w:rsid w:val="00E23A98"/>
    <w:rsid w:val="00E2586D"/>
    <w:rsid w:val="00E25A41"/>
    <w:rsid w:val="00E25BE4"/>
    <w:rsid w:val="00E2673A"/>
    <w:rsid w:val="00E26AC8"/>
    <w:rsid w:val="00E26F97"/>
    <w:rsid w:val="00E26FCD"/>
    <w:rsid w:val="00E272A4"/>
    <w:rsid w:val="00E27AA4"/>
    <w:rsid w:val="00E30281"/>
    <w:rsid w:val="00E30994"/>
    <w:rsid w:val="00E314FA"/>
    <w:rsid w:val="00E31AAE"/>
    <w:rsid w:val="00E32FE3"/>
    <w:rsid w:val="00E3317B"/>
    <w:rsid w:val="00E337D9"/>
    <w:rsid w:val="00E3386F"/>
    <w:rsid w:val="00E33E64"/>
    <w:rsid w:val="00E3533B"/>
    <w:rsid w:val="00E3622A"/>
    <w:rsid w:val="00E364C4"/>
    <w:rsid w:val="00E37292"/>
    <w:rsid w:val="00E3757F"/>
    <w:rsid w:val="00E377C8"/>
    <w:rsid w:val="00E37980"/>
    <w:rsid w:val="00E40AEA"/>
    <w:rsid w:val="00E41133"/>
    <w:rsid w:val="00E412F2"/>
    <w:rsid w:val="00E41E9F"/>
    <w:rsid w:val="00E42994"/>
    <w:rsid w:val="00E42C74"/>
    <w:rsid w:val="00E43157"/>
    <w:rsid w:val="00E43212"/>
    <w:rsid w:val="00E4390D"/>
    <w:rsid w:val="00E43C54"/>
    <w:rsid w:val="00E43C96"/>
    <w:rsid w:val="00E43E39"/>
    <w:rsid w:val="00E44853"/>
    <w:rsid w:val="00E44961"/>
    <w:rsid w:val="00E45D29"/>
    <w:rsid w:val="00E461F9"/>
    <w:rsid w:val="00E46307"/>
    <w:rsid w:val="00E477E8"/>
    <w:rsid w:val="00E4781D"/>
    <w:rsid w:val="00E47E00"/>
    <w:rsid w:val="00E50136"/>
    <w:rsid w:val="00E51067"/>
    <w:rsid w:val="00E52427"/>
    <w:rsid w:val="00E524D4"/>
    <w:rsid w:val="00E533FF"/>
    <w:rsid w:val="00E53BD8"/>
    <w:rsid w:val="00E53DC6"/>
    <w:rsid w:val="00E53E5E"/>
    <w:rsid w:val="00E54100"/>
    <w:rsid w:val="00E54BF5"/>
    <w:rsid w:val="00E54CE4"/>
    <w:rsid w:val="00E54EF8"/>
    <w:rsid w:val="00E56125"/>
    <w:rsid w:val="00E56477"/>
    <w:rsid w:val="00E56D15"/>
    <w:rsid w:val="00E56EB8"/>
    <w:rsid w:val="00E57833"/>
    <w:rsid w:val="00E57AC6"/>
    <w:rsid w:val="00E57B6B"/>
    <w:rsid w:val="00E57D5D"/>
    <w:rsid w:val="00E57ECF"/>
    <w:rsid w:val="00E608CA"/>
    <w:rsid w:val="00E61067"/>
    <w:rsid w:val="00E61DC3"/>
    <w:rsid w:val="00E61FC3"/>
    <w:rsid w:val="00E62965"/>
    <w:rsid w:val="00E62BF1"/>
    <w:rsid w:val="00E6356C"/>
    <w:rsid w:val="00E6364D"/>
    <w:rsid w:val="00E63B98"/>
    <w:rsid w:val="00E64645"/>
    <w:rsid w:val="00E64863"/>
    <w:rsid w:val="00E648F3"/>
    <w:rsid w:val="00E64AF6"/>
    <w:rsid w:val="00E64E6F"/>
    <w:rsid w:val="00E64FF5"/>
    <w:rsid w:val="00E654A2"/>
    <w:rsid w:val="00E65CB4"/>
    <w:rsid w:val="00E661FD"/>
    <w:rsid w:val="00E6703B"/>
    <w:rsid w:val="00E6788B"/>
    <w:rsid w:val="00E67CBA"/>
    <w:rsid w:val="00E67E23"/>
    <w:rsid w:val="00E709B3"/>
    <w:rsid w:val="00E70B54"/>
    <w:rsid w:val="00E711AB"/>
    <w:rsid w:val="00E7126F"/>
    <w:rsid w:val="00E71410"/>
    <w:rsid w:val="00E7193A"/>
    <w:rsid w:val="00E71E57"/>
    <w:rsid w:val="00E71E89"/>
    <w:rsid w:val="00E71FD7"/>
    <w:rsid w:val="00E72FFF"/>
    <w:rsid w:val="00E74123"/>
    <w:rsid w:val="00E74177"/>
    <w:rsid w:val="00E74D7C"/>
    <w:rsid w:val="00E75229"/>
    <w:rsid w:val="00E753FA"/>
    <w:rsid w:val="00E75440"/>
    <w:rsid w:val="00E75F13"/>
    <w:rsid w:val="00E7676B"/>
    <w:rsid w:val="00E767BD"/>
    <w:rsid w:val="00E76C84"/>
    <w:rsid w:val="00E76CBC"/>
    <w:rsid w:val="00E7739E"/>
    <w:rsid w:val="00E774E4"/>
    <w:rsid w:val="00E807AA"/>
    <w:rsid w:val="00E80E83"/>
    <w:rsid w:val="00E81771"/>
    <w:rsid w:val="00E81A3E"/>
    <w:rsid w:val="00E82CCD"/>
    <w:rsid w:val="00E82F32"/>
    <w:rsid w:val="00E830CC"/>
    <w:rsid w:val="00E833E9"/>
    <w:rsid w:val="00E833FA"/>
    <w:rsid w:val="00E83848"/>
    <w:rsid w:val="00E85038"/>
    <w:rsid w:val="00E855B5"/>
    <w:rsid w:val="00E8617F"/>
    <w:rsid w:val="00E86541"/>
    <w:rsid w:val="00E86761"/>
    <w:rsid w:val="00E86ABD"/>
    <w:rsid w:val="00E86BEA"/>
    <w:rsid w:val="00E86DAF"/>
    <w:rsid w:val="00E86E84"/>
    <w:rsid w:val="00E86EAF"/>
    <w:rsid w:val="00E87515"/>
    <w:rsid w:val="00E8789F"/>
    <w:rsid w:val="00E90530"/>
    <w:rsid w:val="00E9068B"/>
    <w:rsid w:val="00E908CF"/>
    <w:rsid w:val="00E91BE2"/>
    <w:rsid w:val="00E920D0"/>
    <w:rsid w:val="00E92215"/>
    <w:rsid w:val="00E92993"/>
    <w:rsid w:val="00E92E80"/>
    <w:rsid w:val="00E9316D"/>
    <w:rsid w:val="00E93BDB"/>
    <w:rsid w:val="00E94203"/>
    <w:rsid w:val="00E94D19"/>
    <w:rsid w:val="00E94E3D"/>
    <w:rsid w:val="00E961D0"/>
    <w:rsid w:val="00E96942"/>
    <w:rsid w:val="00E978C5"/>
    <w:rsid w:val="00E97B71"/>
    <w:rsid w:val="00EA01E7"/>
    <w:rsid w:val="00EA077D"/>
    <w:rsid w:val="00EA0836"/>
    <w:rsid w:val="00EA0FBB"/>
    <w:rsid w:val="00EA1283"/>
    <w:rsid w:val="00EA1D9B"/>
    <w:rsid w:val="00EA26BA"/>
    <w:rsid w:val="00EA27CF"/>
    <w:rsid w:val="00EA48EC"/>
    <w:rsid w:val="00EA4EB1"/>
    <w:rsid w:val="00EA4F82"/>
    <w:rsid w:val="00EA5A04"/>
    <w:rsid w:val="00EA5FE2"/>
    <w:rsid w:val="00EA603E"/>
    <w:rsid w:val="00EA6A6E"/>
    <w:rsid w:val="00EA70E0"/>
    <w:rsid w:val="00EA7131"/>
    <w:rsid w:val="00EA7448"/>
    <w:rsid w:val="00EA78CC"/>
    <w:rsid w:val="00EA7F95"/>
    <w:rsid w:val="00EB01F4"/>
    <w:rsid w:val="00EB0252"/>
    <w:rsid w:val="00EB15FF"/>
    <w:rsid w:val="00EB18F6"/>
    <w:rsid w:val="00EB1CAE"/>
    <w:rsid w:val="00EB1D83"/>
    <w:rsid w:val="00EB21A5"/>
    <w:rsid w:val="00EB24D7"/>
    <w:rsid w:val="00EB2ED9"/>
    <w:rsid w:val="00EB315A"/>
    <w:rsid w:val="00EB394F"/>
    <w:rsid w:val="00EB4080"/>
    <w:rsid w:val="00EB4249"/>
    <w:rsid w:val="00EB454D"/>
    <w:rsid w:val="00EB454F"/>
    <w:rsid w:val="00EB4B7E"/>
    <w:rsid w:val="00EB51DC"/>
    <w:rsid w:val="00EB51EA"/>
    <w:rsid w:val="00EB55C1"/>
    <w:rsid w:val="00EB6170"/>
    <w:rsid w:val="00EB62D9"/>
    <w:rsid w:val="00EB696C"/>
    <w:rsid w:val="00EB6B06"/>
    <w:rsid w:val="00EB7A72"/>
    <w:rsid w:val="00EB7F0A"/>
    <w:rsid w:val="00EC0BA4"/>
    <w:rsid w:val="00EC112E"/>
    <w:rsid w:val="00EC1674"/>
    <w:rsid w:val="00EC192C"/>
    <w:rsid w:val="00EC20C2"/>
    <w:rsid w:val="00EC2AAD"/>
    <w:rsid w:val="00EC311A"/>
    <w:rsid w:val="00EC31F9"/>
    <w:rsid w:val="00EC36F6"/>
    <w:rsid w:val="00EC437D"/>
    <w:rsid w:val="00EC440C"/>
    <w:rsid w:val="00EC45C1"/>
    <w:rsid w:val="00EC5123"/>
    <w:rsid w:val="00EC514D"/>
    <w:rsid w:val="00EC5570"/>
    <w:rsid w:val="00EC55EA"/>
    <w:rsid w:val="00EC59D9"/>
    <w:rsid w:val="00EC68B2"/>
    <w:rsid w:val="00EC6931"/>
    <w:rsid w:val="00EC6F2B"/>
    <w:rsid w:val="00EC714E"/>
    <w:rsid w:val="00EC74EB"/>
    <w:rsid w:val="00EC7B4D"/>
    <w:rsid w:val="00EC7C31"/>
    <w:rsid w:val="00EC7F2E"/>
    <w:rsid w:val="00ED0268"/>
    <w:rsid w:val="00ED03BE"/>
    <w:rsid w:val="00ED04F8"/>
    <w:rsid w:val="00ED0E31"/>
    <w:rsid w:val="00ED0F40"/>
    <w:rsid w:val="00ED1405"/>
    <w:rsid w:val="00ED144B"/>
    <w:rsid w:val="00ED147C"/>
    <w:rsid w:val="00ED18FD"/>
    <w:rsid w:val="00ED19E9"/>
    <w:rsid w:val="00ED2D1D"/>
    <w:rsid w:val="00ED3A8E"/>
    <w:rsid w:val="00ED3AB2"/>
    <w:rsid w:val="00ED52B0"/>
    <w:rsid w:val="00ED56AB"/>
    <w:rsid w:val="00ED5BE1"/>
    <w:rsid w:val="00ED7CC1"/>
    <w:rsid w:val="00EE04C1"/>
    <w:rsid w:val="00EE0ACC"/>
    <w:rsid w:val="00EE0BA9"/>
    <w:rsid w:val="00EE0D3E"/>
    <w:rsid w:val="00EE0F6B"/>
    <w:rsid w:val="00EE140F"/>
    <w:rsid w:val="00EE22E3"/>
    <w:rsid w:val="00EE2931"/>
    <w:rsid w:val="00EE2BD2"/>
    <w:rsid w:val="00EE3522"/>
    <w:rsid w:val="00EE36D7"/>
    <w:rsid w:val="00EE39AD"/>
    <w:rsid w:val="00EE4E4B"/>
    <w:rsid w:val="00EE504E"/>
    <w:rsid w:val="00EE5C5E"/>
    <w:rsid w:val="00EE5D7E"/>
    <w:rsid w:val="00EE5E58"/>
    <w:rsid w:val="00EE61AB"/>
    <w:rsid w:val="00EE7718"/>
    <w:rsid w:val="00EF04A0"/>
    <w:rsid w:val="00EF0CEF"/>
    <w:rsid w:val="00EF1B3F"/>
    <w:rsid w:val="00EF2493"/>
    <w:rsid w:val="00EF2BCD"/>
    <w:rsid w:val="00EF36AC"/>
    <w:rsid w:val="00EF4804"/>
    <w:rsid w:val="00EF49F0"/>
    <w:rsid w:val="00EF4C4E"/>
    <w:rsid w:val="00EF4EC3"/>
    <w:rsid w:val="00EF56CE"/>
    <w:rsid w:val="00EF5839"/>
    <w:rsid w:val="00EF5AA9"/>
    <w:rsid w:val="00EF619B"/>
    <w:rsid w:val="00EF620A"/>
    <w:rsid w:val="00EF6972"/>
    <w:rsid w:val="00EF7231"/>
    <w:rsid w:val="00EF78C3"/>
    <w:rsid w:val="00F001CA"/>
    <w:rsid w:val="00F005EE"/>
    <w:rsid w:val="00F00B55"/>
    <w:rsid w:val="00F0235E"/>
    <w:rsid w:val="00F02586"/>
    <w:rsid w:val="00F04AFE"/>
    <w:rsid w:val="00F059CF"/>
    <w:rsid w:val="00F06961"/>
    <w:rsid w:val="00F1005F"/>
    <w:rsid w:val="00F10CE6"/>
    <w:rsid w:val="00F11242"/>
    <w:rsid w:val="00F1129E"/>
    <w:rsid w:val="00F1188B"/>
    <w:rsid w:val="00F11EF1"/>
    <w:rsid w:val="00F1380F"/>
    <w:rsid w:val="00F14F0E"/>
    <w:rsid w:val="00F14F98"/>
    <w:rsid w:val="00F15799"/>
    <w:rsid w:val="00F15B6A"/>
    <w:rsid w:val="00F16AD4"/>
    <w:rsid w:val="00F16F8E"/>
    <w:rsid w:val="00F175ED"/>
    <w:rsid w:val="00F1763D"/>
    <w:rsid w:val="00F17799"/>
    <w:rsid w:val="00F17D5E"/>
    <w:rsid w:val="00F20236"/>
    <w:rsid w:val="00F2059E"/>
    <w:rsid w:val="00F20D2B"/>
    <w:rsid w:val="00F21553"/>
    <w:rsid w:val="00F21703"/>
    <w:rsid w:val="00F227E6"/>
    <w:rsid w:val="00F2328B"/>
    <w:rsid w:val="00F24C29"/>
    <w:rsid w:val="00F253CC"/>
    <w:rsid w:val="00F25C31"/>
    <w:rsid w:val="00F267BE"/>
    <w:rsid w:val="00F267E4"/>
    <w:rsid w:val="00F26B0B"/>
    <w:rsid w:val="00F27458"/>
    <w:rsid w:val="00F277DB"/>
    <w:rsid w:val="00F27ACD"/>
    <w:rsid w:val="00F27CD8"/>
    <w:rsid w:val="00F27CFD"/>
    <w:rsid w:val="00F27F00"/>
    <w:rsid w:val="00F311E2"/>
    <w:rsid w:val="00F31814"/>
    <w:rsid w:val="00F32262"/>
    <w:rsid w:val="00F3282B"/>
    <w:rsid w:val="00F3379A"/>
    <w:rsid w:val="00F34265"/>
    <w:rsid w:val="00F345AF"/>
    <w:rsid w:val="00F352AF"/>
    <w:rsid w:val="00F35C2A"/>
    <w:rsid w:val="00F35E2A"/>
    <w:rsid w:val="00F36C33"/>
    <w:rsid w:val="00F36D40"/>
    <w:rsid w:val="00F36F27"/>
    <w:rsid w:val="00F37481"/>
    <w:rsid w:val="00F377BE"/>
    <w:rsid w:val="00F37F99"/>
    <w:rsid w:val="00F40B92"/>
    <w:rsid w:val="00F40F3F"/>
    <w:rsid w:val="00F4139C"/>
    <w:rsid w:val="00F41A44"/>
    <w:rsid w:val="00F41F32"/>
    <w:rsid w:val="00F427D9"/>
    <w:rsid w:val="00F427E6"/>
    <w:rsid w:val="00F4316F"/>
    <w:rsid w:val="00F434F9"/>
    <w:rsid w:val="00F435AC"/>
    <w:rsid w:val="00F438CD"/>
    <w:rsid w:val="00F441B9"/>
    <w:rsid w:val="00F45EBF"/>
    <w:rsid w:val="00F46107"/>
    <w:rsid w:val="00F46498"/>
    <w:rsid w:val="00F4796B"/>
    <w:rsid w:val="00F503B5"/>
    <w:rsid w:val="00F50844"/>
    <w:rsid w:val="00F50CCD"/>
    <w:rsid w:val="00F516D3"/>
    <w:rsid w:val="00F51F0D"/>
    <w:rsid w:val="00F51F28"/>
    <w:rsid w:val="00F545AC"/>
    <w:rsid w:val="00F547B5"/>
    <w:rsid w:val="00F54873"/>
    <w:rsid w:val="00F548A6"/>
    <w:rsid w:val="00F5497B"/>
    <w:rsid w:val="00F54F56"/>
    <w:rsid w:val="00F55507"/>
    <w:rsid w:val="00F55AB7"/>
    <w:rsid w:val="00F55F3B"/>
    <w:rsid w:val="00F55FC4"/>
    <w:rsid w:val="00F566C6"/>
    <w:rsid w:val="00F5694D"/>
    <w:rsid w:val="00F56A40"/>
    <w:rsid w:val="00F56BA5"/>
    <w:rsid w:val="00F56BE1"/>
    <w:rsid w:val="00F56D59"/>
    <w:rsid w:val="00F56EC5"/>
    <w:rsid w:val="00F56F31"/>
    <w:rsid w:val="00F57538"/>
    <w:rsid w:val="00F57731"/>
    <w:rsid w:val="00F6022A"/>
    <w:rsid w:val="00F60E01"/>
    <w:rsid w:val="00F6108F"/>
    <w:rsid w:val="00F61379"/>
    <w:rsid w:val="00F6140C"/>
    <w:rsid w:val="00F6160F"/>
    <w:rsid w:val="00F61B4C"/>
    <w:rsid w:val="00F61BE4"/>
    <w:rsid w:val="00F62179"/>
    <w:rsid w:val="00F6255A"/>
    <w:rsid w:val="00F629C7"/>
    <w:rsid w:val="00F62C42"/>
    <w:rsid w:val="00F6351B"/>
    <w:rsid w:val="00F637BF"/>
    <w:rsid w:val="00F644E6"/>
    <w:rsid w:val="00F652F0"/>
    <w:rsid w:val="00F6589A"/>
    <w:rsid w:val="00F6657C"/>
    <w:rsid w:val="00F666B5"/>
    <w:rsid w:val="00F66BDC"/>
    <w:rsid w:val="00F70342"/>
    <w:rsid w:val="00F703D1"/>
    <w:rsid w:val="00F7144F"/>
    <w:rsid w:val="00F71643"/>
    <w:rsid w:val="00F71982"/>
    <w:rsid w:val="00F71F53"/>
    <w:rsid w:val="00F724F3"/>
    <w:rsid w:val="00F725D1"/>
    <w:rsid w:val="00F72B58"/>
    <w:rsid w:val="00F737D9"/>
    <w:rsid w:val="00F7392C"/>
    <w:rsid w:val="00F746CA"/>
    <w:rsid w:val="00F74834"/>
    <w:rsid w:val="00F74B0B"/>
    <w:rsid w:val="00F74F0B"/>
    <w:rsid w:val="00F769C7"/>
    <w:rsid w:val="00F7730A"/>
    <w:rsid w:val="00F7784C"/>
    <w:rsid w:val="00F77995"/>
    <w:rsid w:val="00F77BFA"/>
    <w:rsid w:val="00F77E6F"/>
    <w:rsid w:val="00F810EB"/>
    <w:rsid w:val="00F820EF"/>
    <w:rsid w:val="00F8244B"/>
    <w:rsid w:val="00F82683"/>
    <w:rsid w:val="00F82B9D"/>
    <w:rsid w:val="00F83D11"/>
    <w:rsid w:val="00F849BF"/>
    <w:rsid w:val="00F84B63"/>
    <w:rsid w:val="00F857F6"/>
    <w:rsid w:val="00F867F6"/>
    <w:rsid w:val="00F86E36"/>
    <w:rsid w:val="00F86EE8"/>
    <w:rsid w:val="00F87A9A"/>
    <w:rsid w:val="00F902BF"/>
    <w:rsid w:val="00F91540"/>
    <w:rsid w:val="00F916AC"/>
    <w:rsid w:val="00F929C3"/>
    <w:rsid w:val="00F92CA1"/>
    <w:rsid w:val="00F93826"/>
    <w:rsid w:val="00F9491E"/>
    <w:rsid w:val="00F94D4F"/>
    <w:rsid w:val="00F9653B"/>
    <w:rsid w:val="00F968E0"/>
    <w:rsid w:val="00F968E5"/>
    <w:rsid w:val="00F96DEE"/>
    <w:rsid w:val="00F977ED"/>
    <w:rsid w:val="00F97B89"/>
    <w:rsid w:val="00F97D53"/>
    <w:rsid w:val="00FA01C8"/>
    <w:rsid w:val="00FA081A"/>
    <w:rsid w:val="00FA083B"/>
    <w:rsid w:val="00FA1759"/>
    <w:rsid w:val="00FA1ADA"/>
    <w:rsid w:val="00FA21FC"/>
    <w:rsid w:val="00FA2245"/>
    <w:rsid w:val="00FA2C02"/>
    <w:rsid w:val="00FA2C1D"/>
    <w:rsid w:val="00FA310E"/>
    <w:rsid w:val="00FA33B5"/>
    <w:rsid w:val="00FA359A"/>
    <w:rsid w:val="00FA3A17"/>
    <w:rsid w:val="00FA3BDF"/>
    <w:rsid w:val="00FA5112"/>
    <w:rsid w:val="00FA5E83"/>
    <w:rsid w:val="00FA5FCF"/>
    <w:rsid w:val="00FA63CD"/>
    <w:rsid w:val="00FA73EB"/>
    <w:rsid w:val="00FA773D"/>
    <w:rsid w:val="00FA7982"/>
    <w:rsid w:val="00FA7A5D"/>
    <w:rsid w:val="00FA7CCD"/>
    <w:rsid w:val="00FB0135"/>
    <w:rsid w:val="00FB0E27"/>
    <w:rsid w:val="00FB0F8C"/>
    <w:rsid w:val="00FB0F94"/>
    <w:rsid w:val="00FB1A16"/>
    <w:rsid w:val="00FB1A3C"/>
    <w:rsid w:val="00FB2597"/>
    <w:rsid w:val="00FB37A2"/>
    <w:rsid w:val="00FB3991"/>
    <w:rsid w:val="00FB3C92"/>
    <w:rsid w:val="00FB3F0E"/>
    <w:rsid w:val="00FB49E0"/>
    <w:rsid w:val="00FB4EE9"/>
    <w:rsid w:val="00FB5B57"/>
    <w:rsid w:val="00FB62CF"/>
    <w:rsid w:val="00FB74A8"/>
    <w:rsid w:val="00FC052E"/>
    <w:rsid w:val="00FC06C3"/>
    <w:rsid w:val="00FC084F"/>
    <w:rsid w:val="00FC13F0"/>
    <w:rsid w:val="00FC17BF"/>
    <w:rsid w:val="00FC1D53"/>
    <w:rsid w:val="00FC1E3D"/>
    <w:rsid w:val="00FC240A"/>
    <w:rsid w:val="00FC2B57"/>
    <w:rsid w:val="00FC2B76"/>
    <w:rsid w:val="00FC3262"/>
    <w:rsid w:val="00FC3283"/>
    <w:rsid w:val="00FC3E0A"/>
    <w:rsid w:val="00FC3EB4"/>
    <w:rsid w:val="00FC4AB2"/>
    <w:rsid w:val="00FC544A"/>
    <w:rsid w:val="00FC5458"/>
    <w:rsid w:val="00FC6C58"/>
    <w:rsid w:val="00FC70D7"/>
    <w:rsid w:val="00FC77D2"/>
    <w:rsid w:val="00FC78B0"/>
    <w:rsid w:val="00FD11C7"/>
    <w:rsid w:val="00FD1863"/>
    <w:rsid w:val="00FD1BA1"/>
    <w:rsid w:val="00FD1C8A"/>
    <w:rsid w:val="00FD1DD0"/>
    <w:rsid w:val="00FD279F"/>
    <w:rsid w:val="00FD3996"/>
    <w:rsid w:val="00FD3BD1"/>
    <w:rsid w:val="00FD3E3D"/>
    <w:rsid w:val="00FD50E1"/>
    <w:rsid w:val="00FD5518"/>
    <w:rsid w:val="00FD56CC"/>
    <w:rsid w:val="00FD635E"/>
    <w:rsid w:val="00FD6B02"/>
    <w:rsid w:val="00FD71F0"/>
    <w:rsid w:val="00FD746F"/>
    <w:rsid w:val="00FE09CA"/>
    <w:rsid w:val="00FE144F"/>
    <w:rsid w:val="00FE157F"/>
    <w:rsid w:val="00FE1C4E"/>
    <w:rsid w:val="00FE1EAD"/>
    <w:rsid w:val="00FE21AB"/>
    <w:rsid w:val="00FE25F4"/>
    <w:rsid w:val="00FE276D"/>
    <w:rsid w:val="00FE3CC4"/>
    <w:rsid w:val="00FE3CEC"/>
    <w:rsid w:val="00FE40DE"/>
    <w:rsid w:val="00FE4DAB"/>
    <w:rsid w:val="00FE5494"/>
    <w:rsid w:val="00FE5C4B"/>
    <w:rsid w:val="00FE6030"/>
    <w:rsid w:val="00FE6A5A"/>
    <w:rsid w:val="00FE6B45"/>
    <w:rsid w:val="00FE6B58"/>
    <w:rsid w:val="00FE6EBC"/>
    <w:rsid w:val="00FE6F98"/>
    <w:rsid w:val="00FE769E"/>
    <w:rsid w:val="00FF05BC"/>
    <w:rsid w:val="00FF0651"/>
    <w:rsid w:val="00FF19BA"/>
    <w:rsid w:val="00FF19E2"/>
    <w:rsid w:val="00FF1B45"/>
    <w:rsid w:val="00FF1B5F"/>
    <w:rsid w:val="00FF1C0D"/>
    <w:rsid w:val="00FF1C1C"/>
    <w:rsid w:val="00FF2A07"/>
    <w:rsid w:val="00FF2F9E"/>
    <w:rsid w:val="00FF3563"/>
    <w:rsid w:val="00FF379A"/>
    <w:rsid w:val="00FF3FB7"/>
    <w:rsid w:val="00FF4B22"/>
    <w:rsid w:val="00FF5724"/>
    <w:rsid w:val="00FF5851"/>
    <w:rsid w:val="00FF6B34"/>
    <w:rsid w:val="00FF6C89"/>
    <w:rsid w:val="00FF7145"/>
    <w:rsid w:val="00FF7650"/>
    <w:rsid w:val="00FF7B79"/>
  </w:rsids>
  <m:mathPr>
    <m:mathFont m:val="Cambria Math"/>
    <m:brkBin m:val="before"/>
    <m:brkBinSub m:val="--"/>
    <m:smallFrac/>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6F5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F0CEF"/>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B541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B541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A36AE"/>
    <w:rPr>
      <w:u w:val="single"/>
    </w:rPr>
  </w:style>
  <w:style w:type="paragraph" w:customStyle="1" w:styleId="Cabeceraypie">
    <w:name w:val="Cabecera y pie"/>
    <w:rsid w:val="00DA36AE"/>
    <w:pPr>
      <w:tabs>
        <w:tab w:val="right" w:pos="9020"/>
      </w:tabs>
    </w:pPr>
    <w:rPr>
      <w:rFonts w:ascii="Helvetica" w:hAnsi="Arial Unicode MS" w:cs="Arial Unicode MS"/>
      <w:color w:val="000000"/>
      <w:sz w:val="24"/>
      <w:szCs w:val="24"/>
    </w:rPr>
  </w:style>
  <w:style w:type="paragraph" w:styleId="Footer">
    <w:name w:val="footer"/>
    <w:link w:val="FooterChar"/>
    <w:uiPriority w:val="99"/>
    <w:rsid w:val="00DA36AE"/>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sid w:val="00DA36AE"/>
    <w:rPr>
      <w:rFonts w:ascii="Cambria" w:eastAsia="Cambria" w:hAnsi="Cambria" w:cs="Cambria"/>
      <w:color w:val="000000"/>
      <w:sz w:val="24"/>
      <w:szCs w:val="24"/>
      <w:u w:color="000000"/>
    </w:rPr>
  </w:style>
  <w:style w:type="paragraph" w:styleId="BodyTextIndent">
    <w:name w:val="Body Text Indent"/>
    <w:rsid w:val="00DA36AE"/>
    <w:pPr>
      <w:ind w:left="2160" w:hanging="720"/>
    </w:pPr>
    <w:rPr>
      <w:rFonts w:eastAsia="Times New Roman"/>
      <w:color w:val="000000"/>
      <w:sz w:val="24"/>
      <w:szCs w:val="24"/>
      <w:u w:color="000000"/>
      <w:lang w:val="es-ES_tradnl"/>
    </w:rPr>
  </w:style>
  <w:style w:type="paragraph" w:styleId="ListParagraph">
    <w:name w:val="List Paragraph"/>
    <w:aliases w:val="Párrafo de lista1,List Paragraph1,Colorful List - Accent 11,List Paragraph11,List Paragraph2,Lista vistosa - Énfasis 11"/>
    <w:link w:val="ListParagraphChar"/>
    <w:qFormat/>
    <w:rsid w:val="00DA36AE"/>
    <w:pPr>
      <w:ind w:left="720"/>
    </w:pPr>
    <w:rPr>
      <w:rFonts w:ascii="Cambria" w:eastAsia="Cambria" w:hAnsi="Cambria" w:cs="Cambria"/>
      <w:color w:val="000000"/>
      <w:sz w:val="24"/>
      <w:szCs w:val="24"/>
      <w:u w:color="000000"/>
      <w:lang w:val="en-US"/>
    </w:rPr>
  </w:style>
  <w:style w:type="numbering" w:customStyle="1" w:styleId="List0">
    <w:name w:val="List 0"/>
    <w:basedOn w:val="Estiloimportado1"/>
    <w:rsid w:val="00DA36AE"/>
    <w:pPr>
      <w:numPr>
        <w:numId w:val="31"/>
      </w:numPr>
    </w:pPr>
  </w:style>
  <w:style w:type="numbering" w:customStyle="1" w:styleId="Estiloimportado1">
    <w:name w:val="Estilo importado 1"/>
    <w:rsid w:val="00DA36AE"/>
  </w:style>
  <w:style w:type="numbering" w:customStyle="1" w:styleId="List1">
    <w:name w:val="List 1"/>
    <w:basedOn w:val="Estiloimportado2"/>
    <w:rsid w:val="00DA36AE"/>
    <w:pPr>
      <w:numPr>
        <w:numId w:val="1"/>
      </w:numPr>
    </w:pPr>
  </w:style>
  <w:style w:type="numbering" w:customStyle="1" w:styleId="Estiloimportado2">
    <w:name w:val="Estilo importado 2"/>
    <w:rsid w:val="00DA36AE"/>
  </w:style>
  <w:style w:type="numbering" w:customStyle="1" w:styleId="List210">
    <w:name w:val="List 21"/>
    <w:basedOn w:val="Estiloimportado3"/>
    <w:rsid w:val="00DA36AE"/>
    <w:pPr>
      <w:numPr>
        <w:numId w:val="52"/>
      </w:numPr>
    </w:pPr>
  </w:style>
  <w:style w:type="numbering" w:customStyle="1" w:styleId="Estiloimportado3">
    <w:name w:val="Estilo importado 3"/>
    <w:rsid w:val="00DA36AE"/>
  </w:style>
  <w:style w:type="numbering" w:customStyle="1" w:styleId="List31">
    <w:name w:val="List 31"/>
    <w:basedOn w:val="Estiloimportado4"/>
    <w:rsid w:val="00DA36AE"/>
    <w:pPr>
      <w:numPr>
        <w:numId w:val="51"/>
      </w:numPr>
    </w:pPr>
  </w:style>
  <w:style w:type="numbering" w:customStyle="1" w:styleId="Estiloimportado4">
    <w:name w:val="Estilo importado 4"/>
    <w:rsid w:val="00DA36AE"/>
  </w:style>
  <w:style w:type="numbering" w:customStyle="1" w:styleId="List41">
    <w:name w:val="List 41"/>
    <w:basedOn w:val="Estiloimportado5"/>
    <w:rsid w:val="00DA36AE"/>
    <w:pPr>
      <w:numPr>
        <w:numId w:val="2"/>
      </w:numPr>
    </w:pPr>
  </w:style>
  <w:style w:type="numbering" w:customStyle="1" w:styleId="Estiloimportado5">
    <w:name w:val="Estilo importado 5"/>
    <w:rsid w:val="00DA36AE"/>
  </w:style>
  <w:style w:type="numbering" w:customStyle="1" w:styleId="List510">
    <w:name w:val="List 51"/>
    <w:basedOn w:val="Estiloimportado6"/>
    <w:rsid w:val="00DA36AE"/>
    <w:pPr>
      <w:numPr>
        <w:numId w:val="54"/>
      </w:numPr>
    </w:pPr>
  </w:style>
  <w:style w:type="numbering" w:customStyle="1" w:styleId="Estiloimportado6">
    <w:name w:val="Estilo importado 6"/>
    <w:rsid w:val="00DA36AE"/>
  </w:style>
  <w:style w:type="numbering" w:customStyle="1" w:styleId="List6">
    <w:name w:val="List 6"/>
    <w:basedOn w:val="Estiloimportado7"/>
    <w:rsid w:val="00DA36AE"/>
    <w:pPr>
      <w:numPr>
        <w:numId w:val="3"/>
      </w:numPr>
    </w:pPr>
  </w:style>
  <w:style w:type="numbering" w:customStyle="1" w:styleId="Estiloimportado7">
    <w:name w:val="Estilo importado 7"/>
    <w:rsid w:val="00DA36AE"/>
  </w:style>
  <w:style w:type="numbering" w:customStyle="1" w:styleId="List7">
    <w:name w:val="List 7"/>
    <w:basedOn w:val="Estiloimportado8"/>
    <w:rsid w:val="00DA36AE"/>
    <w:pPr>
      <w:numPr>
        <w:numId w:val="4"/>
      </w:numPr>
    </w:pPr>
  </w:style>
  <w:style w:type="numbering" w:customStyle="1" w:styleId="Estiloimportado8">
    <w:name w:val="Estilo importado 8"/>
    <w:rsid w:val="00DA36AE"/>
  </w:style>
  <w:style w:type="numbering" w:customStyle="1" w:styleId="List8">
    <w:name w:val="List 8"/>
    <w:basedOn w:val="Estiloimportado9"/>
    <w:rsid w:val="00DA36AE"/>
    <w:pPr>
      <w:numPr>
        <w:numId w:val="5"/>
      </w:numPr>
    </w:pPr>
  </w:style>
  <w:style w:type="numbering" w:customStyle="1" w:styleId="Estiloimportado9">
    <w:name w:val="Estilo importado 9"/>
    <w:rsid w:val="00DA36AE"/>
  </w:style>
  <w:style w:type="numbering" w:customStyle="1" w:styleId="List9">
    <w:name w:val="List 9"/>
    <w:basedOn w:val="Estiloimportado10"/>
    <w:rsid w:val="00DA36AE"/>
    <w:pPr>
      <w:numPr>
        <w:numId w:val="22"/>
      </w:numPr>
    </w:pPr>
  </w:style>
  <w:style w:type="numbering" w:customStyle="1" w:styleId="Estiloimportado10">
    <w:name w:val="Estilo importado 10"/>
    <w:rsid w:val="00DA36AE"/>
  </w:style>
  <w:style w:type="numbering" w:customStyle="1" w:styleId="List10">
    <w:name w:val="List 10"/>
    <w:basedOn w:val="Estiloimportado11"/>
    <w:rsid w:val="00DA36AE"/>
    <w:pPr>
      <w:numPr>
        <w:numId w:val="6"/>
      </w:numPr>
    </w:pPr>
  </w:style>
  <w:style w:type="numbering" w:customStyle="1" w:styleId="Estiloimportado11">
    <w:name w:val="Estilo importado 11"/>
    <w:rsid w:val="00DA36AE"/>
  </w:style>
  <w:style w:type="numbering" w:customStyle="1" w:styleId="List11">
    <w:name w:val="List 11"/>
    <w:basedOn w:val="Estiloimportado12"/>
    <w:rsid w:val="00DA36AE"/>
    <w:pPr>
      <w:numPr>
        <w:numId w:val="7"/>
      </w:numPr>
    </w:pPr>
  </w:style>
  <w:style w:type="numbering" w:customStyle="1" w:styleId="Estiloimportado12">
    <w:name w:val="Estilo importado 12"/>
    <w:rsid w:val="00DA36AE"/>
  </w:style>
  <w:style w:type="numbering" w:customStyle="1" w:styleId="List12">
    <w:name w:val="List 12"/>
    <w:basedOn w:val="Estiloimportado13"/>
    <w:rsid w:val="00DA36AE"/>
    <w:pPr>
      <w:numPr>
        <w:numId w:val="36"/>
      </w:numPr>
    </w:pPr>
  </w:style>
  <w:style w:type="numbering" w:customStyle="1" w:styleId="Estiloimportado13">
    <w:name w:val="Estilo importado 13"/>
    <w:rsid w:val="00DA36AE"/>
  </w:style>
  <w:style w:type="numbering" w:customStyle="1" w:styleId="List13">
    <w:name w:val="List 13"/>
    <w:basedOn w:val="Estiloimportado14"/>
    <w:rsid w:val="00DA36AE"/>
    <w:pPr>
      <w:numPr>
        <w:numId w:val="42"/>
      </w:numPr>
    </w:pPr>
  </w:style>
  <w:style w:type="numbering" w:customStyle="1" w:styleId="Estiloimportado14">
    <w:name w:val="Estilo importado 14"/>
    <w:rsid w:val="00DA36AE"/>
  </w:style>
  <w:style w:type="numbering" w:customStyle="1" w:styleId="List14">
    <w:name w:val="List 14"/>
    <w:basedOn w:val="Estiloimportado15"/>
    <w:rsid w:val="00DA36AE"/>
    <w:pPr>
      <w:numPr>
        <w:numId w:val="17"/>
      </w:numPr>
    </w:pPr>
  </w:style>
  <w:style w:type="numbering" w:customStyle="1" w:styleId="Estiloimportado15">
    <w:name w:val="Estilo importado 15"/>
    <w:rsid w:val="00DA36AE"/>
  </w:style>
  <w:style w:type="numbering" w:customStyle="1" w:styleId="List15">
    <w:name w:val="List 15"/>
    <w:basedOn w:val="Estiloimportado16"/>
    <w:rsid w:val="00DA36AE"/>
    <w:pPr>
      <w:numPr>
        <w:numId w:val="16"/>
      </w:numPr>
    </w:pPr>
  </w:style>
  <w:style w:type="numbering" w:customStyle="1" w:styleId="Estiloimportado16">
    <w:name w:val="Estilo importado 16"/>
    <w:rsid w:val="00DA36AE"/>
  </w:style>
  <w:style w:type="numbering" w:customStyle="1" w:styleId="List16">
    <w:name w:val="List 16"/>
    <w:basedOn w:val="Estiloimportado16"/>
    <w:rsid w:val="00DA36AE"/>
    <w:pPr>
      <w:numPr>
        <w:numId w:val="10"/>
      </w:numPr>
    </w:pPr>
  </w:style>
  <w:style w:type="numbering" w:customStyle="1" w:styleId="List17">
    <w:name w:val="List 17"/>
    <w:basedOn w:val="Estiloimportado17"/>
    <w:rsid w:val="00DA36AE"/>
    <w:pPr>
      <w:numPr>
        <w:numId w:val="25"/>
      </w:numPr>
    </w:pPr>
  </w:style>
  <w:style w:type="numbering" w:customStyle="1" w:styleId="Estiloimportado17">
    <w:name w:val="Estilo importado 17"/>
    <w:rsid w:val="00DA36AE"/>
  </w:style>
  <w:style w:type="numbering" w:customStyle="1" w:styleId="List18">
    <w:name w:val="List 18"/>
    <w:basedOn w:val="Estiloimportado18"/>
    <w:rsid w:val="00DA36AE"/>
    <w:pPr>
      <w:numPr>
        <w:numId w:val="27"/>
      </w:numPr>
    </w:pPr>
  </w:style>
  <w:style w:type="numbering" w:customStyle="1" w:styleId="Estiloimportado18">
    <w:name w:val="Estilo importado 18"/>
    <w:rsid w:val="00DA36AE"/>
  </w:style>
  <w:style w:type="numbering" w:customStyle="1" w:styleId="List19">
    <w:name w:val="List 19"/>
    <w:basedOn w:val="Estiloimportado10"/>
    <w:rsid w:val="00DA36AE"/>
    <w:pPr>
      <w:numPr>
        <w:numId w:val="19"/>
      </w:numPr>
    </w:pPr>
  </w:style>
  <w:style w:type="numbering" w:customStyle="1" w:styleId="List20">
    <w:name w:val="List 20"/>
    <w:basedOn w:val="Estiloimportado12"/>
    <w:rsid w:val="00DA36AE"/>
    <w:pPr>
      <w:numPr>
        <w:numId w:val="43"/>
      </w:numPr>
    </w:pPr>
  </w:style>
  <w:style w:type="numbering" w:customStyle="1" w:styleId="List21">
    <w:name w:val="List 21"/>
    <w:basedOn w:val="Estiloimportado19"/>
    <w:rsid w:val="00DA36AE"/>
    <w:pPr>
      <w:numPr>
        <w:numId w:val="38"/>
      </w:numPr>
    </w:pPr>
  </w:style>
  <w:style w:type="numbering" w:customStyle="1" w:styleId="Estiloimportado19">
    <w:name w:val="Estilo importado 19"/>
    <w:rsid w:val="00DA36AE"/>
  </w:style>
  <w:style w:type="numbering" w:customStyle="1" w:styleId="List22">
    <w:name w:val="List 22"/>
    <w:basedOn w:val="Estiloimportado19"/>
    <w:rsid w:val="00DA36AE"/>
    <w:pPr>
      <w:numPr>
        <w:numId w:val="28"/>
      </w:numPr>
    </w:pPr>
  </w:style>
  <w:style w:type="numbering" w:customStyle="1" w:styleId="List23">
    <w:name w:val="List 23"/>
    <w:basedOn w:val="Estiloimportado19"/>
    <w:rsid w:val="00DA36AE"/>
    <w:pPr>
      <w:numPr>
        <w:numId w:val="18"/>
      </w:numPr>
    </w:pPr>
  </w:style>
  <w:style w:type="numbering" w:customStyle="1" w:styleId="List24">
    <w:name w:val="List 24"/>
    <w:basedOn w:val="Estiloimportado20"/>
    <w:rsid w:val="00DA36AE"/>
    <w:pPr>
      <w:numPr>
        <w:numId w:val="13"/>
      </w:numPr>
    </w:pPr>
  </w:style>
  <w:style w:type="numbering" w:customStyle="1" w:styleId="Estiloimportado20">
    <w:name w:val="Estilo importado 20"/>
    <w:rsid w:val="00DA36AE"/>
  </w:style>
  <w:style w:type="numbering" w:customStyle="1" w:styleId="List25">
    <w:name w:val="List 25"/>
    <w:basedOn w:val="Estiloimportado21"/>
    <w:rsid w:val="00DA36AE"/>
    <w:pPr>
      <w:numPr>
        <w:numId w:val="15"/>
      </w:numPr>
    </w:pPr>
  </w:style>
  <w:style w:type="numbering" w:customStyle="1" w:styleId="Estiloimportado21">
    <w:name w:val="Estilo importado 21"/>
    <w:rsid w:val="00DA36AE"/>
  </w:style>
  <w:style w:type="numbering" w:customStyle="1" w:styleId="List26">
    <w:name w:val="List 26"/>
    <w:basedOn w:val="Estiloimportado22"/>
    <w:rsid w:val="00DA36AE"/>
    <w:pPr>
      <w:numPr>
        <w:numId w:val="49"/>
      </w:numPr>
    </w:pPr>
  </w:style>
  <w:style w:type="numbering" w:customStyle="1" w:styleId="Estiloimportado22">
    <w:name w:val="Estilo importado 22"/>
    <w:rsid w:val="00DA36AE"/>
  </w:style>
  <w:style w:type="numbering" w:customStyle="1" w:styleId="List27">
    <w:name w:val="List 27"/>
    <w:basedOn w:val="Estiloimportado23"/>
    <w:rsid w:val="00DA36AE"/>
    <w:pPr>
      <w:numPr>
        <w:numId w:val="41"/>
      </w:numPr>
    </w:pPr>
  </w:style>
  <w:style w:type="numbering" w:customStyle="1" w:styleId="Estiloimportado23">
    <w:name w:val="Estilo importado 23"/>
    <w:rsid w:val="00DA36AE"/>
  </w:style>
  <w:style w:type="numbering" w:customStyle="1" w:styleId="List28">
    <w:name w:val="List 28"/>
    <w:basedOn w:val="Estiloimportado24"/>
    <w:rsid w:val="00DA36AE"/>
    <w:pPr>
      <w:numPr>
        <w:numId w:val="30"/>
      </w:numPr>
    </w:pPr>
  </w:style>
  <w:style w:type="numbering" w:customStyle="1" w:styleId="Estiloimportado24">
    <w:name w:val="Estilo importado 24"/>
    <w:rsid w:val="00DA36AE"/>
  </w:style>
  <w:style w:type="numbering" w:customStyle="1" w:styleId="List29">
    <w:name w:val="List 29"/>
    <w:basedOn w:val="Estiloimportado25"/>
    <w:rsid w:val="00DA36AE"/>
    <w:pPr>
      <w:numPr>
        <w:numId w:val="34"/>
      </w:numPr>
    </w:pPr>
  </w:style>
  <w:style w:type="numbering" w:customStyle="1" w:styleId="Estiloimportado25">
    <w:name w:val="Estilo importado 25"/>
    <w:rsid w:val="00DA36AE"/>
  </w:style>
  <w:style w:type="numbering" w:customStyle="1" w:styleId="List30">
    <w:name w:val="List 30"/>
    <w:basedOn w:val="Estiloimportado26"/>
    <w:rsid w:val="00DA36AE"/>
    <w:pPr>
      <w:numPr>
        <w:numId w:val="32"/>
      </w:numPr>
    </w:pPr>
  </w:style>
  <w:style w:type="numbering" w:customStyle="1" w:styleId="Estiloimportado26">
    <w:name w:val="Estilo importado 26"/>
    <w:rsid w:val="00DA36AE"/>
  </w:style>
  <w:style w:type="numbering" w:customStyle="1" w:styleId="List310">
    <w:name w:val="List 31"/>
    <w:basedOn w:val="Estiloimportado27"/>
    <w:rsid w:val="00DA36AE"/>
    <w:pPr>
      <w:numPr>
        <w:numId w:val="45"/>
      </w:numPr>
    </w:pPr>
  </w:style>
  <w:style w:type="numbering" w:customStyle="1" w:styleId="Estiloimportado27">
    <w:name w:val="Estilo importado 27"/>
    <w:rsid w:val="00DA36AE"/>
  </w:style>
  <w:style w:type="numbering" w:customStyle="1" w:styleId="List32">
    <w:name w:val="List 32"/>
    <w:basedOn w:val="Estiloimportado28"/>
    <w:rsid w:val="00DA36AE"/>
    <w:pPr>
      <w:numPr>
        <w:numId w:val="48"/>
      </w:numPr>
    </w:pPr>
  </w:style>
  <w:style w:type="numbering" w:customStyle="1" w:styleId="Estiloimportado28">
    <w:name w:val="Estilo importado 28"/>
    <w:rsid w:val="00DA36AE"/>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qFormat/>
    <w:rsid w:val="00DA36AE"/>
    <w:rPr>
      <w:rFonts w:ascii="Calibri" w:eastAsia="Calibri" w:hAnsi="Calibri" w:cs="Calibri"/>
      <w:color w:val="000000"/>
      <w:u w:color="000000"/>
      <w:lang w:val="en-US"/>
    </w:rPr>
  </w:style>
  <w:style w:type="numbering" w:customStyle="1" w:styleId="List33">
    <w:name w:val="List 33"/>
    <w:basedOn w:val="Estiloimportado29"/>
    <w:rsid w:val="00DA36AE"/>
    <w:pPr>
      <w:numPr>
        <w:numId w:val="26"/>
      </w:numPr>
    </w:pPr>
  </w:style>
  <w:style w:type="numbering" w:customStyle="1" w:styleId="Estiloimportado29">
    <w:name w:val="Estilo importado 29"/>
    <w:rsid w:val="00DA36AE"/>
  </w:style>
  <w:style w:type="numbering" w:customStyle="1" w:styleId="List34">
    <w:name w:val="List 34"/>
    <w:basedOn w:val="Estiloimportado30"/>
    <w:rsid w:val="00DA36AE"/>
    <w:pPr>
      <w:numPr>
        <w:numId w:val="11"/>
      </w:numPr>
    </w:pPr>
  </w:style>
  <w:style w:type="numbering" w:customStyle="1" w:styleId="Estiloimportado30">
    <w:name w:val="Estilo importado 30"/>
    <w:rsid w:val="00DA36AE"/>
  </w:style>
  <w:style w:type="numbering" w:customStyle="1" w:styleId="List35">
    <w:name w:val="List 35"/>
    <w:basedOn w:val="Estiloimportado31"/>
    <w:rsid w:val="00DA36AE"/>
    <w:pPr>
      <w:numPr>
        <w:numId w:val="8"/>
      </w:numPr>
    </w:pPr>
  </w:style>
  <w:style w:type="numbering" w:customStyle="1" w:styleId="Estiloimportado31">
    <w:name w:val="Estilo importado 31"/>
    <w:rsid w:val="00DA36AE"/>
  </w:style>
  <w:style w:type="numbering" w:customStyle="1" w:styleId="List36">
    <w:name w:val="List 36"/>
    <w:basedOn w:val="Estiloimportado32"/>
    <w:rsid w:val="00DA36AE"/>
    <w:pPr>
      <w:numPr>
        <w:numId w:val="14"/>
      </w:numPr>
    </w:pPr>
  </w:style>
  <w:style w:type="numbering" w:customStyle="1" w:styleId="Estiloimportado32">
    <w:name w:val="Estilo importado 32"/>
    <w:rsid w:val="00DA36AE"/>
  </w:style>
  <w:style w:type="numbering" w:customStyle="1" w:styleId="List37">
    <w:name w:val="List 37"/>
    <w:basedOn w:val="Estiloimportado33"/>
    <w:rsid w:val="00DA36AE"/>
    <w:pPr>
      <w:numPr>
        <w:numId w:val="47"/>
      </w:numPr>
    </w:pPr>
  </w:style>
  <w:style w:type="numbering" w:customStyle="1" w:styleId="Estiloimportado33">
    <w:name w:val="Estilo importado 33"/>
    <w:rsid w:val="00DA36AE"/>
  </w:style>
  <w:style w:type="numbering" w:customStyle="1" w:styleId="List38">
    <w:name w:val="List 38"/>
    <w:basedOn w:val="Estiloimportado34"/>
    <w:rsid w:val="00DA36AE"/>
    <w:pPr>
      <w:numPr>
        <w:numId w:val="35"/>
      </w:numPr>
    </w:pPr>
  </w:style>
  <w:style w:type="numbering" w:customStyle="1" w:styleId="Estiloimportado34">
    <w:name w:val="Estilo importado 34"/>
    <w:rsid w:val="00DA36AE"/>
  </w:style>
  <w:style w:type="numbering" w:customStyle="1" w:styleId="List39">
    <w:name w:val="List 39"/>
    <w:basedOn w:val="Estiloimportado35"/>
    <w:rsid w:val="00DA36AE"/>
    <w:pPr>
      <w:numPr>
        <w:numId w:val="46"/>
      </w:numPr>
    </w:pPr>
  </w:style>
  <w:style w:type="numbering" w:customStyle="1" w:styleId="Estiloimportado35">
    <w:name w:val="Estilo importado 35"/>
    <w:rsid w:val="00DA36AE"/>
  </w:style>
  <w:style w:type="numbering" w:customStyle="1" w:styleId="List40">
    <w:name w:val="List 40"/>
    <w:basedOn w:val="Estiloimportado36"/>
    <w:rsid w:val="00DA36AE"/>
    <w:pPr>
      <w:numPr>
        <w:numId w:val="21"/>
      </w:numPr>
    </w:pPr>
  </w:style>
  <w:style w:type="numbering" w:customStyle="1" w:styleId="Estiloimportado36">
    <w:name w:val="Estilo importado 36"/>
    <w:rsid w:val="00DA36AE"/>
  </w:style>
  <w:style w:type="numbering" w:customStyle="1" w:styleId="List410">
    <w:name w:val="List 41"/>
    <w:basedOn w:val="Estiloimportado37"/>
    <w:rsid w:val="00DA36AE"/>
    <w:pPr>
      <w:numPr>
        <w:numId w:val="44"/>
      </w:numPr>
    </w:pPr>
  </w:style>
  <w:style w:type="numbering" w:customStyle="1" w:styleId="Estiloimportado37">
    <w:name w:val="Estilo importado 37"/>
    <w:rsid w:val="00DA36AE"/>
  </w:style>
  <w:style w:type="numbering" w:customStyle="1" w:styleId="List42">
    <w:name w:val="List 42"/>
    <w:basedOn w:val="Estiloimportado12"/>
    <w:rsid w:val="00DA36AE"/>
    <w:pPr>
      <w:numPr>
        <w:numId w:val="12"/>
      </w:numPr>
    </w:pPr>
  </w:style>
  <w:style w:type="numbering" w:customStyle="1" w:styleId="List43">
    <w:name w:val="List 43"/>
    <w:basedOn w:val="Estiloimportado38"/>
    <w:rsid w:val="00DA36AE"/>
    <w:pPr>
      <w:numPr>
        <w:numId w:val="23"/>
      </w:numPr>
    </w:pPr>
  </w:style>
  <w:style w:type="numbering" w:customStyle="1" w:styleId="Estiloimportado38">
    <w:name w:val="Estilo importado 38"/>
    <w:rsid w:val="00DA36AE"/>
  </w:style>
  <w:style w:type="numbering" w:customStyle="1" w:styleId="List44">
    <w:name w:val="List 44"/>
    <w:basedOn w:val="Estiloimportado39"/>
    <w:rsid w:val="00DA36AE"/>
    <w:pPr>
      <w:numPr>
        <w:numId w:val="40"/>
      </w:numPr>
    </w:pPr>
  </w:style>
  <w:style w:type="numbering" w:customStyle="1" w:styleId="Estiloimportado39">
    <w:name w:val="Estilo importado 39"/>
    <w:rsid w:val="00DA36AE"/>
  </w:style>
  <w:style w:type="numbering" w:customStyle="1" w:styleId="List45">
    <w:name w:val="List 45"/>
    <w:basedOn w:val="Estiloimportado40"/>
    <w:rsid w:val="00DA36AE"/>
    <w:pPr>
      <w:numPr>
        <w:numId w:val="20"/>
      </w:numPr>
    </w:pPr>
  </w:style>
  <w:style w:type="numbering" w:customStyle="1" w:styleId="Estiloimportado40">
    <w:name w:val="Estilo importado 40"/>
    <w:rsid w:val="00DA36AE"/>
  </w:style>
  <w:style w:type="numbering" w:customStyle="1" w:styleId="List46">
    <w:name w:val="List 46"/>
    <w:basedOn w:val="Estiloimportado41"/>
    <w:rsid w:val="00DA36AE"/>
    <w:pPr>
      <w:numPr>
        <w:numId w:val="24"/>
      </w:numPr>
    </w:pPr>
  </w:style>
  <w:style w:type="numbering" w:customStyle="1" w:styleId="Estiloimportado41">
    <w:name w:val="Estilo importado 41"/>
    <w:rsid w:val="00DA36AE"/>
  </w:style>
  <w:style w:type="numbering" w:customStyle="1" w:styleId="List47">
    <w:name w:val="List 47"/>
    <w:basedOn w:val="Estiloimportado42"/>
    <w:rsid w:val="00DA36AE"/>
    <w:pPr>
      <w:numPr>
        <w:numId w:val="29"/>
      </w:numPr>
    </w:pPr>
  </w:style>
  <w:style w:type="numbering" w:customStyle="1" w:styleId="Estiloimportado42">
    <w:name w:val="Estilo importado 42"/>
    <w:rsid w:val="00DA36AE"/>
  </w:style>
  <w:style w:type="numbering" w:customStyle="1" w:styleId="List48">
    <w:name w:val="List 48"/>
    <w:basedOn w:val="Estiloimportado43"/>
    <w:rsid w:val="00DA36AE"/>
    <w:pPr>
      <w:numPr>
        <w:numId w:val="50"/>
      </w:numPr>
    </w:pPr>
  </w:style>
  <w:style w:type="numbering" w:customStyle="1" w:styleId="Estiloimportado43">
    <w:name w:val="Estilo importado 43"/>
    <w:rsid w:val="00DA36AE"/>
  </w:style>
  <w:style w:type="numbering" w:customStyle="1" w:styleId="List49">
    <w:name w:val="List 49"/>
    <w:basedOn w:val="Estiloimportado44"/>
    <w:rsid w:val="00DA36AE"/>
    <w:pPr>
      <w:numPr>
        <w:numId w:val="39"/>
      </w:numPr>
    </w:pPr>
  </w:style>
  <w:style w:type="numbering" w:customStyle="1" w:styleId="Estiloimportado44">
    <w:name w:val="Estilo importado 44"/>
    <w:rsid w:val="00DA36AE"/>
  </w:style>
  <w:style w:type="numbering" w:customStyle="1" w:styleId="List50">
    <w:name w:val="List 50"/>
    <w:basedOn w:val="Estiloimportado45"/>
    <w:rsid w:val="00DA36AE"/>
    <w:pPr>
      <w:numPr>
        <w:numId w:val="37"/>
      </w:numPr>
    </w:pPr>
  </w:style>
  <w:style w:type="numbering" w:customStyle="1" w:styleId="Estiloimportado45">
    <w:name w:val="Estilo importado 45"/>
    <w:rsid w:val="00DA36AE"/>
  </w:style>
  <w:style w:type="numbering" w:customStyle="1" w:styleId="List51">
    <w:name w:val="List 51"/>
    <w:basedOn w:val="Estiloimportado46"/>
    <w:rsid w:val="00DA36AE"/>
    <w:pPr>
      <w:numPr>
        <w:numId w:val="33"/>
      </w:numPr>
    </w:pPr>
  </w:style>
  <w:style w:type="numbering" w:customStyle="1" w:styleId="Estiloimportado46">
    <w:name w:val="Estilo importado 46"/>
    <w:rsid w:val="00DA36AE"/>
  </w:style>
  <w:style w:type="numbering" w:customStyle="1" w:styleId="List52">
    <w:name w:val="List 52"/>
    <w:basedOn w:val="Estiloimportado1"/>
    <w:rsid w:val="00DA36AE"/>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D3350E"/>
    <w:pPr>
      <w:tabs>
        <w:tab w:val="left" w:pos="1440"/>
        <w:tab w:val="right" w:leader="dot" w:pos="9350"/>
      </w:tabs>
      <w:spacing w:after="100"/>
      <w:ind w:left="1440" w:hanging="360"/>
    </w:pPr>
    <w:rPr>
      <w:noProof/>
    </w:rPr>
  </w:style>
  <w:style w:type="paragraph" w:styleId="TOC1">
    <w:name w:val="toc 1"/>
    <w:basedOn w:val="Normal"/>
    <w:next w:val="Normal"/>
    <w:autoRedefine/>
    <w:uiPriority w:val="39"/>
    <w:unhideWhenUsed/>
    <w:rsid w:val="00232A3C"/>
    <w:pPr>
      <w:tabs>
        <w:tab w:val="left" w:pos="1440"/>
        <w:tab w:val="right" w:leader="dot" w:pos="9350"/>
      </w:tabs>
      <w:spacing w:after="100"/>
      <w:ind w:left="720"/>
    </w:pPr>
    <w:rPr>
      <w:rFonts w:asciiTheme="majorHAnsi" w:hAnsiTheme="majorHAnsi"/>
      <w:b/>
      <w:noProof/>
      <w:sz w:val="20"/>
      <w:szCs w:val="20"/>
      <w:lang w:val="es-ES_tradnl"/>
    </w:rPr>
  </w:style>
  <w:style w:type="paragraph" w:styleId="TOC3">
    <w:name w:val="toc 3"/>
    <w:basedOn w:val="Normal"/>
    <w:next w:val="Normal"/>
    <w:autoRedefine/>
    <w:uiPriority w:val="39"/>
    <w:unhideWhenUsed/>
    <w:rsid w:val="00864785"/>
    <w:pPr>
      <w:tabs>
        <w:tab w:val="left" w:pos="880"/>
        <w:tab w:val="left" w:pos="180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unhideWhenUsed/>
    <w:rsid w:val="00036A8A"/>
    <w:pPr>
      <w:spacing w:after="120"/>
    </w:pPr>
  </w:style>
  <w:style w:type="character" w:customStyle="1" w:styleId="BodyTextChar">
    <w:name w:val="Body Text Char"/>
    <w:basedOn w:val="DefaultParagraphFont"/>
    <w:link w:val="BodyText"/>
    <w:uiPriority w:val="99"/>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4_G,16 Point,Superscript 6 Point,Footnote symbol,Footnote,Texto nota al pie"/>
    <w:link w:val="FootnotesrefssChar1Char"/>
    <w:uiPriority w:val="99"/>
    <w:qFormat/>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qFormat/>
    <w:locked/>
    <w:rsid w:val="00036A8A"/>
    <w:rPr>
      <w:rFonts w:ascii="Calibri" w:eastAsia="Calibri" w:hAnsi="Calibri" w:cs="Calibri"/>
      <w:color w:val="000000"/>
      <w:u w:color="000000"/>
      <w:lang w:val="en-US"/>
    </w:r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link w:val="FootnoteReference"/>
    <w:uiPriority w:val="99"/>
    <w:qFormat/>
    <w:rsid w:val="00F45EBF"/>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character" w:customStyle="1" w:styleId="ListParagraphChar">
    <w:name w:val="List Paragraph Char"/>
    <w:aliases w:val="Párrafo de lista1 Char,List Paragraph1 Char,Colorful List - Accent 11 Char,List Paragraph11 Char,List Paragraph2 Char,Lista vistosa - Énfasis 11 Char"/>
    <w:link w:val="ListParagraph"/>
    <w:locked/>
    <w:rsid w:val="00F45EBF"/>
    <w:rPr>
      <w:rFonts w:ascii="Cambria" w:eastAsia="Cambria" w:hAnsi="Cambria" w:cs="Cambria"/>
      <w:color w:val="000000"/>
      <w:sz w:val="24"/>
      <w:szCs w:val="24"/>
      <w:u w:color="000000"/>
      <w:lang w:val="en-US"/>
    </w:rPr>
  </w:style>
  <w:style w:type="paragraph" w:customStyle="1" w:styleId="indent">
    <w:name w:val="indent"/>
    <w:basedOn w:val="Normal"/>
    <w:rsid w:val="00D8741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num">
    <w:name w:val="num"/>
    <w:basedOn w:val="DefaultParagraphFont"/>
    <w:rsid w:val="00D87416"/>
  </w:style>
  <w:style w:type="paragraph" w:styleId="NormalWeb">
    <w:name w:val="Normal (Web)"/>
    <w:basedOn w:val="Normal"/>
    <w:uiPriority w:val="99"/>
    <w:unhideWhenUsed/>
    <w:rsid w:val="0050753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Style1Char">
    <w:name w:val="Style1 Char"/>
    <w:link w:val="Style1"/>
    <w:locked/>
    <w:rsid w:val="007D2FEE"/>
    <w:rPr>
      <w:rFonts w:ascii="Cambria" w:eastAsia="Times New Roman" w:hAnsi="Cambria"/>
      <w:b/>
      <w:bCs/>
      <w:bdr w:val="none" w:sz="0" w:space="0" w:color="auto" w:frame="1"/>
      <w:lang w:val="es-ES_tradnl" w:eastAsia="en-US"/>
    </w:rPr>
  </w:style>
  <w:style w:type="paragraph" w:customStyle="1" w:styleId="Style1">
    <w:name w:val="Style1"/>
    <w:basedOn w:val="Normal"/>
    <w:link w:val="Style1Char"/>
    <w:qFormat/>
    <w:rsid w:val="007D2FEE"/>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pPr>
    <w:rPr>
      <w:rFonts w:ascii="Cambria" w:eastAsia="Times New Roman" w:hAnsi="Cambria"/>
      <w:b/>
      <w:bCs/>
      <w:sz w:val="20"/>
      <w:szCs w:val="20"/>
      <w:bdr w:val="none" w:sz="0" w:space="0" w:color="auto" w:frame="1"/>
      <w:lang w:val="es-ES_tradnl"/>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9D15C7"/>
    <w:rPr>
      <w:rFonts w:ascii="Calibri" w:hAnsi="Calibri"/>
      <w:color w:val="000000"/>
      <w:u w:color="000000"/>
    </w:rPr>
  </w:style>
  <w:style w:type="paragraph" w:customStyle="1" w:styleId="Footnotes">
    <w:name w:val="Footnotes"/>
    <w:basedOn w:val="FootnoteText"/>
    <w:qFormat/>
    <w:rsid w:val="000332F4"/>
    <w:pPr>
      <w:pBdr>
        <w:top w:val="none" w:sz="0" w:space="0" w:color="auto"/>
        <w:left w:val="none" w:sz="0" w:space="0" w:color="auto"/>
        <w:bottom w:val="none" w:sz="0" w:space="0" w:color="auto"/>
        <w:right w:val="none" w:sz="0" w:space="0" w:color="auto"/>
        <w:between w:val="none" w:sz="0" w:space="0" w:color="auto"/>
        <w:bar w:val="none" w:sz="0" w:color="auto"/>
      </w:pBdr>
      <w:spacing w:after="120"/>
      <w:ind w:firstLine="720"/>
      <w:jc w:val="both"/>
    </w:pPr>
    <w:rPr>
      <w:rFonts w:ascii="Cambria" w:hAnsi="Cambria" w:cs="Times New Roman"/>
      <w:color w:val="auto"/>
      <w:sz w:val="18"/>
      <w:szCs w:val="18"/>
      <w:bdr w:val="none" w:sz="0" w:space="0" w:color="auto"/>
      <w:lang w:eastAsia="en-US"/>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uiPriority w:val="99"/>
    <w:rsid w:val="001937A5"/>
    <w:pPr>
      <w:pBdr>
        <w:top w:val="none" w:sz="0" w:space="0" w:color="auto"/>
        <w:left w:val="none" w:sz="0" w:space="0" w:color="auto"/>
        <w:bottom w:val="none" w:sz="0" w:space="0" w:color="auto"/>
        <w:right w:val="none" w:sz="0" w:space="0" w:color="auto"/>
        <w:between w:val="none" w:sz="0" w:space="0" w:color="auto"/>
        <w:bar w:val="none" w:sz="0" w:color="auto"/>
      </w:pBdr>
      <w:spacing w:before="200" w:after="160" w:line="240" w:lineRule="exact"/>
    </w:pPr>
    <w:rPr>
      <w:rFonts w:asciiTheme="minorHAnsi" w:eastAsiaTheme="minorEastAsia" w:hAnsiTheme="minorHAnsi" w:cstheme="minorBidi"/>
      <w:bdr w:val="none" w:sz="0" w:space="0" w:color="auto"/>
      <w:vertAlign w:val="superscript"/>
      <w:lang w:val="es-ES_tradnl" w:eastAsia="es-ES"/>
    </w:rPr>
  </w:style>
  <w:style w:type="character" w:customStyle="1" w:styleId="apple-converted-space">
    <w:name w:val="apple-converted-space"/>
    <w:rsid w:val="007607EC"/>
  </w:style>
  <w:style w:type="character" w:customStyle="1" w:styleId="apple-style-span">
    <w:name w:val="apple-style-span"/>
    <w:basedOn w:val="DefaultParagraphFont"/>
    <w:rsid w:val="00095575"/>
    <w:rPr>
      <w:rFonts w:cs="Times New Roman"/>
    </w:rPr>
  </w:style>
  <w:style w:type="character" w:customStyle="1" w:styleId="Heading2Char">
    <w:name w:val="Heading 2 Char"/>
    <w:basedOn w:val="DefaultParagraphFont"/>
    <w:link w:val="Heading2"/>
    <w:uiPriority w:val="9"/>
    <w:rsid w:val="009B541A"/>
    <w:rPr>
      <w:rFonts w:asciiTheme="majorHAnsi" w:eastAsiaTheme="majorEastAsia" w:hAnsiTheme="majorHAnsi" w:cstheme="majorBidi"/>
      <w:b/>
      <w:bCs/>
      <w:color w:val="4F81BD" w:themeColor="accent1"/>
      <w:sz w:val="26"/>
      <w:szCs w:val="26"/>
      <w:lang w:val="en-US" w:eastAsia="en-US"/>
    </w:rPr>
  </w:style>
  <w:style w:type="character" w:customStyle="1" w:styleId="Heading3Char">
    <w:name w:val="Heading 3 Char"/>
    <w:basedOn w:val="DefaultParagraphFont"/>
    <w:link w:val="Heading3"/>
    <w:uiPriority w:val="9"/>
    <w:rsid w:val="009B541A"/>
    <w:rPr>
      <w:rFonts w:asciiTheme="majorHAnsi" w:eastAsiaTheme="majorEastAsia" w:hAnsiTheme="majorHAnsi" w:cstheme="majorBidi"/>
      <w:b/>
      <w:bCs/>
      <w:color w:val="4F81BD" w:themeColor="accent1"/>
      <w:sz w:val="24"/>
      <w:szCs w:val="24"/>
      <w:lang w:val="en-US" w:eastAsia="en-US"/>
    </w:rPr>
  </w:style>
  <w:style w:type="paragraph" w:customStyle="1" w:styleId="Default">
    <w:name w:val="Default"/>
    <w:rsid w:val="009B541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heme="minorHAnsi"/>
      <w:color w:val="000000"/>
      <w:sz w:val="24"/>
      <w:szCs w:val="24"/>
      <w:bdr w:val="none" w:sz="0" w:space="0" w:color="auto"/>
      <w:lang w:val="en-GB" w:eastAsia="en-US"/>
    </w:rPr>
  </w:style>
  <w:style w:type="character" w:customStyle="1" w:styleId="sb8d990e2">
    <w:name w:val="sb8d990e2"/>
    <w:rsid w:val="00E43C54"/>
  </w:style>
  <w:style w:type="numbering" w:styleId="111111">
    <w:name w:val="Outline List 2"/>
    <w:basedOn w:val="NoList"/>
    <w:uiPriority w:val="99"/>
    <w:semiHidden/>
    <w:unhideWhenUsed/>
    <w:rsid w:val="00ED56AB"/>
    <w:pPr>
      <w:numPr>
        <w:numId w:val="56"/>
      </w:numPr>
    </w:pPr>
  </w:style>
  <w:style w:type="character" w:styleId="CommentReference">
    <w:name w:val="annotation reference"/>
    <w:basedOn w:val="DefaultParagraphFont"/>
    <w:uiPriority w:val="99"/>
    <w:semiHidden/>
    <w:unhideWhenUsed/>
    <w:rsid w:val="00EA6A6E"/>
    <w:rPr>
      <w:sz w:val="16"/>
      <w:szCs w:val="16"/>
    </w:rPr>
  </w:style>
  <w:style w:type="paragraph" w:styleId="CommentText">
    <w:name w:val="annotation text"/>
    <w:basedOn w:val="Normal"/>
    <w:link w:val="CommentTextChar"/>
    <w:uiPriority w:val="99"/>
    <w:unhideWhenUsed/>
    <w:rsid w:val="00EA6A6E"/>
    <w:rPr>
      <w:sz w:val="20"/>
      <w:szCs w:val="20"/>
    </w:rPr>
  </w:style>
  <w:style w:type="character" w:customStyle="1" w:styleId="CommentTextChar">
    <w:name w:val="Comment Text Char"/>
    <w:basedOn w:val="DefaultParagraphFont"/>
    <w:link w:val="CommentText"/>
    <w:uiPriority w:val="99"/>
    <w:rsid w:val="00EA6A6E"/>
    <w:rPr>
      <w:lang w:val="en-US" w:eastAsia="en-US"/>
    </w:rPr>
  </w:style>
  <w:style w:type="paragraph" w:styleId="CommentSubject">
    <w:name w:val="annotation subject"/>
    <w:basedOn w:val="CommentText"/>
    <w:next w:val="CommentText"/>
    <w:link w:val="CommentSubjectChar"/>
    <w:uiPriority w:val="99"/>
    <w:semiHidden/>
    <w:unhideWhenUsed/>
    <w:rsid w:val="00EA6A6E"/>
    <w:rPr>
      <w:b/>
      <w:bCs/>
    </w:rPr>
  </w:style>
  <w:style w:type="character" w:customStyle="1" w:styleId="CommentSubjectChar">
    <w:name w:val="Comment Subject Char"/>
    <w:basedOn w:val="CommentTextChar"/>
    <w:link w:val="CommentSubject"/>
    <w:uiPriority w:val="99"/>
    <w:semiHidden/>
    <w:rsid w:val="00EA6A6E"/>
    <w:rPr>
      <w:b/>
      <w:bCs/>
      <w:lang w:val="en-US" w:eastAsia="en-US"/>
    </w:rPr>
  </w:style>
  <w:style w:type="paragraph" w:styleId="Revision">
    <w:name w:val="Revision"/>
    <w:hidden/>
    <w:uiPriority w:val="99"/>
    <w:semiHidden/>
    <w:rsid w:val="006C1815"/>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styleId="Strong">
    <w:name w:val="Strong"/>
    <w:basedOn w:val="DefaultParagraphFont"/>
    <w:uiPriority w:val="22"/>
    <w:qFormat/>
    <w:rsid w:val="006A538E"/>
    <w:rPr>
      <w:b/>
      <w:bCs/>
    </w:rPr>
  </w:style>
  <w:style w:type="table" w:styleId="TableGrid">
    <w:name w:val="Table Grid"/>
    <w:basedOn w:val="TableNormal"/>
    <w:uiPriority w:val="59"/>
    <w:rsid w:val="00947B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67053"/>
    <w:rPr>
      <w:color w:val="800080" w:themeColor="followedHyperlink"/>
      <w:u w:val="single"/>
    </w:rPr>
  </w:style>
  <w:style w:type="paragraph" w:customStyle="1" w:styleId="parrafos">
    <w:name w:val="parrafos"/>
    <w:basedOn w:val="Normal"/>
    <w:link w:val="parrafosChar"/>
    <w:qFormat/>
    <w:rsid w:val="00FB0135"/>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720" w:hanging="360"/>
      <w:jc w:val="both"/>
    </w:pPr>
    <w:rPr>
      <w:rFonts w:asciiTheme="majorHAnsi" w:hAnsiTheme="majorHAnsi"/>
      <w:color w:val="000000" w:themeColor="text1"/>
      <w:sz w:val="20"/>
      <w:szCs w:val="20"/>
    </w:rPr>
  </w:style>
  <w:style w:type="character" w:customStyle="1" w:styleId="parrafosChar">
    <w:name w:val="parrafos Char"/>
    <w:basedOn w:val="DefaultParagraphFont"/>
    <w:link w:val="parrafos"/>
    <w:rsid w:val="00FB0135"/>
    <w:rPr>
      <w:rFonts w:asciiTheme="majorHAnsi" w:hAnsiTheme="majorHAnsi"/>
      <w:color w:val="000000" w:themeColor="text1"/>
      <w:lang w:val="en-US" w:eastAsia="en-US"/>
    </w:rPr>
  </w:style>
  <w:style w:type="character" w:customStyle="1" w:styleId="jurisdiction">
    <w:name w:val="jurisdiction"/>
    <w:basedOn w:val="DefaultParagraphFont"/>
    <w:rsid w:val="0045037E"/>
  </w:style>
  <w:style w:type="character" w:customStyle="1" w:styleId="decide-date">
    <w:name w:val="decide-date"/>
    <w:basedOn w:val="DefaultParagraphFont"/>
    <w:rsid w:val="0045037E"/>
  </w:style>
  <w:style w:type="character" w:customStyle="1" w:styleId="citation">
    <w:name w:val="citation"/>
    <w:basedOn w:val="DefaultParagraphFont"/>
    <w:rsid w:val="0045037E"/>
  </w:style>
  <w:style w:type="paragraph" w:customStyle="1" w:styleId="paragraph">
    <w:name w:val="paragraph"/>
    <w:basedOn w:val="Normal"/>
    <w:rsid w:val="003642D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styleId="TOC5">
    <w:name w:val="toc 5"/>
    <w:basedOn w:val="Normal"/>
    <w:next w:val="Normal"/>
    <w:autoRedefine/>
    <w:uiPriority w:val="39"/>
    <w:semiHidden/>
    <w:unhideWhenUsed/>
    <w:rsid w:val="005959C4"/>
    <w:pPr>
      <w:pBdr>
        <w:top w:val="none" w:sz="0" w:space="0" w:color="auto"/>
        <w:left w:val="none" w:sz="0" w:space="0" w:color="auto"/>
        <w:bottom w:val="none" w:sz="0" w:space="0" w:color="auto"/>
        <w:right w:val="none" w:sz="0" w:space="0" w:color="auto"/>
        <w:between w:val="none" w:sz="0" w:space="0" w:color="auto"/>
        <w:bar w:val="none" w:sz="0" w:color="auto"/>
      </w:pBdr>
      <w:spacing w:after="100"/>
      <w:ind w:left="960"/>
    </w:pPr>
    <w:rPr>
      <w:rFonts w:asciiTheme="minorHAnsi" w:eastAsiaTheme="minorEastAsia" w:hAnsiTheme="minorHAnsi" w:cstheme="minorBidi"/>
      <w:bdr w:val="none" w:sz="0" w:space="0" w:color="auto"/>
    </w:rPr>
  </w:style>
  <w:style w:type="paragraph" w:styleId="TOC6">
    <w:name w:val="toc 6"/>
    <w:basedOn w:val="Normal"/>
    <w:next w:val="Normal"/>
    <w:autoRedefine/>
    <w:uiPriority w:val="39"/>
    <w:semiHidden/>
    <w:unhideWhenUsed/>
    <w:rsid w:val="005959C4"/>
    <w:pPr>
      <w:pBdr>
        <w:top w:val="none" w:sz="0" w:space="0" w:color="auto"/>
        <w:left w:val="none" w:sz="0" w:space="0" w:color="auto"/>
        <w:bottom w:val="none" w:sz="0" w:space="0" w:color="auto"/>
        <w:right w:val="none" w:sz="0" w:space="0" w:color="auto"/>
        <w:between w:val="none" w:sz="0" w:space="0" w:color="auto"/>
        <w:bar w:val="none" w:sz="0" w:color="auto"/>
      </w:pBdr>
      <w:spacing w:after="100"/>
      <w:ind w:left="1200"/>
    </w:pPr>
    <w:rPr>
      <w:rFonts w:asciiTheme="minorHAnsi" w:eastAsiaTheme="minorEastAsia" w:hAnsiTheme="minorHAnsi" w:cstheme="minorBidi"/>
      <w:bdr w:val="none" w:sz="0" w:space="0" w:color="auto"/>
    </w:rPr>
  </w:style>
  <w:style w:type="paragraph" w:styleId="TOC7">
    <w:name w:val="toc 7"/>
    <w:basedOn w:val="Normal"/>
    <w:next w:val="Normal"/>
    <w:autoRedefine/>
    <w:uiPriority w:val="39"/>
    <w:semiHidden/>
    <w:unhideWhenUsed/>
    <w:rsid w:val="005959C4"/>
    <w:pPr>
      <w:pBdr>
        <w:top w:val="none" w:sz="0" w:space="0" w:color="auto"/>
        <w:left w:val="none" w:sz="0" w:space="0" w:color="auto"/>
        <w:bottom w:val="none" w:sz="0" w:space="0" w:color="auto"/>
        <w:right w:val="none" w:sz="0" w:space="0" w:color="auto"/>
        <w:between w:val="none" w:sz="0" w:space="0" w:color="auto"/>
        <w:bar w:val="none" w:sz="0" w:color="auto"/>
      </w:pBdr>
      <w:spacing w:after="100"/>
      <w:ind w:left="1440"/>
    </w:pPr>
    <w:rPr>
      <w:rFonts w:asciiTheme="minorHAnsi" w:eastAsiaTheme="minorEastAsia" w:hAnsiTheme="minorHAnsi" w:cstheme="minorBidi"/>
      <w:bdr w:val="none" w:sz="0" w:space="0" w:color="auto"/>
    </w:rPr>
  </w:style>
  <w:style w:type="paragraph" w:styleId="TOC8">
    <w:name w:val="toc 8"/>
    <w:basedOn w:val="Normal"/>
    <w:next w:val="Normal"/>
    <w:autoRedefine/>
    <w:uiPriority w:val="39"/>
    <w:semiHidden/>
    <w:unhideWhenUsed/>
    <w:rsid w:val="005959C4"/>
    <w:pPr>
      <w:pBdr>
        <w:top w:val="none" w:sz="0" w:space="0" w:color="auto"/>
        <w:left w:val="none" w:sz="0" w:space="0" w:color="auto"/>
        <w:bottom w:val="none" w:sz="0" w:space="0" w:color="auto"/>
        <w:right w:val="none" w:sz="0" w:space="0" w:color="auto"/>
        <w:between w:val="none" w:sz="0" w:space="0" w:color="auto"/>
        <w:bar w:val="none" w:sz="0" w:color="auto"/>
      </w:pBdr>
      <w:spacing w:after="100"/>
      <w:ind w:left="1680"/>
    </w:pPr>
    <w:rPr>
      <w:rFonts w:asciiTheme="minorHAnsi" w:eastAsiaTheme="minorEastAsia" w:hAnsiTheme="minorHAnsi" w:cstheme="minorBidi"/>
      <w:bdr w:val="none" w:sz="0" w:space="0" w:color="auto"/>
    </w:rPr>
  </w:style>
  <w:style w:type="paragraph" w:styleId="TOC9">
    <w:name w:val="toc 9"/>
    <w:basedOn w:val="Normal"/>
    <w:next w:val="Normal"/>
    <w:autoRedefine/>
    <w:uiPriority w:val="39"/>
    <w:semiHidden/>
    <w:unhideWhenUsed/>
    <w:rsid w:val="005959C4"/>
    <w:pPr>
      <w:pBdr>
        <w:top w:val="none" w:sz="0" w:space="0" w:color="auto"/>
        <w:left w:val="none" w:sz="0" w:space="0" w:color="auto"/>
        <w:bottom w:val="none" w:sz="0" w:space="0" w:color="auto"/>
        <w:right w:val="none" w:sz="0" w:space="0" w:color="auto"/>
        <w:between w:val="none" w:sz="0" w:space="0" w:color="auto"/>
        <w:bar w:val="none" w:sz="0" w:color="auto"/>
      </w:pBdr>
      <w:spacing w:after="100"/>
      <w:ind w:left="1920"/>
    </w:pPr>
    <w:rPr>
      <w:rFonts w:asciiTheme="minorHAnsi" w:eastAsiaTheme="minorEastAsia" w:hAnsiTheme="minorHAnsi" w:cstheme="minorBidi"/>
      <w:bdr w:val="none" w:sz="0" w:space="0" w:color="auto"/>
    </w:rPr>
  </w:style>
  <w:style w:type="character" w:customStyle="1" w:styleId="lrzxr">
    <w:name w:val="lrzxr"/>
    <w:basedOn w:val="DefaultParagraphFont"/>
    <w:rsid w:val="00945F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27233">
      <w:bodyDiv w:val="1"/>
      <w:marLeft w:val="0"/>
      <w:marRight w:val="0"/>
      <w:marTop w:val="0"/>
      <w:marBottom w:val="0"/>
      <w:divBdr>
        <w:top w:val="none" w:sz="0" w:space="0" w:color="auto"/>
        <w:left w:val="none" w:sz="0" w:space="0" w:color="auto"/>
        <w:bottom w:val="none" w:sz="0" w:space="0" w:color="auto"/>
        <w:right w:val="none" w:sz="0" w:space="0" w:color="auto"/>
      </w:divBdr>
    </w:div>
    <w:div w:id="156844588">
      <w:bodyDiv w:val="1"/>
      <w:marLeft w:val="0"/>
      <w:marRight w:val="0"/>
      <w:marTop w:val="0"/>
      <w:marBottom w:val="0"/>
      <w:divBdr>
        <w:top w:val="none" w:sz="0" w:space="0" w:color="auto"/>
        <w:left w:val="none" w:sz="0" w:space="0" w:color="auto"/>
        <w:bottom w:val="none" w:sz="0" w:space="0" w:color="auto"/>
        <w:right w:val="none" w:sz="0" w:space="0" w:color="auto"/>
      </w:divBdr>
    </w:div>
    <w:div w:id="194271308">
      <w:bodyDiv w:val="1"/>
      <w:marLeft w:val="0"/>
      <w:marRight w:val="0"/>
      <w:marTop w:val="0"/>
      <w:marBottom w:val="0"/>
      <w:divBdr>
        <w:top w:val="none" w:sz="0" w:space="0" w:color="auto"/>
        <w:left w:val="none" w:sz="0" w:space="0" w:color="auto"/>
        <w:bottom w:val="none" w:sz="0" w:space="0" w:color="auto"/>
        <w:right w:val="none" w:sz="0" w:space="0" w:color="auto"/>
      </w:divBdr>
      <w:divsChild>
        <w:div w:id="1203322251">
          <w:marLeft w:val="0"/>
          <w:marRight w:val="0"/>
          <w:marTop w:val="0"/>
          <w:marBottom w:val="0"/>
          <w:divBdr>
            <w:top w:val="none" w:sz="0" w:space="0" w:color="auto"/>
            <w:left w:val="none" w:sz="0" w:space="0" w:color="auto"/>
            <w:bottom w:val="none" w:sz="0" w:space="0" w:color="auto"/>
            <w:right w:val="none" w:sz="0" w:space="0" w:color="auto"/>
          </w:divBdr>
          <w:divsChild>
            <w:div w:id="1713653426">
              <w:marLeft w:val="0"/>
              <w:marRight w:val="0"/>
              <w:marTop w:val="0"/>
              <w:marBottom w:val="0"/>
              <w:divBdr>
                <w:top w:val="none" w:sz="0" w:space="0" w:color="auto"/>
                <w:left w:val="none" w:sz="0" w:space="0" w:color="auto"/>
                <w:bottom w:val="none" w:sz="0" w:space="0" w:color="auto"/>
                <w:right w:val="none" w:sz="0" w:space="0" w:color="auto"/>
              </w:divBdr>
              <w:divsChild>
                <w:div w:id="836772265">
                  <w:marLeft w:val="0"/>
                  <w:marRight w:val="0"/>
                  <w:marTop w:val="0"/>
                  <w:marBottom w:val="0"/>
                  <w:divBdr>
                    <w:top w:val="none" w:sz="0" w:space="0" w:color="auto"/>
                    <w:left w:val="none" w:sz="0" w:space="0" w:color="auto"/>
                    <w:bottom w:val="none" w:sz="0" w:space="0" w:color="auto"/>
                    <w:right w:val="none" w:sz="0" w:space="0" w:color="auto"/>
                  </w:divBdr>
                  <w:divsChild>
                    <w:div w:id="43332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074026">
      <w:bodyDiv w:val="1"/>
      <w:marLeft w:val="0"/>
      <w:marRight w:val="0"/>
      <w:marTop w:val="0"/>
      <w:marBottom w:val="0"/>
      <w:divBdr>
        <w:top w:val="none" w:sz="0" w:space="0" w:color="auto"/>
        <w:left w:val="none" w:sz="0" w:space="0" w:color="auto"/>
        <w:bottom w:val="none" w:sz="0" w:space="0" w:color="auto"/>
        <w:right w:val="none" w:sz="0" w:space="0" w:color="auto"/>
      </w:divBdr>
      <w:divsChild>
        <w:div w:id="1975478883">
          <w:marLeft w:val="0"/>
          <w:marRight w:val="0"/>
          <w:marTop w:val="0"/>
          <w:marBottom w:val="0"/>
          <w:divBdr>
            <w:top w:val="none" w:sz="0" w:space="0" w:color="auto"/>
            <w:left w:val="none" w:sz="0" w:space="0" w:color="auto"/>
            <w:bottom w:val="none" w:sz="0" w:space="0" w:color="auto"/>
            <w:right w:val="none" w:sz="0" w:space="0" w:color="auto"/>
          </w:divBdr>
          <w:divsChild>
            <w:div w:id="1400009269">
              <w:marLeft w:val="0"/>
              <w:marRight w:val="0"/>
              <w:marTop w:val="0"/>
              <w:marBottom w:val="0"/>
              <w:divBdr>
                <w:top w:val="none" w:sz="0" w:space="0" w:color="auto"/>
                <w:left w:val="none" w:sz="0" w:space="0" w:color="auto"/>
                <w:bottom w:val="none" w:sz="0" w:space="0" w:color="auto"/>
                <w:right w:val="none" w:sz="0" w:space="0" w:color="auto"/>
              </w:divBdr>
              <w:divsChild>
                <w:div w:id="798299683">
                  <w:marLeft w:val="0"/>
                  <w:marRight w:val="0"/>
                  <w:marTop w:val="0"/>
                  <w:marBottom w:val="0"/>
                  <w:divBdr>
                    <w:top w:val="none" w:sz="0" w:space="0" w:color="auto"/>
                    <w:left w:val="none" w:sz="0" w:space="0" w:color="auto"/>
                    <w:bottom w:val="none" w:sz="0" w:space="0" w:color="auto"/>
                    <w:right w:val="none" w:sz="0" w:space="0" w:color="auto"/>
                  </w:divBdr>
                  <w:divsChild>
                    <w:div w:id="152573708">
                      <w:marLeft w:val="0"/>
                      <w:marRight w:val="0"/>
                      <w:marTop w:val="0"/>
                      <w:marBottom w:val="0"/>
                      <w:divBdr>
                        <w:top w:val="none" w:sz="0" w:space="0" w:color="auto"/>
                        <w:left w:val="none" w:sz="0" w:space="0" w:color="auto"/>
                        <w:bottom w:val="none" w:sz="0" w:space="0" w:color="auto"/>
                        <w:right w:val="none" w:sz="0" w:space="0" w:color="auto"/>
                      </w:divBdr>
                      <w:divsChild>
                        <w:div w:id="1884057718">
                          <w:marLeft w:val="0"/>
                          <w:marRight w:val="0"/>
                          <w:marTop w:val="0"/>
                          <w:marBottom w:val="0"/>
                          <w:divBdr>
                            <w:top w:val="none" w:sz="0" w:space="0" w:color="auto"/>
                            <w:left w:val="none" w:sz="0" w:space="0" w:color="auto"/>
                            <w:bottom w:val="none" w:sz="0" w:space="0" w:color="auto"/>
                            <w:right w:val="none" w:sz="0" w:space="0" w:color="auto"/>
                          </w:divBdr>
                          <w:divsChild>
                            <w:div w:id="160700384">
                              <w:marLeft w:val="0"/>
                              <w:marRight w:val="0"/>
                              <w:marTop w:val="0"/>
                              <w:marBottom w:val="0"/>
                              <w:divBdr>
                                <w:top w:val="none" w:sz="0" w:space="0" w:color="auto"/>
                                <w:left w:val="none" w:sz="0" w:space="0" w:color="auto"/>
                                <w:bottom w:val="none" w:sz="0" w:space="0" w:color="auto"/>
                                <w:right w:val="none" w:sz="0" w:space="0" w:color="auto"/>
                              </w:divBdr>
                              <w:divsChild>
                                <w:div w:id="16741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0210197">
      <w:bodyDiv w:val="1"/>
      <w:marLeft w:val="0"/>
      <w:marRight w:val="0"/>
      <w:marTop w:val="0"/>
      <w:marBottom w:val="0"/>
      <w:divBdr>
        <w:top w:val="none" w:sz="0" w:space="0" w:color="auto"/>
        <w:left w:val="none" w:sz="0" w:space="0" w:color="auto"/>
        <w:bottom w:val="none" w:sz="0" w:space="0" w:color="auto"/>
        <w:right w:val="none" w:sz="0" w:space="0" w:color="auto"/>
      </w:divBdr>
    </w:div>
    <w:div w:id="352271413">
      <w:bodyDiv w:val="1"/>
      <w:marLeft w:val="0"/>
      <w:marRight w:val="0"/>
      <w:marTop w:val="0"/>
      <w:marBottom w:val="0"/>
      <w:divBdr>
        <w:top w:val="none" w:sz="0" w:space="0" w:color="auto"/>
        <w:left w:val="none" w:sz="0" w:space="0" w:color="auto"/>
        <w:bottom w:val="none" w:sz="0" w:space="0" w:color="auto"/>
        <w:right w:val="none" w:sz="0" w:space="0" w:color="auto"/>
      </w:divBdr>
    </w:div>
    <w:div w:id="355473771">
      <w:bodyDiv w:val="1"/>
      <w:marLeft w:val="0"/>
      <w:marRight w:val="0"/>
      <w:marTop w:val="0"/>
      <w:marBottom w:val="0"/>
      <w:divBdr>
        <w:top w:val="none" w:sz="0" w:space="0" w:color="auto"/>
        <w:left w:val="none" w:sz="0" w:space="0" w:color="auto"/>
        <w:bottom w:val="none" w:sz="0" w:space="0" w:color="auto"/>
        <w:right w:val="none" w:sz="0" w:space="0" w:color="auto"/>
      </w:divBdr>
    </w:div>
    <w:div w:id="368265033">
      <w:bodyDiv w:val="1"/>
      <w:marLeft w:val="0"/>
      <w:marRight w:val="0"/>
      <w:marTop w:val="0"/>
      <w:marBottom w:val="0"/>
      <w:divBdr>
        <w:top w:val="none" w:sz="0" w:space="0" w:color="auto"/>
        <w:left w:val="none" w:sz="0" w:space="0" w:color="auto"/>
        <w:bottom w:val="none" w:sz="0" w:space="0" w:color="auto"/>
        <w:right w:val="none" w:sz="0" w:space="0" w:color="auto"/>
      </w:divBdr>
    </w:div>
    <w:div w:id="393091193">
      <w:bodyDiv w:val="1"/>
      <w:marLeft w:val="0"/>
      <w:marRight w:val="0"/>
      <w:marTop w:val="0"/>
      <w:marBottom w:val="0"/>
      <w:divBdr>
        <w:top w:val="none" w:sz="0" w:space="0" w:color="auto"/>
        <w:left w:val="none" w:sz="0" w:space="0" w:color="auto"/>
        <w:bottom w:val="none" w:sz="0" w:space="0" w:color="auto"/>
        <w:right w:val="none" w:sz="0" w:space="0" w:color="auto"/>
      </w:divBdr>
      <w:divsChild>
        <w:div w:id="1649627225">
          <w:marLeft w:val="0"/>
          <w:marRight w:val="0"/>
          <w:marTop w:val="0"/>
          <w:marBottom w:val="0"/>
          <w:divBdr>
            <w:top w:val="none" w:sz="0" w:space="0" w:color="auto"/>
            <w:left w:val="none" w:sz="0" w:space="0" w:color="auto"/>
            <w:bottom w:val="none" w:sz="0" w:space="0" w:color="auto"/>
            <w:right w:val="none" w:sz="0" w:space="0" w:color="auto"/>
          </w:divBdr>
          <w:divsChild>
            <w:div w:id="4017487">
              <w:marLeft w:val="0"/>
              <w:marRight w:val="0"/>
              <w:marTop w:val="0"/>
              <w:marBottom w:val="0"/>
              <w:divBdr>
                <w:top w:val="none" w:sz="0" w:space="0" w:color="auto"/>
                <w:left w:val="none" w:sz="0" w:space="0" w:color="auto"/>
                <w:bottom w:val="none" w:sz="0" w:space="0" w:color="auto"/>
                <w:right w:val="none" w:sz="0" w:space="0" w:color="auto"/>
              </w:divBdr>
              <w:divsChild>
                <w:div w:id="1291277351">
                  <w:marLeft w:val="0"/>
                  <w:marRight w:val="0"/>
                  <w:marTop w:val="0"/>
                  <w:marBottom w:val="0"/>
                  <w:divBdr>
                    <w:top w:val="none" w:sz="0" w:space="0" w:color="auto"/>
                    <w:left w:val="none" w:sz="0" w:space="0" w:color="auto"/>
                    <w:bottom w:val="none" w:sz="0" w:space="0" w:color="auto"/>
                    <w:right w:val="none" w:sz="0" w:space="0" w:color="auto"/>
                  </w:divBdr>
                  <w:divsChild>
                    <w:div w:id="782266758">
                      <w:marLeft w:val="0"/>
                      <w:marRight w:val="0"/>
                      <w:marTop w:val="0"/>
                      <w:marBottom w:val="0"/>
                      <w:divBdr>
                        <w:top w:val="none" w:sz="0" w:space="0" w:color="auto"/>
                        <w:left w:val="none" w:sz="0" w:space="0" w:color="auto"/>
                        <w:bottom w:val="none" w:sz="0" w:space="0" w:color="auto"/>
                        <w:right w:val="none" w:sz="0" w:space="0" w:color="auto"/>
                      </w:divBdr>
                      <w:divsChild>
                        <w:div w:id="1929073658">
                          <w:marLeft w:val="0"/>
                          <w:marRight w:val="0"/>
                          <w:marTop w:val="0"/>
                          <w:marBottom w:val="0"/>
                          <w:divBdr>
                            <w:top w:val="none" w:sz="0" w:space="0" w:color="auto"/>
                            <w:left w:val="none" w:sz="0" w:space="0" w:color="auto"/>
                            <w:bottom w:val="none" w:sz="0" w:space="0" w:color="auto"/>
                            <w:right w:val="none" w:sz="0" w:space="0" w:color="auto"/>
                          </w:divBdr>
                          <w:divsChild>
                            <w:div w:id="1106317059">
                              <w:marLeft w:val="0"/>
                              <w:marRight w:val="0"/>
                              <w:marTop w:val="0"/>
                              <w:marBottom w:val="0"/>
                              <w:divBdr>
                                <w:top w:val="none" w:sz="0" w:space="0" w:color="auto"/>
                                <w:left w:val="none" w:sz="0" w:space="0" w:color="auto"/>
                                <w:bottom w:val="none" w:sz="0" w:space="0" w:color="auto"/>
                                <w:right w:val="none" w:sz="0" w:space="0" w:color="auto"/>
                              </w:divBdr>
                              <w:divsChild>
                                <w:div w:id="68540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4859559">
      <w:bodyDiv w:val="1"/>
      <w:marLeft w:val="0"/>
      <w:marRight w:val="0"/>
      <w:marTop w:val="0"/>
      <w:marBottom w:val="0"/>
      <w:divBdr>
        <w:top w:val="none" w:sz="0" w:space="0" w:color="auto"/>
        <w:left w:val="none" w:sz="0" w:space="0" w:color="auto"/>
        <w:bottom w:val="none" w:sz="0" w:space="0" w:color="auto"/>
        <w:right w:val="none" w:sz="0" w:space="0" w:color="auto"/>
      </w:divBdr>
    </w:div>
    <w:div w:id="522979538">
      <w:bodyDiv w:val="1"/>
      <w:marLeft w:val="0"/>
      <w:marRight w:val="0"/>
      <w:marTop w:val="0"/>
      <w:marBottom w:val="0"/>
      <w:divBdr>
        <w:top w:val="none" w:sz="0" w:space="0" w:color="auto"/>
        <w:left w:val="none" w:sz="0" w:space="0" w:color="auto"/>
        <w:bottom w:val="none" w:sz="0" w:space="0" w:color="auto"/>
        <w:right w:val="none" w:sz="0" w:space="0" w:color="auto"/>
      </w:divBdr>
      <w:divsChild>
        <w:div w:id="1795513171">
          <w:marLeft w:val="0"/>
          <w:marRight w:val="0"/>
          <w:marTop w:val="0"/>
          <w:marBottom w:val="0"/>
          <w:divBdr>
            <w:top w:val="none" w:sz="0" w:space="0" w:color="auto"/>
            <w:left w:val="none" w:sz="0" w:space="0" w:color="auto"/>
            <w:bottom w:val="none" w:sz="0" w:space="0" w:color="auto"/>
            <w:right w:val="none" w:sz="0" w:space="0" w:color="auto"/>
          </w:divBdr>
        </w:div>
      </w:divsChild>
    </w:div>
    <w:div w:id="566841561">
      <w:bodyDiv w:val="1"/>
      <w:marLeft w:val="0"/>
      <w:marRight w:val="0"/>
      <w:marTop w:val="0"/>
      <w:marBottom w:val="0"/>
      <w:divBdr>
        <w:top w:val="none" w:sz="0" w:space="0" w:color="auto"/>
        <w:left w:val="none" w:sz="0" w:space="0" w:color="auto"/>
        <w:bottom w:val="none" w:sz="0" w:space="0" w:color="auto"/>
        <w:right w:val="none" w:sz="0" w:space="0" w:color="auto"/>
      </w:divBdr>
    </w:div>
    <w:div w:id="593631155">
      <w:bodyDiv w:val="1"/>
      <w:marLeft w:val="0"/>
      <w:marRight w:val="0"/>
      <w:marTop w:val="0"/>
      <w:marBottom w:val="0"/>
      <w:divBdr>
        <w:top w:val="none" w:sz="0" w:space="0" w:color="auto"/>
        <w:left w:val="none" w:sz="0" w:space="0" w:color="auto"/>
        <w:bottom w:val="none" w:sz="0" w:space="0" w:color="auto"/>
        <w:right w:val="none" w:sz="0" w:space="0" w:color="auto"/>
      </w:divBdr>
    </w:div>
    <w:div w:id="626014000">
      <w:bodyDiv w:val="1"/>
      <w:marLeft w:val="0"/>
      <w:marRight w:val="0"/>
      <w:marTop w:val="0"/>
      <w:marBottom w:val="0"/>
      <w:divBdr>
        <w:top w:val="none" w:sz="0" w:space="0" w:color="auto"/>
        <w:left w:val="none" w:sz="0" w:space="0" w:color="auto"/>
        <w:bottom w:val="none" w:sz="0" w:space="0" w:color="auto"/>
        <w:right w:val="none" w:sz="0" w:space="0" w:color="auto"/>
      </w:divBdr>
    </w:div>
    <w:div w:id="761800827">
      <w:bodyDiv w:val="1"/>
      <w:marLeft w:val="0"/>
      <w:marRight w:val="0"/>
      <w:marTop w:val="0"/>
      <w:marBottom w:val="0"/>
      <w:divBdr>
        <w:top w:val="none" w:sz="0" w:space="0" w:color="auto"/>
        <w:left w:val="none" w:sz="0" w:space="0" w:color="auto"/>
        <w:bottom w:val="none" w:sz="0" w:space="0" w:color="auto"/>
        <w:right w:val="none" w:sz="0" w:space="0" w:color="auto"/>
      </w:divBdr>
    </w:div>
    <w:div w:id="790439445">
      <w:bodyDiv w:val="1"/>
      <w:marLeft w:val="0"/>
      <w:marRight w:val="0"/>
      <w:marTop w:val="0"/>
      <w:marBottom w:val="0"/>
      <w:divBdr>
        <w:top w:val="none" w:sz="0" w:space="0" w:color="auto"/>
        <w:left w:val="none" w:sz="0" w:space="0" w:color="auto"/>
        <w:bottom w:val="none" w:sz="0" w:space="0" w:color="auto"/>
        <w:right w:val="none" w:sz="0" w:space="0" w:color="auto"/>
      </w:divBdr>
    </w:div>
    <w:div w:id="816412868">
      <w:bodyDiv w:val="1"/>
      <w:marLeft w:val="0"/>
      <w:marRight w:val="0"/>
      <w:marTop w:val="0"/>
      <w:marBottom w:val="0"/>
      <w:divBdr>
        <w:top w:val="none" w:sz="0" w:space="0" w:color="auto"/>
        <w:left w:val="none" w:sz="0" w:space="0" w:color="auto"/>
        <w:bottom w:val="none" w:sz="0" w:space="0" w:color="auto"/>
        <w:right w:val="none" w:sz="0" w:space="0" w:color="auto"/>
      </w:divBdr>
    </w:div>
    <w:div w:id="980502561">
      <w:bodyDiv w:val="1"/>
      <w:marLeft w:val="0"/>
      <w:marRight w:val="0"/>
      <w:marTop w:val="0"/>
      <w:marBottom w:val="0"/>
      <w:divBdr>
        <w:top w:val="none" w:sz="0" w:space="0" w:color="auto"/>
        <w:left w:val="none" w:sz="0" w:space="0" w:color="auto"/>
        <w:bottom w:val="none" w:sz="0" w:space="0" w:color="auto"/>
        <w:right w:val="none" w:sz="0" w:space="0" w:color="auto"/>
      </w:divBdr>
    </w:div>
    <w:div w:id="982924564">
      <w:bodyDiv w:val="1"/>
      <w:marLeft w:val="0"/>
      <w:marRight w:val="0"/>
      <w:marTop w:val="0"/>
      <w:marBottom w:val="0"/>
      <w:divBdr>
        <w:top w:val="none" w:sz="0" w:space="0" w:color="auto"/>
        <w:left w:val="none" w:sz="0" w:space="0" w:color="auto"/>
        <w:bottom w:val="none" w:sz="0" w:space="0" w:color="auto"/>
        <w:right w:val="none" w:sz="0" w:space="0" w:color="auto"/>
      </w:divBdr>
    </w:div>
    <w:div w:id="1002781278">
      <w:bodyDiv w:val="1"/>
      <w:marLeft w:val="0"/>
      <w:marRight w:val="0"/>
      <w:marTop w:val="0"/>
      <w:marBottom w:val="0"/>
      <w:divBdr>
        <w:top w:val="none" w:sz="0" w:space="0" w:color="auto"/>
        <w:left w:val="none" w:sz="0" w:space="0" w:color="auto"/>
        <w:bottom w:val="none" w:sz="0" w:space="0" w:color="auto"/>
        <w:right w:val="none" w:sz="0" w:space="0" w:color="auto"/>
      </w:divBdr>
    </w:div>
    <w:div w:id="1007027173">
      <w:bodyDiv w:val="1"/>
      <w:marLeft w:val="0"/>
      <w:marRight w:val="0"/>
      <w:marTop w:val="0"/>
      <w:marBottom w:val="0"/>
      <w:divBdr>
        <w:top w:val="none" w:sz="0" w:space="0" w:color="auto"/>
        <w:left w:val="none" w:sz="0" w:space="0" w:color="auto"/>
        <w:bottom w:val="none" w:sz="0" w:space="0" w:color="auto"/>
        <w:right w:val="none" w:sz="0" w:space="0" w:color="auto"/>
      </w:divBdr>
    </w:div>
    <w:div w:id="1017468732">
      <w:bodyDiv w:val="1"/>
      <w:marLeft w:val="0"/>
      <w:marRight w:val="0"/>
      <w:marTop w:val="0"/>
      <w:marBottom w:val="0"/>
      <w:divBdr>
        <w:top w:val="none" w:sz="0" w:space="0" w:color="auto"/>
        <w:left w:val="none" w:sz="0" w:space="0" w:color="auto"/>
        <w:bottom w:val="none" w:sz="0" w:space="0" w:color="auto"/>
        <w:right w:val="none" w:sz="0" w:space="0" w:color="auto"/>
      </w:divBdr>
    </w:div>
    <w:div w:id="1055667373">
      <w:bodyDiv w:val="1"/>
      <w:marLeft w:val="0"/>
      <w:marRight w:val="0"/>
      <w:marTop w:val="0"/>
      <w:marBottom w:val="0"/>
      <w:divBdr>
        <w:top w:val="none" w:sz="0" w:space="0" w:color="auto"/>
        <w:left w:val="none" w:sz="0" w:space="0" w:color="auto"/>
        <w:bottom w:val="none" w:sz="0" w:space="0" w:color="auto"/>
        <w:right w:val="none" w:sz="0" w:space="0" w:color="auto"/>
      </w:divBdr>
    </w:div>
    <w:div w:id="1099327233">
      <w:bodyDiv w:val="1"/>
      <w:marLeft w:val="0"/>
      <w:marRight w:val="0"/>
      <w:marTop w:val="0"/>
      <w:marBottom w:val="0"/>
      <w:divBdr>
        <w:top w:val="none" w:sz="0" w:space="0" w:color="auto"/>
        <w:left w:val="none" w:sz="0" w:space="0" w:color="auto"/>
        <w:bottom w:val="none" w:sz="0" w:space="0" w:color="auto"/>
        <w:right w:val="none" w:sz="0" w:space="0" w:color="auto"/>
      </w:divBdr>
      <w:divsChild>
        <w:div w:id="20785627">
          <w:marLeft w:val="0"/>
          <w:marRight w:val="0"/>
          <w:marTop w:val="0"/>
          <w:marBottom w:val="0"/>
          <w:divBdr>
            <w:top w:val="none" w:sz="0" w:space="0" w:color="auto"/>
            <w:left w:val="none" w:sz="0" w:space="0" w:color="auto"/>
            <w:bottom w:val="none" w:sz="0" w:space="0" w:color="auto"/>
            <w:right w:val="none" w:sz="0" w:space="0" w:color="auto"/>
          </w:divBdr>
          <w:divsChild>
            <w:div w:id="848447052">
              <w:marLeft w:val="0"/>
              <w:marRight w:val="0"/>
              <w:marTop w:val="0"/>
              <w:marBottom w:val="0"/>
              <w:divBdr>
                <w:top w:val="none" w:sz="0" w:space="0" w:color="auto"/>
                <w:left w:val="none" w:sz="0" w:space="0" w:color="auto"/>
                <w:bottom w:val="none" w:sz="0" w:space="0" w:color="auto"/>
                <w:right w:val="none" w:sz="0" w:space="0" w:color="auto"/>
              </w:divBdr>
              <w:divsChild>
                <w:div w:id="1049576731">
                  <w:marLeft w:val="0"/>
                  <w:marRight w:val="0"/>
                  <w:marTop w:val="0"/>
                  <w:marBottom w:val="0"/>
                  <w:divBdr>
                    <w:top w:val="none" w:sz="0" w:space="0" w:color="auto"/>
                    <w:left w:val="none" w:sz="0" w:space="0" w:color="auto"/>
                    <w:bottom w:val="none" w:sz="0" w:space="0" w:color="auto"/>
                    <w:right w:val="none" w:sz="0" w:space="0" w:color="auto"/>
                  </w:divBdr>
                  <w:divsChild>
                    <w:div w:id="1333803344">
                      <w:marLeft w:val="0"/>
                      <w:marRight w:val="0"/>
                      <w:marTop w:val="0"/>
                      <w:marBottom w:val="0"/>
                      <w:divBdr>
                        <w:top w:val="none" w:sz="0" w:space="0" w:color="auto"/>
                        <w:left w:val="none" w:sz="0" w:space="0" w:color="auto"/>
                        <w:bottom w:val="none" w:sz="0" w:space="0" w:color="auto"/>
                        <w:right w:val="none" w:sz="0" w:space="0" w:color="auto"/>
                      </w:divBdr>
                      <w:divsChild>
                        <w:div w:id="194310848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842958">
      <w:bodyDiv w:val="1"/>
      <w:marLeft w:val="0"/>
      <w:marRight w:val="0"/>
      <w:marTop w:val="0"/>
      <w:marBottom w:val="0"/>
      <w:divBdr>
        <w:top w:val="none" w:sz="0" w:space="0" w:color="auto"/>
        <w:left w:val="none" w:sz="0" w:space="0" w:color="auto"/>
        <w:bottom w:val="none" w:sz="0" w:space="0" w:color="auto"/>
        <w:right w:val="none" w:sz="0" w:space="0" w:color="auto"/>
      </w:divBdr>
      <w:divsChild>
        <w:div w:id="1807619332">
          <w:marLeft w:val="0"/>
          <w:marRight w:val="0"/>
          <w:marTop w:val="0"/>
          <w:marBottom w:val="0"/>
          <w:divBdr>
            <w:top w:val="none" w:sz="0" w:space="0" w:color="auto"/>
            <w:left w:val="none" w:sz="0" w:space="0" w:color="auto"/>
            <w:bottom w:val="none" w:sz="0" w:space="0" w:color="auto"/>
            <w:right w:val="none" w:sz="0" w:space="0" w:color="auto"/>
          </w:divBdr>
          <w:divsChild>
            <w:div w:id="571547816">
              <w:marLeft w:val="0"/>
              <w:marRight w:val="0"/>
              <w:marTop w:val="0"/>
              <w:marBottom w:val="0"/>
              <w:divBdr>
                <w:top w:val="none" w:sz="0" w:space="0" w:color="auto"/>
                <w:left w:val="none" w:sz="0" w:space="0" w:color="auto"/>
                <w:bottom w:val="none" w:sz="0" w:space="0" w:color="auto"/>
                <w:right w:val="none" w:sz="0" w:space="0" w:color="auto"/>
              </w:divBdr>
              <w:divsChild>
                <w:div w:id="1018626426">
                  <w:marLeft w:val="0"/>
                  <w:marRight w:val="0"/>
                  <w:marTop w:val="0"/>
                  <w:marBottom w:val="0"/>
                  <w:divBdr>
                    <w:top w:val="none" w:sz="0" w:space="0" w:color="auto"/>
                    <w:left w:val="none" w:sz="0" w:space="0" w:color="auto"/>
                    <w:bottom w:val="none" w:sz="0" w:space="0" w:color="auto"/>
                    <w:right w:val="none" w:sz="0" w:space="0" w:color="auto"/>
                  </w:divBdr>
                  <w:divsChild>
                    <w:div w:id="148793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290396">
      <w:bodyDiv w:val="1"/>
      <w:marLeft w:val="0"/>
      <w:marRight w:val="0"/>
      <w:marTop w:val="0"/>
      <w:marBottom w:val="0"/>
      <w:divBdr>
        <w:top w:val="none" w:sz="0" w:space="0" w:color="auto"/>
        <w:left w:val="none" w:sz="0" w:space="0" w:color="auto"/>
        <w:bottom w:val="none" w:sz="0" w:space="0" w:color="auto"/>
        <w:right w:val="none" w:sz="0" w:space="0" w:color="auto"/>
      </w:divBdr>
    </w:div>
    <w:div w:id="1172794881">
      <w:bodyDiv w:val="1"/>
      <w:marLeft w:val="0"/>
      <w:marRight w:val="0"/>
      <w:marTop w:val="0"/>
      <w:marBottom w:val="0"/>
      <w:divBdr>
        <w:top w:val="none" w:sz="0" w:space="0" w:color="auto"/>
        <w:left w:val="none" w:sz="0" w:space="0" w:color="auto"/>
        <w:bottom w:val="none" w:sz="0" w:space="0" w:color="auto"/>
        <w:right w:val="none" w:sz="0" w:space="0" w:color="auto"/>
      </w:divBdr>
      <w:divsChild>
        <w:div w:id="1611014222">
          <w:marLeft w:val="0"/>
          <w:marRight w:val="0"/>
          <w:marTop w:val="0"/>
          <w:marBottom w:val="0"/>
          <w:divBdr>
            <w:top w:val="none" w:sz="0" w:space="0" w:color="auto"/>
            <w:left w:val="none" w:sz="0" w:space="0" w:color="auto"/>
            <w:bottom w:val="none" w:sz="0" w:space="0" w:color="auto"/>
            <w:right w:val="none" w:sz="0" w:space="0" w:color="auto"/>
          </w:divBdr>
        </w:div>
        <w:div w:id="1793983833">
          <w:marLeft w:val="0"/>
          <w:marRight w:val="0"/>
          <w:marTop w:val="0"/>
          <w:marBottom w:val="0"/>
          <w:divBdr>
            <w:top w:val="none" w:sz="0" w:space="0" w:color="auto"/>
            <w:left w:val="none" w:sz="0" w:space="0" w:color="auto"/>
            <w:bottom w:val="none" w:sz="0" w:space="0" w:color="auto"/>
            <w:right w:val="none" w:sz="0" w:space="0" w:color="auto"/>
          </w:divBdr>
        </w:div>
        <w:div w:id="806245953">
          <w:marLeft w:val="0"/>
          <w:marRight w:val="0"/>
          <w:marTop w:val="0"/>
          <w:marBottom w:val="0"/>
          <w:divBdr>
            <w:top w:val="none" w:sz="0" w:space="0" w:color="auto"/>
            <w:left w:val="none" w:sz="0" w:space="0" w:color="auto"/>
            <w:bottom w:val="none" w:sz="0" w:space="0" w:color="auto"/>
            <w:right w:val="none" w:sz="0" w:space="0" w:color="auto"/>
          </w:divBdr>
        </w:div>
        <w:div w:id="526989778">
          <w:marLeft w:val="0"/>
          <w:marRight w:val="0"/>
          <w:marTop w:val="0"/>
          <w:marBottom w:val="0"/>
          <w:divBdr>
            <w:top w:val="none" w:sz="0" w:space="0" w:color="auto"/>
            <w:left w:val="none" w:sz="0" w:space="0" w:color="auto"/>
            <w:bottom w:val="none" w:sz="0" w:space="0" w:color="auto"/>
            <w:right w:val="none" w:sz="0" w:space="0" w:color="auto"/>
          </w:divBdr>
        </w:div>
      </w:divsChild>
    </w:div>
    <w:div w:id="1174807074">
      <w:bodyDiv w:val="1"/>
      <w:marLeft w:val="0"/>
      <w:marRight w:val="0"/>
      <w:marTop w:val="0"/>
      <w:marBottom w:val="0"/>
      <w:divBdr>
        <w:top w:val="none" w:sz="0" w:space="0" w:color="auto"/>
        <w:left w:val="none" w:sz="0" w:space="0" w:color="auto"/>
        <w:bottom w:val="none" w:sz="0" w:space="0" w:color="auto"/>
        <w:right w:val="none" w:sz="0" w:space="0" w:color="auto"/>
      </w:divBdr>
    </w:div>
    <w:div w:id="1240137861">
      <w:bodyDiv w:val="1"/>
      <w:marLeft w:val="0"/>
      <w:marRight w:val="0"/>
      <w:marTop w:val="0"/>
      <w:marBottom w:val="0"/>
      <w:divBdr>
        <w:top w:val="none" w:sz="0" w:space="0" w:color="auto"/>
        <w:left w:val="none" w:sz="0" w:space="0" w:color="auto"/>
        <w:bottom w:val="none" w:sz="0" w:space="0" w:color="auto"/>
        <w:right w:val="none" w:sz="0" w:space="0" w:color="auto"/>
      </w:divBdr>
      <w:divsChild>
        <w:div w:id="1585185547">
          <w:marLeft w:val="0"/>
          <w:marRight w:val="0"/>
          <w:marTop w:val="0"/>
          <w:marBottom w:val="0"/>
          <w:divBdr>
            <w:top w:val="none" w:sz="0" w:space="0" w:color="auto"/>
            <w:left w:val="none" w:sz="0" w:space="0" w:color="auto"/>
            <w:bottom w:val="none" w:sz="0" w:space="0" w:color="auto"/>
            <w:right w:val="none" w:sz="0" w:space="0" w:color="auto"/>
          </w:divBdr>
          <w:divsChild>
            <w:div w:id="2088572715">
              <w:marLeft w:val="0"/>
              <w:marRight w:val="0"/>
              <w:marTop w:val="0"/>
              <w:marBottom w:val="0"/>
              <w:divBdr>
                <w:top w:val="single" w:sz="6" w:space="0" w:color="CCCCCC"/>
                <w:left w:val="single" w:sz="6" w:space="0" w:color="CCCCCC"/>
                <w:bottom w:val="single" w:sz="6" w:space="0" w:color="CCCCCC"/>
                <w:right w:val="single" w:sz="6" w:space="0" w:color="CCCCCC"/>
              </w:divBdr>
              <w:divsChild>
                <w:div w:id="1099329160">
                  <w:marLeft w:val="0"/>
                  <w:marRight w:val="0"/>
                  <w:marTop w:val="0"/>
                  <w:marBottom w:val="0"/>
                  <w:divBdr>
                    <w:top w:val="none" w:sz="0" w:space="0" w:color="auto"/>
                    <w:left w:val="none" w:sz="0" w:space="0" w:color="auto"/>
                    <w:bottom w:val="none" w:sz="0" w:space="0" w:color="auto"/>
                    <w:right w:val="none" w:sz="0" w:space="0" w:color="auto"/>
                  </w:divBdr>
                  <w:divsChild>
                    <w:div w:id="1194071810">
                      <w:marLeft w:val="0"/>
                      <w:marRight w:val="0"/>
                      <w:marTop w:val="0"/>
                      <w:marBottom w:val="0"/>
                      <w:divBdr>
                        <w:top w:val="none" w:sz="0" w:space="0" w:color="auto"/>
                        <w:left w:val="none" w:sz="0" w:space="0" w:color="auto"/>
                        <w:bottom w:val="none" w:sz="0" w:space="0" w:color="auto"/>
                        <w:right w:val="none" w:sz="0" w:space="0" w:color="auto"/>
                      </w:divBdr>
                      <w:divsChild>
                        <w:div w:id="1103498750">
                          <w:marLeft w:val="120"/>
                          <w:marRight w:val="120"/>
                          <w:marTop w:val="60"/>
                          <w:marBottom w:val="60"/>
                          <w:divBdr>
                            <w:top w:val="none" w:sz="0" w:space="0" w:color="auto"/>
                            <w:left w:val="none" w:sz="0" w:space="0" w:color="auto"/>
                            <w:bottom w:val="none" w:sz="0" w:space="0" w:color="auto"/>
                            <w:right w:val="none" w:sz="0" w:space="0" w:color="auto"/>
                          </w:divBdr>
                          <w:divsChild>
                            <w:div w:id="367722524">
                              <w:marLeft w:val="0"/>
                              <w:marRight w:val="0"/>
                              <w:marTop w:val="0"/>
                              <w:marBottom w:val="0"/>
                              <w:divBdr>
                                <w:top w:val="none" w:sz="0" w:space="0" w:color="auto"/>
                                <w:left w:val="none" w:sz="0" w:space="0" w:color="auto"/>
                                <w:bottom w:val="none" w:sz="0" w:space="0" w:color="auto"/>
                                <w:right w:val="none" w:sz="0" w:space="0" w:color="auto"/>
                              </w:divBdr>
                              <w:divsChild>
                                <w:div w:id="622005663">
                                  <w:marLeft w:val="0"/>
                                  <w:marRight w:val="0"/>
                                  <w:marTop w:val="0"/>
                                  <w:marBottom w:val="0"/>
                                  <w:divBdr>
                                    <w:top w:val="none" w:sz="0" w:space="0" w:color="auto"/>
                                    <w:left w:val="none" w:sz="0" w:space="0" w:color="auto"/>
                                    <w:bottom w:val="none" w:sz="0" w:space="0" w:color="auto"/>
                                    <w:right w:val="none" w:sz="0" w:space="0" w:color="auto"/>
                                  </w:divBdr>
                                  <w:divsChild>
                                    <w:div w:id="859204787">
                                      <w:marLeft w:val="0"/>
                                      <w:marRight w:val="0"/>
                                      <w:marTop w:val="0"/>
                                      <w:marBottom w:val="0"/>
                                      <w:divBdr>
                                        <w:top w:val="none" w:sz="0" w:space="0" w:color="auto"/>
                                        <w:left w:val="none" w:sz="0" w:space="0" w:color="auto"/>
                                        <w:bottom w:val="none" w:sz="0" w:space="0" w:color="auto"/>
                                        <w:right w:val="none" w:sz="0" w:space="0" w:color="auto"/>
                                      </w:divBdr>
                                      <w:divsChild>
                                        <w:div w:id="110762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1574359">
      <w:bodyDiv w:val="1"/>
      <w:marLeft w:val="0"/>
      <w:marRight w:val="0"/>
      <w:marTop w:val="0"/>
      <w:marBottom w:val="0"/>
      <w:divBdr>
        <w:top w:val="none" w:sz="0" w:space="0" w:color="auto"/>
        <w:left w:val="none" w:sz="0" w:space="0" w:color="auto"/>
        <w:bottom w:val="none" w:sz="0" w:space="0" w:color="auto"/>
        <w:right w:val="none" w:sz="0" w:space="0" w:color="auto"/>
      </w:divBdr>
    </w:div>
    <w:div w:id="1338386776">
      <w:bodyDiv w:val="1"/>
      <w:marLeft w:val="0"/>
      <w:marRight w:val="0"/>
      <w:marTop w:val="0"/>
      <w:marBottom w:val="0"/>
      <w:divBdr>
        <w:top w:val="none" w:sz="0" w:space="0" w:color="auto"/>
        <w:left w:val="none" w:sz="0" w:space="0" w:color="auto"/>
        <w:bottom w:val="none" w:sz="0" w:space="0" w:color="auto"/>
        <w:right w:val="none" w:sz="0" w:space="0" w:color="auto"/>
      </w:divBdr>
    </w:div>
    <w:div w:id="1357653825">
      <w:bodyDiv w:val="1"/>
      <w:marLeft w:val="0"/>
      <w:marRight w:val="0"/>
      <w:marTop w:val="0"/>
      <w:marBottom w:val="0"/>
      <w:divBdr>
        <w:top w:val="none" w:sz="0" w:space="0" w:color="auto"/>
        <w:left w:val="none" w:sz="0" w:space="0" w:color="auto"/>
        <w:bottom w:val="none" w:sz="0" w:space="0" w:color="auto"/>
        <w:right w:val="none" w:sz="0" w:space="0" w:color="auto"/>
      </w:divBdr>
    </w:div>
    <w:div w:id="1383098725">
      <w:bodyDiv w:val="1"/>
      <w:marLeft w:val="0"/>
      <w:marRight w:val="0"/>
      <w:marTop w:val="0"/>
      <w:marBottom w:val="0"/>
      <w:divBdr>
        <w:top w:val="none" w:sz="0" w:space="0" w:color="auto"/>
        <w:left w:val="none" w:sz="0" w:space="0" w:color="auto"/>
        <w:bottom w:val="none" w:sz="0" w:space="0" w:color="auto"/>
        <w:right w:val="none" w:sz="0" w:space="0" w:color="auto"/>
      </w:divBdr>
    </w:div>
    <w:div w:id="1473477607">
      <w:bodyDiv w:val="1"/>
      <w:marLeft w:val="0"/>
      <w:marRight w:val="0"/>
      <w:marTop w:val="0"/>
      <w:marBottom w:val="0"/>
      <w:divBdr>
        <w:top w:val="none" w:sz="0" w:space="0" w:color="auto"/>
        <w:left w:val="none" w:sz="0" w:space="0" w:color="auto"/>
        <w:bottom w:val="none" w:sz="0" w:space="0" w:color="auto"/>
        <w:right w:val="none" w:sz="0" w:space="0" w:color="auto"/>
      </w:divBdr>
      <w:divsChild>
        <w:div w:id="1589925443">
          <w:marLeft w:val="0"/>
          <w:marRight w:val="0"/>
          <w:marTop w:val="0"/>
          <w:marBottom w:val="0"/>
          <w:divBdr>
            <w:top w:val="none" w:sz="0" w:space="0" w:color="auto"/>
            <w:left w:val="none" w:sz="0" w:space="0" w:color="auto"/>
            <w:bottom w:val="none" w:sz="0" w:space="0" w:color="auto"/>
            <w:right w:val="none" w:sz="0" w:space="0" w:color="auto"/>
          </w:divBdr>
          <w:divsChild>
            <w:div w:id="993527217">
              <w:marLeft w:val="0"/>
              <w:marRight w:val="0"/>
              <w:marTop w:val="0"/>
              <w:marBottom w:val="0"/>
              <w:divBdr>
                <w:top w:val="none" w:sz="0" w:space="0" w:color="auto"/>
                <w:left w:val="none" w:sz="0" w:space="0" w:color="auto"/>
                <w:bottom w:val="none" w:sz="0" w:space="0" w:color="auto"/>
                <w:right w:val="none" w:sz="0" w:space="0" w:color="auto"/>
              </w:divBdr>
              <w:divsChild>
                <w:div w:id="507714316">
                  <w:marLeft w:val="0"/>
                  <w:marRight w:val="0"/>
                  <w:marTop w:val="0"/>
                  <w:marBottom w:val="0"/>
                  <w:divBdr>
                    <w:top w:val="none" w:sz="0" w:space="0" w:color="auto"/>
                    <w:left w:val="none" w:sz="0" w:space="0" w:color="auto"/>
                    <w:bottom w:val="none" w:sz="0" w:space="0" w:color="auto"/>
                    <w:right w:val="none" w:sz="0" w:space="0" w:color="auto"/>
                  </w:divBdr>
                  <w:divsChild>
                    <w:div w:id="50282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898747">
      <w:bodyDiv w:val="1"/>
      <w:marLeft w:val="0"/>
      <w:marRight w:val="0"/>
      <w:marTop w:val="0"/>
      <w:marBottom w:val="0"/>
      <w:divBdr>
        <w:top w:val="none" w:sz="0" w:space="0" w:color="auto"/>
        <w:left w:val="none" w:sz="0" w:space="0" w:color="auto"/>
        <w:bottom w:val="none" w:sz="0" w:space="0" w:color="auto"/>
        <w:right w:val="none" w:sz="0" w:space="0" w:color="auto"/>
      </w:divBdr>
    </w:div>
    <w:div w:id="1646351925">
      <w:bodyDiv w:val="1"/>
      <w:marLeft w:val="0"/>
      <w:marRight w:val="0"/>
      <w:marTop w:val="0"/>
      <w:marBottom w:val="0"/>
      <w:divBdr>
        <w:top w:val="none" w:sz="0" w:space="0" w:color="auto"/>
        <w:left w:val="none" w:sz="0" w:space="0" w:color="auto"/>
        <w:bottom w:val="none" w:sz="0" w:space="0" w:color="auto"/>
        <w:right w:val="none" w:sz="0" w:space="0" w:color="auto"/>
      </w:divBdr>
    </w:div>
    <w:div w:id="1725983883">
      <w:bodyDiv w:val="1"/>
      <w:marLeft w:val="0"/>
      <w:marRight w:val="0"/>
      <w:marTop w:val="0"/>
      <w:marBottom w:val="0"/>
      <w:divBdr>
        <w:top w:val="none" w:sz="0" w:space="0" w:color="auto"/>
        <w:left w:val="none" w:sz="0" w:space="0" w:color="auto"/>
        <w:bottom w:val="none" w:sz="0" w:space="0" w:color="auto"/>
        <w:right w:val="none" w:sz="0" w:space="0" w:color="auto"/>
      </w:divBdr>
    </w:div>
    <w:div w:id="1762683216">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790003743">
      <w:bodyDiv w:val="1"/>
      <w:marLeft w:val="0"/>
      <w:marRight w:val="0"/>
      <w:marTop w:val="0"/>
      <w:marBottom w:val="0"/>
      <w:divBdr>
        <w:top w:val="none" w:sz="0" w:space="0" w:color="auto"/>
        <w:left w:val="none" w:sz="0" w:space="0" w:color="auto"/>
        <w:bottom w:val="none" w:sz="0" w:space="0" w:color="auto"/>
        <w:right w:val="none" w:sz="0" w:space="0" w:color="auto"/>
      </w:divBdr>
      <w:divsChild>
        <w:div w:id="767655073">
          <w:marLeft w:val="0"/>
          <w:marRight w:val="0"/>
          <w:marTop w:val="0"/>
          <w:marBottom w:val="0"/>
          <w:divBdr>
            <w:top w:val="none" w:sz="0" w:space="0" w:color="auto"/>
            <w:left w:val="none" w:sz="0" w:space="0" w:color="auto"/>
            <w:bottom w:val="none" w:sz="0" w:space="0" w:color="auto"/>
            <w:right w:val="none" w:sz="0" w:space="0" w:color="auto"/>
          </w:divBdr>
        </w:div>
        <w:div w:id="1626814703">
          <w:marLeft w:val="0"/>
          <w:marRight w:val="0"/>
          <w:marTop w:val="0"/>
          <w:marBottom w:val="0"/>
          <w:divBdr>
            <w:top w:val="none" w:sz="0" w:space="0" w:color="auto"/>
            <w:left w:val="none" w:sz="0" w:space="0" w:color="auto"/>
            <w:bottom w:val="none" w:sz="0" w:space="0" w:color="auto"/>
            <w:right w:val="none" w:sz="0" w:space="0" w:color="auto"/>
          </w:divBdr>
        </w:div>
        <w:div w:id="1134443401">
          <w:marLeft w:val="0"/>
          <w:marRight w:val="0"/>
          <w:marTop w:val="0"/>
          <w:marBottom w:val="0"/>
          <w:divBdr>
            <w:top w:val="none" w:sz="0" w:space="0" w:color="auto"/>
            <w:left w:val="none" w:sz="0" w:space="0" w:color="auto"/>
            <w:bottom w:val="none" w:sz="0" w:space="0" w:color="auto"/>
            <w:right w:val="none" w:sz="0" w:space="0" w:color="auto"/>
          </w:divBdr>
        </w:div>
        <w:div w:id="228153966">
          <w:marLeft w:val="0"/>
          <w:marRight w:val="0"/>
          <w:marTop w:val="0"/>
          <w:marBottom w:val="0"/>
          <w:divBdr>
            <w:top w:val="none" w:sz="0" w:space="0" w:color="auto"/>
            <w:left w:val="none" w:sz="0" w:space="0" w:color="auto"/>
            <w:bottom w:val="none" w:sz="0" w:space="0" w:color="auto"/>
            <w:right w:val="none" w:sz="0" w:space="0" w:color="auto"/>
          </w:divBdr>
        </w:div>
        <w:div w:id="1658072371">
          <w:marLeft w:val="0"/>
          <w:marRight w:val="0"/>
          <w:marTop w:val="0"/>
          <w:marBottom w:val="0"/>
          <w:divBdr>
            <w:top w:val="none" w:sz="0" w:space="0" w:color="auto"/>
            <w:left w:val="none" w:sz="0" w:space="0" w:color="auto"/>
            <w:bottom w:val="none" w:sz="0" w:space="0" w:color="auto"/>
            <w:right w:val="none" w:sz="0" w:space="0" w:color="auto"/>
          </w:divBdr>
        </w:div>
        <w:div w:id="627473343">
          <w:marLeft w:val="0"/>
          <w:marRight w:val="0"/>
          <w:marTop w:val="0"/>
          <w:marBottom w:val="0"/>
          <w:divBdr>
            <w:top w:val="none" w:sz="0" w:space="0" w:color="auto"/>
            <w:left w:val="none" w:sz="0" w:space="0" w:color="auto"/>
            <w:bottom w:val="none" w:sz="0" w:space="0" w:color="auto"/>
            <w:right w:val="none" w:sz="0" w:space="0" w:color="auto"/>
          </w:divBdr>
        </w:div>
      </w:divsChild>
    </w:div>
    <w:div w:id="1836145564">
      <w:bodyDiv w:val="1"/>
      <w:marLeft w:val="0"/>
      <w:marRight w:val="0"/>
      <w:marTop w:val="0"/>
      <w:marBottom w:val="0"/>
      <w:divBdr>
        <w:top w:val="none" w:sz="0" w:space="0" w:color="auto"/>
        <w:left w:val="none" w:sz="0" w:space="0" w:color="auto"/>
        <w:bottom w:val="none" w:sz="0" w:space="0" w:color="auto"/>
        <w:right w:val="none" w:sz="0" w:space="0" w:color="auto"/>
      </w:divBdr>
    </w:div>
    <w:div w:id="1903635541">
      <w:bodyDiv w:val="1"/>
      <w:marLeft w:val="0"/>
      <w:marRight w:val="0"/>
      <w:marTop w:val="0"/>
      <w:marBottom w:val="0"/>
      <w:divBdr>
        <w:top w:val="none" w:sz="0" w:space="0" w:color="auto"/>
        <w:left w:val="none" w:sz="0" w:space="0" w:color="auto"/>
        <w:bottom w:val="none" w:sz="0" w:space="0" w:color="auto"/>
        <w:right w:val="none" w:sz="0" w:space="0" w:color="auto"/>
      </w:divBdr>
      <w:divsChild>
        <w:div w:id="656811691">
          <w:marLeft w:val="0"/>
          <w:marRight w:val="0"/>
          <w:marTop w:val="0"/>
          <w:marBottom w:val="0"/>
          <w:divBdr>
            <w:top w:val="none" w:sz="0" w:space="0" w:color="auto"/>
            <w:left w:val="none" w:sz="0" w:space="0" w:color="auto"/>
            <w:bottom w:val="none" w:sz="0" w:space="0" w:color="auto"/>
            <w:right w:val="none" w:sz="0" w:space="0" w:color="auto"/>
          </w:divBdr>
          <w:divsChild>
            <w:div w:id="627511008">
              <w:marLeft w:val="0"/>
              <w:marRight w:val="0"/>
              <w:marTop w:val="0"/>
              <w:marBottom w:val="0"/>
              <w:divBdr>
                <w:top w:val="none" w:sz="0" w:space="0" w:color="auto"/>
                <w:left w:val="none" w:sz="0" w:space="0" w:color="auto"/>
                <w:bottom w:val="none" w:sz="0" w:space="0" w:color="auto"/>
                <w:right w:val="none" w:sz="0" w:space="0" w:color="auto"/>
              </w:divBdr>
              <w:divsChild>
                <w:div w:id="189897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960237">
      <w:bodyDiv w:val="1"/>
      <w:marLeft w:val="0"/>
      <w:marRight w:val="0"/>
      <w:marTop w:val="0"/>
      <w:marBottom w:val="0"/>
      <w:divBdr>
        <w:top w:val="none" w:sz="0" w:space="0" w:color="auto"/>
        <w:left w:val="none" w:sz="0" w:space="0" w:color="auto"/>
        <w:bottom w:val="none" w:sz="0" w:space="0" w:color="auto"/>
        <w:right w:val="none" w:sz="0" w:space="0" w:color="auto"/>
      </w:divBdr>
    </w:div>
    <w:div w:id="2075160282">
      <w:bodyDiv w:val="1"/>
      <w:marLeft w:val="0"/>
      <w:marRight w:val="0"/>
      <w:marTop w:val="0"/>
      <w:marBottom w:val="0"/>
      <w:divBdr>
        <w:top w:val="none" w:sz="0" w:space="0" w:color="auto"/>
        <w:left w:val="none" w:sz="0" w:space="0" w:color="auto"/>
        <w:bottom w:val="none" w:sz="0" w:space="0" w:color="auto"/>
        <w:right w:val="none" w:sz="0" w:space="0" w:color="auto"/>
      </w:divBdr>
    </w:div>
    <w:div w:id="2106148263">
      <w:bodyDiv w:val="1"/>
      <w:marLeft w:val="0"/>
      <w:marRight w:val="0"/>
      <w:marTop w:val="0"/>
      <w:marBottom w:val="0"/>
      <w:divBdr>
        <w:top w:val="none" w:sz="0" w:space="0" w:color="auto"/>
        <w:left w:val="none" w:sz="0" w:space="0" w:color="auto"/>
        <w:bottom w:val="none" w:sz="0" w:space="0" w:color="auto"/>
        <w:right w:val="none" w:sz="0" w:space="0" w:color="auto"/>
      </w:divBdr>
    </w:div>
    <w:div w:id="21104699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www.govinfo.gov/content/pkg/USCOURTS-ca8-08-01749/pdf/USCOURTS-ca8-08-01749-0.pdf" TargetMode="External"/><Relationship Id="rId2" Type="http://schemas.openxmlformats.org/officeDocument/2006/relationships/hyperlink" Target="https://www.scotusblog.com/case-files/cases/umana-v-united-states/" TargetMode="External"/><Relationship Id="rId1" Type="http://schemas.openxmlformats.org/officeDocument/2006/relationships/hyperlink" Target="https://www.leagle.com/decision/infdco20170127r69" TargetMode="External"/><Relationship Id="rId5" Type="http://schemas.openxmlformats.org/officeDocument/2006/relationships/hyperlink" Target="https://www.nytimes.com/2002/03/23/us/4-immigrant-killings-linked-to-russian-kidnapping-gang.html" TargetMode="External"/><Relationship Id="rId4" Type="http://schemas.openxmlformats.org/officeDocument/2006/relationships/hyperlink" Target="https://www.supremecourt.gov/search.aspx?filename=/docket/docketfiles/html/public/18-7489.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2A050E-F1E9-D04F-BE3F-C6126C4F6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9133</Words>
  <Characters>52063</Characters>
  <Application>Microsoft Office Word</Application>
  <DocSecurity>0</DocSecurity>
  <Lines>433</Lines>
  <Paragraphs>122</Paragraphs>
  <ScaleCrop>false</ScaleCrop>
  <Company/>
  <LinksUpToDate>false</LinksUpToDate>
  <CharactersWithSpaces>61074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2023-11-14T22:30:00Z</dcterms:created>
  <dcterms:modified xsi:type="dcterms:W3CDTF">2023-11-14T22:30:00Z</dcterms:modified>
</cp:coreProperties>
</file>