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A4A4B" w14:textId="77777777" w:rsidR="00B17F6A" w:rsidRPr="00B17F6A" w:rsidRDefault="00B17F6A" w:rsidP="00B17F6A">
      <w:pPr>
        <w:jc w:val="both"/>
        <w:rPr>
          <w:rFonts w:asciiTheme="majorHAnsi" w:hAnsiTheme="majorHAnsi" w:cs="Univers"/>
          <w:b/>
          <w:bCs/>
          <w:sz w:val="22"/>
          <w:szCs w:val="22"/>
        </w:rPr>
      </w:pPr>
      <w:r w:rsidRPr="00B17F6A">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604EA545" wp14:editId="442729FF">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9D6EA89" id="Rectangle 1" o:spid="_x0000_s1026" style="position:absolute;margin-left:-32.75pt;margin-top:-28.1pt;width:111pt;height:70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" fillcolor="#67ae3c" stroked="f" strokeweight="2pt"/>
            </w:pict>
          </mc:Fallback>
        </mc:AlternateContent>
      </w:r>
      <w:r w:rsidRPr="00B17F6A">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2D8304FD" wp14:editId="16632039">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9BB71" w14:textId="77777777" w:rsidR="00B17F6A" w:rsidRDefault="00B17F6A" w:rsidP="00B17F6A">
                            <w:r>
                              <w:rPr>
                                <w:noProof/>
                              </w:rPr>
                              <w:drawing>
                                <wp:inline distT="0" distB="0" distL="0" distR="0" wp14:anchorId="5A98C321" wp14:editId="3182A42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304FD"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FF9BB71" w14:textId="77777777" w:rsidR="00B17F6A" w:rsidRDefault="00B17F6A" w:rsidP="00B17F6A">
                      <w:r>
                        <w:rPr>
                          <w:noProof/>
                        </w:rPr>
                        <w:drawing>
                          <wp:inline distT="0" distB="0" distL="0" distR="0" wp14:anchorId="5A98C321" wp14:editId="3182A42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7F90E407" w14:textId="77777777" w:rsidR="00B17F6A" w:rsidRPr="00B17F6A" w:rsidRDefault="00B17F6A" w:rsidP="00B17F6A">
      <w:pPr>
        <w:tabs>
          <w:tab w:val="center" w:pos="5400"/>
        </w:tabs>
        <w:suppressAutoHyphens/>
        <w:jc w:val="both"/>
        <w:rPr>
          <w:rFonts w:asciiTheme="majorHAnsi" w:hAnsiTheme="majorHAnsi"/>
          <w:sz w:val="22"/>
          <w:szCs w:val="22"/>
        </w:rPr>
      </w:pPr>
    </w:p>
    <w:p w14:paraId="7488D700" w14:textId="77777777" w:rsidR="00B17F6A" w:rsidRPr="00B17F6A" w:rsidRDefault="00B17F6A" w:rsidP="00B17F6A">
      <w:pPr>
        <w:tabs>
          <w:tab w:val="center" w:pos="5400"/>
        </w:tabs>
        <w:suppressAutoHyphens/>
        <w:jc w:val="both"/>
        <w:rPr>
          <w:rFonts w:asciiTheme="majorHAnsi" w:hAnsiTheme="majorHAnsi"/>
          <w:sz w:val="22"/>
          <w:szCs w:val="22"/>
        </w:rPr>
      </w:pPr>
    </w:p>
    <w:p w14:paraId="40AD21F2" w14:textId="77777777" w:rsidR="00B17F6A" w:rsidRPr="00B17F6A" w:rsidRDefault="00B17F6A" w:rsidP="00B17F6A">
      <w:pPr>
        <w:tabs>
          <w:tab w:val="center" w:pos="5400"/>
        </w:tabs>
        <w:suppressAutoHyphens/>
        <w:rPr>
          <w:rFonts w:asciiTheme="majorHAnsi" w:hAnsiTheme="majorHAnsi"/>
          <w:sz w:val="22"/>
          <w:szCs w:val="22"/>
        </w:rPr>
      </w:pPr>
    </w:p>
    <w:p w14:paraId="4CFC1FFF" w14:textId="77777777" w:rsidR="00B17F6A" w:rsidRPr="00B17F6A" w:rsidRDefault="00B17F6A" w:rsidP="00B17F6A">
      <w:pPr>
        <w:tabs>
          <w:tab w:val="center" w:pos="5400"/>
        </w:tabs>
        <w:suppressAutoHyphens/>
        <w:rPr>
          <w:rFonts w:asciiTheme="majorHAnsi" w:hAnsiTheme="majorHAnsi"/>
          <w:sz w:val="22"/>
          <w:szCs w:val="22"/>
        </w:rPr>
      </w:pPr>
    </w:p>
    <w:p w14:paraId="7F6466BB" w14:textId="77777777" w:rsidR="00B17F6A" w:rsidRPr="00B17F6A" w:rsidRDefault="00B17F6A" w:rsidP="00B17F6A">
      <w:pPr>
        <w:tabs>
          <w:tab w:val="center" w:pos="5400"/>
        </w:tabs>
        <w:suppressAutoHyphens/>
        <w:rPr>
          <w:rFonts w:asciiTheme="majorHAnsi" w:hAnsiTheme="majorHAnsi"/>
          <w:sz w:val="22"/>
          <w:szCs w:val="22"/>
        </w:rPr>
      </w:pPr>
    </w:p>
    <w:p w14:paraId="49C5FFC1" w14:textId="77777777" w:rsidR="00B17F6A" w:rsidRPr="00B17F6A" w:rsidRDefault="00B17F6A" w:rsidP="00B17F6A">
      <w:pPr>
        <w:tabs>
          <w:tab w:val="center" w:pos="5400"/>
        </w:tabs>
        <w:suppressAutoHyphens/>
        <w:jc w:val="center"/>
        <w:rPr>
          <w:rFonts w:asciiTheme="majorHAnsi" w:hAnsiTheme="majorHAnsi"/>
          <w:sz w:val="22"/>
          <w:szCs w:val="22"/>
        </w:rPr>
      </w:pPr>
    </w:p>
    <w:p w14:paraId="4BF177A3" w14:textId="77777777" w:rsidR="00B17F6A" w:rsidRPr="00B17F6A" w:rsidRDefault="00B17F6A" w:rsidP="00B17F6A">
      <w:pPr>
        <w:tabs>
          <w:tab w:val="center" w:pos="5400"/>
        </w:tabs>
        <w:suppressAutoHyphens/>
        <w:jc w:val="center"/>
        <w:rPr>
          <w:rFonts w:asciiTheme="majorHAnsi" w:hAnsiTheme="majorHAnsi"/>
          <w:sz w:val="22"/>
          <w:szCs w:val="22"/>
        </w:rPr>
      </w:pPr>
    </w:p>
    <w:p w14:paraId="098790F8" w14:textId="77777777" w:rsidR="00B17F6A" w:rsidRPr="00B17F6A" w:rsidRDefault="00B17F6A" w:rsidP="00B17F6A">
      <w:pPr>
        <w:tabs>
          <w:tab w:val="center" w:pos="5400"/>
        </w:tabs>
        <w:suppressAutoHyphens/>
        <w:jc w:val="center"/>
        <w:rPr>
          <w:rFonts w:asciiTheme="majorHAnsi" w:hAnsiTheme="majorHAnsi"/>
          <w:sz w:val="22"/>
          <w:szCs w:val="22"/>
        </w:rPr>
      </w:pPr>
    </w:p>
    <w:p w14:paraId="30D12B06" w14:textId="77777777" w:rsidR="00B17F6A" w:rsidRPr="00B17F6A" w:rsidRDefault="00B17F6A" w:rsidP="00B17F6A">
      <w:pPr>
        <w:tabs>
          <w:tab w:val="center" w:pos="5400"/>
        </w:tabs>
        <w:suppressAutoHyphens/>
        <w:jc w:val="center"/>
        <w:rPr>
          <w:rFonts w:asciiTheme="majorHAnsi" w:hAnsiTheme="majorHAnsi"/>
          <w:sz w:val="22"/>
          <w:szCs w:val="22"/>
        </w:rPr>
      </w:pPr>
    </w:p>
    <w:p w14:paraId="636C501B" w14:textId="77777777" w:rsidR="00B17F6A" w:rsidRPr="00B17F6A" w:rsidRDefault="00B17F6A" w:rsidP="00B17F6A">
      <w:pPr>
        <w:tabs>
          <w:tab w:val="center" w:pos="5400"/>
        </w:tabs>
        <w:suppressAutoHyphens/>
        <w:jc w:val="center"/>
        <w:rPr>
          <w:rFonts w:asciiTheme="majorHAnsi" w:hAnsiTheme="majorHAnsi"/>
          <w:sz w:val="22"/>
          <w:szCs w:val="22"/>
        </w:rPr>
      </w:pPr>
    </w:p>
    <w:p w14:paraId="4D4A0E39" w14:textId="77777777" w:rsidR="00B17F6A" w:rsidRPr="00B17F6A" w:rsidRDefault="00B17F6A" w:rsidP="00B17F6A">
      <w:pPr>
        <w:tabs>
          <w:tab w:val="center" w:pos="5400"/>
        </w:tabs>
        <w:suppressAutoHyphens/>
        <w:jc w:val="center"/>
        <w:rPr>
          <w:rFonts w:asciiTheme="majorHAnsi" w:hAnsiTheme="majorHAnsi"/>
          <w:sz w:val="22"/>
          <w:szCs w:val="22"/>
        </w:rPr>
      </w:pPr>
    </w:p>
    <w:p w14:paraId="2D10888F" w14:textId="77777777" w:rsidR="00B17F6A" w:rsidRPr="00B17F6A" w:rsidRDefault="00B17F6A" w:rsidP="00B17F6A">
      <w:pPr>
        <w:tabs>
          <w:tab w:val="center" w:pos="5400"/>
        </w:tabs>
        <w:suppressAutoHyphens/>
        <w:jc w:val="center"/>
        <w:rPr>
          <w:rFonts w:asciiTheme="majorHAnsi" w:hAnsiTheme="majorHAnsi"/>
          <w:sz w:val="22"/>
          <w:szCs w:val="22"/>
        </w:rPr>
      </w:pPr>
    </w:p>
    <w:p w14:paraId="6E53A658" w14:textId="77777777" w:rsidR="00B17F6A" w:rsidRPr="00B17F6A" w:rsidRDefault="00B17F6A" w:rsidP="00B17F6A">
      <w:pPr>
        <w:tabs>
          <w:tab w:val="center" w:pos="5400"/>
        </w:tabs>
        <w:suppressAutoHyphens/>
        <w:jc w:val="center"/>
        <w:rPr>
          <w:rFonts w:asciiTheme="majorHAnsi" w:hAnsiTheme="majorHAnsi"/>
          <w:sz w:val="22"/>
          <w:szCs w:val="22"/>
        </w:rPr>
      </w:pPr>
    </w:p>
    <w:p w14:paraId="1A217A5A" w14:textId="77777777" w:rsidR="00B17F6A" w:rsidRPr="00B17F6A" w:rsidRDefault="00B17F6A" w:rsidP="00B17F6A">
      <w:pPr>
        <w:tabs>
          <w:tab w:val="center" w:pos="5400"/>
        </w:tabs>
        <w:suppressAutoHyphens/>
        <w:jc w:val="center"/>
        <w:rPr>
          <w:rFonts w:asciiTheme="majorHAnsi" w:hAnsiTheme="majorHAnsi"/>
          <w:sz w:val="22"/>
          <w:szCs w:val="22"/>
        </w:rPr>
      </w:pPr>
      <w:r w:rsidRPr="00B17F6A">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73D7FB07" wp14:editId="3FC630F5">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E12E5B" w14:textId="20DB92B5" w:rsidR="00B17F6A" w:rsidRPr="006C1B70" w:rsidRDefault="00B17F6A" w:rsidP="00B17F6A">
                            <w:pPr>
                              <w:spacing w:line="276" w:lineRule="auto"/>
                              <w:rPr>
                                <w:rFonts w:asciiTheme="majorHAnsi" w:hAnsiTheme="majorHAnsi" w:cs="Arial"/>
                                <w:b/>
                                <w:bCs/>
                                <w:color w:val="0D0D0D" w:themeColor="text1" w:themeTint="F2"/>
                                <w:sz w:val="36"/>
                                <w:szCs w:val="40"/>
                              </w:rPr>
                            </w:pPr>
                            <w:r w:rsidRPr="006C1B70">
                              <w:rPr>
                                <w:rFonts w:asciiTheme="majorHAnsi" w:hAnsiTheme="majorHAnsi" w:cs="Arial"/>
                                <w:b/>
                                <w:bCs/>
                                <w:color w:val="0D0D0D" w:themeColor="text1" w:themeTint="F2"/>
                                <w:sz w:val="36"/>
                                <w:szCs w:val="40"/>
                              </w:rPr>
                              <w:t xml:space="preserve">REPORT No. </w:t>
                            </w:r>
                            <w:r w:rsidR="00D11595">
                              <w:rPr>
                                <w:rFonts w:asciiTheme="majorHAnsi" w:hAnsiTheme="majorHAnsi" w:cs="Arial"/>
                                <w:b/>
                                <w:bCs/>
                                <w:color w:val="0D0D0D" w:themeColor="text1" w:themeTint="F2"/>
                                <w:sz w:val="36"/>
                                <w:szCs w:val="40"/>
                              </w:rPr>
                              <w:t>231</w:t>
                            </w:r>
                            <w:r w:rsidRPr="006C1B70">
                              <w:rPr>
                                <w:rFonts w:asciiTheme="majorHAnsi" w:hAnsiTheme="majorHAnsi" w:cs="Arial"/>
                                <w:b/>
                                <w:bCs/>
                                <w:color w:val="0D0D0D" w:themeColor="text1" w:themeTint="F2"/>
                                <w:sz w:val="36"/>
                                <w:szCs w:val="40"/>
                              </w:rPr>
                              <w:t>/24</w:t>
                            </w:r>
                          </w:p>
                          <w:p w14:paraId="08BC5B5D" w14:textId="538B544B" w:rsidR="00B17F6A" w:rsidRPr="006C1B70" w:rsidRDefault="00B17F6A" w:rsidP="00B17F6A">
                            <w:pPr>
                              <w:spacing w:line="276" w:lineRule="auto"/>
                              <w:rPr>
                                <w:rFonts w:asciiTheme="majorHAnsi" w:hAnsiTheme="majorHAnsi" w:cs="Arial"/>
                                <w:b/>
                                <w:bCs/>
                                <w:color w:val="0D0D0D" w:themeColor="text1" w:themeTint="F2"/>
                                <w:sz w:val="36"/>
                                <w:szCs w:val="40"/>
                              </w:rPr>
                            </w:pPr>
                            <w:r w:rsidRPr="006C1B70">
                              <w:rPr>
                                <w:rFonts w:asciiTheme="majorHAnsi" w:hAnsiTheme="majorHAnsi" w:cs="Arial"/>
                                <w:b/>
                                <w:bCs/>
                                <w:color w:val="0D0D0D" w:themeColor="text1" w:themeTint="F2"/>
                                <w:sz w:val="36"/>
                                <w:szCs w:val="40"/>
                              </w:rPr>
                              <w:t xml:space="preserve">PETITION </w:t>
                            </w:r>
                            <w:r>
                              <w:rPr>
                                <w:rFonts w:asciiTheme="majorHAnsi" w:hAnsiTheme="majorHAnsi" w:cs="Arial"/>
                                <w:b/>
                                <w:bCs/>
                                <w:color w:val="0D0D0D" w:themeColor="text1" w:themeTint="F2"/>
                                <w:sz w:val="36"/>
                                <w:szCs w:val="40"/>
                              </w:rPr>
                              <w:t>1751</w:t>
                            </w:r>
                            <w:r w:rsidRPr="006C1B70">
                              <w:rPr>
                                <w:rFonts w:asciiTheme="majorHAnsi" w:hAnsiTheme="majorHAnsi" w:cs="Arial"/>
                                <w:b/>
                                <w:bCs/>
                                <w:color w:val="0D0D0D" w:themeColor="text1" w:themeTint="F2"/>
                                <w:sz w:val="36"/>
                                <w:szCs w:val="40"/>
                              </w:rPr>
                              <w:t>-14</w:t>
                            </w:r>
                          </w:p>
                          <w:p w14:paraId="3D09AD77" w14:textId="77777777" w:rsidR="00B17F6A" w:rsidRPr="006C1B70" w:rsidRDefault="00B17F6A" w:rsidP="00B17F6A">
                            <w:pPr>
                              <w:spacing w:line="276" w:lineRule="auto"/>
                              <w:rPr>
                                <w:rFonts w:asciiTheme="majorHAnsi" w:hAnsiTheme="majorHAnsi" w:cs="Arial"/>
                                <w:color w:val="0D0D0D" w:themeColor="text1" w:themeTint="F2"/>
                                <w:szCs w:val="22"/>
                              </w:rPr>
                            </w:pPr>
                            <w:r w:rsidRPr="006C1B70">
                              <w:rPr>
                                <w:rFonts w:asciiTheme="majorHAnsi" w:hAnsiTheme="majorHAnsi" w:cs="Arial"/>
                                <w:color w:val="0D0D0D" w:themeColor="text1" w:themeTint="F2"/>
                                <w:szCs w:val="22"/>
                              </w:rPr>
                              <w:t>REPORT ON ADMISSIBILITY</w:t>
                            </w:r>
                          </w:p>
                          <w:p w14:paraId="37508E4A" w14:textId="77777777" w:rsidR="00B17F6A" w:rsidRPr="006C1B70" w:rsidRDefault="00B17F6A" w:rsidP="00B17F6A">
                            <w:pPr>
                              <w:spacing w:line="276" w:lineRule="auto"/>
                              <w:rPr>
                                <w:rFonts w:asciiTheme="majorHAnsi" w:hAnsiTheme="majorHAnsi" w:cs="Arial"/>
                                <w:color w:val="0D0D0D" w:themeColor="text1" w:themeTint="F2"/>
                                <w:szCs w:val="22"/>
                              </w:rPr>
                            </w:pPr>
                          </w:p>
                          <w:p w14:paraId="286F817B" w14:textId="4F7CB0B6" w:rsidR="00B17F6A" w:rsidRPr="00E16546" w:rsidRDefault="00B17F6A" w:rsidP="00B17F6A">
                            <w:pPr>
                              <w:spacing w:line="276" w:lineRule="auto"/>
                              <w:rPr>
                                <w:rFonts w:asciiTheme="majorHAnsi" w:hAnsiTheme="majorHAnsi" w:cs="Arial"/>
                                <w:color w:val="0D0D0D" w:themeColor="text1" w:themeTint="F2"/>
                                <w:szCs w:val="22"/>
                                <w:u w:val="single"/>
                              </w:rPr>
                            </w:pPr>
                            <w:r w:rsidRPr="00E16546">
                              <w:rPr>
                                <w:rFonts w:asciiTheme="majorHAnsi" w:hAnsiTheme="majorHAnsi" w:cs="Arial"/>
                                <w:color w:val="0D0D0D" w:themeColor="text1" w:themeTint="F2"/>
                                <w:szCs w:val="22"/>
                              </w:rPr>
                              <w:t xml:space="preserve">NICANOR MORALES RODRÍGUEZ </w:t>
                            </w:r>
                            <w:r w:rsidR="00690993">
                              <w:rPr>
                                <w:rFonts w:asciiTheme="majorHAnsi" w:hAnsiTheme="majorHAnsi" w:cs="Arial"/>
                                <w:color w:val="0D0D0D" w:themeColor="text1" w:themeTint="F2"/>
                                <w:szCs w:val="22"/>
                              </w:rPr>
                              <w:t>&amp;</w:t>
                            </w:r>
                            <w:r w:rsidRPr="00E16546">
                              <w:rPr>
                                <w:rFonts w:asciiTheme="majorHAnsi" w:hAnsiTheme="majorHAnsi" w:cs="Arial"/>
                                <w:color w:val="0D0D0D" w:themeColor="text1" w:themeTint="F2"/>
                                <w:szCs w:val="22"/>
                              </w:rPr>
                              <w:t xml:space="preserve"> RELATIVES</w:t>
                            </w:r>
                          </w:p>
                          <w:p w14:paraId="58C701EE" w14:textId="77777777" w:rsidR="00B17F6A" w:rsidRPr="003F3E4F" w:rsidRDefault="00B17F6A" w:rsidP="00B17F6A">
                            <w:pPr>
                              <w:spacing w:line="276" w:lineRule="auto"/>
                              <w:rPr>
                                <w:rFonts w:asciiTheme="majorHAnsi" w:hAnsiTheme="majorHAnsi"/>
                                <w:color w:val="0D0D0D" w:themeColor="text1" w:themeTint="F2"/>
                                <w:lang w:val="es-US"/>
                              </w:rPr>
                            </w:pPr>
                            <w:r w:rsidRPr="003F3E4F">
                              <w:rPr>
                                <w:rFonts w:asciiTheme="majorHAnsi" w:hAnsiTheme="majorHAnsi" w:cs="Arial"/>
                                <w:color w:val="0D0D0D" w:themeColor="text1" w:themeTint="F2"/>
                                <w:szCs w:val="22"/>
                                <w:lang w:val="es-U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7FB07" id="Text Box 5" o:spid="_x0000_s1027" type="#_x0000_t202" style="position:absolute;left:0;text-align:left;margin-left:95.25pt;margin-top:6.25pt;width:341.25pt;height:18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BE12E5B" w14:textId="20DB92B5" w:rsidR="00B17F6A" w:rsidRPr="006C1B70" w:rsidRDefault="00B17F6A" w:rsidP="00B17F6A">
                      <w:pPr>
                        <w:spacing w:line="276" w:lineRule="auto"/>
                        <w:rPr>
                          <w:rFonts w:asciiTheme="majorHAnsi" w:hAnsiTheme="majorHAnsi" w:cs="Arial"/>
                          <w:b/>
                          <w:bCs/>
                          <w:color w:val="0D0D0D" w:themeColor="text1" w:themeTint="F2"/>
                          <w:sz w:val="36"/>
                          <w:szCs w:val="40"/>
                        </w:rPr>
                      </w:pPr>
                      <w:r w:rsidRPr="006C1B70">
                        <w:rPr>
                          <w:rFonts w:asciiTheme="majorHAnsi" w:hAnsiTheme="majorHAnsi" w:cs="Arial"/>
                          <w:b/>
                          <w:bCs/>
                          <w:color w:val="0D0D0D" w:themeColor="text1" w:themeTint="F2"/>
                          <w:sz w:val="36"/>
                          <w:szCs w:val="40"/>
                        </w:rPr>
                        <w:t xml:space="preserve">REPORT No. </w:t>
                      </w:r>
                      <w:r w:rsidR="00D11595">
                        <w:rPr>
                          <w:rFonts w:asciiTheme="majorHAnsi" w:hAnsiTheme="majorHAnsi" w:cs="Arial"/>
                          <w:b/>
                          <w:bCs/>
                          <w:color w:val="0D0D0D" w:themeColor="text1" w:themeTint="F2"/>
                          <w:sz w:val="36"/>
                          <w:szCs w:val="40"/>
                        </w:rPr>
                        <w:t>231</w:t>
                      </w:r>
                      <w:r w:rsidRPr="006C1B70">
                        <w:rPr>
                          <w:rFonts w:asciiTheme="majorHAnsi" w:hAnsiTheme="majorHAnsi" w:cs="Arial"/>
                          <w:b/>
                          <w:bCs/>
                          <w:color w:val="0D0D0D" w:themeColor="text1" w:themeTint="F2"/>
                          <w:sz w:val="36"/>
                          <w:szCs w:val="40"/>
                        </w:rPr>
                        <w:t>/24</w:t>
                      </w:r>
                    </w:p>
                    <w:p w14:paraId="08BC5B5D" w14:textId="538B544B" w:rsidR="00B17F6A" w:rsidRPr="006C1B70" w:rsidRDefault="00B17F6A" w:rsidP="00B17F6A">
                      <w:pPr>
                        <w:spacing w:line="276" w:lineRule="auto"/>
                        <w:rPr>
                          <w:rFonts w:asciiTheme="majorHAnsi" w:hAnsiTheme="majorHAnsi" w:cs="Arial"/>
                          <w:b/>
                          <w:bCs/>
                          <w:color w:val="0D0D0D" w:themeColor="text1" w:themeTint="F2"/>
                          <w:sz w:val="36"/>
                          <w:szCs w:val="40"/>
                        </w:rPr>
                      </w:pPr>
                      <w:r w:rsidRPr="006C1B70">
                        <w:rPr>
                          <w:rFonts w:asciiTheme="majorHAnsi" w:hAnsiTheme="majorHAnsi" w:cs="Arial"/>
                          <w:b/>
                          <w:bCs/>
                          <w:color w:val="0D0D0D" w:themeColor="text1" w:themeTint="F2"/>
                          <w:sz w:val="36"/>
                          <w:szCs w:val="40"/>
                        </w:rPr>
                        <w:t xml:space="preserve">PETITION </w:t>
                      </w:r>
                      <w:r>
                        <w:rPr>
                          <w:rFonts w:asciiTheme="majorHAnsi" w:hAnsiTheme="majorHAnsi" w:cs="Arial"/>
                          <w:b/>
                          <w:bCs/>
                          <w:color w:val="0D0D0D" w:themeColor="text1" w:themeTint="F2"/>
                          <w:sz w:val="36"/>
                          <w:szCs w:val="40"/>
                        </w:rPr>
                        <w:t>1751</w:t>
                      </w:r>
                      <w:r w:rsidRPr="006C1B70">
                        <w:rPr>
                          <w:rFonts w:asciiTheme="majorHAnsi" w:hAnsiTheme="majorHAnsi" w:cs="Arial"/>
                          <w:b/>
                          <w:bCs/>
                          <w:color w:val="0D0D0D" w:themeColor="text1" w:themeTint="F2"/>
                          <w:sz w:val="36"/>
                          <w:szCs w:val="40"/>
                        </w:rPr>
                        <w:t>-14</w:t>
                      </w:r>
                    </w:p>
                    <w:p w14:paraId="3D09AD77" w14:textId="77777777" w:rsidR="00B17F6A" w:rsidRPr="006C1B70" w:rsidRDefault="00B17F6A" w:rsidP="00B17F6A">
                      <w:pPr>
                        <w:spacing w:line="276" w:lineRule="auto"/>
                        <w:rPr>
                          <w:rFonts w:asciiTheme="majorHAnsi" w:hAnsiTheme="majorHAnsi" w:cs="Arial"/>
                          <w:color w:val="0D0D0D" w:themeColor="text1" w:themeTint="F2"/>
                          <w:szCs w:val="22"/>
                        </w:rPr>
                      </w:pPr>
                      <w:r w:rsidRPr="006C1B70">
                        <w:rPr>
                          <w:rFonts w:asciiTheme="majorHAnsi" w:hAnsiTheme="majorHAnsi" w:cs="Arial"/>
                          <w:color w:val="0D0D0D" w:themeColor="text1" w:themeTint="F2"/>
                          <w:szCs w:val="22"/>
                        </w:rPr>
                        <w:t>REPORT ON ADMISSIBILITY</w:t>
                      </w:r>
                    </w:p>
                    <w:p w14:paraId="37508E4A" w14:textId="77777777" w:rsidR="00B17F6A" w:rsidRPr="006C1B70" w:rsidRDefault="00B17F6A" w:rsidP="00B17F6A">
                      <w:pPr>
                        <w:spacing w:line="276" w:lineRule="auto"/>
                        <w:rPr>
                          <w:rFonts w:asciiTheme="majorHAnsi" w:hAnsiTheme="majorHAnsi" w:cs="Arial"/>
                          <w:color w:val="0D0D0D" w:themeColor="text1" w:themeTint="F2"/>
                          <w:szCs w:val="22"/>
                        </w:rPr>
                      </w:pPr>
                    </w:p>
                    <w:p w14:paraId="286F817B" w14:textId="4F7CB0B6" w:rsidR="00B17F6A" w:rsidRPr="00E16546" w:rsidRDefault="00B17F6A" w:rsidP="00B17F6A">
                      <w:pPr>
                        <w:spacing w:line="276" w:lineRule="auto"/>
                        <w:rPr>
                          <w:rFonts w:asciiTheme="majorHAnsi" w:hAnsiTheme="majorHAnsi" w:cs="Arial"/>
                          <w:color w:val="0D0D0D" w:themeColor="text1" w:themeTint="F2"/>
                          <w:szCs w:val="22"/>
                          <w:u w:val="single"/>
                        </w:rPr>
                      </w:pPr>
                      <w:r w:rsidRPr="00E16546">
                        <w:rPr>
                          <w:rFonts w:asciiTheme="majorHAnsi" w:hAnsiTheme="majorHAnsi" w:cs="Arial"/>
                          <w:color w:val="0D0D0D" w:themeColor="text1" w:themeTint="F2"/>
                          <w:szCs w:val="22"/>
                        </w:rPr>
                        <w:t xml:space="preserve">NICANOR MORALES RODRÍGUEZ </w:t>
                      </w:r>
                      <w:r w:rsidR="00690993">
                        <w:rPr>
                          <w:rFonts w:asciiTheme="majorHAnsi" w:hAnsiTheme="majorHAnsi" w:cs="Arial"/>
                          <w:color w:val="0D0D0D" w:themeColor="text1" w:themeTint="F2"/>
                          <w:szCs w:val="22"/>
                        </w:rPr>
                        <w:t>&amp;</w:t>
                      </w:r>
                      <w:r w:rsidRPr="00E16546">
                        <w:rPr>
                          <w:rFonts w:asciiTheme="majorHAnsi" w:hAnsiTheme="majorHAnsi" w:cs="Arial"/>
                          <w:color w:val="0D0D0D" w:themeColor="text1" w:themeTint="F2"/>
                          <w:szCs w:val="22"/>
                        </w:rPr>
                        <w:t xml:space="preserve"> RELATIVES</w:t>
                      </w:r>
                    </w:p>
                    <w:p w14:paraId="58C701EE" w14:textId="77777777" w:rsidR="00B17F6A" w:rsidRPr="003F3E4F" w:rsidRDefault="00B17F6A" w:rsidP="00B17F6A">
                      <w:pPr>
                        <w:spacing w:line="276" w:lineRule="auto"/>
                        <w:rPr>
                          <w:rFonts w:asciiTheme="majorHAnsi" w:hAnsiTheme="majorHAnsi"/>
                          <w:color w:val="0D0D0D" w:themeColor="text1" w:themeTint="F2"/>
                          <w:lang w:val="es-US"/>
                        </w:rPr>
                      </w:pPr>
                      <w:r w:rsidRPr="003F3E4F">
                        <w:rPr>
                          <w:rFonts w:asciiTheme="majorHAnsi" w:hAnsiTheme="majorHAnsi" w:cs="Arial"/>
                          <w:color w:val="0D0D0D" w:themeColor="text1" w:themeTint="F2"/>
                          <w:szCs w:val="22"/>
                          <w:lang w:val="es-US"/>
                        </w:rPr>
                        <w:t>COLOMBIA</w:t>
                      </w:r>
                    </w:p>
                  </w:txbxContent>
                </v:textbox>
              </v:shape>
            </w:pict>
          </mc:Fallback>
        </mc:AlternateContent>
      </w:r>
      <w:r w:rsidRPr="00B17F6A">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150F2C2" wp14:editId="097DC87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A1F4C8" w14:textId="2297DE95" w:rsidR="00B17F6A" w:rsidRPr="006C1B70" w:rsidRDefault="00B17F6A" w:rsidP="00B17F6A">
                            <w:pPr>
                              <w:jc w:val="right"/>
                              <w:rPr>
                                <w:rFonts w:asciiTheme="minorHAnsi" w:hAnsiTheme="minorHAnsi"/>
                                <w:color w:val="FFFFFF" w:themeColor="background1"/>
                                <w:sz w:val="22"/>
                                <w:lang w:val="pt-BR"/>
                              </w:rPr>
                            </w:pPr>
                            <w:r w:rsidRPr="006C1B70">
                              <w:rPr>
                                <w:rFonts w:asciiTheme="minorHAnsi" w:hAnsiTheme="minorHAnsi"/>
                                <w:color w:val="FFFFFF" w:themeColor="background1"/>
                                <w:sz w:val="22"/>
                                <w:lang w:val="pt-BR"/>
                              </w:rPr>
                              <w:t>OAS/Ser.L/V/II</w:t>
                            </w:r>
                          </w:p>
                          <w:p w14:paraId="11387706" w14:textId="5AB5CD04" w:rsidR="00B17F6A" w:rsidRPr="00425E37" w:rsidRDefault="00B17F6A" w:rsidP="00B17F6A">
                            <w:pPr>
                              <w:jc w:val="right"/>
                              <w:rPr>
                                <w:rFonts w:asciiTheme="minorHAnsi" w:hAnsiTheme="minorHAnsi"/>
                                <w:color w:val="FFFFFF" w:themeColor="background1"/>
                                <w:sz w:val="22"/>
                                <w:lang w:val="pt-BR"/>
                              </w:rPr>
                            </w:pPr>
                            <w:r w:rsidRPr="00425E37">
                              <w:rPr>
                                <w:rFonts w:asciiTheme="minorHAnsi" w:hAnsiTheme="minorHAnsi"/>
                                <w:color w:val="FFFFFF" w:themeColor="background1"/>
                                <w:sz w:val="22"/>
                                <w:lang w:val="pt-BR"/>
                              </w:rPr>
                              <w:t xml:space="preserve">Doc. </w:t>
                            </w:r>
                            <w:r w:rsidR="00D11595" w:rsidRPr="00425E37">
                              <w:rPr>
                                <w:rFonts w:asciiTheme="minorHAnsi" w:hAnsiTheme="minorHAnsi"/>
                                <w:color w:val="FFFFFF" w:themeColor="background1"/>
                                <w:sz w:val="22"/>
                                <w:lang w:val="pt-BR"/>
                              </w:rPr>
                              <w:t>243</w:t>
                            </w:r>
                          </w:p>
                          <w:p w14:paraId="3E3AD6E7" w14:textId="60B01E30" w:rsidR="00B17F6A" w:rsidRPr="006C1B70" w:rsidRDefault="00511ED9" w:rsidP="00B17F6A">
                            <w:pPr>
                              <w:jc w:val="right"/>
                              <w:rPr>
                                <w:rFonts w:asciiTheme="minorHAnsi" w:hAnsiTheme="minorHAnsi"/>
                                <w:color w:val="FFFFFF" w:themeColor="background1"/>
                                <w:sz w:val="22"/>
                              </w:rPr>
                            </w:pPr>
                            <w:r>
                              <w:rPr>
                                <w:rFonts w:asciiTheme="minorHAnsi" w:hAnsiTheme="minorHAnsi"/>
                                <w:color w:val="FFFFFF" w:themeColor="background1"/>
                                <w:sz w:val="22"/>
                              </w:rPr>
                              <w:t>5 December</w:t>
                            </w:r>
                            <w:r w:rsidR="00B17F6A" w:rsidRPr="006C1B70">
                              <w:rPr>
                                <w:rFonts w:asciiTheme="minorHAnsi" w:hAnsiTheme="minorHAnsi"/>
                                <w:color w:val="FFFFFF" w:themeColor="background1"/>
                                <w:sz w:val="22"/>
                              </w:rPr>
                              <w:t xml:space="preserve"> 2024</w:t>
                            </w:r>
                          </w:p>
                          <w:p w14:paraId="72533ED2" w14:textId="77777777" w:rsidR="00B17F6A" w:rsidRPr="004B7EB6" w:rsidRDefault="00B17F6A" w:rsidP="00B17F6A">
                            <w:pPr>
                              <w:jc w:val="right"/>
                              <w:rPr>
                                <w:rFonts w:asciiTheme="minorHAnsi" w:hAnsiTheme="minorHAnsi"/>
                                <w:color w:val="FFFFFF" w:themeColor="background1"/>
                                <w:sz w:val="22"/>
                              </w:rPr>
                            </w:pPr>
                            <w:r w:rsidRPr="006C1B70">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0F2C2" id="Text Box 8" o:spid="_x0000_s1028" type="#_x0000_t202" style="position:absolute;left:0;text-align:left;margin-left:-29.25pt;margin-top:10pt;width:105.0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A1F4C8" w14:textId="2297DE95" w:rsidR="00B17F6A" w:rsidRPr="006C1B70" w:rsidRDefault="00B17F6A" w:rsidP="00B17F6A">
                      <w:pPr>
                        <w:jc w:val="right"/>
                        <w:rPr>
                          <w:rFonts w:asciiTheme="minorHAnsi" w:hAnsiTheme="minorHAnsi"/>
                          <w:color w:val="FFFFFF" w:themeColor="background1"/>
                          <w:sz w:val="22"/>
                          <w:lang w:val="pt-BR"/>
                        </w:rPr>
                      </w:pPr>
                      <w:r w:rsidRPr="006C1B70">
                        <w:rPr>
                          <w:rFonts w:asciiTheme="minorHAnsi" w:hAnsiTheme="minorHAnsi"/>
                          <w:color w:val="FFFFFF" w:themeColor="background1"/>
                          <w:sz w:val="22"/>
                          <w:lang w:val="pt-BR"/>
                        </w:rPr>
                        <w:t>OAS/Ser.L/V/II</w:t>
                      </w:r>
                    </w:p>
                    <w:p w14:paraId="11387706" w14:textId="5AB5CD04" w:rsidR="00B17F6A" w:rsidRPr="00425E37" w:rsidRDefault="00B17F6A" w:rsidP="00B17F6A">
                      <w:pPr>
                        <w:jc w:val="right"/>
                        <w:rPr>
                          <w:rFonts w:asciiTheme="minorHAnsi" w:hAnsiTheme="minorHAnsi"/>
                          <w:color w:val="FFFFFF" w:themeColor="background1"/>
                          <w:sz w:val="22"/>
                          <w:lang w:val="pt-BR"/>
                        </w:rPr>
                      </w:pPr>
                      <w:r w:rsidRPr="00425E37">
                        <w:rPr>
                          <w:rFonts w:asciiTheme="minorHAnsi" w:hAnsiTheme="minorHAnsi"/>
                          <w:color w:val="FFFFFF" w:themeColor="background1"/>
                          <w:sz w:val="22"/>
                          <w:lang w:val="pt-BR"/>
                        </w:rPr>
                        <w:t xml:space="preserve">Doc. </w:t>
                      </w:r>
                      <w:r w:rsidR="00D11595" w:rsidRPr="00425E37">
                        <w:rPr>
                          <w:rFonts w:asciiTheme="minorHAnsi" w:hAnsiTheme="minorHAnsi"/>
                          <w:color w:val="FFFFFF" w:themeColor="background1"/>
                          <w:sz w:val="22"/>
                          <w:lang w:val="pt-BR"/>
                        </w:rPr>
                        <w:t>243</w:t>
                      </w:r>
                    </w:p>
                    <w:p w14:paraId="3E3AD6E7" w14:textId="60B01E30" w:rsidR="00B17F6A" w:rsidRPr="006C1B70" w:rsidRDefault="00511ED9" w:rsidP="00B17F6A">
                      <w:pPr>
                        <w:jc w:val="right"/>
                        <w:rPr>
                          <w:rFonts w:asciiTheme="minorHAnsi" w:hAnsiTheme="minorHAnsi"/>
                          <w:color w:val="FFFFFF" w:themeColor="background1"/>
                          <w:sz w:val="22"/>
                        </w:rPr>
                      </w:pPr>
                      <w:r>
                        <w:rPr>
                          <w:rFonts w:asciiTheme="minorHAnsi" w:hAnsiTheme="minorHAnsi"/>
                          <w:color w:val="FFFFFF" w:themeColor="background1"/>
                          <w:sz w:val="22"/>
                        </w:rPr>
                        <w:t>5 December</w:t>
                      </w:r>
                      <w:r w:rsidR="00B17F6A" w:rsidRPr="006C1B70">
                        <w:rPr>
                          <w:rFonts w:asciiTheme="minorHAnsi" w:hAnsiTheme="minorHAnsi"/>
                          <w:color w:val="FFFFFF" w:themeColor="background1"/>
                          <w:sz w:val="22"/>
                        </w:rPr>
                        <w:t xml:space="preserve"> 2024</w:t>
                      </w:r>
                    </w:p>
                    <w:p w14:paraId="72533ED2" w14:textId="77777777" w:rsidR="00B17F6A" w:rsidRPr="004B7EB6" w:rsidRDefault="00B17F6A" w:rsidP="00B17F6A">
                      <w:pPr>
                        <w:jc w:val="right"/>
                        <w:rPr>
                          <w:rFonts w:asciiTheme="minorHAnsi" w:hAnsiTheme="minorHAnsi"/>
                          <w:color w:val="FFFFFF" w:themeColor="background1"/>
                          <w:sz w:val="22"/>
                        </w:rPr>
                      </w:pPr>
                      <w:r w:rsidRPr="006C1B70">
                        <w:rPr>
                          <w:rFonts w:asciiTheme="minorHAnsi" w:hAnsiTheme="minorHAnsi"/>
                          <w:color w:val="FFFFFF" w:themeColor="background1"/>
                          <w:sz w:val="22"/>
                        </w:rPr>
                        <w:t>Original: Spanish</w:t>
                      </w:r>
                    </w:p>
                  </w:txbxContent>
                </v:textbox>
              </v:shape>
            </w:pict>
          </mc:Fallback>
        </mc:AlternateContent>
      </w:r>
    </w:p>
    <w:p w14:paraId="115F9641" w14:textId="77777777" w:rsidR="00B17F6A" w:rsidRPr="00B17F6A" w:rsidRDefault="00B17F6A" w:rsidP="00B17F6A">
      <w:pPr>
        <w:tabs>
          <w:tab w:val="center" w:pos="5400"/>
        </w:tabs>
        <w:suppressAutoHyphens/>
        <w:jc w:val="center"/>
        <w:rPr>
          <w:rFonts w:asciiTheme="majorHAnsi" w:hAnsiTheme="majorHAnsi"/>
          <w:sz w:val="22"/>
          <w:szCs w:val="22"/>
        </w:rPr>
      </w:pPr>
    </w:p>
    <w:p w14:paraId="1B140100" w14:textId="77777777" w:rsidR="00B17F6A" w:rsidRPr="00B17F6A" w:rsidRDefault="00B17F6A" w:rsidP="00B17F6A">
      <w:pPr>
        <w:tabs>
          <w:tab w:val="center" w:pos="5400"/>
        </w:tabs>
        <w:suppressAutoHyphens/>
        <w:jc w:val="center"/>
        <w:rPr>
          <w:rFonts w:asciiTheme="majorHAnsi" w:hAnsiTheme="majorHAnsi" w:cs="Arial"/>
          <w:sz w:val="22"/>
          <w:szCs w:val="22"/>
        </w:rPr>
      </w:pPr>
    </w:p>
    <w:p w14:paraId="6977181E" w14:textId="77777777" w:rsidR="00B17F6A" w:rsidRPr="00B17F6A" w:rsidRDefault="00B17F6A" w:rsidP="00B17F6A">
      <w:pPr>
        <w:tabs>
          <w:tab w:val="center" w:pos="5400"/>
        </w:tabs>
        <w:suppressAutoHyphens/>
        <w:jc w:val="center"/>
        <w:rPr>
          <w:rFonts w:asciiTheme="majorHAnsi" w:hAnsiTheme="majorHAnsi"/>
          <w:sz w:val="22"/>
          <w:szCs w:val="22"/>
        </w:rPr>
      </w:pPr>
    </w:p>
    <w:p w14:paraId="18E51CCE" w14:textId="77777777" w:rsidR="00B17F6A" w:rsidRPr="00B17F6A" w:rsidRDefault="00B17F6A" w:rsidP="00B17F6A">
      <w:pPr>
        <w:tabs>
          <w:tab w:val="center" w:pos="5400"/>
        </w:tabs>
        <w:suppressAutoHyphens/>
        <w:jc w:val="center"/>
        <w:rPr>
          <w:rFonts w:asciiTheme="majorHAnsi" w:hAnsiTheme="majorHAnsi"/>
          <w:sz w:val="22"/>
          <w:szCs w:val="22"/>
        </w:rPr>
      </w:pPr>
    </w:p>
    <w:p w14:paraId="288EBF83" w14:textId="77777777" w:rsidR="00B17F6A" w:rsidRPr="00B17F6A" w:rsidRDefault="00B17F6A" w:rsidP="00B17F6A">
      <w:pPr>
        <w:tabs>
          <w:tab w:val="center" w:pos="5400"/>
        </w:tabs>
        <w:suppressAutoHyphens/>
        <w:jc w:val="center"/>
        <w:rPr>
          <w:rFonts w:asciiTheme="majorHAnsi" w:hAnsiTheme="majorHAnsi"/>
          <w:sz w:val="22"/>
          <w:szCs w:val="22"/>
        </w:rPr>
      </w:pPr>
    </w:p>
    <w:p w14:paraId="0755D2AB" w14:textId="77777777" w:rsidR="00B17F6A" w:rsidRPr="00B17F6A" w:rsidRDefault="00B17F6A" w:rsidP="00B17F6A">
      <w:pPr>
        <w:tabs>
          <w:tab w:val="center" w:pos="5400"/>
        </w:tabs>
        <w:suppressAutoHyphens/>
        <w:jc w:val="center"/>
        <w:rPr>
          <w:rFonts w:asciiTheme="majorHAnsi" w:hAnsiTheme="majorHAnsi"/>
          <w:sz w:val="22"/>
          <w:szCs w:val="22"/>
        </w:rPr>
      </w:pPr>
    </w:p>
    <w:p w14:paraId="027FA7F1" w14:textId="77777777" w:rsidR="00B17F6A" w:rsidRPr="00B17F6A" w:rsidRDefault="00B17F6A" w:rsidP="00B17F6A">
      <w:pPr>
        <w:tabs>
          <w:tab w:val="center" w:pos="5400"/>
        </w:tabs>
        <w:suppressAutoHyphens/>
        <w:jc w:val="center"/>
        <w:rPr>
          <w:rFonts w:asciiTheme="majorHAnsi" w:hAnsiTheme="majorHAnsi"/>
          <w:sz w:val="22"/>
          <w:szCs w:val="22"/>
        </w:rPr>
      </w:pPr>
    </w:p>
    <w:p w14:paraId="765A7667" w14:textId="77777777" w:rsidR="00B17F6A" w:rsidRPr="00B17F6A" w:rsidRDefault="00B17F6A" w:rsidP="00B17F6A">
      <w:pPr>
        <w:tabs>
          <w:tab w:val="center" w:pos="5400"/>
        </w:tabs>
        <w:suppressAutoHyphens/>
        <w:jc w:val="center"/>
        <w:rPr>
          <w:rFonts w:asciiTheme="majorHAnsi" w:hAnsiTheme="majorHAnsi"/>
          <w:sz w:val="22"/>
          <w:szCs w:val="22"/>
        </w:rPr>
      </w:pPr>
    </w:p>
    <w:p w14:paraId="077D53EC" w14:textId="77777777" w:rsidR="00B17F6A" w:rsidRPr="00B17F6A" w:rsidRDefault="00B17F6A" w:rsidP="00B17F6A">
      <w:pPr>
        <w:tabs>
          <w:tab w:val="center" w:pos="5400"/>
        </w:tabs>
        <w:suppressAutoHyphens/>
        <w:jc w:val="center"/>
        <w:rPr>
          <w:rFonts w:asciiTheme="majorHAnsi" w:hAnsiTheme="majorHAnsi"/>
          <w:sz w:val="22"/>
          <w:szCs w:val="22"/>
        </w:rPr>
      </w:pPr>
    </w:p>
    <w:p w14:paraId="6E092A92" w14:textId="77777777" w:rsidR="00B17F6A" w:rsidRPr="00B17F6A" w:rsidRDefault="00B17F6A" w:rsidP="00B17F6A">
      <w:pPr>
        <w:tabs>
          <w:tab w:val="center" w:pos="5400"/>
        </w:tabs>
        <w:suppressAutoHyphens/>
        <w:jc w:val="center"/>
        <w:rPr>
          <w:rFonts w:asciiTheme="majorHAnsi" w:hAnsiTheme="majorHAnsi"/>
          <w:sz w:val="22"/>
          <w:szCs w:val="22"/>
        </w:rPr>
      </w:pPr>
    </w:p>
    <w:p w14:paraId="70B318D3" w14:textId="77777777" w:rsidR="00B17F6A" w:rsidRPr="00B17F6A" w:rsidRDefault="00B17F6A" w:rsidP="00B17F6A">
      <w:pPr>
        <w:tabs>
          <w:tab w:val="center" w:pos="5400"/>
        </w:tabs>
        <w:suppressAutoHyphens/>
        <w:jc w:val="center"/>
        <w:rPr>
          <w:rFonts w:asciiTheme="majorHAnsi" w:hAnsiTheme="majorHAnsi"/>
          <w:sz w:val="22"/>
          <w:szCs w:val="22"/>
        </w:rPr>
      </w:pPr>
    </w:p>
    <w:p w14:paraId="21CC452C" w14:textId="77777777" w:rsidR="00B17F6A" w:rsidRPr="00B17F6A" w:rsidRDefault="00B17F6A" w:rsidP="00B17F6A">
      <w:pPr>
        <w:tabs>
          <w:tab w:val="center" w:pos="5400"/>
        </w:tabs>
        <w:suppressAutoHyphens/>
        <w:jc w:val="center"/>
        <w:rPr>
          <w:rFonts w:asciiTheme="majorHAnsi" w:hAnsiTheme="majorHAnsi"/>
          <w:sz w:val="22"/>
          <w:szCs w:val="22"/>
        </w:rPr>
      </w:pPr>
    </w:p>
    <w:p w14:paraId="34867FD4" w14:textId="77777777" w:rsidR="00B17F6A" w:rsidRPr="00B17F6A" w:rsidRDefault="00B17F6A" w:rsidP="00B17F6A">
      <w:pPr>
        <w:tabs>
          <w:tab w:val="center" w:pos="5400"/>
        </w:tabs>
        <w:suppressAutoHyphens/>
        <w:jc w:val="center"/>
        <w:rPr>
          <w:rFonts w:asciiTheme="majorHAnsi" w:hAnsiTheme="majorHAnsi"/>
          <w:sz w:val="22"/>
          <w:szCs w:val="22"/>
        </w:rPr>
      </w:pPr>
    </w:p>
    <w:p w14:paraId="26E2AF80" w14:textId="77777777" w:rsidR="00B17F6A" w:rsidRPr="00B17F6A" w:rsidRDefault="00B17F6A" w:rsidP="00B17F6A">
      <w:pPr>
        <w:tabs>
          <w:tab w:val="center" w:pos="5400"/>
        </w:tabs>
        <w:suppressAutoHyphens/>
        <w:jc w:val="center"/>
        <w:rPr>
          <w:rFonts w:asciiTheme="majorHAnsi" w:hAnsiTheme="majorHAnsi"/>
          <w:sz w:val="18"/>
          <w:szCs w:val="22"/>
        </w:rPr>
      </w:pPr>
    </w:p>
    <w:p w14:paraId="61737FEA" w14:textId="77777777" w:rsidR="00B17F6A" w:rsidRPr="00B17F6A" w:rsidRDefault="00B17F6A" w:rsidP="00B17F6A">
      <w:pPr>
        <w:tabs>
          <w:tab w:val="center" w:pos="5400"/>
        </w:tabs>
        <w:suppressAutoHyphens/>
        <w:jc w:val="center"/>
        <w:rPr>
          <w:rFonts w:asciiTheme="majorHAnsi" w:hAnsiTheme="majorHAnsi"/>
          <w:sz w:val="18"/>
          <w:szCs w:val="22"/>
        </w:rPr>
      </w:pPr>
    </w:p>
    <w:p w14:paraId="26FF199D" w14:textId="77777777" w:rsidR="00B17F6A" w:rsidRPr="00B17F6A" w:rsidRDefault="00B17F6A" w:rsidP="00B17F6A">
      <w:pPr>
        <w:tabs>
          <w:tab w:val="center" w:pos="5400"/>
        </w:tabs>
        <w:suppressAutoHyphens/>
        <w:jc w:val="center"/>
        <w:rPr>
          <w:rFonts w:asciiTheme="majorHAnsi" w:hAnsiTheme="majorHAnsi"/>
          <w:sz w:val="18"/>
          <w:szCs w:val="22"/>
        </w:rPr>
      </w:pPr>
    </w:p>
    <w:p w14:paraId="23865B34" w14:textId="77777777" w:rsidR="00B17F6A" w:rsidRPr="00B17F6A" w:rsidRDefault="00B17F6A" w:rsidP="00B17F6A">
      <w:pPr>
        <w:tabs>
          <w:tab w:val="center" w:pos="5400"/>
        </w:tabs>
        <w:suppressAutoHyphens/>
        <w:jc w:val="center"/>
        <w:rPr>
          <w:rFonts w:asciiTheme="majorHAnsi" w:hAnsiTheme="majorHAnsi"/>
          <w:sz w:val="18"/>
          <w:szCs w:val="22"/>
        </w:rPr>
      </w:pPr>
    </w:p>
    <w:p w14:paraId="74659215" w14:textId="77777777" w:rsidR="00B17F6A" w:rsidRPr="00B17F6A" w:rsidRDefault="00B17F6A" w:rsidP="00B17F6A">
      <w:pPr>
        <w:tabs>
          <w:tab w:val="center" w:pos="5400"/>
        </w:tabs>
        <w:suppressAutoHyphens/>
        <w:jc w:val="center"/>
        <w:rPr>
          <w:rFonts w:asciiTheme="majorHAnsi" w:hAnsiTheme="majorHAnsi"/>
          <w:sz w:val="18"/>
          <w:szCs w:val="22"/>
        </w:rPr>
      </w:pPr>
    </w:p>
    <w:p w14:paraId="77A238AB" w14:textId="77777777" w:rsidR="00B17F6A" w:rsidRPr="00B17F6A" w:rsidRDefault="00B17F6A" w:rsidP="00B17F6A">
      <w:pPr>
        <w:tabs>
          <w:tab w:val="center" w:pos="5400"/>
        </w:tabs>
        <w:suppressAutoHyphens/>
        <w:jc w:val="center"/>
        <w:rPr>
          <w:rFonts w:asciiTheme="majorHAnsi" w:hAnsiTheme="majorHAnsi"/>
          <w:sz w:val="18"/>
          <w:szCs w:val="22"/>
        </w:rPr>
      </w:pPr>
    </w:p>
    <w:p w14:paraId="256500DE" w14:textId="77777777" w:rsidR="00B17F6A" w:rsidRPr="00B17F6A" w:rsidRDefault="00B17F6A" w:rsidP="00B17F6A">
      <w:pPr>
        <w:tabs>
          <w:tab w:val="center" w:pos="5400"/>
        </w:tabs>
        <w:suppressAutoHyphens/>
        <w:jc w:val="center"/>
        <w:rPr>
          <w:rFonts w:asciiTheme="majorHAnsi" w:hAnsiTheme="majorHAnsi"/>
          <w:sz w:val="18"/>
          <w:szCs w:val="22"/>
        </w:rPr>
      </w:pPr>
    </w:p>
    <w:p w14:paraId="2EDF0B28" w14:textId="77777777" w:rsidR="00B17F6A" w:rsidRPr="00B17F6A" w:rsidRDefault="00B17F6A" w:rsidP="00B17F6A">
      <w:pPr>
        <w:tabs>
          <w:tab w:val="center" w:pos="5400"/>
        </w:tabs>
        <w:suppressAutoHyphens/>
        <w:jc w:val="center"/>
        <w:rPr>
          <w:rFonts w:asciiTheme="majorHAnsi" w:hAnsiTheme="majorHAnsi"/>
          <w:sz w:val="18"/>
          <w:szCs w:val="22"/>
        </w:rPr>
      </w:pPr>
    </w:p>
    <w:p w14:paraId="3DBBD473" w14:textId="77777777" w:rsidR="00B17F6A" w:rsidRPr="00B17F6A" w:rsidRDefault="00B17F6A" w:rsidP="00B17F6A">
      <w:pPr>
        <w:tabs>
          <w:tab w:val="center" w:pos="5400"/>
        </w:tabs>
        <w:suppressAutoHyphens/>
        <w:jc w:val="center"/>
        <w:rPr>
          <w:rFonts w:asciiTheme="majorHAnsi" w:hAnsiTheme="majorHAnsi"/>
          <w:sz w:val="18"/>
          <w:szCs w:val="22"/>
        </w:rPr>
      </w:pPr>
    </w:p>
    <w:p w14:paraId="69D20E3A" w14:textId="77777777" w:rsidR="00B17F6A" w:rsidRPr="00B17F6A" w:rsidRDefault="00B17F6A" w:rsidP="00B17F6A">
      <w:pPr>
        <w:tabs>
          <w:tab w:val="center" w:pos="5400"/>
        </w:tabs>
        <w:suppressAutoHyphens/>
        <w:jc w:val="center"/>
        <w:rPr>
          <w:rFonts w:asciiTheme="majorHAnsi" w:hAnsiTheme="majorHAnsi"/>
          <w:sz w:val="18"/>
          <w:szCs w:val="22"/>
        </w:rPr>
      </w:pPr>
    </w:p>
    <w:p w14:paraId="3A78A7BA" w14:textId="77777777" w:rsidR="00B17F6A" w:rsidRPr="00B17F6A" w:rsidRDefault="00B17F6A" w:rsidP="00B17F6A">
      <w:pPr>
        <w:tabs>
          <w:tab w:val="center" w:pos="5400"/>
        </w:tabs>
        <w:suppressAutoHyphens/>
        <w:jc w:val="center"/>
        <w:rPr>
          <w:rFonts w:asciiTheme="majorHAnsi" w:hAnsiTheme="majorHAnsi"/>
          <w:sz w:val="18"/>
          <w:szCs w:val="22"/>
        </w:rPr>
      </w:pPr>
    </w:p>
    <w:p w14:paraId="41C7708C" w14:textId="77777777" w:rsidR="00B17F6A" w:rsidRPr="00B17F6A" w:rsidRDefault="00B17F6A" w:rsidP="00B17F6A">
      <w:pPr>
        <w:tabs>
          <w:tab w:val="center" w:pos="5400"/>
        </w:tabs>
        <w:suppressAutoHyphens/>
        <w:jc w:val="center"/>
        <w:rPr>
          <w:rFonts w:asciiTheme="majorHAnsi" w:hAnsiTheme="majorHAnsi"/>
          <w:sz w:val="18"/>
          <w:szCs w:val="22"/>
        </w:rPr>
      </w:pPr>
    </w:p>
    <w:p w14:paraId="1B358CDE" w14:textId="77777777" w:rsidR="00B17F6A" w:rsidRPr="00B17F6A" w:rsidRDefault="00B17F6A" w:rsidP="00B17F6A">
      <w:pPr>
        <w:tabs>
          <w:tab w:val="center" w:pos="5400"/>
        </w:tabs>
        <w:suppressAutoHyphens/>
        <w:jc w:val="center"/>
        <w:rPr>
          <w:rFonts w:asciiTheme="majorHAnsi" w:hAnsiTheme="majorHAnsi"/>
          <w:sz w:val="18"/>
          <w:szCs w:val="22"/>
        </w:rPr>
      </w:pPr>
      <w:r w:rsidRPr="00B17F6A">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97FEB06" wp14:editId="7B6819B2">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DF57F" w14:textId="3D98C3CD" w:rsidR="00B17F6A" w:rsidRPr="003C32BC" w:rsidRDefault="00B17F6A" w:rsidP="00B17F6A">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w:t>
                            </w:r>
                            <w:r w:rsidRPr="00511ED9">
                              <w:rPr>
                                <w:rFonts w:asciiTheme="majorHAnsi" w:hAnsiTheme="majorHAnsi"/>
                                <w:color w:val="0D0D0D" w:themeColor="text1" w:themeTint="F2"/>
                                <w:sz w:val="18"/>
                                <w:szCs w:val="22"/>
                              </w:rPr>
                              <w:t xml:space="preserve">mmission on </w:t>
                            </w:r>
                            <w:r w:rsidR="00511ED9">
                              <w:rPr>
                                <w:rFonts w:asciiTheme="majorHAnsi" w:hAnsiTheme="majorHAnsi"/>
                                <w:color w:val="0D0D0D" w:themeColor="text1" w:themeTint="F2"/>
                                <w:sz w:val="18"/>
                                <w:szCs w:val="22"/>
                              </w:rPr>
                              <w:t>December 5</w:t>
                            </w:r>
                            <w:r w:rsidRPr="00511ED9">
                              <w:rPr>
                                <w:rFonts w:asciiTheme="majorHAnsi" w:hAnsiTheme="majorHAnsi"/>
                                <w:color w:val="0D0D0D" w:themeColor="text1" w:themeTint="F2"/>
                                <w:sz w:val="18"/>
                                <w:szCs w:val="22"/>
                              </w:rPr>
                              <w:t>, 2024</w:t>
                            </w:r>
                            <w:r w:rsidR="00511ED9">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FEB06" id="Text Box 7" o:spid="_x0000_s1029" type="#_x0000_t202" style="position:absolute;left:0;text-align:left;margin-left:95.25pt;margin-top:5.6pt;width:361.8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7E9DF57F" w14:textId="3D98C3CD" w:rsidR="00B17F6A" w:rsidRPr="003C32BC" w:rsidRDefault="00B17F6A" w:rsidP="00B17F6A">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w:t>
                      </w:r>
                      <w:r w:rsidRPr="00511ED9">
                        <w:rPr>
                          <w:rFonts w:asciiTheme="majorHAnsi" w:hAnsiTheme="majorHAnsi"/>
                          <w:color w:val="0D0D0D" w:themeColor="text1" w:themeTint="F2"/>
                          <w:sz w:val="18"/>
                          <w:szCs w:val="22"/>
                        </w:rPr>
                        <w:t xml:space="preserve">mmission on </w:t>
                      </w:r>
                      <w:r w:rsidR="00511ED9">
                        <w:rPr>
                          <w:rFonts w:asciiTheme="majorHAnsi" w:hAnsiTheme="majorHAnsi"/>
                          <w:color w:val="0D0D0D" w:themeColor="text1" w:themeTint="F2"/>
                          <w:sz w:val="18"/>
                          <w:szCs w:val="22"/>
                        </w:rPr>
                        <w:t>December 5</w:t>
                      </w:r>
                      <w:r w:rsidRPr="00511ED9">
                        <w:rPr>
                          <w:rFonts w:asciiTheme="majorHAnsi" w:hAnsiTheme="majorHAnsi"/>
                          <w:color w:val="0D0D0D" w:themeColor="text1" w:themeTint="F2"/>
                          <w:sz w:val="18"/>
                          <w:szCs w:val="22"/>
                        </w:rPr>
                        <w:t>, 2024</w:t>
                      </w:r>
                      <w:r w:rsidR="00511ED9">
                        <w:rPr>
                          <w:rFonts w:asciiTheme="majorHAnsi" w:hAnsiTheme="majorHAnsi"/>
                          <w:color w:val="0D0D0D" w:themeColor="text1" w:themeTint="F2"/>
                          <w:sz w:val="18"/>
                          <w:szCs w:val="22"/>
                        </w:rPr>
                        <w:t>.</w:t>
                      </w:r>
                    </w:p>
                  </w:txbxContent>
                </v:textbox>
              </v:shape>
            </w:pict>
          </mc:Fallback>
        </mc:AlternateContent>
      </w:r>
    </w:p>
    <w:p w14:paraId="7069EA9A" w14:textId="77777777" w:rsidR="00B17F6A" w:rsidRPr="00B17F6A" w:rsidRDefault="00B17F6A" w:rsidP="00B17F6A">
      <w:pPr>
        <w:tabs>
          <w:tab w:val="center" w:pos="5400"/>
        </w:tabs>
        <w:suppressAutoHyphens/>
        <w:jc w:val="center"/>
        <w:rPr>
          <w:rFonts w:asciiTheme="majorHAnsi" w:hAnsiTheme="majorHAnsi"/>
          <w:sz w:val="18"/>
          <w:szCs w:val="22"/>
        </w:rPr>
      </w:pPr>
    </w:p>
    <w:p w14:paraId="2A59FA80" w14:textId="77777777" w:rsidR="00B17F6A" w:rsidRPr="00B17F6A" w:rsidRDefault="00B17F6A" w:rsidP="00B17F6A">
      <w:pPr>
        <w:tabs>
          <w:tab w:val="center" w:pos="5400"/>
        </w:tabs>
        <w:suppressAutoHyphens/>
        <w:jc w:val="center"/>
        <w:rPr>
          <w:rFonts w:asciiTheme="majorHAnsi" w:hAnsiTheme="majorHAnsi"/>
          <w:sz w:val="18"/>
          <w:szCs w:val="22"/>
        </w:rPr>
      </w:pPr>
    </w:p>
    <w:p w14:paraId="58EBD159" w14:textId="77777777" w:rsidR="00B17F6A" w:rsidRPr="00B17F6A" w:rsidRDefault="00B17F6A" w:rsidP="00B17F6A">
      <w:pPr>
        <w:tabs>
          <w:tab w:val="center" w:pos="5400"/>
        </w:tabs>
        <w:suppressAutoHyphens/>
        <w:jc w:val="center"/>
        <w:rPr>
          <w:rFonts w:asciiTheme="majorHAnsi" w:hAnsiTheme="majorHAnsi"/>
          <w:sz w:val="18"/>
          <w:szCs w:val="22"/>
        </w:rPr>
      </w:pPr>
    </w:p>
    <w:p w14:paraId="69CB1CCB" w14:textId="77777777" w:rsidR="00B17F6A" w:rsidRPr="00B17F6A" w:rsidRDefault="00B17F6A" w:rsidP="00B17F6A">
      <w:pPr>
        <w:tabs>
          <w:tab w:val="center" w:pos="5400"/>
        </w:tabs>
        <w:suppressAutoHyphens/>
        <w:jc w:val="center"/>
        <w:rPr>
          <w:rFonts w:asciiTheme="majorHAnsi" w:hAnsiTheme="majorHAnsi"/>
          <w:sz w:val="18"/>
          <w:szCs w:val="22"/>
        </w:rPr>
      </w:pPr>
    </w:p>
    <w:p w14:paraId="301C934E" w14:textId="77777777" w:rsidR="00B17F6A" w:rsidRPr="00B17F6A" w:rsidRDefault="00B17F6A" w:rsidP="00B17F6A">
      <w:pPr>
        <w:tabs>
          <w:tab w:val="center" w:pos="5400"/>
        </w:tabs>
        <w:suppressAutoHyphens/>
        <w:jc w:val="center"/>
        <w:rPr>
          <w:rFonts w:asciiTheme="majorHAnsi" w:hAnsiTheme="majorHAnsi"/>
          <w:sz w:val="18"/>
          <w:szCs w:val="22"/>
        </w:rPr>
      </w:pPr>
      <w:r w:rsidRPr="00B17F6A">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63AEBDAB" wp14:editId="0F42D12C">
                <wp:simplePos x="0" y="0"/>
                <wp:positionH relativeFrom="column">
                  <wp:posOffset>1213164</wp:posOffset>
                </wp:positionH>
                <wp:positionV relativeFrom="paragraph">
                  <wp:posOffset>89346</wp:posOffset>
                </wp:positionV>
                <wp:extent cx="560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60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426156" w14:textId="77777777" w:rsidR="00FB3929" w:rsidRDefault="00B17F6A" w:rsidP="00B17F6A">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w:t>
                            </w:r>
                            <w:r w:rsidRPr="00511ED9">
                              <w:rPr>
                                <w:rFonts w:asciiTheme="majorHAnsi" w:hAnsiTheme="majorHAnsi"/>
                                <w:color w:val="595959" w:themeColor="text1" w:themeTint="A6"/>
                                <w:sz w:val="18"/>
                              </w:rPr>
                              <w:t xml:space="preserve">t No. </w:t>
                            </w:r>
                            <w:r w:rsidR="00690993">
                              <w:rPr>
                                <w:rFonts w:asciiTheme="majorHAnsi" w:hAnsiTheme="majorHAnsi"/>
                                <w:color w:val="595959" w:themeColor="text1" w:themeTint="A6"/>
                                <w:sz w:val="18"/>
                              </w:rPr>
                              <w:t>231</w:t>
                            </w:r>
                            <w:r w:rsidRPr="00511ED9">
                              <w:rPr>
                                <w:rFonts w:asciiTheme="majorHAnsi" w:hAnsiTheme="majorHAnsi"/>
                                <w:color w:val="595959" w:themeColor="text1" w:themeTint="A6"/>
                                <w:sz w:val="18"/>
                              </w:rPr>
                              <w:t>/24, Petition 1751-14. Admissibility.</w:t>
                            </w:r>
                            <w:r w:rsidR="00FB3929">
                              <w:rPr>
                                <w:rFonts w:asciiTheme="majorHAnsi" w:hAnsiTheme="majorHAnsi"/>
                                <w:color w:val="595959" w:themeColor="text1" w:themeTint="A6"/>
                                <w:sz w:val="18"/>
                              </w:rPr>
                              <w:t xml:space="preserve"> </w:t>
                            </w:r>
                            <w:r w:rsidRPr="00511ED9">
                              <w:rPr>
                                <w:rFonts w:asciiTheme="majorHAnsi" w:hAnsiTheme="majorHAnsi"/>
                                <w:color w:val="595959" w:themeColor="text1" w:themeTint="A6"/>
                                <w:sz w:val="18"/>
                              </w:rPr>
                              <w:t xml:space="preserve">Nicanor Morales Rodríguez </w:t>
                            </w:r>
                          </w:p>
                          <w:p w14:paraId="0CE0090B" w14:textId="115F335E" w:rsidR="00B17F6A" w:rsidRPr="003C32BC" w:rsidRDefault="00B17F6A" w:rsidP="00B17F6A">
                            <w:pPr>
                              <w:spacing w:line="276" w:lineRule="auto"/>
                              <w:rPr>
                                <w:rFonts w:asciiTheme="majorHAnsi" w:hAnsiTheme="majorHAnsi"/>
                                <w:color w:val="595959" w:themeColor="text1" w:themeTint="A6"/>
                                <w:sz w:val="18"/>
                              </w:rPr>
                            </w:pPr>
                            <w:r w:rsidRPr="00511ED9">
                              <w:rPr>
                                <w:rFonts w:asciiTheme="majorHAnsi" w:hAnsiTheme="majorHAnsi"/>
                                <w:color w:val="595959" w:themeColor="text1" w:themeTint="A6"/>
                                <w:sz w:val="18"/>
                              </w:rPr>
                              <w:t xml:space="preserve">and Relatives. Colombia. </w:t>
                            </w:r>
                            <w:r w:rsidR="00690993">
                              <w:rPr>
                                <w:rFonts w:asciiTheme="majorHAnsi" w:hAnsiTheme="majorHAnsi"/>
                                <w:color w:val="595959" w:themeColor="text1" w:themeTint="A6"/>
                                <w:sz w:val="18"/>
                              </w:rPr>
                              <w:t>December 5, 2024</w:t>
                            </w:r>
                            <w:r w:rsidRPr="00511ED9">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EBDAB" id="Text Box 14" o:spid="_x0000_s1030" type="#_x0000_t202" style="position:absolute;left:0;text-align:left;margin-left:95.5pt;margin-top:7.05pt;width:441.2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" filled="f" stroked="f" strokeweight=".5pt">
                <v:textbox>
                  <w:txbxContent>
                    <w:p w14:paraId="0C426156" w14:textId="77777777" w:rsidR="00FB3929" w:rsidRDefault="00B17F6A" w:rsidP="00B17F6A">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w:t>
                      </w:r>
                      <w:r w:rsidRPr="00511ED9">
                        <w:rPr>
                          <w:rFonts w:asciiTheme="majorHAnsi" w:hAnsiTheme="majorHAnsi"/>
                          <w:color w:val="595959" w:themeColor="text1" w:themeTint="A6"/>
                          <w:sz w:val="18"/>
                        </w:rPr>
                        <w:t xml:space="preserve">t No. </w:t>
                      </w:r>
                      <w:r w:rsidR="00690993">
                        <w:rPr>
                          <w:rFonts w:asciiTheme="majorHAnsi" w:hAnsiTheme="majorHAnsi"/>
                          <w:color w:val="595959" w:themeColor="text1" w:themeTint="A6"/>
                          <w:sz w:val="18"/>
                        </w:rPr>
                        <w:t>231</w:t>
                      </w:r>
                      <w:r w:rsidRPr="00511ED9">
                        <w:rPr>
                          <w:rFonts w:asciiTheme="majorHAnsi" w:hAnsiTheme="majorHAnsi"/>
                          <w:color w:val="595959" w:themeColor="text1" w:themeTint="A6"/>
                          <w:sz w:val="18"/>
                        </w:rPr>
                        <w:t>/24, Petition 1751-14. Admissibility.</w:t>
                      </w:r>
                      <w:r w:rsidR="00FB3929">
                        <w:rPr>
                          <w:rFonts w:asciiTheme="majorHAnsi" w:hAnsiTheme="majorHAnsi"/>
                          <w:color w:val="595959" w:themeColor="text1" w:themeTint="A6"/>
                          <w:sz w:val="18"/>
                        </w:rPr>
                        <w:t xml:space="preserve"> </w:t>
                      </w:r>
                      <w:r w:rsidRPr="00511ED9">
                        <w:rPr>
                          <w:rFonts w:asciiTheme="majorHAnsi" w:hAnsiTheme="majorHAnsi"/>
                          <w:color w:val="595959" w:themeColor="text1" w:themeTint="A6"/>
                          <w:sz w:val="18"/>
                        </w:rPr>
                        <w:t xml:space="preserve">Nicanor Morales Rodríguez </w:t>
                      </w:r>
                    </w:p>
                    <w:p w14:paraId="0CE0090B" w14:textId="115F335E" w:rsidR="00B17F6A" w:rsidRPr="003C32BC" w:rsidRDefault="00B17F6A" w:rsidP="00B17F6A">
                      <w:pPr>
                        <w:spacing w:line="276" w:lineRule="auto"/>
                        <w:rPr>
                          <w:rFonts w:asciiTheme="majorHAnsi" w:hAnsiTheme="majorHAnsi"/>
                          <w:color w:val="595959" w:themeColor="text1" w:themeTint="A6"/>
                          <w:sz w:val="18"/>
                        </w:rPr>
                      </w:pPr>
                      <w:r w:rsidRPr="00511ED9">
                        <w:rPr>
                          <w:rFonts w:asciiTheme="majorHAnsi" w:hAnsiTheme="majorHAnsi"/>
                          <w:color w:val="595959" w:themeColor="text1" w:themeTint="A6"/>
                          <w:sz w:val="18"/>
                        </w:rPr>
                        <w:t xml:space="preserve">and Relatives. Colombia. </w:t>
                      </w:r>
                      <w:r w:rsidR="00690993">
                        <w:rPr>
                          <w:rFonts w:asciiTheme="majorHAnsi" w:hAnsiTheme="majorHAnsi"/>
                          <w:color w:val="595959" w:themeColor="text1" w:themeTint="A6"/>
                          <w:sz w:val="18"/>
                        </w:rPr>
                        <w:t>December 5, 2024</w:t>
                      </w:r>
                      <w:r w:rsidRPr="00511ED9">
                        <w:rPr>
                          <w:rFonts w:asciiTheme="majorHAnsi" w:hAnsiTheme="majorHAnsi"/>
                          <w:color w:val="595959" w:themeColor="text1" w:themeTint="A6"/>
                          <w:sz w:val="18"/>
                        </w:rPr>
                        <w:t>.</w:t>
                      </w:r>
                    </w:p>
                  </w:txbxContent>
                </v:textbox>
              </v:shape>
            </w:pict>
          </mc:Fallback>
        </mc:AlternateContent>
      </w:r>
    </w:p>
    <w:p w14:paraId="534BDEF7" w14:textId="77777777" w:rsidR="00B17F6A" w:rsidRPr="00B17F6A" w:rsidRDefault="00B17F6A" w:rsidP="00B17F6A">
      <w:pPr>
        <w:tabs>
          <w:tab w:val="center" w:pos="5400"/>
        </w:tabs>
        <w:suppressAutoHyphens/>
        <w:jc w:val="center"/>
        <w:rPr>
          <w:rFonts w:asciiTheme="majorHAnsi" w:hAnsiTheme="majorHAnsi"/>
          <w:sz w:val="18"/>
          <w:szCs w:val="22"/>
        </w:rPr>
      </w:pPr>
    </w:p>
    <w:p w14:paraId="20B59C73" w14:textId="77777777" w:rsidR="00B17F6A" w:rsidRPr="00B17F6A" w:rsidRDefault="00B17F6A" w:rsidP="00B17F6A">
      <w:pPr>
        <w:tabs>
          <w:tab w:val="center" w:pos="5400"/>
        </w:tabs>
        <w:suppressAutoHyphens/>
        <w:jc w:val="center"/>
        <w:rPr>
          <w:rFonts w:asciiTheme="majorHAnsi" w:hAnsiTheme="majorHAnsi"/>
          <w:sz w:val="18"/>
          <w:szCs w:val="22"/>
        </w:rPr>
      </w:pPr>
    </w:p>
    <w:p w14:paraId="723F9EC6" w14:textId="77777777" w:rsidR="00B17F6A" w:rsidRPr="00B17F6A" w:rsidRDefault="00B17F6A" w:rsidP="00B17F6A">
      <w:pPr>
        <w:tabs>
          <w:tab w:val="center" w:pos="5400"/>
        </w:tabs>
        <w:suppressAutoHyphens/>
        <w:jc w:val="center"/>
        <w:rPr>
          <w:rFonts w:asciiTheme="majorHAnsi" w:hAnsiTheme="majorHAnsi"/>
          <w:sz w:val="18"/>
          <w:szCs w:val="22"/>
        </w:rPr>
      </w:pPr>
    </w:p>
    <w:p w14:paraId="0DBAF836" w14:textId="67E797A5" w:rsidR="00B17F6A" w:rsidRPr="00B17F6A" w:rsidRDefault="00690993" w:rsidP="00B17F6A">
      <w:pPr>
        <w:tabs>
          <w:tab w:val="center" w:pos="5400"/>
        </w:tabs>
        <w:suppressAutoHyphens/>
        <w:jc w:val="center"/>
        <w:rPr>
          <w:rFonts w:asciiTheme="majorHAnsi" w:hAnsiTheme="majorHAnsi"/>
          <w:sz w:val="18"/>
          <w:szCs w:val="22"/>
        </w:rPr>
      </w:pPr>
      <w:r w:rsidRPr="00B17F6A">
        <w:rPr>
          <w:rFonts w:asciiTheme="majorHAnsi" w:hAnsiTheme="majorHAnsi"/>
          <w:noProof/>
          <w:sz w:val="22"/>
          <w:szCs w:val="22"/>
        </w:rPr>
        <mc:AlternateContent>
          <mc:Choice Requires="wps">
            <w:drawing>
              <wp:anchor distT="0" distB="0" distL="114300" distR="114300" simplePos="0" relativeHeight="251665408" behindDoc="0" locked="0" layoutInCell="1" allowOverlap="1" wp14:anchorId="5CDE1A8D" wp14:editId="556FF20B">
                <wp:simplePos x="0" y="0"/>
                <wp:positionH relativeFrom="column">
                  <wp:posOffset>1204111</wp:posOffset>
                </wp:positionH>
                <wp:positionV relativeFrom="paragraph">
                  <wp:posOffset>721303</wp:posOffset>
                </wp:positionV>
                <wp:extent cx="2085975" cy="570369"/>
                <wp:effectExtent l="0" t="0" r="9525" b="1270"/>
                <wp:wrapNone/>
                <wp:docPr id="2" name="Text Box 2"/>
                <wp:cNvGraphicFramePr/>
                <a:graphic xmlns:a="http://schemas.openxmlformats.org/drawingml/2006/main">
                  <a:graphicData uri="http://schemas.microsoft.com/office/word/2010/wordprocessingShape">
                    <wps:wsp>
                      <wps:cNvSpPr txBox="1"/>
                      <wps:spPr>
                        <a:xfrm>
                          <a:off x="0" y="0"/>
                          <a:ext cx="2085975" cy="5703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73557D" w14:textId="77777777" w:rsidR="00B17F6A" w:rsidRDefault="00B17F6A" w:rsidP="00B17F6A">
                            <w:r>
                              <w:rPr>
                                <w:noProof/>
                              </w:rPr>
                              <w:drawing>
                                <wp:inline distT="0" distB="0" distL="0" distR="0" wp14:anchorId="45A38B61" wp14:editId="2E26E274">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E1A8D" id="Text Box 2" o:spid="_x0000_s1031" type="#_x0000_t202" style="position:absolute;left:0;text-align:left;margin-left:94.8pt;margin-top:56.8pt;width:164.25pt;height:4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" fillcolor="white [3201]" stroked="f" strokeweight=".5pt">
                <v:textbox>
                  <w:txbxContent>
                    <w:p w14:paraId="4A73557D" w14:textId="77777777" w:rsidR="00B17F6A" w:rsidRDefault="00B17F6A" w:rsidP="00B17F6A">
                      <w:r>
                        <w:rPr>
                          <w:noProof/>
                        </w:rPr>
                        <w:drawing>
                          <wp:inline distT="0" distB="0" distL="0" distR="0" wp14:anchorId="45A38B61" wp14:editId="2E26E274">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B17F6A" w:rsidRPr="00B17F6A">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7A69602B" wp14:editId="0886F6B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C7A0E0" w14:textId="6F5C5E95" w:rsidR="00B17F6A" w:rsidRPr="004B7EB6" w:rsidRDefault="00B17F6A" w:rsidP="00B17F6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690993">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9602B" id="Text Box 3" o:spid="_x0000_s1032" type="#_x0000_t202" style="position:absolute;left:0;text-align:left;margin-left:-23.55pt;margin-top:67.6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09C7A0E0" w14:textId="6F5C5E95" w:rsidR="00B17F6A" w:rsidRPr="004B7EB6" w:rsidRDefault="00B17F6A" w:rsidP="00B17F6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690993">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p>
    <w:p w14:paraId="58D0E0D8" w14:textId="77777777" w:rsidR="00B17F6A" w:rsidRPr="00B17F6A" w:rsidRDefault="00B17F6A" w:rsidP="00B17F6A">
      <w:pPr>
        <w:tabs>
          <w:tab w:val="center" w:pos="5400"/>
        </w:tabs>
        <w:suppressAutoHyphens/>
        <w:jc w:val="center"/>
        <w:rPr>
          <w:rFonts w:asciiTheme="majorHAnsi" w:hAnsiTheme="majorHAnsi"/>
          <w:sz w:val="18"/>
          <w:szCs w:val="22"/>
        </w:rPr>
        <w:sectPr w:rsidR="00B17F6A" w:rsidRPr="00B17F6A" w:rsidSect="00B17F6A">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2CE25923" w14:textId="77777777" w:rsidR="00B17F6A" w:rsidRPr="00451257" w:rsidRDefault="00B17F6A" w:rsidP="00B17F6A">
      <w:pPr>
        <w:spacing w:after="240"/>
        <w:ind w:firstLine="720"/>
        <w:jc w:val="both"/>
        <w:rPr>
          <w:rFonts w:asciiTheme="majorHAnsi" w:hAnsiTheme="majorHAnsi"/>
          <w:b/>
          <w:bCs/>
          <w:sz w:val="20"/>
          <w:szCs w:val="20"/>
        </w:rPr>
      </w:pPr>
      <w:bookmarkStart w:id="0" w:name="_Hlk176534764"/>
      <w:r w:rsidRPr="00451257">
        <w:rPr>
          <w:rFonts w:asciiTheme="majorHAnsi" w:hAnsiTheme="majorHAnsi"/>
          <w:b/>
          <w:bCs/>
          <w:sz w:val="20"/>
          <w:szCs w:val="20"/>
        </w:rPr>
        <w:lastRenderedPageBreak/>
        <w:t>I.</w:t>
      </w:r>
      <w:r w:rsidRPr="00451257">
        <w:rPr>
          <w:rFonts w:asciiTheme="majorHAnsi" w:hAnsiTheme="majorHAnsi"/>
          <w:b/>
          <w:bCs/>
          <w:sz w:val="20"/>
          <w:szCs w:val="20"/>
        </w:rPr>
        <w:tab/>
        <w:t xml:space="preserve">INFORMATION ABOUT THE PETITION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937"/>
        <w:gridCol w:w="5310"/>
      </w:tblGrid>
      <w:tr w:rsidR="00B17F6A" w:rsidRPr="00451257" w14:paraId="0E81F0B6" w14:textId="77777777" w:rsidTr="00706CD8">
        <w:tc>
          <w:tcPr>
            <w:tcW w:w="3937" w:type="dxa"/>
            <w:tcBorders>
              <w:top w:val="single" w:sz="4" w:space="0" w:color="auto"/>
              <w:bottom w:val="single" w:sz="6" w:space="0" w:color="auto"/>
            </w:tcBorders>
            <w:shd w:val="clear" w:color="auto" w:fill="67AE3C"/>
            <w:vAlign w:val="center"/>
          </w:tcPr>
          <w:p w14:paraId="0282646B" w14:textId="77777777" w:rsidR="00B17F6A" w:rsidRPr="00451257" w:rsidRDefault="00B17F6A" w:rsidP="00B17F6A">
            <w:pPr>
              <w:jc w:val="center"/>
              <w:rPr>
                <w:rFonts w:ascii="Cambria" w:hAnsi="Cambria"/>
                <w:b/>
                <w:bCs/>
                <w:color w:val="FFFFFF" w:themeColor="background1"/>
                <w:sz w:val="20"/>
                <w:szCs w:val="20"/>
              </w:rPr>
            </w:pPr>
            <w:r w:rsidRPr="00451257">
              <w:rPr>
                <w:rFonts w:ascii="Cambria" w:hAnsi="Cambria"/>
                <w:b/>
                <w:bCs/>
                <w:color w:val="FFFFFF" w:themeColor="background1"/>
                <w:sz w:val="20"/>
                <w:szCs w:val="20"/>
              </w:rPr>
              <w:t>Petitioner:</w:t>
            </w:r>
          </w:p>
        </w:tc>
        <w:tc>
          <w:tcPr>
            <w:tcW w:w="5310" w:type="dxa"/>
          </w:tcPr>
          <w:p w14:paraId="5F530209" w14:textId="2FD042DB" w:rsidR="00B17F6A" w:rsidRPr="00B17F6A" w:rsidRDefault="00B17F6A" w:rsidP="00B17F6A">
            <w:pPr>
              <w:jc w:val="both"/>
              <w:rPr>
                <w:rFonts w:asciiTheme="majorHAnsi" w:hAnsiTheme="majorHAnsi"/>
                <w:bCs/>
                <w:sz w:val="20"/>
                <w:szCs w:val="20"/>
              </w:rPr>
            </w:pPr>
            <w:r w:rsidRPr="00B17F6A">
              <w:rPr>
                <w:rFonts w:asciiTheme="majorHAnsi" w:hAnsiTheme="majorHAnsi"/>
                <w:sz w:val="20"/>
                <w:szCs w:val="20"/>
              </w:rPr>
              <w:t>Pedro José Canencia Martínez</w:t>
            </w:r>
          </w:p>
        </w:tc>
      </w:tr>
      <w:tr w:rsidR="00B17F6A" w:rsidRPr="00451257" w14:paraId="3AC8C350" w14:textId="77777777" w:rsidTr="00706CD8">
        <w:tc>
          <w:tcPr>
            <w:tcW w:w="3937" w:type="dxa"/>
            <w:tcBorders>
              <w:top w:val="single" w:sz="6" w:space="0" w:color="auto"/>
              <w:bottom w:val="single" w:sz="6" w:space="0" w:color="auto"/>
            </w:tcBorders>
            <w:shd w:val="clear" w:color="auto" w:fill="67AE3C"/>
            <w:vAlign w:val="center"/>
          </w:tcPr>
          <w:p w14:paraId="29FC2DA4" w14:textId="77777777" w:rsidR="00B17F6A" w:rsidRPr="00451257" w:rsidRDefault="0061644D" w:rsidP="00B17F6A">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9B543AD86C0BCF4E8AF8FAED4FFF4D63"/>
                </w:placeholder>
                <w:dropDownList>
                  <w:listItem w:value="Choose an item."/>
                  <w:listItem w:displayText="Alleged victim" w:value="Alleged victim"/>
                  <w:listItem w:displayText="Alleged victims" w:value="Alleged victims"/>
                </w:dropDownList>
              </w:sdtPr>
              <w:sdtEndPr/>
              <w:sdtContent>
                <w:r w:rsidR="00B17F6A" w:rsidRPr="00451257">
                  <w:rPr>
                    <w:rFonts w:ascii="Cambria" w:hAnsi="Cambria"/>
                    <w:b/>
                    <w:bCs/>
                    <w:color w:val="FFFFFF" w:themeColor="background1"/>
                    <w:sz w:val="20"/>
                    <w:szCs w:val="20"/>
                  </w:rPr>
                  <w:t>Alleged victim</w:t>
                </w:r>
              </w:sdtContent>
            </w:sdt>
            <w:r w:rsidR="00B17F6A" w:rsidRPr="00451257">
              <w:rPr>
                <w:rFonts w:ascii="Cambria" w:hAnsi="Cambria"/>
                <w:b/>
                <w:bCs/>
                <w:color w:val="FFFFFF" w:themeColor="background1"/>
                <w:sz w:val="20"/>
                <w:szCs w:val="20"/>
              </w:rPr>
              <w:t>:</w:t>
            </w:r>
          </w:p>
        </w:tc>
        <w:tc>
          <w:tcPr>
            <w:tcW w:w="5310" w:type="dxa"/>
          </w:tcPr>
          <w:p w14:paraId="4A6FB6E8" w14:textId="7231E544" w:rsidR="00B17F6A" w:rsidRPr="00B17F6A" w:rsidRDefault="00B17F6A" w:rsidP="00B17F6A">
            <w:pPr>
              <w:jc w:val="both"/>
              <w:rPr>
                <w:rFonts w:asciiTheme="majorHAnsi" w:hAnsiTheme="majorHAnsi"/>
                <w:bCs/>
                <w:sz w:val="20"/>
                <w:szCs w:val="20"/>
              </w:rPr>
            </w:pPr>
            <w:r w:rsidRPr="00B17F6A">
              <w:rPr>
                <w:rFonts w:asciiTheme="majorHAnsi" w:hAnsiTheme="majorHAnsi"/>
                <w:sz w:val="20"/>
                <w:szCs w:val="20"/>
              </w:rPr>
              <w:t xml:space="preserve"> Nicanor Morales Rodríguez and </w:t>
            </w:r>
            <w:r w:rsidR="004C0764">
              <w:rPr>
                <w:rFonts w:asciiTheme="majorHAnsi" w:hAnsiTheme="majorHAnsi"/>
                <w:sz w:val="20"/>
                <w:szCs w:val="20"/>
              </w:rPr>
              <w:t>relatives</w:t>
            </w:r>
            <w:r w:rsidRPr="00B17F6A">
              <w:rPr>
                <w:rStyle w:val="FootnoteReference"/>
                <w:rFonts w:asciiTheme="majorHAnsi" w:hAnsiTheme="majorHAnsi"/>
                <w:bCs/>
                <w:sz w:val="20"/>
                <w:szCs w:val="20"/>
                <w:lang w:val="es-419"/>
              </w:rPr>
              <w:footnoteReference w:id="2"/>
            </w:r>
            <w:r w:rsidRPr="00B17F6A">
              <w:rPr>
                <w:rFonts w:asciiTheme="majorHAnsi" w:hAnsiTheme="majorHAnsi"/>
                <w:sz w:val="20"/>
                <w:szCs w:val="20"/>
              </w:rPr>
              <w:t xml:space="preserve"> </w:t>
            </w:r>
          </w:p>
        </w:tc>
      </w:tr>
      <w:tr w:rsidR="00B17F6A" w:rsidRPr="00451257" w14:paraId="0D3C33AD" w14:textId="77777777" w:rsidTr="00706CD8">
        <w:tc>
          <w:tcPr>
            <w:tcW w:w="3937" w:type="dxa"/>
            <w:tcBorders>
              <w:top w:val="single" w:sz="6" w:space="0" w:color="auto"/>
              <w:bottom w:val="single" w:sz="6" w:space="0" w:color="auto"/>
            </w:tcBorders>
            <w:shd w:val="clear" w:color="auto" w:fill="67AE3C"/>
            <w:vAlign w:val="center"/>
          </w:tcPr>
          <w:p w14:paraId="42F9B685" w14:textId="77777777" w:rsidR="00B17F6A" w:rsidRPr="00451257" w:rsidRDefault="00B17F6A" w:rsidP="00B17F6A">
            <w:pPr>
              <w:jc w:val="center"/>
              <w:rPr>
                <w:rFonts w:ascii="Cambria" w:hAnsi="Cambria"/>
                <w:b/>
                <w:bCs/>
                <w:color w:val="FFFFFF" w:themeColor="background1"/>
                <w:sz w:val="20"/>
                <w:szCs w:val="20"/>
              </w:rPr>
            </w:pPr>
            <w:r w:rsidRPr="00451257">
              <w:rPr>
                <w:rFonts w:ascii="Cambria" w:hAnsi="Cambria"/>
                <w:b/>
                <w:bCs/>
                <w:color w:val="FFFFFF" w:themeColor="background1"/>
                <w:sz w:val="20"/>
                <w:szCs w:val="20"/>
              </w:rPr>
              <w:t>Respondent State:</w:t>
            </w:r>
          </w:p>
        </w:tc>
        <w:tc>
          <w:tcPr>
            <w:tcW w:w="5310" w:type="dxa"/>
          </w:tcPr>
          <w:p w14:paraId="00DBD9B9" w14:textId="68815159" w:rsidR="00B17F6A" w:rsidRPr="00B17F6A" w:rsidRDefault="00B17F6A" w:rsidP="00B17F6A">
            <w:pPr>
              <w:jc w:val="both"/>
              <w:rPr>
                <w:rFonts w:asciiTheme="majorHAnsi" w:hAnsiTheme="majorHAnsi"/>
                <w:bCs/>
                <w:sz w:val="20"/>
                <w:szCs w:val="20"/>
              </w:rPr>
            </w:pPr>
            <w:r w:rsidRPr="00B17F6A">
              <w:rPr>
                <w:rFonts w:asciiTheme="majorHAnsi" w:hAnsiTheme="majorHAnsi"/>
                <w:sz w:val="20"/>
                <w:szCs w:val="20"/>
              </w:rPr>
              <w:t>Colombia</w:t>
            </w:r>
            <w:r w:rsidRPr="00B17F6A">
              <w:rPr>
                <w:rStyle w:val="FootnoteReference"/>
                <w:rFonts w:asciiTheme="majorHAnsi" w:hAnsiTheme="majorHAnsi"/>
                <w:bCs/>
                <w:sz w:val="20"/>
                <w:szCs w:val="20"/>
                <w:lang w:val="es-419"/>
              </w:rPr>
              <w:footnoteReference w:id="3"/>
            </w:r>
            <w:r w:rsidRPr="00B17F6A">
              <w:rPr>
                <w:rFonts w:asciiTheme="majorHAnsi" w:hAnsiTheme="majorHAnsi"/>
                <w:sz w:val="20"/>
                <w:szCs w:val="20"/>
              </w:rPr>
              <w:t xml:space="preserve"> </w:t>
            </w:r>
          </w:p>
        </w:tc>
      </w:tr>
      <w:tr w:rsidR="00B17F6A" w:rsidRPr="00451257" w14:paraId="1BE2E237" w14:textId="77777777" w:rsidTr="00706CD8">
        <w:tc>
          <w:tcPr>
            <w:tcW w:w="3937" w:type="dxa"/>
            <w:tcBorders>
              <w:top w:val="single" w:sz="6" w:space="0" w:color="auto"/>
              <w:bottom w:val="single" w:sz="6" w:space="0" w:color="auto"/>
            </w:tcBorders>
            <w:shd w:val="clear" w:color="auto" w:fill="67AE3C"/>
            <w:vAlign w:val="center"/>
          </w:tcPr>
          <w:p w14:paraId="5997206E" w14:textId="77777777" w:rsidR="00B17F6A" w:rsidRPr="00451257" w:rsidRDefault="00B17F6A" w:rsidP="00B17F6A">
            <w:pPr>
              <w:jc w:val="center"/>
              <w:rPr>
                <w:rFonts w:ascii="Cambria" w:hAnsi="Cambria"/>
                <w:b/>
                <w:bCs/>
                <w:color w:val="FFFFFF" w:themeColor="background1"/>
                <w:sz w:val="20"/>
                <w:szCs w:val="20"/>
              </w:rPr>
            </w:pPr>
            <w:r w:rsidRPr="00451257">
              <w:rPr>
                <w:rFonts w:ascii="Cambria" w:hAnsi="Cambria"/>
                <w:b/>
                <w:bCs/>
                <w:color w:val="FFFFFF" w:themeColor="background1"/>
                <w:sz w:val="20"/>
                <w:szCs w:val="20"/>
              </w:rPr>
              <w:t>Rights invoked:</w:t>
            </w:r>
          </w:p>
        </w:tc>
        <w:tc>
          <w:tcPr>
            <w:tcW w:w="5310" w:type="dxa"/>
          </w:tcPr>
          <w:p w14:paraId="15C4043A" w14:textId="64643F14" w:rsidR="00B17F6A" w:rsidRPr="00B17F6A" w:rsidRDefault="00B17F6A" w:rsidP="00B17F6A">
            <w:pPr>
              <w:jc w:val="both"/>
              <w:rPr>
                <w:rFonts w:asciiTheme="majorHAnsi" w:hAnsiTheme="majorHAnsi"/>
                <w:bCs/>
                <w:sz w:val="20"/>
                <w:szCs w:val="20"/>
              </w:rPr>
            </w:pPr>
            <w:r w:rsidRPr="00B17F6A">
              <w:rPr>
                <w:rFonts w:asciiTheme="majorHAnsi" w:hAnsiTheme="majorHAnsi"/>
                <w:sz w:val="20"/>
                <w:szCs w:val="20"/>
              </w:rPr>
              <w:t xml:space="preserve"> Articles 4 (</w:t>
            </w:r>
            <w:r w:rsidR="002E69D4">
              <w:rPr>
                <w:rFonts w:asciiTheme="majorHAnsi" w:hAnsiTheme="majorHAnsi"/>
                <w:sz w:val="20"/>
                <w:szCs w:val="20"/>
              </w:rPr>
              <w:t xml:space="preserve">right to </w:t>
            </w:r>
            <w:r w:rsidRPr="00B17F6A">
              <w:rPr>
                <w:rFonts w:asciiTheme="majorHAnsi" w:hAnsiTheme="majorHAnsi"/>
                <w:sz w:val="20"/>
                <w:szCs w:val="20"/>
              </w:rPr>
              <w:t>life), 5 (</w:t>
            </w:r>
            <w:r w:rsidR="00421D86">
              <w:rPr>
                <w:rFonts w:asciiTheme="majorHAnsi" w:hAnsiTheme="majorHAnsi"/>
                <w:sz w:val="20"/>
                <w:szCs w:val="20"/>
              </w:rPr>
              <w:t>humane treatment</w:t>
            </w:r>
            <w:r w:rsidRPr="00B17F6A">
              <w:rPr>
                <w:rFonts w:asciiTheme="majorHAnsi" w:hAnsiTheme="majorHAnsi"/>
                <w:sz w:val="20"/>
                <w:szCs w:val="20"/>
              </w:rPr>
              <w:t>), 8 (</w:t>
            </w:r>
            <w:r w:rsidR="00421D86">
              <w:rPr>
                <w:rFonts w:asciiTheme="majorHAnsi" w:hAnsiTheme="majorHAnsi"/>
                <w:sz w:val="20"/>
                <w:szCs w:val="20"/>
              </w:rPr>
              <w:t>right to a fair trial</w:t>
            </w:r>
            <w:r w:rsidRPr="00B17F6A">
              <w:rPr>
                <w:rFonts w:asciiTheme="majorHAnsi" w:hAnsiTheme="majorHAnsi"/>
                <w:sz w:val="20"/>
                <w:szCs w:val="20"/>
              </w:rPr>
              <w:t>), 17 (</w:t>
            </w:r>
            <w:r w:rsidR="00421D86">
              <w:rPr>
                <w:rFonts w:asciiTheme="majorHAnsi" w:hAnsiTheme="majorHAnsi"/>
                <w:sz w:val="20"/>
                <w:szCs w:val="20"/>
              </w:rPr>
              <w:t>rights of the family</w:t>
            </w:r>
            <w:r w:rsidRPr="00B17F6A">
              <w:rPr>
                <w:rFonts w:asciiTheme="majorHAnsi" w:hAnsiTheme="majorHAnsi"/>
                <w:sz w:val="20"/>
                <w:szCs w:val="20"/>
              </w:rPr>
              <w:t>), 24 (</w:t>
            </w:r>
            <w:r w:rsidR="00421D86">
              <w:rPr>
                <w:rFonts w:asciiTheme="majorHAnsi" w:hAnsiTheme="majorHAnsi"/>
                <w:sz w:val="20"/>
                <w:szCs w:val="20"/>
              </w:rPr>
              <w:t>right to equal protection</w:t>
            </w:r>
            <w:r w:rsidRPr="00B17F6A">
              <w:rPr>
                <w:rFonts w:asciiTheme="majorHAnsi" w:hAnsiTheme="majorHAnsi"/>
                <w:sz w:val="20"/>
                <w:szCs w:val="20"/>
              </w:rPr>
              <w:t>)</w:t>
            </w:r>
            <w:r w:rsidR="00421D86">
              <w:rPr>
                <w:rFonts w:asciiTheme="majorHAnsi" w:hAnsiTheme="majorHAnsi"/>
                <w:sz w:val="20"/>
                <w:szCs w:val="20"/>
              </w:rPr>
              <w:t>,</w:t>
            </w:r>
            <w:r w:rsidRPr="00B17F6A">
              <w:rPr>
                <w:rFonts w:asciiTheme="majorHAnsi" w:hAnsiTheme="majorHAnsi"/>
                <w:sz w:val="20"/>
                <w:szCs w:val="20"/>
              </w:rPr>
              <w:t xml:space="preserve"> and 25 (judicial protection) of the American Convention on Human Rights,</w:t>
            </w:r>
            <w:r w:rsidRPr="00B17F6A">
              <w:rPr>
                <w:rStyle w:val="FootnoteReference"/>
                <w:rFonts w:asciiTheme="majorHAnsi" w:hAnsiTheme="majorHAnsi"/>
                <w:bCs/>
                <w:sz w:val="20"/>
                <w:szCs w:val="20"/>
                <w:lang w:val="es-419"/>
              </w:rPr>
              <w:footnoteReference w:id="4"/>
            </w:r>
            <w:r w:rsidR="00E26C78">
              <w:rPr>
                <w:rFonts w:asciiTheme="majorHAnsi" w:hAnsiTheme="majorHAnsi"/>
                <w:sz w:val="20"/>
                <w:szCs w:val="20"/>
              </w:rPr>
              <w:t xml:space="preserve"> </w:t>
            </w:r>
            <w:r w:rsidR="00E26C78" w:rsidRPr="00B17F6A">
              <w:rPr>
                <w:rFonts w:asciiTheme="majorHAnsi" w:hAnsiTheme="majorHAnsi"/>
                <w:sz w:val="20"/>
                <w:szCs w:val="20"/>
              </w:rPr>
              <w:t>in relation to Article 1.1 (obligation to respect rights)</w:t>
            </w:r>
            <w:r w:rsidR="00C0496F">
              <w:rPr>
                <w:rFonts w:asciiTheme="majorHAnsi" w:hAnsiTheme="majorHAnsi"/>
                <w:sz w:val="20"/>
                <w:szCs w:val="20"/>
              </w:rPr>
              <w:t xml:space="preserve"> </w:t>
            </w:r>
          </w:p>
        </w:tc>
      </w:tr>
    </w:tbl>
    <w:p w14:paraId="6A0D13D9" w14:textId="4E25752F" w:rsidR="00B17F6A" w:rsidRPr="00451257" w:rsidRDefault="00B17F6A" w:rsidP="00B17F6A">
      <w:pPr>
        <w:spacing w:before="240" w:after="240"/>
        <w:ind w:firstLine="720"/>
        <w:jc w:val="both"/>
        <w:rPr>
          <w:rFonts w:asciiTheme="majorHAnsi" w:hAnsiTheme="majorHAnsi"/>
          <w:b/>
          <w:bCs/>
          <w:sz w:val="20"/>
          <w:szCs w:val="20"/>
        </w:rPr>
      </w:pPr>
      <w:r w:rsidRPr="00451257">
        <w:rPr>
          <w:rFonts w:asciiTheme="majorHAnsi" w:hAnsiTheme="majorHAnsi"/>
          <w:b/>
          <w:bCs/>
          <w:sz w:val="20"/>
          <w:szCs w:val="20"/>
        </w:rPr>
        <w:t>II.</w:t>
      </w:r>
      <w:r w:rsidRPr="00451257">
        <w:rPr>
          <w:rFonts w:asciiTheme="majorHAnsi" w:hAnsiTheme="majorHAnsi"/>
          <w:b/>
          <w:bCs/>
          <w:sz w:val="20"/>
          <w:szCs w:val="20"/>
        </w:rPr>
        <w:tab/>
        <w:t>PROCEEDINGS BEFORE THE IACHR</w:t>
      </w:r>
      <w:r w:rsidR="00421D86" w:rsidRPr="0011075B">
        <w:rPr>
          <w:rStyle w:val="FootnoteReference"/>
          <w:rFonts w:ascii="Cambria" w:hAnsi="Cambria"/>
          <w:b/>
          <w:sz w:val="20"/>
          <w:szCs w:val="20"/>
          <w:lang w:val="es-419"/>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937"/>
        <w:gridCol w:w="5310"/>
      </w:tblGrid>
      <w:tr w:rsidR="00CA7DD1" w:rsidRPr="00451257" w14:paraId="7833F398" w14:textId="77777777" w:rsidTr="00706CD8">
        <w:tc>
          <w:tcPr>
            <w:tcW w:w="3937" w:type="dxa"/>
            <w:tcBorders>
              <w:top w:val="single" w:sz="6" w:space="0" w:color="auto"/>
              <w:bottom w:val="single" w:sz="6" w:space="0" w:color="auto"/>
            </w:tcBorders>
            <w:shd w:val="clear" w:color="auto" w:fill="67AE3C"/>
            <w:vAlign w:val="center"/>
          </w:tcPr>
          <w:p w14:paraId="12BF4AB2" w14:textId="77777777" w:rsidR="00CA7DD1" w:rsidRPr="00451257" w:rsidRDefault="00CA7DD1" w:rsidP="00CA7DD1">
            <w:pPr>
              <w:jc w:val="center"/>
              <w:rPr>
                <w:rFonts w:ascii="Cambria" w:hAnsi="Cambria"/>
                <w:b/>
                <w:bCs/>
                <w:color w:val="FFFFFF" w:themeColor="background1"/>
                <w:sz w:val="20"/>
                <w:szCs w:val="20"/>
              </w:rPr>
            </w:pPr>
            <w:r w:rsidRPr="00451257">
              <w:rPr>
                <w:rFonts w:ascii="Cambria" w:hAnsi="Cambria"/>
                <w:b/>
                <w:bCs/>
                <w:color w:val="FFFFFF" w:themeColor="background1"/>
                <w:sz w:val="20"/>
                <w:szCs w:val="20"/>
              </w:rPr>
              <w:t>Filing of the petition:</w:t>
            </w:r>
          </w:p>
        </w:tc>
        <w:tc>
          <w:tcPr>
            <w:tcW w:w="5310" w:type="dxa"/>
          </w:tcPr>
          <w:p w14:paraId="4FA1407E" w14:textId="7D20086E" w:rsidR="00CA7DD1" w:rsidRPr="00CA7DD1" w:rsidRDefault="00CA7DD1" w:rsidP="00CA7DD1">
            <w:pPr>
              <w:jc w:val="both"/>
              <w:rPr>
                <w:rFonts w:asciiTheme="majorHAnsi" w:hAnsiTheme="majorHAnsi"/>
                <w:bCs/>
                <w:sz w:val="20"/>
                <w:szCs w:val="20"/>
              </w:rPr>
            </w:pPr>
            <w:r w:rsidRPr="00CA7DD1">
              <w:rPr>
                <w:rFonts w:asciiTheme="majorHAnsi" w:hAnsiTheme="majorHAnsi"/>
                <w:sz w:val="20"/>
                <w:szCs w:val="20"/>
              </w:rPr>
              <w:t>November 15, 2014</w:t>
            </w:r>
          </w:p>
        </w:tc>
      </w:tr>
      <w:tr w:rsidR="00CA7DD1" w:rsidRPr="00451257" w14:paraId="745EF192" w14:textId="77777777" w:rsidTr="00706CD8">
        <w:tc>
          <w:tcPr>
            <w:tcW w:w="3937" w:type="dxa"/>
            <w:tcBorders>
              <w:top w:val="single" w:sz="6" w:space="0" w:color="auto"/>
              <w:bottom w:val="single" w:sz="6" w:space="0" w:color="auto"/>
            </w:tcBorders>
            <w:shd w:val="clear" w:color="auto" w:fill="67AE3C"/>
            <w:vAlign w:val="center"/>
          </w:tcPr>
          <w:p w14:paraId="015E96AA" w14:textId="34A8C7BB" w:rsidR="00CA7DD1" w:rsidRPr="00451257" w:rsidRDefault="00CA7DD1" w:rsidP="00CA7DD1">
            <w:pPr>
              <w:jc w:val="center"/>
              <w:rPr>
                <w:rFonts w:ascii="Cambria" w:hAnsi="Cambria"/>
                <w:b/>
                <w:bCs/>
                <w:color w:val="FFFFFF" w:themeColor="background1"/>
                <w:sz w:val="20"/>
                <w:szCs w:val="20"/>
              </w:rPr>
            </w:pPr>
            <w:r>
              <w:rPr>
                <w:rFonts w:ascii="Cambria" w:hAnsi="Cambria"/>
                <w:b/>
                <w:bCs/>
                <w:color w:val="FFFFFF" w:themeColor="background1"/>
                <w:sz w:val="20"/>
                <w:szCs w:val="20"/>
              </w:rPr>
              <w:t>Notification to the petitioner of</w:t>
            </w:r>
            <w:r w:rsidRPr="00451257">
              <w:rPr>
                <w:rFonts w:ascii="Cambria" w:hAnsi="Cambria"/>
                <w:b/>
                <w:bCs/>
                <w:color w:val="FFFFFF" w:themeColor="background1"/>
                <w:sz w:val="20"/>
                <w:szCs w:val="20"/>
              </w:rPr>
              <w:t xml:space="preserve"> the possible archiving of the petition:</w:t>
            </w:r>
          </w:p>
        </w:tc>
        <w:tc>
          <w:tcPr>
            <w:tcW w:w="5310" w:type="dxa"/>
          </w:tcPr>
          <w:p w14:paraId="24C6A970" w14:textId="50F063DD" w:rsidR="00CA7DD1" w:rsidRPr="00CA7DD1" w:rsidRDefault="00CA7DD1" w:rsidP="00CA7DD1">
            <w:pPr>
              <w:jc w:val="both"/>
              <w:rPr>
                <w:rFonts w:asciiTheme="majorHAnsi" w:hAnsiTheme="majorHAnsi"/>
                <w:sz w:val="20"/>
                <w:szCs w:val="20"/>
              </w:rPr>
            </w:pPr>
            <w:r w:rsidRPr="00CA7DD1">
              <w:rPr>
                <w:rFonts w:asciiTheme="majorHAnsi" w:hAnsiTheme="majorHAnsi"/>
                <w:sz w:val="20"/>
                <w:szCs w:val="20"/>
              </w:rPr>
              <w:t>September 24, 2020</w:t>
            </w:r>
          </w:p>
        </w:tc>
      </w:tr>
      <w:tr w:rsidR="00CA7DD1" w:rsidRPr="00451257" w14:paraId="23D317CA" w14:textId="77777777" w:rsidTr="00706CD8">
        <w:tc>
          <w:tcPr>
            <w:tcW w:w="3937" w:type="dxa"/>
            <w:tcBorders>
              <w:top w:val="single" w:sz="6" w:space="0" w:color="auto"/>
              <w:bottom w:val="single" w:sz="6" w:space="0" w:color="auto"/>
            </w:tcBorders>
            <w:shd w:val="clear" w:color="auto" w:fill="67AE3C"/>
            <w:vAlign w:val="center"/>
          </w:tcPr>
          <w:p w14:paraId="62CDF474" w14:textId="6122EB95" w:rsidR="00CA7DD1" w:rsidRPr="00451257" w:rsidRDefault="00CA7DD1" w:rsidP="00CA7DD1">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65562B">
              <w:rPr>
                <w:rFonts w:ascii="Cambria" w:hAnsi="Cambria"/>
                <w:b/>
                <w:bCs/>
                <w:color w:val="FFFFFF" w:themeColor="background1"/>
                <w:sz w:val="20"/>
                <w:szCs w:val="20"/>
              </w:rPr>
              <w:t>’</w:t>
            </w:r>
            <w:r>
              <w:rPr>
                <w:rFonts w:ascii="Cambria" w:hAnsi="Cambria"/>
                <w:b/>
                <w:bCs/>
                <w:color w:val="FFFFFF" w:themeColor="background1"/>
                <w:sz w:val="20"/>
                <w:szCs w:val="20"/>
              </w:rPr>
              <w:t>s response to</w:t>
            </w:r>
            <w:r w:rsidRPr="00451257">
              <w:rPr>
                <w:rFonts w:ascii="Cambria" w:hAnsi="Cambria"/>
                <w:b/>
                <w:bCs/>
                <w:color w:val="FFFFFF" w:themeColor="background1"/>
                <w:sz w:val="20"/>
                <w:szCs w:val="20"/>
              </w:rPr>
              <w:t xml:space="preserve"> the possible archiving of the petition:</w:t>
            </w:r>
          </w:p>
        </w:tc>
        <w:tc>
          <w:tcPr>
            <w:tcW w:w="5310" w:type="dxa"/>
          </w:tcPr>
          <w:p w14:paraId="122801A0" w14:textId="30C56C29" w:rsidR="00CA7DD1" w:rsidRPr="00CA7DD1" w:rsidRDefault="00CA7DD1" w:rsidP="00CA7DD1">
            <w:pPr>
              <w:jc w:val="both"/>
              <w:rPr>
                <w:rFonts w:asciiTheme="majorHAnsi" w:hAnsiTheme="majorHAnsi"/>
                <w:bCs/>
                <w:sz w:val="20"/>
                <w:szCs w:val="20"/>
              </w:rPr>
            </w:pPr>
            <w:r w:rsidRPr="00CA7DD1">
              <w:rPr>
                <w:rFonts w:asciiTheme="majorHAnsi" w:hAnsiTheme="majorHAnsi"/>
                <w:sz w:val="20"/>
                <w:szCs w:val="20"/>
              </w:rPr>
              <w:t>November 25, 2020</w:t>
            </w:r>
          </w:p>
        </w:tc>
      </w:tr>
      <w:tr w:rsidR="00CA7DD1" w:rsidRPr="00451257" w14:paraId="22F9E45F" w14:textId="77777777" w:rsidTr="00706CD8">
        <w:trPr>
          <w:trHeight w:val="264"/>
        </w:trPr>
        <w:tc>
          <w:tcPr>
            <w:tcW w:w="3937" w:type="dxa"/>
            <w:tcBorders>
              <w:top w:val="single" w:sz="6" w:space="0" w:color="auto"/>
              <w:bottom w:val="single" w:sz="6" w:space="0" w:color="auto"/>
            </w:tcBorders>
            <w:shd w:val="clear" w:color="auto" w:fill="67AE3C"/>
            <w:vAlign w:val="center"/>
          </w:tcPr>
          <w:p w14:paraId="744470DA" w14:textId="47F6AE46" w:rsidR="00CA7DD1" w:rsidRPr="00451257" w:rsidRDefault="00CA7DD1" w:rsidP="00CA7DD1">
            <w:pPr>
              <w:jc w:val="center"/>
              <w:rPr>
                <w:rFonts w:ascii="Cambria" w:hAnsi="Cambria"/>
                <w:b/>
                <w:bCs/>
                <w:color w:val="FFFFFF" w:themeColor="background1"/>
                <w:sz w:val="20"/>
                <w:szCs w:val="20"/>
              </w:rPr>
            </w:pPr>
            <w:r w:rsidRPr="00451257">
              <w:rPr>
                <w:rFonts w:ascii="Cambria" w:hAnsi="Cambria"/>
                <w:b/>
                <w:color w:val="FFFFFF" w:themeColor="background1"/>
                <w:sz w:val="20"/>
                <w:szCs w:val="20"/>
              </w:rPr>
              <w:t>Notification of the petition to the State:</w:t>
            </w:r>
          </w:p>
        </w:tc>
        <w:tc>
          <w:tcPr>
            <w:tcW w:w="5310" w:type="dxa"/>
          </w:tcPr>
          <w:p w14:paraId="00AA5E8C" w14:textId="5FEBEDB6" w:rsidR="00CA7DD1" w:rsidRPr="00CA7DD1" w:rsidRDefault="00CA7DD1" w:rsidP="00CA7DD1">
            <w:pPr>
              <w:jc w:val="both"/>
              <w:rPr>
                <w:rFonts w:asciiTheme="majorHAnsi" w:hAnsiTheme="majorHAnsi"/>
                <w:bCs/>
                <w:sz w:val="20"/>
                <w:szCs w:val="20"/>
              </w:rPr>
            </w:pPr>
            <w:r w:rsidRPr="00CA7DD1">
              <w:rPr>
                <w:rFonts w:asciiTheme="majorHAnsi" w:hAnsiTheme="majorHAnsi"/>
                <w:sz w:val="20"/>
                <w:szCs w:val="20"/>
              </w:rPr>
              <w:t>November 11, 2021</w:t>
            </w:r>
          </w:p>
        </w:tc>
      </w:tr>
      <w:tr w:rsidR="00CA7DD1" w:rsidRPr="00451257" w14:paraId="0157D8DD" w14:textId="77777777" w:rsidTr="00706CD8">
        <w:tc>
          <w:tcPr>
            <w:tcW w:w="3937" w:type="dxa"/>
            <w:tcBorders>
              <w:top w:val="single" w:sz="6" w:space="0" w:color="auto"/>
              <w:bottom w:val="single" w:sz="6" w:space="0" w:color="auto"/>
            </w:tcBorders>
            <w:shd w:val="clear" w:color="auto" w:fill="67AE3C"/>
            <w:vAlign w:val="center"/>
          </w:tcPr>
          <w:p w14:paraId="67BADD3D" w14:textId="3E2F91B0" w:rsidR="00CA7DD1" w:rsidRPr="00451257" w:rsidRDefault="00CA7DD1" w:rsidP="00CA7DD1">
            <w:pPr>
              <w:jc w:val="center"/>
              <w:rPr>
                <w:rFonts w:ascii="Cambria" w:hAnsi="Cambria"/>
                <w:b/>
                <w:bCs/>
                <w:color w:val="FFFFFF" w:themeColor="background1"/>
                <w:sz w:val="20"/>
                <w:szCs w:val="20"/>
              </w:rPr>
            </w:pPr>
            <w:r>
              <w:rPr>
                <w:rFonts w:ascii="Cambria" w:hAnsi="Cambria"/>
                <w:b/>
                <w:bCs/>
                <w:color w:val="FFFFFF" w:themeColor="background1"/>
                <w:sz w:val="20"/>
                <w:szCs w:val="20"/>
              </w:rPr>
              <w:t>Request for extension:</w:t>
            </w:r>
          </w:p>
        </w:tc>
        <w:tc>
          <w:tcPr>
            <w:tcW w:w="5310" w:type="dxa"/>
          </w:tcPr>
          <w:p w14:paraId="06C65281" w14:textId="429432A3" w:rsidR="00CA7DD1" w:rsidRPr="00CA7DD1" w:rsidRDefault="00CA7DD1" w:rsidP="00CA7DD1">
            <w:pPr>
              <w:jc w:val="both"/>
              <w:rPr>
                <w:rFonts w:asciiTheme="majorHAnsi" w:hAnsiTheme="majorHAnsi"/>
                <w:bCs/>
                <w:sz w:val="20"/>
                <w:szCs w:val="20"/>
              </w:rPr>
            </w:pPr>
            <w:r w:rsidRPr="00CA7DD1">
              <w:rPr>
                <w:rFonts w:asciiTheme="majorHAnsi" w:hAnsiTheme="majorHAnsi"/>
                <w:sz w:val="20"/>
                <w:szCs w:val="20"/>
              </w:rPr>
              <w:t>February 15, 2022</w:t>
            </w:r>
          </w:p>
        </w:tc>
      </w:tr>
      <w:tr w:rsidR="00CA7DD1" w:rsidRPr="00451257" w14:paraId="09DC9C72" w14:textId="77777777" w:rsidTr="00706CD8">
        <w:tc>
          <w:tcPr>
            <w:tcW w:w="3937" w:type="dxa"/>
            <w:tcBorders>
              <w:top w:val="single" w:sz="6" w:space="0" w:color="auto"/>
              <w:bottom w:val="single" w:sz="6" w:space="0" w:color="auto"/>
            </w:tcBorders>
            <w:shd w:val="clear" w:color="auto" w:fill="67AE3C"/>
            <w:vAlign w:val="center"/>
          </w:tcPr>
          <w:p w14:paraId="22273A07" w14:textId="141D2EE7" w:rsidR="00CA7DD1" w:rsidRPr="00451257" w:rsidRDefault="00DC60B0" w:rsidP="00CA7DD1">
            <w:pPr>
              <w:jc w:val="center"/>
              <w:rPr>
                <w:rFonts w:ascii="Cambria" w:hAnsi="Cambria"/>
                <w:b/>
                <w:bCs/>
                <w:color w:val="FFFFFF" w:themeColor="background1"/>
                <w:sz w:val="20"/>
                <w:szCs w:val="20"/>
              </w:rPr>
            </w:pPr>
            <w:r w:rsidRPr="00DC60B0">
              <w:rPr>
                <w:rFonts w:ascii="Cambria" w:hAnsi="Cambria"/>
                <w:b/>
                <w:bCs/>
                <w:color w:val="FFFFFF" w:themeColor="background1"/>
                <w:sz w:val="20"/>
                <w:szCs w:val="20"/>
              </w:rPr>
              <w:t>State</w:t>
            </w:r>
            <w:r w:rsidR="0065562B">
              <w:rPr>
                <w:rFonts w:ascii="Cambria" w:hAnsi="Cambria"/>
                <w:b/>
                <w:bCs/>
                <w:color w:val="FFFFFF" w:themeColor="background1"/>
                <w:sz w:val="20"/>
                <w:szCs w:val="20"/>
              </w:rPr>
              <w:t>’</w:t>
            </w:r>
            <w:r w:rsidRPr="00DC60B0">
              <w:rPr>
                <w:rFonts w:ascii="Cambria" w:hAnsi="Cambria"/>
                <w:b/>
                <w:bCs/>
                <w:color w:val="FFFFFF" w:themeColor="background1"/>
                <w:sz w:val="20"/>
                <w:szCs w:val="20"/>
              </w:rPr>
              <w:t>s first response:</w:t>
            </w:r>
          </w:p>
        </w:tc>
        <w:tc>
          <w:tcPr>
            <w:tcW w:w="5310" w:type="dxa"/>
          </w:tcPr>
          <w:p w14:paraId="55E9EAAC" w14:textId="7BF9084F" w:rsidR="00CA7DD1" w:rsidRPr="00CA7DD1" w:rsidRDefault="00CA7DD1" w:rsidP="00CA7DD1">
            <w:pPr>
              <w:jc w:val="both"/>
              <w:rPr>
                <w:rFonts w:asciiTheme="majorHAnsi" w:hAnsiTheme="majorHAnsi"/>
                <w:bCs/>
                <w:sz w:val="20"/>
                <w:szCs w:val="20"/>
              </w:rPr>
            </w:pPr>
            <w:r w:rsidRPr="00CA7DD1">
              <w:rPr>
                <w:rFonts w:asciiTheme="majorHAnsi" w:hAnsiTheme="majorHAnsi"/>
                <w:sz w:val="20"/>
                <w:szCs w:val="20"/>
              </w:rPr>
              <w:t>February 23, 2022</w:t>
            </w:r>
          </w:p>
        </w:tc>
      </w:tr>
    </w:tbl>
    <w:p w14:paraId="67FB36F7" w14:textId="77777777" w:rsidR="00B17F6A" w:rsidRPr="00451257" w:rsidRDefault="00B17F6A" w:rsidP="00B17F6A">
      <w:pPr>
        <w:spacing w:before="240" w:after="240"/>
        <w:ind w:firstLine="720"/>
        <w:jc w:val="both"/>
        <w:rPr>
          <w:rFonts w:asciiTheme="majorHAnsi" w:hAnsiTheme="majorHAnsi"/>
          <w:b/>
          <w:bCs/>
          <w:sz w:val="20"/>
          <w:szCs w:val="20"/>
        </w:rPr>
      </w:pPr>
      <w:r w:rsidRPr="00451257">
        <w:rPr>
          <w:rFonts w:asciiTheme="majorHAnsi" w:hAnsiTheme="majorHAnsi"/>
          <w:b/>
          <w:bCs/>
          <w:sz w:val="20"/>
          <w:szCs w:val="20"/>
        </w:rPr>
        <w:t xml:space="preserve">III. </w:t>
      </w:r>
      <w:r w:rsidRPr="00451257">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937"/>
        <w:gridCol w:w="5305"/>
      </w:tblGrid>
      <w:tr w:rsidR="00B17F6A" w:rsidRPr="00451257" w14:paraId="337DCC33" w14:textId="77777777" w:rsidTr="00706CD8">
        <w:trPr>
          <w:cantSplit/>
        </w:trPr>
        <w:tc>
          <w:tcPr>
            <w:tcW w:w="3937" w:type="dxa"/>
            <w:tcBorders>
              <w:top w:val="single" w:sz="4" w:space="0" w:color="auto"/>
              <w:bottom w:val="single" w:sz="6" w:space="0" w:color="auto"/>
            </w:tcBorders>
            <w:shd w:val="clear" w:color="auto" w:fill="67AE3C"/>
            <w:vAlign w:val="center"/>
          </w:tcPr>
          <w:p w14:paraId="2B788144" w14:textId="77777777" w:rsidR="00B17F6A" w:rsidRPr="00451257" w:rsidRDefault="00B17F6A" w:rsidP="00706CD8">
            <w:pPr>
              <w:jc w:val="center"/>
              <w:rPr>
                <w:rFonts w:ascii="Cambria" w:hAnsi="Cambria"/>
                <w:b/>
                <w:bCs/>
                <w:i/>
                <w:color w:val="FFFFFF" w:themeColor="background1"/>
                <w:sz w:val="20"/>
                <w:szCs w:val="20"/>
              </w:rPr>
            </w:pPr>
            <w:r w:rsidRPr="00451257">
              <w:rPr>
                <w:rFonts w:ascii="Cambria" w:hAnsi="Cambria"/>
                <w:b/>
                <w:bCs/>
                <w:color w:val="FFFFFF" w:themeColor="background1"/>
                <w:sz w:val="20"/>
                <w:szCs w:val="20"/>
              </w:rPr>
              <w:t>Competence</w:t>
            </w:r>
            <w:r w:rsidRPr="00451257">
              <w:rPr>
                <w:rFonts w:ascii="Cambria" w:hAnsi="Cambria"/>
                <w:b/>
                <w:bCs/>
                <w:i/>
                <w:color w:val="FFFFFF" w:themeColor="background1"/>
                <w:sz w:val="20"/>
                <w:szCs w:val="20"/>
              </w:rPr>
              <w:t xml:space="preserve"> Ratione personae:</w:t>
            </w:r>
          </w:p>
        </w:tc>
        <w:tc>
          <w:tcPr>
            <w:tcW w:w="5305" w:type="dxa"/>
          </w:tcPr>
          <w:p w14:paraId="4903D7E2" w14:textId="77777777" w:rsidR="00B17F6A" w:rsidRPr="00451257" w:rsidRDefault="00B17F6A" w:rsidP="00706CD8">
            <w:pPr>
              <w:rPr>
                <w:rFonts w:asciiTheme="majorHAnsi" w:hAnsiTheme="majorHAnsi"/>
                <w:bCs/>
                <w:sz w:val="20"/>
                <w:szCs w:val="20"/>
              </w:rPr>
            </w:pPr>
            <w:r w:rsidRPr="00451257">
              <w:rPr>
                <w:rFonts w:asciiTheme="majorHAnsi" w:hAnsiTheme="majorHAnsi"/>
                <w:sz w:val="20"/>
                <w:szCs w:val="20"/>
              </w:rPr>
              <w:t>Yes</w:t>
            </w:r>
          </w:p>
        </w:tc>
      </w:tr>
      <w:tr w:rsidR="00B17F6A" w:rsidRPr="00451257" w14:paraId="243D7023" w14:textId="77777777" w:rsidTr="00706CD8">
        <w:trPr>
          <w:cantSplit/>
        </w:trPr>
        <w:tc>
          <w:tcPr>
            <w:tcW w:w="3937" w:type="dxa"/>
            <w:tcBorders>
              <w:top w:val="single" w:sz="6" w:space="0" w:color="auto"/>
              <w:bottom w:val="single" w:sz="6" w:space="0" w:color="auto"/>
            </w:tcBorders>
            <w:shd w:val="clear" w:color="auto" w:fill="67AE3C"/>
            <w:vAlign w:val="center"/>
          </w:tcPr>
          <w:p w14:paraId="7C0F84DC" w14:textId="77777777" w:rsidR="00B17F6A" w:rsidRPr="00451257" w:rsidRDefault="00B17F6A" w:rsidP="00706CD8">
            <w:pPr>
              <w:jc w:val="center"/>
              <w:rPr>
                <w:rFonts w:ascii="Cambria" w:hAnsi="Cambria"/>
                <w:b/>
                <w:bCs/>
                <w:color w:val="FFFFFF" w:themeColor="background1"/>
                <w:sz w:val="20"/>
                <w:szCs w:val="20"/>
              </w:rPr>
            </w:pPr>
            <w:r w:rsidRPr="00451257">
              <w:rPr>
                <w:rFonts w:ascii="Cambria" w:hAnsi="Cambria"/>
                <w:b/>
                <w:bCs/>
                <w:color w:val="FFFFFF" w:themeColor="background1"/>
                <w:sz w:val="20"/>
                <w:szCs w:val="20"/>
              </w:rPr>
              <w:t>Competence</w:t>
            </w:r>
            <w:r w:rsidRPr="00451257">
              <w:rPr>
                <w:rFonts w:ascii="Cambria" w:hAnsi="Cambria"/>
                <w:b/>
                <w:bCs/>
                <w:i/>
                <w:color w:val="FFFFFF" w:themeColor="background1"/>
                <w:sz w:val="20"/>
                <w:szCs w:val="20"/>
              </w:rPr>
              <w:t xml:space="preserve"> Ratione loci</w:t>
            </w:r>
            <w:r w:rsidRPr="00451257">
              <w:rPr>
                <w:rFonts w:ascii="Cambria" w:hAnsi="Cambria"/>
                <w:b/>
                <w:bCs/>
                <w:color w:val="FFFFFF" w:themeColor="background1"/>
                <w:sz w:val="20"/>
                <w:szCs w:val="20"/>
              </w:rPr>
              <w:t>:</w:t>
            </w:r>
          </w:p>
        </w:tc>
        <w:tc>
          <w:tcPr>
            <w:tcW w:w="5305" w:type="dxa"/>
          </w:tcPr>
          <w:p w14:paraId="7A68DEEF" w14:textId="77777777" w:rsidR="00B17F6A" w:rsidRPr="00451257" w:rsidRDefault="00B17F6A" w:rsidP="00706CD8">
            <w:pPr>
              <w:rPr>
                <w:rFonts w:asciiTheme="majorHAnsi" w:hAnsiTheme="majorHAnsi"/>
                <w:bCs/>
                <w:sz w:val="20"/>
                <w:szCs w:val="20"/>
              </w:rPr>
            </w:pPr>
            <w:r w:rsidRPr="00451257">
              <w:rPr>
                <w:rFonts w:asciiTheme="majorHAnsi" w:hAnsiTheme="majorHAnsi"/>
                <w:sz w:val="20"/>
                <w:szCs w:val="20"/>
              </w:rPr>
              <w:t>Yes</w:t>
            </w:r>
          </w:p>
        </w:tc>
      </w:tr>
      <w:tr w:rsidR="00B17F6A" w:rsidRPr="00451257" w14:paraId="3DFC9DF9" w14:textId="77777777" w:rsidTr="00706CD8">
        <w:trPr>
          <w:cantSplit/>
        </w:trPr>
        <w:tc>
          <w:tcPr>
            <w:tcW w:w="3937" w:type="dxa"/>
            <w:tcBorders>
              <w:top w:val="single" w:sz="6" w:space="0" w:color="auto"/>
              <w:bottom w:val="single" w:sz="6" w:space="0" w:color="auto"/>
            </w:tcBorders>
            <w:shd w:val="clear" w:color="auto" w:fill="67AE3C"/>
            <w:vAlign w:val="center"/>
          </w:tcPr>
          <w:p w14:paraId="6403A530" w14:textId="77777777" w:rsidR="00B17F6A" w:rsidRPr="00451257" w:rsidRDefault="00B17F6A" w:rsidP="00706CD8">
            <w:pPr>
              <w:jc w:val="center"/>
              <w:rPr>
                <w:rFonts w:ascii="Cambria" w:hAnsi="Cambria"/>
                <w:b/>
                <w:bCs/>
                <w:color w:val="FFFFFF" w:themeColor="background1"/>
                <w:sz w:val="20"/>
                <w:szCs w:val="20"/>
              </w:rPr>
            </w:pPr>
            <w:r w:rsidRPr="00451257">
              <w:rPr>
                <w:rFonts w:ascii="Cambria" w:hAnsi="Cambria"/>
                <w:b/>
                <w:bCs/>
                <w:color w:val="FFFFFF" w:themeColor="background1"/>
                <w:sz w:val="20"/>
                <w:szCs w:val="20"/>
              </w:rPr>
              <w:t>Competence</w:t>
            </w:r>
            <w:r w:rsidRPr="00451257">
              <w:rPr>
                <w:rFonts w:ascii="Cambria" w:hAnsi="Cambria"/>
                <w:b/>
                <w:bCs/>
                <w:i/>
                <w:color w:val="FFFFFF" w:themeColor="background1"/>
                <w:sz w:val="20"/>
                <w:szCs w:val="20"/>
              </w:rPr>
              <w:t xml:space="preserve"> Ratione temporis</w:t>
            </w:r>
            <w:r w:rsidRPr="00451257">
              <w:rPr>
                <w:rFonts w:ascii="Cambria" w:hAnsi="Cambria"/>
                <w:b/>
                <w:bCs/>
                <w:color w:val="FFFFFF" w:themeColor="background1"/>
                <w:sz w:val="20"/>
                <w:szCs w:val="20"/>
              </w:rPr>
              <w:t>:</w:t>
            </w:r>
          </w:p>
        </w:tc>
        <w:tc>
          <w:tcPr>
            <w:tcW w:w="5305" w:type="dxa"/>
          </w:tcPr>
          <w:p w14:paraId="7AE4FE4C" w14:textId="77777777" w:rsidR="00B17F6A" w:rsidRPr="00451257" w:rsidRDefault="00B17F6A" w:rsidP="00706CD8">
            <w:pPr>
              <w:rPr>
                <w:rFonts w:asciiTheme="majorHAnsi" w:hAnsiTheme="majorHAnsi"/>
                <w:bCs/>
                <w:sz w:val="20"/>
                <w:szCs w:val="20"/>
              </w:rPr>
            </w:pPr>
            <w:r w:rsidRPr="00451257">
              <w:rPr>
                <w:rFonts w:asciiTheme="majorHAnsi" w:hAnsiTheme="majorHAnsi"/>
                <w:sz w:val="20"/>
                <w:szCs w:val="20"/>
              </w:rPr>
              <w:t>Yes</w:t>
            </w:r>
          </w:p>
        </w:tc>
      </w:tr>
      <w:tr w:rsidR="00B17F6A" w:rsidRPr="00451257" w14:paraId="0C63F685" w14:textId="77777777" w:rsidTr="00706CD8">
        <w:trPr>
          <w:cantSplit/>
        </w:trPr>
        <w:tc>
          <w:tcPr>
            <w:tcW w:w="3937" w:type="dxa"/>
            <w:tcBorders>
              <w:top w:val="single" w:sz="6" w:space="0" w:color="auto"/>
              <w:bottom w:val="single" w:sz="6" w:space="0" w:color="auto"/>
            </w:tcBorders>
            <w:shd w:val="clear" w:color="auto" w:fill="67AE3C"/>
            <w:vAlign w:val="center"/>
          </w:tcPr>
          <w:p w14:paraId="1F4536BF" w14:textId="77777777" w:rsidR="00B17F6A" w:rsidRPr="00451257" w:rsidRDefault="00B17F6A" w:rsidP="00706CD8">
            <w:pPr>
              <w:jc w:val="center"/>
              <w:rPr>
                <w:rFonts w:ascii="Cambria" w:hAnsi="Cambria"/>
                <w:b/>
                <w:bCs/>
                <w:color w:val="FFFFFF" w:themeColor="background1"/>
                <w:sz w:val="20"/>
                <w:szCs w:val="20"/>
              </w:rPr>
            </w:pPr>
            <w:r w:rsidRPr="00451257">
              <w:rPr>
                <w:rFonts w:ascii="Cambria" w:hAnsi="Cambria"/>
                <w:b/>
                <w:bCs/>
                <w:color w:val="FFFFFF" w:themeColor="background1"/>
                <w:sz w:val="20"/>
                <w:szCs w:val="20"/>
              </w:rPr>
              <w:t>Competence</w:t>
            </w:r>
            <w:r w:rsidRPr="00451257">
              <w:rPr>
                <w:rFonts w:ascii="Cambria" w:hAnsi="Cambria"/>
                <w:b/>
                <w:bCs/>
                <w:i/>
                <w:color w:val="FFFFFF" w:themeColor="background1"/>
                <w:sz w:val="20"/>
                <w:szCs w:val="20"/>
              </w:rPr>
              <w:t xml:space="preserve"> Ratione materiae</w:t>
            </w:r>
            <w:r w:rsidRPr="00451257">
              <w:rPr>
                <w:rFonts w:ascii="Cambria" w:hAnsi="Cambria"/>
                <w:b/>
                <w:bCs/>
                <w:color w:val="FFFFFF" w:themeColor="background1"/>
                <w:sz w:val="20"/>
                <w:szCs w:val="20"/>
              </w:rPr>
              <w:t>:</w:t>
            </w:r>
          </w:p>
        </w:tc>
        <w:tc>
          <w:tcPr>
            <w:tcW w:w="5305" w:type="dxa"/>
          </w:tcPr>
          <w:p w14:paraId="3D51F655" w14:textId="38C46D55" w:rsidR="00B17F6A" w:rsidRPr="00451257" w:rsidRDefault="00B17F6A" w:rsidP="00706CD8">
            <w:pPr>
              <w:jc w:val="both"/>
              <w:rPr>
                <w:rFonts w:asciiTheme="majorHAnsi" w:hAnsiTheme="majorHAnsi"/>
                <w:bCs/>
                <w:sz w:val="20"/>
                <w:szCs w:val="20"/>
              </w:rPr>
            </w:pPr>
            <w:r w:rsidRPr="00451257">
              <w:rPr>
                <w:rFonts w:asciiTheme="majorHAnsi" w:hAnsiTheme="majorHAnsi"/>
                <w:sz w:val="20"/>
                <w:szCs w:val="20"/>
              </w:rPr>
              <w:t>Yes, American Convention (instrument deposited on July 31, 1973)</w:t>
            </w:r>
          </w:p>
        </w:tc>
      </w:tr>
    </w:tbl>
    <w:p w14:paraId="71F50569" w14:textId="77777777" w:rsidR="00B17F6A" w:rsidRPr="00451257" w:rsidRDefault="00B17F6A" w:rsidP="00B17F6A">
      <w:pPr>
        <w:spacing w:before="240" w:after="240"/>
        <w:ind w:firstLine="720"/>
        <w:jc w:val="both"/>
        <w:rPr>
          <w:rFonts w:asciiTheme="majorHAnsi" w:hAnsiTheme="majorHAnsi"/>
          <w:b/>
          <w:bCs/>
          <w:sz w:val="20"/>
          <w:szCs w:val="20"/>
        </w:rPr>
      </w:pPr>
      <w:r w:rsidRPr="00451257">
        <w:rPr>
          <w:rFonts w:asciiTheme="majorHAnsi" w:hAnsiTheme="majorHAnsi"/>
          <w:b/>
          <w:bCs/>
          <w:sz w:val="20"/>
          <w:szCs w:val="20"/>
        </w:rPr>
        <w:t xml:space="preserve">IV. </w:t>
      </w:r>
      <w:r w:rsidRPr="00451257">
        <w:rPr>
          <w:rFonts w:asciiTheme="majorHAnsi" w:hAnsiTheme="majorHAnsi"/>
          <w:b/>
          <w:bCs/>
          <w:sz w:val="20"/>
          <w:szCs w:val="20"/>
        </w:rPr>
        <w:tab/>
        <w:t xml:space="preserve">DUPLICATION OF PROCEDURES AND INTERNATIONAL </w:t>
      </w:r>
      <w:r w:rsidRPr="00451257">
        <w:rPr>
          <w:rFonts w:asciiTheme="majorHAnsi" w:hAnsiTheme="majorHAnsi"/>
          <w:b/>
          <w:bCs/>
          <w:i/>
          <w:sz w:val="20"/>
          <w:szCs w:val="20"/>
        </w:rPr>
        <w:t>RES JUDICATA</w:t>
      </w:r>
      <w:r w:rsidRPr="00451257">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937"/>
        <w:gridCol w:w="5305"/>
      </w:tblGrid>
      <w:tr w:rsidR="00B17F6A" w:rsidRPr="00451257" w14:paraId="477C31A5" w14:textId="77777777" w:rsidTr="00706CD8">
        <w:trPr>
          <w:cantSplit/>
        </w:trPr>
        <w:tc>
          <w:tcPr>
            <w:tcW w:w="3937" w:type="dxa"/>
            <w:tcBorders>
              <w:top w:val="single" w:sz="4" w:space="0" w:color="auto"/>
              <w:bottom w:val="single" w:sz="6" w:space="0" w:color="auto"/>
            </w:tcBorders>
            <w:shd w:val="clear" w:color="auto" w:fill="67AE3C"/>
            <w:vAlign w:val="center"/>
          </w:tcPr>
          <w:p w14:paraId="5FDD76B8" w14:textId="77777777" w:rsidR="00B17F6A" w:rsidRPr="00451257" w:rsidRDefault="00B17F6A" w:rsidP="00706CD8">
            <w:pPr>
              <w:jc w:val="center"/>
              <w:rPr>
                <w:rFonts w:ascii="Cambria" w:hAnsi="Cambria"/>
                <w:b/>
                <w:bCs/>
                <w:color w:val="FFFFFF" w:themeColor="background1"/>
                <w:sz w:val="20"/>
                <w:szCs w:val="20"/>
              </w:rPr>
            </w:pPr>
            <w:r w:rsidRPr="00451257">
              <w:rPr>
                <w:rFonts w:ascii="Cambria" w:hAnsi="Cambria"/>
                <w:b/>
                <w:bCs/>
                <w:color w:val="FFFFFF" w:themeColor="background1"/>
                <w:sz w:val="20"/>
                <w:szCs w:val="20"/>
              </w:rPr>
              <w:t xml:space="preserve">Duplication of procedures and </w:t>
            </w:r>
            <w:r>
              <w:rPr>
                <w:rFonts w:ascii="Cambria" w:hAnsi="Cambria"/>
                <w:b/>
                <w:bCs/>
                <w:color w:val="FFFFFF" w:themeColor="background1"/>
                <w:sz w:val="20"/>
                <w:szCs w:val="20"/>
              </w:rPr>
              <w:t>i</w:t>
            </w:r>
            <w:r w:rsidRPr="00451257">
              <w:rPr>
                <w:rFonts w:ascii="Cambria" w:hAnsi="Cambria"/>
                <w:b/>
                <w:bCs/>
                <w:color w:val="FFFFFF" w:themeColor="background1"/>
                <w:sz w:val="20"/>
                <w:szCs w:val="20"/>
              </w:rPr>
              <w:t xml:space="preserve">nternational </w:t>
            </w:r>
            <w:r w:rsidRPr="00451257">
              <w:rPr>
                <w:rFonts w:ascii="Cambria" w:hAnsi="Cambria"/>
                <w:b/>
                <w:bCs/>
                <w:i/>
                <w:color w:val="FFFFFF" w:themeColor="background1"/>
                <w:sz w:val="20"/>
                <w:szCs w:val="20"/>
              </w:rPr>
              <w:t>res judicata</w:t>
            </w:r>
            <w:r w:rsidRPr="00451257">
              <w:rPr>
                <w:rFonts w:ascii="Cambria" w:hAnsi="Cambria"/>
                <w:b/>
                <w:bCs/>
                <w:color w:val="FFFFFF" w:themeColor="background1"/>
                <w:sz w:val="20"/>
                <w:szCs w:val="20"/>
              </w:rPr>
              <w:t>:</w:t>
            </w:r>
          </w:p>
        </w:tc>
        <w:tc>
          <w:tcPr>
            <w:tcW w:w="5305" w:type="dxa"/>
            <w:vAlign w:val="center"/>
          </w:tcPr>
          <w:p w14:paraId="4E204822" w14:textId="77777777" w:rsidR="00B17F6A" w:rsidRPr="00451257" w:rsidRDefault="00B17F6A" w:rsidP="00706CD8">
            <w:pPr>
              <w:jc w:val="both"/>
              <w:rPr>
                <w:rFonts w:ascii="Cambria" w:hAnsi="Cambria"/>
                <w:bCs/>
                <w:sz w:val="20"/>
                <w:szCs w:val="20"/>
              </w:rPr>
            </w:pPr>
            <w:r w:rsidRPr="00451257">
              <w:rPr>
                <w:rFonts w:ascii="Cambria" w:hAnsi="Cambria"/>
                <w:bCs/>
                <w:sz w:val="20"/>
                <w:szCs w:val="20"/>
              </w:rPr>
              <w:t>No</w:t>
            </w:r>
          </w:p>
        </w:tc>
      </w:tr>
      <w:tr w:rsidR="00B17F6A" w:rsidRPr="00451257" w14:paraId="1AC11607" w14:textId="77777777" w:rsidTr="00706CD8">
        <w:trPr>
          <w:cantSplit/>
        </w:trPr>
        <w:tc>
          <w:tcPr>
            <w:tcW w:w="3937" w:type="dxa"/>
            <w:tcBorders>
              <w:top w:val="single" w:sz="6" w:space="0" w:color="auto"/>
              <w:bottom w:val="single" w:sz="6" w:space="0" w:color="auto"/>
            </w:tcBorders>
            <w:shd w:val="clear" w:color="auto" w:fill="67AE3C"/>
            <w:vAlign w:val="center"/>
          </w:tcPr>
          <w:p w14:paraId="028952FF" w14:textId="77777777" w:rsidR="00B17F6A" w:rsidRPr="00451257" w:rsidRDefault="00B17F6A" w:rsidP="00706CD8">
            <w:pPr>
              <w:jc w:val="center"/>
              <w:rPr>
                <w:rFonts w:ascii="Cambria" w:hAnsi="Cambria"/>
                <w:b/>
                <w:bCs/>
                <w:i/>
                <w:color w:val="FFFFFF" w:themeColor="background1"/>
                <w:sz w:val="20"/>
                <w:szCs w:val="20"/>
              </w:rPr>
            </w:pPr>
            <w:r w:rsidRPr="00451257">
              <w:rPr>
                <w:rFonts w:ascii="Cambria" w:hAnsi="Cambria"/>
                <w:b/>
                <w:bCs/>
                <w:color w:val="FFFFFF" w:themeColor="background1"/>
                <w:sz w:val="20"/>
                <w:szCs w:val="20"/>
              </w:rPr>
              <w:t>Rights declared admissible</w:t>
            </w:r>
            <w:r>
              <w:rPr>
                <w:rFonts w:ascii="Cambria" w:hAnsi="Cambria"/>
                <w:b/>
                <w:bCs/>
                <w:color w:val="FFFFFF" w:themeColor="background1"/>
                <w:sz w:val="20"/>
                <w:szCs w:val="20"/>
              </w:rPr>
              <w:t>:</w:t>
            </w:r>
          </w:p>
        </w:tc>
        <w:tc>
          <w:tcPr>
            <w:tcW w:w="5305" w:type="dxa"/>
            <w:vAlign w:val="center"/>
          </w:tcPr>
          <w:p w14:paraId="6941C21F" w14:textId="3599DEEE" w:rsidR="00B17F6A" w:rsidRPr="00451257" w:rsidRDefault="005B4DA8" w:rsidP="00706CD8">
            <w:pPr>
              <w:jc w:val="both"/>
              <w:rPr>
                <w:rFonts w:ascii="Cambria" w:hAnsi="Cambria"/>
                <w:bCs/>
                <w:sz w:val="20"/>
                <w:szCs w:val="20"/>
              </w:rPr>
            </w:pPr>
            <w:r w:rsidRPr="005B4DA8">
              <w:rPr>
                <w:rFonts w:asciiTheme="majorHAnsi" w:hAnsiTheme="majorHAnsi"/>
                <w:sz w:val="20"/>
                <w:szCs w:val="20"/>
              </w:rPr>
              <w:t>Articles 4 (</w:t>
            </w:r>
            <w:r w:rsidR="002E69D4">
              <w:rPr>
                <w:rFonts w:asciiTheme="majorHAnsi" w:hAnsiTheme="majorHAnsi"/>
                <w:sz w:val="20"/>
                <w:szCs w:val="20"/>
              </w:rPr>
              <w:t xml:space="preserve">right to </w:t>
            </w:r>
            <w:r w:rsidRPr="005B4DA8">
              <w:rPr>
                <w:rFonts w:asciiTheme="majorHAnsi" w:hAnsiTheme="majorHAnsi"/>
                <w:sz w:val="20"/>
                <w:szCs w:val="20"/>
              </w:rPr>
              <w:t xml:space="preserve">life), 5 (humane treatment), </w:t>
            </w:r>
            <w:r>
              <w:rPr>
                <w:rFonts w:asciiTheme="majorHAnsi" w:hAnsiTheme="majorHAnsi"/>
                <w:sz w:val="20"/>
                <w:szCs w:val="20"/>
              </w:rPr>
              <w:t>7 (right to personal liberty),</w:t>
            </w:r>
            <w:r w:rsidRPr="005B4DA8">
              <w:rPr>
                <w:rFonts w:asciiTheme="majorHAnsi" w:hAnsiTheme="majorHAnsi"/>
                <w:sz w:val="20"/>
                <w:szCs w:val="20"/>
              </w:rPr>
              <w:t xml:space="preserve"> </w:t>
            </w:r>
            <w:r w:rsidR="006A6885">
              <w:rPr>
                <w:rFonts w:asciiTheme="majorHAnsi" w:hAnsiTheme="majorHAnsi"/>
                <w:sz w:val="20"/>
                <w:szCs w:val="20"/>
              </w:rPr>
              <w:t xml:space="preserve">8 </w:t>
            </w:r>
            <w:r w:rsidRPr="005B4DA8">
              <w:rPr>
                <w:rFonts w:asciiTheme="majorHAnsi" w:hAnsiTheme="majorHAnsi"/>
                <w:sz w:val="20"/>
                <w:szCs w:val="20"/>
              </w:rPr>
              <w:t xml:space="preserve">(right to </w:t>
            </w:r>
            <w:r>
              <w:rPr>
                <w:rFonts w:asciiTheme="majorHAnsi" w:hAnsiTheme="majorHAnsi"/>
                <w:sz w:val="20"/>
                <w:szCs w:val="20"/>
              </w:rPr>
              <w:t xml:space="preserve"> </w:t>
            </w:r>
            <w:r w:rsidRPr="005B4DA8">
              <w:rPr>
                <w:rFonts w:asciiTheme="majorHAnsi" w:hAnsiTheme="majorHAnsi"/>
                <w:sz w:val="20"/>
                <w:szCs w:val="20"/>
              </w:rPr>
              <w:t>a fair trial), and 25 (judicial protection) of the American Convention on Human Rights, in relation to Article 1.1 (obligation to respect rights)</w:t>
            </w:r>
          </w:p>
        </w:tc>
      </w:tr>
      <w:tr w:rsidR="00B17F6A" w:rsidRPr="00451257" w14:paraId="5E7E53F5" w14:textId="77777777" w:rsidTr="00706CD8">
        <w:trPr>
          <w:cantSplit/>
        </w:trPr>
        <w:tc>
          <w:tcPr>
            <w:tcW w:w="3937" w:type="dxa"/>
            <w:tcBorders>
              <w:top w:val="single" w:sz="6" w:space="0" w:color="auto"/>
              <w:bottom w:val="single" w:sz="6" w:space="0" w:color="auto"/>
            </w:tcBorders>
            <w:shd w:val="clear" w:color="auto" w:fill="67AE3C"/>
            <w:vAlign w:val="center"/>
          </w:tcPr>
          <w:p w14:paraId="7C76D132" w14:textId="77777777" w:rsidR="00B17F6A" w:rsidRPr="00451257" w:rsidRDefault="00B17F6A" w:rsidP="00706CD8">
            <w:pPr>
              <w:jc w:val="center"/>
              <w:rPr>
                <w:rFonts w:ascii="Cambria" w:hAnsi="Cambria"/>
                <w:b/>
                <w:bCs/>
                <w:color w:val="FFFFFF" w:themeColor="background1"/>
                <w:sz w:val="20"/>
                <w:szCs w:val="20"/>
              </w:rPr>
            </w:pPr>
            <w:r w:rsidRPr="00451257">
              <w:rPr>
                <w:rFonts w:ascii="Cambria" w:hAnsi="Cambria"/>
                <w:b/>
                <w:bCs/>
                <w:color w:val="FFFFFF" w:themeColor="background1"/>
                <w:sz w:val="20"/>
                <w:szCs w:val="20"/>
              </w:rPr>
              <w:t>Exhaustion of domestic remedies or applicability of an exception to the rule:</w:t>
            </w:r>
          </w:p>
        </w:tc>
        <w:tc>
          <w:tcPr>
            <w:tcW w:w="5305" w:type="dxa"/>
          </w:tcPr>
          <w:p w14:paraId="75447661" w14:textId="18F85D88" w:rsidR="00B17F6A" w:rsidRPr="00451257" w:rsidRDefault="00B51244" w:rsidP="0089604B">
            <w:pPr>
              <w:spacing w:before="100"/>
              <w:rPr>
                <w:rFonts w:asciiTheme="majorHAnsi" w:hAnsiTheme="majorHAnsi"/>
                <w:bCs/>
                <w:sz w:val="20"/>
                <w:szCs w:val="20"/>
              </w:rPr>
            </w:pPr>
            <w:r w:rsidRPr="00B51244">
              <w:rPr>
                <w:rFonts w:asciiTheme="majorHAnsi" w:hAnsiTheme="majorHAnsi"/>
                <w:sz w:val="20"/>
                <w:szCs w:val="20"/>
              </w:rPr>
              <w:t xml:space="preserve">Yes, </w:t>
            </w:r>
            <w:r w:rsidR="00954F84">
              <w:rPr>
                <w:rFonts w:asciiTheme="majorHAnsi" w:hAnsiTheme="majorHAnsi"/>
                <w:sz w:val="20"/>
                <w:szCs w:val="20"/>
              </w:rPr>
              <w:t>the</w:t>
            </w:r>
            <w:r w:rsidRPr="00B51244">
              <w:rPr>
                <w:rFonts w:asciiTheme="majorHAnsi" w:hAnsiTheme="majorHAnsi"/>
                <w:sz w:val="20"/>
                <w:szCs w:val="20"/>
              </w:rPr>
              <w:t xml:space="preserve"> Article 46.2</w:t>
            </w:r>
            <w:r>
              <w:rPr>
                <w:rFonts w:asciiTheme="majorHAnsi" w:hAnsiTheme="majorHAnsi"/>
                <w:sz w:val="20"/>
                <w:szCs w:val="20"/>
              </w:rPr>
              <w:t>(</w:t>
            </w:r>
            <w:r w:rsidRPr="00B51244">
              <w:rPr>
                <w:rFonts w:asciiTheme="majorHAnsi" w:hAnsiTheme="majorHAnsi"/>
                <w:sz w:val="20"/>
                <w:szCs w:val="20"/>
              </w:rPr>
              <w:t xml:space="preserve">c) </w:t>
            </w:r>
            <w:r>
              <w:rPr>
                <w:rFonts w:asciiTheme="majorHAnsi" w:hAnsiTheme="majorHAnsi"/>
                <w:sz w:val="20"/>
                <w:szCs w:val="20"/>
              </w:rPr>
              <w:t xml:space="preserve">exception </w:t>
            </w:r>
            <w:r w:rsidRPr="00B51244">
              <w:rPr>
                <w:rFonts w:asciiTheme="majorHAnsi" w:hAnsiTheme="majorHAnsi"/>
                <w:sz w:val="20"/>
                <w:szCs w:val="20"/>
              </w:rPr>
              <w:t>applies</w:t>
            </w:r>
            <w:r w:rsidR="0089604B">
              <w:rPr>
                <w:rFonts w:asciiTheme="majorHAnsi" w:hAnsiTheme="majorHAnsi"/>
                <w:sz w:val="20"/>
                <w:szCs w:val="20"/>
              </w:rPr>
              <w:t xml:space="preserve">, </w:t>
            </w:r>
          </w:p>
        </w:tc>
      </w:tr>
      <w:tr w:rsidR="00B17F6A" w:rsidRPr="00451257" w14:paraId="125D7DFB" w14:textId="77777777" w:rsidTr="00706CD8">
        <w:trPr>
          <w:cantSplit/>
        </w:trPr>
        <w:tc>
          <w:tcPr>
            <w:tcW w:w="3937" w:type="dxa"/>
            <w:tcBorders>
              <w:top w:val="single" w:sz="6" w:space="0" w:color="auto"/>
              <w:bottom w:val="single" w:sz="6" w:space="0" w:color="auto"/>
            </w:tcBorders>
            <w:shd w:val="clear" w:color="auto" w:fill="67AE3C"/>
            <w:vAlign w:val="center"/>
          </w:tcPr>
          <w:p w14:paraId="2F67CD6C" w14:textId="77777777" w:rsidR="00B17F6A" w:rsidRPr="00451257" w:rsidRDefault="00B17F6A" w:rsidP="00706CD8">
            <w:pPr>
              <w:jc w:val="center"/>
              <w:rPr>
                <w:rFonts w:ascii="Cambria" w:hAnsi="Cambria"/>
                <w:b/>
                <w:bCs/>
                <w:color w:val="FFFFFF" w:themeColor="background1"/>
                <w:sz w:val="20"/>
                <w:szCs w:val="20"/>
              </w:rPr>
            </w:pPr>
            <w:r w:rsidRPr="00451257">
              <w:rPr>
                <w:rFonts w:ascii="Cambria" w:hAnsi="Cambria"/>
                <w:b/>
                <w:bCs/>
                <w:color w:val="FFFFFF" w:themeColor="background1"/>
                <w:sz w:val="20"/>
                <w:szCs w:val="20"/>
              </w:rPr>
              <w:t>Timeliness of the petition:</w:t>
            </w:r>
          </w:p>
        </w:tc>
        <w:tc>
          <w:tcPr>
            <w:tcW w:w="5305" w:type="dxa"/>
          </w:tcPr>
          <w:p w14:paraId="3C4085E5" w14:textId="77777777" w:rsidR="00B17F6A" w:rsidRPr="00451257" w:rsidRDefault="00B17F6A" w:rsidP="00706CD8">
            <w:pPr>
              <w:rPr>
                <w:rFonts w:asciiTheme="majorHAnsi" w:hAnsiTheme="majorHAnsi"/>
                <w:bCs/>
                <w:sz w:val="20"/>
                <w:szCs w:val="20"/>
              </w:rPr>
            </w:pPr>
            <w:r w:rsidRPr="00414800">
              <w:rPr>
                <w:rFonts w:asciiTheme="majorHAnsi" w:hAnsiTheme="majorHAnsi"/>
                <w:sz w:val="20"/>
                <w:szCs w:val="20"/>
              </w:rPr>
              <w:t>Yes, under the terms of Section VI</w:t>
            </w:r>
          </w:p>
        </w:tc>
      </w:tr>
    </w:tbl>
    <w:p w14:paraId="2EA287D7" w14:textId="77777777" w:rsidR="00BC553E" w:rsidRDefault="00BC553E" w:rsidP="00295BD2">
      <w:pPr>
        <w:spacing w:after="240"/>
        <w:ind w:firstLine="720"/>
        <w:jc w:val="both"/>
        <w:rPr>
          <w:rFonts w:asciiTheme="majorHAnsi" w:hAnsiTheme="majorHAnsi"/>
          <w:b/>
          <w:sz w:val="20"/>
          <w:szCs w:val="20"/>
        </w:rPr>
      </w:pPr>
    </w:p>
    <w:p w14:paraId="56FD5D57" w14:textId="70E69B29" w:rsidR="003239B8" w:rsidRPr="00B17F6A" w:rsidRDefault="00223A29" w:rsidP="00295BD2">
      <w:pPr>
        <w:spacing w:after="240"/>
        <w:ind w:firstLine="720"/>
        <w:jc w:val="both"/>
        <w:rPr>
          <w:rFonts w:asciiTheme="majorHAnsi" w:hAnsiTheme="majorHAnsi"/>
          <w:b/>
          <w:sz w:val="20"/>
          <w:szCs w:val="20"/>
        </w:rPr>
      </w:pPr>
      <w:r w:rsidRPr="00B17F6A">
        <w:rPr>
          <w:rFonts w:asciiTheme="majorHAnsi" w:hAnsiTheme="majorHAnsi"/>
          <w:b/>
          <w:sz w:val="20"/>
          <w:szCs w:val="20"/>
        </w:rPr>
        <w:lastRenderedPageBreak/>
        <w:t xml:space="preserve">V. </w:t>
      </w:r>
      <w:r w:rsidRPr="00B17F6A">
        <w:rPr>
          <w:rFonts w:asciiTheme="majorHAnsi" w:hAnsiTheme="majorHAnsi"/>
          <w:b/>
          <w:sz w:val="20"/>
          <w:szCs w:val="20"/>
        </w:rPr>
        <w:tab/>
      </w:r>
      <w:r w:rsidR="0089604B">
        <w:rPr>
          <w:rFonts w:asciiTheme="majorHAnsi" w:hAnsiTheme="majorHAnsi"/>
          <w:b/>
          <w:sz w:val="20"/>
          <w:szCs w:val="20"/>
        </w:rPr>
        <w:t>POSITIONS OF THE PARTIES</w:t>
      </w:r>
      <w:r w:rsidR="003239B8" w:rsidRPr="00B17F6A">
        <w:rPr>
          <w:rFonts w:asciiTheme="majorHAnsi" w:hAnsiTheme="majorHAnsi"/>
          <w:b/>
          <w:sz w:val="20"/>
          <w:szCs w:val="20"/>
        </w:rPr>
        <w:t xml:space="preserve"> </w:t>
      </w:r>
    </w:p>
    <w:p w14:paraId="4EA306E2" w14:textId="4644D40D" w:rsidR="00785B6C" w:rsidRPr="00B17F6A" w:rsidRDefault="004F314E" w:rsidP="00295BD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rFonts w:asciiTheme="majorHAnsi" w:hAnsiTheme="majorHAnsi"/>
          <w:b/>
          <w:bCs/>
          <w:sz w:val="20"/>
          <w:szCs w:val="20"/>
        </w:rPr>
      </w:pPr>
      <w:r>
        <w:rPr>
          <w:rFonts w:asciiTheme="majorHAnsi" w:hAnsiTheme="majorHAnsi"/>
          <w:b/>
          <w:bCs/>
          <w:sz w:val="20"/>
          <w:szCs w:val="20"/>
        </w:rPr>
        <w:t>The petitioner</w:t>
      </w:r>
    </w:p>
    <w:p w14:paraId="2831ADFD" w14:textId="29B42A87" w:rsidR="00942687" w:rsidRPr="007809D7" w:rsidRDefault="00CB7AF1" w:rsidP="00295BD2">
      <w:pPr>
        <w:pStyle w:val="ListParagraph"/>
        <w:numPr>
          <w:ilvl w:val="0"/>
          <w:numId w:val="59"/>
        </w:numPr>
        <w:spacing w:after="240"/>
        <w:ind w:left="0" w:firstLine="720"/>
        <w:jc w:val="both"/>
        <w:rPr>
          <w:sz w:val="20"/>
          <w:szCs w:val="20"/>
        </w:rPr>
      </w:pPr>
      <w:r w:rsidRPr="00CB7AF1">
        <w:rPr>
          <w:rFonts w:asciiTheme="majorHAnsi" w:hAnsiTheme="majorHAnsi"/>
          <w:sz w:val="20"/>
          <w:szCs w:val="20"/>
        </w:rPr>
        <w:t xml:space="preserve">The petitioner </w:t>
      </w:r>
      <w:r>
        <w:rPr>
          <w:rFonts w:asciiTheme="majorHAnsi" w:hAnsiTheme="majorHAnsi"/>
          <w:sz w:val="20"/>
          <w:szCs w:val="20"/>
        </w:rPr>
        <w:t>condemns</w:t>
      </w:r>
      <w:r w:rsidRPr="00CB7AF1">
        <w:rPr>
          <w:rFonts w:asciiTheme="majorHAnsi" w:hAnsiTheme="majorHAnsi"/>
          <w:sz w:val="20"/>
          <w:szCs w:val="20"/>
        </w:rPr>
        <w:t xml:space="preserve"> the violent death by lynching of Nicanor Morales Rodríguez (</w:t>
      </w:r>
      <w:r w:rsidR="0065562B">
        <w:rPr>
          <w:rFonts w:asciiTheme="majorHAnsi" w:hAnsiTheme="majorHAnsi"/>
          <w:sz w:val="20"/>
          <w:szCs w:val="20"/>
        </w:rPr>
        <w:t>“</w:t>
      </w:r>
      <w:r w:rsidRPr="00CB7AF1">
        <w:rPr>
          <w:rFonts w:asciiTheme="majorHAnsi" w:hAnsiTheme="majorHAnsi"/>
          <w:sz w:val="20"/>
          <w:szCs w:val="20"/>
        </w:rPr>
        <w:t>Mr. Morales</w:t>
      </w:r>
      <w:r w:rsidR="0065562B">
        <w:rPr>
          <w:rFonts w:asciiTheme="majorHAnsi" w:hAnsiTheme="majorHAnsi"/>
          <w:sz w:val="20"/>
          <w:szCs w:val="20"/>
        </w:rPr>
        <w:t>”</w:t>
      </w:r>
      <w:r w:rsidRPr="00CB7AF1">
        <w:rPr>
          <w:rFonts w:asciiTheme="majorHAnsi" w:hAnsiTheme="majorHAnsi"/>
          <w:sz w:val="20"/>
          <w:szCs w:val="20"/>
        </w:rPr>
        <w:t xml:space="preserve"> or </w:t>
      </w:r>
      <w:r w:rsidR="0065562B">
        <w:rPr>
          <w:rFonts w:asciiTheme="majorHAnsi" w:hAnsiTheme="majorHAnsi"/>
          <w:sz w:val="20"/>
          <w:szCs w:val="20"/>
        </w:rPr>
        <w:t>“</w:t>
      </w:r>
      <w:r w:rsidRPr="00CB7AF1">
        <w:rPr>
          <w:rFonts w:asciiTheme="majorHAnsi" w:hAnsiTheme="majorHAnsi"/>
          <w:sz w:val="20"/>
          <w:szCs w:val="20"/>
        </w:rPr>
        <w:t>the alleged victim</w:t>
      </w:r>
      <w:r w:rsidR="0065562B">
        <w:rPr>
          <w:rFonts w:asciiTheme="majorHAnsi" w:hAnsiTheme="majorHAnsi"/>
          <w:sz w:val="20"/>
          <w:szCs w:val="20"/>
        </w:rPr>
        <w:t>”</w:t>
      </w:r>
      <w:r w:rsidRPr="00CB7AF1">
        <w:rPr>
          <w:rFonts w:asciiTheme="majorHAnsi" w:hAnsiTheme="majorHAnsi"/>
          <w:sz w:val="20"/>
          <w:szCs w:val="20"/>
        </w:rPr>
        <w:t>) while in police custody; the impunity and lack of reparations</w:t>
      </w:r>
      <w:r>
        <w:rPr>
          <w:rFonts w:asciiTheme="majorHAnsi" w:hAnsiTheme="majorHAnsi"/>
          <w:sz w:val="20"/>
          <w:szCs w:val="20"/>
        </w:rPr>
        <w:t xml:space="preserve"> for this act</w:t>
      </w:r>
      <w:r w:rsidRPr="00CB7AF1">
        <w:rPr>
          <w:rFonts w:asciiTheme="majorHAnsi" w:hAnsiTheme="majorHAnsi"/>
          <w:sz w:val="20"/>
          <w:szCs w:val="20"/>
        </w:rPr>
        <w:t xml:space="preserve">; and the </w:t>
      </w:r>
      <w:r>
        <w:rPr>
          <w:rFonts w:asciiTheme="majorHAnsi" w:hAnsiTheme="majorHAnsi"/>
          <w:sz w:val="20"/>
          <w:szCs w:val="20"/>
        </w:rPr>
        <w:t>pain and</w:t>
      </w:r>
      <w:r w:rsidRPr="00CB7AF1">
        <w:rPr>
          <w:rFonts w:asciiTheme="majorHAnsi" w:hAnsiTheme="majorHAnsi"/>
          <w:sz w:val="20"/>
          <w:szCs w:val="20"/>
        </w:rPr>
        <w:t xml:space="preserve"> </w:t>
      </w:r>
      <w:r w:rsidRPr="007809D7">
        <w:rPr>
          <w:rFonts w:asciiTheme="majorHAnsi" w:hAnsiTheme="majorHAnsi"/>
          <w:sz w:val="20"/>
          <w:szCs w:val="20"/>
        </w:rPr>
        <w:t>suffering of his next of kin</w:t>
      </w:r>
      <w:r w:rsidR="00B336D4" w:rsidRPr="007809D7">
        <w:rPr>
          <w:sz w:val="20"/>
          <w:szCs w:val="20"/>
        </w:rPr>
        <w:t>.</w:t>
      </w:r>
    </w:p>
    <w:p w14:paraId="1A6D13F9" w14:textId="53028F9B" w:rsidR="000A0013" w:rsidRPr="007809D7" w:rsidRDefault="007809D7" w:rsidP="00295BD2">
      <w:pPr>
        <w:pStyle w:val="ListParagraph"/>
        <w:numPr>
          <w:ilvl w:val="0"/>
          <w:numId w:val="59"/>
        </w:numPr>
        <w:spacing w:after="240"/>
        <w:ind w:left="0" w:firstLine="720"/>
        <w:jc w:val="both"/>
        <w:rPr>
          <w:sz w:val="20"/>
          <w:szCs w:val="20"/>
        </w:rPr>
      </w:pPr>
      <w:r w:rsidRPr="007809D7">
        <w:rPr>
          <w:sz w:val="20"/>
          <w:szCs w:val="20"/>
        </w:rPr>
        <w:t>The petitioner states that Mr. Morales worked as a bricklayer on the Guaimaral bridge construction project in the town of San Andrés del Rio, where he lived with his wife and children. On December 1, 2006</w:t>
      </w:r>
      <w:r>
        <w:rPr>
          <w:sz w:val="20"/>
          <w:szCs w:val="20"/>
        </w:rPr>
        <w:t>,</w:t>
      </w:r>
      <w:r w:rsidRPr="007809D7">
        <w:rPr>
          <w:sz w:val="20"/>
          <w:szCs w:val="20"/>
        </w:rPr>
        <w:t xml:space="preserve"> he was arrested and taken to the San Andrés del Rio police substation for </w:t>
      </w:r>
      <w:r w:rsidR="00215F01">
        <w:rPr>
          <w:sz w:val="20"/>
          <w:szCs w:val="20"/>
        </w:rPr>
        <w:t xml:space="preserve">the </w:t>
      </w:r>
      <w:r w:rsidRPr="007809D7">
        <w:rPr>
          <w:sz w:val="20"/>
          <w:szCs w:val="20"/>
        </w:rPr>
        <w:t>alleged</w:t>
      </w:r>
      <w:r w:rsidR="00215F01">
        <w:rPr>
          <w:sz w:val="20"/>
          <w:szCs w:val="20"/>
        </w:rPr>
        <w:t xml:space="preserve"> assault and battery of</w:t>
      </w:r>
      <w:r w:rsidRPr="007809D7">
        <w:rPr>
          <w:sz w:val="20"/>
          <w:szCs w:val="20"/>
        </w:rPr>
        <w:t xml:space="preserve"> a person named David Vel</w:t>
      </w:r>
      <w:r w:rsidR="00A776E6">
        <w:rPr>
          <w:sz w:val="20"/>
          <w:szCs w:val="20"/>
        </w:rPr>
        <w:t>á</w:t>
      </w:r>
      <w:r w:rsidRPr="007809D7">
        <w:rPr>
          <w:sz w:val="20"/>
          <w:szCs w:val="20"/>
        </w:rPr>
        <w:t xml:space="preserve">squez. </w:t>
      </w:r>
      <w:r w:rsidR="003C6E9F">
        <w:rPr>
          <w:sz w:val="20"/>
          <w:szCs w:val="20"/>
        </w:rPr>
        <w:t>He was</w:t>
      </w:r>
      <w:r w:rsidRPr="007809D7">
        <w:rPr>
          <w:sz w:val="20"/>
          <w:szCs w:val="20"/>
        </w:rPr>
        <w:t xml:space="preserve"> arrest</w:t>
      </w:r>
      <w:r w:rsidR="003C6E9F">
        <w:rPr>
          <w:sz w:val="20"/>
          <w:szCs w:val="20"/>
        </w:rPr>
        <w:t xml:space="preserve">ed </w:t>
      </w:r>
      <w:r w:rsidRPr="007809D7">
        <w:rPr>
          <w:sz w:val="20"/>
          <w:szCs w:val="20"/>
        </w:rPr>
        <w:t xml:space="preserve">at his home, in </w:t>
      </w:r>
      <w:r w:rsidR="00BE2F80">
        <w:rPr>
          <w:sz w:val="20"/>
          <w:szCs w:val="20"/>
        </w:rPr>
        <w:t>front of</w:t>
      </w:r>
      <w:r w:rsidRPr="007809D7">
        <w:rPr>
          <w:rFonts w:asciiTheme="majorHAnsi" w:hAnsiTheme="majorHAnsi"/>
          <w:sz w:val="20"/>
          <w:szCs w:val="20"/>
        </w:rPr>
        <w:t xml:space="preserve"> his family, including his minor children Yuluis Morales Bolívar and Juliana Morales Bolívar</w:t>
      </w:r>
      <w:r w:rsidRPr="007809D7">
        <w:rPr>
          <w:sz w:val="20"/>
          <w:szCs w:val="20"/>
        </w:rPr>
        <w:t xml:space="preserve">. He was </w:t>
      </w:r>
      <w:r w:rsidR="009B2287" w:rsidRPr="007809D7">
        <w:rPr>
          <w:sz w:val="20"/>
          <w:szCs w:val="20"/>
        </w:rPr>
        <w:t xml:space="preserve">handcuffed </w:t>
      </w:r>
      <w:r w:rsidR="009B2287">
        <w:rPr>
          <w:sz w:val="20"/>
          <w:szCs w:val="20"/>
        </w:rPr>
        <w:t xml:space="preserve">and </w:t>
      </w:r>
      <w:r w:rsidRPr="007809D7">
        <w:rPr>
          <w:sz w:val="20"/>
          <w:szCs w:val="20"/>
        </w:rPr>
        <w:t>detained without clothes, with a bleeding wound on his left arm</w:t>
      </w:r>
      <w:r w:rsidR="00F3680A" w:rsidRPr="007809D7">
        <w:rPr>
          <w:sz w:val="20"/>
          <w:szCs w:val="20"/>
        </w:rPr>
        <w:t>.</w:t>
      </w:r>
      <w:r>
        <w:rPr>
          <w:sz w:val="20"/>
          <w:szCs w:val="20"/>
        </w:rPr>
        <w:t xml:space="preserve"> </w:t>
      </w:r>
      <w:r w:rsidR="000A0013" w:rsidRPr="007809D7">
        <w:rPr>
          <w:sz w:val="20"/>
          <w:szCs w:val="20"/>
        </w:rPr>
        <w:t xml:space="preserve"> </w:t>
      </w:r>
    </w:p>
    <w:p w14:paraId="23FA8E7C" w14:textId="379C37A1" w:rsidR="000A0013" w:rsidRPr="00A776E6" w:rsidRDefault="00A776E6" w:rsidP="00295BD2">
      <w:pPr>
        <w:pStyle w:val="ListParagraph"/>
        <w:numPr>
          <w:ilvl w:val="0"/>
          <w:numId w:val="59"/>
        </w:numPr>
        <w:spacing w:after="240"/>
        <w:ind w:left="0" w:firstLine="720"/>
        <w:jc w:val="both"/>
        <w:rPr>
          <w:sz w:val="20"/>
          <w:szCs w:val="20"/>
        </w:rPr>
      </w:pPr>
      <w:r w:rsidRPr="00A776E6">
        <w:rPr>
          <w:sz w:val="20"/>
          <w:szCs w:val="20"/>
        </w:rPr>
        <w:t xml:space="preserve">While Mr. Morales was detained at the police station, family and friends of David Velásquez, enraged, burst into the station demanding that Mr. Morales be handed over to them </w:t>
      </w:r>
      <w:r w:rsidR="00451E35">
        <w:rPr>
          <w:sz w:val="20"/>
          <w:szCs w:val="20"/>
        </w:rPr>
        <w:t>so they could</w:t>
      </w:r>
      <w:r w:rsidRPr="00A776E6">
        <w:rPr>
          <w:sz w:val="20"/>
          <w:szCs w:val="20"/>
        </w:rPr>
        <w:t xml:space="preserve"> kill him, </w:t>
      </w:r>
      <w:r w:rsidR="00451E35">
        <w:rPr>
          <w:sz w:val="20"/>
          <w:szCs w:val="20"/>
        </w:rPr>
        <w:t>saying</w:t>
      </w:r>
      <w:r w:rsidRPr="00A776E6">
        <w:rPr>
          <w:sz w:val="20"/>
          <w:szCs w:val="20"/>
        </w:rPr>
        <w:t xml:space="preserve"> that they would take justice into their own hands. The police did not intervene to prevent the lynching. Nicanor Morales Rodríguez was brutally murdered in the presence of the police officers, who </w:t>
      </w:r>
      <w:r w:rsidR="00451E35">
        <w:rPr>
          <w:sz w:val="20"/>
          <w:szCs w:val="20"/>
        </w:rPr>
        <w:t>failed to</w:t>
      </w:r>
      <w:r w:rsidRPr="00A776E6">
        <w:rPr>
          <w:sz w:val="20"/>
          <w:szCs w:val="20"/>
        </w:rPr>
        <w:t xml:space="preserve"> take the necessary actions to prevent </w:t>
      </w:r>
      <w:r w:rsidR="00451E35">
        <w:rPr>
          <w:sz w:val="20"/>
          <w:szCs w:val="20"/>
        </w:rPr>
        <w:t>his</w:t>
      </w:r>
      <w:r w:rsidRPr="00A776E6">
        <w:rPr>
          <w:sz w:val="20"/>
          <w:szCs w:val="20"/>
        </w:rPr>
        <w:t xml:space="preserve"> murder. The attackers used stones, sticks, machetes</w:t>
      </w:r>
      <w:r w:rsidR="00451E35">
        <w:rPr>
          <w:sz w:val="20"/>
          <w:szCs w:val="20"/>
        </w:rPr>
        <w:t>,</w:t>
      </w:r>
      <w:r w:rsidRPr="00A776E6">
        <w:rPr>
          <w:sz w:val="20"/>
          <w:szCs w:val="20"/>
        </w:rPr>
        <w:t xml:space="preserve"> and </w:t>
      </w:r>
      <w:r w:rsidR="006F70BE">
        <w:rPr>
          <w:sz w:val="20"/>
          <w:szCs w:val="20"/>
        </w:rPr>
        <w:t>rods</w:t>
      </w:r>
      <w:r w:rsidRPr="00A776E6">
        <w:rPr>
          <w:sz w:val="20"/>
          <w:szCs w:val="20"/>
        </w:rPr>
        <w:t xml:space="preserve"> to beat him; they tied him up, dragged him, and doused his body with gasoline. The officers present at the police substation observed the attack without preventing it</w:t>
      </w:r>
      <w:r w:rsidR="00F3680A" w:rsidRPr="00A776E6">
        <w:rPr>
          <w:sz w:val="20"/>
          <w:szCs w:val="20"/>
        </w:rPr>
        <w:t>.</w:t>
      </w:r>
    </w:p>
    <w:p w14:paraId="1AEF76D3" w14:textId="6DDECE8C" w:rsidR="009300FC" w:rsidRPr="00D31E58" w:rsidRDefault="009300FC" w:rsidP="00295BD2">
      <w:pPr>
        <w:pStyle w:val="ListParagraph"/>
        <w:numPr>
          <w:ilvl w:val="0"/>
          <w:numId w:val="59"/>
        </w:numPr>
        <w:spacing w:after="240"/>
        <w:ind w:left="0" w:firstLine="720"/>
        <w:jc w:val="both"/>
        <w:rPr>
          <w:sz w:val="20"/>
          <w:szCs w:val="20"/>
        </w:rPr>
      </w:pPr>
      <w:r w:rsidRPr="009300FC">
        <w:rPr>
          <w:sz w:val="20"/>
          <w:szCs w:val="20"/>
        </w:rPr>
        <w:t xml:space="preserve">The petitioner alleges that the only investigation conducted was </w:t>
      </w:r>
      <w:r w:rsidR="009E06D5">
        <w:rPr>
          <w:sz w:val="20"/>
          <w:szCs w:val="20"/>
        </w:rPr>
        <w:t xml:space="preserve">a </w:t>
      </w:r>
      <w:r w:rsidRPr="009300FC">
        <w:rPr>
          <w:sz w:val="20"/>
          <w:szCs w:val="20"/>
        </w:rPr>
        <w:t xml:space="preserve">disciplinary </w:t>
      </w:r>
      <w:r w:rsidR="009E06D5">
        <w:rPr>
          <w:sz w:val="20"/>
          <w:szCs w:val="20"/>
        </w:rPr>
        <w:t>investigation</w:t>
      </w:r>
      <w:r w:rsidRPr="009300FC">
        <w:rPr>
          <w:sz w:val="20"/>
          <w:szCs w:val="20"/>
        </w:rPr>
        <w:t xml:space="preserve"> by the National Police against </w:t>
      </w:r>
      <w:r w:rsidRPr="00D31E58">
        <w:rPr>
          <w:sz w:val="20"/>
          <w:szCs w:val="20"/>
        </w:rPr>
        <w:t xml:space="preserve">Second Lieutenant Alberto Luis Cortes Valero, and he was </w:t>
      </w:r>
      <w:r w:rsidR="009E06D5" w:rsidRPr="00D31E58">
        <w:rPr>
          <w:sz w:val="20"/>
          <w:szCs w:val="20"/>
        </w:rPr>
        <w:t>exonerated</w:t>
      </w:r>
      <w:r w:rsidRPr="00D31E58">
        <w:rPr>
          <w:sz w:val="20"/>
          <w:szCs w:val="20"/>
        </w:rPr>
        <w:t>.</w:t>
      </w:r>
      <w:r w:rsidR="00A924F0" w:rsidRPr="00D31E58">
        <w:rPr>
          <w:sz w:val="20"/>
          <w:szCs w:val="20"/>
        </w:rPr>
        <w:t xml:space="preserve"> </w:t>
      </w:r>
      <w:r w:rsidRPr="00D31E58">
        <w:rPr>
          <w:sz w:val="20"/>
          <w:szCs w:val="20"/>
        </w:rPr>
        <w:t xml:space="preserve">The petitioners </w:t>
      </w:r>
      <w:r w:rsidR="009E06D5" w:rsidRPr="00D31E58">
        <w:rPr>
          <w:sz w:val="20"/>
          <w:szCs w:val="20"/>
        </w:rPr>
        <w:t xml:space="preserve">provided only limited information </w:t>
      </w:r>
      <w:r w:rsidRPr="00D31E58">
        <w:rPr>
          <w:sz w:val="20"/>
          <w:szCs w:val="20"/>
        </w:rPr>
        <w:t xml:space="preserve">on </w:t>
      </w:r>
      <w:r w:rsidR="00A924F0" w:rsidRPr="00D31E58">
        <w:rPr>
          <w:sz w:val="20"/>
          <w:szCs w:val="20"/>
        </w:rPr>
        <w:t>the domestic</w:t>
      </w:r>
      <w:r w:rsidRPr="00D31E58">
        <w:rPr>
          <w:sz w:val="20"/>
          <w:szCs w:val="20"/>
        </w:rPr>
        <w:t xml:space="preserve"> proceedings.</w:t>
      </w:r>
    </w:p>
    <w:p w14:paraId="59E36F87" w14:textId="07FD02F7" w:rsidR="000A0013" w:rsidRPr="00D31E58" w:rsidRDefault="00D31E58" w:rsidP="00295BD2">
      <w:pPr>
        <w:pStyle w:val="ListParagraph"/>
        <w:numPr>
          <w:ilvl w:val="0"/>
          <w:numId w:val="59"/>
        </w:numPr>
        <w:spacing w:after="240"/>
        <w:ind w:left="0" w:firstLine="720"/>
        <w:jc w:val="both"/>
        <w:rPr>
          <w:sz w:val="20"/>
          <w:szCs w:val="20"/>
        </w:rPr>
      </w:pPr>
      <w:r w:rsidRPr="00D31E58">
        <w:rPr>
          <w:sz w:val="20"/>
          <w:szCs w:val="20"/>
        </w:rPr>
        <w:t xml:space="preserve">The family of the alleged victim filed a direct reparation </w:t>
      </w:r>
      <w:r w:rsidR="0012135C">
        <w:rPr>
          <w:sz w:val="20"/>
          <w:szCs w:val="20"/>
        </w:rPr>
        <w:t xml:space="preserve">action </w:t>
      </w:r>
      <w:r>
        <w:rPr>
          <w:sz w:val="20"/>
          <w:szCs w:val="20"/>
        </w:rPr>
        <w:t>in</w:t>
      </w:r>
      <w:r w:rsidRPr="00D31E58">
        <w:rPr>
          <w:sz w:val="20"/>
          <w:szCs w:val="20"/>
        </w:rPr>
        <w:t xml:space="preserve"> administrative court. In the first instance, the </w:t>
      </w:r>
      <w:r w:rsidR="004F341E">
        <w:rPr>
          <w:sz w:val="20"/>
          <w:szCs w:val="20"/>
        </w:rPr>
        <w:t>First Administrative Overflow Court of Cartagena</w:t>
      </w:r>
      <w:r w:rsidRPr="00D31E58">
        <w:rPr>
          <w:sz w:val="20"/>
          <w:szCs w:val="20"/>
        </w:rPr>
        <w:t xml:space="preserve"> ruled </w:t>
      </w:r>
      <w:r>
        <w:rPr>
          <w:sz w:val="20"/>
          <w:szCs w:val="20"/>
        </w:rPr>
        <w:t>for</w:t>
      </w:r>
      <w:r w:rsidRPr="00D31E58">
        <w:rPr>
          <w:sz w:val="20"/>
          <w:szCs w:val="20"/>
        </w:rPr>
        <w:t xml:space="preserve"> </w:t>
      </w:r>
      <w:r>
        <w:rPr>
          <w:sz w:val="20"/>
          <w:szCs w:val="20"/>
        </w:rPr>
        <w:t xml:space="preserve">the </w:t>
      </w:r>
      <w:r w:rsidRPr="00D31E58">
        <w:rPr>
          <w:sz w:val="20"/>
          <w:szCs w:val="20"/>
        </w:rPr>
        <w:t>family. However, the State appealed the decision</w:t>
      </w:r>
      <w:r>
        <w:rPr>
          <w:sz w:val="20"/>
          <w:szCs w:val="20"/>
        </w:rPr>
        <w:t>,</w:t>
      </w:r>
      <w:r w:rsidRPr="00D31E58">
        <w:rPr>
          <w:sz w:val="20"/>
          <w:szCs w:val="20"/>
        </w:rPr>
        <w:t xml:space="preserve"> arguing that the responsibility fell on third parties. </w:t>
      </w:r>
      <w:r>
        <w:rPr>
          <w:sz w:val="20"/>
          <w:szCs w:val="20"/>
        </w:rPr>
        <w:t>On</w:t>
      </w:r>
      <w:r w:rsidRPr="00D31E58">
        <w:rPr>
          <w:sz w:val="20"/>
          <w:szCs w:val="20"/>
        </w:rPr>
        <w:t xml:space="preserve"> April 29, 2014, the Administrative Court of Bol</w:t>
      </w:r>
      <w:r w:rsidR="005D310A">
        <w:rPr>
          <w:sz w:val="20"/>
          <w:szCs w:val="20"/>
        </w:rPr>
        <w:t>í</w:t>
      </w:r>
      <w:r w:rsidRPr="00D31E58">
        <w:rPr>
          <w:sz w:val="20"/>
          <w:szCs w:val="20"/>
        </w:rPr>
        <w:t xml:space="preserve">var overturned the </w:t>
      </w:r>
      <w:r>
        <w:rPr>
          <w:sz w:val="20"/>
          <w:szCs w:val="20"/>
        </w:rPr>
        <w:t>lower court</w:t>
      </w:r>
      <w:r w:rsidR="0065562B">
        <w:rPr>
          <w:sz w:val="20"/>
          <w:szCs w:val="20"/>
        </w:rPr>
        <w:t>’</w:t>
      </w:r>
      <w:r>
        <w:rPr>
          <w:sz w:val="20"/>
          <w:szCs w:val="20"/>
        </w:rPr>
        <w:t>s</w:t>
      </w:r>
      <w:r w:rsidRPr="00D31E58">
        <w:rPr>
          <w:sz w:val="20"/>
          <w:szCs w:val="20"/>
        </w:rPr>
        <w:t xml:space="preserve"> ruling, holding that the National Police could not be held </w:t>
      </w:r>
      <w:r w:rsidR="00DE6772">
        <w:rPr>
          <w:sz w:val="20"/>
          <w:szCs w:val="20"/>
        </w:rPr>
        <w:t>responsible</w:t>
      </w:r>
      <w:r w:rsidRPr="00D31E58">
        <w:rPr>
          <w:sz w:val="20"/>
          <w:szCs w:val="20"/>
        </w:rPr>
        <w:t xml:space="preserve">, as they </w:t>
      </w:r>
      <w:r w:rsidR="0065562B">
        <w:rPr>
          <w:sz w:val="20"/>
          <w:szCs w:val="20"/>
        </w:rPr>
        <w:t>“</w:t>
      </w:r>
      <w:r w:rsidRPr="00D31E58">
        <w:rPr>
          <w:i/>
          <w:iCs/>
          <w:sz w:val="20"/>
          <w:szCs w:val="20"/>
        </w:rPr>
        <w:t>had done everything possible</w:t>
      </w:r>
      <w:r w:rsidR="0065562B">
        <w:rPr>
          <w:sz w:val="20"/>
          <w:szCs w:val="20"/>
        </w:rPr>
        <w:t>”</w:t>
      </w:r>
      <w:r w:rsidRPr="00D31E58">
        <w:rPr>
          <w:sz w:val="20"/>
          <w:szCs w:val="20"/>
        </w:rPr>
        <w:t xml:space="preserve"> to protect Mr. Morales. </w:t>
      </w:r>
      <w:r>
        <w:rPr>
          <w:sz w:val="20"/>
          <w:szCs w:val="20"/>
        </w:rPr>
        <w:t>Notice of t</w:t>
      </w:r>
      <w:r w:rsidRPr="00D31E58">
        <w:rPr>
          <w:sz w:val="20"/>
          <w:szCs w:val="20"/>
        </w:rPr>
        <w:t xml:space="preserve">he final judgment was </w:t>
      </w:r>
      <w:r>
        <w:rPr>
          <w:sz w:val="20"/>
          <w:szCs w:val="20"/>
        </w:rPr>
        <w:t>issued</w:t>
      </w:r>
      <w:r w:rsidRPr="00D31E58">
        <w:rPr>
          <w:sz w:val="20"/>
          <w:szCs w:val="20"/>
        </w:rPr>
        <w:t xml:space="preserve"> on May 14, 2014</w:t>
      </w:r>
      <w:r w:rsidR="00F3680A" w:rsidRPr="00D31E58">
        <w:rPr>
          <w:sz w:val="20"/>
          <w:szCs w:val="20"/>
        </w:rPr>
        <w:t>.</w:t>
      </w:r>
      <w:r w:rsidR="0065562B">
        <w:rPr>
          <w:sz w:val="20"/>
          <w:szCs w:val="20"/>
        </w:rPr>
        <w:t xml:space="preserve"> </w:t>
      </w:r>
    </w:p>
    <w:p w14:paraId="475D0C08" w14:textId="42D63D72" w:rsidR="00F3680A" w:rsidRPr="00D51E2D" w:rsidRDefault="00EA2F2C" w:rsidP="00295BD2">
      <w:pPr>
        <w:pStyle w:val="ListParagraph"/>
        <w:numPr>
          <w:ilvl w:val="0"/>
          <w:numId w:val="59"/>
        </w:numPr>
        <w:spacing w:after="240"/>
        <w:ind w:left="0" w:firstLine="720"/>
        <w:jc w:val="both"/>
        <w:rPr>
          <w:sz w:val="20"/>
          <w:szCs w:val="20"/>
        </w:rPr>
      </w:pPr>
      <w:r w:rsidRPr="00EA2F2C">
        <w:rPr>
          <w:sz w:val="20"/>
          <w:szCs w:val="20"/>
        </w:rPr>
        <w:t>The petitioner contends that the alleged victim</w:t>
      </w:r>
      <w:r w:rsidR="0065562B">
        <w:rPr>
          <w:sz w:val="20"/>
          <w:szCs w:val="20"/>
        </w:rPr>
        <w:t>’</w:t>
      </w:r>
      <w:r w:rsidRPr="00EA2F2C">
        <w:rPr>
          <w:sz w:val="20"/>
          <w:szCs w:val="20"/>
        </w:rPr>
        <w:t xml:space="preserve">s death is the responsibility of the State, which failed to provide him with the necessary protection while he was in </w:t>
      </w:r>
      <w:r w:rsidR="000B36CA">
        <w:rPr>
          <w:sz w:val="20"/>
          <w:szCs w:val="20"/>
        </w:rPr>
        <w:t xml:space="preserve">its </w:t>
      </w:r>
      <w:r w:rsidR="007456F4">
        <w:rPr>
          <w:sz w:val="20"/>
          <w:szCs w:val="20"/>
        </w:rPr>
        <w:t>custody</w:t>
      </w:r>
      <w:r w:rsidRPr="00EA2F2C">
        <w:rPr>
          <w:sz w:val="20"/>
          <w:szCs w:val="20"/>
        </w:rPr>
        <w:t xml:space="preserve">. He argues that the State failed in its duty to safeguard </w:t>
      </w:r>
      <w:r w:rsidR="00452C65">
        <w:rPr>
          <w:sz w:val="20"/>
          <w:szCs w:val="20"/>
        </w:rPr>
        <w:t>the alleged victim</w:t>
      </w:r>
      <w:r w:rsidR="0065562B">
        <w:rPr>
          <w:sz w:val="20"/>
          <w:szCs w:val="20"/>
        </w:rPr>
        <w:t>’</w:t>
      </w:r>
      <w:r w:rsidR="00452C65">
        <w:rPr>
          <w:sz w:val="20"/>
          <w:szCs w:val="20"/>
        </w:rPr>
        <w:t>s</w:t>
      </w:r>
      <w:r w:rsidRPr="00EA2F2C">
        <w:rPr>
          <w:sz w:val="20"/>
          <w:szCs w:val="20"/>
        </w:rPr>
        <w:t xml:space="preserve"> life; and that the judicial proc</w:t>
      </w:r>
      <w:r w:rsidR="00452C65">
        <w:rPr>
          <w:sz w:val="20"/>
          <w:szCs w:val="20"/>
        </w:rPr>
        <w:t>eeding</w:t>
      </w:r>
      <w:r w:rsidR="000B36CA">
        <w:rPr>
          <w:sz w:val="20"/>
          <w:szCs w:val="20"/>
        </w:rPr>
        <w:t>s were</w:t>
      </w:r>
      <w:r w:rsidR="00452C65">
        <w:rPr>
          <w:sz w:val="20"/>
          <w:szCs w:val="20"/>
        </w:rPr>
        <w:t xml:space="preserve"> marred by</w:t>
      </w:r>
      <w:r w:rsidRPr="00EA2F2C">
        <w:rPr>
          <w:sz w:val="20"/>
          <w:szCs w:val="20"/>
        </w:rPr>
        <w:t xml:space="preserve"> irregularities that prevented access to justice for the victim</w:t>
      </w:r>
      <w:r w:rsidR="0065562B">
        <w:rPr>
          <w:sz w:val="20"/>
          <w:szCs w:val="20"/>
        </w:rPr>
        <w:t>’</w:t>
      </w:r>
      <w:r w:rsidRPr="00EA2F2C">
        <w:rPr>
          <w:sz w:val="20"/>
          <w:szCs w:val="20"/>
        </w:rPr>
        <w:t xml:space="preserve">s family. In addition, </w:t>
      </w:r>
      <w:r w:rsidR="00452C65">
        <w:rPr>
          <w:sz w:val="20"/>
          <w:szCs w:val="20"/>
        </w:rPr>
        <w:t>he condemns</w:t>
      </w:r>
      <w:r w:rsidRPr="00EA2F2C">
        <w:rPr>
          <w:sz w:val="20"/>
          <w:szCs w:val="20"/>
        </w:rPr>
        <w:t xml:space="preserve"> the </w:t>
      </w:r>
      <w:r w:rsidRPr="00D51E2D">
        <w:rPr>
          <w:sz w:val="20"/>
          <w:szCs w:val="20"/>
        </w:rPr>
        <w:t xml:space="preserve">impunity of </w:t>
      </w:r>
      <w:r w:rsidR="00452C65" w:rsidRPr="00D51E2D">
        <w:rPr>
          <w:sz w:val="20"/>
          <w:szCs w:val="20"/>
        </w:rPr>
        <w:t>the perpetrators</w:t>
      </w:r>
      <w:r w:rsidRPr="00D51E2D">
        <w:rPr>
          <w:sz w:val="20"/>
          <w:szCs w:val="20"/>
        </w:rPr>
        <w:t xml:space="preserve"> and the lack of </w:t>
      </w:r>
      <w:r w:rsidR="00452C65" w:rsidRPr="00D51E2D">
        <w:rPr>
          <w:sz w:val="20"/>
          <w:szCs w:val="20"/>
        </w:rPr>
        <w:t xml:space="preserve">comprehensive </w:t>
      </w:r>
      <w:r w:rsidRPr="00D51E2D">
        <w:rPr>
          <w:sz w:val="20"/>
          <w:szCs w:val="20"/>
        </w:rPr>
        <w:t>reparation</w:t>
      </w:r>
      <w:r w:rsidR="00452C65" w:rsidRPr="00D51E2D">
        <w:rPr>
          <w:sz w:val="20"/>
          <w:szCs w:val="20"/>
        </w:rPr>
        <w:t>s</w:t>
      </w:r>
      <w:r w:rsidRPr="00D51E2D">
        <w:rPr>
          <w:sz w:val="20"/>
          <w:szCs w:val="20"/>
        </w:rPr>
        <w:t xml:space="preserve"> for the victim</w:t>
      </w:r>
      <w:r w:rsidR="0065562B" w:rsidRPr="00D51E2D">
        <w:rPr>
          <w:sz w:val="20"/>
          <w:szCs w:val="20"/>
        </w:rPr>
        <w:t>’</w:t>
      </w:r>
      <w:r w:rsidRPr="00D51E2D">
        <w:rPr>
          <w:sz w:val="20"/>
          <w:szCs w:val="20"/>
        </w:rPr>
        <w:t>s family</w:t>
      </w:r>
      <w:r w:rsidR="00F3680A" w:rsidRPr="00D51E2D">
        <w:rPr>
          <w:sz w:val="20"/>
          <w:szCs w:val="20"/>
        </w:rPr>
        <w:t>.</w:t>
      </w:r>
    </w:p>
    <w:p w14:paraId="423E7C5D" w14:textId="50069EA3" w:rsidR="000A3255" w:rsidRPr="00B17F6A" w:rsidRDefault="004F314E" w:rsidP="00295BD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rFonts w:asciiTheme="majorHAnsi" w:hAnsiTheme="majorHAnsi"/>
          <w:b/>
          <w:bCs/>
          <w:sz w:val="20"/>
          <w:szCs w:val="20"/>
        </w:rPr>
      </w:pPr>
      <w:r>
        <w:rPr>
          <w:rFonts w:asciiTheme="majorHAnsi" w:hAnsiTheme="majorHAnsi"/>
          <w:b/>
          <w:bCs/>
          <w:sz w:val="20"/>
          <w:szCs w:val="20"/>
        </w:rPr>
        <w:t>The Colombian State</w:t>
      </w:r>
    </w:p>
    <w:p w14:paraId="2862CD88" w14:textId="15CA653E" w:rsidR="005B0675" w:rsidRPr="00B17F6A" w:rsidRDefault="004C0B38" w:rsidP="00295BD2">
      <w:pPr>
        <w:pStyle w:val="ListParagraph"/>
        <w:widowControl w:val="0"/>
        <w:numPr>
          <w:ilvl w:val="0"/>
          <w:numId w:val="59"/>
        </w:numPr>
        <w:autoSpaceDE w:val="0"/>
        <w:autoSpaceDN w:val="0"/>
        <w:spacing w:after="240"/>
        <w:ind w:left="0" w:firstLine="720"/>
        <w:jc w:val="both"/>
        <w:rPr>
          <w:rFonts w:asciiTheme="majorHAnsi" w:hAnsiTheme="majorHAnsi"/>
          <w:sz w:val="20"/>
          <w:szCs w:val="20"/>
        </w:rPr>
      </w:pPr>
      <w:r w:rsidRPr="004C0B38">
        <w:rPr>
          <w:rFonts w:asciiTheme="majorHAnsi" w:hAnsiTheme="majorHAnsi"/>
          <w:sz w:val="20"/>
          <w:szCs w:val="20"/>
        </w:rPr>
        <w:t xml:space="preserve">The State reports that Mr. Morales was held at the San Andrés del Río police substation </w:t>
      </w:r>
      <w:r w:rsidR="00F6361C">
        <w:rPr>
          <w:rFonts w:asciiTheme="majorHAnsi" w:hAnsiTheme="majorHAnsi"/>
          <w:sz w:val="20"/>
          <w:szCs w:val="20"/>
        </w:rPr>
        <w:t>after being</w:t>
      </w:r>
      <w:r w:rsidRPr="004C0B38">
        <w:rPr>
          <w:rFonts w:asciiTheme="majorHAnsi" w:hAnsiTheme="majorHAnsi"/>
          <w:sz w:val="20"/>
          <w:szCs w:val="20"/>
        </w:rPr>
        <w:t xml:space="preserve"> caught in flagrante delicto for </w:t>
      </w:r>
      <w:r>
        <w:rPr>
          <w:rFonts w:asciiTheme="majorHAnsi" w:hAnsiTheme="majorHAnsi"/>
          <w:sz w:val="20"/>
          <w:szCs w:val="20"/>
        </w:rPr>
        <w:t>acts of assault and battery</w:t>
      </w:r>
      <w:r w:rsidRPr="004C0B38">
        <w:rPr>
          <w:rFonts w:asciiTheme="majorHAnsi" w:hAnsiTheme="majorHAnsi"/>
          <w:sz w:val="20"/>
          <w:szCs w:val="20"/>
        </w:rPr>
        <w:t xml:space="preserve"> </w:t>
      </w:r>
      <w:r w:rsidR="00A11494">
        <w:rPr>
          <w:rFonts w:asciiTheme="majorHAnsi" w:hAnsiTheme="majorHAnsi"/>
          <w:sz w:val="20"/>
          <w:szCs w:val="20"/>
        </w:rPr>
        <w:t>leading to the death</w:t>
      </w:r>
      <w:r w:rsidRPr="004C0B38">
        <w:rPr>
          <w:rFonts w:asciiTheme="majorHAnsi" w:hAnsiTheme="majorHAnsi"/>
          <w:sz w:val="20"/>
          <w:szCs w:val="20"/>
        </w:rPr>
        <w:t xml:space="preserve"> of Mr. David Velásquez. These </w:t>
      </w:r>
      <w:r>
        <w:rPr>
          <w:rFonts w:asciiTheme="majorHAnsi" w:hAnsiTheme="majorHAnsi"/>
          <w:sz w:val="20"/>
          <w:szCs w:val="20"/>
        </w:rPr>
        <w:t>acts</w:t>
      </w:r>
      <w:r w:rsidRPr="004C0B38">
        <w:rPr>
          <w:rFonts w:asciiTheme="majorHAnsi" w:hAnsiTheme="majorHAnsi"/>
          <w:sz w:val="20"/>
          <w:szCs w:val="20"/>
        </w:rPr>
        <w:t xml:space="preserve"> occurred during a </w:t>
      </w:r>
      <w:r>
        <w:rPr>
          <w:rFonts w:asciiTheme="majorHAnsi" w:hAnsiTheme="majorHAnsi"/>
          <w:sz w:val="20"/>
          <w:szCs w:val="20"/>
        </w:rPr>
        <w:t>fight</w:t>
      </w:r>
      <w:r w:rsidRPr="004C0B38">
        <w:rPr>
          <w:rFonts w:asciiTheme="majorHAnsi" w:hAnsiTheme="majorHAnsi"/>
          <w:sz w:val="20"/>
          <w:szCs w:val="20"/>
        </w:rPr>
        <w:t xml:space="preserve">, and </w:t>
      </w:r>
      <w:r w:rsidR="003626D4">
        <w:rPr>
          <w:rFonts w:asciiTheme="majorHAnsi" w:hAnsiTheme="majorHAnsi"/>
          <w:sz w:val="20"/>
          <w:szCs w:val="20"/>
        </w:rPr>
        <w:t xml:space="preserve">Mr. </w:t>
      </w:r>
      <w:r w:rsidR="003626D4" w:rsidRPr="003626D4">
        <w:rPr>
          <w:rFonts w:asciiTheme="majorHAnsi" w:hAnsiTheme="majorHAnsi"/>
          <w:sz w:val="20"/>
          <w:szCs w:val="20"/>
        </w:rPr>
        <w:t>Velásquez</w:t>
      </w:r>
      <w:r w:rsidR="003626D4">
        <w:rPr>
          <w:rFonts w:asciiTheme="majorHAnsi" w:hAnsiTheme="majorHAnsi"/>
          <w:sz w:val="20"/>
          <w:szCs w:val="20"/>
        </w:rPr>
        <w:t>’s</w:t>
      </w:r>
      <w:r w:rsidR="003626D4" w:rsidRPr="003626D4">
        <w:rPr>
          <w:rFonts w:asciiTheme="majorHAnsi" w:hAnsiTheme="majorHAnsi"/>
          <w:sz w:val="20"/>
          <w:szCs w:val="20"/>
        </w:rPr>
        <w:t xml:space="preserve"> </w:t>
      </w:r>
      <w:r>
        <w:rPr>
          <w:rFonts w:asciiTheme="majorHAnsi" w:hAnsiTheme="majorHAnsi"/>
          <w:sz w:val="20"/>
          <w:szCs w:val="20"/>
        </w:rPr>
        <w:t>death</w:t>
      </w:r>
      <w:r w:rsidRPr="004C0B38">
        <w:rPr>
          <w:rFonts w:asciiTheme="majorHAnsi" w:hAnsiTheme="majorHAnsi"/>
          <w:sz w:val="20"/>
          <w:szCs w:val="20"/>
        </w:rPr>
        <w:t xml:space="preserve"> </w:t>
      </w:r>
      <w:r>
        <w:rPr>
          <w:rFonts w:asciiTheme="majorHAnsi" w:hAnsiTheme="majorHAnsi"/>
          <w:sz w:val="20"/>
          <w:szCs w:val="20"/>
        </w:rPr>
        <w:t>sparked outrage</w:t>
      </w:r>
      <w:r w:rsidRPr="004C0B38">
        <w:rPr>
          <w:rFonts w:asciiTheme="majorHAnsi" w:hAnsiTheme="majorHAnsi"/>
          <w:sz w:val="20"/>
          <w:szCs w:val="20"/>
        </w:rPr>
        <w:t xml:space="preserve"> in the community</w:t>
      </w:r>
      <w:r>
        <w:rPr>
          <w:rFonts w:asciiTheme="majorHAnsi" w:hAnsiTheme="majorHAnsi"/>
          <w:sz w:val="20"/>
          <w:szCs w:val="20"/>
        </w:rPr>
        <w:t>.</w:t>
      </w:r>
      <w:r w:rsidRPr="004C0B38">
        <w:rPr>
          <w:rFonts w:asciiTheme="majorHAnsi" w:hAnsiTheme="majorHAnsi"/>
          <w:sz w:val="20"/>
          <w:szCs w:val="20"/>
        </w:rPr>
        <w:t xml:space="preserve"> </w:t>
      </w:r>
      <w:r>
        <w:rPr>
          <w:rFonts w:asciiTheme="majorHAnsi" w:hAnsiTheme="majorHAnsi"/>
          <w:sz w:val="20"/>
          <w:szCs w:val="20"/>
        </w:rPr>
        <w:t>On</w:t>
      </w:r>
      <w:r w:rsidRPr="004C0B38">
        <w:rPr>
          <w:rFonts w:asciiTheme="majorHAnsi" w:hAnsiTheme="majorHAnsi"/>
          <w:sz w:val="20"/>
          <w:szCs w:val="20"/>
        </w:rPr>
        <w:t xml:space="preserve"> December 1, 2006</w:t>
      </w:r>
      <w:r>
        <w:rPr>
          <w:rFonts w:asciiTheme="majorHAnsi" w:hAnsiTheme="majorHAnsi"/>
          <w:sz w:val="20"/>
          <w:szCs w:val="20"/>
        </w:rPr>
        <w:t>,</w:t>
      </w:r>
      <w:r w:rsidRPr="004C0B38">
        <w:rPr>
          <w:rFonts w:asciiTheme="majorHAnsi" w:hAnsiTheme="majorHAnsi"/>
          <w:sz w:val="20"/>
          <w:szCs w:val="20"/>
        </w:rPr>
        <w:t xml:space="preserve"> at least two hundred people gathered around the police station </w:t>
      </w:r>
      <w:r>
        <w:rPr>
          <w:rFonts w:asciiTheme="majorHAnsi" w:hAnsiTheme="majorHAnsi"/>
          <w:sz w:val="20"/>
          <w:szCs w:val="20"/>
        </w:rPr>
        <w:t>seeking to forcibly remove</w:t>
      </w:r>
      <w:r w:rsidRPr="004C0B38">
        <w:rPr>
          <w:rFonts w:asciiTheme="majorHAnsi" w:hAnsiTheme="majorHAnsi"/>
          <w:sz w:val="20"/>
          <w:szCs w:val="20"/>
        </w:rPr>
        <w:t xml:space="preserve"> Mr. Morales. Although station officials intervened to protect the detainee, the mob entered the premises and forcibly removed him, beating him to death</w:t>
      </w:r>
      <w:r w:rsidR="00760EA9" w:rsidRPr="00B17F6A">
        <w:rPr>
          <w:rFonts w:asciiTheme="majorHAnsi" w:hAnsiTheme="majorHAnsi"/>
          <w:sz w:val="20"/>
          <w:szCs w:val="20"/>
        </w:rPr>
        <w:t>.</w:t>
      </w:r>
      <w:r w:rsidR="005B0675" w:rsidRPr="00B17F6A">
        <w:rPr>
          <w:rFonts w:asciiTheme="majorHAnsi" w:hAnsiTheme="majorHAnsi"/>
          <w:sz w:val="20"/>
          <w:szCs w:val="20"/>
        </w:rPr>
        <w:t xml:space="preserve"> </w:t>
      </w:r>
    </w:p>
    <w:p w14:paraId="6880D878" w14:textId="6B84C8B0" w:rsidR="000665DD" w:rsidRPr="00B17F6A" w:rsidRDefault="004F314E" w:rsidP="00295BD2">
      <w:pPr>
        <w:pStyle w:val="ListParagraph"/>
        <w:widowControl w:val="0"/>
        <w:autoSpaceDE w:val="0"/>
        <w:autoSpaceDN w:val="0"/>
        <w:spacing w:after="240"/>
        <w:jc w:val="both"/>
        <w:rPr>
          <w:rFonts w:asciiTheme="majorHAnsi" w:hAnsiTheme="majorHAnsi"/>
          <w:i/>
          <w:iCs/>
          <w:sz w:val="20"/>
          <w:szCs w:val="20"/>
        </w:rPr>
      </w:pPr>
      <w:r>
        <w:rPr>
          <w:rFonts w:asciiTheme="majorHAnsi" w:hAnsiTheme="majorHAnsi"/>
          <w:i/>
          <w:iCs/>
          <w:sz w:val="20"/>
          <w:szCs w:val="20"/>
        </w:rPr>
        <w:t>Criminal investigation</w:t>
      </w:r>
    </w:p>
    <w:p w14:paraId="2655A4F2" w14:textId="20CBC6AE" w:rsidR="00760EA9" w:rsidRPr="00B17F6A" w:rsidRDefault="002512DD" w:rsidP="00295BD2">
      <w:pPr>
        <w:pStyle w:val="ListParagraph"/>
        <w:widowControl w:val="0"/>
        <w:numPr>
          <w:ilvl w:val="0"/>
          <w:numId w:val="59"/>
        </w:numPr>
        <w:autoSpaceDE w:val="0"/>
        <w:autoSpaceDN w:val="0"/>
        <w:spacing w:after="240"/>
        <w:ind w:left="0" w:firstLine="720"/>
        <w:jc w:val="both"/>
        <w:rPr>
          <w:rFonts w:asciiTheme="majorHAnsi" w:hAnsiTheme="majorHAnsi"/>
          <w:sz w:val="20"/>
          <w:szCs w:val="20"/>
        </w:rPr>
      </w:pPr>
      <w:r w:rsidRPr="002512DD">
        <w:rPr>
          <w:rFonts w:asciiTheme="majorHAnsi" w:hAnsiTheme="majorHAnsi"/>
          <w:sz w:val="20"/>
          <w:szCs w:val="20"/>
        </w:rPr>
        <w:t xml:space="preserve">After the incident, authorities </w:t>
      </w:r>
      <w:r w:rsidR="00F9763D">
        <w:rPr>
          <w:rFonts w:asciiTheme="majorHAnsi" w:hAnsiTheme="majorHAnsi"/>
          <w:sz w:val="20"/>
          <w:szCs w:val="20"/>
        </w:rPr>
        <w:t>apprehended</w:t>
      </w:r>
      <w:r w:rsidRPr="002512DD">
        <w:rPr>
          <w:rFonts w:asciiTheme="majorHAnsi" w:hAnsiTheme="majorHAnsi"/>
          <w:sz w:val="20"/>
          <w:szCs w:val="20"/>
        </w:rPr>
        <w:t xml:space="preserve"> thirteen people allegedly responsible for the </w:t>
      </w:r>
      <w:r w:rsidR="00F9763D">
        <w:rPr>
          <w:rFonts w:asciiTheme="majorHAnsi" w:hAnsiTheme="majorHAnsi"/>
          <w:sz w:val="20"/>
          <w:szCs w:val="20"/>
        </w:rPr>
        <w:t>murder</w:t>
      </w:r>
      <w:r w:rsidRPr="002512DD">
        <w:rPr>
          <w:rFonts w:asciiTheme="majorHAnsi" w:hAnsiTheme="majorHAnsi"/>
          <w:sz w:val="20"/>
          <w:szCs w:val="20"/>
        </w:rPr>
        <w:t>. The 43rd Prosecutor</w:t>
      </w:r>
      <w:r w:rsidR="0065562B">
        <w:rPr>
          <w:rFonts w:asciiTheme="majorHAnsi" w:hAnsiTheme="majorHAnsi"/>
          <w:sz w:val="20"/>
          <w:szCs w:val="20"/>
        </w:rPr>
        <w:t>’</w:t>
      </w:r>
      <w:r w:rsidRPr="002512DD">
        <w:rPr>
          <w:rFonts w:asciiTheme="majorHAnsi" w:hAnsiTheme="majorHAnsi"/>
          <w:sz w:val="20"/>
          <w:szCs w:val="20"/>
        </w:rPr>
        <w:t xml:space="preserve">s Office of Carmen de Bolívar </w:t>
      </w:r>
      <w:r w:rsidR="00F9763D">
        <w:rPr>
          <w:rFonts w:asciiTheme="majorHAnsi" w:hAnsiTheme="majorHAnsi"/>
          <w:sz w:val="20"/>
          <w:szCs w:val="20"/>
        </w:rPr>
        <w:t>opened</w:t>
      </w:r>
      <w:r w:rsidRPr="002512DD">
        <w:rPr>
          <w:rFonts w:asciiTheme="majorHAnsi" w:hAnsiTheme="majorHAnsi"/>
          <w:sz w:val="20"/>
          <w:szCs w:val="20"/>
        </w:rPr>
        <w:t xml:space="preserve"> an investigation </w:t>
      </w:r>
      <w:r w:rsidR="00F9763D">
        <w:rPr>
          <w:rFonts w:asciiTheme="majorHAnsi" w:hAnsiTheme="majorHAnsi"/>
          <w:sz w:val="20"/>
          <w:szCs w:val="20"/>
        </w:rPr>
        <w:t>into</w:t>
      </w:r>
      <w:r w:rsidRPr="002512DD">
        <w:rPr>
          <w:rFonts w:asciiTheme="majorHAnsi" w:hAnsiTheme="majorHAnsi"/>
          <w:sz w:val="20"/>
          <w:szCs w:val="20"/>
        </w:rPr>
        <w:t xml:space="preserve"> the</w:t>
      </w:r>
      <w:r w:rsidR="00F9763D">
        <w:rPr>
          <w:rFonts w:asciiTheme="majorHAnsi" w:hAnsiTheme="majorHAnsi"/>
          <w:sz w:val="20"/>
          <w:szCs w:val="20"/>
        </w:rPr>
        <w:t>se</w:t>
      </w:r>
      <w:r w:rsidRPr="002512DD">
        <w:rPr>
          <w:rFonts w:asciiTheme="majorHAnsi" w:hAnsiTheme="majorHAnsi"/>
          <w:sz w:val="20"/>
          <w:szCs w:val="20"/>
        </w:rPr>
        <w:t xml:space="preserve"> thirteen people</w:t>
      </w:r>
      <w:r w:rsidR="00F9763D">
        <w:rPr>
          <w:rFonts w:asciiTheme="majorHAnsi" w:hAnsiTheme="majorHAnsi"/>
          <w:sz w:val="20"/>
          <w:szCs w:val="20"/>
        </w:rPr>
        <w:t>, who were</w:t>
      </w:r>
      <w:r w:rsidRPr="002512DD">
        <w:rPr>
          <w:rFonts w:asciiTheme="majorHAnsi" w:hAnsiTheme="majorHAnsi"/>
          <w:sz w:val="20"/>
          <w:szCs w:val="20"/>
        </w:rPr>
        <w:t xml:space="preserve"> </w:t>
      </w:r>
      <w:r w:rsidR="00F9763D">
        <w:rPr>
          <w:rFonts w:asciiTheme="majorHAnsi" w:hAnsiTheme="majorHAnsi"/>
          <w:sz w:val="20"/>
          <w:szCs w:val="20"/>
        </w:rPr>
        <w:t>arrested</w:t>
      </w:r>
      <w:r w:rsidRPr="002512DD">
        <w:rPr>
          <w:rFonts w:asciiTheme="majorHAnsi" w:hAnsiTheme="majorHAnsi"/>
          <w:sz w:val="20"/>
          <w:szCs w:val="20"/>
        </w:rPr>
        <w:t xml:space="preserve"> in flagrante delicto. On December 7, 2006, the Police </w:t>
      </w:r>
      <w:r w:rsidR="00EC1896">
        <w:rPr>
          <w:rFonts w:asciiTheme="majorHAnsi" w:hAnsiTheme="majorHAnsi"/>
          <w:sz w:val="20"/>
          <w:szCs w:val="20"/>
        </w:rPr>
        <w:t>brought</w:t>
      </w:r>
      <w:r w:rsidRPr="002512DD">
        <w:rPr>
          <w:rFonts w:asciiTheme="majorHAnsi" w:hAnsiTheme="majorHAnsi"/>
          <w:sz w:val="20"/>
          <w:szCs w:val="20"/>
        </w:rPr>
        <w:t xml:space="preserve"> eight of the detainees </w:t>
      </w:r>
      <w:r w:rsidR="00EC1896">
        <w:rPr>
          <w:rFonts w:asciiTheme="majorHAnsi" w:hAnsiTheme="majorHAnsi"/>
          <w:sz w:val="20"/>
          <w:szCs w:val="20"/>
        </w:rPr>
        <w:t>before</w:t>
      </w:r>
      <w:r w:rsidRPr="002512DD">
        <w:rPr>
          <w:rFonts w:asciiTheme="majorHAnsi" w:hAnsiTheme="majorHAnsi"/>
          <w:sz w:val="20"/>
          <w:szCs w:val="20"/>
        </w:rPr>
        <w:t xml:space="preserve"> the Prosecutor</w:t>
      </w:r>
      <w:r w:rsidR="0065562B">
        <w:rPr>
          <w:rFonts w:asciiTheme="majorHAnsi" w:hAnsiTheme="majorHAnsi"/>
          <w:sz w:val="20"/>
          <w:szCs w:val="20"/>
        </w:rPr>
        <w:t>’</w:t>
      </w:r>
      <w:r w:rsidRPr="002512DD">
        <w:rPr>
          <w:rFonts w:asciiTheme="majorHAnsi" w:hAnsiTheme="majorHAnsi"/>
          <w:sz w:val="20"/>
          <w:szCs w:val="20"/>
        </w:rPr>
        <w:t xml:space="preserve">s Office, </w:t>
      </w:r>
      <w:r w:rsidR="00EC1896">
        <w:rPr>
          <w:rFonts w:asciiTheme="majorHAnsi" w:hAnsiTheme="majorHAnsi"/>
          <w:sz w:val="20"/>
          <w:szCs w:val="20"/>
        </w:rPr>
        <w:t>where they were questioned</w:t>
      </w:r>
      <w:r w:rsidRPr="002512DD">
        <w:rPr>
          <w:rFonts w:asciiTheme="majorHAnsi" w:hAnsiTheme="majorHAnsi"/>
          <w:sz w:val="20"/>
          <w:szCs w:val="20"/>
        </w:rPr>
        <w:t>. On December 21, 2006, the Prosecutor</w:t>
      </w:r>
      <w:r w:rsidR="0065562B">
        <w:rPr>
          <w:rFonts w:asciiTheme="majorHAnsi" w:hAnsiTheme="majorHAnsi"/>
          <w:sz w:val="20"/>
          <w:szCs w:val="20"/>
        </w:rPr>
        <w:t>’</w:t>
      </w:r>
      <w:r w:rsidRPr="002512DD">
        <w:rPr>
          <w:rFonts w:asciiTheme="majorHAnsi" w:hAnsiTheme="majorHAnsi"/>
          <w:sz w:val="20"/>
          <w:szCs w:val="20"/>
        </w:rPr>
        <w:t xml:space="preserve">s Office </w:t>
      </w:r>
      <w:r w:rsidR="00D675EA">
        <w:rPr>
          <w:rFonts w:asciiTheme="majorHAnsi" w:hAnsiTheme="majorHAnsi"/>
          <w:sz w:val="20"/>
          <w:szCs w:val="20"/>
        </w:rPr>
        <w:t xml:space="preserve">ordered </w:t>
      </w:r>
      <w:r w:rsidR="00D675EA">
        <w:rPr>
          <w:rFonts w:asciiTheme="majorHAnsi" w:hAnsiTheme="majorHAnsi"/>
          <w:sz w:val="20"/>
          <w:szCs w:val="20"/>
        </w:rPr>
        <w:lastRenderedPageBreak/>
        <w:t>the pretrial detention of</w:t>
      </w:r>
      <w:r w:rsidRPr="002512DD">
        <w:rPr>
          <w:rFonts w:asciiTheme="majorHAnsi" w:hAnsiTheme="majorHAnsi"/>
          <w:sz w:val="20"/>
          <w:szCs w:val="20"/>
        </w:rPr>
        <w:t xml:space="preserve"> Alfredo Velásquez Medina and Alfredo Velásquez Atencio </w:t>
      </w:r>
      <w:r w:rsidR="00D675EA">
        <w:rPr>
          <w:rFonts w:asciiTheme="majorHAnsi" w:hAnsiTheme="majorHAnsi"/>
          <w:sz w:val="20"/>
          <w:szCs w:val="20"/>
        </w:rPr>
        <w:t>on</w:t>
      </w:r>
      <w:r w:rsidRPr="002512DD">
        <w:rPr>
          <w:rFonts w:asciiTheme="majorHAnsi" w:hAnsiTheme="majorHAnsi"/>
          <w:sz w:val="20"/>
          <w:szCs w:val="20"/>
        </w:rPr>
        <w:t xml:space="preserve"> </w:t>
      </w:r>
      <w:r w:rsidR="00D675EA">
        <w:rPr>
          <w:rFonts w:asciiTheme="majorHAnsi" w:hAnsiTheme="majorHAnsi"/>
          <w:sz w:val="20"/>
          <w:szCs w:val="20"/>
        </w:rPr>
        <w:t>murder charges</w:t>
      </w:r>
      <w:r w:rsidRPr="002512DD">
        <w:rPr>
          <w:rFonts w:asciiTheme="majorHAnsi" w:hAnsiTheme="majorHAnsi"/>
          <w:sz w:val="20"/>
          <w:szCs w:val="20"/>
        </w:rPr>
        <w:t xml:space="preserve">, and ordered the release of the other detainees due to lack of </w:t>
      </w:r>
      <w:r w:rsidR="006E5BCC">
        <w:rPr>
          <w:rFonts w:asciiTheme="majorHAnsi" w:hAnsiTheme="majorHAnsi"/>
          <w:sz w:val="20"/>
          <w:szCs w:val="20"/>
        </w:rPr>
        <w:t>evidence</w:t>
      </w:r>
      <w:r w:rsidRPr="002512DD">
        <w:rPr>
          <w:rFonts w:asciiTheme="majorHAnsi" w:hAnsiTheme="majorHAnsi"/>
          <w:sz w:val="20"/>
          <w:szCs w:val="20"/>
        </w:rPr>
        <w:t xml:space="preserve">. On February 26, 2007, defense </w:t>
      </w:r>
      <w:r w:rsidR="006E5BCC">
        <w:rPr>
          <w:rFonts w:asciiTheme="majorHAnsi" w:hAnsiTheme="majorHAnsi"/>
          <w:sz w:val="20"/>
          <w:szCs w:val="20"/>
        </w:rPr>
        <w:t>counsel</w:t>
      </w:r>
      <w:r w:rsidRPr="002512DD">
        <w:rPr>
          <w:rFonts w:asciiTheme="majorHAnsi" w:hAnsiTheme="majorHAnsi"/>
          <w:sz w:val="20"/>
          <w:szCs w:val="20"/>
        </w:rPr>
        <w:t xml:space="preserve"> requested the revocation of the detention order; but on March 20, 2007, the </w:t>
      </w:r>
      <w:r w:rsidR="006E5BCC" w:rsidRPr="002512DD">
        <w:rPr>
          <w:rFonts w:asciiTheme="majorHAnsi" w:hAnsiTheme="majorHAnsi"/>
          <w:sz w:val="20"/>
          <w:szCs w:val="20"/>
        </w:rPr>
        <w:t>Prosecutor</w:t>
      </w:r>
      <w:r w:rsidR="0065562B">
        <w:rPr>
          <w:rFonts w:asciiTheme="majorHAnsi" w:hAnsiTheme="majorHAnsi"/>
          <w:sz w:val="20"/>
          <w:szCs w:val="20"/>
        </w:rPr>
        <w:t>’</w:t>
      </w:r>
      <w:r w:rsidR="006E5BCC" w:rsidRPr="002512DD">
        <w:rPr>
          <w:rFonts w:asciiTheme="majorHAnsi" w:hAnsiTheme="majorHAnsi"/>
          <w:sz w:val="20"/>
          <w:szCs w:val="20"/>
        </w:rPr>
        <w:t xml:space="preserve">s Office </w:t>
      </w:r>
      <w:r w:rsidRPr="002512DD">
        <w:rPr>
          <w:rFonts w:asciiTheme="majorHAnsi" w:hAnsiTheme="majorHAnsi"/>
          <w:sz w:val="20"/>
          <w:szCs w:val="20"/>
        </w:rPr>
        <w:t xml:space="preserve">denied the request and </w:t>
      </w:r>
      <w:r w:rsidR="006E5BCC">
        <w:rPr>
          <w:rFonts w:asciiTheme="majorHAnsi" w:hAnsiTheme="majorHAnsi"/>
          <w:sz w:val="20"/>
          <w:szCs w:val="20"/>
        </w:rPr>
        <w:t xml:space="preserve">ordered that </w:t>
      </w:r>
      <w:r w:rsidR="00980C82">
        <w:rPr>
          <w:rFonts w:asciiTheme="majorHAnsi" w:hAnsiTheme="majorHAnsi"/>
          <w:sz w:val="20"/>
          <w:szCs w:val="20"/>
        </w:rPr>
        <w:t>both defendants</w:t>
      </w:r>
      <w:r w:rsidR="006E5BCC">
        <w:rPr>
          <w:rFonts w:asciiTheme="majorHAnsi" w:hAnsiTheme="majorHAnsi"/>
          <w:sz w:val="20"/>
          <w:szCs w:val="20"/>
        </w:rPr>
        <w:t xml:space="preserve"> be kept on</w:t>
      </w:r>
      <w:r w:rsidR="005F778D">
        <w:rPr>
          <w:rFonts w:asciiTheme="majorHAnsi" w:hAnsiTheme="majorHAnsi"/>
          <w:sz w:val="20"/>
          <w:szCs w:val="20"/>
        </w:rPr>
        <w:t xml:space="preserve"> pretrial</w:t>
      </w:r>
      <w:r w:rsidRPr="002512DD">
        <w:rPr>
          <w:rFonts w:asciiTheme="majorHAnsi" w:hAnsiTheme="majorHAnsi"/>
          <w:sz w:val="20"/>
          <w:szCs w:val="20"/>
        </w:rPr>
        <w:t xml:space="preserve"> house arrest</w:t>
      </w:r>
      <w:r w:rsidR="00760EA9" w:rsidRPr="00B17F6A">
        <w:rPr>
          <w:rFonts w:asciiTheme="majorHAnsi" w:hAnsiTheme="majorHAnsi"/>
          <w:sz w:val="20"/>
          <w:szCs w:val="20"/>
        </w:rPr>
        <w:t>.</w:t>
      </w:r>
    </w:p>
    <w:p w14:paraId="0C9B910F" w14:textId="7A669FD7" w:rsidR="00FF6335" w:rsidRDefault="004E6FFB" w:rsidP="00FF6335">
      <w:pPr>
        <w:pStyle w:val="ListParagraph"/>
        <w:widowControl w:val="0"/>
        <w:numPr>
          <w:ilvl w:val="0"/>
          <w:numId w:val="59"/>
        </w:numPr>
        <w:autoSpaceDE w:val="0"/>
        <w:autoSpaceDN w:val="0"/>
        <w:spacing w:after="240"/>
        <w:ind w:left="0" w:firstLine="720"/>
        <w:jc w:val="both"/>
        <w:rPr>
          <w:rFonts w:asciiTheme="majorHAnsi" w:hAnsiTheme="majorHAnsi"/>
          <w:sz w:val="20"/>
          <w:szCs w:val="20"/>
        </w:rPr>
      </w:pPr>
      <w:r w:rsidRPr="004E6FFB">
        <w:rPr>
          <w:rFonts w:asciiTheme="majorHAnsi" w:hAnsiTheme="majorHAnsi"/>
          <w:sz w:val="20"/>
          <w:szCs w:val="20"/>
        </w:rPr>
        <w:t>On December 5, 2014, the 56th Sectional Prosecutor</w:t>
      </w:r>
      <w:r w:rsidR="0065562B">
        <w:rPr>
          <w:rFonts w:asciiTheme="majorHAnsi" w:hAnsiTheme="majorHAnsi"/>
          <w:sz w:val="20"/>
          <w:szCs w:val="20"/>
        </w:rPr>
        <w:t>’</w:t>
      </w:r>
      <w:r w:rsidRPr="004E6FFB">
        <w:rPr>
          <w:rFonts w:asciiTheme="majorHAnsi" w:hAnsiTheme="majorHAnsi"/>
          <w:sz w:val="20"/>
          <w:szCs w:val="20"/>
        </w:rPr>
        <w:t xml:space="preserve">s Office of Carmen de Bolivar took over the </w:t>
      </w:r>
      <w:r>
        <w:rPr>
          <w:rFonts w:asciiTheme="majorHAnsi" w:hAnsiTheme="majorHAnsi"/>
          <w:sz w:val="20"/>
          <w:szCs w:val="20"/>
        </w:rPr>
        <w:t>case</w:t>
      </w:r>
      <w:r w:rsidRPr="004E6FFB">
        <w:rPr>
          <w:rFonts w:asciiTheme="majorHAnsi" w:hAnsiTheme="majorHAnsi"/>
          <w:sz w:val="20"/>
          <w:szCs w:val="20"/>
        </w:rPr>
        <w:t xml:space="preserve"> and summoned </w:t>
      </w:r>
      <w:r>
        <w:rPr>
          <w:rFonts w:asciiTheme="majorHAnsi" w:hAnsiTheme="majorHAnsi"/>
          <w:sz w:val="20"/>
          <w:szCs w:val="20"/>
        </w:rPr>
        <w:t>the defendants</w:t>
      </w:r>
      <w:r w:rsidRPr="004E6FFB">
        <w:rPr>
          <w:rFonts w:asciiTheme="majorHAnsi" w:hAnsiTheme="majorHAnsi"/>
          <w:sz w:val="20"/>
          <w:szCs w:val="20"/>
        </w:rPr>
        <w:t xml:space="preserve"> to testify. </w:t>
      </w:r>
      <w:r w:rsidR="00863055">
        <w:rPr>
          <w:rFonts w:asciiTheme="majorHAnsi" w:hAnsiTheme="majorHAnsi"/>
          <w:sz w:val="20"/>
          <w:szCs w:val="20"/>
        </w:rPr>
        <w:t>On</w:t>
      </w:r>
      <w:r w:rsidRPr="004E6FFB">
        <w:rPr>
          <w:rFonts w:asciiTheme="majorHAnsi" w:hAnsiTheme="majorHAnsi"/>
          <w:sz w:val="20"/>
          <w:szCs w:val="20"/>
        </w:rPr>
        <w:t xml:space="preserve"> February 3, 2015, the </w:t>
      </w:r>
      <w:r w:rsidRPr="00D51E2D">
        <w:rPr>
          <w:rFonts w:asciiTheme="majorHAnsi" w:hAnsiTheme="majorHAnsi"/>
          <w:sz w:val="20"/>
          <w:szCs w:val="20"/>
        </w:rPr>
        <w:t xml:space="preserve">prosecutor </w:t>
      </w:r>
      <w:r w:rsidR="00863055">
        <w:rPr>
          <w:rFonts w:asciiTheme="majorHAnsi" w:hAnsiTheme="majorHAnsi"/>
          <w:sz w:val="20"/>
          <w:szCs w:val="20"/>
        </w:rPr>
        <w:t xml:space="preserve">again </w:t>
      </w:r>
      <w:r w:rsidRPr="00D51E2D">
        <w:rPr>
          <w:rFonts w:asciiTheme="majorHAnsi" w:hAnsiTheme="majorHAnsi"/>
          <w:sz w:val="20"/>
          <w:szCs w:val="20"/>
        </w:rPr>
        <w:t>summoned the defendants</w:t>
      </w:r>
      <w:r w:rsidR="005D7C43" w:rsidRPr="00D51E2D">
        <w:rPr>
          <w:rFonts w:asciiTheme="majorHAnsi" w:hAnsiTheme="majorHAnsi"/>
          <w:sz w:val="20"/>
          <w:szCs w:val="20"/>
        </w:rPr>
        <w:t>, a</w:t>
      </w:r>
      <w:r w:rsidRPr="00D51E2D">
        <w:rPr>
          <w:rFonts w:asciiTheme="majorHAnsi" w:hAnsiTheme="majorHAnsi"/>
          <w:sz w:val="20"/>
          <w:szCs w:val="20"/>
        </w:rPr>
        <w:t xml:space="preserve">nd the parties were </w:t>
      </w:r>
      <w:r w:rsidR="007B7837" w:rsidRPr="00D51E2D">
        <w:rPr>
          <w:rFonts w:asciiTheme="majorHAnsi" w:hAnsiTheme="majorHAnsi"/>
          <w:sz w:val="20"/>
          <w:szCs w:val="20"/>
        </w:rPr>
        <w:t>given notice to file</w:t>
      </w:r>
      <w:r w:rsidRPr="00D51E2D">
        <w:rPr>
          <w:rFonts w:asciiTheme="majorHAnsi" w:hAnsiTheme="majorHAnsi"/>
          <w:sz w:val="20"/>
          <w:szCs w:val="20"/>
        </w:rPr>
        <w:t xml:space="preserve"> their closing arguments between July 27 and August 5, 2015. However, despite the parties having been </w:t>
      </w:r>
      <w:r w:rsidR="000B4353" w:rsidRPr="00D51E2D">
        <w:rPr>
          <w:rFonts w:asciiTheme="majorHAnsi" w:hAnsiTheme="majorHAnsi"/>
          <w:sz w:val="20"/>
          <w:szCs w:val="20"/>
        </w:rPr>
        <w:t>served notice</w:t>
      </w:r>
      <w:r w:rsidRPr="00D51E2D">
        <w:rPr>
          <w:rFonts w:asciiTheme="majorHAnsi" w:hAnsiTheme="majorHAnsi"/>
          <w:sz w:val="20"/>
          <w:szCs w:val="20"/>
        </w:rPr>
        <w:t>, none filed closing arg</w:t>
      </w:r>
      <w:r w:rsidRPr="004E6FFB">
        <w:rPr>
          <w:rFonts w:asciiTheme="majorHAnsi" w:hAnsiTheme="majorHAnsi"/>
          <w:sz w:val="20"/>
          <w:szCs w:val="20"/>
        </w:rPr>
        <w:t xml:space="preserve">uments. </w:t>
      </w:r>
      <w:r w:rsidR="000B4353">
        <w:rPr>
          <w:rFonts w:asciiTheme="majorHAnsi" w:hAnsiTheme="majorHAnsi"/>
          <w:sz w:val="20"/>
          <w:szCs w:val="20"/>
        </w:rPr>
        <w:t>On</w:t>
      </w:r>
      <w:r w:rsidRPr="004E6FFB">
        <w:rPr>
          <w:rFonts w:asciiTheme="majorHAnsi" w:hAnsiTheme="majorHAnsi"/>
          <w:sz w:val="20"/>
          <w:szCs w:val="20"/>
        </w:rPr>
        <w:t xml:space="preserve"> March 15, 2017, the prosecutor</w:t>
      </w:r>
      <w:r w:rsidR="0065562B">
        <w:rPr>
          <w:rFonts w:asciiTheme="majorHAnsi" w:hAnsiTheme="majorHAnsi"/>
          <w:sz w:val="20"/>
          <w:szCs w:val="20"/>
        </w:rPr>
        <w:t>’</w:t>
      </w:r>
      <w:r w:rsidRPr="004E6FFB">
        <w:rPr>
          <w:rFonts w:asciiTheme="majorHAnsi" w:hAnsiTheme="majorHAnsi"/>
          <w:sz w:val="20"/>
          <w:szCs w:val="20"/>
        </w:rPr>
        <w:t xml:space="preserve">s office ordered </w:t>
      </w:r>
      <w:r w:rsidR="000B4353">
        <w:rPr>
          <w:rFonts w:asciiTheme="majorHAnsi" w:hAnsiTheme="majorHAnsi"/>
          <w:sz w:val="20"/>
          <w:szCs w:val="20"/>
        </w:rPr>
        <w:t>the preparation of a prosecution memorandum</w:t>
      </w:r>
      <w:r w:rsidR="00526632">
        <w:rPr>
          <w:rFonts w:asciiTheme="majorHAnsi" w:hAnsiTheme="majorHAnsi"/>
          <w:sz w:val="20"/>
          <w:szCs w:val="20"/>
        </w:rPr>
        <w:t>. It</w:t>
      </w:r>
      <w:r w:rsidRPr="004E6FFB">
        <w:rPr>
          <w:rFonts w:asciiTheme="majorHAnsi" w:hAnsiTheme="majorHAnsi"/>
          <w:sz w:val="20"/>
          <w:szCs w:val="20"/>
        </w:rPr>
        <w:t xml:space="preserve"> noted that </w:t>
      </w:r>
      <w:r w:rsidR="000B4353" w:rsidRPr="004E6FFB">
        <w:rPr>
          <w:rFonts w:asciiTheme="majorHAnsi" w:hAnsiTheme="majorHAnsi"/>
          <w:sz w:val="20"/>
          <w:szCs w:val="20"/>
        </w:rPr>
        <w:t xml:space="preserve">the defendants </w:t>
      </w:r>
      <w:r w:rsidR="000B4353">
        <w:rPr>
          <w:rFonts w:asciiTheme="majorHAnsi" w:hAnsiTheme="majorHAnsi"/>
          <w:sz w:val="20"/>
          <w:szCs w:val="20"/>
        </w:rPr>
        <w:t>had been</w:t>
      </w:r>
      <w:r w:rsidR="000B4353" w:rsidRPr="004E6FFB">
        <w:rPr>
          <w:rFonts w:asciiTheme="majorHAnsi" w:hAnsiTheme="majorHAnsi"/>
          <w:sz w:val="20"/>
          <w:szCs w:val="20"/>
        </w:rPr>
        <w:t xml:space="preserve"> questioned</w:t>
      </w:r>
      <w:r w:rsidR="000B4353">
        <w:rPr>
          <w:rFonts w:asciiTheme="majorHAnsi" w:hAnsiTheme="majorHAnsi"/>
          <w:sz w:val="20"/>
          <w:szCs w:val="20"/>
        </w:rPr>
        <w:t xml:space="preserve"> </w:t>
      </w:r>
      <w:r w:rsidRPr="004E6FFB">
        <w:rPr>
          <w:rFonts w:asciiTheme="majorHAnsi" w:hAnsiTheme="majorHAnsi"/>
          <w:sz w:val="20"/>
          <w:szCs w:val="20"/>
        </w:rPr>
        <w:t xml:space="preserve">in the hearing of October 1, 2014, although their legal status was not </w:t>
      </w:r>
      <w:r w:rsidR="000B4353">
        <w:rPr>
          <w:rFonts w:asciiTheme="majorHAnsi" w:hAnsiTheme="majorHAnsi"/>
          <w:sz w:val="20"/>
          <w:szCs w:val="20"/>
        </w:rPr>
        <w:t>determined</w:t>
      </w:r>
      <w:r w:rsidRPr="004E6FFB">
        <w:rPr>
          <w:rFonts w:asciiTheme="majorHAnsi" w:hAnsiTheme="majorHAnsi"/>
          <w:sz w:val="20"/>
          <w:szCs w:val="20"/>
        </w:rPr>
        <w:t xml:space="preserve">, which resulted in </w:t>
      </w:r>
      <w:r w:rsidR="000B4353">
        <w:rPr>
          <w:rFonts w:asciiTheme="majorHAnsi" w:hAnsiTheme="majorHAnsi"/>
          <w:sz w:val="20"/>
          <w:szCs w:val="20"/>
        </w:rPr>
        <w:t>a</w:t>
      </w:r>
      <w:r w:rsidRPr="004E6FFB">
        <w:rPr>
          <w:rFonts w:asciiTheme="majorHAnsi" w:hAnsiTheme="majorHAnsi"/>
          <w:sz w:val="20"/>
          <w:szCs w:val="20"/>
        </w:rPr>
        <w:t xml:space="preserve"> dec</w:t>
      </w:r>
      <w:r w:rsidR="000B4353">
        <w:rPr>
          <w:rFonts w:asciiTheme="majorHAnsi" w:hAnsiTheme="majorHAnsi"/>
          <w:sz w:val="20"/>
          <w:szCs w:val="20"/>
        </w:rPr>
        <w:t>ision</w:t>
      </w:r>
      <w:r w:rsidRPr="004E6FFB">
        <w:rPr>
          <w:rFonts w:asciiTheme="majorHAnsi" w:hAnsiTheme="majorHAnsi"/>
          <w:sz w:val="20"/>
          <w:szCs w:val="20"/>
        </w:rPr>
        <w:t xml:space="preserve"> </w:t>
      </w:r>
      <w:r w:rsidR="000B4353">
        <w:rPr>
          <w:rFonts w:asciiTheme="majorHAnsi" w:hAnsiTheme="majorHAnsi"/>
          <w:sz w:val="20"/>
          <w:szCs w:val="20"/>
        </w:rPr>
        <w:t>to set aside</w:t>
      </w:r>
      <w:r w:rsidRPr="004E6FFB">
        <w:rPr>
          <w:rFonts w:asciiTheme="majorHAnsi" w:hAnsiTheme="majorHAnsi"/>
          <w:sz w:val="20"/>
          <w:szCs w:val="20"/>
        </w:rPr>
        <w:t xml:space="preserve"> the proceedings </w:t>
      </w:r>
      <w:r w:rsidR="000B4353">
        <w:rPr>
          <w:rFonts w:asciiTheme="majorHAnsi" w:hAnsiTheme="majorHAnsi"/>
          <w:sz w:val="20"/>
          <w:szCs w:val="20"/>
        </w:rPr>
        <w:t>as of</w:t>
      </w:r>
      <w:r w:rsidRPr="004E6FFB">
        <w:rPr>
          <w:rFonts w:asciiTheme="majorHAnsi" w:hAnsiTheme="majorHAnsi"/>
          <w:sz w:val="20"/>
          <w:szCs w:val="20"/>
        </w:rPr>
        <w:t xml:space="preserve"> the order of October 1, 2014</w:t>
      </w:r>
      <w:r w:rsidR="00FF6335">
        <w:rPr>
          <w:rFonts w:asciiTheme="majorHAnsi" w:hAnsiTheme="majorHAnsi"/>
          <w:sz w:val="20"/>
          <w:szCs w:val="20"/>
        </w:rPr>
        <w:t>.</w:t>
      </w:r>
    </w:p>
    <w:p w14:paraId="73C6C01F" w14:textId="58E16FCC" w:rsidR="00760EA9" w:rsidRPr="00FF6335" w:rsidRDefault="00FF6335" w:rsidP="00FF6335">
      <w:pPr>
        <w:pStyle w:val="ListParagraph"/>
        <w:widowControl w:val="0"/>
        <w:numPr>
          <w:ilvl w:val="0"/>
          <w:numId w:val="59"/>
        </w:numPr>
        <w:autoSpaceDE w:val="0"/>
        <w:autoSpaceDN w:val="0"/>
        <w:spacing w:after="240"/>
        <w:ind w:left="0" w:firstLine="720"/>
        <w:jc w:val="both"/>
        <w:rPr>
          <w:rFonts w:asciiTheme="majorHAnsi" w:hAnsiTheme="majorHAnsi"/>
          <w:sz w:val="20"/>
          <w:szCs w:val="20"/>
        </w:rPr>
      </w:pPr>
      <w:r w:rsidRPr="00FF6335">
        <w:rPr>
          <w:rFonts w:asciiTheme="majorHAnsi" w:hAnsiTheme="majorHAnsi"/>
          <w:sz w:val="20"/>
          <w:szCs w:val="20"/>
        </w:rPr>
        <w:t>Subsequently, on February 9, 2018, the 29th Sectional Prosecutor</w:t>
      </w:r>
      <w:r w:rsidR="0065562B">
        <w:rPr>
          <w:rFonts w:asciiTheme="majorHAnsi" w:hAnsiTheme="majorHAnsi"/>
          <w:sz w:val="20"/>
          <w:szCs w:val="20"/>
        </w:rPr>
        <w:t>’</w:t>
      </w:r>
      <w:r w:rsidRPr="00FF6335">
        <w:rPr>
          <w:rFonts w:asciiTheme="majorHAnsi" w:hAnsiTheme="majorHAnsi"/>
          <w:sz w:val="20"/>
          <w:szCs w:val="20"/>
        </w:rPr>
        <w:t>s Office of Carmen de Bolívar again took over the investigation; and as of the date of the State</w:t>
      </w:r>
      <w:r w:rsidR="0065562B">
        <w:rPr>
          <w:rFonts w:asciiTheme="majorHAnsi" w:hAnsiTheme="majorHAnsi"/>
          <w:sz w:val="20"/>
          <w:szCs w:val="20"/>
        </w:rPr>
        <w:t>’</w:t>
      </w:r>
      <w:r w:rsidRPr="00FF6335">
        <w:rPr>
          <w:rFonts w:asciiTheme="majorHAnsi" w:hAnsiTheme="majorHAnsi"/>
          <w:sz w:val="20"/>
          <w:szCs w:val="20"/>
        </w:rPr>
        <w:t>s last brief to the IACHR, in March 2022, this proceeding was still in the pretrial stage</w:t>
      </w:r>
      <w:r w:rsidR="00760EA9" w:rsidRPr="00FF6335">
        <w:rPr>
          <w:rFonts w:asciiTheme="majorHAnsi" w:hAnsiTheme="majorHAnsi"/>
          <w:sz w:val="20"/>
          <w:szCs w:val="20"/>
        </w:rPr>
        <w:t>.</w:t>
      </w:r>
    </w:p>
    <w:p w14:paraId="476CBDD5" w14:textId="19A1CAAA" w:rsidR="000665DD" w:rsidRPr="00B17F6A" w:rsidRDefault="004F314E" w:rsidP="00295BD2">
      <w:pPr>
        <w:pStyle w:val="ListParagraph"/>
        <w:widowControl w:val="0"/>
        <w:autoSpaceDE w:val="0"/>
        <w:autoSpaceDN w:val="0"/>
        <w:spacing w:after="240"/>
        <w:jc w:val="both"/>
        <w:rPr>
          <w:rFonts w:asciiTheme="majorHAnsi" w:hAnsiTheme="majorHAnsi"/>
          <w:i/>
          <w:iCs/>
          <w:sz w:val="20"/>
          <w:szCs w:val="20"/>
        </w:rPr>
      </w:pPr>
      <w:r>
        <w:rPr>
          <w:rFonts w:asciiTheme="majorHAnsi" w:hAnsiTheme="majorHAnsi"/>
          <w:i/>
          <w:iCs/>
          <w:sz w:val="20"/>
          <w:szCs w:val="20"/>
        </w:rPr>
        <w:t>Disciplinary investigation</w:t>
      </w:r>
    </w:p>
    <w:p w14:paraId="472B4CE2" w14:textId="277715F3" w:rsidR="00760EA9" w:rsidRPr="00B17F6A" w:rsidRDefault="002928C4" w:rsidP="00295BD2">
      <w:pPr>
        <w:pStyle w:val="ListParagraph"/>
        <w:widowControl w:val="0"/>
        <w:numPr>
          <w:ilvl w:val="0"/>
          <w:numId w:val="59"/>
        </w:numPr>
        <w:autoSpaceDE w:val="0"/>
        <w:autoSpaceDN w:val="0"/>
        <w:spacing w:after="240"/>
        <w:ind w:left="0" w:firstLine="720"/>
        <w:jc w:val="both"/>
        <w:rPr>
          <w:rFonts w:asciiTheme="majorHAnsi" w:hAnsiTheme="majorHAnsi"/>
          <w:sz w:val="20"/>
          <w:szCs w:val="20"/>
        </w:rPr>
      </w:pPr>
      <w:r>
        <w:rPr>
          <w:rFonts w:asciiTheme="majorHAnsi" w:hAnsiTheme="majorHAnsi"/>
          <w:sz w:val="20"/>
          <w:szCs w:val="20"/>
        </w:rPr>
        <w:t xml:space="preserve">The </w:t>
      </w:r>
      <w:r w:rsidRPr="00F67486">
        <w:rPr>
          <w:rFonts w:asciiTheme="majorHAnsi" w:hAnsiTheme="majorHAnsi"/>
          <w:sz w:val="20"/>
          <w:szCs w:val="20"/>
        </w:rPr>
        <w:t>State</w:t>
      </w:r>
      <w:r>
        <w:rPr>
          <w:rFonts w:asciiTheme="majorHAnsi" w:hAnsiTheme="majorHAnsi"/>
          <w:sz w:val="20"/>
          <w:szCs w:val="20"/>
        </w:rPr>
        <w:t xml:space="preserve"> reports that</w:t>
      </w:r>
      <w:r w:rsidR="008B0DC4" w:rsidRPr="008B0DC4">
        <w:rPr>
          <w:rFonts w:asciiTheme="majorHAnsi" w:hAnsiTheme="majorHAnsi"/>
          <w:sz w:val="20"/>
          <w:szCs w:val="20"/>
        </w:rPr>
        <w:t xml:space="preserve"> the </w:t>
      </w:r>
      <w:r w:rsidR="00B35E31" w:rsidRPr="008B0DC4">
        <w:rPr>
          <w:rFonts w:asciiTheme="majorHAnsi" w:hAnsiTheme="majorHAnsi"/>
          <w:sz w:val="20"/>
          <w:szCs w:val="20"/>
        </w:rPr>
        <w:t xml:space="preserve">General Inspectorate </w:t>
      </w:r>
      <w:r w:rsidR="008B0DC4" w:rsidRPr="008B0DC4">
        <w:rPr>
          <w:rFonts w:asciiTheme="majorHAnsi" w:hAnsiTheme="majorHAnsi"/>
          <w:sz w:val="20"/>
          <w:szCs w:val="20"/>
        </w:rPr>
        <w:t xml:space="preserve">of the Colombian National Police </w:t>
      </w:r>
      <w:r w:rsidR="00B35E31">
        <w:rPr>
          <w:rFonts w:asciiTheme="majorHAnsi" w:hAnsiTheme="majorHAnsi"/>
          <w:sz w:val="20"/>
          <w:szCs w:val="20"/>
        </w:rPr>
        <w:t>opened</w:t>
      </w:r>
      <w:r w:rsidR="008B0DC4" w:rsidRPr="008B0DC4">
        <w:rPr>
          <w:rFonts w:asciiTheme="majorHAnsi" w:hAnsiTheme="majorHAnsi"/>
          <w:sz w:val="20"/>
          <w:szCs w:val="20"/>
        </w:rPr>
        <w:t xml:space="preserve"> a disciplinary investigation against the National Police officers who were on duty the day of the events. Second Lieutenant Alberto Luis Cortés Valero </w:t>
      </w:r>
      <w:r w:rsidR="00860F22">
        <w:rPr>
          <w:rFonts w:asciiTheme="majorHAnsi" w:hAnsiTheme="majorHAnsi"/>
          <w:sz w:val="20"/>
          <w:szCs w:val="20"/>
        </w:rPr>
        <w:t>recounted</w:t>
      </w:r>
      <w:r w:rsidR="008B0DC4" w:rsidRPr="008B0DC4">
        <w:rPr>
          <w:rFonts w:asciiTheme="majorHAnsi" w:hAnsiTheme="majorHAnsi"/>
          <w:sz w:val="20"/>
          <w:szCs w:val="20"/>
        </w:rPr>
        <w:t xml:space="preserve"> the facts in a report submitted to the Internal Disciplinary </w:t>
      </w:r>
      <w:r w:rsidR="00B35E31">
        <w:rPr>
          <w:rFonts w:asciiTheme="majorHAnsi" w:hAnsiTheme="majorHAnsi"/>
          <w:sz w:val="20"/>
          <w:szCs w:val="20"/>
        </w:rPr>
        <w:t>Oversight</w:t>
      </w:r>
      <w:r w:rsidR="008B0DC4" w:rsidRPr="008B0DC4">
        <w:rPr>
          <w:rFonts w:asciiTheme="majorHAnsi" w:hAnsiTheme="majorHAnsi"/>
          <w:sz w:val="20"/>
          <w:szCs w:val="20"/>
        </w:rPr>
        <w:t xml:space="preserve"> Office of the Bolívar Police Department. This office </w:t>
      </w:r>
      <w:r w:rsidR="00B35E31">
        <w:rPr>
          <w:rFonts w:asciiTheme="majorHAnsi" w:hAnsiTheme="majorHAnsi"/>
          <w:sz w:val="20"/>
          <w:szCs w:val="20"/>
        </w:rPr>
        <w:t>opened</w:t>
      </w:r>
      <w:r w:rsidR="008B0DC4" w:rsidRPr="008B0DC4">
        <w:rPr>
          <w:rFonts w:asciiTheme="majorHAnsi" w:hAnsiTheme="majorHAnsi"/>
          <w:sz w:val="20"/>
          <w:szCs w:val="20"/>
        </w:rPr>
        <w:t xml:space="preserve"> the respective investigation</w:t>
      </w:r>
      <w:r w:rsidR="00B35E31" w:rsidRPr="00B35E31">
        <w:rPr>
          <w:rFonts w:asciiTheme="majorHAnsi" w:hAnsiTheme="majorHAnsi"/>
          <w:sz w:val="20"/>
          <w:szCs w:val="20"/>
        </w:rPr>
        <w:t xml:space="preserve"> </w:t>
      </w:r>
      <w:r w:rsidR="00B35E31" w:rsidRPr="008B0DC4">
        <w:rPr>
          <w:rFonts w:asciiTheme="majorHAnsi" w:hAnsiTheme="majorHAnsi"/>
          <w:sz w:val="20"/>
          <w:szCs w:val="20"/>
        </w:rPr>
        <w:t>against the officers</w:t>
      </w:r>
      <w:r w:rsidR="008B0DC4" w:rsidRPr="008B0DC4">
        <w:rPr>
          <w:rFonts w:asciiTheme="majorHAnsi" w:hAnsiTheme="majorHAnsi"/>
          <w:sz w:val="20"/>
          <w:szCs w:val="20"/>
        </w:rPr>
        <w:t xml:space="preserve"> </w:t>
      </w:r>
      <w:r w:rsidR="00B35E31">
        <w:rPr>
          <w:rFonts w:asciiTheme="majorHAnsi" w:hAnsiTheme="majorHAnsi"/>
          <w:sz w:val="20"/>
          <w:szCs w:val="20"/>
        </w:rPr>
        <w:t>under</w:t>
      </w:r>
      <w:r w:rsidR="008B0DC4" w:rsidRPr="008B0DC4">
        <w:rPr>
          <w:rFonts w:asciiTheme="majorHAnsi" w:hAnsiTheme="majorHAnsi"/>
          <w:sz w:val="20"/>
          <w:szCs w:val="20"/>
        </w:rPr>
        <w:t xml:space="preserve"> file number P-REGI8-2007-8. However, on April 11, 2007, after investigative work</w:t>
      </w:r>
      <w:r w:rsidR="00AE3DE4">
        <w:rPr>
          <w:rFonts w:asciiTheme="majorHAnsi" w:hAnsiTheme="majorHAnsi"/>
          <w:sz w:val="20"/>
          <w:szCs w:val="20"/>
        </w:rPr>
        <w:t xml:space="preserve"> was completed</w:t>
      </w:r>
      <w:r w:rsidR="008B0DC4" w:rsidRPr="008B0DC4">
        <w:rPr>
          <w:rFonts w:asciiTheme="majorHAnsi" w:hAnsiTheme="majorHAnsi"/>
          <w:sz w:val="20"/>
          <w:szCs w:val="20"/>
        </w:rPr>
        <w:t xml:space="preserve"> and statements</w:t>
      </w:r>
      <w:r w:rsidR="00AE3DE4">
        <w:rPr>
          <w:rFonts w:asciiTheme="majorHAnsi" w:hAnsiTheme="majorHAnsi"/>
          <w:sz w:val="20"/>
          <w:szCs w:val="20"/>
        </w:rPr>
        <w:t xml:space="preserve"> were taken</w:t>
      </w:r>
      <w:r w:rsidR="008B0DC4" w:rsidRPr="008B0DC4">
        <w:rPr>
          <w:rFonts w:asciiTheme="majorHAnsi" w:hAnsiTheme="majorHAnsi"/>
          <w:sz w:val="20"/>
          <w:szCs w:val="20"/>
        </w:rPr>
        <w:t>, the General Inspectorate of the National Police close</w:t>
      </w:r>
      <w:r w:rsidR="00AE3DE4">
        <w:rPr>
          <w:rFonts w:asciiTheme="majorHAnsi" w:hAnsiTheme="majorHAnsi"/>
          <w:sz w:val="20"/>
          <w:szCs w:val="20"/>
        </w:rPr>
        <w:t>d</w:t>
      </w:r>
      <w:r w:rsidR="008B0DC4" w:rsidRPr="008B0DC4">
        <w:rPr>
          <w:rFonts w:asciiTheme="majorHAnsi" w:hAnsiTheme="majorHAnsi"/>
          <w:sz w:val="20"/>
          <w:szCs w:val="20"/>
        </w:rPr>
        <w:t xml:space="preserve"> the investigation</w:t>
      </w:r>
      <w:r w:rsidR="00760EA9" w:rsidRPr="00B17F6A">
        <w:rPr>
          <w:rFonts w:asciiTheme="majorHAnsi" w:hAnsiTheme="majorHAnsi"/>
          <w:sz w:val="20"/>
          <w:szCs w:val="20"/>
        </w:rPr>
        <w:t>.</w:t>
      </w:r>
    </w:p>
    <w:p w14:paraId="633143FB" w14:textId="1FECC37A" w:rsidR="00760EA9" w:rsidRPr="00B17F6A" w:rsidRDefault="002928C4" w:rsidP="00295BD2">
      <w:pPr>
        <w:pStyle w:val="ListParagraph"/>
        <w:widowControl w:val="0"/>
        <w:numPr>
          <w:ilvl w:val="0"/>
          <w:numId w:val="59"/>
        </w:numPr>
        <w:autoSpaceDE w:val="0"/>
        <w:autoSpaceDN w:val="0"/>
        <w:spacing w:after="240"/>
        <w:ind w:left="0" w:firstLine="720"/>
        <w:jc w:val="both"/>
        <w:rPr>
          <w:rFonts w:asciiTheme="majorHAnsi" w:hAnsiTheme="majorHAnsi"/>
          <w:sz w:val="20"/>
          <w:szCs w:val="20"/>
        </w:rPr>
      </w:pPr>
      <w:r>
        <w:rPr>
          <w:rFonts w:asciiTheme="majorHAnsi" w:hAnsiTheme="majorHAnsi"/>
          <w:sz w:val="20"/>
          <w:szCs w:val="20"/>
        </w:rPr>
        <w:t>According to the</w:t>
      </w:r>
      <w:r w:rsidR="00F67486" w:rsidRPr="00F67486">
        <w:rPr>
          <w:rFonts w:asciiTheme="majorHAnsi" w:hAnsiTheme="majorHAnsi"/>
          <w:sz w:val="20"/>
          <w:szCs w:val="20"/>
        </w:rPr>
        <w:t xml:space="preserve"> State</w:t>
      </w:r>
      <w:r>
        <w:rPr>
          <w:rFonts w:asciiTheme="majorHAnsi" w:hAnsiTheme="majorHAnsi"/>
          <w:sz w:val="20"/>
          <w:szCs w:val="20"/>
        </w:rPr>
        <w:t xml:space="preserve">, </w:t>
      </w:r>
      <w:r w:rsidR="00F67486" w:rsidRPr="00F67486">
        <w:rPr>
          <w:rFonts w:asciiTheme="majorHAnsi" w:hAnsiTheme="majorHAnsi"/>
          <w:sz w:val="20"/>
          <w:szCs w:val="20"/>
        </w:rPr>
        <w:t xml:space="preserve">the investigation concluded that there was </w:t>
      </w:r>
      <w:r w:rsidR="00404F19">
        <w:rPr>
          <w:rFonts w:asciiTheme="majorHAnsi" w:hAnsiTheme="majorHAnsi"/>
          <w:sz w:val="20"/>
          <w:szCs w:val="20"/>
        </w:rPr>
        <w:t>a riot</w:t>
      </w:r>
      <w:r w:rsidR="00F67486" w:rsidRPr="00F67486">
        <w:rPr>
          <w:rFonts w:asciiTheme="majorHAnsi" w:hAnsiTheme="majorHAnsi"/>
          <w:sz w:val="20"/>
          <w:szCs w:val="20"/>
        </w:rPr>
        <w:t xml:space="preserve"> in which </w:t>
      </w:r>
      <w:r w:rsidR="0063537E">
        <w:rPr>
          <w:rFonts w:asciiTheme="majorHAnsi" w:hAnsiTheme="majorHAnsi"/>
          <w:sz w:val="20"/>
          <w:szCs w:val="20"/>
        </w:rPr>
        <w:t>a</w:t>
      </w:r>
      <w:r w:rsidR="00F67486" w:rsidRPr="00F67486">
        <w:rPr>
          <w:rFonts w:asciiTheme="majorHAnsi" w:hAnsiTheme="majorHAnsi"/>
          <w:sz w:val="20"/>
          <w:szCs w:val="20"/>
        </w:rPr>
        <w:t xml:space="preserve"> mob attacked the police facilities, setting fire to the station and extracting Nicanor Morales Rodríguez, who was </w:t>
      </w:r>
      <w:r w:rsidR="00404F19">
        <w:rPr>
          <w:rFonts w:asciiTheme="majorHAnsi" w:hAnsiTheme="majorHAnsi"/>
          <w:sz w:val="20"/>
          <w:szCs w:val="20"/>
        </w:rPr>
        <w:t xml:space="preserve">then </w:t>
      </w:r>
      <w:r w:rsidR="00F67486" w:rsidRPr="00F67486">
        <w:rPr>
          <w:rFonts w:asciiTheme="majorHAnsi" w:hAnsiTheme="majorHAnsi"/>
          <w:sz w:val="20"/>
          <w:szCs w:val="20"/>
        </w:rPr>
        <w:t>lynched. This was considered a force majeure</w:t>
      </w:r>
      <w:r w:rsidR="003F44AB">
        <w:rPr>
          <w:rFonts w:asciiTheme="majorHAnsi" w:hAnsiTheme="majorHAnsi"/>
          <w:sz w:val="20"/>
          <w:szCs w:val="20"/>
        </w:rPr>
        <w:t xml:space="preserve"> event that exempted</w:t>
      </w:r>
      <w:r w:rsidR="00F67486" w:rsidRPr="00F67486">
        <w:rPr>
          <w:rFonts w:asciiTheme="majorHAnsi" w:hAnsiTheme="majorHAnsi"/>
          <w:sz w:val="20"/>
          <w:szCs w:val="20"/>
        </w:rPr>
        <w:t xml:space="preserve"> the</w:t>
      </w:r>
      <w:r w:rsidR="00830156">
        <w:rPr>
          <w:rFonts w:asciiTheme="majorHAnsi" w:hAnsiTheme="majorHAnsi"/>
          <w:sz w:val="20"/>
          <w:szCs w:val="20"/>
        </w:rPr>
        <w:t xml:space="preserve"> police</w:t>
      </w:r>
      <w:r w:rsidR="00F67486" w:rsidRPr="00F67486">
        <w:rPr>
          <w:rFonts w:asciiTheme="majorHAnsi" w:hAnsiTheme="majorHAnsi"/>
          <w:sz w:val="20"/>
          <w:szCs w:val="20"/>
        </w:rPr>
        <w:t xml:space="preserve"> officers from responsibility. </w:t>
      </w:r>
      <w:r w:rsidR="00A803AE">
        <w:rPr>
          <w:rFonts w:asciiTheme="majorHAnsi" w:hAnsiTheme="majorHAnsi"/>
          <w:sz w:val="20"/>
          <w:szCs w:val="20"/>
        </w:rPr>
        <w:t>The</w:t>
      </w:r>
      <w:r w:rsidR="00F67486" w:rsidRPr="00F67486">
        <w:rPr>
          <w:rFonts w:asciiTheme="majorHAnsi" w:hAnsiTheme="majorHAnsi"/>
          <w:sz w:val="20"/>
          <w:szCs w:val="20"/>
        </w:rPr>
        <w:t xml:space="preserve"> arguments </w:t>
      </w:r>
      <w:r>
        <w:rPr>
          <w:rFonts w:asciiTheme="majorHAnsi" w:hAnsiTheme="majorHAnsi"/>
          <w:sz w:val="20"/>
          <w:szCs w:val="20"/>
        </w:rPr>
        <w:t>put forward by</w:t>
      </w:r>
      <w:r w:rsidR="00F67486" w:rsidRPr="00F67486">
        <w:rPr>
          <w:rFonts w:asciiTheme="majorHAnsi" w:hAnsiTheme="majorHAnsi"/>
          <w:sz w:val="20"/>
          <w:szCs w:val="20"/>
        </w:rPr>
        <w:t xml:space="preserve"> the accused officer</w:t>
      </w:r>
      <w:r w:rsidR="00A803AE">
        <w:rPr>
          <w:rFonts w:asciiTheme="majorHAnsi" w:hAnsiTheme="majorHAnsi"/>
          <w:sz w:val="20"/>
          <w:szCs w:val="20"/>
        </w:rPr>
        <w:t xml:space="preserve"> were accepted</w:t>
      </w:r>
      <w:r w:rsidR="00F67486" w:rsidRPr="00F67486">
        <w:rPr>
          <w:rFonts w:asciiTheme="majorHAnsi" w:hAnsiTheme="majorHAnsi"/>
          <w:sz w:val="20"/>
          <w:szCs w:val="20"/>
        </w:rPr>
        <w:t xml:space="preserve">, and the case was </w:t>
      </w:r>
      <w:r>
        <w:rPr>
          <w:rFonts w:asciiTheme="majorHAnsi" w:hAnsiTheme="majorHAnsi"/>
          <w:sz w:val="20"/>
          <w:szCs w:val="20"/>
        </w:rPr>
        <w:t>adjudicated</w:t>
      </w:r>
      <w:r w:rsidR="00F67486" w:rsidRPr="00F67486">
        <w:rPr>
          <w:rFonts w:asciiTheme="majorHAnsi" w:hAnsiTheme="majorHAnsi"/>
          <w:sz w:val="20"/>
          <w:szCs w:val="20"/>
        </w:rPr>
        <w:t xml:space="preserve"> in his favor. No official was held responsible for the events which, although regrettable, occurred </w:t>
      </w:r>
      <w:r w:rsidR="00EF06B1">
        <w:rPr>
          <w:rFonts w:asciiTheme="majorHAnsi" w:hAnsiTheme="majorHAnsi"/>
          <w:sz w:val="20"/>
          <w:szCs w:val="20"/>
        </w:rPr>
        <w:t xml:space="preserve">when </w:t>
      </w:r>
      <w:r w:rsidR="00F67486" w:rsidRPr="00F67486">
        <w:rPr>
          <w:rFonts w:asciiTheme="majorHAnsi" w:hAnsiTheme="majorHAnsi"/>
          <w:sz w:val="20"/>
          <w:szCs w:val="20"/>
        </w:rPr>
        <w:t xml:space="preserve">the mob overcame </w:t>
      </w:r>
      <w:r w:rsidR="0026533B">
        <w:rPr>
          <w:rFonts w:asciiTheme="majorHAnsi" w:hAnsiTheme="majorHAnsi"/>
          <w:sz w:val="20"/>
          <w:szCs w:val="20"/>
        </w:rPr>
        <w:t>law enforcement</w:t>
      </w:r>
      <w:r w:rsidR="00F67486" w:rsidRPr="00F67486">
        <w:rPr>
          <w:rFonts w:asciiTheme="majorHAnsi" w:hAnsiTheme="majorHAnsi"/>
          <w:sz w:val="20"/>
          <w:szCs w:val="20"/>
        </w:rPr>
        <w:t xml:space="preserve"> and took justice into </w:t>
      </w:r>
      <w:r w:rsidR="00EF06B1">
        <w:rPr>
          <w:rFonts w:asciiTheme="majorHAnsi" w:hAnsiTheme="majorHAnsi"/>
          <w:sz w:val="20"/>
          <w:szCs w:val="20"/>
        </w:rPr>
        <w:t>its</w:t>
      </w:r>
      <w:r w:rsidR="00F67486" w:rsidRPr="00F67486">
        <w:rPr>
          <w:rFonts w:asciiTheme="majorHAnsi" w:hAnsiTheme="majorHAnsi"/>
          <w:sz w:val="20"/>
          <w:szCs w:val="20"/>
        </w:rPr>
        <w:t xml:space="preserve"> own hands. Although the law </w:t>
      </w:r>
      <w:r w:rsidR="00AB4B07">
        <w:rPr>
          <w:rFonts w:asciiTheme="majorHAnsi" w:hAnsiTheme="majorHAnsi"/>
          <w:sz w:val="20"/>
          <w:szCs w:val="20"/>
        </w:rPr>
        <w:t>permits</w:t>
      </w:r>
      <w:r w:rsidR="00F67486" w:rsidRPr="00F67486">
        <w:rPr>
          <w:rFonts w:asciiTheme="majorHAnsi" w:hAnsiTheme="majorHAnsi"/>
          <w:sz w:val="20"/>
          <w:szCs w:val="20"/>
        </w:rPr>
        <w:t xml:space="preserve"> the use of force in </w:t>
      </w:r>
      <w:r w:rsidR="0061461F">
        <w:rPr>
          <w:rFonts w:asciiTheme="majorHAnsi" w:hAnsiTheme="majorHAnsi"/>
          <w:sz w:val="20"/>
          <w:szCs w:val="20"/>
        </w:rPr>
        <w:t>such</w:t>
      </w:r>
      <w:r w:rsidR="00F67486" w:rsidRPr="00F67486">
        <w:rPr>
          <w:rFonts w:asciiTheme="majorHAnsi" w:hAnsiTheme="majorHAnsi"/>
          <w:sz w:val="20"/>
          <w:szCs w:val="20"/>
        </w:rPr>
        <w:t xml:space="preserve"> cases, </w:t>
      </w:r>
      <w:r w:rsidR="00AB4B07">
        <w:rPr>
          <w:rFonts w:asciiTheme="majorHAnsi" w:hAnsiTheme="majorHAnsi"/>
          <w:sz w:val="20"/>
          <w:szCs w:val="20"/>
        </w:rPr>
        <w:t>including</w:t>
      </w:r>
      <w:r w:rsidR="00F67486" w:rsidRPr="00F67486">
        <w:rPr>
          <w:rFonts w:asciiTheme="majorHAnsi" w:hAnsiTheme="majorHAnsi"/>
          <w:sz w:val="20"/>
          <w:szCs w:val="20"/>
        </w:rPr>
        <w:t xml:space="preserve"> the use of firearms, this could have resulted in more victims due to the excessive use of force by the National Police</w:t>
      </w:r>
      <w:r w:rsidR="00760EA9" w:rsidRPr="00B17F6A">
        <w:rPr>
          <w:rFonts w:asciiTheme="majorHAnsi" w:hAnsiTheme="majorHAnsi"/>
          <w:sz w:val="20"/>
          <w:szCs w:val="20"/>
        </w:rPr>
        <w:t>.</w:t>
      </w:r>
    </w:p>
    <w:p w14:paraId="09F69C29" w14:textId="0309CDE0" w:rsidR="000665DD" w:rsidRPr="00B17F6A" w:rsidRDefault="004F314E" w:rsidP="00295BD2">
      <w:pPr>
        <w:pStyle w:val="ListParagraph"/>
        <w:widowControl w:val="0"/>
        <w:autoSpaceDE w:val="0"/>
        <w:autoSpaceDN w:val="0"/>
        <w:spacing w:after="240"/>
        <w:jc w:val="both"/>
        <w:rPr>
          <w:rFonts w:asciiTheme="majorHAnsi" w:hAnsiTheme="majorHAnsi"/>
          <w:i/>
          <w:iCs/>
          <w:sz w:val="20"/>
          <w:szCs w:val="20"/>
        </w:rPr>
      </w:pPr>
      <w:r>
        <w:rPr>
          <w:rFonts w:asciiTheme="majorHAnsi" w:hAnsiTheme="majorHAnsi"/>
          <w:i/>
          <w:iCs/>
          <w:sz w:val="20"/>
          <w:szCs w:val="20"/>
        </w:rPr>
        <w:t>Direct reparation action</w:t>
      </w:r>
    </w:p>
    <w:p w14:paraId="218CA381" w14:textId="2AE67D41" w:rsidR="00760EA9" w:rsidRPr="00B17F6A" w:rsidRDefault="00C02DEB" w:rsidP="00295BD2">
      <w:pPr>
        <w:pStyle w:val="ListParagraph"/>
        <w:widowControl w:val="0"/>
        <w:numPr>
          <w:ilvl w:val="0"/>
          <w:numId w:val="59"/>
        </w:numPr>
        <w:autoSpaceDE w:val="0"/>
        <w:autoSpaceDN w:val="0"/>
        <w:spacing w:after="240"/>
        <w:ind w:left="0" w:firstLine="720"/>
        <w:jc w:val="both"/>
        <w:rPr>
          <w:rFonts w:asciiTheme="majorHAnsi" w:hAnsiTheme="majorHAnsi"/>
          <w:sz w:val="20"/>
          <w:szCs w:val="20"/>
        </w:rPr>
      </w:pPr>
      <w:r w:rsidRPr="00C02DEB">
        <w:rPr>
          <w:rFonts w:asciiTheme="majorHAnsi" w:hAnsiTheme="majorHAnsi"/>
          <w:sz w:val="20"/>
          <w:szCs w:val="20"/>
        </w:rPr>
        <w:t>The State also reports that Nicanor Morales Rodríguez</w:t>
      </w:r>
      <w:r w:rsidR="0065228C">
        <w:rPr>
          <w:rFonts w:asciiTheme="majorHAnsi" w:hAnsiTheme="majorHAnsi"/>
          <w:sz w:val="20"/>
          <w:szCs w:val="20"/>
        </w:rPr>
        <w:t>’s</w:t>
      </w:r>
      <w:r w:rsidRPr="00C02DEB">
        <w:rPr>
          <w:rFonts w:asciiTheme="majorHAnsi" w:hAnsiTheme="majorHAnsi"/>
          <w:sz w:val="20"/>
          <w:szCs w:val="20"/>
        </w:rPr>
        <w:t xml:space="preserve"> </w:t>
      </w:r>
      <w:r w:rsidR="0065228C" w:rsidRPr="00C02DEB">
        <w:rPr>
          <w:rFonts w:asciiTheme="majorHAnsi" w:hAnsiTheme="majorHAnsi"/>
          <w:sz w:val="20"/>
          <w:szCs w:val="20"/>
        </w:rPr>
        <w:t xml:space="preserve">next of kin </w:t>
      </w:r>
      <w:r w:rsidRPr="00C02DEB">
        <w:rPr>
          <w:rFonts w:asciiTheme="majorHAnsi" w:hAnsiTheme="majorHAnsi"/>
          <w:sz w:val="20"/>
          <w:szCs w:val="20"/>
        </w:rPr>
        <w:t xml:space="preserve">filed an action for direct reparation, </w:t>
      </w:r>
      <w:r w:rsidR="00012DEC">
        <w:rPr>
          <w:rFonts w:asciiTheme="majorHAnsi" w:hAnsiTheme="majorHAnsi"/>
          <w:sz w:val="20"/>
          <w:szCs w:val="20"/>
        </w:rPr>
        <w:t>seeking to have</w:t>
      </w:r>
      <w:r w:rsidRPr="00C02DEB">
        <w:rPr>
          <w:rFonts w:asciiTheme="majorHAnsi" w:hAnsiTheme="majorHAnsi"/>
          <w:sz w:val="20"/>
          <w:szCs w:val="20"/>
        </w:rPr>
        <w:t xml:space="preserve"> the State declared administratively liable for </w:t>
      </w:r>
      <w:r w:rsidR="00E45F67">
        <w:rPr>
          <w:rFonts w:asciiTheme="majorHAnsi" w:hAnsiTheme="majorHAnsi"/>
          <w:sz w:val="20"/>
          <w:szCs w:val="20"/>
        </w:rPr>
        <w:t>breach of duty</w:t>
      </w:r>
      <w:r w:rsidRPr="00C02DEB">
        <w:rPr>
          <w:rFonts w:asciiTheme="majorHAnsi" w:hAnsiTheme="majorHAnsi"/>
          <w:sz w:val="20"/>
          <w:szCs w:val="20"/>
        </w:rPr>
        <w:t xml:space="preserve"> and failure to prevent the </w:t>
      </w:r>
      <w:r w:rsidR="00830156">
        <w:rPr>
          <w:rFonts w:asciiTheme="majorHAnsi" w:hAnsiTheme="majorHAnsi"/>
          <w:sz w:val="20"/>
          <w:szCs w:val="20"/>
        </w:rPr>
        <w:t>events in question</w:t>
      </w:r>
      <w:r w:rsidRPr="00C02DEB">
        <w:rPr>
          <w:rFonts w:asciiTheme="majorHAnsi" w:hAnsiTheme="majorHAnsi"/>
          <w:sz w:val="20"/>
          <w:szCs w:val="20"/>
        </w:rPr>
        <w:t xml:space="preserve">. On April 30, 2013, the </w:t>
      </w:r>
      <w:r w:rsidR="004F341E">
        <w:rPr>
          <w:rFonts w:asciiTheme="majorHAnsi" w:hAnsiTheme="majorHAnsi"/>
          <w:sz w:val="20"/>
          <w:szCs w:val="20"/>
        </w:rPr>
        <w:t>First Administrative Overflow Court of Cartagena</w:t>
      </w:r>
      <w:r w:rsidRPr="00C02DEB">
        <w:rPr>
          <w:rFonts w:asciiTheme="majorHAnsi" w:hAnsiTheme="majorHAnsi"/>
          <w:sz w:val="20"/>
          <w:szCs w:val="20"/>
        </w:rPr>
        <w:t xml:space="preserve"> ruled </w:t>
      </w:r>
      <w:r w:rsidR="00E45F67">
        <w:rPr>
          <w:rFonts w:asciiTheme="majorHAnsi" w:hAnsiTheme="majorHAnsi"/>
          <w:sz w:val="20"/>
          <w:szCs w:val="20"/>
        </w:rPr>
        <w:t>for</w:t>
      </w:r>
      <w:r w:rsidRPr="00C02DEB">
        <w:rPr>
          <w:rFonts w:asciiTheme="majorHAnsi" w:hAnsiTheme="majorHAnsi"/>
          <w:sz w:val="20"/>
          <w:szCs w:val="20"/>
        </w:rPr>
        <w:t xml:space="preserve"> the plaintiffs, finding that Morales Rodríguez was in the custody of the National Police, and that those responsible </w:t>
      </w:r>
      <w:r w:rsidR="00994891">
        <w:rPr>
          <w:rFonts w:asciiTheme="majorHAnsi" w:hAnsiTheme="majorHAnsi"/>
          <w:sz w:val="20"/>
          <w:szCs w:val="20"/>
        </w:rPr>
        <w:t>failed to</w:t>
      </w:r>
      <w:r w:rsidRPr="00C02DEB">
        <w:rPr>
          <w:rFonts w:asciiTheme="majorHAnsi" w:hAnsiTheme="majorHAnsi"/>
          <w:sz w:val="20"/>
          <w:szCs w:val="20"/>
        </w:rPr>
        <w:t xml:space="preserve"> use all necessary means to prevent the attack and safeguard the detainee</w:t>
      </w:r>
      <w:r w:rsidR="0065562B">
        <w:rPr>
          <w:rFonts w:asciiTheme="majorHAnsi" w:hAnsiTheme="majorHAnsi"/>
          <w:sz w:val="20"/>
          <w:szCs w:val="20"/>
        </w:rPr>
        <w:t>’</w:t>
      </w:r>
      <w:r w:rsidR="00E45F67">
        <w:rPr>
          <w:rFonts w:asciiTheme="majorHAnsi" w:hAnsiTheme="majorHAnsi"/>
          <w:sz w:val="20"/>
          <w:szCs w:val="20"/>
        </w:rPr>
        <w:t>s life</w:t>
      </w:r>
      <w:r w:rsidR="00760EA9" w:rsidRPr="00B17F6A">
        <w:rPr>
          <w:rFonts w:asciiTheme="majorHAnsi" w:hAnsiTheme="majorHAnsi"/>
          <w:sz w:val="20"/>
          <w:szCs w:val="20"/>
        </w:rPr>
        <w:t>.</w:t>
      </w:r>
      <w:r w:rsidR="00012DEC">
        <w:rPr>
          <w:rFonts w:asciiTheme="majorHAnsi" w:hAnsiTheme="majorHAnsi"/>
          <w:sz w:val="20"/>
          <w:szCs w:val="20"/>
        </w:rPr>
        <w:t xml:space="preserve"> </w:t>
      </w:r>
    </w:p>
    <w:p w14:paraId="2B6940D7" w14:textId="1CF2B8F4" w:rsidR="00760EA9" w:rsidRPr="00B17F6A" w:rsidRDefault="00916756" w:rsidP="00295BD2">
      <w:pPr>
        <w:pStyle w:val="ListParagraph"/>
        <w:widowControl w:val="0"/>
        <w:numPr>
          <w:ilvl w:val="0"/>
          <w:numId w:val="59"/>
        </w:numPr>
        <w:autoSpaceDE w:val="0"/>
        <w:autoSpaceDN w:val="0"/>
        <w:spacing w:after="240"/>
        <w:ind w:left="0" w:firstLine="720"/>
        <w:jc w:val="both"/>
        <w:rPr>
          <w:rFonts w:asciiTheme="majorHAnsi" w:hAnsiTheme="majorHAnsi"/>
          <w:sz w:val="20"/>
          <w:szCs w:val="20"/>
        </w:rPr>
      </w:pPr>
      <w:r w:rsidRPr="00A21473">
        <w:rPr>
          <w:rFonts w:asciiTheme="majorHAnsi" w:hAnsiTheme="majorHAnsi"/>
          <w:sz w:val="20"/>
          <w:szCs w:val="20"/>
        </w:rPr>
        <w:t>The Nation, the Ministry of National Defense, and the National Police filed</w:t>
      </w:r>
      <w:r w:rsidRPr="00916756">
        <w:rPr>
          <w:rFonts w:asciiTheme="majorHAnsi" w:hAnsiTheme="majorHAnsi"/>
          <w:sz w:val="20"/>
          <w:szCs w:val="20"/>
        </w:rPr>
        <w:t xml:space="preserve"> an appeal; and on April 29, 2014</w:t>
      </w:r>
      <w:r w:rsidR="005D310A">
        <w:rPr>
          <w:rFonts w:asciiTheme="majorHAnsi" w:hAnsiTheme="majorHAnsi"/>
          <w:sz w:val="20"/>
          <w:szCs w:val="20"/>
        </w:rPr>
        <w:t>,</w:t>
      </w:r>
      <w:r w:rsidRPr="00916756">
        <w:rPr>
          <w:rFonts w:asciiTheme="majorHAnsi" w:hAnsiTheme="majorHAnsi"/>
          <w:sz w:val="20"/>
          <w:szCs w:val="20"/>
        </w:rPr>
        <w:t xml:space="preserve"> the Administrative Court of Bolivar reversed the </w:t>
      </w:r>
      <w:r w:rsidR="00632F09">
        <w:rPr>
          <w:rFonts w:asciiTheme="majorHAnsi" w:hAnsiTheme="majorHAnsi"/>
          <w:sz w:val="20"/>
          <w:szCs w:val="20"/>
        </w:rPr>
        <w:t>lower court</w:t>
      </w:r>
      <w:r w:rsidR="0065562B">
        <w:rPr>
          <w:rFonts w:asciiTheme="majorHAnsi" w:hAnsiTheme="majorHAnsi"/>
          <w:sz w:val="20"/>
          <w:szCs w:val="20"/>
        </w:rPr>
        <w:t>’</w:t>
      </w:r>
      <w:r w:rsidR="00632F09">
        <w:rPr>
          <w:rFonts w:asciiTheme="majorHAnsi" w:hAnsiTheme="majorHAnsi"/>
          <w:sz w:val="20"/>
          <w:szCs w:val="20"/>
        </w:rPr>
        <w:t>s</w:t>
      </w:r>
      <w:r w:rsidRPr="00916756">
        <w:rPr>
          <w:rFonts w:asciiTheme="majorHAnsi" w:hAnsiTheme="majorHAnsi"/>
          <w:sz w:val="20"/>
          <w:szCs w:val="20"/>
        </w:rPr>
        <w:t xml:space="preserve"> decision, </w:t>
      </w:r>
      <w:r w:rsidR="00632F09">
        <w:rPr>
          <w:rFonts w:asciiTheme="majorHAnsi" w:hAnsiTheme="majorHAnsi"/>
          <w:sz w:val="20"/>
          <w:szCs w:val="20"/>
        </w:rPr>
        <w:t xml:space="preserve">finding </w:t>
      </w:r>
      <w:r w:rsidR="00684B5B">
        <w:rPr>
          <w:rFonts w:asciiTheme="majorHAnsi" w:hAnsiTheme="majorHAnsi"/>
          <w:sz w:val="20"/>
          <w:szCs w:val="20"/>
        </w:rPr>
        <w:t>t</w:t>
      </w:r>
      <w:r w:rsidRPr="00916756">
        <w:rPr>
          <w:rFonts w:asciiTheme="majorHAnsi" w:hAnsiTheme="majorHAnsi"/>
          <w:sz w:val="20"/>
          <w:szCs w:val="20"/>
        </w:rPr>
        <w:t>hat the statements of the police</w:t>
      </w:r>
      <w:r w:rsidR="00632F09">
        <w:rPr>
          <w:rFonts w:asciiTheme="majorHAnsi" w:hAnsiTheme="majorHAnsi"/>
          <w:sz w:val="20"/>
          <w:szCs w:val="20"/>
        </w:rPr>
        <w:t xml:space="preserve"> officers</w:t>
      </w:r>
      <w:r w:rsidRPr="00916756">
        <w:rPr>
          <w:rFonts w:asciiTheme="majorHAnsi" w:hAnsiTheme="majorHAnsi"/>
          <w:sz w:val="20"/>
          <w:szCs w:val="20"/>
        </w:rPr>
        <w:t xml:space="preserve"> </w:t>
      </w:r>
      <w:r w:rsidR="00684B5B">
        <w:rPr>
          <w:rFonts w:asciiTheme="majorHAnsi" w:hAnsiTheme="majorHAnsi"/>
          <w:sz w:val="20"/>
          <w:szCs w:val="20"/>
        </w:rPr>
        <w:t>consistently indicated that</w:t>
      </w:r>
      <w:r w:rsidRPr="00916756">
        <w:rPr>
          <w:rFonts w:asciiTheme="majorHAnsi" w:hAnsiTheme="majorHAnsi"/>
          <w:sz w:val="20"/>
          <w:szCs w:val="20"/>
        </w:rPr>
        <w:t xml:space="preserve"> the circumstances </w:t>
      </w:r>
      <w:r w:rsidR="00684B5B">
        <w:rPr>
          <w:rFonts w:asciiTheme="majorHAnsi" w:hAnsiTheme="majorHAnsi"/>
          <w:sz w:val="20"/>
          <w:szCs w:val="20"/>
        </w:rPr>
        <w:t>resulting</w:t>
      </w:r>
      <w:r w:rsidRPr="00916756">
        <w:rPr>
          <w:rFonts w:asciiTheme="majorHAnsi" w:hAnsiTheme="majorHAnsi"/>
          <w:sz w:val="20"/>
          <w:szCs w:val="20"/>
        </w:rPr>
        <w:t xml:space="preserve"> in </w:t>
      </w:r>
      <w:r w:rsidR="00684B5B">
        <w:rPr>
          <w:rFonts w:asciiTheme="majorHAnsi" w:hAnsiTheme="majorHAnsi"/>
          <w:sz w:val="20"/>
          <w:szCs w:val="20"/>
        </w:rPr>
        <w:t xml:space="preserve">Mr. </w:t>
      </w:r>
      <w:r w:rsidRPr="00916756">
        <w:rPr>
          <w:rFonts w:asciiTheme="majorHAnsi" w:hAnsiTheme="majorHAnsi"/>
          <w:sz w:val="20"/>
          <w:szCs w:val="20"/>
        </w:rPr>
        <w:t>Morales Rodriguez</w:t>
      </w:r>
      <w:r w:rsidR="0065562B">
        <w:rPr>
          <w:rFonts w:asciiTheme="majorHAnsi" w:hAnsiTheme="majorHAnsi"/>
          <w:sz w:val="20"/>
          <w:szCs w:val="20"/>
        </w:rPr>
        <w:t>’</w:t>
      </w:r>
      <w:r w:rsidR="00632F09">
        <w:rPr>
          <w:rFonts w:asciiTheme="majorHAnsi" w:hAnsiTheme="majorHAnsi"/>
          <w:sz w:val="20"/>
          <w:szCs w:val="20"/>
        </w:rPr>
        <w:t>s death</w:t>
      </w:r>
      <w:r w:rsidRPr="00916756">
        <w:rPr>
          <w:rFonts w:asciiTheme="majorHAnsi" w:hAnsiTheme="majorHAnsi"/>
          <w:sz w:val="20"/>
          <w:szCs w:val="20"/>
        </w:rPr>
        <w:t xml:space="preserve"> </w:t>
      </w:r>
      <w:r w:rsidR="00684B5B">
        <w:rPr>
          <w:rFonts w:asciiTheme="majorHAnsi" w:hAnsiTheme="majorHAnsi"/>
          <w:sz w:val="20"/>
          <w:szCs w:val="20"/>
        </w:rPr>
        <w:t xml:space="preserve">were </w:t>
      </w:r>
      <w:r w:rsidRPr="00916756">
        <w:rPr>
          <w:rFonts w:asciiTheme="majorHAnsi" w:hAnsiTheme="majorHAnsi"/>
          <w:sz w:val="20"/>
          <w:szCs w:val="20"/>
        </w:rPr>
        <w:t>a case of force majeure, which</w:t>
      </w:r>
      <w:r w:rsidR="00684B5B">
        <w:rPr>
          <w:rFonts w:asciiTheme="majorHAnsi" w:hAnsiTheme="majorHAnsi"/>
          <w:sz w:val="20"/>
          <w:szCs w:val="20"/>
        </w:rPr>
        <w:t xml:space="preserve"> kept</w:t>
      </w:r>
      <w:r w:rsidRPr="00916756">
        <w:rPr>
          <w:rFonts w:asciiTheme="majorHAnsi" w:hAnsiTheme="majorHAnsi"/>
          <w:sz w:val="20"/>
          <w:szCs w:val="20"/>
        </w:rPr>
        <w:t xml:space="preserve"> the officers from preventing the unfortunate events. Therefore, it denied the plaintiffs</w:t>
      </w:r>
      <w:r w:rsidR="0065562B">
        <w:rPr>
          <w:rFonts w:asciiTheme="majorHAnsi" w:hAnsiTheme="majorHAnsi"/>
          <w:sz w:val="20"/>
          <w:szCs w:val="20"/>
        </w:rPr>
        <w:t>’</w:t>
      </w:r>
      <w:r w:rsidRPr="00916756">
        <w:rPr>
          <w:rFonts w:asciiTheme="majorHAnsi" w:hAnsiTheme="majorHAnsi"/>
          <w:sz w:val="20"/>
          <w:szCs w:val="20"/>
        </w:rPr>
        <w:t xml:space="preserve"> claims</w:t>
      </w:r>
      <w:r w:rsidR="00760EA9" w:rsidRPr="00B17F6A">
        <w:rPr>
          <w:rFonts w:asciiTheme="majorHAnsi" w:hAnsiTheme="majorHAnsi"/>
          <w:sz w:val="20"/>
          <w:szCs w:val="20"/>
        </w:rPr>
        <w:t>.</w:t>
      </w:r>
    </w:p>
    <w:p w14:paraId="6D81AEFA" w14:textId="4183E597" w:rsidR="000665DD" w:rsidRPr="00B17F6A" w:rsidRDefault="004F314E" w:rsidP="00295BD2">
      <w:pPr>
        <w:pStyle w:val="ListParagraph"/>
        <w:widowControl w:val="0"/>
        <w:autoSpaceDE w:val="0"/>
        <w:autoSpaceDN w:val="0"/>
        <w:spacing w:after="240"/>
        <w:jc w:val="both"/>
        <w:rPr>
          <w:rFonts w:asciiTheme="majorHAnsi" w:hAnsiTheme="majorHAnsi"/>
          <w:i/>
          <w:iCs/>
          <w:sz w:val="20"/>
          <w:szCs w:val="20"/>
        </w:rPr>
      </w:pPr>
      <w:r>
        <w:rPr>
          <w:rFonts w:asciiTheme="majorHAnsi" w:hAnsiTheme="majorHAnsi"/>
          <w:i/>
          <w:iCs/>
          <w:sz w:val="20"/>
          <w:szCs w:val="20"/>
        </w:rPr>
        <w:t>Conclusions of the State</w:t>
      </w:r>
    </w:p>
    <w:p w14:paraId="02B8F348" w14:textId="02D09A13" w:rsidR="00760EA9" w:rsidRPr="00B17F6A" w:rsidRDefault="00A25F79" w:rsidP="00295BD2">
      <w:pPr>
        <w:pStyle w:val="ListParagraph"/>
        <w:widowControl w:val="0"/>
        <w:numPr>
          <w:ilvl w:val="0"/>
          <w:numId w:val="59"/>
        </w:numPr>
        <w:autoSpaceDE w:val="0"/>
        <w:autoSpaceDN w:val="0"/>
        <w:spacing w:after="240"/>
        <w:ind w:left="0" w:firstLine="720"/>
        <w:jc w:val="both"/>
        <w:rPr>
          <w:rFonts w:asciiTheme="majorHAnsi" w:hAnsiTheme="majorHAnsi"/>
          <w:sz w:val="20"/>
          <w:szCs w:val="20"/>
        </w:rPr>
      </w:pPr>
      <w:r w:rsidRPr="00A25F79">
        <w:rPr>
          <w:rFonts w:asciiTheme="majorHAnsi" w:hAnsiTheme="majorHAnsi"/>
          <w:sz w:val="20"/>
          <w:szCs w:val="20"/>
        </w:rPr>
        <w:t xml:space="preserve">The State argues that the petition is inadmissible </w:t>
      </w:r>
      <w:r>
        <w:rPr>
          <w:rFonts w:asciiTheme="majorHAnsi" w:hAnsiTheme="majorHAnsi"/>
          <w:sz w:val="20"/>
          <w:szCs w:val="20"/>
        </w:rPr>
        <w:t>due to the</w:t>
      </w:r>
      <w:r w:rsidRPr="00A25F79">
        <w:rPr>
          <w:rFonts w:asciiTheme="majorHAnsi" w:hAnsiTheme="majorHAnsi"/>
          <w:sz w:val="20"/>
          <w:szCs w:val="20"/>
        </w:rPr>
        <w:t xml:space="preserve"> failure to exhaust domestic remedies </w:t>
      </w:r>
      <w:r w:rsidR="003F298A">
        <w:rPr>
          <w:rFonts w:asciiTheme="majorHAnsi" w:hAnsiTheme="majorHAnsi"/>
          <w:sz w:val="20"/>
          <w:szCs w:val="20"/>
        </w:rPr>
        <w:t>in</w:t>
      </w:r>
      <w:r w:rsidR="00C47317">
        <w:rPr>
          <w:rFonts w:asciiTheme="majorHAnsi" w:hAnsiTheme="majorHAnsi"/>
          <w:sz w:val="20"/>
          <w:szCs w:val="20"/>
        </w:rPr>
        <w:t xml:space="preserve"> connection with</w:t>
      </w:r>
      <w:r w:rsidRPr="00A25F79">
        <w:rPr>
          <w:rFonts w:asciiTheme="majorHAnsi" w:hAnsiTheme="majorHAnsi"/>
          <w:sz w:val="20"/>
          <w:szCs w:val="20"/>
        </w:rPr>
        <w:t xml:space="preserve"> the ongoing criminal investigation, since the proceeding is at the preliminary investigation stage. </w:t>
      </w:r>
      <w:r>
        <w:rPr>
          <w:rFonts w:asciiTheme="majorHAnsi" w:hAnsiTheme="majorHAnsi"/>
          <w:sz w:val="20"/>
          <w:szCs w:val="20"/>
        </w:rPr>
        <w:t>It further contends</w:t>
      </w:r>
      <w:r w:rsidRPr="00A25F79">
        <w:rPr>
          <w:rFonts w:asciiTheme="majorHAnsi" w:hAnsiTheme="majorHAnsi"/>
          <w:sz w:val="20"/>
          <w:szCs w:val="20"/>
        </w:rPr>
        <w:t xml:space="preserve"> that the alleged victim</w:t>
      </w:r>
      <w:r w:rsidR="0065562B">
        <w:rPr>
          <w:rFonts w:asciiTheme="majorHAnsi" w:hAnsiTheme="majorHAnsi"/>
          <w:sz w:val="20"/>
          <w:szCs w:val="20"/>
        </w:rPr>
        <w:t>’</w:t>
      </w:r>
      <w:r>
        <w:rPr>
          <w:rFonts w:asciiTheme="majorHAnsi" w:hAnsiTheme="majorHAnsi"/>
          <w:sz w:val="20"/>
          <w:szCs w:val="20"/>
        </w:rPr>
        <w:t>s relatives</w:t>
      </w:r>
      <w:r w:rsidRPr="00A25F79">
        <w:rPr>
          <w:rFonts w:asciiTheme="majorHAnsi" w:hAnsiTheme="majorHAnsi"/>
          <w:sz w:val="20"/>
          <w:szCs w:val="20"/>
        </w:rPr>
        <w:t xml:space="preserve"> had the opportunity to </w:t>
      </w:r>
      <w:r>
        <w:rPr>
          <w:rFonts w:asciiTheme="majorHAnsi" w:hAnsiTheme="majorHAnsi"/>
          <w:sz w:val="20"/>
          <w:szCs w:val="20"/>
        </w:rPr>
        <w:t xml:space="preserve">join </w:t>
      </w:r>
      <w:r w:rsidRPr="00A25F79">
        <w:rPr>
          <w:rFonts w:asciiTheme="majorHAnsi" w:hAnsiTheme="majorHAnsi"/>
          <w:sz w:val="20"/>
          <w:szCs w:val="20"/>
        </w:rPr>
        <w:t xml:space="preserve">the criminal </w:t>
      </w:r>
      <w:r w:rsidR="00A45F3F">
        <w:rPr>
          <w:rFonts w:asciiTheme="majorHAnsi" w:hAnsiTheme="majorHAnsi"/>
          <w:sz w:val="20"/>
          <w:szCs w:val="20"/>
        </w:rPr>
        <w:t>case</w:t>
      </w:r>
      <w:r w:rsidRPr="00A25F79">
        <w:rPr>
          <w:rFonts w:asciiTheme="majorHAnsi" w:hAnsiTheme="majorHAnsi"/>
          <w:sz w:val="20"/>
          <w:szCs w:val="20"/>
        </w:rPr>
        <w:t xml:space="preserve"> </w:t>
      </w:r>
      <w:r>
        <w:rPr>
          <w:rFonts w:asciiTheme="majorHAnsi" w:hAnsiTheme="majorHAnsi"/>
          <w:sz w:val="20"/>
          <w:szCs w:val="20"/>
        </w:rPr>
        <w:t xml:space="preserve">as a civil party </w:t>
      </w:r>
      <w:r w:rsidRPr="00A25F79">
        <w:rPr>
          <w:rFonts w:asciiTheme="majorHAnsi" w:hAnsiTheme="majorHAnsi"/>
          <w:sz w:val="20"/>
          <w:szCs w:val="20"/>
        </w:rPr>
        <w:t xml:space="preserve">to </w:t>
      </w:r>
      <w:r>
        <w:rPr>
          <w:rFonts w:asciiTheme="majorHAnsi" w:hAnsiTheme="majorHAnsi"/>
          <w:sz w:val="20"/>
          <w:szCs w:val="20"/>
        </w:rPr>
        <w:t xml:space="preserve">help </w:t>
      </w:r>
      <w:r w:rsidR="00A45F3F">
        <w:rPr>
          <w:rFonts w:asciiTheme="majorHAnsi" w:hAnsiTheme="majorHAnsi"/>
          <w:sz w:val="20"/>
          <w:szCs w:val="20"/>
        </w:rPr>
        <w:t>advance the proceedings</w:t>
      </w:r>
      <w:r w:rsidRPr="00A25F79">
        <w:rPr>
          <w:rFonts w:asciiTheme="majorHAnsi" w:hAnsiTheme="majorHAnsi"/>
          <w:sz w:val="20"/>
          <w:szCs w:val="20"/>
        </w:rPr>
        <w:t>, but did not do so</w:t>
      </w:r>
      <w:r w:rsidR="00760EA9" w:rsidRPr="00B17F6A">
        <w:rPr>
          <w:rFonts w:asciiTheme="majorHAnsi" w:hAnsiTheme="majorHAnsi"/>
          <w:sz w:val="20"/>
          <w:szCs w:val="20"/>
        </w:rPr>
        <w:t>.</w:t>
      </w:r>
    </w:p>
    <w:p w14:paraId="0C59B068" w14:textId="528D9161" w:rsidR="00760EA9" w:rsidRPr="00B17F6A" w:rsidRDefault="0012135C" w:rsidP="00295BD2">
      <w:pPr>
        <w:pStyle w:val="ListParagraph"/>
        <w:widowControl w:val="0"/>
        <w:numPr>
          <w:ilvl w:val="0"/>
          <w:numId w:val="59"/>
        </w:numPr>
        <w:autoSpaceDE w:val="0"/>
        <w:autoSpaceDN w:val="0"/>
        <w:spacing w:after="240"/>
        <w:ind w:left="0" w:firstLine="720"/>
        <w:jc w:val="both"/>
        <w:rPr>
          <w:rFonts w:asciiTheme="majorHAnsi" w:hAnsiTheme="majorHAnsi"/>
          <w:sz w:val="20"/>
          <w:szCs w:val="20"/>
        </w:rPr>
      </w:pPr>
      <w:r w:rsidRPr="0012135C">
        <w:rPr>
          <w:rFonts w:asciiTheme="majorHAnsi" w:hAnsiTheme="majorHAnsi"/>
          <w:sz w:val="20"/>
          <w:szCs w:val="20"/>
        </w:rPr>
        <w:lastRenderedPageBreak/>
        <w:t>The State also argues that the petition is inadmissible because the petitioner seeks to have the IACHR substitute the assessments made in the direct reparation</w:t>
      </w:r>
      <w:r>
        <w:rPr>
          <w:rFonts w:asciiTheme="majorHAnsi" w:hAnsiTheme="majorHAnsi"/>
          <w:sz w:val="20"/>
          <w:szCs w:val="20"/>
        </w:rPr>
        <w:t xml:space="preserve"> action</w:t>
      </w:r>
      <w:r w:rsidRPr="0012135C">
        <w:rPr>
          <w:rFonts w:asciiTheme="majorHAnsi" w:hAnsiTheme="majorHAnsi"/>
          <w:sz w:val="20"/>
          <w:szCs w:val="20"/>
        </w:rPr>
        <w:t xml:space="preserve"> and in the disciplinary investigation. </w:t>
      </w:r>
      <w:r>
        <w:rPr>
          <w:rFonts w:asciiTheme="majorHAnsi" w:hAnsiTheme="majorHAnsi"/>
          <w:sz w:val="20"/>
          <w:szCs w:val="20"/>
        </w:rPr>
        <w:t>T</w:t>
      </w:r>
      <w:r w:rsidRPr="0012135C">
        <w:rPr>
          <w:rFonts w:asciiTheme="majorHAnsi" w:hAnsiTheme="majorHAnsi"/>
          <w:sz w:val="20"/>
          <w:szCs w:val="20"/>
        </w:rPr>
        <w:t>he State</w:t>
      </w:r>
      <w:r>
        <w:rPr>
          <w:rFonts w:asciiTheme="majorHAnsi" w:hAnsiTheme="majorHAnsi"/>
          <w:sz w:val="20"/>
          <w:szCs w:val="20"/>
        </w:rPr>
        <w:t xml:space="preserve"> underscores that</w:t>
      </w:r>
      <w:r w:rsidRPr="0012135C">
        <w:rPr>
          <w:rFonts w:asciiTheme="majorHAnsi" w:hAnsiTheme="majorHAnsi"/>
          <w:sz w:val="20"/>
          <w:szCs w:val="20"/>
        </w:rPr>
        <w:t xml:space="preserve"> the direct reparation </w:t>
      </w:r>
      <w:r>
        <w:rPr>
          <w:rFonts w:asciiTheme="majorHAnsi" w:hAnsiTheme="majorHAnsi"/>
          <w:sz w:val="20"/>
          <w:szCs w:val="20"/>
        </w:rPr>
        <w:t>action</w:t>
      </w:r>
      <w:r w:rsidRPr="0012135C">
        <w:rPr>
          <w:rFonts w:asciiTheme="majorHAnsi" w:hAnsiTheme="majorHAnsi"/>
          <w:sz w:val="20"/>
          <w:szCs w:val="20"/>
        </w:rPr>
        <w:t xml:space="preserve"> is the appropriate and effective remedy for pecuniary claims when the State, in the </w:t>
      </w:r>
      <w:r w:rsidR="00F13E00">
        <w:rPr>
          <w:rFonts w:asciiTheme="majorHAnsi" w:hAnsiTheme="majorHAnsi"/>
          <w:sz w:val="20"/>
          <w:szCs w:val="20"/>
        </w:rPr>
        <w:t>performance of its duties</w:t>
      </w:r>
      <w:r w:rsidRPr="0012135C">
        <w:rPr>
          <w:rFonts w:asciiTheme="majorHAnsi" w:hAnsiTheme="majorHAnsi"/>
          <w:sz w:val="20"/>
          <w:szCs w:val="20"/>
        </w:rPr>
        <w:t>, causes an unlawful injury to a person</w:t>
      </w:r>
      <w:r w:rsidR="00F13E00">
        <w:rPr>
          <w:rFonts w:asciiTheme="majorHAnsi" w:hAnsiTheme="majorHAnsi"/>
          <w:sz w:val="20"/>
          <w:szCs w:val="20"/>
        </w:rPr>
        <w:t>.</w:t>
      </w:r>
    </w:p>
    <w:bookmarkEnd w:id="0"/>
    <w:p w14:paraId="6B466593" w14:textId="59ED77DF" w:rsidR="00B83158" w:rsidRPr="00B17F6A" w:rsidRDefault="00B83158" w:rsidP="00295BD2">
      <w:pPr>
        <w:spacing w:after="240"/>
        <w:ind w:firstLine="720"/>
        <w:jc w:val="both"/>
        <w:rPr>
          <w:rFonts w:asciiTheme="majorHAnsi" w:hAnsiTheme="majorHAnsi"/>
          <w:sz w:val="20"/>
          <w:szCs w:val="20"/>
        </w:rPr>
      </w:pPr>
      <w:r w:rsidRPr="00B17F6A">
        <w:rPr>
          <w:rFonts w:asciiTheme="majorHAnsi" w:hAnsiTheme="majorHAnsi"/>
          <w:b/>
          <w:sz w:val="20"/>
          <w:szCs w:val="20"/>
        </w:rPr>
        <w:t xml:space="preserve">VI. </w:t>
      </w:r>
      <w:r w:rsidRPr="00B17F6A">
        <w:rPr>
          <w:rFonts w:asciiTheme="majorHAnsi" w:hAnsiTheme="majorHAnsi"/>
          <w:b/>
          <w:sz w:val="20"/>
          <w:szCs w:val="20"/>
        </w:rPr>
        <w:tab/>
      </w:r>
      <w:r w:rsidRPr="00B17F6A">
        <w:rPr>
          <w:rFonts w:asciiTheme="majorHAnsi" w:hAnsiTheme="majorHAnsi"/>
          <w:b/>
          <w:bCs/>
          <w:sz w:val="20"/>
          <w:szCs w:val="20"/>
        </w:rPr>
        <w:t>A</w:t>
      </w:r>
      <w:r w:rsidR="004F314E" w:rsidRPr="004F314E">
        <w:rPr>
          <w:rFonts w:asciiTheme="majorHAnsi" w:hAnsiTheme="majorHAnsi"/>
          <w:b/>
          <w:sz w:val="20"/>
          <w:szCs w:val="20"/>
        </w:rPr>
        <w:t xml:space="preserve">NALYSIS OF EXHAUSTION OF DOMESTIC REMEDIES AND TIMELINESS OF THE PETITION </w:t>
      </w:r>
    </w:p>
    <w:p w14:paraId="0B0A88BA" w14:textId="74A0CA49" w:rsidR="00113F65" w:rsidRPr="00B17F6A" w:rsidRDefault="007B0E28" w:rsidP="00295BD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rPr>
      </w:pPr>
      <w:r w:rsidRPr="007B0E28">
        <w:rPr>
          <w:rFonts w:asciiTheme="majorHAnsi" w:hAnsiTheme="majorHAnsi"/>
          <w:sz w:val="20"/>
          <w:szCs w:val="20"/>
        </w:rPr>
        <w:t xml:space="preserve">The petition </w:t>
      </w:r>
      <w:r>
        <w:rPr>
          <w:rFonts w:asciiTheme="majorHAnsi" w:hAnsiTheme="majorHAnsi"/>
          <w:sz w:val="20"/>
          <w:szCs w:val="20"/>
        </w:rPr>
        <w:t>arises from</w:t>
      </w:r>
      <w:r w:rsidRPr="007B0E28">
        <w:rPr>
          <w:rFonts w:asciiTheme="majorHAnsi" w:hAnsiTheme="majorHAnsi"/>
          <w:sz w:val="20"/>
          <w:szCs w:val="20"/>
        </w:rPr>
        <w:t xml:space="preserve"> the violent death of Nicanor Morales Rodríguez </w:t>
      </w:r>
      <w:r w:rsidRPr="00CB7AF1">
        <w:rPr>
          <w:rFonts w:asciiTheme="majorHAnsi" w:hAnsiTheme="majorHAnsi"/>
          <w:sz w:val="20"/>
          <w:szCs w:val="20"/>
        </w:rPr>
        <w:t>while in police custody; the impunity and lack of reparations</w:t>
      </w:r>
      <w:r>
        <w:rPr>
          <w:rFonts w:asciiTheme="majorHAnsi" w:hAnsiTheme="majorHAnsi"/>
          <w:sz w:val="20"/>
          <w:szCs w:val="20"/>
        </w:rPr>
        <w:t xml:space="preserve"> for this act</w:t>
      </w:r>
      <w:r w:rsidRPr="00CB7AF1">
        <w:rPr>
          <w:rFonts w:asciiTheme="majorHAnsi" w:hAnsiTheme="majorHAnsi"/>
          <w:sz w:val="20"/>
          <w:szCs w:val="20"/>
        </w:rPr>
        <w:t xml:space="preserve">; and the </w:t>
      </w:r>
      <w:r>
        <w:rPr>
          <w:rFonts w:asciiTheme="majorHAnsi" w:hAnsiTheme="majorHAnsi"/>
          <w:sz w:val="20"/>
          <w:szCs w:val="20"/>
        </w:rPr>
        <w:t>pain and</w:t>
      </w:r>
      <w:r w:rsidRPr="00CB7AF1">
        <w:rPr>
          <w:rFonts w:asciiTheme="majorHAnsi" w:hAnsiTheme="majorHAnsi"/>
          <w:sz w:val="20"/>
          <w:szCs w:val="20"/>
        </w:rPr>
        <w:t xml:space="preserve"> </w:t>
      </w:r>
      <w:r w:rsidRPr="007809D7">
        <w:rPr>
          <w:rFonts w:asciiTheme="majorHAnsi" w:hAnsiTheme="majorHAnsi"/>
          <w:sz w:val="20"/>
          <w:szCs w:val="20"/>
        </w:rPr>
        <w:t>suffering of his next of kin</w:t>
      </w:r>
      <w:r>
        <w:rPr>
          <w:rFonts w:asciiTheme="majorHAnsi" w:hAnsiTheme="majorHAnsi"/>
          <w:sz w:val="20"/>
          <w:szCs w:val="20"/>
        </w:rPr>
        <w:t>.</w:t>
      </w:r>
    </w:p>
    <w:p w14:paraId="325C6C35" w14:textId="4EFC5E26" w:rsidR="00CB735E" w:rsidRPr="009311FE" w:rsidRDefault="00E8085D" w:rsidP="00CB735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rPr>
      </w:pPr>
      <w:r>
        <w:rPr>
          <w:rFonts w:asciiTheme="majorHAnsi" w:hAnsiTheme="majorHAnsi"/>
          <w:sz w:val="20"/>
          <w:szCs w:val="20"/>
        </w:rPr>
        <w:t>To analyze</w:t>
      </w:r>
      <w:r w:rsidR="00CB735E" w:rsidRPr="009311FE">
        <w:rPr>
          <w:rFonts w:asciiTheme="majorHAnsi" w:hAnsiTheme="majorHAnsi"/>
          <w:sz w:val="20"/>
          <w:szCs w:val="20"/>
        </w:rPr>
        <w:t xml:space="preserve"> the exhaustion of domestic remedies</w:t>
      </w:r>
      <w:r w:rsidR="003E63EE">
        <w:rPr>
          <w:rFonts w:asciiTheme="majorHAnsi" w:hAnsiTheme="majorHAnsi"/>
          <w:sz w:val="20"/>
          <w:szCs w:val="20"/>
        </w:rPr>
        <w:t xml:space="preserve"> in </w:t>
      </w:r>
      <w:r w:rsidR="000D0E16">
        <w:rPr>
          <w:rFonts w:asciiTheme="majorHAnsi" w:hAnsiTheme="majorHAnsi"/>
          <w:sz w:val="20"/>
          <w:szCs w:val="20"/>
        </w:rPr>
        <w:t>this matter</w:t>
      </w:r>
      <w:r w:rsidR="00CB735E" w:rsidRPr="009311FE">
        <w:rPr>
          <w:rFonts w:asciiTheme="majorHAnsi" w:hAnsiTheme="majorHAnsi"/>
          <w:sz w:val="20"/>
          <w:szCs w:val="20"/>
        </w:rPr>
        <w:t xml:space="preserve">, the IACHR recalls that in cases </w:t>
      </w:r>
      <w:r w:rsidR="00351724">
        <w:rPr>
          <w:rFonts w:asciiTheme="majorHAnsi" w:hAnsiTheme="majorHAnsi"/>
          <w:sz w:val="20"/>
          <w:szCs w:val="20"/>
        </w:rPr>
        <w:t>alleging</w:t>
      </w:r>
      <w:r w:rsidR="00CB735E" w:rsidRPr="009311FE">
        <w:rPr>
          <w:rFonts w:asciiTheme="majorHAnsi" w:hAnsiTheme="majorHAnsi"/>
          <w:sz w:val="20"/>
          <w:szCs w:val="20"/>
        </w:rPr>
        <w:t xml:space="preserve"> death and </w:t>
      </w:r>
      <w:r w:rsidR="00351724">
        <w:rPr>
          <w:rFonts w:asciiTheme="majorHAnsi" w:hAnsiTheme="majorHAnsi"/>
          <w:sz w:val="20"/>
          <w:szCs w:val="20"/>
        </w:rPr>
        <w:t>subsequent</w:t>
      </w:r>
      <w:r w:rsidR="00CB735E" w:rsidRPr="009311FE">
        <w:rPr>
          <w:rFonts w:asciiTheme="majorHAnsi" w:hAnsiTheme="majorHAnsi"/>
          <w:sz w:val="20"/>
          <w:szCs w:val="20"/>
        </w:rPr>
        <w:t xml:space="preserve"> impunity, </w:t>
      </w:r>
      <w:r w:rsidR="00351724" w:rsidRPr="00351724">
        <w:rPr>
          <w:rFonts w:asciiTheme="majorHAnsi" w:hAnsiTheme="majorHAnsi"/>
          <w:sz w:val="20"/>
          <w:szCs w:val="20"/>
        </w:rPr>
        <w:t>the appropriate remedy to be exhausted at the domestic level is criminal proceedings, through diligent and proactive investigations to identify those responsible for the violation and to prosecute and punish them in accordance with the American Convention</w:t>
      </w:r>
      <w:r w:rsidR="00CB735E">
        <w:rPr>
          <w:rFonts w:asciiTheme="majorHAnsi" w:hAnsiTheme="majorHAnsi"/>
          <w:sz w:val="20"/>
          <w:szCs w:val="20"/>
        </w:rPr>
        <w:t>;</w:t>
      </w:r>
      <w:r w:rsidR="00CB735E" w:rsidRPr="009311FE">
        <w:rPr>
          <w:rFonts w:asciiTheme="majorHAnsi" w:hAnsiTheme="majorHAnsi"/>
          <w:bCs/>
          <w:sz w:val="20"/>
          <w:szCs w:val="20"/>
          <w:vertAlign w:val="superscript"/>
        </w:rPr>
        <w:footnoteReference w:id="6"/>
      </w:r>
      <w:r w:rsidR="00CB735E" w:rsidRPr="009311FE">
        <w:rPr>
          <w:rFonts w:asciiTheme="majorHAnsi" w:hAnsiTheme="majorHAnsi"/>
          <w:sz w:val="20"/>
          <w:szCs w:val="20"/>
        </w:rPr>
        <w:t xml:space="preserve">  </w:t>
      </w:r>
      <w:r w:rsidR="00A242DA" w:rsidRPr="00A242DA">
        <w:rPr>
          <w:rFonts w:asciiTheme="majorHAnsi" w:hAnsiTheme="majorHAnsi"/>
          <w:sz w:val="20"/>
          <w:szCs w:val="20"/>
        </w:rPr>
        <w:t>this burden must be assumed by the State as its own legal duty, and not as the management of private interests or a process that relies on private initiative or on the furnishing of evidence by private individuals</w:t>
      </w:r>
      <w:r w:rsidR="00CB735E">
        <w:rPr>
          <w:rFonts w:asciiTheme="majorHAnsi" w:hAnsiTheme="majorHAnsi"/>
          <w:sz w:val="20"/>
          <w:szCs w:val="20"/>
        </w:rPr>
        <w:t>.</w:t>
      </w:r>
      <w:r w:rsidR="00CB735E" w:rsidRPr="005C2533">
        <w:rPr>
          <w:rFonts w:asciiTheme="majorHAnsi" w:hAnsiTheme="majorHAnsi"/>
          <w:bCs/>
          <w:sz w:val="20"/>
          <w:szCs w:val="20"/>
          <w:vertAlign w:val="superscript"/>
        </w:rPr>
        <w:t xml:space="preserve"> </w:t>
      </w:r>
      <w:r w:rsidR="00CB735E" w:rsidRPr="009311FE">
        <w:rPr>
          <w:rFonts w:asciiTheme="majorHAnsi" w:hAnsiTheme="majorHAnsi"/>
          <w:bCs/>
          <w:sz w:val="20"/>
          <w:szCs w:val="20"/>
          <w:vertAlign w:val="superscript"/>
        </w:rPr>
        <w:footnoteReference w:id="7"/>
      </w:r>
    </w:p>
    <w:p w14:paraId="29D7D1CA" w14:textId="609BC675" w:rsidR="00E2668E" w:rsidRPr="00B17F6A" w:rsidRDefault="00DF5E89" w:rsidP="00295BD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rPr>
      </w:pPr>
      <w:r w:rsidRPr="00DF5E89">
        <w:rPr>
          <w:rFonts w:asciiTheme="majorHAnsi" w:hAnsiTheme="majorHAnsi"/>
          <w:sz w:val="20"/>
          <w:szCs w:val="20"/>
        </w:rPr>
        <w:t xml:space="preserve">In </w:t>
      </w:r>
      <w:r>
        <w:rPr>
          <w:rFonts w:asciiTheme="majorHAnsi" w:hAnsiTheme="majorHAnsi"/>
          <w:sz w:val="20"/>
          <w:szCs w:val="20"/>
        </w:rPr>
        <w:t>this</w:t>
      </w:r>
      <w:r w:rsidRPr="00DF5E89">
        <w:rPr>
          <w:rFonts w:asciiTheme="majorHAnsi" w:hAnsiTheme="majorHAnsi"/>
          <w:sz w:val="20"/>
          <w:szCs w:val="20"/>
        </w:rPr>
        <w:t xml:space="preserve"> case, the alleged victim was lynched </w:t>
      </w:r>
      <w:r w:rsidR="005A4AAC" w:rsidRPr="00DF5E89">
        <w:rPr>
          <w:rFonts w:asciiTheme="majorHAnsi" w:hAnsiTheme="majorHAnsi"/>
          <w:sz w:val="20"/>
          <w:szCs w:val="20"/>
        </w:rPr>
        <w:t xml:space="preserve">on December 1, 2006, </w:t>
      </w:r>
      <w:r w:rsidRPr="00DF5E89">
        <w:rPr>
          <w:rFonts w:asciiTheme="majorHAnsi" w:hAnsiTheme="majorHAnsi"/>
          <w:sz w:val="20"/>
          <w:szCs w:val="20"/>
        </w:rPr>
        <w:t>while in police custody. On December 5, 2006, the 43rd Sectional Prosecutor</w:t>
      </w:r>
      <w:r w:rsidR="0065562B">
        <w:rPr>
          <w:rFonts w:asciiTheme="majorHAnsi" w:hAnsiTheme="majorHAnsi"/>
          <w:sz w:val="20"/>
          <w:szCs w:val="20"/>
        </w:rPr>
        <w:t>’</w:t>
      </w:r>
      <w:r w:rsidRPr="00DF5E89">
        <w:rPr>
          <w:rFonts w:asciiTheme="majorHAnsi" w:hAnsiTheme="majorHAnsi"/>
          <w:sz w:val="20"/>
          <w:szCs w:val="20"/>
        </w:rPr>
        <w:t>s Office of Carmen de Bol</w:t>
      </w:r>
      <w:r>
        <w:rPr>
          <w:rFonts w:asciiTheme="majorHAnsi" w:hAnsiTheme="majorHAnsi"/>
          <w:sz w:val="20"/>
          <w:szCs w:val="20"/>
        </w:rPr>
        <w:t>í</w:t>
      </w:r>
      <w:r w:rsidRPr="00DF5E89">
        <w:rPr>
          <w:rFonts w:asciiTheme="majorHAnsi" w:hAnsiTheme="majorHAnsi"/>
          <w:sz w:val="20"/>
          <w:szCs w:val="20"/>
        </w:rPr>
        <w:t xml:space="preserve">var opened </w:t>
      </w:r>
      <w:r>
        <w:rPr>
          <w:rFonts w:asciiTheme="majorHAnsi" w:hAnsiTheme="majorHAnsi"/>
          <w:sz w:val="20"/>
          <w:szCs w:val="20"/>
        </w:rPr>
        <w:t>a</w:t>
      </w:r>
      <w:r w:rsidRPr="00DF5E89">
        <w:rPr>
          <w:rFonts w:asciiTheme="majorHAnsi" w:hAnsiTheme="majorHAnsi"/>
          <w:sz w:val="20"/>
          <w:szCs w:val="20"/>
        </w:rPr>
        <w:t xml:space="preserve"> criminal investigation. However, the </w:t>
      </w:r>
      <w:r>
        <w:rPr>
          <w:rFonts w:asciiTheme="majorHAnsi" w:hAnsiTheme="majorHAnsi"/>
          <w:sz w:val="20"/>
          <w:szCs w:val="20"/>
        </w:rPr>
        <w:t>case</w:t>
      </w:r>
      <w:r w:rsidRPr="00DF5E89">
        <w:rPr>
          <w:rFonts w:asciiTheme="majorHAnsi" w:hAnsiTheme="majorHAnsi"/>
          <w:sz w:val="20"/>
          <w:szCs w:val="20"/>
        </w:rPr>
        <w:t xml:space="preserve"> has not concluded and remains in the investigation stage more than seventeen years after the events. The limited results of the criminal investigation lead the Inter-American Commission to conclude that there </w:t>
      </w:r>
      <w:r w:rsidR="005869AA">
        <w:rPr>
          <w:rFonts w:asciiTheme="majorHAnsi" w:hAnsiTheme="majorHAnsi"/>
          <w:sz w:val="20"/>
          <w:szCs w:val="20"/>
        </w:rPr>
        <w:t>has been</w:t>
      </w:r>
      <w:r w:rsidRPr="00DF5E89">
        <w:rPr>
          <w:rFonts w:asciiTheme="majorHAnsi" w:hAnsiTheme="majorHAnsi"/>
          <w:sz w:val="20"/>
          <w:szCs w:val="20"/>
        </w:rPr>
        <w:t xml:space="preserve"> an unwarranted delay in the </w:t>
      </w:r>
      <w:r>
        <w:rPr>
          <w:rFonts w:asciiTheme="majorHAnsi" w:hAnsiTheme="majorHAnsi"/>
          <w:sz w:val="20"/>
          <w:szCs w:val="20"/>
        </w:rPr>
        <w:t>rendering</w:t>
      </w:r>
      <w:r w:rsidRPr="00DF5E89">
        <w:rPr>
          <w:rFonts w:asciiTheme="majorHAnsi" w:hAnsiTheme="majorHAnsi"/>
          <w:sz w:val="20"/>
          <w:szCs w:val="20"/>
        </w:rPr>
        <w:t xml:space="preserve"> of a final decision at the domestic level, and therefore the exception provided for in Article 46</w:t>
      </w:r>
      <w:r>
        <w:rPr>
          <w:rFonts w:asciiTheme="majorHAnsi" w:hAnsiTheme="majorHAnsi"/>
          <w:sz w:val="20"/>
          <w:szCs w:val="20"/>
        </w:rPr>
        <w:t>.</w:t>
      </w:r>
      <w:r w:rsidRPr="00DF5E89">
        <w:rPr>
          <w:rFonts w:asciiTheme="majorHAnsi" w:hAnsiTheme="majorHAnsi"/>
          <w:sz w:val="20"/>
          <w:szCs w:val="20"/>
        </w:rPr>
        <w:t>2(c) of the American Convention is applicable</w:t>
      </w:r>
      <w:r w:rsidR="00BF0E97" w:rsidRPr="00B17F6A">
        <w:rPr>
          <w:rFonts w:asciiTheme="majorHAnsi" w:hAnsiTheme="majorHAnsi"/>
          <w:sz w:val="20"/>
          <w:szCs w:val="20"/>
        </w:rPr>
        <w:t>.</w:t>
      </w:r>
      <w:r w:rsidR="005869AA">
        <w:rPr>
          <w:rFonts w:asciiTheme="majorHAnsi" w:hAnsiTheme="majorHAnsi"/>
          <w:sz w:val="20"/>
          <w:szCs w:val="20"/>
        </w:rPr>
        <w:t xml:space="preserve"> </w:t>
      </w:r>
    </w:p>
    <w:p w14:paraId="443B83E6" w14:textId="6BD95CFA" w:rsidR="00BF0E97" w:rsidRPr="00B17F6A" w:rsidRDefault="00482CD0" w:rsidP="00295BD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rPr>
      </w:pPr>
      <w:bookmarkStart w:id="1" w:name="_Hlk118123845"/>
      <w:bookmarkStart w:id="2" w:name="_Hlk118122280"/>
      <w:r>
        <w:rPr>
          <w:rFonts w:asciiTheme="majorHAnsi" w:hAnsiTheme="majorHAnsi"/>
          <w:sz w:val="20"/>
          <w:szCs w:val="20"/>
        </w:rPr>
        <w:t>The</w:t>
      </w:r>
      <w:r w:rsidRPr="009311FE">
        <w:rPr>
          <w:rFonts w:asciiTheme="majorHAnsi" w:hAnsiTheme="majorHAnsi"/>
          <w:sz w:val="20"/>
          <w:szCs w:val="20"/>
        </w:rPr>
        <w:t xml:space="preserve"> Commission first reiterates, as it has</w:t>
      </w:r>
      <w:r>
        <w:rPr>
          <w:rFonts w:asciiTheme="majorHAnsi" w:hAnsiTheme="majorHAnsi"/>
          <w:sz w:val="20"/>
          <w:szCs w:val="20"/>
        </w:rPr>
        <w:t xml:space="preserve"> done</w:t>
      </w:r>
      <w:r w:rsidRPr="009311FE">
        <w:rPr>
          <w:rFonts w:asciiTheme="majorHAnsi" w:hAnsiTheme="majorHAnsi"/>
          <w:sz w:val="20"/>
          <w:szCs w:val="20"/>
        </w:rPr>
        <w:t xml:space="preserve"> consistently, that Article 46</w:t>
      </w:r>
      <w:r>
        <w:rPr>
          <w:rFonts w:asciiTheme="majorHAnsi" w:hAnsiTheme="majorHAnsi"/>
          <w:sz w:val="20"/>
          <w:szCs w:val="20"/>
        </w:rPr>
        <w:t>.</w:t>
      </w:r>
      <w:r w:rsidRPr="009311FE">
        <w:rPr>
          <w:rFonts w:asciiTheme="majorHAnsi" w:hAnsiTheme="majorHAnsi"/>
          <w:sz w:val="20"/>
          <w:szCs w:val="20"/>
        </w:rPr>
        <w:t>2 of the Convention,</w:t>
      </w:r>
      <w:r w:rsidR="00C90F8C" w:rsidRPr="009311FE">
        <w:rPr>
          <w:rFonts w:asciiTheme="majorHAnsi" w:hAnsiTheme="majorHAnsi"/>
          <w:sz w:val="20"/>
          <w:szCs w:val="20"/>
        </w:rPr>
        <w:t xml:space="preserve"> </w:t>
      </w:r>
      <w:r w:rsidRPr="009311FE">
        <w:rPr>
          <w:rFonts w:asciiTheme="majorHAnsi" w:hAnsiTheme="majorHAnsi"/>
          <w:sz w:val="20"/>
          <w:szCs w:val="20"/>
        </w:rPr>
        <w:t xml:space="preserve">by its nature and purpose, is a norm with autonomous content vis-à-vis the substantive norms of the American Convention. Therefore, the determination of whether the exceptions to the rule of exhaustion of domestic remedies are applicable to the case in question must be </w:t>
      </w:r>
      <w:r w:rsidR="003D5DFE">
        <w:rPr>
          <w:rFonts w:asciiTheme="majorHAnsi" w:hAnsiTheme="majorHAnsi"/>
          <w:sz w:val="20"/>
          <w:szCs w:val="20"/>
        </w:rPr>
        <w:t>made</w:t>
      </w:r>
      <w:r w:rsidRPr="009311FE">
        <w:rPr>
          <w:rFonts w:asciiTheme="majorHAnsi" w:hAnsiTheme="majorHAnsi"/>
          <w:sz w:val="20"/>
          <w:szCs w:val="20"/>
        </w:rPr>
        <w:t xml:space="preserve"> prior to and separately from the analysis of the merits of the case, since it </w:t>
      </w:r>
      <w:r w:rsidR="003D5DFE">
        <w:rPr>
          <w:rFonts w:asciiTheme="majorHAnsi" w:hAnsiTheme="majorHAnsi"/>
          <w:sz w:val="20"/>
          <w:szCs w:val="20"/>
        </w:rPr>
        <w:t>is based</w:t>
      </w:r>
      <w:r w:rsidRPr="009311FE">
        <w:rPr>
          <w:rFonts w:asciiTheme="majorHAnsi" w:hAnsiTheme="majorHAnsi"/>
          <w:sz w:val="20"/>
          <w:szCs w:val="20"/>
        </w:rPr>
        <w:t xml:space="preserve"> on a different standard of a</w:t>
      </w:r>
      <w:r w:rsidR="00AD6374">
        <w:rPr>
          <w:rFonts w:asciiTheme="majorHAnsi" w:hAnsiTheme="majorHAnsi"/>
          <w:sz w:val="20"/>
          <w:szCs w:val="20"/>
        </w:rPr>
        <w:t>ssessment</w:t>
      </w:r>
      <w:r w:rsidRPr="009311FE">
        <w:rPr>
          <w:rFonts w:asciiTheme="majorHAnsi" w:hAnsiTheme="majorHAnsi"/>
          <w:sz w:val="20"/>
          <w:szCs w:val="20"/>
        </w:rPr>
        <w:t xml:space="preserve"> from that used to determine the possible violation of Articles 8 and 25 of the Convention.</w:t>
      </w:r>
      <w:r w:rsidRPr="009311FE">
        <w:rPr>
          <w:rFonts w:asciiTheme="majorHAnsi" w:hAnsiTheme="majorHAnsi"/>
          <w:sz w:val="20"/>
          <w:szCs w:val="20"/>
          <w:vertAlign w:val="superscript"/>
        </w:rPr>
        <w:footnoteReference w:id="8"/>
      </w:r>
      <w:r>
        <w:rPr>
          <w:rFonts w:asciiTheme="majorHAnsi" w:hAnsiTheme="majorHAnsi"/>
          <w:sz w:val="20"/>
          <w:szCs w:val="20"/>
        </w:rPr>
        <w:t xml:space="preserve"> </w:t>
      </w:r>
      <w:r w:rsidRPr="009311FE">
        <w:rPr>
          <w:rFonts w:asciiTheme="majorHAnsi" w:hAnsiTheme="majorHAnsi"/>
          <w:sz w:val="20"/>
          <w:szCs w:val="20"/>
        </w:rPr>
        <w:t xml:space="preserve">The IACHR has also emphasized that there are no </w:t>
      </w:r>
      <w:r w:rsidR="00CA4C7B">
        <w:rPr>
          <w:rFonts w:asciiTheme="majorHAnsi" w:hAnsiTheme="majorHAnsi"/>
          <w:sz w:val="20"/>
          <w:szCs w:val="20"/>
        </w:rPr>
        <w:t>treaty</w:t>
      </w:r>
      <w:r w:rsidRPr="009311FE">
        <w:rPr>
          <w:rFonts w:asciiTheme="majorHAnsi" w:hAnsiTheme="majorHAnsi"/>
          <w:sz w:val="20"/>
          <w:szCs w:val="20"/>
        </w:rPr>
        <w:t xml:space="preserve"> or regulatory provisions </w:t>
      </w:r>
      <w:r w:rsidR="00153C8E">
        <w:rPr>
          <w:rFonts w:asciiTheme="majorHAnsi" w:hAnsiTheme="majorHAnsi"/>
          <w:sz w:val="20"/>
          <w:szCs w:val="20"/>
        </w:rPr>
        <w:t>specifying</w:t>
      </w:r>
      <w:r w:rsidRPr="009311FE">
        <w:rPr>
          <w:rFonts w:asciiTheme="majorHAnsi" w:hAnsiTheme="majorHAnsi"/>
          <w:sz w:val="20"/>
          <w:szCs w:val="20"/>
        </w:rPr>
        <w:t xml:space="preserve"> the period of time that constitutes unwarranted delay, for which reason the Commission evaluates </w:t>
      </w:r>
      <w:r w:rsidR="006236E9">
        <w:rPr>
          <w:rFonts w:asciiTheme="majorHAnsi" w:hAnsiTheme="majorHAnsi"/>
          <w:sz w:val="20"/>
          <w:szCs w:val="20"/>
        </w:rPr>
        <w:t xml:space="preserve">delay on a </w:t>
      </w:r>
      <w:r w:rsidRPr="009311FE">
        <w:rPr>
          <w:rFonts w:asciiTheme="majorHAnsi" w:hAnsiTheme="majorHAnsi"/>
          <w:sz w:val="20"/>
          <w:szCs w:val="20"/>
        </w:rPr>
        <w:t>case-by-case</w:t>
      </w:r>
      <w:r w:rsidR="006236E9">
        <w:rPr>
          <w:rFonts w:asciiTheme="majorHAnsi" w:hAnsiTheme="majorHAnsi"/>
          <w:sz w:val="20"/>
          <w:szCs w:val="20"/>
        </w:rPr>
        <w:t xml:space="preserve"> basis</w:t>
      </w:r>
      <w:r w:rsidR="00CA4C7B">
        <w:rPr>
          <w:rFonts w:asciiTheme="majorHAnsi" w:hAnsiTheme="majorHAnsi"/>
          <w:sz w:val="20"/>
          <w:szCs w:val="20"/>
        </w:rPr>
        <w:t>.</w:t>
      </w:r>
      <w:r w:rsidRPr="009311FE">
        <w:rPr>
          <w:rFonts w:asciiTheme="majorHAnsi" w:hAnsiTheme="majorHAnsi"/>
          <w:sz w:val="20"/>
          <w:szCs w:val="20"/>
          <w:vertAlign w:val="superscript"/>
        </w:rPr>
        <w:footnoteReference w:id="9"/>
      </w:r>
      <w:r w:rsidR="00CA4C7B">
        <w:rPr>
          <w:rFonts w:asciiTheme="majorHAnsi" w:hAnsiTheme="majorHAnsi"/>
          <w:sz w:val="20"/>
          <w:szCs w:val="20"/>
        </w:rPr>
        <w:t xml:space="preserve"> </w:t>
      </w:r>
      <w:r w:rsidRPr="009311FE">
        <w:rPr>
          <w:rFonts w:asciiTheme="majorHAnsi" w:hAnsiTheme="majorHAnsi"/>
          <w:sz w:val="20"/>
          <w:szCs w:val="20"/>
        </w:rPr>
        <w:t>Along these lines, the Inter-American Court has established</w:t>
      </w:r>
      <w:r w:rsidR="00814027">
        <w:rPr>
          <w:rFonts w:asciiTheme="majorHAnsi" w:hAnsiTheme="majorHAnsi"/>
          <w:sz w:val="20"/>
          <w:szCs w:val="20"/>
        </w:rPr>
        <w:t>,</w:t>
      </w:r>
      <w:r w:rsidRPr="009311FE">
        <w:rPr>
          <w:rFonts w:asciiTheme="majorHAnsi" w:hAnsiTheme="majorHAnsi"/>
          <w:sz w:val="20"/>
          <w:szCs w:val="20"/>
        </w:rPr>
        <w:t xml:space="preserve"> as a guiding principle for the analysis of the possible unwarranted delay as an exception to the rule </w:t>
      </w:r>
      <w:r w:rsidR="00814027">
        <w:rPr>
          <w:rFonts w:asciiTheme="majorHAnsi" w:hAnsiTheme="majorHAnsi"/>
          <w:sz w:val="20"/>
          <w:szCs w:val="20"/>
        </w:rPr>
        <w:t>on the</w:t>
      </w:r>
      <w:r w:rsidRPr="009311FE">
        <w:rPr>
          <w:rFonts w:asciiTheme="majorHAnsi" w:hAnsiTheme="majorHAnsi"/>
          <w:sz w:val="20"/>
          <w:szCs w:val="20"/>
        </w:rPr>
        <w:t xml:space="preserve"> exhaustion of domestic remedies, that </w:t>
      </w:r>
      <w:r w:rsidR="0065562B">
        <w:rPr>
          <w:rFonts w:asciiTheme="majorHAnsi" w:hAnsiTheme="majorHAnsi"/>
          <w:sz w:val="20"/>
          <w:szCs w:val="20"/>
        </w:rPr>
        <w:t>“</w:t>
      </w:r>
      <w:r w:rsidR="00B223D6" w:rsidRPr="00B223D6">
        <w:rPr>
          <w:rFonts w:asciiTheme="majorHAnsi" w:hAnsiTheme="majorHAnsi"/>
          <w:i/>
          <w:iCs/>
          <w:sz w:val="20"/>
          <w:szCs w:val="20"/>
        </w:rPr>
        <w:t>the rule of prior exhaustion of domestic remedies must not mean that international action in support of the defenseless victim is halted or delayed to the point of uselessness</w:t>
      </w:r>
      <w:r w:rsidR="007F2A90">
        <w:rPr>
          <w:rFonts w:asciiTheme="majorHAnsi" w:hAnsiTheme="majorHAnsi"/>
          <w:i/>
          <w:iCs/>
          <w:sz w:val="20"/>
          <w:szCs w:val="20"/>
        </w:rPr>
        <w:t>.</w:t>
      </w:r>
      <w:r w:rsidR="0065562B">
        <w:rPr>
          <w:rFonts w:asciiTheme="majorHAnsi" w:hAnsiTheme="majorHAnsi"/>
          <w:sz w:val="20"/>
          <w:szCs w:val="20"/>
        </w:rPr>
        <w:t>”</w:t>
      </w:r>
      <w:r w:rsidRPr="009311FE">
        <w:rPr>
          <w:rFonts w:asciiTheme="majorHAnsi" w:hAnsiTheme="majorHAnsi"/>
          <w:sz w:val="20"/>
          <w:szCs w:val="20"/>
        </w:rPr>
        <w:t xml:space="preserve"> In other words, in the Commission</w:t>
      </w:r>
      <w:r w:rsidR="0065562B">
        <w:rPr>
          <w:rFonts w:asciiTheme="majorHAnsi" w:hAnsiTheme="majorHAnsi"/>
          <w:sz w:val="20"/>
          <w:szCs w:val="20"/>
        </w:rPr>
        <w:t>’</w:t>
      </w:r>
      <w:r w:rsidRPr="009311FE">
        <w:rPr>
          <w:rFonts w:asciiTheme="majorHAnsi" w:hAnsiTheme="majorHAnsi"/>
          <w:sz w:val="20"/>
          <w:szCs w:val="20"/>
        </w:rPr>
        <w:t xml:space="preserve">s opinion, the complementary nature of the international protection provided </w:t>
      </w:r>
      <w:r w:rsidR="00DA3061">
        <w:rPr>
          <w:rFonts w:asciiTheme="majorHAnsi" w:hAnsiTheme="majorHAnsi"/>
          <w:sz w:val="20"/>
          <w:szCs w:val="20"/>
        </w:rPr>
        <w:t>under</w:t>
      </w:r>
      <w:r w:rsidRPr="009311FE">
        <w:rPr>
          <w:rFonts w:asciiTheme="majorHAnsi" w:hAnsiTheme="majorHAnsi"/>
          <w:sz w:val="20"/>
          <w:szCs w:val="20"/>
        </w:rPr>
        <w:t xml:space="preserve"> the American Convention also </w:t>
      </w:r>
      <w:r w:rsidR="00DA3061">
        <w:rPr>
          <w:rFonts w:asciiTheme="majorHAnsi" w:hAnsiTheme="majorHAnsi"/>
          <w:sz w:val="20"/>
          <w:szCs w:val="20"/>
        </w:rPr>
        <w:t>means</w:t>
      </w:r>
      <w:r w:rsidRPr="009311FE">
        <w:rPr>
          <w:rFonts w:asciiTheme="majorHAnsi" w:hAnsiTheme="majorHAnsi"/>
          <w:sz w:val="20"/>
          <w:szCs w:val="20"/>
        </w:rPr>
        <w:t xml:space="preserve"> that the intervention of the </w:t>
      </w:r>
      <w:r w:rsidR="00E21805">
        <w:rPr>
          <w:rFonts w:asciiTheme="majorHAnsi" w:hAnsiTheme="majorHAnsi"/>
          <w:sz w:val="20"/>
          <w:szCs w:val="20"/>
        </w:rPr>
        <w:t>bodies</w:t>
      </w:r>
      <w:r w:rsidRPr="009311FE">
        <w:rPr>
          <w:rFonts w:asciiTheme="majorHAnsi" w:hAnsiTheme="majorHAnsi"/>
          <w:sz w:val="20"/>
          <w:szCs w:val="20"/>
        </w:rPr>
        <w:t xml:space="preserve"> of the Inter-American system must be timely so that it may have some kind of useful effect </w:t>
      </w:r>
      <w:r w:rsidR="00FC233B">
        <w:rPr>
          <w:rFonts w:asciiTheme="majorHAnsi" w:hAnsiTheme="majorHAnsi"/>
          <w:sz w:val="20"/>
          <w:szCs w:val="20"/>
        </w:rPr>
        <w:t>on</w:t>
      </w:r>
      <w:r w:rsidRPr="009311FE">
        <w:rPr>
          <w:rFonts w:asciiTheme="majorHAnsi" w:hAnsiTheme="majorHAnsi"/>
          <w:sz w:val="20"/>
          <w:szCs w:val="20"/>
        </w:rPr>
        <w:t xml:space="preserve"> the protection of the alleged victims</w:t>
      </w:r>
      <w:r w:rsidR="0065562B">
        <w:rPr>
          <w:rFonts w:asciiTheme="majorHAnsi" w:hAnsiTheme="majorHAnsi"/>
          <w:sz w:val="20"/>
          <w:szCs w:val="20"/>
        </w:rPr>
        <w:t>’</w:t>
      </w:r>
      <w:r w:rsidR="00FC233B">
        <w:rPr>
          <w:rFonts w:asciiTheme="majorHAnsi" w:hAnsiTheme="majorHAnsi"/>
          <w:sz w:val="20"/>
          <w:szCs w:val="20"/>
        </w:rPr>
        <w:t xml:space="preserve"> rights</w:t>
      </w:r>
      <w:r w:rsidR="00BF0E97" w:rsidRPr="00B17F6A">
        <w:rPr>
          <w:rFonts w:asciiTheme="majorHAnsi" w:hAnsiTheme="majorHAnsi"/>
          <w:sz w:val="20"/>
          <w:szCs w:val="20"/>
        </w:rPr>
        <w:t xml:space="preserve">. </w:t>
      </w:r>
      <w:bookmarkEnd w:id="1"/>
      <w:bookmarkEnd w:id="2"/>
    </w:p>
    <w:p w14:paraId="3A3FF31C" w14:textId="761B0117" w:rsidR="00BF0E97" w:rsidRPr="00B17F6A" w:rsidRDefault="00C72B29" w:rsidP="00295BD2">
      <w:pPr>
        <w:pStyle w:val="ListParagraph"/>
        <w:numPr>
          <w:ilvl w:val="0"/>
          <w:numId w:val="59"/>
        </w:numPr>
        <w:autoSpaceDE w:val="0"/>
        <w:autoSpaceDN w:val="0"/>
        <w:spacing w:after="240"/>
        <w:ind w:left="0" w:firstLine="720"/>
        <w:jc w:val="both"/>
        <w:rPr>
          <w:rFonts w:asciiTheme="majorHAnsi" w:hAnsiTheme="majorHAnsi"/>
          <w:sz w:val="20"/>
          <w:szCs w:val="20"/>
        </w:rPr>
      </w:pPr>
      <w:r w:rsidRPr="00C72B29">
        <w:rPr>
          <w:rFonts w:asciiTheme="majorHAnsi" w:hAnsiTheme="majorHAnsi"/>
          <w:sz w:val="20"/>
          <w:szCs w:val="20"/>
        </w:rPr>
        <w:t xml:space="preserve">Regarding the reasonableness of the time period in which </w:t>
      </w:r>
      <w:r w:rsidR="001E642B">
        <w:rPr>
          <w:rFonts w:asciiTheme="majorHAnsi" w:hAnsiTheme="majorHAnsi"/>
          <w:sz w:val="20"/>
          <w:szCs w:val="20"/>
        </w:rPr>
        <w:t>this</w:t>
      </w:r>
      <w:r w:rsidRPr="00C72B29">
        <w:rPr>
          <w:rFonts w:asciiTheme="majorHAnsi" w:hAnsiTheme="majorHAnsi"/>
          <w:sz w:val="20"/>
          <w:szCs w:val="20"/>
        </w:rPr>
        <w:t xml:space="preserve"> </w:t>
      </w:r>
      <w:r w:rsidR="001E642B">
        <w:rPr>
          <w:rFonts w:asciiTheme="majorHAnsi" w:hAnsiTheme="majorHAnsi"/>
          <w:sz w:val="20"/>
          <w:szCs w:val="20"/>
        </w:rPr>
        <w:t>petition was filed</w:t>
      </w:r>
      <w:r w:rsidRPr="00C72B29">
        <w:rPr>
          <w:rFonts w:asciiTheme="majorHAnsi" w:hAnsiTheme="majorHAnsi"/>
          <w:sz w:val="20"/>
          <w:szCs w:val="20"/>
        </w:rPr>
        <w:t xml:space="preserve">, </w:t>
      </w:r>
      <w:r w:rsidR="001E642B" w:rsidRPr="00C72B29">
        <w:rPr>
          <w:rFonts w:asciiTheme="majorHAnsi" w:hAnsiTheme="majorHAnsi"/>
          <w:sz w:val="20"/>
          <w:szCs w:val="20"/>
        </w:rPr>
        <w:t xml:space="preserve">the IACHR concludes that </w:t>
      </w:r>
      <w:r w:rsidR="001E642B">
        <w:rPr>
          <w:rFonts w:asciiTheme="majorHAnsi" w:hAnsiTheme="majorHAnsi"/>
          <w:sz w:val="20"/>
          <w:szCs w:val="20"/>
        </w:rPr>
        <w:t xml:space="preserve">the petition meets the </w:t>
      </w:r>
      <w:r w:rsidR="001E642B" w:rsidRPr="00C72B29">
        <w:rPr>
          <w:rFonts w:asciiTheme="majorHAnsi" w:hAnsiTheme="majorHAnsi"/>
          <w:sz w:val="20"/>
          <w:szCs w:val="20"/>
        </w:rPr>
        <w:t>requirement</w:t>
      </w:r>
      <w:r w:rsidR="001E642B">
        <w:rPr>
          <w:rFonts w:asciiTheme="majorHAnsi" w:hAnsiTheme="majorHAnsi"/>
          <w:sz w:val="20"/>
          <w:szCs w:val="20"/>
        </w:rPr>
        <w:t>s of</w:t>
      </w:r>
      <w:r w:rsidRPr="00C72B29">
        <w:rPr>
          <w:rFonts w:asciiTheme="majorHAnsi" w:hAnsiTheme="majorHAnsi"/>
          <w:sz w:val="20"/>
          <w:szCs w:val="20"/>
        </w:rPr>
        <w:t xml:space="preserve"> Article 32</w:t>
      </w:r>
      <w:r>
        <w:rPr>
          <w:rFonts w:asciiTheme="majorHAnsi" w:hAnsiTheme="majorHAnsi"/>
          <w:sz w:val="20"/>
          <w:szCs w:val="20"/>
        </w:rPr>
        <w:t>.</w:t>
      </w:r>
      <w:r w:rsidRPr="00C72B29">
        <w:rPr>
          <w:rFonts w:asciiTheme="majorHAnsi" w:hAnsiTheme="majorHAnsi"/>
          <w:sz w:val="20"/>
          <w:szCs w:val="20"/>
        </w:rPr>
        <w:t xml:space="preserve">2 of its Rules of Procedure, since the initial events occurred in 2006; the petition was </w:t>
      </w:r>
      <w:r w:rsidR="001E642B">
        <w:rPr>
          <w:rFonts w:asciiTheme="majorHAnsi" w:hAnsiTheme="majorHAnsi"/>
          <w:sz w:val="20"/>
          <w:szCs w:val="20"/>
        </w:rPr>
        <w:t>filed</w:t>
      </w:r>
      <w:r w:rsidRPr="00C72B29">
        <w:rPr>
          <w:rFonts w:asciiTheme="majorHAnsi" w:hAnsiTheme="majorHAnsi"/>
          <w:sz w:val="20"/>
          <w:szCs w:val="20"/>
        </w:rPr>
        <w:t xml:space="preserve"> in 2014; and the effects of the alleged violations </w:t>
      </w:r>
      <w:r w:rsidR="001E642B" w:rsidRPr="00C72B29">
        <w:rPr>
          <w:rFonts w:asciiTheme="majorHAnsi" w:hAnsiTheme="majorHAnsi"/>
          <w:sz w:val="20"/>
          <w:szCs w:val="20"/>
        </w:rPr>
        <w:t xml:space="preserve">remain </w:t>
      </w:r>
      <w:r w:rsidR="001E642B">
        <w:rPr>
          <w:rFonts w:asciiTheme="majorHAnsi" w:hAnsiTheme="majorHAnsi"/>
          <w:sz w:val="20"/>
          <w:szCs w:val="20"/>
        </w:rPr>
        <w:t>to this day, due to</w:t>
      </w:r>
      <w:r w:rsidRPr="00C72B29">
        <w:rPr>
          <w:rFonts w:asciiTheme="majorHAnsi" w:hAnsiTheme="majorHAnsi"/>
          <w:sz w:val="20"/>
          <w:szCs w:val="20"/>
        </w:rPr>
        <w:t xml:space="preserve"> the alleged impunity</w:t>
      </w:r>
      <w:r w:rsidR="00BF0E97" w:rsidRPr="00B17F6A">
        <w:rPr>
          <w:rFonts w:asciiTheme="majorHAnsi" w:hAnsiTheme="majorHAnsi"/>
          <w:sz w:val="20"/>
          <w:szCs w:val="20"/>
        </w:rPr>
        <w:t xml:space="preserve">. </w:t>
      </w:r>
    </w:p>
    <w:p w14:paraId="2C613E54" w14:textId="27284B63" w:rsidR="00C9124E" w:rsidRPr="00B17F6A" w:rsidRDefault="00C9124E" w:rsidP="00295BD2">
      <w:pPr>
        <w:pStyle w:val="ListParagraph"/>
        <w:spacing w:after="240"/>
        <w:ind w:left="758"/>
        <w:jc w:val="both"/>
        <w:rPr>
          <w:rFonts w:asciiTheme="majorHAnsi" w:hAnsiTheme="majorHAnsi"/>
          <w:b/>
          <w:sz w:val="20"/>
          <w:szCs w:val="20"/>
        </w:rPr>
      </w:pPr>
      <w:r w:rsidRPr="00B17F6A">
        <w:rPr>
          <w:rFonts w:asciiTheme="majorHAnsi" w:hAnsiTheme="majorHAnsi"/>
          <w:b/>
          <w:sz w:val="20"/>
          <w:szCs w:val="20"/>
        </w:rPr>
        <w:lastRenderedPageBreak/>
        <w:t xml:space="preserve">VII. </w:t>
      </w:r>
      <w:r w:rsidRPr="00B17F6A">
        <w:rPr>
          <w:rFonts w:asciiTheme="majorHAnsi" w:hAnsiTheme="majorHAnsi"/>
          <w:b/>
          <w:sz w:val="20"/>
          <w:szCs w:val="20"/>
        </w:rPr>
        <w:tab/>
      </w:r>
      <w:r w:rsidRPr="00B17F6A">
        <w:rPr>
          <w:rFonts w:asciiTheme="majorHAnsi" w:hAnsiTheme="majorHAnsi"/>
          <w:b/>
          <w:bCs/>
          <w:sz w:val="20"/>
          <w:szCs w:val="20"/>
        </w:rPr>
        <w:t>A</w:t>
      </w:r>
      <w:r w:rsidR="00823B7C" w:rsidRPr="00823B7C">
        <w:rPr>
          <w:rFonts w:asciiTheme="majorHAnsi" w:hAnsiTheme="majorHAnsi"/>
          <w:b/>
          <w:bCs/>
          <w:sz w:val="20"/>
          <w:szCs w:val="20"/>
        </w:rPr>
        <w:t xml:space="preserve">NALYSIS OF COLORABLE CLAIM </w:t>
      </w:r>
    </w:p>
    <w:p w14:paraId="1DA599D5" w14:textId="3FECDCF1" w:rsidR="00EB0BBE" w:rsidRPr="00B17F6A" w:rsidRDefault="0056645C" w:rsidP="00295BD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rPr>
      </w:pPr>
      <w:r w:rsidRPr="0056645C">
        <w:rPr>
          <w:rFonts w:asciiTheme="majorHAnsi" w:hAnsiTheme="majorHAnsi"/>
          <w:sz w:val="20"/>
          <w:szCs w:val="20"/>
        </w:rPr>
        <w:t xml:space="preserve">For purposes of admissibility, the Commission must decide whether the alleged facts may constitute a violation of rights, as stipulated in Article 47(b) of the American Convention, or whether the petition is </w:t>
      </w:r>
      <w:r w:rsidR="0065562B">
        <w:rPr>
          <w:rFonts w:asciiTheme="majorHAnsi" w:hAnsiTheme="majorHAnsi"/>
          <w:sz w:val="20"/>
          <w:szCs w:val="20"/>
        </w:rPr>
        <w:t>“</w:t>
      </w:r>
      <w:r w:rsidRPr="0056645C">
        <w:rPr>
          <w:rFonts w:asciiTheme="majorHAnsi" w:hAnsiTheme="majorHAnsi"/>
          <w:sz w:val="20"/>
          <w:szCs w:val="20"/>
        </w:rPr>
        <w:t>manifestly groundless</w:t>
      </w:r>
      <w:r w:rsidR="0065562B">
        <w:rPr>
          <w:rFonts w:asciiTheme="majorHAnsi" w:hAnsiTheme="majorHAnsi"/>
          <w:sz w:val="20"/>
          <w:szCs w:val="20"/>
        </w:rPr>
        <w:t>”</w:t>
      </w:r>
      <w:r w:rsidRPr="0056645C">
        <w:rPr>
          <w:rFonts w:asciiTheme="majorHAnsi" w:hAnsiTheme="majorHAnsi"/>
          <w:sz w:val="20"/>
          <w:szCs w:val="20"/>
        </w:rPr>
        <w:t xml:space="preserve"> or </w:t>
      </w:r>
      <w:r w:rsidR="0065562B">
        <w:rPr>
          <w:rFonts w:asciiTheme="majorHAnsi" w:hAnsiTheme="majorHAnsi"/>
          <w:sz w:val="20"/>
          <w:szCs w:val="20"/>
        </w:rPr>
        <w:t>“</w:t>
      </w:r>
      <w:r w:rsidRPr="0056645C">
        <w:rPr>
          <w:rFonts w:asciiTheme="majorHAnsi" w:hAnsiTheme="majorHAnsi"/>
          <w:sz w:val="20"/>
          <w:szCs w:val="20"/>
        </w:rPr>
        <w:t>obviously out of order</w:t>
      </w:r>
      <w:r w:rsidR="0065562B">
        <w:rPr>
          <w:rFonts w:asciiTheme="majorHAnsi" w:hAnsiTheme="majorHAnsi"/>
          <w:sz w:val="20"/>
          <w:szCs w:val="20"/>
        </w:rPr>
        <w:t>”</w:t>
      </w:r>
      <w:r w:rsidRPr="0056645C">
        <w:rPr>
          <w:rFonts w:asciiTheme="majorHAnsi" w:hAnsiTheme="majorHAnsi"/>
          <w:sz w:val="20"/>
          <w:szCs w:val="20"/>
        </w:rPr>
        <w:t xml:space="preserve"> under Article 47(c) of the American Convention</w:t>
      </w:r>
      <w:r w:rsidR="00EB0BBE" w:rsidRPr="00B17F6A">
        <w:rPr>
          <w:rFonts w:asciiTheme="majorHAnsi" w:hAnsiTheme="majorHAnsi"/>
          <w:sz w:val="20"/>
          <w:szCs w:val="20"/>
        </w:rPr>
        <w:t xml:space="preserve">. </w:t>
      </w:r>
      <w:r w:rsidRPr="0056645C">
        <w:rPr>
          <w:rFonts w:asciiTheme="majorHAnsi" w:hAnsiTheme="majorHAnsi"/>
          <w:sz w:val="20"/>
          <w:szCs w:val="20"/>
        </w:rPr>
        <w:t>The standard for evaluating these requirements differs from that used to rule on the merits of a petition</w:t>
      </w:r>
      <w:r w:rsidR="00EB0BBE" w:rsidRPr="00B17F6A">
        <w:rPr>
          <w:rFonts w:asciiTheme="majorHAnsi" w:hAnsiTheme="majorHAnsi"/>
          <w:sz w:val="20"/>
          <w:szCs w:val="20"/>
        </w:rPr>
        <w:t xml:space="preserve">. </w:t>
      </w:r>
      <w:r>
        <w:rPr>
          <w:rFonts w:asciiTheme="majorHAnsi" w:hAnsiTheme="majorHAnsi"/>
          <w:sz w:val="20"/>
          <w:szCs w:val="20"/>
        </w:rPr>
        <w:t>I</w:t>
      </w:r>
      <w:r w:rsidRPr="0056645C">
        <w:rPr>
          <w:rFonts w:asciiTheme="majorHAnsi" w:hAnsiTheme="majorHAnsi"/>
          <w:sz w:val="20"/>
          <w:szCs w:val="20"/>
        </w:rPr>
        <w:t>t is</w:t>
      </w:r>
      <w:r>
        <w:rPr>
          <w:rFonts w:asciiTheme="majorHAnsi" w:hAnsiTheme="majorHAnsi"/>
          <w:sz w:val="20"/>
          <w:szCs w:val="20"/>
        </w:rPr>
        <w:t xml:space="preserve"> also</w:t>
      </w:r>
      <w:r w:rsidRPr="0056645C">
        <w:rPr>
          <w:rFonts w:asciiTheme="majorHAnsi" w:hAnsiTheme="majorHAnsi"/>
          <w:sz w:val="20"/>
          <w:szCs w:val="20"/>
        </w:rPr>
        <w:t xml:space="preserve"> competent, within the framework of its mandate, to declare a petition admissible when it refers to domestic proceedings that could violate rights guaranteed by the American Convention</w:t>
      </w:r>
      <w:r w:rsidR="00EB0BBE" w:rsidRPr="00B17F6A">
        <w:rPr>
          <w:rFonts w:asciiTheme="majorHAnsi" w:hAnsiTheme="majorHAnsi"/>
          <w:sz w:val="20"/>
          <w:szCs w:val="20"/>
        </w:rPr>
        <w:t xml:space="preserve">. </w:t>
      </w:r>
      <w:r w:rsidR="00D74C12">
        <w:rPr>
          <w:rFonts w:asciiTheme="majorHAnsi" w:hAnsiTheme="majorHAnsi"/>
          <w:sz w:val="20"/>
          <w:szCs w:val="20"/>
        </w:rPr>
        <w:t>That is</w:t>
      </w:r>
      <w:r w:rsidR="00D74C12" w:rsidRPr="00D74C12">
        <w:rPr>
          <w:rFonts w:asciiTheme="majorHAnsi" w:hAnsiTheme="majorHAnsi"/>
          <w:sz w:val="20"/>
          <w:szCs w:val="20"/>
        </w:rPr>
        <w:t xml:space="preserve">, </w:t>
      </w:r>
      <w:r w:rsidR="00D74C12">
        <w:rPr>
          <w:rFonts w:asciiTheme="majorHAnsi" w:hAnsiTheme="majorHAnsi"/>
          <w:sz w:val="20"/>
          <w:szCs w:val="20"/>
        </w:rPr>
        <w:t>under</w:t>
      </w:r>
      <w:r w:rsidR="00D74C12" w:rsidRPr="00D74C12">
        <w:rPr>
          <w:rFonts w:asciiTheme="majorHAnsi" w:hAnsiTheme="majorHAnsi"/>
          <w:sz w:val="20"/>
          <w:szCs w:val="20"/>
        </w:rPr>
        <w:t xml:space="preserve"> the aforementioned </w:t>
      </w:r>
      <w:r w:rsidR="00D74C12">
        <w:rPr>
          <w:rFonts w:asciiTheme="majorHAnsi" w:hAnsiTheme="majorHAnsi"/>
          <w:sz w:val="20"/>
          <w:szCs w:val="20"/>
        </w:rPr>
        <w:t>provisions of the Convention</w:t>
      </w:r>
      <w:r w:rsidR="00D74C12" w:rsidRPr="00D74C12">
        <w:rPr>
          <w:rFonts w:asciiTheme="majorHAnsi" w:hAnsiTheme="majorHAnsi"/>
          <w:sz w:val="20"/>
          <w:szCs w:val="20"/>
        </w:rPr>
        <w:t xml:space="preserve"> </w:t>
      </w:r>
      <w:r w:rsidR="00D74C12">
        <w:rPr>
          <w:rFonts w:asciiTheme="majorHAnsi" w:hAnsiTheme="majorHAnsi"/>
          <w:sz w:val="20"/>
          <w:szCs w:val="20"/>
        </w:rPr>
        <w:t xml:space="preserve">and </w:t>
      </w:r>
      <w:r w:rsidR="00D74C12" w:rsidRPr="00D74C12">
        <w:rPr>
          <w:rFonts w:asciiTheme="majorHAnsi" w:hAnsiTheme="majorHAnsi"/>
          <w:sz w:val="20"/>
          <w:szCs w:val="20"/>
        </w:rPr>
        <w:t xml:space="preserve">Article 34 of </w:t>
      </w:r>
      <w:r w:rsidR="00D74C12">
        <w:rPr>
          <w:rFonts w:asciiTheme="majorHAnsi" w:hAnsiTheme="majorHAnsi"/>
          <w:sz w:val="20"/>
          <w:szCs w:val="20"/>
        </w:rPr>
        <w:t>the Commission</w:t>
      </w:r>
      <w:r w:rsidR="0065562B">
        <w:rPr>
          <w:rFonts w:asciiTheme="majorHAnsi" w:hAnsiTheme="majorHAnsi"/>
          <w:sz w:val="20"/>
          <w:szCs w:val="20"/>
        </w:rPr>
        <w:t>’</w:t>
      </w:r>
      <w:r w:rsidR="00D74C12">
        <w:rPr>
          <w:rFonts w:asciiTheme="majorHAnsi" w:hAnsiTheme="majorHAnsi"/>
          <w:sz w:val="20"/>
          <w:szCs w:val="20"/>
        </w:rPr>
        <w:t>s</w:t>
      </w:r>
      <w:r w:rsidR="00D74C12" w:rsidRPr="00D74C12">
        <w:rPr>
          <w:rFonts w:asciiTheme="majorHAnsi" w:hAnsiTheme="majorHAnsi"/>
          <w:sz w:val="20"/>
          <w:szCs w:val="20"/>
        </w:rPr>
        <w:t xml:space="preserve"> Rules of Procedure, the admissibility analysis focuses on </w:t>
      </w:r>
      <w:r w:rsidR="007C5588">
        <w:rPr>
          <w:rFonts w:asciiTheme="majorHAnsi" w:hAnsiTheme="majorHAnsi"/>
          <w:sz w:val="20"/>
          <w:szCs w:val="20"/>
        </w:rPr>
        <w:t>verifying</w:t>
      </w:r>
      <w:r w:rsidR="00D74C12" w:rsidRPr="00D74C12">
        <w:rPr>
          <w:rFonts w:asciiTheme="majorHAnsi" w:hAnsiTheme="majorHAnsi"/>
          <w:sz w:val="20"/>
          <w:szCs w:val="20"/>
        </w:rPr>
        <w:t xml:space="preserve"> </w:t>
      </w:r>
      <w:r w:rsidR="000C32A5">
        <w:rPr>
          <w:rFonts w:asciiTheme="majorHAnsi" w:hAnsiTheme="majorHAnsi"/>
          <w:sz w:val="20"/>
          <w:szCs w:val="20"/>
        </w:rPr>
        <w:t>such</w:t>
      </w:r>
      <w:r w:rsidR="00D74C12" w:rsidRPr="00D74C12">
        <w:rPr>
          <w:rFonts w:asciiTheme="majorHAnsi" w:hAnsiTheme="majorHAnsi"/>
          <w:sz w:val="20"/>
          <w:szCs w:val="20"/>
        </w:rPr>
        <w:t xml:space="preserve"> requirements, which refer to the existence of elements that, if true, could constitute </w:t>
      </w:r>
      <w:r w:rsidR="00D74C12" w:rsidRPr="00D74C12">
        <w:rPr>
          <w:rFonts w:asciiTheme="majorHAnsi" w:hAnsiTheme="majorHAnsi"/>
          <w:i/>
          <w:iCs/>
          <w:sz w:val="20"/>
          <w:szCs w:val="20"/>
        </w:rPr>
        <w:t>prima facie</w:t>
      </w:r>
      <w:r w:rsidR="00D74C12" w:rsidRPr="00D74C12">
        <w:rPr>
          <w:rFonts w:asciiTheme="majorHAnsi" w:hAnsiTheme="majorHAnsi"/>
          <w:sz w:val="20"/>
          <w:szCs w:val="20"/>
        </w:rPr>
        <w:t xml:space="preserve"> violations of the American Convention</w:t>
      </w:r>
      <w:r w:rsidR="00D74C12">
        <w:rPr>
          <w:rFonts w:asciiTheme="majorHAnsi" w:hAnsiTheme="majorHAnsi"/>
          <w:sz w:val="20"/>
          <w:szCs w:val="20"/>
        </w:rPr>
        <w:t>.</w:t>
      </w:r>
    </w:p>
    <w:p w14:paraId="64FCEFBD" w14:textId="0F10F0B8" w:rsidR="00BF7411" w:rsidRPr="00B17F6A" w:rsidRDefault="000C4A5F" w:rsidP="00295BD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rPr>
      </w:pPr>
      <w:r>
        <w:rPr>
          <w:rFonts w:asciiTheme="majorHAnsi" w:hAnsiTheme="majorHAnsi"/>
          <w:sz w:val="20"/>
          <w:szCs w:val="20"/>
        </w:rPr>
        <w:t>Here</w:t>
      </w:r>
      <w:r w:rsidRPr="000C4A5F">
        <w:rPr>
          <w:rFonts w:asciiTheme="majorHAnsi" w:hAnsiTheme="majorHAnsi"/>
          <w:sz w:val="20"/>
          <w:szCs w:val="20"/>
        </w:rPr>
        <w:t>, the Commission notes that the petitioner</w:t>
      </w:r>
      <w:r w:rsidR="0065562B">
        <w:rPr>
          <w:rFonts w:asciiTheme="majorHAnsi" w:hAnsiTheme="majorHAnsi"/>
          <w:sz w:val="20"/>
          <w:szCs w:val="20"/>
        </w:rPr>
        <w:t>’</w:t>
      </w:r>
      <w:r w:rsidRPr="000C4A5F">
        <w:rPr>
          <w:rFonts w:asciiTheme="majorHAnsi" w:hAnsiTheme="majorHAnsi"/>
          <w:sz w:val="20"/>
          <w:szCs w:val="20"/>
        </w:rPr>
        <w:t>s main claim centers on the violent death of Nicanor Morales Rodríguez, who was lynched while in police custody; the impunity and lack of reparations for this act; and the pain and suffering of his next of kin</w:t>
      </w:r>
      <w:r>
        <w:rPr>
          <w:rFonts w:asciiTheme="majorHAnsi" w:hAnsiTheme="majorHAnsi"/>
          <w:sz w:val="20"/>
          <w:szCs w:val="20"/>
        </w:rPr>
        <w:t>.</w:t>
      </w:r>
    </w:p>
    <w:p w14:paraId="3BE59931" w14:textId="57534834" w:rsidR="00BF7411" w:rsidRPr="00B17F6A" w:rsidRDefault="005A3162" w:rsidP="00295BD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rPr>
      </w:pPr>
      <w:r w:rsidRPr="005A3162">
        <w:rPr>
          <w:rFonts w:asciiTheme="majorHAnsi" w:hAnsiTheme="majorHAnsi"/>
          <w:sz w:val="20"/>
          <w:szCs w:val="20"/>
        </w:rPr>
        <w:t>The petitioner</w:t>
      </w:r>
      <w:r w:rsidR="0065562B">
        <w:rPr>
          <w:rFonts w:asciiTheme="majorHAnsi" w:hAnsiTheme="majorHAnsi"/>
          <w:sz w:val="20"/>
          <w:szCs w:val="20"/>
        </w:rPr>
        <w:t>’</w:t>
      </w:r>
      <w:r w:rsidRPr="005A3162">
        <w:rPr>
          <w:rFonts w:asciiTheme="majorHAnsi" w:hAnsiTheme="majorHAnsi"/>
          <w:sz w:val="20"/>
          <w:szCs w:val="20"/>
        </w:rPr>
        <w:t xml:space="preserve">s allegations also include the claim that Nicanor Morales Rodríguez was arrested at his home in </w:t>
      </w:r>
      <w:r w:rsidR="00B810C8">
        <w:rPr>
          <w:rFonts w:asciiTheme="majorHAnsi" w:hAnsiTheme="majorHAnsi"/>
          <w:sz w:val="20"/>
          <w:szCs w:val="20"/>
        </w:rPr>
        <w:t>front</w:t>
      </w:r>
      <w:r w:rsidRPr="005A3162">
        <w:rPr>
          <w:rFonts w:asciiTheme="majorHAnsi" w:hAnsiTheme="majorHAnsi"/>
          <w:sz w:val="20"/>
          <w:szCs w:val="20"/>
        </w:rPr>
        <w:t xml:space="preserve"> of his family, including his minor children Yuluis Morales Bolívar and Juliana Morales Bolívar, and taken naked to jail, where, according to the facts </w:t>
      </w:r>
      <w:r w:rsidR="00B810C8">
        <w:rPr>
          <w:rFonts w:asciiTheme="majorHAnsi" w:hAnsiTheme="majorHAnsi"/>
          <w:sz w:val="20"/>
          <w:szCs w:val="20"/>
        </w:rPr>
        <w:t>alleged</w:t>
      </w:r>
      <w:r w:rsidRPr="005A3162">
        <w:rPr>
          <w:rFonts w:asciiTheme="majorHAnsi" w:hAnsiTheme="majorHAnsi"/>
          <w:sz w:val="20"/>
          <w:szCs w:val="20"/>
        </w:rPr>
        <w:t xml:space="preserve">, police officers allowed the crowd to lynch </w:t>
      </w:r>
      <w:r w:rsidR="00B810C8">
        <w:rPr>
          <w:rFonts w:asciiTheme="majorHAnsi" w:hAnsiTheme="majorHAnsi"/>
          <w:sz w:val="20"/>
          <w:szCs w:val="20"/>
        </w:rPr>
        <w:t xml:space="preserve">Mr. </w:t>
      </w:r>
      <w:r w:rsidR="00B810C8" w:rsidRPr="005A3162">
        <w:rPr>
          <w:rFonts w:asciiTheme="majorHAnsi" w:hAnsiTheme="majorHAnsi"/>
          <w:sz w:val="20"/>
          <w:szCs w:val="20"/>
        </w:rPr>
        <w:t>Morales Rodríguez</w:t>
      </w:r>
      <w:r w:rsidRPr="005A3162">
        <w:rPr>
          <w:rFonts w:asciiTheme="majorHAnsi" w:hAnsiTheme="majorHAnsi"/>
          <w:sz w:val="20"/>
          <w:szCs w:val="20"/>
        </w:rPr>
        <w:t>, using stones, sticks, machetes</w:t>
      </w:r>
      <w:r w:rsidR="00B810C8">
        <w:rPr>
          <w:rFonts w:asciiTheme="majorHAnsi" w:hAnsiTheme="majorHAnsi"/>
          <w:sz w:val="20"/>
          <w:szCs w:val="20"/>
        </w:rPr>
        <w:t>,</w:t>
      </w:r>
      <w:r w:rsidRPr="005A3162">
        <w:rPr>
          <w:rFonts w:asciiTheme="majorHAnsi" w:hAnsiTheme="majorHAnsi"/>
          <w:sz w:val="20"/>
          <w:szCs w:val="20"/>
        </w:rPr>
        <w:t xml:space="preserve"> and </w:t>
      </w:r>
      <w:r w:rsidR="00B810C8">
        <w:rPr>
          <w:rFonts w:asciiTheme="majorHAnsi" w:hAnsiTheme="majorHAnsi"/>
          <w:sz w:val="20"/>
          <w:szCs w:val="20"/>
        </w:rPr>
        <w:t>rods</w:t>
      </w:r>
      <w:r w:rsidRPr="005A3162">
        <w:rPr>
          <w:rFonts w:asciiTheme="majorHAnsi" w:hAnsiTheme="majorHAnsi"/>
          <w:sz w:val="20"/>
          <w:szCs w:val="20"/>
        </w:rPr>
        <w:t xml:space="preserve"> to beat him, and gasoline to burn his entire body</w:t>
      </w:r>
      <w:r w:rsidR="00BF7411" w:rsidRPr="00B17F6A">
        <w:rPr>
          <w:rFonts w:asciiTheme="majorHAnsi" w:hAnsiTheme="majorHAnsi"/>
          <w:sz w:val="20"/>
          <w:szCs w:val="20"/>
        </w:rPr>
        <w:t>.</w:t>
      </w:r>
    </w:p>
    <w:p w14:paraId="43C7C0F7" w14:textId="77777777" w:rsidR="0068341F" w:rsidRDefault="00E250CD" w:rsidP="0068341F">
      <w:pPr>
        <w:pStyle w:val="ListParagraph"/>
        <w:widowControl w:val="0"/>
        <w:numPr>
          <w:ilvl w:val="0"/>
          <w:numId w:val="59"/>
        </w:numPr>
        <w:spacing w:after="240"/>
        <w:ind w:left="0" w:firstLine="720"/>
        <w:jc w:val="both"/>
        <w:rPr>
          <w:rFonts w:asciiTheme="majorHAnsi" w:hAnsiTheme="majorHAnsi"/>
          <w:sz w:val="20"/>
          <w:szCs w:val="20"/>
        </w:rPr>
      </w:pPr>
      <w:r w:rsidRPr="00E250CD">
        <w:rPr>
          <w:rFonts w:asciiTheme="majorHAnsi" w:hAnsiTheme="majorHAnsi"/>
          <w:sz w:val="20"/>
          <w:szCs w:val="20"/>
        </w:rPr>
        <w:t xml:space="preserve">In view of these considerations and after examining the elements of fact and law presented by the parties, the Commission concludes that the lynching murder of the alleged victim, the manner in which he was detained, and the lack of an adequate investigation and punishment of </w:t>
      </w:r>
      <w:r w:rsidR="002E69D4">
        <w:rPr>
          <w:rFonts w:asciiTheme="majorHAnsi" w:hAnsiTheme="majorHAnsi"/>
          <w:sz w:val="20"/>
          <w:szCs w:val="20"/>
        </w:rPr>
        <w:t>the perpetrators</w:t>
      </w:r>
      <w:r w:rsidRPr="00E250CD">
        <w:rPr>
          <w:rFonts w:asciiTheme="majorHAnsi" w:hAnsiTheme="majorHAnsi"/>
          <w:sz w:val="20"/>
          <w:szCs w:val="20"/>
        </w:rPr>
        <w:t xml:space="preserve">, are facts that </w:t>
      </w:r>
      <w:r w:rsidR="002E69D4">
        <w:rPr>
          <w:rFonts w:asciiTheme="majorHAnsi" w:hAnsiTheme="majorHAnsi"/>
          <w:sz w:val="20"/>
          <w:szCs w:val="20"/>
        </w:rPr>
        <w:t xml:space="preserve">warrant </w:t>
      </w:r>
      <w:r w:rsidRPr="00E250CD">
        <w:rPr>
          <w:rFonts w:asciiTheme="majorHAnsi" w:hAnsiTheme="majorHAnsi"/>
          <w:sz w:val="20"/>
          <w:szCs w:val="20"/>
        </w:rPr>
        <w:t xml:space="preserve">an analysis of the merits by the IACHR. The alleged facts, if </w:t>
      </w:r>
      <w:r w:rsidR="002E69D4">
        <w:rPr>
          <w:rFonts w:asciiTheme="majorHAnsi" w:hAnsiTheme="majorHAnsi"/>
          <w:sz w:val="20"/>
          <w:szCs w:val="20"/>
        </w:rPr>
        <w:t>proved to be</w:t>
      </w:r>
      <w:r w:rsidRPr="00E250CD">
        <w:rPr>
          <w:rFonts w:asciiTheme="majorHAnsi" w:hAnsiTheme="majorHAnsi"/>
          <w:sz w:val="20"/>
          <w:szCs w:val="20"/>
        </w:rPr>
        <w:t xml:space="preserve"> true, could constitute violations of the rights established in </w:t>
      </w:r>
      <w:r w:rsidR="002E69D4" w:rsidRPr="002E69D4">
        <w:rPr>
          <w:rFonts w:asciiTheme="majorHAnsi" w:hAnsiTheme="majorHAnsi"/>
          <w:sz w:val="20"/>
          <w:szCs w:val="20"/>
        </w:rPr>
        <w:t>Articles 4 (right to life), 5 (humane treatment), 7 (right to personal liberty), 8 (right to  a fair trial), and 25 (judicial protection) of the American Convention on Human Rights, in relation to Article 1.1</w:t>
      </w:r>
      <w:r w:rsidR="002E69D4">
        <w:rPr>
          <w:rFonts w:asciiTheme="majorHAnsi" w:hAnsiTheme="majorHAnsi"/>
          <w:sz w:val="20"/>
          <w:szCs w:val="20"/>
        </w:rPr>
        <w:t xml:space="preserve"> thereof</w:t>
      </w:r>
      <w:r w:rsidR="002E69D4" w:rsidRPr="002E69D4">
        <w:rPr>
          <w:rFonts w:asciiTheme="majorHAnsi" w:hAnsiTheme="majorHAnsi"/>
          <w:sz w:val="20"/>
          <w:szCs w:val="20"/>
        </w:rPr>
        <w:t xml:space="preserve"> (obligation to respect rights)</w:t>
      </w:r>
      <w:r w:rsidR="002E69D4">
        <w:rPr>
          <w:rFonts w:asciiTheme="majorHAnsi" w:hAnsiTheme="majorHAnsi"/>
          <w:sz w:val="20"/>
          <w:szCs w:val="20"/>
        </w:rPr>
        <w:t xml:space="preserve">, </w:t>
      </w:r>
      <w:r w:rsidRPr="00E250CD">
        <w:rPr>
          <w:rFonts w:asciiTheme="majorHAnsi" w:hAnsiTheme="majorHAnsi"/>
          <w:sz w:val="20"/>
          <w:szCs w:val="20"/>
        </w:rPr>
        <w:t xml:space="preserve">to the detriment of Nicanor Morales Rodríguez and his next of kin, </w:t>
      </w:r>
      <w:r w:rsidR="002E69D4">
        <w:rPr>
          <w:rFonts w:asciiTheme="majorHAnsi" w:hAnsiTheme="majorHAnsi"/>
          <w:sz w:val="20"/>
          <w:szCs w:val="20"/>
        </w:rPr>
        <w:t xml:space="preserve">as </w:t>
      </w:r>
      <w:r w:rsidR="002E69D4" w:rsidRPr="001C7147">
        <w:rPr>
          <w:rFonts w:asciiTheme="majorHAnsi" w:hAnsiTheme="majorHAnsi"/>
          <w:sz w:val="20"/>
          <w:szCs w:val="20"/>
        </w:rPr>
        <w:t>described in</w:t>
      </w:r>
      <w:r w:rsidRPr="001C7147">
        <w:rPr>
          <w:rFonts w:asciiTheme="majorHAnsi" w:hAnsiTheme="majorHAnsi"/>
          <w:sz w:val="20"/>
          <w:szCs w:val="20"/>
        </w:rPr>
        <w:t xml:space="preserve"> this report</w:t>
      </w:r>
      <w:r w:rsidR="0055521B" w:rsidRPr="001C7147">
        <w:rPr>
          <w:rFonts w:asciiTheme="majorHAnsi" w:hAnsiTheme="majorHAnsi"/>
          <w:sz w:val="20"/>
          <w:szCs w:val="20"/>
        </w:rPr>
        <w:t>.</w:t>
      </w:r>
    </w:p>
    <w:p w14:paraId="4B87C279" w14:textId="31487546" w:rsidR="00BE3B01" w:rsidRPr="00FE34AC" w:rsidRDefault="009E54F0" w:rsidP="0068341F">
      <w:pPr>
        <w:pStyle w:val="ListParagraph"/>
        <w:widowControl w:val="0"/>
        <w:numPr>
          <w:ilvl w:val="0"/>
          <w:numId w:val="59"/>
        </w:numPr>
        <w:spacing w:after="240"/>
        <w:ind w:left="0" w:firstLine="720"/>
        <w:jc w:val="both"/>
        <w:rPr>
          <w:rFonts w:asciiTheme="majorHAnsi" w:hAnsiTheme="majorHAnsi"/>
          <w:sz w:val="20"/>
          <w:szCs w:val="20"/>
        </w:rPr>
      </w:pPr>
      <w:r w:rsidRPr="0068341F">
        <w:rPr>
          <w:sz w:val="20"/>
          <w:szCs w:val="20"/>
        </w:rPr>
        <w:t xml:space="preserve">With respect to the </w:t>
      </w:r>
      <w:r w:rsidR="0065562B" w:rsidRPr="0068341F">
        <w:rPr>
          <w:sz w:val="20"/>
          <w:szCs w:val="20"/>
        </w:rPr>
        <w:t>“</w:t>
      </w:r>
      <w:r w:rsidRPr="0068341F">
        <w:rPr>
          <w:sz w:val="20"/>
          <w:szCs w:val="20"/>
        </w:rPr>
        <w:t>fourth instance formula</w:t>
      </w:r>
      <w:r w:rsidR="0065562B" w:rsidRPr="0068341F">
        <w:rPr>
          <w:sz w:val="20"/>
          <w:szCs w:val="20"/>
        </w:rPr>
        <w:t>”</w:t>
      </w:r>
      <w:r w:rsidRPr="0068341F">
        <w:rPr>
          <w:sz w:val="20"/>
          <w:szCs w:val="20"/>
        </w:rPr>
        <w:t xml:space="preserve"> argument, the Commission underscores the complementary nature of the inter-American system and emphasizes that, as the Inter-American Court has </w:t>
      </w:r>
      <w:r w:rsidR="006641B1" w:rsidRPr="0068341F">
        <w:rPr>
          <w:sz w:val="20"/>
          <w:szCs w:val="20"/>
        </w:rPr>
        <w:t>held</w:t>
      </w:r>
      <w:r w:rsidRPr="0068341F">
        <w:rPr>
          <w:sz w:val="20"/>
          <w:szCs w:val="20"/>
        </w:rPr>
        <w:t xml:space="preserve">, for a </w:t>
      </w:r>
      <w:r w:rsidR="0065562B" w:rsidRPr="0068341F">
        <w:rPr>
          <w:sz w:val="20"/>
          <w:szCs w:val="20"/>
        </w:rPr>
        <w:t>“</w:t>
      </w:r>
      <w:r w:rsidRPr="0068341F">
        <w:rPr>
          <w:sz w:val="20"/>
          <w:szCs w:val="20"/>
        </w:rPr>
        <w:t>fourth instance</w:t>
      </w:r>
      <w:r w:rsidR="0065562B" w:rsidRPr="0068341F">
        <w:rPr>
          <w:sz w:val="20"/>
          <w:szCs w:val="20"/>
        </w:rPr>
        <w:t>”</w:t>
      </w:r>
      <w:r w:rsidRPr="0068341F">
        <w:rPr>
          <w:sz w:val="20"/>
          <w:szCs w:val="20"/>
        </w:rPr>
        <w:t xml:space="preserve"> exception to be applicable, </w:t>
      </w:r>
      <w:r w:rsidR="0028205D" w:rsidRPr="0068341F">
        <w:rPr>
          <w:sz w:val="20"/>
          <w:szCs w:val="20"/>
        </w:rPr>
        <w:t>the petitioner would have</w:t>
      </w:r>
      <w:r w:rsidRPr="0068341F">
        <w:rPr>
          <w:sz w:val="20"/>
          <w:szCs w:val="20"/>
        </w:rPr>
        <w:t xml:space="preserve"> to </w:t>
      </w:r>
      <w:r w:rsidR="0065562B" w:rsidRPr="0068341F">
        <w:rPr>
          <w:sz w:val="20"/>
          <w:szCs w:val="20"/>
        </w:rPr>
        <w:t>“</w:t>
      </w:r>
      <w:r w:rsidR="003A65A4" w:rsidRPr="0068341F">
        <w:rPr>
          <w:sz w:val="20"/>
          <w:szCs w:val="20"/>
        </w:rPr>
        <w:t xml:space="preserve">apply to the Court to review the decision of the domestic court, based on its incorrect assessment of the evidence, the facts or domestic law without, in turn, alleging that such decision was a violation of international treaties </w:t>
      </w:r>
      <w:r w:rsidRPr="0068341F">
        <w:rPr>
          <w:sz w:val="20"/>
          <w:szCs w:val="20"/>
        </w:rPr>
        <w:t>[...]</w:t>
      </w:r>
      <w:r w:rsidR="007E38C1" w:rsidRPr="0068341F">
        <w:rPr>
          <w:sz w:val="20"/>
          <w:szCs w:val="20"/>
        </w:rPr>
        <w:t>.</w:t>
      </w:r>
      <w:r w:rsidR="0065562B" w:rsidRPr="0068341F">
        <w:rPr>
          <w:sz w:val="20"/>
          <w:szCs w:val="20"/>
        </w:rPr>
        <w:t>”</w:t>
      </w:r>
      <w:r w:rsidRPr="007E5A46">
        <w:rPr>
          <w:rStyle w:val="FootnoteReference"/>
          <w:sz w:val="20"/>
          <w:szCs w:val="20"/>
        </w:rPr>
        <w:footnoteReference w:id="10"/>
      </w:r>
      <w:r w:rsidRPr="0068341F">
        <w:rPr>
          <w:sz w:val="20"/>
          <w:szCs w:val="20"/>
        </w:rPr>
        <w:t xml:space="preserve">  </w:t>
      </w:r>
      <w:r w:rsidRPr="0068341F">
        <w:rPr>
          <w:sz w:val="20"/>
          <w:szCs w:val="20"/>
          <w:vertAlign w:val="superscript"/>
        </w:rPr>
        <w:t xml:space="preserve"> </w:t>
      </w:r>
      <w:r w:rsidRPr="0068341F">
        <w:rPr>
          <w:sz w:val="20"/>
          <w:szCs w:val="20"/>
        </w:rPr>
        <w:t xml:space="preserve">In </w:t>
      </w:r>
      <w:r w:rsidR="003A65A4" w:rsidRPr="0068341F">
        <w:rPr>
          <w:sz w:val="20"/>
          <w:szCs w:val="20"/>
        </w:rPr>
        <w:t>this</w:t>
      </w:r>
      <w:r w:rsidRPr="0068341F">
        <w:rPr>
          <w:sz w:val="20"/>
          <w:szCs w:val="20"/>
        </w:rPr>
        <w:t xml:space="preserve"> case, the Commission considers, as the Inter-American Court has </w:t>
      </w:r>
      <w:r w:rsidR="003A65A4" w:rsidRPr="0068341F">
        <w:rPr>
          <w:sz w:val="20"/>
          <w:szCs w:val="20"/>
        </w:rPr>
        <w:t>found</w:t>
      </w:r>
      <w:r w:rsidRPr="0068341F">
        <w:rPr>
          <w:sz w:val="20"/>
          <w:szCs w:val="20"/>
        </w:rPr>
        <w:t xml:space="preserve">, </w:t>
      </w:r>
      <w:r w:rsidR="003A65A4" w:rsidRPr="0068341F">
        <w:rPr>
          <w:sz w:val="20"/>
          <w:szCs w:val="20"/>
        </w:rPr>
        <w:t xml:space="preserve">that </w:t>
      </w:r>
      <w:r w:rsidR="0065562B" w:rsidRPr="0068341F">
        <w:rPr>
          <w:sz w:val="20"/>
          <w:szCs w:val="20"/>
        </w:rPr>
        <w:t>“</w:t>
      </w:r>
      <w:r w:rsidRPr="0068341F">
        <w:rPr>
          <w:sz w:val="20"/>
          <w:szCs w:val="20"/>
        </w:rPr>
        <w:t xml:space="preserve">[i]t </w:t>
      </w:r>
      <w:r w:rsidR="001C7147" w:rsidRPr="0068341F">
        <w:rPr>
          <w:sz w:val="20"/>
          <w:szCs w:val="20"/>
        </w:rPr>
        <w:t xml:space="preserve">is up to the Court to ascertain whether or not the State, in the steps effectively taken at domestic level, violated its international obligations stemming from those inter-American instruments that </w:t>
      </w:r>
      <w:r w:rsidR="001C7147" w:rsidRPr="00FE34AC">
        <w:rPr>
          <w:sz w:val="20"/>
          <w:szCs w:val="20"/>
        </w:rPr>
        <w:t>grant authority to the Court</w:t>
      </w:r>
      <w:r w:rsidR="003A65A4" w:rsidRPr="00FE34AC">
        <w:rPr>
          <w:sz w:val="20"/>
          <w:szCs w:val="20"/>
        </w:rPr>
        <w:t>.</w:t>
      </w:r>
      <w:r w:rsidR="0065562B" w:rsidRPr="00FE34AC">
        <w:rPr>
          <w:sz w:val="20"/>
          <w:szCs w:val="20"/>
        </w:rPr>
        <w:t>”</w:t>
      </w:r>
      <w:r w:rsidRPr="00FE34AC">
        <w:rPr>
          <w:sz w:val="20"/>
          <w:szCs w:val="20"/>
          <w:vertAlign w:val="superscript"/>
        </w:rPr>
        <w:footnoteReference w:id="11"/>
      </w:r>
      <w:r w:rsidR="001C7147" w:rsidRPr="00FE34AC">
        <w:rPr>
          <w:sz w:val="20"/>
          <w:szCs w:val="20"/>
        </w:rPr>
        <w:t xml:space="preserve"> </w:t>
      </w:r>
      <w:r w:rsidRPr="00FE34AC">
        <w:rPr>
          <w:sz w:val="20"/>
          <w:szCs w:val="20"/>
        </w:rPr>
        <w:t xml:space="preserve"> </w:t>
      </w:r>
      <w:r w:rsidR="001C7147" w:rsidRPr="00FE34AC">
        <w:rPr>
          <w:sz w:val="20"/>
          <w:szCs w:val="20"/>
        </w:rPr>
        <w:t>It is also</w:t>
      </w:r>
      <w:r w:rsidRPr="00FE34AC">
        <w:rPr>
          <w:sz w:val="20"/>
          <w:szCs w:val="20"/>
        </w:rPr>
        <w:t xml:space="preserve"> incumbent upon </w:t>
      </w:r>
      <w:r w:rsidR="001C7147" w:rsidRPr="00FE34AC">
        <w:rPr>
          <w:sz w:val="20"/>
          <w:szCs w:val="20"/>
        </w:rPr>
        <w:t>the Court</w:t>
      </w:r>
      <w:r w:rsidRPr="00FE34AC">
        <w:rPr>
          <w:sz w:val="20"/>
          <w:szCs w:val="20"/>
        </w:rPr>
        <w:t xml:space="preserve"> to examine </w:t>
      </w:r>
      <w:r w:rsidR="0065562B" w:rsidRPr="00FE34AC">
        <w:rPr>
          <w:sz w:val="20"/>
          <w:szCs w:val="20"/>
        </w:rPr>
        <w:t>“</w:t>
      </w:r>
      <w:r w:rsidR="00830B0B" w:rsidRPr="00FE34AC">
        <w:rPr>
          <w:sz w:val="20"/>
          <w:szCs w:val="20"/>
        </w:rPr>
        <w:t>whether or not the actions of judicial organs constitute a violation of the State</w:t>
      </w:r>
      <w:r w:rsidR="0065562B" w:rsidRPr="00FE34AC">
        <w:rPr>
          <w:sz w:val="20"/>
          <w:szCs w:val="20"/>
        </w:rPr>
        <w:t>’</w:t>
      </w:r>
      <w:r w:rsidR="00830B0B" w:rsidRPr="00FE34AC">
        <w:rPr>
          <w:sz w:val="20"/>
          <w:szCs w:val="20"/>
        </w:rPr>
        <w:t>s international obligations</w:t>
      </w:r>
      <w:r w:rsidR="00207EFE" w:rsidRPr="00FE34AC">
        <w:rPr>
          <w:sz w:val="20"/>
          <w:szCs w:val="20"/>
        </w:rPr>
        <w:t>,</w:t>
      </w:r>
      <w:r w:rsidR="00830B0B" w:rsidRPr="00FE34AC">
        <w:rPr>
          <w:sz w:val="20"/>
          <w:szCs w:val="20"/>
        </w:rPr>
        <w:t xml:space="preserve"> </w:t>
      </w:r>
      <w:r w:rsidR="00207EFE" w:rsidRPr="00FE34AC">
        <w:rPr>
          <w:sz w:val="20"/>
          <w:szCs w:val="20"/>
        </w:rPr>
        <w:t xml:space="preserve">[which] </w:t>
      </w:r>
      <w:r w:rsidR="00830B0B" w:rsidRPr="00FE34AC">
        <w:rPr>
          <w:sz w:val="20"/>
          <w:szCs w:val="20"/>
        </w:rPr>
        <w:t>may mean that the Court must examine the respective domestic proceedings to establish their compatibility with the American Convention</w:t>
      </w:r>
      <w:r w:rsidR="003A65A4" w:rsidRPr="00FE34AC">
        <w:rPr>
          <w:sz w:val="20"/>
          <w:szCs w:val="20"/>
        </w:rPr>
        <w:t>.</w:t>
      </w:r>
      <w:r w:rsidR="0065562B" w:rsidRPr="00FE34AC">
        <w:rPr>
          <w:sz w:val="20"/>
          <w:szCs w:val="20"/>
        </w:rPr>
        <w:t>”</w:t>
      </w:r>
      <w:r w:rsidRPr="00FE34AC">
        <w:rPr>
          <w:sz w:val="20"/>
          <w:szCs w:val="20"/>
          <w:vertAlign w:val="superscript"/>
        </w:rPr>
        <w:footnoteReference w:id="12"/>
      </w:r>
      <w:r w:rsidRPr="00FE34AC">
        <w:rPr>
          <w:sz w:val="20"/>
          <w:szCs w:val="20"/>
        </w:rPr>
        <w:t xml:space="preserve"> In this </w:t>
      </w:r>
      <w:r w:rsidR="003A65A4" w:rsidRPr="00FE34AC">
        <w:rPr>
          <w:sz w:val="20"/>
          <w:szCs w:val="20"/>
        </w:rPr>
        <w:t>regard</w:t>
      </w:r>
      <w:r w:rsidRPr="00FE34AC">
        <w:rPr>
          <w:sz w:val="20"/>
          <w:szCs w:val="20"/>
        </w:rPr>
        <w:t xml:space="preserve">, the analysis of whether the State </w:t>
      </w:r>
      <w:r w:rsidR="00207EFE" w:rsidRPr="00FE34AC">
        <w:rPr>
          <w:sz w:val="20"/>
          <w:szCs w:val="20"/>
        </w:rPr>
        <w:t>violated</w:t>
      </w:r>
      <w:r w:rsidRPr="00FE34AC">
        <w:rPr>
          <w:sz w:val="20"/>
          <w:szCs w:val="20"/>
        </w:rPr>
        <w:t xml:space="preserve"> the American Convention is a matter to be decided on the merits of </w:t>
      </w:r>
      <w:r w:rsidR="00207EFE" w:rsidRPr="00FE34AC">
        <w:rPr>
          <w:sz w:val="20"/>
          <w:szCs w:val="20"/>
        </w:rPr>
        <w:t>this</w:t>
      </w:r>
      <w:r w:rsidRPr="00FE34AC">
        <w:rPr>
          <w:sz w:val="20"/>
          <w:szCs w:val="20"/>
        </w:rPr>
        <w:t xml:space="preserve"> case</w:t>
      </w:r>
      <w:r w:rsidR="00BE3B01" w:rsidRPr="00FE34AC">
        <w:rPr>
          <w:sz w:val="20"/>
          <w:szCs w:val="20"/>
        </w:rPr>
        <w:t xml:space="preserve">. </w:t>
      </w:r>
    </w:p>
    <w:p w14:paraId="1550F940" w14:textId="77777777" w:rsidR="0089604B" w:rsidRDefault="0089604B" w:rsidP="00295BD2">
      <w:pPr>
        <w:pStyle w:val="ListParagraph"/>
        <w:spacing w:after="240"/>
        <w:ind w:left="0" w:firstLine="709"/>
        <w:jc w:val="both"/>
        <w:rPr>
          <w:rFonts w:asciiTheme="majorHAnsi" w:hAnsiTheme="majorHAnsi"/>
          <w:b/>
          <w:sz w:val="20"/>
          <w:szCs w:val="20"/>
        </w:rPr>
      </w:pPr>
    </w:p>
    <w:p w14:paraId="40DABB4D" w14:textId="3586F425" w:rsidR="006E3BAD" w:rsidRPr="00B17F6A" w:rsidRDefault="006E3BAD" w:rsidP="00295BD2">
      <w:pPr>
        <w:pStyle w:val="ListParagraph"/>
        <w:spacing w:after="240"/>
        <w:ind w:left="0" w:firstLine="709"/>
        <w:jc w:val="both"/>
        <w:rPr>
          <w:rFonts w:asciiTheme="majorHAnsi" w:hAnsiTheme="majorHAnsi"/>
          <w:b/>
          <w:sz w:val="20"/>
          <w:szCs w:val="20"/>
        </w:rPr>
      </w:pPr>
      <w:r w:rsidRPr="00B17F6A">
        <w:rPr>
          <w:rFonts w:asciiTheme="majorHAnsi" w:hAnsiTheme="majorHAnsi"/>
          <w:b/>
          <w:sz w:val="20"/>
          <w:szCs w:val="20"/>
        </w:rPr>
        <w:lastRenderedPageBreak/>
        <w:t xml:space="preserve">VIII. </w:t>
      </w:r>
      <w:r w:rsidRPr="00B17F6A">
        <w:rPr>
          <w:rFonts w:asciiTheme="majorHAnsi" w:hAnsiTheme="majorHAnsi"/>
          <w:b/>
          <w:sz w:val="20"/>
          <w:szCs w:val="20"/>
        </w:rPr>
        <w:tab/>
      </w:r>
      <w:r w:rsidRPr="00B17F6A">
        <w:rPr>
          <w:rFonts w:asciiTheme="majorHAnsi" w:hAnsiTheme="majorHAnsi"/>
          <w:b/>
          <w:bCs/>
          <w:sz w:val="20"/>
          <w:szCs w:val="20"/>
        </w:rPr>
        <w:t>DECISI</w:t>
      </w:r>
      <w:r w:rsidR="000A04CC">
        <w:rPr>
          <w:rFonts w:asciiTheme="majorHAnsi" w:hAnsiTheme="majorHAnsi"/>
          <w:b/>
          <w:bCs/>
          <w:sz w:val="20"/>
          <w:szCs w:val="20"/>
        </w:rPr>
        <w:t>O</w:t>
      </w:r>
      <w:r w:rsidRPr="00B17F6A">
        <w:rPr>
          <w:rFonts w:asciiTheme="majorHAnsi" w:hAnsiTheme="majorHAnsi"/>
          <w:b/>
          <w:bCs/>
          <w:sz w:val="20"/>
          <w:szCs w:val="20"/>
        </w:rPr>
        <w:t>N</w:t>
      </w:r>
    </w:p>
    <w:p w14:paraId="6A489D64" w14:textId="48EA472A" w:rsidR="00067AF5" w:rsidRPr="009311FE" w:rsidRDefault="00067AF5" w:rsidP="00067AF5">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0" w:firstLine="709"/>
        <w:jc w:val="both"/>
        <w:rPr>
          <w:rFonts w:asciiTheme="majorHAnsi" w:hAnsiTheme="majorHAnsi"/>
          <w:sz w:val="20"/>
          <w:szCs w:val="20"/>
        </w:rPr>
      </w:pPr>
      <w:r w:rsidRPr="009311FE">
        <w:rPr>
          <w:rFonts w:asciiTheme="majorHAnsi" w:hAnsiTheme="majorHAnsi"/>
          <w:sz w:val="20"/>
          <w:szCs w:val="20"/>
        </w:rPr>
        <w:t xml:space="preserve">To </w:t>
      </w:r>
      <w:r w:rsidR="000F14BC">
        <w:rPr>
          <w:rFonts w:asciiTheme="majorHAnsi" w:hAnsiTheme="majorHAnsi"/>
          <w:sz w:val="20"/>
          <w:szCs w:val="20"/>
        </w:rPr>
        <w:t>find the instant</w:t>
      </w:r>
      <w:r w:rsidRPr="009311FE">
        <w:rPr>
          <w:rFonts w:asciiTheme="majorHAnsi" w:hAnsiTheme="majorHAnsi"/>
          <w:sz w:val="20"/>
          <w:szCs w:val="20"/>
        </w:rPr>
        <w:t xml:space="preserve"> petition admissible in relation to Articles 4, 5, 7, 8</w:t>
      </w:r>
      <w:r>
        <w:rPr>
          <w:rFonts w:asciiTheme="majorHAnsi" w:hAnsiTheme="majorHAnsi"/>
          <w:sz w:val="20"/>
          <w:szCs w:val="20"/>
        </w:rPr>
        <w:t>,</w:t>
      </w:r>
      <w:r w:rsidRPr="009311FE">
        <w:rPr>
          <w:rFonts w:asciiTheme="majorHAnsi" w:hAnsiTheme="majorHAnsi"/>
          <w:sz w:val="20"/>
          <w:szCs w:val="20"/>
        </w:rPr>
        <w:t xml:space="preserve"> and 25 of the American Convention in connection with Article 1</w:t>
      </w:r>
      <w:r>
        <w:rPr>
          <w:rFonts w:asciiTheme="majorHAnsi" w:hAnsiTheme="majorHAnsi"/>
          <w:sz w:val="20"/>
          <w:szCs w:val="20"/>
        </w:rPr>
        <w:t>.</w:t>
      </w:r>
      <w:r w:rsidRPr="009311FE">
        <w:rPr>
          <w:rFonts w:asciiTheme="majorHAnsi" w:hAnsiTheme="majorHAnsi"/>
          <w:sz w:val="20"/>
          <w:szCs w:val="20"/>
        </w:rPr>
        <w:t>1 thereof</w:t>
      </w:r>
      <w:r w:rsidR="00690993">
        <w:rPr>
          <w:rFonts w:asciiTheme="majorHAnsi" w:hAnsiTheme="majorHAnsi"/>
          <w:sz w:val="20"/>
          <w:szCs w:val="20"/>
        </w:rPr>
        <w:t>.</w:t>
      </w:r>
    </w:p>
    <w:p w14:paraId="245C05A6" w14:textId="53B9AC8D" w:rsidR="006E3BAD" w:rsidRDefault="00067AF5" w:rsidP="00067AF5">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0" w:firstLine="709"/>
        <w:jc w:val="both"/>
        <w:rPr>
          <w:rFonts w:asciiTheme="majorHAnsi" w:hAnsiTheme="majorHAnsi"/>
          <w:sz w:val="20"/>
          <w:szCs w:val="20"/>
        </w:rPr>
      </w:pPr>
      <w:r w:rsidRPr="00067AF5">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r>
        <w:rPr>
          <w:rFonts w:asciiTheme="majorHAnsi" w:hAnsiTheme="majorHAnsi"/>
          <w:sz w:val="20"/>
          <w:szCs w:val="20"/>
        </w:rPr>
        <w:t>.</w:t>
      </w:r>
    </w:p>
    <w:p w14:paraId="758A14E4" w14:textId="5D96B765" w:rsidR="00690993" w:rsidRDefault="00690993" w:rsidP="00690993">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5</w:t>
      </w:r>
      <w:r w:rsidRPr="00690993">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December,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7ACB1F20" w14:textId="77777777" w:rsidR="00690993" w:rsidRPr="00067AF5" w:rsidRDefault="00690993" w:rsidP="00690993">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709"/>
        <w:jc w:val="both"/>
        <w:rPr>
          <w:rFonts w:asciiTheme="majorHAnsi" w:hAnsiTheme="majorHAnsi"/>
          <w:sz w:val="20"/>
          <w:szCs w:val="20"/>
        </w:rPr>
      </w:pPr>
    </w:p>
    <w:sectPr w:rsidR="00690993" w:rsidRPr="00067AF5" w:rsidSect="00934A2C">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1530F" w14:textId="77777777" w:rsidR="003B54EC" w:rsidRDefault="003B54EC">
      <w:r>
        <w:separator/>
      </w:r>
    </w:p>
  </w:endnote>
  <w:endnote w:type="continuationSeparator" w:id="0">
    <w:p w14:paraId="0AA95200" w14:textId="77777777" w:rsidR="003B54EC" w:rsidRDefault="003B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181C091D" w14:textId="77777777" w:rsidR="00B17F6A" w:rsidRPr="006311DA" w:rsidRDefault="00B17F6A">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2</w:t>
        </w:r>
        <w:r w:rsidRPr="006311DA">
          <w:rPr>
            <w:noProof/>
            <w:sz w:val="16"/>
          </w:rPr>
          <w:fldChar w:fldCharType="end"/>
        </w:r>
      </w:p>
    </w:sdtContent>
  </w:sdt>
  <w:p w14:paraId="069655BC" w14:textId="77777777" w:rsidR="00B17F6A" w:rsidRDefault="00B17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6E58" w14:textId="77777777" w:rsidR="00B17F6A" w:rsidRDefault="00B17F6A">
    <w:pPr>
      <w:pStyle w:val="Footer"/>
      <w:jc w:val="center"/>
    </w:pPr>
  </w:p>
  <w:p w14:paraId="1FA7E56F" w14:textId="77777777" w:rsidR="00B17F6A" w:rsidRDefault="00B17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0FB45" w14:textId="77777777" w:rsidR="003B54EC" w:rsidRPr="000F35ED" w:rsidRDefault="003B54E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4D168BB" w14:textId="77777777" w:rsidR="003B54EC" w:rsidRPr="000F35ED" w:rsidRDefault="003B54EC" w:rsidP="000F35ED">
      <w:pPr>
        <w:rPr>
          <w:rFonts w:asciiTheme="majorHAnsi" w:hAnsiTheme="majorHAnsi"/>
          <w:sz w:val="16"/>
          <w:szCs w:val="16"/>
        </w:rPr>
      </w:pPr>
      <w:r w:rsidRPr="000F35ED">
        <w:rPr>
          <w:rFonts w:asciiTheme="majorHAnsi" w:hAnsiTheme="majorHAnsi"/>
          <w:sz w:val="16"/>
          <w:szCs w:val="16"/>
        </w:rPr>
        <w:separator/>
      </w:r>
    </w:p>
    <w:p w14:paraId="50ABAB5E" w14:textId="77777777" w:rsidR="003B54EC" w:rsidRPr="000F35ED" w:rsidRDefault="003B54E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F665017" w14:textId="77777777" w:rsidR="003B54EC" w:rsidRPr="000F35ED" w:rsidRDefault="003B54E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7B2D85D" w14:textId="094C1DC9" w:rsidR="00B17F6A" w:rsidRPr="003F3E4F" w:rsidRDefault="00B17F6A" w:rsidP="0089604B">
      <w:pPr>
        <w:pStyle w:val="FootnoteText"/>
        <w:tabs>
          <w:tab w:val="left" w:pos="360"/>
          <w:tab w:val="left" w:pos="1276"/>
        </w:tabs>
        <w:ind w:firstLine="709"/>
        <w:jc w:val="both"/>
        <w:rPr>
          <w:rFonts w:asciiTheme="majorHAnsi" w:hAnsiTheme="majorHAnsi"/>
          <w:bCs/>
          <w:sz w:val="16"/>
          <w:szCs w:val="16"/>
          <w:lang w:val="es-US"/>
        </w:rPr>
      </w:pPr>
      <w:r w:rsidRPr="0089604B">
        <w:rPr>
          <w:rStyle w:val="FootnoteReference"/>
          <w:rFonts w:asciiTheme="majorHAnsi" w:hAnsiTheme="majorHAnsi"/>
          <w:sz w:val="16"/>
          <w:szCs w:val="16"/>
        </w:rPr>
        <w:footnoteRef/>
      </w:r>
      <w:r w:rsidRPr="003F3E4F">
        <w:rPr>
          <w:rFonts w:asciiTheme="majorHAnsi" w:hAnsiTheme="majorHAnsi"/>
          <w:sz w:val="16"/>
          <w:szCs w:val="16"/>
          <w:lang w:val="es-US"/>
        </w:rPr>
        <w:t xml:space="preserve"> Estebana Rodríguez Blanquicett (mother); </w:t>
      </w:r>
      <w:r w:rsidRPr="003F3E4F">
        <w:rPr>
          <w:rFonts w:asciiTheme="majorHAnsi" w:hAnsiTheme="majorHAnsi"/>
          <w:bCs/>
          <w:sz w:val="16"/>
          <w:szCs w:val="16"/>
          <w:lang w:val="es-US"/>
        </w:rPr>
        <w:t>Aleida Elena Bolívar Salgado (</w:t>
      </w:r>
      <w:r w:rsidR="00E55A80" w:rsidRPr="003F3E4F">
        <w:rPr>
          <w:rFonts w:asciiTheme="majorHAnsi" w:hAnsiTheme="majorHAnsi"/>
          <w:bCs/>
          <w:sz w:val="16"/>
          <w:szCs w:val="16"/>
          <w:lang w:val="es-US"/>
        </w:rPr>
        <w:t>partner</w:t>
      </w:r>
      <w:r w:rsidRPr="003F3E4F">
        <w:rPr>
          <w:rFonts w:asciiTheme="majorHAnsi" w:hAnsiTheme="majorHAnsi"/>
          <w:bCs/>
          <w:sz w:val="16"/>
          <w:szCs w:val="16"/>
          <w:lang w:val="es-US"/>
        </w:rPr>
        <w:t>); Yuluis Morales Bolívar, Juliana Morales Bolívar, Diocy Patricia Morales Pineda, Moisés Morales Arrieta, María Alejandra Morales Arrieta (children); Pablo Morales Rodríguez, José Morales Rodríguez, Mary Ledys Morales Rodríguez, Edamis Del Carmen Morales Rodríguez, Luis Morales Rodríguez, Antonio José Morales Rodríguez, Estebana Morales Rodríguez, Májela Morales Rodríguez (siblings); Edwin David Morales Moreno, Karina Morales Moreno, Antonio José Morales Ruiz, Iban Enrrique Morales Moreno, Sandra Milena Morales Moreno, Félix Manuel Ortega Morales, Juan Yair Castro Morales, Alexander Castro Morales (</w:t>
      </w:r>
      <w:r w:rsidR="00E55A80" w:rsidRPr="003F3E4F">
        <w:rPr>
          <w:rFonts w:asciiTheme="majorHAnsi" w:hAnsiTheme="majorHAnsi"/>
          <w:bCs/>
          <w:sz w:val="16"/>
          <w:szCs w:val="16"/>
          <w:lang w:val="es-US"/>
        </w:rPr>
        <w:t xml:space="preserve">nieces and </w:t>
      </w:r>
      <w:r w:rsidRPr="003F3E4F">
        <w:rPr>
          <w:rFonts w:asciiTheme="majorHAnsi" w:hAnsiTheme="majorHAnsi"/>
          <w:bCs/>
          <w:sz w:val="16"/>
          <w:szCs w:val="16"/>
          <w:lang w:val="es-US"/>
        </w:rPr>
        <w:t>nephews).</w:t>
      </w:r>
    </w:p>
  </w:footnote>
  <w:footnote w:id="3">
    <w:p w14:paraId="441AB2AD" w14:textId="481F5820" w:rsidR="00B17F6A" w:rsidRPr="003F3E4F" w:rsidRDefault="00B17F6A" w:rsidP="0089604B">
      <w:pPr>
        <w:pStyle w:val="FootnoteText"/>
        <w:tabs>
          <w:tab w:val="left" w:pos="360"/>
          <w:tab w:val="left" w:pos="1276"/>
        </w:tabs>
        <w:ind w:firstLine="709"/>
        <w:jc w:val="both"/>
        <w:rPr>
          <w:rFonts w:asciiTheme="majorHAnsi" w:hAnsiTheme="majorHAnsi"/>
          <w:sz w:val="16"/>
          <w:szCs w:val="16"/>
        </w:rPr>
      </w:pPr>
      <w:r w:rsidRPr="0089604B">
        <w:rPr>
          <w:rStyle w:val="FootnoteReference"/>
          <w:rFonts w:asciiTheme="majorHAnsi" w:hAnsiTheme="majorHAnsi"/>
          <w:sz w:val="16"/>
          <w:szCs w:val="16"/>
        </w:rPr>
        <w:footnoteRef/>
      </w:r>
      <w:r w:rsidRPr="003F3E4F">
        <w:rPr>
          <w:rFonts w:asciiTheme="majorHAnsi" w:hAnsiTheme="majorHAnsi"/>
          <w:sz w:val="16"/>
          <w:szCs w:val="16"/>
        </w:rPr>
        <w:t xml:space="preserve"> </w:t>
      </w:r>
      <w:r w:rsidR="00E42A37" w:rsidRPr="003F3E4F">
        <w:rPr>
          <w:rFonts w:asciiTheme="majorHAnsi" w:hAnsiTheme="majorHAnsi"/>
          <w:sz w:val="16"/>
          <w:szCs w:val="16"/>
        </w:rPr>
        <w:t>In keeping with Article 17.2(a) of the Commission</w:t>
      </w:r>
      <w:r w:rsidR="0065562B" w:rsidRPr="003F3E4F">
        <w:rPr>
          <w:rFonts w:asciiTheme="majorHAnsi" w:hAnsiTheme="majorHAnsi"/>
          <w:sz w:val="16"/>
          <w:szCs w:val="16"/>
        </w:rPr>
        <w:t>’</w:t>
      </w:r>
      <w:r w:rsidR="00E42A37" w:rsidRPr="003F3E4F">
        <w:rPr>
          <w:rFonts w:asciiTheme="majorHAnsi" w:hAnsiTheme="majorHAnsi"/>
          <w:sz w:val="16"/>
          <w:szCs w:val="16"/>
        </w:rPr>
        <w:t>s Rules of Procedure, Commissioner Carlos Bernal Pulido, a Colombian national, did not participate in the deliberations or in the decision in this case</w:t>
      </w:r>
      <w:r w:rsidRPr="003F3E4F">
        <w:rPr>
          <w:rFonts w:asciiTheme="majorHAnsi" w:hAnsiTheme="majorHAnsi"/>
          <w:sz w:val="16"/>
          <w:szCs w:val="16"/>
        </w:rPr>
        <w:t>.</w:t>
      </w:r>
    </w:p>
  </w:footnote>
  <w:footnote w:id="4">
    <w:p w14:paraId="75BAEAF8" w14:textId="75848EA0" w:rsidR="00B17F6A" w:rsidRPr="003F3E4F" w:rsidRDefault="00B17F6A" w:rsidP="0089604B">
      <w:pPr>
        <w:pStyle w:val="FootnoteText"/>
        <w:tabs>
          <w:tab w:val="left" w:pos="360"/>
          <w:tab w:val="left" w:pos="1276"/>
        </w:tabs>
        <w:ind w:firstLine="709"/>
        <w:jc w:val="both"/>
        <w:rPr>
          <w:rFonts w:asciiTheme="majorHAnsi" w:hAnsiTheme="majorHAnsi"/>
          <w:sz w:val="16"/>
          <w:szCs w:val="16"/>
        </w:rPr>
      </w:pPr>
      <w:r w:rsidRPr="0089604B">
        <w:rPr>
          <w:rStyle w:val="FootnoteReference"/>
          <w:rFonts w:asciiTheme="majorHAnsi" w:hAnsiTheme="majorHAnsi"/>
          <w:sz w:val="16"/>
          <w:szCs w:val="16"/>
        </w:rPr>
        <w:footnoteRef/>
      </w:r>
      <w:r w:rsidRPr="003F3E4F">
        <w:rPr>
          <w:rFonts w:asciiTheme="majorHAnsi" w:hAnsiTheme="majorHAnsi"/>
          <w:sz w:val="16"/>
          <w:szCs w:val="16"/>
        </w:rPr>
        <w:t xml:space="preserve"> Hereinafter </w:t>
      </w:r>
      <w:r w:rsidR="0065562B" w:rsidRPr="003F3E4F">
        <w:rPr>
          <w:rFonts w:asciiTheme="majorHAnsi" w:hAnsiTheme="majorHAnsi"/>
          <w:sz w:val="16"/>
          <w:szCs w:val="16"/>
        </w:rPr>
        <w:t>“</w:t>
      </w:r>
      <w:r w:rsidRPr="003F3E4F">
        <w:rPr>
          <w:rFonts w:asciiTheme="majorHAnsi" w:hAnsiTheme="majorHAnsi"/>
          <w:sz w:val="16"/>
          <w:szCs w:val="16"/>
        </w:rPr>
        <w:t>the American Convention</w:t>
      </w:r>
      <w:r w:rsidR="0065562B" w:rsidRPr="003F3E4F">
        <w:rPr>
          <w:rFonts w:asciiTheme="majorHAnsi" w:hAnsiTheme="majorHAnsi"/>
          <w:sz w:val="16"/>
          <w:szCs w:val="16"/>
        </w:rPr>
        <w:t>”</w:t>
      </w:r>
      <w:r w:rsidRPr="003F3E4F">
        <w:rPr>
          <w:rFonts w:asciiTheme="majorHAnsi" w:hAnsiTheme="majorHAnsi"/>
          <w:sz w:val="16"/>
          <w:szCs w:val="16"/>
        </w:rPr>
        <w:t xml:space="preserve"> or </w:t>
      </w:r>
      <w:r w:rsidR="0065562B" w:rsidRPr="003F3E4F">
        <w:rPr>
          <w:rFonts w:asciiTheme="majorHAnsi" w:hAnsiTheme="majorHAnsi"/>
          <w:sz w:val="16"/>
          <w:szCs w:val="16"/>
        </w:rPr>
        <w:t>“</w:t>
      </w:r>
      <w:r w:rsidRPr="003F3E4F">
        <w:rPr>
          <w:rFonts w:asciiTheme="majorHAnsi" w:hAnsiTheme="majorHAnsi"/>
          <w:sz w:val="16"/>
          <w:szCs w:val="16"/>
        </w:rPr>
        <w:t>the Convention</w:t>
      </w:r>
      <w:r w:rsidR="00E42A37" w:rsidRPr="003F3E4F">
        <w:rPr>
          <w:rFonts w:asciiTheme="majorHAnsi" w:hAnsiTheme="majorHAnsi"/>
          <w:sz w:val="16"/>
          <w:szCs w:val="16"/>
        </w:rPr>
        <w:t>.</w:t>
      </w:r>
      <w:r w:rsidR="0065562B" w:rsidRPr="003F3E4F">
        <w:rPr>
          <w:rFonts w:asciiTheme="majorHAnsi" w:hAnsiTheme="majorHAnsi"/>
          <w:sz w:val="16"/>
          <w:szCs w:val="16"/>
        </w:rPr>
        <w:t>”</w:t>
      </w:r>
    </w:p>
  </w:footnote>
  <w:footnote w:id="5">
    <w:p w14:paraId="0E0D714E" w14:textId="79608981" w:rsidR="00421D86" w:rsidRPr="003F3E4F" w:rsidRDefault="00421D86" w:rsidP="0089604B">
      <w:pPr>
        <w:pStyle w:val="FootnoteText"/>
        <w:tabs>
          <w:tab w:val="left" w:pos="360"/>
          <w:tab w:val="left" w:pos="1276"/>
        </w:tabs>
        <w:ind w:firstLine="709"/>
        <w:jc w:val="both"/>
        <w:rPr>
          <w:rFonts w:asciiTheme="majorHAnsi" w:hAnsiTheme="majorHAnsi"/>
          <w:sz w:val="16"/>
          <w:szCs w:val="16"/>
        </w:rPr>
      </w:pPr>
      <w:r w:rsidRPr="0089604B">
        <w:rPr>
          <w:rStyle w:val="FootnoteReference"/>
          <w:rFonts w:asciiTheme="majorHAnsi" w:hAnsiTheme="majorHAnsi"/>
          <w:sz w:val="16"/>
          <w:szCs w:val="16"/>
        </w:rPr>
        <w:footnoteRef/>
      </w:r>
      <w:r w:rsidRPr="003F3E4F">
        <w:rPr>
          <w:rFonts w:asciiTheme="majorHAnsi" w:hAnsiTheme="majorHAnsi"/>
          <w:sz w:val="16"/>
          <w:szCs w:val="16"/>
        </w:rPr>
        <w:t xml:space="preserve"> </w:t>
      </w:r>
      <w:r w:rsidR="00E42A37" w:rsidRPr="003F3E4F">
        <w:rPr>
          <w:rFonts w:asciiTheme="majorHAnsi" w:hAnsiTheme="majorHAnsi"/>
          <w:sz w:val="16"/>
          <w:szCs w:val="16"/>
        </w:rPr>
        <w:t>The observations submitted by each party were duly considered and transmitted to the opposing party</w:t>
      </w:r>
      <w:r w:rsidRPr="003F3E4F">
        <w:rPr>
          <w:rFonts w:asciiTheme="majorHAnsi" w:hAnsiTheme="majorHAnsi"/>
          <w:sz w:val="16"/>
          <w:szCs w:val="16"/>
        </w:rPr>
        <w:t>.</w:t>
      </w:r>
    </w:p>
  </w:footnote>
  <w:footnote w:id="6">
    <w:p w14:paraId="1EAFF21E" w14:textId="078823F6" w:rsidR="00CB735E" w:rsidRPr="003F3E4F" w:rsidRDefault="00CB735E" w:rsidP="0089604B">
      <w:pPr>
        <w:pStyle w:val="FootnoteText"/>
        <w:tabs>
          <w:tab w:val="left" w:pos="360"/>
          <w:tab w:val="left" w:pos="1276"/>
        </w:tabs>
        <w:ind w:firstLine="709"/>
        <w:jc w:val="both"/>
        <w:rPr>
          <w:rFonts w:asciiTheme="majorHAnsi" w:hAnsiTheme="majorHAnsi"/>
          <w:sz w:val="16"/>
          <w:szCs w:val="16"/>
        </w:rPr>
      </w:pPr>
      <w:r w:rsidRPr="0089604B">
        <w:rPr>
          <w:rStyle w:val="FootnoteReference"/>
          <w:rFonts w:asciiTheme="majorHAnsi" w:hAnsiTheme="majorHAnsi"/>
          <w:sz w:val="16"/>
          <w:szCs w:val="16"/>
        </w:rPr>
        <w:footnoteRef/>
      </w:r>
      <w:r w:rsidRPr="003F3E4F">
        <w:rPr>
          <w:rFonts w:asciiTheme="majorHAnsi" w:hAnsiTheme="majorHAnsi"/>
          <w:sz w:val="16"/>
          <w:szCs w:val="16"/>
        </w:rPr>
        <w:t xml:space="preserve"> IACHR, Report No. 13/22. Petition 1332-11. Admissibility. Orlando Hernández Ramírez and family members. Colombia. February 9, 2022, para. 7; IACHR, Report No. 72/18, Petition 1131-08. Admissibility. Moisés de Jesús Hernández Pinto and family. </w:t>
      </w:r>
      <w:r w:rsidRPr="003F3E4F">
        <w:rPr>
          <w:rFonts w:asciiTheme="majorHAnsi" w:hAnsiTheme="majorHAnsi"/>
          <w:sz w:val="16"/>
          <w:szCs w:val="16"/>
          <w:lang w:val="pt-BR"/>
        </w:rPr>
        <w:t xml:space="preserve">Guatemala. June 20, 2018, para. 10; IACHR, Report No. 70/14. Petition 1453-06. Admissibility. Maicon de Souza Silva. Renato da Silva Paixão et al. July 25, 2014, para. 18; Report No. 3/12, Petition 12,224, Admissibility, Santiago Antezana Cueto et al, Peru, January 27, 2012, para. 24; Report No. 124/17, Petition 21-08, Admissibility, Fernanda López Medina et al, Peru, September 7, 2017, paras. </w:t>
      </w:r>
      <w:r w:rsidRPr="003F3E4F">
        <w:rPr>
          <w:rFonts w:asciiTheme="majorHAnsi" w:hAnsiTheme="majorHAnsi"/>
          <w:sz w:val="16"/>
          <w:szCs w:val="16"/>
        </w:rPr>
        <w:t>3, 9-11.</w:t>
      </w:r>
    </w:p>
  </w:footnote>
  <w:footnote w:id="7">
    <w:p w14:paraId="5EE8199A" w14:textId="0CD83EDB" w:rsidR="00CB735E" w:rsidRPr="003F3E4F" w:rsidRDefault="00CB735E" w:rsidP="0089604B">
      <w:pPr>
        <w:pStyle w:val="FootnoteText"/>
        <w:tabs>
          <w:tab w:val="left" w:pos="360"/>
          <w:tab w:val="left" w:pos="1276"/>
        </w:tabs>
        <w:ind w:firstLine="709"/>
        <w:jc w:val="both"/>
        <w:rPr>
          <w:rFonts w:asciiTheme="majorHAnsi" w:hAnsiTheme="majorHAnsi"/>
          <w:sz w:val="16"/>
          <w:szCs w:val="16"/>
        </w:rPr>
      </w:pPr>
      <w:r w:rsidRPr="0089604B">
        <w:rPr>
          <w:rStyle w:val="FootnoteReference"/>
          <w:rFonts w:asciiTheme="majorHAnsi" w:hAnsiTheme="majorHAnsi"/>
          <w:sz w:val="16"/>
          <w:szCs w:val="16"/>
        </w:rPr>
        <w:footnoteRef/>
      </w:r>
      <w:r w:rsidRPr="003F3E4F">
        <w:rPr>
          <w:rFonts w:asciiTheme="majorHAnsi" w:hAnsiTheme="majorHAnsi"/>
          <w:sz w:val="16"/>
          <w:szCs w:val="16"/>
        </w:rPr>
        <w:t xml:space="preserve"> IACHR, Report No. 13/22. Petition 1332-11. Admissibility. Orlando Hernández Ramírez and family members. Colombia. February 9, 2022, para. 7; IACHR, Report No. 159/17, Petition 712-08. Admissibility. Sebastián Larroza Velázquez and family. Paraguay. November 30, 2017, para. 14.</w:t>
      </w:r>
    </w:p>
  </w:footnote>
  <w:footnote w:id="8">
    <w:p w14:paraId="3892D97F" w14:textId="5EF00AA8" w:rsidR="00482CD0" w:rsidRPr="003F3E4F" w:rsidRDefault="00482CD0" w:rsidP="0089604B">
      <w:pPr>
        <w:pStyle w:val="FootnoteText"/>
        <w:tabs>
          <w:tab w:val="left" w:pos="360"/>
          <w:tab w:val="left" w:pos="1276"/>
        </w:tabs>
        <w:ind w:firstLine="709"/>
        <w:jc w:val="both"/>
        <w:rPr>
          <w:rFonts w:ascii="Cambria" w:hAnsi="Cambria"/>
          <w:sz w:val="16"/>
          <w:szCs w:val="16"/>
        </w:rPr>
      </w:pPr>
      <w:r w:rsidRPr="0089604B">
        <w:rPr>
          <w:rStyle w:val="FootnoteReference"/>
          <w:rFonts w:ascii="Cambria" w:hAnsi="Cambria"/>
          <w:sz w:val="16"/>
          <w:szCs w:val="16"/>
        </w:rPr>
        <w:footnoteRef/>
      </w:r>
      <w:r w:rsidRPr="003F3E4F">
        <w:rPr>
          <w:rFonts w:ascii="Cambria" w:hAnsi="Cambria"/>
          <w:sz w:val="16"/>
          <w:szCs w:val="16"/>
        </w:rPr>
        <w:t xml:space="preserve"> IACHR, Report No. 14/08, Petition 652-04. Admissibility. Hugo Humberto Ruíz Fuentes. Guatemala. March 5, 2008, para. 68.</w:t>
      </w:r>
    </w:p>
  </w:footnote>
  <w:footnote w:id="9">
    <w:p w14:paraId="74AEAAD6" w14:textId="39D5CA97" w:rsidR="00482CD0" w:rsidRPr="003F3E4F" w:rsidRDefault="00482CD0" w:rsidP="0089604B">
      <w:pPr>
        <w:pStyle w:val="FootnoteText"/>
        <w:tabs>
          <w:tab w:val="left" w:pos="360"/>
          <w:tab w:val="left" w:pos="1276"/>
        </w:tabs>
        <w:ind w:firstLine="709"/>
        <w:jc w:val="both"/>
        <w:rPr>
          <w:rFonts w:ascii="Cambria" w:hAnsi="Cambria"/>
          <w:sz w:val="16"/>
          <w:szCs w:val="16"/>
        </w:rPr>
      </w:pPr>
      <w:r w:rsidRPr="0089604B">
        <w:rPr>
          <w:rStyle w:val="FootnoteReference"/>
          <w:rFonts w:ascii="Cambria" w:hAnsi="Cambria"/>
          <w:sz w:val="16"/>
          <w:szCs w:val="16"/>
        </w:rPr>
        <w:footnoteRef/>
      </w:r>
      <w:r w:rsidRPr="003F3E4F">
        <w:rPr>
          <w:rFonts w:ascii="Cambria" w:hAnsi="Cambria"/>
          <w:sz w:val="16"/>
          <w:szCs w:val="16"/>
        </w:rPr>
        <w:t xml:space="preserve"> </w:t>
      </w:r>
      <w:r w:rsidR="00D24AD2" w:rsidRPr="003F3E4F">
        <w:rPr>
          <w:rFonts w:ascii="Cambria" w:hAnsi="Cambria"/>
          <w:sz w:val="16"/>
          <w:szCs w:val="16"/>
        </w:rPr>
        <w:t>I/A Court H.R.</w:t>
      </w:r>
      <w:r w:rsidRPr="003F3E4F">
        <w:rPr>
          <w:rFonts w:ascii="Cambria" w:hAnsi="Cambria"/>
          <w:sz w:val="16"/>
          <w:szCs w:val="16"/>
        </w:rPr>
        <w:t xml:space="preserve">, </w:t>
      </w:r>
      <w:r w:rsidRPr="003F3E4F">
        <w:rPr>
          <w:rFonts w:ascii="Cambria" w:hAnsi="Cambria"/>
          <w:i/>
          <w:iCs/>
          <w:sz w:val="16"/>
          <w:szCs w:val="16"/>
        </w:rPr>
        <w:t>Velasquez Rodriguez v. Honduras</w:t>
      </w:r>
      <w:r w:rsidRPr="003F3E4F">
        <w:rPr>
          <w:rFonts w:ascii="Cambria" w:hAnsi="Cambria"/>
          <w:sz w:val="16"/>
          <w:szCs w:val="16"/>
        </w:rPr>
        <w:t>, Preliminary Objections, Judgment of June 26, 1987, para. 93.</w:t>
      </w:r>
    </w:p>
  </w:footnote>
  <w:footnote w:id="10">
    <w:p w14:paraId="031BB3A2" w14:textId="59C9CA7C" w:rsidR="009E54F0" w:rsidRPr="003F3E4F" w:rsidRDefault="009E54F0" w:rsidP="0089604B">
      <w:pPr>
        <w:pStyle w:val="FootnoteText"/>
        <w:tabs>
          <w:tab w:val="left" w:pos="360"/>
          <w:tab w:val="left" w:pos="1276"/>
        </w:tabs>
        <w:ind w:firstLine="709"/>
        <w:jc w:val="both"/>
        <w:rPr>
          <w:rFonts w:ascii="Cambria" w:hAnsi="Cambria"/>
          <w:sz w:val="16"/>
          <w:szCs w:val="16"/>
        </w:rPr>
      </w:pPr>
      <w:r w:rsidRPr="0089604B">
        <w:rPr>
          <w:rStyle w:val="FootnoteReference"/>
          <w:rFonts w:ascii="Cambria" w:hAnsi="Cambria"/>
          <w:sz w:val="16"/>
          <w:szCs w:val="16"/>
        </w:rPr>
        <w:footnoteRef/>
      </w:r>
      <w:r w:rsidRPr="003F3E4F">
        <w:rPr>
          <w:rFonts w:ascii="Cambria" w:hAnsi="Cambria"/>
          <w:sz w:val="16"/>
          <w:szCs w:val="16"/>
        </w:rPr>
        <w:t xml:space="preserve"> I/A Court H.R., </w:t>
      </w:r>
      <w:r w:rsidRPr="003F3E4F">
        <w:rPr>
          <w:rFonts w:ascii="Cambria" w:hAnsi="Cambria"/>
          <w:i/>
          <w:iCs/>
          <w:sz w:val="16"/>
          <w:szCs w:val="16"/>
        </w:rPr>
        <w:t>Case of Cabrera García and Montiel Flores v. Mexico</w:t>
      </w:r>
      <w:r w:rsidRPr="003F3E4F">
        <w:rPr>
          <w:rFonts w:ascii="Cambria" w:hAnsi="Cambria"/>
          <w:sz w:val="16"/>
          <w:szCs w:val="16"/>
        </w:rPr>
        <w:t>. Preliminary Objection, Merits, Reparations and Costs. Judgment of November 26, 2010. Series C No. 220, para. 18.</w:t>
      </w:r>
    </w:p>
  </w:footnote>
  <w:footnote w:id="11">
    <w:p w14:paraId="58C70D64" w14:textId="2D69E9C3" w:rsidR="009E54F0" w:rsidRPr="003F3E4F" w:rsidRDefault="009E54F0" w:rsidP="0089604B">
      <w:pPr>
        <w:pStyle w:val="FootnoteText"/>
        <w:tabs>
          <w:tab w:val="left" w:pos="360"/>
          <w:tab w:val="left" w:pos="1276"/>
        </w:tabs>
        <w:ind w:firstLine="709"/>
        <w:jc w:val="both"/>
        <w:rPr>
          <w:rFonts w:ascii="Cambria" w:hAnsi="Cambria"/>
          <w:sz w:val="16"/>
          <w:szCs w:val="16"/>
        </w:rPr>
      </w:pPr>
      <w:r w:rsidRPr="0089604B">
        <w:rPr>
          <w:rStyle w:val="FootnoteReference"/>
          <w:rFonts w:ascii="Cambria" w:hAnsi="Cambria"/>
          <w:sz w:val="16"/>
          <w:szCs w:val="16"/>
        </w:rPr>
        <w:footnoteRef/>
      </w:r>
      <w:r w:rsidRPr="003F3E4F">
        <w:rPr>
          <w:rFonts w:ascii="Cambria" w:hAnsi="Cambria"/>
          <w:sz w:val="16"/>
          <w:szCs w:val="16"/>
        </w:rPr>
        <w:t xml:space="preserve"> I/A Court H.R., </w:t>
      </w:r>
      <w:r w:rsidRPr="003F3E4F">
        <w:rPr>
          <w:rFonts w:ascii="Cambria" w:hAnsi="Cambria"/>
          <w:i/>
          <w:iCs/>
          <w:sz w:val="16"/>
          <w:szCs w:val="16"/>
        </w:rPr>
        <w:t>Case of Cabrera García and Montiel Flores v. Mexico.</w:t>
      </w:r>
      <w:r w:rsidRPr="003F3E4F">
        <w:rPr>
          <w:rFonts w:ascii="Cambria" w:hAnsi="Cambria"/>
          <w:sz w:val="16"/>
          <w:szCs w:val="16"/>
        </w:rPr>
        <w:t xml:space="preserve"> Preliminary Objection, Merits, Reparations and Costs. Judgment of November 26, 2010. Series C No. 220, para. 19.</w:t>
      </w:r>
    </w:p>
  </w:footnote>
  <w:footnote w:id="12">
    <w:p w14:paraId="6759905E" w14:textId="5339BB33" w:rsidR="009E54F0" w:rsidRPr="003F3E4F" w:rsidRDefault="009E54F0" w:rsidP="0089604B">
      <w:pPr>
        <w:pStyle w:val="FootnoteText"/>
        <w:tabs>
          <w:tab w:val="left" w:pos="360"/>
          <w:tab w:val="left" w:pos="1276"/>
        </w:tabs>
        <w:ind w:firstLine="709"/>
        <w:jc w:val="both"/>
        <w:rPr>
          <w:rFonts w:ascii="Cambria" w:hAnsi="Cambria"/>
          <w:sz w:val="16"/>
          <w:szCs w:val="16"/>
        </w:rPr>
      </w:pPr>
      <w:r w:rsidRPr="0089604B">
        <w:rPr>
          <w:rStyle w:val="FootnoteReference"/>
          <w:rFonts w:ascii="Cambria" w:hAnsi="Cambria"/>
          <w:sz w:val="16"/>
          <w:szCs w:val="16"/>
        </w:rPr>
        <w:footnoteRef/>
      </w:r>
      <w:r w:rsidRPr="003F3E4F">
        <w:rPr>
          <w:rFonts w:ascii="Cambria" w:hAnsi="Cambria"/>
          <w:sz w:val="16"/>
          <w:szCs w:val="16"/>
        </w:rPr>
        <w:t xml:space="preserve"> I/A Court H.R., </w:t>
      </w:r>
      <w:r w:rsidRPr="003F3E4F">
        <w:rPr>
          <w:rFonts w:ascii="Cambria" w:hAnsi="Cambria"/>
          <w:i/>
          <w:iCs/>
          <w:sz w:val="16"/>
          <w:szCs w:val="16"/>
        </w:rPr>
        <w:t>Case of Palma Mendoza et al. v. Ecuador.</w:t>
      </w:r>
      <w:r w:rsidRPr="003F3E4F">
        <w:rPr>
          <w:rFonts w:ascii="Cambria" w:hAnsi="Cambria"/>
          <w:sz w:val="16"/>
          <w:szCs w:val="16"/>
        </w:rPr>
        <w:t xml:space="preserve"> Preliminary Objection and Merits. Judgment of September 3, 2012. Series C No. 247, para. 18; I/A Court H.R., </w:t>
      </w:r>
      <w:r w:rsidRPr="003F3E4F">
        <w:rPr>
          <w:rFonts w:ascii="Cambria" w:hAnsi="Cambria"/>
          <w:i/>
          <w:iCs/>
          <w:sz w:val="16"/>
          <w:szCs w:val="16"/>
        </w:rPr>
        <w:t>Case of Rosadio Villavicencio v. Peru</w:t>
      </w:r>
      <w:r w:rsidRPr="003F3E4F">
        <w:rPr>
          <w:rFonts w:ascii="Cambria" w:hAnsi="Cambria"/>
          <w:sz w:val="16"/>
          <w:szCs w:val="16"/>
        </w:rPr>
        <w:t xml:space="preserve">. Preliminary Objections, Merits, Reparations and Costs. Judgment of October 14, 2019. Series C No. 388, para. 24; I/A Court H.R., </w:t>
      </w:r>
      <w:r w:rsidRPr="003F3E4F">
        <w:rPr>
          <w:rFonts w:ascii="Cambria" w:hAnsi="Cambria"/>
          <w:i/>
          <w:iCs/>
          <w:sz w:val="16"/>
          <w:szCs w:val="16"/>
        </w:rPr>
        <w:t>Case of Cabrera García and Montiel Flores v. Mexico.</w:t>
      </w:r>
      <w:r w:rsidRPr="003F3E4F">
        <w:rPr>
          <w:rFonts w:ascii="Cambria" w:hAnsi="Cambria"/>
          <w:sz w:val="16"/>
          <w:szCs w:val="16"/>
        </w:rPr>
        <w:t xml:space="preserve"> Preliminary Objection, Merits, Reparations and Costs. Judgment of November 26, 2010. Series C No. 220, para.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FB12" w14:textId="77777777" w:rsidR="00B17F6A" w:rsidRDefault="00B17F6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50CD349" w14:textId="77777777" w:rsidR="00B17F6A" w:rsidRDefault="00B17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3C28" w14:textId="77777777" w:rsidR="00B17F6A" w:rsidRDefault="00B17F6A" w:rsidP="002C1641">
    <w:pPr>
      <w:pStyle w:val="Header"/>
      <w:tabs>
        <w:tab w:val="clear" w:pos="4320"/>
        <w:tab w:val="clear" w:pos="8640"/>
      </w:tabs>
      <w:jc w:val="center"/>
      <w:rPr>
        <w:sz w:val="22"/>
        <w:szCs w:val="22"/>
      </w:rPr>
    </w:pPr>
    <w:r>
      <w:rPr>
        <w:noProof/>
        <w:sz w:val="22"/>
        <w:szCs w:val="22"/>
      </w:rPr>
      <w:drawing>
        <wp:inline distT="0" distB="0" distL="0" distR="0" wp14:anchorId="7E379FE2" wp14:editId="36FDAB45">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7ADB9D2D" w14:textId="77777777" w:rsidR="00B17F6A" w:rsidRPr="00EC7D62" w:rsidRDefault="0061644D" w:rsidP="002C1641">
    <w:pPr>
      <w:pStyle w:val="Header"/>
      <w:tabs>
        <w:tab w:val="clear" w:pos="4320"/>
        <w:tab w:val="clear" w:pos="8640"/>
      </w:tabs>
      <w:jc w:val="center"/>
      <w:rPr>
        <w:sz w:val="22"/>
        <w:szCs w:val="22"/>
      </w:rPr>
    </w:pPr>
    <w:r>
      <w:pict w14:anchorId="2AC5736A">
        <v:rect id="Rectangle 20" o:spid="_x0000_s1026" alt="" style="width:468pt;height:1.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1839A66A" w:rsidR="00A50FCF" w:rsidRDefault="00B17F6A" w:rsidP="00A50FCF">
    <w:pPr>
      <w:pStyle w:val="Header"/>
      <w:tabs>
        <w:tab w:val="clear" w:pos="4320"/>
        <w:tab w:val="clear" w:pos="8640"/>
      </w:tabs>
      <w:jc w:val="center"/>
      <w:rPr>
        <w:sz w:val="22"/>
        <w:szCs w:val="22"/>
      </w:rPr>
    </w:pPr>
    <w:r>
      <w:rPr>
        <w:noProof/>
        <w:sz w:val="22"/>
        <w:szCs w:val="22"/>
      </w:rPr>
      <w:drawing>
        <wp:inline distT="0" distB="0" distL="0" distR="0" wp14:anchorId="0C499720" wp14:editId="1A8A7994">
          <wp:extent cx="2156472" cy="114563"/>
          <wp:effectExtent l="0" t="0" r="0" b="0"/>
          <wp:docPr id="115158419" name="Picture 115158419"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5695" cy="117178"/>
                  </a:xfrm>
                  <a:prstGeom prst="rect">
                    <a:avLst/>
                  </a:prstGeom>
                  <a:noFill/>
                  <a:ln>
                    <a:noFill/>
                  </a:ln>
                </pic:spPr>
              </pic:pic>
            </a:graphicData>
          </a:graphic>
        </wp:inline>
      </w:drawing>
    </w:r>
  </w:p>
  <w:p w14:paraId="24BB2C52" w14:textId="77777777" w:rsidR="00040C3A" w:rsidRPr="00EC7D62" w:rsidRDefault="0061644D" w:rsidP="00A50FCF">
    <w:pPr>
      <w:pStyle w:val="Header"/>
      <w:tabs>
        <w:tab w:val="clear" w:pos="4320"/>
        <w:tab w:val="clear" w:pos="8640"/>
      </w:tabs>
      <w:jc w:val="center"/>
      <w:rPr>
        <w:sz w:val="22"/>
        <w:szCs w:val="22"/>
      </w:rPr>
    </w:pPr>
    <w:r>
      <w:rPr>
        <w:noProof/>
        <w:sz w:val="22"/>
        <w:szCs w:val="22"/>
        <w:bdr w:val="nil"/>
      </w:rPr>
      <w:pict w14:anchorId="43C7E6AC">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D754028"/>
    <w:multiLevelType w:val="multilevel"/>
    <w:tmpl w:val="F430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001150"/>
    <w:multiLevelType w:val="hybridMultilevel"/>
    <w:tmpl w:val="BA445322"/>
    <w:lvl w:ilvl="0" w:tplc="B31A5D7A">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7"/>
  </w:num>
  <w:num w:numId="4" w16cid:durableId="82342866">
    <w:abstractNumId w:val="20"/>
  </w:num>
  <w:num w:numId="5" w16cid:durableId="1599026591">
    <w:abstractNumId w:val="50"/>
  </w:num>
  <w:num w:numId="6" w16cid:durableId="1795514418">
    <w:abstractNumId w:val="27"/>
  </w:num>
  <w:num w:numId="7" w16cid:durableId="396254">
    <w:abstractNumId w:val="6"/>
  </w:num>
  <w:num w:numId="8" w16cid:durableId="1302268258">
    <w:abstractNumId w:val="16"/>
  </w:num>
  <w:num w:numId="9" w16cid:durableId="669480169">
    <w:abstractNumId w:val="44"/>
  </w:num>
  <w:num w:numId="10" w16cid:durableId="275260533">
    <w:abstractNumId w:val="0"/>
  </w:num>
  <w:num w:numId="11" w16cid:durableId="866258526">
    <w:abstractNumId w:val="38"/>
  </w:num>
  <w:num w:numId="12" w16cid:durableId="171335598">
    <w:abstractNumId w:val="39"/>
  </w:num>
  <w:num w:numId="13" w16cid:durableId="752550714">
    <w:abstractNumId w:val="47"/>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1"/>
  </w:num>
  <w:num w:numId="21" w16cid:durableId="91245775">
    <w:abstractNumId w:val="12"/>
  </w:num>
  <w:num w:numId="22" w16cid:durableId="25645375">
    <w:abstractNumId w:val="13"/>
  </w:num>
  <w:num w:numId="23" w16cid:durableId="247152260">
    <w:abstractNumId w:val="14"/>
  </w:num>
  <w:num w:numId="24" w16cid:durableId="1871214995">
    <w:abstractNumId w:val="15"/>
  </w:num>
  <w:num w:numId="25" w16cid:durableId="1109817556">
    <w:abstractNumId w:val="17"/>
  </w:num>
  <w:num w:numId="26" w16cid:durableId="660161155">
    <w:abstractNumId w:val="18"/>
  </w:num>
  <w:num w:numId="27" w16cid:durableId="2016032229">
    <w:abstractNumId w:val="21"/>
  </w:num>
  <w:num w:numId="28" w16cid:durableId="1169757202">
    <w:abstractNumId w:val="22"/>
  </w:num>
  <w:num w:numId="29" w16cid:durableId="1713113596">
    <w:abstractNumId w:val="23"/>
  </w:num>
  <w:num w:numId="30" w16cid:durableId="217321478">
    <w:abstractNumId w:val="25"/>
  </w:num>
  <w:num w:numId="31" w16cid:durableId="2001157105">
    <w:abstractNumId w:val="28"/>
  </w:num>
  <w:num w:numId="32" w16cid:durableId="1680884154">
    <w:abstractNumId w:val="29"/>
  </w:num>
  <w:num w:numId="33" w16cid:durableId="1152284582">
    <w:abstractNumId w:val="30"/>
  </w:num>
  <w:num w:numId="34" w16cid:durableId="676424681">
    <w:abstractNumId w:val="31"/>
  </w:num>
  <w:num w:numId="35" w16cid:durableId="894270057">
    <w:abstractNumId w:val="32"/>
  </w:num>
  <w:num w:numId="36" w16cid:durableId="988172318">
    <w:abstractNumId w:val="34"/>
  </w:num>
  <w:num w:numId="37" w16cid:durableId="550464103">
    <w:abstractNumId w:val="35"/>
  </w:num>
  <w:num w:numId="38" w16cid:durableId="923027620">
    <w:abstractNumId w:val="36"/>
  </w:num>
  <w:num w:numId="39" w16cid:durableId="257376164">
    <w:abstractNumId w:val="41"/>
  </w:num>
  <w:num w:numId="40" w16cid:durableId="1595551088">
    <w:abstractNumId w:val="42"/>
  </w:num>
  <w:num w:numId="41" w16cid:durableId="1901792458">
    <w:abstractNumId w:val="49"/>
  </w:num>
  <w:num w:numId="42" w16cid:durableId="2066679574">
    <w:abstractNumId w:val="51"/>
  </w:num>
  <w:num w:numId="43" w16cid:durableId="1855076713">
    <w:abstractNumId w:val="53"/>
  </w:num>
  <w:num w:numId="44" w16cid:durableId="101000019">
    <w:abstractNumId w:val="55"/>
  </w:num>
  <w:num w:numId="45" w16cid:durableId="1260337889">
    <w:abstractNumId w:val="56"/>
  </w:num>
  <w:num w:numId="46" w16cid:durableId="1866938194">
    <w:abstractNumId w:val="58"/>
  </w:num>
  <w:num w:numId="47" w16cid:durableId="1627587656">
    <w:abstractNumId w:val="59"/>
  </w:num>
  <w:num w:numId="48" w16cid:durableId="43716973">
    <w:abstractNumId w:val="60"/>
  </w:num>
  <w:num w:numId="49" w16cid:durableId="795217068">
    <w:abstractNumId w:val="62"/>
  </w:num>
  <w:num w:numId="50" w16cid:durableId="1981417420">
    <w:abstractNumId w:val="63"/>
  </w:num>
  <w:num w:numId="51" w16cid:durableId="1472405985">
    <w:abstractNumId w:val="19"/>
  </w:num>
  <w:num w:numId="52" w16cid:durableId="1310091464">
    <w:abstractNumId w:val="43"/>
  </w:num>
  <w:num w:numId="53" w16cid:durableId="88084230">
    <w:abstractNumId w:val="54"/>
  </w:num>
  <w:num w:numId="54" w16cid:durableId="1659263601">
    <w:abstractNumId w:val="48"/>
  </w:num>
  <w:num w:numId="55" w16cid:durableId="1823621252">
    <w:abstractNumId w:val="45"/>
  </w:num>
  <w:num w:numId="56" w16cid:durableId="1618171722">
    <w:abstractNumId w:val="26"/>
  </w:num>
  <w:num w:numId="57" w16cid:durableId="979261358">
    <w:abstractNumId w:val="24"/>
  </w:num>
  <w:num w:numId="58" w16cid:durableId="55784951">
    <w:abstractNumId w:val="37"/>
  </w:num>
  <w:num w:numId="59" w16cid:durableId="665792024">
    <w:abstractNumId w:val="61"/>
  </w:num>
  <w:num w:numId="60" w16cid:durableId="712732366">
    <w:abstractNumId w:val="33"/>
  </w:num>
  <w:num w:numId="61" w16cid:durableId="1097671741">
    <w:abstractNumId w:val="46"/>
  </w:num>
  <w:num w:numId="62" w16cid:durableId="1840730130">
    <w:abstractNumId w:val="52"/>
  </w:num>
  <w:num w:numId="63" w16cid:durableId="369187513">
    <w:abstractNumId w:val="3"/>
  </w:num>
  <w:num w:numId="64" w16cid:durableId="1221478224">
    <w:abstractNumId w:val="40"/>
  </w:num>
  <w:num w:numId="65" w16cid:durableId="2117871597">
    <w:abstractNumId w:val="61"/>
    <w:lvlOverride w:ilvl="0">
      <w:startOverride w:val="1"/>
    </w:lvlOverride>
    <w:lvlOverride w:ilvl="1"/>
    <w:lvlOverride w:ilvl="2"/>
    <w:lvlOverride w:ilvl="3"/>
    <w:lvlOverride w:ilvl="4"/>
    <w:lvlOverride w:ilvl="5"/>
    <w:lvlOverride w:ilvl="6"/>
    <w:lvlOverride w:ilvl="7"/>
    <w:lvlOverride w:ilv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s-US" w:vendorID="64" w:dllVersion="0" w:nlCheck="1" w:checkStyle="0"/>
  <w:activeWritingStyle w:appName="MSWord" w:lang="pt-BR" w:vendorID="64" w:dllVersion="0" w:nlCheck="1" w:checkStyle="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17E9"/>
    <w:rsid w:val="00006E1F"/>
    <w:rsid w:val="000070D7"/>
    <w:rsid w:val="00007E23"/>
    <w:rsid w:val="00012A73"/>
    <w:rsid w:val="00012DEC"/>
    <w:rsid w:val="0001788C"/>
    <w:rsid w:val="00017979"/>
    <w:rsid w:val="00021CD3"/>
    <w:rsid w:val="00025725"/>
    <w:rsid w:val="00030ED7"/>
    <w:rsid w:val="0003209A"/>
    <w:rsid w:val="00032246"/>
    <w:rsid w:val="000336E7"/>
    <w:rsid w:val="000337EF"/>
    <w:rsid w:val="0004022F"/>
    <w:rsid w:val="00040C3A"/>
    <w:rsid w:val="000419AD"/>
    <w:rsid w:val="000433C9"/>
    <w:rsid w:val="000444E7"/>
    <w:rsid w:val="0004514E"/>
    <w:rsid w:val="00045210"/>
    <w:rsid w:val="000472C6"/>
    <w:rsid w:val="00050D27"/>
    <w:rsid w:val="00054D01"/>
    <w:rsid w:val="00057379"/>
    <w:rsid w:val="00062E15"/>
    <w:rsid w:val="000630CE"/>
    <w:rsid w:val="00065AB4"/>
    <w:rsid w:val="000665DD"/>
    <w:rsid w:val="00066C33"/>
    <w:rsid w:val="00067AF5"/>
    <w:rsid w:val="00071174"/>
    <w:rsid w:val="000716C5"/>
    <w:rsid w:val="00075E23"/>
    <w:rsid w:val="000769B9"/>
    <w:rsid w:val="000771CB"/>
    <w:rsid w:val="00081D0C"/>
    <w:rsid w:val="00091A11"/>
    <w:rsid w:val="00092469"/>
    <w:rsid w:val="00092479"/>
    <w:rsid w:val="0009344A"/>
    <w:rsid w:val="00094203"/>
    <w:rsid w:val="000970F4"/>
    <w:rsid w:val="000A0013"/>
    <w:rsid w:val="000A04CC"/>
    <w:rsid w:val="000A16D0"/>
    <w:rsid w:val="000A3255"/>
    <w:rsid w:val="000A392E"/>
    <w:rsid w:val="000A575F"/>
    <w:rsid w:val="000B36CA"/>
    <w:rsid w:val="000B4353"/>
    <w:rsid w:val="000B66F4"/>
    <w:rsid w:val="000B7730"/>
    <w:rsid w:val="000C32A5"/>
    <w:rsid w:val="000C4A5F"/>
    <w:rsid w:val="000D05CB"/>
    <w:rsid w:val="000D0E16"/>
    <w:rsid w:val="000D10DB"/>
    <w:rsid w:val="000D5CBC"/>
    <w:rsid w:val="000D60AD"/>
    <w:rsid w:val="000D63DD"/>
    <w:rsid w:val="000E361A"/>
    <w:rsid w:val="000E5EB5"/>
    <w:rsid w:val="000E73F0"/>
    <w:rsid w:val="000F14BC"/>
    <w:rsid w:val="000F35ED"/>
    <w:rsid w:val="000F3F6D"/>
    <w:rsid w:val="00100CDB"/>
    <w:rsid w:val="0010550C"/>
    <w:rsid w:val="00107131"/>
    <w:rsid w:val="0010736F"/>
    <w:rsid w:val="00107CE0"/>
    <w:rsid w:val="0011075B"/>
    <w:rsid w:val="0011085F"/>
    <w:rsid w:val="001112E6"/>
    <w:rsid w:val="00113F65"/>
    <w:rsid w:val="00113F73"/>
    <w:rsid w:val="0011794D"/>
    <w:rsid w:val="0012135C"/>
    <w:rsid w:val="00121CC2"/>
    <w:rsid w:val="00131425"/>
    <w:rsid w:val="001334BA"/>
    <w:rsid w:val="0013364C"/>
    <w:rsid w:val="00133EE5"/>
    <w:rsid w:val="00134876"/>
    <w:rsid w:val="001443F7"/>
    <w:rsid w:val="00147696"/>
    <w:rsid w:val="001517A0"/>
    <w:rsid w:val="001518B8"/>
    <w:rsid w:val="00153C8E"/>
    <w:rsid w:val="00164460"/>
    <w:rsid w:val="00165562"/>
    <w:rsid w:val="00165CC7"/>
    <w:rsid w:val="00167A34"/>
    <w:rsid w:val="00172C07"/>
    <w:rsid w:val="001741BE"/>
    <w:rsid w:val="00174A5C"/>
    <w:rsid w:val="001757FF"/>
    <w:rsid w:val="00177297"/>
    <w:rsid w:val="0017734D"/>
    <w:rsid w:val="001912DA"/>
    <w:rsid w:val="00192BE2"/>
    <w:rsid w:val="001A1420"/>
    <w:rsid w:val="001A1FF6"/>
    <w:rsid w:val="001A493B"/>
    <w:rsid w:val="001A520D"/>
    <w:rsid w:val="001A5FEE"/>
    <w:rsid w:val="001A71D6"/>
    <w:rsid w:val="001A7870"/>
    <w:rsid w:val="001A7CC7"/>
    <w:rsid w:val="001A7D7B"/>
    <w:rsid w:val="001B1D0D"/>
    <w:rsid w:val="001B3A00"/>
    <w:rsid w:val="001B3E22"/>
    <w:rsid w:val="001C1B41"/>
    <w:rsid w:val="001C205F"/>
    <w:rsid w:val="001C7147"/>
    <w:rsid w:val="001D02A6"/>
    <w:rsid w:val="001D19FF"/>
    <w:rsid w:val="001D21C7"/>
    <w:rsid w:val="001D2F0F"/>
    <w:rsid w:val="001D65EF"/>
    <w:rsid w:val="001E15E7"/>
    <w:rsid w:val="001E3ED8"/>
    <w:rsid w:val="001E49E7"/>
    <w:rsid w:val="001E5E5C"/>
    <w:rsid w:val="001E642B"/>
    <w:rsid w:val="001E7268"/>
    <w:rsid w:val="001F44BF"/>
    <w:rsid w:val="001F617F"/>
    <w:rsid w:val="001F7201"/>
    <w:rsid w:val="00202293"/>
    <w:rsid w:val="00203769"/>
    <w:rsid w:val="00206C91"/>
    <w:rsid w:val="00207EFE"/>
    <w:rsid w:val="00210E6D"/>
    <w:rsid w:val="00215F01"/>
    <w:rsid w:val="00221AD9"/>
    <w:rsid w:val="00223A29"/>
    <w:rsid w:val="00223B6C"/>
    <w:rsid w:val="002249E7"/>
    <w:rsid w:val="002250A3"/>
    <w:rsid w:val="0022545A"/>
    <w:rsid w:val="002261E0"/>
    <w:rsid w:val="002264B8"/>
    <w:rsid w:val="00232472"/>
    <w:rsid w:val="00234F71"/>
    <w:rsid w:val="00235217"/>
    <w:rsid w:val="00237C68"/>
    <w:rsid w:val="002410E9"/>
    <w:rsid w:val="00241B96"/>
    <w:rsid w:val="00246D1F"/>
    <w:rsid w:val="002470A6"/>
    <w:rsid w:val="00247403"/>
    <w:rsid w:val="00247542"/>
    <w:rsid w:val="002512DD"/>
    <w:rsid w:val="00253993"/>
    <w:rsid w:val="00253A4F"/>
    <w:rsid w:val="0026174C"/>
    <w:rsid w:val="00263437"/>
    <w:rsid w:val="0026533B"/>
    <w:rsid w:val="0026581A"/>
    <w:rsid w:val="00266B61"/>
    <w:rsid w:val="0026712A"/>
    <w:rsid w:val="002678E1"/>
    <w:rsid w:val="002704DB"/>
    <w:rsid w:val="00274B08"/>
    <w:rsid w:val="002767A6"/>
    <w:rsid w:val="00280B37"/>
    <w:rsid w:val="0028205D"/>
    <w:rsid w:val="00284E46"/>
    <w:rsid w:val="002878D8"/>
    <w:rsid w:val="00287B99"/>
    <w:rsid w:val="00291B41"/>
    <w:rsid w:val="00292641"/>
    <w:rsid w:val="002928C4"/>
    <w:rsid w:val="00292B66"/>
    <w:rsid w:val="00295BD2"/>
    <w:rsid w:val="002A0AAE"/>
    <w:rsid w:val="002A5820"/>
    <w:rsid w:val="002A6870"/>
    <w:rsid w:val="002B1533"/>
    <w:rsid w:val="002B15B4"/>
    <w:rsid w:val="002B2839"/>
    <w:rsid w:val="002C533A"/>
    <w:rsid w:val="002C646E"/>
    <w:rsid w:val="002D2B26"/>
    <w:rsid w:val="002D3AC6"/>
    <w:rsid w:val="002D7EA2"/>
    <w:rsid w:val="002E187C"/>
    <w:rsid w:val="002E39F7"/>
    <w:rsid w:val="002E5103"/>
    <w:rsid w:val="002E516C"/>
    <w:rsid w:val="002E69D4"/>
    <w:rsid w:val="002E733F"/>
    <w:rsid w:val="002F3F8C"/>
    <w:rsid w:val="002F555A"/>
    <w:rsid w:val="002F5D52"/>
    <w:rsid w:val="00302733"/>
    <w:rsid w:val="003040AB"/>
    <w:rsid w:val="00304171"/>
    <w:rsid w:val="00305835"/>
    <w:rsid w:val="00306F33"/>
    <w:rsid w:val="00314078"/>
    <w:rsid w:val="0031535D"/>
    <w:rsid w:val="00315F45"/>
    <w:rsid w:val="003239B8"/>
    <w:rsid w:val="003248A6"/>
    <w:rsid w:val="003302FF"/>
    <w:rsid w:val="0033169F"/>
    <w:rsid w:val="00332232"/>
    <w:rsid w:val="00334BF5"/>
    <w:rsid w:val="00335D99"/>
    <w:rsid w:val="00337472"/>
    <w:rsid w:val="00344748"/>
    <w:rsid w:val="00344977"/>
    <w:rsid w:val="003459D0"/>
    <w:rsid w:val="00346C95"/>
    <w:rsid w:val="00351724"/>
    <w:rsid w:val="003523F5"/>
    <w:rsid w:val="0035290B"/>
    <w:rsid w:val="00356185"/>
    <w:rsid w:val="003568AD"/>
    <w:rsid w:val="00357269"/>
    <w:rsid w:val="00360380"/>
    <w:rsid w:val="003626D4"/>
    <w:rsid w:val="00363074"/>
    <w:rsid w:val="00365CCB"/>
    <w:rsid w:val="003744E8"/>
    <w:rsid w:val="0037519E"/>
    <w:rsid w:val="0037725C"/>
    <w:rsid w:val="00380295"/>
    <w:rsid w:val="00386CF0"/>
    <w:rsid w:val="0039052A"/>
    <w:rsid w:val="003A45EB"/>
    <w:rsid w:val="003A4D4D"/>
    <w:rsid w:val="003A65A4"/>
    <w:rsid w:val="003B15CE"/>
    <w:rsid w:val="003B54EC"/>
    <w:rsid w:val="003B70FB"/>
    <w:rsid w:val="003B7105"/>
    <w:rsid w:val="003C0D9B"/>
    <w:rsid w:val="003C676B"/>
    <w:rsid w:val="003C6E9F"/>
    <w:rsid w:val="003D28C6"/>
    <w:rsid w:val="003D31E7"/>
    <w:rsid w:val="003D337C"/>
    <w:rsid w:val="003D3BC2"/>
    <w:rsid w:val="003D5DFE"/>
    <w:rsid w:val="003D67A9"/>
    <w:rsid w:val="003E51E9"/>
    <w:rsid w:val="003E5591"/>
    <w:rsid w:val="003E63EE"/>
    <w:rsid w:val="003E6CA1"/>
    <w:rsid w:val="003F298A"/>
    <w:rsid w:val="003F333E"/>
    <w:rsid w:val="003F3E4F"/>
    <w:rsid w:val="003F44AB"/>
    <w:rsid w:val="003F48E9"/>
    <w:rsid w:val="003F5154"/>
    <w:rsid w:val="004037A0"/>
    <w:rsid w:val="00404F19"/>
    <w:rsid w:val="00405F9C"/>
    <w:rsid w:val="004065A8"/>
    <w:rsid w:val="00410B10"/>
    <w:rsid w:val="00412879"/>
    <w:rsid w:val="004165C2"/>
    <w:rsid w:val="00416A6D"/>
    <w:rsid w:val="004205D0"/>
    <w:rsid w:val="0042101C"/>
    <w:rsid w:val="00421D86"/>
    <w:rsid w:val="004241A0"/>
    <w:rsid w:val="00425E37"/>
    <w:rsid w:val="004273D0"/>
    <w:rsid w:val="00427B38"/>
    <w:rsid w:val="00441ECB"/>
    <w:rsid w:val="00445193"/>
    <w:rsid w:val="00451E35"/>
    <w:rsid w:val="00452C65"/>
    <w:rsid w:val="00454964"/>
    <w:rsid w:val="0045796E"/>
    <w:rsid w:val="00461C5E"/>
    <w:rsid w:val="00462C1B"/>
    <w:rsid w:val="004666EB"/>
    <w:rsid w:val="00467393"/>
    <w:rsid w:val="00467B7E"/>
    <w:rsid w:val="004712FB"/>
    <w:rsid w:val="004723D2"/>
    <w:rsid w:val="00473BB4"/>
    <w:rsid w:val="00477592"/>
    <w:rsid w:val="004803DE"/>
    <w:rsid w:val="00482CD0"/>
    <w:rsid w:val="00483ABB"/>
    <w:rsid w:val="00486F1C"/>
    <w:rsid w:val="0049189B"/>
    <w:rsid w:val="00493831"/>
    <w:rsid w:val="0049419D"/>
    <w:rsid w:val="00496E1C"/>
    <w:rsid w:val="004A057B"/>
    <w:rsid w:val="004A08B0"/>
    <w:rsid w:val="004A1A74"/>
    <w:rsid w:val="004A3D4A"/>
    <w:rsid w:val="004A4484"/>
    <w:rsid w:val="004A6A54"/>
    <w:rsid w:val="004B2C41"/>
    <w:rsid w:val="004B421C"/>
    <w:rsid w:val="004B5553"/>
    <w:rsid w:val="004C0764"/>
    <w:rsid w:val="004C0B38"/>
    <w:rsid w:val="004C191C"/>
    <w:rsid w:val="004C20D2"/>
    <w:rsid w:val="004C2312"/>
    <w:rsid w:val="004C4B62"/>
    <w:rsid w:val="004C54C9"/>
    <w:rsid w:val="004D4ABA"/>
    <w:rsid w:val="004D6025"/>
    <w:rsid w:val="004E013A"/>
    <w:rsid w:val="004E1AB4"/>
    <w:rsid w:val="004E2649"/>
    <w:rsid w:val="004E3DC9"/>
    <w:rsid w:val="004E6FFB"/>
    <w:rsid w:val="004E7547"/>
    <w:rsid w:val="004F1840"/>
    <w:rsid w:val="004F1B17"/>
    <w:rsid w:val="004F314E"/>
    <w:rsid w:val="004F341E"/>
    <w:rsid w:val="004F48E9"/>
    <w:rsid w:val="004F626F"/>
    <w:rsid w:val="00501399"/>
    <w:rsid w:val="005040B1"/>
    <w:rsid w:val="005047ED"/>
    <w:rsid w:val="00505080"/>
    <w:rsid w:val="0050633D"/>
    <w:rsid w:val="00507BC4"/>
    <w:rsid w:val="00511ED9"/>
    <w:rsid w:val="005128E4"/>
    <w:rsid w:val="005133DB"/>
    <w:rsid w:val="00514504"/>
    <w:rsid w:val="00516EF3"/>
    <w:rsid w:val="00521E1F"/>
    <w:rsid w:val="00525560"/>
    <w:rsid w:val="00526395"/>
    <w:rsid w:val="00526632"/>
    <w:rsid w:val="00526FAE"/>
    <w:rsid w:val="0052738B"/>
    <w:rsid w:val="00535856"/>
    <w:rsid w:val="00535BE0"/>
    <w:rsid w:val="005403A2"/>
    <w:rsid w:val="00544C49"/>
    <w:rsid w:val="00545676"/>
    <w:rsid w:val="005458E4"/>
    <w:rsid w:val="0054798A"/>
    <w:rsid w:val="005511FD"/>
    <w:rsid w:val="005516A1"/>
    <w:rsid w:val="0055373E"/>
    <w:rsid w:val="0055521B"/>
    <w:rsid w:val="005559EF"/>
    <w:rsid w:val="00555D14"/>
    <w:rsid w:val="005627DD"/>
    <w:rsid w:val="00562FA4"/>
    <w:rsid w:val="00563557"/>
    <w:rsid w:val="0056645C"/>
    <w:rsid w:val="00570A3A"/>
    <w:rsid w:val="0057402A"/>
    <w:rsid w:val="005771D0"/>
    <w:rsid w:val="00585D5C"/>
    <w:rsid w:val="005869AA"/>
    <w:rsid w:val="0059191A"/>
    <w:rsid w:val="005921FF"/>
    <w:rsid w:val="00592574"/>
    <w:rsid w:val="00593299"/>
    <w:rsid w:val="005A24ED"/>
    <w:rsid w:val="005A3162"/>
    <w:rsid w:val="005A4AAC"/>
    <w:rsid w:val="005A6D0E"/>
    <w:rsid w:val="005B039F"/>
    <w:rsid w:val="005B0675"/>
    <w:rsid w:val="005B22B8"/>
    <w:rsid w:val="005B2E0D"/>
    <w:rsid w:val="005B4DA8"/>
    <w:rsid w:val="005B52B0"/>
    <w:rsid w:val="005B6806"/>
    <w:rsid w:val="005C4225"/>
    <w:rsid w:val="005C62BB"/>
    <w:rsid w:val="005C6543"/>
    <w:rsid w:val="005D310A"/>
    <w:rsid w:val="005D70AA"/>
    <w:rsid w:val="005D7C43"/>
    <w:rsid w:val="005E6881"/>
    <w:rsid w:val="005F0DAD"/>
    <w:rsid w:val="005F0F33"/>
    <w:rsid w:val="005F778D"/>
    <w:rsid w:val="00600DEB"/>
    <w:rsid w:val="00602750"/>
    <w:rsid w:val="00603BA0"/>
    <w:rsid w:val="006051A0"/>
    <w:rsid w:val="006114A0"/>
    <w:rsid w:val="00614414"/>
    <w:rsid w:val="0061461E"/>
    <w:rsid w:val="0061461F"/>
    <w:rsid w:val="0061644D"/>
    <w:rsid w:val="006236E9"/>
    <w:rsid w:val="00627562"/>
    <w:rsid w:val="00627C9F"/>
    <w:rsid w:val="006311E9"/>
    <w:rsid w:val="00632354"/>
    <w:rsid w:val="00632F09"/>
    <w:rsid w:val="0063537E"/>
    <w:rsid w:val="00635421"/>
    <w:rsid w:val="00635B94"/>
    <w:rsid w:val="00637038"/>
    <w:rsid w:val="00637275"/>
    <w:rsid w:val="006404C3"/>
    <w:rsid w:val="00642810"/>
    <w:rsid w:val="006447B4"/>
    <w:rsid w:val="0065228C"/>
    <w:rsid w:val="00652333"/>
    <w:rsid w:val="00652938"/>
    <w:rsid w:val="0065562B"/>
    <w:rsid w:val="006600DF"/>
    <w:rsid w:val="00660E83"/>
    <w:rsid w:val="00663C7A"/>
    <w:rsid w:val="00664052"/>
    <w:rsid w:val="006641B1"/>
    <w:rsid w:val="00665068"/>
    <w:rsid w:val="00672FD6"/>
    <w:rsid w:val="00673C7E"/>
    <w:rsid w:val="00676B28"/>
    <w:rsid w:val="0068009E"/>
    <w:rsid w:val="00682474"/>
    <w:rsid w:val="0068341F"/>
    <w:rsid w:val="00684B5B"/>
    <w:rsid w:val="00684C9F"/>
    <w:rsid w:val="00685450"/>
    <w:rsid w:val="00686178"/>
    <w:rsid w:val="00690993"/>
    <w:rsid w:val="006909A3"/>
    <w:rsid w:val="00690B6C"/>
    <w:rsid w:val="00692219"/>
    <w:rsid w:val="006939EA"/>
    <w:rsid w:val="00693EB9"/>
    <w:rsid w:val="006A17D2"/>
    <w:rsid w:val="006A2CE3"/>
    <w:rsid w:val="006A6885"/>
    <w:rsid w:val="006A73E6"/>
    <w:rsid w:val="006B2D5C"/>
    <w:rsid w:val="006C0ECF"/>
    <w:rsid w:val="006C1C8C"/>
    <w:rsid w:val="006C4EB1"/>
    <w:rsid w:val="006C7B3B"/>
    <w:rsid w:val="006E0166"/>
    <w:rsid w:val="006E2FFB"/>
    <w:rsid w:val="006E3BAD"/>
    <w:rsid w:val="006E5BCC"/>
    <w:rsid w:val="006E6A7C"/>
    <w:rsid w:val="006E7B34"/>
    <w:rsid w:val="006F70BE"/>
    <w:rsid w:val="00705CFF"/>
    <w:rsid w:val="00706596"/>
    <w:rsid w:val="0070697F"/>
    <w:rsid w:val="007103C4"/>
    <w:rsid w:val="00712D48"/>
    <w:rsid w:val="007138DC"/>
    <w:rsid w:val="00715C19"/>
    <w:rsid w:val="0072199C"/>
    <w:rsid w:val="0072288A"/>
    <w:rsid w:val="00722C9F"/>
    <w:rsid w:val="00723817"/>
    <w:rsid w:val="007253B8"/>
    <w:rsid w:val="0073487D"/>
    <w:rsid w:val="00737314"/>
    <w:rsid w:val="0073741F"/>
    <w:rsid w:val="00737ED2"/>
    <w:rsid w:val="007456F4"/>
    <w:rsid w:val="00747819"/>
    <w:rsid w:val="00750BAB"/>
    <w:rsid w:val="0075590E"/>
    <w:rsid w:val="00760EA9"/>
    <w:rsid w:val="0076643F"/>
    <w:rsid w:val="00766BBA"/>
    <w:rsid w:val="007720FF"/>
    <w:rsid w:val="007751D6"/>
    <w:rsid w:val="007765F1"/>
    <w:rsid w:val="00777F63"/>
    <w:rsid w:val="007809D7"/>
    <w:rsid w:val="0078555F"/>
    <w:rsid w:val="00785B6C"/>
    <w:rsid w:val="0079031A"/>
    <w:rsid w:val="00791DD3"/>
    <w:rsid w:val="00793F1C"/>
    <w:rsid w:val="007A2194"/>
    <w:rsid w:val="007A5817"/>
    <w:rsid w:val="007B05C4"/>
    <w:rsid w:val="007B0E28"/>
    <w:rsid w:val="007B1E6B"/>
    <w:rsid w:val="007B44CC"/>
    <w:rsid w:val="007B53DD"/>
    <w:rsid w:val="007B60E9"/>
    <w:rsid w:val="007B6595"/>
    <w:rsid w:val="007B6CC3"/>
    <w:rsid w:val="007B76D3"/>
    <w:rsid w:val="007B7837"/>
    <w:rsid w:val="007B79D5"/>
    <w:rsid w:val="007C0362"/>
    <w:rsid w:val="007C3334"/>
    <w:rsid w:val="007C5588"/>
    <w:rsid w:val="007C55DF"/>
    <w:rsid w:val="007C6179"/>
    <w:rsid w:val="007C6835"/>
    <w:rsid w:val="007D1789"/>
    <w:rsid w:val="007D2B98"/>
    <w:rsid w:val="007E16F7"/>
    <w:rsid w:val="007E21BC"/>
    <w:rsid w:val="007E38C1"/>
    <w:rsid w:val="007E5343"/>
    <w:rsid w:val="007E5A46"/>
    <w:rsid w:val="007E64CF"/>
    <w:rsid w:val="007E6888"/>
    <w:rsid w:val="007E7592"/>
    <w:rsid w:val="007E778E"/>
    <w:rsid w:val="007E7C82"/>
    <w:rsid w:val="007F01D7"/>
    <w:rsid w:val="007F2A90"/>
    <w:rsid w:val="007F2AA1"/>
    <w:rsid w:val="007F588D"/>
    <w:rsid w:val="0080076C"/>
    <w:rsid w:val="00803F1C"/>
    <w:rsid w:val="0080600E"/>
    <w:rsid w:val="008121FA"/>
    <w:rsid w:val="00814027"/>
    <w:rsid w:val="00814688"/>
    <w:rsid w:val="00817612"/>
    <w:rsid w:val="00817A45"/>
    <w:rsid w:val="00817C61"/>
    <w:rsid w:val="00823B7C"/>
    <w:rsid w:val="00826890"/>
    <w:rsid w:val="00830156"/>
    <w:rsid w:val="00830B0B"/>
    <w:rsid w:val="008314CE"/>
    <w:rsid w:val="008338A4"/>
    <w:rsid w:val="00834D49"/>
    <w:rsid w:val="00837C45"/>
    <w:rsid w:val="00841CD0"/>
    <w:rsid w:val="0084236E"/>
    <w:rsid w:val="008431BA"/>
    <w:rsid w:val="0084347A"/>
    <w:rsid w:val="0084454F"/>
    <w:rsid w:val="00844730"/>
    <w:rsid w:val="008457C2"/>
    <w:rsid w:val="00847767"/>
    <w:rsid w:val="00857919"/>
    <w:rsid w:val="00857A82"/>
    <w:rsid w:val="00860F22"/>
    <w:rsid w:val="00861490"/>
    <w:rsid w:val="00861563"/>
    <w:rsid w:val="00863055"/>
    <w:rsid w:val="00872CBE"/>
    <w:rsid w:val="00873836"/>
    <w:rsid w:val="00874A7A"/>
    <w:rsid w:val="008778B7"/>
    <w:rsid w:val="00882A97"/>
    <w:rsid w:val="00885737"/>
    <w:rsid w:val="00890650"/>
    <w:rsid w:val="00891115"/>
    <w:rsid w:val="008944DC"/>
    <w:rsid w:val="00895F48"/>
    <w:rsid w:val="0089604B"/>
    <w:rsid w:val="00897E12"/>
    <w:rsid w:val="008A4AAF"/>
    <w:rsid w:val="008A7E0F"/>
    <w:rsid w:val="008B089E"/>
    <w:rsid w:val="008B0DC4"/>
    <w:rsid w:val="008B12F5"/>
    <w:rsid w:val="008B2B6D"/>
    <w:rsid w:val="008B5504"/>
    <w:rsid w:val="008C5161"/>
    <w:rsid w:val="008C5E2D"/>
    <w:rsid w:val="008D768D"/>
    <w:rsid w:val="008D7996"/>
    <w:rsid w:val="008E2546"/>
    <w:rsid w:val="008E3759"/>
    <w:rsid w:val="008E3BFE"/>
    <w:rsid w:val="008E66C5"/>
    <w:rsid w:val="008F1912"/>
    <w:rsid w:val="008F1988"/>
    <w:rsid w:val="0090270B"/>
    <w:rsid w:val="0090399A"/>
    <w:rsid w:val="009041DC"/>
    <w:rsid w:val="00906AA1"/>
    <w:rsid w:val="00913A84"/>
    <w:rsid w:val="00916756"/>
    <w:rsid w:val="00917B5A"/>
    <w:rsid w:val="00920A58"/>
    <w:rsid w:val="00920A8C"/>
    <w:rsid w:val="009216BF"/>
    <w:rsid w:val="009300FC"/>
    <w:rsid w:val="00934A2C"/>
    <w:rsid w:val="00942687"/>
    <w:rsid w:val="00954F84"/>
    <w:rsid w:val="00955D72"/>
    <w:rsid w:val="00956403"/>
    <w:rsid w:val="00957C0E"/>
    <w:rsid w:val="00961B2B"/>
    <w:rsid w:val="009631C4"/>
    <w:rsid w:val="0096706E"/>
    <w:rsid w:val="009674E4"/>
    <w:rsid w:val="00970825"/>
    <w:rsid w:val="00973A6E"/>
    <w:rsid w:val="00973F6A"/>
    <w:rsid w:val="00974312"/>
    <w:rsid w:val="00974491"/>
    <w:rsid w:val="00975C4E"/>
    <w:rsid w:val="00975E17"/>
    <w:rsid w:val="009773CC"/>
    <w:rsid w:val="009777F6"/>
    <w:rsid w:val="00980C82"/>
    <w:rsid w:val="00981FBA"/>
    <w:rsid w:val="00982364"/>
    <w:rsid w:val="00983760"/>
    <w:rsid w:val="009840C7"/>
    <w:rsid w:val="00994891"/>
    <w:rsid w:val="009951BE"/>
    <w:rsid w:val="009963E9"/>
    <w:rsid w:val="00997BC5"/>
    <w:rsid w:val="009A4F41"/>
    <w:rsid w:val="009A67F1"/>
    <w:rsid w:val="009A6D17"/>
    <w:rsid w:val="009B0226"/>
    <w:rsid w:val="009B034F"/>
    <w:rsid w:val="009B2287"/>
    <w:rsid w:val="009B381B"/>
    <w:rsid w:val="009B4910"/>
    <w:rsid w:val="009B7B09"/>
    <w:rsid w:val="009C009E"/>
    <w:rsid w:val="009C0A0D"/>
    <w:rsid w:val="009C582A"/>
    <w:rsid w:val="009D1753"/>
    <w:rsid w:val="009D2D7C"/>
    <w:rsid w:val="009D30CA"/>
    <w:rsid w:val="009D5B24"/>
    <w:rsid w:val="009D7611"/>
    <w:rsid w:val="009E06D5"/>
    <w:rsid w:val="009E0B61"/>
    <w:rsid w:val="009E53DE"/>
    <w:rsid w:val="009E54F0"/>
    <w:rsid w:val="009E7F46"/>
    <w:rsid w:val="009F3FED"/>
    <w:rsid w:val="009F74EF"/>
    <w:rsid w:val="00A004BB"/>
    <w:rsid w:val="00A02439"/>
    <w:rsid w:val="00A04DF9"/>
    <w:rsid w:val="00A11212"/>
    <w:rsid w:val="00A11494"/>
    <w:rsid w:val="00A11E44"/>
    <w:rsid w:val="00A1740A"/>
    <w:rsid w:val="00A21438"/>
    <w:rsid w:val="00A21473"/>
    <w:rsid w:val="00A22582"/>
    <w:rsid w:val="00A2366E"/>
    <w:rsid w:val="00A2403D"/>
    <w:rsid w:val="00A242DA"/>
    <w:rsid w:val="00A25F79"/>
    <w:rsid w:val="00A25F93"/>
    <w:rsid w:val="00A2648A"/>
    <w:rsid w:val="00A30100"/>
    <w:rsid w:val="00A328B3"/>
    <w:rsid w:val="00A3329B"/>
    <w:rsid w:val="00A34797"/>
    <w:rsid w:val="00A42CE5"/>
    <w:rsid w:val="00A45F3F"/>
    <w:rsid w:val="00A50FCF"/>
    <w:rsid w:val="00A528D1"/>
    <w:rsid w:val="00A53688"/>
    <w:rsid w:val="00A54CEE"/>
    <w:rsid w:val="00A610CD"/>
    <w:rsid w:val="00A63DCF"/>
    <w:rsid w:val="00A64D2B"/>
    <w:rsid w:val="00A654BB"/>
    <w:rsid w:val="00A734DC"/>
    <w:rsid w:val="00A758AA"/>
    <w:rsid w:val="00A776E6"/>
    <w:rsid w:val="00A803AE"/>
    <w:rsid w:val="00A82708"/>
    <w:rsid w:val="00A924F0"/>
    <w:rsid w:val="00A9343F"/>
    <w:rsid w:val="00A93F91"/>
    <w:rsid w:val="00A955F6"/>
    <w:rsid w:val="00A95FC1"/>
    <w:rsid w:val="00A96DAD"/>
    <w:rsid w:val="00AA09A2"/>
    <w:rsid w:val="00AA305C"/>
    <w:rsid w:val="00AA4D71"/>
    <w:rsid w:val="00AA620D"/>
    <w:rsid w:val="00AA7996"/>
    <w:rsid w:val="00AA7EAD"/>
    <w:rsid w:val="00AB3141"/>
    <w:rsid w:val="00AB4B07"/>
    <w:rsid w:val="00AB570E"/>
    <w:rsid w:val="00AB5794"/>
    <w:rsid w:val="00AB6EF4"/>
    <w:rsid w:val="00AC01A2"/>
    <w:rsid w:val="00AC19CB"/>
    <w:rsid w:val="00AC3417"/>
    <w:rsid w:val="00AC5AE7"/>
    <w:rsid w:val="00AC5F65"/>
    <w:rsid w:val="00AC6F11"/>
    <w:rsid w:val="00AC7148"/>
    <w:rsid w:val="00AD0919"/>
    <w:rsid w:val="00AD3EF7"/>
    <w:rsid w:val="00AD4EDD"/>
    <w:rsid w:val="00AD6374"/>
    <w:rsid w:val="00AE3DE4"/>
    <w:rsid w:val="00AE5488"/>
    <w:rsid w:val="00AE62FC"/>
    <w:rsid w:val="00AE6D46"/>
    <w:rsid w:val="00AE6F91"/>
    <w:rsid w:val="00AF1AF9"/>
    <w:rsid w:val="00AF5571"/>
    <w:rsid w:val="00AF5D5F"/>
    <w:rsid w:val="00AF7199"/>
    <w:rsid w:val="00B0247A"/>
    <w:rsid w:val="00B050D2"/>
    <w:rsid w:val="00B05B25"/>
    <w:rsid w:val="00B06FF5"/>
    <w:rsid w:val="00B07341"/>
    <w:rsid w:val="00B10793"/>
    <w:rsid w:val="00B12D92"/>
    <w:rsid w:val="00B17F6A"/>
    <w:rsid w:val="00B223D6"/>
    <w:rsid w:val="00B30539"/>
    <w:rsid w:val="00B314DB"/>
    <w:rsid w:val="00B336D4"/>
    <w:rsid w:val="00B35E31"/>
    <w:rsid w:val="00B361F2"/>
    <w:rsid w:val="00B3718B"/>
    <w:rsid w:val="00B3745F"/>
    <w:rsid w:val="00B42C02"/>
    <w:rsid w:val="00B4632A"/>
    <w:rsid w:val="00B51244"/>
    <w:rsid w:val="00B530F1"/>
    <w:rsid w:val="00B63AD0"/>
    <w:rsid w:val="00B63CC9"/>
    <w:rsid w:val="00B810C8"/>
    <w:rsid w:val="00B83158"/>
    <w:rsid w:val="00B8367C"/>
    <w:rsid w:val="00B8394D"/>
    <w:rsid w:val="00B862F9"/>
    <w:rsid w:val="00B87101"/>
    <w:rsid w:val="00B909C7"/>
    <w:rsid w:val="00B93D7F"/>
    <w:rsid w:val="00B9716F"/>
    <w:rsid w:val="00BA1E2C"/>
    <w:rsid w:val="00BA2401"/>
    <w:rsid w:val="00BA276C"/>
    <w:rsid w:val="00BA27E4"/>
    <w:rsid w:val="00BA383F"/>
    <w:rsid w:val="00BA3C88"/>
    <w:rsid w:val="00BB019D"/>
    <w:rsid w:val="00BB27F4"/>
    <w:rsid w:val="00BB306F"/>
    <w:rsid w:val="00BB332F"/>
    <w:rsid w:val="00BB562C"/>
    <w:rsid w:val="00BB66C8"/>
    <w:rsid w:val="00BB6B26"/>
    <w:rsid w:val="00BC1A7B"/>
    <w:rsid w:val="00BC31F2"/>
    <w:rsid w:val="00BC3F49"/>
    <w:rsid w:val="00BC553E"/>
    <w:rsid w:val="00BD0FF5"/>
    <w:rsid w:val="00BD1F2E"/>
    <w:rsid w:val="00BD4655"/>
    <w:rsid w:val="00BD4B89"/>
    <w:rsid w:val="00BD5922"/>
    <w:rsid w:val="00BE2F80"/>
    <w:rsid w:val="00BE2FF6"/>
    <w:rsid w:val="00BE3B01"/>
    <w:rsid w:val="00BF02CB"/>
    <w:rsid w:val="00BF0E97"/>
    <w:rsid w:val="00BF3737"/>
    <w:rsid w:val="00BF6FD8"/>
    <w:rsid w:val="00BF7411"/>
    <w:rsid w:val="00C02DEB"/>
    <w:rsid w:val="00C03680"/>
    <w:rsid w:val="00C0496F"/>
    <w:rsid w:val="00C054DF"/>
    <w:rsid w:val="00C10E34"/>
    <w:rsid w:val="00C21762"/>
    <w:rsid w:val="00C21E3B"/>
    <w:rsid w:val="00C21FEF"/>
    <w:rsid w:val="00C23BA4"/>
    <w:rsid w:val="00C24543"/>
    <w:rsid w:val="00C256A2"/>
    <w:rsid w:val="00C25ADB"/>
    <w:rsid w:val="00C318F3"/>
    <w:rsid w:val="00C3243D"/>
    <w:rsid w:val="00C47317"/>
    <w:rsid w:val="00C51515"/>
    <w:rsid w:val="00C51BE0"/>
    <w:rsid w:val="00C5660B"/>
    <w:rsid w:val="00C56831"/>
    <w:rsid w:val="00C573A0"/>
    <w:rsid w:val="00C612E1"/>
    <w:rsid w:val="00C64F8D"/>
    <w:rsid w:val="00C66B72"/>
    <w:rsid w:val="00C70619"/>
    <w:rsid w:val="00C720E8"/>
    <w:rsid w:val="00C721DB"/>
    <w:rsid w:val="00C72B29"/>
    <w:rsid w:val="00C76591"/>
    <w:rsid w:val="00C76CAA"/>
    <w:rsid w:val="00C81094"/>
    <w:rsid w:val="00C813A3"/>
    <w:rsid w:val="00C8359E"/>
    <w:rsid w:val="00C866C7"/>
    <w:rsid w:val="00C87872"/>
    <w:rsid w:val="00C87AC4"/>
    <w:rsid w:val="00C90F8C"/>
    <w:rsid w:val="00C9124E"/>
    <w:rsid w:val="00C91C88"/>
    <w:rsid w:val="00C92925"/>
    <w:rsid w:val="00C9567A"/>
    <w:rsid w:val="00CA4C3E"/>
    <w:rsid w:val="00CA4C7B"/>
    <w:rsid w:val="00CA75AC"/>
    <w:rsid w:val="00CA7DD1"/>
    <w:rsid w:val="00CB16C7"/>
    <w:rsid w:val="00CB1B14"/>
    <w:rsid w:val="00CB212D"/>
    <w:rsid w:val="00CB22B8"/>
    <w:rsid w:val="00CB23C5"/>
    <w:rsid w:val="00CB2660"/>
    <w:rsid w:val="00CB31A7"/>
    <w:rsid w:val="00CB3F74"/>
    <w:rsid w:val="00CB735E"/>
    <w:rsid w:val="00CB7424"/>
    <w:rsid w:val="00CB7AF1"/>
    <w:rsid w:val="00CC2441"/>
    <w:rsid w:val="00CC5E90"/>
    <w:rsid w:val="00CD046C"/>
    <w:rsid w:val="00CD443B"/>
    <w:rsid w:val="00CD45E6"/>
    <w:rsid w:val="00CD655A"/>
    <w:rsid w:val="00CE076C"/>
    <w:rsid w:val="00CE0C66"/>
    <w:rsid w:val="00CE4A5B"/>
    <w:rsid w:val="00CE5199"/>
    <w:rsid w:val="00CE66D5"/>
    <w:rsid w:val="00CF637A"/>
    <w:rsid w:val="00D02C81"/>
    <w:rsid w:val="00D03F05"/>
    <w:rsid w:val="00D04EC2"/>
    <w:rsid w:val="00D059DE"/>
    <w:rsid w:val="00D05ABD"/>
    <w:rsid w:val="00D11595"/>
    <w:rsid w:val="00D13321"/>
    <w:rsid w:val="00D13FCE"/>
    <w:rsid w:val="00D2360B"/>
    <w:rsid w:val="00D24AD2"/>
    <w:rsid w:val="00D27519"/>
    <w:rsid w:val="00D306D1"/>
    <w:rsid w:val="00D30800"/>
    <w:rsid w:val="00D31E58"/>
    <w:rsid w:val="00D34786"/>
    <w:rsid w:val="00D37BFC"/>
    <w:rsid w:val="00D4136A"/>
    <w:rsid w:val="00D471A2"/>
    <w:rsid w:val="00D47A8E"/>
    <w:rsid w:val="00D51E2D"/>
    <w:rsid w:val="00D52D14"/>
    <w:rsid w:val="00D54081"/>
    <w:rsid w:val="00D57365"/>
    <w:rsid w:val="00D57C4B"/>
    <w:rsid w:val="00D624CA"/>
    <w:rsid w:val="00D6739A"/>
    <w:rsid w:val="00D675EA"/>
    <w:rsid w:val="00D712D3"/>
    <w:rsid w:val="00D71422"/>
    <w:rsid w:val="00D72DC6"/>
    <w:rsid w:val="00D7331E"/>
    <w:rsid w:val="00D74C12"/>
    <w:rsid w:val="00D7558D"/>
    <w:rsid w:val="00D816A9"/>
    <w:rsid w:val="00D81D92"/>
    <w:rsid w:val="00D844B4"/>
    <w:rsid w:val="00D8769D"/>
    <w:rsid w:val="00D876F9"/>
    <w:rsid w:val="00D87AC2"/>
    <w:rsid w:val="00D924D1"/>
    <w:rsid w:val="00D92F63"/>
    <w:rsid w:val="00D9403D"/>
    <w:rsid w:val="00D958A8"/>
    <w:rsid w:val="00DA3061"/>
    <w:rsid w:val="00DA4884"/>
    <w:rsid w:val="00DA55D3"/>
    <w:rsid w:val="00DA647E"/>
    <w:rsid w:val="00DA7B5F"/>
    <w:rsid w:val="00DB2530"/>
    <w:rsid w:val="00DB27E3"/>
    <w:rsid w:val="00DB4778"/>
    <w:rsid w:val="00DC11E7"/>
    <w:rsid w:val="00DC24E3"/>
    <w:rsid w:val="00DC466A"/>
    <w:rsid w:val="00DC60B0"/>
    <w:rsid w:val="00DC7023"/>
    <w:rsid w:val="00DC769A"/>
    <w:rsid w:val="00DC7950"/>
    <w:rsid w:val="00DD227E"/>
    <w:rsid w:val="00DD3D86"/>
    <w:rsid w:val="00DD4AD2"/>
    <w:rsid w:val="00DD6F79"/>
    <w:rsid w:val="00DD7B1F"/>
    <w:rsid w:val="00DE0A58"/>
    <w:rsid w:val="00DE10D7"/>
    <w:rsid w:val="00DE2862"/>
    <w:rsid w:val="00DE2B30"/>
    <w:rsid w:val="00DE4304"/>
    <w:rsid w:val="00DE6772"/>
    <w:rsid w:val="00DF1EC4"/>
    <w:rsid w:val="00DF2917"/>
    <w:rsid w:val="00DF2FFA"/>
    <w:rsid w:val="00DF4D42"/>
    <w:rsid w:val="00DF5E89"/>
    <w:rsid w:val="00E017C5"/>
    <w:rsid w:val="00E01C97"/>
    <w:rsid w:val="00E01CFB"/>
    <w:rsid w:val="00E0340B"/>
    <w:rsid w:val="00E0371E"/>
    <w:rsid w:val="00E04A29"/>
    <w:rsid w:val="00E04A90"/>
    <w:rsid w:val="00E0551F"/>
    <w:rsid w:val="00E077F9"/>
    <w:rsid w:val="00E15774"/>
    <w:rsid w:val="00E15AD5"/>
    <w:rsid w:val="00E16546"/>
    <w:rsid w:val="00E21805"/>
    <w:rsid w:val="00E219C7"/>
    <w:rsid w:val="00E21ED9"/>
    <w:rsid w:val="00E2321A"/>
    <w:rsid w:val="00E247AD"/>
    <w:rsid w:val="00E250CD"/>
    <w:rsid w:val="00E265E3"/>
    <w:rsid w:val="00E2668E"/>
    <w:rsid w:val="00E26C78"/>
    <w:rsid w:val="00E27DF3"/>
    <w:rsid w:val="00E300D7"/>
    <w:rsid w:val="00E313D1"/>
    <w:rsid w:val="00E31E56"/>
    <w:rsid w:val="00E375DF"/>
    <w:rsid w:val="00E40CE4"/>
    <w:rsid w:val="00E40E47"/>
    <w:rsid w:val="00E4118C"/>
    <w:rsid w:val="00E42A37"/>
    <w:rsid w:val="00E43157"/>
    <w:rsid w:val="00E45F67"/>
    <w:rsid w:val="00E461CE"/>
    <w:rsid w:val="00E54FF5"/>
    <w:rsid w:val="00E55A80"/>
    <w:rsid w:val="00E5621C"/>
    <w:rsid w:val="00E56336"/>
    <w:rsid w:val="00E573E4"/>
    <w:rsid w:val="00E60CCB"/>
    <w:rsid w:val="00E63AFF"/>
    <w:rsid w:val="00E64C3D"/>
    <w:rsid w:val="00E64E86"/>
    <w:rsid w:val="00E720CA"/>
    <w:rsid w:val="00E765F5"/>
    <w:rsid w:val="00E8085D"/>
    <w:rsid w:val="00E811FD"/>
    <w:rsid w:val="00E84EB5"/>
    <w:rsid w:val="00E85662"/>
    <w:rsid w:val="00E8789F"/>
    <w:rsid w:val="00E91BCA"/>
    <w:rsid w:val="00E93A00"/>
    <w:rsid w:val="00E9667E"/>
    <w:rsid w:val="00E97B71"/>
    <w:rsid w:val="00EA26F0"/>
    <w:rsid w:val="00EA2F2C"/>
    <w:rsid w:val="00EA3D34"/>
    <w:rsid w:val="00EA5E51"/>
    <w:rsid w:val="00EA641E"/>
    <w:rsid w:val="00EB0BBE"/>
    <w:rsid w:val="00EB0D15"/>
    <w:rsid w:val="00EB33A6"/>
    <w:rsid w:val="00EB4208"/>
    <w:rsid w:val="00EB454D"/>
    <w:rsid w:val="00EB77C7"/>
    <w:rsid w:val="00EB7E38"/>
    <w:rsid w:val="00EC1896"/>
    <w:rsid w:val="00EC3C33"/>
    <w:rsid w:val="00ED0D11"/>
    <w:rsid w:val="00ED0F78"/>
    <w:rsid w:val="00ED549D"/>
    <w:rsid w:val="00ED5E10"/>
    <w:rsid w:val="00ED76BE"/>
    <w:rsid w:val="00EE00E9"/>
    <w:rsid w:val="00EE36C0"/>
    <w:rsid w:val="00EE4586"/>
    <w:rsid w:val="00EE60B4"/>
    <w:rsid w:val="00EF0606"/>
    <w:rsid w:val="00EF06B1"/>
    <w:rsid w:val="00EF1AAA"/>
    <w:rsid w:val="00EF4ED0"/>
    <w:rsid w:val="00EF619B"/>
    <w:rsid w:val="00EF6933"/>
    <w:rsid w:val="00EF7EB3"/>
    <w:rsid w:val="00F00B55"/>
    <w:rsid w:val="00F02AD1"/>
    <w:rsid w:val="00F046D0"/>
    <w:rsid w:val="00F13E00"/>
    <w:rsid w:val="00F16309"/>
    <w:rsid w:val="00F17870"/>
    <w:rsid w:val="00F2104C"/>
    <w:rsid w:val="00F253CC"/>
    <w:rsid w:val="00F3182C"/>
    <w:rsid w:val="00F33C9E"/>
    <w:rsid w:val="00F3680A"/>
    <w:rsid w:val="00F37106"/>
    <w:rsid w:val="00F40CA7"/>
    <w:rsid w:val="00F44E25"/>
    <w:rsid w:val="00F50C26"/>
    <w:rsid w:val="00F519CF"/>
    <w:rsid w:val="00F54C18"/>
    <w:rsid w:val="00F56BA5"/>
    <w:rsid w:val="00F60C89"/>
    <w:rsid w:val="00F60E22"/>
    <w:rsid w:val="00F6361C"/>
    <w:rsid w:val="00F65504"/>
    <w:rsid w:val="00F67486"/>
    <w:rsid w:val="00F711C3"/>
    <w:rsid w:val="00F71A7B"/>
    <w:rsid w:val="00F76F54"/>
    <w:rsid w:val="00F7770E"/>
    <w:rsid w:val="00F80D59"/>
    <w:rsid w:val="00F81395"/>
    <w:rsid w:val="00F81BB8"/>
    <w:rsid w:val="00F8227D"/>
    <w:rsid w:val="00F90926"/>
    <w:rsid w:val="00F90C64"/>
    <w:rsid w:val="00F917D1"/>
    <w:rsid w:val="00F94136"/>
    <w:rsid w:val="00F95C17"/>
    <w:rsid w:val="00F9653B"/>
    <w:rsid w:val="00F9763D"/>
    <w:rsid w:val="00FA4195"/>
    <w:rsid w:val="00FA57F5"/>
    <w:rsid w:val="00FA6AEF"/>
    <w:rsid w:val="00FA6E4B"/>
    <w:rsid w:val="00FB3929"/>
    <w:rsid w:val="00FB507A"/>
    <w:rsid w:val="00FB50BC"/>
    <w:rsid w:val="00FB62CF"/>
    <w:rsid w:val="00FC233B"/>
    <w:rsid w:val="00FC56A0"/>
    <w:rsid w:val="00FC6219"/>
    <w:rsid w:val="00FC66E2"/>
    <w:rsid w:val="00FD0F47"/>
    <w:rsid w:val="00FD3C3B"/>
    <w:rsid w:val="00FD4A99"/>
    <w:rsid w:val="00FE07DD"/>
    <w:rsid w:val="00FE0AF1"/>
    <w:rsid w:val="00FE3245"/>
    <w:rsid w:val="00FE34AC"/>
    <w:rsid w:val="00FE6B45"/>
    <w:rsid w:val="00FF2079"/>
    <w:rsid w:val="00FF2F7C"/>
    <w:rsid w:val="00FF4C1E"/>
    <w:rsid w:val="00FF55F3"/>
    <w:rsid w:val="00FF5851"/>
    <w:rsid w:val="00FF5E6F"/>
    <w:rsid w:val="00FF6335"/>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f1"/>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unhideWhenUsed/>
    <w:rsid w:val="00B06FF5"/>
    <w:rPr>
      <w:sz w:val="20"/>
      <w:szCs w:val="20"/>
    </w:rPr>
  </w:style>
  <w:style w:type="character" w:customStyle="1" w:styleId="CommentTextChar">
    <w:name w:val="Comment Text Char"/>
    <w:basedOn w:val="DefaultParagraphFont"/>
    <w:link w:val="CommentText"/>
    <w:uiPriority w:val="99"/>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760EA9"/>
  </w:style>
  <w:style w:type="paragraph" w:customStyle="1" w:styleId="Char2">
    <w:name w:val="Char2"/>
    <w:basedOn w:val="Normal"/>
    <w:rsid w:val="00B17F6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normaltextrun">
    <w:name w:val="normaltextrun"/>
    <w:basedOn w:val="DefaultParagraphFont"/>
    <w:rsid w:val="00690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105854320">
      <w:bodyDiv w:val="1"/>
      <w:marLeft w:val="0"/>
      <w:marRight w:val="0"/>
      <w:marTop w:val="0"/>
      <w:marBottom w:val="0"/>
      <w:divBdr>
        <w:top w:val="none" w:sz="0" w:space="0" w:color="auto"/>
        <w:left w:val="none" w:sz="0" w:space="0" w:color="auto"/>
        <w:bottom w:val="none" w:sz="0" w:space="0" w:color="auto"/>
        <w:right w:val="none" w:sz="0" w:space="0" w:color="auto"/>
      </w:divBdr>
    </w:div>
    <w:div w:id="122428525">
      <w:bodyDiv w:val="1"/>
      <w:marLeft w:val="0"/>
      <w:marRight w:val="0"/>
      <w:marTop w:val="0"/>
      <w:marBottom w:val="0"/>
      <w:divBdr>
        <w:top w:val="none" w:sz="0" w:space="0" w:color="auto"/>
        <w:left w:val="none" w:sz="0" w:space="0" w:color="auto"/>
        <w:bottom w:val="none" w:sz="0" w:space="0" w:color="auto"/>
        <w:right w:val="none" w:sz="0" w:space="0" w:color="auto"/>
      </w:divBdr>
    </w:div>
    <w:div w:id="251282800">
      <w:bodyDiv w:val="1"/>
      <w:marLeft w:val="0"/>
      <w:marRight w:val="0"/>
      <w:marTop w:val="0"/>
      <w:marBottom w:val="0"/>
      <w:divBdr>
        <w:top w:val="none" w:sz="0" w:space="0" w:color="auto"/>
        <w:left w:val="none" w:sz="0" w:space="0" w:color="auto"/>
        <w:bottom w:val="none" w:sz="0" w:space="0" w:color="auto"/>
        <w:right w:val="none" w:sz="0" w:space="0" w:color="auto"/>
      </w:divBdr>
    </w:div>
    <w:div w:id="279846750">
      <w:bodyDiv w:val="1"/>
      <w:marLeft w:val="0"/>
      <w:marRight w:val="0"/>
      <w:marTop w:val="0"/>
      <w:marBottom w:val="0"/>
      <w:divBdr>
        <w:top w:val="none" w:sz="0" w:space="0" w:color="auto"/>
        <w:left w:val="none" w:sz="0" w:space="0" w:color="auto"/>
        <w:bottom w:val="none" w:sz="0" w:space="0" w:color="auto"/>
        <w:right w:val="none" w:sz="0" w:space="0" w:color="auto"/>
      </w:divBdr>
    </w:div>
    <w:div w:id="283925142">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00573527">
      <w:bodyDiv w:val="1"/>
      <w:marLeft w:val="0"/>
      <w:marRight w:val="0"/>
      <w:marTop w:val="0"/>
      <w:marBottom w:val="0"/>
      <w:divBdr>
        <w:top w:val="none" w:sz="0" w:space="0" w:color="auto"/>
        <w:left w:val="none" w:sz="0" w:space="0" w:color="auto"/>
        <w:bottom w:val="none" w:sz="0" w:space="0" w:color="auto"/>
        <w:right w:val="none" w:sz="0" w:space="0" w:color="auto"/>
      </w:divBdr>
    </w:div>
    <w:div w:id="360277815">
      <w:bodyDiv w:val="1"/>
      <w:marLeft w:val="0"/>
      <w:marRight w:val="0"/>
      <w:marTop w:val="0"/>
      <w:marBottom w:val="0"/>
      <w:divBdr>
        <w:top w:val="none" w:sz="0" w:space="0" w:color="auto"/>
        <w:left w:val="none" w:sz="0" w:space="0" w:color="auto"/>
        <w:bottom w:val="none" w:sz="0" w:space="0" w:color="auto"/>
        <w:right w:val="none" w:sz="0" w:space="0" w:color="auto"/>
      </w:divBdr>
    </w:div>
    <w:div w:id="400296725">
      <w:bodyDiv w:val="1"/>
      <w:marLeft w:val="0"/>
      <w:marRight w:val="0"/>
      <w:marTop w:val="0"/>
      <w:marBottom w:val="0"/>
      <w:divBdr>
        <w:top w:val="none" w:sz="0" w:space="0" w:color="auto"/>
        <w:left w:val="none" w:sz="0" w:space="0" w:color="auto"/>
        <w:bottom w:val="none" w:sz="0" w:space="0" w:color="auto"/>
        <w:right w:val="none" w:sz="0" w:space="0" w:color="auto"/>
      </w:divBdr>
    </w:div>
    <w:div w:id="443235287">
      <w:bodyDiv w:val="1"/>
      <w:marLeft w:val="0"/>
      <w:marRight w:val="0"/>
      <w:marTop w:val="0"/>
      <w:marBottom w:val="0"/>
      <w:divBdr>
        <w:top w:val="none" w:sz="0" w:space="0" w:color="auto"/>
        <w:left w:val="none" w:sz="0" w:space="0" w:color="auto"/>
        <w:bottom w:val="none" w:sz="0" w:space="0" w:color="auto"/>
        <w:right w:val="none" w:sz="0" w:space="0" w:color="auto"/>
      </w:divBdr>
    </w:div>
    <w:div w:id="446003990">
      <w:bodyDiv w:val="1"/>
      <w:marLeft w:val="0"/>
      <w:marRight w:val="0"/>
      <w:marTop w:val="0"/>
      <w:marBottom w:val="0"/>
      <w:divBdr>
        <w:top w:val="none" w:sz="0" w:space="0" w:color="auto"/>
        <w:left w:val="none" w:sz="0" w:space="0" w:color="auto"/>
        <w:bottom w:val="none" w:sz="0" w:space="0" w:color="auto"/>
        <w:right w:val="none" w:sz="0" w:space="0" w:color="auto"/>
      </w:divBdr>
    </w:div>
    <w:div w:id="459499597">
      <w:bodyDiv w:val="1"/>
      <w:marLeft w:val="0"/>
      <w:marRight w:val="0"/>
      <w:marTop w:val="0"/>
      <w:marBottom w:val="0"/>
      <w:divBdr>
        <w:top w:val="none" w:sz="0" w:space="0" w:color="auto"/>
        <w:left w:val="none" w:sz="0" w:space="0" w:color="auto"/>
        <w:bottom w:val="none" w:sz="0" w:space="0" w:color="auto"/>
        <w:right w:val="none" w:sz="0" w:space="0" w:color="auto"/>
      </w:divBdr>
    </w:div>
    <w:div w:id="532811894">
      <w:bodyDiv w:val="1"/>
      <w:marLeft w:val="0"/>
      <w:marRight w:val="0"/>
      <w:marTop w:val="0"/>
      <w:marBottom w:val="0"/>
      <w:divBdr>
        <w:top w:val="none" w:sz="0" w:space="0" w:color="auto"/>
        <w:left w:val="none" w:sz="0" w:space="0" w:color="auto"/>
        <w:bottom w:val="none" w:sz="0" w:space="0" w:color="auto"/>
        <w:right w:val="none" w:sz="0" w:space="0" w:color="auto"/>
      </w:divBdr>
    </w:div>
    <w:div w:id="533857061">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41405349">
      <w:bodyDiv w:val="1"/>
      <w:marLeft w:val="0"/>
      <w:marRight w:val="0"/>
      <w:marTop w:val="0"/>
      <w:marBottom w:val="0"/>
      <w:divBdr>
        <w:top w:val="none" w:sz="0" w:space="0" w:color="auto"/>
        <w:left w:val="none" w:sz="0" w:space="0" w:color="auto"/>
        <w:bottom w:val="none" w:sz="0" w:space="0" w:color="auto"/>
        <w:right w:val="none" w:sz="0" w:space="0" w:color="auto"/>
      </w:divBdr>
    </w:div>
    <w:div w:id="557742875">
      <w:bodyDiv w:val="1"/>
      <w:marLeft w:val="0"/>
      <w:marRight w:val="0"/>
      <w:marTop w:val="0"/>
      <w:marBottom w:val="0"/>
      <w:divBdr>
        <w:top w:val="none" w:sz="0" w:space="0" w:color="auto"/>
        <w:left w:val="none" w:sz="0" w:space="0" w:color="auto"/>
        <w:bottom w:val="none" w:sz="0" w:space="0" w:color="auto"/>
        <w:right w:val="none" w:sz="0" w:space="0" w:color="auto"/>
      </w:divBdr>
    </w:div>
    <w:div w:id="559168810">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623467821">
      <w:bodyDiv w:val="1"/>
      <w:marLeft w:val="0"/>
      <w:marRight w:val="0"/>
      <w:marTop w:val="0"/>
      <w:marBottom w:val="0"/>
      <w:divBdr>
        <w:top w:val="none" w:sz="0" w:space="0" w:color="auto"/>
        <w:left w:val="none" w:sz="0" w:space="0" w:color="auto"/>
        <w:bottom w:val="none" w:sz="0" w:space="0" w:color="auto"/>
        <w:right w:val="none" w:sz="0" w:space="0" w:color="auto"/>
      </w:divBdr>
    </w:div>
    <w:div w:id="753553041">
      <w:bodyDiv w:val="1"/>
      <w:marLeft w:val="0"/>
      <w:marRight w:val="0"/>
      <w:marTop w:val="0"/>
      <w:marBottom w:val="0"/>
      <w:divBdr>
        <w:top w:val="none" w:sz="0" w:space="0" w:color="auto"/>
        <w:left w:val="none" w:sz="0" w:space="0" w:color="auto"/>
        <w:bottom w:val="none" w:sz="0" w:space="0" w:color="auto"/>
        <w:right w:val="none" w:sz="0" w:space="0" w:color="auto"/>
      </w:divBdr>
    </w:div>
    <w:div w:id="758990457">
      <w:bodyDiv w:val="1"/>
      <w:marLeft w:val="0"/>
      <w:marRight w:val="0"/>
      <w:marTop w:val="0"/>
      <w:marBottom w:val="0"/>
      <w:divBdr>
        <w:top w:val="none" w:sz="0" w:space="0" w:color="auto"/>
        <w:left w:val="none" w:sz="0" w:space="0" w:color="auto"/>
        <w:bottom w:val="none" w:sz="0" w:space="0" w:color="auto"/>
        <w:right w:val="none" w:sz="0" w:space="0" w:color="auto"/>
      </w:divBdr>
    </w:div>
    <w:div w:id="797802228">
      <w:bodyDiv w:val="1"/>
      <w:marLeft w:val="0"/>
      <w:marRight w:val="0"/>
      <w:marTop w:val="0"/>
      <w:marBottom w:val="0"/>
      <w:divBdr>
        <w:top w:val="none" w:sz="0" w:space="0" w:color="auto"/>
        <w:left w:val="none" w:sz="0" w:space="0" w:color="auto"/>
        <w:bottom w:val="none" w:sz="0" w:space="0" w:color="auto"/>
        <w:right w:val="none" w:sz="0" w:space="0" w:color="auto"/>
      </w:divBdr>
    </w:div>
    <w:div w:id="848645714">
      <w:bodyDiv w:val="1"/>
      <w:marLeft w:val="0"/>
      <w:marRight w:val="0"/>
      <w:marTop w:val="0"/>
      <w:marBottom w:val="0"/>
      <w:divBdr>
        <w:top w:val="none" w:sz="0" w:space="0" w:color="auto"/>
        <w:left w:val="none" w:sz="0" w:space="0" w:color="auto"/>
        <w:bottom w:val="none" w:sz="0" w:space="0" w:color="auto"/>
        <w:right w:val="none" w:sz="0" w:space="0" w:color="auto"/>
      </w:divBdr>
    </w:div>
    <w:div w:id="900477752">
      <w:bodyDiv w:val="1"/>
      <w:marLeft w:val="0"/>
      <w:marRight w:val="0"/>
      <w:marTop w:val="0"/>
      <w:marBottom w:val="0"/>
      <w:divBdr>
        <w:top w:val="none" w:sz="0" w:space="0" w:color="auto"/>
        <w:left w:val="none" w:sz="0" w:space="0" w:color="auto"/>
        <w:bottom w:val="none" w:sz="0" w:space="0" w:color="auto"/>
        <w:right w:val="none" w:sz="0" w:space="0" w:color="auto"/>
      </w:divBdr>
    </w:div>
    <w:div w:id="904804235">
      <w:bodyDiv w:val="1"/>
      <w:marLeft w:val="0"/>
      <w:marRight w:val="0"/>
      <w:marTop w:val="0"/>
      <w:marBottom w:val="0"/>
      <w:divBdr>
        <w:top w:val="none" w:sz="0" w:space="0" w:color="auto"/>
        <w:left w:val="none" w:sz="0" w:space="0" w:color="auto"/>
        <w:bottom w:val="none" w:sz="0" w:space="0" w:color="auto"/>
        <w:right w:val="none" w:sz="0" w:space="0" w:color="auto"/>
      </w:divBdr>
    </w:div>
    <w:div w:id="926382103">
      <w:bodyDiv w:val="1"/>
      <w:marLeft w:val="0"/>
      <w:marRight w:val="0"/>
      <w:marTop w:val="0"/>
      <w:marBottom w:val="0"/>
      <w:divBdr>
        <w:top w:val="none" w:sz="0" w:space="0" w:color="auto"/>
        <w:left w:val="none" w:sz="0" w:space="0" w:color="auto"/>
        <w:bottom w:val="none" w:sz="0" w:space="0" w:color="auto"/>
        <w:right w:val="none" w:sz="0" w:space="0" w:color="auto"/>
      </w:divBdr>
    </w:div>
    <w:div w:id="945422961">
      <w:bodyDiv w:val="1"/>
      <w:marLeft w:val="0"/>
      <w:marRight w:val="0"/>
      <w:marTop w:val="0"/>
      <w:marBottom w:val="0"/>
      <w:divBdr>
        <w:top w:val="none" w:sz="0" w:space="0" w:color="auto"/>
        <w:left w:val="none" w:sz="0" w:space="0" w:color="auto"/>
        <w:bottom w:val="none" w:sz="0" w:space="0" w:color="auto"/>
        <w:right w:val="none" w:sz="0" w:space="0" w:color="auto"/>
      </w:divBdr>
    </w:div>
    <w:div w:id="947656981">
      <w:bodyDiv w:val="1"/>
      <w:marLeft w:val="0"/>
      <w:marRight w:val="0"/>
      <w:marTop w:val="0"/>
      <w:marBottom w:val="0"/>
      <w:divBdr>
        <w:top w:val="none" w:sz="0" w:space="0" w:color="auto"/>
        <w:left w:val="none" w:sz="0" w:space="0" w:color="auto"/>
        <w:bottom w:val="none" w:sz="0" w:space="0" w:color="auto"/>
        <w:right w:val="none" w:sz="0" w:space="0" w:color="auto"/>
      </w:divBdr>
    </w:div>
    <w:div w:id="967201668">
      <w:bodyDiv w:val="1"/>
      <w:marLeft w:val="0"/>
      <w:marRight w:val="0"/>
      <w:marTop w:val="0"/>
      <w:marBottom w:val="0"/>
      <w:divBdr>
        <w:top w:val="none" w:sz="0" w:space="0" w:color="auto"/>
        <w:left w:val="none" w:sz="0" w:space="0" w:color="auto"/>
        <w:bottom w:val="none" w:sz="0" w:space="0" w:color="auto"/>
        <w:right w:val="none" w:sz="0" w:space="0" w:color="auto"/>
      </w:divBdr>
    </w:div>
    <w:div w:id="1076900763">
      <w:bodyDiv w:val="1"/>
      <w:marLeft w:val="0"/>
      <w:marRight w:val="0"/>
      <w:marTop w:val="0"/>
      <w:marBottom w:val="0"/>
      <w:divBdr>
        <w:top w:val="none" w:sz="0" w:space="0" w:color="auto"/>
        <w:left w:val="none" w:sz="0" w:space="0" w:color="auto"/>
        <w:bottom w:val="none" w:sz="0" w:space="0" w:color="auto"/>
        <w:right w:val="none" w:sz="0" w:space="0" w:color="auto"/>
      </w:divBdr>
    </w:div>
    <w:div w:id="1126391634">
      <w:bodyDiv w:val="1"/>
      <w:marLeft w:val="0"/>
      <w:marRight w:val="0"/>
      <w:marTop w:val="0"/>
      <w:marBottom w:val="0"/>
      <w:divBdr>
        <w:top w:val="none" w:sz="0" w:space="0" w:color="auto"/>
        <w:left w:val="none" w:sz="0" w:space="0" w:color="auto"/>
        <w:bottom w:val="none" w:sz="0" w:space="0" w:color="auto"/>
        <w:right w:val="none" w:sz="0" w:space="0" w:color="auto"/>
      </w:divBdr>
    </w:div>
    <w:div w:id="1178428013">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186214836">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84846576">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340700245">
      <w:bodyDiv w:val="1"/>
      <w:marLeft w:val="0"/>
      <w:marRight w:val="0"/>
      <w:marTop w:val="0"/>
      <w:marBottom w:val="0"/>
      <w:divBdr>
        <w:top w:val="none" w:sz="0" w:space="0" w:color="auto"/>
        <w:left w:val="none" w:sz="0" w:space="0" w:color="auto"/>
        <w:bottom w:val="none" w:sz="0" w:space="0" w:color="auto"/>
        <w:right w:val="none" w:sz="0" w:space="0" w:color="auto"/>
      </w:divBdr>
    </w:div>
    <w:div w:id="1400246758">
      <w:bodyDiv w:val="1"/>
      <w:marLeft w:val="0"/>
      <w:marRight w:val="0"/>
      <w:marTop w:val="0"/>
      <w:marBottom w:val="0"/>
      <w:divBdr>
        <w:top w:val="none" w:sz="0" w:space="0" w:color="auto"/>
        <w:left w:val="none" w:sz="0" w:space="0" w:color="auto"/>
        <w:bottom w:val="none" w:sz="0" w:space="0" w:color="auto"/>
        <w:right w:val="none" w:sz="0" w:space="0" w:color="auto"/>
      </w:divBdr>
    </w:div>
    <w:div w:id="1402362187">
      <w:bodyDiv w:val="1"/>
      <w:marLeft w:val="0"/>
      <w:marRight w:val="0"/>
      <w:marTop w:val="0"/>
      <w:marBottom w:val="0"/>
      <w:divBdr>
        <w:top w:val="none" w:sz="0" w:space="0" w:color="auto"/>
        <w:left w:val="none" w:sz="0" w:space="0" w:color="auto"/>
        <w:bottom w:val="none" w:sz="0" w:space="0" w:color="auto"/>
        <w:right w:val="none" w:sz="0" w:space="0" w:color="auto"/>
      </w:divBdr>
    </w:div>
    <w:div w:id="1426996222">
      <w:bodyDiv w:val="1"/>
      <w:marLeft w:val="0"/>
      <w:marRight w:val="0"/>
      <w:marTop w:val="0"/>
      <w:marBottom w:val="0"/>
      <w:divBdr>
        <w:top w:val="none" w:sz="0" w:space="0" w:color="auto"/>
        <w:left w:val="none" w:sz="0" w:space="0" w:color="auto"/>
        <w:bottom w:val="none" w:sz="0" w:space="0" w:color="auto"/>
        <w:right w:val="none" w:sz="0" w:space="0" w:color="auto"/>
      </w:divBdr>
    </w:div>
    <w:div w:id="1479614917">
      <w:bodyDiv w:val="1"/>
      <w:marLeft w:val="0"/>
      <w:marRight w:val="0"/>
      <w:marTop w:val="0"/>
      <w:marBottom w:val="0"/>
      <w:divBdr>
        <w:top w:val="none" w:sz="0" w:space="0" w:color="auto"/>
        <w:left w:val="none" w:sz="0" w:space="0" w:color="auto"/>
        <w:bottom w:val="none" w:sz="0" w:space="0" w:color="auto"/>
        <w:right w:val="none" w:sz="0" w:space="0" w:color="auto"/>
      </w:divBdr>
    </w:div>
    <w:div w:id="1494642076">
      <w:bodyDiv w:val="1"/>
      <w:marLeft w:val="0"/>
      <w:marRight w:val="0"/>
      <w:marTop w:val="0"/>
      <w:marBottom w:val="0"/>
      <w:divBdr>
        <w:top w:val="none" w:sz="0" w:space="0" w:color="auto"/>
        <w:left w:val="none" w:sz="0" w:space="0" w:color="auto"/>
        <w:bottom w:val="none" w:sz="0" w:space="0" w:color="auto"/>
        <w:right w:val="none" w:sz="0" w:space="0" w:color="auto"/>
      </w:divBdr>
    </w:div>
    <w:div w:id="1550263647">
      <w:bodyDiv w:val="1"/>
      <w:marLeft w:val="0"/>
      <w:marRight w:val="0"/>
      <w:marTop w:val="0"/>
      <w:marBottom w:val="0"/>
      <w:divBdr>
        <w:top w:val="none" w:sz="0" w:space="0" w:color="auto"/>
        <w:left w:val="none" w:sz="0" w:space="0" w:color="auto"/>
        <w:bottom w:val="none" w:sz="0" w:space="0" w:color="auto"/>
        <w:right w:val="none" w:sz="0" w:space="0" w:color="auto"/>
      </w:divBdr>
    </w:div>
    <w:div w:id="1566992180">
      <w:bodyDiv w:val="1"/>
      <w:marLeft w:val="0"/>
      <w:marRight w:val="0"/>
      <w:marTop w:val="0"/>
      <w:marBottom w:val="0"/>
      <w:divBdr>
        <w:top w:val="none" w:sz="0" w:space="0" w:color="auto"/>
        <w:left w:val="none" w:sz="0" w:space="0" w:color="auto"/>
        <w:bottom w:val="none" w:sz="0" w:space="0" w:color="auto"/>
        <w:right w:val="none" w:sz="0" w:space="0" w:color="auto"/>
      </w:divBdr>
    </w:div>
    <w:div w:id="1574005850">
      <w:bodyDiv w:val="1"/>
      <w:marLeft w:val="0"/>
      <w:marRight w:val="0"/>
      <w:marTop w:val="0"/>
      <w:marBottom w:val="0"/>
      <w:divBdr>
        <w:top w:val="none" w:sz="0" w:space="0" w:color="auto"/>
        <w:left w:val="none" w:sz="0" w:space="0" w:color="auto"/>
        <w:bottom w:val="none" w:sz="0" w:space="0" w:color="auto"/>
        <w:right w:val="none" w:sz="0" w:space="0" w:color="auto"/>
      </w:divBdr>
    </w:div>
    <w:div w:id="1667636898">
      <w:bodyDiv w:val="1"/>
      <w:marLeft w:val="0"/>
      <w:marRight w:val="0"/>
      <w:marTop w:val="0"/>
      <w:marBottom w:val="0"/>
      <w:divBdr>
        <w:top w:val="none" w:sz="0" w:space="0" w:color="auto"/>
        <w:left w:val="none" w:sz="0" w:space="0" w:color="auto"/>
        <w:bottom w:val="none" w:sz="0" w:space="0" w:color="auto"/>
        <w:right w:val="none" w:sz="0" w:space="0" w:color="auto"/>
      </w:divBdr>
    </w:div>
    <w:div w:id="1711418215">
      <w:bodyDiv w:val="1"/>
      <w:marLeft w:val="0"/>
      <w:marRight w:val="0"/>
      <w:marTop w:val="0"/>
      <w:marBottom w:val="0"/>
      <w:divBdr>
        <w:top w:val="none" w:sz="0" w:space="0" w:color="auto"/>
        <w:left w:val="none" w:sz="0" w:space="0" w:color="auto"/>
        <w:bottom w:val="none" w:sz="0" w:space="0" w:color="auto"/>
        <w:right w:val="none" w:sz="0" w:space="0" w:color="auto"/>
      </w:divBdr>
    </w:div>
    <w:div w:id="1730105070">
      <w:bodyDiv w:val="1"/>
      <w:marLeft w:val="0"/>
      <w:marRight w:val="0"/>
      <w:marTop w:val="0"/>
      <w:marBottom w:val="0"/>
      <w:divBdr>
        <w:top w:val="none" w:sz="0" w:space="0" w:color="auto"/>
        <w:left w:val="none" w:sz="0" w:space="0" w:color="auto"/>
        <w:bottom w:val="none" w:sz="0" w:space="0" w:color="auto"/>
        <w:right w:val="none" w:sz="0" w:space="0" w:color="auto"/>
      </w:divBdr>
    </w:div>
    <w:div w:id="174556797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6126335">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1952934858">
      <w:bodyDiv w:val="1"/>
      <w:marLeft w:val="0"/>
      <w:marRight w:val="0"/>
      <w:marTop w:val="0"/>
      <w:marBottom w:val="0"/>
      <w:divBdr>
        <w:top w:val="none" w:sz="0" w:space="0" w:color="auto"/>
        <w:left w:val="none" w:sz="0" w:space="0" w:color="auto"/>
        <w:bottom w:val="none" w:sz="0" w:space="0" w:color="auto"/>
        <w:right w:val="none" w:sz="0" w:space="0" w:color="auto"/>
      </w:divBdr>
    </w:div>
    <w:div w:id="1977829331">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543AD86C0BCF4E8AF8FAED4FFF4D63"/>
        <w:category>
          <w:name w:val="General"/>
          <w:gallery w:val="placeholder"/>
        </w:category>
        <w:types>
          <w:type w:val="bbPlcHdr"/>
        </w:types>
        <w:behaviors>
          <w:behavior w:val="content"/>
        </w:behaviors>
        <w:guid w:val="{39D375DD-67B7-E141-B484-97007E430AA6}"/>
      </w:docPartPr>
      <w:docPartBody>
        <w:p w:rsidR="00CB6793" w:rsidRDefault="00827C79" w:rsidP="00827C79">
          <w:pPr>
            <w:pStyle w:val="9B543AD86C0BCF4E8AF8FAED4FFF4D63"/>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0E60FB"/>
    <w:rsid w:val="000F3F6D"/>
    <w:rsid w:val="00132922"/>
    <w:rsid w:val="001475A3"/>
    <w:rsid w:val="001E7EFE"/>
    <w:rsid w:val="00200821"/>
    <w:rsid w:val="0025245B"/>
    <w:rsid w:val="00287933"/>
    <w:rsid w:val="00292641"/>
    <w:rsid w:val="002A3923"/>
    <w:rsid w:val="002A4BC9"/>
    <w:rsid w:val="002C2E13"/>
    <w:rsid w:val="00394049"/>
    <w:rsid w:val="003B0C71"/>
    <w:rsid w:val="004B5BBB"/>
    <w:rsid w:val="004F2DF8"/>
    <w:rsid w:val="00517E2A"/>
    <w:rsid w:val="00545676"/>
    <w:rsid w:val="00682DDF"/>
    <w:rsid w:val="006D12AA"/>
    <w:rsid w:val="006F24A1"/>
    <w:rsid w:val="0075755A"/>
    <w:rsid w:val="00775C63"/>
    <w:rsid w:val="00821910"/>
    <w:rsid w:val="00827C79"/>
    <w:rsid w:val="00875B8A"/>
    <w:rsid w:val="009A1141"/>
    <w:rsid w:val="009A261B"/>
    <w:rsid w:val="009A67F1"/>
    <w:rsid w:val="009A6D17"/>
    <w:rsid w:val="00A313FB"/>
    <w:rsid w:val="00A97724"/>
    <w:rsid w:val="00AA2E17"/>
    <w:rsid w:val="00AC15A4"/>
    <w:rsid w:val="00AD0919"/>
    <w:rsid w:val="00B0336C"/>
    <w:rsid w:val="00B10F9F"/>
    <w:rsid w:val="00BD73DB"/>
    <w:rsid w:val="00C82719"/>
    <w:rsid w:val="00CA4C3E"/>
    <w:rsid w:val="00CB23C5"/>
    <w:rsid w:val="00CB6793"/>
    <w:rsid w:val="00CC2441"/>
    <w:rsid w:val="00CE6EC1"/>
    <w:rsid w:val="00D2360B"/>
    <w:rsid w:val="00D241E9"/>
    <w:rsid w:val="00D57365"/>
    <w:rsid w:val="00D7750D"/>
    <w:rsid w:val="00DA55D3"/>
    <w:rsid w:val="00DB4778"/>
    <w:rsid w:val="00DD52F0"/>
    <w:rsid w:val="00E00176"/>
    <w:rsid w:val="00E15AD5"/>
    <w:rsid w:val="00EF622F"/>
    <w:rsid w:val="00F00D2F"/>
    <w:rsid w:val="00F124B2"/>
    <w:rsid w:val="00F128DF"/>
    <w:rsid w:val="00FF08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C79"/>
    <w:rPr>
      <w:color w:val="808080"/>
    </w:rPr>
  </w:style>
  <w:style w:type="paragraph" w:customStyle="1" w:styleId="9B543AD86C0BCF4E8AF8FAED4FFF4D63">
    <w:name w:val="9B543AD86C0BCF4E8AF8FAED4FFF4D63"/>
    <w:rsid w:val="00827C79"/>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2699</Words>
  <Characters>15389</Characters>
  <Application>Microsoft Office Word</Application>
  <DocSecurity>0</DocSecurity>
  <Lines>128</Lines>
  <Paragraphs>36</Paragraphs>
  <ScaleCrop>false</ScaleCrop>
  <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2025-02-10T19:40:00Z</dcterms:created>
  <dcterms:modified xsi:type="dcterms:W3CDTF">2025-02-10T19:40:00Z</dcterms:modified>
</cp:coreProperties>
</file>