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8D6E5C" w:rsidRDefault="00775602" w:rsidP="00627C9F">
      <w:pPr>
        <w:jc w:val="both"/>
        <w:rPr>
          <w:rFonts w:ascii="Cambria" w:hAnsi="Cambria" w:cs="Univers"/>
          <w:b/>
          <w:bCs/>
          <w:sz w:val="22"/>
          <w:szCs w:val="22"/>
        </w:rPr>
      </w:pPr>
      <w:r w:rsidRPr="008D6E5C">
        <w:rPr>
          <w:noProof/>
          <w:bdr w:val="none" w:sz="0" w:space="0" w:color="auto"/>
        </w:rPr>
        <mc:AlternateContent>
          <mc:Choice Requires="wps">
            <w:drawing>
              <wp:anchor distT="0" distB="0" distL="114300" distR="114300" simplePos="0" relativeHeight="251654144" behindDoc="0" locked="0" layoutInCell="1" allowOverlap="1" wp14:anchorId="4F56BF25" wp14:editId="4DEFDDDC">
                <wp:simplePos x="0" y="0"/>
                <wp:positionH relativeFrom="column">
                  <wp:posOffset>-415925</wp:posOffset>
                </wp:positionH>
                <wp:positionV relativeFrom="paragraph">
                  <wp:posOffset>-356870</wp:posOffset>
                </wp:positionV>
                <wp:extent cx="1409700" cy="897763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67AE3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" fillcolor="#67ae3c" stroked="f" strokeweight="2pt">
                <v:path arrowok="t"/>
              </v:rect>
            </w:pict>
          </mc:Fallback>
        </mc:AlternateContent>
      </w:r>
      <w:r w:rsidRPr="008D6E5C">
        <w:rPr>
          <w:noProof/>
          <w:bdr w:val="none" w:sz="0" w:space="0" w:color="auto"/>
        </w:rPr>
        <mc:AlternateContent>
          <mc:Choice Requires="wps">
            <w:drawing>
              <wp:anchor distT="0" distB="0" distL="114300" distR="114300" simplePos="0" relativeHeight="251658240" behindDoc="0" locked="0" layoutInCell="1" allowOverlap="1" wp14:anchorId="061F1E96" wp14:editId="72E515EA">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txbx>
                        <w:txbxContent>
                          <w:p w:rsidR="00F8558A" w:rsidRDefault="00F8558A">
                            <w:r>
                              <w:rPr>
                                <w:noProof/>
                              </w:rPr>
                              <w:drawing>
                                <wp:inline distT="0" distB="0" distL="0" distR="0" wp14:anchorId="1DBA947F" wp14:editId="19DF87B5">
                                  <wp:extent cx="2519045" cy="483235"/>
                                  <wp:effectExtent l="0" t="0" r="0" b="0"/>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" filled="f" stroked="f" strokeweight=".5pt">
                <v:path arrowok="t"/>
                <v:textbox>
                  <w:txbxContent>
                    <w:p w:rsidR="00F8558A" w:rsidRDefault="00F8558A">
                      <w:r>
                        <w:rPr>
                          <w:noProof/>
                        </w:rPr>
                        <w:drawing>
                          <wp:inline distT="0" distB="0" distL="0" distR="0" wp14:anchorId="1DBA947F" wp14:editId="19DF87B5">
                            <wp:extent cx="2519045" cy="483235"/>
                            <wp:effectExtent l="0" t="0" r="0" b="0"/>
                            <wp:docPr id="2" name="Picture 15"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045" cy="483235"/>
                                    </a:xfrm>
                                    <a:prstGeom prst="rect">
                                      <a:avLst/>
                                    </a:prstGeom>
                                    <a:noFill/>
                                    <a:ln>
                                      <a:noFill/>
                                    </a:ln>
                                  </pic:spPr>
                                </pic:pic>
                              </a:graphicData>
                            </a:graphic>
                          </wp:inline>
                        </w:drawing>
                      </w:r>
                      <w:r>
                        <w:t xml:space="preserve">                                               </w:t>
                      </w:r>
                    </w:p>
                  </w:txbxContent>
                </v:textbox>
              </v:shape>
            </w:pict>
          </mc:Fallback>
        </mc:AlternateContent>
      </w:r>
    </w:p>
    <w:p w:rsidR="00040C3A" w:rsidRPr="008D6E5C" w:rsidRDefault="00040C3A" w:rsidP="00040C3A">
      <w:pPr>
        <w:tabs>
          <w:tab w:val="center" w:pos="5400"/>
        </w:tabs>
        <w:suppressAutoHyphens/>
        <w:jc w:val="both"/>
        <w:rPr>
          <w:rFonts w:ascii="Cambria" w:hAnsi="Cambria"/>
          <w:sz w:val="22"/>
          <w:szCs w:val="22"/>
        </w:rPr>
      </w:pPr>
    </w:p>
    <w:p w:rsidR="00040C3A" w:rsidRPr="008D6E5C" w:rsidRDefault="00040C3A" w:rsidP="00040C3A">
      <w:pPr>
        <w:tabs>
          <w:tab w:val="center" w:pos="5400"/>
        </w:tabs>
        <w:suppressAutoHyphens/>
        <w:jc w:val="both"/>
        <w:rPr>
          <w:rFonts w:ascii="Cambria" w:hAnsi="Cambria"/>
          <w:sz w:val="22"/>
          <w:szCs w:val="22"/>
        </w:rPr>
      </w:pPr>
    </w:p>
    <w:p w:rsidR="005128E4" w:rsidRPr="008D6E5C" w:rsidRDefault="005128E4" w:rsidP="00040C3A">
      <w:pPr>
        <w:tabs>
          <w:tab w:val="center" w:pos="5400"/>
        </w:tabs>
        <w:suppressAutoHyphens/>
        <w:rPr>
          <w:rFonts w:ascii="Cambria" w:hAnsi="Cambria"/>
          <w:sz w:val="22"/>
          <w:szCs w:val="22"/>
        </w:rPr>
      </w:pPr>
    </w:p>
    <w:p w:rsidR="005128E4" w:rsidRPr="008D6E5C" w:rsidRDefault="005128E4" w:rsidP="00040C3A">
      <w:pPr>
        <w:tabs>
          <w:tab w:val="center" w:pos="5400"/>
        </w:tabs>
        <w:suppressAutoHyphens/>
        <w:rPr>
          <w:rFonts w:ascii="Cambria" w:hAnsi="Cambria"/>
          <w:sz w:val="22"/>
          <w:szCs w:val="22"/>
        </w:rPr>
      </w:pPr>
    </w:p>
    <w:p w:rsidR="005128E4" w:rsidRPr="008D6E5C" w:rsidRDefault="005128E4" w:rsidP="00040C3A">
      <w:pPr>
        <w:tabs>
          <w:tab w:val="center" w:pos="5400"/>
        </w:tabs>
        <w:suppressAutoHyphens/>
        <w:rPr>
          <w:rFonts w:ascii="Cambria" w:hAnsi="Cambria"/>
          <w:sz w:val="22"/>
          <w:szCs w:val="22"/>
        </w:rPr>
      </w:pPr>
    </w:p>
    <w:p w:rsidR="00040C3A" w:rsidRPr="008D6E5C" w:rsidRDefault="00040C3A" w:rsidP="005128E4">
      <w:pPr>
        <w:tabs>
          <w:tab w:val="center" w:pos="5400"/>
        </w:tabs>
        <w:suppressAutoHyphens/>
        <w:jc w:val="center"/>
        <w:rPr>
          <w:rFonts w:ascii="Cambria" w:hAnsi="Cambria"/>
          <w:sz w:val="22"/>
          <w:szCs w:val="22"/>
        </w:rPr>
      </w:pPr>
    </w:p>
    <w:p w:rsidR="00040C3A" w:rsidRPr="008D6E5C" w:rsidRDefault="00040C3A" w:rsidP="005128E4">
      <w:pPr>
        <w:tabs>
          <w:tab w:val="center" w:pos="5400"/>
        </w:tabs>
        <w:suppressAutoHyphens/>
        <w:jc w:val="center"/>
        <w:rPr>
          <w:rFonts w:ascii="Cambria" w:hAnsi="Cambria"/>
          <w:sz w:val="22"/>
          <w:szCs w:val="22"/>
        </w:rPr>
      </w:pPr>
    </w:p>
    <w:p w:rsidR="005B52B0" w:rsidRPr="008D6E5C" w:rsidRDefault="005B52B0" w:rsidP="005128E4">
      <w:pPr>
        <w:tabs>
          <w:tab w:val="center" w:pos="5400"/>
        </w:tabs>
        <w:suppressAutoHyphens/>
        <w:jc w:val="center"/>
        <w:rPr>
          <w:rFonts w:ascii="Cambria" w:hAnsi="Cambria"/>
          <w:sz w:val="22"/>
          <w:szCs w:val="22"/>
        </w:rPr>
      </w:pPr>
    </w:p>
    <w:p w:rsidR="005B52B0" w:rsidRPr="008D6E5C" w:rsidRDefault="005B52B0" w:rsidP="005128E4">
      <w:pPr>
        <w:tabs>
          <w:tab w:val="center" w:pos="5400"/>
        </w:tabs>
        <w:suppressAutoHyphens/>
        <w:jc w:val="center"/>
        <w:rPr>
          <w:rFonts w:ascii="Cambria" w:hAnsi="Cambria"/>
          <w:sz w:val="22"/>
          <w:szCs w:val="22"/>
        </w:rPr>
      </w:pPr>
    </w:p>
    <w:p w:rsidR="005B52B0" w:rsidRPr="008D6E5C" w:rsidRDefault="005B52B0" w:rsidP="005128E4">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775602" w:rsidP="00040C3A">
      <w:pPr>
        <w:tabs>
          <w:tab w:val="center" w:pos="5400"/>
        </w:tabs>
        <w:suppressAutoHyphens/>
        <w:jc w:val="center"/>
        <w:rPr>
          <w:rFonts w:ascii="Cambria" w:hAnsi="Cambria"/>
          <w:sz w:val="22"/>
          <w:szCs w:val="22"/>
        </w:rPr>
      </w:pPr>
      <w:r w:rsidRPr="008D6E5C">
        <w:rPr>
          <w:noProof/>
          <w:bdr w:val="none" w:sz="0" w:space="0" w:color="auto"/>
        </w:rPr>
        <mc:AlternateContent>
          <mc:Choice Requires="wps">
            <w:drawing>
              <wp:anchor distT="0" distB="0" distL="114300" distR="114300" simplePos="0" relativeHeight="251655168" behindDoc="0" locked="0" layoutInCell="1" allowOverlap="1" wp14:anchorId="59869F67" wp14:editId="1C9E13C1">
                <wp:simplePos x="0" y="0"/>
                <wp:positionH relativeFrom="column">
                  <wp:posOffset>1209675</wp:posOffset>
                </wp:positionH>
                <wp:positionV relativeFrom="paragraph">
                  <wp:posOffset>79375</wp:posOffset>
                </wp:positionV>
                <wp:extent cx="4333875" cy="235077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txbx>
                        <w:txbxContent>
                          <w:p w:rsidR="00F8558A" w:rsidRPr="000036BD" w:rsidRDefault="00F8558A" w:rsidP="004B7EB6">
                            <w:pPr>
                              <w:spacing w:line="276" w:lineRule="auto"/>
                              <w:rPr>
                                <w:rFonts w:ascii="Cambria" w:hAnsi="Cambria" w:cs="Arial"/>
                                <w:b/>
                                <w:bCs/>
                                <w:color w:val="0D0D0D"/>
                                <w:sz w:val="36"/>
                                <w:szCs w:val="40"/>
                              </w:rPr>
                            </w:pPr>
                            <w:r>
                              <w:rPr>
                                <w:rFonts w:ascii="Cambria" w:hAnsi="Cambria" w:cs="Arial"/>
                                <w:b/>
                                <w:bCs/>
                                <w:color w:val="0D0D0D"/>
                                <w:sz w:val="36"/>
                                <w:szCs w:val="40"/>
                              </w:rPr>
                              <w:t>REPORT No. 21/15</w:t>
                            </w:r>
                          </w:p>
                          <w:p w:rsidR="00F8558A" w:rsidRPr="000036BD" w:rsidRDefault="00F8558A" w:rsidP="004B7EB6">
                            <w:pPr>
                              <w:spacing w:line="276" w:lineRule="auto"/>
                              <w:rPr>
                                <w:rFonts w:ascii="Cambria" w:hAnsi="Cambria" w:cs="Arial"/>
                                <w:b/>
                                <w:bCs/>
                                <w:color w:val="0D0D0D"/>
                                <w:sz w:val="36"/>
                                <w:szCs w:val="40"/>
                              </w:rPr>
                            </w:pPr>
                            <w:r w:rsidRPr="000036BD">
                              <w:rPr>
                                <w:rFonts w:ascii="Cambria" w:hAnsi="Cambria" w:cs="Arial"/>
                                <w:b/>
                                <w:bCs/>
                                <w:color w:val="0D0D0D"/>
                                <w:sz w:val="36"/>
                                <w:szCs w:val="40"/>
                              </w:rPr>
                              <w:t>CASE 12.462</w:t>
                            </w:r>
                          </w:p>
                          <w:p w:rsidR="00F8558A" w:rsidRPr="000036BD" w:rsidRDefault="00F8558A" w:rsidP="001B7476">
                            <w:pPr>
                              <w:spacing w:line="276" w:lineRule="auto"/>
                              <w:rPr>
                                <w:rFonts w:ascii="Cambria" w:hAnsi="Cambria" w:cs="Arial"/>
                                <w:color w:val="0D0D0D"/>
                                <w:szCs w:val="22"/>
                              </w:rPr>
                            </w:pPr>
                            <w:r>
                              <w:rPr>
                                <w:rFonts w:ascii="Cambria" w:hAnsi="Cambria" w:cs="Arial"/>
                                <w:color w:val="0D0D0D"/>
                                <w:szCs w:val="22"/>
                              </w:rPr>
                              <w:t xml:space="preserve">REPORT ON </w:t>
                            </w:r>
                            <w:r w:rsidRPr="000036BD">
                              <w:rPr>
                                <w:rFonts w:ascii="Cambria" w:hAnsi="Cambria" w:cs="Arial"/>
                                <w:color w:val="0D0D0D"/>
                                <w:szCs w:val="22"/>
                              </w:rPr>
                              <w:t xml:space="preserve">MERITS  </w:t>
                            </w:r>
                          </w:p>
                          <w:p w:rsidR="00F8558A" w:rsidRPr="000036BD" w:rsidRDefault="00F8558A" w:rsidP="004B7EB6">
                            <w:pPr>
                              <w:spacing w:line="276" w:lineRule="auto"/>
                              <w:rPr>
                                <w:rFonts w:ascii="Cambria" w:hAnsi="Cambria" w:cs="Arial"/>
                                <w:color w:val="0D0D0D"/>
                                <w:szCs w:val="22"/>
                              </w:rPr>
                            </w:pPr>
                          </w:p>
                          <w:p w:rsidR="00F8558A" w:rsidRPr="008D6E5C" w:rsidRDefault="00F8558A" w:rsidP="001B7476">
                            <w:pPr>
                              <w:spacing w:line="276" w:lineRule="auto"/>
                              <w:rPr>
                                <w:rFonts w:ascii="Cambria" w:hAnsi="Cambria" w:cs="Arial"/>
                                <w:color w:val="0D0D0D"/>
                                <w:szCs w:val="22"/>
                              </w:rPr>
                            </w:pPr>
                            <w:r w:rsidRPr="00401AAF">
                              <w:rPr>
                                <w:rFonts w:ascii="Cambria" w:hAnsi="Cambria" w:cs="Arial"/>
                                <w:color w:val="0D0D0D"/>
                                <w:szCs w:val="22"/>
                              </w:rPr>
                              <w:t xml:space="preserve">NELSON CARVAJAL </w:t>
                            </w:r>
                            <w:proofErr w:type="spellStart"/>
                            <w:r w:rsidRPr="008D6E5C">
                              <w:rPr>
                                <w:rFonts w:ascii="Cambria" w:hAnsi="Cambria" w:cs="Arial"/>
                                <w:color w:val="0D0D0D"/>
                                <w:szCs w:val="22"/>
                              </w:rPr>
                              <w:t>CARVAJAL</w:t>
                            </w:r>
                            <w:proofErr w:type="spellEnd"/>
                            <w:r w:rsidRPr="008D6E5C">
                              <w:rPr>
                                <w:rFonts w:ascii="Cambria" w:hAnsi="Cambria" w:cs="Arial"/>
                                <w:color w:val="0D0D0D"/>
                                <w:szCs w:val="22"/>
                              </w:rPr>
                              <w:t xml:space="preserve"> AND FAMILY</w:t>
                            </w:r>
                          </w:p>
                          <w:p w:rsidR="00F8558A" w:rsidRPr="00401AAF" w:rsidRDefault="00F8558A" w:rsidP="001B7476">
                            <w:pPr>
                              <w:spacing w:line="276" w:lineRule="auto"/>
                              <w:rPr>
                                <w:rFonts w:ascii="Cambria" w:hAnsi="Cambria" w:cs="Arial"/>
                                <w:color w:val="0D0D0D"/>
                                <w:szCs w:val="22"/>
                              </w:rPr>
                            </w:pPr>
                            <w:r w:rsidRPr="008D6E5C">
                              <w:rPr>
                                <w:rFonts w:ascii="Cambria" w:hAnsi="Cambria" w:cs="Arial"/>
                                <w:color w:val="0D0D0D"/>
                                <w:szCs w:val="22"/>
                              </w:rPr>
                              <w:t>COLOMBIA</w:t>
                            </w:r>
                          </w:p>
                          <w:p w:rsidR="00F8558A" w:rsidRPr="00401AAF" w:rsidRDefault="00F8558A" w:rsidP="004B7EB6">
                            <w:pPr>
                              <w:spacing w:line="276" w:lineRule="auto"/>
                              <w:rPr>
                                <w:rFonts w:ascii="Cambria" w:hAnsi="Cambria"/>
                                <w:color w:val="0D0D0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95.25pt;margin-top:6.25pt;width:341.25pt;height:18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" filled="f" stroked="f" strokeweight=".5pt">
                <v:path arrowok="t"/>
                <v:textbox>
                  <w:txbxContent>
                    <w:p w:rsidR="00F8558A" w:rsidRPr="000036BD" w:rsidRDefault="00F8558A" w:rsidP="004B7EB6">
                      <w:pPr>
                        <w:spacing w:line="276" w:lineRule="auto"/>
                        <w:rPr>
                          <w:rFonts w:ascii="Cambria" w:hAnsi="Cambria" w:cs="Arial"/>
                          <w:b/>
                          <w:bCs/>
                          <w:color w:val="0D0D0D"/>
                          <w:sz w:val="36"/>
                          <w:szCs w:val="40"/>
                        </w:rPr>
                      </w:pPr>
                      <w:r>
                        <w:rPr>
                          <w:rFonts w:ascii="Cambria" w:hAnsi="Cambria" w:cs="Arial"/>
                          <w:b/>
                          <w:bCs/>
                          <w:color w:val="0D0D0D"/>
                          <w:sz w:val="36"/>
                          <w:szCs w:val="40"/>
                        </w:rPr>
                        <w:t>REPORT No. 21/15</w:t>
                      </w:r>
                    </w:p>
                    <w:p w:rsidR="00F8558A" w:rsidRPr="000036BD" w:rsidRDefault="00F8558A" w:rsidP="004B7EB6">
                      <w:pPr>
                        <w:spacing w:line="276" w:lineRule="auto"/>
                        <w:rPr>
                          <w:rFonts w:ascii="Cambria" w:hAnsi="Cambria" w:cs="Arial"/>
                          <w:b/>
                          <w:bCs/>
                          <w:color w:val="0D0D0D"/>
                          <w:sz w:val="36"/>
                          <w:szCs w:val="40"/>
                        </w:rPr>
                      </w:pPr>
                      <w:r w:rsidRPr="000036BD">
                        <w:rPr>
                          <w:rFonts w:ascii="Cambria" w:hAnsi="Cambria" w:cs="Arial"/>
                          <w:b/>
                          <w:bCs/>
                          <w:color w:val="0D0D0D"/>
                          <w:sz w:val="36"/>
                          <w:szCs w:val="40"/>
                        </w:rPr>
                        <w:t>CASE 12.462</w:t>
                      </w:r>
                    </w:p>
                    <w:p w:rsidR="00F8558A" w:rsidRPr="000036BD" w:rsidRDefault="00F8558A" w:rsidP="001B7476">
                      <w:pPr>
                        <w:spacing w:line="276" w:lineRule="auto"/>
                        <w:rPr>
                          <w:rFonts w:ascii="Cambria" w:hAnsi="Cambria" w:cs="Arial"/>
                          <w:color w:val="0D0D0D"/>
                          <w:szCs w:val="22"/>
                        </w:rPr>
                      </w:pPr>
                      <w:r>
                        <w:rPr>
                          <w:rFonts w:ascii="Cambria" w:hAnsi="Cambria" w:cs="Arial"/>
                          <w:color w:val="0D0D0D"/>
                          <w:szCs w:val="22"/>
                        </w:rPr>
                        <w:t xml:space="preserve">REPORT ON </w:t>
                      </w:r>
                      <w:r w:rsidRPr="000036BD">
                        <w:rPr>
                          <w:rFonts w:ascii="Cambria" w:hAnsi="Cambria" w:cs="Arial"/>
                          <w:color w:val="0D0D0D"/>
                          <w:szCs w:val="22"/>
                        </w:rPr>
                        <w:t xml:space="preserve">MERITS  </w:t>
                      </w:r>
                    </w:p>
                    <w:p w:rsidR="00F8558A" w:rsidRPr="000036BD" w:rsidRDefault="00F8558A" w:rsidP="004B7EB6">
                      <w:pPr>
                        <w:spacing w:line="276" w:lineRule="auto"/>
                        <w:rPr>
                          <w:rFonts w:ascii="Cambria" w:hAnsi="Cambria" w:cs="Arial"/>
                          <w:color w:val="0D0D0D"/>
                          <w:szCs w:val="22"/>
                        </w:rPr>
                      </w:pPr>
                    </w:p>
                    <w:p w:rsidR="00F8558A" w:rsidRPr="008D6E5C" w:rsidRDefault="00F8558A" w:rsidP="001B7476">
                      <w:pPr>
                        <w:spacing w:line="276" w:lineRule="auto"/>
                        <w:rPr>
                          <w:rFonts w:ascii="Cambria" w:hAnsi="Cambria" w:cs="Arial"/>
                          <w:color w:val="0D0D0D"/>
                          <w:szCs w:val="22"/>
                        </w:rPr>
                      </w:pPr>
                      <w:r w:rsidRPr="00401AAF">
                        <w:rPr>
                          <w:rFonts w:ascii="Cambria" w:hAnsi="Cambria" w:cs="Arial"/>
                          <w:color w:val="0D0D0D"/>
                          <w:szCs w:val="22"/>
                        </w:rPr>
                        <w:t xml:space="preserve">NELSON CARVAJAL </w:t>
                      </w:r>
                      <w:proofErr w:type="spellStart"/>
                      <w:r w:rsidRPr="008D6E5C">
                        <w:rPr>
                          <w:rFonts w:ascii="Cambria" w:hAnsi="Cambria" w:cs="Arial"/>
                          <w:color w:val="0D0D0D"/>
                          <w:szCs w:val="22"/>
                        </w:rPr>
                        <w:t>CARVAJAL</w:t>
                      </w:r>
                      <w:proofErr w:type="spellEnd"/>
                      <w:r w:rsidRPr="008D6E5C">
                        <w:rPr>
                          <w:rFonts w:ascii="Cambria" w:hAnsi="Cambria" w:cs="Arial"/>
                          <w:color w:val="0D0D0D"/>
                          <w:szCs w:val="22"/>
                        </w:rPr>
                        <w:t xml:space="preserve"> AND FAMILY</w:t>
                      </w:r>
                    </w:p>
                    <w:p w:rsidR="00F8558A" w:rsidRPr="00401AAF" w:rsidRDefault="00F8558A" w:rsidP="001B7476">
                      <w:pPr>
                        <w:spacing w:line="276" w:lineRule="auto"/>
                        <w:rPr>
                          <w:rFonts w:ascii="Cambria" w:hAnsi="Cambria" w:cs="Arial"/>
                          <w:color w:val="0D0D0D"/>
                          <w:szCs w:val="22"/>
                        </w:rPr>
                      </w:pPr>
                      <w:r w:rsidRPr="008D6E5C">
                        <w:rPr>
                          <w:rFonts w:ascii="Cambria" w:hAnsi="Cambria" w:cs="Arial"/>
                          <w:color w:val="0D0D0D"/>
                          <w:szCs w:val="22"/>
                        </w:rPr>
                        <w:t>COLOMBIA</w:t>
                      </w:r>
                    </w:p>
                    <w:p w:rsidR="00F8558A" w:rsidRPr="00401AAF" w:rsidRDefault="00F8558A" w:rsidP="004B7EB6">
                      <w:pPr>
                        <w:spacing w:line="276" w:lineRule="auto"/>
                        <w:rPr>
                          <w:rFonts w:ascii="Cambria" w:hAnsi="Cambria"/>
                          <w:color w:val="0D0D0D"/>
                        </w:rPr>
                      </w:pPr>
                    </w:p>
                  </w:txbxContent>
                </v:textbox>
              </v:shape>
            </w:pict>
          </mc:Fallback>
        </mc:AlternateContent>
      </w:r>
      <w:r w:rsidRPr="008D6E5C">
        <w:rPr>
          <w:noProof/>
          <w:bdr w:val="none" w:sz="0" w:space="0" w:color="auto"/>
        </w:rPr>
        <mc:AlternateContent>
          <mc:Choice Requires="wps">
            <w:drawing>
              <wp:anchor distT="0" distB="0" distL="114300" distR="114300" simplePos="0" relativeHeight="251657216" behindDoc="0" locked="0" layoutInCell="1" allowOverlap="1" wp14:anchorId="776884B6" wp14:editId="7FB843C2">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txbx>
                        <w:txbxContent>
                          <w:p w:rsidR="00F8558A" w:rsidRPr="000036BD" w:rsidRDefault="00F8558A" w:rsidP="002C1641">
                            <w:pPr>
                              <w:jc w:val="right"/>
                              <w:rPr>
                                <w:rFonts w:ascii="Calibri" w:hAnsi="Calibri"/>
                                <w:color w:val="FFFFFF"/>
                                <w:sz w:val="22"/>
                                <w:lang w:val="pt-BR"/>
                              </w:rPr>
                            </w:pPr>
                            <w:r w:rsidRPr="000036BD">
                              <w:rPr>
                                <w:rFonts w:ascii="Calibri" w:hAnsi="Calibri"/>
                                <w:color w:val="FFFFFF"/>
                                <w:sz w:val="22"/>
                                <w:lang w:val="pt-BR"/>
                              </w:rPr>
                              <w:t>OEA/Ser.L/V/II.15</w:t>
                            </w:r>
                            <w:r>
                              <w:rPr>
                                <w:rFonts w:ascii="Calibri" w:hAnsi="Calibri"/>
                                <w:color w:val="FFFFFF"/>
                                <w:sz w:val="22"/>
                                <w:lang w:val="pt-BR"/>
                              </w:rPr>
                              <w:t>4</w:t>
                            </w:r>
                          </w:p>
                          <w:p w:rsidR="00F8558A" w:rsidRPr="000036BD" w:rsidRDefault="00F8558A" w:rsidP="002C1641">
                            <w:pPr>
                              <w:jc w:val="right"/>
                              <w:rPr>
                                <w:rFonts w:ascii="Calibri" w:hAnsi="Calibri"/>
                                <w:color w:val="FFFFFF"/>
                                <w:sz w:val="22"/>
                                <w:lang w:val="pt-BR"/>
                              </w:rPr>
                            </w:pPr>
                            <w:r w:rsidRPr="000036BD">
                              <w:rPr>
                                <w:rFonts w:ascii="Calibri" w:hAnsi="Calibri"/>
                                <w:color w:val="FFFFFF"/>
                                <w:sz w:val="22"/>
                                <w:lang w:val="pt-BR"/>
                              </w:rPr>
                              <w:t xml:space="preserve">Doc. </w:t>
                            </w:r>
                            <w:r>
                              <w:rPr>
                                <w:rFonts w:ascii="Calibri" w:hAnsi="Calibri"/>
                                <w:color w:val="FFFFFF"/>
                                <w:sz w:val="22"/>
                                <w:lang w:val="pt-BR"/>
                              </w:rPr>
                              <w:t>15</w:t>
                            </w:r>
                          </w:p>
                          <w:p w:rsidR="00F8558A" w:rsidRPr="000036BD" w:rsidRDefault="00F8558A" w:rsidP="002C1641">
                            <w:pPr>
                              <w:jc w:val="right"/>
                              <w:rPr>
                                <w:rFonts w:ascii="Calibri" w:hAnsi="Calibri"/>
                                <w:color w:val="FFFFFF"/>
                                <w:sz w:val="22"/>
                              </w:rPr>
                            </w:pPr>
                            <w:r>
                              <w:rPr>
                                <w:rFonts w:ascii="Calibri" w:hAnsi="Calibri"/>
                                <w:color w:val="FFFFFF"/>
                                <w:sz w:val="22"/>
                              </w:rPr>
                              <w:t>26</w:t>
                            </w:r>
                            <w:r w:rsidRPr="000036BD">
                              <w:rPr>
                                <w:rFonts w:ascii="Calibri" w:hAnsi="Calibri"/>
                                <w:color w:val="FFFFFF"/>
                                <w:sz w:val="22"/>
                              </w:rPr>
                              <w:t xml:space="preserve"> March 2015</w:t>
                            </w:r>
                          </w:p>
                          <w:p w:rsidR="00F8558A" w:rsidRPr="000036BD" w:rsidRDefault="00F8558A" w:rsidP="002C1641">
                            <w:pPr>
                              <w:jc w:val="right"/>
                              <w:rPr>
                                <w:rFonts w:ascii="Calibri" w:hAnsi="Calibri"/>
                                <w:color w:val="FFFFFF"/>
                                <w:sz w:val="22"/>
                              </w:rPr>
                            </w:pPr>
                            <w:r w:rsidRPr="000036BD">
                              <w:rPr>
                                <w:rFonts w:ascii="Calibri" w:hAnsi="Calibri"/>
                                <w:color w:val="FFFFFF"/>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" filled="f" stroked="f" strokeweight=".5pt">
                <v:path arrowok="t"/>
                <v:textbox>
                  <w:txbxContent>
                    <w:p w:rsidR="00F8558A" w:rsidRPr="000036BD" w:rsidRDefault="00F8558A" w:rsidP="002C1641">
                      <w:pPr>
                        <w:jc w:val="right"/>
                        <w:rPr>
                          <w:rFonts w:ascii="Calibri" w:hAnsi="Calibri"/>
                          <w:color w:val="FFFFFF"/>
                          <w:sz w:val="22"/>
                          <w:lang w:val="pt-BR"/>
                        </w:rPr>
                      </w:pPr>
                      <w:r w:rsidRPr="000036BD">
                        <w:rPr>
                          <w:rFonts w:ascii="Calibri" w:hAnsi="Calibri"/>
                          <w:color w:val="FFFFFF"/>
                          <w:sz w:val="22"/>
                          <w:lang w:val="pt-BR"/>
                        </w:rPr>
                        <w:t>OEA/Ser.L/V/II.15</w:t>
                      </w:r>
                      <w:r>
                        <w:rPr>
                          <w:rFonts w:ascii="Calibri" w:hAnsi="Calibri"/>
                          <w:color w:val="FFFFFF"/>
                          <w:sz w:val="22"/>
                          <w:lang w:val="pt-BR"/>
                        </w:rPr>
                        <w:t>4</w:t>
                      </w:r>
                    </w:p>
                    <w:p w:rsidR="00F8558A" w:rsidRPr="000036BD" w:rsidRDefault="00F8558A" w:rsidP="002C1641">
                      <w:pPr>
                        <w:jc w:val="right"/>
                        <w:rPr>
                          <w:rFonts w:ascii="Calibri" w:hAnsi="Calibri"/>
                          <w:color w:val="FFFFFF"/>
                          <w:sz w:val="22"/>
                          <w:lang w:val="pt-BR"/>
                        </w:rPr>
                      </w:pPr>
                      <w:r w:rsidRPr="000036BD">
                        <w:rPr>
                          <w:rFonts w:ascii="Calibri" w:hAnsi="Calibri"/>
                          <w:color w:val="FFFFFF"/>
                          <w:sz w:val="22"/>
                          <w:lang w:val="pt-BR"/>
                        </w:rPr>
                        <w:t xml:space="preserve">Doc. </w:t>
                      </w:r>
                      <w:r>
                        <w:rPr>
                          <w:rFonts w:ascii="Calibri" w:hAnsi="Calibri"/>
                          <w:color w:val="FFFFFF"/>
                          <w:sz w:val="22"/>
                          <w:lang w:val="pt-BR"/>
                        </w:rPr>
                        <w:t>15</w:t>
                      </w:r>
                    </w:p>
                    <w:p w:rsidR="00F8558A" w:rsidRPr="000036BD" w:rsidRDefault="00F8558A" w:rsidP="002C1641">
                      <w:pPr>
                        <w:jc w:val="right"/>
                        <w:rPr>
                          <w:rFonts w:ascii="Calibri" w:hAnsi="Calibri"/>
                          <w:color w:val="FFFFFF"/>
                          <w:sz w:val="22"/>
                        </w:rPr>
                      </w:pPr>
                      <w:r>
                        <w:rPr>
                          <w:rFonts w:ascii="Calibri" w:hAnsi="Calibri"/>
                          <w:color w:val="FFFFFF"/>
                          <w:sz w:val="22"/>
                        </w:rPr>
                        <w:t>26</w:t>
                      </w:r>
                      <w:r w:rsidRPr="000036BD">
                        <w:rPr>
                          <w:rFonts w:ascii="Calibri" w:hAnsi="Calibri"/>
                          <w:color w:val="FFFFFF"/>
                          <w:sz w:val="22"/>
                        </w:rPr>
                        <w:t xml:space="preserve"> March 2015</w:t>
                      </w:r>
                    </w:p>
                    <w:p w:rsidR="00F8558A" w:rsidRPr="000036BD" w:rsidRDefault="00F8558A" w:rsidP="002C1641">
                      <w:pPr>
                        <w:jc w:val="right"/>
                        <w:rPr>
                          <w:rFonts w:ascii="Calibri" w:hAnsi="Calibri"/>
                          <w:color w:val="FFFFFF"/>
                          <w:sz w:val="22"/>
                        </w:rPr>
                      </w:pPr>
                      <w:r w:rsidRPr="000036BD">
                        <w:rPr>
                          <w:rFonts w:ascii="Calibri" w:hAnsi="Calibri"/>
                          <w:color w:val="FFFFFF"/>
                          <w:sz w:val="22"/>
                        </w:rPr>
                        <w:t>Original: Spanish</w:t>
                      </w:r>
                    </w:p>
                  </w:txbxContent>
                </v:textbox>
              </v:shape>
            </w:pict>
          </mc:Fallback>
        </mc:AlternateContent>
      </w: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cs="Arial"/>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5128E4" w:rsidRPr="008D6E5C" w:rsidRDefault="005128E4"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5128E4" w:rsidRPr="008D6E5C" w:rsidRDefault="005128E4" w:rsidP="00040C3A">
      <w:pPr>
        <w:tabs>
          <w:tab w:val="center" w:pos="5400"/>
        </w:tabs>
        <w:suppressAutoHyphens/>
        <w:jc w:val="center"/>
        <w:rPr>
          <w:rFonts w:ascii="Cambria" w:hAnsi="Cambria"/>
          <w:sz w:val="22"/>
          <w:szCs w:val="22"/>
        </w:rPr>
      </w:pPr>
    </w:p>
    <w:p w:rsidR="005128E4" w:rsidRPr="008D6E5C" w:rsidRDefault="005128E4" w:rsidP="00040C3A">
      <w:pPr>
        <w:tabs>
          <w:tab w:val="center" w:pos="5400"/>
        </w:tabs>
        <w:suppressAutoHyphens/>
        <w:jc w:val="center"/>
        <w:rPr>
          <w:rFonts w:ascii="Cambria" w:hAnsi="Cambria"/>
          <w:sz w:val="22"/>
          <w:szCs w:val="22"/>
        </w:rPr>
      </w:pPr>
    </w:p>
    <w:p w:rsidR="005128E4" w:rsidRPr="008D6E5C" w:rsidRDefault="005128E4"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040C3A" w:rsidRPr="008D6E5C" w:rsidRDefault="00040C3A" w:rsidP="00040C3A">
      <w:pPr>
        <w:tabs>
          <w:tab w:val="center" w:pos="5400"/>
        </w:tabs>
        <w:suppressAutoHyphens/>
        <w:jc w:val="center"/>
        <w:rPr>
          <w:rFonts w:ascii="Cambria" w:hAnsi="Cambria"/>
          <w:sz w:val="22"/>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775602" w:rsidP="00040C3A">
      <w:pPr>
        <w:tabs>
          <w:tab w:val="center" w:pos="5400"/>
        </w:tabs>
        <w:suppressAutoHyphens/>
        <w:jc w:val="center"/>
        <w:rPr>
          <w:rFonts w:ascii="Cambria" w:hAnsi="Cambria"/>
          <w:sz w:val="18"/>
          <w:szCs w:val="22"/>
        </w:rPr>
      </w:pPr>
      <w:r w:rsidRPr="008D6E5C">
        <w:rPr>
          <w:noProof/>
          <w:bdr w:val="none" w:sz="0" w:space="0" w:color="auto"/>
        </w:rPr>
        <mc:AlternateContent>
          <mc:Choice Requires="wps">
            <w:drawing>
              <wp:anchor distT="0" distB="0" distL="114300" distR="114300" simplePos="0" relativeHeight="251656192" behindDoc="0" locked="0" layoutInCell="1" allowOverlap="1" wp14:anchorId="5B0C5D3D" wp14:editId="0461DF6E">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695325"/>
                        </a:xfrm>
                        <a:prstGeom prst="rect">
                          <a:avLst/>
                        </a:prstGeom>
                        <a:noFill/>
                        <a:ln w="6350">
                          <a:noFill/>
                        </a:ln>
                        <a:effectLst/>
                      </wps:spPr>
                      <wps:txbx>
                        <w:txbxContent>
                          <w:p w:rsidR="00F8558A" w:rsidRPr="000036BD" w:rsidRDefault="00F8558A" w:rsidP="004165C2">
                            <w:pPr>
                              <w:tabs>
                                <w:tab w:val="center" w:pos="5400"/>
                              </w:tabs>
                              <w:suppressAutoHyphens/>
                              <w:spacing w:before="60"/>
                              <w:rPr>
                                <w:rFonts w:ascii="Cambria" w:hAnsi="Cambria"/>
                                <w:color w:val="0D0D0D"/>
                                <w:sz w:val="18"/>
                                <w:szCs w:val="22"/>
                              </w:rPr>
                            </w:pPr>
                            <w:r w:rsidRPr="000036BD">
                              <w:rPr>
                                <w:rFonts w:ascii="Cambria" w:hAnsi="Cambria"/>
                                <w:color w:val="0D0D0D"/>
                                <w:sz w:val="18"/>
                                <w:szCs w:val="20"/>
                              </w:rPr>
                              <w:t>Approved by the Commission at its s</w:t>
                            </w:r>
                            <w:r>
                              <w:rPr>
                                <w:rFonts w:ascii="Cambria" w:hAnsi="Cambria"/>
                                <w:color w:val="0D0D0D"/>
                                <w:sz w:val="18"/>
                                <w:szCs w:val="20"/>
                              </w:rPr>
                              <w:t>ession No. 2028 held on March 26</w:t>
                            </w:r>
                            <w:r w:rsidRPr="000036BD">
                              <w:rPr>
                                <w:rFonts w:ascii="Cambria" w:hAnsi="Cambria"/>
                                <w:color w:val="0D0D0D"/>
                                <w:sz w:val="18"/>
                                <w:szCs w:val="20"/>
                              </w:rPr>
                              <w:t>, 2015</w:t>
                            </w:r>
                            <w:r w:rsidRPr="000036BD">
                              <w:rPr>
                                <w:rFonts w:ascii="Cambria" w:hAnsi="Cambria"/>
                                <w:color w:val="0D0D0D"/>
                                <w:sz w:val="18"/>
                                <w:szCs w:val="20"/>
                              </w:rPr>
                              <w:br/>
                            </w:r>
                            <w:r w:rsidRPr="000036BD">
                              <w:rPr>
                                <w:rFonts w:ascii="Cambria" w:hAnsi="Cambria" w:cs="Univers"/>
                                <w:color w:val="0D0D0D"/>
                                <w:sz w:val="18"/>
                                <w:szCs w:val="20"/>
                              </w:rPr>
                              <w:t>154 Regular Period of Sessions</w:t>
                            </w:r>
                          </w:p>
                          <w:p w:rsidR="00F8558A" w:rsidRPr="000036BD" w:rsidRDefault="00F8558A" w:rsidP="004165C2">
                            <w:pPr>
                              <w:tabs>
                                <w:tab w:val="center" w:pos="5400"/>
                              </w:tabs>
                              <w:suppressAutoHyphens/>
                              <w:spacing w:before="60"/>
                              <w:rPr>
                                <w:rFonts w:ascii="Cambria" w:hAnsi="Cambria"/>
                                <w:color w:val="0D0D0D"/>
                                <w:sz w:val="18"/>
                                <w:szCs w:val="22"/>
                              </w:rPr>
                            </w:pPr>
                            <w:r w:rsidRPr="000036BD">
                              <w:rPr>
                                <w:rFonts w:ascii="Cambria" w:hAnsi="Cambria"/>
                                <w:color w:val="0D0D0D"/>
                                <w:sz w:val="18"/>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95.25pt;margin-top:5.6pt;width:361.8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" filled="f" stroked="f" strokeweight=".5pt">
                <v:path arrowok="t"/>
                <v:textbox>
                  <w:txbxContent>
                    <w:p w:rsidR="00F8558A" w:rsidRPr="000036BD" w:rsidRDefault="00F8558A" w:rsidP="004165C2">
                      <w:pPr>
                        <w:tabs>
                          <w:tab w:val="center" w:pos="5400"/>
                        </w:tabs>
                        <w:suppressAutoHyphens/>
                        <w:spacing w:before="60"/>
                        <w:rPr>
                          <w:rFonts w:ascii="Cambria" w:hAnsi="Cambria"/>
                          <w:color w:val="0D0D0D"/>
                          <w:sz w:val="18"/>
                          <w:szCs w:val="22"/>
                        </w:rPr>
                      </w:pPr>
                      <w:r w:rsidRPr="000036BD">
                        <w:rPr>
                          <w:rFonts w:ascii="Cambria" w:hAnsi="Cambria"/>
                          <w:color w:val="0D0D0D"/>
                          <w:sz w:val="18"/>
                          <w:szCs w:val="20"/>
                        </w:rPr>
                        <w:t>Approved by the Commission at its s</w:t>
                      </w:r>
                      <w:r>
                        <w:rPr>
                          <w:rFonts w:ascii="Cambria" w:hAnsi="Cambria"/>
                          <w:color w:val="0D0D0D"/>
                          <w:sz w:val="18"/>
                          <w:szCs w:val="20"/>
                        </w:rPr>
                        <w:t>ession No. 2028 held on March 26</w:t>
                      </w:r>
                      <w:r w:rsidRPr="000036BD">
                        <w:rPr>
                          <w:rFonts w:ascii="Cambria" w:hAnsi="Cambria"/>
                          <w:color w:val="0D0D0D"/>
                          <w:sz w:val="18"/>
                          <w:szCs w:val="20"/>
                        </w:rPr>
                        <w:t>, 2015</w:t>
                      </w:r>
                      <w:r w:rsidRPr="000036BD">
                        <w:rPr>
                          <w:rFonts w:ascii="Cambria" w:hAnsi="Cambria"/>
                          <w:color w:val="0D0D0D"/>
                          <w:sz w:val="18"/>
                          <w:szCs w:val="20"/>
                        </w:rPr>
                        <w:br/>
                      </w:r>
                      <w:r w:rsidRPr="000036BD">
                        <w:rPr>
                          <w:rFonts w:ascii="Cambria" w:hAnsi="Cambria" w:cs="Univers"/>
                          <w:color w:val="0D0D0D"/>
                          <w:sz w:val="18"/>
                          <w:szCs w:val="20"/>
                        </w:rPr>
                        <w:t>154 Regular Period of Sessions</w:t>
                      </w:r>
                    </w:p>
                    <w:p w:rsidR="00F8558A" w:rsidRPr="000036BD" w:rsidRDefault="00F8558A" w:rsidP="004165C2">
                      <w:pPr>
                        <w:tabs>
                          <w:tab w:val="center" w:pos="5400"/>
                        </w:tabs>
                        <w:suppressAutoHyphens/>
                        <w:spacing w:before="60"/>
                        <w:rPr>
                          <w:rFonts w:ascii="Cambria" w:hAnsi="Cambria"/>
                          <w:color w:val="0D0D0D"/>
                          <w:sz w:val="18"/>
                          <w:szCs w:val="22"/>
                        </w:rPr>
                      </w:pPr>
                      <w:r w:rsidRPr="000036BD">
                        <w:rPr>
                          <w:rFonts w:ascii="Cambria" w:hAnsi="Cambria"/>
                          <w:color w:val="0D0D0D"/>
                          <w:sz w:val="18"/>
                          <w:szCs w:val="22"/>
                        </w:rPr>
                        <w:t xml:space="preserve"> </w:t>
                      </w:r>
                    </w:p>
                  </w:txbxContent>
                </v:textbox>
              </v:shape>
            </w:pict>
          </mc:Fallback>
        </mc:AlternateContent>
      </w: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775602" w:rsidP="00040C3A">
      <w:pPr>
        <w:tabs>
          <w:tab w:val="center" w:pos="5400"/>
        </w:tabs>
        <w:suppressAutoHyphens/>
        <w:jc w:val="center"/>
        <w:rPr>
          <w:rFonts w:ascii="Cambria" w:hAnsi="Cambria"/>
          <w:sz w:val="18"/>
          <w:szCs w:val="22"/>
        </w:rPr>
      </w:pPr>
      <w:r w:rsidRPr="008D6E5C">
        <w:rPr>
          <w:noProof/>
          <w:bdr w:val="none" w:sz="0" w:space="0" w:color="auto"/>
        </w:rPr>
        <mc:AlternateContent>
          <mc:Choice Requires="wps">
            <w:drawing>
              <wp:anchor distT="0" distB="0" distL="114300" distR="114300" simplePos="0" relativeHeight="251659264" behindDoc="0" locked="0" layoutInCell="1" allowOverlap="1" wp14:anchorId="39C53283" wp14:editId="5D2FA43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txbx>
                        <w:txbxContent>
                          <w:p w:rsidR="00F8558A" w:rsidRPr="000036BD" w:rsidRDefault="00F8558A" w:rsidP="00F644E6">
                            <w:pPr>
                              <w:spacing w:line="276" w:lineRule="auto"/>
                              <w:rPr>
                                <w:rFonts w:ascii="Cambria" w:hAnsi="Cambria"/>
                                <w:color w:val="595959"/>
                                <w:sz w:val="18"/>
                              </w:rPr>
                            </w:pPr>
                            <w:r w:rsidRPr="000036BD">
                              <w:rPr>
                                <w:rFonts w:ascii="Cambria" w:hAnsi="Cambria"/>
                                <w:b/>
                                <w:color w:val="595959"/>
                                <w:sz w:val="18"/>
                              </w:rPr>
                              <w:t xml:space="preserve">Cite as: </w:t>
                            </w:r>
                            <w:r>
                              <w:rPr>
                                <w:rFonts w:ascii="Cambria" w:hAnsi="Cambria"/>
                                <w:color w:val="595959"/>
                                <w:sz w:val="18"/>
                              </w:rPr>
                              <w:t>IACHR, Report No. 21/15</w:t>
                            </w:r>
                            <w:r w:rsidRPr="000036BD">
                              <w:rPr>
                                <w:rFonts w:ascii="Cambria" w:hAnsi="Cambria"/>
                                <w:color w:val="595959"/>
                                <w:sz w:val="18"/>
                              </w:rPr>
                              <w:t xml:space="preserve">, Case 12.462. </w:t>
                            </w:r>
                            <w:proofErr w:type="gramStart"/>
                            <w:r w:rsidRPr="000036BD">
                              <w:rPr>
                                <w:rFonts w:ascii="Cambria" w:hAnsi="Cambria"/>
                                <w:color w:val="595959"/>
                                <w:sz w:val="18"/>
                              </w:rPr>
                              <w:t>Merits.</w:t>
                            </w:r>
                            <w:proofErr w:type="gramEnd"/>
                            <w:r w:rsidRPr="000036BD">
                              <w:rPr>
                                <w:rFonts w:ascii="Cambria" w:hAnsi="Cambria"/>
                                <w:color w:val="595959"/>
                                <w:sz w:val="18"/>
                              </w:rPr>
                              <w:t xml:space="preserve"> </w:t>
                            </w:r>
                            <w:proofErr w:type="gramStart"/>
                            <w:r w:rsidRPr="000036BD">
                              <w:rPr>
                                <w:rFonts w:ascii="Cambria" w:hAnsi="Cambria"/>
                                <w:color w:val="595959"/>
                                <w:sz w:val="18"/>
                              </w:rPr>
                              <w:t xml:space="preserve">Nelson </w:t>
                            </w:r>
                            <w:proofErr w:type="spellStart"/>
                            <w:r w:rsidRPr="000036BD">
                              <w:rPr>
                                <w:rFonts w:ascii="Cambria" w:hAnsi="Cambria"/>
                                <w:color w:val="595959"/>
                                <w:sz w:val="18"/>
                              </w:rPr>
                              <w:t>Carvajal</w:t>
                            </w:r>
                            <w:proofErr w:type="spellEnd"/>
                            <w:r w:rsidRPr="000036BD">
                              <w:rPr>
                                <w:rFonts w:ascii="Cambria" w:hAnsi="Cambria"/>
                                <w:color w:val="595959"/>
                                <w:sz w:val="18"/>
                              </w:rPr>
                              <w:t xml:space="preserve"> </w:t>
                            </w:r>
                            <w:proofErr w:type="spellStart"/>
                            <w:r w:rsidRPr="008D6E5C">
                              <w:rPr>
                                <w:rFonts w:ascii="Cambria" w:hAnsi="Cambria"/>
                                <w:color w:val="595959"/>
                                <w:sz w:val="18"/>
                              </w:rPr>
                              <w:t>Carvajal</w:t>
                            </w:r>
                            <w:proofErr w:type="spellEnd"/>
                            <w:r w:rsidRPr="008D6E5C">
                              <w:rPr>
                                <w:rFonts w:ascii="Cambria" w:hAnsi="Cambria"/>
                                <w:color w:val="595959"/>
                                <w:sz w:val="18"/>
                              </w:rPr>
                              <w:t xml:space="preserve"> and family.</w:t>
                            </w:r>
                            <w:proofErr w:type="gramEnd"/>
                            <w:r w:rsidRPr="008D6E5C">
                              <w:rPr>
                                <w:rFonts w:ascii="Cambria" w:hAnsi="Cambria"/>
                                <w:color w:val="595959"/>
                                <w:sz w:val="18"/>
                              </w:rPr>
                              <w:t xml:space="preserve"> Colombia. March 26,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" filled="f" stroked="f" strokeweight=".5pt">
                <v:path arrowok="t"/>
                <v:textbox>
                  <w:txbxContent>
                    <w:p w:rsidR="00F8558A" w:rsidRPr="000036BD" w:rsidRDefault="00F8558A" w:rsidP="00F644E6">
                      <w:pPr>
                        <w:spacing w:line="276" w:lineRule="auto"/>
                        <w:rPr>
                          <w:rFonts w:ascii="Cambria" w:hAnsi="Cambria"/>
                          <w:color w:val="595959"/>
                          <w:sz w:val="18"/>
                        </w:rPr>
                      </w:pPr>
                      <w:r w:rsidRPr="000036BD">
                        <w:rPr>
                          <w:rFonts w:ascii="Cambria" w:hAnsi="Cambria"/>
                          <w:b/>
                          <w:color w:val="595959"/>
                          <w:sz w:val="18"/>
                        </w:rPr>
                        <w:t xml:space="preserve">Cite as: </w:t>
                      </w:r>
                      <w:r>
                        <w:rPr>
                          <w:rFonts w:ascii="Cambria" w:hAnsi="Cambria"/>
                          <w:color w:val="595959"/>
                          <w:sz w:val="18"/>
                        </w:rPr>
                        <w:t>IACHR, Report No. 21/15</w:t>
                      </w:r>
                      <w:r w:rsidRPr="000036BD">
                        <w:rPr>
                          <w:rFonts w:ascii="Cambria" w:hAnsi="Cambria"/>
                          <w:color w:val="595959"/>
                          <w:sz w:val="18"/>
                        </w:rPr>
                        <w:t xml:space="preserve">, Case 12.462. </w:t>
                      </w:r>
                      <w:proofErr w:type="gramStart"/>
                      <w:r w:rsidRPr="000036BD">
                        <w:rPr>
                          <w:rFonts w:ascii="Cambria" w:hAnsi="Cambria"/>
                          <w:color w:val="595959"/>
                          <w:sz w:val="18"/>
                        </w:rPr>
                        <w:t>Merits.</w:t>
                      </w:r>
                      <w:proofErr w:type="gramEnd"/>
                      <w:r w:rsidRPr="000036BD">
                        <w:rPr>
                          <w:rFonts w:ascii="Cambria" w:hAnsi="Cambria"/>
                          <w:color w:val="595959"/>
                          <w:sz w:val="18"/>
                        </w:rPr>
                        <w:t xml:space="preserve"> </w:t>
                      </w:r>
                      <w:proofErr w:type="gramStart"/>
                      <w:r w:rsidRPr="000036BD">
                        <w:rPr>
                          <w:rFonts w:ascii="Cambria" w:hAnsi="Cambria"/>
                          <w:color w:val="595959"/>
                          <w:sz w:val="18"/>
                        </w:rPr>
                        <w:t xml:space="preserve">Nelson </w:t>
                      </w:r>
                      <w:proofErr w:type="spellStart"/>
                      <w:r w:rsidRPr="000036BD">
                        <w:rPr>
                          <w:rFonts w:ascii="Cambria" w:hAnsi="Cambria"/>
                          <w:color w:val="595959"/>
                          <w:sz w:val="18"/>
                        </w:rPr>
                        <w:t>Carvajal</w:t>
                      </w:r>
                      <w:proofErr w:type="spellEnd"/>
                      <w:r w:rsidRPr="000036BD">
                        <w:rPr>
                          <w:rFonts w:ascii="Cambria" w:hAnsi="Cambria"/>
                          <w:color w:val="595959"/>
                          <w:sz w:val="18"/>
                        </w:rPr>
                        <w:t xml:space="preserve"> </w:t>
                      </w:r>
                      <w:proofErr w:type="spellStart"/>
                      <w:r w:rsidRPr="008D6E5C">
                        <w:rPr>
                          <w:rFonts w:ascii="Cambria" w:hAnsi="Cambria"/>
                          <w:color w:val="595959"/>
                          <w:sz w:val="18"/>
                        </w:rPr>
                        <w:t>Carvajal</w:t>
                      </w:r>
                      <w:proofErr w:type="spellEnd"/>
                      <w:r w:rsidRPr="008D6E5C">
                        <w:rPr>
                          <w:rFonts w:ascii="Cambria" w:hAnsi="Cambria"/>
                          <w:color w:val="595959"/>
                          <w:sz w:val="18"/>
                        </w:rPr>
                        <w:t xml:space="preserve"> and family.</w:t>
                      </w:r>
                      <w:proofErr w:type="gramEnd"/>
                      <w:r w:rsidRPr="008D6E5C">
                        <w:rPr>
                          <w:rFonts w:ascii="Cambria" w:hAnsi="Cambria"/>
                          <w:color w:val="595959"/>
                          <w:sz w:val="18"/>
                        </w:rPr>
                        <w:t xml:space="preserve"> Colombia. March 26, 2015.</w:t>
                      </w:r>
                    </w:p>
                  </w:txbxContent>
                </v:textbox>
              </v:shape>
            </w:pict>
          </mc:Fallback>
        </mc:AlternateContent>
      </w:r>
    </w:p>
    <w:p w:rsidR="002C1641" w:rsidRPr="008D6E5C" w:rsidRDefault="002C1641" w:rsidP="00040C3A">
      <w:pPr>
        <w:tabs>
          <w:tab w:val="center" w:pos="5400"/>
        </w:tabs>
        <w:suppressAutoHyphens/>
        <w:jc w:val="center"/>
        <w:rPr>
          <w:rFonts w:ascii="Cambria" w:hAnsi="Cambria"/>
          <w:sz w:val="18"/>
          <w:szCs w:val="22"/>
        </w:rPr>
      </w:pPr>
    </w:p>
    <w:p w:rsidR="002C1641" w:rsidRPr="008D6E5C" w:rsidRDefault="002C1641" w:rsidP="00040C3A">
      <w:pPr>
        <w:tabs>
          <w:tab w:val="center" w:pos="5400"/>
        </w:tabs>
        <w:suppressAutoHyphens/>
        <w:jc w:val="center"/>
        <w:rPr>
          <w:rFonts w:ascii="Cambria" w:hAnsi="Cambria"/>
          <w:sz w:val="18"/>
          <w:szCs w:val="22"/>
        </w:rPr>
      </w:pPr>
    </w:p>
    <w:p w:rsidR="003C32BC" w:rsidRPr="008D6E5C" w:rsidRDefault="003C32BC" w:rsidP="003C32BC">
      <w:pPr>
        <w:tabs>
          <w:tab w:val="center" w:pos="5400"/>
        </w:tabs>
        <w:suppressAutoHyphens/>
        <w:jc w:val="center"/>
        <w:rPr>
          <w:rFonts w:ascii="Cambria" w:hAnsi="Cambria"/>
          <w:sz w:val="18"/>
          <w:szCs w:val="22"/>
        </w:rPr>
      </w:pPr>
    </w:p>
    <w:p w:rsidR="003C32BC" w:rsidRPr="008D6E5C" w:rsidRDefault="00775602" w:rsidP="003C32BC">
      <w:pPr>
        <w:tabs>
          <w:tab w:val="center" w:pos="5400"/>
        </w:tabs>
        <w:suppressAutoHyphens/>
        <w:jc w:val="center"/>
        <w:rPr>
          <w:rFonts w:ascii="Cambria" w:hAnsi="Cambria"/>
          <w:sz w:val="18"/>
          <w:szCs w:val="22"/>
        </w:rPr>
      </w:pPr>
      <w:r w:rsidRPr="008D6E5C">
        <w:rPr>
          <w:noProof/>
          <w:bdr w:val="none" w:sz="0" w:space="0" w:color="auto"/>
        </w:rPr>
        <mc:AlternateContent>
          <mc:Choice Requires="wps">
            <w:drawing>
              <wp:anchor distT="0" distB="0" distL="114300" distR="114300" simplePos="0" relativeHeight="251661312" behindDoc="0" locked="0" layoutInCell="1" allowOverlap="1" wp14:anchorId="07BC40B5" wp14:editId="5C0B07FD">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txbx>
                        <w:txbxContent>
                          <w:p w:rsidR="00F8558A" w:rsidRPr="000036BD" w:rsidRDefault="00F8558A" w:rsidP="006311DA">
                            <w:pPr>
                              <w:jc w:val="center"/>
                              <w:rPr>
                                <w:rFonts w:ascii="Calibri" w:hAnsi="Calibri"/>
                                <w:b/>
                                <w:color w:val="FFFFFF"/>
                              </w:rPr>
                            </w:pPr>
                            <w:r w:rsidRPr="000036BD">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" filled="f" stroked="f" strokeweight=".5pt">
                <v:path arrowok="t"/>
                <v:textbox>
                  <w:txbxContent>
                    <w:p w:rsidR="00F8558A" w:rsidRPr="000036BD" w:rsidRDefault="00F8558A" w:rsidP="006311DA">
                      <w:pPr>
                        <w:jc w:val="center"/>
                        <w:rPr>
                          <w:rFonts w:ascii="Calibri" w:hAnsi="Calibri"/>
                          <w:b/>
                          <w:color w:val="FFFFFF"/>
                        </w:rPr>
                      </w:pPr>
                      <w:r w:rsidRPr="000036BD">
                        <w:rPr>
                          <w:rFonts w:ascii="Calibri" w:hAnsi="Calibri"/>
                          <w:b/>
                          <w:color w:val="FFFFFF"/>
                          <w:lang w:val="pt-BR"/>
                        </w:rPr>
                        <w:t>www.cidh.org</w:t>
                      </w:r>
                    </w:p>
                  </w:txbxContent>
                </v:textbox>
              </v:shape>
            </w:pict>
          </mc:Fallback>
        </mc:AlternateContent>
      </w:r>
      <w:r w:rsidRPr="008D6E5C">
        <w:rPr>
          <w:noProof/>
          <w:bdr w:val="none" w:sz="0" w:space="0" w:color="auto"/>
        </w:rPr>
        <mc:AlternateContent>
          <mc:Choice Requires="wps">
            <w:drawing>
              <wp:anchor distT="0" distB="0" distL="114300" distR="114300" simplePos="0" relativeHeight="251660288" behindDoc="0" locked="0" layoutInCell="1" allowOverlap="1" wp14:anchorId="2E3E6381" wp14:editId="2A7C299A">
                <wp:simplePos x="0" y="0"/>
                <wp:positionH relativeFrom="column">
                  <wp:posOffset>1208405</wp:posOffset>
                </wp:positionH>
                <wp:positionV relativeFrom="paragraph">
                  <wp:posOffset>722630</wp:posOffset>
                </wp:positionV>
                <wp:extent cx="2085975" cy="4857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ysClr val="window" lastClr="FFFFFF"/>
                        </a:solidFill>
                        <a:ln w="6350">
                          <a:noFill/>
                        </a:ln>
                        <a:effectLst/>
                      </wps:spPr>
                      <wps:txbx>
                        <w:txbxContent>
                          <w:p w:rsidR="00F8558A" w:rsidRDefault="00F8558A">
                            <w:r>
                              <w:rPr>
                                <w:noProof/>
                              </w:rPr>
                              <w:drawing>
                                <wp:inline distT="0" distB="0" distL="0" distR="0" wp14:anchorId="26604A98" wp14:editId="571A7D5D">
                                  <wp:extent cx="1121410" cy="379730"/>
                                  <wp:effectExtent l="0" t="0" r="2540" b="127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" fillcolor="window" stroked="f" strokeweight=".5pt">
                <v:path arrowok="t"/>
                <v:textbox>
                  <w:txbxContent>
                    <w:p w:rsidR="00F8558A" w:rsidRDefault="00F8558A">
                      <w:r>
                        <w:rPr>
                          <w:noProof/>
                        </w:rPr>
                        <w:drawing>
                          <wp:inline distT="0" distB="0" distL="0" distR="0" wp14:anchorId="26604A98" wp14:editId="571A7D5D">
                            <wp:extent cx="1121410" cy="379730"/>
                            <wp:effectExtent l="0" t="0" r="2540" b="1270"/>
                            <wp:docPr id="4" name="Picture 4" descr="oe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ea-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1410" cy="379730"/>
                                    </a:xfrm>
                                    <a:prstGeom prst="rect">
                                      <a:avLst/>
                                    </a:prstGeom>
                                    <a:noFill/>
                                    <a:ln>
                                      <a:noFill/>
                                    </a:ln>
                                  </pic:spPr>
                                </pic:pic>
                              </a:graphicData>
                            </a:graphic>
                          </wp:inline>
                        </w:drawing>
                      </w:r>
                    </w:p>
                  </w:txbxContent>
                </v:textbox>
              </v:shape>
            </w:pict>
          </mc:Fallback>
        </mc:AlternateContent>
      </w:r>
    </w:p>
    <w:p w:rsidR="007607C4" w:rsidRPr="008D6E5C" w:rsidRDefault="007607C4" w:rsidP="003C32BC">
      <w:pPr>
        <w:tabs>
          <w:tab w:val="center" w:pos="5400"/>
        </w:tabs>
        <w:suppressAutoHyphens/>
        <w:jc w:val="center"/>
        <w:rPr>
          <w:rFonts w:ascii="Cambria" w:hAnsi="Cambria"/>
          <w:sz w:val="18"/>
          <w:szCs w:val="22"/>
        </w:rPr>
        <w:sectPr w:rsidR="007607C4" w:rsidRPr="008D6E5C" w:rsidSect="00853419">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p>
    <w:p w:rsidR="00C13748" w:rsidRPr="008D6E5C" w:rsidRDefault="00775602" w:rsidP="00C13748">
      <w:pPr>
        <w:tabs>
          <w:tab w:val="left" w:pos="720"/>
          <w:tab w:val="center" w:pos="5400"/>
        </w:tabs>
        <w:suppressAutoHyphens/>
        <w:spacing w:line="276" w:lineRule="auto"/>
        <w:jc w:val="center"/>
        <w:rPr>
          <w:rFonts w:ascii="Cambria" w:hAnsi="Cambria"/>
          <w:b/>
          <w:sz w:val="18"/>
          <w:szCs w:val="18"/>
        </w:rPr>
      </w:pPr>
      <w:r w:rsidRPr="008D6E5C">
        <w:rPr>
          <w:rFonts w:ascii="Cambria" w:hAnsi="Cambria"/>
          <w:b/>
          <w:sz w:val="18"/>
          <w:szCs w:val="18"/>
        </w:rPr>
        <w:lastRenderedPageBreak/>
        <w:t>REPORT No. 21</w:t>
      </w:r>
      <w:r w:rsidR="00C13748" w:rsidRPr="008D6E5C">
        <w:rPr>
          <w:rFonts w:ascii="Cambria" w:hAnsi="Cambria"/>
          <w:b/>
          <w:sz w:val="18"/>
          <w:szCs w:val="18"/>
        </w:rPr>
        <w:t>/15</w:t>
      </w:r>
    </w:p>
    <w:p w:rsidR="00C13748" w:rsidRPr="008D6E5C" w:rsidRDefault="00C13748" w:rsidP="00C13748">
      <w:pPr>
        <w:tabs>
          <w:tab w:val="center" w:pos="5400"/>
        </w:tabs>
        <w:suppressAutoHyphens/>
        <w:spacing w:line="276" w:lineRule="auto"/>
        <w:jc w:val="center"/>
        <w:rPr>
          <w:rFonts w:ascii="Cambria" w:hAnsi="Cambria"/>
          <w:b/>
          <w:sz w:val="18"/>
          <w:szCs w:val="18"/>
        </w:rPr>
      </w:pPr>
      <w:r w:rsidRPr="008D6E5C">
        <w:rPr>
          <w:rFonts w:ascii="Cambria" w:hAnsi="Cambria"/>
          <w:b/>
          <w:sz w:val="18"/>
          <w:szCs w:val="18"/>
        </w:rPr>
        <w:t>CASE 12.462</w:t>
      </w:r>
    </w:p>
    <w:p w:rsidR="00C13748" w:rsidRPr="008D6E5C" w:rsidRDefault="00C13748" w:rsidP="00C13748">
      <w:pPr>
        <w:tabs>
          <w:tab w:val="center" w:pos="5400"/>
        </w:tabs>
        <w:suppressAutoHyphens/>
        <w:spacing w:line="276" w:lineRule="auto"/>
        <w:jc w:val="center"/>
        <w:rPr>
          <w:rFonts w:ascii="Cambria" w:hAnsi="Cambria"/>
          <w:sz w:val="18"/>
          <w:szCs w:val="18"/>
        </w:rPr>
      </w:pPr>
      <w:r w:rsidRPr="008D6E5C">
        <w:rPr>
          <w:rFonts w:ascii="Cambria" w:hAnsi="Cambria"/>
          <w:sz w:val="18"/>
          <w:szCs w:val="18"/>
        </w:rPr>
        <w:t xml:space="preserve">MERITS </w:t>
      </w:r>
    </w:p>
    <w:p w:rsidR="00C13748" w:rsidRPr="008D6E5C" w:rsidRDefault="00C13748" w:rsidP="00C13748">
      <w:pPr>
        <w:tabs>
          <w:tab w:val="center" w:pos="5400"/>
        </w:tabs>
        <w:suppressAutoHyphens/>
        <w:spacing w:line="276" w:lineRule="auto"/>
        <w:jc w:val="center"/>
        <w:rPr>
          <w:rFonts w:ascii="Cambria" w:hAnsi="Cambria"/>
          <w:sz w:val="18"/>
          <w:szCs w:val="18"/>
        </w:rPr>
      </w:pPr>
      <w:r w:rsidRPr="008D6E5C">
        <w:rPr>
          <w:rFonts w:ascii="Cambria" w:hAnsi="Cambria"/>
          <w:sz w:val="18"/>
          <w:szCs w:val="18"/>
        </w:rPr>
        <w:t xml:space="preserve">NELSON CARVAJAL </w:t>
      </w:r>
      <w:proofErr w:type="spellStart"/>
      <w:r w:rsidRPr="008D6E5C">
        <w:rPr>
          <w:rFonts w:ascii="Cambria" w:hAnsi="Cambria"/>
          <w:sz w:val="18"/>
          <w:szCs w:val="18"/>
        </w:rPr>
        <w:t>CARVAJAL</w:t>
      </w:r>
      <w:proofErr w:type="spellEnd"/>
      <w:r w:rsidR="008D6E5C">
        <w:rPr>
          <w:rFonts w:ascii="Cambria" w:hAnsi="Cambria"/>
          <w:sz w:val="18"/>
          <w:szCs w:val="18"/>
        </w:rPr>
        <w:t xml:space="preserve"> AND FAMILY</w:t>
      </w:r>
    </w:p>
    <w:p w:rsidR="00C13748" w:rsidRPr="008D6E5C" w:rsidRDefault="00C13748" w:rsidP="00C13748">
      <w:pPr>
        <w:tabs>
          <w:tab w:val="center" w:pos="5400"/>
        </w:tabs>
        <w:suppressAutoHyphens/>
        <w:spacing w:line="276" w:lineRule="auto"/>
        <w:jc w:val="center"/>
        <w:rPr>
          <w:rFonts w:ascii="Cambria" w:hAnsi="Cambria"/>
          <w:sz w:val="18"/>
          <w:szCs w:val="18"/>
        </w:rPr>
      </w:pPr>
      <w:r w:rsidRPr="008D6E5C">
        <w:rPr>
          <w:rFonts w:ascii="Cambria" w:hAnsi="Cambria"/>
          <w:sz w:val="18"/>
          <w:szCs w:val="18"/>
        </w:rPr>
        <w:t>COLOMBIA</w:t>
      </w:r>
      <w:r w:rsidRPr="008D6E5C">
        <w:rPr>
          <w:rFonts w:ascii="Cambria" w:hAnsi="Cambria"/>
          <w:sz w:val="18"/>
          <w:szCs w:val="18"/>
        </w:rPr>
        <w:br/>
      </w:r>
      <w:r w:rsidR="00775602" w:rsidRPr="008D6E5C">
        <w:rPr>
          <w:rFonts w:ascii="Cambria" w:hAnsi="Cambria"/>
          <w:sz w:val="18"/>
          <w:szCs w:val="18"/>
        </w:rPr>
        <w:t>MARCH 26, 2015</w:t>
      </w:r>
    </w:p>
    <w:p w:rsidR="007607C4" w:rsidRPr="008D6E5C" w:rsidRDefault="007607C4" w:rsidP="00145EDC">
      <w:pPr>
        <w:tabs>
          <w:tab w:val="center" w:pos="5400"/>
        </w:tabs>
        <w:suppressAutoHyphens/>
        <w:spacing w:line="276" w:lineRule="auto"/>
        <w:rPr>
          <w:rFonts w:ascii="Cambria" w:hAnsi="Cambria"/>
          <w:sz w:val="20"/>
          <w:szCs w:val="20"/>
        </w:rPr>
      </w:pPr>
    </w:p>
    <w:p w:rsidR="00FC3EB4" w:rsidRPr="008D6E5C" w:rsidRDefault="00FC3EB4" w:rsidP="00FC3EB4">
      <w:pPr>
        <w:tabs>
          <w:tab w:val="center" w:pos="5400"/>
        </w:tabs>
        <w:suppressAutoHyphens/>
        <w:spacing w:line="276" w:lineRule="auto"/>
        <w:jc w:val="center"/>
        <w:rPr>
          <w:rFonts w:ascii="Cambria" w:hAnsi="Cambria"/>
          <w:b/>
          <w:szCs w:val="20"/>
        </w:rPr>
      </w:pPr>
      <w:r w:rsidRPr="008D6E5C">
        <w:rPr>
          <w:rFonts w:ascii="Cambria" w:hAnsi="Cambria"/>
          <w:b/>
          <w:szCs w:val="20"/>
        </w:rPr>
        <w:t>INDEX</w:t>
      </w:r>
    </w:p>
    <w:p w:rsidR="007607C4" w:rsidRPr="00202A88" w:rsidRDefault="007607C4" w:rsidP="00145EDC">
      <w:pPr>
        <w:tabs>
          <w:tab w:val="center" w:pos="5400"/>
        </w:tabs>
        <w:suppressAutoHyphens/>
        <w:spacing w:line="276" w:lineRule="auto"/>
        <w:rPr>
          <w:rFonts w:ascii="Cambria" w:hAnsi="Cambria"/>
          <w:sz w:val="20"/>
          <w:szCs w:val="20"/>
        </w:rPr>
      </w:pPr>
    </w:p>
    <w:p w:rsidR="007607C4" w:rsidRPr="00E93776" w:rsidRDefault="007607C4" w:rsidP="00A17F4B">
      <w:pPr>
        <w:tabs>
          <w:tab w:val="left" w:pos="720"/>
          <w:tab w:val="center" w:pos="5400"/>
        </w:tabs>
        <w:suppressAutoHyphens/>
        <w:spacing w:line="276" w:lineRule="auto"/>
        <w:rPr>
          <w:rFonts w:ascii="Cambria" w:hAnsi="Cambria"/>
          <w:sz w:val="20"/>
          <w:szCs w:val="20"/>
        </w:rPr>
      </w:pPr>
    </w:p>
    <w:p w:rsidR="00E93776" w:rsidRPr="00E93776" w:rsidRDefault="00A17F4B">
      <w:pPr>
        <w:pStyle w:val="TOC1"/>
        <w:rPr>
          <w:rFonts w:ascii="Cambria" w:eastAsiaTheme="minorEastAsia" w:hAnsi="Cambria" w:cstheme="minorBidi"/>
          <w:noProof/>
          <w:sz w:val="20"/>
          <w:szCs w:val="20"/>
          <w:bdr w:val="none" w:sz="0" w:space="0" w:color="auto"/>
          <w:lang w:val="es-CO" w:eastAsia="es-CO"/>
        </w:rPr>
      </w:pPr>
      <w:r w:rsidRPr="00E93776">
        <w:rPr>
          <w:rFonts w:ascii="Cambria" w:hAnsi="Cambria"/>
          <w:sz w:val="20"/>
          <w:szCs w:val="20"/>
        </w:rPr>
        <w:fldChar w:fldCharType="begin"/>
      </w:r>
      <w:r w:rsidRPr="00E93776">
        <w:rPr>
          <w:rFonts w:ascii="Cambria" w:hAnsi="Cambria"/>
          <w:sz w:val="20"/>
          <w:szCs w:val="20"/>
        </w:rPr>
        <w:instrText xml:space="preserve"> TOC \o "1-3" \h \z \u </w:instrText>
      </w:r>
      <w:r w:rsidRPr="00E93776">
        <w:rPr>
          <w:rFonts w:ascii="Cambria" w:hAnsi="Cambria"/>
          <w:sz w:val="20"/>
          <w:szCs w:val="20"/>
        </w:rPr>
        <w:fldChar w:fldCharType="separate"/>
      </w:r>
      <w:hyperlink w:anchor="_Toc416880374" w:history="1">
        <w:r w:rsidR="00E93776" w:rsidRPr="00E93776">
          <w:rPr>
            <w:rStyle w:val="Hyperlink"/>
            <w:rFonts w:ascii="Cambria" w:hAnsi="Cambria"/>
            <w:noProof/>
            <w:sz w:val="20"/>
            <w:szCs w:val="20"/>
          </w:rPr>
          <w:t>I.</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SUMMARY</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_Toc416880374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3</w:t>
        </w:r>
        <w:r w:rsidR="00E93776" w:rsidRPr="00E93776">
          <w:rPr>
            <w:rFonts w:ascii="Cambria" w:hAnsi="Cambria"/>
            <w:noProof/>
            <w:webHidden/>
            <w:sz w:val="20"/>
            <w:szCs w:val="20"/>
          </w:rPr>
          <w:fldChar w:fldCharType="end"/>
        </w:r>
      </w:hyperlink>
    </w:p>
    <w:p w:rsidR="00E93776" w:rsidRPr="00E93776" w:rsidRDefault="00F8558A">
      <w:pPr>
        <w:pStyle w:val="TOC1"/>
        <w:rPr>
          <w:rFonts w:ascii="Cambria" w:eastAsiaTheme="minorEastAsia" w:hAnsi="Cambria" w:cstheme="minorBidi"/>
          <w:noProof/>
          <w:sz w:val="20"/>
          <w:szCs w:val="20"/>
          <w:bdr w:val="none" w:sz="0" w:space="0" w:color="auto"/>
          <w:lang w:val="es-CO" w:eastAsia="es-CO"/>
        </w:rPr>
      </w:pPr>
      <w:hyperlink w:anchor="_Toc416880375" w:history="1">
        <w:r w:rsidR="00E93776" w:rsidRPr="00E93776">
          <w:rPr>
            <w:rStyle w:val="Hyperlink"/>
            <w:rFonts w:ascii="Cambria" w:hAnsi="Cambria"/>
            <w:noProof/>
            <w:sz w:val="20"/>
            <w:szCs w:val="20"/>
          </w:rPr>
          <w:t>II.</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PROCEEDINGS BEFORE THE COMMISSION SUBSEQUENT TO THE ADMISSIBILITY REPORT</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_Toc416880375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4</w:t>
        </w:r>
        <w:r w:rsidR="00E93776" w:rsidRPr="00E93776">
          <w:rPr>
            <w:rFonts w:ascii="Cambria" w:hAnsi="Cambria"/>
            <w:noProof/>
            <w:webHidden/>
            <w:sz w:val="20"/>
            <w:szCs w:val="20"/>
          </w:rPr>
          <w:fldChar w:fldCharType="end"/>
        </w:r>
      </w:hyperlink>
    </w:p>
    <w:p w:rsidR="00E93776" w:rsidRPr="00E93776" w:rsidRDefault="00F8558A">
      <w:pPr>
        <w:pStyle w:val="TOC1"/>
        <w:rPr>
          <w:rFonts w:ascii="Cambria" w:eastAsiaTheme="minorEastAsia" w:hAnsi="Cambria" w:cstheme="minorBidi"/>
          <w:noProof/>
          <w:sz w:val="20"/>
          <w:szCs w:val="20"/>
          <w:bdr w:val="none" w:sz="0" w:space="0" w:color="auto"/>
          <w:lang w:val="es-CO" w:eastAsia="es-CO"/>
        </w:rPr>
      </w:pPr>
      <w:hyperlink w:anchor="_Toc416880376" w:history="1">
        <w:r w:rsidR="00E93776" w:rsidRPr="00E93776">
          <w:rPr>
            <w:rStyle w:val="Hyperlink"/>
            <w:rFonts w:ascii="Cambria" w:hAnsi="Cambria"/>
            <w:noProof/>
            <w:sz w:val="20"/>
            <w:szCs w:val="20"/>
          </w:rPr>
          <w:t>III.</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POSITIONS OF THE PARTIES</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_Toc416880376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4</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77" w:history="1">
        <w:r w:rsidR="00E93776" w:rsidRPr="00E93776">
          <w:rPr>
            <w:rStyle w:val="Hyperlink"/>
            <w:rFonts w:ascii="Cambria" w:hAnsi="Cambria"/>
            <w:noProof/>
            <w:sz w:val="20"/>
            <w:szCs w:val="20"/>
          </w:rPr>
          <w:t>A.</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Position of the petitioner</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_Toc416880377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4</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78" w:history="1">
        <w:r w:rsidR="00E93776" w:rsidRPr="00E93776">
          <w:rPr>
            <w:rStyle w:val="Hyperlink"/>
            <w:rFonts w:ascii="Cambria" w:hAnsi="Cambria"/>
            <w:noProof/>
            <w:sz w:val="20"/>
            <w:szCs w:val="20"/>
          </w:rPr>
          <w:t>B.</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Position of the State</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_Toc416880378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6</w:t>
        </w:r>
        <w:r w:rsidR="00E93776" w:rsidRPr="00E93776">
          <w:rPr>
            <w:rFonts w:ascii="Cambria" w:hAnsi="Cambria"/>
            <w:noProof/>
            <w:webHidden/>
            <w:sz w:val="20"/>
            <w:szCs w:val="20"/>
          </w:rPr>
          <w:fldChar w:fldCharType="end"/>
        </w:r>
      </w:hyperlink>
    </w:p>
    <w:p w:rsidR="00E93776" w:rsidRPr="00E93776" w:rsidRDefault="00F8558A">
      <w:pPr>
        <w:pStyle w:val="TOC1"/>
        <w:rPr>
          <w:rFonts w:ascii="Cambria" w:eastAsiaTheme="minorEastAsia" w:hAnsi="Cambria" w:cstheme="minorBidi"/>
          <w:noProof/>
          <w:sz w:val="20"/>
          <w:szCs w:val="20"/>
          <w:bdr w:val="none" w:sz="0" w:space="0" w:color="auto"/>
          <w:lang w:val="es-CO" w:eastAsia="es-CO"/>
        </w:rPr>
      </w:pPr>
      <w:hyperlink w:anchor="_Toc416880379" w:history="1">
        <w:r w:rsidR="00E93776" w:rsidRPr="00E93776">
          <w:rPr>
            <w:rStyle w:val="Hyperlink"/>
            <w:rFonts w:ascii="Cambria" w:hAnsi="Cambria"/>
            <w:noProof/>
            <w:sz w:val="20"/>
            <w:szCs w:val="20"/>
          </w:rPr>
          <w:t>IV.</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ESTABLISHED FACTS</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_Toc416880379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8</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80" w:history="1">
        <w:r w:rsidR="00E93776" w:rsidRPr="00E93776">
          <w:rPr>
            <w:rStyle w:val="Hyperlink"/>
            <w:rFonts w:ascii="Cambria" w:hAnsi="Cambria"/>
            <w:noProof/>
            <w:sz w:val="20"/>
            <w:szCs w:val="20"/>
          </w:rPr>
          <w:t>A.</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The murder of Nelson Carvajal Carvajal</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_Toc416880380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9</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81" w:history="1">
        <w:r w:rsidR="00E93776" w:rsidRPr="00E93776">
          <w:rPr>
            <w:rStyle w:val="Hyperlink"/>
            <w:rFonts w:ascii="Cambria" w:hAnsi="Cambria"/>
            <w:noProof/>
            <w:sz w:val="20"/>
            <w:szCs w:val="20"/>
          </w:rPr>
          <w:t>B.</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Legal proceedings</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_Toc416880381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9</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82" w:history="1">
        <w:r w:rsidR="00E93776" w:rsidRPr="00E93776">
          <w:rPr>
            <w:rStyle w:val="Hyperlink"/>
            <w:rFonts w:ascii="Cambria" w:hAnsi="Cambria"/>
            <w:noProof/>
            <w:sz w:val="20"/>
            <w:szCs w:val="20"/>
          </w:rPr>
          <w:t>1.</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Pretrial Phase of the Criminal Proceeding (Case 33.744)</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_Toc416880382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9</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83" w:history="1">
        <w:r w:rsidR="00E93776" w:rsidRPr="00E93776">
          <w:rPr>
            <w:rStyle w:val="Hyperlink"/>
            <w:rFonts w:ascii="Cambria" w:hAnsi="Cambria"/>
            <w:noProof/>
            <w:sz w:val="20"/>
            <w:szCs w:val="20"/>
          </w:rPr>
          <w:t>2.</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Theories of investigation on the masterminds and motives for Nelson Carvajal Carvajal’s murder</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_Toc416880383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13</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84" w:history="1">
        <w:r w:rsidR="00E93776" w:rsidRPr="00E93776">
          <w:rPr>
            <w:rStyle w:val="Hyperlink"/>
            <w:rFonts w:ascii="Cambria" w:hAnsi="Cambria"/>
            <w:noProof/>
            <w:sz w:val="20"/>
            <w:szCs w:val="20"/>
          </w:rPr>
          <w:t>3.</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Trial of a local businessman and others before the Criminal Court of the Specialized Circuit of Neiva</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_Toc416880384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18</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85" w:history="1">
        <w:r w:rsidR="00E93776" w:rsidRPr="00E93776">
          <w:rPr>
            <w:rStyle w:val="Hyperlink"/>
            <w:rFonts w:ascii="Cambria" w:hAnsi="Cambria"/>
            <w:noProof/>
            <w:sz w:val="20"/>
            <w:szCs w:val="20"/>
          </w:rPr>
          <w:t>4.</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New investigations by the Office of the Prosecutor</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_Toc416880385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20</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86" w:history="1">
        <w:r w:rsidR="00E93776" w:rsidRPr="00E93776">
          <w:rPr>
            <w:rStyle w:val="Hyperlink"/>
            <w:rFonts w:ascii="Cambria" w:hAnsi="Cambria"/>
            <w:noProof/>
            <w:sz w:val="20"/>
            <w:szCs w:val="20"/>
          </w:rPr>
          <w:t>5.</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Disciplinary Investigation before the Judicial Council</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_Toc416880386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21</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87" w:history="1">
        <w:r w:rsidR="00E93776" w:rsidRPr="00E93776">
          <w:rPr>
            <w:rStyle w:val="Hyperlink"/>
            <w:rFonts w:ascii="Cambria" w:hAnsi="Cambria"/>
            <w:noProof/>
            <w:sz w:val="20"/>
            <w:szCs w:val="20"/>
          </w:rPr>
          <w:t>C.</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Threats to Nelson Carvajal Carvajal’s relatives and witnesses in the case</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_Toc416880387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22</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88" w:history="1">
        <w:r w:rsidR="00E93776" w:rsidRPr="00E93776">
          <w:rPr>
            <w:rStyle w:val="Hyperlink"/>
            <w:rFonts w:ascii="Cambria" w:hAnsi="Cambria"/>
            <w:noProof/>
            <w:sz w:val="20"/>
            <w:szCs w:val="20"/>
          </w:rPr>
          <w:t>D.</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The practice of journalism in the context of the internal armed conflict in Colombia</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_Toc416880388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25</w:t>
        </w:r>
        <w:r w:rsidR="00E93776" w:rsidRPr="00E93776">
          <w:rPr>
            <w:rFonts w:ascii="Cambria" w:hAnsi="Cambria"/>
            <w:noProof/>
            <w:webHidden/>
            <w:sz w:val="20"/>
            <w:szCs w:val="20"/>
          </w:rPr>
          <w:fldChar w:fldCharType="end"/>
        </w:r>
      </w:hyperlink>
    </w:p>
    <w:p w:rsidR="00E93776" w:rsidRPr="00E93776" w:rsidRDefault="00F8558A">
      <w:pPr>
        <w:pStyle w:val="TOC1"/>
        <w:rPr>
          <w:rFonts w:ascii="Cambria" w:eastAsiaTheme="minorEastAsia" w:hAnsi="Cambria" w:cstheme="minorBidi"/>
          <w:noProof/>
          <w:sz w:val="20"/>
          <w:szCs w:val="20"/>
          <w:bdr w:val="none" w:sz="0" w:space="0" w:color="auto"/>
          <w:lang w:val="es-CO" w:eastAsia="es-CO"/>
        </w:rPr>
      </w:pPr>
      <w:hyperlink w:anchor="_Toc416880389" w:history="1">
        <w:r w:rsidR="00E93776" w:rsidRPr="00E93776">
          <w:rPr>
            <w:rStyle w:val="Hyperlink"/>
            <w:rFonts w:ascii="Cambria" w:hAnsi="Cambria"/>
            <w:noProof/>
            <w:sz w:val="20"/>
            <w:szCs w:val="20"/>
          </w:rPr>
          <w:t>V.</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EXAMINATION OF THE MERITS</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_Toc416880389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26</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90" w:history="1">
        <w:r w:rsidR="00E93776" w:rsidRPr="00E93776">
          <w:rPr>
            <w:rStyle w:val="Hyperlink"/>
            <w:rFonts w:ascii="Cambria" w:hAnsi="Cambria"/>
            <w:noProof/>
            <w:sz w:val="20"/>
            <w:szCs w:val="20"/>
          </w:rPr>
          <w:t>A.</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Examination of the alleged violation of the rights to life (Article 4), freedom of thought and expression (Article 13), a fair trial (Article 8),</w:t>
        </w:r>
        <w:r w:rsidR="00E93776" w:rsidRPr="00E93776">
          <w:rPr>
            <w:rStyle w:val="Hyperlink"/>
            <w:rFonts w:ascii="Cambria" w:hAnsi="Cambria"/>
            <w:noProof/>
            <w:sz w:val="20"/>
            <w:szCs w:val="20"/>
            <w:vertAlign w:val="superscript"/>
          </w:rPr>
          <w:t xml:space="preserve"> </w:t>
        </w:r>
        <w:r w:rsidR="00E93776" w:rsidRPr="00E93776">
          <w:rPr>
            <w:rStyle w:val="Hyperlink"/>
            <w:rFonts w:ascii="Cambria" w:hAnsi="Cambria"/>
            <w:noProof/>
            <w:sz w:val="20"/>
            <w:szCs w:val="20"/>
          </w:rPr>
          <w:t>and judicial protection (Article 25), as well as the general obligation to respect rights (Article 1(1))</w:t>
        </w:r>
        <w:r w:rsidR="00E93776" w:rsidRPr="00E93776">
          <w:rPr>
            <w:rStyle w:val="Hyperlink"/>
            <w:rFonts w:ascii="Cambria" w:hAnsi="Cambria"/>
            <w:noProof/>
            <w:sz w:val="20"/>
            <w:szCs w:val="20"/>
            <w:vertAlign w:val="superscript"/>
          </w:rPr>
          <w:t xml:space="preserve"> </w:t>
        </w:r>
        <w:r w:rsidR="00E93776" w:rsidRPr="00E93776">
          <w:rPr>
            <w:rStyle w:val="Hyperlink"/>
            <w:rFonts w:ascii="Cambria" w:hAnsi="Cambria"/>
            <w:noProof/>
            <w:sz w:val="20"/>
            <w:szCs w:val="20"/>
          </w:rPr>
          <w:t>of the American Convention</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_Toc416880390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26</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91" w:history="1">
        <w:r w:rsidR="00E93776" w:rsidRPr="00E93776">
          <w:rPr>
            <w:rStyle w:val="Hyperlink"/>
            <w:rFonts w:ascii="Cambria" w:hAnsi="Cambria"/>
            <w:noProof/>
            <w:sz w:val="20"/>
            <w:szCs w:val="20"/>
          </w:rPr>
          <w:t>1.</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Standards on the duty to investigate crimes committed against journalists on account of the exercise of their right to freedom of expression</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_Toc416880391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27</w:t>
        </w:r>
        <w:r w:rsidR="00E93776" w:rsidRPr="00E93776">
          <w:rPr>
            <w:rFonts w:ascii="Cambria" w:hAnsi="Cambria"/>
            <w:noProof/>
            <w:webHidden/>
            <w:sz w:val="20"/>
            <w:szCs w:val="20"/>
          </w:rPr>
          <w:fldChar w:fldCharType="end"/>
        </w:r>
      </w:hyperlink>
    </w:p>
    <w:p w:rsidR="00E93776" w:rsidRPr="00E93776" w:rsidRDefault="00F8558A">
      <w:pPr>
        <w:pStyle w:val="TOC3"/>
        <w:tabs>
          <w:tab w:val="left" w:pos="2160"/>
        </w:tabs>
        <w:rPr>
          <w:rFonts w:ascii="Cambria" w:eastAsiaTheme="minorEastAsia" w:hAnsi="Cambria" w:cstheme="minorBidi"/>
          <w:noProof/>
          <w:sz w:val="20"/>
          <w:szCs w:val="20"/>
          <w:bdr w:val="none" w:sz="0" w:space="0" w:color="auto"/>
          <w:lang w:val="es-CO" w:eastAsia="es-CO"/>
        </w:rPr>
      </w:pPr>
      <w:hyperlink w:anchor="_Toc416880392" w:history="1">
        <w:r w:rsidR="00E93776" w:rsidRPr="00E93776">
          <w:rPr>
            <w:rStyle w:val="Hyperlink"/>
            <w:rFonts w:ascii="Cambria" w:hAnsi="Cambria"/>
            <w:noProof/>
            <w:sz w:val="20"/>
            <w:szCs w:val="20"/>
          </w:rPr>
          <w:t>2.</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Analysis of the case</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_Toc416880392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29</w:t>
        </w:r>
        <w:r w:rsidR="00E93776" w:rsidRPr="00E93776">
          <w:rPr>
            <w:rFonts w:ascii="Cambria" w:hAnsi="Cambria"/>
            <w:noProof/>
            <w:webHidden/>
            <w:sz w:val="20"/>
            <w:szCs w:val="20"/>
          </w:rPr>
          <w:fldChar w:fldCharType="end"/>
        </w:r>
      </w:hyperlink>
    </w:p>
    <w:p w:rsidR="00E93776" w:rsidRPr="00E93776" w:rsidRDefault="00F8558A">
      <w:pPr>
        <w:pStyle w:val="TOC2"/>
        <w:rPr>
          <w:rFonts w:ascii="Cambria" w:eastAsiaTheme="minorEastAsia" w:hAnsi="Cambria" w:cstheme="minorBidi"/>
          <w:noProof/>
          <w:sz w:val="20"/>
          <w:szCs w:val="20"/>
          <w:bdr w:val="none" w:sz="0" w:space="0" w:color="auto"/>
          <w:lang w:val="es-CO" w:eastAsia="es-CO"/>
        </w:rPr>
      </w:pPr>
      <w:hyperlink w:anchor="_Toc416880393" w:history="1">
        <w:r w:rsidR="00E93776" w:rsidRPr="00E93776">
          <w:rPr>
            <w:rStyle w:val="Hyperlink"/>
            <w:rFonts w:ascii="Cambria" w:hAnsi="Cambria"/>
            <w:noProof/>
            <w:sz w:val="20"/>
            <w:szCs w:val="20"/>
          </w:rPr>
          <w:t>B.</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 xml:space="preserve">Examination of the violation of the right to humane treatment (Article 5(1)) and the right to freedom of movement and residence (Article 22(1)) </w:t>
        </w:r>
        <w:r w:rsidR="00E93776" w:rsidRPr="00E93776">
          <w:rPr>
            <w:rStyle w:val="Hyperlink"/>
            <w:rFonts w:ascii="Cambria" w:hAnsi="Cambria" w:cs="Verdana"/>
            <w:noProof/>
            <w:sz w:val="20"/>
            <w:szCs w:val="20"/>
          </w:rPr>
          <w:t>in relation to the general obligation to respect rights (Article 1(1))</w:t>
        </w:r>
        <w:r w:rsidR="00E93776" w:rsidRPr="00E93776">
          <w:rPr>
            <w:rStyle w:val="Hyperlink"/>
            <w:rFonts w:ascii="Cambria" w:hAnsi="Cambria"/>
            <w:noProof/>
            <w:sz w:val="20"/>
            <w:szCs w:val="20"/>
          </w:rPr>
          <w:t xml:space="preserve"> of the American Convention</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_Toc416880393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42</w:t>
        </w:r>
        <w:r w:rsidR="00E93776" w:rsidRPr="00E93776">
          <w:rPr>
            <w:rFonts w:ascii="Cambria" w:hAnsi="Cambria"/>
            <w:noProof/>
            <w:webHidden/>
            <w:sz w:val="20"/>
            <w:szCs w:val="20"/>
          </w:rPr>
          <w:fldChar w:fldCharType="end"/>
        </w:r>
      </w:hyperlink>
    </w:p>
    <w:p w:rsidR="00E93776" w:rsidRPr="00E93776" w:rsidRDefault="00F8558A">
      <w:pPr>
        <w:pStyle w:val="TOC1"/>
        <w:rPr>
          <w:rFonts w:ascii="Cambria" w:eastAsiaTheme="minorEastAsia" w:hAnsi="Cambria" w:cstheme="minorBidi"/>
          <w:noProof/>
          <w:sz w:val="20"/>
          <w:szCs w:val="20"/>
          <w:bdr w:val="none" w:sz="0" w:space="0" w:color="auto"/>
          <w:lang w:val="es-CO" w:eastAsia="es-CO"/>
        </w:rPr>
      </w:pPr>
      <w:hyperlink w:anchor="_Toc416880394" w:history="1">
        <w:r w:rsidR="00E93776" w:rsidRPr="00E93776">
          <w:rPr>
            <w:rStyle w:val="Hyperlink"/>
            <w:rFonts w:ascii="Cambria" w:hAnsi="Cambria"/>
            <w:noProof/>
            <w:sz w:val="20"/>
            <w:szCs w:val="20"/>
          </w:rPr>
          <w:t>VI.</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CONCLUSIONS</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_Toc416880394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45</w:t>
        </w:r>
        <w:r w:rsidR="00E93776" w:rsidRPr="00E93776">
          <w:rPr>
            <w:rFonts w:ascii="Cambria" w:hAnsi="Cambria"/>
            <w:noProof/>
            <w:webHidden/>
            <w:sz w:val="20"/>
            <w:szCs w:val="20"/>
          </w:rPr>
          <w:fldChar w:fldCharType="end"/>
        </w:r>
      </w:hyperlink>
    </w:p>
    <w:p w:rsidR="00E93776" w:rsidRPr="00E93776" w:rsidRDefault="00F8558A">
      <w:pPr>
        <w:pStyle w:val="TOC1"/>
        <w:rPr>
          <w:rFonts w:ascii="Cambria" w:eastAsiaTheme="minorEastAsia" w:hAnsi="Cambria" w:cstheme="minorBidi"/>
          <w:noProof/>
          <w:sz w:val="20"/>
          <w:szCs w:val="20"/>
          <w:bdr w:val="none" w:sz="0" w:space="0" w:color="auto"/>
          <w:lang w:val="es-CO" w:eastAsia="es-CO"/>
        </w:rPr>
      </w:pPr>
      <w:hyperlink w:anchor="_Toc416880395" w:history="1">
        <w:r w:rsidR="00E93776" w:rsidRPr="00E93776">
          <w:rPr>
            <w:rStyle w:val="Hyperlink"/>
            <w:rFonts w:ascii="Cambria" w:hAnsi="Cambria"/>
            <w:noProof/>
            <w:sz w:val="20"/>
            <w:szCs w:val="20"/>
          </w:rPr>
          <w:t>VII.</w:t>
        </w:r>
        <w:r w:rsidR="00E93776" w:rsidRPr="00E93776">
          <w:rPr>
            <w:rFonts w:ascii="Cambria" w:eastAsiaTheme="minorEastAsia" w:hAnsi="Cambria" w:cstheme="minorBidi"/>
            <w:noProof/>
            <w:sz w:val="20"/>
            <w:szCs w:val="20"/>
            <w:bdr w:val="none" w:sz="0" w:space="0" w:color="auto"/>
            <w:lang w:val="es-CO" w:eastAsia="es-CO"/>
          </w:rPr>
          <w:tab/>
        </w:r>
        <w:r w:rsidR="00E93776" w:rsidRPr="00E93776">
          <w:rPr>
            <w:rStyle w:val="Hyperlink"/>
            <w:rFonts w:ascii="Cambria" w:hAnsi="Cambria"/>
            <w:noProof/>
            <w:sz w:val="20"/>
            <w:szCs w:val="20"/>
          </w:rPr>
          <w:t>RECOMMENDATIONS</w:t>
        </w:r>
        <w:r w:rsidR="00E93776" w:rsidRPr="00E93776">
          <w:rPr>
            <w:rFonts w:ascii="Cambria" w:hAnsi="Cambria"/>
            <w:noProof/>
            <w:webHidden/>
            <w:sz w:val="20"/>
            <w:szCs w:val="20"/>
          </w:rPr>
          <w:tab/>
        </w:r>
        <w:r w:rsidR="00E93776" w:rsidRPr="00E93776">
          <w:rPr>
            <w:rFonts w:ascii="Cambria" w:hAnsi="Cambria"/>
            <w:noProof/>
            <w:webHidden/>
            <w:sz w:val="20"/>
            <w:szCs w:val="20"/>
          </w:rPr>
          <w:fldChar w:fldCharType="begin"/>
        </w:r>
        <w:r w:rsidR="00E93776" w:rsidRPr="00E93776">
          <w:rPr>
            <w:rFonts w:ascii="Cambria" w:hAnsi="Cambria"/>
            <w:noProof/>
            <w:webHidden/>
            <w:sz w:val="20"/>
            <w:szCs w:val="20"/>
          </w:rPr>
          <w:instrText xml:space="preserve"> PAGEREF _Toc416880395 \h </w:instrText>
        </w:r>
        <w:r w:rsidR="00E93776" w:rsidRPr="00E93776">
          <w:rPr>
            <w:rFonts w:ascii="Cambria" w:hAnsi="Cambria"/>
            <w:noProof/>
            <w:webHidden/>
            <w:sz w:val="20"/>
            <w:szCs w:val="20"/>
          </w:rPr>
        </w:r>
        <w:r w:rsidR="00E93776" w:rsidRPr="00E93776">
          <w:rPr>
            <w:rFonts w:ascii="Cambria" w:hAnsi="Cambria"/>
            <w:noProof/>
            <w:webHidden/>
            <w:sz w:val="20"/>
            <w:szCs w:val="20"/>
          </w:rPr>
          <w:fldChar w:fldCharType="separate"/>
        </w:r>
        <w:r w:rsidR="00E93776" w:rsidRPr="00E93776">
          <w:rPr>
            <w:rFonts w:ascii="Cambria" w:hAnsi="Cambria"/>
            <w:noProof/>
            <w:webHidden/>
            <w:sz w:val="20"/>
            <w:szCs w:val="20"/>
          </w:rPr>
          <w:t>45</w:t>
        </w:r>
        <w:r w:rsidR="00E93776" w:rsidRPr="00E93776">
          <w:rPr>
            <w:rFonts w:ascii="Cambria" w:hAnsi="Cambria"/>
            <w:noProof/>
            <w:webHidden/>
            <w:sz w:val="20"/>
            <w:szCs w:val="20"/>
          </w:rPr>
          <w:fldChar w:fldCharType="end"/>
        </w:r>
      </w:hyperlink>
    </w:p>
    <w:p w:rsidR="00C0575F" w:rsidRPr="008D6E5C" w:rsidRDefault="00A17F4B" w:rsidP="00A17F4B">
      <w:pPr>
        <w:tabs>
          <w:tab w:val="left" w:pos="720"/>
          <w:tab w:val="center" w:pos="5400"/>
        </w:tabs>
        <w:suppressAutoHyphens/>
        <w:spacing w:line="276" w:lineRule="auto"/>
        <w:jc w:val="center"/>
        <w:rPr>
          <w:rFonts w:ascii="Cambria" w:hAnsi="Cambria"/>
          <w:b/>
          <w:sz w:val="18"/>
          <w:szCs w:val="18"/>
        </w:rPr>
      </w:pPr>
      <w:r w:rsidRPr="00E93776">
        <w:rPr>
          <w:rFonts w:ascii="Cambria" w:hAnsi="Cambria"/>
          <w:sz w:val="20"/>
          <w:szCs w:val="20"/>
        </w:rPr>
        <w:fldChar w:fldCharType="end"/>
      </w:r>
      <w:r w:rsidR="00FC3EB4" w:rsidRPr="00E93776">
        <w:rPr>
          <w:rFonts w:ascii="Cambria" w:hAnsi="Cambria"/>
          <w:sz w:val="20"/>
          <w:szCs w:val="20"/>
        </w:rPr>
        <w:br w:type="page"/>
      </w:r>
      <w:r w:rsidR="00775602" w:rsidRPr="008D6E5C">
        <w:rPr>
          <w:rFonts w:ascii="Cambria" w:hAnsi="Cambria"/>
          <w:b/>
          <w:sz w:val="18"/>
          <w:szCs w:val="18"/>
        </w:rPr>
        <w:lastRenderedPageBreak/>
        <w:t>REPORT No. 21</w:t>
      </w:r>
      <w:r w:rsidR="00C0575F" w:rsidRPr="008D6E5C">
        <w:rPr>
          <w:rFonts w:ascii="Cambria" w:hAnsi="Cambria"/>
          <w:b/>
          <w:sz w:val="18"/>
          <w:szCs w:val="18"/>
        </w:rPr>
        <w:t>/15</w:t>
      </w:r>
    </w:p>
    <w:p w:rsidR="00C0575F" w:rsidRPr="008D6E5C" w:rsidRDefault="00C0575F" w:rsidP="00C0575F">
      <w:pPr>
        <w:tabs>
          <w:tab w:val="center" w:pos="5400"/>
        </w:tabs>
        <w:suppressAutoHyphens/>
        <w:spacing w:line="276" w:lineRule="auto"/>
        <w:jc w:val="center"/>
        <w:rPr>
          <w:rFonts w:ascii="Cambria" w:hAnsi="Cambria"/>
          <w:b/>
          <w:sz w:val="18"/>
          <w:szCs w:val="18"/>
        </w:rPr>
      </w:pPr>
      <w:r w:rsidRPr="008D6E5C">
        <w:rPr>
          <w:rFonts w:ascii="Cambria" w:hAnsi="Cambria"/>
          <w:b/>
          <w:sz w:val="18"/>
          <w:szCs w:val="18"/>
        </w:rPr>
        <w:t>CASE 12.462</w:t>
      </w:r>
    </w:p>
    <w:p w:rsidR="00C0575F" w:rsidRPr="008D6E5C" w:rsidRDefault="00C0575F" w:rsidP="00C0575F">
      <w:pPr>
        <w:tabs>
          <w:tab w:val="center" w:pos="5400"/>
        </w:tabs>
        <w:suppressAutoHyphens/>
        <w:spacing w:line="276" w:lineRule="auto"/>
        <w:jc w:val="center"/>
        <w:rPr>
          <w:rFonts w:ascii="Cambria" w:hAnsi="Cambria"/>
          <w:sz w:val="18"/>
          <w:szCs w:val="18"/>
        </w:rPr>
      </w:pPr>
      <w:r w:rsidRPr="008D6E5C">
        <w:rPr>
          <w:rFonts w:ascii="Cambria" w:hAnsi="Cambria"/>
          <w:sz w:val="18"/>
          <w:szCs w:val="18"/>
        </w:rPr>
        <w:t xml:space="preserve">MERITS </w:t>
      </w:r>
    </w:p>
    <w:p w:rsidR="00C0575F" w:rsidRPr="008D6E5C" w:rsidRDefault="00C0575F" w:rsidP="00C0575F">
      <w:pPr>
        <w:tabs>
          <w:tab w:val="center" w:pos="5400"/>
        </w:tabs>
        <w:suppressAutoHyphens/>
        <w:spacing w:line="276" w:lineRule="auto"/>
        <w:jc w:val="center"/>
        <w:rPr>
          <w:rFonts w:ascii="Cambria" w:hAnsi="Cambria"/>
          <w:sz w:val="18"/>
          <w:szCs w:val="18"/>
        </w:rPr>
      </w:pPr>
      <w:r w:rsidRPr="008D6E5C">
        <w:rPr>
          <w:rFonts w:ascii="Cambria" w:hAnsi="Cambria"/>
          <w:sz w:val="18"/>
          <w:szCs w:val="18"/>
        </w:rPr>
        <w:t xml:space="preserve">NELSON CARVAJAL </w:t>
      </w:r>
      <w:proofErr w:type="spellStart"/>
      <w:r w:rsidRPr="008D6E5C">
        <w:rPr>
          <w:rFonts w:ascii="Cambria" w:hAnsi="Cambria"/>
          <w:sz w:val="18"/>
          <w:szCs w:val="18"/>
        </w:rPr>
        <w:t>CARVAJAL</w:t>
      </w:r>
      <w:proofErr w:type="spellEnd"/>
      <w:r w:rsidR="009C5EBE" w:rsidRPr="008D6E5C">
        <w:rPr>
          <w:rFonts w:ascii="Cambria" w:hAnsi="Cambria"/>
          <w:sz w:val="18"/>
          <w:szCs w:val="18"/>
        </w:rPr>
        <w:t xml:space="preserve"> AND FAMILY</w:t>
      </w:r>
    </w:p>
    <w:p w:rsidR="00C0575F" w:rsidRPr="008D6E5C" w:rsidRDefault="00C0575F" w:rsidP="00C0575F">
      <w:pPr>
        <w:tabs>
          <w:tab w:val="center" w:pos="5400"/>
        </w:tabs>
        <w:suppressAutoHyphens/>
        <w:spacing w:line="276" w:lineRule="auto"/>
        <w:jc w:val="center"/>
        <w:rPr>
          <w:rFonts w:ascii="Cambria" w:hAnsi="Cambria"/>
          <w:sz w:val="18"/>
          <w:szCs w:val="18"/>
        </w:rPr>
      </w:pPr>
      <w:r w:rsidRPr="008D6E5C">
        <w:rPr>
          <w:rFonts w:ascii="Cambria" w:hAnsi="Cambria"/>
          <w:sz w:val="18"/>
          <w:szCs w:val="18"/>
        </w:rPr>
        <w:t>COLOMBIA</w:t>
      </w:r>
      <w:r w:rsidRPr="008D6E5C">
        <w:rPr>
          <w:rFonts w:ascii="Cambria" w:hAnsi="Cambria"/>
          <w:sz w:val="18"/>
          <w:szCs w:val="18"/>
        </w:rPr>
        <w:br/>
      </w:r>
      <w:r w:rsidR="00775602" w:rsidRPr="008D6E5C">
        <w:rPr>
          <w:rFonts w:ascii="Cambria" w:hAnsi="Cambria"/>
          <w:sz w:val="18"/>
          <w:szCs w:val="18"/>
        </w:rPr>
        <w:t>MARCH 26, 2015</w:t>
      </w:r>
    </w:p>
    <w:p w:rsidR="001520DB" w:rsidRPr="008D6E5C" w:rsidRDefault="001520DB" w:rsidP="00C0575F">
      <w:pPr>
        <w:tabs>
          <w:tab w:val="center" w:pos="5400"/>
        </w:tabs>
        <w:suppressAutoHyphens/>
        <w:spacing w:line="276" w:lineRule="auto"/>
        <w:jc w:val="center"/>
        <w:rPr>
          <w:rFonts w:ascii="Cambria" w:hAnsi="Cambria"/>
          <w:sz w:val="18"/>
          <w:szCs w:val="18"/>
        </w:rPr>
      </w:pPr>
    </w:p>
    <w:p w:rsidR="00C0575F" w:rsidRPr="008D6E5C" w:rsidRDefault="00C0575F" w:rsidP="001520DB">
      <w:pPr>
        <w:tabs>
          <w:tab w:val="center" w:pos="5400"/>
        </w:tabs>
        <w:suppressAutoHyphens/>
        <w:rPr>
          <w:rFonts w:ascii="Cambria" w:hAnsi="Cambria"/>
          <w:sz w:val="20"/>
          <w:szCs w:val="20"/>
        </w:rPr>
      </w:pPr>
    </w:p>
    <w:p w:rsidR="00C0575F" w:rsidRPr="008D6E5C" w:rsidRDefault="00C0575F" w:rsidP="001520DB">
      <w:pPr>
        <w:pStyle w:val="Heading1"/>
        <w:spacing w:before="0"/>
        <w:ind w:left="1440" w:hanging="720"/>
        <w:rPr>
          <w:szCs w:val="20"/>
        </w:rPr>
      </w:pPr>
      <w:bookmarkStart w:id="0" w:name="_Toc416880374"/>
      <w:r w:rsidRPr="008D6E5C">
        <w:rPr>
          <w:szCs w:val="20"/>
        </w:rPr>
        <w:t>SUMMARY</w:t>
      </w:r>
      <w:bookmarkEnd w:id="0"/>
    </w:p>
    <w:p w:rsidR="00C0575F" w:rsidRPr="008D6E5C" w:rsidRDefault="00C0575F" w:rsidP="001520DB">
      <w:pPr>
        <w:ind w:firstLine="720"/>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sz w:val="20"/>
          <w:szCs w:val="20"/>
        </w:rPr>
        <w:t xml:space="preserve">On June 21, 2002, the Inter-American Commission on Human Rights (hereinafter “the Inter-American Commission” or “the IACHR”) received a petition from the Inter American Press Association (hereinafter “the IAPA,” or “the petitioner”) against the Republic of Colombia (hereinafter “Colombia” or “the State”) concerning the murder of 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(hereinafter also “the alleged victim”). </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sz w:val="20"/>
          <w:szCs w:val="20"/>
        </w:rPr>
        <w:t xml:space="preserve">According to the petitioner, on April 6, 1998 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was murdered </w:t>
      </w:r>
      <w:r w:rsidRPr="008D6E5C">
        <w:rPr>
          <w:rFonts w:ascii="Cambria" w:hAnsi="Cambria" w:cs="Arial"/>
          <w:sz w:val="20"/>
          <w:szCs w:val="20"/>
        </w:rPr>
        <w:t>for reasons related to the practice of his profession. The petitioner</w:t>
      </w:r>
      <w:r w:rsidRPr="008D6E5C">
        <w:rPr>
          <w:rFonts w:ascii="Cambria" w:hAnsi="Cambria"/>
          <w:sz w:val="20"/>
          <w:szCs w:val="20"/>
        </w:rPr>
        <w:t xml:space="preserve"> alleged that the State failed to comply with its duty to guarantee the rights of the alleged victim and to act with due diligence to investigate, prosecute, and if appropriate, punish the perpetrators of the journalist’s murder. It stated that the investigations conducted were plagued by irregularities, as well as threats and attempts on the lives of witnesses, </w:t>
      </w:r>
      <w:r w:rsidR="00A10085" w:rsidRPr="008D6E5C">
        <w:rPr>
          <w:rFonts w:ascii="Cambria" w:hAnsi="Cambria"/>
          <w:sz w:val="20"/>
          <w:szCs w:val="20"/>
        </w:rPr>
        <w:t>justice system officials</w:t>
      </w:r>
      <w:r w:rsidRPr="008D6E5C">
        <w:rPr>
          <w:rFonts w:ascii="Cambria" w:hAnsi="Cambria"/>
          <w:sz w:val="20"/>
          <w:szCs w:val="20"/>
        </w:rPr>
        <w:t xml:space="preserve">, and relatives of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that there was therefore a denial of justice. It stated that nine of the victim’s relatives had to leave the country because of those threats. In this regard, it alleged that the State violated the rights to life, a fair trial, freedom of thought and expression, and judicial protection, enshrined at Articles 4, 8, 13, and 25 of the American Convention on Human Rights (hereinafter the “Convention” or the “American Convention”), in conjunction with the general obligation to respect the rights provided for in Article 1(1) thereof, to the detriment of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his relatives. </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sz w:val="20"/>
          <w:szCs w:val="20"/>
        </w:rPr>
        <w:t xml:space="preserve">The State argued that it is not internationally responsible for the death of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as it has not been proven that state agents were involved in the murder. The State indicated that the domestic proceedings did not determine with certainty that </w:t>
      </w:r>
      <w:proofErr w:type="spellStart"/>
      <w:r w:rsidRPr="008D6E5C">
        <w:rPr>
          <w:rFonts w:ascii="Cambria" w:hAnsi="Cambria"/>
          <w:sz w:val="20"/>
          <w:szCs w:val="20"/>
        </w:rPr>
        <w:t>Carvajal’s</w:t>
      </w:r>
      <w:proofErr w:type="spellEnd"/>
      <w:r w:rsidRPr="008D6E5C">
        <w:rPr>
          <w:rFonts w:ascii="Cambria" w:hAnsi="Cambria"/>
          <w:sz w:val="20"/>
          <w:szCs w:val="20"/>
        </w:rPr>
        <w:t xml:space="preserve"> murder was related to the practice of his profession and that his death does not automatically amount to a violation of freedom of expression. With regard to this right, the State maintained that neither the journalist’s right to </w:t>
      </w:r>
      <w:proofErr w:type="gramStart"/>
      <w:r w:rsidRPr="008D6E5C">
        <w:rPr>
          <w:rFonts w:ascii="Cambria" w:hAnsi="Cambria"/>
          <w:sz w:val="20"/>
          <w:szCs w:val="20"/>
        </w:rPr>
        <w:t>express his</w:t>
      </w:r>
      <w:proofErr w:type="gramEnd"/>
      <w:r w:rsidRPr="008D6E5C">
        <w:rPr>
          <w:rFonts w:ascii="Cambria" w:hAnsi="Cambria"/>
          <w:sz w:val="20"/>
          <w:szCs w:val="20"/>
        </w:rPr>
        <w:t xml:space="preserve"> opinions nor the results of his journalistic investigations were restricted, and that he was able to exchange ideas and opinions with his colleagues and with the community</w:t>
      </w:r>
      <w:r w:rsidRPr="008D6E5C">
        <w:rPr>
          <w:rFonts w:ascii="Cambria" w:hAnsi="Cambria" w:cs="Arial"/>
          <w:sz w:val="20"/>
          <w:szCs w:val="20"/>
        </w:rPr>
        <w:t>.</w:t>
      </w:r>
      <w:r w:rsidRPr="008D6E5C">
        <w:rPr>
          <w:rFonts w:ascii="Cambria" w:hAnsi="Cambria"/>
          <w:sz w:val="20"/>
          <w:szCs w:val="20"/>
        </w:rPr>
        <w:t xml:space="preserve"> </w:t>
      </w:r>
      <w:r w:rsidRPr="008D6E5C">
        <w:rPr>
          <w:rFonts w:ascii="Cambria" w:hAnsi="Cambria" w:cs="Arial"/>
          <w:sz w:val="20"/>
          <w:szCs w:val="20"/>
        </w:rPr>
        <w:t xml:space="preserve">The Colombian State asserted that it met the obligations derived from Articles 8 and 25 of the Convention, because the criminal investigation was conducted seriously, with a view to establishing the facts and identifying, prosecuting, and punishing the perpetrators of an act it considered extremely complex. </w:t>
      </w:r>
    </w:p>
    <w:p w:rsidR="00C0575F" w:rsidRPr="008D6E5C" w:rsidRDefault="00C0575F" w:rsidP="001520DB">
      <w:pPr>
        <w:pStyle w:val="BodyTextIndent"/>
        <w:ind w:left="0" w:firstLine="720"/>
        <w:rPr>
          <w:rFonts w:ascii="Cambria" w:hAnsi="Cambria" w:cs="Arial"/>
          <w:sz w:val="20"/>
          <w:szCs w:val="20"/>
          <w:lang w:val="en-US"/>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On October 13, 2004, the IACHR approved Report No. 54/04 declaring the admissibility of the petition in relation to Articles 4 (right to life), 8 (right to a fair trial), 13 (freedom of thought and expression), and 25 (judicial protection), of the American Convention, in conjunction with Article 1(1) thereof.</w:t>
      </w:r>
    </w:p>
    <w:p w:rsidR="00C0575F" w:rsidRPr="008D6E5C" w:rsidRDefault="00C0575F" w:rsidP="001520DB">
      <w:pPr>
        <w:pStyle w:val="BodyTextIndent"/>
        <w:ind w:left="0" w:firstLine="720"/>
        <w:jc w:val="both"/>
        <w:rPr>
          <w:rFonts w:ascii="Cambria" w:hAnsi="Cambria" w:cs="Arial"/>
          <w:sz w:val="20"/>
          <w:szCs w:val="20"/>
          <w:lang w:val="en-US"/>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Upon examining the merits of the case, the Commission concluded that the State is responsible for the violation of the right</w:t>
      </w:r>
      <w:r w:rsidR="00775602" w:rsidRPr="008D6E5C">
        <w:rPr>
          <w:rFonts w:ascii="Cambria" w:hAnsi="Cambria" w:cs="Arial"/>
          <w:sz w:val="20"/>
          <w:szCs w:val="20"/>
        </w:rPr>
        <w:t>s</w:t>
      </w:r>
      <w:r w:rsidRPr="008D6E5C">
        <w:rPr>
          <w:rFonts w:ascii="Cambria" w:hAnsi="Cambria" w:cs="Arial"/>
          <w:sz w:val="20"/>
          <w:szCs w:val="20"/>
        </w:rPr>
        <w:t xml:space="preserve"> enshrined in Article 4 (right to life) </w:t>
      </w:r>
      <w:r w:rsidR="00775602" w:rsidRPr="008D6E5C">
        <w:rPr>
          <w:rFonts w:ascii="Cambria" w:hAnsi="Cambria" w:cs="Arial"/>
          <w:sz w:val="20"/>
          <w:szCs w:val="20"/>
        </w:rPr>
        <w:t>and</w:t>
      </w:r>
      <w:r w:rsidR="009C5EBE" w:rsidRPr="008D6E5C">
        <w:rPr>
          <w:rFonts w:ascii="Cambria" w:hAnsi="Cambria" w:cs="Arial"/>
          <w:sz w:val="20"/>
          <w:szCs w:val="20"/>
        </w:rPr>
        <w:t xml:space="preserve"> Article</w:t>
      </w:r>
      <w:r w:rsidR="00775602" w:rsidRPr="008D6E5C">
        <w:rPr>
          <w:rFonts w:ascii="Cambria" w:hAnsi="Cambria" w:cs="Arial"/>
          <w:sz w:val="20"/>
          <w:szCs w:val="20"/>
        </w:rPr>
        <w:t xml:space="preserve"> 13 (right to freedom of thought and expression) </w:t>
      </w:r>
      <w:r w:rsidRPr="008D6E5C">
        <w:rPr>
          <w:rFonts w:ascii="Cambria" w:hAnsi="Cambria" w:cs="Arial"/>
          <w:sz w:val="20"/>
          <w:szCs w:val="20"/>
        </w:rPr>
        <w:t xml:space="preserve">of the American Convention, </w:t>
      </w:r>
      <w:r w:rsidR="00775602" w:rsidRPr="008D6E5C">
        <w:rPr>
          <w:rFonts w:ascii="Cambria" w:hAnsi="Cambria" w:cs="Arial"/>
          <w:sz w:val="20"/>
          <w:szCs w:val="20"/>
        </w:rPr>
        <w:t xml:space="preserve">in relation to article 1(1) of the treaty, </w:t>
      </w:r>
      <w:r w:rsidRPr="008D6E5C">
        <w:rPr>
          <w:rFonts w:ascii="Cambria" w:hAnsi="Cambria" w:cs="Arial"/>
          <w:sz w:val="20"/>
          <w:szCs w:val="20"/>
        </w:rPr>
        <w:t xml:space="preserve">to the detriment of Mr.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as well as of Articles 5 (right to humane treatment), 8 (the right to a fair trial), 22 (freedom of movement and residence), and 25 (judicial protection) of the Convention, to </w:t>
      </w:r>
      <w:r w:rsidR="00775602" w:rsidRPr="008D6E5C">
        <w:rPr>
          <w:rFonts w:ascii="Cambria" w:hAnsi="Cambria" w:cs="Arial"/>
          <w:sz w:val="20"/>
          <w:szCs w:val="20"/>
        </w:rPr>
        <w:t xml:space="preserve">the detriment of his relatives, </w:t>
      </w:r>
      <w:r w:rsidRPr="008D6E5C">
        <w:rPr>
          <w:rFonts w:ascii="Cambria" w:hAnsi="Cambria" w:cs="Arial"/>
          <w:sz w:val="20"/>
          <w:szCs w:val="20"/>
        </w:rPr>
        <w:t>in relation to the obligation to guarantee the rights enshrined in Article</w:t>
      </w:r>
      <w:r w:rsidR="00B43B60" w:rsidRPr="008D6E5C">
        <w:rPr>
          <w:rFonts w:ascii="Cambria" w:hAnsi="Cambria" w:cs="Arial"/>
          <w:sz w:val="20"/>
          <w:szCs w:val="20"/>
        </w:rPr>
        <w:t>s</w:t>
      </w:r>
      <w:r w:rsidRPr="008D6E5C">
        <w:rPr>
          <w:rFonts w:ascii="Cambria" w:hAnsi="Cambria" w:cs="Arial"/>
          <w:sz w:val="20"/>
          <w:szCs w:val="20"/>
        </w:rPr>
        <w:t xml:space="preserve"> 1(1) </w:t>
      </w:r>
      <w:r w:rsidR="00B43B60" w:rsidRPr="008D6E5C">
        <w:rPr>
          <w:rFonts w:ascii="Cambria" w:hAnsi="Cambria" w:cs="Arial"/>
          <w:sz w:val="20"/>
          <w:szCs w:val="20"/>
        </w:rPr>
        <w:t xml:space="preserve">and 13(1) </w:t>
      </w:r>
      <w:r w:rsidRPr="008D6E5C">
        <w:rPr>
          <w:rFonts w:ascii="Cambria" w:hAnsi="Cambria" w:cs="Arial"/>
          <w:sz w:val="20"/>
          <w:szCs w:val="20"/>
        </w:rPr>
        <w:t xml:space="preserve">of the American Convention. </w:t>
      </w:r>
    </w:p>
    <w:p w:rsidR="00C0575F" w:rsidRPr="008D6E5C" w:rsidRDefault="00C0575F" w:rsidP="001520DB">
      <w:pPr>
        <w:ind w:firstLine="720"/>
        <w:rPr>
          <w:rFonts w:ascii="Cambria" w:hAnsi="Cambria" w:cs="Arial"/>
          <w:b/>
          <w:sz w:val="20"/>
          <w:szCs w:val="20"/>
        </w:rPr>
      </w:pPr>
    </w:p>
    <w:p w:rsidR="00C0575F" w:rsidRPr="008D6E5C" w:rsidRDefault="00C0575F" w:rsidP="001520DB">
      <w:pPr>
        <w:pStyle w:val="Heading1"/>
        <w:spacing w:before="0"/>
        <w:ind w:left="1440" w:hanging="720"/>
        <w:rPr>
          <w:szCs w:val="20"/>
        </w:rPr>
      </w:pPr>
      <w:bookmarkStart w:id="1" w:name="_Toc416880375"/>
      <w:bookmarkStart w:id="2" w:name="_Toc412478079"/>
      <w:bookmarkStart w:id="3" w:name="_Toc412536239"/>
      <w:bookmarkStart w:id="4" w:name="_Toc412539529"/>
      <w:r w:rsidRPr="008D6E5C">
        <w:rPr>
          <w:rStyle w:val="Strong"/>
          <w:b/>
          <w:bCs/>
          <w:szCs w:val="20"/>
        </w:rPr>
        <w:lastRenderedPageBreak/>
        <w:t>PROCEEDINGS BEFORE THE COMMISSION SUBSEQUENT TO THE ADMISSIBILITY REPORT</w:t>
      </w:r>
      <w:bookmarkEnd w:id="1"/>
      <w:r w:rsidRPr="008D6E5C">
        <w:rPr>
          <w:rStyle w:val="Strong"/>
          <w:b/>
          <w:bCs/>
          <w:szCs w:val="20"/>
        </w:rPr>
        <w:t xml:space="preserve"> </w:t>
      </w:r>
      <w:bookmarkEnd w:id="2"/>
      <w:bookmarkEnd w:id="3"/>
      <w:bookmarkEnd w:id="4"/>
    </w:p>
    <w:p w:rsidR="00C0575F" w:rsidRPr="008D6E5C" w:rsidRDefault="00C0575F" w:rsidP="001520DB">
      <w:pPr>
        <w:keepNext/>
        <w:ind w:firstLine="720"/>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On November 11, </w:t>
      </w:r>
      <w:r w:rsidRPr="008D6E5C">
        <w:rPr>
          <w:rFonts w:ascii="Cambria" w:hAnsi="Cambria"/>
          <w:sz w:val="20"/>
          <w:szCs w:val="20"/>
        </w:rPr>
        <w:t>2004</w:t>
      </w:r>
      <w:r w:rsidRPr="008D6E5C">
        <w:rPr>
          <w:rFonts w:ascii="Cambria" w:hAnsi="Cambria" w:cs="Arial"/>
          <w:sz w:val="20"/>
          <w:szCs w:val="20"/>
        </w:rPr>
        <w:t xml:space="preserve">, the Commission notified the parties of the Admissibility Report; it gave them two months to present their additional observations on the merits of the petition, and placed itself at the parties’ disposal in order to facilitate a friendly settlement. </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On January 20, March 1, and April 19, 2005, the petitioner asked the IACHR for extensions of the deadline to submit its observations on the merits and its reply regarding a potential friendly settlement. The IACHR granted a 30-day extension on each occasion. </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On August 25, 2005, the petitioner presented observations on the merits of the petition and expressed its interest in the friendly settlement process. On September 7, 2005, the IACHR forwarded the petitioner’s observations to the State and asked it to present its observations within two months. On September 20, the IACHR called the petitioner and the State to a working meeting on October 19, 2005 in order to address matters concerning this case. In a communication dated October 19, 2005, the State expressed its willingness to engage in friendly settlement proceedings. In a communication dated May 13, 2009, the petitioner informed the IACHR of its decision to end the friendly settlement process and forwarded additional information.</w:t>
      </w:r>
      <w:r w:rsidR="001077EB" w:rsidRPr="008D6E5C">
        <w:rPr>
          <w:rStyle w:val="FootnoteReference"/>
          <w:rFonts w:ascii="Cambria" w:hAnsi="Cambria"/>
          <w:sz w:val="20"/>
          <w:szCs w:val="20"/>
        </w:rPr>
        <w:footnoteReference w:id="2"/>
      </w:r>
      <w:r w:rsidRPr="008D6E5C">
        <w:rPr>
          <w:rFonts w:ascii="Cambria" w:hAnsi="Cambria" w:cs="Arial"/>
          <w:sz w:val="20"/>
          <w:szCs w:val="20"/>
        </w:rPr>
        <w:t xml:space="preserve"> On May 14, 2009, the Commission forwarded the information to the State and informed the petitioner and the State of Colombia that it was terminating the attempted friendly settlement stage pursuant to Article 41(4) and (6) of its Rules of Procedure. In a communication dated July 15, 2009, the State presented observations on the merits of the petition, which were forwarded to the petitioner on October 26, 2009. </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sz w:val="20"/>
          <w:szCs w:val="20"/>
        </w:rPr>
        <w:t>On</w:t>
      </w:r>
      <w:r w:rsidRPr="008D6E5C">
        <w:rPr>
          <w:rFonts w:ascii="Cambria" w:hAnsi="Cambria" w:cs="Arial"/>
          <w:sz w:val="20"/>
          <w:szCs w:val="20"/>
        </w:rPr>
        <w:t xml:space="preserve"> May 29 and July 25, 2013, the IACHR requested that the petitioner provide information relating to the case, and the petitioner did so. In a communication dated August 22, 2013, the Commission forwarded the pertinent parts to the State. On October 7, 2013, the State asked the IACHR for an extension and on November 19 it submitted additional information on the merits of the petition, which was forwarded to the petitioner on December 5, 2013. </w:t>
      </w:r>
    </w:p>
    <w:p w:rsidR="00C0575F" w:rsidRPr="008D6E5C" w:rsidRDefault="00C0575F" w:rsidP="001520DB">
      <w:pPr>
        <w:ind w:firstLine="720"/>
        <w:jc w:val="both"/>
        <w:rPr>
          <w:rFonts w:ascii="Cambria" w:hAnsi="Cambria" w:cs="Arial"/>
          <w:sz w:val="20"/>
          <w:szCs w:val="20"/>
        </w:rPr>
      </w:pPr>
    </w:p>
    <w:p w:rsidR="00C0575F" w:rsidRPr="008D6E5C" w:rsidRDefault="00C0575F" w:rsidP="001520DB">
      <w:pPr>
        <w:pStyle w:val="Heading1"/>
        <w:spacing w:before="0"/>
        <w:ind w:left="1440" w:hanging="720"/>
        <w:rPr>
          <w:szCs w:val="20"/>
        </w:rPr>
      </w:pPr>
      <w:bookmarkStart w:id="5" w:name="_Toc416880376"/>
      <w:r w:rsidRPr="008D6E5C">
        <w:rPr>
          <w:szCs w:val="20"/>
        </w:rPr>
        <w:t>POSITIONS OF THE PARTIES</w:t>
      </w:r>
      <w:bookmarkEnd w:id="5"/>
    </w:p>
    <w:p w:rsidR="00C0575F" w:rsidRPr="008D6E5C" w:rsidRDefault="00C0575F" w:rsidP="001520DB">
      <w:pPr>
        <w:keepNext/>
        <w:ind w:firstLine="720"/>
        <w:jc w:val="both"/>
        <w:rPr>
          <w:rFonts w:ascii="Cambria" w:hAnsi="Cambria" w:cs="Arial"/>
          <w:sz w:val="20"/>
          <w:szCs w:val="20"/>
        </w:rPr>
      </w:pPr>
    </w:p>
    <w:p w:rsidR="00C0575F" w:rsidRPr="008D6E5C" w:rsidRDefault="00C0575F" w:rsidP="001520DB">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szCs w:val="20"/>
        </w:rPr>
      </w:pPr>
      <w:bookmarkStart w:id="6" w:name="_Toc416880377"/>
      <w:r w:rsidRPr="008D6E5C">
        <w:rPr>
          <w:szCs w:val="20"/>
        </w:rPr>
        <w:t>Position of the petitioner</w:t>
      </w:r>
      <w:bookmarkEnd w:id="6"/>
    </w:p>
    <w:p w:rsidR="00C0575F" w:rsidRPr="008D6E5C" w:rsidRDefault="00C0575F" w:rsidP="001520DB">
      <w:pPr>
        <w:keepNext/>
        <w:ind w:firstLine="720"/>
        <w:jc w:val="both"/>
        <w:rPr>
          <w:rFonts w:ascii="Cambria" w:hAnsi="Cambria" w:cs="Arial"/>
          <w:sz w:val="20"/>
          <w:szCs w:val="20"/>
        </w:rPr>
      </w:pPr>
    </w:p>
    <w:p w:rsidR="00C0575F" w:rsidRPr="008D6E5C" w:rsidRDefault="00C0575F" w:rsidP="001520DB">
      <w:pPr>
        <w:pStyle w:val="BodyTextIndent"/>
        <w:keepNext/>
        <w:ind w:left="0" w:firstLine="720"/>
        <w:jc w:val="both"/>
        <w:rPr>
          <w:rFonts w:ascii="Cambria" w:hAnsi="Cambria"/>
          <w:b/>
          <w:sz w:val="20"/>
          <w:szCs w:val="20"/>
          <w:lang w:val="en-US"/>
        </w:rPr>
      </w:pPr>
      <w:r w:rsidRPr="008D6E5C">
        <w:rPr>
          <w:rFonts w:ascii="Cambria" w:hAnsi="Cambria"/>
          <w:b/>
          <w:sz w:val="20"/>
          <w:szCs w:val="20"/>
          <w:lang w:val="en-US"/>
        </w:rPr>
        <w:t xml:space="preserve">The work of journalist Nelson </w:t>
      </w:r>
      <w:proofErr w:type="spellStart"/>
      <w:r w:rsidRPr="008D6E5C">
        <w:rPr>
          <w:rFonts w:ascii="Cambria" w:hAnsi="Cambria"/>
          <w:b/>
          <w:sz w:val="20"/>
          <w:szCs w:val="20"/>
          <w:lang w:val="en-US"/>
        </w:rPr>
        <w:t>Carvajal</w:t>
      </w:r>
      <w:proofErr w:type="spellEnd"/>
      <w:r w:rsidRPr="008D6E5C">
        <w:rPr>
          <w:rFonts w:ascii="Cambria" w:hAnsi="Cambria"/>
          <w:b/>
          <w:sz w:val="20"/>
          <w:szCs w:val="20"/>
          <w:lang w:val="en-US"/>
        </w:rPr>
        <w:t xml:space="preserve"> </w:t>
      </w:r>
      <w:proofErr w:type="spellStart"/>
      <w:r w:rsidRPr="008D6E5C">
        <w:rPr>
          <w:rFonts w:ascii="Cambria" w:hAnsi="Cambria"/>
          <w:b/>
          <w:sz w:val="20"/>
          <w:szCs w:val="20"/>
          <w:lang w:val="en-US"/>
        </w:rPr>
        <w:t>Carvajal</w:t>
      </w:r>
      <w:proofErr w:type="spellEnd"/>
      <w:r w:rsidRPr="008D6E5C">
        <w:rPr>
          <w:rFonts w:ascii="Cambria" w:hAnsi="Cambria"/>
          <w:b/>
          <w:sz w:val="20"/>
          <w:szCs w:val="20"/>
          <w:lang w:val="en-US"/>
        </w:rPr>
        <w:t xml:space="preserve"> and the motive for his murder</w:t>
      </w:r>
    </w:p>
    <w:p w:rsidR="00C0575F" w:rsidRPr="008D6E5C" w:rsidRDefault="00C0575F" w:rsidP="001520DB">
      <w:pPr>
        <w:keepNext/>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sz w:val="20"/>
          <w:szCs w:val="20"/>
        </w:rPr>
        <w:t>The petitioner</w:t>
      </w:r>
      <w:r w:rsidRPr="008D6E5C">
        <w:rPr>
          <w:rFonts w:ascii="Cambria" w:hAnsi="Cambria" w:cs="Arial"/>
          <w:sz w:val="20"/>
          <w:szCs w:val="20"/>
        </w:rPr>
        <w:t xml:space="preserve"> </w:t>
      </w:r>
      <w:r w:rsidRPr="008D6E5C">
        <w:rPr>
          <w:rFonts w:ascii="Cambria" w:hAnsi="Cambria" w:cs="Arial"/>
          <w:color w:val="000000"/>
          <w:sz w:val="20"/>
          <w:szCs w:val="20"/>
        </w:rPr>
        <w:t xml:space="preserve">alleged that journalist Nelson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was murdered for reasons related to the practice of his profession. The journalist was working as the director of the news program “</w:t>
      </w:r>
      <w:proofErr w:type="spellStart"/>
      <w:r w:rsidRPr="008D6E5C">
        <w:rPr>
          <w:rFonts w:ascii="Cambria" w:hAnsi="Cambria" w:cs="Arial"/>
          <w:color w:val="000000"/>
          <w:sz w:val="20"/>
          <w:szCs w:val="20"/>
        </w:rPr>
        <w:t>Momento</w:t>
      </w:r>
      <w:proofErr w:type="spellEnd"/>
      <w:r w:rsidRPr="008D6E5C">
        <w:rPr>
          <w:rFonts w:ascii="Cambria" w:hAnsi="Cambria" w:cs="Arial"/>
          <w:color w:val="000000"/>
          <w:sz w:val="20"/>
          <w:szCs w:val="20"/>
        </w:rPr>
        <w:t xml:space="preserve"> Regional” and the radio magazine programs “</w:t>
      </w:r>
      <w:proofErr w:type="spellStart"/>
      <w:r w:rsidRPr="008D6E5C">
        <w:rPr>
          <w:rFonts w:ascii="Cambria" w:hAnsi="Cambria" w:cs="Arial"/>
          <w:color w:val="000000"/>
          <w:sz w:val="20"/>
          <w:szCs w:val="20"/>
        </w:rPr>
        <w:t>Mirador</w:t>
      </w:r>
      <w:proofErr w:type="spellEnd"/>
      <w:r w:rsidRPr="008D6E5C">
        <w:rPr>
          <w:rFonts w:ascii="Cambria" w:hAnsi="Cambria" w:cs="Arial"/>
          <w:color w:val="000000"/>
          <w:sz w:val="20"/>
          <w:szCs w:val="20"/>
        </w:rPr>
        <w:t xml:space="preserve"> de la </w:t>
      </w:r>
      <w:proofErr w:type="spellStart"/>
      <w:r w:rsidRPr="008D6E5C">
        <w:rPr>
          <w:rFonts w:ascii="Cambria" w:hAnsi="Cambria" w:cs="Arial"/>
          <w:color w:val="000000"/>
          <w:sz w:val="20"/>
          <w:szCs w:val="20"/>
        </w:rPr>
        <w:t>Semana</w:t>
      </w:r>
      <w:proofErr w:type="spellEnd"/>
      <w:r w:rsidRPr="008D6E5C">
        <w:rPr>
          <w:rFonts w:ascii="Cambria" w:hAnsi="Cambria" w:cs="Arial"/>
          <w:color w:val="000000"/>
          <w:sz w:val="20"/>
          <w:szCs w:val="20"/>
        </w:rPr>
        <w:t>,” “</w:t>
      </w:r>
      <w:proofErr w:type="spellStart"/>
      <w:r w:rsidRPr="008D6E5C">
        <w:rPr>
          <w:rFonts w:ascii="Cambria" w:hAnsi="Cambria" w:cs="Arial"/>
          <w:color w:val="000000"/>
          <w:sz w:val="20"/>
          <w:szCs w:val="20"/>
        </w:rPr>
        <w:t>Amanecer</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en</w:t>
      </w:r>
      <w:proofErr w:type="spellEnd"/>
      <w:r w:rsidRPr="008D6E5C">
        <w:rPr>
          <w:rFonts w:ascii="Cambria" w:hAnsi="Cambria" w:cs="Arial"/>
          <w:color w:val="000000"/>
          <w:sz w:val="20"/>
          <w:szCs w:val="20"/>
        </w:rPr>
        <w:t xml:space="preserve"> el Campo,” and “</w:t>
      </w:r>
      <w:proofErr w:type="spellStart"/>
      <w:r w:rsidRPr="008D6E5C">
        <w:rPr>
          <w:rFonts w:ascii="Cambria" w:hAnsi="Cambria" w:cs="Arial"/>
          <w:color w:val="000000"/>
          <w:sz w:val="20"/>
          <w:szCs w:val="20"/>
        </w:rPr>
        <w:t>Tribuna</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Médica</w:t>
      </w:r>
      <w:proofErr w:type="spellEnd"/>
      <w:r w:rsidRPr="008D6E5C">
        <w:rPr>
          <w:rFonts w:ascii="Cambria" w:hAnsi="Cambria" w:cs="Arial"/>
          <w:color w:val="000000"/>
          <w:sz w:val="20"/>
          <w:szCs w:val="20"/>
        </w:rPr>
        <w:t xml:space="preserve">” of the </w:t>
      </w:r>
      <w:r w:rsidRPr="008D6E5C">
        <w:rPr>
          <w:rFonts w:ascii="Cambria" w:hAnsi="Cambria" w:cs="Arial"/>
          <w:i/>
          <w:color w:val="000000"/>
          <w:sz w:val="20"/>
          <w:szCs w:val="20"/>
        </w:rPr>
        <w:t xml:space="preserve">Radio Sur </w:t>
      </w:r>
      <w:r w:rsidRPr="008D6E5C">
        <w:rPr>
          <w:rFonts w:ascii="Cambria" w:hAnsi="Cambria" w:cs="Arial"/>
          <w:color w:val="000000"/>
          <w:sz w:val="20"/>
          <w:szCs w:val="20"/>
        </w:rPr>
        <w:t xml:space="preserve">radio station in the municipality of </w:t>
      </w:r>
      <w:proofErr w:type="spellStart"/>
      <w:r w:rsidRPr="008D6E5C">
        <w:rPr>
          <w:rFonts w:ascii="Cambria" w:hAnsi="Cambria" w:cs="Arial"/>
          <w:color w:val="000000"/>
          <w:sz w:val="20"/>
          <w:szCs w:val="20"/>
        </w:rPr>
        <w:t>Pitalito</w:t>
      </w:r>
      <w:proofErr w:type="spellEnd"/>
      <w:r w:rsidRPr="008D6E5C">
        <w:rPr>
          <w:rFonts w:ascii="Cambria" w:hAnsi="Cambria" w:cs="Arial"/>
          <w:color w:val="000000"/>
          <w:sz w:val="20"/>
          <w:szCs w:val="20"/>
        </w:rPr>
        <w:t xml:space="preserve">, department of Huila. The petitioner stated that in addition to his journalistic work, Mr.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was a teacher and the principal of the Los </w:t>
      </w:r>
      <w:proofErr w:type="spellStart"/>
      <w:r w:rsidRPr="008D6E5C">
        <w:rPr>
          <w:rFonts w:ascii="Cambria" w:hAnsi="Cambria" w:cs="Arial"/>
          <w:color w:val="000000"/>
          <w:sz w:val="20"/>
          <w:szCs w:val="20"/>
        </w:rPr>
        <w:t>Pinos</w:t>
      </w:r>
      <w:proofErr w:type="spellEnd"/>
      <w:r w:rsidRPr="008D6E5C">
        <w:rPr>
          <w:rFonts w:ascii="Cambria" w:hAnsi="Cambria" w:cs="Arial"/>
          <w:color w:val="000000"/>
          <w:sz w:val="20"/>
          <w:szCs w:val="20"/>
        </w:rPr>
        <w:t xml:space="preserve"> School and also served on the </w:t>
      </w:r>
      <w:proofErr w:type="spellStart"/>
      <w:r w:rsidRPr="008D6E5C">
        <w:rPr>
          <w:rFonts w:ascii="Cambria" w:hAnsi="Cambria" w:cs="Arial"/>
          <w:color w:val="000000"/>
          <w:sz w:val="20"/>
          <w:szCs w:val="20"/>
        </w:rPr>
        <w:t>Pitalito</w:t>
      </w:r>
      <w:proofErr w:type="spellEnd"/>
      <w:r w:rsidRPr="008D6E5C">
        <w:rPr>
          <w:rFonts w:ascii="Cambria" w:hAnsi="Cambria" w:cs="Arial"/>
          <w:color w:val="000000"/>
          <w:sz w:val="20"/>
          <w:szCs w:val="20"/>
        </w:rPr>
        <w:t xml:space="preserve"> town council during the 1992-1994 and 1995-1997 terms.</w:t>
      </w:r>
    </w:p>
    <w:p w:rsidR="00C0575F" w:rsidRPr="008D6E5C" w:rsidRDefault="00C0575F" w:rsidP="001520DB">
      <w:pPr>
        <w:ind w:firstLine="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petitioner stated that Nelson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was murdered on April 16, 1998, as he was leaving the Los </w:t>
      </w:r>
      <w:proofErr w:type="spellStart"/>
      <w:r w:rsidRPr="008D6E5C">
        <w:rPr>
          <w:rFonts w:ascii="Cambria" w:hAnsi="Cambria" w:cs="Arial"/>
          <w:color w:val="000000"/>
          <w:sz w:val="20"/>
          <w:szCs w:val="20"/>
        </w:rPr>
        <w:t>Pinos</w:t>
      </w:r>
      <w:proofErr w:type="spellEnd"/>
      <w:r w:rsidRPr="008D6E5C">
        <w:rPr>
          <w:rFonts w:ascii="Cambria" w:hAnsi="Cambria" w:cs="Arial"/>
          <w:color w:val="000000"/>
          <w:sz w:val="20"/>
          <w:szCs w:val="20"/>
        </w:rPr>
        <w:t xml:space="preserve"> School. The petitioner indicated that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was shot seven times by an individual who then escaped on a motorcycle with another person who had been waiting for the shooter.  </w:t>
      </w:r>
    </w:p>
    <w:p w:rsidR="00C0575F" w:rsidRPr="008D6E5C" w:rsidRDefault="00C0575F" w:rsidP="001520DB">
      <w:pPr>
        <w:ind w:firstLine="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petitioner indicated that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had been conducting investigative journalism into acts of political corruption in the area. According to the IAPA,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had been reporting on a businessman and politician’s involvement with the construction of housing in a high-risk area with improper </w:t>
      </w:r>
      <w:r w:rsidRPr="008D6E5C">
        <w:rPr>
          <w:rFonts w:ascii="Cambria" w:hAnsi="Cambria" w:cs="Arial"/>
          <w:color w:val="000000"/>
          <w:sz w:val="20"/>
          <w:szCs w:val="20"/>
        </w:rPr>
        <w:lastRenderedPageBreak/>
        <w:t xml:space="preserve">building materials. It further stated that just days prior to his murder, Mr.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had reportedly obtained documents showing that the businessman had ties to a drug and weapons trafficking network in the area. In addition, the petitioner stated that the journalist had a meeting scheduled for the day after his death with the Municipal Ombudsman in order to lodge a complaint against the mayor of </w:t>
      </w:r>
      <w:proofErr w:type="spellStart"/>
      <w:r w:rsidRPr="008D6E5C">
        <w:rPr>
          <w:rFonts w:ascii="Cambria" w:hAnsi="Cambria" w:cs="Arial"/>
          <w:color w:val="000000"/>
          <w:sz w:val="20"/>
          <w:szCs w:val="20"/>
        </w:rPr>
        <w:t>Pitalito</w:t>
      </w:r>
      <w:proofErr w:type="spellEnd"/>
      <w:r w:rsidRPr="008D6E5C">
        <w:rPr>
          <w:rFonts w:ascii="Cambria" w:hAnsi="Cambria" w:cs="Arial"/>
          <w:color w:val="000000"/>
          <w:sz w:val="20"/>
          <w:szCs w:val="20"/>
        </w:rPr>
        <w:t xml:space="preserve"> for the violation of state procurement laws in the purchase of a piece of land. </w:t>
      </w:r>
    </w:p>
    <w:p w:rsidR="00C0575F" w:rsidRPr="008D6E5C" w:rsidRDefault="00C0575F" w:rsidP="001520DB">
      <w:pPr>
        <w:ind w:firstLine="720"/>
        <w:jc w:val="both"/>
        <w:rPr>
          <w:rFonts w:ascii="Cambria" w:hAnsi="Cambria" w:cs="Arial"/>
          <w:color w:val="000000"/>
          <w:sz w:val="20"/>
          <w:szCs w:val="20"/>
        </w:rPr>
      </w:pPr>
    </w:p>
    <w:p w:rsidR="00C0575F" w:rsidRPr="008D6E5C" w:rsidRDefault="007F4783" w:rsidP="001520DB">
      <w:pPr>
        <w:pStyle w:val="BodyTextIndent"/>
        <w:keepNext/>
        <w:widowControl w:val="0"/>
        <w:ind w:left="720" w:firstLine="0"/>
        <w:jc w:val="both"/>
        <w:rPr>
          <w:rFonts w:ascii="Cambria" w:hAnsi="Cambria"/>
          <w:b/>
          <w:sz w:val="20"/>
          <w:szCs w:val="20"/>
          <w:lang w:val="en-US"/>
        </w:rPr>
      </w:pPr>
      <w:bookmarkStart w:id="7" w:name="_Toc391653292"/>
      <w:r w:rsidRPr="008D6E5C">
        <w:rPr>
          <w:rFonts w:ascii="Cambria" w:hAnsi="Cambria"/>
          <w:b/>
          <w:sz w:val="20"/>
          <w:szCs w:val="20"/>
          <w:lang w:val="en-US"/>
        </w:rPr>
        <w:t>Legal proc</w:t>
      </w:r>
      <w:r w:rsidR="00C0575F" w:rsidRPr="008D6E5C">
        <w:rPr>
          <w:rFonts w:ascii="Cambria" w:hAnsi="Cambria"/>
          <w:b/>
          <w:sz w:val="20"/>
          <w:szCs w:val="20"/>
          <w:lang w:val="en-US"/>
        </w:rPr>
        <w:t xml:space="preserve">eedings and threats to Nelson </w:t>
      </w:r>
      <w:proofErr w:type="spellStart"/>
      <w:r w:rsidR="00C0575F" w:rsidRPr="008D6E5C">
        <w:rPr>
          <w:rFonts w:ascii="Cambria" w:hAnsi="Cambria"/>
          <w:b/>
          <w:sz w:val="20"/>
          <w:szCs w:val="20"/>
          <w:lang w:val="en-US"/>
        </w:rPr>
        <w:t>Carvajal’s</w:t>
      </w:r>
      <w:proofErr w:type="spellEnd"/>
      <w:r w:rsidR="00C0575F" w:rsidRPr="008D6E5C">
        <w:rPr>
          <w:rFonts w:ascii="Cambria" w:hAnsi="Cambria"/>
          <w:b/>
          <w:sz w:val="20"/>
          <w:szCs w:val="20"/>
          <w:lang w:val="en-US"/>
        </w:rPr>
        <w:t xml:space="preserve"> relatives, witnesses, and investigators in the criminal cases </w:t>
      </w:r>
      <w:bookmarkEnd w:id="7"/>
    </w:p>
    <w:p w:rsidR="00C0575F" w:rsidRPr="008D6E5C" w:rsidRDefault="00C0575F" w:rsidP="001520DB">
      <w:pPr>
        <w:keepNext/>
        <w:widowControl w:val="0"/>
        <w:ind w:firstLine="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sz w:val="20"/>
          <w:szCs w:val="20"/>
        </w:rPr>
        <w:t xml:space="preserve">The petitioner </w:t>
      </w:r>
      <w:r w:rsidRPr="008D6E5C">
        <w:rPr>
          <w:rFonts w:ascii="Cambria" w:hAnsi="Cambria"/>
          <w:sz w:val="20"/>
          <w:szCs w:val="20"/>
        </w:rPr>
        <w:t xml:space="preserve">alleged that the State failed to comply with its duty to guarantee the rights of the alleged victims and to act with due diligence to investigate, prosecute, and if appropriate, punish the perpetrators of the journalist’s murder. It stated that the investigations conducted were plagued by irregularities, as well as threats and attempts on the lives of witnesses, </w:t>
      </w:r>
      <w:r w:rsidR="00391455" w:rsidRPr="008D6E5C">
        <w:rPr>
          <w:rFonts w:ascii="Cambria" w:hAnsi="Cambria"/>
          <w:sz w:val="20"/>
          <w:szCs w:val="20"/>
        </w:rPr>
        <w:t>justice system officials</w:t>
      </w:r>
      <w:r w:rsidRPr="008D6E5C">
        <w:rPr>
          <w:rFonts w:ascii="Cambria" w:hAnsi="Cambria"/>
          <w:sz w:val="20"/>
          <w:szCs w:val="20"/>
        </w:rPr>
        <w:t xml:space="preserve">, and relatives of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that there was therefore a denial of justice. </w:t>
      </w:r>
    </w:p>
    <w:p w:rsidR="00C0575F" w:rsidRPr="008D6E5C" w:rsidRDefault="00C0575F" w:rsidP="001520DB">
      <w:pPr>
        <w:keepNext/>
        <w:ind w:left="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petitioner indicated that the attorneys in the case were fearful, and that Nelson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Carvajal’s</w:t>
      </w:r>
      <w:proofErr w:type="spellEnd"/>
      <w:r w:rsidRPr="008D6E5C">
        <w:rPr>
          <w:rFonts w:ascii="Cambria" w:hAnsi="Cambria" w:cs="Arial"/>
          <w:color w:val="000000"/>
          <w:sz w:val="20"/>
          <w:szCs w:val="20"/>
        </w:rPr>
        <w:t xml:space="preserve"> relatives were therefore unable to act as civil plaintiffs in the criminal case. According to the petitioner, this prevented </w:t>
      </w:r>
      <w:proofErr w:type="spellStart"/>
      <w:r w:rsidRPr="008D6E5C">
        <w:rPr>
          <w:rFonts w:ascii="Cambria" w:hAnsi="Cambria" w:cs="Arial"/>
          <w:color w:val="000000"/>
          <w:sz w:val="20"/>
          <w:szCs w:val="20"/>
        </w:rPr>
        <w:t>Carvajal’s</w:t>
      </w:r>
      <w:proofErr w:type="spellEnd"/>
      <w:r w:rsidRPr="008D6E5C">
        <w:rPr>
          <w:rFonts w:ascii="Cambria" w:hAnsi="Cambria" w:cs="Arial"/>
          <w:color w:val="000000"/>
          <w:sz w:val="20"/>
          <w:szCs w:val="20"/>
        </w:rPr>
        <w:t xml:space="preserve"> relatives, as victims in the case, from requesting the examination of evidence to prove the acts in question, confirm the identity of the perpetrators and the participants and their responsibility, and to determine the nature and amount of damages or the potential for appealing the court decisions. </w:t>
      </w:r>
    </w:p>
    <w:p w:rsidR="00C0575F" w:rsidRPr="008D6E5C" w:rsidRDefault="00C0575F" w:rsidP="001520DB">
      <w:pPr>
        <w:ind w:firstLine="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IAPA stated that the Fourth Special Prosecutor of Huila, who was handling the case, received threats. It further stated that several participating witnesses whose identities were protected during the proceedings were threatened and their identities were revealed. It also noted that some individuals who had knowledge of the events were threatened in an attempt to keep them from giving statements. </w:t>
      </w:r>
    </w:p>
    <w:p w:rsidR="00C0575F" w:rsidRPr="008D6E5C" w:rsidRDefault="00C0575F" w:rsidP="001520DB">
      <w:pPr>
        <w:ind w:firstLine="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petitioner stated that Judith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Nelson </w:t>
      </w:r>
      <w:proofErr w:type="spellStart"/>
      <w:r w:rsidRPr="008D6E5C">
        <w:rPr>
          <w:rFonts w:ascii="Cambria" w:hAnsi="Cambria" w:cs="Arial"/>
          <w:color w:val="000000"/>
          <w:sz w:val="20"/>
          <w:szCs w:val="20"/>
        </w:rPr>
        <w:t>Carvajal’s</w:t>
      </w:r>
      <w:proofErr w:type="spellEnd"/>
      <w:r w:rsidRPr="008D6E5C">
        <w:rPr>
          <w:rFonts w:ascii="Cambria" w:hAnsi="Cambria" w:cs="Arial"/>
          <w:color w:val="000000"/>
          <w:sz w:val="20"/>
          <w:szCs w:val="20"/>
        </w:rPr>
        <w:t xml:space="preserve"> sister, received death threats that were meant to prevent her from providing evidence in the case. It also noted that two attempts were made on her life. The IAPA indicated that those threats were duly reported to the Office of the Public Prosecutor, that she entered into the Victim and Witness Protection Program of the Prosecutor’s Office in April 1999, and that she is now in exile. </w:t>
      </w:r>
    </w:p>
    <w:p w:rsidR="00C0575F" w:rsidRPr="008D6E5C" w:rsidRDefault="00C0575F" w:rsidP="001520DB">
      <w:pPr>
        <w:ind w:firstLine="720"/>
        <w:jc w:val="both"/>
        <w:rPr>
          <w:rFonts w:ascii="Cambria" w:hAnsi="Cambria" w:cs="Arial"/>
          <w:color w:val="000000"/>
          <w:sz w:val="20"/>
          <w:szCs w:val="20"/>
        </w:rPr>
      </w:pPr>
      <w:r w:rsidRPr="008D6E5C">
        <w:rPr>
          <w:rFonts w:ascii="Cambria" w:hAnsi="Cambria" w:cs="Arial"/>
          <w:color w:val="000000"/>
          <w:sz w:val="20"/>
          <w:szCs w:val="20"/>
        </w:rPr>
        <w:t xml:space="preserve"> </w:t>
      </w: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petitioner transcribed a statement by Juan </w:t>
      </w:r>
      <w:proofErr w:type="spellStart"/>
      <w:r w:rsidRPr="008D6E5C">
        <w:rPr>
          <w:rFonts w:ascii="Cambria" w:hAnsi="Cambria" w:cs="Arial"/>
          <w:color w:val="000000"/>
          <w:sz w:val="20"/>
          <w:szCs w:val="20"/>
        </w:rPr>
        <w:t>Ángel</w:t>
      </w:r>
      <w:proofErr w:type="spellEnd"/>
      <w:r w:rsidRPr="008D6E5C">
        <w:rPr>
          <w:rFonts w:ascii="Cambria" w:hAnsi="Cambria" w:cs="Arial"/>
          <w:color w:val="000000"/>
          <w:sz w:val="20"/>
          <w:szCs w:val="20"/>
        </w:rPr>
        <w:t xml:space="preserve"> </w:t>
      </w:r>
      <w:proofErr w:type="gramStart"/>
      <w:r w:rsidRPr="008D6E5C">
        <w:rPr>
          <w:rFonts w:ascii="Cambria" w:hAnsi="Cambria" w:cs="Arial"/>
          <w:color w:val="000000"/>
          <w:sz w:val="20"/>
          <w:szCs w:val="20"/>
        </w:rPr>
        <w:t>Ortiz,</w:t>
      </w:r>
      <w:proofErr w:type="gramEnd"/>
      <w:r w:rsidRPr="008D6E5C">
        <w:rPr>
          <w:rFonts w:ascii="Cambria" w:hAnsi="Cambria" w:cs="Arial"/>
          <w:color w:val="000000"/>
          <w:sz w:val="20"/>
          <w:szCs w:val="20"/>
        </w:rPr>
        <w:t xml:space="preserve"> an “absolute trusted friend” of Nelson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Carvajal’s</w:t>
      </w:r>
      <w:proofErr w:type="spellEnd"/>
      <w:r w:rsidRPr="008D6E5C">
        <w:rPr>
          <w:rFonts w:ascii="Cambria" w:hAnsi="Cambria" w:cs="Arial"/>
          <w:color w:val="000000"/>
          <w:sz w:val="20"/>
          <w:szCs w:val="20"/>
        </w:rPr>
        <w:t xml:space="preserve"> who had allegedly received multiple threats. Ortiz reportedly stated that he had attempted to testify in the case but was unable to do so because he was being threatened and was not given any protection in order to testify with peace of mind. The petitioner also transcribed a statement given by Lucas </w:t>
      </w:r>
      <w:proofErr w:type="spellStart"/>
      <w:r w:rsidRPr="008D6E5C">
        <w:rPr>
          <w:rFonts w:ascii="Cambria" w:hAnsi="Cambria" w:cs="Arial"/>
          <w:color w:val="000000"/>
          <w:sz w:val="20"/>
          <w:szCs w:val="20"/>
        </w:rPr>
        <w:t>Chavar</w:t>
      </w:r>
      <w:r w:rsidR="0012782E" w:rsidRPr="008D6E5C">
        <w:rPr>
          <w:rFonts w:ascii="Cambria" w:hAnsi="Cambria" w:cs="Arial"/>
          <w:color w:val="000000"/>
          <w:sz w:val="20"/>
          <w:szCs w:val="20"/>
        </w:rPr>
        <w:t>ro</w:t>
      </w:r>
      <w:proofErr w:type="spellEnd"/>
      <w:r w:rsidR="0012782E" w:rsidRPr="008D6E5C">
        <w:rPr>
          <w:rFonts w:ascii="Cambria" w:hAnsi="Cambria" w:cs="Arial"/>
          <w:color w:val="000000"/>
          <w:sz w:val="20"/>
          <w:szCs w:val="20"/>
        </w:rPr>
        <w:t>, a friend of the journalist</w:t>
      </w:r>
      <w:r w:rsidRPr="008D6E5C">
        <w:rPr>
          <w:rFonts w:ascii="Cambria" w:hAnsi="Cambria" w:cs="Arial"/>
          <w:color w:val="000000"/>
          <w:sz w:val="20"/>
          <w:szCs w:val="20"/>
        </w:rPr>
        <w:t xml:space="preserve"> who stated that he had been threatened by </w:t>
      </w:r>
      <w:r w:rsidR="0096527B" w:rsidRPr="008D6E5C">
        <w:rPr>
          <w:rFonts w:ascii="Cambria" w:hAnsi="Cambria" w:cs="Arial"/>
          <w:color w:val="000000"/>
          <w:sz w:val="20"/>
          <w:szCs w:val="20"/>
        </w:rPr>
        <w:t xml:space="preserve">a </w:t>
      </w:r>
      <w:r w:rsidRPr="008D6E5C">
        <w:rPr>
          <w:rFonts w:ascii="Cambria" w:hAnsi="Cambria" w:cs="Arial"/>
          <w:color w:val="000000"/>
          <w:sz w:val="20"/>
          <w:szCs w:val="20"/>
        </w:rPr>
        <w:t xml:space="preserve">builder and former town councilman, who had learned of his statement before the Prosecutor’s Office—in spite of the fact that the criminal investigation was confidential. According to the petitioner’s transcription of the complaints alleged by Judith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the attorneys for the defendants implicated in the journalist’s murder turned their telephones on so their clients could hear the examination of the witnesses. According to the transcription, the detainees were thus able to identify the witnesses and subsequently threaten them. </w:t>
      </w:r>
    </w:p>
    <w:p w:rsidR="00C0575F" w:rsidRPr="008D6E5C" w:rsidRDefault="00C0575F" w:rsidP="001520DB">
      <w:pPr>
        <w:ind w:firstLine="720"/>
        <w:jc w:val="both"/>
        <w:rPr>
          <w:rFonts w:ascii="Cambria" w:hAnsi="Cambria" w:cs="Arial"/>
          <w:color w:val="000000"/>
          <w:sz w:val="20"/>
          <w:szCs w:val="20"/>
        </w:rPr>
      </w:pPr>
    </w:p>
    <w:p w:rsidR="00C0575F" w:rsidRPr="008D6E5C" w:rsidRDefault="00C0575F"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IAPA stated that on May 8, 2007 the Prosecutor’s Office acknowledged that Pablo Emilio Bonilla </w:t>
      </w:r>
      <w:proofErr w:type="spellStart"/>
      <w:r w:rsidRPr="008D6E5C">
        <w:rPr>
          <w:rFonts w:ascii="Cambria" w:hAnsi="Cambria" w:cs="Arial"/>
          <w:color w:val="000000"/>
          <w:sz w:val="20"/>
          <w:szCs w:val="20"/>
        </w:rPr>
        <w:t>Betancur</w:t>
      </w:r>
      <w:r w:rsidR="0096527B" w:rsidRPr="008D6E5C">
        <w:rPr>
          <w:rFonts w:ascii="Cambria" w:hAnsi="Cambria" w:cs="Arial"/>
          <w:color w:val="000000"/>
          <w:sz w:val="20"/>
          <w:szCs w:val="20"/>
        </w:rPr>
        <w:t>t</w:t>
      </w:r>
      <w:proofErr w:type="spellEnd"/>
      <w:r w:rsidRPr="008D6E5C">
        <w:rPr>
          <w:rFonts w:ascii="Cambria" w:hAnsi="Cambria" w:cs="Arial"/>
          <w:color w:val="000000"/>
          <w:sz w:val="20"/>
          <w:szCs w:val="20"/>
        </w:rPr>
        <w:t xml:space="preserve">, a key witness in the investigation, had been murdered. The Prosecutor’s Office told them that the Witness Protection Office had denied protection to Bonilla </w:t>
      </w:r>
      <w:proofErr w:type="spellStart"/>
      <w:r w:rsidRPr="008D6E5C">
        <w:rPr>
          <w:rFonts w:ascii="Cambria" w:hAnsi="Cambria" w:cs="Arial"/>
          <w:color w:val="000000"/>
          <w:sz w:val="20"/>
          <w:szCs w:val="20"/>
        </w:rPr>
        <w:t>Betancur</w:t>
      </w:r>
      <w:r w:rsidR="0096527B" w:rsidRPr="008D6E5C">
        <w:rPr>
          <w:rFonts w:ascii="Cambria" w:hAnsi="Cambria" w:cs="Arial"/>
          <w:color w:val="000000"/>
          <w:sz w:val="20"/>
          <w:szCs w:val="20"/>
        </w:rPr>
        <w:t>t</w:t>
      </w:r>
      <w:proofErr w:type="spellEnd"/>
      <w:r w:rsidRPr="008D6E5C">
        <w:rPr>
          <w:rFonts w:ascii="Cambria" w:hAnsi="Cambria" w:cs="Arial"/>
          <w:color w:val="000000"/>
          <w:sz w:val="20"/>
          <w:szCs w:val="20"/>
        </w:rPr>
        <w:t xml:space="preserve"> because he did not meet the requirements. Bonilla </w:t>
      </w:r>
      <w:proofErr w:type="spellStart"/>
      <w:r w:rsidRPr="008D6E5C">
        <w:rPr>
          <w:rFonts w:ascii="Cambria" w:hAnsi="Cambria"/>
          <w:sz w:val="20"/>
          <w:szCs w:val="20"/>
        </w:rPr>
        <w:t>Betancur</w:t>
      </w:r>
      <w:r w:rsidR="0096527B" w:rsidRPr="008D6E5C">
        <w:rPr>
          <w:rFonts w:ascii="Cambria" w:hAnsi="Cambria"/>
          <w:sz w:val="20"/>
          <w:szCs w:val="20"/>
        </w:rPr>
        <w:t>t</w:t>
      </w:r>
      <w:proofErr w:type="spellEnd"/>
      <w:r w:rsidRPr="008D6E5C">
        <w:rPr>
          <w:rFonts w:ascii="Cambria" w:hAnsi="Cambria" w:cs="Arial"/>
          <w:color w:val="000000"/>
          <w:sz w:val="20"/>
          <w:szCs w:val="20"/>
        </w:rPr>
        <w:t xml:space="preserve"> reportedly would have provided testimony in the review of the acquittals in the case of Nelson </w:t>
      </w:r>
      <w:proofErr w:type="spellStart"/>
      <w:r w:rsidRPr="008D6E5C">
        <w:rPr>
          <w:rFonts w:ascii="Cambria" w:hAnsi="Cambria" w:cs="Arial"/>
          <w:color w:val="000000"/>
          <w:sz w:val="20"/>
          <w:szCs w:val="20"/>
        </w:rPr>
        <w:t>Carvajal</w:t>
      </w:r>
      <w:proofErr w:type="spellEnd"/>
      <w:r w:rsidRPr="008D6E5C">
        <w:rPr>
          <w:rFonts w:ascii="Cambria" w:hAnsi="Cambria" w:cs="Arial"/>
          <w:color w:val="000000"/>
          <w:sz w:val="20"/>
          <w:szCs w:val="20"/>
        </w:rPr>
        <w:t xml:space="preserve"> before the Supreme Court</w:t>
      </w:r>
      <w:r w:rsidR="00391455" w:rsidRPr="008D6E5C">
        <w:rPr>
          <w:rFonts w:ascii="Cambria" w:hAnsi="Cambria" w:cs="Arial"/>
          <w:color w:val="000000"/>
          <w:sz w:val="20"/>
          <w:szCs w:val="20"/>
        </w:rPr>
        <w:t xml:space="preserve"> of Justice</w:t>
      </w:r>
      <w:r w:rsidRPr="008D6E5C">
        <w:rPr>
          <w:rFonts w:ascii="Cambria" w:hAnsi="Cambria" w:cs="Arial"/>
          <w:color w:val="000000"/>
          <w:sz w:val="20"/>
          <w:szCs w:val="20"/>
        </w:rPr>
        <w:t>.</w:t>
      </w:r>
    </w:p>
    <w:p w:rsidR="00F34EF4" w:rsidRDefault="00F34EF4">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Arial"/>
          <w:color w:val="000000"/>
          <w:sz w:val="20"/>
          <w:szCs w:val="20"/>
        </w:rPr>
      </w:pPr>
      <w:r>
        <w:rPr>
          <w:rFonts w:ascii="Cambria" w:hAnsi="Cambria" w:cs="Arial"/>
          <w:color w:val="000000"/>
          <w:sz w:val="20"/>
          <w:szCs w:val="20"/>
        </w:rPr>
        <w:br w:type="page"/>
      </w:r>
    </w:p>
    <w:p w:rsidR="00C0575F" w:rsidRPr="008D6E5C" w:rsidRDefault="00C0575F" w:rsidP="004A48A8">
      <w:pPr>
        <w:widowControl w:val="0"/>
        <w:ind w:firstLine="720"/>
        <w:jc w:val="both"/>
        <w:rPr>
          <w:rFonts w:ascii="Cambria" w:hAnsi="Cambria" w:cs="Arial"/>
          <w:color w:val="000000"/>
          <w:sz w:val="20"/>
          <w:szCs w:val="20"/>
        </w:rPr>
      </w:pPr>
    </w:p>
    <w:p w:rsidR="00C0575F" w:rsidRPr="008D6E5C" w:rsidRDefault="00FC7707"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T</w:t>
      </w:r>
      <w:r w:rsidR="00C0575F" w:rsidRPr="008D6E5C">
        <w:rPr>
          <w:rFonts w:ascii="Cambria" w:hAnsi="Cambria" w:cs="Arial"/>
          <w:color w:val="000000"/>
          <w:sz w:val="20"/>
          <w:szCs w:val="20"/>
        </w:rPr>
        <w:t>he petitioner stated that nine relatives</w:t>
      </w:r>
      <w:r w:rsidR="00C0575F" w:rsidRPr="008D6E5C">
        <w:rPr>
          <w:rStyle w:val="FootnoteReference"/>
          <w:rFonts w:ascii="Cambria" w:hAnsi="Cambria"/>
          <w:sz w:val="20"/>
          <w:szCs w:val="20"/>
        </w:rPr>
        <w:footnoteReference w:id="3"/>
      </w:r>
      <w:r w:rsidR="00C0575F" w:rsidRPr="008D6E5C">
        <w:rPr>
          <w:rFonts w:ascii="Cambria" w:hAnsi="Cambria" w:cs="Arial"/>
          <w:color w:val="000000"/>
          <w:sz w:val="20"/>
          <w:szCs w:val="20"/>
        </w:rPr>
        <w:t xml:space="preserve"> of </w:t>
      </w:r>
      <w:proofErr w:type="spellStart"/>
      <w:r w:rsidR="00C0575F" w:rsidRPr="008D6E5C">
        <w:rPr>
          <w:rFonts w:ascii="Cambria" w:hAnsi="Cambria" w:cs="Arial"/>
          <w:color w:val="000000"/>
          <w:sz w:val="20"/>
          <w:szCs w:val="20"/>
        </w:rPr>
        <w:t>Carvajal’s</w:t>
      </w:r>
      <w:proofErr w:type="spellEnd"/>
      <w:r w:rsidR="00C0575F" w:rsidRPr="008D6E5C">
        <w:rPr>
          <w:rFonts w:ascii="Cambria" w:hAnsi="Cambria" w:cs="Arial"/>
          <w:color w:val="000000"/>
          <w:sz w:val="20"/>
          <w:szCs w:val="20"/>
        </w:rPr>
        <w:t xml:space="preserve"> were granted refugee status and the right to asylum. It indicated that the departure of </w:t>
      </w:r>
      <w:proofErr w:type="spellStart"/>
      <w:r w:rsidR="00C0575F" w:rsidRPr="008D6E5C">
        <w:rPr>
          <w:rFonts w:ascii="Cambria" w:hAnsi="Cambria" w:cs="Arial"/>
          <w:color w:val="000000"/>
          <w:sz w:val="20"/>
          <w:szCs w:val="20"/>
        </w:rPr>
        <w:t>Carvajal’s</w:t>
      </w:r>
      <w:proofErr w:type="spellEnd"/>
      <w:r w:rsidR="00C0575F" w:rsidRPr="008D6E5C">
        <w:rPr>
          <w:rFonts w:ascii="Cambria" w:hAnsi="Cambria" w:cs="Arial"/>
          <w:color w:val="000000"/>
          <w:sz w:val="20"/>
          <w:szCs w:val="20"/>
        </w:rPr>
        <w:t xml:space="preserve"> relatives from the country was due to “persecution as a result of demanding justice for the murder.” The petitioner also affirmed that the Office of the Prosecutor General acknowledged the persecution and threats against Judith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and her brother Fernando Augusto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According to the petitioner, the Prosecutor’s Office was of the opinion that Judith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and her immediate family faced serious risk, given her brother’s journalistic work. The Prosecutor’s Office specified that the defendants were politically and economically powerful, and that they had ties to paramilitary and drug trafficking organizations. It also stated that the Office of the Prosecutor General documented the threats against Nelson </w:t>
      </w:r>
      <w:proofErr w:type="spellStart"/>
      <w:r w:rsidR="00C0575F" w:rsidRPr="008D6E5C">
        <w:rPr>
          <w:rFonts w:ascii="Cambria" w:hAnsi="Cambria" w:cs="Arial"/>
          <w:color w:val="000000"/>
          <w:sz w:val="20"/>
          <w:szCs w:val="20"/>
        </w:rPr>
        <w:t>Carvajal’s</w:t>
      </w:r>
      <w:proofErr w:type="spellEnd"/>
      <w:r w:rsidR="00C0575F" w:rsidRPr="008D6E5C">
        <w:rPr>
          <w:rFonts w:ascii="Cambria" w:hAnsi="Cambria" w:cs="Arial"/>
          <w:color w:val="000000"/>
          <w:sz w:val="20"/>
          <w:szCs w:val="20"/>
        </w:rPr>
        <w:t xml:space="preserve"> sister Ruth </w:t>
      </w:r>
      <w:proofErr w:type="spellStart"/>
      <w:r w:rsidR="00C0575F" w:rsidRPr="008D6E5C">
        <w:rPr>
          <w:rFonts w:ascii="Cambria" w:hAnsi="Cambria" w:cs="Arial"/>
          <w:color w:val="000000"/>
          <w:sz w:val="20"/>
          <w:szCs w:val="20"/>
        </w:rPr>
        <w:t>Dary</w:t>
      </w:r>
      <w:proofErr w:type="spellEnd"/>
      <w:r w:rsidR="00C0575F" w:rsidRPr="008D6E5C">
        <w:rPr>
          <w:rFonts w:ascii="Cambria" w:hAnsi="Cambria" w:cs="Arial"/>
          <w:color w:val="000000"/>
          <w:sz w:val="20"/>
          <w:szCs w:val="20"/>
        </w:rPr>
        <w:t xml:space="preserve"> </w:t>
      </w:r>
      <w:proofErr w:type="spellStart"/>
      <w:r w:rsidR="00C0575F" w:rsidRPr="008D6E5C">
        <w:rPr>
          <w:rFonts w:ascii="Cambria" w:hAnsi="Cambria" w:cs="Arial"/>
          <w:color w:val="000000"/>
          <w:sz w:val="20"/>
          <w:szCs w:val="20"/>
        </w:rPr>
        <w:t>Carvajal</w:t>
      </w:r>
      <w:proofErr w:type="spellEnd"/>
      <w:r w:rsidR="00C0575F" w:rsidRPr="008D6E5C">
        <w:rPr>
          <w:rFonts w:ascii="Cambria" w:hAnsi="Cambria" w:cs="Arial"/>
          <w:color w:val="000000"/>
          <w:sz w:val="20"/>
          <w:szCs w:val="20"/>
        </w:rPr>
        <w:t xml:space="preserve"> in the case file, and asked the National Police to provide security measures to the family members. According to the IAPA, the acts of intimidation increased following the arrest and detention of one of the defendants on August 29, 2008. </w:t>
      </w:r>
    </w:p>
    <w:p w:rsidR="00C0575F" w:rsidRPr="008D6E5C" w:rsidRDefault="00C0575F" w:rsidP="001520DB">
      <w:pPr>
        <w:ind w:firstLine="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sz w:val="20"/>
          <w:szCs w:val="20"/>
        </w:rPr>
        <w:t xml:space="preserve">In addition, the petitioner stated that the competent authorities committed several irregularities during the case, both in the prosecution’s investigation </w:t>
      </w:r>
      <w:r w:rsidRPr="008D6E5C">
        <w:rPr>
          <w:rFonts w:ascii="Cambria" w:hAnsi="Cambria" w:cs="Arial"/>
          <w:sz w:val="20"/>
          <w:szCs w:val="20"/>
        </w:rPr>
        <w:t xml:space="preserve">and in the court’s assessment of the </w:t>
      </w:r>
      <w:r w:rsidR="0012782E" w:rsidRPr="008D6E5C">
        <w:rPr>
          <w:rFonts w:ascii="Cambria" w:hAnsi="Cambria" w:cs="Arial"/>
          <w:sz w:val="20"/>
          <w:szCs w:val="20"/>
        </w:rPr>
        <w:t>evidence that</w:t>
      </w:r>
      <w:r w:rsidRPr="008D6E5C">
        <w:rPr>
          <w:rFonts w:ascii="Cambria" w:hAnsi="Cambria" w:cs="Arial"/>
          <w:sz w:val="20"/>
          <w:szCs w:val="20"/>
        </w:rPr>
        <w:t xml:space="preserve"> prevented the judicial proceedings from leading to the identification and punishment of the perpetrators. The petitioner stated that the lead prosecutor in the case was changed up to four times and that the personnel in charge of conducting the crime scene analysis were neither diligent nor</w:t>
      </w:r>
      <w:r w:rsidRPr="008D6E5C">
        <w:rPr>
          <w:rFonts w:ascii="Cambria" w:hAnsi="Cambria" w:cs="Arial"/>
          <w:color w:val="000000"/>
          <w:sz w:val="20"/>
          <w:szCs w:val="20"/>
        </w:rPr>
        <w:t xml:space="preserve"> thorough in the collection of evidence. It alleged that the report submitted by those investigators was routine and that the only evidence they gathered was a bullet nose and six shell casings that were found near the body. Similarly, the petitioner stated that </w:t>
      </w:r>
      <w:r w:rsidR="000036BD" w:rsidRPr="008D6E5C">
        <w:rPr>
          <w:rFonts w:ascii="Cambria" w:hAnsi="Cambria" w:cs="Arial"/>
          <w:color w:val="000000"/>
          <w:sz w:val="20"/>
          <w:szCs w:val="20"/>
        </w:rPr>
        <w:t xml:space="preserve">law enforcement officials </w:t>
      </w:r>
      <w:r w:rsidRPr="008D6E5C">
        <w:rPr>
          <w:rFonts w:ascii="Cambria" w:hAnsi="Cambria" w:cs="Arial"/>
          <w:color w:val="000000"/>
          <w:sz w:val="20"/>
          <w:szCs w:val="20"/>
        </w:rPr>
        <w:t xml:space="preserve">lost contact with the only person identified in a lineup as the alleged direct perpetrator of the murder—in spite of the fact that he was initially named as a suspect—and the investigation against him was later dropped. </w:t>
      </w:r>
    </w:p>
    <w:p w:rsidR="00C0575F" w:rsidRPr="008D6E5C" w:rsidRDefault="00C0575F" w:rsidP="001520DB">
      <w:pPr>
        <w:ind w:left="720"/>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 xml:space="preserve">The petitioner further indicated that the Technical Unit of the Prosecutor’s Office failed to explore various theories regarding the perpetration of the homicide. The IAPA cited the statements of a judicial employee and a Special Prosecutor indicating that the persons in charge of the investigation failed to pursue other avenues that also should have been exhausted. According to the petitioner, the Prosecutor’s Office did not give credence to the theory that the FARC was involved. </w:t>
      </w:r>
    </w:p>
    <w:p w:rsidR="00C0575F" w:rsidRPr="008D6E5C" w:rsidRDefault="00C0575F" w:rsidP="001520DB">
      <w:pPr>
        <w:jc w:val="both"/>
        <w:rPr>
          <w:rFonts w:ascii="Cambria" w:hAnsi="Cambria" w:cs="Arial"/>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sz w:val="20"/>
          <w:szCs w:val="20"/>
        </w:rPr>
        <w:t xml:space="preserve">For all of the above reasons, they asked the IACHR to declare that the State violated the rights to life, a fair trial, freedom of thought and expression, and judicial protection, enshrined in Articles 4, 8, 13, and 25 of the American Convention, in conjunction with the general obligation to respect rights provided for in Article 1(1) thereto, to the detriment of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his relatives. </w:t>
      </w:r>
    </w:p>
    <w:p w:rsidR="00C0575F" w:rsidRPr="008D6E5C" w:rsidRDefault="00C0575F" w:rsidP="001520DB">
      <w:pPr>
        <w:ind w:firstLine="720"/>
        <w:jc w:val="both"/>
        <w:rPr>
          <w:rFonts w:ascii="Cambria" w:hAnsi="Cambria" w:cs="Arial"/>
          <w:sz w:val="20"/>
          <w:szCs w:val="20"/>
        </w:rPr>
      </w:pPr>
    </w:p>
    <w:p w:rsidR="00C0575F" w:rsidRPr="008D6E5C" w:rsidRDefault="00C0575F" w:rsidP="001520DB">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szCs w:val="20"/>
        </w:rPr>
      </w:pPr>
      <w:bookmarkStart w:id="8" w:name="_Toc412478082"/>
      <w:bookmarkStart w:id="9" w:name="_Toc412536242"/>
      <w:bookmarkStart w:id="10" w:name="_Toc412539532"/>
      <w:bookmarkStart w:id="11" w:name="_Toc416880378"/>
      <w:r w:rsidRPr="008D6E5C">
        <w:rPr>
          <w:szCs w:val="20"/>
        </w:rPr>
        <w:t>Position of the State</w:t>
      </w:r>
      <w:bookmarkEnd w:id="8"/>
      <w:bookmarkEnd w:id="9"/>
      <w:bookmarkEnd w:id="10"/>
      <w:bookmarkEnd w:id="11"/>
    </w:p>
    <w:p w:rsidR="00C0575F" w:rsidRPr="008D6E5C" w:rsidRDefault="00C0575F" w:rsidP="001520DB">
      <w:pPr>
        <w:pStyle w:val="BodyTextIndent"/>
        <w:keepNext/>
        <w:ind w:left="0" w:firstLine="720"/>
        <w:jc w:val="both"/>
        <w:rPr>
          <w:rFonts w:ascii="Cambria" w:hAnsi="Cambria"/>
          <w:b/>
          <w:sz w:val="20"/>
          <w:szCs w:val="20"/>
          <w:lang w:val="en-US"/>
        </w:rPr>
      </w:pPr>
    </w:p>
    <w:p w:rsidR="00C0575F" w:rsidRPr="008D6E5C" w:rsidRDefault="007F4783" w:rsidP="001520DB">
      <w:pPr>
        <w:pStyle w:val="BodyTextIndent"/>
        <w:keepNext/>
        <w:ind w:left="0" w:firstLine="720"/>
        <w:jc w:val="both"/>
        <w:rPr>
          <w:rFonts w:ascii="Cambria" w:hAnsi="Cambria"/>
          <w:b/>
          <w:sz w:val="20"/>
          <w:szCs w:val="20"/>
          <w:lang w:val="en-US"/>
        </w:rPr>
      </w:pPr>
      <w:r w:rsidRPr="008D6E5C">
        <w:rPr>
          <w:rFonts w:ascii="Cambria" w:hAnsi="Cambria"/>
          <w:b/>
          <w:sz w:val="20"/>
          <w:szCs w:val="20"/>
          <w:lang w:val="en-US"/>
        </w:rPr>
        <w:t>A</w:t>
      </w:r>
      <w:r w:rsidR="00C0575F" w:rsidRPr="008D6E5C">
        <w:rPr>
          <w:rFonts w:ascii="Cambria" w:hAnsi="Cambria"/>
          <w:b/>
          <w:sz w:val="20"/>
          <w:szCs w:val="20"/>
          <w:lang w:val="en-US"/>
        </w:rPr>
        <w:t>lleged violation of Articles 8(1) and 25 of the Convention</w:t>
      </w:r>
    </w:p>
    <w:p w:rsidR="00C0575F" w:rsidRPr="008D6E5C" w:rsidRDefault="00C0575F" w:rsidP="001520DB">
      <w:pPr>
        <w:keepNext/>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The Colombian State asserted that it has complied with the obligations derived from Articles 8 and 25 of the Convention. It stated that the criminal investigation was conducted seriously, with a view to establishing the facts and identifying, prosecuting, and punishing the perpetrators, and with full respect for the due process guarantees enshrined in Articles 8 and 25 of the Convention.</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The State indicated that once the events took place, an investigation was opened by a District Office of the Public Prosecutor in </w:t>
      </w:r>
      <w:proofErr w:type="spellStart"/>
      <w:r w:rsidRPr="008D6E5C">
        <w:rPr>
          <w:rFonts w:ascii="Cambria" w:hAnsi="Cambria" w:cs="Arial"/>
          <w:sz w:val="20"/>
          <w:szCs w:val="20"/>
        </w:rPr>
        <w:t>Pitalito</w:t>
      </w:r>
      <w:proofErr w:type="spellEnd"/>
      <w:r w:rsidRPr="008D6E5C">
        <w:rPr>
          <w:rFonts w:ascii="Cambria" w:hAnsi="Cambria" w:cs="Arial"/>
          <w:sz w:val="20"/>
          <w:szCs w:val="20"/>
        </w:rPr>
        <w:t xml:space="preserve">, and later forwarded for jurisdictional reasons to the Terrorism Unit of the Office of the Prosecutor General. It stated that just eight months after the acts occurred, an order was issued on December 29, 1998 </w:t>
      </w:r>
      <w:r w:rsidRPr="008D6E5C">
        <w:rPr>
          <w:rFonts w:ascii="Cambria" w:hAnsi="Cambria"/>
          <w:sz w:val="20"/>
          <w:szCs w:val="20"/>
        </w:rPr>
        <w:t>naming</w:t>
      </w:r>
      <w:r w:rsidRPr="008D6E5C">
        <w:rPr>
          <w:rFonts w:ascii="Cambria" w:hAnsi="Cambria" w:cs="Arial"/>
          <w:sz w:val="20"/>
          <w:szCs w:val="20"/>
        </w:rPr>
        <w:t xml:space="preserve"> </w:t>
      </w:r>
      <w:r w:rsidR="001077EB" w:rsidRPr="008D6E5C">
        <w:rPr>
          <w:rFonts w:ascii="Cambria" w:hAnsi="Cambria" w:cs="Arial"/>
          <w:sz w:val="20"/>
          <w:szCs w:val="20"/>
        </w:rPr>
        <w:t>3 individuals</w:t>
      </w:r>
      <w:r w:rsidRPr="008D6E5C">
        <w:rPr>
          <w:rFonts w:ascii="Cambria" w:hAnsi="Cambria" w:cs="Arial"/>
          <w:sz w:val="20"/>
          <w:szCs w:val="20"/>
        </w:rPr>
        <w:t xml:space="preserve"> as the masterminds of the crime, and </w:t>
      </w:r>
      <w:r w:rsidR="0028561C" w:rsidRPr="008D6E5C">
        <w:rPr>
          <w:rFonts w:ascii="Cambria" w:hAnsi="Cambria" w:cs="Arial"/>
          <w:sz w:val="20"/>
          <w:szCs w:val="20"/>
        </w:rPr>
        <w:t xml:space="preserve">2 individuals </w:t>
      </w:r>
      <w:r w:rsidRPr="008D6E5C">
        <w:rPr>
          <w:rFonts w:ascii="Cambria" w:hAnsi="Cambria" w:cs="Arial"/>
          <w:sz w:val="20"/>
          <w:szCs w:val="20"/>
        </w:rPr>
        <w:t xml:space="preserve">as the direct perpetrators. It was ordered that of the defendants be held in pretrial detention. </w:t>
      </w:r>
    </w:p>
    <w:p w:rsidR="00C0575F" w:rsidRPr="008D6E5C" w:rsidRDefault="00C0575F" w:rsidP="001520DB">
      <w:pPr>
        <w:ind w:left="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Colombia indicated that once the pretrial phase of the criminal proceedings was concluded, the investigation was closed in December 1999, and an indictment was issued in January 2000 against </w:t>
      </w:r>
      <w:r w:rsidR="00357318" w:rsidRPr="008D6E5C">
        <w:rPr>
          <w:rFonts w:ascii="Cambria" w:hAnsi="Cambria" w:cs="Arial"/>
          <w:sz w:val="20"/>
          <w:szCs w:val="20"/>
        </w:rPr>
        <w:t>1 individual as mastermind and 2 individuals as direct perpetrators</w:t>
      </w:r>
      <w:r w:rsidRPr="008D6E5C">
        <w:rPr>
          <w:rFonts w:ascii="Cambria" w:hAnsi="Cambria" w:cs="Arial"/>
          <w:sz w:val="20"/>
          <w:szCs w:val="20"/>
        </w:rPr>
        <w:t xml:space="preserve">. The same order closed the investigation against </w:t>
      </w:r>
      <w:r w:rsidR="00357318" w:rsidRPr="008D6E5C">
        <w:rPr>
          <w:rFonts w:ascii="Cambria" w:hAnsi="Cambria" w:cs="Arial"/>
          <w:sz w:val="20"/>
          <w:szCs w:val="20"/>
        </w:rPr>
        <w:t>the other 2 individuals that were under investigation</w:t>
      </w:r>
      <w:r w:rsidRPr="008D6E5C">
        <w:rPr>
          <w:rFonts w:ascii="Cambria" w:hAnsi="Cambria" w:cs="Arial"/>
          <w:sz w:val="20"/>
          <w:szCs w:val="20"/>
        </w:rPr>
        <w:t xml:space="preserve">, and that decision became final after being affirmed on appeal. </w:t>
      </w:r>
      <w:r w:rsidRPr="008D6E5C">
        <w:rPr>
          <w:rFonts w:ascii="Cambria" w:hAnsi="Cambria"/>
          <w:sz w:val="20"/>
          <w:szCs w:val="20"/>
        </w:rPr>
        <w:t>It stated that the</w:t>
      </w:r>
      <w:r w:rsidRPr="008D6E5C">
        <w:rPr>
          <w:rFonts w:ascii="Cambria" w:hAnsi="Cambria" w:cs="Arial"/>
          <w:sz w:val="20"/>
          <w:szCs w:val="20"/>
        </w:rPr>
        <w:t xml:space="preserve"> case was removed to the Single Criminal Court of the Specialized Circuit of Neiva. It stated that, after weighing the evidence in the case file, the court issued a decision on December 15, 2000 to acquit the defendants according to the principle of </w:t>
      </w:r>
      <w:r w:rsidRPr="008D6E5C">
        <w:rPr>
          <w:rFonts w:ascii="Cambria" w:hAnsi="Cambria" w:cs="Arial"/>
          <w:i/>
          <w:sz w:val="20"/>
          <w:szCs w:val="20"/>
        </w:rPr>
        <w:t xml:space="preserve">in </w:t>
      </w:r>
      <w:proofErr w:type="spellStart"/>
      <w:r w:rsidRPr="008D6E5C">
        <w:rPr>
          <w:rFonts w:ascii="Cambria" w:hAnsi="Cambria" w:cs="Arial"/>
          <w:i/>
          <w:sz w:val="20"/>
          <w:szCs w:val="20"/>
        </w:rPr>
        <w:t>dubio</w:t>
      </w:r>
      <w:proofErr w:type="spellEnd"/>
      <w:r w:rsidRPr="008D6E5C">
        <w:rPr>
          <w:rFonts w:ascii="Cambria" w:hAnsi="Cambria" w:cs="Arial"/>
          <w:i/>
          <w:sz w:val="20"/>
          <w:szCs w:val="20"/>
        </w:rPr>
        <w:t xml:space="preserve"> pro reo</w:t>
      </w:r>
      <w:r w:rsidRPr="008D6E5C">
        <w:rPr>
          <w:rFonts w:ascii="Cambria" w:hAnsi="Cambria" w:cs="Arial"/>
          <w:sz w:val="20"/>
          <w:szCs w:val="20"/>
        </w:rPr>
        <w:t>. It asserted that the Prosecutor’s Office filed an appeal, which was adjudicated by the Superior Court for the Judicial District of Neiva. It indicated that the Court upheld the lower court’s judgment in a decision dated April 6, 2001.</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color w:val="000000"/>
          <w:sz w:val="20"/>
          <w:szCs w:val="20"/>
        </w:rPr>
        <w:t xml:space="preserve">The State indicated that the Prosecutor’s Office </w:t>
      </w:r>
      <w:r w:rsidRPr="008D6E5C">
        <w:rPr>
          <w:rFonts w:ascii="Cambria" w:hAnsi="Cambria" w:cs="Arial"/>
          <w:sz w:val="20"/>
          <w:szCs w:val="20"/>
        </w:rPr>
        <w:t>asked the Public Ministry to examine the possibility of filing a motion before the Supreme Court for the reconsideration of the acquittal handed down by the Single Criminal Court of the Specialized Circuit of Neiva. It reported that in a decision dated April</w:t>
      </w:r>
      <w:r w:rsidRPr="008D6E5C">
        <w:rPr>
          <w:rFonts w:ascii="Cambria" w:hAnsi="Cambria"/>
          <w:color w:val="000000"/>
          <w:sz w:val="20"/>
          <w:szCs w:val="20"/>
        </w:rPr>
        <w:t xml:space="preserve"> 1, 2009, the Criminal Cassation Division of the Supreme Court ruled inadmissible the motion for reconsideration of the acquittal filed by the 161</w:t>
      </w:r>
      <w:r w:rsidRPr="008D6E5C">
        <w:rPr>
          <w:rFonts w:ascii="Cambria" w:hAnsi="Cambria"/>
          <w:color w:val="000000"/>
          <w:sz w:val="20"/>
          <w:szCs w:val="20"/>
          <w:vertAlign w:val="superscript"/>
        </w:rPr>
        <w:t>st</w:t>
      </w:r>
      <w:r w:rsidRPr="008D6E5C">
        <w:rPr>
          <w:rFonts w:ascii="Cambria" w:hAnsi="Cambria"/>
          <w:color w:val="000000"/>
          <w:sz w:val="20"/>
          <w:szCs w:val="20"/>
        </w:rPr>
        <w:t xml:space="preserve"> Office of the Criminal Prosecutor II.  </w:t>
      </w:r>
    </w:p>
    <w:p w:rsidR="00C0575F" w:rsidRPr="008D6E5C" w:rsidRDefault="00C0575F" w:rsidP="001520DB">
      <w:pPr>
        <w:ind w:firstLine="720"/>
        <w:jc w:val="both"/>
        <w:rPr>
          <w:rFonts w:ascii="Cambria" w:hAnsi="Cambria"/>
          <w:color w:val="000000"/>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The Colombian State indicated that the Prosecutor’s Office continues to investigate the matter in order to establish the facts of the case and identify the perpetrators. It also claimed that the State has no international responsibility for the case of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in view of the “absence of results with respect to the indictment, prosecution, and eventual punishment of the perpetrators,” given that it has complied with its obligation </w:t>
      </w:r>
      <w:r w:rsidRPr="008D6E5C">
        <w:rPr>
          <w:rFonts w:ascii="Cambria" w:hAnsi="Cambria"/>
          <w:sz w:val="20"/>
          <w:szCs w:val="20"/>
        </w:rPr>
        <w:t>to seek justice.</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The Colombian State asserted that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w:t>
      </w:r>
      <w:proofErr w:type="spellStart"/>
      <w:r w:rsidRPr="008D6E5C">
        <w:rPr>
          <w:rFonts w:ascii="Cambria" w:hAnsi="Cambria" w:cs="Arial"/>
          <w:sz w:val="20"/>
          <w:szCs w:val="20"/>
        </w:rPr>
        <w:t>Carvajal’s</w:t>
      </w:r>
      <w:proofErr w:type="spellEnd"/>
      <w:r w:rsidRPr="008D6E5C">
        <w:rPr>
          <w:rFonts w:ascii="Cambria" w:hAnsi="Cambria" w:cs="Arial"/>
          <w:sz w:val="20"/>
          <w:szCs w:val="20"/>
        </w:rPr>
        <w:t xml:space="preserve"> case was pursued at different levels with the participation of various judicial authorities, in accordance with Colombian criminal procedure and in observance of the legal and constitutional guarantees in force at the time of the events. It maintained that the fact that “the outcome of a criminal investigation fails to yield the effects desired by the petitioners cannot be understood as the result of a series of irregularities on the part of the judicial authorities in charge of directing the case.” In addition, it indicated that this cannot be considered a violation of the American Convention. </w:t>
      </w:r>
      <w:r w:rsidRPr="008D6E5C">
        <w:rPr>
          <w:rFonts w:ascii="Cambria" w:hAnsi="Cambria" w:cs="Arial"/>
          <w:sz w:val="20"/>
          <w:szCs w:val="20"/>
        </w:rPr>
        <w:softHyphen/>
      </w:r>
    </w:p>
    <w:p w:rsidR="00C0575F" w:rsidRPr="008D6E5C" w:rsidRDefault="00C0575F" w:rsidP="001520DB">
      <w:pPr>
        <w:pStyle w:val="ListParagraph"/>
        <w:ind w:left="0" w:firstLine="720"/>
        <w:rPr>
          <w:rFonts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Colombia indicated that, in view of the complexity of this matter, the procedural steps taken by the interested party, and the conduct of judicial authorities established by the Inter-American Court, the criminal investigation was not subject to improper delays. It explained that, although </w:t>
      </w:r>
      <w:proofErr w:type="spellStart"/>
      <w:r w:rsidRPr="008D6E5C">
        <w:rPr>
          <w:rFonts w:ascii="Cambria" w:hAnsi="Cambria" w:cs="Arial"/>
          <w:sz w:val="20"/>
          <w:szCs w:val="20"/>
        </w:rPr>
        <w:t>Carvajal’s</w:t>
      </w:r>
      <w:proofErr w:type="spellEnd"/>
      <w:r w:rsidRPr="008D6E5C">
        <w:rPr>
          <w:rFonts w:ascii="Cambria" w:hAnsi="Cambria" w:cs="Arial"/>
          <w:sz w:val="20"/>
          <w:szCs w:val="20"/>
        </w:rPr>
        <w:t xml:space="preserve"> relatives did not act as civil plaintiffs in the criminal proceedings, they also did not delay the investigations. With regard to the conduct of the investigating authorities, it stated that they were diligent and consistent in terms of their initiative and management of what it considered to be the investigation of some extremely complex facts. </w:t>
      </w:r>
    </w:p>
    <w:p w:rsidR="00C0575F" w:rsidRPr="008D6E5C" w:rsidRDefault="00C0575F" w:rsidP="001520DB">
      <w:pPr>
        <w:pStyle w:val="ListParagraph"/>
        <w:ind w:left="0" w:firstLine="720"/>
        <w:rPr>
          <w:rFonts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With regard to the complexity of the case, Colombia indicated that “it lies in the threats that have plagued this case, which have been directed against witnesses and relatives who might be able to contribute valuable information for the successful development of the investigation. This fear has hindered the investigative work of the Prosecutor’s Office, which has repeatedly had to reschedule court proceedings in view of the impossibility of obtaining information from witnesses because of the threats they have received.” It states that the consequences of these circumstances on the case were reflected in the time invested in the investigation, which exceeded the “working timelines previously established by the prosecutor and her team.” </w:t>
      </w:r>
    </w:p>
    <w:p w:rsidR="00C0575F" w:rsidRPr="008D6E5C" w:rsidRDefault="00C0575F" w:rsidP="001520DB">
      <w:pPr>
        <w:pStyle w:val="ListParagraph"/>
        <w:ind w:left="0"/>
        <w:rPr>
          <w:rFonts w:cs="Arial"/>
          <w:sz w:val="20"/>
          <w:szCs w:val="20"/>
        </w:rPr>
      </w:pPr>
    </w:p>
    <w:p w:rsidR="00C0575F" w:rsidRPr="008D6E5C" w:rsidRDefault="007F4783" w:rsidP="001520DB">
      <w:pPr>
        <w:keepNext/>
        <w:ind w:firstLine="720"/>
        <w:jc w:val="both"/>
        <w:rPr>
          <w:rFonts w:ascii="Cambria" w:hAnsi="Cambria" w:cs="Arial"/>
          <w:sz w:val="20"/>
          <w:szCs w:val="20"/>
        </w:rPr>
      </w:pPr>
      <w:r w:rsidRPr="008D6E5C">
        <w:rPr>
          <w:rFonts w:ascii="Cambria" w:hAnsi="Cambria"/>
          <w:b/>
          <w:sz w:val="20"/>
          <w:szCs w:val="20"/>
        </w:rPr>
        <w:t>A</w:t>
      </w:r>
      <w:r w:rsidR="00C0575F" w:rsidRPr="008D6E5C">
        <w:rPr>
          <w:rFonts w:ascii="Cambria" w:hAnsi="Cambria"/>
          <w:b/>
          <w:sz w:val="20"/>
          <w:szCs w:val="20"/>
        </w:rPr>
        <w:t>lleged violation of Article 4 of the American Convention</w:t>
      </w:r>
    </w:p>
    <w:p w:rsidR="00C0575F" w:rsidRPr="008D6E5C" w:rsidRDefault="00C0575F" w:rsidP="001520DB">
      <w:pPr>
        <w:pStyle w:val="ListParagraph"/>
        <w:keepNext/>
        <w:ind w:left="0" w:firstLine="720"/>
        <w:rPr>
          <w:rFonts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Colombia indicated that in the case of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both the State and the petitioner agree that the acts related to the alleged violation of the right to life are not attributable to State agents. As such, it maintains that it would be inadequate to evaluate alleged responsibility for the violation of the right to life according to the negative obligation set forth in Article 4 of the Convention that stipulates that no one shall be arbitrarily deprived of his or her life. </w:t>
      </w:r>
    </w:p>
    <w:p w:rsidR="00C0575F" w:rsidRPr="008D6E5C" w:rsidRDefault="00C0575F" w:rsidP="001520DB">
      <w:pPr>
        <w:ind w:firstLine="720"/>
        <w:jc w:val="both"/>
        <w:rPr>
          <w:rFonts w:ascii="Cambria" w:hAnsi="Cambria"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lastRenderedPageBreak/>
        <w:t xml:space="preserve">The State indicated that the act of practicing the profession of journalism cannot </w:t>
      </w:r>
      <w:r w:rsidRPr="008D6E5C">
        <w:rPr>
          <w:rFonts w:ascii="Cambria" w:hAnsi="Cambria" w:cs="Arial"/>
          <w:i/>
          <w:sz w:val="20"/>
          <w:szCs w:val="20"/>
        </w:rPr>
        <w:t>per se</w:t>
      </w:r>
      <w:r w:rsidRPr="008D6E5C">
        <w:rPr>
          <w:rFonts w:ascii="Cambria" w:hAnsi="Cambria" w:cs="Arial"/>
          <w:sz w:val="20"/>
          <w:szCs w:val="20"/>
        </w:rPr>
        <w:t xml:space="preserve"> be considered a real and immediate risk. It stated in this regard that the "risk" that must exist in order to presume State responsibility for the acts of third parties must be individual, real, and imminent, and that this was not the situation in Mr. </w:t>
      </w:r>
      <w:proofErr w:type="spellStart"/>
      <w:r w:rsidRPr="008D6E5C">
        <w:rPr>
          <w:rFonts w:ascii="Cambria" w:hAnsi="Cambria"/>
          <w:sz w:val="20"/>
          <w:szCs w:val="20"/>
        </w:rPr>
        <w:t>Carvajal’s</w:t>
      </w:r>
      <w:proofErr w:type="spellEnd"/>
      <w:r w:rsidRPr="008D6E5C">
        <w:rPr>
          <w:rFonts w:ascii="Cambria" w:hAnsi="Cambria"/>
          <w:sz w:val="20"/>
          <w:szCs w:val="20"/>
        </w:rPr>
        <w:t xml:space="preserve"> case</w:t>
      </w:r>
      <w:r w:rsidRPr="008D6E5C">
        <w:rPr>
          <w:rFonts w:ascii="Cambria" w:hAnsi="Cambria" w:cs="Arial"/>
          <w:sz w:val="20"/>
          <w:szCs w:val="20"/>
        </w:rPr>
        <w:t xml:space="preserve">. It further stated that there is no record of any complaints of threats filed by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or his relatives, </w:t>
      </w:r>
      <w:r w:rsidR="0012782E" w:rsidRPr="008D6E5C">
        <w:rPr>
          <w:rFonts w:ascii="Cambria" w:hAnsi="Cambria" w:cs="Arial"/>
          <w:sz w:val="20"/>
          <w:szCs w:val="20"/>
        </w:rPr>
        <w:t>or</w:t>
      </w:r>
      <w:r w:rsidRPr="008D6E5C">
        <w:rPr>
          <w:rFonts w:ascii="Cambria" w:hAnsi="Cambria" w:cs="Arial"/>
          <w:sz w:val="20"/>
          <w:szCs w:val="20"/>
        </w:rPr>
        <w:t xml:space="preserve"> any indication that the competent authorities had prior knowledge of the supposed real, imminent, and individual threat posed by third parties. </w:t>
      </w:r>
    </w:p>
    <w:p w:rsidR="00C0575F" w:rsidRPr="008D6E5C" w:rsidRDefault="00C0575F" w:rsidP="001520DB">
      <w:pPr>
        <w:pStyle w:val="ListParagraph"/>
        <w:ind w:left="0" w:firstLine="720"/>
        <w:rPr>
          <w:rFonts w:cs="Arial"/>
          <w:sz w:val="20"/>
          <w:szCs w:val="20"/>
        </w:rPr>
      </w:pPr>
    </w:p>
    <w:p w:rsidR="00C0575F" w:rsidRPr="008D6E5C" w:rsidRDefault="007F4783" w:rsidP="001520DB">
      <w:pPr>
        <w:keepNext/>
        <w:ind w:left="720"/>
        <w:jc w:val="both"/>
        <w:rPr>
          <w:rFonts w:ascii="Cambria" w:hAnsi="Cambria" w:cs="Arial"/>
          <w:sz w:val="20"/>
          <w:szCs w:val="20"/>
        </w:rPr>
      </w:pPr>
      <w:r w:rsidRPr="008D6E5C">
        <w:rPr>
          <w:rFonts w:ascii="Cambria" w:hAnsi="Cambria"/>
          <w:b/>
          <w:sz w:val="20"/>
          <w:szCs w:val="20"/>
        </w:rPr>
        <w:t>A</w:t>
      </w:r>
      <w:r w:rsidR="00C0575F" w:rsidRPr="008D6E5C">
        <w:rPr>
          <w:rFonts w:ascii="Cambria" w:hAnsi="Cambria"/>
          <w:b/>
          <w:sz w:val="20"/>
          <w:szCs w:val="20"/>
        </w:rPr>
        <w:t>lleged violation of Article 13 of the American Convention</w:t>
      </w:r>
    </w:p>
    <w:p w:rsidR="00C0575F" w:rsidRPr="008D6E5C" w:rsidRDefault="00C0575F" w:rsidP="001520DB">
      <w:pPr>
        <w:pStyle w:val="ListParagraph"/>
        <w:keepNext/>
        <w:ind w:left="0" w:firstLine="720"/>
        <w:rPr>
          <w:rFonts w:cs="Arial"/>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 xml:space="preserve">The Colombian State asserted that there was no violation of Article 13 in its individual aspect, since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had all the appropriate means and guarantees to state his opinions and the results of the journalistic investigations he was conducting, without any restriction or limitation. As for the societal aspect of the right to freedom of expression, the State contended that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had the opportunity in his work to exchange ideas and opinions with his colleagues in the practice of his profession as a journalist and to engage with the community and his radio audience. The State affirmed that the violent death of a journalist does not automatically entail the violation of the right to freedom of thought and expression. Additionally, it stated that the outcomes of the domestic proceedings did not provide “certainty with respect to the assertion that Mr. </w:t>
      </w:r>
      <w:proofErr w:type="spellStart"/>
      <w:r w:rsidRPr="008D6E5C">
        <w:rPr>
          <w:rFonts w:ascii="Cambria" w:hAnsi="Cambria" w:cs="Arial"/>
          <w:sz w:val="20"/>
          <w:szCs w:val="20"/>
        </w:rPr>
        <w:t>Carvajal’s</w:t>
      </w:r>
      <w:proofErr w:type="spellEnd"/>
      <w:r w:rsidRPr="008D6E5C">
        <w:rPr>
          <w:rFonts w:ascii="Cambria" w:hAnsi="Cambria" w:cs="Arial"/>
          <w:sz w:val="20"/>
          <w:szCs w:val="20"/>
        </w:rPr>
        <w:t xml:space="preserve"> death was directly related to his journalistic activities.”  </w:t>
      </w:r>
    </w:p>
    <w:p w:rsidR="00C0575F" w:rsidRPr="008D6E5C" w:rsidRDefault="00C0575F" w:rsidP="001520DB">
      <w:pPr>
        <w:ind w:firstLine="720"/>
        <w:jc w:val="both"/>
        <w:rPr>
          <w:rFonts w:ascii="Cambria" w:hAnsi="Cambria" w:cs="Arial"/>
          <w:sz w:val="20"/>
          <w:szCs w:val="20"/>
        </w:rPr>
      </w:pPr>
    </w:p>
    <w:p w:rsidR="00C0575F" w:rsidRPr="008D6E5C" w:rsidRDefault="00C0575F" w:rsidP="001520DB">
      <w:pPr>
        <w:pStyle w:val="Heading1"/>
        <w:spacing w:before="0"/>
        <w:ind w:left="1440" w:hanging="720"/>
        <w:rPr>
          <w:szCs w:val="20"/>
        </w:rPr>
      </w:pPr>
      <w:bookmarkStart w:id="12" w:name="_Toc416880379"/>
      <w:r w:rsidRPr="008D6E5C">
        <w:rPr>
          <w:szCs w:val="20"/>
        </w:rPr>
        <w:t>ESTABLISHED FACTS</w:t>
      </w:r>
      <w:bookmarkEnd w:id="12"/>
    </w:p>
    <w:p w:rsidR="00C0575F" w:rsidRPr="008D6E5C" w:rsidRDefault="00C0575F" w:rsidP="001520DB">
      <w:pPr>
        <w:pStyle w:val="ListParagraph"/>
        <w:shd w:val="clear" w:color="auto" w:fill="FFFFFF"/>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In application of Article 43(1) of its Rules of Procedure, the Commission the IACHR will examine the arguments and evidence provided by the petitioner and the State, as well as publicly available information.</w:t>
      </w:r>
      <w:r w:rsidRPr="008D6E5C">
        <w:rPr>
          <w:rFonts w:ascii="Cambria" w:hAnsi="Cambria"/>
          <w:sz w:val="20"/>
          <w:szCs w:val="20"/>
          <w:vertAlign w:val="superscript"/>
        </w:rPr>
        <w:footnoteReference w:id="4"/>
      </w:r>
      <w:r w:rsidRPr="008D6E5C">
        <w:rPr>
          <w:rFonts w:ascii="Cambria" w:hAnsi="Cambria"/>
          <w:sz w:val="20"/>
          <w:szCs w:val="20"/>
        </w:rPr>
        <w:t xml:space="preserve"> The latter may include laws, orders, and other regulatory acts in force in Colombia at the time of the events at issue in this case.</w:t>
      </w:r>
    </w:p>
    <w:p w:rsidR="00C0575F" w:rsidRPr="008D6E5C" w:rsidRDefault="00C0575F" w:rsidP="001520DB">
      <w:pPr>
        <w:pStyle w:val="ListParagraph"/>
        <w:shd w:val="clear" w:color="auto" w:fill="FFFFFF"/>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sz w:val="20"/>
          <w:szCs w:val="20"/>
        </w:rPr>
        <w:t>The Commission notes that the State has maintained that it is not responsible for</w:t>
      </w:r>
      <w:r w:rsidRPr="008D6E5C">
        <w:rPr>
          <w:rFonts w:ascii="Cambria" w:hAnsi="Cambria"/>
          <w:color w:val="000000"/>
          <w:sz w:val="20"/>
          <w:szCs w:val="20"/>
        </w:rPr>
        <w:t xml:space="preserve"> the violations alleged by the petitioner. The parties submitted consistent information on the death, and the initial facts are not in dispute. </w:t>
      </w:r>
    </w:p>
    <w:p w:rsidR="00C0575F" w:rsidRPr="008D6E5C" w:rsidRDefault="00C0575F" w:rsidP="001520DB">
      <w:pPr>
        <w:pStyle w:val="ListParagraph"/>
        <w:shd w:val="clear" w:color="auto" w:fill="FFFFFF"/>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 Commission additionally observes that, as the Inter-American Court has established since its first judgment, the criteria for the weighing of evidence by an international body are less formal than in domestic legal systems.  The Court has held that, due to the special seriousness of attributing human rights violations to a State Party to the Convention, the human rights protection bodies must apply a standard of proof that takes account of that seriousness and, without prejudice thereto, is capable of establishing the truth of the allegations in a convincing manner.</w:t>
      </w:r>
      <w:r w:rsidRPr="008D6E5C">
        <w:rPr>
          <w:rFonts w:ascii="Cambria" w:hAnsi="Cambria"/>
          <w:color w:val="000000"/>
          <w:sz w:val="20"/>
          <w:szCs w:val="20"/>
          <w:vertAlign w:val="superscript"/>
        </w:rPr>
        <w:footnoteReference w:id="5"/>
      </w:r>
      <w:r w:rsidRPr="008D6E5C">
        <w:rPr>
          <w:rFonts w:ascii="Cambria" w:hAnsi="Cambria"/>
          <w:sz w:val="20"/>
          <w:szCs w:val="20"/>
        </w:rPr>
        <w:t xml:space="preserve"> Along these lines, the Court has established that “The practice of international and domestic courts shows that direct evidence, whether testimonial or documentary, is not the only type of evidence that may be legitimately considered in reaching a decision.  Circumstantial evidence, indicia, and presumptions may be considered, so long as they lead to conclusions consistent with the facts.”</w:t>
      </w:r>
      <w:r w:rsidRPr="008D6E5C">
        <w:rPr>
          <w:rFonts w:ascii="Cambria" w:hAnsi="Cambria"/>
          <w:color w:val="000000"/>
          <w:sz w:val="20"/>
          <w:szCs w:val="20"/>
          <w:vertAlign w:val="superscript"/>
        </w:rPr>
        <w:footnoteReference w:id="6"/>
      </w:r>
      <w:r w:rsidRPr="008D6E5C">
        <w:rPr>
          <w:rFonts w:ascii="Cambria" w:hAnsi="Cambria"/>
          <w:sz w:val="20"/>
          <w:szCs w:val="20"/>
        </w:rPr>
        <w:t xml:space="preserve"> The Court has further stated that </w:t>
      </w:r>
      <w:r w:rsidRPr="008D6E5C">
        <w:rPr>
          <w:rFonts w:ascii="Cambria" w:hAnsi="Cambria"/>
          <w:color w:val="000000"/>
          <w:sz w:val="20"/>
          <w:szCs w:val="20"/>
        </w:rPr>
        <w:t>“In contrast to domestic criminal law, in proceedings to determine human rights violations the State cannot rely on the defense that the complainant has failed to present evidence when it cannot be obtained without the State's cooperation.”</w:t>
      </w:r>
      <w:r w:rsidRPr="008D6E5C">
        <w:rPr>
          <w:rFonts w:ascii="Cambria" w:hAnsi="Cambria"/>
          <w:color w:val="000000"/>
          <w:sz w:val="20"/>
          <w:szCs w:val="20"/>
          <w:vertAlign w:val="superscript"/>
        </w:rPr>
        <w:footnoteReference w:id="7"/>
      </w:r>
    </w:p>
    <w:p w:rsidR="00C0575F" w:rsidRPr="008D6E5C" w:rsidRDefault="00C0575F" w:rsidP="001520DB">
      <w:pPr>
        <w:pStyle w:val="ListParagraph"/>
        <w:shd w:val="clear" w:color="auto" w:fill="FFFFFF"/>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MinionPro-Regular"/>
          <w:sz w:val="20"/>
          <w:szCs w:val="20"/>
        </w:rPr>
      </w:pPr>
      <w:r w:rsidRPr="008D6E5C">
        <w:rPr>
          <w:rFonts w:ascii="Cambria" w:hAnsi="Cambria"/>
          <w:sz w:val="20"/>
          <w:szCs w:val="20"/>
        </w:rPr>
        <w:t xml:space="preserve">The Commission reiterates that the purpose of this report is to examine the alleged international responsibility of the State for the violation of rights enshrined in the American Convention. In this regard, the Inter-American Court has explained repeatedly that </w:t>
      </w:r>
      <w:r w:rsidRPr="008D6E5C">
        <w:rPr>
          <w:rFonts w:ascii="Cambria" w:hAnsi="Cambria" w:cs="MinionPro-Regular"/>
          <w:sz w:val="20"/>
          <w:szCs w:val="20"/>
        </w:rPr>
        <w:t>“The objective of international human rights law is not to punish those individuals who are guilty of violations, but rather to protect the victims and to provide for the reparation of damages resulting from the acts of the States responsible.”</w:t>
      </w:r>
      <w:r w:rsidRPr="008D6E5C">
        <w:rPr>
          <w:rFonts w:ascii="Cambria" w:hAnsi="Cambria" w:cs="MinionPro-Regular"/>
          <w:sz w:val="20"/>
          <w:szCs w:val="20"/>
          <w:vertAlign w:val="superscript"/>
        </w:rPr>
        <w:footnoteReference w:id="8"/>
      </w:r>
    </w:p>
    <w:p w:rsidR="00C0575F" w:rsidRPr="008D6E5C" w:rsidRDefault="00C0575F" w:rsidP="001520DB">
      <w:pPr>
        <w:pStyle w:val="ListParagraph"/>
        <w:ind w:left="0" w:firstLine="720"/>
        <w:jc w:val="both"/>
        <w:rPr>
          <w:b/>
          <w:sz w:val="20"/>
          <w:szCs w:val="20"/>
        </w:rPr>
      </w:pPr>
    </w:p>
    <w:p w:rsidR="00C0575F" w:rsidRPr="008D6E5C" w:rsidRDefault="00C0575F" w:rsidP="001E4690">
      <w:pPr>
        <w:pStyle w:val="Heading2"/>
        <w:keepLines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ind w:left="1440" w:hanging="720"/>
        <w:jc w:val="both"/>
        <w:rPr>
          <w:szCs w:val="20"/>
        </w:rPr>
      </w:pPr>
      <w:bookmarkStart w:id="13" w:name="_Toc412478084"/>
      <w:bookmarkStart w:id="14" w:name="_Toc412536244"/>
      <w:bookmarkStart w:id="15" w:name="_Toc412539534"/>
      <w:bookmarkStart w:id="16" w:name="_Toc416880380"/>
      <w:r w:rsidRPr="008D6E5C">
        <w:rPr>
          <w:szCs w:val="20"/>
        </w:rPr>
        <w:t xml:space="preserve">The murder of Nelson </w:t>
      </w:r>
      <w:proofErr w:type="spellStart"/>
      <w:r w:rsidRPr="008D6E5C">
        <w:rPr>
          <w:szCs w:val="20"/>
        </w:rPr>
        <w:t>Carvajal</w:t>
      </w:r>
      <w:proofErr w:type="spellEnd"/>
      <w:r w:rsidRPr="008D6E5C">
        <w:rPr>
          <w:szCs w:val="20"/>
        </w:rPr>
        <w:t xml:space="preserve"> </w:t>
      </w:r>
      <w:proofErr w:type="spellStart"/>
      <w:r w:rsidRPr="008D6E5C">
        <w:rPr>
          <w:szCs w:val="20"/>
        </w:rPr>
        <w:t>Carvajal</w:t>
      </w:r>
      <w:bookmarkEnd w:id="13"/>
      <w:bookmarkEnd w:id="14"/>
      <w:bookmarkEnd w:id="15"/>
      <w:bookmarkEnd w:id="16"/>
      <w:proofErr w:type="spellEnd"/>
    </w:p>
    <w:p w:rsidR="00C0575F" w:rsidRPr="008D6E5C" w:rsidRDefault="00C0575F" w:rsidP="001520DB">
      <w:pPr>
        <w:pStyle w:val="ListParagraph"/>
        <w:keepNext/>
        <w:widowControl w:val="0"/>
        <w:ind w:left="0" w:firstLine="720"/>
        <w:jc w:val="both"/>
        <w:rPr>
          <w:b/>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April 16, 1998, Mr.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was murdered as he was leaving the Los </w:t>
      </w:r>
      <w:proofErr w:type="spellStart"/>
      <w:r w:rsidRPr="008D6E5C">
        <w:rPr>
          <w:rFonts w:ascii="Cambria" w:hAnsi="Cambria"/>
          <w:sz w:val="20"/>
          <w:szCs w:val="20"/>
        </w:rPr>
        <w:t>Pinos</w:t>
      </w:r>
      <w:proofErr w:type="spellEnd"/>
      <w:r w:rsidRPr="008D6E5C">
        <w:rPr>
          <w:rFonts w:ascii="Cambria" w:hAnsi="Cambria"/>
          <w:sz w:val="20"/>
          <w:szCs w:val="20"/>
        </w:rPr>
        <w:t xml:space="preserve"> School. According to the case file, a man shot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seven times and then escaped on a motorcycle with another man who was waiting for him.</w:t>
      </w:r>
      <w:r w:rsidRPr="008D6E5C">
        <w:rPr>
          <w:rStyle w:val="FootnoteReference"/>
          <w:rFonts w:ascii="Cambria" w:hAnsi="Cambria"/>
          <w:sz w:val="20"/>
          <w:szCs w:val="20"/>
        </w:rPr>
        <w:footnoteReference w:id="9"/>
      </w:r>
    </w:p>
    <w:p w:rsidR="00C0575F" w:rsidRPr="008D6E5C" w:rsidRDefault="00C0575F" w:rsidP="001520DB">
      <w:pPr>
        <w:shd w:val="clear" w:color="auto" w:fill="FFFFFF"/>
        <w:ind w:firstLine="720"/>
        <w:jc w:val="both"/>
        <w:rPr>
          <w:rFonts w:ascii="Cambria" w:hAnsi="Cambria"/>
          <w:sz w:val="20"/>
          <w:szCs w:val="20"/>
          <w:lang w:eastAsia="es-CO"/>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was </w:t>
      </w:r>
      <w:r w:rsidRPr="008D6E5C">
        <w:rPr>
          <w:rFonts w:ascii="Cambria" w:hAnsi="Cambria" w:cs="Arial"/>
          <w:color w:val="000000"/>
          <w:sz w:val="20"/>
          <w:szCs w:val="20"/>
        </w:rPr>
        <w:t>the director of the news program “</w:t>
      </w:r>
      <w:proofErr w:type="spellStart"/>
      <w:r w:rsidRPr="008D6E5C">
        <w:rPr>
          <w:rFonts w:ascii="Cambria" w:hAnsi="Cambria" w:cs="Arial"/>
          <w:color w:val="000000"/>
          <w:sz w:val="20"/>
          <w:szCs w:val="20"/>
        </w:rPr>
        <w:t>Momento</w:t>
      </w:r>
      <w:proofErr w:type="spellEnd"/>
      <w:r w:rsidRPr="008D6E5C">
        <w:rPr>
          <w:rFonts w:ascii="Cambria" w:hAnsi="Cambria" w:cs="Arial"/>
          <w:color w:val="000000"/>
          <w:sz w:val="20"/>
          <w:szCs w:val="20"/>
        </w:rPr>
        <w:t xml:space="preserve"> Regional” and the radio magazine programs “</w:t>
      </w:r>
      <w:proofErr w:type="spellStart"/>
      <w:r w:rsidRPr="008D6E5C">
        <w:rPr>
          <w:rFonts w:ascii="Cambria" w:hAnsi="Cambria" w:cs="Arial"/>
          <w:color w:val="000000"/>
          <w:sz w:val="20"/>
          <w:szCs w:val="20"/>
        </w:rPr>
        <w:t>Mirador</w:t>
      </w:r>
      <w:proofErr w:type="spellEnd"/>
      <w:r w:rsidRPr="008D6E5C">
        <w:rPr>
          <w:rFonts w:ascii="Cambria" w:hAnsi="Cambria" w:cs="Arial"/>
          <w:color w:val="000000"/>
          <w:sz w:val="20"/>
          <w:szCs w:val="20"/>
        </w:rPr>
        <w:t xml:space="preserve"> de la </w:t>
      </w:r>
      <w:proofErr w:type="spellStart"/>
      <w:r w:rsidRPr="008D6E5C">
        <w:rPr>
          <w:rFonts w:ascii="Cambria" w:hAnsi="Cambria" w:cs="Arial"/>
          <w:color w:val="000000"/>
          <w:sz w:val="20"/>
          <w:szCs w:val="20"/>
        </w:rPr>
        <w:t>Semana</w:t>
      </w:r>
      <w:proofErr w:type="spellEnd"/>
      <w:r w:rsidRPr="008D6E5C">
        <w:rPr>
          <w:rFonts w:ascii="Cambria" w:hAnsi="Cambria" w:cs="Arial"/>
          <w:color w:val="000000"/>
          <w:sz w:val="20"/>
          <w:szCs w:val="20"/>
        </w:rPr>
        <w:t>,” “</w:t>
      </w:r>
      <w:proofErr w:type="spellStart"/>
      <w:r w:rsidRPr="008D6E5C">
        <w:rPr>
          <w:rFonts w:ascii="Cambria" w:hAnsi="Cambria" w:cs="Arial"/>
          <w:color w:val="000000"/>
          <w:sz w:val="20"/>
          <w:szCs w:val="20"/>
        </w:rPr>
        <w:t>Amanecer</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en</w:t>
      </w:r>
      <w:proofErr w:type="spellEnd"/>
      <w:r w:rsidRPr="008D6E5C">
        <w:rPr>
          <w:rFonts w:ascii="Cambria" w:hAnsi="Cambria" w:cs="Arial"/>
          <w:color w:val="000000"/>
          <w:sz w:val="20"/>
          <w:szCs w:val="20"/>
        </w:rPr>
        <w:t xml:space="preserve"> el Campo,” and “</w:t>
      </w:r>
      <w:proofErr w:type="spellStart"/>
      <w:r w:rsidRPr="008D6E5C">
        <w:rPr>
          <w:rFonts w:ascii="Cambria" w:hAnsi="Cambria" w:cs="Arial"/>
          <w:color w:val="000000"/>
          <w:sz w:val="20"/>
          <w:szCs w:val="20"/>
        </w:rPr>
        <w:t>Tribuna</w:t>
      </w:r>
      <w:proofErr w:type="spellEnd"/>
      <w:r w:rsidRPr="008D6E5C">
        <w:rPr>
          <w:rFonts w:ascii="Cambria" w:hAnsi="Cambria" w:cs="Arial"/>
          <w:color w:val="000000"/>
          <w:sz w:val="20"/>
          <w:szCs w:val="20"/>
        </w:rPr>
        <w:t xml:space="preserve"> </w:t>
      </w:r>
      <w:proofErr w:type="spellStart"/>
      <w:r w:rsidRPr="008D6E5C">
        <w:rPr>
          <w:rFonts w:ascii="Cambria" w:hAnsi="Cambria" w:cs="Arial"/>
          <w:color w:val="000000"/>
          <w:sz w:val="20"/>
          <w:szCs w:val="20"/>
        </w:rPr>
        <w:t>Médica</w:t>
      </w:r>
      <w:proofErr w:type="spellEnd"/>
      <w:r w:rsidRPr="008D6E5C">
        <w:rPr>
          <w:rFonts w:ascii="Cambria" w:hAnsi="Cambria" w:cs="Arial"/>
          <w:color w:val="000000"/>
          <w:sz w:val="20"/>
          <w:szCs w:val="20"/>
        </w:rPr>
        <w:t xml:space="preserve">” of the </w:t>
      </w:r>
      <w:r w:rsidRPr="008D6E5C">
        <w:rPr>
          <w:rFonts w:ascii="Cambria" w:hAnsi="Cambria" w:cs="Arial"/>
          <w:i/>
          <w:color w:val="000000"/>
          <w:sz w:val="20"/>
          <w:szCs w:val="20"/>
        </w:rPr>
        <w:t xml:space="preserve">Radio Sur </w:t>
      </w:r>
      <w:r w:rsidRPr="008D6E5C">
        <w:rPr>
          <w:rFonts w:ascii="Cambria" w:hAnsi="Cambria" w:cs="Arial"/>
          <w:color w:val="000000"/>
          <w:sz w:val="20"/>
          <w:szCs w:val="20"/>
        </w:rPr>
        <w:t xml:space="preserve">radio station in the municipality of </w:t>
      </w:r>
      <w:proofErr w:type="spellStart"/>
      <w:r w:rsidRPr="008D6E5C">
        <w:rPr>
          <w:rFonts w:ascii="Cambria" w:hAnsi="Cambria" w:cs="Arial"/>
          <w:color w:val="000000"/>
          <w:sz w:val="20"/>
          <w:szCs w:val="20"/>
        </w:rPr>
        <w:t>Pitalito</w:t>
      </w:r>
      <w:proofErr w:type="spellEnd"/>
      <w:r w:rsidRPr="008D6E5C">
        <w:rPr>
          <w:rFonts w:ascii="Cambria" w:hAnsi="Cambria" w:cs="Arial"/>
          <w:color w:val="000000"/>
          <w:sz w:val="20"/>
          <w:szCs w:val="20"/>
        </w:rPr>
        <w:t>, department of Huila</w:t>
      </w:r>
      <w:r w:rsidRPr="008D6E5C">
        <w:rPr>
          <w:rFonts w:ascii="Cambria" w:hAnsi="Cambria"/>
          <w:sz w:val="20"/>
          <w:szCs w:val="20"/>
        </w:rPr>
        <w:t>. He reported on issues of local interest, particularly on irregularities in the management of public funds, allegations of corruption, and the laundering of money from drug trafficking in the area.</w:t>
      </w:r>
      <w:r w:rsidRPr="008D6E5C">
        <w:rPr>
          <w:rStyle w:val="FootnoteReference"/>
          <w:rFonts w:ascii="Cambria" w:hAnsi="Cambria"/>
          <w:sz w:val="20"/>
          <w:szCs w:val="20"/>
        </w:rPr>
        <w:footnoteReference w:id="10"/>
      </w:r>
    </w:p>
    <w:p w:rsidR="00C0575F" w:rsidRPr="008D6E5C" w:rsidRDefault="00C0575F" w:rsidP="001520DB">
      <w:pPr>
        <w:shd w:val="clear" w:color="auto" w:fill="FFFFFF"/>
        <w:ind w:firstLine="720"/>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In addition to his journalistic work, Mr. </w:t>
      </w:r>
      <w:proofErr w:type="spellStart"/>
      <w:r w:rsidRPr="008D6E5C">
        <w:rPr>
          <w:rFonts w:ascii="Cambria" w:hAnsi="Cambria"/>
          <w:sz w:val="20"/>
          <w:szCs w:val="20"/>
        </w:rPr>
        <w:t>Carvajal</w:t>
      </w:r>
      <w:proofErr w:type="spellEnd"/>
      <w:r w:rsidRPr="008D6E5C">
        <w:rPr>
          <w:rFonts w:ascii="Cambria" w:hAnsi="Cambria"/>
          <w:sz w:val="20"/>
          <w:szCs w:val="20"/>
        </w:rPr>
        <w:t xml:space="preserve"> was a teacher and the principal of the Los </w:t>
      </w:r>
      <w:proofErr w:type="spellStart"/>
      <w:r w:rsidRPr="008D6E5C">
        <w:rPr>
          <w:rFonts w:ascii="Cambria" w:hAnsi="Cambria"/>
          <w:sz w:val="20"/>
          <w:szCs w:val="20"/>
        </w:rPr>
        <w:t>Pinos</w:t>
      </w:r>
      <w:proofErr w:type="spellEnd"/>
      <w:r w:rsidRPr="008D6E5C">
        <w:rPr>
          <w:rFonts w:ascii="Cambria" w:hAnsi="Cambria"/>
          <w:sz w:val="20"/>
          <w:szCs w:val="20"/>
        </w:rPr>
        <w:t xml:space="preserve"> School</w:t>
      </w:r>
      <w:r w:rsidRPr="008D6E5C">
        <w:rPr>
          <w:rStyle w:val="FootnoteReference"/>
          <w:rFonts w:ascii="Cambria" w:hAnsi="Cambria"/>
          <w:sz w:val="20"/>
          <w:szCs w:val="20"/>
        </w:rPr>
        <w:footnoteReference w:id="11"/>
      </w:r>
      <w:r w:rsidRPr="008D6E5C">
        <w:rPr>
          <w:rFonts w:ascii="Cambria" w:hAnsi="Cambria"/>
          <w:sz w:val="20"/>
          <w:szCs w:val="20"/>
        </w:rPr>
        <w:t xml:space="preserve"> and also served on the </w:t>
      </w:r>
      <w:proofErr w:type="spellStart"/>
      <w:r w:rsidRPr="008D6E5C">
        <w:rPr>
          <w:rFonts w:ascii="Cambria" w:hAnsi="Cambria"/>
          <w:sz w:val="20"/>
          <w:szCs w:val="20"/>
        </w:rPr>
        <w:t>Pitalito</w:t>
      </w:r>
      <w:proofErr w:type="spellEnd"/>
      <w:r w:rsidRPr="008D6E5C">
        <w:rPr>
          <w:rFonts w:ascii="Cambria" w:hAnsi="Cambria"/>
          <w:sz w:val="20"/>
          <w:szCs w:val="20"/>
        </w:rPr>
        <w:t xml:space="preserve"> town council during the 1992-1994 and 1995-1997 terms.</w:t>
      </w:r>
      <w:r w:rsidRPr="008D6E5C">
        <w:rPr>
          <w:rStyle w:val="FootnoteReference"/>
          <w:rFonts w:ascii="Cambria" w:hAnsi="Cambria"/>
          <w:sz w:val="20"/>
          <w:szCs w:val="20"/>
        </w:rPr>
        <w:footnoteReference w:id="12"/>
      </w:r>
    </w:p>
    <w:p w:rsidR="00C0575F" w:rsidRPr="008D6E5C" w:rsidRDefault="00C0575F" w:rsidP="001520DB">
      <w:pPr>
        <w:ind w:firstLine="720"/>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olor w:val="000000"/>
          <w:sz w:val="20"/>
          <w:szCs w:val="20"/>
        </w:rPr>
        <w:t>As stated in the case file</w:t>
      </w:r>
      <w:r w:rsidRPr="008D6E5C">
        <w:rPr>
          <w:rFonts w:ascii="Cambria" w:hAnsi="Cambria"/>
          <w:sz w:val="20"/>
          <w:szCs w:val="20"/>
        </w:rPr>
        <w:t xml:space="preserve">,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was married to Luz </w:t>
      </w:r>
      <w:r w:rsidR="00E25B25" w:rsidRPr="008D6E5C">
        <w:rPr>
          <w:rFonts w:ascii="Cambria" w:hAnsi="Cambria"/>
          <w:sz w:val="20"/>
          <w:szCs w:val="20"/>
        </w:rPr>
        <w:t>Stella</w:t>
      </w:r>
      <w:r w:rsidRPr="008D6E5C">
        <w:rPr>
          <w:rFonts w:ascii="Cambria" w:hAnsi="Cambria"/>
          <w:sz w:val="20"/>
          <w:szCs w:val="20"/>
        </w:rPr>
        <w:t xml:space="preserve"> </w:t>
      </w:r>
      <w:proofErr w:type="spellStart"/>
      <w:r w:rsidRPr="008D6E5C">
        <w:rPr>
          <w:rFonts w:ascii="Cambria" w:hAnsi="Cambria"/>
          <w:sz w:val="20"/>
          <w:szCs w:val="20"/>
        </w:rPr>
        <w:t>Bolaños</w:t>
      </w:r>
      <w:proofErr w:type="spellEnd"/>
      <w:r w:rsidRPr="008D6E5C">
        <w:rPr>
          <w:rFonts w:ascii="Cambria" w:hAnsi="Cambria"/>
          <w:sz w:val="20"/>
          <w:szCs w:val="20"/>
        </w:rPr>
        <w:t xml:space="preserve"> Rodríguez and had three daughters: Paola Andrea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Bolaños</w:t>
      </w:r>
      <w:proofErr w:type="spellEnd"/>
      <w:r w:rsidRPr="008D6E5C">
        <w:rPr>
          <w:rFonts w:ascii="Cambria" w:hAnsi="Cambria"/>
          <w:sz w:val="20"/>
          <w:szCs w:val="20"/>
        </w:rPr>
        <w:t xml:space="preserve">, </w:t>
      </w:r>
      <w:proofErr w:type="spellStart"/>
      <w:r w:rsidRPr="008D6E5C">
        <w:rPr>
          <w:rFonts w:ascii="Cambria" w:hAnsi="Cambria"/>
          <w:sz w:val="20"/>
          <w:szCs w:val="20"/>
        </w:rPr>
        <w:t>María</w:t>
      </w:r>
      <w:proofErr w:type="spellEnd"/>
      <w:r w:rsidRPr="008D6E5C">
        <w:rPr>
          <w:rFonts w:ascii="Cambria" w:hAnsi="Cambria"/>
          <w:sz w:val="20"/>
          <w:szCs w:val="20"/>
        </w:rPr>
        <w:t xml:space="preserve"> Alejandra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Bolaños</w:t>
      </w:r>
      <w:proofErr w:type="spellEnd"/>
      <w:r w:rsidRPr="008D6E5C">
        <w:rPr>
          <w:rFonts w:ascii="Cambria" w:hAnsi="Cambria"/>
          <w:sz w:val="20"/>
          <w:szCs w:val="20"/>
        </w:rPr>
        <w:t xml:space="preserve">, and </w:t>
      </w:r>
      <w:proofErr w:type="spellStart"/>
      <w:r w:rsidRPr="008D6E5C">
        <w:rPr>
          <w:rFonts w:ascii="Cambria" w:hAnsi="Cambria"/>
          <w:sz w:val="20"/>
          <w:szCs w:val="20"/>
        </w:rPr>
        <w:t>Yaneth</w:t>
      </w:r>
      <w:proofErr w:type="spellEnd"/>
      <w:r w:rsidRPr="008D6E5C">
        <w:rPr>
          <w:rFonts w:ascii="Cambria" w:hAnsi="Cambria"/>
          <w:sz w:val="20"/>
          <w:szCs w:val="20"/>
        </w:rPr>
        <w:t xml:space="preserve"> Cristina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Ardila</w:t>
      </w:r>
      <w:proofErr w:type="spellEnd"/>
      <w:r w:rsidRPr="008D6E5C">
        <w:rPr>
          <w:rFonts w:ascii="Cambria" w:hAnsi="Cambria"/>
          <w:sz w:val="20"/>
          <w:szCs w:val="20"/>
        </w:rPr>
        <w:t xml:space="preserve">. He had five sisters: Judith, Gloria Mercedes, Ruth </w:t>
      </w:r>
      <w:proofErr w:type="spellStart"/>
      <w:r w:rsidRPr="008D6E5C">
        <w:rPr>
          <w:rFonts w:ascii="Cambria" w:hAnsi="Cambria"/>
          <w:sz w:val="20"/>
          <w:szCs w:val="20"/>
        </w:rPr>
        <w:t>Dary</w:t>
      </w:r>
      <w:proofErr w:type="spellEnd"/>
      <w:r w:rsidRPr="008D6E5C">
        <w:rPr>
          <w:rFonts w:ascii="Cambria" w:hAnsi="Cambria"/>
          <w:sz w:val="20"/>
          <w:szCs w:val="20"/>
        </w:rPr>
        <w:t xml:space="preserve">, Luz </w:t>
      </w:r>
      <w:proofErr w:type="spellStart"/>
      <w:r w:rsidRPr="008D6E5C">
        <w:rPr>
          <w:rFonts w:ascii="Cambria" w:hAnsi="Cambria"/>
          <w:sz w:val="20"/>
          <w:szCs w:val="20"/>
        </w:rPr>
        <w:t>Eny</w:t>
      </w:r>
      <w:proofErr w:type="spellEnd"/>
      <w:r w:rsidRPr="008D6E5C">
        <w:rPr>
          <w:rFonts w:ascii="Cambria" w:hAnsi="Cambria"/>
          <w:sz w:val="20"/>
          <w:szCs w:val="20"/>
        </w:rPr>
        <w:t xml:space="preserve">, and Miriam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two brothers, Fernando Augusto and </w:t>
      </w:r>
      <w:proofErr w:type="spellStart"/>
      <w:r w:rsidRPr="008D6E5C">
        <w:rPr>
          <w:rFonts w:ascii="Cambria" w:hAnsi="Cambria"/>
          <w:sz w:val="20"/>
          <w:szCs w:val="20"/>
        </w:rPr>
        <w:t>Saúl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as well as two nephews, </w:t>
      </w:r>
      <w:proofErr w:type="spellStart"/>
      <w:r w:rsidRPr="008D6E5C">
        <w:rPr>
          <w:rFonts w:ascii="Cambria" w:hAnsi="Cambria"/>
          <w:sz w:val="20"/>
          <w:szCs w:val="20"/>
        </w:rPr>
        <w:t>Cristhian</w:t>
      </w:r>
      <w:proofErr w:type="spellEnd"/>
      <w:r w:rsidRPr="008D6E5C">
        <w:rPr>
          <w:rFonts w:ascii="Cambria" w:hAnsi="Cambria"/>
          <w:sz w:val="20"/>
          <w:szCs w:val="20"/>
        </w:rPr>
        <w:t xml:space="preserve"> Camilo Motta </w:t>
      </w:r>
      <w:proofErr w:type="spellStart"/>
      <w:r w:rsidRPr="008D6E5C">
        <w:rPr>
          <w:rFonts w:ascii="Cambria" w:hAnsi="Cambria"/>
          <w:sz w:val="20"/>
          <w:szCs w:val="20"/>
        </w:rPr>
        <w:t>Carvajal</w:t>
      </w:r>
      <w:proofErr w:type="spellEnd"/>
      <w:r w:rsidRPr="008D6E5C">
        <w:rPr>
          <w:rFonts w:ascii="Cambria" w:hAnsi="Cambria"/>
          <w:sz w:val="20"/>
          <w:szCs w:val="20"/>
        </w:rPr>
        <w:t xml:space="preserve"> and César Augusto </w:t>
      </w:r>
      <w:proofErr w:type="spellStart"/>
      <w:r w:rsidRPr="008D6E5C">
        <w:rPr>
          <w:rFonts w:ascii="Cambria" w:hAnsi="Cambria"/>
          <w:sz w:val="20"/>
          <w:szCs w:val="20"/>
        </w:rPr>
        <w:t>Meneses</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His father was Jairo </w:t>
      </w:r>
      <w:proofErr w:type="spellStart"/>
      <w:r w:rsidRPr="008D6E5C">
        <w:rPr>
          <w:rFonts w:ascii="Cambria" w:hAnsi="Cambria"/>
          <w:sz w:val="20"/>
          <w:szCs w:val="20"/>
        </w:rPr>
        <w:t>Carvajal</w:t>
      </w:r>
      <w:proofErr w:type="spellEnd"/>
      <w:r w:rsidRPr="008D6E5C">
        <w:rPr>
          <w:rFonts w:ascii="Cambria" w:hAnsi="Cambria"/>
          <w:sz w:val="20"/>
          <w:szCs w:val="20"/>
        </w:rPr>
        <w:t xml:space="preserve"> Cabrera, and his mother was Ana Francisca </w:t>
      </w:r>
      <w:proofErr w:type="spellStart"/>
      <w:r w:rsidRPr="008D6E5C">
        <w:rPr>
          <w:rFonts w:ascii="Cambria" w:hAnsi="Cambria"/>
          <w:sz w:val="20"/>
          <w:szCs w:val="20"/>
        </w:rPr>
        <w:t>Carvajal</w:t>
      </w:r>
      <w:proofErr w:type="spellEnd"/>
      <w:r w:rsidRPr="008D6E5C">
        <w:rPr>
          <w:rFonts w:ascii="Cambria" w:hAnsi="Cambria"/>
          <w:sz w:val="20"/>
          <w:szCs w:val="20"/>
        </w:rPr>
        <w:t xml:space="preserve"> de </w:t>
      </w:r>
      <w:proofErr w:type="spellStart"/>
      <w:r w:rsidRPr="008D6E5C">
        <w:rPr>
          <w:rFonts w:ascii="Cambria" w:hAnsi="Cambria"/>
          <w:sz w:val="20"/>
          <w:szCs w:val="20"/>
        </w:rPr>
        <w:t>Carvajal</w:t>
      </w:r>
      <w:proofErr w:type="spellEnd"/>
      <w:r w:rsidRPr="008D6E5C">
        <w:rPr>
          <w:rFonts w:ascii="Cambria" w:hAnsi="Cambria"/>
          <w:sz w:val="20"/>
          <w:szCs w:val="20"/>
        </w:rPr>
        <w:t>.</w:t>
      </w:r>
    </w:p>
    <w:p w:rsidR="00C0575F" w:rsidRPr="008D6E5C" w:rsidRDefault="00C0575F" w:rsidP="001520DB">
      <w:pPr>
        <w:ind w:left="720"/>
        <w:jc w:val="both"/>
        <w:rPr>
          <w:rFonts w:ascii="Cambria" w:hAnsi="Cambria"/>
          <w:sz w:val="20"/>
          <w:szCs w:val="20"/>
        </w:rPr>
      </w:pPr>
    </w:p>
    <w:p w:rsidR="00C0575F" w:rsidRPr="008D6E5C" w:rsidRDefault="00C0575F" w:rsidP="001520DB">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szCs w:val="20"/>
        </w:rPr>
      </w:pPr>
      <w:bookmarkStart w:id="17" w:name="_Toc416880381"/>
      <w:r w:rsidRPr="008D6E5C">
        <w:rPr>
          <w:szCs w:val="20"/>
        </w:rPr>
        <w:lastRenderedPageBreak/>
        <w:t>Legal proceedings</w:t>
      </w:r>
      <w:bookmarkEnd w:id="17"/>
    </w:p>
    <w:p w:rsidR="00C0575F" w:rsidRPr="008D6E5C" w:rsidRDefault="00C0575F" w:rsidP="001520DB">
      <w:pPr>
        <w:pStyle w:val="Style2"/>
        <w:keepNext/>
        <w:numPr>
          <w:ilvl w:val="0"/>
          <w:numId w:val="0"/>
        </w:numPr>
        <w:spacing w:after="0"/>
        <w:ind w:firstLine="720"/>
        <w:contextualSpacing w:val="0"/>
        <w:outlineLvl w:val="1"/>
        <w:rPr>
          <w:lang w:val="en-US"/>
        </w:rPr>
      </w:pPr>
    </w:p>
    <w:p w:rsidR="00C0575F" w:rsidRPr="008D6E5C" w:rsidRDefault="00C0575F" w:rsidP="001520DB">
      <w:pPr>
        <w:pStyle w:val="Heading3"/>
        <w:spacing w:before="0"/>
        <w:rPr>
          <w:szCs w:val="20"/>
        </w:rPr>
      </w:pPr>
      <w:bookmarkStart w:id="18" w:name="_Toc412539536"/>
      <w:bookmarkStart w:id="19" w:name="_Toc416880382"/>
      <w:r w:rsidRPr="008D6E5C">
        <w:rPr>
          <w:szCs w:val="20"/>
        </w:rPr>
        <w:t>1.</w:t>
      </w:r>
      <w:r w:rsidRPr="008D6E5C">
        <w:rPr>
          <w:szCs w:val="20"/>
        </w:rPr>
        <w:tab/>
        <w:t>Pretrial Phase of the Criminal Proceeding (Case 33.744)</w:t>
      </w:r>
      <w:bookmarkEnd w:id="18"/>
      <w:bookmarkEnd w:id="19"/>
    </w:p>
    <w:p w:rsidR="00C0575F" w:rsidRPr="008D6E5C" w:rsidRDefault="00C0575F" w:rsidP="001520DB">
      <w:pPr>
        <w:pStyle w:val="ListParagraph"/>
        <w:keepNext/>
        <w:ind w:left="0" w:firstLine="720"/>
        <w:jc w:val="both"/>
        <w:rPr>
          <w:sz w:val="20"/>
          <w:szCs w:val="20"/>
        </w:rPr>
      </w:pPr>
    </w:p>
    <w:p w:rsidR="001F727C"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April 16, 1998, following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Carvajal’s</w:t>
      </w:r>
      <w:proofErr w:type="spellEnd"/>
      <w:r w:rsidRPr="008D6E5C">
        <w:rPr>
          <w:rFonts w:ascii="Cambria" w:hAnsi="Cambria"/>
          <w:sz w:val="20"/>
          <w:szCs w:val="20"/>
        </w:rPr>
        <w:t xml:space="preserve"> murder, </w:t>
      </w:r>
      <w:r w:rsidR="006651FB" w:rsidRPr="008D6E5C">
        <w:rPr>
          <w:rFonts w:ascii="Cambria" w:hAnsi="Cambria"/>
          <w:sz w:val="20"/>
          <w:szCs w:val="20"/>
        </w:rPr>
        <w:t xml:space="preserve">a </w:t>
      </w:r>
      <w:r w:rsidRPr="008D6E5C">
        <w:rPr>
          <w:rFonts w:ascii="Cambria" w:hAnsi="Cambria"/>
          <w:sz w:val="20"/>
          <w:szCs w:val="20"/>
        </w:rPr>
        <w:t>deputy police officer reported to the scene of the crime</w:t>
      </w:r>
      <w:r w:rsidRPr="008D6E5C">
        <w:rPr>
          <w:rStyle w:val="FootnoteReference"/>
          <w:rFonts w:ascii="Cambria" w:hAnsi="Cambria"/>
          <w:sz w:val="20"/>
          <w:szCs w:val="20"/>
        </w:rPr>
        <w:footnoteReference w:id="13"/>
      </w:r>
      <w:r w:rsidRPr="008D6E5C">
        <w:rPr>
          <w:rFonts w:ascii="Cambria" w:hAnsi="Cambria"/>
          <w:sz w:val="20"/>
          <w:szCs w:val="20"/>
        </w:rPr>
        <w:t xml:space="preserve"> and the corpse removal group from the Technical Investigations Unit (hereinafter “TIU”) of the Prosecutor’s Office reported to the scene to conduct the judicial inspection of the body.</w:t>
      </w:r>
      <w:r w:rsidRPr="008D6E5C">
        <w:rPr>
          <w:rStyle w:val="FootnoteReference"/>
          <w:rFonts w:ascii="Cambria" w:hAnsi="Cambria"/>
          <w:sz w:val="20"/>
          <w:szCs w:val="20"/>
        </w:rPr>
        <w:footnoteReference w:id="14"/>
      </w:r>
      <w:r w:rsidRPr="008D6E5C">
        <w:rPr>
          <w:rFonts w:ascii="Cambria" w:hAnsi="Cambria"/>
          <w:sz w:val="20"/>
          <w:szCs w:val="20"/>
        </w:rPr>
        <w:t xml:space="preserve"> The corpse inspection certifi</w:t>
      </w:r>
      <w:r w:rsidR="00D128C2" w:rsidRPr="008D6E5C">
        <w:rPr>
          <w:rFonts w:ascii="Cambria" w:hAnsi="Cambria"/>
          <w:sz w:val="20"/>
          <w:szCs w:val="20"/>
        </w:rPr>
        <w:t xml:space="preserve">cate was issued on the same day, “with the respective description and the </w:t>
      </w:r>
      <w:proofErr w:type="spellStart"/>
      <w:r w:rsidR="00D128C2" w:rsidRPr="008D6E5C">
        <w:rPr>
          <w:rFonts w:ascii="Cambria" w:hAnsi="Cambria"/>
          <w:sz w:val="20"/>
          <w:szCs w:val="20"/>
        </w:rPr>
        <w:t>dactyloscpic</w:t>
      </w:r>
      <w:proofErr w:type="spellEnd"/>
      <w:r w:rsidR="00D128C2" w:rsidRPr="008D6E5C">
        <w:rPr>
          <w:rFonts w:ascii="Cambria" w:hAnsi="Cambria"/>
          <w:sz w:val="20"/>
          <w:szCs w:val="20"/>
        </w:rPr>
        <w:t xml:space="preserve"> search”</w:t>
      </w:r>
      <w:r w:rsidR="00D128C2" w:rsidRPr="008D6E5C">
        <w:rPr>
          <w:rStyle w:val="FootnoteReference"/>
          <w:rFonts w:ascii="Cambria" w:hAnsi="Cambria"/>
          <w:sz w:val="20"/>
          <w:szCs w:val="20"/>
        </w:rPr>
        <w:footnoteReference w:id="15"/>
      </w:r>
      <w:r w:rsidR="00D128C2" w:rsidRPr="008D6E5C">
        <w:rPr>
          <w:rFonts w:ascii="Cambria" w:hAnsi="Cambria"/>
          <w:sz w:val="20"/>
          <w:szCs w:val="20"/>
        </w:rPr>
        <w:t>.</w:t>
      </w:r>
    </w:p>
    <w:p w:rsidR="001F727C" w:rsidRPr="008D6E5C" w:rsidRDefault="001F727C"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1F727C" w:rsidRPr="008D6E5C" w:rsidRDefault="001F727C"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According to the report of the Regional Prosecutor of 18 January 1999 (</w:t>
      </w:r>
      <w:r w:rsidRPr="008D6E5C">
        <w:rPr>
          <w:rFonts w:ascii="Cambria" w:hAnsi="Cambria"/>
          <w:i/>
          <w:sz w:val="20"/>
          <w:szCs w:val="20"/>
        </w:rPr>
        <w:t>infra</w:t>
      </w:r>
      <w:r w:rsidRPr="008D6E5C">
        <w:rPr>
          <w:rFonts w:ascii="Cambria" w:hAnsi="Cambria"/>
          <w:sz w:val="20"/>
          <w:szCs w:val="20"/>
        </w:rPr>
        <w:t xml:space="preserve"> para. </w:t>
      </w:r>
      <w:r w:rsidR="006651FB" w:rsidRPr="008D6E5C">
        <w:rPr>
          <w:rFonts w:ascii="Cambria" w:hAnsi="Cambria"/>
          <w:sz w:val="20"/>
          <w:szCs w:val="20"/>
        </w:rPr>
        <w:t>49</w:t>
      </w:r>
      <w:r w:rsidRPr="008D6E5C">
        <w:rPr>
          <w:rFonts w:ascii="Cambria" w:hAnsi="Cambria"/>
          <w:sz w:val="20"/>
          <w:szCs w:val="20"/>
        </w:rPr>
        <w:t>) a Judicial Inspection was carried out on the site of the events with the presence of experts and witnesses. The inspection was accompanied by an album of photos and fingerprint review. Also</w:t>
      </w:r>
      <w:r w:rsidR="00BF6B12" w:rsidRPr="008D6E5C">
        <w:rPr>
          <w:rFonts w:ascii="Cambria" w:hAnsi="Cambria"/>
          <w:sz w:val="20"/>
          <w:szCs w:val="20"/>
        </w:rPr>
        <w:t>,</w:t>
      </w:r>
      <w:r w:rsidRPr="008D6E5C">
        <w:rPr>
          <w:rFonts w:ascii="Cambria" w:hAnsi="Cambria"/>
          <w:sz w:val="20"/>
          <w:szCs w:val="20"/>
        </w:rPr>
        <w:t xml:space="preserve"> the report referred to photographs taken at the site of the facts </w:t>
      </w:r>
      <w:r w:rsidR="00BF6B12" w:rsidRPr="008D6E5C">
        <w:rPr>
          <w:rFonts w:ascii="Cambria" w:hAnsi="Cambria"/>
          <w:sz w:val="20"/>
          <w:szCs w:val="20"/>
        </w:rPr>
        <w:t>and to the corpse</w:t>
      </w:r>
      <w:r w:rsidRPr="008D6E5C">
        <w:rPr>
          <w:rFonts w:ascii="Cambria" w:hAnsi="Cambria"/>
          <w:sz w:val="20"/>
          <w:szCs w:val="20"/>
        </w:rPr>
        <w:t xml:space="preserve"> of Nelson </w:t>
      </w:r>
      <w:proofErr w:type="spellStart"/>
      <w:r w:rsidRPr="008D6E5C">
        <w:rPr>
          <w:rFonts w:ascii="Cambria" w:hAnsi="Cambria"/>
          <w:sz w:val="20"/>
          <w:szCs w:val="20"/>
        </w:rPr>
        <w:t>Carvajal</w:t>
      </w:r>
      <w:proofErr w:type="spellEnd"/>
      <w:r w:rsidR="00BF6B12" w:rsidRPr="008D6E5C">
        <w:rPr>
          <w:rFonts w:ascii="Cambria" w:hAnsi="Cambria"/>
          <w:sz w:val="20"/>
          <w:szCs w:val="20"/>
        </w:rPr>
        <w:t xml:space="preserve"> by the office by Criminalistics Section </w:t>
      </w:r>
      <w:proofErr w:type="spellStart"/>
      <w:r w:rsidR="00BF6B12" w:rsidRPr="008D6E5C">
        <w:rPr>
          <w:rFonts w:ascii="Cambria" w:hAnsi="Cambria"/>
          <w:sz w:val="20"/>
          <w:szCs w:val="20"/>
        </w:rPr>
        <w:t>Pitalito</w:t>
      </w:r>
      <w:proofErr w:type="spellEnd"/>
      <w:r w:rsidR="00BF6B12" w:rsidRPr="008D6E5C">
        <w:rPr>
          <w:rFonts w:ascii="Cambria" w:hAnsi="Cambria"/>
          <w:sz w:val="20"/>
          <w:szCs w:val="20"/>
        </w:rPr>
        <w:t>, Huila</w:t>
      </w:r>
      <w:r w:rsidRPr="008D6E5C">
        <w:rPr>
          <w:rFonts w:ascii="Cambria" w:hAnsi="Cambria"/>
          <w:sz w:val="20"/>
          <w:szCs w:val="20"/>
        </w:rPr>
        <w:t xml:space="preserve">. The report also </w:t>
      </w:r>
      <w:r w:rsidR="00BF6B12" w:rsidRPr="008D6E5C">
        <w:rPr>
          <w:rFonts w:ascii="Cambria" w:hAnsi="Cambria"/>
          <w:sz w:val="20"/>
          <w:szCs w:val="20"/>
        </w:rPr>
        <w:t>indicated that the</w:t>
      </w:r>
      <w:r w:rsidRPr="008D6E5C">
        <w:rPr>
          <w:rFonts w:ascii="Cambria" w:hAnsi="Cambria"/>
          <w:sz w:val="20"/>
          <w:szCs w:val="20"/>
        </w:rPr>
        <w:t xml:space="preserve"> autopsy report </w:t>
      </w:r>
      <w:r w:rsidR="00BF6B12" w:rsidRPr="008D6E5C">
        <w:rPr>
          <w:rFonts w:ascii="Cambria" w:hAnsi="Cambria"/>
          <w:sz w:val="20"/>
          <w:szCs w:val="20"/>
        </w:rPr>
        <w:t xml:space="preserve">made by the </w:t>
      </w:r>
      <w:r w:rsidRPr="008D6E5C">
        <w:rPr>
          <w:rFonts w:ascii="Cambria" w:hAnsi="Cambria"/>
          <w:sz w:val="20"/>
          <w:szCs w:val="20"/>
        </w:rPr>
        <w:t xml:space="preserve">South Regional Unit of the Institute of Legal Medicine </w:t>
      </w:r>
      <w:r w:rsidR="00BF6B12" w:rsidRPr="008D6E5C">
        <w:rPr>
          <w:rFonts w:ascii="Cambria" w:hAnsi="Cambria"/>
          <w:sz w:val="20"/>
          <w:szCs w:val="20"/>
        </w:rPr>
        <w:t>found "</w:t>
      </w:r>
      <w:r w:rsidRPr="008D6E5C">
        <w:rPr>
          <w:rFonts w:ascii="Cambria" w:hAnsi="Cambria"/>
          <w:sz w:val="20"/>
          <w:szCs w:val="20"/>
        </w:rPr>
        <w:t>probable cause of death</w:t>
      </w:r>
      <w:r w:rsidR="006651FB" w:rsidRPr="008D6E5C">
        <w:rPr>
          <w:rFonts w:ascii="Cambria" w:hAnsi="Cambria"/>
          <w:sz w:val="20"/>
          <w:szCs w:val="20"/>
        </w:rPr>
        <w:t xml:space="preserve"> </w:t>
      </w:r>
      <w:proofErr w:type="gramStart"/>
      <w:r w:rsidR="00BF6B12" w:rsidRPr="008D6E5C">
        <w:rPr>
          <w:rFonts w:ascii="Cambria" w:hAnsi="Cambria"/>
          <w:sz w:val="20"/>
          <w:szCs w:val="20"/>
        </w:rPr>
        <w:t xml:space="preserve">was </w:t>
      </w:r>
      <w:r w:rsidRPr="008D6E5C">
        <w:rPr>
          <w:rFonts w:ascii="Cambria" w:hAnsi="Cambria"/>
          <w:sz w:val="20"/>
          <w:szCs w:val="20"/>
        </w:rPr>
        <w:t xml:space="preserve"> homicide</w:t>
      </w:r>
      <w:proofErr w:type="gramEnd"/>
      <w:r w:rsidRPr="008D6E5C">
        <w:rPr>
          <w:rFonts w:ascii="Cambria" w:hAnsi="Cambria"/>
          <w:sz w:val="20"/>
          <w:szCs w:val="20"/>
        </w:rPr>
        <w:t>"</w:t>
      </w:r>
      <w:r w:rsidR="00BF6B12" w:rsidRPr="008D6E5C">
        <w:rPr>
          <w:rStyle w:val="FootnoteReference"/>
          <w:rFonts w:ascii="Cambria" w:hAnsi="Cambria"/>
          <w:sz w:val="20"/>
          <w:szCs w:val="20"/>
        </w:rPr>
        <w:footnoteReference w:id="16"/>
      </w:r>
      <w:r w:rsidRPr="008D6E5C">
        <w:rPr>
          <w:rFonts w:ascii="Cambria" w:hAnsi="Cambria"/>
          <w:sz w:val="20"/>
          <w:szCs w:val="20"/>
        </w:rPr>
        <w:t>. The Commission does not have copies of the above actions</w:t>
      </w:r>
      <w:r w:rsidR="00BF6B12" w:rsidRPr="008D6E5C">
        <w:rPr>
          <w:rFonts w:ascii="Cambria" w:hAnsi="Cambria"/>
          <w:sz w:val="20"/>
          <w:szCs w:val="20"/>
        </w:rPr>
        <w:t>.</w:t>
      </w:r>
    </w:p>
    <w:p w:rsidR="00C0575F" w:rsidRPr="008D6E5C" w:rsidRDefault="00C0575F" w:rsidP="001520DB">
      <w:pPr>
        <w:pStyle w:val="ListParagraph"/>
        <w:keepNext/>
        <w:ind w:left="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April 17, 1998, the TIU drafted a report addressed to the Office of the Joint Secretary of The Offices of the Public Prosecutor assigned to the Criminal Courts of the </w:t>
      </w:r>
      <w:proofErr w:type="spellStart"/>
      <w:r w:rsidRPr="008D6E5C">
        <w:rPr>
          <w:rFonts w:ascii="Cambria" w:hAnsi="Cambria"/>
          <w:sz w:val="20"/>
          <w:szCs w:val="20"/>
        </w:rPr>
        <w:t>Pitalito</w:t>
      </w:r>
      <w:proofErr w:type="spellEnd"/>
      <w:r w:rsidRPr="008D6E5C">
        <w:rPr>
          <w:rFonts w:ascii="Cambria" w:hAnsi="Cambria"/>
          <w:sz w:val="20"/>
          <w:szCs w:val="20"/>
        </w:rPr>
        <w:t xml:space="preserve"> Circuit, Huila. That report indicated that an individual witnessed the events and identified the alleged direct perpetrator by the alias of “</w:t>
      </w:r>
      <w:proofErr w:type="spellStart"/>
      <w:r w:rsidRPr="008D6E5C">
        <w:rPr>
          <w:rFonts w:ascii="Cambria" w:hAnsi="Cambria"/>
          <w:sz w:val="20"/>
          <w:szCs w:val="20"/>
        </w:rPr>
        <w:t>Bermúdez</w:t>
      </w:r>
      <w:proofErr w:type="spellEnd"/>
      <w:r w:rsidRPr="008D6E5C">
        <w:rPr>
          <w:rFonts w:ascii="Cambria" w:hAnsi="Cambria"/>
          <w:sz w:val="20"/>
          <w:szCs w:val="20"/>
        </w:rPr>
        <w:t xml:space="preserve">.” The report stated that the investigators were able to identify Carlos Correa as the alleged direct perpetrator. </w:t>
      </w:r>
    </w:p>
    <w:p w:rsidR="00C0575F" w:rsidRPr="008D6E5C" w:rsidRDefault="00C0575F" w:rsidP="001520DB">
      <w:pPr>
        <w:pStyle w:val="ListParagraph"/>
        <w:keepNext/>
        <w:ind w:left="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That same day, the investigation was assigned to the 22</w:t>
      </w:r>
      <w:r w:rsidRPr="008D6E5C">
        <w:rPr>
          <w:rFonts w:ascii="Cambria" w:hAnsi="Cambria"/>
          <w:sz w:val="20"/>
          <w:szCs w:val="20"/>
          <w:vertAlign w:val="superscript"/>
        </w:rPr>
        <w:t>nd</w:t>
      </w:r>
      <w:r w:rsidRPr="008D6E5C">
        <w:rPr>
          <w:rFonts w:ascii="Cambria" w:hAnsi="Cambria"/>
          <w:sz w:val="20"/>
          <w:szCs w:val="20"/>
        </w:rPr>
        <w:t xml:space="preserve"> District Office of the Public Prosecutor assigned to the Criminal Courts of the </w:t>
      </w:r>
      <w:proofErr w:type="spellStart"/>
      <w:r w:rsidRPr="008D6E5C">
        <w:rPr>
          <w:rFonts w:ascii="Cambria" w:hAnsi="Cambria"/>
          <w:sz w:val="20"/>
          <w:szCs w:val="20"/>
        </w:rPr>
        <w:t>Pitalito</w:t>
      </w:r>
      <w:proofErr w:type="spellEnd"/>
      <w:r w:rsidRPr="008D6E5C">
        <w:rPr>
          <w:rFonts w:ascii="Cambria" w:hAnsi="Cambria"/>
          <w:sz w:val="20"/>
          <w:szCs w:val="20"/>
        </w:rPr>
        <w:t xml:space="preserve"> Circuit (hereinafter “22</w:t>
      </w:r>
      <w:r w:rsidRPr="008D6E5C">
        <w:rPr>
          <w:rFonts w:ascii="Cambria" w:hAnsi="Cambria"/>
          <w:sz w:val="20"/>
          <w:szCs w:val="20"/>
          <w:vertAlign w:val="superscript"/>
        </w:rPr>
        <w:t xml:space="preserve">nd </w:t>
      </w:r>
      <w:r w:rsidRPr="008D6E5C">
        <w:rPr>
          <w:rFonts w:ascii="Cambria" w:hAnsi="Cambria"/>
          <w:sz w:val="20"/>
          <w:szCs w:val="20"/>
        </w:rPr>
        <w:t>District Office of the Public Prosecutor”). Based on the TIU’s report and the corpse inspection certificate, that Prosecutor’s Office formally opened a criminal investigation against Correa.</w:t>
      </w:r>
      <w:r w:rsidRPr="008D6E5C">
        <w:rPr>
          <w:rStyle w:val="FootnoteReference"/>
          <w:rFonts w:ascii="Cambria" w:hAnsi="Cambria"/>
          <w:sz w:val="20"/>
          <w:szCs w:val="20"/>
        </w:rPr>
        <w:footnoteReference w:id="17"/>
      </w:r>
      <w:r w:rsidRPr="008D6E5C">
        <w:rPr>
          <w:rFonts w:ascii="Cambria" w:hAnsi="Cambria"/>
          <w:sz w:val="20"/>
          <w:szCs w:val="20"/>
        </w:rPr>
        <w:t xml:space="preserve"> </w:t>
      </w:r>
      <w:r w:rsidRPr="008D6E5C">
        <w:rPr>
          <w:rFonts w:ascii="Cambria" w:hAnsi="Cambria"/>
          <w:color w:val="000000"/>
          <w:sz w:val="20"/>
          <w:szCs w:val="20"/>
        </w:rPr>
        <w:t>A number of steps were taken under the responsibility of the 22</w:t>
      </w:r>
      <w:r w:rsidRPr="008D6E5C">
        <w:rPr>
          <w:rFonts w:ascii="Cambria" w:hAnsi="Cambria"/>
          <w:color w:val="000000"/>
          <w:sz w:val="20"/>
          <w:szCs w:val="20"/>
          <w:vertAlign w:val="superscript"/>
        </w:rPr>
        <w:t>nd</w:t>
      </w:r>
      <w:r w:rsidRPr="008D6E5C">
        <w:rPr>
          <w:rFonts w:ascii="Cambria" w:hAnsi="Cambria"/>
          <w:color w:val="000000"/>
          <w:sz w:val="20"/>
          <w:szCs w:val="20"/>
        </w:rPr>
        <w:t xml:space="preserve"> District Office of the Public Prosecutor during the first week after the </w:t>
      </w:r>
      <w:r w:rsidR="0012782E" w:rsidRPr="008D6E5C">
        <w:rPr>
          <w:rFonts w:ascii="Cambria" w:hAnsi="Cambria"/>
          <w:color w:val="000000"/>
          <w:sz w:val="20"/>
          <w:szCs w:val="20"/>
        </w:rPr>
        <w:t>journalist’s</w:t>
      </w:r>
      <w:r w:rsidRPr="008D6E5C">
        <w:rPr>
          <w:rFonts w:ascii="Cambria" w:hAnsi="Cambria"/>
          <w:color w:val="000000"/>
          <w:sz w:val="20"/>
          <w:szCs w:val="20"/>
        </w:rPr>
        <w:t xml:space="preserve"> murder, including the taking of witness statements and the identification of suspects in a lineup.</w:t>
      </w:r>
      <w:r w:rsidRPr="008D6E5C">
        <w:rPr>
          <w:rFonts w:ascii="Cambria" w:hAnsi="Cambria"/>
          <w:sz w:val="20"/>
          <w:szCs w:val="20"/>
        </w:rPr>
        <w:t xml:space="preserve"> The case file, states that two eyewitnesses to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murder, whose identities were protected, identified </w:t>
      </w:r>
      <w:r w:rsidR="005B0BE6" w:rsidRPr="008D6E5C">
        <w:rPr>
          <w:rFonts w:ascii="Cambria" w:hAnsi="Cambria"/>
          <w:sz w:val="20"/>
          <w:szCs w:val="20"/>
        </w:rPr>
        <w:t>Correa</w:t>
      </w:r>
      <w:r w:rsidRPr="008D6E5C">
        <w:rPr>
          <w:rFonts w:ascii="Cambria" w:hAnsi="Cambria"/>
          <w:sz w:val="20"/>
          <w:szCs w:val="20"/>
        </w:rPr>
        <w:t xml:space="preserve"> in the lineup as the direct perpetrator.</w:t>
      </w:r>
      <w:r w:rsidRPr="008D6E5C">
        <w:rPr>
          <w:rStyle w:val="FootnoteReference"/>
          <w:rFonts w:ascii="Cambria" w:hAnsi="Cambria"/>
          <w:sz w:val="20"/>
          <w:szCs w:val="20"/>
        </w:rPr>
        <w:footnoteReference w:id="18"/>
      </w:r>
    </w:p>
    <w:p w:rsidR="007A280C" w:rsidRDefault="007A280C">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Cambria" w:hAnsi="Cambria" w:cs="Cambria"/>
          <w:color w:val="000000"/>
          <w:sz w:val="20"/>
          <w:szCs w:val="20"/>
          <w:u w:color="000000"/>
          <w:lang w:eastAsia="es-ES"/>
        </w:rPr>
      </w:pPr>
      <w:r>
        <w:rPr>
          <w:sz w:val="20"/>
          <w:szCs w:val="20"/>
        </w:rPr>
        <w:br w:type="page"/>
      </w:r>
    </w:p>
    <w:p w:rsidR="00C0575F" w:rsidRPr="008D6E5C" w:rsidRDefault="00C0575F" w:rsidP="001520DB">
      <w:pPr>
        <w:pStyle w:val="ListParagraph"/>
        <w:ind w:left="0" w:firstLine="720"/>
        <w:jc w:val="both"/>
        <w:rPr>
          <w:sz w:val="20"/>
          <w:szCs w:val="20"/>
        </w:rPr>
      </w:pPr>
    </w:p>
    <w:p w:rsidR="00C0575F" w:rsidRPr="008D6E5C" w:rsidRDefault="00C0575F"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On April 21, 1998 the 22</w:t>
      </w:r>
      <w:r w:rsidRPr="008D6E5C">
        <w:rPr>
          <w:rFonts w:ascii="Cambria" w:hAnsi="Cambria"/>
          <w:sz w:val="20"/>
          <w:szCs w:val="20"/>
          <w:vertAlign w:val="superscript"/>
        </w:rPr>
        <w:t>nd</w:t>
      </w:r>
      <w:r w:rsidRPr="008D6E5C">
        <w:rPr>
          <w:rFonts w:ascii="Cambria" w:hAnsi="Cambria"/>
          <w:sz w:val="20"/>
          <w:szCs w:val="20"/>
        </w:rPr>
        <w:t xml:space="preserve"> District Office of the Public Prosecutor indicated that the evidence gathered led to the conclusion that the journalist was murdered because of his profession, and that based on Article 324(8) of the Criminal Code and Article 71 of the Code of Criminal Procedure,</w:t>
      </w:r>
      <w:r w:rsidRPr="008D6E5C">
        <w:rPr>
          <w:rStyle w:val="FootnoteReference"/>
          <w:rFonts w:ascii="Cambria" w:hAnsi="Cambria"/>
          <w:sz w:val="20"/>
          <w:szCs w:val="20"/>
        </w:rPr>
        <w:footnoteReference w:id="19"/>
      </w:r>
      <w:r w:rsidRPr="008D6E5C">
        <w:rPr>
          <w:rFonts w:ascii="Cambria" w:hAnsi="Cambria"/>
          <w:sz w:val="20"/>
          <w:szCs w:val="20"/>
        </w:rPr>
        <w:t xml:space="preserve"> the regional court system would have jurisdiction over the investigation.</w:t>
      </w:r>
      <w:r w:rsidRPr="008D6E5C">
        <w:rPr>
          <w:rStyle w:val="FootnoteReference"/>
          <w:rFonts w:ascii="Cambria" w:hAnsi="Cambria"/>
          <w:sz w:val="20"/>
          <w:szCs w:val="20"/>
        </w:rPr>
        <w:footnoteReference w:id="20"/>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 investigation was later reassigned to the Regional Office of the Public Prosecutor assigned to the Specialized Criminal Judges of the Bogotá Circuit (hereinafter “Regional Prosecutor’s Office”). In an order dated May 10, 1998, that office issued measures to ensure Correa’s appearance during the criminal investigation. In addition, the Prosecutor’s Office undertook “intelligence” work, took new witness statements, and gathered documentary evidence</w:t>
      </w:r>
      <w:r w:rsidR="005E59A8" w:rsidRPr="008D6E5C">
        <w:rPr>
          <w:rFonts w:ascii="Cambria" w:hAnsi="Cambria"/>
          <w:sz w:val="20"/>
          <w:szCs w:val="20"/>
        </w:rPr>
        <w:t>.</w:t>
      </w:r>
      <w:r w:rsidR="005E59A8" w:rsidRPr="008D6E5C">
        <w:rPr>
          <w:rStyle w:val="FootnoteReference"/>
          <w:rFonts w:ascii="Cambria" w:hAnsi="Cambria"/>
          <w:sz w:val="20"/>
          <w:szCs w:val="20"/>
        </w:rPr>
        <w:footnoteReference w:id="21"/>
      </w:r>
      <w:r w:rsidRPr="008D6E5C">
        <w:rPr>
          <w:rFonts w:ascii="Cambria" w:hAnsi="Cambria"/>
          <w:sz w:val="20"/>
          <w:szCs w:val="20"/>
        </w:rPr>
        <w:t xml:space="preserve"> </w:t>
      </w:r>
    </w:p>
    <w:p w:rsidR="00C0575F" w:rsidRPr="008D6E5C" w:rsidRDefault="00C0575F" w:rsidP="001520DB">
      <w:pPr>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December 28, 1998, the Regional Prosecutor’s Office evaluated the evidence produced during investigation and closed the investigation against </w:t>
      </w:r>
      <w:r w:rsidR="005B0BE6" w:rsidRPr="008D6E5C">
        <w:rPr>
          <w:rFonts w:ascii="Cambria" w:hAnsi="Cambria"/>
          <w:sz w:val="20"/>
          <w:szCs w:val="20"/>
        </w:rPr>
        <w:t xml:space="preserve">Carlos </w:t>
      </w:r>
      <w:r w:rsidRPr="008D6E5C">
        <w:rPr>
          <w:rFonts w:ascii="Cambria" w:hAnsi="Cambria"/>
          <w:sz w:val="20"/>
          <w:szCs w:val="20"/>
        </w:rPr>
        <w:t>Correa, because “the circumstantial evidence linking him to the crime has disappeared in light of the new evidence.”</w:t>
      </w:r>
      <w:r w:rsidRPr="008D6E5C">
        <w:rPr>
          <w:rStyle w:val="FootnoteReference"/>
          <w:rFonts w:ascii="Cambria" w:hAnsi="Cambria"/>
          <w:sz w:val="20"/>
          <w:szCs w:val="20"/>
        </w:rPr>
        <w:footnoteReference w:id="22"/>
      </w:r>
      <w:r w:rsidRPr="008D6E5C">
        <w:rPr>
          <w:rFonts w:ascii="Cambria" w:hAnsi="Cambria"/>
          <w:sz w:val="20"/>
          <w:szCs w:val="20"/>
        </w:rPr>
        <w:t xml:space="preserve"> Accordingly, on December 29, 1998, the Regional Prosecutor’s Office issued arrest warrants for </w:t>
      </w:r>
      <w:r w:rsidR="00992F30" w:rsidRPr="008D6E5C">
        <w:rPr>
          <w:rFonts w:ascii="Cambria" w:hAnsi="Cambria"/>
          <w:sz w:val="20"/>
          <w:szCs w:val="20"/>
        </w:rPr>
        <w:t xml:space="preserve">four individuals, including the former mayor of </w:t>
      </w:r>
      <w:proofErr w:type="spellStart"/>
      <w:r w:rsidR="00992F30" w:rsidRPr="008D6E5C">
        <w:rPr>
          <w:rFonts w:ascii="Cambria" w:hAnsi="Cambria"/>
          <w:sz w:val="20"/>
          <w:szCs w:val="20"/>
        </w:rPr>
        <w:t>Pitalito</w:t>
      </w:r>
      <w:proofErr w:type="spellEnd"/>
      <w:r w:rsidR="00992F30" w:rsidRPr="008D6E5C">
        <w:rPr>
          <w:rFonts w:ascii="Cambria" w:hAnsi="Cambria"/>
          <w:sz w:val="20"/>
          <w:szCs w:val="20"/>
        </w:rPr>
        <w:t xml:space="preserve"> and a businessman and former council member</w:t>
      </w:r>
      <w:r w:rsidRPr="008D6E5C">
        <w:rPr>
          <w:rFonts w:ascii="Cambria" w:hAnsi="Cambria"/>
          <w:sz w:val="20"/>
          <w:szCs w:val="20"/>
        </w:rPr>
        <w:t>, because it had “sufficient evidence against them to show that they were the masterminds and direct perpetrators” of the crime.</w:t>
      </w:r>
      <w:r w:rsidR="005E59A8" w:rsidRPr="008D6E5C">
        <w:rPr>
          <w:rStyle w:val="FootnoteReference"/>
          <w:rFonts w:ascii="Cambria" w:hAnsi="Cambria"/>
          <w:sz w:val="20"/>
          <w:szCs w:val="20"/>
        </w:rPr>
        <w:footnoteReference w:id="23"/>
      </w:r>
      <w:r w:rsidRPr="008D6E5C">
        <w:rPr>
          <w:rFonts w:ascii="Cambria" w:hAnsi="Cambria"/>
          <w:sz w:val="20"/>
          <w:szCs w:val="20"/>
        </w:rPr>
        <w:t xml:space="preserve">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January 18, 1999, the Regional Prosecutor’s Office issued an order referencing the facts, the identity of the defendants, the evidence, and the respective legal proceedings, and made some statements concerning the “materiality of the act,” the definition of the criminal conduct, and the responsibility of the defendants. In this regard, it stated that a murder was committed against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the interests of his family. It specified that said conduct was defined in Article 323 of the Criminal Code and aggravated pursuant to Article 324(3) and (8) due to the fact that it was committed against “a person who was a candidate for public office and a journalist.”</w:t>
      </w:r>
      <w:r w:rsidRPr="008D6E5C">
        <w:rPr>
          <w:rStyle w:val="FootnoteReference"/>
          <w:rFonts w:ascii="Cambria" w:hAnsi="Cambria"/>
          <w:sz w:val="20"/>
          <w:szCs w:val="20"/>
        </w:rPr>
        <w:footnoteReference w:id="24"/>
      </w:r>
      <w:r w:rsidRPr="008D6E5C">
        <w:rPr>
          <w:rFonts w:ascii="Cambria" w:hAnsi="Cambria"/>
          <w:sz w:val="20"/>
          <w:szCs w:val="20"/>
        </w:rPr>
        <w:t xml:space="preserve"> In addition, it ordered measures to ensure the suspects’ appearance during the criminal investigation, consisting of the pretrial detention without bail of the alleged masterminds, and the alleged direct perpetrator of the murder. It further ordered the examination of evidence, the taking of additional statements from various persons, and ordered the Regional Prosecutor’s Office of Neiva “to conduct intelligence work to verify the events or theories put forward by the defendants with respect to the potential perpetration of the crime by the 13</w:t>
      </w:r>
      <w:r w:rsidRPr="008D6E5C">
        <w:rPr>
          <w:rFonts w:ascii="Cambria" w:hAnsi="Cambria"/>
          <w:sz w:val="20"/>
          <w:szCs w:val="20"/>
          <w:vertAlign w:val="superscript"/>
        </w:rPr>
        <w:t>th</w:t>
      </w:r>
      <w:r w:rsidRPr="008D6E5C">
        <w:rPr>
          <w:rFonts w:ascii="Cambria" w:hAnsi="Cambria"/>
          <w:sz w:val="20"/>
          <w:szCs w:val="20"/>
        </w:rPr>
        <w:t xml:space="preserve"> Front of the FARC, which was operating in southern Huila, as well as by the armed criminal group from the </w:t>
      </w:r>
      <w:proofErr w:type="spellStart"/>
      <w:r w:rsidRPr="008D6E5C">
        <w:rPr>
          <w:rFonts w:ascii="Cambria" w:hAnsi="Cambria"/>
          <w:sz w:val="20"/>
          <w:szCs w:val="20"/>
        </w:rPr>
        <w:t>Porvenir</w:t>
      </w:r>
      <w:proofErr w:type="spellEnd"/>
      <w:r w:rsidRPr="008D6E5C">
        <w:rPr>
          <w:rFonts w:ascii="Cambria" w:hAnsi="Cambria"/>
          <w:sz w:val="20"/>
          <w:szCs w:val="20"/>
        </w:rPr>
        <w:t xml:space="preserve"> district of </w:t>
      </w:r>
      <w:proofErr w:type="spellStart"/>
      <w:r w:rsidRPr="008D6E5C">
        <w:rPr>
          <w:rFonts w:ascii="Cambria" w:hAnsi="Cambria"/>
          <w:sz w:val="20"/>
          <w:szCs w:val="20"/>
        </w:rPr>
        <w:t>Pitalito</w:t>
      </w:r>
      <w:proofErr w:type="spellEnd"/>
      <w:r w:rsidRPr="008D6E5C">
        <w:rPr>
          <w:rFonts w:ascii="Cambria" w:hAnsi="Cambria"/>
          <w:sz w:val="20"/>
          <w:szCs w:val="20"/>
        </w:rPr>
        <w:t xml:space="preserve"> [under the command of alias] </w:t>
      </w:r>
      <w:proofErr w:type="spellStart"/>
      <w:r w:rsidRPr="008D6E5C">
        <w:rPr>
          <w:rFonts w:ascii="Cambria" w:hAnsi="Cambria"/>
          <w:sz w:val="20"/>
          <w:szCs w:val="20"/>
        </w:rPr>
        <w:t>Gallina</w:t>
      </w:r>
      <w:proofErr w:type="spellEnd"/>
      <w:r w:rsidRPr="008D6E5C">
        <w:rPr>
          <w:rFonts w:ascii="Cambria" w:hAnsi="Cambria"/>
          <w:sz w:val="20"/>
          <w:szCs w:val="20"/>
        </w:rPr>
        <w:t>.”</w:t>
      </w:r>
      <w:r w:rsidRPr="008D6E5C">
        <w:rPr>
          <w:rStyle w:val="FootnoteReference"/>
          <w:rFonts w:ascii="Cambria" w:hAnsi="Cambria"/>
          <w:sz w:val="20"/>
          <w:szCs w:val="20"/>
        </w:rPr>
        <w:footnoteReference w:id="25"/>
      </w:r>
      <w:r w:rsidRPr="008D6E5C">
        <w:rPr>
          <w:rFonts w:ascii="Cambria" w:hAnsi="Cambria"/>
          <w:sz w:val="20"/>
          <w:szCs w:val="20"/>
        </w:rPr>
        <w:t xml:space="preserve"> </w:t>
      </w:r>
    </w:p>
    <w:p w:rsidR="008E3A3E" w:rsidRPr="008D6E5C" w:rsidRDefault="008E3A3E"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February 19, 1999, </w:t>
      </w:r>
      <w:r w:rsidR="00AB00A1" w:rsidRPr="008D6E5C">
        <w:rPr>
          <w:rFonts w:ascii="Cambria" w:hAnsi="Cambria"/>
          <w:sz w:val="20"/>
          <w:szCs w:val="20"/>
        </w:rPr>
        <w:t>another individual</w:t>
      </w:r>
      <w:r w:rsidRPr="008D6E5C">
        <w:rPr>
          <w:rFonts w:ascii="Cambria" w:hAnsi="Cambria"/>
          <w:sz w:val="20"/>
          <w:szCs w:val="20"/>
        </w:rPr>
        <w:t xml:space="preserve"> was arrested, and he gave a formal statement at his initial appearance on March 13, 1999. As the alleged direct perpetrator of the murder, he was ordered to remain in pretrial detention to ensure his appearance during the criminal investigation.</w:t>
      </w:r>
      <w:r w:rsidRPr="008D6E5C">
        <w:rPr>
          <w:rStyle w:val="FootnoteReference"/>
          <w:rFonts w:ascii="Cambria" w:hAnsi="Cambria"/>
          <w:sz w:val="20"/>
          <w:szCs w:val="20"/>
        </w:rPr>
        <w:footnoteReference w:id="26"/>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March 1, 1999,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sent a complaint to the Regional Office of the Public Prosecutor alleging that the defense attorneys in her brother’s case had violated the confidentiality of the pretrial phase of the criminal proceeding by turning over copies of some of the </w:t>
      </w:r>
      <w:r w:rsidR="009562E6" w:rsidRPr="008D6E5C">
        <w:rPr>
          <w:rFonts w:ascii="Cambria" w:hAnsi="Cambria"/>
          <w:sz w:val="20"/>
          <w:szCs w:val="20"/>
        </w:rPr>
        <w:t>proceedings conducted during that phase</w:t>
      </w:r>
      <w:r w:rsidRPr="008D6E5C">
        <w:rPr>
          <w:rFonts w:ascii="Cambria" w:hAnsi="Cambria"/>
          <w:sz w:val="20"/>
          <w:szCs w:val="20"/>
        </w:rPr>
        <w:t xml:space="preserve"> to various individuals in </w:t>
      </w:r>
      <w:proofErr w:type="spellStart"/>
      <w:r w:rsidRPr="008D6E5C">
        <w:rPr>
          <w:rFonts w:ascii="Cambria" w:hAnsi="Cambria"/>
          <w:sz w:val="20"/>
          <w:szCs w:val="20"/>
        </w:rPr>
        <w:t>Pitalito</w:t>
      </w:r>
      <w:proofErr w:type="spellEnd"/>
      <w:r w:rsidRPr="008D6E5C">
        <w:rPr>
          <w:rFonts w:ascii="Cambria" w:hAnsi="Cambria"/>
          <w:sz w:val="20"/>
          <w:szCs w:val="20"/>
        </w:rPr>
        <w:t xml:space="preserve"> who were not defendants in the case. She indicated that this seriously jeopardized the confidentiality of the identity of witnesses and key individuals in the investigation. She also maintained that the order determining the legal status of the defendants began to circulate “as if it were some kind of public press release” and that it was “used to create anxiety and panic among the witnesses and the general public so they would retract their statements or decline to cooperate with the justice system in the development of the case.”</w:t>
      </w:r>
      <w:r w:rsidRPr="008D6E5C">
        <w:rPr>
          <w:rStyle w:val="FootnoteReference"/>
          <w:rFonts w:ascii="Cambria" w:hAnsi="Cambria"/>
          <w:sz w:val="20"/>
          <w:szCs w:val="20"/>
        </w:rPr>
        <w:footnoteReference w:id="27"/>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March 29, 1999, the Regional Prosecutor’s Office ordered that a certified copy of the case file be forwarded to the competent authority in order for it to investigate the possible violation of confidentiality that was the subject of Judith </w:t>
      </w:r>
      <w:proofErr w:type="spellStart"/>
      <w:r w:rsidRPr="008D6E5C">
        <w:rPr>
          <w:rFonts w:ascii="Cambria" w:hAnsi="Cambria"/>
          <w:sz w:val="20"/>
          <w:szCs w:val="20"/>
        </w:rPr>
        <w:t>Carvajal’s</w:t>
      </w:r>
      <w:proofErr w:type="spellEnd"/>
      <w:r w:rsidRPr="008D6E5C">
        <w:rPr>
          <w:rFonts w:ascii="Cambria" w:hAnsi="Cambria"/>
          <w:sz w:val="20"/>
          <w:szCs w:val="20"/>
        </w:rPr>
        <w:t xml:space="preserve"> complaint.</w:t>
      </w:r>
      <w:r w:rsidRPr="008D6E5C">
        <w:rPr>
          <w:rStyle w:val="FootnoteReference"/>
          <w:rFonts w:ascii="Cambria" w:hAnsi="Cambria"/>
          <w:sz w:val="20"/>
          <w:szCs w:val="20"/>
        </w:rPr>
        <w:footnoteReference w:id="28"/>
      </w:r>
      <w:r w:rsidRPr="008D6E5C">
        <w:rPr>
          <w:rFonts w:ascii="Cambria" w:hAnsi="Cambria"/>
          <w:sz w:val="20"/>
          <w:szCs w:val="20"/>
        </w:rPr>
        <w:t xml:space="preserve"> The file before the IACHR contains no record of the outcome of that investigation.</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May 6 and June 18, 1999, the Regional Prosecutor’s Office denied requests to lift the pretrial detention measures imposed against </w:t>
      </w:r>
      <w:r w:rsidR="00AB00A1" w:rsidRPr="008D6E5C">
        <w:rPr>
          <w:rFonts w:ascii="Cambria" w:hAnsi="Cambria"/>
          <w:sz w:val="20"/>
          <w:szCs w:val="20"/>
        </w:rPr>
        <w:t>two defendants in the case</w:t>
      </w:r>
      <w:r w:rsidRPr="008D6E5C">
        <w:rPr>
          <w:rFonts w:ascii="Cambria" w:hAnsi="Cambria"/>
          <w:sz w:val="20"/>
          <w:szCs w:val="20"/>
        </w:rPr>
        <w:t xml:space="preserve">. On August 12, 1999 it denied the request to lift the pretrial detention measures against </w:t>
      </w:r>
      <w:r w:rsidR="00AB00A1" w:rsidRPr="008D6E5C">
        <w:rPr>
          <w:rFonts w:ascii="Cambria" w:hAnsi="Cambria"/>
          <w:sz w:val="20"/>
          <w:szCs w:val="20"/>
        </w:rPr>
        <w:t xml:space="preserve">the former mayor of </w:t>
      </w:r>
      <w:proofErr w:type="spellStart"/>
      <w:r w:rsidR="00AB00A1" w:rsidRPr="008D6E5C">
        <w:rPr>
          <w:rFonts w:ascii="Cambria" w:hAnsi="Cambria"/>
          <w:sz w:val="20"/>
          <w:szCs w:val="20"/>
        </w:rPr>
        <w:t>Pitalito</w:t>
      </w:r>
      <w:proofErr w:type="spellEnd"/>
      <w:r w:rsidRPr="008D6E5C">
        <w:rPr>
          <w:rFonts w:ascii="Cambria" w:hAnsi="Cambria"/>
          <w:sz w:val="20"/>
          <w:szCs w:val="20"/>
        </w:rPr>
        <w:t>.</w:t>
      </w:r>
      <w:r w:rsidRPr="008D6E5C">
        <w:rPr>
          <w:rStyle w:val="FootnoteReference"/>
          <w:rFonts w:ascii="Cambria" w:hAnsi="Cambria"/>
          <w:sz w:val="20"/>
          <w:szCs w:val="20"/>
        </w:rPr>
        <w:footnoteReference w:id="29"/>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On August 24, 1999, in Order 00566, the Office of the Prosecutor General reassigned the investigation from the Unit of the Office of the Public Prosecutor assigned to the Specialized Criminal Judges of the Bogotá Circuit to the National Unit of Human Rights Prosecutors.</w:t>
      </w:r>
      <w:r w:rsidRPr="008D6E5C">
        <w:rPr>
          <w:rStyle w:val="FootnoteReference"/>
          <w:rFonts w:ascii="Cambria" w:hAnsi="Cambria"/>
          <w:sz w:val="20"/>
          <w:szCs w:val="20"/>
        </w:rPr>
        <w:footnoteReference w:id="30"/>
      </w:r>
      <w:r w:rsidRPr="008D6E5C">
        <w:rPr>
          <w:rFonts w:ascii="Cambria" w:hAnsi="Cambria"/>
          <w:sz w:val="20"/>
          <w:szCs w:val="20"/>
        </w:rPr>
        <w:t xml:space="preserve"> Nevertheless, according to what was stated by the Criminal Judgment Division of the Superior Court for the Judicial District, on September 7, 1999 jurisdiction over the case was once again assumed by the Regional Prosecutor’s Office assigned to the Specialized Criminal Judges of the Circuit.</w:t>
      </w:r>
      <w:r w:rsidRPr="008D6E5C">
        <w:rPr>
          <w:rStyle w:val="FootnoteReference"/>
          <w:rFonts w:ascii="Cambria" w:hAnsi="Cambria"/>
          <w:sz w:val="20"/>
          <w:szCs w:val="20"/>
        </w:rPr>
        <w:footnoteReference w:id="31"/>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November 2, 1999, the Criminal Division to Clear Case Backlog of the Unit assigned to the Bogotá Court adjudicated the appeal of the denial of the request to lift the pretrial detention measures imposed against </w:t>
      </w:r>
      <w:r w:rsidR="00625F75" w:rsidRPr="008D6E5C">
        <w:rPr>
          <w:rFonts w:ascii="Cambria" w:hAnsi="Cambria"/>
          <w:sz w:val="20"/>
          <w:szCs w:val="20"/>
        </w:rPr>
        <w:t xml:space="preserve">the former mayor of </w:t>
      </w:r>
      <w:proofErr w:type="spellStart"/>
      <w:r w:rsidR="00625F75" w:rsidRPr="008D6E5C">
        <w:rPr>
          <w:rFonts w:ascii="Cambria" w:hAnsi="Cambria"/>
          <w:sz w:val="20"/>
          <w:szCs w:val="20"/>
        </w:rPr>
        <w:t>Pitalito</w:t>
      </w:r>
      <w:proofErr w:type="spellEnd"/>
      <w:r w:rsidRPr="008D6E5C">
        <w:rPr>
          <w:rFonts w:ascii="Cambria" w:hAnsi="Cambria"/>
          <w:sz w:val="20"/>
          <w:szCs w:val="20"/>
        </w:rPr>
        <w:t xml:space="preserve">. The Division ruled to lift the pretrial detention measures against </w:t>
      </w:r>
      <w:r w:rsidR="00CE295C" w:rsidRPr="008D6E5C">
        <w:rPr>
          <w:rFonts w:ascii="Cambria" w:hAnsi="Cambria"/>
          <w:sz w:val="20"/>
          <w:szCs w:val="20"/>
        </w:rPr>
        <w:t>the mayor</w:t>
      </w:r>
      <w:r w:rsidRPr="008D6E5C">
        <w:rPr>
          <w:rFonts w:ascii="Cambria" w:hAnsi="Cambria"/>
          <w:sz w:val="20"/>
          <w:szCs w:val="20"/>
        </w:rPr>
        <w:t>, and ordered his release.</w:t>
      </w:r>
      <w:r w:rsidRPr="008D6E5C">
        <w:rPr>
          <w:rStyle w:val="FootnoteReference"/>
          <w:rFonts w:ascii="Cambria" w:hAnsi="Cambria"/>
          <w:sz w:val="20"/>
          <w:szCs w:val="20"/>
        </w:rPr>
        <w:footnoteReference w:id="32"/>
      </w:r>
      <w:r w:rsidRPr="008D6E5C">
        <w:rPr>
          <w:rFonts w:ascii="Cambria" w:hAnsi="Cambria"/>
          <w:sz w:val="20"/>
          <w:szCs w:val="20"/>
        </w:rPr>
        <w:t xml:space="preserve"> According to the statements of the Public Ministry at the public adjudication hearing on November 29, 2000, </w:t>
      </w:r>
      <w:r w:rsidR="00CE295C" w:rsidRPr="008D6E5C">
        <w:rPr>
          <w:rFonts w:ascii="Cambria" w:hAnsi="Cambria"/>
          <w:sz w:val="20"/>
          <w:szCs w:val="20"/>
        </w:rPr>
        <w:t>the former mayor</w:t>
      </w:r>
      <w:r w:rsidRPr="008D6E5C">
        <w:rPr>
          <w:rFonts w:ascii="Cambria" w:hAnsi="Cambria"/>
          <w:sz w:val="20"/>
          <w:szCs w:val="20"/>
        </w:rPr>
        <w:t xml:space="preserve"> was granted pretrial release because of the possibility “that the journalist may have been murdered by members of the Revolutionary Armed Forces </w:t>
      </w:r>
      <w:r w:rsidRPr="008D6E5C">
        <w:rPr>
          <w:rFonts w:ascii="Cambria" w:hAnsi="Cambria"/>
          <w:sz w:val="20"/>
          <w:szCs w:val="20"/>
        </w:rPr>
        <w:lastRenderedPageBreak/>
        <w:t>[FARC].”</w:t>
      </w:r>
      <w:r w:rsidRPr="008D6E5C">
        <w:rPr>
          <w:rStyle w:val="FootnoteReference"/>
          <w:rFonts w:ascii="Cambria" w:hAnsi="Cambria"/>
          <w:sz w:val="20"/>
          <w:szCs w:val="20"/>
        </w:rPr>
        <w:footnoteReference w:id="33"/>
      </w:r>
      <w:r w:rsidRPr="008D6E5C">
        <w:rPr>
          <w:rFonts w:ascii="Cambria" w:hAnsi="Cambria"/>
          <w:sz w:val="20"/>
          <w:szCs w:val="20"/>
        </w:rPr>
        <w:t xml:space="preserve"> </w:t>
      </w:r>
      <w:r w:rsidR="00CE295C" w:rsidRPr="008D6E5C">
        <w:rPr>
          <w:rFonts w:ascii="Cambria" w:hAnsi="Cambria"/>
          <w:sz w:val="20"/>
          <w:szCs w:val="20"/>
        </w:rPr>
        <w:t>Two of the alleged masterminds</w:t>
      </w:r>
      <w:r w:rsidRPr="008D6E5C">
        <w:rPr>
          <w:rFonts w:ascii="Cambria" w:hAnsi="Cambria"/>
          <w:sz w:val="20"/>
          <w:szCs w:val="20"/>
        </w:rPr>
        <w:t xml:space="preserve"> were granted pretrial release on December 10, 1999 and January 6, 2000.</w:t>
      </w:r>
      <w:r w:rsidRPr="008D6E5C">
        <w:rPr>
          <w:rStyle w:val="FootnoteReference"/>
          <w:rFonts w:ascii="Cambria" w:hAnsi="Cambria"/>
          <w:sz w:val="20"/>
          <w:szCs w:val="20"/>
        </w:rPr>
        <w:footnoteReference w:id="34"/>
      </w:r>
      <w:r w:rsidRPr="008D6E5C">
        <w:rPr>
          <w:rFonts w:ascii="Cambria" w:hAnsi="Cambria"/>
          <w:sz w:val="20"/>
          <w:szCs w:val="20"/>
        </w:rPr>
        <w:t xml:space="preserve"> </w:t>
      </w:r>
    </w:p>
    <w:p w:rsidR="00C0575F" w:rsidRPr="008D6E5C" w:rsidRDefault="00C0575F" w:rsidP="001520DB">
      <w:pPr>
        <w:pStyle w:val="ListParagraph"/>
        <w:ind w:left="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January 17, 2000, the Regional Prosecutor’s Office evaluated the evidence produced during investigation and issued an indictment against </w:t>
      </w:r>
      <w:r w:rsidR="00CE295C" w:rsidRPr="008D6E5C">
        <w:rPr>
          <w:rFonts w:ascii="Cambria" w:hAnsi="Cambria"/>
          <w:sz w:val="20"/>
          <w:szCs w:val="20"/>
        </w:rPr>
        <w:t>a businessman as alleged mastermind</w:t>
      </w:r>
      <w:r w:rsidRPr="008D6E5C">
        <w:rPr>
          <w:rFonts w:ascii="Cambria" w:hAnsi="Cambria"/>
          <w:sz w:val="20"/>
          <w:szCs w:val="20"/>
        </w:rPr>
        <w:t xml:space="preserve">, </w:t>
      </w:r>
      <w:r w:rsidR="00CE295C" w:rsidRPr="008D6E5C">
        <w:rPr>
          <w:rFonts w:ascii="Cambria" w:hAnsi="Cambria"/>
          <w:sz w:val="20"/>
          <w:szCs w:val="20"/>
        </w:rPr>
        <w:t>and two individuals as perpetrators</w:t>
      </w:r>
      <w:r w:rsidRPr="008D6E5C">
        <w:rPr>
          <w:rFonts w:ascii="Cambria" w:hAnsi="Cambria"/>
          <w:sz w:val="20"/>
          <w:szCs w:val="20"/>
        </w:rPr>
        <w:t xml:space="preserve">. In addition, it revoked the pretrial release granted and closed the investigation against </w:t>
      </w:r>
      <w:r w:rsidR="00CE295C" w:rsidRPr="008D6E5C">
        <w:rPr>
          <w:rFonts w:ascii="Cambria" w:hAnsi="Cambria"/>
          <w:sz w:val="20"/>
          <w:szCs w:val="20"/>
        </w:rPr>
        <w:t xml:space="preserve">the former mayor of </w:t>
      </w:r>
      <w:proofErr w:type="spellStart"/>
      <w:r w:rsidR="00CE295C" w:rsidRPr="008D6E5C">
        <w:rPr>
          <w:rFonts w:ascii="Cambria" w:hAnsi="Cambria"/>
          <w:sz w:val="20"/>
          <w:szCs w:val="20"/>
        </w:rPr>
        <w:t>Pitalito</w:t>
      </w:r>
      <w:proofErr w:type="spellEnd"/>
      <w:r w:rsidRPr="008D6E5C">
        <w:rPr>
          <w:rFonts w:ascii="Cambria" w:hAnsi="Cambria"/>
          <w:sz w:val="20"/>
          <w:szCs w:val="20"/>
        </w:rPr>
        <w:t>.</w:t>
      </w:r>
      <w:r w:rsidRPr="008D6E5C">
        <w:rPr>
          <w:rStyle w:val="FootnoteReference"/>
          <w:rFonts w:ascii="Cambria" w:hAnsi="Cambria"/>
          <w:sz w:val="20"/>
          <w:szCs w:val="20"/>
        </w:rPr>
        <w:footnoteReference w:id="35"/>
      </w:r>
      <w:r w:rsidRPr="008D6E5C">
        <w:rPr>
          <w:rFonts w:ascii="Cambria" w:hAnsi="Cambria"/>
          <w:sz w:val="20"/>
          <w:szCs w:val="20"/>
        </w:rPr>
        <w:t xml:space="preserve"> </w:t>
      </w:r>
    </w:p>
    <w:p w:rsidR="00C0575F" w:rsidRPr="008D6E5C" w:rsidRDefault="00C0575F" w:rsidP="001520DB">
      <w:pPr>
        <w:pStyle w:val="ListParagraph"/>
        <w:ind w:left="0"/>
        <w:jc w:val="both"/>
        <w:rPr>
          <w:sz w:val="20"/>
          <w:szCs w:val="20"/>
        </w:rPr>
      </w:pPr>
    </w:p>
    <w:p w:rsidR="00C0575F" w:rsidRPr="008D6E5C" w:rsidRDefault="00C0575F" w:rsidP="001520DB">
      <w:pPr>
        <w:pStyle w:val="Heading3"/>
        <w:spacing w:before="0"/>
        <w:rPr>
          <w:szCs w:val="20"/>
        </w:rPr>
      </w:pPr>
      <w:bookmarkStart w:id="21" w:name="_Toc412539537"/>
      <w:bookmarkStart w:id="22" w:name="_Toc416880383"/>
      <w:r w:rsidRPr="008D6E5C">
        <w:rPr>
          <w:szCs w:val="20"/>
        </w:rPr>
        <w:t>2.</w:t>
      </w:r>
      <w:r w:rsidRPr="008D6E5C">
        <w:rPr>
          <w:szCs w:val="20"/>
        </w:rPr>
        <w:tab/>
        <w:t xml:space="preserve">Theories of investigation on the masterminds and motives for Nelson </w:t>
      </w:r>
      <w:proofErr w:type="spellStart"/>
      <w:r w:rsidRPr="008D6E5C">
        <w:rPr>
          <w:szCs w:val="20"/>
        </w:rPr>
        <w:t>Carvajal</w:t>
      </w:r>
      <w:proofErr w:type="spellEnd"/>
      <w:r w:rsidRPr="008D6E5C">
        <w:rPr>
          <w:szCs w:val="20"/>
        </w:rPr>
        <w:t xml:space="preserve"> </w:t>
      </w:r>
      <w:proofErr w:type="spellStart"/>
      <w:r w:rsidRPr="008D6E5C">
        <w:rPr>
          <w:szCs w:val="20"/>
        </w:rPr>
        <w:t>Carvajal</w:t>
      </w:r>
      <w:bookmarkEnd w:id="21"/>
      <w:r w:rsidRPr="008D6E5C">
        <w:rPr>
          <w:szCs w:val="20"/>
        </w:rPr>
        <w:t>’s</w:t>
      </w:r>
      <w:proofErr w:type="spellEnd"/>
      <w:r w:rsidRPr="008D6E5C">
        <w:rPr>
          <w:szCs w:val="20"/>
        </w:rPr>
        <w:t xml:space="preserve"> murder</w:t>
      </w:r>
      <w:bookmarkEnd w:id="22"/>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At the beginning of the pretrial phase of the criminal proceeding, the 22</w:t>
      </w:r>
      <w:r w:rsidRPr="008D6E5C">
        <w:rPr>
          <w:rFonts w:ascii="Cambria" w:hAnsi="Cambria"/>
          <w:sz w:val="20"/>
          <w:szCs w:val="20"/>
          <w:vertAlign w:val="superscript"/>
        </w:rPr>
        <w:t>nd</w:t>
      </w:r>
      <w:r w:rsidRPr="008D6E5C">
        <w:rPr>
          <w:rFonts w:ascii="Cambria" w:hAnsi="Cambria"/>
          <w:sz w:val="20"/>
          <w:szCs w:val="20"/>
        </w:rPr>
        <w:t xml:space="preserve"> District Office of the Public Prosecutor indicated that “from what has been outlined thus far, we can infer that the murder of journalist and educator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was because of, or for reasons relating to, his profession, especially given the type of exposé reporting he did”</w:t>
      </w:r>
      <w:r w:rsidRPr="008D6E5C">
        <w:rPr>
          <w:rStyle w:val="FootnoteReference"/>
          <w:rFonts w:ascii="Cambria" w:hAnsi="Cambria"/>
          <w:sz w:val="20"/>
          <w:szCs w:val="20"/>
        </w:rPr>
        <w:footnoteReference w:id="36"/>
      </w:r>
      <w:r w:rsidRPr="008D6E5C">
        <w:rPr>
          <w:rFonts w:ascii="Cambria" w:hAnsi="Cambria"/>
          <w:sz w:val="20"/>
          <w:szCs w:val="20"/>
        </w:rPr>
        <w:t xml:space="preserve"> (</w:t>
      </w:r>
      <w:r w:rsidRPr="008D6E5C">
        <w:rPr>
          <w:rFonts w:ascii="Cambria" w:hAnsi="Cambria"/>
          <w:i/>
          <w:sz w:val="20"/>
          <w:szCs w:val="20"/>
        </w:rPr>
        <w:t>supra</w:t>
      </w:r>
      <w:r w:rsidRPr="008D6E5C">
        <w:rPr>
          <w:rFonts w:ascii="Cambria" w:hAnsi="Cambria"/>
          <w:sz w:val="20"/>
          <w:szCs w:val="20"/>
        </w:rPr>
        <w:t xml:space="preserve"> para. </w:t>
      </w:r>
      <w:r w:rsidR="00211533" w:rsidRPr="008D6E5C">
        <w:rPr>
          <w:rFonts w:ascii="Cambria" w:hAnsi="Cambria"/>
          <w:sz w:val="20"/>
          <w:szCs w:val="20"/>
        </w:rPr>
        <w:t>46</w:t>
      </w:r>
      <w:r w:rsidRPr="008D6E5C">
        <w:rPr>
          <w:rFonts w:ascii="Cambria" w:hAnsi="Cambria"/>
          <w:sz w:val="20"/>
          <w:szCs w:val="20"/>
        </w:rPr>
        <w:t>). The Regional Prosecutor’s Office cane to the same conclusion based on “the intelligence reports, direct and confidential witness statements, and documentary evidence” gathered during the pretrial phase of the criminal proceeding (</w:t>
      </w:r>
      <w:r w:rsidRPr="008D6E5C">
        <w:rPr>
          <w:rFonts w:ascii="Cambria" w:hAnsi="Cambria"/>
          <w:i/>
          <w:sz w:val="20"/>
          <w:szCs w:val="20"/>
        </w:rPr>
        <w:t>supra</w:t>
      </w:r>
      <w:r w:rsidRPr="008D6E5C">
        <w:rPr>
          <w:rFonts w:ascii="Cambria" w:hAnsi="Cambria"/>
          <w:sz w:val="20"/>
          <w:szCs w:val="20"/>
        </w:rPr>
        <w:t xml:space="preserve"> para. </w:t>
      </w:r>
      <w:r w:rsidR="00211533" w:rsidRPr="008D6E5C">
        <w:rPr>
          <w:rFonts w:ascii="Cambria" w:hAnsi="Cambria"/>
          <w:sz w:val="20"/>
          <w:szCs w:val="20"/>
        </w:rPr>
        <w:t>49</w:t>
      </w:r>
      <w:r w:rsidRPr="008D6E5C">
        <w:rPr>
          <w:rFonts w:ascii="Cambria" w:hAnsi="Cambria"/>
          <w:sz w:val="20"/>
          <w:szCs w:val="20"/>
        </w:rPr>
        <w:t>).</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 Indeed, </w:t>
      </w:r>
      <w:r w:rsidRPr="008D6E5C">
        <w:rPr>
          <w:rFonts w:ascii="Cambria" w:hAnsi="Cambria" w:cs="Verdana"/>
          <w:sz w:val="20"/>
          <w:szCs w:val="20"/>
        </w:rPr>
        <w:t xml:space="preserve">according to the statements provided by various witnesses during the investigation conducted in this case, prior to his death, </w:t>
      </w:r>
      <w:proofErr w:type="spellStart"/>
      <w:r w:rsidRPr="008D6E5C">
        <w:rPr>
          <w:rFonts w:ascii="Cambria" w:hAnsi="Cambria" w:cs="Verdana"/>
          <w:sz w:val="20"/>
          <w:szCs w:val="20"/>
        </w:rPr>
        <w:t>Carvajal</w:t>
      </w:r>
      <w:proofErr w:type="spellEnd"/>
      <w:r w:rsidRPr="008D6E5C">
        <w:rPr>
          <w:rFonts w:ascii="Cambria" w:hAnsi="Cambria" w:cs="Verdana"/>
          <w:sz w:val="20"/>
          <w:szCs w:val="20"/>
        </w:rPr>
        <w:t xml:space="preserve"> </w:t>
      </w:r>
      <w:proofErr w:type="spellStart"/>
      <w:r w:rsidRPr="008D6E5C">
        <w:rPr>
          <w:rFonts w:ascii="Cambria" w:hAnsi="Cambria" w:cs="Verdana"/>
          <w:sz w:val="20"/>
          <w:szCs w:val="20"/>
        </w:rPr>
        <w:t>Carvajal</w:t>
      </w:r>
      <w:proofErr w:type="spellEnd"/>
      <w:r w:rsidRPr="008D6E5C">
        <w:rPr>
          <w:rFonts w:ascii="Cambria" w:hAnsi="Cambria" w:cs="Verdana"/>
          <w:sz w:val="20"/>
          <w:szCs w:val="20"/>
        </w:rPr>
        <w:t xml:space="preserve"> had reported on corruption in local politics and was working on a report about money laundering related to arms and drug trafficking in the area. Witnesses also said that </w:t>
      </w:r>
      <w:proofErr w:type="spellStart"/>
      <w:r w:rsidRPr="008D6E5C">
        <w:rPr>
          <w:rFonts w:ascii="Cambria" w:hAnsi="Cambria" w:cs="Verdana"/>
          <w:sz w:val="20"/>
          <w:szCs w:val="20"/>
        </w:rPr>
        <w:t>Carvajal</w:t>
      </w:r>
      <w:proofErr w:type="spellEnd"/>
      <w:r w:rsidRPr="008D6E5C">
        <w:rPr>
          <w:rFonts w:ascii="Cambria" w:hAnsi="Cambria" w:cs="Verdana"/>
          <w:sz w:val="20"/>
          <w:szCs w:val="20"/>
        </w:rPr>
        <w:t xml:space="preserve"> </w:t>
      </w:r>
      <w:r w:rsidRPr="008D6E5C">
        <w:rPr>
          <w:rFonts w:ascii="Cambria" w:hAnsi="Cambria"/>
          <w:sz w:val="20"/>
          <w:szCs w:val="20"/>
        </w:rPr>
        <w:t xml:space="preserve">had a meeting scheduled for the day after his death with the Municipal Ombudsman in order to give a statement on acts of municipal government corruption reported on his radio program.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s="Verdana"/>
          <w:sz w:val="20"/>
          <w:szCs w:val="20"/>
        </w:rPr>
        <w:t xml:space="preserve">According to the statement given by a coworker from the </w:t>
      </w:r>
      <w:r w:rsidRPr="008D6E5C">
        <w:rPr>
          <w:rFonts w:ascii="Cambria" w:hAnsi="Cambria" w:cs="Verdana"/>
          <w:i/>
          <w:sz w:val="20"/>
          <w:szCs w:val="20"/>
        </w:rPr>
        <w:t>Radio Sur</w:t>
      </w:r>
      <w:r w:rsidRPr="008D6E5C">
        <w:rPr>
          <w:rFonts w:ascii="Cambria" w:hAnsi="Cambria"/>
          <w:sz w:val="20"/>
          <w:szCs w:val="20"/>
        </w:rPr>
        <w:t xml:space="preserve"> radio station, </w:t>
      </w:r>
      <w:proofErr w:type="spellStart"/>
      <w:r w:rsidRPr="008D6E5C">
        <w:rPr>
          <w:rFonts w:ascii="Cambria" w:hAnsi="Cambria"/>
          <w:sz w:val="20"/>
          <w:szCs w:val="20"/>
        </w:rPr>
        <w:t>Carvajal’s</w:t>
      </w:r>
      <w:proofErr w:type="spellEnd"/>
      <w:r w:rsidRPr="008D6E5C">
        <w:rPr>
          <w:rFonts w:ascii="Cambria" w:hAnsi="Cambria"/>
          <w:sz w:val="20"/>
          <w:szCs w:val="20"/>
        </w:rPr>
        <w:t xml:space="preserve"> murder “was on account of his journalistic work, as the public figures who have committed irregularities against the interests of the municipality viewed him as an obstacle.”</w:t>
      </w:r>
      <w:r w:rsidRPr="008D6E5C">
        <w:rPr>
          <w:rStyle w:val="FootnoteReference"/>
          <w:rFonts w:ascii="Cambria" w:hAnsi="Cambria"/>
          <w:sz w:val="20"/>
          <w:szCs w:val="20"/>
        </w:rPr>
        <w:footnoteReference w:id="37"/>
      </w:r>
      <w:r w:rsidRPr="008D6E5C">
        <w:rPr>
          <w:rFonts w:ascii="Cambria" w:hAnsi="Cambria"/>
          <w:sz w:val="20"/>
          <w:szCs w:val="20"/>
        </w:rPr>
        <w:t xml:space="preserve"> The journalist’s sister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stated in her affidavit with respect for the motives for her brother’s murder that she believed “it all stems from Nelson’s work as a journalist, because he denounced corruption. It turned out that when Nelson began serving on the town council he started realizing a lot of things that were not okay, and also a lot of people looked to him for support to be able to denounce things and make them public.”</w:t>
      </w:r>
      <w:r w:rsidRPr="008D6E5C">
        <w:rPr>
          <w:rStyle w:val="FootnoteReference"/>
          <w:rFonts w:ascii="Cambria" w:hAnsi="Cambria"/>
          <w:sz w:val="20"/>
          <w:szCs w:val="20"/>
        </w:rPr>
        <w:footnoteReference w:id="38"/>
      </w:r>
      <w:r w:rsidRPr="008D6E5C">
        <w:rPr>
          <w:rFonts w:ascii="Cambria" w:hAnsi="Cambria"/>
          <w:sz w:val="20"/>
          <w:szCs w:val="20"/>
        </w:rPr>
        <w:t xml:space="preserve"> In this same regard, </w:t>
      </w:r>
      <w:proofErr w:type="spellStart"/>
      <w:r w:rsidRPr="008D6E5C">
        <w:rPr>
          <w:rFonts w:ascii="Cambria" w:hAnsi="Cambria"/>
          <w:sz w:val="20"/>
          <w:szCs w:val="20"/>
        </w:rPr>
        <w:t>Carvajal’s</w:t>
      </w:r>
      <w:proofErr w:type="spellEnd"/>
      <w:r w:rsidRPr="008D6E5C">
        <w:rPr>
          <w:rFonts w:ascii="Cambria" w:hAnsi="Cambria"/>
          <w:sz w:val="20"/>
          <w:szCs w:val="20"/>
        </w:rPr>
        <w:t xml:space="preserve"> brother stated in his affidavit that he believed that Nelson’s death was a result of his journalistic work, especially because of the criticism he leveled.</w:t>
      </w:r>
      <w:r w:rsidRPr="008D6E5C">
        <w:rPr>
          <w:rStyle w:val="FootnoteReference"/>
          <w:rFonts w:ascii="Cambria" w:hAnsi="Cambria"/>
          <w:sz w:val="20"/>
          <w:szCs w:val="20"/>
        </w:rPr>
        <w:footnoteReference w:id="39"/>
      </w:r>
      <w:r w:rsidRPr="008D6E5C">
        <w:rPr>
          <w:rFonts w:ascii="Cambria" w:hAnsi="Cambria"/>
          <w:sz w:val="20"/>
          <w:szCs w:val="20"/>
        </w:rPr>
        <w:t xml:space="preserve"> A member of the </w:t>
      </w:r>
      <w:proofErr w:type="spellStart"/>
      <w:r w:rsidRPr="008D6E5C">
        <w:rPr>
          <w:rFonts w:ascii="Cambria" w:hAnsi="Cambria"/>
          <w:sz w:val="20"/>
          <w:szCs w:val="20"/>
        </w:rPr>
        <w:t>Pitalito</w:t>
      </w:r>
      <w:proofErr w:type="spellEnd"/>
      <w:r w:rsidRPr="008D6E5C">
        <w:rPr>
          <w:rFonts w:ascii="Cambria" w:hAnsi="Cambria"/>
          <w:sz w:val="20"/>
          <w:szCs w:val="20"/>
        </w:rPr>
        <w:t xml:space="preserve"> town council gave a statement indicating that “Nelson had a lot of problems because of his work as a journalist, because he exposed irregularities committed by the government led by the mayor […] and by the Council’s majority coalition.”</w:t>
      </w:r>
      <w:r w:rsidRPr="008D6E5C">
        <w:rPr>
          <w:rStyle w:val="FootnoteReference"/>
          <w:rFonts w:ascii="Cambria" w:hAnsi="Cambria"/>
          <w:sz w:val="20"/>
          <w:szCs w:val="20"/>
        </w:rPr>
        <w:footnoteReference w:id="40"/>
      </w:r>
      <w:r w:rsidRPr="008D6E5C">
        <w:rPr>
          <w:rFonts w:ascii="Cambria" w:hAnsi="Cambria"/>
          <w:sz w:val="20"/>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During the pretrial phase of the criminal proceeding and at trial, at least four (4) working theories were proposed regarding the possible masterminds and motives for the crime against Mr.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 </w:t>
      </w:r>
      <w:r w:rsidR="00F449DC" w:rsidRPr="008D6E5C">
        <w:rPr>
          <w:rFonts w:ascii="Cambria" w:hAnsi="Cambria"/>
          <w:sz w:val="20"/>
          <w:szCs w:val="20"/>
        </w:rPr>
        <w:t xml:space="preserve">the mayor of </w:t>
      </w:r>
      <w:proofErr w:type="spellStart"/>
      <w:r w:rsidR="00F449DC" w:rsidRPr="008D6E5C">
        <w:rPr>
          <w:rFonts w:ascii="Cambria" w:hAnsi="Cambria"/>
          <w:sz w:val="20"/>
          <w:szCs w:val="20"/>
        </w:rPr>
        <w:t>Pitalito</w:t>
      </w:r>
      <w:proofErr w:type="spellEnd"/>
      <w:r w:rsidRPr="008D6E5C">
        <w:rPr>
          <w:rFonts w:ascii="Cambria" w:hAnsi="Cambria"/>
          <w:sz w:val="20"/>
          <w:szCs w:val="20"/>
        </w:rPr>
        <w:t xml:space="preserve"> </w:t>
      </w:r>
      <w:r w:rsidR="00341A42" w:rsidRPr="008D6E5C">
        <w:rPr>
          <w:rFonts w:ascii="Cambria" w:hAnsi="Cambria"/>
          <w:sz w:val="20"/>
          <w:szCs w:val="20"/>
        </w:rPr>
        <w:t xml:space="preserve">and others </w:t>
      </w:r>
      <w:r w:rsidRPr="008D6E5C">
        <w:rPr>
          <w:rFonts w:ascii="Cambria" w:hAnsi="Cambria"/>
          <w:sz w:val="20"/>
          <w:szCs w:val="20"/>
        </w:rPr>
        <w:t>as mastermind</w:t>
      </w:r>
      <w:r w:rsidR="00341A42" w:rsidRPr="008D6E5C">
        <w:rPr>
          <w:rFonts w:ascii="Cambria" w:hAnsi="Cambria"/>
          <w:sz w:val="20"/>
          <w:szCs w:val="20"/>
        </w:rPr>
        <w:t>s</w:t>
      </w:r>
      <w:r w:rsidRPr="008D6E5C">
        <w:rPr>
          <w:rFonts w:ascii="Cambria" w:hAnsi="Cambria"/>
          <w:sz w:val="20"/>
          <w:szCs w:val="20"/>
        </w:rPr>
        <w:t xml:space="preserve">; (b) </w:t>
      </w:r>
      <w:r w:rsidR="008E2D4B" w:rsidRPr="008D6E5C">
        <w:rPr>
          <w:rFonts w:ascii="Cambria" w:hAnsi="Cambria"/>
          <w:sz w:val="20"/>
          <w:szCs w:val="20"/>
        </w:rPr>
        <w:t>a businessman and form</w:t>
      </w:r>
      <w:r w:rsidR="00341A42" w:rsidRPr="008D6E5C">
        <w:rPr>
          <w:rFonts w:ascii="Cambria" w:hAnsi="Cambria"/>
          <w:sz w:val="20"/>
          <w:szCs w:val="20"/>
        </w:rPr>
        <w:t>e</w:t>
      </w:r>
      <w:r w:rsidR="008E2D4B" w:rsidRPr="008D6E5C">
        <w:rPr>
          <w:rFonts w:ascii="Cambria" w:hAnsi="Cambria"/>
          <w:sz w:val="20"/>
          <w:szCs w:val="20"/>
        </w:rPr>
        <w:t xml:space="preserve">r </w:t>
      </w:r>
      <w:r w:rsidR="00341A42" w:rsidRPr="008D6E5C">
        <w:rPr>
          <w:rFonts w:ascii="Cambria" w:hAnsi="Cambria"/>
          <w:sz w:val="20"/>
          <w:szCs w:val="20"/>
        </w:rPr>
        <w:t xml:space="preserve">town </w:t>
      </w:r>
      <w:r w:rsidR="008E2D4B" w:rsidRPr="008D6E5C">
        <w:rPr>
          <w:rFonts w:ascii="Cambria" w:hAnsi="Cambria"/>
          <w:sz w:val="20"/>
          <w:szCs w:val="20"/>
        </w:rPr>
        <w:t>councilmember</w:t>
      </w:r>
      <w:r w:rsidRPr="008D6E5C">
        <w:rPr>
          <w:rFonts w:ascii="Cambria" w:hAnsi="Cambria"/>
          <w:sz w:val="20"/>
          <w:szCs w:val="20"/>
        </w:rPr>
        <w:t xml:space="preserve"> </w:t>
      </w:r>
      <w:r w:rsidR="00341A42" w:rsidRPr="008D6E5C">
        <w:rPr>
          <w:rFonts w:ascii="Cambria" w:hAnsi="Cambria"/>
          <w:sz w:val="20"/>
          <w:szCs w:val="20"/>
        </w:rPr>
        <w:t xml:space="preserve">and others </w:t>
      </w:r>
      <w:r w:rsidRPr="008D6E5C">
        <w:rPr>
          <w:rFonts w:ascii="Cambria" w:hAnsi="Cambria"/>
          <w:sz w:val="20"/>
          <w:szCs w:val="20"/>
        </w:rPr>
        <w:t>as mastermind</w:t>
      </w:r>
      <w:r w:rsidR="00341A42" w:rsidRPr="008D6E5C">
        <w:rPr>
          <w:rFonts w:ascii="Cambria" w:hAnsi="Cambria"/>
          <w:sz w:val="20"/>
          <w:szCs w:val="20"/>
        </w:rPr>
        <w:t>s</w:t>
      </w:r>
      <w:r w:rsidRPr="008D6E5C">
        <w:rPr>
          <w:rFonts w:ascii="Cambria" w:hAnsi="Cambria"/>
          <w:sz w:val="20"/>
          <w:szCs w:val="20"/>
        </w:rPr>
        <w:t>; (c) the Revolutionary Armed Forces (FARC) as masterminds; and (d) members of a criminal gang led by alias “</w:t>
      </w:r>
      <w:proofErr w:type="spellStart"/>
      <w:r w:rsidRPr="008D6E5C">
        <w:rPr>
          <w:rFonts w:ascii="Cambria" w:hAnsi="Cambria"/>
          <w:sz w:val="20"/>
          <w:szCs w:val="20"/>
        </w:rPr>
        <w:t>Gallina</w:t>
      </w:r>
      <w:proofErr w:type="spellEnd"/>
      <w:r w:rsidRPr="008D6E5C">
        <w:rPr>
          <w:rFonts w:ascii="Cambria" w:hAnsi="Cambria"/>
          <w:sz w:val="20"/>
          <w:szCs w:val="20"/>
        </w:rPr>
        <w:t>” as masterminds.</w:t>
      </w:r>
    </w:p>
    <w:p w:rsidR="00C0575F" w:rsidRPr="008D6E5C" w:rsidRDefault="00C0575F"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0575F" w:rsidRPr="008D6E5C" w:rsidRDefault="00C0575F" w:rsidP="001520DB">
      <w:pPr>
        <w:pStyle w:val="Heading4"/>
        <w:spacing w:before="0"/>
        <w:rPr>
          <w:szCs w:val="20"/>
        </w:rPr>
      </w:pPr>
      <w:r w:rsidRPr="008D6E5C">
        <w:rPr>
          <w:szCs w:val="20"/>
        </w:rPr>
        <w:t>a.</w:t>
      </w:r>
      <w:r w:rsidRPr="008D6E5C">
        <w:rPr>
          <w:szCs w:val="20"/>
        </w:rPr>
        <w:tab/>
        <w:t xml:space="preserve">The then-mayor and others as masterminds </w:t>
      </w:r>
    </w:p>
    <w:p w:rsidR="00C0575F" w:rsidRPr="008D6E5C" w:rsidRDefault="00C0575F" w:rsidP="001520DB">
      <w:pPr>
        <w:pStyle w:val="ListParagraph"/>
        <w:ind w:left="1440"/>
        <w:jc w:val="both"/>
        <w:rPr>
          <w:b/>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During the investigation, the authorities handling the case worked with the theory t</w:t>
      </w:r>
      <w:r w:rsidR="008E2D4B" w:rsidRPr="008D6E5C">
        <w:rPr>
          <w:rFonts w:ascii="Cambria" w:hAnsi="Cambria"/>
          <w:sz w:val="20"/>
          <w:szCs w:val="20"/>
        </w:rPr>
        <w:t xml:space="preserve">hat the then-mayor of </w:t>
      </w:r>
      <w:proofErr w:type="spellStart"/>
      <w:r w:rsidR="008E2D4B" w:rsidRPr="008D6E5C">
        <w:rPr>
          <w:rFonts w:ascii="Cambria" w:hAnsi="Cambria"/>
          <w:sz w:val="20"/>
          <w:szCs w:val="20"/>
        </w:rPr>
        <w:t>Pitalito</w:t>
      </w:r>
      <w:proofErr w:type="spellEnd"/>
      <w:r w:rsidR="008E2D4B" w:rsidRPr="008D6E5C">
        <w:rPr>
          <w:rFonts w:ascii="Cambria" w:hAnsi="Cambria"/>
          <w:sz w:val="20"/>
          <w:szCs w:val="20"/>
        </w:rPr>
        <w:t xml:space="preserve">, Ramiro </w:t>
      </w:r>
      <w:proofErr w:type="spellStart"/>
      <w:r w:rsidR="008E2D4B" w:rsidRPr="008D6E5C">
        <w:rPr>
          <w:rFonts w:ascii="Cambria" w:hAnsi="Cambria"/>
          <w:sz w:val="20"/>
          <w:szCs w:val="20"/>
        </w:rPr>
        <w:t>Falla</w:t>
      </w:r>
      <w:proofErr w:type="spellEnd"/>
      <w:r w:rsidR="008E2D4B" w:rsidRPr="008D6E5C">
        <w:rPr>
          <w:rFonts w:ascii="Cambria" w:hAnsi="Cambria"/>
          <w:sz w:val="20"/>
          <w:szCs w:val="20"/>
        </w:rPr>
        <w:t>,</w:t>
      </w:r>
      <w:r w:rsidRPr="008D6E5C">
        <w:rPr>
          <w:rFonts w:ascii="Cambria" w:hAnsi="Cambria"/>
          <w:sz w:val="20"/>
          <w:szCs w:val="20"/>
        </w:rPr>
        <w:t xml:space="preserve"> had masterminded the crime. According to the January 18, 1999 report by the Regional Prosecutor’s Office (</w:t>
      </w:r>
      <w:r w:rsidRPr="008D6E5C">
        <w:rPr>
          <w:rFonts w:ascii="Cambria" w:hAnsi="Cambria"/>
          <w:i/>
          <w:sz w:val="20"/>
          <w:szCs w:val="20"/>
        </w:rPr>
        <w:t xml:space="preserve">supra </w:t>
      </w:r>
      <w:r w:rsidRPr="008D6E5C">
        <w:rPr>
          <w:rFonts w:ascii="Cambria" w:hAnsi="Cambria"/>
          <w:sz w:val="20"/>
          <w:szCs w:val="20"/>
        </w:rPr>
        <w:t xml:space="preserve">para. </w:t>
      </w:r>
      <w:r w:rsidR="00FF4CCA" w:rsidRPr="008D6E5C">
        <w:rPr>
          <w:rFonts w:ascii="Cambria" w:hAnsi="Cambria"/>
          <w:sz w:val="20"/>
          <w:szCs w:val="20"/>
        </w:rPr>
        <w:t>49</w:t>
      </w:r>
      <w:r w:rsidRPr="008D6E5C">
        <w:rPr>
          <w:rFonts w:ascii="Cambria" w:hAnsi="Cambria"/>
          <w:sz w:val="20"/>
          <w:szCs w:val="20"/>
        </w:rPr>
        <w:t xml:space="preserve">), weeks prior to his murder, </w:t>
      </w:r>
      <w:proofErr w:type="spellStart"/>
      <w:r w:rsidRPr="008D6E5C">
        <w:rPr>
          <w:rFonts w:ascii="Cambria" w:hAnsi="Cambria"/>
          <w:sz w:val="20"/>
          <w:szCs w:val="20"/>
        </w:rPr>
        <w:t>Carvajal</w:t>
      </w:r>
      <w:proofErr w:type="spellEnd"/>
      <w:r w:rsidRPr="008D6E5C">
        <w:rPr>
          <w:rFonts w:ascii="Cambria" w:hAnsi="Cambria"/>
          <w:sz w:val="20"/>
          <w:szCs w:val="20"/>
        </w:rPr>
        <w:t xml:space="preserve"> had reportedly denounced irregularities in the purchase of a piece of land called El </w:t>
      </w:r>
      <w:proofErr w:type="spellStart"/>
      <w:r w:rsidRPr="008D6E5C">
        <w:rPr>
          <w:rFonts w:ascii="Cambria" w:hAnsi="Cambria"/>
          <w:sz w:val="20"/>
          <w:szCs w:val="20"/>
        </w:rPr>
        <w:t>Topacio</w:t>
      </w:r>
      <w:proofErr w:type="spellEnd"/>
      <w:r w:rsidRPr="008D6E5C">
        <w:rPr>
          <w:rFonts w:ascii="Cambria" w:hAnsi="Cambria"/>
          <w:sz w:val="20"/>
          <w:szCs w:val="20"/>
        </w:rPr>
        <w:t xml:space="preserve"> by </w:t>
      </w:r>
      <w:proofErr w:type="spellStart"/>
      <w:r w:rsidRPr="008D6E5C">
        <w:rPr>
          <w:rFonts w:ascii="Cambria" w:hAnsi="Cambria"/>
          <w:sz w:val="20"/>
          <w:szCs w:val="20"/>
        </w:rPr>
        <w:t>Pitalito’s</w:t>
      </w:r>
      <w:proofErr w:type="spellEnd"/>
      <w:r w:rsidRPr="008D6E5C">
        <w:rPr>
          <w:rFonts w:ascii="Cambria" w:hAnsi="Cambria"/>
          <w:sz w:val="20"/>
          <w:szCs w:val="20"/>
        </w:rPr>
        <w:t xml:space="preserve"> Mayor. This land was reportedly meant to be used for the construction of an environmental park.</w:t>
      </w:r>
      <w:r w:rsidRPr="008D6E5C">
        <w:rPr>
          <w:rStyle w:val="FootnoteReference"/>
          <w:rFonts w:ascii="Cambria" w:hAnsi="Cambria"/>
          <w:sz w:val="20"/>
          <w:szCs w:val="20"/>
        </w:rPr>
        <w:footnoteReference w:id="41"/>
      </w:r>
      <w:r w:rsidRPr="008D6E5C">
        <w:rPr>
          <w:rFonts w:ascii="Cambria" w:hAnsi="Cambria"/>
          <w:sz w:val="20"/>
          <w:szCs w:val="20"/>
        </w:rPr>
        <w:t xml:space="preserve"> On April 17, 1998, the day after he was killed, </w:t>
      </w:r>
      <w:proofErr w:type="spellStart"/>
      <w:r w:rsidRPr="008D6E5C">
        <w:rPr>
          <w:rFonts w:ascii="Cambria" w:hAnsi="Cambria"/>
          <w:sz w:val="20"/>
          <w:szCs w:val="20"/>
        </w:rPr>
        <w:t>Carvajal</w:t>
      </w:r>
      <w:proofErr w:type="spellEnd"/>
      <w:r w:rsidRPr="008D6E5C">
        <w:rPr>
          <w:rFonts w:ascii="Cambria" w:hAnsi="Cambria"/>
          <w:sz w:val="20"/>
          <w:szCs w:val="20"/>
        </w:rPr>
        <w:t xml:space="preserve"> was supposed to give a statement to the Municipal Ombudsman concerning his reporting on these events.  </w:t>
      </w:r>
    </w:p>
    <w:p w:rsidR="00C0575F" w:rsidRPr="008D6E5C" w:rsidRDefault="00C0575F" w:rsidP="001520DB">
      <w:pPr>
        <w:pStyle w:val="ListParagraph"/>
        <w:ind w:left="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According to witness statements, the mayor was annoyed by </w:t>
      </w:r>
      <w:proofErr w:type="spellStart"/>
      <w:r w:rsidRPr="008D6E5C">
        <w:rPr>
          <w:rFonts w:ascii="Cambria" w:hAnsi="Cambria"/>
          <w:sz w:val="20"/>
          <w:szCs w:val="20"/>
        </w:rPr>
        <w:t>Carvajal’s</w:t>
      </w:r>
      <w:proofErr w:type="spellEnd"/>
      <w:r w:rsidRPr="008D6E5C">
        <w:rPr>
          <w:rFonts w:ascii="Cambria" w:hAnsi="Cambria"/>
          <w:sz w:val="20"/>
          <w:szCs w:val="20"/>
        </w:rPr>
        <w:t xml:space="preserve"> reporting. Fernando Augusto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the journalist’s brother, indicated in his statement that he ran into the mayor of </w:t>
      </w:r>
      <w:proofErr w:type="spellStart"/>
      <w:r w:rsidRPr="008D6E5C">
        <w:rPr>
          <w:rFonts w:ascii="Cambria" w:hAnsi="Cambria"/>
          <w:sz w:val="20"/>
          <w:szCs w:val="20"/>
        </w:rPr>
        <w:t>Pitalito</w:t>
      </w:r>
      <w:proofErr w:type="spellEnd"/>
      <w:r w:rsidRPr="008D6E5C">
        <w:rPr>
          <w:rFonts w:ascii="Cambria" w:hAnsi="Cambria"/>
          <w:sz w:val="20"/>
          <w:szCs w:val="20"/>
        </w:rPr>
        <w:t xml:space="preserve">, on the street in January 1998, and that </w:t>
      </w:r>
      <w:r w:rsidR="008E2D4B" w:rsidRPr="008D6E5C">
        <w:rPr>
          <w:rFonts w:ascii="Cambria" w:hAnsi="Cambria"/>
          <w:sz w:val="20"/>
          <w:szCs w:val="20"/>
        </w:rPr>
        <w:t>he</w:t>
      </w:r>
      <w:r w:rsidRPr="008D6E5C">
        <w:rPr>
          <w:rFonts w:ascii="Cambria" w:hAnsi="Cambria"/>
          <w:sz w:val="20"/>
          <w:szCs w:val="20"/>
        </w:rPr>
        <w:t xml:space="preserve"> told him, “Say hello to that son-of-a-bitch brother of yours, Nelson. Tell him that’s from Ramiro </w:t>
      </w:r>
      <w:proofErr w:type="spellStart"/>
      <w:r w:rsidRPr="008D6E5C">
        <w:rPr>
          <w:rFonts w:ascii="Cambria" w:hAnsi="Cambria"/>
          <w:sz w:val="20"/>
          <w:szCs w:val="20"/>
        </w:rPr>
        <w:t>Falla</w:t>
      </w:r>
      <w:proofErr w:type="spellEnd"/>
      <w:r w:rsidRPr="008D6E5C">
        <w:rPr>
          <w:rFonts w:ascii="Cambria" w:hAnsi="Cambria"/>
          <w:sz w:val="20"/>
          <w:szCs w:val="20"/>
        </w:rPr>
        <w:t>.”</w:t>
      </w:r>
      <w:r w:rsidRPr="008D6E5C">
        <w:rPr>
          <w:rStyle w:val="FootnoteReference"/>
          <w:rFonts w:ascii="Cambria" w:hAnsi="Cambria"/>
          <w:sz w:val="20"/>
          <w:szCs w:val="20"/>
        </w:rPr>
        <w:footnoteReference w:id="42"/>
      </w:r>
      <w:r w:rsidRPr="008D6E5C">
        <w:rPr>
          <w:rFonts w:ascii="Cambria" w:hAnsi="Cambria"/>
          <w:sz w:val="20"/>
          <w:szCs w:val="20"/>
        </w:rPr>
        <w:t xml:space="preserve"> According to the January 1999 report of the Prosecutor’s Office, a member of the </w:t>
      </w:r>
      <w:proofErr w:type="spellStart"/>
      <w:r w:rsidRPr="008D6E5C">
        <w:rPr>
          <w:rFonts w:ascii="Cambria" w:hAnsi="Cambria"/>
          <w:sz w:val="20"/>
          <w:szCs w:val="20"/>
        </w:rPr>
        <w:t>Pitalito</w:t>
      </w:r>
      <w:proofErr w:type="spellEnd"/>
      <w:r w:rsidRPr="008D6E5C">
        <w:rPr>
          <w:rFonts w:ascii="Cambria" w:hAnsi="Cambria"/>
          <w:sz w:val="20"/>
          <w:szCs w:val="20"/>
        </w:rPr>
        <w:t xml:space="preserve"> town council said in his statement that the phone calls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had been receiving were to get him to keep quiet, since they knew that </w:t>
      </w:r>
      <w:proofErr w:type="spellStart"/>
      <w:r w:rsidRPr="008D6E5C">
        <w:rPr>
          <w:rFonts w:ascii="Cambria" w:hAnsi="Cambria"/>
          <w:sz w:val="20"/>
          <w:szCs w:val="20"/>
        </w:rPr>
        <w:t>Carvajal</w:t>
      </w:r>
      <w:proofErr w:type="spellEnd"/>
      <w:r w:rsidRPr="008D6E5C">
        <w:rPr>
          <w:rFonts w:ascii="Cambria" w:hAnsi="Cambria"/>
          <w:sz w:val="20"/>
          <w:szCs w:val="20"/>
        </w:rPr>
        <w:t xml:space="preserve"> was scheduled to give a statement to the Ombudsman regarding irregularities in the purchase of El </w:t>
      </w:r>
      <w:proofErr w:type="spellStart"/>
      <w:r w:rsidRPr="008D6E5C">
        <w:rPr>
          <w:rFonts w:ascii="Cambria" w:hAnsi="Cambria"/>
          <w:sz w:val="20"/>
          <w:szCs w:val="20"/>
        </w:rPr>
        <w:t>Topacio</w:t>
      </w:r>
      <w:proofErr w:type="spellEnd"/>
      <w:r w:rsidRPr="008D6E5C">
        <w:rPr>
          <w:rFonts w:ascii="Cambria" w:hAnsi="Cambria"/>
          <w:sz w:val="20"/>
          <w:szCs w:val="20"/>
        </w:rPr>
        <w:t>.</w:t>
      </w:r>
      <w:r w:rsidRPr="008D6E5C">
        <w:rPr>
          <w:rStyle w:val="FootnoteReference"/>
          <w:rFonts w:ascii="Cambria" w:hAnsi="Cambria"/>
          <w:sz w:val="20"/>
          <w:szCs w:val="20"/>
        </w:rPr>
        <w:footnoteReference w:id="43"/>
      </w:r>
      <w:r w:rsidRPr="008D6E5C">
        <w:rPr>
          <w:rFonts w:ascii="Cambria" w:hAnsi="Cambria"/>
          <w:sz w:val="20"/>
          <w:szCs w:val="20"/>
        </w:rPr>
        <w:t xml:space="preserve"> According to the report of the Technical Investigations Unit, the “Municipal Ombudsman of </w:t>
      </w:r>
      <w:proofErr w:type="spellStart"/>
      <w:r w:rsidRPr="008D6E5C">
        <w:rPr>
          <w:rFonts w:ascii="Cambria" w:hAnsi="Cambria"/>
          <w:sz w:val="20"/>
          <w:szCs w:val="20"/>
        </w:rPr>
        <w:t>Pitalito</w:t>
      </w:r>
      <w:proofErr w:type="spellEnd"/>
      <w:r w:rsidRPr="008D6E5C">
        <w:rPr>
          <w:rFonts w:ascii="Cambria" w:hAnsi="Cambria"/>
          <w:sz w:val="20"/>
          <w:szCs w:val="20"/>
        </w:rPr>
        <w:t xml:space="preserve"> had summoned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to appear on April 16, 1998, but Nelson called the Office of the Ombudsman’s Secretary on the evening of April 15 to say that he would not be able to appear at the scheduled time because he was working, and that he would go on the morning of Friday the 17</w:t>
      </w:r>
      <w:r w:rsidRPr="008D6E5C">
        <w:rPr>
          <w:rFonts w:ascii="Cambria" w:hAnsi="Cambria"/>
          <w:sz w:val="20"/>
          <w:szCs w:val="20"/>
          <w:vertAlign w:val="superscript"/>
        </w:rPr>
        <w:t>th</w:t>
      </w:r>
      <w:r w:rsidRPr="008D6E5C">
        <w:rPr>
          <w:rFonts w:ascii="Cambria" w:hAnsi="Cambria"/>
          <w:sz w:val="20"/>
          <w:szCs w:val="20"/>
        </w:rPr>
        <w:t>. According to the information provided by the Office of the Ombudsman, the scheduled proceeding was pursuant to a writ issued by the 5</w:t>
      </w:r>
      <w:r w:rsidRPr="008D6E5C">
        <w:rPr>
          <w:rFonts w:ascii="Cambria" w:hAnsi="Cambria"/>
          <w:sz w:val="20"/>
          <w:szCs w:val="20"/>
          <w:vertAlign w:val="superscript"/>
        </w:rPr>
        <w:t>th</w:t>
      </w:r>
      <w:r w:rsidRPr="008D6E5C">
        <w:rPr>
          <w:rFonts w:ascii="Cambria" w:hAnsi="Cambria"/>
          <w:sz w:val="20"/>
          <w:szCs w:val="20"/>
        </w:rPr>
        <w:t xml:space="preserve"> Departmental Office of the Prosecutor of Huila, dated March 18, 1998, to take statements from the deceased and from journalists Manuel Castro Tovar and Rafael </w:t>
      </w:r>
      <w:proofErr w:type="spellStart"/>
      <w:r w:rsidRPr="008D6E5C">
        <w:rPr>
          <w:rFonts w:ascii="Cambria" w:hAnsi="Cambria"/>
          <w:sz w:val="20"/>
          <w:szCs w:val="20"/>
        </w:rPr>
        <w:t>Chaux</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concerning the purchase of the El </w:t>
      </w:r>
      <w:proofErr w:type="spellStart"/>
      <w:r w:rsidRPr="008D6E5C">
        <w:rPr>
          <w:rFonts w:ascii="Cambria" w:hAnsi="Cambria"/>
          <w:sz w:val="20"/>
          <w:szCs w:val="20"/>
        </w:rPr>
        <w:t>Topacio</w:t>
      </w:r>
      <w:proofErr w:type="spellEnd"/>
      <w:r w:rsidRPr="008D6E5C">
        <w:rPr>
          <w:rFonts w:ascii="Cambria" w:hAnsi="Cambria"/>
          <w:sz w:val="20"/>
          <w:szCs w:val="20"/>
        </w:rPr>
        <w:t xml:space="preserve"> property by the prior municipal government, which was going to be used for a recreational center.”</w:t>
      </w:r>
      <w:r w:rsidRPr="008D6E5C">
        <w:rPr>
          <w:rStyle w:val="FootnoteReference"/>
          <w:rFonts w:ascii="Cambria" w:hAnsi="Cambria"/>
          <w:sz w:val="20"/>
          <w:szCs w:val="20"/>
        </w:rPr>
        <w:footnoteReference w:id="44"/>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In addition, in a supplemental statement,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indicated that an individual who identified himself as a member of the guerrilla told her that he knew of a meeting attended by </w:t>
      </w:r>
      <w:r w:rsidR="008E2D4B" w:rsidRPr="008D6E5C">
        <w:rPr>
          <w:rFonts w:ascii="Cambria" w:hAnsi="Cambria"/>
          <w:sz w:val="20"/>
          <w:szCs w:val="20"/>
        </w:rPr>
        <w:t>the mayor and other individuals</w:t>
      </w:r>
      <w:r w:rsidRPr="008D6E5C">
        <w:rPr>
          <w:rFonts w:ascii="Cambria" w:hAnsi="Cambria"/>
          <w:sz w:val="20"/>
          <w:szCs w:val="20"/>
        </w:rPr>
        <w:t>. The alleged guerrilla member told her that “they planned Nelson’s death at that meeting, and split the total amount they were going to pay the hit men.”</w:t>
      </w:r>
      <w:r w:rsidRPr="008D6E5C">
        <w:rPr>
          <w:rStyle w:val="FootnoteReference"/>
          <w:rFonts w:ascii="Cambria" w:hAnsi="Cambria"/>
          <w:sz w:val="20"/>
          <w:szCs w:val="20"/>
        </w:rPr>
        <w:footnoteReference w:id="45"/>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As previously explained, the investigation against </w:t>
      </w:r>
      <w:r w:rsidR="00341A42" w:rsidRPr="008D6E5C">
        <w:rPr>
          <w:rFonts w:ascii="Cambria" w:hAnsi="Cambria"/>
          <w:sz w:val="20"/>
          <w:szCs w:val="20"/>
        </w:rPr>
        <w:t xml:space="preserve">the former mayor of </w:t>
      </w:r>
      <w:proofErr w:type="spellStart"/>
      <w:r w:rsidR="00341A42" w:rsidRPr="008D6E5C">
        <w:rPr>
          <w:rFonts w:ascii="Cambria" w:hAnsi="Cambria"/>
          <w:sz w:val="20"/>
          <w:szCs w:val="20"/>
        </w:rPr>
        <w:t>Pitalito</w:t>
      </w:r>
      <w:proofErr w:type="spellEnd"/>
      <w:r w:rsidRPr="008D6E5C">
        <w:rPr>
          <w:rFonts w:ascii="Cambria" w:hAnsi="Cambria"/>
          <w:sz w:val="20"/>
          <w:szCs w:val="20"/>
        </w:rPr>
        <w:t xml:space="preserve"> was closed in 1999. Nevertheless, the case file reflects that during the investigation conducted in 2006 a witness who was a </w:t>
      </w:r>
      <w:r w:rsidRPr="008D6E5C">
        <w:rPr>
          <w:rFonts w:ascii="Cambria" w:hAnsi="Cambria"/>
          <w:sz w:val="20"/>
          <w:szCs w:val="20"/>
        </w:rPr>
        <w:lastRenderedPageBreak/>
        <w:t>demobilized FARC combatant (</w:t>
      </w:r>
      <w:r w:rsidRPr="008D6E5C">
        <w:rPr>
          <w:rFonts w:ascii="Cambria" w:hAnsi="Cambria"/>
          <w:i/>
          <w:sz w:val="20"/>
          <w:szCs w:val="20"/>
        </w:rPr>
        <w:t xml:space="preserve">infra </w:t>
      </w:r>
      <w:r w:rsidR="000536B5" w:rsidRPr="008D6E5C">
        <w:rPr>
          <w:rFonts w:ascii="Cambria" w:hAnsi="Cambria"/>
          <w:sz w:val="20"/>
          <w:szCs w:val="20"/>
        </w:rPr>
        <w:t xml:space="preserve">para. 55) </w:t>
      </w:r>
      <w:r w:rsidRPr="008D6E5C">
        <w:rPr>
          <w:rFonts w:ascii="Cambria" w:hAnsi="Cambria"/>
          <w:sz w:val="20"/>
          <w:szCs w:val="20"/>
        </w:rPr>
        <w:t xml:space="preserve">told a Special Prosecutor that the masterminds behind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Carvajal’s</w:t>
      </w:r>
      <w:proofErr w:type="spellEnd"/>
      <w:r w:rsidRPr="008D6E5C">
        <w:rPr>
          <w:rFonts w:ascii="Cambria" w:hAnsi="Cambria"/>
          <w:sz w:val="20"/>
          <w:szCs w:val="20"/>
        </w:rPr>
        <w:t xml:space="preserve"> murder included </w:t>
      </w:r>
      <w:r w:rsidR="00341A42" w:rsidRPr="008D6E5C">
        <w:rPr>
          <w:rFonts w:ascii="Cambria" w:hAnsi="Cambria"/>
          <w:sz w:val="20"/>
          <w:szCs w:val="20"/>
        </w:rPr>
        <w:t>the mayor and a local businessman</w:t>
      </w:r>
      <w:r w:rsidRPr="008D6E5C">
        <w:rPr>
          <w:rFonts w:ascii="Cambria" w:hAnsi="Cambria"/>
          <w:sz w:val="20"/>
          <w:szCs w:val="20"/>
        </w:rPr>
        <w:t>.</w:t>
      </w:r>
      <w:r w:rsidRPr="008D6E5C">
        <w:rPr>
          <w:rStyle w:val="FootnoteReference"/>
          <w:rFonts w:ascii="Cambria" w:hAnsi="Cambria"/>
          <w:sz w:val="20"/>
          <w:szCs w:val="20"/>
        </w:rPr>
        <w:footnoteReference w:id="46"/>
      </w:r>
    </w:p>
    <w:p w:rsidR="00341A42" w:rsidRPr="008D6E5C" w:rsidRDefault="00341A42" w:rsidP="00341A4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C0575F" w:rsidRPr="008D6E5C" w:rsidRDefault="00C0575F" w:rsidP="001520DB">
      <w:pPr>
        <w:pStyle w:val="Heading4"/>
        <w:spacing w:before="0"/>
        <w:rPr>
          <w:szCs w:val="20"/>
        </w:rPr>
      </w:pPr>
      <w:r w:rsidRPr="008D6E5C">
        <w:rPr>
          <w:szCs w:val="20"/>
        </w:rPr>
        <w:t>b.</w:t>
      </w:r>
      <w:r w:rsidRPr="008D6E5C">
        <w:rPr>
          <w:szCs w:val="20"/>
        </w:rPr>
        <w:tab/>
        <w:t xml:space="preserve">A </w:t>
      </w:r>
      <w:r w:rsidR="00B844B3" w:rsidRPr="008D6E5C">
        <w:rPr>
          <w:szCs w:val="20"/>
        </w:rPr>
        <w:t>businessman</w:t>
      </w:r>
      <w:r w:rsidRPr="008D6E5C">
        <w:rPr>
          <w:szCs w:val="20"/>
        </w:rPr>
        <w:t xml:space="preserve"> and former member of the town council and others as masterminds </w:t>
      </w:r>
    </w:p>
    <w:p w:rsidR="00C0575F" w:rsidRPr="008D6E5C" w:rsidRDefault="00C0575F" w:rsidP="001520DB">
      <w:pPr>
        <w:pStyle w:val="ListParagraph"/>
        <w:ind w:left="0"/>
        <w:jc w:val="both"/>
        <w:rPr>
          <w:b/>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According to the January 18, 1999 report of the Regional Prosecutor’s Office, weeks before his murder, </w:t>
      </w:r>
      <w:proofErr w:type="spellStart"/>
      <w:r w:rsidRPr="008D6E5C">
        <w:rPr>
          <w:rFonts w:ascii="Cambria" w:hAnsi="Cambria"/>
          <w:sz w:val="20"/>
          <w:szCs w:val="20"/>
        </w:rPr>
        <w:t>Carvajal</w:t>
      </w:r>
      <w:proofErr w:type="spellEnd"/>
      <w:r w:rsidRPr="008D6E5C">
        <w:rPr>
          <w:rFonts w:ascii="Cambria" w:hAnsi="Cambria"/>
          <w:sz w:val="20"/>
          <w:szCs w:val="20"/>
        </w:rPr>
        <w:t xml:space="preserve"> had exposed structural irregularities by the builder and former member of the town council</w:t>
      </w:r>
      <w:r w:rsidRPr="008D6E5C">
        <w:rPr>
          <w:rStyle w:val="FootnoteReference"/>
          <w:rFonts w:ascii="Cambria" w:hAnsi="Cambria"/>
          <w:sz w:val="20"/>
          <w:szCs w:val="20"/>
        </w:rPr>
        <w:footnoteReference w:id="47"/>
      </w:r>
      <w:r w:rsidRPr="008D6E5C">
        <w:rPr>
          <w:rFonts w:ascii="Cambria" w:hAnsi="Cambria"/>
          <w:sz w:val="20"/>
          <w:szCs w:val="20"/>
        </w:rPr>
        <w:t xml:space="preserve"> Fernando </w:t>
      </w:r>
      <w:proofErr w:type="spellStart"/>
      <w:r w:rsidRPr="008D6E5C">
        <w:rPr>
          <w:rFonts w:ascii="Cambria" w:hAnsi="Cambria"/>
          <w:sz w:val="20"/>
          <w:szCs w:val="20"/>
        </w:rPr>
        <w:t>Bermúdez</w:t>
      </w:r>
      <w:proofErr w:type="spellEnd"/>
      <w:r w:rsidRPr="008D6E5C">
        <w:rPr>
          <w:rFonts w:ascii="Cambria" w:hAnsi="Cambria"/>
          <w:sz w:val="20"/>
          <w:szCs w:val="20"/>
        </w:rPr>
        <w:t xml:space="preserve"> in the construction of a housing development in </w:t>
      </w:r>
      <w:proofErr w:type="spellStart"/>
      <w:r w:rsidRPr="008D6E5C">
        <w:rPr>
          <w:rFonts w:ascii="Cambria" w:hAnsi="Cambria"/>
          <w:sz w:val="20"/>
          <w:szCs w:val="20"/>
        </w:rPr>
        <w:t>Pitalito</w:t>
      </w:r>
      <w:proofErr w:type="spellEnd"/>
      <w:r w:rsidRPr="008D6E5C">
        <w:rPr>
          <w:rFonts w:ascii="Cambria" w:hAnsi="Cambria"/>
          <w:sz w:val="20"/>
          <w:szCs w:val="20"/>
        </w:rPr>
        <w:t xml:space="preserve"> known as “Las Acacias.” The alleged irregularities on the part of </w:t>
      </w:r>
      <w:r w:rsidR="00341A42" w:rsidRPr="008D6E5C">
        <w:rPr>
          <w:rFonts w:ascii="Cambria" w:hAnsi="Cambria"/>
          <w:sz w:val="20"/>
          <w:szCs w:val="20"/>
        </w:rPr>
        <w:t xml:space="preserve">the </w:t>
      </w:r>
      <w:r w:rsidR="005A288C" w:rsidRPr="008D6E5C">
        <w:rPr>
          <w:rFonts w:ascii="Cambria" w:hAnsi="Cambria"/>
          <w:sz w:val="20"/>
          <w:szCs w:val="20"/>
        </w:rPr>
        <w:t>builder</w:t>
      </w:r>
      <w:r w:rsidR="00341A42" w:rsidRPr="008D6E5C">
        <w:rPr>
          <w:rFonts w:ascii="Cambria" w:hAnsi="Cambria"/>
          <w:sz w:val="20"/>
          <w:szCs w:val="20"/>
        </w:rPr>
        <w:t xml:space="preserve"> and former town council member</w:t>
      </w:r>
      <w:r w:rsidRPr="008D6E5C">
        <w:rPr>
          <w:rFonts w:ascii="Cambria" w:hAnsi="Cambria"/>
          <w:sz w:val="20"/>
          <w:szCs w:val="20"/>
        </w:rPr>
        <w:t xml:space="preserve"> led to the release of a statement by the housing development’s community Board of Directors. The director of the program “</w:t>
      </w:r>
      <w:proofErr w:type="spellStart"/>
      <w:r w:rsidRPr="008D6E5C">
        <w:rPr>
          <w:rFonts w:ascii="Cambria" w:hAnsi="Cambria"/>
          <w:sz w:val="20"/>
          <w:szCs w:val="20"/>
        </w:rPr>
        <w:t>Momento</w:t>
      </w:r>
      <w:proofErr w:type="spellEnd"/>
      <w:r w:rsidRPr="008D6E5C">
        <w:rPr>
          <w:rFonts w:ascii="Cambria" w:hAnsi="Cambria"/>
          <w:sz w:val="20"/>
          <w:szCs w:val="20"/>
        </w:rPr>
        <w:t xml:space="preserve"> Regional,” where Mr. </w:t>
      </w:r>
      <w:proofErr w:type="spellStart"/>
      <w:r w:rsidRPr="008D6E5C">
        <w:rPr>
          <w:rFonts w:ascii="Cambria" w:hAnsi="Cambria"/>
          <w:sz w:val="20"/>
          <w:szCs w:val="20"/>
        </w:rPr>
        <w:t>Carvajal</w:t>
      </w:r>
      <w:proofErr w:type="spellEnd"/>
      <w:r w:rsidRPr="008D6E5C">
        <w:rPr>
          <w:rFonts w:ascii="Cambria" w:hAnsi="Cambria"/>
          <w:sz w:val="20"/>
          <w:szCs w:val="20"/>
        </w:rPr>
        <w:t xml:space="preserve"> worked, stated in his affidavit that he had knowledge of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criticism of the irregularities in the management of the local government and of the complaints about the housing developments built by Fernando </w:t>
      </w:r>
      <w:proofErr w:type="spellStart"/>
      <w:r w:rsidRPr="008D6E5C">
        <w:rPr>
          <w:rFonts w:ascii="Cambria" w:hAnsi="Cambria"/>
          <w:sz w:val="20"/>
          <w:szCs w:val="20"/>
        </w:rPr>
        <w:t>Bermúdez</w:t>
      </w:r>
      <w:proofErr w:type="spellEnd"/>
      <w:r w:rsidRPr="008D6E5C">
        <w:rPr>
          <w:rFonts w:ascii="Cambria" w:hAnsi="Cambria"/>
          <w:sz w:val="20"/>
          <w:szCs w:val="20"/>
        </w:rPr>
        <w:t>. He indicated that the news program “was not trying to do harm to anyone, but rather to warn the public about anomalies that had arisen with respect to the builders, [and] with respect to the council member, his eagerness to allocate funds to himself from the Municipal budget—things that should not have been done.”</w:t>
      </w:r>
      <w:r w:rsidRPr="008D6E5C">
        <w:rPr>
          <w:rStyle w:val="FootnoteReference"/>
          <w:rFonts w:ascii="Cambria" w:hAnsi="Cambria"/>
          <w:sz w:val="20"/>
          <w:szCs w:val="20"/>
        </w:rPr>
        <w:footnoteReference w:id="48"/>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During the pretrial phase of the criminal proceeding several individuals stated that 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had received threats from the builder. For example, one former member of the </w:t>
      </w:r>
      <w:proofErr w:type="spellStart"/>
      <w:r w:rsidRPr="008D6E5C">
        <w:rPr>
          <w:rFonts w:ascii="Cambria" w:hAnsi="Cambria"/>
          <w:sz w:val="20"/>
          <w:szCs w:val="20"/>
        </w:rPr>
        <w:t>Pitalito</w:t>
      </w:r>
      <w:proofErr w:type="spellEnd"/>
      <w:r w:rsidRPr="008D6E5C">
        <w:rPr>
          <w:rFonts w:ascii="Cambria" w:hAnsi="Cambria"/>
          <w:sz w:val="20"/>
          <w:szCs w:val="20"/>
        </w:rPr>
        <w:t xml:space="preserve"> town council stated that </w:t>
      </w:r>
      <w:proofErr w:type="spellStart"/>
      <w:r w:rsidRPr="008D6E5C">
        <w:rPr>
          <w:rFonts w:ascii="Cambria" w:hAnsi="Cambria"/>
          <w:sz w:val="20"/>
          <w:szCs w:val="20"/>
        </w:rPr>
        <w:t>Carvajal</w:t>
      </w:r>
      <w:proofErr w:type="spellEnd"/>
      <w:r w:rsidRPr="008D6E5C">
        <w:rPr>
          <w:rFonts w:ascii="Cambria" w:hAnsi="Cambria"/>
          <w:sz w:val="20"/>
          <w:szCs w:val="20"/>
        </w:rPr>
        <w:t xml:space="preserve"> once told him that </w:t>
      </w:r>
      <w:proofErr w:type="spellStart"/>
      <w:r w:rsidRPr="008D6E5C">
        <w:rPr>
          <w:rFonts w:ascii="Cambria" w:hAnsi="Cambria"/>
          <w:sz w:val="20"/>
          <w:szCs w:val="20"/>
        </w:rPr>
        <w:t>Bermúdez</w:t>
      </w:r>
      <w:proofErr w:type="spellEnd"/>
      <w:r w:rsidRPr="008D6E5C">
        <w:rPr>
          <w:rFonts w:ascii="Cambria" w:hAnsi="Cambria"/>
          <w:sz w:val="20"/>
          <w:szCs w:val="20"/>
        </w:rPr>
        <w:t xml:space="preserve"> was going to try to kill him.</w:t>
      </w:r>
      <w:r w:rsidRPr="008D6E5C">
        <w:rPr>
          <w:rStyle w:val="FootnoteReference"/>
          <w:rFonts w:ascii="Cambria" w:hAnsi="Cambria"/>
          <w:sz w:val="20"/>
          <w:szCs w:val="20"/>
        </w:rPr>
        <w:footnoteReference w:id="49"/>
      </w:r>
      <w:r w:rsidRPr="008D6E5C">
        <w:rPr>
          <w:rFonts w:ascii="Cambria" w:hAnsi="Cambria"/>
          <w:sz w:val="20"/>
          <w:szCs w:val="20"/>
        </w:rPr>
        <w:t xml:space="preserve">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sister, indicated in her supplemental affidavit that “approximately two (02) months prior to Nelson’s murder I was with him in</w:t>
      </w:r>
      <w:r w:rsidR="005A288C" w:rsidRPr="008D6E5C">
        <w:rPr>
          <w:rFonts w:ascii="Cambria" w:hAnsi="Cambria"/>
          <w:sz w:val="20"/>
          <w:szCs w:val="20"/>
        </w:rPr>
        <w:t xml:space="preserve"> the doorway of the house when </w:t>
      </w:r>
      <w:proofErr w:type="spellStart"/>
      <w:r w:rsidRPr="008D6E5C">
        <w:rPr>
          <w:rFonts w:ascii="Cambria" w:hAnsi="Cambria"/>
          <w:sz w:val="20"/>
          <w:szCs w:val="20"/>
        </w:rPr>
        <w:t>Bermúdez</w:t>
      </w:r>
      <w:proofErr w:type="spellEnd"/>
      <w:r w:rsidRPr="008D6E5C">
        <w:rPr>
          <w:rFonts w:ascii="Cambria" w:hAnsi="Cambria"/>
          <w:sz w:val="20"/>
          <w:szCs w:val="20"/>
        </w:rPr>
        <w:t xml:space="preserve"> and </w:t>
      </w:r>
      <w:r w:rsidR="009520FB" w:rsidRPr="008D6E5C">
        <w:rPr>
          <w:rFonts w:ascii="Cambria" w:hAnsi="Cambria"/>
          <w:sz w:val="20"/>
          <w:szCs w:val="20"/>
        </w:rPr>
        <w:t>[</w:t>
      </w:r>
      <w:r w:rsidRPr="008D6E5C">
        <w:rPr>
          <w:rFonts w:ascii="Cambria" w:hAnsi="Cambria"/>
          <w:sz w:val="20"/>
          <w:szCs w:val="20"/>
        </w:rPr>
        <w:t xml:space="preserve">Marco </w:t>
      </w:r>
      <w:proofErr w:type="spellStart"/>
      <w:r w:rsidRPr="008D6E5C">
        <w:rPr>
          <w:rFonts w:ascii="Cambria" w:hAnsi="Cambria"/>
          <w:sz w:val="20"/>
          <w:szCs w:val="20"/>
        </w:rPr>
        <w:t>Collazos</w:t>
      </w:r>
      <w:proofErr w:type="spellEnd"/>
      <w:r w:rsidR="009520FB" w:rsidRPr="008D6E5C">
        <w:rPr>
          <w:rFonts w:ascii="Cambria" w:hAnsi="Cambria"/>
          <w:sz w:val="20"/>
          <w:szCs w:val="20"/>
        </w:rPr>
        <w:t>]</w:t>
      </w:r>
      <w:r w:rsidRPr="008D6E5C">
        <w:rPr>
          <w:rFonts w:ascii="Cambria" w:hAnsi="Cambria"/>
          <w:sz w:val="20"/>
          <w:szCs w:val="20"/>
        </w:rPr>
        <w:t xml:space="preserve"> pulled up in a car and called Nelson. He approached them and then </w:t>
      </w:r>
      <w:proofErr w:type="spellStart"/>
      <w:r w:rsidRPr="008D6E5C">
        <w:rPr>
          <w:rFonts w:ascii="Cambria" w:hAnsi="Cambria"/>
          <w:sz w:val="20"/>
          <w:szCs w:val="20"/>
        </w:rPr>
        <w:t>Bermúdez</w:t>
      </w:r>
      <w:proofErr w:type="spellEnd"/>
      <w:r w:rsidRPr="008D6E5C">
        <w:rPr>
          <w:rFonts w:ascii="Cambria" w:hAnsi="Cambria"/>
          <w:sz w:val="20"/>
          <w:szCs w:val="20"/>
        </w:rPr>
        <w:t xml:space="preserve"> spoke to him very harshly, saying, son-of-a-bitch, we’ll kill you, and then they took off in the car.”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stated that when she asked her brother if he knew the reasons for what had happened, he told her that it was because of “problems with the information in the news, but that [he] had to tell the truth.” She also stated that Nelson told her that one of </w:t>
      </w:r>
      <w:r w:rsidR="005A288C" w:rsidRPr="008D6E5C">
        <w:rPr>
          <w:rFonts w:ascii="Cambria" w:hAnsi="Cambria"/>
          <w:sz w:val="20"/>
          <w:szCs w:val="20"/>
        </w:rPr>
        <w:t>the builder</w:t>
      </w:r>
      <w:r w:rsidRPr="008D6E5C">
        <w:rPr>
          <w:rFonts w:ascii="Cambria" w:hAnsi="Cambria"/>
          <w:sz w:val="20"/>
          <w:szCs w:val="20"/>
        </w:rPr>
        <w:t xml:space="preserve">’s bodyguards called him to a meeting with the guerrillas. According to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said that he knew it was not the guerrillas who wanted to meet with him, but that it was </w:t>
      </w:r>
      <w:r w:rsidR="005A288C" w:rsidRPr="008D6E5C">
        <w:rPr>
          <w:rFonts w:ascii="Cambria" w:hAnsi="Cambria"/>
          <w:sz w:val="20"/>
          <w:szCs w:val="20"/>
        </w:rPr>
        <w:t>the builder</w:t>
      </w:r>
      <w:r w:rsidRPr="008D6E5C">
        <w:rPr>
          <w:rFonts w:ascii="Cambria" w:hAnsi="Cambria"/>
          <w:sz w:val="20"/>
          <w:szCs w:val="20"/>
        </w:rPr>
        <w:t>, since “he was very angry with him,” and that he had no trouble with the guerrillas and therefore was not going to attend that meeting.</w:t>
      </w:r>
      <w:r w:rsidRPr="008D6E5C">
        <w:rPr>
          <w:rStyle w:val="FootnoteReference"/>
          <w:rFonts w:ascii="Cambria" w:hAnsi="Cambria"/>
          <w:sz w:val="20"/>
          <w:szCs w:val="20"/>
        </w:rPr>
        <w:footnoteReference w:id="50"/>
      </w:r>
      <w:r w:rsidRPr="008D6E5C">
        <w:rPr>
          <w:rFonts w:ascii="Cambria" w:hAnsi="Cambria"/>
          <w:sz w:val="20"/>
          <w:szCs w:val="20"/>
        </w:rPr>
        <w:t xml:space="preserve"> Luz Stella </w:t>
      </w:r>
      <w:proofErr w:type="spellStart"/>
      <w:r w:rsidRPr="008D6E5C">
        <w:rPr>
          <w:rFonts w:ascii="Cambria" w:hAnsi="Cambria"/>
          <w:sz w:val="20"/>
          <w:szCs w:val="20"/>
        </w:rPr>
        <w:t>Bolaños</w:t>
      </w:r>
      <w:proofErr w:type="spellEnd"/>
      <w:r w:rsidRPr="008D6E5C">
        <w:rPr>
          <w:rFonts w:ascii="Cambria" w:hAnsi="Cambria"/>
          <w:sz w:val="20"/>
          <w:szCs w:val="20"/>
        </w:rPr>
        <w:t xml:space="preserve"> Rodríguez,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wife, stated in her supplemental affidavit that Nelson once told her that </w:t>
      </w:r>
      <w:proofErr w:type="spellStart"/>
      <w:r w:rsidRPr="008D6E5C">
        <w:rPr>
          <w:rFonts w:ascii="Cambria" w:hAnsi="Cambria"/>
          <w:sz w:val="20"/>
          <w:szCs w:val="20"/>
        </w:rPr>
        <w:t>Bermúdez</w:t>
      </w:r>
      <w:proofErr w:type="spellEnd"/>
      <w:r w:rsidRPr="008D6E5C">
        <w:rPr>
          <w:rFonts w:ascii="Cambria" w:hAnsi="Cambria"/>
          <w:sz w:val="20"/>
          <w:szCs w:val="20"/>
        </w:rPr>
        <w:t xml:space="preserve"> was going to “shut him up.”</w:t>
      </w:r>
      <w:r w:rsidRPr="008D6E5C">
        <w:rPr>
          <w:rStyle w:val="FootnoteReference"/>
          <w:rFonts w:ascii="Cambria" w:hAnsi="Cambria"/>
          <w:sz w:val="20"/>
          <w:szCs w:val="20"/>
        </w:rPr>
        <w:footnoteReference w:id="51"/>
      </w:r>
      <w:r w:rsidRPr="008D6E5C">
        <w:rPr>
          <w:rFonts w:ascii="Cambria" w:hAnsi="Cambria"/>
          <w:sz w:val="20"/>
          <w:szCs w:val="20"/>
        </w:rPr>
        <w:t xml:space="preserve"> In addition, a former member of congress and resident of </w:t>
      </w:r>
      <w:proofErr w:type="spellStart"/>
      <w:r w:rsidRPr="008D6E5C">
        <w:rPr>
          <w:rFonts w:ascii="Cambria" w:hAnsi="Cambria"/>
          <w:sz w:val="20"/>
          <w:szCs w:val="20"/>
        </w:rPr>
        <w:t>Pitalito</w:t>
      </w:r>
      <w:proofErr w:type="spellEnd"/>
      <w:r w:rsidRPr="008D6E5C">
        <w:rPr>
          <w:rFonts w:ascii="Cambria" w:hAnsi="Cambria"/>
          <w:sz w:val="20"/>
          <w:szCs w:val="20"/>
        </w:rPr>
        <w:t xml:space="preserve"> Huila, indicated in his statement that “in the days prior to his death, </w:t>
      </w:r>
      <w:r w:rsidRPr="008D6E5C">
        <w:rPr>
          <w:rFonts w:ascii="Cambria" w:hAnsi="Cambria" w:cs="Cambria"/>
          <w:sz w:val="20"/>
          <w:szCs w:val="20"/>
        </w:rPr>
        <w:t xml:space="preserve">[Nelson] </w:t>
      </w:r>
      <w:r w:rsidRPr="008D6E5C">
        <w:rPr>
          <w:rFonts w:ascii="Cambria" w:hAnsi="Cambria"/>
          <w:sz w:val="20"/>
          <w:szCs w:val="20"/>
        </w:rPr>
        <w:t xml:space="preserve">told me, with great concern and clear distress, </w:t>
      </w:r>
      <w:r w:rsidRPr="008D6E5C">
        <w:rPr>
          <w:rFonts w:ascii="Cambria" w:hAnsi="Cambria" w:cs="Cambria"/>
          <w:sz w:val="20"/>
          <w:szCs w:val="20"/>
        </w:rPr>
        <w:t xml:space="preserve">that he had run into Mr. Fernando </w:t>
      </w:r>
      <w:proofErr w:type="spellStart"/>
      <w:r w:rsidRPr="008D6E5C">
        <w:rPr>
          <w:rFonts w:ascii="Cambria" w:hAnsi="Cambria" w:cs="Cambria"/>
          <w:sz w:val="20"/>
          <w:szCs w:val="20"/>
        </w:rPr>
        <w:t>Bermúdez</w:t>
      </w:r>
      <w:proofErr w:type="spellEnd"/>
      <w:r w:rsidRPr="008D6E5C">
        <w:rPr>
          <w:rFonts w:ascii="Cambria" w:hAnsi="Cambria" w:cs="Cambria"/>
          <w:sz w:val="20"/>
          <w:szCs w:val="20"/>
        </w:rPr>
        <w:t xml:space="preserve"> at the opening ceremony for some public works at a school—the name of which I do not recall—and that he had called him aside and said, ‘Son-of-a-bitch, I’m going to have you killed.’”</w:t>
      </w:r>
      <w:r w:rsidRPr="008D6E5C">
        <w:rPr>
          <w:rStyle w:val="FootnoteReference"/>
          <w:rFonts w:ascii="Cambria" w:hAnsi="Cambria"/>
          <w:sz w:val="20"/>
          <w:szCs w:val="20"/>
        </w:rPr>
        <w:footnoteReference w:id="52"/>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In her statements,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maintained that the day before his murder </w:t>
      </w:r>
      <w:proofErr w:type="spellStart"/>
      <w:r w:rsidRPr="008D6E5C">
        <w:rPr>
          <w:rFonts w:ascii="Cambria" w:hAnsi="Cambria"/>
          <w:sz w:val="20"/>
          <w:szCs w:val="20"/>
        </w:rPr>
        <w:t>Carvajal</w:t>
      </w:r>
      <w:proofErr w:type="spellEnd"/>
      <w:r w:rsidRPr="008D6E5C">
        <w:rPr>
          <w:rFonts w:ascii="Cambria" w:hAnsi="Cambria"/>
          <w:sz w:val="20"/>
          <w:szCs w:val="20"/>
        </w:rPr>
        <w:t xml:space="preserve"> had told her that “Mr. </w:t>
      </w:r>
      <w:proofErr w:type="spellStart"/>
      <w:r w:rsidRPr="008D6E5C">
        <w:rPr>
          <w:rFonts w:ascii="Cambria" w:hAnsi="Cambria"/>
          <w:sz w:val="20"/>
          <w:szCs w:val="20"/>
        </w:rPr>
        <w:t>Bermúdez</w:t>
      </w:r>
      <w:proofErr w:type="spellEnd"/>
      <w:r w:rsidRPr="008D6E5C">
        <w:rPr>
          <w:rFonts w:ascii="Cambria" w:hAnsi="Cambria"/>
          <w:sz w:val="20"/>
          <w:szCs w:val="20"/>
        </w:rPr>
        <w:t xml:space="preserve"> had offered [him] two million pesos a month to keep quiet [and] that he had said that he would not accept it because his honesty did not have a price.”</w:t>
      </w:r>
      <w:r w:rsidRPr="008D6E5C">
        <w:rPr>
          <w:rStyle w:val="FootnoteReference"/>
          <w:rFonts w:ascii="Cambria" w:hAnsi="Cambria"/>
          <w:sz w:val="20"/>
          <w:szCs w:val="20"/>
        </w:rPr>
        <w:t xml:space="preserve"> </w:t>
      </w:r>
      <w:r w:rsidRPr="008D6E5C">
        <w:rPr>
          <w:rStyle w:val="FootnoteReference"/>
          <w:rFonts w:ascii="Cambria" w:hAnsi="Cambria"/>
          <w:sz w:val="20"/>
          <w:szCs w:val="20"/>
        </w:rPr>
        <w:footnoteReference w:id="53"/>
      </w:r>
      <w:r w:rsidRPr="008D6E5C">
        <w:rPr>
          <w:rFonts w:ascii="Cambria" w:hAnsi="Cambria"/>
          <w:sz w:val="20"/>
          <w:szCs w:val="20"/>
        </w:rPr>
        <w:t xml:space="preserve"> Similarly, in a supplemental statement, Luz Stella </w:t>
      </w:r>
      <w:proofErr w:type="spellStart"/>
      <w:r w:rsidRPr="008D6E5C">
        <w:rPr>
          <w:rFonts w:ascii="Cambria" w:hAnsi="Cambria"/>
          <w:sz w:val="20"/>
          <w:szCs w:val="20"/>
        </w:rPr>
        <w:t>Bolaños</w:t>
      </w:r>
      <w:proofErr w:type="spellEnd"/>
      <w:r w:rsidRPr="008D6E5C">
        <w:rPr>
          <w:rFonts w:ascii="Cambria" w:hAnsi="Cambria"/>
          <w:sz w:val="20"/>
          <w:szCs w:val="20"/>
        </w:rPr>
        <w:t xml:space="preserve"> said that Mr. </w:t>
      </w:r>
      <w:proofErr w:type="spellStart"/>
      <w:r w:rsidRPr="008D6E5C">
        <w:rPr>
          <w:rFonts w:ascii="Cambria" w:hAnsi="Cambria"/>
          <w:sz w:val="20"/>
          <w:szCs w:val="20"/>
        </w:rPr>
        <w:t>Bermúdez</w:t>
      </w:r>
      <w:proofErr w:type="spellEnd"/>
      <w:r w:rsidRPr="008D6E5C">
        <w:rPr>
          <w:rFonts w:ascii="Cambria" w:hAnsi="Cambria"/>
          <w:sz w:val="20"/>
          <w:szCs w:val="20"/>
        </w:rPr>
        <w:t xml:space="preserve"> “had offered [Nelson] the sum of two million pesos per month to keep quiet, and then came the threats—the whole family knew about it.”</w:t>
      </w:r>
      <w:r w:rsidRPr="008D6E5C">
        <w:rPr>
          <w:rStyle w:val="FootnoteReference"/>
          <w:rFonts w:ascii="Cambria" w:hAnsi="Cambria"/>
          <w:sz w:val="20"/>
          <w:szCs w:val="20"/>
        </w:rPr>
        <w:t xml:space="preserve"> </w:t>
      </w:r>
      <w:r w:rsidRPr="008D6E5C">
        <w:rPr>
          <w:rStyle w:val="FootnoteReference"/>
          <w:rFonts w:ascii="Cambria" w:hAnsi="Cambria"/>
          <w:sz w:val="20"/>
          <w:szCs w:val="20"/>
        </w:rPr>
        <w:footnoteReference w:id="54"/>
      </w:r>
      <w:r w:rsidRPr="008D6E5C">
        <w:rPr>
          <w:rFonts w:ascii="Cambria" w:hAnsi="Cambria"/>
          <w:sz w:val="20"/>
          <w:szCs w:val="20"/>
        </w:rPr>
        <w:t xml:space="preserve"> One of the confidential witnesses indicated that he was with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the day before his murder, and that </w:t>
      </w:r>
      <w:proofErr w:type="spellStart"/>
      <w:r w:rsidRPr="008D6E5C">
        <w:rPr>
          <w:rFonts w:ascii="Cambria" w:hAnsi="Cambria"/>
          <w:sz w:val="20"/>
          <w:szCs w:val="20"/>
        </w:rPr>
        <w:t>Carvajal</w:t>
      </w:r>
      <w:proofErr w:type="spellEnd"/>
      <w:r w:rsidRPr="008D6E5C">
        <w:rPr>
          <w:rFonts w:ascii="Cambria" w:hAnsi="Cambria"/>
          <w:sz w:val="20"/>
          <w:szCs w:val="20"/>
        </w:rPr>
        <w:t xml:space="preserve"> told him that “he had received a death threat from </w:t>
      </w:r>
      <w:proofErr w:type="spellStart"/>
      <w:r w:rsidRPr="008D6E5C">
        <w:rPr>
          <w:rFonts w:ascii="Cambria" w:hAnsi="Cambria"/>
          <w:sz w:val="20"/>
          <w:szCs w:val="20"/>
        </w:rPr>
        <w:t>Bermúdez</w:t>
      </w:r>
      <w:proofErr w:type="spellEnd"/>
      <w:r w:rsidRPr="008D6E5C">
        <w:rPr>
          <w:rFonts w:ascii="Cambria" w:hAnsi="Cambria"/>
          <w:sz w:val="20"/>
          <w:szCs w:val="20"/>
        </w:rPr>
        <w:t xml:space="preserve"> as a consequence of reporting these events [irregularities in one of the housing developments], and after he refused to take a bribe, saying that his conscience was non-negotiable. He was offered money or a house as a bribe, in exchange for staying out of the affairs concerning the housing development.’”</w:t>
      </w:r>
      <w:r w:rsidRPr="008D6E5C">
        <w:rPr>
          <w:rStyle w:val="FootnoteReference"/>
          <w:rFonts w:ascii="Cambria" w:hAnsi="Cambria"/>
          <w:sz w:val="20"/>
          <w:szCs w:val="20"/>
        </w:rPr>
        <w:footnoteReference w:id="55"/>
      </w:r>
      <w:r w:rsidRPr="008D6E5C">
        <w:rPr>
          <w:rFonts w:ascii="Cambria" w:hAnsi="Cambria"/>
          <w:sz w:val="20"/>
          <w:szCs w:val="20"/>
        </w:rPr>
        <w:t xml:space="preserve"> Another confidential witness indicated that </w:t>
      </w:r>
      <w:proofErr w:type="spellStart"/>
      <w:r w:rsidRPr="008D6E5C">
        <w:rPr>
          <w:rFonts w:ascii="Cambria" w:hAnsi="Cambria"/>
          <w:sz w:val="20"/>
          <w:szCs w:val="20"/>
        </w:rPr>
        <w:t>Carvajal</w:t>
      </w:r>
      <w:proofErr w:type="spellEnd"/>
      <w:r w:rsidRPr="008D6E5C">
        <w:rPr>
          <w:rFonts w:ascii="Cambria" w:hAnsi="Cambria"/>
          <w:sz w:val="20"/>
          <w:szCs w:val="20"/>
        </w:rPr>
        <w:t xml:space="preserve"> told him “that what he [</w:t>
      </w:r>
      <w:r w:rsidR="0071477F" w:rsidRPr="008D6E5C">
        <w:rPr>
          <w:rFonts w:ascii="Cambria" w:hAnsi="Cambria"/>
          <w:sz w:val="20"/>
          <w:szCs w:val="20"/>
        </w:rPr>
        <w:t>Bermudez</w:t>
      </w:r>
      <w:r w:rsidRPr="008D6E5C">
        <w:rPr>
          <w:rFonts w:ascii="Cambria" w:hAnsi="Cambria"/>
          <w:sz w:val="20"/>
          <w:szCs w:val="20"/>
        </w:rPr>
        <w:t xml:space="preserve">] wanted was for him to shut his mouth, and that [Nelson] told him [they] would have to kill him to shut him up, but that he was not going to allow himself to be bought off. [Nelson] also told him that Mr. </w:t>
      </w:r>
      <w:proofErr w:type="spellStart"/>
      <w:r w:rsidRPr="008D6E5C">
        <w:rPr>
          <w:rFonts w:ascii="Cambria" w:hAnsi="Cambria"/>
          <w:sz w:val="20"/>
          <w:szCs w:val="20"/>
        </w:rPr>
        <w:t>Bermúdez</w:t>
      </w:r>
      <w:proofErr w:type="spellEnd"/>
      <w:r w:rsidRPr="008D6E5C">
        <w:rPr>
          <w:rFonts w:ascii="Cambria" w:hAnsi="Cambria"/>
          <w:sz w:val="20"/>
          <w:szCs w:val="20"/>
        </w:rPr>
        <w:t xml:space="preserve"> had offered him two million pesos per month to stop talking and to mind his own business, but that he wasn’t going to be bought off.”</w:t>
      </w:r>
      <w:r w:rsidRPr="008D6E5C">
        <w:rPr>
          <w:rStyle w:val="FootnoteReference"/>
          <w:rFonts w:ascii="Cambria" w:hAnsi="Cambria"/>
          <w:sz w:val="20"/>
          <w:szCs w:val="20"/>
        </w:rPr>
        <w:footnoteReference w:id="56"/>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In addition, the Director of the program “</w:t>
      </w:r>
      <w:proofErr w:type="spellStart"/>
      <w:r w:rsidRPr="008D6E5C">
        <w:rPr>
          <w:rFonts w:ascii="Cambria" w:hAnsi="Cambria"/>
          <w:sz w:val="20"/>
          <w:szCs w:val="20"/>
        </w:rPr>
        <w:t>Momento</w:t>
      </w:r>
      <w:proofErr w:type="spellEnd"/>
      <w:r w:rsidRPr="008D6E5C">
        <w:rPr>
          <w:rFonts w:ascii="Cambria" w:hAnsi="Cambria"/>
          <w:sz w:val="20"/>
          <w:szCs w:val="20"/>
        </w:rPr>
        <w:t xml:space="preserve"> Regional,” said in his statement that “people [were talking] about threats, especially in the neighborhood where he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was a school teacher, and so on the day of his death all of the neighborhood’s residents attributed the crime to </w:t>
      </w:r>
      <w:proofErr w:type="spellStart"/>
      <w:r w:rsidRPr="008D6E5C">
        <w:rPr>
          <w:rFonts w:ascii="Cambria" w:hAnsi="Cambria"/>
          <w:sz w:val="20"/>
          <w:szCs w:val="20"/>
        </w:rPr>
        <w:t>Bermúdez</w:t>
      </w:r>
      <w:proofErr w:type="spellEnd"/>
      <w:r w:rsidRPr="008D6E5C">
        <w:rPr>
          <w:rFonts w:ascii="Cambria" w:hAnsi="Cambria"/>
          <w:sz w:val="20"/>
          <w:szCs w:val="20"/>
        </w:rPr>
        <w:t xml:space="preserve"> and </w:t>
      </w:r>
      <w:proofErr w:type="spellStart"/>
      <w:r w:rsidRPr="008D6E5C">
        <w:rPr>
          <w:rFonts w:ascii="Cambria" w:hAnsi="Cambria"/>
          <w:sz w:val="20"/>
          <w:szCs w:val="20"/>
        </w:rPr>
        <w:t>Falla</w:t>
      </w:r>
      <w:proofErr w:type="spellEnd"/>
      <w:r w:rsidRPr="008D6E5C">
        <w:rPr>
          <w:rFonts w:ascii="Cambria" w:hAnsi="Cambria"/>
          <w:sz w:val="20"/>
          <w:szCs w:val="20"/>
        </w:rPr>
        <w:t>.”</w:t>
      </w:r>
      <w:r w:rsidRPr="008D6E5C">
        <w:rPr>
          <w:rStyle w:val="FootnoteReference"/>
          <w:rFonts w:ascii="Cambria" w:hAnsi="Cambria"/>
          <w:sz w:val="20"/>
          <w:szCs w:val="20"/>
        </w:rPr>
        <w:footnoteReference w:id="57"/>
      </w:r>
      <w:r w:rsidRPr="008D6E5C">
        <w:rPr>
          <w:rFonts w:ascii="Cambria" w:hAnsi="Cambria"/>
          <w:sz w:val="20"/>
          <w:szCs w:val="20"/>
        </w:rPr>
        <w:t xml:space="preserve"> One of the affiants in the case also indicated that, 20 minutes prior to his murder,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said that </w:t>
      </w:r>
      <w:proofErr w:type="spellStart"/>
      <w:r w:rsidRPr="008D6E5C">
        <w:rPr>
          <w:rFonts w:ascii="Cambria" w:hAnsi="Cambria"/>
          <w:sz w:val="20"/>
          <w:szCs w:val="20"/>
        </w:rPr>
        <w:t>Bermúdez</w:t>
      </w:r>
      <w:proofErr w:type="spellEnd"/>
      <w:r w:rsidRPr="008D6E5C">
        <w:rPr>
          <w:rFonts w:ascii="Cambria" w:hAnsi="Cambria"/>
          <w:sz w:val="20"/>
          <w:szCs w:val="20"/>
        </w:rPr>
        <w:t xml:space="preserve"> had threatened him because he know that the “Cali cartel” was giving [</w:t>
      </w:r>
      <w:proofErr w:type="spellStart"/>
      <w:r w:rsidRPr="008D6E5C">
        <w:rPr>
          <w:rFonts w:ascii="Cambria" w:hAnsi="Cambria"/>
          <w:sz w:val="20"/>
          <w:szCs w:val="20"/>
        </w:rPr>
        <w:t>Bermúdez</w:t>
      </w:r>
      <w:proofErr w:type="spellEnd"/>
      <w:r w:rsidRPr="008D6E5C">
        <w:rPr>
          <w:rFonts w:ascii="Cambria" w:hAnsi="Cambria"/>
          <w:sz w:val="20"/>
          <w:szCs w:val="20"/>
        </w:rPr>
        <w:t xml:space="preserve">] money “to launder dollars through housing construction.” In his supplemental statement, the same affiant indicated that he heard </w:t>
      </w:r>
      <w:proofErr w:type="spellStart"/>
      <w:r w:rsidRPr="008D6E5C">
        <w:rPr>
          <w:rFonts w:ascii="Cambria" w:hAnsi="Cambria"/>
          <w:sz w:val="20"/>
          <w:szCs w:val="20"/>
        </w:rPr>
        <w:t>Bermúdez</w:t>
      </w:r>
      <w:proofErr w:type="spellEnd"/>
      <w:r w:rsidRPr="008D6E5C">
        <w:rPr>
          <w:rFonts w:ascii="Cambria" w:hAnsi="Cambria"/>
          <w:sz w:val="20"/>
          <w:szCs w:val="20"/>
        </w:rPr>
        <w:t xml:space="preserve"> threaten </w:t>
      </w:r>
      <w:proofErr w:type="spellStart"/>
      <w:r w:rsidRPr="008D6E5C">
        <w:rPr>
          <w:rFonts w:ascii="Cambria" w:hAnsi="Cambria"/>
          <w:sz w:val="20"/>
          <w:szCs w:val="20"/>
        </w:rPr>
        <w:t>Carvajal</w:t>
      </w:r>
      <w:proofErr w:type="spellEnd"/>
      <w:r w:rsidRPr="008D6E5C">
        <w:rPr>
          <w:rFonts w:ascii="Cambria" w:hAnsi="Cambria"/>
          <w:sz w:val="20"/>
          <w:szCs w:val="20"/>
        </w:rPr>
        <w:t xml:space="preserve"> and that the threat was on account of the fact that </w:t>
      </w:r>
      <w:proofErr w:type="spellStart"/>
      <w:r w:rsidRPr="008D6E5C">
        <w:rPr>
          <w:rFonts w:ascii="Cambria" w:hAnsi="Cambria"/>
          <w:sz w:val="20"/>
          <w:szCs w:val="20"/>
        </w:rPr>
        <w:t>Carvajal</w:t>
      </w:r>
      <w:proofErr w:type="spellEnd"/>
      <w:r w:rsidRPr="008D6E5C">
        <w:rPr>
          <w:rFonts w:ascii="Cambria" w:hAnsi="Cambria"/>
          <w:sz w:val="20"/>
          <w:szCs w:val="20"/>
        </w:rPr>
        <w:t xml:space="preserve"> knew about “the mafia’s money,” and had evidence consisting of the blueprints for the housing development.</w:t>
      </w:r>
      <w:r w:rsidRPr="008D6E5C">
        <w:rPr>
          <w:rStyle w:val="FootnoteReference"/>
          <w:rFonts w:ascii="Cambria" w:hAnsi="Cambria"/>
          <w:sz w:val="20"/>
          <w:szCs w:val="20"/>
        </w:rPr>
        <w:footnoteReference w:id="58"/>
      </w:r>
      <w:r w:rsidRPr="008D6E5C">
        <w:rPr>
          <w:rFonts w:ascii="Cambria" w:hAnsi="Cambria"/>
          <w:sz w:val="20"/>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Based on these statements, the Regional Prosecutor’s Office issued an order stating that it had no doubt “that the deceased,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in his capacity as town council member and journalist, spoke out publicly on several occasions against </w:t>
      </w:r>
      <w:r w:rsidR="00815BEC" w:rsidRPr="008D6E5C">
        <w:rPr>
          <w:rFonts w:ascii="Cambria" w:hAnsi="Cambria"/>
          <w:sz w:val="20"/>
          <w:szCs w:val="20"/>
        </w:rPr>
        <w:t>[the defendants]</w:t>
      </w:r>
      <w:r w:rsidRPr="008D6E5C">
        <w:rPr>
          <w:rFonts w:ascii="Cambria" w:hAnsi="Cambria"/>
          <w:sz w:val="20"/>
          <w:szCs w:val="20"/>
        </w:rPr>
        <w:t xml:space="preserve"> about alleged irregularities committed by those individuals in various public and private acts, which directly or indirectly affected some interests.” It stated that </w:t>
      </w:r>
      <w:proofErr w:type="spellStart"/>
      <w:r w:rsidRPr="008D6E5C">
        <w:rPr>
          <w:rFonts w:ascii="Cambria" w:hAnsi="Cambria"/>
          <w:sz w:val="20"/>
          <w:szCs w:val="20"/>
        </w:rPr>
        <w:t>Carvajal’s</w:t>
      </w:r>
      <w:proofErr w:type="spellEnd"/>
      <w:r w:rsidRPr="008D6E5C">
        <w:rPr>
          <w:rFonts w:ascii="Cambria" w:hAnsi="Cambria"/>
          <w:sz w:val="20"/>
          <w:szCs w:val="20"/>
        </w:rPr>
        <w:t xml:space="preserve"> reports gave rise to some investigations, including “Marco Fidel </w:t>
      </w:r>
      <w:proofErr w:type="spellStart"/>
      <w:r w:rsidRPr="008D6E5C">
        <w:rPr>
          <w:rFonts w:ascii="Cambria" w:hAnsi="Cambria"/>
          <w:sz w:val="20"/>
          <w:szCs w:val="20"/>
        </w:rPr>
        <w:t>Collazos’s</w:t>
      </w:r>
      <w:proofErr w:type="spellEnd"/>
      <w:r w:rsidRPr="008D6E5C">
        <w:rPr>
          <w:rFonts w:ascii="Cambria" w:hAnsi="Cambria"/>
          <w:sz w:val="20"/>
          <w:szCs w:val="20"/>
        </w:rPr>
        <w:t xml:space="preserve"> acknowledgement that there is a criminal case currently pending against him for alleged embezzlement […]; the investigation requested by Mayor </w:t>
      </w:r>
      <w:proofErr w:type="spellStart"/>
      <w:r w:rsidRPr="008D6E5C">
        <w:rPr>
          <w:rFonts w:ascii="Cambria" w:hAnsi="Cambria"/>
          <w:sz w:val="20"/>
          <w:szCs w:val="20"/>
        </w:rPr>
        <w:t>Falla</w:t>
      </w:r>
      <w:proofErr w:type="spellEnd"/>
      <w:r w:rsidRPr="008D6E5C">
        <w:rPr>
          <w:rFonts w:ascii="Cambria" w:hAnsi="Cambria"/>
          <w:sz w:val="20"/>
          <w:szCs w:val="20"/>
        </w:rPr>
        <w:t xml:space="preserve"> himself because of the controversy surrounding the negotiation of the El </w:t>
      </w:r>
      <w:proofErr w:type="spellStart"/>
      <w:r w:rsidRPr="008D6E5C">
        <w:rPr>
          <w:rFonts w:ascii="Cambria" w:hAnsi="Cambria"/>
          <w:sz w:val="20"/>
          <w:szCs w:val="20"/>
        </w:rPr>
        <w:t>Topacio</w:t>
      </w:r>
      <w:proofErr w:type="spellEnd"/>
      <w:r w:rsidRPr="008D6E5C">
        <w:rPr>
          <w:rFonts w:ascii="Cambria" w:hAnsi="Cambria"/>
          <w:sz w:val="20"/>
          <w:szCs w:val="20"/>
        </w:rPr>
        <w:t xml:space="preserve"> property […] and with respect to Fernando </w:t>
      </w:r>
      <w:proofErr w:type="spellStart"/>
      <w:r w:rsidRPr="008D6E5C">
        <w:rPr>
          <w:rFonts w:ascii="Cambria" w:hAnsi="Cambria"/>
          <w:sz w:val="20"/>
          <w:szCs w:val="20"/>
        </w:rPr>
        <w:t>Bermúdez</w:t>
      </w:r>
      <w:proofErr w:type="spellEnd"/>
      <w:r w:rsidRPr="008D6E5C">
        <w:rPr>
          <w:rFonts w:ascii="Cambria" w:hAnsi="Cambria"/>
          <w:sz w:val="20"/>
          <w:szCs w:val="20"/>
        </w:rPr>
        <w:t xml:space="preserve"> because of the public radio reports about the irregularities brought to light in the construction of the Las Acacias housing development, in which some property owners demanded that Nelson intervene through his radio program.”</w:t>
      </w:r>
      <w:r w:rsidRPr="008D6E5C">
        <w:rPr>
          <w:rStyle w:val="FootnoteReference"/>
          <w:rFonts w:ascii="Cambria" w:hAnsi="Cambria"/>
          <w:sz w:val="20"/>
          <w:szCs w:val="20"/>
        </w:rPr>
        <w:footnoteReference w:id="59"/>
      </w:r>
      <w:r w:rsidRPr="008D6E5C">
        <w:rPr>
          <w:rFonts w:ascii="Cambria" w:hAnsi="Cambria"/>
          <w:sz w:val="20"/>
          <w:szCs w:val="20"/>
        </w:rPr>
        <w:t xml:space="preserve"> </w:t>
      </w:r>
    </w:p>
    <w:p w:rsidR="00C0575F" w:rsidRPr="008D6E5C" w:rsidRDefault="00C0575F" w:rsidP="001520DB">
      <w:pPr>
        <w:pStyle w:val="ListParagraph"/>
        <w:ind w:left="0"/>
        <w:jc w:val="both"/>
        <w:rPr>
          <w:sz w:val="20"/>
          <w:szCs w:val="20"/>
        </w:rPr>
      </w:pPr>
      <w:r w:rsidRPr="008D6E5C">
        <w:rPr>
          <w:sz w:val="20"/>
          <w:szCs w:val="20"/>
        </w:rPr>
        <w:lastRenderedPageBreak/>
        <w:t xml:space="preserve"> </w:t>
      </w: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Regional Prosecutor’s Office stated that several affidavits led to the conclusion that </w:t>
      </w:r>
      <w:r w:rsidR="00815BEC" w:rsidRPr="008D6E5C">
        <w:rPr>
          <w:rFonts w:ascii="Cambria" w:hAnsi="Cambria"/>
          <w:sz w:val="20"/>
          <w:szCs w:val="20"/>
        </w:rPr>
        <w:t>these individuals</w:t>
      </w:r>
      <w:r w:rsidRPr="008D6E5C">
        <w:rPr>
          <w:rFonts w:ascii="Cambria" w:hAnsi="Cambria"/>
          <w:sz w:val="20"/>
          <w:szCs w:val="20"/>
        </w:rPr>
        <w:t xml:space="preserve"> were the masterminds behind the murder, and that “another incriminating situation arose, which [was] the personal friendship, business, and political ties […] among these three defendants, whereby adversely affecting one of them would adversely affect all of them; they had declared their shared political ideology, which made it possible to infer that they conspired in the decision to kill their opponent and public critic.” It also cited the death threats that </w:t>
      </w:r>
      <w:proofErr w:type="spellStart"/>
      <w:r w:rsidRPr="008D6E5C">
        <w:rPr>
          <w:rFonts w:ascii="Cambria" w:hAnsi="Cambria"/>
          <w:sz w:val="20"/>
          <w:szCs w:val="20"/>
        </w:rPr>
        <w:t>Bermúdez</w:t>
      </w:r>
      <w:proofErr w:type="spellEnd"/>
      <w:r w:rsidRPr="008D6E5C">
        <w:rPr>
          <w:rFonts w:ascii="Cambria" w:hAnsi="Cambria"/>
          <w:sz w:val="20"/>
          <w:szCs w:val="20"/>
        </w:rPr>
        <w:t xml:space="preserve"> made to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With regard to the alleged direct perpetrator, the Prosecutor’s Office maintained that many situations converged to create serious circumstantial evidence of responsibility, including the statements of eyewitnesses.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As stated earlier, </w:t>
      </w:r>
      <w:r w:rsidR="00C24740" w:rsidRPr="008D6E5C">
        <w:rPr>
          <w:rFonts w:ascii="Cambria" w:hAnsi="Cambria"/>
          <w:sz w:val="20"/>
          <w:szCs w:val="20"/>
        </w:rPr>
        <w:t>based on this conclusion</w:t>
      </w:r>
      <w:r w:rsidRPr="008D6E5C">
        <w:rPr>
          <w:rFonts w:ascii="Cambria" w:hAnsi="Cambria"/>
          <w:sz w:val="20"/>
          <w:szCs w:val="20"/>
        </w:rPr>
        <w:t xml:space="preserve">, the Regional Prosecutor’s Office evaluated the evidence produced during investigation and filed criminal charges against </w:t>
      </w:r>
      <w:r w:rsidR="00815BEC" w:rsidRPr="008D6E5C">
        <w:rPr>
          <w:rFonts w:ascii="Cambria" w:hAnsi="Cambria"/>
          <w:sz w:val="20"/>
          <w:szCs w:val="20"/>
        </w:rPr>
        <w:t>these three defendants</w:t>
      </w:r>
      <w:r w:rsidRPr="008D6E5C">
        <w:rPr>
          <w:rFonts w:ascii="Cambria" w:hAnsi="Cambria"/>
          <w:sz w:val="20"/>
          <w:szCs w:val="20"/>
        </w:rPr>
        <w:t xml:space="preserve"> (</w:t>
      </w:r>
      <w:r w:rsidRPr="008D6E5C">
        <w:rPr>
          <w:rFonts w:ascii="Cambria" w:hAnsi="Cambria"/>
          <w:i/>
          <w:sz w:val="20"/>
          <w:szCs w:val="20"/>
        </w:rPr>
        <w:t>supra</w:t>
      </w:r>
      <w:r w:rsidR="00DD3145" w:rsidRPr="008D6E5C">
        <w:rPr>
          <w:rFonts w:ascii="Cambria" w:hAnsi="Cambria"/>
          <w:sz w:val="20"/>
          <w:szCs w:val="20"/>
        </w:rPr>
        <w:t xml:space="preserve"> para</w:t>
      </w:r>
      <w:r w:rsidRPr="008D6E5C">
        <w:rPr>
          <w:rFonts w:ascii="Cambria" w:hAnsi="Cambria"/>
          <w:sz w:val="20"/>
          <w:szCs w:val="20"/>
        </w:rPr>
        <w:t xml:space="preserve">.  </w:t>
      </w:r>
      <w:r w:rsidR="007A0492" w:rsidRPr="008D6E5C">
        <w:rPr>
          <w:rFonts w:ascii="Cambria" w:hAnsi="Cambria"/>
          <w:sz w:val="20"/>
          <w:szCs w:val="20"/>
        </w:rPr>
        <w:t>56</w:t>
      </w:r>
      <w:r w:rsidRPr="008D6E5C">
        <w:rPr>
          <w:rFonts w:ascii="Cambria" w:hAnsi="Cambria"/>
          <w:sz w:val="20"/>
          <w:szCs w:val="20"/>
        </w:rPr>
        <w:t>).</w:t>
      </w:r>
    </w:p>
    <w:p w:rsidR="00C0575F" w:rsidRPr="008D6E5C" w:rsidRDefault="00C0575F" w:rsidP="001520DB">
      <w:pPr>
        <w:pStyle w:val="ListParagraph"/>
        <w:ind w:left="0"/>
        <w:jc w:val="both"/>
        <w:rPr>
          <w:sz w:val="20"/>
          <w:szCs w:val="20"/>
        </w:rPr>
      </w:pPr>
    </w:p>
    <w:p w:rsidR="00C0575F" w:rsidRPr="008D6E5C" w:rsidRDefault="00C0575F" w:rsidP="001520DB">
      <w:pPr>
        <w:pStyle w:val="Heading4"/>
        <w:spacing w:before="0"/>
        <w:rPr>
          <w:szCs w:val="20"/>
        </w:rPr>
      </w:pPr>
      <w:r w:rsidRPr="008D6E5C">
        <w:rPr>
          <w:szCs w:val="20"/>
        </w:rPr>
        <w:t>c.</w:t>
      </w:r>
      <w:r w:rsidRPr="008D6E5C">
        <w:rPr>
          <w:szCs w:val="20"/>
        </w:rPr>
        <w:tab/>
        <w:t>Perpetration by the Revolutionary Armed Forces of Colombia (FARC)</w:t>
      </w:r>
    </w:p>
    <w:p w:rsidR="00C0575F" w:rsidRPr="008D6E5C" w:rsidRDefault="00C0575F" w:rsidP="001520DB">
      <w:pPr>
        <w:pStyle w:val="ListParagraph"/>
        <w:keepNext/>
        <w:widowControl w:val="0"/>
        <w:ind w:left="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sz w:val="20"/>
          <w:szCs w:val="20"/>
        </w:rPr>
        <w:t>During the pretrial phase of the criminal proceeding, and based on defense testimony at trial (</w:t>
      </w:r>
      <w:r w:rsidRPr="008D6E5C">
        <w:rPr>
          <w:rFonts w:ascii="Cambria" w:hAnsi="Cambria"/>
          <w:i/>
          <w:sz w:val="20"/>
          <w:szCs w:val="20"/>
        </w:rPr>
        <w:t>infra</w:t>
      </w:r>
      <w:r w:rsidRPr="008D6E5C">
        <w:rPr>
          <w:rFonts w:ascii="Cambria" w:hAnsi="Cambria"/>
          <w:sz w:val="20"/>
          <w:szCs w:val="20"/>
        </w:rPr>
        <w:t xml:space="preserve"> para</w:t>
      </w:r>
      <w:r w:rsidR="000536B5" w:rsidRPr="008D6E5C">
        <w:rPr>
          <w:rFonts w:ascii="Cambria" w:hAnsi="Cambria"/>
          <w:sz w:val="20"/>
          <w:szCs w:val="20"/>
        </w:rPr>
        <w:t>s. 81-86</w:t>
      </w:r>
      <w:r w:rsidRPr="008D6E5C">
        <w:rPr>
          <w:rFonts w:ascii="Cambria" w:hAnsi="Cambria"/>
          <w:sz w:val="20"/>
          <w:szCs w:val="20"/>
        </w:rPr>
        <w:t xml:space="preserve">), an alternative theory was asserted to suggest that the crime was masterminded by guerrillas from the Revolutionary Armed Forces of Colombia (hereinafter “FARC”). </w:t>
      </w:r>
      <w:r w:rsidRPr="008D6E5C">
        <w:rPr>
          <w:rFonts w:ascii="Cambria" w:hAnsi="Cambria" w:cs="Arial"/>
          <w:sz w:val="20"/>
          <w:szCs w:val="20"/>
        </w:rPr>
        <w:t>The case filed indicates that the</w:t>
      </w:r>
      <w:r w:rsidRPr="008D6E5C">
        <w:rPr>
          <w:rFonts w:ascii="Cambria" w:hAnsi="Cambria" w:cs="Arial"/>
          <w:iCs/>
          <w:sz w:val="20"/>
          <w:szCs w:val="20"/>
        </w:rPr>
        <w:t xml:space="preserve"> </w:t>
      </w:r>
      <w:r w:rsidRPr="008D6E5C">
        <w:rPr>
          <w:rFonts w:ascii="Cambria" w:hAnsi="Cambria"/>
          <w:sz w:val="20"/>
          <w:szCs w:val="20"/>
        </w:rPr>
        <w:t xml:space="preserve">Single Criminal Court of the Specialized Circuit </w:t>
      </w:r>
      <w:r w:rsidRPr="008D6E5C">
        <w:rPr>
          <w:rFonts w:ascii="Cambria" w:hAnsi="Cambria" w:cs="Arial"/>
          <w:iCs/>
          <w:sz w:val="20"/>
          <w:szCs w:val="20"/>
        </w:rPr>
        <w:t>accepted “</w:t>
      </w:r>
      <w:r w:rsidRPr="008D6E5C">
        <w:rPr>
          <w:rFonts w:ascii="Cambria" w:hAnsi="Cambria" w:cs="Arial"/>
          <w:sz w:val="20"/>
          <w:szCs w:val="20"/>
        </w:rPr>
        <w:t xml:space="preserve">the defense theory that the perpetrators of Mr. </w:t>
      </w:r>
      <w:proofErr w:type="spellStart"/>
      <w:r w:rsidRPr="008D6E5C">
        <w:rPr>
          <w:rFonts w:ascii="Cambria" w:hAnsi="Cambria" w:cs="Arial"/>
          <w:sz w:val="20"/>
          <w:szCs w:val="20"/>
        </w:rPr>
        <w:t>Carvajal’s</w:t>
      </w:r>
      <w:proofErr w:type="spellEnd"/>
      <w:r w:rsidRPr="008D6E5C">
        <w:rPr>
          <w:rFonts w:ascii="Cambria" w:hAnsi="Cambria" w:cs="Arial"/>
          <w:sz w:val="20"/>
          <w:szCs w:val="20"/>
        </w:rPr>
        <w:t xml:space="preserve"> death were FARC members,” in spite of the fact that this working hypothesis had been ruled out by the Prosecutor’s Office because it was “inconsistent and a setup" by the defendants.</w:t>
      </w:r>
      <w:r w:rsidRPr="008D6E5C">
        <w:rPr>
          <w:rStyle w:val="FootnoteReference"/>
          <w:rFonts w:ascii="Cambria" w:hAnsi="Cambria"/>
          <w:sz w:val="20"/>
          <w:szCs w:val="20"/>
        </w:rPr>
        <w:footnoteReference w:id="60"/>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Single Criminal Court of the Specialized Circuit indicated that it received the statement of defense witness Mario Enrique </w:t>
      </w:r>
      <w:proofErr w:type="spellStart"/>
      <w:r w:rsidRPr="008D6E5C">
        <w:rPr>
          <w:rFonts w:ascii="Cambria" w:hAnsi="Cambria"/>
          <w:sz w:val="20"/>
          <w:szCs w:val="20"/>
        </w:rPr>
        <w:t>Rincón</w:t>
      </w:r>
      <w:proofErr w:type="spellEnd"/>
      <w:r w:rsidRPr="008D6E5C">
        <w:rPr>
          <w:rFonts w:ascii="Cambria" w:hAnsi="Cambria"/>
          <w:sz w:val="20"/>
          <w:szCs w:val="20"/>
        </w:rPr>
        <w:t xml:space="preserve"> Contreras, “who, in a detailed, precise, in-depth, and </w:t>
      </w:r>
      <w:r w:rsidR="00B845B4" w:rsidRPr="008D6E5C">
        <w:rPr>
          <w:rFonts w:ascii="Cambria" w:hAnsi="Cambria"/>
          <w:sz w:val="20"/>
          <w:szCs w:val="20"/>
        </w:rPr>
        <w:t>substantiated manner, made it known that the second-in-command of the 13</w:t>
      </w:r>
      <w:r w:rsidR="00B845B4" w:rsidRPr="008D6E5C">
        <w:rPr>
          <w:rFonts w:ascii="Cambria" w:hAnsi="Cambria"/>
          <w:sz w:val="20"/>
          <w:szCs w:val="20"/>
          <w:vertAlign w:val="superscript"/>
        </w:rPr>
        <w:t xml:space="preserve">th </w:t>
      </w:r>
      <w:r w:rsidR="00B845B4" w:rsidRPr="008D6E5C">
        <w:rPr>
          <w:rFonts w:ascii="Cambria" w:hAnsi="Cambria"/>
          <w:sz w:val="20"/>
          <w:szCs w:val="20"/>
        </w:rPr>
        <w:t>Front of the FARC</w:t>
      </w:r>
      <w:r w:rsidRPr="008D6E5C">
        <w:rPr>
          <w:rFonts w:ascii="Cambria" w:hAnsi="Cambria"/>
          <w:sz w:val="20"/>
          <w:szCs w:val="20"/>
        </w:rPr>
        <w:t xml:space="preserve">, </w:t>
      </w:r>
      <w:r w:rsidR="00D269E9" w:rsidRPr="008D6E5C">
        <w:rPr>
          <w:rFonts w:ascii="Cambria" w:hAnsi="Cambria"/>
          <w:sz w:val="20"/>
          <w:szCs w:val="20"/>
        </w:rPr>
        <w:t xml:space="preserve">[alias Oswaldo </w:t>
      </w:r>
      <w:proofErr w:type="spellStart"/>
      <w:r w:rsidR="00D269E9" w:rsidRPr="008D6E5C">
        <w:rPr>
          <w:rFonts w:ascii="Cambria" w:hAnsi="Cambria"/>
          <w:sz w:val="20"/>
          <w:szCs w:val="20"/>
        </w:rPr>
        <w:t>Patiño</w:t>
      </w:r>
      <w:proofErr w:type="spellEnd"/>
      <w:r w:rsidR="00D269E9" w:rsidRPr="008D6E5C">
        <w:rPr>
          <w:rFonts w:ascii="Cambria" w:hAnsi="Cambria"/>
          <w:sz w:val="20"/>
          <w:szCs w:val="20"/>
        </w:rPr>
        <w:t>]</w:t>
      </w:r>
      <w:r w:rsidRPr="008D6E5C">
        <w:rPr>
          <w:rFonts w:ascii="Cambria" w:hAnsi="Cambria"/>
          <w:sz w:val="20"/>
          <w:szCs w:val="20"/>
        </w:rPr>
        <w:t xml:space="preserve">, </w:t>
      </w:r>
      <w:r w:rsidR="00B845B4" w:rsidRPr="008D6E5C">
        <w:rPr>
          <w:rFonts w:ascii="Cambria" w:hAnsi="Cambria"/>
          <w:sz w:val="20"/>
          <w:szCs w:val="20"/>
        </w:rPr>
        <w:t>was the person who ordered the</w:t>
      </w:r>
      <w:r w:rsidRPr="008D6E5C">
        <w:rPr>
          <w:rFonts w:ascii="Cambria" w:hAnsi="Cambria"/>
          <w:sz w:val="20"/>
          <w:szCs w:val="20"/>
        </w:rPr>
        <w:t xml:space="preserve"> murder of 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B845B4" w:rsidRPr="008D6E5C">
        <w:rPr>
          <w:rFonts w:ascii="Cambria" w:hAnsi="Cambria"/>
          <w:sz w:val="20"/>
          <w:szCs w:val="20"/>
        </w:rPr>
        <w:t xml:space="preserve">which was carried out by </w:t>
      </w:r>
      <w:r w:rsidRPr="008D6E5C">
        <w:rPr>
          <w:rFonts w:ascii="Cambria" w:hAnsi="Cambria"/>
          <w:sz w:val="20"/>
          <w:szCs w:val="20"/>
        </w:rPr>
        <w:t>Fabio Córdoba.”</w:t>
      </w:r>
      <w:r w:rsidRPr="008D6E5C">
        <w:rPr>
          <w:rStyle w:val="FootnoteReference"/>
          <w:rFonts w:ascii="Cambria" w:hAnsi="Cambria"/>
          <w:sz w:val="20"/>
          <w:szCs w:val="20"/>
        </w:rPr>
        <w:footnoteReference w:id="61"/>
      </w:r>
      <w:r w:rsidRPr="008D6E5C">
        <w:rPr>
          <w:rFonts w:ascii="Cambria" w:hAnsi="Cambria"/>
          <w:sz w:val="20"/>
          <w:szCs w:val="20"/>
        </w:rPr>
        <w:t xml:space="preserve"> </w:t>
      </w:r>
      <w:r w:rsidR="00B845B4" w:rsidRPr="008D6E5C">
        <w:rPr>
          <w:rFonts w:ascii="Cambria" w:hAnsi="Cambria"/>
          <w:sz w:val="20"/>
          <w:szCs w:val="20"/>
        </w:rPr>
        <w:t>The commander of</w:t>
      </w:r>
      <w:r w:rsidRPr="008D6E5C">
        <w:rPr>
          <w:rFonts w:ascii="Cambria" w:hAnsi="Cambria"/>
          <w:sz w:val="20"/>
          <w:szCs w:val="20"/>
        </w:rPr>
        <w:t xml:space="preserve"> </w:t>
      </w:r>
      <w:r w:rsidR="00B845B4" w:rsidRPr="008D6E5C">
        <w:rPr>
          <w:rFonts w:ascii="Cambria" w:hAnsi="Cambria"/>
          <w:sz w:val="20"/>
          <w:szCs w:val="20"/>
        </w:rPr>
        <w:t>the “Magdalena” Infantry Battalion</w:t>
      </w:r>
      <w:r w:rsidRPr="008D6E5C">
        <w:rPr>
          <w:rFonts w:ascii="Cambria" w:hAnsi="Cambria"/>
          <w:sz w:val="20"/>
          <w:szCs w:val="20"/>
        </w:rPr>
        <w:t xml:space="preserve"> No. 27 </w:t>
      </w:r>
      <w:r w:rsidR="00B845B4" w:rsidRPr="008D6E5C">
        <w:rPr>
          <w:rFonts w:ascii="Cambria" w:hAnsi="Cambria"/>
          <w:sz w:val="20"/>
          <w:szCs w:val="20"/>
        </w:rPr>
        <w:t xml:space="preserve">told the Court that Mr. Mario Enrique </w:t>
      </w:r>
      <w:proofErr w:type="spellStart"/>
      <w:r w:rsidR="00B845B4" w:rsidRPr="008D6E5C">
        <w:rPr>
          <w:rFonts w:ascii="Cambria" w:hAnsi="Cambria"/>
          <w:sz w:val="20"/>
          <w:szCs w:val="20"/>
        </w:rPr>
        <w:t>Rincón</w:t>
      </w:r>
      <w:proofErr w:type="spellEnd"/>
      <w:r w:rsidR="00B845B4" w:rsidRPr="008D6E5C">
        <w:rPr>
          <w:rFonts w:ascii="Cambria" w:hAnsi="Cambria"/>
          <w:sz w:val="20"/>
          <w:szCs w:val="20"/>
        </w:rPr>
        <w:t xml:space="preserve"> Contreras appeared in the records of that institution as</w:t>
      </w:r>
      <w:r w:rsidRPr="008D6E5C">
        <w:rPr>
          <w:rFonts w:ascii="Cambria" w:hAnsi="Cambria"/>
          <w:sz w:val="20"/>
          <w:szCs w:val="20"/>
        </w:rPr>
        <w:t xml:space="preserve"> “</w:t>
      </w:r>
      <w:r w:rsidR="00B845B4" w:rsidRPr="008D6E5C">
        <w:rPr>
          <w:rFonts w:ascii="Cambria" w:hAnsi="Cambria"/>
          <w:sz w:val="20"/>
          <w:szCs w:val="20"/>
        </w:rPr>
        <w:t>an occasional informant</w:t>
      </w:r>
      <w:r w:rsidRPr="008D6E5C">
        <w:rPr>
          <w:rFonts w:ascii="Cambria" w:hAnsi="Cambria"/>
          <w:sz w:val="20"/>
          <w:szCs w:val="20"/>
        </w:rPr>
        <w:t>.”</w:t>
      </w:r>
      <w:r w:rsidRPr="008D6E5C">
        <w:rPr>
          <w:rStyle w:val="FootnoteReference"/>
          <w:rFonts w:ascii="Cambria" w:hAnsi="Cambria"/>
          <w:sz w:val="20"/>
          <w:szCs w:val="20"/>
        </w:rPr>
        <w:t xml:space="preserve"> </w:t>
      </w:r>
      <w:r w:rsidRPr="008D6E5C">
        <w:rPr>
          <w:rStyle w:val="FootnoteReference"/>
          <w:rFonts w:ascii="Cambria" w:hAnsi="Cambria"/>
          <w:sz w:val="20"/>
          <w:szCs w:val="20"/>
        </w:rPr>
        <w:footnoteReference w:id="62"/>
      </w:r>
      <w:r w:rsidRPr="008D6E5C">
        <w:rPr>
          <w:rFonts w:ascii="Cambria" w:hAnsi="Cambria"/>
          <w:sz w:val="20"/>
          <w:szCs w:val="20"/>
        </w:rPr>
        <w:t xml:space="preserve"> </w:t>
      </w:r>
      <w:r w:rsidR="00B845B4" w:rsidRPr="008D6E5C">
        <w:rPr>
          <w:rFonts w:ascii="Cambria" w:hAnsi="Cambria"/>
          <w:sz w:val="20"/>
          <w:szCs w:val="20"/>
        </w:rPr>
        <w:t>For its part,</w:t>
      </w:r>
      <w:r w:rsidRPr="008D6E5C">
        <w:rPr>
          <w:rFonts w:ascii="Cambria" w:hAnsi="Cambria"/>
          <w:sz w:val="20"/>
          <w:szCs w:val="20"/>
        </w:rPr>
        <w:t xml:space="preserve"> the Administrative Security Department</w:t>
      </w:r>
      <w:r w:rsidR="00B845B4" w:rsidRPr="008D6E5C">
        <w:rPr>
          <w:rFonts w:ascii="Cambria" w:hAnsi="Cambria"/>
          <w:sz w:val="20"/>
          <w:szCs w:val="20"/>
        </w:rPr>
        <w:t xml:space="preserve"> (DAS) informed the court that its records contain</w:t>
      </w:r>
      <w:r w:rsidRPr="008D6E5C">
        <w:rPr>
          <w:rFonts w:ascii="Cambria" w:hAnsi="Cambria"/>
          <w:sz w:val="20"/>
          <w:szCs w:val="20"/>
        </w:rPr>
        <w:t xml:space="preserve"> “</w:t>
      </w:r>
      <w:r w:rsidR="00B845B4" w:rsidRPr="008D6E5C">
        <w:rPr>
          <w:rFonts w:ascii="Cambria" w:hAnsi="Cambria"/>
          <w:sz w:val="20"/>
          <w:szCs w:val="20"/>
        </w:rPr>
        <w:t>an intelligence note provided by an occasional source, stating that</w:t>
      </w:r>
      <w:r w:rsidR="00BB4363" w:rsidRPr="008D6E5C">
        <w:rPr>
          <w:rFonts w:ascii="Cambria" w:hAnsi="Cambria"/>
          <w:sz w:val="20"/>
          <w:szCs w:val="20"/>
        </w:rPr>
        <w:t xml:space="preserve"> [</w:t>
      </w:r>
      <w:r w:rsidRPr="008D6E5C">
        <w:rPr>
          <w:rFonts w:ascii="Cambria" w:hAnsi="Cambria"/>
          <w:sz w:val="20"/>
          <w:szCs w:val="20"/>
        </w:rPr>
        <w:t xml:space="preserve">alias </w:t>
      </w:r>
      <w:proofErr w:type="spellStart"/>
      <w:r w:rsidRPr="008D6E5C">
        <w:rPr>
          <w:rFonts w:ascii="Cambria" w:hAnsi="Cambria"/>
          <w:sz w:val="20"/>
          <w:szCs w:val="20"/>
        </w:rPr>
        <w:t>Fredy</w:t>
      </w:r>
      <w:proofErr w:type="spellEnd"/>
      <w:r w:rsidR="00BB4363" w:rsidRPr="008D6E5C">
        <w:rPr>
          <w:rFonts w:ascii="Cambria" w:hAnsi="Cambria"/>
          <w:sz w:val="20"/>
          <w:szCs w:val="20"/>
        </w:rPr>
        <w:t>]</w:t>
      </w:r>
      <w:r w:rsidRPr="008D6E5C">
        <w:rPr>
          <w:rFonts w:ascii="Cambria" w:hAnsi="Cambria"/>
          <w:sz w:val="20"/>
          <w:szCs w:val="20"/>
        </w:rPr>
        <w:t xml:space="preserve">, </w:t>
      </w:r>
      <w:r w:rsidR="00B845B4" w:rsidRPr="008D6E5C">
        <w:rPr>
          <w:rFonts w:ascii="Cambria" w:hAnsi="Cambria"/>
          <w:sz w:val="20"/>
          <w:szCs w:val="20"/>
        </w:rPr>
        <w:t>a guerrilla supporter assigned to intelligence duties for the</w:t>
      </w:r>
      <w:r w:rsidRPr="008D6E5C">
        <w:rPr>
          <w:rFonts w:ascii="Cambria" w:hAnsi="Cambria"/>
          <w:sz w:val="20"/>
          <w:szCs w:val="20"/>
        </w:rPr>
        <w:t xml:space="preserve"> </w:t>
      </w:r>
      <w:r w:rsidR="00B845B4" w:rsidRPr="008D6E5C">
        <w:rPr>
          <w:rFonts w:ascii="Cambria" w:hAnsi="Cambria"/>
          <w:sz w:val="20"/>
          <w:szCs w:val="20"/>
        </w:rPr>
        <w:t xml:space="preserve">‘Cacique </w:t>
      </w:r>
      <w:proofErr w:type="spellStart"/>
      <w:r w:rsidR="00B845B4" w:rsidRPr="008D6E5C">
        <w:rPr>
          <w:rFonts w:ascii="Cambria" w:hAnsi="Cambria"/>
          <w:sz w:val="20"/>
          <w:szCs w:val="20"/>
        </w:rPr>
        <w:t>Gaitana</w:t>
      </w:r>
      <w:proofErr w:type="spellEnd"/>
      <w:r w:rsidR="00B845B4" w:rsidRPr="008D6E5C">
        <w:rPr>
          <w:rFonts w:ascii="Cambria" w:hAnsi="Cambria"/>
          <w:sz w:val="20"/>
          <w:szCs w:val="20"/>
        </w:rPr>
        <w:t>’ 13</w:t>
      </w:r>
      <w:r w:rsidR="00B845B4" w:rsidRPr="008D6E5C">
        <w:rPr>
          <w:rFonts w:ascii="Cambria" w:hAnsi="Cambria"/>
          <w:sz w:val="20"/>
          <w:szCs w:val="20"/>
          <w:vertAlign w:val="superscript"/>
        </w:rPr>
        <w:t>th</w:t>
      </w:r>
      <w:r w:rsidR="00B845B4" w:rsidRPr="008D6E5C">
        <w:rPr>
          <w:rFonts w:ascii="Cambria" w:hAnsi="Cambria"/>
          <w:sz w:val="20"/>
          <w:szCs w:val="20"/>
        </w:rPr>
        <w:t xml:space="preserve"> guerrilla unit of </w:t>
      </w:r>
      <w:r w:rsidRPr="008D6E5C">
        <w:rPr>
          <w:rFonts w:ascii="Cambria" w:hAnsi="Cambria"/>
          <w:sz w:val="20"/>
          <w:szCs w:val="20"/>
        </w:rPr>
        <w:t xml:space="preserve">the FARC, </w:t>
      </w:r>
      <w:r w:rsidR="00D230C7" w:rsidRPr="008D6E5C">
        <w:rPr>
          <w:rFonts w:ascii="Cambria" w:hAnsi="Cambria"/>
          <w:sz w:val="20"/>
          <w:szCs w:val="20"/>
        </w:rPr>
        <w:t xml:space="preserve">was apparently the </w:t>
      </w:r>
      <w:r w:rsidRPr="008D6E5C">
        <w:rPr>
          <w:rFonts w:ascii="Cambria" w:hAnsi="Cambria"/>
          <w:sz w:val="20"/>
          <w:szCs w:val="20"/>
        </w:rPr>
        <w:t xml:space="preserve">direct perpetrator of the murder of 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w:t>
      </w:r>
      <w:r w:rsidRPr="008D6E5C">
        <w:rPr>
          <w:rStyle w:val="FootnoteReference"/>
          <w:rFonts w:ascii="Cambria" w:hAnsi="Cambria"/>
          <w:sz w:val="20"/>
          <w:szCs w:val="20"/>
        </w:rPr>
        <w:footnoteReference w:id="63"/>
      </w:r>
      <w:r w:rsidRPr="008D6E5C">
        <w:rPr>
          <w:rFonts w:ascii="Cambria" w:hAnsi="Cambria"/>
          <w:sz w:val="20"/>
          <w:szCs w:val="20"/>
        </w:rPr>
        <w:t xml:space="preserve"> </w:t>
      </w:r>
    </w:p>
    <w:p w:rsidR="00C0575F" w:rsidRPr="008D6E5C" w:rsidRDefault="00C0575F" w:rsidP="001520DB">
      <w:pPr>
        <w:jc w:val="both"/>
        <w:rPr>
          <w:rFonts w:ascii="Cambria" w:hAnsi="Cambria"/>
          <w:sz w:val="20"/>
          <w:szCs w:val="20"/>
        </w:rPr>
      </w:pPr>
    </w:p>
    <w:p w:rsidR="00C0575F" w:rsidRPr="008D6E5C" w:rsidRDefault="00527DFE"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According to the judgment</w:t>
      </w:r>
      <w:r w:rsidR="00C0575F" w:rsidRPr="008D6E5C">
        <w:rPr>
          <w:rFonts w:ascii="Cambria" w:hAnsi="Cambria"/>
          <w:sz w:val="20"/>
          <w:szCs w:val="20"/>
        </w:rPr>
        <w:t xml:space="preserve">, </w:t>
      </w:r>
      <w:r w:rsidRPr="008D6E5C">
        <w:rPr>
          <w:rFonts w:ascii="Cambria" w:hAnsi="Cambria"/>
          <w:sz w:val="20"/>
          <w:szCs w:val="20"/>
        </w:rPr>
        <w:t xml:space="preserve">upon reiterating that the accusations against him were “absolutely false,” </w:t>
      </w:r>
      <w:r w:rsidR="000536B5" w:rsidRPr="008D6E5C">
        <w:rPr>
          <w:rFonts w:ascii="Cambria" w:hAnsi="Cambria"/>
          <w:sz w:val="20"/>
          <w:szCs w:val="20"/>
        </w:rPr>
        <w:t>the local builder and former town council member</w:t>
      </w:r>
      <w:r w:rsidR="00C0575F" w:rsidRPr="008D6E5C">
        <w:rPr>
          <w:rFonts w:ascii="Cambria" w:hAnsi="Cambria"/>
          <w:sz w:val="20"/>
          <w:szCs w:val="20"/>
        </w:rPr>
        <w:t xml:space="preserve"> </w:t>
      </w:r>
      <w:r w:rsidRPr="008D6E5C">
        <w:rPr>
          <w:rFonts w:ascii="Cambria" w:hAnsi="Cambria"/>
          <w:sz w:val="20"/>
          <w:szCs w:val="20"/>
        </w:rPr>
        <w:t xml:space="preserve">asked the judge to hear testimony from </w:t>
      </w:r>
      <w:proofErr w:type="spellStart"/>
      <w:r w:rsidRPr="008D6E5C">
        <w:rPr>
          <w:rFonts w:ascii="Cambria" w:hAnsi="Cambria"/>
          <w:sz w:val="20"/>
          <w:szCs w:val="20"/>
        </w:rPr>
        <w:t>Samboní</w:t>
      </w:r>
      <w:proofErr w:type="spellEnd"/>
      <w:r w:rsidRPr="008D6E5C">
        <w:rPr>
          <w:rFonts w:ascii="Cambria" w:hAnsi="Cambria"/>
          <w:sz w:val="20"/>
          <w:szCs w:val="20"/>
        </w:rPr>
        <w:t xml:space="preserve"> Ortiz and</w:t>
      </w:r>
      <w:r w:rsidR="00C0575F" w:rsidRPr="008D6E5C">
        <w:rPr>
          <w:rFonts w:ascii="Cambria" w:hAnsi="Cambria"/>
          <w:sz w:val="20"/>
          <w:szCs w:val="20"/>
        </w:rPr>
        <w:t xml:space="preserve"> Carlos Rojas “</w:t>
      </w:r>
      <w:r w:rsidRPr="008D6E5C">
        <w:rPr>
          <w:rFonts w:ascii="Cambria" w:hAnsi="Cambria"/>
          <w:sz w:val="20"/>
          <w:szCs w:val="20"/>
        </w:rPr>
        <w:t>given the importance of the information, from a good source, that the crime was perpetrated by the</w:t>
      </w:r>
      <w:r w:rsidR="00C0575F" w:rsidRPr="008D6E5C">
        <w:rPr>
          <w:rFonts w:ascii="Cambria" w:hAnsi="Cambria"/>
          <w:sz w:val="20"/>
          <w:szCs w:val="20"/>
        </w:rPr>
        <w:t xml:space="preserve"> FARC.”</w:t>
      </w:r>
      <w:r w:rsidR="00C0575F" w:rsidRPr="008D6E5C">
        <w:rPr>
          <w:rStyle w:val="FootnoteReference"/>
          <w:rFonts w:ascii="Cambria" w:hAnsi="Cambria"/>
          <w:sz w:val="20"/>
          <w:szCs w:val="20"/>
        </w:rPr>
        <w:footnoteReference w:id="64"/>
      </w:r>
    </w:p>
    <w:p w:rsidR="00C0575F" w:rsidRPr="008D6E5C" w:rsidRDefault="00C0575F" w:rsidP="001520DB">
      <w:pPr>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In this regard, as stated in the judgment of the Single Criminal Court of the Specialized Circuit, defense witness </w:t>
      </w:r>
      <w:proofErr w:type="spellStart"/>
      <w:r w:rsidRPr="008D6E5C">
        <w:rPr>
          <w:rFonts w:ascii="Cambria" w:hAnsi="Cambria"/>
          <w:sz w:val="20"/>
          <w:szCs w:val="20"/>
        </w:rPr>
        <w:t>Samboní</w:t>
      </w:r>
      <w:proofErr w:type="spellEnd"/>
      <w:r w:rsidRPr="008D6E5C">
        <w:rPr>
          <w:rFonts w:ascii="Cambria" w:hAnsi="Cambria"/>
          <w:sz w:val="20"/>
          <w:szCs w:val="20"/>
        </w:rPr>
        <w:t xml:space="preserve"> Ortiz testified </w:t>
      </w:r>
      <w:proofErr w:type="gramStart"/>
      <w:r w:rsidRPr="008D6E5C">
        <w:rPr>
          <w:rFonts w:ascii="Cambria" w:hAnsi="Cambria"/>
          <w:sz w:val="20"/>
          <w:szCs w:val="20"/>
        </w:rPr>
        <w:t>that</w:t>
      </w:r>
      <w:proofErr w:type="gramEnd"/>
      <w:r w:rsidRPr="008D6E5C">
        <w:rPr>
          <w:rFonts w:ascii="Cambria" w:hAnsi="Cambria"/>
          <w:sz w:val="20"/>
          <w:szCs w:val="20"/>
        </w:rPr>
        <w:t xml:space="preserve"> </w:t>
      </w:r>
      <w:r w:rsidR="008E569F" w:rsidRPr="008D6E5C">
        <w:rPr>
          <w:rFonts w:ascii="Cambria" w:hAnsi="Cambria"/>
          <w:sz w:val="20"/>
          <w:szCs w:val="20"/>
        </w:rPr>
        <w:t xml:space="preserve">five days after being linked to the </w:t>
      </w:r>
      <w:r w:rsidRPr="008D6E5C">
        <w:rPr>
          <w:rFonts w:ascii="Cambria" w:hAnsi="Cambria"/>
          <w:i/>
          <w:sz w:val="20"/>
          <w:szCs w:val="20"/>
        </w:rPr>
        <w:t>Radio Sur</w:t>
      </w:r>
      <w:r w:rsidRPr="008D6E5C">
        <w:rPr>
          <w:rFonts w:ascii="Cambria" w:hAnsi="Cambria"/>
          <w:sz w:val="20"/>
          <w:szCs w:val="20"/>
        </w:rPr>
        <w:t xml:space="preserve"> </w:t>
      </w:r>
      <w:r w:rsidR="008E569F" w:rsidRPr="008D6E5C">
        <w:rPr>
          <w:rFonts w:ascii="Cambria" w:hAnsi="Cambria"/>
          <w:sz w:val="20"/>
          <w:szCs w:val="20"/>
        </w:rPr>
        <w:t>radio station, a phone call was received where the caller asked specifically to speak with him</w:t>
      </w:r>
      <w:r w:rsidRPr="008D6E5C">
        <w:rPr>
          <w:rFonts w:ascii="Cambria" w:hAnsi="Cambria"/>
          <w:sz w:val="20"/>
          <w:szCs w:val="20"/>
        </w:rPr>
        <w:t>. He indicated that “</w:t>
      </w:r>
      <w:r w:rsidR="008E569F" w:rsidRPr="008D6E5C">
        <w:rPr>
          <w:rFonts w:ascii="Cambria" w:hAnsi="Cambria"/>
          <w:sz w:val="20"/>
          <w:szCs w:val="20"/>
        </w:rPr>
        <w:t xml:space="preserve">When [he] answered the call, a voice that sounded like it belonged to a young man stated in a clear tone, verbatim, </w:t>
      </w:r>
      <w:r w:rsidR="008E569F" w:rsidRPr="008D6E5C">
        <w:rPr>
          <w:rFonts w:ascii="Cambria" w:hAnsi="Cambria"/>
          <w:sz w:val="20"/>
          <w:szCs w:val="20"/>
        </w:rPr>
        <w:lastRenderedPageBreak/>
        <w:t>“’</w:t>
      </w:r>
      <w:r w:rsidRPr="008D6E5C">
        <w:rPr>
          <w:rFonts w:ascii="Cambria" w:hAnsi="Cambria"/>
          <w:sz w:val="20"/>
          <w:szCs w:val="20"/>
        </w:rPr>
        <w:t>Guillermo</w:t>
      </w:r>
      <w:r w:rsidR="008E569F" w:rsidRPr="008D6E5C">
        <w:rPr>
          <w:rFonts w:ascii="Cambria" w:hAnsi="Cambria"/>
          <w:sz w:val="20"/>
          <w:szCs w:val="20"/>
        </w:rPr>
        <w:t>, man</w:t>
      </w:r>
      <w:r w:rsidRPr="008D6E5C">
        <w:rPr>
          <w:rFonts w:ascii="Cambria" w:hAnsi="Cambria"/>
          <w:sz w:val="20"/>
          <w:szCs w:val="20"/>
        </w:rPr>
        <w:t xml:space="preserve">, </w:t>
      </w:r>
      <w:r w:rsidR="008E569F" w:rsidRPr="008D6E5C">
        <w:rPr>
          <w:rFonts w:ascii="Cambria" w:hAnsi="Cambria"/>
          <w:sz w:val="20"/>
          <w:szCs w:val="20"/>
        </w:rPr>
        <w:t>get your act together</w:t>
      </w:r>
      <w:r w:rsidRPr="008D6E5C">
        <w:rPr>
          <w:rFonts w:ascii="Cambria" w:hAnsi="Cambria"/>
          <w:sz w:val="20"/>
          <w:szCs w:val="20"/>
        </w:rPr>
        <w:t xml:space="preserve">, </w:t>
      </w:r>
      <w:r w:rsidR="008E569F" w:rsidRPr="008D6E5C">
        <w:rPr>
          <w:rFonts w:ascii="Cambria" w:hAnsi="Cambria"/>
          <w:sz w:val="20"/>
          <w:szCs w:val="20"/>
        </w:rPr>
        <w:t xml:space="preserve">don’t mess with us unless you want what happened to </w:t>
      </w:r>
      <w:r w:rsidRPr="008D6E5C">
        <w:rPr>
          <w:rFonts w:ascii="Cambria" w:hAnsi="Cambria"/>
          <w:sz w:val="20"/>
          <w:szCs w:val="20"/>
        </w:rPr>
        <w:t>Nelson</w:t>
      </w:r>
      <w:r w:rsidR="008E569F" w:rsidRPr="008D6E5C">
        <w:rPr>
          <w:rFonts w:ascii="Cambria" w:hAnsi="Cambria"/>
          <w:sz w:val="20"/>
          <w:szCs w:val="20"/>
        </w:rPr>
        <w:t xml:space="preserve"> to happen to you. T</w:t>
      </w:r>
      <w:r w:rsidRPr="008D6E5C">
        <w:rPr>
          <w:rFonts w:ascii="Cambria" w:hAnsi="Cambria"/>
          <w:sz w:val="20"/>
          <w:szCs w:val="20"/>
        </w:rPr>
        <w:t>his is the 13</w:t>
      </w:r>
      <w:r w:rsidRPr="008D6E5C">
        <w:rPr>
          <w:rFonts w:ascii="Cambria" w:hAnsi="Cambria"/>
          <w:sz w:val="20"/>
          <w:szCs w:val="20"/>
          <w:vertAlign w:val="superscript"/>
        </w:rPr>
        <w:t>th</w:t>
      </w:r>
      <w:r w:rsidRPr="008D6E5C">
        <w:rPr>
          <w:rFonts w:ascii="Cambria" w:hAnsi="Cambria"/>
          <w:sz w:val="20"/>
          <w:szCs w:val="20"/>
        </w:rPr>
        <w:t xml:space="preserve"> Front of the FARC.’” The judgment </w:t>
      </w:r>
      <w:r w:rsidR="00036C9D" w:rsidRPr="008D6E5C">
        <w:rPr>
          <w:rFonts w:ascii="Cambria" w:hAnsi="Cambria"/>
          <w:sz w:val="20"/>
          <w:szCs w:val="20"/>
        </w:rPr>
        <w:t>stated</w:t>
      </w:r>
      <w:r w:rsidRPr="008D6E5C">
        <w:rPr>
          <w:rFonts w:ascii="Cambria" w:hAnsi="Cambria"/>
          <w:sz w:val="20"/>
          <w:szCs w:val="20"/>
        </w:rPr>
        <w:t xml:space="preserve"> that “the journalist asked the caller what he was talking about, and the caller told him, ‘knock off this bullshit of interviewing those sons-of-a-bitches members of the military, </w:t>
      </w:r>
      <w:r w:rsidR="00B62686" w:rsidRPr="008D6E5C">
        <w:rPr>
          <w:rFonts w:ascii="Cambria" w:hAnsi="Cambria"/>
          <w:sz w:val="20"/>
          <w:szCs w:val="20"/>
        </w:rPr>
        <w:t>don’t be screwing around and going to the</w:t>
      </w:r>
      <w:r w:rsidR="00036C9D" w:rsidRPr="008D6E5C">
        <w:rPr>
          <w:rFonts w:ascii="Cambria" w:hAnsi="Cambria"/>
          <w:sz w:val="20"/>
          <w:szCs w:val="20"/>
        </w:rPr>
        <w:t xml:space="preserve"> M</w:t>
      </w:r>
      <w:r w:rsidRPr="008D6E5C">
        <w:rPr>
          <w:rFonts w:ascii="Cambria" w:hAnsi="Cambria"/>
          <w:sz w:val="20"/>
          <w:szCs w:val="20"/>
        </w:rPr>
        <w:t xml:space="preserve">agdalena </w:t>
      </w:r>
      <w:r w:rsidR="00036C9D" w:rsidRPr="008D6E5C">
        <w:rPr>
          <w:rFonts w:ascii="Cambria" w:hAnsi="Cambria"/>
          <w:sz w:val="20"/>
          <w:szCs w:val="20"/>
        </w:rPr>
        <w:t>Battalion</w:t>
      </w:r>
      <w:r w:rsidR="00B62686" w:rsidRPr="008D6E5C">
        <w:rPr>
          <w:rFonts w:ascii="Cambria" w:hAnsi="Cambria"/>
          <w:sz w:val="20"/>
          <w:szCs w:val="20"/>
        </w:rPr>
        <w:t xml:space="preserve"> all the time</w:t>
      </w:r>
      <w:r w:rsidR="00036C9D" w:rsidRPr="008D6E5C">
        <w:rPr>
          <w:rFonts w:ascii="Cambria" w:hAnsi="Cambria"/>
          <w:sz w:val="20"/>
          <w:szCs w:val="20"/>
        </w:rPr>
        <w:t xml:space="preserve"> to</w:t>
      </w:r>
      <w:r w:rsidRPr="008D6E5C">
        <w:rPr>
          <w:rFonts w:ascii="Cambria" w:hAnsi="Cambria"/>
          <w:sz w:val="20"/>
          <w:szCs w:val="20"/>
        </w:rPr>
        <w:t xml:space="preserve"> </w:t>
      </w:r>
      <w:r w:rsidR="00B62686" w:rsidRPr="008D6E5C">
        <w:rPr>
          <w:rFonts w:ascii="Cambria" w:hAnsi="Cambria"/>
          <w:sz w:val="20"/>
          <w:szCs w:val="20"/>
        </w:rPr>
        <w:t>suck up to them</w:t>
      </w:r>
      <w:r w:rsidRPr="008D6E5C">
        <w:rPr>
          <w:rFonts w:ascii="Cambria" w:hAnsi="Cambria"/>
          <w:sz w:val="20"/>
          <w:szCs w:val="20"/>
        </w:rPr>
        <w:t xml:space="preserve"> </w:t>
      </w:r>
      <w:r w:rsidR="00036C9D" w:rsidRPr="008D6E5C">
        <w:rPr>
          <w:rFonts w:ascii="Cambria" w:hAnsi="Cambria"/>
          <w:sz w:val="20"/>
          <w:szCs w:val="20"/>
        </w:rPr>
        <w:t>like</w:t>
      </w:r>
      <w:r w:rsidRPr="008D6E5C">
        <w:rPr>
          <w:rFonts w:ascii="Cambria" w:hAnsi="Cambria"/>
          <w:sz w:val="20"/>
          <w:szCs w:val="20"/>
        </w:rPr>
        <w:t xml:space="preserve"> Nelson</w:t>
      </w:r>
      <w:r w:rsidR="00036C9D" w:rsidRPr="008D6E5C">
        <w:rPr>
          <w:rFonts w:ascii="Cambria" w:hAnsi="Cambria"/>
          <w:sz w:val="20"/>
          <w:szCs w:val="20"/>
        </w:rPr>
        <w:t xml:space="preserve"> used to</w:t>
      </w:r>
      <w:r w:rsidRPr="008D6E5C">
        <w:rPr>
          <w:rFonts w:ascii="Cambria" w:hAnsi="Cambria"/>
          <w:sz w:val="20"/>
          <w:szCs w:val="20"/>
        </w:rPr>
        <w:t xml:space="preserve">. That son-of-a-bitch </w:t>
      </w:r>
      <w:r w:rsidR="00B62686" w:rsidRPr="008D6E5C">
        <w:rPr>
          <w:rFonts w:ascii="Cambria" w:hAnsi="Cambria"/>
          <w:sz w:val="20"/>
          <w:szCs w:val="20"/>
        </w:rPr>
        <w:t>radio station</w:t>
      </w:r>
      <w:r w:rsidRPr="008D6E5C">
        <w:rPr>
          <w:rFonts w:ascii="Cambria" w:hAnsi="Cambria"/>
          <w:sz w:val="20"/>
          <w:szCs w:val="20"/>
        </w:rPr>
        <w:t xml:space="preserve"> </w:t>
      </w:r>
      <w:r w:rsidR="00B62686" w:rsidRPr="008D6E5C">
        <w:rPr>
          <w:rFonts w:ascii="Cambria" w:hAnsi="Cambria"/>
          <w:sz w:val="20"/>
          <w:szCs w:val="20"/>
        </w:rPr>
        <w:t xml:space="preserve">supports the </w:t>
      </w:r>
      <w:r w:rsidRPr="008D6E5C">
        <w:rPr>
          <w:rFonts w:ascii="Cambria" w:hAnsi="Cambria"/>
          <w:sz w:val="20"/>
          <w:szCs w:val="20"/>
        </w:rPr>
        <w:t>paramilitar</w:t>
      </w:r>
      <w:r w:rsidR="00B62686" w:rsidRPr="008D6E5C">
        <w:rPr>
          <w:rFonts w:ascii="Cambria" w:hAnsi="Cambria"/>
          <w:sz w:val="20"/>
          <w:szCs w:val="20"/>
        </w:rPr>
        <w:t>ies</w:t>
      </w:r>
      <w:r w:rsidRPr="008D6E5C">
        <w:rPr>
          <w:rFonts w:ascii="Cambria" w:hAnsi="Cambria"/>
          <w:sz w:val="20"/>
          <w:szCs w:val="20"/>
        </w:rPr>
        <w:t xml:space="preserve"> </w:t>
      </w:r>
      <w:r w:rsidR="00B62686" w:rsidRPr="008D6E5C">
        <w:rPr>
          <w:rFonts w:ascii="Cambria" w:hAnsi="Cambria"/>
          <w:sz w:val="20"/>
          <w:szCs w:val="20"/>
        </w:rPr>
        <w:t>and it speaks for the</w:t>
      </w:r>
      <w:r w:rsidRPr="008D6E5C">
        <w:rPr>
          <w:rFonts w:ascii="Cambria" w:hAnsi="Cambria"/>
          <w:sz w:val="20"/>
          <w:szCs w:val="20"/>
        </w:rPr>
        <w:t xml:space="preserve"> military.’”</w:t>
      </w:r>
      <w:r w:rsidRPr="008D6E5C">
        <w:rPr>
          <w:rStyle w:val="FootnoteReference"/>
          <w:rFonts w:ascii="Cambria" w:hAnsi="Cambria"/>
          <w:sz w:val="20"/>
          <w:szCs w:val="20"/>
        </w:rPr>
        <w:t xml:space="preserve"> </w:t>
      </w:r>
      <w:r w:rsidRPr="008D6E5C">
        <w:rPr>
          <w:rStyle w:val="FootnoteReference"/>
          <w:rFonts w:ascii="Cambria" w:hAnsi="Cambria"/>
          <w:sz w:val="20"/>
          <w:szCs w:val="20"/>
        </w:rPr>
        <w:footnoteReference w:id="65"/>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As stated in the judgment of the Single Criminal Court of the Specialized Circuit, the November 2, 1999 order lifting the pretrial dete</w:t>
      </w:r>
      <w:r w:rsidR="000536B5" w:rsidRPr="008D6E5C">
        <w:rPr>
          <w:rFonts w:ascii="Cambria" w:hAnsi="Cambria"/>
          <w:sz w:val="20"/>
          <w:szCs w:val="20"/>
        </w:rPr>
        <w:t>ntion measures imposed against the m</w:t>
      </w:r>
      <w:r w:rsidRPr="008D6E5C">
        <w:rPr>
          <w:rFonts w:ascii="Cambria" w:hAnsi="Cambria"/>
          <w:sz w:val="20"/>
          <w:szCs w:val="20"/>
        </w:rPr>
        <w:t>ayor stated as follows: “</w:t>
      </w:r>
      <w:r w:rsidR="0050543F" w:rsidRPr="008D6E5C">
        <w:rPr>
          <w:rFonts w:ascii="Cambria" w:hAnsi="Cambria"/>
          <w:sz w:val="20"/>
          <w:szCs w:val="20"/>
        </w:rPr>
        <w:t xml:space="preserve">the possibility that the perpetrators of </w:t>
      </w:r>
      <w:r w:rsidRPr="008D6E5C">
        <w:rPr>
          <w:rFonts w:ascii="Cambria" w:hAnsi="Cambria"/>
          <w:sz w:val="20"/>
          <w:szCs w:val="20"/>
        </w:rPr>
        <w:t xml:space="preserve">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r w:rsidR="0050543F" w:rsidRPr="008D6E5C">
        <w:rPr>
          <w:rFonts w:ascii="Cambria" w:hAnsi="Cambria"/>
          <w:sz w:val="20"/>
          <w:szCs w:val="20"/>
        </w:rPr>
        <w:t>’s</w:t>
      </w:r>
      <w:proofErr w:type="spellEnd"/>
      <w:r w:rsidR="0050543F" w:rsidRPr="008D6E5C">
        <w:rPr>
          <w:rFonts w:ascii="Cambria" w:hAnsi="Cambria"/>
          <w:sz w:val="20"/>
          <w:szCs w:val="20"/>
        </w:rPr>
        <w:t xml:space="preserve"> murder may have been members of the guerrilla group that calls itself the</w:t>
      </w:r>
      <w:r w:rsidRPr="008D6E5C">
        <w:rPr>
          <w:rFonts w:ascii="Cambria" w:hAnsi="Cambria"/>
          <w:sz w:val="20"/>
          <w:szCs w:val="20"/>
        </w:rPr>
        <w:t xml:space="preserve"> </w:t>
      </w:r>
      <w:r w:rsidR="0050543F" w:rsidRPr="008D6E5C">
        <w:rPr>
          <w:rFonts w:ascii="Cambria" w:hAnsi="Cambria"/>
          <w:sz w:val="20"/>
          <w:szCs w:val="20"/>
        </w:rPr>
        <w:t>Revolutionary Armed Forces of</w:t>
      </w:r>
      <w:r w:rsidR="007F318B" w:rsidRPr="008D6E5C">
        <w:rPr>
          <w:rFonts w:ascii="Cambria" w:hAnsi="Cambria"/>
          <w:sz w:val="20"/>
          <w:szCs w:val="20"/>
        </w:rPr>
        <w:t xml:space="preserve"> Colombia cannot be ruled out, as the radio station was the victim of attacks by the</w:t>
      </w:r>
      <w:r w:rsidRPr="008D6E5C">
        <w:rPr>
          <w:rFonts w:ascii="Cambria" w:hAnsi="Cambria"/>
          <w:sz w:val="20"/>
          <w:szCs w:val="20"/>
        </w:rPr>
        <w:t xml:space="preserve"> </w:t>
      </w:r>
      <w:r w:rsidR="007F318B" w:rsidRPr="008D6E5C">
        <w:rPr>
          <w:rFonts w:ascii="Cambria" w:hAnsi="Cambria"/>
          <w:sz w:val="20"/>
          <w:szCs w:val="20"/>
        </w:rPr>
        <w:t xml:space="preserve">guerrillas as noted in the statement given by </w:t>
      </w:r>
      <w:r w:rsidRPr="008D6E5C">
        <w:rPr>
          <w:rFonts w:ascii="Cambria" w:hAnsi="Cambria"/>
          <w:sz w:val="20"/>
          <w:szCs w:val="20"/>
        </w:rPr>
        <w:t>Jorge Parra Ortiz (See p. 333</w:t>
      </w:r>
      <w:r w:rsidR="007D2BBE" w:rsidRPr="008D6E5C">
        <w:rPr>
          <w:rFonts w:ascii="Cambria" w:hAnsi="Cambria"/>
          <w:sz w:val="20"/>
          <w:szCs w:val="20"/>
        </w:rPr>
        <w:t>,</w:t>
      </w:r>
      <w:r w:rsidRPr="008D6E5C">
        <w:rPr>
          <w:rFonts w:ascii="Cambria" w:hAnsi="Cambria"/>
          <w:sz w:val="20"/>
          <w:szCs w:val="20"/>
        </w:rPr>
        <w:t xml:space="preserve"> </w:t>
      </w:r>
      <w:r w:rsidR="007D2BBE" w:rsidRPr="008D6E5C">
        <w:rPr>
          <w:rFonts w:ascii="Cambria" w:hAnsi="Cambria"/>
          <w:sz w:val="20"/>
          <w:szCs w:val="20"/>
        </w:rPr>
        <w:t xml:space="preserve">File </w:t>
      </w:r>
      <w:r w:rsidRPr="008D6E5C">
        <w:rPr>
          <w:rFonts w:ascii="Cambria" w:hAnsi="Cambria"/>
          <w:sz w:val="20"/>
          <w:szCs w:val="20"/>
        </w:rPr>
        <w:t>No.</w:t>
      </w:r>
      <w:r w:rsidR="007D2BBE" w:rsidRPr="008D6E5C">
        <w:rPr>
          <w:rFonts w:ascii="Cambria" w:hAnsi="Cambria"/>
          <w:sz w:val="20"/>
          <w:szCs w:val="20"/>
        </w:rPr>
        <w:t xml:space="preserve"> </w:t>
      </w:r>
      <w:r w:rsidRPr="008D6E5C">
        <w:rPr>
          <w:rFonts w:ascii="Cambria" w:hAnsi="Cambria"/>
          <w:sz w:val="20"/>
          <w:szCs w:val="20"/>
        </w:rPr>
        <w:t xml:space="preserve">5), </w:t>
      </w:r>
      <w:r w:rsidR="007F318B" w:rsidRPr="008D6E5C">
        <w:rPr>
          <w:rFonts w:ascii="Cambria" w:hAnsi="Cambria"/>
          <w:sz w:val="20"/>
          <w:szCs w:val="20"/>
        </w:rPr>
        <w:t xml:space="preserve">and Orlando Gómez </w:t>
      </w:r>
      <w:proofErr w:type="spellStart"/>
      <w:r w:rsidR="007F318B" w:rsidRPr="008D6E5C">
        <w:rPr>
          <w:rFonts w:ascii="Cambria" w:hAnsi="Cambria"/>
          <w:sz w:val="20"/>
          <w:szCs w:val="20"/>
        </w:rPr>
        <w:t>Valderrama</w:t>
      </w:r>
      <w:proofErr w:type="spellEnd"/>
      <w:r w:rsidR="004920CB" w:rsidRPr="008D6E5C">
        <w:rPr>
          <w:rFonts w:ascii="Cambria" w:hAnsi="Cambria"/>
          <w:sz w:val="20"/>
          <w:szCs w:val="20"/>
        </w:rPr>
        <w:t>,</w:t>
      </w:r>
      <w:r w:rsidR="007F318B" w:rsidRPr="008D6E5C">
        <w:rPr>
          <w:rFonts w:ascii="Cambria" w:hAnsi="Cambria"/>
          <w:sz w:val="20"/>
          <w:szCs w:val="20"/>
        </w:rPr>
        <w:t xml:space="preserve"> kidnapped by the 13</w:t>
      </w:r>
      <w:r w:rsidR="007F318B" w:rsidRPr="008D6E5C">
        <w:rPr>
          <w:rFonts w:ascii="Cambria" w:hAnsi="Cambria"/>
          <w:sz w:val="20"/>
          <w:szCs w:val="20"/>
          <w:vertAlign w:val="superscript"/>
        </w:rPr>
        <w:t>th</w:t>
      </w:r>
      <w:r w:rsidR="007F318B" w:rsidRPr="008D6E5C">
        <w:rPr>
          <w:rFonts w:ascii="Cambria" w:hAnsi="Cambria"/>
          <w:sz w:val="20"/>
          <w:szCs w:val="20"/>
        </w:rPr>
        <w:t xml:space="preserve"> [Front] of the</w:t>
      </w:r>
      <w:r w:rsidRPr="008D6E5C">
        <w:rPr>
          <w:rFonts w:ascii="Cambria" w:hAnsi="Cambria"/>
          <w:sz w:val="20"/>
          <w:szCs w:val="20"/>
        </w:rPr>
        <w:t xml:space="preserve"> FARC (</w:t>
      </w:r>
      <w:r w:rsidR="004920CB" w:rsidRPr="008D6E5C">
        <w:rPr>
          <w:rFonts w:ascii="Cambria" w:hAnsi="Cambria"/>
          <w:sz w:val="20"/>
          <w:szCs w:val="20"/>
        </w:rPr>
        <w:t>he stated that the commander</w:t>
      </w:r>
      <w:r w:rsidRPr="008D6E5C">
        <w:rPr>
          <w:rFonts w:ascii="Cambria" w:hAnsi="Cambria"/>
          <w:sz w:val="20"/>
          <w:szCs w:val="20"/>
        </w:rPr>
        <w:t xml:space="preserve"> alias “Edgar” </w:t>
      </w:r>
      <w:r w:rsidR="004920CB" w:rsidRPr="008D6E5C">
        <w:rPr>
          <w:rFonts w:ascii="Cambria" w:hAnsi="Cambria"/>
          <w:sz w:val="20"/>
          <w:szCs w:val="20"/>
        </w:rPr>
        <w:t>told him that they were responsible for the death of journalist</w:t>
      </w:r>
      <w:r w:rsidRPr="008D6E5C">
        <w:rPr>
          <w:rFonts w:ascii="Cambria" w:hAnsi="Cambria"/>
          <w:sz w:val="20"/>
          <w:szCs w:val="20"/>
        </w:rPr>
        <w:t xml:space="preserve"> Nelson </w:t>
      </w:r>
      <w:proofErr w:type="spellStart"/>
      <w:r w:rsidRPr="008D6E5C">
        <w:rPr>
          <w:rFonts w:ascii="Cambria" w:hAnsi="Cambria"/>
          <w:sz w:val="20"/>
          <w:szCs w:val="20"/>
        </w:rPr>
        <w:t>Carva</w:t>
      </w:r>
      <w:r w:rsidR="007D2BBE" w:rsidRPr="008D6E5C">
        <w:rPr>
          <w:rFonts w:ascii="Cambria" w:hAnsi="Cambria"/>
          <w:sz w:val="20"/>
          <w:szCs w:val="20"/>
        </w:rPr>
        <w:t>jal</w:t>
      </w:r>
      <w:proofErr w:type="spellEnd"/>
      <w:r w:rsidR="007D2BBE" w:rsidRPr="008D6E5C">
        <w:rPr>
          <w:rFonts w:ascii="Cambria" w:hAnsi="Cambria"/>
          <w:sz w:val="20"/>
          <w:szCs w:val="20"/>
        </w:rPr>
        <w:t xml:space="preserve">, see p. 25, File </w:t>
      </w:r>
      <w:r w:rsidRPr="008D6E5C">
        <w:rPr>
          <w:rFonts w:ascii="Cambria" w:hAnsi="Cambria"/>
          <w:sz w:val="20"/>
          <w:szCs w:val="20"/>
        </w:rPr>
        <w:t>No. 20).”</w:t>
      </w:r>
      <w:r w:rsidRPr="008D6E5C">
        <w:rPr>
          <w:rStyle w:val="FootnoteReference"/>
          <w:rFonts w:ascii="Cambria" w:hAnsi="Cambria"/>
          <w:sz w:val="20"/>
          <w:szCs w:val="20"/>
        </w:rPr>
        <w:footnoteReference w:id="66"/>
      </w:r>
      <w:r w:rsidRPr="008D6E5C">
        <w:rPr>
          <w:rFonts w:ascii="Cambria" w:hAnsi="Cambria"/>
          <w:sz w:val="20"/>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With regard to the possibility that the crime was committed by FARC guerrillas,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indicated in her supplemental statement that a person who self-identified as a member of the guerrilla group told her that that group had not killed her brother Nelson </w:t>
      </w:r>
      <w:proofErr w:type="spellStart"/>
      <w:r w:rsidRPr="008D6E5C">
        <w:rPr>
          <w:rFonts w:ascii="Cambria" w:hAnsi="Cambria"/>
          <w:sz w:val="20"/>
          <w:szCs w:val="20"/>
        </w:rPr>
        <w:t>Carvajal</w:t>
      </w:r>
      <w:proofErr w:type="spellEnd"/>
      <w:r w:rsidRPr="008D6E5C">
        <w:rPr>
          <w:rFonts w:ascii="Cambria" w:hAnsi="Cambria"/>
          <w:sz w:val="20"/>
          <w:szCs w:val="20"/>
        </w:rPr>
        <w:t>.</w:t>
      </w:r>
      <w:r w:rsidRPr="008D6E5C">
        <w:rPr>
          <w:rStyle w:val="FootnoteReference"/>
          <w:rFonts w:ascii="Cambria" w:hAnsi="Cambria"/>
          <w:sz w:val="20"/>
          <w:szCs w:val="20"/>
        </w:rPr>
        <w:footnoteReference w:id="67"/>
      </w:r>
      <w:r w:rsidRPr="008D6E5C">
        <w:rPr>
          <w:rFonts w:ascii="Cambria" w:hAnsi="Cambria"/>
          <w:sz w:val="20"/>
          <w:szCs w:val="20"/>
        </w:rPr>
        <w:t xml:space="preserve">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According to the information provided by the State, as of the date of issue of this report, this theory continues to be investigated by the authorities handling the case (</w:t>
      </w:r>
      <w:r w:rsidRPr="008D6E5C">
        <w:rPr>
          <w:rFonts w:ascii="Cambria" w:hAnsi="Cambria"/>
          <w:i/>
          <w:sz w:val="20"/>
          <w:szCs w:val="20"/>
        </w:rPr>
        <w:t>infra</w:t>
      </w:r>
      <w:r w:rsidR="00DD3145" w:rsidRPr="008D6E5C">
        <w:rPr>
          <w:rFonts w:ascii="Cambria" w:hAnsi="Cambria"/>
          <w:sz w:val="20"/>
          <w:szCs w:val="20"/>
        </w:rPr>
        <w:t xml:space="preserve"> para</w:t>
      </w:r>
      <w:r w:rsidRPr="008D6E5C">
        <w:rPr>
          <w:rFonts w:ascii="Cambria" w:hAnsi="Cambria"/>
          <w:sz w:val="20"/>
          <w:szCs w:val="20"/>
        </w:rPr>
        <w:t>.</w:t>
      </w:r>
      <w:r w:rsidR="00C64D8A" w:rsidRPr="008D6E5C">
        <w:rPr>
          <w:rFonts w:ascii="Cambria" w:hAnsi="Cambria"/>
          <w:sz w:val="20"/>
          <w:szCs w:val="20"/>
        </w:rPr>
        <w:t>94</w:t>
      </w:r>
      <w:r w:rsidRPr="008D6E5C">
        <w:rPr>
          <w:rFonts w:ascii="Cambria" w:hAnsi="Cambria"/>
          <w:sz w:val="20"/>
          <w:szCs w:val="20"/>
        </w:rPr>
        <w:t>), but has yielded no specific results.</w:t>
      </w:r>
    </w:p>
    <w:p w:rsidR="00C0575F" w:rsidRPr="008D6E5C" w:rsidRDefault="00C0575F" w:rsidP="001520DB">
      <w:pPr>
        <w:pStyle w:val="ListParagraph"/>
        <w:jc w:val="both"/>
        <w:rPr>
          <w:sz w:val="20"/>
          <w:szCs w:val="20"/>
        </w:rPr>
      </w:pPr>
    </w:p>
    <w:p w:rsidR="00C0575F" w:rsidRPr="008D6E5C" w:rsidRDefault="00C0575F" w:rsidP="001520DB">
      <w:pPr>
        <w:pStyle w:val="Heading4"/>
        <w:spacing w:before="0"/>
        <w:rPr>
          <w:szCs w:val="20"/>
        </w:rPr>
      </w:pPr>
      <w:r w:rsidRPr="008D6E5C">
        <w:rPr>
          <w:szCs w:val="20"/>
        </w:rPr>
        <w:t>d.</w:t>
      </w:r>
      <w:r w:rsidRPr="008D6E5C">
        <w:rPr>
          <w:szCs w:val="20"/>
        </w:rPr>
        <w:tab/>
        <w:t>Perpetration by the criminal gang led by alias “</w:t>
      </w:r>
      <w:proofErr w:type="spellStart"/>
      <w:r w:rsidRPr="008D6E5C">
        <w:rPr>
          <w:szCs w:val="20"/>
        </w:rPr>
        <w:t>Gallina</w:t>
      </w:r>
      <w:proofErr w:type="spellEnd"/>
      <w:r w:rsidRPr="008D6E5C">
        <w:rPr>
          <w:szCs w:val="20"/>
        </w:rPr>
        <w:t>”</w:t>
      </w:r>
    </w:p>
    <w:p w:rsidR="00C0575F" w:rsidRPr="008D6E5C" w:rsidRDefault="00C0575F" w:rsidP="001520DB">
      <w:pPr>
        <w:pStyle w:val="ListParagraph"/>
        <w:ind w:firstLine="720"/>
        <w:jc w:val="both"/>
        <w:rPr>
          <w:sz w:val="20"/>
          <w:szCs w:val="20"/>
        </w:rPr>
      </w:pPr>
    </w:p>
    <w:p w:rsidR="00C0575F" w:rsidRPr="008D6E5C" w:rsidRDefault="00AD1B3B"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 Special Prosecutor</w:t>
      </w:r>
      <w:r w:rsidR="00E8209C" w:rsidRPr="008D6E5C">
        <w:rPr>
          <w:rFonts w:ascii="Cambria" w:hAnsi="Cambria"/>
          <w:sz w:val="20"/>
          <w:szCs w:val="20"/>
        </w:rPr>
        <w:t xml:space="preserve"> affirmed</w:t>
      </w:r>
      <w:r w:rsidR="00C0575F" w:rsidRPr="008D6E5C">
        <w:rPr>
          <w:rFonts w:ascii="Cambria" w:hAnsi="Cambria"/>
          <w:sz w:val="20"/>
          <w:szCs w:val="20"/>
        </w:rPr>
        <w:t xml:space="preserve"> </w:t>
      </w:r>
      <w:r w:rsidRPr="008D6E5C">
        <w:rPr>
          <w:rFonts w:ascii="Cambria" w:hAnsi="Cambria"/>
          <w:sz w:val="20"/>
          <w:szCs w:val="20"/>
        </w:rPr>
        <w:t xml:space="preserve">at trial </w:t>
      </w:r>
      <w:r w:rsidR="00C0575F" w:rsidRPr="008D6E5C">
        <w:rPr>
          <w:rFonts w:ascii="Cambria" w:hAnsi="Cambria"/>
          <w:sz w:val="20"/>
          <w:szCs w:val="20"/>
        </w:rPr>
        <w:t xml:space="preserve">that </w:t>
      </w:r>
      <w:r w:rsidR="00E8209C" w:rsidRPr="008D6E5C">
        <w:rPr>
          <w:rFonts w:ascii="Cambria" w:hAnsi="Cambria"/>
          <w:sz w:val="20"/>
          <w:szCs w:val="20"/>
        </w:rPr>
        <w:t xml:space="preserve">witness </w:t>
      </w:r>
      <w:r w:rsidR="00F864B9" w:rsidRPr="008D6E5C">
        <w:rPr>
          <w:rFonts w:ascii="Cambria" w:hAnsi="Cambria"/>
          <w:sz w:val="20"/>
          <w:szCs w:val="20"/>
        </w:rPr>
        <w:t xml:space="preserve">statements </w:t>
      </w:r>
      <w:r w:rsidR="00E8209C" w:rsidRPr="008D6E5C">
        <w:rPr>
          <w:rFonts w:ascii="Cambria" w:hAnsi="Cambria"/>
          <w:sz w:val="20"/>
          <w:szCs w:val="20"/>
        </w:rPr>
        <w:t>indicated that</w:t>
      </w:r>
      <w:r w:rsidR="00C0575F" w:rsidRPr="008D6E5C">
        <w:rPr>
          <w:rFonts w:ascii="Cambria" w:hAnsi="Cambria"/>
          <w:sz w:val="20"/>
          <w:szCs w:val="20"/>
        </w:rPr>
        <w:t xml:space="preserve"> “</w:t>
      </w:r>
      <w:r w:rsidR="00AE3C90" w:rsidRPr="008D6E5C">
        <w:rPr>
          <w:rFonts w:ascii="Cambria" w:hAnsi="Cambria"/>
          <w:sz w:val="20"/>
          <w:szCs w:val="20"/>
        </w:rPr>
        <w:t>the murder could have been perpetrated by members of a gang of common criminals</w:t>
      </w:r>
      <w:r w:rsidR="00C0575F" w:rsidRPr="008D6E5C">
        <w:rPr>
          <w:rFonts w:ascii="Cambria" w:hAnsi="Cambria"/>
          <w:sz w:val="20"/>
          <w:szCs w:val="20"/>
        </w:rPr>
        <w:t xml:space="preserve"> </w:t>
      </w:r>
      <w:r w:rsidR="00AE3C90" w:rsidRPr="008D6E5C">
        <w:rPr>
          <w:rFonts w:ascii="Cambria" w:hAnsi="Cambria"/>
          <w:sz w:val="20"/>
          <w:szCs w:val="20"/>
        </w:rPr>
        <w:t>led</w:t>
      </w:r>
      <w:r w:rsidR="00C0575F" w:rsidRPr="008D6E5C">
        <w:rPr>
          <w:rFonts w:ascii="Cambria" w:hAnsi="Cambria"/>
          <w:sz w:val="20"/>
          <w:szCs w:val="20"/>
        </w:rPr>
        <w:t xml:space="preserve"> </w:t>
      </w:r>
      <w:r w:rsidR="00AE3C90" w:rsidRPr="008D6E5C">
        <w:rPr>
          <w:rFonts w:ascii="Cambria" w:hAnsi="Cambria"/>
          <w:sz w:val="20"/>
          <w:szCs w:val="20"/>
        </w:rPr>
        <w:t>by</w:t>
      </w:r>
      <w:r w:rsidR="00C0575F" w:rsidRPr="008D6E5C">
        <w:rPr>
          <w:rFonts w:ascii="Cambria" w:hAnsi="Cambria"/>
          <w:sz w:val="20"/>
          <w:szCs w:val="20"/>
        </w:rPr>
        <w:t xml:space="preserve"> </w:t>
      </w:r>
      <w:r w:rsidR="00AE3C90" w:rsidRPr="008D6E5C">
        <w:rPr>
          <w:rFonts w:ascii="Cambria" w:hAnsi="Cambria"/>
          <w:sz w:val="20"/>
          <w:szCs w:val="20"/>
        </w:rPr>
        <w:t>a</w:t>
      </w:r>
      <w:r w:rsidR="00C0575F" w:rsidRPr="008D6E5C">
        <w:rPr>
          <w:rFonts w:ascii="Cambria" w:hAnsi="Cambria"/>
          <w:sz w:val="20"/>
          <w:szCs w:val="20"/>
        </w:rPr>
        <w:t xml:space="preserve">lias </w:t>
      </w:r>
      <w:proofErr w:type="spellStart"/>
      <w:r w:rsidR="00C0575F" w:rsidRPr="008D6E5C">
        <w:rPr>
          <w:rFonts w:ascii="Cambria" w:hAnsi="Cambria"/>
          <w:sz w:val="20"/>
          <w:szCs w:val="20"/>
        </w:rPr>
        <w:t>Gallina</w:t>
      </w:r>
      <w:proofErr w:type="spellEnd"/>
      <w:r w:rsidR="00C0575F" w:rsidRPr="008D6E5C">
        <w:rPr>
          <w:rFonts w:ascii="Cambria" w:hAnsi="Cambria"/>
          <w:sz w:val="20"/>
          <w:szCs w:val="20"/>
        </w:rPr>
        <w:t>.”</w:t>
      </w:r>
      <w:r w:rsidR="00C0575F" w:rsidRPr="008D6E5C">
        <w:rPr>
          <w:rStyle w:val="FootnoteReference"/>
          <w:rFonts w:ascii="Cambria" w:hAnsi="Cambria"/>
          <w:sz w:val="20"/>
          <w:szCs w:val="20"/>
        </w:rPr>
        <w:footnoteReference w:id="68"/>
      </w:r>
      <w:r w:rsidR="00C0575F" w:rsidRPr="008D6E5C">
        <w:rPr>
          <w:rFonts w:ascii="Cambria" w:hAnsi="Cambria"/>
          <w:sz w:val="20"/>
          <w:szCs w:val="20"/>
        </w:rPr>
        <w:t xml:space="preserve"> </w:t>
      </w:r>
      <w:r w:rsidR="00C0575F" w:rsidRPr="008D6E5C">
        <w:rPr>
          <w:rFonts w:ascii="Cambria" w:hAnsi="Cambria" w:cs="Arial"/>
          <w:sz w:val="20"/>
          <w:szCs w:val="20"/>
        </w:rPr>
        <w:t xml:space="preserve">The Colombian State </w:t>
      </w:r>
      <w:r w:rsidR="00AE3C90" w:rsidRPr="008D6E5C">
        <w:rPr>
          <w:rFonts w:ascii="Cambria" w:hAnsi="Cambria" w:cs="Arial"/>
          <w:sz w:val="20"/>
          <w:szCs w:val="20"/>
        </w:rPr>
        <w:t xml:space="preserve">transcribed a communication from the Office of the Prosecutor indicating </w:t>
      </w:r>
      <w:r w:rsidR="00C0575F" w:rsidRPr="008D6E5C">
        <w:rPr>
          <w:rFonts w:ascii="Cambria" w:hAnsi="Cambria" w:cs="Arial"/>
          <w:sz w:val="20"/>
          <w:szCs w:val="20"/>
        </w:rPr>
        <w:t xml:space="preserve">that this theory </w:t>
      </w:r>
      <w:r w:rsidR="00C0575F" w:rsidRPr="008D6E5C">
        <w:rPr>
          <w:rFonts w:ascii="Cambria" w:hAnsi="Cambria"/>
          <w:sz w:val="20"/>
          <w:szCs w:val="20"/>
        </w:rPr>
        <w:t>“of minor importance”</w:t>
      </w:r>
      <w:r w:rsidR="00C0575F" w:rsidRPr="008D6E5C">
        <w:rPr>
          <w:rFonts w:ascii="Cambria" w:hAnsi="Cambria" w:cs="Arial"/>
          <w:sz w:val="20"/>
          <w:szCs w:val="20"/>
        </w:rPr>
        <w:t xml:space="preserve"> was considered and later ruled out.</w:t>
      </w:r>
      <w:r w:rsidR="00C0575F" w:rsidRPr="008D6E5C">
        <w:rPr>
          <w:rStyle w:val="FootnoteReference"/>
          <w:rFonts w:ascii="Cambria" w:hAnsi="Cambria"/>
          <w:sz w:val="20"/>
          <w:szCs w:val="20"/>
        </w:rPr>
        <w:footnoteReference w:id="69"/>
      </w:r>
      <w:r w:rsidRPr="008D6E5C">
        <w:rPr>
          <w:rFonts w:ascii="Cambria" w:hAnsi="Cambria" w:cs="Arial"/>
          <w:sz w:val="20"/>
          <w:szCs w:val="20"/>
        </w:rPr>
        <w:t xml:space="preserve"> </w:t>
      </w:r>
    </w:p>
    <w:p w:rsidR="001520DB" w:rsidRPr="008D6E5C" w:rsidRDefault="001520DB" w:rsidP="001520DB">
      <w:pPr>
        <w:pStyle w:val="Heading3"/>
        <w:spacing w:before="0"/>
        <w:rPr>
          <w:szCs w:val="20"/>
        </w:rPr>
      </w:pPr>
      <w:bookmarkStart w:id="23" w:name="_Toc412539538"/>
    </w:p>
    <w:p w:rsidR="00C0575F" w:rsidRPr="008D6E5C" w:rsidRDefault="00C0575F" w:rsidP="001520DB">
      <w:pPr>
        <w:pStyle w:val="Heading3"/>
        <w:spacing w:before="0"/>
        <w:rPr>
          <w:szCs w:val="20"/>
        </w:rPr>
      </w:pPr>
      <w:bookmarkStart w:id="24" w:name="_Toc416880384"/>
      <w:r w:rsidRPr="008D6E5C">
        <w:rPr>
          <w:szCs w:val="20"/>
        </w:rPr>
        <w:t>3.</w:t>
      </w:r>
      <w:r w:rsidRPr="008D6E5C">
        <w:rPr>
          <w:szCs w:val="20"/>
        </w:rPr>
        <w:tab/>
        <w:t xml:space="preserve">Trial of </w:t>
      </w:r>
      <w:bookmarkEnd w:id="23"/>
      <w:r w:rsidR="008E56E9">
        <w:rPr>
          <w:szCs w:val="20"/>
        </w:rPr>
        <w:t xml:space="preserve">a </w:t>
      </w:r>
      <w:r w:rsidR="000536B5" w:rsidRPr="008D6E5C">
        <w:rPr>
          <w:szCs w:val="20"/>
        </w:rPr>
        <w:t xml:space="preserve">local </w:t>
      </w:r>
      <w:r w:rsidR="00C64D8A" w:rsidRPr="008D6E5C">
        <w:rPr>
          <w:szCs w:val="20"/>
        </w:rPr>
        <w:t>businessman</w:t>
      </w:r>
      <w:r w:rsidR="000536B5" w:rsidRPr="008D6E5C">
        <w:rPr>
          <w:szCs w:val="20"/>
        </w:rPr>
        <w:t xml:space="preserve"> and others before the Criminal Court of the Specialized Circuit of Neiva</w:t>
      </w:r>
      <w:bookmarkEnd w:id="24"/>
    </w:p>
    <w:p w:rsidR="00C0575F" w:rsidRPr="008D6E5C" w:rsidRDefault="00C0575F" w:rsidP="001520DB">
      <w:pPr>
        <w:ind w:left="1800"/>
        <w:rPr>
          <w:rFonts w:ascii="Cambria" w:hAnsi="Cambria"/>
          <w:b/>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s="Arial"/>
          <w:sz w:val="20"/>
          <w:szCs w:val="20"/>
        </w:rPr>
        <w:t xml:space="preserve">As previously stated, on January </w:t>
      </w:r>
      <w:r w:rsidRPr="008D6E5C">
        <w:rPr>
          <w:rFonts w:ascii="Cambria" w:hAnsi="Cambria"/>
          <w:sz w:val="20"/>
          <w:szCs w:val="20"/>
        </w:rPr>
        <w:t xml:space="preserve">17, 2000, the Office of the Public Prosecutor assigned to the Specialized </w:t>
      </w:r>
      <w:r w:rsidR="00C3235F" w:rsidRPr="008D6E5C">
        <w:rPr>
          <w:rFonts w:ascii="Cambria" w:hAnsi="Cambria"/>
          <w:sz w:val="20"/>
          <w:szCs w:val="20"/>
        </w:rPr>
        <w:t xml:space="preserve">Criminal Judges of the Circuit </w:t>
      </w:r>
      <w:r w:rsidRPr="008D6E5C">
        <w:rPr>
          <w:rFonts w:ascii="Cambria" w:hAnsi="Cambria"/>
          <w:sz w:val="20"/>
          <w:szCs w:val="20"/>
        </w:rPr>
        <w:t xml:space="preserve">evaluated the evidence produced during </w:t>
      </w:r>
      <w:r w:rsidR="00DE74C7" w:rsidRPr="008D6E5C">
        <w:rPr>
          <w:rFonts w:ascii="Cambria" w:hAnsi="Cambria"/>
          <w:sz w:val="20"/>
          <w:szCs w:val="20"/>
        </w:rPr>
        <w:t xml:space="preserve">the </w:t>
      </w:r>
      <w:r w:rsidRPr="008D6E5C">
        <w:rPr>
          <w:rFonts w:ascii="Cambria" w:hAnsi="Cambria"/>
          <w:sz w:val="20"/>
          <w:szCs w:val="20"/>
        </w:rPr>
        <w:t xml:space="preserve">investigation </w:t>
      </w:r>
      <w:r w:rsidR="00DE74C7" w:rsidRPr="008D6E5C">
        <w:rPr>
          <w:rFonts w:ascii="Cambria" w:hAnsi="Cambria"/>
          <w:sz w:val="20"/>
          <w:szCs w:val="20"/>
        </w:rPr>
        <w:t>and brought criminal charges against</w:t>
      </w:r>
      <w:r w:rsidRPr="008D6E5C">
        <w:rPr>
          <w:rFonts w:ascii="Cambria" w:hAnsi="Cambria"/>
          <w:sz w:val="20"/>
          <w:szCs w:val="20"/>
        </w:rPr>
        <w:t xml:space="preserve"> </w:t>
      </w:r>
      <w:r w:rsidR="000536B5" w:rsidRPr="008D6E5C">
        <w:rPr>
          <w:rFonts w:ascii="Cambria" w:hAnsi="Cambria"/>
          <w:sz w:val="20"/>
          <w:szCs w:val="20"/>
        </w:rPr>
        <w:t xml:space="preserve">three individuals, including a local </w:t>
      </w:r>
      <w:r w:rsidR="00E17F3A" w:rsidRPr="008D6E5C">
        <w:rPr>
          <w:rFonts w:ascii="Cambria" w:hAnsi="Cambria"/>
          <w:sz w:val="20"/>
          <w:szCs w:val="20"/>
        </w:rPr>
        <w:t xml:space="preserve">businessman </w:t>
      </w:r>
      <w:r w:rsidR="000536B5" w:rsidRPr="008D6E5C">
        <w:rPr>
          <w:rFonts w:ascii="Cambria" w:hAnsi="Cambria"/>
          <w:sz w:val="20"/>
          <w:szCs w:val="20"/>
        </w:rPr>
        <w:t>and former member</w:t>
      </w:r>
      <w:r w:rsidR="00525A71" w:rsidRPr="008D6E5C">
        <w:rPr>
          <w:rFonts w:ascii="Cambria" w:hAnsi="Cambria"/>
          <w:sz w:val="20"/>
          <w:szCs w:val="20"/>
        </w:rPr>
        <w:t xml:space="preserve"> of the town council</w:t>
      </w:r>
      <w:r w:rsidR="000536B5" w:rsidRPr="008D6E5C">
        <w:rPr>
          <w:rFonts w:ascii="Cambria" w:hAnsi="Cambria"/>
          <w:sz w:val="20"/>
          <w:szCs w:val="20"/>
        </w:rPr>
        <w:t>,</w:t>
      </w:r>
      <w:r w:rsidRPr="008D6E5C">
        <w:rPr>
          <w:rFonts w:ascii="Cambria" w:hAnsi="Cambria"/>
          <w:sz w:val="20"/>
          <w:szCs w:val="20"/>
        </w:rPr>
        <w:t xml:space="preserve"> for the murder of jour</w:t>
      </w:r>
      <w:r w:rsidR="000536B5" w:rsidRPr="008D6E5C">
        <w:rPr>
          <w:rFonts w:ascii="Cambria" w:hAnsi="Cambria"/>
          <w:sz w:val="20"/>
          <w:szCs w:val="20"/>
        </w:rPr>
        <w:t xml:space="preserve">nalist Nelson </w:t>
      </w:r>
      <w:proofErr w:type="spellStart"/>
      <w:r w:rsidR="000536B5" w:rsidRPr="008D6E5C">
        <w:rPr>
          <w:rFonts w:ascii="Cambria" w:hAnsi="Cambria"/>
          <w:sz w:val="20"/>
          <w:szCs w:val="20"/>
        </w:rPr>
        <w:t>Carvajal</w:t>
      </w:r>
      <w:proofErr w:type="spellEnd"/>
      <w:r w:rsidR="000536B5" w:rsidRPr="008D6E5C">
        <w:rPr>
          <w:rFonts w:ascii="Cambria" w:hAnsi="Cambria"/>
          <w:sz w:val="20"/>
          <w:szCs w:val="20"/>
        </w:rPr>
        <w:t xml:space="preserve"> </w:t>
      </w:r>
      <w:proofErr w:type="spellStart"/>
      <w:r w:rsidR="000536B5" w:rsidRPr="008D6E5C">
        <w:rPr>
          <w:rFonts w:ascii="Cambria" w:hAnsi="Cambria"/>
          <w:sz w:val="20"/>
          <w:szCs w:val="20"/>
        </w:rPr>
        <w:t>Carvajal</w:t>
      </w:r>
      <w:proofErr w:type="spellEnd"/>
      <w:r w:rsidRPr="008D6E5C">
        <w:rPr>
          <w:rFonts w:ascii="Cambria" w:hAnsi="Cambria"/>
          <w:sz w:val="20"/>
          <w:szCs w:val="20"/>
        </w:rPr>
        <w:t>.</w:t>
      </w:r>
    </w:p>
    <w:p w:rsidR="00C0575F" w:rsidRPr="008D6E5C" w:rsidRDefault="00C0575F" w:rsidP="001520DB">
      <w:pPr>
        <w:pStyle w:val="ListParagraph"/>
        <w:ind w:left="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On November 29, 2000</w:t>
      </w:r>
      <w:r w:rsidR="00AC5E9C" w:rsidRPr="008D6E5C">
        <w:rPr>
          <w:rFonts w:ascii="Cambria" w:hAnsi="Cambria"/>
          <w:sz w:val="20"/>
          <w:szCs w:val="20"/>
        </w:rPr>
        <w:t>,</w:t>
      </w:r>
      <w:r w:rsidRPr="008D6E5C">
        <w:rPr>
          <w:rFonts w:ascii="Cambria" w:hAnsi="Cambria"/>
          <w:sz w:val="20"/>
          <w:szCs w:val="20"/>
        </w:rPr>
        <w:t xml:space="preserve"> </w:t>
      </w:r>
      <w:r w:rsidR="008477F6" w:rsidRPr="008D6E5C">
        <w:rPr>
          <w:rFonts w:ascii="Cambria" w:hAnsi="Cambria"/>
          <w:sz w:val="20"/>
          <w:szCs w:val="20"/>
        </w:rPr>
        <w:t>public trial proceedings were held in</w:t>
      </w:r>
      <w:r w:rsidRPr="008D6E5C">
        <w:rPr>
          <w:rFonts w:ascii="Cambria" w:hAnsi="Cambria"/>
          <w:sz w:val="20"/>
          <w:szCs w:val="20"/>
        </w:rPr>
        <w:t xml:space="preserve"> the Single Criminal Court of the Specialized Circuit of Neiva, which h</w:t>
      </w:r>
      <w:r w:rsidR="00B75F10" w:rsidRPr="008D6E5C">
        <w:rPr>
          <w:rFonts w:ascii="Cambria" w:hAnsi="Cambria"/>
          <w:sz w:val="20"/>
          <w:szCs w:val="20"/>
        </w:rPr>
        <w:t>ad jurisdiction over the case. The Court handed down its judgment o</w:t>
      </w:r>
      <w:r w:rsidRPr="008D6E5C">
        <w:rPr>
          <w:rFonts w:ascii="Cambria" w:hAnsi="Cambria"/>
          <w:sz w:val="20"/>
          <w:szCs w:val="20"/>
        </w:rPr>
        <w:t xml:space="preserve">n </w:t>
      </w:r>
      <w:r w:rsidRPr="008D6E5C">
        <w:rPr>
          <w:rFonts w:ascii="Cambria" w:hAnsi="Cambria"/>
          <w:sz w:val="20"/>
          <w:szCs w:val="20"/>
        </w:rPr>
        <w:lastRenderedPageBreak/>
        <w:t xml:space="preserve">December 15, 2000, </w:t>
      </w:r>
      <w:r w:rsidR="00DC2498" w:rsidRPr="008D6E5C">
        <w:rPr>
          <w:rFonts w:ascii="Cambria" w:hAnsi="Cambria"/>
          <w:sz w:val="20"/>
          <w:szCs w:val="20"/>
        </w:rPr>
        <w:t>at the end of the trial phase</w:t>
      </w:r>
      <w:r w:rsidR="00B75F10" w:rsidRPr="008D6E5C">
        <w:rPr>
          <w:rFonts w:ascii="Cambria" w:hAnsi="Cambria"/>
          <w:sz w:val="20"/>
          <w:szCs w:val="20"/>
        </w:rPr>
        <w:t>.</w:t>
      </w:r>
      <w:r w:rsidR="00DC2498" w:rsidRPr="008D6E5C">
        <w:rPr>
          <w:rFonts w:ascii="Cambria" w:hAnsi="Cambria"/>
          <w:sz w:val="20"/>
          <w:szCs w:val="20"/>
        </w:rPr>
        <w:t xml:space="preserve"> </w:t>
      </w:r>
      <w:r w:rsidR="00B75F10" w:rsidRPr="008D6E5C">
        <w:rPr>
          <w:rFonts w:ascii="Cambria" w:hAnsi="Cambria"/>
          <w:sz w:val="20"/>
          <w:szCs w:val="20"/>
        </w:rPr>
        <w:t>It found</w:t>
      </w:r>
      <w:r w:rsidR="00DC2498" w:rsidRPr="008D6E5C">
        <w:rPr>
          <w:rFonts w:ascii="Cambria" w:hAnsi="Cambria"/>
          <w:sz w:val="20"/>
          <w:szCs w:val="20"/>
        </w:rPr>
        <w:t xml:space="preserve"> reasonable doubt in the cases of </w:t>
      </w:r>
      <w:r w:rsidR="00525A71" w:rsidRPr="008D6E5C">
        <w:rPr>
          <w:rFonts w:ascii="Cambria" w:hAnsi="Cambria"/>
          <w:sz w:val="20"/>
          <w:szCs w:val="20"/>
        </w:rPr>
        <w:t xml:space="preserve">the </w:t>
      </w:r>
      <w:r w:rsidR="00DC2498" w:rsidRPr="008D6E5C">
        <w:rPr>
          <w:rFonts w:ascii="Cambria" w:hAnsi="Cambria"/>
          <w:sz w:val="20"/>
          <w:szCs w:val="20"/>
        </w:rPr>
        <w:t>defendants, and acquitt</w:t>
      </w:r>
      <w:r w:rsidR="00B75F10" w:rsidRPr="008D6E5C">
        <w:rPr>
          <w:rFonts w:ascii="Cambria" w:hAnsi="Cambria"/>
          <w:sz w:val="20"/>
          <w:szCs w:val="20"/>
        </w:rPr>
        <w:t xml:space="preserve">ed </w:t>
      </w:r>
      <w:r w:rsidR="00DC2498" w:rsidRPr="008D6E5C">
        <w:rPr>
          <w:rFonts w:ascii="Cambria" w:hAnsi="Cambria"/>
          <w:sz w:val="20"/>
          <w:szCs w:val="20"/>
        </w:rPr>
        <w:t>them</w:t>
      </w:r>
      <w:r w:rsidRPr="008D6E5C">
        <w:rPr>
          <w:rFonts w:ascii="Cambria" w:hAnsi="Cambria"/>
          <w:sz w:val="20"/>
          <w:szCs w:val="20"/>
        </w:rPr>
        <w:t xml:space="preserve"> of the charges brought by the Office of the Public Prosecutor for the murder of 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w:t>
      </w:r>
      <w:r w:rsidRPr="008D6E5C">
        <w:rPr>
          <w:rStyle w:val="FootnoteReference"/>
          <w:rFonts w:ascii="Cambria" w:hAnsi="Cambria"/>
          <w:sz w:val="20"/>
          <w:szCs w:val="20"/>
        </w:rPr>
        <w:footnoteReference w:id="70"/>
      </w:r>
      <w:r w:rsidRPr="008D6E5C">
        <w:rPr>
          <w:rFonts w:ascii="Cambria" w:hAnsi="Cambria"/>
          <w:sz w:val="20"/>
          <w:szCs w:val="20"/>
        </w:rPr>
        <w:t xml:space="preserve"> The Single Court held, </w:t>
      </w:r>
      <w:r w:rsidRPr="008D6E5C">
        <w:rPr>
          <w:rFonts w:ascii="Cambria" w:hAnsi="Cambria"/>
          <w:i/>
          <w:sz w:val="20"/>
          <w:szCs w:val="20"/>
        </w:rPr>
        <w:t>inter alia</w:t>
      </w:r>
      <w:r w:rsidRPr="008D6E5C">
        <w:rPr>
          <w:rFonts w:ascii="Cambria" w:hAnsi="Cambria"/>
          <w:sz w:val="20"/>
          <w:szCs w:val="20"/>
        </w:rPr>
        <w:t xml:space="preserve">, that the arguments put forward by the prosecution </w:t>
      </w:r>
      <w:r w:rsidR="00C3235F" w:rsidRPr="008D6E5C">
        <w:rPr>
          <w:rFonts w:ascii="Cambria" w:hAnsi="Cambria"/>
          <w:sz w:val="20"/>
          <w:szCs w:val="20"/>
        </w:rPr>
        <w:t>at trial were based solely on</w:t>
      </w:r>
      <w:r w:rsidRPr="008D6E5C">
        <w:rPr>
          <w:rFonts w:ascii="Cambria" w:hAnsi="Cambria"/>
          <w:sz w:val="20"/>
          <w:szCs w:val="20"/>
        </w:rPr>
        <w:t xml:space="preserve"> “</w:t>
      </w:r>
      <w:r w:rsidR="00C3235F" w:rsidRPr="008D6E5C">
        <w:rPr>
          <w:rFonts w:ascii="Cambria" w:hAnsi="Cambria"/>
          <w:sz w:val="20"/>
          <w:szCs w:val="20"/>
        </w:rPr>
        <w:t>theories and suppositions that</w:t>
      </w:r>
      <w:r w:rsidRPr="008D6E5C">
        <w:rPr>
          <w:rFonts w:ascii="Cambria" w:hAnsi="Cambria"/>
          <w:sz w:val="20"/>
          <w:szCs w:val="20"/>
        </w:rPr>
        <w:t xml:space="preserve">, </w:t>
      </w:r>
      <w:r w:rsidR="00C3235F" w:rsidRPr="008D6E5C">
        <w:rPr>
          <w:rFonts w:ascii="Cambria" w:hAnsi="Cambria"/>
          <w:sz w:val="20"/>
          <w:szCs w:val="20"/>
        </w:rPr>
        <w:t>in strict legal terms, lack the scope and value to obtain a conviction under</w:t>
      </w:r>
      <w:r w:rsidRPr="008D6E5C">
        <w:rPr>
          <w:rFonts w:ascii="Cambria" w:hAnsi="Cambria"/>
          <w:sz w:val="20"/>
          <w:szCs w:val="20"/>
        </w:rPr>
        <w:t xml:space="preserve"> Article 247 of the Code of Criminal Procedure</w:t>
      </w:r>
      <w:r w:rsidR="00C3235F" w:rsidRPr="008D6E5C">
        <w:rPr>
          <w:rFonts w:ascii="Cambria" w:hAnsi="Cambria"/>
          <w:sz w:val="20"/>
          <w:szCs w:val="20"/>
        </w:rPr>
        <w:t>,</w:t>
      </w:r>
      <w:r w:rsidRPr="008D6E5C">
        <w:rPr>
          <w:rFonts w:ascii="Cambria" w:hAnsi="Cambria"/>
          <w:sz w:val="20"/>
          <w:szCs w:val="20"/>
        </w:rPr>
        <w:t xml:space="preserve">” </w:t>
      </w:r>
      <w:r w:rsidR="00C3235F" w:rsidRPr="008D6E5C">
        <w:rPr>
          <w:rFonts w:ascii="Cambria" w:hAnsi="Cambria"/>
          <w:sz w:val="20"/>
          <w:szCs w:val="20"/>
        </w:rPr>
        <w:t>and that there was no direct or indirect convincing evidence on record to incriminate the defendants</w:t>
      </w:r>
      <w:r w:rsidRPr="008D6E5C">
        <w:rPr>
          <w:rFonts w:ascii="Cambria" w:hAnsi="Cambria"/>
          <w:sz w:val="20"/>
          <w:szCs w:val="20"/>
        </w:rPr>
        <w:t xml:space="preserve">. </w:t>
      </w:r>
      <w:r w:rsidR="00BE4BC4" w:rsidRPr="008D6E5C">
        <w:rPr>
          <w:rFonts w:ascii="Cambria" w:hAnsi="Cambria"/>
          <w:sz w:val="20"/>
          <w:szCs w:val="20"/>
        </w:rPr>
        <w:t>Following its examination of the statements provided in the case, the court held that they were insufficient to overcome the</w:t>
      </w:r>
      <w:r w:rsidRPr="008D6E5C">
        <w:rPr>
          <w:rFonts w:ascii="Cambria" w:hAnsi="Cambria"/>
          <w:sz w:val="20"/>
          <w:szCs w:val="20"/>
        </w:rPr>
        <w:t xml:space="preserve"> “</w:t>
      </w:r>
      <w:r w:rsidR="00BE4BC4" w:rsidRPr="008D6E5C">
        <w:rPr>
          <w:rFonts w:ascii="Cambria" w:hAnsi="Cambria"/>
          <w:sz w:val="20"/>
          <w:szCs w:val="20"/>
        </w:rPr>
        <w:t>serious and conspicuous doubts</w:t>
      </w:r>
      <w:r w:rsidRPr="008D6E5C">
        <w:rPr>
          <w:rFonts w:ascii="Cambria" w:hAnsi="Cambria"/>
          <w:sz w:val="20"/>
          <w:szCs w:val="20"/>
        </w:rPr>
        <w:t xml:space="preserve">” </w:t>
      </w:r>
      <w:r w:rsidR="00BE4BC4" w:rsidRPr="008D6E5C">
        <w:rPr>
          <w:rFonts w:ascii="Cambria" w:hAnsi="Cambria"/>
          <w:sz w:val="20"/>
          <w:szCs w:val="20"/>
        </w:rPr>
        <w:t>and that furthermore</w:t>
      </w:r>
      <w:r w:rsidRPr="008D6E5C">
        <w:rPr>
          <w:rFonts w:ascii="Cambria" w:hAnsi="Cambria"/>
          <w:sz w:val="20"/>
          <w:szCs w:val="20"/>
        </w:rPr>
        <w:t xml:space="preserve"> </w:t>
      </w:r>
      <w:r w:rsidR="002414DD" w:rsidRPr="008D6E5C">
        <w:rPr>
          <w:rFonts w:ascii="Cambria" w:hAnsi="Cambria"/>
          <w:sz w:val="20"/>
          <w:szCs w:val="20"/>
        </w:rPr>
        <w:t xml:space="preserve">that </w:t>
      </w:r>
      <w:r w:rsidRPr="008D6E5C">
        <w:rPr>
          <w:rFonts w:ascii="Cambria" w:hAnsi="Cambria"/>
          <w:sz w:val="20"/>
          <w:szCs w:val="20"/>
        </w:rPr>
        <w:t>“</w:t>
      </w:r>
      <w:r w:rsidR="00BE4BC4" w:rsidRPr="008D6E5C">
        <w:rPr>
          <w:rFonts w:ascii="Cambria" w:hAnsi="Cambria"/>
          <w:sz w:val="20"/>
          <w:szCs w:val="20"/>
        </w:rPr>
        <w:t xml:space="preserve">the prosecution disregarded—failed to investigate—the theory that members of the insurgency could have perpetrated the crime, in spite of the fact that </w:t>
      </w:r>
      <w:r w:rsidR="00C06715" w:rsidRPr="008D6E5C">
        <w:rPr>
          <w:rFonts w:ascii="Cambria" w:hAnsi="Cambria"/>
          <w:sz w:val="20"/>
          <w:szCs w:val="20"/>
        </w:rPr>
        <w:t xml:space="preserve">investigators from the </w:t>
      </w:r>
      <w:r w:rsidRPr="008D6E5C">
        <w:rPr>
          <w:rFonts w:ascii="Cambria" w:hAnsi="Cambria"/>
          <w:sz w:val="20"/>
          <w:szCs w:val="20"/>
        </w:rPr>
        <w:t>TIU of Bogotá (</w:t>
      </w:r>
      <w:r w:rsidR="007D2BBE" w:rsidRPr="008D6E5C">
        <w:rPr>
          <w:rFonts w:ascii="Cambria" w:hAnsi="Cambria"/>
          <w:sz w:val="20"/>
          <w:szCs w:val="20"/>
        </w:rPr>
        <w:t>p</w:t>
      </w:r>
      <w:r w:rsidRPr="008D6E5C">
        <w:rPr>
          <w:rFonts w:ascii="Cambria" w:hAnsi="Cambria"/>
          <w:sz w:val="20"/>
          <w:szCs w:val="20"/>
        </w:rPr>
        <w:t>.</w:t>
      </w:r>
      <w:r w:rsidR="00C06715" w:rsidRPr="008D6E5C">
        <w:rPr>
          <w:rFonts w:ascii="Cambria" w:hAnsi="Cambria"/>
          <w:sz w:val="20"/>
          <w:szCs w:val="20"/>
        </w:rPr>
        <w:t xml:space="preserve"> </w:t>
      </w:r>
      <w:r w:rsidRPr="008D6E5C">
        <w:rPr>
          <w:rFonts w:ascii="Cambria" w:hAnsi="Cambria"/>
          <w:sz w:val="20"/>
          <w:szCs w:val="20"/>
        </w:rPr>
        <w:t xml:space="preserve">224 </w:t>
      </w:r>
      <w:r w:rsidR="007D2BBE" w:rsidRPr="008D6E5C">
        <w:rPr>
          <w:rFonts w:ascii="Cambria" w:hAnsi="Cambria"/>
          <w:sz w:val="20"/>
          <w:szCs w:val="20"/>
        </w:rPr>
        <w:t>File</w:t>
      </w:r>
      <w:r w:rsidR="00C06715" w:rsidRPr="008D6E5C">
        <w:rPr>
          <w:rFonts w:ascii="Cambria" w:hAnsi="Cambria"/>
          <w:sz w:val="20"/>
          <w:szCs w:val="20"/>
        </w:rPr>
        <w:t xml:space="preserve"> 2) made the investigating prosecutor aware of that possibility</w:t>
      </w:r>
      <w:r w:rsidRPr="008D6E5C">
        <w:rPr>
          <w:rFonts w:ascii="Cambria" w:hAnsi="Cambria"/>
          <w:sz w:val="20"/>
          <w:szCs w:val="20"/>
        </w:rPr>
        <w:t xml:space="preserve">.” </w:t>
      </w:r>
    </w:p>
    <w:p w:rsidR="00602997" w:rsidRPr="008D6E5C" w:rsidRDefault="00602997"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 Single Criminal Court of the Specialized Circuit of Neiva held that “</w:t>
      </w:r>
      <w:r w:rsidR="008F5F9F" w:rsidRPr="008D6E5C">
        <w:rPr>
          <w:rFonts w:ascii="Cambria" w:hAnsi="Cambria"/>
          <w:sz w:val="20"/>
          <w:szCs w:val="20"/>
        </w:rPr>
        <w:t>it is concluded from the testimony of numerous witnesses at trial that the violent death of the aforementioned individual was on account of his work as a journalist, as his ‘exposé’ journalism earned him the animosity of those who felt that they were adversely affected by his radio programs—to the point that there were many who filed criminal actions against him for alleged acts against moral integrity</w:t>
      </w:r>
      <w:r w:rsidRPr="008D6E5C">
        <w:rPr>
          <w:rFonts w:ascii="Cambria" w:hAnsi="Cambria"/>
          <w:sz w:val="20"/>
          <w:szCs w:val="20"/>
        </w:rPr>
        <w:t>.”</w:t>
      </w:r>
      <w:r w:rsidRPr="008D6E5C">
        <w:rPr>
          <w:rStyle w:val="FootnoteReference"/>
          <w:rFonts w:ascii="Cambria" w:hAnsi="Cambria"/>
          <w:sz w:val="20"/>
          <w:szCs w:val="20"/>
        </w:rPr>
        <w:footnoteReference w:id="71"/>
      </w:r>
      <w:r w:rsidRPr="008D6E5C">
        <w:rPr>
          <w:rFonts w:ascii="Cambria" w:hAnsi="Cambria"/>
          <w:sz w:val="20"/>
          <w:szCs w:val="20"/>
        </w:rPr>
        <w:t xml:space="preserve"> </w:t>
      </w:r>
      <w:r w:rsidR="008F5F9F" w:rsidRPr="008D6E5C">
        <w:rPr>
          <w:rFonts w:ascii="Cambria" w:hAnsi="Cambria"/>
          <w:sz w:val="20"/>
          <w:szCs w:val="20"/>
        </w:rPr>
        <w:t>Nevertheless</w:t>
      </w:r>
      <w:r w:rsidRPr="008D6E5C">
        <w:rPr>
          <w:rFonts w:ascii="Cambria" w:hAnsi="Cambria"/>
          <w:sz w:val="20"/>
          <w:szCs w:val="20"/>
        </w:rPr>
        <w:t xml:space="preserve">, </w:t>
      </w:r>
      <w:r w:rsidR="008F5F9F" w:rsidRPr="008D6E5C">
        <w:rPr>
          <w:rFonts w:ascii="Cambria" w:hAnsi="Cambria"/>
          <w:sz w:val="20"/>
          <w:szCs w:val="20"/>
        </w:rPr>
        <w:t xml:space="preserve">the judge held that the accusation against </w:t>
      </w:r>
      <w:r w:rsidR="00525A71" w:rsidRPr="008D6E5C">
        <w:rPr>
          <w:rFonts w:ascii="Cambria" w:hAnsi="Cambria"/>
          <w:sz w:val="20"/>
          <w:szCs w:val="20"/>
        </w:rPr>
        <w:t xml:space="preserve">the local </w:t>
      </w:r>
      <w:r w:rsidR="00B11C4F" w:rsidRPr="008D6E5C">
        <w:rPr>
          <w:rFonts w:ascii="Cambria" w:hAnsi="Cambria"/>
          <w:sz w:val="20"/>
          <w:szCs w:val="20"/>
        </w:rPr>
        <w:t xml:space="preserve">businessman </w:t>
      </w:r>
      <w:r w:rsidR="008F5F9F" w:rsidRPr="008D6E5C">
        <w:rPr>
          <w:rFonts w:ascii="Cambria" w:hAnsi="Cambria"/>
          <w:sz w:val="20"/>
          <w:szCs w:val="20"/>
        </w:rPr>
        <w:t>was based primarily on the criminal motive, and that he was not the only person to have</w:t>
      </w:r>
      <w:r w:rsidRPr="008D6E5C">
        <w:rPr>
          <w:rFonts w:ascii="Cambria" w:hAnsi="Cambria"/>
          <w:sz w:val="20"/>
          <w:szCs w:val="20"/>
        </w:rPr>
        <w:t xml:space="preserve"> “rivalries” with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C24740" w:rsidRPr="008D6E5C">
        <w:rPr>
          <w:rFonts w:ascii="Cambria" w:hAnsi="Cambria"/>
          <w:sz w:val="20"/>
          <w:szCs w:val="20"/>
        </w:rPr>
        <w:t xml:space="preserve">The </w:t>
      </w:r>
      <w:r w:rsidR="0042463D" w:rsidRPr="008D6E5C">
        <w:rPr>
          <w:rFonts w:ascii="Cambria" w:hAnsi="Cambria"/>
          <w:sz w:val="20"/>
          <w:szCs w:val="20"/>
        </w:rPr>
        <w:t>judge</w:t>
      </w:r>
      <w:r w:rsidR="00C24740" w:rsidRPr="008D6E5C">
        <w:rPr>
          <w:rFonts w:ascii="Cambria" w:hAnsi="Cambria"/>
          <w:sz w:val="20"/>
          <w:szCs w:val="20"/>
        </w:rPr>
        <w:t xml:space="preserve"> also held that there was no</w:t>
      </w:r>
      <w:r w:rsidRPr="008D6E5C">
        <w:rPr>
          <w:rFonts w:ascii="Cambria" w:hAnsi="Cambria"/>
          <w:sz w:val="20"/>
          <w:szCs w:val="20"/>
        </w:rPr>
        <w:t xml:space="preserve"> </w:t>
      </w:r>
      <w:r w:rsidR="0042463D" w:rsidRPr="008D6E5C">
        <w:rPr>
          <w:rFonts w:ascii="Cambria" w:hAnsi="Cambria"/>
          <w:sz w:val="20"/>
          <w:szCs w:val="20"/>
        </w:rPr>
        <w:t>prosecution evidence</w:t>
      </w:r>
      <w:r w:rsidRPr="008D6E5C">
        <w:rPr>
          <w:rFonts w:ascii="Cambria" w:hAnsi="Cambria"/>
          <w:sz w:val="20"/>
          <w:szCs w:val="20"/>
        </w:rPr>
        <w:t xml:space="preserve"> </w:t>
      </w:r>
      <w:r w:rsidR="0042463D" w:rsidRPr="008D6E5C">
        <w:rPr>
          <w:rFonts w:ascii="Cambria" w:hAnsi="Cambria"/>
          <w:sz w:val="20"/>
          <w:szCs w:val="20"/>
        </w:rPr>
        <w:t>of a link between the alleged</w:t>
      </w:r>
      <w:r w:rsidRPr="008D6E5C">
        <w:rPr>
          <w:rFonts w:ascii="Cambria" w:hAnsi="Cambria"/>
          <w:sz w:val="20"/>
          <w:szCs w:val="20"/>
        </w:rPr>
        <w:t xml:space="preserve"> </w:t>
      </w:r>
      <w:r w:rsidR="004E7C9B" w:rsidRPr="008D6E5C">
        <w:rPr>
          <w:rFonts w:ascii="Cambria" w:hAnsi="Cambria"/>
          <w:sz w:val="20"/>
          <w:szCs w:val="20"/>
        </w:rPr>
        <w:t>direct perpetrators</w:t>
      </w:r>
      <w:r w:rsidRPr="008D6E5C">
        <w:rPr>
          <w:rFonts w:ascii="Cambria" w:hAnsi="Cambria"/>
          <w:sz w:val="20"/>
          <w:szCs w:val="20"/>
        </w:rPr>
        <w:t xml:space="preserve"> </w:t>
      </w:r>
      <w:r w:rsidR="0042463D" w:rsidRPr="008D6E5C">
        <w:rPr>
          <w:rFonts w:ascii="Cambria" w:hAnsi="Cambria"/>
          <w:sz w:val="20"/>
          <w:szCs w:val="20"/>
        </w:rPr>
        <w:t>and masterminds</w:t>
      </w:r>
      <w:r w:rsidRPr="008D6E5C">
        <w:rPr>
          <w:rFonts w:ascii="Cambria" w:hAnsi="Cambria"/>
          <w:sz w:val="20"/>
          <w:szCs w:val="20"/>
        </w:rPr>
        <w:t xml:space="preserve">. Accordingly, he indicated that </w:t>
      </w:r>
      <w:r w:rsidR="0042463D" w:rsidRPr="008D6E5C">
        <w:rPr>
          <w:rFonts w:ascii="Cambria" w:hAnsi="Cambria"/>
          <w:sz w:val="20"/>
          <w:szCs w:val="20"/>
        </w:rPr>
        <w:t>the evidence presented did not lead him to</w:t>
      </w:r>
      <w:r w:rsidRPr="008D6E5C">
        <w:rPr>
          <w:rFonts w:ascii="Cambria" w:hAnsi="Cambria"/>
          <w:sz w:val="20"/>
          <w:szCs w:val="20"/>
        </w:rPr>
        <w:t xml:space="preserve"> “</w:t>
      </w:r>
      <w:r w:rsidR="0042463D" w:rsidRPr="008D6E5C">
        <w:rPr>
          <w:rFonts w:ascii="Cambria" w:hAnsi="Cambria"/>
          <w:sz w:val="20"/>
          <w:szCs w:val="20"/>
        </w:rPr>
        <w:t>the certainty or the subjective</w:t>
      </w:r>
      <w:r w:rsidRPr="008D6E5C">
        <w:rPr>
          <w:rFonts w:ascii="Cambria" w:hAnsi="Cambria"/>
          <w:sz w:val="20"/>
          <w:szCs w:val="20"/>
        </w:rPr>
        <w:t xml:space="preserve"> </w:t>
      </w:r>
      <w:r w:rsidR="0042463D" w:rsidRPr="008D6E5C">
        <w:rPr>
          <w:rFonts w:ascii="Cambria" w:hAnsi="Cambria"/>
          <w:sz w:val="20"/>
          <w:szCs w:val="20"/>
        </w:rPr>
        <w:t>belief that the three</w:t>
      </w:r>
      <w:r w:rsidRPr="008D6E5C">
        <w:rPr>
          <w:rFonts w:ascii="Cambria" w:hAnsi="Cambria"/>
          <w:sz w:val="20"/>
          <w:szCs w:val="20"/>
        </w:rPr>
        <w:t xml:space="preserve"> (3) </w:t>
      </w:r>
      <w:r w:rsidR="0042463D" w:rsidRPr="008D6E5C">
        <w:rPr>
          <w:rFonts w:ascii="Cambria" w:hAnsi="Cambria"/>
          <w:sz w:val="20"/>
          <w:szCs w:val="20"/>
        </w:rPr>
        <w:t xml:space="preserve">defendants were responsible. The doubt necessarily arises and is not eliminated—and at the current stage of the proceedings it is also impossible to do so—pursuant to </w:t>
      </w:r>
      <w:r w:rsidRPr="008D6E5C">
        <w:rPr>
          <w:rFonts w:ascii="Cambria" w:hAnsi="Cambria"/>
          <w:sz w:val="20"/>
          <w:szCs w:val="20"/>
        </w:rPr>
        <w:t>Article 445 of the Code of Criminal Procedure."</w:t>
      </w:r>
      <w:r w:rsidRPr="008D6E5C">
        <w:rPr>
          <w:rStyle w:val="FootnoteReference"/>
          <w:rFonts w:ascii="Cambria" w:hAnsi="Cambria"/>
          <w:sz w:val="20"/>
          <w:szCs w:val="20"/>
        </w:rPr>
        <w:footnoteReference w:id="72"/>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Single Criminal Court </w:t>
      </w:r>
      <w:r w:rsidR="00B24BB8" w:rsidRPr="008D6E5C">
        <w:rPr>
          <w:rFonts w:ascii="Cambria" w:hAnsi="Cambria"/>
          <w:sz w:val="20"/>
          <w:szCs w:val="20"/>
        </w:rPr>
        <w:t>ordered</w:t>
      </w:r>
      <w:r w:rsidRPr="008D6E5C">
        <w:rPr>
          <w:rFonts w:ascii="Cambria" w:hAnsi="Cambria"/>
          <w:sz w:val="20"/>
          <w:szCs w:val="20"/>
        </w:rPr>
        <w:t xml:space="preserve"> </w:t>
      </w:r>
      <w:r w:rsidR="008541BE" w:rsidRPr="008D6E5C">
        <w:rPr>
          <w:rFonts w:ascii="Cambria" w:hAnsi="Cambria"/>
          <w:sz w:val="20"/>
          <w:szCs w:val="20"/>
        </w:rPr>
        <w:t>the defendants’ release and ordered the</w:t>
      </w:r>
      <w:r w:rsidRPr="008D6E5C">
        <w:rPr>
          <w:rFonts w:ascii="Cambria" w:hAnsi="Cambria"/>
          <w:sz w:val="20"/>
          <w:szCs w:val="20"/>
        </w:rPr>
        <w:t xml:space="preserve"> “</w:t>
      </w:r>
      <w:r w:rsidR="008541BE" w:rsidRPr="008D6E5C">
        <w:rPr>
          <w:rFonts w:ascii="Cambria" w:hAnsi="Cambria"/>
          <w:sz w:val="20"/>
          <w:szCs w:val="20"/>
        </w:rPr>
        <w:t>Assignments Office</w:t>
      </w:r>
      <w:r w:rsidRPr="008D6E5C">
        <w:rPr>
          <w:rFonts w:ascii="Cambria" w:hAnsi="Cambria"/>
          <w:sz w:val="20"/>
          <w:szCs w:val="20"/>
        </w:rPr>
        <w:t xml:space="preserve"> </w:t>
      </w:r>
      <w:r w:rsidR="008541BE" w:rsidRPr="008D6E5C">
        <w:rPr>
          <w:rFonts w:ascii="Cambria" w:hAnsi="Cambria"/>
          <w:sz w:val="20"/>
          <w:szCs w:val="20"/>
        </w:rPr>
        <w:t>of the</w:t>
      </w:r>
      <w:r w:rsidRPr="008D6E5C">
        <w:rPr>
          <w:rFonts w:ascii="Cambria" w:hAnsi="Cambria"/>
          <w:sz w:val="20"/>
          <w:szCs w:val="20"/>
        </w:rPr>
        <w:t xml:space="preserve"> </w:t>
      </w:r>
      <w:r w:rsidR="008541BE" w:rsidRPr="008D6E5C">
        <w:rPr>
          <w:rFonts w:ascii="Cambria" w:hAnsi="Cambria"/>
          <w:sz w:val="20"/>
          <w:szCs w:val="20"/>
        </w:rPr>
        <w:t xml:space="preserve">Prosecutors’ Offices assigned to this Court to continue [to pursue] </w:t>
      </w:r>
      <w:r w:rsidR="00B24BB8" w:rsidRPr="008D6E5C">
        <w:rPr>
          <w:rFonts w:ascii="Cambria" w:hAnsi="Cambria"/>
          <w:sz w:val="20"/>
          <w:szCs w:val="20"/>
        </w:rPr>
        <w:t>the perpetrators and accomplices to the murder of</w:t>
      </w:r>
      <w:r w:rsidRPr="008D6E5C">
        <w:rPr>
          <w:rFonts w:ascii="Cambria" w:hAnsi="Cambria"/>
          <w:sz w:val="20"/>
          <w:szCs w:val="20"/>
        </w:rPr>
        <w:t xml:space="preserve">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w:t>
      </w:r>
      <w:r w:rsidRPr="008D6E5C">
        <w:rPr>
          <w:rStyle w:val="FootnoteReference"/>
          <w:rFonts w:ascii="Cambria" w:hAnsi="Cambria"/>
          <w:sz w:val="20"/>
          <w:szCs w:val="20"/>
        </w:rPr>
        <w:footnoteReference w:id="73"/>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April 6, 2001, the Superior Court for the Judicial District of Neiva ruled on the appeal brought by the Prosecutor’s Office and </w:t>
      </w:r>
      <w:r w:rsidR="00525A71" w:rsidRPr="008D6E5C">
        <w:rPr>
          <w:rFonts w:ascii="Cambria" w:hAnsi="Cambria"/>
          <w:sz w:val="20"/>
          <w:szCs w:val="20"/>
        </w:rPr>
        <w:t>the</w:t>
      </w:r>
      <w:r w:rsidR="00716593" w:rsidRPr="008D6E5C">
        <w:rPr>
          <w:rFonts w:ascii="Cambria" w:hAnsi="Cambria"/>
          <w:sz w:val="20"/>
          <w:szCs w:val="20"/>
        </w:rPr>
        <w:t xml:space="preserve"> defense attorney </w:t>
      </w:r>
      <w:r w:rsidRPr="008D6E5C">
        <w:rPr>
          <w:rFonts w:ascii="Cambria" w:hAnsi="Cambria"/>
          <w:sz w:val="20"/>
          <w:szCs w:val="20"/>
        </w:rPr>
        <w:t xml:space="preserve">challenging the December 15, 2000 judgment </w:t>
      </w:r>
      <w:r w:rsidR="00716593" w:rsidRPr="008D6E5C">
        <w:rPr>
          <w:rFonts w:ascii="Cambria" w:hAnsi="Cambria"/>
          <w:sz w:val="20"/>
          <w:szCs w:val="20"/>
        </w:rPr>
        <w:t>of</w:t>
      </w:r>
      <w:r w:rsidRPr="008D6E5C">
        <w:rPr>
          <w:rFonts w:ascii="Cambria" w:hAnsi="Cambria"/>
          <w:sz w:val="20"/>
          <w:szCs w:val="20"/>
        </w:rPr>
        <w:t xml:space="preserve"> the Single Criminal Court of the Specialized Circuit of Neiva.</w:t>
      </w:r>
      <w:r w:rsidR="00DF3373" w:rsidRPr="008D6E5C">
        <w:rPr>
          <w:rStyle w:val="FootnoteReference"/>
          <w:rFonts w:ascii="Cambria" w:hAnsi="Cambria"/>
          <w:sz w:val="20"/>
          <w:szCs w:val="20"/>
        </w:rPr>
        <w:footnoteReference w:id="74"/>
      </w:r>
    </w:p>
    <w:p w:rsidR="00C0575F" w:rsidRPr="008D6E5C" w:rsidRDefault="00C0575F" w:rsidP="001520DB">
      <w:pPr>
        <w:pStyle w:val="ListParagraph"/>
        <w:ind w:left="0" w:firstLine="720"/>
        <w:jc w:val="both"/>
        <w:rPr>
          <w:sz w:val="20"/>
          <w:szCs w:val="20"/>
        </w:rPr>
      </w:pPr>
    </w:p>
    <w:p w:rsidR="00C0575F" w:rsidRPr="008D6E5C" w:rsidRDefault="0071659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w:t>
      </w:r>
      <w:r w:rsidR="00C0575F" w:rsidRPr="008D6E5C">
        <w:rPr>
          <w:rFonts w:ascii="Cambria" w:hAnsi="Cambria"/>
          <w:sz w:val="20"/>
          <w:szCs w:val="20"/>
        </w:rPr>
        <w:t xml:space="preserve"> Superior Court</w:t>
      </w:r>
      <w:r w:rsidRPr="008D6E5C">
        <w:rPr>
          <w:rFonts w:ascii="Cambria" w:hAnsi="Cambria"/>
          <w:sz w:val="20"/>
          <w:szCs w:val="20"/>
        </w:rPr>
        <w:t>’s order</w:t>
      </w:r>
      <w:r w:rsidR="00C0575F" w:rsidRPr="008D6E5C">
        <w:rPr>
          <w:rFonts w:ascii="Cambria" w:hAnsi="Cambria"/>
          <w:sz w:val="20"/>
          <w:szCs w:val="20"/>
        </w:rPr>
        <w:t xml:space="preserve"> examined the statements </w:t>
      </w:r>
      <w:r w:rsidR="00B24BB8" w:rsidRPr="008D6E5C">
        <w:rPr>
          <w:rFonts w:ascii="Cambria" w:hAnsi="Cambria"/>
          <w:sz w:val="20"/>
          <w:szCs w:val="20"/>
        </w:rPr>
        <w:t>provided in the case</w:t>
      </w:r>
      <w:r w:rsidR="00C0575F" w:rsidRPr="008D6E5C">
        <w:rPr>
          <w:rFonts w:ascii="Cambria" w:hAnsi="Cambria"/>
          <w:sz w:val="20"/>
          <w:szCs w:val="20"/>
        </w:rPr>
        <w:t xml:space="preserve">. </w:t>
      </w:r>
      <w:r w:rsidRPr="008D6E5C">
        <w:rPr>
          <w:rFonts w:ascii="Cambria" w:hAnsi="Cambria"/>
          <w:sz w:val="20"/>
          <w:szCs w:val="20"/>
        </w:rPr>
        <w:t xml:space="preserve">It  indicated that the argument of the Prosecutor’s Office in charge of the case was </w:t>
      </w:r>
      <w:r w:rsidR="00E83531" w:rsidRPr="008D6E5C">
        <w:rPr>
          <w:rFonts w:ascii="Cambria" w:hAnsi="Cambria"/>
          <w:sz w:val="20"/>
          <w:szCs w:val="20"/>
        </w:rPr>
        <w:t>inadequate</w:t>
      </w:r>
      <w:r w:rsidR="00C0575F" w:rsidRPr="008D6E5C">
        <w:rPr>
          <w:rFonts w:ascii="Cambria" w:hAnsi="Cambria"/>
          <w:sz w:val="20"/>
          <w:szCs w:val="20"/>
        </w:rPr>
        <w:t xml:space="preserve"> “</w:t>
      </w:r>
      <w:r w:rsidRPr="008D6E5C">
        <w:rPr>
          <w:rFonts w:ascii="Cambria" w:hAnsi="Cambria"/>
          <w:sz w:val="20"/>
          <w:szCs w:val="20"/>
        </w:rPr>
        <w:t>in</w:t>
      </w:r>
      <w:r w:rsidR="00C0575F" w:rsidRPr="008D6E5C">
        <w:rPr>
          <w:rFonts w:ascii="Cambria" w:hAnsi="Cambria"/>
          <w:sz w:val="20"/>
          <w:szCs w:val="20"/>
        </w:rPr>
        <w:t xml:space="preserve"> evaluating the evidence produced during investigation</w:t>
      </w:r>
      <w:r w:rsidRPr="008D6E5C">
        <w:rPr>
          <w:rFonts w:ascii="Cambria" w:hAnsi="Cambria"/>
          <w:sz w:val="20"/>
          <w:szCs w:val="20"/>
        </w:rPr>
        <w:t>,</w:t>
      </w:r>
      <w:r w:rsidR="00C0575F" w:rsidRPr="008D6E5C">
        <w:rPr>
          <w:rFonts w:ascii="Cambria" w:hAnsi="Cambria"/>
          <w:sz w:val="20"/>
          <w:szCs w:val="20"/>
        </w:rPr>
        <w:t xml:space="preserve">” </w:t>
      </w:r>
      <w:r w:rsidRPr="008D6E5C">
        <w:rPr>
          <w:rFonts w:ascii="Cambria" w:hAnsi="Cambria"/>
          <w:sz w:val="20"/>
          <w:szCs w:val="20"/>
        </w:rPr>
        <w:t>as it found only</w:t>
      </w:r>
      <w:r w:rsidR="00C0575F" w:rsidRPr="008D6E5C">
        <w:rPr>
          <w:rFonts w:ascii="Cambria" w:hAnsi="Cambria"/>
          <w:sz w:val="20"/>
          <w:szCs w:val="20"/>
        </w:rPr>
        <w:t xml:space="preserve"> “</w:t>
      </w:r>
      <w:r w:rsidRPr="008D6E5C">
        <w:rPr>
          <w:rFonts w:ascii="Cambria" w:hAnsi="Cambria"/>
          <w:sz w:val="20"/>
          <w:szCs w:val="20"/>
        </w:rPr>
        <w:t>circumstantial evidence of</w:t>
      </w:r>
      <w:r w:rsidR="00C0575F" w:rsidRPr="008D6E5C">
        <w:rPr>
          <w:rFonts w:ascii="Cambria" w:hAnsi="Cambria"/>
          <w:sz w:val="20"/>
          <w:szCs w:val="20"/>
        </w:rPr>
        <w:t xml:space="preserve"> </w:t>
      </w:r>
      <w:proofErr w:type="spellStart"/>
      <w:r w:rsidR="00C0575F" w:rsidRPr="008D6E5C">
        <w:rPr>
          <w:rFonts w:ascii="Cambria" w:hAnsi="Cambria"/>
          <w:sz w:val="20"/>
          <w:szCs w:val="20"/>
        </w:rPr>
        <w:t>Bermúdez</w:t>
      </w:r>
      <w:r w:rsidRPr="008D6E5C">
        <w:rPr>
          <w:rFonts w:ascii="Cambria" w:hAnsi="Cambria"/>
          <w:sz w:val="20"/>
          <w:szCs w:val="20"/>
        </w:rPr>
        <w:t>’s</w:t>
      </w:r>
      <w:proofErr w:type="spellEnd"/>
      <w:r w:rsidRPr="008D6E5C">
        <w:rPr>
          <w:rFonts w:ascii="Cambria" w:hAnsi="Cambria"/>
          <w:sz w:val="20"/>
          <w:szCs w:val="20"/>
        </w:rPr>
        <w:t xml:space="preserve"> animosity toward</w:t>
      </w:r>
      <w:r w:rsidR="00C0575F" w:rsidRPr="008D6E5C">
        <w:rPr>
          <w:rFonts w:ascii="Cambria" w:hAnsi="Cambria"/>
          <w:sz w:val="20"/>
          <w:szCs w:val="20"/>
        </w:rPr>
        <w:t xml:space="preserve"> the victim, </w:t>
      </w:r>
      <w:r w:rsidRPr="008D6E5C">
        <w:rPr>
          <w:rFonts w:ascii="Cambria" w:hAnsi="Cambria"/>
          <w:sz w:val="20"/>
          <w:szCs w:val="20"/>
        </w:rPr>
        <w:t xml:space="preserve">supposedly </w:t>
      </w:r>
      <w:r w:rsidR="00E83531" w:rsidRPr="008D6E5C">
        <w:rPr>
          <w:rFonts w:ascii="Cambria" w:hAnsi="Cambria"/>
          <w:sz w:val="20"/>
          <w:szCs w:val="20"/>
        </w:rPr>
        <w:t>the result of</w:t>
      </w:r>
      <w:r w:rsidRPr="008D6E5C">
        <w:rPr>
          <w:rFonts w:ascii="Cambria" w:hAnsi="Cambria"/>
          <w:sz w:val="20"/>
          <w:szCs w:val="20"/>
        </w:rPr>
        <w:t xml:space="preserve"> several critical reports aired by the deceased on </w:t>
      </w:r>
      <w:r w:rsidR="006620A2" w:rsidRPr="008D6E5C">
        <w:rPr>
          <w:rFonts w:ascii="Cambria" w:hAnsi="Cambria"/>
          <w:sz w:val="20"/>
          <w:szCs w:val="20"/>
        </w:rPr>
        <w:t>the</w:t>
      </w:r>
      <w:r w:rsidR="00C0575F" w:rsidRPr="008D6E5C">
        <w:rPr>
          <w:rFonts w:ascii="Cambria" w:hAnsi="Cambria"/>
          <w:sz w:val="20"/>
          <w:szCs w:val="20"/>
        </w:rPr>
        <w:t xml:space="preserve"> </w:t>
      </w:r>
      <w:r w:rsidR="00C0575F" w:rsidRPr="008D6E5C">
        <w:rPr>
          <w:rFonts w:ascii="Cambria" w:hAnsi="Cambria"/>
          <w:i/>
          <w:sz w:val="20"/>
          <w:szCs w:val="20"/>
        </w:rPr>
        <w:t>Radio Sur</w:t>
      </w:r>
      <w:r w:rsidR="006620A2" w:rsidRPr="008D6E5C">
        <w:rPr>
          <w:rFonts w:ascii="Cambria" w:hAnsi="Cambria"/>
          <w:sz w:val="20"/>
          <w:szCs w:val="20"/>
        </w:rPr>
        <w:t xml:space="preserve"> radio station of</w:t>
      </w:r>
      <w:r w:rsidR="00C0575F" w:rsidRPr="008D6E5C">
        <w:rPr>
          <w:rFonts w:ascii="Cambria" w:hAnsi="Cambria"/>
          <w:sz w:val="20"/>
          <w:szCs w:val="20"/>
        </w:rPr>
        <w:t xml:space="preserve"> </w:t>
      </w:r>
      <w:proofErr w:type="spellStart"/>
      <w:r w:rsidR="00C0575F" w:rsidRPr="008D6E5C">
        <w:rPr>
          <w:rFonts w:ascii="Cambria" w:hAnsi="Cambria"/>
          <w:sz w:val="20"/>
          <w:szCs w:val="20"/>
        </w:rPr>
        <w:t>Pitalito</w:t>
      </w:r>
      <w:proofErr w:type="spellEnd"/>
      <w:r w:rsidR="00C0575F" w:rsidRPr="008D6E5C">
        <w:rPr>
          <w:rFonts w:ascii="Cambria" w:hAnsi="Cambria"/>
          <w:sz w:val="20"/>
          <w:szCs w:val="20"/>
        </w:rPr>
        <w:t xml:space="preserve"> </w:t>
      </w:r>
      <w:r w:rsidRPr="008D6E5C">
        <w:rPr>
          <w:rFonts w:ascii="Cambria" w:hAnsi="Cambria"/>
          <w:sz w:val="20"/>
          <w:szCs w:val="20"/>
        </w:rPr>
        <w:t>regarding alleged</w:t>
      </w:r>
      <w:r w:rsidR="00C0575F" w:rsidRPr="008D6E5C">
        <w:rPr>
          <w:rFonts w:ascii="Cambria" w:hAnsi="Cambria"/>
          <w:sz w:val="20"/>
          <w:szCs w:val="20"/>
        </w:rPr>
        <w:t xml:space="preserve"> irregularit</w:t>
      </w:r>
      <w:r w:rsidR="006620A2" w:rsidRPr="008D6E5C">
        <w:rPr>
          <w:rFonts w:ascii="Cambria" w:hAnsi="Cambria"/>
          <w:sz w:val="20"/>
          <w:szCs w:val="20"/>
        </w:rPr>
        <w:t>ies in the Las Acacias housing development by</w:t>
      </w:r>
      <w:r w:rsidR="00C0575F" w:rsidRPr="008D6E5C">
        <w:rPr>
          <w:rFonts w:ascii="Cambria" w:hAnsi="Cambria"/>
          <w:sz w:val="20"/>
          <w:szCs w:val="20"/>
        </w:rPr>
        <w:t xml:space="preserve"> the construction </w:t>
      </w:r>
      <w:r w:rsidRPr="008D6E5C">
        <w:rPr>
          <w:rFonts w:ascii="Cambria" w:hAnsi="Cambria"/>
          <w:sz w:val="20"/>
          <w:szCs w:val="20"/>
        </w:rPr>
        <w:t xml:space="preserve">company </w:t>
      </w:r>
      <w:proofErr w:type="spellStart"/>
      <w:r w:rsidRPr="008D6E5C">
        <w:rPr>
          <w:rFonts w:ascii="Cambria" w:hAnsi="Cambria"/>
          <w:sz w:val="20"/>
          <w:szCs w:val="20"/>
        </w:rPr>
        <w:t>Bermúdez</w:t>
      </w:r>
      <w:proofErr w:type="spellEnd"/>
      <w:r w:rsidRPr="008D6E5C">
        <w:rPr>
          <w:rFonts w:ascii="Cambria" w:hAnsi="Cambria"/>
          <w:sz w:val="20"/>
          <w:szCs w:val="20"/>
        </w:rPr>
        <w:t xml:space="preserve"> Llanos y </w:t>
      </w:r>
      <w:proofErr w:type="spellStart"/>
      <w:r w:rsidRPr="008D6E5C">
        <w:rPr>
          <w:rFonts w:ascii="Cambria" w:hAnsi="Cambria"/>
          <w:sz w:val="20"/>
          <w:szCs w:val="20"/>
        </w:rPr>
        <w:t>cía</w:t>
      </w:r>
      <w:proofErr w:type="spellEnd"/>
      <w:r w:rsidR="00E83531" w:rsidRPr="008D6E5C">
        <w:rPr>
          <w:rFonts w:ascii="Cambria" w:hAnsi="Cambria"/>
          <w:sz w:val="20"/>
          <w:szCs w:val="20"/>
        </w:rPr>
        <w:t xml:space="preserve">; this </w:t>
      </w:r>
      <w:r w:rsidRPr="008D6E5C">
        <w:rPr>
          <w:rFonts w:ascii="Cambria" w:hAnsi="Cambria"/>
          <w:sz w:val="20"/>
          <w:szCs w:val="20"/>
        </w:rPr>
        <w:t xml:space="preserve">hatred </w:t>
      </w:r>
      <w:r w:rsidR="00E83531" w:rsidRPr="008D6E5C">
        <w:rPr>
          <w:rFonts w:ascii="Cambria" w:hAnsi="Cambria"/>
          <w:sz w:val="20"/>
          <w:szCs w:val="20"/>
        </w:rPr>
        <w:t xml:space="preserve">was allegedly </w:t>
      </w:r>
      <w:r w:rsidRPr="008D6E5C">
        <w:rPr>
          <w:rFonts w:ascii="Cambria" w:hAnsi="Cambria"/>
          <w:sz w:val="20"/>
          <w:szCs w:val="20"/>
        </w:rPr>
        <w:t xml:space="preserve">evidenced by </w:t>
      </w:r>
      <w:proofErr w:type="spellStart"/>
      <w:r w:rsidRPr="008D6E5C">
        <w:rPr>
          <w:rFonts w:ascii="Cambria" w:hAnsi="Cambria"/>
          <w:sz w:val="20"/>
          <w:szCs w:val="20"/>
        </w:rPr>
        <w:t>Bermúdez’s</w:t>
      </w:r>
      <w:proofErr w:type="spellEnd"/>
      <w:r w:rsidRPr="008D6E5C">
        <w:rPr>
          <w:rFonts w:ascii="Cambria" w:hAnsi="Cambria"/>
          <w:sz w:val="20"/>
          <w:szCs w:val="20"/>
        </w:rPr>
        <w:t xml:space="preserve"> financial solvency and his</w:t>
      </w:r>
      <w:r w:rsidR="00E83531" w:rsidRPr="008D6E5C">
        <w:rPr>
          <w:rFonts w:ascii="Cambria" w:hAnsi="Cambria"/>
          <w:sz w:val="20"/>
          <w:szCs w:val="20"/>
        </w:rPr>
        <w:t xml:space="preserve"> friendship—which could never be proven—</w:t>
      </w:r>
      <w:r w:rsidRPr="008D6E5C">
        <w:rPr>
          <w:rFonts w:ascii="Cambria" w:hAnsi="Cambria"/>
          <w:sz w:val="20"/>
          <w:szCs w:val="20"/>
        </w:rPr>
        <w:t xml:space="preserve">with the </w:t>
      </w:r>
      <w:r w:rsidR="00E83531" w:rsidRPr="008D6E5C">
        <w:rPr>
          <w:rFonts w:ascii="Cambria" w:hAnsi="Cambria"/>
          <w:sz w:val="20"/>
          <w:szCs w:val="20"/>
        </w:rPr>
        <w:t>supposed</w:t>
      </w:r>
      <w:r w:rsidRPr="008D6E5C">
        <w:rPr>
          <w:rFonts w:ascii="Cambria" w:hAnsi="Cambria"/>
          <w:sz w:val="20"/>
          <w:szCs w:val="20"/>
        </w:rPr>
        <w:t xml:space="preserve"> </w:t>
      </w:r>
      <w:r w:rsidR="00C0575F" w:rsidRPr="008D6E5C">
        <w:rPr>
          <w:rFonts w:ascii="Cambria" w:hAnsi="Cambria"/>
          <w:sz w:val="20"/>
          <w:szCs w:val="20"/>
        </w:rPr>
        <w:t xml:space="preserve">direct perpetrator.” </w:t>
      </w:r>
      <w:r w:rsidR="004E7C9B" w:rsidRPr="008D6E5C">
        <w:rPr>
          <w:rFonts w:ascii="Cambria" w:hAnsi="Cambria"/>
          <w:sz w:val="20"/>
          <w:szCs w:val="20"/>
        </w:rPr>
        <w:t>With respect to the alleged direct perpetrators</w:t>
      </w:r>
      <w:r w:rsidR="00C0575F" w:rsidRPr="008D6E5C">
        <w:rPr>
          <w:rFonts w:ascii="Cambria" w:hAnsi="Cambria"/>
          <w:sz w:val="20"/>
          <w:szCs w:val="20"/>
        </w:rPr>
        <w:t xml:space="preserve">, </w:t>
      </w:r>
      <w:r w:rsidR="004E7C9B" w:rsidRPr="008D6E5C">
        <w:rPr>
          <w:rFonts w:ascii="Cambria" w:hAnsi="Cambria"/>
          <w:sz w:val="20"/>
          <w:szCs w:val="20"/>
        </w:rPr>
        <w:t xml:space="preserve">the </w:t>
      </w:r>
      <w:r w:rsidR="00E83531" w:rsidRPr="008D6E5C">
        <w:rPr>
          <w:rFonts w:ascii="Cambria" w:hAnsi="Cambria"/>
          <w:sz w:val="20"/>
          <w:szCs w:val="20"/>
        </w:rPr>
        <w:t>Court</w:t>
      </w:r>
      <w:r w:rsidR="00B951A4" w:rsidRPr="008D6E5C">
        <w:rPr>
          <w:rFonts w:ascii="Cambria" w:hAnsi="Cambria"/>
          <w:sz w:val="20"/>
          <w:szCs w:val="20"/>
        </w:rPr>
        <w:t xml:space="preserve"> </w:t>
      </w:r>
      <w:r w:rsidR="00E83531" w:rsidRPr="008D6E5C">
        <w:rPr>
          <w:rFonts w:ascii="Cambria" w:hAnsi="Cambria"/>
          <w:sz w:val="20"/>
          <w:szCs w:val="20"/>
        </w:rPr>
        <w:t>found</w:t>
      </w:r>
      <w:r w:rsidR="00C0575F" w:rsidRPr="008D6E5C">
        <w:rPr>
          <w:rFonts w:ascii="Cambria" w:hAnsi="Cambria"/>
          <w:sz w:val="20"/>
          <w:szCs w:val="20"/>
        </w:rPr>
        <w:t xml:space="preserve"> that</w:t>
      </w:r>
      <w:r w:rsidR="00E83531" w:rsidRPr="008D6E5C">
        <w:rPr>
          <w:rFonts w:ascii="Cambria" w:hAnsi="Cambria"/>
          <w:sz w:val="20"/>
          <w:szCs w:val="20"/>
        </w:rPr>
        <w:t xml:space="preserve"> there were severa</w:t>
      </w:r>
      <w:r w:rsidR="00AD4A59" w:rsidRPr="008D6E5C">
        <w:rPr>
          <w:rFonts w:ascii="Cambria" w:hAnsi="Cambria"/>
          <w:sz w:val="20"/>
          <w:szCs w:val="20"/>
        </w:rPr>
        <w:t>l statements o</w:t>
      </w:r>
      <w:r w:rsidR="00E83531" w:rsidRPr="008D6E5C">
        <w:rPr>
          <w:rFonts w:ascii="Cambria" w:hAnsi="Cambria"/>
          <w:sz w:val="20"/>
          <w:szCs w:val="20"/>
        </w:rPr>
        <w:t xml:space="preserve">n the record </w:t>
      </w:r>
      <w:r w:rsidR="00B951A4" w:rsidRPr="008D6E5C">
        <w:rPr>
          <w:rFonts w:ascii="Cambria" w:hAnsi="Cambria"/>
          <w:sz w:val="20"/>
          <w:szCs w:val="20"/>
        </w:rPr>
        <w:t>indicating</w:t>
      </w:r>
      <w:r w:rsidR="00E83531" w:rsidRPr="008D6E5C">
        <w:rPr>
          <w:rFonts w:ascii="Cambria" w:hAnsi="Cambria"/>
          <w:sz w:val="20"/>
          <w:szCs w:val="20"/>
        </w:rPr>
        <w:t xml:space="preserve"> that </w:t>
      </w:r>
      <w:r w:rsidR="00AD4A59" w:rsidRPr="008D6E5C">
        <w:rPr>
          <w:rFonts w:ascii="Cambria" w:hAnsi="Cambria"/>
          <w:sz w:val="20"/>
          <w:szCs w:val="20"/>
        </w:rPr>
        <w:t>at the time of the murder</w:t>
      </w:r>
      <w:r w:rsidR="00C0575F" w:rsidRPr="008D6E5C">
        <w:rPr>
          <w:rFonts w:ascii="Cambria" w:hAnsi="Cambria"/>
          <w:sz w:val="20"/>
          <w:szCs w:val="20"/>
        </w:rPr>
        <w:t xml:space="preserve"> </w:t>
      </w:r>
      <w:r w:rsidR="00525A71" w:rsidRPr="008D6E5C">
        <w:rPr>
          <w:rFonts w:ascii="Cambria" w:hAnsi="Cambria"/>
          <w:sz w:val="20"/>
          <w:szCs w:val="20"/>
        </w:rPr>
        <w:t>the alleged perpetrators</w:t>
      </w:r>
      <w:r w:rsidR="00C0575F" w:rsidRPr="008D6E5C">
        <w:rPr>
          <w:rFonts w:ascii="Cambria" w:hAnsi="Cambria"/>
          <w:sz w:val="20"/>
          <w:szCs w:val="20"/>
        </w:rPr>
        <w:t xml:space="preserve"> “</w:t>
      </w:r>
      <w:r w:rsidR="00932834" w:rsidRPr="008D6E5C">
        <w:rPr>
          <w:rFonts w:ascii="Cambria" w:hAnsi="Cambria"/>
          <w:sz w:val="20"/>
          <w:szCs w:val="20"/>
        </w:rPr>
        <w:t xml:space="preserve">were engaged in </w:t>
      </w:r>
      <w:r w:rsidR="004E7C9B" w:rsidRPr="008D6E5C">
        <w:rPr>
          <w:rFonts w:ascii="Cambria" w:hAnsi="Cambria"/>
          <w:sz w:val="20"/>
          <w:szCs w:val="20"/>
        </w:rPr>
        <w:t>lawful activities</w:t>
      </w:r>
      <w:r w:rsidR="00AD4A59" w:rsidRPr="008D6E5C">
        <w:rPr>
          <w:rFonts w:ascii="Cambria" w:hAnsi="Cambria"/>
          <w:sz w:val="20"/>
          <w:szCs w:val="20"/>
        </w:rPr>
        <w:t>—statements that the Court certainly cannot dispute with evidence</w:t>
      </w:r>
      <w:r w:rsidR="00B951A4" w:rsidRPr="008D6E5C">
        <w:rPr>
          <w:rFonts w:ascii="Cambria" w:hAnsi="Cambria"/>
          <w:sz w:val="20"/>
          <w:szCs w:val="20"/>
        </w:rPr>
        <w:t xml:space="preserve"> to the contrary</w:t>
      </w:r>
      <w:r w:rsidR="00C0575F" w:rsidRPr="008D6E5C">
        <w:rPr>
          <w:rFonts w:ascii="Cambria" w:hAnsi="Cambria"/>
          <w:sz w:val="20"/>
          <w:szCs w:val="20"/>
        </w:rPr>
        <w:t>.”</w:t>
      </w:r>
      <w:r w:rsidR="00C0575F" w:rsidRPr="008D6E5C">
        <w:rPr>
          <w:rStyle w:val="FootnoteReference"/>
          <w:rFonts w:ascii="Cambria" w:hAnsi="Cambria"/>
          <w:sz w:val="20"/>
          <w:szCs w:val="20"/>
        </w:rPr>
        <w:footnoteReference w:id="75"/>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Superior Court additionally stated that </w:t>
      </w:r>
      <w:r w:rsidR="0036646F" w:rsidRPr="008D6E5C">
        <w:rPr>
          <w:rFonts w:ascii="Cambria" w:hAnsi="Cambria"/>
          <w:sz w:val="20"/>
          <w:szCs w:val="20"/>
        </w:rPr>
        <w:t>the</w:t>
      </w:r>
      <w:r w:rsidRPr="008D6E5C">
        <w:rPr>
          <w:rFonts w:ascii="Cambria" w:hAnsi="Cambria"/>
          <w:sz w:val="20"/>
          <w:szCs w:val="20"/>
        </w:rPr>
        <w:t xml:space="preserve"> defense counsel </w:t>
      </w:r>
      <w:r w:rsidR="0036646F" w:rsidRPr="008D6E5C">
        <w:rPr>
          <w:rFonts w:ascii="Cambria" w:hAnsi="Cambria"/>
          <w:sz w:val="20"/>
          <w:szCs w:val="20"/>
        </w:rPr>
        <w:t>“</w:t>
      </w:r>
      <w:r w:rsidR="000A7A37" w:rsidRPr="008D6E5C">
        <w:rPr>
          <w:rFonts w:ascii="Cambria" w:hAnsi="Cambria"/>
          <w:sz w:val="20"/>
          <w:szCs w:val="20"/>
        </w:rPr>
        <w:t>demonstrated that</w:t>
      </w:r>
      <w:r w:rsidR="00A840AE" w:rsidRPr="008D6E5C">
        <w:rPr>
          <w:rFonts w:ascii="Cambria" w:hAnsi="Cambria"/>
          <w:sz w:val="20"/>
          <w:szCs w:val="20"/>
        </w:rPr>
        <w:t xml:space="preserve"> the Prosecutor’s Office disregarded other theories of perpetration of the crime, </w:t>
      </w:r>
      <w:r w:rsidR="00D56ACB" w:rsidRPr="008D6E5C">
        <w:rPr>
          <w:rFonts w:ascii="Cambria" w:hAnsi="Cambria"/>
          <w:sz w:val="20"/>
          <w:szCs w:val="20"/>
        </w:rPr>
        <w:t>which</w:t>
      </w:r>
      <w:r w:rsidR="00A840AE" w:rsidRPr="008D6E5C">
        <w:rPr>
          <w:rFonts w:ascii="Cambria" w:hAnsi="Cambria"/>
          <w:sz w:val="20"/>
          <w:szCs w:val="20"/>
        </w:rPr>
        <w:t xml:space="preserve"> pointed to the FARC </w:t>
      </w:r>
      <w:r w:rsidR="00D56ACB" w:rsidRPr="008D6E5C">
        <w:rPr>
          <w:rFonts w:ascii="Cambria" w:hAnsi="Cambria"/>
          <w:sz w:val="20"/>
          <w:szCs w:val="20"/>
        </w:rPr>
        <w:t xml:space="preserve">and to an </w:t>
      </w:r>
      <w:r w:rsidR="00A840AE" w:rsidRPr="008D6E5C">
        <w:rPr>
          <w:rFonts w:ascii="Cambria" w:hAnsi="Cambria"/>
          <w:sz w:val="20"/>
          <w:szCs w:val="20"/>
        </w:rPr>
        <w:t>organization</w:t>
      </w:r>
      <w:r w:rsidR="00D56ACB" w:rsidRPr="008D6E5C">
        <w:rPr>
          <w:rFonts w:ascii="Cambria" w:hAnsi="Cambria"/>
          <w:sz w:val="20"/>
          <w:szCs w:val="20"/>
        </w:rPr>
        <w:t xml:space="preserve"> of common criminals</w:t>
      </w:r>
      <w:r w:rsidR="00A840AE" w:rsidRPr="008D6E5C">
        <w:rPr>
          <w:rFonts w:ascii="Cambria" w:hAnsi="Cambria"/>
          <w:sz w:val="20"/>
          <w:szCs w:val="20"/>
        </w:rPr>
        <w:t>, but especially to the FARC</w:t>
      </w:r>
      <w:r w:rsidRPr="008D6E5C">
        <w:rPr>
          <w:rFonts w:ascii="Cambria" w:hAnsi="Cambria"/>
          <w:sz w:val="20"/>
          <w:szCs w:val="20"/>
        </w:rPr>
        <w:t>.”</w:t>
      </w:r>
      <w:r w:rsidRPr="008D6E5C">
        <w:rPr>
          <w:rStyle w:val="FootnoteReference"/>
          <w:rFonts w:ascii="Cambria" w:hAnsi="Cambria"/>
          <w:sz w:val="20"/>
          <w:szCs w:val="20"/>
        </w:rPr>
        <w:footnoteReference w:id="76"/>
      </w:r>
      <w:r w:rsidRPr="008D6E5C">
        <w:rPr>
          <w:rFonts w:ascii="Cambria" w:hAnsi="Cambria"/>
          <w:sz w:val="20"/>
          <w:szCs w:val="20"/>
        </w:rPr>
        <w:t xml:space="preserve"> </w:t>
      </w:r>
      <w:r w:rsidR="00D56ACB" w:rsidRPr="008D6E5C">
        <w:rPr>
          <w:rFonts w:ascii="Cambria" w:hAnsi="Cambria"/>
          <w:sz w:val="20"/>
          <w:szCs w:val="20"/>
        </w:rPr>
        <w:t>On this point, the Court specified that it is necessary for the case to contain reasons to support the assertion that FARC</w:t>
      </w:r>
      <w:r w:rsidRPr="008D6E5C">
        <w:rPr>
          <w:rFonts w:ascii="Cambria" w:hAnsi="Cambria"/>
          <w:sz w:val="20"/>
          <w:szCs w:val="20"/>
        </w:rPr>
        <w:t xml:space="preserve"> guerrilla</w:t>
      </w:r>
      <w:r w:rsidR="00D56ACB" w:rsidRPr="008D6E5C">
        <w:rPr>
          <w:rFonts w:ascii="Cambria" w:hAnsi="Cambria"/>
          <w:sz w:val="20"/>
          <w:szCs w:val="20"/>
        </w:rPr>
        <w:t xml:space="preserve">s </w:t>
      </w:r>
      <w:r w:rsidRPr="008D6E5C">
        <w:rPr>
          <w:rFonts w:ascii="Cambria" w:hAnsi="Cambria"/>
          <w:sz w:val="20"/>
          <w:szCs w:val="20"/>
        </w:rPr>
        <w:t xml:space="preserve">were involved in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violent death. On this basis, the Superior Court upheld the judgment of the Single Criminal Court.</w:t>
      </w:r>
      <w:r w:rsidRPr="008D6E5C">
        <w:rPr>
          <w:rStyle w:val="FootnoteReference"/>
          <w:rFonts w:ascii="Cambria" w:hAnsi="Cambria"/>
          <w:sz w:val="20"/>
          <w:szCs w:val="20"/>
        </w:rPr>
        <w:footnoteReference w:id="77"/>
      </w:r>
    </w:p>
    <w:p w:rsidR="00C0575F" w:rsidRPr="008D6E5C" w:rsidRDefault="00C0575F" w:rsidP="001520DB">
      <w:pPr>
        <w:rPr>
          <w:rFonts w:ascii="Cambria" w:hAnsi="Cambria"/>
          <w:b/>
          <w:sz w:val="20"/>
          <w:szCs w:val="20"/>
        </w:rPr>
      </w:pPr>
    </w:p>
    <w:p w:rsidR="00C0575F" w:rsidRPr="008D6E5C" w:rsidRDefault="00C0575F" w:rsidP="005071EC">
      <w:pPr>
        <w:pStyle w:val="Heading3"/>
        <w:keepLines w:val="0"/>
        <w:widowControl w:val="0"/>
        <w:spacing w:before="0"/>
        <w:rPr>
          <w:szCs w:val="20"/>
        </w:rPr>
      </w:pPr>
      <w:bookmarkStart w:id="25" w:name="_Toc416880385"/>
      <w:bookmarkStart w:id="26" w:name="_Toc412539539"/>
      <w:r w:rsidRPr="008D6E5C">
        <w:rPr>
          <w:szCs w:val="20"/>
        </w:rPr>
        <w:t>4.</w:t>
      </w:r>
      <w:r w:rsidRPr="008D6E5C">
        <w:rPr>
          <w:szCs w:val="20"/>
        </w:rPr>
        <w:tab/>
      </w:r>
      <w:r w:rsidR="001326C4" w:rsidRPr="008D6E5C">
        <w:rPr>
          <w:szCs w:val="20"/>
        </w:rPr>
        <w:t>New investigations by the Office of the Prosecutor</w:t>
      </w:r>
      <w:bookmarkEnd w:id="25"/>
      <w:r w:rsidRPr="008D6E5C">
        <w:rPr>
          <w:szCs w:val="20"/>
        </w:rPr>
        <w:t xml:space="preserve"> </w:t>
      </w:r>
      <w:bookmarkEnd w:id="26"/>
    </w:p>
    <w:p w:rsidR="00C0575F" w:rsidRPr="008D6E5C" w:rsidRDefault="00C0575F" w:rsidP="005071EC">
      <w:pPr>
        <w:pStyle w:val="ListParagraph"/>
        <w:keepNext/>
        <w:widowControl w:val="0"/>
        <w:ind w:left="0" w:firstLine="720"/>
        <w:jc w:val="both"/>
        <w:rPr>
          <w:sz w:val="20"/>
          <w:szCs w:val="20"/>
        </w:rPr>
      </w:pPr>
    </w:p>
    <w:p w:rsidR="00C0575F" w:rsidRPr="008D6E5C" w:rsidRDefault="00C0575F" w:rsidP="001E4690">
      <w:pPr>
        <w:keepNext/>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In view of the Single Criminal Court’s order to continue the investigations </w:t>
      </w:r>
      <w:r w:rsidR="00EC5665" w:rsidRPr="008D6E5C">
        <w:rPr>
          <w:rFonts w:ascii="Cambria" w:hAnsi="Cambria"/>
          <w:sz w:val="20"/>
          <w:szCs w:val="20"/>
        </w:rPr>
        <w:t>into</w:t>
      </w:r>
      <w:r w:rsidRPr="008D6E5C">
        <w:rPr>
          <w:rFonts w:ascii="Cambria" w:hAnsi="Cambria"/>
          <w:sz w:val="20"/>
          <w:szCs w:val="20"/>
        </w:rPr>
        <w:t xml:space="preserve"> the actors and participants in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murder,</w:t>
      </w:r>
      <w:r w:rsidRPr="008D6E5C">
        <w:rPr>
          <w:rStyle w:val="FootnoteReference"/>
          <w:rFonts w:ascii="Cambria" w:hAnsi="Cambria"/>
          <w:sz w:val="20"/>
          <w:szCs w:val="20"/>
        </w:rPr>
        <w:footnoteReference w:id="78"/>
      </w:r>
      <w:r w:rsidRPr="008D6E5C">
        <w:rPr>
          <w:rFonts w:ascii="Cambria" w:hAnsi="Cambria"/>
          <w:sz w:val="20"/>
          <w:szCs w:val="20"/>
        </w:rPr>
        <w:t xml:space="preserve"> the Fourth Special Prosecutor’s Office of Neiva </w:t>
      </w:r>
      <w:r w:rsidR="00EC5665" w:rsidRPr="008D6E5C">
        <w:rPr>
          <w:rFonts w:ascii="Cambria" w:hAnsi="Cambria"/>
          <w:sz w:val="20"/>
          <w:szCs w:val="20"/>
        </w:rPr>
        <w:t>took jurisdiction over the preliminary investigation</w:t>
      </w:r>
      <w:r w:rsidRPr="008D6E5C">
        <w:rPr>
          <w:rFonts w:ascii="Cambria" w:hAnsi="Cambria"/>
          <w:sz w:val="20"/>
          <w:szCs w:val="20"/>
        </w:rPr>
        <w:t xml:space="preserve"> </w:t>
      </w:r>
      <w:r w:rsidR="00EC5665" w:rsidRPr="008D6E5C">
        <w:rPr>
          <w:rFonts w:ascii="Cambria" w:hAnsi="Cambria"/>
          <w:sz w:val="20"/>
          <w:szCs w:val="20"/>
        </w:rPr>
        <w:t xml:space="preserve">in an order dated February 17, 2003, </w:t>
      </w:r>
      <w:r w:rsidR="001326C4" w:rsidRPr="008D6E5C">
        <w:rPr>
          <w:rFonts w:ascii="Cambria" w:hAnsi="Cambria"/>
          <w:sz w:val="20"/>
          <w:szCs w:val="20"/>
        </w:rPr>
        <w:t xml:space="preserve">and </w:t>
      </w:r>
      <w:r w:rsidR="00EC5665" w:rsidRPr="008D6E5C">
        <w:rPr>
          <w:rFonts w:ascii="Cambria" w:hAnsi="Cambria"/>
          <w:sz w:val="20"/>
          <w:szCs w:val="20"/>
        </w:rPr>
        <w:t>instructed</w:t>
      </w:r>
      <w:r w:rsidR="001326C4" w:rsidRPr="008D6E5C">
        <w:rPr>
          <w:rFonts w:ascii="Cambria" w:hAnsi="Cambria"/>
          <w:sz w:val="20"/>
          <w:szCs w:val="20"/>
        </w:rPr>
        <w:t xml:space="preserve"> the</w:t>
      </w:r>
      <w:r w:rsidRPr="008D6E5C">
        <w:rPr>
          <w:rFonts w:ascii="Cambria" w:hAnsi="Cambria"/>
          <w:sz w:val="20"/>
          <w:szCs w:val="20"/>
        </w:rPr>
        <w:t xml:space="preserve"> DAS </w:t>
      </w:r>
      <w:r w:rsidR="001326C4" w:rsidRPr="008D6E5C">
        <w:rPr>
          <w:rFonts w:ascii="Cambria" w:hAnsi="Cambria"/>
          <w:sz w:val="20"/>
          <w:szCs w:val="20"/>
        </w:rPr>
        <w:t>to gather evidence related to the case</w:t>
      </w:r>
      <w:r w:rsidRPr="008D6E5C">
        <w:rPr>
          <w:rFonts w:ascii="Cambria" w:hAnsi="Cambria"/>
          <w:sz w:val="20"/>
          <w:szCs w:val="20"/>
        </w:rPr>
        <w:t xml:space="preserve">. </w:t>
      </w:r>
      <w:r w:rsidR="001326C4" w:rsidRPr="008D6E5C">
        <w:rPr>
          <w:rFonts w:ascii="Cambria" w:hAnsi="Cambria"/>
          <w:sz w:val="20"/>
          <w:szCs w:val="20"/>
        </w:rPr>
        <w:t>There is no information in the case file about the proceedings undertaken by this Office of the Prosecutor during the following three years.</w:t>
      </w:r>
      <w:r w:rsidRPr="008D6E5C">
        <w:rPr>
          <w:rFonts w:ascii="Cambria" w:hAnsi="Cambria"/>
          <w:sz w:val="20"/>
          <w:szCs w:val="20"/>
        </w:rPr>
        <w:t xml:space="preserve"> </w:t>
      </w:r>
      <w:r w:rsidR="00EC5665" w:rsidRPr="008D6E5C">
        <w:rPr>
          <w:rFonts w:ascii="Cambria" w:hAnsi="Cambria"/>
          <w:sz w:val="20"/>
          <w:szCs w:val="20"/>
        </w:rPr>
        <w:t xml:space="preserve">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November 1, 2005, </w:t>
      </w:r>
      <w:r w:rsidR="00C10FC5" w:rsidRPr="008D6E5C">
        <w:rPr>
          <w:rFonts w:ascii="Cambria" w:hAnsi="Cambria"/>
          <w:sz w:val="20"/>
          <w:szCs w:val="20"/>
        </w:rPr>
        <w:t>in</w:t>
      </w:r>
      <w:r w:rsidRPr="008D6E5C">
        <w:rPr>
          <w:rFonts w:ascii="Cambria" w:hAnsi="Cambria"/>
          <w:sz w:val="20"/>
          <w:szCs w:val="20"/>
        </w:rPr>
        <w:t xml:space="preserve"> order No. 03815, the Prosecutor General rea</w:t>
      </w:r>
      <w:r w:rsidR="0046027F" w:rsidRPr="008D6E5C">
        <w:rPr>
          <w:rFonts w:ascii="Cambria" w:hAnsi="Cambria"/>
          <w:sz w:val="20"/>
          <w:szCs w:val="20"/>
        </w:rPr>
        <w:t>ssigned</w:t>
      </w:r>
      <w:r w:rsidRPr="008D6E5C">
        <w:rPr>
          <w:rFonts w:ascii="Cambria" w:hAnsi="Cambria"/>
          <w:sz w:val="20"/>
          <w:szCs w:val="20"/>
        </w:rPr>
        <w:t xml:space="preserve"> the investigation </w:t>
      </w:r>
      <w:r w:rsidR="0046027F" w:rsidRPr="008D6E5C">
        <w:rPr>
          <w:rFonts w:ascii="Cambria" w:hAnsi="Cambria"/>
          <w:sz w:val="20"/>
          <w:szCs w:val="20"/>
        </w:rPr>
        <w:t>to the National Human Rights</w:t>
      </w:r>
      <w:r w:rsidR="009B5B21" w:rsidRPr="008D6E5C">
        <w:rPr>
          <w:rFonts w:ascii="Cambria" w:hAnsi="Cambria"/>
          <w:sz w:val="20"/>
          <w:szCs w:val="20"/>
        </w:rPr>
        <w:t xml:space="preserve"> and IHL</w:t>
      </w:r>
      <w:r w:rsidR="0046027F" w:rsidRPr="008D6E5C">
        <w:rPr>
          <w:rFonts w:ascii="Cambria" w:hAnsi="Cambria"/>
          <w:sz w:val="20"/>
          <w:szCs w:val="20"/>
        </w:rPr>
        <w:t xml:space="preserve"> Unit</w:t>
      </w:r>
      <w:r w:rsidRPr="008D6E5C">
        <w:rPr>
          <w:rFonts w:ascii="Cambria" w:hAnsi="Cambria"/>
          <w:sz w:val="20"/>
          <w:szCs w:val="20"/>
        </w:rPr>
        <w:t xml:space="preserve">. </w:t>
      </w:r>
      <w:r w:rsidR="00C10FC5" w:rsidRPr="008D6E5C">
        <w:rPr>
          <w:rFonts w:ascii="Cambria" w:hAnsi="Cambria"/>
          <w:sz w:val="20"/>
          <w:szCs w:val="20"/>
        </w:rPr>
        <w:t>On December</w:t>
      </w:r>
      <w:r w:rsidRPr="008D6E5C">
        <w:rPr>
          <w:rFonts w:ascii="Cambria" w:hAnsi="Cambria"/>
          <w:sz w:val="20"/>
          <w:szCs w:val="20"/>
        </w:rPr>
        <w:t xml:space="preserve"> 20</w:t>
      </w:r>
      <w:r w:rsidR="00C10FC5" w:rsidRPr="008D6E5C">
        <w:rPr>
          <w:rFonts w:ascii="Cambria" w:hAnsi="Cambria"/>
          <w:sz w:val="20"/>
          <w:szCs w:val="20"/>
        </w:rPr>
        <w:t>,</w:t>
      </w:r>
      <w:r w:rsidRPr="008D6E5C">
        <w:rPr>
          <w:rFonts w:ascii="Cambria" w:hAnsi="Cambria"/>
          <w:sz w:val="20"/>
          <w:szCs w:val="20"/>
        </w:rPr>
        <w:t xml:space="preserve"> 2005</w:t>
      </w:r>
      <w:r w:rsidR="00C10FC5" w:rsidRPr="008D6E5C">
        <w:rPr>
          <w:rFonts w:ascii="Cambria" w:hAnsi="Cambria"/>
          <w:sz w:val="20"/>
          <w:szCs w:val="20"/>
        </w:rPr>
        <w:t>,</w:t>
      </w:r>
      <w:r w:rsidRPr="008D6E5C">
        <w:rPr>
          <w:rFonts w:ascii="Cambria" w:hAnsi="Cambria"/>
          <w:sz w:val="20"/>
          <w:szCs w:val="20"/>
        </w:rPr>
        <w:t xml:space="preserve"> the </w:t>
      </w:r>
      <w:r w:rsidR="00C10FC5" w:rsidRPr="008D6E5C">
        <w:rPr>
          <w:rFonts w:ascii="Cambria" w:hAnsi="Cambria"/>
          <w:sz w:val="20"/>
          <w:szCs w:val="20"/>
        </w:rPr>
        <w:t>preliminary investigation</w:t>
      </w:r>
      <w:r w:rsidRPr="008D6E5C">
        <w:rPr>
          <w:rFonts w:ascii="Cambria" w:hAnsi="Cambria"/>
          <w:sz w:val="20"/>
          <w:szCs w:val="20"/>
        </w:rPr>
        <w:t xml:space="preserve"> </w:t>
      </w:r>
      <w:r w:rsidR="00C10FC5" w:rsidRPr="008D6E5C">
        <w:rPr>
          <w:rFonts w:ascii="Cambria" w:hAnsi="Cambria"/>
          <w:sz w:val="20"/>
          <w:szCs w:val="20"/>
        </w:rPr>
        <w:t>was assumed by</w:t>
      </w:r>
      <w:r w:rsidRPr="008D6E5C">
        <w:rPr>
          <w:rFonts w:ascii="Cambria" w:hAnsi="Cambria"/>
          <w:sz w:val="20"/>
          <w:szCs w:val="20"/>
        </w:rPr>
        <w:t xml:space="preserve"> the 18</w:t>
      </w:r>
      <w:r w:rsidRPr="008D6E5C">
        <w:rPr>
          <w:rFonts w:ascii="Cambria" w:hAnsi="Cambria"/>
          <w:sz w:val="20"/>
          <w:szCs w:val="20"/>
          <w:vertAlign w:val="superscript"/>
        </w:rPr>
        <w:t>th</w:t>
      </w:r>
      <w:r w:rsidR="00A106C3" w:rsidRPr="008D6E5C">
        <w:rPr>
          <w:rFonts w:ascii="Cambria" w:hAnsi="Cambria"/>
          <w:sz w:val="20"/>
          <w:szCs w:val="20"/>
        </w:rPr>
        <w:t xml:space="preserve"> </w:t>
      </w:r>
      <w:r w:rsidRPr="008D6E5C">
        <w:rPr>
          <w:rFonts w:ascii="Cambria" w:hAnsi="Cambria"/>
          <w:sz w:val="20"/>
          <w:szCs w:val="20"/>
        </w:rPr>
        <w:t xml:space="preserve">Office of the Special Prosecutor, </w:t>
      </w:r>
      <w:r w:rsidR="00C10FC5" w:rsidRPr="008D6E5C">
        <w:rPr>
          <w:rFonts w:ascii="Cambria" w:hAnsi="Cambria"/>
          <w:sz w:val="20"/>
          <w:szCs w:val="20"/>
        </w:rPr>
        <w:t>which ordered the examination of various types of evidence.</w:t>
      </w:r>
      <w:r w:rsidRPr="008D6E5C">
        <w:rPr>
          <w:rStyle w:val="FootnoteReference"/>
          <w:rFonts w:ascii="Cambria" w:hAnsi="Cambria"/>
          <w:sz w:val="20"/>
          <w:szCs w:val="20"/>
        </w:rPr>
        <w:footnoteReference w:id="79"/>
      </w:r>
      <w:r w:rsidRPr="008D6E5C">
        <w:rPr>
          <w:rFonts w:ascii="Cambria" w:hAnsi="Cambria"/>
          <w:sz w:val="20"/>
          <w:szCs w:val="20"/>
        </w:rPr>
        <w:t xml:space="preserve"> </w:t>
      </w:r>
      <w:r w:rsidR="00C10FC5" w:rsidRPr="008D6E5C">
        <w:rPr>
          <w:rFonts w:ascii="Cambria" w:hAnsi="Cambria"/>
          <w:sz w:val="20"/>
          <w:szCs w:val="20"/>
        </w:rPr>
        <w:t>As part of those proceedings</w:t>
      </w:r>
      <w:r w:rsidRPr="008D6E5C">
        <w:rPr>
          <w:rFonts w:ascii="Cambria" w:hAnsi="Cambria"/>
          <w:sz w:val="20"/>
          <w:szCs w:val="20"/>
        </w:rPr>
        <w:t xml:space="preserve">, </w:t>
      </w:r>
      <w:r w:rsidR="00C10FC5" w:rsidRPr="008D6E5C">
        <w:rPr>
          <w:rFonts w:ascii="Cambria" w:hAnsi="Cambria"/>
          <w:sz w:val="20"/>
          <w:szCs w:val="20"/>
        </w:rPr>
        <w:t xml:space="preserve">the record shows that </w:t>
      </w:r>
      <w:r w:rsidR="0046027F" w:rsidRPr="008D6E5C">
        <w:rPr>
          <w:rFonts w:ascii="Cambria" w:hAnsi="Cambria"/>
          <w:sz w:val="20"/>
          <w:szCs w:val="20"/>
        </w:rPr>
        <w:t>on March</w:t>
      </w:r>
      <w:r w:rsidRPr="008D6E5C">
        <w:rPr>
          <w:rFonts w:ascii="Cambria" w:hAnsi="Cambria"/>
          <w:sz w:val="20"/>
          <w:szCs w:val="20"/>
        </w:rPr>
        <w:t xml:space="preserve"> 29</w:t>
      </w:r>
      <w:r w:rsidR="0046027F" w:rsidRPr="008D6E5C">
        <w:rPr>
          <w:rFonts w:ascii="Cambria" w:hAnsi="Cambria"/>
          <w:sz w:val="20"/>
          <w:szCs w:val="20"/>
        </w:rPr>
        <w:t>,</w:t>
      </w:r>
      <w:r w:rsidRPr="008D6E5C">
        <w:rPr>
          <w:rFonts w:ascii="Cambria" w:hAnsi="Cambria"/>
          <w:sz w:val="20"/>
          <w:szCs w:val="20"/>
        </w:rPr>
        <w:t xml:space="preserve"> </w:t>
      </w:r>
      <w:r w:rsidR="0046027F" w:rsidRPr="008D6E5C">
        <w:rPr>
          <w:rFonts w:ascii="Cambria" w:hAnsi="Cambria"/>
          <w:sz w:val="20"/>
          <w:szCs w:val="20"/>
        </w:rPr>
        <w:t>and October</w:t>
      </w:r>
      <w:r w:rsidRPr="008D6E5C">
        <w:rPr>
          <w:rFonts w:ascii="Cambria" w:hAnsi="Cambria"/>
          <w:sz w:val="20"/>
          <w:szCs w:val="20"/>
        </w:rPr>
        <w:t xml:space="preserve"> 11 </w:t>
      </w:r>
      <w:r w:rsidR="0046027F" w:rsidRPr="008D6E5C">
        <w:rPr>
          <w:rFonts w:ascii="Cambria" w:hAnsi="Cambria"/>
          <w:sz w:val="20"/>
          <w:szCs w:val="20"/>
        </w:rPr>
        <w:t>and</w:t>
      </w:r>
      <w:r w:rsidRPr="008D6E5C">
        <w:rPr>
          <w:rFonts w:ascii="Cambria" w:hAnsi="Cambria"/>
          <w:sz w:val="20"/>
          <w:szCs w:val="20"/>
        </w:rPr>
        <w:t xml:space="preserve"> 12</w:t>
      </w:r>
      <w:r w:rsidR="0046027F" w:rsidRPr="008D6E5C">
        <w:rPr>
          <w:rFonts w:ascii="Cambria" w:hAnsi="Cambria"/>
          <w:sz w:val="20"/>
          <w:szCs w:val="20"/>
        </w:rPr>
        <w:t>,</w:t>
      </w:r>
      <w:r w:rsidRPr="008D6E5C">
        <w:rPr>
          <w:rFonts w:ascii="Cambria" w:hAnsi="Cambria"/>
          <w:sz w:val="20"/>
          <w:szCs w:val="20"/>
        </w:rPr>
        <w:t xml:space="preserve"> 2006, </w:t>
      </w:r>
      <w:r w:rsidR="00C10FC5" w:rsidRPr="008D6E5C">
        <w:rPr>
          <w:rFonts w:ascii="Cambria" w:hAnsi="Cambria"/>
          <w:sz w:val="20"/>
          <w:szCs w:val="20"/>
        </w:rPr>
        <w:t xml:space="preserve">a demilitarized FARC combatant named Pablo Emilio Bonilla </w:t>
      </w:r>
      <w:proofErr w:type="spellStart"/>
      <w:r w:rsidR="00C10FC5" w:rsidRPr="008D6E5C">
        <w:rPr>
          <w:rFonts w:ascii="Cambria" w:hAnsi="Cambria"/>
          <w:sz w:val="20"/>
          <w:szCs w:val="20"/>
        </w:rPr>
        <w:t>Betancurt</w:t>
      </w:r>
      <w:proofErr w:type="spellEnd"/>
      <w:r w:rsidR="00C10FC5" w:rsidRPr="008D6E5C">
        <w:rPr>
          <w:rFonts w:ascii="Cambria" w:hAnsi="Cambria"/>
          <w:sz w:val="20"/>
          <w:szCs w:val="20"/>
        </w:rPr>
        <w:t xml:space="preserve"> provided </w:t>
      </w:r>
      <w:r w:rsidR="0046027F" w:rsidRPr="008D6E5C">
        <w:rPr>
          <w:rFonts w:ascii="Cambria" w:hAnsi="Cambria"/>
          <w:sz w:val="20"/>
          <w:szCs w:val="20"/>
        </w:rPr>
        <w:t>statement</w:t>
      </w:r>
      <w:r w:rsidR="00C10FC5" w:rsidRPr="008D6E5C">
        <w:rPr>
          <w:rFonts w:ascii="Cambria" w:hAnsi="Cambria"/>
          <w:sz w:val="20"/>
          <w:szCs w:val="20"/>
        </w:rPr>
        <w:t>s</w:t>
      </w:r>
      <w:r w:rsidRPr="008D6E5C">
        <w:rPr>
          <w:rFonts w:ascii="Cambria" w:hAnsi="Cambria"/>
          <w:sz w:val="20"/>
          <w:szCs w:val="20"/>
        </w:rPr>
        <w:t xml:space="preserve"> in </w:t>
      </w:r>
      <w:proofErr w:type="spellStart"/>
      <w:r w:rsidRPr="008D6E5C">
        <w:rPr>
          <w:rFonts w:ascii="Cambria" w:hAnsi="Cambria"/>
          <w:sz w:val="20"/>
          <w:szCs w:val="20"/>
        </w:rPr>
        <w:t>Pitalito</w:t>
      </w:r>
      <w:proofErr w:type="spellEnd"/>
      <w:r w:rsidRPr="008D6E5C">
        <w:rPr>
          <w:rFonts w:ascii="Cambria" w:hAnsi="Cambria"/>
          <w:sz w:val="20"/>
          <w:szCs w:val="20"/>
        </w:rPr>
        <w:t xml:space="preserve">, Huila, </w:t>
      </w:r>
      <w:r w:rsidR="0046027F" w:rsidRPr="008D6E5C">
        <w:rPr>
          <w:rFonts w:ascii="Cambria" w:hAnsi="Cambria"/>
          <w:sz w:val="20"/>
          <w:szCs w:val="20"/>
        </w:rPr>
        <w:t>before the</w:t>
      </w:r>
      <w:r w:rsidRPr="008D6E5C">
        <w:rPr>
          <w:rFonts w:ascii="Cambria" w:hAnsi="Cambria"/>
          <w:sz w:val="20"/>
          <w:szCs w:val="20"/>
        </w:rPr>
        <w:t xml:space="preserve"> </w:t>
      </w:r>
      <w:r w:rsidR="0046027F" w:rsidRPr="008D6E5C">
        <w:rPr>
          <w:rFonts w:ascii="Cambria" w:hAnsi="Cambria"/>
          <w:sz w:val="20"/>
          <w:szCs w:val="20"/>
        </w:rPr>
        <w:t>Office of the Special Prosecutor</w:t>
      </w:r>
      <w:r w:rsidR="00C10FC5" w:rsidRPr="008D6E5C">
        <w:rPr>
          <w:rFonts w:ascii="Cambria" w:hAnsi="Cambria"/>
          <w:sz w:val="20"/>
          <w:szCs w:val="20"/>
        </w:rPr>
        <w:t xml:space="preserve">, </w:t>
      </w:r>
      <w:r w:rsidR="00454EFC" w:rsidRPr="008D6E5C">
        <w:rPr>
          <w:rFonts w:ascii="Cambria" w:hAnsi="Cambria"/>
          <w:sz w:val="20"/>
          <w:szCs w:val="20"/>
        </w:rPr>
        <w:t>giving</w:t>
      </w:r>
      <w:r w:rsidR="00C10FC5" w:rsidRPr="008D6E5C">
        <w:rPr>
          <w:rFonts w:ascii="Cambria" w:hAnsi="Cambria"/>
          <w:sz w:val="20"/>
          <w:szCs w:val="20"/>
        </w:rPr>
        <w:t xml:space="preserve"> an account of the events that pointed to the former mayor of </w:t>
      </w:r>
      <w:proofErr w:type="spellStart"/>
      <w:r w:rsidRPr="008D6E5C">
        <w:rPr>
          <w:rFonts w:ascii="Cambria" w:hAnsi="Cambria"/>
          <w:sz w:val="20"/>
          <w:szCs w:val="20"/>
        </w:rPr>
        <w:t>Pitalito</w:t>
      </w:r>
      <w:proofErr w:type="spellEnd"/>
      <w:r w:rsidR="0036646F" w:rsidRPr="008D6E5C">
        <w:rPr>
          <w:rFonts w:ascii="Cambria" w:hAnsi="Cambria"/>
          <w:sz w:val="20"/>
          <w:szCs w:val="20"/>
        </w:rPr>
        <w:t xml:space="preserve"> and a local </w:t>
      </w:r>
      <w:r w:rsidR="00515CB3" w:rsidRPr="008D6E5C">
        <w:rPr>
          <w:rFonts w:ascii="Cambria" w:hAnsi="Cambria"/>
          <w:sz w:val="20"/>
          <w:szCs w:val="20"/>
        </w:rPr>
        <w:t>businessman</w:t>
      </w:r>
      <w:r w:rsidR="0036646F" w:rsidRPr="008D6E5C">
        <w:rPr>
          <w:rFonts w:ascii="Cambria" w:hAnsi="Cambria"/>
          <w:sz w:val="20"/>
          <w:szCs w:val="20"/>
        </w:rPr>
        <w:t xml:space="preserve"> and former council member</w:t>
      </w:r>
      <w:r w:rsidR="00C10FC5" w:rsidRPr="008D6E5C">
        <w:rPr>
          <w:rFonts w:ascii="Cambria" w:hAnsi="Cambria"/>
          <w:sz w:val="20"/>
          <w:szCs w:val="20"/>
        </w:rPr>
        <w:t xml:space="preserve"> as the masterminds behind Nelson </w:t>
      </w:r>
      <w:proofErr w:type="spellStart"/>
      <w:r w:rsidR="00C10FC5" w:rsidRPr="008D6E5C">
        <w:rPr>
          <w:rFonts w:ascii="Cambria" w:hAnsi="Cambria"/>
          <w:sz w:val="20"/>
          <w:szCs w:val="20"/>
        </w:rPr>
        <w:t>Carvajal</w:t>
      </w:r>
      <w:proofErr w:type="spellEnd"/>
      <w:r w:rsidR="00C10FC5" w:rsidRPr="008D6E5C">
        <w:rPr>
          <w:rFonts w:ascii="Cambria" w:hAnsi="Cambria"/>
          <w:sz w:val="20"/>
          <w:szCs w:val="20"/>
        </w:rPr>
        <w:t xml:space="preserve"> </w:t>
      </w:r>
      <w:proofErr w:type="spellStart"/>
      <w:r w:rsidR="00C10FC5" w:rsidRPr="008D6E5C">
        <w:rPr>
          <w:rFonts w:ascii="Cambria" w:hAnsi="Cambria"/>
          <w:sz w:val="20"/>
          <w:szCs w:val="20"/>
        </w:rPr>
        <w:t>Carvajal’s</w:t>
      </w:r>
      <w:proofErr w:type="spellEnd"/>
      <w:r w:rsidR="00C10FC5" w:rsidRPr="008D6E5C">
        <w:rPr>
          <w:rFonts w:ascii="Cambria" w:hAnsi="Cambria"/>
          <w:sz w:val="20"/>
          <w:szCs w:val="20"/>
        </w:rPr>
        <w:t xml:space="preserve"> murder</w:t>
      </w:r>
      <w:r w:rsidRPr="008D6E5C">
        <w:rPr>
          <w:rStyle w:val="FootnoteReference"/>
          <w:rFonts w:ascii="Cambria" w:hAnsi="Cambria"/>
          <w:sz w:val="20"/>
          <w:szCs w:val="20"/>
        </w:rPr>
        <w:t xml:space="preserve"> </w:t>
      </w:r>
      <w:r w:rsidRPr="008D6E5C">
        <w:rPr>
          <w:rFonts w:ascii="Cambria" w:hAnsi="Cambria"/>
          <w:sz w:val="20"/>
          <w:szCs w:val="20"/>
        </w:rPr>
        <w:t>.</w:t>
      </w:r>
      <w:r w:rsidRPr="008D6E5C">
        <w:rPr>
          <w:rStyle w:val="FootnoteReference"/>
          <w:rFonts w:ascii="Cambria" w:hAnsi="Cambria"/>
          <w:sz w:val="20"/>
          <w:szCs w:val="20"/>
        </w:rPr>
        <w:footnoteReference w:id="80"/>
      </w:r>
    </w:p>
    <w:p w:rsidR="00C0575F" w:rsidRPr="008D6E5C" w:rsidRDefault="00C0575F" w:rsidP="001520DB">
      <w:pPr>
        <w:pStyle w:val="ListParagraph"/>
        <w:ind w:left="0" w:firstLine="720"/>
        <w:jc w:val="both"/>
        <w:rPr>
          <w:sz w:val="20"/>
          <w:szCs w:val="20"/>
        </w:rPr>
      </w:pPr>
    </w:p>
    <w:p w:rsidR="00C0575F" w:rsidRPr="008D6E5C" w:rsidRDefault="008C4B22"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On August 26, 2008, based on those</w:t>
      </w:r>
      <w:r w:rsidR="00C0575F" w:rsidRPr="008D6E5C">
        <w:rPr>
          <w:rFonts w:ascii="Cambria" w:hAnsi="Cambria"/>
          <w:sz w:val="20"/>
          <w:szCs w:val="20"/>
        </w:rPr>
        <w:t xml:space="preserve"> statement</w:t>
      </w:r>
      <w:r w:rsidRPr="008D6E5C">
        <w:rPr>
          <w:rFonts w:ascii="Cambria" w:hAnsi="Cambria"/>
          <w:sz w:val="20"/>
          <w:szCs w:val="20"/>
        </w:rPr>
        <w:t>s</w:t>
      </w:r>
      <w:r w:rsidR="00C0575F" w:rsidRPr="008D6E5C">
        <w:rPr>
          <w:rFonts w:ascii="Cambria" w:hAnsi="Cambria"/>
          <w:sz w:val="20"/>
          <w:szCs w:val="20"/>
        </w:rPr>
        <w:t>, the 18</w:t>
      </w:r>
      <w:r w:rsidR="00C0575F" w:rsidRPr="008D6E5C">
        <w:rPr>
          <w:rFonts w:ascii="Cambria" w:hAnsi="Cambria"/>
          <w:sz w:val="20"/>
          <w:szCs w:val="20"/>
          <w:vertAlign w:val="superscript"/>
        </w:rPr>
        <w:t>th</w:t>
      </w:r>
      <w:r w:rsidR="00C0575F" w:rsidRPr="008D6E5C">
        <w:rPr>
          <w:rFonts w:ascii="Cambria" w:hAnsi="Cambria"/>
          <w:sz w:val="20"/>
          <w:szCs w:val="20"/>
        </w:rPr>
        <w:t xml:space="preserve"> Office of the Special Prosecutor </w:t>
      </w:r>
      <w:r w:rsidR="00797D0A" w:rsidRPr="008D6E5C">
        <w:rPr>
          <w:rFonts w:ascii="Cambria" w:hAnsi="Cambria"/>
          <w:sz w:val="20"/>
          <w:szCs w:val="20"/>
        </w:rPr>
        <w:t>implicated</w:t>
      </w:r>
      <w:r w:rsidR="00C0575F" w:rsidRPr="008D6E5C">
        <w:rPr>
          <w:rFonts w:ascii="Cambria" w:hAnsi="Cambria"/>
          <w:sz w:val="20"/>
          <w:szCs w:val="20"/>
        </w:rPr>
        <w:t xml:space="preserve"> Carlos Rojas, </w:t>
      </w:r>
      <w:r w:rsidRPr="008D6E5C">
        <w:rPr>
          <w:rFonts w:ascii="Cambria" w:hAnsi="Cambria"/>
          <w:sz w:val="20"/>
          <w:szCs w:val="20"/>
        </w:rPr>
        <w:t xml:space="preserve">who was </w:t>
      </w:r>
      <w:r w:rsidR="001B314B" w:rsidRPr="008D6E5C">
        <w:rPr>
          <w:rFonts w:ascii="Cambria" w:hAnsi="Cambria"/>
          <w:sz w:val="20"/>
          <w:szCs w:val="20"/>
        </w:rPr>
        <w:t xml:space="preserve">serving </w:t>
      </w:r>
      <w:r w:rsidRPr="008D6E5C">
        <w:rPr>
          <w:rFonts w:ascii="Cambria" w:hAnsi="Cambria"/>
          <w:sz w:val="20"/>
          <w:szCs w:val="20"/>
        </w:rPr>
        <w:t>as the president of the departmental legislature of</w:t>
      </w:r>
      <w:r w:rsidR="00C0575F" w:rsidRPr="008D6E5C">
        <w:rPr>
          <w:rFonts w:ascii="Cambria" w:hAnsi="Cambria"/>
          <w:sz w:val="20"/>
          <w:szCs w:val="20"/>
        </w:rPr>
        <w:t xml:space="preserve"> </w:t>
      </w:r>
      <w:r w:rsidRPr="008D6E5C">
        <w:rPr>
          <w:rFonts w:ascii="Cambria" w:hAnsi="Cambria"/>
          <w:sz w:val="20"/>
          <w:szCs w:val="20"/>
        </w:rPr>
        <w:t>Huila,</w:t>
      </w:r>
      <w:r w:rsidR="00C0575F" w:rsidRPr="008D6E5C">
        <w:rPr>
          <w:rFonts w:ascii="Cambria" w:hAnsi="Cambria"/>
          <w:sz w:val="20"/>
          <w:szCs w:val="20"/>
        </w:rPr>
        <w:t xml:space="preserve"> </w:t>
      </w:r>
      <w:r w:rsidR="00797D0A" w:rsidRPr="008D6E5C">
        <w:rPr>
          <w:rFonts w:ascii="Cambria" w:hAnsi="Cambria"/>
          <w:sz w:val="20"/>
          <w:szCs w:val="20"/>
        </w:rPr>
        <w:t xml:space="preserve">in the </w:t>
      </w:r>
      <w:r w:rsidRPr="008D6E5C">
        <w:rPr>
          <w:rFonts w:ascii="Cambria" w:hAnsi="Cambria"/>
          <w:sz w:val="20"/>
          <w:szCs w:val="20"/>
        </w:rPr>
        <w:t>offenses of criminal conspiracy and</w:t>
      </w:r>
      <w:r w:rsidR="00C0575F" w:rsidRPr="008D6E5C">
        <w:rPr>
          <w:rFonts w:ascii="Cambria" w:hAnsi="Cambria"/>
          <w:sz w:val="20"/>
          <w:szCs w:val="20"/>
        </w:rPr>
        <w:t xml:space="preserve"> murder</w:t>
      </w:r>
      <w:r w:rsidR="0046027F" w:rsidRPr="008D6E5C">
        <w:rPr>
          <w:rFonts w:ascii="Cambria" w:hAnsi="Cambria"/>
          <w:sz w:val="20"/>
          <w:szCs w:val="20"/>
        </w:rPr>
        <w:t>.</w:t>
      </w:r>
      <w:r w:rsidR="00C0575F" w:rsidRPr="008D6E5C">
        <w:rPr>
          <w:rStyle w:val="FootnoteReference"/>
          <w:rFonts w:ascii="Cambria" w:hAnsi="Cambria"/>
          <w:sz w:val="20"/>
          <w:szCs w:val="20"/>
        </w:rPr>
        <w:footnoteReference w:id="81"/>
      </w:r>
      <w:r w:rsidR="00C0575F" w:rsidRPr="008D6E5C">
        <w:rPr>
          <w:rFonts w:ascii="Cambria" w:hAnsi="Cambria"/>
          <w:sz w:val="20"/>
          <w:szCs w:val="20"/>
        </w:rPr>
        <w:t xml:space="preserve"> Rojas </w:t>
      </w:r>
      <w:r w:rsidR="0046027F" w:rsidRPr="008D6E5C">
        <w:rPr>
          <w:rFonts w:ascii="Cambria" w:hAnsi="Cambria"/>
          <w:sz w:val="20"/>
          <w:szCs w:val="20"/>
        </w:rPr>
        <w:t>had been a</w:t>
      </w:r>
      <w:r w:rsidR="00C0575F" w:rsidRPr="008D6E5C">
        <w:rPr>
          <w:rFonts w:ascii="Cambria" w:hAnsi="Cambria"/>
          <w:sz w:val="20"/>
          <w:szCs w:val="20"/>
        </w:rPr>
        <w:t xml:space="preserve"> defense witness </w:t>
      </w:r>
      <w:r w:rsidR="0046027F" w:rsidRPr="008D6E5C">
        <w:rPr>
          <w:rFonts w:ascii="Cambria" w:hAnsi="Cambria"/>
          <w:sz w:val="20"/>
          <w:szCs w:val="20"/>
        </w:rPr>
        <w:t xml:space="preserve">in the trial against </w:t>
      </w:r>
      <w:r w:rsidR="00907EED" w:rsidRPr="008D6E5C">
        <w:rPr>
          <w:rFonts w:ascii="Cambria" w:hAnsi="Cambria"/>
          <w:sz w:val="20"/>
          <w:szCs w:val="20"/>
        </w:rPr>
        <w:t>the alleged mastermind and perpetrator</w:t>
      </w:r>
      <w:r w:rsidR="0046027F" w:rsidRPr="008D6E5C">
        <w:rPr>
          <w:rFonts w:ascii="Cambria" w:hAnsi="Cambria"/>
          <w:sz w:val="20"/>
          <w:szCs w:val="20"/>
        </w:rPr>
        <w:t>.</w:t>
      </w:r>
      <w:r w:rsidR="00C0575F" w:rsidRPr="008D6E5C">
        <w:rPr>
          <w:rStyle w:val="FootnoteReference"/>
          <w:rFonts w:ascii="Cambria" w:hAnsi="Cambria"/>
          <w:sz w:val="20"/>
          <w:szCs w:val="20"/>
        </w:rPr>
        <w:footnoteReference w:id="82"/>
      </w:r>
      <w:r w:rsidR="00C0575F" w:rsidRPr="008D6E5C">
        <w:rPr>
          <w:rFonts w:ascii="Cambria" w:hAnsi="Cambria"/>
          <w:sz w:val="20"/>
          <w:szCs w:val="20"/>
        </w:rPr>
        <w:t xml:space="preserve"> </w:t>
      </w:r>
      <w:r w:rsidR="0046027F" w:rsidRPr="008D6E5C">
        <w:rPr>
          <w:rFonts w:ascii="Cambria" w:hAnsi="Cambria"/>
          <w:sz w:val="20"/>
          <w:szCs w:val="20"/>
        </w:rPr>
        <w:t>This time</w:t>
      </w:r>
      <w:r w:rsidR="00C0575F" w:rsidRPr="008D6E5C">
        <w:rPr>
          <w:rFonts w:ascii="Cambria" w:hAnsi="Cambria"/>
          <w:sz w:val="20"/>
          <w:szCs w:val="20"/>
        </w:rPr>
        <w:t xml:space="preserve">, </w:t>
      </w:r>
      <w:r w:rsidR="0046027F" w:rsidRPr="008D6E5C">
        <w:rPr>
          <w:rFonts w:ascii="Cambria" w:hAnsi="Cambria"/>
          <w:sz w:val="20"/>
          <w:szCs w:val="20"/>
        </w:rPr>
        <w:t>the Prosecutor’s Office in charge of the case</w:t>
      </w:r>
      <w:r w:rsidR="00C0575F" w:rsidRPr="008D6E5C">
        <w:rPr>
          <w:rFonts w:ascii="Cambria" w:hAnsi="Cambria"/>
          <w:sz w:val="20"/>
          <w:szCs w:val="20"/>
        </w:rPr>
        <w:t xml:space="preserve"> </w:t>
      </w:r>
      <w:r w:rsidR="0046027F" w:rsidRPr="008D6E5C">
        <w:rPr>
          <w:rFonts w:ascii="Cambria" w:hAnsi="Cambria"/>
          <w:sz w:val="20"/>
          <w:szCs w:val="20"/>
        </w:rPr>
        <w:t>asked the</w:t>
      </w:r>
      <w:r w:rsidR="00C0575F" w:rsidRPr="008D6E5C">
        <w:rPr>
          <w:rFonts w:ascii="Cambria" w:hAnsi="Cambria"/>
          <w:sz w:val="20"/>
          <w:szCs w:val="20"/>
        </w:rPr>
        <w:t xml:space="preserve"> Public Ministry </w:t>
      </w:r>
      <w:r w:rsidR="0046027F" w:rsidRPr="008D6E5C">
        <w:rPr>
          <w:rFonts w:ascii="Cambria" w:hAnsi="Cambria"/>
          <w:sz w:val="20"/>
          <w:szCs w:val="20"/>
        </w:rPr>
        <w:t xml:space="preserve">to examine the possibility of filing a motion before the Supreme Court </w:t>
      </w:r>
      <w:r w:rsidR="00311C43" w:rsidRPr="008D6E5C">
        <w:rPr>
          <w:rFonts w:ascii="Cambria" w:hAnsi="Cambria"/>
          <w:sz w:val="20"/>
          <w:szCs w:val="20"/>
        </w:rPr>
        <w:t xml:space="preserve">of Justice </w:t>
      </w:r>
      <w:r w:rsidR="0046027F" w:rsidRPr="008D6E5C">
        <w:rPr>
          <w:rFonts w:ascii="Cambria" w:hAnsi="Cambria"/>
          <w:sz w:val="20"/>
          <w:szCs w:val="20"/>
        </w:rPr>
        <w:t xml:space="preserve">for the reconsideration of the acquittal handed down </w:t>
      </w:r>
      <w:r w:rsidR="00C0575F" w:rsidRPr="008D6E5C">
        <w:rPr>
          <w:rFonts w:ascii="Cambria" w:hAnsi="Cambria"/>
          <w:sz w:val="20"/>
          <w:szCs w:val="20"/>
        </w:rPr>
        <w:t>by the Single Criminal Court of the Specialized Circuit of Neiva</w:t>
      </w:r>
      <w:r w:rsidR="00AB5561" w:rsidRPr="008D6E5C">
        <w:rPr>
          <w:rFonts w:ascii="Cambria" w:hAnsi="Cambria"/>
          <w:sz w:val="20"/>
          <w:szCs w:val="20"/>
        </w:rPr>
        <w:t xml:space="preserve"> in this case</w:t>
      </w:r>
      <w:r w:rsidR="00C0575F" w:rsidRPr="008D6E5C">
        <w:rPr>
          <w:rStyle w:val="FootnoteReference"/>
          <w:rFonts w:ascii="Cambria" w:hAnsi="Cambria"/>
          <w:sz w:val="20"/>
          <w:szCs w:val="20"/>
        </w:rPr>
        <w:footnoteReference w:id="83"/>
      </w:r>
      <w:r w:rsidR="00C0575F" w:rsidRPr="008D6E5C">
        <w:rPr>
          <w:rFonts w:ascii="Cambria" w:hAnsi="Cambria"/>
          <w:sz w:val="20"/>
          <w:szCs w:val="20"/>
        </w:rPr>
        <w:t xml:space="preserve"> (</w:t>
      </w:r>
      <w:proofErr w:type="spellStart"/>
      <w:r w:rsidR="00AB5561" w:rsidRPr="008D6E5C">
        <w:rPr>
          <w:rFonts w:ascii="Cambria" w:hAnsi="Cambria"/>
          <w:i/>
          <w:sz w:val="20"/>
          <w:szCs w:val="20"/>
        </w:rPr>
        <w:t>sufra</w:t>
      </w:r>
      <w:proofErr w:type="spellEnd"/>
      <w:r w:rsidR="00C0575F" w:rsidRPr="008D6E5C">
        <w:rPr>
          <w:rFonts w:ascii="Cambria" w:hAnsi="Cambria"/>
          <w:sz w:val="20"/>
          <w:szCs w:val="20"/>
        </w:rPr>
        <w:t xml:space="preserve"> para. </w:t>
      </w:r>
      <w:r w:rsidR="00AB5561" w:rsidRPr="008D6E5C">
        <w:rPr>
          <w:rFonts w:ascii="Cambria" w:hAnsi="Cambria"/>
          <w:sz w:val="20"/>
          <w:szCs w:val="20"/>
        </w:rPr>
        <w:t>83</w:t>
      </w:r>
      <w:r w:rsidR="00C0575F" w:rsidRPr="008D6E5C">
        <w:rPr>
          <w:rFonts w:ascii="Cambria" w:hAnsi="Cambria"/>
          <w:sz w:val="20"/>
          <w:szCs w:val="20"/>
        </w:rPr>
        <w:t>).</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September 4, 2008 the Prosecutor’s Office </w:t>
      </w:r>
      <w:r w:rsidR="001B314B" w:rsidRPr="008D6E5C">
        <w:rPr>
          <w:rFonts w:ascii="Cambria" w:hAnsi="Cambria"/>
          <w:sz w:val="20"/>
          <w:szCs w:val="20"/>
        </w:rPr>
        <w:t>issued a determination on the legal status of</w:t>
      </w:r>
      <w:r w:rsidR="00907EED" w:rsidRPr="008D6E5C">
        <w:rPr>
          <w:rFonts w:ascii="Cambria" w:hAnsi="Cambria"/>
          <w:sz w:val="20"/>
          <w:szCs w:val="20"/>
        </w:rPr>
        <w:t xml:space="preserve"> the </w:t>
      </w:r>
      <w:r w:rsidR="007B4283" w:rsidRPr="008D6E5C">
        <w:rPr>
          <w:rFonts w:ascii="Cambria" w:hAnsi="Cambria"/>
          <w:sz w:val="20"/>
          <w:szCs w:val="20"/>
        </w:rPr>
        <w:t>then</w:t>
      </w:r>
      <w:r w:rsidR="00E364B1" w:rsidRPr="008D6E5C">
        <w:rPr>
          <w:rFonts w:ascii="Cambria" w:hAnsi="Cambria"/>
          <w:sz w:val="20"/>
          <w:szCs w:val="20"/>
        </w:rPr>
        <w:t>-</w:t>
      </w:r>
      <w:r w:rsidR="00907EED" w:rsidRPr="008D6E5C">
        <w:rPr>
          <w:rFonts w:ascii="Cambria" w:hAnsi="Cambria"/>
          <w:sz w:val="20"/>
          <w:szCs w:val="20"/>
        </w:rPr>
        <w:t>president of the departmental legislature of Huila</w:t>
      </w:r>
      <w:r w:rsidR="001B314B" w:rsidRPr="008D6E5C">
        <w:rPr>
          <w:rFonts w:ascii="Cambria" w:hAnsi="Cambria"/>
          <w:sz w:val="20"/>
          <w:szCs w:val="20"/>
        </w:rPr>
        <w:t>, and ordered that he be held in</w:t>
      </w:r>
      <w:r w:rsidRPr="008D6E5C">
        <w:rPr>
          <w:rFonts w:ascii="Cambria" w:hAnsi="Cambria"/>
          <w:sz w:val="20"/>
          <w:szCs w:val="20"/>
        </w:rPr>
        <w:t xml:space="preserve"> pretrial detention without bail</w:t>
      </w:r>
      <w:r w:rsidR="001B314B" w:rsidRPr="008D6E5C">
        <w:rPr>
          <w:rFonts w:ascii="Cambria" w:hAnsi="Cambria"/>
          <w:sz w:val="20"/>
          <w:szCs w:val="20"/>
        </w:rPr>
        <w:t xml:space="preserve"> during the criminal investigation</w:t>
      </w:r>
      <w:r w:rsidRPr="008D6E5C">
        <w:rPr>
          <w:rFonts w:ascii="Cambria" w:hAnsi="Cambria"/>
          <w:sz w:val="20"/>
          <w:szCs w:val="20"/>
        </w:rPr>
        <w:t xml:space="preserve">.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Based on the above, </w:t>
      </w:r>
      <w:r w:rsidR="00155E6A" w:rsidRPr="008D6E5C">
        <w:rPr>
          <w:rFonts w:ascii="Cambria" w:hAnsi="Cambria"/>
          <w:sz w:val="20"/>
          <w:szCs w:val="20"/>
        </w:rPr>
        <w:t>the II Criminal Court Representative</w:t>
      </w:r>
      <w:r w:rsidRPr="008D6E5C">
        <w:rPr>
          <w:rFonts w:ascii="Cambria" w:hAnsi="Cambria"/>
          <w:sz w:val="20"/>
          <w:szCs w:val="20"/>
        </w:rPr>
        <w:t xml:space="preserve"> </w:t>
      </w:r>
      <w:r w:rsidR="00155E6A" w:rsidRPr="008D6E5C">
        <w:rPr>
          <w:rFonts w:ascii="Cambria" w:hAnsi="Cambria"/>
          <w:sz w:val="20"/>
          <w:szCs w:val="20"/>
        </w:rPr>
        <w:t>filed a motion for reconsideration</w:t>
      </w:r>
      <w:r w:rsidRPr="008D6E5C">
        <w:rPr>
          <w:rFonts w:ascii="Cambria" w:hAnsi="Cambria"/>
          <w:sz w:val="20"/>
          <w:szCs w:val="20"/>
        </w:rPr>
        <w:t xml:space="preserve"> </w:t>
      </w:r>
      <w:r w:rsidR="00155E6A" w:rsidRPr="008D6E5C">
        <w:rPr>
          <w:rFonts w:ascii="Cambria" w:hAnsi="Cambria"/>
          <w:sz w:val="20"/>
          <w:szCs w:val="20"/>
        </w:rPr>
        <w:t>of the judgments of the</w:t>
      </w:r>
      <w:r w:rsidRPr="008D6E5C">
        <w:rPr>
          <w:rFonts w:ascii="Cambria" w:hAnsi="Cambria"/>
          <w:sz w:val="20"/>
          <w:szCs w:val="20"/>
        </w:rPr>
        <w:t xml:space="preserve"> Single Criminal Court of the Specialized Circuit of Neiva </w:t>
      </w:r>
      <w:r w:rsidR="00155E6A" w:rsidRPr="008D6E5C">
        <w:rPr>
          <w:rFonts w:ascii="Cambria" w:hAnsi="Cambria"/>
          <w:sz w:val="20"/>
          <w:szCs w:val="20"/>
        </w:rPr>
        <w:t>and the</w:t>
      </w:r>
      <w:r w:rsidRPr="008D6E5C">
        <w:rPr>
          <w:rFonts w:ascii="Cambria" w:hAnsi="Cambria"/>
          <w:sz w:val="20"/>
          <w:szCs w:val="20"/>
        </w:rPr>
        <w:t xml:space="preserve"> Superior Court for the Judicial District of Neiva, </w:t>
      </w:r>
      <w:r w:rsidR="00155E6A" w:rsidRPr="008D6E5C">
        <w:rPr>
          <w:rFonts w:ascii="Cambria" w:hAnsi="Cambria"/>
          <w:sz w:val="20"/>
          <w:szCs w:val="20"/>
        </w:rPr>
        <w:t>which had acquitted</w:t>
      </w:r>
      <w:r w:rsidRPr="008D6E5C">
        <w:rPr>
          <w:rFonts w:ascii="Cambria" w:hAnsi="Cambria"/>
          <w:sz w:val="20"/>
          <w:szCs w:val="20"/>
        </w:rPr>
        <w:t xml:space="preserve"> </w:t>
      </w:r>
      <w:r w:rsidR="00AB5561" w:rsidRPr="008D6E5C">
        <w:rPr>
          <w:rFonts w:ascii="Cambria" w:hAnsi="Cambria"/>
          <w:sz w:val="20"/>
          <w:szCs w:val="20"/>
        </w:rPr>
        <w:t xml:space="preserve">the defendants </w:t>
      </w:r>
      <w:r w:rsidR="00155E6A" w:rsidRPr="008D6E5C">
        <w:rPr>
          <w:rFonts w:ascii="Cambria" w:hAnsi="Cambria"/>
          <w:sz w:val="20"/>
          <w:szCs w:val="20"/>
        </w:rPr>
        <w:t xml:space="preserve">of the murder of </w:t>
      </w:r>
      <w:r w:rsidRPr="008D6E5C">
        <w:rPr>
          <w:rFonts w:ascii="Cambria" w:hAnsi="Cambria"/>
          <w:sz w:val="20"/>
          <w:szCs w:val="20"/>
        </w:rPr>
        <w:t xml:space="preserve">journalist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w:t>
      </w:r>
      <w:r w:rsidRPr="008D6E5C">
        <w:rPr>
          <w:rStyle w:val="FootnoteReference"/>
          <w:rFonts w:ascii="Cambria" w:hAnsi="Cambria"/>
          <w:sz w:val="20"/>
          <w:szCs w:val="20"/>
        </w:rPr>
        <w:footnoteReference w:id="84"/>
      </w:r>
      <w:r w:rsidRPr="008D6E5C">
        <w:rPr>
          <w:rFonts w:ascii="Cambria" w:hAnsi="Cambria"/>
          <w:sz w:val="20"/>
          <w:szCs w:val="20"/>
        </w:rPr>
        <w:t xml:space="preserve"> </w:t>
      </w:r>
      <w:r w:rsidR="00155E6A" w:rsidRPr="008D6E5C">
        <w:rPr>
          <w:rFonts w:ascii="Cambria" w:hAnsi="Cambria"/>
          <w:sz w:val="20"/>
          <w:szCs w:val="20"/>
        </w:rPr>
        <w:t>The Assistant Prosecutor</w:t>
      </w:r>
      <w:r w:rsidRPr="008D6E5C">
        <w:rPr>
          <w:rFonts w:ascii="Cambria" w:hAnsi="Cambria"/>
          <w:sz w:val="20"/>
          <w:szCs w:val="20"/>
        </w:rPr>
        <w:t xml:space="preserve"> </w:t>
      </w:r>
      <w:r w:rsidR="00155E6A" w:rsidRPr="008D6E5C">
        <w:rPr>
          <w:rFonts w:ascii="Cambria" w:hAnsi="Cambria"/>
          <w:sz w:val="20"/>
          <w:szCs w:val="20"/>
        </w:rPr>
        <w:t>asserted that</w:t>
      </w:r>
      <w:r w:rsidRPr="008D6E5C">
        <w:rPr>
          <w:rFonts w:ascii="Cambria" w:hAnsi="Cambria"/>
          <w:sz w:val="20"/>
          <w:szCs w:val="20"/>
        </w:rPr>
        <w:t xml:space="preserve"> “</w:t>
      </w:r>
      <w:r w:rsidR="00EE5D8B" w:rsidRPr="008D6E5C">
        <w:rPr>
          <w:rFonts w:ascii="Cambria" w:hAnsi="Cambria"/>
          <w:sz w:val="20"/>
          <w:szCs w:val="20"/>
        </w:rPr>
        <w:t xml:space="preserve">subsequent to the acquittal, </w:t>
      </w:r>
      <w:r w:rsidR="00155E6A" w:rsidRPr="008D6E5C">
        <w:rPr>
          <w:rFonts w:ascii="Cambria" w:hAnsi="Cambria"/>
          <w:sz w:val="20"/>
          <w:szCs w:val="20"/>
        </w:rPr>
        <w:t xml:space="preserve">new evidence </w:t>
      </w:r>
      <w:r w:rsidR="00EE5D8B" w:rsidRPr="008D6E5C">
        <w:rPr>
          <w:rFonts w:ascii="Cambria" w:hAnsi="Cambria"/>
          <w:sz w:val="20"/>
          <w:szCs w:val="20"/>
        </w:rPr>
        <w:t xml:space="preserve">arose that was </w:t>
      </w:r>
      <w:r w:rsidR="00155E6A" w:rsidRPr="008D6E5C">
        <w:rPr>
          <w:rFonts w:ascii="Cambria" w:hAnsi="Cambria"/>
          <w:sz w:val="20"/>
          <w:szCs w:val="20"/>
        </w:rPr>
        <w:t>not known at the time of trial</w:t>
      </w:r>
      <w:r w:rsidR="00EE5D8B" w:rsidRPr="008D6E5C">
        <w:rPr>
          <w:rFonts w:ascii="Cambria" w:hAnsi="Cambria"/>
          <w:sz w:val="20"/>
          <w:szCs w:val="20"/>
        </w:rPr>
        <w:t xml:space="preserve">, and which implicates the acquitted defendants, </w:t>
      </w:r>
      <w:r w:rsidR="00155E6A" w:rsidRPr="008D6E5C">
        <w:rPr>
          <w:rFonts w:ascii="Cambria" w:hAnsi="Cambria"/>
          <w:sz w:val="20"/>
          <w:szCs w:val="20"/>
        </w:rPr>
        <w:t xml:space="preserve">to wit: the statement </w:t>
      </w:r>
      <w:r w:rsidR="00EE5D8B" w:rsidRPr="008D6E5C">
        <w:rPr>
          <w:rFonts w:ascii="Cambria" w:hAnsi="Cambria"/>
          <w:sz w:val="20"/>
          <w:szCs w:val="20"/>
        </w:rPr>
        <w:t>given by</w:t>
      </w:r>
      <w:r w:rsidRPr="008D6E5C">
        <w:rPr>
          <w:rFonts w:ascii="Cambria" w:hAnsi="Cambria"/>
          <w:sz w:val="20"/>
          <w:szCs w:val="20"/>
        </w:rPr>
        <w:t xml:space="preserve"> Pablo Emilio Bonilla </w:t>
      </w:r>
      <w:proofErr w:type="spellStart"/>
      <w:r w:rsidRPr="008D6E5C">
        <w:rPr>
          <w:rFonts w:ascii="Cambria" w:hAnsi="Cambria"/>
          <w:sz w:val="20"/>
          <w:szCs w:val="20"/>
        </w:rPr>
        <w:t>Betancurt</w:t>
      </w:r>
      <w:proofErr w:type="spellEnd"/>
      <w:r w:rsidRPr="008D6E5C">
        <w:rPr>
          <w:rFonts w:ascii="Cambria" w:hAnsi="Cambria"/>
          <w:sz w:val="20"/>
          <w:szCs w:val="20"/>
        </w:rPr>
        <w:t xml:space="preserve"> (</w:t>
      </w:r>
      <w:r w:rsidRPr="008D6E5C">
        <w:rPr>
          <w:rFonts w:ascii="Cambria" w:hAnsi="Cambria"/>
          <w:i/>
          <w:sz w:val="20"/>
          <w:szCs w:val="20"/>
        </w:rPr>
        <w:t xml:space="preserve">supra </w:t>
      </w:r>
      <w:r w:rsidRPr="008D6E5C">
        <w:rPr>
          <w:rFonts w:ascii="Cambria" w:hAnsi="Cambria"/>
          <w:sz w:val="20"/>
          <w:szCs w:val="20"/>
        </w:rPr>
        <w:t xml:space="preserve">para. </w:t>
      </w:r>
      <w:r w:rsidR="00AB5561" w:rsidRPr="008D6E5C">
        <w:rPr>
          <w:rFonts w:ascii="Cambria" w:hAnsi="Cambria"/>
          <w:sz w:val="20"/>
          <w:szCs w:val="20"/>
        </w:rPr>
        <w:t>88</w:t>
      </w:r>
      <w:r w:rsidRPr="008D6E5C">
        <w:rPr>
          <w:rFonts w:ascii="Cambria" w:hAnsi="Cambria"/>
          <w:sz w:val="20"/>
          <w:szCs w:val="20"/>
        </w:rPr>
        <w:t xml:space="preserve">); </w:t>
      </w:r>
      <w:r w:rsidR="00155E6A" w:rsidRPr="008D6E5C">
        <w:rPr>
          <w:rFonts w:ascii="Cambria" w:hAnsi="Cambria"/>
          <w:sz w:val="20"/>
          <w:szCs w:val="20"/>
        </w:rPr>
        <w:t>and the supplemental affidavit provided on August</w:t>
      </w:r>
      <w:r w:rsidRPr="008D6E5C">
        <w:rPr>
          <w:rFonts w:ascii="Cambria" w:hAnsi="Cambria"/>
          <w:sz w:val="20"/>
          <w:szCs w:val="20"/>
        </w:rPr>
        <w:t xml:space="preserve"> 25</w:t>
      </w:r>
      <w:r w:rsidR="00155E6A" w:rsidRPr="008D6E5C">
        <w:rPr>
          <w:rFonts w:ascii="Cambria" w:hAnsi="Cambria"/>
          <w:sz w:val="20"/>
          <w:szCs w:val="20"/>
        </w:rPr>
        <w:t xml:space="preserve"> of the same year by</w:t>
      </w:r>
      <w:r w:rsidRPr="008D6E5C">
        <w:rPr>
          <w:rFonts w:ascii="Cambria" w:hAnsi="Cambria"/>
          <w:sz w:val="20"/>
          <w:szCs w:val="20"/>
        </w:rPr>
        <w:t xml:space="preserve">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w:t>
      </w:r>
      <w:r w:rsidRPr="008D6E5C">
        <w:rPr>
          <w:rStyle w:val="FootnoteReference"/>
          <w:rFonts w:ascii="Cambria" w:hAnsi="Cambria"/>
          <w:sz w:val="20"/>
          <w:szCs w:val="20"/>
        </w:rPr>
        <w:t xml:space="preserve"> </w:t>
      </w:r>
      <w:r w:rsidRPr="008D6E5C">
        <w:rPr>
          <w:rStyle w:val="FootnoteReference"/>
          <w:rFonts w:ascii="Cambria" w:hAnsi="Cambria"/>
          <w:sz w:val="20"/>
          <w:szCs w:val="20"/>
        </w:rPr>
        <w:footnoteReference w:id="85"/>
      </w:r>
      <w:r w:rsidRPr="008D6E5C">
        <w:rPr>
          <w:rFonts w:ascii="Cambria" w:hAnsi="Cambria"/>
          <w:sz w:val="20"/>
          <w:szCs w:val="20"/>
        </w:rPr>
        <w:t xml:space="preserve"> </w:t>
      </w:r>
      <w:r w:rsidR="00155E6A" w:rsidRPr="008D6E5C">
        <w:rPr>
          <w:rFonts w:ascii="Cambria" w:hAnsi="Cambria"/>
          <w:sz w:val="20"/>
          <w:szCs w:val="20"/>
        </w:rPr>
        <w:t>She also referred to</w:t>
      </w:r>
      <w:r w:rsidRPr="008D6E5C">
        <w:rPr>
          <w:rFonts w:ascii="Cambria" w:hAnsi="Cambria"/>
          <w:sz w:val="20"/>
          <w:szCs w:val="20"/>
        </w:rPr>
        <w:t xml:space="preserve"> the IACHR’s Admissibility Report 559/2002 in this matter.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April </w:t>
      </w:r>
      <w:r w:rsidR="00115734" w:rsidRPr="008D6E5C">
        <w:rPr>
          <w:rFonts w:ascii="Cambria" w:hAnsi="Cambria"/>
          <w:sz w:val="20"/>
          <w:szCs w:val="20"/>
        </w:rPr>
        <w:t>1</w:t>
      </w:r>
      <w:r w:rsidRPr="008D6E5C">
        <w:rPr>
          <w:rFonts w:ascii="Cambria" w:hAnsi="Cambria"/>
          <w:sz w:val="20"/>
          <w:szCs w:val="20"/>
        </w:rPr>
        <w:t xml:space="preserve">, 2009 the Supreme Court </w:t>
      </w:r>
      <w:r w:rsidR="009B5B21" w:rsidRPr="008D6E5C">
        <w:rPr>
          <w:rFonts w:ascii="Cambria" w:hAnsi="Cambria"/>
          <w:sz w:val="20"/>
          <w:szCs w:val="20"/>
        </w:rPr>
        <w:t>declined to hear the motion for reconsideration</w:t>
      </w:r>
      <w:r w:rsidRPr="008D6E5C">
        <w:rPr>
          <w:rFonts w:ascii="Cambria" w:hAnsi="Cambria"/>
          <w:sz w:val="20"/>
          <w:szCs w:val="20"/>
        </w:rPr>
        <w:t xml:space="preserve">, </w:t>
      </w:r>
      <w:r w:rsidR="002A3A21" w:rsidRPr="008D6E5C">
        <w:rPr>
          <w:rFonts w:ascii="Cambria" w:hAnsi="Cambria"/>
          <w:sz w:val="20"/>
          <w:szCs w:val="20"/>
        </w:rPr>
        <w:t xml:space="preserve">as </w:t>
      </w:r>
      <w:r w:rsidRPr="008D6E5C">
        <w:rPr>
          <w:rFonts w:ascii="Cambria" w:hAnsi="Cambria"/>
          <w:sz w:val="20"/>
          <w:szCs w:val="20"/>
        </w:rPr>
        <w:t>“</w:t>
      </w:r>
      <w:r w:rsidR="009B5B21" w:rsidRPr="008D6E5C">
        <w:rPr>
          <w:rFonts w:ascii="Cambria" w:hAnsi="Cambria"/>
          <w:sz w:val="20"/>
          <w:szCs w:val="20"/>
        </w:rPr>
        <w:t>neither the new evidence</w:t>
      </w:r>
      <w:r w:rsidR="002A3A21" w:rsidRPr="008D6E5C">
        <w:rPr>
          <w:rFonts w:ascii="Cambria" w:hAnsi="Cambria"/>
          <w:sz w:val="20"/>
          <w:szCs w:val="20"/>
        </w:rPr>
        <w:t>—w</w:t>
      </w:r>
      <w:r w:rsidR="006D4CC5" w:rsidRPr="008D6E5C">
        <w:rPr>
          <w:rFonts w:ascii="Cambria" w:hAnsi="Cambria"/>
          <w:sz w:val="20"/>
          <w:szCs w:val="20"/>
        </w:rPr>
        <w:t xml:space="preserve">hich served as the basis for </w:t>
      </w:r>
      <w:r w:rsidR="0046027F" w:rsidRPr="008D6E5C">
        <w:rPr>
          <w:rFonts w:ascii="Cambria" w:hAnsi="Cambria"/>
          <w:sz w:val="20"/>
          <w:szCs w:val="20"/>
        </w:rPr>
        <w:t xml:space="preserve">the National Human Rights </w:t>
      </w:r>
      <w:r w:rsidR="009B5B21" w:rsidRPr="008D6E5C">
        <w:rPr>
          <w:rFonts w:ascii="Cambria" w:hAnsi="Cambria"/>
          <w:sz w:val="20"/>
          <w:szCs w:val="20"/>
        </w:rPr>
        <w:t xml:space="preserve">and International Humanitarian Law </w:t>
      </w:r>
      <w:r w:rsidR="0046027F" w:rsidRPr="008D6E5C">
        <w:rPr>
          <w:rFonts w:ascii="Cambria" w:hAnsi="Cambria"/>
          <w:sz w:val="20"/>
          <w:szCs w:val="20"/>
        </w:rPr>
        <w:t>Unit</w:t>
      </w:r>
      <w:r w:rsidR="006D4CC5" w:rsidRPr="008D6E5C">
        <w:rPr>
          <w:rFonts w:ascii="Cambria" w:hAnsi="Cambria"/>
          <w:sz w:val="20"/>
          <w:szCs w:val="20"/>
        </w:rPr>
        <w:t xml:space="preserve"> to order</w:t>
      </w:r>
      <w:r w:rsidRPr="008D6E5C">
        <w:rPr>
          <w:rFonts w:ascii="Cambria" w:hAnsi="Cambria"/>
          <w:sz w:val="20"/>
          <w:szCs w:val="20"/>
        </w:rPr>
        <w:t xml:space="preserve"> pretrial detention measures against </w:t>
      </w:r>
      <w:r w:rsidR="00AB5561" w:rsidRPr="008D6E5C">
        <w:rPr>
          <w:rFonts w:ascii="Cambria" w:hAnsi="Cambria"/>
          <w:sz w:val="20"/>
          <w:szCs w:val="20"/>
        </w:rPr>
        <w:t xml:space="preserve">the </w:t>
      </w:r>
      <w:r w:rsidR="00115734" w:rsidRPr="008D6E5C">
        <w:rPr>
          <w:rFonts w:ascii="Cambria" w:hAnsi="Cambria"/>
          <w:sz w:val="20"/>
          <w:szCs w:val="20"/>
        </w:rPr>
        <w:t>then</w:t>
      </w:r>
      <w:r w:rsidR="00E364B1" w:rsidRPr="008D6E5C">
        <w:rPr>
          <w:rFonts w:ascii="Cambria" w:hAnsi="Cambria"/>
          <w:sz w:val="20"/>
          <w:szCs w:val="20"/>
        </w:rPr>
        <w:t>-</w:t>
      </w:r>
      <w:r w:rsidR="00AB5561" w:rsidRPr="008D6E5C">
        <w:rPr>
          <w:rFonts w:ascii="Cambria" w:hAnsi="Cambria"/>
          <w:sz w:val="20"/>
          <w:szCs w:val="20"/>
        </w:rPr>
        <w:t xml:space="preserve">president of the departmental legislature of Huila </w:t>
      </w:r>
      <w:r w:rsidR="006D4CC5" w:rsidRPr="008D6E5C">
        <w:rPr>
          <w:rFonts w:ascii="Cambria" w:hAnsi="Cambria"/>
          <w:sz w:val="20"/>
          <w:szCs w:val="20"/>
        </w:rPr>
        <w:t xml:space="preserve">on September 4, 2008 </w:t>
      </w:r>
      <w:r w:rsidR="009B5B21" w:rsidRPr="008D6E5C">
        <w:rPr>
          <w:rFonts w:ascii="Cambria" w:hAnsi="Cambria"/>
          <w:sz w:val="20"/>
          <w:szCs w:val="20"/>
        </w:rPr>
        <w:t>for the murder of</w:t>
      </w:r>
      <w:r w:rsidR="002A3A21" w:rsidRPr="008D6E5C">
        <w:rPr>
          <w:rFonts w:ascii="Cambria" w:hAnsi="Cambria"/>
          <w:sz w:val="20"/>
          <w:szCs w:val="20"/>
        </w:rPr>
        <w:t xml:space="preserve"> Nelson </w:t>
      </w:r>
      <w:proofErr w:type="spellStart"/>
      <w:r w:rsidR="002A3A21" w:rsidRPr="008D6E5C">
        <w:rPr>
          <w:rFonts w:ascii="Cambria" w:hAnsi="Cambria"/>
          <w:sz w:val="20"/>
          <w:szCs w:val="20"/>
        </w:rPr>
        <w:t>Carvajal</w:t>
      </w:r>
      <w:proofErr w:type="spellEnd"/>
      <w:r w:rsidR="002A3A21" w:rsidRPr="008D6E5C">
        <w:rPr>
          <w:rFonts w:ascii="Cambria" w:hAnsi="Cambria"/>
          <w:sz w:val="20"/>
          <w:szCs w:val="20"/>
        </w:rPr>
        <w:t xml:space="preserve"> </w:t>
      </w:r>
      <w:proofErr w:type="spellStart"/>
      <w:r w:rsidR="002A3A21" w:rsidRPr="008D6E5C">
        <w:rPr>
          <w:rFonts w:ascii="Cambria" w:hAnsi="Cambria"/>
          <w:sz w:val="20"/>
          <w:szCs w:val="20"/>
        </w:rPr>
        <w:t>Carvajal</w:t>
      </w:r>
      <w:proofErr w:type="spellEnd"/>
      <w:r w:rsidR="002A3A21" w:rsidRPr="008D6E5C">
        <w:rPr>
          <w:rFonts w:ascii="Cambria" w:hAnsi="Cambria"/>
          <w:sz w:val="20"/>
          <w:szCs w:val="20"/>
        </w:rPr>
        <w:t>—</w:t>
      </w:r>
      <w:r w:rsidR="009B5B21" w:rsidRPr="008D6E5C">
        <w:rPr>
          <w:rFonts w:ascii="Cambria" w:hAnsi="Cambria"/>
          <w:sz w:val="20"/>
          <w:szCs w:val="20"/>
        </w:rPr>
        <w:t>nor the admissibility of petition</w:t>
      </w:r>
      <w:r w:rsidR="002A3A21" w:rsidRPr="008D6E5C">
        <w:rPr>
          <w:rFonts w:ascii="Cambria" w:hAnsi="Cambria"/>
          <w:sz w:val="20"/>
          <w:szCs w:val="20"/>
        </w:rPr>
        <w:t xml:space="preserve"> 559/2002</w:t>
      </w:r>
      <w:r w:rsidRPr="008D6E5C">
        <w:rPr>
          <w:rFonts w:ascii="Cambria" w:hAnsi="Cambria"/>
          <w:sz w:val="20"/>
          <w:szCs w:val="20"/>
        </w:rPr>
        <w:t xml:space="preserve"> </w:t>
      </w:r>
      <w:r w:rsidR="009B5B21" w:rsidRPr="008D6E5C">
        <w:rPr>
          <w:rFonts w:ascii="Cambria" w:hAnsi="Cambria"/>
          <w:sz w:val="20"/>
          <w:szCs w:val="20"/>
        </w:rPr>
        <w:t>on October</w:t>
      </w:r>
      <w:r w:rsidRPr="008D6E5C">
        <w:rPr>
          <w:rFonts w:ascii="Cambria" w:hAnsi="Cambria"/>
          <w:sz w:val="20"/>
          <w:szCs w:val="20"/>
        </w:rPr>
        <w:t xml:space="preserve"> 13</w:t>
      </w:r>
      <w:r w:rsidR="009B5B21" w:rsidRPr="008D6E5C">
        <w:rPr>
          <w:rFonts w:ascii="Cambria" w:hAnsi="Cambria"/>
          <w:sz w:val="20"/>
          <w:szCs w:val="20"/>
        </w:rPr>
        <w:t>,</w:t>
      </w:r>
      <w:r w:rsidRPr="008D6E5C">
        <w:rPr>
          <w:rFonts w:ascii="Cambria" w:hAnsi="Cambria"/>
          <w:sz w:val="20"/>
          <w:szCs w:val="20"/>
        </w:rPr>
        <w:t xml:space="preserve"> 2004</w:t>
      </w:r>
      <w:r w:rsidR="002A3A21" w:rsidRPr="008D6E5C">
        <w:rPr>
          <w:rFonts w:ascii="Cambria" w:hAnsi="Cambria"/>
          <w:sz w:val="20"/>
          <w:szCs w:val="20"/>
        </w:rPr>
        <w:t xml:space="preserve"> </w:t>
      </w:r>
      <w:proofErr w:type="spellStart"/>
      <w:r w:rsidR="006D4CC5" w:rsidRPr="008D6E5C">
        <w:rPr>
          <w:rFonts w:ascii="Cambria" w:hAnsi="Cambria"/>
          <w:sz w:val="20"/>
          <w:szCs w:val="20"/>
        </w:rPr>
        <w:t>satisf</w:t>
      </w:r>
      <w:proofErr w:type="spellEnd"/>
      <w:r w:rsidR="006D4CC5" w:rsidRPr="008D6E5C">
        <w:rPr>
          <w:rFonts w:ascii="Cambria" w:hAnsi="Cambria"/>
          <w:sz w:val="20"/>
          <w:szCs w:val="20"/>
        </w:rPr>
        <w:t>[</w:t>
      </w:r>
      <w:proofErr w:type="spellStart"/>
      <w:r w:rsidR="006D4CC5" w:rsidRPr="008D6E5C">
        <w:rPr>
          <w:rFonts w:ascii="Cambria" w:hAnsi="Cambria"/>
          <w:sz w:val="20"/>
          <w:szCs w:val="20"/>
        </w:rPr>
        <w:t>ied</w:t>
      </w:r>
      <w:proofErr w:type="spellEnd"/>
      <w:r w:rsidR="006D4CC5" w:rsidRPr="008D6E5C">
        <w:rPr>
          <w:rFonts w:ascii="Cambria" w:hAnsi="Cambria"/>
          <w:sz w:val="20"/>
          <w:szCs w:val="20"/>
        </w:rPr>
        <w:t>]</w:t>
      </w:r>
      <w:r w:rsidRPr="008D6E5C">
        <w:rPr>
          <w:rFonts w:ascii="Cambria" w:hAnsi="Cambria"/>
          <w:sz w:val="20"/>
          <w:szCs w:val="20"/>
        </w:rPr>
        <w:t xml:space="preserve"> </w:t>
      </w:r>
      <w:r w:rsidR="006D4CC5" w:rsidRPr="008D6E5C">
        <w:rPr>
          <w:rFonts w:ascii="Cambria" w:hAnsi="Cambria"/>
          <w:sz w:val="20"/>
          <w:szCs w:val="20"/>
        </w:rPr>
        <w:t>the ‘</w:t>
      </w:r>
      <w:r w:rsidR="002A3A21" w:rsidRPr="008D6E5C">
        <w:rPr>
          <w:rFonts w:ascii="Cambria" w:hAnsi="Cambria"/>
          <w:sz w:val="20"/>
          <w:szCs w:val="20"/>
        </w:rPr>
        <w:t>verification</w:t>
      </w:r>
      <w:r w:rsidR="006D4CC5" w:rsidRPr="008D6E5C">
        <w:rPr>
          <w:rFonts w:ascii="Cambria" w:hAnsi="Cambria"/>
          <w:sz w:val="20"/>
          <w:szCs w:val="20"/>
        </w:rPr>
        <w:t xml:space="preserve">’ </w:t>
      </w:r>
      <w:r w:rsidR="002A3A21" w:rsidRPr="008D6E5C">
        <w:rPr>
          <w:rFonts w:ascii="Cambria" w:hAnsi="Cambria"/>
          <w:sz w:val="20"/>
          <w:szCs w:val="20"/>
        </w:rPr>
        <w:t xml:space="preserve">requirement </w:t>
      </w:r>
      <w:r w:rsidR="006D4CC5" w:rsidRPr="008D6E5C">
        <w:rPr>
          <w:rFonts w:ascii="Cambria" w:hAnsi="Cambria"/>
          <w:sz w:val="20"/>
          <w:szCs w:val="20"/>
        </w:rPr>
        <w:t xml:space="preserve">referred to in </w:t>
      </w:r>
      <w:r w:rsidRPr="008D6E5C">
        <w:rPr>
          <w:rFonts w:ascii="Cambria" w:hAnsi="Cambria"/>
          <w:sz w:val="20"/>
          <w:szCs w:val="20"/>
        </w:rPr>
        <w:t xml:space="preserve">Constitutional Court </w:t>
      </w:r>
      <w:r w:rsidR="009B5B21" w:rsidRPr="008D6E5C">
        <w:rPr>
          <w:rFonts w:ascii="Cambria" w:hAnsi="Cambria"/>
          <w:sz w:val="20"/>
          <w:szCs w:val="20"/>
        </w:rPr>
        <w:t>in Judgment</w:t>
      </w:r>
      <w:r w:rsidRPr="008D6E5C">
        <w:rPr>
          <w:rFonts w:ascii="Cambria" w:hAnsi="Cambria"/>
          <w:sz w:val="20"/>
          <w:szCs w:val="20"/>
        </w:rPr>
        <w:t xml:space="preserve"> C-004 of 2003.”</w:t>
      </w:r>
      <w:r w:rsidRPr="008D6E5C">
        <w:rPr>
          <w:rStyle w:val="FootnoteReference"/>
          <w:rFonts w:ascii="Cambria" w:hAnsi="Cambria"/>
          <w:sz w:val="20"/>
          <w:szCs w:val="20"/>
        </w:rPr>
        <w:footnoteReference w:id="86"/>
      </w:r>
      <w:r w:rsidRPr="008D6E5C">
        <w:rPr>
          <w:rFonts w:ascii="Cambria" w:hAnsi="Cambria"/>
          <w:sz w:val="20"/>
          <w:szCs w:val="20"/>
        </w:rPr>
        <w:t xml:space="preserve"> </w:t>
      </w:r>
      <w:r w:rsidR="002C44E9" w:rsidRPr="008D6E5C">
        <w:rPr>
          <w:rFonts w:ascii="Cambria" w:hAnsi="Cambria"/>
          <w:sz w:val="20"/>
          <w:szCs w:val="20"/>
        </w:rPr>
        <w:t>With respect to the</w:t>
      </w:r>
      <w:r w:rsidRPr="008D6E5C">
        <w:rPr>
          <w:rFonts w:ascii="Cambria" w:hAnsi="Cambria"/>
          <w:sz w:val="20"/>
          <w:szCs w:val="20"/>
        </w:rPr>
        <w:t xml:space="preserve"> Admissibility Report</w:t>
      </w:r>
      <w:r w:rsidR="007D1D81" w:rsidRPr="008D6E5C">
        <w:rPr>
          <w:rFonts w:ascii="Cambria" w:hAnsi="Cambria"/>
          <w:sz w:val="20"/>
          <w:szCs w:val="20"/>
        </w:rPr>
        <w:t>, the Court</w:t>
      </w:r>
      <w:r w:rsidRPr="008D6E5C">
        <w:rPr>
          <w:rFonts w:ascii="Cambria" w:hAnsi="Cambria"/>
          <w:sz w:val="20"/>
          <w:szCs w:val="20"/>
        </w:rPr>
        <w:t xml:space="preserve"> </w:t>
      </w:r>
      <w:r w:rsidR="002C44E9" w:rsidRPr="008D6E5C">
        <w:rPr>
          <w:rFonts w:ascii="Cambria" w:hAnsi="Cambria"/>
          <w:sz w:val="20"/>
          <w:szCs w:val="20"/>
        </w:rPr>
        <w:t>explained that</w:t>
      </w:r>
      <w:r w:rsidR="000036BD" w:rsidRPr="008D6E5C">
        <w:rPr>
          <w:rFonts w:ascii="Cambria" w:hAnsi="Cambria"/>
          <w:sz w:val="20"/>
          <w:szCs w:val="20"/>
        </w:rPr>
        <w:t xml:space="preserve"> </w:t>
      </w:r>
      <w:r w:rsidR="00734F31" w:rsidRPr="008D6E5C">
        <w:rPr>
          <w:rFonts w:ascii="Cambria" w:hAnsi="Cambria"/>
          <w:sz w:val="20"/>
          <w:szCs w:val="20"/>
        </w:rPr>
        <w:t xml:space="preserve">circumstance </w:t>
      </w:r>
      <w:r w:rsidR="0049235A" w:rsidRPr="008D6E5C">
        <w:rPr>
          <w:rFonts w:ascii="Cambria" w:hAnsi="Cambria"/>
          <w:sz w:val="20"/>
          <w:szCs w:val="20"/>
        </w:rPr>
        <w:t>will be given the appropriate consideration by</w:t>
      </w:r>
      <w:r w:rsidR="00734F31" w:rsidRPr="008D6E5C">
        <w:rPr>
          <w:rFonts w:ascii="Cambria" w:hAnsi="Cambria"/>
          <w:sz w:val="20"/>
          <w:szCs w:val="20"/>
        </w:rPr>
        <w:t xml:space="preserve"> this Court </w:t>
      </w:r>
      <w:r w:rsidR="00F623DB" w:rsidRPr="008D6E5C">
        <w:rPr>
          <w:rFonts w:ascii="Cambria" w:hAnsi="Cambria"/>
          <w:sz w:val="20"/>
          <w:szCs w:val="20"/>
        </w:rPr>
        <w:t>at the time of</w:t>
      </w:r>
      <w:r w:rsidR="00734F31" w:rsidRPr="008D6E5C">
        <w:rPr>
          <w:rFonts w:ascii="Cambria" w:hAnsi="Cambria"/>
          <w:sz w:val="20"/>
          <w:szCs w:val="20"/>
        </w:rPr>
        <w:t xml:space="preserve"> its final outcome</w:t>
      </w:r>
      <w:r w:rsidRPr="008D6E5C">
        <w:rPr>
          <w:rFonts w:ascii="Cambria" w:hAnsi="Cambria"/>
          <w:sz w:val="20"/>
          <w:szCs w:val="20"/>
        </w:rPr>
        <w:t>.”</w:t>
      </w:r>
      <w:r w:rsidRPr="008D6E5C">
        <w:rPr>
          <w:rStyle w:val="FootnoteReference"/>
          <w:rFonts w:ascii="Cambria" w:hAnsi="Cambria"/>
          <w:sz w:val="20"/>
          <w:szCs w:val="20"/>
        </w:rPr>
        <w:footnoteReference w:id="87"/>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Based on the Supreme Court’s decision, on September 25, 2009, the Prosecutor’s Office decided to close the investigation against </w:t>
      </w:r>
      <w:r w:rsidR="00AB5561" w:rsidRPr="008D6E5C">
        <w:rPr>
          <w:rFonts w:ascii="Cambria" w:hAnsi="Cambria"/>
          <w:sz w:val="20"/>
          <w:szCs w:val="20"/>
        </w:rPr>
        <w:t>the the</w:t>
      </w:r>
      <w:r w:rsidR="00BE3477" w:rsidRPr="008D6E5C">
        <w:rPr>
          <w:rFonts w:ascii="Cambria" w:hAnsi="Cambria"/>
          <w:sz w:val="20"/>
          <w:szCs w:val="20"/>
        </w:rPr>
        <w:t>n</w:t>
      </w:r>
      <w:r w:rsidR="00E364B1" w:rsidRPr="008D6E5C">
        <w:rPr>
          <w:rFonts w:ascii="Cambria" w:hAnsi="Cambria"/>
          <w:sz w:val="20"/>
          <w:szCs w:val="20"/>
        </w:rPr>
        <w:t>-</w:t>
      </w:r>
      <w:r w:rsidR="00AB5561" w:rsidRPr="008D6E5C">
        <w:rPr>
          <w:rFonts w:ascii="Cambria" w:hAnsi="Cambria"/>
          <w:sz w:val="20"/>
          <w:szCs w:val="20"/>
        </w:rPr>
        <w:t>president of the departmental legislature of Huila</w:t>
      </w:r>
      <w:r w:rsidRPr="008D6E5C">
        <w:rPr>
          <w:rFonts w:ascii="Cambria" w:hAnsi="Cambria"/>
          <w:sz w:val="20"/>
          <w:szCs w:val="20"/>
        </w:rPr>
        <w:t xml:space="preserve"> </w:t>
      </w:r>
      <w:r w:rsidR="00B61E12" w:rsidRPr="008D6E5C">
        <w:rPr>
          <w:rFonts w:ascii="Cambria" w:hAnsi="Cambria"/>
          <w:sz w:val="20"/>
          <w:szCs w:val="20"/>
        </w:rPr>
        <w:t xml:space="preserve">and ordered </w:t>
      </w:r>
      <w:r w:rsidRPr="008D6E5C">
        <w:rPr>
          <w:rFonts w:ascii="Cambria" w:hAnsi="Cambria"/>
          <w:sz w:val="20"/>
          <w:szCs w:val="20"/>
        </w:rPr>
        <w:t xml:space="preserve">the investigation </w:t>
      </w:r>
      <w:r w:rsidR="00B61E12" w:rsidRPr="008D6E5C">
        <w:rPr>
          <w:rFonts w:ascii="Cambria" w:hAnsi="Cambria"/>
          <w:sz w:val="20"/>
          <w:szCs w:val="20"/>
        </w:rPr>
        <w:t>against him shelved</w:t>
      </w:r>
      <w:r w:rsidRPr="008D6E5C">
        <w:rPr>
          <w:rFonts w:ascii="Cambria" w:hAnsi="Cambria"/>
          <w:sz w:val="20"/>
          <w:szCs w:val="20"/>
        </w:rPr>
        <w:t>.</w:t>
      </w:r>
      <w:r w:rsidRPr="008D6E5C">
        <w:rPr>
          <w:rStyle w:val="FootnoteReference"/>
          <w:rFonts w:ascii="Cambria" w:hAnsi="Cambria"/>
          <w:sz w:val="20"/>
          <w:szCs w:val="20"/>
        </w:rPr>
        <w:footnoteReference w:id="88"/>
      </w:r>
    </w:p>
    <w:p w:rsidR="00C0575F" w:rsidRPr="008D6E5C" w:rsidRDefault="00C0575F" w:rsidP="001520DB">
      <w:pPr>
        <w:pStyle w:val="ListParagraph"/>
        <w:jc w:val="both"/>
        <w:rPr>
          <w:sz w:val="20"/>
          <w:szCs w:val="20"/>
        </w:rPr>
      </w:pPr>
    </w:p>
    <w:p w:rsidR="00C0575F" w:rsidRPr="008D6E5C" w:rsidRDefault="008827AD"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record </w:t>
      </w:r>
      <w:r w:rsidR="00777AD4" w:rsidRPr="008D6E5C">
        <w:rPr>
          <w:rFonts w:ascii="Cambria" w:hAnsi="Cambria"/>
          <w:sz w:val="20"/>
          <w:szCs w:val="20"/>
        </w:rPr>
        <w:t>in</w:t>
      </w:r>
      <w:r w:rsidRPr="008D6E5C">
        <w:rPr>
          <w:rFonts w:ascii="Cambria" w:hAnsi="Cambria"/>
          <w:sz w:val="20"/>
          <w:szCs w:val="20"/>
        </w:rPr>
        <w:t xml:space="preserve"> this case reflects </w:t>
      </w:r>
      <w:r w:rsidR="002E3387" w:rsidRPr="008D6E5C">
        <w:rPr>
          <w:rFonts w:ascii="Cambria" w:hAnsi="Cambria"/>
          <w:sz w:val="20"/>
          <w:szCs w:val="20"/>
        </w:rPr>
        <w:t>that the Office of the Prosecutor</w:t>
      </w:r>
      <w:r w:rsidR="00C0575F" w:rsidRPr="008D6E5C">
        <w:rPr>
          <w:rFonts w:ascii="Cambria" w:hAnsi="Cambria"/>
          <w:sz w:val="20"/>
          <w:szCs w:val="20"/>
        </w:rPr>
        <w:t xml:space="preserve"> </w:t>
      </w:r>
      <w:r w:rsidRPr="008D6E5C">
        <w:rPr>
          <w:rFonts w:ascii="Cambria" w:hAnsi="Cambria"/>
          <w:sz w:val="20"/>
          <w:szCs w:val="20"/>
        </w:rPr>
        <w:t xml:space="preserve">also </w:t>
      </w:r>
      <w:r w:rsidR="00120611" w:rsidRPr="008D6E5C">
        <w:rPr>
          <w:rFonts w:ascii="Cambria" w:hAnsi="Cambria"/>
          <w:sz w:val="20"/>
          <w:szCs w:val="20"/>
        </w:rPr>
        <w:t>implicated</w:t>
      </w:r>
      <w:r w:rsidR="002E3387" w:rsidRPr="008D6E5C">
        <w:rPr>
          <w:rFonts w:ascii="Cambria" w:hAnsi="Cambria"/>
          <w:sz w:val="20"/>
          <w:szCs w:val="20"/>
        </w:rPr>
        <w:t xml:space="preserve"> </w:t>
      </w:r>
      <w:r w:rsidR="009A7B67" w:rsidRPr="008D6E5C">
        <w:rPr>
          <w:rFonts w:ascii="Cambria" w:hAnsi="Cambria"/>
          <w:sz w:val="20"/>
          <w:szCs w:val="20"/>
        </w:rPr>
        <w:t>alias “Osw</w:t>
      </w:r>
      <w:r w:rsidR="00C0575F" w:rsidRPr="008D6E5C">
        <w:rPr>
          <w:rFonts w:ascii="Cambria" w:hAnsi="Cambria"/>
          <w:sz w:val="20"/>
          <w:szCs w:val="20"/>
        </w:rPr>
        <w:t xml:space="preserve">aldo </w:t>
      </w:r>
      <w:proofErr w:type="spellStart"/>
      <w:r w:rsidR="00C0575F" w:rsidRPr="008D6E5C">
        <w:rPr>
          <w:rFonts w:ascii="Cambria" w:hAnsi="Cambria"/>
          <w:sz w:val="20"/>
          <w:szCs w:val="20"/>
        </w:rPr>
        <w:t>Patiño</w:t>
      </w:r>
      <w:proofErr w:type="spellEnd"/>
      <w:r w:rsidR="002E3387" w:rsidRPr="008D6E5C">
        <w:rPr>
          <w:rFonts w:ascii="Cambria" w:hAnsi="Cambria"/>
          <w:sz w:val="20"/>
          <w:szCs w:val="20"/>
        </w:rPr>
        <w:t>,</w:t>
      </w:r>
      <w:r w:rsidR="00C0575F" w:rsidRPr="008D6E5C">
        <w:rPr>
          <w:rFonts w:ascii="Cambria" w:hAnsi="Cambria"/>
          <w:sz w:val="20"/>
          <w:szCs w:val="20"/>
        </w:rPr>
        <w:t xml:space="preserve">” </w:t>
      </w:r>
      <w:r w:rsidR="00120611" w:rsidRPr="008D6E5C">
        <w:rPr>
          <w:rFonts w:ascii="Cambria" w:hAnsi="Cambria"/>
          <w:sz w:val="20"/>
          <w:szCs w:val="20"/>
        </w:rPr>
        <w:t xml:space="preserve">in </w:t>
      </w:r>
      <w:r w:rsidRPr="008D6E5C">
        <w:rPr>
          <w:rFonts w:ascii="Cambria" w:hAnsi="Cambria"/>
          <w:sz w:val="20"/>
          <w:szCs w:val="20"/>
        </w:rPr>
        <w:t>the offenses of rebellion and m</w:t>
      </w:r>
      <w:r w:rsidR="00C0575F" w:rsidRPr="008D6E5C">
        <w:rPr>
          <w:rFonts w:ascii="Cambria" w:hAnsi="Cambria"/>
          <w:sz w:val="20"/>
          <w:szCs w:val="20"/>
        </w:rPr>
        <w:t xml:space="preserve">urder, </w:t>
      </w:r>
      <w:r w:rsidR="002E3387" w:rsidRPr="008D6E5C">
        <w:rPr>
          <w:rFonts w:ascii="Cambria" w:hAnsi="Cambria"/>
          <w:sz w:val="20"/>
          <w:szCs w:val="20"/>
        </w:rPr>
        <w:t>as well as</w:t>
      </w:r>
      <w:r w:rsidRPr="008D6E5C">
        <w:rPr>
          <w:rFonts w:ascii="Cambria" w:hAnsi="Cambria"/>
          <w:sz w:val="20"/>
          <w:szCs w:val="20"/>
        </w:rPr>
        <w:t xml:space="preserve"> </w:t>
      </w:r>
      <w:r w:rsidR="00C0575F" w:rsidRPr="008D6E5C">
        <w:rPr>
          <w:rFonts w:ascii="Cambria" w:hAnsi="Cambria"/>
          <w:sz w:val="20"/>
          <w:szCs w:val="20"/>
        </w:rPr>
        <w:t xml:space="preserve">alias “el </w:t>
      </w:r>
      <w:proofErr w:type="spellStart"/>
      <w:r w:rsidR="00C0575F" w:rsidRPr="008D6E5C">
        <w:rPr>
          <w:rFonts w:ascii="Cambria" w:hAnsi="Cambria"/>
          <w:sz w:val="20"/>
          <w:szCs w:val="20"/>
        </w:rPr>
        <w:t>Corcho</w:t>
      </w:r>
      <w:proofErr w:type="spellEnd"/>
      <w:r w:rsidRPr="008D6E5C">
        <w:rPr>
          <w:rFonts w:ascii="Cambria" w:hAnsi="Cambria"/>
          <w:sz w:val="20"/>
          <w:szCs w:val="20"/>
        </w:rPr>
        <w:t>,</w:t>
      </w:r>
      <w:r w:rsidR="00C0575F" w:rsidRPr="008D6E5C">
        <w:rPr>
          <w:rFonts w:ascii="Cambria" w:hAnsi="Cambria"/>
          <w:sz w:val="20"/>
          <w:szCs w:val="20"/>
        </w:rPr>
        <w:t xml:space="preserve">” </w:t>
      </w:r>
      <w:r w:rsidRPr="008D6E5C">
        <w:rPr>
          <w:rFonts w:ascii="Cambria" w:hAnsi="Cambria"/>
          <w:sz w:val="20"/>
          <w:szCs w:val="20"/>
        </w:rPr>
        <w:t xml:space="preserve">both of whom were </w:t>
      </w:r>
      <w:r w:rsidR="002E3387" w:rsidRPr="008D6E5C">
        <w:rPr>
          <w:rFonts w:ascii="Cambria" w:hAnsi="Cambria"/>
          <w:sz w:val="20"/>
          <w:szCs w:val="20"/>
        </w:rPr>
        <w:t>alleged members of the</w:t>
      </w:r>
      <w:r w:rsidRPr="008D6E5C">
        <w:rPr>
          <w:rFonts w:ascii="Cambria" w:hAnsi="Cambria"/>
          <w:sz w:val="20"/>
          <w:szCs w:val="20"/>
        </w:rPr>
        <w:t xml:space="preserve"> FARC. The Office of the Prosecutor subsequently issued warrants for their arrest</w:t>
      </w:r>
      <w:r w:rsidR="00C0575F" w:rsidRPr="008D6E5C">
        <w:rPr>
          <w:rFonts w:ascii="Cambria" w:hAnsi="Cambria"/>
          <w:sz w:val="20"/>
          <w:szCs w:val="20"/>
        </w:rPr>
        <w:t xml:space="preserve">. </w:t>
      </w:r>
      <w:r w:rsidR="002E3387" w:rsidRPr="008D6E5C">
        <w:rPr>
          <w:rFonts w:ascii="Cambria" w:hAnsi="Cambria"/>
          <w:sz w:val="20"/>
          <w:szCs w:val="20"/>
        </w:rPr>
        <w:t>In order</w:t>
      </w:r>
      <w:r w:rsidR="00C0575F" w:rsidRPr="008D6E5C">
        <w:rPr>
          <w:rFonts w:ascii="Cambria" w:hAnsi="Cambria"/>
          <w:sz w:val="20"/>
          <w:szCs w:val="20"/>
        </w:rPr>
        <w:t xml:space="preserve"> 0-2067 </w:t>
      </w:r>
      <w:r w:rsidR="002E3387" w:rsidRPr="008D6E5C">
        <w:rPr>
          <w:rFonts w:ascii="Cambria" w:hAnsi="Cambria"/>
          <w:sz w:val="20"/>
          <w:szCs w:val="20"/>
        </w:rPr>
        <w:t xml:space="preserve">dated September </w:t>
      </w:r>
      <w:r w:rsidR="00C0575F" w:rsidRPr="008D6E5C">
        <w:rPr>
          <w:rFonts w:ascii="Cambria" w:hAnsi="Cambria"/>
          <w:sz w:val="20"/>
          <w:szCs w:val="20"/>
        </w:rPr>
        <w:t>7</w:t>
      </w:r>
      <w:r w:rsidR="002E3387" w:rsidRPr="008D6E5C">
        <w:rPr>
          <w:rFonts w:ascii="Cambria" w:hAnsi="Cambria"/>
          <w:sz w:val="20"/>
          <w:szCs w:val="20"/>
        </w:rPr>
        <w:t>,</w:t>
      </w:r>
      <w:r w:rsidR="00C0575F" w:rsidRPr="008D6E5C">
        <w:rPr>
          <w:rFonts w:ascii="Cambria" w:hAnsi="Cambria"/>
          <w:sz w:val="20"/>
          <w:szCs w:val="20"/>
        </w:rPr>
        <w:t xml:space="preserve"> </w:t>
      </w:r>
      <w:proofErr w:type="gramStart"/>
      <w:r w:rsidR="00C0575F" w:rsidRPr="008D6E5C">
        <w:rPr>
          <w:rFonts w:ascii="Cambria" w:hAnsi="Cambria"/>
          <w:sz w:val="20"/>
          <w:szCs w:val="20"/>
        </w:rPr>
        <w:t>2010</w:t>
      </w:r>
      <w:r w:rsidR="002E3387" w:rsidRPr="008D6E5C">
        <w:rPr>
          <w:rFonts w:ascii="Cambria" w:hAnsi="Cambria"/>
          <w:sz w:val="20"/>
          <w:szCs w:val="20"/>
        </w:rPr>
        <w:t>,</w:t>
      </w:r>
      <w:proofErr w:type="gramEnd"/>
      <w:r w:rsidR="00C0575F" w:rsidRPr="008D6E5C">
        <w:rPr>
          <w:rFonts w:ascii="Cambria" w:hAnsi="Cambria"/>
          <w:sz w:val="20"/>
          <w:szCs w:val="20"/>
        </w:rPr>
        <w:t xml:space="preserve"> the Prosecutor General of Colombia </w:t>
      </w:r>
      <w:r w:rsidRPr="008D6E5C">
        <w:rPr>
          <w:rFonts w:ascii="Cambria" w:hAnsi="Cambria"/>
          <w:sz w:val="20"/>
          <w:szCs w:val="20"/>
        </w:rPr>
        <w:t>changed the assignment</w:t>
      </w:r>
      <w:r w:rsidR="00C0575F" w:rsidRPr="008D6E5C">
        <w:rPr>
          <w:rFonts w:ascii="Cambria" w:hAnsi="Cambria"/>
          <w:sz w:val="20"/>
          <w:szCs w:val="20"/>
        </w:rPr>
        <w:t xml:space="preserve"> </w:t>
      </w:r>
      <w:r w:rsidR="00D67521" w:rsidRPr="008D6E5C">
        <w:rPr>
          <w:rFonts w:ascii="Cambria" w:hAnsi="Cambria"/>
          <w:sz w:val="20"/>
          <w:szCs w:val="20"/>
        </w:rPr>
        <w:t>and appointed a prosecutor from</w:t>
      </w:r>
      <w:r w:rsidR="00C0575F" w:rsidRPr="008D6E5C">
        <w:rPr>
          <w:rFonts w:ascii="Cambria" w:hAnsi="Cambria"/>
          <w:sz w:val="20"/>
          <w:szCs w:val="20"/>
        </w:rPr>
        <w:t xml:space="preserve"> the Human Rights Unit. </w:t>
      </w:r>
      <w:r w:rsidRPr="008D6E5C">
        <w:rPr>
          <w:rFonts w:ascii="Cambria" w:hAnsi="Cambria"/>
          <w:sz w:val="20"/>
          <w:szCs w:val="20"/>
        </w:rPr>
        <w:t>The Unit took over the case</w:t>
      </w:r>
      <w:r w:rsidR="00C0575F" w:rsidRPr="008D6E5C">
        <w:rPr>
          <w:rFonts w:ascii="Cambria" w:hAnsi="Cambria"/>
          <w:sz w:val="20"/>
          <w:szCs w:val="20"/>
        </w:rPr>
        <w:t xml:space="preserve"> on November 5, 2010, and on February 21, 2011 it ordered the examination of the evidence. </w:t>
      </w:r>
      <w:r w:rsidRPr="008D6E5C">
        <w:rPr>
          <w:rFonts w:ascii="Cambria" w:hAnsi="Cambria"/>
          <w:sz w:val="20"/>
          <w:szCs w:val="20"/>
        </w:rPr>
        <w:t>By July</w:t>
      </w:r>
      <w:r w:rsidR="00C0575F" w:rsidRPr="008D6E5C">
        <w:rPr>
          <w:rFonts w:ascii="Cambria" w:hAnsi="Cambria"/>
          <w:sz w:val="20"/>
          <w:szCs w:val="20"/>
        </w:rPr>
        <w:t xml:space="preserve"> 23</w:t>
      </w:r>
      <w:r w:rsidRPr="008D6E5C">
        <w:rPr>
          <w:rFonts w:ascii="Cambria" w:hAnsi="Cambria"/>
          <w:sz w:val="20"/>
          <w:szCs w:val="20"/>
        </w:rPr>
        <w:t>,</w:t>
      </w:r>
      <w:r w:rsidR="00C0575F" w:rsidRPr="008D6E5C">
        <w:rPr>
          <w:rFonts w:ascii="Cambria" w:hAnsi="Cambria"/>
          <w:sz w:val="20"/>
          <w:szCs w:val="20"/>
        </w:rPr>
        <w:t xml:space="preserve"> 2013</w:t>
      </w:r>
      <w:r w:rsidRPr="008D6E5C">
        <w:rPr>
          <w:rFonts w:ascii="Cambria" w:hAnsi="Cambria"/>
          <w:sz w:val="20"/>
          <w:szCs w:val="20"/>
        </w:rPr>
        <w:t>,</w:t>
      </w:r>
      <w:r w:rsidR="00C0575F" w:rsidRPr="008D6E5C">
        <w:rPr>
          <w:rFonts w:ascii="Cambria" w:hAnsi="Cambria"/>
          <w:sz w:val="20"/>
          <w:szCs w:val="20"/>
        </w:rPr>
        <w:t xml:space="preserve"> </w:t>
      </w:r>
      <w:r w:rsidRPr="008D6E5C">
        <w:rPr>
          <w:rFonts w:ascii="Cambria" w:hAnsi="Cambria"/>
          <w:sz w:val="20"/>
          <w:szCs w:val="20"/>
        </w:rPr>
        <w:t>three reports had reportedly been received from the</w:t>
      </w:r>
      <w:r w:rsidR="00C0575F" w:rsidRPr="008D6E5C">
        <w:rPr>
          <w:rFonts w:ascii="Cambria" w:hAnsi="Cambria"/>
          <w:sz w:val="20"/>
          <w:szCs w:val="20"/>
        </w:rPr>
        <w:t xml:space="preserve"> Judicial Police. </w:t>
      </w:r>
      <w:r w:rsidRPr="008D6E5C">
        <w:rPr>
          <w:rFonts w:ascii="Cambria" w:hAnsi="Cambria"/>
          <w:sz w:val="20"/>
          <w:szCs w:val="20"/>
        </w:rPr>
        <w:t>According to the most recent information provided by</w:t>
      </w:r>
      <w:r w:rsidR="00C0575F" w:rsidRPr="008D6E5C">
        <w:rPr>
          <w:rFonts w:ascii="Cambria" w:hAnsi="Cambria"/>
          <w:sz w:val="20"/>
          <w:szCs w:val="20"/>
        </w:rPr>
        <w:t xml:space="preserve"> the State, </w:t>
      </w:r>
      <w:r w:rsidR="00275EF5" w:rsidRPr="008D6E5C">
        <w:rPr>
          <w:rFonts w:ascii="Cambria" w:hAnsi="Cambria"/>
          <w:sz w:val="20"/>
          <w:szCs w:val="20"/>
        </w:rPr>
        <w:t>alias “Osw</w:t>
      </w:r>
      <w:r w:rsidRPr="008D6E5C">
        <w:rPr>
          <w:rFonts w:ascii="Cambria" w:hAnsi="Cambria"/>
          <w:sz w:val="20"/>
          <w:szCs w:val="20"/>
        </w:rPr>
        <w:t xml:space="preserve">aldo </w:t>
      </w:r>
      <w:proofErr w:type="spellStart"/>
      <w:r w:rsidRPr="008D6E5C">
        <w:rPr>
          <w:rFonts w:ascii="Cambria" w:hAnsi="Cambria"/>
          <w:sz w:val="20"/>
          <w:szCs w:val="20"/>
        </w:rPr>
        <w:t>Patiño</w:t>
      </w:r>
      <w:proofErr w:type="spellEnd"/>
      <w:r w:rsidRPr="008D6E5C">
        <w:rPr>
          <w:rFonts w:ascii="Cambria" w:hAnsi="Cambria"/>
          <w:sz w:val="20"/>
          <w:szCs w:val="20"/>
        </w:rPr>
        <w:t>” and</w:t>
      </w:r>
      <w:r w:rsidR="00C0575F" w:rsidRPr="008D6E5C">
        <w:rPr>
          <w:rFonts w:ascii="Cambria" w:hAnsi="Cambria"/>
          <w:sz w:val="20"/>
          <w:szCs w:val="20"/>
        </w:rPr>
        <w:t xml:space="preserve"> </w:t>
      </w:r>
      <w:r w:rsidRPr="008D6E5C">
        <w:rPr>
          <w:rFonts w:ascii="Cambria" w:hAnsi="Cambria"/>
          <w:sz w:val="20"/>
          <w:szCs w:val="20"/>
        </w:rPr>
        <w:t xml:space="preserve">alias “el </w:t>
      </w:r>
      <w:proofErr w:type="spellStart"/>
      <w:r w:rsidR="00AB5561" w:rsidRPr="008D6E5C">
        <w:rPr>
          <w:rFonts w:ascii="Cambria" w:hAnsi="Cambria"/>
          <w:sz w:val="20"/>
          <w:szCs w:val="20"/>
        </w:rPr>
        <w:t>Corcho</w:t>
      </w:r>
      <w:proofErr w:type="spellEnd"/>
      <w:r w:rsidR="00C0575F" w:rsidRPr="008D6E5C">
        <w:rPr>
          <w:rFonts w:ascii="Cambria" w:hAnsi="Cambria"/>
          <w:sz w:val="20"/>
          <w:szCs w:val="20"/>
        </w:rPr>
        <w:t>”</w:t>
      </w:r>
      <w:r w:rsidRPr="008D6E5C">
        <w:rPr>
          <w:rFonts w:ascii="Cambria" w:hAnsi="Cambria"/>
          <w:sz w:val="20"/>
          <w:szCs w:val="20"/>
        </w:rPr>
        <w:t xml:space="preserve"> </w:t>
      </w:r>
      <w:r w:rsidR="00120611" w:rsidRPr="008D6E5C">
        <w:rPr>
          <w:rFonts w:ascii="Cambria" w:hAnsi="Cambria"/>
          <w:sz w:val="20"/>
          <w:szCs w:val="20"/>
        </w:rPr>
        <w:t>have reportedly been implicated in</w:t>
      </w:r>
      <w:r w:rsidRPr="008D6E5C">
        <w:rPr>
          <w:rFonts w:ascii="Cambria" w:hAnsi="Cambria"/>
          <w:sz w:val="20"/>
          <w:szCs w:val="20"/>
        </w:rPr>
        <w:t xml:space="preserve"> the investigation</w:t>
      </w:r>
      <w:r w:rsidR="00C8483E" w:rsidRPr="008D6E5C">
        <w:rPr>
          <w:rFonts w:ascii="Cambria" w:hAnsi="Cambria"/>
          <w:sz w:val="20"/>
          <w:szCs w:val="20"/>
        </w:rPr>
        <w:t>.</w:t>
      </w:r>
      <w:r w:rsidRPr="008D6E5C">
        <w:rPr>
          <w:rFonts w:ascii="Cambria" w:hAnsi="Cambria"/>
          <w:sz w:val="20"/>
          <w:szCs w:val="20"/>
        </w:rPr>
        <w:t xml:space="preserve"> </w:t>
      </w:r>
      <w:r w:rsidR="00C0575F" w:rsidRPr="008D6E5C">
        <w:rPr>
          <w:rStyle w:val="FootnoteReference"/>
          <w:rFonts w:ascii="Cambria" w:hAnsi="Cambria"/>
          <w:sz w:val="20"/>
          <w:szCs w:val="20"/>
        </w:rPr>
        <w:footnoteReference w:id="89"/>
      </w:r>
      <w:r w:rsidR="00C0575F" w:rsidRPr="008D6E5C">
        <w:rPr>
          <w:rFonts w:ascii="Cambria" w:hAnsi="Cambria"/>
          <w:sz w:val="20"/>
          <w:szCs w:val="20"/>
        </w:rPr>
        <w:t xml:space="preserve"> The State </w:t>
      </w:r>
      <w:r w:rsidR="00D67521" w:rsidRPr="008D6E5C">
        <w:rPr>
          <w:rFonts w:ascii="Cambria" w:hAnsi="Cambria"/>
          <w:sz w:val="20"/>
          <w:szCs w:val="20"/>
        </w:rPr>
        <w:t xml:space="preserve">did not provide further information on the progress of this inquiry. </w:t>
      </w:r>
      <w:r w:rsidR="00C0575F" w:rsidRPr="008D6E5C">
        <w:rPr>
          <w:rFonts w:ascii="Cambria" w:hAnsi="Cambria"/>
          <w:sz w:val="20"/>
          <w:szCs w:val="20"/>
        </w:rPr>
        <w:t xml:space="preserve"> </w:t>
      </w:r>
    </w:p>
    <w:p w:rsidR="001520DB" w:rsidRPr="008D6E5C" w:rsidRDefault="001520DB" w:rsidP="001520DB">
      <w:pPr>
        <w:pStyle w:val="Heading3"/>
        <w:spacing w:before="0"/>
        <w:rPr>
          <w:szCs w:val="20"/>
        </w:rPr>
      </w:pPr>
      <w:bookmarkStart w:id="27" w:name="_Toc412474491"/>
      <w:bookmarkStart w:id="28" w:name="_Toc412539540"/>
    </w:p>
    <w:p w:rsidR="00C0575F" w:rsidRPr="008D6E5C" w:rsidRDefault="00C0575F" w:rsidP="001520DB">
      <w:pPr>
        <w:pStyle w:val="Heading3"/>
        <w:spacing w:before="0"/>
        <w:rPr>
          <w:szCs w:val="20"/>
        </w:rPr>
      </w:pPr>
      <w:bookmarkStart w:id="29" w:name="_Toc416880386"/>
      <w:r w:rsidRPr="008D6E5C">
        <w:rPr>
          <w:szCs w:val="20"/>
        </w:rPr>
        <w:t>5.</w:t>
      </w:r>
      <w:r w:rsidRPr="008D6E5C">
        <w:rPr>
          <w:szCs w:val="20"/>
        </w:rPr>
        <w:tab/>
        <w:t>Disciplinary Investigation before the Judicial Council</w:t>
      </w:r>
      <w:bookmarkEnd w:id="27"/>
      <w:bookmarkEnd w:id="28"/>
      <w:bookmarkEnd w:id="29"/>
      <w:r w:rsidRPr="008D6E5C">
        <w:rPr>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November 24, 2006, </w:t>
      </w:r>
      <w:r w:rsidR="00AB5561" w:rsidRPr="008D6E5C">
        <w:rPr>
          <w:rFonts w:ascii="Cambria" w:hAnsi="Cambria"/>
          <w:sz w:val="20"/>
          <w:szCs w:val="20"/>
        </w:rPr>
        <w:t xml:space="preserve">Diana Calderon, representative of </w:t>
      </w:r>
      <w:r w:rsidRPr="008D6E5C">
        <w:rPr>
          <w:rFonts w:ascii="Cambria" w:hAnsi="Cambria"/>
          <w:sz w:val="20"/>
          <w:szCs w:val="20"/>
        </w:rPr>
        <w:t xml:space="preserve">the petitioner </w:t>
      </w:r>
      <w:r w:rsidR="00AB5561" w:rsidRPr="008D6E5C">
        <w:rPr>
          <w:rFonts w:ascii="Cambria" w:hAnsi="Cambria"/>
          <w:sz w:val="20"/>
          <w:szCs w:val="20"/>
        </w:rPr>
        <w:t xml:space="preserve">(AIP) </w:t>
      </w:r>
      <w:r w:rsidR="002F16FE" w:rsidRPr="008D6E5C">
        <w:rPr>
          <w:rFonts w:ascii="Cambria" w:hAnsi="Cambria"/>
          <w:sz w:val="20"/>
          <w:szCs w:val="20"/>
        </w:rPr>
        <w:t>sent information to</w:t>
      </w:r>
      <w:r w:rsidRPr="008D6E5C">
        <w:rPr>
          <w:rFonts w:ascii="Cambria" w:hAnsi="Cambria"/>
          <w:sz w:val="20"/>
          <w:szCs w:val="20"/>
        </w:rPr>
        <w:t xml:space="preserve"> </w:t>
      </w:r>
      <w:r w:rsidR="00777AD4" w:rsidRPr="008D6E5C">
        <w:rPr>
          <w:rFonts w:ascii="Cambria" w:hAnsi="Cambria"/>
          <w:sz w:val="20"/>
          <w:szCs w:val="20"/>
        </w:rPr>
        <w:t>the Disciplinary Chamber of the</w:t>
      </w:r>
      <w:r w:rsidRPr="008D6E5C">
        <w:rPr>
          <w:rFonts w:ascii="Cambria" w:hAnsi="Cambria"/>
          <w:sz w:val="20"/>
          <w:szCs w:val="20"/>
        </w:rPr>
        <w:t xml:space="preserve"> Judicial Council </w:t>
      </w:r>
      <w:r w:rsidR="00777AD4" w:rsidRPr="008D6E5C">
        <w:rPr>
          <w:rFonts w:ascii="Cambria" w:hAnsi="Cambria"/>
          <w:sz w:val="20"/>
          <w:szCs w:val="20"/>
        </w:rPr>
        <w:t>c</w:t>
      </w:r>
      <w:r w:rsidR="00774A94" w:rsidRPr="008D6E5C">
        <w:rPr>
          <w:rFonts w:ascii="Cambria" w:hAnsi="Cambria"/>
          <w:sz w:val="20"/>
          <w:szCs w:val="20"/>
        </w:rPr>
        <w:t>iting</w:t>
      </w:r>
      <w:r w:rsidR="00777AD4" w:rsidRPr="008D6E5C">
        <w:rPr>
          <w:rFonts w:ascii="Cambria" w:hAnsi="Cambria"/>
          <w:sz w:val="20"/>
          <w:szCs w:val="20"/>
        </w:rPr>
        <w:t xml:space="preserve"> </w:t>
      </w:r>
      <w:r w:rsidRPr="008D6E5C">
        <w:rPr>
          <w:rFonts w:ascii="Cambria" w:hAnsi="Cambria"/>
          <w:sz w:val="20"/>
          <w:szCs w:val="20"/>
        </w:rPr>
        <w:t xml:space="preserve">irregularities </w:t>
      </w:r>
      <w:r w:rsidR="00AD7C92" w:rsidRPr="008D6E5C">
        <w:rPr>
          <w:rFonts w:ascii="Cambria" w:hAnsi="Cambria"/>
          <w:sz w:val="20"/>
          <w:szCs w:val="20"/>
        </w:rPr>
        <w:t xml:space="preserve">allegedly committed by the judicial </w:t>
      </w:r>
      <w:r w:rsidR="00774A94" w:rsidRPr="008D6E5C">
        <w:rPr>
          <w:rFonts w:ascii="Cambria" w:hAnsi="Cambria"/>
          <w:sz w:val="20"/>
          <w:szCs w:val="20"/>
        </w:rPr>
        <w:t>authorities</w:t>
      </w:r>
      <w:r w:rsidR="00AD7C92" w:rsidRPr="008D6E5C">
        <w:rPr>
          <w:rFonts w:ascii="Cambria" w:hAnsi="Cambria"/>
          <w:sz w:val="20"/>
          <w:szCs w:val="20"/>
        </w:rPr>
        <w:t xml:space="preserve"> who handled the criminal case in </w:t>
      </w:r>
      <w:r w:rsidRPr="008D6E5C">
        <w:rPr>
          <w:rFonts w:ascii="Cambria" w:hAnsi="Cambria"/>
          <w:sz w:val="20"/>
          <w:szCs w:val="20"/>
        </w:rPr>
        <w:t xml:space="preserve">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r w:rsidR="00AD7C92" w:rsidRPr="008D6E5C">
        <w:rPr>
          <w:rFonts w:ascii="Cambria" w:hAnsi="Cambria"/>
          <w:sz w:val="20"/>
          <w:szCs w:val="20"/>
        </w:rPr>
        <w:t>’s</w:t>
      </w:r>
      <w:proofErr w:type="spellEnd"/>
      <w:r w:rsidR="00AD7C92" w:rsidRPr="008D6E5C">
        <w:rPr>
          <w:rFonts w:ascii="Cambria" w:hAnsi="Cambria"/>
          <w:sz w:val="20"/>
          <w:szCs w:val="20"/>
        </w:rPr>
        <w:t xml:space="preserve"> murder</w:t>
      </w:r>
      <w:r w:rsidRPr="008D6E5C">
        <w:rPr>
          <w:rFonts w:ascii="Cambria" w:hAnsi="Cambria"/>
          <w:sz w:val="20"/>
          <w:szCs w:val="20"/>
        </w:rPr>
        <w:t xml:space="preserve"> (</w:t>
      </w:r>
      <w:r w:rsidR="007B076F" w:rsidRPr="008D6E5C">
        <w:rPr>
          <w:rFonts w:ascii="Cambria" w:hAnsi="Cambria"/>
          <w:sz w:val="20"/>
          <w:szCs w:val="20"/>
        </w:rPr>
        <w:t>t</w:t>
      </w:r>
      <w:r w:rsidR="00AD7C92" w:rsidRPr="008D6E5C">
        <w:rPr>
          <w:rFonts w:ascii="Cambria" w:hAnsi="Cambria"/>
          <w:sz w:val="20"/>
          <w:szCs w:val="20"/>
        </w:rPr>
        <w:t>he 22</w:t>
      </w:r>
      <w:r w:rsidR="00AD7C92" w:rsidRPr="008D6E5C">
        <w:rPr>
          <w:rFonts w:ascii="Cambria" w:hAnsi="Cambria"/>
          <w:sz w:val="20"/>
          <w:szCs w:val="20"/>
          <w:vertAlign w:val="superscript"/>
        </w:rPr>
        <w:t>nd</w:t>
      </w:r>
      <w:r w:rsidR="00AD7C92" w:rsidRPr="008D6E5C">
        <w:rPr>
          <w:rFonts w:ascii="Cambria" w:hAnsi="Cambria"/>
          <w:sz w:val="20"/>
          <w:szCs w:val="20"/>
        </w:rPr>
        <w:t xml:space="preserve"> District Prosecutor of </w:t>
      </w:r>
      <w:proofErr w:type="spellStart"/>
      <w:r w:rsidR="00AD7C92" w:rsidRPr="008D6E5C">
        <w:rPr>
          <w:rFonts w:ascii="Cambria" w:hAnsi="Cambria"/>
          <w:sz w:val="20"/>
          <w:szCs w:val="20"/>
        </w:rPr>
        <w:t>Pitalito</w:t>
      </w:r>
      <w:proofErr w:type="spellEnd"/>
      <w:r w:rsidRPr="008D6E5C">
        <w:rPr>
          <w:rFonts w:ascii="Cambria" w:hAnsi="Cambria"/>
          <w:sz w:val="20"/>
          <w:szCs w:val="20"/>
        </w:rPr>
        <w:t xml:space="preserve"> </w:t>
      </w:r>
      <w:r w:rsidR="003C0160" w:rsidRPr="008D6E5C">
        <w:rPr>
          <w:rFonts w:ascii="Cambria" w:hAnsi="Cambria"/>
          <w:sz w:val="20"/>
          <w:szCs w:val="20"/>
        </w:rPr>
        <w:t>and the</w:t>
      </w:r>
      <w:r w:rsidRPr="008D6E5C">
        <w:rPr>
          <w:rFonts w:ascii="Cambria" w:hAnsi="Cambria"/>
          <w:sz w:val="20"/>
          <w:szCs w:val="20"/>
        </w:rPr>
        <w:t xml:space="preserve"> </w:t>
      </w:r>
      <w:r w:rsidR="003C0160" w:rsidRPr="008D6E5C">
        <w:rPr>
          <w:rFonts w:ascii="Cambria" w:hAnsi="Cambria"/>
          <w:sz w:val="20"/>
          <w:szCs w:val="20"/>
        </w:rPr>
        <w:t>Single Criminal Judge of the Specialized Circuit of Neiva</w:t>
      </w:r>
      <w:r w:rsidRPr="008D6E5C">
        <w:rPr>
          <w:rFonts w:ascii="Cambria" w:hAnsi="Cambria"/>
          <w:sz w:val="20"/>
          <w:szCs w:val="20"/>
        </w:rPr>
        <w:t xml:space="preserve">). </w:t>
      </w:r>
      <w:r w:rsidR="00AD7C92" w:rsidRPr="008D6E5C">
        <w:rPr>
          <w:rFonts w:ascii="Cambria" w:hAnsi="Cambria"/>
          <w:sz w:val="20"/>
          <w:szCs w:val="20"/>
        </w:rPr>
        <w:t>These alleged</w:t>
      </w:r>
      <w:r w:rsidRPr="008D6E5C">
        <w:rPr>
          <w:rFonts w:ascii="Cambria" w:hAnsi="Cambria"/>
          <w:sz w:val="20"/>
          <w:szCs w:val="20"/>
        </w:rPr>
        <w:t xml:space="preserve"> irregularities </w:t>
      </w:r>
      <w:r w:rsidR="00AD7C92" w:rsidRPr="008D6E5C">
        <w:rPr>
          <w:rFonts w:ascii="Cambria" w:hAnsi="Cambria"/>
          <w:sz w:val="20"/>
          <w:szCs w:val="20"/>
        </w:rPr>
        <w:t xml:space="preserve">included </w:t>
      </w:r>
      <w:r w:rsidR="00774A94" w:rsidRPr="008D6E5C">
        <w:rPr>
          <w:rFonts w:ascii="Cambria" w:hAnsi="Cambria"/>
          <w:sz w:val="20"/>
          <w:szCs w:val="20"/>
        </w:rPr>
        <w:t>failing</w:t>
      </w:r>
      <w:r w:rsidR="00AD7C92" w:rsidRPr="008D6E5C">
        <w:rPr>
          <w:rFonts w:ascii="Cambria" w:hAnsi="Cambria"/>
          <w:sz w:val="20"/>
          <w:szCs w:val="20"/>
        </w:rPr>
        <w:t xml:space="preserve"> to take necessary measures to preserve evidence at the crime scene; </w:t>
      </w:r>
      <w:r w:rsidR="00774A94" w:rsidRPr="008D6E5C">
        <w:rPr>
          <w:rFonts w:ascii="Cambria" w:hAnsi="Cambria"/>
          <w:sz w:val="20"/>
          <w:szCs w:val="20"/>
        </w:rPr>
        <w:t>refusing</w:t>
      </w:r>
      <w:r w:rsidR="00AD7C92" w:rsidRPr="008D6E5C">
        <w:rPr>
          <w:rFonts w:ascii="Cambria" w:hAnsi="Cambria"/>
          <w:sz w:val="20"/>
          <w:szCs w:val="20"/>
        </w:rPr>
        <w:t xml:space="preserve"> to provide protection to some witnesses who did not want to testify out of fear; </w:t>
      </w:r>
      <w:r w:rsidR="00774A94" w:rsidRPr="008D6E5C">
        <w:rPr>
          <w:rFonts w:ascii="Cambria" w:hAnsi="Cambria"/>
          <w:sz w:val="20"/>
          <w:szCs w:val="20"/>
        </w:rPr>
        <w:t>not taking</w:t>
      </w:r>
      <w:r w:rsidR="00AD7C92" w:rsidRPr="008D6E5C">
        <w:rPr>
          <w:rFonts w:ascii="Cambria" w:hAnsi="Cambria"/>
          <w:sz w:val="20"/>
          <w:szCs w:val="20"/>
        </w:rPr>
        <w:t xml:space="preserve"> statements from </w:t>
      </w:r>
      <w:r w:rsidR="00AD7C92" w:rsidRPr="008D6E5C">
        <w:rPr>
          <w:rFonts w:ascii="Cambria" w:hAnsi="Cambria"/>
          <w:sz w:val="20"/>
          <w:szCs w:val="20"/>
        </w:rPr>
        <w:lastRenderedPageBreak/>
        <w:t xml:space="preserve">individuals who had knowledge of the events; </w:t>
      </w:r>
      <w:r w:rsidR="00774A94" w:rsidRPr="008D6E5C">
        <w:rPr>
          <w:rFonts w:ascii="Cambria" w:hAnsi="Cambria"/>
          <w:sz w:val="20"/>
          <w:szCs w:val="20"/>
        </w:rPr>
        <w:t>failing</w:t>
      </w:r>
      <w:r w:rsidR="00AD7C92" w:rsidRPr="008D6E5C">
        <w:rPr>
          <w:rFonts w:ascii="Cambria" w:hAnsi="Cambria"/>
          <w:sz w:val="20"/>
          <w:szCs w:val="20"/>
        </w:rPr>
        <w:t xml:space="preserve"> to examine different theories on the motive</w:t>
      </w:r>
      <w:r w:rsidR="00774A94" w:rsidRPr="008D6E5C">
        <w:rPr>
          <w:rFonts w:ascii="Cambria" w:hAnsi="Cambria"/>
          <w:sz w:val="20"/>
          <w:szCs w:val="20"/>
        </w:rPr>
        <w:t>s for the crime, and allowing a breach of</w:t>
      </w:r>
      <w:r w:rsidR="00AD7C92" w:rsidRPr="008D6E5C">
        <w:rPr>
          <w:rFonts w:ascii="Cambria" w:hAnsi="Cambria"/>
          <w:sz w:val="20"/>
          <w:szCs w:val="20"/>
        </w:rPr>
        <w:t xml:space="preserve"> confidentiality by the attorneys involved in the</w:t>
      </w:r>
      <w:r w:rsidRPr="008D6E5C">
        <w:rPr>
          <w:rFonts w:ascii="Cambria" w:hAnsi="Cambria"/>
          <w:sz w:val="20"/>
          <w:szCs w:val="20"/>
        </w:rPr>
        <w:t xml:space="preserve"> investigation.</w:t>
      </w:r>
      <w:r w:rsidRPr="008D6E5C">
        <w:rPr>
          <w:rStyle w:val="FootnoteReference"/>
          <w:rFonts w:ascii="Cambria" w:hAnsi="Cambria"/>
          <w:sz w:val="20"/>
          <w:szCs w:val="20"/>
        </w:rPr>
        <w:footnoteReference w:id="90"/>
      </w:r>
      <w:r w:rsidRPr="008D6E5C">
        <w:rPr>
          <w:rFonts w:ascii="Cambria" w:hAnsi="Cambria"/>
          <w:sz w:val="20"/>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On December 7, 2007 the Huila District</w:t>
      </w:r>
      <w:r w:rsidR="007B076F" w:rsidRPr="008D6E5C">
        <w:rPr>
          <w:rFonts w:ascii="Cambria" w:hAnsi="Cambria"/>
          <w:sz w:val="20"/>
          <w:szCs w:val="20"/>
        </w:rPr>
        <w:t xml:space="preserve"> Office of the Judicial Council issued an order stating that the disciplinary action against t</w:t>
      </w:r>
      <w:r w:rsidR="00AD7C92" w:rsidRPr="008D6E5C">
        <w:rPr>
          <w:rFonts w:ascii="Cambria" w:hAnsi="Cambria"/>
          <w:sz w:val="20"/>
          <w:szCs w:val="20"/>
        </w:rPr>
        <w:t>he 22</w:t>
      </w:r>
      <w:r w:rsidR="00AD7C92" w:rsidRPr="008D6E5C">
        <w:rPr>
          <w:rFonts w:ascii="Cambria" w:hAnsi="Cambria"/>
          <w:sz w:val="20"/>
          <w:szCs w:val="20"/>
          <w:vertAlign w:val="superscript"/>
        </w:rPr>
        <w:t>nd</w:t>
      </w:r>
      <w:r w:rsidR="00AD7C92" w:rsidRPr="008D6E5C">
        <w:rPr>
          <w:rFonts w:ascii="Cambria" w:hAnsi="Cambria"/>
          <w:sz w:val="20"/>
          <w:szCs w:val="20"/>
        </w:rPr>
        <w:t xml:space="preserve"> District Prosecutor of </w:t>
      </w:r>
      <w:proofErr w:type="spellStart"/>
      <w:r w:rsidR="00AD7C92" w:rsidRPr="008D6E5C">
        <w:rPr>
          <w:rFonts w:ascii="Cambria" w:hAnsi="Cambria"/>
          <w:sz w:val="20"/>
          <w:szCs w:val="20"/>
        </w:rPr>
        <w:t>Pitalito</w:t>
      </w:r>
      <w:proofErr w:type="spellEnd"/>
      <w:r w:rsidRPr="008D6E5C">
        <w:rPr>
          <w:rFonts w:ascii="Cambria" w:hAnsi="Cambria"/>
          <w:sz w:val="20"/>
          <w:szCs w:val="20"/>
        </w:rPr>
        <w:t xml:space="preserve"> </w:t>
      </w:r>
      <w:r w:rsidR="00AD7C92" w:rsidRPr="008D6E5C">
        <w:rPr>
          <w:rFonts w:ascii="Cambria" w:hAnsi="Cambria"/>
          <w:sz w:val="20"/>
          <w:szCs w:val="20"/>
        </w:rPr>
        <w:t xml:space="preserve">and the </w:t>
      </w:r>
      <w:r w:rsidR="003C0160" w:rsidRPr="008D6E5C">
        <w:rPr>
          <w:rFonts w:ascii="Cambria" w:hAnsi="Cambria"/>
          <w:sz w:val="20"/>
          <w:szCs w:val="20"/>
        </w:rPr>
        <w:t>Single Criminal Judge of the Specialized Circuit of Neiva</w:t>
      </w:r>
      <w:r w:rsidR="007B076F" w:rsidRPr="008D6E5C">
        <w:rPr>
          <w:rFonts w:ascii="Cambria" w:hAnsi="Cambria"/>
          <w:sz w:val="20"/>
          <w:szCs w:val="20"/>
        </w:rPr>
        <w:t xml:space="preserve"> for the alleged</w:t>
      </w:r>
      <w:r w:rsidRPr="008D6E5C">
        <w:rPr>
          <w:rFonts w:ascii="Cambria" w:hAnsi="Cambria"/>
          <w:sz w:val="20"/>
          <w:szCs w:val="20"/>
        </w:rPr>
        <w:t xml:space="preserve"> irregularities</w:t>
      </w:r>
      <w:r w:rsidR="007B076F" w:rsidRPr="008D6E5C">
        <w:rPr>
          <w:rFonts w:ascii="Cambria" w:hAnsi="Cambria"/>
          <w:sz w:val="20"/>
          <w:szCs w:val="20"/>
        </w:rPr>
        <w:t xml:space="preserve"> was barred by statute of limitations</w:t>
      </w:r>
      <w:r w:rsidRPr="008D6E5C">
        <w:rPr>
          <w:rFonts w:ascii="Cambria" w:hAnsi="Cambria"/>
          <w:sz w:val="20"/>
          <w:szCs w:val="20"/>
        </w:rPr>
        <w:t xml:space="preserve">. </w:t>
      </w:r>
      <w:r w:rsidR="007B076F" w:rsidRPr="008D6E5C">
        <w:rPr>
          <w:rFonts w:ascii="Cambria" w:hAnsi="Cambria"/>
          <w:sz w:val="20"/>
          <w:szCs w:val="20"/>
        </w:rPr>
        <w:t>It</w:t>
      </w:r>
      <w:r w:rsidRPr="008D6E5C">
        <w:rPr>
          <w:rFonts w:ascii="Cambria" w:hAnsi="Cambria"/>
          <w:sz w:val="20"/>
          <w:szCs w:val="20"/>
        </w:rPr>
        <w:t xml:space="preserve"> </w:t>
      </w:r>
      <w:r w:rsidR="00550C16" w:rsidRPr="008D6E5C">
        <w:rPr>
          <w:rFonts w:ascii="Cambria" w:hAnsi="Cambria"/>
          <w:sz w:val="20"/>
          <w:szCs w:val="20"/>
        </w:rPr>
        <w:t>stated</w:t>
      </w:r>
      <w:r w:rsidRPr="008D6E5C">
        <w:rPr>
          <w:rFonts w:ascii="Cambria" w:hAnsi="Cambria"/>
          <w:sz w:val="20"/>
          <w:szCs w:val="20"/>
        </w:rPr>
        <w:t xml:space="preserve"> that </w:t>
      </w:r>
      <w:r w:rsidR="00550C16" w:rsidRPr="008D6E5C">
        <w:rPr>
          <w:rFonts w:ascii="Cambria" w:hAnsi="Cambria"/>
          <w:sz w:val="20"/>
          <w:szCs w:val="20"/>
        </w:rPr>
        <w:t xml:space="preserve">more than five years had elapsed </w:t>
      </w:r>
      <w:r w:rsidR="007B076F" w:rsidRPr="008D6E5C">
        <w:rPr>
          <w:rFonts w:ascii="Cambria" w:hAnsi="Cambria"/>
          <w:sz w:val="20"/>
          <w:szCs w:val="20"/>
        </w:rPr>
        <w:t xml:space="preserve">from the time the trial court’s decision </w:t>
      </w:r>
      <w:r w:rsidR="00550C16" w:rsidRPr="008D6E5C">
        <w:rPr>
          <w:rFonts w:ascii="Cambria" w:hAnsi="Cambria"/>
          <w:sz w:val="20"/>
          <w:szCs w:val="20"/>
        </w:rPr>
        <w:t>had beco</w:t>
      </w:r>
      <w:r w:rsidR="007B076F" w:rsidRPr="008D6E5C">
        <w:rPr>
          <w:rFonts w:ascii="Cambria" w:hAnsi="Cambria"/>
          <w:sz w:val="20"/>
          <w:szCs w:val="20"/>
        </w:rPr>
        <w:t>me final</w:t>
      </w:r>
      <w:r w:rsidRPr="008D6E5C">
        <w:rPr>
          <w:rFonts w:ascii="Cambria" w:hAnsi="Cambria"/>
          <w:sz w:val="20"/>
          <w:szCs w:val="20"/>
        </w:rPr>
        <w:t xml:space="preserve">, </w:t>
      </w:r>
      <w:r w:rsidR="00550C16" w:rsidRPr="008D6E5C">
        <w:rPr>
          <w:rFonts w:ascii="Cambria" w:hAnsi="Cambria"/>
          <w:sz w:val="20"/>
          <w:szCs w:val="20"/>
        </w:rPr>
        <w:t>and therefore the disciplinary action wa</w:t>
      </w:r>
      <w:r w:rsidR="007B076F" w:rsidRPr="008D6E5C">
        <w:rPr>
          <w:rFonts w:ascii="Cambria" w:hAnsi="Cambria"/>
          <w:sz w:val="20"/>
          <w:szCs w:val="20"/>
        </w:rPr>
        <w:t xml:space="preserve">s time-barred </w:t>
      </w:r>
      <w:r w:rsidR="0040707C" w:rsidRPr="008D6E5C">
        <w:rPr>
          <w:rFonts w:ascii="Cambria" w:hAnsi="Cambria"/>
          <w:sz w:val="20"/>
          <w:szCs w:val="20"/>
        </w:rPr>
        <w:t>pursuant to</w:t>
      </w:r>
      <w:r w:rsidRPr="008D6E5C">
        <w:rPr>
          <w:rFonts w:ascii="Cambria" w:hAnsi="Cambria"/>
          <w:sz w:val="20"/>
          <w:szCs w:val="20"/>
        </w:rPr>
        <w:t xml:space="preserve"> Article 34 </w:t>
      </w:r>
      <w:r w:rsidR="0040707C" w:rsidRPr="008D6E5C">
        <w:rPr>
          <w:rFonts w:ascii="Cambria" w:hAnsi="Cambria"/>
          <w:sz w:val="20"/>
          <w:szCs w:val="20"/>
        </w:rPr>
        <w:t>of Law</w:t>
      </w:r>
      <w:r w:rsidRPr="008D6E5C">
        <w:rPr>
          <w:rFonts w:ascii="Cambria" w:hAnsi="Cambria"/>
          <w:sz w:val="20"/>
          <w:szCs w:val="20"/>
        </w:rPr>
        <w:t xml:space="preserve"> 200 </w:t>
      </w:r>
      <w:r w:rsidR="0040707C" w:rsidRPr="008D6E5C">
        <w:rPr>
          <w:rFonts w:ascii="Cambria" w:hAnsi="Cambria"/>
          <w:sz w:val="20"/>
          <w:szCs w:val="20"/>
        </w:rPr>
        <w:t>of</w:t>
      </w:r>
      <w:r w:rsidRPr="008D6E5C">
        <w:rPr>
          <w:rFonts w:ascii="Cambria" w:hAnsi="Cambria"/>
          <w:sz w:val="20"/>
          <w:szCs w:val="20"/>
        </w:rPr>
        <w:t xml:space="preserve"> 1995</w:t>
      </w:r>
      <w:r w:rsidR="0040707C" w:rsidRPr="008D6E5C">
        <w:rPr>
          <w:rFonts w:ascii="Cambria" w:hAnsi="Cambria"/>
          <w:sz w:val="20"/>
          <w:szCs w:val="20"/>
        </w:rPr>
        <w:t>.</w:t>
      </w:r>
      <w:r w:rsidRPr="008D6E5C">
        <w:rPr>
          <w:rStyle w:val="FootnoteReference"/>
          <w:rFonts w:ascii="Cambria" w:hAnsi="Cambria"/>
          <w:sz w:val="20"/>
          <w:szCs w:val="20"/>
        </w:rPr>
        <w:footnoteReference w:id="91"/>
      </w:r>
    </w:p>
    <w:p w:rsidR="00C0575F" w:rsidRPr="008D6E5C" w:rsidRDefault="00C0575F" w:rsidP="001520DB">
      <w:pPr>
        <w:pStyle w:val="ListParagraph"/>
        <w:ind w:left="0"/>
        <w:jc w:val="both"/>
        <w:rPr>
          <w:sz w:val="20"/>
          <w:szCs w:val="20"/>
        </w:rPr>
      </w:pPr>
    </w:p>
    <w:p w:rsidR="00C0575F" w:rsidRPr="008D6E5C" w:rsidRDefault="0040707C" w:rsidP="001520DB">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szCs w:val="20"/>
        </w:rPr>
      </w:pPr>
      <w:bookmarkStart w:id="30" w:name="_Toc412478086"/>
      <w:bookmarkStart w:id="31" w:name="_Toc412536246"/>
      <w:bookmarkStart w:id="32" w:name="_Toc412539541"/>
      <w:bookmarkStart w:id="33" w:name="_Toc416880387"/>
      <w:r w:rsidRPr="008D6E5C">
        <w:rPr>
          <w:szCs w:val="20"/>
        </w:rPr>
        <w:t>Threats to</w:t>
      </w:r>
      <w:r w:rsidR="00C0575F" w:rsidRPr="008D6E5C">
        <w:rPr>
          <w:szCs w:val="20"/>
        </w:rPr>
        <w:t xml:space="preserve"> Nelson </w:t>
      </w:r>
      <w:proofErr w:type="spellStart"/>
      <w:r w:rsidR="00C0575F" w:rsidRPr="008D6E5C">
        <w:rPr>
          <w:szCs w:val="20"/>
        </w:rPr>
        <w:t>Carvajal</w:t>
      </w:r>
      <w:proofErr w:type="spellEnd"/>
      <w:r w:rsidR="00C0575F" w:rsidRPr="008D6E5C">
        <w:rPr>
          <w:szCs w:val="20"/>
        </w:rPr>
        <w:t xml:space="preserve"> </w:t>
      </w:r>
      <w:proofErr w:type="spellStart"/>
      <w:r w:rsidR="00C0575F" w:rsidRPr="008D6E5C">
        <w:rPr>
          <w:szCs w:val="20"/>
        </w:rPr>
        <w:t>Carvajal’s</w:t>
      </w:r>
      <w:proofErr w:type="spellEnd"/>
      <w:r w:rsidR="00C0575F" w:rsidRPr="008D6E5C">
        <w:rPr>
          <w:szCs w:val="20"/>
        </w:rPr>
        <w:t xml:space="preserve"> relatives </w:t>
      </w:r>
      <w:bookmarkEnd w:id="30"/>
      <w:bookmarkEnd w:id="31"/>
      <w:bookmarkEnd w:id="32"/>
      <w:r w:rsidRPr="008D6E5C">
        <w:rPr>
          <w:szCs w:val="20"/>
        </w:rPr>
        <w:t>and witnesses in the case</w:t>
      </w:r>
      <w:bookmarkEnd w:id="33"/>
    </w:p>
    <w:p w:rsidR="00C0575F" w:rsidRPr="008D6E5C" w:rsidRDefault="00C0575F" w:rsidP="001520DB">
      <w:pPr>
        <w:pStyle w:val="ListParagraph"/>
        <w:ind w:left="0" w:firstLine="720"/>
        <w:jc w:val="both"/>
        <w:rPr>
          <w:b/>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investigation </w:t>
      </w:r>
      <w:r w:rsidR="0052151F" w:rsidRPr="008D6E5C">
        <w:rPr>
          <w:rFonts w:ascii="Cambria" w:hAnsi="Cambria"/>
          <w:sz w:val="20"/>
          <w:szCs w:val="20"/>
        </w:rPr>
        <w:t xml:space="preserve">and criminal proceedings following the journalist’s murder were marked by a climate of fear among the residents of </w:t>
      </w:r>
      <w:proofErr w:type="spellStart"/>
      <w:r w:rsidRPr="008D6E5C">
        <w:rPr>
          <w:rFonts w:ascii="Cambria" w:hAnsi="Cambria"/>
          <w:sz w:val="20"/>
          <w:szCs w:val="20"/>
        </w:rPr>
        <w:t>Pitalito</w:t>
      </w:r>
      <w:proofErr w:type="spellEnd"/>
      <w:r w:rsidRPr="008D6E5C">
        <w:rPr>
          <w:rFonts w:ascii="Cambria" w:hAnsi="Cambria"/>
          <w:sz w:val="20"/>
          <w:szCs w:val="20"/>
        </w:rPr>
        <w:t xml:space="preserve"> </w:t>
      </w:r>
      <w:r w:rsidR="0052151F" w:rsidRPr="008D6E5C">
        <w:rPr>
          <w:rFonts w:ascii="Cambria" w:hAnsi="Cambria"/>
          <w:sz w:val="20"/>
          <w:szCs w:val="20"/>
        </w:rPr>
        <w:t>and</w:t>
      </w:r>
      <w:r w:rsidRPr="008D6E5C">
        <w:rPr>
          <w:rFonts w:ascii="Cambria" w:hAnsi="Cambria"/>
          <w:sz w:val="20"/>
          <w:szCs w:val="20"/>
        </w:rPr>
        <w:t xml:space="preserve"> </w:t>
      </w:r>
      <w:r w:rsidR="0052151F" w:rsidRPr="008D6E5C">
        <w:rPr>
          <w:rFonts w:ascii="Cambria" w:hAnsi="Cambria"/>
          <w:sz w:val="20"/>
          <w:szCs w:val="20"/>
        </w:rPr>
        <w:t xml:space="preserve">by </w:t>
      </w:r>
      <w:r w:rsidR="00EF5F24" w:rsidRPr="008D6E5C">
        <w:rPr>
          <w:rFonts w:ascii="Cambria" w:hAnsi="Cambria"/>
          <w:sz w:val="20"/>
          <w:szCs w:val="20"/>
        </w:rPr>
        <w:t>threats and acts of intimidation</w:t>
      </w:r>
      <w:r w:rsidR="0052151F" w:rsidRPr="008D6E5C">
        <w:rPr>
          <w:rFonts w:ascii="Cambria" w:hAnsi="Cambria"/>
          <w:sz w:val="20"/>
          <w:szCs w:val="20"/>
        </w:rPr>
        <w:t xml:space="preserve"> directed at </w:t>
      </w:r>
      <w:r w:rsidRPr="008D6E5C">
        <w:rPr>
          <w:rFonts w:ascii="Cambria" w:hAnsi="Cambria"/>
          <w:sz w:val="20"/>
          <w:szCs w:val="20"/>
        </w:rPr>
        <w:t>relatives of Ne</w:t>
      </w:r>
      <w:r w:rsidR="00F5171B" w:rsidRPr="008D6E5C">
        <w:rPr>
          <w:rFonts w:ascii="Cambria" w:hAnsi="Cambria"/>
          <w:sz w:val="20"/>
          <w:szCs w:val="20"/>
        </w:rPr>
        <w:t xml:space="preserve">lson </w:t>
      </w:r>
      <w:proofErr w:type="spellStart"/>
      <w:r w:rsidR="00F5171B" w:rsidRPr="008D6E5C">
        <w:rPr>
          <w:rFonts w:ascii="Cambria" w:hAnsi="Cambria"/>
          <w:sz w:val="20"/>
          <w:szCs w:val="20"/>
        </w:rPr>
        <w:t>Carvajal</w:t>
      </w:r>
      <w:proofErr w:type="spellEnd"/>
      <w:r w:rsidR="00F5171B" w:rsidRPr="008D6E5C">
        <w:rPr>
          <w:rFonts w:ascii="Cambria" w:hAnsi="Cambria"/>
          <w:sz w:val="20"/>
          <w:szCs w:val="20"/>
        </w:rPr>
        <w:t xml:space="preserve"> </w:t>
      </w:r>
      <w:proofErr w:type="spellStart"/>
      <w:r w:rsidR="00F5171B" w:rsidRPr="008D6E5C">
        <w:rPr>
          <w:rFonts w:ascii="Cambria" w:hAnsi="Cambria"/>
          <w:sz w:val="20"/>
          <w:szCs w:val="20"/>
        </w:rPr>
        <w:t>Carvajal</w:t>
      </w:r>
      <w:proofErr w:type="spellEnd"/>
      <w:r w:rsidR="00F5171B" w:rsidRPr="008D6E5C">
        <w:rPr>
          <w:rFonts w:ascii="Cambria" w:hAnsi="Cambria"/>
          <w:sz w:val="20"/>
          <w:szCs w:val="20"/>
        </w:rPr>
        <w:t xml:space="preserve"> and</w:t>
      </w:r>
      <w:r w:rsidRPr="008D6E5C">
        <w:rPr>
          <w:rFonts w:ascii="Cambria" w:hAnsi="Cambria"/>
          <w:sz w:val="20"/>
          <w:szCs w:val="20"/>
        </w:rPr>
        <w:t xml:space="preserve"> </w:t>
      </w:r>
      <w:r w:rsidR="00936B2E" w:rsidRPr="008D6E5C">
        <w:rPr>
          <w:rFonts w:ascii="Cambria" w:hAnsi="Cambria"/>
          <w:sz w:val="20"/>
          <w:szCs w:val="20"/>
        </w:rPr>
        <w:t>witnesses</w:t>
      </w:r>
      <w:r w:rsidRPr="008D6E5C">
        <w:rPr>
          <w:rFonts w:ascii="Cambria" w:hAnsi="Cambria"/>
          <w:sz w:val="20"/>
          <w:szCs w:val="20"/>
        </w:rPr>
        <w:t>.</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936B2E" w:rsidRPr="008D6E5C">
        <w:rPr>
          <w:rFonts w:ascii="Cambria" w:hAnsi="Cambria"/>
          <w:sz w:val="20"/>
          <w:szCs w:val="20"/>
        </w:rPr>
        <w:t>stated that</w:t>
      </w:r>
      <w:r w:rsidR="00A0001F" w:rsidRPr="008D6E5C">
        <w:rPr>
          <w:rFonts w:ascii="Cambria" w:hAnsi="Cambria"/>
          <w:sz w:val="20"/>
          <w:szCs w:val="20"/>
        </w:rPr>
        <w:t xml:space="preserve"> just</w:t>
      </w:r>
      <w:r w:rsidR="00936B2E" w:rsidRPr="008D6E5C">
        <w:rPr>
          <w:rFonts w:ascii="Cambria" w:hAnsi="Cambria"/>
          <w:sz w:val="20"/>
          <w:szCs w:val="20"/>
        </w:rPr>
        <w:t xml:space="preserve"> days after</w:t>
      </w:r>
      <w:r w:rsidRPr="008D6E5C">
        <w:rPr>
          <w:rFonts w:ascii="Cambria" w:hAnsi="Cambria"/>
          <w:sz w:val="20"/>
          <w:szCs w:val="20"/>
        </w:rPr>
        <w:t xml:space="preserve"> Nelson </w:t>
      </w:r>
      <w:proofErr w:type="spellStart"/>
      <w:r w:rsidRPr="008D6E5C">
        <w:rPr>
          <w:rFonts w:ascii="Cambria" w:hAnsi="Cambria"/>
          <w:sz w:val="20"/>
          <w:szCs w:val="20"/>
        </w:rPr>
        <w:t>Carvajal</w:t>
      </w:r>
      <w:r w:rsidR="00936B2E" w:rsidRPr="008D6E5C">
        <w:rPr>
          <w:rFonts w:ascii="Cambria" w:hAnsi="Cambria"/>
          <w:sz w:val="20"/>
          <w:szCs w:val="20"/>
        </w:rPr>
        <w:t>’s</w:t>
      </w:r>
      <w:proofErr w:type="spellEnd"/>
      <w:r w:rsidR="00936B2E" w:rsidRPr="008D6E5C">
        <w:rPr>
          <w:rFonts w:ascii="Cambria" w:hAnsi="Cambria"/>
          <w:sz w:val="20"/>
          <w:szCs w:val="20"/>
        </w:rPr>
        <w:t xml:space="preserve"> death</w:t>
      </w:r>
      <w:r w:rsidRPr="008D6E5C">
        <w:rPr>
          <w:rFonts w:ascii="Cambria" w:hAnsi="Cambria"/>
          <w:sz w:val="20"/>
          <w:szCs w:val="20"/>
        </w:rPr>
        <w:t xml:space="preserve">, </w:t>
      </w:r>
      <w:r w:rsidR="00936B2E" w:rsidRPr="008D6E5C">
        <w:rPr>
          <w:rFonts w:ascii="Cambria" w:hAnsi="Cambria"/>
          <w:sz w:val="20"/>
          <w:szCs w:val="20"/>
        </w:rPr>
        <w:t xml:space="preserve">she received a call at her </w:t>
      </w:r>
      <w:r w:rsidR="0068182A" w:rsidRPr="008D6E5C">
        <w:rPr>
          <w:rFonts w:ascii="Cambria" w:hAnsi="Cambria"/>
          <w:sz w:val="20"/>
          <w:szCs w:val="20"/>
        </w:rPr>
        <w:t>ho</w:t>
      </w:r>
      <w:r w:rsidR="00936B2E" w:rsidRPr="008D6E5C">
        <w:rPr>
          <w:rFonts w:ascii="Cambria" w:hAnsi="Cambria"/>
          <w:sz w:val="20"/>
          <w:szCs w:val="20"/>
        </w:rPr>
        <w:t>m</w:t>
      </w:r>
      <w:r w:rsidR="0068182A" w:rsidRPr="008D6E5C">
        <w:rPr>
          <w:rFonts w:ascii="Cambria" w:hAnsi="Cambria"/>
          <w:sz w:val="20"/>
          <w:szCs w:val="20"/>
        </w:rPr>
        <w:t>e</w:t>
      </w:r>
      <w:r w:rsidR="00936B2E" w:rsidRPr="008D6E5C">
        <w:rPr>
          <w:rFonts w:ascii="Cambria" w:hAnsi="Cambria"/>
          <w:sz w:val="20"/>
          <w:szCs w:val="20"/>
        </w:rPr>
        <w:t xml:space="preserve"> </w:t>
      </w:r>
      <w:r w:rsidR="00A0001F" w:rsidRPr="008D6E5C">
        <w:rPr>
          <w:rFonts w:ascii="Cambria" w:hAnsi="Cambria"/>
          <w:sz w:val="20"/>
          <w:szCs w:val="20"/>
        </w:rPr>
        <w:t xml:space="preserve">in </w:t>
      </w:r>
      <w:proofErr w:type="spellStart"/>
      <w:r w:rsidR="00A0001F" w:rsidRPr="008D6E5C">
        <w:rPr>
          <w:rFonts w:ascii="Cambria" w:hAnsi="Cambria"/>
          <w:sz w:val="20"/>
          <w:szCs w:val="20"/>
        </w:rPr>
        <w:t>Pitalito</w:t>
      </w:r>
      <w:proofErr w:type="spellEnd"/>
      <w:r w:rsidR="00A0001F" w:rsidRPr="008D6E5C">
        <w:rPr>
          <w:rFonts w:ascii="Cambria" w:hAnsi="Cambria"/>
          <w:sz w:val="20"/>
          <w:szCs w:val="20"/>
        </w:rPr>
        <w:t xml:space="preserve"> from someone who threatened her and warned that if she kept messing with</w:t>
      </w:r>
      <w:r w:rsidRPr="008D6E5C">
        <w:rPr>
          <w:rFonts w:ascii="Cambria" w:hAnsi="Cambria"/>
          <w:sz w:val="20"/>
          <w:szCs w:val="20"/>
        </w:rPr>
        <w:t xml:space="preserve"> “</w:t>
      </w:r>
      <w:r w:rsidR="00A0001F" w:rsidRPr="008D6E5C">
        <w:rPr>
          <w:rFonts w:ascii="Cambria" w:hAnsi="Cambria"/>
          <w:sz w:val="20"/>
          <w:szCs w:val="20"/>
        </w:rPr>
        <w:t>them</w:t>
      </w:r>
      <w:r w:rsidRPr="008D6E5C">
        <w:rPr>
          <w:rFonts w:ascii="Cambria" w:hAnsi="Cambria"/>
          <w:sz w:val="20"/>
          <w:szCs w:val="20"/>
        </w:rPr>
        <w:t xml:space="preserve">” </w:t>
      </w:r>
      <w:r w:rsidR="00A0001F" w:rsidRPr="008D6E5C">
        <w:rPr>
          <w:rFonts w:ascii="Cambria" w:hAnsi="Cambria"/>
          <w:sz w:val="20"/>
          <w:szCs w:val="20"/>
        </w:rPr>
        <w:t xml:space="preserve">she would end up like her brother. </w:t>
      </w:r>
      <w:r w:rsidRPr="008D6E5C">
        <w:rPr>
          <w:rFonts w:ascii="Cambria" w:hAnsi="Cambria"/>
          <w:sz w:val="20"/>
          <w:szCs w:val="20"/>
        </w:rPr>
        <w:t xml:space="preserve">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A0001F" w:rsidRPr="008D6E5C">
        <w:rPr>
          <w:rFonts w:ascii="Cambria" w:hAnsi="Cambria"/>
          <w:sz w:val="20"/>
          <w:szCs w:val="20"/>
        </w:rPr>
        <w:t>attributed the call to</w:t>
      </w:r>
      <w:r w:rsidRPr="008D6E5C">
        <w:rPr>
          <w:rFonts w:ascii="Cambria" w:hAnsi="Cambria"/>
          <w:sz w:val="20"/>
          <w:szCs w:val="20"/>
        </w:rPr>
        <w:t xml:space="preserve"> </w:t>
      </w:r>
      <w:r w:rsidR="0068182A" w:rsidRPr="008D6E5C">
        <w:rPr>
          <w:rFonts w:ascii="Cambria" w:hAnsi="Cambria"/>
          <w:sz w:val="20"/>
          <w:szCs w:val="20"/>
        </w:rPr>
        <w:t xml:space="preserve">the then-mayor of </w:t>
      </w:r>
      <w:proofErr w:type="spellStart"/>
      <w:r w:rsidR="0068182A" w:rsidRPr="008D6E5C">
        <w:rPr>
          <w:rFonts w:ascii="Cambria" w:hAnsi="Cambria"/>
          <w:sz w:val="20"/>
          <w:szCs w:val="20"/>
        </w:rPr>
        <w:t>Pitalito</w:t>
      </w:r>
      <w:proofErr w:type="spellEnd"/>
      <w:r w:rsidRPr="008D6E5C">
        <w:rPr>
          <w:rFonts w:ascii="Cambria" w:hAnsi="Cambria"/>
          <w:sz w:val="20"/>
          <w:szCs w:val="20"/>
        </w:rPr>
        <w:t xml:space="preserve">, </w:t>
      </w:r>
      <w:r w:rsidR="00A0001F" w:rsidRPr="008D6E5C">
        <w:rPr>
          <w:rFonts w:ascii="Cambria" w:hAnsi="Cambria"/>
          <w:sz w:val="20"/>
          <w:szCs w:val="20"/>
        </w:rPr>
        <w:t>as she was familiar with the</w:t>
      </w:r>
      <w:r w:rsidRPr="008D6E5C">
        <w:rPr>
          <w:rFonts w:ascii="Cambria" w:hAnsi="Cambria"/>
          <w:sz w:val="20"/>
          <w:szCs w:val="20"/>
        </w:rPr>
        <w:t xml:space="preserve"> “</w:t>
      </w:r>
      <w:r w:rsidR="00A0001F" w:rsidRPr="008D6E5C">
        <w:rPr>
          <w:rFonts w:ascii="Cambria" w:hAnsi="Cambria"/>
          <w:sz w:val="20"/>
          <w:szCs w:val="20"/>
        </w:rPr>
        <w:t xml:space="preserve">tone of his </w:t>
      </w:r>
      <w:r w:rsidR="00AF128C" w:rsidRPr="008D6E5C">
        <w:rPr>
          <w:rFonts w:ascii="Cambria" w:hAnsi="Cambria"/>
          <w:sz w:val="20"/>
          <w:szCs w:val="20"/>
        </w:rPr>
        <w:t xml:space="preserve">voice </w:t>
      </w:r>
      <w:r w:rsidR="00A0001F" w:rsidRPr="008D6E5C">
        <w:rPr>
          <w:rFonts w:ascii="Cambria" w:hAnsi="Cambria"/>
          <w:sz w:val="20"/>
          <w:szCs w:val="20"/>
        </w:rPr>
        <w:t xml:space="preserve">from having received several work-related calls from him.” </w:t>
      </w:r>
      <w:r w:rsidRPr="008D6E5C">
        <w:rPr>
          <w:rFonts w:ascii="Cambria" w:hAnsi="Cambria"/>
          <w:sz w:val="20"/>
          <w:szCs w:val="20"/>
        </w:rPr>
        <w:t xml:space="preserve"> </w:t>
      </w:r>
      <w:r w:rsidR="00A0001F" w:rsidRPr="008D6E5C">
        <w:rPr>
          <w:rFonts w:ascii="Cambria" w:hAnsi="Cambria"/>
          <w:sz w:val="20"/>
          <w:szCs w:val="20"/>
        </w:rPr>
        <w:t>On both occasions,</w:t>
      </w:r>
      <w:r w:rsidRPr="008D6E5C">
        <w:rPr>
          <w:rFonts w:ascii="Cambria" w:hAnsi="Cambria"/>
          <w:sz w:val="20"/>
          <w:szCs w:val="20"/>
        </w:rPr>
        <w:t xml:space="preserve"> Judith </w:t>
      </w:r>
      <w:proofErr w:type="spellStart"/>
      <w:r w:rsidRPr="008D6E5C">
        <w:rPr>
          <w:rFonts w:ascii="Cambria" w:hAnsi="Cambria"/>
          <w:sz w:val="20"/>
          <w:szCs w:val="20"/>
        </w:rPr>
        <w:t>Carvajal</w:t>
      </w:r>
      <w:proofErr w:type="spellEnd"/>
      <w:r w:rsidR="00A0001F" w:rsidRPr="008D6E5C">
        <w:rPr>
          <w:rFonts w:ascii="Cambria" w:hAnsi="Cambria"/>
          <w:sz w:val="20"/>
          <w:szCs w:val="20"/>
        </w:rPr>
        <w:t xml:space="preserve"> also</w:t>
      </w:r>
      <w:r w:rsidRPr="008D6E5C">
        <w:rPr>
          <w:rFonts w:ascii="Cambria" w:hAnsi="Cambria"/>
          <w:sz w:val="20"/>
          <w:szCs w:val="20"/>
        </w:rPr>
        <w:t xml:space="preserve"> </w:t>
      </w:r>
      <w:r w:rsidR="00AF128C" w:rsidRPr="008D6E5C">
        <w:rPr>
          <w:rFonts w:ascii="Cambria" w:hAnsi="Cambria"/>
          <w:sz w:val="20"/>
          <w:szCs w:val="20"/>
        </w:rPr>
        <w:t>stated</w:t>
      </w:r>
      <w:r w:rsidRPr="008D6E5C">
        <w:rPr>
          <w:rFonts w:ascii="Cambria" w:hAnsi="Cambria"/>
          <w:sz w:val="20"/>
          <w:szCs w:val="20"/>
        </w:rPr>
        <w:t xml:space="preserve"> that </w:t>
      </w:r>
      <w:r w:rsidR="00A0001F" w:rsidRPr="008D6E5C">
        <w:rPr>
          <w:rFonts w:ascii="Cambria" w:hAnsi="Cambria"/>
          <w:sz w:val="20"/>
          <w:szCs w:val="20"/>
        </w:rPr>
        <w:t xml:space="preserve">during her brother’s burial service </w:t>
      </w:r>
      <w:r w:rsidRPr="008D6E5C">
        <w:rPr>
          <w:rFonts w:ascii="Cambria" w:hAnsi="Cambria"/>
          <w:sz w:val="20"/>
          <w:szCs w:val="20"/>
        </w:rPr>
        <w:t xml:space="preserve">on April 18, 1998, </w:t>
      </w:r>
      <w:r w:rsidR="00A0001F" w:rsidRPr="008D6E5C">
        <w:rPr>
          <w:rFonts w:ascii="Cambria" w:hAnsi="Cambria"/>
          <w:sz w:val="20"/>
          <w:szCs w:val="20"/>
        </w:rPr>
        <w:t>she gave a speech before the group of people assembled at the</w:t>
      </w:r>
      <w:r w:rsidRPr="008D6E5C">
        <w:rPr>
          <w:rFonts w:ascii="Cambria" w:hAnsi="Cambria"/>
          <w:sz w:val="20"/>
          <w:szCs w:val="20"/>
        </w:rPr>
        <w:t xml:space="preserve"> San Antonio </w:t>
      </w:r>
      <w:proofErr w:type="spellStart"/>
      <w:r w:rsidRPr="008D6E5C">
        <w:rPr>
          <w:rFonts w:ascii="Cambria" w:hAnsi="Cambria"/>
          <w:sz w:val="20"/>
          <w:szCs w:val="20"/>
        </w:rPr>
        <w:t>Pitalito</w:t>
      </w:r>
      <w:proofErr w:type="spellEnd"/>
      <w:r w:rsidR="00A0001F" w:rsidRPr="008D6E5C">
        <w:rPr>
          <w:rFonts w:ascii="Cambria" w:hAnsi="Cambria"/>
          <w:sz w:val="20"/>
          <w:szCs w:val="20"/>
        </w:rPr>
        <w:t xml:space="preserve"> temple</w:t>
      </w:r>
      <w:r w:rsidRPr="008D6E5C">
        <w:rPr>
          <w:rFonts w:ascii="Cambria" w:hAnsi="Cambria"/>
          <w:sz w:val="20"/>
          <w:szCs w:val="20"/>
        </w:rPr>
        <w:t xml:space="preserve">, </w:t>
      </w:r>
      <w:r w:rsidR="00AF128C" w:rsidRPr="008D6E5C">
        <w:rPr>
          <w:rFonts w:ascii="Cambria" w:hAnsi="Cambria"/>
          <w:sz w:val="20"/>
          <w:szCs w:val="20"/>
        </w:rPr>
        <w:t>saying</w:t>
      </w:r>
      <w:r w:rsidR="00A0001F" w:rsidRPr="008D6E5C">
        <w:rPr>
          <w:rFonts w:ascii="Cambria" w:hAnsi="Cambria"/>
          <w:sz w:val="20"/>
          <w:szCs w:val="20"/>
        </w:rPr>
        <w:t>, “We don’t want the</w:t>
      </w:r>
      <w:r w:rsidRPr="008D6E5C">
        <w:rPr>
          <w:rFonts w:ascii="Cambria" w:hAnsi="Cambria"/>
          <w:sz w:val="20"/>
          <w:szCs w:val="20"/>
        </w:rPr>
        <w:t xml:space="preserve"> </w:t>
      </w:r>
      <w:proofErr w:type="spellStart"/>
      <w:r w:rsidRPr="008D6E5C">
        <w:rPr>
          <w:rFonts w:ascii="Cambria" w:hAnsi="Cambria"/>
          <w:sz w:val="20"/>
          <w:szCs w:val="20"/>
        </w:rPr>
        <w:t>Fallas</w:t>
      </w:r>
      <w:proofErr w:type="spellEnd"/>
      <w:r w:rsidRPr="008D6E5C">
        <w:rPr>
          <w:rFonts w:ascii="Cambria" w:hAnsi="Cambria"/>
          <w:sz w:val="20"/>
          <w:szCs w:val="20"/>
        </w:rPr>
        <w:t xml:space="preserve"> </w:t>
      </w:r>
      <w:r w:rsidR="00A0001F" w:rsidRPr="008D6E5C">
        <w:rPr>
          <w:rFonts w:ascii="Cambria" w:hAnsi="Cambria"/>
          <w:sz w:val="20"/>
          <w:szCs w:val="20"/>
        </w:rPr>
        <w:t>construction company for</w:t>
      </w:r>
      <w:r w:rsidRPr="008D6E5C">
        <w:rPr>
          <w:rFonts w:ascii="Cambria" w:hAnsi="Cambria"/>
          <w:sz w:val="20"/>
          <w:szCs w:val="20"/>
        </w:rPr>
        <w:t xml:space="preserve"> </w:t>
      </w:r>
      <w:proofErr w:type="spellStart"/>
      <w:r w:rsidRPr="008D6E5C">
        <w:rPr>
          <w:rFonts w:ascii="Cambria" w:hAnsi="Cambria"/>
          <w:sz w:val="20"/>
          <w:szCs w:val="20"/>
        </w:rPr>
        <w:t>Pitalito</w:t>
      </w:r>
      <w:proofErr w:type="spellEnd"/>
      <w:r w:rsidRPr="008D6E5C">
        <w:rPr>
          <w:rFonts w:ascii="Cambria" w:hAnsi="Cambria"/>
          <w:sz w:val="20"/>
          <w:szCs w:val="20"/>
        </w:rPr>
        <w:t xml:space="preserve">.” Ramiro </w:t>
      </w:r>
      <w:proofErr w:type="spellStart"/>
      <w:r w:rsidRPr="008D6E5C">
        <w:rPr>
          <w:rFonts w:ascii="Cambria" w:hAnsi="Cambria"/>
          <w:sz w:val="20"/>
          <w:szCs w:val="20"/>
        </w:rPr>
        <w:t>Falla</w:t>
      </w:r>
      <w:proofErr w:type="spellEnd"/>
      <w:r w:rsidRPr="008D6E5C">
        <w:rPr>
          <w:rFonts w:ascii="Cambria" w:hAnsi="Cambria"/>
          <w:sz w:val="20"/>
          <w:szCs w:val="20"/>
        </w:rPr>
        <w:t xml:space="preserve"> </w:t>
      </w:r>
      <w:r w:rsidR="00A0001F" w:rsidRPr="008D6E5C">
        <w:rPr>
          <w:rFonts w:ascii="Cambria" w:hAnsi="Cambria"/>
          <w:sz w:val="20"/>
          <w:szCs w:val="20"/>
        </w:rPr>
        <w:t xml:space="preserve">subsequently filed a complaint alleging criminal defamation </w:t>
      </w:r>
      <w:r w:rsidRPr="008D6E5C">
        <w:rPr>
          <w:rFonts w:ascii="Cambria" w:hAnsi="Cambria"/>
          <w:sz w:val="20"/>
          <w:szCs w:val="20"/>
        </w:rPr>
        <w:t xml:space="preserve">on April 23, 1998. </w:t>
      </w:r>
      <w:r w:rsidR="00A0001F" w:rsidRPr="008D6E5C">
        <w:rPr>
          <w:rFonts w:ascii="Cambria" w:hAnsi="Cambria"/>
          <w:sz w:val="20"/>
          <w:szCs w:val="20"/>
        </w:rPr>
        <w:t>The proceedings in that case were terminated on April 14, 1999 due to the</w:t>
      </w:r>
      <w:r w:rsidRPr="008D6E5C">
        <w:rPr>
          <w:rFonts w:ascii="Cambria" w:hAnsi="Cambria"/>
          <w:sz w:val="20"/>
          <w:szCs w:val="20"/>
        </w:rPr>
        <w:t xml:space="preserve"> “</w:t>
      </w:r>
      <w:r w:rsidR="00A0001F" w:rsidRPr="008D6E5C">
        <w:rPr>
          <w:rFonts w:ascii="Cambria" w:hAnsi="Cambria"/>
          <w:sz w:val="20"/>
          <w:szCs w:val="20"/>
        </w:rPr>
        <w:t>nonexistence of the crime.”</w:t>
      </w:r>
      <w:r w:rsidRPr="008D6E5C">
        <w:rPr>
          <w:rStyle w:val="FootnoteReference"/>
          <w:rFonts w:ascii="Cambria" w:hAnsi="Cambria"/>
          <w:sz w:val="20"/>
          <w:szCs w:val="20"/>
        </w:rPr>
        <w:footnoteReference w:id="92"/>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According to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4B3414" w:rsidRPr="008D6E5C">
        <w:rPr>
          <w:rFonts w:ascii="Cambria" w:hAnsi="Cambria"/>
          <w:sz w:val="20"/>
          <w:szCs w:val="20"/>
        </w:rPr>
        <w:t>those implicated in her brother’s murder case</w:t>
      </w:r>
      <w:r w:rsidRPr="008D6E5C">
        <w:rPr>
          <w:rFonts w:ascii="Cambria" w:hAnsi="Cambria"/>
          <w:sz w:val="20"/>
          <w:szCs w:val="20"/>
        </w:rPr>
        <w:t xml:space="preserve"> </w:t>
      </w:r>
      <w:r w:rsidR="0068182A" w:rsidRPr="008D6E5C">
        <w:rPr>
          <w:rFonts w:ascii="Cambria" w:hAnsi="Cambria"/>
          <w:sz w:val="20"/>
          <w:szCs w:val="20"/>
        </w:rPr>
        <w:t xml:space="preserve">from the </w:t>
      </w:r>
      <w:r w:rsidR="004B3414" w:rsidRPr="008D6E5C">
        <w:rPr>
          <w:rFonts w:ascii="Cambria" w:hAnsi="Cambria"/>
          <w:sz w:val="20"/>
          <w:szCs w:val="20"/>
        </w:rPr>
        <w:t xml:space="preserve">very </w:t>
      </w:r>
      <w:r w:rsidR="0068182A" w:rsidRPr="008D6E5C">
        <w:rPr>
          <w:rFonts w:ascii="Cambria" w:hAnsi="Cambria"/>
          <w:sz w:val="20"/>
          <w:szCs w:val="20"/>
        </w:rPr>
        <w:t xml:space="preserve">beginning </w:t>
      </w:r>
      <w:r w:rsidRPr="008D6E5C">
        <w:rPr>
          <w:rFonts w:ascii="Cambria" w:hAnsi="Cambria"/>
          <w:sz w:val="20"/>
          <w:szCs w:val="20"/>
        </w:rPr>
        <w:t>“</w:t>
      </w:r>
      <w:r w:rsidR="0068182A" w:rsidRPr="008D6E5C">
        <w:rPr>
          <w:rFonts w:ascii="Cambria" w:hAnsi="Cambria"/>
          <w:sz w:val="20"/>
          <w:szCs w:val="20"/>
        </w:rPr>
        <w:t>intimidated the public</w:t>
      </w:r>
      <w:r w:rsidRPr="008D6E5C">
        <w:rPr>
          <w:rFonts w:ascii="Cambria" w:hAnsi="Cambria"/>
          <w:sz w:val="20"/>
          <w:szCs w:val="20"/>
        </w:rPr>
        <w:t xml:space="preserve">” </w:t>
      </w:r>
      <w:r w:rsidR="0068182A" w:rsidRPr="008D6E5C">
        <w:rPr>
          <w:rFonts w:ascii="Cambria" w:hAnsi="Cambria"/>
          <w:sz w:val="20"/>
          <w:szCs w:val="20"/>
        </w:rPr>
        <w:t>and those who cooperated in establishing the facts</w:t>
      </w:r>
      <w:r w:rsidRPr="008D6E5C">
        <w:rPr>
          <w:rFonts w:ascii="Cambria" w:hAnsi="Cambria"/>
          <w:sz w:val="20"/>
          <w:szCs w:val="20"/>
        </w:rPr>
        <w:t xml:space="preserve"> </w:t>
      </w:r>
      <w:r w:rsidR="004B3414" w:rsidRPr="008D6E5C">
        <w:rPr>
          <w:rFonts w:ascii="Cambria" w:hAnsi="Cambria"/>
          <w:sz w:val="20"/>
          <w:szCs w:val="20"/>
        </w:rPr>
        <w:t>even though they were</w:t>
      </w:r>
      <w:r w:rsidRPr="008D6E5C">
        <w:rPr>
          <w:rFonts w:ascii="Cambria" w:hAnsi="Cambria"/>
          <w:sz w:val="20"/>
          <w:szCs w:val="20"/>
        </w:rPr>
        <w:t xml:space="preserve"> “</w:t>
      </w:r>
      <w:r w:rsidR="004B3414" w:rsidRPr="008D6E5C">
        <w:rPr>
          <w:rFonts w:ascii="Cambria" w:hAnsi="Cambria"/>
          <w:sz w:val="20"/>
          <w:szCs w:val="20"/>
        </w:rPr>
        <w:t>afraid of the consequences</w:t>
      </w:r>
      <w:r w:rsidRPr="008D6E5C">
        <w:rPr>
          <w:rFonts w:ascii="Cambria" w:hAnsi="Cambria"/>
          <w:sz w:val="20"/>
          <w:szCs w:val="20"/>
        </w:rPr>
        <w:t xml:space="preserve">.” Similarly, </w:t>
      </w:r>
      <w:r w:rsidR="00612A23" w:rsidRPr="008D6E5C">
        <w:rPr>
          <w:rFonts w:ascii="Cambria" w:hAnsi="Cambria"/>
          <w:sz w:val="20"/>
          <w:szCs w:val="20"/>
        </w:rPr>
        <w:t xml:space="preserve">one of the investigators responsible for intelligence work, </w:t>
      </w:r>
      <w:r w:rsidR="00DC268B" w:rsidRPr="008D6E5C">
        <w:rPr>
          <w:rFonts w:ascii="Cambria" w:hAnsi="Cambria"/>
          <w:sz w:val="20"/>
          <w:szCs w:val="20"/>
        </w:rPr>
        <w:t>investigations</w:t>
      </w:r>
      <w:r w:rsidRPr="008D6E5C">
        <w:rPr>
          <w:rFonts w:ascii="Cambria" w:hAnsi="Cambria"/>
          <w:sz w:val="20"/>
          <w:szCs w:val="20"/>
        </w:rPr>
        <w:t xml:space="preserve">, </w:t>
      </w:r>
      <w:r w:rsidR="00DC268B" w:rsidRPr="008D6E5C">
        <w:rPr>
          <w:rFonts w:ascii="Cambria" w:hAnsi="Cambria"/>
          <w:sz w:val="20"/>
          <w:szCs w:val="20"/>
        </w:rPr>
        <w:t>interviews, and statements s</w:t>
      </w:r>
      <w:r w:rsidR="00C80970" w:rsidRPr="008D6E5C">
        <w:rPr>
          <w:rFonts w:ascii="Cambria" w:hAnsi="Cambria"/>
          <w:sz w:val="20"/>
          <w:szCs w:val="20"/>
        </w:rPr>
        <w:t>aid</w:t>
      </w:r>
      <w:r w:rsidR="00DC268B" w:rsidRPr="008D6E5C">
        <w:rPr>
          <w:rFonts w:ascii="Cambria" w:hAnsi="Cambria"/>
          <w:sz w:val="20"/>
          <w:szCs w:val="20"/>
        </w:rPr>
        <w:t xml:space="preserve"> that he </w:t>
      </w:r>
      <w:r w:rsidR="00C80970" w:rsidRPr="008D6E5C">
        <w:rPr>
          <w:rFonts w:ascii="Cambria" w:hAnsi="Cambria"/>
          <w:sz w:val="20"/>
          <w:szCs w:val="20"/>
        </w:rPr>
        <w:t xml:space="preserve">had to </w:t>
      </w:r>
      <w:r w:rsidRPr="008D6E5C">
        <w:rPr>
          <w:rFonts w:ascii="Cambria" w:hAnsi="Cambria"/>
          <w:sz w:val="20"/>
          <w:szCs w:val="20"/>
        </w:rPr>
        <w:t>“</w:t>
      </w:r>
      <w:r w:rsidR="00C80970" w:rsidRPr="008D6E5C">
        <w:rPr>
          <w:rFonts w:ascii="Cambria" w:hAnsi="Cambria"/>
          <w:sz w:val="20"/>
          <w:szCs w:val="20"/>
        </w:rPr>
        <w:t>interview some people</w:t>
      </w:r>
      <w:r w:rsidRPr="008D6E5C">
        <w:rPr>
          <w:rFonts w:ascii="Cambria" w:hAnsi="Cambria"/>
          <w:sz w:val="20"/>
          <w:szCs w:val="20"/>
        </w:rPr>
        <w:t xml:space="preserve"> in </w:t>
      </w:r>
      <w:proofErr w:type="spellStart"/>
      <w:r w:rsidRPr="008D6E5C">
        <w:rPr>
          <w:rFonts w:ascii="Cambria" w:hAnsi="Cambria"/>
          <w:sz w:val="20"/>
          <w:szCs w:val="20"/>
        </w:rPr>
        <w:t>Pitalito</w:t>
      </w:r>
      <w:proofErr w:type="spellEnd"/>
      <w:r w:rsidRPr="008D6E5C">
        <w:rPr>
          <w:rFonts w:ascii="Cambria" w:hAnsi="Cambria"/>
          <w:sz w:val="20"/>
          <w:szCs w:val="20"/>
        </w:rPr>
        <w:t xml:space="preserve"> </w:t>
      </w:r>
      <w:r w:rsidR="00DC268B" w:rsidRPr="008D6E5C">
        <w:rPr>
          <w:rFonts w:ascii="Cambria" w:hAnsi="Cambria"/>
          <w:sz w:val="20"/>
          <w:szCs w:val="20"/>
        </w:rPr>
        <w:t xml:space="preserve">who, given the lack of protection, did not want to give their names because of the fear that exists in the area.” He also </w:t>
      </w:r>
      <w:r w:rsidRPr="008D6E5C">
        <w:rPr>
          <w:rFonts w:ascii="Cambria" w:hAnsi="Cambria"/>
          <w:sz w:val="20"/>
          <w:szCs w:val="20"/>
        </w:rPr>
        <w:t xml:space="preserve">indicated that the personnel from the Technical Investigations Unit who participated in the intelligence work in </w:t>
      </w:r>
      <w:proofErr w:type="spellStart"/>
      <w:r w:rsidRPr="008D6E5C">
        <w:rPr>
          <w:rFonts w:ascii="Cambria" w:hAnsi="Cambria"/>
          <w:sz w:val="20"/>
          <w:szCs w:val="20"/>
        </w:rPr>
        <w:t>Pitalito</w:t>
      </w:r>
      <w:proofErr w:type="spellEnd"/>
      <w:r w:rsidRPr="008D6E5C">
        <w:rPr>
          <w:rFonts w:ascii="Cambria" w:hAnsi="Cambria"/>
          <w:sz w:val="20"/>
          <w:szCs w:val="20"/>
        </w:rPr>
        <w:t xml:space="preserve"> did not sign any document</w:t>
      </w:r>
      <w:r w:rsidR="00C80970" w:rsidRPr="008D6E5C">
        <w:rPr>
          <w:rFonts w:ascii="Cambria" w:hAnsi="Cambria"/>
          <w:sz w:val="20"/>
          <w:szCs w:val="20"/>
        </w:rPr>
        <w:t>s</w:t>
      </w:r>
      <w:r w:rsidRPr="008D6E5C">
        <w:rPr>
          <w:rFonts w:ascii="Cambria" w:hAnsi="Cambria"/>
          <w:sz w:val="20"/>
          <w:szCs w:val="20"/>
        </w:rPr>
        <w:t xml:space="preserve"> for security reasons.</w:t>
      </w:r>
      <w:r w:rsidRPr="008D6E5C">
        <w:rPr>
          <w:rStyle w:val="FootnoteReference"/>
          <w:rFonts w:ascii="Cambria" w:hAnsi="Cambria"/>
          <w:sz w:val="20"/>
          <w:szCs w:val="20"/>
        </w:rPr>
        <w:footnoteReference w:id="93"/>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 case file also reflects that this fear extended to the attorneys in the region.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father, Mr. Jairo </w:t>
      </w:r>
      <w:proofErr w:type="spellStart"/>
      <w:r w:rsidRPr="008D6E5C">
        <w:rPr>
          <w:rFonts w:ascii="Cambria" w:hAnsi="Cambria"/>
          <w:sz w:val="20"/>
          <w:szCs w:val="20"/>
        </w:rPr>
        <w:t>Carvajal</w:t>
      </w:r>
      <w:proofErr w:type="spellEnd"/>
      <w:r w:rsidRPr="008D6E5C">
        <w:rPr>
          <w:rFonts w:ascii="Cambria" w:hAnsi="Cambria"/>
          <w:sz w:val="20"/>
          <w:szCs w:val="20"/>
        </w:rPr>
        <w:t xml:space="preserve"> Cabrera, </w:t>
      </w:r>
      <w:r w:rsidR="007E1E47" w:rsidRPr="008D6E5C">
        <w:rPr>
          <w:rFonts w:ascii="Cambria" w:hAnsi="Cambria"/>
          <w:sz w:val="20"/>
          <w:szCs w:val="20"/>
        </w:rPr>
        <w:t xml:space="preserve">stated in his affidavit that he </w:t>
      </w:r>
      <w:r w:rsidR="0075799B" w:rsidRPr="008D6E5C">
        <w:rPr>
          <w:rFonts w:ascii="Cambria" w:hAnsi="Cambria"/>
          <w:sz w:val="20"/>
          <w:szCs w:val="20"/>
        </w:rPr>
        <w:t>went to</w:t>
      </w:r>
      <w:r w:rsidRPr="008D6E5C">
        <w:rPr>
          <w:rFonts w:ascii="Cambria" w:hAnsi="Cambria"/>
          <w:sz w:val="20"/>
          <w:szCs w:val="20"/>
        </w:rPr>
        <w:t xml:space="preserve"> the Office of the Prosecutor General </w:t>
      </w:r>
      <w:r w:rsidR="007E1E47" w:rsidRPr="008D6E5C">
        <w:rPr>
          <w:rFonts w:ascii="Cambria" w:hAnsi="Cambria"/>
          <w:sz w:val="20"/>
          <w:szCs w:val="20"/>
        </w:rPr>
        <w:t>after his son’s death to file</w:t>
      </w:r>
      <w:r w:rsidR="0075799B" w:rsidRPr="008D6E5C">
        <w:rPr>
          <w:rFonts w:ascii="Cambria" w:hAnsi="Cambria"/>
          <w:sz w:val="20"/>
          <w:szCs w:val="20"/>
        </w:rPr>
        <w:t xml:space="preserve"> a criminal complaint</w:t>
      </w:r>
      <w:r w:rsidRPr="008D6E5C">
        <w:rPr>
          <w:rFonts w:ascii="Cambria" w:hAnsi="Cambria"/>
          <w:sz w:val="20"/>
          <w:szCs w:val="20"/>
        </w:rPr>
        <w:t xml:space="preserve"> </w:t>
      </w:r>
      <w:r w:rsidR="007E1E47" w:rsidRPr="008D6E5C">
        <w:rPr>
          <w:rFonts w:ascii="Cambria" w:hAnsi="Cambria"/>
          <w:sz w:val="20"/>
          <w:szCs w:val="20"/>
        </w:rPr>
        <w:t>requesting the investigation of the murder</w:t>
      </w:r>
      <w:r w:rsidRPr="008D6E5C">
        <w:rPr>
          <w:rFonts w:ascii="Cambria" w:hAnsi="Cambria"/>
          <w:sz w:val="20"/>
          <w:szCs w:val="20"/>
        </w:rPr>
        <w:t xml:space="preserve">. </w:t>
      </w:r>
      <w:r w:rsidR="007E1E47" w:rsidRPr="008D6E5C">
        <w:rPr>
          <w:rFonts w:ascii="Cambria" w:hAnsi="Cambria"/>
          <w:sz w:val="20"/>
          <w:szCs w:val="20"/>
        </w:rPr>
        <w:t>At that time, he was told that</w:t>
      </w:r>
      <w:r w:rsidRPr="008D6E5C">
        <w:rPr>
          <w:rFonts w:ascii="Cambria" w:hAnsi="Cambria"/>
          <w:sz w:val="20"/>
          <w:szCs w:val="20"/>
        </w:rPr>
        <w:t xml:space="preserve"> </w:t>
      </w:r>
      <w:r w:rsidR="007E1E47" w:rsidRPr="008D6E5C">
        <w:rPr>
          <w:rFonts w:ascii="Cambria" w:hAnsi="Cambria"/>
          <w:sz w:val="20"/>
          <w:szCs w:val="20"/>
        </w:rPr>
        <w:t>22</w:t>
      </w:r>
      <w:r w:rsidR="007E1E47" w:rsidRPr="008D6E5C">
        <w:rPr>
          <w:rFonts w:ascii="Cambria" w:hAnsi="Cambria"/>
          <w:sz w:val="20"/>
          <w:szCs w:val="20"/>
          <w:vertAlign w:val="superscript"/>
        </w:rPr>
        <w:t>nd</w:t>
      </w:r>
      <w:r w:rsidR="00E364B1" w:rsidRPr="008D6E5C">
        <w:rPr>
          <w:rFonts w:ascii="Cambria" w:hAnsi="Cambria"/>
          <w:sz w:val="20"/>
          <w:szCs w:val="20"/>
        </w:rPr>
        <w:t xml:space="preserve"> </w:t>
      </w:r>
      <w:r w:rsidR="007E1E47" w:rsidRPr="008D6E5C">
        <w:rPr>
          <w:rFonts w:ascii="Cambria" w:hAnsi="Cambria"/>
          <w:sz w:val="20"/>
          <w:szCs w:val="20"/>
        </w:rPr>
        <w:t xml:space="preserve">District Office of the Public Prosecutor of </w:t>
      </w:r>
      <w:proofErr w:type="spellStart"/>
      <w:r w:rsidR="007E1E47" w:rsidRPr="008D6E5C">
        <w:rPr>
          <w:rFonts w:ascii="Cambria" w:hAnsi="Cambria"/>
          <w:sz w:val="20"/>
          <w:szCs w:val="20"/>
        </w:rPr>
        <w:t>Pitalito</w:t>
      </w:r>
      <w:proofErr w:type="spellEnd"/>
      <w:r w:rsidRPr="008D6E5C">
        <w:rPr>
          <w:rFonts w:ascii="Cambria" w:hAnsi="Cambria"/>
          <w:sz w:val="20"/>
          <w:szCs w:val="20"/>
        </w:rPr>
        <w:t xml:space="preserve"> </w:t>
      </w:r>
      <w:r w:rsidR="007E1E47" w:rsidRPr="008D6E5C">
        <w:rPr>
          <w:rFonts w:ascii="Cambria" w:hAnsi="Cambria"/>
          <w:sz w:val="20"/>
          <w:szCs w:val="20"/>
        </w:rPr>
        <w:t>would open</w:t>
      </w:r>
      <w:r w:rsidRPr="008D6E5C">
        <w:rPr>
          <w:rFonts w:ascii="Cambria" w:hAnsi="Cambria"/>
          <w:sz w:val="20"/>
          <w:szCs w:val="20"/>
        </w:rPr>
        <w:t xml:space="preserve"> the investigation. </w:t>
      </w:r>
      <w:r w:rsidR="00660000" w:rsidRPr="008D6E5C">
        <w:rPr>
          <w:rFonts w:ascii="Cambria" w:hAnsi="Cambria"/>
          <w:sz w:val="20"/>
          <w:szCs w:val="20"/>
        </w:rPr>
        <w:t>According to</w:t>
      </w:r>
      <w:r w:rsidRPr="008D6E5C">
        <w:rPr>
          <w:rFonts w:ascii="Cambria" w:hAnsi="Cambria"/>
          <w:sz w:val="20"/>
          <w:szCs w:val="20"/>
        </w:rPr>
        <w:t xml:space="preserve"> Jairo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660000" w:rsidRPr="008D6E5C">
        <w:rPr>
          <w:rFonts w:ascii="Cambria" w:hAnsi="Cambria"/>
          <w:sz w:val="20"/>
          <w:szCs w:val="20"/>
        </w:rPr>
        <w:t xml:space="preserve">Nelson </w:t>
      </w:r>
      <w:proofErr w:type="spellStart"/>
      <w:r w:rsidR="00660000" w:rsidRPr="008D6E5C">
        <w:rPr>
          <w:rFonts w:ascii="Cambria" w:hAnsi="Cambria"/>
          <w:sz w:val="20"/>
          <w:szCs w:val="20"/>
        </w:rPr>
        <w:t>Carvajal’s</w:t>
      </w:r>
      <w:proofErr w:type="spellEnd"/>
      <w:r w:rsidR="00660000" w:rsidRPr="008D6E5C">
        <w:rPr>
          <w:rFonts w:ascii="Cambria" w:hAnsi="Cambria"/>
          <w:sz w:val="20"/>
          <w:szCs w:val="20"/>
        </w:rPr>
        <w:t xml:space="preserve"> family</w:t>
      </w:r>
      <w:r w:rsidRPr="008D6E5C">
        <w:rPr>
          <w:rFonts w:ascii="Cambria" w:hAnsi="Cambria"/>
          <w:sz w:val="20"/>
          <w:szCs w:val="20"/>
        </w:rPr>
        <w:t xml:space="preserve"> </w:t>
      </w:r>
      <w:r w:rsidR="00660000" w:rsidRPr="008D6E5C">
        <w:rPr>
          <w:rFonts w:ascii="Cambria" w:hAnsi="Cambria"/>
          <w:sz w:val="20"/>
          <w:szCs w:val="20"/>
        </w:rPr>
        <w:t xml:space="preserve">decided to grant power of attorney to a lawyer in order to act as </w:t>
      </w:r>
      <w:r w:rsidR="00660000" w:rsidRPr="008D6E5C">
        <w:rPr>
          <w:rFonts w:ascii="Cambria" w:hAnsi="Cambria"/>
          <w:iCs/>
          <w:sz w:val="20"/>
          <w:szCs w:val="20"/>
        </w:rPr>
        <w:t>civil plaintiffs in the criminal proceedings</w:t>
      </w:r>
      <w:r w:rsidRPr="008D6E5C">
        <w:rPr>
          <w:rFonts w:ascii="Cambria" w:hAnsi="Cambria"/>
          <w:sz w:val="20"/>
          <w:szCs w:val="20"/>
        </w:rPr>
        <w:t xml:space="preserve">, </w:t>
      </w:r>
      <w:r w:rsidR="00660000" w:rsidRPr="008D6E5C">
        <w:rPr>
          <w:rFonts w:ascii="Cambria" w:hAnsi="Cambria"/>
          <w:sz w:val="20"/>
          <w:szCs w:val="20"/>
        </w:rPr>
        <w:t>to ensure that the crime would not go unpunished</w:t>
      </w:r>
      <w:r w:rsidRPr="008D6E5C">
        <w:rPr>
          <w:rFonts w:ascii="Cambria" w:hAnsi="Cambria"/>
          <w:sz w:val="20"/>
          <w:szCs w:val="20"/>
        </w:rPr>
        <w:t xml:space="preserve">. </w:t>
      </w:r>
      <w:r w:rsidR="00660000" w:rsidRPr="008D6E5C">
        <w:rPr>
          <w:rFonts w:ascii="Cambria" w:hAnsi="Cambria"/>
          <w:sz w:val="20"/>
          <w:szCs w:val="20"/>
        </w:rPr>
        <w:t>He stated that, nevertheless, several attorneys</w:t>
      </w:r>
      <w:r w:rsidRPr="008D6E5C">
        <w:rPr>
          <w:rFonts w:ascii="Cambria" w:hAnsi="Cambria"/>
          <w:sz w:val="20"/>
          <w:szCs w:val="20"/>
        </w:rPr>
        <w:t xml:space="preserve"> “</w:t>
      </w:r>
      <w:r w:rsidR="001E1299" w:rsidRPr="008D6E5C">
        <w:rPr>
          <w:rFonts w:ascii="Cambria" w:hAnsi="Cambria"/>
          <w:sz w:val="20"/>
          <w:szCs w:val="20"/>
        </w:rPr>
        <w:t>were fearful, and refused to work for the family</w:t>
      </w:r>
      <w:r w:rsidRPr="008D6E5C">
        <w:rPr>
          <w:rFonts w:ascii="Cambria" w:hAnsi="Cambria"/>
          <w:sz w:val="20"/>
          <w:szCs w:val="20"/>
        </w:rPr>
        <w:t xml:space="preserve"> […] [</w:t>
      </w:r>
      <w:r w:rsidR="001E1299" w:rsidRPr="008D6E5C">
        <w:rPr>
          <w:rFonts w:ascii="Cambria" w:hAnsi="Cambria"/>
          <w:sz w:val="20"/>
          <w:szCs w:val="20"/>
        </w:rPr>
        <w:t>and that</w:t>
      </w:r>
      <w:r w:rsidRPr="008D6E5C">
        <w:rPr>
          <w:rFonts w:ascii="Cambria" w:hAnsi="Cambria"/>
          <w:sz w:val="20"/>
          <w:szCs w:val="20"/>
        </w:rPr>
        <w:t xml:space="preserve">] </w:t>
      </w:r>
      <w:r w:rsidR="001E1299" w:rsidRPr="008D6E5C">
        <w:rPr>
          <w:rFonts w:ascii="Cambria" w:hAnsi="Cambria"/>
          <w:sz w:val="20"/>
          <w:szCs w:val="20"/>
        </w:rPr>
        <w:t xml:space="preserve">given this circumstance, they tried to </w:t>
      </w:r>
      <w:r w:rsidR="00B17062" w:rsidRPr="008D6E5C">
        <w:rPr>
          <w:rFonts w:ascii="Cambria" w:hAnsi="Cambria"/>
          <w:sz w:val="20"/>
          <w:szCs w:val="20"/>
        </w:rPr>
        <w:t xml:space="preserve">take part </w:t>
      </w:r>
      <w:r w:rsidR="001E1299" w:rsidRPr="008D6E5C">
        <w:rPr>
          <w:rFonts w:ascii="Cambria" w:hAnsi="Cambria"/>
          <w:sz w:val="20"/>
          <w:szCs w:val="20"/>
        </w:rPr>
        <w:t xml:space="preserve">using an attorney who did offer [them] his services, but his </w:t>
      </w:r>
      <w:r w:rsidR="001E1299" w:rsidRPr="008D6E5C">
        <w:rPr>
          <w:rFonts w:ascii="Cambria" w:hAnsi="Cambria"/>
          <w:sz w:val="20"/>
          <w:szCs w:val="20"/>
        </w:rPr>
        <w:lastRenderedPageBreak/>
        <w:t>fees were very high because he said his life would be in danger</w:t>
      </w:r>
      <w:r w:rsidRPr="008D6E5C">
        <w:rPr>
          <w:rFonts w:ascii="Cambria" w:hAnsi="Cambria"/>
          <w:sz w:val="20"/>
          <w:szCs w:val="20"/>
        </w:rPr>
        <w:t>.”</w:t>
      </w:r>
      <w:r w:rsidRPr="008D6E5C">
        <w:rPr>
          <w:rStyle w:val="FootnoteReference"/>
          <w:rFonts w:ascii="Cambria" w:hAnsi="Cambria"/>
          <w:sz w:val="20"/>
          <w:szCs w:val="20"/>
        </w:rPr>
        <w:footnoteReference w:id="94"/>
      </w:r>
      <w:r w:rsidRPr="008D6E5C">
        <w:rPr>
          <w:rFonts w:ascii="Cambria" w:hAnsi="Cambria"/>
          <w:sz w:val="20"/>
          <w:szCs w:val="20"/>
        </w:rPr>
        <w:t xml:space="preserve"> </w:t>
      </w:r>
      <w:r w:rsidR="00AC15A3" w:rsidRPr="008D6E5C">
        <w:rPr>
          <w:rFonts w:ascii="Cambria" w:hAnsi="Cambria"/>
          <w:sz w:val="20"/>
          <w:szCs w:val="20"/>
        </w:rPr>
        <w:t>He stated that</w:t>
      </w:r>
      <w:r w:rsidRPr="008D6E5C">
        <w:rPr>
          <w:rFonts w:ascii="Cambria" w:hAnsi="Cambria"/>
          <w:sz w:val="20"/>
          <w:szCs w:val="20"/>
        </w:rPr>
        <w:t xml:space="preserve"> Miriam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AC15A3" w:rsidRPr="008D6E5C">
        <w:rPr>
          <w:rFonts w:ascii="Cambria" w:hAnsi="Cambria"/>
          <w:sz w:val="20"/>
          <w:szCs w:val="20"/>
        </w:rPr>
        <w:t>a sister of the alleged victim, contacted two attorneys who were willing to accept the family’s power of attorney to represent them as civil plaintiffs in the criminal case.</w:t>
      </w:r>
      <w:r w:rsidRPr="008D6E5C">
        <w:rPr>
          <w:rFonts w:ascii="Cambria" w:hAnsi="Cambria"/>
          <w:sz w:val="20"/>
          <w:szCs w:val="20"/>
        </w:rPr>
        <w:t xml:space="preserve"> </w:t>
      </w:r>
      <w:r w:rsidR="00AC15A3" w:rsidRPr="008D6E5C">
        <w:rPr>
          <w:rFonts w:ascii="Cambria" w:hAnsi="Cambria"/>
          <w:sz w:val="20"/>
          <w:szCs w:val="20"/>
        </w:rPr>
        <w:t>However, he stated that because of the death threats to Nelson’s wife</w:t>
      </w:r>
      <w:r w:rsidRPr="008D6E5C">
        <w:rPr>
          <w:rFonts w:ascii="Cambria" w:hAnsi="Cambria"/>
          <w:sz w:val="20"/>
          <w:szCs w:val="20"/>
        </w:rPr>
        <w:t xml:space="preserve"> Luz Stella </w:t>
      </w:r>
      <w:proofErr w:type="spellStart"/>
      <w:r w:rsidRPr="008D6E5C">
        <w:rPr>
          <w:rFonts w:ascii="Cambria" w:hAnsi="Cambria"/>
          <w:sz w:val="20"/>
          <w:szCs w:val="20"/>
        </w:rPr>
        <w:t>Bolaños</w:t>
      </w:r>
      <w:proofErr w:type="spellEnd"/>
      <w:r w:rsidRPr="008D6E5C">
        <w:rPr>
          <w:rFonts w:ascii="Cambria" w:hAnsi="Cambria"/>
          <w:sz w:val="20"/>
          <w:szCs w:val="20"/>
        </w:rPr>
        <w:t xml:space="preserve"> Rodríguez, </w:t>
      </w:r>
      <w:r w:rsidR="00AC15A3" w:rsidRPr="008D6E5C">
        <w:rPr>
          <w:rFonts w:ascii="Cambria" w:hAnsi="Cambria"/>
          <w:sz w:val="20"/>
          <w:szCs w:val="20"/>
        </w:rPr>
        <w:t>and to</w:t>
      </w:r>
      <w:r w:rsidRPr="008D6E5C">
        <w:rPr>
          <w:rFonts w:ascii="Cambria" w:hAnsi="Cambria"/>
          <w:sz w:val="20"/>
          <w:szCs w:val="20"/>
        </w:rPr>
        <w:t xml:space="preserve"> Judith </w:t>
      </w:r>
      <w:proofErr w:type="spellStart"/>
      <w:r w:rsidRPr="008D6E5C">
        <w:rPr>
          <w:rFonts w:ascii="Cambria" w:hAnsi="Cambria"/>
          <w:sz w:val="20"/>
          <w:szCs w:val="20"/>
        </w:rPr>
        <w:t>Carvajal</w:t>
      </w:r>
      <w:proofErr w:type="spellEnd"/>
      <w:r w:rsidRPr="008D6E5C">
        <w:rPr>
          <w:rFonts w:ascii="Cambria" w:hAnsi="Cambria"/>
          <w:sz w:val="20"/>
          <w:szCs w:val="20"/>
        </w:rPr>
        <w:t>, the alleged victim</w:t>
      </w:r>
      <w:r w:rsidR="00AC15A3" w:rsidRPr="008D6E5C">
        <w:rPr>
          <w:rFonts w:ascii="Cambria" w:hAnsi="Cambria"/>
          <w:sz w:val="20"/>
          <w:szCs w:val="20"/>
        </w:rPr>
        <w:t>’s sister</w:t>
      </w:r>
      <w:r w:rsidRPr="008D6E5C">
        <w:rPr>
          <w:rFonts w:ascii="Cambria" w:hAnsi="Cambria"/>
          <w:sz w:val="20"/>
          <w:szCs w:val="20"/>
        </w:rPr>
        <w:t xml:space="preserve">, </w:t>
      </w:r>
      <w:r w:rsidR="00AC15A3" w:rsidRPr="008D6E5C">
        <w:rPr>
          <w:rFonts w:ascii="Cambria" w:hAnsi="Cambria"/>
          <w:sz w:val="20"/>
          <w:szCs w:val="20"/>
        </w:rPr>
        <w:t>the family decided to</w:t>
      </w:r>
      <w:r w:rsidR="00D57EA5" w:rsidRPr="008D6E5C">
        <w:rPr>
          <w:rFonts w:ascii="Cambria" w:hAnsi="Cambria"/>
          <w:sz w:val="20"/>
          <w:szCs w:val="20"/>
        </w:rPr>
        <w:t xml:space="preserve"> give up their right</w:t>
      </w:r>
      <w:r w:rsidRPr="008D6E5C">
        <w:rPr>
          <w:rFonts w:ascii="Cambria" w:hAnsi="Cambria"/>
          <w:sz w:val="20"/>
          <w:szCs w:val="20"/>
        </w:rPr>
        <w:t xml:space="preserve">. </w:t>
      </w:r>
      <w:r w:rsidR="00D57EA5" w:rsidRPr="008D6E5C">
        <w:rPr>
          <w:rFonts w:ascii="Cambria" w:hAnsi="Cambria"/>
          <w:sz w:val="20"/>
          <w:szCs w:val="20"/>
        </w:rPr>
        <w:t>He indicated that they were</w:t>
      </w:r>
      <w:r w:rsidRPr="008D6E5C">
        <w:rPr>
          <w:rFonts w:ascii="Cambria" w:hAnsi="Cambria"/>
          <w:sz w:val="20"/>
          <w:szCs w:val="20"/>
        </w:rPr>
        <w:t xml:space="preserve"> “</w:t>
      </w:r>
      <w:r w:rsidR="00D57EA5" w:rsidRPr="008D6E5C">
        <w:rPr>
          <w:rFonts w:ascii="Cambria" w:hAnsi="Cambria"/>
          <w:sz w:val="20"/>
          <w:szCs w:val="20"/>
        </w:rPr>
        <w:t xml:space="preserve">warned verbally and telephonically that if they continue[d] to </w:t>
      </w:r>
      <w:r w:rsidR="00B17062" w:rsidRPr="008D6E5C">
        <w:rPr>
          <w:rFonts w:ascii="Cambria" w:hAnsi="Cambria"/>
          <w:sz w:val="20"/>
          <w:szCs w:val="20"/>
        </w:rPr>
        <w:t>go after</w:t>
      </w:r>
      <w:r w:rsidR="00D57EA5" w:rsidRPr="008D6E5C">
        <w:rPr>
          <w:rFonts w:ascii="Cambria" w:hAnsi="Cambria"/>
          <w:sz w:val="20"/>
          <w:szCs w:val="20"/>
        </w:rPr>
        <w:t xml:space="preserve"> the perpetrators </w:t>
      </w:r>
      <w:r w:rsidR="002923A5" w:rsidRPr="008D6E5C">
        <w:rPr>
          <w:rFonts w:ascii="Cambria" w:hAnsi="Cambria"/>
          <w:sz w:val="20"/>
          <w:szCs w:val="20"/>
        </w:rPr>
        <w:t>there would be more deaths in the family</w:t>
      </w:r>
      <w:r w:rsidRPr="008D6E5C">
        <w:rPr>
          <w:rFonts w:ascii="Cambria" w:hAnsi="Cambria"/>
          <w:sz w:val="20"/>
          <w:szCs w:val="20"/>
        </w:rPr>
        <w:t>.”</w:t>
      </w:r>
      <w:r w:rsidRPr="008D6E5C">
        <w:rPr>
          <w:rStyle w:val="FootnoteReference"/>
          <w:rFonts w:ascii="Cambria" w:hAnsi="Cambria"/>
          <w:sz w:val="20"/>
          <w:szCs w:val="20"/>
        </w:rPr>
        <w:footnoteReference w:id="95"/>
      </w:r>
    </w:p>
    <w:p w:rsidR="00C0575F" w:rsidRPr="008D6E5C" w:rsidRDefault="00C0575F" w:rsidP="001520DB">
      <w:pPr>
        <w:pStyle w:val="ListParagraph"/>
        <w:jc w:val="both"/>
        <w:rPr>
          <w:sz w:val="20"/>
          <w:szCs w:val="20"/>
        </w:rPr>
      </w:pPr>
    </w:p>
    <w:p w:rsidR="00C0575F" w:rsidRPr="008D6E5C" w:rsidRDefault="002923A5"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According to</w:t>
      </w:r>
      <w:r w:rsidR="00C0575F" w:rsidRPr="008D6E5C">
        <w:rPr>
          <w:rFonts w:ascii="Cambria" w:hAnsi="Cambria"/>
          <w:sz w:val="20"/>
          <w:szCs w:val="20"/>
        </w:rPr>
        <w:t xml:space="preserve"> Judith </w:t>
      </w:r>
      <w:proofErr w:type="spellStart"/>
      <w:r w:rsidR="00C0575F" w:rsidRPr="008D6E5C">
        <w:rPr>
          <w:rFonts w:ascii="Cambria" w:hAnsi="Cambria"/>
          <w:sz w:val="20"/>
          <w:szCs w:val="20"/>
        </w:rPr>
        <w:t>Carvajal</w:t>
      </w:r>
      <w:proofErr w:type="spellEnd"/>
      <w:r w:rsidR="00C0575F" w:rsidRPr="008D6E5C">
        <w:rPr>
          <w:rFonts w:ascii="Cambria" w:hAnsi="Cambria"/>
          <w:sz w:val="20"/>
          <w:szCs w:val="20"/>
        </w:rPr>
        <w:t xml:space="preserve">, after January 5, 1999, </w:t>
      </w:r>
      <w:r w:rsidRPr="008D6E5C">
        <w:rPr>
          <w:rFonts w:ascii="Cambria" w:hAnsi="Cambria"/>
          <w:sz w:val="20"/>
          <w:szCs w:val="20"/>
        </w:rPr>
        <w:t xml:space="preserve">the date on which </w:t>
      </w:r>
      <w:r w:rsidR="00C0575F" w:rsidRPr="008D6E5C">
        <w:rPr>
          <w:rFonts w:ascii="Cambria" w:hAnsi="Cambria"/>
          <w:sz w:val="20"/>
          <w:szCs w:val="20"/>
        </w:rPr>
        <w:t xml:space="preserve">the Office of the Prosecutor General </w:t>
      </w:r>
      <w:r w:rsidRPr="008D6E5C">
        <w:rPr>
          <w:rFonts w:ascii="Cambria" w:hAnsi="Cambria"/>
          <w:sz w:val="20"/>
          <w:szCs w:val="20"/>
        </w:rPr>
        <w:t>arrested the</w:t>
      </w:r>
      <w:r w:rsidR="00C0575F" w:rsidRPr="008D6E5C">
        <w:rPr>
          <w:rFonts w:ascii="Cambria" w:hAnsi="Cambria"/>
          <w:sz w:val="20"/>
          <w:szCs w:val="20"/>
        </w:rPr>
        <w:t xml:space="preserve"> alleged masterminds </w:t>
      </w:r>
      <w:r w:rsidRPr="008D6E5C">
        <w:rPr>
          <w:rFonts w:ascii="Cambria" w:hAnsi="Cambria"/>
          <w:sz w:val="20"/>
          <w:szCs w:val="20"/>
        </w:rPr>
        <w:t>and direct perpetrators of</w:t>
      </w:r>
      <w:r w:rsidR="00C0575F" w:rsidRPr="008D6E5C">
        <w:rPr>
          <w:rFonts w:ascii="Cambria" w:hAnsi="Cambria"/>
          <w:sz w:val="20"/>
          <w:szCs w:val="20"/>
        </w:rPr>
        <w:t xml:space="preserve"> Nelson </w:t>
      </w:r>
      <w:proofErr w:type="spellStart"/>
      <w:r w:rsidR="00C0575F" w:rsidRPr="008D6E5C">
        <w:rPr>
          <w:rFonts w:ascii="Cambria" w:hAnsi="Cambria"/>
          <w:sz w:val="20"/>
          <w:szCs w:val="20"/>
        </w:rPr>
        <w:t>Carvajal</w:t>
      </w:r>
      <w:r w:rsidRPr="008D6E5C">
        <w:rPr>
          <w:rFonts w:ascii="Cambria" w:hAnsi="Cambria"/>
          <w:sz w:val="20"/>
          <w:szCs w:val="20"/>
        </w:rPr>
        <w:t>’s</w:t>
      </w:r>
      <w:proofErr w:type="spellEnd"/>
      <w:r w:rsidRPr="008D6E5C">
        <w:rPr>
          <w:rFonts w:ascii="Cambria" w:hAnsi="Cambria"/>
          <w:sz w:val="20"/>
          <w:szCs w:val="20"/>
        </w:rPr>
        <w:t xml:space="preserve"> murder</w:t>
      </w:r>
      <w:r w:rsidR="00C0575F" w:rsidRPr="008D6E5C">
        <w:rPr>
          <w:rFonts w:ascii="Cambria" w:hAnsi="Cambria"/>
          <w:sz w:val="20"/>
          <w:szCs w:val="20"/>
        </w:rPr>
        <w:t xml:space="preserve">, </w:t>
      </w:r>
      <w:r w:rsidRPr="008D6E5C">
        <w:rPr>
          <w:rFonts w:ascii="Cambria" w:hAnsi="Cambria"/>
          <w:sz w:val="20"/>
          <w:szCs w:val="20"/>
        </w:rPr>
        <w:t>the threats increased</w:t>
      </w:r>
      <w:r w:rsidR="00C0575F" w:rsidRPr="008D6E5C">
        <w:rPr>
          <w:rFonts w:ascii="Cambria" w:hAnsi="Cambria"/>
          <w:sz w:val="20"/>
          <w:szCs w:val="20"/>
        </w:rPr>
        <w:t xml:space="preserve">. </w:t>
      </w:r>
      <w:r w:rsidR="007E1E47" w:rsidRPr="008D6E5C">
        <w:rPr>
          <w:rFonts w:ascii="Cambria" w:hAnsi="Cambria"/>
          <w:sz w:val="20"/>
          <w:szCs w:val="20"/>
        </w:rPr>
        <w:t>She stated that the calls intensified, both to her house and to the</w:t>
      </w:r>
      <w:r w:rsidR="00C0575F" w:rsidRPr="008D6E5C">
        <w:rPr>
          <w:rFonts w:ascii="Cambria" w:hAnsi="Cambria"/>
          <w:sz w:val="20"/>
          <w:szCs w:val="20"/>
        </w:rPr>
        <w:t xml:space="preserve"> </w:t>
      </w:r>
      <w:r w:rsidR="00C0575F" w:rsidRPr="008D6E5C">
        <w:rPr>
          <w:rFonts w:ascii="Cambria" w:hAnsi="Cambria"/>
          <w:i/>
          <w:sz w:val="20"/>
          <w:szCs w:val="20"/>
        </w:rPr>
        <w:t>Radio Sur</w:t>
      </w:r>
      <w:r w:rsidR="007E1E47" w:rsidRPr="008D6E5C">
        <w:rPr>
          <w:rFonts w:ascii="Cambria" w:hAnsi="Cambria"/>
          <w:i/>
          <w:sz w:val="20"/>
          <w:szCs w:val="20"/>
        </w:rPr>
        <w:t xml:space="preserve"> </w:t>
      </w:r>
      <w:r w:rsidR="007E1E47" w:rsidRPr="008D6E5C">
        <w:rPr>
          <w:rFonts w:ascii="Cambria" w:hAnsi="Cambria"/>
          <w:sz w:val="20"/>
          <w:szCs w:val="20"/>
        </w:rPr>
        <w:t>radio station</w:t>
      </w:r>
      <w:r w:rsidR="00C0575F" w:rsidRPr="008D6E5C">
        <w:rPr>
          <w:rFonts w:ascii="Cambria" w:hAnsi="Cambria"/>
          <w:sz w:val="20"/>
          <w:szCs w:val="20"/>
        </w:rPr>
        <w:t xml:space="preserve">, </w:t>
      </w:r>
      <w:r w:rsidR="007E1E47" w:rsidRPr="008D6E5C">
        <w:rPr>
          <w:rFonts w:ascii="Cambria" w:hAnsi="Cambria"/>
          <w:sz w:val="20"/>
          <w:szCs w:val="20"/>
        </w:rPr>
        <w:t>where she had a Sunday program</w:t>
      </w:r>
      <w:r w:rsidR="00C0575F" w:rsidRPr="008D6E5C">
        <w:rPr>
          <w:rFonts w:ascii="Cambria" w:hAnsi="Cambria"/>
          <w:sz w:val="20"/>
          <w:szCs w:val="20"/>
        </w:rPr>
        <w:t>.</w:t>
      </w:r>
      <w:r w:rsidR="00C0575F" w:rsidRPr="008D6E5C">
        <w:rPr>
          <w:rStyle w:val="FootnoteReference"/>
          <w:rFonts w:ascii="Cambria" w:hAnsi="Cambria"/>
          <w:sz w:val="20"/>
          <w:szCs w:val="20"/>
        </w:rPr>
        <w:footnoteReference w:id="96"/>
      </w:r>
      <w:r w:rsidR="00C0575F" w:rsidRPr="008D6E5C">
        <w:rPr>
          <w:rFonts w:ascii="Cambria" w:hAnsi="Cambria"/>
          <w:sz w:val="20"/>
          <w:szCs w:val="20"/>
        </w:rPr>
        <w:t xml:space="preserve"> </w:t>
      </w:r>
      <w:r w:rsidR="00CD7C9F" w:rsidRPr="008D6E5C">
        <w:rPr>
          <w:rFonts w:ascii="Cambria" w:hAnsi="Cambria"/>
          <w:sz w:val="20"/>
          <w:szCs w:val="20"/>
        </w:rPr>
        <w:t>She further</w:t>
      </w:r>
      <w:r w:rsidR="00C0575F" w:rsidRPr="008D6E5C">
        <w:rPr>
          <w:rFonts w:ascii="Cambria" w:hAnsi="Cambria"/>
          <w:sz w:val="20"/>
          <w:szCs w:val="20"/>
        </w:rPr>
        <w:t xml:space="preserve"> indicated that in March 1999, </w:t>
      </w:r>
      <w:r w:rsidR="00CD7C9F" w:rsidRPr="008D6E5C">
        <w:rPr>
          <w:rFonts w:ascii="Cambria" w:hAnsi="Cambria"/>
          <w:sz w:val="20"/>
          <w:szCs w:val="20"/>
        </w:rPr>
        <w:t>a man approached her at the exit of the</w:t>
      </w:r>
      <w:r w:rsidR="00C0575F" w:rsidRPr="008D6E5C">
        <w:rPr>
          <w:rFonts w:ascii="Cambria" w:hAnsi="Cambria"/>
          <w:sz w:val="20"/>
          <w:szCs w:val="20"/>
        </w:rPr>
        <w:t xml:space="preserve"> </w:t>
      </w:r>
      <w:proofErr w:type="spellStart"/>
      <w:r w:rsidR="00C0575F" w:rsidRPr="008D6E5C">
        <w:rPr>
          <w:rFonts w:ascii="Cambria" w:hAnsi="Cambria"/>
          <w:sz w:val="20"/>
          <w:szCs w:val="20"/>
        </w:rPr>
        <w:t>María</w:t>
      </w:r>
      <w:proofErr w:type="spellEnd"/>
      <w:r w:rsidR="00C0575F" w:rsidRPr="008D6E5C">
        <w:rPr>
          <w:rFonts w:ascii="Cambria" w:hAnsi="Cambria"/>
          <w:sz w:val="20"/>
          <w:szCs w:val="20"/>
        </w:rPr>
        <w:t xml:space="preserve"> </w:t>
      </w:r>
      <w:proofErr w:type="spellStart"/>
      <w:r w:rsidR="00C0575F" w:rsidRPr="008D6E5C">
        <w:rPr>
          <w:rFonts w:ascii="Cambria" w:hAnsi="Cambria"/>
          <w:sz w:val="20"/>
          <w:szCs w:val="20"/>
        </w:rPr>
        <w:t>Auxiliadora</w:t>
      </w:r>
      <w:proofErr w:type="spellEnd"/>
      <w:r w:rsidR="00CD7C9F" w:rsidRPr="008D6E5C">
        <w:rPr>
          <w:rFonts w:ascii="Cambria" w:hAnsi="Cambria"/>
          <w:sz w:val="20"/>
          <w:szCs w:val="20"/>
        </w:rPr>
        <w:t xml:space="preserve"> of</w:t>
      </w:r>
      <w:r w:rsidR="00C0575F" w:rsidRPr="008D6E5C">
        <w:rPr>
          <w:rFonts w:ascii="Cambria" w:hAnsi="Cambria"/>
          <w:sz w:val="20"/>
          <w:szCs w:val="20"/>
        </w:rPr>
        <w:t xml:space="preserve"> </w:t>
      </w:r>
      <w:proofErr w:type="spellStart"/>
      <w:r w:rsidR="00C0575F" w:rsidRPr="008D6E5C">
        <w:rPr>
          <w:rFonts w:ascii="Cambria" w:hAnsi="Cambria"/>
          <w:sz w:val="20"/>
          <w:szCs w:val="20"/>
        </w:rPr>
        <w:t>Pitalito</w:t>
      </w:r>
      <w:proofErr w:type="spellEnd"/>
      <w:r w:rsidR="00C0575F" w:rsidRPr="008D6E5C">
        <w:rPr>
          <w:rFonts w:ascii="Cambria" w:hAnsi="Cambria"/>
          <w:sz w:val="20"/>
          <w:szCs w:val="20"/>
        </w:rPr>
        <w:t xml:space="preserve"> </w:t>
      </w:r>
      <w:r w:rsidR="00CD7C9F" w:rsidRPr="008D6E5C">
        <w:rPr>
          <w:rFonts w:ascii="Cambria" w:hAnsi="Cambria"/>
          <w:sz w:val="20"/>
          <w:szCs w:val="20"/>
        </w:rPr>
        <w:t xml:space="preserve">Clinic </w:t>
      </w:r>
      <w:r w:rsidR="007D3B5B" w:rsidRPr="008D6E5C">
        <w:rPr>
          <w:rFonts w:ascii="Cambria" w:hAnsi="Cambria"/>
          <w:sz w:val="20"/>
          <w:szCs w:val="20"/>
        </w:rPr>
        <w:t>and said that she was</w:t>
      </w:r>
      <w:r w:rsidR="00C0575F" w:rsidRPr="008D6E5C">
        <w:rPr>
          <w:rFonts w:ascii="Cambria" w:hAnsi="Cambria"/>
          <w:sz w:val="20"/>
          <w:szCs w:val="20"/>
        </w:rPr>
        <w:t xml:space="preserve"> “</w:t>
      </w:r>
      <w:r w:rsidR="00CD7C9F" w:rsidRPr="008D6E5C">
        <w:rPr>
          <w:rFonts w:ascii="Cambria" w:hAnsi="Cambria"/>
          <w:sz w:val="20"/>
          <w:szCs w:val="20"/>
        </w:rPr>
        <w:t>the one who was</w:t>
      </w:r>
      <w:r w:rsidR="00C0575F" w:rsidRPr="008D6E5C">
        <w:rPr>
          <w:rFonts w:ascii="Cambria" w:hAnsi="Cambria"/>
          <w:sz w:val="20"/>
          <w:szCs w:val="20"/>
        </w:rPr>
        <w:t xml:space="preserve"> </w:t>
      </w:r>
      <w:r w:rsidR="007A084C" w:rsidRPr="008D6E5C">
        <w:rPr>
          <w:rFonts w:ascii="Cambria" w:hAnsi="Cambria"/>
          <w:sz w:val="20"/>
          <w:szCs w:val="20"/>
        </w:rPr>
        <w:t>being a pain in the ass</w:t>
      </w:r>
      <w:r w:rsidR="00C0575F" w:rsidRPr="008D6E5C">
        <w:rPr>
          <w:rFonts w:ascii="Cambria" w:hAnsi="Cambria"/>
          <w:sz w:val="20"/>
          <w:szCs w:val="20"/>
        </w:rPr>
        <w:t xml:space="preserve">, </w:t>
      </w:r>
      <w:r w:rsidR="007A084C" w:rsidRPr="008D6E5C">
        <w:rPr>
          <w:rFonts w:ascii="Cambria" w:hAnsi="Cambria"/>
          <w:sz w:val="20"/>
          <w:szCs w:val="20"/>
        </w:rPr>
        <w:t>that she was the chip that had to be knocked down</w:t>
      </w:r>
      <w:r w:rsidR="00C0575F" w:rsidRPr="008D6E5C">
        <w:rPr>
          <w:rFonts w:ascii="Cambria" w:hAnsi="Cambria"/>
          <w:sz w:val="20"/>
          <w:szCs w:val="20"/>
        </w:rPr>
        <w:t xml:space="preserve"> </w:t>
      </w:r>
      <w:r w:rsidR="007A084C" w:rsidRPr="008D6E5C">
        <w:rPr>
          <w:rFonts w:ascii="Cambria" w:hAnsi="Cambria"/>
          <w:sz w:val="20"/>
          <w:szCs w:val="20"/>
        </w:rPr>
        <w:t>in order to win the business,</w:t>
      </w:r>
      <w:r w:rsidR="00C0575F" w:rsidRPr="008D6E5C">
        <w:rPr>
          <w:rFonts w:ascii="Cambria" w:hAnsi="Cambria"/>
          <w:sz w:val="20"/>
          <w:szCs w:val="20"/>
        </w:rPr>
        <w:t xml:space="preserve">” </w:t>
      </w:r>
      <w:r w:rsidR="007A084C" w:rsidRPr="008D6E5C">
        <w:rPr>
          <w:rFonts w:ascii="Cambria" w:hAnsi="Cambria"/>
          <w:sz w:val="20"/>
          <w:szCs w:val="20"/>
        </w:rPr>
        <w:t xml:space="preserve">and </w:t>
      </w:r>
      <w:r w:rsidR="00D23FA4" w:rsidRPr="008D6E5C">
        <w:rPr>
          <w:rFonts w:ascii="Cambria" w:hAnsi="Cambria"/>
          <w:sz w:val="20"/>
          <w:szCs w:val="20"/>
        </w:rPr>
        <w:t xml:space="preserve">that </w:t>
      </w:r>
      <w:r w:rsidR="007A084C" w:rsidRPr="008D6E5C">
        <w:rPr>
          <w:rFonts w:ascii="Cambria" w:hAnsi="Cambria"/>
          <w:sz w:val="20"/>
          <w:szCs w:val="20"/>
        </w:rPr>
        <w:t>he said to some other men who were with him,</w:t>
      </w:r>
      <w:r w:rsidR="00C0575F" w:rsidRPr="008D6E5C">
        <w:rPr>
          <w:rFonts w:ascii="Cambria" w:hAnsi="Cambria"/>
          <w:sz w:val="20"/>
          <w:szCs w:val="20"/>
        </w:rPr>
        <w:t xml:space="preserve"> “that’s her.”</w:t>
      </w:r>
      <w:r w:rsidR="00C0575F" w:rsidRPr="008D6E5C">
        <w:rPr>
          <w:rStyle w:val="FootnoteReference"/>
          <w:rFonts w:ascii="Cambria" w:hAnsi="Cambria"/>
          <w:sz w:val="20"/>
          <w:szCs w:val="20"/>
        </w:rPr>
        <w:t xml:space="preserve"> </w:t>
      </w:r>
      <w:r w:rsidR="00C0575F" w:rsidRPr="008D6E5C">
        <w:rPr>
          <w:rStyle w:val="FootnoteReference"/>
          <w:rFonts w:ascii="Cambria" w:hAnsi="Cambria"/>
          <w:sz w:val="20"/>
          <w:szCs w:val="20"/>
        </w:rPr>
        <w:footnoteReference w:id="97"/>
      </w:r>
      <w:r w:rsidR="00C0575F" w:rsidRPr="008D6E5C">
        <w:rPr>
          <w:rFonts w:ascii="Cambria" w:hAnsi="Cambria"/>
          <w:sz w:val="20"/>
          <w:szCs w:val="20"/>
        </w:rPr>
        <w:t xml:space="preserve"> Judith </w:t>
      </w:r>
      <w:proofErr w:type="spellStart"/>
      <w:r w:rsidR="00C0575F" w:rsidRPr="008D6E5C">
        <w:rPr>
          <w:rFonts w:ascii="Cambria" w:hAnsi="Cambria"/>
          <w:sz w:val="20"/>
          <w:szCs w:val="20"/>
        </w:rPr>
        <w:t>Carvajal</w:t>
      </w:r>
      <w:proofErr w:type="spellEnd"/>
      <w:r w:rsidR="00C0575F" w:rsidRPr="008D6E5C">
        <w:rPr>
          <w:rFonts w:ascii="Cambria" w:hAnsi="Cambria"/>
          <w:sz w:val="20"/>
          <w:szCs w:val="20"/>
        </w:rPr>
        <w:t xml:space="preserve"> further stated that on Apri</w:t>
      </w:r>
      <w:r w:rsidR="00353AEE" w:rsidRPr="008D6E5C">
        <w:rPr>
          <w:rFonts w:ascii="Cambria" w:hAnsi="Cambria"/>
          <w:sz w:val="20"/>
          <w:szCs w:val="20"/>
        </w:rPr>
        <w:t>l 3, 1999, Mr. Luis Ortiz</w:t>
      </w:r>
      <w:r w:rsidR="00C0575F" w:rsidRPr="008D6E5C">
        <w:rPr>
          <w:rFonts w:ascii="Cambria" w:hAnsi="Cambria"/>
          <w:sz w:val="20"/>
          <w:szCs w:val="20"/>
        </w:rPr>
        <w:t xml:space="preserve"> </w:t>
      </w:r>
      <w:r w:rsidR="00353AEE" w:rsidRPr="008D6E5C">
        <w:rPr>
          <w:rFonts w:ascii="Cambria" w:hAnsi="Cambria"/>
          <w:sz w:val="20"/>
          <w:szCs w:val="20"/>
        </w:rPr>
        <w:t xml:space="preserve">personally told her that he had a direct order from the men involved </w:t>
      </w:r>
      <w:r w:rsidR="007D3B5B" w:rsidRPr="008D6E5C">
        <w:rPr>
          <w:rFonts w:ascii="Cambria" w:hAnsi="Cambria"/>
          <w:sz w:val="20"/>
          <w:szCs w:val="20"/>
        </w:rPr>
        <w:t>in</w:t>
      </w:r>
      <w:r w:rsidR="00C0575F" w:rsidRPr="008D6E5C">
        <w:rPr>
          <w:rFonts w:ascii="Cambria" w:hAnsi="Cambria"/>
          <w:sz w:val="20"/>
          <w:szCs w:val="20"/>
        </w:rPr>
        <w:t xml:space="preserve"> Nelson </w:t>
      </w:r>
      <w:proofErr w:type="spellStart"/>
      <w:r w:rsidR="00C0575F" w:rsidRPr="008D6E5C">
        <w:rPr>
          <w:rFonts w:ascii="Cambria" w:hAnsi="Cambria"/>
          <w:sz w:val="20"/>
          <w:szCs w:val="20"/>
        </w:rPr>
        <w:t>Carvajal’s</w:t>
      </w:r>
      <w:proofErr w:type="spellEnd"/>
      <w:r w:rsidR="00C0575F" w:rsidRPr="008D6E5C">
        <w:rPr>
          <w:rFonts w:ascii="Cambria" w:hAnsi="Cambria"/>
          <w:sz w:val="20"/>
          <w:szCs w:val="20"/>
        </w:rPr>
        <w:t xml:space="preserve"> murder</w:t>
      </w:r>
      <w:r w:rsidR="00353AEE" w:rsidRPr="008D6E5C">
        <w:rPr>
          <w:rFonts w:ascii="Cambria" w:hAnsi="Cambria"/>
          <w:sz w:val="20"/>
          <w:szCs w:val="20"/>
        </w:rPr>
        <w:t xml:space="preserve"> to kill her</w:t>
      </w:r>
      <w:r w:rsidR="00C0575F" w:rsidRPr="008D6E5C">
        <w:rPr>
          <w:rFonts w:ascii="Cambria" w:hAnsi="Cambria"/>
          <w:sz w:val="20"/>
          <w:szCs w:val="20"/>
        </w:rPr>
        <w:t xml:space="preserve">. </w:t>
      </w:r>
      <w:r w:rsidR="00353AEE" w:rsidRPr="008D6E5C">
        <w:rPr>
          <w:rFonts w:ascii="Cambria" w:hAnsi="Cambria"/>
          <w:sz w:val="20"/>
          <w:szCs w:val="20"/>
        </w:rPr>
        <w:t>This person reportedly told</w:t>
      </w:r>
      <w:r w:rsidR="00C0575F" w:rsidRPr="008D6E5C">
        <w:rPr>
          <w:rFonts w:ascii="Cambria" w:hAnsi="Cambria"/>
          <w:sz w:val="20"/>
          <w:szCs w:val="20"/>
        </w:rPr>
        <w:t xml:space="preserve"> Judith </w:t>
      </w:r>
      <w:proofErr w:type="spellStart"/>
      <w:r w:rsidR="00C0575F" w:rsidRPr="008D6E5C">
        <w:rPr>
          <w:rFonts w:ascii="Cambria" w:hAnsi="Cambria"/>
          <w:sz w:val="20"/>
          <w:szCs w:val="20"/>
        </w:rPr>
        <w:t>Carvajal</w:t>
      </w:r>
      <w:proofErr w:type="spellEnd"/>
      <w:r w:rsidR="00C0575F" w:rsidRPr="008D6E5C">
        <w:rPr>
          <w:rFonts w:ascii="Cambria" w:hAnsi="Cambria"/>
          <w:sz w:val="20"/>
          <w:szCs w:val="20"/>
        </w:rPr>
        <w:t xml:space="preserve"> </w:t>
      </w:r>
      <w:r w:rsidR="00353AEE" w:rsidRPr="008D6E5C">
        <w:rPr>
          <w:rFonts w:ascii="Cambria" w:hAnsi="Cambria"/>
          <w:sz w:val="20"/>
          <w:szCs w:val="20"/>
        </w:rPr>
        <w:t xml:space="preserve">that the order had been given to his accomplices, who were </w:t>
      </w:r>
      <w:r w:rsidR="00C0575F" w:rsidRPr="008D6E5C">
        <w:rPr>
          <w:rFonts w:ascii="Cambria" w:hAnsi="Cambria"/>
          <w:sz w:val="20"/>
          <w:szCs w:val="20"/>
        </w:rPr>
        <w:t xml:space="preserve">in </w:t>
      </w:r>
      <w:proofErr w:type="spellStart"/>
      <w:r w:rsidR="00C0575F" w:rsidRPr="008D6E5C">
        <w:rPr>
          <w:rFonts w:ascii="Cambria" w:hAnsi="Cambria"/>
          <w:sz w:val="20"/>
          <w:szCs w:val="20"/>
        </w:rPr>
        <w:t>Pitalito</w:t>
      </w:r>
      <w:proofErr w:type="spellEnd"/>
      <w:r w:rsidR="00353AEE" w:rsidRPr="008D6E5C">
        <w:rPr>
          <w:rFonts w:ascii="Cambria" w:hAnsi="Cambria"/>
          <w:sz w:val="20"/>
          <w:szCs w:val="20"/>
        </w:rPr>
        <w:t xml:space="preserve"> at the time</w:t>
      </w:r>
      <w:r w:rsidR="00C0575F" w:rsidRPr="008D6E5C">
        <w:rPr>
          <w:rFonts w:ascii="Cambria" w:hAnsi="Cambria"/>
          <w:sz w:val="20"/>
          <w:szCs w:val="20"/>
        </w:rPr>
        <w:t xml:space="preserve">, </w:t>
      </w:r>
      <w:r w:rsidR="00353AEE" w:rsidRPr="008D6E5C">
        <w:rPr>
          <w:rFonts w:ascii="Cambria" w:hAnsi="Cambria"/>
          <w:sz w:val="20"/>
          <w:szCs w:val="20"/>
        </w:rPr>
        <w:t>via cell phone from the La</w:t>
      </w:r>
      <w:r w:rsidR="00C0575F" w:rsidRPr="008D6E5C">
        <w:rPr>
          <w:rFonts w:ascii="Cambria" w:hAnsi="Cambria"/>
          <w:sz w:val="20"/>
          <w:szCs w:val="20"/>
        </w:rPr>
        <w:t xml:space="preserve"> </w:t>
      </w:r>
      <w:proofErr w:type="spellStart"/>
      <w:r w:rsidR="00C0575F" w:rsidRPr="008D6E5C">
        <w:rPr>
          <w:rFonts w:ascii="Cambria" w:hAnsi="Cambria"/>
          <w:sz w:val="20"/>
          <w:szCs w:val="20"/>
        </w:rPr>
        <w:t>Picota</w:t>
      </w:r>
      <w:proofErr w:type="spellEnd"/>
      <w:r w:rsidR="00C0575F" w:rsidRPr="008D6E5C">
        <w:rPr>
          <w:rFonts w:ascii="Cambria" w:hAnsi="Cambria"/>
          <w:sz w:val="20"/>
          <w:szCs w:val="20"/>
        </w:rPr>
        <w:t xml:space="preserve"> </w:t>
      </w:r>
      <w:r w:rsidR="00353AEE" w:rsidRPr="008D6E5C">
        <w:rPr>
          <w:rFonts w:ascii="Cambria" w:hAnsi="Cambria"/>
          <w:sz w:val="20"/>
          <w:szCs w:val="20"/>
        </w:rPr>
        <w:t>prison in</w:t>
      </w:r>
      <w:r w:rsidR="00C0575F" w:rsidRPr="008D6E5C">
        <w:rPr>
          <w:rFonts w:ascii="Cambria" w:hAnsi="Cambria"/>
          <w:sz w:val="20"/>
          <w:szCs w:val="20"/>
        </w:rPr>
        <w:t xml:space="preserve"> Bogotá, </w:t>
      </w:r>
      <w:r w:rsidR="00353AEE" w:rsidRPr="008D6E5C">
        <w:rPr>
          <w:rFonts w:ascii="Cambria" w:hAnsi="Cambria"/>
          <w:sz w:val="20"/>
          <w:szCs w:val="20"/>
        </w:rPr>
        <w:t>where the defendants were being held</w:t>
      </w:r>
      <w:r w:rsidR="00C0575F" w:rsidRPr="008D6E5C">
        <w:rPr>
          <w:rFonts w:ascii="Cambria" w:hAnsi="Cambria"/>
          <w:sz w:val="20"/>
          <w:szCs w:val="20"/>
        </w:rPr>
        <w:t xml:space="preserve">. </w:t>
      </w:r>
      <w:r w:rsidR="00353AEE" w:rsidRPr="008D6E5C">
        <w:rPr>
          <w:rFonts w:ascii="Cambria" w:hAnsi="Cambria"/>
          <w:sz w:val="20"/>
          <w:szCs w:val="20"/>
        </w:rPr>
        <w:t xml:space="preserve">She stated that if she or anyone else in her family were killed, she would place the blame directly on the individuals </w:t>
      </w:r>
      <w:r w:rsidR="004B2A3F" w:rsidRPr="008D6E5C">
        <w:rPr>
          <w:rFonts w:ascii="Cambria" w:hAnsi="Cambria"/>
          <w:sz w:val="20"/>
          <w:szCs w:val="20"/>
        </w:rPr>
        <w:t>charged with</w:t>
      </w:r>
      <w:r w:rsidR="00C0575F" w:rsidRPr="008D6E5C">
        <w:rPr>
          <w:rFonts w:ascii="Cambria" w:hAnsi="Cambria"/>
          <w:sz w:val="20"/>
          <w:szCs w:val="20"/>
        </w:rPr>
        <w:t xml:space="preserve"> </w:t>
      </w:r>
      <w:r w:rsidR="00724A76" w:rsidRPr="008D6E5C">
        <w:rPr>
          <w:rFonts w:ascii="Cambria" w:hAnsi="Cambria"/>
          <w:sz w:val="20"/>
          <w:szCs w:val="20"/>
        </w:rPr>
        <w:t>mastermind</w:t>
      </w:r>
      <w:r w:rsidR="00353AEE" w:rsidRPr="008D6E5C">
        <w:rPr>
          <w:rFonts w:ascii="Cambria" w:hAnsi="Cambria"/>
          <w:sz w:val="20"/>
          <w:szCs w:val="20"/>
        </w:rPr>
        <w:t xml:space="preserve">ing her brother’s murder. She also stated that her </w:t>
      </w:r>
      <w:r w:rsidR="00C0575F" w:rsidRPr="008D6E5C">
        <w:rPr>
          <w:rFonts w:ascii="Cambria" w:hAnsi="Cambria"/>
          <w:sz w:val="20"/>
          <w:szCs w:val="20"/>
        </w:rPr>
        <w:t>“famil</w:t>
      </w:r>
      <w:r w:rsidR="00353AEE" w:rsidRPr="008D6E5C">
        <w:rPr>
          <w:rFonts w:ascii="Cambria" w:hAnsi="Cambria"/>
          <w:sz w:val="20"/>
          <w:szCs w:val="20"/>
        </w:rPr>
        <w:t xml:space="preserve">y had no other trouble with anyone else. The only trouble we have now is because of this investigation, </w:t>
      </w:r>
      <w:r w:rsidR="00EA09B0" w:rsidRPr="008D6E5C">
        <w:rPr>
          <w:rFonts w:ascii="Cambria" w:hAnsi="Cambria"/>
          <w:sz w:val="20"/>
          <w:szCs w:val="20"/>
        </w:rPr>
        <w:t>and therefore, anything that happens to my family is the result of this case</w:t>
      </w:r>
      <w:r w:rsidR="00C0575F" w:rsidRPr="008D6E5C">
        <w:rPr>
          <w:rFonts w:ascii="Cambria" w:hAnsi="Cambria"/>
          <w:sz w:val="20"/>
          <w:szCs w:val="20"/>
        </w:rPr>
        <w:t>.”</w:t>
      </w:r>
      <w:r w:rsidR="00C0575F" w:rsidRPr="008D6E5C">
        <w:rPr>
          <w:rStyle w:val="FootnoteReference"/>
          <w:rFonts w:ascii="Cambria" w:hAnsi="Cambria"/>
          <w:sz w:val="20"/>
          <w:szCs w:val="20"/>
        </w:rPr>
        <w:footnoteReference w:id="98"/>
      </w:r>
      <w:r w:rsidR="00C0575F" w:rsidRPr="008D6E5C">
        <w:rPr>
          <w:rFonts w:ascii="Cambria" w:hAnsi="Cambria"/>
          <w:sz w:val="20"/>
          <w:szCs w:val="20"/>
        </w:rPr>
        <w:t xml:space="preserve"> </w:t>
      </w:r>
      <w:r w:rsidR="00353AEE" w:rsidRPr="008D6E5C">
        <w:rPr>
          <w:rFonts w:ascii="Cambria" w:hAnsi="Cambria"/>
          <w:sz w:val="20"/>
          <w:szCs w:val="20"/>
        </w:rPr>
        <w:t xml:space="preserve"> </w:t>
      </w:r>
    </w:p>
    <w:p w:rsidR="00C0575F" w:rsidRPr="008D6E5C" w:rsidRDefault="00C0575F" w:rsidP="001520DB">
      <w:pPr>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4B2A3F" w:rsidRPr="008D6E5C">
        <w:rPr>
          <w:rFonts w:ascii="Cambria" w:hAnsi="Cambria"/>
          <w:sz w:val="20"/>
          <w:szCs w:val="20"/>
        </w:rPr>
        <w:t>additionally stated</w:t>
      </w:r>
      <w:r w:rsidRPr="008D6E5C">
        <w:rPr>
          <w:rFonts w:ascii="Cambria" w:hAnsi="Cambria"/>
          <w:sz w:val="20"/>
          <w:szCs w:val="20"/>
        </w:rPr>
        <w:t xml:space="preserve"> that on the afternoon of April 14, 1999, there was a man outside her house for a lengthy period of time. </w:t>
      </w:r>
      <w:r w:rsidR="005953D4" w:rsidRPr="008D6E5C">
        <w:rPr>
          <w:rFonts w:ascii="Cambria" w:hAnsi="Cambria"/>
          <w:sz w:val="20"/>
          <w:szCs w:val="20"/>
        </w:rPr>
        <w:t>She stated that her son told her not to leave the house because the man</w:t>
      </w:r>
      <w:r w:rsidRPr="008D6E5C">
        <w:rPr>
          <w:rFonts w:ascii="Cambria" w:hAnsi="Cambria"/>
          <w:sz w:val="20"/>
          <w:szCs w:val="20"/>
        </w:rPr>
        <w:t xml:space="preserve"> “</w:t>
      </w:r>
      <w:r w:rsidR="005953D4" w:rsidRPr="008D6E5C">
        <w:rPr>
          <w:rFonts w:ascii="Cambria" w:hAnsi="Cambria"/>
          <w:sz w:val="20"/>
          <w:szCs w:val="20"/>
        </w:rPr>
        <w:t>had a weapon and had been standing there for a long time, paying close attention to who entered and left the house</w:t>
      </w:r>
      <w:r w:rsidRPr="008D6E5C">
        <w:rPr>
          <w:rFonts w:ascii="Cambria" w:hAnsi="Cambria"/>
          <w:sz w:val="20"/>
          <w:szCs w:val="20"/>
        </w:rPr>
        <w:t xml:space="preserve">.” </w:t>
      </w:r>
      <w:r w:rsidR="005953D4" w:rsidRPr="008D6E5C">
        <w:rPr>
          <w:rFonts w:ascii="Cambria" w:hAnsi="Cambria"/>
          <w:sz w:val="20"/>
          <w:szCs w:val="20"/>
        </w:rPr>
        <w:t>Later</w:t>
      </w:r>
      <w:r w:rsidRPr="008D6E5C">
        <w:rPr>
          <w:rFonts w:ascii="Cambria" w:hAnsi="Cambria"/>
          <w:sz w:val="20"/>
          <w:szCs w:val="20"/>
        </w:rPr>
        <w:t xml:space="preserve">,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5953D4" w:rsidRPr="008D6E5C">
        <w:rPr>
          <w:rFonts w:ascii="Cambria" w:hAnsi="Cambria"/>
          <w:sz w:val="20"/>
          <w:szCs w:val="20"/>
        </w:rPr>
        <w:t>stated that she left the house</w:t>
      </w:r>
      <w:r w:rsidRPr="008D6E5C">
        <w:rPr>
          <w:rFonts w:ascii="Cambria" w:hAnsi="Cambria"/>
          <w:sz w:val="20"/>
          <w:szCs w:val="20"/>
        </w:rPr>
        <w:t xml:space="preserve"> “</w:t>
      </w:r>
      <w:r w:rsidR="005953D4" w:rsidRPr="008D6E5C">
        <w:rPr>
          <w:rFonts w:ascii="Cambria" w:hAnsi="Cambria"/>
          <w:sz w:val="20"/>
          <w:szCs w:val="20"/>
        </w:rPr>
        <w:t>together with several people and</w:t>
      </w:r>
      <w:r w:rsidRPr="008D6E5C">
        <w:rPr>
          <w:rFonts w:ascii="Cambria" w:hAnsi="Cambria"/>
          <w:sz w:val="20"/>
          <w:szCs w:val="20"/>
        </w:rPr>
        <w:t xml:space="preserve"> [</w:t>
      </w:r>
      <w:r w:rsidR="005953D4" w:rsidRPr="008D6E5C">
        <w:rPr>
          <w:rFonts w:ascii="Cambria" w:hAnsi="Cambria"/>
          <w:sz w:val="20"/>
          <w:szCs w:val="20"/>
        </w:rPr>
        <w:t>saw</w:t>
      </w:r>
      <w:r w:rsidRPr="008D6E5C">
        <w:rPr>
          <w:rFonts w:ascii="Cambria" w:hAnsi="Cambria"/>
          <w:sz w:val="20"/>
          <w:szCs w:val="20"/>
        </w:rPr>
        <w:t xml:space="preserve">] </w:t>
      </w:r>
      <w:r w:rsidR="005953D4" w:rsidRPr="008D6E5C">
        <w:rPr>
          <w:rFonts w:ascii="Cambria" w:hAnsi="Cambria"/>
          <w:sz w:val="20"/>
          <w:szCs w:val="20"/>
        </w:rPr>
        <w:t>that the guy got onto a motorcycle, saying ‘brother it couldn’t be done today, it will have to be another day</w:t>
      </w:r>
      <w:r w:rsidRPr="008D6E5C">
        <w:rPr>
          <w:rFonts w:ascii="Cambria" w:hAnsi="Cambria"/>
          <w:sz w:val="20"/>
          <w:szCs w:val="20"/>
        </w:rPr>
        <w:t>.</w:t>
      </w:r>
      <w:r w:rsidR="005953D4" w:rsidRPr="008D6E5C">
        <w:rPr>
          <w:rFonts w:ascii="Cambria" w:hAnsi="Cambria"/>
          <w:sz w:val="20"/>
          <w:szCs w:val="20"/>
        </w:rPr>
        <w:t>’</w:t>
      </w:r>
      <w:r w:rsidRPr="008D6E5C">
        <w:rPr>
          <w:rFonts w:ascii="Cambria" w:hAnsi="Cambria"/>
          <w:sz w:val="20"/>
          <w:szCs w:val="20"/>
        </w:rPr>
        <w:t>”</w:t>
      </w:r>
      <w:r w:rsidRPr="008D6E5C">
        <w:rPr>
          <w:rStyle w:val="FootnoteReference"/>
          <w:rFonts w:ascii="Cambria" w:hAnsi="Cambria"/>
          <w:sz w:val="20"/>
          <w:szCs w:val="20"/>
        </w:rPr>
        <w:t xml:space="preserve"> </w:t>
      </w:r>
      <w:r w:rsidRPr="008D6E5C">
        <w:rPr>
          <w:rStyle w:val="FootnoteReference"/>
          <w:rFonts w:ascii="Cambria" w:hAnsi="Cambria"/>
          <w:sz w:val="20"/>
          <w:szCs w:val="20"/>
        </w:rPr>
        <w:footnoteReference w:id="99"/>
      </w:r>
    </w:p>
    <w:p w:rsidR="00C0575F" w:rsidRPr="008D6E5C" w:rsidRDefault="00C0575F" w:rsidP="001520DB">
      <w:pPr>
        <w:jc w:val="both"/>
        <w:rPr>
          <w:rFonts w:ascii="Cambria" w:hAnsi="Cambria"/>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In view of this situation,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decided to leave </w:t>
      </w:r>
      <w:proofErr w:type="spellStart"/>
      <w:r w:rsidRPr="008D6E5C">
        <w:rPr>
          <w:rFonts w:ascii="Cambria" w:hAnsi="Cambria"/>
          <w:sz w:val="20"/>
          <w:szCs w:val="20"/>
        </w:rPr>
        <w:t>Pitalito</w:t>
      </w:r>
      <w:proofErr w:type="spellEnd"/>
      <w:r w:rsidRPr="008D6E5C">
        <w:rPr>
          <w:rFonts w:ascii="Cambria" w:hAnsi="Cambria"/>
          <w:sz w:val="20"/>
          <w:szCs w:val="20"/>
        </w:rPr>
        <w:t xml:space="preserve"> </w:t>
      </w:r>
      <w:r w:rsidR="005953D4" w:rsidRPr="008D6E5C">
        <w:rPr>
          <w:rFonts w:ascii="Cambria" w:hAnsi="Cambria"/>
          <w:sz w:val="20"/>
          <w:szCs w:val="20"/>
        </w:rPr>
        <w:t>for another part of the country</w:t>
      </w:r>
      <w:r w:rsidR="00D77AA2" w:rsidRPr="008D6E5C">
        <w:rPr>
          <w:rFonts w:ascii="Cambria" w:hAnsi="Cambria"/>
          <w:sz w:val="20"/>
          <w:szCs w:val="20"/>
        </w:rPr>
        <w:t xml:space="preserve">, and she informed the </w:t>
      </w:r>
      <w:r w:rsidR="005953D4" w:rsidRPr="008D6E5C">
        <w:rPr>
          <w:rFonts w:ascii="Cambria" w:hAnsi="Cambria"/>
          <w:sz w:val="20"/>
          <w:szCs w:val="20"/>
        </w:rPr>
        <w:t>Office of the Prosecutor General</w:t>
      </w:r>
      <w:r w:rsidRPr="008D6E5C">
        <w:rPr>
          <w:rFonts w:ascii="Cambria" w:hAnsi="Cambria"/>
          <w:sz w:val="20"/>
          <w:szCs w:val="20"/>
        </w:rPr>
        <w:t xml:space="preserve"> </w:t>
      </w:r>
      <w:r w:rsidR="00D77AA2" w:rsidRPr="008D6E5C">
        <w:rPr>
          <w:rFonts w:ascii="Cambria" w:hAnsi="Cambria"/>
          <w:sz w:val="20"/>
          <w:szCs w:val="20"/>
        </w:rPr>
        <w:t>of this situation in order for the appropriate investigations to be conducted</w:t>
      </w:r>
      <w:r w:rsidRPr="008D6E5C">
        <w:rPr>
          <w:rFonts w:ascii="Cambria" w:hAnsi="Cambria"/>
          <w:sz w:val="20"/>
          <w:szCs w:val="20"/>
        </w:rPr>
        <w:t>.</w:t>
      </w:r>
      <w:r w:rsidRPr="008D6E5C">
        <w:rPr>
          <w:rStyle w:val="FootnoteReference"/>
          <w:rFonts w:ascii="Cambria" w:hAnsi="Cambria"/>
          <w:sz w:val="20"/>
          <w:szCs w:val="20"/>
        </w:rPr>
        <w:footnoteReference w:id="100"/>
      </w:r>
      <w:r w:rsidRPr="008D6E5C">
        <w:rPr>
          <w:rFonts w:ascii="Cambria" w:hAnsi="Cambria"/>
          <w:sz w:val="20"/>
          <w:szCs w:val="20"/>
        </w:rPr>
        <w:t xml:space="preserve"> </w:t>
      </w:r>
      <w:r w:rsidR="00056F97" w:rsidRPr="008D6E5C">
        <w:rPr>
          <w:rFonts w:ascii="Cambria" w:hAnsi="Cambria"/>
          <w:sz w:val="20"/>
          <w:szCs w:val="20"/>
        </w:rPr>
        <w:t>There is no information in the case file before the IACHR</w:t>
      </w:r>
      <w:r w:rsidRPr="008D6E5C">
        <w:rPr>
          <w:rFonts w:ascii="Cambria" w:hAnsi="Cambria"/>
          <w:sz w:val="20"/>
          <w:szCs w:val="20"/>
        </w:rPr>
        <w:t xml:space="preserve"> </w:t>
      </w:r>
      <w:r w:rsidR="00056F97" w:rsidRPr="008D6E5C">
        <w:rPr>
          <w:rFonts w:ascii="Cambria" w:hAnsi="Cambria"/>
          <w:sz w:val="20"/>
          <w:szCs w:val="20"/>
        </w:rPr>
        <w:t xml:space="preserve">about the outcome of these investigations. </w:t>
      </w:r>
      <w:r w:rsidRPr="008D6E5C">
        <w:rPr>
          <w:rFonts w:ascii="Cambria" w:hAnsi="Cambria"/>
          <w:sz w:val="20"/>
          <w:szCs w:val="20"/>
        </w:rPr>
        <w:t xml:space="preserve">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056F97" w:rsidRPr="008D6E5C">
        <w:rPr>
          <w:rFonts w:ascii="Cambria" w:hAnsi="Cambria"/>
          <w:sz w:val="20"/>
          <w:szCs w:val="20"/>
        </w:rPr>
        <w:t xml:space="preserve">reportedly went into </w:t>
      </w:r>
      <w:r w:rsidRPr="008D6E5C">
        <w:rPr>
          <w:rFonts w:ascii="Cambria" w:hAnsi="Cambria"/>
          <w:sz w:val="20"/>
          <w:szCs w:val="20"/>
        </w:rPr>
        <w:t xml:space="preserve">the Victim and Witness Protection Program of the </w:t>
      </w:r>
      <w:r w:rsidRPr="008D6E5C">
        <w:rPr>
          <w:rFonts w:ascii="Cambria" w:hAnsi="Cambria"/>
          <w:sz w:val="20"/>
          <w:szCs w:val="20"/>
        </w:rPr>
        <w:lastRenderedPageBreak/>
        <w:t>Office of the Prosecutor General</w:t>
      </w:r>
      <w:r w:rsidR="00056F97" w:rsidRPr="008D6E5C">
        <w:rPr>
          <w:rFonts w:ascii="Cambria" w:hAnsi="Cambria"/>
          <w:sz w:val="20"/>
          <w:szCs w:val="20"/>
        </w:rPr>
        <w:t xml:space="preserve"> at the beginning of 1999</w:t>
      </w:r>
      <w:r w:rsidRPr="008D6E5C">
        <w:rPr>
          <w:rFonts w:ascii="Cambria" w:hAnsi="Cambria"/>
          <w:sz w:val="20"/>
          <w:szCs w:val="20"/>
        </w:rPr>
        <w:t>.</w:t>
      </w:r>
      <w:r w:rsidRPr="008D6E5C">
        <w:rPr>
          <w:rStyle w:val="FootnoteReference"/>
          <w:rFonts w:ascii="Cambria" w:hAnsi="Cambria"/>
          <w:sz w:val="20"/>
          <w:szCs w:val="20"/>
        </w:rPr>
        <w:footnoteReference w:id="101"/>
      </w:r>
      <w:r w:rsidRPr="008D6E5C">
        <w:rPr>
          <w:rFonts w:ascii="Cambria" w:hAnsi="Cambria"/>
          <w:sz w:val="20"/>
          <w:szCs w:val="20"/>
        </w:rPr>
        <w:t xml:space="preserve"> </w:t>
      </w:r>
      <w:r w:rsidR="009562E6" w:rsidRPr="008D6E5C">
        <w:rPr>
          <w:rFonts w:ascii="Cambria" w:hAnsi="Cambria"/>
          <w:sz w:val="20"/>
          <w:szCs w:val="20"/>
        </w:rPr>
        <w:t>The file does not say what type of protection she may have received.</w:t>
      </w:r>
      <w:r w:rsidRPr="008D6E5C">
        <w:rPr>
          <w:rFonts w:ascii="Cambria" w:hAnsi="Cambria"/>
          <w:sz w:val="20"/>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On March 1, 1999,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4162C0" w:rsidRPr="008D6E5C">
        <w:rPr>
          <w:rFonts w:ascii="Cambria" w:hAnsi="Cambria"/>
          <w:sz w:val="20"/>
          <w:szCs w:val="20"/>
        </w:rPr>
        <w:t xml:space="preserve">sent a complaint to the Regional Office of the Public Prosecutor alleging that the defense attorneys in her brother’s case had violated the confidentiality of the pretrial phase of the criminal proceeding by turning over copies of some of the </w:t>
      </w:r>
      <w:r w:rsidR="009562E6" w:rsidRPr="008D6E5C">
        <w:rPr>
          <w:rFonts w:ascii="Cambria" w:hAnsi="Cambria"/>
          <w:sz w:val="20"/>
          <w:szCs w:val="20"/>
        </w:rPr>
        <w:t>proceedings conducted during that phase</w:t>
      </w:r>
      <w:r w:rsidR="004162C0" w:rsidRPr="008D6E5C">
        <w:rPr>
          <w:rFonts w:ascii="Cambria" w:hAnsi="Cambria"/>
          <w:sz w:val="20"/>
          <w:szCs w:val="20"/>
        </w:rPr>
        <w:t xml:space="preserve"> to various individuals in </w:t>
      </w:r>
      <w:proofErr w:type="spellStart"/>
      <w:r w:rsidR="004162C0" w:rsidRPr="008D6E5C">
        <w:rPr>
          <w:rFonts w:ascii="Cambria" w:hAnsi="Cambria"/>
          <w:sz w:val="20"/>
          <w:szCs w:val="20"/>
        </w:rPr>
        <w:t>Pitalito</w:t>
      </w:r>
      <w:proofErr w:type="spellEnd"/>
      <w:r w:rsidR="004162C0" w:rsidRPr="008D6E5C">
        <w:rPr>
          <w:rFonts w:ascii="Cambria" w:hAnsi="Cambria"/>
          <w:sz w:val="20"/>
          <w:szCs w:val="20"/>
        </w:rPr>
        <w:t xml:space="preserve"> who were not defendants in the case. She indicated that this seriously jeopardized the confidentiality of the identity of witnesses and key individuals in the investigation. She also maintained that the order determining the legal status of the defendants began to circulate “as if it were some kind of public press release” and that it was “used to create anxiety and panic among the witnesses and the general public so they would retract their statements or decline to cooperate with the justice system in the development of the case</w:t>
      </w:r>
      <w:r w:rsidRPr="008D6E5C">
        <w:rPr>
          <w:rFonts w:ascii="Cambria" w:hAnsi="Cambria"/>
          <w:sz w:val="20"/>
          <w:szCs w:val="20"/>
        </w:rPr>
        <w:t>.”</w:t>
      </w:r>
      <w:r w:rsidRPr="008D6E5C">
        <w:rPr>
          <w:rStyle w:val="FootnoteReference"/>
          <w:rFonts w:ascii="Cambria" w:hAnsi="Cambria"/>
          <w:sz w:val="20"/>
          <w:szCs w:val="20"/>
        </w:rPr>
        <w:footnoteReference w:id="102"/>
      </w:r>
      <w:r w:rsidRPr="008D6E5C">
        <w:rPr>
          <w:rFonts w:ascii="Cambria" w:hAnsi="Cambria"/>
          <w:sz w:val="20"/>
          <w:szCs w:val="20"/>
        </w:rPr>
        <w:t xml:space="preserve"> For example, Mr. Fernando </w:t>
      </w:r>
      <w:proofErr w:type="spellStart"/>
      <w:r w:rsidR="00510BA5" w:rsidRPr="008D6E5C">
        <w:rPr>
          <w:rFonts w:ascii="Cambria" w:hAnsi="Cambria"/>
          <w:sz w:val="20"/>
          <w:szCs w:val="20"/>
        </w:rPr>
        <w:t>Manrique</w:t>
      </w:r>
      <w:proofErr w:type="spellEnd"/>
      <w:r w:rsidRPr="008D6E5C">
        <w:rPr>
          <w:rFonts w:ascii="Cambria" w:hAnsi="Cambria"/>
          <w:sz w:val="20"/>
          <w:szCs w:val="20"/>
        </w:rPr>
        <w:t xml:space="preserve">, </w:t>
      </w:r>
      <w:r w:rsidR="00343235" w:rsidRPr="008D6E5C">
        <w:rPr>
          <w:rFonts w:ascii="Cambria" w:hAnsi="Cambria"/>
          <w:sz w:val="20"/>
          <w:szCs w:val="20"/>
        </w:rPr>
        <w:t>who provided a statement</w:t>
      </w:r>
      <w:r w:rsidR="001B2172" w:rsidRPr="008D6E5C">
        <w:rPr>
          <w:rFonts w:ascii="Cambria" w:hAnsi="Cambria"/>
          <w:sz w:val="20"/>
          <w:szCs w:val="20"/>
        </w:rPr>
        <w:t xml:space="preserve"> in the case</w:t>
      </w:r>
      <w:r w:rsidRPr="008D6E5C">
        <w:rPr>
          <w:rFonts w:ascii="Cambria" w:hAnsi="Cambria"/>
          <w:sz w:val="20"/>
          <w:szCs w:val="20"/>
        </w:rPr>
        <w:t xml:space="preserve">, </w:t>
      </w:r>
      <w:r w:rsidR="001B2172" w:rsidRPr="008D6E5C">
        <w:rPr>
          <w:rFonts w:ascii="Cambria" w:hAnsi="Cambria"/>
          <w:sz w:val="20"/>
          <w:szCs w:val="20"/>
        </w:rPr>
        <w:t>s</w:t>
      </w:r>
      <w:r w:rsidR="00343235" w:rsidRPr="008D6E5C">
        <w:rPr>
          <w:rFonts w:ascii="Cambria" w:hAnsi="Cambria"/>
          <w:sz w:val="20"/>
          <w:szCs w:val="20"/>
        </w:rPr>
        <w:t>aid</w:t>
      </w:r>
      <w:r w:rsidR="001B2172" w:rsidRPr="008D6E5C">
        <w:rPr>
          <w:rFonts w:ascii="Cambria" w:hAnsi="Cambria"/>
          <w:sz w:val="20"/>
          <w:szCs w:val="20"/>
        </w:rPr>
        <w:t xml:space="preserve"> that he feared for his physical safety because of his statement, since </w:t>
      </w:r>
      <w:r w:rsidRPr="008D6E5C">
        <w:rPr>
          <w:rFonts w:ascii="Cambria" w:hAnsi="Cambria"/>
          <w:sz w:val="20"/>
          <w:szCs w:val="20"/>
        </w:rPr>
        <w:t>“</w:t>
      </w:r>
      <w:r w:rsidR="001B2172" w:rsidRPr="008D6E5C">
        <w:rPr>
          <w:rFonts w:ascii="Cambria" w:hAnsi="Cambria"/>
          <w:sz w:val="20"/>
          <w:szCs w:val="20"/>
        </w:rPr>
        <w:t>it is clear that Mr.</w:t>
      </w:r>
      <w:r w:rsidRPr="008D6E5C">
        <w:rPr>
          <w:rFonts w:ascii="Cambria" w:hAnsi="Cambria"/>
          <w:sz w:val="20"/>
          <w:szCs w:val="20"/>
        </w:rPr>
        <w:t xml:space="preserve"> Fernando </w:t>
      </w:r>
      <w:proofErr w:type="spellStart"/>
      <w:r w:rsidRPr="008D6E5C">
        <w:rPr>
          <w:rFonts w:ascii="Cambria" w:hAnsi="Cambria"/>
          <w:sz w:val="20"/>
          <w:szCs w:val="20"/>
        </w:rPr>
        <w:t>Bermúdez</w:t>
      </w:r>
      <w:proofErr w:type="spellEnd"/>
      <w:r w:rsidR="001B2172" w:rsidRPr="008D6E5C">
        <w:rPr>
          <w:rFonts w:ascii="Cambria" w:hAnsi="Cambria"/>
          <w:sz w:val="20"/>
          <w:szCs w:val="20"/>
        </w:rPr>
        <w:t xml:space="preserve"> was the mastermind</w:t>
      </w:r>
      <w:r w:rsidRPr="008D6E5C">
        <w:rPr>
          <w:rFonts w:ascii="Cambria" w:hAnsi="Cambria"/>
          <w:sz w:val="20"/>
          <w:szCs w:val="20"/>
        </w:rPr>
        <w:t xml:space="preserve">.” </w:t>
      </w:r>
      <w:r w:rsidR="001B2172" w:rsidRPr="008D6E5C">
        <w:rPr>
          <w:rFonts w:ascii="Cambria" w:hAnsi="Cambria"/>
          <w:sz w:val="20"/>
          <w:szCs w:val="20"/>
        </w:rPr>
        <w:t>Additionally, he “maintain[</w:t>
      </w:r>
      <w:proofErr w:type="spellStart"/>
      <w:proofErr w:type="gramStart"/>
      <w:r w:rsidR="001B2172" w:rsidRPr="008D6E5C">
        <w:rPr>
          <w:rFonts w:ascii="Cambria" w:hAnsi="Cambria"/>
          <w:sz w:val="20"/>
          <w:szCs w:val="20"/>
        </w:rPr>
        <w:t>ed</w:t>
      </w:r>
      <w:proofErr w:type="spellEnd"/>
      <w:proofErr w:type="gramEnd"/>
      <w:r w:rsidR="001B2172" w:rsidRPr="008D6E5C">
        <w:rPr>
          <w:rFonts w:ascii="Cambria" w:hAnsi="Cambria"/>
          <w:sz w:val="20"/>
          <w:szCs w:val="20"/>
        </w:rPr>
        <w:t>] that if anything were to happen [to him] or to his family, the only person responsible for it is the person</w:t>
      </w:r>
      <w:r w:rsidRPr="008D6E5C">
        <w:rPr>
          <w:rFonts w:ascii="Cambria" w:hAnsi="Cambria"/>
          <w:sz w:val="20"/>
          <w:szCs w:val="20"/>
        </w:rPr>
        <w:t xml:space="preserve"> </w:t>
      </w:r>
      <w:r w:rsidR="00084FF9" w:rsidRPr="008D6E5C">
        <w:rPr>
          <w:rFonts w:ascii="Cambria" w:hAnsi="Cambria"/>
          <w:sz w:val="20"/>
          <w:szCs w:val="20"/>
        </w:rPr>
        <w:t>implicated in the case</w:t>
      </w:r>
      <w:r w:rsidRPr="008D6E5C">
        <w:rPr>
          <w:rFonts w:ascii="Cambria" w:hAnsi="Cambria"/>
          <w:sz w:val="20"/>
          <w:szCs w:val="20"/>
        </w:rPr>
        <w:t xml:space="preserve">, </w:t>
      </w:r>
      <w:r w:rsidR="001B2172" w:rsidRPr="008D6E5C">
        <w:rPr>
          <w:rFonts w:ascii="Cambria" w:hAnsi="Cambria"/>
          <w:sz w:val="20"/>
          <w:szCs w:val="20"/>
        </w:rPr>
        <w:t xml:space="preserve">Mr. </w:t>
      </w:r>
      <w:r w:rsidRPr="008D6E5C">
        <w:rPr>
          <w:rFonts w:ascii="Cambria" w:hAnsi="Cambria"/>
          <w:sz w:val="20"/>
          <w:szCs w:val="20"/>
        </w:rPr>
        <w:t xml:space="preserve">Fernando </w:t>
      </w:r>
      <w:proofErr w:type="spellStart"/>
      <w:r w:rsidRPr="008D6E5C">
        <w:rPr>
          <w:rFonts w:ascii="Cambria" w:hAnsi="Cambria"/>
          <w:sz w:val="20"/>
          <w:szCs w:val="20"/>
        </w:rPr>
        <w:t>Bermúdez</w:t>
      </w:r>
      <w:proofErr w:type="spellEnd"/>
      <w:r w:rsidRPr="008D6E5C">
        <w:rPr>
          <w:rFonts w:ascii="Cambria" w:hAnsi="Cambria"/>
          <w:sz w:val="20"/>
          <w:szCs w:val="20"/>
        </w:rPr>
        <w:t>.”</w:t>
      </w:r>
      <w:r w:rsidRPr="008D6E5C">
        <w:rPr>
          <w:rStyle w:val="FootnoteReference"/>
          <w:rFonts w:ascii="Cambria" w:hAnsi="Cambria"/>
          <w:sz w:val="20"/>
          <w:szCs w:val="20"/>
        </w:rPr>
        <w:footnoteReference w:id="103"/>
      </w:r>
      <w:r w:rsidRPr="008D6E5C">
        <w:rPr>
          <w:rFonts w:ascii="Cambria" w:hAnsi="Cambria"/>
          <w:sz w:val="20"/>
          <w:szCs w:val="20"/>
        </w:rPr>
        <w:t xml:space="preserve"> </w:t>
      </w:r>
      <w:r w:rsidR="001B2172" w:rsidRPr="008D6E5C">
        <w:rPr>
          <w:rFonts w:ascii="Cambria" w:hAnsi="Cambria"/>
          <w:sz w:val="20"/>
          <w:szCs w:val="20"/>
        </w:rPr>
        <w:t>On</w:t>
      </w:r>
      <w:r w:rsidRPr="008D6E5C">
        <w:rPr>
          <w:rFonts w:ascii="Cambria" w:hAnsi="Cambria"/>
          <w:sz w:val="20"/>
          <w:szCs w:val="20"/>
        </w:rPr>
        <w:t xml:space="preserve"> July 29, 1999,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indicated </w:t>
      </w:r>
      <w:r w:rsidR="00720BA6" w:rsidRPr="008D6E5C">
        <w:rPr>
          <w:rFonts w:ascii="Cambria" w:hAnsi="Cambria"/>
          <w:sz w:val="20"/>
          <w:szCs w:val="20"/>
        </w:rPr>
        <w:t xml:space="preserve">in a supplemental statement </w:t>
      </w:r>
      <w:r w:rsidRPr="008D6E5C">
        <w:rPr>
          <w:rFonts w:ascii="Cambria" w:hAnsi="Cambria"/>
          <w:sz w:val="20"/>
          <w:szCs w:val="20"/>
        </w:rPr>
        <w:t xml:space="preserve">that </w:t>
      </w:r>
      <w:r w:rsidR="00720BA6" w:rsidRPr="008D6E5C">
        <w:rPr>
          <w:rFonts w:ascii="Cambria" w:hAnsi="Cambria"/>
          <w:sz w:val="20"/>
          <w:szCs w:val="20"/>
        </w:rPr>
        <w:t xml:space="preserve">she advised Mr. Fernando </w:t>
      </w:r>
      <w:proofErr w:type="spellStart"/>
      <w:r w:rsidR="00720BA6" w:rsidRPr="008D6E5C">
        <w:rPr>
          <w:rFonts w:ascii="Cambria" w:hAnsi="Cambria"/>
          <w:sz w:val="20"/>
          <w:szCs w:val="20"/>
        </w:rPr>
        <w:t>Manrique</w:t>
      </w:r>
      <w:proofErr w:type="spellEnd"/>
      <w:r w:rsidR="00720BA6" w:rsidRPr="008D6E5C">
        <w:rPr>
          <w:rFonts w:ascii="Cambria" w:hAnsi="Cambria"/>
          <w:sz w:val="20"/>
          <w:szCs w:val="20"/>
        </w:rPr>
        <w:t xml:space="preserve"> to give a confidential statement because</w:t>
      </w:r>
      <w:r w:rsidRPr="008D6E5C">
        <w:rPr>
          <w:rFonts w:ascii="Cambria" w:hAnsi="Cambria"/>
          <w:sz w:val="20"/>
          <w:szCs w:val="20"/>
        </w:rPr>
        <w:t xml:space="preserve"> “</w:t>
      </w:r>
      <w:r w:rsidR="00720BA6" w:rsidRPr="008D6E5C">
        <w:rPr>
          <w:rFonts w:ascii="Cambria" w:hAnsi="Cambria"/>
          <w:sz w:val="20"/>
          <w:szCs w:val="20"/>
        </w:rPr>
        <w:t xml:space="preserve">he had several things to say, or that he wanted to say, but he was afraid because of the pressure he might be under if he said them.” She added that when copies of the investigation circulated </w:t>
      </w:r>
      <w:r w:rsidR="00343235" w:rsidRPr="008D6E5C">
        <w:rPr>
          <w:rFonts w:ascii="Cambria" w:hAnsi="Cambria"/>
          <w:sz w:val="20"/>
          <w:szCs w:val="20"/>
        </w:rPr>
        <w:t>publicly</w:t>
      </w:r>
      <w:r w:rsidR="00720BA6" w:rsidRPr="008D6E5C">
        <w:rPr>
          <w:rFonts w:ascii="Cambria" w:hAnsi="Cambria"/>
          <w:sz w:val="20"/>
          <w:szCs w:val="20"/>
        </w:rPr>
        <w:t>,</w:t>
      </w:r>
      <w:r w:rsidRPr="008D6E5C">
        <w:rPr>
          <w:rFonts w:ascii="Cambria" w:hAnsi="Cambria"/>
          <w:sz w:val="20"/>
          <w:szCs w:val="20"/>
        </w:rPr>
        <w:t xml:space="preserve"> “</w:t>
      </w:r>
      <w:r w:rsidR="00720BA6" w:rsidRPr="008D6E5C">
        <w:rPr>
          <w:rFonts w:ascii="Cambria" w:hAnsi="Cambria"/>
          <w:sz w:val="20"/>
          <w:szCs w:val="20"/>
        </w:rPr>
        <w:t xml:space="preserve">an individual—I don’t know who it was—sought out </w:t>
      </w:r>
      <w:r w:rsidRPr="008D6E5C">
        <w:rPr>
          <w:rFonts w:ascii="Cambria" w:hAnsi="Cambria"/>
          <w:sz w:val="20"/>
          <w:szCs w:val="20"/>
        </w:rPr>
        <w:t xml:space="preserve">Fernando </w:t>
      </w:r>
      <w:proofErr w:type="spellStart"/>
      <w:r w:rsidRPr="008D6E5C">
        <w:rPr>
          <w:rFonts w:ascii="Cambria" w:hAnsi="Cambria"/>
          <w:sz w:val="20"/>
          <w:szCs w:val="20"/>
        </w:rPr>
        <w:t>Manrique</w:t>
      </w:r>
      <w:proofErr w:type="spellEnd"/>
      <w:r w:rsidRPr="008D6E5C">
        <w:rPr>
          <w:rFonts w:ascii="Cambria" w:hAnsi="Cambria"/>
          <w:sz w:val="20"/>
          <w:szCs w:val="20"/>
        </w:rPr>
        <w:t xml:space="preserve"> </w:t>
      </w:r>
      <w:r w:rsidR="007D41C4" w:rsidRPr="008D6E5C">
        <w:rPr>
          <w:rFonts w:ascii="Cambria" w:hAnsi="Cambria"/>
          <w:sz w:val="20"/>
          <w:szCs w:val="20"/>
        </w:rPr>
        <w:t>to tell him to tone down what he had said when he was called back to give a supplemental statement</w:t>
      </w:r>
      <w:r w:rsidRPr="008D6E5C">
        <w:rPr>
          <w:rFonts w:ascii="Cambria" w:hAnsi="Cambria"/>
          <w:sz w:val="20"/>
          <w:szCs w:val="20"/>
        </w:rPr>
        <w:t xml:space="preserve">. Fernando </w:t>
      </w:r>
      <w:r w:rsidR="007D41C4" w:rsidRPr="008D6E5C">
        <w:rPr>
          <w:rFonts w:ascii="Cambria" w:hAnsi="Cambria"/>
          <w:sz w:val="20"/>
          <w:szCs w:val="20"/>
        </w:rPr>
        <w:t>was scared because he said that the case</w:t>
      </w:r>
      <w:r w:rsidRPr="008D6E5C">
        <w:rPr>
          <w:rFonts w:ascii="Cambria" w:hAnsi="Cambria"/>
          <w:sz w:val="20"/>
          <w:szCs w:val="20"/>
        </w:rPr>
        <w:t xml:space="preserve"> </w:t>
      </w:r>
      <w:r w:rsidR="00040FFB" w:rsidRPr="008D6E5C">
        <w:rPr>
          <w:rFonts w:ascii="Cambria" w:hAnsi="Cambria"/>
          <w:sz w:val="20"/>
          <w:szCs w:val="20"/>
        </w:rPr>
        <w:t>was already public knowledge</w:t>
      </w:r>
      <w:r w:rsidRPr="008D6E5C">
        <w:rPr>
          <w:rFonts w:ascii="Cambria" w:hAnsi="Cambria"/>
          <w:sz w:val="20"/>
          <w:szCs w:val="20"/>
        </w:rPr>
        <w:t>.”</w:t>
      </w:r>
      <w:r w:rsidRPr="008D6E5C">
        <w:rPr>
          <w:rStyle w:val="FootnoteReference"/>
          <w:rFonts w:ascii="Cambria" w:hAnsi="Cambria"/>
          <w:sz w:val="20"/>
          <w:szCs w:val="20"/>
        </w:rPr>
        <w:footnoteReference w:id="104"/>
      </w:r>
    </w:p>
    <w:p w:rsidR="00C0575F" w:rsidRPr="008D6E5C" w:rsidRDefault="00C0575F" w:rsidP="001520DB">
      <w:pPr>
        <w:pStyle w:val="ListParagraph"/>
        <w:ind w:left="0" w:firstLine="720"/>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On October 15, 1999, Ju</w:t>
      </w:r>
      <w:r w:rsidR="00040FFB" w:rsidRPr="008D6E5C">
        <w:rPr>
          <w:rFonts w:ascii="Cambria" w:hAnsi="Cambria"/>
          <w:sz w:val="20"/>
          <w:szCs w:val="20"/>
        </w:rPr>
        <w:t xml:space="preserve">dith </w:t>
      </w:r>
      <w:proofErr w:type="spellStart"/>
      <w:r w:rsidR="00040FFB" w:rsidRPr="008D6E5C">
        <w:rPr>
          <w:rFonts w:ascii="Cambria" w:hAnsi="Cambria"/>
          <w:sz w:val="20"/>
          <w:szCs w:val="20"/>
        </w:rPr>
        <w:t>Carvajal</w:t>
      </w:r>
      <w:proofErr w:type="spellEnd"/>
      <w:r w:rsidR="00040FFB" w:rsidRPr="008D6E5C">
        <w:rPr>
          <w:rFonts w:ascii="Cambria" w:hAnsi="Cambria"/>
          <w:sz w:val="20"/>
          <w:szCs w:val="20"/>
        </w:rPr>
        <w:t xml:space="preserve"> informed </w:t>
      </w:r>
      <w:r w:rsidR="004162C0" w:rsidRPr="008D6E5C">
        <w:rPr>
          <w:rFonts w:ascii="Cambria" w:hAnsi="Cambria"/>
          <w:sz w:val="20"/>
          <w:szCs w:val="20"/>
        </w:rPr>
        <w:t>the Human Rights Unit of</w:t>
      </w:r>
      <w:r w:rsidRPr="008D6E5C">
        <w:rPr>
          <w:rFonts w:ascii="Cambria" w:hAnsi="Cambria"/>
          <w:sz w:val="20"/>
          <w:szCs w:val="20"/>
        </w:rPr>
        <w:t xml:space="preserve"> the Office of the Prosecutor General </w:t>
      </w:r>
      <w:r w:rsidR="00040FFB" w:rsidRPr="008D6E5C">
        <w:rPr>
          <w:rFonts w:ascii="Cambria" w:hAnsi="Cambria"/>
          <w:sz w:val="20"/>
          <w:szCs w:val="20"/>
        </w:rPr>
        <w:t>of her</w:t>
      </w:r>
      <w:r w:rsidRPr="008D6E5C">
        <w:rPr>
          <w:rFonts w:ascii="Cambria" w:hAnsi="Cambria"/>
          <w:sz w:val="20"/>
          <w:szCs w:val="20"/>
        </w:rPr>
        <w:t xml:space="preserve"> “</w:t>
      </w:r>
      <w:r w:rsidR="00040FFB" w:rsidRPr="008D6E5C">
        <w:rPr>
          <w:rFonts w:ascii="Cambria" w:hAnsi="Cambria"/>
          <w:sz w:val="20"/>
          <w:szCs w:val="20"/>
        </w:rPr>
        <w:t xml:space="preserve">imminent departure from the country because of the threats” she was receiving from </w:t>
      </w:r>
      <w:r w:rsidRPr="008D6E5C">
        <w:rPr>
          <w:rFonts w:ascii="Cambria" w:hAnsi="Cambria"/>
          <w:sz w:val="20"/>
          <w:szCs w:val="20"/>
        </w:rPr>
        <w:t>“person</w:t>
      </w:r>
      <w:r w:rsidR="00040FFB" w:rsidRPr="008D6E5C">
        <w:rPr>
          <w:rFonts w:ascii="Cambria" w:hAnsi="Cambria"/>
          <w:sz w:val="20"/>
          <w:szCs w:val="20"/>
        </w:rPr>
        <w:t>s implicated i</w:t>
      </w:r>
      <w:r w:rsidRPr="008D6E5C">
        <w:rPr>
          <w:rFonts w:ascii="Cambria" w:hAnsi="Cambria"/>
          <w:sz w:val="20"/>
          <w:szCs w:val="20"/>
        </w:rPr>
        <w:t xml:space="preserve">n the investigation </w:t>
      </w:r>
      <w:r w:rsidR="00040FFB" w:rsidRPr="008D6E5C">
        <w:rPr>
          <w:rFonts w:ascii="Cambria" w:hAnsi="Cambria"/>
          <w:sz w:val="20"/>
          <w:szCs w:val="20"/>
        </w:rPr>
        <w:t>of the death</w:t>
      </w:r>
      <w:r w:rsidRPr="008D6E5C">
        <w:rPr>
          <w:rFonts w:ascii="Cambria" w:hAnsi="Cambria"/>
          <w:sz w:val="20"/>
          <w:szCs w:val="20"/>
        </w:rPr>
        <w:t xml:space="preserve">” </w:t>
      </w:r>
      <w:r w:rsidR="00040FFB" w:rsidRPr="008D6E5C">
        <w:rPr>
          <w:rFonts w:ascii="Cambria" w:hAnsi="Cambria"/>
          <w:sz w:val="20"/>
          <w:szCs w:val="20"/>
        </w:rPr>
        <w:t>of her brother</w:t>
      </w:r>
      <w:r w:rsidRPr="008D6E5C">
        <w:rPr>
          <w:rFonts w:ascii="Cambria" w:hAnsi="Cambria"/>
          <w:sz w:val="20"/>
          <w:szCs w:val="20"/>
        </w:rPr>
        <w:t xml:space="preserve">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040FFB" w:rsidRPr="008D6E5C">
        <w:rPr>
          <w:rFonts w:ascii="Cambria" w:hAnsi="Cambria"/>
          <w:sz w:val="20"/>
          <w:szCs w:val="20"/>
        </w:rPr>
        <w:t>Moreover, she stated that on that date she was writing to the Prosecutor General of Colombia</w:t>
      </w:r>
      <w:r w:rsidRPr="008D6E5C">
        <w:rPr>
          <w:rFonts w:ascii="Cambria" w:hAnsi="Cambria"/>
          <w:sz w:val="20"/>
          <w:szCs w:val="20"/>
        </w:rPr>
        <w:t xml:space="preserve"> </w:t>
      </w:r>
      <w:r w:rsidR="00040FFB" w:rsidRPr="008D6E5C">
        <w:rPr>
          <w:rFonts w:ascii="Cambria" w:hAnsi="Cambria"/>
          <w:sz w:val="20"/>
          <w:szCs w:val="20"/>
        </w:rPr>
        <w:t xml:space="preserve">about her concern for her entire family that remained </w:t>
      </w:r>
      <w:r w:rsidRPr="008D6E5C">
        <w:rPr>
          <w:rFonts w:ascii="Cambria" w:hAnsi="Cambria"/>
          <w:sz w:val="20"/>
          <w:szCs w:val="20"/>
        </w:rPr>
        <w:t xml:space="preserve">in </w:t>
      </w:r>
      <w:proofErr w:type="spellStart"/>
      <w:r w:rsidRPr="008D6E5C">
        <w:rPr>
          <w:rFonts w:ascii="Cambria" w:hAnsi="Cambria"/>
          <w:sz w:val="20"/>
          <w:szCs w:val="20"/>
        </w:rPr>
        <w:t>Pitalito</w:t>
      </w:r>
      <w:proofErr w:type="spellEnd"/>
      <w:r w:rsidR="00DF4E24" w:rsidRPr="008D6E5C">
        <w:rPr>
          <w:rFonts w:ascii="Cambria" w:hAnsi="Cambria"/>
          <w:sz w:val="20"/>
          <w:szCs w:val="20"/>
        </w:rPr>
        <w:t xml:space="preserve">, since they were receiving </w:t>
      </w:r>
      <w:r w:rsidR="00EF5F24" w:rsidRPr="008D6E5C">
        <w:rPr>
          <w:rFonts w:ascii="Cambria" w:hAnsi="Cambria"/>
          <w:sz w:val="20"/>
          <w:szCs w:val="20"/>
        </w:rPr>
        <w:t>threats</w:t>
      </w:r>
      <w:r w:rsidRPr="008D6E5C">
        <w:rPr>
          <w:rFonts w:ascii="Cambria" w:hAnsi="Cambria"/>
          <w:sz w:val="20"/>
          <w:szCs w:val="20"/>
        </w:rPr>
        <w:t xml:space="preserve">. </w:t>
      </w:r>
      <w:r w:rsidR="00DF4E24" w:rsidRPr="008D6E5C">
        <w:rPr>
          <w:rFonts w:ascii="Cambria" w:hAnsi="Cambria"/>
          <w:sz w:val="20"/>
          <w:szCs w:val="20"/>
        </w:rPr>
        <w:t>She additionally asked</w:t>
      </w:r>
      <w:r w:rsidRPr="008D6E5C">
        <w:rPr>
          <w:rFonts w:ascii="Cambria" w:hAnsi="Cambria"/>
          <w:sz w:val="20"/>
          <w:szCs w:val="20"/>
        </w:rPr>
        <w:t xml:space="preserve"> “</w:t>
      </w:r>
      <w:r w:rsidR="00DF4E24" w:rsidRPr="008D6E5C">
        <w:rPr>
          <w:rFonts w:ascii="Cambria" w:hAnsi="Cambria"/>
          <w:sz w:val="20"/>
          <w:szCs w:val="20"/>
        </w:rPr>
        <w:t xml:space="preserve">the Prosecutor’s Office for protection for [her] family, which is in the process of leaving </w:t>
      </w:r>
      <w:proofErr w:type="spellStart"/>
      <w:r w:rsidRPr="008D6E5C">
        <w:rPr>
          <w:rFonts w:ascii="Cambria" w:hAnsi="Cambria"/>
          <w:sz w:val="20"/>
          <w:szCs w:val="20"/>
        </w:rPr>
        <w:t>Pitalito</w:t>
      </w:r>
      <w:proofErr w:type="spellEnd"/>
      <w:r w:rsidRPr="008D6E5C">
        <w:rPr>
          <w:rFonts w:ascii="Cambria" w:hAnsi="Cambria"/>
          <w:sz w:val="20"/>
          <w:szCs w:val="20"/>
        </w:rPr>
        <w:t xml:space="preserve"> </w:t>
      </w:r>
      <w:r w:rsidR="00DF4E24" w:rsidRPr="008D6E5C">
        <w:rPr>
          <w:rFonts w:ascii="Cambria" w:hAnsi="Cambria"/>
          <w:sz w:val="20"/>
          <w:szCs w:val="20"/>
        </w:rPr>
        <w:t xml:space="preserve">for fear that </w:t>
      </w:r>
      <w:proofErr w:type="gramStart"/>
      <w:r w:rsidR="00DF4E24" w:rsidRPr="008D6E5C">
        <w:rPr>
          <w:rFonts w:ascii="Cambria" w:hAnsi="Cambria"/>
          <w:sz w:val="20"/>
          <w:szCs w:val="20"/>
        </w:rPr>
        <w:t>something</w:t>
      </w:r>
      <w:proofErr w:type="gramEnd"/>
      <w:r w:rsidR="00DF4E24" w:rsidRPr="008D6E5C">
        <w:rPr>
          <w:rFonts w:ascii="Cambria" w:hAnsi="Cambria"/>
          <w:sz w:val="20"/>
          <w:szCs w:val="20"/>
        </w:rPr>
        <w:t xml:space="preserve"> might happen to them.” She also sought protection for</w:t>
      </w:r>
      <w:r w:rsidRPr="008D6E5C">
        <w:rPr>
          <w:rFonts w:ascii="Cambria" w:hAnsi="Cambria"/>
          <w:sz w:val="20"/>
          <w:szCs w:val="20"/>
        </w:rPr>
        <w:t xml:space="preserve"> Luis Ortiz, </w:t>
      </w:r>
      <w:r w:rsidR="00DF4E24" w:rsidRPr="008D6E5C">
        <w:rPr>
          <w:rFonts w:ascii="Cambria" w:hAnsi="Cambria"/>
          <w:sz w:val="20"/>
          <w:szCs w:val="20"/>
        </w:rPr>
        <w:t xml:space="preserve">the </w:t>
      </w:r>
      <w:r w:rsidRPr="008D6E5C">
        <w:rPr>
          <w:rFonts w:ascii="Cambria" w:hAnsi="Cambria"/>
          <w:sz w:val="20"/>
          <w:szCs w:val="20"/>
        </w:rPr>
        <w:t>person</w:t>
      </w:r>
      <w:r w:rsidR="00DF4E24" w:rsidRPr="008D6E5C">
        <w:rPr>
          <w:rFonts w:ascii="Cambria" w:hAnsi="Cambria"/>
          <w:sz w:val="20"/>
          <w:szCs w:val="20"/>
        </w:rPr>
        <w:t xml:space="preserve"> who was on </w:t>
      </w:r>
      <w:r w:rsidR="008E0E28" w:rsidRPr="008D6E5C">
        <w:rPr>
          <w:rFonts w:ascii="Cambria" w:hAnsi="Cambria"/>
          <w:sz w:val="20"/>
          <w:szCs w:val="20"/>
        </w:rPr>
        <w:t>a</w:t>
      </w:r>
      <w:r w:rsidR="00DF4E24" w:rsidRPr="008D6E5C">
        <w:rPr>
          <w:rFonts w:ascii="Cambria" w:hAnsi="Cambria"/>
          <w:sz w:val="20"/>
          <w:szCs w:val="20"/>
        </w:rPr>
        <w:t xml:space="preserve"> cassette recording that was submitted as part of the case</w:t>
      </w:r>
      <w:r w:rsidR="008E0E28" w:rsidRPr="008D6E5C">
        <w:rPr>
          <w:rFonts w:ascii="Cambria" w:hAnsi="Cambria"/>
          <w:sz w:val="20"/>
          <w:szCs w:val="20"/>
        </w:rPr>
        <w:t xml:space="preserve"> (</w:t>
      </w:r>
      <w:r w:rsidR="008E0E28" w:rsidRPr="008D6E5C">
        <w:rPr>
          <w:rFonts w:ascii="Cambria" w:hAnsi="Cambria"/>
          <w:i/>
          <w:sz w:val="20"/>
          <w:szCs w:val="20"/>
        </w:rPr>
        <w:t xml:space="preserve">supra </w:t>
      </w:r>
      <w:r w:rsidR="008E0E28" w:rsidRPr="008D6E5C">
        <w:rPr>
          <w:rFonts w:ascii="Cambria" w:hAnsi="Cambria"/>
          <w:sz w:val="20"/>
          <w:szCs w:val="20"/>
        </w:rPr>
        <w:t>para. 101)</w:t>
      </w:r>
      <w:r w:rsidRPr="008D6E5C">
        <w:rPr>
          <w:rFonts w:ascii="Cambria" w:hAnsi="Cambria"/>
          <w:sz w:val="20"/>
          <w:szCs w:val="20"/>
        </w:rPr>
        <w:t>.</w:t>
      </w:r>
      <w:r w:rsidRPr="008D6E5C">
        <w:rPr>
          <w:rStyle w:val="FootnoteReference"/>
          <w:rFonts w:ascii="Cambria" w:hAnsi="Cambria"/>
          <w:sz w:val="20"/>
          <w:szCs w:val="20"/>
        </w:rPr>
        <w:footnoteReference w:id="105"/>
      </w:r>
      <w:r w:rsidRPr="008D6E5C">
        <w:rPr>
          <w:rFonts w:ascii="Cambria" w:hAnsi="Cambria"/>
          <w:sz w:val="20"/>
          <w:szCs w:val="20"/>
        </w:rPr>
        <w:t xml:space="preserve"> </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There is no information in the case file before the IACHR about any kind of protection offered or granted to the </w:t>
      </w:r>
      <w:proofErr w:type="spellStart"/>
      <w:r w:rsidRPr="008D6E5C">
        <w:rPr>
          <w:rFonts w:ascii="Cambria" w:hAnsi="Cambria"/>
          <w:sz w:val="20"/>
          <w:szCs w:val="20"/>
        </w:rPr>
        <w:t>Carvajal</w:t>
      </w:r>
      <w:proofErr w:type="spellEnd"/>
      <w:r w:rsidRPr="008D6E5C">
        <w:rPr>
          <w:rFonts w:ascii="Cambria" w:hAnsi="Cambria"/>
          <w:sz w:val="20"/>
          <w:szCs w:val="20"/>
        </w:rPr>
        <w:t xml:space="preserve"> family or to Luis Ortiz. According to the information </w:t>
      </w:r>
      <w:r w:rsidR="00A666BC" w:rsidRPr="008D6E5C">
        <w:rPr>
          <w:rFonts w:ascii="Cambria" w:hAnsi="Cambria"/>
          <w:sz w:val="20"/>
          <w:szCs w:val="20"/>
        </w:rPr>
        <w:t>received subsequently by</w:t>
      </w:r>
      <w:r w:rsidRPr="008D6E5C">
        <w:rPr>
          <w:rFonts w:ascii="Cambria" w:hAnsi="Cambria"/>
          <w:sz w:val="20"/>
          <w:szCs w:val="20"/>
        </w:rPr>
        <w:t xml:space="preserve"> the IACHR in 2006 and 2010, nine (9) relatives of Nelson </w:t>
      </w:r>
      <w:proofErr w:type="spellStart"/>
      <w:r w:rsidRPr="008D6E5C">
        <w:rPr>
          <w:rFonts w:ascii="Cambria" w:hAnsi="Cambria"/>
          <w:sz w:val="20"/>
          <w:szCs w:val="20"/>
        </w:rPr>
        <w:t>Carvajal’s</w:t>
      </w:r>
      <w:proofErr w:type="spellEnd"/>
      <w:r w:rsidRPr="008D6E5C">
        <w:rPr>
          <w:rFonts w:ascii="Cambria" w:hAnsi="Cambria"/>
          <w:sz w:val="20"/>
          <w:szCs w:val="20"/>
        </w:rPr>
        <w:t xml:space="preserve"> had reportedly left the country for safety reasons:  Paola Andrea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Bolaños</w:t>
      </w:r>
      <w:proofErr w:type="spellEnd"/>
      <w:r w:rsidRPr="008D6E5C">
        <w:rPr>
          <w:rFonts w:ascii="Cambria" w:hAnsi="Cambria"/>
          <w:sz w:val="20"/>
          <w:szCs w:val="20"/>
        </w:rPr>
        <w:t xml:space="preserve"> and </w:t>
      </w:r>
      <w:proofErr w:type="spellStart"/>
      <w:r w:rsidRPr="008D6E5C">
        <w:rPr>
          <w:rFonts w:ascii="Cambria" w:hAnsi="Cambria"/>
          <w:sz w:val="20"/>
          <w:szCs w:val="20"/>
        </w:rPr>
        <w:t>María</w:t>
      </w:r>
      <w:proofErr w:type="spellEnd"/>
      <w:r w:rsidRPr="008D6E5C">
        <w:rPr>
          <w:rFonts w:ascii="Cambria" w:hAnsi="Cambria"/>
          <w:sz w:val="20"/>
          <w:szCs w:val="20"/>
        </w:rPr>
        <w:t xml:space="preserve"> Alejandra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Bolaños</w:t>
      </w:r>
      <w:proofErr w:type="spellEnd"/>
      <w:r w:rsidRPr="008D6E5C">
        <w:rPr>
          <w:rFonts w:ascii="Cambria" w:hAnsi="Cambria"/>
          <w:sz w:val="20"/>
          <w:szCs w:val="20"/>
        </w:rPr>
        <w:t xml:space="preserve"> (</w:t>
      </w:r>
      <w:r w:rsidR="0012782E" w:rsidRPr="008D6E5C">
        <w:rPr>
          <w:rFonts w:ascii="Cambria" w:hAnsi="Cambria"/>
          <w:sz w:val="20"/>
          <w:szCs w:val="20"/>
        </w:rPr>
        <w:t>daughters</w:t>
      </w:r>
      <w:r w:rsidRPr="008D6E5C">
        <w:rPr>
          <w:rFonts w:ascii="Cambria" w:hAnsi="Cambria"/>
          <w:sz w:val="20"/>
          <w:szCs w:val="20"/>
        </w:rPr>
        <w:t xml:space="preserve">); Luz </w:t>
      </w:r>
      <w:r w:rsidR="00E25B25" w:rsidRPr="008D6E5C">
        <w:rPr>
          <w:rFonts w:ascii="Cambria" w:hAnsi="Cambria"/>
          <w:sz w:val="20"/>
          <w:szCs w:val="20"/>
        </w:rPr>
        <w:t>Stella</w:t>
      </w:r>
      <w:r w:rsidRPr="008D6E5C">
        <w:rPr>
          <w:rFonts w:ascii="Cambria" w:hAnsi="Cambria"/>
          <w:sz w:val="20"/>
          <w:szCs w:val="20"/>
        </w:rPr>
        <w:t xml:space="preserve"> </w:t>
      </w:r>
      <w:proofErr w:type="spellStart"/>
      <w:r w:rsidRPr="008D6E5C">
        <w:rPr>
          <w:rFonts w:ascii="Cambria" w:hAnsi="Cambria"/>
          <w:sz w:val="20"/>
          <w:szCs w:val="20"/>
        </w:rPr>
        <w:t>Bolaños</w:t>
      </w:r>
      <w:proofErr w:type="spellEnd"/>
      <w:r w:rsidRPr="008D6E5C">
        <w:rPr>
          <w:rFonts w:ascii="Cambria" w:hAnsi="Cambria"/>
          <w:sz w:val="20"/>
          <w:szCs w:val="20"/>
        </w:rPr>
        <w:t xml:space="preserve"> Rodríguez (spouse); 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Gloria Mercedes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and Ruth </w:t>
      </w:r>
      <w:proofErr w:type="spellStart"/>
      <w:r w:rsidRPr="008D6E5C">
        <w:rPr>
          <w:rFonts w:ascii="Cambria" w:hAnsi="Cambria"/>
          <w:sz w:val="20"/>
          <w:szCs w:val="20"/>
        </w:rPr>
        <w:t>Dary</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(sisters); Fernando Augusto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(brother); </w:t>
      </w:r>
      <w:r w:rsidR="00A666BC" w:rsidRPr="008D6E5C">
        <w:rPr>
          <w:rFonts w:ascii="Cambria" w:hAnsi="Cambria"/>
          <w:sz w:val="20"/>
          <w:szCs w:val="20"/>
        </w:rPr>
        <w:t xml:space="preserve">and </w:t>
      </w:r>
      <w:proofErr w:type="spellStart"/>
      <w:r w:rsidRPr="008D6E5C">
        <w:rPr>
          <w:rFonts w:ascii="Cambria" w:hAnsi="Cambria"/>
          <w:sz w:val="20"/>
          <w:szCs w:val="20"/>
        </w:rPr>
        <w:t>Cristhian</w:t>
      </w:r>
      <w:proofErr w:type="spellEnd"/>
      <w:r w:rsidRPr="008D6E5C">
        <w:rPr>
          <w:rFonts w:ascii="Cambria" w:hAnsi="Cambria"/>
          <w:sz w:val="20"/>
          <w:szCs w:val="20"/>
        </w:rPr>
        <w:t xml:space="preserve"> Camilo Motta </w:t>
      </w:r>
      <w:proofErr w:type="spellStart"/>
      <w:r w:rsidRPr="008D6E5C">
        <w:rPr>
          <w:rFonts w:ascii="Cambria" w:hAnsi="Cambria"/>
          <w:sz w:val="20"/>
          <w:szCs w:val="20"/>
        </w:rPr>
        <w:t>Carvajal</w:t>
      </w:r>
      <w:proofErr w:type="spellEnd"/>
      <w:r w:rsidRPr="008D6E5C">
        <w:rPr>
          <w:rFonts w:ascii="Cambria" w:hAnsi="Cambria"/>
          <w:sz w:val="20"/>
          <w:szCs w:val="20"/>
        </w:rPr>
        <w:t xml:space="preserve"> and César Augusto </w:t>
      </w:r>
      <w:proofErr w:type="spellStart"/>
      <w:r w:rsidRPr="008D6E5C">
        <w:rPr>
          <w:rFonts w:ascii="Cambria" w:hAnsi="Cambria"/>
          <w:sz w:val="20"/>
          <w:szCs w:val="20"/>
        </w:rPr>
        <w:t>Meneses</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(Nelson</w:t>
      </w:r>
      <w:r w:rsidR="00A666BC" w:rsidRPr="008D6E5C">
        <w:rPr>
          <w:rFonts w:ascii="Cambria" w:hAnsi="Cambria"/>
          <w:sz w:val="20"/>
          <w:szCs w:val="20"/>
        </w:rPr>
        <w:t xml:space="preserve">’s nephews, sons of Judith and </w:t>
      </w:r>
      <w:r w:rsidRPr="008D6E5C">
        <w:rPr>
          <w:rFonts w:ascii="Cambria" w:hAnsi="Cambria"/>
          <w:sz w:val="20"/>
          <w:szCs w:val="20"/>
        </w:rPr>
        <w:t xml:space="preserve">Ruth </w:t>
      </w:r>
      <w:proofErr w:type="spellStart"/>
      <w:r w:rsidRPr="008D6E5C">
        <w:rPr>
          <w:rFonts w:ascii="Cambria" w:hAnsi="Cambria"/>
          <w:sz w:val="20"/>
          <w:szCs w:val="20"/>
        </w:rPr>
        <w:t>Dary</w:t>
      </w:r>
      <w:proofErr w:type="spellEnd"/>
      <w:r w:rsidRPr="008D6E5C">
        <w:rPr>
          <w:rFonts w:ascii="Cambria" w:hAnsi="Cambria"/>
          <w:sz w:val="20"/>
          <w:szCs w:val="20"/>
        </w:rPr>
        <w:t xml:space="preserve">, </w:t>
      </w:r>
      <w:r w:rsidRPr="008D6E5C">
        <w:rPr>
          <w:rFonts w:ascii="Cambria" w:hAnsi="Cambria"/>
          <w:sz w:val="20"/>
          <w:szCs w:val="20"/>
        </w:rPr>
        <w:lastRenderedPageBreak/>
        <w:t>respectively).</w:t>
      </w:r>
      <w:r w:rsidRPr="008D6E5C">
        <w:rPr>
          <w:rStyle w:val="FootnoteReference"/>
          <w:rFonts w:ascii="Cambria" w:hAnsi="Cambria"/>
          <w:sz w:val="20"/>
          <w:szCs w:val="20"/>
        </w:rPr>
        <w:footnoteReference w:id="106"/>
      </w:r>
      <w:r w:rsidRPr="008D6E5C">
        <w:rPr>
          <w:rFonts w:ascii="Cambria" w:hAnsi="Cambria"/>
          <w:sz w:val="20"/>
          <w:szCs w:val="20"/>
        </w:rPr>
        <w:t xml:space="preserve"> </w:t>
      </w:r>
      <w:r w:rsidR="00A666BC" w:rsidRPr="008D6E5C">
        <w:rPr>
          <w:rFonts w:ascii="Cambria" w:hAnsi="Cambria"/>
          <w:sz w:val="20"/>
          <w:szCs w:val="20"/>
        </w:rPr>
        <w:t xml:space="preserve">The departure of these individuals from Colombia coincides with the initiation of proceedings to </w:t>
      </w:r>
      <w:r w:rsidR="000A7FD2" w:rsidRPr="008D6E5C">
        <w:rPr>
          <w:rFonts w:ascii="Cambria" w:hAnsi="Cambria"/>
          <w:sz w:val="20"/>
          <w:szCs w:val="20"/>
        </w:rPr>
        <w:t>continue the</w:t>
      </w:r>
      <w:r w:rsidRPr="008D6E5C">
        <w:rPr>
          <w:rFonts w:ascii="Cambria" w:hAnsi="Cambria"/>
          <w:sz w:val="20"/>
          <w:szCs w:val="20"/>
        </w:rPr>
        <w:t xml:space="preserve"> investigation (</w:t>
      </w:r>
      <w:r w:rsidRPr="008D6E5C">
        <w:rPr>
          <w:rFonts w:ascii="Cambria" w:hAnsi="Cambria"/>
          <w:i/>
          <w:sz w:val="20"/>
          <w:szCs w:val="20"/>
        </w:rPr>
        <w:t>supra</w:t>
      </w:r>
      <w:r w:rsidRPr="008D6E5C">
        <w:rPr>
          <w:rFonts w:ascii="Cambria" w:hAnsi="Cambria"/>
          <w:sz w:val="20"/>
          <w:szCs w:val="20"/>
        </w:rPr>
        <w:t xml:space="preserve"> para. </w:t>
      </w:r>
      <w:r w:rsidR="000A7FD2" w:rsidRPr="008D6E5C">
        <w:rPr>
          <w:rFonts w:ascii="Cambria" w:hAnsi="Cambria"/>
          <w:sz w:val="20"/>
          <w:szCs w:val="20"/>
        </w:rPr>
        <w:t>87-94</w:t>
      </w:r>
      <w:r w:rsidRPr="008D6E5C">
        <w:rPr>
          <w:rFonts w:ascii="Cambria" w:hAnsi="Cambria"/>
          <w:sz w:val="20"/>
          <w:szCs w:val="20"/>
        </w:rPr>
        <w:t>).</w:t>
      </w:r>
    </w:p>
    <w:p w:rsidR="00C0575F" w:rsidRPr="008D6E5C" w:rsidRDefault="00C0575F" w:rsidP="001520DB">
      <w:pPr>
        <w:pStyle w:val="ListParagraph"/>
        <w:jc w:val="both"/>
        <w:rPr>
          <w:sz w:val="20"/>
          <w:szCs w:val="20"/>
        </w:rPr>
      </w:pPr>
    </w:p>
    <w:p w:rsidR="00C0575F" w:rsidRPr="008D6E5C" w:rsidRDefault="00C0575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According to information </w:t>
      </w:r>
      <w:r w:rsidR="00596CD6" w:rsidRPr="008D6E5C">
        <w:rPr>
          <w:rFonts w:ascii="Cambria" w:hAnsi="Cambria"/>
          <w:sz w:val="20"/>
          <w:szCs w:val="20"/>
        </w:rPr>
        <w:t>that is public knowledge</w:t>
      </w:r>
      <w:r w:rsidRPr="008D6E5C">
        <w:rPr>
          <w:rFonts w:ascii="Cambria" w:hAnsi="Cambria"/>
          <w:sz w:val="20"/>
          <w:szCs w:val="20"/>
        </w:rPr>
        <w:t xml:space="preserve">, </w:t>
      </w:r>
      <w:r w:rsidR="00596CD6" w:rsidRPr="008D6E5C">
        <w:rPr>
          <w:rFonts w:ascii="Cambria" w:hAnsi="Cambria"/>
          <w:sz w:val="20"/>
          <w:szCs w:val="20"/>
        </w:rPr>
        <w:t>cited by</w:t>
      </w:r>
      <w:r w:rsidRPr="008D6E5C">
        <w:rPr>
          <w:rFonts w:ascii="Cambria" w:hAnsi="Cambria"/>
          <w:sz w:val="20"/>
          <w:szCs w:val="20"/>
        </w:rPr>
        <w:t xml:space="preserve"> the petitioner </w:t>
      </w:r>
      <w:r w:rsidR="00596CD6" w:rsidRPr="008D6E5C">
        <w:rPr>
          <w:rFonts w:ascii="Cambria" w:hAnsi="Cambria"/>
          <w:sz w:val="20"/>
          <w:szCs w:val="20"/>
        </w:rPr>
        <w:t>and not disputed by</w:t>
      </w:r>
      <w:r w:rsidRPr="008D6E5C">
        <w:rPr>
          <w:rFonts w:ascii="Cambria" w:hAnsi="Cambria"/>
          <w:sz w:val="20"/>
          <w:szCs w:val="20"/>
        </w:rPr>
        <w:t xml:space="preserve"> the State, </w:t>
      </w:r>
      <w:r w:rsidR="00CE4E2E" w:rsidRPr="008D6E5C">
        <w:rPr>
          <w:rFonts w:ascii="Cambria" w:hAnsi="Cambria"/>
          <w:sz w:val="20"/>
          <w:szCs w:val="20"/>
        </w:rPr>
        <w:t xml:space="preserve">a key prosecution witness and demobilized FARC combatant </w:t>
      </w:r>
      <w:r w:rsidRPr="008D6E5C">
        <w:rPr>
          <w:rFonts w:ascii="Cambria" w:hAnsi="Cambria"/>
          <w:sz w:val="20"/>
          <w:szCs w:val="20"/>
        </w:rPr>
        <w:t>was murdered</w:t>
      </w:r>
      <w:r w:rsidR="00596CD6" w:rsidRPr="008D6E5C">
        <w:rPr>
          <w:rFonts w:ascii="Cambria" w:hAnsi="Cambria"/>
          <w:sz w:val="20"/>
          <w:szCs w:val="20"/>
        </w:rPr>
        <w:t xml:space="preserve"> in May 2007</w:t>
      </w:r>
      <w:r w:rsidRPr="008D6E5C">
        <w:rPr>
          <w:rFonts w:ascii="Cambria" w:hAnsi="Cambria"/>
          <w:sz w:val="20"/>
          <w:szCs w:val="20"/>
        </w:rPr>
        <w:t>.</w:t>
      </w:r>
      <w:r w:rsidRPr="008D6E5C">
        <w:rPr>
          <w:rFonts w:ascii="Cambria" w:hAnsi="Cambria"/>
          <w:sz w:val="20"/>
          <w:szCs w:val="20"/>
          <w:vertAlign w:val="superscript"/>
        </w:rPr>
        <w:footnoteReference w:id="107"/>
      </w:r>
      <w:r w:rsidRPr="008D6E5C">
        <w:rPr>
          <w:rFonts w:ascii="Cambria" w:hAnsi="Cambria"/>
          <w:sz w:val="20"/>
          <w:szCs w:val="20"/>
        </w:rPr>
        <w:t xml:space="preserve"> Pablo Emilio Bonilla </w:t>
      </w:r>
      <w:proofErr w:type="spellStart"/>
      <w:r w:rsidRPr="008D6E5C">
        <w:rPr>
          <w:rFonts w:ascii="Cambria" w:hAnsi="Cambria"/>
          <w:sz w:val="20"/>
          <w:szCs w:val="20"/>
        </w:rPr>
        <w:t>Betancurt</w:t>
      </w:r>
      <w:proofErr w:type="spellEnd"/>
      <w:r w:rsidRPr="008D6E5C">
        <w:rPr>
          <w:rFonts w:ascii="Cambria" w:hAnsi="Cambria"/>
          <w:sz w:val="20"/>
          <w:szCs w:val="20"/>
        </w:rPr>
        <w:t xml:space="preserve"> </w:t>
      </w:r>
      <w:r w:rsidR="00596CD6" w:rsidRPr="008D6E5C">
        <w:rPr>
          <w:rFonts w:ascii="Cambria" w:hAnsi="Cambria"/>
          <w:sz w:val="20"/>
          <w:szCs w:val="20"/>
        </w:rPr>
        <w:t xml:space="preserve">provided </w:t>
      </w:r>
      <w:r w:rsidR="00CE4E2E" w:rsidRPr="008D6E5C">
        <w:rPr>
          <w:rFonts w:ascii="Cambria" w:hAnsi="Cambria"/>
          <w:sz w:val="20"/>
          <w:szCs w:val="20"/>
        </w:rPr>
        <w:t>statement</w:t>
      </w:r>
      <w:r w:rsidR="00596CD6" w:rsidRPr="008D6E5C">
        <w:rPr>
          <w:rFonts w:ascii="Cambria" w:hAnsi="Cambria"/>
          <w:sz w:val="20"/>
          <w:szCs w:val="20"/>
        </w:rPr>
        <w:t>s</w:t>
      </w:r>
      <w:r w:rsidR="00CE4E2E" w:rsidRPr="008D6E5C">
        <w:rPr>
          <w:rFonts w:ascii="Cambria" w:hAnsi="Cambria"/>
          <w:sz w:val="20"/>
          <w:szCs w:val="20"/>
        </w:rPr>
        <w:t xml:space="preserve"> to a</w:t>
      </w:r>
      <w:r w:rsidRPr="008D6E5C">
        <w:rPr>
          <w:rFonts w:ascii="Cambria" w:hAnsi="Cambria"/>
          <w:sz w:val="20"/>
          <w:szCs w:val="20"/>
        </w:rPr>
        <w:t xml:space="preserve"> Special Prosecutor on March 29, and October 11 and 12, 2006, in </w:t>
      </w:r>
      <w:proofErr w:type="spellStart"/>
      <w:r w:rsidRPr="008D6E5C">
        <w:rPr>
          <w:rFonts w:ascii="Cambria" w:hAnsi="Cambria"/>
          <w:sz w:val="20"/>
          <w:szCs w:val="20"/>
        </w:rPr>
        <w:t>Pitalito</w:t>
      </w:r>
      <w:proofErr w:type="spellEnd"/>
      <w:r w:rsidRPr="008D6E5C">
        <w:rPr>
          <w:rFonts w:ascii="Cambria" w:hAnsi="Cambria"/>
          <w:sz w:val="20"/>
          <w:szCs w:val="20"/>
        </w:rPr>
        <w:t xml:space="preserve">, Huila. </w:t>
      </w:r>
      <w:r w:rsidR="00596CD6" w:rsidRPr="008D6E5C">
        <w:rPr>
          <w:rFonts w:ascii="Cambria" w:hAnsi="Cambria"/>
          <w:sz w:val="20"/>
          <w:szCs w:val="20"/>
        </w:rPr>
        <w:t>In those statements he implicated</w:t>
      </w:r>
      <w:r w:rsidRPr="008D6E5C">
        <w:rPr>
          <w:rFonts w:ascii="Cambria" w:hAnsi="Cambria"/>
          <w:sz w:val="20"/>
          <w:szCs w:val="20"/>
        </w:rPr>
        <w:t xml:space="preserve"> </w:t>
      </w:r>
      <w:r w:rsidR="00596CD6" w:rsidRPr="008D6E5C">
        <w:rPr>
          <w:rFonts w:ascii="Cambria" w:hAnsi="Cambria"/>
          <w:sz w:val="20"/>
          <w:szCs w:val="20"/>
        </w:rPr>
        <w:t xml:space="preserve">the former mayor of </w:t>
      </w:r>
      <w:proofErr w:type="spellStart"/>
      <w:r w:rsidR="00596CD6" w:rsidRPr="008D6E5C">
        <w:rPr>
          <w:rFonts w:ascii="Cambria" w:hAnsi="Cambria"/>
          <w:sz w:val="20"/>
          <w:szCs w:val="20"/>
        </w:rPr>
        <w:t>Pitalito</w:t>
      </w:r>
      <w:proofErr w:type="spellEnd"/>
      <w:r w:rsidR="00596CD6" w:rsidRPr="008D6E5C">
        <w:rPr>
          <w:rFonts w:ascii="Cambria" w:hAnsi="Cambria"/>
          <w:sz w:val="20"/>
          <w:szCs w:val="20"/>
        </w:rPr>
        <w:t xml:space="preserve">, </w:t>
      </w:r>
      <w:r w:rsidR="000A7FD2" w:rsidRPr="008D6E5C">
        <w:rPr>
          <w:rFonts w:ascii="Cambria" w:hAnsi="Cambria"/>
          <w:sz w:val="20"/>
          <w:szCs w:val="20"/>
        </w:rPr>
        <w:t xml:space="preserve">and the local </w:t>
      </w:r>
      <w:r w:rsidR="00FF6746" w:rsidRPr="008D6E5C">
        <w:rPr>
          <w:rFonts w:ascii="Cambria" w:hAnsi="Cambria"/>
          <w:sz w:val="20"/>
          <w:szCs w:val="20"/>
        </w:rPr>
        <w:t>businessman</w:t>
      </w:r>
      <w:r w:rsidR="000A7FD2" w:rsidRPr="008D6E5C">
        <w:rPr>
          <w:rFonts w:ascii="Cambria" w:hAnsi="Cambria"/>
          <w:sz w:val="20"/>
          <w:szCs w:val="20"/>
        </w:rPr>
        <w:t xml:space="preserve"> previously acquitted </w:t>
      </w:r>
      <w:r w:rsidR="00596CD6" w:rsidRPr="008D6E5C">
        <w:rPr>
          <w:rFonts w:ascii="Cambria" w:hAnsi="Cambria"/>
          <w:sz w:val="20"/>
          <w:szCs w:val="20"/>
        </w:rPr>
        <w:t xml:space="preserve">as the </w:t>
      </w:r>
      <w:r w:rsidR="00724A76" w:rsidRPr="008D6E5C">
        <w:rPr>
          <w:rFonts w:ascii="Cambria" w:hAnsi="Cambria"/>
          <w:sz w:val="20"/>
          <w:szCs w:val="20"/>
        </w:rPr>
        <w:t>masterminds</w:t>
      </w:r>
      <w:r w:rsidRPr="008D6E5C">
        <w:rPr>
          <w:rFonts w:ascii="Cambria" w:hAnsi="Cambria"/>
          <w:sz w:val="20"/>
          <w:szCs w:val="20"/>
        </w:rPr>
        <w:t xml:space="preserve"> </w:t>
      </w:r>
      <w:r w:rsidR="00596CD6" w:rsidRPr="008D6E5C">
        <w:rPr>
          <w:rFonts w:ascii="Cambria" w:hAnsi="Cambria"/>
          <w:sz w:val="20"/>
          <w:szCs w:val="20"/>
        </w:rPr>
        <w:t xml:space="preserve">of Nelson </w:t>
      </w:r>
      <w:proofErr w:type="spellStart"/>
      <w:r w:rsidR="00596CD6" w:rsidRPr="008D6E5C">
        <w:rPr>
          <w:rFonts w:ascii="Cambria" w:hAnsi="Cambria"/>
          <w:sz w:val="20"/>
          <w:szCs w:val="20"/>
        </w:rPr>
        <w:t>Carvajal</w:t>
      </w:r>
      <w:proofErr w:type="spellEnd"/>
      <w:r w:rsidR="00596CD6" w:rsidRPr="008D6E5C">
        <w:rPr>
          <w:rFonts w:ascii="Cambria" w:hAnsi="Cambria"/>
          <w:sz w:val="20"/>
          <w:szCs w:val="20"/>
        </w:rPr>
        <w:t xml:space="preserve"> </w:t>
      </w:r>
      <w:proofErr w:type="spellStart"/>
      <w:r w:rsidR="00596CD6" w:rsidRPr="008D6E5C">
        <w:rPr>
          <w:rFonts w:ascii="Cambria" w:hAnsi="Cambria"/>
          <w:sz w:val="20"/>
          <w:szCs w:val="20"/>
        </w:rPr>
        <w:t>Carvajal’s</w:t>
      </w:r>
      <w:proofErr w:type="spellEnd"/>
      <w:r w:rsidR="00596CD6" w:rsidRPr="008D6E5C">
        <w:rPr>
          <w:rFonts w:ascii="Cambria" w:hAnsi="Cambria"/>
          <w:sz w:val="20"/>
          <w:szCs w:val="20"/>
        </w:rPr>
        <w:t xml:space="preserve"> murder</w:t>
      </w:r>
      <w:r w:rsidRPr="008D6E5C">
        <w:rPr>
          <w:rFonts w:ascii="Cambria" w:hAnsi="Cambria"/>
          <w:sz w:val="20"/>
          <w:szCs w:val="20"/>
        </w:rPr>
        <w:t xml:space="preserve">. </w:t>
      </w:r>
      <w:r w:rsidR="00596CD6" w:rsidRPr="008D6E5C">
        <w:rPr>
          <w:rFonts w:ascii="Cambria" w:hAnsi="Cambria"/>
          <w:sz w:val="20"/>
          <w:szCs w:val="20"/>
        </w:rPr>
        <w:t>Based on his</w:t>
      </w:r>
      <w:r w:rsidR="00CE4E2E" w:rsidRPr="008D6E5C">
        <w:rPr>
          <w:rFonts w:ascii="Cambria" w:hAnsi="Cambria"/>
          <w:sz w:val="20"/>
          <w:szCs w:val="20"/>
        </w:rPr>
        <w:t xml:space="preserve"> statement</w:t>
      </w:r>
      <w:r w:rsidR="00596CD6" w:rsidRPr="008D6E5C">
        <w:rPr>
          <w:rFonts w:ascii="Cambria" w:hAnsi="Cambria"/>
          <w:sz w:val="20"/>
          <w:szCs w:val="20"/>
        </w:rPr>
        <w:t>s</w:t>
      </w:r>
      <w:r w:rsidR="00CE4E2E" w:rsidRPr="008D6E5C">
        <w:rPr>
          <w:rFonts w:ascii="Cambria" w:hAnsi="Cambria"/>
          <w:sz w:val="20"/>
          <w:szCs w:val="20"/>
        </w:rPr>
        <w:t>,</w:t>
      </w:r>
      <w:r w:rsidRPr="008D6E5C">
        <w:rPr>
          <w:rFonts w:ascii="Cambria" w:hAnsi="Cambria"/>
          <w:sz w:val="20"/>
          <w:szCs w:val="20"/>
        </w:rPr>
        <w:t xml:space="preserve"> </w:t>
      </w:r>
      <w:r w:rsidR="00155E6A" w:rsidRPr="008D6E5C">
        <w:rPr>
          <w:rFonts w:ascii="Cambria" w:hAnsi="Cambria"/>
          <w:sz w:val="20"/>
          <w:szCs w:val="20"/>
        </w:rPr>
        <w:t>the II Criminal Court Representative</w:t>
      </w:r>
      <w:r w:rsidRPr="008D6E5C">
        <w:rPr>
          <w:rFonts w:ascii="Cambria" w:hAnsi="Cambria"/>
          <w:sz w:val="20"/>
          <w:szCs w:val="20"/>
        </w:rPr>
        <w:t xml:space="preserve"> </w:t>
      </w:r>
      <w:r w:rsidR="00AD2FFD" w:rsidRPr="008D6E5C">
        <w:rPr>
          <w:rFonts w:ascii="Cambria" w:hAnsi="Cambria"/>
          <w:sz w:val="20"/>
          <w:szCs w:val="20"/>
        </w:rPr>
        <w:t>filed a motion for reconsideration of the judgments of the Single Criminal Court of the Specialized Circuit of Neiva and the Superior Court for the Judicial District of Neiva</w:t>
      </w:r>
      <w:r w:rsidR="008C2164" w:rsidRPr="008D6E5C">
        <w:rPr>
          <w:rFonts w:ascii="Cambria" w:hAnsi="Cambria"/>
          <w:sz w:val="20"/>
          <w:szCs w:val="20"/>
        </w:rPr>
        <w:t xml:space="preserve"> before the Supreme Court of Justice</w:t>
      </w:r>
      <w:r w:rsidRPr="008D6E5C">
        <w:rPr>
          <w:rFonts w:ascii="Cambria" w:hAnsi="Cambria"/>
          <w:sz w:val="20"/>
          <w:szCs w:val="20"/>
        </w:rPr>
        <w:t>.</w:t>
      </w:r>
      <w:r w:rsidRPr="008D6E5C">
        <w:rPr>
          <w:rFonts w:ascii="Cambria" w:hAnsi="Cambria"/>
          <w:sz w:val="20"/>
          <w:szCs w:val="20"/>
          <w:vertAlign w:val="superscript"/>
        </w:rPr>
        <w:footnoteReference w:id="108"/>
      </w:r>
      <w:r w:rsidRPr="008D6E5C">
        <w:rPr>
          <w:rFonts w:ascii="Cambria" w:hAnsi="Cambria"/>
          <w:sz w:val="20"/>
          <w:szCs w:val="20"/>
        </w:rPr>
        <w:t xml:space="preserve"> The State </w:t>
      </w:r>
      <w:r w:rsidR="008063E7" w:rsidRPr="008D6E5C">
        <w:rPr>
          <w:rFonts w:ascii="Cambria" w:hAnsi="Cambria"/>
          <w:sz w:val="20"/>
          <w:szCs w:val="20"/>
        </w:rPr>
        <w:t>did not provide any information regarding the investigations conducted following</w:t>
      </w:r>
      <w:r w:rsidRPr="008D6E5C">
        <w:rPr>
          <w:rFonts w:ascii="Cambria" w:hAnsi="Cambria"/>
          <w:sz w:val="20"/>
          <w:szCs w:val="20"/>
        </w:rPr>
        <w:t xml:space="preserve"> Pablo Emilio Bonilla </w:t>
      </w:r>
      <w:proofErr w:type="spellStart"/>
      <w:r w:rsidRPr="008D6E5C">
        <w:rPr>
          <w:rFonts w:ascii="Cambria" w:hAnsi="Cambria"/>
          <w:sz w:val="20"/>
          <w:szCs w:val="20"/>
        </w:rPr>
        <w:t>Betancurt</w:t>
      </w:r>
      <w:r w:rsidR="008063E7" w:rsidRPr="008D6E5C">
        <w:rPr>
          <w:rFonts w:ascii="Cambria" w:hAnsi="Cambria"/>
          <w:sz w:val="20"/>
          <w:szCs w:val="20"/>
        </w:rPr>
        <w:t>’s</w:t>
      </w:r>
      <w:proofErr w:type="spellEnd"/>
      <w:r w:rsidR="008063E7" w:rsidRPr="008D6E5C">
        <w:rPr>
          <w:rFonts w:ascii="Cambria" w:hAnsi="Cambria"/>
          <w:sz w:val="20"/>
          <w:szCs w:val="20"/>
        </w:rPr>
        <w:t xml:space="preserve"> murder</w:t>
      </w:r>
      <w:r w:rsidRPr="008D6E5C">
        <w:rPr>
          <w:rFonts w:ascii="Cambria" w:hAnsi="Cambria"/>
          <w:sz w:val="20"/>
          <w:szCs w:val="20"/>
        </w:rPr>
        <w:t xml:space="preserve">, </w:t>
      </w:r>
      <w:r w:rsidR="008063E7" w:rsidRPr="008D6E5C">
        <w:rPr>
          <w:rFonts w:ascii="Cambria" w:hAnsi="Cambria"/>
          <w:sz w:val="20"/>
          <w:szCs w:val="20"/>
        </w:rPr>
        <w:t>or about the possible</w:t>
      </w:r>
      <w:r w:rsidRPr="008D6E5C">
        <w:rPr>
          <w:rFonts w:ascii="Cambria" w:hAnsi="Cambria"/>
          <w:sz w:val="20"/>
          <w:szCs w:val="20"/>
        </w:rPr>
        <w:t xml:space="preserve"> </w:t>
      </w:r>
      <w:r w:rsidR="008063E7" w:rsidRPr="008D6E5C">
        <w:rPr>
          <w:rFonts w:ascii="Cambria" w:hAnsi="Cambria"/>
          <w:sz w:val="20"/>
          <w:szCs w:val="20"/>
        </w:rPr>
        <w:t>connection between his death and his participation as a witness in this case.</w:t>
      </w:r>
      <w:r w:rsidR="00596CD6" w:rsidRPr="008D6E5C">
        <w:rPr>
          <w:rFonts w:ascii="Cambria" w:hAnsi="Cambria"/>
          <w:sz w:val="20"/>
          <w:szCs w:val="20"/>
        </w:rPr>
        <w:t xml:space="preserve"> </w:t>
      </w:r>
    </w:p>
    <w:p w:rsidR="00777482" w:rsidRPr="008D6E5C" w:rsidRDefault="00777482" w:rsidP="001520DB">
      <w:pPr>
        <w:pStyle w:val="ListParagraph"/>
        <w:rPr>
          <w:sz w:val="20"/>
          <w:szCs w:val="20"/>
        </w:rPr>
      </w:pPr>
    </w:p>
    <w:p w:rsidR="00777482" w:rsidRPr="008D6E5C" w:rsidRDefault="00A225E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sz w:val="20"/>
          <w:szCs w:val="20"/>
        </w:rPr>
        <w:t xml:space="preserve">In August 2008 the Office of the Prosecutor General requested that the Ministry of the Interior and Justice and the Administrative Security Department (DAS) provide protection to </w:t>
      </w:r>
      <w:proofErr w:type="spellStart"/>
      <w:r w:rsidRPr="008D6E5C">
        <w:rPr>
          <w:rFonts w:ascii="Cambria" w:hAnsi="Cambria" w:cs="Arial"/>
          <w:sz w:val="20"/>
          <w:szCs w:val="20"/>
        </w:rPr>
        <w:t>petitioner’representative</w:t>
      </w:r>
      <w:proofErr w:type="spellEnd"/>
      <w:r w:rsidRPr="008D6E5C">
        <w:rPr>
          <w:rFonts w:ascii="Cambria" w:hAnsi="Cambria" w:cs="Arial"/>
          <w:sz w:val="20"/>
          <w:szCs w:val="20"/>
        </w:rPr>
        <w:t xml:space="preserve"> Diana </w:t>
      </w:r>
      <w:proofErr w:type="spellStart"/>
      <w:r w:rsidRPr="008D6E5C">
        <w:rPr>
          <w:rFonts w:ascii="Cambria" w:hAnsi="Cambria" w:cs="Arial"/>
          <w:sz w:val="20"/>
          <w:szCs w:val="20"/>
        </w:rPr>
        <w:t>Calderón</w:t>
      </w:r>
      <w:proofErr w:type="spellEnd"/>
      <w:r w:rsidRPr="008D6E5C">
        <w:rPr>
          <w:rFonts w:ascii="Cambria" w:hAnsi="Cambria" w:cs="Arial"/>
          <w:sz w:val="20"/>
          <w:szCs w:val="20"/>
        </w:rPr>
        <w:t xml:space="preserve">. According to the information provided by the petitioner and not contested by the State, </w:t>
      </w:r>
      <w:proofErr w:type="spellStart"/>
      <w:r w:rsidRPr="008D6E5C">
        <w:rPr>
          <w:rFonts w:ascii="Cambria" w:hAnsi="Cambria" w:cs="Arial"/>
          <w:sz w:val="20"/>
          <w:szCs w:val="20"/>
        </w:rPr>
        <w:t>Calderón</w:t>
      </w:r>
      <w:proofErr w:type="spellEnd"/>
      <w:r w:rsidRPr="008D6E5C">
        <w:rPr>
          <w:rFonts w:ascii="Cambria" w:hAnsi="Cambria" w:cs="Arial"/>
          <w:sz w:val="20"/>
          <w:szCs w:val="20"/>
        </w:rPr>
        <w:t xml:space="preserve"> had received a piece of paper depicting a skull and a gravestone with Nelson’s name on it. The paper also depicted five more graves, each one alluding to a relative of Nelson </w:t>
      </w:r>
      <w:proofErr w:type="spellStart"/>
      <w:r w:rsidRPr="008D6E5C">
        <w:rPr>
          <w:rFonts w:ascii="Cambria" w:hAnsi="Cambria" w:cs="Arial"/>
          <w:sz w:val="20"/>
          <w:szCs w:val="20"/>
        </w:rPr>
        <w:t>Carvajal’s</w:t>
      </w:r>
      <w:proofErr w:type="spellEnd"/>
      <w:r w:rsidRPr="008D6E5C">
        <w:rPr>
          <w:rFonts w:ascii="Cambria" w:hAnsi="Cambria" w:cs="Arial"/>
          <w:sz w:val="20"/>
          <w:szCs w:val="20"/>
        </w:rPr>
        <w:t>, and the message “keep investigating and you too will rest.</w:t>
      </w:r>
      <w:r w:rsidR="00777482" w:rsidRPr="008D6E5C">
        <w:rPr>
          <w:rFonts w:ascii="Cambria" w:hAnsi="Cambria" w:cs="Arial"/>
          <w:sz w:val="20"/>
          <w:szCs w:val="20"/>
        </w:rPr>
        <w:t>”</w:t>
      </w:r>
      <w:r w:rsidR="00777482" w:rsidRPr="008D6E5C">
        <w:rPr>
          <w:rStyle w:val="FootnoteReference"/>
          <w:rFonts w:ascii="Cambria" w:hAnsi="Cambria" w:cs="Arial"/>
          <w:sz w:val="20"/>
          <w:szCs w:val="20"/>
          <w:lang w:val="es-ES"/>
        </w:rPr>
        <w:footnoteReference w:id="109"/>
      </w:r>
      <w:r w:rsidR="00777482" w:rsidRPr="008D6E5C">
        <w:rPr>
          <w:rFonts w:ascii="Cambria" w:hAnsi="Cambria" w:cs="Arial"/>
          <w:sz w:val="20"/>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C0575F" w:rsidP="001520DB">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firstLine="720"/>
        <w:jc w:val="both"/>
        <w:rPr>
          <w:szCs w:val="20"/>
        </w:rPr>
      </w:pPr>
      <w:bookmarkStart w:id="34" w:name="_Toc412478087"/>
      <w:bookmarkStart w:id="35" w:name="_Toc412536247"/>
      <w:bookmarkStart w:id="36" w:name="_Toc412539542"/>
      <w:bookmarkStart w:id="37" w:name="_Toc416880388"/>
      <w:r w:rsidRPr="008D6E5C">
        <w:rPr>
          <w:szCs w:val="20"/>
        </w:rPr>
        <w:t>The practice of journalism in the context of the internal armed conflict in Colombia</w:t>
      </w:r>
      <w:bookmarkEnd w:id="34"/>
      <w:bookmarkEnd w:id="35"/>
      <w:bookmarkEnd w:id="36"/>
      <w:bookmarkEnd w:id="37"/>
      <w:r w:rsidRPr="008D6E5C">
        <w:rPr>
          <w:szCs w:val="20"/>
        </w:rPr>
        <w:t xml:space="preserve"> </w:t>
      </w:r>
    </w:p>
    <w:p w:rsidR="00C0575F" w:rsidRPr="008D6E5C" w:rsidRDefault="00C0575F" w:rsidP="001520DB">
      <w:pPr>
        <w:pStyle w:val="ListParagraph"/>
        <w:ind w:left="0" w:firstLine="720"/>
        <w:jc w:val="both"/>
        <w:rPr>
          <w:sz w:val="20"/>
          <w:szCs w:val="20"/>
        </w:rPr>
      </w:pPr>
    </w:p>
    <w:p w:rsidR="00C0575F" w:rsidRPr="008D6E5C" w:rsidRDefault="00EF0B8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I</w:t>
      </w:r>
      <w:r w:rsidR="00097DD8" w:rsidRPr="008D6E5C">
        <w:rPr>
          <w:rFonts w:ascii="Cambria" w:hAnsi="Cambria"/>
          <w:sz w:val="20"/>
          <w:szCs w:val="20"/>
        </w:rPr>
        <w:t>n the 2005 report entitled</w:t>
      </w:r>
      <w:r w:rsidR="00C0575F" w:rsidRPr="008D6E5C">
        <w:rPr>
          <w:rFonts w:ascii="Cambria" w:hAnsi="Cambria"/>
          <w:sz w:val="20"/>
          <w:szCs w:val="20"/>
        </w:rPr>
        <w:t xml:space="preserve"> </w:t>
      </w:r>
      <w:hyperlink r:id="rId15" w:history="1">
        <w:r w:rsidR="006D3648" w:rsidRPr="008D6E5C">
          <w:rPr>
            <w:rStyle w:val="Hyperlink"/>
            <w:rFonts w:ascii="Cambria" w:hAnsi="Cambria"/>
            <w:i/>
            <w:sz w:val="20"/>
            <w:szCs w:val="20"/>
            <w:u w:val="none"/>
          </w:rPr>
          <w:t xml:space="preserve">Impunity, Self-Censorship and Armed Internal </w:t>
        </w:r>
        <w:proofErr w:type="gramStart"/>
        <w:r w:rsidR="006D3648" w:rsidRPr="008D6E5C">
          <w:rPr>
            <w:rStyle w:val="Hyperlink"/>
            <w:rFonts w:ascii="Cambria" w:hAnsi="Cambria"/>
            <w:i/>
            <w:sz w:val="20"/>
            <w:szCs w:val="20"/>
            <w:u w:val="none"/>
          </w:rPr>
          <w:t>Conflict :</w:t>
        </w:r>
        <w:proofErr w:type="gramEnd"/>
        <w:r w:rsidR="006D3648" w:rsidRPr="008D6E5C">
          <w:rPr>
            <w:rStyle w:val="Hyperlink"/>
            <w:rFonts w:ascii="Cambria" w:hAnsi="Cambria"/>
            <w:i/>
            <w:sz w:val="20"/>
            <w:szCs w:val="20"/>
            <w:u w:val="none"/>
          </w:rPr>
          <w:t xml:space="preserve"> An Analysis of the State of Freedom of Expression in Colombia</w:t>
        </w:r>
      </w:hyperlink>
      <w:r w:rsidRPr="008D6E5C">
        <w:rPr>
          <w:rFonts w:ascii="Cambria" w:hAnsi="Cambria"/>
          <w:i/>
          <w:sz w:val="20"/>
          <w:szCs w:val="20"/>
        </w:rPr>
        <w:t>,</w:t>
      </w:r>
      <w:r w:rsidR="00C0575F" w:rsidRPr="008D6E5C">
        <w:rPr>
          <w:rFonts w:ascii="Cambria" w:hAnsi="Cambria"/>
          <w:i/>
          <w:sz w:val="20"/>
          <w:szCs w:val="20"/>
        </w:rPr>
        <w:t xml:space="preserve"> </w:t>
      </w:r>
      <w:r w:rsidRPr="008D6E5C">
        <w:rPr>
          <w:rFonts w:ascii="Cambria" w:hAnsi="Cambria"/>
          <w:sz w:val="20"/>
          <w:szCs w:val="20"/>
        </w:rPr>
        <w:t>the IACHR and its O</w:t>
      </w:r>
      <w:r w:rsidR="006D3648" w:rsidRPr="008D6E5C">
        <w:rPr>
          <w:rFonts w:ascii="Cambria" w:hAnsi="Cambria"/>
          <w:sz w:val="20"/>
          <w:szCs w:val="20"/>
        </w:rPr>
        <w:t>ffice of the Special Rapporteur</w:t>
      </w:r>
      <w:r w:rsidRPr="008D6E5C">
        <w:rPr>
          <w:rFonts w:ascii="Cambria" w:hAnsi="Cambria"/>
          <w:sz w:val="20"/>
          <w:szCs w:val="20"/>
        </w:rPr>
        <w:t xml:space="preserve"> </w:t>
      </w:r>
      <w:r w:rsidR="006D3648" w:rsidRPr="008D6E5C">
        <w:rPr>
          <w:rFonts w:ascii="Cambria" w:hAnsi="Cambria"/>
          <w:sz w:val="20"/>
          <w:szCs w:val="20"/>
        </w:rPr>
        <w:t>found that</w:t>
      </w:r>
      <w:r w:rsidR="00C0575F" w:rsidRPr="008D6E5C">
        <w:rPr>
          <w:rFonts w:ascii="Cambria" w:hAnsi="Cambria"/>
          <w:sz w:val="20"/>
          <w:szCs w:val="20"/>
        </w:rPr>
        <w:t xml:space="preserve"> “</w:t>
      </w:r>
      <w:r w:rsidR="006D3648" w:rsidRPr="008D6E5C">
        <w:rPr>
          <w:rFonts w:ascii="Cambria" w:hAnsi="Cambria"/>
          <w:sz w:val="20"/>
          <w:szCs w:val="20"/>
        </w:rPr>
        <w:t>The exercise of the right to freedom of expression i</w:t>
      </w:r>
      <w:r w:rsidR="00C0575F" w:rsidRPr="008D6E5C">
        <w:rPr>
          <w:rFonts w:ascii="Cambria" w:hAnsi="Cambria"/>
          <w:sz w:val="20"/>
          <w:szCs w:val="20"/>
        </w:rPr>
        <w:t xml:space="preserve">n Colombia </w:t>
      </w:r>
      <w:r w:rsidR="006D3648" w:rsidRPr="008D6E5C">
        <w:rPr>
          <w:rFonts w:ascii="Cambria" w:hAnsi="Cambria"/>
          <w:sz w:val="20"/>
          <w:szCs w:val="20"/>
        </w:rPr>
        <w:t>has been gravely affected in recent decades by the</w:t>
      </w:r>
      <w:r w:rsidR="00C0575F" w:rsidRPr="008D6E5C">
        <w:rPr>
          <w:rFonts w:ascii="Cambria" w:hAnsi="Cambria"/>
          <w:sz w:val="20"/>
          <w:szCs w:val="20"/>
        </w:rPr>
        <w:t xml:space="preserve"> internal armed conflict.”</w:t>
      </w:r>
      <w:r w:rsidR="00C0575F" w:rsidRPr="008D6E5C">
        <w:rPr>
          <w:rFonts w:ascii="Cambria" w:hAnsi="Cambria"/>
          <w:sz w:val="20"/>
          <w:szCs w:val="20"/>
          <w:vertAlign w:val="superscript"/>
        </w:rPr>
        <w:footnoteReference w:id="110"/>
      </w:r>
      <w:r w:rsidR="00097DD8" w:rsidRPr="008D6E5C">
        <w:rPr>
          <w:rFonts w:ascii="Cambria" w:hAnsi="Cambria"/>
          <w:sz w:val="20"/>
          <w:szCs w:val="20"/>
        </w:rPr>
        <w:t xml:space="preserve"> In this context</w:t>
      </w:r>
      <w:r w:rsidR="00C0575F" w:rsidRPr="008D6E5C">
        <w:rPr>
          <w:rFonts w:ascii="Cambria" w:hAnsi="Cambria"/>
          <w:sz w:val="20"/>
          <w:szCs w:val="20"/>
        </w:rPr>
        <w:t>, “</w:t>
      </w:r>
      <w:r w:rsidR="00585BB5" w:rsidRPr="008D6E5C">
        <w:rPr>
          <w:rFonts w:ascii="Cambria" w:hAnsi="Cambria"/>
          <w:sz w:val="20"/>
          <w:szCs w:val="20"/>
        </w:rPr>
        <w:t xml:space="preserve">Colombian society has suffered the grave consequences of a violence designed to silence the exercise of freedom of </w:t>
      </w:r>
      <w:r w:rsidR="00097DD8" w:rsidRPr="008D6E5C">
        <w:rPr>
          <w:rFonts w:ascii="Cambria" w:hAnsi="Cambria"/>
          <w:sz w:val="20"/>
          <w:szCs w:val="20"/>
        </w:rPr>
        <w:t>expression</w:t>
      </w:r>
      <w:r w:rsidR="00585BB5" w:rsidRPr="008D6E5C">
        <w:rPr>
          <w:rFonts w:ascii="Cambria" w:hAnsi="Cambria"/>
          <w:sz w:val="20"/>
          <w:szCs w:val="20"/>
        </w:rPr>
        <w:t>, among other freedoms</w:t>
      </w:r>
      <w:r w:rsidR="00097DD8" w:rsidRPr="008D6E5C">
        <w:rPr>
          <w:rFonts w:ascii="Cambria" w:hAnsi="Cambria"/>
          <w:sz w:val="20"/>
          <w:szCs w:val="20"/>
        </w:rPr>
        <w:t>.</w:t>
      </w:r>
      <w:r w:rsidR="00C0575F" w:rsidRPr="008D6E5C">
        <w:rPr>
          <w:rFonts w:ascii="Cambria" w:hAnsi="Cambria"/>
          <w:sz w:val="20"/>
          <w:szCs w:val="20"/>
        </w:rPr>
        <w:t>”</w:t>
      </w:r>
      <w:r w:rsidR="00C0575F" w:rsidRPr="008D6E5C">
        <w:rPr>
          <w:rFonts w:ascii="Cambria" w:hAnsi="Cambria"/>
          <w:sz w:val="20"/>
          <w:szCs w:val="20"/>
          <w:vertAlign w:val="superscript"/>
        </w:rPr>
        <w:footnoteReference w:id="111"/>
      </w:r>
      <w:r w:rsidR="00C0575F" w:rsidRPr="008D6E5C">
        <w:rPr>
          <w:rFonts w:ascii="Cambria" w:hAnsi="Cambria"/>
          <w:sz w:val="20"/>
          <w:szCs w:val="20"/>
        </w:rPr>
        <w:t xml:space="preserve"> </w:t>
      </w:r>
      <w:r w:rsidR="00585BB5" w:rsidRPr="008D6E5C">
        <w:rPr>
          <w:rFonts w:ascii="Cambria" w:hAnsi="Cambria"/>
          <w:sz w:val="20"/>
          <w:szCs w:val="20"/>
        </w:rPr>
        <w:t>The report</w:t>
      </w:r>
      <w:r w:rsidR="00C0575F" w:rsidRPr="008D6E5C">
        <w:rPr>
          <w:rFonts w:ascii="Cambria" w:hAnsi="Cambria"/>
          <w:sz w:val="20"/>
          <w:szCs w:val="20"/>
        </w:rPr>
        <w:t xml:space="preserve"> indicated that </w:t>
      </w:r>
      <w:r w:rsidR="00585BB5" w:rsidRPr="008D6E5C">
        <w:rPr>
          <w:rFonts w:ascii="Cambria" w:hAnsi="Cambria"/>
          <w:sz w:val="20"/>
          <w:szCs w:val="20"/>
        </w:rPr>
        <w:t>crimes against journalists have a dual impact on the</w:t>
      </w:r>
      <w:r w:rsidR="00590835" w:rsidRPr="008D6E5C">
        <w:rPr>
          <w:rFonts w:ascii="Cambria" w:hAnsi="Cambria"/>
          <w:sz w:val="20"/>
          <w:szCs w:val="20"/>
        </w:rPr>
        <w:t xml:space="preserve"> status of freedom of expression in </w:t>
      </w:r>
      <w:r w:rsidR="00C0575F" w:rsidRPr="008D6E5C">
        <w:rPr>
          <w:rFonts w:ascii="Cambria" w:hAnsi="Cambria"/>
          <w:sz w:val="20"/>
          <w:szCs w:val="20"/>
        </w:rPr>
        <w:t>Colombia. “</w:t>
      </w:r>
      <w:r w:rsidR="00AF3A14" w:rsidRPr="008D6E5C">
        <w:rPr>
          <w:rFonts w:ascii="Cambria" w:hAnsi="Cambria"/>
          <w:sz w:val="20"/>
          <w:szCs w:val="20"/>
        </w:rPr>
        <w:t>On one side</w:t>
      </w:r>
      <w:r w:rsidR="00C0575F" w:rsidRPr="008D6E5C">
        <w:rPr>
          <w:rFonts w:ascii="Cambria" w:hAnsi="Cambria"/>
          <w:sz w:val="20"/>
          <w:szCs w:val="20"/>
        </w:rPr>
        <w:t xml:space="preserve">, </w:t>
      </w:r>
      <w:r w:rsidR="00AF3A14" w:rsidRPr="008D6E5C">
        <w:rPr>
          <w:rFonts w:ascii="Cambria" w:hAnsi="Cambria"/>
          <w:sz w:val="20"/>
          <w:szCs w:val="20"/>
        </w:rPr>
        <w:t xml:space="preserve">the violence looks to eliminate those who attempt to investigate abuses and </w:t>
      </w:r>
      <w:r w:rsidR="00C0575F" w:rsidRPr="008D6E5C">
        <w:rPr>
          <w:rFonts w:ascii="Cambria" w:hAnsi="Cambria"/>
          <w:sz w:val="20"/>
          <w:szCs w:val="20"/>
        </w:rPr>
        <w:t xml:space="preserve">irregularities </w:t>
      </w:r>
      <w:r w:rsidR="00AF3A14" w:rsidRPr="008D6E5C">
        <w:rPr>
          <w:rFonts w:ascii="Cambria" w:hAnsi="Cambria"/>
          <w:sz w:val="20"/>
          <w:szCs w:val="20"/>
        </w:rPr>
        <w:t>and to ensure that their investigations do not come to light. But on the other side, the violence is designed to be a tool of intimidation directed at those conducting these types of investigations</w:t>
      </w:r>
      <w:r w:rsidR="00C0575F" w:rsidRPr="008D6E5C">
        <w:rPr>
          <w:rFonts w:ascii="Cambria" w:hAnsi="Cambria"/>
          <w:sz w:val="20"/>
          <w:szCs w:val="20"/>
        </w:rPr>
        <w:t>.”</w:t>
      </w:r>
      <w:r w:rsidR="00C0575F" w:rsidRPr="008D6E5C">
        <w:rPr>
          <w:rStyle w:val="FootnoteReference"/>
          <w:rFonts w:ascii="Cambria" w:hAnsi="Cambria"/>
          <w:sz w:val="20"/>
          <w:szCs w:val="20"/>
        </w:rPr>
        <w:footnoteReference w:id="112"/>
      </w:r>
      <w:r w:rsidR="00C0575F" w:rsidRPr="008D6E5C">
        <w:rPr>
          <w:rFonts w:ascii="Cambria" w:hAnsi="Cambria"/>
          <w:sz w:val="20"/>
          <w:szCs w:val="20"/>
        </w:rPr>
        <w:t xml:space="preserve"> In th</w:t>
      </w:r>
      <w:r w:rsidR="00AF3A14" w:rsidRPr="008D6E5C">
        <w:rPr>
          <w:rFonts w:ascii="Cambria" w:hAnsi="Cambria"/>
          <w:sz w:val="20"/>
          <w:szCs w:val="20"/>
        </w:rPr>
        <w:t>e</w:t>
      </w:r>
      <w:r w:rsidR="00C0575F" w:rsidRPr="008D6E5C">
        <w:rPr>
          <w:rFonts w:ascii="Cambria" w:hAnsi="Cambria"/>
          <w:sz w:val="20"/>
          <w:szCs w:val="20"/>
        </w:rPr>
        <w:t xml:space="preserve"> report, the IACHR</w:t>
      </w:r>
      <w:r w:rsidR="00AF3A14" w:rsidRPr="008D6E5C">
        <w:rPr>
          <w:rFonts w:ascii="Cambria" w:hAnsi="Cambria"/>
          <w:sz w:val="20"/>
          <w:szCs w:val="20"/>
        </w:rPr>
        <w:t xml:space="preserve"> also</w:t>
      </w:r>
      <w:r w:rsidR="00C0575F" w:rsidRPr="008D6E5C">
        <w:rPr>
          <w:rFonts w:ascii="Cambria" w:hAnsi="Cambria"/>
          <w:sz w:val="20"/>
          <w:szCs w:val="20"/>
        </w:rPr>
        <w:t xml:space="preserve"> observed with concern the particula</w:t>
      </w:r>
      <w:r w:rsidR="007E01D1" w:rsidRPr="008D6E5C">
        <w:rPr>
          <w:rFonts w:ascii="Cambria" w:hAnsi="Cambria"/>
          <w:sz w:val="20"/>
          <w:szCs w:val="20"/>
        </w:rPr>
        <w:t xml:space="preserve">r vulnerability of journalists </w:t>
      </w:r>
      <w:r w:rsidR="00AF3A14" w:rsidRPr="008D6E5C">
        <w:rPr>
          <w:rFonts w:ascii="Cambria" w:hAnsi="Cambria"/>
          <w:sz w:val="20"/>
          <w:szCs w:val="20"/>
        </w:rPr>
        <w:t xml:space="preserve">in outlying regions, as well as the persistent display of impunity with respect to the murders of journalists that took place </w:t>
      </w:r>
      <w:r w:rsidR="00C0575F" w:rsidRPr="008D6E5C">
        <w:rPr>
          <w:rFonts w:ascii="Cambria" w:hAnsi="Cambria"/>
          <w:sz w:val="20"/>
          <w:szCs w:val="20"/>
        </w:rPr>
        <w:t xml:space="preserve">in Colombia from 1998 to 2005 </w:t>
      </w:r>
      <w:r w:rsidR="00AF3A14" w:rsidRPr="008D6E5C">
        <w:rPr>
          <w:rFonts w:ascii="Cambria" w:hAnsi="Cambria"/>
          <w:sz w:val="20"/>
          <w:szCs w:val="20"/>
        </w:rPr>
        <w:t>and the paucity of concrete results in the investigations of those</w:t>
      </w:r>
      <w:r w:rsidR="00C0575F" w:rsidRPr="008D6E5C">
        <w:rPr>
          <w:rFonts w:ascii="Cambria" w:hAnsi="Cambria"/>
          <w:sz w:val="20"/>
          <w:szCs w:val="20"/>
        </w:rPr>
        <w:t xml:space="preserve"> </w:t>
      </w:r>
      <w:r w:rsidR="00AF3A14" w:rsidRPr="008D6E5C">
        <w:rPr>
          <w:rFonts w:ascii="Cambria" w:hAnsi="Cambria"/>
          <w:sz w:val="20"/>
          <w:szCs w:val="20"/>
        </w:rPr>
        <w:t>crimes</w:t>
      </w:r>
      <w:r w:rsidR="00C0575F" w:rsidRPr="008D6E5C">
        <w:rPr>
          <w:rFonts w:ascii="Cambria" w:hAnsi="Cambria"/>
          <w:sz w:val="20"/>
          <w:szCs w:val="20"/>
        </w:rPr>
        <w:t xml:space="preserve">. </w:t>
      </w:r>
      <w:r w:rsidR="007E01D1" w:rsidRPr="008D6E5C">
        <w:rPr>
          <w:rFonts w:ascii="Cambria" w:hAnsi="Cambria"/>
          <w:sz w:val="20"/>
          <w:szCs w:val="20"/>
        </w:rPr>
        <w:t>It emphasized that</w:t>
      </w:r>
      <w:r w:rsidR="00C0575F" w:rsidRPr="008D6E5C">
        <w:rPr>
          <w:rFonts w:ascii="Cambria" w:hAnsi="Cambria"/>
          <w:sz w:val="20"/>
          <w:szCs w:val="20"/>
        </w:rPr>
        <w:t xml:space="preserve"> “</w:t>
      </w:r>
      <w:r w:rsidR="00AF3A14" w:rsidRPr="008D6E5C">
        <w:rPr>
          <w:rFonts w:ascii="Cambria" w:hAnsi="Cambria"/>
          <w:sz w:val="20"/>
          <w:szCs w:val="20"/>
        </w:rPr>
        <w:t>the fact that so many cases have gone unpunished ha</w:t>
      </w:r>
      <w:r w:rsidR="00483616" w:rsidRPr="008D6E5C">
        <w:rPr>
          <w:rFonts w:ascii="Cambria" w:hAnsi="Cambria"/>
          <w:sz w:val="20"/>
          <w:szCs w:val="20"/>
        </w:rPr>
        <w:t>ve</w:t>
      </w:r>
      <w:r w:rsidR="00AF3A14" w:rsidRPr="008D6E5C">
        <w:rPr>
          <w:rFonts w:ascii="Cambria" w:hAnsi="Cambria"/>
          <w:sz w:val="20"/>
          <w:szCs w:val="20"/>
        </w:rPr>
        <w:t xml:space="preserve"> undoubtedly amplified the sense of intimidation fostered by the commission of these killings and threats</w:t>
      </w:r>
      <w:r w:rsidR="00C0575F" w:rsidRPr="008D6E5C">
        <w:rPr>
          <w:rFonts w:ascii="Cambria" w:hAnsi="Cambria"/>
          <w:sz w:val="20"/>
          <w:szCs w:val="20"/>
        </w:rPr>
        <w:t>.”</w:t>
      </w:r>
      <w:r w:rsidR="00C0575F" w:rsidRPr="008D6E5C">
        <w:rPr>
          <w:rStyle w:val="FootnoteReference"/>
          <w:rFonts w:ascii="Cambria" w:hAnsi="Cambria"/>
          <w:sz w:val="20"/>
          <w:szCs w:val="20"/>
        </w:rPr>
        <w:footnoteReference w:id="113"/>
      </w:r>
    </w:p>
    <w:p w:rsidR="00F93A76" w:rsidRPr="008D6E5C" w:rsidRDefault="00F93A76">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rPr>
      </w:pPr>
      <w:r w:rsidRPr="008D6E5C">
        <w:rPr>
          <w:rFonts w:ascii="Cambria" w:hAnsi="Cambria"/>
          <w:sz w:val="20"/>
          <w:szCs w:val="20"/>
        </w:rPr>
        <w:br w:type="page"/>
      </w:r>
    </w:p>
    <w:p w:rsidR="00FC5DC8" w:rsidRPr="008D6E5C" w:rsidRDefault="00EC741D" w:rsidP="001E7D1A">
      <w:pPr>
        <w:pStyle w:val="Heading1"/>
        <w:keepLines w:val="0"/>
        <w:spacing w:before="0"/>
        <w:ind w:left="1440" w:hanging="720"/>
        <w:rPr>
          <w:szCs w:val="20"/>
        </w:rPr>
      </w:pPr>
      <w:bookmarkStart w:id="38" w:name="_Toc416880389"/>
      <w:bookmarkStart w:id="39" w:name="_Toc390098215"/>
      <w:bookmarkStart w:id="40" w:name="_Toc390776014"/>
      <w:r w:rsidRPr="008D6E5C">
        <w:rPr>
          <w:szCs w:val="20"/>
        </w:rPr>
        <w:lastRenderedPageBreak/>
        <w:t xml:space="preserve">EXAMINATION </w:t>
      </w:r>
      <w:r w:rsidR="004B0168" w:rsidRPr="008D6E5C">
        <w:rPr>
          <w:szCs w:val="20"/>
        </w:rPr>
        <w:t>OF THE MERITS</w:t>
      </w:r>
      <w:bookmarkEnd w:id="38"/>
    </w:p>
    <w:p w:rsidR="00FC5DC8" w:rsidRPr="008D6E5C" w:rsidRDefault="00FC5DC8" w:rsidP="001E7D1A">
      <w:pPr>
        <w:pStyle w:val="Style1"/>
        <w:keepNext/>
        <w:numPr>
          <w:ilvl w:val="0"/>
          <w:numId w:val="0"/>
        </w:numPr>
        <w:spacing w:after="0"/>
        <w:contextualSpacing w:val="0"/>
        <w:outlineLvl w:val="0"/>
        <w:rPr>
          <w:lang w:val="en-US"/>
        </w:rPr>
      </w:pPr>
    </w:p>
    <w:p w:rsidR="00FC5DC8" w:rsidRPr="008D6E5C" w:rsidRDefault="00EC741D" w:rsidP="001E4690">
      <w:pPr>
        <w:pStyle w:val="Heading2"/>
        <w:keepLines w:val="0"/>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1440"/>
        </w:tabs>
        <w:spacing w:before="0"/>
        <w:jc w:val="both"/>
        <w:rPr>
          <w:szCs w:val="20"/>
        </w:rPr>
      </w:pPr>
      <w:bookmarkStart w:id="41" w:name="_Toc393560541"/>
      <w:bookmarkStart w:id="42" w:name="_Toc412478089"/>
      <w:bookmarkStart w:id="43" w:name="_Toc412536249"/>
      <w:bookmarkStart w:id="44" w:name="_Toc412539544"/>
      <w:bookmarkStart w:id="45" w:name="_Toc416880390"/>
      <w:r w:rsidRPr="008D6E5C">
        <w:rPr>
          <w:szCs w:val="20"/>
        </w:rPr>
        <w:t xml:space="preserve">Examination </w:t>
      </w:r>
      <w:r w:rsidR="004B0168" w:rsidRPr="008D6E5C">
        <w:rPr>
          <w:szCs w:val="20"/>
        </w:rPr>
        <w:t>of</w:t>
      </w:r>
      <w:r w:rsidR="00FC5DC8" w:rsidRPr="008D6E5C">
        <w:rPr>
          <w:szCs w:val="20"/>
        </w:rPr>
        <w:t xml:space="preserve"> </w:t>
      </w:r>
      <w:r w:rsidR="004B0168" w:rsidRPr="008D6E5C">
        <w:rPr>
          <w:szCs w:val="20"/>
        </w:rPr>
        <w:t>the alleged violation</w:t>
      </w:r>
      <w:r w:rsidR="00FC5DC8" w:rsidRPr="008D6E5C">
        <w:rPr>
          <w:szCs w:val="20"/>
        </w:rPr>
        <w:t xml:space="preserve"> </w:t>
      </w:r>
      <w:r w:rsidR="004B0168" w:rsidRPr="008D6E5C">
        <w:rPr>
          <w:szCs w:val="20"/>
        </w:rPr>
        <w:t>of the rights to life</w:t>
      </w:r>
      <w:r w:rsidR="00FC5DC8" w:rsidRPr="008D6E5C">
        <w:rPr>
          <w:szCs w:val="20"/>
        </w:rPr>
        <w:t xml:space="preserve"> (</w:t>
      </w:r>
      <w:r w:rsidR="004B0168" w:rsidRPr="008D6E5C">
        <w:rPr>
          <w:szCs w:val="20"/>
        </w:rPr>
        <w:t>Article</w:t>
      </w:r>
      <w:r w:rsidR="00FC5DC8" w:rsidRPr="008D6E5C">
        <w:rPr>
          <w:szCs w:val="20"/>
        </w:rPr>
        <w:t xml:space="preserve"> 4)</w:t>
      </w:r>
      <w:r w:rsidR="004B0168" w:rsidRPr="008D6E5C">
        <w:rPr>
          <w:szCs w:val="20"/>
        </w:rPr>
        <w:t>,</w:t>
      </w:r>
      <w:r w:rsidR="00FC5DC8" w:rsidRPr="008D6E5C">
        <w:rPr>
          <w:vertAlign w:val="superscript"/>
        </w:rPr>
        <w:footnoteReference w:id="114"/>
      </w:r>
      <w:r w:rsidR="004B0168" w:rsidRPr="008D6E5C">
        <w:rPr>
          <w:szCs w:val="20"/>
        </w:rPr>
        <w:t xml:space="preserve"> freedom of thought and expression</w:t>
      </w:r>
      <w:r w:rsidR="00FC5DC8" w:rsidRPr="008D6E5C">
        <w:rPr>
          <w:szCs w:val="20"/>
        </w:rPr>
        <w:t xml:space="preserve"> (</w:t>
      </w:r>
      <w:r w:rsidR="004B0168" w:rsidRPr="008D6E5C">
        <w:rPr>
          <w:szCs w:val="20"/>
        </w:rPr>
        <w:t>Article</w:t>
      </w:r>
      <w:r w:rsidR="00FC5DC8" w:rsidRPr="008D6E5C">
        <w:rPr>
          <w:szCs w:val="20"/>
        </w:rPr>
        <w:t xml:space="preserve"> 13)</w:t>
      </w:r>
      <w:r w:rsidR="004B0168" w:rsidRPr="008D6E5C">
        <w:rPr>
          <w:szCs w:val="20"/>
        </w:rPr>
        <w:t>,</w:t>
      </w:r>
      <w:r w:rsidR="00FC5DC8" w:rsidRPr="008D6E5C">
        <w:rPr>
          <w:vertAlign w:val="superscript"/>
        </w:rPr>
        <w:footnoteReference w:id="115"/>
      </w:r>
      <w:r w:rsidR="00FC5DC8" w:rsidRPr="008D6E5C">
        <w:rPr>
          <w:szCs w:val="20"/>
        </w:rPr>
        <w:t xml:space="preserve"> </w:t>
      </w:r>
      <w:r w:rsidR="004B0168" w:rsidRPr="008D6E5C">
        <w:rPr>
          <w:szCs w:val="20"/>
        </w:rPr>
        <w:t>a fair trial</w:t>
      </w:r>
      <w:r w:rsidR="00FC5DC8" w:rsidRPr="008D6E5C">
        <w:rPr>
          <w:szCs w:val="20"/>
        </w:rPr>
        <w:t xml:space="preserve"> (</w:t>
      </w:r>
      <w:r w:rsidR="004B0168" w:rsidRPr="008D6E5C">
        <w:rPr>
          <w:szCs w:val="20"/>
        </w:rPr>
        <w:t>Article</w:t>
      </w:r>
      <w:r w:rsidR="00FC5DC8" w:rsidRPr="008D6E5C">
        <w:rPr>
          <w:szCs w:val="20"/>
        </w:rPr>
        <w:t xml:space="preserve"> 8)</w:t>
      </w:r>
      <w:r w:rsidR="004B0168" w:rsidRPr="008D6E5C">
        <w:rPr>
          <w:szCs w:val="20"/>
        </w:rPr>
        <w:t>,</w:t>
      </w:r>
      <w:r w:rsidR="00FC5DC8" w:rsidRPr="008D6E5C">
        <w:rPr>
          <w:vertAlign w:val="superscript"/>
        </w:rPr>
        <w:footnoteReference w:id="116"/>
      </w:r>
      <w:r w:rsidR="00FC5DC8" w:rsidRPr="008D6E5C">
        <w:rPr>
          <w:szCs w:val="20"/>
          <w:vertAlign w:val="superscript"/>
        </w:rPr>
        <w:t xml:space="preserve"> </w:t>
      </w:r>
      <w:r w:rsidR="004B0168" w:rsidRPr="008D6E5C">
        <w:rPr>
          <w:szCs w:val="20"/>
        </w:rPr>
        <w:t>and</w:t>
      </w:r>
      <w:r w:rsidR="00FC5DC8" w:rsidRPr="008D6E5C">
        <w:rPr>
          <w:szCs w:val="20"/>
        </w:rPr>
        <w:t xml:space="preserve"> </w:t>
      </w:r>
      <w:r w:rsidR="004B0168" w:rsidRPr="008D6E5C">
        <w:rPr>
          <w:szCs w:val="20"/>
        </w:rPr>
        <w:t>judicial protection</w:t>
      </w:r>
      <w:r w:rsidR="00FC5DC8" w:rsidRPr="008D6E5C">
        <w:rPr>
          <w:szCs w:val="20"/>
        </w:rPr>
        <w:t xml:space="preserve"> (</w:t>
      </w:r>
      <w:r w:rsidR="004B0168" w:rsidRPr="008D6E5C">
        <w:rPr>
          <w:szCs w:val="20"/>
        </w:rPr>
        <w:t>Article</w:t>
      </w:r>
      <w:r w:rsidR="00FC5DC8" w:rsidRPr="008D6E5C">
        <w:rPr>
          <w:szCs w:val="20"/>
        </w:rPr>
        <w:t xml:space="preserve"> 25)</w:t>
      </w:r>
      <w:r w:rsidR="004B0168" w:rsidRPr="008D6E5C">
        <w:rPr>
          <w:szCs w:val="20"/>
        </w:rPr>
        <w:t>,</w:t>
      </w:r>
      <w:r w:rsidR="00FC5DC8" w:rsidRPr="008D6E5C">
        <w:rPr>
          <w:vertAlign w:val="superscript"/>
        </w:rPr>
        <w:footnoteReference w:id="117"/>
      </w:r>
      <w:r w:rsidR="004B0168" w:rsidRPr="008D6E5C">
        <w:rPr>
          <w:szCs w:val="20"/>
        </w:rPr>
        <w:t xml:space="preserve"> as well as</w:t>
      </w:r>
      <w:r w:rsidR="00FC5DC8" w:rsidRPr="008D6E5C">
        <w:rPr>
          <w:szCs w:val="20"/>
        </w:rPr>
        <w:t xml:space="preserve"> </w:t>
      </w:r>
      <w:r w:rsidR="004B0168" w:rsidRPr="008D6E5C">
        <w:rPr>
          <w:szCs w:val="20"/>
        </w:rPr>
        <w:t>the general obligation to respect rights</w:t>
      </w:r>
      <w:r w:rsidR="00FC5DC8" w:rsidRPr="008D6E5C">
        <w:rPr>
          <w:szCs w:val="20"/>
        </w:rPr>
        <w:t xml:space="preserve"> (</w:t>
      </w:r>
      <w:r w:rsidR="004B0168" w:rsidRPr="008D6E5C">
        <w:rPr>
          <w:szCs w:val="20"/>
        </w:rPr>
        <w:t>Article</w:t>
      </w:r>
      <w:r w:rsidR="00FC5DC8" w:rsidRPr="008D6E5C">
        <w:rPr>
          <w:szCs w:val="20"/>
        </w:rPr>
        <w:t xml:space="preserve"> 1</w:t>
      </w:r>
      <w:r w:rsidR="00033D44" w:rsidRPr="008D6E5C">
        <w:rPr>
          <w:szCs w:val="20"/>
        </w:rPr>
        <w:t>(</w:t>
      </w:r>
      <w:r w:rsidR="00FC5DC8" w:rsidRPr="008D6E5C">
        <w:rPr>
          <w:szCs w:val="20"/>
        </w:rPr>
        <w:t>1</w:t>
      </w:r>
      <w:r w:rsidR="00033D44" w:rsidRPr="008D6E5C">
        <w:rPr>
          <w:szCs w:val="20"/>
        </w:rPr>
        <w:t>)</w:t>
      </w:r>
      <w:r w:rsidR="00FC5DC8" w:rsidRPr="008D6E5C">
        <w:rPr>
          <w:szCs w:val="20"/>
        </w:rPr>
        <w:t>)</w:t>
      </w:r>
      <w:r w:rsidR="00FC5DC8" w:rsidRPr="008D6E5C">
        <w:rPr>
          <w:vertAlign w:val="superscript"/>
        </w:rPr>
        <w:footnoteReference w:id="118"/>
      </w:r>
      <w:r w:rsidR="00FC5DC8" w:rsidRPr="008D6E5C">
        <w:rPr>
          <w:szCs w:val="20"/>
          <w:vertAlign w:val="superscript"/>
        </w:rPr>
        <w:t xml:space="preserve"> </w:t>
      </w:r>
      <w:r w:rsidR="004B0168" w:rsidRPr="008D6E5C">
        <w:rPr>
          <w:szCs w:val="20"/>
        </w:rPr>
        <w:t>of the American Convention</w:t>
      </w:r>
      <w:bookmarkEnd w:id="41"/>
      <w:bookmarkEnd w:id="42"/>
      <w:bookmarkEnd w:id="43"/>
      <w:bookmarkEnd w:id="44"/>
      <w:bookmarkEnd w:id="45"/>
    </w:p>
    <w:p w:rsidR="00FC5DC8" w:rsidRPr="008D6E5C" w:rsidRDefault="00FC5DC8" w:rsidP="001E7D1A">
      <w:pPr>
        <w:pStyle w:val="ListParagraph"/>
        <w:keepNext/>
        <w:ind w:firstLine="720"/>
        <w:rPr>
          <w:bCs/>
          <w:sz w:val="20"/>
          <w:szCs w:val="20"/>
        </w:rPr>
      </w:pPr>
    </w:p>
    <w:p w:rsidR="00FC5DC8" w:rsidRPr="008D6E5C" w:rsidRDefault="004B0168" w:rsidP="001E4690">
      <w:pPr>
        <w:keepN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As the Inter-American Court and the Commission have repeatedly held,</w:t>
      </w:r>
      <w:r w:rsidR="00FC5DC8" w:rsidRPr="008D6E5C">
        <w:rPr>
          <w:rStyle w:val="FootnoteReference"/>
          <w:rFonts w:ascii="Cambria" w:hAnsi="Cambria"/>
          <w:sz w:val="20"/>
          <w:szCs w:val="20"/>
        </w:rPr>
        <w:footnoteReference w:id="119"/>
      </w:r>
      <w:r w:rsidR="00FC5DC8" w:rsidRPr="008D6E5C">
        <w:rPr>
          <w:rFonts w:ascii="Cambria" w:hAnsi="Cambria"/>
          <w:sz w:val="20"/>
          <w:szCs w:val="20"/>
        </w:rPr>
        <w:t xml:space="preserve"> </w:t>
      </w:r>
      <w:r w:rsidRPr="008D6E5C">
        <w:rPr>
          <w:rFonts w:ascii="Cambria" w:hAnsi="Cambria"/>
          <w:sz w:val="20"/>
          <w:szCs w:val="20"/>
        </w:rPr>
        <w:t>the American Convention</w:t>
      </w:r>
      <w:r w:rsidR="00FC5DC8" w:rsidRPr="008D6E5C">
        <w:rPr>
          <w:rFonts w:ascii="Cambria" w:hAnsi="Cambria"/>
          <w:sz w:val="20"/>
          <w:szCs w:val="20"/>
        </w:rPr>
        <w:t xml:space="preserve"> </w:t>
      </w:r>
      <w:r w:rsidR="009A139B" w:rsidRPr="008D6E5C">
        <w:rPr>
          <w:rFonts w:ascii="Cambria" w:hAnsi="Cambria"/>
          <w:sz w:val="20"/>
          <w:szCs w:val="20"/>
        </w:rPr>
        <w:t>imposes upon the States special duties of prevention, protection, and the administration of justice for all acts of</w:t>
      </w:r>
      <w:r w:rsidR="00FC5DC8" w:rsidRPr="008D6E5C">
        <w:rPr>
          <w:rFonts w:ascii="Cambria" w:hAnsi="Cambria"/>
          <w:sz w:val="20"/>
          <w:szCs w:val="20"/>
        </w:rPr>
        <w:t xml:space="preserve"> </w:t>
      </w:r>
      <w:r w:rsidR="001766CB" w:rsidRPr="008D6E5C">
        <w:rPr>
          <w:rFonts w:ascii="Cambria" w:hAnsi="Cambria"/>
          <w:sz w:val="20"/>
          <w:szCs w:val="20"/>
        </w:rPr>
        <w:t xml:space="preserve">violence against </w:t>
      </w:r>
      <w:r w:rsidR="0003360B" w:rsidRPr="008D6E5C">
        <w:rPr>
          <w:rFonts w:ascii="Cambria" w:hAnsi="Cambria"/>
          <w:sz w:val="20"/>
          <w:szCs w:val="20"/>
        </w:rPr>
        <w:t>journalists or media workers</w:t>
      </w:r>
      <w:r w:rsidR="00FC5DC8" w:rsidRPr="008D6E5C">
        <w:rPr>
          <w:rFonts w:ascii="Cambria" w:hAnsi="Cambria"/>
          <w:sz w:val="20"/>
          <w:szCs w:val="20"/>
        </w:rPr>
        <w:t xml:space="preserve"> </w:t>
      </w:r>
      <w:r w:rsidR="0003360B" w:rsidRPr="008D6E5C">
        <w:rPr>
          <w:rFonts w:ascii="Cambria" w:hAnsi="Cambria"/>
          <w:sz w:val="20"/>
          <w:szCs w:val="20"/>
        </w:rPr>
        <w:t>perpetrated with the intent to silence them</w:t>
      </w:r>
      <w:r w:rsidR="00FC5DC8" w:rsidRPr="008D6E5C">
        <w:rPr>
          <w:rFonts w:ascii="Cambria" w:hAnsi="Cambria"/>
          <w:sz w:val="20"/>
          <w:szCs w:val="20"/>
        </w:rPr>
        <w:t xml:space="preserve">. </w:t>
      </w:r>
      <w:r w:rsidR="0003360B" w:rsidRPr="008D6E5C">
        <w:rPr>
          <w:rFonts w:ascii="Cambria" w:hAnsi="Cambria"/>
          <w:sz w:val="20"/>
          <w:szCs w:val="20"/>
        </w:rPr>
        <w:t>Indeed, the bodies of the inter-American system</w:t>
      </w:r>
      <w:r w:rsidR="00FC5DC8" w:rsidRPr="008D6E5C">
        <w:rPr>
          <w:rFonts w:ascii="Cambria" w:hAnsi="Cambria"/>
          <w:sz w:val="20"/>
          <w:szCs w:val="20"/>
        </w:rPr>
        <w:t xml:space="preserve"> </w:t>
      </w:r>
      <w:r w:rsidR="0003360B" w:rsidRPr="008D6E5C">
        <w:rPr>
          <w:rFonts w:ascii="Cambria" w:hAnsi="Cambria"/>
          <w:sz w:val="20"/>
          <w:szCs w:val="20"/>
        </w:rPr>
        <w:t>have held that</w:t>
      </w:r>
      <w:r w:rsidR="00FC5DC8" w:rsidRPr="008D6E5C">
        <w:rPr>
          <w:rFonts w:ascii="Cambria" w:hAnsi="Cambria"/>
          <w:sz w:val="20"/>
          <w:szCs w:val="20"/>
        </w:rPr>
        <w:t xml:space="preserve">, </w:t>
      </w:r>
      <w:r w:rsidR="0003360B" w:rsidRPr="008D6E5C">
        <w:rPr>
          <w:rFonts w:ascii="Cambria" w:hAnsi="Cambria"/>
          <w:sz w:val="20"/>
          <w:szCs w:val="20"/>
        </w:rPr>
        <w:t>given the significance of the social role they play,</w:t>
      </w:r>
      <w:r w:rsidR="00FC5DC8" w:rsidRPr="008D6E5C">
        <w:rPr>
          <w:rFonts w:ascii="Cambria" w:hAnsi="Cambria"/>
          <w:sz w:val="20"/>
          <w:szCs w:val="20"/>
        </w:rPr>
        <w:t xml:space="preserve"> </w:t>
      </w:r>
      <w:r w:rsidR="001766CB" w:rsidRPr="008D6E5C">
        <w:rPr>
          <w:rFonts w:ascii="Cambria" w:hAnsi="Cambria"/>
          <w:sz w:val="20"/>
          <w:szCs w:val="20"/>
        </w:rPr>
        <w:t>violence against journalists</w:t>
      </w:r>
      <w:r w:rsidR="00FC5DC8" w:rsidRPr="008D6E5C">
        <w:rPr>
          <w:rFonts w:ascii="Cambria" w:hAnsi="Cambria"/>
          <w:sz w:val="20"/>
          <w:szCs w:val="20"/>
        </w:rPr>
        <w:t xml:space="preserve"> </w:t>
      </w:r>
      <w:r w:rsidR="0003360B" w:rsidRPr="008D6E5C">
        <w:rPr>
          <w:rFonts w:ascii="Cambria" w:hAnsi="Cambria"/>
          <w:sz w:val="20"/>
          <w:szCs w:val="20"/>
        </w:rPr>
        <w:t>creates a profoundly negative effect on</w:t>
      </w:r>
      <w:r w:rsidR="00FC5DC8" w:rsidRPr="008D6E5C">
        <w:rPr>
          <w:rFonts w:ascii="Cambria" w:hAnsi="Cambria"/>
          <w:sz w:val="20"/>
          <w:szCs w:val="20"/>
        </w:rPr>
        <w:t xml:space="preserve"> </w:t>
      </w:r>
      <w:r w:rsidR="0003360B" w:rsidRPr="008D6E5C">
        <w:rPr>
          <w:rFonts w:ascii="Cambria" w:hAnsi="Cambria"/>
          <w:sz w:val="20"/>
          <w:szCs w:val="20"/>
        </w:rPr>
        <w:t>the exercise of freedom of expression</w:t>
      </w:r>
      <w:r w:rsidR="00FC5DC8" w:rsidRPr="008D6E5C">
        <w:rPr>
          <w:rFonts w:ascii="Cambria" w:hAnsi="Cambria"/>
          <w:sz w:val="20"/>
          <w:szCs w:val="20"/>
        </w:rPr>
        <w:t xml:space="preserve"> </w:t>
      </w:r>
      <w:r w:rsidR="0003360B" w:rsidRPr="008D6E5C">
        <w:rPr>
          <w:rFonts w:ascii="Cambria" w:hAnsi="Cambria"/>
          <w:sz w:val="20"/>
          <w:szCs w:val="20"/>
        </w:rPr>
        <w:t>of tho</w:t>
      </w:r>
      <w:r w:rsidR="00EA734A" w:rsidRPr="008D6E5C">
        <w:rPr>
          <w:rFonts w:ascii="Cambria" w:hAnsi="Cambria"/>
          <w:sz w:val="20"/>
          <w:szCs w:val="20"/>
        </w:rPr>
        <w:t>s</w:t>
      </w:r>
      <w:r w:rsidR="0003360B" w:rsidRPr="008D6E5C">
        <w:rPr>
          <w:rFonts w:ascii="Cambria" w:hAnsi="Cambria"/>
          <w:sz w:val="20"/>
          <w:szCs w:val="20"/>
        </w:rPr>
        <w:t>e who practice the profession of journalism and on the right of society in general to freely and peacefully seek and receive all kinds of information.</w:t>
      </w:r>
      <w:r w:rsidR="00FC5DC8" w:rsidRPr="008D6E5C">
        <w:rPr>
          <w:rFonts w:ascii="Cambria" w:hAnsi="Cambria"/>
          <w:sz w:val="20"/>
          <w:szCs w:val="20"/>
          <w:vertAlign w:val="superscript"/>
        </w:rPr>
        <w:footnoteReference w:id="120"/>
      </w:r>
      <w:r w:rsidR="00FC5DC8" w:rsidRPr="008D6E5C">
        <w:rPr>
          <w:rFonts w:ascii="Cambria" w:hAnsi="Cambria"/>
          <w:sz w:val="20"/>
          <w:szCs w:val="20"/>
        </w:rPr>
        <w:t xml:space="preserve"> </w:t>
      </w:r>
      <w:r w:rsidR="00EA734A" w:rsidRPr="008D6E5C">
        <w:rPr>
          <w:rFonts w:ascii="Cambria" w:hAnsi="Cambria"/>
          <w:sz w:val="20"/>
          <w:szCs w:val="20"/>
        </w:rPr>
        <w:t>As the Inter-American Court has observed</w:t>
      </w:r>
      <w:r w:rsidR="00FC5DC8" w:rsidRPr="008D6E5C">
        <w:rPr>
          <w:rFonts w:ascii="Cambria" w:hAnsi="Cambria"/>
          <w:sz w:val="20"/>
          <w:szCs w:val="20"/>
        </w:rPr>
        <w:t>, “</w:t>
      </w:r>
      <w:r w:rsidR="0081201F" w:rsidRPr="008D6E5C">
        <w:rPr>
          <w:rFonts w:ascii="Cambria" w:hAnsi="Cambria"/>
          <w:sz w:val="20"/>
          <w:szCs w:val="20"/>
        </w:rPr>
        <w:t>journalism can only be [practiced] freely when those who carry out this work are not victims of threats or physical, mental or moral attacks or other acts of harassment</w:t>
      </w:r>
      <w:r w:rsidRPr="008D6E5C">
        <w:rPr>
          <w:rFonts w:ascii="Cambria" w:hAnsi="Cambria"/>
          <w:sz w:val="20"/>
          <w:szCs w:val="20"/>
        </w:rPr>
        <w:t>.</w:t>
      </w:r>
      <w:r w:rsidR="00FC5DC8" w:rsidRPr="008D6E5C">
        <w:rPr>
          <w:rFonts w:ascii="Cambria" w:hAnsi="Cambria"/>
          <w:sz w:val="20"/>
          <w:szCs w:val="20"/>
        </w:rPr>
        <w:t>”</w:t>
      </w:r>
      <w:r w:rsidR="00FC5DC8" w:rsidRPr="008D6E5C">
        <w:rPr>
          <w:rFonts w:ascii="Cambria" w:hAnsi="Cambria"/>
          <w:sz w:val="20"/>
          <w:szCs w:val="20"/>
          <w:vertAlign w:val="superscript"/>
        </w:rPr>
        <w:footnoteReference w:id="121"/>
      </w:r>
    </w:p>
    <w:p w:rsidR="00FC5DC8" w:rsidRPr="008D6E5C" w:rsidRDefault="00FC5DC8" w:rsidP="001520DB">
      <w:pPr>
        <w:pStyle w:val="ListParagraph"/>
        <w:rPr>
          <w:bCs/>
          <w:sz w:val="20"/>
          <w:szCs w:val="20"/>
        </w:rPr>
      </w:pPr>
    </w:p>
    <w:p w:rsidR="00FC5DC8" w:rsidRPr="008D6E5C" w:rsidRDefault="004B0168"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this respect</w:t>
      </w:r>
      <w:r w:rsidR="00FC5DC8" w:rsidRPr="008D6E5C">
        <w:rPr>
          <w:rFonts w:ascii="Cambria" w:hAnsi="Cambria"/>
          <w:bCs/>
          <w:sz w:val="20"/>
          <w:szCs w:val="20"/>
        </w:rPr>
        <w:t xml:space="preserve">, </w:t>
      </w:r>
      <w:r w:rsidRPr="008D6E5C">
        <w:rPr>
          <w:rFonts w:ascii="Cambria" w:hAnsi="Cambria"/>
          <w:bCs/>
          <w:sz w:val="20"/>
          <w:szCs w:val="20"/>
        </w:rPr>
        <w:t>the Inter-American Court</w:t>
      </w:r>
      <w:r w:rsidR="00FC5DC8" w:rsidRPr="008D6E5C">
        <w:rPr>
          <w:rFonts w:ascii="Cambria" w:hAnsi="Cambria"/>
          <w:bCs/>
          <w:sz w:val="20"/>
          <w:szCs w:val="20"/>
        </w:rPr>
        <w:t xml:space="preserve"> </w:t>
      </w:r>
      <w:r w:rsidR="00963549" w:rsidRPr="008D6E5C">
        <w:rPr>
          <w:rFonts w:ascii="Cambria" w:hAnsi="Cambria"/>
          <w:bCs/>
          <w:sz w:val="20"/>
          <w:szCs w:val="20"/>
        </w:rPr>
        <w:t>has held that</w:t>
      </w:r>
      <w:r w:rsidR="00FC5DC8" w:rsidRPr="008D6E5C">
        <w:rPr>
          <w:rFonts w:ascii="Cambria" w:hAnsi="Cambria"/>
          <w:bCs/>
          <w:sz w:val="20"/>
          <w:szCs w:val="20"/>
        </w:rPr>
        <w:t xml:space="preserve"> “</w:t>
      </w:r>
      <w:r w:rsidR="00963549" w:rsidRPr="008D6E5C">
        <w:rPr>
          <w:rFonts w:ascii="Cambria" w:hAnsi="Cambria"/>
          <w:bCs/>
          <w:sz w:val="20"/>
          <w:szCs w:val="20"/>
          <w:lang w:val="en-GB"/>
        </w:rPr>
        <w:t>it is essential that journalists who work in the media should enjoy the necessary protection and independence to exercise their functions to the fullest, because it is they who keep society informed, an indispensable requirement to enable society to enjoy full freedom and for public discourse to become stronger.</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22"/>
      </w:r>
      <w:r w:rsidR="00FC5DC8" w:rsidRPr="008D6E5C">
        <w:rPr>
          <w:rFonts w:ascii="Cambria" w:hAnsi="Cambria"/>
          <w:bCs/>
          <w:sz w:val="20"/>
          <w:szCs w:val="20"/>
        </w:rPr>
        <w:t xml:space="preserve"> </w:t>
      </w:r>
    </w:p>
    <w:p w:rsidR="00C93497" w:rsidRDefault="00C9349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sz w:val="20"/>
          <w:szCs w:val="20"/>
        </w:rPr>
      </w:pPr>
      <w:r>
        <w:rPr>
          <w:rFonts w:ascii="Cambria" w:hAnsi="Cambria"/>
          <w:sz w:val="20"/>
          <w:szCs w:val="20"/>
        </w:rPr>
        <w:br w:type="page"/>
      </w:r>
    </w:p>
    <w:p w:rsidR="00FC5DC8" w:rsidRPr="008D6E5C" w:rsidRDefault="00FC5DC8" w:rsidP="00144010">
      <w:pPr>
        <w:widowControl w:val="0"/>
        <w:jc w:val="both"/>
        <w:rPr>
          <w:rFonts w:ascii="Cambria" w:hAnsi="Cambria"/>
          <w:sz w:val="20"/>
          <w:szCs w:val="20"/>
        </w:rPr>
      </w:pPr>
      <w:bookmarkStart w:id="46" w:name="_GoBack"/>
      <w:bookmarkEnd w:id="46"/>
    </w:p>
    <w:p w:rsidR="00FC5DC8" w:rsidRPr="008D6E5C" w:rsidRDefault="004B0168"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The Inter-American Commission</w:t>
      </w:r>
      <w:r w:rsidR="00FC5DC8" w:rsidRPr="008D6E5C">
        <w:rPr>
          <w:rFonts w:ascii="Cambria" w:hAnsi="Cambria"/>
          <w:bCs/>
          <w:sz w:val="20"/>
          <w:szCs w:val="20"/>
        </w:rPr>
        <w:t xml:space="preserve"> ha</w:t>
      </w:r>
      <w:r w:rsidR="00A45FBF" w:rsidRPr="008D6E5C">
        <w:rPr>
          <w:rFonts w:ascii="Cambria" w:hAnsi="Cambria"/>
          <w:bCs/>
          <w:sz w:val="20"/>
          <w:szCs w:val="20"/>
        </w:rPr>
        <w:t>s recognized that the murder of journalists or media workers for the practice of their profession is the most extreme form of censorship.</w:t>
      </w:r>
      <w:r w:rsidR="00FC5DC8" w:rsidRPr="008D6E5C">
        <w:rPr>
          <w:rFonts w:ascii="Cambria" w:hAnsi="Cambria"/>
          <w:sz w:val="20"/>
          <w:szCs w:val="20"/>
          <w:vertAlign w:val="superscript"/>
        </w:rPr>
        <w:footnoteReference w:id="123"/>
      </w:r>
    </w:p>
    <w:p w:rsidR="00FC5DC8" w:rsidRPr="008D6E5C" w:rsidRDefault="00FC5DC8" w:rsidP="001520DB">
      <w:pPr>
        <w:jc w:val="both"/>
        <w:rPr>
          <w:rFonts w:ascii="Cambria" w:hAnsi="Cambria"/>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It is an undisputed fact in this case that</w:t>
      </w:r>
      <w:r w:rsidR="00FC5DC8" w:rsidRPr="008D6E5C">
        <w:rPr>
          <w:rFonts w:ascii="Cambria" w:hAnsi="Cambria"/>
          <w:sz w:val="20"/>
          <w:szCs w:val="20"/>
        </w:rPr>
        <w:t xml:space="preserve"> </w:t>
      </w:r>
      <w:r w:rsidRPr="008D6E5C">
        <w:rPr>
          <w:rFonts w:ascii="Cambria" w:hAnsi="Cambria"/>
          <w:sz w:val="20"/>
          <w:szCs w:val="20"/>
        </w:rPr>
        <w:t>on April</w:t>
      </w:r>
      <w:r w:rsidR="00FC5DC8" w:rsidRPr="008D6E5C">
        <w:rPr>
          <w:rFonts w:ascii="Cambria" w:hAnsi="Cambria"/>
          <w:sz w:val="20"/>
          <w:szCs w:val="20"/>
        </w:rPr>
        <w:t xml:space="preserve"> 16</w:t>
      </w:r>
      <w:r w:rsidRPr="008D6E5C">
        <w:rPr>
          <w:rFonts w:ascii="Cambria" w:hAnsi="Cambria"/>
          <w:sz w:val="20"/>
          <w:szCs w:val="20"/>
        </w:rPr>
        <w:t>,</w:t>
      </w:r>
      <w:r w:rsidR="00FC5DC8" w:rsidRPr="008D6E5C">
        <w:rPr>
          <w:rFonts w:ascii="Cambria" w:hAnsi="Cambria"/>
          <w:sz w:val="20"/>
          <w:szCs w:val="20"/>
        </w:rPr>
        <w:t xml:space="preserve"> 1998, </w:t>
      </w:r>
      <w:r w:rsidRPr="008D6E5C">
        <w:rPr>
          <w:rFonts w:ascii="Cambria" w:hAnsi="Cambria"/>
          <w:sz w:val="20"/>
          <w:szCs w:val="20"/>
        </w:rPr>
        <w:t>journalist</w:t>
      </w:r>
      <w:r w:rsidR="00FC5DC8" w:rsidRPr="008D6E5C">
        <w:rPr>
          <w:rFonts w:ascii="Cambria" w:hAnsi="Cambria"/>
          <w:sz w:val="20"/>
          <w:szCs w:val="20"/>
        </w:rPr>
        <w:t xml:space="preserve"> 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Pr="008D6E5C">
        <w:rPr>
          <w:rFonts w:ascii="Cambria" w:hAnsi="Cambria"/>
          <w:sz w:val="20"/>
          <w:szCs w:val="20"/>
        </w:rPr>
        <w:t>was murdered in the city of</w:t>
      </w:r>
      <w:r w:rsidR="00FC5DC8" w:rsidRPr="008D6E5C">
        <w:rPr>
          <w:rFonts w:ascii="Cambria" w:hAnsi="Cambria"/>
          <w:sz w:val="20"/>
          <w:szCs w:val="20"/>
        </w:rPr>
        <w:t xml:space="preserve"> </w:t>
      </w:r>
      <w:proofErr w:type="spellStart"/>
      <w:r w:rsidR="00FC5DC8" w:rsidRPr="008D6E5C">
        <w:rPr>
          <w:rFonts w:ascii="Cambria" w:hAnsi="Cambria"/>
          <w:sz w:val="20"/>
          <w:szCs w:val="20"/>
        </w:rPr>
        <w:t>Pitalito</w:t>
      </w:r>
      <w:proofErr w:type="spellEnd"/>
      <w:r w:rsidR="00D47423" w:rsidRPr="008D6E5C">
        <w:rPr>
          <w:rFonts w:ascii="Cambria" w:hAnsi="Cambria"/>
          <w:sz w:val="20"/>
          <w:szCs w:val="20"/>
        </w:rPr>
        <w:t xml:space="preserve"> and that, as of the date of issue of this report—sixteen years later—the circumstances of the crime have not been established by a court of law and the perpetrators have not been convicted. During those years, the national authorities have weighed different theories regarding the </w:t>
      </w:r>
      <w:r w:rsidR="00290C7D" w:rsidRPr="008D6E5C">
        <w:rPr>
          <w:rFonts w:ascii="Cambria" w:hAnsi="Cambria"/>
          <w:sz w:val="20"/>
          <w:szCs w:val="20"/>
        </w:rPr>
        <w:t>masterminding</w:t>
      </w:r>
      <w:r w:rsidR="00D47423" w:rsidRPr="008D6E5C">
        <w:rPr>
          <w:rFonts w:ascii="Cambria" w:hAnsi="Cambria"/>
          <w:sz w:val="20"/>
          <w:szCs w:val="20"/>
        </w:rPr>
        <w:t xml:space="preserve"> of </w:t>
      </w:r>
      <w:r w:rsidR="00FC5DC8" w:rsidRPr="008D6E5C">
        <w:rPr>
          <w:rFonts w:ascii="Cambria" w:hAnsi="Cambria"/>
          <w:bCs/>
          <w:sz w:val="20"/>
          <w:szCs w:val="20"/>
        </w:rPr>
        <w:t xml:space="preserve">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00D47423" w:rsidRPr="008D6E5C">
        <w:rPr>
          <w:rFonts w:ascii="Cambria" w:hAnsi="Cambria"/>
          <w:bCs/>
          <w:sz w:val="20"/>
          <w:szCs w:val="20"/>
        </w:rPr>
        <w:t>’s</w:t>
      </w:r>
      <w:proofErr w:type="spellEnd"/>
      <w:r w:rsidR="00D47423" w:rsidRPr="008D6E5C">
        <w:rPr>
          <w:rFonts w:ascii="Cambria" w:hAnsi="Cambria"/>
          <w:bCs/>
          <w:sz w:val="20"/>
          <w:szCs w:val="20"/>
        </w:rPr>
        <w:t xml:space="preserve"> murder</w:t>
      </w:r>
      <w:r w:rsidR="00FC5DC8" w:rsidRPr="008D6E5C">
        <w:rPr>
          <w:rFonts w:ascii="Cambria" w:hAnsi="Cambria"/>
          <w:bCs/>
          <w:sz w:val="20"/>
          <w:szCs w:val="20"/>
        </w:rPr>
        <w:t xml:space="preserve">, </w:t>
      </w:r>
      <w:r w:rsidR="00084FF9" w:rsidRPr="008D6E5C">
        <w:rPr>
          <w:rFonts w:ascii="Cambria" w:hAnsi="Cambria"/>
          <w:bCs/>
          <w:sz w:val="20"/>
          <w:szCs w:val="20"/>
        </w:rPr>
        <w:t xml:space="preserve">implicating </w:t>
      </w:r>
      <w:r w:rsidR="00D47423" w:rsidRPr="008D6E5C">
        <w:rPr>
          <w:rFonts w:ascii="Cambria" w:hAnsi="Cambria"/>
          <w:bCs/>
          <w:sz w:val="20"/>
          <w:szCs w:val="20"/>
        </w:rPr>
        <w:t xml:space="preserve">the </w:t>
      </w:r>
      <w:r w:rsidR="0068182A" w:rsidRPr="008D6E5C">
        <w:rPr>
          <w:rFonts w:ascii="Cambria" w:hAnsi="Cambria"/>
          <w:bCs/>
          <w:sz w:val="20"/>
          <w:szCs w:val="20"/>
        </w:rPr>
        <w:t xml:space="preserve">mayor of </w:t>
      </w:r>
      <w:proofErr w:type="spellStart"/>
      <w:r w:rsidR="0068182A" w:rsidRPr="008D6E5C">
        <w:rPr>
          <w:rFonts w:ascii="Cambria" w:hAnsi="Cambria"/>
          <w:bCs/>
          <w:sz w:val="20"/>
          <w:szCs w:val="20"/>
        </w:rPr>
        <w:t>Pitalito</w:t>
      </w:r>
      <w:proofErr w:type="spellEnd"/>
      <w:r w:rsidR="00FC5DC8" w:rsidRPr="008D6E5C">
        <w:rPr>
          <w:rFonts w:ascii="Cambria" w:hAnsi="Cambria"/>
          <w:bCs/>
          <w:sz w:val="20"/>
          <w:szCs w:val="20"/>
        </w:rPr>
        <w:t xml:space="preserve">, </w:t>
      </w:r>
      <w:r w:rsidR="00D47423" w:rsidRPr="008D6E5C">
        <w:rPr>
          <w:rFonts w:ascii="Cambria" w:hAnsi="Cambria"/>
          <w:bCs/>
          <w:sz w:val="20"/>
          <w:szCs w:val="20"/>
        </w:rPr>
        <w:t>local businessmen</w:t>
      </w:r>
      <w:r w:rsidR="00FC5DC8" w:rsidRPr="008D6E5C">
        <w:rPr>
          <w:rFonts w:ascii="Cambria" w:hAnsi="Cambria"/>
          <w:bCs/>
          <w:sz w:val="20"/>
          <w:szCs w:val="20"/>
        </w:rPr>
        <w:t xml:space="preserve">, </w:t>
      </w:r>
      <w:r w:rsidR="00571AF9" w:rsidRPr="008D6E5C">
        <w:rPr>
          <w:rFonts w:ascii="Cambria" w:hAnsi="Cambria"/>
          <w:bCs/>
          <w:sz w:val="20"/>
          <w:szCs w:val="20"/>
        </w:rPr>
        <w:t xml:space="preserve">members of the </w:t>
      </w:r>
      <w:r w:rsidR="00571AF9" w:rsidRPr="008D6E5C">
        <w:rPr>
          <w:rFonts w:ascii="Cambria" w:hAnsi="Cambria"/>
          <w:sz w:val="20"/>
          <w:szCs w:val="20"/>
        </w:rPr>
        <w:t>departmental legislature of Huila,</w:t>
      </w:r>
      <w:r w:rsidR="00571AF9" w:rsidRPr="008D6E5C">
        <w:rPr>
          <w:rFonts w:ascii="Cambria" w:hAnsi="Cambria"/>
          <w:bCs/>
          <w:sz w:val="20"/>
          <w:szCs w:val="20"/>
        </w:rPr>
        <w:t xml:space="preserve"> </w:t>
      </w:r>
      <w:r w:rsidR="00D47423" w:rsidRPr="008D6E5C">
        <w:rPr>
          <w:rFonts w:ascii="Cambria" w:hAnsi="Cambria"/>
          <w:bCs/>
          <w:sz w:val="20"/>
          <w:szCs w:val="20"/>
        </w:rPr>
        <w:t>the</w:t>
      </w:r>
      <w:r w:rsidR="00FC5DC8" w:rsidRPr="008D6E5C">
        <w:rPr>
          <w:rFonts w:ascii="Cambria" w:hAnsi="Cambria"/>
          <w:bCs/>
          <w:sz w:val="20"/>
          <w:szCs w:val="20"/>
        </w:rPr>
        <w:t xml:space="preserve"> guerrilla</w:t>
      </w:r>
      <w:r w:rsidR="00D47423" w:rsidRPr="008D6E5C">
        <w:rPr>
          <w:rFonts w:ascii="Cambria" w:hAnsi="Cambria"/>
          <w:bCs/>
          <w:sz w:val="20"/>
          <w:szCs w:val="20"/>
        </w:rPr>
        <w:t xml:space="preserve">s, </w:t>
      </w:r>
      <w:r w:rsidR="00621BD9" w:rsidRPr="008D6E5C">
        <w:rPr>
          <w:rFonts w:ascii="Cambria" w:hAnsi="Cambria"/>
          <w:sz w:val="20"/>
          <w:szCs w:val="20"/>
        </w:rPr>
        <w:t xml:space="preserve">, </w:t>
      </w:r>
      <w:r w:rsidR="00621BD9" w:rsidRPr="008D6E5C">
        <w:rPr>
          <w:rFonts w:ascii="Cambria" w:hAnsi="Cambria"/>
          <w:bCs/>
          <w:sz w:val="20"/>
          <w:szCs w:val="20"/>
        </w:rPr>
        <w:t xml:space="preserve"> </w:t>
      </w:r>
      <w:r w:rsidR="00D47423" w:rsidRPr="008D6E5C">
        <w:rPr>
          <w:rFonts w:ascii="Cambria" w:hAnsi="Cambria"/>
          <w:bCs/>
          <w:sz w:val="20"/>
          <w:szCs w:val="20"/>
        </w:rPr>
        <w:t>and gangs of common criminals</w:t>
      </w:r>
      <w:r w:rsidR="00144010" w:rsidRPr="008D6E5C">
        <w:rPr>
          <w:rFonts w:ascii="Cambria" w:hAnsi="Cambria"/>
          <w:bCs/>
          <w:sz w:val="20"/>
          <w:szCs w:val="20"/>
        </w:rPr>
        <w:t>.</w:t>
      </w:r>
    </w:p>
    <w:p w:rsidR="00FC5DC8" w:rsidRPr="008D6E5C" w:rsidRDefault="00FC5DC8" w:rsidP="001520DB">
      <w:pPr>
        <w:pStyle w:val="ListParagraph"/>
        <w:shd w:val="clear" w:color="auto" w:fill="FFFFFF"/>
        <w:jc w:val="both"/>
        <w:rPr>
          <w:bCs/>
          <w:sz w:val="20"/>
          <w:szCs w:val="20"/>
        </w:rPr>
      </w:pPr>
    </w:p>
    <w:p w:rsidR="00FC5DC8" w:rsidRPr="008D6E5C" w:rsidRDefault="000330DD"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Commission notes that</w:t>
      </w:r>
      <w:r w:rsidR="00FC5DC8" w:rsidRPr="008D6E5C">
        <w:rPr>
          <w:rFonts w:ascii="Cambria" w:hAnsi="Cambria"/>
          <w:bCs/>
          <w:sz w:val="20"/>
          <w:szCs w:val="20"/>
        </w:rPr>
        <w:t xml:space="preserve"> </w:t>
      </w:r>
      <w:r w:rsidR="001766CB" w:rsidRPr="008D6E5C">
        <w:rPr>
          <w:rFonts w:ascii="Cambria" w:hAnsi="Cambria"/>
          <w:bCs/>
          <w:sz w:val="20"/>
          <w:szCs w:val="20"/>
        </w:rPr>
        <w:t>the petitioner</w:t>
      </w:r>
      <w:r w:rsidR="00FC5DC8" w:rsidRPr="008D6E5C">
        <w:rPr>
          <w:rFonts w:ascii="Cambria" w:hAnsi="Cambria"/>
          <w:bCs/>
          <w:sz w:val="20"/>
          <w:szCs w:val="20"/>
        </w:rPr>
        <w:t xml:space="preserve"> </w:t>
      </w:r>
      <w:r w:rsidRPr="008D6E5C">
        <w:rPr>
          <w:rFonts w:ascii="Cambria" w:hAnsi="Cambria"/>
          <w:bCs/>
          <w:sz w:val="20"/>
          <w:szCs w:val="20"/>
        </w:rPr>
        <w:t xml:space="preserve">did not allege in this case that the authorities knew or should have known that </w:t>
      </w:r>
      <w:r w:rsidR="00FC5DC8" w:rsidRPr="008D6E5C">
        <w:rPr>
          <w:rFonts w:ascii="Cambria" w:hAnsi="Cambria"/>
          <w:bCs/>
          <w:sz w:val="20"/>
          <w:szCs w:val="20"/>
        </w:rPr>
        <w:t xml:space="preserve">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Pr="008D6E5C">
        <w:rPr>
          <w:rFonts w:ascii="Cambria" w:hAnsi="Cambria"/>
          <w:bCs/>
          <w:sz w:val="20"/>
          <w:szCs w:val="20"/>
        </w:rPr>
        <w:t>’s</w:t>
      </w:r>
      <w:proofErr w:type="spellEnd"/>
      <w:r w:rsidRPr="008D6E5C">
        <w:rPr>
          <w:rFonts w:ascii="Cambria" w:hAnsi="Cambria"/>
          <w:bCs/>
          <w:sz w:val="20"/>
          <w:szCs w:val="20"/>
        </w:rPr>
        <w:t xml:space="preserve"> life was </w:t>
      </w:r>
      <w:r w:rsidR="00170149" w:rsidRPr="008D6E5C">
        <w:rPr>
          <w:rFonts w:ascii="Cambria" w:hAnsi="Cambria"/>
          <w:bCs/>
          <w:sz w:val="20"/>
          <w:szCs w:val="20"/>
        </w:rPr>
        <w:t>in particular danger</w:t>
      </w:r>
      <w:r w:rsidRPr="008D6E5C">
        <w:rPr>
          <w:rFonts w:ascii="Cambria" w:hAnsi="Cambria"/>
          <w:bCs/>
          <w:sz w:val="20"/>
          <w:szCs w:val="20"/>
        </w:rPr>
        <w:t xml:space="preserve"> and therefore failed to meet its duty to protect the journalist’s life.</w:t>
      </w:r>
      <w:r w:rsidR="00FC5DC8" w:rsidRPr="008D6E5C">
        <w:rPr>
          <w:rFonts w:ascii="Cambria" w:hAnsi="Cambria"/>
          <w:bCs/>
          <w:sz w:val="20"/>
          <w:szCs w:val="20"/>
          <w:vertAlign w:val="superscript"/>
        </w:rPr>
        <w:footnoteReference w:id="124"/>
      </w:r>
      <w:r w:rsidR="00FC5DC8" w:rsidRPr="008D6E5C">
        <w:rPr>
          <w:rFonts w:ascii="Cambria" w:hAnsi="Cambria"/>
          <w:bCs/>
          <w:sz w:val="20"/>
          <w:szCs w:val="20"/>
        </w:rPr>
        <w:t xml:space="preserve"> </w:t>
      </w:r>
      <w:r w:rsidRPr="008D6E5C">
        <w:rPr>
          <w:rFonts w:ascii="Cambria" w:hAnsi="Cambria"/>
          <w:bCs/>
          <w:sz w:val="20"/>
          <w:szCs w:val="20"/>
        </w:rPr>
        <w:t>Rather, the petitioner’s argument</w:t>
      </w:r>
      <w:r w:rsidR="00FC5DC8" w:rsidRPr="008D6E5C">
        <w:rPr>
          <w:rFonts w:ascii="Cambria" w:hAnsi="Cambria"/>
          <w:bCs/>
          <w:sz w:val="20"/>
          <w:szCs w:val="20"/>
        </w:rPr>
        <w:t xml:space="preserve"> </w:t>
      </w:r>
      <w:r w:rsidRPr="008D6E5C">
        <w:rPr>
          <w:rFonts w:ascii="Cambria" w:hAnsi="Cambria"/>
          <w:bCs/>
          <w:sz w:val="20"/>
          <w:szCs w:val="20"/>
        </w:rPr>
        <w:t xml:space="preserve">focuses on state responsibility for the violation of Nelson </w:t>
      </w:r>
      <w:proofErr w:type="spellStart"/>
      <w:r w:rsidRPr="008D6E5C">
        <w:rPr>
          <w:rFonts w:ascii="Cambria" w:hAnsi="Cambria"/>
          <w:bCs/>
          <w:sz w:val="20"/>
          <w:szCs w:val="20"/>
        </w:rPr>
        <w:t>Carvajal</w:t>
      </w:r>
      <w:proofErr w:type="spellEnd"/>
      <w:r w:rsidRPr="008D6E5C">
        <w:rPr>
          <w:rFonts w:ascii="Cambria" w:hAnsi="Cambria"/>
          <w:bCs/>
          <w:sz w:val="20"/>
          <w:szCs w:val="20"/>
        </w:rPr>
        <w:t xml:space="preserve"> </w:t>
      </w:r>
      <w:proofErr w:type="spellStart"/>
      <w:r w:rsidRPr="008D6E5C">
        <w:rPr>
          <w:rFonts w:ascii="Cambria" w:hAnsi="Cambria"/>
          <w:bCs/>
          <w:sz w:val="20"/>
          <w:szCs w:val="20"/>
        </w:rPr>
        <w:t>Carvajal’s</w:t>
      </w:r>
      <w:proofErr w:type="spellEnd"/>
      <w:r w:rsidRPr="008D6E5C">
        <w:rPr>
          <w:rFonts w:ascii="Cambria" w:hAnsi="Cambria"/>
          <w:bCs/>
          <w:sz w:val="20"/>
          <w:szCs w:val="20"/>
        </w:rPr>
        <w:t xml:space="preserve"> rights to life and</w:t>
      </w:r>
      <w:r w:rsidR="00FC5DC8" w:rsidRPr="008D6E5C">
        <w:rPr>
          <w:rFonts w:ascii="Cambria" w:hAnsi="Cambria"/>
          <w:bCs/>
          <w:sz w:val="20"/>
          <w:szCs w:val="20"/>
        </w:rPr>
        <w:t xml:space="preserve"> </w:t>
      </w:r>
      <w:r w:rsidR="0003360B" w:rsidRPr="008D6E5C">
        <w:rPr>
          <w:rFonts w:ascii="Cambria" w:hAnsi="Cambria"/>
          <w:bCs/>
          <w:sz w:val="20"/>
          <w:szCs w:val="20"/>
        </w:rPr>
        <w:t>freedom of expression</w:t>
      </w:r>
      <w:r w:rsidRPr="008D6E5C">
        <w:rPr>
          <w:rFonts w:ascii="Cambria" w:hAnsi="Cambria"/>
          <w:bCs/>
          <w:sz w:val="20"/>
          <w:szCs w:val="20"/>
        </w:rPr>
        <w:t xml:space="preserve">, as well as </w:t>
      </w:r>
      <w:r w:rsidR="004B0168" w:rsidRPr="008D6E5C">
        <w:rPr>
          <w:rFonts w:ascii="Cambria" w:hAnsi="Cambria"/>
          <w:bCs/>
          <w:sz w:val="20"/>
          <w:szCs w:val="20"/>
        </w:rPr>
        <w:t>the right</w:t>
      </w:r>
      <w:r w:rsidRPr="008D6E5C">
        <w:rPr>
          <w:rFonts w:ascii="Cambria" w:hAnsi="Cambria"/>
          <w:bCs/>
          <w:sz w:val="20"/>
          <w:szCs w:val="20"/>
        </w:rPr>
        <w:t>s</w:t>
      </w:r>
      <w:r w:rsidR="004B0168" w:rsidRPr="008D6E5C">
        <w:rPr>
          <w:rFonts w:ascii="Cambria" w:hAnsi="Cambria"/>
          <w:bCs/>
          <w:sz w:val="20"/>
          <w:szCs w:val="20"/>
        </w:rPr>
        <w:t xml:space="preserve"> to a fair trial</w:t>
      </w:r>
      <w:r w:rsidR="00FC5DC8" w:rsidRPr="008D6E5C">
        <w:rPr>
          <w:rFonts w:ascii="Cambria" w:hAnsi="Cambria"/>
          <w:bCs/>
          <w:sz w:val="20"/>
          <w:szCs w:val="20"/>
        </w:rPr>
        <w:t xml:space="preserve"> </w:t>
      </w:r>
      <w:r w:rsidRPr="008D6E5C">
        <w:rPr>
          <w:rFonts w:ascii="Cambria" w:hAnsi="Cambria"/>
          <w:bCs/>
          <w:sz w:val="20"/>
          <w:szCs w:val="20"/>
        </w:rPr>
        <w:t>and</w:t>
      </w:r>
      <w:r w:rsidR="00FC5DC8" w:rsidRPr="008D6E5C">
        <w:rPr>
          <w:rFonts w:ascii="Cambria" w:hAnsi="Cambria"/>
          <w:bCs/>
          <w:sz w:val="20"/>
          <w:szCs w:val="20"/>
        </w:rPr>
        <w:t xml:space="preserve"> </w:t>
      </w:r>
      <w:r w:rsidR="004B0168" w:rsidRPr="008D6E5C">
        <w:rPr>
          <w:rFonts w:ascii="Cambria" w:hAnsi="Cambria"/>
          <w:sz w:val="20"/>
          <w:szCs w:val="20"/>
        </w:rPr>
        <w:t>judicial protection</w:t>
      </w:r>
      <w:r w:rsidR="00FC5DC8" w:rsidRPr="008D6E5C">
        <w:rPr>
          <w:rFonts w:ascii="Cambria" w:hAnsi="Cambria"/>
          <w:bCs/>
          <w:sz w:val="20"/>
          <w:szCs w:val="20"/>
        </w:rPr>
        <w:t xml:space="preserve"> </w:t>
      </w:r>
      <w:r w:rsidRPr="008D6E5C">
        <w:rPr>
          <w:rFonts w:ascii="Cambria" w:hAnsi="Cambria"/>
          <w:bCs/>
          <w:sz w:val="20"/>
          <w:szCs w:val="20"/>
        </w:rPr>
        <w:t>of the journalist’s relatives</w:t>
      </w:r>
      <w:r w:rsidR="00FC5DC8" w:rsidRPr="008D6E5C">
        <w:rPr>
          <w:rFonts w:ascii="Cambria" w:hAnsi="Cambria"/>
          <w:bCs/>
          <w:sz w:val="20"/>
          <w:szCs w:val="20"/>
        </w:rPr>
        <w:t xml:space="preserve">, </w:t>
      </w:r>
      <w:r w:rsidRPr="008D6E5C">
        <w:rPr>
          <w:rFonts w:ascii="Cambria" w:hAnsi="Cambria"/>
          <w:bCs/>
          <w:sz w:val="20"/>
          <w:szCs w:val="20"/>
        </w:rPr>
        <w:t>because of the lack of</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i</w:t>
      </w:r>
      <w:r w:rsidR="00FC5DC8" w:rsidRPr="008D6E5C">
        <w:rPr>
          <w:rFonts w:ascii="Cambria" w:hAnsi="Cambria"/>
          <w:bCs/>
          <w:sz w:val="20"/>
          <w:szCs w:val="20"/>
        </w:rPr>
        <w:t xml:space="preserve">n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and prosecution of the perpetrators of the alleged victim’s murder which, according to the petitioner, was based on the practice of his profession.</w:t>
      </w:r>
      <w:r w:rsidR="00FC5DC8" w:rsidRPr="008D6E5C">
        <w:rPr>
          <w:rFonts w:ascii="Cambria" w:hAnsi="Cambria"/>
          <w:bCs/>
          <w:sz w:val="20"/>
          <w:szCs w:val="20"/>
        </w:rPr>
        <w:t xml:space="preserve"> </w:t>
      </w:r>
    </w:p>
    <w:p w:rsidR="00FC5DC8" w:rsidRPr="008D6E5C" w:rsidRDefault="00FC5DC8" w:rsidP="001520DB">
      <w:pPr>
        <w:pStyle w:val="ListParagraph"/>
        <w:shd w:val="clear" w:color="auto" w:fill="FFFFFF"/>
        <w:jc w:val="both"/>
        <w:rPr>
          <w:bCs/>
          <w:sz w:val="20"/>
          <w:szCs w:val="20"/>
        </w:rPr>
      </w:pPr>
    </w:p>
    <w:p w:rsidR="00FC5DC8" w:rsidRPr="008D6E5C" w:rsidRDefault="004073B4"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bCs/>
          <w:sz w:val="20"/>
          <w:szCs w:val="20"/>
        </w:rPr>
        <w:t xml:space="preserve">The State, for its part, maintained that </w:t>
      </w:r>
      <w:proofErr w:type="spellStart"/>
      <w:r w:rsidRPr="008D6E5C">
        <w:rPr>
          <w:rFonts w:ascii="Cambria" w:hAnsi="Cambria"/>
          <w:bCs/>
          <w:sz w:val="20"/>
          <w:szCs w:val="20"/>
        </w:rPr>
        <w:t>Carvajal</w:t>
      </w:r>
      <w:proofErr w:type="spellEnd"/>
      <w:r w:rsidRPr="008D6E5C">
        <w:rPr>
          <w:rFonts w:ascii="Cambria" w:hAnsi="Cambria"/>
          <w:bCs/>
          <w:sz w:val="20"/>
          <w:szCs w:val="20"/>
        </w:rPr>
        <w:t xml:space="preserve"> </w:t>
      </w:r>
      <w:proofErr w:type="spellStart"/>
      <w:r w:rsidRPr="008D6E5C">
        <w:rPr>
          <w:rFonts w:ascii="Cambria" w:hAnsi="Cambria"/>
          <w:bCs/>
          <w:sz w:val="20"/>
          <w:szCs w:val="20"/>
        </w:rPr>
        <w:t>Carvajal’s</w:t>
      </w:r>
      <w:proofErr w:type="spellEnd"/>
      <w:r w:rsidRPr="008D6E5C">
        <w:rPr>
          <w:rFonts w:ascii="Cambria" w:hAnsi="Cambria"/>
          <w:bCs/>
          <w:sz w:val="20"/>
          <w:szCs w:val="20"/>
        </w:rPr>
        <w:t xml:space="preserve"> murder was committed not by state agents but by private individuals, and asserted that it had taken all necessary measures to investigate the facts. </w:t>
      </w:r>
      <w:r w:rsidR="00FC5DC8" w:rsidRPr="008D6E5C">
        <w:rPr>
          <w:rFonts w:ascii="Cambria" w:hAnsi="Cambria" w:cs="Arial"/>
          <w:sz w:val="20"/>
          <w:szCs w:val="20"/>
        </w:rPr>
        <w:t xml:space="preserve">Colombia </w:t>
      </w:r>
      <w:r w:rsidRPr="008D6E5C">
        <w:rPr>
          <w:rFonts w:ascii="Cambria" w:hAnsi="Cambria" w:cs="Arial"/>
          <w:sz w:val="20"/>
          <w:szCs w:val="20"/>
        </w:rPr>
        <w:t>further asserted that the violent death of a journalist does not “automatically entail the violation of the right to</w:t>
      </w:r>
      <w:r w:rsidR="00FC5DC8" w:rsidRPr="008D6E5C">
        <w:rPr>
          <w:rFonts w:ascii="Cambria" w:hAnsi="Cambria" w:cs="Arial"/>
          <w:sz w:val="20"/>
          <w:szCs w:val="20"/>
        </w:rPr>
        <w:t xml:space="preserve"> </w:t>
      </w:r>
      <w:r w:rsidR="004B0168" w:rsidRPr="008D6E5C">
        <w:rPr>
          <w:rFonts w:ascii="Cambria" w:hAnsi="Cambria" w:cs="Arial"/>
          <w:sz w:val="20"/>
          <w:szCs w:val="20"/>
        </w:rPr>
        <w:t>freedom of thought and expression</w:t>
      </w:r>
      <w:r w:rsidRPr="008D6E5C">
        <w:rPr>
          <w:rFonts w:ascii="Cambria" w:hAnsi="Cambria" w:cs="Arial"/>
          <w:sz w:val="20"/>
          <w:szCs w:val="20"/>
        </w:rPr>
        <w:t xml:space="preserve">,” and that, in any case, the domestic legal proceedings did not </w:t>
      </w:r>
      <w:r w:rsidR="006951B8" w:rsidRPr="008D6E5C">
        <w:rPr>
          <w:rFonts w:ascii="Cambria" w:hAnsi="Cambria" w:cs="Arial"/>
          <w:sz w:val="20"/>
          <w:szCs w:val="20"/>
        </w:rPr>
        <w:t>provide</w:t>
      </w:r>
      <w:r w:rsidRPr="008D6E5C">
        <w:rPr>
          <w:rFonts w:ascii="Cambria" w:hAnsi="Cambria" w:cs="Arial"/>
          <w:sz w:val="20"/>
          <w:szCs w:val="20"/>
        </w:rPr>
        <w:t xml:space="preserve"> “certainty with respect to whether Mr. </w:t>
      </w:r>
      <w:proofErr w:type="spellStart"/>
      <w:r w:rsidR="00FC5DC8" w:rsidRPr="008D6E5C">
        <w:rPr>
          <w:rFonts w:ascii="Cambria" w:hAnsi="Cambria" w:cs="Arial"/>
          <w:sz w:val="20"/>
          <w:szCs w:val="20"/>
        </w:rPr>
        <w:t>Carvajal</w:t>
      </w:r>
      <w:r w:rsidRPr="008D6E5C">
        <w:rPr>
          <w:rFonts w:ascii="Cambria" w:hAnsi="Cambria" w:cs="Arial"/>
          <w:sz w:val="20"/>
          <w:szCs w:val="20"/>
        </w:rPr>
        <w:t>’s</w:t>
      </w:r>
      <w:proofErr w:type="spellEnd"/>
      <w:r w:rsidRPr="008D6E5C">
        <w:rPr>
          <w:rFonts w:ascii="Cambria" w:hAnsi="Cambria" w:cs="Arial"/>
          <w:sz w:val="20"/>
          <w:szCs w:val="20"/>
        </w:rPr>
        <w:t xml:space="preserve"> death was directly related to his journalistic work.” Therefore, it contested the alleged international responsibility of the State for the acts at issue in this case. </w:t>
      </w:r>
    </w:p>
    <w:p w:rsidR="00FC5DC8" w:rsidRPr="008D6E5C" w:rsidRDefault="00FC5DC8" w:rsidP="001520DB">
      <w:pPr>
        <w:jc w:val="both"/>
        <w:rPr>
          <w:rFonts w:ascii="Cambria" w:hAnsi="Cambria" w:cs="Arial"/>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The Commission</w:t>
      </w:r>
      <w:r w:rsidR="00FC5DC8" w:rsidRPr="008D6E5C">
        <w:rPr>
          <w:rFonts w:ascii="Cambria" w:hAnsi="Cambria" w:cs="Arial"/>
          <w:sz w:val="20"/>
          <w:szCs w:val="20"/>
        </w:rPr>
        <w:t xml:space="preserve"> </w:t>
      </w:r>
      <w:r w:rsidR="00E237DE" w:rsidRPr="008D6E5C">
        <w:rPr>
          <w:rFonts w:ascii="Cambria" w:hAnsi="Cambria" w:cs="Arial"/>
          <w:sz w:val="20"/>
          <w:szCs w:val="20"/>
        </w:rPr>
        <w:t xml:space="preserve">must examine then whether the </w:t>
      </w:r>
      <w:r w:rsidR="00290C7D" w:rsidRPr="008D6E5C">
        <w:rPr>
          <w:rFonts w:ascii="Cambria" w:hAnsi="Cambria" w:cs="Arial"/>
          <w:sz w:val="20"/>
          <w:szCs w:val="20"/>
        </w:rPr>
        <w:t xml:space="preserve">State’s </w:t>
      </w:r>
      <w:r w:rsidR="00E6046D" w:rsidRPr="008D6E5C">
        <w:rPr>
          <w:rFonts w:ascii="Cambria" w:hAnsi="Cambria" w:cs="Arial"/>
          <w:sz w:val="20"/>
          <w:szCs w:val="20"/>
        </w:rPr>
        <w:t>actions</w:t>
      </w:r>
      <w:r w:rsidR="00290C7D" w:rsidRPr="008D6E5C">
        <w:rPr>
          <w:rFonts w:ascii="Cambria" w:hAnsi="Cambria" w:cs="Arial"/>
          <w:sz w:val="20"/>
          <w:szCs w:val="20"/>
        </w:rPr>
        <w:t xml:space="preserve"> </w:t>
      </w:r>
      <w:r w:rsidR="00515209" w:rsidRPr="008D6E5C">
        <w:rPr>
          <w:rFonts w:ascii="Cambria" w:hAnsi="Cambria" w:cs="Arial"/>
          <w:sz w:val="20"/>
          <w:szCs w:val="20"/>
        </w:rPr>
        <w:t>constitute</w:t>
      </w:r>
      <w:r w:rsidR="00E237DE" w:rsidRPr="008D6E5C">
        <w:rPr>
          <w:rFonts w:ascii="Cambria" w:hAnsi="Cambria" w:cs="Arial"/>
          <w:sz w:val="20"/>
          <w:szCs w:val="20"/>
        </w:rPr>
        <w:t xml:space="preserve"> a violation of the rights to life and </w:t>
      </w:r>
      <w:r w:rsidR="0003360B" w:rsidRPr="008D6E5C">
        <w:rPr>
          <w:rFonts w:ascii="Cambria" w:hAnsi="Cambria" w:cs="Arial"/>
          <w:sz w:val="20"/>
          <w:szCs w:val="20"/>
        </w:rPr>
        <w:t>freedom of expression</w:t>
      </w:r>
      <w:r w:rsidR="00FC5DC8" w:rsidRPr="008D6E5C">
        <w:rPr>
          <w:rFonts w:ascii="Cambria" w:hAnsi="Cambria"/>
          <w:bCs/>
          <w:sz w:val="20"/>
          <w:szCs w:val="20"/>
        </w:rPr>
        <w:t xml:space="preserve"> </w:t>
      </w:r>
      <w:r w:rsidR="00E237DE" w:rsidRPr="008D6E5C">
        <w:rPr>
          <w:rFonts w:ascii="Cambria" w:hAnsi="Cambria"/>
          <w:bCs/>
          <w:sz w:val="20"/>
          <w:szCs w:val="20"/>
        </w:rPr>
        <w:t xml:space="preserve">with respect to </w:t>
      </w:r>
      <w:r w:rsidR="001C71DF" w:rsidRPr="008D6E5C">
        <w:rPr>
          <w:rFonts w:ascii="Cambria" w:hAnsi="Cambria"/>
          <w:bCs/>
          <w:sz w:val="20"/>
          <w:szCs w:val="20"/>
        </w:rPr>
        <w:t xml:space="preserve">Nelson </w:t>
      </w:r>
      <w:proofErr w:type="spellStart"/>
      <w:r w:rsidR="001C71DF" w:rsidRPr="008D6E5C">
        <w:rPr>
          <w:rFonts w:ascii="Cambria" w:hAnsi="Cambria"/>
          <w:bCs/>
          <w:sz w:val="20"/>
          <w:szCs w:val="20"/>
        </w:rPr>
        <w:t>Carvajal</w:t>
      </w:r>
      <w:proofErr w:type="spellEnd"/>
      <w:r w:rsidR="001C71DF" w:rsidRPr="008D6E5C">
        <w:rPr>
          <w:rFonts w:ascii="Cambria" w:hAnsi="Cambria"/>
          <w:bCs/>
          <w:sz w:val="20"/>
          <w:szCs w:val="20"/>
        </w:rPr>
        <w:t xml:space="preserve"> </w:t>
      </w:r>
      <w:proofErr w:type="spellStart"/>
      <w:r w:rsidR="001C71DF" w:rsidRPr="008D6E5C">
        <w:rPr>
          <w:rFonts w:ascii="Cambria" w:hAnsi="Cambria"/>
          <w:bCs/>
          <w:sz w:val="20"/>
          <w:szCs w:val="20"/>
        </w:rPr>
        <w:t>Carvajal</w:t>
      </w:r>
      <w:proofErr w:type="spellEnd"/>
      <w:r w:rsidR="00FC5DC8" w:rsidRPr="008D6E5C">
        <w:rPr>
          <w:rFonts w:ascii="Cambria" w:hAnsi="Cambria"/>
          <w:bCs/>
          <w:sz w:val="20"/>
          <w:szCs w:val="20"/>
        </w:rPr>
        <w:t xml:space="preserve">, </w:t>
      </w:r>
      <w:r w:rsidR="00E237DE" w:rsidRPr="008D6E5C">
        <w:rPr>
          <w:rFonts w:ascii="Cambria" w:hAnsi="Cambria"/>
          <w:bCs/>
          <w:sz w:val="20"/>
          <w:szCs w:val="20"/>
        </w:rPr>
        <w:t xml:space="preserve">and of the rights to </w:t>
      </w:r>
      <w:r w:rsidR="004B0168" w:rsidRPr="008D6E5C">
        <w:rPr>
          <w:rFonts w:ascii="Cambria" w:hAnsi="Cambria"/>
          <w:bCs/>
          <w:sz w:val="20"/>
          <w:szCs w:val="20"/>
        </w:rPr>
        <w:t>a fair trial</w:t>
      </w:r>
      <w:r w:rsidR="00FC5DC8" w:rsidRPr="008D6E5C">
        <w:rPr>
          <w:rFonts w:ascii="Cambria" w:hAnsi="Cambria"/>
          <w:bCs/>
          <w:sz w:val="20"/>
          <w:szCs w:val="20"/>
        </w:rPr>
        <w:t xml:space="preserve"> </w:t>
      </w:r>
      <w:r w:rsidR="00E237DE" w:rsidRPr="008D6E5C">
        <w:rPr>
          <w:rFonts w:ascii="Cambria" w:hAnsi="Cambria"/>
          <w:bCs/>
          <w:sz w:val="20"/>
          <w:szCs w:val="20"/>
        </w:rPr>
        <w:t>and</w:t>
      </w:r>
      <w:r w:rsidR="00FC5DC8" w:rsidRPr="008D6E5C">
        <w:rPr>
          <w:rFonts w:ascii="Cambria" w:hAnsi="Cambria"/>
          <w:bCs/>
          <w:sz w:val="20"/>
          <w:szCs w:val="20"/>
        </w:rPr>
        <w:t xml:space="preserve"> </w:t>
      </w:r>
      <w:r w:rsidR="004B0168" w:rsidRPr="008D6E5C">
        <w:rPr>
          <w:rFonts w:ascii="Cambria" w:hAnsi="Cambria"/>
          <w:bCs/>
          <w:sz w:val="20"/>
          <w:szCs w:val="20"/>
        </w:rPr>
        <w:t>judicial protection</w:t>
      </w:r>
      <w:r w:rsidR="00FC5DC8" w:rsidRPr="008D6E5C">
        <w:rPr>
          <w:rFonts w:ascii="Cambria" w:hAnsi="Cambria"/>
          <w:bCs/>
          <w:sz w:val="20"/>
          <w:szCs w:val="20"/>
        </w:rPr>
        <w:t xml:space="preserve"> </w:t>
      </w:r>
      <w:r w:rsidR="00E237DE" w:rsidRPr="008D6E5C">
        <w:rPr>
          <w:rFonts w:ascii="Cambria" w:hAnsi="Cambria"/>
          <w:bCs/>
          <w:sz w:val="20"/>
          <w:szCs w:val="20"/>
        </w:rPr>
        <w:t>with respect to his relatives</w:t>
      </w:r>
      <w:r w:rsidR="00FC5DC8" w:rsidRPr="008D6E5C">
        <w:rPr>
          <w:rFonts w:ascii="Cambria" w:hAnsi="Cambria" w:cs="Arial"/>
          <w:sz w:val="20"/>
          <w:szCs w:val="20"/>
        </w:rPr>
        <w:t xml:space="preserve">. </w:t>
      </w:r>
    </w:p>
    <w:p w:rsidR="00FC5DC8" w:rsidRPr="008D6E5C" w:rsidRDefault="00FC5DC8" w:rsidP="001520DB">
      <w:pPr>
        <w:pStyle w:val="ListParagraph"/>
        <w:shd w:val="clear" w:color="auto" w:fill="FFFFFF"/>
        <w:jc w:val="both"/>
        <w:rPr>
          <w:sz w:val="20"/>
          <w:szCs w:val="20"/>
        </w:rPr>
      </w:pPr>
    </w:p>
    <w:p w:rsidR="00FC5DC8" w:rsidRPr="008D6E5C" w:rsidRDefault="00503E07" w:rsidP="001E4690">
      <w:pPr>
        <w:pStyle w:val="Heading3"/>
        <w:keepNext w:val="0"/>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szCs w:val="20"/>
        </w:rPr>
      </w:pPr>
      <w:bookmarkStart w:id="47" w:name="_Toc416880391"/>
      <w:r w:rsidRPr="008D6E5C">
        <w:rPr>
          <w:szCs w:val="20"/>
        </w:rPr>
        <w:t>S</w:t>
      </w:r>
      <w:r w:rsidR="00550B54" w:rsidRPr="008D6E5C">
        <w:rPr>
          <w:szCs w:val="20"/>
        </w:rPr>
        <w:t>tandards on the duty to investigate crimes committed against journalists on account of the exercise of their right to freedom of expression</w:t>
      </w:r>
      <w:bookmarkEnd w:id="47"/>
    </w:p>
    <w:p w:rsidR="00FC5DC8" w:rsidRPr="008D6E5C" w:rsidRDefault="00FC5DC8" w:rsidP="001520DB">
      <w:pPr>
        <w:pStyle w:val="ListParagraph"/>
        <w:keepNext/>
        <w:rPr>
          <w:bCs/>
          <w:sz w:val="20"/>
          <w:szCs w:val="20"/>
        </w:rPr>
      </w:pPr>
    </w:p>
    <w:p w:rsidR="00FC5DC8" w:rsidRPr="008D6E5C" w:rsidRDefault="004B016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The Inter-American Court</w:t>
      </w:r>
      <w:r w:rsidR="00FC5DC8" w:rsidRPr="008D6E5C">
        <w:rPr>
          <w:rFonts w:ascii="Cambria" w:hAnsi="Cambria"/>
          <w:bCs/>
          <w:sz w:val="20"/>
          <w:szCs w:val="20"/>
        </w:rPr>
        <w:t xml:space="preserve"> ha</w:t>
      </w:r>
      <w:r w:rsidR="00550B54" w:rsidRPr="008D6E5C">
        <w:rPr>
          <w:rFonts w:ascii="Cambria" w:hAnsi="Cambria"/>
          <w:bCs/>
          <w:sz w:val="20"/>
          <w:szCs w:val="20"/>
        </w:rPr>
        <w:t>s established that in cases of extrajudicial, unlawful, arbitrary, or summary executions, a State’s authorities must open,</w:t>
      </w:r>
      <w:r w:rsidR="00FC5DC8" w:rsidRPr="008D6E5C">
        <w:rPr>
          <w:rFonts w:ascii="Cambria" w:hAnsi="Cambria"/>
          <w:bCs/>
          <w:sz w:val="20"/>
          <w:szCs w:val="20"/>
        </w:rPr>
        <w:t xml:space="preserve"> </w:t>
      </w:r>
      <w:r w:rsidR="00FC5DC8" w:rsidRPr="008D6E5C">
        <w:rPr>
          <w:rFonts w:ascii="Cambria" w:hAnsi="Cambria"/>
          <w:bCs/>
          <w:i/>
          <w:iCs/>
          <w:sz w:val="20"/>
          <w:szCs w:val="20"/>
        </w:rPr>
        <w:t xml:space="preserve">ex officio </w:t>
      </w:r>
      <w:r w:rsidR="00550B54" w:rsidRPr="008D6E5C">
        <w:rPr>
          <w:rFonts w:ascii="Cambria" w:hAnsi="Cambria"/>
          <w:bCs/>
          <w:sz w:val="20"/>
          <w:szCs w:val="20"/>
        </w:rPr>
        <w:t>and without delay, a serious, impartial, and effective investigation</w:t>
      </w:r>
      <w:r w:rsidR="00FC5DC8" w:rsidRPr="008D6E5C">
        <w:rPr>
          <w:rFonts w:ascii="Cambria" w:hAnsi="Cambria"/>
          <w:bCs/>
          <w:sz w:val="20"/>
          <w:szCs w:val="20"/>
        </w:rPr>
        <w:t xml:space="preserve">, </w:t>
      </w:r>
      <w:r w:rsidR="00550B54" w:rsidRPr="008D6E5C">
        <w:rPr>
          <w:rFonts w:ascii="Cambria" w:hAnsi="Cambria"/>
          <w:bCs/>
          <w:sz w:val="20"/>
          <w:szCs w:val="20"/>
        </w:rPr>
        <w:t>once they have knowledge of the act</w:t>
      </w:r>
      <w:r w:rsidR="00DF44C8" w:rsidRPr="008D6E5C">
        <w:rPr>
          <w:rFonts w:ascii="Cambria" w:hAnsi="Cambria"/>
          <w:bCs/>
          <w:sz w:val="20"/>
          <w:szCs w:val="20"/>
        </w:rPr>
        <w:t>,</w:t>
      </w:r>
      <w:r w:rsidR="00FC5DC8" w:rsidRPr="008D6E5C">
        <w:rPr>
          <w:rFonts w:ascii="Cambria" w:hAnsi="Cambria"/>
          <w:bCs/>
          <w:sz w:val="20"/>
          <w:szCs w:val="20"/>
          <w:vertAlign w:val="superscript"/>
        </w:rPr>
        <w:footnoteReference w:id="125"/>
      </w:r>
      <w:r w:rsidR="00FC5DC8" w:rsidRPr="008D6E5C">
        <w:rPr>
          <w:rFonts w:ascii="Cambria" w:hAnsi="Cambria"/>
          <w:bCs/>
          <w:sz w:val="20"/>
          <w:szCs w:val="20"/>
        </w:rPr>
        <w:t xml:space="preserve"> </w:t>
      </w:r>
      <w:r w:rsidR="00550B54" w:rsidRPr="008D6E5C">
        <w:rPr>
          <w:rFonts w:ascii="Cambria" w:hAnsi="Cambria"/>
          <w:bCs/>
          <w:sz w:val="20"/>
          <w:szCs w:val="20"/>
        </w:rPr>
        <w:t>regardless of whether it was committed by State agents</w:t>
      </w:r>
      <w:r w:rsidR="00FC5DC8" w:rsidRPr="008D6E5C">
        <w:rPr>
          <w:rFonts w:ascii="Cambria" w:hAnsi="Cambria"/>
          <w:bCs/>
          <w:sz w:val="20"/>
          <w:szCs w:val="20"/>
        </w:rPr>
        <w:t xml:space="preserve"> </w:t>
      </w:r>
      <w:r w:rsidR="00550B54" w:rsidRPr="008D6E5C">
        <w:rPr>
          <w:rFonts w:ascii="Cambria" w:hAnsi="Cambria"/>
          <w:bCs/>
          <w:sz w:val="20"/>
          <w:szCs w:val="20"/>
        </w:rPr>
        <w:t>or by private individuals</w:t>
      </w:r>
      <w:r w:rsidR="00FC5DC8" w:rsidRPr="008D6E5C">
        <w:rPr>
          <w:rFonts w:ascii="Cambria" w:hAnsi="Cambria"/>
          <w:bCs/>
          <w:sz w:val="20"/>
          <w:szCs w:val="20"/>
        </w:rPr>
        <w:t xml:space="preserve">. </w:t>
      </w:r>
      <w:r w:rsidR="00F5628E" w:rsidRPr="008D6E5C">
        <w:rPr>
          <w:rFonts w:ascii="Cambria" w:hAnsi="Cambria"/>
          <w:bCs/>
          <w:sz w:val="20"/>
          <w:szCs w:val="20"/>
        </w:rPr>
        <w:t>In cases of violent death, carrying out an effective investigation is “a</w:t>
      </w:r>
      <w:r w:rsidR="00FC5DC8" w:rsidRPr="008D6E5C">
        <w:rPr>
          <w:rFonts w:ascii="Cambria" w:hAnsi="Cambria"/>
          <w:bCs/>
          <w:sz w:val="20"/>
          <w:szCs w:val="20"/>
        </w:rPr>
        <w:t xml:space="preserve"> fundamental </w:t>
      </w:r>
      <w:r w:rsidR="00F5628E" w:rsidRPr="008D6E5C">
        <w:rPr>
          <w:rFonts w:ascii="Cambria" w:hAnsi="Cambria"/>
          <w:bCs/>
          <w:sz w:val="20"/>
          <w:szCs w:val="20"/>
        </w:rPr>
        <w:t>element essential for the protection of the rights that are affected in these situations</w:t>
      </w:r>
      <w:r w:rsidR="00DF44C8"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26"/>
      </w:r>
    </w:p>
    <w:p w:rsidR="00FC5DC8" w:rsidRPr="008D6E5C" w:rsidRDefault="00FC5DC8" w:rsidP="001520DB">
      <w:pPr>
        <w:pStyle w:val="ListParagraph"/>
        <w:rPr>
          <w:sz w:val="20"/>
          <w:szCs w:val="20"/>
        </w:rPr>
      </w:pPr>
    </w:p>
    <w:p w:rsidR="00FC5DC8" w:rsidRPr="008D6E5C" w:rsidRDefault="004B016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lastRenderedPageBreak/>
        <w:t>The Inter-American Court</w:t>
      </w:r>
      <w:r w:rsidR="00FC5DC8" w:rsidRPr="008D6E5C">
        <w:rPr>
          <w:rFonts w:ascii="Cambria" w:hAnsi="Cambria"/>
          <w:bCs/>
          <w:sz w:val="20"/>
          <w:szCs w:val="20"/>
        </w:rPr>
        <w:t xml:space="preserve"> ha</w:t>
      </w:r>
      <w:r w:rsidR="00F0735A" w:rsidRPr="008D6E5C">
        <w:rPr>
          <w:rFonts w:ascii="Cambria" w:hAnsi="Cambria"/>
          <w:bCs/>
          <w:sz w:val="20"/>
          <w:szCs w:val="20"/>
        </w:rPr>
        <w:t>s noted that the obligation to investigate</w:t>
      </w:r>
      <w:r w:rsidR="00FC5DC8" w:rsidRPr="008D6E5C">
        <w:rPr>
          <w:rFonts w:ascii="Cambria" w:hAnsi="Cambria"/>
          <w:bCs/>
          <w:sz w:val="20"/>
          <w:szCs w:val="20"/>
        </w:rPr>
        <w:t xml:space="preserve"> </w:t>
      </w:r>
      <w:r w:rsidR="008F3568" w:rsidRPr="008D6E5C">
        <w:rPr>
          <w:rFonts w:ascii="Cambria" w:hAnsi="Cambria"/>
          <w:bCs/>
          <w:sz w:val="20"/>
          <w:szCs w:val="20"/>
        </w:rPr>
        <w:t>persists</w:t>
      </w:r>
      <w:r w:rsidR="00F0735A" w:rsidRPr="008D6E5C">
        <w:rPr>
          <w:rFonts w:ascii="Cambria" w:hAnsi="Cambria"/>
          <w:bCs/>
          <w:sz w:val="20"/>
          <w:szCs w:val="20"/>
        </w:rPr>
        <w:t xml:space="preserve">, </w:t>
      </w:r>
      <w:r w:rsidR="00FC5DC8" w:rsidRPr="008D6E5C">
        <w:rPr>
          <w:rFonts w:ascii="Cambria" w:hAnsi="Cambria"/>
          <w:bCs/>
          <w:sz w:val="20"/>
          <w:szCs w:val="20"/>
        </w:rPr>
        <w:t>“</w:t>
      </w:r>
      <w:r w:rsidR="008F3568" w:rsidRPr="008D6E5C">
        <w:rPr>
          <w:rFonts w:ascii="Cambria" w:hAnsi="Cambria"/>
          <w:bCs/>
          <w:sz w:val="20"/>
          <w:szCs w:val="20"/>
        </w:rPr>
        <w:t>irrespective of the agent to whom the violation may be eventually attributed, even individuals, since if the events are not investigated in depth, they would be, in some way, assisted by public authorities, which would entail international responsibility for the State</w:t>
      </w:r>
      <w:r w:rsidR="00DF44C8"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27"/>
      </w:r>
      <w:bookmarkStart w:id="48" w:name="_Ref243895241"/>
      <w:r w:rsidR="00FC5DC8" w:rsidRPr="008D6E5C">
        <w:rPr>
          <w:rFonts w:ascii="Cambria" w:hAnsi="Cambria"/>
          <w:bCs/>
          <w:sz w:val="20"/>
          <w:szCs w:val="20"/>
        </w:rPr>
        <w:t xml:space="preserve"> </w:t>
      </w:r>
      <w:r w:rsidR="008F3568" w:rsidRPr="008D6E5C">
        <w:rPr>
          <w:rFonts w:ascii="Cambria" w:hAnsi="Cambria"/>
          <w:bCs/>
          <w:sz w:val="20"/>
          <w:szCs w:val="20"/>
        </w:rPr>
        <w:t>In its judgment on the merits in the case of</w:t>
      </w:r>
      <w:r w:rsidR="00FC5DC8" w:rsidRPr="008D6E5C">
        <w:rPr>
          <w:rFonts w:ascii="Cambria" w:hAnsi="Cambria"/>
          <w:bCs/>
          <w:sz w:val="20"/>
          <w:szCs w:val="20"/>
        </w:rPr>
        <w:t xml:space="preserve"> </w:t>
      </w:r>
      <w:proofErr w:type="spellStart"/>
      <w:r w:rsidR="00FC5DC8" w:rsidRPr="008D6E5C">
        <w:rPr>
          <w:rFonts w:ascii="Cambria" w:hAnsi="Cambria"/>
          <w:bCs/>
          <w:i/>
          <w:sz w:val="20"/>
          <w:szCs w:val="20"/>
        </w:rPr>
        <w:t>Velásquez</w:t>
      </w:r>
      <w:proofErr w:type="spellEnd"/>
      <w:r w:rsidR="00FC5DC8" w:rsidRPr="008D6E5C">
        <w:rPr>
          <w:rFonts w:ascii="Cambria" w:hAnsi="Cambria"/>
          <w:bCs/>
          <w:i/>
          <w:sz w:val="20"/>
          <w:szCs w:val="20"/>
        </w:rPr>
        <w:t xml:space="preserve"> Rodríguez </w:t>
      </w:r>
      <w:r w:rsidR="008F3568" w:rsidRPr="008D6E5C">
        <w:rPr>
          <w:rFonts w:ascii="Cambria" w:hAnsi="Cambria"/>
          <w:bCs/>
          <w:i/>
          <w:sz w:val="20"/>
          <w:szCs w:val="20"/>
        </w:rPr>
        <w:t>v</w:t>
      </w:r>
      <w:r w:rsidR="00FC5DC8" w:rsidRPr="008D6E5C">
        <w:rPr>
          <w:rFonts w:ascii="Cambria" w:hAnsi="Cambria"/>
          <w:bCs/>
          <w:i/>
          <w:sz w:val="20"/>
          <w:szCs w:val="20"/>
        </w:rPr>
        <w:t>. Honduras</w:t>
      </w:r>
      <w:r w:rsidR="00FC5DC8" w:rsidRPr="008D6E5C">
        <w:rPr>
          <w:rFonts w:ascii="Cambria" w:hAnsi="Cambria"/>
          <w:bCs/>
          <w:sz w:val="20"/>
          <w:szCs w:val="20"/>
        </w:rPr>
        <w:t xml:space="preserve">, </w:t>
      </w:r>
      <w:r w:rsidR="008F3568" w:rsidRPr="008D6E5C">
        <w:rPr>
          <w:rFonts w:ascii="Cambria" w:hAnsi="Cambria"/>
          <w:bCs/>
          <w:sz w:val="20"/>
          <w:szCs w:val="20"/>
        </w:rPr>
        <w:t>the Court underscored that, according to the duty to guarantee rights:</w:t>
      </w:r>
      <w:r w:rsidR="00FC5DC8" w:rsidRPr="008D6E5C">
        <w:rPr>
          <w:rFonts w:ascii="Cambria" w:hAnsi="Cambria"/>
          <w:bCs/>
          <w:sz w:val="20"/>
          <w:szCs w:val="20"/>
        </w:rPr>
        <w:t xml:space="preserve"> </w:t>
      </w:r>
    </w:p>
    <w:p w:rsidR="00FC5DC8" w:rsidRPr="008D6E5C" w:rsidRDefault="00FC5DC8" w:rsidP="001520DB">
      <w:pPr>
        <w:pStyle w:val="ListParagraph"/>
        <w:shd w:val="clear" w:color="auto" w:fill="FFFFFF"/>
        <w:jc w:val="both"/>
        <w:rPr>
          <w:sz w:val="20"/>
          <w:szCs w:val="20"/>
        </w:rPr>
      </w:pPr>
    </w:p>
    <w:p w:rsidR="00FC5DC8" w:rsidRPr="008D6E5C" w:rsidRDefault="008F3568" w:rsidP="001520DB">
      <w:pPr>
        <w:pStyle w:val="ListParagraph"/>
        <w:shd w:val="clear" w:color="auto" w:fill="FFFFFF"/>
        <w:ind w:right="720"/>
        <w:jc w:val="both"/>
        <w:rPr>
          <w:sz w:val="20"/>
          <w:szCs w:val="20"/>
        </w:rPr>
      </w:pPr>
      <w:r w:rsidRPr="008D6E5C">
        <w:rPr>
          <w:bCs/>
          <w:sz w:val="20"/>
          <w:szCs w:val="20"/>
        </w:rPr>
        <w:t>The State is obligated to investigate every situation involving a violation of the rights protected by the Convention.  If the State apparatus acts in such a way that the violation goes unpunished and the victim's full enjoyment of such rights is not restored as soon as possible, the State has failed to comply with its duty to ensure the free and full exercise of those rights to the persons within its jurisdiction.  The same is true when the State allows private persons or groups to act freely and with impunity to the detriment of the rights recognized by the Convention</w:t>
      </w:r>
      <w:r w:rsidR="00EC4D70" w:rsidRPr="008D6E5C">
        <w:rPr>
          <w:bCs/>
          <w:sz w:val="20"/>
          <w:szCs w:val="20"/>
        </w:rPr>
        <w:t>.</w:t>
      </w:r>
      <w:r w:rsidR="00FC5DC8" w:rsidRPr="008D6E5C">
        <w:rPr>
          <w:bCs/>
          <w:sz w:val="20"/>
          <w:szCs w:val="20"/>
          <w:vertAlign w:val="superscript"/>
        </w:rPr>
        <w:footnoteReference w:id="128"/>
      </w:r>
    </w:p>
    <w:p w:rsidR="00FC5DC8" w:rsidRPr="008D6E5C" w:rsidRDefault="00FC5DC8" w:rsidP="001520DB">
      <w:pPr>
        <w:pStyle w:val="ListParagraph"/>
        <w:shd w:val="clear" w:color="auto" w:fill="FFFFFF"/>
        <w:jc w:val="both"/>
        <w:rPr>
          <w:sz w:val="20"/>
          <w:szCs w:val="20"/>
        </w:rPr>
      </w:pPr>
    </w:p>
    <w:p w:rsidR="00FC5DC8" w:rsidRPr="008D6E5C" w:rsidRDefault="008F356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Similarly</w:t>
      </w:r>
      <w:r w:rsidR="00FC5DC8" w:rsidRPr="008D6E5C">
        <w:rPr>
          <w:rFonts w:ascii="Cambria" w:hAnsi="Cambria"/>
          <w:bCs/>
          <w:sz w:val="20"/>
          <w:szCs w:val="20"/>
        </w:rPr>
        <w:t xml:space="preserve">, </w:t>
      </w:r>
      <w:r w:rsidRPr="008D6E5C">
        <w:rPr>
          <w:rFonts w:ascii="Cambria" w:hAnsi="Cambria"/>
          <w:bCs/>
          <w:sz w:val="20"/>
          <w:szCs w:val="20"/>
        </w:rPr>
        <w:t xml:space="preserve">in the context of the duty to open an effective government investigation when individuals have lost their lives, </w:t>
      </w:r>
      <w:r w:rsidR="00503E07" w:rsidRPr="008D6E5C">
        <w:rPr>
          <w:rFonts w:ascii="Cambria" w:hAnsi="Cambria"/>
          <w:bCs/>
          <w:sz w:val="20"/>
          <w:szCs w:val="20"/>
        </w:rPr>
        <w:t>the European Court of Human Rights</w:t>
      </w:r>
      <w:r w:rsidRPr="008D6E5C">
        <w:rPr>
          <w:rFonts w:ascii="Cambria" w:hAnsi="Cambria"/>
          <w:bCs/>
          <w:sz w:val="20"/>
          <w:szCs w:val="20"/>
        </w:rPr>
        <w:t xml:space="preserve"> has been held that</w:t>
      </w:r>
      <w:bookmarkEnd w:id="48"/>
      <w:r w:rsidR="00FC5DC8" w:rsidRPr="008D6E5C">
        <w:rPr>
          <w:rFonts w:ascii="Cambria" w:hAnsi="Cambria"/>
          <w:bCs/>
          <w:sz w:val="20"/>
          <w:szCs w:val="20"/>
        </w:rPr>
        <w:t xml:space="preserve"> “</w:t>
      </w:r>
      <w:r w:rsidR="00296650" w:rsidRPr="008D6E5C">
        <w:rPr>
          <w:rFonts w:ascii="Cambria" w:hAnsi="Cambria"/>
          <w:bCs/>
          <w:sz w:val="20"/>
          <w:szCs w:val="20"/>
        </w:rPr>
        <w:t>this obligation is not confined to cases where it has been established that the killing was caused by an agent of the State. Nor is it decisive whether members of the deceased’s family or others have lodged a formal complaint about the killing with the relevant investigatory authority</w:t>
      </w:r>
      <w:r w:rsidR="00EC4D70"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29"/>
      </w:r>
    </w:p>
    <w:p w:rsidR="00FC5DC8" w:rsidRPr="008D6E5C" w:rsidRDefault="00FC5DC8" w:rsidP="001520DB">
      <w:pPr>
        <w:pStyle w:val="ListParagraph"/>
        <w:shd w:val="clear" w:color="auto" w:fill="FFFFFF"/>
        <w:jc w:val="both"/>
        <w:rPr>
          <w:sz w:val="20"/>
          <w:szCs w:val="20"/>
        </w:rPr>
      </w:pPr>
    </w:p>
    <w:p w:rsidR="00FC5DC8" w:rsidRPr="008D6E5C" w:rsidRDefault="001E1AA7"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cases of</w:t>
      </w:r>
      <w:r w:rsidR="00FC5DC8" w:rsidRPr="008D6E5C">
        <w:rPr>
          <w:rFonts w:ascii="Cambria" w:hAnsi="Cambria"/>
          <w:bCs/>
          <w:sz w:val="20"/>
          <w:szCs w:val="20"/>
        </w:rPr>
        <w:t xml:space="preserve"> </w:t>
      </w:r>
      <w:r w:rsidR="001766CB" w:rsidRPr="008D6E5C">
        <w:rPr>
          <w:rFonts w:ascii="Cambria" w:hAnsi="Cambria"/>
          <w:bCs/>
          <w:sz w:val="20"/>
          <w:szCs w:val="20"/>
        </w:rPr>
        <w:t xml:space="preserve">violence against </w:t>
      </w:r>
      <w:r w:rsidRPr="008D6E5C">
        <w:rPr>
          <w:rFonts w:ascii="Cambria" w:hAnsi="Cambria"/>
          <w:bCs/>
          <w:sz w:val="20"/>
          <w:szCs w:val="20"/>
        </w:rPr>
        <w:t>journalists and media workers</w:t>
      </w:r>
      <w:r w:rsidR="00FC5DC8" w:rsidRPr="008D6E5C">
        <w:rPr>
          <w:rFonts w:ascii="Cambria" w:hAnsi="Cambria"/>
          <w:bCs/>
          <w:sz w:val="20"/>
          <w:szCs w:val="20"/>
        </w:rPr>
        <w:t xml:space="preserve">, </w:t>
      </w:r>
      <w:r w:rsidRPr="008D6E5C">
        <w:rPr>
          <w:rFonts w:ascii="Cambria" w:hAnsi="Cambria"/>
          <w:bCs/>
          <w:sz w:val="20"/>
          <w:szCs w:val="20"/>
        </w:rPr>
        <w:t>both the Court and</w:t>
      </w:r>
      <w:r w:rsidR="00FC5DC8" w:rsidRPr="008D6E5C">
        <w:rPr>
          <w:rFonts w:ascii="Cambria" w:hAnsi="Cambria"/>
          <w:bCs/>
          <w:sz w:val="20"/>
          <w:szCs w:val="20"/>
        </w:rPr>
        <w:t xml:space="preserve"> </w:t>
      </w:r>
      <w:r w:rsidR="004B0168" w:rsidRPr="008D6E5C">
        <w:rPr>
          <w:rFonts w:ascii="Cambria" w:hAnsi="Cambria"/>
          <w:bCs/>
          <w:sz w:val="20"/>
          <w:szCs w:val="20"/>
        </w:rPr>
        <w:t>the Inter-American Commission</w:t>
      </w:r>
      <w:r w:rsidR="00FC5DC8" w:rsidRPr="008D6E5C">
        <w:rPr>
          <w:rFonts w:ascii="Cambria" w:hAnsi="Cambria"/>
          <w:bCs/>
          <w:sz w:val="20"/>
          <w:szCs w:val="20"/>
        </w:rPr>
        <w:t xml:space="preserve"> ha</w:t>
      </w:r>
      <w:r w:rsidRPr="008D6E5C">
        <w:rPr>
          <w:rFonts w:ascii="Cambria" w:hAnsi="Cambria"/>
          <w:bCs/>
          <w:sz w:val="20"/>
          <w:szCs w:val="20"/>
        </w:rPr>
        <w:t xml:space="preserve">ve found that the failure to comply with </w:t>
      </w:r>
      <w:r w:rsidR="00F0735A" w:rsidRPr="008D6E5C">
        <w:rPr>
          <w:rFonts w:ascii="Cambria" w:hAnsi="Cambria"/>
          <w:bCs/>
          <w:sz w:val="20"/>
          <w:szCs w:val="20"/>
        </w:rPr>
        <w:t>the obligation to investigate</w:t>
      </w:r>
      <w:r w:rsidR="00FC5DC8" w:rsidRPr="008D6E5C">
        <w:rPr>
          <w:rFonts w:ascii="Cambria" w:hAnsi="Cambria"/>
          <w:bCs/>
          <w:sz w:val="20"/>
          <w:szCs w:val="20"/>
        </w:rPr>
        <w:t xml:space="preserve"> </w:t>
      </w:r>
      <w:r w:rsidRPr="008D6E5C">
        <w:rPr>
          <w:rFonts w:ascii="Cambria" w:hAnsi="Cambria"/>
          <w:bCs/>
          <w:sz w:val="20"/>
          <w:szCs w:val="20"/>
        </w:rPr>
        <w:t>acts of violence against a journalist</w:t>
      </w:r>
      <w:r w:rsidR="00FC5DC8" w:rsidRPr="008D6E5C">
        <w:rPr>
          <w:rFonts w:ascii="Cambria" w:hAnsi="Cambria"/>
          <w:bCs/>
          <w:sz w:val="20"/>
          <w:szCs w:val="20"/>
        </w:rPr>
        <w:t xml:space="preserve"> </w:t>
      </w:r>
      <w:r w:rsidR="0045213A" w:rsidRPr="008D6E5C">
        <w:rPr>
          <w:rFonts w:ascii="Cambria" w:hAnsi="Cambria"/>
          <w:bCs/>
          <w:sz w:val="20"/>
          <w:szCs w:val="20"/>
        </w:rPr>
        <w:t xml:space="preserve">may </w:t>
      </w:r>
      <w:r w:rsidRPr="008D6E5C">
        <w:rPr>
          <w:rFonts w:ascii="Cambria" w:hAnsi="Cambria"/>
          <w:bCs/>
          <w:sz w:val="20"/>
          <w:szCs w:val="20"/>
        </w:rPr>
        <w:t xml:space="preserve">also </w:t>
      </w:r>
      <w:r w:rsidR="0045213A" w:rsidRPr="008D6E5C">
        <w:rPr>
          <w:rFonts w:ascii="Cambria" w:hAnsi="Cambria"/>
          <w:bCs/>
          <w:sz w:val="20"/>
          <w:szCs w:val="20"/>
        </w:rPr>
        <w:t>entail</w:t>
      </w:r>
      <w:r w:rsidRPr="008D6E5C">
        <w:rPr>
          <w:rFonts w:ascii="Cambria" w:hAnsi="Cambria"/>
          <w:bCs/>
          <w:sz w:val="20"/>
          <w:szCs w:val="20"/>
        </w:rPr>
        <w:t xml:space="preserve"> a breach of the duty to guarantee the right to freedom of thought and expression</w:t>
      </w:r>
      <w:r w:rsidR="00296650" w:rsidRPr="008D6E5C">
        <w:rPr>
          <w:rFonts w:ascii="Cambria" w:hAnsi="Cambria"/>
          <w:bCs/>
          <w:sz w:val="20"/>
          <w:szCs w:val="20"/>
        </w:rPr>
        <w:t>.</w:t>
      </w:r>
      <w:r w:rsidR="00FC5DC8" w:rsidRPr="008D6E5C">
        <w:rPr>
          <w:rFonts w:ascii="Cambria" w:hAnsi="Cambria"/>
          <w:bCs/>
          <w:sz w:val="20"/>
          <w:szCs w:val="20"/>
          <w:vertAlign w:val="superscript"/>
        </w:rPr>
        <w:footnoteReference w:id="130"/>
      </w:r>
      <w:r w:rsidR="00FC5DC8" w:rsidRPr="008D6E5C">
        <w:rPr>
          <w:rFonts w:ascii="Cambria" w:hAnsi="Cambria"/>
          <w:bCs/>
          <w:sz w:val="20"/>
          <w:szCs w:val="20"/>
        </w:rPr>
        <w:t xml:space="preserve"> </w:t>
      </w:r>
      <w:r w:rsidRPr="008D6E5C">
        <w:rPr>
          <w:rFonts w:ascii="Cambria" w:hAnsi="Cambria"/>
          <w:sz w:val="20"/>
          <w:szCs w:val="20"/>
        </w:rPr>
        <w:t>Indeed</w:t>
      </w:r>
      <w:r w:rsidR="00FC5DC8" w:rsidRPr="008D6E5C">
        <w:rPr>
          <w:rFonts w:ascii="Cambria" w:hAnsi="Cambria"/>
          <w:sz w:val="20"/>
          <w:szCs w:val="20"/>
        </w:rPr>
        <w:t xml:space="preserve">, </w:t>
      </w:r>
      <w:r w:rsidRPr="008D6E5C">
        <w:rPr>
          <w:rFonts w:ascii="Cambria" w:hAnsi="Cambria"/>
          <w:sz w:val="20"/>
          <w:szCs w:val="20"/>
        </w:rPr>
        <w:t>in the reports on the merits issued in the cases of</w:t>
      </w:r>
      <w:r w:rsidR="00FC5DC8" w:rsidRPr="008D6E5C">
        <w:rPr>
          <w:rFonts w:ascii="Cambria" w:hAnsi="Cambria"/>
          <w:sz w:val="20"/>
          <w:szCs w:val="20"/>
        </w:rPr>
        <w:t xml:space="preserve"> </w:t>
      </w:r>
      <w:proofErr w:type="spellStart"/>
      <w:r w:rsidR="00FC5DC8" w:rsidRPr="008D6E5C">
        <w:rPr>
          <w:rFonts w:ascii="Cambria" w:hAnsi="Cambria"/>
          <w:iCs/>
          <w:sz w:val="20"/>
          <w:szCs w:val="20"/>
          <w:lang w:eastAsia="x-none"/>
        </w:rPr>
        <w:t>Héctor</w:t>
      </w:r>
      <w:proofErr w:type="spellEnd"/>
      <w:r w:rsidR="00FC5DC8" w:rsidRPr="008D6E5C">
        <w:rPr>
          <w:rFonts w:ascii="Cambria" w:hAnsi="Cambria"/>
          <w:iCs/>
          <w:sz w:val="20"/>
          <w:szCs w:val="20"/>
          <w:lang w:eastAsia="x-none"/>
        </w:rPr>
        <w:t xml:space="preserve"> Félix Miranda (</w:t>
      </w:r>
      <w:r w:rsidR="0053167E" w:rsidRPr="008D6E5C">
        <w:rPr>
          <w:rFonts w:ascii="Cambria" w:hAnsi="Cambria"/>
          <w:iCs/>
          <w:sz w:val="20"/>
          <w:szCs w:val="20"/>
          <w:lang w:eastAsia="x-none"/>
        </w:rPr>
        <w:t>Mexico) and</w:t>
      </w:r>
      <w:r w:rsidR="00FC5DC8" w:rsidRPr="008D6E5C">
        <w:rPr>
          <w:rFonts w:ascii="Cambria" w:hAnsi="Cambria"/>
          <w:iCs/>
          <w:sz w:val="20"/>
          <w:szCs w:val="20"/>
          <w:lang w:eastAsia="x-none"/>
        </w:rPr>
        <w:t xml:space="preserve"> </w:t>
      </w:r>
      <w:proofErr w:type="spellStart"/>
      <w:r w:rsidR="00FC5DC8" w:rsidRPr="008D6E5C">
        <w:rPr>
          <w:rFonts w:ascii="Cambria" w:hAnsi="Cambria"/>
          <w:iCs/>
          <w:sz w:val="20"/>
          <w:szCs w:val="20"/>
          <w:lang w:eastAsia="x-none"/>
        </w:rPr>
        <w:t>Víctor</w:t>
      </w:r>
      <w:proofErr w:type="spellEnd"/>
      <w:r w:rsidR="00FC5DC8" w:rsidRPr="008D6E5C">
        <w:rPr>
          <w:rFonts w:ascii="Cambria" w:hAnsi="Cambria"/>
          <w:iCs/>
          <w:sz w:val="20"/>
          <w:szCs w:val="20"/>
          <w:lang w:eastAsia="x-none"/>
        </w:rPr>
        <w:t xml:space="preserve"> Manuel </w:t>
      </w:r>
      <w:proofErr w:type="spellStart"/>
      <w:r w:rsidR="00FC5DC8" w:rsidRPr="008D6E5C">
        <w:rPr>
          <w:rFonts w:ascii="Cambria" w:hAnsi="Cambria"/>
          <w:iCs/>
          <w:sz w:val="20"/>
          <w:szCs w:val="20"/>
          <w:lang w:eastAsia="x-none"/>
        </w:rPr>
        <w:t>Oropeza</w:t>
      </w:r>
      <w:proofErr w:type="spellEnd"/>
      <w:r w:rsidR="00FC5DC8" w:rsidRPr="008D6E5C">
        <w:rPr>
          <w:rFonts w:ascii="Cambria" w:hAnsi="Cambria"/>
          <w:iCs/>
          <w:sz w:val="20"/>
          <w:szCs w:val="20"/>
          <w:lang w:eastAsia="x-none"/>
        </w:rPr>
        <w:t xml:space="preserve"> (</w:t>
      </w:r>
      <w:r w:rsidR="0053167E" w:rsidRPr="008D6E5C">
        <w:rPr>
          <w:rFonts w:ascii="Cambria" w:hAnsi="Cambria"/>
          <w:iCs/>
          <w:sz w:val="20"/>
          <w:szCs w:val="20"/>
          <w:lang w:eastAsia="x-none"/>
        </w:rPr>
        <w:t>Mexico</w:t>
      </w:r>
      <w:r w:rsidR="00FC5DC8" w:rsidRPr="008D6E5C">
        <w:rPr>
          <w:rFonts w:ascii="Cambria" w:hAnsi="Cambria"/>
          <w:iCs/>
          <w:sz w:val="20"/>
          <w:szCs w:val="20"/>
          <w:lang w:eastAsia="x-none"/>
        </w:rPr>
        <w:t>),</w:t>
      </w:r>
      <w:r w:rsidR="00FC5DC8" w:rsidRPr="008D6E5C">
        <w:rPr>
          <w:rFonts w:ascii="Cambria" w:hAnsi="Cambria"/>
          <w:sz w:val="20"/>
          <w:szCs w:val="20"/>
        </w:rPr>
        <w:t xml:space="preserve"> </w:t>
      </w:r>
      <w:r w:rsidR="00DF44C8" w:rsidRPr="008D6E5C">
        <w:rPr>
          <w:rFonts w:ascii="Cambria" w:hAnsi="Cambria"/>
          <w:sz w:val="20"/>
          <w:szCs w:val="20"/>
        </w:rPr>
        <w:t>the Commission</w:t>
      </w:r>
      <w:r w:rsidR="00FC5DC8" w:rsidRPr="008D6E5C">
        <w:rPr>
          <w:rFonts w:ascii="Cambria" w:hAnsi="Cambria"/>
          <w:sz w:val="20"/>
          <w:szCs w:val="20"/>
        </w:rPr>
        <w:t xml:space="preserve"> </w:t>
      </w:r>
      <w:r w:rsidRPr="008D6E5C">
        <w:rPr>
          <w:rFonts w:ascii="Cambria" w:hAnsi="Cambria"/>
          <w:sz w:val="20"/>
          <w:szCs w:val="20"/>
        </w:rPr>
        <w:t>addressed the violation of the right to</w:t>
      </w:r>
      <w:r w:rsidR="00FC5DC8" w:rsidRPr="008D6E5C">
        <w:rPr>
          <w:rFonts w:ascii="Cambria" w:hAnsi="Cambria"/>
          <w:sz w:val="20"/>
          <w:szCs w:val="20"/>
        </w:rPr>
        <w:t xml:space="preserve"> </w:t>
      </w:r>
      <w:r w:rsidR="0003360B" w:rsidRPr="008D6E5C">
        <w:rPr>
          <w:rFonts w:ascii="Cambria" w:hAnsi="Cambria"/>
          <w:sz w:val="20"/>
          <w:szCs w:val="20"/>
        </w:rPr>
        <w:t>freedom of expression</w:t>
      </w:r>
      <w:r w:rsidR="00FC5DC8" w:rsidRPr="008D6E5C">
        <w:rPr>
          <w:rFonts w:ascii="Cambria" w:hAnsi="Cambria"/>
          <w:sz w:val="20"/>
          <w:szCs w:val="20"/>
        </w:rPr>
        <w:t xml:space="preserve"> </w:t>
      </w:r>
      <w:r w:rsidRPr="008D6E5C">
        <w:rPr>
          <w:rFonts w:ascii="Cambria" w:hAnsi="Cambria"/>
          <w:sz w:val="20"/>
          <w:szCs w:val="20"/>
        </w:rPr>
        <w:t>with respect to the murder of journalists</w:t>
      </w:r>
      <w:r w:rsidR="00FC5DC8" w:rsidRPr="008D6E5C">
        <w:rPr>
          <w:rFonts w:ascii="Cambria" w:hAnsi="Cambria"/>
          <w:sz w:val="20"/>
          <w:szCs w:val="20"/>
        </w:rPr>
        <w:t xml:space="preserve">, </w:t>
      </w:r>
      <w:r w:rsidRPr="008D6E5C">
        <w:rPr>
          <w:rFonts w:ascii="Cambria" w:hAnsi="Cambria"/>
          <w:sz w:val="20"/>
          <w:szCs w:val="20"/>
        </w:rPr>
        <w:t>even though it was not possible to establish the responsibility of</w:t>
      </w:r>
      <w:r w:rsidR="00FC5DC8" w:rsidRPr="008D6E5C">
        <w:rPr>
          <w:rFonts w:ascii="Cambria" w:hAnsi="Cambria"/>
          <w:sz w:val="20"/>
          <w:szCs w:val="20"/>
        </w:rPr>
        <w:t xml:space="preserve"> </w:t>
      </w:r>
      <w:r w:rsidR="00550B54" w:rsidRPr="008D6E5C">
        <w:rPr>
          <w:rFonts w:ascii="Cambria" w:hAnsi="Cambria"/>
          <w:sz w:val="20"/>
          <w:szCs w:val="20"/>
        </w:rPr>
        <w:t>State agents</w:t>
      </w:r>
      <w:r w:rsidR="00FC5DC8" w:rsidRPr="008D6E5C">
        <w:rPr>
          <w:rFonts w:ascii="Cambria" w:hAnsi="Cambria"/>
          <w:sz w:val="20"/>
          <w:szCs w:val="20"/>
        </w:rPr>
        <w:t xml:space="preserve"> </w:t>
      </w:r>
      <w:r w:rsidRPr="008D6E5C">
        <w:rPr>
          <w:rFonts w:ascii="Cambria" w:hAnsi="Cambria"/>
          <w:sz w:val="20"/>
          <w:szCs w:val="20"/>
        </w:rPr>
        <w:t>for the violation</w:t>
      </w:r>
      <w:r w:rsidR="00FC5DC8" w:rsidRPr="008D6E5C">
        <w:rPr>
          <w:rFonts w:ascii="Cambria" w:hAnsi="Cambria"/>
          <w:sz w:val="20"/>
          <w:szCs w:val="20"/>
        </w:rPr>
        <w:t xml:space="preserve"> </w:t>
      </w:r>
      <w:r w:rsidR="004B0168" w:rsidRPr="008D6E5C">
        <w:rPr>
          <w:rFonts w:ascii="Cambria" w:hAnsi="Cambria"/>
          <w:sz w:val="20"/>
          <w:szCs w:val="20"/>
        </w:rPr>
        <w:t>of the right to life</w:t>
      </w:r>
      <w:r w:rsidR="0053167E" w:rsidRPr="008D6E5C">
        <w:rPr>
          <w:rFonts w:ascii="Cambria" w:hAnsi="Cambria"/>
          <w:sz w:val="20"/>
          <w:szCs w:val="20"/>
        </w:rPr>
        <w:t>.</w:t>
      </w:r>
      <w:r w:rsidR="00FC5DC8" w:rsidRPr="008D6E5C">
        <w:rPr>
          <w:rStyle w:val="FootnoteReference"/>
          <w:rFonts w:ascii="Cambria" w:hAnsi="Cambria"/>
          <w:sz w:val="20"/>
          <w:szCs w:val="20"/>
        </w:rPr>
        <w:footnoteReference w:id="131"/>
      </w:r>
      <w:r w:rsidR="00FC5DC8" w:rsidRPr="008D6E5C">
        <w:rPr>
          <w:rFonts w:ascii="Cambria" w:hAnsi="Cambria"/>
          <w:sz w:val="20"/>
          <w:szCs w:val="20"/>
        </w:rPr>
        <w:t xml:space="preserve"> </w:t>
      </w:r>
      <w:r w:rsidR="0053167E" w:rsidRPr="008D6E5C">
        <w:rPr>
          <w:rFonts w:ascii="Cambria" w:hAnsi="Cambria"/>
          <w:sz w:val="20"/>
          <w:szCs w:val="20"/>
        </w:rPr>
        <w:t xml:space="preserve">In these </w:t>
      </w:r>
      <w:r w:rsidRPr="008D6E5C">
        <w:rPr>
          <w:rFonts w:ascii="Cambria" w:hAnsi="Cambria"/>
          <w:sz w:val="20"/>
          <w:szCs w:val="20"/>
        </w:rPr>
        <w:t>opinions</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0053167E" w:rsidRPr="008D6E5C">
        <w:rPr>
          <w:rFonts w:ascii="Cambria" w:hAnsi="Cambria"/>
          <w:sz w:val="20"/>
          <w:szCs w:val="20"/>
        </w:rPr>
        <w:t>established that the</w:t>
      </w:r>
      <w:r w:rsidR="00FC5DC8" w:rsidRPr="008D6E5C">
        <w:rPr>
          <w:rFonts w:ascii="Cambria" w:hAnsi="Cambria"/>
          <w:sz w:val="20"/>
          <w:szCs w:val="20"/>
        </w:rPr>
        <w:t xml:space="preserve"> </w:t>
      </w:r>
      <w:r w:rsidR="0053167E" w:rsidRPr="008D6E5C">
        <w:rPr>
          <w:rFonts w:ascii="Cambria" w:hAnsi="Cambria"/>
          <w:sz w:val="20"/>
          <w:szCs w:val="20"/>
        </w:rPr>
        <w:t>failure to conduct an exhaustive investigation</w:t>
      </w:r>
      <w:r w:rsidRPr="008D6E5C">
        <w:rPr>
          <w:rFonts w:ascii="Cambria" w:hAnsi="Cambria"/>
          <w:sz w:val="20"/>
          <w:szCs w:val="20"/>
        </w:rPr>
        <w:t xml:space="preserve"> that leads to criminal penalties against all persons responsible for the murder of a journalist is also a violation of the</w:t>
      </w:r>
      <w:r w:rsidR="00FC5DC8" w:rsidRPr="008D6E5C">
        <w:rPr>
          <w:rFonts w:ascii="Cambria" w:hAnsi="Cambria"/>
          <w:sz w:val="20"/>
          <w:szCs w:val="20"/>
        </w:rPr>
        <w:t xml:space="preserve"> </w:t>
      </w:r>
      <w:r w:rsidRPr="008D6E5C">
        <w:rPr>
          <w:rFonts w:ascii="Cambria" w:hAnsi="Cambria"/>
          <w:sz w:val="20"/>
          <w:szCs w:val="20"/>
        </w:rPr>
        <w:t>right to freedom</w:t>
      </w:r>
      <w:r w:rsidR="0003360B" w:rsidRPr="008D6E5C">
        <w:rPr>
          <w:rFonts w:ascii="Cambria" w:hAnsi="Cambria"/>
          <w:sz w:val="20"/>
          <w:szCs w:val="20"/>
        </w:rPr>
        <w:t xml:space="preserve"> of expression</w:t>
      </w:r>
      <w:r w:rsidR="00FC5DC8" w:rsidRPr="008D6E5C">
        <w:rPr>
          <w:rFonts w:ascii="Cambria" w:hAnsi="Cambria"/>
          <w:sz w:val="20"/>
          <w:szCs w:val="20"/>
        </w:rPr>
        <w:t xml:space="preserve">, </w:t>
      </w:r>
      <w:r w:rsidRPr="008D6E5C">
        <w:rPr>
          <w:rFonts w:ascii="Cambria" w:hAnsi="Cambria"/>
          <w:sz w:val="20"/>
          <w:szCs w:val="20"/>
        </w:rPr>
        <w:t>because of the</w:t>
      </w:r>
      <w:r w:rsidR="00FC5DC8" w:rsidRPr="008D6E5C">
        <w:rPr>
          <w:rFonts w:ascii="Cambria" w:hAnsi="Cambria"/>
          <w:sz w:val="20"/>
          <w:szCs w:val="20"/>
        </w:rPr>
        <w:t xml:space="preserve"> </w:t>
      </w:r>
      <w:r w:rsidRPr="008D6E5C">
        <w:rPr>
          <w:rFonts w:ascii="Cambria" w:hAnsi="Cambria"/>
          <w:sz w:val="20"/>
          <w:szCs w:val="20"/>
        </w:rPr>
        <w:t>chilling effect</w:t>
      </w:r>
      <w:r w:rsidR="00FC5DC8" w:rsidRPr="008D6E5C">
        <w:rPr>
          <w:rFonts w:ascii="Cambria" w:hAnsi="Cambria"/>
          <w:sz w:val="20"/>
          <w:szCs w:val="20"/>
        </w:rPr>
        <w:t xml:space="preserve"> </w:t>
      </w:r>
      <w:r w:rsidRPr="008D6E5C">
        <w:rPr>
          <w:rFonts w:ascii="Cambria" w:hAnsi="Cambria"/>
          <w:sz w:val="20"/>
          <w:szCs w:val="20"/>
        </w:rPr>
        <w:t xml:space="preserve">impunity has on all of society. </w:t>
      </w:r>
    </w:p>
    <w:p w:rsidR="00FC5DC8" w:rsidRPr="008D6E5C" w:rsidRDefault="00FC5DC8" w:rsidP="001520DB">
      <w:pPr>
        <w:pStyle w:val="ListParagraph"/>
        <w:rPr>
          <w:bCs/>
          <w:sz w:val="20"/>
          <w:szCs w:val="20"/>
        </w:rPr>
      </w:pPr>
    </w:p>
    <w:p w:rsidR="00FC5DC8" w:rsidRPr="008D6E5C" w:rsidRDefault="007E1F76"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w:t>
      </w:r>
      <w:r w:rsidR="00DF44C8" w:rsidRPr="008D6E5C">
        <w:rPr>
          <w:rFonts w:ascii="Cambria" w:hAnsi="Cambria"/>
          <w:bCs/>
          <w:sz w:val="20"/>
          <w:szCs w:val="20"/>
        </w:rPr>
        <w:t xml:space="preserve"> IACHR</w:t>
      </w:r>
      <w:r w:rsidR="00FC5DC8" w:rsidRPr="008D6E5C">
        <w:rPr>
          <w:rFonts w:ascii="Cambria" w:hAnsi="Cambria"/>
          <w:bCs/>
          <w:sz w:val="20"/>
          <w:szCs w:val="20"/>
        </w:rPr>
        <w:t xml:space="preserve"> </w:t>
      </w:r>
      <w:r w:rsidRPr="008D6E5C">
        <w:rPr>
          <w:rFonts w:ascii="Cambria" w:hAnsi="Cambria"/>
          <w:bCs/>
          <w:sz w:val="20"/>
          <w:szCs w:val="20"/>
        </w:rPr>
        <w:t>affirmed that this</w:t>
      </w:r>
      <w:r w:rsidR="00FC5DC8" w:rsidRPr="008D6E5C">
        <w:rPr>
          <w:rFonts w:ascii="Cambria" w:hAnsi="Cambria"/>
          <w:bCs/>
          <w:sz w:val="20"/>
          <w:szCs w:val="20"/>
        </w:rPr>
        <w:t xml:space="preserve"> </w:t>
      </w:r>
      <w:r w:rsidR="00EF5F24" w:rsidRPr="008D6E5C">
        <w:rPr>
          <w:rFonts w:ascii="Cambria" w:hAnsi="Cambria"/>
          <w:bCs/>
          <w:sz w:val="20"/>
          <w:szCs w:val="20"/>
        </w:rPr>
        <w:t>chilling effect</w:t>
      </w:r>
      <w:r w:rsidR="00FC5DC8" w:rsidRPr="008D6E5C">
        <w:rPr>
          <w:rFonts w:ascii="Cambria" w:hAnsi="Cambria"/>
          <w:bCs/>
          <w:sz w:val="20"/>
          <w:szCs w:val="20"/>
        </w:rPr>
        <w:t xml:space="preserve"> </w:t>
      </w:r>
      <w:r w:rsidRPr="008D6E5C">
        <w:rPr>
          <w:rFonts w:ascii="Cambria" w:hAnsi="Cambria"/>
          <w:bCs/>
          <w:sz w:val="20"/>
          <w:szCs w:val="20"/>
        </w:rPr>
        <w:t>can only be prevented</w:t>
      </w:r>
      <w:r w:rsidR="00FC5DC8" w:rsidRPr="008D6E5C">
        <w:rPr>
          <w:rFonts w:ascii="Cambria" w:hAnsi="Cambria"/>
          <w:bCs/>
          <w:sz w:val="20"/>
          <w:szCs w:val="20"/>
        </w:rPr>
        <w:t xml:space="preserve"> “</w:t>
      </w:r>
      <w:r w:rsidR="00D5248B" w:rsidRPr="008D6E5C">
        <w:rPr>
          <w:rFonts w:ascii="Cambria" w:hAnsi="Cambria"/>
          <w:bCs/>
          <w:sz w:val="20"/>
          <w:szCs w:val="20"/>
        </w:rPr>
        <w:t>by swift action on the part of the State to punish all perpetrators, as is its duty under international and domestic law</w:t>
      </w:r>
      <w:r w:rsidR="0053167E"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32"/>
      </w:r>
      <w:r w:rsidR="00FC5DC8" w:rsidRPr="008D6E5C">
        <w:rPr>
          <w:rFonts w:ascii="Cambria" w:hAnsi="Cambria"/>
          <w:bCs/>
          <w:sz w:val="20"/>
          <w:szCs w:val="20"/>
        </w:rPr>
        <w:t xml:space="preserve"> </w:t>
      </w:r>
      <w:r w:rsidR="0053167E" w:rsidRPr="008D6E5C">
        <w:rPr>
          <w:rFonts w:ascii="Cambria" w:hAnsi="Cambria"/>
          <w:bCs/>
          <w:sz w:val="20"/>
          <w:szCs w:val="20"/>
        </w:rPr>
        <w:t>In that respect</w:t>
      </w:r>
      <w:r w:rsidR="00FC5DC8" w:rsidRPr="008D6E5C">
        <w:rPr>
          <w:rFonts w:ascii="Cambria" w:hAnsi="Cambria"/>
          <w:bCs/>
          <w:sz w:val="20"/>
          <w:szCs w:val="20"/>
        </w:rPr>
        <w:t xml:space="preserve">, </w:t>
      </w:r>
      <w:r w:rsidR="0053167E" w:rsidRPr="008D6E5C">
        <w:rPr>
          <w:rFonts w:ascii="Cambria" w:hAnsi="Cambria"/>
          <w:sz w:val="20"/>
          <w:szCs w:val="20"/>
        </w:rPr>
        <w:t>it concluded that the murder of journalists</w:t>
      </w:r>
      <w:r w:rsidR="00FC5DC8" w:rsidRPr="008D6E5C">
        <w:rPr>
          <w:rFonts w:ascii="Cambria" w:hAnsi="Cambria"/>
          <w:sz w:val="20"/>
          <w:szCs w:val="20"/>
        </w:rPr>
        <w:t xml:space="preserve"> </w:t>
      </w:r>
      <w:r w:rsidRPr="008D6E5C">
        <w:rPr>
          <w:rFonts w:ascii="Cambria" w:hAnsi="Cambria"/>
          <w:sz w:val="20"/>
          <w:szCs w:val="20"/>
        </w:rPr>
        <w:t>was</w:t>
      </w:r>
      <w:r w:rsidR="00FC5DC8" w:rsidRPr="008D6E5C">
        <w:rPr>
          <w:rFonts w:ascii="Cambria" w:hAnsi="Cambria"/>
          <w:sz w:val="20"/>
          <w:szCs w:val="20"/>
        </w:rPr>
        <w:t xml:space="preserve"> “</w:t>
      </w:r>
      <w:r w:rsidR="00D5248B" w:rsidRPr="008D6E5C">
        <w:rPr>
          <w:rFonts w:ascii="Cambria" w:hAnsi="Cambria"/>
          <w:sz w:val="20"/>
          <w:szCs w:val="20"/>
        </w:rPr>
        <w:t>an aggression against all citizens inclined to denounce arbitrary acts and abuses to society, aggravated by the impunity of [its] perpetrators</w:t>
      </w:r>
      <w:r w:rsidR="0053167E" w:rsidRPr="008D6E5C">
        <w:rPr>
          <w:rFonts w:ascii="Cambria" w:hAnsi="Cambria"/>
          <w:sz w:val="20"/>
          <w:szCs w:val="20"/>
        </w:rPr>
        <w:t>.</w:t>
      </w:r>
      <w:r w:rsidR="00FC5DC8" w:rsidRPr="008D6E5C">
        <w:rPr>
          <w:rFonts w:ascii="Cambria" w:hAnsi="Cambria"/>
          <w:sz w:val="20"/>
          <w:szCs w:val="20"/>
        </w:rPr>
        <w:t>”</w:t>
      </w:r>
      <w:r w:rsidR="00FC5DC8" w:rsidRPr="008D6E5C">
        <w:rPr>
          <w:rStyle w:val="FootnoteReference"/>
          <w:rFonts w:ascii="Cambria" w:hAnsi="Cambria"/>
          <w:sz w:val="20"/>
          <w:szCs w:val="20"/>
        </w:rPr>
        <w:footnoteReference w:id="133"/>
      </w:r>
    </w:p>
    <w:p w:rsidR="00FC5DC8" w:rsidRPr="008D6E5C" w:rsidRDefault="00FC5DC8" w:rsidP="001520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bCs/>
          <w:sz w:val="20"/>
          <w:szCs w:val="20"/>
        </w:rPr>
      </w:pPr>
    </w:p>
    <w:p w:rsidR="00FC5DC8" w:rsidRPr="008D6E5C" w:rsidRDefault="00A010E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The failure to punish these types of acts encourages the repetition of similar violent acts and can result in the silencing and self-censorship of journalists.</w:t>
      </w:r>
      <w:r w:rsidR="00FC5DC8" w:rsidRPr="008D6E5C">
        <w:rPr>
          <w:rFonts w:ascii="Cambria" w:hAnsi="Cambria"/>
          <w:bCs/>
          <w:sz w:val="20"/>
          <w:szCs w:val="20"/>
          <w:vertAlign w:val="superscript"/>
        </w:rPr>
        <w:footnoteReference w:id="134"/>
      </w:r>
      <w:r w:rsidR="00FC5DC8" w:rsidRPr="008D6E5C">
        <w:rPr>
          <w:rFonts w:ascii="Cambria" w:hAnsi="Cambria"/>
          <w:bCs/>
          <w:sz w:val="20"/>
          <w:szCs w:val="20"/>
        </w:rPr>
        <w:t xml:space="preserve"> </w:t>
      </w:r>
      <w:r w:rsidRPr="008D6E5C">
        <w:rPr>
          <w:rFonts w:ascii="Cambria" w:hAnsi="Cambria"/>
          <w:bCs/>
          <w:sz w:val="20"/>
          <w:szCs w:val="20"/>
        </w:rPr>
        <w:t>Impunity has a strong chilling effect on</w:t>
      </w:r>
      <w:r w:rsidR="00FC5DC8" w:rsidRPr="008D6E5C">
        <w:rPr>
          <w:rFonts w:ascii="Cambria" w:hAnsi="Cambria"/>
          <w:bCs/>
          <w:sz w:val="20"/>
          <w:szCs w:val="20"/>
        </w:rPr>
        <w:t xml:space="preserve"> </w:t>
      </w:r>
      <w:r w:rsidR="0003360B" w:rsidRPr="008D6E5C">
        <w:rPr>
          <w:rFonts w:ascii="Cambria" w:hAnsi="Cambria"/>
          <w:bCs/>
          <w:sz w:val="20"/>
          <w:szCs w:val="20"/>
        </w:rPr>
        <w:t>the exercise of freedom of expression</w:t>
      </w:r>
      <w:r w:rsidRPr="008D6E5C">
        <w:rPr>
          <w:rFonts w:ascii="Cambria" w:hAnsi="Cambria"/>
          <w:bCs/>
          <w:sz w:val="20"/>
          <w:szCs w:val="20"/>
        </w:rPr>
        <w:t>,</w:t>
      </w:r>
      <w:r w:rsidR="00FC5DC8" w:rsidRPr="008D6E5C">
        <w:rPr>
          <w:rFonts w:ascii="Cambria" w:hAnsi="Cambria"/>
          <w:bCs/>
          <w:sz w:val="20"/>
          <w:szCs w:val="20"/>
        </w:rPr>
        <w:t xml:space="preserve"> </w:t>
      </w:r>
      <w:r w:rsidRPr="008D6E5C">
        <w:rPr>
          <w:rFonts w:ascii="Cambria" w:hAnsi="Cambria"/>
          <w:bCs/>
          <w:sz w:val="20"/>
          <w:szCs w:val="20"/>
        </w:rPr>
        <w:t xml:space="preserve">and the consequences </w:t>
      </w:r>
      <w:proofErr w:type="gramStart"/>
      <w:r w:rsidRPr="008D6E5C">
        <w:rPr>
          <w:rFonts w:ascii="Cambria" w:hAnsi="Cambria"/>
          <w:bCs/>
          <w:sz w:val="20"/>
          <w:szCs w:val="20"/>
        </w:rPr>
        <w:t>for democracy—which depends upon the free, open, and dynamic exchange of information—are</w:t>
      </w:r>
      <w:proofErr w:type="gramEnd"/>
      <w:r w:rsidRPr="008D6E5C">
        <w:rPr>
          <w:rFonts w:ascii="Cambria" w:hAnsi="Cambria"/>
          <w:bCs/>
          <w:sz w:val="20"/>
          <w:szCs w:val="20"/>
        </w:rPr>
        <w:t xml:space="preserve"> particularly serious.</w:t>
      </w:r>
      <w:r w:rsidR="00FC5DC8" w:rsidRPr="008D6E5C">
        <w:rPr>
          <w:rFonts w:ascii="Cambria" w:hAnsi="Cambria"/>
          <w:bCs/>
          <w:sz w:val="20"/>
          <w:szCs w:val="20"/>
          <w:vertAlign w:val="superscript"/>
        </w:rPr>
        <w:footnoteReference w:id="135"/>
      </w:r>
    </w:p>
    <w:p w:rsidR="00FC5DC8" w:rsidRPr="008D6E5C" w:rsidRDefault="00FC5DC8" w:rsidP="001520DB">
      <w:pPr>
        <w:pStyle w:val="ListParagraph"/>
        <w:rPr>
          <w:bCs/>
          <w:sz w:val="20"/>
          <w:szCs w:val="20"/>
        </w:rPr>
      </w:pPr>
    </w:p>
    <w:p w:rsidR="00FC5DC8" w:rsidRPr="008D6E5C" w:rsidRDefault="0053167E"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T</w:t>
      </w:r>
      <w:r w:rsidR="004B0168" w:rsidRPr="008D6E5C">
        <w:rPr>
          <w:rFonts w:ascii="Cambria" w:hAnsi="Cambria"/>
          <w:bCs/>
          <w:sz w:val="20"/>
          <w:szCs w:val="20"/>
        </w:rPr>
        <w:t>he Inter-American Court</w:t>
      </w:r>
      <w:r w:rsidR="00FC5DC8" w:rsidRPr="008D6E5C">
        <w:rPr>
          <w:rFonts w:ascii="Cambria" w:hAnsi="Cambria"/>
          <w:bCs/>
          <w:sz w:val="20"/>
          <w:szCs w:val="20"/>
        </w:rPr>
        <w:t xml:space="preserve"> </w:t>
      </w:r>
      <w:r w:rsidRPr="008D6E5C">
        <w:rPr>
          <w:rFonts w:ascii="Cambria" w:hAnsi="Cambria"/>
          <w:bCs/>
          <w:sz w:val="20"/>
          <w:szCs w:val="20"/>
        </w:rPr>
        <w:t>has also referred to</w:t>
      </w:r>
      <w:r w:rsidR="00FC5DC8" w:rsidRPr="008D6E5C">
        <w:rPr>
          <w:rFonts w:ascii="Cambria" w:hAnsi="Cambria"/>
          <w:bCs/>
          <w:sz w:val="20"/>
          <w:szCs w:val="20"/>
        </w:rPr>
        <w:t xml:space="preserve"> </w:t>
      </w:r>
      <w:r w:rsidR="00EF5F24" w:rsidRPr="008D6E5C">
        <w:rPr>
          <w:rFonts w:ascii="Cambria" w:hAnsi="Cambria"/>
          <w:bCs/>
          <w:sz w:val="20"/>
          <w:szCs w:val="20"/>
        </w:rPr>
        <w:t>the chilling effect</w:t>
      </w:r>
      <w:r w:rsidR="00FC5DC8" w:rsidRPr="008D6E5C">
        <w:rPr>
          <w:rFonts w:ascii="Cambria" w:hAnsi="Cambria"/>
          <w:bCs/>
          <w:sz w:val="20"/>
          <w:szCs w:val="20"/>
        </w:rPr>
        <w:t xml:space="preserve"> </w:t>
      </w:r>
      <w:r w:rsidR="00EF5F24" w:rsidRPr="008D6E5C">
        <w:rPr>
          <w:rFonts w:ascii="Cambria" w:hAnsi="Cambria"/>
          <w:bCs/>
          <w:sz w:val="20"/>
          <w:szCs w:val="20"/>
        </w:rPr>
        <w:t>that</w:t>
      </w:r>
      <w:r w:rsidR="00FC5DC8" w:rsidRPr="008D6E5C">
        <w:rPr>
          <w:rFonts w:ascii="Cambria" w:hAnsi="Cambria"/>
          <w:bCs/>
          <w:sz w:val="20"/>
          <w:szCs w:val="20"/>
        </w:rPr>
        <w:t xml:space="preserve"> </w:t>
      </w:r>
      <w:r w:rsidR="00EF5F24" w:rsidRPr="008D6E5C">
        <w:rPr>
          <w:rFonts w:ascii="Cambria" w:hAnsi="Cambria"/>
          <w:bCs/>
          <w:sz w:val="20"/>
          <w:szCs w:val="20"/>
        </w:rPr>
        <w:t>crimes against journalists</w:t>
      </w:r>
      <w:r w:rsidR="00FC5DC8" w:rsidRPr="008D6E5C">
        <w:rPr>
          <w:rFonts w:ascii="Cambria" w:hAnsi="Cambria"/>
          <w:bCs/>
          <w:sz w:val="20"/>
          <w:szCs w:val="20"/>
        </w:rPr>
        <w:t xml:space="preserve"> </w:t>
      </w:r>
      <w:r w:rsidR="00EF5F24" w:rsidRPr="008D6E5C">
        <w:rPr>
          <w:rFonts w:ascii="Cambria" w:hAnsi="Cambria"/>
          <w:bCs/>
          <w:sz w:val="20"/>
          <w:szCs w:val="20"/>
        </w:rPr>
        <w:t>have on other media professionals as well as on the citizens who want to report abuses of power or unlawful acts of any kind</w:t>
      </w:r>
      <w:r w:rsidRPr="008D6E5C">
        <w:rPr>
          <w:rFonts w:ascii="Cambria" w:hAnsi="Cambria"/>
          <w:bCs/>
          <w:sz w:val="20"/>
          <w:szCs w:val="20"/>
        </w:rPr>
        <w:t>.</w:t>
      </w:r>
      <w:r w:rsidR="00FC5DC8" w:rsidRPr="008D6E5C">
        <w:rPr>
          <w:rFonts w:ascii="Cambria" w:hAnsi="Cambria"/>
          <w:bCs/>
          <w:sz w:val="20"/>
          <w:szCs w:val="20"/>
          <w:vertAlign w:val="superscript"/>
        </w:rPr>
        <w:footnoteReference w:id="136"/>
      </w:r>
      <w:r w:rsidR="00FC5DC8"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232085"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The bodies of the</w:t>
      </w:r>
      <w:r w:rsidR="00FC5DC8" w:rsidRPr="008D6E5C">
        <w:rPr>
          <w:rFonts w:ascii="Cambria" w:hAnsi="Cambria"/>
          <w:bCs/>
          <w:sz w:val="20"/>
          <w:szCs w:val="20"/>
        </w:rPr>
        <w:t xml:space="preserve"> </w:t>
      </w:r>
      <w:r w:rsidR="0003360B" w:rsidRPr="008D6E5C">
        <w:rPr>
          <w:rFonts w:ascii="Cambria" w:hAnsi="Cambria"/>
          <w:bCs/>
          <w:sz w:val="20"/>
          <w:szCs w:val="20"/>
        </w:rPr>
        <w:t>Inter-American system</w:t>
      </w:r>
      <w:r w:rsidR="00FC5DC8" w:rsidRPr="008D6E5C">
        <w:rPr>
          <w:rFonts w:ascii="Cambria" w:hAnsi="Cambria"/>
          <w:bCs/>
          <w:sz w:val="20"/>
          <w:szCs w:val="20"/>
        </w:rPr>
        <w:t xml:space="preserve"> ha</w:t>
      </w:r>
      <w:r w:rsidRPr="008D6E5C">
        <w:rPr>
          <w:rFonts w:ascii="Cambria" w:hAnsi="Cambria"/>
          <w:bCs/>
          <w:sz w:val="20"/>
          <w:szCs w:val="20"/>
        </w:rPr>
        <w:t xml:space="preserve">ve recognized that the duty to investigate, prosecute, and, if appropriate, punish the </w:t>
      </w:r>
      <w:r w:rsidR="0012782E" w:rsidRPr="008D6E5C">
        <w:rPr>
          <w:rFonts w:ascii="Cambria" w:hAnsi="Cambria"/>
          <w:bCs/>
          <w:sz w:val="20"/>
          <w:szCs w:val="20"/>
        </w:rPr>
        <w:t>perpetrators</w:t>
      </w:r>
      <w:r w:rsidR="00FC5DC8" w:rsidRPr="008D6E5C">
        <w:rPr>
          <w:rFonts w:ascii="Cambria" w:hAnsi="Cambria"/>
          <w:bCs/>
          <w:sz w:val="20"/>
          <w:szCs w:val="20"/>
        </w:rPr>
        <w:t xml:space="preserve"> </w:t>
      </w:r>
      <w:r w:rsidRPr="008D6E5C">
        <w:rPr>
          <w:rFonts w:ascii="Cambria" w:hAnsi="Cambria"/>
          <w:bCs/>
          <w:sz w:val="20"/>
          <w:szCs w:val="20"/>
        </w:rPr>
        <w:t>of a human rights violation</w:t>
      </w:r>
      <w:r w:rsidR="00FC5DC8" w:rsidRPr="008D6E5C">
        <w:rPr>
          <w:rFonts w:ascii="Cambria" w:hAnsi="Cambria"/>
          <w:bCs/>
          <w:sz w:val="20"/>
          <w:szCs w:val="20"/>
        </w:rPr>
        <w:t xml:space="preserve"> </w:t>
      </w:r>
      <w:r w:rsidRPr="008D6E5C">
        <w:rPr>
          <w:rFonts w:ascii="Cambria" w:hAnsi="Cambria"/>
          <w:bCs/>
          <w:sz w:val="20"/>
          <w:szCs w:val="20"/>
        </w:rPr>
        <w:t>is an obligation of means, not of ends</w:t>
      </w:r>
      <w:r w:rsidR="00FC5DC8" w:rsidRPr="008D6E5C">
        <w:rPr>
          <w:rFonts w:ascii="Cambria" w:hAnsi="Cambria"/>
          <w:bCs/>
          <w:sz w:val="20"/>
          <w:szCs w:val="20"/>
        </w:rPr>
        <w:t xml:space="preserve">. </w:t>
      </w:r>
      <w:r w:rsidRPr="008D6E5C">
        <w:rPr>
          <w:rFonts w:ascii="Cambria" w:hAnsi="Cambria"/>
          <w:bCs/>
          <w:sz w:val="20"/>
          <w:szCs w:val="20"/>
        </w:rPr>
        <w:t xml:space="preserve">This means that the State does not incur </w:t>
      </w:r>
      <w:r w:rsidR="004073B4" w:rsidRPr="008D6E5C">
        <w:rPr>
          <w:rFonts w:ascii="Cambria" w:hAnsi="Cambria"/>
          <w:bCs/>
          <w:sz w:val="20"/>
          <w:szCs w:val="20"/>
        </w:rPr>
        <w:t>international responsibility</w:t>
      </w:r>
      <w:r w:rsidR="00FC5DC8" w:rsidRPr="008D6E5C">
        <w:rPr>
          <w:rFonts w:ascii="Cambria" w:hAnsi="Cambria"/>
          <w:bCs/>
          <w:sz w:val="20"/>
          <w:szCs w:val="20"/>
        </w:rPr>
        <w:t xml:space="preserve"> “</w:t>
      </w:r>
      <w:r w:rsidR="00341D2A" w:rsidRPr="008D6E5C">
        <w:rPr>
          <w:rFonts w:ascii="Cambria" w:hAnsi="Cambria"/>
          <w:bCs/>
          <w:sz w:val="20"/>
          <w:szCs w:val="20"/>
        </w:rPr>
        <w:t>merely because the investigation does not produce a satisfactory result</w:t>
      </w:r>
      <w:r w:rsidRPr="008D6E5C">
        <w:rPr>
          <w:rFonts w:ascii="Cambria" w:hAnsi="Cambria"/>
          <w:bCs/>
          <w:sz w:val="20"/>
          <w:szCs w:val="20"/>
        </w:rPr>
        <w:t>.</w:t>
      </w:r>
      <w:r w:rsidR="00FC5DC8" w:rsidRPr="008D6E5C">
        <w:rPr>
          <w:rFonts w:ascii="Cambria" w:hAnsi="Cambria"/>
          <w:bCs/>
          <w:sz w:val="20"/>
          <w:szCs w:val="20"/>
        </w:rPr>
        <w:t>”</w:t>
      </w:r>
      <w:r w:rsidR="00FC5DC8" w:rsidRPr="008D6E5C">
        <w:rPr>
          <w:rStyle w:val="FootnoteReference"/>
          <w:rFonts w:ascii="Cambria" w:hAnsi="Cambria"/>
          <w:bCs/>
          <w:sz w:val="20"/>
          <w:szCs w:val="20"/>
        </w:rPr>
        <w:footnoteReference w:id="137"/>
      </w:r>
      <w:r w:rsidRPr="008D6E5C">
        <w:rPr>
          <w:rFonts w:ascii="Cambria" w:hAnsi="Cambria"/>
          <w:bCs/>
          <w:sz w:val="20"/>
          <w:szCs w:val="20"/>
        </w:rPr>
        <w:t xml:space="preserve"> Nevertheless</w:t>
      </w:r>
      <w:r w:rsidR="00FC5DC8" w:rsidRPr="008D6E5C">
        <w:rPr>
          <w:rFonts w:ascii="Cambria" w:hAnsi="Cambria"/>
          <w:bCs/>
          <w:sz w:val="20"/>
          <w:szCs w:val="20"/>
        </w:rPr>
        <w:t xml:space="preserve">, </w:t>
      </w:r>
      <w:r w:rsidRPr="008D6E5C">
        <w:rPr>
          <w:rFonts w:ascii="Cambria" w:hAnsi="Cambria"/>
          <w:bCs/>
          <w:sz w:val="20"/>
          <w:szCs w:val="20"/>
        </w:rPr>
        <w:t>they have reiterated that this obligation must be met in accordance with the principles derived from</w:t>
      </w:r>
      <w:r w:rsidR="004B0168" w:rsidRPr="008D6E5C">
        <w:rPr>
          <w:rFonts w:ascii="Cambria" w:hAnsi="Cambria"/>
          <w:bCs/>
          <w:sz w:val="20"/>
          <w:szCs w:val="20"/>
        </w:rPr>
        <w:t xml:space="preserve"> the American Convention</w:t>
      </w:r>
      <w:r w:rsidR="00FC5DC8" w:rsidRPr="008D6E5C">
        <w:rPr>
          <w:rFonts w:ascii="Cambria" w:hAnsi="Cambria"/>
          <w:bCs/>
          <w:sz w:val="20"/>
          <w:szCs w:val="20"/>
        </w:rPr>
        <w:t xml:space="preserve">. </w:t>
      </w:r>
      <w:bookmarkStart w:id="49" w:name="_Toc391653302"/>
      <w:bookmarkStart w:id="50" w:name="_Toc393560542"/>
    </w:p>
    <w:p w:rsidR="00FC5DC8" w:rsidRPr="008D6E5C" w:rsidRDefault="00FC5DC8" w:rsidP="001520DB">
      <w:pPr>
        <w:pStyle w:val="ListParagraph"/>
        <w:rPr>
          <w:bCs/>
          <w:sz w:val="20"/>
          <w:szCs w:val="20"/>
        </w:rPr>
      </w:pPr>
    </w:p>
    <w:p w:rsidR="00FC5DC8" w:rsidRPr="008D6E5C" w:rsidRDefault="0075778A"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meeting its obligation to</w:t>
      </w:r>
      <w:r w:rsidR="00FC5DC8" w:rsidRPr="008D6E5C">
        <w:rPr>
          <w:rFonts w:ascii="Cambria" w:hAnsi="Cambria"/>
          <w:bCs/>
          <w:sz w:val="20"/>
          <w:szCs w:val="20"/>
        </w:rPr>
        <w:t xml:space="preserve"> </w:t>
      </w:r>
      <w:r w:rsidRPr="008D6E5C">
        <w:rPr>
          <w:rFonts w:ascii="Cambria" w:hAnsi="Cambria"/>
          <w:bCs/>
          <w:sz w:val="20"/>
          <w:szCs w:val="20"/>
        </w:rPr>
        <w:t xml:space="preserve">investigate, prosecute, and, if appropriate, punish the </w:t>
      </w:r>
      <w:r w:rsidR="0012782E" w:rsidRPr="008D6E5C">
        <w:rPr>
          <w:rFonts w:ascii="Cambria" w:hAnsi="Cambria"/>
          <w:bCs/>
          <w:sz w:val="20"/>
          <w:szCs w:val="20"/>
        </w:rPr>
        <w:t>perpetrators</w:t>
      </w:r>
      <w:r w:rsidR="00FC5DC8" w:rsidRPr="008D6E5C">
        <w:rPr>
          <w:rFonts w:ascii="Cambria" w:hAnsi="Cambria"/>
          <w:bCs/>
          <w:sz w:val="20"/>
          <w:szCs w:val="20"/>
        </w:rPr>
        <w:t xml:space="preserve"> </w:t>
      </w:r>
      <w:r w:rsidRPr="008D6E5C">
        <w:rPr>
          <w:rFonts w:ascii="Cambria" w:hAnsi="Cambria"/>
          <w:bCs/>
          <w:sz w:val="20"/>
          <w:szCs w:val="20"/>
        </w:rPr>
        <w:t>of</w:t>
      </w:r>
      <w:r w:rsidR="00FC5DC8" w:rsidRPr="008D6E5C">
        <w:rPr>
          <w:rFonts w:ascii="Cambria" w:hAnsi="Cambria"/>
          <w:bCs/>
          <w:sz w:val="20"/>
          <w:szCs w:val="20"/>
        </w:rPr>
        <w:t xml:space="preserve"> </w:t>
      </w:r>
      <w:r w:rsidR="001E1AA7" w:rsidRPr="008D6E5C">
        <w:rPr>
          <w:rFonts w:ascii="Cambria" w:hAnsi="Cambria"/>
          <w:bCs/>
          <w:sz w:val="20"/>
          <w:szCs w:val="20"/>
        </w:rPr>
        <w:t>acts of violence</w:t>
      </w:r>
      <w:r w:rsidR="00FC5DC8" w:rsidRPr="008D6E5C">
        <w:rPr>
          <w:rFonts w:ascii="Cambria" w:hAnsi="Cambria"/>
          <w:bCs/>
          <w:sz w:val="20"/>
          <w:szCs w:val="20"/>
        </w:rPr>
        <w:t xml:space="preserve"> </w:t>
      </w:r>
      <w:r w:rsidRPr="008D6E5C">
        <w:rPr>
          <w:rFonts w:ascii="Cambria" w:hAnsi="Cambria"/>
          <w:bCs/>
          <w:sz w:val="20"/>
          <w:szCs w:val="20"/>
        </w:rPr>
        <w:t>committed against journalists on account of the exercise of their</w:t>
      </w:r>
      <w:r w:rsidR="00FC5DC8" w:rsidRPr="008D6E5C">
        <w:rPr>
          <w:rFonts w:ascii="Cambria" w:hAnsi="Cambria"/>
          <w:bCs/>
          <w:sz w:val="20"/>
          <w:szCs w:val="20"/>
        </w:rPr>
        <w:t xml:space="preserve"> </w:t>
      </w:r>
      <w:r w:rsidR="001E1AA7" w:rsidRPr="008D6E5C">
        <w:rPr>
          <w:rFonts w:ascii="Cambria" w:hAnsi="Cambria"/>
          <w:bCs/>
          <w:sz w:val="20"/>
          <w:szCs w:val="20"/>
        </w:rPr>
        <w:t>right to freedom</w:t>
      </w:r>
      <w:r w:rsidR="0003360B" w:rsidRPr="008D6E5C">
        <w:rPr>
          <w:rFonts w:ascii="Cambria" w:hAnsi="Cambria"/>
          <w:bCs/>
          <w:sz w:val="20"/>
          <w:szCs w:val="20"/>
        </w:rPr>
        <w:t xml:space="preserve"> of expression</w:t>
      </w:r>
      <w:r w:rsidR="00FC5DC8" w:rsidRPr="008D6E5C">
        <w:rPr>
          <w:rFonts w:ascii="Cambria" w:hAnsi="Cambria"/>
          <w:bCs/>
          <w:sz w:val="20"/>
          <w:szCs w:val="20"/>
        </w:rPr>
        <w:t xml:space="preserve">, </w:t>
      </w:r>
      <w:r w:rsidRPr="008D6E5C">
        <w:rPr>
          <w:rFonts w:ascii="Cambria" w:hAnsi="Cambria"/>
          <w:bCs/>
          <w:sz w:val="20"/>
          <w:szCs w:val="20"/>
        </w:rPr>
        <w:t xml:space="preserve">the States must emphasize certain specific obligations, including: </w:t>
      </w:r>
      <w:r w:rsidR="00FC5DC8" w:rsidRPr="008D6E5C">
        <w:rPr>
          <w:rFonts w:ascii="Cambria" w:hAnsi="Cambria"/>
          <w:bCs/>
          <w:sz w:val="20"/>
          <w:szCs w:val="20"/>
        </w:rPr>
        <w:t>(</w:t>
      </w:r>
      <w:proofErr w:type="spellStart"/>
      <w:r w:rsidR="00FC5DC8" w:rsidRPr="008D6E5C">
        <w:rPr>
          <w:rFonts w:ascii="Cambria" w:hAnsi="Cambria"/>
          <w:bCs/>
          <w:sz w:val="20"/>
          <w:szCs w:val="20"/>
        </w:rPr>
        <w:t>i</w:t>
      </w:r>
      <w:proofErr w:type="spellEnd"/>
      <w:r w:rsidR="00FC5DC8" w:rsidRPr="008D6E5C">
        <w:rPr>
          <w:rFonts w:ascii="Cambria" w:hAnsi="Cambria"/>
          <w:bCs/>
          <w:sz w:val="20"/>
          <w:szCs w:val="20"/>
        </w:rPr>
        <w:t xml:space="preserve">) </w:t>
      </w:r>
      <w:r w:rsidRPr="008D6E5C">
        <w:rPr>
          <w:rFonts w:ascii="Cambria" w:hAnsi="Cambria"/>
          <w:bCs/>
          <w:sz w:val="20"/>
          <w:szCs w:val="20"/>
        </w:rPr>
        <w:t xml:space="preserve">the obligation to adopt an adequate institutional framework that allows it to effectively investigate, prosecute, and punish acts of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(ii) </w:t>
      </w:r>
      <w:r w:rsidRPr="008D6E5C">
        <w:rPr>
          <w:rFonts w:ascii="Cambria" w:hAnsi="Cambria"/>
          <w:bCs/>
          <w:sz w:val="20"/>
          <w:szCs w:val="20"/>
        </w:rPr>
        <w:t>the obligation to act with</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 xml:space="preserve">and exhaust </w:t>
      </w:r>
      <w:r w:rsidR="00084FF9" w:rsidRPr="008D6E5C">
        <w:rPr>
          <w:rFonts w:ascii="Cambria" w:hAnsi="Cambria"/>
          <w:bCs/>
          <w:sz w:val="20"/>
          <w:szCs w:val="20"/>
        </w:rPr>
        <w:t>lines of investigation</w:t>
      </w:r>
      <w:r w:rsidR="00FC5DC8" w:rsidRPr="008D6E5C">
        <w:rPr>
          <w:rFonts w:ascii="Cambria" w:hAnsi="Cambria"/>
          <w:bCs/>
          <w:sz w:val="20"/>
          <w:szCs w:val="20"/>
        </w:rPr>
        <w:t xml:space="preserve"> </w:t>
      </w:r>
      <w:r w:rsidRPr="008D6E5C">
        <w:rPr>
          <w:rFonts w:ascii="Cambria" w:hAnsi="Cambria"/>
          <w:bCs/>
          <w:sz w:val="20"/>
          <w:szCs w:val="20"/>
        </w:rPr>
        <w:t>related to</w:t>
      </w:r>
      <w:r w:rsidR="00084FF9" w:rsidRPr="008D6E5C">
        <w:rPr>
          <w:rFonts w:ascii="Cambria" w:hAnsi="Cambria"/>
          <w:bCs/>
          <w:sz w:val="20"/>
          <w:szCs w:val="20"/>
        </w:rPr>
        <w:t xml:space="preserve"> the victim’s practice of journalism</w:t>
      </w:r>
      <w:r w:rsidR="00FC5DC8" w:rsidRPr="008D6E5C">
        <w:rPr>
          <w:rFonts w:ascii="Cambria" w:hAnsi="Cambria"/>
          <w:bCs/>
          <w:sz w:val="20"/>
          <w:szCs w:val="20"/>
        </w:rPr>
        <w:t xml:space="preserve">; (iii) </w:t>
      </w:r>
      <w:r w:rsidRPr="008D6E5C">
        <w:rPr>
          <w:rFonts w:ascii="Cambria" w:hAnsi="Cambria"/>
          <w:bCs/>
          <w:sz w:val="20"/>
          <w:szCs w:val="20"/>
        </w:rPr>
        <w:t xml:space="preserve">the obligation to </w:t>
      </w:r>
      <w:r w:rsidR="0012782E" w:rsidRPr="008D6E5C">
        <w:rPr>
          <w:rFonts w:ascii="Cambria" w:hAnsi="Cambria"/>
          <w:bCs/>
          <w:sz w:val="20"/>
          <w:szCs w:val="20"/>
        </w:rPr>
        <w:t>conduct</w:t>
      </w:r>
      <w:r w:rsidRPr="008D6E5C">
        <w:rPr>
          <w:rFonts w:ascii="Cambria" w:hAnsi="Cambria"/>
          <w:bCs/>
          <w:sz w:val="20"/>
          <w:szCs w:val="20"/>
        </w:rPr>
        <w:t xml:space="preserve"> investigations within a reasonable period of time; and </w:t>
      </w:r>
      <w:r w:rsidR="00FC5DC8" w:rsidRPr="008D6E5C">
        <w:rPr>
          <w:rFonts w:ascii="Cambria" w:hAnsi="Cambria"/>
          <w:bCs/>
          <w:sz w:val="20"/>
          <w:szCs w:val="20"/>
        </w:rPr>
        <w:t xml:space="preserve">(iv) </w:t>
      </w:r>
      <w:r w:rsidRPr="008D6E5C">
        <w:rPr>
          <w:rFonts w:ascii="Cambria" w:hAnsi="Cambria"/>
          <w:bCs/>
          <w:sz w:val="20"/>
          <w:szCs w:val="20"/>
        </w:rPr>
        <w:t>the obligation to facilitate the participation of victims in the investigations</w:t>
      </w:r>
      <w:r w:rsidR="00EF5F24" w:rsidRPr="008D6E5C">
        <w:rPr>
          <w:rFonts w:ascii="Cambria" w:hAnsi="Cambria"/>
          <w:bCs/>
          <w:sz w:val="20"/>
          <w:szCs w:val="20"/>
        </w:rPr>
        <w:t>.</w:t>
      </w:r>
      <w:r w:rsidR="00FC5DC8" w:rsidRPr="008D6E5C">
        <w:rPr>
          <w:rFonts w:ascii="Cambria" w:hAnsi="Cambria"/>
          <w:bCs/>
          <w:sz w:val="20"/>
          <w:szCs w:val="20"/>
          <w:vertAlign w:val="superscript"/>
        </w:rPr>
        <w:footnoteReference w:id="138"/>
      </w:r>
    </w:p>
    <w:p w:rsidR="00FC5DC8" w:rsidRPr="008D6E5C" w:rsidRDefault="00FC5DC8" w:rsidP="001520DB">
      <w:pPr>
        <w:pStyle w:val="ListParagraph"/>
        <w:rPr>
          <w:bCs/>
          <w:sz w:val="20"/>
          <w:szCs w:val="20"/>
        </w:rPr>
      </w:pPr>
    </w:p>
    <w:p w:rsidR="00FC5DC8" w:rsidRPr="008D6E5C" w:rsidRDefault="00EF5F24" w:rsidP="001E4690">
      <w:pPr>
        <w:pStyle w:val="Heading3"/>
        <w:keepNext w:val="0"/>
        <w:keepLines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rPr>
          <w:szCs w:val="20"/>
        </w:rPr>
      </w:pPr>
      <w:bookmarkStart w:id="51" w:name="_Toc416880392"/>
      <w:r w:rsidRPr="008D6E5C">
        <w:rPr>
          <w:szCs w:val="20"/>
        </w:rPr>
        <w:t>Analysis of th</w:t>
      </w:r>
      <w:r w:rsidR="001E449B" w:rsidRPr="008D6E5C">
        <w:rPr>
          <w:szCs w:val="20"/>
        </w:rPr>
        <w:t>e</w:t>
      </w:r>
      <w:r w:rsidRPr="008D6E5C">
        <w:rPr>
          <w:szCs w:val="20"/>
        </w:rPr>
        <w:t xml:space="preserve"> case</w:t>
      </w:r>
      <w:bookmarkEnd w:id="51"/>
    </w:p>
    <w:p w:rsidR="00FC5DC8" w:rsidRPr="008D6E5C" w:rsidRDefault="00FC5DC8" w:rsidP="001520DB">
      <w:pPr>
        <w:pStyle w:val="ListParagraph"/>
        <w:ind w:left="1440"/>
        <w:rPr>
          <w:b/>
          <w:bCs/>
          <w:i/>
          <w:sz w:val="20"/>
          <w:szCs w:val="20"/>
        </w:rPr>
      </w:pPr>
    </w:p>
    <w:p w:rsidR="006F4FF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 Commission</w:t>
      </w:r>
      <w:r w:rsidR="00FC5DC8" w:rsidRPr="008D6E5C">
        <w:rPr>
          <w:rFonts w:ascii="Cambria" w:hAnsi="Cambria"/>
          <w:sz w:val="20"/>
          <w:szCs w:val="20"/>
        </w:rPr>
        <w:t xml:space="preserve"> </w:t>
      </w:r>
      <w:r w:rsidR="006D15DC" w:rsidRPr="008D6E5C">
        <w:rPr>
          <w:rFonts w:ascii="Cambria" w:hAnsi="Cambria"/>
          <w:sz w:val="20"/>
          <w:szCs w:val="20"/>
        </w:rPr>
        <w:t>considers that for purposes of examining the merits of this individual petition, there is sufficient and consistent</w:t>
      </w:r>
      <w:r w:rsidR="00FC5DC8" w:rsidRPr="008D6E5C">
        <w:rPr>
          <w:rFonts w:ascii="Cambria" w:hAnsi="Cambria"/>
          <w:sz w:val="20"/>
          <w:szCs w:val="20"/>
        </w:rPr>
        <w:t xml:space="preserve"> </w:t>
      </w:r>
      <w:r w:rsidR="0042463D" w:rsidRPr="008D6E5C">
        <w:rPr>
          <w:rFonts w:ascii="Cambria" w:hAnsi="Cambria"/>
          <w:sz w:val="20"/>
          <w:szCs w:val="20"/>
        </w:rPr>
        <w:t>prosecution evidence</w:t>
      </w:r>
      <w:r w:rsidR="00FC5DC8" w:rsidRPr="008D6E5C">
        <w:rPr>
          <w:rFonts w:ascii="Cambria" w:hAnsi="Cambria"/>
          <w:sz w:val="20"/>
          <w:szCs w:val="20"/>
        </w:rPr>
        <w:t xml:space="preserve"> </w:t>
      </w:r>
      <w:r w:rsidR="006D15DC" w:rsidRPr="008D6E5C">
        <w:rPr>
          <w:rFonts w:ascii="Cambria" w:hAnsi="Cambria"/>
          <w:sz w:val="20"/>
          <w:szCs w:val="20"/>
        </w:rPr>
        <w:t>in this case—evidence held by the very government bodies responsible for the</w:t>
      </w:r>
      <w:r w:rsidR="001766CB" w:rsidRPr="008D6E5C">
        <w:rPr>
          <w:rFonts w:ascii="Cambria" w:hAnsi="Cambria" w:cs="Arial"/>
          <w:sz w:val="20"/>
          <w:szCs w:val="20"/>
        </w:rPr>
        <w:t xml:space="preserve"> investigation</w:t>
      </w:r>
      <w:r w:rsidR="00FC5DC8" w:rsidRPr="008D6E5C">
        <w:rPr>
          <w:rFonts w:ascii="Cambria" w:hAnsi="Cambria" w:cs="Arial"/>
          <w:sz w:val="20"/>
          <w:szCs w:val="20"/>
        </w:rPr>
        <w:t xml:space="preserve"> </w:t>
      </w:r>
      <w:r w:rsidR="006D15DC" w:rsidRPr="008D6E5C">
        <w:rPr>
          <w:rFonts w:ascii="Cambria" w:hAnsi="Cambria" w:cs="Arial"/>
          <w:sz w:val="20"/>
          <w:szCs w:val="20"/>
        </w:rPr>
        <w:t>and the criminal case—to conclude that</w:t>
      </w:r>
      <w:r w:rsidR="006D15DC" w:rsidRPr="008D6E5C">
        <w:rPr>
          <w:rFonts w:ascii="Cambria" w:hAnsi="Cambria"/>
          <w:sz w:val="20"/>
          <w:szCs w:val="20"/>
        </w:rPr>
        <w:t xml:space="preserve"> Nelson </w:t>
      </w:r>
      <w:proofErr w:type="spellStart"/>
      <w:r w:rsidR="006D15DC" w:rsidRPr="008D6E5C">
        <w:rPr>
          <w:rFonts w:ascii="Cambria" w:hAnsi="Cambria"/>
          <w:sz w:val="20"/>
          <w:szCs w:val="20"/>
        </w:rPr>
        <w:t>Carvajal</w:t>
      </w:r>
      <w:proofErr w:type="spellEnd"/>
      <w:r w:rsidR="006D15DC" w:rsidRPr="008D6E5C">
        <w:rPr>
          <w:rFonts w:ascii="Cambria" w:hAnsi="Cambria"/>
          <w:sz w:val="20"/>
          <w:szCs w:val="20"/>
        </w:rPr>
        <w:t xml:space="preserve"> </w:t>
      </w:r>
      <w:proofErr w:type="spellStart"/>
      <w:r w:rsidR="006D15DC" w:rsidRPr="008D6E5C">
        <w:rPr>
          <w:rFonts w:ascii="Cambria" w:hAnsi="Cambria"/>
          <w:sz w:val="20"/>
          <w:szCs w:val="20"/>
        </w:rPr>
        <w:t>Carvajal’s</w:t>
      </w:r>
      <w:proofErr w:type="spellEnd"/>
      <w:r w:rsidR="006D15DC" w:rsidRPr="008D6E5C">
        <w:rPr>
          <w:rFonts w:ascii="Cambria" w:hAnsi="Cambria"/>
          <w:sz w:val="20"/>
          <w:szCs w:val="20"/>
        </w:rPr>
        <w:t xml:space="preserve"> murder</w:t>
      </w:r>
      <w:r w:rsidR="00FC5DC8" w:rsidRPr="008D6E5C">
        <w:rPr>
          <w:rFonts w:ascii="Cambria" w:hAnsi="Cambria"/>
          <w:sz w:val="20"/>
          <w:szCs w:val="20"/>
        </w:rPr>
        <w:t xml:space="preserve"> </w:t>
      </w:r>
      <w:r w:rsidR="00084FF9" w:rsidRPr="008D6E5C">
        <w:rPr>
          <w:rFonts w:ascii="Cambria" w:hAnsi="Cambria"/>
          <w:sz w:val="20"/>
          <w:szCs w:val="20"/>
        </w:rPr>
        <w:t>was connected to his work as a journalist</w:t>
      </w:r>
      <w:r w:rsidR="00FC5DC8" w:rsidRPr="008D6E5C">
        <w:rPr>
          <w:rFonts w:ascii="Cambria" w:hAnsi="Cambria"/>
          <w:sz w:val="20"/>
          <w:szCs w:val="20"/>
        </w:rPr>
        <w:t xml:space="preserve"> </w:t>
      </w:r>
      <w:r w:rsidR="006D15DC" w:rsidRPr="008D6E5C">
        <w:rPr>
          <w:rFonts w:ascii="Cambria" w:hAnsi="Cambria"/>
          <w:sz w:val="20"/>
          <w:szCs w:val="20"/>
        </w:rPr>
        <w:t>and to his public exposés of local crime and corruption</w:t>
      </w:r>
      <w:r w:rsidR="00FC5DC8" w:rsidRPr="008D6E5C">
        <w:rPr>
          <w:rFonts w:ascii="Cambria" w:hAnsi="Cambria"/>
          <w:sz w:val="20"/>
          <w:szCs w:val="20"/>
        </w:rPr>
        <w:t>.</w:t>
      </w:r>
      <w:r w:rsidR="006F4FF8" w:rsidRPr="008D6E5C">
        <w:rPr>
          <w:rFonts w:ascii="Cambria" w:hAnsi="Cambria"/>
          <w:sz w:val="20"/>
          <w:szCs w:val="20"/>
        </w:rPr>
        <w:t xml:space="preserve"> This link </w:t>
      </w:r>
      <w:r w:rsidR="007A6F17" w:rsidRPr="008D6E5C">
        <w:rPr>
          <w:rFonts w:ascii="Cambria" w:hAnsi="Cambria"/>
          <w:sz w:val="20"/>
          <w:szCs w:val="20"/>
        </w:rPr>
        <w:t>to his</w:t>
      </w:r>
      <w:r w:rsidR="006F4FF8" w:rsidRPr="008D6E5C">
        <w:rPr>
          <w:rFonts w:ascii="Cambria" w:hAnsi="Cambria"/>
          <w:sz w:val="20"/>
          <w:szCs w:val="20"/>
        </w:rPr>
        <w:t xml:space="preserve"> work is relevant to analyze the State's response to the facts.</w:t>
      </w:r>
    </w:p>
    <w:p w:rsidR="00FC5DC8" w:rsidRPr="008D6E5C" w:rsidRDefault="00FC5DC8" w:rsidP="001520DB">
      <w:pPr>
        <w:pStyle w:val="ListParagraph"/>
        <w:rPr>
          <w:sz w:val="20"/>
          <w:szCs w:val="20"/>
        </w:rPr>
      </w:pPr>
    </w:p>
    <w:p w:rsidR="00FC5DC8" w:rsidRPr="008D6E5C" w:rsidRDefault="00AD280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As is clear from the body of evidence</w:t>
      </w:r>
      <w:r w:rsidR="00FC5DC8" w:rsidRPr="008D6E5C">
        <w:rPr>
          <w:rFonts w:ascii="Cambria" w:hAnsi="Cambria"/>
          <w:sz w:val="20"/>
          <w:szCs w:val="20"/>
        </w:rPr>
        <w:t xml:space="preserve">, </w:t>
      </w:r>
      <w:r w:rsidRPr="008D6E5C">
        <w:rPr>
          <w:rFonts w:ascii="Cambria" w:hAnsi="Cambria"/>
          <w:sz w:val="20"/>
          <w:szCs w:val="20"/>
        </w:rPr>
        <w:t xml:space="preserve">a significant number of the witness statements given during </w:t>
      </w:r>
      <w:r w:rsidR="001766CB" w:rsidRPr="008D6E5C">
        <w:rPr>
          <w:rFonts w:ascii="Cambria" w:hAnsi="Cambria"/>
          <w:sz w:val="20"/>
          <w:szCs w:val="20"/>
        </w:rPr>
        <w:t>the investigation</w:t>
      </w:r>
      <w:r w:rsidR="00FC5DC8" w:rsidRPr="008D6E5C">
        <w:rPr>
          <w:rFonts w:ascii="Cambria" w:hAnsi="Cambria"/>
          <w:sz w:val="20"/>
          <w:szCs w:val="20"/>
        </w:rPr>
        <w:t xml:space="preserve"> </w:t>
      </w:r>
      <w:r w:rsidRPr="008D6E5C">
        <w:rPr>
          <w:rFonts w:ascii="Cambria" w:hAnsi="Cambria"/>
          <w:sz w:val="20"/>
          <w:szCs w:val="20"/>
        </w:rPr>
        <w:t>into the murder of journalist</w:t>
      </w:r>
      <w:r w:rsidR="00FC5DC8" w:rsidRPr="008D6E5C">
        <w:rPr>
          <w:rFonts w:ascii="Cambria" w:hAnsi="Cambria"/>
          <w:sz w:val="20"/>
          <w:szCs w:val="20"/>
        </w:rPr>
        <w:t xml:space="preserve"> 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084FF9" w:rsidRPr="008D6E5C">
        <w:rPr>
          <w:rFonts w:ascii="Cambria" w:hAnsi="Cambria"/>
          <w:sz w:val="20"/>
          <w:szCs w:val="20"/>
        </w:rPr>
        <w:t>link the crime to his work as a</w:t>
      </w:r>
      <w:r w:rsidRPr="008D6E5C">
        <w:rPr>
          <w:rFonts w:ascii="Cambria" w:hAnsi="Cambria"/>
          <w:sz w:val="20"/>
          <w:szCs w:val="20"/>
        </w:rPr>
        <w:t>n</w:t>
      </w:r>
      <w:r w:rsidR="00FC5DC8" w:rsidRPr="008D6E5C">
        <w:rPr>
          <w:rFonts w:ascii="Cambria" w:hAnsi="Cambria"/>
          <w:sz w:val="20"/>
          <w:szCs w:val="20"/>
        </w:rPr>
        <w:t xml:space="preserve"> “</w:t>
      </w:r>
      <w:r w:rsidRPr="008D6E5C">
        <w:rPr>
          <w:rFonts w:ascii="Cambria" w:hAnsi="Cambria"/>
          <w:sz w:val="20"/>
          <w:szCs w:val="20"/>
        </w:rPr>
        <w:t>exposé journalist</w:t>
      </w:r>
      <w:r w:rsidR="001804FC" w:rsidRPr="008D6E5C">
        <w:rPr>
          <w:rFonts w:ascii="Cambria" w:hAnsi="Cambria"/>
          <w:sz w:val="20"/>
          <w:szCs w:val="20"/>
        </w:rPr>
        <w:t>”</w:t>
      </w:r>
      <w:r w:rsidR="00FC5DC8" w:rsidRPr="008D6E5C">
        <w:rPr>
          <w:rFonts w:ascii="Cambria" w:hAnsi="Cambria"/>
          <w:sz w:val="20"/>
          <w:szCs w:val="20"/>
        </w:rPr>
        <w:t xml:space="preserve">. </w:t>
      </w:r>
      <w:r w:rsidRPr="008D6E5C">
        <w:rPr>
          <w:rFonts w:ascii="Cambria" w:hAnsi="Cambria"/>
          <w:sz w:val="20"/>
          <w:szCs w:val="20"/>
        </w:rPr>
        <w:t>At the same time</w:t>
      </w:r>
      <w:r w:rsidR="00FC5DC8" w:rsidRPr="008D6E5C">
        <w:rPr>
          <w:rFonts w:ascii="Cambria" w:hAnsi="Cambria"/>
          <w:sz w:val="20"/>
          <w:szCs w:val="20"/>
        </w:rPr>
        <w:t xml:space="preserve">, </w:t>
      </w:r>
      <w:r w:rsidRPr="008D6E5C">
        <w:rPr>
          <w:rFonts w:ascii="Cambria" w:hAnsi="Cambria"/>
          <w:sz w:val="20"/>
          <w:szCs w:val="20"/>
        </w:rPr>
        <w:t xml:space="preserve">it is noted that all of the logical theories of </w:t>
      </w:r>
      <w:r w:rsidR="003821DE" w:rsidRPr="008D6E5C">
        <w:rPr>
          <w:rFonts w:ascii="Cambria" w:hAnsi="Cambria"/>
          <w:sz w:val="20"/>
          <w:szCs w:val="20"/>
        </w:rPr>
        <w:t>masterminding</w:t>
      </w:r>
      <w:r w:rsidRPr="008D6E5C">
        <w:rPr>
          <w:rFonts w:ascii="Cambria" w:hAnsi="Cambria"/>
          <w:sz w:val="20"/>
          <w:szCs w:val="20"/>
        </w:rPr>
        <w:t xml:space="preserve"> examined by the authorities in charge of</w:t>
      </w:r>
      <w:r w:rsidR="00FC5DC8" w:rsidRPr="008D6E5C">
        <w:rPr>
          <w:rFonts w:ascii="Cambria" w:hAnsi="Cambria"/>
          <w:sz w:val="20"/>
          <w:szCs w:val="20"/>
        </w:rPr>
        <w:t xml:space="preserve"> </w:t>
      </w:r>
      <w:r w:rsidR="001766CB" w:rsidRPr="008D6E5C">
        <w:rPr>
          <w:rFonts w:ascii="Cambria" w:hAnsi="Cambria"/>
          <w:sz w:val="20"/>
          <w:szCs w:val="20"/>
        </w:rPr>
        <w:t>the investigation</w:t>
      </w:r>
      <w:r w:rsidR="00FC5DC8" w:rsidRPr="008D6E5C">
        <w:rPr>
          <w:rFonts w:ascii="Cambria" w:hAnsi="Cambria"/>
          <w:sz w:val="20"/>
          <w:szCs w:val="20"/>
        </w:rPr>
        <w:t xml:space="preserve"> </w:t>
      </w:r>
      <w:r w:rsidRPr="008D6E5C">
        <w:rPr>
          <w:rFonts w:ascii="Cambria" w:hAnsi="Cambria"/>
          <w:sz w:val="20"/>
          <w:szCs w:val="20"/>
        </w:rPr>
        <w:t>establish</w:t>
      </w:r>
      <w:r w:rsidR="00FC5DC8" w:rsidRPr="008D6E5C">
        <w:rPr>
          <w:rFonts w:ascii="Cambria" w:hAnsi="Cambria"/>
          <w:sz w:val="20"/>
          <w:szCs w:val="20"/>
        </w:rPr>
        <w:t xml:space="preserve"> Nelson </w:t>
      </w:r>
      <w:proofErr w:type="spellStart"/>
      <w:r w:rsidR="00FC5DC8" w:rsidRPr="008D6E5C">
        <w:rPr>
          <w:rFonts w:ascii="Cambria" w:hAnsi="Cambria"/>
          <w:sz w:val="20"/>
          <w:szCs w:val="20"/>
        </w:rPr>
        <w:t>Carvajal</w:t>
      </w:r>
      <w:r w:rsidRPr="008D6E5C">
        <w:rPr>
          <w:rFonts w:ascii="Cambria" w:hAnsi="Cambria"/>
          <w:sz w:val="20"/>
          <w:szCs w:val="20"/>
        </w:rPr>
        <w:t>’s</w:t>
      </w:r>
      <w:proofErr w:type="spellEnd"/>
      <w:r w:rsidRPr="008D6E5C">
        <w:rPr>
          <w:rFonts w:ascii="Cambria" w:hAnsi="Cambria"/>
          <w:sz w:val="20"/>
          <w:szCs w:val="20"/>
        </w:rPr>
        <w:t xml:space="preserve"> journalistic work as the motive for </w:t>
      </w:r>
      <w:r w:rsidRPr="008D6E5C">
        <w:rPr>
          <w:rFonts w:ascii="Cambria" w:hAnsi="Cambria"/>
          <w:sz w:val="20"/>
          <w:szCs w:val="20"/>
        </w:rPr>
        <w:lastRenderedPageBreak/>
        <w:t>the crime</w:t>
      </w:r>
      <w:r w:rsidR="00FC5DC8" w:rsidRPr="008D6E5C">
        <w:rPr>
          <w:rFonts w:ascii="Cambria" w:hAnsi="Cambria"/>
          <w:sz w:val="20"/>
          <w:szCs w:val="20"/>
        </w:rPr>
        <w:t xml:space="preserve">. </w:t>
      </w:r>
      <w:r w:rsidRPr="008D6E5C">
        <w:rPr>
          <w:rFonts w:ascii="Cambria" w:hAnsi="Cambria"/>
          <w:sz w:val="20"/>
          <w:szCs w:val="20"/>
        </w:rPr>
        <w:t xml:space="preserve">Indeed, the lead Prosecutor in </w:t>
      </w:r>
      <w:r w:rsidR="001766CB" w:rsidRPr="008D6E5C">
        <w:rPr>
          <w:rFonts w:ascii="Cambria" w:hAnsi="Cambria"/>
          <w:sz w:val="20"/>
          <w:szCs w:val="20"/>
        </w:rPr>
        <w:t xml:space="preserve">the </w:t>
      </w:r>
      <w:r w:rsidRPr="008D6E5C">
        <w:rPr>
          <w:rFonts w:ascii="Cambria" w:hAnsi="Cambria"/>
          <w:sz w:val="20"/>
          <w:szCs w:val="20"/>
        </w:rPr>
        <w:t xml:space="preserve">preliminary </w:t>
      </w:r>
      <w:r w:rsidR="001766CB" w:rsidRPr="008D6E5C">
        <w:rPr>
          <w:rFonts w:ascii="Cambria" w:hAnsi="Cambria"/>
          <w:sz w:val="20"/>
          <w:szCs w:val="20"/>
        </w:rPr>
        <w:t>investigation</w:t>
      </w:r>
      <w:r w:rsidR="00FC5DC8" w:rsidRPr="008D6E5C">
        <w:rPr>
          <w:rFonts w:ascii="Cambria" w:hAnsi="Cambria"/>
          <w:sz w:val="20"/>
          <w:szCs w:val="20"/>
        </w:rPr>
        <w:t xml:space="preserve"> </w:t>
      </w:r>
      <w:r w:rsidRPr="008D6E5C">
        <w:rPr>
          <w:rFonts w:ascii="Cambria" w:hAnsi="Cambria"/>
          <w:sz w:val="20"/>
          <w:szCs w:val="20"/>
        </w:rPr>
        <w:t>concluded based on the evidence gathered that, “the murder of journalist and educator</w:t>
      </w:r>
      <w:r w:rsidR="00FC5DC8" w:rsidRPr="008D6E5C">
        <w:rPr>
          <w:rFonts w:ascii="Cambria" w:hAnsi="Cambria"/>
          <w:sz w:val="20"/>
          <w:szCs w:val="20"/>
        </w:rPr>
        <w:t xml:space="preserve"> </w:t>
      </w:r>
      <w:r w:rsidRPr="008D6E5C">
        <w:rPr>
          <w:rFonts w:ascii="Cambria" w:hAnsi="Cambria"/>
          <w:sz w:val="20"/>
          <w:szCs w:val="20"/>
        </w:rPr>
        <w:t xml:space="preserve">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was because of, or for reasons relating to, his profession, especially given the type of exposé reporting he did</w:t>
      </w:r>
      <w:r w:rsidR="001804FC" w:rsidRPr="008D6E5C">
        <w:rPr>
          <w:rFonts w:ascii="Cambria" w:hAnsi="Cambria"/>
          <w:sz w:val="20"/>
          <w:szCs w:val="20"/>
        </w:rPr>
        <w:t>”</w:t>
      </w:r>
      <w:r w:rsidR="00FC5DC8" w:rsidRPr="008D6E5C">
        <w:rPr>
          <w:rFonts w:ascii="Cambria" w:hAnsi="Cambria"/>
          <w:sz w:val="20"/>
          <w:szCs w:val="20"/>
        </w:rPr>
        <w:t xml:space="preserve">. </w:t>
      </w:r>
      <w:r w:rsidRPr="008D6E5C">
        <w:rPr>
          <w:rFonts w:ascii="Cambria" w:hAnsi="Cambria"/>
          <w:sz w:val="20"/>
          <w:szCs w:val="20"/>
        </w:rPr>
        <w:t>For this reason</w:t>
      </w:r>
      <w:r w:rsidR="00FC5DC8" w:rsidRPr="008D6E5C">
        <w:rPr>
          <w:rFonts w:ascii="Cambria" w:hAnsi="Cambria"/>
          <w:sz w:val="20"/>
          <w:szCs w:val="20"/>
        </w:rPr>
        <w:t xml:space="preserve">, </w:t>
      </w:r>
      <w:r w:rsidRPr="008D6E5C">
        <w:rPr>
          <w:rFonts w:ascii="Cambria" w:hAnsi="Cambria"/>
          <w:sz w:val="20"/>
          <w:szCs w:val="20"/>
        </w:rPr>
        <w:t xml:space="preserve">he ordered the transfer of the </w:t>
      </w:r>
      <w:r w:rsidR="001766CB" w:rsidRPr="008D6E5C">
        <w:rPr>
          <w:rFonts w:ascii="Cambria" w:hAnsi="Cambria"/>
          <w:sz w:val="20"/>
          <w:szCs w:val="20"/>
        </w:rPr>
        <w:t>investigation</w:t>
      </w:r>
      <w:r w:rsidR="00FC5DC8" w:rsidRPr="008D6E5C">
        <w:rPr>
          <w:rFonts w:ascii="Cambria" w:hAnsi="Cambria"/>
          <w:sz w:val="20"/>
          <w:szCs w:val="20"/>
        </w:rPr>
        <w:t xml:space="preserve"> </w:t>
      </w:r>
      <w:r w:rsidRPr="008D6E5C">
        <w:rPr>
          <w:rFonts w:ascii="Cambria" w:hAnsi="Cambria"/>
          <w:sz w:val="20"/>
          <w:szCs w:val="20"/>
        </w:rPr>
        <w:t>to the regional justice system</w:t>
      </w:r>
      <w:r w:rsidR="00FC5DC8" w:rsidRPr="008D6E5C">
        <w:rPr>
          <w:rFonts w:ascii="Cambria" w:hAnsi="Cambria"/>
          <w:sz w:val="20"/>
          <w:szCs w:val="20"/>
        </w:rPr>
        <w:t xml:space="preserve">. </w:t>
      </w:r>
      <w:r w:rsidRPr="008D6E5C">
        <w:rPr>
          <w:rFonts w:ascii="Cambria" w:hAnsi="Cambria"/>
          <w:sz w:val="20"/>
          <w:szCs w:val="20"/>
        </w:rPr>
        <w:t>The</w:t>
      </w:r>
      <w:r w:rsidR="00FC5DC8" w:rsidRPr="008D6E5C">
        <w:rPr>
          <w:rFonts w:ascii="Cambria" w:hAnsi="Cambria"/>
          <w:sz w:val="20"/>
          <w:szCs w:val="20"/>
        </w:rPr>
        <w:t xml:space="preserve"> </w:t>
      </w:r>
      <w:r w:rsidRPr="008D6E5C">
        <w:rPr>
          <w:rFonts w:ascii="Cambria" w:hAnsi="Cambria"/>
          <w:sz w:val="20"/>
          <w:szCs w:val="20"/>
        </w:rPr>
        <w:t>Single Criminal Court of the Specialized Circuit of Neiva</w:t>
      </w:r>
      <w:r w:rsidR="00FC5DC8" w:rsidRPr="008D6E5C">
        <w:rPr>
          <w:rFonts w:ascii="Cambria" w:hAnsi="Cambria"/>
          <w:sz w:val="20"/>
          <w:szCs w:val="20"/>
        </w:rPr>
        <w:t xml:space="preserve"> </w:t>
      </w:r>
      <w:r w:rsidRPr="008D6E5C">
        <w:rPr>
          <w:rFonts w:ascii="Cambria" w:hAnsi="Cambria"/>
          <w:sz w:val="20"/>
          <w:szCs w:val="20"/>
        </w:rPr>
        <w:t>likewise affirmed that,</w:t>
      </w:r>
      <w:r w:rsidR="00FC5DC8" w:rsidRPr="008D6E5C">
        <w:rPr>
          <w:rFonts w:ascii="Cambria" w:hAnsi="Cambria"/>
          <w:sz w:val="20"/>
          <w:szCs w:val="20"/>
        </w:rPr>
        <w:t xml:space="preserve"> “</w:t>
      </w:r>
      <w:r w:rsidR="009F6773" w:rsidRPr="008D6E5C">
        <w:rPr>
          <w:rFonts w:ascii="Cambria" w:hAnsi="Cambria"/>
          <w:sz w:val="20"/>
          <w:szCs w:val="20"/>
        </w:rPr>
        <w:t>it is concluded from the testimony of numerous witnesses at trial that the violent death of the aforementioned individual was on account of his work as a journalist, as his ‘exposé’ journalism earned him the animosity of those who felt that they were adversely affected by his radio programs—to the point that there were many who filed criminal actions against him for alleged acts against moral integrity</w:t>
      </w:r>
      <w:r w:rsidRPr="008D6E5C">
        <w:rPr>
          <w:rFonts w:ascii="Cambria" w:hAnsi="Cambria"/>
          <w:sz w:val="20"/>
          <w:szCs w:val="20"/>
        </w:rPr>
        <w:t>.”</w:t>
      </w:r>
      <w:r w:rsidR="00FC5DC8" w:rsidRPr="008D6E5C">
        <w:rPr>
          <w:rFonts w:ascii="Cambria" w:hAnsi="Cambria"/>
          <w:sz w:val="20"/>
          <w:szCs w:val="20"/>
        </w:rPr>
        <w:t xml:space="preserve"> </w:t>
      </w:r>
      <w:r w:rsidR="009F6773" w:rsidRPr="008D6E5C">
        <w:rPr>
          <w:rFonts w:ascii="Cambria" w:hAnsi="Cambria"/>
          <w:sz w:val="20"/>
          <w:szCs w:val="20"/>
        </w:rPr>
        <w:t>The case file also shows that, prior to his death, the journalist had been the victim of repeated</w:t>
      </w:r>
      <w:r w:rsidR="00FC5DC8" w:rsidRPr="008D6E5C">
        <w:rPr>
          <w:rFonts w:ascii="Cambria" w:hAnsi="Cambria" w:cs="Arial"/>
          <w:sz w:val="20"/>
          <w:szCs w:val="20"/>
        </w:rPr>
        <w:t xml:space="preserve"> </w:t>
      </w:r>
      <w:r w:rsidR="00EF5F24" w:rsidRPr="008D6E5C">
        <w:rPr>
          <w:rFonts w:ascii="Cambria" w:hAnsi="Cambria" w:cs="Arial"/>
          <w:sz w:val="20"/>
          <w:szCs w:val="20"/>
        </w:rPr>
        <w:t>threats</w:t>
      </w:r>
      <w:r w:rsidR="00FC5DC8" w:rsidRPr="008D6E5C">
        <w:rPr>
          <w:rFonts w:ascii="Cambria" w:hAnsi="Cambria" w:cs="Arial"/>
          <w:sz w:val="20"/>
          <w:szCs w:val="20"/>
        </w:rPr>
        <w:t xml:space="preserve"> </w:t>
      </w:r>
      <w:r w:rsidR="009F6773" w:rsidRPr="008D6E5C">
        <w:rPr>
          <w:rFonts w:ascii="Cambria" w:hAnsi="Cambria" w:cs="Arial"/>
          <w:sz w:val="20"/>
          <w:szCs w:val="20"/>
        </w:rPr>
        <w:t>on account of his work</w:t>
      </w:r>
      <w:r w:rsidR="00FC5DC8" w:rsidRPr="008D6E5C">
        <w:rPr>
          <w:rFonts w:ascii="Cambria" w:hAnsi="Cambria" w:cs="Arial"/>
          <w:sz w:val="20"/>
          <w:szCs w:val="20"/>
        </w:rPr>
        <w:t xml:space="preserve">. </w:t>
      </w:r>
    </w:p>
    <w:p w:rsidR="00FC5DC8" w:rsidRPr="008D6E5C" w:rsidRDefault="00FC5DC8" w:rsidP="001520DB">
      <w:pPr>
        <w:pStyle w:val="ListParagraph"/>
        <w:shd w:val="clear" w:color="auto" w:fill="FFFFFF"/>
        <w:jc w:val="both"/>
        <w:rPr>
          <w:sz w:val="20"/>
          <w:szCs w:val="20"/>
        </w:rPr>
      </w:pPr>
    </w:p>
    <w:p w:rsidR="00FC5DC8" w:rsidRPr="008D6E5C" w:rsidRDefault="00FC5D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sz w:val="20"/>
          <w:szCs w:val="20"/>
        </w:rPr>
      </w:pPr>
      <w:r w:rsidRPr="008D6E5C">
        <w:rPr>
          <w:rFonts w:ascii="Cambria" w:hAnsi="Cambria" w:cs="Arial"/>
          <w:sz w:val="20"/>
          <w:szCs w:val="20"/>
        </w:rPr>
        <w:t>No</w:t>
      </w:r>
      <w:r w:rsidR="00C734AB" w:rsidRPr="008D6E5C">
        <w:rPr>
          <w:rFonts w:ascii="Cambria" w:hAnsi="Cambria" w:cs="Arial"/>
          <w:sz w:val="20"/>
          <w:szCs w:val="20"/>
        </w:rPr>
        <w:t xml:space="preserve">twithstanding the State’s argument that there is no </w:t>
      </w:r>
      <w:r w:rsidRPr="008D6E5C">
        <w:rPr>
          <w:rFonts w:ascii="Cambria" w:hAnsi="Cambria" w:cs="Arial"/>
          <w:sz w:val="20"/>
          <w:szCs w:val="20"/>
        </w:rPr>
        <w:t xml:space="preserve">judicial </w:t>
      </w:r>
      <w:r w:rsidR="00C734AB" w:rsidRPr="008D6E5C">
        <w:rPr>
          <w:rFonts w:ascii="Cambria" w:hAnsi="Cambria" w:cs="Arial"/>
          <w:sz w:val="20"/>
          <w:szCs w:val="20"/>
        </w:rPr>
        <w:t xml:space="preserve">“certainty” with respect to the motive for the crime, </w:t>
      </w:r>
      <w:r w:rsidR="00DF44C8" w:rsidRPr="008D6E5C">
        <w:rPr>
          <w:rFonts w:ascii="Cambria" w:hAnsi="Cambria" w:cs="Arial"/>
          <w:sz w:val="20"/>
          <w:szCs w:val="20"/>
        </w:rPr>
        <w:t>the Commission</w:t>
      </w:r>
      <w:r w:rsidRPr="008D6E5C">
        <w:rPr>
          <w:rFonts w:ascii="Cambria" w:hAnsi="Cambria" w:cs="Arial"/>
          <w:sz w:val="20"/>
          <w:szCs w:val="20"/>
        </w:rPr>
        <w:t xml:space="preserve"> </w:t>
      </w:r>
      <w:r w:rsidR="001766CB" w:rsidRPr="008D6E5C">
        <w:rPr>
          <w:rFonts w:ascii="Cambria" w:hAnsi="Cambria" w:cs="Arial"/>
          <w:sz w:val="20"/>
          <w:szCs w:val="20"/>
        </w:rPr>
        <w:t>observes that</w:t>
      </w:r>
      <w:r w:rsidRPr="008D6E5C">
        <w:rPr>
          <w:rFonts w:ascii="Cambria" w:hAnsi="Cambria" w:cs="Arial"/>
          <w:sz w:val="20"/>
          <w:szCs w:val="20"/>
        </w:rPr>
        <w:t xml:space="preserve"> </w:t>
      </w:r>
      <w:r w:rsidR="00C734AB" w:rsidRPr="008D6E5C">
        <w:rPr>
          <w:rFonts w:ascii="Cambria" w:hAnsi="Cambria" w:cs="Arial"/>
          <w:sz w:val="20"/>
          <w:szCs w:val="20"/>
        </w:rPr>
        <w:t xml:space="preserve">there is nothing in the case file that points to the existence of any other theory effectively considered by the national authorities during the investigations and criminal case pursued at the domestic level. What is clear and irrefutable in this case is that the journalist investigated issues of significant public interest to the local community and directly and consistently denounced head-on the authorities and businessmen of his city and the existence of a network </w:t>
      </w:r>
      <w:r w:rsidR="00C734AB" w:rsidRPr="008D6E5C">
        <w:rPr>
          <w:rFonts w:ascii="Cambria" w:hAnsi="Cambria"/>
          <w:sz w:val="20"/>
          <w:szCs w:val="20"/>
        </w:rPr>
        <w:t xml:space="preserve">that laundered the proceeds of drug trafficking in the area; that he was threatened, and that he was later </w:t>
      </w:r>
      <w:r w:rsidR="00EF5F24" w:rsidRPr="008D6E5C">
        <w:rPr>
          <w:rFonts w:ascii="Cambria" w:hAnsi="Cambria"/>
          <w:sz w:val="20"/>
          <w:szCs w:val="20"/>
        </w:rPr>
        <w:t>brutally murdered</w:t>
      </w:r>
      <w:r w:rsidRPr="008D6E5C">
        <w:rPr>
          <w:rFonts w:ascii="Cambria" w:hAnsi="Cambria"/>
          <w:sz w:val="20"/>
          <w:szCs w:val="20"/>
        </w:rPr>
        <w:t xml:space="preserve">. </w:t>
      </w:r>
    </w:p>
    <w:p w:rsidR="00FC5DC8" w:rsidRPr="008D6E5C" w:rsidRDefault="00FC5DC8" w:rsidP="001520DB">
      <w:pPr>
        <w:pStyle w:val="ListParagraph"/>
        <w:shd w:val="clear" w:color="auto" w:fill="FFFFFF"/>
        <w:ind w:left="0"/>
        <w:jc w:val="both"/>
        <w:rPr>
          <w:rFonts w:cs="Arial"/>
          <w:sz w:val="20"/>
          <w:szCs w:val="20"/>
        </w:rPr>
      </w:pPr>
    </w:p>
    <w:p w:rsidR="00FC5DC8" w:rsidRPr="008D6E5C" w:rsidRDefault="00EF5F24"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s="Arial"/>
          <w:sz w:val="20"/>
          <w:szCs w:val="20"/>
        </w:rPr>
        <w:t>As described below</w:t>
      </w:r>
      <w:r w:rsidR="00FC5DC8" w:rsidRPr="008D6E5C">
        <w:rPr>
          <w:rFonts w:ascii="Cambria" w:hAnsi="Cambria" w:cs="Arial"/>
          <w:sz w:val="20"/>
          <w:szCs w:val="20"/>
        </w:rPr>
        <w:t xml:space="preserve">, </w:t>
      </w:r>
      <w:r w:rsidR="00AD5D15" w:rsidRPr="008D6E5C">
        <w:rPr>
          <w:rFonts w:ascii="Cambria" w:hAnsi="Cambria" w:cs="Arial"/>
          <w:sz w:val="20"/>
          <w:szCs w:val="20"/>
        </w:rPr>
        <w:t>in these types of cases</w:t>
      </w:r>
      <w:r w:rsidR="00FC5DC8" w:rsidRPr="008D6E5C">
        <w:rPr>
          <w:rFonts w:ascii="Cambria" w:hAnsi="Cambria" w:cs="Arial"/>
          <w:sz w:val="20"/>
          <w:szCs w:val="20"/>
        </w:rPr>
        <w:t xml:space="preserve"> </w:t>
      </w:r>
      <w:r w:rsidR="004B0168" w:rsidRPr="008D6E5C">
        <w:rPr>
          <w:rFonts w:ascii="Cambria" w:hAnsi="Cambria"/>
          <w:bCs/>
          <w:sz w:val="20"/>
          <w:szCs w:val="20"/>
        </w:rPr>
        <w:t>the American Convention</w:t>
      </w:r>
      <w:r w:rsidR="00FC5DC8" w:rsidRPr="008D6E5C">
        <w:rPr>
          <w:rFonts w:ascii="Cambria" w:hAnsi="Cambria"/>
          <w:bCs/>
          <w:sz w:val="20"/>
          <w:szCs w:val="20"/>
        </w:rPr>
        <w:t xml:space="preserve"> </w:t>
      </w:r>
      <w:r w:rsidR="00AD5D15" w:rsidRPr="008D6E5C">
        <w:rPr>
          <w:rFonts w:ascii="Cambria" w:hAnsi="Cambria"/>
          <w:bCs/>
          <w:sz w:val="20"/>
          <w:szCs w:val="20"/>
        </w:rPr>
        <w:t xml:space="preserve">demands that positive measures be taken to ensure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00AD5D15" w:rsidRPr="008D6E5C">
        <w:rPr>
          <w:rFonts w:ascii="Cambria" w:hAnsi="Cambria"/>
          <w:bCs/>
          <w:sz w:val="20"/>
          <w:szCs w:val="20"/>
        </w:rPr>
        <w:t>prosecution, and, if appropriate, punishment</w:t>
      </w:r>
      <w:r w:rsidR="00FC5DC8" w:rsidRPr="008D6E5C">
        <w:rPr>
          <w:rFonts w:ascii="Cambria" w:hAnsi="Cambria"/>
          <w:bCs/>
          <w:sz w:val="20"/>
          <w:szCs w:val="20"/>
        </w:rPr>
        <w:t xml:space="preserve"> </w:t>
      </w:r>
      <w:r w:rsidR="00AD5D15" w:rsidRPr="008D6E5C">
        <w:rPr>
          <w:rFonts w:ascii="Cambria" w:hAnsi="Cambria"/>
          <w:bCs/>
          <w:sz w:val="20"/>
          <w:szCs w:val="20"/>
        </w:rPr>
        <w:t>of the perpetrators</w:t>
      </w:r>
      <w:r w:rsidR="00FC5DC8" w:rsidRPr="008D6E5C">
        <w:rPr>
          <w:rFonts w:ascii="Cambria" w:hAnsi="Cambria"/>
          <w:bCs/>
          <w:sz w:val="20"/>
          <w:szCs w:val="20"/>
        </w:rPr>
        <w:t xml:space="preserve">, </w:t>
      </w:r>
      <w:r w:rsidR="00AD5D15" w:rsidRPr="008D6E5C">
        <w:rPr>
          <w:rFonts w:ascii="Cambria" w:hAnsi="Cambria"/>
          <w:bCs/>
          <w:sz w:val="20"/>
          <w:szCs w:val="20"/>
        </w:rPr>
        <w:t>in order to prevent impunity and its negative effects on</w:t>
      </w:r>
      <w:r w:rsidR="00FC5DC8" w:rsidRPr="008D6E5C">
        <w:rPr>
          <w:rFonts w:ascii="Cambria" w:hAnsi="Cambria"/>
          <w:bCs/>
          <w:sz w:val="20"/>
          <w:szCs w:val="20"/>
        </w:rPr>
        <w:t xml:space="preserve"> </w:t>
      </w:r>
      <w:r w:rsidR="0003360B" w:rsidRPr="008D6E5C">
        <w:rPr>
          <w:rFonts w:ascii="Cambria" w:hAnsi="Cambria"/>
          <w:bCs/>
          <w:sz w:val="20"/>
          <w:szCs w:val="20"/>
        </w:rPr>
        <w:t>freedom of expression</w:t>
      </w:r>
      <w:r w:rsidR="00FC5DC8" w:rsidRPr="008D6E5C">
        <w:rPr>
          <w:rFonts w:ascii="Cambria" w:hAnsi="Cambria"/>
          <w:bCs/>
          <w:sz w:val="20"/>
          <w:szCs w:val="20"/>
        </w:rPr>
        <w:t>.</w:t>
      </w:r>
    </w:p>
    <w:p w:rsidR="00FC5DC8" w:rsidRPr="008D6E5C" w:rsidRDefault="00FC5DC8" w:rsidP="001520DB">
      <w:pPr>
        <w:pStyle w:val="ListParagraph"/>
        <w:shd w:val="clear" w:color="auto" w:fill="FFFFFF"/>
        <w:jc w:val="both"/>
        <w:rPr>
          <w:sz w:val="20"/>
          <w:szCs w:val="20"/>
        </w:rPr>
      </w:pPr>
    </w:p>
    <w:p w:rsidR="00FC5DC8" w:rsidRPr="008D6E5C" w:rsidRDefault="004B016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Inter-American Court</w:t>
      </w:r>
      <w:r w:rsidR="00FC5DC8" w:rsidRPr="008D6E5C">
        <w:rPr>
          <w:rFonts w:ascii="Cambria" w:hAnsi="Cambria"/>
          <w:bCs/>
          <w:sz w:val="20"/>
          <w:szCs w:val="20"/>
        </w:rPr>
        <w:t xml:space="preserve"> ha</w:t>
      </w:r>
      <w:r w:rsidR="00AD5D15" w:rsidRPr="008D6E5C">
        <w:rPr>
          <w:rFonts w:ascii="Cambria" w:hAnsi="Cambria"/>
          <w:bCs/>
          <w:sz w:val="20"/>
          <w:szCs w:val="20"/>
        </w:rPr>
        <w:t xml:space="preserve">s established that in order to determine whether the obligation to guarantee the rights of a murdered person has been fully met through a serious investigation of the events, </w:t>
      </w:r>
      <w:r w:rsidR="002350E6" w:rsidRPr="008D6E5C">
        <w:rPr>
          <w:rFonts w:ascii="Cambria" w:hAnsi="Cambria"/>
          <w:bCs/>
          <w:sz w:val="20"/>
          <w:szCs w:val="20"/>
        </w:rPr>
        <w:t xml:space="preserve">the Court </w:t>
      </w:r>
      <w:r w:rsidR="00FC5DC8" w:rsidRPr="008D6E5C">
        <w:rPr>
          <w:rFonts w:ascii="Cambria" w:hAnsi="Cambria"/>
          <w:bCs/>
          <w:sz w:val="20"/>
          <w:szCs w:val="20"/>
        </w:rPr>
        <w:t>“</w:t>
      </w:r>
      <w:r w:rsidR="002350E6" w:rsidRPr="008D6E5C">
        <w:rPr>
          <w:rFonts w:ascii="Cambria" w:hAnsi="Cambria"/>
          <w:bCs/>
          <w:sz w:val="20"/>
          <w:szCs w:val="20"/>
        </w:rPr>
        <w:t>must examine the different measures taken by the State after the bodies were found, as well as the domestic procedures to elucidate what occurred and to identify those responsible for the violations perpetrated against the victims</w:t>
      </w:r>
      <w:r w:rsidR="00AD5D15" w:rsidRPr="008D6E5C">
        <w:rPr>
          <w:rFonts w:ascii="Cambria" w:hAnsi="Cambria"/>
          <w:bCs/>
          <w:sz w:val="20"/>
          <w:szCs w:val="20"/>
        </w:rPr>
        <w:t>.”</w:t>
      </w:r>
      <w:r w:rsidR="00FC5DC8" w:rsidRPr="008D6E5C">
        <w:rPr>
          <w:rFonts w:ascii="Cambria" w:hAnsi="Cambria"/>
          <w:bCs/>
          <w:sz w:val="20"/>
          <w:szCs w:val="20"/>
        </w:rPr>
        <w:t xml:space="preserve"> </w:t>
      </w:r>
      <w:r w:rsidR="00AD5D15" w:rsidRPr="008D6E5C">
        <w:rPr>
          <w:rFonts w:ascii="Cambria" w:hAnsi="Cambria"/>
          <w:bCs/>
          <w:sz w:val="20"/>
          <w:szCs w:val="20"/>
        </w:rPr>
        <w:t>In this respect, the Court has emphasized that</w:t>
      </w:r>
      <w:r w:rsidR="00FC5DC8" w:rsidRPr="008D6E5C">
        <w:rPr>
          <w:rFonts w:ascii="Cambria" w:hAnsi="Cambria"/>
          <w:bCs/>
          <w:sz w:val="20"/>
          <w:szCs w:val="20"/>
        </w:rPr>
        <w:t xml:space="preserve"> “</w:t>
      </w:r>
      <w:r w:rsidR="002350E6" w:rsidRPr="008D6E5C">
        <w:rPr>
          <w:rFonts w:ascii="Cambria" w:hAnsi="Cambria"/>
          <w:bCs/>
          <w:sz w:val="20"/>
          <w:szCs w:val="20"/>
        </w:rPr>
        <w:t>clarification of whether the State has violated its international obligations owing to the actions of its judicial bodies can lead the Court to examine the corresponding domestic proceedings</w:t>
      </w:r>
      <w:r w:rsidR="00FC5DC8" w:rsidRPr="008D6E5C">
        <w:rPr>
          <w:rFonts w:ascii="Cambria" w:hAnsi="Cambria"/>
          <w:bCs/>
          <w:sz w:val="20"/>
          <w:szCs w:val="20"/>
        </w:rPr>
        <w:t xml:space="preserve">. </w:t>
      </w:r>
      <w:r w:rsidR="002350E6" w:rsidRPr="008D6E5C">
        <w:rPr>
          <w:rFonts w:ascii="Cambria" w:hAnsi="Cambria"/>
          <w:bCs/>
          <w:sz w:val="20"/>
          <w:szCs w:val="20"/>
        </w:rPr>
        <w:t>Hence, according to the circumstances of the case, the Court may have to examine the procedures that are followed in order to establish the grounds for judicial proceedings, particularly the investigative measures on which the opening and evolution of such proceedings depend</w:t>
      </w:r>
      <w:r w:rsidR="00AD5D15"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39"/>
      </w:r>
    </w:p>
    <w:p w:rsidR="00FC5DC8" w:rsidRPr="008D6E5C" w:rsidRDefault="00FC5DC8" w:rsidP="001520DB">
      <w:pPr>
        <w:pStyle w:val="ListParagraph"/>
        <w:ind w:left="1440"/>
        <w:rPr>
          <w:bCs/>
          <w:sz w:val="20"/>
          <w:szCs w:val="20"/>
        </w:rPr>
      </w:pPr>
    </w:p>
    <w:p w:rsidR="00FC5DC8" w:rsidRPr="008D6E5C" w:rsidRDefault="00237ECB"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Accordingly, it is incumbent upon</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Pr="008D6E5C">
        <w:rPr>
          <w:rFonts w:ascii="Cambria" w:hAnsi="Cambria"/>
          <w:bCs/>
          <w:sz w:val="20"/>
          <w:szCs w:val="20"/>
        </w:rPr>
        <w:t>to determine whether the authorities acted with due diligence during</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and criminal proceedings conducted after the murder of journalist</w:t>
      </w:r>
      <w:r w:rsidR="00FC5DC8" w:rsidRPr="008D6E5C">
        <w:rPr>
          <w:rFonts w:ascii="Cambria" w:hAnsi="Cambria"/>
          <w:bCs/>
          <w:sz w:val="20"/>
          <w:szCs w:val="20"/>
        </w:rPr>
        <w:t xml:space="preserve"> 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Pr="008D6E5C">
        <w:rPr>
          <w:rFonts w:ascii="Cambria" w:hAnsi="Cambria"/>
          <w:bCs/>
          <w:sz w:val="20"/>
          <w:szCs w:val="20"/>
        </w:rPr>
        <w:t>, and it will examine the alleged irregularities concerning:</w:t>
      </w:r>
      <w:r w:rsidR="00FC5DC8" w:rsidRPr="008D6E5C">
        <w:rPr>
          <w:rFonts w:ascii="Cambria" w:hAnsi="Cambria"/>
          <w:bCs/>
          <w:sz w:val="20"/>
          <w:szCs w:val="20"/>
        </w:rPr>
        <w:t xml:space="preserve"> (a) </w:t>
      </w:r>
      <w:r w:rsidRPr="008D6E5C">
        <w:rPr>
          <w:rFonts w:ascii="Cambria" w:hAnsi="Cambria"/>
          <w:bCs/>
          <w:sz w:val="20"/>
          <w:szCs w:val="20"/>
        </w:rPr>
        <w:t>the lack of protection, given the</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 xml:space="preserve">intimidation, and pressures to which relatives and witnesses were subjected; </w:t>
      </w:r>
      <w:r w:rsidR="00FC5DC8" w:rsidRPr="008D6E5C">
        <w:rPr>
          <w:rFonts w:ascii="Cambria" w:hAnsi="Cambria"/>
          <w:bCs/>
          <w:sz w:val="20"/>
          <w:szCs w:val="20"/>
        </w:rPr>
        <w:t xml:space="preserve">(b) </w:t>
      </w:r>
      <w:r w:rsidRPr="008D6E5C">
        <w:rPr>
          <w:rFonts w:ascii="Cambria" w:hAnsi="Cambria"/>
          <w:bCs/>
          <w:sz w:val="20"/>
          <w:szCs w:val="20"/>
        </w:rPr>
        <w:t>the lack of</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in the gathering of evidence</w:t>
      </w:r>
      <w:r w:rsidR="00FC5DC8" w:rsidRPr="008D6E5C">
        <w:rPr>
          <w:rFonts w:ascii="Cambria" w:hAnsi="Cambria"/>
          <w:bCs/>
          <w:sz w:val="20"/>
          <w:szCs w:val="20"/>
        </w:rPr>
        <w:t xml:space="preserve">; (c) </w:t>
      </w:r>
      <w:r w:rsidR="00084FF9" w:rsidRPr="008D6E5C">
        <w:rPr>
          <w:rFonts w:ascii="Cambria" w:hAnsi="Cambria"/>
          <w:bCs/>
          <w:sz w:val="20"/>
          <w:szCs w:val="20"/>
        </w:rPr>
        <w:t>lines of investigation</w:t>
      </w:r>
      <w:r w:rsidR="00FC5DC8" w:rsidRPr="008D6E5C">
        <w:rPr>
          <w:rFonts w:ascii="Cambria" w:hAnsi="Cambria"/>
          <w:bCs/>
          <w:sz w:val="20"/>
          <w:szCs w:val="20"/>
        </w:rPr>
        <w:t xml:space="preserve"> </w:t>
      </w:r>
      <w:r w:rsidRPr="008D6E5C">
        <w:rPr>
          <w:rFonts w:ascii="Cambria" w:hAnsi="Cambria"/>
          <w:bCs/>
          <w:sz w:val="20"/>
          <w:szCs w:val="20"/>
        </w:rPr>
        <w:t>and identification of perpetrators</w:t>
      </w:r>
      <w:r w:rsidR="00FC5DC8" w:rsidRPr="008D6E5C">
        <w:rPr>
          <w:rFonts w:ascii="Cambria" w:hAnsi="Cambria"/>
          <w:bCs/>
          <w:sz w:val="20"/>
          <w:szCs w:val="20"/>
        </w:rPr>
        <w:t xml:space="preserve">; (d) </w:t>
      </w:r>
      <w:r w:rsidRPr="008D6E5C">
        <w:rPr>
          <w:rFonts w:ascii="Cambria" w:hAnsi="Cambria"/>
          <w:bCs/>
          <w:sz w:val="20"/>
          <w:szCs w:val="20"/>
        </w:rPr>
        <w:t>the undue delay and absence of substantial progress in the investigations</w:t>
      </w:r>
      <w:r w:rsidR="00FC5DC8" w:rsidRPr="008D6E5C">
        <w:rPr>
          <w:rFonts w:ascii="Cambria" w:hAnsi="Cambria"/>
          <w:bCs/>
          <w:sz w:val="20"/>
          <w:szCs w:val="20"/>
        </w:rPr>
        <w:t xml:space="preserve">; </w:t>
      </w:r>
      <w:r w:rsidRPr="008D6E5C">
        <w:rPr>
          <w:rFonts w:ascii="Cambria" w:hAnsi="Cambria"/>
          <w:bCs/>
          <w:sz w:val="20"/>
          <w:szCs w:val="20"/>
        </w:rPr>
        <w:t>and</w:t>
      </w:r>
      <w:r w:rsidR="00FC5DC8" w:rsidRPr="008D6E5C">
        <w:rPr>
          <w:rFonts w:ascii="Cambria" w:hAnsi="Cambria"/>
          <w:bCs/>
          <w:sz w:val="20"/>
          <w:szCs w:val="20"/>
        </w:rPr>
        <w:t xml:space="preserve"> (e) </w:t>
      </w:r>
      <w:r w:rsidRPr="008D6E5C">
        <w:rPr>
          <w:rFonts w:ascii="Cambria" w:hAnsi="Cambria"/>
          <w:bCs/>
          <w:sz w:val="20"/>
          <w:szCs w:val="20"/>
        </w:rPr>
        <w:t>obstacles to the participation of the murdered journalist’s relatives in the proceedings</w:t>
      </w:r>
      <w:r w:rsidR="00FC5DC8" w:rsidRPr="008D6E5C">
        <w:rPr>
          <w:rFonts w:ascii="Cambria" w:hAnsi="Cambria"/>
          <w:bCs/>
          <w:sz w:val="20"/>
          <w:szCs w:val="20"/>
        </w:rPr>
        <w:t xml:space="preserve">. </w:t>
      </w:r>
      <w:r w:rsidRPr="008D6E5C">
        <w:rPr>
          <w:rFonts w:ascii="Cambria" w:hAnsi="Cambria"/>
          <w:bCs/>
          <w:sz w:val="20"/>
          <w:szCs w:val="20"/>
        </w:rPr>
        <w:t xml:space="preserve">All of this will be examined in light of the international standards developed </w:t>
      </w:r>
      <w:r w:rsidR="00FC5DC8" w:rsidRPr="008D6E5C">
        <w:rPr>
          <w:rFonts w:ascii="Cambria" w:hAnsi="Cambria"/>
          <w:bCs/>
          <w:i/>
          <w:sz w:val="20"/>
          <w:szCs w:val="20"/>
        </w:rPr>
        <w:t>supra</w:t>
      </w:r>
      <w:r w:rsidR="00FC5DC8" w:rsidRPr="008D6E5C">
        <w:rPr>
          <w:rFonts w:ascii="Cambria" w:hAnsi="Cambria"/>
          <w:bCs/>
          <w:sz w:val="20"/>
          <w:szCs w:val="20"/>
        </w:rPr>
        <w:t xml:space="preserve"> </w:t>
      </w:r>
      <w:r w:rsidRPr="008D6E5C">
        <w:rPr>
          <w:rFonts w:ascii="Cambria" w:hAnsi="Cambria"/>
          <w:bCs/>
          <w:sz w:val="20"/>
          <w:szCs w:val="20"/>
        </w:rPr>
        <w:t xml:space="preserve">with </w:t>
      </w:r>
      <w:r w:rsidR="00FC5DC8" w:rsidRPr="008D6E5C">
        <w:rPr>
          <w:rFonts w:ascii="Cambria" w:hAnsi="Cambria"/>
          <w:bCs/>
          <w:sz w:val="20"/>
          <w:szCs w:val="20"/>
        </w:rPr>
        <w:t>respect</w:t>
      </w:r>
      <w:r w:rsidRPr="008D6E5C">
        <w:rPr>
          <w:rFonts w:ascii="Cambria" w:hAnsi="Cambria"/>
          <w:bCs/>
          <w:sz w:val="20"/>
          <w:szCs w:val="20"/>
        </w:rPr>
        <w:t xml:space="preserve"> t</w:t>
      </w:r>
      <w:r w:rsidR="00FC5DC8" w:rsidRPr="008D6E5C">
        <w:rPr>
          <w:rFonts w:ascii="Cambria" w:hAnsi="Cambria"/>
          <w:bCs/>
          <w:sz w:val="20"/>
          <w:szCs w:val="20"/>
        </w:rPr>
        <w:t xml:space="preserve">o </w:t>
      </w:r>
      <w:r w:rsidRPr="008D6E5C">
        <w:rPr>
          <w:rFonts w:ascii="Cambria" w:hAnsi="Cambria"/>
          <w:bCs/>
          <w:sz w:val="20"/>
          <w:szCs w:val="20"/>
        </w:rPr>
        <w:t xml:space="preserve">the general and specific obligations of States to </w:t>
      </w:r>
      <w:r w:rsidR="00232085" w:rsidRPr="008D6E5C">
        <w:rPr>
          <w:rFonts w:ascii="Cambria" w:hAnsi="Cambria"/>
          <w:bCs/>
          <w:sz w:val="20"/>
          <w:szCs w:val="20"/>
        </w:rPr>
        <w:t xml:space="preserve">investigate, prosecute, and, if appropriate, punish the </w:t>
      </w:r>
      <w:r w:rsidR="0012782E" w:rsidRPr="008D6E5C">
        <w:rPr>
          <w:rFonts w:ascii="Cambria" w:hAnsi="Cambria"/>
          <w:bCs/>
          <w:sz w:val="20"/>
          <w:szCs w:val="20"/>
        </w:rPr>
        <w:t>perpetrators</w:t>
      </w:r>
      <w:r w:rsidR="00FC5DC8" w:rsidRPr="008D6E5C">
        <w:rPr>
          <w:rFonts w:ascii="Cambria" w:hAnsi="Cambria"/>
          <w:bCs/>
          <w:sz w:val="20"/>
          <w:szCs w:val="20"/>
        </w:rPr>
        <w:t xml:space="preserve"> </w:t>
      </w:r>
      <w:r w:rsidRPr="008D6E5C">
        <w:rPr>
          <w:rFonts w:ascii="Cambria" w:hAnsi="Cambria"/>
          <w:bCs/>
          <w:sz w:val="20"/>
          <w:szCs w:val="20"/>
        </w:rPr>
        <w:t>in cases involving the murder of journalists</w:t>
      </w:r>
      <w:r w:rsidR="00FC5DC8" w:rsidRPr="008D6E5C">
        <w:rPr>
          <w:rFonts w:ascii="Cambria" w:hAnsi="Cambria"/>
          <w:bCs/>
          <w:sz w:val="20"/>
          <w:szCs w:val="20"/>
        </w:rPr>
        <w:t xml:space="preserve"> </w:t>
      </w:r>
      <w:r w:rsidRPr="008D6E5C">
        <w:rPr>
          <w:rFonts w:ascii="Cambria" w:hAnsi="Cambria"/>
          <w:bCs/>
          <w:sz w:val="20"/>
          <w:szCs w:val="20"/>
        </w:rPr>
        <w:t>on account the exercise of their</w:t>
      </w:r>
      <w:r w:rsidR="00FC5DC8" w:rsidRPr="008D6E5C">
        <w:rPr>
          <w:rFonts w:ascii="Cambria" w:hAnsi="Cambria"/>
          <w:bCs/>
          <w:sz w:val="20"/>
          <w:szCs w:val="20"/>
        </w:rPr>
        <w:t xml:space="preserve"> </w:t>
      </w:r>
      <w:r w:rsidR="001E1AA7" w:rsidRPr="008D6E5C">
        <w:rPr>
          <w:rFonts w:ascii="Cambria" w:hAnsi="Cambria"/>
          <w:bCs/>
          <w:sz w:val="20"/>
          <w:szCs w:val="20"/>
        </w:rPr>
        <w:t>right to freedom</w:t>
      </w:r>
      <w:r w:rsidR="0003360B" w:rsidRPr="008D6E5C">
        <w:rPr>
          <w:rFonts w:ascii="Cambria" w:hAnsi="Cambria"/>
          <w:bCs/>
          <w:sz w:val="20"/>
          <w:szCs w:val="20"/>
        </w:rPr>
        <w:t xml:space="preserve"> of expression</w:t>
      </w:r>
      <w:r w:rsidR="00FC5DC8" w:rsidRPr="008D6E5C">
        <w:rPr>
          <w:rFonts w:ascii="Cambria" w:hAnsi="Cambria"/>
          <w:bCs/>
          <w:sz w:val="20"/>
          <w:szCs w:val="20"/>
        </w:rPr>
        <w:t>.</w:t>
      </w:r>
      <w:bookmarkEnd w:id="49"/>
      <w:bookmarkEnd w:id="50"/>
    </w:p>
    <w:p w:rsidR="00FC5DC8" w:rsidRPr="008D6E5C" w:rsidRDefault="00FC5DC8" w:rsidP="001520DB">
      <w:pPr>
        <w:pStyle w:val="ListParagraph"/>
        <w:shd w:val="clear" w:color="auto" w:fill="FFFFFF"/>
        <w:jc w:val="both"/>
        <w:rPr>
          <w:bCs/>
          <w:sz w:val="20"/>
          <w:szCs w:val="20"/>
        </w:rPr>
      </w:pPr>
    </w:p>
    <w:p w:rsidR="00FC5DC8" w:rsidRPr="008D6E5C" w:rsidRDefault="00EF5F24" w:rsidP="001E4690">
      <w:pPr>
        <w:pStyle w:val="Heading4"/>
        <w:keepNext w:val="0"/>
        <w:keepLines w:val="0"/>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440"/>
        </w:tabs>
        <w:spacing w:before="0"/>
        <w:ind w:left="1440" w:hanging="720"/>
        <w:rPr>
          <w:szCs w:val="20"/>
        </w:rPr>
      </w:pPr>
      <w:r w:rsidRPr="008D6E5C">
        <w:rPr>
          <w:szCs w:val="20"/>
        </w:rPr>
        <w:t>Protection of the relatives of journalist</w:t>
      </w:r>
      <w:r w:rsidR="00FC5DC8" w:rsidRPr="008D6E5C">
        <w:rPr>
          <w:szCs w:val="20"/>
        </w:rPr>
        <w:t xml:space="preserve"> Nelson </w:t>
      </w:r>
      <w:proofErr w:type="spellStart"/>
      <w:r w:rsidR="00FC5DC8" w:rsidRPr="008D6E5C">
        <w:rPr>
          <w:szCs w:val="20"/>
        </w:rPr>
        <w:t>Carvajal</w:t>
      </w:r>
      <w:proofErr w:type="spellEnd"/>
      <w:r w:rsidR="00FC5DC8" w:rsidRPr="008D6E5C">
        <w:rPr>
          <w:szCs w:val="20"/>
        </w:rPr>
        <w:t xml:space="preserve"> </w:t>
      </w:r>
      <w:proofErr w:type="spellStart"/>
      <w:r w:rsidR="00FC5DC8" w:rsidRPr="008D6E5C">
        <w:rPr>
          <w:szCs w:val="20"/>
        </w:rPr>
        <w:t>Carvajal</w:t>
      </w:r>
      <w:proofErr w:type="spellEnd"/>
      <w:r w:rsidR="00FC5DC8" w:rsidRPr="008D6E5C">
        <w:rPr>
          <w:szCs w:val="20"/>
        </w:rPr>
        <w:t xml:space="preserve"> </w:t>
      </w:r>
      <w:r w:rsidRPr="008D6E5C">
        <w:rPr>
          <w:szCs w:val="20"/>
        </w:rPr>
        <w:t>and witnesses in the case from threats and acts of intimidation</w:t>
      </w:r>
    </w:p>
    <w:p w:rsidR="00FC5DC8" w:rsidRPr="008D6E5C" w:rsidRDefault="00FC5DC8" w:rsidP="001520DB">
      <w:pPr>
        <w:pStyle w:val="ListParagraph"/>
        <w:shd w:val="clear" w:color="auto" w:fill="FFFFFF"/>
        <w:jc w:val="both"/>
        <w:rPr>
          <w:bCs/>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The IACHR</w:t>
      </w:r>
      <w:r w:rsidR="00FC5DC8" w:rsidRPr="008D6E5C">
        <w:rPr>
          <w:rFonts w:ascii="Cambria" w:hAnsi="Cambria"/>
          <w:bCs/>
          <w:sz w:val="20"/>
          <w:szCs w:val="20"/>
        </w:rPr>
        <w:t xml:space="preserve"> ha</w:t>
      </w:r>
      <w:r w:rsidR="003E0349" w:rsidRPr="008D6E5C">
        <w:rPr>
          <w:rFonts w:ascii="Cambria" w:hAnsi="Cambria"/>
          <w:bCs/>
          <w:sz w:val="20"/>
          <w:szCs w:val="20"/>
        </w:rPr>
        <w:t xml:space="preserve">s indicated that the existence of an adequate institutional framework is crucial for the State to meet its </w:t>
      </w:r>
      <w:r w:rsidR="00F0735A" w:rsidRPr="008D6E5C">
        <w:rPr>
          <w:rFonts w:ascii="Cambria" w:hAnsi="Cambria"/>
          <w:bCs/>
          <w:sz w:val="20"/>
          <w:szCs w:val="20"/>
        </w:rPr>
        <w:t>obligation to investigate</w:t>
      </w:r>
      <w:r w:rsidR="00FC5DC8" w:rsidRPr="008D6E5C">
        <w:rPr>
          <w:rFonts w:ascii="Cambria" w:hAnsi="Cambria"/>
          <w:bCs/>
          <w:sz w:val="20"/>
          <w:szCs w:val="20"/>
        </w:rPr>
        <w:t xml:space="preserve">, </w:t>
      </w:r>
      <w:r w:rsidR="003E0349" w:rsidRPr="008D6E5C">
        <w:rPr>
          <w:rFonts w:ascii="Cambria" w:hAnsi="Cambria"/>
          <w:bCs/>
          <w:sz w:val="20"/>
          <w:szCs w:val="20"/>
        </w:rPr>
        <w:t xml:space="preserve">prosecute, and punish </w:t>
      </w:r>
      <w:r w:rsidR="00EF5F24" w:rsidRPr="008D6E5C">
        <w:rPr>
          <w:rFonts w:ascii="Cambria" w:hAnsi="Cambria"/>
          <w:bCs/>
          <w:sz w:val="20"/>
          <w:szCs w:val="20"/>
        </w:rPr>
        <w:t>crimes against journalists</w:t>
      </w:r>
      <w:r w:rsidR="00FC5DC8" w:rsidRPr="008D6E5C">
        <w:rPr>
          <w:rFonts w:ascii="Cambria" w:hAnsi="Cambria"/>
          <w:bCs/>
          <w:sz w:val="20"/>
          <w:szCs w:val="20"/>
        </w:rPr>
        <w:t xml:space="preserve">. </w:t>
      </w:r>
      <w:r w:rsidR="003E0349" w:rsidRPr="008D6E5C">
        <w:rPr>
          <w:rFonts w:ascii="Cambria" w:hAnsi="Cambria"/>
          <w:bCs/>
          <w:sz w:val="20"/>
          <w:szCs w:val="20"/>
        </w:rPr>
        <w:t xml:space="preserve">To that </w:t>
      </w:r>
      <w:r w:rsidR="003E0349" w:rsidRPr="008D6E5C">
        <w:rPr>
          <w:rFonts w:ascii="Cambria" w:hAnsi="Cambria"/>
          <w:bCs/>
          <w:sz w:val="20"/>
          <w:szCs w:val="20"/>
        </w:rPr>
        <w:lastRenderedPageBreak/>
        <w:t>end, States have the obligation to ensure that the institutional frameworks are not designed in such a way that they lead to or encourage impunity when such crimes occur.</w:t>
      </w:r>
      <w:r w:rsidR="00FC5DC8" w:rsidRPr="008D6E5C">
        <w:rPr>
          <w:rFonts w:ascii="Cambria" w:hAnsi="Cambria"/>
          <w:bCs/>
          <w:sz w:val="20"/>
          <w:szCs w:val="20"/>
          <w:vertAlign w:val="superscript"/>
        </w:rPr>
        <w:footnoteReference w:id="140"/>
      </w:r>
      <w:r w:rsidR="00EF5F24" w:rsidRPr="008D6E5C">
        <w:rPr>
          <w:rFonts w:ascii="Cambria" w:hAnsi="Cambria"/>
          <w:bCs/>
          <w:sz w:val="20"/>
          <w:szCs w:val="20"/>
        </w:rPr>
        <w:t xml:space="preserve"> </w:t>
      </w:r>
      <w:r w:rsidR="003E0349" w:rsidRPr="008D6E5C">
        <w:rPr>
          <w:rFonts w:ascii="Cambria" w:hAnsi="Cambria"/>
          <w:bCs/>
          <w:sz w:val="20"/>
          <w:szCs w:val="20"/>
        </w:rPr>
        <w:t>In addition, States must ensure that the bodies responsible for investigating, prosecuting, and punishing the perpetrators of those crimes have the necessary conditions to do their work properly</w:t>
      </w:r>
      <w:r w:rsidR="00EF5F24" w:rsidRPr="008D6E5C">
        <w:rPr>
          <w:rFonts w:ascii="Cambria" w:hAnsi="Cambria"/>
          <w:bCs/>
          <w:sz w:val="20"/>
          <w:szCs w:val="20"/>
        </w:rPr>
        <w:t>.</w:t>
      </w:r>
      <w:r w:rsidR="00FC5DC8" w:rsidRPr="008D6E5C">
        <w:rPr>
          <w:rFonts w:ascii="Cambria" w:hAnsi="Cambria"/>
          <w:bCs/>
          <w:sz w:val="20"/>
          <w:szCs w:val="20"/>
          <w:vertAlign w:val="superscript"/>
        </w:rPr>
        <w:footnoteReference w:id="141"/>
      </w:r>
    </w:p>
    <w:p w:rsidR="00FC5DC8" w:rsidRPr="008D6E5C" w:rsidRDefault="00FC5DC8" w:rsidP="001520DB">
      <w:pPr>
        <w:pStyle w:val="ListParagraph"/>
        <w:rPr>
          <w:bCs/>
          <w:sz w:val="20"/>
          <w:szCs w:val="20"/>
        </w:rPr>
      </w:pPr>
    </w:p>
    <w:p w:rsidR="00FC5DC8" w:rsidRPr="008D6E5C" w:rsidRDefault="003A5526"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Accordingly, States must assign the responsibility for investigating and prosecuting these crimes to the authorities that are in the best position to adjudicate them and that have the autonomy and independence to act. In this respect</w:t>
      </w:r>
      <w:r w:rsidR="00FC5DC8" w:rsidRPr="008D6E5C">
        <w:rPr>
          <w:rFonts w:ascii="Cambria" w:hAnsi="Cambria"/>
          <w:bCs/>
          <w:sz w:val="20"/>
          <w:szCs w:val="20"/>
        </w:rPr>
        <w:t xml:space="preserve">, </w:t>
      </w:r>
      <w:r w:rsidRPr="008D6E5C">
        <w:rPr>
          <w:rFonts w:ascii="Cambria" w:hAnsi="Cambria"/>
          <w:bCs/>
          <w:sz w:val="20"/>
          <w:szCs w:val="20"/>
        </w:rPr>
        <w:t xml:space="preserve">not only </w:t>
      </w:r>
      <w:r w:rsidR="009F3A2C" w:rsidRPr="008D6E5C">
        <w:rPr>
          <w:rFonts w:ascii="Cambria" w:hAnsi="Cambria"/>
          <w:bCs/>
          <w:sz w:val="20"/>
          <w:szCs w:val="20"/>
        </w:rPr>
        <w:t xml:space="preserve">must they ensure </w:t>
      </w:r>
      <w:r w:rsidRPr="008D6E5C">
        <w:rPr>
          <w:rFonts w:ascii="Cambria" w:hAnsi="Cambria"/>
          <w:bCs/>
          <w:sz w:val="20"/>
          <w:szCs w:val="20"/>
        </w:rPr>
        <w:t>the hierarchical and institutional independence of the authorities charged with conducting the investigations and the judicial proceedings</w:t>
      </w:r>
      <w:r w:rsidR="009E05FE" w:rsidRPr="008D6E5C">
        <w:rPr>
          <w:rFonts w:ascii="Cambria" w:hAnsi="Cambria"/>
          <w:bCs/>
          <w:sz w:val="20"/>
          <w:szCs w:val="20"/>
        </w:rPr>
        <w:t xml:space="preserve"> but </w:t>
      </w:r>
      <w:r w:rsidR="009F3A2C" w:rsidRPr="008D6E5C">
        <w:rPr>
          <w:rFonts w:ascii="Cambria" w:hAnsi="Cambria"/>
          <w:bCs/>
          <w:sz w:val="20"/>
          <w:szCs w:val="20"/>
        </w:rPr>
        <w:t xml:space="preserve">they must </w:t>
      </w:r>
      <w:r w:rsidR="009E05FE" w:rsidRPr="008D6E5C">
        <w:rPr>
          <w:rFonts w:ascii="Cambria" w:hAnsi="Cambria"/>
          <w:bCs/>
          <w:sz w:val="20"/>
          <w:szCs w:val="20"/>
        </w:rPr>
        <w:t xml:space="preserve">also </w:t>
      </w:r>
      <w:r w:rsidR="009F3A2C" w:rsidRPr="008D6E5C">
        <w:rPr>
          <w:rFonts w:ascii="Cambria" w:hAnsi="Cambria"/>
          <w:bCs/>
          <w:sz w:val="20"/>
          <w:szCs w:val="20"/>
        </w:rPr>
        <w:t>be able to practically verify that</w:t>
      </w:r>
      <w:r w:rsidR="009E05FE" w:rsidRPr="008D6E5C">
        <w:rPr>
          <w:rFonts w:ascii="Cambria" w:hAnsi="Cambria"/>
          <w:bCs/>
          <w:sz w:val="20"/>
          <w:szCs w:val="20"/>
        </w:rPr>
        <w:t xml:space="preserve"> independence in the specific case.</w:t>
      </w:r>
      <w:r w:rsidR="00FC5DC8" w:rsidRPr="008D6E5C">
        <w:rPr>
          <w:rFonts w:ascii="Cambria" w:hAnsi="Cambria"/>
          <w:bCs/>
          <w:sz w:val="20"/>
          <w:szCs w:val="20"/>
          <w:vertAlign w:val="superscript"/>
        </w:rPr>
        <w:footnoteReference w:id="142"/>
      </w:r>
      <w:r w:rsidR="00FC5DC8" w:rsidRPr="008D6E5C">
        <w:rPr>
          <w:rFonts w:ascii="Cambria" w:hAnsi="Cambria"/>
          <w:bCs/>
          <w:sz w:val="20"/>
          <w:szCs w:val="20"/>
        </w:rPr>
        <w:t xml:space="preserve"> </w:t>
      </w:r>
      <w:r w:rsidR="00432B88" w:rsidRPr="008D6E5C">
        <w:rPr>
          <w:rFonts w:ascii="Cambria" w:hAnsi="Cambria"/>
          <w:bCs/>
          <w:sz w:val="20"/>
          <w:szCs w:val="20"/>
        </w:rPr>
        <w:t xml:space="preserve">States must ensure that the judges and prosecutors with jurisdiction over cases of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w:t>
      </w:r>
      <w:r w:rsidR="00432B88" w:rsidRPr="008D6E5C">
        <w:rPr>
          <w:rFonts w:ascii="Cambria" w:hAnsi="Cambria"/>
          <w:bCs/>
          <w:sz w:val="20"/>
          <w:szCs w:val="20"/>
        </w:rPr>
        <w:t>can operate without being subjected to the influence of the government official or criminal organization allegedly involved in the crime</w:t>
      </w:r>
      <w:r w:rsidR="00FC5DC8" w:rsidRPr="008D6E5C">
        <w:rPr>
          <w:rFonts w:ascii="Cambria" w:hAnsi="Cambria"/>
          <w:bCs/>
          <w:sz w:val="20"/>
          <w:szCs w:val="20"/>
        </w:rPr>
        <w:t xml:space="preserve">, </w:t>
      </w:r>
      <w:r w:rsidR="00432B88" w:rsidRPr="008D6E5C">
        <w:rPr>
          <w:rFonts w:ascii="Cambria" w:hAnsi="Cambria"/>
          <w:bCs/>
          <w:sz w:val="20"/>
          <w:szCs w:val="20"/>
        </w:rPr>
        <w:t>in view of evidence of their participation in the act of violence.</w:t>
      </w:r>
      <w:r w:rsidR="00FC5DC8" w:rsidRPr="008D6E5C">
        <w:rPr>
          <w:rFonts w:ascii="Cambria" w:hAnsi="Cambria"/>
          <w:bCs/>
          <w:sz w:val="20"/>
          <w:szCs w:val="20"/>
        </w:rPr>
        <w:t xml:space="preserve"> </w:t>
      </w:r>
      <w:r w:rsidR="00432B88" w:rsidRPr="008D6E5C">
        <w:rPr>
          <w:rFonts w:ascii="Cambria" w:hAnsi="Cambria"/>
          <w:bCs/>
          <w:sz w:val="20"/>
          <w:szCs w:val="20"/>
        </w:rPr>
        <w:t xml:space="preserve">In the event that the investigative and prosecutorial bodies </w:t>
      </w:r>
      <w:r w:rsidR="004F0E80" w:rsidRPr="008D6E5C">
        <w:rPr>
          <w:rFonts w:ascii="Cambria" w:hAnsi="Cambria"/>
          <w:bCs/>
          <w:sz w:val="20"/>
          <w:szCs w:val="20"/>
        </w:rPr>
        <w:t>function</w:t>
      </w:r>
      <w:r w:rsidR="00432B88" w:rsidRPr="008D6E5C">
        <w:rPr>
          <w:rFonts w:ascii="Cambria" w:hAnsi="Cambria"/>
          <w:bCs/>
          <w:sz w:val="20"/>
          <w:szCs w:val="20"/>
        </w:rPr>
        <w:t xml:space="preserve"> within this sphere of influence, the State has the duty to provide them with sufficient capacity to resist that influence</w:t>
      </w:r>
      <w:r w:rsidR="00E33F23" w:rsidRPr="008D6E5C">
        <w:rPr>
          <w:rFonts w:ascii="Cambria" w:hAnsi="Cambria"/>
          <w:bCs/>
          <w:sz w:val="20"/>
          <w:szCs w:val="20"/>
        </w:rPr>
        <w:t>.</w:t>
      </w:r>
      <w:r w:rsidR="00FC5DC8" w:rsidRPr="008D6E5C">
        <w:rPr>
          <w:rFonts w:ascii="Cambria" w:hAnsi="Cambria"/>
          <w:bCs/>
          <w:sz w:val="20"/>
          <w:szCs w:val="20"/>
          <w:vertAlign w:val="superscript"/>
        </w:rPr>
        <w:footnoteReference w:id="143"/>
      </w:r>
    </w:p>
    <w:p w:rsidR="00FC5DC8" w:rsidRPr="008D6E5C" w:rsidRDefault="00FC5DC8" w:rsidP="001520DB">
      <w:pPr>
        <w:pStyle w:val="ListParagraph"/>
        <w:rPr>
          <w:bCs/>
          <w:sz w:val="20"/>
          <w:szCs w:val="20"/>
        </w:rPr>
      </w:pPr>
    </w:p>
    <w:p w:rsidR="00FC5DC8" w:rsidRPr="008D6E5C" w:rsidRDefault="00FC5D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Ad</w:t>
      </w:r>
      <w:r w:rsidR="00E33F23" w:rsidRPr="008D6E5C">
        <w:rPr>
          <w:rFonts w:ascii="Cambria" w:hAnsi="Cambria"/>
          <w:bCs/>
          <w:sz w:val="20"/>
          <w:szCs w:val="20"/>
        </w:rPr>
        <w:t>ditionally</w:t>
      </w:r>
      <w:r w:rsidRPr="008D6E5C">
        <w:rPr>
          <w:rFonts w:ascii="Cambria" w:hAnsi="Cambria"/>
          <w:bCs/>
          <w:sz w:val="20"/>
          <w:szCs w:val="20"/>
        </w:rPr>
        <w:t xml:space="preserve">, </w:t>
      </w:r>
      <w:r w:rsidR="00DF44C8" w:rsidRPr="008D6E5C">
        <w:rPr>
          <w:rFonts w:ascii="Cambria" w:hAnsi="Cambria"/>
          <w:bCs/>
          <w:sz w:val="20"/>
          <w:szCs w:val="20"/>
        </w:rPr>
        <w:t>the IACHR</w:t>
      </w:r>
      <w:r w:rsidRPr="008D6E5C">
        <w:rPr>
          <w:rFonts w:ascii="Cambria" w:hAnsi="Cambria"/>
          <w:bCs/>
          <w:sz w:val="20"/>
          <w:szCs w:val="20"/>
        </w:rPr>
        <w:t xml:space="preserve"> ha</w:t>
      </w:r>
      <w:r w:rsidR="001B5955" w:rsidRPr="008D6E5C">
        <w:rPr>
          <w:rFonts w:ascii="Cambria" w:hAnsi="Cambria"/>
          <w:bCs/>
          <w:sz w:val="20"/>
          <w:szCs w:val="20"/>
        </w:rPr>
        <w:t xml:space="preserve">s observed </w:t>
      </w:r>
      <w:r w:rsidR="003B7FEC" w:rsidRPr="008D6E5C">
        <w:rPr>
          <w:rFonts w:ascii="Cambria" w:hAnsi="Cambria"/>
          <w:bCs/>
          <w:sz w:val="20"/>
          <w:szCs w:val="20"/>
        </w:rPr>
        <w:t>that it is important for</w:t>
      </w:r>
      <w:r w:rsidR="001B5955" w:rsidRPr="008D6E5C">
        <w:rPr>
          <w:rFonts w:ascii="Cambria" w:hAnsi="Cambria"/>
          <w:bCs/>
          <w:sz w:val="20"/>
          <w:szCs w:val="20"/>
        </w:rPr>
        <w:t xml:space="preserve"> States </w:t>
      </w:r>
      <w:r w:rsidR="003B7FEC" w:rsidRPr="008D6E5C">
        <w:rPr>
          <w:rFonts w:ascii="Cambria" w:hAnsi="Cambria"/>
          <w:bCs/>
          <w:sz w:val="20"/>
          <w:szCs w:val="20"/>
        </w:rPr>
        <w:t xml:space="preserve">to </w:t>
      </w:r>
      <w:r w:rsidR="001B5955" w:rsidRPr="008D6E5C">
        <w:rPr>
          <w:rFonts w:ascii="Cambria" w:hAnsi="Cambria"/>
          <w:bCs/>
          <w:sz w:val="20"/>
          <w:szCs w:val="20"/>
        </w:rPr>
        <w:t>clearly defin</w:t>
      </w:r>
      <w:r w:rsidR="003B7FEC" w:rsidRPr="008D6E5C">
        <w:rPr>
          <w:rFonts w:ascii="Cambria" w:hAnsi="Cambria"/>
          <w:bCs/>
          <w:sz w:val="20"/>
          <w:szCs w:val="20"/>
        </w:rPr>
        <w:t xml:space="preserve">e </w:t>
      </w:r>
      <w:r w:rsidR="001B5955" w:rsidRPr="008D6E5C">
        <w:rPr>
          <w:rFonts w:ascii="Cambria" w:hAnsi="Cambria"/>
          <w:bCs/>
          <w:sz w:val="20"/>
          <w:szCs w:val="20"/>
        </w:rPr>
        <w:t>the procedural jurisdiction of the authorities in charge of investigating a</w:t>
      </w:r>
      <w:r w:rsidR="003B7FEC" w:rsidRPr="008D6E5C">
        <w:rPr>
          <w:rFonts w:ascii="Cambria" w:hAnsi="Cambria"/>
          <w:bCs/>
          <w:sz w:val="20"/>
          <w:szCs w:val="20"/>
        </w:rPr>
        <w:t xml:space="preserve">nd prosecuting these crimes. This </w:t>
      </w:r>
      <w:r w:rsidR="001B5955" w:rsidRPr="008D6E5C">
        <w:rPr>
          <w:rFonts w:ascii="Cambria" w:hAnsi="Cambria"/>
          <w:bCs/>
          <w:sz w:val="20"/>
          <w:szCs w:val="20"/>
        </w:rPr>
        <w:t xml:space="preserve">is especially essential </w:t>
      </w:r>
      <w:r w:rsidR="003B7FEC" w:rsidRPr="008D6E5C">
        <w:rPr>
          <w:rFonts w:ascii="Cambria" w:hAnsi="Cambria"/>
          <w:bCs/>
          <w:sz w:val="20"/>
          <w:szCs w:val="20"/>
        </w:rPr>
        <w:t>in determining who has the</w:t>
      </w:r>
      <w:r w:rsidR="001B5955" w:rsidRPr="008D6E5C">
        <w:rPr>
          <w:rFonts w:ascii="Cambria" w:hAnsi="Cambria"/>
          <w:bCs/>
          <w:sz w:val="20"/>
          <w:szCs w:val="20"/>
        </w:rPr>
        <w:t xml:space="preserve"> </w:t>
      </w:r>
      <w:r w:rsidR="003B7FEC" w:rsidRPr="008D6E5C">
        <w:rPr>
          <w:rFonts w:ascii="Cambria" w:hAnsi="Cambria"/>
          <w:bCs/>
          <w:sz w:val="20"/>
          <w:szCs w:val="20"/>
        </w:rPr>
        <w:t>authority</w:t>
      </w:r>
      <w:r w:rsidR="001B5955" w:rsidRPr="008D6E5C">
        <w:rPr>
          <w:rFonts w:ascii="Cambria" w:hAnsi="Cambria"/>
          <w:bCs/>
          <w:sz w:val="20"/>
          <w:szCs w:val="20"/>
        </w:rPr>
        <w:t xml:space="preserve"> to take over </w:t>
      </w:r>
      <w:r w:rsidR="003B7FEC" w:rsidRPr="008D6E5C">
        <w:rPr>
          <w:rFonts w:ascii="Cambria" w:hAnsi="Cambria"/>
          <w:bCs/>
          <w:sz w:val="20"/>
          <w:szCs w:val="20"/>
        </w:rPr>
        <w:t>an</w:t>
      </w:r>
      <w:r w:rsidR="001B5955" w:rsidRPr="008D6E5C">
        <w:rPr>
          <w:rFonts w:ascii="Cambria" w:hAnsi="Cambria"/>
          <w:bCs/>
          <w:sz w:val="20"/>
          <w:szCs w:val="20"/>
        </w:rPr>
        <w:t xml:space="preserve"> investigation, i</w:t>
      </w:r>
      <w:r w:rsidRPr="008D6E5C">
        <w:rPr>
          <w:rFonts w:ascii="Cambria" w:hAnsi="Cambria"/>
          <w:bCs/>
          <w:sz w:val="20"/>
          <w:szCs w:val="20"/>
        </w:rPr>
        <w:t xml:space="preserve">n </w:t>
      </w:r>
      <w:r w:rsidR="001B5955" w:rsidRPr="008D6E5C">
        <w:rPr>
          <w:rFonts w:ascii="Cambria" w:hAnsi="Cambria"/>
          <w:bCs/>
          <w:sz w:val="20"/>
          <w:szCs w:val="20"/>
        </w:rPr>
        <w:t xml:space="preserve">those cases in which the domestic legal framework allows for federal authorities or authorities from a jurisdiction other than the one in which the crime was committed </w:t>
      </w:r>
      <w:r w:rsidR="003B7FEC" w:rsidRPr="008D6E5C">
        <w:rPr>
          <w:rFonts w:ascii="Cambria" w:hAnsi="Cambria"/>
          <w:bCs/>
          <w:sz w:val="20"/>
          <w:szCs w:val="20"/>
        </w:rPr>
        <w:t>to do so</w:t>
      </w:r>
      <w:r w:rsidR="00E33F23" w:rsidRPr="008D6E5C">
        <w:rPr>
          <w:rFonts w:ascii="Cambria" w:hAnsi="Cambria"/>
          <w:bCs/>
          <w:sz w:val="20"/>
          <w:szCs w:val="20"/>
        </w:rPr>
        <w:t>.</w:t>
      </w:r>
      <w:r w:rsidRPr="008D6E5C">
        <w:rPr>
          <w:rFonts w:ascii="Cambria" w:hAnsi="Cambria"/>
          <w:bCs/>
          <w:sz w:val="20"/>
          <w:szCs w:val="20"/>
          <w:vertAlign w:val="superscript"/>
        </w:rPr>
        <w:footnoteReference w:id="144"/>
      </w:r>
    </w:p>
    <w:p w:rsidR="00FC5DC8" w:rsidRPr="008D6E5C" w:rsidRDefault="00FC5DC8" w:rsidP="001520DB">
      <w:pPr>
        <w:pStyle w:val="ListParagraph"/>
        <w:rPr>
          <w:bCs/>
          <w:sz w:val="20"/>
          <w:szCs w:val="20"/>
        </w:rPr>
      </w:pPr>
    </w:p>
    <w:p w:rsidR="00FC5DC8" w:rsidRPr="008D6E5C" w:rsidRDefault="00E7379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 xml:space="preserve">The obligation to adopt an adequate institutional framework </w:t>
      </w:r>
      <w:r w:rsidR="00377B56" w:rsidRPr="008D6E5C">
        <w:rPr>
          <w:rFonts w:ascii="Cambria" w:hAnsi="Cambria"/>
          <w:bCs/>
          <w:sz w:val="20"/>
          <w:szCs w:val="20"/>
        </w:rPr>
        <w:t xml:space="preserve">also includes the duty to take all necessary measures to protect judges, prosecutors, witnesses, and other individuals </w:t>
      </w:r>
      <w:r w:rsidR="00EA63BB" w:rsidRPr="008D6E5C">
        <w:rPr>
          <w:rFonts w:ascii="Cambria" w:hAnsi="Cambria"/>
          <w:bCs/>
          <w:sz w:val="20"/>
          <w:szCs w:val="20"/>
        </w:rPr>
        <w:t>involved</w:t>
      </w:r>
      <w:r w:rsidR="00377B56" w:rsidRPr="008D6E5C">
        <w:rPr>
          <w:rFonts w:ascii="Cambria" w:hAnsi="Cambria"/>
          <w:bCs/>
          <w:sz w:val="20"/>
          <w:szCs w:val="20"/>
        </w:rPr>
        <w:t xml:space="preserve"> in criminal investigations from outside pressures such as </w:t>
      </w:r>
      <w:r w:rsidR="00EF5F24" w:rsidRPr="008D6E5C">
        <w:rPr>
          <w:rFonts w:ascii="Cambria" w:hAnsi="Cambria"/>
          <w:bCs/>
          <w:sz w:val="20"/>
          <w:szCs w:val="20"/>
        </w:rPr>
        <w:t>threats</w:t>
      </w:r>
      <w:r w:rsidR="00FC5DC8" w:rsidRPr="008D6E5C">
        <w:rPr>
          <w:rFonts w:ascii="Cambria" w:hAnsi="Cambria"/>
          <w:bCs/>
          <w:sz w:val="20"/>
          <w:szCs w:val="20"/>
        </w:rPr>
        <w:t xml:space="preserve">, </w:t>
      </w:r>
      <w:r w:rsidR="00377B56" w:rsidRPr="008D6E5C">
        <w:rPr>
          <w:rFonts w:ascii="Cambria" w:hAnsi="Cambria"/>
          <w:bCs/>
          <w:sz w:val="20"/>
          <w:szCs w:val="20"/>
        </w:rPr>
        <w:t>attacks, and other forms of intimidation</w:t>
      </w:r>
      <w:r w:rsidR="00E33F23" w:rsidRPr="008D6E5C">
        <w:rPr>
          <w:rFonts w:ascii="Cambria" w:hAnsi="Cambria"/>
          <w:sz w:val="20"/>
          <w:szCs w:val="20"/>
        </w:rPr>
        <w:t>.</w:t>
      </w:r>
      <w:r w:rsidR="00FC5DC8" w:rsidRPr="008D6E5C">
        <w:rPr>
          <w:rFonts w:ascii="Cambria" w:hAnsi="Cambria"/>
          <w:bCs/>
          <w:sz w:val="20"/>
          <w:szCs w:val="20"/>
          <w:vertAlign w:val="superscript"/>
        </w:rPr>
        <w:footnoteReference w:id="145"/>
      </w:r>
      <w:r w:rsidR="00FC5DC8" w:rsidRPr="008D6E5C">
        <w:rPr>
          <w:rFonts w:ascii="Cambria" w:hAnsi="Cambria"/>
          <w:bCs/>
          <w:sz w:val="20"/>
          <w:szCs w:val="20"/>
        </w:rPr>
        <w:t xml:space="preserve"> </w:t>
      </w:r>
      <w:r w:rsidR="00A32126" w:rsidRPr="008D6E5C">
        <w:rPr>
          <w:rFonts w:ascii="Cambria" w:hAnsi="Cambria"/>
          <w:bCs/>
          <w:sz w:val="20"/>
          <w:szCs w:val="20"/>
        </w:rPr>
        <w:t xml:space="preserve">States thus </w:t>
      </w:r>
      <w:r w:rsidR="00A32126" w:rsidRPr="008D6E5C">
        <w:rPr>
          <w:rFonts w:ascii="Cambria" w:hAnsi="Cambria"/>
          <w:bCs/>
          <w:sz w:val="20"/>
          <w:szCs w:val="20"/>
        </w:rPr>
        <w:lastRenderedPageBreak/>
        <w:t xml:space="preserve">have the obligation to guarantee the safety of the authorities in charge of the investigations and to implement the measures or mechanisms necessary to prevent the obstruction of </w:t>
      </w:r>
      <w:r w:rsidR="00EA63BB" w:rsidRPr="008D6E5C">
        <w:rPr>
          <w:rFonts w:ascii="Cambria" w:hAnsi="Cambria"/>
          <w:bCs/>
          <w:sz w:val="20"/>
          <w:szCs w:val="20"/>
        </w:rPr>
        <w:t>investigations</w:t>
      </w:r>
      <w:r w:rsidR="00A32126" w:rsidRPr="008D6E5C">
        <w:rPr>
          <w:rFonts w:ascii="Cambria" w:hAnsi="Cambria"/>
          <w:bCs/>
          <w:sz w:val="20"/>
          <w:szCs w:val="20"/>
        </w:rPr>
        <w:t xml:space="preserve">, as well as to offer safety to witnesses, victims, relatives, and other judicial representatives from </w:t>
      </w:r>
      <w:r w:rsidR="00EF5F24" w:rsidRPr="008D6E5C">
        <w:rPr>
          <w:rFonts w:ascii="Cambria" w:hAnsi="Cambria"/>
          <w:bCs/>
          <w:sz w:val="20"/>
          <w:szCs w:val="20"/>
        </w:rPr>
        <w:t>threats</w:t>
      </w:r>
      <w:r w:rsidR="00EA63BB" w:rsidRPr="008D6E5C">
        <w:rPr>
          <w:rFonts w:ascii="Cambria" w:hAnsi="Cambria"/>
          <w:bCs/>
          <w:sz w:val="20"/>
          <w:szCs w:val="20"/>
        </w:rPr>
        <w:t>,</w:t>
      </w:r>
      <w:r w:rsidR="00EF5F24" w:rsidRPr="008D6E5C">
        <w:rPr>
          <w:rFonts w:ascii="Cambria" w:hAnsi="Cambria"/>
          <w:bCs/>
          <w:sz w:val="20"/>
          <w:szCs w:val="20"/>
        </w:rPr>
        <w:t xml:space="preserve"> acts of intimidation</w:t>
      </w:r>
      <w:r w:rsidR="00EA63BB" w:rsidRPr="008D6E5C">
        <w:rPr>
          <w:rFonts w:ascii="Cambria" w:hAnsi="Cambria"/>
          <w:bCs/>
          <w:sz w:val="20"/>
          <w:szCs w:val="20"/>
        </w:rPr>
        <w:t>,</w:t>
      </w:r>
      <w:r w:rsidR="00FC5DC8" w:rsidRPr="008D6E5C">
        <w:rPr>
          <w:rFonts w:ascii="Cambria" w:hAnsi="Cambria"/>
          <w:bCs/>
          <w:sz w:val="20"/>
          <w:szCs w:val="20"/>
        </w:rPr>
        <w:t xml:space="preserve"> o</w:t>
      </w:r>
      <w:r w:rsidR="00A32126" w:rsidRPr="008D6E5C">
        <w:rPr>
          <w:rFonts w:ascii="Cambria" w:hAnsi="Cambria"/>
          <w:bCs/>
          <w:sz w:val="20"/>
          <w:szCs w:val="20"/>
        </w:rPr>
        <w:t>r a</w:t>
      </w:r>
      <w:r w:rsidR="00EA63BB" w:rsidRPr="008D6E5C">
        <w:rPr>
          <w:rFonts w:ascii="Cambria" w:hAnsi="Cambria"/>
          <w:bCs/>
          <w:sz w:val="20"/>
          <w:szCs w:val="20"/>
        </w:rPr>
        <w:t>ssaults</w:t>
      </w:r>
      <w:r w:rsidR="00A32126" w:rsidRPr="008D6E5C">
        <w:rPr>
          <w:rFonts w:ascii="Cambria" w:hAnsi="Cambria"/>
          <w:bCs/>
          <w:sz w:val="20"/>
          <w:szCs w:val="20"/>
        </w:rPr>
        <w:t xml:space="preserve"> that seek to hinder the proceedings</w:t>
      </w:r>
      <w:r w:rsidR="00E33F23" w:rsidRPr="008D6E5C">
        <w:rPr>
          <w:rFonts w:ascii="Cambria" w:hAnsi="Cambria"/>
          <w:bCs/>
          <w:sz w:val="20"/>
          <w:szCs w:val="20"/>
        </w:rPr>
        <w:t>.</w:t>
      </w:r>
      <w:r w:rsidR="00FC5DC8" w:rsidRPr="008D6E5C">
        <w:rPr>
          <w:rFonts w:ascii="Cambria" w:hAnsi="Cambria"/>
          <w:bCs/>
          <w:sz w:val="20"/>
          <w:szCs w:val="20"/>
          <w:vertAlign w:val="superscript"/>
        </w:rPr>
        <w:footnoteReference w:id="146"/>
      </w:r>
      <w:r w:rsidR="00FC5DC8" w:rsidRPr="008D6E5C">
        <w:rPr>
          <w:rFonts w:ascii="Cambria" w:hAnsi="Cambria"/>
          <w:bCs/>
          <w:sz w:val="20"/>
          <w:szCs w:val="20"/>
        </w:rPr>
        <w:t xml:space="preserve"> </w:t>
      </w:r>
      <w:r w:rsidR="00E33F23" w:rsidRPr="008D6E5C">
        <w:rPr>
          <w:rFonts w:ascii="Cambria" w:hAnsi="Cambria"/>
          <w:bCs/>
          <w:sz w:val="20"/>
          <w:szCs w:val="20"/>
        </w:rPr>
        <w:t>Similarly</w:t>
      </w:r>
      <w:r w:rsidR="00FC5DC8" w:rsidRPr="008D6E5C">
        <w:rPr>
          <w:rFonts w:ascii="Cambria" w:hAnsi="Cambria"/>
          <w:bCs/>
          <w:sz w:val="20"/>
          <w:szCs w:val="20"/>
        </w:rPr>
        <w:t xml:space="preserve">, </w:t>
      </w:r>
      <w:r w:rsidR="004B0168" w:rsidRPr="008D6E5C">
        <w:rPr>
          <w:rFonts w:ascii="Cambria" w:hAnsi="Cambria"/>
          <w:bCs/>
          <w:sz w:val="20"/>
          <w:szCs w:val="20"/>
        </w:rPr>
        <w:t>the Inter-American Court</w:t>
      </w:r>
      <w:r w:rsidR="00FC5DC8" w:rsidRPr="008D6E5C">
        <w:rPr>
          <w:rFonts w:ascii="Cambria" w:hAnsi="Cambria"/>
          <w:bCs/>
          <w:sz w:val="20"/>
          <w:szCs w:val="20"/>
        </w:rPr>
        <w:t xml:space="preserve"> </w:t>
      </w:r>
      <w:r w:rsidR="00E33F23" w:rsidRPr="008D6E5C">
        <w:rPr>
          <w:rFonts w:ascii="Cambria" w:hAnsi="Cambria"/>
          <w:bCs/>
          <w:sz w:val="20"/>
          <w:szCs w:val="20"/>
        </w:rPr>
        <w:t>has stated that</w:t>
      </w:r>
      <w:r w:rsidR="00FC5DC8" w:rsidRPr="008D6E5C">
        <w:rPr>
          <w:rFonts w:ascii="Cambria" w:hAnsi="Cambria"/>
          <w:bCs/>
          <w:sz w:val="20"/>
          <w:szCs w:val="20"/>
        </w:rPr>
        <w:t xml:space="preserve"> “</w:t>
      </w:r>
      <w:r w:rsidR="00A32126" w:rsidRPr="008D6E5C">
        <w:rPr>
          <w:rFonts w:ascii="Cambria" w:hAnsi="Cambria"/>
          <w:bCs/>
          <w:sz w:val="20"/>
          <w:szCs w:val="20"/>
        </w:rPr>
        <w:t>in order to comply with the obligation to investigate within the framework of the guarantees of due process, the State must take all necessary measures to protect judicial officers, investigators, witnesses and the victims’ next of kin from harassment and threats</w:t>
      </w:r>
      <w:r w:rsidR="00FC5DC8" w:rsidRPr="008D6E5C">
        <w:rPr>
          <w:rFonts w:ascii="Cambria" w:hAnsi="Cambria"/>
          <w:bCs/>
          <w:sz w:val="20"/>
          <w:szCs w:val="20"/>
        </w:rPr>
        <w:t xml:space="preserve">” </w:t>
      </w:r>
      <w:r w:rsidR="00A32126" w:rsidRPr="008D6E5C">
        <w:rPr>
          <w:rFonts w:ascii="Cambria" w:hAnsi="Cambria"/>
          <w:bCs/>
          <w:sz w:val="20"/>
          <w:szCs w:val="20"/>
        </w:rPr>
        <w:t xml:space="preserve">intended to </w:t>
      </w:r>
      <w:r w:rsidR="00EA63BB" w:rsidRPr="008D6E5C">
        <w:rPr>
          <w:rFonts w:ascii="Cambria" w:hAnsi="Cambria"/>
          <w:bCs/>
          <w:sz w:val="20"/>
          <w:szCs w:val="20"/>
        </w:rPr>
        <w:t>obstruct</w:t>
      </w:r>
      <w:r w:rsidR="00A32126" w:rsidRPr="008D6E5C">
        <w:rPr>
          <w:rFonts w:ascii="Cambria" w:hAnsi="Cambria"/>
          <w:bCs/>
          <w:sz w:val="20"/>
          <w:szCs w:val="20"/>
        </w:rPr>
        <w:t xml:space="preserve"> the proceedings</w:t>
      </w:r>
      <w:r w:rsidR="00FC5DC8" w:rsidRPr="008D6E5C">
        <w:rPr>
          <w:rFonts w:ascii="Cambria" w:hAnsi="Cambria"/>
          <w:bCs/>
          <w:sz w:val="20"/>
          <w:szCs w:val="20"/>
        </w:rPr>
        <w:t xml:space="preserve">, </w:t>
      </w:r>
      <w:r w:rsidR="00A32126" w:rsidRPr="008D6E5C">
        <w:rPr>
          <w:rFonts w:ascii="Cambria" w:hAnsi="Cambria"/>
          <w:bCs/>
          <w:sz w:val="20"/>
          <w:szCs w:val="20"/>
        </w:rPr>
        <w:t>preclude the establishment of the facts,</w:t>
      </w:r>
      <w:r w:rsidR="00FC5DC8" w:rsidRPr="008D6E5C">
        <w:rPr>
          <w:rFonts w:ascii="Cambria" w:hAnsi="Cambria"/>
          <w:bCs/>
          <w:sz w:val="20"/>
          <w:szCs w:val="20"/>
        </w:rPr>
        <w:t xml:space="preserve"> </w:t>
      </w:r>
      <w:r w:rsidR="00A32126" w:rsidRPr="008D6E5C">
        <w:rPr>
          <w:rFonts w:ascii="Cambria" w:hAnsi="Cambria"/>
          <w:bCs/>
          <w:sz w:val="20"/>
          <w:szCs w:val="20"/>
        </w:rPr>
        <w:t xml:space="preserve">and prevent the identification of the </w:t>
      </w:r>
      <w:r w:rsidR="0012782E" w:rsidRPr="008D6E5C">
        <w:rPr>
          <w:rFonts w:ascii="Cambria" w:hAnsi="Cambria"/>
          <w:bCs/>
          <w:sz w:val="20"/>
          <w:szCs w:val="20"/>
        </w:rPr>
        <w:t>perpetrators</w:t>
      </w:r>
      <w:r w:rsidR="00E33F23" w:rsidRPr="008D6E5C">
        <w:rPr>
          <w:rFonts w:ascii="Cambria" w:hAnsi="Cambria"/>
          <w:bCs/>
          <w:sz w:val="20"/>
          <w:szCs w:val="20"/>
        </w:rPr>
        <w:t>.</w:t>
      </w:r>
      <w:r w:rsidR="00FC5DC8" w:rsidRPr="008D6E5C">
        <w:rPr>
          <w:rFonts w:ascii="Cambria" w:hAnsi="Cambria"/>
          <w:bCs/>
          <w:sz w:val="20"/>
          <w:szCs w:val="20"/>
          <w:vertAlign w:val="superscript"/>
        </w:rPr>
        <w:footnoteReference w:id="147"/>
      </w:r>
    </w:p>
    <w:p w:rsidR="00FC5DC8" w:rsidRPr="008D6E5C" w:rsidRDefault="00FC5DC8" w:rsidP="001520DB">
      <w:pPr>
        <w:pStyle w:val="ListParagraph"/>
        <w:shd w:val="clear" w:color="auto" w:fill="FFFFFF"/>
        <w:jc w:val="both"/>
        <w:rPr>
          <w:sz w:val="20"/>
          <w:szCs w:val="20"/>
        </w:rPr>
      </w:pPr>
    </w:p>
    <w:p w:rsidR="00FC5DC8" w:rsidRPr="008D6E5C" w:rsidRDefault="0085301C"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addition</w:t>
      </w:r>
      <w:r w:rsidR="00FC5DC8" w:rsidRPr="008D6E5C">
        <w:rPr>
          <w:rFonts w:ascii="Cambria" w:hAnsi="Cambria"/>
          <w:bCs/>
          <w:sz w:val="20"/>
          <w:szCs w:val="20"/>
        </w:rPr>
        <w:t xml:space="preserve">, </w:t>
      </w:r>
      <w:r w:rsidRPr="008D6E5C">
        <w:rPr>
          <w:rFonts w:ascii="Cambria" w:hAnsi="Cambria"/>
          <w:bCs/>
          <w:sz w:val="20"/>
          <w:szCs w:val="20"/>
        </w:rPr>
        <w:t>for investigations into crimes against</w:t>
      </w:r>
      <w:r w:rsidR="00FC5DC8" w:rsidRPr="008D6E5C">
        <w:rPr>
          <w:rFonts w:ascii="Cambria" w:hAnsi="Cambria"/>
          <w:bCs/>
          <w:sz w:val="20"/>
          <w:szCs w:val="20"/>
        </w:rPr>
        <w:t xml:space="preserve"> </w:t>
      </w:r>
      <w:r w:rsidR="0003360B" w:rsidRPr="008D6E5C">
        <w:rPr>
          <w:rFonts w:ascii="Cambria" w:hAnsi="Cambria"/>
          <w:bCs/>
          <w:sz w:val="20"/>
          <w:szCs w:val="20"/>
        </w:rPr>
        <w:t>freedom of expression</w:t>
      </w:r>
      <w:r w:rsidRPr="008D6E5C">
        <w:rPr>
          <w:rFonts w:ascii="Cambria" w:hAnsi="Cambria"/>
          <w:bCs/>
          <w:sz w:val="20"/>
          <w:szCs w:val="20"/>
        </w:rPr>
        <w:t xml:space="preserve"> to be successful, the investigators must receive sufficient human, financial, logistical, and scientific resources to gather, secure, and </w:t>
      </w:r>
      <w:r w:rsidR="00FC5DC8" w:rsidRPr="008D6E5C">
        <w:rPr>
          <w:rFonts w:ascii="Cambria" w:hAnsi="Cambria"/>
          <w:bCs/>
          <w:sz w:val="20"/>
          <w:szCs w:val="20"/>
        </w:rPr>
        <w:t>evalua</w:t>
      </w:r>
      <w:r w:rsidRPr="008D6E5C">
        <w:rPr>
          <w:rFonts w:ascii="Cambria" w:hAnsi="Cambria"/>
          <w:bCs/>
          <w:sz w:val="20"/>
          <w:szCs w:val="20"/>
        </w:rPr>
        <w:t>te the evidence and perform other necessary tasks to determine responsibility</w:t>
      </w:r>
      <w:r w:rsidR="00E33F23" w:rsidRPr="008D6E5C">
        <w:rPr>
          <w:rFonts w:ascii="Cambria" w:hAnsi="Cambria"/>
          <w:bCs/>
          <w:sz w:val="20"/>
          <w:szCs w:val="20"/>
        </w:rPr>
        <w:t>.</w:t>
      </w:r>
      <w:r w:rsidR="00FC5DC8" w:rsidRPr="008D6E5C">
        <w:rPr>
          <w:rFonts w:ascii="Cambria" w:hAnsi="Cambria"/>
          <w:bCs/>
          <w:sz w:val="20"/>
          <w:szCs w:val="20"/>
          <w:vertAlign w:val="superscript"/>
        </w:rPr>
        <w:footnoteReference w:id="148"/>
      </w:r>
    </w:p>
    <w:p w:rsidR="00FC5DC8" w:rsidRPr="008D6E5C" w:rsidRDefault="00FC5DC8" w:rsidP="001520DB">
      <w:pPr>
        <w:pStyle w:val="ListParagraph"/>
        <w:shd w:val="clear" w:color="auto" w:fill="FFFFFF"/>
        <w:jc w:val="both"/>
        <w:rPr>
          <w:bCs/>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IACHR</w:t>
      </w:r>
      <w:r w:rsidR="00FC5DC8" w:rsidRPr="008D6E5C">
        <w:rPr>
          <w:rFonts w:ascii="Cambria" w:hAnsi="Cambria"/>
          <w:bCs/>
          <w:sz w:val="20"/>
          <w:szCs w:val="20"/>
        </w:rPr>
        <w:t xml:space="preserve"> ha</w:t>
      </w:r>
      <w:r w:rsidR="00CE0022" w:rsidRPr="008D6E5C">
        <w:rPr>
          <w:rFonts w:ascii="Cambria" w:hAnsi="Cambria"/>
          <w:bCs/>
          <w:sz w:val="20"/>
          <w:szCs w:val="20"/>
        </w:rPr>
        <w:t>s held that in cases involving a violent death in which State agents and/or powerful criminal groups are under investigation for their participation, States must ensure that the responsibility to investigate and prosecute human rights violations</w:t>
      </w:r>
      <w:r w:rsidR="00FC5DC8" w:rsidRPr="008D6E5C">
        <w:rPr>
          <w:rFonts w:ascii="Cambria" w:hAnsi="Cambria"/>
          <w:bCs/>
          <w:sz w:val="20"/>
          <w:szCs w:val="20"/>
        </w:rPr>
        <w:t xml:space="preserve"> </w:t>
      </w:r>
      <w:r w:rsidR="00CE0022" w:rsidRPr="008D6E5C">
        <w:rPr>
          <w:rFonts w:ascii="Cambria" w:hAnsi="Cambria"/>
          <w:bCs/>
          <w:sz w:val="20"/>
          <w:szCs w:val="20"/>
        </w:rPr>
        <w:t xml:space="preserve">is assigned to the authorities that are in the best position to adjudicate them effectively, autonomously, and independently. In this respect, States must establish safeguards so that the competent authorities can operate without being subject to the influence of the government official or criminal organization allegedly involved in the crime. At the same time, they must guarantee that the witnesses and relatives of the victim are able to participate in the proceedings without fear of retaliation. These safeguards may entail, for example, removing the investigation from the jurisdiction of the local authorities, or changing the venues of criminal proceedings. </w:t>
      </w:r>
    </w:p>
    <w:p w:rsidR="00FC5DC8" w:rsidRPr="008D6E5C" w:rsidRDefault="00FC5DC8" w:rsidP="001520DB">
      <w:pPr>
        <w:pStyle w:val="ListParagraph"/>
        <w:rPr>
          <w:bCs/>
          <w:sz w:val="20"/>
          <w:szCs w:val="20"/>
        </w:rPr>
      </w:pPr>
    </w:p>
    <w:p w:rsidR="00FC5DC8" w:rsidRPr="008D6E5C" w:rsidRDefault="00A926AE"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Indeed, as</w:t>
      </w:r>
      <w:r w:rsidR="00FC5DC8" w:rsidRPr="008D6E5C">
        <w:rPr>
          <w:rFonts w:ascii="Cambria" w:hAnsi="Cambria"/>
          <w:bCs/>
          <w:sz w:val="20"/>
          <w:szCs w:val="20"/>
        </w:rPr>
        <w:t xml:space="preserve"> </w:t>
      </w:r>
      <w:r w:rsidR="004B0168" w:rsidRPr="008D6E5C">
        <w:rPr>
          <w:rFonts w:ascii="Cambria" w:hAnsi="Cambria"/>
          <w:bCs/>
          <w:sz w:val="20"/>
          <w:szCs w:val="20"/>
        </w:rPr>
        <w:t>the Inter-American Court</w:t>
      </w:r>
      <w:r w:rsidRPr="008D6E5C">
        <w:rPr>
          <w:rFonts w:ascii="Cambria" w:hAnsi="Cambria"/>
          <w:bCs/>
          <w:sz w:val="20"/>
          <w:szCs w:val="20"/>
        </w:rPr>
        <w:t xml:space="preserve"> has acknowledged</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00FD11F5" w:rsidRPr="008D6E5C">
        <w:rPr>
          <w:rFonts w:ascii="Cambria" w:hAnsi="Cambria"/>
          <w:bCs/>
          <w:sz w:val="20"/>
          <w:szCs w:val="20"/>
        </w:rPr>
        <w:t>in the investigation o</w:t>
      </w:r>
      <w:r w:rsidR="0070097C" w:rsidRPr="008D6E5C">
        <w:rPr>
          <w:rFonts w:ascii="Cambria" w:hAnsi="Cambria"/>
          <w:bCs/>
          <w:sz w:val="20"/>
          <w:szCs w:val="20"/>
        </w:rPr>
        <w:t>f such matters means taking account of the patterns of action of the state or criminal power structures that can guarantee impunity in the case</w:t>
      </w:r>
      <w:r w:rsidR="00FC5DC8" w:rsidRPr="008D6E5C">
        <w:rPr>
          <w:rFonts w:ascii="Cambria" w:hAnsi="Cambria"/>
          <w:bCs/>
          <w:sz w:val="20"/>
          <w:szCs w:val="20"/>
        </w:rPr>
        <w:t xml:space="preserve">, </w:t>
      </w:r>
      <w:r w:rsidR="0070097C" w:rsidRPr="008D6E5C">
        <w:rPr>
          <w:rFonts w:ascii="Cambria" w:hAnsi="Cambria"/>
          <w:bCs/>
          <w:sz w:val="20"/>
          <w:szCs w:val="20"/>
        </w:rPr>
        <w:t xml:space="preserve">through </w:t>
      </w:r>
      <w:r w:rsidR="001A4BF6" w:rsidRPr="008D6E5C">
        <w:rPr>
          <w:rFonts w:ascii="Cambria" w:hAnsi="Cambria"/>
          <w:bCs/>
          <w:sz w:val="20"/>
          <w:szCs w:val="20"/>
        </w:rPr>
        <w:t xml:space="preserve">outside </w:t>
      </w:r>
      <w:r w:rsidR="0070097C" w:rsidRPr="008D6E5C">
        <w:rPr>
          <w:rFonts w:ascii="Cambria" w:hAnsi="Cambria"/>
          <w:bCs/>
          <w:sz w:val="20"/>
          <w:szCs w:val="20"/>
        </w:rPr>
        <w:t>pressure</w:t>
      </w:r>
      <w:r w:rsidR="001A4BF6" w:rsidRPr="008D6E5C">
        <w:rPr>
          <w:rFonts w:ascii="Cambria" w:hAnsi="Cambria"/>
          <w:bCs/>
          <w:sz w:val="20"/>
          <w:szCs w:val="20"/>
        </w:rPr>
        <w:t>s</w:t>
      </w:r>
      <w:r w:rsidR="00FC5DC8" w:rsidRPr="008D6E5C">
        <w:rPr>
          <w:rFonts w:ascii="Cambria" w:hAnsi="Cambria"/>
          <w:bCs/>
          <w:sz w:val="20"/>
          <w:szCs w:val="20"/>
        </w:rPr>
        <w:t xml:space="preserve">, </w:t>
      </w:r>
      <w:r w:rsidR="0070097C" w:rsidRPr="008D6E5C">
        <w:rPr>
          <w:rFonts w:ascii="Cambria" w:hAnsi="Cambria"/>
          <w:bCs/>
          <w:sz w:val="20"/>
          <w:szCs w:val="20"/>
        </w:rPr>
        <w:t xml:space="preserve">attacks, </w:t>
      </w:r>
      <w:r w:rsidR="00EF5F24" w:rsidRPr="008D6E5C">
        <w:rPr>
          <w:rFonts w:ascii="Cambria" w:hAnsi="Cambria"/>
          <w:bCs/>
          <w:sz w:val="20"/>
          <w:szCs w:val="20"/>
        </w:rPr>
        <w:t>threats</w:t>
      </w:r>
      <w:r w:rsidR="0070097C" w:rsidRPr="008D6E5C">
        <w:rPr>
          <w:rFonts w:ascii="Cambria" w:hAnsi="Cambria"/>
          <w:bCs/>
          <w:sz w:val="20"/>
          <w:szCs w:val="20"/>
        </w:rPr>
        <w:t>, and other forms of intimidation directed at judges, prosecutors, witnesses, and other persons involved</w:t>
      </w:r>
      <w:r w:rsidR="00FC5DC8" w:rsidRPr="008D6E5C">
        <w:rPr>
          <w:rFonts w:ascii="Cambria" w:hAnsi="Cambria"/>
          <w:bCs/>
          <w:sz w:val="20"/>
          <w:szCs w:val="20"/>
        </w:rPr>
        <w:t xml:space="preserve"> </w:t>
      </w:r>
      <w:r w:rsidR="00E03BC4" w:rsidRPr="008D6E5C">
        <w:rPr>
          <w:rFonts w:ascii="Cambria" w:hAnsi="Cambria"/>
          <w:bCs/>
          <w:sz w:val="20"/>
          <w:szCs w:val="20"/>
        </w:rPr>
        <w:t>in criminal investigations</w:t>
      </w:r>
      <w:r w:rsidR="00FC5DC8" w:rsidRPr="008D6E5C">
        <w:rPr>
          <w:rFonts w:ascii="Cambria" w:hAnsi="Cambria"/>
          <w:bCs/>
          <w:sz w:val="20"/>
          <w:szCs w:val="20"/>
        </w:rPr>
        <w:t xml:space="preserve">. </w:t>
      </w:r>
      <w:r w:rsidRPr="008D6E5C">
        <w:rPr>
          <w:rFonts w:ascii="Cambria" w:hAnsi="Cambria"/>
          <w:bCs/>
          <w:sz w:val="20"/>
          <w:szCs w:val="20"/>
        </w:rPr>
        <w:t>In this respect</w:t>
      </w:r>
      <w:r w:rsidR="00FC5DC8" w:rsidRPr="008D6E5C">
        <w:rPr>
          <w:rFonts w:ascii="Cambria" w:hAnsi="Cambria"/>
          <w:bCs/>
          <w:sz w:val="20"/>
          <w:szCs w:val="20"/>
        </w:rPr>
        <w:t xml:space="preserve">, </w:t>
      </w:r>
      <w:r w:rsidR="004B0168" w:rsidRPr="008D6E5C">
        <w:rPr>
          <w:rFonts w:ascii="Cambria" w:hAnsi="Cambria"/>
          <w:bCs/>
          <w:sz w:val="20"/>
          <w:szCs w:val="20"/>
        </w:rPr>
        <w:t>the Inter-American Court</w:t>
      </w:r>
      <w:r w:rsidR="00FC5DC8" w:rsidRPr="008D6E5C">
        <w:rPr>
          <w:rFonts w:ascii="Cambria" w:hAnsi="Cambria"/>
          <w:bCs/>
          <w:sz w:val="20"/>
          <w:szCs w:val="20"/>
        </w:rPr>
        <w:t xml:space="preserve"> ha</w:t>
      </w:r>
      <w:r w:rsidR="0070097C" w:rsidRPr="008D6E5C">
        <w:rPr>
          <w:rFonts w:ascii="Cambria" w:hAnsi="Cambria"/>
          <w:bCs/>
          <w:sz w:val="20"/>
          <w:szCs w:val="20"/>
        </w:rPr>
        <w:t>s held that</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0070097C" w:rsidRPr="008D6E5C">
        <w:rPr>
          <w:rFonts w:ascii="Cambria" w:hAnsi="Cambria"/>
          <w:bCs/>
          <w:sz w:val="20"/>
          <w:szCs w:val="20"/>
        </w:rPr>
        <w:t xml:space="preserve">and intimidation </w:t>
      </w:r>
      <w:r w:rsidR="001A4BF6" w:rsidRPr="008D6E5C">
        <w:rPr>
          <w:rFonts w:ascii="Cambria" w:hAnsi="Cambria"/>
          <w:bCs/>
          <w:sz w:val="20"/>
          <w:szCs w:val="20"/>
        </w:rPr>
        <w:t>suffered by</w:t>
      </w:r>
      <w:r w:rsidR="00FC5DC8" w:rsidRPr="008D6E5C">
        <w:rPr>
          <w:rFonts w:ascii="Cambria" w:hAnsi="Cambria"/>
          <w:bCs/>
          <w:sz w:val="20"/>
          <w:szCs w:val="20"/>
        </w:rPr>
        <w:t xml:space="preserve"> </w:t>
      </w:r>
      <w:r w:rsidR="00936B2E" w:rsidRPr="008D6E5C">
        <w:rPr>
          <w:rFonts w:ascii="Cambria" w:hAnsi="Cambria"/>
          <w:bCs/>
          <w:sz w:val="20"/>
          <w:szCs w:val="20"/>
        </w:rPr>
        <w:t>judges</w:t>
      </w:r>
      <w:r w:rsidR="00FC5DC8" w:rsidRPr="008D6E5C">
        <w:rPr>
          <w:rFonts w:ascii="Cambria" w:hAnsi="Cambria"/>
          <w:bCs/>
          <w:sz w:val="20"/>
          <w:szCs w:val="20"/>
        </w:rPr>
        <w:t xml:space="preserve">, </w:t>
      </w:r>
      <w:r w:rsidR="0070097C" w:rsidRPr="008D6E5C">
        <w:rPr>
          <w:rFonts w:ascii="Cambria" w:hAnsi="Cambria"/>
          <w:bCs/>
          <w:sz w:val="20"/>
          <w:szCs w:val="20"/>
        </w:rPr>
        <w:t>witnesses, and relatives</w:t>
      </w:r>
      <w:r w:rsidR="00FC5DC8" w:rsidRPr="008D6E5C">
        <w:rPr>
          <w:rFonts w:ascii="Cambria" w:hAnsi="Cambria"/>
          <w:bCs/>
          <w:sz w:val="20"/>
          <w:szCs w:val="20"/>
        </w:rPr>
        <w:t xml:space="preserve"> “</w:t>
      </w:r>
      <w:r w:rsidR="00FD11F5" w:rsidRPr="008D6E5C">
        <w:rPr>
          <w:rFonts w:ascii="Cambria" w:hAnsi="Cambria"/>
          <w:bCs/>
          <w:sz w:val="20"/>
          <w:szCs w:val="20"/>
        </w:rPr>
        <w:t>cannot be examined in isolation, but should be analyzed in the context of obstructions to the investigation of the case. Consequently, such acts become another means of perpetuating impunity and preventing the truth of what happened from being known</w:t>
      </w:r>
      <w:r w:rsidR="00E03BC4"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49"/>
      </w:r>
      <w:r w:rsidR="00FD11F5"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9C452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w:t>
      </w:r>
      <w:r w:rsidR="00C866C8" w:rsidRPr="008D6E5C">
        <w:rPr>
          <w:rFonts w:ascii="Cambria" w:hAnsi="Cambria"/>
          <w:bCs/>
          <w:sz w:val="20"/>
          <w:szCs w:val="20"/>
        </w:rPr>
        <w:t xml:space="preserve"> investigation of</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00C866C8" w:rsidRPr="008D6E5C">
        <w:rPr>
          <w:rFonts w:ascii="Cambria" w:hAnsi="Cambria"/>
          <w:bCs/>
          <w:sz w:val="20"/>
          <w:szCs w:val="20"/>
        </w:rPr>
        <w:t>’s</w:t>
      </w:r>
      <w:proofErr w:type="spellEnd"/>
      <w:r w:rsidR="00C866C8" w:rsidRPr="008D6E5C">
        <w:rPr>
          <w:rFonts w:ascii="Cambria" w:hAnsi="Cambria"/>
          <w:bCs/>
          <w:sz w:val="20"/>
          <w:szCs w:val="20"/>
        </w:rPr>
        <w:t xml:space="preserve"> murder</w:t>
      </w:r>
      <w:r w:rsidR="00FC5DC8" w:rsidRPr="008D6E5C">
        <w:rPr>
          <w:rFonts w:ascii="Cambria" w:hAnsi="Cambria"/>
          <w:bCs/>
          <w:sz w:val="20"/>
          <w:szCs w:val="20"/>
        </w:rPr>
        <w:t xml:space="preserve"> </w:t>
      </w:r>
      <w:r w:rsidR="00112DAD" w:rsidRPr="008D6E5C">
        <w:rPr>
          <w:rFonts w:ascii="Cambria" w:hAnsi="Cambria"/>
          <w:bCs/>
          <w:sz w:val="20"/>
          <w:szCs w:val="20"/>
        </w:rPr>
        <w:t xml:space="preserve">pointed to </w:t>
      </w:r>
      <w:r w:rsidR="006F2016" w:rsidRPr="008D6E5C">
        <w:rPr>
          <w:rFonts w:ascii="Cambria" w:hAnsi="Cambria"/>
          <w:bCs/>
          <w:sz w:val="20"/>
          <w:szCs w:val="20"/>
        </w:rPr>
        <w:t>individuals who wielded power in the region</w:t>
      </w:r>
      <w:r w:rsidR="00FC5DC8" w:rsidRPr="008D6E5C">
        <w:rPr>
          <w:rFonts w:ascii="Cambria" w:hAnsi="Cambria"/>
          <w:bCs/>
          <w:sz w:val="20"/>
          <w:szCs w:val="20"/>
        </w:rPr>
        <w:t xml:space="preserve">, </w:t>
      </w:r>
      <w:r w:rsidR="006F2016" w:rsidRPr="008D6E5C">
        <w:rPr>
          <w:rFonts w:ascii="Cambria" w:hAnsi="Cambria"/>
          <w:bCs/>
          <w:sz w:val="20"/>
          <w:szCs w:val="20"/>
        </w:rPr>
        <w:t>such as the head of the local government</w:t>
      </w:r>
      <w:r w:rsidR="00FC5DC8" w:rsidRPr="008D6E5C">
        <w:rPr>
          <w:rFonts w:ascii="Cambria" w:hAnsi="Cambria"/>
          <w:bCs/>
          <w:sz w:val="20"/>
          <w:szCs w:val="20"/>
        </w:rPr>
        <w:t xml:space="preserve">, </w:t>
      </w:r>
      <w:r w:rsidR="006F2016" w:rsidRPr="008D6E5C">
        <w:rPr>
          <w:rFonts w:ascii="Cambria" w:hAnsi="Cambria"/>
          <w:bCs/>
          <w:sz w:val="20"/>
          <w:szCs w:val="20"/>
        </w:rPr>
        <w:t xml:space="preserve">local businessmen </w:t>
      </w:r>
      <w:r w:rsidR="00084FF9" w:rsidRPr="008D6E5C">
        <w:rPr>
          <w:rFonts w:ascii="Cambria" w:hAnsi="Cambria"/>
          <w:bCs/>
          <w:sz w:val="20"/>
          <w:szCs w:val="20"/>
        </w:rPr>
        <w:t>with alleged ties to</w:t>
      </w:r>
      <w:r w:rsidR="00FC5DC8" w:rsidRPr="008D6E5C">
        <w:rPr>
          <w:rFonts w:ascii="Cambria" w:hAnsi="Cambria"/>
          <w:bCs/>
          <w:sz w:val="20"/>
          <w:szCs w:val="20"/>
        </w:rPr>
        <w:t xml:space="preserve"> </w:t>
      </w:r>
      <w:r w:rsidR="00084FF9" w:rsidRPr="008D6E5C">
        <w:rPr>
          <w:rFonts w:ascii="Cambria" w:hAnsi="Cambria"/>
          <w:bCs/>
          <w:sz w:val="20"/>
          <w:szCs w:val="20"/>
        </w:rPr>
        <w:t>drug trafficking and money laundering</w:t>
      </w:r>
      <w:r w:rsidR="00FC5DC8" w:rsidRPr="008D6E5C">
        <w:rPr>
          <w:rFonts w:ascii="Cambria" w:hAnsi="Cambria"/>
          <w:bCs/>
          <w:sz w:val="20"/>
          <w:szCs w:val="20"/>
        </w:rPr>
        <w:t xml:space="preserve">, </w:t>
      </w:r>
      <w:r w:rsidR="006F2016" w:rsidRPr="008D6E5C">
        <w:rPr>
          <w:rFonts w:ascii="Cambria" w:hAnsi="Cambria"/>
          <w:bCs/>
          <w:sz w:val="20"/>
          <w:szCs w:val="20"/>
        </w:rPr>
        <w:t>the</w:t>
      </w:r>
      <w:r w:rsidR="00FC5DC8" w:rsidRPr="008D6E5C">
        <w:rPr>
          <w:rFonts w:ascii="Cambria" w:hAnsi="Cambria"/>
          <w:bCs/>
          <w:sz w:val="20"/>
          <w:szCs w:val="20"/>
        </w:rPr>
        <w:t xml:space="preserve"> guerrilla</w:t>
      </w:r>
      <w:r w:rsidR="006F2016" w:rsidRPr="008D6E5C">
        <w:rPr>
          <w:rFonts w:ascii="Cambria" w:hAnsi="Cambria"/>
          <w:bCs/>
          <w:sz w:val="20"/>
          <w:szCs w:val="20"/>
        </w:rPr>
        <w:t>s, and gangs of common criminals</w:t>
      </w:r>
      <w:r w:rsidR="00FC5DC8" w:rsidRPr="008D6E5C">
        <w:rPr>
          <w:rFonts w:ascii="Cambria" w:hAnsi="Cambria"/>
          <w:bCs/>
          <w:sz w:val="20"/>
          <w:szCs w:val="20"/>
        </w:rPr>
        <w:t xml:space="preserve">. </w:t>
      </w:r>
      <w:r w:rsidR="00112DAD" w:rsidRPr="008D6E5C">
        <w:rPr>
          <w:rFonts w:ascii="Cambria" w:hAnsi="Cambria"/>
          <w:bCs/>
          <w:sz w:val="20"/>
          <w:szCs w:val="20"/>
        </w:rPr>
        <w:t>As stated in the case file</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 xml:space="preserve">took place amidst a climate of serious fear among the residents of </w:t>
      </w:r>
      <w:proofErr w:type="spellStart"/>
      <w:r w:rsidR="00FC5DC8" w:rsidRPr="008D6E5C">
        <w:rPr>
          <w:rFonts w:ascii="Cambria" w:hAnsi="Cambria"/>
          <w:bCs/>
          <w:sz w:val="20"/>
          <w:szCs w:val="20"/>
        </w:rPr>
        <w:t>Pitalito</w:t>
      </w:r>
      <w:proofErr w:type="spellEnd"/>
      <w:r w:rsidR="00FC5DC8" w:rsidRPr="008D6E5C">
        <w:rPr>
          <w:rFonts w:ascii="Cambria" w:hAnsi="Cambria"/>
          <w:bCs/>
          <w:sz w:val="20"/>
          <w:szCs w:val="20"/>
        </w:rPr>
        <w:t xml:space="preserve"> </w:t>
      </w:r>
      <w:r w:rsidRPr="008D6E5C">
        <w:rPr>
          <w:rFonts w:ascii="Cambria" w:hAnsi="Cambria"/>
          <w:bCs/>
          <w:sz w:val="20"/>
          <w:szCs w:val="20"/>
        </w:rPr>
        <w:t>and among those who cooperated to</w:t>
      </w:r>
      <w:r w:rsidR="001804FC" w:rsidRPr="008D6E5C">
        <w:rPr>
          <w:rFonts w:ascii="Cambria" w:hAnsi="Cambria"/>
          <w:bCs/>
          <w:sz w:val="20"/>
          <w:szCs w:val="20"/>
        </w:rPr>
        <w:t xml:space="preserve"> establish the facts of the case</w:t>
      </w:r>
      <w:r w:rsidR="00FC5DC8" w:rsidRPr="008D6E5C">
        <w:rPr>
          <w:rFonts w:ascii="Cambria" w:hAnsi="Cambria"/>
          <w:bCs/>
          <w:sz w:val="20"/>
          <w:szCs w:val="20"/>
        </w:rPr>
        <w:t xml:space="preserve">. </w:t>
      </w:r>
      <w:r w:rsidRPr="008D6E5C">
        <w:rPr>
          <w:rFonts w:ascii="Cambria" w:hAnsi="Cambria"/>
          <w:sz w:val="20"/>
          <w:szCs w:val="20"/>
        </w:rPr>
        <w:t xml:space="preserve">It bears emphasizing that at the time the crime was committed the Colombian people who lived in regions like </w:t>
      </w:r>
      <w:proofErr w:type="spellStart"/>
      <w:r w:rsidRPr="008D6E5C">
        <w:rPr>
          <w:rFonts w:ascii="Cambria" w:hAnsi="Cambria"/>
          <w:sz w:val="20"/>
          <w:szCs w:val="20"/>
        </w:rPr>
        <w:t>Pitalito</w:t>
      </w:r>
      <w:proofErr w:type="spellEnd"/>
      <w:r w:rsidRPr="008D6E5C">
        <w:rPr>
          <w:rFonts w:ascii="Cambria" w:hAnsi="Cambria"/>
          <w:sz w:val="20"/>
          <w:szCs w:val="20"/>
        </w:rPr>
        <w:t xml:space="preserve"> were subjected to </w:t>
      </w:r>
      <w:r w:rsidR="00084FF9" w:rsidRPr="008D6E5C">
        <w:rPr>
          <w:rFonts w:ascii="Cambria" w:hAnsi="Cambria"/>
          <w:sz w:val="20"/>
          <w:szCs w:val="20"/>
        </w:rPr>
        <w:t>patterns of violence linked to the armed conflict</w:t>
      </w:r>
      <w:r w:rsidR="00FC5DC8" w:rsidRPr="008D6E5C">
        <w:rPr>
          <w:rFonts w:ascii="Cambria" w:hAnsi="Cambria"/>
          <w:sz w:val="20"/>
          <w:szCs w:val="20"/>
        </w:rPr>
        <w:t xml:space="preserve">, </w:t>
      </w:r>
      <w:r w:rsidRPr="008D6E5C">
        <w:rPr>
          <w:rFonts w:ascii="Cambria" w:hAnsi="Cambria"/>
          <w:sz w:val="20"/>
          <w:szCs w:val="20"/>
        </w:rPr>
        <w:t>as well as to drug trafficking and abuses of government power, among other things</w:t>
      </w:r>
      <w:r w:rsidR="00FC5DC8" w:rsidRPr="008D6E5C">
        <w:rPr>
          <w:rFonts w:ascii="Cambria" w:hAnsi="Cambria"/>
          <w:sz w:val="20"/>
          <w:szCs w:val="20"/>
        </w:rPr>
        <w:t xml:space="preserve">. </w:t>
      </w:r>
    </w:p>
    <w:p w:rsidR="00FC5DC8" w:rsidRPr="008D6E5C" w:rsidRDefault="00FC5DC8" w:rsidP="001520DB">
      <w:pPr>
        <w:jc w:val="both"/>
        <w:rPr>
          <w:rFonts w:ascii="Cambria" w:hAnsi="Cambria"/>
          <w:bCs/>
          <w:sz w:val="20"/>
          <w:szCs w:val="20"/>
        </w:rPr>
      </w:pPr>
    </w:p>
    <w:p w:rsidR="00FC5DC8" w:rsidRPr="008D6E5C" w:rsidRDefault="001E247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 xml:space="preserve">In view of the above, and as provided by law, </w:t>
      </w:r>
      <w:r w:rsidR="00C866C8" w:rsidRPr="008D6E5C">
        <w:rPr>
          <w:rFonts w:ascii="Cambria" w:hAnsi="Cambria"/>
          <w:bCs/>
          <w:sz w:val="20"/>
          <w:szCs w:val="20"/>
        </w:rPr>
        <w:t>the investigation was transferred from</w:t>
      </w:r>
      <w:r w:rsidR="00FC5DC8" w:rsidRPr="008D6E5C">
        <w:rPr>
          <w:rFonts w:ascii="Cambria" w:hAnsi="Cambria"/>
          <w:bCs/>
          <w:sz w:val="20"/>
          <w:szCs w:val="20"/>
        </w:rPr>
        <w:t xml:space="preserve"> </w:t>
      </w:r>
      <w:r w:rsidR="00C866C8" w:rsidRPr="008D6E5C">
        <w:rPr>
          <w:rFonts w:ascii="Cambria" w:hAnsi="Cambria"/>
          <w:bCs/>
          <w:sz w:val="20"/>
          <w:szCs w:val="20"/>
        </w:rPr>
        <w:t>the local prosecutor’s office</w:t>
      </w:r>
      <w:r w:rsidR="00FC5DC8" w:rsidRPr="008D6E5C">
        <w:rPr>
          <w:rFonts w:ascii="Cambria" w:hAnsi="Cambria"/>
          <w:bCs/>
          <w:sz w:val="20"/>
          <w:szCs w:val="20"/>
        </w:rPr>
        <w:t xml:space="preserve"> </w:t>
      </w:r>
      <w:r w:rsidRPr="008D6E5C">
        <w:rPr>
          <w:rFonts w:ascii="Cambria" w:hAnsi="Cambria"/>
          <w:bCs/>
          <w:sz w:val="20"/>
          <w:szCs w:val="20"/>
        </w:rPr>
        <w:t>to</w:t>
      </w:r>
      <w:r w:rsidR="00FC5DC8" w:rsidRPr="008D6E5C">
        <w:rPr>
          <w:rFonts w:ascii="Cambria" w:hAnsi="Cambria"/>
          <w:bCs/>
          <w:sz w:val="20"/>
          <w:szCs w:val="20"/>
        </w:rPr>
        <w:t xml:space="preserve"> </w:t>
      </w:r>
      <w:r w:rsidRPr="008D6E5C">
        <w:rPr>
          <w:rFonts w:ascii="Cambria" w:hAnsi="Cambria"/>
          <w:bCs/>
          <w:sz w:val="20"/>
          <w:szCs w:val="20"/>
        </w:rPr>
        <w:t>the Regional Prosecutor’s Office</w:t>
      </w:r>
      <w:r w:rsidR="00FC5DC8" w:rsidRPr="008D6E5C">
        <w:rPr>
          <w:rFonts w:ascii="Cambria" w:hAnsi="Cambria"/>
          <w:bCs/>
          <w:sz w:val="20"/>
          <w:szCs w:val="20"/>
        </w:rPr>
        <w:t xml:space="preserve"> </w:t>
      </w:r>
      <w:r w:rsidRPr="008D6E5C">
        <w:rPr>
          <w:rFonts w:ascii="Cambria" w:hAnsi="Cambria"/>
          <w:bCs/>
          <w:sz w:val="20"/>
          <w:szCs w:val="20"/>
        </w:rPr>
        <w:t>in Bogotá</w:t>
      </w:r>
      <w:r w:rsidR="00FC5DC8" w:rsidRPr="008D6E5C">
        <w:rPr>
          <w:rFonts w:ascii="Cambria" w:hAnsi="Cambria"/>
          <w:bCs/>
          <w:sz w:val="20"/>
          <w:szCs w:val="20"/>
        </w:rPr>
        <w:t xml:space="preserve">. </w:t>
      </w:r>
      <w:r w:rsidRPr="008D6E5C">
        <w:rPr>
          <w:rFonts w:ascii="Cambria" w:hAnsi="Cambria"/>
          <w:bCs/>
          <w:sz w:val="20"/>
          <w:szCs w:val="20"/>
        </w:rPr>
        <w:t>Later</w:t>
      </w:r>
      <w:r w:rsidR="00C866C8" w:rsidRPr="008D6E5C">
        <w:rPr>
          <w:rFonts w:ascii="Cambria" w:hAnsi="Cambria"/>
          <w:bCs/>
          <w:sz w:val="20"/>
          <w:szCs w:val="20"/>
        </w:rPr>
        <w:t>,</w:t>
      </w:r>
      <w:r w:rsidR="00FC5DC8" w:rsidRPr="008D6E5C">
        <w:rPr>
          <w:rFonts w:ascii="Cambria" w:hAnsi="Cambria"/>
          <w:bCs/>
          <w:sz w:val="20"/>
          <w:szCs w:val="20"/>
        </w:rPr>
        <w:t xml:space="preserve"> </w:t>
      </w:r>
      <w:r w:rsidR="005953D4" w:rsidRPr="008D6E5C">
        <w:rPr>
          <w:rFonts w:ascii="Cambria" w:hAnsi="Cambria"/>
          <w:bCs/>
          <w:sz w:val="20"/>
          <w:szCs w:val="20"/>
        </w:rPr>
        <w:t xml:space="preserve">the Office of the </w:t>
      </w:r>
      <w:r w:rsidR="00C866C8" w:rsidRPr="008D6E5C">
        <w:rPr>
          <w:rFonts w:ascii="Cambria" w:hAnsi="Cambria"/>
          <w:bCs/>
          <w:sz w:val="20"/>
          <w:szCs w:val="20"/>
        </w:rPr>
        <w:t>Prosecutor General of Colombia</w:t>
      </w:r>
      <w:r w:rsidR="00FC5DC8" w:rsidRPr="008D6E5C">
        <w:rPr>
          <w:rFonts w:ascii="Cambria" w:hAnsi="Cambria"/>
          <w:bCs/>
          <w:sz w:val="20"/>
          <w:szCs w:val="20"/>
        </w:rPr>
        <w:t xml:space="preserve"> </w:t>
      </w:r>
      <w:r w:rsidR="00C866C8" w:rsidRPr="008D6E5C">
        <w:rPr>
          <w:rFonts w:ascii="Cambria" w:hAnsi="Cambria"/>
          <w:bCs/>
          <w:sz w:val="20"/>
          <w:szCs w:val="20"/>
        </w:rPr>
        <w:t xml:space="preserve">ordered the reassignment of the investigation to the </w:t>
      </w:r>
      <w:r w:rsidRPr="008D6E5C">
        <w:rPr>
          <w:rFonts w:ascii="Cambria" w:hAnsi="Cambria"/>
          <w:bCs/>
          <w:sz w:val="20"/>
          <w:szCs w:val="20"/>
        </w:rPr>
        <w:t>National Unit of Human Rights Prosecutors</w:t>
      </w:r>
      <w:r w:rsidR="00FC5DC8" w:rsidRPr="008D6E5C">
        <w:rPr>
          <w:rFonts w:ascii="Cambria" w:hAnsi="Cambria"/>
          <w:bCs/>
          <w:sz w:val="20"/>
          <w:szCs w:val="20"/>
        </w:rPr>
        <w:t xml:space="preserve"> </w:t>
      </w:r>
      <w:r w:rsidRPr="008D6E5C">
        <w:rPr>
          <w:rFonts w:ascii="Cambria" w:hAnsi="Cambria"/>
          <w:bCs/>
          <w:sz w:val="20"/>
          <w:szCs w:val="20"/>
        </w:rPr>
        <w:t>headquartered</w:t>
      </w:r>
      <w:r w:rsidR="00FC5DC8" w:rsidRPr="008D6E5C">
        <w:rPr>
          <w:rFonts w:ascii="Cambria" w:hAnsi="Cambria"/>
          <w:bCs/>
          <w:sz w:val="20"/>
          <w:szCs w:val="20"/>
        </w:rPr>
        <w:t xml:space="preserve"> </w:t>
      </w:r>
      <w:r w:rsidRPr="008D6E5C">
        <w:rPr>
          <w:rFonts w:ascii="Cambria" w:hAnsi="Cambria"/>
          <w:bCs/>
          <w:sz w:val="20"/>
          <w:szCs w:val="20"/>
        </w:rPr>
        <w:t>in Bogotá</w:t>
      </w:r>
      <w:r w:rsidR="00FC5DC8" w:rsidRPr="008D6E5C">
        <w:rPr>
          <w:rFonts w:ascii="Cambria" w:hAnsi="Cambria"/>
          <w:bCs/>
          <w:sz w:val="20"/>
          <w:szCs w:val="20"/>
        </w:rPr>
        <w:t xml:space="preserve">. </w:t>
      </w:r>
      <w:r w:rsidR="00641954" w:rsidRPr="008D6E5C">
        <w:rPr>
          <w:rFonts w:ascii="Cambria" w:hAnsi="Cambria"/>
          <w:bCs/>
          <w:sz w:val="20"/>
          <w:szCs w:val="20"/>
        </w:rPr>
        <w:t>While</w:t>
      </w:r>
      <w:r w:rsidRPr="008D6E5C">
        <w:rPr>
          <w:rFonts w:ascii="Cambria" w:hAnsi="Cambria"/>
          <w:bCs/>
          <w:sz w:val="20"/>
          <w:szCs w:val="20"/>
        </w:rPr>
        <w:t xml:space="preserve"> </w:t>
      </w:r>
      <w:r w:rsidR="00641954" w:rsidRPr="008D6E5C">
        <w:rPr>
          <w:rFonts w:ascii="Cambria" w:hAnsi="Cambria"/>
          <w:bCs/>
          <w:sz w:val="20"/>
          <w:szCs w:val="20"/>
        </w:rPr>
        <w:t xml:space="preserve">this </w:t>
      </w:r>
      <w:r w:rsidRPr="008D6E5C">
        <w:rPr>
          <w:rFonts w:ascii="Cambria" w:hAnsi="Cambria"/>
          <w:bCs/>
          <w:sz w:val="20"/>
          <w:szCs w:val="20"/>
        </w:rPr>
        <w:t xml:space="preserve">measure </w:t>
      </w:r>
      <w:r w:rsidR="00641954" w:rsidRPr="008D6E5C">
        <w:rPr>
          <w:rFonts w:ascii="Cambria" w:hAnsi="Cambria"/>
          <w:bCs/>
          <w:sz w:val="20"/>
          <w:szCs w:val="20"/>
        </w:rPr>
        <w:t xml:space="preserve">was meant to encourage </w:t>
      </w:r>
      <w:r w:rsidRPr="008D6E5C">
        <w:rPr>
          <w:rFonts w:ascii="Cambria" w:hAnsi="Cambria"/>
          <w:bCs/>
          <w:sz w:val="20"/>
          <w:szCs w:val="20"/>
        </w:rPr>
        <w:t>the independence of the bodies in charge of the</w:t>
      </w:r>
      <w:r w:rsidR="001766CB" w:rsidRPr="008D6E5C">
        <w:rPr>
          <w:rFonts w:ascii="Cambria" w:hAnsi="Cambria"/>
          <w:bCs/>
          <w:sz w:val="20"/>
          <w:szCs w:val="20"/>
        </w:rPr>
        <w:t xml:space="preserve"> investigation</w:t>
      </w:r>
      <w:r w:rsidR="00FC5DC8" w:rsidRPr="008D6E5C">
        <w:rPr>
          <w:rFonts w:ascii="Cambria" w:hAnsi="Cambria"/>
          <w:bCs/>
          <w:sz w:val="20"/>
          <w:szCs w:val="20"/>
        </w:rPr>
        <w:t xml:space="preserve">, </w:t>
      </w:r>
      <w:r w:rsidRPr="008D6E5C">
        <w:rPr>
          <w:rFonts w:ascii="Cambria" w:hAnsi="Cambria"/>
          <w:bCs/>
          <w:sz w:val="20"/>
          <w:szCs w:val="20"/>
        </w:rPr>
        <w:t xml:space="preserve">it was </w:t>
      </w:r>
      <w:r w:rsidR="00641954" w:rsidRPr="008D6E5C">
        <w:rPr>
          <w:rFonts w:ascii="Cambria" w:hAnsi="Cambria"/>
          <w:bCs/>
          <w:sz w:val="20"/>
          <w:szCs w:val="20"/>
        </w:rPr>
        <w:t>in</w:t>
      </w:r>
      <w:r w:rsidRPr="008D6E5C">
        <w:rPr>
          <w:rFonts w:ascii="Cambria" w:hAnsi="Cambria"/>
          <w:bCs/>
          <w:sz w:val="20"/>
          <w:szCs w:val="20"/>
        </w:rPr>
        <w:t>sufficient to protect the witnesses and other individuals involved i</w:t>
      </w:r>
      <w:r w:rsidR="00FC5DC8" w:rsidRPr="008D6E5C">
        <w:rPr>
          <w:rFonts w:ascii="Cambria" w:hAnsi="Cambria"/>
          <w:bCs/>
          <w:sz w:val="20"/>
          <w:szCs w:val="20"/>
        </w:rPr>
        <w:t xml:space="preserve">n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in view of the</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and other forms of intimidation</w:t>
      </w:r>
      <w:r w:rsidR="00641954" w:rsidRPr="008D6E5C">
        <w:rPr>
          <w:rFonts w:ascii="Cambria" w:hAnsi="Cambria"/>
          <w:bCs/>
          <w:sz w:val="20"/>
          <w:szCs w:val="20"/>
        </w:rPr>
        <w:t>,</w:t>
      </w:r>
      <w:r w:rsidRPr="008D6E5C">
        <w:rPr>
          <w:rFonts w:ascii="Cambria" w:hAnsi="Cambria"/>
          <w:bCs/>
          <w:sz w:val="20"/>
          <w:szCs w:val="20"/>
        </w:rPr>
        <w:t xml:space="preserve"> and thus </w:t>
      </w:r>
      <w:r w:rsidR="00641954" w:rsidRPr="008D6E5C">
        <w:rPr>
          <w:rFonts w:ascii="Cambria" w:hAnsi="Cambria"/>
          <w:bCs/>
          <w:sz w:val="20"/>
          <w:szCs w:val="20"/>
        </w:rPr>
        <w:t xml:space="preserve">it failed to </w:t>
      </w:r>
      <w:r w:rsidRPr="008D6E5C">
        <w:rPr>
          <w:rFonts w:ascii="Cambria" w:hAnsi="Cambria"/>
          <w:bCs/>
          <w:sz w:val="20"/>
          <w:szCs w:val="20"/>
        </w:rPr>
        <w:t>prevent the obstruction of the investigation in this particular case</w:t>
      </w:r>
      <w:r w:rsidR="00FC5DC8" w:rsidRPr="008D6E5C">
        <w:rPr>
          <w:rFonts w:ascii="Cambria" w:hAnsi="Cambria"/>
          <w:bCs/>
          <w:sz w:val="20"/>
          <w:szCs w:val="20"/>
        </w:rPr>
        <w:t xml:space="preserve">. </w:t>
      </w:r>
    </w:p>
    <w:p w:rsidR="00FC5DC8" w:rsidRPr="008D6E5C" w:rsidRDefault="00FC5DC8" w:rsidP="001520DB">
      <w:pPr>
        <w:jc w:val="both"/>
        <w:rPr>
          <w:rFonts w:ascii="Cambria" w:hAnsi="Cambria"/>
          <w:bCs/>
          <w:sz w:val="20"/>
          <w:szCs w:val="20"/>
        </w:rPr>
      </w:pPr>
    </w:p>
    <w:p w:rsidR="00FC5DC8" w:rsidRPr="008D6E5C" w:rsidRDefault="00E23D0D"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It is clear from the established facts that there were serious and repeated</w:t>
      </w:r>
      <w:r w:rsidR="00FC5DC8" w:rsidRPr="008D6E5C">
        <w:rPr>
          <w:rFonts w:ascii="Cambria" w:hAnsi="Cambria"/>
          <w:bCs/>
          <w:sz w:val="20"/>
          <w:szCs w:val="20"/>
        </w:rPr>
        <w:t xml:space="preserve"> </w:t>
      </w:r>
      <w:r w:rsidR="00EF5F24" w:rsidRPr="008D6E5C">
        <w:rPr>
          <w:rFonts w:ascii="Cambria" w:hAnsi="Cambria"/>
          <w:bCs/>
          <w:sz w:val="20"/>
          <w:szCs w:val="20"/>
        </w:rPr>
        <w:t>threats and acts of intimidation</w:t>
      </w:r>
      <w:r w:rsidR="00FC5DC8" w:rsidRPr="008D6E5C">
        <w:rPr>
          <w:rFonts w:ascii="Cambria" w:hAnsi="Cambria"/>
          <w:sz w:val="20"/>
          <w:szCs w:val="20"/>
        </w:rPr>
        <w:t xml:space="preserve"> </w:t>
      </w:r>
      <w:r w:rsidRPr="008D6E5C">
        <w:rPr>
          <w:rFonts w:ascii="Cambria" w:hAnsi="Cambria"/>
          <w:bCs/>
          <w:sz w:val="20"/>
          <w:szCs w:val="20"/>
        </w:rPr>
        <w:t>against the residents of</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Pitalito</w:t>
      </w:r>
      <w:proofErr w:type="spellEnd"/>
      <w:r w:rsidR="00FC5DC8" w:rsidRPr="008D6E5C">
        <w:rPr>
          <w:rFonts w:ascii="Cambria" w:hAnsi="Cambria"/>
          <w:bCs/>
          <w:sz w:val="20"/>
          <w:szCs w:val="20"/>
        </w:rPr>
        <w:t xml:space="preserve">, </w:t>
      </w:r>
      <w:r w:rsidRPr="008D6E5C">
        <w:rPr>
          <w:rFonts w:ascii="Cambria" w:hAnsi="Cambria"/>
          <w:bCs/>
          <w:sz w:val="20"/>
          <w:szCs w:val="20"/>
        </w:rPr>
        <w:t>witnesses, and relatives of</w:t>
      </w:r>
      <w:r w:rsidR="00FC5DC8" w:rsidRPr="008D6E5C">
        <w:rPr>
          <w:rFonts w:ascii="Cambria" w:hAnsi="Cambria"/>
          <w:bCs/>
          <w:sz w:val="20"/>
          <w:szCs w:val="20"/>
        </w:rPr>
        <w:t xml:space="preserve"> </w:t>
      </w:r>
      <w:r w:rsidR="008668D4" w:rsidRPr="008D6E5C">
        <w:rPr>
          <w:rFonts w:ascii="Cambria" w:hAnsi="Cambria"/>
          <w:bCs/>
          <w:sz w:val="20"/>
          <w:szCs w:val="20"/>
        </w:rPr>
        <w:t xml:space="preserve">the journalist </w:t>
      </w:r>
      <w:r w:rsidR="00FC5DC8" w:rsidRPr="008D6E5C">
        <w:rPr>
          <w:rFonts w:ascii="Cambria" w:hAnsi="Cambria"/>
          <w:bCs/>
          <w:sz w:val="20"/>
          <w:szCs w:val="20"/>
        </w:rPr>
        <w:t xml:space="preserve">Nelson </w:t>
      </w:r>
      <w:proofErr w:type="spellStart"/>
      <w:r w:rsidR="00FC5DC8" w:rsidRPr="008D6E5C">
        <w:rPr>
          <w:rFonts w:ascii="Cambria" w:hAnsi="Cambria"/>
          <w:bCs/>
          <w:sz w:val="20"/>
          <w:szCs w:val="20"/>
        </w:rPr>
        <w:t>Carvajal</w:t>
      </w:r>
      <w:r w:rsidRPr="008D6E5C">
        <w:rPr>
          <w:rFonts w:ascii="Cambria" w:hAnsi="Cambria"/>
          <w:bCs/>
          <w:sz w:val="20"/>
          <w:szCs w:val="20"/>
        </w:rPr>
        <w:t>’s</w:t>
      </w:r>
      <w:proofErr w:type="spellEnd"/>
      <w:r w:rsidRPr="008D6E5C">
        <w:rPr>
          <w:rFonts w:ascii="Cambria" w:hAnsi="Cambria"/>
          <w:bCs/>
          <w:sz w:val="20"/>
          <w:szCs w:val="20"/>
        </w:rPr>
        <w:t xml:space="preserve"> during the investigation</w:t>
      </w:r>
      <w:r w:rsidR="00FC5DC8" w:rsidRPr="008D6E5C">
        <w:rPr>
          <w:rFonts w:ascii="Cambria" w:hAnsi="Cambria"/>
          <w:bCs/>
          <w:sz w:val="20"/>
          <w:szCs w:val="20"/>
        </w:rPr>
        <w:t xml:space="preserve">. </w:t>
      </w:r>
      <w:r w:rsidR="00DE34FB" w:rsidRPr="008D6E5C">
        <w:rPr>
          <w:rFonts w:ascii="Cambria" w:hAnsi="Cambria"/>
          <w:bCs/>
          <w:sz w:val="20"/>
          <w:szCs w:val="20"/>
        </w:rPr>
        <w:t>The State learned of these</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 xml:space="preserve">and had the obligation to take all necessary protection and investigation measures to </w:t>
      </w:r>
      <w:r w:rsidR="000B63C0" w:rsidRPr="008D6E5C">
        <w:rPr>
          <w:rFonts w:ascii="Cambria" w:hAnsi="Cambria"/>
          <w:bCs/>
          <w:sz w:val="20"/>
          <w:szCs w:val="20"/>
        </w:rPr>
        <w:t>guarantee the full effectiveness of the proceedings</w:t>
      </w:r>
      <w:r w:rsidR="00FC5DC8" w:rsidRPr="008D6E5C">
        <w:rPr>
          <w:rFonts w:ascii="Cambria" w:hAnsi="Cambria"/>
          <w:bCs/>
          <w:sz w:val="20"/>
          <w:szCs w:val="20"/>
        </w:rPr>
        <w:t xml:space="preserve">. </w:t>
      </w:r>
    </w:p>
    <w:p w:rsidR="00FC5DC8" w:rsidRPr="008D6E5C" w:rsidRDefault="00FC5DC8" w:rsidP="001520DB">
      <w:pPr>
        <w:jc w:val="both"/>
        <w:rPr>
          <w:rFonts w:ascii="Cambria" w:hAnsi="Cambria"/>
          <w:bCs/>
          <w:sz w:val="20"/>
          <w:szCs w:val="20"/>
        </w:rPr>
      </w:pPr>
    </w:p>
    <w:p w:rsidR="00FC5DC8" w:rsidRPr="008D6E5C" w:rsidRDefault="000B63C0"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case file also shows that the investigating authorities observed that, “given the lack of protection,” several individuals in</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Pitalito</w:t>
      </w:r>
      <w:proofErr w:type="spellEnd"/>
      <w:r w:rsidRPr="008D6E5C">
        <w:rPr>
          <w:rFonts w:ascii="Cambria" w:hAnsi="Cambria"/>
          <w:bCs/>
          <w:sz w:val="20"/>
          <w:szCs w:val="20"/>
        </w:rPr>
        <w:t xml:space="preserve"> did not want to give their names when they gave statements,</w:t>
      </w:r>
      <w:r w:rsidR="00FC5DC8" w:rsidRPr="008D6E5C">
        <w:rPr>
          <w:rFonts w:ascii="Cambria" w:hAnsi="Cambria"/>
          <w:bCs/>
          <w:sz w:val="20"/>
          <w:szCs w:val="20"/>
        </w:rPr>
        <w:t xml:space="preserve"> “</w:t>
      </w:r>
      <w:r w:rsidRPr="008D6E5C">
        <w:rPr>
          <w:rFonts w:ascii="Cambria" w:hAnsi="Cambria"/>
          <w:sz w:val="20"/>
          <w:szCs w:val="20"/>
        </w:rPr>
        <w:t>because of the fear that exists in the area.”</w:t>
      </w:r>
      <w:r w:rsidR="00FC5DC8" w:rsidRPr="008D6E5C">
        <w:rPr>
          <w:rFonts w:ascii="Cambria" w:hAnsi="Cambria"/>
          <w:bCs/>
          <w:sz w:val="20"/>
          <w:szCs w:val="20"/>
        </w:rPr>
        <w:t xml:space="preserve"> </w:t>
      </w:r>
      <w:r w:rsidRPr="008D6E5C">
        <w:rPr>
          <w:rFonts w:ascii="Cambria" w:hAnsi="Cambria"/>
          <w:bCs/>
          <w:sz w:val="20"/>
          <w:szCs w:val="20"/>
        </w:rPr>
        <w:t xml:space="preserve">This fear also affected the personnel in charge of intelligence work in </w:t>
      </w:r>
      <w:proofErr w:type="spellStart"/>
      <w:r w:rsidRPr="008D6E5C">
        <w:rPr>
          <w:rFonts w:ascii="Cambria" w:hAnsi="Cambria"/>
          <w:bCs/>
          <w:sz w:val="20"/>
          <w:szCs w:val="20"/>
        </w:rPr>
        <w:t>Pitalito</w:t>
      </w:r>
      <w:proofErr w:type="spellEnd"/>
      <w:r w:rsidR="00FC5DC8" w:rsidRPr="008D6E5C">
        <w:rPr>
          <w:rFonts w:ascii="Cambria" w:hAnsi="Cambria"/>
          <w:bCs/>
          <w:sz w:val="20"/>
          <w:szCs w:val="20"/>
        </w:rPr>
        <w:t xml:space="preserve"> </w:t>
      </w:r>
      <w:r w:rsidRPr="008D6E5C">
        <w:rPr>
          <w:rFonts w:ascii="Cambria" w:hAnsi="Cambria"/>
          <w:bCs/>
          <w:sz w:val="20"/>
          <w:szCs w:val="20"/>
        </w:rPr>
        <w:t>who, according to the regional authorities,</w:t>
      </w:r>
      <w:r w:rsidR="00FC5DC8" w:rsidRPr="008D6E5C">
        <w:rPr>
          <w:rFonts w:ascii="Cambria" w:hAnsi="Cambria"/>
          <w:bCs/>
          <w:sz w:val="20"/>
          <w:szCs w:val="20"/>
        </w:rPr>
        <w:t xml:space="preserve"> “</w:t>
      </w:r>
      <w:r w:rsidRPr="008D6E5C">
        <w:rPr>
          <w:rFonts w:ascii="Cambria" w:hAnsi="Cambria"/>
          <w:sz w:val="20"/>
          <w:szCs w:val="20"/>
        </w:rPr>
        <w:t>did not sign any documents for security reasons</w:t>
      </w:r>
      <w:r w:rsidR="00FC5DC8" w:rsidRPr="008D6E5C">
        <w:rPr>
          <w:rFonts w:ascii="Cambria" w:hAnsi="Cambria"/>
          <w:bCs/>
          <w:sz w:val="20"/>
          <w:szCs w:val="20"/>
        </w:rPr>
        <w:t xml:space="preserve">”. </w:t>
      </w:r>
    </w:p>
    <w:p w:rsidR="00FC5DC8" w:rsidRPr="008D6E5C" w:rsidRDefault="00FC5DC8" w:rsidP="001520DB">
      <w:pPr>
        <w:pStyle w:val="ListParagraph"/>
        <w:rPr>
          <w:sz w:val="20"/>
          <w:szCs w:val="20"/>
        </w:rPr>
      </w:pPr>
    </w:p>
    <w:p w:rsidR="00FC5DC8" w:rsidRPr="008D6E5C" w:rsidRDefault="00A406A5"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During</w:t>
      </w:r>
      <w:r w:rsidR="00FC5DC8" w:rsidRPr="008D6E5C">
        <w:rPr>
          <w:rFonts w:ascii="Cambria" w:hAnsi="Cambria"/>
          <w:sz w:val="20"/>
          <w:szCs w:val="20"/>
        </w:rPr>
        <w:t xml:space="preserve"> </w:t>
      </w:r>
      <w:r w:rsidR="000B63C0" w:rsidRPr="008D6E5C">
        <w:rPr>
          <w:rFonts w:ascii="Cambria" w:hAnsi="Cambria"/>
          <w:sz w:val="20"/>
          <w:szCs w:val="20"/>
        </w:rPr>
        <w:t>the pretrial phase of the criminal proceeding</w:t>
      </w:r>
      <w:r w:rsidR="00FC5DC8" w:rsidRPr="008D6E5C">
        <w:rPr>
          <w:rFonts w:ascii="Cambria" w:hAnsi="Cambria"/>
          <w:sz w:val="20"/>
          <w:szCs w:val="20"/>
        </w:rPr>
        <w:t xml:space="preserve">, </w:t>
      </w:r>
      <w:r w:rsidR="000B63C0" w:rsidRPr="008D6E5C">
        <w:rPr>
          <w:rFonts w:ascii="Cambria" w:hAnsi="Cambria"/>
          <w:sz w:val="20"/>
          <w:szCs w:val="20"/>
        </w:rPr>
        <w:t>because of her actions pushing for</w:t>
      </w:r>
      <w:r w:rsidR="00FC5DC8" w:rsidRPr="008D6E5C">
        <w:rPr>
          <w:rFonts w:ascii="Cambria" w:hAnsi="Cambria"/>
          <w:sz w:val="20"/>
          <w:szCs w:val="20"/>
        </w:rPr>
        <w:t xml:space="preserve"> </w:t>
      </w:r>
      <w:r w:rsidR="001766CB" w:rsidRPr="008D6E5C">
        <w:rPr>
          <w:rFonts w:ascii="Cambria" w:hAnsi="Cambria"/>
          <w:sz w:val="20"/>
          <w:szCs w:val="20"/>
        </w:rPr>
        <w:t>the investigation</w:t>
      </w:r>
      <w:r w:rsidR="00FC5DC8" w:rsidRPr="008D6E5C">
        <w:rPr>
          <w:rFonts w:ascii="Cambria" w:hAnsi="Cambria"/>
          <w:sz w:val="20"/>
          <w:szCs w:val="20"/>
        </w:rPr>
        <w:t xml:space="preserve">, </w:t>
      </w:r>
      <w:r w:rsidR="000B63C0" w:rsidRPr="008D6E5C">
        <w:rPr>
          <w:rFonts w:ascii="Cambria" w:hAnsi="Cambria"/>
          <w:sz w:val="20"/>
          <w:szCs w:val="20"/>
        </w:rPr>
        <w:t>the victim’s sister</w:t>
      </w:r>
      <w:r w:rsidR="00FC5DC8" w:rsidRPr="008D6E5C">
        <w:rPr>
          <w:rFonts w:ascii="Cambria" w:hAnsi="Cambria"/>
          <w:sz w:val="20"/>
          <w:szCs w:val="20"/>
        </w:rPr>
        <w:t xml:space="preserve"> 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0B63C0" w:rsidRPr="008D6E5C">
        <w:rPr>
          <w:rFonts w:ascii="Cambria" w:hAnsi="Cambria"/>
          <w:sz w:val="20"/>
          <w:szCs w:val="20"/>
        </w:rPr>
        <w:t>was the victim of a criminal complaint filed by the government</w:t>
      </w:r>
      <w:r w:rsidR="003C6662" w:rsidRPr="008D6E5C">
        <w:rPr>
          <w:rFonts w:ascii="Cambria" w:hAnsi="Cambria"/>
          <w:sz w:val="20"/>
          <w:szCs w:val="20"/>
        </w:rPr>
        <w:t xml:space="preserve"> official implicated in the murder. The complaint alleged criminal defamation</w:t>
      </w:r>
      <w:r w:rsidR="00C5291C" w:rsidRPr="008D6E5C">
        <w:rPr>
          <w:rFonts w:ascii="Cambria" w:hAnsi="Cambria"/>
          <w:sz w:val="20"/>
          <w:szCs w:val="20"/>
        </w:rPr>
        <w:t xml:space="preserve"> [</w:t>
      </w:r>
      <w:proofErr w:type="spellStart"/>
      <w:r w:rsidR="00C5291C" w:rsidRPr="008D6E5C">
        <w:rPr>
          <w:rFonts w:ascii="Cambria" w:hAnsi="Cambria"/>
          <w:i/>
          <w:sz w:val="20"/>
          <w:szCs w:val="20"/>
        </w:rPr>
        <w:t>calumnia</w:t>
      </w:r>
      <w:proofErr w:type="spellEnd"/>
      <w:r w:rsidR="00C5291C" w:rsidRPr="008D6E5C">
        <w:rPr>
          <w:rFonts w:ascii="Cambria" w:hAnsi="Cambria"/>
          <w:i/>
          <w:sz w:val="20"/>
          <w:szCs w:val="20"/>
        </w:rPr>
        <w:t xml:space="preserve"> e injuria</w:t>
      </w:r>
      <w:r w:rsidR="00C5291C" w:rsidRPr="008D6E5C">
        <w:rPr>
          <w:rFonts w:ascii="Cambria" w:hAnsi="Cambria"/>
          <w:sz w:val="20"/>
          <w:szCs w:val="20"/>
        </w:rPr>
        <w:t>]</w:t>
      </w:r>
      <w:r w:rsidR="003C6662" w:rsidRPr="008D6E5C">
        <w:rPr>
          <w:rFonts w:ascii="Cambria" w:hAnsi="Cambria"/>
          <w:sz w:val="20"/>
          <w:szCs w:val="20"/>
        </w:rPr>
        <w:t>, and</w:t>
      </w:r>
      <w:r w:rsidR="00E56DE4" w:rsidRPr="008D6E5C">
        <w:rPr>
          <w:rFonts w:ascii="Cambria" w:hAnsi="Cambria"/>
          <w:sz w:val="20"/>
          <w:szCs w:val="20"/>
        </w:rPr>
        <w:t xml:space="preserve"> was pending for a year, even though it</w:t>
      </w:r>
      <w:r w:rsidR="00601A5B" w:rsidRPr="008D6E5C">
        <w:rPr>
          <w:rFonts w:ascii="Cambria" w:hAnsi="Cambria"/>
          <w:sz w:val="20"/>
          <w:szCs w:val="20"/>
        </w:rPr>
        <w:t xml:space="preserve"> lacked clear grounds</w:t>
      </w:r>
      <w:r w:rsidR="00E56DE4" w:rsidRPr="008D6E5C">
        <w:rPr>
          <w:rFonts w:ascii="Cambria" w:hAnsi="Cambria"/>
          <w:sz w:val="20"/>
          <w:szCs w:val="20"/>
        </w:rPr>
        <w:t>.</w:t>
      </w:r>
      <w:r w:rsidR="000B63C0" w:rsidRPr="008D6E5C">
        <w:rPr>
          <w:rFonts w:ascii="Cambria" w:hAnsi="Cambria"/>
          <w:sz w:val="20"/>
          <w:szCs w:val="20"/>
        </w:rPr>
        <w:t xml:space="preserve"> Furthermore, the record reflects that she received death threats on several occasions and was subject to surveillance by unidentified men who approached her </w:t>
      </w:r>
      <w:r w:rsidR="003C6662" w:rsidRPr="008D6E5C">
        <w:rPr>
          <w:rFonts w:ascii="Cambria" w:hAnsi="Cambria"/>
          <w:sz w:val="20"/>
          <w:szCs w:val="20"/>
        </w:rPr>
        <w:t xml:space="preserve">person </w:t>
      </w:r>
      <w:r w:rsidR="000B63C0" w:rsidRPr="008D6E5C">
        <w:rPr>
          <w:rFonts w:ascii="Cambria" w:hAnsi="Cambria"/>
          <w:sz w:val="20"/>
          <w:szCs w:val="20"/>
        </w:rPr>
        <w:t xml:space="preserve">and her home with </w:t>
      </w:r>
      <w:r w:rsidR="00FC23CA" w:rsidRPr="008D6E5C">
        <w:rPr>
          <w:rFonts w:ascii="Cambria" w:hAnsi="Cambria"/>
          <w:sz w:val="20"/>
          <w:szCs w:val="20"/>
        </w:rPr>
        <w:t>extremely intimidating messages</w:t>
      </w:r>
      <w:r w:rsidR="00FC5DC8" w:rsidRPr="008D6E5C">
        <w:rPr>
          <w:rFonts w:ascii="Cambria" w:hAnsi="Cambria"/>
          <w:sz w:val="20"/>
          <w:szCs w:val="20"/>
        </w:rPr>
        <w:t xml:space="preserve">. </w:t>
      </w:r>
      <w:r w:rsidR="00FC23CA" w:rsidRPr="008D6E5C">
        <w:rPr>
          <w:rFonts w:ascii="Cambria" w:hAnsi="Cambria"/>
          <w:sz w:val="20"/>
          <w:szCs w:val="20"/>
        </w:rPr>
        <w:t>These</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00FC23CA" w:rsidRPr="008D6E5C">
        <w:rPr>
          <w:rFonts w:ascii="Cambria" w:hAnsi="Cambria"/>
          <w:sz w:val="20"/>
          <w:szCs w:val="20"/>
        </w:rPr>
        <w:t>increased upon the arrest in 1999 of the individuals accused of the masterminding the crime</w:t>
      </w:r>
      <w:r w:rsidR="00FC5DC8" w:rsidRPr="008D6E5C">
        <w:rPr>
          <w:rFonts w:ascii="Cambria" w:hAnsi="Cambria"/>
          <w:sz w:val="20"/>
          <w:szCs w:val="20"/>
        </w:rPr>
        <w:t xml:space="preserve">. </w:t>
      </w:r>
      <w:r w:rsidR="00FC23CA" w:rsidRPr="008D6E5C">
        <w:rPr>
          <w:rFonts w:ascii="Cambria" w:hAnsi="Cambria"/>
          <w:sz w:val="20"/>
          <w:szCs w:val="20"/>
        </w:rPr>
        <w:t xml:space="preserve">Her statements </w:t>
      </w:r>
      <w:r w:rsidR="003C6662" w:rsidRPr="008D6E5C">
        <w:rPr>
          <w:rFonts w:ascii="Cambria" w:hAnsi="Cambria"/>
          <w:sz w:val="20"/>
          <w:szCs w:val="20"/>
        </w:rPr>
        <w:t>indicate</w:t>
      </w:r>
      <w:r w:rsidR="00FC23CA" w:rsidRPr="008D6E5C">
        <w:rPr>
          <w:rFonts w:ascii="Cambria" w:hAnsi="Cambria"/>
          <w:sz w:val="20"/>
          <w:szCs w:val="20"/>
        </w:rPr>
        <w:t xml:space="preserve"> that on one occasion she was personally told that there was a direct order from the men implicated in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r w:rsidR="00FC23CA" w:rsidRPr="008D6E5C">
        <w:rPr>
          <w:rFonts w:ascii="Cambria" w:hAnsi="Cambria"/>
          <w:sz w:val="20"/>
          <w:szCs w:val="20"/>
        </w:rPr>
        <w:t>’s</w:t>
      </w:r>
      <w:proofErr w:type="spellEnd"/>
      <w:r w:rsidR="00FC23CA" w:rsidRPr="008D6E5C">
        <w:rPr>
          <w:rFonts w:ascii="Cambria" w:hAnsi="Cambria"/>
          <w:sz w:val="20"/>
          <w:szCs w:val="20"/>
        </w:rPr>
        <w:t xml:space="preserve"> murder to kill her. </w:t>
      </w:r>
      <w:r w:rsidR="00FC5DC8" w:rsidRPr="008D6E5C">
        <w:rPr>
          <w:rFonts w:ascii="Cambria" w:hAnsi="Cambria"/>
          <w:sz w:val="20"/>
          <w:szCs w:val="20"/>
        </w:rPr>
        <w:t xml:space="preserve">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FC23CA" w:rsidRPr="008D6E5C">
        <w:rPr>
          <w:rFonts w:ascii="Cambria" w:hAnsi="Cambria"/>
          <w:sz w:val="20"/>
          <w:szCs w:val="20"/>
        </w:rPr>
        <w:t xml:space="preserve">reported these threats to the authorities. </w:t>
      </w:r>
    </w:p>
    <w:p w:rsidR="00FC5DC8" w:rsidRPr="008D6E5C" w:rsidRDefault="00FC5DC8" w:rsidP="001520DB">
      <w:pPr>
        <w:pStyle w:val="ListParagraph"/>
        <w:rPr>
          <w:sz w:val="20"/>
          <w:szCs w:val="20"/>
        </w:rPr>
      </w:pPr>
    </w:p>
    <w:p w:rsidR="00FC5DC8" w:rsidRPr="008D6E5C" w:rsidRDefault="00FC5D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 xml:space="preserve">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FC23CA" w:rsidRPr="008D6E5C">
        <w:rPr>
          <w:rFonts w:ascii="Cambria" w:hAnsi="Cambria"/>
          <w:sz w:val="20"/>
          <w:szCs w:val="20"/>
        </w:rPr>
        <w:t xml:space="preserve">reportedly </w:t>
      </w:r>
      <w:r w:rsidR="00E546A5" w:rsidRPr="008D6E5C">
        <w:rPr>
          <w:rFonts w:ascii="Cambria" w:hAnsi="Cambria"/>
          <w:sz w:val="20"/>
          <w:szCs w:val="20"/>
        </w:rPr>
        <w:t>went into</w:t>
      </w:r>
      <w:r w:rsidR="00FC23CA" w:rsidRPr="008D6E5C">
        <w:rPr>
          <w:rFonts w:ascii="Cambria" w:hAnsi="Cambria"/>
          <w:sz w:val="20"/>
          <w:szCs w:val="20"/>
        </w:rPr>
        <w:t xml:space="preserve"> t</w:t>
      </w:r>
      <w:r w:rsidR="00D1708C" w:rsidRPr="008D6E5C">
        <w:rPr>
          <w:rFonts w:ascii="Cambria" w:hAnsi="Cambria"/>
          <w:sz w:val="20"/>
          <w:szCs w:val="20"/>
        </w:rPr>
        <w:t>he Victim and Witness Protection Program of</w:t>
      </w:r>
      <w:r w:rsidR="00FC23CA" w:rsidRPr="008D6E5C">
        <w:rPr>
          <w:rFonts w:ascii="Cambria" w:hAnsi="Cambria"/>
          <w:sz w:val="20"/>
          <w:szCs w:val="20"/>
        </w:rPr>
        <w:t xml:space="preserve"> </w:t>
      </w:r>
      <w:r w:rsidR="005953D4" w:rsidRPr="008D6E5C">
        <w:rPr>
          <w:rFonts w:ascii="Cambria" w:hAnsi="Cambria"/>
          <w:sz w:val="20"/>
          <w:szCs w:val="20"/>
        </w:rPr>
        <w:t>the Office of the Prosecutor General</w:t>
      </w:r>
      <w:r w:rsidR="00FC23CA" w:rsidRPr="008D6E5C">
        <w:rPr>
          <w:rFonts w:ascii="Cambria" w:hAnsi="Cambria"/>
          <w:sz w:val="20"/>
          <w:szCs w:val="20"/>
        </w:rPr>
        <w:t xml:space="preserve"> in early 1999</w:t>
      </w:r>
      <w:r w:rsidRPr="008D6E5C">
        <w:rPr>
          <w:rFonts w:ascii="Cambria" w:hAnsi="Cambria"/>
          <w:sz w:val="20"/>
          <w:szCs w:val="20"/>
        </w:rPr>
        <w:t xml:space="preserve">. </w:t>
      </w:r>
      <w:r w:rsidR="009722A3" w:rsidRPr="008D6E5C">
        <w:rPr>
          <w:rFonts w:ascii="Cambria" w:hAnsi="Cambria"/>
          <w:sz w:val="20"/>
          <w:szCs w:val="20"/>
        </w:rPr>
        <w:t>Nevertheless</w:t>
      </w:r>
      <w:r w:rsidRPr="008D6E5C">
        <w:rPr>
          <w:rFonts w:ascii="Cambria" w:hAnsi="Cambria"/>
          <w:sz w:val="20"/>
          <w:szCs w:val="20"/>
        </w:rPr>
        <w:t xml:space="preserve">, </w:t>
      </w:r>
      <w:r w:rsidR="009722A3" w:rsidRPr="008D6E5C">
        <w:rPr>
          <w:rFonts w:ascii="Cambria" w:hAnsi="Cambria"/>
          <w:sz w:val="20"/>
          <w:szCs w:val="20"/>
        </w:rPr>
        <w:t>there is no proof in the case file that she did in fact receive protection</w:t>
      </w:r>
      <w:r w:rsidRPr="008D6E5C">
        <w:rPr>
          <w:rFonts w:ascii="Cambria" w:hAnsi="Cambria"/>
          <w:sz w:val="20"/>
          <w:szCs w:val="20"/>
        </w:rPr>
        <w:t xml:space="preserve">. </w:t>
      </w:r>
      <w:r w:rsidR="009722A3" w:rsidRPr="008D6E5C">
        <w:rPr>
          <w:rFonts w:ascii="Cambria" w:hAnsi="Cambria"/>
          <w:sz w:val="20"/>
          <w:szCs w:val="20"/>
        </w:rPr>
        <w:t>In spite of her entry into the</w:t>
      </w:r>
      <w:r w:rsidRPr="008D6E5C">
        <w:rPr>
          <w:rFonts w:ascii="Cambria" w:hAnsi="Cambria"/>
          <w:sz w:val="20"/>
          <w:szCs w:val="20"/>
        </w:rPr>
        <w:t xml:space="preserve"> </w:t>
      </w:r>
      <w:r w:rsidR="009722A3" w:rsidRPr="008D6E5C">
        <w:rPr>
          <w:rFonts w:ascii="Cambria" w:hAnsi="Cambria"/>
          <w:sz w:val="20"/>
          <w:szCs w:val="20"/>
        </w:rPr>
        <w:t>Protection Program</w:t>
      </w:r>
      <w:r w:rsidRPr="008D6E5C">
        <w:rPr>
          <w:rFonts w:ascii="Cambria" w:hAnsi="Cambria"/>
          <w:sz w:val="20"/>
          <w:szCs w:val="20"/>
        </w:rPr>
        <w:t xml:space="preserve">, </w:t>
      </w:r>
      <w:r w:rsidR="00601A5B" w:rsidRPr="008D6E5C">
        <w:rPr>
          <w:rFonts w:ascii="Cambria" w:hAnsi="Cambria"/>
          <w:sz w:val="20"/>
          <w:szCs w:val="20"/>
        </w:rPr>
        <w:t xml:space="preserve">given the absence of concrete and effective measures of protection, </w:t>
      </w:r>
      <w:r w:rsidRPr="008D6E5C">
        <w:rPr>
          <w:rFonts w:ascii="Cambria" w:hAnsi="Cambria"/>
          <w:sz w:val="20"/>
          <w:szCs w:val="20"/>
        </w:rPr>
        <w:t xml:space="preserve">Judith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r w:rsidR="009722A3" w:rsidRPr="008D6E5C">
        <w:rPr>
          <w:rFonts w:ascii="Cambria" w:hAnsi="Cambria"/>
          <w:sz w:val="20"/>
          <w:szCs w:val="20"/>
        </w:rPr>
        <w:t>had to leave</w:t>
      </w:r>
      <w:r w:rsidRPr="008D6E5C">
        <w:rPr>
          <w:rFonts w:ascii="Cambria" w:hAnsi="Cambria"/>
          <w:sz w:val="20"/>
          <w:szCs w:val="20"/>
        </w:rPr>
        <w:t xml:space="preserve"> </w:t>
      </w:r>
      <w:proofErr w:type="spellStart"/>
      <w:r w:rsidRPr="008D6E5C">
        <w:rPr>
          <w:rFonts w:ascii="Cambria" w:hAnsi="Cambria"/>
          <w:sz w:val="20"/>
          <w:szCs w:val="20"/>
        </w:rPr>
        <w:t>Pitalito</w:t>
      </w:r>
      <w:proofErr w:type="spellEnd"/>
      <w:r w:rsidRPr="008D6E5C">
        <w:rPr>
          <w:rFonts w:ascii="Cambria" w:hAnsi="Cambria"/>
          <w:sz w:val="20"/>
          <w:szCs w:val="20"/>
        </w:rPr>
        <w:t xml:space="preserve"> </w:t>
      </w:r>
      <w:r w:rsidR="009722A3" w:rsidRPr="008D6E5C">
        <w:rPr>
          <w:rFonts w:ascii="Cambria" w:hAnsi="Cambria"/>
          <w:sz w:val="20"/>
          <w:szCs w:val="20"/>
        </w:rPr>
        <w:t>and reside temporarily in another part of the country</w:t>
      </w:r>
      <w:r w:rsidRPr="008D6E5C">
        <w:rPr>
          <w:rFonts w:ascii="Cambria" w:hAnsi="Cambria"/>
          <w:sz w:val="20"/>
          <w:szCs w:val="20"/>
        </w:rPr>
        <w:t xml:space="preserve">, </w:t>
      </w:r>
      <w:r w:rsidR="009722A3" w:rsidRPr="008D6E5C">
        <w:rPr>
          <w:rFonts w:ascii="Cambria" w:hAnsi="Cambria"/>
          <w:sz w:val="20"/>
          <w:szCs w:val="20"/>
        </w:rPr>
        <w:t>which she also reported to the</w:t>
      </w:r>
      <w:r w:rsidR="005953D4" w:rsidRPr="008D6E5C">
        <w:rPr>
          <w:rFonts w:ascii="Cambria" w:hAnsi="Cambria"/>
          <w:sz w:val="20"/>
          <w:szCs w:val="20"/>
        </w:rPr>
        <w:t xml:space="preserve"> Office of the Prosecutor General</w:t>
      </w:r>
      <w:r w:rsidRPr="008D6E5C">
        <w:rPr>
          <w:rFonts w:ascii="Cambria" w:hAnsi="Cambria"/>
          <w:sz w:val="20"/>
          <w:szCs w:val="20"/>
        </w:rPr>
        <w:t xml:space="preserve"> </w:t>
      </w:r>
      <w:r w:rsidR="009722A3" w:rsidRPr="008D6E5C">
        <w:rPr>
          <w:rFonts w:ascii="Cambria" w:hAnsi="Cambria"/>
          <w:sz w:val="20"/>
          <w:szCs w:val="20"/>
        </w:rPr>
        <w:t>in order for it to conduct the respective investigations</w:t>
      </w:r>
      <w:r w:rsidRPr="008D6E5C">
        <w:rPr>
          <w:rFonts w:ascii="Cambria" w:hAnsi="Cambria"/>
          <w:sz w:val="20"/>
          <w:szCs w:val="20"/>
        </w:rPr>
        <w:t xml:space="preserve">. </w:t>
      </w:r>
    </w:p>
    <w:p w:rsidR="00FC5DC8" w:rsidRPr="008D6E5C" w:rsidRDefault="00FC5DC8" w:rsidP="001520DB">
      <w:pPr>
        <w:pStyle w:val="ListParagraph"/>
        <w:rPr>
          <w:sz w:val="20"/>
          <w:szCs w:val="20"/>
        </w:rPr>
      </w:pPr>
    </w:p>
    <w:p w:rsidR="00004AD8" w:rsidRPr="008D6E5C" w:rsidRDefault="00D4120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In October</w:t>
      </w:r>
      <w:r w:rsidR="00FC5DC8" w:rsidRPr="008D6E5C">
        <w:rPr>
          <w:rFonts w:ascii="Cambria" w:hAnsi="Cambria"/>
          <w:sz w:val="20"/>
          <w:szCs w:val="20"/>
        </w:rPr>
        <w:t xml:space="preserve"> 1999</w:t>
      </w:r>
      <w:r w:rsidRPr="008D6E5C">
        <w:rPr>
          <w:rFonts w:ascii="Cambria" w:hAnsi="Cambria"/>
          <w:sz w:val="20"/>
          <w:szCs w:val="20"/>
        </w:rPr>
        <w:t>,</w:t>
      </w:r>
      <w:r w:rsidR="00FC5DC8" w:rsidRPr="008D6E5C">
        <w:rPr>
          <w:rFonts w:ascii="Cambria" w:hAnsi="Cambria"/>
          <w:sz w:val="20"/>
          <w:szCs w:val="20"/>
        </w:rPr>
        <w:t xml:space="preserve"> 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Pr="008D6E5C">
        <w:rPr>
          <w:rFonts w:ascii="Cambria" w:hAnsi="Cambria"/>
          <w:sz w:val="20"/>
          <w:szCs w:val="20"/>
        </w:rPr>
        <w:t>left the country because of the</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Pr="008D6E5C">
        <w:rPr>
          <w:rFonts w:ascii="Cambria" w:hAnsi="Cambria"/>
          <w:sz w:val="20"/>
          <w:szCs w:val="20"/>
        </w:rPr>
        <w:t xml:space="preserve">she was receiving from </w:t>
      </w:r>
      <w:r w:rsidR="00FC5DC8" w:rsidRPr="008D6E5C">
        <w:rPr>
          <w:rFonts w:ascii="Cambria" w:hAnsi="Cambria"/>
          <w:sz w:val="20"/>
          <w:szCs w:val="20"/>
        </w:rPr>
        <w:t>“persons implica</w:t>
      </w:r>
      <w:r w:rsidRPr="008D6E5C">
        <w:rPr>
          <w:rFonts w:ascii="Cambria" w:hAnsi="Cambria"/>
          <w:sz w:val="20"/>
          <w:szCs w:val="20"/>
        </w:rPr>
        <w:t xml:space="preserve">ted in </w:t>
      </w:r>
      <w:r w:rsidR="001766CB" w:rsidRPr="008D6E5C">
        <w:rPr>
          <w:rFonts w:ascii="Cambria" w:hAnsi="Cambria"/>
          <w:sz w:val="20"/>
          <w:szCs w:val="20"/>
        </w:rPr>
        <w:t>the investigation</w:t>
      </w:r>
      <w:r w:rsidR="00FC5DC8" w:rsidRPr="008D6E5C">
        <w:rPr>
          <w:rFonts w:ascii="Cambria" w:hAnsi="Cambria"/>
          <w:sz w:val="20"/>
          <w:szCs w:val="20"/>
        </w:rPr>
        <w:t xml:space="preserve">” </w:t>
      </w:r>
      <w:r w:rsidRPr="008D6E5C">
        <w:rPr>
          <w:rFonts w:ascii="Cambria" w:hAnsi="Cambria"/>
          <w:sz w:val="20"/>
          <w:szCs w:val="20"/>
        </w:rPr>
        <w:t xml:space="preserve">of her brother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r w:rsidR="00C05D4E" w:rsidRPr="008D6E5C">
        <w:rPr>
          <w:rFonts w:ascii="Cambria" w:hAnsi="Cambria"/>
          <w:sz w:val="20"/>
          <w:szCs w:val="20"/>
        </w:rPr>
        <w:t>’s</w:t>
      </w:r>
      <w:proofErr w:type="spellEnd"/>
      <w:r w:rsidR="00C05D4E" w:rsidRPr="008D6E5C">
        <w:rPr>
          <w:rFonts w:ascii="Cambria" w:hAnsi="Cambria"/>
          <w:sz w:val="20"/>
          <w:szCs w:val="20"/>
        </w:rPr>
        <w:t xml:space="preserve"> death</w:t>
      </w:r>
      <w:r w:rsidR="00FC5DC8" w:rsidRPr="008D6E5C">
        <w:rPr>
          <w:rFonts w:ascii="Cambria" w:hAnsi="Cambria"/>
          <w:sz w:val="20"/>
          <w:szCs w:val="20"/>
        </w:rPr>
        <w:t xml:space="preserve">. 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inform</w:t>
      </w:r>
      <w:r w:rsidRPr="008D6E5C">
        <w:rPr>
          <w:rFonts w:ascii="Cambria" w:hAnsi="Cambria"/>
          <w:sz w:val="20"/>
          <w:szCs w:val="20"/>
        </w:rPr>
        <w:t>ed the authorities of her departure and of the risks her family was facing. The</w:t>
      </w:r>
      <w:r w:rsidR="001766CB" w:rsidRPr="008D6E5C">
        <w:rPr>
          <w:rFonts w:ascii="Cambria" w:hAnsi="Cambria"/>
          <w:sz w:val="20"/>
          <w:szCs w:val="20"/>
        </w:rPr>
        <w:t xml:space="preserve"> petitioner</w:t>
      </w:r>
      <w:r w:rsidR="00FC5DC8" w:rsidRPr="008D6E5C">
        <w:rPr>
          <w:rFonts w:ascii="Cambria" w:hAnsi="Cambria"/>
          <w:sz w:val="20"/>
          <w:szCs w:val="20"/>
        </w:rPr>
        <w:t xml:space="preserve"> </w:t>
      </w:r>
      <w:r w:rsidRPr="008D6E5C">
        <w:rPr>
          <w:rFonts w:ascii="Cambria" w:hAnsi="Cambria"/>
          <w:sz w:val="20"/>
          <w:szCs w:val="20"/>
        </w:rPr>
        <w:t>indicated—and the State did not dispute</w:t>
      </w:r>
      <w:r w:rsidR="00C05D4E" w:rsidRPr="008D6E5C">
        <w:rPr>
          <w:rFonts w:ascii="Cambria" w:hAnsi="Cambria"/>
          <w:sz w:val="20"/>
          <w:szCs w:val="20"/>
        </w:rPr>
        <w:t xml:space="preserve"> the fact</w:t>
      </w:r>
      <w:r w:rsidRPr="008D6E5C">
        <w:rPr>
          <w:rFonts w:ascii="Cambria" w:hAnsi="Cambria"/>
          <w:sz w:val="20"/>
          <w:szCs w:val="20"/>
        </w:rPr>
        <w:t xml:space="preserve">—that she asked </w:t>
      </w:r>
      <w:r w:rsidR="00FC5DC8" w:rsidRPr="008D6E5C">
        <w:rPr>
          <w:rFonts w:ascii="Cambria" w:hAnsi="Cambria"/>
          <w:sz w:val="20"/>
          <w:szCs w:val="20"/>
        </w:rPr>
        <w:t>“</w:t>
      </w:r>
      <w:r w:rsidRPr="008D6E5C">
        <w:rPr>
          <w:rFonts w:ascii="Cambria" w:hAnsi="Cambria"/>
          <w:sz w:val="20"/>
          <w:szCs w:val="20"/>
        </w:rPr>
        <w:t xml:space="preserve">the Prosecutor’s Office for protection for [her] family, which is in the process of leaving </w:t>
      </w:r>
      <w:proofErr w:type="spellStart"/>
      <w:r w:rsidRPr="008D6E5C">
        <w:rPr>
          <w:rFonts w:ascii="Cambria" w:hAnsi="Cambria"/>
          <w:sz w:val="20"/>
          <w:szCs w:val="20"/>
        </w:rPr>
        <w:t>Pitalito</w:t>
      </w:r>
      <w:proofErr w:type="spellEnd"/>
      <w:r w:rsidRPr="008D6E5C">
        <w:rPr>
          <w:rFonts w:ascii="Cambria" w:hAnsi="Cambria"/>
          <w:sz w:val="20"/>
          <w:szCs w:val="20"/>
        </w:rPr>
        <w:t xml:space="preserve"> for fear that something might happen to them</w:t>
      </w:r>
      <w:r w:rsidR="00D1708C" w:rsidRPr="008D6E5C">
        <w:rPr>
          <w:rFonts w:ascii="Cambria" w:hAnsi="Cambria"/>
          <w:sz w:val="20"/>
          <w:szCs w:val="20"/>
        </w:rPr>
        <w:t>.</w:t>
      </w:r>
      <w:r w:rsidR="00FC5DC8" w:rsidRPr="008D6E5C">
        <w:rPr>
          <w:rFonts w:ascii="Cambria" w:hAnsi="Cambria"/>
          <w:sz w:val="20"/>
          <w:szCs w:val="20"/>
        </w:rPr>
        <w:t xml:space="preserve">” </w:t>
      </w:r>
    </w:p>
    <w:p w:rsidR="00004AD8" w:rsidRPr="008D6E5C" w:rsidRDefault="00004AD8" w:rsidP="001520DB">
      <w:pPr>
        <w:pStyle w:val="ListParagraph"/>
        <w:rPr>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The Commission</w:t>
      </w:r>
      <w:r w:rsidR="00FC5DC8" w:rsidRPr="008D6E5C">
        <w:rPr>
          <w:rFonts w:ascii="Cambria" w:hAnsi="Cambria"/>
          <w:bCs/>
          <w:sz w:val="20"/>
          <w:szCs w:val="20"/>
        </w:rPr>
        <w:t xml:space="preserve"> not</w:t>
      </w:r>
      <w:r w:rsidR="00D41203" w:rsidRPr="008D6E5C">
        <w:rPr>
          <w:rFonts w:ascii="Cambria" w:hAnsi="Cambria"/>
          <w:bCs/>
          <w:sz w:val="20"/>
          <w:szCs w:val="20"/>
        </w:rPr>
        <w:t xml:space="preserve">es that the State did not provide evidence of having taken any measures to protect the relatives who were threatened during </w:t>
      </w:r>
      <w:r w:rsidR="001766CB" w:rsidRPr="008D6E5C">
        <w:rPr>
          <w:rFonts w:ascii="Cambria" w:hAnsi="Cambria"/>
          <w:bCs/>
          <w:sz w:val="20"/>
          <w:szCs w:val="20"/>
        </w:rPr>
        <w:t>the investigation</w:t>
      </w:r>
      <w:r w:rsidR="00D41203" w:rsidRPr="008D6E5C">
        <w:rPr>
          <w:rFonts w:ascii="Cambria" w:hAnsi="Cambria"/>
          <w:bCs/>
          <w:sz w:val="20"/>
          <w:szCs w:val="20"/>
        </w:rPr>
        <w:t>. I</w:t>
      </w:r>
      <w:r w:rsidR="00FC5DC8" w:rsidRPr="008D6E5C">
        <w:rPr>
          <w:rFonts w:ascii="Cambria" w:hAnsi="Cambria"/>
          <w:bCs/>
          <w:sz w:val="20"/>
          <w:szCs w:val="20"/>
        </w:rPr>
        <w:t xml:space="preserve">n particular, </w:t>
      </w:r>
      <w:r w:rsidR="00D41203" w:rsidRPr="008D6E5C">
        <w:rPr>
          <w:rFonts w:ascii="Cambria" w:hAnsi="Cambria"/>
          <w:bCs/>
          <w:sz w:val="20"/>
          <w:szCs w:val="20"/>
        </w:rPr>
        <w:t>it notes that there is nothing in the case file to indicate that any kind of investigation was conducted to determine the origin of the reported</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00D41203" w:rsidRPr="008D6E5C">
        <w:rPr>
          <w:rFonts w:ascii="Cambria" w:hAnsi="Cambria"/>
          <w:bCs/>
          <w:sz w:val="20"/>
          <w:szCs w:val="20"/>
        </w:rPr>
        <w:t>and to punish those responsible for them</w:t>
      </w:r>
      <w:r w:rsidR="00FC5DC8" w:rsidRPr="008D6E5C">
        <w:rPr>
          <w:rFonts w:ascii="Cambria" w:hAnsi="Cambria"/>
          <w:bCs/>
          <w:sz w:val="20"/>
          <w:szCs w:val="20"/>
        </w:rPr>
        <w:t xml:space="preserve">, </w:t>
      </w:r>
      <w:r w:rsidR="00D41203" w:rsidRPr="008D6E5C">
        <w:rPr>
          <w:rFonts w:ascii="Cambria" w:hAnsi="Cambria"/>
          <w:bCs/>
          <w:sz w:val="20"/>
          <w:szCs w:val="20"/>
        </w:rPr>
        <w:t xml:space="preserve">which exacerbates the context of intimidation and defenselessness and </w:t>
      </w:r>
      <w:r w:rsidR="00A7174B" w:rsidRPr="008D6E5C">
        <w:rPr>
          <w:rFonts w:ascii="Cambria" w:hAnsi="Cambria"/>
          <w:bCs/>
          <w:sz w:val="20"/>
          <w:szCs w:val="20"/>
        </w:rPr>
        <w:t>encourages</w:t>
      </w:r>
      <w:r w:rsidR="00D41203" w:rsidRPr="008D6E5C">
        <w:rPr>
          <w:rFonts w:ascii="Cambria" w:hAnsi="Cambria"/>
          <w:bCs/>
          <w:sz w:val="20"/>
          <w:szCs w:val="20"/>
        </w:rPr>
        <w:t xml:space="preserve"> the concealment of the facts</w:t>
      </w:r>
      <w:r w:rsidR="00FC5DC8" w:rsidRPr="008D6E5C">
        <w:rPr>
          <w:rFonts w:ascii="Cambria" w:hAnsi="Cambria"/>
          <w:bCs/>
          <w:sz w:val="20"/>
          <w:szCs w:val="20"/>
        </w:rPr>
        <w:t>.</w:t>
      </w:r>
      <w:r w:rsidR="00D41203" w:rsidRPr="008D6E5C">
        <w:rPr>
          <w:rFonts w:ascii="Cambria" w:hAnsi="Cambria"/>
          <w:bCs/>
          <w:sz w:val="20"/>
          <w:szCs w:val="20"/>
        </w:rPr>
        <w:t xml:space="preserve"> </w:t>
      </w:r>
    </w:p>
    <w:p w:rsidR="00FC5DC8" w:rsidRPr="008D6E5C" w:rsidRDefault="00FC5DC8" w:rsidP="001520DB">
      <w:pPr>
        <w:pStyle w:val="ListParagraph"/>
        <w:rPr>
          <w:sz w:val="20"/>
          <w:szCs w:val="20"/>
        </w:rPr>
      </w:pPr>
    </w:p>
    <w:p w:rsidR="00FC5DC8" w:rsidRPr="008D6E5C" w:rsidRDefault="00D4120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Against this backdrop</w:t>
      </w:r>
      <w:r w:rsidR="00FC5DC8" w:rsidRPr="008D6E5C">
        <w:rPr>
          <w:rFonts w:ascii="Cambria" w:hAnsi="Cambria"/>
          <w:sz w:val="20"/>
          <w:szCs w:val="20"/>
        </w:rPr>
        <w:t xml:space="preserve">, </w:t>
      </w:r>
      <w:r w:rsidR="00D1708C" w:rsidRPr="008D6E5C">
        <w:rPr>
          <w:rFonts w:ascii="Cambria" w:hAnsi="Cambria"/>
          <w:sz w:val="20"/>
          <w:szCs w:val="20"/>
        </w:rPr>
        <w:t>it concerns</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00D1708C" w:rsidRPr="008D6E5C">
        <w:rPr>
          <w:rFonts w:ascii="Cambria" w:hAnsi="Cambria"/>
          <w:sz w:val="20"/>
          <w:szCs w:val="20"/>
        </w:rPr>
        <w:t>that the</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Pr="008D6E5C">
        <w:rPr>
          <w:rFonts w:ascii="Cambria" w:hAnsi="Cambria"/>
          <w:sz w:val="20"/>
          <w:szCs w:val="20"/>
        </w:rPr>
        <w:t xml:space="preserve">persisted </w:t>
      </w:r>
      <w:r w:rsidR="00A7174B" w:rsidRPr="008D6E5C">
        <w:rPr>
          <w:rFonts w:ascii="Cambria" w:hAnsi="Cambria"/>
          <w:sz w:val="20"/>
          <w:szCs w:val="20"/>
        </w:rPr>
        <w:t>throughout</w:t>
      </w:r>
      <w:r w:rsidRPr="008D6E5C">
        <w:rPr>
          <w:rFonts w:ascii="Cambria" w:hAnsi="Cambria"/>
          <w:sz w:val="20"/>
          <w:szCs w:val="20"/>
        </w:rPr>
        <w:t xml:space="preserve"> the investigation, and that nine </w:t>
      </w:r>
      <w:r w:rsidR="00FC5DC8" w:rsidRPr="008D6E5C">
        <w:rPr>
          <w:rFonts w:ascii="Cambria" w:hAnsi="Cambria"/>
          <w:sz w:val="20"/>
          <w:szCs w:val="20"/>
        </w:rPr>
        <w:t xml:space="preserve">(9) </w:t>
      </w:r>
      <w:r w:rsidR="00D1708C" w:rsidRPr="008D6E5C">
        <w:rPr>
          <w:rFonts w:ascii="Cambria" w:hAnsi="Cambria"/>
          <w:sz w:val="20"/>
          <w:szCs w:val="20"/>
        </w:rPr>
        <w:t>relatives of Nelson</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D1708C" w:rsidRPr="008D6E5C">
        <w:rPr>
          <w:rFonts w:ascii="Cambria" w:hAnsi="Cambria"/>
          <w:sz w:val="20"/>
          <w:szCs w:val="20"/>
        </w:rPr>
        <w:t xml:space="preserve">have </w:t>
      </w:r>
      <w:r w:rsidRPr="008D6E5C">
        <w:rPr>
          <w:rFonts w:ascii="Cambria" w:hAnsi="Cambria"/>
          <w:sz w:val="20"/>
          <w:szCs w:val="20"/>
        </w:rPr>
        <w:t xml:space="preserve">consequently </w:t>
      </w:r>
      <w:r w:rsidR="00D1708C" w:rsidRPr="008D6E5C">
        <w:rPr>
          <w:rFonts w:ascii="Cambria" w:hAnsi="Cambria"/>
          <w:sz w:val="20"/>
          <w:szCs w:val="20"/>
        </w:rPr>
        <w:t>had to leave the country in</w:t>
      </w:r>
      <w:r w:rsidR="00FC5DC8" w:rsidRPr="008D6E5C">
        <w:rPr>
          <w:rFonts w:ascii="Cambria" w:hAnsi="Cambria"/>
          <w:sz w:val="20"/>
          <w:szCs w:val="20"/>
        </w:rPr>
        <w:t xml:space="preserve"> </w:t>
      </w:r>
      <w:r w:rsidR="00D1708C" w:rsidRPr="008D6E5C">
        <w:rPr>
          <w:rFonts w:ascii="Cambria" w:hAnsi="Cambria"/>
          <w:sz w:val="20"/>
          <w:szCs w:val="20"/>
        </w:rPr>
        <w:t xml:space="preserve">2006 and </w:t>
      </w:r>
      <w:r w:rsidR="00FC5DC8" w:rsidRPr="008D6E5C">
        <w:rPr>
          <w:rFonts w:ascii="Cambria" w:hAnsi="Cambria"/>
          <w:sz w:val="20"/>
          <w:szCs w:val="20"/>
        </w:rPr>
        <w:t>2010 (</w:t>
      </w:r>
      <w:r w:rsidR="00FC5DC8" w:rsidRPr="008D6E5C">
        <w:rPr>
          <w:rFonts w:ascii="Cambria" w:hAnsi="Cambria"/>
          <w:i/>
          <w:sz w:val="20"/>
          <w:szCs w:val="20"/>
        </w:rPr>
        <w:t>supra</w:t>
      </w:r>
      <w:r w:rsidR="00FC5DC8" w:rsidRPr="008D6E5C">
        <w:rPr>
          <w:rFonts w:ascii="Cambria" w:hAnsi="Cambria"/>
          <w:sz w:val="20"/>
          <w:szCs w:val="20"/>
        </w:rPr>
        <w:t xml:space="preserve"> </w:t>
      </w:r>
      <w:r w:rsidR="00DF44C8" w:rsidRPr="008D6E5C">
        <w:rPr>
          <w:rFonts w:ascii="Cambria" w:hAnsi="Cambria"/>
          <w:sz w:val="20"/>
          <w:szCs w:val="20"/>
        </w:rPr>
        <w:t>para.</w:t>
      </w:r>
      <w:r w:rsidR="00FC5DC8" w:rsidRPr="008D6E5C">
        <w:rPr>
          <w:rFonts w:ascii="Cambria" w:hAnsi="Cambria"/>
          <w:sz w:val="20"/>
          <w:szCs w:val="20"/>
        </w:rPr>
        <w:t xml:space="preserve"> </w:t>
      </w:r>
      <w:r w:rsidR="009E2E68" w:rsidRPr="008D6E5C">
        <w:rPr>
          <w:rFonts w:ascii="Cambria" w:hAnsi="Cambria"/>
          <w:sz w:val="20"/>
          <w:szCs w:val="20"/>
        </w:rPr>
        <w:t>106</w:t>
      </w:r>
      <w:r w:rsidR="00FC5DC8" w:rsidRPr="008D6E5C">
        <w:rPr>
          <w:rFonts w:ascii="Cambria" w:hAnsi="Cambria"/>
          <w:sz w:val="20"/>
          <w:szCs w:val="20"/>
        </w:rPr>
        <w:t>).</w:t>
      </w:r>
    </w:p>
    <w:p w:rsidR="00FC5DC8" w:rsidRPr="008D6E5C" w:rsidRDefault="00FC5DC8" w:rsidP="001520DB">
      <w:pPr>
        <w:pStyle w:val="ListParagraph"/>
        <w:rPr>
          <w:bCs/>
          <w:sz w:val="20"/>
          <w:szCs w:val="20"/>
        </w:rPr>
      </w:pPr>
    </w:p>
    <w:p w:rsidR="00FC5DC8" w:rsidRPr="008D6E5C" w:rsidRDefault="007A2CD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 xml:space="preserve">The body of evidence </w:t>
      </w:r>
      <w:r w:rsidR="00C15529" w:rsidRPr="008D6E5C">
        <w:rPr>
          <w:rFonts w:ascii="Cambria" w:hAnsi="Cambria"/>
          <w:bCs/>
          <w:sz w:val="20"/>
          <w:szCs w:val="20"/>
        </w:rPr>
        <w:t>shows</w:t>
      </w:r>
      <w:r w:rsidRPr="008D6E5C">
        <w:rPr>
          <w:rFonts w:ascii="Cambria" w:hAnsi="Cambria"/>
          <w:bCs/>
          <w:sz w:val="20"/>
          <w:szCs w:val="20"/>
        </w:rPr>
        <w:t xml:space="preserve"> that the</w:t>
      </w:r>
      <w:r w:rsidR="00FC5DC8" w:rsidRPr="008D6E5C">
        <w:rPr>
          <w:rFonts w:ascii="Cambria" w:hAnsi="Cambria"/>
          <w:bCs/>
          <w:sz w:val="20"/>
          <w:szCs w:val="20"/>
        </w:rPr>
        <w:t xml:space="preserve"> </w:t>
      </w:r>
      <w:r w:rsidRPr="008D6E5C">
        <w:rPr>
          <w:rFonts w:ascii="Cambria" w:hAnsi="Cambria"/>
          <w:bCs/>
          <w:sz w:val="20"/>
          <w:szCs w:val="20"/>
        </w:rPr>
        <w:t>threats and intimidation</w:t>
      </w:r>
      <w:r w:rsidR="00FC5DC8" w:rsidRPr="008D6E5C">
        <w:rPr>
          <w:rFonts w:ascii="Cambria" w:hAnsi="Cambria"/>
          <w:bCs/>
          <w:sz w:val="20"/>
          <w:szCs w:val="20"/>
        </w:rPr>
        <w:t xml:space="preserve"> </w:t>
      </w:r>
      <w:r w:rsidRPr="008D6E5C">
        <w:rPr>
          <w:rFonts w:ascii="Cambria" w:hAnsi="Cambria"/>
          <w:bCs/>
          <w:sz w:val="20"/>
          <w:szCs w:val="20"/>
        </w:rPr>
        <w:t>also affected key witnesses</w:t>
      </w:r>
      <w:r w:rsidR="00FC5DC8" w:rsidRPr="008D6E5C">
        <w:rPr>
          <w:rFonts w:ascii="Cambria" w:hAnsi="Cambria"/>
          <w:bCs/>
          <w:sz w:val="20"/>
          <w:szCs w:val="20"/>
        </w:rPr>
        <w:t xml:space="preserve">. </w:t>
      </w:r>
      <w:r w:rsidRPr="008D6E5C">
        <w:rPr>
          <w:rFonts w:ascii="Cambria" w:hAnsi="Cambria"/>
          <w:bCs/>
          <w:sz w:val="20"/>
          <w:szCs w:val="20"/>
        </w:rPr>
        <w:t>Although</w:t>
      </w:r>
      <w:r w:rsidR="00FC5DC8" w:rsidRPr="008D6E5C">
        <w:rPr>
          <w:rFonts w:ascii="Cambria" w:hAnsi="Cambria"/>
          <w:bCs/>
          <w:sz w:val="20"/>
          <w:szCs w:val="20"/>
        </w:rPr>
        <w:t xml:space="preserve"> </w:t>
      </w:r>
      <w:r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implemented some measures permitted by the domestic laws at the time of the events—such as keeping the identity of the witnesses confidential—they were neither suitable nor sufficient.</w:t>
      </w:r>
      <w:r w:rsidR="00FC5DC8" w:rsidRPr="008D6E5C">
        <w:rPr>
          <w:rFonts w:ascii="Cambria" w:hAnsi="Cambria"/>
          <w:bCs/>
          <w:sz w:val="20"/>
          <w:szCs w:val="20"/>
        </w:rPr>
        <w:t xml:space="preserve"> </w:t>
      </w:r>
      <w:r w:rsidR="004A7054" w:rsidRPr="008D6E5C">
        <w:rPr>
          <w:rFonts w:ascii="Cambria" w:hAnsi="Cambria"/>
          <w:sz w:val="20"/>
          <w:szCs w:val="20"/>
        </w:rPr>
        <w:t>The case file reflects that</w:t>
      </w:r>
      <w:r w:rsidR="00FC5DC8" w:rsidRPr="008D6E5C">
        <w:rPr>
          <w:rFonts w:ascii="Cambria" w:hAnsi="Cambria"/>
          <w:sz w:val="20"/>
          <w:szCs w:val="20"/>
        </w:rPr>
        <w:t xml:space="preserve"> 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4A7054" w:rsidRPr="008D6E5C">
        <w:rPr>
          <w:rFonts w:ascii="Cambria" w:hAnsi="Cambria"/>
          <w:sz w:val="20"/>
          <w:szCs w:val="20"/>
        </w:rPr>
        <w:t xml:space="preserve">reported the breach of confidentiality in the investigation and the fact that copies of some of the proceedings conducted during </w:t>
      </w:r>
      <w:r w:rsidR="000B63C0" w:rsidRPr="008D6E5C">
        <w:rPr>
          <w:rFonts w:ascii="Cambria" w:hAnsi="Cambria"/>
          <w:sz w:val="20"/>
          <w:szCs w:val="20"/>
        </w:rPr>
        <w:t>the pretrial phase of the criminal proceeding</w:t>
      </w:r>
      <w:r w:rsidR="00FC5DC8" w:rsidRPr="008D6E5C">
        <w:rPr>
          <w:rFonts w:ascii="Cambria" w:hAnsi="Cambria"/>
          <w:sz w:val="20"/>
          <w:szCs w:val="20"/>
        </w:rPr>
        <w:t xml:space="preserve"> </w:t>
      </w:r>
      <w:r w:rsidR="004A7054" w:rsidRPr="008D6E5C">
        <w:rPr>
          <w:rFonts w:ascii="Cambria" w:hAnsi="Cambria"/>
          <w:sz w:val="20"/>
          <w:szCs w:val="20"/>
        </w:rPr>
        <w:t xml:space="preserve">had been turned over to different people in </w:t>
      </w:r>
      <w:proofErr w:type="spellStart"/>
      <w:r w:rsidR="004A7054" w:rsidRPr="008D6E5C">
        <w:rPr>
          <w:rFonts w:ascii="Cambria" w:hAnsi="Cambria"/>
          <w:sz w:val="20"/>
          <w:szCs w:val="20"/>
        </w:rPr>
        <w:t>Pitalito</w:t>
      </w:r>
      <w:proofErr w:type="spellEnd"/>
      <w:r w:rsidR="004A7054" w:rsidRPr="008D6E5C">
        <w:rPr>
          <w:rFonts w:ascii="Cambria" w:hAnsi="Cambria"/>
          <w:sz w:val="20"/>
          <w:szCs w:val="20"/>
        </w:rPr>
        <w:t xml:space="preserve"> with the intent to reveal the identity of the witnesses and </w:t>
      </w:r>
      <w:r w:rsidR="00C15529" w:rsidRPr="008D6E5C">
        <w:rPr>
          <w:rFonts w:ascii="Cambria" w:hAnsi="Cambria"/>
          <w:sz w:val="20"/>
          <w:szCs w:val="20"/>
        </w:rPr>
        <w:t>frighten them into</w:t>
      </w:r>
      <w:r w:rsidR="004A7054" w:rsidRPr="008D6E5C">
        <w:rPr>
          <w:rFonts w:ascii="Cambria" w:hAnsi="Cambria"/>
          <w:sz w:val="20"/>
          <w:szCs w:val="20"/>
        </w:rPr>
        <w:t xml:space="preserve"> recant</w:t>
      </w:r>
      <w:r w:rsidR="00C15529" w:rsidRPr="008D6E5C">
        <w:rPr>
          <w:rFonts w:ascii="Cambria" w:hAnsi="Cambria"/>
          <w:sz w:val="20"/>
          <w:szCs w:val="20"/>
        </w:rPr>
        <w:t>ing or refusing</w:t>
      </w:r>
      <w:r w:rsidR="004A7054" w:rsidRPr="008D6E5C">
        <w:rPr>
          <w:rFonts w:ascii="Cambria" w:hAnsi="Cambria"/>
          <w:sz w:val="20"/>
          <w:szCs w:val="20"/>
        </w:rPr>
        <w:t xml:space="preserve"> to cooperate with the justice system in the case. </w:t>
      </w:r>
      <w:r w:rsidR="00FC5DC8" w:rsidRPr="008D6E5C">
        <w:rPr>
          <w:rFonts w:ascii="Cambria" w:hAnsi="Cambria"/>
          <w:sz w:val="20"/>
          <w:szCs w:val="20"/>
        </w:rPr>
        <w:t>A</w:t>
      </w:r>
      <w:r w:rsidR="004A7054" w:rsidRPr="008D6E5C">
        <w:rPr>
          <w:rFonts w:ascii="Cambria" w:hAnsi="Cambria"/>
          <w:sz w:val="20"/>
          <w:szCs w:val="20"/>
        </w:rPr>
        <w:t>t least two key witnesses</w:t>
      </w:r>
      <w:r w:rsidR="00FC5DC8" w:rsidRPr="008D6E5C">
        <w:rPr>
          <w:rFonts w:ascii="Cambria" w:hAnsi="Cambria"/>
          <w:sz w:val="20"/>
          <w:szCs w:val="20"/>
        </w:rPr>
        <w:t xml:space="preserve"> rec</w:t>
      </w:r>
      <w:r w:rsidR="004A7054" w:rsidRPr="008D6E5C">
        <w:rPr>
          <w:rFonts w:ascii="Cambria" w:hAnsi="Cambria"/>
          <w:sz w:val="20"/>
          <w:szCs w:val="20"/>
        </w:rPr>
        <w:t>eived</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001E31BC" w:rsidRPr="008D6E5C">
        <w:rPr>
          <w:rFonts w:ascii="Cambria" w:hAnsi="Cambria"/>
          <w:sz w:val="20"/>
          <w:szCs w:val="20"/>
        </w:rPr>
        <w:t>in this context</w:t>
      </w:r>
      <w:r w:rsidR="00FC5DC8" w:rsidRPr="008D6E5C">
        <w:rPr>
          <w:rFonts w:ascii="Cambria" w:hAnsi="Cambria"/>
          <w:sz w:val="20"/>
          <w:szCs w:val="20"/>
        </w:rPr>
        <w:t xml:space="preserve">. </w:t>
      </w:r>
    </w:p>
    <w:p w:rsidR="00FC5DC8" w:rsidRPr="008D6E5C" w:rsidRDefault="00FC5DC8" w:rsidP="001520DB">
      <w:pPr>
        <w:pStyle w:val="ListParagraph"/>
        <w:rPr>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IACHR</w:t>
      </w:r>
      <w:r w:rsidR="00FC5DC8" w:rsidRPr="008D6E5C">
        <w:rPr>
          <w:rFonts w:ascii="Cambria" w:hAnsi="Cambria"/>
          <w:sz w:val="20"/>
          <w:szCs w:val="20"/>
        </w:rPr>
        <w:t xml:space="preserve"> </w:t>
      </w:r>
      <w:r w:rsidR="00D1708C" w:rsidRPr="008D6E5C">
        <w:rPr>
          <w:rFonts w:ascii="Cambria" w:hAnsi="Cambria"/>
          <w:sz w:val="20"/>
          <w:szCs w:val="20"/>
        </w:rPr>
        <w:t>notes that although in</w:t>
      </w:r>
      <w:r w:rsidR="00FC5DC8" w:rsidRPr="008D6E5C">
        <w:rPr>
          <w:rFonts w:ascii="Cambria" w:hAnsi="Cambria"/>
          <w:sz w:val="20"/>
          <w:szCs w:val="20"/>
        </w:rPr>
        <w:t xml:space="preserve"> 1999 </w:t>
      </w:r>
      <w:r w:rsidR="001E2473" w:rsidRPr="008D6E5C">
        <w:rPr>
          <w:rFonts w:ascii="Cambria" w:hAnsi="Cambria"/>
          <w:sz w:val="20"/>
          <w:szCs w:val="20"/>
        </w:rPr>
        <w:t>the Regional Prosecutor’s Office</w:t>
      </w:r>
      <w:r w:rsidR="00FC5DC8" w:rsidRPr="008D6E5C">
        <w:rPr>
          <w:rFonts w:ascii="Cambria" w:hAnsi="Cambria"/>
          <w:sz w:val="20"/>
          <w:szCs w:val="20"/>
        </w:rPr>
        <w:t xml:space="preserve"> </w:t>
      </w:r>
      <w:r w:rsidR="004E1734" w:rsidRPr="008D6E5C">
        <w:rPr>
          <w:rFonts w:ascii="Cambria" w:hAnsi="Cambria"/>
          <w:sz w:val="20"/>
          <w:szCs w:val="20"/>
        </w:rPr>
        <w:t xml:space="preserve">ordered the investigation of the alleged breach of confidentiality reported by </w:t>
      </w:r>
      <w:r w:rsidR="00FC5DC8" w:rsidRPr="008D6E5C">
        <w:rPr>
          <w:rFonts w:ascii="Cambria" w:hAnsi="Cambria"/>
          <w:sz w:val="20"/>
          <w:szCs w:val="20"/>
        </w:rPr>
        <w:t xml:space="preserve">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4E1734" w:rsidRPr="008D6E5C">
        <w:rPr>
          <w:rFonts w:ascii="Cambria" w:hAnsi="Cambria"/>
          <w:sz w:val="20"/>
          <w:szCs w:val="20"/>
        </w:rPr>
        <w:t>there is no indication that it took concrete steps to address the matter</w:t>
      </w:r>
      <w:r w:rsidR="00FC5DC8" w:rsidRPr="008D6E5C">
        <w:rPr>
          <w:rFonts w:ascii="Cambria" w:hAnsi="Cambria"/>
          <w:sz w:val="20"/>
          <w:szCs w:val="20"/>
        </w:rPr>
        <w:t xml:space="preserve"> </w:t>
      </w:r>
      <w:r w:rsidR="004E1734" w:rsidRPr="008D6E5C">
        <w:rPr>
          <w:rFonts w:ascii="Cambria" w:hAnsi="Cambria"/>
          <w:sz w:val="20"/>
          <w:szCs w:val="20"/>
        </w:rPr>
        <w:t>or that any results were obtained</w:t>
      </w:r>
      <w:r w:rsidR="00FC5DC8" w:rsidRPr="008D6E5C">
        <w:rPr>
          <w:rFonts w:ascii="Cambria" w:hAnsi="Cambria"/>
          <w:sz w:val="20"/>
          <w:szCs w:val="20"/>
        </w:rPr>
        <w:t xml:space="preserve">. </w:t>
      </w:r>
      <w:r w:rsidR="004E1734" w:rsidRPr="008D6E5C">
        <w:rPr>
          <w:rFonts w:ascii="Cambria" w:hAnsi="Cambria"/>
          <w:sz w:val="20"/>
          <w:szCs w:val="20"/>
        </w:rPr>
        <w:t>On the contrary</w:t>
      </w:r>
      <w:r w:rsidR="00FC5DC8" w:rsidRPr="008D6E5C">
        <w:rPr>
          <w:rFonts w:ascii="Cambria" w:hAnsi="Cambria"/>
          <w:sz w:val="20"/>
          <w:szCs w:val="20"/>
        </w:rPr>
        <w:t xml:space="preserve">, </w:t>
      </w:r>
      <w:r w:rsidR="004E1734" w:rsidRPr="008D6E5C">
        <w:rPr>
          <w:rFonts w:ascii="Cambria" w:hAnsi="Cambria"/>
          <w:sz w:val="20"/>
          <w:szCs w:val="20"/>
        </w:rPr>
        <w:t>the IACHR</w:t>
      </w:r>
      <w:r w:rsidR="00FC5DC8" w:rsidRPr="008D6E5C">
        <w:rPr>
          <w:rFonts w:ascii="Cambria" w:hAnsi="Cambria"/>
          <w:sz w:val="20"/>
          <w:szCs w:val="20"/>
        </w:rPr>
        <w:t xml:space="preserve"> </w:t>
      </w:r>
      <w:r w:rsidR="004E1734" w:rsidRPr="008D6E5C">
        <w:rPr>
          <w:rFonts w:ascii="Cambria" w:hAnsi="Cambria"/>
          <w:sz w:val="20"/>
          <w:szCs w:val="20"/>
        </w:rPr>
        <w:t xml:space="preserve">notes </w:t>
      </w:r>
      <w:r w:rsidR="001766CB" w:rsidRPr="008D6E5C">
        <w:rPr>
          <w:rFonts w:ascii="Cambria" w:hAnsi="Cambria"/>
          <w:sz w:val="20"/>
          <w:szCs w:val="20"/>
        </w:rPr>
        <w:t>that</w:t>
      </w:r>
      <w:r w:rsidR="004E1734" w:rsidRPr="008D6E5C">
        <w:rPr>
          <w:rFonts w:ascii="Cambria" w:hAnsi="Cambria"/>
          <w:sz w:val="20"/>
          <w:szCs w:val="20"/>
        </w:rPr>
        <w:t>,</w:t>
      </w:r>
      <w:r w:rsidR="00FC5DC8" w:rsidRPr="008D6E5C">
        <w:rPr>
          <w:rFonts w:ascii="Cambria" w:hAnsi="Cambria"/>
          <w:sz w:val="20"/>
          <w:szCs w:val="20"/>
        </w:rPr>
        <w:t xml:space="preserve"> </w:t>
      </w:r>
      <w:r w:rsidR="004E1734" w:rsidRPr="008D6E5C">
        <w:rPr>
          <w:rFonts w:ascii="Cambria" w:hAnsi="Cambria"/>
          <w:sz w:val="20"/>
          <w:szCs w:val="20"/>
        </w:rPr>
        <w:t>given the lack of progress</w:t>
      </w:r>
      <w:r w:rsidR="00FC5DC8" w:rsidRPr="008D6E5C">
        <w:rPr>
          <w:rFonts w:ascii="Cambria" w:hAnsi="Cambria"/>
          <w:sz w:val="20"/>
          <w:szCs w:val="20"/>
        </w:rPr>
        <w:t xml:space="preserve">, </w:t>
      </w:r>
      <w:r w:rsidR="004E1734" w:rsidRPr="008D6E5C">
        <w:rPr>
          <w:rFonts w:ascii="Cambria" w:hAnsi="Cambria"/>
          <w:sz w:val="20"/>
          <w:szCs w:val="20"/>
        </w:rPr>
        <w:t xml:space="preserve">an investigator from the </w:t>
      </w:r>
      <w:r w:rsidR="007A2CDF" w:rsidRPr="008D6E5C">
        <w:rPr>
          <w:rFonts w:ascii="Cambria" w:hAnsi="Cambria"/>
          <w:sz w:val="20"/>
          <w:szCs w:val="20"/>
        </w:rPr>
        <w:t>IAPA</w:t>
      </w:r>
      <w:r w:rsidR="00FC5DC8" w:rsidRPr="008D6E5C">
        <w:rPr>
          <w:rFonts w:ascii="Cambria" w:hAnsi="Cambria"/>
          <w:sz w:val="20"/>
          <w:szCs w:val="20"/>
        </w:rPr>
        <w:t xml:space="preserve"> </w:t>
      </w:r>
      <w:r w:rsidR="004E1734" w:rsidRPr="008D6E5C">
        <w:rPr>
          <w:rFonts w:ascii="Cambria" w:hAnsi="Cambria"/>
          <w:sz w:val="20"/>
          <w:szCs w:val="20"/>
        </w:rPr>
        <w:t>refiled the complaint before</w:t>
      </w:r>
      <w:r w:rsidR="00FC5DC8" w:rsidRPr="008D6E5C">
        <w:rPr>
          <w:rFonts w:ascii="Cambria" w:hAnsi="Cambria"/>
          <w:sz w:val="20"/>
          <w:szCs w:val="20"/>
        </w:rPr>
        <w:t xml:space="preserve"> </w:t>
      </w:r>
      <w:r w:rsidR="00777AD4" w:rsidRPr="008D6E5C">
        <w:rPr>
          <w:rFonts w:ascii="Cambria" w:hAnsi="Cambria"/>
          <w:sz w:val="20"/>
          <w:szCs w:val="20"/>
        </w:rPr>
        <w:t>the Disciplinary Chamber of the</w:t>
      </w:r>
      <w:r w:rsidR="00FC5DC8" w:rsidRPr="008D6E5C">
        <w:rPr>
          <w:rFonts w:ascii="Cambria" w:hAnsi="Cambria"/>
          <w:sz w:val="20"/>
          <w:szCs w:val="20"/>
        </w:rPr>
        <w:t xml:space="preserve"> </w:t>
      </w:r>
      <w:r w:rsidR="004E1734" w:rsidRPr="008D6E5C">
        <w:rPr>
          <w:rFonts w:ascii="Cambria" w:hAnsi="Cambria"/>
          <w:sz w:val="20"/>
          <w:szCs w:val="20"/>
        </w:rPr>
        <w:t>Judicial Council in 2006</w:t>
      </w:r>
      <w:r w:rsidR="00FC5DC8" w:rsidRPr="008D6E5C">
        <w:rPr>
          <w:rFonts w:ascii="Cambria" w:hAnsi="Cambria"/>
          <w:sz w:val="20"/>
          <w:szCs w:val="20"/>
        </w:rPr>
        <w:t xml:space="preserve">, </w:t>
      </w:r>
      <w:r w:rsidR="004E1734" w:rsidRPr="008D6E5C">
        <w:rPr>
          <w:rFonts w:ascii="Cambria" w:hAnsi="Cambria"/>
          <w:sz w:val="20"/>
          <w:szCs w:val="20"/>
        </w:rPr>
        <w:t>but it was ruled that the statute of limitations had expired with regard to the acts alleged in the complaint.</w:t>
      </w:r>
      <w:r w:rsidR="00FC5DC8" w:rsidRPr="008D6E5C">
        <w:rPr>
          <w:rFonts w:ascii="Cambria" w:hAnsi="Cambria"/>
          <w:bCs/>
          <w:sz w:val="20"/>
          <w:szCs w:val="20"/>
        </w:rPr>
        <w:t xml:space="preserve"> </w:t>
      </w:r>
    </w:p>
    <w:p w:rsidR="00FC5DC8" w:rsidRPr="008D6E5C" w:rsidRDefault="00FC5DC8" w:rsidP="001520DB">
      <w:pPr>
        <w:pStyle w:val="ListParagraph"/>
        <w:rPr>
          <w:sz w:val="20"/>
          <w:szCs w:val="20"/>
        </w:rPr>
      </w:pPr>
    </w:p>
    <w:p w:rsidR="00FC5DC8" w:rsidRPr="008D6E5C" w:rsidRDefault="00D1708C"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w:t>
      </w:r>
      <w:r w:rsidR="00DF44C8" w:rsidRPr="008D6E5C">
        <w:rPr>
          <w:rFonts w:ascii="Cambria" w:hAnsi="Cambria"/>
          <w:bCs/>
          <w:sz w:val="20"/>
          <w:szCs w:val="20"/>
        </w:rPr>
        <w:t xml:space="preserve"> Commission</w:t>
      </w:r>
      <w:r w:rsidR="00FC5DC8" w:rsidRPr="008D6E5C">
        <w:rPr>
          <w:rFonts w:ascii="Cambria" w:hAnsi="Cambria"/>
          <w:bCs/>
          <w:sz w:val="20"/>
          <w:szCs w:val="20"/>
        </w:rPr>
        <w:t xml:space="preserve"> </w:t>
      </w:r>
      <w:r w:rsidRPr="008D6E5C">
        <w:rPr>
          <w:rFonts w:ascii="Cambria" w:hAnsi="Cambria"/>
          <w:bCs/>
          <w:sz w:val="20"/>
          <w:szCs w:val="20"/>
        </w:rPr>
        <w:t>also observes with concern that</w:t>
      </w:r>
      <w:r w:rsidR="00FC5DC8" w:rsidRPr="008D6E5C">
        <w:rPr>
          <w:rFonts w:ascii="Cambria" w:hAnsi="Cambria"/>
          <w:bCs/>
          <w:sz w:val="20"/>
          <w:szCs w:val="20"/>
        </w:rPr>
        <w:t xml:space="preserve"> </w:t>
      </w:r>
      <w:r w:rsidRPr="008D6E5C">
        <w:rPr>
          <w:rFonts w:ascii="Cambria" w:hAnsi="Cambria"/>
          <w:bCs/>
          <w:sz w:val="20"/>
          <w:szCs w:val="20"/>
        </w:rPr>
        <w:t xml:space="preserve">a key prosecution witness was murdered during the investigation after giving a statement that would be used by the </w:t>
      </w:r>
      <w:r w:rsidR="002E612E" w:rsidRPr="008D6E5C">
        <w:rPr>
          <w:rFonts w:ascii="Cambria" w:hAnsi="Cambria"/>
          <w:bCs/>
          <w:sz w:val="20"/>
          <w:szCs w:val="20"/>
        </w:rPr>
        <w:t>Prosecutor’s Office to examine the</w:t>
      </w:r>
      <w:r w:rsidRPr="008D6E5C">
        <w:rPr>
          <w:rFonts w:ascii="Cambria" w:hAnsi="Cambria"/>
          <w:bCs/>
          <w:sz w:val="20"/>
          <w:szCs w:val="20"/>
        </w:rPr>
        <w:t xml:space="preserve"> possibility of </w:t>
      </w:r>
      <w:r w:rsidR="009B6763" w:rsidRPr="008D6E5C">
        <w:rPr>
          <w:rFonts w:ascii="Cambria" w:hAnsi="Cambria"/>
          <w:bCs/>
          <w:sz w:val="20"/>
          <w:szCs w:val="20"/>
        </w:rPr>
        <w:t>filing a motion for</w:t>
      </w:r>
      <w:r w:rsidRPr="008D6E5C">
        <w:rPr>
          <w:rFonts w:ascii="Cambria" w:hAnsi="Cambria"/>
          <w:bCs/>
          <w:sz w:val="20"/>
          <w:szCs w:val="20"/>
        </w:rPr>
        <w:t xml:space="preserve"> the reconsideration of the </w:t>
      </w:r>
      <w:r w:rsidR="002E612E" w:rsidRPr="008D6E5C">
        <w:rPr>
          <w:rFonts w:ascii="Cambria" w:hAnsi="Cambria"/>
          <w:bCs/>
          <w:sz w:val="20"/>
          <w:szCs w:val="20"/>
        </w:rPr>
        <w:t>acquittal of</w:t>
      </w:r>
      <w:r w:rsidRPr="008D6E5C">
        <w:rPr>
          <w:rFonts w:ascii="Cambria" w:hAnsi="Cambria"/>
          <w:bCs/>
          <w:sz w:val="20"/>
          <w:szCs w:val="20"/>
        </w:rPr>
        <w:t xml:space="preserve"> </w:t>
      </w:r>
      <w:r w:rsidR="00FC5DC8" w:rsidRPr="008D6E5C">
        <w:rPr>
          <w:rFonts w:ascii="Cambria" w:hAnsi="Cambria"/>
          <w:sz w:val="20"/>
          <w:szCs w:val="20"/>
        </w:rPr>
        <w:t xml:space="preserve">Fernando </w:t>
      </w:r>
      <w:proofErr w:type="spellStart"/>
      <w:r w:rsidR="00FC5DC8" w:rsidRPr="008D6E5C">
        <w:rPr>
          <w:rFonts w:ascii="Cambria" w:hAnsi="Cambria"/>
          <w:sz w:val="20"/>
          <w:szCs w:val="20"/>
        </w:rPr>
        <w:t>Bermúdez</w:t>
      </w:r>
      <w:proofErr w:type="spellEnd"/>
      <w:r w:rsidR="00FC5DC8" w:rsidRPr="008D6E5C">
        <w:rPr>
          <w:rFonts w:ascii="Cambria" w:hAnsi="Cambria"/>
          <w:sz w:val="20"/>
          <w:szCs w:val="20"/>
        </w:rPr>
        <w:t xml:space="preserve"> </w:t>
      </w:r>
      <w:r w:rsidRPr="008D6E5C">
        <w:rPr>
          <w:rFonts w:ascii="Cambria" w:hAnsi="Cambria"/>
          <w:sz w:val="20"/>
          <w:szCs w:val="20"/>
        </w:rPr>
        <w:t>and others and the reopening of the investigation against them.</w:t>
      </w:r>
      <w:r w:rsidR="00FC5DC8" w:rsidRPr="008D6E5C">
        <w:rPr>
          <w:rFonts w:ascii="Cambria" w:hAnsi="Cambria"/>
          <w:sz w:val="20"/>
          <w:szCs w:val="20"/>
        </w:rPr>
        <w:t xml:space="preserve"> </w:t>
      </w:r>
      <w:r w:rsidRPr="008D6E5C">
        <w:rPr>
          <w:rFonts w:ascii="Cambria" w:hAnsi="Cambria"/>
          <w:sz w:val="20"/>
          <w:szCs w:val="20"/>
        </w:rPr>
        <w:t>The witness</w:t>
      </w:r>
      <w:r w:rsidR="00FC5DC8" w:rsidRPr="008D6E5C">
        <w:rPr>
          <w:rFonts w:ascii="Cambria" w:hAnsi="Cambria"/>
          <w:sz w:val="20"/>
          <w:szCs w:val="20"/>
        </w:rPr>
        <w:t xml:space="preserve">, Pablo Emilio Bonilla </w:t>
      </w:r>
      <w:proofErr w:type="spellStart"/>
      <w:r w:rsidR="00FC5DC8" w:rsidRPr="008D6E5C">
        <w:rPr>
          <w:rFonts w:ascii="Cambria" w:hAnsi="Cambria"/>
          <w:sz w:val="20"/>
          <w:szCs w:val="20"/>
        </w:rPr>
        <w:t>Betancurt</w:t>
      </w:r>
      <w:proofErr w:type="spellEnd"/>
      <w:r w:rsidR="00FC5DC8" w:rsidRPr="008D6E5C">
        <w:rPr>
          <w:rFonts w:ascii="Cambria" w:hAnsi="Cambria"/>
          <w:sz w:val="20"/>
          <w:szCs w:val="20"/>
        </w:rPr>
        <w:t xml:space="preserve">, </w:t>
      </w:r>
      <w:r w:rsidRPr="008D6E5C">
        <w:rPr>
          <w:rFonts w:ascii="Cambria" w:hAnsi="Cambria"/>
          <w:sz w:val="20"/>
          <w:szCs w:val="20"/>
        </w:rPr>
        <w:t xml:space="preserve">was a demobilized </w:t>
      </w:r>
      <w:r w:rsidR="00FC5DC8" w:rsidRPr="008D6E5C">
        <w:rPr>
          <w:rFonts w:ascii="Cambria" w:hAnsi="Cambria"/>
          <w:sz w:val="20"/>
          <w:szCs w:val="20"/>
        </w:rPr>
        <w:t>FARC</w:t>
      </w:r>
      <w:r w:rsidRPr="008D6E5C">
        <w:rPr>
          <w:rFonts w:ascii="Cambria" w:hAnsi="Cambria"/>
          <w:sz w:val="20"/>
          <w:szCs w:val="20"/>
        </w:rPr>
        <w:t xml:space="preserve"> combatant</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002E612E" w:rsidRPr="008D6E5C">
        <w:rPr>
          <w:rFonts w:ascii="Cambria" w:hAnsi="Cambria"/>
          <w:sz w:val="20"/>
          <w:szCs w:val="20"/>
        </w:rPr>
        <w:t>has no evidence with which to determine the reasons for his murder, but notes that according to the petitioner’s allegations, which the State does not dispute, the Witness Protection Office</w:t>
      </w:r>
      <w:r w:rsidR="00FC5DC8" w:rsidRPr="008D6E5C">
        <w:rPr>
          <w:rFonts w:ascii="Cambria" w:hAnsi="Cambria"/>
          <w:sz w:val="20"/>
          <w:szCs w:val="20"/>
        </w:rPr>
        <w:t xml:space="preserve"> </w:t>
      </w:r>
      <w:r w:rsidR="002E612E" w:rsidRPr="008D6E5C">
        <w:rPr>
          <w:rFonts w:ascii="Cambria" w:hAnsi="Cambria"/>
          <w:sz w:val="20"/>
          <w:szCs w:val="20"/>
        </w:rPr>
        <w:t>had reportedly denied his request for protection measures</w:t>
      </w:r>
      <w:r w:rsidR="00FC5DC8" w:rsidRPr="008D6E5C">
        <w:rPr>
          <w:rFonts w:ascii="Cambria" w:hAnsi="Cambria"/>
          <w:sz w:val="20"/>
          <w:szCs w:val="20"/>
        </w:rPr>
        <w:t xml:space="preserve">. </w:t>
      </w:r>
      <w:r w:rsidR="002E612E" w:rsidRPr="008D6E5C">
        <w:rPr>
          <w:rFonts w:ascii="Cambria" w:hAnsi="Cambria"/>
          <w:sz w:val="20"/>
          <w:szCs w:val="20"/>
        </w:rPr>
        <w:t>The IACHR further</w:t>
      </w:r>
      <w:r w:rsidR="00FC5DC8" w:rsidRPr="008D6E5C">
        <w:rPr>
          <w:rFonts w:ascii="Cambria" w:hAnsi="Cambria"/>
          <w:sz w:val="20"/>
          <w:szCs w:val="20"/>
        </w:rPr>
        <w:t xml:space="preserve"> </w:t>
      </w:r>
      <w:r w:rsidR="001766CB" w:rsidRPr="008D6E5C">
        <w:rPr>
          <w:rFonts w:ascii="Cambria" w:hAnsi="Cambria"/>
          <w:sz w:val="20"/>
          <w:szCs w:val="20"/>
        </w:rPr>
        <w:t>observes that</w:t>
      </w:r>
      <w:r w:rsidR="00FC5DC8" w:rsidRPr="008D6E5C">
        <w:rPr>
          <w:rFonts w:ascii="Cambria" w:hAnsi="Cambria"/>
          <w:sz w:val="20"/>
          <w:szCs w:val="20"/>
        </w:rPr>
        <w:t xml:space="preserve"> </w:t>
      </w:r>
      <w:r w:rsidR="007A2CDF" w:rsidRPr="008D6E5C">
        <w:rPr>
          <w:rFonts w:ascii="Cambria" w:hAnsi="Cambria"/>
          <w:sz w:val="20"/>
          <w:szCs w:val="20"/>
        </w:rPr>
        <w:t>the State</w:t>
      </w:r>
      <w:r w:rsidR="00FC5DC8" w:rsidRPr="008D6E5C">
        <w:rPr>
          <w:rFonts w:ascii="Cambria" w:hAnsi="Cambria"/>
          <w:sz w:val="20"/>
          <w:szCs w:val="20"/>
        </w:rPr>
        <w:t xml:space="preserve"> </w:t>
      </w:r>
      <w:r w:rsidR="002E612E" w:rsidRPr="008D6E5C">
        <w:rPr>
          <w:rFonts w:ascii="Cambria" w:hAnsi="Cambria"/>
          <w:sz w:val="20"/>
          <w:szCs w:val="20"/>
        </w:rPr>
        <w:t>has not provided information</w:t>
      </w:r>
      <w:r w:rsidR="00FC5DC8" w:rsidRPr="008D6E5C">
        <w:rPr>
          <w:rFonts w:ascii="Cambria" w:hAnsi="Cambria"/>
          <w:sz w:val="20"/>
          <w:szCs w:val="20"/>
        </w:rPr>
        <w:t xml:space="preserve"> </w:t>
      </w:r>
      <w:r w:rsidR="002E612E" w:rsidRPr="008D6E5C">
        <w:rPr>
          <w:rFonts w:ascii="Cambria" w:hAnsi="Cambria"/>
          <w:sz w:val="20"/>
          <w:szCs w:val="20"/>
        </w:rPr>
        <w:t>concerning any investigations into the possible connection between his death and his participation as a witness in this case. This undoubtedly contributed to the threatening climate that surrounded this investigation</w:t>
      </w:r>
      <w:r w:rsidR="00FC5DC8" w:rsidRPr="008D6E5C">
        <w:rPr>
          <w:rFonts w:ascii="Cambria" w:hAnsi="Cambria"/>
          <w:bCs/>
          <w:sz w:val="20"/>
          <w:szCs w:val="20"/>
        </w:rPr>
        <w:t xml:space="preserve">. </w:t>
      </w:r>
    </w:p>
    <w:p w:rsidR="00FC5DC8" w:rsidRPr="008D6E5C" w:rsidRDefault="00FC5DC8" w:rsidP="001520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p>
    <w:p w:rsidR="00FC5DC8" w:rsidRPr="008D6E5C" w:rsidRDefault="009B676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color w:val="000000"/>
          <w:sz w:val="20"/>
          <w:szCs w:val="20"/>
        </w:rPr>
        <w:t>In its</w:t>
      </w:r>
      <w:r w:rsidR="00FC5DC8" w:rsidRPr="008D6E5C">
        <w:rPr>
          <w:rFonts w:ascii="Cambria" w:hAnsi="Cambria"/>
          <w:color w:val="000000"/>
          <w:sz w:val="20"/>
          <w:szCs w:val="20"/>
        </w:rPr>
        <w:t xml:space="preserve"> </w:t>
      </w:r>
      <w:r w:rsidRPr="008D6E5C">
        <w:rPr>
          <w:rFonts w:ascii="Cambria" w:hAnsi="Cambria"/>
          <w:i/>
          <w:color w:val="000000"/>
          <w:sz w:val="20"/>
          <w:szCs w:val="20"/>
        </w:rPr>
        <w:t>Third Report on the Human Rights Situation in Colombia</w:t>
      </w:r>
      <w:r w:rsidR="00FC5DC8" w:rsidRPr="008D6E5C">
        <w:rPr>
          <w:rFonts w:ascii="Cambria" w:hAnsi="Cambria"/>
          <w:color w:val="000000"/>
          <w:sz w:val="20"/>
          <w:szCs w:val="20"/>
        </w:rPr>
        <w:t xml:space="preserve">, </w:t>
      </w:r>
      <w:r w:rsidR="002D3ED9" w:rsidRPr="008D6E5C">
        <w:rPr>
          <w:rFonts w:ascii="Cambria" w:hAnsi="Cambria"/>
          <w:color w:val="000000"/>
          <w:sz w:val="20"/>
          <w:szCs w:val="20"/>
        </w:rPr>
        <w:t xml:space="preserve">issued following its on-site visit in December </w:t>
      </w:r>
      <w:r w:rsidR="00FC5DC8" w:rsidRPr="008D6E5C">
        <w:rPr>
          <w:rFonts w:ascii="Cambria" w:hAnsi="Cambria"/>
          <w:color w:val="000000"/>
          <w:sz w:val="20"/>
          <w:szCs w:val="20"/>
        </w:rPr>
        <w:t xml:space="preserve">1997, </w:t>
      </w:r>
      <w:r w:rsidR="00DF44C8" w:rsidRPr="008D6E5C">
        <w:rPr>
          <w:rFonts w:ascii="Cambria" w:hAnsi="Cambria"/>
          <w:color w:val="000000"/>
          <w:sz w:val="20"/>
          <w:szCs w:val="20"/>
        </w:rPr>
        <w:t>the Commission</w:t>
      </w:r>
      <w:r w:rsidR="00FC5DC8" w:rsidRPr="008D6E5C">
        <w:rPr>
          <w:rFonts w:ascii="Cambria" w:hAnsi="Cambria"/>
          <w:color w:val="000000"/>
          <w:sz w:val="20"/>
          <w:szCs w:val="20"/>
        </w:rPr>
        <w:t xml:space="preserve"> </w:t>
      </w:r>
      <w:r w:rsidR="002D3ED9" w:rsidRPr="008D6E5C">
        <w:rPr>
          <w:rFonts w:ascii="Cambria" w:hAnsi="Cambria"/>
          <w:color w:val="000000"/>
          <w:sz w:val="20"/>
          <w:szCs w:val="20"/>
        </w:rPr>
        <w:t>indicated that,</w:t>
      </w:r>
      <w:r w:rsidR="00FC5DC8" w:rsidRPr="008D6E5C">
        <w:rPr>
          <w:rFonts w:ascii="Cambria" w:hAnsi="Cambria"/>
          <w:color w:val="000000"/>
          <w:sz w:val="20"/>
          <w:szCs w:val="20"/>
        </w:rPr>
        <w:t xml:space="preserve"> “</w:t>
      </w:r>
      <w:r w:rsidR="002D3ED9" w:rsidRPr="008D6E5C">
        <w:rPr>
          <w:rFonts w:ascii="Cambria" w:hAnsi="Cambria"/>
          <w:color w:val="000000"/>
          <w:sz w:val="20"/>
          <w:szCs w:val="20"/>
        </w:rPr>
        <w:t>The legitimate fear of public authorities involved in the administration of justice, as well as witnesses, also contributes to the ineffectiveness of criminal proceedings in human rights cases processed in the civilian justice system. Those responsible for human rights abuses sometimes ensure their impunity by threatening or attacking those who might contribute to a sanction against them.</w:t>
      </w:r>
      <w:r w:rsidR="00FC5DC8" w:rsidRPr="008D6E5C">
        <w:rPr>
          <w:rFonts w:ascii="Cambria" w:hAnsi="Cambria"/>
          <w:color w:val="000000"/>
          <w:sz w:val="20"/>
          <w:szCs w:val="20"/>
        </w:rPr>
        <w:t xml:space="preserve">” </w:t>
      </w:r>
      <w:r w:rsidR="002D3ED9" w:rsidRPr="008D6E5C">
        <w:rPr>
          <w:rFonts w:ascii="Cambria" w:hAnsi="Cambria"/>
          <w:color w:val="000000"/>
          <w:sz w:val="20"/>
          <w:szCs w:val="20"/>
        </w:rPr>
        <w:t xml:space="preserve">Indeed, it reiterated that the fear of being a victim of some kind of retaliation has affected judges, attorneys, judicial police officers, and </w:t>
      </w:r>
      <w:r w:rsidR="00FC5DC8" w:rsidRPr="008D6E5C">
        <w:rPr>
          <w:rFonts w:ascii="Cambria" w:hAnsi="Cambria"/>
          <w:color w:val="000000"/>
          <w:sz w:val="20"/>
          <w:szCs w:val="20"/>
        </w:rPr>
        <w:t>“</w:t>
      </w:r>
      <w:r w:rsidR="002D3ED9" w:rsidRPr="008D6E5C">
        <w:rPr>
          <w:rFonts w:ascii="Cambria" w:hAnsi="Cambria"/>
          <w:color w:val="000000"/>
          <w:sz w:val="20"/>
          <w:szCs w:val="20"/>
        </w:rPr>
        <w:t>witnesses who are key in determining the authorship of the facts under investigation and whose testimony can shed light on the facts and convict the guilty parties</w:t>
      </w:r>
      <w:r w:rsidR="00D1708C" w:rsidRPr="008D6E5C">
        <w:rPr>
          <w:rFonts w:ascii="Cambria" w:hAnsi="Cambria"/>
          <w:color w:val="000000"/>
          <w:sz w:val="20"/>
          <w:szCs w:val="20"/>
        </w:rPr>
        <w:t>.</w:t>
      </w:r>
      <w:r w:rsidR="00FC5DC8" w:rsidRPr="008D6E5C">
        <w:rPr>
          <w:rFonts w:ascii="Cambria" w:hAnsi="Cambria"/>
          <w:color w:val="000000"/>
          <w:sz w:val="20"/>
          <w:szCs w:val="20"/>
        </w:rPr>
        <w:t>”</w:t>
      </w:r>
      <w:r w:rsidR="00FC5DC8" w:rsidRPr="008D6E5C">
        <w:rPr>
          <w:rStyle w:val="FootnoteReference"/>
          <w:rFonts w:ascii="Cambria" w:hAnsi="Cambria"/>
          <w:sz w:val="20"/>
          <w:szCs w:val="20"/>
        </w:rPr>
        <w:footnoteReference w:id="150"/>
      </w:r>
    </w:p>
    <w:p w:rsidR="00FC5DC8" w:rsidRPr="008D6E5C" w:rsidRDefault="00FC5DC8" w:rsidP="001520DB">
      <w:pPr>
        <w:pStyle w:val="ListParagraph"/>
        <w:shd w:val="clear" w:color="auto" w:fill="FFFFFF"/>
        <w:jc w:val="both"/>
        <w:rPr>
          <w:sz w:val="20"/>
          <w:szCs w:val="20"/>
        </w:rPr>
      </w:pPr>
    </w:p>
    <w:p w:rsidR="00FC5DC8" w:rsidRPr="008D6E5C" w:rsidRDefault="00D1708C"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In view of the foregoing</w:t>
      </w:r>
      <w:r w:rsidR="00FC5DC8" w:rsidRPr="008D6E5C">
        <w:rPr>
          <w:rFonts w:ascii="Cambria" w:hAnsi="Cambria"/>
          <w:bCs/>
          <w:sz w:val="20"/>
          <w:szCs w:val="20"/>
        </w:rPr>
        <w:t xml:space="preserve">, </w:t>
      </w:r>
      <w:r w:rsidR="004B0168" w:rsidRPr="008D6E5C">
        <w:rPr>
          <w:rFonts w:ascii="Cambria" w:hAnsi="Cambria"/>
          <w:bCs/>
          <w:sz w:val="20"/>
          <w:szCs w:val="20"/>
        </w:rPr>
        <w:t>the Inter-American Commission</w:t>
      </w:r>
      <w:r w:rsidR="00FC5DC8" w:rsidRPr="008D6E5C">
        <w:rPr>
          <w:rFonts w:ascii="Cambria" w:hAnsi="Cambria"/>
          <w:bCs/>
          <w:sz w:val="20"/>
          <w:szCs w:val="20"/>
        </w:rPr>
        <w:t xml:space="preserve"> </w:t>
      </w:r>
      <w:r w:rsidR="001000C6" w:rsidRPr="008D6E5C">
        <w:rPr>
          <w:rFonts w:ascii="Cambria" w:hAnsi="Cambria"/>
          <w:bCs/>
          <w:sz w:val="20"/>
          <w:szCs w:val="20"/>
        </w:rPr>
        <w:t>finds that the repeated</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001000C6" w:rsidRPr="008D6E5C">
        <w:rPr>
          <w:rFonts w:ascii="Cambria" w:hAnsi="Cambria"/>
          <w:bCs/>
          <w:sz w:val="20"/>
          <w:szCs w:val="20"/>
        </w:rPr>
        <w:t>and harassment of</w:t>
      </w:r>
      <w:r w:rsidR="00FC5DC8" w:rsidRPr="008D6E5C">
        <w:rPr>
          <w:rFonts w:ascii="Cambria" w:hAnsi="Cambria"/>
          <w:bCs/>
          <w:sz w:val="20"/>
          <w:szCs w:val="20"/>
        </w:rPr>
        <w:t xml:space="preserve"> </w:t>
      </w:r>
      <w:r w:rsidR="001000C6" w:rsidRPr="008D6E5C">
        <w:rPr>
          <w:rFonts w:ascii="Cambria" w:hAnsi="Cambria"/>
          <w:bCs/>
          <w:sz w:val="20"/>
          <w:szCs w:val="20"/>
        </w:rPr>
        <w:t>witnesses and</w:t>
      </w:r>
      <w:r w:rsidR="00FC5DC8" w:rsidRPr="008D6E5C">
        <w:rPr>
          <w:rFonts w:ascii="Cambria" w:hAnsi="Cambria"/>
          <w:bCs/>
          <w:sz w:val="20"/>
          <w:szCs w:val="20"/>
        </w:rPr>
        <w:t xml:space="preserve"> </w:t>
      </w:r>
      <w:r w:rsidR="001000C6" w:rsidRPr="008D6E5C">
        <w:rPr>
          <w:rFonts w:ascii="Cambria" w:hAnsi="Cambria"/>
          <w:bCs/>
          <w:sz w:val="20"/>
          <w:szCs w:val="20"/>
        </w:rPr>
        <w:t>relatives of the victim</w:t>
      </w:r>
      <w:r w:rsidR="00FC5DC8" w:rsidRPr="008D6E5C">
        <w:rPr>
          <w:rFonts w:ascii="Cambria" w:hAnsi="Cambria"/>
          <w:bCs/>
          <w:sz w:val="20"/>
          <w:szCs w:val="20"/>
        </w:rPr>
        <w:t xml:space="preserve">, </w:t>
      </w:r>
      <w:r w:rsidR="001000C6" w:rsidRPr="008D6E5C">
        <w:rPr>
          <w:rFonts w:ascii="Cambria" w:hAnsi="Cambria"/>
          <w:bCs/>
          <w:sz w:val="20"/>
          <w:szCs w:val="20"/>
        </w:rPr>
        <w:t xml:space="preserve">in addition to the </w:t>
      </w:r>
      <w:r w:rsidR="00A949B2" w:rsidRPr="008D6E5C">
        <w:rPr>
          <w:rFonts w:ascii="Cambria" w:hAnsi="Cambria"/>
          <w:bCs/>
          <w:sz w:val="20"/>
          <w:szCs w:val="20"/>
        </w:rPr>
        <w:t>absence</w:t>
      </w:r>
      <w:r w:rsidR="001000C6" w:rsidRPr="008D6E5C">
        <w:rPr>
          <w:rFonts w:ascii="Cambria" w:hAnsi="Cambria"/>
          <w:bCs/>
          <w:sz w:val="20"/>
          <w:szCs w:val="20"/>
        </w:rPr>
        <w:t xml:space="preserve"> of</w:t>
      </w:r>
      <w:r w:rsidR="00FC5DC8" w:rsidRPr="008D6E5C">
        <w:rPr>
          <w:rFonts w:ascii="Cambria" w:hAnsi="Cambria"/>
          <w:bCs/>
          <w:sz w:val="20"/>
          <w:szCs w:val="20"/>
        </w:rPr>
        <w:t xml:space="preserve"> </w:t>
      </w:r>
      <w:r w:rsidR="001000C6" w:rsidRPr="008D6E5C">
        <w:rPr>
          <w:rFonts w:ascii="Cambria" w:hAnsi="Cambria"/>
          <w:bCs/>
          <w:sz w:val="20"/>
          <w:szCs w:val="20"/>
        </w:rPr>
        <w:t>protection measures</w:t>
      </w:r>
      <w:r w:rsidR="00FC5DC8" w:rsidRPr="008D6E5C">
        <w:rPr>
          <w:rFonts w:ascii="Cambria" w:hAnsi="Cambria"/>
          <w:bCs/>
          <w:sz w:val="20"/>
          <w:szCs w:val="20"/>
        </w:rPr>
        <w:t xml:space="preserve"> </w:t>
      </w:r>
      <w:r w:rsidR="001000C6" w:rsidRPr="008D6E5C">
        <w:rPr>
          <w:rFonts w:ascii="Cambria" w:hAnsi="Cambria"/>
          <w:bCs/>
          <w:sz w:val="20"/>
          <w:szCs w:val="20"/>
        </w:rPr>
        <w:t xml:space="preserve">and guarantees </w:t>
      </w:r>
      <w:r w:rsidR="00A949B2" w:rsidRPr="008D6E5C">
        <w:rPr>
          <w:rFonts w:ascii="Cambria" w:hAnsi="Cambria"/>
          <w:bCs/>
          <w:sz w:val="20"/>
          <w:szCs w:val="20"/>
        </w:rPr>
        <w:t>for an</w:t>
      </w:r>
      <w:r w:rsidR="001000C6" w:rsidRPr="008D6E5C">
        <w:rPr>
          <w:rFonts w:ascii="Cambria" w:hAnsi="Cambria"/>
          <w:bCs/>
          <w:sz w:val="20"/>
          <w:szCs w:val="20"/>
        </w:rPr>
        <w:t xml:space="preserve"> independent investigation, had an intimidating and</w:t>
      </w:r>
      <w:r w:rsidR="00FC5DC8" w:rsidRPr="008D6E5C">
        <w:rPr>
          <w:rFonts w:ascii="Cambria" w:hAnsi="Cambria"/>
          <w:bCs/>
          <w:sz w:val="20"/>
          <w:szCs w:val="20"/>
        </w:rPr>
        <w:t xml:space="preserve"> </w:t>
      </w:r>
      <w:r w:rsidR="00EF5F24" w:rsidRPr="008D6E5C">
        <w:rPr>
          <w:rFonts w:ascii="Cambria" w:hAnsi="Cambria"/>
          <w:bCs/>
          <w:sz w:val="20"/>
          <w:szCs w:val="20"/>
        </w:rPr>
        <w:t>chilling effect</w:t>
      </w:r>
      <w:r w:rsidR="00FC5DC8" w:rsidRPr="008D6E5C">
        <w:rPr>
          <w:rFonts w:ascii="Cambria" w:hAnsi="Cambria"/>
          <w:bCs/>
          <w:sz w:val="20"/>
          <w:szCs w:val="20"/>
        </w:rPr>
        <w:t xml:space="preserve"> </w:t>
      </w:r>
      <w:r w:rsidR="001000C6" w:rsidRPr="008D6E5C">
        <w:rPr>
          <w:rFonts w:ascii="Cambria" w:hAnsi="Cambria"/>
          <w:bCs/>
          <w:sz w:val="20"/>
          <w:szCs w:val="20"/>
        </w:rPr>
        <w:t>that</w:t>
      </w:r>
      <w:r w:rsidR="00FC5DC8" w:rsidRPr="008D6E5C">
        <w:rPr>
          <w:rFonts w:ascii="Cambria" w:hAnsi="Cambria"/>
          <w:bCs/>
          <w:sz w:val="20"/>
          <w:szCs w:val="20"/>
        </w:rPr>
        <w:t xml:space="preserve"> </w:t>
      </w:r>
      <w:r w:rsidR="001000C6" w:rsidRPr="008D6E5C">
        <w:rPr>
          <w:rFonts w:ascii="Cambria" w:hAnsi="Cambria"/>
          <w:bCs/>
          <w:sz w:val="20"/>
          <w:szCs w:val="20"/>
        </w:rPr>
        <w:t xml:space="preserve">discouraged the participation of complainants in the case and </w:t>
      </w:r>
      <w:r w:rsidR="00A949B2" w:rsidRPr="008D6E5C">
        <w:rPr>
          <w:rFonts w:ascii="Cambria" w:hAnsi="Cambria"/>
          <w:bCs/>
          <w:sz w:val="20"/>
          <w:szCs w:val="20"/>
        </w:rPr>
        <w:t>hampered</w:t>
      </w:r>
      <w:r w:rsidR="001000C6" w:rsidRPr="008D6E5C">
        <w:rPr>
          <w:rFonts w:ascii="Cambria" w:hAnsi="Cambria"/>
          <w:bCs/>
          <w:sz w:val="20"/>
          <w:szCs w:val="20"/>
        </w:rPr>
        <w:t xml:space="preserve"> the investigations and the criminal cases</w:t>
      </w:r>
      <w:r w:rsidR="00FC5DC8" w:rsidRPr="008D6E5C">
        <w:rPr>
          <w:rFonts w:ascii="Cambria" w:hAnsi="Cambria"/>
          <w:bCs/>
          <w:sz w:val="20"/>
          <w:szCs w:val="20"/>
        </w:rPr>
        <w:t xml:space="preserve">. </w:t>
      </w:r>
      <w:r w:rsidR="001000C6" w:rsidRPr="008D6E5C">
        <w:rPr>
          <w:rFonts w:ascii="Cambria" w:hAnsi="Cambria"/>
          <w:bCs/>
          <w:sz w:val="20"/>
          <w:szCs w:val="20"/>
        </w:rPr>
        <w:t>In addition</w:t>
      </w:r>
      <w:r w:rsidR="00FC5DC8" w:rsidRPr="008D6E5C">
        <w:rPr>
          <w:rFonts w:ascii="Cambria" w:hAnsi="Cambria"/>
          <w:bCs/>
          <w:sz w:val="20"/>
          <w:szCs w:val="20"/>
        </w:rPr>
        <w:t xml:space="preserve">, </w:t>
      </w:r>
      <w:r w:rsidR="001000C6" w:rsidRPr="008D6E5C">
        <w:rPr>
          <w:rFonts w:ascii="Cambria" w:hAnsi="Cambria"/>
          <w:bCs/>
          <w:sz w:val="20"/>
          <w:szCs w:val="20"/>
        </w:rPr>
        <w:t>the witnesses and</w:t>
      </w:r>
      <w:r w:rsidR="00FC5DC8" w:rsidRPr="008D6E5C">
        <w:rPr>
          <w:rFonts w:ascii="Cambria" w:hAnsi="Cambria"/>
          <w:bCs/>
          <w:sz w:val="20"/>
          <w:szCs w:val="20"/>
        </w:rPr>
        <w:t xml:space="preserve"> </w:t>
      </w:r>
      <w:r w:rsidR="001000C6" w:rsidRPr="008D6E5C">
        <w:rPr>
          <w:rFonts w:ascii="Cambria" w:hAnsi="Cambria"/>
          <w:bCs/>
          <w:sz w:val="20"/>
          <w:szCs w:val="20"/>
        </w:rPr>
        <w:t>relatives</w:t>
      </w:r>
      <w:r w:rsidR="00FC5DC8" w:rsidRPr="008D6E5C">
        <w:rPr>
          <w:rFonts w:ascii="Cambria" w:hAnsi="Cambria"/>
          <w:bCs/>
          <w:sz w:val="20"/>
          <w:szCs w:val="20"/>
        </w:rPr>
        <w:t xml:space="preserve"> </w:t>
      </w:r>
      <w:r w:rsidR="00A949B2" w:rsidRPr="008D6E5C">
        <w:rPr>
          <w:rFonts w:ascii="Cambria" w:hAnsi="Cambria"/>
          <w:bCs/>
          <w:sz w:val="20"/>
          <w:szCs w:val="20"/>
        </w:rPr>
        <w:t>remained unprotected</w:t>
      </w:r>
      <w:r w:rsidR="001000C6" w:rsidRPr="008D6E5C">
        <w:rPr>
          <w:rFonts w:ascii="Cambria" w:hAnsi="Cambria"/>
          <w:bCs/>
          <w:sz w:val="20"/>
          <w:szCs w:val="20"/>
        </w:rPr>
        <w:t xml:space="preserve"> for a long period of time</w:t>
      </w:r>
      <w:r w:rsidR="00FC5DC8" w:rsidRPr="008D6E5C">
        <w:rPr>
          <w:rFonts w:ascii="Cambria" w:hAnsi="Cambria"/>
          <w:bCs/>
          <w:sz w:val="20"/>
          <w:szCs w:val="20"/>
        </w:rPr>
        <w:t xml:space="preserve">, </w:t>
      </w:r>
      <w:r w:rsidR="001000C6" w:rsidRPr="008D6E5C">
        <w:rPr>
          <w:rFonts w:ascii="Cambria" w:hAnsi="Cambria"/>
          <w:bCs/>
          <w:sz w:val="20"/>
          <w:szCs w:val="20"/>
        </w:rPr>
        <w:t xml:space="preserve">which contributed to the failure to </w:t>
      </w:r>
      <w:proofErr w:type="gramStart"/>
      <w:r w:rsidR="001000C6" w:rsidRPr="008D6E5C">
        <w:rPr>
          <w:rFonts w:ascii="Cambria" w:hAnsi="Cambria"/>
          <w:bCs/>
          <w:sz w:val="20"/>
          <w:szCs w:val="20"/>
        </w:rPr>
        <w:t>investigate,</w:t>
      </w:r>
      <w:proofErr w:type="gramEnd"/>
      <w:r w:rsidR="001000C6" w:rsidRPr="008D6E5C">
        <w:rPr>
          <w:rFonts w:ascii="Cambria" w:hAnsi="Cambria"/>
          <w:bCs/>
          <w:sz w:val="20"/>
          <w:szCs w:val="20"/>
        </w:rPr>
        <w:t xml:space="preserve"> arrest, prosecute, and punish the perpetrators and </w:t>
      </w:r>
      <w:r w:rsidR="00004AD8" w:rsidRPr="008D6E5C">
        <w:rPr>
          <w:rFonts w:ascii="Cambria" w:hAnsi="Cambria"/>
          <w:bCs/>
          <w:sz w:val="20"/>
          <w:szCs w:val="20"/>
        </w:rPr>
        <w:t>to the maintenance of the barriers found when the relatives tried to participate in the processing of the case.</w:t>
      </w:r>
      <w:r w:rsidR="00FC5DC8" w:rsidRPr="008D6E5C">
        <w:rPr>
          <w:rFonts w:ascii="Cambria" w:hAnsi="Cambria"/>
          <w:bCs/>
          <w:sz w:val="20"/>
          <w:szCs w:val="20"/>
        </w:rPr>
        <w:t xml:space="preserve"> </w:t>
      </w:r>
      <w:r w:rsidRPr="008D6E5C">
        <w:rPr>
          <w:rFonts w:ascii="Cambria" w:hAnsi="Cambria"/>
          <w:bCs/>
          <w:sz w:val="20"/>
          <w:szCs w:val="20"/>
        </w:rPr>
        <w:t>Indeed</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Pr="008D6E5C">
        <w:rPr>
          <w:rFonts w:ascii="Cambria" w:hAnsi="Cambria"/>
          <w:bCs/>
          <w:sz w:val="20"/>
          <w:szCs w:val="20"/>
        </w:rPr>
        <w:t>observes with concern</w:t>
      </w:r>
      <w:r w:rsidR="00FC5DC8" w:rsidRPr="008D6E5C">
        <w:rPr>
          <w:rFonts w:ascii="Cambria" w:hAnsi="Cambria"/>
          <w:bCs/>
          <w:sz w:val="20"/>
          <w:szCs w:val="20"/>
        </w:rPr>
        <w:t xml:space="preserve"> </w:t>
      </w:r>
      <w:r w:rsidR="001000C6" w:rsidRPr="008D6E5C">
        <w:rPr>
          <w:rFonts w:ascii="Cambria" w:hAnsi="Cambria"/>
          <w:bCs/>
          <w:sz w:val="20"/>
          <w:szCs w:val="20"/>
        </w:rPr>
        <w:t>that during the processing of this case before the</w:t>
      </w:r>
      <w:r w:rsidR="00FC5DC8" w:rsidRPr="008D6E5C">
        <w:rPr>
          <w:rFonts w:ascii="Cambria" w:hAnsi="Cambria"/>
          <w:bCs/>
          <w:sz w:val="20"/>
          <w:szCs w:val="20"/>
        </w:rPr>
        <w:t xml:space="preserve"> </w:t>
      </w:r>
      <w:r w:rsidR="0003360B" w:rsidRPr="008D6E5C">
        <w:rPr>
          <w:rFonts w:ascii="Cambria" w:hAnsi="Cambria"/>
          <w:bCs/>
          <w:sz w:val="20"/>
          <w:szCs w:val="20"/>
        </w:rPr>
        <w:t>Inter-American system</w:t>
      </w:r>
      <w:r w:rsidR="00FC5DC8" w:rsidRPr="008D6E5C">
        <w:rPr>
          <w:rFonts w:ascii="Cambria" w:hAnsi="Cambria"/>
          <w:bCs/>
          <w:sz w:val="20"/>
          <w:szCs w:val="20"/>
        </w:rPr>
        <w:t xml:space="preserve"> </w:t>
      </w:r>
      <w:r w:rsidR="001766CB" w:rsidRPr="008D6E5C">
        <w:rPr>
          <w:rFonts w:ascii="Cambria" w:hAnsi="Cambria"/>
          <w:bCs/>
          <w:sz w:val="20"/>
          <w:szCs w:val="20"/>
        </w:rPr>
        <w:t>the petitioner</w:t>
      </w:r>
      <w:r w:rsidR="00FC5DC8" w:rsidRPr="008D6E5C">
        <w:rPr>
          <w:rFonts w:ascii="Cambria" w:hAnsi="Cambria"/>
          <w:bCs/>
          <w:sz w:val="20"/>
          <w:szCs w:val="20"/>
        </w:rPr>
        <w:t xml:space="preserve"> </w:t>
      </w:r>
      <w:r w:rsidR="001000C6" w:rsidRPr="008D6E5C">
        <w:rPr>
          <w:rFonts w:ascii="Cambria" w:hAnsi="Cambria"/>
          <w:bCs/>
          <w:sz w:val="20"/>
          <w:szCs w:val="20"/>
        </w:rPr>
        <w:t>has reported that</w:t>
      </w:r>
      <w:r w:rsidR="00FC5DC8" w:rsidRPr="008D6E5C">
        <w:rPr>
          <w:rFonts w:ascii="Cambria" w:hAnsi="Cambria"/>
          <w:bCs/>
          <w:sz w:val="20"/>
          <w:szCs w:val="20"/>
        </w:rPr>
        <w:t xml:space="preserve"> </w:t>
      </w:r>
      <w:r w:rsidR="001000C6" w:rsidRPr="008D6E5C">
        <w:rPr>
          <w:rFonts w:ascii="Cambria" w:hAnsi="Cambria"/>
          <w:bCs/>
          <w:sz w:val="20"/>
          <w:szCs w:val="20"/>
        </w:rPr>
        <w:t>the</w:t>
      </w:r>
      <w:r w:rsidR="00FC5DC8" w:rsidRPr="008D6E5C">
        <w:rPr>
          <w:rFonts w:ascii="Cambria" w:hAnsi="Cambria"/>
          <w:bCs/>
          <w:sz w:val="20"/>
          <w:szCs w:val="20"/>
        </w:rPr>
        <w:t xml:space="preserve"> </w:t>
      </w:r>
      <w:r w:rsidR="001000C6" w:rsidRPr="008D6E5C">
        <w:rPr>
          <w:rFonts w:ascii="Cambria" w:hAnsi="Cambria"/>
          <w:bCs/>
          <w:sz w:val="20"/>
          <w:szCs w:val="20"/>
        </w:rPr>
        <w:t xml:space="preserve">victim’s relatives </w:t>
      </w:r>
      <w:r w:rsidR="00A949B2" w:rsidRPr="008D6E5C">
        <w:rPr>
          <w:rFonts w:ascii="Cambria" w:hAnsi="Cambria"/>
          <w:bCs/>
          <w:sz w:val="20"/>
          <w:szCs w:val="20"/>
        </w:rPr>
        <w:t xml:space="preserve">are still fearful </w:t>
      </w:r>
      <w:r w:rsidR="001000C6" w:rsidRPr="008D6E5C">
        <w:rPr>
          <w:rFonts w:ascii="Cambria" w:hAnsi="Cambria"/>
          <w:bCs/>
          <w:sz w:val="20"/>
          <w:szCs w:val="20"/>
        </w:rPr>
        <w:t>as a consequence</w:t>
      </w:r>
      <w:r w:rsidR="00A949B2" w:rsidRPr="008D6E5C">
        <w:rPr>
          <w:rFonts w:ascii="Cambria" w:hAnsi="Cambria"/>
          <w:bCs/>
          <w:sz w:val="20"/>
          <w:szCs w:val="20"/>
        </w:rPr>
        <w:t xml:space="preserve"> of the events, and that</w:t>
      </w:r>
      <w:r w:rsidR="001000C6" w:rsidRPr="008D6E5C">
        <w:rPr>
          <w:rFonts w:ascii="Cambria" w:hAnsi="Cambria"/>
          <w:bCs/>
          <w:sz w:val="20"/>
          <w:szCs w:val="20"/>
        </w:rPr>
        <w:t xml:space="preserve"> most of them have left Colombia.</w:t>
      </w:r>
    </w:p>
    <w:p w:rsidR="00FC5DC8" w:rsidRPr="008D6E5C" w:rsidRDefault="00FC5DC8" w:rsidP="001520DB">
      <w:pPr>
        <w:pStyle w:val="ListParagraph"/>
        <w:shd w:val="clear" w:color="auto" w:fill="FFFFFF"/>
        <w:jc w:val="both"/>
        <w:rPr>
          <w:bCs/>
          <w:sz w:val="20"/>
          <w:szCs w:val="20"/>
        </w:rPr>
      </w:pPr>
    </w:p>
    <w:p w:rsidR="00FC5DC8" w:rsidRPr="008D6E5C" w:rsidRDefault="00A34FD8" w:rsidP="001E4690">
      <w:pPr>
        <w:pStyle w:val="Heading4"/>
        <w:keepNext w:val="0"/>
        <w:keepLines w:val="0"/>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num" w:pos="1440"/>
        </w:tabs>
        <w:spacing w:before="0"/>
        <w:ind w:left="1440" w:hanging="720"/>
        <w:rPr>
          <w:szCs w:val="20"/>
        </w:rPr>
      </w:pPr>
      <w:r w:rsidRPr="008D6E5C">
        <w:rPr>
          <w:szCs w:val="20"/>
        </w:rPr>
        <w:t>Due diligence in the gathering of evidence</w:t>
      </w:r>
      <w:r w:rsidR="00FC5DC8" w:rsidRPr="008D6E5C">
        <w:rPr>
          <w:szCs w:val="20"/>
        </w:rPr>
        <w:t xml:space="preserve"> </w:t>
      </w:r>
    </w:p>
    <w:p w:rsidR="00FC5DC8" w:rsidRPr="008D6E5C" w:rsidRDefault="00FC5DC8" w:rsidP="001520DB">
      <w:pPr>
        <w:pStyle w:val="ListParagraph"/>
        <w:ind w:left="1080"/>
        <w:rPr>
          <w:bCs/>
          <w:sz w:val="20"/>
          <w:szCs w:val="20"/>
        </w:rPr>
      </w:pPr>
    </w:p>
    <w:p w:rsidR="002F4DCD"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IACHR</w:t>
      </w:r>
      <w:r w:rsidR="00FC5DC8" w:rsidRPr="008D6E5C">
        <w:rPr>
          <w:rFonts w:ascii="Cambria" w:hAnsi="Cambria"/>
          <w:bCs/>
          <w:sz w:val="20"/>
          <w:szCs w:val="20"/>
        </w:rPr>
        <w:t xml:space="preserve"> </w:t>
      </w:r>
      <w:r w:rsidR="001000C6" w:rsidRPr="008D6E5C">
        <w:rPr>
          <w:rFonts w:ascii="Cambria" w:hAnsi="Cambria"/>
          <w:bCs/>
          <w:sz w:val="20"/>
          <w:szCs w:val="20"/>
        </w:rPr>
        <w:t>reiterates that</w:t>
      </w:r>
      <w:r w:rsidR="00FC5DC8" w:rsidRPr="008D6E5C">
        <w:rPr>
          <w:rFonts w:ascii="Cambria" w:hAnsi="Cambria"/>
          <w:bCs/>
          <w:sz w:val="20"/>
          <w:szCs w:val="20"/>
        </w:rPr>
        <w:t xml:space="preserve"> </w:t>
      </w:r>
      <w:r w:rsidR="001766CB" w:rsidRPr="008D6E5C">
        <w:rPr>
          <w:rFonts w:ascii="Cambria" w:hAnsi="Cambria"/>
          <w:bCs/>
          <w:sz w:val="20"/>
          <w:szCs w:val="20"/>
        </w:rPr>
        <w:t xml:space="preserve">the </w:t>
      </w:r>
      <w:r w:rsidR="00943977" w:rsidRPr="008D6E5C">
        <w:rPr>
          <w:rFonts w:ascii="Cambria" w:hAnsi="Cambria"/>
          <w:bCs/>
          <w:sz w:val="20"/>
          <w:szCs w:val="20"/>
        </w:rPr>
        <w:t>violations perpetrated in this case should have been investigated with the strictest adherence to</w:t>
      </w:r>
      <w:r w:rsidR="00FC5DC8" w:rsidRPr="008D6E5C">
        <w:rPr>
          <w:rFonts w:ascii="Cambria" w:hAnsi="Cambria"/>
          <w:bCs/>
          <w:sz w:val="20"/>
          <w:szCs w:val="20"/>
        </w:rPr>
        <w:t xml:space="preserve"> </w:t>
      </w:r>
      <w:r w:rsidR="001766CB" w:rsidRPr="008D6E5C">
        <w:rPr>
          <w:rFonts w:ascii="Cambria" w:hAnsi="Cambria"/>
          <w:sz w:val="20"/>
          <w:szCs w:val="20"/>
        </w:rPr>
        <w:t>due diligence</w:t>
      </w:r>
      <w:r w:rsidR="00FC5DC8" w:rsidRPr="008D6E5C">
        <w:rPr>
          <w:rFonts w:ascii="Cambria" w:hAnsi="Cambria"/>
          <w:sz w:val="20"/>
          <w:szCs w:val="20"/>
        </w:rPr>
        <w:t xml:space="preserve">, </w:t>
      </w:r>
      <w:r w:rsidR="00943977" w:rsidRPr="008D6E5C">
        <w:rPr>
          <w:rFonts w:ascii="Cambria" w:hAnsi="Cambria"/>
          <w:sz w:val="20"/>
          <w:szCs w:val="20"/>
        </w:rPr>
        <w:t xml:space="preserve">given the seriousness of the crime and the nature of the rights violated—the rights to life and </w:t>
      </w:r>
      <w:r w:rsidR="0003360B" w:rsidRPr="008D6E5C">
        <w:rPr>
          <w:rFonts w:ascii="Cambria" w:hAnsi="Cambria"/>
          <w:bCs/>
          <w:sz w:val="20"/>
          <w:szCs w:val="20"/>
        </w:rPr>
        <w:t>freedom of expression</w:t>
      </w:r>
      <w:r w:rsidR="00943977" w:rsidRPr="008D6E5C">
        <w:rPr>
          <w:rFonts w:ascii="Cambria" w:hAnsi="Cambria"/>
          <w:bCs/>
          <w:sz w:val="20"/>
          <w:szCs w:val="20"/>
        </w:rPr>
        <w:t>—which sent out a clearly intimidating message to those who practice journalism in the area.</w:t>
      </w:r>
      <w:r w:rsidR="00FC5DC8" w:rsidRPr="008D6E5C">
        <w:rPr>
          <w:rFonts w:ascii="Cambria" w:hAnsi="Cambria"/>
          <w:bCs/>
          <w:sz w:val="20"/>
          <w:szCs w:val="20"/>
        </w:rPr>
        <w:t xml:space="preserve"> </w:t>
      </w:r>
    </w:p>
    <w:p w:rsidR="002F4DCD" w:rsidRPr="008D6E5C" w:rsidRDefault="002F4DCD"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bCs/>
          <w:sz w:val="20"/>
          <w:szCs w:val="20"/>
        </w:rPr>
      </w:pPr>
    </w:p>
    <w:p w:rsidR="00266449" w:rsidRPr="008D6E5C" w:rsidRDefault="00BD66B0"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This includes the obligation to diligently implement measures for obtaining and preserving evidence</w:t>
      </w:r>
      <w:r w:rsidR="00FC5DC8" w:rsidRPr="008D6E5C">
        <w:rPr>
          <w:rFonts w:ascii="Cambria" w:hAnsi="Cambria"/>
          <w:bCs/>
          <w:sz w:val="20"/>
          <w:szCs w:val="20"/>
        </w:rPr>
        <w:t xml:space="preserve">. </w:t>
      </w:r>
      <w:r w:rsidR="002030B8" w:rsidRPr="008D6E5C">
        <w:rPr>
          <w:rFonts w:ascii="Cambria" w:hAnsi="Cambria"/>
          <w:bCs/>
          <w:sz w:val="20"/>
          <w:szCs w:val="20"/>
        </w:rPr>
        <w:t xml:space="preserve"> </w:t>
      </w:r>
      <w:r w:rsidR="00A225E1" w:rsidRPr="008D6E5C">
        <w:rPr>
          <w:rFonts w:ascii="Cambria" w:hAnsi="Cambria"/>
          <w:bCs/>
          <w:sz w:val="20"/>
          <w:szCs w:val="20"/>
        </w:rPr>
        <w:t xml:space="preserve">According to the United Nations Principles </w:t>
      </w:r>
      <w:r w:rsidR="002F4DCD" w:rsidRPr="008D6E5C">
        <w:rPr>
          <w:rFonts w:ascii="Cambria" w:hAnsi="Cambria"/>
          <w:bCs/>
          <w:sz w:val="20"/>
          <w:szCs w:val="20"/>
        </w:rPr>
        <w:t xml:space="preserve">on the effective prevention and investigation of Extra-Legal, Arbitrary and Summary Executions </w:t>
      </w:r>
      <w:r w:rsidR="002030B8" w:rsidRPr="008D6E5C">
        <w:rPr>
          <w:rFonts w:ascii="Cambria" w:hAnsi="Cambria"/>
          <w:bCs/>
          <w:sz w:val="20"/>
          <w:szCs w:val="20"/>
        </w:rPr>
        <w:t>(“</w:t>
      </w:r>
      <w:r w:rsidR="002F4DCD" w:rsidRPr="008D6E5C">
        <w:rPr>
          <w:rFonts w:ascii="Cambria" w:hAnsi="Cambria"/>
          <w:bCs/>
          <w:sz w:val="20"/>
          <w:szCs w:val="20"/>
        </w:rPr>
        <w:t>United Nations Principles</w:t>
      </w:r>
      <w:r w:rsidR="002030B8" w:rsidRPr="008D6E5C">
        <w:rPr>
          <w:rFonts w:ascii="Cambria" w:hAnsi="Cambria"/>
          <w:bCs/>
          <w:sz w:val="20"/>
          <w:szCs w:val="20"/>
        </w:rPr>
        <w:t xml:space="preserve">”),  </w:t>
      </w:r>
      <w:r w:rsidR="002F4DCD" w:rsidRPr="008D6E5C">
        <w:rPr>
          <w:rFonts w:ascii="Cambria" w:hAnsi="Cambria"/>
          <w:bCs/>
          <w:sz w:val="20"/>
          <w:szCs w:val="20"/>
        </w:rPr>
        <w:t xml:space="preserve">as well as the Model Protocol for a legal investigation of Extra-legal, Arbitrary and Summary Executions </w:t>
      </w:r>
      <w:r w:rsidR="002030B8" w:rsidRPr="008D6E5C">
        <w:rPr>
          <w:rFonts w:ascii="Cambria" w:hAnsi="Cambria"/>
          <w:bCs/>
          <w:sz w:val="20"/>
          <w:szCs w:val="20"/>
        </w:rPr>
        <w:t>(“</w:t>
      </w:r>
      <w:r w:rsidR="002F4DCD" w:rsidRPr="008D6E5C">
        <w:rPr>
          <w:rFonts w:ascii="Cambria" w:hAnsi="Cambria"/>
          <w:bCs/>
          <w:sz w:val="20"/>
          <w:szCs w:val="20"/>
        </w:rPr>
        <w:t>M</w:t>
      </w:r>
      <w:r w:rsidR="002030B8" w:rsidRPr="008D6E5C">
        <w:rPr>
          <w:rFonts w:ascii="Cambria" w:hAnsi="Cambria"/>
          <w:bCs/>
          <w:sz w:val="20"/>
          <w:szCs w:val="20"/>
        </w:rPr>
        <w:t>innesota</w:t>
      </w:r>
      <w:r w:rsidR="002F4DCD" w:rsidRPr="008D6E5C">
        <w:rPr>
          <w:rFonts w:ascii="Cambria" w:hAnsi="Cambria"/>
          <w:bCs/>
          <w:sz w:val="20"/>
          <w:szCs w:val="20"/>
        </w:rPr>
        <w:t xml:space="preserve"> Protocol</w:t>
      </w:r>
      <w:r w:rsidR="002030B8" w:rsidRPr="008D6E5C">
        <w:rPr>
          <w:rFonts w:ascii="Cambria" w:hAnsi="Cambria"/>
          <w:bCs/>
          <w:sz w:val="20"/>
          <w:szCs w:val="20"/>
        </w:rPr>
        <w:t xml:space="preserve">”), </w:t>
      </w:r>
      <w:r w:rsidRPr="008D6E5C">
        <w:rPr>
          <w:rFonts w:ascii="Cambria" w:hAnsi="Cambria"/>
          <w:bCs/>
          <w:sz w:val="20"/>
          <w:szCs w:val="20"/>
        </w:rPr>
        <w:t>the state authorities that carry out an investigation of this type must, at a minimum, attempt</w:t>
      </w:r>
      <w:r w:rsidR="00266449" w:rsidRPr="008D6E5C">
        <w:rPr>
          <w:rFonts w:ascii="Cambria" w:hAnsi="Cambria"/>
          <w:bCs/>
          <w:sz w:val="20"/>
          <w:szCs w:val="20"/>
        </w:rPr>
        <w:t xml:space="preserve"> to</w:t>
      </w:r>
      <w:r w:rsidR="00CF510A" w:rsidRPr="008D6E5C">
        <w:rPr>
          <w:rFonts w:ascii="Cambria" w:hAnsi="Cambria"/>
          <w:bCs/>
          <w:sz w:val="20"/>
          <w:szCs w:val="20"/>
        </w:rPr>
        <w:t xml:space="preserve">, </w:t>
      </w:r>
      <w:r w:rsidR="00CF510A" w:rsidRPr="008D6E5C">
        <w:rPr>
          <w:rFonts w:ascii="Cambria" w:hAnsi="Cambria"/>
          <w:bCs/>
          <w:i/>
          <w:sz w:val="20"/>
          <w:szCs w:val="20"/>
        </w:rPr>
        <w:t>inter alia</w:t>
      </w:r>
      <w:r w:rsidR="00FC5DC8" w:rsidRPr="008D6E5C">
        <w:rPr>
          <w:rFonts w:ascii="Cambria" w:hAnsi="Cambria"/>
          <w:bCs/>
          <w:sz w:val="20"/>
          <w:szCs w:val="20"/>
        </w:rPr>
        <w:t xml:space="preserve">: </w:t>
      </w:r>
      <w:r w:rsidR="002D3ED9" w:rsidRPr="008D6E5C">
        <w:rPr>
          <w:rFonts w:ascii="Cambria" w:hAnsi="Cambria"/>
          <w:bCs/>
          <w:sz w:val="20"/>
          <w:szCs w:val="20"/>
        </w:rPr>
        <w:t>(</w:t>
      </w:r>
      <w:r w:rsidR="00FC5DC8" w:rsidRPr="008D6E5C">
        <w:rPr>
          <w:rFonts w:ascii="Cambria" w:hAnsi="Cambria"/>
          <w:bCs/>
          <w:sz w:val="20"/>
          <w:szCs w:val="20"/>
        </w:rPr>
        <w:t xml:space="preserve">a) </w:t>
      </w:r>
      <w:r w:rsidR="00266449" w:rsidRPr="008D6E5C">
        <w:rPr>
          <w:rFonts w:ascii="Cambria" w:hAnsi="Cambria"/>
          <w:bCs/>
          <w:sz w:val="20"/>
          <w:szCs w:val="20"/>
        </w:rPr>
        <w:t>identify the victim</w:t>
      </w:r>
      <w:r w:rsidR="00FC5DC8" w:rsidRPr="008D6E5C">
        <w:rPr>
          <w:rFonts w:ascii="Cambria" w:hAnsi="Cambria"/>
          <w:bCs/>
          <w:sz w:val="20"/>
          <w:szCs w:val="20"/>
        </w:rPr>
        <w:t xml:space="preserve">; </w:t>
      </w:r>
      <w:r w:rsidR="002D3ED9" w:rsidRPr="008D6E5C">
        <w:rPr>
          <w:rFonts w:ascii="Cambria" w:hAnsi="Cambria"/>
          <w:bCs/>
          <w:sz w:val="20"/>
          <w:szCs w:val="20"/>
        </w:rPr>
        <w:t>(</w:t>
      </w:r>
      <w:r w:rsidR="00FC5DC8" w:rsidRPr="008D6E5C">
        <w:rPr>
          <w:rFonts w:ascii="Cambria" w:hAnsi="Cambria"/>
          <w:bCs/>
          <w:sz w:val="20"/>
          <w:szCs w:val="20"/>
        </w:rPr>
        <w:t xml:space="preserve">b) </w:t>
      </w:r>
      <w:r w:rsidR="00266449" w:rsidRPr="008D6E5C">
        <w:rPr>
          <w:rFonts w:ascii="Cambria" w:hAnsi="Cambria"/>
          <w:bCs/>
          <w:sz w:val="20"/>
          <w:szCs w:val="20"/>
        </w:rPr>
        <w:t>recover and preserve evidence pertaining to the death for purposes of assisting in any potential criminal investigation of the perpetrators</w:t>
      </w:r>
      <w:r w:rsidR="00FC5DC8" w:rsidRPr="008D6E5C">
        <w:rPr>
          <w:rFonts w:ascii="Cambria" w:hAnsi="Cambria"/>
          <w:bCs/>
          <w:sz w:val="20"/>
          <w:szCs w:val="20"/>
        </w:rPr>
        <w:t xml:space="preserve">; </w:t>
      </w:r>
      <w:r w:rsidR="002D3ED9" w:rsidRPr="008D6E5C">
        <w:rPr>
          <w:rFonts w:ascii="Cambria" w:hAnsi="Cambria"/>
          <w:bCs/>
          <w:sz w:val="20"/>
          <w:szCs w:val="20"/>
        </w:rPr>
        <w:t>(</w:t>
      </w:r>
      <w:r w:rsidR="00FC5DC8" w:rsidRPr="008D6E5C">
        <w:rPr>
          <w:rFonts w:ascii="Cambria" w:hAnsi="Cambria"/>
          <w:bCs/>
          <w:sz w:val="20"/>
          <w:szCs w:val="20"/>
        </w:rPr>
        <w:t xml:space="preserve">c) </w:t>
      </w:r>
      <w:r w:rsidR="00266449" w:rsidRPr="008D6E5C">
        <w:rPr>
          <w:rFonts w:ascii="Cambria" w:hAnsi="Cambria"/>
          <w:bCs/>
          <w:sz w:val="20"/>
          <w:szCs w:val="20"/>
        </w:rPr>
        <w:t>identify potential witness and obtain their statements regarding the death under investigation</w:t>
      </w:r>
      <w:r w:rsidR="00FC5DC8" w:rsidRPr="008D6E5C">
        <w:rPr>
          <w:rFonts w:ascii="Cambria" w:hAnsi="Cambria"/>
          <w:bCs/>
          <w:sz w:val="20"/>
          <w:szCs w:val="20"/>
        </w:rPr>
        <w:t xml:space="preserve">; </w:t>
      </w:r>
      <w:r w:rsidR="002D3ED9" w:rsidRPr="008D6E5C">
        <w:rPr>
          <w:rFonts w:ascii="Cambria" w:hAnsi="Cambria"/>
          <w:bCs/>
          <w:sz w:val="20"/>
          <w:szCs w:val="20"/>
        </w:rPr>
        <w:t>(</w:t>
      </w:r>
      <w:r w:rsidR="00FC5DC8" w:rsidRPr="008D6E5C">
        <w:rPr>
          <w:rFonts w:ascii="Cambria" w:hAnsi="Cambria"/>
          <w:bCs/>
          <w:sz w:val="20"/>
          <w:szCs w:val="20"/>
        </w:rPr>
        <w:t xml:space="preserve">d) </w:t>
      </w:r>
      <w:r w:rsidR="0012782E" w:rsidRPr="008D6E5C">
        <w:rPr>
          <w:rFonts w:ascii="Cambria" w:hAnsi="Cambria"/>
          <w:bCs/>
          <w:sz w:val="20"/>
          <w:szCs w:val="20"/>
        </w:rPr>
        <w:t>determine</w:t>
      </w:r>
      <w:r w:rsidR="00F6047F" w:rsidRPr="008D6E5C">
        <w:rPr>
          <w:rFonts w:ascii="Cambria" w:hAnsi="Cambria"/>
          <w:bCs/>
          <w:sz w:val="20"/>
          <w:szCs w:val="20"/>
        </w:rPr>
        <w:t xml:space="preserve"> the cause, manner, place, and time of death, as well as any pattern or practice that might have caused the death</w:t>
      </w:r>
      <w:r w:rsidR="002D3ED9" w:rsidRPr="008D6E5C">
        <w:rPr>
          <w:rFonts w:ascii="Cambria" w:hAnsi="Cambria"/>
          <w:bCs/>
          <w:sz w:val="20"/>
          <w:szCs w:val="20"/>
        </w:rPr>
        <w:t>, and (</w:t>
      </w:r>
      <w:r w:rsidR="00FC5DC8" w:rsidRPr="008D6E5C">
        <w:rPr>
          <w:rFonts w:ascii="Cambria" w:hAnsi="Cambria"/>
          <w:bCs/>
          <w:sz w:val="20"/>
          <w:szCs w:val="20"/>
        </w:rPr>
        <w:t xml:space="preserve">e) </w:t>
      </w:r>
      <w:r w:rsidR="00F6047F" w:rsidRPr="008D6E5C">
        <w:rPr>
          <w:rFonts w:ascii="Cambria" w:hAnsi="Cambria"/>
          <w:bCs/>
          <w:sz w:val="20"/>
          <w:szCs w:val="20"/>
        </w:rPr>
        <w:t>distinguish among natural death, accidental death, suicide, and homicide</w:t>
      </w:r>
      <w:r w:rsidR="00FC5DC8" w:rsidRPr="008D6E5C">
        <w:rPr>
          <w:rFonts w:ascii="Cambria" w:hAnsi="Cambria"/>
          <w:bCs/>
          <w:sz w:val="20"/>
          <w:szCs w:val="20"/>
        </w:rPr>
        <w:t xml:space="preserve">. </w:t>
      </w:r>
      <w:r w:rsidR="00F6047F" w:rsidRPr="008D6E5C">
        <w:rPr>
          <w:rFonts w:ascii="Cambria" w:hAnsi="Cambria"/>
          <w:bCs/>
          <w:sz w:val="20"/>
          <w:szCs w:val="20"/>
        </w:rPr>
        <w:t>Additionally</w:t>
      </w:r>
      <w:r w:rsidR="00FC5DC8" w:rsidRPr="008D6E5C">
        <w:rPr>
          <w:rFonts w:ascii="Cambria" w:hAnsi="Cambria"/>
          <w:bCs/>
          <w:sz w:val="20"/>
          <w:szCs w:val="20"/>
        </w:rPr>
        <w:t xml:space="preserve">, </w:t>
      </w:r>
      <w:r w:rsidR="00F6047F" w:rsidRPr="008D6E5C">
        <w:rPr>
          <w:rFonts w:ascii="Cambria" w:hAnsi="Cambria"/>
          <w:bCs/>
          <w:sz w:val="20"/>
          <w:szCs w:val="20"/>
        </w:rPr>
        <w:t>it is necessary for the crime scene to be thoroughly investigated, and for autopsies and analyses of human remains to be rigorously performed</w:t>
      </w:r>
      <w:r w:rsidR="00FC5DC8" w:rsidRPr="008D6E5C">
        <w:rPr>
          <w:rFonts w:ascii="Cambria" w:hAnsi="Cambria"/>
          <w:bCs/>
          <w:sz w:val="20"/>
          <w:szCs w:val="20"/>
        </w:rPr>
        <w:t xml:space="preserve">, </w:t>
      </w:r>
      <w:r w:rsidR="00F6047F" w:rsidRPr="008D6E5C">
        <w:rPr>
          <w:rFonts w:ascii="Cambria" w:hAnsi="Cambria"/>
          <w:bCs/>
          <w:sz w:val="20"/>
          <w:szCs w:val="20"/>
        </w:rPr>
        <w:t xml:space="preserve">by competent professionals </w:t>
      </w:r>
      <w:r w:rsidR="00661A6C" w:rsidRPr="008D6E5C">
        <w:rPr>
          <w:rFonts w:ascii="Cambria" w:hAnsi="Cambria"/>
          <w:bCs/>
          <w:sz w:val="20"/>
          <w:szCs w:val="20"/>
        </w:rPr>
        <w:t>and through</w:t>
      </w:r>
      <w:r w:rsidR="00F6047F" w:rsidRPr="008D6E5C">
        <w:rPr>
          <w:rFonts w:ascii="Cambria" w:hAnsi="Cambria"/>
          <w:bCs/>
          <w:sz w:val="20"/>
          <w:szCs w:val="20"/>
        </w:rPr>
        <w:t xml:space="preserve"> the most appropriate procedures.</w:t>
      </w:r>
      <w:r w:rsidR="00FC5DC8" w:rsidRPr="008D6E5C">
        <w:rPr>
          <w:rFonts w:ascii="Cambria" w:hAnsi="Cambria"/>
          <w:bCs/>
          <w:sz w:val="20"/>
          <w:szCs w:val="20"/>
          <w:vertAlign w:val="superscript"/>
        </w:rPr>
        <w:footnoteReference w:id="151"/>
      </w:r>
      <w:r w:rsidR="00FC5DC8" w:rsidRPr="008D6E5C">
        <w:rPr>
          <w:rFonts w:ascii="Cambria" w:hAnsi="Cambria"/>
          <w:bCs/>
          <w:sz w:val="20"/>
          <w:szCs w:val="20"/>
        </w:rPr>
        <w:t xml:space="preserve"> </w:t>
      </w:r>
    </w:p>
    <w:p w:rsidR="00FC5DC8" w:rsidRPr="008D6E5C" w:rsidRDefault="00FC5DC8" w:rsidP="001520DB">
      <w:pPr>
        <w:pStyle w:val="ListParagraph"/>
        <w:shd w:val="clear" w:color="auto" w:fill="FFFFFF"/>
        <w:jc w:val="both"/>
        <w:rPr>
          <w:bCs/>
          <w:sz w:val="20"/>
          <w:szCs w:val="20"/>
        </w:rPr>
      </w:pPr>
    </w:p>
    <w:p w:rsidR="00FC5DC8" w:rsidRPr="008D6E5C" w:rsidRDefault="002D3ED9"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In the case of</w:t>
      </w:r>
      <w:r w:rsidR="00FC5DC8" w:rsidRPr="008D6E5C">
        <w:rPr>
          <w:rFonts w:ascii="Cambria" w:hAnsi="Cambria"/>
          <w:bCs/>
          <w:sz w:val="20"/>
          <w:szCs w:val="20"/>
        </w:rPr>
        <w:t xml:space="preserve"> </w:t>
      </w:r>
      <w:r w:rsidR="001766CB" w:rsidRPr="008D6E5C">
        <w:rPr>
          <w:rFonts w:ascii="Cambria" w:hAnsi="Cambria"/>
          <w:bCs/>
          <w:sz w:val="20"/>
          <w:szCs w:val="20"/>
        </w:rPr>
        <w:t>violence against journalists</w:t>
      </w:r>
      <w:r w:rsidR="00AE50B8" w:rsidRPr="008D6E5C">
        <w:rPr>
          <w:rFonts w:ascii="Cambria" w:hAnsi="Cambria"/>
          <w:bCs/>
          <w:sz w:val="20"/>
          <w:szCs w:val="20"/>
        </w:rPr>
        <w:t>, criminal investigations must also exhaust the lines of investigation</w:t>
      </w:r>
      <w:r w:rsidR="00FC5DC8" w:rsidRPr="008D6E5C">
        <w:rPr>
          <w:rFonts w:ascii="Cambria" w:hAnsi="Cambria"/>
          <w:bCs/>
          <w:sz w:val="20"/>
          <w:szCs w:val="20"/>
        </w:rPr>
        <w:t xml:space="preserve"> </w:t>
      </w:r>
      <w:r w:rsidR="00084FF9" w:rsidRPr="008D6E5C">
        <w:rPr>
          <w:rFonts w:ascii="Cambria" w:hAnsi="Cambria"/>
          <w:bCs/>
          <w:sz w:val="20"/>
          <w:szCs w:val="20"/>
        </w:rPr>
        <w:t>related to</w:t>
      </w:r>
      <w:r w:rsidR="00FC5DC8" w:rsidRPr="008D6E5C">
        <w:rPr>
          <w:rFonts w:ascii="Cambria" w:hAnsi="Cambria"/>
          <w:bCs/>
          <w:sz w:val="20"/>
          <w:szCs w:val="20"/>
        </w:rPr>
        <w:t xml:space="preserve"> </w:t>
      </w:r>
      <w:r w:rsidR="00084FF9" w:rsidRPr="008D6E5C">
        <w:rPr>
          <w:rFonts w:ascii="Cambria" w:hAnsi="Cambria"/>
          <w:bCs/>
          <w:sz w:val="20"/>
          <w:szCs w:val="20"/>
        </w:rPr>
        <w:t>the practice of journalism</w:t>
      </w:r>
      <w:r w:rsidR="009E2E68" w:rsidRPr="008D6E5C">
        <w:rPr>
          <w:rFonts w:ascii="Cambria" w:hAnsi="Cambria"/>
          <w:bCs/>
          <w:sz w:val="20"/>
          <w:szCs w:val="20"/>
        </w:rPr>
        <w:t xml:space="preserve">. </w:t>
      </w:r>
      <w:r w:rsidR="00661A6C" w:rsidRPr="008D6E5C">
        <w:rPr>
          <w:rFonts w:ascii="Cambria" w:hAnsi="Cambria"/>
          <w:bCs/>
          <w:sz w:val="20"/>
          <w:szCs w:val="20"/>
        </w:rPr>
        <w:t>The</w:t>
      </w:r>
      <w:r w:rsidR="004B0168" w:rsidRPr="008D6E5C">
        <w:rPr>
          <w:rFonts w:ascii="Cambria" w:hAnsi="Cambria"/>
          <w:bCs/>
          <w:sz w:val="20"/>
          <w:szCs w:val="20"/>
        </w:rPr>
        <w:t xml:space="preserve"> Inter-American Court</w:t>
      </w:r>
      <w:r w:rsidR="00FC5DC8" w:rsidRPr="008D6E5C">
        <w:rPr>
          <w:rFonts w:ascii="Cambria" w:hAnsi="Cambria"/>
          <w:bCs/>
          <w:sz w:val="20"/>
          <w:szCs w:val="20"/>
        </w:rPr>
        <w:t xml:space="preserve"> </w:t>
      </w:r>
      <w:r w:rsidR="00661A6C" w:rsidRPr="008D6E5C">
        <w:rPr>
          <w:rFonts w:ascii="Cambria" w:hAnsi="Cambria"/>
          <w:bCs/>
          <w:sz w:val="20"/>
          <w:szCs w:val="20"/>
        </w:rPr>
        <w:t>has held that</w:t>
      </w:r>
      <w:r w:rsidR="00FC5DC8" w:rsidRPr="008D6E5C">
        <w:rPr>
          <w:rFonts w:ascii="Cambria" w:hAnsi="Cambria"/>
          <w:bCs/>
          <w:sz w:val="20"/>
          <w:szCs w:val="20"/>
        </w:rPr>
        <w:t xml:space="preserve">, </w:t>
      </w:r>
      <w:r w:rsidR="00661A6C" w:rsidRPr="008D6E5C">
        <w:rPr>
          <w:rFonts w:ascii="Cambria" w:hAnsi="Cambria"/>
          <w:bCs/>
          <w:sz w:val="20"/>
          <w:szCs w:val="20"/>
        </w:rPr>
        <w:t xml:space="preserve">in complying with its obligations of investigation and protection, </w:t>
      </w:r>
      <w:r w:rsidR="007A2CDF" w:rsidRPr="008D6E5C">
        <w:rPr>
          <w:rFonts w:ascii="Cambria" w:hAnsi="Cambria"/>
          <w:bCs/>
          <w:sz w:val="20"/>
          <w:szCs w:val="20"/>
        </w:rPr>
        <w:t>the State</w:t>
      </w:r>
      <w:r w:rsidR="00FC5DC8" w:rsidRPr="008D6E5C">
        <w:rPr>
          <w:rFonts w:ascii="Cambria" w:hAnsi="Cambria"/>
          <w:bCs/>
          <w:sz w:val="20"/>
          <w:szCs w:val="20"/>
        </w:rPr>
        <w:t xml:space="preserve"> </w:t>
      </w:r>
      <w:r w:rsidR="00661A6C" w:rsidRPr="008D6E5C">
        <w:rPr>
          <w:rFonts w:ascii="Cambria" w:hAnsi="Cambria"/>
          <w:bCs/>
          <w:sz w:val="20"/>
          <w:szCs w:val="20"/>
        </w:rPr>
        <w:t xml:space="preserve">must take account of the </w:t>
      </w:r>
      <w:r w:rsidR="00827E83" w:rsidRPr="008D6E5C">
        <w:rPr>
          <w:rFonts w:ascii="Cambria" w:hAnsi="Cambria"/>
          <w:bCs/>
          <w:sz w:val="20"/>
          <w:szCs w:val="20"/>
        </w:rPr>
        <w:t xml:space="preserve">reasonable connection between the attack motivated by the exercise of freedom of expression </w:t>
      </w:r>
      <w:r w:rsidR="00661A6C" w:rsidRPr="008D6E5C">
        <w:rPr>
          <w:rFonts w:ascii="Cambria" w:hAnsi="Cambria"/>
          <w:bCs/>
          <w:sz w:val="20"/>
          <w:szCs w:val="20"/>
        </w:rPr>
        <w:t xml:space="preserve">and the </w:t>
      </w:r>
      <w:r w:rsidR="00827E83" w:rsidRPr="008D6E5C">
        <w:rPr>
          <w:rFonts w:ascii="Cambria" w:hAnsi="Cambria"/>
          <w:bCs/>
          <w:sz w:val="20"/>
          <w:szCs w:val="20"/>
        </w:rPr>
        <w:t xml:space="preserve">subsequent </w:t>
      </w:r>
      <w:r w:rsidR="00661A6C" w:rsidRPr="008D6E5C">
        <w:rPr>
          <w:rFonts w:ascii="Cambria" w:hAnsi="Cambria"/>
          <w:bCs/>
          <w:sz w:val="20"/>
          <w:szCs w:val="20"/>
        </w:rPr>
        <w:t>acts of violence perpetrated</w:t>
      </w:r>
      <w:r w:rsidR="005A005A" w:rsidRPr="008D6E5C">
        <w:rPr>
          <w:rFonts w:ascii="Cambria" w:hAnsi="Cambria"/>
          <w:bCs/>
          <w:sz w:val="20"/>
          <w:szCs w:val="20"/>
        </w:rPr>
        <w:t>.</w:t>
      </w:r>
      <w:r w:rsidR="00FC5DC8" w:rsidRPr="008D6E5C">
        <w:rPr>
          <w:rFonts w:ascii="Cambria" w:hAnsi="Cambria"/>
          <w:bCs/>
          <w:sz w:val="20"/>
          <w:szCs w:val="20"/>
          <w:vertAlign w:val="superscript"/>
        </w:rPr>
        <w:footnoteReference w:id="152"/>
      </w:r>
    </w:p>
    <w:p w:rsidR="00FC5DC8" w:rsidRPr="008D6E5C" w:rsidRDefault="00FC5DC8" w:rsidP="001520DB">
      <w:pPr>
        <w:jc w:val="both"/>
        <w:rPr>
          <w:rFonts w:ascii="Cambria" w:hAnsi="Cambria"/>
          <w:bCs/>
          <w:sz w:val="20"/>
          <w:szCs w:val="20"/>
        </w:rPr>
      </w:pPr>
    </w:p>
    <w:p w:rsidR="00FC5DC8" w:rsidRPr="008D6E5C" w:rsidRDefault="00384A2E"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 xml:space="preserve">Under these principles,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is also required to investigate, and if appropriate, punish all perpetrators of crimes</w:t>
      </w:r>
      <w:r w:rsidR="00FC5DC8" w:rsidRPr="008D6E5C">
        <w:rPr>
          <w:rFonts w:ascii="Cambria" w:hAnsi="Cambria"/>
          <w:bCs/>
          <w:sz w:val="20"/>
          <w:szCs w:val="20"/>
        </w:rPr>
        <w:t>, inclu</w:t>
      </w:r>
      <w:r w:rsidRPr="008D6E5C">
        <w:rPr>
          <w:rFonts w:ascii="Cambria" w:hAnsi="Cambria"/>
          <w:bCs/>
          <w:sz w:val="20"/>
          <w:szCs w:val="20"/>
        </w:rPr>
        <w:t xml:space="preserve">ding </w:t>
      </w:r>
      <w:r w:rsidR="004E7C9B" w:rsidRPr="008D6E5C">
        <w:rPr>
          <w:rFonts w:ascii="Cambria" w:hAnsi="Cambria"/>
          <w:bCs/>
          <w:sz w:val="20"/>
          <w:szCs w:val="20"/>
        </w:rPr>
        <w:t>direct perpetrators</w:t>
      </w:r>
      <w:r w:rsidRPr="008D6E5C">
        <w:rPr>
          <w:rFonts w:ascii="Cambria" w:hAnsi="Cambria"/>
          <w:bCs/>
          <w:sz w:val="20"/>
          <w:szCs w:val="20"/>
        </w:rPr>
        <w:t>, masterminds</w:t>
      </w:r>
      <w:r w:rsidR="00FC5DC8" w:rsidRPr="008D6E5C">
        <w:rPr>
          <w:rFonts w:ascii="Cambria" w:hAnsi="Cambria"/>
          <w:bCs/>
          <w:sz w:val="20"/>
          <w:szCs w:val="20"/>
        </w:rPr>
        <w:t xml:space="preserve">, </w:t>
      </w:r>
      <w:r w:rsidRPr="008D6E5C">
        <w:rPr>
          <w:rFonts w:ascii="Cambria" w:hAnsi="Cambria"/>
          <w:bCs/>
          <w:sz w:val="20"/>
          <w:szCs w:val="20"/>
        </w:rPr>
        <w:t xml:space="preserve">accomplices, collaborators, and accessories to </w:t>
      </w:r>
      <w:r w:rsidR="00CE0022" w:rsidRPr="008D6E5C">
        <w:rPr>
          <w:rFonts w:ascii="Cambria" w:hAnsi="Cambria"/>
          <w:bCs/>
          <w:sz w:val="20"/>
          <w:szCs w:val="20"/>
        </w:rPr>
        <w:t>human rights violations</w:t>
      </w:r>
      <w:r w:rsidR="00FC5DC8" w:rsidRPr="008D6E5C">
        <w:rPr>
          <w:rFonts w:ascii="Cambria" w:hAnsi="Cambria"/>
          <w:bCs/>
          <w:sz w:val="20"/>
          <w:szCs w:val="20"/>
        </w:rPr>
        <w:t xml:space="preserve">. </w:t>
      </w:r>
      <w:r w:rsidRPr="008D6E5C">
        <w:rPr>
          <w:rFonts w:ascii="Cambria" w:hAnsi="Cambria"/>
          <w:bCs/>
          <w:sz w:val="20"/>
          <w:szCs w:val="20"/>
        </w:rPr>
        <w:t>Moreover, it must investigate the structures through which the crimes are committed and the criminal organizations to which the perpetrators belong</w:t>
      </w:r>
      <w:r w:rsidR="00FC5DC8" w:rsidRPr="008D6E5C">
        <w:rPr>
          <w:rFonts w:ascii="Cambria" w:hAnsi="Cambria"/>
          <w:bCs/>
          <w:sz w:val="20"/>
          <w:szCs w:val="20"/>
        </w:rPr>
        <w:t xml:space="preserve">. </w:t>
      </w:r>
      <w:r w:rsidRPr="008D6E5C">
        <w:rPr>
          <w:rFonts w:ascii="Cambria" w:hAnsi="Cambria"/>
          <w:bCs/>
          <w:sz w:val="20"/>
          <w:szCs w:val="20"/>
        </w:rPr>
        <w:t>As previously explained</w:t>
      </w:r>
      <w:r w:rsidR="00FC5DC8" w:rsidRPr="008D6E5C">
        <w:rPr>
          <w:rFonts w:ascii="Cambria" w:hAnsi="Cambria"/>
          <w:bCs/>
          <w:sz w:val="20"/>
          <w:szCs w:val="20"/>
        </w:rPr>
        <w:t>,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sz w:val="20"/>
          <w:szCs w:val="20"/>
        </w:rPr>
        <w:t>demands that the investigations conducted by</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take account of</w:t>
      </w:r>
      <w:r w:rsidR="00FC5DC8" w:rsidRPr="008D6E5C">
        <w:rPr>
          <w:rFonts w:ascii="Cambria" w:hAnsi="Cambria"/>
          <w:bCs/>
          <w:sz w:val="20"/>
          <w:szCs w:val="20"/>
        </w:rPr>
        <w:t xml:space="preserve"> “</w:t>
      </w:r>
      <w:r w:rsidR="009E191A" w:rsidRPr="008D6E5C">
        <w:rPr>
          <w:rFonts w:ascii="Cambria" w:hAnsi="Cambria"/>
          <w:bCs/>
          <w:sz w:val="20"/>
          <w:szCs w:val="20"/>
        </w:rPr>
        <w:t xml:space="preserve">the </w:t>
      </w:r>
      <w:r w:rsidR="001F25A1" w:rsidRPr="008D6E5C">
        <w:rPr>
          <w:rFonts w:ascii="Cambria" w:hAnsi="Cambria"/>
          <w:bCs/>
          <w:sz w:val="20"/>
          <w:szCs w:val="20"/>
        </w:rPr>
        <w:t>complexity of the facts, the context in which they occurred</w:t>
      </w:r>
      <w:r w:rsidR="00FC5DC8" w:rsidRPr="008D6E5C">
        <w:rPr>
          <w:rFonts w:ascii="Cambria" w:hAnsi="Cambria"/>
          <w:bCs/>
          <w:sz w:val="20"/>
          <w:szCs w:val="20"/>
        </w:rPr>
        <w:t xml:space="preserve">, </w:t>
      </w:r>
      <w:r w:rsidR="001F25A1" w:rsidRPr="008D6E5C">
        <w:rPr>
          <w:rFonts w:ascii="Cambria" w:hAnsi="Cambria"/>
          <w:bCs/>
          <w:sz w:val="20"/>
          <w:szCs w:val="20"/>
        </w:rPr>
        <w:t>and the systematic patterns that explain why the events occurred</w:t>
      </w:r>
      <w:r w:rsidR="001766CB" w:rsidRPr="008D6E5C">
        <w:rPr>
          <w:rFonts w:ascii="Cambria" w:hAnsi="Cambria"/>
          <w:bCs/>
          <w:sz w:val="20"/>
          <w:szCs w:val="20"/>
        </w:rPr>
        <w:t>,”</w:t>
      </w:r>
      <w:r w:rsidR="00FC5DC8" w:rsidRPr="008D6E5C">
        <w:rPr>
          <w:rFonts w:ascii="Cambria" w:hAnsi="Cambria"/>
          <w:bCs/>
          <w:sz w:val="20"/>
          <w:szCs w:val="20"/>
        </w:rPr>
        <w:t xml:space="preserve"> </w:t>
      </w:r>
      <w:r w:rsidR="001F25A1" w:rsidRPr="008D6E5C">
        <w:rPr>
          <w:rFonts w:ascii="Cambria" w:hAnsi="Cambria"/>
          <w:bCs/>
          <w:sz w:val="20"/>
          <w:szCs w:val="20"/>
        </w:rPr>
        <w:t>ensuring that there are no</w:t>
      </w:r>
      <w:r w:rsidR="00FC5DC8" w:rsidRPr="008D6E5C">
        <w:rPr>
          <w:rFonts w:ascii="Cambria" w:hAnsi="Cambria"/>
          <w:bCs/>
          <w:sz w:val="20"/>
          <w:szCs w:val="20"/>
        </w:rPr>
        <w:t xml:space="preserve"> “</w:t>
      </w:r>
      <w:r w:rsidR="001F25A1" w:rsidRPr="008D6E5C">
        <w:rPr>
          <w:rFonts w:ascii="Cambria" w:hAnsi="Cambria"/>
          <w:bCs/>
          <w:sz w:val="20"/>
          <w:szCs w:val="20"/>
        </w:rPr>
        <w:t>omissions in gathering evidence or in the development of logical lines of investigation</w:t>
      </w:r>
      <w:r w:rsidR="001766CB"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53"/>
      </w:r>
      <w:r w:rsidR="00FC5DC8" w:rsidRPr="008D6E5C">
        <w:rPr>
          <w:rFonts w:ascii="Cambria" w:hAnsi="Cambria"/>
          <w:bCs/>
          <w:sz w:val="20"/>
          <w:szCs w:val="20"/>
        </w:rPr>
        <w:t xml:space="preserve"> </w:t>
      </w:r>
      <w:r w:rsidR="001F25A1" w:rsidRPr="008D6E5C">
        <w:rPr>
          <w:rFonts w:ascii="Cambria" w:hAnsi="Cambria"/>
          <w:bCs/>
          <w:sz w:val="20"/>
          <w:szCs w:val="20"/>
        </w:rPr>
        <w:t>This obligation is especially relevant in cases of</w:t>
      </w:r>
      <w:r w:rsidR="00FC5DC8" w:rsidRPr="008D6E5C">
        <w:rPr>
          <w:rFonts w:ascii="Cambria" w:hAnsi="Cambria"/>
          <w:bCs/>
          <w:sz w:val="20"/>
          <w:szCs w:val="20"/>
        </w:rPr>
        <w:t xml:space="preserve">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w:t>
      </w:r>
      <w:r w:rsidR="001F25A1" w:rsidRPr="008D6E5C">
        <w:rPr>
          <w:rFonts w:ascii="Cambria" w:hAnsi="Cambria"/>
          <w:bCs/>
          <w:sz w:val="20"/>
          <w:szCs w:val="20"/>
        </w:rPr>
        <w:t xml:space="preserve">which oftentimes are committed by criminal networks that act with the tolerance or acquiescence of State agents, and in which the direct perpetrator of the crime is merely carrying out orders. </w:t>
      </w:r>
    </w:p>
    <w:p w:rsidR="00FC5DC8" w:rsidRPr="008D6E5C" w:rsidRDefault="00FC5DC8" w:rsidP="001520DB">
      <w:pPr>
        <w:pStyle w:val="ListParagraph"/>
        <w:rPr>
          <w:bCs/>
          <w:sz w:val="20"/>
          <w:szCs w:val="20"/>
        </w:rPr>
      </w:pPr>
    </w:p>
    <w:p w:rsidR="00FC5DC8" w:rsidRPr="008D6E5C" w:rsidRDefault="00247E4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 xml:space="preserve">With regard to the collection and preservation of evidence, </w:t>
      </w:r>
      <w:r w:rsidR="004B0168" w:rsidRPr="008D6E5C">
        <w:rPr>
          <w:rFonts w:ascii="Cambria" w:hAnsi="Cambria"/>
          <w:sz w:val="20"/>
          <w:szCs w:val="20"/>
        </w:rPr>
        <w:t>Inter-American Commission</w:t>
      </w:r>
      <w:r w:rsidR="00FC5DC8" w:rsidRPr="008D6E5C">
        <w:rPr>
          <w:rFonts w:ascii="Cambria" w:hAnsi="Cambria"/>
          <w:sz w:val="20"/>
          <w:szCs w:val="20"/>
        </w:rPr>
        <w:t xml:space="preserve"> </w:t>
      </w:r>
      <w:r w:rsidR="001000C6" w:rsidRPr="008D6E5C">
        <w:rPr>
          <w:rFonts w:ascii="Cambria" w:hAnsi="Cambria"/>
          <w:sz w:val="20"/>
          <w:szCs w:val="20"/>
        </w:rPr>
        <w:t>reiterates that</w:t>
      </w:r>
      <w:r w:rsidR="00FC5DC8" w:rsidRPr="008D6E5C">
        <w:rPr>
          <w:rFonts w:ascii="Cambria" w:hAnsi="Cambria"/>
          <w:sz w:val="20"/>
          <w:szCs w:val="20"/>
        </w:rPr>
        <w:t xml:space="preserve"> </w:t>
      </w:r>
      <w:r w:rsidRPr="008D6E5C">
        <w:rPr>
          <w:rFonts w:ascii="Cambria" w:hAnsi="Cambria"/>
          <w:sz w:val="20"/>
          <w:szCs w:val="20"/>
        </w:rPr>
        <w:t>in cases in which the</w:t>
      </w:r>
      <w:r w:rsidR="00FC5DC8" w:rsidRPr="008D6E5C">
        <w:rPr>
          <w:rFonts w:ascii="Cambria" w:hAnsi="Cambria"/>
          <w:sz w:val="20"/>
          <w:szCs w:val="20"/>
        </w:rPr>
        <w:t xml:space="preserve"> </w:t>
      </w:r>
      <w:r w:rsidRPr="008D6E5C">
        <w:rPr>
          <w:rFonts w:ascii="Cambria" w:hAnsi="Cambria"/>
          <w:sz w:val="20"/>
          <w:szCs w:val="20"/>
        </w:rPr>
        <w:t>unlawful, arbitrary, or summary</w:t>
      </w:r>
      <w:r w:rsidR="00FC5DC8" w:rsidRPr="008D6E5C">
        <w:rPr>
          <w:rFonts w:ascii="Cambria" w:hAnsi="Cambria"/>
          <w:sz w:val="20"/>
          <w:szCs w:val="20"/>
        </w:rPr>
        <w:t xml:space="preserve"> </w:t>
      </w:r>
      <w:r w:rsidRPr="008D6E5C">
        <w:rPr>
          <w:rFonts w:ascii="Cambria" w:hAnsi="Cambria"/>
          <w:sz w:val="20"/>
          <w:szCs w:val="20"/>
        </w:rPr>
        <w:t>of an individual is suspected,</w:t>
      </w:r>
      <w:r w:rsidR="00FC5DC8" w:rsidRPr="008D6E5C">
        <w:rPr>
          <w:rFonts w:ascii="Cambria" w:hAnsi="Cambria"/>
          <w:sz w:val="20"/>
          <w:szCs w:val="20"/>
        </w:rPr>
        <w:t xml:space="preserve"> </w:t>
      </w:r>
      <w:r w:rsidRPr="008D6E5C">
        <w:rPr>
          <w:rFonts w:ascii="Cambria" w:hAnsi="Cambria"/>
          <w:sz w:val="20"/>
          <w:szCs w:val="20"/>
        </w:rPr>
        <w:t xml:space="preserve">the collection and analysis of the physical evidence and the taking of statements from potential </w:t>
      </w:r>
      <w:r w:rsidR="001000C6" w:rsidRPr="008D6E5C">
        <w:rPr>
          <w:rFonts w:ascii="Cambria" w:hAnsi="Cambria"/>
          <w:sz w:val="20"/>
          <w:szCs w:val="20"/>
        </w:rPr>
        <w:t>witnesses</w:t>
      </w:r>
      <w:r w:rsidR="00FC5DC8" w:rsidRPr="008D6E5C">
        <w:rPr>
          <w:rFonts w:ascii="Cambria" w:hAnsi="Cambria"/>
          <w:sz w:val="20"/>
          <w:szCs w:val="20"/>
        </w:rPr>
        <w:t xml:space="preserve"> </w:t>
      </w:r>
      <w:r w:rsidRPr="008D6E5C">
        <w:rPr>
          <w:rFonts w:ascii="Cambria" w:hAnsi="Cambria"/>
          <w:sz w:val="20"/>
          <w:szCs w:val="20"/>
        </w:rPr>
        <w:t>is essential in order to guarantee an effective investigation, according to the</w:t>
      </w:r>
      <w:r w:rsidR="002030B8" w:rsidRPr="008D6E5C">
        <w:rPr>
          <w:rFonts w:ascii="Cambria" w:hAnsi="Cambria"/>
          <w:sz w:val="20"/>
          <w:szCs w:val="20"/>
        </w:rPr>
        <w:t xml:space="preserve"> </w:t>
      </w:r>
      <w:r w:rsidR="00FF22CA" w:rsidRPr="008D6E5C">
        <w:rPr>
          <w:rFonts w:ascii="Cambria" w:hAnsi="Cambria"/>
          <w:sz w:val="20"/>
          <w:szCs w:val="20"/>
        </w:rPr>
        <w:t>above-mentioned United Nations and Minnesota Model Protocol</w:t>
      </w:r>
      <w:r w:rsidR="001766CB" w:rsidRPr="008D6E5C">
        <w:rPr>
          <w:rFonts w:ascii="Cambria" w:hAnsi="Cambria"/>
          <w:sz w:val="20"/>
          <w:szCs w:val="20"/>
        </w:rPr>
        <w:t>.</w:t>
      </w:r>
    </w:p>
    <w:p w:rsidR="00FC5DC8" w:rsidRPr="008D6E5C" w:rsidRDefault="00FC5DC8" w:rsidP="001520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p>
    <w:p w:rsidR="00FC5DC8" w:rsidRPr="008D6E5C" w:rsidRDefault="00247E4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lastRenderedPageBreak/>
        <w:t>The</w:t>
      </w:r>
      <w:r w:rsidR="00DF44C8" w:rsidRPr="008D6E5C">
        <w:rPr>
          <w:rFonts w:ascii="Cambria" w:hAnsi="Cambria"/>
          <w:bCs/>
          <w:sz w:val="20"/>
          <w:szCs w:val="20"/>
        </w:rPr>
        <w:t xml:space="preserve"> IACHR</w:t>
      </w:r>
      <w:r w:rsidR="00FC5DC8" w:rsidRPr="008D6E5C">
        <w:rPr>
          <w:rFonts w:ascii="Cambria" w:hAnsi="Cambria"/>
          <w:bCs/>
          <w:sz w:val="20"/>
          <w:szCs w:val="20"/>
        </w:rPr>
        <w:t xml:space="preserve"> </w:t>
      </w:r>
      <w:r w:rsidRPr="008D6E5C">
        <w:rPr>
          <w:rFonts w:ascii="Cambria" w:hAnsi="Cambria"/>
          <w:bCs/>
          <w:sz w:val="20"/>
          <w:szCs w:val="20"/>
        </w:rPr>
        <w:t>observes</w:t>
      </w:r>
      <w:r w:rsidR="00FC5DC8" w:rsidRPr="008D6E5C">
        <w:rPr>
          <w:rFonts w:ascii="Cambria" w:hAnsi="Cambria"/>
          <w:bCs/>
          <w:sz w:val="20"/>
          <w:szCs w:val="20"/>
        </w:rPr>
        <w:t xml:space="preserve">, </w:t>
      </w:r>
      <w:r w:rsidRPr="008D6E5C">
        <w:rPr>
          <w:rFonts w:ascii="Cambria" w:hAnsi="Cambria"/>
          <w:bCs/>
          <w:sz w:val="20"/>
          <w:szCs w:val="20"/>
        </w:rPr>
        <w:t>first, that it is evident that the witness testimony was neither obtained nor preserved with</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because of the lack of adequate protection for</w:t>
      </w:r>
      <w:r w:rsidR="00FC5DC8" w:rsidRPr="008D6E5C">
        <w:rPr>
          <w:rFonts w:ascii="Cambria" w:hAnsi="Cambria"/>
          <w:bCs/>
          <w:sz w:val="20"/>
          <w:szCs w:val="20"/>
        </w:rPr>
        <w:t xml:space="preserve"> </w:t>
      </w:r>
      <w:r w:rsidR="001000C6" w:rsidRPr="008D6E5C">
        <w:rPr>
          <w:rFonts w:ascii="Cambria" w:hAnsi="Cambria"/>
          <w:bCs/>
          <w:sz w:val="20"/>
          <w:szCs w:val="20"/>
        </w:rPr>
        <w:t>witnesses</w:t>
      </w:r>
      <w:r w:rsidR="00FC5DC8" w:rsidRPr="008D6E5C">
        <w:rPr>
          <w:rFonts w:ascii="Cambria" w:hAnsi="Cambria"/>
          <w:bCs/>
          <w:sz w:val="20"/>
          <w:szCs w:val="20"/>
        </w:rPr>
        <w:t xml:space="preserve"> </w:t>
      </w:r>
      <w:r w:rsidRPr="008D6E5C">
        <w:rPr>
          <w:rFonts w:ascii="Cambria" w:hAnsi="Cambria"/>
          <w:bCs/>
          <w:sz w:val="20"/>
          <w:szCs w:val="20"/>
        </w:rPr>
        <w:t>in light of the</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they received to discourage them from cooperating in the search for the truth</w:t>
      </w:r>
      <w:r w:rsidR="00E668F5" w:rsidRPr="008D6E5C">
        <w:rPr>
          <w:rFonts w:ascii="Cambria" w:hAnsi="Cambria"/>
          <w:bCs/>
          <w:sz w:val="20"/>
          <w:szCs w:val="20"/>
        </w:rPr>
        <w:t>,</w:t>
      </w:r>
      <w:r w:rsidRPr="008D6E5C">
        <w:rPr>
          <w:rFonts w:ascii="Cambria" w:hAnsi="Cambria"/>
          <w:bCs/>
          <w:sz w:val="20"/>
          <w:szCs w:val="20"/>
        </w:rPr>
        <w:t xml:space="preserve"> and </w:t>
      </w:r>
      <w:r w:rsidR="00E668F5" w:rsidRPr="008D6E5C">
        <w:rPr>
          <w:rFonts w:ascii="Cambria" w:hAnsi="Cambria"/>
          <w:bCs/>
          <w:sz w:val="20"/>
          <w:szCs w:val="20"/>
        </w:rPr>
        <w:t xml:space="preserve">given </w:t>
      </w:r>
      <w:r w:rsidRPr="008D6E5C">
        <w:rPr>
          <w:rFonts w:ascii="Cambria" w:hAnsi="Cambria"/>
          <w:bCs/>
          <w:sz w:val="20"/>
          <w:szCs w:val="20"/>
        </w:rPr>
        <w:t>the reported breach of confidentiality in the investigation</w:t>
      </w:r>
      <w:r w:rsidR="00FC5DC8" w:rsidRPr="008D6E5C">
        <w:rPr>
          <w:rFonts w:ascii="Cambria" w:hAnsi="Cambria"/>
          <w:bCs/>
          <w:sz w:val="20"/>
          <w:szCs w:val="20"/>
        </w:rPr>
        <w:t xml:space="preserve">. </w:t>
      </w:r>
      <w:r w:rsidRPr="008D6E5C">
        <w:rPr>
          <w:rFonts w:ascii="Cambria" w:hAnsi="Cambria"/>
          <w:bCs/>
          <w:sz w:val="20"/>
          <w:szCs w:val="20"/>
        </w:rPr>
        <w:t>The</w:t>
      </w:r>
      <w:r w:rsidR="00DF44C8" w:rsidRPr="008D6E5C">
        <w:rPr>
          <w:rFonts w:ascii="Cambria" w:hAnsi="Cambria"/>
          <w:bCs/>
          <w:sz w:val="20"/>
          <w:szCs w:val="20"/>
        </w:rPr>
        <w:t xml:space="preserve"> Commission</w:t>
      </w:r>
      <w:r w:rsidR="00FC5DC8" w:rsidRPr="008D6E5C">
        <w:rPr>
          <w:rFonts w:ascii="Cambria" w:hAnsi="Cambria"/>
          <w:bCs/>
          <w:sz w:val="20"/>
          <w:szCs w:val="20"/>
        </w:rPr>
        <w:t xml:space="preserve"> </w:t>
      </w:r>
      <w:r w:rsidRPr="008D6E5C">
        <w:rPr>
          <w:rFonts w:ascii="Cambria" w:hAnsi="Cambria"/>
          <w:bCs/>
          <w:sz w:val="20"/>
          <w:szCs w:val="20"/>
        </w:rPr>
        <w:t>also observes that</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showed no evidence of having made efforts to conduct</w:t>
      </w:r>
      <w:r w:rsidR="00E668F5" w:rsidRPr="008D6E5C">
        <w:rPr>
          <w:rFonts w:ascii="Cambria" w:hAnsi="Cambria"/>
          <w:bCs/>
          <w:sz w:val="20"/>
          <w:szCs w:val="20"/>
        </w:rPr>
        <w:t xml:space="preserve"> disciplinary investigations in</w:t>
      </w:r>
      <w:r w:rsidRPr="008D6E5C">
        <w:rPr>
          <w:rFonts w:ascii="Cambria" w:hAnsi="Cambria"/>
          <w:bCs/>
          <w:sz w:val="20"/>
          <w:szCs w:val="20"/>
        </w:rPr>
        <w:t>to this type of negligence in the procedural advancement of the investigations.</w:t>
      </w:r>
      <w:r w:rsidR="00FC5DC8" w:rsidRPr="008D6E5C">
        <w:rPr>
          <w:rFonts w:ascii="Cambria" w:hAnsi="Cambria"/>
          <w:bCs/>
          <w:sz w:val="20"/>
          <w:szCs w:val="20"/>
        </w:rPr>
        <w:t xml:space="preserve"> </w:t>
      </w:r>
    </w:p>
    <w:p w:rsidR="00FC5DC8" w:rsidRPr="008D6E5C" w:rsidRDefault="00FC5DC8" w:rsidP="001520DB">
      <w:pPr>
        <w:pStyle w:val="ListParagraph"/>
        <w:shd w:val="clear" w:color="auto" w:fill="FFFFFF"/>
        <w:jc w:val="both"/>
        <w:rPr>
          <w:bCs/>
          <w:sz w:val="20"/>
          <w:szCs w:val="20"/>
        </w:rPr>
      </w:pPr>
    </w:p>
    <w:p w:rsidR="002A1E7B" w:rsidRPr="008D6E5C" w:rsidRDefault="00FC5D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A</w:t>
      </w:r>
      <w:r w:rsidR="0045097B" w:rsidRPr="008D6E5C">
        <w:rPr>
          <w:rFonts w:ascii="Cambria" w:hAnsi="Cambria"/>
          <w:sz w:val="20"/>
          <w:szCs w:val="20"/>
        </w:rPr>
        <w:t>dditionally</w:t>
      </w:r>
      <w:r w:rsidRPr="008D6E5C">
        <w:rPr>
          <w:rFonts w:ascii="Cambria" w:hAnsi="Cambria"/>
          <w:sz w:val="20"/>
          <w:szCs w:val="20"/>
        </w:rPr>
        <w:t xml:space="preserve">, </w:t>
      </w:r>
      <w:r w:rsidR="0045097B" w:rsidRPr="008D6E5C">
        <w:rPr>
          <w:rFonts w:ascii="Cambria" w:hAnsi="Cambria"/>
          <w:sz w:val="20"/>
          <w:szCs w:val="20"/>
        </w:rPr>
        <w:t xml:space="preserve">from the information submitted, </w:t>
      </w:r>
      <w:r w:rsidR="00DF44C8" w:rsidRPr="008D6E5C">
        <w:rPr>
          <w:rFonts w:ascii="Cambria" w:hAnsi="Cambria"/>
          <w:sz w:val="20"/>
          <w:szCs w:val="20"/>
        </w:rPr>
        <w:t>the IACHR</w:t>
      </w:r>
      <w:r w:rsidRPr="008D6E5C">
        <w:rPr>
          <w:rFonts w:ascii="Cambria" w:hAnsi="Cambria"/>
          <w:sz w:val="20"/>
          <w:szCs w:val="20"/>
        </w:rPr>
        <w:t xml:space="preserve"> </w:t>
      </w:r>
      <w:r w:rsidR="0045097B" w:rsidRPr="008D6E5C">
        <w:rPr>
          <w:rFonts w:ascii="Cambria" w:hAnsi="Cambria"/>
          <w:sz w:val="20"/>
          <w:szCs w:val="20"/>
        </w:rPr>
        <w:t xml:space="preserve">notes that the authorities in charge of </w:t>
      </w:r>
      <w:r w:rsidR="001766CB" w:rsidRPr="008D6E5C">
        <w:rPr>
          <w:rFonts w:ascii="Cambria" w:hAnsi="Cambria"/>
          <w:sz w:val="20"/>
          <w:szCs w:val="20"/>
        </w:rPr>
        <w:t>the investigation</w:t>
      </w:r>
      <w:r w:rsidRPr="008D6E5C">
        <w:rPr>
          <w:rFonts w:ascii="Cambria" w:hAnsi="Cambria"/>
          <w:sz w:val="20"/>
          <w:szCs w:val="20"/>
        </w:rPr>
        <w:t xml:space="preserve"> </w:t>
      </w:r>
      <w:r w:rsidR="0045097B" w:rsidRPr="008D6E5C">
        <w:rPr>
          <w:rFonts w:ascii="Cambria" w:hAnsi="Cambria"/>
          <w:sz w:val="20"/>
          <w:szCs w:val="20"/>
        </w:rPr>
        <w:t>in this case</w:t>
      </w:r>
      <w:r w:rsidRPr="008D6E5C">
        <w:rPr>
          <w:rFonts w:ascii="Cambria" w:hAnsi="Cambria"/>
          <w:sz w:val="20"/>
          <w:szCs w:val="20"/>
        </w:rPr>
        <w:t xml:space="preserve"> </w:t>
      </w:r>
      <w:r w:rsidR="0045097B" w:rsidRPr="008D6E5C">
        <w:rPr>
          <w:rFonts w:ascii="Cambria" w:hAnsi="Cambria"/>
          <w:sz w:val="20"/>
          <w:szCs w:val="20"/>
        </w:rPr>
        <w:t xml:space="preserve">failed to follow procedures that were in keeping with international standards when they </w:t>
      </w:r>
      <w:r w:rsidR="00591A83" w:rsidRPr="008D6E5C">
        <w:rPr>
          <w:rFonts w:ascii="Cambria" w:hAnsi="Cambria"/>
          <w:sz w:val="20"/>
          <w:szCs w:val="20"/>
        </w:rPr>
        <w:t>inspected</w:t>
      </w:r>
      <w:r w:rsidR="0045097B" w:rsidRPr="008D6E5C">
        <w:rPr>
          <w:rFonts w:ascii="Cambria" w:hAnsi="Cambria"/>
          <w:sz w:val="20"/>
          <w:szCs w:val="20"/>
        </w:rPr>
        <w:t xml:space="preserve"> the body </w:t>
      </w:r>
      <w:r w:rsidR="00B47D16" w:rsidRPr="008D6E5C">
        <w:rPr>
          <w:rFonts w:ascii="Cambria" w:hAnsi="Cambria"/>
          <w:sz w:val="20"/>
          <w:szCs w:val="20"/>
        </w:rPr>
        <w:t>and</w:t>
      </w:r>
      <w:r w:rsidR="0045097B" w:rsidRPr="008D6E5C">
        <w:rPr>
          <w:rFonts w:ascii="Cambria" w:hAnsi="Cambria"/>
          <w:sz w:val="20"/>
          <w:szCs w:val="20"/>
        </w:rPr>
        <w:t xml:space="preserve"> the crime scene. </w:t>
      </w:r>
      <w:r w:rsidR="00FF22CA" w:rsidRPr="008D6E5C">
        <w:rPr>
          <w:rFonts w:ascii="Cambria" w:hAnsi="Cambria"/>
          <w:sz w:val="20"/>
          <w:szCs w:val="20"/>
        </w:rPr>
        <w:t xml:space="preserve">In the corpse inspection certificate there is no indication that the scene of the crime was examined to collect evidence of criminal interest.   </w:t>
      </w:r>
      <w:r w:rsidR="0045097B" w:rsidRPr="008D6E5C">
        <w:rPr>
          <w:rFonts w:ascii="Cambria" w:hAnsi="Cambria"/>
          <w:sz w:val="20"/>
          <w:szCs w:val="20"/>
        </w:rPr>
        <w:t>For example</w:t>
      </w:r>
      <w:r w:rsidRPr="008D6E5C">
        <w:rPr>
          <w:rFonts w:ascii="Cambria" w:hAnsi="Cambria"/>
          <w:sz w:val="20"/>
          <w:szCs w:val="20"/>
        </w:rPr>
        <w:t xml:space="preserve">, </w:t>
      </w:r>
      <w:r w:rsidR="0037235C" w:rsidRPr="008D6E5C">
        <w:rPr>
          <w:rFonts w:ascii="Cambria" w:hAnsi="Cambria"/>
          <w:sz w:val="20"/>
          <w:szCs w:val="20"/>
        </w:rPr>
        <w:t xml:space="preserve">there are no comments about the articles found on Nelson </w:t>
      </w:r>
      <w:proofErr w:type="spellStart"/>
      <w:r w:rsidR="0037235C" w:rsidRPr="008D6E5C">
        <w:rPr>
          <w:rFonts w:ascii="Cambria" w:hAnsi="Cambria"/>
          <w:sz w:val="20"/>
          <w:szCs w:val="20"/>
        </w:rPr>
        <w:t>Carvajal</w:t>
      </w:r>
      <w:proofErr w:type="spellEnd"/>
      <w:r w:rsidR="0037235C" w:rsidRPr="008D6E5C">
        <w:rPr>
          <w:rFonts w:ascii="Cambria" w:hAnsi="Cambria"/>
          <w:sz w:val="20"/>
          <w:szCs w:val="20"/>
        </w:rPr>
        <w:t xml:space="preserve"> and their position in relation to the corpse, and </w:t>
      </w:r>
      <w:r w:rsidR="0045097B" w:rsidRPr="008D6E5C">
        <w:rPr>
          <w:rFonts w:ascii="Cambria" w:hAnsi="Cambria"/>
          <w:sz w:val="20"/>
          <w:szCs w:val="20"/>
        </w:rPr>
        <w:t>there is no indication that they examined the site to collect and preserve all of the blood, hair, fiber and thread, or fingerprint samples. Nor is there any indication that a detailed crime scene sketch drawn to scale was made to record the location of the corpse, the vehicles, surrounding buildings,</w:t>
      </w:r>
      <w:r w:rsidRPr="008D6E5C">
        <w:rPr>
          <w:rFonts w:ascii="Cambria" w:hAnsi="Cambria"/>
          <w:sz w:val="20"/>
          <w:szCs w:val="20"/>
        </w:rPr>
        <w:t xml:space="preserve"> </w:t>
      </w:r>
      <w:r w:rsidR="0045097B" w:rsidRPr="008D6E5C">
        <w:rPr>
          <w:rFonts w:ascii="Cambria" w:hAnsi="Cambria"/>
          <w:sz w:val="20"/>
          <w:szCs w:val="20"/>
        </w:rPr>
        <w:t>and items found at the scene</w:t>
      </w:r>
      <w:r w:rsidRPr="008D6E5C">
        <w:rPr>
          <w:rFonts w:ascii="Cambria" w:hAnsi="Cambria"/>
          <w:sz w:val="20"/>
          <w:szCs w:val="20"/>
        </w:rPr>
        <w:t xml:space="preserve">. </w:t>
      </w:r>
      <w:r w:rsidR="0045097B" w:rsidRPr="008D6E5C">
        <w:rPr>
          <w:rFonts w:ascii="Cambria" w:hAnsi="Cambria"/>
          <w:sz w:val="20"/>
          <w:szCs w:val="20"/>
        </w:rPr>
        <w:t>C</w:t>
      </w:r>
      <w:r w:rsidR="001766CB" w:rsidRPr="008D6E5C">
        <w:rPr>
          <w:rFonts w:ascii="Cambria" w:hAnsi="Cambria"/>
          <w:sz w:val="20"/>
          <w:szCs w:val="20"/>
        </w:rPr>
        <w:t>orpse inspection certificate</w:t>
      </w:r>
      <w:r w:rsidRPr="008D6E5C">
        <w:rPr>
          <w:rFonts w:ascii="Cambria" w:hAnsi="Cambria"/>
          <w:sz w:val="20"/>
          <w:szCs w:val="20"/>
        </w:rPr>
        <w:t xml:space="preserve"> No. 042</w:t>
      </w:r>
      <w:r w:rsidR="0045097B" w:rsidRPr="008D6E5C">
        <w:rPr>
          <w:rFonts w:ascii="Cambria" w:hAnsi="Cambria"/>
          <w:sz w:val="20"/>
          <w:szCs w:val="20"/>
        </w:rPr>
        <w:t xml:space="preserve"> contains no record of the veh</w:t>
      </w:r>
      <w:r w:rsidR="0037235C" w:rsidRPr="008D6E5C">
        <w:rPr>
          <w:rFonts w:ascii="Cambria" w:hAnsi="Cambria"/>
          <w:sz w:val="20"/>
          <w:szCs w:val="20"/>
        </w:rPr>
        <w:t>icles located in the area, or if the are</w:t>
      </w:r>
      <w:r w:rsidR="001943F7" w:rsidRPr="008D6E5C">
        <w:rPr>
          <w:rFonts w:ascii="Cambria" w:hAnsi="Cambria"/>
          <w:sz w:val="20"/>
          <w:szCs w:val="20"/>
        </w:rPr>
        <w:t>a</w:t>
      </w:r>
      <w:r w:rsidR="0037235C" w:rsidRPr="008D6E5C">
        <w:rPr>
          <w:rFonts w:ascii="Cambria" w:hAnsi="Cambria"/>
          <w:sz w:val="20"/>
          <w:szCs w:val="20"/>
        </w:rPr>
        <w:t xml:space="preserve"> was protected for this purpose</w:t>
      </w:r>
      <w:r w:rsidR="0045097B" w:rsidRPr="008D6E5C">
        <w:rPr>
          <w:rFonts w:ascii="Cambria" w:hAnsi="Cambria"/>
          <w:sz w:val="20"/>
          <w:szCs w:val="20"/>
        </w:rPr>
        <w:t xml:space="preserve">. </w:t>
      </w:r>
    </w:p>
    <w:p w:rsidR="002A1E7B" w:rsidRPr="008D6E5C" w:rsidRDefault="002A1E7B" w:rsidP="001520DB">
      <w:pPr>
        <w:pStyle w:val="ListParagraph"/>
        <w:rPr>
          <w:sz w:val="20"/>
          <w:szCs w:val="20"/>
        </w:rPr>
      </w:pPr>
    </w:p>
    <w:p w:rsidR="002030B8" w:rsidRPr="008D6E5C" w:rsidRDefault="002A1E7B"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T</w:t>
      </w:r>
      <w:r w:rsidR="00591A83" w:rsidRPr="008D6E5C">
        <w:rPr>
          <w:rFonts w:ascii="Cambria" w:hAnsi="Cambria"/>
          <w:sz w:val="20"/>
          <w:szCs w:val="20"/>
        </w:rPr>
        <w:t xml:space="preserve">he Commission </w:t>
      </w:r>
      <w:r w:rsidRPr="008D6E5C">
        <w:rPr>
          <w:rFonts w:ascii="Cambria" w:hAnsi="Cambria"/>
          <w:sz w:val="20"/>
          <w:szCs w:val="20"/>
        </w:rPr>
        <w:t xml:space="preserve">also </w:t>
      </w:r>
      <w:r w:rsidR="00591A83" w:rsidRPr="008D6E5C">
        <w:rPr>
          <w:rFonts w:ascii="Cambria" w:hAnsi="Cambria"/>
          <w:sz w:val="20"/>
          <w:szCs w:val="20"/>
        </w:rPr>
        <w:t>notes</w:t>
      </w:r>
      <w:r w:rsidR="0045097B" w:rsidRPr="008D6E5C">
        <w:rPr>
          <w:rFonts w:ascii="Cambria" w:hAnsi="Cambria"/>
          <w:sz w:val="20"/>
          <w:szCs w:val="20"/>
        </w:rPr>
        <w:t xml:space="preserve"> that from the crime scene </w:t>
      </w:r>
      <w:r w:rsidRPr="008D6E5C">
        <w:rPr>
          <w:rFonts w:ascii="Cambria" w:hAnsi="Cambria"/>
          <w:sz w:val="20"/>
          <w:szCs w:val="20"/>
        </w:rPr>
        <w:t>the authorities collected</w:t>
      </w:r>
      <w:r w:rsidR="00FC5DC8" w:rsidRPr="008D6E5C">
        <w:rPr>
          <w:rFonts w:ascii="Cambria" w:hAnsi="Cambria"/>
          <w:sz w:val="20"/>
          <w:szCs w:val="20"/>
        </w:rPr>
        <w:t xml:space="preserve"> “1</w:t>
      </w:r>
      <w:r w:rsidR="0045097B" w:rsidRPr="008D6E5C">
        <w:rPr>
          <w:rFonts w:ascii="Cambria" w:hAnsi="Cambria" w:cs="Arial"/>
          <w:color w:val="000000"/>
          <w:sz w:val="20"/>
          <w:szCs w:val="20"/>
        </w:rPr>
        <w:t xml:space="preserve"> bullet nose and 6 shell casings around the body</w:t>
      </w:r>
      <w:r w:rsidR="00FC5DC8" w:rsidRPr="008D6E5C">
        <w:rPr>
          <w:rFonts w:ascii="Cambria" w:hAnsi="Cambria"/>
          <w:sz w:val="20"/>
          <w:szCs w:val="20"/>
        </w:rPr>
        <w:t xml:space="preserve">” </w:t>
      </w:r>
      <w:r w:rsidR="0045097B" w:rsidRPr="008D6E5C">
        <w:rPr>
          <w:rFonts w:ascii="Cambria" w:hAnsi="Cambria"/>
          <w:sz w:val="20"/>
          <w:szCs w:val="20"/>
        </w:rPr>
        <w:t>of</w:t>
      </w:r>
      <w:r w:rsidR="00FC5DC8" w:rsidRPr="008D6E5C">
        <w:rPr>
          <w:rFonts w:ascii="Cambria" w:hAnsi="Cambria"/>
          <w:sz w:val="20"/>
          <w:szCs w:val="20"/>
        </w:rPr>
        <w:t xml:space="preserve"> 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45097B" w:rsidRPr="008D6E5C">
        <w:rPr>
          <w:rFonts w:ascii="Cambria" w:hAnsi="Cambria"/>
          <w:sz w:val="20"/>
          <w:szCs w:val="20"/>
        </w:rPr>
        <w:t>This material was not submitted for ballistic testing</w:t>
      </w:r>
      <w:r w:rsidR="00FC5DC8" w:rsidRPr="008D6E5C">
        <w:rPr>
          <w:rFonts w:ascii="Cambria" w:hAnsi="Cambria"/>
          <w:sz w:val="20"/>
          <w:szCs w:val="20"/>
        </w:rPr>
        <w:t xml:space="preserve">, </w:t>
      </w:r>
      <w:r w:rsidR="0045097B" w:rsidRPr="008D6E5C">
        <w:rPr>
          <w:rFonts w:ascii="Cambria" w:hAnsi="Cambria"/>
          <w:sz w:val="20"/>
          <w:szCs w:val="20"/>
        </w:rPr>
        <w:t xml:space="preserve">according to the report drafted in February </w:t>
      </w:r>
      <w:r w:rsidR="00FC5DC8" w:rsidRPr="008D6E5C">
        <w:rPr>
          <w:rFonts w:ascii="Cambria" w:hAnsi="Cambria"/>
          <w:sz w:val="20"/>
          <w:szCs w:val="20"/>
        </w:rPr>
        <w:t xml:space="preserve">2000 </w:t>
      </w:r>
      <w:r w:rsidR="0045097B" w:rsidRPr="008D6E5C">
        <w:rPr>
          <w:rFonts w:ascii="Cambria" w:hAnsi="Cambria"/>
          <w:sz w:val="20"/>
          <w:szCs w:val="20"/>
        </w:rPr>
        <w:t xml:space="preserve">by the TIU, which states that </w:t>
      </w:r>
      <w:r w:rsidR="00FC5DC8" w:rsidRPr="008D6E5C">
        <w:rPr>
          <w:rFonts w:ascii="Cambria" w:hAnsi="Cambria"/>
          <w:sz w:val="20"/>
          <w:szCs w:val="20"/>
        </w:rPr>
        <w:t>“</w:t>
      </w:r>
      <w:r w:rsidR="0045097B" w:rsidRPr="008D6E5C">
        <w:rPr>
          <w:rFonts w:ascii="Cambria" w:hAnsi="Cambria"/>
          <w:sz w:val="20"/>
          <w:szCs w:val="20"/>
        </w:rPr>
        <w:t xml:space="preserve">no type of shell casings were received for ballistic analysis.” </w:t>
      </w:r>
      <w:r w:rsidR="001766CB" w:rsidRPr="008D6E5C">
        <w:rPr>
          <w:rFonts w:ascii="Cambria" w:hAnsi="Cambria"/>
          <w:sz w:val="20"/>
          <w:szCs w:val="20"/>
        </w:rPr>
        <w:t xml:space="preserve"> </w:t>
      </w:r>
      <w:r w:rsidRPr="008D6E5C">
        <w:rPr>
          <w:rFonts w:ascii="Cambria" w:hAnsi="Cambria"/>
          <w:sz w:val="20"/>
          <w:szCs w:val="20"/>
        </w:rPr>
        <w:t>T</w:t>
      </w:r>
      <w:r w:rsidRPr="008D6E5C">
        <w:rPr>
          <w:rFonts w:ascii="Cambria" w:hAnsi="Cambria"/>
          <w:bCs/>
          <w:sz w:val="20"/>
          <w:szCs w:val="20"/>
        </w:rPr>
        <w:t>here is no indication in the file as to whether these casings were lost or where the evidence was taken.</w:t>
      </w:r>
    </w:p>
    <w:p w:rsidR="002030B8" w:rsidRPr="008D6E5C" w:rsidRDefault="002030B8" w:rsidP="001520DB">
      <w:pPr>
        <w:pStyle w:val="ListParagraph"/>
        <w:tabs>
          <w:tab w:val="left" w:pos="2745"/>
        </w:tabs>
        <w:rPr>
          <w:sz w:val="20"/>
          <w:szCs w:val="20"/>
        </w:rPr>
      </w:pPr>
    </w:p>
    <w:p w:rsidR="00FC5DC8" w:rsidRPr="008D6E5C" w:rsidRDefault="00472C4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 xml:space="preserve">The abovementioned defects and omissions demonstrate a lack of </w:t>
      </w:r>
      <w:r w:rsidR="001766CB" w:rsidRPr="008D6E5C">
        <w:rPr>
          <w:rFonts w:ascii="Cambria" w:hAnsi="Cambria"/>
          <w:sz w:val="20"/>
          <w:szCs w:val="20"/>
        </w:rPr>
        <w:t>due diligence</w:t>
      </w:r>
      <w:r w:rsidRPr="008D6E5C">
        <w:rPr>
          <w:rFonts w:ascii="Cambria" w:hAnsi="Cambria"/>
          <w:sz w:val="20"/>
          <w:szCs w:val="20"/>
        </w:rPr>
        <w:t xml:space="preserve"> on the part of </w:t>
      </w:r>
      <w:r w:rsidR="007A2CDF" w:rsidRPr="008D6E5C">
        <w:rPr>
          <w:rFonts w:ascii="Cambria" w:hAnsi="Cambria"/>
          <w:sz w:val="20"/>
          <w:szCs w:val="20"/>
        </w:rPr>
        <w:t>the State</w:t>
      </w:r>
      <w:r w:rsidR="00FC5DC8" w:rsidRPr="008D6E5C">
        <w:rPr>
          <w:rFonts w:ascii="Cambria" w:hAnsi="Cambria"/>
          <w:sz w:val="20"/>
          <w:szCs w:val="20"/>
        </w:rPr>
        <w:t xml:space="preserve"> </w:t>
      </w:r>
      <w:r w:rsidRPr="008D6E5C">
        <w:rPr>
          <w:rFonts w:ascii="Cambria" w:hAnsi="Cambria"/>
          <w:sz w:val="20"/>
          <w:szCs w:val="20"/>
        </w:rPr>
        <w:t>in the recovery and preservation of evidence</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Pr="008D6E5C">
        <w:rPr>
          <w:rFonts w:ascii="Cambria" w:hAnsi="Cambria"/>
          <w:sz w:val="20"/>
          <w:szCs w:val="20"/>
        </w:rPr>
        <w:t xml:space="preserve">finds that this could have </w:t>
      </w:r>
      <w:r w:rsidR="00652A42" w:rsidRPr="008D6E5C">
        <w:rPr>
          <w:rFonts w:ascii="Cambria" w:hAnsi="Cambria"/>
          <w:sz w:val="20"/>
          <w:szCs w:val="20"/>
        </w:rPr>
        <w:t xml:space="preserve">contributed to the difficulty in </w:t>
      </w:r>
      <w:r w:rsidRPr="008D6E5C">
        <w:rPr>
          <w:rFonts w:ascii="Cambria" w:hAnsi="Cambria"/>
          <w:sz w:val="20"/>
          <w:szCs w:val="20"/>
        </w:rPr>
        <w:t>determining the truth of the events and identifying and, if appropriate, punishing the perpetrators.</w:t>
      </w:r>
      <w:r w:rsidR="00FC5DC8" w:rsidRPr="008D6E5C">
        <w:rPr>
          <w:rFonts w:ascii="Cambria" w:hAnsi="Cambria"/>
          <w:sz w:val="20"/>
          <w:szCs w:val="20"/>
        </w:rPr>
        <w:t xml:space="preserve"> </w:t>
      </w:r>
    </w:p>
    <w:p w:rsidR="00FC5DC8" w:rsidRPr="008D6E5C" w:rsidRDefault="00FC5DC8" w:rsidP="001520DB">
      <w:pPr>
        <w:pStyle w:val="ListParagraph"/>
        <w:shd w:val="clear" w:color="auto" w:fill="FFFFFF"/>
        <w:jc w:val="both"/>
        <w:rPr>
          <w:bCs/>
          <w:sz w:val="20"/>
          <w:szCs w:val="20"/>
        </w:rPr>
      </w:pPr>
    </w:p>
    <w:p w:rsidR="00FC5DC8" w:rsidRPr="008D6E5C" w:rsidRDefault="00084FF9" w:rsidP="001E4690">
      <w:pPr>
        <w:pStyle w:val="Heading4"/>
        <w:keepNext w:val="0"/>
        <w:keepLines w:val="0"/>
        <w:numPr>
          <w:ilvl w:val="1"/>
          <w:numId w:val="58"/>
        </w:numPr>
        <w:pBdr>
          <w:top w:val="none" w:sz="0" w:space="0" w:color="auto"/>
          <w:left w:val="none" w:sz="0" w:space="0" w:color="auto"/>
          <w:bottom w:val="none" w:sz="0" w:space="0" w:color="auto"/>
          <w:right w:val="none" w:sz="0" w:space="0" w:color="auto"/>
          <w:between w:val="none" w:sz="0" w:space="0" w:color="auto"/>
          <w:bar w:val="none" w:sz="0" w:color="auto"/>
        </w:pBdr>
        <w:tabs>
          <w:tab w:val="clear" w:pos="1800"/>
          <w:tab w:val="left" w:pos="1440"/>
        </w:tabs>
        <w:spacing w:before="0"/>
        <w:ind w:left="1440" w:hanging="720"/>
        <w:rPr>
          <w:szCs w:val="20"/>
        </w:rPr>
      </w:pPr>
      <w:r w:rsidRPr="008D6E5C">
        <w:rPr>
          <w:szCs w:val="20"/>
        </w:rPr>
        <w:t>Lines of investigation</w:t>
      </w:r>
      <w:r w:rsidR="00FC5DC8" w:rsidRPr="008D6E5C">
        <w:rPr>
          <w:szCs w:val="20"/>
        </w:rPr>
        <w:t xml:space="preserve"> </w:t>
      </w:r>
      <w:r w:rsidR="00130C99" w:rsidRPr="008D6E5C">
        <w:rPr>
          <w:szCs w:val="20"/>
        </w:rPr>
        <w:t>and the identification of the perpetrators</w:t>
      </w:r>
      <w:r w:rsidR="00FC5DC8" w:rsidRPr="008D6E5C">
        <w:rPr>
          <w:szCs w:val="20"/>
        </w:rPr>
        <w:t xml:space="preserve"> </w:t>
      </w:r>
    </w:p>
    <w:p w:rsidR="00FC5DC8" w:rsidRPr="008D6E5C" w:rsidRDefault="00FC5DC8" w:rsidP="001520DB">
      <w:pPr>
        <w:pStyle w:val="ListParagraph"/>
        <w:keepNext/>
        <w:widowControl w:val="0"/>
        <w:ind w:left="1080"/>
        <w:rPr>
          <w:bCs/>
          <w:sz w:val="20"/>
          <w:szCs w:val="20"/>
        </w:rPr>
      </w:pPr>
    </w:p>
    <w:p w:rsidR="00FC5DC8" w:rsidRPr="008D6E5C" w:rsidRDefault="009E191A"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complying with their duty to</w:t>
      </w:r>
      <w:r w:rsidR="00FC5DC8" w:rsidRPr="008D6E5C">
        <w:rPr>
          <w:rFonts w:ascii="Cambria" w:hAnsi="Cambria"/>
          <w:bCs/>
          <w:sz w:val="20"/>
          <w:szCs w:val="20"/>
        </w:rPr>
        <w:t xml:space="preserve"> </w:t>
      </w:r>
      <w:r w:rsidRPr="008D6E5C">
        <w:rPr>
          <w:rFonts w:ascii="Cambria" w:hAnsi="Cambria"/>
          <w:bCs/>
          <w:sz w:val="20"/>
          <w:szCs w:val="20"/>
        </w:rPr>
        <w:t>investigate and prosecute</w:t>
      </w:r>
      <w:r w:rsidR="00FC5DC8" w:rsidRPr="008D6E5C">
        <w:rPr>
          <w:rFonts w:ascii="Cambria" w:hAnsi="Cambria"/>
          <w:bCs/>
          <w:sz w:val="20"/>
          <w:szCs w:val="20"/>
        </w:rPr>
        <w:t xml:space="preserve"> </w:t>
      </w:r>
      <w:r w:rsidRPr="008D6E5C">
        <w:rPr>
          <w:rFonts w:ascii="Cambria" w:hAnsi="Cambria"/>
          <w:bCs/>
          <w:sz w:val="20"/>
          <w:szCs w:val="20"/>
        </w:rPr>
        <w:t xml:space="preserve">all perpetrators of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w:t>
      </w:r>
      <w:r w:rsidRPr="008D6E5C">
        <w:rPr>
          <w:rFonts w:ascii="Cambria" w:hAnsi="Cambria"/>
          <w:bCs/>
          <w:sz w:val="20"/>
          <w:szCs w:val="20"/>
        </w:rPr>
        <w:t>States must act with</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00084FF9" w:rsidRPr="008D6E5C">
        <w:rPr>
          <w:rFonts w:ascii="Cambria" w:hAnsi="Cambria"/>
          <w:bCs/>
          <w:sz w:val="20"/>
          <w:szCs w:val="20"/>
        </w:rPr>
        <w:t>and exhaust the lines of i</w:t>
      </w:r>
      <w:r w:rsidRPr="008D6E5C">
        <w:rPr>
          <w:rFonts w:ascii="Cambria" w:hAnsi="Cambria"/>
          <w:bCs/>
          <w:sz w:val="20"/>
          <w:szCs w:val="20"/>
        </w:rPr>
        <w:t>nquiry</w:t>
      </w:r>
      <w:r w:rsidR="00FC5DC8" w:rsidRPr="008D6E5C">
        <w:rPr>
          <w:rFonts w:ascii="Cambria" w:hAnsi="Cambria"/>
          <w:bCs/>
          <w:sz w:val="20"/>
          <w:szCs w:val="20"/>
        </w:rPr>
        <w:t xml:space="preserve"> </w:t>
      </w:r>
      <w:r w:rsidR="00084FF9" w:rsidRPr="008D6E5C">
        <w:rPr>
          <w:rFonts w:ascii="Cambria" w:hAnsi="Cambria"/>
          <w:bCs/>
          <w:sz w:val="20"/>
          <w:szCs w:val="20"/>
        </w:rPr>
        <w:t>related to</w:t>
      </w:r>
      <w:r w:rsidR="00FC5DC8" w:rsidRPr="008D6E5C">
        <w:rPr>
          <w:rFonts w:ascii="Cambria" w:hAnsi="Cambria"/>
          <w:bCs/>
          <w:sz w:val="20"/>
          <w:szCs w:val="20"/>
        </w:rPr>
        <w:t xml:space="preserve"> </w:t>
      </w:r>
      <w:r w:rsidR="00084FF9" w:rsidRPr="008D6E5C">
        <w:rPr>
          <w:rFonts w:ascii="Cambria" w:hAnsi="Cambria"/>
          <w:bCs/>
          <w:sz w:val="20"/>
          <w:szCs w:val="20"/>
        </w:rPr>
        <w:t>the victim’s practice of journalism</w:t>
      </w:r>
      <w:r w:rsidR="00FC5DC8" w:rsidRPr="008D6E5C">
        <w:rPr>
          <w:rFonts w:ascii="Cambria" w:hAnsi="Cambria"/>
          <w:bCs/>
          <w:sz w:val="20"/>
          <w:szCs w:val="20"/>
        </w:rPr>
        <w:t xml:space="preserve">. </w:t>
      </w:r>
      <w:r w:rsidR="00084FF9" w:rsidRPr="008D6E5C">
        <w:rPr>
          <w:rFonts w:ascii="Cambria" w:hAnsi="Cambria"/>
          <w:bCs/>
          <w:sz w:val="20"/>
          <w:szCs w:val="20"/>
        </w:rPr>
        <w:t>In this respect</w:t>
      </w:r>
      <w:r w:rsidR="00FC5DC8" w:rsidRPr="008D6E5C">
        <w:rPr>
          <w:rFonts w:ascii="Cambria" w:hAnsi="Cambria"/>
          <w:bCs/>
          <w:sz w:val="20"/>
          <w:szCs w:val="20"/>
        </w:rPr>
        <w:t xml:space="preserve">, </w:t>
      </w:r>
      <w:r w:rsidR="004B0168" w:rsidRPr="008D6E5C">
        <w:rPr>
          <w:rFonts w:ascii="Cambria" w:hAnsi="Cambria"/>
          <w:bCs/>
          <w:sz w:val="20"/>
          <w:szCs w:val="20"/>
        </w:rPr>
        <w:t>the Inter-American Court</w:t>
      </w:r>
      <w:r w:rsidR="00FC5DC8" w:rsidRPr="008D6E5C">
        <w:rPr>
          <w:rFonts w:ascii="Cambria" w:hAnsi="Cambria"/>
          <w:bCs/>
          <w:sz w:val="20"/>
          <w:szCs w:val="20"/>
        </w:rPr>
        <w:t xml:space="preserve"> ha</w:t>
      </w:r>
      <w:r w:rsidRPr="008D6E5C">
        <w:rPr>
          <w:rFonts w:ascii="Cambria" w:hAnsi="Cambria"/>
          <w:bCs/>
          <w:sz w:val="20"/>
          <w:szCs w:val="20"/>
        </w:rPr>
        <w:t xml:space="preserve">s underscored that the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requirement means that the criminal investigations must exhaust all logical lines of investigation</w:t>
      </w:r>
      <w:r w:rsidR="001766CB" w:rsidRPr="008D6E5C">
        <w:rPr>
          <w:rFonts w:ascii="Cambria" w:hAnsi="Cambria"/>
          <w:bCs/>
          <w:sz w:val="20"/>
          <w:szCs w:val="20"/>
        </w:rPr>
        <w:t>. I</w:t>
      </w:r>
      <w:r w:rsidR="00FC5DC8" w:rsidRPr="008D6E5C">
        <w:rPr>
          <w:rFonts w:ascii="Cambria" w:hAnsi="Cambria"/>
          <w:bCs/>
          <w:sz w:val="20"/>
          <w:szCs w:val="20"/>
        </w:rPr>
        <w:t>n particular,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sz w:val="20"/>
          <w:szCs w:val="20"/>
        </w:rPr>
        <w:t>demands that the investigations conducted by</w:t>
      </w:r>
      <w:r w:rsidRPr="008D6E5C">
        <w:rPr>
          <w:rFonts w:ascii="Cambria" w:hAnsi="Cambria"/>
          <w:bCs/>
          <w:sz w:val="20"/>
          <w:szCs w:val="20"/>
        </w:rPr>
        <w:t xml:space="preserve"> the State take account of “the complexity of the facts, the context in which they occurred, and the systematic patterns that explain why the events occurred,” ensuring that there are no “omissions in gathering evidence or in the development of logical lines of investigation</w:t>
      </w:r>
      <w:r w:rsidR="001766CB" w:rsidRPr="008D6E5C">
        <w:rPr>
          <w:rFonts w:ascii="Cambria" w:hAnsi="Cambria"/>
          <w:bCs/>
          <w:sz w:val="20"/>
          <w:szCs w:val="20"/>
        </w:rPr>
        <w:t>.</w:t>
      </w:r>
      <w:r w:rsidR="00FC5DC8" w:rsidRPr="008D6E5C">
        <w:rPr>
          <w:rFonts w:ascii="Cambria" w:hAnsi="Cambria"/>
          <w:bCs/>
          <w:sz w:val="20"/>
          <w:szCs w:val="20"/>
        </w:rPr>
        <w:t>”</w:t>
      </w:r>
      <w:r w:rsidR="00FC5DC8" w:rsidRPr="008D6E5C">
        <w:rPr>
          <w:rFonts w:ascii="Cambria" w:hAnsi="Cambria"/>
          <w:bCs/>
          <w:sz w:val="20"/>
          <w:szCs w:val="20"/>
          <w:vertAlign w:val="superscript"/>
        </w:rPr>
        <w:footnoteReference w:id="154"/>
      </w:r>
      <w:r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9E191A"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Indeed</w:t>
      </w:r>
      <w:r w:rsidR="00FC5DC8" w:rsidRPr="008D6E5C">
        <w:rPr>
          <w:rFonts w:ascii="Cambria" w:hAnsi="Cambria"/>
          <w:bCs/>
          <w:sz w:val="20"/>
          <w:szCs w:val="20"/>
        </w:rPr>
        <w:t xml:space="preserve">, </w:t>
      </w:r>
      <w:r w:rsidRPr="008D6E5C">
        <w:rPr>
          <w:rFonts w:ascii="Cambria" w:hAnsi="Cambria"/>
          <w:bCs/>
          <w:sz w:val="20"/>
          <w:szCs w:val="20"/>
        </w:rPr>
        <w:t>the obligation to conduct</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with</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and exhaust all logical lines of investigation is particularly relevant in cases involving</w:t>
      </w:r>
      <w:r w:rsidR="00FC5DC8" w:rsidRPr="008D6E5C">
        <w:rPr>
          <w:rFonts w:ascii="Cambria" w:hAnsi="Cambria"/>
          <w:bCs/>
          <w:sz w:val="20"/>
          <w:szCs w:val="20"/>
        </w:rPr>
        <w:t xml:space="preserve">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w:t>
      </w:r>
      <w:r w:rsidRPr="008D6E5C">
        <w:rPr>
          <w:rFonts w:ascii="Cambria" w:hAnsi="Cambria"/>
          <w:bCs/>
          <w:sz w:val="20"/>
          <w:szCs w:val="20"/>
        </w:rPr>
        <w:t xml:space="preserve">given that an investigation that fails to consider the context, </w:t>
      </w:r>
      <w:r w:rsidR="00073A29" w:rsidRPr="008D6E5C">
        <w:rPr>
          <w:rFonts w:ascii="Cambria" w:hAnsi="Cambria"/>
          <w:bCs/>
          <w:sz w:val="20"/>
          <w:szCs w:val="20"/>
        </w:rPr>
        <w:t>including</w:t>
      </w:r>
      <w:r w:rsidRPr="008D6E5C">
        <w:rPr>
          <w:rFonts w:ascii="Cambria" w:hAnsi="Cambria"/>
          <w:bCs/>
          <w:sz w:val="20"/>
          <w:szCs w:val="20"/>
        </w:rPr>
        <w:t xml:space="preserve"> the professional activity of the journalist, will be less likely to obtain results and </w:t>
      </w:r>
      <w:r w:rsidR="00073A29" w:rsidRPr="008D6E5C">
        <w:rPr>
          <w:rFonts w:ascii="Cambria" w:hAnsi="Cambria"/>
          <w:bCs/>
          <w:sz w:val="20"/>
          <w:szCs w:val="20"/>
        </w:rPr>
        <w:t xml:space="preserve">will </w:t>
      </w:r>
      <w:r w:rsidRPr="008D6E5C">
        <w:rPr>
          <w:rFonts w:ascii="Cambria" w:hAnsi="Cambria"/>
          <w:bCs/>
          <w:sz w:val="20"/>
          <w:szCs w:val="20"/>
        </w:rPr>
        <w:t>probably raise doubts about the authorities’ willingness to solve the crime</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55"/>
      </w:r>
      <w:r w:rsidR="00FC5DC8" w:rsidRPr="008D6E5C">
        <w:rPr>
          <w:rFonts w:ascii="Cambria" w:hAnsi="Cambria"/>
          <w:bCs/>
          <w:sz w:val="20"/>
          <w:szCs w:val="20"/>
        </w:rPr>
        <w:t xml:space="preserve"> </w:t>
      </w:r>
      <w:r w:rsidRPr="008D6E5C">
        <w:rPr>
          <w:rFonts w:ascii="Cambria" w:hAnsi="Cambria"/>
          <w:bCs/>
          <w:sz w:val="20"/>
          <w:szCs w:val="20"/>
        </w:rPr>
        <w:t>In this regard</w:t>
      </w:r>
      <w:r w:rsidR="00FC5DC8" w:rsidRPr="008D6E5C">
        <w:rPr>
          <w:rFonts w:ascii="Cambria" w:hAnsi="Cambria"/>
          <w:bCs/>
          <w:sz w:val="20"/>
          <w:szCs w:val="20"/>
        </w:rPr>
        <w:t xml:space="preserve">, </w:t>
      </w:r>
      <w:r w:rsidR="004B0168" w:rsidRPr="008D6E5C">
        <w:rPr>
          <w:rFonts w:ascii="Cambria" w:hAnsi="Cambria"/>
          <w:bCs/>
          <w:sz w:val="20"/>
          <w:szCs w:val="20"/>
        </w:rPr>
        <w:t>the Inter-American Court</w:t>
      </w:r>
      <w:r w:rsidR="00FC5DC8" w:rsidRPr="008D6E5C">
        <w:rPr>
          <w:rFonts w:ascii="Cambria" w:hAnsi="Cambria"/>
          <w:bCs/>
          <w:sz w:val="20"/>
          <w:szCs w:val="20"/>
        </w:rPr>
        <w:t xml:space="preserve"> ha</w:t>
      </w:r>
      <w:r w:rsidRPr="008D6E5C">
        <w:rPr>
          <w:rFonts w:ascii="Cambria" w:hAnsi="Cambria"/>
          <w:bCs/>
          <w:sz w:val="20"/>
          <w:szCs w:val="20"/>
        </w:rPr>
        <w:t xml:space="preserve">s stressed the importance of exhausting the logical lines of investigation relating to the professional practice of journalists who </w:t>
      </w:r>
      <w:r w:rsidR="00073A29" w:rsidRPr="008D6E5C">
        <w:rPr>
          <w:rFonts w:ascii="Cambria" w:hAnsi="Cambria"/>
          <w:bCs/>
          <w:sz w:val="20"/>
          <w:szCs w:val="20"/>
        </w:rPr>
        <w:t>have been the</w:t>
      </w:r>
      <w:r w:rsidRPr="008D6E5C">
        <w:rPr>
          <w:rFonts w:ascii="Cambria" w:hAnsi="Cambria"/>
          <w:bCs/>
          <w:sz w:val="20"/>
          <w:szCs w:val="20"/>
        </w:rPr>
        <w:t xml:space="preserve"> victims of violence</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56"/>
      </w:r>
    </w:p>
    <w:p w:rsidR="00FC5DC8" w:rsidRPr="008D6E5C" w:rsidRDefault="00FC5DC8" w:rsidP="001520DB">
      <w:pPr>
        <w:jc w:val="both"/>
        <w:rPr>
          <w:rFonts w:ascii="Cambria" w:hAnsi="Cambria"/>
          <w:sz w:val="20"/>
          <w:szCs w:val="20"/>
        </w:rPr>
      </w:pPr>
    </w:p>
    <w:p w:rsidR="00FC5DC8" w:rsidRPr="008D6E5C" w:rsidRDefault="00D6336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With respect to this</w:t>
      </w:r>
      <w:r w:rsidR="00FC5DC8" w:rsidRPr="008D6E5C">
        <w:rPr>
          <w:rFonts w:ascii="Cambria" w:hAnsi="Cambria"/>
          <w:bCs/>
          <w:sz w:val="20"/>
          <w:szCs w:val="20"/>
        </w:rPr>
        <w:t xml:space="preserve"> </w:t>
      </w:r>
      <w:r w:rsidR="00084FF9" w:rsidRPr="008D6E5C">
        <w:rPr>
          <w:rFonts w:ascii="Cambria" w:hAnsi="Cambria"/>
          <w:bCs/>
          <w:sz w:val="20"/>
          <w:szCs w:val="20"/>
        </w:rPr>
        <w:t>duty to exhaust the lines of investigation related to the practice of journalism</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Pr="008D6E5C">
        <w:rPr>
          <w:rFonts w:ascii="Cambria" w:hAnsi="Cambria"/>
          <w:bCs/>
          <w:sz w:val="20"/>
          <w:szCs w:val="20"/>
        </w:rPr>
        <w:t>acknowledges that, from the beginning of</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took steps to investigate the relationship between</w:t>
      </w:r>
      <w:r w:rsidR="00FC5DC8" w:rsidRPr="008D6E5C">
        <w:rPr>
          <w:rFonts w:ascii="Cambria" w:hAnsi="Cambria"/>
          <w:bCs/>
          <w:sz w:val="20"/>
          <w:szCs w:val="20"/>
        </w:rPr>
        <w:t xml:space="preserve"> 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Pr="008D6E5C">
        <w:rPr>
          <w:rFonts w:ascii="Cambria" w:hAnsi="Cambria"/>
          <w:bCs/>
          <w:sz w:val="20"/>
          <w:szCs w:val="20"/>
        </w:rPr>
        <w:t>’s</w:t>
      </w:r>
      <w:proofErr w:type="spellEnd"/>
      <w:r w:rsidRPr="008D6E5C">
        <w:rPr>
          <w:rFonts w:ascii="Cambria" w:hAnsi="Cambria"/>
          <w:bCs/>
          <w:sz w:val="20"/>
          <w:szCs w:val="20"/>
        </w:rPr>
        <w:t xml:space="preserve"> murder and his work</w:t>
      </w:r>
      <w:r w:rsidR="00FC5DC8" w:rsidRPr="008D6E5C">
        <w:rPr>
          <w:rFonts w:ascii="Cambria" w:hAnsi="Cambria"/>
          <w:sz w:val="20"/>
          <w:szCs w:val="20"/>
        </w:rPr>
        <w:t xml:space="preserve">. </w:t>
      </w:r>
      <w:r w:rsidRPr="008D6E5C">
        <w:rPr>
          <w:rFonts w:ascii="Cambria" w:hAnsi="Cambria"/>
          <w:sz w:val="20"/>
          <w:szCs w:val="20"/>
        </w:rPr>
        <w:t>As discussed previously,</w:t>
      </w:r>
      <w:r w:rsidR="00FC5DC8" w:rsidRPr="008D6E5C">
        <w:rPr>
          <w:rFonts w:ascii="Cambria" w:hAnsi="Cambria"/>
          <w:sz w:val="20"/>
          <w:szCs w:val="20"/>
        </w:rPr>
        <w:t xml:space="preserve"> </w:t>
      </w:r>
      <w:r w:rsidRPr="008D6E5C">
        <w:rPr>
          <w:rFonts w:ascii="Cambria" w:hAnsi="Cambria"/>
          <w:sz w:val="20"/>
          <w:szCs w:val="20"/>
        </w:rPr>
        <w:t xml:space="preserve">the Prosecutor’s Office worked </w:t>
      </w:r>
      <w:r w:rsidR="003039B6" w:rsidRPr="008D6E5C">
        <w:rPr>
          <w:rFonts w:ascii="Cambria" w:hAnsi="Cambria"/>
          <w:sz w:val="20"/>
          <w:szCs w:val="20"/>
        </w:rPr>
        <w:t>this</w:t>
      </w:r>
      <w:r w:rsidRPr="008D6E5C">
        <w:rPr>
          <w:rFonts w:ascii="Cambria" w:hAnsi="Cambria"/>
          <w:sz w:val="20"/>
          <w:szCs w:val="20"/>
        </w:rPr>
        <w:t xml:space="preserve"> </w:t>
      </w:r>
      <w:r w:rsidR="003039B6" w:rsidRPr="008D6E5C">
        <w:rPr>
          <w:rFonts w:ascii="Cambria" w:hAnsi="Cambria"/>
          <w:sz w:val="20"/>
          <w:szCs w:val="20"/>
        </w:rPr>
        <w:t>line</w:t>
      </w:r>
      <w:r w:rsidRPr="008D6E5C">
        <w:rPr>
          <w:rFonts w:ascii="Cambria" w:hAnsi="Cambria"/>
          <w:sz w:val="20"/>
          <w:szCs w:val="20"/>
        </w:rPr>
        <w:t xml:space="preserve"> of investigation </w:t>
      </w:r>
      <w:r w:rsidR="003039B6" w:rsidRPr="008D6E5C">
        <w:rPr>
          <w:rFonts w:ascii="Cambria" w:hAnsi="Cambria"/>
          <w:sz w:val="20"/>
          <w:szCs w:val="20"/>
        </w:rPr>
        <w:t>as the sole logical theory for</w:t>
      </w:r>
      <w:r w:rsidRPr="008D6E5C">
        <w:rPr>
          <w:rFonts w:ascii="Cambria" w:hAnsi="Cambria"/>
          <w:sz w:val="20"/>
          <w:szCs w:val="20"/>
        </w:rPr>
        <w:t xml:space="preserve"> the journalist’s mu</w:t>
      </w:r>
      <w:r w:rsidR="003039B6" w:rsidRPr="008D6E5C">
        <w:rPr>
          <w:rFonts w:ascii="Cambria" w:hAnsi="Cambria"/>
          <w:sz w:val="20"/>
          <w:szCs w:val="20"/>
        </w:rPr>
        <w:t xml:space="preserve">rder </w:t>
      </w:r>
      <w:r w:rsidRPr="008D6E5C">
        <w:rPr>
          <w:rFonts w:ascii="Cambria" w:hAnsi="Cambria"/>
          <w:sz w:val="20"/>
          <w:szCs w:val="20"/>
        </w:rPr>
        <w:t>and</w:t>
      </w:r>
      <w:r w:rsidR="003039B6" w:rsidRPr="008D6E5C">
        <w:rPr>
          <w:rFonts w:ascii="Cambria" w:hAnsi="Cambria"/>
          <w:sz w:val="20"/>
          <w:szCs w:val="20"/>
        </w:rPr>
        <w:t>,</w:t>
      </w:r>
      <w:r w:rsidRPr="008D6E5C">
        <w:rPr>
          <w:rFonts w:ascii="Cambria" w:hAnsi="Cambria"/>
          <w:sz w:val="20"/>
          <w:szCs w:val="20"/>
        </w:rPr>
        <w:t xml:space="preserve"> in accordance with the law</w:t>
      </w:r>
      <w:r w:rsidR="003039B6" w:rsidRPr="008D6E5C">
        <w:rPr>
          <w:rFonts w:ascii="Cambria" w:hAnsi="Cambria"/>
          <w:sz w:val="20"/>
          <w:szCs w:val="20"/>
        </w:rPr>
        <w:t>,</w:t>
      </w:r>
      <w:r w:rsidRPr="008D6E5C">
        <w:rPr>
          <w:rFonts w:ascii="Cambria" w:hAnsi="Cambria"/>
          <w:sz w:val="20"/>
          <w:szCs w:val="20"/>
        </w:rPr>
        <w:t xml:space="preserve"> transferred the investigation to </w:t>
      </w:r>
      <w:r w:rsidR="001E2473" w:rsidRPr="008D6E5C">
        <w:rPr>
          <w:rFonts w:ascii="Cambria" w:hAnsi="Cambria"/>
          <w:bCs/>
          <w:sz w:val="20"/>
          <w:szCs w:val="20"/>
        </w:rPr>
        <w:t>the Regional Prosecutor’s Office</w:t>
      </w:r>
      <w:r w:rsidR="00FC5DC8" w:rsidRPr="008D6E5C">
        <w:rPr>
          <w:rFonts w:ascii="Cambria" w:hAnsi="Cambria"/>
          <w:bCs/>
          <w:sz w:val="20"/>
          <w:szCs w:val="20"/>
        </w:rPr>
        <w:t xml:space="preserve"> </w:t>
      </w:r>
      <w:r w:rsidR="001E2473" w:rsidRPr="008D6E5C">
        <w:rPr>
          <w:rFonts w:ascii="Cambria" w:hAnsi="Cambria"/>
          <w:bCs/>
          <w:sz w:val="20"/>
          <w:szCs w:val="20"/>
        </w:rPr>
        <w:t>in Bogotá</w:t>
      </w:r>
      <w:r w:rsidR="00FC5DC8"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D26D9D"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 xml:space="preserve">It bears repeating that when it is suspected that the act may be attributable to criminal organizations operating with the tolerance or sponsorship of State authorities, or when persons in </w:t>
      </w:r>
      <w:r w:rsidR="002C223F" w:rsidRPr="008D6E5C">
        <w:rPr>
          <w:rFonts w:ascii="Cambria" w:hAnsi="Cambria"/>
          <w:bCs/>
          <w:sz w:val="20"/>
          <w:szCs w:val="20"/>
        </w:rPr>
        <w:t xml:space="preserve">government </w:t>
      </w:r>
      <w:r w:rsidRPr="008D6E5C">
        <w:rPr>
          <w:rFonts w:ascii="Cambria" w:hAnsi="Cambria"/>
          <w:bCs/>
          <w:sz w:val="20"/>
          <w:szCs w:val="20"/>
        </w:rPr>
        <w:t xml:space="preserve">or related to government have attempted to obstruct </w:t>
      </w:r>
      <w:r w:rsidR="001766CB" w:rsidRPr="008D6E5C">
        <w:rPr>
          <w:rFonts w:ascii="Cambria" w:hAnsi="Cambria"/>
          <w:bCs/>
          <w:sz w:val="20"/>
          <w:szCs w:val="20"/>
        </w:rPr>
        <w:t xml:space="preserve">the </w:t>
      </w:r>
      <w:r w:rsidRPr="008D6E5C">
        <w:rPr>
          <w:rFonts w:ascii="Cambria" w:hAnsi="Cambria"/>
          <w:bCs/>
          <w:sz w:val="20"/>
          <w:szCs w:val="20"/>
        </w:rPr>
        <w:t xml:space="preserve">murder </w:t>
      </w:r>
      <w:r w:rsidR="001766CB" w:rsidRPr="008D6E5C">
        <w:rPr>
          <w:rFonts w:ascii="Cambria" w:hAnsi="Cambria"/>
          <w:bCs/>
          <w:sz w:val="20"/>
          <w:szCs w:val="20"/>
        </w:rPr>
        <w:t>investigation</w:t>
      </w:r>
      <w:r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Pr="008D6E5C">
        <w:rPr>
          <w:rFonts w:ascii="Cambria" w:hAnsi="Cambria"/>
          <w:bCs/>
          <w:sz w:val="20"/>
          <w:szCs w:val="20"/>
        </w:rPr>
        <w:t>in the investigations necessarily entails taking account of the patter</w:t>
      </w:r>
      <w:r w:rsidR="00D90185" w:rsidRPr="008D6E5C">
        <w:rPr>
          <w:rFonts w:ascii="Cambria" w:hAnsi="Cambria"/>
          <w:bCs/>
          <w:sz w:val="20"/>
          <w:szCs w:val="20"/>
        </w:rPr>
        <w:t>n</w:t>
      </w:r>
      <w:r w:rsidRPr="008D6E5C">
        <w:rPr>
          <w:rFonts w:ascii="Cambria" w:hAnsi="Cambria"/>
          <w:bCs/>
          <w:sz w:val="20"/>
          <w:szCs w:val="20"/>
        </w:rPr>
        <w:t>s of conduct of these power structures</w:t>
      </w:r>
      <w:r w:rsidR="00D90185" w:rsidRPr="008D6E5C">
        <w:rPr>
          <w:rFonts w:ascii="Cambria" w:hAnsi="Cambria"/>
          <w:bCs/>
          <w:sz w:val="20"/>
          <w:szCs w:val="20"/>
        </w:rPr>
        <w:t>, which,</w:t>
      </w:r>
      <w:r w:rsidRPr="008D6E5C">
        <w:rPr>
          <w:rFonts w:ascii="Cambria" w:hAnsi="Cambria"/>
          <w:bCs/>
          <w:sz w:val="20"/>
          <w:szCs w:val="20"/>
        </w:rPr>
        <w:t xml:space="preserve"> in order to guarantee impunity</w:t>
      </w:r>
      <w:r w:rsidR="00D90185" w:rsidRPr="008D6E5C">
        <w:rPr>
          <w:rFonts w:ascii="Cambria" w:hAnsi="Cambria"/>
          <w:bCs/>
          <w:sz w:val="20"/>
          <w:szCs w:val="20"/>
        </w:rPr>
        <w:t>,</w:t>
      </w:r>
      <w:r w:rsidRPr="008D6E5C">
        <w:rPr>
          <w:rFonts w:ascii="Cambria" w:hAnsi="Cambria"/>
          <w:bCs/>
          <w:sz w:val="20"/>
          <w:szCs w:val="20"/>
        </w:rPr>
        <w:t xml:space="preserve"> generally use outside pressures</w:t>
      </w:r>
      <w:r w:rsidR="00FC5DC8" w:rsidRPr="008D6E5C">
        <w:rPr>
          <w:rFonts w:ascii="Cambria" w:hAnsi="Cambria"/>
          <w:bCs/>
          <w:sz w:val="20"/>
          <w:szCs w:val="20"/>
        </w:rPr>
        <w:t>, at</w:t>
      </w:r>
      <w:r w:rsidRPr="008D6E5C">
        <w:rPr>
          <w:rFonts w:ascii="Cambria" w:hAnsi="Cambria"/>
          <w:bCs/>
          <w:sz w:val="20"/>
          <w:szCs w:val="20"/>
        </w:rPr>
        <w:t>tacks</w:t>
      </w:r>
      <w:r w:rsidR="00FC5DC8" w:rsidRPr="008D6E5C">
        <w:rPr>
          <w:rFonts w:ascii="Cambria" w:hAnsi="Cambria"/>
          <w:bCs/>
          <w:sz w:val="20"/>
          <w:szCs w:val="20"/>
        </w:rPr>
        <w:t xml:space="preserve">, </w:t>
      </w:r>
      <w:r w:rsidR="00EF5F24" w:rsidRPr="008D6E5C">
        <w:rPr>
          <w:rFonts w:ascii="Cambria" w:hAnsi="Cambria"/>
          <w:bCs/>
          <w:sz w:val="20"/>
          <w:szCs w:val="20"/>
        </w:rPr>
        <w:t>threats</w:t>
      </w:r>
      <w:r w:rsidRPr="008D6E5C">
        <w:rPr>
          <w:rFonts w:ascii="Cambria" w:hAnsi="Cambria"/>
          <w:bCs/>
          <w:sz w:val="20"/>
          <w:szCs w:val="20"/>
        </w:rPr>
        <w:t>, and other forms of intimidations against judges, prosecutors,</w:t>
      </w:r>
      <w:r w:rsidR="00FC5DC8" w:rsidRPr="008D6E5C">
        <w:rPr>
          <w:rFonts w:ascii="Cambria" w:hAnsi="Cambria"/>
          <w:bCs/>
          <w:sz w:val="20"/>
          <w:szCs w:val="20"/>
        </w:rPr>
        <w:t xml:space="preserve"> </w:t>
      </w:r>
      <w:r w:rsidR="001000C6" w:rsidRPr="008D6E5C">
        <w:rPr>
          <w:rFonts w:ascii="Cambria" w:hAnsi="Cambria"/>
          <w:bCs/>
          <w:sz w:val="20"/>
          <w:szCs w:val="20"/>
        </w:rPr>
        <w:t>witnesses</w:t>
      </w:r>
      <w:r w:rsidRPr="008D6E5C">
        <w:rPr>
          <w:rFonts w:ascii="Cambria" w:hAnsi="Cambria"/>
          <w:bCs/>
          <w:sz w:val="20"/>
          <w:szCs w:val="20"/>
        </w:rPr>
        <w:t>, and other persons involved in criminal investigations.</w:t>
      </w:r>
      <w:r w:rsidR="001000C6"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D90185"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w:t>
      </w:r>
      <w:r w:rsidR="00DF44C8" w:rsidRPr="008D6E5C">
        <w:rPr>
          <w:rFonts w:ascii="Cambria" w:hAnsi="Cambria"/>
          <w:bCs/>
          <w:sz w:val="20"/>
          <w:szCs w:val="20"/>
        </w:rPr>
        <w:t xml:space="preserve"> Commission</w:t>
      </w:r>
      <w:r w:rsidR="00FC5DC8" w:rsidRPr="008D6E5C">
        <w:rPr>
          <w:rFonts w:ascii="Cambria" w:hAnsi="Cambria"/>
          <w:sz w:val="20"/>
          <w:szCs w:val="20"/>
        </w:rPr>
        <w:t xml:space="preserve"> </w:t>
      </w:r>
      <w:r w:rsidR="001766CB" w:rsidRPr="008D6E5C">
        <w:rPr>
          <w:rFonts w:ascii="Cambria" w:hAnsi="Cambria"/>
          <w:sz w:val="20"/>
          <w:szCs w:val="20"/>
        </w:rPr>
        <w:t>underscores that</w:t>
      </w:r>
      <w:r w:rsidR="0081696D" w:rsidRPr="008D6E5C">
        <w:rPr>
          <w:rFonts w:ascii="Cambria" w:hAnsi="Cambria"/>
          <w:sz w:val="20"/>
          <w:szCs w:val="20"/>
        </w:rPr>
        <w:t xml:space="preserve"> it is clear</w:t>
      </w:r>
      <w:r w:rsidR="00FC5DC8" w:rsidRPr="008D6E5C">
        <w:rPr>
          <w:rFonts w:ascii="Cambria" w:hAnsi="Cambria"/>
          <w:sz w:val="20"/>
          <w:szCs w:val="20"/>
        </w:rPr>
        <w:t xml:space="preserve"> </w:t>
      </w:r>
      <w:r w:rsidRPr="008D6E5C">
        <w:rPr>
          <w:rFonts w:ascii="Cambria" w:hAnsi="Cambria"/>
          <w:sz w:val="20"/>
          <w:szCs w:val="20"/>
        </w:rPr>
        <w:t>from the statements provided and t</w:t>
      </w:r>
      <w:r w:rsidR="0081696D" w:rsidRPr="008D6E5C">
        <w:rPr>
          <w:rFonts w:ascii="Cambria" w:hAnsi="Cambria"/>
          <w:sz w:val="20"/>
          <w:szCs w:val="20"/>
        </w:rPr>
        <w:t>he characteristics of the crime</w:t>
      </w:r>
      <w:r w:rsidRPr="008D6E5C">
        <w:rPr>
          <w:rFonts w:ascii="Cambria" w:hAnsi="Cambria"/>
          <w:sz w:val="20"/>
          <w:szCs w:val="20"/>
        </w:rPr>
        <w:t xml:space="preserve"> that several persons were involved</w:t>
      </w:r>
      <w:r w:rsidR="0081696D" w:rsidRPr="008D6E5C">
        <w:rPr>
          <w:rFonts w:ascii="Cambria" w:hAnsi="Cambria"/>
          <w:sz w:val="20"/>
          <w:szCs w:val="20"/>
        </w:rPr>
        <w:t>,</w:t>
      </w:r>
      <w:r w:rsidRPr="008D6E5C">
        <w:rPr>
          <w:rFonts w:ascii="Cambria" w:hAnsi="Cambria"/>
          <w:sz w:val="20"/>
          <w:szCs w:val="20"/>
        </w:rPr>
        <w:t xml:space="preserve"> not only as </w:t>
      </w:r>
      <w:r w:rsidR="004E7C9B" w:rsidRPr="008D6E5C">
        <w:rPr>
          <w:rFonts w:ascii="Cambria" w:hAnsi="Cambria"/>
          <w:sz w:val="20"/>
          <w:szCs w:val="20"/>
        </w:rPr>
        <w:t>direct perpetrators</w:t>
      </w:r>
      <w:r w:rsidR="00FC5DC8" w:rsidRPr="008D6E5C">
        <w:rPr>
          <w:rFonts w:ascii="Cambria" w:hAnsi="Cambria"/>
          <w:sz w:val="20"/>
          <w:szCs w:val="20"/>
        </w:rPr>
        <w:t xml:space="preserve"> </w:t>
      </w:r>
      <w:r w:rsidRPr="008D6E5C">
        <w:rPr>
          <w:rFonts w:ascii="Cambria" w:hAnsi="Cambria"/>
          <w:sz w:val="20"/>
          <w:szCs w:val="20"/>
        </w:rPr>
        <w:t>and masterminds but also as accessories after the fact</w:t>
      </w:r>
      <w:r w:rsidR="00FC5DC8" w:rsidRPr="008D6E5C">
        <w:rPr>
          <w:rFonts w:ascii="Cambria" w:hAnsi="Cambria"/>
          <w:sz w:val="20"/>
          <w:szCs w:val="20"/>
        </w:rPr>
        <w:t xml:space="preserve">, </w:t>
      </w:r>
      <w:r w:rsidRPr="008D6E5C">
        <w:rPr>
          <w:rFonts w:ascii="Cambria" w:hAnsi="Cambria"/>
          <w:sz w:val="20"/>
          <w:szCs w:val="20"/>
        </w:rPr>
        <w:t xml:space="preserve">through the </w:t>
      </w:r>
      <w:r w:rsidR="0081696D" w:rsidRPr="008D6E5C">
        <w:rPr>
          <w:rFonts w:ascii="Cambria" w:hAnsi="Cambria"/>
          <w:sz w:val="20"/>
          <w:szCs w:val="20"/>
        </w:rPr>
        <w:t>perpetration</w:t>
      </w:r>
      <w:r w:rsidRPr="008D6E5C">
        <w:rPr>
          <w:rFonts w:ascii="Cambria" w:hAnsi="Cambria"/>
          <w:sz w:val="20"/>
          <w:szCs w:val="20"/>
        </w:rPr>
        <w:t xml:space="preserve"> of serious threats </w:t>
      </w:r>
      <w:r w:rsidR="006A781D" w:rsidRPr="008D6E5C">
        <w:rPr>
          <w:rFonts w:ascii="Cambria" w:hAnsi="Cambria"/>
          <w:bCs/>
          <w:sz w:val="20"/>
          <w:szCs w:val="20"/>
        </w:rPr>
        <w:t>on relatives of the victim, witnesses or other persons involved in the quest of finding the truth of the facts.</w:t>
      </w:r>
      <w:r w:rsidR="00FC5DC8" w:rsidRPr="008D6E5C">
        <w:rPr>
          <w:rFonts w:ascii="Cambria" w:hAnsi="Cambria"/>
          <w:sz w:val="20"/>
          <w:szCs w:val="20"/>
        </w:rPr>
        <w:t xml:space="preserve"> </w:t>
      </w:r>
      <w:r w:rsidR="002A1E7B" w:rsidRPr="008D6E5C">
        <w:rPr>
          <w:rFonts w:ascii="Cambria" w:hAnsi="Cambria"/>
          <w:sz w:val="20"/>
          <w:szCs w:val="20"/>
        </w:rPr>
        <w:t>Even more, there is information regarding the murder of a witness</w:t>
      </w:r>
      <w:r w:rsidR="002030B8" w:rsidRPr="008D6E5C">
        <w:rPr>
          <w:rFonts w:ascii="Cambria" w:hAnsi="Cambria"/>
          <w:sz w:val="20"/>
          <w:szCs w:val="20"/>
        </w:rPr>
        <w:t xml:space="preserve"> – Pablo Emilio </w:t>
      </w:r>
      <w:r w:rsidR="009E2E68" w:rsidRPr="008D6E5C">
        <w:rPr>
          <w:rFonts w:ascii="Cambria" w:hAnsi="Cambria"/>
          <w:sz w:val="20"/>
          <w:szCs w:val="20"/>
        </w:rPr>
        <w:t xml:space="preserve">Bonilla </w:t>
      </w:r>
      <w:proofErr w:type="spellStart"/>
      <w:r w:rsidR="002030B8" w:rsidRPr="008D6E5C">
        <w:rPr>
          <w:rFonts w:ascii="Cambria" w:hAnsi="Cambria"/>
          <w:sz w:val="20"/>
          <w:szCs w:val="20"/>
        </w:rPr>
        <w:t>Betancur</w:t>
      </w:r>
      <w:r w:rsidR="009E2E68" w:rsidRPr="008D6E5C">
        <w:rPr>
          <w:rFonts w:ascii="Cambria" w:hAnsi="Cambria"/>
          <w:sz w:val="20"/>
          <w:szCs w:val="20"/>
        </w:rPr>
        <w:t>t</w:t>
      </w:r>
      <w:proofErr w:type="spellEnd"/>
      <w:r w:rsidR="002030B8" w:rsidRPr="008D6E5C">
        <w:rPr>
          <w:rFonts w:ascii="Cambria" w:hAnsi="Cambria"/>
          <w:sz w:val="20"/>
          <w:szCs w:val="20"/>
        </w:rPr>
        <w:t xml:space="preserve"> </w:t>
      </w:r>
      <w:proofErr w:type="gramStart"/>
      <w:r w:rsidR="002030B8" w:rsidRPr="008D6E5C">
        <w:rPr>
          <w:rFonts w:ascii="Cambria" w:hAnsi="Cambria"/>
          <w:sz w:val="20"/>
          <w:szCs w:val="20"/>
        </w:rPr>
        <w:t xml:space="preserve">– </w:t>
      </w:r>
      <w:r w:rsidR="002A1E7B" w:rsidRPr="008D6E5C">
        <w:rPr>
          <w:rFonts w:ascii="Cambria" w:hAnsi="Cambria"/>
          <w:sz w:val="20"/>
          <w:szCs w:val="20"/>
        </w:rPr>
        <w:t xml:space="preserve"> that</w:t>
      </w:r>
      <w:proofErr w:type="gramEnd"/>
      <w:r w:rsidR="002A1E7B" w:rsidRPr="008D6E5C">
        <w:rPr>
          <w:rFonts w:ascii="Cambria" w:hAnsi="Cambria"/>
          <w:sz w:val="20"/>
          <w:szCs w:val="20"/>
        </w:rPr>
        <w:t xml:space="preserve"> could be related to </w:t>
      </w:r>
      <w:r w:rsidR="00E01A7C" w:rsidRPr="008D6E5C">
        <w:rPr>
          <w:rFonts w:ascii="Cambria" w:hAnsi="Cambria"/>
          <w:sz w:val="20"/>
          <w:szCs w:val="20"/>
        </w:rPr>
        <w:t>his</w:t>
      </w:r>
      <w:r w:rsidR="002A1E7B" w:rsidRPr="008D6E5C">
        <w:rPr>
          <w:rFonts w:ascii="Cambria" w:hAnsi="Cambria"/>
          <w:sz w:val="20"/>
          <w:szCs w:val="20"/>
        </w:rPr>
        <w:t xml:space="preserve"> participation in the reopening of the investigation of the killing of Nelson </w:t>
      </w:r>
      <w:proofErr w:type="spellStart"/>
      <w:r w:rsidR="002A1E7B" w:rsidRPr="008D6E5C">
        <w:rPr>
          <w:rFonts w:ascii="Cambria" w:hAnsi="Cambria"/>
          <w:sz w:val="20"/>
          <w:szCs w:val="20"/>
        </w:rPr>
        <w:t>Carvajal</w:t>
      </w:r>
      <w:proofErr w:type="spellEnd"/>
      <w:r w:rsidR="002A1E7B" w:rsidRPr="008D6E5C">
        <w:rPr>
          <w:rFonts w:ascii="Cambria" w:hAnsi="Cambria"/>
          <w:sz w:val="20"/>
          <w:szCs w:val="20"/>
        </w:rPr>
        <w:t xml:space="preserve"> </w:t>
      </w:r>
      <w:proofErr w:type="spellStart"/>
      <w:r w:rsidR="002A1E7B" w:rsidRPr="008D6E5C">
        <w:rPr>
          <w:rFonts w:ascii="Cambria" w:hAnsi="Cambria"/>
          <w:sz w:val="20"/>
          <w:szCs w:val="20"/>
        </w:rPr>
        <w:t>Carvajal</w:t>
      </w:r>
      <w:proofErr w:type="spellEnd"/>
      <w:r w:rsidR="002A1E7B" w:rsidRPr="008D6E5C">
        <w:rPr>
          <w:rFonts w:ascii="Cambria" w:hAnsi="Cambria"/>
          <w:sz w:val="20"/>
          <w:szCs w:val="20"/>
        </w:rPr>
        <w:t xml:space="preserve">. </w:t>
      </w:r>
      <w:r w:rsidRPr="008D6E5C">
        <w:rPr>
          <w:rFonts w:ascii="Cambria" w:hAnsi="Cambria"/>
          <w:sz w:val="20"/>
          <w:szCs w:val="20"/>
        </w:rPr>
        <w:t>In this respect</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Pr="008D6E5C">
        <w:rPr>
          <w:rFonts w:ascii="Cambria" w:hAnsi="Cambria"/>
          <w:sz w:val="20"/>
          <w:szCs w:val="20"/>
        </w:rPr>
        <w:t>notes that</w:t>
      </w:r>
      <w:r w:rsidR="00FC5DC8" w:rsidRPr="008D6E5C">
        <w:rPr>
          <w:rFonts w:ascii="Cambria" w:hAnsi="Cambria"/>
          <w:sz w:val="20"/>
          <w:szCs w:val="20"/>
        </w:rPr>
        <w:t xml:space="preserve"> </w:t>
      </w:r>
      <w:r w:rsidR="007A2CDF" w:rsidRPr="008D6E5C">
        <w:rPr>
          <w:rFonts w:ascii="Cambria" w:hAnsi="Cambria"/>
          <w:sz w:val="20"/>
          <w:szCs w:val="20"/>
        </w:rPr>
        <w:t>the State</w:t>
      </w:r>
      <w:r w:rsidR="00FC5DC8" w:rsidRPr="008D6E5C">
        <w:rPr>
          <w:rFonts w:ascii="Cambria" w:hAnsi="Cambria"/>
          <w:sz w:val="20"/>
          <w:szCs w:val="20"/>
        </w:rPr>
        <w:t xml:space="preserve"> </w:t>
      </w:r>
      <w:r w:rsidR="0081696D" w:rsidRPr="008D6E5C">
        <w:rPr>
          <w:rFonts w:ascii="Cambria" w:hAnsi="Cambria"/>
          <w:sz w:val="20"/>
          <w:szCs w:val="20"/>
        </w:rPr>
        <w:t>has failed to demonstrate</w:t>
      </w:r>
      <w:r w:rsidRPr="008D6E5C">
        <w:rPr>
          <w:rFonts w:ascii="Cambria" w:hAnsi="Cambria"/>
          <w:sz w:val="20"/>
          <w:szCs w:val="20"/>
        </w:rPr>
        <w:t xml:space="preserve"> that it has </w:t>
      </w:r>
      <w:r w:rsidR="0081696D" w:rsidRPr="008D6E5C">
        <w:rPr>
          <w:rFonts w:ascii="Cambria" w:hAnsi="Cambria"/>
          <w:sz w:val="20"/>
          <w:szCs w:val="20"/>
        </w:rPr>
        <w:t xml:space="preserve">conducted </w:t>
      </w:r>
      <w:r w:rsidRPr="008D6E5C">
        <w:rPr>
          <w:rFonts w:ascii="Cambria" w:hAnsi="Cambria"/>
          <w:sz w:val="20"/>
          <w:szCs w:val="20"/>
        </w:rPr>
        <w:t>investigations to shed light on the relationship between the</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Pr="008D6E5C">
        <w:rPr>
          <w:rFonts w:ascii="Cambria" w:hAnsi="Cambria"/>
          <w:sz w:val="20"/>
          <w:szCs w:val="20"/>
        </w:rPr>
        <w:t>received by</w:t>
      </w:r>
      <w:r w:rsidR="00D1708C" w:rsidRPr="008D6E5C">
        <w:rPr>
          <w:rFonts w:ascii="Cambria" w:hAnsi="Cambria"/>
          <w:sz w:val="20"/>
          <w:szCs w:val="20"/>
        </w:rPr>
        <w:t xml:space="preserve"> Nelson</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r w:rsidRPr="008D6E5C">
        <w:rPr>
          <w:rFonts w:ascii="Cambria" w:hAnsi="Cambria"/>
          <w:sz w:val="20"/>
          <w:szCs w:val="20"/>
        </w:rPr>
        <w:t>’s</w:t>
      </w:r>
      <w:proofErr w:type="spellEnd"/>
      <w:r w:rsidRPr="008D6E5C">
        <w:rPr>
          <w:rFonts w:ascii="Cambria" w:hAnsi="Cambria"/>
          <w:sz w:val="20"/>
          <w:szCs w:val="20"/>
        </w:rPr>
        <w:t xml:space="preserve"> relatives and </w:t>
      </w:r>
      <w:r w:rsidR="0081696D" w:rsidRPr="008D6E5C">
        <w:rPr>
          <w:rFonts w:ascii="Cambria" w:hAnsi="Cambria"/>
          <w:sz w:val="20"/>
          <w:szCs w:val="20"/>
        </w:rPr>
        <w:t xml:space="preserve">by </w:t>
      </w:r>
      <w:r w:rsidRPr="008D6E5C">
        <w:rPr>
          <w:rFonts w:ascii="Cambria" w:hAnsi="Cambria"/>
          <w:sz w:val="20"/>
          <w:szCs w:val="20"/>
        </w:rPr>
        <w:t>the</w:t>
      </w:r>
      <w:r w:rsidR="00FC5DC8" w:rsidRPr="008D6E5C">
        <w:rPr>
          <w:rFonts w:ascii="Cambria" w:hAnsi="Cambria"/>
          <w:sz w:val="20"/>
          <w:szCs w:val="20"/>
        </w:rPr>
        <w:t xml:space="preserve"> </w:t>
      </w:r>
      <w:r w:rsidR="001000C6" w:rsidRPr="008D6E5C">
        <w:rPr>
          <w:rFonts w:ascii="Cambria" w:hAnsi="Cambria"/>
          <w:sz w:val="20"/>
          <w:szCs w:val="20"/>
        </w:rPr>
        <w:t>witnesses</w:t>
      </w:r>
      <w:r w:rsidR="00FC5DC8" w:rsidRPr="008D6E5C">
        <w:rPr>
          <w:rFonts w:ascii="Cambria" w:hAnsi="Cambria"/>
          <w:sz w:val="20"/>
          <w:szCs w:val="20"/>
        </w:rPr>
        <w:t xml:space="preserve"> </w:t>
      </w:r>
      <w:r w:rsidRPr="008D6E5C">
        <w:rPr>
          <w:rFonts w:ascii="Cambria" w:hAnsi="Cambria"/>
          <w:sz w:val="20"/>
          <w:szCs w:val="20"/>
        </w:rPr>
        <w:t>and the perpetrators of the crime. There is also no indication that</w:t>
      </w:r>
      <w:r w:rsidR="0081696D" w:rsidRPr="008D6E5C">
        <w:rPr>
          <w:rFonts w:ascii="Cambria" w:hAnsi="Cambria"/>
          <w:sz w:val="20"/>
          <w:szCs w:val="20"/>
        </w:rPr>
        <w:t>,</w:t>
      </w:r>
      <w:r w:rsidRPr="008D6E5C">
        <w:rPr>
          <w:rFonts w:ascii="Cambria" w:hAnsi="Cambria"/>
          <w:sz w:val="20"/>
          <w:szCs w:val="20"/>
        </w:rPr>
        <w:t xml:space="preserve"> for purposes of identifying all of the perpetrators, the potential connection </w:t>
      </w:r>
      <w:r w:rsidR="0081696D" w:rsidRPr="008D6E5C">
        <w:rPr>
          <w:rFonts w:ascii="Cambria" w:hAnsi="Cambria"/>
          <w:sz w:val="20"/>
          <w:szCs w:val="20"/>
        </w:rPr>
        <w:t xml:space="preserve">has been explored </w:t>
      </w:r>
      <w:r w:rsidRPr="008D6E5C">
        <w:rPr>
          <w:rFonts w:ascii="Cambria" w:hAnsi="Cambria"/>
          <w:sz w:val="20"/>
          <w:szCs w:val="20"/>
        </w:rPr>
        <w:t xml:space="preserve">between the violent death of witness </w:t>
      </w:r>
      <w:r w:rsidR="00FC5DC8" w:rsidRPr="008D6E5C">
        <w:rPr>
          <w:rFonts w:ascii="Cambria" w:hAnsi="Cambria" w:cs="Arial"/>
          <w:color w:val="000000"/>
          <w:sz w:val="20"/>
          <w:szCs w:val="20"/>
        </w:rPr>
        <w:t xml:space="preserve">Pablo Emilio Bonilla </w:t>
      </w:r>
      <w:proofErr w:type="spellStart"/>
      <w:r w:rsidR="00FC5DC8" w:rsidRPr="008D6E5C">
        <w:rPr>
          <w:rFonts w:ascii="Cambria" w:hAnsi="Cambria" w:cs="Arial"/>
          <w:color w:val="000000"/>
          <w:sz w:val="20"/>
          <w:szCs w:val="20"/>
        </w:rPr>
        <w:t>Betancur</w:t>
      </w:r>
      <w:r w:rsidR="00B423FF" w:rsidRPr="008D6E5C">
        <w:rPr>
          <w:rFonts w:ascii="Cambria" w:hAnsi="Cambria" w:cs="Arial"/>
          <w:color w:val="000000"/>
          <w:sz w:val="20"/>
          <w:szCs w:val="20"/>
        </w:rPr>
        <w:t>t</w:t>
      </w:r>
      <w:proofErr w:type="spellEnd"/>
      <w:r w:rsidRPr="008D6E5C">
        <w:rPr>
          <w:rFonts w:ascii="Cambria" w:hAnsi="Cambria" w:cs="Arial"/>
          <w:color w:val="000000"/>
          <w:sz w:val="20"/>
          <w:szCs w:val="20"/>
        </w:rPr>
        <w:t>—which occurred after he provided statements in the case for the reconsideration of the acquittals—and the murder of journalist</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Pr="008D6E5C">
        <w:rPr>
          <w:rFonts w:ascii="Cambria" w:hAnsi="Cambria"/>
          <w:bCs/>
          <w:sz w:val="20"/>
          <w:szCs w:val="20"/>
        </w:rPr>
        <w:t>Similarly</w:t>
      </w:r>
      <w:r w:rsidR="00FC5DC8" w:rsidRPr="008D6E5C">
        <w:rPr>
          <w:rFonts w:ascii="Cambria" w:hAnsi="Cambria"/>
          <w:bCs/>
          <w:sz w:val="20"/>
          <w:szCs w:val="20"/>
        </w:rPr>
        <w:t xml:space="preserve">, </w:t>
      </w:r>
      <w:r w:rsidRPr="008D6E5C">
        <w:rPr>
          <w:rFonts w:ascii="Cambria" w:hAnsi="Cambria"/>
          <w:bCs/>
          <w:sz w:val="20"/>
          <w:szCs w:val="20"/>
        </w:rPr>
        <w:t xml:space="preserve">there is no indication that the authorities have followed up on the body of evidence that pointed to </w:t>
      </w:r>
      <w:r w:rsidR="00084FF9" w:rsidRPr="008D6E5C">
        <w:rPr>
          <w:rFonts w:ascii="Cambria" w:hAnsi="Cambria"/>
          <w:sz w:val="20"/>
          <w:szCs w:val="20"/>
        </w:rPr>
        <w:t>the involvement of the m</w:t>
      </w:r>
      <w:r w:rsidR="0068182A" w:rsidRPr="008D6E5C">
        <w:rPr>
          <w:rFonts w:ascii="Cambria" w:hAnsi="Cambria"/>
          <w:color w:val="000000"/>
          <w:sz w:val="20"/>
          <w:szCs w:val="20"/>
        </w:rPr>
        <w:t xml:space="preserve">ayor of </w:t>
      </w:r>
      <w:proofErr w:type="spellStart"/>
      <w:r w:rsidR="0068182A" w:rsidRPr="008D6E5C">
        <w:rPr>
          <w:rFonts w:ascii="Cambria" w:hAnsi="Cambria"/>
          <w:color w:val="000000"/>
          <w:sz w:val="20"/>
          <w:szCs w:val="20"/>
        </w:rPr>
        <w:t>Pitalito</w:t>
      </w:r>
      <w:proofErr w:type="spellEnd"/>
      <w:r w:rsidR="00FC5DC8" w:rsidRPr="008D6E5C">
        <w:rPr>
          <w:rFonts w:ascii="Cambria" w:hAnsi="Cambria"/>
          <w:color w:val="000000"/>
          <w:sz w:val="20"/>
          <w:szCs w:val="20"/>
        </w:rPr>
        <w:t xml:space="preserve"> </w:t>
      </w:r>
      <w:r w:rsidR="00084FF9" w:rsidRPr="008D6E5C">
        <w:rPr>
          <w:rFonts w:ascii="Cambria" w:hAnsi="Cambria"/>
          <w:color w:val="000000"/>
          <w:sz w:val="20"/>
          <w:szCs w:val="20"/>
        </w:rPr>
        <w:t>as</w:t>
      </w:r>
      <w:r w:rsidR="00FC5DC8" w:rsidRPr="008D6E5C">
        <w:rPr>
          <w:rFonts w:ascii="Cambria" w:hAnsi="Cambria"/>
          <w:color w:val="000000"/>
          <w:sz w:val="20"/>
          <w:szCs w:val="20"/>
        </w:rPr>
        <w:t xml:space="preserve"> </w:t>
      </w:r>
      <w:r w:rsidR="00724A76" w:rsidRPr="008D6E5C">
        <w:rPr>
          <w:rFonts w:ascii="Cambria" w:hAnsi="Cambria"/>
          <w:color w:val="000000"/>
          <w:sz w:val="20"/>
          <w:szCs w:val="20"/>
        </w:rPr>
        <w:t>mastermind</w:t>
      </w:r>
      <w:r w:rsidR="00FC5DC8" w:rsidRPr="008D6E5C">
        <w:rPr>
          <w:rFonts w:ascii="Cambria" w:hAnsi="Cambria"/>
          <w:color w:val="000000"/>
          <w:sz w:val="20"/>
          <w:szCs w:val="20"/>
        </w:rPr>
        <w:t xml:space="preserve"> </w:t>
      </w:r>
      <w:r w:rsidRPr="008D6E5C">
        <w:rPr>
          <w:rFonts w:ascii="Cambria" w:hAnsi="Cambria"/>
          <w:color w:val="000000"/>
          <w:sz w:val="20"/>
          <w:szCs w:val="20"/>
        </w:rPr>
        <w:t>or accessory to the crime</w:t>
      </w:r>
      <w:r w:rsidR="00FC5DC8" w:rsidRPr="008D6E5C">
        <w:rPr>
          <w:rFonts w:ascii="Cambria" w:hAnsi="Cambria"/>
          <w:sz w:val="20"/>
          <w:szCs w:val="20"/>
        </w:rPr>
        <w:t xml:space="preserve">. </w:t>
      </w:r>
      <w:r w:rsidR="007A2CDF" w:rsidRPr="008D6E5C">
        <w:rPr>
          <w:rFonts w:ascii="Cambria" w:hAnsi="Cambria" w:cs="Verdana"/>
          <w:sz w:val="20"/>
          <w:szCs w:val="20"/>
        </w:rPr>
        <w:t>The State</w:t>
      </w:r>
      <w:r w:rsidR="00FC5DC8" w:rsidRPr="008D6E5C">
        <w:rPr>
          <w:rFonts w:ascii="Cambria" w:hAnsi="Cambria" w:cs="Verdana"/>
          <w:sz w:val="20"/>
          <w:szCs w:val="20"/>
        </w:rPr>
        <w:t xml:space="preserve"> </w:t>
      </w:r>
      <w:r w:rsidRPr="008D6E5C">
        <w:rPr>
          <w:rFonts w:ascii="Cambria" w:hAnsi="Cambria" w:cs="Verdana"/>
          <w:sz w:val="20"/>
          <w:szCs w:val="20"/>
        </w:rPr>
        <w:t>made no observations with respect to the matter</w:t>
      </w:r>
      <w:r w:rsidR="00FC5DC8" w:rsidRPr="008D6E5C">
        <w:rPr>
          <w:rFonts w:ascii="Cambria" w:hAnsi="Cambria" w:cs="Verdana"/>
          <w:sz w:val="20"/>
          <w:szCs w:val="20"/>
        </w:rPr>
        <w:t xml:space="preserve">. </w:t>
      </w:r>
      <w:r w:rsidR="0081696D" w:rsidRPr="008D6E5C">
        <w:rPr>
          <w:rFonts w:ascii="Cambria" w:hAnsi="Cambria" w:cs="Verdana"/>
          <w:sz w:val="20"/>
          <w:szCs w:val="20"/>
        </w:rPr>
        <w:t xml:space="preserve"> </w:t>
      </w:r>
    </w:p>
    <w:p w:rsidR="00FC5DC8" w:rsidRPr="008D6E5C" w:rsidRDefault="00FC5DC8" w:rsidP="001520DB">
      <w:pPr>
        <w:jc w:val="both"/>
        <w:rPr>
          <w:rFonts w:ascii="Cambria" w:hAnsi="Cambria"/>
          <w:bCs/>
          <w:sz w:val="20"/>
          <w:szCs w:val="20"/>
        </w:rPr>
      </w:pPr>
    </w:p>
    <w:p w:rsidR="003405EC" w:rsidRPr="008D6E5C" w:rsidRDefault="00C84A02"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w:t>
      </w:r>
      <w:r w:rsidR="00DF44C8" w:rsidRPr="008D6E5C">
        <w:rPr>
          <w:rFonts w:ascii="Cambria" w:hAnsi="Cambria"/>
          <w:bCs/>
          <w:sz w:val="20"/>
          <w:szCs w:val="20"/>
        </w:rPr>
        <w:t xml:space="preserve"> IACHR</w:t>
      </w:r>
      <w:r w:rsidR="00FC5DC8" w:rsidRPr="008D6E5C">
        <w:rPr>
          <w:rFonts w:ascii="Cambria" w:hAnsi="Cambria"/>
          <w:bCs/>
          <w:sz w:val="20"/>
          <w:szCs w:val="20"/>
        </w:rPr>
        <w:t xml:space="preserve"> </w:t>
      </w:r>
      <w:r w:rsidRPr="008D6E5C">
        <w:rPr>
          <w:rFonts w:ascii="Cambria" w:hAnsi="Cambria"/>
          <w:bCs/>
          <w:sz w:val="20"/>
          <w:szCs w:val="20"/>
        </w:rPr>
        <w:t>further notes that</w:t>
      </w:r>
      <w:r w:rsidR="00FC5DC8" w:rsidRPr="008D6E5C">
        <w:rPr>
          <w:rFonts w:ascii="Cambria" w:hAnsi="Cambria"/>
          <w:bCs/>
          <w:sz w:val="20"/>
          <w:szCs w:val="20"/>
        </w:rPr>
        <w:t xml:space="preserve"> </w:t>
      </w:r>
      <w:r w:rsidR="001766CB" w:rsidRPr="008D6E5C">
        <w:rPr>
          <w:rFonts w:ascii="Cambria" w:hAnsi="Cambria"/>
          <w:bCs/>
          <w:sz w:val="20"/>
          <w:szCs w:val="20"/>
        </w:rPr>
        <w:t>the petitioner</w:t>
      </w:r>
      <w:r w:rsidR="00FC5DC8" w:rsidRPr="008D6E5C">
        <w:rPr>
          <w:rFonts w:ascii="Cambria" w:hAnsi="Cambria"/>
          <w:bCs/>
          <w:sz w:val="20"/>
          <w:szCs w:val="20"/>
        </w:rPr>
        <w:t xml:space="preserve"> </w:t>
      </w:r>
      <w:r w:rsidRPr="008D6E5C">
        <w:rPr>
          <w:rFonts w:ascii="Cambria" w:hAnsi="Cambria"/>
          <w:bCs/>
          <w:sz w:val="20"/>
          <w:szCs w:val="20"/>
        </w:rPr>
        <w:t xml:space="preserve">complained that the courts </w:t>
      </w:r>
      <w:r w:rsidR="003405EC" w:rsidRPr="008D6E5C">
        <w:rPr>
          <w:rFonts w:ascii="Cambria" w:hAnsi="Cambria"/>
          <w:sz w:val="20"/>
          <w:szCs w:val="20"/>
        </w:rPr>
        <w:t xml:space="preserve">disregarded key witnesses who corroborated the defendants’ </w:t>
      </w:r>
      <w:proofErr w:type="gramStart"/>
      <w:r w:rsidR="003405EC" w:rsidRPr="008D6E5C">
        <w:rPr>
          <w:rFonts w:ascii="Cambria" w:hAnsi="Cambria"/>
          <w:sz w:val="20"/>
          <w:szCs w:val="20"/>
        </w:rPr>
        <w:t>guilt</w:t>
      </w:r>
      <w:r w:rsidR="003405EC" w:rsidRPr="008D6E5C">
        <w:rPr>
          <w:rFonts w:ascii="Cambria" w:hAnsi="Cambria"/>
          <w:bCs/>
          <w:sz w:val="20"/>
          <w:szCs w:val="20"/>
        </w:rPr>
        <w:t xml:space="preserve">  and</w:t>
      </w:r>
      <w:proofErr w:type="gramEnd"/>
      <w:r w:rsidR="003405EC" w:rsidRPr="008D6E5C">
        <w:rPr>
          <w:rFonts w:ascii="Cambria" w:hAnsi="Cambria"/>
          <w:bCs/>
          <w:sz w:val="20"/>
          <w:szCs w:val="20"/>
        </w:rPr>
        <w:t xml:space="preserve"> </w:t>
      </w:r>
      <w:r w:rsidRPr="008D6E5C">
        <w:rPr>
          <w:rFonts w:ascii="Cambria" w:hAnsi="Cambria"/>
          <w:bCs/>
          <w:sz w:val="20"/>
          <w:szCs w:val="20"/>
        </w:rPr>
        <w:t>received fraudulent statements to divert the investigations toward</w:t>
      </w:r>
      <w:r w:rsidR="00FC5DC8" w:rsidRPr="008D6E5C">
        <w:rPr>
          <w:rFonts w:ascii="Cambria" w:hAnsi="Cambria"/>
          <w:bCs/>
          <w:sz w:val="20"/>
          <w:szCs w:val="20"/>
        </w:rPr>
        <w:t xml:space="preserve"> </w:t>
      </w:r>
      <w:r w:rsidRPr="008D6E5C">
        <w:rPr>
          <w:rFonts w:ascii="Cambria" w:hAnsi="Cambria"/>
          <w:sz w:val="20"/>
          <w:szCs w:val="20"/>
        </w:rPr>
        <w:t xml:space="preserve">the potential responsibility of the </w:t>
      </w:r>
      <w:r w:rsidR="00FC5DC8" w:rsidRPr="008D6E5C">
        <w:rPr>
          <w:rFonts w:ascii="Cambria" w:hAnsi="Cambria"/>
          <w:sz w:val="20"/>
          <w:szCs w:val="20"/>
        </w:rPr>
        <w:t xml:space="preserve">FARC. </w:t>
      </w:r>
      <w:r w:rsidRPr="008D6E5C">
        <w:rPr>
          <w:rFonts w:ascii="Cambria" w:hAnsi="Cambria"/>
          <w:sz w:val="20"/>
          <w:szCs w:val="20"/>
        </w:rPr>
        <w:t>One defense witness</w:t>
      </w:r>
      <w:r w:rsidR="00FC5DC8" w:rsidRPr="008D6E5C">
        <w:rPr>
          <w:rFonts w:ascii="Cambria" w:hAnsi="Cambria"/>
          <w:sz w:val="20"/>
          <w:szCs w:val="20"/>
        </w:rPr>
        <w:t xml:space="preserve"> </w:t>
      </w:r>
      <w:r w:rsidR="0012782E" w:rsidRPr="008D6E5C">
        <w:rPr>
          <w:rFonts w:ascii="Cambria" w:hAnsi="Cambria"/>
          <w:sz w:val="20"/>
          <w:szCs w:val="20"/>
        </w:rPr>
        <w:t>who maintain</w:t>
      </w:r>
      <w:r w:rsidRPr="008D6E5C">
        <w:rPr>
          <w:rFonts w:ascii="Cambria" w:hAnsi="Cambria"/>
          <w:sz w:val="20"/>
          <w:szCs w:val="20"/>
        </w:rPr>
        <w:t>ed that the</w:t>
      </w:r>
      <w:r w:rsidR="00FC5DC8" w:rsidRPr="008D6E5C">
        <w:rPr>
          <w:rFonts w:ascii="Cambria" w:hAnsi="Cambria"/>
          <w:sz w:val="20"/>
          <w:szCs w:val="20"/>
        </w:rPr>
        <w:t xml:space="preserve"> FARC</w:t>
      </w:r>
      <w:r w:rsidRPr="008D6E5C">
        <w:rPr>
          <w:rFonts w:ascii="Cambria" w:hAnsi="Cambria"/>
          <w:sz w:val="20"/>
          <w:szCs w:val="20"/>
        </w:rPr>
        <w:t xml:space="preserve"> mastermin</w:t>
      </w:r>
      <w:r w:rsidR="0012782E" w:rsidRPr="008D6E5C">
        <w:rPr>
          <w:rFonts w:ascii="Cambria" w:hAnsi="Cambria"/>
          <w:sz w:val="20"/>
          <w:szCs w:val="20"/>
        </w:rPr>
        <w:t>d</w:t>
      </w:r>
      <w:r w:rsidRPr="008D6E5C">
        <w:rPr>
          <w:rFonts w:ascii="Cambria" w:hAnsi="Cambria"/>
          <w:sz w:val="20"/>
          <w:szCs w:val="20"/>
        </w:rPr>
        <w:t>ed the crime was allegedly an occasional informant</w:t>
      </w:r>
      <w:r w:rsidR="00FC5DC8" w:rsidRPr="008D6E5C">
        <w:rPr>
          <w:rFonts w:ascii="Cambria" w:hAnsi="Cambria"/>
          <w:sz w:val="20"/>
          <w:szCs w:val="20"/>
        </w:rPr>
        <w:t xml:space="preserve"> </w:t>
      </w:r>
      <w:r w:rsidRPr="008D6E5C">
        <w:rPr>
          <w:rFonts w:ascii="Cambria" w:hAnsi="Cambria"/>
          <w:sz w:val="20"/>
          <w:szCs w:val="20"/>
        </w:rPr>
        <w:t>of the</w:t>
      </w:r>
      <w:r w:rsidR="00FC5DC8" w:rsidRPr="008D6E5C">
        <w:rPr>
          <w:rFonts w:ascii="Cambria" w:hAnsi="Cambria"/>
          <w:sz w:val="20"/>
          <w:szCs w:val="20"/>
        </w:rPr>
        <w:t xml:space="preserve"> </w:t>
      </w:r>
      <w:r w:rsidRPr="008D6E5C">
        <w:rPr>
          <w:rFonts w:ascii="Cambria" w:hAnsi="Cambria"/>
          <w:sz w:val="20"/>
          <w:szCs w:val="20"/>
        </w:rPr>
        <w:t xml:space="preserve">“Magdalena” </w:t>
      </w:r>
      <w:r w:rsidR="00B845B4" w:rsidRPr="008D6E5C">
        <w:rPr>
          <w:rFonts w:ascii="Cambria" w:hAnsi="Cambria"/>
          <w:sz w:val="20"/>
          <w:szCs w:val="20"/>
        </w:rPr>
        <w:t>Infantry Battalion</w:t>
      </w:r>
      <w:r w:rsidR="00FC5DC8" w:rsidRPr="008D6E5C">
        <w:rPr>
          <w:rFonts w:ascii="Cambria" w:hAnsi="Cambria"/>
          <w:sz w:val="20"/>
          <w:szCs w:val="20"/>
        </w:rPr>
        <w:t xml:space="preserve"> No. 27 </w:t>
      </w:r>
      <w:r w:rsidRPr="008D6E5C">
        <w:rPr>
          <w:rFonts w:ascii="Cambria" w:hAnsi="Cambria"/>
          <w:sz w:val="20"/>
          <w:szCs w:val="20"/>
        </w:rPr>
        <w:t xml:space="preserve">and was facing four cases of abuse of process, criminal deception, and public and private document fraud. </w:t>
      </w:r>
    </w:p>
    <w:p w:rsidR="003405EC" w:rsidRPr="008D6E5C" w:rsidRDefault="003405EC" w:rsidP="001520DB">
      <w:pPr>
        <w:pStyle w:val="ListParagraph"/>
        <w:rPr>
          <w:sz w:val="20"/>
          <w:szCs w:val="20"/>
        </w:rPr>
      </w:pPr>
    </w:p>
    <w:p w:rsidR="00FC5DC8" w:rsidRPr="008D6E5C" w:rsidRDefault="00C84A02"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Similarly</w:t>
      </w:r>
      <w:r w:rsidR="00FC5DC8" w:rsidRPr="008D6E5C">
        <w:rPr>
          <w:rFonts w:ascii="Cambria" w:hAnsi="Cambria"/>
          <w:sz w:val="20"/>
          <w:szCs w:val="20"/>
        </w:rPr>
        <w:t xml:space="preserve">, </w:t>
      </w:r>
      <w:r w:rsidRPr="008D6E5C">
        <w:rPr>
          <w:rFonts w:ascii="Cambria" w:hAnsi="Cambria"/>
          <w:sz w:val="20"/>
          <w:szCs w:val="20"/>
        </w:rPr>
        <w:t xml:space="preserve">and as evident from the case file, the Prosecutor’s Office itself </w:t>
      </w:r>
      <w:r w:rsidRPr="008D6E5C">
        <w:rPr>
          <w:rFonts w:ascii="Cambria" w:hAnsi="Cambria"/>
          <w:bCs/>
          <w:sz w:val="20"/>
          <w:szCs w:val="20"/>
        </w:rPr>
        <w:t>called</w:t>
      </w:r>
      <w:r w:rsidR="00FC5DC8" w:rsidRPr="008D6E5C">
        <w:rPr>
          <w:rFonts w:ascii="Cambria" w:hAnsi="Cambria"/>
          <w:bCs/>
          <w:sz w:val="20"/>
          <w:szCs w:val="20"/>
        </w:rPr>
        <w:t xml:space="preserve"> </w:t>
      </w:r>
      <w:r w:rsidR="00084FF9" w:rsidRPr="008D6E5C">
        <w:rPr>
          <w:rFonts w:ascii="Cambria" w:hAnsi="Cambria"/>
          <w:bCs/>
          <w:sz w:val="20"/>
          <w:szCs w:val="20"/>
        </w:rPr>
        <w:t>the theory implicating the</w:t>
      </w:r>
      <w:r w:rsidR="00FC5DC8" w:rsidRPr="008D6E5C">
        <w:rPr>
          <w:rFonts w:ascii="Cambria" w:hAnsi="Cambria"/>
          <w:bCs/>
          <w:sz w:val="20"/>
          <w:szCs w:val="20"/>
        </w:rPr>
        <w:t xml:space="preserve"> FARC </w:t>
      </w:r>
      <w:r w:rsidR="00084FF9" w:rsidRPr="008D6E5C">
        <w:rPr>
          <w:rFonts w:ascii="Cambria" w:hAnsi="Cambria"/>
          <w:bCs/>
          <w:sz w:val="20"/>
          <w:szCs w:val="20"/>
        </w:rPr>
        <w:t>in the murder of journalist</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r w:rsidRPr="008D6E5C">
        <w:rPr>
          <w:rFonts w:ascii="Cambria" w:hAnsi="Cambria"/>
          <w:bCs/>
          <w:sz w:val="20"/>
          <w:szCs w:val="20"/>
        </w:rPr>
        <w:t>inconsistent and a</w:t>
      </w:r>
      <w:r w:rsidR="00FC5DC8" w:rsidRPr="008D6E5C">
        <w:rPr>
          <w:rFonts w:ascii="Cambria" w:hAnsi="Cambria"/>
          <w:bCs/>
          <w:sz w:val="20"/>
          <w:szCs w:val="20"/>
        </w:rPr>
        <w:t xml:space="preserve"> “</w:t>
      </w:r>
      <w:r w:rsidRPr="008D6E5C">
        <w:rPr>
          <w:rFonts w:ascii="Cambria" w:hAnsi="Cambria"/>
          <w:bCs/>
          <w:sz w:val="20"/>
          <w:szCs w:val="20"/>
        </w:rPr>
        <w:t>setup</w:t>
      </w:r>
      <w:r w:rsidR="00FC5DC8" w:rsidRPr="008D6E5C">
        <w:rPr>
          <w:rFonts w:ascii="Cambria" w:hAnsi="Cambria"/>
          <w:bCs/>
          <w:sz w:val="20"/>
          <w:szCs w:val="20"/>
        </w:rPr>
        <w:t xml:space="preserve">” </w:t>
      </w:r>
      <w:r w:rsidRPr="008D6E5C">
        <w:rPr>
          <w:rFonts w:ascii="Cambria" w:hAnsi="Cambria"/>
          <w:sz w:val="20"/>
          <w:szCs w:val="20"/>
        </w:rPr>
        <w:t>meant to clear the defendants of criminal wrongdoing and allow for their acquittal in the case</w:t>
      </w:r>
      <w:r w:rsidR="00FC5DC8" w:rsidRPr="008D6E5C">
        <w:rPr>
          <w:rFonts w:ascii="Cambria" w:hAnsi="Cambria"/>
          <w:bCs/>
          <w:sz w:val="20"/>
          <w:szCs w:val="20"/>
        </w:rPr>
        <w:t xml:space="preserve">. </w:t>
      </w:r>
      <w:r w:rsidR="00E01A7C" w:rsidRPr="008D6E5C">
        <w:rPr>
          <w:rFonts w:ascii="Cambria" w:hAnsi="Cambria"/>
          <w:bCs/>
          <w:sz w:val="20"/>
          <w:szCs w:val="20"/>
        </w:rPr>
        <w:t xml:space="preserve">This information was provided to the </w:t>
      </w:r>
      <w:proofErr w:type="gramStart"/>
      <w:r w:rsidR="00E01A7C" w:rsidRPr="008D6E5C">
        <w:rPr>
          <w:rFonts w:ascii="Cambria" w:hAnsi="Cambria"/>
          <w:bCs/>
          <w:sz w:val="20"/>
          <w:szCs w:val="20"/>
        </w:rPr>
        <w:t>authorities,</w:t>
      </w:r>
      <w:proofErr w:type="gramEnd"/>
      <w:r w:rsidR="00E01A7C" w:rsidRPr="008D6E5C">
        <w:rPr>
          <w:rFonts w:ascii="Cambria" w:hAnsi="Cambria"/>
          <w:bCs/>
          <w:sz w:val="20"/>
          <w:szCs w:val="20"/>
        </w:rPr>
        <w:t xml:space="preserve"> however, there is no indication that it has been investigated.</w:t>
      </w:r>
      <w:r w:rsidR="003405EC" w:rsidRPr="008D6E5C">
        <w:rPr>
          <w:rFonts w:ascii="Cambria" w:hAnsi="Cambria"/>
          <w:sz w:val="20"/>
          <w:szCs w:val="20"/>
        </w:rPr>
        <w:t xml:space="preserve"> </w:t>
      </w:r>
      <w:r w:rsidRPr="008D6E5C">
        <w:rPr>
          <w:rFonts w:ascii="Cambria" w:hAnsi="Cambria"/>
          <w:sz w:val="20"/>
          <w:szCs w:val="20"/>
        </w:rPr>
        <w:t xml:space="preserve">On November </w:t>
      </w:r>
      <w:r w:rsidR="00FC5DC8" w:rsidRPr="008D6E5C">
        <w:rPr>
          <w:rFonts w:ascii="Cambria" w:hAnsi="Cambria"/>
          <w:sz w:val="20"/>
          <w:szCs w:val="20"/>
        </w:rPr>
        <w:t>29</w:t>
      </w:r>
      <w:r w:rsidRPr="008D6E5C">
        <w:rPr>
          <w:rFonts w:ascii="Cambria" w:hAnsi="Cambria"/>
          <w:sz w:val="20"/>
          <w:szCs w:val="20"/>
        </w:rPr>
        <w:t>,</w:t>
      </w:r>
      <w:r w:rsidR="00FC5DC8" w:rsidRPr="008D6E5C">
        <w:rPr>
          <w:rFonts w:ascii="Cambria" w:hAnsi="Cambria"/>
          <w:sz w:val="20"/>
          <w:szCs w:val="20"/>
        </w:rPr>
        <w:t xml:space="preserve"> 2000, </w:t>
      </w:r>
      <w:r w:rsidRPr="008D6E5C">
        <w:rPr>
          <w:rFonts w:ascii="Cambria" w:hAnsi="Cambria"/>
          <w:sz w:val="20"/>
          <w:szCs w:val="20"/>
        </w:rPr>
        <w:t>the Special Prosecutor</w:t>
      </w:r>
      <w:r w:rsidR="00FC5DC8" w:rsidRPr="008D6E5C">
        <w:rPr>
          <w:rFonts w:ascii="Cambria" w:hAnsi="Cambria"/>
          <w:sz w:val="20"/>
          <w:szCs w:val="20"/>
        </w:rPr>
        <w:t xml:space="preserve"> </w:t>
      </w:r>
      <w:r w:rsidRPr="008D6E5C">
        <w:rPr>
          <w:rFonts w:ascii="Cambria" w:hAnsi="Cambria"/>
          <w:sz w:val="20"/>
          <w:szCs w:val="20"/>
        </w:rPr>
        <w:t xml:space="preserve">handling the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Pr="008D6E5C">
        <w:rPr>
          <w:rFonts w:ascii="Cambria" w:hAnsi="Cambria"/>
          <w:sz w:val="20"/>
          <w:szCs w:val="20"/>
        </w:rPr>
        <w:t xml:space="preserve">case stated at trial before </w:t>
      </w:r>
      <w:r w:rsidR="00777AD4" w:rsidRPr="008D6E5C">
        <w:rPr>
          <w:rFonts w:ascii="Cambria" w:hAnsi="Cambria"/>
          <w:sz w:val="20"/>
          <w:szCs w:val="20"/>
        </w:rPr>
        <w:t>the Criminal Court of t</w:t>
      </w:r>
      <w:r w:rsidRPr="008D6E5C">
        <w:rPr>
          <w:rFonts w:ascii="Cambria" w:hAnsi="Cambria"/>
          <w:sz w:val="20"/>
          <w:szCs w:val="20"/>
        </w:rPr>
        <w:t>he Specialized Circuit of Neiva</w:t>
      </w:r>
      <w:r w:rsidR="00FC5DC8" w:rsidRPr="008D6E5C">
        <w:rPr>
          <w:rStyle w:val="FootnoteReference"/>
          <w:rFonts w:ascii="Cambria" w:hAnsi="Cambria"/>
          <w:sz w:val="20"/>
          <w:szCs w:val="20"/>
        </w:rPr>
        <w:footnoteReference w:id="157"/>
      </w:r>
      <w:r w:rsidR="00FC5DC8" w:rsidRPr="008D6E5C">
        <w:rPr>
          <w:rFonts w:ascii="Cambria" w:hAnsi="Cambria"/>
          <w:sz w:val="20"/>
          <w:szCs w:val="20"/>
        </w:rPr>
        <w:t xml:space="preserve"> </w:t>
      </w:r>
      <w:r w:rsidRPr="008D6E5C">
        <w:rPr>
          <w:rFonts w:ascii="Cambria" w:hAnsi="Cambria"/>
          <w:sz w:val="20"/>
          <w:szCs w:val="20"/>
        </w:rPr>
        <w:t>that this theory was unfounded, asserting that</w:t>
      </w:r>
      <w:r w:rsidR="00FC5DC8" w:rsidRPr="008D6E5C">
        <w:rPr>
          <w:rFonts w:ascii="Cambria" w:hAnsi="Cambria"/>
          <w:sz w:val="20"/>
          <w:szCs w:val="20"/>
        </w:rPr>
        <w:t>: “</w:t>
      </w:r>
      <w:r w:rsidRPr="008D6E5C">
        <w:rPr>
          <w:rFonts w:ascii="Cambria" w:hAnsi="Cambria"/>
          <w:sz w:val="20"/>
          <w:szCs w:val="20"/>
        </w:rPr>
        <w:t>we have gotten used to blaming the</w:t>
      </w:r>
      <w:r w:rsidR="00777AD4" w:rsidRPr="008D6E5C">
        <w:rPr>
          <w:rFonts w:ascii="Cambria" w:hAnsi="Cambria"/>
          <w:sz w:val="20"/>
          <w:szCs w:val="20"/>
        </w:rPr>
        <w:t xml:space="preserve"> guerrilla</w:t>
      </w:r>
      <w:r w:rsidRPr="008D6E5C">
        <w:rPr>
          <w:rFonts w:ascii="Cambria" w:hAnsi="Cambria"/>
          <w:sz w:val="20"/>
          <w:szCs w:val="20"/>
        </w:rPr>
        <w:t>s for everything</w:t>
      </w:r>
      <w:r w:rsidR="00777AD4" w:rsidRPr="008D6E5C">
        <w:rPr>
          <w:rFonts w:ascii="Cambria" w:hAnsi="Cambria"/>
          <w:sz w:val="20"/>
          <w:szCs w:val="20"/>
        </w:rPr>
        <w:t>.”</w:t>
      </w:r>
      <w:r w:rsidR="00FC5DC8" w:rsidRPr="008D6E5C">
        <w:rPr>
          <w:rFonts w:ascii="Cambria" w:hAnsi="Cambria"/>
          <w:sz w:val="20"/>
          <w:szCs w:val="20"/>
        </w:rPr>
        <w:t xml:space="preserve"> </w:t>
      </w:r>
      <w:r w:rsidRPr="008D6E5C">
        <w:rPr>
          <w:rFonts w:ascii="Cambria" w:hAnsi="Cambria"/>
          <w:sz w:val="20"/>
          <w:szCs w:val="20"/>
        </w:rPr>
        <w:t>She stated that, in</w:t>
      </w:r>
      <w:r w:rsidR="00FC5DC8" w:rsidRPr="008D6E5C">
        <w:rPr>
          <w:rFonts w:ascii="Cambria" w:hAnsi="Cambria"/>
          <w:sz w:val="20"/>
          <w:szCs w:val="20"/>
        </w:rPr>
        <w:t xml:space="preserve"> Colombia</w:t>
      </w:r>
      <w:r w:rsidRPr="008D6E5C">
        <w:rPr>
          <w:rFonts w:ascii="Cambria" w:hAnsi="Cambria"/>
          <w:sz w:val="20"/>
          <w:szCs w:val="20"/>
        </w:rPr>
        <w:t>,</w:t>
      </w:r>
      <w:r w:rsidR="00FC5DC8" w:rsidRPr="008D6E5C">
        <w:rPr>
          <w:rFonts w:ascii="Cambria" w:hAnsi="Cambria"/>
          <w:sz w:val="20"/>
          <w:szCs w:val="20"/>
        </w:rPr>
        <w:t xml:space="preserve"> “</w:t>
      </w:r>
      <w:r w:rsidRPr="008D6E5C">
        <w:rPr>
          <w:rFonts w:ascii="Cambria" w:hAnsi="Cambria"/>
          <w:sz w:val="20"/>
          <w:szCs w:val="20"/>
        </w:rPr>
        <w:t xml:space="preserve">they are accused of any act </w:t>
      </w:r>
      <w:r w:rsidR="00956252" w:rsidRPr="008D6E5C">
        <w:rPr>
          <w:rFonts w:ascii="Cambria" w:hAnsi="Cambria"/>
          <w:sz w:val="20"/>
          <w:szCs w:val="20"/>
        </w:rPr>
        <w:t xml:space="preserve">in order for the </w:t>
      </w:r>
      <w:r w:rsidRPr="008D6E5C">
        <w:rPr>
          <w:rFonts w:ascii="Cambria" w:hAnsi="Cambria"/>
          <w:sz w:val="20"/>
          <w:szCs w:val="20"/>
        </w:rPr>
        <w:t xml:space="preserve">perpetrator </w:t>
      </w:r>
      <w:r w:rsidR="00956252" w:rsidRPr="008D6E5C">
        <w:rPr>
          <w:rFonts w:ascii="Cambria" w:hAnsi="Cambria"/>
          <w:sz w:val="20"/>
          <w:szCs w:val="20"/>
        </w:rPr>
        <w:t>to</w:t>
      </w:r>
      <w:r w:rsidRPr="008D6E5C">
        <w:rPr>
          <w:rFonts w:ascii="Cambria" w:hAnsi="Cambria"/>
          <w:sz w:val="20"/>
          <w:szCs w:val="20"/>
        </w:rPr>
        <w:t xml:space="preserve"> </w:t>
      </w:r>
      <w:r w:rsidR="00C5502E" w:rsidRPr="008D6E5C">
        <w:rPr>
          <w:rFonts w:ascii="Cambria" w:hAnsi="Cambria"/>
          <w:sz w:val="20"/>
          <w:szCs w:val="20"/>
        </w:rPr>
        <w:t>remain innocent</w:t>
      </w:r>
      <w:r w:rsidR="00956252" w:rsidRPr="008D6E5C">
        <w:rPr>
          <w:rFonts w:ascii="Cambria" w:hAnsi="Cambria"/>
          <w:sz w:val="20"/>
          <w:szCs w:val="20"/>
        </w:rPr>
        <w:t>,</w:t>
      </w:r>
      <w:r w:rsidR="00423F07" w:rsidRPr="008D6E5C">
        <w:rPr>
          <w:rFonts w:ascii="Cambria" w:hAnsi="Cambria"/>
          <w:sz w:val="20"/>
          <w:szCs w:val="20"/>
        </w:rPr>
        <w:t xml:space="preserve"> and one more crime </w:t>
      </w:r>
      <w:r w:rsidR="00956252" w:rsidRPr="008D6E5C">
        <w:rPr>
          <w:rFonts w:ascii="Cambria" w:hAnsi="Cambria"/>
          <w:sz w:val="20"/>
          <w:szCs w:val="20"/>
        </w:rPr>
        <w:t>goes</w:t>
      </w:r>
      <w:r w:rsidR="00423F07" w:rsidRPr="008D6E5C">
        <w:rPr>
          <w:rFonts w:ascii="Cambria" w:hAnsi="Cambria"/>
          <w:sz w:val="20"/>
          <w:szCs w:val="20"/>
        </w:rPr>
        <w:t xml:space="preserve"> unpunished.”</w:t>
      </w:r>
      <w:r w:rsidR="00FC5DC8" w:rsidRPr="008D6E5C">
        <w:rPr>
          <w:rFonts w:ascii="Cambria" w:hAnsi="Cambria"/>
          <w:sz w:val="20"/>
          <w:szCs w:val="20"/>
        </w:rPr>
        <w:t xml:space="preserve"> </w:t>
      </w:r>
    </w:p>
    <w:p w:rsidR="00FC5DC8" w:rsidRPr="008D6E5C" w:rsidRDefault="00FC5DC8" w:rsidP="001520D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bCs/>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IACHR</w:t>
      </w:r>
      <w:r w:rsidR="00FC5DC8" w:rsidRPr="008D6E5C">
        <w:rPr>
          <w:rFonts w:ascii="Cambria" w:hAnsi="Cambria"/>
          <w:bCs/>
          <w:sz w:val="20"/>
          <w:szCs w:val="20"/>
        </w:rPr>
        <w:t xml:space="preserve"> </w:t>
      </w:r>
      <w:r w:rsidR="001766CB" w:rsidRPr="008D6E5C">
        <w:rPr>
          <w:rFonts w:ascii="Cambria" w:hAnsi="Cambria"/>
          <w:bCs/>
          <w:sz w:val="20"/>
          <w:szCs w:val="20"/>
        </w:rPr>
        <w:t>observes that</w:t>
      </w:r>
      <w:r w:rsidR="00FC5DC8" w:rsidRPr="008D6E5C">
        <w:rPr>
          <w:rFonts w:ascii="Cambria" w:hAnsi="Cambria"/>
          <w:bCs/>
          <w:sz w:val="20"/>
          <w:szCs w:val="20"/>
        </w:rPr>
        <w:t xml:space="preserve">, </w:t>
      </w:r>
      <w:r w:rsidR="005157EF" w:rsidRPr="008D6E5C">
        <w:rPr>
          <w:rFonts w:ascii="Cambria" w:hAnsi="Cambria"/>
          <w:bCs/>
          <w:sz w:val="20"/>
          <w:szCs w:val="20"/>
        </w:rPr>
        <w:t>in spite of these complaints</w:t>
      </w:r>
      <w:r w:rsidR="00FC5DC8" w:rsidRPr="008D6E5C">
        <w:rPr>
          <w:rFonts w:ascii="Cambria" w:hAnsi="Cambria"/>
          <w:bCs/>
          <w:sz w:val="20"/>
          <w:szCs w:val="20"/>
        </w:rPr>
        <w:t xml:space="preserve">, </w:t>
      </w:r>
      <w:r w:rsidR="005157EF" w:rsidRPr="008D6E5C">
        <w:rPr>
          <w:rFonts w:ascii="Cambria" w:hAnsi="Cambria"/>
          <w:bCs/>
          <w:sz w:val="20"/>
          <w:szCs w:val="20"/>
        </w:rPr>
        <w:t>the authorities responsible for the</w:t>
      </w:r>
      <w:r w:rsidR="00FC5DC8" w:rsidRPr="008D6E5C">
        <w:rPr>
          <w:rFonts w:ascii="Cambria" w:hAnsi="Cambria"/>
          <w:bCs/>
          <w:sz w:val="20"/>
          <w:szCs w:val="20"/>
        </w:rPr>
        <w:t xml:space="preserve"> </w:t>
      </w:r>
      <w:r w:rsidR="005157EF" w:rsidRPr="008D6E5C">
        <w:rPr>
          <w:rFonts w:ascii="Cambria" w:hAnsi="Cambria"/>
          <w:bCs/>
          <w:sz w:val="20"/>
          <w:szCs w:val="20"/>
        </w:rPr>
        <w:t xml:space="preserve">pretrial phase of the criminal proceeding have continued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005157EF" w:rsidRPr="008D6E5C">
        <w:rPr>
          <w:rFonts w:ascii="Cambria" w:hAnsi="Cambria"/>
          <w:bCs/>
          <w:sz w:val="20"/>
          <w:szCs w:val="20"/>
        </w:rPr>
        <w:t>into the alleged responsibility of the FARC</w:t>
      </w:r>
      <w:r w:rsidR="00FC5DC8" w:rsidRPr="008D6E5C">
        <w:rPr>
          <w:rFonts w:ascii="Cambria" w:hAnsi="Cambria"/>
          <w:bCs/>
          <w:sz w:val="20"/>
          <w:szCs w:val="20"/>
        </w:rPr>
        <w:t xml:space="preserve"> guerrilla</w:t>
      </w:r>
      <w:r w:rsidR="005157EF" w:rsidRPr="008D6E5C">
        <w:rPr>
          <w:rFonts w:ascii="Cambria" w:hAnsi="Cambria"/>
          <w:bCs/>
          <w:sz w:val="20"/>
          <w:szCs w:val="20"/>
        </w:rPr>
        <w:t xml:space="preserve">s; to date, </w:t>
      </w:r>
      <w:r w:rsidR="00084FF9" w:rsidRPr="008D6E5C">
        <w:rPr>
          <w:rFonts w:ascii="Cambria" w:hAnsi="Cambria"/>
          <w:bCs/>
          <w:sz w:val="20"/>
          <w:szCs w:val="20"/>
        </w:rPr>
        <w:t>two members of the</w:t>
      </w:r>
      <w:r w:rsidR="00FC5DC8" w:rsidRPr="008D6E5C">
        <w:rPr>
          <w:rFonts w:ascii="Cambria" w:hAnsi="Cambria"/>
          <w:bCs/>
          <w:sz w:val="20"/>
          <w:szCs w:val="20"/>
        </w:rPr>
        <w:t xml:space="preserve"> guerrilla, a</w:t>
      </w:r>
      <w:r w:rsidR="00084FF9" w:rsidRPr="008D6E5C">
        <w:rPr>
          <w:rFonts w:ascii="Cambria" w:hAnsi="Cambria"/>
          <w:bCs/>
          <w:sz w:val="20"/>
          <w:szCs w:val="20"/>
        </w:rPr>
        <w:t>lias “</w:t>
      </w:r>
      <w:r w:rsidR="00FC5DC8" w:rsidRPr="008D6E5C">
        <w:rPr>
          <w:rFonts w:ascii="Cambria" w:hAnsi="Cambria"/>
          <w:bCs/>
          <w:sz w:val="20"/>
          <w:szCs w:val="20"/>
        </w:rPr>
        <w:t xml:space="preserve">El </w:t>
      </w:r>
      <w:proofErr w:type="spellStart"/>
      <w:r w:rsidR="00FC5DC8" w:rsidRPr="008D6E5C">
        <w:rPr>
          <w:rFonts w:ascii="Cambria" w:hAnsi="Cambria"/>
          <w:bCs/>
          <w:sz w:val="20"/>
          <w:szCs w:val="20"/>
        </w:rPr>
        <w:t>Corcho</w:t>
      </w:r>
      <w:proofErr w:type="spellEnd"/>
      <w:r w:rsidR="00FC5DC8" w:rsidRPr="008D6E5C">
        <w:rPr>
          <w:rFonts w:ascii="Cambria" w:hAnsi="Cambria"/>
          <w:bCs/>
          <w:sz w:val="20"/>
          <w:szCs w:val="20"/>
        </w:rPr>
        <w:t xml:space="preserve">” </w:t>
      </w:r>
      <w:r w:rsidR="00084FF9" w:rsidRPr="008D6E5C">
        <w:rPr>
          <w:rFonts w:ascii="Cambria" w:hAnsi="Cambria"/>
          <w:bCs/>
          <w:sz w:val="20"/>
          <w:szCs w:val="20"/>
        </w:rPr>
        <w:t xml:space="preserve">and </w:t>
      </w:r>
      <w:r w:rsidR="00CA5CE1" w:rsidRPr="008D6E5C">
        <w:rPr>
          <w:rFonts w:ascii="Cambria" w:hAnsi="Cambria"/>
          <w:bCs/>
          <w:sz w:val="20"/>
          <w:szCs w:val="20"/>
        </w:rPr>
        <w:t xml:space="preserve">alias “Oswaldo </w:t>
      </w:r>
      <w:proofErr w:type="spellStart"/>
      <w:r w:rsidR="00CA5CE1" w:rsidRPr="008D6E5C">
        <w:rPr>
          <w:rFonts w:ascii="Cambria" w:hAnsi="Cambria"/>
          <w:bCs/>
          <w:sz w:val="20"/>
          <w:szCs w:val="20"/>
        </w:rPr>
        <w:t>Patiñ</w:t>
      </w:r>
      <w:r w:rsidR="00777AD4" w:rsidRPr="008D6E5C">
        <w:rPr>
          <w:rFonts w:ascii="Cambria" w:hAnsi="Cambria"/>
          <w:bCs/>
          <w:sz w:val="20"/>
          <w:szCs w:val="20"/>
        </w:rPr>
        <w:t>o</w:t>
      </w:r>
      <w:proofErr w:type="spellEnd"/>
      <w:r w:rsidR="00777AD4" w:rsidRPr="008D6E5C">
        <w:rPr>
          <w:rFonts w:ascii="Cambria" w:hAnsi="Cambria"/>
          <w:bCs/>
          <w:sz w:val="20"/>
          <w:szCs w:val="20"/>
        </w:rPr>
        <w:t>,”</w:t>
      </w:r>
      <w:r w:rsidR="00FC5DC8" w:rsidRPr="008D6E5C">
        <w:rPr>
          <w:rFonts w:ascii="Cambria" w:hAnsi="Cambria"/>
          <w:bCs/>
          <w:sz w:val="20"/>
          <w:szCs w:val="20"/>
        </w:rPr>
        <w:t xml:space="preserve"> </w:t>
      </w:r>
      <w:r w:rsidR="00084FF9" w:rsidRPr="008D6E5C">
        <w:rPr>
          <w:rFonts w:ascii="Cambria" w:hAnsi="Cambria"/>
          <w:bCs/>
          <w:sz w:val="20"/>
          <w:szCs w:val="20"/>
        </w:rPr>
        <w:t xml:space="preserve">reportedly remain implicated in the case </w:t>
      </w:r>
      <w:r w:rsidR="005157EF" w:rsidRPr="008D6E5C">
        <w:rPr>
          <w:rFonts w:ascii="Cambria" w:hAnsi="Cambria"/>
          <w:bCs/>
          <w:sz w:val="20"/>
          <w:szCs w:val="20"/>
        </w:rPr>
        <w:t xml:space="preserve">without any specific outcome after more than a decade of </w:t>
      </w:r>
      <w:r w:rsidR="005157EF" w:rsidRPr="008D6E5C">
        <w:rPr>
          <w:rFonts w:ascii="Cambria" w:hAnsi="Cambria"/>
          <w:bCs/>
          <w:sz w:val="20"/>
          <w:szCs w:val="20"/>
        </w:rPr>
        <w:lastRenderedPageBreak/>
        <w:t>investigations and</w:t>
      </w:r>
      <w:r w:rsidR="00FC5DC8" w:rsidRPr="008D6E5C">
        <w:rPr>
          <w:rFonts w:ascii="Cambria" w:hAnsi="Cambria"/>
          <w:bCs/>
          <w:sz w:val="20"/>
          <w:szCs w:val="20"/>
        </w:rPr>
        <w:t xml:space="preserve"> 6 </w:t>
      </w:r>
      <w:r w:rsidR="00084FF9" w:rsidRPr="008D6E5C">
        <w:rPr>
          <w:rFonts w:ascii="Cambria" w:hAnsi="Cambria"/>
          <w:bCs/>
          <w:sz w:val="20"/>
          <w:szCs w:val="20"/>
        </w:rPr>
        <w:t>years after they were implicated in the case</w:t>
      </w:r>
      <w:r w:rsidR="00FC5DC8" w:rsidRPr="008D6E5C">
        <w:rPr>
          <w:rFonts w:ascii="Cambria" w:hAnsi="Cambria"/>
          <w:bCs/>
          <w:sz w:val="20"/>
          <w:szCs w:val="20"/>
        </w:rPr>
        <w:t xml:space="preserve">. </w:t>
      </w:r>
      <w:r w:rsidR="00084FF9" w:rsidRPr="008D6E5C">
        <w:rPr>
          <w:rFonts w:ascii="Cambria" w:hAnsi="Cambria"/>
          <w:bCs/>
          <w:sz w:val="20"/>
          <w:szCs w:val="20"/>
        </w:rPr>
        <w:t>In the opinion of this Commission</w:t>
      </w:r>
      <w:r w:rsidR="00FC5DC8" w:rsidRPr="008D6E5C">
        <w:rPr>
          <w:rFonts w:ascii="Cambria" w:hAnsi="Cambria"/>
          <w:bCs/>
          <w:sz w:val="20"/>
          <w:szCs w:val="20"/>
        </w:rPr>
        <w:t xml:space="preserve">, </w:t>
      </w:r>
      <w:r w:rsidR="005157EF" w:rsidRPr="008D6E5C">
        <w:rPr>
          <w:rFonts w:ascii="Cambria" w:hAnsi="Cambria"/>
          <w:bCs/>
          <w:sz w:val="20"/>
          <w:szCs w:val="20"/>
        </w:rPr>
        <w:t>this has functioned as a mechanism for these acts to go unpunished</w:t>
      </w:r>
      <w:r w:rsidR="00FC5DC8" w:rsidRPr="008D6E5C">
        <w:rPr>
          <w:rFonts w:ascii="Cambria" w:hAnsi="Cambria"/>
          <w:bCs/>
          <w:sz w:val="20"/>
          <w:szCs w:val="20"/>
        </w:rPr>
        <w:t xml:space="preserve">, </w:t>
      </w:r>
      <w:r w:rsidR="005157EF" w:rsidRPr="008D6E5C">
        <w:rPr>
          <w:rFonts w:ascii="Cambria" w:hAnsi="Cambria"/>
          <w:bCs/>
          <w:sz w:val="20"/>
          <w:szCs w:val="20"/>
        </w:rPr>
        <w:t xml:space="preserve">in light of the criminal statutes of limitation applicable in this case. </w:t>
      </w:r>
    </w:p>
    <w:p w:rsidR="00FC5DC8" w:rsidRPr="008D6E5C" w:rsidRDefault="00FC5DC8" w:rsidP="001520DB">
      <w:pPr>
        <w:pStyle w:val="ListParagraph"/>
        <w:rPr>
          <w:sz w:val="20"/>
          <w:szCs w:val="20"/>
        </w:rPr>
      </w:pPr>
    </w:p>
    <w:p w:rsidR="00FC5DC8" w:rsidRPr="008D6E5C" w:rsidRDefault="00E01A7C"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According to the information available, the Commission observes</w:t>
      </w:r>
      <w:r w:rsidR="003405EC" w:rsidRPr="008D6E5C">
        <w:rPr>
          <w:rFonts w:ascii="Cambria" w:hAnsi="Cambria"/>
          <w:sz w:val="20"/>
          <w:szCs w:val="20"/>
        </w:rPr>
        <w:t xml:space="preserve"> </w:t>
      </w:r>
      <w:r w:rsidR="001766CB" w:rsidRPr="008D6E5C">
        <w:rPr>
          <w:rFonts w:ascii="Cambria" w:hAnsi="Cambria"/>
          <w:sz w:val="20"/>
          <w:szCs w:val="20"/>
        </w:rPr>
        <w:t>that line of investigation</w:t>
      </w:r>
      <w:r w:rsidR="00FC5DC8" w:rsidRPr="008D6E5C">
        <w:rPr>
          <w:rFonts w:ascii="Cambria" w:hAnsi="Cambria"/>
          <w:bCs/>
          <w:sz w:val="20"/>
          <w:szCs w:val="20"/>
        </w:rPr>
        <w:t xml:space="preserve"> </w:t>
      </w:r>
      <w:r w:rsidR="001766CB" w:rsidRPr="008D6E5C">
        <w:rPr>
          <w:rFonts w:ascii="Cambria" w:hAnsi="Cambria"/>
          <w:bCs/>
          <w:sz w:val="20"/>
          <w:szCs w:val="20"/>
        </w:rPr>
        <w:t>does not appear to be corroborated by any evidence</w:t>
      </w:r>
      <w:r w:rsidR="005D2DA8" w:rsidRPr="008D6E5C">
        <w:rPr>
          <w:rFonts w:ascii="Cambria" w:hAnsi="Cambria"/>
          <w:bCs/>
          <w:sz w:val="20"/>
          <w:szCs w:val="20"/>
        </w:rPr>
        <w:t xml:space="preserve">, and is clearly contradicted by the conclusions drawn from the </w:t>
      </w:r>
      <w:r w:rsidR="00EF5F24" w:rsidRPr="008D6E5C">
        <w:rPr>
          <w:rFonts w:ascii="Cambria" w:hAnsi="Cambria"/>
          <w:bCs/>
          <w:sz w:val="20"/>
          <w:szCs w:val="20"/>
        </w:rPr>
        <w:t>threats</w:t>
      </w:r>
      <w:r w:rsidR="00FC5DC8" w:rsidRPr="008D6E5C">
        <w:rPr>
          <w:rFonts w:ascii="Cambria" w:hAnsi="Cambria"/>
          <w:bCs/>
          <w:sz w:val="20"/>
          <w:szCs w:val="20"/>
        </w:rPr>
        <w:t xml:space="preserve"> </w:t>
      </w:r>
      <w:r w:rsidR="005D2DA8" w:rsidRPr="008D6E5C">
        <w:rPr>
          <w:rFonts w:ascii="Cambria" w:hAnsi="Cambria"/>
          <w:bCs/>
          <w:sz w:val="20"/>
          <w:szCs w:val="20"/>
        </w:rPr>
        <w:t>and the majority of the witness accounts</w:t>
      </w:r>
      <w:r w:rsidR="00FC5DC8" w:rsidRPr="008D6E5C">
        <w:rPr>
          <w:rFonts w:ascii="Cambria" w:hAnsi="Cambria"/>
          <w:bCs/>
          <w:sz w:val="20"/>
          <w:szCs w:val="20"/>
        </w:rPr>
        <w:t xml:space="preserve">. </w:t>
      </w:r>
      <w:r w:rsidR="005D2DA8" w:rsidRPr="008D6E5C">
        <w:rPr>
          <w:rFonts w:ascii="Cambria" w:hAnsi="Cambria"/>
          <w:bCs/>
          <w:sz w:val="20"/>
          <w:szCs w:val="20"/>
        </w:rPr>
        <w:t>What’s more, there are no indications in the case file of a serious investigation into whether,</w:t>
      </w:r>
      <w:r w:rsidR="00FC5DC8" w:rsidRPr="008D6E5C">
        <w:rPr>
          <w:rFonts w:ascii="Cambria" w:hAnsi="Cambria"/>
          <w:bCs/>
          <w:sz w:val="20"/>
          <w:szCs w:val="20"/>
        </w:rPr>
        <w:t xml:space="preserve"> </w:t>
      </w:r>
      <w:r w:rsidR="005D2DA8" w:rsidRPr="008D6E5C">
        <w:rPr>
          <w:rFonts w:ascii="Cambria" w:hAnsi="Cambria"/>
          <w:bCs/>
          <w:sz w:val="20"/>
          <w:szCs w:val="20"/>
        </w:rPr>
        <w:t>as alleged</w:t>
      </w:r>
      <w:r w:rsidR="00FC5DC8" w:rsidRPr="008D6E5C">
        <w:rPr>
          <w:rFonts w:ascii="Cambria" w:hAnsi="Cambria"/>
          <w:bCs/>
          <w:sz w:val="20"/>
          <w:szCs w:val="20"/>
        </w:rPr>
        <w:t xml:space="preserve">, </w:t>
      </w:r>
      <w:r w:rsidR="005D2DA8" w:rsidRPr="008D6E5C">
        <w:rPr>
          <w:rFonts w:ascii="Cambria" w:hAnsi="Cambria"/>
          <w:bCs/>
          <w:sz w:val="20"/>
          <w:szCs w:val="20"/>
        </w:rPr>
        <w:t>some of the defense</w:t>
      </w:r>
      <w:r w:rsidR="00FC5DC8" w:rsidRPr="008D6E5C">
        <w:rPr>
          <w:rFonts w:ascii="Cambria" w:hAnsi="Cambria"/>
          <w:bCs/>
          <w:sz w:val="20"/>
          <w:szCs w:val="20"/>
        </w:rPr>
        <w:t xml:space="preserve"> </w:t>
      </w:r>
      <w:r w:rsidR="001000C6" w:rsidRPr="008D6E5C">
        <w:rPr>
          <w:rFonts w:ascii="Cambria" w:hAnsi="Cambria"/>
          <w:bCs/>
          <w:sz w:val="20"/>
          <w:szCs w:val="20"/>
        </w:rPr>
        <w:t>witnesses</w:t>
      </w:r>
      <w:r w:rsidR="00FC5DC8" w:rsidRPr="008D6E5C">
        <w:rPr>
          <w:rFonts w:ascii="Cambria" w:hAnsi="Cambria"/>
          <w:bCs/>
          <w:sz w:val="20"/>
          <w:szCs w:val="20"/>
        </w:rPr>
        <w:t xml:space="preserve"> </w:t>
      </w:r>
      <w:r w:rsidR="005D2DA8" w:rsidRPr="008D6E5C">
        <w:rPr>
          <w:rFonts w:ascii="Cambria" w:hAnsi="Cambria"/>
          <w:bCs/>
          <w:sz w:val="20"/>
          <w:szCs w:val="20"/>
        </w:rPr>
        <w:t xml:space="preserve">gave false testimony </w:t>
      </w:r>
      <w:r w:rsidR="00572FDB" w:rsidRPr="008D6E5C">
        <w:rPr>
          <w:rFonts w:ascii="Cambria" w:hAnsi="Cambria"/>
          <w:bCs/>
          <w:sz w:val="20"/>
          <w:szCs w:val="20"/>
        </w:rPr>
        <w:t xml:space="preserve">at trial </w:t>
      </w:r>
      <w:r w:rsidR="0045097B" w:rsidRPr="008D6E5C">
        <w:rPr>
          <w:rFonts w:ascii="Cambria" w:hAnsi="Cambria"/>
          <w:bCs/>
          <w:sz w:val="20"/>
          <w:szCs w:val="20"/>
        </w:rPr>
        <w:t>in this case</w:t>
      </w:r>
      <w:r w:rsidR="00FC5DC8" w:rsidRPr="008D6E5C">
        <w:rPr>
          <w:rFonts w:ascii="Cambria" w:hAnsi="Cambria"/>
          <w:bCs/>
          <w:sz w:val="20"/>
          <w:szCs w:val="20"/>
        </w:rPr>
        <w:t xml:space="preserve"> </w:t>
      </w:r>
      <w:r w:rsidR="005D2DA8" w:rsidRPr="008D6E5C">
        <w:rPr>
          <w:rFonts w:ascii="Cambria" w:hAnsi="Cambria"/>
          <w:bCs/>
          <w:sz w:val="20"/>
          <w:szCs w:val="20"/>
        </w:rPr>
        <w:t>to divert</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005D2DA8" w:rsidRPr="008D6E5C">
        <w:rPr>
          <w:rFonts w:ascii="Cambria" w:hAnsi="Cambria"/>
          <w:bCs/>
          <w:sz w:val="20"/>
          <w:szCs w:val="20"/>
        </w:rPr>
        <w:t>clear the defendants of criminal wrongdoing, and enable their acquittal.</w:t>
      </w:r>
      <w:r w:rsidR="00FC5DC8" w:rsidRPr="008D6E5C">
        <w:rPr>
          <w:rFonts w:ascii="Cambria" w:hAnsi="Cambria"/>
          <w:sz w:val="20"/>
          <w:szCs w:val="20"/>
        </w:rPr>
        <w:t xml:space="preserve"> </w:t>
      </w:r>
      <w:r w:rsidR="005D2DA8" w:rsidRPr="008D6E5C">
        <w:rPr>
          <w:rFonts w:ascii="Cambria" w:hAnsi="Cambria"/>
          <w:sz w:val="20"/>
          <w:szCs w:val="20"/>
        </w:rPr>
        <w:t>It is an extremely serious accusation</w:t>
      </w:r>
      <w:r w:rsidR="00FC5DC8" w:rsidRPr="008D6E5C">
        <w:rPr>
          <w:rFonts w:ascii="Cambria" w:hAnsi="Cambria"/>
          <w:bCs/>
          <w:sz w:val="20"/>
          <w:szCs w:val="20"/>
        </w:rPr>
        <w:t xml:space="preserve">, </w:t>
      </w:r>
      <w:r w:rsidR="00777AD4" w:rsidRPr="008D6E5C">
        <w:rPr>
          <w:rFonts w:ascii="Cambria" w:hAnsi="Cambria"/>
          <w:bCs/>
          <w:sz w:val="20"/>
          <w:szCs w:val="20"/>
        </w:rPr>
        <w:t>which warrants a serious and timely investigation</w:t>
      </w:r>
      <w:r w:rsidR="00FC5DC8" w:rsidRPr="008D6E5C">
        <w:rPr>
          <w:rFonts w:ascii="Cambria" w:hAnsi="Cambria"/>
          <w:bCs/>
          <w:sz w:val="20"/>
          <w:szCs w:val="20"/>
        </w:rPr>
        <w:t>.</w:t>
      </w:r>
    </w:p>
    <w:p w:rsidR="00FC5DC8" w:rsidRPr="008D6E5C" w:rsidRDefault="00FC5DC8" w:rsidP="001520DB">
      <w:pPr>
        <w:pStyle w:val="ListParagraph"/>
        <w:shd w:val="clear" w:color="auto" w:fill="FFFFFF"/>
        <w:jc w:val="both"/>
        <w:rPr>
          <w:bCs/>
          <w:sz w:val="20"/>
          <w:szCs w:val="20"/>
        </w:rPr>
      </w:pPr>
    </w:p>
    <w:p w:rsidR="00FC5DC8" w:rsidRPr="008D6E5C" w:rsidRDefault="001766CB"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Accordingly</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00CD7A28" w:rsidRPr="008D6E5C">
        <w:rPr>
          <w:rFonts w:ascii="Cambria" w:hAnsi="Cambria"/>
          <w:bCs/>
          <w:sz w:val="20"/>
          <w:szCs w:val="20"/>
        </w:rPr>
        <w:t>considers that the measures taken to further the</w:t>
      </w:r>
      <w:r w:rsidRPr="008D6E5C">
        <w:rPr>
          <w:rFonts w:ascii="Cambria" w:hAnsi="Cambria"/>
          <w:bCs/>
          <w:sz w:val="20"/>
          <w:szCs w:val="20"/>
        </w:rPr>
        <w:t xml:space="preserve"> investigation</w:t>
      </w:r>
      <w:r w:rsidR="00FC5DC8" w:rsidRPr="008D6E5C">
        <w:rPr>
          <w:rFonts w:ascii="Cambria" w:hAnsi="Cambria"/>
          <w:bCs/>
          <w:sz w:val="20"/>
          <w:szCs w:val="20"/>
        </w:rPr>
        <w:t xml:space="preserve"> </w:t>
      </w:r>
      <w:r w:rsidR="00CD7A28" w:rsidRPr="008D6E5C">
        <w:rPr>
          <w:rFonts w:ascii="Cambria" w:hAnsi="Cambria"/>
          <w:bCs/>
          <w:sz w:val="20"/>
          <w:szCs w:val="20"/>
        </w:rPr>
        <w:t>have not been adequate and sufficient to satisfy the obligation of the State to conduct an</w:t>
      </w:r>
      <w:r w:rsidR="00FC5DC8" w:rsidRPr="008D6E5C">
        <w:rPr>
          <w:rFonts w:ascii="Cambria" w:hAnsi="Cambria"/>
          <w:bCs/>
          <w:sz w:val="20"/>
          <w:szCs w:val="20"/>
        </w:rPr>
        <w:t xml:space="preserve"> </w:t>
      </w:r>
      <w:r w:rsidR="0053167E" w:rsidRPr="008D6E5C">
        <w:rPr>
          <w:rFonts w:ascii="Cambria" w:hAnsi="Cambria"/>
          <w:bCs/>
          <w:sz w:val="20"/>
          <w:szCs w:val="20"/>
        </w:rPr>
        <w:t xml:space="preserve">exhaustive </w:t>
      </w:r>
      <w:r w:rsidR="00CD7A28" w:rsidRPr="008D6E5C">
        <w:rPr>
          <w:rFonts w:ascii="Cambria" w:hAnsi="Cambria"/>
          <w:bCs/>
          <w:sz w:val="20"/>
          <w:szCs w:val="20"/>
        </w:rPr>
        <w:t xml:space="preserve">and diligent </w:t>
      </w:r>
      <w:r w:rsidR="0053167E" w:rsidRPr="008D6E5C">
        <w:rPr>
          <w:rFonts w:ascii="Cambria" w:hAnsi="Cambria"/>
          <w:bCs/>
          <w:sz w:val="20"/>
          <w:szCs w:val="20"/>
        </w:rPr>
        <w:t>investigation</w:t>
      </w:r>
      <w:r w:rsidR="00CD7A28" w:rsidRPr="008D6E5C">
        <w:rPr>
          <w:rFonts w:ascii="Cambria" w:hAnsi="Cambria"/>
          <w:bCs/>
          <w:sz w:val="20"/>
          <w:szCs w:val="20"/>
        </w:rPr>
        <w:t>, given the seriousness of the crime and the perverse effects that impunity has on society in these types of cases</w:t>
      </w:r>
      <w:r w:rsidR="00FC5DC8"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FC5DC8" w:rsidP="001520DB">
      <w:pPr>
        <w:pStyle w:val="Heading4"/>
        <w:spacing w:before="0"/>
        <w:rPr>
          <w:szCs w:val="20"/>
        </w:rPr>
      </w:pPr>
      <w:r w:rsidRPr="008D6E5C">
        <w:rPr>
          <w:szCs w:val="20"/>
        </w:rPr>
        <w:t>d.</w:t>
      </w:r>
      <w:r w:rsidRPr="008D6E5C">
        <w:rPr>
          <w:szCs w:val="20"/>
        </w:rPr>
        <w:tab/>
      </w:r>
      <w:r w:rsidR="00850026" w:rsidRPr="008D6E5C">
        <w:rPr>
          <w:szCs w:val="20"/>
        </w:rPr>
        <w:t>Undue delay</w:t>
      </w:r>
      <w:r w:rsidRPr="008D6E5C">
        <w:rPr>
          <w:szCs w:val="20"/>
        </w:rPr>
        <w:t xml:space="preserve"> </w:t>
      </w:r>
      <w:r w:rsidR="00850026" w:rsidRPr="008D6E5C">
        <w:rPr>
          <w:szCs w:val="20"/>
        </w:rPr>
        <w:t>and the lack of substantial progress in the investigations</w:t>
      </w:r>
    </w:p>
    <w:p w:rsidR="00FC5DC8" w:rsidRPr="008D6E5C" w:rsidRDefault="00FC5DC8" w:rsidP="001520DB">
      <w:pPr>
        <w:pStyle w:val="ListParagraph"/>
        <w:shd w:val="clear" w:color="auto" w:fill="FFFFFF"/>
        <w:jc w:val="both"/>
        <w:rPr>
          <w:sz w:val="20"/>
          <w:szCs w:val="20"/>
        </w:rPr>
      </w:pPr>
    </w:p>
    <w:p w:rsidR="00FC5DC8" w:rsidRPr="008D6E5C" w:rsidRDefault="00850026"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compliance with its duty to pursue justice for acts of</w:t>
      </w:r>
      <w:r w:rsidR="00FC5DC8" w:rsidRPr="008D6E5C">
        <w:rPr>
          <w:rFonts w:ascii="Cambria" w:hAnsi="Cambria"/>
          <w:bCs/>
          <w:sz w:val="20"/>
          <w:szCs w:val="20"/>
        </w:rPr>
        <w:t xml:space="preserve">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w:t>
      </w:r>
      <w:r w:rsidRPr="008D6E5C">
        <w:rPr>
          <w:rFonts w:ascii="Cambria" w:hAnsi="Cambria"/>
          <w:bCs/>
          <w:sz w:val="20"/>
          <w:szCs w:val="20"/>
        </w:rPr>
        <w:t>States have the obligation to ensure that the investigations and criminal proceedings are conducted within a reasonable period of time. In this regard,</w:t>
      </w:r>
      <w:r w:rsidR="00FC5DC8" w:rsidRPr="008D6E5C">
        <w:rPr>
          <w:rFonts w:ascii="Cambria" w:hAnsi="Cambria"/>
          <w:bCs/>
          <w:sz w:val="20"/>
          <w:szCs w:val="20"/>
        </w:rPr>
        <w:t xml:space="preserve"> </w:t>
      </w:r>
      <w:r w:rsidR="004B0168" w:rsidRPr="008D6E5C">
        <w:rPr>
          <w:rFonts w:ascii="Cambria" w:hAnsi="Cambria"/>
          <w:bCs/>
          <w:sz w:val="20"/>
          <w:szCs w:val="20"/>
        </w:rPr>
        <w:t>the Inter-American Court</w:t>
      </w:r>
      <w:r w:rsidR="00FC5DC8" w:rsidRPr="008D6E5C">
        <w:rPr>
          <w:rFonts w:ascii="Cambria" w:hAnsi="Cambria"/>
          <w:bCs/>
          <w:sz w:val="20"/>
          <w:szCs w:val="20"/>
        </w:rPr>
        <w:t xml:space="preserve"> ha</w:t>
      </w:r>
      <w:r w:rsidRPr="008D6E5C">
        <w:rPr>
          <w:rFonts w:ascii="Cambria" w:hAnsi="Cambria"/>
          <w:bCs/>
          <w:sz w:val="20"/>
          <w:szCs w:val="20"/>
        </w:rPr>
        <w:t xml:space="preserve">s established that excessive delay in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 xml:space="preserve">of acts of violence can </w:t>
      </w:r>
      <w:r w:rsidR="00FC5DC8" w:rsidRPr="008D6E5C">
        <w:rPr>
          <w:rFonts w:ascii="Cambria" w:hAnsi="Cambria"/>
          <w:bCs/>
          <w:i/>
          <w:sz w:val="20"/>
          <w:szCs w:val="20"/>
        </w:rPr>
        <w:t>per se</w:t>
      </w:r>
      <w:r w:rsidRPr="008D6E5C">
        <w:rPr>
          <w:rFonts w:ascii="Cambria" w:hAnsi="Cambria"/>
          <w:bCs/>
          <w:sz w:val="20"/>
          <w:szCs w:val="20"/>
        </w:rPr>
        <w:t xml:space="preserve"> </w:t>
      </w:r>
      <w:r w:rsidR="007522EE" w:rsidRPr="008D6E5C">
        <w:rPr>
          <w:rFonts w:ascii="Cambria" w:hAnsi="Cambria"/>
          <w:bCs/>
          <w:sz w:val="20"/>
          <w:szCs w:val="20"/>
        </w:rPr>
        <w:t xml:space="preserve">be </w:t>
      </w:r>
      <w:r w:rsidR="00FC5DC8" w:rsidRPr="008D6E5C">
        <w:rPr>
          <w:rFonts w:ascii="Cambria" w:hAnsi="Cambria"/>
          <w:bCs/>
          <w:sz w:val="20"/>
          <w:szCs w:val="20"/>
        </w:rPr>
        <w:t>a viola</w:t>
      </w:r>
      <w:r w:rsidRPr="008D6E5C">
        <w:rPr>
          <w:rFonts w:ascii="Cambria" w:hAnsi="Cambria"/>
          <w:bCs/>
          <w:sz w:val="20"/>
          <w:szCs w:val="20"/>
        </w:rPr>
        <w:t>tion of th</w:t>
      </w:r>
      <w:r w:rsidR="004B0168" w:rsidRPr="008D6E5C">
        <w:rPr>
          <w:rFonts w:ascii="Cambria" w:hAnsi="Cambria"/>
          <w:bCs/>
          <w:sz w:val="20"/>
          <w:szCs w:val="20"/>
        </w:rPr>
        <w:t>e right to a fair trial</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58"/>
      </w:r>
      <w:r w:rsidR="00FC5DC8" w:rsidRPr="008D6E5C">
        <w:rPr>
          <w:rFonts w:ascii="Cambria" w:hAnsi="Cambria"/>
          <w:bCs/>
          <w:sz w:val="20"/>
          <w:szCs w:val="20"/>
        </w:rPr>
        <w:t xml:space="preserve"> </w:t>
      </w:r>
      <w:r w:rsidR="000B52FE" w:rsidRPr="008D6E5C">
        <w:rPr>
          <w:rFonts w:ascii="Cambria" w:hAnsi="Cambria"/>
          <w:bCs/>
          <w:sz w:val="20"/>
          <w:szCs w:val="20"/>
        </w:rPr>
        <w:t>The authorities responsible for the</w:t>
      </w:r>
      <w:r w:rsidR="001766CB" w:rsidRPr="008D6E5C">
        <w:rPr>
          <w:rFonts w:ascii="Cambria" w:hAnsi="Cambria"/>
          <w:bCs/>
          <w:sz w:val="20"/>
          <w:szCs w:val="20"/>
        </w:rPr>
        <w:t xml:space="preserve"> investigation</w:t>
      </w:r>
      <w:r w:rsidR="00FC5DC8" w:rsidRPr="008D6E5C">
        <w:rPr>
          <w:rFonts w:ascii="Cambria" w:hAnsi="Cambria"/>
          <w:bCs/>
          <w:sz w:val="20"/>
          <w:szCs w:val="20"/>
        </w:rPr>
        <w:t xml:space="preserve"> </w:t>
      </w:r>
      <w:r w:rsidR="000B52FE" w:rsidRPr="008D6E5C">
        <w:rPr>
          <w:rFonts w:ascii="Cambria" w:hAnsi="Cambria"/>
          <w:bCs/>
          <w:sz w:val="20"/>
          <w:szCs w:val="20"/>
        </w:rPr>
        <w:t>must conduct the proceedings expeditiously</w:t>
      </w:r>
      <w:r w:rsidR="00FC5DC8" w:rsidRPr="008D6E5C">
        <w:rPr>
          <w:rFonts w:ascii="Cambria" w:hAnsi="Cambria"/>
          <w:bCs/>
          <w:sz w:val="20"/>
          <w:szCs w:val="20"/>
        </w:rPr>
        <w:t xml:space="preserve">, </w:t>
      </w:r>
      <w:r w:rsidR="000B52FE" w:rsidRPr="008D6E5C">
        <w:rPr>
          <w:rFonts w:ascii="Cambria" w:hAnsi="Cambria"/>
          <w:bCs/>
          <w:sz w:val="20"/>
          <w:szCs w:val="20"/>
        </w:rPr>
        <w:t>preventing improper delays or obstacles that lead to impunity and violate the proper judicial protection of the right</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59"/>
      </w:r>
    </w:p>
    <w:p w:rsidR="00FC5DC8" w:rsidRPr="008D6E5C" w:rsidRDefault="00FC5DC8" w:rsidP="001520DB">
      <w:pPr>
        <w:pStyle w:val="ListParagraph"/>
        <w:shd w:val="clear" w:color="auto" w:fill="FFFFFF"/>
        <w:jc w:val="both"/>
        <w:rPr>
          <w:sz w:val="20"/>
          <w:szCs w:val="20"/>
        </w:rPr>
      </w:pPr>
    </w:p>
    <w:p w:rsidR="00FC5DC8" w:rsidRPr="008D6E5C" w:rsidRDefault="007522EE"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According to the inter-American case law, the reasonable time period established in</w:t>
      </w:r>
      <w:r w:rsidR="00FC5DC8" w:rsidRPr="008D6E5C">
        <w:rPr>
          <w:rFonts w:ascii="Cambria" w:hAnsi="Cambria"/>
          <w:bCs/>
          <w:sz w:val="20"/>
          <w:szCs w:val="20"/>
        </w:rPr>
        <w:t xml:space="preserve"> </w:t>
      </w:r>
      <w:r w:rsidR="004B0168" w:rsidRPr="008D6E5C">
        <w:rPr>
          <w:rFonts w:ascii="Cambria" w:hAnsi="Cambria"/>
          <w:bCs/>
          <w:sz w:val="20"/>
          <w:szCs w:val="20"/>
        </w:rPr>
        <w:t>Article</w:t>
      </w:r>
      <w:r w:rsidR="00FC5DC8" w:rsidRPr="008D6E5C">
        <w:rPr>
          <w:rFonts w:ascii="Cambria" w:hAnsi="Cambria"/>
          <w:bCs/>
          <w:sz w:val="20"/>
          <w:szCs w:val="20"/>
        </w:rPr>
        <w:t xml:space="preserve"> 8(1) </w:t>
      </w:r>
      <w:r w:rsidR="004B0168" w:rsidRPr="008D6E5C">
        <w:rPr>
          <w:rFonts w:ascii="Cambria" w:hAnsi="Cambria"/>
          <w:bCs/>
          <w:sz w:val="20"/>
          <w:szCs w:val="20"/>
        </w:rPr>
        <w:t>of the American Convention</w:t>
      </w:r>
      <w:r w:rsidR="00FC5DC8" w:rsidRPr="008D6E5C">
        <w:rPr>
          <w:rFonts w:ascii="Cambria" w:hAnsi="Cambria"/>
          <w:bCs/>
          <w:sz w:val="20"/>
          <w:szCs w:val="20"/>
        </w:rPr>
        <w:t xml:space="preserve"> “</w:t>
      </w:r>
      <w:r w:rsidR="00FF21CF" w:rsidRPr="008D6E5C">
        <w:rPr>
          <w:rFonts w:ascii="Cambria" w:hAnsi="Cambria"/>
          <w:bCs/>
          <w:sz w:val="20"/>
          <w:szCs w:val="20"/>
        </w:rPr>
        <w:t>This is not an easy concept to define</w:t>
      </w:r>
      <w:r w:rsidR="001766CB" w:rsidRPr="008D6E5C">
        <w:rPr>
          <w:rFonts w:ascii="Cambria" w:hAnsi="Cambria"/>
          <w:bCs/>
          <w:sz w:val="20"/>
          <w:szCs w:val="20"/>
        </w:rPr>
        <w:t>”</w:t>
      </w:r>
      <w:r w:rsidR="00FF21CF" w:rsidRPr="008D6E5C">
        <w:rPr>
          <w:rFonts w:ascii="Cambria" w:hAnsi="Cambria"/>
          <w:bCs/>
          <w:sz w:val="20"/>
          <w:szCs w:val="20"/>
        </w:rPr>
        <w:t>;</w:t>
      </w:r>
      <w:r w:rsidR="001766CB" w:rsidRPr="008D6E5C">
        <w:rPr>
          <w:rFonts w:ascii="Cambria" w:hAnsi="Cambria"/>
          <w:bCs/>
          <w:sz w:val="20"/>
          <w:szCs w:val="20"/>
        </w:rPr>
        <w:t xml:space="preserve"> </w:t>
      </w:r>
      <w:r w:rsidRPr="008D6E5C">
        <w:rPr>
          <w:rFonts w:ascii="Cambria" w:hAnsi="Cambria"/>
          <w:bCs/>
          <w:sz w:val="20"/>
          <w:szCs w:val="20"/>
        </w:rPr>
        <w:t xml:space="preserve">rather, it must be interpreted in light of the complexity of the case, the </w:t>
      </w:r>
      <w:r w:rsidR="00FF21CF" w:rsidRPr="008D6E5C">
        <w:rPr>
          <w:rFonts w:ascii="Cambria" w:hAnsi="Cambria"/>
          <w:bCs/>
          <w:sz w:val="20"/>
          <w:szCs w:val="20"/>
        </w:rPr>
        <w:t>judicial activity</w:t>
      </w:r>
      <w:r w:rsidRPr="008D6E5C">
        <w:rPr>
          <w:rFonts w:ascii="Cambria" w:hAnsi="Cambria"/>
          <w:bCs/>
          <w:sz w:val="20"/>
          <w:szCs w:val="20"/>
        </w:rPr>
        <w:t xml:space="preserve"> of the interested party, and the conduct of the judicial authorities,</w:t>
      </w:r>
      <w:r w:rsidR="00FC5DC8" w:rsidRPr="008D6E5C">
        <w:rPr>
          <w:rFonts w:ascii="Cambria" w:hAnsi="Cambria"/>
          <w:bCs/>
          <w:sz w:val="20"/>
          <w:szCs w:val="20"/>
          <w:vertAlign w:val="superscript"/>
        </w:rPr>
        <w:footnoteReference w:id="160"/>
      </w:r>
      <w:r w:rsidRPr="008D6E5C">
        <w:rPr>
          <w:rFonts w:ascii="Cambria" w:hAnsi="Cambria"/>
          <w:bCs/>
          <w:sz w:val="20"/>
          <w:szCs w:val="20"/>
        </w:rPr>
        <w:t xml:space="preserve"> and</w:t>
      </w:r>
      <w:r w:rsidR="00FC5DC8" w:rsidRPr="008D6E5C">
        <w:rPr>
          <w:rFonts w:ascii="Cambria" w:hAnsi="Cambria"/>
          <w:bCs/>
          <w:sz w:val="20"/>
          <w:szCs w:val="20"/>
        </w:rPr>
        <w:t xml:space="preserve"> </w:t>
      </w:r>
      <w:r w:rsidR="00FF21CF" w:rsidRPr="008D6E5C">
        <w:rPr>
          <w:rFonts w:ascii="Cambria" w:hAnsi="Cambria"/>
          <w:bCs/>
          <w:sz w:val="20"/>
          <w:szCs w:val="20"/>
        </w:rPr>
        <w:t>the impairment to the legal situation of the person involved in the proceedings</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61"/>
      </w:r>
    </w:p>
    <w:p w:rsidR="00FC5DC8" w:rsidRPr="008D6E5C" w:rsidRDefault="00FC5DC8" w:rsidP="001520DB">
      <w:pPr>
        <w:pStyle w:val="ListParagraph"/>
        <w:shd w:val="clear" w:color="auto" w:fill="FFFFFF"/>
        <w:jc w:val="both"/>
        <w:rPr>
          <w:bCs/>
          <w:sz w:val="20"/>
          <w:szCs w:val="20"/>
        </w:rPr>
      </w:pPr>
    </w:p>
    <w:p w:rsidR="00FC5DC8" w:rsidRPr="008D6E5C" w:rsidRDefault="00A5265A"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t>In this regard</w:t>
      </w:r>
      <w:r w:rsidR="00FC5DC8" w:rsidRPr="008D6E5C">
        <w:rPr>
          <w:rFonts w:ascii="Cambria" w:hAnsi="Cambria"/>
          <w:sz w:val="20"/>
          <w:szCs w:val="20"/>
        </w:rPr>
        <w:t xml:space="preserve">, </w:t>
      </w:r>
      <w:r w:rsidR="004B0168" w:rsidRPr="008D6E5C">
        <w:rPr>
          <w:rFonts w:ascii="Cambria" w:hAnsi="Cambria"/>
          <w:sz w:val="20"/>
          <w:szCs w:val="20"/>
        </w:rPr>
        <w:t>the Inter-American Court</w:t>
      </w:r>
      <w:r w:rsidR="00FC5DC8" w:rsidRPr="008D6E5C">
        <w:rPr>
          <w:rFonts w:ascii="Cambria" w:hAnsi="Cambria"/>
          <w:sz w:val="20"/>
          <w:szCs w:val="20"/>
        </w:rPr>
        <w:t xml:space="preserve"> </w:t>
      </w:r>
      <w:r w:rsidRPr="008D6E5C">
        <w:rPr>
          <w:rFonts w:ascii="Cambria" w:hAnsi="Cambria"/>
          <w:sz w:val="20"/>
          <w:szCs w:val="20"/>
        </w:rPr>
        <w:t>has established that</w:t>
      </w:r>
      <w:r w:rsidR="00FC5DC8" w:rsidRPr="008D6E5C">
        <w:rPr>
          <w:rFonts w:ascii="Cambria" w:hAnsi="Cambria"/>
          <w:sz w:val="20"/>
          <w:szCs w:val="20"/>
        </w:rPr>
        <w:t xml:space="preserve"> </w:t>
      </w:r>
      <w:r w:rsidR="000B52FE" w:rsidRPr="008D6E5C">
        <w:rPr>
          <w:rFonts w:ascii="Cambria" w:hAnsi="Cambria"/>
          <w:sz w:val="20"/>
          <w:szCs w:val="20"/>
        </w:rPr>
        <w:t xml:space="preserve">the authorities responsible for </w:t>
      </w:r>
      <w:r w:rsidRPr="008D6E5C">
        <w:rPr>
          <w:rFonts w:ascii="Cambria" w:hAnsi="Cambria"/>
          <w:sz w:val="20"/>
          <w:szCs w:val="20"/>
        </w:rPr>
        <w:t xml:space="preserve">an investigation must conduct the proceedings </w:t>
      </w:r>
      <w:r w:rsidRPr="008D6E5C">
        <w:rPr>
          <w:rFonts w:ascii="Cambria" w:hAnsi="Cambria"/>
          <w:bCs/>
          <w:sz w:val="20"/>
          <w:szCs w:val="20"/>
        </w:rPr>
        <w:t>expeditiously, preventing improper delays or obstacles that lead to impunity and violate the proper judicial protection of the right</w:t>
      </w:r>
      <w:r w:rsidR="001766CB" w:rsidRPr="008D6E5C">
        <w:rPr>
          <w:rFonts w:ascii="Cambria" w:hAnsi="Cambria"/>
          <w:sz w:val="20"/>
          <w:szCs w:val="20"/>
        </w:rPr>
        <w:t>.</w:t>
      </w:r>
      <w:r w:rsidR="00FC5DC8" w:rsidRPr="008D6E5C">
        <w:rPr>
          <w:rStyle w:val="FootnoteReference"/>
          <w:rFonts w:ascii="Cambria" w:hAnsi="Cambria"/>
          <w:sz w:val="20"/>
          <w:szCs w:val="20"/>
        </w:rPr>
        <w:footnoteReference w:id="162"/>
      </w:r>
      <w:r w:rsidR="00FC5DC8" w:rsidRPr="008D6E5C">
        <w:rPr>
          <w:rFonts w:ascii="Cambria" w:hAnsi="Cambria"/>
          <w:sz w:val="20"/>
          <w:szCs w:val="20"/>
        </w:rPr>
        <w:t xml:space="preserve"> </w:t>
      </w:r>
      <w:r w:rsidRPr="008D6E5C">
        <w:rPr>
          <w:rFonts w:ascii="Cambria" w:hAnsi="Cambria"/>
          <w:sz w:val="20"/>
          <w:szCs w:val="20"/>
        </w:rPr>
        <w:t>Accordingly, the</w:t>
      </w:r>
      <w:r w:rsidR="00DF44C8" w:rsidRPr="008D6E5C">
        <w:rPr>
          <w:rFonts w:ascii="Cambria" w:hAnsi="Cambria"/>
          <w:sz w:val="20"/>
          <w:szCs w:val="20"/>
        </w:rPr>
        <w:t xml:space="preserve"> IACHR</w:t>
      </w:r>
      <w:r w:rsidR="00FC5DC8" w:rsidRPr="008D6E5C">
        <w:rPr>
          <w:rFonts w:ascii="Cambria" w:hAnsi="Cambria"/>
          <w:sz w:val="20"/>
          <w:szCs w:val="20"/>
        </w:rPr>
        <w:t xml:space="preserve"> </w:t>
      </w:r>
      <w:r w:rsidR="001766CB" w:rsidRPr="008D6E5C">
        <w:rPr>
          <w:rFonts w:ascii="Cambria" w:hAnsi="Cambria"/>
          <w:sz w:val="20"/>
          <w:szCs w:val="20"/>
        </w:rPr>
        <w:t xml:space="preserve">has </w:t>
      </w:r>
      <w:r w:rsidRPr="008D6E5C">
        <w:rPr>
          <w:rFonts w:ascii="Cambria" w:hAnsi="Cambria"/>
          <w:sz w:val="20"/>
          <w:szCs w:val="20"/>
        </w:rPr>
        <w:t>held</w:t>
      </w:r>
      <w:r w:rsidR="001766CB" w:rsidRPr="008D6E5C">
        <w:rPr>
          <w:rFonts w:ascii="Cambria" w:hAnsi="Cambria"/>
          <w:sz w:val="20"/>
          <w:szCs w:val="20"/>
        </w:rPr>
        <w:t xml:space="preserve"> that</w:t>
      </w:r>
      <w:r w:rsidR="00FC5DC8" w:rsidRPr="008D6E5C">
        <w:rPr>
          <w:rFonts w:ascii="Cambria" w:hAnsi="Cambria"/>
          <w:sz w:val="20"/>
          <w:szCs w:val="20"/>
        </w:rPr>
        <w:t xml:space="preserve"> “</w:t>
      </w:r>
      <w:r w:rsidRPr="008D6E5C">
        <w:rPr>
          <w:rFonts w:ascii="Cambria" w:hAnsi="Cambria"/>
          <w:sz w:val="20"/>
          <w:szCs w:val="20"/>
        </w:rPr>
        <w:t>as a general rule, a criminal investigation must be carried out promptly to protect the interest of the victims, preserve evidence and even to safeguard the rights of any person that is considered a suspect in the investigation</w:t>
      </w:r>
      <w:r w:rsidR="001766CB" w:rsidRPr="008D6E5C">
        <w:rPr>
          <w:rFonts w:ascii="Cambria" w:hAnsi="Cambria"/>
          <w:sz w:val="20"/>
          <w:szCs w:val="20"/>
        </w:rPr>
        <w:t>.</w:t>
      </w:r>
      <w:r w:rsidR="00FC5DC8" w:rsidRPr="008D6E5C">
        <w:rPr>
          <w:rFonts w:ascii="Cambria" w:hAnsi="Cambria"/>
          <w:sz w:val="20"/>
          <w:szCs w:val="20"/>
        </w:rPr>
        <w:t>”</w:t>
      </w:r>
      <w:r w:rsidR="00FC5DC8" w:rsidRPr="008D6E5C">
        <w:rPr>
          <w:rStyle w:val="FootnoteReference"/>
          <w:rFonts w:ascii="Cambria" w:hAnsi="Cambria"/>
          <w:sz w:val="20"/>
          <w:szCs w:val="20"/>
        </w:rPr>
        <w:footnoteReference w:id="163"/>
      </w:r>
      <w:r w:rsidRPr="008D6E5C">
        <w:rPr>
          <w:rFonts w:ascii="Cambria" w:hAnsi="Cambria"/>
          <w:sz w:val="20"/>
          <w:szCs w:val="20"/>
        </w:rPr>
        <w:t xml:space="preserve"> </w:t>
      </w:r>
    </w:p>
    <w:p w:rsidR="00FC5DC8" w:rsidRPr="008D6E5C" w:rsidRDefault="00FC5DC8" w:rsidP="001520DB">
      <w:pPr>
        <w:pStyle w:val="ListParagraph"/>
        <w:shd w:val="clear" w:color="auto" w:fill="FFFFFF"/>
        <w:jc w:val="both"/>
        <w:rPr>
          <w:bCs/>
          <w:sz w:val="20"/>
          <w:szCs w:val="20"/>
        </w:rPr>
      </w:pPr>
    </w:p>
    <w:p w:rsidR="00FC5DC8" w:rsidRPr="008D6E5C" w:rsidRDefault="002A66A4"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sz w:val="20"/>
          <w:szCs w:val="20"/>
        </w:rPr>
        <w:lastRenderedPageBreak/>
        <w:t>The case file shows that on April</w:t>
      </w:r>
      <w:r w:rsidR="00FC5DC8" w:rsidRPr="008D6E5C">
        <w:rPr>
          <w:rFonts w:ascii="Cambria" w:hAnsi="Cambria"/>
          <w:sz w:val="20"/>
          <w:szCs w:val="20"/>
        </w:rPr>
        <w:t xml:space="preserve"> 16</w:t>
      </w:r>
      <w:r w:rsidRPr="008D6E5C">
        <w:rPr>
          <w:rFonts w:ascii="Cambria" w:hAnsi="Cambria"/>
          <w:sz w:val="20"/>
          <w:szCs w:val="20"/>
        </w:rPr>
        <w:t>,</w:t>
      </w:r>
      <w:r w:rsidR="00FC5DC8" w:rsidRPr="008D6E5C">
        <w:rPr>
          <w:rFonts w:ascii="Cambria" w:hAnsi="Cambria"/>
          <w:sz w:val="20"/>
          <w:szCs w:val="20"/>
        </w:rPr>
        <w:t xml:space="preserve"> 1998, </w:t>
      </w:r>
      <w:r w:rsidRPr="008D6E5C">
        <w:rPr>
          <w:rFonts w:ascii="Cambria" w:hAnsi="Cambria"/>
          <w:sz w:val="20"/>
          <w:szCs w:val="20"/>
        </w:rPr>
        <w:t>following the murder of journalist</w:t>
      </w:r>
      <w:r w:rsidR="00FC5DC8" w:rsidRPr="008D6E5C">
        <w:rPr>
          <w:rFonts w:ascii="Cambria" w:hAnsi="Cambria"/>
          <w:sz w:val="20"/>
          <w:szCs w:val="20"/>
        </w:rPr>
        <w:t xml:space="preserve"> 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Pr="008D6E5C">
        <w:rPr>
          <w:rFonts w:ascii="Cambria" w:hAnsi="Cambria"/>
          <w:sz w:val="20"/>
          <w:szCs w:val="20"/>
        </w:rPr>
        <w:t>in the city of</w:t>
      </w:r>
      <w:r w:rsidR="00FC5DC8" w:rsidRPr="008D6E5C">
        <w:rPr>
          <w:rFonts w:ascii="Cambria" w:hAnsi="Cambria"/>
          <w:sz w:val="20"/>
          <w:szCs w:val="20"/>
        </w:rPr>
        <w:t xml:space="preserve"> </w:t>
      </w:r>
      <w:proofErr w:type="spellStart"/>
      <w:r w:rsidR="00FC5DC8" w:rsidRPr="008D6E5C">
        <w:rPr>
          <w:rFonts w:ascii="Cambria" w:hAnsi="Cambria"/>
          <w:sz w:val="20"/>
          <w:szCs w:val="20"/>
        </w:rPr>
        <w:t>Pitalito</w:t>
      </w:r>
      <w:proofErr w:type="spellEnd"/>
      <w:r w:rsidR="00FC5DC8" w:rsidRPr="008D6E5C">
        <w:rPr>
          <w:rFonts w:ascii="Cambria" w:hAnsi="Cambria"/>
          <w:sz w:val="20"/>
          <w:szCs w:val="20"/>
        </w:rPr>
        <w:t xml:space="preserve">, </w:t>
      </w:r>
      <w:r w:rsidRPr="008D6E5C">
        <w:rPr>
          <w:rFonts w:ascii="Cambria" w:hAnsi="Cambria"/>
          <w:sz w:val="20"/>
          <w:szCs w:val="20"/>
        </w:rPr>
        <w:t>the local authorities opened an investigation and that as of the date of issue of this report—</w:t>
      </w:r>
      <w:r w:rsidR="0086799B" w:rsidRPr="008D6E5C">
        <w:rPr>
          <w:rFonts w:ascii="Cambria" w:hAnsi="Cambria"/>
          <w:sz w:val="20"/>
          <w:szCs w:val="20"/>
        </w:rPr>
        <w:t xml:space="preserve">more than </w:t>
      </w:r>
      <w:r w:rsidRPr="008D6E5C">
        <w:rPr>
          <w:rFonts w:ascii="Cambria" w:hAnsi="Cambria"/>
          <w:sz w:val="20"/>
          <w:szCs w:val="20"/>
        </w:rPr>
        <w:t xml:space="preserve">sixteen years later—the circumstances of the crime have not been established by a court of law and the perpetrators have not been convicted. Notwithstanding the above, </w:t>
      </w:r>
      <w:r w:rsidR="00DF44C8" w:rsidRPr="008D6E5C">
        <w:rPr>
          <w:rFonts w:ascii="Cambria" w:hAnsi="Cambria"/>
          <w:sz w:val="20"/>
          <w:szCs w:val="20"/>
        </w:rPr>
        <w:t>the IACHR</w:t>
      </w:r>
      <w:r w:rsidR="00FC5DC8" w:rsidRPr="008D6E5C">
        <w:rPr>
          <w:rFonts w:ascii="Cambria" w:hAnsi="Cambria"/>
          <w:sz w:val="20"/>
          <w:szCs w:val="20"/>
        </w:rPr>
        <w:t xml:space="preserve"> </w:t>
      </w:r>
      <w:r w:rsidR="001766CB" w:rsidRPr="008D6E5C">
        <w:rPr>
          <w:rFonts w:ascii="Cambria" w:hAnsi="Cambria"/>
          <w:sz w:val="20"/>
          <w:szCs w:val="20"/>
        </w:rPr>
        <w:t>observes that</w:t>
      </w:r>
      <w:r w:rsidR="00FC5DC8" w:rsidRPr="008D6E5C">
        <w:rPr>
          <w:rFonts w:ascii="Cambria" w:hAnsi="Cambria"/>
          <w:sz w:val="20"/>
          <w:szCs w:val="20"/>
        </w:rPr>
        <w:t xml:space="preserve"> </w:t>
      </w:r>
      <w:r w:rsidRPr="008D6E5C">
        <w:rPr>
          <w:rFonts w:ascii="Cambria" w:hAnsi="Cambria"/>
          <w:sz w:val="20"/>
          <w:szCs w:val="20"/>
        </w:rPr>
        <w:t>in the four-year period after the journalist’s murder</w:t>
      </w:r>
      <w:r w:rsidR="001766CB" w:rsidRPr="008D6E5C">
        <w:rPr>
          <w:rFonts w:ascii="Cambria" w:hAnsi="Cambria"/>
          <w:sz w:val="20"/>
          <w:szCs w:val="20"/>
        </w:rPr>
        <w:t xml:space="preserve"> (1998 to</w:t>
      </w:r>
      <w:r w:rsidR="00FC5DC8" w:rsidRPr="008D6E5C">
        <w:rPr>
          <w:rFonts w:ascii="Cambria" w:hAnsi="Cambria"/>
          <w:sz w:val="20"/>
          <w:szCs w:val="20"/>
        </w:rPr>
        <w:t xml:space="preserve"> 2001), </w:t>
      </w:r>
      <w:r w:rsidRPr="008D6E5C">
        <w:rPr>
          <w:rFonts w:ascii="Cambria" w:hAnsi="Cambria"/>
          <w:sz w:val="20"/>
          <w:szCs w:val="20"/>
        </w:rPr>
        <w:t>the authorities completed an investigation</w:t>
      </w:r>
      <w:r w:rsidR="00FC5DC8" w:rsidRPr="008D6E5C">
        <w:rPr>
          <w:rFonts w:ascii="Cambria" w:hAnsi="Cambria"/>
          <w:sz w:val="20"/>
          <w:szCs w:val="20"/>
        </w:rPr>
        <w:t xml:space="preserve">, </w:t>
      </w:r>
      <w:r w:rsidR="00777AD4" w:rsidRPr="008D6E5C">
        <w:rPr>
          <w:rFonts w:ascii="Cambria" w:hAnsi="Cambria"/>
          <w:sz w:val="20"/>
          <w:szCs w:val="20"/>
        </w:rPr>
        <w:t>brought criminal charges against three individuals</w:t>
      </w:r>
      <w:r w:rsidR="00FC5DC8" w:rsidRPr="008D6E5C">
        <w:rPr>
          <w:rFonts w:ascii="Cambria" w:hAnsi="Cambria"/>
          <w:sz w:val="20"/>
          <w:szCs w:val="20"/>
        </w:rPr>
        <w:t xml:space="preserve">, </w:t>
      </w:r>
      <w:r w:rsidRPr="008D6E5C">
        <w:rPr>
          <w:rFonts w:ascii="Cambria" w:hAnsi="Cambria"/>
          <w:sz w:val="20"/>
          <w:szCs w:val="20"/>
        </w:rPr>
        <w:t xml:space="preserve">held a trial that resulted in the defendants’ acquittal, and adjudicated an appeal affirming the trial court’s decision. </w:t>
      </w:r>
    </w:p>
    <w:p w:rsidR="00FC5DC8" w:rsidRPr="008D6E5C" w:rsidRDefault="00FC5DC8" w:rsidP="001520DB">
      <w:pPr>
        <w:pStyle w:val="ListParagraph"/>
        <w:shd w:val="clear" w:color="auto" w:fill="FFFFFF"/>
        <w:jc w:val="both"/>
        <w:rPr>
          <w:bCs/>
          <w:sz w:val="20"/>
          <w:szCs w:val="20"/>
        </w:rPr>
      </w:pPr>
    </w:p>
    <w:p w:rsidR="00FC5DC8" w:rsidRPr="008D6E5C" w:rsidRDefault="002A66A4"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Nevertheless</w:t>
      </w:r>
      <w:r w:rsidR="00FC5DC8" w:rsidRPr="008D6E5C">
        <w:rPr>
          <w:rFonts w:ascii="Cambria" w:hAnsi="Cambria"/>
          <w:bCs/>
          <w:sz w:val="20"/>
          <w:szCs w:val="20"/>
        </w:rPr>
        <w:t xml:space="preserve">, </w:t>
      </w:r>
      <w:r w:rsidRPr="008D6E5C">
        <w:rPr>
          <w:rFonts w:ascii="Cambria" w:hAnsi="Cambria"/>
          <w:bCs/>
          <w:sz w:val="20"/>
          <w:szCs w:val="20"/>
        </w:rPr>
        <w:t xml:space="preserve">from </w:t>
      </w:r>
      <w:r w:rsidR="00FC5DC8" w:rsidRPr="008D6E5C">
        <w:rPr>
          <w:rFonts w:ascii="Cambria" w:hAnsi="Cambria"/>
          <w:bCs/>
          <w:sz w:val="20"/>
          <w:szCs w:val="20"/>
        </w:rPr>
        <w:t>2001</w:t>
      </w:r>
      <w:r w:rsidRPr="008D6E5C">
        <w:rPr>
          <w:rFonts w:ascii="Cambria" w:hAnsi="Cambria"/>
          <w:bCs/>
          <w:sz w:val="20"/>
          <w:szCs w:val="20"/>
        </w:rPr>
        <w:t>,</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has gone on for more than thirteen years, with long periods of inactivity and few results</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00E545ED" w:rsidRPr="008D6E5C">
        <w:rPr>
          <w:rFonts w:ascii="Cambria" w:hAnsi="Cambria"/>
          <w:bCs/>
          <w:sz w:val="20"/>
          <w:szCs w:val="20"/>
        </w:rPr>
        <w:t xml:space="preserve">maintained that this delay is not attributable to the conduct of the authorities, but rather to the complexity of the matter. In </w:t>
      </w:r>
      <w:r w:rsidR="00FC5DC8" w:rsidRPr="008D6E5C">
        <w:rPr>
          <w:rFonts w:ascii="Cambria" w:hAnsi="Cambria"/>
          <w:bCs/>
          <w:sz w:val="20"/>
          <w:szCs w:val="20"/>
        </w:rPr>
        <w:t xml:space="preserve">particular, </w:t>
      </w:r>
      <w:r w:rsidR="00E545ED" w:rsidRPr="008D6E5C">
        <w:rPr>
          <w:rFonts w:ascii="Cambria" w:hAnsi="Cambria"/>
          <w:bCs/>
          <w:sz w:val="20"/>
          <w:szCs w:val="20"/>
        </w:rPr>
        <w:t xml:space="preserve">it stated that the reasons for the complexity of the case lie in </w:t>
      </w:r>
      <w:r w:rsidR="00FC5DC8" w:rsidRPr="008D6E5C">
        <w:rPr>
          <w:rFonts w:ascii="Cambria" w:hAnsi="Cambria"/>
          <w:bCs/>
          <w:sz w:val="20"/>
          <w:szCs w:val="20"/>
        </w:rPr>
        <w:t>“</w:t>
      </w:r>
      <w:r w:rsidR="00E545ED" w:rsidRPr="008D6E5C">
        <w:rPr>
          <w:rFonts w:ascii="Cambria" w:hAnsi="Cambria" w:cs="Arial"/>
          <w:sz w:val="20"/>
          <w:szCs w:val="20"/>
        </w:rPr>
        <w:t>the threats that have plagued this case, which have been directed against witnesses and relatives who might be able to contribute valuable information for the successful development of the investigation. This fear has hindered the investigative work of the Prosecutor’s Office, which has repeatedly had to reschedule court proceedings in view of the impossibility of obtaining information from witnesses because of the threats they have received</w:t>
      </w:r>
      <w:r w:rsidR="001766CB" w:rsidRPr="008D6E5C">
        <w:rPr>
          <w:rFonts w:ascii="Cambria" w:hAnsi="Cambria"/>
          <w:bCs/>
          <w:sz w:val="20"/>
          <w:szCs w:val="20"/>
        </w:rPr>
        <w:t>."</w:t>
      </w:r>
      <w:r w:rsidR="00FC5DC8"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Commission</w:t>
      </w:r>
      <w:r w:rsidR="00FC5DC8" w:rsidRPr="008D6E5C">
        <w:rPr>
          <w:rFonts w:ascii="Cambria" w:hAnsi="Cambria"/>
          <w:bCs/>
          <w:sz w:val="20"/>
          <w:szCs w:val="20"/>
        </w:rPr>
        <w:t xml:space="preserve"> </w:t>
      </w:r>
      <w:r w:rsidR="001766CB" w:rsidRPr="008D6E5C">
        <w:rPr>
          <w:rFonts w:ascii="Cambria" w:hAnsi="Cambria"/>
          <w:bCs/>
          <w:sz w:val="20"/>
          <w:szCs w:val="20"/>
        </w:rPr>
        <w:t>observes that</w:t>
      </w:r>
      <w:r w:rsidR="00FC5DC8" w:rsidRPr="008D6E5C">
        <w:rPr>
          <w:rFonts w:ascii="Cambria" w:hAnsi="Cambria"/>
          <w:bCs/>
          <w:sz w:val="20"/>
          <w:szCs w:val="20"/>
        </w:rPr>
        <w:t xml:space="preserve"> </w:t>
      </w:r>
      <w:r w:rsidR="00BE6A8B" w:rsidRPr="008D6E5C">
        <w:rPr>
          <w:rFonts w:ascii="Cambria" w:hAnsi="Cambria"/>
          <w:bCs/>
          <w:sz w:val="20"/>
          <w:szCs w:val="20"/>
        </w:rPr>
        <w:t>the complexity resulting from the climate of</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00BE6A8B" w:rsidRPr="008D6E5C">
        <w:rPr>
          <w:rFonts w:ascii="Cambria" w:hAnsi="Cambria"/>
          <w:bCs/>
          <w:sz w:val="20"/>
          <w:szCs w:val="20"/>
        </w:rPr>
        <w:t xml:space="preserve">acknowledged by the State itself is the responsibility of the Colombian authorities, who have the obligation to take all necessary measures to protect the </w:t>
      </w:r>
      <w:r w:rsidR="001000C6" w:rsidRPr="008D6E5C">
        <w:rPr>
          <w:rFonts w:ascii="Cambria" w:hAnsi="Cambria"/>
          <w:bCs/>
          <w:sz w:val="20"/>
          <w:szCs w:val="20"/>
        </w:rPr>
        <w:t>witnesses</w:t>
      </w:r>
      <w:r w:rsidR="00FC5DC8" w:rsidRPr="008D6E5C">
        <w:rPr>
          <w:rFonts w:ascii="Cambria" w:hAnsi="Cambria"/>
          <w:bCs/>
          <w:sz w:val="20"/>
          <w:szCs w:val="20"/>
        </w:rPr>
        <w:t xml:space="preserve"> </w:t>
      </w:r>
      <w:r w:rsidR="00BE6A8B" w:rsidRPr="008D6E5C">
        <w:rPr>
          <w:rFonts w:ascii="Cambria" w:hAnsi="Cambria"/>
          <w:bCs/>
          <w:sz w:val="20"/>
          <w:szCs w:val="20"/>
        </w:rPr>
        <w:t xml:space="preserve">and to investigate the facts of this case without undue delay. </w:t>
      </w:r>
      <w:r w:rsidR="00E01A7C" w:rsidRPr="008D6E5C">
        <w:rPr>
          <w:rFonts w:ascii="Cambria" w:hAnsi="Cambria"/>
          <w:bCs/>
          <w:sz w:val="20"/>
          <w:szCs w:val="20"/>
        </w:rPr>
        <w:t xml:space="preserve">The IACHR has already established the lack of concrete </w:t>
      </w:r>
      <w:proofErr w:type="spellStart"/>
      <w:r w:rsidR="00E01A7C" w:rsidRPr="008D6E5C">
        <w:rPr>
          <w:rFonts w:ascii="Cambria" w:hAnsi="Cambria"/>
          <w:bCs/>
          <w:sz w:val="20"/>
          <w:szCs w:val="20"/>
        </w:rPr>
        <w:t>meaures</w:t>
      </w:r>
      <w:proofErr w:type="spellEnd"/>
      <w:r w:rsidR="00E01A7C" w:rsidRPr="008D6E5C">
        <w:rPr>
          <w:rFonts w:ascii="Cambria" w:hAnsi="Cambria"/>
          <w:bCs/>
          <w:sz w:val="20"/>
          <w:szCs w:val="20"/>
        </w:rPr>
        <w:t xml:space="preserve"> taken to ensure said protection or due investigation of these events. </w:t>
      </w:r>
    </w:p>
    <w:p w:rsidR="00FC5DC8" w:rsidRPr="008D6E5C" w:rsidRDefault="00FC5DC8" w:rsidP="001520DB">
      <w:pPr>
        <w:pStyle w:val="ListParagraph"/>
        <w:rPr>
          <w:bCs/>
          <w:sz w:val="20"/>
          <w:szCs w:val="20"/>
        </w:rPr>
      </w:pPr>
    </w:p>
    <w:p w:rsidR="00FC5DC8" w:rsidRPr="008D6E5C" w:rsidRDefault="002001E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Given the seriousness of the events</w:t>
      </w:r>
      <w:r w:rsidR="00FC5DC8" w:rsidRPr="008D6E5C">
        <w:rPr>
          <w:rFonts w:ascii="Cambria" w:hAnsi="Cambria"/>
          <w:bCs/>
          <w:sz w:val="20"/>
          <w:szCs w:val="20"/>
        </w:rPr>
        <w:t xml:space="preserve">, </w:t>
      </w:r>
      <w:r w:rsidRPr="008D6E5C">
        <w:rPr>
          <w:rFonts w:ascii="Cambria" w:hAnsi="Cambria"/>
          <w:bCs/>
          <w:sz w:val="20"/>
          <w:szCs w:val="20"/>
        </w:rPr>
        <w:t xml:space="preserve">the insufficiency of the means employed and the results obtained are still not justified by the complexity of the matter. </w:t>
      </w:r>
      <w:r w:rsidR="00FC5DC8" w:rsidRPr="008D6E5C">
        <w:rPr>
          <w:rFonts w:ascii="Cambria" w:hAnsi="Cambria"/>
          <w:bCs/>
          <w:sz w:val="20"/>
          <w:szCs w:val="20"/>
        </w:rPr>
        <w:t xml:space="preserve"> </w:t>
      </w:r>
      <w:r w:rsidRPr="008D6E5C">
        <w:rPr>
          <w:rFonts w:ascii="Cambria" w:hAnsi="Cambria"/>
          <w:bCs/>
          <w:sz w:val="20"/>
          <w:szCs w:val="20"/>
        </w:rPr>
        <w:t>Indeed</w:t>
      </w:r>
      <w:r w:rsidR="00FC5DC8" w:rsidRPr="008D6E5C">
        <w:rPr>
          <w:rFonts w:ascii="Cambria" w:hAnsi="Cambria"/>
          <w:bCs/>
          <w:sz w:val="20"/>
          <w:szCs w:val="20"/>
        </w:rPr>
        <w:t xml:space="preserve">, </w:t>
      </w:r>
      <w:r w:rsidR="00B319B1" w:rsidRPr="008D6E5C">
        <w:rPr>
          <w:rFonts w:ascii="Cambria" w:hAnsi="Cambria"/>
          <w:bCs/>
          <w:sz w:val="20"/>
          <w:szCs w:val="20"/>
        </w:rPr>
        <w:t>even though there was a</w:t>
      </w:r>
      <w:r w:rsidR="00FC5DC8" w:rsidRPr="008D6E5C">
        <w:rPr>
          <w:rFonts w:ascii="Cambria" w:hAnsi="Cambria"/>
          <w:bCs/>
          <w:sz w:val="20"/>
          <w:szCs w:val="20"/>
        </w:rPr>
        <w:t xml:space="preserve"> 2001 </w:t>
      </w:r>
      <w:r w:rsidR="00B319B1" w:rsidRPr="008D6E5C">
        <w:rPr>
          <w:rFonts w:ascii="Cambria" w:hAnsi="Cambria"/>
          <w:bCs/>
          <w:sz w:val="20"/>
          <w:szCs w:val="20"/>
        </w:rPr>
        <w:t>order to continue the investigations, it took the Prosecutor’s Office until February 2003—nearly two years—to take over the case and order investigative procedures</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00B319B1" w:rsidRPr="008D6E5C">
        <w:rPr>
          <w:rFonts w:ascii="Cambria" w:hAnsi="Cambria"/>
          <w:bCs/>
          <w:sz w:val="20"/>
          <w:szCs w:val="20"/>
        </w:rPr>
        <w:t xml:space="preserve">has no record of any </w:t>
      </w:r>
      <w:r w:rsidR="0012782E" w:rsidRPr="008D6E5C">
        <w:rPr>
          <w:rFonts w:ascii="Cambria" w:hAnsi="Cambria"/>
          <w:bCs/>
          <w:sz w:val="20"/>
          <w:szCs w:val="20"/>
        </w:rPr>
        <w:t>steps</w:t>
      </w:r>
      <w:r w:rsidR="00B319B1" w:rsidRPr="008D6E5C">
        <w:rPr>
          <w:rFonts w:ascii="Cambria" w:hAnsi="Cambria"/>
          <w:bCs/>
          <w:sz w:val="20"/>
          <w:szCs w:val="20"/>
        </w:rPr>
        <w:t xml:space="preserve"> taken over the next three years. In December </w:t>
      </w:r>
      <w:r w:rsidR="00FC5DC8" w:rsidRPr="008D6E5C">
        <w:rPr>
          <w:rFonts w:ascii="Cambria" w:hAnsi="Cambria"/>
          <w:bCs/>
          <w:sz w:val="20"/>
          <w:szCs w:val="20"/>
        </w:rPr>
        <w:t>2005</w:t>
      </w:r>
      <w:r w:rsidR="00B319B1" w:rsidRPr="008D6E5C">
        <w:rPr>
          <w:rFonts w:ascii="Cambria" w:hAnsi="Cambria"/>
          <w:bCs/>
          <w:sz w:val="20"/>
          <w:szCs w:val="20"/>
        </w:rPr>
        <w:t>,</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00B319B1" w:rsidRPr="008D6E5C">
        <w:rPr>
          <w:rFonts w:ascii="Cambria" w:hAnsi="Cambria"/>
          <w:bCs/>
          <w:sz w:val="20"/>
          <w:szCs w:val="20"/>
        </w:rPr>
        <w:t>was assigned to</w:t>
      </w:r>
      <w:r w:rsidR="00FC5DC8" w:rsidRPr="008D6E5C">
        <w:rPr>
          <w:rFonts w:ascii="Cambria" w:hAnsi="Cambria"/>
          <w:bCs/>
          <w:sz w:val="20"/>
          <w:szCs w:val="20"/>
        </w:rPr>
        <w:t xml:space="preserve"> </w:t>
      </w:r>
      <w:r w:rsidR="0046027F" w:rsidRPr="008D6E5C">
        <w:rPr>
          <w:rFonts w:ascii="Cambria" w:hAnsi="Cambria"/>
          <w:bCs/>
          <w:sz w:val="20"/>
          <w:szCs w:val="20"/>
        </w:rPr>
        <w:t>the National Human Rights Unit</w:t>
      </w:r>
      <w:r w:rsidR="007D72AE" w:rsidRPr="008D6E5C">
        <w:rPr>
          <w:rFonts w:ascii="Cambria" w:hAnsi="Cambria"/>
          <w:bCs/>
          <w:sz w:val="20"/>
          <w:szCs w:val="20"/>
        </w:rPr>
        <w:t xml:space="preserve"> and IHL</w:t>
      </w:r>
      <w:r w:rsidR="00FC5DC8" w:rsidRPr="008D6E5C">
        <w:rPr>
          <w:rFonts w:ascii="Cambria" w:hAnsi="Cambria"/>
          <w:bCs/>
          <w:sz w:val="20"/>
          <w:szCs w:val="20"/>
        </w:rPr>
        <w:t xml:space="preserve">, </w:t>
      </w:r>
      <w:r w:rsidR="00B319B1" w:rsidRPr="008D6E5C">
        <w:rPr>
          <w:rFonts w:ascii="Cambria" w:hAnsi="Cambria"/>
          <w:bCs/>
          <w:sz w:val="20"/>
          <w:szCs w:val="20"/>
        </w:rPr>
        <w:t>which ordered the examination of new evidence</w:t>
      </w:r>
      <w:r w:rsidR="00FC5DC8" w:rsidRPr="008D6E5C">
        <w:rPr>
          <w:rFonts w:ascii="Cambria" w:hAnsi="Cambria"/>
          <w:bCs/>
          <w:sz w:val="20"/>
          <w:szCs w:val="20"/>
        </w:rPr>
        <w:t xml:space="preserve">. </w:t>
      </w:r>
      <w:r w:rsidR="00B319B1" w:rsidRPr="008D6E5C">
        <w:rPr>
          <w:rFonts w:ascii="Cambria" w:hAnsi="Cambria"/>
          <w:bCs/>
          <w:sz w:val="20"/>
          <w:szCs w:val="20"/>
        </w:rPr>
        <w:t>Three years later</w:t>
      </w:r>
      <w:r w:rsidR="00FC5DC8" w:rsidRPr="008D6E5C">
        <w:rPr>
          <w:rFonts w:ascii="Cambria" w:hAnsi="Cambria"/>
          <w:bCs/>
          <w:sz w:val="20"/>
          <w:szCs w:val="20"/>
        </w:rPr>
        <w:t xml:space="preserve">, </w:t>
      </w:r>
      <w:r w:rsidR="00B319B1" w:rsidRPr="008D6E5C">
        <w:rPr>
          <w:rFonts w:ascii="Cambria" w:hAnsi="Cambria"/>
          <w:bCs/>
          <w:sz w:val="20"/>
          <w:szCs w:val="20"/>
        </w:rPr>
        <w:t>in August of</w:t>
      </w:r>
      <w:r w:rsidR="00FC5DC8" w:rsidRPr="008D6E5C">
        <w:rPr>
          <w:rFonts w:ascii="Cambria" w:hAnsi="Cambria"/>
          <w:bCs/>
          <w:sz w:val="20"/>
          <w:szCs w:val="20"/>
        </w:rPr>
        <w:t xml:space="preserve"> 2008, </w:t>
      </w:r>
      <w:r w:rsidR="00B319B1" w:rsidRPr="008D6E5C">
        <w:rPr>
          <w:rFonts w:ascii="Cambria" w:hAnsi="Cambria"/>
          <w:bCs/>
          <w:sz w:val="20"/>
          <w:szCs w:val="20"/>
        </w:rPr>
        <w:t xml:space="preserve">the Prosecutor’s Office </w:t>
      </w:r>
      <w:r w:rsidR="00084FF9" w:rsidRPr="008D6E5C">
        <w:rPr>
          <w:rFonts w:ascii="Cambria" w:hAnsi="Cambria"/>
          <w:bCs/>
          <w:sz w:val="20"/>
          <w:szCs w:val="20"/>
        </w:rPr>
        <w:t>proceeded to implicate</w:t>
      </w:r>
      <w:r w:rsidR="00FC5DC8" w:rsidRPr="008D6E5C">
        <w:rPr>
          <w:rFonts w:ascii="Cambria" w:hAnsi="Cambria"/>
          <w:bCs/>
          <w:sz w:val="20"/>
          <w:szCs w:val="20"/>
        </w:rPr>
        <w:t xml:space="preserve"> </w:t>
      </w:r>
      <w:r w:rsidR="00B319B1" w:rsidRPr="008D6E5C">
        <w:rPr>
          <w:rFonts w:ascii="Cambria" w:hAnsi="Cambria"/>
          <w:bCs/>
          <w:sz w:val="20"/>
          <w:szCs w:val="20"/>
        </w:rPr>
        <w:t xml:space="preserve">some individuals as perpetrators of the crime and requested to study the possibility of filing a </w:t>
      </w:r>
      <w:r w:rsidR="00155E6A" w:rsidRPr="008D6E5C">
        <w:rPr>
          <w:rFonts w:ascii="Cambria" w:hAnsi="Cambria"/>
          <w:bCs/>
          <w:sz w:val="20"/>
          <w:szCs w:val="20"/>
        </w:rPr>
        <w:t xml:space="preserve">motion for </w:t>
      </w:r>
      <w:r w:rsidR="00B319B1" w:rsidRPr="008D6E5C">
        <w:rPr>
          <w:rFonts w:ascii="Cambria" w:hAnsi="Cambria"/>
          <w:bCs/>
          <w:sz w:val="20"/>
          <w:szCs w:val="20"/>
        </w:rPr>
        <w:t xml:space="preserve">the </w:t>
      </w:r>
      <w:r w:rsidR="00155E6A" w:rsidRPr="008D6E5C">
        <w:rPr>
          <w:rFonts w:ascii="Cambria" w:hAnsi="Cambria"/>
          <w:bCs/>
          <w:sz w:val="20"/>
          <w:szCs w:val="20"/>
        </w:rPr>
        <w:t>reconsideration</w:t>
      </w:r>
      <w:r w:rsidR="00FC5DC8" w:rsidRPr="008D6E5C">
        <w:rPr>
          <w:rFonts w:ascii="Cambria" w:hAnsi="Cambria"/>
          <w:bCs/>
          <w:sz w:val="20"/>
          <w:szCs w:val="20"/>
        </w:rPr>
        <w:t xml:space="preserve"> </w:t>
      </w:r>
      <w:r w:rsidR="00B319B1" w:rsidRPr="008D6E5C">
        <w:rPr>
          <w:rFonts w:ascii="Cambria" w:hAnsi="Cambria"/>
          <w:bCs/>
          <w:sz w:val="20"/>
          <w:szCs w:val="20"/>
        </w:rPr>
        <w:t>of the defendants’ acquittals</w:t>
      </w:r>
      <w:r w:rsidR="00FC5DC8" w:rsidRPr="008D6E5C">
        <w:rPr>
          <w:rFonts w:ascii="Cambria" w:hAnsi="Cambria"/>
          <w:bCs/>
          <w:sz w:val="20"/>
          <w:szCs w:val="20"/>
        </w:rPr>
        <w:t xml:space="preserve">. </w:t>
      </w:r>
      <w:r w:rsidR="009D0D2A" w:rsidRPr="008D6E5C">
        <w:rPr>
          <w:rFonts w:ascii="Cambria" w:hAnsi="Cambria"/>
          <w:bCs/>
          <w:sz w:val="20"/>
          <w:szCs w:val="20"/>
        </w:rPr>
        <w:t>The Supreme Court</w:t>
      </w:r>
      <w:r w:rsidR="00FC5DC8" w:rsidRPr="008D6E5C">
        <w:rPr>
          <w:rFonts w:ascii="Cambria" w:hAnsi="Cambria"/>
          <w:bCs/>
          <w:sz w:val="20"/>
          <w:szCs w:val="20"/>
        </w:rPr>
        <w:t xml:space="preserve"> </w:t>
      </w:r>
      <w:r w:rsidR="00B319B1" w:rsidRPr="008D6E5C">
        <w:rPr>
          <w:rFonts w:ascii="Cambria" w:hAnsi="Cambria"/>
          <w:bCs/>
          <w:sz w:val="20"/>
          <w:szCs w:val="20"/>
        </w:rPr>
        <w:t>denied the</w:t>
      </w:r>
      <w:r w:rsidR="00FC5DC8" w:rsidRPr="008D6E5C">
        <w:rPr>
          <w:rFonts w:ascii="Cambria" w:hAnsi="Cambria"/>
          <w:bCs/>
          <w:sz w:val="20"/>
          <w:szCs w:val="20"/>
        </w:rPr>
        <w:t xml:space="preserve"> </w:t>
      </w:r>
      <w:r w:rsidR="00155E6A" w:rsidRPr="008D6E5C">
        <w:rPr>
          <w:rFonts w:ascii="Cambria" w:hAnsi="Cambria"/>
          <w:bCs/>
          <w:sz w:val="20"/>
          <w:szCs w:val="20"/>
        </w:rPr>
        <w:t>motion for reconsideration</w:t>
      </w:r>
      <w:r w:rsidR="00FC5DC8" w:rsidRPr="008D6E5C">
        <w:rPr>
          <w:rFonts w:ascii="Cambria" w:hAnsi="Cambria"/>
          <w:bCs/>
          <w:sz w:val="20"/>
          <w:szCs w:val="20"/>
        </w:rPr>
        <w:t xml:space="preserve"> </w:t>
      </w:r>
      <w:r w:rsidR="009D0D2A" w:rsidRPr="008D6E5C">
        <w:rPr>
          <w:rFonts w:ascii="Cambria" w:hAnsi="Cambria"/>
          <w:bCs/>
          <w:sz w:val="20"/>
          <w:szCs w:val="20"/>
        </w:rPr>
        <w:t>in April</w:t>
      </w:r>
      <w:r w:rsidR="00FC5DC8" w:rsidRPr="008D6E5C">
        <w:rPr>
          <w:rFonts w:ascii="Cambria" w:hAnsi="Cambria"/>
          <w:bCs/>
          <w:sz w:val="20"/>
          <w:szCs w:val="20"/>
        </w:rPr>
        <w:t xml:space="preserve"> 2009, </w:t>
      </w:r>
      <w:r w:rsidR="009D0D2A" w:rsidRPr="008D6E5C">
        <w:rPr>
          <w:rFonts w:ascii="Cambria" w:hAnsi="Cambria"/>
          <w:bCs/>
          <w:sz w:val="20"/>
          <w:szCs w:val="20"/>
        </w:rPr>
        <w:t>and in</w:t>
      </w:r>
      <w:r w:rsidR="00FC5DC8" w:rsidRPr="008D6E5C">
        <w:rPr>
          <w:rFonts w:ascii="Cambria" w:hAnsi="Cambria"/>
          <w:bCs/>
          <w:sz w:val="20"/>
          <w:szCs w:val="20"/>
        </w:rPr>
        <w:t xml:space="preserve"> 2010 </w:t>
      </w:r>
      <w:r w:rsidR="009D0D2A" w:rsidRPr="008D6E5C">
        <w:rPr>
          <w:rFonts w:ascii="Cambria" w:hAnsi="Cambria"/>
          <w:bCs/>
          <w:sz w:val="20"/>
          <w:szCs w:val="20"/>
        </w:rPr>
        <w:t>the Prosecutor General</w:t>
      </w:r>
      <w:r w:rsidR="00FC5DC8" w:rsidRPr="008D6E5C">
        <w:rPr>
          <w:rFonts w:ascii="Cambria" w:hAnsi="Cambria"/>
          <w:bCs/>
          <w:sz w:val="20"/>
          <w:szCs w:val="20"/>
        </w:rPr>
        <w:t xml:space="preserve"> </w:t>
      </w:r>
      <w:r w:rsidR="00B319B1" w:rsidRPr="008D6E5C">
        <w:rPr>
          <w:rFonts w:ascii="Cambria" w:hAnsi="Cambria"/>
          <w:bCs/>
          <w:sz w:val="20"/>
          <w:szCs w:val="20"/>
        </w:rPr>
        <w:t xml:space="preserve">once again reassigned the case to another prosecutor. According to the information provided by the </w:t>
      </w:r>
      <w:r w:rsidR="007A2CDF" w:rsidRPr="008D6E5C">
        <w:rPr>
          <w:rFonts w:ascii="Cambria" w:hAnsi="Cambria"/>
          <w:bCs/>
          <w:sz w:val="20"/>
          <w:szCs w:val="20"/>
        </w:rPr>
        <w:t>State</w:t>
      </w:r>
      <w:r w:rsidR="00FC5DC8" w:rsidRPr="008D6E5C">
        <w:rPr>
          <w:rFonts w:ascii="Cambria" w:hAnsi="Cambria"/>
          <w:bCs/>
          <w:sz w:val="20"/>
          <w:szCs w:val="20"/>
        </w:rPr>
        <w:t xml:space="preserve">, </w:t>
      </w:r>
      <w:r w:rsidR="00B319B1" w:rsidRPr="008D6E5C">
        <w:rPr>
          <w:rFonts w:ascii="Cambria" w:hAnsi="Cambria"/>
          <w:bCs/>
          <w:sz w:val="20"/>
          <w:szCs w:val="20"/>
        </w:rPr>
        <w:t>three years later, in</w:t>
      </w:r>
      <w:r w:rsidR="00FC5DC8" w:rsidRPr="008D6E5C">
        <w:rPr>
          <w:rFonts w:ascii="Cambria" w:hAnsi="Cambria"/>
          <w:bCs/>
          <w:sz w:val="20"/>
          <w:szCs w:val="20"/>
        </w:rPr>
        <w:t xml:space="preserve"> 2013</w:t>
      </w:r>
      <w:r w:rsidR="00B319B1" w:rsidRPr="008D6E5C">
        <w:rPr>
          <w:rFonts w:ascii="Cambria" w:hAnsi="Cambria"/>
          <w:bCs/>
          <w:sz w:val="20"/>
          <w:szCs w:val="20"/>
        </w:rPr>
        <w:t>,</w:t>
      </w:r>
      <w:r w:rsidR="00FC5DC8" w:rsidRPr="008D6E5C">
        <w:rPr>
          <w:rFonts w:ascii="Cambria" w:hAnsi="Cambria"/>
          <w:bCs/>
          <w:sz w:val="20"/>
          <w:szCs w:val="20"/>
        </w:rPr>
        <w:t xml:space="preserve"> “</w:t>
      </w:r>
      <w:r w:rsidR="00B319B1" w:rsidRPr="008D6E5C">
        <w:rPr>
          <w:rFonts w:ascii="Cambria" w:hAnsi="Cambria"/>
          <w:sz w:val="20"/>
          <w:szCs w:val="20"/>
        </w:rPr>
        <w:t>three reports had reportedly been received from the Judicial Police</w:t>
      </w:r>
      <w:r w:rsidR="001A514C" w:rsidRPr="008D6E5C">
        <w:rPr>
          <w:rFonts w:ascii="Cambria" w:hAnsi="Cambria"/>
          <w:bCs/>
          <w:sz w:val="20"/>
          <w:szCs w:val="20"/>
        </w:rPr>
        <w:t>”</w:t>
      </w:r>
      <w:r w:rsidR="00FC5DC8" w:rsidRPr="008D6E5C">
        <w:rPr>
          <w:rFonts w:ascii="Cambria" w:hAnsi="Cambria"/>
          <w:bCs/>
          <w:sz w:val="20"/>
          <w:szCs w:val="20"/>
        </w:rPr>
        <w:t xml:space="preserve">. </w:t>
      </w:r>
      <w:r w:rsidR="00964366" w:rsidRPr="008D6E5C">
        <w:rPr>
          <w:rFonts w:ascii="Cambria" w:hAnsi="Cambria"/>
          <w:bCs/>
          <w:sz w:val="20"/>
          <w:szCs w:val="20"/>
        </w:rPr>
        <w:t xml:space="preserve"> </w:t>
      </w:r>
      <w:r w:rsidR="00E01A7C" w:rsidRPr="008D6E5C">
        <w:rPr>
          <w:rFonts w:ascii="Cambria" w:hAnsi="Cambria"/>
          <w:bCs/>
          <w:sz w:val="20"/>
          <w:szCs w:val="20"/>
        </w:rPr>
        <w:t>The long periods without procedur</w:t>
      </w:r>
      <w:r w:rsidR="001F5ABF" w:rsidRPr="008D6E5C">
        <w:rPr>
          <w:rFonts w:ascii="Cambria" w:hAnsi="Cambria"/>
          <w:bCs/>
          <w:sz w:val="20"/>
          <w:szCs w:val="20"/>
        </w:rPr>
        <w:t>al</w:t>
      </w:r>
      <w:r w:rsidR="00E01A7C" w:rsidRPr="008D6E5C">
        <w:rPr>
          <w:rFonts w:ascii="Cambria" w:hAnsi="Cambria"/>
          <w:bCs/>
          <w:sz w:val="20"/>
          <w:szCs w:val="20"/>
        </w:rPr>
        <w:t xml:space="preserve"> activity show that delay</w:t>
      </w:r>
      <w:r w:rsidR="001F5ABF" w:rsidRPr="008D6E5C">
        <w:rPr>
          <w:rFonts w:ascii="Cambria" w:hAnsi="Cambria"/>
          <w:bCs/>
          <w:sz w:val="20"/>
          <w:szCs w:val="20"/>
        </w:rPr>
        <w:t>s</w:t>
      </w:r>
      <w:r w:rsidR="00E01A7C" w:rsidRPr="008D6E5C">
        <w:rPr>
          <w:rFonts w:ascii="Cambria" w:hAnsi="Cambria"/>
          <w:bCs/>
          <w:sz w:val="20"/>
          <w:szCs w:val="20"/>
        </w:rPr>
        <w:t xml:space="preserve"> in the investigation </w:t>
      </w:r>
      <w:r w:rsidR="001F5ABF" w:rsidRPr="008D6E5C">
        <w:rPr>
          <w:rFonts w:ascii="Cambria" w:hAnsi="Cambria"/>
          <w:bCs/>
          <w:sz w:val="20"/>
          <w:szCs w:val="20"/>
        </w:rPr>
        <w:t xml:space="preserve">are the consequence of the conduct of the authorities. </w:t>
      </w:r>
    </w:p>
    <w:p w:rsidR="00FC5DC8" w:rsidRPr="008D6E5C" w:rsidRDefault="00FC5DC8" w:rsidP="001520DB">
      <w:pPr>
        <w:jc w:val="both"/>
        <w:rPr>
          <w:rFonts w:ascii="Cambria" w:hAnsi="Cambria"/>
          <w:bCs/>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IACHR</w:t>
      </w:r>
      <w:r w:rsidR="00FC5DC8" w:rsidRPr="008D6E5C">
        <w:rPr>
          <w:rFonts w:ascii="Cambria" w:hAnsi="Cambria"/>
          <w:bCs/>
          <w:sz w:val="20"/>
          <w:szCs w:val="20"/>
        </w:rPr>
        <w:t xml:space="preserve"> </w:t>
      </w:r>
      <w:r w:rsidR="00DA602E" w:rsidRPr="008D6E5C">
        <w:rPr>
          <w:rFonts w:ascii="Cambria" w:hAnsi="Cambria"/>
          <w:bCs/>
          <w:sz w:val="20"/>
          <w:szCs w:val="20"/>
        </w:rPr>
        <w:t>cannot fail to note</w:t>
      </w:r>
      <w:r w:rsidR="00FC5DC8" w:rsidRPr="008D6E5C">
        <w:rPr>
          <w:rFonts w:ascii="Cambria" w:hAnsi="Cambria"/>
          <w:bCs/>
          <w:sz w:val="20"/>
          <w:szCs w:val="20"/>
        </w:rPr>
        <w:t xml:space="preserve">, </w:t>
      </w:r>
      <w:r w:rsidR="00DA602E" w:rsidRPr="008D6E5C">
        <w:rPr>
          <w:rFonts w:ascii="Cambria" w:hAnsi="Cambria"/>
          <w:bCs/>
          <w:sz w:val="20"/>
          <w:szCs w:val="20"/>
        </w:rPr>
        <w:t xml:space="preserve">as it has in other cases involving the murder of journalists, that the events that are the subject of this report are part of a situation in which high levels of impunity are prevalent. This is of special concern </w:t>
      </w:r>
      <w:r w:rsidR="00DA602E" w:rsidRPr="008D6E5C">
        <w:rPr>
          <w:rFonts w:ascii="Cambria" w:hAnsi="Cambria"/>
          <w:sz w:val="20"/>
          <w:szCs w:val="20"/>
        </w:rPr>
        <w:t>given that</w:t>
      </w:r>
      <w:r w:rsidR="00FC5DC8" w:rsidRPr="008D6E5C">
        <w:rPr>
          <w:rFonts w:ascii="Cambria" w:hAnsi="Cambria"/>
          <w:bCs/>
          <w:sz w:val="20"/>
          <w:szCs w:val="20"/>
        </w:rPr>
        <w:t xml:space="preserve">, </w:t>
      </w:r>
      <w:r w:rsidR="00DA602E" w:rsidRPr="008D6E5C">
        <w:rPr>
          <w:rFonts w:ascii="Cambria" w:hAnsi="Cambria"/>
          <w:bCs/>
          <w:sz w:val="20"/>
          <w:szCs w:val="20"/>
        </w:rPr>
        <w:t xml:space="preserve">according to the </w:t>
      </w:r>
      <w:r w:rsidR="001766CB" w:rsidRPr="008D6E5C">
        <w:rPr>
          <w:rFonts w:ascii="Cambria" w:hAnsi="Cambria"/>
          <w:bCs/>
          <w:sz w:val="20"/>
          <w:szCs w:val="20"/>
        </w:rPr>
        <w:t>petitioner</w:t>
      </w:r>
      <w:r w:rsidR="00FC5DC8" w:rsidRPr="008D6E5C">
        <w:rPr>
          <w:rFonts w:ascii="Cambria" w:hAnsi="Cambria"/>
          <w:bCs/>
          <w:sz w:val="20"/>
          <w:szCs w:val="20"/>
        </w:rPr>
        <w:t xml:space="preserve">, </w:t>
      </w:r>
      <w:r w:rsidR="00DA602E" w:rsidRPr="008D6E5C">
        <w:rPr>
          <w:rFonts w:ascii="Cambria" w:hAnsi="Cambria"/>
          <w:bCs/>
          <w:sz w:val="20"/>
          <w:szCs w:val="20"/>
        </w:rPr>
        <w:t xml:space="preserve">the statute of limitations </w:t>
      </w:r>
      <w:r w:rsidR="000D2E7C" w:rsidRPr="008D6E5C">
        <w:rPr>
          <w:rFonts w:ascii="Cambria" w:hAnsi="Cambria"/>
          <w:bCs/>
          <w:sz w:val="20"/>
          <w:szCs w:val="20"/>
        </w:rPr>
        <w:t>applicable to</w:t>
      </w:r>
      <w:r w:rsidR="00DA602E" w:rsidRPr="008D6E5C">
        <w:rPr>
          <w:rFonts w:ascii="Cambria" w:hAnsi="Cambria"/>
          <w:bCs/>
          <w:sz w:val="20"/>
          <w:szCs w:val="20"/>
        </w:rPr>
        <w:t xml:space="preserve"> the crime against</w:t>
      </w:r>
      <w:r w:rsidR="00FC5DC8" w:rsidRPr="008D6E5C">
        <w:rPr>
          <w:rFonts w:ascii="Cambria" w:hAnsi="Cambria"/>
          <w:bCs/>
          <w:sz w:val="20"/>
          <w:szCs w:val="20"/>
        </w:rPr>
        <w:t xml:space="preserve"> 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r w:rsidR="00DA602E" w:rsidRPr="008D6E5C">
        <w:rPr>
          <w:rFonts w:ascii="Cambria" w:hAnsi="Cambria"/>
          <w:bCs/>
          <w:sz w:val="20"/>
          <w:szCs w:val="20"/>
        </w:rPr>
        <w:t>will expire</w:t>
      </w:r>
      <w:r w:rsidR="00FC5DC8" w:rsidRPr="008D6E5C">
        <w:rPr>
          <w:rFonts w:ascii="Cambria" w:hAnsi="Cambria"/>
          <w:bCs/>
          <w:sz w:val="20"/>
          <w:szCs w:val="20"/>
        </w:rPr>
        <w:t xml:space="preserve"> 20 </w:t>
      </w:r>
      <w:r w:rsidR="00DA602E" w:rsidRPr="008D6E5C">
        <w:rPr>
          <w:rFonts w:ascii="Cambria" w:hAnsi="Cambria"/>
          <w:bCs/>
          <w:sz w:val="20"/>
          <w:szCs w:val="20"/>
        </w:rPr>
        <w:t xml:space="preserve">after its commission—that is, in </w:t>
      </w:r>
      <w:r w:rsidR="00FC5DC8" w:rsidRPr="008D6E5C">
        <w:rPr>
          <w:rFonts w:ascii="Cambria" w:hAnsi="Cambria"/>
          <w:bCs/>
          <w:sz w:val="20"/>
          <w:szCs w:val="20"/>
        </w:rPr>
        <w:t xml:space="preserve">2018. </w:t>
      </w:r>
      <w:r w:rsidR="000D2E7C" w:rsidRPr="008D6E5C">
        <w:rPr>
          <w:rFonts w:ascii="Cambria" w:hAnsi="Cambria"/>
          <w:bCs/>
          <w:sz w:val="20"/>
          <w:szCs w:val="20"/>
        </w:rPr>
        <w:t>In this regard</w:t>
      </w:r>
      <w:r w:rsidR="00FC5DC8" w:rsidRPr="008D6E5C">
        <w:rPr>
          <w:rFonts w:ascii="Cambria" w:hAnsi="Cambria"/>
          <w:bCs/>
          <w:sz w:val="20"/>
          <w:szCs w:val="20"/>
        </w:rPr>
        <w:t xml:space="preserve">, </w:t>
      </w:r>
      <w:r w:rsidRPr="008D6E5C">
        <w:rPr>
          <w:rFonts w:ascii="Cambria" w:hAnsi="Cambria"/>
          <w:bCs/>
          <w:sz w:val="20"/>
          <w:szCs w:val="20"/>
        </w:rPr>
        <w:t>the Commission</w:t>
      </w:r>
      <w:r w:rsidR="00FC5DC8" w:rsidRPr="008D6E5C">
        <w:rPr>
          <w:rFonts w:ascii="Cambria" w:hAnsi="Cambria"/>
          <w:bCs/>
          <w:sz w:val="20"/>
          <w:szCs w:val="20"/>
        </w:rPr>
        <w:t xml:space="preserve"> </w:t>
      </w:r>
      <w:r w:rsidR="001766CB" w:rsidRPr="008D6E5C">
        <w:rPr>
          <w:rFonts w:ascii="Cambria" w:hAnsi="Cambria"/>
          <w:bCs/>
          <w:sz w:val="20"/>
          <w:szCs w:val="20"/>
        </w:rPr>
        <w:t>observes that</w:t>
      </w:r>
      <w:r w:rsidR="00FC5DC8" w:rsidRPr="008D6E5C">
        <w:rPr>
          <w:rFonts w:ascii="Cambria" w:hAnsi="Cambria"/>
          <w:bCs/>
          <w:sz w:val="20"/>
          <w:szCs w:val="20"/>
        </w:rPr>
        <w:t xml:space="preserve"> </w:t>
      </w:r>
      <w:r w:rsidR="000D2E7C" w:rsidRPr="008D6E5C">
        <w:rPr>
          <w:rFonts w:ascii="Cambria" w:hAnsi="Cambria"/>
          <w:sz w:val="20"/>
          <w:szCs w:val="20"/>
        </w:rPr>
        <w:t xml:space="preserve">one of the most worrisome effects of the inaction and prolonged delay in the investigation of </w:t>
      </w:r>
      <w:r w:rsidR="00084FF9" w:rsidRPr="008D6E5C">
        <w:rPr>
          <w:rFonts w:ascii="Cambria" w:hAnsi="Cambria"/>
          <w:sz w:val="20"/>
          <w:szCs w:val="20"/>
        </w:rPr>
        <w:t xml:space="preserve">cases involving the </w:t>
      </w:r>
      <w:r w:rsidR="0012782E" w:rsidRPr="008D6E5C">
        <w:rPr>
          <w:rFonts w:ascii="Cambria" w:hAnsi="Cambria"/>
          <w:sz w:val="20"/>
          <w:szCs w:val="20"/>
        </w:rPr>
        <w:t>murder</w:t>
      </w:r>
      <w:r w:rsidR="00084FF9" w:rsidRPr="008D6E5C">
        <w:rPr>
          <w:rFonts w:ascii="Cambria" w:hAnsi="Cambria"/>
          <w:sz w:val="20"/>
          <w:szCs w:val="20"/>
        </w:rPr>
        <w:t xml:space="preserve"> of journalists</w:t>
      </w:r>
      <w:r w:rsidR="00FC5DC8" w:rsidRPr="008D6E5C">
        <w:rPr>
          <w:rFonts w:ascii="Cambria" w:hAnsi="Cambria"/>
          <w:sz w:val="20"/>
          <w:szCs w:val="20"/>
        </w:rPr>
        <w:t xml:space="preserve"> </w:t>
      </w:r>
      <w:r w:rsidR="000D2E7C" w:rsidRPr="008D6E5C">
        <w:rPr>
          <w:rFonts w:ascii="Cambria" w:hAnsi="Cambria"/>
          <w:sz w:val="20"/>
          <w:szCs w:val="20"/>
        </w:rPr>
        <w:t>is the expiration of criminal statutes of limitation.</w:t>
      </w:r>
    </w:p>
    <w:p w:rsidR="00FC5DC8" w:rsidRPr="008D6E5C" w:rsidRDefault="00FC5DC8" w:rsidP="001520DB">
      <w:pPr>
        <w:pStyle w:val="ListParagraph"/>
        <w:shd w:val="clear" w:color="auto" w:fill="FFFFFF"/>
        <w:jc w:val="both"/>
        <w:rPr>
          <w:bCs/>
          <w:sz w:val="20"/>
          <w:szCs w:val="20"/>
        </w:rPr>
      </w:pPr>
    </w:p>
    <w:p w:rsidR="00FC5DC8" w:rsidRPr="008D6E5C" w:rsidRDefault="00045D4D"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In view of the above considerations</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00407D5C" w:rsidRPr="008D6E5C">
        <w:rPr>
          <w:rFonts w:ascii="Cambria" w:hAnsi="Cambria"/>
          <w:bCs/>
          <w:sz w:val="20"/>
          <w:szCs w:val="20"/>
        </w:rPr>
        <w:t>concludes that</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00407D5C" w:rsidRPr="008D6E5C">
        <w:rPr>
          <w:rFonts w:ascii="Cambria" w:hAnsi="Cambria"/>
          <w:bCs/>
          <w:sz w:val="20"/>
          <w:szCs w:val="20"/>
        </w:rPr>
        <w:t>into the crime committed against journalist</w:t>
      </w:r>
      <w:r w:rsidR="00FC5DC8" w:rsidRPr="008D6E5C">
        <w:rPr>
          <w:rFonts w:ascii="Cambria" w:hAnsi="Cambria"/>
          <w:bCs/>
          <w:sz w:val="20"/>
          <w:szCs w:val="20"/>
        </w:rPr>
        <w:t xml:space="preserve"> 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r w:rsidR="00407D5C" w:rsidRPr="008D6E5C">
        <w:rPr>
          <w:rFonts w:ascii="Cambria" w:hAnsi="Cambria"/>
          <w:bCs/>
          <w:sz w:val="20"/>
          <w:szCs w:val="20"/>
        </w:rPr>
        <w:t>had not been conducted within a reasonable period of time</w:t>
      </w:r>
      <w:r w:rsidR="00FC5DC8" w:rsidRPr="008D6E5C">
        <w:rPr>
          <w:rFonts w:ascii="Cambria" w:hAnsi="Cambria"/>
          <w:bCs/>
          <w:sz w:val="20"/>
          <w:szCs w:val="20"/>
        </w:rPr>
        <w:t>, n</w:t>
      </w:r>
      <w:r w:rsidR="00407D5C" w:rsidRPr="008D6E5C">
        <w:rPr>
          <w:rFonts w:ascii="Cambria" w:hAnsi="Cambria"/>
          <w:bCs/>
          <w:sz w:val="20"/>
          <w:szCs w:val="20"/>
        </w:rPr>
        <w:t xml:space="preserve">or has it been an effective remedy to guarantee the rights of his </w:t>
      </w:r>
      <w:r w:rsidR="001000C6" w:rsidRPr="008D6E5C">
        <w:rPr>
          <w:rFonts w:ascii="Cambria" w:hAnsi="Cambria"/>
          <w:bCs/>
          <w:sz w:val="20"/>
          <w:szCs w:val="20"/>
        </w:rPr>
        <w:t>relatives</w:t>
      </w:r>
      <w:r w:rsidR="00FC5DC8" w:rsidRPr="008D6E5C">
        <w:rPr>
          <w:rFonts w:ascii="Cambria" w:hAnsi="Cambria"/>
          <w:bCs/>
          <w:sz w:val="20"/>
          <w:szCs w:val="20"/>
        </w:rPr>
        <w:t xml:space="preserve">. </w:t>
      </w:r>
    </w:p>
    <w:p w:rsidR="00FC5DC8" w:rsidRPr="008D6E5C" w:rsidRDefault="00FC5DC8" w:rsidP="001520DB">
      <w:pPr>
        <w:pStyle w:val="ListParagraph"/>
        <w:rPr>
          <w:bCs/>
          <w:sz w:val="20"/>
          <w:szCs w:val="20"/>
        </w:rPr>
      </w:pPr>
    </w:p>
    <w:p w:rsidR="00FC5DC8" w:rsidRPr="008D6E5C" w:rsidRDefault="00FC5DC8" w:rsidP="001520DB">
      <w:pPr>
        <w:pStyle w:val="Heading4"/>
        <w:spacing w:before="0"/>
        <w:rPr>
          <w:szCs w:val="20"/>
        </w:rPr>
      </w:pPr>
      <w:r w:rsidRPr="008D6E5C">
        <w:rPr>
          <w:szCs w:val="20"/>
        </w:rPr>
        <w:t>e.</w:t>
      </w:r>
      <w:r w:rsidRPr="008D6E5C">
        <w:rPr>
          <w:szCs w:val="20"/>
        </w:rPr>
        <w:tab/>
      </w:r>
      <w:bookmarkStart w:id="52" w:name="_Toc391653305"/>
      <w:bookmarkStart w:id="53" w:name="_Toc391654280"/>
      <w:bookmarkStart w:id="54" w:name="_Toc393560545"/>
      <w:r w:rsidR="001766CB" w:rsidRPr="008D6E5C">
        <w:rPr>
          <w:szCs w:val="20"/>
        </w:rPr>
        <w:t>Obstacles to the participation</w:t>
      </w:r>
      <w:r w:rsidRPr="008D6E5C">
        <w:rPr>
          <w:szCs w:val="20"/>
        </w:rPr>
        <w:t xml:space="preserve"> </w:t>
      </w:r>
      <w:r w:rsidR="001766CB" w:rsidRPr="008D6E5C">
        <w:rPr>
          <w:szCs w:val="20"/>
        </w:rPr>
        <w:t>of</w:t>
      </w:r>
      <w:r w:rsidR="00D1708C" w:rsidRPr="008D6E5C">
        <w:rPr>
          <w:szCs w:val="20"/>
        </w:rPr>
        <w:t xml:space="preserve"> Nelson</w:t>
      </w:r>
      <w:r w:rsidRPr="008D6E5C">
        <w:rPr>
          <w:szCs w:val="20"/>
        </w:rPr>
        <w:t xml:space="preserve"> </w:t>
      </w:r>
      <w:proofErr w:type="spellStart"/>
      <w:r w:rsidRPr="008D6E5C">
        <w:rPr>
          <w:szCs w:val="20"/>
        </w:rPr>
        <w:t>Carvajal</w:t>
      </w:r>
      <w:r w:rsidR="001766CB" w:rsidRPr="008D6E5C">
        <w:rPr>
          <w:szCs w:val="20"/>
        </w:rPr>
        <w:t>’s</w:t>
      </w:r>
      <w:proofErr w:type="spellEnd"/>
      <w:r w:rsidR="001766CB" w:rsidRPr="008D6E5C">
        <w:rPr>
          <w:szCs w:val="20"/>
        </w:rPr>
        <w:t xml:space="preserve"> relatives in the investigations</w:t>
      </w:r>
      <w:bookmarkEnd w:id="52"/>
      <w:bookmarkEnd w:id="53"/>
      <w:bookmarkEnd w:id="54"/>
    </w:p>
    <w:p w:rsidR="00FC5DC8" w:rsidRPr="008D6E5C" w:rsidRDefault="00FC5DC8" w:rsidP="001520DB">
      <w:pPr>
        <w:pStyle w:val="ListParagraph"/>
        <w:rPr>
          <w:bCs/>
          <w:sz w:val="20"/>
          <w:szCs w:val="20"/>
        </w:rPr>
      </w:pPr>
    </w:p>
    <w:p w:rsidR="00FC5DC8" w:rsidRPr="008D6E5C" w:rsidRDefault="00D35FF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In fulfilling their duty to</w:t>
      </w:r>
      <w:r w:rsidR="00FC5DC8" w:rsidRPr="008D6E5C">
        <w:rPr>
          <w:rFonts w:ascii="Cambria" w:hAnsi="Cambria"/>
          <w:bCs/>
          <w:sz w:val="20"/>
          <w:szCs w:val="20"/>
        </w:rPr>
        <w:t xml:space="preserve"> </w:t>
      </w:r>
      <w:r w:rsidR="009E191A" w:rsidRPr="008D6E5C">
        <w:rPr>
          <w:rFonts w:ascii="Cambria" w:hAnsi="Cambria"/>
          <w:bCs/>
          <w:sz w:val="20"/>
          <w:szCs w:val="20"/>
        </w:rPr>
        <w:t>investigate and prosecute</w:t>
      </w:r>
      <w:r w:rsidR="00FC5DC8" w:rsidRPr="008D6E5C">
        <w:rPr>
          <w:rFonts w:ascii="Cambria" w:hAnsi="Cambria"/>
          <w:bCs/>
          <w:sz w:val="20"/>
          <w:szCs w:val="20"/>
        </w:rPr>
        <w:t xml:space="preserve"> </w:t>
      </w:r>
      <w:r w:rsidRPr="008D6E5C">
        <w:rPr>
          <w:rFonts w:ascii="Cambria" w:hAnsi="Cambria"/>
          <w:bCs/>
          <w:sz w:val="20"/>
          <w:szCs w:val="20"/>
        </w:rPr>
        <w:t>all perpetrators responsible for acts of</w:t>
      </w:r>
      <w:r w:rsidR="00FC5DC8" w:rsidRPr="008D6E5C">
        <w:rPr>
          <w:rFonts w:ascii="Cambria" w:hAnsi="Cambria"/>
          <w:bCs/>
          <w:sz w:val="20"/>
          <w:szCs w:val="20"/>
        </w:rPr>
        <w:t xml:space="preserve"> </w:t>
      </w:r>
      <w:r w:rsidR="001766CB" w:rsidRPr="008D6E5C">
        <w:rPr>
          <w:rFonts w:ascii="Cambria" w:hAnsi="Cambria"/>
          <w:bCs/>
          <w:sz w:val="20"/>
          <w:szCs w:val="20"/>
        </w:rPr>
        <w:t>violence against journalists</w:t>
      </w:r>
      <w:r w:rsidR="00FC5DC8" w:rsidRPr="008D6E5C">
        <w:rPr>
          <w:rFonts w:ascii="Cambria" w:hAnsi="Cambria"/>
          <w:bCs/>
          <w:sz w:val="20"/>
          <w:szCs w:val="20"/>
        </w:rPr>
        <w:t xml:space="preserve">, </w:t>
      </w:r>
      <w:r w:rsidRPr="008D6E5C">
        <w:rPr>
          <w:rFonts w:ascii="Cambria" w:hAnsi="Cambria"/>
          <w:bCs/>
          <w:sz w:val="20"/>
          <w:szCs w:val="20"/>
        </w:rPr>
        <w:t>States have the obligation to guarantee that the victims of</w:t>
      </w:r>
      <w:r w:rsidR="00FC5DC8" w:rsidRPr="008D6E5C">
        <w:rPr>
          <w:rFonts w:ascii="Cambria" w:hAnsi="Cambria"/>
          <w:bCs/>
          <w:sz w:val="20"/>
          <w:szCs w:val="20"/>
        </w:rPr>
        <w:t xml:space="preserve"> </w:t>
      </w:r>
      <w:r w:rsidR="00CE0022" w:rsidRPr="008D6E5C">
        <w:rPr>
          <w:rFonts w:ascii="Cambria" w:hAnsi="Cambria"/>
          <w:bCs/>
          <w:sz w:val="20"/>
          <w:szCs w:val="20"/>
        </w:rPr>
        <w:t>human rights violations</w:t>
      </w:r>
      <w:r w:rsidR="00FC5DC8" w:rsidRPr="008D6E5C">
        <w:rPr>
          <w:rFonts w:ascii="Cambria" w:hAnsi="Cambria"/>
          <w:bCs/>
          <w:sz w:val="20"/>
          <w:szCs w:val="20"/>
        </w:rPr>
        <w:t xml:space="preserve"> </w:t>
      </w:r>
      <w:r w:rsidRPr="008D6E5C">
        <w:rPr>
          <w:rFonts w:ascii="Cambria" w:hAnsi="Cambria"/>
          <w:bCs/>
          <w:sz w:val="20"/>
          <w:szCs w:val="20"/>
        </w:rPr>
        <w:t>or their</w:t>
      </w:r>
      <w:r w:rsidR="00FC5DC8" w:rsidRPr="008D6E5C">
        <w:rPr>
          <w:rFonts w:ascii="Cambria" w:hAnsi="Cambria"/>
          <w:bCs/>
          <w:sz w:val="20"/>
          <w:szCs w:val="20"/>
        </w:rPr>
        <w:t xml:space="preserve"> </w:t>
      </w:r>
      <w:r w:rsidR="001000C6" w:rsidRPr="008D6E5C">
        <w:rPr>
          <w:rFonts w:ascii="Cambria" w:hAnsi="Cambria"/>
          <w:bCs/>
          <w:sz w:val="20"/>
          <w:szCs w:val="20"/>
        </w:rPr>
        <w:t>relatives</w:t>
      </w:r>
      <w:r w:rsidR="00FC5DC8" w:rsidRPr="008D6E5C">
        <w:rPr>
          <w:rFonts w:ascii="Cambria" w:hAnsi="Cambria"/>
          <w:bCs/>
          <w:sz w:val="20"/>
          <w:szCs w:val="20"/>
        </w:rPr>
        <w:t xml:space="preserve"> </w:t>
      </w:r>
      <w:r w:rsidRPr="008D6E5C">
        <w:rPr>
          <w:rFonts w:ascii="Cambria" w:hAnsi="Cambria"/>
          <w:bCs/>
          <w:sz w:val="20"/>
          <w:szCs w:val="20"/>
        </w:rPr>
        <w:t xml:space="preserve">have full access and the ability to act at all phases and levels of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lastRenderedPageBreak/>
        <w:t>and the respective trial</w:t>
      </w:r>
      <w:r w:rsidR="00FC5DC8" w:rsidRPr="008D6E5C">
        <w:rPr>
          <w:rFonts w:ascii="Cambria" w:hAnsi="Cambria"/>
          <w:bCs/>
          <w:sz w:val="20"/>
          <w:szCs w:val="20"/>
        </w:rPr>
        <w:t xml:space="preserve">, </w:t>
      </w:r>
      <w:r w:rsidRPr="008D6E5C">
        <w:rPr>
          <w:rFonts w:ascii="Cambria" w:hAnsi="Cambria"/>
          <w:bCs/>
          <w:sz w:val="20"/>
          <w:szCs w:val="20"/>
        </w:rPr>
        <w:t xml:space="preserve">in accordance with domestic law and the provisions </w:t>
      </w:r>
      <w:r w:rsidR="004B0168" w:rsidRPr="008D6E5C">
        <w:rPr>
          <w:rFonts w:ascii="Cambria" w:hAnsi="Cambria"/>
          <w:bCs/>
          <w:sz w:val="20"/>
          <w:szCs w:val="20"/>
        </w:rPr>
        <w:t>of the American Convention</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64"/>
      </w:r>
      <w:r w:rsidR="00FC5DC8" w:rsidRPr="008D6E5C">
        <w:rPr>
          <w:rFonts w:ascii="Cambria" w:hAnsi="Cambria"/>
          <w:bCs/>
          <w:sz w:val="20"/>
          <w:szCs w:val="20"/>
        </w:rPr>
        <w:t xml:space="preserve"> </w:t>
      </w:r>
      <w:r w:rsidRPr="008D6E5C">
        <w:rPr>
          <w:rFonts w:ascii="Cambria" w:hAnsi="Cambria"/>
          <w:bCs/>
          <w:sz w:val="20"/>
          <w:szCs w:val="20"/>
        </w:rPr>
        <w:t xml:space="preserve">This includes broad opportunities to participate and to be heard, both in </w:t>
      </w:r>
      <w:r w:rsidR="00A32126" w:rsidRPr="008D6E5C">
        <w:rPr>
          <w:rFonts w:ascii="Cambria" w:hAnsi="Cambria"/>
          <w:bCs/>
          <w:sz w:val="20"/>
          <w:szCs w:val="20"/>
        </w:rPr>
        <w:t>the establishment of the facts</w:t>
      </w:r>
      <w:r w:rsidR="00FC5DC8" w:rsidRPr="008D6E5C">
        <w:rPr>
          <w:rFonts w:ascii="Cambria" w:hAnsi="Cambria"/>
          <w:bCs/>
          <w:sz w:val="20"/>
          <w:szCs w:val="20"/>
        </w:rPr>
        <w:t xml:space="preserve"> </w:t>
      </w:r>
      <w:r w:rsidRPr="008D6E5C">
        <w:rPr>
          <w:rFonts w:ascii="Cambria" w:hAnsi="Cambria"/>
          <w:bCs/>
          <w:sz w:val="20"/>
          <w:szCs w:val="20"/>
        </w:rPr>
        <w:t>and the punishment of the perpetrators</w:t>
      </w:r>
      <w:r w:rsidR="00FC5DC8" w:rsidRPr="008D6E5C">
        <w:rPr>
          <w:rFonts w:ascii="Cambria" w:hAnsi="Cambria"/>
          <w:bCs/>
          <w:sz w:val="20"/>
          <w:szCs w:val="20"/>
        </w:rPr>
        <w:t xml:space="preserve">, </w:t>
      </w:r>
      <w:r w:rsidRPr="008D6E5C">
        <w:rPr>
          <w:rFonts w:ascii="Cambria" w:hAnsi="Cambria"/>
          <w:bCs/>
          <w:sz w:val="20"/>
          <w:szCs w:val="20"/>
        </w:rPr>
        <w:t>as well as in seeking compensation</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65"/>
      </w:r>
      <w:r w:rsidR="00FC5DC8" w:rsidRPr="008D6E5C">
        <w:rPr>
          <w:rFonts w:ascii="Cambria" w:hAnsi="Cambria"/>
          <w:bCs/>
          <w:sz w:val="20"/>
          <w:szCs w:val="20"/>
        </w:rPr>
        <w:t xml:space="preserve"> </w:t>
      </w:r>
      <w:r w:rsidRPr="008D6E5C">
        <w:rPr>
          <w:rFonts w:ascii="Cambria" w:hAnsi="Cambria"/>
          <w:bCs/>
          <w:sz w:val="20"/>
          <w:szCs w:val="20"/>
        </w:rPr>
        <w:t>In this regard</w:t>
      </w:r>
      <w:r w:rsidR="00FC5DC8" w:rsidRPr="008D6E5C">
        <w:rPr>
          <w:rFonts w:ascii="Cambria" w:hAnsi="Cambria"/>
          <w:bCs/>
          <w:sz w:val="20"/>
          <w:szCs w:val="20"/>
        </w:rPr>
        <w:t xml:space="preserve">, </w:t>
      </w:r>
      <w:r w:rsidR="00DF44C8" w:rsidRPr="008D6E5C">
        <w:rPr>
          <w:rFonts w:ascii="Cambria" w:hAnsi="Cambria"/>
          <w:bCs/>
          <w:sz w:val="20"/>
          <w:szCs w:val="20"/>
        </w:rPr>
        <w:t>the Commission</w:t>
      </w:r>
      <w:r w:rsidR="00FC5DC8" w:rsidRPr="008D6E5C">
        <w:rPr>
          <w:rFonts w:ascii="Cambria" w:hAnsi="Cambria"/>
          <w:bCs/>
          <w:sz w:val="20"/>
          <w:szCs w:val="20"/>
        </w:rPr>
        <w:t xml:space="preserve"> </w:t>
      </w:r>
      <w:r w:rsidR="001766CB" w:rsidRPr="008D6E5C">
        <w:rPr>
          <w:rFonts w:ascii="Cambria" w:hAnsi="Cambria"/>
          <w:bCs/>
          <w:sz w:val="20"/>
          <w:szCs w:val="20"/>
        </w:rPr>
        <w:t>observes that</w:t>
      </w:r>
      <w:r w:rsidR="00FC5DC8" w:rsidRPr="008D6E5C">
        <w:rPr>
          <w:rFonts w:ascii="Cambria" w:hAnsi="Cambria"/>
          <w:bCs/>
          <w:sz w:val="20"/>
          <w:szCs w:val="20"/>
        </w:rPr>
        <w:t xml:space="preserve"> </w:t>
      </w:r>
      <w:r w:rsidRPr="008D6E5C">
        <w:rPr>
          <w:rFonts w:ascii="Cambria" w:hAnsi="Cambria"/>
          <w:bCs/>
          <w:sz w:val="20"/>
          <w:szCs w:val="20"/>
        </w:rPr>
        <w:t xml:space="preserve">encouraging the participation of victims in the criminal proceedings also requires providing them </w:t>
      </w:r>
      <w:r w:rsidR="00BE7E72" w:rsidRPr="008D6E5C">
        <w:rPr>
          <w:rFonts w:ascii="Cambria" w:hAnsi="Cambria"/>
          <w:bCs/>
          <w:sz w:val="20"/>
          <w:szCs w:val="20"/>
        </w:rPr>
        <w:t xml:space="preserve">with </w:t>
      </w:r>
      <w:r w:rsidRPr="008D6E5C">
        <w:rPr>
          <w:rFonts w:ascii="Cambria" w:hAnsi="Cambria"/>
          <w:bCs/>
          <w:sz w:val="20"/>
          <w:szCs w:val="20"/>
        </w:rPr>
        <w:t xml:space="preserve">adequate protection in view of </w:t>
      </w:r>
      <w:r w:rsidR="00EF5F24" w:rsidRPr="008D6E5C">
        <w:rPr>
          <w:rFonts w:ascii="Cambria" w:hAnsi="Cambria"/>
          <w:bCs/>
          <w:sz w:val="20"/>
          <w:szCs w:val="20"/>
        </w:rPr>
        <w:t>threats</w:t>
      </w:r>
      <w:r w:rsidR="00FC5DC8" w:rsidRPr="008D6E5C">
        <w:rPr>
          <w:rFonts w:ascii="Cambria" w:hAnsi="Cambria"/>
          <w:bCs/>
          <w:sz w:val="20"/>
          <w:szCs w:val="20"/>
        </w:rPr>
        <w:t xml:space="preserve"> o</w:t>
      </w:r>
      <w:r w:rsidRPr="008D6E5C">
        <w:rPr>
          <w:rFonts w:ascii="Cambria" w:hAnsi="Cambria"/>
          <w:bCs/>
          <w:sz w:val="20"/>
          <w:szCs w:val="20"/>
        </w:rPr>
        <w:t>r attacks intended to prevent such participation</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66"/>
      </w:r>
    </w:p>
    <w:p w:rsidR="00FC5DC8" w:rsidRPr="008D6E5C" w:rsidRDefault="00FC5DC8" w:rsidP="001520DB">
      <w:pPr>
        <w:pStyle w:val="ListParagraph"/>
        <w:shd w:val="clear" w:color="auto" w:fill="FFFFFF"/>
        <w:jc w:val="both"/>
        <w:rPr>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The IACHR</w:t>
      </w:r>
      <w:r w:rsidR="00FC5DC8" w:rsidRPr="008D6E5C">
        <w:rPr>
          <w:rFonts w:ascii="Cambria" w:hAnsi="Cambria"/>
          <w:sz w:val="20"/>
          <w:szCs w:val="20"/>
        </w:rPr>
        <w:t xml:space="preserve"> </w:t>
      </w:r>
      <w:r w:rsidR="001000C6" w:rsidRPr="008D6E5C">
        <w:rPr>
          <w:rFonts w:ascii="Cambria" w:hAnsi="Cambria"/>
          <w:sz w:val="20"/>
          <w:szCs w:val="20"/>
        </w:rPr>
        <w:t>reiterates that</w:t>
      </w:r>
      <w:r w:rsidR="00FC5DC8" w:rsidRPr="008D6E5C">
        <w:rPr>
          <w:rFonts w:ascii="Cambria" w:hAnsi="Cambria"/>
          <w:sz w:val="20"/>
          <w:szCs w:val="20"/>
        </w:rPr>
        <w:t xml:space="preserve"> </w:t>
      </w:r>
      <w:r w:rsidR="008B2EEB" w:rsidRPr="008D6E5C">
        <w:rPr>
          <w:rFonts w:ascii="Cambria" w:hAnsi="Cambria"/>
          <w:sz w:val="20"/>
          <w:szCs w:val="20"/>
        </w:rPr>
        <w:t xml:space="preserve">impunity in these types of crimes </w:t>
      </w:r>
      <w:r w:rsidR="0012782E" w:rsidRPr="008D6E5C">
        <w:rPr>
          <w:rFonts w:ascii="Cambria" w:hAnsi="Cambria"/>
          <w:sz w:val="20"/>
          <w:szCs w:val="20"/>
        </w:rPr>
        <w:t>encourages</w:t>
      </w:r>
      <w:r w:rsidR="008B2EEB" w:rsidRPr="008D6E5C">
        <w:rPr>
          <w:rFonts w:ascii="Cambria" w:hAnsi="Cambria"/>
          <w:sz w:val="20"/>
          <w:szCs w:val="20"/>
        </w:rPr>
        <w:t xml:space="preserve"> self-censorship, and thus undermines democratic debate</w:t>
      </w:r>
      <w:r w:rsidR="001766CB" w:rsidRPr="008D6E5C">
        <w:rPr>
          <w:rFonts w:ascii="Cambria" w:hAnsi="Cambria"/>
          <w:sz w:val="20"/>
          <w:szCs w:val="20"/>
        </w:rPr>
        <w:t>.</w:t>
      </w:r>
      <w:r w:rsidR="00FC5DC8" w:rsidRPr="008D6E5C">
        <w:rPr>
          <w:rStyle w:val="FootnoteReference"/>
          <w:rFonts w:ascii="Cambria" w:hAnsi="Cambria"/>
          <w:sz w:val="20"/>
          <w:szCs w:val="20"/>
        </w:rPr>
        <w:footnoteReference w:id="167"/>
      </w:r>
      <w:r w:rsidR="00FC5DC8" w:rsidRPr="008D6E5C">
        <w:rPr>
          <w:rFonts w:ascii="Cambria" w:hAnsi="Cambria"/>
          <w:sz w:val="20"/>
          <w:szCs w:val="20"/>
        </w:rPr>
        <w:t xml:space="preserve"> </w:t>
      </w:r>
      <w:r w:rsidR="008B2EEB" w:rsidRPr="008D6E5C">
        <w:rPr>
          <w:rFonts w:ascii="Cambria" w:hAnsi="Cambria"/>
          <w:sz w:val="20"/>
          <w:szCs w:val="20"/>
        </w:rPr>
        <w:t xml:space="preserve"> In its judgment in case of </w:t>
      </w:r>
      <w:proofErr w:type="spellStart"/>
      <w:r w:rsidR="008B2EEB" w:rsidRPr="008D6E5C">
        <w:rPr>
          <w:rFonts w:ascii="Cambria" w:hAnsi="Cambria"/>
          <w:i/>
          <w:sz w:val="20"/>
          <w:szCs w:val="20"/>
        </w:rPr>
        <w:t>Vélez</w:t>
      </w:r>
      <w:proofErr w:type="spellEnd"/>
      <w:r w:rsidR="008B2EEB" w:rsidRPr="008D6E5C">
        <w:rPr>
          <w:rFonts w:ascii="Cambria" w:hAnsi="Cambria"/>
          <w:i/>
          <w:sz w:val="20"/>
          <w:szCs w:val="20"/>
        </w:rPr>
        <w:t xml:space="preserve"> </w:t>
      </w:r>
      <w:proofErr w:type="spellStart"/>
      <w:r w:rsidR="008B2EEB" w:rsidRPr="008D6E5C">
        <w:rPr>
          <w:rFonts w:ascii="Cambria" w:hAnsi="Cambria"/>
          <w:i/>
          <w:sz w:val="20"/>
          <w:szCs w:val="20"/>
        </w:rPr>
        <w:t>Restrepo</w:t>
      </w:r>
      <w:proofErr w:type="spellEnd"/>
      <w:r w:rsidR="008B2EEB" w:rsidRPr="008D6E5C">
        <w:rPr>
          <w:rFonts w:ascii="Cambria" w:hAnsi="Cambria"/>
          <w:i/>
          <w:sz w:val="20"/>
          <w:szCs w:val="20"/>
        </w:rPr>
        <w:t xml:space="preserve"> v. Colombia,</w:t>
      </w:r>
      <w:r w:rsidR="008B2EEB" w:rsidRPr="008D6E5C">
        <w:rPr>
          <w:rFonts w:ascii="Cambria" w:hAnsi="Cambria"/>
          <w:sz w:val="20"/>
          <w:szCs w:val="20"/>
        </w:rPr>
        <w:t xml:space="preserve"> t</w:t>
      </w:r>
      <w:r w:rsidR="004B0168" w:rsidRPr="008D6E5C">
        <w:rPr>
          <w:rFonts w:ascii="Cambria" w:hAnsi="Cambria"/>
          <w:sz w:val="20"/>
          <w:szCs w:val="20"/>
        </w:rPr>
        <w:t>he Inter-American Court</w:t>
      </w:r>
      <w:r w:rsidR="00FC5DC8" w:rsidRPr="008D6E5C">
        <w:rPr>
          <w:rFonts w:ascii="Cambria" w:hAnsi="Cambria"/>
          <w:sz w:val="20"/>
          <w:szCs w:val="20"/>
        </w:rPr>
        <w:t xml:space="preserve"> </w:t>
      </w:r>
      <w:r w:rsidR="008B2EEB" w:rsidRPr="008D6E5C">
        <w:rPr>
          <w:rFonts w:ascii="Cambria" w:hAnsi="Cambria"/>
          <w:sz w:val="20"/>
          <w:szCs w:val="20"/>
        </w:rPr>
        <w:t>held that impunity in these types of cases creates</w:t>
      </w:r>
      <w:r w:rsidR="00B55E22" w:rsidRPr="008D6E5C">
        <w:rPr>
          <w:rFonts w:ascii="Cambria" w:hAnsi="Cambria"/>
          <w:sz w:val="20"/>
          <w:szCs w:val="20"/>
        </w:rPr>
        <w:t xml:space="preserve"> the reasonable</w:t>
      </w:r>
      <w:r w:rsidR="00FC5DC8" w:rsidRPr="008D6E5C">
        <w:rPr>
          <w:rFonts w:ascii="Cambria" w:hAnsi="Cambria"/>
          <w:sz w:val="20"/>
          <w:szCs w:val="20"/>
        </w:rPr>
        <w:t xml:space="preserve"> “</w:t>
      </w:r>
      <w:r w:rsidR="00B55E22" w:rsidRPr="008D6E5C">
        <w:rPr>
          <w:rFonts w:ascii="Cambria" w:hAnsi="Cambria"/>
          <w:sz w:val="20"/>
          <w:szCs w:val="20"/>
        </w:rPr>
        <w:t>fear that this type of human rights violation might be repeated, and this could lead to [the] self-censorship of [journalists’] work</w:t>
      </w:r>
      <w:r w:rsidR="00FC5DC8" w:rsidRPr="008D6E5C">
        <w:rPr>
          <w:rFonts w:ascii="Cambria" w:hAnsi="Cambria"/>
          <w:sz w:val="20"/>
          <w:szCs w:val="20"/>
        </w:rPr>
        <w:t xml:space="preserve">, </w:t>
      </w:r>
      <w:r w:rsidR="00B55E22" w:rsidRPr="008D6E5C">
        <w:rPr>
          <w:rFonts w:ascii="Cambria" w:hAnsi="Cambria"/>
          <w:sz w:val="20"/>
          <w:szCs w:val="20"/>
        </w:rPr>
        <w:t>for example, as regards the type of news covered, the way the information is obtained, and the decision to disseminate it</w:t>
      </w:r>
      <w:r w:rsidR="001766CB" w:rsidRPr="008D6E5C">
        <w:rPr>
          <w:rFonts w:ascii="Cambria" w:hAnsi="Cambria"/>
          <w:sz w:val="20"/>
          <w:szCs w:val="20"/>
        </w:rPr>
        <w:t>.</w:t>
      </w:r>
      <w:r w:rsidR="00FC5DC8" w:rsidRPr="008D6E5C">
        <w:rPr>
          <w:rFonts w:ascii="Cambria" w:hAnsi="Cambria"/>
          <w:sz w:val="20"/>
          <w:szCs w:val="20"/>
        </w:rPr>
        <w:t>”</w:t>
      </w:r>
      <w:r w:rsidR="00FC5DC8" w:rsidRPr="008D6E5C">
        <w:rPr>
          <w:rStyle w:val="FootnoteReference"/>
          <w:rFonts w:ascii="Cambria" w:hAnsi="Cambria"/>
          <w:sz w:val="20"/>
          <w:szCs w:val="20"/>
        </w:rPr>
        <w:footnoteReference w:id="168"/>
      </w:r>
    </w:p>
    <w:p w:rsidR="00FC5DC8" w:rsidRPr="008D6E5C" w:rsidRDefault="00FC5DC8" w:rsidP="001520DB">
      <w:pPr>
        <w:jc w:val="both"/>
        <w:rPr>
          <w:rFonts w:ascii="Cambria" w:hAnsi="Cambria"/>
          <w:sz w:val="20"/>
          <w:szCs w:val="20"/>
        </w:rPr>
      </w:pPr>
    </w:p>
    <w:p w:rsidR="00FC5DC8" w:rsidRPr="008D6E5C" w:rsidRDefault="00653980"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It has been established that the</w:t>
      </w:r>
      <w:r w:rsidR="00FC5DC8" w:rsidRPr="008D6E5C">
        <w:rPr>
          <w:rFonts w:ascii="Cambria" w:hAnsi="Cambria"/>
          <w:sz w:val="20"/>
          <w:szCs w:val="20"/>
        </w:rPr>
        <w:t xml:space="preserve"> </w:t>
      </w:r>
      <w:r w:rsidR="001000C6" w:rsidRPr="008D6E5C">
        <w:rPr>
          <w:rFonts w:ascii="Cambria" w:hAnsi="Cambria"/>
          <w:sz w:val="20"/>
          <w:szCs w:val="20"/>
        </w:rPr>
        <w:t>relatives</w:t>
      </w:r>
      <w:r w:rsidR="00FC5DC8" w:rsidRPr="008D6E5C">
        <w:rPr>
          <w:rFonts w:ascii="Cambria" w:hAnsi="Cambria"/>
          <w:sz w:val="20"/>
          <w:szCs w:val="20"/>
        </w:rPr>
        <w:t xml:space="preserve"> </w:t>
      </w:r>
      <w:r w:rsidRPr="008D6E5C">
        <w:rPr>
          <w:rFonts w:ascii="Cambria" w:hAnsi="Cambria"/>
          <w:bCs/>
          <w:sz w:val="20"/>
          <w:szCs w:val="20"/>
        </w:rPr>
        <w:t>limited their participation in</w:t>
      </w:r>
      <w:r w:rsidR="00FC5DC8" w:rsidRPr="008D6E5C">
        <w:rPr>
          <w:rFonts w:ascii="Cambria" w:hAnsi="Cambria"/>
          <w:bCs/>
          <w:sz w:val="20"/>
          <w:szCs w:val="20"/>
        </w:rPr>
        <w:t xml:space="preserve"> </w:t>
      </w:r>
      <w:r w:rsidR="001766CB" w:rsidRPr="008D6E5C">
        <w:rPr>
          <w:rFonts w:ascii="Cambria" w:hAnsi="Cambria"/>
          <w:bCs/>
          <w:sz w:val="20"/>
          <w:szCs w:val="20"/>
        </w:rPr>
        <w:t>the investigation</w:t>
      </w:r>
      <w:r w:rsidR="00FC5DC8" w:rsidRPr="008D6E5C">
        <w:rPr>
          <w:rFonts w:ascii="Cambria" w:hAnsi="Cambria"/>
          <w:bCs/>
          <w:sz w:val="20"/>
          <w:szCs w:val="20"/>
        </w:rPr>
        <w:t xml:space="preserve"> </w:t>
      </w:r>
      <w:r w:rsidRPr="008D6E5C">
        <w:rPr>
          <w:rFonts w:ascii="Cambria" w:hAnsi="Cambria"/>
          <w:bCs/>
          <w:sz w:val="20"/>
          <w:szCs w:val="20"/>
        </w:rPr>
        <w:t>and in the criminal case because of the</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warning them that if they continued</w:t>
      </w:r>
      <w:r w:rsidR="00FC5DC8" w:rsidRPr="008D6E5C">
        <w:rPr>
          <w:rFonts w:ascii="Cambria" w:hAnsi="Cambria"/>
          <w:sz w:val="20"/>
          <w:szCs w:val="20"/>
        </w:rPr>
        <w:t xml:space="preserve"> “</w:t>
      </w:r>
      <w:r w:rsidRPr="008D6E5C">
        <w:rPr>
          <w:rFonts w:ascii="Cambria" w:hAnsi="Cambria"/>
          <w:sz w:val="20"/>
          <w:szCs w:val="20"/>
        </w:rPr>
        <w:t>to go after the perpetrators there would be more deaths in the family</w:t>
      </w:r>
      <w:r w:rsidR="001766CB" w:rsidRPr="008D6E5C">
        <w:rPr>
          <w:rFonts w:ascii="Cambria" w:hAnsi="Cambria"/>
          <w:sz w:val="20"/>
          <w:szCs w:val="20"/>
        </w:rPr>
        <w:t>,</w:t>
      </w:r>
      <w:r w:rsidR="00FC5DC8" w:rsidRPr="008D6E5C">
        <w:rPr>
          <w:rFonts w:ascii="Cambria" w:hAnsi="Cambria"/>
          <w:sz w:val="20"/>
          <w:szCs w:val="20"/>
        </w:rPr>
        <w:t xml:space="preserve">” </w:t>
      </w:r>
      <w:r w:rsidRPr="008D6E5C">
        <w:rPr>
          <w:rFonts w:ascii="Cambria" w:hAnsi="Cambria"/>
          <w:bCs/>
          <w:sz w:val="20"/>
          <w:szCs w:val="20"/>
        </w:rPr>
        <w:t>and because attorneys in the area were afraid to represent them</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Pr="008D6E5C">
        <w:rPr>
          <w:rFonts w:ascii="Cambria" w:hAnsi="Cambria"/>
          <w:sz w:val="20"/>
          <w:szCs w:val="20"/>
        </w:rPr>
        <w:t xml:space="preserve">notes that there is nothing in the case file to indicate that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 xml:space="preserve">took special measures designed to protect the lives and safety of the alleged victim’s </w:t>
      </w:r>
      <w:r w:rsidR="001000C6" w:rsidRPr="008D6E5C">
        <w:rPr>
          <w:rFonts w:ascii="Cambria" w:hAnsi="Cambria"/>
          <w:bCs/>
          <w:sz w:val="20"/>
          <w:szCs w:val="20"/>
        </w:rPr>
        <w:t>relatives</w:t>
      </w:r>
      <w:r w:rsidR="00FC5DC8" w:rsidRPr="008D6E5C">
        <w:rPr>
          <w:rFonts w:ascii="Cambria" w:hAnsi="Cambria"/>
          <w:bCs/>
          <w:sz w:val="20"/>
          <w:szCs w:val="20"/>
        </w:rPr>
        <w:t xml:space="preserve"> </w:t>
      </w:r>
      <w:r w:rsidRPr="008D6E5C">
        <w:rPr>
          <w:rFonts w:ascii="Cambria" w:hAnsi="Cambria"/>
          <w:bCs/>
          <w:sz w:val="20"/>
          <w:szCs w:val="20"/>
        </w:rPr>
        <w:t>and to ensure their participation in the case</w:t>
      </w:r>
      <w:r w:rsidR="00FC5DC8" w:rsidRPr="008D6E5C">
        <w:rPr>
          <w:rFonts w:ascii="Cambria" w:hAnsi="Cambria"/>
          <w:bCs/>
          <w:sz w:val="20"/>
          <w:szCs w:val="20"/>
        </w:rPr>
        <w:t xml:space="preserve">. </w:t>
      </w:r>
      <w:r w:rsidRPr="008D6E5C">
        <w:rPr>
          <w:rFonts w:ascii="Cambria" w:hAnsi="Cambria"/>
          <w:bCs/>
          <w:sz w:val="20"/>
          <w:szCs w:val="20"/>
        </w:rPr>
        <w:t>Nor is there any evidence that the threats were ever investigated</w:t>
      </w:r>
      <w:r w:rsidR="00FC5DC8" w:rsidRPr="008D6E5C">
        <w:rPr>
          <w:rFonts w:ascii="Cambria" w:hAnsi="Cambria"/>
          <w:bCs/>
          <w:sz w:val="20"/>
          <w:szCs w:val="20"/>
        </w:rPr>
        <w:t xml:space="preserve">. </w:t>
      </w:r>
      <w:r w:rsidRPr="008D6E5C">
        <w:rPr>
          <w:rFonts w:ascii="Cambria" w:hAnsi="Cambria"/>
          <w:bCs/>
          <w:sz w:val="20"/>
          <w:szCs w:val="20"/>
        </w:rPr>
        <w:t>When</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 xml:space="preserve">fails to ensure the protection of the victim’s </w:t>
      </w:r>
      <w:r w:rsidR="001000C6" w:rsidRPr="008D6E5C">
        <w:rPr>
          <w:rFonts w:ascii="Cambria" w:hAnsi="Cambria"/>
          <w:bCs/>
          <w:sz w:val="20"/>
          <w:szCs w:val="20"/>
        </w:rPr>
        <w:t>relatives</w:t>
      </w:r>
      <w:r w:rsidRPr="008D6E5C">
        <w:rPr>
          <w:rFonts w:ascii="Cambria" w:hAnsi="Cambria"/>
          <w:bCs/>
          <w:sz w:val="20"/>
          <w:szCs w:val="20"/>
        </w:rPr>
        <w:t>, it helps perpetuate the acts of violence and</w:t>
      </w:r>
      <w:r w:rsidR="00FC5DC8" w:rsidRPr="008D6E5C">
        <w:rPr>
          <w:rFonts w:ascii="Cambria" w:hAnsi="Cambria"/>
          <w:bCs/>
          <w:sz w:val="20"/>
          <w:szCs w:val="20"/>
        </w:rPr>
        <w:t xml:space="preserve"> </w:t>
      </w:r>
      <w:r w:rsidR="007A2CDF" w:rsidRPr="008D6E5C">
        <w:rPr>
          <w:rFonts w:ascii="Cambria" w:hAnsi="Cambria"/>
          <w:bCs/>
          <w:sz w:val="20"/>
          <w:szCs w:val="20"/>
        </w:rPr>
        <w:t>intimidation</w:t>
      </w:r>
      <w:r w:rsidR="00FC5DC8" w:rsidRPr="008D6E5C">
        <w:rPr>
          <w:rFonts w:ascii="Cambria" w:hAnsi="Cambria"/>
          <w:bCs/>
          <w:sz w:val="20"/>
          <w:szCs w:val="20"/>
        </w:rPr>
        <w:t xml:space="preserve"> </w:t>
      </w:r>
      <w:r w:rsidRPr="008D6E5C">
        <w:rPr>
          <w:rFonts w:ascii="Cambria" w:hAnsi="Cambria"/>
          <w:bCs/>
          <w:sz w:val="20"/>
          <w:szCs w:val="20"/>
        </w:rPr>
        <w:t xml:space="preserve">against them and prevent </w:t>
      </w:r>
      <w:r w:rsidR="00A32126" w:rsidRPr="008D6E5C">
        <w:rPr>
          <w:rFonts w:ascii="Cambria" w:hAnsi="Cambria"/>
          <w:bCs/>
          <w:sz w:val="20"/>
          <w:szCs w:val="20"/>
        </w:rPr>
        <w:t>the establishment of the facts</w:t>
      </w:r>
      <w:r w:rsidR="001766CB" w:rsidRPr="008D6E5C">
        <w:rPr>
          <w:rFonts w:ascii="Cambria" w:hAnsi="Cambria"/>
          <w:bCs/>
          <w:sz w:val="20"/>
          <w:szCs w:val="20"/>
        </w:rPr>
        <w:t>.</w:t>
      </w:r>
      <w:r w:rsidR="00FC5DC8" w:rsidRPr="008D6E5C">
        <w:rPr>
          <w:rFonts w:ascii="Cambria" w:hAnsi="Cambria"/>
          <w:bCs/>
          <w:sz w:val="20"/>
          <w:szCs w:val="20"/>
          <w:vertAlign w:val="superscript"/>
        </w:rPr>
        <w:footnoteReference w:id="169"/>
      </w:r>
    </w:p>
    <w:p w:rsidR="00FC5DC8" w:rsidRPr="008D6E5C" w:rsidRDefault="00FC5DC8" w:rsidP="001520DB">
      <w:pPr>
        <w:pStyle w:val="ListParagraph"/>
        <w:shd w:val="clear" w:color="auto" w:fill="FFFFFF"/>
        <w:jc w:val="both"/>
        <w:rPr>
          <w:sz w:val="20"/>
          <w:szCs w:val="20"/>
        </w:rPr>
      </w:pPr>
    </w:p>
    <w:p w:rsidR="00FC5DC8" w:rsidRPr="008D6E5C" w:rsidRDefault="00653980"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Accordingly</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00086605" w:rsidRPr="008D6E5C">
        <w:rPr>
          <w:rFonts w:ascii="Cambria" w:hAnsi="Cambria"/>
          <w:bCs/>
          <w:sz w:val="20"/>
          <w:szCs w:val="20"/>
        </w:rPr>
        <w:t>considers it</w:t>
      </w:r>
      <w:r w:rsidR="00740953" w:rsidRPr="008D6E5C">
        <w:rPr>
          <w:rFonts w:ascii="Cambria" w:hAnsi="Cambria"/>
          <w:bCs/>
          <w:sz w:val="20"/>
          <w:szCs w:val="20"/>
        </w:rPr>
        <w:t xml:space="preserve"> proven that there was a lack of</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00740953" w:rsidRPr="008D6E5C">
        <w:rPr>
          <w:rFonts w:ascii="Cambria" w:hAnsi="Cambria"/>
          <w:bCs/>
          <w:sz w:val="20"/>
          <w:szCs w:val="20"/>
        </w:rPr>
        <w:t>in the official investigation</w:t>
      </w:r>
      <w:r w:rsidR="00FC5DC8" w:rsidRPr="008D6E5C">
        <w:rPr>
          <w:rFonts w:ascii="Cambria" w:hAnsi="Cambria"/>
          <w:bCs/>
          <w:sz w:val="20"/>
          <w:szCs w:val="20"/>
        </w:rPr>
        <w:t xml:space="preserve">, </w:t>
      </w:r>
      <w:r w:rsidR="00740953" w:rsidRPr="008D6E5C">
        <w:rPr>
          <w:rFonts w:ascii="Cambria" w:hAnsi="Cambria"/>
          <w:bCs/>
          <w:sz w:val="20"/>
          <w:szCs w:val="20"/>
        </w:rPr>
        <w:t xml:space="preserve">which has given rise to impunity in this case. This lack of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00740953" w:rsidRPr="008D6E5C">
        <w:rPr>
          <w:rFonts w:ascii="Cambria" w:hAnsi="Cambria"/>
          <w:bCs/>
          <w:sz w:val="20"/>
          <w:szCs w:val="20"/>
        </w:rPr>
        <w:t>is evident in the failure to take the necessary protection measures in view of the</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00740953" w:rsidRPr="008D6E5C">
        <w:rPr>
          <w:rFonts w:ascii="Cambria" w:hAnsi="Cambria"/>
          <w:bCs/>
          <w:sz w:val="20"/>
          <w:szCs w:val="20"/>
        </w:rPr>
        <w:t xml:space="preserve">that were made during the </w:t>
      </w:r>
      <w:r w:rsidR="0012782E" w:rsidRPr="008D6E5C">
        <w:rPr>
          <w:rFonts w:ascii="Cambria" w:hAnsi="Cambria"/>
          <w:bCs/>
          <w:sz w:val="20"/>
          <w:szCs w:val="20"/>
        </w:rPr>
        <w:t>investigations</w:t>
      </w:r>
      <w:r w:rsidR="00FC5DC8" w:rsidRPr="008D6E5C">
        <w:rPr>
          <w:rFonts w:ascii="Cambria" w:hAnsi="Cambria"/>
          <w:bCs/>
          <w:sz w:val="20"/>
          <w:szCs w:val="20"/>
        </w:rPr>
        <w:t xml:space="preserve">, </w:t>
      </w:r>
      <w:r w:rsidR="00740953" w:rsidRPr="008D6E5C">
        <w:rPr>
          <w:rFonts w:ascii="Cambria" w:hAnsi="Cambria"/>
          <w:bCs/>
          <w:sz w:val="20"/>
          <w:szCs w:val="20"/>
        </w:rPr>
        <w:t>the ineffectiveness in identifying all of the perpetrators, the</w:t>
      </w:r>
      <w:r w:rsidR="00FC5DC8" w:rsidRPr="008D6E5C">
        <w:rPr>
          <w:rFonts w:ascii="Cambria" w:hAnsi="Cambria"/>
          <w:bCs/>
          <w:sz w:val="20"/>
          <w:szCs w:val="20"/>
        </w:rPr>
        <w:t xml:space="preserve"> </w:t>
      </w:r>
      <w:r w:rsidR="00850026" w:rsidRPr="008D6E5C">
        <w:rPr>
          <w:rFonts w:ascii="Cambria" w:hAnsi="Cambria"/>
          <w:bCs/>
          <w:sz w:val="20"/>
          <w:szCs w:val="20"/>
        </w:rPr>
        <w:t>undue delay</w:t>
      </w:r>
      <w:r w:rsidR="00FC5DC8" w:rsidRPr="008D6E5C">
        <w:rPr>
          <w:rFonts w:ascii="Cambria" w:hAnsi="Cambria"/>
          <w:bCs/>
          <w:sz w:val="20"/>
          <w:szCs w:val="20"/>
        </w:rPr>
        <w:t xml:space="preserve"> </w:t>
      </w:r>
      <w:r w:rsidR="00740953" w:rsidRPr="008D6E5C">
        <w:rPr>
          <w:rFonts w:ascii="Cambria" w:hAnsi="Cambria"/>
          <w:bCs/>
          <w:sz w:val="20"/>
          <w:szCs w:val="20"/>
        </w:rPr>
        <w:t xml:space="preserve">and lack of substantial progress in the investigations, and the obstacles to the participation </w:t>
      </w:r>
      <w:r w:rsidR="00D1708C" w:rsidRPr="008D6E5C">
        <w:rPr>
          <w:rFonts w:ascii="Cambria" w:hAnsi="Cambria"/>
          <w:bCs/>
          <w:sz w:val="20"/>
          <w:szCs w:val="20"/>
        </w:rPr>
        <w:t>of Nelson</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00740953" w:rsidRPr="008D6E5C">
        <w:rPr>
          <w:rFonts w:ascii="Cambria" w:hAnsi="Cambria"/>
          <w:bCs/>
          <w:sz w:val="20"/>
          <w:szCs w:val="20"/>
        </w:rPr>
        <w:t>’s</w:t>
      </w:r>
      <w:proofErr w:type="spellEnd"/>
      <w:r w:rsidR="00740953" w:rsidRPr="008D6E5C">
        <w:rPr>
          <w:rFonts w:ascii="Cambria" w:hAnsi="Cambria"/>
          <w:bCs/>
          <w:sz w:val="20"/>
          <w:szCs w:val="20"/>
        </w:rPr>
        <w:t xml:space="preserve"> relatives in the investigations.</w:t>
      </w:r>
      <w:r w:rsidR="00FC5DC8" w:rsidRPr="008D6E5C">
        <w:rPr>
          <w:rFonts w:ascii="Cambria" w:hAnsi="Cambria"/>
          <w:bCs/>
          <w:sz w:val="20"/>
          <w:szCs w:val="20"/>
        </w:rPr>
        <w:t xml:space="preserve"> </w:t>
      </w:r>
    </w:p>
    <w:p w:rsidR="00FC5DC8" w:rsidRPr="008D6E5C" w:rsidRDefault="00FC5DC8" w:rsidP="001520DB">
      <w:pPr>
        <w:pStyle w:val="ListParagraph"/>
        <w:rPr>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bCs/>
          <w:sz w:val="20"/>
          <w:szCs w:val="20"/>
        </w:rPr>
      </w:pPr>
      <w:r w:rsidRPr="008D6E5C">
        <w:rPr>
          <w:rFonts w:ascii="Cambria" w:hAnsi="Cambria"/>
          <w:bCs/>
          <w:sz w:val="20"/>
          <w:szCs w:val="20"/>
        </w:rPr>
        <w:t>The Commission</w:t>
      </w:r>
      <w:r w:rsidR="00FC5DC8" w:rsidRPr="008D6E5C">
        <w:rPr>
          <w:rFonts w:ascii="Cambria" w:hAnsi="Cambria"/>
          <w:bCs/>
          <w:sz w:val="20"/>
          <w:szCs w:val="20"/>
        </w:rPr>
        <w:t xml:space="preserve"> </w:t>
      </w:r>
      <w:r w:rsidR="00086605" w:rsidRPr="008D6E5C">
        <w:rPr>
          <w:rFonts w:ascii="Cambria" w:hAnsi="Cambria"/>
          <w:bCs/>
          <w:sz w:val="20"/>
          <w:szCs w:val="20"/>
        </w:rPr>
        <w:t>is of the opinion that</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00086605" w:rsidRPr="008D6E5C">
        <w:rPr>
          <w:rFonts w:ascii="Cambria" w:hAnsi="Cambria"/>
          <w:bCs/>
          <w:sz w:val="20"/>
          <w:szCs w:val="20"/>
        </w:rPr>
        <w:t>failed to act with</w:t>
      </w:r>
      <w:r w:rsidR="00FC5DC8" w:rsidRPr="008D6E5C">
        <w:rPr>
          <w:rFonts w:ascii="Cambria" w:hAnsi="Cambria"/>
          <w:bCs/>
          <w:sz w:val="20"/>
          <w:szCs w:val="20"/>
        </w:rPr>
        <w:t xml:space="preserve"> </w:t>
      </w:r>
      <w:r w:rsidR="001766CB" w:rsidRPr="008D6E5C">
        <w:rPr>
          <w:rFonts w:ascii="Cambria" w:hAnsi="Cambria"/>
          <w:bCs/>
          <w:sz w:val="20"/>
          <w:szCs w:val="20"/>
        </w:rPr>
        <w:t>due diligence</w:t>
      </w:r>
      <w:r w:rsidR="00FC5DC8" w:rsidRPr="008D6E5C">
        <w:rPr>
          <w:rFonts w:ascii="Cambria" w:hAnsi="Cambria"/>
          <w:bCs/>
          <w:sz w:val="20"/>
          <w:szCs w:val="20"/>
        </w:rPr>
        <w:t xml:space="preserve"> </w:t>
      </w:r>
      <w:r w:rsidR="00086605" w:rsidRPr="008D6E5C">
        <w:rPr>
          <w:rFonts w:ascii="Cambria" w:hAnsi="Cambria"/>
          <w:bCs/>
          <w:sz w:val="20"/>
          <w:szCs w:val="20"/>
        </w:rPr>
        <w:t>to investigate, prosecute, and punish those responsible for the murder of journalist</w:t>
      </w:r>
      <w:r w:rsidR="00FC5DC8" w:rsidRPr="008D6E5C">
        <w:rPr>
          <w:rFonts w:ascii="Cambria" w:hAnsi="Cambria"/>
          <w:bCs/>
          <w:sz w:val="20"/>
          <w:szCs w:val="20"/>
        </w:rPr>
        <w:t xml:space="preserve"> 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r w:rsidR="00086605" w:rsidRPr="008D6E5C">
        <w:rPr>
          <w:rFonts w:ascii="Cambria" w:hAnsi="Cambria"/>
          <w:bCs/>
          <w:sz w:val="20"/>
          <w:szCs w:val="20"/>
        </w:rPr>
        <w:t>To date</w:t>
      </w:r>
      <w:r w:rsidR="00FC5DC8" w:rsidRPr="008D6E5C">
        <w:rPr>
          <w:rFonts w:ascii="Cambria" w:hAnsi="Cambria"/>
          <w:bCs/>
          <w:sz w:val="20"/>
          <w:szCs w:val="20"/>
        </w:rPr>
        <w:t xml:space="preserve">, </w:t>
      </w:r>
      <w:r w:rsidR="00086605" w:rsidRPr="008D6E5C">
        <w:rPr>
          <w:rFonts w:ascii="Cambria" w:hAnsi="Cambria"/>
          <w:bCs/>
          <w:sz w:val="20"/>
          <w:szCs w:val="20"/>
        </w:rPr>
        <w:t xml:space="preserve">the crime has gone unpunished; Mr.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00086605" w:rsidRPr="008D6E5C">
        <w:rPr>
          <w:rFonts w:ascii="Cambria" w:hAnsi="Cambria"/>
          <w:bCs/>
          <w:sz w:val="20"/>
          <w:szCs w:val="20"/>
        </w:rPr>
        <w:t>’s</w:t>
      </w:r>
      <w:proofErr w:type="spellEnd"/>
      <w:r w:rsidR="00086605" w:rsidRPr="008D6E5C">
        <w:rPr>
          <w:rFonts w:ascii="Cambria" w:hAnsi="Cambria"/>
          <w:bCs/>
          <w:sz w:val="20"/>
          <w:szCs w:val="20"/>
        </w:rPr>
        <w:t xml:space="preserve"> relatives have not had access to truth and justice, and the </w:t>
      </w:r>
      <w:r w:rsidR="0012782E" w:rsidRPr="008D6E5C">
        <w:rPr>
          <w:rFonts w:ascii="Cambria" w:hAnsi="Cambria"/>
          <w:bCs/>
          <w:sz w:val="20"/>
          <w:szCs w:val="20"/>
        </w:rPr>
        <w:t>journalists</w:t>
      </w:r>
      <w:r w:rsidR="00086605" w:rsidRPr="008D6E5C">
        <w:rPr>
          <w:rFonts w:ascii="Cambria" w:hAnsi="Cambria"/>
          <w:bCs/>
          <w:sz w:val="20"/>
          <w:szCs w:val="20"/>
        </w:rPr>
        <w:t xml:space="preserve"> in the region have suffered the consequences of having a crime intended to silence them go </w:t>
      </w:r>
      <w:r w:rsidR="00086605" w:rsidRPr="008D6E5C">
        <w:rPr>
          <w:rFonts w:ascii="Cambria" w:hAnsi="Cambria"/>
          <w:bCs/>
          <w:sz w:val="20"/>
          <w:szCs w:val="20"/>
        </w:rPr>
        <w:lastRenderedPageBreak/>
        <w:t xml:space="preserve">unpunished. </w:t>
      </w:r>
      <w:r w:rsidRPr="008D6E5C">
        <w:rPr>
          <w:rFonts w:ascii="Cambria" w:hAnsi="Cambria"/>
          <w:sz w:val="20"/>
          <w:szCs w:val="20"/>
        </w:rPr>
        <w:t>The IACHR</w:t>
      </w:r>
      <w:r w:rsidR="00FC5DC8" w:rsidRPr="008D6E5C">
        <w:rPr>
          <w:rFonts w:ascii="Cambria" w:hAnsi="Cambria"/>
          <w:sz w:val="20"/>
          <w:szCs w:val="20"/>
        </w:rPr>
        <w:t xml:space="preserve"> </w:t>
      </w:r>
      <w:r w:rsidR="001766CB" w:rsidRPr="008D6E5C">
        <w:rPr>
          <w:rFonts w:ascii="Cambria" w:hAnsi="Cambria"/>
          <w:sz w:val="20"/>
          <w:szCs w:val="20"/>
        </w:rPr>
        <w:t>underscores that</w:t>
      </w:r>
      <w:r w:rsidR="00FC5DC8" w:rsidRPr="008D6E5C">
        <w:rPr>
          <w:rFonts w:ascii="Cambria" w:hAnsi="Cambria"/>
          <w:sz w:val="20"/>
          <w:szCs w:val="20"/>
        </w:rPr>
        <w:t xml:space="preserve"> </w:t>
      </w:r>
      <w:r w:rsidR="00086605" w:rsidRPr="008D6E5C">
        <w:rPr>
          <w:rFonts w:ascii="Cambria" w:hAnsi="Cambria"/>
          <w:sz w:val="20"/>
          <w:szCs w:val="20"/>
        </w:rPr>
        <w:t>the impunity that plagues these types of cases</w:t>
      </w:r>
      <w:r w:rsidR="00FC5DC8" w:rsidRPr="008D6E5C">
        <w:rPr>
          <w:rFonts w:ascii="Cambria" w:hAnsi="Cambria"/>
          <w:sz w:val="20"/>
          <w:szCs w:val="20"/>
        </w:rPr>
        <w:t xml:space="preserve"> </w:t>
      </w:r>
      <w:r w:rsidR="00086605" w:rsidRPr="008D6E5C">
        <w:rPr>
          <w:rFonts w:ascii="Cambria" w:hAnsi="Cambria"/>
          <w:sz w:val="20"/>
          <w:szCs w:val="20"/>
        </w:rPr>
        <w:t>has devastating effects on the local practice of journalism and on</w:t>
      </w:r>
      <w:r w:rsidR="00FC5DC8" w:rsidRPr="008D6E5C">
        <w:rPr>
          <w:rFonts w:ascii="Cambria" w:hAnsi="Cambria"/>
          <w:sz w:val="20"/>
          <w:szCs w:val="20"/>
        </w:rPr>
        <w:t xml:space="preserve"> </w:t>
      </w:r>
      <w:r w:rsidR="0003360B" w:rsidRPr="008D6E5C">
        <w:rPr>
          <w:rFonts w:ascii="Cambria" w:hAnsi="Cambria"/>
          <w:sz w:val="20"/>
          <w:szCs w:val="20"/>
        </w:rPr>
        <w:t>freedom of expression</w:t>
      </w:r>
      <w:r w:rsidR="00FC5DC8" w:rsidRPr="008D6E5C">
        <w:rPr>
          <w:rFonts w:ascii="Cambria" w:hAnsi="Cambria"/>
          <w:sz w:val="20"/>
          <w:szCs w:val="20"/>
        </w:rPr>
        <w:t xml:space="preserve">. </w:t>
      </w:r>
      <w:r w:rsidR="004A7746" w:rsidRPr="008D6E5C">
        <w:rPr>
          <w:rFonts w:ascii="Cambria" w:hAnsi="Cambria"/>
          <w:sz w:val="20"/>
          <w:szCs w:val="20"/>
        </w:rPr>
        <w:t xml:space="preserve">More than </w:t>
      </w:r>
      <w:r w:rsidR="00774858" w:rsidRPr="008D6E5C">
        <w:rPr>
          <w:rFonts w:ascii="Cambria" w:hAnsi="Cambria"/>
          <w:sz w:val="20"/>
          <w:szCs w:val="20"/>
        </w:rPr>
        <w:t>s</w:t>
      </w:r>
      <w:r w:rsidR="00086605" w:rsidRPr="008D6E5C">
        <w:rPr>
          <w:rFonts w:ascii="Cambria" w:hAnsi="Cambria"/>
          <w:sz w:val="20"/>
          <w:szCs w:val="20"/>
        </w:rPr>
        <w:t>ixteen years after his death</w:t>
      </w:r>
      <w:r w:rsidR="00FC5DC8" w:rsidRPr="008D6E5C">
        <w:rPr>
          <w:rFonts w:ascii="Cambria" w:hAnsi="Cambria"/>
          <w:sz w:val="20"/>
          <w:szCs w:val="20"/>
        </w:rPr>
        <w:t xml:space="preserve">, </w:t>
      </w:r>
      <w:r w:rsidR="00086605" w:rsidRPr="008D6E5C">
        <w:rPr>
          <w:rFonts w:ascii="Cambria" w:hAnsi="Cambria"/>
          <w:sz w:val="20"/>
          <w:szCs w:val="20"/>
        </w:rPr>
        <w:t>the absence of concrete actions sends a strong message of inhibition and self-censorship</w:t>
      </w:r>
      <w:r w:rsidR="00FC5DC8" w:rsidRPr="008D6E5C">
        <w:rPr>
          <w:rFonts w:ascii="Cambria" w:hAnsi="Cambria"/>
          <w:sz w:val="20"/>
          <w:szCs w:val="20"/>
        </w:rPr>
        <w:t xml:space="preserve"> </w:t>
      </w:r>
      <w:r w:rsidR="00086605" w:rsidRPr="008D6E5C">
        <w:rPr>
          <w:rFonts w:ascii="Cambria" w:hAnsi="Cambria"/>
          <w:sz w:val="20"/>
          <w:szCs w:val="20"/>
        </w:rPr>
        <w:t xml:space="preserve">to any other journalist who confronts regional political and economic power. In the end, this </w:t>
      </w:r>
      <w:r w:rsidR="007B6127" w:rsidRPr="008D6E5C">
        <w:rPr>
          <w:rFonts w:ascii="Cambria" w:hAnsi="Cambria"/>
          <w:sz w:val="20"/>
          <w:szCs w:val="20"/>
        </w:rPr>
        <w:t>deprives</w:t>
      </w:r>
      <w:r w:rsidR="00086605" w:rsidRPr="008D6E5C">
        <w:rPr>
          <w:rFonts w:ascii="Cambria" w:hAnsi="Cambria"/>
          <w:sz w:val="20"/>
          <w:szCs w:val="20"/>
        </w:rPr>
        <w:t xml:space="preserve"> an entire community of information and opportunities for the oversight of government administration, preventing it from exercising its right to seek, receive, and disseminate ideas and information. </w:t>
      </w:r>
    </w:p>
    <w:bookmarkEnd w:id="39"/>
    <w:bookmarkEnd w:id="40"/>
    <w:p w:rsidR="00FC5DC8" w:rsidRPr="008D6E5C" w:rsidRDefault="00FC5DC8" w:rsidP="001520DB">
      <w:pPr>
        <w:pStyle w:val="ListParagraph"/>
        <w:ind w:left="0"/>
        <w:rPr>
          <w:sz w:val="20"/>
          <w:szCs w:val="20"/>
        </w:rPr>
      </w:pPr>
    </w:p>
    <w:p w:rsidR="00FC5DC8" w:rsidRPr="008D6E5C" w:rsidRDefault="00086605"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bCs/>
          <w:sz w:val="20"/>
          <w:szCs w:val="20"/>
        </w:rPr>
        <w:t>For all of the above reasons</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00874974" w:rsidRPr="008D6E5C">
        <w:rPr>
          <w:rFonts w:ascii="Cambria" w:hAnsi="Cambria"/>
          <w:bCs/>
          <w:sz w:val="20"/>
          <w:szCs w:val="20"/>
        </w:rPr>
        <w:t>concludes that</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00874974" w:rsidRPr="008D6E5C">
        <w:rPr>
          <w:rFonts w:ascii="Cambria" w:hAnsi="Cambria"/>
          <w:bCs/>
          <w:sz w:val="20"/>
          <w:szCs w:val="20"/>
        </w:rPr>
        <w:t>has violated the</w:t>
      </w:r>
      <w:r w:rsidR="004B0168" w:rsidRPr="008D6E5C">
        <w:rPr>
          <w:rFonts w:ascii="Cambria" w:hAnsi="Cambria"/>
          <w:bCs/>
          <w:sz w:val="20"/>
          <w:szCs w:val="20"/>
        </w:rPr>
        <w:t xml:space="preserve"> right</w:t>
      </w:r>
      <w:r w:rsidR="00874974" w:rsidRPr="008D6E5C">
        <w:rPr>
          <w:rFonts w:ascii="Cambria" w:hAnsi="Cambria"/>
          <w:bCs/>
          <w:sz w:val="20"/>
          <w:szCs w:val="20"/>
        </w:rPr>
        <w:t>s</w:t>
      </w:r>
      <w:r w:rsidR="004B0168" w:rsidRPr="008D6E5C">
        <w:rPr>
          <w:rFonts w:ascii="Cambria" w:hAnsi="Cambria"/>
          <w:bCs/>
          <w:sz w:val="20"/>
          <w:szCs w:val="20"/>
        </w:rPr>
        <w:t xml:space="preserve"> to a fair trial</w:t>
      </w:r>
      <w:r w:rsidR="00FC5DC8" w:rsidRPr="008D6E5C">
        <w:rPr>
          <w:rFonts w:ascii="Cambria" w:hAnsi="Cambria"/>
          <w:bCs/>
          <w:sz w:val="20"/>
          <w:szCs w:val="20"/>
        </w:rPr>
        <w:t xml:space="preserve"> </w:t>
      </w:r>
      <w:r w:rsidR="00874974" w:rsidRPr="008D6E5C">
        <w:rPr>
          <w:rFonts w:ascii="Cambria" w:hAnsi="Cambria"/>
          <w:bCs/>
          <w:sz w:val="20"/>
          <w:szCs w:val="20"/>
        </w:rPr>
        <w:t>and to</w:t>
      </w:r>
      <w:r w:rsidR="00FC5DC8" w:rsidRPr="008D6E5C">
        <w:rPr>
          <w:rFonts w:ascii="Cambria" w:hAnsi="Cambria"/>
          <w:bCs/>
          <w:sz w:val="20"/>
          <w:szCs w:val="20"/>
        </w:rPr>
        <w:t xml:space="preserve"> </w:t>
      </w:r>
      <w:r w:rsidR="004B0168" w:rsidRPr="008D6E5C">
        <w:rPr>
          <w:rFonts w:ascii="Cambria" w:hAnsi="Cambria"/>
          <w:bCs/>
          <w:sz w:val="20"/>
          <w:szCs w:val="20"/>
        </w:rPr>
        <w:t>judicial protection</w:t>
      </w:r>
      <w:r w:rsidR="00FC5DC8" w:rsidRPr="008D6E5C">
        <w:rPr>
          <w:rFonts w:ascii="Cambria" w:hAnsi="Cambria"/>
          <w:bCs/>
          <w:sz w:val="20"/>
          <w:szCs w:val="20"/>
        </w:rPr>
        <w:t xml:space="preserve"> </w:t>
      </w:r>
      <w:r w:rsidR="00874974" w:rsidRPr="008D6E5C">
        <w:rPr>
          <w:rFonts w:ascii="Cambria" w:hAnsi="Cambria"/>
          <w:bCs/>
          <w:sz w:val="20"/>
          <w:szCs w:val="20"/>
        </w:rPr>
        <w:t>established in</w:t>
      </w:r>
      <w:r w:rsidR="00FC5DC8" w:rsidRPr="008D6E5C">
        <w:rPr>
          <w:rFonts w:ascii="Cambria" w:hAnsi="Cambria"/>
          <w:bCs/>
          <w:sz w:val="20"/>
          <w:szCs w:val="20"/>
        </w:rPr>
        <w:t xml:space="preserve"> </w:t>
      </w:r>
      <w:r w:rsidR="004B0168" w:rsidRPr="008D6E5C">
        <w:rPr>
          <w:rFonts w:ascii="Cambria" w:hAnsi="Cambria"/>
          <w:bCs/>
          <w:sz w:val="20"/>
          <w:szCs w:val="20"/>
        </w:rPr>
        <w:t>Article</w:t>
      </w:r>
      <w:r w:rsidR="00FC5DC8" w:rsidRPr="008D6E5C">
        <w:rPr>
          <w:rFonts w:ascii="Cambria" w:hAnsi="Cambria"/>
          <w:bCs/>
          <w:sz w:val="20"/>
          <w:szCs w:val="20"/>
        </w:rPr>
        <w:t xml:space="preserve">s </w:t>
      </w:r>
      <w:r w:rsidR="00DF44C8" w:rsidRPr="008D6E5C">
        <w:rPr>
          <w:rFonts w:ascii="Cambria" w:hAnsi="Cambria"/>
          <w:bCs/>
          <w:sz w:val="20"/>
          <w:szCs w:val="20"/>
        </w:rPr>
        <w:t>8 and 25</w:t>
      </w:r>
      <w:r w:rsidR="00FC5DC8" w:rsidRPr="008D6E5C">
        <w:rPr>
          <w:rFonts w:ascii="Cambria" w:hAnsi="Cambria"/>
          <w:bCs/>
          <w:sz w:val="20"/>
          <w:szCs w:val="20"/>
        </w:rPr>
        <w:t xml:space="preserve"> </w:t>
      </w:r>
      <w:r w:rsidR="004B0168" w:rsidRPr="008D6E5C">
        <w:rPr>
          <w:rFonts w:ascii="Cambria" w:hAnsi="Cambria"/>
          <w:bCs/>
          <w:sz w:val="20"/>
          <w:szCs w:val="20"/>
        </w:rPr>
        <w:t>of the American Convention</w:t>
      </w:r>
      <w:r w:rsidR="00FC5DC8" w:rsidRPr="008D6E5C">
        <w:rPr>
          <w:rFonts w:ascii="Cambria" w:hAnsi="Cambria"/>
          <w:bCs/>
          <w:sz w:val="20"/>
          <w:szCs w:val="20"/>
        </w:rPr>
        <w:t xml:space="preserve">, </w:t>
      </w:r>
      <w:r w:rsidR="00874974" w:rsidRPr="008D6E5C">
        <w:rPr>
          <w:rFonts w:ascii="Cambria" w:hAnsi="Cambria"/>
          <w:bCs/>
          <w:sz w:val="20"/>
          <w:szCs w:val="20"/>
        </w:rPr>
        <w:t xml:space="preserve">in conjunction with </w:t>
      </w:r>
      <w:r w:rsidR="004B0168" w:rsidRPr="008D6E5C">
        <w:rPr>
          <w:rFonts w:ascii="Cambria" w:hAnsi="Cambria"/>
          <w:bCs/>
          <w:sz w:val="20"/>
          <w:szCs w:val="20"/>
        </w:rPr>
        <w:t>Article</w:t>
      </w:r>
      <w:r w:rsidR="00FC5DC8" w:rsidRPr="008D6E5C">
        <w:rPr>
          <w:rFonts w:ascii="Cambria" w:hAnsi="Cambria"/>
          <w:bCs/>
          <w:sz w:val="20"/>
          <w:szCs w:val="20"/>
        </w:rPr>
        <w:t xml:space="preserve">s </w:t>
      </w:r>
      <w:r w:rsidR="00B52107" w:rsidRPr="008D6E5C">
        <w:rPr>
          <w:rFonts w:ascii="Cambria" w:hAnsi="Cambria"/>
          <w:bCs/>
          <w:sz w:val="20"/>
          <w:szCs w:val="20"/>
        </w:rPr>
        <w:t>1(</w:t>
      </w:r>
      <w:r w:rsidR="001766CB" w:rsidRPr="008D6E5C">
        <w:rPr>
          <w:rFonts w:ascii="Cambria" w:hAnsi="Cambria"/>
          <w:bCs/>
          <w:sz w:val="20"/>
          <w:szCs w:val="20"/>
        </w:rPr>
        <w:t>1</w:t>
      </w:r>
      <w:r w:rsidR="00B52107" w:rsidRPr="008D6E5C">
        <w:rPr>
          <w:rFonts w:ascii="Cambria" w:hAnsi="Cambria"/>
          <w:bCs/>
          <w:sz w:val="20"/>
          <w:szCs w:val="20"/>
        </w:rPr>
        <w:t>)</w:t>
      </w:r>
      <w:r w:rsidR="001766CB" w:rsidRPr="008D6E5C">
        <w:rPr>
          <w:rFonts w:ascii="Cambria" w:hAnsi="Cambria"/>
          <w:bCs/>
          <w:sz w:val="20"/>
          <w:szCs w:val="20"/>
        </w:rPr>
        <w:t xml:space="preserve"> and 13</w:t>
      </w:r>
      <w:r w:rsidR="00FC5DC8" w:rsidRPr="008D6E5C">
        <w:rPr>
          <w:rFonts w:ascii="Cambria" w:hAnsi="Cambria"/>
          <w:bCs/>
          <w:sz w:val="20"/>
          <w:szCs w:val="20"/>
        </w:rPr>
        <w:t xml:space="preserve"> </w:t>
      </w:r>
      <w:r w:rsidR="00874974" w:rsidRPr="008D6E5C">
        <w:rPr>
          <w:rFonts w:ascii="Cambria" w:hAnsi="Cambria"/>
          <w:bCs/>
          <w:sz w:val="20"/>
          <w:szCs w:val="20"/>
        </w:rPr>
        <w:t>thereof,</w:t>
      </w:r>
      <w:r w:rsidR="00FC5DC8" w:rsidRPr="008D6E5C">
        <w:rPr>
          <w:rFonts w:ascii="Cambria" w:hAnsi="Cambria"/>
          <w:bCs/>
          <w:sz w:val="20"/>
          <w:szCs w:val="20"/>
        </w:rPr>
        <w:t xml:space="preserve"> </w:t>
      </w:r>
      <w:r w:rsidR="00874974" w:rsidRPr="008D6E5C">
        <w:rPr>
          <w:rFonts w:ascii="Cambria" w:hAnsi="Cambria"/>
          <w:bCs/>
          <w:sz w:val="20"/>
          <w:szCs w:val="20"/>
        </w:rPr>
        <w:t>with respect to the</w:t>
      </w:r>
      <w:r w:rsidR="00FC5DC8" w:rsidRPr="008D6E5C">
        <w:rPr>
          <w:rFonts w:ascii="Cambria" w:hAnsi="Cambria"/>
          <w:bCs/>
          <w:sz w:val="20"/>
          <w:szCs w:val="20"/>
        </w:rPr>
        <w:t xml:space="preserve"> </w:t>
      </w:r>
      <w:r w:rsidR="001000C6" w:rsidRPr="008D6E5C">
        <w:rPr>
          <w:rFonts w:ascii="Cambria" w:hAnsi="Cambria"/>
          <w:bCs/>
          <w:sz w:val="20"/>
          <w:szCs w:val="20"/>
        </w:rPr>
        <w:t>relatives of the victim</w:t>
      </w:r>
      <w:r w:rsidR="00FC5DC8" w:rsidRPr="008D6E5C">
        <w:rPr>
          <w:rFonts w:ascii="Cambria" w:hAnsi="Cambria"/>
          <w:bCs/>
          <w:sz w:val="20"/>
          <w:szCs w:val="20"/>
        </w:rPr>
        <w:t xml:space="preserve">. </w:t>
      </w:r>
      <w:r w:rsidR="00874974" w:rsidRPr="008D6E5C">
        <w:rPr>
          <w:rFonts w:ascii="Cambria" w:hAnsi="Cambria"/>
          <w:bCs/>
          <w:sz w:val="20"/>
          <w:szCs w:val="20"/>
        </w:rPr>
        <w:t>Based on the case file,</w:t>
      </w:r>
      <w:r w:rsidR="00FC5DC8" w:rsidRPr="008D6E5C">
        <w:rPr>
          <w:rFonts w:ascii="Cambria" w:hAnsi="Cambria"/>
          <w:bCs/>
          <w:sz w:val="20"/>
          <w:szCs w:val="20"/>
        </w:rPr>
        <w:t xml:space="preserve"> </w:t>
      </w:r>
      <w:r w:rsidR="00DF44C8" w:rsidRPr="008D6E5C">
        <w:rPr>
          <w:rFonts w:ascii="Cambria" w:hAnsi="Cambria"/>
          <w:bCs/>
          <w:sz w:val="20"/>
          <w:szCs w:val="20"/>
        </w:rPr>
        <w:t>the Commission</w:t>
      </w:r>
      <w:r w:rsidR="00FC5DC8" w:rsidRPr="008D6E5C">
        <w:rPr>
          <w:rFonts w:ascii="Cambria" w:hAnsi="Cambria"/>
          <w:bCs/>
          <w:sz w:val="20"/>
          <w:szCs w:val="20"/>
        </w:rPr>
        <w:t xml:space="preserve"> </w:t>
      </w:r>
      <w:r w:rsidR="00874974" w:rsidRPr="008D6E5C">
        <w:rPr>
          <w:rFonts w:ascii="Cambria" w:hAnsi="Cambria"/>
          <w:bCs/>
          <w:sz w:val="20"/>
          <w:szCs w:val="20"/>
        </w:rPr>
        <w:t>finds that those relatives are:</w:t>
      </w:r>
      <w:r w:rsidR="00FC5DC8" w:rsidRPr="008D6E5C">
        <w:rPr>
          <w:rFonts w:ascii="Cambria" w:hAnsi="Cambria"/>
          <w:bCs/>
          <w:sz w:val="20"/>
          <w:szCs w:val="20"/>
        </w:rPr>
        <w:t xml:space="preserve"> Jairo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Cabrera, </w:t>
      </w:r>
      <w:r w:rsidR="00FC5DC8" w:rsidRPr="008D6E5C">
        <w:rPr>
          <w:rFonts w:ascii="Cambria" w:hAnsi="Cambria"/>
          <w:sz w:val="20"/>
          <w:szCs w:val="20"/>
        </w:rPr>
        <w:t>Ana</w:t>
      </w:r>
      <w:r w:rsidR="00FC5DC8" w:rsidRPr="008D6E5C">
        <w:rPr>
          <w:rFonts w:ascii="Cambria" w:hAnsi="Cambria"/>
          <w:bCs/>
          <w:sz w:val="20"/>
          <w:szCs w:val="20"/>
        </w:rPr>
        <w:t xml:space="preserve"> Francisca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de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r w:rsidR="001766CB" w:rsidRPr="008D6E5C">
        <w:rPr>
          <w:rFonts w:ascii="Cambria" w:hAnsi="Cambria"/>
          <w:bCs/>
          <w:sz w:val="20"/>
          <w:szCs w:val="20"/>
        </w:rPr>
        <w:t>father and mother</w:t>
      </w:r>
      <w:r w:rsidR="00FC5DC8" w:rsidRPr="008D6E5C">
        <w:rPr>
          <w:rFonts w:ascii="Cambria" w:hAnsi="Cambria"/>
          <w:bCs/>
          <w:sz w:val="20"/>
          <w:szCs w:val="20"/>
        </w:rPr>
        <w:t xml:space="preserve">); Paola Andrea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Bolaños</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María</w:t>
      </w:r>
      <w:proofErr w:type="spellEnd"/>
      <w:r w:rsidR="00FC5DC8" w:rsidRPr="008D6E5C">
        <w:rPr>
          <w:rFonts w:ascii="Cambria" w:hAnsi="Cambria"/>
          <w:bCs/>
          <w:sz w:val="20"/>
          <w:szCs w:val="20"/>
        </w:rPr>
        <w:t xml:space="preserve"> Alejandra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Bolaños</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Yaneth</w:t>
      </w:r>
      <w:proofErr w:type="spellEnd"/>
      <w:r w:rsidR="00FC5DC8" w:rsidRPr="008D6E5C">
        <w:rPr>
          <w:rFonts w:ascii="Cambria" w:hAnsi="Cambria"/>
          <w:bCs/>
          <w:sz w:val="20"/>
          <w:szCs w:val="20"/>
        </w:rPr>
        <w:t xml:space="preserve"> Cristina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Ardila</w:t>
      </w:r>
      <w:proofErr w:type="spellEnd"/>
      <w:r w:rsidR="00FC5DC8" w:rsidRPr="008D6E5C">
        <w:rPr>
          <w:rFonts w:ascii="Cambria" w:hAnsi="Cambria"/>
          <w:bCs/>
          <w:sz w:val="20"/>
          <w:szCs w:val="20"/>
        </w:rPr>
        <w:t xml:space="preserve"> (</w:t>
      </w:r>
      <w:r w:rsidR="00874974" w:rsidRPr="008D6E5C">
        <w:rPr>
          <w:rFonts w:ascii="Cambria" w:hAnsi="Cambria"/>
          <w:bCs/>
          <w:sz w:val="20"/>
          <w:szCs w:val="20"/>
        </w:rPr>
        <w:t>daughters</w:t>
      </w:r>
      <w:r w:rsidR="00FC5DC8" w:rsidRPr="008D6E5C">
        <w:rPr>
          <w:rFonts w:ascii="Cambria" w:hAnsi="Cambria"/>
          <w:bCs/>
          <w:sz w:val="20"/>
          <w:szCs w:val="20"/>
        </w:rPr>
        <w:t xml:space="preserve">); Luz </w:t>
      </w:r>
      <w:r w:rsidR="00E25B25" w:rsidRPr="008D6E5C">
        <w:rPr>
          <w:rFonts w:ascii="Cambria" w:hAnsi="Cambria"/>
          <w:bCs/>
          <w:sz w:val="20"/>
          <w:szCs w:val="20"/>
        </w:rPr>
        <w:t>Stella</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Bolaños</w:t>
      </w:r>
      <w:proofErr w:type="spellEnd"/>
      <w:r w:rsidR="00FC5DC8" w:rsidRPr="008D6E5C">
        <w:rPr>
          <w:rFonts w:ascii="Cambria" w:hAnsi="Cambria"/>
          <w:bCs/>
          <w:sz w:val="20"/>
          <w:szCs w:val="20"/>
        </w:rPr>
        <w:t xml:space="preserve"> Rodríguez (</w:t>
      </w:r>
      <w:r w:rsidR="00874974" w:rsidRPr="008D6E5C">
        <w:rPr>
          <w:rFonts w:ascii="Cambria" w:hAnsi="Cambria"/>
          <w:bCs/>
          <w:sz w:val="20"/>
          <w:szCs w:val="20"/>
        </w:rPr>
        <w:t>spouse</w:t>
      </w:r>
      <w:r w:rsidR="00FC5DC8" w:rsidRPr="008D6E5C">
        <w:rPr>
          <w:rFonts w:ascii="Cambria" w:hAnsi="Cambria"/>
          <w:bCs/>
          <w:sz w:val="20"/>
          <w:szCs w:val="20"/>
        </w:rPr>
        <w:t>);</w:t>
      </w:r>
      <w:r w:rsidR="00874974" w:rsidRPr="008D6E5C">
        <w:rPr>
          <w:rFonts w:ascii="Cambria" w:hAnsi="Cambria"/>
          <w:bCs/>
          <w:sz w:val="20"/>
          <w:szCs w:val="20"/>
        </w:rPr>
        <w:t xml:space="preserve"> </w:t>
      </w:r>
      <w:r w:rsidR="00FC5DC8" w:rsidRPr="008D6E5C">
        <w:rPr>
          <w:rFonts w:ascii="Cambria" w:hAnsi="Cambria"/>
          <w:bCs/>
          <w:sz w:val="20"/>
          <w:szCs w:val="20"/>
        </w:rPr>
        <w:t xml:space="preserve">Judith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Gloria Mercedes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Ruth </w:t>
      </w:r>
      <w:proofErr w:type="spellStart"/>
      <w:r w:rsidR="00FC5DC8" w:rsidRPr="008D6E5C">
        <w:rPr>
          <w:rFonts w:ascii="Cambria" w:hAnsi="Cambria"/>
          <w:bCs/>
          <w:sz w:val="20"/>
          <w:szCs w:val="20"/>
        </w:rPr>
        <w:t>Dary</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Luz </w:t>
      </w:r>
      <w:proofErr w:type="spellStart"/>
      <w:r w:rsidR="00FC5DC8" w:rsidRPr="008D6E5C">
        <w:rPr>
          <w:rFonts w:ascii="Cambria" w:hAnsi="Cambria"/>
          <w:bCs/>
          <w:sz w:val="20"/>
          <w:szCs w:val="20"/>
        </w:rPr>
        <w:t>Eny</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Miriam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Fernando Augusto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Saúl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r w:rsidR="00874974" w:rsidRPr="008D6E5C">
        <w:rPr>
          <w:rFonts w:ascii="Cambria" w:hAnsi="Cambria"/>
          <w:bCs/>
          <w:sz w:val="20"/>
          <w:szCs w:val="20"/>
        </w:rPr>
        <w:t>siblings</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Cristhian</w:t>
      </w:r>
      <w:proofErr w:type="spellEnd"/>
      <w:r w:rsidR="00FC5DC8" w:rsidRPr="008D6E5C">
        <w:rPr>
          <w:rFonts w:ascii="Cambria" w:hAnsi="Cambria"/>
          <w:bCs/>
          <w:sz w:val="20"/>
          <w:szCs w:val="20"/>
        </w:rPr>
        <w:t xml:space="preserve"> Camilo Motta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César Augusto </w:t>
      </w:r>
      <w:proofErr w:type="spellStart"/>
      <w:r w:rsidR="00FC5DC8" w:rsidRPr="008D6E5C">
        <w:rPr>
          <w:rFonts w:ascii="Cambria" w:hAnsi="Cambria"/>
          <w:bCs/>
          <w:sz w:val="20"/>
          <w:szCs w:val="20"/>
        </w:rPr>
        <w:t>Meneses</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sz w:val="20"/>
          <w:szCs w:val="20"/>
        </w:rPr>
        <w:t xml:space="preserve"> </w:t>
      </w:r>
      <w:r w:rsidR="00FC5DC8" w:rsidRPr="008D6E5C">
        <w:rPr>
          <w:rFonts w:ascii="Cambria" w:hAnsi="Cambria"/>
          <w:bCs/>
          <w:sz w:val="20"/>
          <w:szCs w:val="20"/>
        </w:rPr>
        <w:t>(</w:t>
      </w:r>
      <w:r w:rsidR="00874974" w:rsidRPr="008D6E5C">
        <w:rPr>
          <w:rFonts w:ascii="Cambria" w:hAnsi="Cambria"/>
          <w:bCs/>
          <w:sz w:val="20"/>
          <w:szCs w:val="20"/>
        </w:rPr>
        <w:t>nephews</w:t>
      </w:r>
      <w:r w:rsidR="00FC5DC8" w:rsidRPr="008D6E5C">
        <w:rPr>
          <w:rFonts w:ascii="Cambria" w:hAnsi="Cambria"/>
          <w:bCs/>
          <w:sz w:val="20"/>
          <w:szCs w:val="20"/>
        </w:rPr>
        <w:t>).</w:t>
      </w:r>
    </w:p>
    <w:p w:rsidR="00FC5DC8" w:rsidRPr="008D6E5C" w:rsidRDefault="00FC5DC8" w:rsidP="001520DB">
      <w:pPr>
        <w:pStyle w:val="ListParagraph"/>
        <w:rPr>
          <w:rFonts w:cs="Arial"/>
          <w:sz w:val="20"/>
          <w:szCs w:val="20"/>
        </w:rPr>
      </w:pPr>
    </w:p>
    <w:p w:rsidR="003644F1" w:rsidRPr="008D6E5C" w:rsidRDefault="00874974"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s="Arial"/>
          <w:sz w:val="20"/>
          <w:szCs w:val="20"/>
        </w:rPr>
        <w:t xml:space="preserve">With respect to </w:t>
      </w:r>
      <w:r w:rsidRPr="008D6E5C">
        <w:rPr>
          <w:rFonts w:ascii="Cambria" w:hAnsi="Cambria"/>
          <w:bCs/>
          <w:sz w:val="20"/>
          <w:szCs w:val="20"/>
        </w:rPr>
        <w:t xml:space="preserve">Nelson </w:t>
      </w:r>
      <w:proofErr w:type="spellStart"/>
      <w:r w:rsidRPr="008D6E5C">
        <w:rPr>
          <w:rFonts w:ascii="Cambria" w:hAnsi="Cambria"/>
          <w:bCs/>
          <w:sz w:val="20"/>
          <w:szCs w:val="20"/>
        </w:rPr>
        <w:t>Carvajal</w:t>
      </w:r>
      <w:proofErr w:type="spellEnd"/>
      <w:r w:rsidRPr="008D6E5C">
        <w:rPr>
          <w:rFonts w:ascii="Cambria" w:hAnsi="Cambria"/>
          <w:bCs/>
          <w:sz w:val="20"/>
          <w:szCs w:val="20"/>
        </w:rPr>
        <w:t xml:space="preserve"> </w:t>
      </w:r>
      <w:proofErr w:type="spellStart"/>
      <w:r w:rsidRPr="008D6E5C">
        <w:rPr>
          <w:rFonts w:ascii="Cambria" w:hAnsi="Cambria"/>
          <w:bCs/>
          <w:sz w:val="20"/>
          <w:szCs w:val="20"/>
        </w:rPr>
        <w:t>Carvajal’s</w:t>
      </w:r>
      <w:proofErr w:type="spellEnd"/>
      <w:r w:rsidR="00FC5DC8" w:rsidRPr="008D6E5C">
        <w:rPr>
          <w:rFonts w:ascii="Cambria" w:hAnsi="Cambria"/>
          <w:bCs/>
          <w:sz w:val="20"/>
          <w:szCs w:val="20"/>
        </w:rPr>
        <w:t xml:space="preserve"> </w:t>
      </w:r>
      <w:r w:rsidR="004B0168" w:rsidRPr="008D6E5C">
        <w:rPr>
          <w:rFonts w:ascii="Cambria" w:hAnsi="Cambria"/>
          <w:bCs/>
          <w:sz w:val="20"/>
          <w:szCs w:val="20"/>
        </w:rPr>
        <w:t>right to life</w:t>
      </w:r>
      <w:r w:rsidR="00417622" w:rsidRPr="008D6E5C">
        <w:rPr>
          <w:rFonts w:ascii="Cambria" w:hAnsi="Cambria"/>
          <w:bCs/>
          <w:sz w:val="20"/>
          <w:szCs w:val="20"/>
        </w:rPr>
        <w:t xml:space="preserve"> and freedom of expression</w:t>
      </w:r>
      <w:r w:rsidR="00FC5DC8" w:rsidRPr="008D6E5C">
        <w:rPr>
          <w:rFonts w:ascii="Cambria" w:hAnsi="Cambria"/>
          <w:bCs/>
          <w:sz w:val="20"/>
          <w:szCs w:val="20"/>
        </w:rPr>
        <w:t xml:space="preserve">, </w:t>
      </w:r>
      <w:r w:rsidR="00DF44C8" w:rsidRPr="008D6E5C">
        <w:rPr>
          <w:rFonts w:ascii="Cambria" w:hAnsi="Cambria"/>
          <w:bCs/>
          <w:sz w:val="20"/>
          <w:szCs w:val="20"/>
        </w:rPr>
        <w:t>the IACHR</w:t>
      </w:r>
      <w:r w:rsidR="00FC5DC8" w:rsidRPr="008D6E5C">
        <w:rPr>
          <w:rFonts w:ascii="Cambria" w:hAnsi="Cambria"/>
          <w:bCs/>
          <w:sz w:val="20"/>
          <w:szCs w:val="20"/>
        </w:rPr>
        <w:t xml:space="preserve"> </w:t>
      </w:r>
      <w:r w:rsidR="001766CB" w:rsidRPr="008D6E5C">
        <w:rPr>
          <w:rFonts w:ascii="Cambria" w:hAnsi="Cambria"/>
          <w:bCs/>
          <w:sz w:val="20"/>
          <w:szCs w:val="20"/>
        </w:rPr>
        <w:t>observes that</w:t>
      </w:r>
      <w:r w:rsidR="00FC5DC8" w:rsidRPr="008D6E5C">
        <w:rPr>
          <w:rFonts w:ascii="Cambria" w:hAnsi="Cambria" w:cs="Arial"/>
          <w:sz w:val="20"/>
          <w:szCs w:val="20"/>
        </w:rPr>
        <w:t xml:space="preserve">, </w:t>
      </w:r>
      <w:r w:rsidRPr="008D6E5C">
        <w:rPr>
          <w:rFonts w:ascii="Cambria" w:hAnsi="Cambria" w:cs="Arial"/>
          <w:sz w:val="20"/>
          <w:szCs w:val="20"/>
        </w:rPr>
        <w:t>more than</w:t>
      </w:r>
      <w:r w:rsidR="00FC5DC8" w:rsidRPr="008D6E5C">
        <w:rPr>
          <w:rFonts w:ascii="Cambria" w:hAnsi="Cambria" w:cs="Arial"/>
          <w:sz w:val="20"/>
          <w:szCs w:val="20"/>
        </w:rPr>
        <w:t xml:space="preserve"> 16 </w:t>
      </w:r>
      <w:r w:rsidRPr="008D6E5C">
        <w:rPr>
          <w:rFonts w:ascii="Cambria" w:hAnsi="Cambria" w:cs="Arial"/>
          <w:sz w:val="20"/>
          <w:szCs w:val="20"/>
        </w:rPr>
        <w:t>years after his murder, the investigations and criminal proceedings undertaken at the national level have not resulted in the identification of the individual perpetrators.</w:t>
      </w:r>
      <w:r w:rsidR="00FC5DC8" w:rsidRPr="008D6E5C">
        <w:rPr>
          <w:rFonts w:ascii="Cambria" w:hAnsi="Cambria" w:cs="Arial"/>
          <w:sz w:val="20"/>
          <w:szCs w:val="20"/>
        </w:rPr>
        <w:t xml:space="preserve"> </w:t>
      </w:r>
      <w:r w:rsidR="002A402A" w:rsidRPr="008D6E5C">
        <w:rPr>
          <w:rFonts w:ascii="Cambria" w:hAnsi="Cambria" w:cs="Arial"/>
          <w:sz w:val="20"/>
          <w:szCs w:val="20"/>
        </w:rPr>
        <w:t xml:space="preserve">However, in the case file, there is </w:t>
      </w:r>
      <w:proofErr w:type="spellStart"/>
      <w:r w:rsidR="002A402A" w:rsidRPr="008D6E5C">
        <w:rPr>
          <w:rFonts w:ascii="Cambria" w:hAnsi="Cambria" w:cs="Arial"/>
          <w:sz w:val="20"/>
          <w:szCs w:val="20"/>
        </w:rPr>
        <w:t>circumstancial</w:t>
      </w:r>
      <w:proofErr w:type="spellEnd"/>
      <w:r w:rsidR="002A402A" w:rsidRPr="008D6E5C">
        <w:rPr>
          <w:rFonts w:ascii="Cambria" w:hAnsi="Cambria" w:cs="Arial"/>
          <w:sz w:val="20"/>
          <w:szCs w:val="20"/>
        </w:rPr>
        <w:t xml:space="preserve"> evidence that support</w:t>
      </w:r>
      <w:r w:rsidR="000D7257" w:rsidRPr="008D6E5C">
        <w:rPr>
          <w:rFonts w:ascii="Cambria" w:hAnsi="Cambria" w:cs="Arial"/>
          <w:sz w:val="20"/>
          <w:szCs w:val="20"/>
        </w:rPr>
        <w:t>s</w:t>
      </w:r>
      <w:r w:rsidR="002A402A" w:rsidRPr="008D6E5C">
        <w:rPr>
          <w:rFonts w:ascii="Cambria" w:hAnsi="Cambria" w:cs="Arial"/>
          <w:sz w:val="20"/>
          <w:szCs w:val="20"/>
        </w:rPr>
        <w:t xml:space="preserve"> the involvement of state agents in the </w:t>
      </w:r>
      <w:r w:rsidR="00362330" w:rsidRPr="008D6E5C">
        <w:rPr>
          <w:rFonts w:ascii="Cambria" w:hAnsi="Cambria" w:cs="Arial"/>
          <w:sz w:val="20"/>
          <w:szCs w:val="20"/>
        </w:rPr>
        <w:t xml:space="preserve">events. Indeed, </w:t>
      </w:r>
      <w:r w:rsidR="003644F1" w:rsidRPr="008D6E5C">
        <w:rPr>
          <w:rFonts w:ascii="Cambria" w:hAnsi="Cambria" w:cs="Arial"/>
          <w:sz w:val="20"/>
          <w:szCs w:val="20"/>
        </w:rPr>
        <w:t>since</w:t>
      </w:r>
      <w:r w:rsidR="00362330" w:rsidRPr="008D6E5C">
        <w:rPr>
          <w:rFonts w:ascii="Cambria" w:hAnsi="Cambria" w:cs="Arial"/>
          <w:sz w:val="20"/>
          <w:szCs w:val="20"/>
        </w:rPr>
        <w:t xml:space="preserve"> the </w:t>
      </w:r>
      <w:r w:rsidR="000D7257" w:rsidRPr="008D6E5C">
        <w:rPr>
          <w:rFonts w:ascii="Cambria" w:hAnsi="Cambria" w:cs="Arial"/>
          <w:sz w:val="20"/>
          <w:szCs w:val="20"/>
        </w:rPr>
        <w:t xml:space="preserve">occurrence of the events </w:t>
      </w:r>
      <w:r w:rsidR="00362330" w:rsidRPr="008D6E5C">
        <w:rPr>
          <w:rFonts w:ascii="Cambria" w:hAnsi="Cambria" w:cs="Arial"/>
          <w:sz w:val="20"/>
          <w:szCs w:val="20"/>
        </w:rPr>
        <w:t xml:space="preserve">and </w:t>
      </w:r>
      <w:r w:rsidR="000D7257" w:rsidRPr="008D6E5C">
        <w:rPr>
          <w:rFonts w:ascii="Cambria" w:hAnsi="Cambria" w:cs="Arial"/>
          <w:sz w:val="20"/>
          <w:szCs w:val="20"/>
        </w:rPr>
        <w:t xml:space="preserve">according to the evidence gathered, it was clear that the murder of Nelson </w:t>
      </w:r>
      <w:proofErr w:type="spellStart"/>
      <w:r w:rsidR="000D7257" w:rsidRPr="008D6E5C">
        <w:rPr>
          <w:rFonts w:ascii="Cambria" w:hAnsi="Cambria" w:cs="Arial"/>
          <w:sz w:val="20"/>
          <w:szCs w:val="20"/>
        </w:rPr>
        <w:t>Carvajal</w:t>
      </w:r>
      <w:proofErr w:type="spellEnd"/>
      <w:r w:rsidR="000D7257" w:rsidRPr="008D6E5C">
        <w:rPr>
          <w:rFonts w:ascii="Cambria" w:hAnsi="Cambria" w:cs="Arial"/>
          <w:sz w:val="20"/>
          <w:szCs w:val="20"/>
        </w:rPr>
        <w:t xml:space="preserve"> </w:t>
      </w:r>
      <w:proofErr w:type="spellStart"/>
      <w:r w:rsidR="000D7257" w:rsidRPr="008D6E5C">
        <w:rPr>
          <w:rFonts w:ascii="Cambria" w:hAnsi="Cambria" w:cs="Arial"/>
          <w:sz w:val="20"/>
          <w:szCs w:val="20"/>
        </w:rPr>
        <w:t>Carvajal</w:t>
      </w:r>
      <w:proofErr w:type="spellEnd"/>
      <w:r w:rsidR="000D7257" w:rsidRPr="008D6E5C">
        <w:rPr>
          <w:rFonts w:ascii="Cambria" w:hAnsi="Cambria" w:cs="Arial"/>
          <w:sz w:val="20"/>
          <w:szCs w:val="20"/>
        </w:rPr>
        <w:t xml:space="preserve"> was perpetrated to silence his work in revealing </w:t>
      </w:r>
      <w:proofErr w:type="spellStart"/>
      <w:r w:rsidR="000D7257" w:rsidRPr="008D6E5C">
        <w:rPr>
          <w:rFonts w:ascii="Cambria" w:hAnsi="Cambria" w:cs="Arial"/>
          <w:sz w:val="20"/>
          <w:szCs w:val="20"/>
        </w:rPr>
        <w:t>ilicit</w:t>
      </w:r>
      <w:proofErr w:type="spellEnd"/>
      <w:r w:rsidR="000D7257" w:rsidRPr="008D6E5C">
        <w:rPr>
          <w:rFonts w:ascii="Cambria" w:hAnsi="Cambria" w:cs="Arial"/>
          <w:sz w:val="20"/>
          <w:szCs w:val="20"/>
        </w:rPr>
        <w:t xml:space="preserve"> acts by public officials</w:t>
      </w:r>
      <w:r w:rsidR="003405EC" w:rsidRPr="008D6E5C">
        <w:rPr>
          <w:rFonts w:ascii="Cambria" w:hAnsi="Cambria"/>
          <w:sz w:val="20"/>
          <w:szCs w:val="20"/>
        </w:rPr>
        <w:t>.</w:t>
      </w:r>
      <w:r w:rsidR="003405EC" w:rsidRPr="008D6E5C">
        <w:rPr>
          <w:rFonts w:ascii="Cambria" w:hAnsi="Cambria" w:cs="Arial"/>
          <w:sz w:val="20"/>
          <w:szCs w:val="20"/>
        </w:rPr>
        <w:t xml:space="preserve"> </w:t>
      </w:r>
    </w:p>
    <w:p w:rsidR="003644F1" w:rsidRPr="008D6E5C" w:rsidRDefault="003644F1" w:rsidP="001520DB">
      <w:pPr>
        <w:pStyle w:val="ListParagraph"/>
        <w:rPr>
          <w:rFonts w:cs="Arial"/>
          <w:sz w:val="20"/>
          <w:szCs w:val="20"/>
        </w:rPr>
      </w:pPr>
    </w:p>
    <w:p w:rsidR="00031FBE" w:rsidRPr="008D6E5C" w:rsidRDefault="003644F1"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s="Arial"/>
          <w:sz w:val="20"/>
          <w:szCs w:val="20"/>
        </w:rPr>
        <w:t>Since the beginning of the investigation, witnesses noted the responsibility of local government officials and</w:t>
      </w:r>
      <w:r w:rsidR="00153188" w:rsidRPr="008D6E5C">
        <w:rPr>
          <w:rFonts w:ascii="Cambria" w:hAnsi="Cambria" w:cs="Arial"/>
          <w:sz w:val="20"/>
          <w:szCs w:val="20"/>
        </w:rPr>
        <w:t xml:space="preserve"> former officials as potential </w:t>
      </w:r>
      <w:r w:rsidR="00343381" w:rsidRPr="008D6E5C">
        <w:rPr>
          <w:rFonts w:ascii="Cambria" w:hAnsi="Cambria" w:cs="Arial"/>
          <w:sz w:val="20"/>
          <w:szCs w:val="20"/>
        </w:rPr>
        <w:t>masterminds</w:t>
      </w:r>
      <w:r w:rsidRPr="008D6E5C">
        <w:rPr>
          <w:rFonts w:ascii="Cambria" w:hAnsi="Cambria" w:cs="Arial"/>
          <w:sz w:val="20"/>
          <w:szCs w:val="20"/>
        </w:rPr>
        <w:t xml:space="preserve"> of the murder of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w:t>
      </w:r>
      <w:r w:rsidR="004707D4" w:rsidRPr="008D6E5C">
        <w:rPr>
          <w:rFonts w:ascii="Cambria" w:hAnsi="Cambria" w:cs="Arial"/>
          <w:sz w:val="20"/>
          <w:szCs w:val="20"/>
        </w:rPr>
        <w:t>Evidence shows that</w:t>
      </w:r>
      <w:r w:rsidRPr="008D6E5C">
        <w:rPr>
          <w:rFonts w:ascii="Cambria" w:hAnsi="Cambria" w:cs="Arial"/>
          <w:sz w:val="20"/>
          <w:szCs w:val="20"/>
        </w:rPr>
        <w:t xml:space="preserve">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planned to make a statement the day after his death, at the Municipal Attorney </w:t>
      </w:r>
      <w:r w:rsidR="00031FBE" w:rsidRPr="008D6E5C">
        <w:rPr>
          <w:rFonts w:ascii="Cambria" w:hAnsi="Cambria" w:cs="Arial"/>
          <w:sz w:val="20"/>
          <w:szCs w:val="20"/>
        </w:rPr>
        <w:t xml:space="preserve">Office </w:t>
      </w:r>
      <w:r w:rsidRPr="008D6E5C">
        <w:rPr>
          <w:rFonts w:ascii="Cambria" w:hAnsi="Cambria" w:cs="Arial"/>
          <w:sz w:val="20"/>
          <w:szCs w:val="20"/>
        </w:rPr>
        <w:t xml:space="preserve">about facts alleged in his radio program on municipal corruption linking the mayor of </w:t>
      </w:r>
      <w:proofErr w:type="spellStart"/>
      <w:r w:rsidRPr="008D6E5C">
        <w:rPr>
          <w:rFonts w:ascii="Cambria" w:hAnsi="Cambria" w:cs="Arial"/>
          <w:sz w:val="20"/>
          <w:szCs w:val="20"/>
        </w:rPr>
        <w:t>Pitalito</w:t>
      </w:r>
      <w:proofErr w:type="spellEnd"/>
      <w:r w:rsidRPr="008D6E5C">
        <w:rPr>
          <w:rFonts w:ascii="Cambria" w:hAnsi="Cambria" w:cs="Arial"/>
          <w:sz w:val="20"/>
          <w:szCs w:val="20"/>
        </w:rPr>
        <w:t xml:space="preserve"> and a coalition of the City Council. </w:t>
      </w:r>
      <w:r w:rsidR="00EC4BDD" w:rsidRPr="008D6E5C">
        <w:rPr>
          <w:rFonts w:ascii="Cambria" w:hAnsi="Cambria" w:cs="Arial"/>
          <w:sz w:val="20"/>
          <w:szCs w:val="20"/>
        </w:rPr>
        <w:t>W</w:t>
      </w:r>
      <w:r w:rsidRPr="008D6E5C">
        <w:rPr>
          <w:rFonts w:ascii="Cambria" w:hAnsi="Cambria" w:cs="Arial"/>
          <w:sz w:val="20"/>
          <w:szCs w:val="20"/>
        </w:rPr>
        <w:t xml:space="preserve">itnesses said that before his death the journalist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received death threats by a former council</w:t>
      </w:r>
      <w:r w:rsidR="00031FBE" w:rsidRPr="008D6E5C">
        <w:rPr>
          <w:rFonts w:ascii="Cambria" w:hAnsi="Cambria" w:cs="Arial"/>
          <w:sz w:val="20"/>
          <w:szCs w:val="20"/>
        </w:rPr>
        <w:t xml:space="preserve"> member </w:t>
      </w:r>
      <w:r w:rsidRPr="008D6E5C">
        <w:rPr>
          <w:rFonts w:ascii="Cambria" w:hAnsi="Cambria" w:cs="Arial"/>
          <w:sz w:val="20"/>
          <w:szCs w:val="20"/>
        </w:rPr>
        <w:t xml:space="preserve">of </w:t>
      </w:r>
      <w:proofErr w:type="spellStart"/>
      <w:r w:rsidRPr="008D6E5C">
        <w:rPr>
          <w:rFonts w:ascii="Cambria" w:hAnsi="Cambria" w:cs="Arial"/>
          <w:sz w:val="20"/>
          <w:szCs w:val="20"/>
        </w:rPr>
        <w:t>Pitalito</w:t>
      </w:r>
      <w:proofErr w:type="spellEnd"/>
      <w:r w:rsidRPr="008D6E5C">
        <w:rPr>
          <w:rFonts w:ascii="Cambria" w:hAnsi="Cambria" w:cs="Arial"/>
          <w:sz w:val="20"/>
          <w:szCs w:val="20"/>
        </w:rPr>
        <w:t xml:space="preserve">. Similarly, as is clear from the record, after the crime actions to </w:t>
      </w:r>
      <w:r w:rsidR="00031FBE" w:rsidRPr="008D6E5C">
        <w:rPr>
          <w:rFonts w:ascii="Cambria" w:hAnsi="Cambria" w:cs="Arial"/>
          <w:sz w:val="20"/>
          <w:szCs w:val="20"/>
        </w:rPr>
        <w:t>hinder</w:t>
      </w:r>
      <w:r w:rsidRPr="008D6E5C">
        <w:rPr>
          <w:rFonts w:ascii="Cambria" w:hAnsi="Cambria" w:cs="Arial"/>
          <w:sz w:val="20"/>
          <w:szCs w:val="20"/>
        </w:rPr>
        <w:t xml:space="preserve"> the administration of justice through threats against witnesses and other a</w:t>
      </w:r>
      <w:r w:rsidR="00031FBE" w:rsidRPr="008D6E5C">
        <w:rPr>
          <w:rFonts w:ascii="Cambria" w:hAnsi="Cambria" w:cs="Arial"/>
          <w:sz w:val="20"/>
          <w:szCs w:val="20"/>
        </w:rPr>
        <w:t>cts to divert the investigation took place,</w:t>
      </w:r>
      <w:r w:rsidRPr="008D6E5C">
        <w:rPr>
          <w:rFonts w:ascii="Cambria" w:hAnsi="Cambria" w:cs="Arial"/>
          <w:sz w:val="20"/>
          <w:szCs w:val="20"/>
        </w:rPr>
        <w:t xml:space="preserve"> creating a climate of fear in the population of </w:t>
      </w:r>
      <w:proofErr w:type="spellStart"/>
      <w:r w:rsidRPr="008D6E5C">
        <w:rPr>
          <w:rFonts w:ascii="Cambria" w:hAnsi="Cambria" w:cs="Arial"/>
          <w:sz w:val="20"/>
          <w:szCs w:val="20"/>
        </w:rPr>
        <w:t>Pitalito</w:t>
      </w:r>
      <w:proofErr w:type="spellEnd"/>
      <w:r w:rsidRPr="008D6E5C">
        <w:rPr>
          <w:rFonts w:ascii="Cambria" w:hAnsi="Cambria" w:cs="Arial"/>
          <w:sz w:val="20"/>
          <w:szCs w:val="20"/>
        </w:rPr>
        <w:t xml:space="preserve"> that persisted during development </w:t>
      </w:r>
      <w:r w:rsidR="00031FBE" w:rsidRPr="008D6E5C">
        <w:rPr>
          <w:rFonts w:ascii="Cambria" w:hAnsi="Cambria" w:cs="Arial"/>
          <w:sz w:val="20"/>
          <w:szCs w:val="20"/>
        </w:rPr>
        <w:t>of</w:t>
      </w:r>
      <w:r w:rsidRPr="008D6E5C">
        <w:rPr>
          <w:rFonts w:ascii="Cambria" w:hAnsi="Cambria" w:cs="Arial"/>
          <w:sz w:val="20"/>
          <w:szCs w:val="20"/>
        </w:rPr>
        <w:t xml:space="preserve"> trials and increased with the taking of </w:t>
      </w:r>
      <w:r w:rsidR="00031FBE" w:rsidRPr="008D6E5C">
        <w:rPr>
          <w:rFonts w:ascii="Cambria" w:hAnsi="Cambria" w:cs="Arial"/>
          <w:sz w:val="20"/>
          <w:szCs w:val="20"/>
        </w:rPr>
        <w:t xml:space="preserve">new </w:t>
      </w:r>
      <w:r w:rsidRPr="008D6E5C">
        <w:rPr>
          <w:rFonts w:ascii="Cambria" w:hAnsi="Cambria" w:cs="Arial"/>
          <w:sz w:val="20"/>
          <w:szCs w:val="20"/>
        </w:rPr>
        <w:t xml:space="preserve">evidence. Specifically, a </w:t>
      </w:r>
      <w:r w:rsidR="00031FBE" w:rsidRPr="008D6E5C">
        <w:rPr>
          <w:rFonts w:ascii="Cambria" w:hAnsi="Cambria" w:cs="Arial"/>
          <w:sz w:val="20"/>
          <w:szCs w:val="20"/>
        </w:rPr>
        <w:t xml:space="preserve">witnessed </w:t>
      </w:r>
      <w:r w:rsidRPr="008D6E5C">
        <w:rPr>
          <w:rFonts w:ascii="Cambria" w:hAnsi="Cambria" w:cs="Arial"/>
          <w:sz w:val="20"/>
          <w:szCs w:val="20"/>
        </w:rPr>
        <w:t xml:space="preserve">demobilized </w:t>
      </w:r>
      <w:r w:rsidR="00031FBE" w:rsidRPr="008D6E5C">
        <w:rPr>
          <w:rFonts w:ascii="Cambria" w:hAnsi="Cambria" w:cs="Arial"/>
          <w:sz w:val="20"/>
          <w:szCs w:val="20"/>
        </w:rPr>
        <w:t xml:space="preserve">from </w:t>
      </w:r>
      <w:r w:rsidRPr="008D6E5C">
        <w:rPr>
          <w:rFonts w:ascii="Cambria" w:hAnsi="Cambria" w:cs="Arial"/>
          <w:sz w:val="20"/>
          <w:szCs w:val="20"/>
        </w:rPr>
        <w:t xml:space="preserve">the FARC was killed after saying to a specialized prosecutor </w:t>
      </w:r>
      <w:r w:rsidR="00031FBE" w:rsidRPr="008D6E5C">
        <w:rPr>
          <w:rFonts w:ascii="Cambria" w:hAnsi="Cambria" w:cs="Arial"/>
          <w:sz w:val="20"/>
          <w:szCs w:val="20"/>
        </w:rPr>
        <w:t xml:space="preserve">that </w:t>
      </w:r>
      <w:r w:rsidRPr="008D6E5C">
        <w:rPr>
          <w:rFonts w:ascii="Cambria" w:hAnsi="Cambria" w:cs="Arial"/>
          <w:sz w:val="20"/>
          <w:szCs w:val="20"/>
        </w:rPr>
        <w:t xml:space="preserve">among those responsible for the murder of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w:t>
      </w:r>
      <w:r w:rsidR="00031FBE" w:rsidRPr="008D6E5C">
        <w:rPr>
          <w:rFonts w:ascii="Cambria" w:hAnsi="Cambria" w:cs="Arial"/>
          <w:sz w:val="20"/>
          <w:szCs w:val="20"/>
        </w:rPr>
        <w:t>were local officials</w:t>
      </w:r>
      <w:r w:rsidR="004057F9" w:rsidRPr="008D6E5C">
        <w:rPr>
          <w:rFonts w:ascii="Cambria" w:hAnsi="Cambria" w:cs="Arial"/>
          <w:sz w:val="20"/>
          <w:szCs w:val="20"/>
        </w:rPr>
        <w:t xml:space="preserve"> and former local officials</w:t>
      </w:r>
      <w:r w:rsidRPr="008D6E5C">
        <w:rPr>
          <w:rFonts w:ascii="Cambria" w:hAnsi="Cambria" w:cs="Arial"/>
          <w:sz w:val="20"/>
          <w:szCs w:val="20"/>
        </w:rPr>
        <w:t>. Several people connected to the case as witnesses or threatened relatives reported t</w:t>
      </w:r>
      <w:r w:rsidR="00031FBE" w:rsidRPr="008D6E5C">
        <w:rPr>
          <w:rFonts w:ascii="Cambria" w:hAnsi="Cambria" w:cs="Arial"/>
          <w:sz w:val="20"/>
          <w:szCs w:val="20"/>
        </w:rPr>
        <w:t>hat</w:t>
      </w:r>
      <w:r w:rsidRPr="008D6E5C">
        <w:rPr>
          <w:rFonts w:ascii="Cambria" w:hAnsi="Cambria" w:cs="Arial"/>
          <w:sz w:val="20"/>
          <w:szCs w:val="20"/>
        </w:rPr>
        <w:t xml:space="preserve"> officers and former officers linked with the government as responsible for the threats. Due to the lack of specific and effective protection and investigation measures against these threats and intimidation</w:t>
      </w:r>
      <w:r w:rsidR="00503E07" w:rsidRPr="008D6E5C">
        <w:rPr>
          <w:rFonts w:ascii="Cambria" w:hAnsi="Cambria" w:cs="Arial"/>
          <w:sz w:val="20"/>
          <w:szCs w:val="20"/>
        </w:rPr>
        <w:t>,</w:t>
      </w:r>
      <w:r w:rsidRPr="008D6E5C">
        <w:rPr>
          <w:rFonts w:ascii="Cambria" w:hAnsi="Cambria" w:cs="Arial"/>
          <w:sz w:val="20"/>
          <w:szCs w:val="20"/>
        </w:rPr>
        <w:t xml:space="preserve"> nine relatives of Nelson </w:t>
      </w:r>
      <w:proofErr w:type="spellStart"/>
      <w:r w:rsidRPr="008D6E5C">
        <w:rPr>
          <w:rFonts w:ascii="Cambria" w:hAnsi="Cambria" w:cs="Arial"/>
          <w:sz w:val="20"/>
          <w:szCs w:val="20"/>
        </w:rPr>
        <w:t>Carvajal</w:t>
      </w:r>
      <w:proofErr w:type="spellEnd"/>
      <w:r w:rsidRPr="008D6E5C">
        <w:rPr>
          <w:rFonts w:ascii="Cambria" w:hAnsi="Cambria" w:cs="Arial"/>
          <w:sz w:val="20"/>
          <w:szCs w:val="20"/>
        </w:rPr>
        <w:t xml:space="preserve"> </w:t>
      </w:r>
      <w:r w:rsidR="00503E07" w:rsidRPr="008D6E5C">
        <w:rPr>
          <w:rFonts w:ascii="Cambria" w:hAnsi="Cambria" w:cs="Arial"/>
          <w:sz w:val="20"/>
          <w:szCs w:val="20"/>
        </w:rPr>
        <w:t>were forced</w:t>
      </w:r>
      <w:r w:rsidRPr="008D6E5C">
        <w:rPr>
          <w:rFonts w:ascii="Cambria" w:hAnsi="Cambria" w:cs="Arial"/>
          <w:sz w:val="20"/>
          <w:szCs w:val="20"/>
        </w:rPr>
        <w:t xml:space="preserve"> to leave the country.</w:t>
      </w:r>
    </w:p>
    <w:p w:rsidR="00031FBE" w:rsidRPr="008D6E5C" w:rsidRDefault="00031FBE"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3405EC" w:rsidRPr="008D6E5C" w:rsidRDefault="00031FBE"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Given the strong evidence </w:t>
      </w:r>
      <w:r w:rsidR="00761147" w:rsidRPr="008D6E5C">
        <w:rPr>
          <w:rFonts w:ascii="Cambria" w:hAnsi="Cambria"/>
          <w:sz w:val="20"/>
          <w:szCs w:val="20"/>
        </w:rPr>
        <w:t xml:space="preserve">also </w:t>
      </w:r>
      <w:r w:rsidRPr="008D6E5C">
        <w:rPr>
          <w:rFonts w:ascii="Cambria" w:hAnsi="Cambria"/>
          <w:sz w:val="20"/>
          <w:szCs w:val="20"/>
        </w:rPr>
        <w:t xml:space="preserve">handled by state </w:t>
      </w:r>
      <w:r w:rsidR="00670677" w:rsidRPr="008D6E5C">
        <w:rPr>
          <w:rFonts w:ascii="Cambria" w:hAnsi="Cambria"/>
          <w:sz w:val="20"/>
          <w:szCs w:val="20"/>
        </w:rPr>
        <w:t>authorities</w:t>
      </w:r>
      <w:r w:rsidR="00F27C14" w:rsidRPr="008D6E5C">
        <w:rPr>
          <w:rFonts w:ascii="Cambria" w:hAnsi="Cambria"/>
          <w:sz w:val="20"/>
          <w:szCs w:val="20"/>
        </w:rPr>
        <w:t xml:space="preserve"> responsible for the investigation</w:t>
      </w:r>
      <w:r w:rsidRPr="008D6E5C">
        <w:rPr>
          <w:rFonts w:ascii="Cambria" w:hAnsi="Cambria"/>
          <w:sz w:val="20"/>
          <w:szCs w:val="20"/>
        </w:rPr>
        <w:t xml:space="preserve">, the IACHR considers that the State's response has been inadequate to investigate and to protect witnesses and relatives of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in their quest for justice. It is because of these deficiencies </w:t>
      </w:r>
      <w:r w:rsidR="00670677" w:rsidRPr="008D6E5C">
        <w:rPr>
          <w:rFonts w:ascii="Cambria" w:hAnsi="Cambria"/>
          <w:sz w:val="20"/>
          <w:szCs w:val="20"/>
        </w:rPr>
        <w:t xml:space="preserve">that it </w:t>
      </w:r>
      <w:r w:rsidRPr="008D6E5C">
        <w:rPr>
          <w:rFonts w:ascii="Cambria" w:hAnsi="Cambria"/>
          <w:sz w:val="20"/>
          <w:szCs w:val="20"/>
        </w:rPr>
        <w:t xml:space="preserve">has not been possible </w:t>
      </w:r>
      <w:r w:rsidR="00670677" w:rsidRPr="008D6E5C">
        <w:rPr>
          <w:rFonts w:ascii="Cambria" w:hAnsi="Cambria"/>
          <w:sz w:val="20"/>
          <w:szCs w:val="20"/>
        </w:rPr>
        <w:t xml:space="preserve">to </w:t>
      </w:r>
      <w:r w:rsidRPr="008D6E5C">
        <w:rPr>
          <w:rFonts w:ascii="Cambria" w:hAnsi="Cambria"/>
          <w:sz w:val="20"/>
          <w:szCs w:val="20"/>
        </w:rPr>
        <w:t xml:space="preserve">judicially </w:t>
      </w:r>
      <w:proofErr w:type="gramStart"/>
      <w:r w:rsidR="00670677" w:rsidRPr="008D6E5C">
        <w:rPr>
          <w:rFonts w:ascii="Cambria" w:hAnsi="Cambria"/>
          <w:sz w:val="20"/>
          <w:szCs w:val="20"/>
        </w:rPr>
        <w:t>est</w:t>
      </w:r>
      <w:r w:rsidR="00417622" w:rsidRPr="008D6E5C">
        <w:rPr>
          <w:rFonts w:ascii="Cambria" w:hAnsi="Cambria"/>
          <w:sz w:val="20"/>
          <w:szCs w:val="20"/>
        </w:rPr>
        <w:t>a</w:t>
      </w:r>
      <w:r w:rsidR="00670677" w:rsidRPr="008D6E5C">
        <w:rPr>
          <w:rFonts w:ascii="Cambria" w:hAnsi="Cambria"/>
          <w:sz w:val="20"/>
          <w:szCs w:val="20"/>
        </w:rPr>
        <w:t>blished</w:t>
      </w:r>
      <w:proofErr w:type="gramEnd"/>
      <w:r w:rsidR="00670677" w:rsidRPr="008D6E5C">
        <w:rPr>
          <w:rFonts w:ascii="Cambria" w:hAnsi="Cambria"/>
          <w:sz w:val="20"/>
          <w:szCs w:val="20"/>
        </w:rPr>
        <w:t xml:space="preserve"> </w:t>
      </w:r>
      <w:r w:rsidRPr="008D6E5C">
        <w:rPr>
          <w:rFonts w:ascii="Cambria" w:hAnsi="Cambria"/>
          <w:sz w:val="20"/>
          <w:szCs w:val="20"/>
        </w:rPr>
        <w:t xml:space="preserve">the facts and </w:t>
      </w:r>
      <w:r w:rsidR="00670677" w:rsidRPr="008D6E5C">
        <w:rPr>
          <w:rFonts w:ascii="Cambria" w:hAnsi="Cambria"/>
          <w:sz w:val="20"/>
          <w:szCs w:val="20"/>
        </w:rPr>
        <w:t xml:space="preserve">the respective criminal </w:t>
      </w:r>
      <w:r w:rsidRPr="008D6E5C">
        <w:rPr>
          <w:rFonts w:ascii="Cambria" w:hAnsi="Cambria"/>
          <w:sz w:val="20"/>
          <w:szCs w:val="20"/>
        </w:rPr>
        <w:t xml:space="preserve">responsibilities. The Commission considers that all these </w:t>
      </w:r>
      <w:proofErr w:type="spellStart"/>
      <w:r w:rsidR="00DF48F9" w:rsidRPr="008D6E5C">
        <w:rPr>
          <w:rFonts w:ascii="Cambria" w:hAnsi="Cambria"/>
          <w:sz w:val="20"/>
          <w:szCs w:val="20"/>
        </w:rPr>
        <w:t>circumstancial</w:t>
      </w:r>
      <w:proofErr w:type="spellEnd"/>
      <w:r w:rsidR="00DF48F9" w:rsidRPr="008D6E5C">
        <w:rPr>
          <w:rFonts w:ascii="Cambria" w:hAnsi="Cambria"/>
          <w:sz w:val="20"/>
          <w:szCs w:val="20"/>
        </w:rPr>
        <w:t xml:space="preserve"> evidence regarding the involvement</w:t>
      </w:r>
      <w:r w:rsidRPr="008D6E5C">
        <w:rPr>
          <w:rFonts w:ascii="Cambria" w:hAnsi="Cambria"/>
          <w:sz w:val="20"/>
          <w:szCs w:val="20"/>
        </w:rPr>
        <w:t xml:space="preserve"> and tolerance of state authorities in the murder of Nelson </w:t>
      </w:r>
      <w:proofErr w:type="spellStart"/>
      <w:r w:rsidRPr="008D6E5C">
        <w:rPr>
          <w:rFonts w:ascii="Cambria" w:hAnsi="Cambria"/>
          <w:sz w:val="20"/>
          <w:szCs w:val="20"/>
        </w:rPr>
        <w:t>Carvajal</w:t>
      </w:r>
      <w:proofErr w:type="spellEnd"/>
      <w:r w:rsidRPr="008D6E5C">
        <w:rPr>
          <w:rFonts w:ascii="Cambria" w:hAnsi="Cambria"/>
          <w:sz w:val="20"/>
          <w:szCs w:val="20"/>
        </w:rPr>
        <w:t xml:space="preserve"> </w:t>
      </w:r>
      <w:proofErr w:type="spellStart"/>
      <w:r w:rsidRPr="008D6E5C">
        <w:rPr>
          <w:rFonts w:ascii="Cambria" w:hAnsi="Cambria"/>
          <w:sz w:val="20"/>
          <w:szCs w:val="20"/>
        </w:rPr>
        <w:t>Carvajal</w:t>
      </w:r>
      <w:proofErr w:type="spellEnd"/>
      <w:r w:rsidRPr="008D6E5C">
        <w:rPr>
          <w:rFonts w:ascii="Cambria" w:hAnsi="Cambria"/>
          <w:sz w:val="20"/>
          <w:szCs w:val="20"/>
        </w:rPr>
        <w:t xml:space="preserve"> are sufficient in the context of this case to establish a violation of the right to life</w:t>
      </w:r>
      <w:r w:rsidR="00670677" w:rsidRPr="008D6E5C">
        <w:rPr>
          <w:rFonts w:ascii="Cambria" w:hAnsi="Cambria"/>
          <w:sz w:val="20"/>
          <w:szCs w:val="20"/>
        </w:rPr>
        <w:t>, under article 4</w:t>
      </w:r>
      <w:r w:rsidR="00417622" w:rsidRPr="008D6E5C">
        <w:rPr>
          <w:rFonts w:ascii="Cambria" w:hAnsi="Cambria"/>
          <w:sz w:val="20"/>
          <w:szCs w:val="20"/>
        </w:rPr>
        <w:t>(1)</w:t>
      </w:r>
      <w:r w:rsidR="00670677" w:rsidRPr="008D6E5C">
        <w:rPr>
          <w:rFonts w:ascii="Cambria" w:hAnsi="Cambria"/>
          <w:sz w:val="20"/>
          <w:szCs w:val="20"/>
        </w:rPr>
        <w:t xml:space="preserve"> of the American Convention.</w:t>
      </w:r>
      <w:r w:rsidR="00670677" w:rsidRPr="008D6E5C">
        <w:rPr>
          <w:rFonts w:ascii="Cambria" w:hAnsi="Cambria"/>
          <w:sz w:val="20"/>
          <w:szCs w:val="20"/>
          <w:vertAlign w:val="superscript"/>
        </w:rPr>
        <w:t xml:space="preserve"> </w:t>
      </w:r>
      <w:r w:rsidR="00670677" w:rsidRPr="008D6E5C">
        <w:rPr>
          <w:rFonts w:ascii="Cambria" w:hAnsi="Cambria"/>
          <w:sz w:val="20"/>
          <w:szCs w:val="20"/>
          <w:vertAlign w:val="superscript"/>
        </w:rPr>
        <w:footnoteReference w:id="170"/>
      </w:r>
      <w:r w:rsidR="00FC5DC8" w:rsidRPr="008D6E5C">
        <w:rPr>
          <w:rFonts w:ascii="Cambria" w:hAnsi="Cambria" w:cs="Arial"/>
          <w:sz w:val="20"/>
          <w:szCs w:val="20"/>
        </w:rPr>
        <w:t xml:space="preserve"> </w:t>
      </w:r>
    </w:p>
    <w:p w:rsidR="003405EC" w:rsidRPr="008D6E5C" w:rsidRDefault="003405EC" w:rsidP="00983732">
      <w:pPr>
        <w:pStyle w:val="ListParagraph"/>
        <w:widowControl w:val="0"/>
        <w:rPr>
          <w:rFonts w:cs="Arial"/>
          <w:sz w:val="20"/>
          <w:szCs w:val="20"/>
        </w:rPr>
      </w:pPr>
    </w:p>
    <w:p w:rsidR="00FC5DC8" w:rsidRPr="008D6E5C" w:rsidRDefault="00B52107"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cs="Arial"/>
          <w:sz w:val="20"/>
          <w:szCs w:val="20"/>
        </w:rPr>
        <w:t>As the</w:t>
      </w:r>
      <w:r w:rsidR="004B0168" w:rsidRPr="008D6E5C">
        <w:rPr>
          <w:rFonts w:ascii="Cambria" w:hAnsi="Cambria" w:cs="Arial"/>
          <w:sz w:val="20"/>
          <w:szCs w:val="20"/>
        </w:rPr>
        <w:t xml:space="preserve"> Inter-American Court</w:t>
      </w:r>
      <w:r w:rsidRPr="008D6E5C">
        <w:rPr>
          <w:rFonts w:ascii="Cambria" w:hAnsi="Cambria" w:cs="Arial"/>
          <w:sz w:val="20"/>
          <w:szCs w:val="20"/>
        </w:rPr>
        <w:t xml:space="preserve"> has held</w:t>
      </w:r>
      <w:r w:rsidR="00FC5DC8" w:rsidRPr="008D6E5C">
        <w:rPr>
          <w:rFonts w:ascii="Cambria" w:hAnsi="Cambria" w:cs="Arial"/>
          <w:sz w:val="20"/>
          <w:szCs w:val="20"/>
        </w:rPr>
        <w:t xml:space="preserve">, </w:t>
      </w:r>
      <w:r w:rsidRPr="008D6E5C">
        <w:rPr>
          <w:rFonts w:ascii="Cambria" w:hAnsi="Cambria" w:cs="Arial"/>
          <w:sz w:val="20"/>
          <w:szCs w:val="20"/>
        </w:rPr>
        <w:t xml:space="preserve">to conclude otherwise would mean allowing the State to avail itself of the negligence and ineffectiveness of the criminal </w:t>
      </w:r>
      <w:r w:rsidR="001766CB" w:rsidRPr="008D6E5C">
        <w:rPr>
          <w:rFonts w:ascii="Cambria" w:hAnsi="Cambria" w:cs="Arial"/>
          <w:sz w:val="20"/>
          <w:szCs w:val="20"/>
        </w:rPr>
        <w:t>investigation</w:t>
      </w:r>
      <w:r w:rsidR="00FC5DC8" w:rsidRPr="008D6E5C">
        <w:rPr>
          <w:rFonts w:ascii="Cambria" w:hAnsi="Cambria" w:cs="Arial"/>
          <w:sz w:val="20"/>
          <w:szCs w:val="20"/>
        </w:rPr>
        <w:t xml:space="preserve"> </w:t>
      </w:r>
      <w:r w:rsidRPr="008D6E5C">
        <w:rPr>
          <w:rFonts w:ascii="Cambria" w:hAnsi="Cambria" w:cs="Arial"/>
          <w:sz w:val="20"/>
          <w:szCs w:val="20"/>
        </w:rPr>
        <w:t xml:space="preserve">in order to avoid its </w:t>
      </w:r>
      <w:r w:rsidRPr="008D6E5C">
        <w:rPr>
          <w:rFonts w:ascii="Cambria" w:hAnsi="Cambria" w:cs="Arial"/>
          <w:sz w:val="20"/>
          <w:szCs w:val="20"/>
        </w:rPr>
        <w:lastRenderedPageBreak/>
        <w:t xml:space="preserve">responsibility for the violation </w:t>
      </w:r>
      <w:r w:rsidR="0012782E" w:rsidRPr="008D6E5C">
        <w:rPr>
          <w:rFonts w:ascii="Cambria" w:hAnsi="Cambria" w:cs="Arial"/>
          <w:sz w:val="20"/>
          <w:szCs w:val="20"/>
        </w:rPr>
        <w:t>of Article</w:t>
      </w:r>
      <w:r w:rsidR="00FC5DC8" w:rsidRPr="008D6E5C">
        <w:rPr>
          <w:rFonts w:ascii="Cambria" w:hAnsi="Cambria" w:cs="Arial"/>
          <w:sz w:val="20"/>
          <w:szCs w:val="20"/>
        </w:rPr>
        <w:t xml:space="preserve"> </w:t>
      </w:r>
      <w:r w:rsidRPr="008D6E5C">
        <w:rPr>
          <w:rFonts w:ascii="Cambria" w:hAnsi="Cambria" w:cs="Arial"/>
          <w:sz w:val="20"/>
          <w:szCs w:val="20"/>
        </w:rPr>
        <w:t>4(1)</w:t>
      </w:r>
      <w:r w:rsidR="00FC5DC8" w:rsidRPr="008D6E5C">
        <w:rPr>
          <w:rFonts w:ascii="Cambria" w:hAnsi="Cambria" w:cs="Arial"/>
          <w:sz w:val="20"/>
          <w:szCs w:val="20"/>
        </w:rPr>
        <w:t xml:space="preserve"> </w:t>
      </w:r>
      <w:r w:rsidR="004B0168" w:rsidRPr="008D6E5C">
        <w:rPr>
          <w:rFonts w:ascii="Cambria" w:hAnsi="Cambria" w:cs="Arial"/>
          <w:sz w:val="20"/>
          <w:szCs w:val="20"/>
        </w:rPr>
        <w:t>of the Convention</w:t>
      </w:r>
      <w:r w:rsidR="001766CB" w:rsidRPr="008D6E5C">
        <w:rPr>
          <w:rFonts w:ascii="Cambria" w:hAnsi="Cambria" w:cs="Arial"/>
          <w:sz w:val="20"/>
          <w:szCs w:val="20"/>
        </w:rPr>
        <w:t>.</w:t>
      </w:r>
      <w:r w:rsidR="00FC5DC8" w:rsidRPr="008D6E5C">
        <w:rPr>
          <w:rFonts w:ascii="Cambria" w:hAnsi="Cambria"/>
          <w:sz w:val="20"/>
          <w:szCs w:val="20"/>
          <w:vertAlign w:val="superscript"/>
        </w:rPr>
        <w:footnoteReference w:id="171"/>
      </w:r>
    </w:p>
    <w:p w:rsidR="00FC5DC8" w:rsidRPr="008D6E5C" w:rsidRDefault="00FC5DC8" w:rsidP="00983732">
      <w:pPr>
        <w:pStyle w:val="ListParagraph"/>
        <w:widowControl w:val="0"/>
        <w:rPr>
          <w:sz w:val="20"/>
          <w:szCs w:val="20"/>
        </w:rPr>
      </w:pPr>
    </w:p>
    <w:p w:rsidR="00FC5DC8" w:rsidRPr="008D6E5C" w:rsidRDefault="00B52107"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Accordingly,</w:t>
      </w:r>
      <w:r w:rsidR="00FC5DC8" w:rsidRPr="008D6E5C">
        <w:rPr>
          <w:rFonts w:ascii="Cambria" w:hAnsi="Cambria"/>
          <w:sz w:val="20"/>
          <w:szCs w:val="20"/>
        </w:rPr>
        <w:t xml:space="preserve"> </w:t>
      </w:r>
      <w:r w:rsidR="00DF44C8" w:rsidRPr="008D6E5C">
        <w:rPr>
          <w:rFonts w:ascii="Cambria" w:hAnsi="Cambria"/>
          <w:bCs/>
          <w:sz w:val="20"/>
          <w:szCs w:val="20"/>
        </w:rPr>
        <w:t>the Commission</w:t>
      </w:r>
      <w:r w:rsidR="00FC5DC8" w:rsidRPr="008D6E5C">
        <w:rPr>
          <w:rFonts w:ascii="Cambria" w:hAnsi="Cambria"/>
          <w:bCs/>
          <w:sz w:val="20"/>
          <w:szCs w:val="20"/>
        </w:rPr>
        <w:t xml:space="preserve"> </w:t>
      </w:r>
      <w:r w:rsidRPr="008D6E5C">
        <w:rPr>
          <w:rFonts w:ascii="Cambria" w:hAnsi="Cambria"/>
          <w:bCs/>
          <w:sz w:val="20"/>
          <w:szCs w:val="20"/>
        </w:rPr>
        <w:t>concludes that</w:t>
      </w:r>
      <w:r w:rsidR="00FC5DC8" w:rsidRPr="008D6E5C">
        <w:rPr>
          <w:rFonts w:ascii="Cambria" w:hAnsi="Cambria"/>
          <w:bCs/>
          <w:sz w:val="20"/>
          <w:szCs w:val="20"/>
        </w:rPr>
        <w:t xml:space="preserve"> </w:t>
      </w:r>
      <w:r w:rsidR="007A2CDF" w:rsidRPr="008D6E5C">
        <w:rPr>
          <w:rFonts w:ascii="Cambria" w:hAnsi="Cambria"/>
          <w:bCs/>
          <w:sz w:val="20"/>
          <w:szCs w:val="20"/>
        </w:rPr>
        <w:t>the State</w:t>
      </w:r>
      <w:r w:rsidR="00FC5DC8" w:rsidRPr="008D6E5C">
        <w:rPr>
          <w:rFonts w:ascii="Cambria" w:hAnsi="Cambria"/>
          <w:bCs/>
          <w:sz w:val="20"/>
          <w:szCs w:val="20"/>
        </w:rPr>
        <w:t xml:space="preserve"> </w:t>
      </w:r>
      <w:r w:rsidRPr="008D6E5C">
        <w:rPr>
          <w:rFonts w:ascii="Cambria" w:hAnsi="Cambria"/>
          <w:bCs/>
          <w:sz w:val="20"/>
          <w:szCs w:val="20"/>
        </w:rPr>
        <w:t xml:space="preserve">is responsible for </w:t>
      </w:r>
      <w:r w:rsidR="00417622" w:rsidRPr="008D6E5C">
        <w:rPr>
          <w:rFonts w:ascii="Cambria" w:hAnsi="Cambria"/>
          <w:bCs/>
          <w:sz w:val="20"/>
          <w:szCs w:val="20"/>
        </w:rPr>
        <w:t>the violation of</w:t>
      </w:r>
      <w:r w:rsidRPr="008D6E5C">
        <w:rPr>
          <w:rFonts w:ascii="Cambria" w:hAnsi="Cambria"/>
          <w:bCs/>
          <w:sz w:val="20"/>
          <w:szCs w:val="20"/>
        </w:rPr>
        <w:t xml:space="preserve"> </w:t>
      </w:r>
      <w:r w:rsidR="00FC5DC8" w:rsidRPr="008D6E5C">
        <w:rPr>
          <w:rFonts w:ascii="Cambria" w:hAnsi="Cambria"/>
          <w:bCs/>
          <w:sz w:val="20"/>
          <w:szCs w:val="20"/>
        </w:rPr>
        <w:t xml:space="preserve">Nelson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Pr="008D6E5C">
        <w:rPr>
          <w:rFonts w:ascii="Cambria" w:hAnsi="Cambria"/>
          <w:bCs/>
          <w:sz w:val="20"/>
          <w:szCs w:val="20"/>
        </w:rPr>
        <w:t>’s</w:t>
      </w:r>
      <w:proofErr w:type="spellEnd"/>
      <w:r w:rsidRPr="008D6E5C">
        <w:rPr>
          <w:rFonts w:ascii="Cambria" w:hAnsi="Cambria"/>
          <w:bCs/>
          <w:sz w:val="20"/>
          <w:szCs w:val="20"/>
        </w:rPr>
        <w:t xml:space="preserve"> right to life</w:t>
      </w:r>
      <w:r w:rsidR="00417622" w:rsidRPr="008D6E5C">
        <w:rPr>
          <w:rFonts w:ascii="Cambria" w:hAnsi="Cambria"/>
          <w:bCs/>
          <w:sz w:val="20"/>
          <w:szCs w:val="20"/>
        </w:rPr>
        <w:t xml:space="preserve"> and freedom of expression,</w:t>
      </w:r>
      <w:r w:rsidR="00FC5DC8" w:rsidRPr="008D6E5C">
        <w:rPr>
          <w:rFonts w:ascii="Cambria" w:hAnsi="Cambria"/>
          <w:bCs/>
          <w:sz w:val="20"/>
          <w:szCs w:val="20"/>
        </w:rPr>
        <w:t xml:space="preserve"> </w:t>
      </w:r>
      <w:r w:rsidRPr="008D6E5C">
        <w:rPr>
          <w:rFonts w:ascii="Cambria" w:hAnsi="Cambria"/>
          <w:bCs/>
          <w:sz w:val="20"/>
          <w:szCs w:val="20"/>
        </w:rPr>
        <w:t>in relation to</w:t>
      </w:r>
      <w:r w:rsidR="00FC5DC8" w:rsidRPr="008D6E5C">
        <w:rPr>
          <w:rFonts w:ascii="Cambria" w:hAnsi="Cambria"/>
          <w:bCs/>
          <w:sz w:val="20"/>
          <w:szCs w:val="20"/>
        </w:rPr>
        <w:t xml:space="preserve"> </w:t>
      </w:r>
      <w:r w:rsidR="004B0168" w:rsidRPr="008D6E5C">
        <w:rPr>
          <w:rFonts w:ascii="Cambria" w:hAnsi="Cambria"/>
          <w:bCs/>
          <w:sz w:val="20"/>
          <w:szCs w:val="20"/>
        </w:rPr>
        <w:t>Article</w:t>
      </w:r>
      <w:r w:rsidR="00FC5DC8" w:rsidRPr="008D6E5C">
        <w:rPr>
          <w:rFonts w:ascii="Cambria" w:hAnsi="Cambria"/>
          <w:bCs/>
          <w:sz w:val="20"/>
          <w:szCs w:val="20"/>
        </w:rPr>
        <w:t xml:space="preserve"> </w:t>
      </w:r>
      <w:r w:rsidRPr="008D6E5C">
        <w:rPr>
          <w:rFonts w:ascii="Cambria" w:hAnsi="Cambria"/>
          <w:bCs/>
          <w:sz w:val="20"/>
          <w:szCs w:val="20"/>
        </w:rPr>
        <w:t>1(</w:t>
      </w:r>
      <w:r w:rsidR="001766CB" w:rsidRPr="008D6E5C">
        <w:rPr>
          <w:rFonts w:ascii="Cambria" w:hAnsi="Cambria"/>
          <w:bCs/>
          <w:sz w:val="20"/>
          <w:szCs w:val="20"/>
        </w:rPr>
        <w:t>1</w:t>
      </w:r>
      <w:r w:rsidRPr="008D6E5C">
        <w:rPr>
          <w:rFonts w:ascii="Cambria" w:hAnsi="Cambria"/>
          <w:bCs/>
          <w:sz w:val="20"/>
          <w:szCs w:val="20"/>
        </w:rPr>
        <w:t>)</w:t>
      </w:r>
      <w:r w:rsidR="001766CB" w:rsidRPr="008D6E5C">
        <w:rPr>
          <w:rFonts w:ascii="Cambria" w:hAnsi="Cambria"/>
          <w:bCs/>
          <w:sz w:val="20"/>
          <w:szCs w:val="20"/>
        </w:rPr>
        <w:t xml:space="preserve"> of the Convention</w:t>
      </w:r>
      <w:r w:rsidR="00FC5DC8" w:rsidRPr="008D6E5C">
        <w:rPr>
          <w:rFonts w:ascii="Cambria" w:hAnsi="Cambria"/>
          <w:bCs/>
          <w:sz w:val="20"/>
          <w:szCs w:val="20"/>
        </w:rPr>
        <w:t xml:space="preserve">. </w:t>
      </w:r>
    </w:p>
    <w:p w:rsidR="00FC5DC8" w:rsidRPr="008D6E5C" w:rsidRDefault="00FC5DC8" w:rsidP="001520DB">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rPr>
      </w:pPr>
    </w:p>
    <w:p w:rsidR="00FC5DC8" w:rsidRPr="008D6E5C" w:rsidRDefault="00033D44" w:rsidP="001520DB">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szCs w:val="20"/>
        </w:rPr>
      </w:pPr>
      <w:bookmarkStart w:id="55" w:name="_Toc412478092"/>
      <w:bookmarkStart w:id="56" w:name="_Toc412536252"/>
      <w:bookmarkStart w:id="57" w:name="_Toc412539547"/>
      <w:bookmarkStart w:id="58" w:name="_Toc416880393"/>
      <w:bookmarkStart w:id="59" w:name="_Toc392690369"/>
      <w:r w:rsidRPr="008D6E5C">
        <w:rPr>
          <w:szCs w:val="20"/>
        </w:rPr>
        <w:t>Examination of the violation of the right to humane treatment</w:t>
      </w:r>
      <w:r w:rsidR="00FC5DC8" w:rsidRPr="008D6E5C">
        <w:rPr>
          <w:szCs w:val="20"/>
        </w:rPr>
        <w:t xml:space="preserve"> (</w:t>
      </w:r>
      <w:r w:rsidR="004B0168" w:rsidRPr="008D6E5C">
        <w:rPr>
          <w:szCs w:val="20"/>
        </w:rPr>
        <w:t>Article</w:t>
      </w:r>
      <w:r w:rsidR="00FC5DC8" w:rsidRPr="008D6E5C">
        <w:rPr>
          <w:szCs w:val="20"/>
        </w:rPr>
        <w:t xml:space="preserve"> 5</w:t>
      </w:r>
      <w:r w:rsidRPr="008D6E5C">
        <w:rPr>
          <w:szCs w:val="20"/>
        </w:rPr>
        <w:t>(</w:t>
      </w:r>
      <w:r w:rsidR="00FC5DC8" w:rsidRPr="008D6E5C">
        <w:rPr>
          <w:szCs w:val="20"/>
        </w:rPr>
        <w:t>1</w:t>
      </w:r>
      <w:r w:rsidRPr="008D6E5C">
        <w:rPr>
          <w:szCs w:val="20"/>
        </w:rPr>
        <w:t>))</w:t>
      </w:r>
      <w:r w:rsidR="00FC5DC8" w:rsidRPr="008D6E5C">
        <w:rPr>
          <w:szCs w:val="20"/>
          <w:vertAlign w:val="superscript"/>
        </w:rPr>
        <w:footnoteReference w:id="172"/>
      </w:r>
      <w:r w:rsidR="00FC5DC8" w:rsidRPr="008D6E5C">
        <w:rPr>
          <w:szCs w:val="20"/>
        </w:rPr>
        <w:t xml:space="preserve"> </w:t>
      </w:r>
      <w:r w:rsidRPr="008D6E5C">
        <w:rPr>
          <w:szCs w:val="20"/>
        </w:rPr>
        <w:t xml:space="preserve">and the right to freedom of </w:t>
      </w:r>
      <w:r w:rsidR="00FF4041" w:rsidRPr="008D6E5C">
        <w:rPr>
          <w:szCs w:val="20"/>
        </w:rPr>
        <w:t>movement and residence</w:t>
      </w:r>
      <w:r w:rsidR="00FC5DC8" w:rsidRPr="008D6E5C">
        <w:rPr>
          <w:szCs w:val="20"/>
        </w:rPr>
        <w:t xml:space="preserve"> (</w:t>
      </w:r>
      <w:r w:rsidR="004B0168" w:rsidRPr="008D6E5C">
        <w:rPr>
          <w:szCs w:val="20"/>
        </w:rPr>
        <w:t>Article</w:t>
      </w:r>
      <w:r w:rsidRPr="008D6E5C">
        <w:rPr>
          <w:szCs w:val="20"/>
        </w:rPr>
        <w:t xml:space="preserve"> 22(</w:t>
      </w:r>
      <w:r w:rsidR="00FC5DC8" w:rsidRPr="008D6E5C">
        <w:rPr>
          <w:szCs w:val="20"/>
        </w:rPr>
        <w:t>1</w:t>
      </w:r>
      <w:r w:rsidRPr="008D6E5C">
        <w:rPr>
          <w:szCs w:val="20"/>
        </w:rPr>
        <w:t>))</w:t>
      </w:r>
      <w:r w:rsidR="00FC5DC8" w:rsidRPr="008D6E5C">
        <w:rPr>
          <w:szCs w:val="20"/>
          <w:vertAlign w:val="superscript"/>
        </w:rPr>
        <w:footnoteReference w:id="173"/>
      </w:r>
      <w:r w:rsidR="00FC5DC8" w:rsidRPr="008D6E5C">
        <w:rPr>
          <w:szCs w:val="20"/>
        </w:rPr>
        <w:t xml:space="preserve"> </w:t>
      </w:r>
      <w:r w:rsidR="00FF4041" w:rsidRPr="008D6E5C">
        <w:rPr>
          <w:rFonts w:cs="Verdana"/>
          <w:bCs w:val="0"/>
          <w:szCs w:val="20"/>
        </w:rPr>
        <w:t>in relation to</w:t>
      </w:r>
      <w:r w:rsidR="00FC5DC8" w:rsidRPr="008D6E5C">
        <w:rPr>
          <w:rFonts w:cs="Verdana"/>
          <w:bCs w:val="0"/>
          <w:szCs w:val="20"/>
        </w:rPr>
        <w:t xml:space="preserve"> </w:t>
      </w:r>
      <w:r w:rsidR="004B0168" w:rsidRPr="008D6E5C">
        <w:rPr>
          <w:rFonts w:cs="Verdana"/>
          <w:bCs w:val="0"/>
          <w:szCs w:val="20"/>
        </w:rPr>
        <w:t>the general obligation to respect rights</w:t>
      </w:r>
      <w:r w:rsidR="00FC5DC8" w:rsidRPr="008D6E5C">
        <w:rPr>
          <w:rFonts w:cs="Verdana"/>
          <w:bCs w:val="0"/>
          <w:szCs w:val="20"/>
        </w:rPr>
        <w:t xml:space="preserve"> (</w:t>
      </w:r>
      <w:r w:rsidR="004B0168" w:rsidRPr="008D6E5C">
        <w:rPr>
          <w:rFonts w:cs="Verdana"/>
          <w:bCs w:val="0"/>
          <w:szCs w:val="20"/>
        </w:rPr>
        <w:t>Article</w:t>
      </w:r>
      <w:r w:rsidRPr="008D6E5C">
        <w:rPr>
          <w:rFonts w:cs="Verdana"/>
          <w:bCs w:val="0"/>
          <w:szCs w:val="20"/>
        </w:rPr>
        <w:t xml:space="preserve"> 1(</w:t>
      </w:r>
      <w:r w:rsidR="00FC5DC8" w:rsidRPr="008D6E5C">
        <w:rPr>
          <w:rFonts w:cs="Verdana"/>
          <w:bCs w:val="0"/>
          <w:szCs w:val="20"/>
        </w:rPr>
        <w:t>1</w:t>
      </w:r>
      <w:r w:rsidRPr="008D6E5C">
        <w:rPr>
          <w:rFonts w:cs="Verdana"/>
          <w:bCs w:val="0"/>
          <w:szCs w:val="20"/>
        </w:rPr>
        <w:t>)</w:t>
      </w:r>
      <w:r w:rsidR="00FC5DC8" w:rsidRPr="008D6E5C">
        <w:rPr>
          <w:rFonts w:cs="Verdana"/>
          <w:bCs w:val="0"/>
          <w:szCs w:val="20"/>
        </w:rPr>
        <w:t>)</w:t>
      </w:r>
      <w:r w:rsidR="00FC5DC8" w:rsidRPr="008D6E5C">
        <w:rPr>
          <w:szCs w:val="20"/>
        </w:rPr>
        <w:t xml:space="preserve"> </w:t>
      </w:r>
      <w:r w:rsidR="004B0168" w:rsidRPr="008D6E5C">
        <w:rPr>
          <w:szCs w:val="20"/>
        </w:rPr>
        <w:t>of the American Convention</w:t>
      </w:r>
      <w:bookmarkEnd w:id="55"/>
      <w:bookmarkEnd w:id="56"/>
      <w:bookmarkEnd w:id="57"/>
      <w:bookmarkEnd w:id="58"/>
    </w:p>
    <w:bookmarkEnd w:id="59"/>
    <w:p w:rsidR="00FC5DC8" w:rsidRPr="008D6E5C" w:rsidRDefault="00FC5DC8" w:rsidP="001520DB">
      <w:pPr>
        <w:ind w:firstLine="720"/>
        <w:jc w:val="both"/>
        <w:rPr>
          <w:rFonts w:ascii="Cambria" w:hAnsi="Cambria"/>
          <w:color w:val="000000"/>
          <w:sz w:val="20"/>
          <w:szCs w:val="20"/>
        </w:rPr>
      </w:pPr>
    </w:p>
    <w:p w:rsidR="00FC5DC8" w:rsidRPr="008D6E5C" w:rsidRDefault="004B016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sz w:val="20"/>
          <w:szCs w:val="20"/>
        </w:rPr>
        <w:t>The Inter-American Court</w:t>
      </w:r>
      <w:r w:rsidR="00FC5DC8" w:rsidRPr="008D6E5C">
        <w:rPr>
          <w:rFonts w:ascii="Cambria" w:hAnsi="Cambria"/>
          <w:sz w:val="20"/>
          <w:szCs w:val="20"/>
        </w:rPr>
        <w:t xml:space="preserve"> </w:t>
      </w:r>
      <w:r w:rsidR="00FF4041" w:rsidRPr="008D6E5C">
        <w:rPr>
          <w:rFonts w:ascii="Cambria" w:hAnsi="Cambria"/>
          <w:sz w:val="20"/>
          <w:szCs w:val="20"/>
        </w:rPr>
        <w:t>has held repeatedly that the</w:t>
      </w:r>
      <w:r w:rsidR="00FC5DC8" w:rsidRPr="008D6E5C">
        <w:rPr>
          <w:rFonts w:ascii="Cambria" w:hAnsi="Cambria"/>
          <w:sz w:val="20"/>
          <w:szCs w:val="20"/>
        </w:rPr>
        <w:t xml:space="preserve"> </w:t>
      </w:r>
      <w:r w:rsidR="001000C6" w:rsidRPr="008D6E5C">
        <w:rPr>
          <w:rFonts w:ascii="Cambria" w:hAnsi="Cambria"/>
          <w:sz w:val="20"/>
          <w:szCs w:val="20"/>
        </w:rPr>
        <w:t>relatives</w:t>
      </w:r>
      <w:r w:rsidR="00FC5DC8" w:rsidRPr="008D6E5C">
        <w:rPr>
          <w:rFonts w:ascii="Cambria" w:hAnsi="Cambria"/>
          <w:sz w:val="20"/>
          <w:szCs w:val="20"/>
        </w:rPr>
        <w:t xml:space="preserve"> </w:t>
      </w:r>
      <w:r w:rsidR="00FF4041" w:rsidRPr="008D6E5C">
        <w:rPr>
          <w:rFonts w:ascii="Cambria" w:hAnsi="Cambria"/>
          <w:sz w:val="20"/>
          <w:szCs w:val="20"/>
        </w:rPr>
        <w:t>of victims of certain types of</w:t>
      </w:r>
      <w:r w:rsidR="00FC5DC8" w:rsidRPr="008D6E5C">
        <w:rPr>
          <w:rFonts w:ascii="Cambria" w:hAnsi="Cambria"/>
          <w:sz w:val="20"/>
          <w:szCs w:val="20"/>
        </w:rPr>
        <w:t xml:space="preserve"> </w:t>
      </w:r>
      <w:r w:rsidR="00CE0022" w:rsidRPr="008D6E5C">
        <w:rPr>
          <w:rFonts w:ascii="Cambria" w:hAnsi="Cambria"/>
          <w:sz w:val="20"/>
          <w:szCs w:val="20"/>
        </w:rPr>
        <w:t>human rights violations</w:t>
      </w:r>
      <w:r w:rsidR="00FC5DC8" w:rsidRPr="008D6E5C">
        <w:rPr>
          <w:rFonts w:ascii="Cambria" w:hAnsi="Cambria"/>
          <w:sz w:val="20"/>
          <w:szCs w:val="20"/>
        </w:rPr>
        <w:t xml:space="preserve"> </w:t>
      </w:r>
      <w:r w:rsidR="00FF4041" w:rsidRPr="008D6E5C">
        <w:rPr>
          <w:rFonts w:ascii="Cambria" w:hAnsi="Cambria"/>
          <w:sz w:val="20"/>
          <w:szCs w:val="20"/>
        </w:rPr>
        <w:t>can, in turn, be victims</w:t>
      </w:r>
      <w:r w:rsidR="001E31BC" w:rsidRPr="008D6E5C">
        <w:rPr>
          <w:rFonts w:ascii="Cambria" w:hAnsi="Cambria"/>
          <w:sz w:val="20"/>
          <w:szCs w:val="20"/>
        </w:rPr>
        <w:t>.</w:t>
      </w:r>
      <w:r w:rsidR="00FC5DC8" w:rsidRPr="008D6E5C">
        <w:rPr>
          <w:rFonts w:ascii="Cambria" w:hAnsi="Cambria"/>
          <w:sz w:val="20"/>
          <w:szCs w:val="20"/>
          <w:vertAlign w:val="superscript"/>
        </w:rPr>
        <w:footnoteReference w:id="174"/>
      </w:r>
      <w:r w:rsidR="00FC5DC8" w:rsidRPr="008D6E5C">
        <w:rPr>
          <w:rFonts w:ascii="Cambria" w:hAnsi="Cambria"/>
          <w:sz w:val="20"/>
          <w:szCs w:val="20"/>
        </w:rPr>
        <w:t xml:space="preserve"> </w:t>
      </w:r>
      <w:r w:rsidR="00FF4041" w:rsidRPr="008D6E5C">
        <w:rPr>
          <w:rFonts w:ascii="Cambria" w:hAnsi="Cambria"/>
          <w:sz w:val="20"/>
          <w:szCs w:val="20"/>
        </w:rPr>
        <w:t>Specifically</w:t>
      </w:r>
      <w:r w:rsidR="00FC5DC8" w:rsidRPr="008D6E5C">
        <w:rPr>
          <w:rFonts w:ascii="Cambria" w:hAnsi="Cambria"/>
          <w:sz w:val="20"/>
          <w:szCs w:val="20"/>
        </w:rPr>
        <w:t xml:space="preserve">, </w:t>
      </w:r>
      <w:r w:rsidR="00FF4041" w:rsidRPr="008D6E5C">
        <w:rPr>
          <w:rFonts w:ascii="Cambria" w:hAnsi="Cambria"/>
          <w:sz w:val="20"/>
          <w:szCs w:val="20"/>
        </w:rPr>
        <w:t xml:space="preserve">the Court has indicated that the mental and emotional welfare of victims’ </w:t>
      </w:r>
      <w:r w:rsidR="001000C6" w:rsidRPr="008D6E5C">
        <w:rPr>
          <w:rFonts w:ascii="Cambria" w:hAnsi="Cambria"/>
          <w:sz w:val="20"/>
          <w:szCs w:val="20"/>
        </w:rPr>
        <w:t>relatives</w:t>
      </w:r>
      <w:r w:rsidR="00FC5DC8" w:rsidRPr="008D6E5C">
        <w:rPr>
          <w:rFonts w:ascii="Cambria" w:hAnsi="Cambria"/>
          <w:sz w:val="20"/>
          <w:szCs w:val="20"/>
        </w:rPr>
        <w:t xml:space="preserve"> </w:t>
      </w:r>
      <w:r w:rsidR="00FF4041" w:rsidRPr="008D6E5C">
        <w:rPr>
          <w:rFonts w:ascii="Cambria" w:hAnsi="Cambria"/>
          <w:sz w:val="20"/>
          <w:szCs w:val="20"/>
        </w:rPr>
        <w:t>can be affected by the particular circumstances suffered by their loved ones, and by the subsequent acts or omissions of the domestic authorities in light of those events</w:t>
      </w:r>
      <w:r w:rsidR="001E31BC" w:rsidRPr="008D6E5C">
        <w:rPr>
          <w:rFonts w:ascii="Cambria" w:hAnsi="Cambria"/>
          <w:sz w:val="20"/>
          <w:szCs w:val="20"/>
        </w:rPr>
        <w:t>.</w:t>
      </w:r>
      <w:r w:rsidR="00FC5DC8" w:rsidRPr="008D6E5C">
        <w:rPr>
          <w:rFonts w:ascii="Cambria" w:hAnsi="Cambria"/>
          <w:sz w:val="20"/>
          <w:szCs w:val="20"/>
          <w:vertAlign w:val="superscript"/>
        </w:rPr>
        <w:footnoteReference w:id="175"/>
      </w:r>
      <w:r w:rsidR="00FF4041" w:rsidRPr="008D6E5C">
        <w:rPr>
          <w:rFonts w:ascii="Cambria" w:hAnsi="Cambria"/>
          <w:sz w:val="20"/>
          <w:szCs w:val="20"/>
        </w:rPr>
        <w:t xml:space="preserve"> T</w:t>
      </w:r>
      <w:r w:rsidRPr="008D6E5C">
        <w:rPr>
          <w:rFonts w:ascii="Cambria" w:hAnsi="Cambria"/>
          <w:sz w:val="20"/>
          <w:szCs w:val="20"/>
        </w:rPr>
        <w:t>he Inter-American Court</w:t>
      </w:r>
      <w:r w:rsidR="00FC5DC8" w:rsidRPr="008D6E5C">
        <w:rPr>
          <w:rFonts w:ascii="Cambria" w:hAnsi="Cambria"/>
          <w:sz w:val="20"/>
          <w:szCs w:val="20"/>
        </w:rPr>
        <w:t xml:space="preserve"> </w:t>
      </w:r>
      <w:r w:rsidR="00A5265A" w:rsidRPr="008D6E5C">
        <w:rPr>
          <w:rFonts w:ascii="Cambria" w:hAnsi="Cambria"/>
          <w:sz w:val="20"/>
          <w:szCs w:val="20"/>
        </w:rPr>
        <w:t xml:space="preserve">has </w:t>
      </w:r>
      <w:r w:rsidR="00FF4041" w:rsidRPr="008D6E5C">
        <w:rPr>
          <w:rFonts w:ascii="Cambria" w:hAnsi="Cambria"/>
          <w:sz w:val="20"/>
          <w:szCs w:val="20"/>
        </w:rPr>
        <w:t xml:space="preserve">additionally </w:t>
      </w:r>
      <w:r w:rsidR="00A5265A" w:rsidRPr="008D6E5C">
        <w:rPr>
          <w:rFonts w:ascii="Cambria" w:hAnsi="Cambria"/>
          <w:sz w:val="20"/>
          <w:szCs w:val="20"/>
        </w:rPr>
        <w:t>established that</w:t>
      </w:r>
      <w:r w:rsidR="00752A08" w:rsidRPr="008D6E5C">
        <w:rPr>
          <w:rFonts w:ascii="Cambria" w:hAnsi="Cambria"/>
          <w:sz w:val="20"/>
          <w:szCs w:val="20"/>
        </w:rPr>
        <w:t xml:space="preserve"> “the obligation to investigate human rights violations is among the positive measures that the State must adopt to guarantee the rights established in the Convention. Additionally, the State must, if possible, try to reestablish a right that has been violated and, if applicable, repair the damage produced by human rights violations</w:t>
      </w:r>
      <w:r w:rsidR="001E31BC" w:rsidRPr="008D6E5C">
        <w:rPr>
          <w:rFonts w:ascii="Cambria" w:hAnsi="Cambria"/>
          <w:sz w:val="20"/>
          <w:szCs w:val="20"/>
        </w:rPr>
        <w:t>.</w:t>
      </w:r>
      <w:r w:rsidR="00FC5DC8" w:rsidRPr="008D6E5C">
        <w:rPr>
          <w:rFonts w:ascii="Cambria" w:hAnsi="Cambria"/>
          <w:sz w:val="20"/>
          <w:szCs w:val="20"/>
        </w:rPr>
        <w:t>”</w:t>
      </w:r>
      <w:r w:rsidR="00FC5DC8" w:rsidRPr="008D6E5C">
        <w:rPr>
          <w:rFonts w:ascii="Cambria" w:hAnsi="Cambria"/>
          <w:sz w:val="20"/>
          <w:szCs w:val="20"/>
          <w:vertAlign w:val="superscript"/>
        </w:rPr>
        <w:footnoteReference w:id="176"/>
      </w:r>
      <w:r w:rsidR="00FC5DC8" w:rsidRPr="008D6E5C">
        <w:rPr>
          <w:rFonts w:ascii="Cambria" w:hAnsi="Cambria"/>
          <w:sz w:val="20"/>
          <w:szCs w:val="20"/>
        </w:rPr>
        <w:t xml:space="preserve"> </w:t>
      </w:r>
      <w:r w:rsidR="00752A08" w:rsidRPr="008D6E5C">
        <w:rPr>
          <w:rFonts w:ascii="Cambria" w:hAnsi="Cambria"/>
          <w:sz w:val="20"/>
          <w:szCs w:val="20"/>
        </w:rPr>
        <w:t>In relation thereto</w:t>
      </w:r>
      <w:r w:rsidR="00FC5DC8" w:rsidRPr="008D6E5C">
        <w:rPr>
          <w:rFonts w:ascii="Cambria" w:hAnsi="Cambria"/>
          <w:sz w:val="20"/>
          <w:szCs w:val="20"/>
        </w:rPr>
        <w:t xml:space="preserve">, </w:t>
      </w:r>
      <w:r w:rsidRPr="008D6E5C">
        <w:rPr>
          <w:rFonts w:ascii="Cambria" w:hAnsi="Cambria"/>
          <w:sz w:val="20"/>
          <w:szCs w:val="20"/>
        </w:rPr>
        <w:t>the Inter-American Court</w:t>
      </w:r>
      <w:r w:rsidR="00FC5DC8" w:rsidRPr="008D6E5C">
        <w:rPr>
          <w:rFonts w:ascii="Cambria" w:hAnsi="Cambria"/>
          <w:sz w:val="20"/>
          <w:szCs w:val="20"/>
        </w:rPr>
        <w:t xml:space="preserve"> </w:t>
      </w:r>
      <w:r w:rsidR="00A5265A" w:rsidRPr="008D6E5C">
        <w:rPr>
          <w:rFonts w:ascii="Cambria" w:hAnsi="Cambria"/>
          <w:sz w:val="20"/>
          <w:szCs w:val="20"/>
        </w:rPr>
        <w:t>has established that</w:t>
      </w:r>
      <w:r w:rsidR="00FC5DC8" w:rsidRPr="008D6E5C">
        <w:rPr>
          <w:rFonts w:ascii="Cambria" w:hAnsi="Cambria"/>
          <w:sz w:val="20"/>
          <w:szCs w:val="20"/>
        </w:rPr>
        <w:t xml:space="preserve"> </w:t>
      </w:r>
      <w:r w:rsidR="00752A08" w:rsidRPr="008D6E5C">
        <w:rPr>
          <w:rFonts w:ascii="Cambria" w:hAnsi="Cambria"/>
          <w:sz w:val="20"/>
          <w:szCs w:val="20"/>
        </w:rPr>
        <w:t>the absence of effective remedies is an additional source of suffering and distress for the</w:t>
      </w:r>
      <w:r w:rsidR="00FC5DC8" w:rsidRPr="008D6E5C">
        <w:rPr>
          <w:rFonts w:ascii="Cambria" w:hAnsi="Cambria"/>
          <w:sz w:val="20"/>
          <w:szCs w:val="20"/>
        </w:rPr>
        <w:t xml:space="preserve"> </w:t>
      </w:r>
      <w:r w:rsidR="001000C6" w:rsidRPr="008D6E5C">
        <w:rPr>
          <w:rFonts w:ascii="Cambria" w:hAnsi="Cambria"/>
          <w:sz w:val="20"/>
          <w:szCs w:val="20"/>
        </w:rPr>
        <w:t>relatives</w:t>
      </w:r>
      <w:r w:rsidR="00FC5DC8" w:rsidRPr="008D6E5C">
        <w:rPr>
          <w:rFonts w:ascii="Cambria" w:hAnsi="Cambria"/>
          <w:sz w:val="20"/>
          <w:szCs w:val="20"/>
        </w:rPr>
        <w:t xml:space="preserve"> </w:t>
      </w:r>
      <w:r w:rsidR="00752A08" w:rsidRPr="008D6E5C">
        <w:rPr>
          <w:rFonts w:ascii="Cambria" w:hAnsi="Cambria"/>
          <w:sz w:val="20"/>
          <w:szCs w:val="20"/>
        </w:rPr>
        <w:t>of victims</w:t>
      </w:r>
      <w:r w:rsidR="00FC5DC8" w:rsidRPr="008D6E5C">
        <w:rPr>
          <w:rFonts w:ascii="Cambria" w:hAnsi="Cambria"/>
          <w:sz w:val="20"/>
          <w:szCs w:val="20"/>
        </w:rPr>
        <w:t>.</w:t>
      </w:r>
    </w:p>
    <w:p w:rsidR="00FC5DC8" w:rsidRPr="008D6E5C" w:rsidRDefault="00FC5DC8" w:rsidP="001520DB">
      <w:pPr>
        <w:pStyle w:val="ListParagraph"/>
        <w:shd w:val="clear" w:color="auto" w:fill="FFFFFF"/>
        <w:jc w:val="both"/>
        <w:rPr>
          <w:sz w:val="20"/>
          <w:szCs w:val="20"/>
        </w:rPr>
      </w:pPr>
    </w:p>
    <w:p w:rsidR="00FC5DC8" w:rsidRPr="008D6E5C" w:rsidRDefault="00186520" w:rsidP="001E4690">
      <w:pPr>
        <w:widowControl w:val="0"/>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color w:val="000000"/>
          <w:sz w:val="20"/>
          <w:szCs w:val="20"/>
        </w:rPr>
        <w:t xml:space="preserve">The Court has also established in several cases that the right to freedom of movement and residence, protected under </w:t>
      </w:r>
      <w:r w:rsidR="004B0168" w:rsidRPr="008D6E5C">
        <w:rPr>
          <w:rFonts w:ascii="Cambria" w:hAnsi="Cambria"/>
          <w:sz w:val="20"/>
          <w:szCs w:val="20"/>
        </w:rPr>
        <w:t>Article</w:t>
      </w:r>
      <w:r w:rsidR="00033D44" w:rsidRPr="008D6E5C">
        <w:rPr>
          <w:rFonts w:ascii="Cambria" w:hAnsi="Cambria"/>
          <w:sz w:val="20"/>
          <w:szCs w:val="20"/>
        </w:rPr>
        <w:t xml:space="preserve"> 22(</w:t>
      </w:r>
      <w:r w:rsidR="00FC5DC8" w:rsidRPr="008D6E5C">
        <w:rPr>
          <w:rFonts w:ascii="Cambria" w:hAnsi="Cambria"/>
          <w:sz w:val="20"/>
          <w:szCs w:val="20"/>
        </w:rPr>
        <w:t>1</w:t>
      </w:r>
      <w:r w:rsidR="00033D44" w:rsidRPr="008D6E5C">
        <w:rPr>
          <w:rFonts w:ascii="Cambria" w:hAnsi="Cambria"/>
          <w:sz w:val="20"/>
          <w:szCs w:val="20"/>
        </w:rPr>
        <w:t>)</w:t>
      </w:r>
      <w:r w:rsidR="00FC5DC8" w:rsidRPr="008D6E5C">
        <w:rPr>
          <w:rFonts w:ascii="Cambria" w:hAnsi="Cambria"/>
          <w:sz w:val="20"/>
          <w:szCs w:val="20"/>
        </w:rPr>
        <w:t xml:space="preserve"> </w:t>
      </w:r>
      <w:r w:rsidR="004B0168" w:rsidRPr="008D6E5C">
        <w:rPr>
          <w:rFonts w:ascii="Cambria" w:hAnsi="Cambria"/>
          <w:sz w:val="20"/>
          <w:szCs w:val="20"/>
        </w:rPr>
        <w:t>of the American Convention</w:t>
      </w:r>
      <w:r w:rsidR="00FC5DC8" w:rsidRPr="008D6E5C">
        <w:rPr>
          <w:rFonts w:ascii="Cambria" w:hAnsi="Cambria"/>
          <w:sz w:val="20"/>
          <w:szCs w:val="20"/>
        </w:rPr>
        <w:t xml:space="preserve">, </w:t>
      </w:r>
      <w:r w:rsidRPr="008D6E5C">
        <w:rPr>
          <w:rFonts w:ascii="Cambria" w:hAnsi="Cambria"/>
          <w:sz w:val="20"/>
          <w:szCs w:val="20"/>
        </w:rPr>
        <w:t xml:space="preserve">is an essential condition for the free development of the person and includes, </w:t>
      </w:r>
      <w:r w:rsidR="00FC5DC8" w:rsidRPr="008D6E5C">
        <w:rPr>
          <w:rFonts w:ascii="Cambria" w:hAnsi="Cambria"/>
          <w:i/>
          <w:sz w:val="20"/>
          <w:szCs w:val="20"/>
        </w:rPr>
        <w:t>inter alia</w:t>
      </w:r>
      <w:r w:rsidR="00FC5DC8" w:rsidRPr="008D6E5C">
        <w:rPr>
          <w:rFonts w:ascii="Cambria" w:hAnsi="Cambria"/>
          <w:sz w:val="20"/>
          <w:szCs w:val="20"/>
        </w:rPr>
        <w:t xml:space="preserve">, </w:t>
      </w:r>
      <w:r w:rsidRPr="008D6E5C">
        <w:rPr>
          <w:rFonts w:ascii="Cambria" w:hAnsi="Cambria"/>
          <w:sz w:val="20"/>
          <w:szCs w:val="20"/>
        </w:rPr>
        <w:t xml:space="preserve">the right of </w:t>
      </w:r>
      <w:r w:rsidR="005A0C97" w:rsidRPr="008D6E5C">
        <w:rPr>
          <w:rFonts w:ascii="Cambria" w:hAnsi="Cambria"/>
          <w:sz w:val="20"/>
          <w:szCs w:val="20"/>
        </w:rPr>
        <w:t>individual</w:t>
      </w:r>
      <w:r w:rsidRPr="008D6E5C">
        <w:rPr>
          <w:rFonts w:ascii="Cambria" w:hAnsi="Cambria"/>
          <w:sz w:val="20"/>
          <w:szCs w:val="20"/>
        </w:rPr>
        <w:t xml:space="preserve"> who are in a State lawfully to circulate freely within it and to choose their place of residence. </w:t>
      </w:r>
      <w:r w:rsidR="00FC5DC8" w:rsidRPr="008D6E5C">
        <w:rPr>
          <w:rFonts w:ascii="Cambria" w:hAnsi="Cambria"/>
          <w:sz w:val="20"/>
          <w:szCs w:val="20"/>
        </w:rPr>
        <w:t xml:space="preserve"> </w:t>
      </w:r>
      <w:r w:rsidRPr="008D6E5C">
        <w:rPr>
          <w:rFonts w:ascii="Cambria" w:hAnsi="Cambria"/>
          <w:sz w:val="20"/>
          <w:szCs w:val="20"/>
        </w:rPr>
        <w:t xml:space="preserve">This right can be violated by laws or by </w:t>
      </w:r>
      <w:r w:rsidRPr="008D6E5C">
        <w:rPr>
          <w:rFonts w:ascii="Cambria" w:hAnsi="Cambria"/>
          <w:i/>
          <w:sz w:val="20"/>
          <w:szCs w:val="20"/>
        </w:rPr>
        <w:t>de facto</w:t>
      </w:r>
      <w:r w:rsidRPr="008D6E5C">
        <w:rPr>
          <w:rFonts w:ascii="Cambria" w:hAnsi="Cambria"/>
          <w:sz w:val="20"/>
          <w:szCs w:val="20"/>
        </w:rPr>
        <w:t xml:space="preserve"> restrictions when</w:t>
      </w:r>
      <w:r w:rsidR="00FC5DC8" w:rsidRPr="008D6E5C">
        <w:rPr>
          <w:rFonts w:ascii="Cambria" w:hAnsi="Cambria"/>
          <w:sz w:val="20"/>
          <w:szCs w:val="20"/>
        </w:rPr>
        <w:t xml:space="preserve"> </w:t>
      </w:r>
      <w:r w:rsidR="007A2CDF" w:rsidRPr="008D6E5C">
        <w:rPr>
          <w:rFonts w:ascii="Cambria" w:hAnsi="Cambria"/>
          <w:sz w:val="20"/>
          <w:szCs w:val="20"/>
        </w:rPr>
        <w:t>the State</w:t>
      </w:r>
      <w:r w:rsidR="00FC5DC8" w:rsidRPr="008D6E5C">
        <w:rPr>
          <w:rFonts w:ascii="Cambria" w:hAnsi="Cambria"/>
          <w:sz w:val="20"/>
          <w:szCs w:val="20"/>
        </w:rPr>
        <w:t xml:space="preserve"> </w:t>
      </w:r>
      <w:r w:rsidRPr="008D6E5C">
        <w:rPr>
          <w:rFonts w:ascii="Cambria" w:hAnsi="Cambria"/>
          <w:sz w:val="20"/>
          <w:szCs w:val="20"/>
        </w:rPr>
        <w:t>has not established the conditions or provided the means for its exercise.</w:t>
      </w:r>
      <w:r w:rsidR="00FC5DC8" w:rsidRPr="008D6E5C">
        <w:rPr>
          <w:rFonts w:ascii="Cambria" w:hAnsi="Cambria"/>
          <w:sz w:val="20"/>
          <w:szCs w:val="20"/>
        </w:rPr>
        <w:t xml:space="preserve"> </w:t>
      </w:r>
      <w:r w:rsidRPr="008D6E5C">
        <w:rPr>
          <w:rFonts w:ascii="Cambria" w:hAnsi="Cambria"/>
          <w:sz w:val="20"/>
          <w:szCs w:val="20"/>
        </w:rPr>
        <w:t xml:space="preserve">Such </w:t>
      </w:r>
      <w:r w:rsidR="00FC5DC8" w:rsidRPr="008D6E5C">
        <w:rPr>
          <w:rFonts w:ascii="Cambria" w:hAnsi="Cambria"/>
          <w:i/>
          <w:sz w:val="20"/>
          <w:szCs w:val="20"/>
        </w:rPr>
        <w:t xml:space="preserve">de facto </w:t>
      </w:r>
      <w:r w:rsidRPr="008D6E5C">
        <w:rPr>
          <w:rFonts w:ascii="Cambria" w:hAnsi="Cambria"/>
          <w:sz w:val="20"/>
          <w:szCs w:val="20"/>
        </w:rPr>
        <w:t>violations can occur when a person is the victim of</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Pr="008D6E5C">
        <w:rPr>
          <w:rFonts w:ascii="Cambria" w:hAnsi="Cambria"/>
          <w:sz w:val="20"/>
          <w:szCs w:val="20"/>
        </w:rPr>
        <w:t>or harassment and</w:t>
      </w:r>
      <w:r w:rsidR="00FC5DC8" w:rsidRPr="008D6E5C">
        <w:rPr>
          <w:rFonts w:ascii="Cambria" w:hAnsi="Cambria"/>
          <w:sz w:val="20"/>
          <w:szCs w:val="20"/>
        </w:rPr>
        <w:t xml:space="preserve"> </w:t>
      </w:r>
      <w:r w:rsidR="007A2CDF" w:rsidRPr="008D6E5C">
        <w:rPr>
          <w:rFonts w:ascii="Cambria" w:hAnsi="Cambria"/>
          <w:sz w:val="20"/>
          <w:szCs w:val="20"/>
        </w:rPr>
        <w:t>the State</w:t>
      </w:r>
      <w:r w:rsidR="00FC5DC8" w:rsidRPr="008D6E5C">
        <w:rPr>
          <w:rFonts w:ascii="Cambria" w:hAnsi="Cambria"/>
          <w:sz w:val="20"/>
          <w:szCs w:val="20"/>
        </w:rPr>
        <w:t xml:space="preserve"> </w:t>
      </w:r>
      <w:r w:rsidRPr="008D6E5C">
        <w:rPr>
          <w:rFonts w:ascii="Cambria" w:hAnsi="Cambria"/>
          <w:sz w:val="20"/>
          <w:szCs w:val="20"/>
        </w:rPr>
        <w:t>fails to provide the necessary guarantees so that he or she can travel and reside freely within the territory in question</w:t>
      </w:r>
      <w:r w:rsidR="001E31BC" w:rsidRPr="008D6E5C">
        <w:rPr>
          <w:rFonts w:ascii="Cambria" w:hAnsi="Cambria"/>
          <w:sz w:val="20"/>
          <w:szCs w:val="20"/>
        </w:rPr>
        <w:t>.</w:t>
      </w:r>
      <w:r w:rsidR="00FC5DC8" w:rsidRPr="008D6E5C">
        <w:rPr>
          <w:rStyle w:val="FootnoteReference"/>
          <w:rFonts w:ascii="Cambria" w:hAnsi="Cambria"/>
          <w:sz w:val="20"/>
          <w:szCs w:val="20"/>
        </w:rPr>
        <w:footnoteReference w:id="177"/>
      </w:r>
      <w:r w:rsidR="00FC5DC8" w:rsidRPr="008D6E5C">
        <w:rPr>
          <w:rFonts w:ascii="Cambria" w:hAnsi="Cambria"/>
          <w:sz w:val="20"/>
          <w:szCs w:val="20"/>
        </w:rPr>
        <w:t xml:space="preserve"> </w:t>
      </w:r>
      <w:r w:rsidRPr="008D6E5C">
        <w:rPr>
          <w:rFonts w:ascii="Cambria" w:hAnsi="Cambria"/>
          <w:sz w:val="20"/>
          <w:szCs w:val="20"/>
        </w:rPr>
        <w:t>The Court has similarly held that the lack of an effective investigation</w:t>
      </w:r>
      <w:r w:rsidR="005A0C97" w:rsidRPr="008D6E5C">
        <w:rPr>
          <w:rFonts w:ascii="Cambria" w:hAnsi="Cambria"/>
          <w:sz w:val="20"/>
          <w:szCs w:val="20"/>
        </w:rPr>
        <w:t xml:space="preserve"> into</w:t>
      </w:r>
      <w:r w:rsidRPr="008D6E5C">
        <w:rPr>
          <w:rFonts w:ascii="Cambria" w:hAnsi="Cambria"/>
          <w:sz w:val="20"/>
          <w:szCs w:val="20"/>
        </w:rPr>
        <w:t xml:space="preserve"> violent acts can cause or perpetuate exile or forced displacement</w:t>
      </w:r>
      <w:r w:rsidR="001E31BC" w:rsidRPr="008D6E5C">
        <w:rPr>
          <w:rFonts w:ascii="Cambria" w:hAnsi="Cambria"/>
          <w:sz w:val="20"/>
          <w:szCs w:val="20"/>
        </w:rPr>
        <w:t>.</w:t>
      </w:r>
      <w:r w:rsidR="00FC5DC8" w:rsidRPr="008D6E5C">
        <w:rPr>
          <w:rStyle w:val="FootnoteReference"/>
          <w:rFonts w:ascii="Cambria" w:hAnsi="Cambria"/>
          <w:sz w:val="20"/>
          <w:szCs w:val="20"/>
        </w:rPr>
        <w:footnoteReference w:id="178"/>
      </w:r>
    </w:p>
    <w:p w:rsidR="00FC5DC8" w:rsidRPr="008D6E5C" w:rsidRDefault="00FC5DC8" w:rsidP="001520DB">
      <w:pPr>
        <w:jc w:val="both"/>
        <w:rPr>
          <w:rFonts w:ascii="Cambria" w:hAnsi="Cambria"/>
          <w:color w:val="000000"/>
          <w:sz w:val="20"/>
          <w:szCs w:val="20"/>
        </w:rPr>
      </w:pPr>
    </w:p>
    <w:p w:rsidR="00FC5DC8" w:rsidRPr="008D6E5C" w:rsidRDefault="005A0C97"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lastRenderedPageBreak/>
        <w:t>Thus, for example, in the case of</w:t>
      </w:r>
      <w:r w:rsidR="00FC5DC8" w:rsidRPr="008D6E5C">
        <w:rPr>
          <w:rFonts w:ascii="Cambria" w:hAnsi="Cambria"/>
          <w:sz w:val="20"/>
          <w:szCs w:val="20"/>
        </w:rPr>
        <w:t xml:space="preserve"> </w:t>
      </w:r>
      <w:proofErr w:type="spellStart"/>
      <w:r w:rsidR="00FC5DC8" w:rsidRPr="008D6E5C">
        <w:rPr>
          <w:rFonts w:ascii="Cambria" w:hAnsi="Cambria"/>
          <w:i/>
          <w:sz w:val="20"/>
          <w:szCs w:val="20"/>
        </w:rPr>
        <w:t>Vélez</w:t>
      </w:r>
      <w:proofErr w:type="spellEnd"/>
      <w:r w:rsidR="00FC5DC8" w:rsidRPr="008D6E5C">
        <w:rPr>
          <w:rFonts w:ascii="Cambria" w:hAnsi="Cambria"/>
          <w:i/>
          <w:sz w:val="20"/>
          <w:szCs w:val="20"/>
        </w:rPr>
        <w:t xml:space="preserve"> </w:t>
      </w:r>
      <w:proofErr w:type="spellStart"/>
      <w:r w:rsidR="00FC5DC8" w:rsidRPr="008D6E5C">
        <w:rPr>
          <w:rFonts w:ascii="Cambria" w:hAnsi="Cambria"/>
          <w:i/>
          <w:sz w:val="20"/>
          <w:szCs w:val="20"/>
        </w:rPr>
        <w:t>Restrepo</w:t>
      </w:r>
      <w:proofErr w:type="spellEnd"/>
      <w:r w:rsidR="00FC5DC8" w:rsidRPr="008D6E5C">
        <w:rPr>
          <w:rFonts w:ascii="Cambria" w:hAnsi="Cambria"/>
          <w:i/>
          <w:sz w:val="20"/>
          <w:szCs w:val="20"/>
        </w:rPr>
        <w:t xml:space="preserve"> </w:t>
      </w:r>
      <w:r w:rsidR="0012782E" w:rsidRPr="008D6E5C">
        <w:rPr>
          <w:rFonts w:ascii="Cambria" w:hAnsi="Cambria"/>
          <w:i/>
          <w:sz w:val="20"/>
          <w:szCs w:val="20"/>
        </w:rPr>
        <w:t>et al. v.</w:t>
      </w:r>
      <w:r w:rsidR="00FC5DC8" w:rsidRPr="008D6E5C">
        <w:rPr>
          <w:rFonts w:ascii="Cambria" w:hAnsi="Cambria"/>
          <w:i/>
          <w:sz w:val="20"/>
          <w:szCs w:val="20"/>
        </w:rPr>
        <w:t xml:space="preserve"> Colombia</w:t>
      </w:r>
      <w:r w:rsidR="00FC5DC8" w:rsidRPr="008D6E5C">
        <w:rPr>
          <w:rFonts w:ascii="Cambria" w:hAnsi="Cambria"/>
          <w:sz w:val="20"/>
          <w:szCs w:val="20"/>
        </w:rPr>
        <w:t xml:space="preserve">, </w:t>
      </w:r>
      <w:r w:rsidR="004B0168" w:rsidRPr="008D6E5C">
        <w:rPr>
          <w:rFonts w:ascii="Cambria" w:hAnsi="Cambria"/>
          <w:sz w:val="20"/>
          <w:szCs w:val="20"/>
        </w:rPr>
        <w:t>the Inter-American Court</w:t>
      </w:r>
      <w:r w:rsidR="00FC5DC8" w:rsidRPr="008D6E5C">
        <w:rPr>
          <w:rFonts w:ascii="Cambria" w:hAnsi="Cambria"/>
          <w:sz w:val="20"/>
          <w:szCs w:val="20"/>
        </w:rPr>
        <w:t xml:space="preserve"> </w:t>
      </w:r>
      <w:r w:rsidRPr="008D6E5C">
        <w:rPr>
          <w:rFonts w:ascii="Cambria" w:hAnsi="Cambria"/>
          <w:sz w:val="20"/>
          <w:szCs w:val="20"/>
        </w:rPr>
        <w:t>found that photographer</w:t>
      </w:r>
      <w:r w:rsidR="00FC5DC8" w:rsidRPr="008D6E5C">
        <w:rPr>
          <w:rFonts w:ascii="Cambria" w:hAnsi="Cambria"/>
          <w:sz w:val="20"/>
          <w:szCs w:val="20"/>
        </w:rPr>
        <w:t xml:space="preserve"> </w:t>
      </w:r>
      <w:proofErr w:type="spellStart"/>
      <w:r w:rsidR="00FC5DC8" w:rsidRPr="008D6E5C">
        <w:rPr>
          <w:rFonts w:ascii="Cambria" w:hAnsi="Cambria"/>
          <w:sz w:val="20"/>
          <w:szCs w:val="20"/>
        </w:rPr>
        <w:t>Vélez</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Restrepo</w:t>
      </w:r>
      <w:proofErr w:type="spellEnd"/>
      <w:r w:rsidR="00FC5DC8" w:rsidRPr="008D6E5C">
        <w:rPr>
          <w:rFonts w:ascii="Cambria" w:hAnsi="Cambria"/>
          <w:sz w:val="20"/>
          <w:szCs w:val="20"/>
        </w:rPr>
        <w:t xml:space="preserve"> </w:t>
      </w:r>
      <w:r w:rsidRPr="008D6E5C">
        <w:rPr>
          <w:rFonts w:ascii="Cambria" w:hAnsi="Cambria"/>
          <w:sz w:val="20"/>
          <w:szCs w:val="20"/>
        </w:rPr>
        <w:t>and his family</w:t>
      </w:r>
      <w:r w:rsidR="00FC5DC8" w:rsidRPr="008D6E5C">
        <w:rPr>
          <w:rFonts w:ascii="Cambria" w:hAnsi="Cambria"/>
          <w:sz w:val="20"/>
          <w:szCs w:val="20"/>
        </w:rPr>
        <w:t xml:space="preserve"> </w:t>
      </w:r>
      <w:r w:rsidRPr="008D6E5C">
        <w:rPr>
          <w:rFonts w:ascii="Cambria" w:hAnsi="Cambria"/>
          <w:sz w:val="20"/>
          <w:szCs w:val="20"/>
        </w:rPr>
        <w:t xml:space="preserve">were subject to </w:t>
      </w:r>
      <w:r w:rsidRPr="008D6E5C">
        <w:rPr>
          <w:rFonts w:ascii="Cambria" w:hAnsi="Cambria"/>
          <w:i/>
          <w:sz w:val="20"/>
          <w:szCs w:val="20"/>
        </w:rPr>
        <w:t>de facto</w:t>
      </w:r>
      <w:r w:rsidRPr="008D6E5C">
        <w:rPr>
          <w:rFonts w:ascii="Cambria" w:hAnsi="Cambria"/>
          <w:sz w:val="20"/>
          <w:szCs w:val="20"/>
        </w:rPr>
        <w:t xml:space="preserve"> restrictions to their right of freedom of movement and residence, </w:t>
      </w:r>
      <w:r w:rsidR="00FC5DC8" w:rsidRPr="008D6E5C">
        <w:rPr>
          <w:rFonts w:ascii="Cambria" w:hAnsi="Cambria"/>
          <w:sz w:val="20"/>
          <w:szCs w:val="20"/>
        </w:rPr>
        <w:t>“</w:t>
      </w:r>
      <w:r w:rsidR="00E35E3E" w:rsidRPr="008D6E5C">
        <w:rPr>
          <w:rFonts w:ascii="Cambria" w:hAnsi="Cambria"/>
          <w:sz w:val="20"/>
          <w:szCs w:val="20"/>
        </w:rPr>
        <w:t xml:space="preserve">because the State’s omission to guarantee the right to personal integrity of Mr. </w:t>
      </w:r>
      <w:proofErr w:type="spellStart"/>
      <w:r w:rsidR="00E35E3E" w:rsidRPr="008D6E5C">
        <w:rPr>
          <w:rFonts w:ascii="Cambria" w:hAnsi="Cambria"/>
          <w:sz w:val="20"/>
          <w:szCs w:val="20"/>
        </w:rPr>
        <w:t>Vélez</w:t>
      </w:r>
      <w:proofErr w:type="spellEnd"/>
      <w:r w:rsidR="00E35E3E" w:rsidRPr="008D6E5C">
        <w:rPr>
          <w:rFonts w:ascii="Cambria" w:hAnsi="Cambria"/>
          <w:sz w:val="20"/>
          <w:szCs w:val="20"/>
        </w:rPr>
        <w:t xml:space="preserve"> </w:t>
      </w:r>
      <w:proofErr w:type="spellStart"/>
      <w:r w:rsidR="00E35E3E" w:rsidRPr="008D6E5C">
        <w:rPr>
          <w:rFonts w:ascii="Cambria" w:hAnsi="Cambria"/>
          <w:sz w:val="20"/>
          <w:szCs w:val="20"/>
        </w:rPr>
        <w:t>Restrepo</w:t>
      </w:r>
      <w:proofErr w:type="spellEnd"/>
      <w:r w:rsidR="00E35E3E" w:rsidRPr="008D6E5C">
        <w:rPr>
          <w:rFonts w:ascii="Cambria" w:hAnsi="Cambria"/>
          <w:sz w:val="20"/>
          <w:szCs w:val="20"/>
        </w:rPr>
        <w:t xml:space="preserve"> and his family, by the investigation together with opportune measures of protection or prevention […], gave rise to great insecurity and their well-founded fear that their life and personal integrity were at risk of being violated if they remained in Colombia, which led to their exile.</w:t>
      </w:r>
      <w:r w:rsidR="00FC5DC8" w:rsidRPr="008D6E5C">
        <w:rPr>
          <w:rFonts w:ascii="Cambria" w:hAnsi="Cambria"/>
          <w:sz w:val="20"/>
          <w:szCs w:val="20"/>
        </w:rPr>
        <w:t>”</w:t>
      </w:r>
      <w:r w:rsidR="00FC5DC8" w:rsidRPr="008D6E5C">
        <w:rPr>
          <w:rStyle w:val="FootnoteReference"/>
          <w:rFonts w:ascii="Cambria" w:hAnsi="Cambria"/>
          <w:sz w:val="20"/>
          <w:szCs w:val="20"/>
        </w:rPr>
        <w:footnoteReference w:id="179"/>
      </w:r>
      <w:r w:rsidR="00FC5DC8" w:rsidRPr="008D6E5C">
        <w:rPr>
          <w:rFonts w:ascii="Cambria" w:hAnsi="Cambria"/>
          <w:sz w:val="20"/>
          <w:szCs w:val="20"/>
        </w:rPr>
        <w:t xml:space="preserve"> </w:t>
      </w:r>
      <w:r w:rsidR="006C7C87" w:rsidRPr="008D6E5C">
        <w:rPr>
          <w:rFonts w:ascii="Cambria" w:hAnsi="Cambria"/>
          <w:sz w:val="20"/>
          <w:szCs w:val="20"/>
        </w:rPr>
        <w:t>Similarly, in the case of</w:t>
      </w:r>
      <w:r w:rsidR="00FC5DC8" w:rsidRPr="008D6E5C">
        <w:rPr>
          <w:rFonts w:ascii="Cambria" w:hAnsi="Cambria"/>
          <w:sz w:val="20"/>
          <w:szCs w:val="20"/>
        </w:rPr>
        <w:t xml:space="preserve"> </w:t>
      </w:r>
      <w:r w:rsidR="006C7C87" w:rsidRPr="008D6E5C">
        <w:rPr>
          <w:rFonts w:ascii="Cambria" w:hAnsi="Cambria"/>
          <w:i/>
          <w:sz w:val="20"/>
          <w:szCs w:val="20"/>
        </w:rPr>
        <w:t>Valle Jaramillo et al. v. Colombia</w:t>
      </w:r>
      <w:r w:rsidR="00FC5DC8" w:rsidRPr="008D6E5C">
        <w:rPr>
          <w:rFonts w:ascii="Cambria" w:hAnsi="Cambria"/>
          <w:sz w:val="20"/>
          <w:szCs w:val="20"/>
        </w:rPr>
        <w:t xml:space="preserve">, </w:t>
      </w:r>
      <w:r w:rsidR="006C7C87" w:rsidRPr="008D6E5C">
        <w:rPr>
          <w:rFonts w:ascii="Cambria" w:hAnsi="Cambria"/>
          <w:sz w:val="20"/>
          <w:szCs w:val="20"/>
        </w:rPr>
        <w:t>the Court found a violation of</w:t>
      </w:r>
      <w:r w:rsidR="00FC5DC8" w:rsidRPr="008D6E5C">
        <w:rPr>
          <w:rFonts w:ascii="Cambria" w:hAnsi="Cambria"/>
          <w:sz w:val="20"/>
          <w:szCs w:val="20"/>
        </w:rPr>
        <w:t xml:space="preserve"> </w:t>
      </w:r>
      <w:r w:rsidR="00033D44" w:rsidRPr="008D6E5C">
        <w:rPr>
          <w:rFonts w:ascii="Cambria" w:hAnsi="Cambria"/>
          <w:sz w:val="20"/>
          <w:szCs w:val="20"/>
        </w:rPr>
        <w:t>Article 22(1)</w:t>
      </w:r>
      <w:r w:rsidR="00FC5DC8" w:rsidRPr="008D6E5C">
        <w:rPr>
          <w:rFonts w:ascii="Cambria" w:hAnsi="Cambria"/>
          <w:sz w:val="20"/>
          <w:szCs w:val="20"/>
        </w:rPr>
        <w:t xml:space="preserve"> </w:t>
      </w:r>
      <w:r w:rsidR="004B0168" w:rsidRPr="008D6E5C">
        <w:rPr>
          <w:rFonts w:ascii="Cambria" w:hAnsi="Cambria"/>
          <w:sz w:val="20"/>
          <w:szCs w:val="20"/>
        </w:rPr>
        <w:t>of the Convention</w:t>
      </w:r>
      <w:r w:rsidR="00FC5DC8" w:rsidRPr="008D6E5C">
        <w:rPr>
          <w:rFonts w:ascii="Cambria" w:hAnsi="Cambria"/>
          <w:sz w:val="20"/>
          <w:szCs w:val="20"/>
        </w:rPr>
        <w:t xml:space="preserve"> </w:t>
      </w:r>
      <w:r w:rsidR="006C7C87" w:rsidRPr="008D6E5C">
        <w:rPr>
          <w:rFonts w:ascii="Cambria" w:hAnsi="Cambria"/>
          <w:sz w:val="20"/>
          <w:szCs w:val="20"/>
        </w:rPr>
        <w:t>with respect to several individuals who were forced to go into exile,</w:t>
      </w:r>
      <w:r w:rsidR="00FC5DC8" w:rsidRPr="008D6E5C">
        <w:rPr>
          <w:rFonts w:ascii="Cambria" w:hAnsi="Cambria"/>
          <w:sz w:val="20"/>
          <w:szCs w:val="20"/>
        </w:rPr>
        <w:t xml:space="preserve"> “</w:t>
      </w:r>
      <w:r w:rsidR="00E35E3E" w:rsidRPr="008D6E5C">
        <w:rPr>
          <w:rFonts w:ascii="Cambria" w:hAnsi="Cambria"/>
          <w:sz w:val="20"/>
          <w:szCs w:val="20"/>
        </w:rPr>
        <w:t>without being able or wanting to return home owing to a well-founded fear of persecution</w:t>
      </w:r>
      <w:r w:rsidR="001E31BC" w:rsidRPr="008D6E5C">
        <w:rPr>
          <w:rFonts w:ascii="Cambria" w:hAnsi="Cambria"/>
          <w:sz w:val="20"/>
          <w:szCs w:val="20"/>
        </w:rPr>
        <w:t>.</w:t>
      </w:r>
      <w:r w:rsidR="00FC5DC8" w:rsidRPr="008D6E5C">
        <w:rPr>
          <w:rFonts w:ascii="Cambria" w:hAnsi="Cambria"/>
          <w:sz w:val="20"/>
          <w:szCs w:val="20"/>
        </w:rPr>
        <w:t>”</w:t>
      </w:r>
      <w:r w:rsidR="00FC5DC8" w:rsidRPr="008D6E5C">
        <w:rPr>
          <w:rFonts w:ascii="Cambria" w:hAnsi="Cambria"/>
          <w:sz w:val="20"/>
          <w:szCs w:val="20"/>
          <w:vertAlign w:val="superscript"/>
        </w:rPr>
        <w:footnoteReference w:id="180"/>
      </w:r>
      <w:r w:rsidR="001E31BC" w:rsidRPr="008D6E5C">
        <w:rPr>
          <w:rFonts w:ascii="Cambria" w:hAnsi="Cambria"/>
          <w:sz w:val="20"/>
          <w:szCs w:val="20"/>
        </w:rPr>
        <w:t xml:space="preserve"> </w:t>
      </w:r>
      <w:r w:rsidR="006C7C87" w:rsidRPr="008D6E5C">
        <w:rPr>
          <w:rFonts w:ascii="Cambria" w:hAnsi="Cambria"/>
          <w:sz w:val="20"/>
          <w:szCs w:val="20"/>
        </w:rPr>
        <w:t>In the case of</w:t>
      </w:r>
      <w:r w:rsidR="00FC5DC8" w:rsidRPr="008D6E5C">
        <w:rPr>
          <w:rFonts w:ascii="Cambria" w:hAnsi="Cambria"/>
          <w:sz w:val="20"/>
          <w:szCs w:val="20"/>
        </w:rPr>
        <w:t xml:space="preserve"> </w:t>
      </w:r>
      <w:r w:rsidR="00FC5DC8" w:rsidRPr="008D6E5C">
        <w:rPr>
          <w:rFonts w:ascii="Cambria" w:hAnsi="Cambria"/>
          <w:i/>
          <w:sz w:val="20"/>
          <w:szCs w:val="20"/>
        </w:rPr>
        <w:t xml:space="preserve">Manuel </w:t>
      </w:r>
      <w:proofErr w:type="spellStart"/>
      <w:r w:rsidR="00FC5DC8" w:rsidRPr="008D6E5C">
        <w:rPr>
          <w:rFonts w:ascii="Cambria" w:hAnsi="Cambria"/>
          <w:i/>
          <w:sz w:val="20"/>
          <w:szCs w:val="20"/>
        </w:rPr>
        <w:t>Cepeda</w:t>
      </w:r>
      <w:proofErr w:type="spellEnd"/>
      <w:r w:rsidR="00FC5DC8" w:rsidRPr="008D6E5C">
        <w:rPr>
          <w:rFonts w:ascii="Cambria" w:hAnsi="Cambria"/>
          <w:i/>
          <w:sz w:val="20"/>
          <w:szCs w:val="20"/>
        </w:rPr>
        <w:t xml:space="preserve"> Vargas </w:t>
      </w:r>
      <w:r w:rsidR="006C7C87" w:rsidRPr="008D6E5C">
        <w:rPr>
          <w:rFonts w:ascii="Cambria" w:hAnsi="Cambria"/>
          <w:i/>
          <w:sz w:val="20"/>
          <w:szCs w:val="20"/>
        </w:rPr>
        <w:t xml:space="preserve">v. </w:t>
      </w:r>
      <w:r w:rsidR="00FC5DC8" w:rsidRPr="008D6E5C">
        <w:rPr>
          <w:rFonts w:ascii="Cambria" w:hAnsi="Cambria"/>
          <w:i/>
          <w:sz w:val="20"/>
          <w:szCs w:val="20"/>
        </w:rPr>
        <w:t>Colombia</w:t>
      </w:r>
      <w:r w:rsidR="00FC5DC8" w:rsidRPr="008D6E5C">
        <w:rPr>
          <w:rFonts w:ascii="Cambria" w:hAnsi="Cambria"/>
          <w:sz w:val="20"/>
          <w:szCs w:val="20"/>
        </w:rPr>
        <w:t xml:space="preserve">, </w:t>
      </w:r>
      <w:r w:rsidR="006C7C87" w:rsidRPr="008D6E5C">
        <w:rPr>
          <w:rFonts w:ascii="Cambria" w:hAnsi="Cambria"/>
          <w:sz w:val="20"/>
          <w:szCs w:val="20"/>
        </w:rPr>
        <w:t>the Court ruled that the temporary exile of the victim’s</w:t>
      </w:r>
      <w:r w:rsidR="00FC5DC8" w:rsidRPr="008D6E5C">
        <w:rPr>
          <w:rFonts w:ascii="Cambria" w:hAnsi="Cambria"/>
          <w:sz w:val="20"/>
          <w:szCs w:val="20"/>
        </w:rPr>
        <w:t xml:space="preserve"> </w:t>
      </w:r>
      <w:r w:rsidR="001000C6" w:rsidRPr="008D6E5C">
        <w:rPr>
          <w:rFonts w:ascii="Cambria" w:hAnsi="Cambria"/>
          <w:sz w:val="20"/>
          <w:szCs w:val="20"/>
        </w:rPr>
        <w:t>relatives</w:t>
      </w:r>
      <w:r w:rsidR="006C7C87" w:rsidRPr="008D6E5C">
        <w:rPr>
          <w:rFonts w:ascii="Cambria" w:hAnsi="Cambria"/>
          <w:sz w:val="20"/>
          <w:szCs w:val="20"/>
        </w:rPr>
        <w:t xml:space="preserve"> on account of </w:t>
      </w:r>
      <w:r w:rsidR="00EF5F24" w:rsidRPr="008D6E5C">
        <w:rPr>
          <w:rFonts w:ascii="Cambria" w:hAnsi="Cambria"/>
          <w:sz w:val="20"/>
          <w:szCs w:val="20"/>
        </w:rPr>
        <w:t>threats</w:t>
      </w:r>
      <w:r w:rsidR="00FC5DC8" w:rsidRPr="008D6E5C">
        <w:rPr>
          <w:rFonts w:ascii="Cambria" w:hAnsi="Cambria"/>
          <w:sz w:val="20"/>
          <w:szCs w:val="20"/>
        </w:rPr>
        <w:t xml:space="preserve"> </w:t>
      </w:r>
      <w:r w:rsidR="006C7C87" w:rsidRPr="008D6E5C">
        <w:rPr>
          <w:rFonts w:ascii="Cambria" w:hAnsi="Cambria"/>
          <w:sz w:val="20"/>
          <w:szCs w:val="20"/>
        </w:rPr>
        <w:t>they received in connection to their search for justice</w:t>
      </w:r>
      <w:r w:rsidR="00FC5DC8" w:rsidRPr="008D6E5C">
        <w:rPr>
          <w:rFonts w:ascii="Cambria" w:hAnsi="Cambria"/>
          <w:sz w:val="20"/>
          <w:szCs w:val="20"/>
        </w:rPr>
        <w:t xml:space="preserve"> </w:t>
      </w:r>
      <w:r w:rsidR="006C7C87" w:rsidRPr="008D6E5C">
        <w:rPr>
          <w:rFonts w:ascii="Cambria" w:hAnsi="Cambria"/>
          <w:sz w:val="20"/>
          <w:szCs w:val="20"/>
        </w:rPr>
        <w:t>was a violation</w:t>
      </w:r>
      <w:r w:rsidR="00DA62FD" w:rsidRPr="008D6E5C">
        <w:rPr>
          <w:rFonts w:ascii="Cambria" w:hAnsi="Cambria"/>
          <w:sz w:val="20"/>
          <w:szCs w:val="20"/>
        </w:rPr>
        <w:t xml:space="preserve"> of </w:t>
      </w:r>
      <w:r w:rsidR="004B0168" w:rsidRPr="008D6E5C">
        <w:rPr>
          <w:rFonts w:ascii="Cambria" w:hAnsi="Cambria"/>
          <w:sz w:val="20"/>
          <w:szCs w:val="20"/>
        </w:rPr>
        <w:t>Article</w:t>
      </w:r>
      <w:r w:rsidR="00FC5DC8" w:rsidRPr="008D6E5C">
        <w:rPr>
          <w:rFonts w:ascii="Cambria" w:hAnsi="Cambria"/>
          <w:sz w:val="20"/>
          <w:szCs w:val="20"/>
        </w:rPr>
        <w:t xml:space="preserve"> 22 </w:t>
      </w:r>
      <w:r w:rsidR="004B0168" w:rsidRPr="008D6E5C">
        <w:rPr>
          <w:rFonts w:ascii="Cambria" w:hAnsi="Cambria"/>
          <w:sz w:val="20"/>
          <w:szCs w:val="20"/>
        </w:rPr>
        <w:t>of the Convention</w:t>
      </w:r>
      <w:r w:rsidR="00FC5DC8" w:rsidRPr="008D6E5C">
        <w:rPr>
          <w:rFonts w:ascii="Cambria" w:hAnsi="Cambria"/>
          <w:sz w:val="20"/>
          <w:szCs w:val="20"/>
        </w:rPr>
        <w:t xml:space="preserve">. </w:t>
      </w:r>
    </w:p>
    <w:p w:rsidR="00FC5DC8" w:rsidRPr="008D6E5C" w:rsidRDefault="00FC5DC8" w:rsidP="001520DB">
      <w:pPr>
        <w:jc w:val="both"/>
        <w:rPr>
          <w:rFonts w:ascii="Cambria" w:hAnsi="Cambria"/>
          <w:sz w:val="20"/>
          <w:szCs w:val="20"/>
        </w:rPr>
      </w:pPr>
    </w:p>
    <w:p w:rsidR="00FC5DC8" w:rsidRPr="008D6E5C" w:rsidRDefault="00E35E3E"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sz w:val="20"/>
          <w:szCs w:val="20"/>
        </w:rPr>
        <w:t>In light of those judgments and in the application of the principle of</w:t>
      </w:r>
      <w:r w:rsidR="00FC5DC8" w:rsidRPr="008D6E5C">
        <w:rPr>
          <w:rFonts w:ascii="Cambria" w:hAnsi="Cambria"/>
          <w:sz w:val="20"/>
          <w:szCs w:val="20"/>
        </w:rPr>
        <w:t xml:space="preserve"> </w:t>
      </w:r>
      <w:proofErr w:type="spellStart"/>
      <w:r w:rsidR="00FC5DC8" w:rsidRPr="008D6E5C">
        <w:rPr>
          <w:rFonts w:ascii="Cambria" w:hAnsi="Cambria"/>
          <w:i/>
          <w:sz w:val="20"/>
          <w:szCs w:val="20"/>
        </w:rPr>
        <w:t>iura</w:t>
      </w:r>
      <w:proofErr w:type="spellEnd"/>
      <w:r w:rsidR="00FC5DC8" w:rsidRPr="008D6E5C">
        <w:rPr>
          <w:rFonts w:ascii="Cambria" w:hAnsi="Cambria"/>
          <w:i/>
          <w:sz w:val="20"/>
          <w:szCs w:val="20"/>
        </w:rPr>
        <w:t xml:space="preserve"> </w:t>
      </w:r>
      <w:proofErr w:type="spellStart"/>
      <w:r w:rsidR="00FC5DC8" w:rsidRPr="008D6E5C">
        <w:rPr>
          <w:rFonts w:ascii="Cambria" w:hAnsi="Cambria"/>
          <w:i/>
          <w:sz w:val="20"/>
          <w:szCs w:val="20"/>
        </w:rPr>
        <w:t>novit</w:t>
      </w:r>
      <w:proofErr w:type="spellEnd"/>
      <w:r w:rsidR="00FC5DC8" w:rsidRPr="008D6E5C">
        <w:rPr>
          <w:rFonts w:ascii="Cambria" w:hAnsi="Cambria"/>
          <w:i/>
          <w:sz w:val="20"/>
          <w:szCs w:val="20"/>
        </w:rPr>
        <w:t xml:space="preserve"> curia</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Pr="008D6E5C">
        <w:rPr>
          <w:rFonts w:ascii="Cambria" w:hAnsi="Cambria"/>
          <w:sz w:val="20"/>
          <w:szCs w:val="20"/>
        </w:rPr>
        <w:t>finds that it is warranted in this case to examine the infringement of the right to</w:t>
      </w:r>
      <w:r w:rsidR="00FC5DC8" w:rsidRPr="008D6E5C">
        <w:rPr>
          <w:rFonts w:ascii="Cambria" w:hAnsi="Cambria"/>
          <w:sz w:val="20"/>
          <w:szCs w:val="20"/>
        </w:rPr>
        <w:t xml:space="preserve"> </w:t>
      </w:r>
      <w:r w:rsidRPr="008D6E5C">
        <w:rPr>
          <w:rFonts w:ascii="Cambria" w:hAnsi="Cambria"/>
          <w:sz w:val="20"/>
          <w:szCs w:val="20"/>
        </w:rPr>
        <w:t>humane treatment and the right to freedom of movement and residence established in</w:t>
      </w:r>
      <w:r w:rsidR="00FC5DC8" w:rsidRPr="008D6E5C">
        <w:rPr>
          <w:rFonts w:ascii="Cambria" w:hAnsi="Cambria"/>
          <w:sz w:val="20"/>
          <w:szCs w:val="20"/>
        </w:rPr>
        <w:t xml:space="preserve"> </w:t>
      </w:r>
      <w:r w:rsidR="00033D44" w:rsidRPr="008D6E5C">
        <w:rPr>
          <w:rFonts w:ascii="Cambria" w:hAnsi="Cambria"/>
          <w:sz w:val="20"/>
          <w:szCs w:val="20"/>
        </w:rPr>
        <w:t>Articles 5(1) and 22(1)</w:t>
      </w:r>
      <w:r w:rsidR="00FC5DC8" w:rsidRPr="008D6E5C">
        <w:rPr>
          <w:rFonts w:ascii="Cambria" w:hAnsi="Cambria"/>
          <w:sz w:val="20"/>
          <w:szCs w:val="20"/>
        </w:rPr>
        <w:t xml:space="preserve"> </w:t>
      </w:r>
      <w:r w:rsidR="004B0168" w:rsidRPr="008D6E5C">
        <w:rPr>
          <w:rFonts w:ascii="Cambria" w:hAnsi="Cambria"/>
          <w:sz w:val="20"/>
          <w:szCs w:val="20"/>
        </w:rPr>
        <w:t>of the American Convention</w:t>
      </w:r>
      <w:r w:rsidR="00FC5DC8" w:rsidRPr="008D6E5C">
        <w:rPr>
          <w:rFonts w:ascii="Cambria" w:hAnsi="Cambria"/>
          <w:sz w:val="20"/>
          <w:szCs w:val="20"/>
        </w:rPr>
        <w:t xml:space="preserve">. </w:t>
      </w:r>
      <w:r w:rsidRPr="008D6E5C">
        <w:rPr>
          <w:rFonts w:ascii="Cambria" w:hAnsi="Cambria"/>
          <w:sz w:val="20"/>
          <w:szCs w:val="20"/>
        </w:rPr>
        <w:t xml:space="preserve">In </w:t>
      </w:r>
      <w:r w:rsidR="00F93CCA" w:rsidRPr="008D6E5C">
        <w:rPr>
          <w:rFonts w:ascii="Cambria" w:hAnsi="Cambria"/>
          <w:sz w:val="20"/>
          <w:szCs w:val="20"/>
        </w:rPr>
        <w:t>making this assertion</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001766CB" w:rsidRPr="008D6E5C">
        <w:rPr>
          <w:rFonts w:ascii="Cambria" w:hAnsi="Cambria"/>
          <w:sz w:val="20"/>
          <w:szCs w:val="20"/>
        </w:rPr>
        <w:t>observes that</w:t>
      </w:r>
      <w:r w:rsidR="00FC5DC8" w:rsidRPr="008D6E5C">
        <w:rPr>
          <w:rFonts w:ascii="Cambria" w:hAnsi="Cambria"/>
          <w:sz w:val="20"/>
          <w:szCs w:val="20"/>
        </w:rPr>
        <w:t xml:space="preserve"> </w:t>
      </w:r>
      <w:r w:rsidRPr="008D6E5C">
        <w:rPr>
          <w:rFonts w:ascii="Cambria" w:hAnsi="Cambria"/>
          <w:sz w:val="20"/>
          <w:szCs w:val="20"/>
        </w:rPr>
        <w:t>although its admissibility report did not address the alleged violation of</w:t>
      </w:r>
      <w:r w:rsidR="00FC5DC8" w:rsidRPr="008D6E5C">
        <w:rPr>
          <w:rFonts w:ascii="Cambria" w:hAnsi="Cambria"/>
          <w:sz w:val="20"/>
          <w:szCs w:val="20"/>
        </w:rPr>
        <w:t xml:space="preserve"> </w:t>
      </w:r>
      <w:r w:rsidR="00033D44" w:rsidRPr="008D6E5C">
        <w:rPr>
          <w:rFonts w:ascii="Cambria" w:hAnsi="Cambria"/>
          <w:sz w:val="20"/>
          <w:szCs w:val="20"/>
        </w:rPr>
        <w:t>Articles 5(1) and 22(1)</w:t>
      </w:r>
      <w:r w:rsidR="00FC5DC8" w:rsidRPr="008D6E5C">
        <w:rPr>
          <w:rFonts w:ascii="Cambria" w:hAnsi="Cambria"/>
          <w:sz w:val="20"/>
          <w:szCs w:val="20"/>
        </w:rPr>
        <w:t xml:space="preserve">, </w:t>
      </w:r>
      <w:r w:rsidRPr="008D6E5C">
        <w:rPr>
          <w:rFonts w:ascii="Cambria" w:hAnsi="Cambria"/>
          <w:sz w:val="20"/>
          <w:szCs w:val="20"/>
        </w:rPr>
        <w:t xml:space="preserve">the facts supporting these violations are an integral and essential part of the case and, moreover, </w:t>
      </w:r>
      <w:r w:rsidR="00F93CCA" w:rsidRPr="008D6E5C">
        <w:rPr>
          <w:rFonts w:ascii="Cambria" w:hAnsi="Cambria"/>
          <w:sz w:val="20"/>
          <w:szCs w:val="20"/>
        </w:rPr>
        <w:t xml:space="preserve">they </w:t>
      </w:r>
      <w:r w:rsidRPr="008D6E5C">
        <w:rPr>
          <w:rFonts w:ascii="Cambria" w:hAnsi="Cambria"/>
          <w:sz w:val="20"/>
          <w:szCs w:val="20"/>
        </w:rPr>
        <w:t xml:space="preserve">arise from the information and documents provided by the parties over the course of the proceedings before </w:t>
      </w:r>
      <w:r w:rsidR="00DF44C8" w:rsidRPr="008D6E5C">
        <w:rPr>
          <w:rFonts w:ascii="Cambria" w:hAnsi="Cambria"/>
          <w:sz w:val="20"/>
          <w:szCs w:val="20"/>
        </w:rPr>
        <w:t>the IACHR</w:t>
      </w:r>
      <w:r w:rsidR="00FC5DC8" w:rsidRPr="008D6E5C">
        <w:rPr>
          <w:rFonts w:ascii="Cambria" w:hAnsi="Cambria"/>
          <w:sz w:val="20"/>
          <w:szCs w:val="20"/>
        </w:rPr>
        <w:t xml:space="preserve">. </w:t>
      </w:r>
    </w:p>
    <w:p w:rsidR="00FC5DC8" w:rsidRPr="008D6E5C" w:rsidRDefault="00FC5DC8" w:rsidP="001520DB">
      <w:pPr>
        <w:pStyle w:val="ListParagraph"/>
        <w:rPr>
          <w:sz w:val="20"/>
          <w:szCs w:val="20"/>
        </w:rPr>
      </w:pPr>
    </w:p>
    <w:p w:rsidR="00BC6A25" w:rsidRPr="008D6E5C" w:rsidRDefault="00430783"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With respect to the violation of the</w:t>
      </w:r>
      <w:r w:rsidR="00FC5DC8" w:rsidRPr="008D6E5C">
        <w:rPr>
          <w:rFonts w:ascii="Cambria" w:hAnsi="Cambria"/>
          <w:sz w:val="20"/>
          <w:szCs w:val="20"/>
        </w:rPr>
        <w:t xml:space="preserve"> </w:t>
      </w:r>
      <w:r w:rsidR="00E35E3E" w:rsidRPr="008D6E5C">
        <w:rPr>
          <w:rFonts w:ascii="Cambria" w:hAnsi="Cambria"/>
          <w:sz w:val="20"/>
          <w:szCs w:val="20"/>
        </w:rPr>
        <w:t>right to humane treatment</w:t>
      </w:r>
      <w:r w:rsidR="00FC5DC8" w:rsidRPr="008D6E5C">
        <w:rPr>
          <w:rFonts w:ascii="Cambria" w:hAnsi="Cambria"/>
          <w:sz w:val="20"/>
          <w:szCs w:val="20"/>
        </w:rPr>
        <w:t xml:space="preserve"> </w:t>
      </w:r>
      <w:r w:rsidRPr="008D6E5C">
        <w:rPr>
          <w:rFonts w:ascii="Cambria" w:hAnsi="Cambria"/>
          <w:sz w:val="20"/>
          <w:szCs w:val="20"/>
        </w:rPr>
        <w:t>of the</w:t>
      </w:r>
      <w:r w:rsidR="00FC5DC8" w:rsidRPr="008D6E5C">
        <w:rPr>
          <w:rFonts w:ascii="Cambria" w:hAnsi="Cambria"/>
          <w:sz w:val="20"/>
          <w:szCs w:val="20"/>
        </w:rPr>
        <w:t xml:space="preserve"> </w:t>
      </w:r>
      <w:r w:rsidR="00D1708C" w:rsidRPr="008D6E5C">
        <w:rPr>
          <w:rFonts w:ascii="Cambria" w:hAnsi="Cambria"/>
          <w:sz w:val="20"/>
          <w:szCs w:val="20"/>
        </w:rPr>
        <w:t>relatives of Nelson</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DF44C8" w:rsidRPr="008D6E5C">
        <w:rPr>
          <w:rFonts w:ascii="Cambria" w:hAnsi="Cambria"/>
          <w:sz w:val="20"/>
          <w:szCs w:val="20"/>
        </w:rPr>
        <w:t>the Commission</w:t>
      </w:r>
      <w:r w:rsidR="00FC5DC8" w:rsidRPr="008D6E5C">
        <w:rPr>
          <w:rFonts w:ascii="Cambria" w:hAnsi="Cambria"/>
          <w:sz w:val="20"/>
          <w:szCs w:val="20"/>
        </w:rPr>
        <w:t xml:space="preserve"> </w:t>
      </w:r>
      <w:r w:rsidR="001766CB" w:rsidRPr="008D6E5C">
        <w:rPr>
          <w:rFonts w:ascii="Cambria" w:hAnsi="Cambria"/>
          <w:sz w:val="20"/>
          <w:szCs w:val="20"/>
        </w:rPr>
        <w:t>observes</w:t>
      </w:r>
      <w:r w:rsidR="00FC5DC8" w:rsidRPr="008D6E5C">
        <w:rPr>
          <w:rFonts w:ascii="Cambria" w:hAnsi="Cambria"/>
          <w:sz w:val="20"/>
          <w:szCs w:val="20"/>
        </w:rPr>
        <w:t xml:space="preserve">, </w:t>
      </w:r>
      <w:r w:rsidRPr="008D6E5C">
        <w:rPr>
          <w:rFonts w:ascii="Cambria" w:hAnsi="Cambria"/>
          <w:sz w:val="20"/>
          <w:szCs w:val="20"/>
        </w:rPr>
        <w:t>as previously stated</w:t>
      </w:r>
      <w:r w:rsidR="00FC5DC8" w:rsidRPr="008D6E5C">
        <w:rPr>
          <w:rFonts w:ascii="Cambria" w:hAnsi="Cambria"/>
          <w:sz w:val="20"/>
          <w:szCs w:val="20"/>
        </w:rPr>
        <w:t xml:space="preserve">, </w:t>
      </w:r>
      <w:r w:rsidRPr="008D6E5C">
        <w:rPr>
          <w:rFonts w:ascii="Cambria" w:hAnsi="Cambria"/>
          <w:sz w:val="20"/>
          <w:szCs w:val="20"/>
        </w:rPr>
        <w:t xml:space="preserve">that </w:t>
      </w:r>
      <w:r w:rsidR="007A2CDF" w:rsidRPr="008D6E5C">
        <w:rPr>
          <w:rFonts w:ascii="Cambria" w:hAnsi="Cambria"/>
          <w:sz w:val="20"/>
          <w:szCs w:val="20"/>
        </w:rPr>
        <w:t>the State</w:t>
      </w:r>
      <w:r w:rsidRPr="008D6E5C">
        <w:rPr>
          <w:rFonts w:ascii="Cambria" w:hAnsi="Cambria"/>
          <w:sz w:val="20"/>
          <w:szCs w:val="20"/>
        </w:rPr>
        <w:t xml:space="preserve"> is responsi</w:t>
      </w:r>
      <w:r w:rsidR="00FC5DC8" w:rsidRPr="008D6E5C">
        <w:rPr>
          <w:rFonts w:ascii="Cambria" w:hAnsi="Cambria"/>
          <w:sz w:val="20"/>
          <w:szCs w:val="20"/>
        </w:rPr>
        <w:t xml:space="preserve">ble </w:t>
      </w:r>
      <w:r w:rsidRPr="008D6E5C">
        <w:rPr>
          <w:rFonts w:ascii="Cambria" w:hAnsi="Cambria"/>
          <w:sz w:val="20"/>
          <w:szCs w:val="20"/>
        </w:rPr>
        <w:t xml:space="preserve">for failing to investigate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r w:rsidRPr="008D6E5C">
        <w:rPr>
          <w:rFonts w:ascii="Cambria" w:hAnsi="Cambria"/>
          <w:sz w:val="20"/>
          <w:szCs w:val="20"/>
        </w:rPr>
        <w:t>’s</w:t>
      </w:r>
      <w:proofErr w:type="spellEnd"/>
      <w:r w:rsidRPr="008D6E5C">
        <w:rPr>
          <w:rFonts w:ascii="Cambria" w:hAnsi="Cambria"/>
          <w:sz w:val="20"/>
          <w:szCs w:val="20"/>
        </w:rPr>
        <w:t xml:space="preserve"> murder with due diligence</w:t>
      </w:r>
      <w:r w:rsidR="00FC5DC8" w:rsidRPr="008D6E5C">
        <w:rPr>
          <w:rFonts w:ascii="Cambria" w:hAnsi="Cambria"/>
          <w:sz w:val="20"/>
          <w:szCs w:val="20"/>
        </w:rPr>
        <w:t xml:space="preserve">. </w:t>
      </w:r>
      <w:r w:rsidRPr="008D6E5C">
        <w:rPr>
          <w:rFonts w:ascii="Cambria" w:hAnsi="Cambria"/>
          <w:sz w:val="20"/>
          <w:szCs w:val="20"/>
        </w:rPr>
        <w:t>It finds that the absence of a diligent investigation has adversely affected the</w:t>
      </w:r>
      <w:r w:rsidR="00FC5DC8" w:rsidRPr="008D6E5C">
        <w:rPr>
          <w:rFonts w:ascii="Cambria" w:hAnsi="Cambria"/>
          <w:sz w:val="20"/>
          <w:szCs w:val="20"/>
        </w:rPr>
        <w:t xml:space="preserve"> </w:t>
      </w:r>
      <w:r w:rsidRPr="008D6E5C">
        <w:rPr>
          <w:rFonts w:ascii="Cambria" w:hAnsi="Cambria"/>
          <w:sz w:val="20"/>
          <w:szCs w:val="20"/>
        </w:rPr>
        <w:t>mental and emotional welfare</w:t>
      </w:r>
      <w:r w:rsidR="00FC5DC8" w:rsidRPr="008D6E5C">
        <w:rPr>
          <w:rFonts w:ascii="Cambria" w:hAnsi="Cambria"/>
          <w:sz w:val="20"/>
          <w:szCs w:val="20"/>
        </w:rPr>
        <w:t xml:space="preserve"> </w:t>
      </w:r>
      <w:r w:rsidRPr="008D6E5C">
        <w:rPr>
          <w:rFonts w:ascii="Cambria" w:hAnsi="Cambria"/>
          <w:sz w:val="20"/>
          <w:szCs w:val="20"/>
        </w:rPr>
        <w:t>of the</w:t>
      </w:r>
      <w:r w:rsidR="00FC5DC8" w:rsidRPr="008D6E5C">
        <w:rPr>
          <w:rFonts w:ascii="Cambria" w:hAnsi="Cambria"/>
          <w:sz w:val="20"/>
          <w:szCs w:val="20"/>
        </w:rPr>
        <w:t xml:space="preserve"> </w:t>
      </w:r>
      <w:r w:rsidR="001000C6" w:rsidRPr="008D6E5C">
        <w:rPr>
          <w:rFonts w:ascii="Cambria" w:hAnsi="Cambria"/>
          <w:sz w:val="20"/>
          <w:szCs w:val="20"/>
        </w:rPr>
        <w:t>relatives</w:t>
      </w:r>
      <w:r w:rsidR="00FC5DC8" w:rsidRPr="008D6E5C">
        <w:rPr>
          <w:rFonts w:ascii="Cambria" w:hAnsi="Cambria"/>
          <w:sz w:val="20"/>
          <w:szCs w:val="20"/>
        </w:rPr>
        <w:t xml:space="preserve"> identifi</w:t>
      </w:r>
      <w:r w:rsidRPr="008D6E5C">
        <w:rPr>
          <w:rFonts w:ascii="Cambria" w:hAnsi="Cambria"/>
          <w:sz w:val="20"/>
          <w:szCs w:val="20"/>
        </w:rPr>
        <w:t>ed</w:t>
      </w:r>
      <w:r w:rsidR="00FC5DC8" w:rsidRPr="008D6E5C">
        <w:rPr>
          <w:rFonts w:ascii="Cambria" w:hAnsi="Cambria"/>
          <w:sz w:val="20"/>
          <w:szCs w:val="20"/>
        </w:rPr>
        <w:t xml:space="preserve"> </w:t>
      </w:r>
      <w:r w:rsidR="0045097B" w:rsidRPr="008D6E5C">
        <w:rPr>
          <w:rFonts w:ascii="Cambria" w:hAnsi="Cambria"/>
          <w:sz w:val="20"/>
          <w:szCs w:val="20"/>
        </w:rPr>
        <w:t>in this case</w:t>
      </w:r>
      <w:r w:rsidR="00FC5DC8" w:rsidRPr="008D6E5C">
        <w:rPr>
          <w:rFonts w:ascii="Cambria" w:hAnsi="Cambria"/>
          <w:sz w:val="20"/>
          <w:szCs w:val="20"/>
        </w:rPr>
        <w:t xml:space="preserve">, </w:t>
      </w:r>
      <w:r w:rsidRPr="008D6E5C">
        <w:rPr>
          <w:rFonts w:ascii="Cambria" w:hAnsi="Cambria"/>
          <w:sz w:val="20"/>
          <w:szCs w:val="20"/>
        </w:rPr>
        <w:t xml:space="preserve">in addition to the suffering and </w:t>
      </w:r>
      <w:proofErr w:type="gramStart"/>
      <w:r w:rsidRPr="008D6E5C">
        <w:rPr>
          <w:rFonts w:ascii="Cambria" w:hAnsi="Cambria"/>
          <w:sz w:val="20"/>
          <w:szCs w:val="20"/>
        </w:rPr>
        <w:t>distress c</w:t>
      </w:r>
      <w:r w:rsidR="00F322CC" w:rsidRPr="008D6E5C">
        <w:rPr>
          <w:rFonts w:ascii="Cambria" w:hAnsi="Cambria"/>
          <w:sz w:val="20"/>
          <w:szCs w:val="20"/>
        </w:rPr>
        <w:t>aused</w:t>
      </w:r>
      <w:proofErr w:type="gramEnd"/>
      <w:r w:rsidRPr="008D6E5C">
        <w:rPr>
          <w:rFonts w:ascii="Cambria" w:hAnsi="Cambria"/>
          <w:sz w:val="20"/>
          <w:szCs w:val="20"/>
        </w:rPr>
        <w:t xml:space="preserve"> by the fact that</w:t>
      </w:r>
      <w:r w:rsidR="00FC5DC8" w:rsidRPr="008D6E5C">
        <w:rPr>
          <w:rFonts w:ascii="Cambria" w:hAnsi="Cambria"/>
          <w:sz w:val="20"/>
          <w:szCs w:val="20"/>
        </w:rPr>
        <w:t xml:space="preserve">, </w:t>
      </w:r>
      <w:r w:rsidRPr="008D6E5C">
        <w:rPr>
          <w:rFonts w:ascii="Cambria" w:hAnsi="Cambria"/>
          <w:sz w:val="20"/>
          <w:szCs w:val="20"/>
        </w:rPr>
        <w:t>more than sixteen years after the events, they have n</w:t>
      </w:r>
      <w:r w:rsidR="00F322CC" w:rsidRPr="008D6E5C">
        <w:rPr>
          <w:rFonts w:ascii="Cambria" w:hAnsi="Cambria"/>
          <w:sz w:val="20"/>
          <w:szCs w:val="20"/>
        </w:rPr>
        <w:t xml:space="preserve">either obtained justice nor </w:t>
      </w:r>
      <w:r w:rsidRPr="008D6E5C">
        <w:rPr>
          <w:rFonts w:ascii="Cambria" w:hAnsi="Cambria"/>
          <w:sz w:val="20"/>
          <w:szCs w:val="20"/>
        </w:rPr>
        <w:t>been able to l</w:t>
      </w:r>
      <w:r w:rsidR="00F322CC" w:rsidRPr="008D6E5C">
        <w:rPr>
          <w:rFonts w:ascii="Cambria" w:hAnsi="Cambria"/>
          <w:sz w:val="20"/>
          <w:szCs w:val="20"/>
        </w:rPr>
        <w:t>earn the truth of what happened</w:t>
      </w:r>
      <w:r w:rsidRPr="008D6E5C">
        <w:rPr>
          <w:rFonts w:ascii="Cambria" w:hAnsi="Cambria"/>
          <w:sz w:val="20"/>
          <w:szCs w:val="20"/>
        </w:rPr>
        <w:t>. In addition, as mentioned previously</w:t>
      </w:r>
      <w:r w:rsidR="00FC5DC8" w:rsidRPr="008D6E5C">
        <w:rPr>
          <w:rFonts w:ascii="Cambria" w:hAnsi="Cambria"/>
          <w:bCs/>
          <w:sz w:val="20"/>
          <w:szCs w:val="20"/>
        </w:rPr>
        <w:t xml:space="preserve">, </w:t>
      </w:r>
      <w:r w:rsidR="00D1708C" w:rsidRPr="008D6E5C">
        <w:rPr>
          <w:rFonts w:ascii="Cambria" w:hAnsi="Cambria"/>
          <w:bCs/>
          <w:sz w:val="20"/>
          <w:szCs w:val="20"/>
        </w:rPr>
        <w:t>Nelson</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r w:rsidRPr="008D6E5C">
        <w:rPr>
          <w:rFonts w:ascii="Cambria" w:hAnsi="Cambria"/>
          <w:bCs/>
          <w:sz w:val="20"/>
          <w:szCs w:val="20"/>
        </w:rPr>
        <w:t>’s</w:t>
      </w:r>
      <w:proofErr w:type="spellEnd"/>
      <w:r w:rsidRPr="008D6E5C">
        <w:rPr>
          <w:rFonts w:ascii="Cambria" w:hAnsi="Cambria"/>
          <w:bCs/>
          <w:sz w:val="20"/>
          <w:szCs w:val="20"/>
        </w:rPr>
        <w:t xml:space="preserve"> relatives suffered repeated</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 xml:space="preserve">and harassment, compounded by the lack of </w:t>
      </w:r>
      <w:r w:rsidR="001000C6" w:rsidRPr="008D6E5C">
        <w:rPr>
          <w:rFonts w:ascii="Cambria" w:hAnsi="Cambria"/>
          <w:bCs/>
          <w:sz w:val="20"/>
          <w:szCs w:val="20"/>
        </w:rPr>
        <w:t>protection measures</w:t>
      </w:r>
      <w:r w:rsidR="00FC5DC8" w:rsidRPr="008D6E5C">
        <w:rPr>
          <w:rFonts w:ascii="Cambria" w:hAnsi="Cambria"/>
          <w:bCs/>
          <w:sz w:val="20"/>
          <w:szCs w:val="20"/>
        </w:rPr>
        <w:t xml:space="preserve"> </w:t>
      </w:r>
      <w:r w:rsidRPr="008D6E5C">
        <w:rPr>
          <w:rFonts w:ascii="Cambria" w:hAnsi="Cambria"/>
          <w:bCs/>
          <w:sz w:val="20"/>
          <w:szCs w:val="20"/>
        </w:rPr>
        <w:t>and guarantees of an independent investigation</w:t>
      </w:r>
      <w:r w:rsidR="00FC5DC8" w:rsidRPr="008D6E5C">
        <w:rPr>
          <w:rFonts w:ascii="Cambria" w:hAnsi="Cambria"/>
          <w:bCs/>
          <w:sz w:val="20"/>
          <w:szCs w:val="20"/>
        </w:rPr>
        <w:t xml:space="preserve">, </w:t>
      </w:r>
      <w:r w:rsidRPr="008D6E5C">
        <w:rPr>
          <w:rFonts w:ascii="Cambria" w:hAnsi="Cambria"/>
          <w:bCs/>
          <w:sz w:val="20"/>
          <w:szCs w:val="20"/>
        </w:rPr>
        <w:t xml:space="preserve">which had an intimidating and </w:t>
      </w:r>
      <w:r w:rsidR="00EF5F24" w:rsidRPr="008D6E5C">
        <w:rPr>
          <w:rFonts w:ascii="Cambria" w:hAnsi="Cambria"/>
          <w:bCs/>
          <w:sz w:val="20"/>
          <w:szCs w:val="20"/>
        </w:rPr>
        <w:t>chilling effect</w:t>
      </w:r>
      <w:r w:rsidR="00FC5DC8" w:rsidRPr="008D6E5C">
        <w:rPr>
          <w:rFonts w:ascii="Cambria" w:hAnsi="Cambria"/>
          <w:bCs/>
          <w:sz w:val="20"/>
          <w:szCs w:val="20"/>
        </w:rPr>
        <w:t xml:space="preserve"> </w:t>
      </w:r>
      <w:r w:rsidRPr="008D6E5C">
        <w:rPr>
          <w:rFonts w:ascii="Cambria" w:hAnsi="Cambria"/>
          <w:bCs/>
          <w:sz w:val="20"/>
          <w:szCs w:val="20"/>
        </w:rPr>
        <w:t>on them. Similarly,</w:t>
      </w:r>
      <w:r w:rsidR="00FC5DC8" w:rsidRPr="008D6E5C">
        <w:rPr>
          <w:rFonts w:ascii="Cambria" w:hAnsi="Cambria"/>
          <w:bCs/>
          <w:sz w:val="20"/>
          <w:szCs w:val="20"/>
        </w:rPr>
        <w:t xml:space="preserve"> </w:t>
      </w:r>
      <w:r w:rsidRPr="008D6E5C">
        <w:rPr>
          <w:rFonts w:ascii="Cambria" w:hAnsi="Cambria"/>
          <w:bCs/>
          <w:sz w:val="20"/>
          <w:szCs w:val="20"/>
        </w:rPr>
        <w:t>the lack of protection for the</w:t>
      </w:r>
      <w:r w:rsidR="00FC5DC8" w:rsidRPr="008D6E5C">
        <w:rPr>
          <w:rFonts w:ascii="Cambria" w:hAnsi="Cambria"/>
          <w:bCs/>
          <w:sz w:val="20"/>
          <w:szCs w:val="20"/>
        </w:rPr>
        <w:t xml:space="preserve"> </w:t>
      </w:r>
      <w:r w:rsidR="001000C6" w:rsidRPr="008D6E5C">
        <w:rPr>
          <w:rFonts w:ascii="Cambria" w:hAnsi="Cambria"/>
          <w:bCs/>
          <w:sz w:val="20"/>
          <w:szCs w:val="20"/>
        </w:rPr>
        <w:t>relatives</w:t>
      </w:r>
      <w:r w:rsidR="00FC5DC8" w:rsidRPr="008D6E5C">
        <w:rPr>
          <w:rFonts w:ascii="Cambria" w:hAnsi="Cambria"/>
          <w:bCs/>
          <w:sz w:val="20"/>
          <w:szCs w:val="20"/>
        </w:rPr>
        <w:t xml:space="preserve"> </w:t>
      </w:r>
      <w:r w:rsidR="00F322CC" w:rsidRPr="008D6E5C">
        <w:rPr>
          <w:rFonts w:ascii="Cambria" w:hAnsi="Cambria"/>
          <w:bCs/>
          <w:sz w:val="20"/>
          <w:szCs w:val="20"/>
        </w:rPr>
        <w:t>went on</w:t>
      </w:r>
      <w:r w:rsidRPr="008D6E5C">
        <w:rPr>
          <w:rFonts w:ascii="Cambria" w:hAnsi="Cambria"/>
          <w:bCs/>
          <w:sz w:val="20"/>
          <w:szCs w:val="20"/>
        </w:rPr>
        <w:t xml:space="preserve"> for a lengthy period of time</w:t>
      </w:r>
      <w:r w:rsidR="00FC5DC8" w:rsidRPr="008D6E5C">
        <w:rPr>
          <w:rFonts w:ascii="Cambria" w:hAnsi="Cambria"/>
          <w:bCs/>
          <w:sz w:val="20"/>
          <w:szCs w:val="20"/>
        </w:rPr>
        <w:t xml:space="preserve">, </w:t>
      </w:r>
      <w:r w:rsidRPr="008D6E5C">
        <w:rPr>
          <w:rFonts w:ascii="Cambria" w:hAnsi="Cambria"/>
          <w:bCs/>
          <w:sz w:val="20"/>
          <w:szCs w:val="20"/>
        </w:rPr>
        <w:t>which contributed to the</w:t>
      </w:r>
      <w:r w:rsidR="00F322CC" w:rsidRPr="008D6E5C">
        <w:rPr>
          <w:rFonts w:ascii="Cambria" w:hAnsi="Cambria"/>
          <w:bCs/>
          <w:sz w:val="20"/>
          <w:szCs w:val="20"/>
        </w:rPr>
        <w:t>ir</w:t>
      </w:r>
      <w:r w:rsidRPr="008D6E5C">
        <w:rPr>
          <w:rFonts w:ascii="Cambria" w:hAnsi="Cambria"/>
          <w:bCs/>
          <w:sz w:val="20"/>
          <w:szCs w:val="20"/>
        </w:rPr>
        <w:t xml:space="preserve"> suffering and distress over the</w:t>
      </w:r>
      <w:r w:rsidR="00F322CC" w:rsidRPr="008D6E5C">
        <w:rPr>
          <w:rFonts w:ascii="Cambria" w:hAnsi="Cambria"/>
          <w:bCs/>
          <w:sz w:val="20"/>
          <w:szCs w:val="20"/>
        </w:rPr>
        <w:t xml:space="preserve"> State’s</w:t>
      </w:r>
      <w:r w:rsidRPr="008D6E5C">
        <w:rPr>
          <w:rFonts w:ascii="Cambria" w:hAnsi="Cambria"/>
          <w:bCs/>
          <w:sz w:val="20"/>
          <w:szCs w:val="20"/>
        </w:rPr>
        <w:t xml:space="preserve"> failure to investigate, arrest</w:t>
      </w:r>
      <w:r w:rsidR="00FC5DC8" w:rsidRPr="008D6E5C">
        <w:rPr>
          <w:rFonts w:ascii="Cambria" w:hAnsi="Cambria"/>
          <w:bCs/>
          <w:sz w:val="20"/>
          <w:szCs w:val="20"/>
        </w:rPr>
        <w:t xml:space="preserve">, </w:t>
      </w:r>
      <w:r w:rsidRPr="008D6E5C">
        <w:rPr>
          <w:rFonts w:ascii="Cambria" w:hAnsi="Cambria"/>
          <w:bCs/>
          <w:sz w:val="20"/>
          <w:szCs w:val="20"/>
        </w:rPr>
        <w:t>t</w:t>
      </w:r>
      <w:r w:rsidR="00607BC6" w:rsidRPr="008D6E5C">
        <w:rPr>
          <w:rFonts w:ascii="Cambria" w:hAnsi="Cambria"/>
          <w:bCs/>
          <w:sz w:val="20"/>
          <w:szCs w:val="20"/>
        </w:rPr>
        <w:t>r</w:t>
      </w:r>
      <w:r w:rsidR="0037076C" w:rsidRPr="008D6E5C">
        <w:rPr>
          <w:rFonts w:ascii="Cambria" w:hAnsi="Cambria"/>
          <w:bCs/>
          <w:sz w:val="20"/>
          <w:szCs w:val="20"/>
        </w:rPr>
        <w:t>ial</w:t>
      </w:r>
      <w:r w:rsidR="00607BC6" w:rsidRPr="008D6E5C">
        <w:rPr>
          <w:rFonts w:ascii="Cambria" w:hAnsi="Cambria"/>
          <w:bCs/>
          <w:sz w:val="20"/>
          <w:szCs w:val="20"/>
        </w:rPr>
        <w:t>, and punish the perpetrators</w:t>
      </w:r>
      <w:r w:rsidR="00FC5DC8" w:rsidRPr="008D6E5C">
        <w:rPr>
          <w:rFonts w:ascii="Cambria" w:hAnsi="Cambria"/>
          <w:bCs/>
          <w:sz w:val="20"/>
          <w:szCs w:val="20"/>
        </w:rPr>
        <w:t xml:space="preserve">. </w:t>
      </w:r>
      <w:r w:rsidRPr="008D6E5C">
        <w:rPr>
          <w:rFonts w:ascii="Cambria" w:hAnsi="Cambria"/>
          <w:bCs/>
          <w:sz w:val="20"/>
          <w:szCs w:val="20"/>
        </w:rPr>
        <w:t>This pattern of</w:t>
      </w:r>
      <w:r w:rsidR="00FC5DC8" w:rsidRPr="008D6E5C">
        <w:rPr>
          <w:rFonts w:ascii="Cambria" w:hAnsi="Cambria"/>
          <w:bCs/>
          <w:sz w:val="20"/>
          <w:szCs w:val="20"/>
        </w:rPr>
        <w:t xml:space="preserve"> </w:t>
      </w:r>
      <w:r w:rsidR="00EF5F24" w:rsidRPr="008D6E5C">
        <w:rPr>
          <w:rFonts w:ascii="Cambria" w:hAnsi="Cambria"/>
          <w:bCs/>
          <w:sz w:val="20"/>
          <w:szCs w:val="20"/>
        </w:rPr>
        <w:t>threats</w:t>
      </w:r>
      <w:r w:rsidR="00FC5DC8" w:rsidRPr="008D6E5C">
        <w:rPr>
          <w:rFonts w:ascii="Cambria" w:hAnsi="Cambria"/>
          <w:bCs/>
          <w:sz w:val="20"/>
          <w:szCs w:val="20"/>
        </w:rPr>
        <w:t xml:space="preserve"> </w:t>
      </w:r>
      <w:r w:rsidRPr="008D6E5C">
        <w:rPr>
          <w:rFonts w:ascii="Cambria" w:hAnsi="Cambria"/>
          <w:bCs/>
          <w:sz w:val="20"/>
          <w:szCs w:val="20"/>
        </w:rPr>
        <w:t>was</w:t>
      </w:r>
      <w:r w:rsidR="00FC5DC8" w:rsidRPr="008D6E5C">
        <w:rPr>
          <w:rFonts w:ascii="Cambria" w:hAnsi="Cambria"/>
          <w:bCs/>
          <w:sz w:val="20"/>
          <w:szCs w:val="20"/>
        </w:rPr>
        <w:t xml:space="preserve">, </w:t>
      </w:r>
      <w:r w:rsidRPr="008D6E5C">
        <w:rPr>
          <w:rFonts w:ascii="Cambria" w:hAnsi="Cambria"/>
          <w:bCs/>
          <w:sz w:val="20"/>
          <w:szCs w:val="20"/>
        </w:rPr>
        <w:t xml:space="preserve">in the opinion of </w:t>
      </w:r>
      <w:r w:rsidR="00DF44C8" w:rsidRPr="008D6E5C">
        <w:rPr>
          <w:rFonts w:ascii="Cambria" w:hAnsi="Cambria"/>
          <w:bCs/>
          <w:sz w:val="20"/>
          <w:szCs w:val="20"/>
        </w:rPr>
        <w:t>the Commission</w:t>
      </w:r>
      <w:r w:rsidR="00FC5DC8" w:rsidRPr="008D6E5C">
        <w:rPr>
          <w:rFonts w:ascii="Cambria" w:hAnsi="Cambria"/>
          <w:bCs/>
          <w:sz w:val="20"/>
          <w:szCs w:val="20"/>
        </w:rPr>
        <w:t xml:space="preserve">, </w:t>
      </w:r>
      <w:r w:rsidRPr="008D6E5C">
        <w:rPr>
          <w:rFonts w:ascii="Cambria" w:hAnsi="Cambria"/>
          <w:bCs/>
          <w:sz w:val="20"/>
          <w:szCs w:val="20"/>
        </w:rPr>
        <w:t>a serious violation of the</w:t>
      </w:r>
      <w:r w:rsidR="00FC5DC8" w:rsidRPr="008D6E5C">
        <w:rPr>
          <w:rFonts w:ascii="Cambria" w:hAnsi="Cambria"/>
          <w:bCs/>
          <w:sz w:val="20"/>
          <w:szCs w:val="20"/>
        </w:rPr>
        <w:t xml:space="preserve"> </w:t>
      </w:r>
      <w:r w:rsidR="00E35E3E" w:rsidRPr="008D6E5C">
        <w:rPr>
          <w:rFonts w:ascii="Cambria" w:hAnsi="Cambria"/>
          <w:bCs/>
          <w:sz w:val="20"/>
          <w:szCs w:val="20"/>
        </w:rPr>
        <w:t>right to humane treatment</w:t>
      </w:r>
      <w:r w:rsidR="00FC5DC8" w:rsidRPr="008D6E5C">
        <w:rPr>
          <w:rFonts w:ascii="Cambria" w:hAnsi="Cambria"/>
          <w:bCs/>
          <w:sz w:val="20"/>
          <w:szCs w:val="20"/>
        </w:rPr>
        <w:t xml:space="preserve"> </w:t>
      </w:r>
      <w:r w:rsidRPr="008D6E5C">
        <w:rPr>
          <w:rFonts w:ascii="Cambria" w:hAnsi="Cambria"/>
          <w:bCs/>
          <w:sz w:val="20"/>
          <w:szCs w:val="20"/>
        </w:rPr>
        <w:t>of the</w:t>
      </w:r>
      <w:r w:rsidR="00FC5DC8" w:rsidRPr="008D6E5C">
        <w:rPr>
          <w:rFonts w:ascii="Cambria" w:hAnsi="Cambria"/>
          <w:bCs/>
          <w:sz w:val="20"/>
          <w:szCs w:val="20"/>
        </w:rPr>
        <w:t xml:space="preserve"> </w:t>
      </w:r>
      <w:r w:rsidR="00D1708C" w:rsidRPr="008D6E5C">
        <w:rPr>
          <w:rFonts w:ascii="Cambria" w:hAnsi="Cambria"/>
          <w:bCs/>
          <w:sz w:val="20"/>
          <w:szCs w:val="20"/>
        </w:rPr>
        <w:t>relatives of Nelson</w:t>
      </w:r>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 xml:space="preserve"> </w:t>
      </w:r>
      <w:proofErr w:type="spellStart"/>
      <w:r w:rsidR="00FC5DC8" w:rsidRPr="008D6E5C">
        <w:rPr>
          <w:rFonts w:ascii="Cambria" w:hAnsi="Cambria"/>
          <w:bCs/>
          <w:sz w:val="20"/>
          <w:szCs w:val="20"/>
        </w:rPr>
        <w:t>Carvajal</w:t>
      </w:r>
      <w:proofErr w:type="spellEnd"/>
      <w:r w:rsidR="00FC5DC8" w:rsidRPr="008D6E5C">
        <w:rPr>
          <w:rFonts w:ascii="Cambria" w:hAnsi="Cambria"/>
          <w:bCs/>
          <w:sz w:val="20"/>
          <w:szCs w:val="20"/>
        </w:rPr>
        <w:t>.</w:t>
      </w:r>
      <w:r w:rsidRPr="008D6E5C">
        <w:rPr>
          <w:rFonts w:ascii="Cambria" w:hAnsi="Cambria"/>
          <w:bCs/>
          <w:sz w:val="20"/>
          <w:szCs w:val="20"/>
        </w:rPr>
        <w:t xml:space="preserve"> </w:t>
      </w:r>
      <w:r w:rsidR="00BC6A25" w:rsidRPr="008D6E5C">
        <w:rPr>
          <w:rFonts w:ascii="Cambria" w:hAnsi="Cambria"/>
          <w:bCs/>
          <w:sz w:val="20"/>
          <w:szCs w:val="20"/>
        </w:rPr>
        <w:t xml:space="preserve">In this sense, </w:t>
      </w:r>
      <w:r w:rsidR="00BC6A25" w:rsidRPr="008D6E5C">
        <w:rPr>
          <w:rFonts w:ascii="Cambria" w:hAnsi="Cambria"/>
          <w:sz w:val="20"/>
          <w:szCs w:val="20"/>
        </w:rPr>
        <w:t xml:space="preserve">the IACHR concludes that the State violated the right enshrined in Article 5(1) of the Convention, in relation to Article 1(1) thereof, with respect to the relatives of Nelson </w:t>
      </w:r>
      <w:proofErr w:type="spellStart"/>
      <w:r w:rsidR="00BC6A25" w:rsidRPr="008D6E5C">
        <w:rPr>
          <w:rFonts w:ascii="Cambria" w:hAnsi="Cambria"/>
          <w:sz w:val="20"/>
          <w:szCs w:val="20"/>
        </w:rPr>
        <w:t>Carvajal</w:t>
      </w:r>
      <w:proofErr w:type="spellEnd"/>
      <w:r w:rsidR="00BC6A25" w:rsidRPr="008D6E5C">
        <w:rPr>
          <w:rFonts w:ascii="Cambria" w:hAnsi="Cambria"/>
          <w:sz w:val="20"/>
          <w:szCs w:val="20"/>
        </w:rPr>
        <w:t xml:space="preserve"> </w:t>
      </w:r>
      <w:proofErr w:type="spellStart"/>
      <w:r w:rsidR="00BC6A25" w:rsidRPr="008D6E5C">
        <w:rPr>
          <w:rFonts w:ascii="Cambria" w:hAnsi="Cambria"/>
          <w:sz w:val="20"/>
          <w:szCs w:val="20"/>
        </w:rPr>
        <w:t>Carvajal</w:t>
      </w:r>
      <w:proofErr w:type="spellEnd"/>
      <w:r w:rsidR="00BC6A25" w:rsidRPr="008D6E5C">
        <w:rPr>
          <w:rFonts w:ascii="Cambria" w:hAnsi="Cambria"/>
          <w:sz w:val="20"/>
          <w:szCs w:val="20"/>
        </w:rPr>
        <w:t xml:space="preserve"> </w:t>
      </w:r>
      <w:r w:rsidR="00322D89" w:rsidRPr="008D6E5C">
        <w:rPr>
          <w:rFonts w:ascii="Cambria" w:hAnsi="Cambria"/>
          <w:sz w:val="20"/>
          <w:szCs w:val="20"/>
        </w:rPr>
        <w:t>(</w:t>
      </w:r>
      <w:r w:rsidR="00322D89" w:rsidRPr="008D6E5C">
        <w:rPr>
          <w:rFonts w:ascii="Cambria" w:hAnsi="Cambria"/>
          <w:i/>
          <w:sz w:val="20"/>
          <w:szCs w:val="20"/>
        </w:rPr>
        <w:t xml:space="preserve">supra </w:t>
      </w:r>
      <w:r w:rsidR="00DD3145" w:rsidRPr="008D6E5C">
        <w:rPr>
          <w:rFonts w:ascii="Cambria" w:hAnsi="Cambria"/>
          <w:sz w:val="20"/>
          <w:szCs w:val="20"/>
        </w:rPr>
        <w:t>para</w:t>
      </w:r>
      <w:r w:rsidR="00322D89" w:rsidRPr="008D6E5C">
        <w:rPr>
          <w:rFonts w:ascii="Cambria" w:hAnsi="Cambria"/>
          <w:sz w:val="20"/>
          <w:szCs w:val="20"/>
        </w:rPr>
        <w:t xml:space="preserve">. </w:t>
      </w:r>
      <w:r w:rsidR="00983732" w:rsidRPr="008D6E5C">
        <w:rPr>
          <w:rFonts w:ascii="Cambria" w:hAnsi="Cambria"/>
          <w:sz w:val="20"/>
          <w:szCs w:val="20"/>
        </w:rPr>
        <w:t>41</w:t>
      </w:r>
      <w:r w:rsidR="00322D89" w:rsidRPr="008D6E5C">
        <w:rPr>
          <w:rFonts w:ascii="Cambria" w:hAnsi="Cambria"/>
          <w:sz w:val="20"/>
          <w:szCs w:val="20"/>
        </w:rPr>
        <w:t>)</w:t>
      </w:r>
      <w:r w:rsidR="00A81DA7" w:rsidRPr="008D6E5C">
        <w:rPr>
          <w:rFonts w:ascii="Cambria" w:hAnsi="Cambria"/>
          <w:sz w:val="20"/>
          <w:szCs w:val="20"/>
        </w:rPr>
        <w:t>.</w:t>
      </w:r>
    </w:p>
    <w:p w:rsidR="00FC5DC8" w:rsidRPr="008D6E5C" w:rsidRDefault="00FC5DC8" w:rsidP="001520DB">
      <w:pPr>
        <w:pStyle w:val="ListParagraph"/>
        <w:shd w:val="clear" w:color="auto" w:fill="FFFFFF"/>
        <w:jc w:val="both"/>
        <w:rPr>
          <w:sz w:val="20"/>
          <w:szCs w:val="20"/>
        </w:rPr>
      </w:pPr>
    </w:p>
    <w:p w:rsidR="00FC5DC8" w:rsidRPr="008D6E5C" w:rsidRDefault="00266186"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sz w:val="20"/>
          <w:szCs w:val="20"/>
        </w:rPr>
        <w:t>With regard to the violation of the right to freedom of movement and residence</w:t>
      </w:r>
      <w:r w:rsidR="00FC5DC8" w:rsidRPr="008D6E5C">
        <w:rPr>
          <w:rFonts w:ascii="Cambria" w:hAnsi="Cambria"/>
          <w:sz w:val="20"/>
          <w:szCs w:val="20"/>
        </w:rPr>
        <w:t xml:space="preserve">, </w:t>
      </w:r>
      <w:r w:rsidR="001766CB" w:rsidRPr="008D6E5C">
        <w:rPr>
          <w:rFonts w:ascii="Cambria" w:hAnsi="Cambria" w:cs="Arial"/>
          <w:color w:val="000000"/>
          <w:sz w:val="20"/>
          <w:szCs w:val="20"/>
        </w:rPr>
        <w:t>the petitioner</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indicated that</w:t>
      </w:r>
      <w:r w:rsidR="00FC5DC8" w:rsidRPr="008D6E5C">
        <w:rPr>
          <w:rFonts w:ascii="Cambria" w:hAnsi="Cambria" w:cs="Arial"/>
          <w:color w:val="000000"/>
          <w:sz w:val="20"/>
          <w:szCs w:val="20"/>
        </w:rPr>
        <w:t xml:space="preserve"> 9 </w:t>
      </w:r>
      <w:r w:rsidR="001000C6" w:rsidRPr="008D6E5C">
        <w:rPr>
          <w:rFonts w:ascii="Cambria" w:hAnsi="Cambria" w:cs="Arial"/>
          <w:color w:val="000000"/>
          <w:sz w:val="20"/>
          <w:szCs w:val="20"/>
        </w:rPr>
        <w:t>relatives</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 xml:space="preserve">of </w:t>
      </w:r>
      <w:proofErr w:type="spellStart"/>
      <w:r w:rsidR="00FC5DC8" w:rsidRPr="008D6E5C">
        <w:rPr>
          <w:rFonts w:ascii="Cambria" w:hAnsi="Cambria" w:cs="Arial"/>
          <w:color w:val="000000"/>
          <w:sz w:val="20"/>
          <w:szCs w:val="20"/>
        </w:rPr>
        <w:t>Carvajal</w:t>
      </w:r>
      <w:r w:rsidRPr="008D6E5C">
        <w:rPr>
          <w:rFonts w:ascii="Cambria" w:hAnsi="Cambria" w:cs="Arial"/>
          <w:color w:val="000000"/>
          <w:sz w:val="20"/>
          <w:szCs w:val="20"/>
        </w:rPr>
        <w:t>’s</w:t>
      </w:r>
      <w:proofErr w:type="spellEnd"/>
      <w:r w:rsidRPr="008D6E5C">
        <w:rPr>
          <w:rFonts w:ascii="Cambria" w:hAnsi="Cambria" w:cs="Arial"/>
          <w:color w:val="000000"/>
          <w:sz w:val="20"/>
          <w:szCs w:val="20"/>
        </w:rPr>
        <w:t xml:space="preserve"> were granted refugee status and the right to asylum, although it stated that they wanted to keep the respective asylum decisions</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confidential for security reasons</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The petitioner stated that</w:t>
      </w:r>
      <w:r w:rsidR="00FC5DC8" w:rsidRPr="008D6E5C">
        <w:rPr>
          <w:rFonts w:ascii="Cambria" w:hAnsi="Cambria" w:cs="Arial"/>
          <w:color w:val="000000"/>
          <w:sz w:val="20"/>
          <w:szCs w:val="20"/>
        </w:rPr>
        <w:t xml:space="preserve"> Judith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Pr="008D6E5C">
        <w:rPr>
          <w:rFonts w:ascii="Cambria" w:hAnsi="Cambria" w:cs="Arial"/>
          <w:color w:val="000000"/>
          <w:sz w:val="20"/>
          <w:szCs w:val="20"/>
        </w:rPr>
        <w:t>sister</w:t>
      </w:r>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Cristhian</w:t>
      </w:r>
      <w:proofErr w:type="spellEnd"/>
      <w:r w:rsidR="00FC5DC8" w:rsidRPr="008D6E5C">
        <w:rPr>
          <w:rFonts w:ascii="Cambria" w:hAnsi="Cambria" w:cs="Arial"/>
          <w:color w:val="000000"/>
          <w:sz w:val="20"/>
          <w:szCs w:val="20"/>
        </w:rPr>
        <w:t xml:space="preserve"> Camilo Motta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Pr="008D6E5C">
        <w:rPr>
          <w:rFonts w:ascii="Cambria" w:hAnsi="Cambria" w:cs="Arial"/>
          <w:color w:val="000000"/>
          <w:sz w:val="20"/>
          <w:szCs w:val="20"/>
        </w:rPr>
        <w:t>nephew</w:t>
      </w:r>
      <w:r w:rsidR="00FC5DC8" w:rsidRPr="008D6E5C">
        <w:rPr>
          <w:rFonts w:ascii="Cambria" w:hAnsi="Cambria" w:cs="Arial"/>
          <w:color w:val="000000"/>
          <w:sz w:val="20"/>
          <w:szCs w:val="20"/>
        </w:rPr>
        <w:t>)</w:t>
      </w:r>
      <w:r w:rsidRPr="008D6E5C">
        <w:rPr>
          <w:rFonts w:ascii="Cambria" w:hAnsi="Cambria" w:cs="Arial"/>
          <w:color w:val="000000"/>
          <w:sz w:val="20"/>
          <w:szCs w:val="20"/>
        </w:rPr>
        <w:t>, and</w:t>
      </w:r>
      <w:r w:rsidR="00FC5DC8" w:rsidRPr="008D6E5C">
        <w:rPr>
          <w:rFonts w:ascii="Cambria" w:hAnsi="Cambria" w:cs="Arial"/>
          <w:color w:val="000000"/>
          <w:sz w:val="20"/>
          <w:szCs w:val="20"/>
        </w:rPr>
        <w:t xml:space="preserve"> Fernando Augusto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Pr="008D6E5C">
        <w:rPr>
          <w:rFonts w:ascii="Cambria" w:hAnsi="Cambria" w:cs="Arial"/>
          <w:color w:val="000000"/>
          <w:sz w:val="20"/>
          <w:szCs w:val="20"/>
        </w:rPr>
        <w:t>brother</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requested asylum on November</w:t>
      </w:r>
      <w:r w:rsidR="00FC5DC8" w:rsidRPr="008D6E5C">
        <w:rPr>
          <w:rFonts w:ascii="Cambria" w:hAnsi="Cambria" w:cs="Arial"/>
          <w:color w:val="000000"/>
          <w:sz w:val="20"/>
          <w:szCs w:val="20"/>
        </w:rPr>
        <w:t xml:space="preserve"> 3</w:t>
      </w:r>
      <w:r w:rsidRPr="008D6E5C">
        <w:rPr>
          <w:rFonts w:ascii="Cambria" w:hAnsi="Cambria" w:cs="Arial"/>
          <w:color w:val="000000"/>
          <w:sz w:val="20"/>
          <w:szCs w:val="20"/>
        </w:rPr>
        <w:t>,</w:t>
      </w:r>
      <w:r w:rsidR="00FC5DC8" w:rsidRPr="008D6E5C">
        <w:rPr>
          <w:rFonts w:ascii="Cambria" w:hAnsi="Cambria" w:cs="Arial"/>
          <w:color w:val="000000"/>
          <w:sz w:val="20"/>
          <w:szCs w:val="20"/>
        </w:rPr>
        <w:t xml:space="preserve"> 1999</w:t>
      </w:r>
      <w:r w:rsidRPr="008D6E5C">
        <w:rPr>
          <w:rFonts w:ascii="Cambria" w:hAnsi="Cambria" w:cs="Arial"/>
          <w:color w:val="000000"/>
          <w:sz w:val="20"/>
          <w:szCs w:val="20"/>
        </w:rPr>
        <w:t>, and were granted refugee status on August</w:t>
      </w:r>
      <w:r w:rsidR="00FC5DC8" w:rsidRPr="008D6E5C">
        <w:rPr>
          <w:rFonts w:ascii="Cambria" w:hAnsi="Cambria" w:cs="Arial"/>
          <w:color w:val="000000"/>
          <w:sz w:val="20"/>
          <w:szCs w:val="20"/>
        </w:rPr>
        <w:t xml:space="preserve"> 2</w:t>
      </w:r>
      <w:r w:rsidRPr="008D6E5C">
        <w:rPr>
          <w:rFonts w:ascii="Cambria" w:hAnsi="Cambria" w:cs="Arial"/>
          <w:color w:val="000000"/>
          <w:sz w:val="20"/>
          <w:szCs w:val="20"/>
        </w:rPr>
        <w:t>,</w:t>
      </w:r>
      <w:r w:rsidR="00FC5DC8" w:rsidRPr="008D6E5C">
        <w:rPr>
          <w:rFonts w:ascii="Cambria" w:hAnsi="Cambria" w:cs="Arial"/>
          <w:color w:val="000000"/>
          <w:sz w:val="20"/>
          <w:szCs w:val="20"/>
        </w:rPr>
        <w:t xml:space="preserve"> 2000. </w:t>
      </w:r>
      <w:r w:rsidRPr="008D6E5C">
        <w:rPr>
          <w:rFonts w:ascii="Cambria" w:hAnsi="Cambria" w:cs="Arial"/>
          <w:color w:val="000000"/>
          <w:sz w:val="20"/>
          <w:szCs w:val="20"/>
        </w:rPr>
        <w:t>It also indicated that</w:t>
      </w:r>
      <w:r w:rsidR="00FC5DC8" w:rsidRPr="008D6E5C">
        <w:rPr>
          <w:rFonts w:ascii="Cambria" w:hAnsi="Cambria" w:cs="Arial"/>
          <w:color w:val="000000"/>
          <w:sz w:val="20"/>
          <w:szCs w:val="20"/>
        </w:rPr>
        <w:t xml:space="preserve"> </w:t>
      </w:r>
      <w:r w:rsidR="005953D4" w:rsidRPr="008D6E5C">
        <w:rPr>
          <w:rFonts w:ascii="Cambria" w:hAnsi="Cambria" w:cs="Arial"/>
          <w:color w:val="000000"/>
          <w:sz w:val="20"/>
          <w:szCs w:val="20"/>
        </w:rPr>
        <w:t xml:space="preserve">the Office of the </w:t>
      </w:r>
      <w:r w:rsidR="00C866C8" w:rsidRPr="008D6E5C">
        <w:rPr>
          <w:rFonts w:ascii="Cambria" w:hAnsi="Cambria" w:cs="Arial"/>
          <w:color w:val="000000"/>
          <w:sz w:val="20"/>
          <w:szCs w:val="20"/>
        </w:rPr>
        <w:t>Prosecutor General of Colombia</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acknowledged the persecution and</w:t>
      </w:r>
      <w:r w:rsidR="00FC5DC8" w:rsidRPr="008D6E5C">
        <w:rPr>
          <w:rFonts w:ascii="Cambria" w:hAnsi="Cambria" w:cs="Arial"/>
          <w:color w:val="000000"/>
          <w:sz w:val="20"/>
          <w:szCs w:val="20"/>
        </w:rPr>
        <w:t xml:space="preserve"> </w:t>
      </w:r>
      <w:r w:rsidR="00EF5F24" w:rsidRPr="008D6E5C">
        <w:rPr>
          <w:rFonts w:ascii="Cambria" w:hAnsi="Cambria" w:cs="Arial"/>
          <w:color w:val="000000"/>
          <w:sz w:val="20"/>
          <w:szCs w:val="20"/>
        </w:rPr>
        <w:t>threats</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 xml:space="preserve">against </w:t>
      </w:r>
      <w:r w:rsidR="00FC5DC8" w:rsidRPr="008D6E5C">
        <w:rPr>
          <w:rFonts w:ascii="Cambria" w:hAnsi="Cambria" w:cs="Arial"/>
          <w:color w:val="000000"/>
          <w:sz w:val="20"/>
          <w:szCs w:val="20"/>
        </w:rPr>
        <w:t xml:space="preserve">Judith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Pr="008D6E5C">
        <w:rPr>
          <w:rFonts w:ascii="Cambria" w:hAnsi="Cambria" w:cs="Arial"/>
          <w:color w:val="000000"/>
          <w:sz w:val="20"/>
          <w:szCs w:val="20"/>
        </w:rPr>
        <w:t>and</w:t>
      </w:r>
      <w:r w:rsidR="00FC5DC8" w:rsidRPr="008D6E5C">
        <w:rPr>
          <w:rFonts w:ascii="Cambria" w:hAnsi="Cambria" w:cs="Arial"/>
          <w:color w:val="000000"/>
          <w:sz w:val="20"/>
          <w:szCs w:val="20"/>
        </w:rPr>
        <w:t xml:space="preserve"> Fernando Augusto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Pr="008D6E5C">
        <w:rPr>
          <w:rFonts w:ascii="Cambria" w:hAnsi="Cambria" w:cs="Arial"/>
          <w:color w:val="000000"/>
          <w:sz w:val="20"/>
          <w:szCs w:val="20"/>
        </w:rPr>
        <w:t>According to</w:t>
      </w:r>
      <w:r w:rsidR="00FC5DC8" w:rsidRPr="008D6E5C">
        <w:rPr>
          <w:rFonts w:ascii="Cambria" w:hAnsi="Cambria" w:cs="Arial"/>
          <w:color w:val="000000"/>
          <w:sz w:val="20"/>
          <w:szCs w:val="20"/>
        </w:rPr>
        <w:t xml:space="preserve"> </w:t>
      </w:r>
      <w:r w:rsidR="001766CB" w:rsidRPr="008D6E5C">
        <w:rPr>
          <w:rFonts w:ascii="Cambria" w:hAnsi="Cambria" w:cs="Arial"/>
          <w:color w:val="000000"/>
          <w:sz w:val="20"/>
          <w:szCs w:val="20"/>
        </w:rPr>
        <w:t>the petitioner</w:t>
      </w:r>
      <w:r w:rsidR="00FC5DC8" w:rsidRPr="008D6E5C">
        <w:rPr>
          <w:rFonts w:ascii="Cambria" w:hAnsi="Cambria" w:cs="Arial"/>
          <w:color w:val="000000"/>
          <w:sz w:val="20"/>
          <w:szCs w:val="20"/>
        </w:rPr>
        <w:t xml:space="preserve">, </w:t>
      </w:r>
      <w:r w:rsidRPr="008D6E5C">
        <w:rPr>
          <w:rFonts w:ascii="Cambria" w:hAnsi="Cambria" w:cs="Arial"/>
          <w:color w:val="000000"/>
          <w:sz w:val="20"/>
          <w:szCs w:val="20"/>
        </w:rPr>
        <w:t>the Prosecutor’s Office considered the risk posed to</w:t>
      </w:r>
      <w:r w:rsidR="00FC5DC8" w:rsidRPr="008D6E5C">
        <w:rPr>
          <w:rFonts w:ascii="Cambria" w:hAnsi="Cambria" w:cs="Arial"/>
          <w:color w:val="000000"/>
          <w:sz w:val="20"/>
          <w:szCs w:val="20"/>
        </w:rPr>
        <w:t xml:space="preserve"> Judith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Pr="008D6E5C">
        <w:rPr>
          <w:rFonts w:ascii="Cambria" w:hAnsi="Cambria" w:cs="Arial"/>
          <w:color w:val="000000"/>
          <w:sz w:val="20"/>
          <w:szCs w:val="20"/>
        </w:rPr>
        <w:t>and her nuclear family was serious.</w:t>
      </w:r>
      <w:r w:rsidR="00FC5DC8" w:rsidRPr="008D6E5C">
        <w:rPr>
          <w:rFonts w:ascii="Cambria" w:hAnsi="Cambria" w:cs="Arial"/>
          <w:color w:val="000000"/>
          <w:sz w:val="20"/>
          <w:szCs w:val="20"/>
        </w:rPr>
        <w:t xml:space="preserve"> </w:t>
      </w:r>
    </w:p>
    <w:p w:rsidR="00FC5DC8" w:rsidRPr="008D6E5C" w:rsidRDefault="00FC5DC8" w:rsidP="001520DB">
      <w:pPr>
        <w:jc w:val="both"/>
        <w:rPr>
          <w:rFonts w:ascii="Cambria" w:hAnsi="Cambria" w:cs="Arial"/>
          <w:color w:val="000000"/>
          <w:sz w:val="20"/>
          <w:szCs w:val="20"/>
        </w:rPr>
      </w:pPr>
    </w:p>
    <w:p w:rsidR="00FC5DC8" w:rsidRPr="008D6E5C" w:rsidRDefault="007A2CD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cs="Arial"/>
          <w:color w:val="000000"/>
          <w:sz w:val="20"/>
          <w:szCs w:val="20"/>
        </w:rPr>
        <w:t>The IAPA</w:t>
      </w:r>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stated that</w:t>
      </w:r>
      <w:r w:rsidR="00FC5DC8" w:rsidRPr="008D6E5C">
        <w:rPr>
          <w:rFonts w:ascii="Cambria" w:hAnsi="Cambria" w:cs="Arial"/>
          <w:color w:val="000000"/>
          <w:sz w:val="20"/>
          <w:szCs w:val="20"/>
        </w:rPr>
        <w:t xml:space="preserve"> Gloria Mercedes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sister</w:t>
      </w:r>
      <w:r w:rsidR="00FC5DC8" w:rsidRPr="008D6E5C">
        <w:rPr>
          <w:rFonts w:ascii="Cambria" w:hAnsi="Cambria" w:cs="Arial"/>
          <w:color w:val="000000"/>
          <w:sz w:val="20"/>
          <w:szCs w:val="20"/>
        </w:rPr>
        <w:t xml:space="preserve">), Luz </w:t>
      </w:r>
      <w:r w:rsidR="00E25B25" w:rsidRPr="008D6E5C">
        <w:rPr>
          <w:rFonts w:ascii="Cambria" w:hAnsi="Cambria" w:cs="Arial"/>
          <w:color w:val="000000"/>
          <w:sz w:val="20"/>
          <w:szCs w:val="20"/>
        </w:rPr>
        <w:t>Stella</w:t>
      </w:r>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Bolaños</w:t>
      </w:r>
      <w:proofErr w:type="spellEnd"/>
      <w:r w:rsidR="00FC5DC8" w:rsidRPr="008D6E5C">
        <w:rPr>
          <w:rFonts w:ascii="Cambria" w:hAnsi="Cambria" w:cs="Arial"/>
          <w:color w:val="000000"/>
          <w:sz w:val="20"/>
          <w:szCs w:val="20"/>
        </w:rPr>
        <w:t xml:space="preserve"> Rodríguez (</w:t>
      </w:r>
      <w:r w:rsidR="006C7C87" w:rsidRPr="008D6E5C">
        <w:rPr>
          <w:rFonts w:ascii="Cambria" w:hAnsi="Cambria" w:cs="Arial"/>
          <w:color w:val="000000"/>
          <w:sz w:val="20"/>
          <w:szCs w:val="20"/>
        </w:rPr>
        <w:t>spouse</w:t>
      </w:r>
      <w:r w:rsidR="00FC5DC8" w:rsidRPr="008D6E5C">
        <w:rPr>
          <w:rFonts w:ascii="Cambria" w:hAnsi="Cambria" w:cs="Arial"/>
          <w:color w:val="000000"/>
          <w:sz w:val="20"/>
          <w:szCs w:val="20"/>
        </w:rPr>
        <w:t>),</w:t>
      </w:r>
      <w:r w:rsidR="006C7C87" w:rsidRPr="008D6E5C">
        <w:rPr>
          <w:rFonts w:ascii="Cambria" w:hAnsi="Cambria" w:cs="Arial"/>
          <w:color w:val="000000"/>
          <w:sz w:val="20"/>
          <w:szCs w:val="20"/>
        </w:rPr>
        <w:t xml:space="preserve"> Paola Andrea </w:t>
      </w:r>
      <w:proofErr w:type="spellStart"/>
      <w:r w:rsidR="006C7C87" w:rsidRPr="008D6E5C">
        <w:rPr>
          <w:rFonts w:ascii="Cambria" w:hAnsi="Cambria" w:cs="Arial"/>
          <w:color w:val="000000"/>
          <w:sz w:val="20"/>
          <w:szCs w:val="20"/>
        </w:rPr>
        <w:t>Carvajal</w:t>
      </w:r>
      <w:proofErr w:type="spellEnd"/>
      <w:r w:rsidR="006C7C87" w:rsidRPr="008D6E5C">
        <w:rPr>
          <w:rFonts w:ascii="Cambria" w:hAnsi="Cambria" w:cs="Arial"/>
          <w:color w:val="000000"/>
          <w:sz w:val="20"/>
          <w:szCs w:val="20"/>
        </w:rPr>
        <w:t xml:space="preserve"> </w:t>
      </w:r>
      <w:proofErr w:type="spellStart"/>
      <w:r w:rsidR="006C7C87" w:rsidRPr="008D6E5C">
        <w:rPr>
          <w:rFonts w:ascii="Cambria" w:hAnsi="Cambria" w:cs="Arial"/>
          <w:color w:val="000000"/>
          <w:sz w:val="20"/>
          <w:szCs w:val="20"/>
        </w:rPr>
        <w:t>Bolaños</w:t>
      </w:r>
      <w:proofErr w:type="spellEnd"/>
      <w:r w:rsidR="006C7C87" w:rsidRPr="008D6E5C">
        <w:rPr>
          <w:rFonts w:ascii="Cambria" w:hAnsi="Cambria" w:cs="Arial"/>
          <w:color w:val="000000"/>
          <w:sz w:val="20"/>
          <w:szCs w:val="20"/>
        </w:rPr>
        <w:t>, and</w:t>
      </w:r>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María</w:t>
      </w:r>
      <w:proofErr w:type="spellEnd"/>
      <w:r w:rsidR="00FC5DC8" w:rsidRPr="008D6E5C">
        <w:rPr>
          <w:rFonts w:ascii="Cambria" w:hAnsi="Cambria" w:cs="Arial"/>
          <w:color w:val="000000"/>
          <w:sz w:val="20"/>
          <w:szCs w:val="20"/>
        </w:rPr>
        <w:t xml:space="preserve"> Alejandra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Bolaños</w:t>
      </w:r>
      <w:proofErr w:type="spellEnd"/>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daughters</w:t>
      </w:r>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 xml:space="preserve">requested asylum on August 10, 2006, and were granted refugee status on September </w:t>
      </w:r>
      <w:r w:rsidR="00FC5DC8" w:rsidRPr="008D6E5C">
        <w:rPr>
          <w:rFonts w:ascii="Cambria" w:hAnsi="Cambria" w:cs="Arial"/>
          <w:color w:val="000000"/>
          <w:sz w:val="20"/>
          <w:szCs w:val="20"/>
        </w:rPr>
        <w:t>15</w:t>
      </w:r>
      <w:r w:rsidR="006C7C87" w:rsidRPr="008D6E5C">
        <w:rPr>
          <w:rFonts w:ascii="Cambria" w:hAnsi="Cambria" w:cs="Arial"/>
          <w:color w:val="000000"/>
          <w:sz w:val="20"/>
          <w:szCs w:val="20"/>
        </w:rPr>
        <w:t>,</w:t>
      </w:r>
      <w:r w:rsidR="00FC5DC8" w:rsidRPr="008D6E5C">
        <w:rPr>
          <w:rFonts w:ascii="Cambria" w:hAnsi="Cambria" w:cs="Arial"/>
          <w:color w:val="000000"/>
          <w:sz w:val="20"/>
          <w:szCs w:val="20"/>
        </w:rPr>
        <w:t xml:space="preserve"> 2009. </w:t>
      </w:r>
      <w:r w:rsidR="00266186" w:rsidRPr="008D6E5C">
        <w:rPr>
          <w:rFonts w:ascii="Cambria" w:hAnsi="Cambria" w:cs="Arial"/>
          <w:color w:val="000000"/>
          <w:sz w:val="20"/>
          <w:szCs w:val="20"/>
        </w:rPr>
        <w:t>It asserted that</w:t>
      </w:r>
      <w:r w:rsidR="00FC5DC8" w:rsidRPr="008D6E5C">
        <w:rPr>
          <w:rFonts w:ascii="Cambria" w:hAnsi="Cambria" w:cs="Arial"/>
          <w:color w:val="000000"/>
          <w:sz w:val="20"/>
          <w:szCs w:val="20"/>
        </w:rPr>
        <w:t xml:space="preserve"> </w:t>
      </w:r>
      <w:r w:rsidR="005953D4" w:rsidRPr="008D6E5C">
        <w:rPr>
          <w:rFonts w:ascii="Cambria" w:hAnsi="Cambria" w:cs="Arial"/>
          <w:color w:val="000000"/>
          <w:sz w:val="20"/>
          <w:szCs w:val="20"/>
        </w:rPr>
        <w:t xml:space="preserve">the Office of the </w:t>
      </w:r>
      <w:r w:rsidR="00C866C8" w:rsidRPr="008D6E5C">
        <w:rPr>
          <w:rFonts w:ascii="Cambria" w:hAnsi="Cambria" w:cs="Arial"/>
          <w:color w:val="000000"/>
          <w:sz w:val="20"/>
          <w:szCs w:val="20"/>
        </w:rPr>
        <w:t>Prosecutor General of Colombia</w:t>
      </w:r>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made a note in</w:t>
      </w:r>
      <w:r w:rsidR="00FC5DC8" w:rsidRPr="008D6E5C">
        <w:rPr>
          <w:rFonts w:ascii="Cambria" w:hAnsi="Cambria" w:cs="Arial"/>
          <w:color w:val="000000"/>
          <w:sz w:val="20"/>
          <w:szCs w:val="20"/>
        </w:rPr>
        <w:t xml:space="preserve"> Nelson </w:t>
      </w:r>
      <w:proofErr w:type="spellStart"/>
      <w:r w:rsidR="00FC5DC8" w:rsidRPr="008D6E5C">
        <w:rPr>
          <w:rFonts w:ascii="Cambria" w:hAnsi="Cambria" w:cs="Arial"/>
          <w:color w:val="000000"/>
          <w:sz w:val="20"/>
          <w:szCs w:val="20"/>
        </w:rPr>
        <w:t>Carvajal</w:t>
      </w:r>
      <w:r w:rsidR="00266186" w:rsidRPr="008D6E5C">
        <w:rPr>
          <w:rFonts w:ascii="Cambria" w:hAnsi="Cambria" w:cs="Arial"/>
          <w:color w:val="000000"/>
          <w:sz w:val="20"/>
          <w:szCs w:val="20"/>
        </w:rPr>
        <w:t>’s</w:t>
      </w:r>
      <w:proofErr w:type="spellEnd"/>
      <w:r w:rsidR="00266186" w:rsidRPr="008D6E5C">
        <w:rPr>
          <w:rFonts w:ascii="Cambria" w:hAnsi="Cambria" w:cs="Arial"/>
          <w:color w:val="000000"/>
          <w:sz w:val="20"/>
          <w:szCs w:val="20"/>
        </w:rPr>
        <w:t xml:space="preserve"> case file of the</w:t>
      </w:r>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 xml:space="preserve">death </w:t>
      </w:r>
      <w:r w:rsidR="00EF5F24" w:rsidRPr="008D6E5C">
        <w:rPr>
          <w:rFonts w:ascii="Cambria" w:hAnsi="Cambria" w:cs="Arial"/>
          <w:color w:val="000000"/>
          <w:sz w:val="20"/>
          <w:szCs w:val="20"/>
        </w:rPr>
        <w:t>threats</w:t>
      </w:r>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received by</w:t>
      </w:r>
      <w:r w:rsidR="00FC5DC8" w:rsidRPr="008D6E5C">
        <w:rPr>
          <w:rFonts w:ascii="Cambria" w:hAnsi="Cambria" w:cs="Arial"/>
          <w:color w:val="000000"/>
          <w:sz w:val="20"/>
          <w:szCs w:val="20"/>
        </w:rPr>
        <w:t xml:space="preserve"> </w:t>
      </w:r>
      <w:r w:rsidR="00FC5DC8" w:rsidRPr="008D6E5C">
        <w:rPr>
          <w:rFonts w:ascii="Cambria" w:hAnsi="Cambria" w:cs="Arial"/>
          <w:color w:val="000000"/>
          <w:sz w:val="20"/>
          <w:szCs w:val="20"/>
        </w:rPr>
        <w:lastRenderedPageBreak/>
        <w:t xml:space="preserve">Gloria Mercedes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and the journalist’s daughters</w:t>
      </w:r>
      <w:r w:rsidR="006C7C87" w:rsidRPr="008D6E5C">
        <w:rPr>
          <w:rFonts w:ascii="Cambria" w:hAnsi="Cambria" w:cs="Arial"/>
          <w:color w:val="000000"/>
          <w:sz w:val="20"/>
          <w:szCs w:val="20"/>
        </w:rPr>
        <w:t xml:space="preserve"> Paola Andrea </w:t>
      </w:r>
      <w:proofErr w:type="spellStart"/>
      <w:r w:rsidR="006C7C87" w:rsidRPr="008D6E5C">
        <w:rPr>
          <w:rFonts w:ascii="Cambria" w:hAnsi="Cambria" w:cs="Arial"/>
          <w:color w:val="000000"/>
          <w:sz w:val="20"/>
          <w:szCs w:val="20"/>
        </w:rPr>
        <w:t>Carvajal</w:t>
      </w:r>
      <w:proofErr w:type="spellEnd"/>
      <w:r w:rsidR="006C7C87" w:rsidRPr="008D6E5C">
        <w:rPr>
          <w:rFonts w:ascii="Cambria" w:hAnsi="Cambria" w:cs="Arial"/>
          <w:color w:val="000000"/>
          <w:sz w:val="20"/>
          <w:szCs w:val="20"/>
        </w:rPr>
        <w:t xml:space="preserve"> </w:t>
      </w:r>
      <w:proofErr w:type="spellStart"/>
      <w:r w:rsidR="006C7C87" w:rsidRPr="008D6E5C">
        <w:rPr>
          <w:rFonts w:ascii="Cambria" w:hAnsi="Cambria" w:cs="Arial"/>
          <w:color w:val="000000"/>
          <w:sz w:val="20"/>
          <w:szCs w:val="20"/>
        </w:rPr>
        <w:t>Bolaños</w:t>
      </w:r>
      <w:proofErr w:type="spellEnd"/>
      <w:r w:rsidR="006C7C87" w:rsidRPr="008D6E5C">
        <w:rPr>
          <w:rFonts w:ascii="Cambria" w:hAnsi="Cambria" w:cs="Arial"/>
          <w:color w:val="000000"/>
          <w:sz w:val="20"/>
          <w:szCs w:val="20"/>
        </w:rPr>
        <w:t xml:space="preserve"> and</w:t>
      </w:r>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María</w:t>
      </w:r>
      <w:proofErr w:type="spellEnd"/>
      <w:r w:rsidR="00FC5DC8" w:rsidRPr="008D6E5C">
        <w:rPr>
          <w:rFonts w:ascii="Cambria" w:hAnsi="Cambria" w:cs="Arial"/>
          <w:color w:val="000000"/>
          <w:sz w:val="20"/>
          <w:szCs w:val="20"/>
        </w:rPr>
        <w:t xml:space="preserve"> Alejandra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Bolaños</w:t>
      </w:r>
      <w:proofErr w:type="spellEnd"/>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Finally, it stated that</w:t>
      </w:r>
      <w:r w:rsidR="00FC5DC8" w:rsidRPr="008D6E5C">
        <w:rPr>
          <w:rFonts w:ascii="Cambria" w:hAnsi="Cambria" w:cs="Arial"/>
          <w:color w:val="000000"/>
          <w:sz w:val="20"/>
          <w:szCs w:val="20"/>
        </w:rPr>
        <w:t xml:space="preserve"> Ruth </w:t>
      </w:r>
      <w:proofErr w:type="spellStart"/>
      <w:r w:rsidR="00FC5DC8" w:rsidRPr="008D6E5C">
        <w:rPr>
          <w:rFonts w:ascii="Cambria" w:hAnsi="Cambria" w:cs="Arial"/>
          <w:color w:val="000000"/>
          <w:sz w:val="20"/>
          <w:szCs w:val="20"/>
        </w:rPr>
        <w:t>Dary</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sister) and</w:t>
      </w:r>
      <w:r w:rsidR="00FC5DC8" w:rsidRPr="008D6E5C">
        <w:rPr>
          <w:rFonts w:ascii="Cambria" w:hAnsi="Cambria" w:cs="Arial"/>
          <w:color w:val="000000"/>
          <w:sz w:val="20"/>
          <w:szCs w:val="20"/>
        </w:rPr>
        <w:t xml:space="preserve"> César Augusto </w:t>
      </w:r>
      <w:proofErr w:type="spellStart"/>
      <w:r w:rsidR="00FC5DC8" w:rsidRPr="008D6E5C">
        <w:rPr>
          <w:rFonts w:ascii="Cambria" w:hAnsi="Cambria" w:cs="Arial"/>
          <w:color w:val="000000"/>
          <w:sz w:val="20"/>
          <w:szCs w:val="20"/>
        </w:rPr>
        <w:t>Meneses</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nephew</w:t>
      </w:r>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 xml:space="preserve">requested asylum on March </w:t>
      </w:r>
      <w:r w:rsidR="00FC5DC8" w:rsidRPr="008D6E5C">
        <w:rPr>
          <w:rFonts w:ascii="Cambria" w:hAnsi="Cambria" w:cs="Arial"/>
          <w:color w:val="000000"/>
          <w:sz w:val="20"/>
          <w:szCs w:val="20"/>
        </w:rPr>
        <w:t>12</w:t>
      </w:r>
      <w:r w:rsidR="006C7C87" w:rsidRPr="008D6E5C">
        <w:rPr>
          <w:rFonts w:ascii="Cambria" w:hAnsi="Cambria" w:cs="Arial"/>
          <w:color w:val="000000"/>
          <w:sz w:val="20"/>
          <w:szCs w:val="20"/>
        </w:rPr>
        <w:t>,</w:t>
      </w:r>
      <w:r w:rsidR="00FC5DC8" w:rsidRPr="008D6E5C">
        <w:rPr>
          <w:rFonts w:ascii="Cambria" w:hAnsi="Cambria" w:cs="Arial"/>
          <w:color w:val="000000"/>
          <w:sz w:val="20"/>
          <w:szCs w:val="20"/>
        </w:rPr>
        <w:t xml:space="preserve"> 2010</w:t>
      </w:r>
      <w:r w:rsidR="006C7C87" w:rsidRPr="008D6E5C">
        <w:rPr>
          <w:rFonts w:ascii="Cambria" w:hAnsi="Cambria" w:cs="Arial"/>
          <w:color w:val="000000"/>
          <w:sz w:val="20"/>
          <w:szCs w:val="20"/>
        </w:rPr>
        <w:t>,</w:t>
      </w:r>
      <w:r w:rsidR="00FC5DC8" w:rsidRPr="008D6E5C">
        <w:rPr>
          <w:rFonts w:ascii="Cambria" w:hAnsi="Cambria" w:cs="Arial"/>
          <w:color w:val="000000"/>
          <w:sz w:val="20"/>
          <w:szCs w:val="20"/>
        </w:rPr>
        <w:t xml:space="preserve"> </w:t>
      </w:r>
      <w:r w:rsidR="006C7C87" w:rsidRPr="008D6E5C">
        <w:rPr>
          <w:rFonts w:ascii="Cambria" w:hAnsi="Cambria" w:cs="Arial"/>
          <w:color w:val="000000"/>
          <w:sz w:val="20"/>
          <w:szCs w:val="20"/>
        </w:rPr>
        <w:t>and were granted refugee status on January</w:t>
      </w:r>
      <w:r w:rsidR="00FC5DC8" w:rsidRPr="008D6E5C">
        <w:rPr>
          <w:rFonts w:ascii="Cambria" w:hAnsi="Cambria" w:cs="Arial"/>
          <w:color w:val="000000"/>
          <w:sz w:val="20"/>
          <w:szCs w:val="20"/>
        </w:rPr>
        <w:t xml:space="preserve"> 18</w:t>
      </w:r>
      <w:r w:rsidR="006C7C87" w:rsidRPr="008D6E5C">
        <w:rPr>
          <w:rFonts w:ascii="Cambria" w:hAnsi="Cambria" w:cs="Arial"/>
          <w:color w:val="000000"/>
          <w:sz w:val="20"/>
          <w:szCs w:val="20"/>
        </w:rPr>
        <w:t>,</w:t>
      </w:r>
      <w:r w:rsidR="00FC5DC8" w:rsidRPr="008D6E5C">
        <w:rPr>
          <w:rFonts w:ascii="Cambria" w:hAnsi="Cambria" w:cs="Arial"/>
          <w:color w:val="000000"/>
          <w:sz w:val="20"/>
          <w:szCs w:val="20"/>
        </w:rPr>
        <w:t xml:space="preserve"> 2011. </w:t>
      </w:r>
      <w:r w:rsidR="00266186" w:rsidRPr="008D6E5C">
        <w:rPr>
          <w:rFonts w:ascii="Cambria" w:hAnsi="Cambria" w:cs="Arial"/>
          <w:color w:val="000000"/>
          <w:sz w:val="20"/>
          <w:szCs w:val="20"/>
        </w:rPr>
        <w:t>It indicated that</w:t>
      </w:r>
      <w:r w:rsidR="00FC5DC8" w:rsidRPr="008D6E5C">
        <w:rPr>
          <w:rFonts w:ascii="Cambria" w:hAnsi="Cambria" w:cs="Arial"/>
          <w:color w:val="000000"/>
          <w:sz w:val="20"/>
          <w:szCs w:val="20"/>
        </w:rPr>
        <w:t xml:space="preserve"> </w:t>
      </w:r>
      <w:r w:rsidR="005953D4" w:rsidRPr="008D6E5C">
        <w:rPr>
          <w:rFonts w:ascii="Cambria" w:hAnsi="Cambria" w:cs="Arial"/>
          <w:color w:val="000000"/>
          <w:sz w:val="20"/>
          <w:szCs w:val="20"/>
        </w:rPr>
        <w:t>the Office of the Prosecutor General</w:t>
      </w:r>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 xml:space="preserve">made a note in the case file of the </w:t>
      </w:r>
      <w:r w:rsidR="00EF5F24" w:rsidRPr="008D6E5C">
        <w:rPr>
          <w:rFonts w:ascii="Cambria" w:hAnsi="Cambria" w:cs="Arial"/>
          <w:color w:val="000000"/>
          <w:sz w:val="20"/>
          <w:szCs w:val="20"/>
        </w:rPr>
        <w:t>threats</w:t>
      </w:r>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 xml:space="preserve">against </w:t>
      </w:r>
      <w:r w:rsidR="00FC5DC8" w:rsidRPr="008D6E5C">
        <w:rPr>
          <w:rFonts w:ascii="Cambria" w:hAnsi="Cambria" w:cs="Arial"/>
          <w:color w:val="000000"/>
          <w:sz w:val="20"/>
          <w:szCs w:val="20"/>
        </w:rPr>
        <w:t xml:space="preserve">Ruth </w:t>
      </w:r>
      <w:proofErr w:type="spellStart"/>
      <w:r w:rsidR="00FC5DC8" w:rsidRPr="008D6E5C">
        <w:rPr>
          <w:rFonts w:ascii="Cambria" w:hAnsi="Cambria" w:cs="Arial"/>
          <w:color w:val="000000"/>
          <w:sz w:val="20"/>
          <w:szCs w:val="20"/>
        </w:rPr>
        <w:t>Dary</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proofErr w:type="spellStart"/>
      <w:r w:rsidR="00FC5DC8" w:rsidRPr="008D6E5C">
        <w:rPr>
          <w:rFonts w:ascii="Cambria" w:hAnsi="Cambria" w:cs="Arial"/>
          <w:color w:val="000000"/>
          <w:sz w:val="20"/>
          <w:szCs w:val="20"/>
        </w:rPr>
        <w:t>Carvajal</w:t>
      </w:r>
      <w:proofErr w:type="spellEnd"/>
      <w:r w:rsidR="00FC5DC8" w:rsidRPr="008D6E5C">
        <w:rPr>
          <w:rFonts w:ascii="Cambria" w:hAnsi="Cambria" w:cs="Arial"/>
          <w:color w:val="000000"/>
          <w:sz w:val="20"/>
          <w:szCs w:val="20"/>
        </w:rPr>
        <w:t xml:space="preserve">, </w:t>
      </w:r>
      <w:r w:rsidR="00266186" w:rsidRPr="008D6E5C">
        <w:rPr>
          <w:rFonts w:ascii="Cambria" w:hAnsi="Cambria" w:cs="Arial"/>
          <w:color w:val="000000"/>
          <w:sz w:val="20"/>
          <w:szCs w:val="20"/>
        </w:rPr>
        <w:t xml:space="preserve">and requested that the National Police provide security measures to the members of the family. </w:t>
      </w:r>
      <w:r w:rsidR="00FC5DC8" w:rsidRPr="008D6E5C">
        <w:rPr>
          <w:rFonts w:ascii="Cambria" w:hAnsi="Cambria" w:cs="Arial"/>
          <w:color w:val="000000"/>
          <w:sz w:val="20"/>
          <w:szCs w:val="20"/>
        </w:rPr>
        <w:t xml:space="preserve"> </w:t>
      </w:r>
    </w:p>
    <w:p w:rsidR="00FC5DC8" w:rsidRPr="008D6E5C" w:rsidRDefault="00FC5DC8" w:rsidP="001520DB">
      <w:pPr>
        <w:pStyle w:val="ListParagraph"/>
        <w:shd w:val="clear" w:color="auto" w:fill="FFFFFF"/>
        <w:ind w:left="0"/>
        <w:jc w:val="both"/>
        <w:rPr>
          <w:rFonts w:cs="Arial"/>
          <w:sz w:val="20"/>
          <w:szCs w:val="20"/>
        </w:rPr>
      </w:pPr>
    </w:p>
    <w:p w:rsidR="00FC5DC8" w:rsidRPr="008D6E5C" w:rsidRDefault="007A2CDF"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sz w:val="20"/>
          <w:szCs w:val="20"/>
        </w:rPr>
        <w:t>The State</w:t>
      </w:r>
      <w:r w:rsidR="00FC5DC8" w:rsidRPr="008D6E5C">
        <w:rPr>
          <w:rFonts w:ascii="Cambria" w:hAnsi="Cambria"/>
          <w:sz w:val="20"/>
          <w:szCs w:val="20"/>
        </w:rPr>
        <w:t xml:space="preserve"> </w:t>
      </w:r>
      <w:r w:rsidR="000D2F61" w:rsidRPr="008D6E5C">
        <w:rPr>
          <w:rFonts w:ascii="Cambria" w:hAnsi="Cambria"/>
          <w:sz w:val="20"/>
          <w:szCs w:val="20"/>
        </w:rPr>
        <w:t xml:space="preserve">questioned the inclusion in this international proceeding of information related to the departure of Nelson </w:t>
      </w:r>
      <w:proofErr w:type="spellStart"/>
      <w:r w:rsidR="000D2F61" w:rsidRPr="008D6E5C">
        <w:rPr>
          <w:rFonts w:ascii="Cambria" w:hAnsi="Cambria"/>
          <w:sz w:val="20"/>
          <w:szCs w:val="20"/>
        </w:rPr>
        <w:t>Carvajal</w:t>
      </w:r>
      <w:proofErr w:type="spellEnd"/>
      <w:r w:rsidR="000D2F61" w:rsidRPr="008D6E5C">
        <w:rPr>
          <w:rFonts w:ascii="Cambria" w:hAnsi="Cambria"/>
          <w:sz w:val="20"/>
          <w:szCs w:val="20"/>
        </w:rPr>
        <w:t xml:space="preserve"> </w:t>
      </w:r>
      <w:proofErr w:type="spellStart"/>
      <w:r w:rsidR="000D2F61" w:rsidRPr="008D6E5C">
        <w:rPr>
          <w:rFonts w:ascii="Cambria" w:hAnsi="Cambria"/>
          <w:sz w:val="20"/>
          <w:szCs w:val="20"/>
        </w:rPr>
        <w:t>Carvajal’s</w:t>
      </w:r>
      <w:proofErr w:type="spellEnd"/>
      <w:r w:rsidR="000D2F61" w:rsidRPr="008D6E5C">
        <w:rPr>
          <w:rFonts w:ascii="Cambria" w:hAnsi="Cambria"/>
          <w:sz w:val="20"/>
          <w:szCs w:val="20"/>
        </w:rPr>
        <w:t xml:space="preserve"> </w:t>
      </w:r>
      <w:r w:rsidR="00D1708C" w:rsidRPr="008D6E5C">
        <w:rPr>
          <w:rFonts w:ascii="Cambria" w:hAnsi="Cambria"/>
          <w:sz w:val="20"/>
          <w:szCs w:val="20"/>
        </w:rPr>
        <w:t xml:space="preserve">relatives </w:t>
      </w:r>
      <w:r w:rsidR="000D2F61" w:rsidRPr="008D6E5C">
        <w:rPr>
          <w:rFonts w:ascii="Cambria" w:hAnsi="Cambria"/>
          <w:sz w:val="20"/>
          <w:szCs w:val="20"/>
        </w:rPr>
        <w:t xml:space="preserve">from Colombia as refugees, considering that </w:t>
      </w:r>
      <w:r w:rsidR="001766CB" w:rsidRPr="008D6E5C">
        <w:rPr>
          <w:rFonts w:ascii="Cambria" w:hAnsi="Cambria"/>
          <w:sz w:val="20"/>
          <w:szCs w:val="20"/>
        </w:rPr>
        <w:t>the petitioner</w:t>
      </w:r>
      <w:r w:rsidR="00FC5DC8" w:rsidRPr="008D6E5C">
        <w:rPr>
          <w:rFonts w:ascii="Cambria" w:hAnsi="Cambria"/>
          <w:sz w:val="20"/>
          <w:szCs w:val="20"/>
        </w:rPr>
        <w:t xml:space="preserve"> </w:t>
      </w:r>
      <w:r w:rsidR="000D2F61" w:rsidRPr="008D6E5C">
        <w:rPr>
          <w:rFonts w:ascii="Cambria" w:hAnsi="Cambria"/>
          <w:sz w:val="20"/>
          <w:szCs w:val="20"/>
        </w:rPr>
        <w:t xml:space="preserve">had not submitted the respective asylum decisions. The </w:t>
      </w:r>
      <w:r w:rsidRPr="008D6E5C">
        <w:rPr>
          <w:rFonts w:ascii="Cambria" w:hAnsi="Cambria"/>
          <w:sz w:val="20"/>
          <w:szCs w:val="20"/>
        </w:rPr>
        <w:t>State</w:t>
      </w:r>
      <w:r w:rsidR="00FC5DC8" w:rsidRPr="008D6E5C">
        <w:rPr>
          <w:rFonts w:ascii="Cambria" w:hAnsi="Cambria"/>
          <w:sz w:val="20"/>
          <w:szCs w:val="20"/>
        </w:rPr>
        <w:t xml:space="preserve"> </w:t>
      </w:r>
      <w:r w:rsidR="000D2F61" w:rsidRPr="008D6E5C">
        <w:rPr>
          <w:rFonts w:ascii="Cambria" w:hAnsi="Cambria"/>
          <w:sz w:val="20"/>
          <w:szCs w:val="20"/>
        </w:rPr>
        <w:t xml:space="preserve">was of the opinion that this information had been submitted </w:t>
      </w:r>
      <w:r w:rsidR="00FC5DC8" w:rsidRPr="008D6E5C">
        <w:rPr>
          <w:rFonts w:ascii="Cambria" w:hAnsi="Cambria"/>
          <w:sz w:val="20"/>
          <w:szCs w:val="20"/>
        </w:rPr>
        <w:t>“</w:t>
      </w:r>
      <w:r w:rsidR="000D2F61" w:rsidRPr="008D6E5C">
        <w:rPr>
          <w:rFonts w:ascii="Cambria" w:hAnsi="Cambria"/>
          <w:sz w:val="20"/>
          <w:szCs w:val="20"/>
        </w:rPr>
        <w:t>for information purposes only,</w:t>
      </w:r>
      <w:r w:rsidR="007D59B5" w:rsidRPr="008D6E5C">
        <w:rPr>
          <w:rFonts w:ascii="Cambria" w:hAnsi="Cambria"/>
          <w:sz w:val="20"/>
          <w:szCs w:val="20"/>
        </w:rPr>
        <w:t xml:space="preserve"> with</w:t>
      </w:r>
      <w:r w:rsidR="000D2F61" w:rsidRPr="008D6E5C">
        <w:rPr>
          <w:rFonts w:ascii="Cambria" w:hAnsi="Cambria"/>
          <w:sz w:val="20"/>
          <w:szCs w:val="20"/>
        </w:rPr>
        <w:t xml:space="preserve"> no further observations</w:t>
      </w:r>
      <w:r w:rsidR="007D59B5" w:rsidRPr="008D6E5C">
        <w:rPr>
          <w:rFonts w:ascii="Cambria" w:hAnsi="Cambria"/>
          <w:sz w:val="20"/>
          <w:szCs w:val="20"/>
        </w:rPr>
        <w:t xml:space="preserve"> being admissible</w:t>
      </w:r>
      <w:r w:rsidR="000D2F61" w:rsidRPr="008D6E5C">
        <w:rPr>
          <w:rFonts w:ascii="Cambria" w:hAnsi="Cambria"/>
          <w:sz w:val="20"/>
          <w:szCs w:val="20"/>
        </w:rPr>
        <w:t>,</w:t>
      </w:r>
      <w:r w:rsidR="007D59B5" w:rsidRPr="008D6E5C">
        <w:rPr>
          <w:rFonts w:ascii="Cambria" w:hAnsi="Cambria"/>
          <w:sz w:val="20"/>
          <w:szCs w:val="20"/>
        </w:rPr>
        <w:t xml:space="preserve"> given</w:t>
      </w:r>
      <w:r w:rsidR="000D2F61" w:rsidRPr="008D6E5C">
        <w:rPr>
          <w:rFonts w:ascii="Cambria" w:hAnsi="Cambria"/>
          <w:sz w:val="20"/>
          <w:szCs w:val="20"/>
        </w:rPr>
        <w:t xml:space="preserve"> that the decisions [granting asylum] were not presented</w:t>
      </w:r>
      <w:r w:rsidR="001E31BC" w:rsidRPr="008D6E5C">
        <w:rPr>
          <w:rFonts w:ascii="Cambria" w:hAnsi="Cambria"/>
          <w:sz w:val="20"/>
          <w:szCs w:val="20"/>
        </w:rPr>
        <w:t>.</w:t>
      </w:r>
      <w:r w:rsidR="00FC5DC8" w:rsidRPr="008D6E5C">
        <w:rPr>
          <w:rFonts w:ascii="Cambria" w:hAnsi="Cambria"/>
          <w:sz w:val="20"/>
          <w:szCs w:val="20"/>
        </w:rPr>
        <w:t>”</w:t>
      </w:r>
      <w:r w:rsidR="00FC5DC8" w:rsidRPr="008D6E5C">
        <w:rPr>
          <w:rFonts w:ascii="Cambria" w:hAnsi="Cambria"/>
          <w:sz w:val="20"/>
          <w:szCs w:val="20"/>
          <w:vertAlign w:val="superscript"/>
        </w:rPr>
        <w:footnoteReference w:id="181"/>
      </w:r>
    </w:p>
    <w:p w:rsidR="00FC5DC8" w:rsidRPr="008D6E5C" w:rsidRDefault="00FC5DC8" w:rsidP="001520DB">
      <w:pPr>
        <w:jc w:val="both"/>
        <w:rPr>
          <w:rFonts w:ascii="Cambria" w:hAnsi="Cambria"/>
          <w:color w:val="000000"/>
          <w:sz w:val="20"/>
          <w:szCs w:val="20"/>
        </w:rPr>
      </w:pPr>
    </w:p>
    <w:p w:rsidR="00FC5DC8" w:rsidRPr="008D6E5C" w:rsidRDefault="001E31BC"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olor w:val="000000"/>
          <w:sz w:val="20"/>
          <w:szCs w:val="20"/>
        </w:rPr>
      </w:pPr>
      <w:r w:rsidRPr="008D6E5C">
        <w:rPr>
          <w:rFonts w:ascii="Cambria" w:hAnsi="Cambria"/>
          <w:sz w:val="20"/>
          <w:szCs w:val="20"/>
        </w:rPr>
        <w:t>In this case,</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Pr="008D6E5C">
        <w:rPr>
          <w:rFonts w:ascii="Cambria" w:hAnsi="Cambria"/>
          <w:sz w:val="20"/>
          <w:szCs w:val="20"/>
        </w:rPr>
        <w:t xml:space="preserve">has found that </w:t>
      </w:r>
      <w:r w:rsidR="00D1708C" w:rsidRPr="008D6E5C">
        <w:rPr>
          <w:rFonts w:ascii="Cambria" w:hAnsi="Cambria"/>
          <w:sz w:val="20"/>
          <w:szCs w:val="20"/>
        </w:rPr>
        <w:t>Nelson</w:t>
      </w:r>
      <w:r w:rsidR="00F85360" w:rsidRPr="008D6E5C">
        <w:rPr>
          <w:rFonts w:ascii="Cambria" w:hAnsi="Cambria"/>
          <w:sz w:val="20"/>
          <w:szCs w:val="20"/>
        </w:rPr>
        <w:t xml:space="preserve"> </w:t>
      </w:r>
      <w:proofErr w:type="spellStart"/>
      <w:r w:rsidR="00F85360" w:rsidRPr="008D6E5C">
        <w:rPr>
          <w:rFonts w:ascii="Cambria" w:hAnsi="Cambria"/>
          <w:sz w:val="20"/>
          <w:szCs w:val="20"/>
        </w:rPr>
        <w:t>Carvajal’s</w:t>
      </w:r>
      <w:proofErr w:type="spellEnd"/>
      <w:r w:rsidR="00F85360" w:rsidRPr="008D6E5C">
        <w:rPr>
          <w:rFonts w:ascii="Cambria" w:hAnsi="Cambria"/>
          <w:sz w:val="20"/>
          <w:szCs w:val="20"/>
        </w:rPr>
        <w:t xml:space="preserve"> relatives </w:t>
      </w:r>
      <w:r w:rsidRPr="008D6E5C">
        <w:rPr>
          <w:rFonts w:ascii="Cambria" w:hAnsi="Cambria"/>
          <w:sz w:val="20"/>
          <w:szCs w:val="20"/>
        </w:rPr>
        <w:t>have been victims of</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00F85360" w:rsidRPr="008D6E5C">
        <w:rPr>
          <w:rFonts w:ascii="Cambria" w:hAnsi="Cambria"/>
          <w:sz w:val="20"/>
          <w:szCs w:val="20"/>
        </w:rPr>
        <w:t xml:space="preserve">and harassment subsequent to his murder, that the authorities knew of these threats, and that the </w:t>
      </w:r>
      <w:r w:rsidR="007A2CDF" w:rsidRPr="008D6E5C">
        <w:rPr>
          <w:rFonts w:ascii="Cambria" w:hAnsi="Cambria"/>
          <w:sz w:val="20"/>
          <w:szCs w:val="20"/>
        </w:rPr>
        <w:t>State</w:t>
      </w:r>
      <w:r w:rsidR="00FC5DC8" w:rsidRPr="008D6E5C">
        <w:rPr>
          <w:rFonts w:ascii="Cambria" w:hAnsi="Cambria"/>
          <w:sz w:val="20"/>
          <w:szCs w:val="20"/>
        </w:rPr>
        <w:t xml:space="preserve"> </w:t>
      </w:r>
      <w:r w:rsidR="00F85360" w:rsidRPr="008D6E5C">
        <w:rPr>
          <w:rFonts w:ascii="Cambria" w:hAnsi="Cambria"/>
          <w:sz w:val="20"/>
          <w:szCs w:val="20"/>
        </w:rPr>
        <w:t>failed to implement effective measures to protect them and also failed to conduct an investigation to establish the facts and punish the perpetrators of those threats</w:t>
      </w:r>
      <w:r w:rsidR="00FC5DC8" w:rsidRPr="008D6E5C">
        <w:rPr>
          <w:rFonts w:ascii="Cambria" w:hAnsi="Cambria"/>
          <w:sz w:val="20"/>
          <w:szCs w:val="20"/>
        </w:rPr>
        <w:t xml:space="preserve">. </w:t>
      </w:r>
      <w:r w:rsidR="00F85360" w:rsidRPr="008D6E5C">
        <w:rPr>
          <w:rFonts w:ascii="Cambria" w:hAnsi="Cambria"/>
          <w:sz w:val="20"/>
          <w:szCs w:val="20"/>
        </w:rPr>
        <w:t>The Colombian</w:t>
      </w:r>
      <w:r w:rsidR="007A2CDF" w:rsidRPr="008D6E5C">
        <w:rPr>
          <w:rFonts w:ascii="Cambria" w:hAnsi="Cambria"/>
          <w:sz w:val="20"/>
          <w:szCs w:val="20"/>
        </w:rPr>
        <w:t xml:space="preserve"> State</w:t>
      </w:r>
      <w:r w:rsidR="00FC5DC8" w:rsidRPr="008D6E5C">
        <w:rPr>
          <w:rFonts w:ascii="Cambria" w:hAnsi="Cambria"/>
          <w:sz w:val="20"/>
          <w:szCs w:val="20"/>
        </w:rPr>
        <w:t xml:space="preserve"> </w:t>
      </w:r>
      <w:r w:rsidR="00F85360" w:rsidRPr="008D6E5C">
        <w:rPr>
          <w:rFonts w:ascii="Cambria" w:hAnsi="Cambria"/>
          <w:sz w:val="20"/>
          <w:szCs w:val="20"/>
        </w:rPr>
        <w:t xml:space="preserve">acknowledged this situation, confirming that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r w:rsidR="00F85360" w:rsidRPr="008D6E5C">
        <w:rPr>
          <w:rFonts w:ascii="Cambria" w:hAnsi="Cambria"/>
          <w:sz w:val="20"/>
          <w:szCs w:val="20"/>
        </w:rPr>
        <w:t>’s</w:t>
      </w:r>
      <w:proofErr w:type="spellEnd"/>
      <w:r w:rsidR="00F85360" w:rsidRPr="008D6E5C">
        <w:rPr>
          <w:rFonts w:ascii="Cambria" w:hAnsi="Cambria"/>
          <w:sz w:val="20"/>
          <w:szCs w:val="20"/>
        </w:rPr>
        <w:t xml:space="preserve"> case was plagued by</w:t>
      </w:r>
      <w:r w:rsidR="00FC5DC8" w:rsidRPr="008D6E5C">
        <w:rPr>
          <w:rFonts w:ascii="Cambria" w:hAnsi="Cambria"/>
          <w:sz w:val="20"/>
          <w:szCs w:val="20"/>
        </w:rPr>
        <w:t xml:space="preserve"> </w:t>
      </w:r>
      <w:r w:rsidR="00EF5F24" w:rsidRPr="008D6E5C">
        <w:rPr>
          <w:rFonts w:ascii="Cambria" w:hAnsi="Cambria"/>
          <w:sz w:val="20"/>
          <w:szCs w:val="20"/>
        </w:rPr>
        <w:t>threats</w:t>
      </w:r>
      <w:r w:rsidR="00FC5DC8" w:rsidRPr="008D6E5C">
        <w:rPr>
          <w:rFonts w:ascii="Cambria" w:hAnsi="Cambria"/>
          <w:sz w:val="20"/>
          <w:szCs w:val="20"/>
        </w:rPr>
        <w:t xml:space="preserve"> </w:t>
      </w:r>
      <w:r w:rsidR="00F85360" w:rsidRPr="008D6E5C">
        <w:rPr>
          <w:rFonts w:ascii="Cambria" w:hAnsi="Cambria"/>
          <w:sz w:val="20"/>
          <w:szCs w:val="20"/>
        </w:rPr>
        <w:t>to</w:t>
      </w:r>
      <w:r w:rsidR="00FC5DC8" w:rsidRPr="008D6E5C">
        <w:rPr>
          <w:rFonts w:ascii="Cambria" w:hAnsi="Cambria"/>
          <w:sz w:val="20"/>
          <w:szCs w:val="20"/>
        </w:rPr>
        <w:t xml:space="preserve"> </w:t>
      </w:r>
      <w:r w:rsidR="000D705D" w:rsidRPr="008D6E5C">
        <w:rPr>
          <w:rFonts w:ascii="Cambria" w:hAnsi="Cambria"/>
          <w:sz w:val="20"/>
          <w:szCs w:val="20"/>
        </w:rPr>
        <w:t>the journalist</w:t>
      </w:r>
      <w:r w:rsidR="00F85360" w:rsidRPr="008D6E5C">
        <w:rPr>
          <w:rFonts w:ascii="Cambria" w:hAnsi="Cambria"/>
          <w:sz w:val="20"/>
          <w:szCs w:val="20"/>
        </w:rPr>
        <w:t xml:space="preserve"> </w:t>
      </w:r>
      <w:r w:rsidR="001000C6" w:rsidRPr="008D6E5C">
        <w:rPr>
          <w:rFonts w:ascii="Cambria" w:hAnsi="Cambria"/>
          <w:sz w:val="20"/>
          <w:szCs w:val="20"/>
        </w:rPr>
        <w:t>relatives</w:t>
      </w:r>
      <w:r w:rsidRPr="008D6E5C">
        <w:rPr>
          <w:rFonts w:ascii="Cambria" w:hAnsi="Cambria"/>
          <w:sz w:val="20"/>
          <w:szCs w:val="20"/>
        </w:rPr>
        <w:t>.</w:t>
      </w:r>
      <w:r w:rsidR="00FC5DC8" w:rsidRPr="008D6E5C">
        <w:rPr>
          <w:rStyle w:val="FootnoteReference"/>
          <w:rFonts w:ascii="Cambria" w:hAnsi="Cambria"/>
          <w:sz w:val="20"/>
          <w:szCs w:val="20"/>
        </w:rPr>
        <w:footnoteReference w:id="182"/>
      </w:r>
      <w:r w:rsidRPr="008D6E5C">
        <w:rPr>
          <w:rFonts w:ascii="Cambria" w:hAnsi="Cambria" w:cs="Arial"/>
          <w:sz w:val="20"/>
          <w:szCs w:val="20"/>
        </w:rPr>
        <w:t xml:space="preserve"> </w:t>
      </w:r>
      <w:r w:rsidR="00F85360" w:rsidRPr="008D6E5C">
        <w:rPr>
          <w:rFonts w:ascii="Cambria" w:hAnsi="Cambria"/>
          <w:sz w:val="20"/>
          <w:szCs w:val="20"/>
        </w:rPr>
        <w:t>In the case of</w:t>
      </w:r>
      <w:r w:rsidR="00FC5DC8" w:rsidRPr="008D6E5C">
        <w:rPr>
          <w:rFonts w:ascii="Cambria" w:hAnsi="Cambria"/>
          <w:sz w:val="20"/>
          <w:szCs w:val="20"/>
        </w:rPr>
        <w:t xml:space="preserve"> 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F85360" w:rsidRPr="008D6E5C">
        <w:rPr>
          <w:rFonts w:ascii="Cambria" w:hAnsi="Cambria"/>
          <w:sz w:val="20"/>
          <w:szCs w:val="20"/>
        </w:rPr>
        <w:t>although she was included in the</w:t>
      </w:r>
      <w:r w:rsidR="00FC5DC8" w:rsidRPr="008D6E5C">
        <w:rPr>
          <w:rFonts w:ascii="Cambria" w:hAnsi="Cambria"/>
          <w:sz w:val="20"/>
          <w:szCs w:val="20"/>
        </w:rPr>
        <w:t xml:space="preserve"> </w:t>
      </w:r>
      <w:r w:rsidR="00F85360" w:rsidRPr="008D6E5C">
        <w:rPr>
          <w:rFonts w:ascii="Cambria" w:hAnsi="Cambria"/>
          <w:sz w:val="20"/>
          <w:szCs w:val="20"/>
        </w:rPr>
        <w:t xml:space="preserve">Office of the Prosecutor General’s </w:t>
      </w:r>
      <w:r w:rsidR="009722A3" w:rsidRPr="008D6E5C">
        <w:rPr>
          <w:rFonts w:ascii="Cambria" w:hAnsi="Cambria"/>
          <w:sz w:val="20"/>
          <w:szCs w:val="20"/>
        </w:rPr>
        <w:t>Protection Program</w:t>
      </w:r>
      <w:r w:rsidR="00FC5DC8" w:rsidRPr="008D6E5C">
        <w:rPr>
          <w:rFonts w:ascii="Cambria" w:hAnsi="Cambria"/>
          <w:sz w:val="20"/>
          <w:szCs w:val="20"/>
        </w:rPr>
        <w:t xml:space="preserve"> </w:t>
      </w:r>
      <w:r w:rsidR="00F85360" w:rsidRPr="008D6E5C">
        <w:rPr>
          <w:rFonts w:ascii="Cambria" w:hAnsi="Cambria"/>
          <w:sz w:val="20"/>
          <w:szCs w:val="20"/>
        </w:rPr>
        <w:t>for Victims and</w:t>
      </w:r>
      <w:r w:rsidR="00FC5DC8" w:rsidRPr="008D6E5C">
        <w:rPr>
          <w:rFonts w:ascii="Cambria" w:hAnsi="Cambria"/>
          <w:sz w:val="20"/>
          <w:szCs w:val="20"/>
        </w:rPr>
        <w:t xml:space="preserve"> </w:t>
      </w:r>
      <w:r w:rsidR="001000C6" w:rsidRPr="008D6E5C">
        <w:rPr>
          <w:rFonts w:ascii="Cambria" w:hAnsi="Cambria"/>
          <w:sz w:val="20"/>
          <w:szCs w:val="20"/>
        </w:rPr>
        <w:t>Witnesses</w:t>
      </w:r>
      <w:r w:rsidR="00FC5DC8" w:rsidRPr="008D6E5C">
        <w:rPr>
          <w:rFonts w:ascii="Cambria" w:hAnsi="Cambria"/>
          <w:sz w:val="20"/>
          <w:szCs w:val="20"/>
        </w:rPr>
        <w:t xml:space="preserve">, </w:t>
      </w:r>
      <w:r w:rsidR="00F85360" w:rsidRPr="008D6E5C">
        <w:rPr>
          <w:rFonts w:ascii="Cambria" w:hAnsi="Cambria"/>
          <w:sz w:val="20"/>
          <w:szCs w:val="20"/>
        </w:rPr>
        <w:t>a</w:t>
      </w:r>
      <w:r w:rsidR="00112DAD" w:rsidRPr="008D6E5C">
        <w:rPr>
          <w:rFonts w:ascii="Cambria" w:hAnsi="Cambria"/>
          <w:sz w:val="20"/>
          <w:szCs w:val="20"/>
        </w:rPr>
        <w:t>s stated in the case file</w:t>
      </w:r>
      <w:r w:rsidR="00FC5DC8" w:rsidRPr="008D6E5C">
        <w:rPr>
          <w:rFonts w:ascii="Cambria" w:hAnsi="Cambria"/>
          <w:sz w:val="20"/>
          <w:szCs w:val="20"/>
        </w:rPr>
        <w:t xml:space="preserve">, </w:t>
      </w:r>
      <w:r w:rsidR="00F85360" w:rsidRPr="008D6E5C">
        <w:rPr>
          <w:rFonts w:ascii="Cambria" w:hAnsi="Cambria"/>
          <w:sz w:val="20"/>
          <w:szCs w:val="20"/>
        </w:rPr>
        <w:t xml:space="preserve">that measure was not effective and </w:t>
      </w:r>
      <w:r w:rsidR="00C02EBC" w:rsidRPr="008D6E5C">
        <w:rPr>
          <w:rFonts w:ascii="Cambria" w:hAnsi="Cambria"/>
          <w:sz w:val="20"/>
          <w:szCs w:val="20"/>
        </w:rPr>
        <w:t>she</w:t>
      </w:r>
      <w:r w:rsidR="00F85360" w:rsidRPr="008D6E5C">
        <w:rPr>
          <w:rFonts w:ascii="Cambria" w:hAnsi="Cambria"/>
          <w:sz w:val="20"/>
          <w:szCs w:val="20"/>
        </w:rPr>
        <w:t xml:space="preserve"> was forced to leave the country. </w:t>
      </w:r>
      <w:r w:rsidR="00FC5DC8" w:rsidRPr="008D6E5C">
        <w:rPr>
          <w:rFonts w:ascii="Cambria" w:hAnsi="Cambria"/>
          <w:sz w:val="20"/>
          <w:szCs w:val="20"/>
        </w:rPr>
        <w:t xml:space="preserve"> </w:t>
      </w:r>
    </w:p>
    <w:p w:rsidR="00FC5DC8" w:rsidRPr="008D6E5C" w:rsidRDefault="00FC5DC8" w:rsidP="001520DB">
      <w:pPr>
        <w:jc w:val="both"/>
        <w:rPr>
          <w:rFonts w:ascii="Cambria" w:hAnsi="Cambria"/>
          <w:color w:val="000000"/>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sz w:val="20"/>
          <w:szCs w:val="20"/>
        </w:rPr>
        <w:t>The Commission</w:t>
      </w:r>
      <w:r w:rsidR="00FC5DC8" w:rsidRPr="008D6E5C">
        <w:rPr>
          <w:rFonts w:ascii="Cambria" w:hAnsi="Cambria"/>
          <w:sz w:val="20"/>
          <w:szCs w:val="20"/>
        </w:rPr>
        <w:t xml:space="preserve"> </w:t>
      </w:r>
      <w:r w:rsidR="001E31BC" w:rsidRPr="008D6E5C">
        <w:rPr>
          <w:rFonts w:ascii="Cambria" w:hAnsi="Cambria"/>
          <w:sz w:val="20"/>
          <w:szCs w:val="20"/>
        </w:rPr>
        <w:t>finds that</w:t>
      </w:r>
      <w:r w:rsidR="00FC5DC8" w:rsidRPr="008D6E5C">
        <w:rPr>
          <w:rFonts w:ascii="Cambria" w:hAnsi="Cambria"/>
          <w:sz w:val="20"/>
          <w:szCs w:val="20"/>
        </w:rPr>
        <w:t xml:space="preserve">, </w:t>
      </w:r>
      <w:r w:rsidR="001E31BC" w:rsidRPr="008D6E5C">
        <w:rPr>
          <w:rFonts w:ascii="Cambria" w:hAnsi="Cambria"/>
          <w:sz w:val="20"/>
          <w:szCs w:val="20"/>
        </w:rPr>
        <w:t>in this context</w:t>
      </w:r>
      <w:r w:rsidR="00FC5DC8" w:rsidRPr="008D6E5C">
        <w:rPr>
          <w:rFonts w:ascii="Cambria" w:hAnsi="Cambria"/>
          <w:sz w:val="20"/>
          <w:szCs w:val="20"/>
        </w:rPr>
        <w:t xml:space="preserve">, </w:t>
      </w:r>
      <w:r w:rsidR="00FF66DA" w:rsidRPr="008D6E5C">
        <w:rPr>
          <w:rFonts w:ascii="Cambria" w:hAnsi="Cambria"/>
          <w:sz w:val="20"/>
          <w:szCs w:val="20"/>
        </w:rPr>
        <w:t>the information provided by</w:t>
      </w:r>
      <w:r w:rsidR="00FC5DC8" w:rsidRPr="008D6E5C">
        <w:rPr>
          <w:rFonts w:ascii="Cambria" w:hAnsi="Cambria"/>
          <w:sz w:val="20"/>
          <w:szCs w:val="20"/>
        </w:rPr>
        <w:t xml:space="preserve"> </w:t>
      </w:r>
      <w:r w:rsidR="001766CB" w:rsidRPr="008D6E5C">
        <w:rPr>
          <w:rFonts w:ascii="Cambria" w:hAnsi="Cambria"/>
          <w:sz w:val="20"/>
          <w:szCs w:val="20"/>
        </w:rPr>
        <w:t>the petitioner</w:t>
      </w:r>
      <w:r w:rsidR="00FF66DA" w:rsidRPr="008D6E5C">
        <w:rPr>
          <w:rFonts w:ascii="Cambria" w:hAnsi="Cambria"/>
          <w:sz w:val="20"/>
          <w:szCs w:val="20"/>
        </w:rPr>
        <w:t xml:space="preserve"> and the evidence contained in the case file</w:t>
      </w:r>
      <w:r w:rsidR="00FC5DC8" w:rsidRPr="008D6E5C">
        <w:rPr>
          <w:rFonts w:ascii="Cambria" w:hAnsi="Cambria"/>
          <w:sz w:val="20"/>
          <w:szCs w:val="20"/>
        </w:rPr>
        <w:t xml:space="preserve"> </w:t>
      </w:r>
      <w:r w:rsidR="00FF66DA" w:rsidRPr="008D6E5C">
        <w:rPr>
          <w:rFonts w:ascii="Cambria" w:hAnsi="Cambria"/>
          <w:sz w:val="20"/>
          <w:szCs w:val="20"/>
        </w:rPr>
        <w:t xml:space="preserve">are sufficiently consistent and accurate to establish that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r w:rsidR="00FF66DA" w:rsidRPr="008D6E5C">
        <w:rPr>
          <w:rFonts w:ascii="Cambria" w:hAnsi="Cambria"/>
          <w:sz w:val="20"/>
          <w:szCs w:val="20"/>
        </w:rPr>
        <w:t>’s</w:t>
      </w:r>
      <w:proofErr w:type="spellEnd"/>
      <w:r w:rsidR="00FF66DA" w:rsidRPr="008D6E5C">
        <w:rPr>
          <w:rFonts w:ascii="Cambria" w:hAnsi="Cambria"/>
          <w:sz w:val="20"/>
          <w:szCs w:val="20"/>
        </w:rPr>
        <w:t xml:space="preserve"> relatives were in fact forced to leave</w:t>
      </w:r>
      <w:r w:rsidR="00FC5DC8" w:rsidRPr="008D6E5C">
        <w:rPr>
          <w:rFonts w:ascii="Cambria" w:hAnsi="Cambria"/>
          <w:sz w:val="20"/>
          <w:szCs w:val="20"/>
        </w:rPr>
        <w:t xml:space="preserve"> Colombia </w:t>
      </w:r>
      <w:r w:rsidR="00FF66DA" w:rsidRPr="008D6E5C">
        <w:rPr>
          <w:rFonts w:ascii="Cambria" w:hAnsi="Cambria"/>
          <w:sz w:val="20"/>
          <w:szCs w:val="20"/>
        </w:rPr>
        <w:t xml:space="preserve">due to well-founded fears for their safety. </w:t>
      </w:r>
      <w:r w:rsidR="00FC5DC8" w:rsidRPr="008D6E5C">
        <w:rPr>
          <w:rFonts w:ascii="Cambria" w:hAnsi="Cambria"/>
          <w:sz w:val="20"/>
          <w:szCs w:val="20"/>
        </w:rPr>
        <w:t xml:space="preserve"> </w:t>
      </w:r>
      <w:r w:rsidR="007A2CDF" w:rsidRPr="008D6E5C">
        <w:rPr>
          <w:rFonts w:ascii="Cambria" w:hAnsi="Cambria"/>
          <w:sz w:val="20"/>
          <w:szCs w:val="20"/>
        </w:rPr>
        <w:t>The State</w:t>
      </w:r>
      <w:r w:rsidR="00FC5DC8" w:rsidRPr="008D6E5C">
        <w:rPr>
          <w:rFonts w:ascii="Cambria" w:hAnsi="Cambria"/>
          <w:sz w:val="20"/>
          <w:szCs w:val="20"/>
        </w:rPr>
        <w:t xml:space="preserve"> </w:t>
      </w:r>
      <w:r w:rsidR="00FF66DA" w:rsidRPr="008D6E5C">
        <w:rPr>
          <w:rFonts w:ascii="Cambria" w:hAnsi="Cambria"/>
          <w:sz w:val="20"/>
          <w:szCs w:val="20"/>
        </w:rPr>
        <w:t>did not provide any evidence to demonstrate that it took actions to protect the members of this family, prevent their displacement, or facilitate their return, and</w:t>
      </w:r>
      <w:r w:rsidR="00FC5DC8" w:rsidRPr="008D6E5C">
        <w:rPr>
          <w:rFonts w:ascii="Cambria" w:hAnsi="Cambria"/>
          <w:sz w:val="20"/>
          <w:szCs w:val="20"/>
        </w:rPr>
        <w:t xml:space="preserve"> </w:t>
      </w:r>
      <w:r w:rsidRPr="008D6E5C">
        <w:rPr>
          <w:rFonts w:ascii="Cambria" w:hAnsi="Cambria"/>
          <w:sz w:val="20"/>
          <w:szCs w:val="20"/>
        </w:rPr>
        <w:t>the IACHR</w:t>
      </w:r>
      <w:r w:rsidR="00FC5DC8" w:rsidRPr="008D6E5C">
        <w:rPr>
          <w:rFonts w:ascii="Cambria" w:hAnsi="Cambria"/>
          <w:sz w:val="20"/>
          <w:szCs w:val="20"/>
        </w:rPr>
        <w:t xml:space="preserve"> </w:t>
      </w:r>
      <w:r w:rsidR="00FF66DA" w:rsidRPr="008D6E5C">
        <w:rPr>
          <w:rFonts w:ascii="Cambria" w:hAnsi="Cambria"/>
          <w:sz w:val="20"/>
          <w:szCs w:val="20"/>
        </w:rPr>
        <w:t>has no evidence leading to any conclusion other than</w:t>
      </w:r>
      <w:r w:rsidR="00FC5DC8" w:rsidRPr="008D6E5C">
        <w:rPr>
          <w:rFonts w:ascii="Cambria" w:hAnsi="Cambria"/>
          <w:sz w:val="20"/>
          <w:szCs w:val="20"/>
        </w:rPr>
        <w:t xml:space="preserve"> </w:t>
      </w:r>
      <w:r w:rsidR="00FF66DA" w:rsidRPr="008D6E5C">
        <w:rPr>
          <w:rFonts w:ascii="Cambria" w:hAnsi="Cambria"/>
          <w:sz w:val="20"/>
          <w:szCs w:val="20"/>
        </w:rPr>
        <w:t>what</w:t>
      </w:r>
      <w:r w:rsidR="00FC5DC8" w:rsidRPr="008D6E5C">
        <w:rPr>
          <w:rFonts w:ascii="Cambria" w:hAnsi="Cambria"/>
          <w:sz w:val="20"/>
          <w:szCs w:val="20"/>
        </w:rPr>
        <w:t xml:space="preserve"> </w:t>
      </w:r>
      <w:r w:rsidR="001766CB" w:rsidRPr="008D6E5C">
        <w:rPr>
          <w:rFonts w:ascii="Cambria" w:hAnsi="Cambria"/>
          <w:sz w:val="20"/>
          <w:szCs w:val="20"/>
        </w:rPr>
        <w:t>the petitioner</w:t>
      </w:r>
      <w:r w:rsidR="00FC5DC8" w:rsidRPr="008D6E5C">
        <w:rPr>
          <w:rFonts w:ascii="Cambria" w:hAnsi="Cambria"/>
          <w:sz w:val="20"/>
          <w:szCs w:val="20"/>
        </w:rPr>
        <w:t xml:space="preserve"> </w:t>
      </w:r>
      <w:r w:rsidR="00FF66DA" w:rsidRPr="008D6E5C">
        <w:rPr>
          <w:rFonts w:ascii="Cambria" w:hAnsi="Cambria"/>
          <w:sz w:val="20"/>
          <w:szCs w:val="20"/>
        </w:rPr>
        <w:t>has reported with respect to the matter</w:t>
      </w:r>
      <w:r w:rsidR="00FC5DC8" w:rsidRPr="008D6E5C">
        <w:rPr>
          <w:rFonts w:ascii="Cambria" w:hAnsi="Cambria"/>
          <w:sz w:val="20"/>
          <w:szCs w:val="20"/>
        </w:rPr>
        <w:t xml:space="preserve">. </w:t>
      </w:r>
      <w:r w:rsidR="00FF66DA" w:rsidRPr="008D6E5C">
        <w:rPr>
          <w:rFonts w:ascii="Cambria" w:hAnsi="Cambria"/>
          <w:sz w:val="20"/>
          <w:szCs w:val="20"/>
        </w:rPr>
        <w:t>Indeed</w:t>
      </w:r>
      <w:r w:rsidR="00FC5DC8" w:rsidRPr="008D6E5C">
        <w:rPr>
          <w:rFonts w:ascii="Cambria" w:hAnsi="Cambria"/>
          <w:sz w:val="20"/>
          <w:szCs w:val="20"/>
        </w:rPr>
        <w:t xml:space="preserve">, </w:t>
      </w:r>
      <w:r w:rsidRPr="008D6E5C">
        <w:rPr>
          <w:rFonts w:ascii="Cambria" w:hAnsi="Cambria"/>
          <w:sz w:val="20"/>
          <w:szCs w:val="20"/>
        </w:rPr>
        <w:t>the IACHR</w:t>
      </w:r>
      <w:r w:rsidR="00FC5DC8" w:rsidRPr="008D6E5C">
        <w:rPr>
          <w:rFonts w:ascii="Cambria" w:hAnsi="Cambria"/>
          <w:sz w:val="20"/>
          <w:szCs w:val="20"/>
        </w:rPr>
        <w:t xml:space="preserve"> </w:t>
      </w:r>
      <w:r w:rsidR="00FF66DA" w:rsidRPr="008D6E5C">
        <w:rPr>
          <w:rFonts w:ascii="Cambria" w:hAnsi="Cambria"/>
          <w:sz w:val="20"/>
          <w:szCs w:val="20"/>
        </w:rPr>
        <w:t>finds that their departure from the country is one of the foreseeable consequences of the t</w:t>
      </w:r>
      <w:r w:rsidR="00EF5F24" w:rsidRPr="008D6E5C">
        <w:rPr>
          <w:rFonts w:ascii="Cambria" w:hAnsi="Cambria"/>
          <w:sz w:val="20"/>
          <w:szCs w:val="20"/>
        </w:rPr>
        <w:t>hreats</w:t>
      </w:r>
      <w:r w:rsidR="00FC5DC8" w:rsidRPr="008D6E5C">
        <w:rPr>
          <w:rFonts w:ascii="Cambria" w:hAnsi="Cambria"/>
          <w:sz w:val="20"/>
          <w:szCs w:val="20"/>
        </w:rPr>
        <w:t xml:space="preserve"> </w:t>
      </w:r>
      <w:r w:rsidR="00FF66DA" w:rsidRPr="008D6E5C">
        <w:rPr>
          <w:rFonts w:ascii="Cambria" w:hAnsi="Cambria"/>
          <w:sz w:val="20"/>
          <w:szCs w:val="20"/>
        </w:rPr>
        <w:t>received</w:t>
      </w:r>
      <w:r w:rsidR="00FC5DC8" w:rsidRPr="008D6E5C">
        <w:rPr>
          <w:rFonts w:ascii="Cambria" w:hAnsi="Cambria"/>
          <w:sz w:val="20"/>
          <w:szCs w:val="20"/>
        </w:rPr>
        <w:t xml:space="preserve">, </w:t>
      </w:r>
      <w:r w:rsidR="00FF66DA" w:rsidRPr="008D6E5C">
        <w:rPr>
          <w:rFonts w:ascii="Cambria" w:hAnsi="Cambria"/>
          <w:sz w:val="20"/>
          <w:szCs w:val="20"/>
        </w:rPr>
        <w:t>the lack of State protection, and the impunity that has characterized this case, all attributable to the State.</w:t>
      </w:r>
      <w:r w:rsidR="00FC5DC8" w:rsidRPr="008D6E5C">
        <w:rPr>
          <w:rFonts w:ascii="Cambria" w:hAnsi="Cambria"/>
          <w:sz w:val="20"/>
          <w:szCs w:val="20"/>
        </w:rPr>
        <w:t xml:space="preserve"> </w:t>
      </w:r>
    </w:p>
    <w:p w:rsidR="00FC5DC8" w:rsidRPr="008D6E5C" w:rsidRDefault="00FC5DC8" w:rsidP="001520DB">
      <w:pPr>
        <w:jc w:val="both"/>
        <w:rPr>
          <w:rFonts w:ascii="Cambria" w:hAnsi="Cambria" w:cs="Arial"/>
          <w:color w:val="000000"/>
          <w:sz w:val="20"/>
          <w:szCs w:val="20"/>
        </w:rPr>
      </w:pPr>
    </w:p>
    <w:p w:rsidR="00FC5DC8" w:rsidRPr="008D6E5C" w:rsidRDefault="00FF66DA"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sz w:val="20"/>
          <w:szCs w:val="20"/>
        </w:rPr>
        <w:t>Accordingly,</w:t>
      </w:r>
      <w:r w:rsidR="00FC5DC8" w:rsidRPr="008D6E5C">
        <w:rPr>
          <w:rFonts w:ascii="Cambria" w:hAnsi="Cambria"/>
          <w:sz w:val="20"/>
          <w:szCs w:val="20"/>
        </w:rPr>
        <w:t xml:space="preserve"> </w:t>
      </w:r>
      <w:r w:rsidR="00DF44C8" w:rsidRPr="008D6E5C">
        <w:rPr>
          <w:rFonts w:ascii="Cambria" w:hAnsi="Cambria"/>
          <w:sz w:val="20"/>
          <w:szCs w:val="20"/>
        </w:rPr>
        <w:t>the IACHR</w:t>
      </w:r>
      <w:r w:rsidR="00FC5DC8" w:rsidRPr="008D6E5C">
        <w:rPr>
          <w:rFonts w:ascii="Cambria" w:hAnsi="Cambria"/>
          <w:sz w:val="20"/>
          <w:szCs w:val="20"/>
        </w:rPr>
        <w:t xml:space="preserve"> </w:t>
      </w:r>
      <w:r w:rsidRPr="008D6E5C">
        <w:rPr>
          <w:rFonts w:ascii="Cambria" w:hAnsi="Cambria"/>
          <w:sz w:val="20"/>
          <w:szCs w:val="20"/>
        </w:rPr>
        <w:t>finds in this</w:t>
      </w:r>
      <w:r w:rsidR="00BE6AC0" w:rsidRPr="008D6E5C">
        <w:rPr>
          <w:rFonts w:ascii="Cambria" w:hAnsi="Cambria"/>
          <w:sz w:val="20"/>
          <w:szCs w:val="20"/>
        </w:rPr>
        <w:t xml:space="preserve"> case that Nelson </w:t>
      </w:r>
      <w:proofErr w:type="spellStart"/>
      <w:r w:rsidR="00BE6AC0" w:rsidRPr="008D6E5C">
        <w:rPr>
          <w:rFonts w:ascii="Cambria" w:hAnsi="Cambria"/>
          <w:sz w:val="20"/>
          <w:szCs w:val="20"/>
        </w:rPr>
        <w:t>Carvajal</w:t>
      </w:r>
      <w:proofErr w:type="spellEnd"/>
      <w:r w:rsidR="00BE6AC0" w:rsidRPr="008D6E5C">
        <w:rPr>
          <w:rFonts w:ascii="Cambria" w:hAnsi="Cambria"/>
          <w:sz w:val="20"/>
          <w:szCs w:val="20"/>
        </w:rPr>
        <w:t xml:space="preserve"> </w:t>
      </w:r>
      <w:proofErr w:type="spellStart"/>
      <w:r w:rsidR="00BE6AC0" w:rsidRPr="008D6E5C">
        <w:rPr>
          <w:rFonts w:ascii="Cambria" w:hAnsi="Cambria"/>
          <w:sz w:val="20"/>
          <w:szCs w:val="20"/>
        </w:rPr>
        <w:t>Carvaja</w:t>
      </w:r>
      <w:r w:rsidR="00D26452" w:rsidRPr="008D6E5C">
        <w:rPr>
          <w:rFonts w:ascii="Cambria" w:hAnsi="Cambria"/>
          <w:sz w:val="20"/>
          <w:szCs w:val="20"/>
        </w:rPr>
        <w:t>l</w:t>
      </w:r>
      <w:r w:rsidR="00BE6AC0" w:rsidRPr="008D6E5C">
        <w:rPr>
          <w:rFonts w:ascii="Cambria" w:hAnsi="Cambria"/>
          <w:sz w:val="20"/>
          <w:szCs w:val="20"/>
        </w:rPr>
        <w:t>’s</w:t>
      </w:r>
      <w:proofErr w:type="spellEnd"/>
      <w:r w:rsidR="00BE6AC0" w:rsidRPr="008D6E5C">
        <w:rPr>
          <w:rFonts w:ascii="Cambria" w:hAnsi="Cambria"/>
          <w:sz w:val="20"/>
          <w:szCs w:val="20"/>
        </w:rPr>
        <w:t xml:space="preserve"> relatives were subject to</w:t>
      </w:r>
      <w:r w:rsidRPr="008D6E5C">
        <w:rPr>
          <w:rFonts w:ascii="Cambria" w:hAnsi="Cambria"/>
          <w:sz w:val="20"/>
          <w:szCs w:val="20"/>
        </w:rPr>
        <w:t xml:space="preserve"> </w:t>
      </w:r>
      <w:r w:rsidR="00FC5DC8" w:rsidRPr="008D6E5C">
        <w:rPr>
          <w:rFonts w:ascii="Cambria" w:hAnsi="Cambria"/>
          <w:i/>
          <w:sz w:val="20"/>
          <w:szCs w:val="20"/>
        </w:rPr>
        <w:t>de facto</w:t>
      </w:r>
      <w:r w:rsidR="00FC5DC8" w:rsidRPr="008D6E5C">
        <w:rPr>
          <w:rFonts w:ascii="Cambria" w:hAnsi="Cambria"/>
          <w:sz w:val="20"/>
          <w:szCs w:val="20"/>
        </w:rPr>
        <w:t xml:space="preserve"> </w:t>
      </w:r>
      <w:r w:rsidRPr="008D6E5C">
        <w:rPr>
          <w:rFonts w:ascii="Cambria" w:hAnsi="Cambria"/>
          <w:sz w:val="20"/>
          <w:szCs w:val="20"/>
        </w:rPr>
        <w:t>restrictions to the</w:t>
      </w:r>
      <w:r w:rsidR="00BE6AC0" w:rsidRPr="008D6E5C">
        <w:rPr>
          <w:rFonts w:ascii="Cambria" w:hAnsi="Cambria"/>
          <w:sz w:val="20"/>
          <w:szCs w:val="20"/>
        </w:rPr>
        <w:t>ir</w:t>
      </w:r>
      <w:r w:rsidRPr="008D6E5C">
        <w:rPr>
          <w:rFonts w:ascii="Cambria" w:hAnsi="Cambria"/>
          <w:sz w:val="20"/>
          <w:szCs w:val="20"/>
        </w:rPr>
        <w:t xml:space="preserve"> right to freed</w:t>
      </w:r>
      <w:r w:rsidR="00BE6AC0" w:rsidRPr="008D6E5C">
        <w:rPr>
          <w:rFonts w:ascii="Cambria" w:hAnsi="Cambria"/>
          <w:sz w:val="20"/>
          <w:szCs w:val="20"/>
        </w:rPr>
        <w:t xml:space="preserve">om of movement and residence, because the State’s failure to guarantee their </w:t>
      </w:r>
      <w:r w:rsidR="00E35E3E" w:rsidRPr="008D6E5C">
        <w:rPr>
          <w:rFonts w:ascii="Cambria" w:hAnsi="Cambria"/>
          <w:sz w:val="20"/>
          <w:szCs w:val="20"/>
        </w:rPr>
        <w:t>right to humane treatment</w:t>
      </w:r>
      <w:r w:rsidR="00FC5DC8" w:rsidRPr="008D6E5C">
        <w:rPr>
          <w:rFonts w:ascii="Cambria" w:hAnsi="Cambria"/>
          <w:sz w:val="20"/>
          <w:szCs w:val="20"/>
        </w:rPr>
        <w:t xml:space="preserve">, </w:t>
      </w:r>
      <w:r w:rsidR="00BE6AC0" w:rsidRPr="008D6E5C">
        <w:rPr>
          <w:rFonts w:ascii="Cambria" w:hAnsi="Cambria"/>
          <w:sz w:val="20"/>
          <w:szCs w:val="20"/>
        </w:rPr>
        <w:t>through</w:t>
      </w:r>
      <w:r w:rsidR="00FC5DC8" w:rsidRPr="008D6E5C">
        <w:rPr>
          <w:rFonts w:ascii="Cambria" w:hAnsi="Cambria"/>
          <w:sz w:val="20"/>
          <w:szCs w:val="20"/>
        </w:rPr>
        <w:t xml:space="preserve"> </w:t>
      </w:r>
      <w:r w:rsidR="00D26452" w:rsidRPr="008D6E5C">
        <w:rPr>
          <w:rFonts w:ascii="Cambria" w:hAnsi="Cambria"/>
          <w:sz w:val="20"/>
          <w:szCs w:val="20"/>
        </w:rPr>
        <w:t>an</w:t>
      </w:r>
      <w:r w:rsidR="001766CB" w:rsidRPr="008D6E5C">
        <w:rPr>
          <w:rFonts w:ascii="Cambria" w:hAnsi="Cambria"/>
          <w:sz w:val="20"/>
          <w:szCs w:val="20"/>
        </w:rPr>
        <w:t xml:space="preserve"> investigation</w:t>
      </w:r>
      <w:r w:rsidR="00FC5DC8" w:rsidRPr="008D6E5C">
        <w:rPr>
          <w:rFonts w:ascii="Cambria" w:hAnsi="Cambria"/>
          <w:sz w:val="20"/>
          <w:szCs w:val="20"/>
        </w:rPr>
        <w:t xml:space="preserve"> </w:t>
      </w:r>
      <w:r w:rsidR="00BE6AC0" w:rsidRPr="008D6E5C">
        <w:rPr>
          <w:rFonts w:ascii="Cambria" w:hAnsi="Cambria"/>
          <w:sz w:val="20"/>
          <w:szCs w:val="20"/>
        </w:rPr>
        <w:t>and timely protection or prevention measures</w:t>
      </w:r>
      <w:r w:rsidR="00D26452" w:rsidRPr="008D6E5C">
        <w:rPr>
          <w:rFonts w:ascii="Cambria" w:hAnsi="Cambria"/>
          <w:sz w:val="20"/>
          <w:szCs w:val="20"/>
        </w:rPr>
        <w:t>,</w:t>
      </w:r>
      <w:r w:rsidR="00FC5DC8" w:rsidRPr="008D6E5C">
        <w:rPr>
          <w:rFonts w:ascii="Cambria" w:hAnsi="Cambria"/>
          <w:sz w:val="20"/>
          <w:szCs w:val="20"/>
        </w:rPr>
        <w:t xml:space="preserve"> </w:t>
      </w:r>
      <w:r w:rsidR="00BE6AC0" w:rsidRPr="008D6E5C">
        <w:rPr>
          <w:rFonts w:ascii="Cambria" w:hAnsi="Cambria"/>
          <w:sz w:val="20"/>
          <w:szCs w:val="20"/>
        </w:rPr>
        <w:t xml:space="preserve">created serious insecurity and a well-founded fear in them that their lives and personal safety were in danger of being violated if they remained in </w:t>
      </w:r>
      <w:r w:rsidR="00FC5DC8" w:rsidRPr="008D6E5C">
        <w:rPr>
          <w:rFonts w:ascii="Cambria" w:hAnsi="Cambria"/>
          <w:sz w:val="20"/>
          <w:szCs w:val="20"/>
        </w:rPr>
        <w:t xml:space="preserve">Colombia, </w:t>
      </w:r>
      <w:r w:rsidR="00BE6AC0" w:rsidRPr="008D6E5C">
        <w:rPr>
          <w:rFonts w:ascii="Cambria" w:hAnsi="Cambria"/>
          <w:sz w:val="20"/>
          <w:szCs w:val="20"/>
        </w:rPr>
        <w:t>which led to their departure from the country</w:t>
      </w:r>
      <w:r w:rsidR="00FC5DC8" w:rsidRPr="008D6E5C">
        <w:rPr>
          <w:rFonts w:ascii="Cambria" w:hAnsi="Cambria"/>
          <w:sz w:val="20"/>
          <w:szCs w:val="20"/>
        </w:rPr>
        <w:t xml:space="preserve">. </w:t>
      </w:r>
    </w:p>
    <w:p w:rsidR="00FC5DC8" w:rsidRPr="008D6E5C" w:rsidRDefault="00FC5DC8" w:rsidP="001520DB">
      <w:pPr>
        <w:jc w:val="both"/>
        <w:rPr>
          <w:rFonts w:ascii="Cambria" w:hAnsi="Cambria" w:cs="Arial"/>
          <w:color w:val="000000"/>
          <w:sz w:val="20"/>
          <w:szCs w:val="20"/>
        </w:rPr>
      </w:pPr>
    </w:p>
    <w:p w:rsidR="00FC5DC8" w:rsidRPr="008D6E5C" w:rsidRDefault="00DF44C8"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cs="Arial"/>
          <w:color w:val="000000"/>
          <w:sz w:val="20"/>
          <w:szCs w:val="20"/>
        </w:rPr>
      </w:pPr>
      <w:r w:rsidRPr="008D6E5C">
        <w:rPr>
          <w:rFonts w:ascii="Cambria" w:hAnsi="Cambria"/>
          <w:sz w:val="20"/>
          <w:szCs w:val="20"/>
        </w:rPr>
        <w:t>The IACHR</w:t>
      </w:r>
      <w:r w:rsidR="00FC5DC8" w:rsidRPr="008D6E5C">
        <w:rPr>
          <w:rFonts w:ascii="Cambria" w:hAnsi="Cambria"/>
          <w:sz w:val="20"/>
          <w:szCs w:val="20"/>
        </w:rPr>
        <w:t xml:space="preserve"> </w:t>
      </w:r>
      <w:r w:rsidR="00B52107" w:rsidRPr="008D6E5C">
        <w:rPr>
          <w:rFonts w:ascii="Cambria" w:hAnsi="Cambria"/>
          <w:sz w:val="20"/>
          <w:szCs w:val="20"/>
        </w:rPr>
        <w:t>concludes that</w:t>
      </w:r>
      <w:r w:rsidR="00FC5DC8" w:rsidRPr="008D6E5C">
        <w:rPr>
          <w:rFonts w:ascii="Cambria" w:hAnsi="Cambria"/>
          <w:sz w:val="20"/>
          <w:szCs w:val="20"/>
        </w:rPr>
        <w:t xml:space="preserve"> </w:t>
      </w:r>
      <w:r w:rsidR="007A2CDF" w:rsidRPr="008D6E5C">
        <w:rPr>
          <w:rFonts w:ascii="Cambria" w:hAnsi="Cambria"/>
          <w:sz w:val="20"/>
          <w:szCs w:val="20"/>
        </w:rPr>
        <w:t>the State</w:t>
      </w:r>
      <w:r w:rsidR="00FC5DC8" w:rsidRPr="008D6E5C">
        <w:rPr>
          <w:rFonts w:ascii="Cambria" w:hAnsi="Cambria"/>
          <w:sz w:val="20"/>
          <w:szCs w:val="20"/>
        </w:rPr>
        <w:t xml:space="preserve"> </w:t>
      </w:r>
      <w:r w:rsidR="00C42D15" w:rsidRPr="008D6E5C">
        <w:rPr>
          <w:rFonts w:ascii="Cambria" w:hAnsi="Cambria"/>
          <w:sz w:val="20"/>
          <w:szCs w:val="20"/>
        </w:rPr>
        <w:t>violated the right</w:t>
      </w:r>
      <w:r w:rsidR="00983732" w:rsidRPr="008D6E5C">
        <w:rPr>
          <w:rFonts w:ascii="Cambria" w:hAnsi="Cambria"/>
          <w:sz w:val="20"/>
          <w:szCs w:val="20"/>
        </w:rPr>
        <w:t>s</w:t>
      </w:r>
      <w:r w:rsidR="00C42D15" w:rsidRPr="008D6E5C">
        <w:rPr>
          <w:rFonts w:ascii="Cambria" w:hAnsi="Cambria"/>
          <w:sz w:val="20"/>
          <w:szCs w:val="20"/>
        </w:rPr>
        <w:t xml:space="preserve"> enshrined in</w:t>
      </w:r>
      <w:r w:rsidR="00FC5DC8" w:rsidRPr="008D6E5C">
        <w:rPr>
          <w:rFonts w:ascii="Cambria" w:hAnsi="Cambria"/>
          <w:sz w:val="20"/>
          <w:szCs w:val="20"/>
        </w:rPr>
        <w:t xml:space="preserve"> </w:t>
      </w:r>
      <w:r w:rsidR="004B0168" w:rsidRPr="008D6E5C">
        <w:rPr>
          <w:rFonts w:ascii="Cambria" w:hAnsi="Cambria"/>
          <w:sz w:val="20"/>
          <w:szCs w:val="20"/>
        </w:rPr>
        <w:t>Article</w:t>
      </w:r>
      <w:r w:rsidR="00033D44" w:rsidRPr="008D6E5C">
        <w:rPr>
          <w:rFonts w:ascii="Cambria" w:hAnsi="Cambria"/>
          <w:sz w:val="20"/>
          <w:szCs w:val="20"/>
        </w:rPr>
        <w:t xml:space="preserve"> 22(</w:t>
      </w:r>
      <w:r w:rsidR="001E31BC" w:rsidRPr="008D6E5C">
        <w:rPr>
          <w:rFonts w:ascii="Cambria" w:hAnsi="Cambria"/>
          <w:sz w:val="20"/>
          <w:szCs w:val="20"/>
        </w:rPr>
        <w:t>1</w:t>
      </w:r>
      <w:r w:rsidR="00033D44" w:rsidRPr="008D6E5C">
        <w:rPr>
          <w:rFonts w:ascii="Cambria" w:hAnsi="Cambria"/>
          <w:sz w:val="20"/>
          <w:szCs w:val="20"/>
        </w:rPr>
        <w:t>)</w:t>
      </w:r>
      <w:r w:rsidR="00FC5DC8" w:rsidRPr="008D6E5C">
        <w:rPr>
          <w:rFonts w:ascii="Cambria" w:hAnsi="Cambria"/>
          <w:sz w:val="20"/>
          <w:szCs w:val="20"/>
        </w:rPr>
        <w:t xml:space="preserve"> </w:t>
      </w:r>
      <w:r w:rsidR="004B0168" w:rsidRPr="008D6E5C">
        <w:rPr>
          <w:rFonts w:ascii="Cambria" w:hAnsi="Cambria"/>
          <w:sz w:val="20"/>
          <w:szCs w:val="20"/>
        </w:rPr>
        <w:t>of the Convention</w:t>
      </w:r>
      <w:r w:rsidR="00FC5DC8" w:rsidRPr="008D6E5C">
        <w:rPr>
          <w:rFonts w:ascii="Cambria" w:hAnsi="Cambria"/>
          <w:sz w:val="20"/>
          <w:szCs w:val="20"/>
        </w:rPr>
        <w:t xml:space="preserve">, </w:t>
      </w:r>
      <w:r w:rsidR="00C42D15" w:rsidRPr="008D6E5C">
        <w:rPr>
          <w:rFonts w:ascii="Cambria" w:hAnsi="Cambria"/>
          <w:sz w:val="20"/>
          <w:szCs w:val="20"/>
        </w:rPr>
        <w:t>in relation to</w:t>
      </w:r>
      <w:r w:rsidR="00FC5DC8" w:rsidRPr="008D6E5C">
        <w:rPr>
          <w:rFonts w:ascii="Cambria" w:hAnsi="Cambria"/>
          <w:sz w:val="20"/>
          <w:szCs w:val="20"/>
        </w:rPr>
        <w:t xml:space="preserve"> </w:t>
      </w:r>
      <w:r w:rsidR="00033D44" w:rsidRPr="008D6E5C">
        <w:rPr>
          <w:rFonts w:ascii="Cambria" w:hAnsi="Cambria"/>
          <w:sz w:val="20"/>
          <w:szCs w:val="20"/>
        </w:rPr>
        <w:t>Article 1(1)</w:t>
      </w:r>
      <w:r w:rsidR="00FC5DC8" w:rsidRPr="008D6E5C">
        <w:rPr>
          <w:rFonts w:ascii="Cambria" w:hAnsi="Cambria"/>
          <w:sz w:val="20"/>
          <w:szCs w:val="20"/>
        </w:rPr>
        <w:t xml:space="preserve"> </w:t>
      </w:r>
      <w:r w:rsidR="00033D44" w:rsidRPr="008D6E5C">
        <w:rPr>
          <w:rFonts w:ascii="Cambria" w:hAnsi="Cambria"/>
          <w:sz w:val="20"/>
          <w:szCs w:val="20"/>
        </w:rPr>
        <w:t>thereof</w:t>
      </w:r>
      <w:r w:rsidR="00FC5DC8" w:rsidRPr="008D6E5C">
        <w:rPr>
          <w:rFonts w:ascii="Cambria" w:hAnsi="Cambria"/>
          <w:sz w:val="20"/>
          <w:szCs w:val="20"/>
        </w:rPr>
        <w:t xml:space="preserve">, </w:t>
      </w:r>
      <w:r w:rsidR="00C42D15" w:rsidRPr="008D6E5C">
        <w:rPr>
          <w:rFonts w:ascii="Cambria" w:hAnsi="Cambria"/>
          <w:sz w:val="20"/>
          <w:szCs w:val="20"/>
        </w:rPr>
        <w:t>with respect to the</w:t>
      </w:r>
      <w:r w:rsidR="00FC5DC8" w:rsidRPr="008D6E5C">
        <w:rPr>
          <w:rFonts w:ascii="Cambria" w:hAnsi="Cambria"/>
          <w:sz w:val="20"/>
          <w:szCs w:val="20"/>
        </w:rPr>
        <w:t xml:space="preserve"> </w:t>
      </w:r>
      <w:r w:rsidR="00D1708C" w:rsidRPr="008D6E5C">
        <w:rPr>
          <w:rFonts w:ascii="Cambria" w:hAnsi="Cambria"/>
          <w:sz w:val="20"/>
          <w:szCs w:val="20"/>
        </w:rPr>
        <w:t>relatives of Nelson</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C42D15" w:rsidRPr="008D6E5C">
        <w:rPr>
          <w:rFonts w:ascii="Cambria" w:hAnsi="Cambria"/>
          <w:sz w:val="20"/>
          <w:szCs w:val="20"/>
        </w:rPr>
        <w:t>to wit</w:t>
      </w:r>
      <w:r w:rsidR="00FC5DC8" w:rsidRPr="008D6E5C">
        <w:rPr>
          <w:rFonts w:ascii="Cambria" w:hAnsi="Cambria"/>
          <w:sz w:val="20"/>
          <w:szCs w:val="20"/>
        </w:rPr>
        <w:t xml:space="preserve">: Paola Andrea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Bolaños</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María</w:t>
      </w:r>
      <w:proofErr w:type="spellEnd"/>
      <w:r w:rsidR="00FC5DC8" w:rsidRPr="008D6E5C">
        <w:rPr>
          <w:rFonts w:ascii="Cambria" w:hAnsi="Cambria"/>
          <w:sz w:val="20"/>
          <w:szCs w:val="20"/>
        </w:rPr>
        <w:t xml:space="preserve"> Alejandra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Bolaños</w:t>
      </w:r>
      <w:proofErr w:type="spellEnd"/>
      <w:r w:rsidR="00FC5DC8" w:rsidRPr="008D6E5C">
        <w:rPr>
          <w:rFonts w:ascii="Cambria" w:hAnsi="Cambria"/>
          <w:sz w:val="20"/>
          <w:szCs w:val="20"/>
        </w:rPr>
        <w:t xml:space="preserve"> (</w:t>
      </w:r>
      <w:r w:rsidR="00C42D15" w:rsidRPr="008D6E5C">
        <w:rPr>
          <w:rFonts w:ascii="Cambria" w:hAnsi="Cambria"/>
          <w:sz w:val="20"/>
          <w:szCs w:val="20"/>
        </w:rPr>
        <w:t>daughters</w:t>
      </w:r>
      <w:r w:rsidR="00FC5DC8" w:rsidRPr="008D6E5C">
        <w:rPr>
          <w:rFonts w:ascii="Cambria" w:hAnsi="Cambria"/>
          <w:sz w:val="20"/>
          <w:szCs w:val="20"/>
        </w:rPr>
        <w:t xml:space="preserve">); Luz </w:t>
      </w:r>
      <w:r w:rsidR="00E25B25" w:rsidRPr="008D6E5C">
        <w:rPr>
          <w:rFonts w:ascii="Cambria" w:hAnsi="Cambria"/>
          <w:sz w:val="20"/>
          <w:szCs w:val="20"/>
        </w:rPr>
        <w:t>Stella</w:t>
      </w:r>
      <w:r w:rsidR="00FC5DC8" w:rsidRPr="008D6E5C">
        <w:rPr>
          <w:rFonts w:ascii="Cambria" w:hAnsi="Cambria"/>
          <w:sz w:val="20"/>
          <w:szCs w:val="20"/>
        </w:rPr>
        <w:t xml:space="preserve"> </w:t>
      </w:r>
      <w:proofErr w:type="spellStart"/>
      <w:r w:rsidR="00FC5DC8" w:rsidRPr="008D6E5C">
        <w:rPr>
          <w:rFonts w:ascii="Cambria" w:hAnsi="Cambria"/>
          <w:sz w:val="20"/>
          <w:szCs w:val="20"/>
        </w:rPr>
        <w:t>Bolaños</w:t>
      </w:r>
      <w:proofErr w:type="spellEnd"/>
      <w:r w:rsidR="00FC5DC8" w:rsidRPr="008D6E5C">
        <w:rPr>
          <w:rFonts w:ascii="Cambria" w:hAnsi="Cambria"/>
          <w:sz w:val="20"/>
          <w:szCs w:val="20"/>
        </w:rPr>
        <w:t xml:space="preserve"> Rodríguez (</w:t>
      </w:r>
      <w:r w:rsidR="00C42D15" w:rsidRPr="008D6E5C">
        <w:rPr>
          <w:rFonts w:ascii="Cambria" w:hAnsi="Cambria"/>
          <w:sz w:val="20"/>
          <w:szCs w:val="20"/>
        </w:rPr>
        <w:t>spouse</w:t>
      </w:r>
      <w:r w:rsidR="00FC5DC8" w:rsidRPr="008D6E5C">
        <w:rPr>
          <w:rFonts w:ascii="Cambria" w:hAnsi="Cambria"/>
          <w:sz w:val="20"/>
          <w:szCs w:val="20"/>
        </w:rPr>
        <w:t>);</w:t>
      </w:r>
      <w:r w:rsidR="00C42D15" w:rsidRPr="008D6E5C">
        <w:rPr>
          <w:rFonts w:ascii="Cambria" w:hAnsi="Cambria"/>
          <w:sz w:val="20"/>
          <w:szCs w:val="20"/>
        </w:rPr>
        <w:t xml:space="preserve"> </w:t>
      </w:r>
      <w:r w:rsidR="00FC5DC8" w:rsidRPr="008D6E5C">
        <w:rPr>
          <w:rFonts w:ascii="Cambria" w:hAnsi="Cambria"/>
          <w:sz w:val="20"/>
          <w:szCs w:val="20"/>
        </w:rPr>
        <w:t xml:space="preserve">Judith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Gloria Mercedes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Ruth </w:t>
      </w:r>
      <w:proofErr w:type="spellStart"/>
      <w:r w:rsidR="00FC5DC8" w:rsidRPr="008D6E5C">
        <w:rPr>
          <w:rFonts w:ascii="Cambria" w:hAnsi="Cambria"/>
          <w:sz w:val="20"/>
          <w:szCs w:val="20"/>
        </w:rPr>
        <w:t>Dary</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Fernando Augusto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C42D15" w:rsidRPr="008D6E5C">
        <w:rPr>
          <w:rFonts w:ascii="Cambria" w:hAnsi="Cambria"/>
          <w:sz w:val="20"/>
          <w:szCs w:val="20"/>
        </w:rPr>
        <w:t>siblings</w:t>
      </w:r>
      <w:r w:rsidR="00FC5DC8" w:rsidRPr="008D6E5C">
        <w:rPr>
          <w:rFonts w:ascii="Cambria" w:hAnsi="Cambria"/>
          <w:sz w:val="20"/>
          <w:szCs w:val="20"/>
        </w:rPr>
        <w:t xml:space="preserve">); </w:t>
      </w:r>
      <w:proofErr w:type="spellStart"/>
      <w:r w:rsidR="00FC5DC8" w:rsidRPr="008D6E5C">
        <w:rPr>
          <w:rFonts w:ascii="Cambria" w:hAnsi="Cambria"/>
          <w:sz w:val="20"/>
          <w:szCs w:val="20"/>
        </w:rPr>
        <w:t>Cristhian</w:t>
      </w:r>
      <w:proofErr w:type="spellEnd"/>
      <w:r w:rsidR="00FC5DC8" w:rsidRPr="008D6E5C">
        <w:rPr>
          <w:rFonts w:ascii="Cambria" w:hAnsi="Cambria"/>
          <w:sz w:val="20"/>
          <w:szCs w:val="20"/>
        </w:rPr>
        <w:t xml:space="preserve"> Camilo Motta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César Augusto </w:t>
      </w:r>
      <w:proofErr w:type="spellStart"/>
      <w:r w:rsidR="00FC5DC8" w:rsidRPr="008D6E5C">
        <w:rPr>
          <w:rFonts w:ascii="Cambria" w:hAnsi="Cambria"/>
          <w:sz w:val="20"/>
          <w:szCs w:val="20"/>
        </w:rPr>
        <w:t>Meneses</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r w:rsidR="00C42D15" w:rsidRPr="008D6E5C">
        <w:rPr>
          <w:rFonts w:ascii="Cambria" w:hAnsi="Cambria"/>
          <w:sz w:val="20"/>
          <w:szCs w:val="20"/>
        </w:rPr>
        <w:t>nephews</w:t>
      </w:r>
      <w:r w:rsidR="00FC5DC8" w:rsidRPr="008D6E5C">
        <w:rPr>
          <w:rFonts w:ascii="Cambria" w:hAnsi="Cambria"/>
          <w:sz w:val="20"/>
          <w:szCs w:val="20"/>
        </w:rPr>
        <w:t>).</w:t>
      </w:r>
    </w:p>
    <w:p w:rsidR="00FC5DC8" w:rsidRPr="008D6E5C" w:rsidRDefault="00FC5DC8" w:rsidP="001520DB">
      <w:pPr>
        <w:rPr>
          <w:rFonts w:ascii="Cambria" w:hAnsi="Cambria"/>
          <w:sz w:val="20"/>
          <w:szCs w:val="20"/>
        </w:rPr>
      </w:pPr>
    </w:p>
    <w:p w:rsidR="00FC5DC8" w:rsidRPr="008D6E5C" w:rsidRDefault="00FC5DC8" w:rsidP="001520DB">
      <w:pPr>
        <w:pStyle w:val="Heading1"/>
        <w:spacing w:before="0"/>
        <w:ind w:left="1440" w:hanging="720"/>
        <w:rPr>
          <w:szCs w:val="20"/>
        </w:rPr>
      </w:pPr>
      <w:bookmarkStart w:id="60" w:name="_Toc392690370"/>
      <w:bookmarkStart w:id="61" w:name="_Toc412478093"/>
      <w:bookmarkStart w:id="62" w:name="_Toc412536253"/>
      <w:bookmarkStart w:id="63" w:name="_Toc412539548"/>
      <w:bookmarkStart w:id="64" w:name="_Toc416880394"/>
      <w:r w:rsidRPr="008D6E5C">
        <w:rPr>
          <w:szCs w:val="20"/>
        </w:rPr>
        <w:t>CONCLUSION</w:t>
      </w:r>
      <w:bookmarkEnd w:id="60"/>
      <w:bookmarkEnd w:id="61"/>
      <w:bookmarkEnd w:id="62"/>
      <w:bookmarkEnd w:id="63"/>
      <w:r w:rsidR="001E31BC" w:rsidRPr="008D6E5C">
        <w:rPr>
          <w:szCs w:val="20"/>
        </w:rPr>
        <w:t>S</w:t>
      </w:r>
      <w:bookmarkEnd w:id="64"/>
    </w:p>
    <w:p w:rsidR="00FC5DC8" w:rsidRPr="008D6E5C" w:rsidRDefault="00FC5DC8" w:rsidP="001520DB">
      <w:pPr>
        <w:ind w:firstLine="720"/>
        <w:contextualSpacing/>
        <w:jc w:val="both"/>
        <w:rPr>
          <w:rFonts w:ascii="Cambria" w:hAnsi="Cambria"/>
          <w:color w:val="000000"/>
          <w:sz w:val="20"/>
          <w:szCs w:val="20"/>
        </w:rPr>
      </w:pPr>
    </w:p>
    <w:p w:rsidR="00FC5DC8" w:rsidRPr="008D6E5C" w:rsidRDefault="00C01936" w:rsidP="001E4690">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clear" w:pos="1260"/>
        </w:tabs>
        <w:ind w:left="0" w:firstLine="720"/>
        <w:jc w:val="both"/>
        <w:rPr>
          <w:rFonts w:ascii="Cambria" w:hAnsi="Cambria"/>
          <w:sz w:val="20"/>
          <w:szCs w:val="20"/>
        </w:rPr>
      </w:pPr>
      <w:r w:rsidRPr="008D6E5C">
        <w:rPr>
          <w:rFonts w:ascii="Cambria" w:hAnsi="Cambria"/>
          <w:sz w:val="20"/>
          <w:szCs w:val="20"/>
        </w:rPr>
        <w:t xml:space="preserve">Based on the factual and legal considerations set forth, </w:t>
      </w:r>
      <w:r w:rsidR="004B0168" w:rsidRPr="008D6E5C">
        <w:rPr>
          <w:rFonts w:ascii="Cambria" w:hAnsi="Cambria"/>
          <w:sz w:val="20"/>
          <w:szCs w:val="20"/>
        </w:rPr>
        <w:t>the Inter-American Commission</w:t>
      </w:r>
      <w:r w:rsidR="00FC5DC8" w:rsidRPr="008D6E5C">
        <w:rPr>
          <w:rFonts w:ascii="Cambria" w:hAnsi="Cambria"/>
          <w:sz w:val="20"/>
          <w:szCs w:val="20"/>
        </w:rPr>
        <w:t xml:space="preserve"> </w:t>
      </w:r>
      <w:r w:rsidR="00B52107" w:rsidRPr="008D6E5C">
        <w:rPr>
          <w:rFonts w:ascii="Cambria" w:hAnsi="Cambria"/>
          <w:sz w:val="20"/>
          <w:szCs w:val="20"/>
        </w:rPr>
        <w:t>concludes that</w:t>
      </w:r>
      <w:r w:rsidR="00FC5DC8" w:rsidRPr="008D6E5C">
        <w:rPr>
          <w:rFonts w:ascii="Cambria" w:hAnsi="Cambria"/>
          <w:sz w:val="20"/>
          <w:szCs w:val="20"/>
        </w:rPr>
        <w:t xml:space="preserve"> </w:t>
      </w:r>
      <w:r w:rsidR="007A2CDF" w:rsidRPr="008D6E5C">
        <w:rPr>
          <w:rFonts w:ascii="Cambria" w:hAnsi="Cambria"/>
          <w:sz w:val="20"/>
          <w:szCs w:val="20"/>
        </w:rPr>
        <w:t xml:space="preserve">the </w:t>
      </w:r>
      <w:r w:rsidRPr="008D6E5C">
        <w:rPr>
          <w:rFonts w:ascii="Cambria" w:hAnsi="Cambria"/>
          <w:sz w:val="20"/>
          <w:szCs w:val="20"/>
        </w:rPr>
        <w:t xml:space="preserve">Colombian </w:t>
      </w:r>
      <w:r w:rsidR="007A2CDF" w:rsidRPr="008D6E5C">
        <w:rPr>
          <w:rFonts w:ascii="Cambria" w:hAnsi="Cambria"/>
          <w:sz w:val="20"/>
          <w:szCs w:val="20"/>
        </w:rPr>
        <w:t>State</w:t>
      </w:r>
      <w:r w:rsidR="00FC5DC8" w:rsidRPr="008D6E5C">
        <w:rPr>
          <w:rFonts w:ascii="Cambria" w:hAnsi="Cambria"/>
          <w:sz w:val="20"/>
          <w:szCs w:val="20"/>
        </w:rPr>
        <w:t xml:space="preserve"> </w:t>
      </w:r>
      <w:r w:rsidRPr="008D6E5C">
        <w:rPr>
          <w:rFonts w:ascii="Cambria" w:hAnsi="Cambria"/>
          <w:sz w:val="20"/>
          <w:szCs w:val="20"/>
        </w:rPr>
        <w:t>is responsible for</w:t>
      </w:r>
      <w:r w:rsidR="00FC5DC8" w:rsidRPr="008D6E5C">
        <w:rPr>
          <w:rFonts w:ascii="Cambria" w:hAnsi="Cambria"/>
          <w:sz w:val="20"/>
          <w:szCs w:val="20"/>
        </w:rPr>
        <w:t>:</w:t>
      </w:r>
    </w:p>
    <w:p w:rsidR="00FC5DC8" w:rsidRPr="008D6E5C" w:rsidRDefault="00FC5DC8" w:rsidP="001520DB">
      <w:pPr>
        <w:shd w:val="clear" w:color="auto" w:fill="FFFFFF"/>
        <w:ind w:left="720" w:hanging="720"/>
        <w:jc w:val="both"/>
        <w:rPr>
          <w:rFonts w:ascii="Cambria" w:hAnsi="Cambria"/>
          <w:sz w:val="20"/>
          <w:szCs w:val="20"/>
        </w:rPr>
      </w:pPr>
    </w:p>
    <w:p w:rsidR="00FC5DC8" w:rsidRPr="008D6E5C" w:rsidRDefault="00C01936" w:rsidP="001E469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720"/>
        <w:jc w:val="both"/>
        <w:rPr>
          <w:rFonts w:ascii="Cambria" w:hAnsi="Cambria"/>
          <w:sz w:val="20"/>
          <w:szCs w:val="20"/>
        </w:rPr>
      </w:pPr>
      <w:r w:rsidRPr="008D6E5C">
        <w:rPr>
          <w:rFonts w:ascii="Cambria" w:hAnsi="Cambria"/>
          <w:sz w:val="20"/>
          <w:szCs w:val="20"/>
        </w:rPr>
        <w:t>The violation of</w:t>
      </w:r>
      <w:r w:rsidR="00FC5DC8" w:rsidRPr="008D6E5C">
        <w:rPr>
          <w:rFonts w:ascii="Cambria" w:hAnsi="Cambria"/>
          <w:sz w:val="20"/>
          <w:szCs w:val="20"/>
        </w:rPr>
        <w:t xml:space="preserve"> </w:t>
      </w:r>
      <w:r w:rsidR="004B0168" w:rsidRPr="008D6E5C">
        <w:rPr>
          <w:rFonts w:ascii="Cambria" w:hAnsi="Cambria"/>
          <w:sz w:val="20"/>
          <w:szCs w:val="20"/>
        </w:rPr>
        <w:t>the right</w:t>
      </w:r>
      <w:r w:rsidRPr="008D6E5C">
        <w:rPr>
          <w:rFonts w:ascii="Cambria" w:hAnsi="Cambria"/>
          <w:sz w:val="20"/>
          <w:szCs w:val="20"/>
        </w:rPr>
        <w:t>s</w:t>
      </w:r>
      <w:r w:rsidR="004B0168" w:rsidRPr="008D6E5C">
        <w:rPr>
          <w:rFonts w:ascii="Cambria" w:hAnsi="Cambria"/>
          <w:sz w:val="20"/>
          <w:szCs w:val="20"/>
        </w:rPr>
        <w:t xml:space="preserve"> to a fair trial</w:t>
      </w:r>
      <w:r w:rsidRPr="008D6E5C">
        <w:rPr>
          <w:rFonts w:ascii="Cambria" w:hAnsi="Cambria"/>
          <w:sz w:val="20"/>
          <w:szCs w:val="20"/>
        </w:rPr>
        <w:t xml:space="preserve"> and </w:t>
      </w:r>
      <w:r w:rsidR="004B0168" w:rsidRPr="008D6E5C">
        <w:rPr>
          <w:rFonts w:ascii="Cambria" w:hAnsi="Cambria"/>
          <w:sz w:val="20"/>
          <w:szCs w:val="20"/>
        </w:rPr>
        <w:t>judicial protection</w:t>
      </w:r>
      <w:r w:rsidRPr="008D6E5C">
        <w:rPr>
          <w:rFonts w:ascii="Cambria" w:hAnsi="Cambria"/>
          <w:sz w:val="20"/>
          <w:szCs w:val="20"/>
        </w:rPr>
        <w:t>, enshrined in</w:t>
      </w:r>
      <w:r w:rsidR="00FC5DC8" w:rsidRPr="008D6E5C">
        <w:rPr>
          <w:rFonts w:ascii="Cambria" w:hAnsi="Cambria"/>
          <w:sz w:val="20"/>
          <w:szCs w:val="20"/>
        </w:rPr>
        <w:t xml:space="preserve"> </w:t>
      </w:r>
      <w:r w:rsidR="004B0168" w:rsidRPr="008D6E5C">
        <w:rPr>
          <w:rFonts w:ascii="Cambria" w:hAnsi="Cambria"/>
          <w:sz w:val="20"/>
          <w:szCs w:val="20"/>
        </w:rPr>
        <w:t>Article</w:t>
      </w:r>
      <w:r w:rsidR="00FC5DC8" w:rsidRPr="008D6E5C">
        <w:rPr>
          <w:rFonts w:ascii="Cambria" w:hAnsi="Cambria"/>
          <w:sz w:val="20"/>
          <w:szCs w:val="20"/>
        </w:rPr>
        <w:t xml:space="preserve">s </w:t>
      </w:r>
      <w:r w:rsidR="00DF44C8" w:rsidRPr="008D6E5C">
        <w:rPr>
          <w:rFonts w:ascii="Cambria" w:hAnsi="Cambria"/>
          <w:sz w:val="20"/>
          <w:szCs w:val="20"/>
        </w:rPr>
        <w:t>8 and 25</w:t>
      </w:r>
      <w:r w:rsidR="00FC5DC8" w:rsidRPr="008D6E5C">
        <w:rPr>
          <w:rFonts w:ascii="Cambria" w:hAnsi="Cambria"/>
          <w:sz w:val="20"/>
          <w:szCs w:val="20"/>
        </w:rPr>
        <w:t xml:space="preserve"> </w:t>
      </w:r>
      <w:r w:rsidR="004B0168" w:rsidRPr="008D6E5C">
        <w:rPr>
          <w:rFonts w:ascii="Cambria" w:hAnsi="Cambria"/>
          <w:sz w:val="20"/>
          <w:szCs w:val="20"/>
        </w:rPr>
        <w:t>of the American Convention</w:t>
      </w:r>
      <w:r w:rsidR="00FC5DC8" w:rsidRPr="008D6E5C">
        <w:rPr>
          <w:rFonts w:ascii="Cambria" w:hAnsi="Cambria"/>
          <w:sz w:val="20"/>
          <w:szCs w:val="20"/>
        </w:rPr>
        <w:t xml:space="preserve">, </w:t>
      </w:r>
      <w:r w:rsidRPr="008D6E5C">
        <w:rPr>
          <w:rFonts w:ascii="Cambria" w:hAnsi="Cambria"/>
          <w:sz w:val="20"/>
          <w:szCs w:val="20"/>
        </w:rPr>
        <w:t>in connection with</w:t>
      </w:r>
      <w:r w:rsidR="00FC5DC8" w:rsidRPr="008D6E5C">
        <w:rPr>
          <w:rFonts w:ascii="Cambria" w:hAnsi="Cambria"/>
          <w:sz w:val="20"/>
          <w:szCs w:val="20"/>
        </w:rPr>
        <w:t xml:space="preserve"> </w:t>
      </w:r>
      <w:r w:rsidR="004B0168" w:rsidRPr="008D6E5C">
        <w:rPr>
          <w:rFonts w:ascii="Cambria" w:hAnsi="Cambria"/>
          <w:sz w:val="20"/>
          <w:szCs w:val="20"/>
        </w:rPr>
        <w:t>Article</w:t>
      </w:r>
      <w:r w:rsidR="00FC5DC8" w:rsidRPr="008D6E5C">
        <w:rPr>
          <w:rFonts w:ascii="Cambria" w:hAnsi="Cambria"/>
          <w:sz w:val="20"/>
          <w:szCs w:val="20"/>
        </w:rPr>
        <w:t xml:space="preserve">s </w:t>
      </w:r>
      <w:r w:rsidR="00033D44" w:rsidRPr="008D6E5C">
        <w:rPr>
          <w:rFonts w:ascii="Cambria" w:hAnsi="Cambria"/>
          <w:sz w:val="20"/>
          <w:szCs w:val="20"/>
        </w:rPr>
        <w:t>1(</w:t>
      </w:r>
      <w:r w:rsidR="001766CB" w:rsidRPr="008D6E5C">
        <w:rPr>
          <w:rFonts w:ascii="Cambria" w:hAnsi="Cambria"/>
          <w:sz w:val="20"/>
          <w:szCs w:val="20"/>
        </w:rPr>
        <w:t>1</w:t>
      </w:r>
      <w:r w:rsidR="00033D44" w:rsidRPr="008D6E5C">
        <w:rPr>
          <w:rFonts w:ascii="Cambria" w:hAnsi="Cambria"/>
          <w:sz w:val="20"/>
          <w:szCs w:val="20"/>
        </w:rPr>
        <w:t>)</w:t>
      </w:r>
      <w:r w:rsidR="001766CB" w:rsidRPr="008D6E5C">
        <w:rPr>
          <w:rFonts w:ascii="Cambria" w:hAnsi="Cambria"/>
          <w:sz w:val="20"/>
          <w:szCs w:val="20"/>
        </w:rPr>
        <w:t xml:space="preserve"> and 13</w:t>
      </w:r>
      <w:r w:rsidR="00FC5DC8" w:rsidRPr="008D6E5C">
        <w:rPr>
          <w:rFonts w:ascii="Cambria" w:hAnsi="Cambria"/>
          <w:sz w:val="20"/>
          <w:szCs w:val="20"/>
        </w:rPr>
        <w:t xml:space="preserve"> </w:t>
      </w:r>
      <w:r w:rsidRPr="008D6E5C">
        <w:rPr>
          <w:rFonts w:ascii="Cambria" w:hAnsi="Cambria"/>
          <w:sz w:val="20"/>
          <w:szCs w:val="20"/>
        </w:rPr>
        <w:t>thereto, with respect to the</w:t>
      </w:r>
      <w:r w:rsidR="00FC5DC8" w:rsidRPr="008D6E5C">
        <w:rPr>
          <w:rFonts w:ascii="Cambria" w:hAnsi="Cambria"/>
          <w:sz w:val="20"/>
          <w:szCs w:val="20"/>
        </w:rPr>
        <w:t xml:space="preserve"> </w:t>
      </w:r>
      <w:r w:rsidR="00D1708C" w:rsidRPr="008D6E5C">
        <w:rPr>
          <w:rFonts w:ascii="Cambria" w:hAnsi="Cambria"/>
          <w:sz w:val="20"/>
          <w:szCs w:val="20"/>
        </w:rPr>
        <w:t>relatives of Nelson</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w:t>
      </w:r>
    </w:p>
    <w:p w:rsidR="00FC5DC8" w:rsidRPr="008D6E5C" w:rsidRDefault="00FC5DC8" w:rsidP="001520D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rPr>
          <w:rFonts w:ascii="Cambria" w:hAnsi="Cambria"/>
          <w:sz w:val="20"/>
          <w:szCs w:val="20"/>
        </w:rPr>
      </w:pPr>
    </w:p>
    <w:p w:rsidR="00FC5DC8" w:rsidRPr="008D6E5C" w:rsidRDefault="00C01936" w:rsidP="001E469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720"/>
        <w:jc w:val="both"/>
        <w:rPr>
          <w:rFonts w:ascii="Cambria" w:hAnsi="Cambria"/>
          <w:sz w:val="20"/>
          <w:szCs w:val="20"/>
        </w:rPr>
      </w:pPr>
      <w:r w:rsidRPr="008D6E5C">
        <w:rPr>
          <w:rFonts w:ascii="Cambria" w:hAnsi="Cambria"/>
          <w:sz w:val="20"/>
          <w:szCs w:val="20"/>
        </w:rPr>
        <w:t xml:space="preserve">The </w:t>
      </w:r>
      <w:r w:rsidR="006A16C6" w:rsidRPr="008D6E5C">
        <w:rPr>
          <w:rFonts w:ascii="Cambria" w:hAnsi="Cambria"/>
          <w:sz w:val="20"/>
          <w:szCs w:val="20"/>
        </w:rPr>
        <w:t xml:space="preserve">violation of the rights </w:t>
      </w:r>
      <w:r w:rsidR="004B0168" w:rsidRPr="008D6E5C">
        <w:rPr>
          <w:rFonts w:ascii="Cambria" w:hAnsi="Cambria"/>
          <w:sz w:val="20"/>
          <w:szCs w:val="20"/>
        </w:rPr>
        <w:t>to life</w:t>
      </w:r>
      <w:r w:rsidR="00FC5DC8" w:rsidRPr="008D6E5C">
        <w:rPr>
          <w:rFonts w:ascii="Cambria" w:hAnsi="Cambria"/>
          <w:sz w:val="20"/>
          <w:szCs w:val="20"/>
        </w:rPr>
        <w:t xml:space="preserve"> </w:t>
      </w:r>
      <w:r w:rsidR="006A16C6" w:rsidRPr="008D6E5C">
        <w:rPr>
          <w:rFonts w:ascii="Cambria" w:hAnsi="Cambria"/>
          <w:sz w:val="20"/>
          <w:szCs w:val="20"/>
        </w:rPr>
        <w:t xml:space="preserve"> and freedom of expression, </w:t>
      </w:r>
      <w:r w:rsidRPr="008D6E5C">
        <w:rPr>
          <w:rFonts w:ascii="Cambria" w:hAnsi="Cambria"/>
          <w:sz w:val="20"/>
          <w:szCs w:val="20"/>
        </w:rPr>
        <w:t>enshrined in</w:t>
      </w:r>
      <w:r w:rsidR="00FC5DC8" w:rsidRPr="008D6E5C">
        <w:rPr>
          <w:rFonts w:ascii="Cambria" w:hAnsi="Cambria"/>
          <w:sz w:val="20"/>
          <w:szCs w:val="20"/>
        </w:rPr>
        <w:t xml:space="preserve"> </w:t>
      </w:r>
      <w:r w:rsidR="004B0168" w:rsidRPr="008D6E5C">
        <w:rPr>
          <w:rFonts w:ascii="Cambria" w:hAnsi="Cambria"/>
          <w:sz w:val="20"/>
          <w:szCs w:val="20"/>
        </w:rPr>
        <w:t>Article</w:t>
      </w:r>
      <w:r w:rsidR="006A16C6" w:rsidRPr="008D6E5C">
        <w:rPr>
          <w:rFonts w:ascii="Cambria" w:hAnsi="Cambria"/>
          <w:sz w:val="20"/>
          <w:szCs w:val="20"/>
        </w:rPr>
        <w:t>s</w:t>
      </w:r>
      <w:r w:rsidR="00FC5DC8" w:rsidRPr="008D6E5C">
        <w:rPr>
          <w:rFonts w:ascii="Cambria" w:hAnsi="Cambria"/>
          <w:sz w:val="20"/>
          <w:szCs w:val="20"/>
        </w:rPr>
        <w:t xml:space="preserve"> </w:t>
      </w:r>
      <w:r w:rsidR="00B52107" w:rsidRPr="008D6E5C">
        <w:rPr>
          <w:rFonts w:ascii="Cambria" w:hAnsi="Cambria"/>
          <w:sz w:val="20"/>
          <w:szCs w:val="20"/>
        </w:rPr>
        <w:t>4(1)</w:t>
      </w:r>
      <w:r w:rsidR="00FC5DC8" w:rsidRPr="008D6E5C">
        <w:rPr>
          <w:rFonts w:ascii="Cambria" w:hAnsi="Cambria"/>
          <w:sz w:val="20"/>
          <w:szCs w:val="20"/>
        </w:rPr>
        <w:t xml:space="preserve"> </w:t>
      </w:r>
      <w:r w:rsidR="006A16C6" w:rsidRPr="008D6E5C">
        <w:rPr>
          <w:rFonts w:ascii="Cambria" w:hAnsi="Cambria"/>
          <w:sz w:val="20"/>
          <w:szCs w:val="20"/>
        </w:rPr>
        <w:t xml:space="preserve">and 13 </w:t>
      </w:r>
      <w:r w:rsidR="004B0168" w:rsidRPr="008D6E5C">
        <w:rPr>
          <w:rFonts w:ascii="Cambria" w:hAnsi="Cambria"/>
          <w:sz w:val="20"/>
          <w:szCs w:val="20"/>
        </w:rPr>
        <w:t>of the American Convention</w:t>
      </w:r>
      <w:r w:rsidR="00FC5DC8" w:rsidRPr="008D6E5C">
        <w:rPr>
          <w:rFonts w:ascii="Cambria" w:hAnsi="Cambria"/>
          <w:sz w:val="20"/>
          <w:szCs w:val="20"/>
        </w:rPr>
        <w:t xml:space="preserve">, </w:t>
      </w:r>
      <w:r w:rsidRPr="008D6E5C">
        <w:rPr>
          <w:rFonts w:ascii="Cambria" w:hAnsi="Cambria"/>
          <w:sz w:val="20"/>
          <w:szCs w:val="20"/>
        </w:rPr>
        <w:t xml:space="preserve">in connection with 1(1) thereto, with respect to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w:t>
      </w:r>
    </w:p>
    <w:p w:rsidR="00FC5DC8" w:rsidRPr="008D6E5C" w:rsidRDefault="00FC5DC8" w:rsidP="001520DB">
      <w:pPr>
        <w:shd w:val="clear" w:color="auto" w:fill="FFFFFF"/>
        <w:ind w:left="720" w:hanging="720"/>
        <w:jc w:val="both"/>
        <w:rPr>
          <w:rFonts w:ascii="Cambria" w:hAnsi="Cambria"/>
          <w:sz w:val="20"/>
          <w:szCs w:val="20"/>
        </w:rPr>
      </w:pPr>
    </w:p>
    <w:p w:rsidR="00FC5DC8" w:rsidRPr="008D6E5C" w:rsidRDefault="00C01936" w:rsidP="001E4690">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hanging="720"/>
        <w:jc w:val="both"/>
        <w:rPr>
          <w:rFonts w:ascii="Cambria" w:hAnsi="Cambria"/>
          <w:sz w:val="20"/>
          <w:szCs w:val="20"/>
        </w:rPr>
      </w:pPr>
      <w:r w:rsidRPr="008D6E5C">
        <w:rPr>
          <w:rFonts w:ascii="Cambria" w:hAnsi="Cambria"/>
          <w:sz w:val="20"/>
          <w:szCs w:val="20"/>
        </w:rPr>
        <w:t>The violation of the rights to humane treatment and to</w:t>
      </w:r>
      <w:r w:rsidR="00FC5DC8" w:rsidRPr="008D6E5C">
        <w:rPr>
          <w:rFonts w:ascii="Cambria" w:hAnsi="Cambria"/>
          <w:sz w:val="20"/>
          <w:szCs w:val="20"/>
        </w:rPr>
        <w:t xml:space="preserve"> </w:t>
      </w:r>
      <w:r w:rsidR="00266186" w:rsidRPr="008D6E5C">
        <w:rPr>
          <w:rFonts w:ascii="Cambria" w:hAnsi="Cambria"/>
          <w:sz w:val="20"/>
          <w:szCs w:val="20"/>
        </w:rPr>
        <w:t>freedom of movement and residence</w:t>
      </w:r>
      <w:r w:rsidR="00FC5DC8" w:rsidRPr="008D6E5C">
        <w:rPr>
          <w:rFonts w:ascii="Cambria" w:hAnsi="Cambria"/>
          <w:sz w:val="20"/>
          <w:szCs w:val="20"/>
        </w:rPr>
        <w:t xml:space="preserve"> </w:t>
      </w:r>
      <w:r w:rsidRPr="008D6E5C">
        <w:rPr>
          <w:rFonts w:ascii="Cambria" w:hAnsi="Cambria"/>
          <w:sz w:val="20"/>
          <w:szCs w:val="20"/>
        </w:rPr>
        <w:t>enshrined in</w:t>
      </w:r>
      <w:r w:rsidR="00FC5DC8" w:rsidRPr="008D6E5C">
        <w:rPr>
          <w:rFonts w:ascii="Cambria" w:hAnsi="Cambria"/>
          <w:sz w:val="20"/>
          <w:szCs w:val="20"/>
        </w:rPr>
        <w:t xml:space="preserve"> </w:t>
      </w:r>
      <w:r w:rsidR="004B0168" w:rsidRPr="008D6E5C">
        <w:rPr>
          <w:rFonts w:ascii="Cambria" w:hAnsi="Cambria"/>
          <w:sz w:val="20"/>
          <w:szCs w:val="20"/>
        </w:rPr>
        <w:t>Article</w:t>
      </w:r>
      <w:r w:rsidR="00FC5DC8" w:rsidRPr="008D6E5C">
        <w:rPr>
          <w:rFonts w:ascii="Cambria" w:hAnsi="Cambria"/>
          <w:sz w:val="20"/>
          <w:szCs w:val="20"/>
        </w:rPr>
        <w:t xml:space="preserve"> </w:t>
      </w:r>
      <w:r w:rsidR="00033D44" w:rsidRPr="008D6E5C">
        <w:rPr>
          <w:rFonts w:ascii="Cambria" w:hAnsi="Cambria"/>
          <w:sz w:val="20"/>
          <w:szCs w:val="20"/>
        </w:rPr>
        <w:t>5(</w:t>
      </w:r>
      <w:r w:rsidR="001E31BC" w:rsidRPr="008D6E5C">
        <w:rPr>
          <w:rFonts w:ascii="Cambria" w:hAnsi="Cambria"/>
          <w:sz w:val="20"/>
          <w:szCs w:val="20"/>
        </w:rPr>
        <w:t>1</w:t>
      </w:r>
      <w:r w:rsidR="00033D44" w:rsidRPr="008D6E5C">
        <w:rPr>
          <w:rFonts w:ascii="Cambria" w:hAnsi="Cambria"/>
          <w:sz w:val="20"/>
          <w:szCs w:val="20"/>
        </w:rPr>
        <w:t>)</w:t>
      </w:r>
      <w:r w:rsidR="001E31BC" w:rsidRPr="008D6E5C">
        <w:rPr>
          <w:rFonts w:ascii="Cambria" w:hAnsi="Cambria"/>
          <w:sz w:val="20"/>
          <w:szCs w:val="20"/>
        </w:rPr>
        <w:t xml:space="preserve"> and 22</w:t>
      </w:r>
      <w:r w:rsidR="00033D44" w:rsidRPr="008D6E5C">
        <w:rPr>
          <w:rFonts w:ascii="Cambria" w:hAnsi="Cambria"/>
          <w:sz w:val="20"/>
          <w:szCs w:val="20"/>
        </w:rPr>
        <w:t>(</w:t>
      </w:r>
      <w:r w:rsidR="001E31BC" w:rsidRPr="008D6E5C">
        <w:rPr>
          <w:rFonts w:ascii="Cambria" w:hAnsi="Cambria"/>
          <w:sz w:val="20"/>
          <w:szCs w:val="20"/>
        </w:rPr>
        <w:t>1</w:t>
      </w:r>
      <w:r w:rsidR="00033D44" w:rsidRPr="008D6E5C">
        <w:rPr>
          <w:rFonts w:ascii="Cambria" w:hAnsi="Cambria"/>
          <w:sz w:val="20"/>
          <w:szCs w:val="20"/>
        </w:rPr>
        <w:t>)</w:t>
      </w:r>
      <w:r w:rsidR="00FC5DC8" w:rsidRPr="008D6E5C">
        <w:rPr>
          <w:rFonts w:ascii="Cambria" w:hAnsi="Cambria"/>
          <w:sz w:val="20"/>
          <w:szCs w:val="20"/>
        </w:rPr>
        <w:t xml:space="preserve"> </w:t>
      </w:r>
      <w:r w:rsidR="004B0168" w:rsidRPr="008D6E5C">
        <w:rPr>
          <w:rFonts w:ascii="Cambria" w:hAnsi="Cambria"/>
          <w:sz w:val="20"/>
          <w:szCs w:val="20"/>
        </w:rPr>
        <w:t>of the American Convention</w:t>
      </w:r>
      <w:r w:rsidR="00FC5DC8" w:rsidRPr="008D6E5C">
        <w:rPr>
          <w:rFonts w:ascii="Cambria" w:hAnsi="Cambria"/>
          <w:sz w:val="20"/>
          <w:szCs w:val="20"/>
        </w:rPr>
        <w:t xml:space="preserve">, </w:t>
      </w:r>
      <w:r w:rsidRPr="008D6E5C">
        <w:rPr>
          <w:rFonts w:ascii="Cambria" w:hAnsi="Cambria"/>
          <w:sz w:val="20"/>
          <w:szCs w:val="20"/>
        </w:rPr>
        <w:t xml:space="preserve">in connection with </w:t>
      </w:r>
      <w:r w:rsidR="00033D44" w:rsidRPr="008D6E5C">
        <w:rPr>
          <w:rFonts w:ascii="Cambria" w:hAnsi="Cambria"/>
          <w:sz w:val="20"/>
          <w:szCs w:val="20"/>
        </w:rPr>
        <w:t>Article 1(1)</w:t>
      </w:r>
      <w:r w:rsidRPr="008D6E5C">
        <w:rPr>
          <w:rFonts w:ascii="Cambria" w:hAnsi="Cambria"/>
          <w:sz w:val="20"/>
          <w:szCs w:val="20"/>
        </w:rPr>
        <w:t xml:space="preserve"> thereto, with respect to the relatives of </w:t>
      </w:r>
      <w:r w:rsidR="00D1708C" w:rsidRPr="008D6E5C">
        <w:rPr>
          <w:rFonts w:ascii="Cambria" w:hAnsi="Cambria"/>
          <w:sz w:val="20"/>
          <w:szCs w:val="20"/>
        </w:rPr>
        <w:t>Nelson</w:t>
      </w:r>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
    <w:p w:rsidR="00FC5DC8" w:rsidRPr="008D6E5C" w:rsidRDefault="00FC5DC8" w:rsidP="001520DB">
      <w:pPr>
        <w:pStyle w:val="Style1"/>
        <w:numPr>
          <w:ilvl w:val="0"/>
          <w:numId w:val="0"/>
        </w:numPr>
        <w:spacing w:after="0"/>
        <w:ind w:left="720"/>
        <w:contextualSpacing w:val="0"/>
        <w:outlineLvl w:val="0"/>
        <w:rPr>
          <w:lang w:val="en-US"/>
        </w:rPr>
      </w:pPr>
    </w:p>
    <w:p w:rsidR="00FC5DC8" w:rsidRPr="008D6E5C" w:rsidRDefault="00FC5DC8" w:rsidP="001520DB">
      <w:pPr>
        <w:pStyle w:val="Heading1"/>
        <w:spacing w:before="0"/>
        <w:ind w:left="1440" w:hanging="720"/>
        <w:rPr>
          <w:szCs w:val="20"/>
        </w:rPr>
      </w:pPr>
      <w:bookmarkStart w:id="65" w:name="_Toc412478094"/>
      <w:bookmarkStart w:id="66" w:name="_Toc412536254"/>
      <w:bookmarkStart w:id="67" w:name="_Toc412539549"/>
      <w:bookmarkStart w:id="68" w:name="_Toc416880395"/>
      <w:r w:rsidRPr="008D6E5C">
        <w:rPr>
          <w:szCs w:val="20"/>
        </w:rPr>
        <w:t>REC</w:t>
      </w:r>
      <w:bookmarkEnd w:id="65"/>
      <w:bookmarkEnd w:id="66"/>
      <w:bookmarkEnd w:id="67"/>
      <w:r w:rsidR="00B845B4" w:rsidRPr="008D6E5C">
        <w:rPr>
          <w:szCs w:val="20"/>
        </w:rPr>
        <w:t>OMMENDATIONS</w:t>
      </w:r>
      <w:bookmarkEnd w:id="68"/>
    </w:p>
    <w:p w:rsidR="00FC5DC8" w:rsidRPr="008D6E5C" w:rsidRDefault="00FC5DC8" w:rsidP="001520DB">
      <w:pPr>
        <w:pStyle w:val="Style1"/>
        <w:numPr>
          <w:ilvl w:val="0"/>
          <w:numId w:val="0"/>
        </w:numPr>
        <w:spacing w:after="0"/>
        <w:ind w:left="720"/>
        <w:contextualSpacing w:val="0"/>
        <w:outlineLvl w:val="0"/>
        <w:rPr>
          <w:lang w:val="en-US"/>
        </w:rPr>
      </w:pPr>
    </w:p>
    <w:p w:rsidR="00FC5DC8" w:rsidRPr="008D6E5C" w:rsidRDefault="00B845B4" w:rsidP="001520DB">
      <w:pPr>
        <w:ind w:firstLine="720"/>
        <w:jc w:val="both"/>
        <w:rPr>
          <w:rFonts w:ascii="Cambria" w:hAnsi="Cambria" w:cs="Arial"/>
          <w:b/>
          <w:bCs/>
          <w:sz w:val="20"/>
          <w:szCs w:val="20"/>
        </w:rPr>
      </w:pPr>
      <w:r w:rsidRPr="008D6E5C">
        <w:rPr>
          <w:rFonts w:ascii="Cambria" w:hAnsi="Cambria" w:cs="Arial"/>
          <w:b/>
          <w:bCs/>
          <w:sz w:val="20"/>
          <w:szCs w:val="20"/>
        </w:rPr>
        <w:t xml:space="preserve">THE INTER-AMERICAN COMMISSION ON HUMAN RIGHTS RECOMMENDS THAT THE STATE OF </w:t>
      </w:r>
      <w:r w:rsidR="00FC5DC8" w:rsidRPr="008D6E5C">
        <w:rPr>
          <w:rFonts w:ascii="Cambria" w:hAnsi="Cambria" w:cs="Arial"/>
          <w:b/>
          <w:bCs/>
          <w:sz w:val="20"/>
          <w:szCs w:val="20"/>
        </w:rPr>
        <w:t>COLOMBIA:</w:t>
      </w:r>
    </w:p>
    <w:p w:rsidR="00FC5DC8" w:rsidRPr="008D6E5C" w:rsidRDefault="00FC5DC8" w:rsidP="001520DB">
      <w:pPr>
        <w:ind w:firstLine="720"/>
        <w:jc w:val="both"/>
        <w:rPr>
          <w:rFonts w:ascii="Cambria" w:hAnsi="Cambria" w:cs="Arial"/>
          <w:b/>
          <w:bCs/>
          <w:sz w:val="20"/>
          <w:szCs w:val="20"/>
        </w:rPr>
      </w:pPr>
    </w:p>
    <w:p w:rsidR="00FC5DC8" w:rsidRPr="008D6E5C" w:rsidRDefault="0013654C" w:rsidP="001E469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8D6E5C">
        <w:rPr>
          <w:rFonts w:ascii="Cambria" w:hAnsi="Cambria"/>
          <w:sz w:val="20"/>
          <w:szCs w:val="20"/>
        </w:rPr>
        <w:t>Conduct a thorough, impart</w:t>
      </w:r>
      <w:r w:rsidR="00FC5DC8" w:rsidRPr="008D6E5C">
        <w:rPr>
          <w:rFonts w:ascii="Cambria" w:hAnsi="Cambria"/>
          <w:sz w:val="20"/>
          <w:szCs w:val="20"/>
        </w:rPr>
        <w:t xml:space="preserve">ial, </w:t>
      </w:r>
      <w:r w:rsidRPr="008D6E5C">
        <w:rPr>
          <w:rFonts w:ascii="Cambria" w:hAnsi="Cambria"/>
          <w:sz w:val="20"/>
          <w:szCs w:val="20"/>
        </w:rPr>
        <w:t xml:space="preserve">and </w:t>
      </w:r>
      <w:r w:rsidR="00FC5DC8" w:rsidRPr="008D6E5C">
        <w:rPr>
          <w:rFonts w:ascii="Cambria" w:hAnsi="Cambria"/>
          <w:sz w:val="20"/>
          <w:szCs w:val="20"/>
        </w:rPr>
        <w:t>ef</w:t>
      </w:r>
      <w:r w:rsidRPr="008D6E5C">
        <w:rPr>
          <w:rFonts w:ascii="Cambria" w:hAnsi="Cambria"/>
          <w:sz w:val="20"/>
          <w:szCs w:val="20"/>
        </w:rPr>
        <w:t>f</w:t>
      </w:r>
      <w:r w:rsidR="00FC5DC8" w:rsidRPr="008D6E5C">
        <w:rPr>
          <w:rFonts w:ascii="Cambria" w:hAnsi="Cambria"/>
          <w:sz w:val="20"/>
          <w:szCs w:val="20"/>
        </w:rPr>
        <w:t>ectiv</w:t>
      </w:r>
      <w:r w:rsidRPr="008D6E5C">
        <w:rPr>
          <w:rFonts w:ascii="Cambria" w:hAnsi="Cambria"/>
          <w:sz w:val="20"/>
          <w:szCs w:val="20"/>
        </w:rPr>
        <w:t xml:space="preserve">e investigation, within a reasonable period of time, to shed light on the circumstances of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r w:rsidRPr="008D6E5C">
        <w:rPr>
          <w:rFonts w:ascii="Cambria" w:hAnsi="Cambria"/>
          <w:sz w:val="20"/>
          <w:szCs w:val="20"/>
        </w:rPr>
        <w:t>’s</w:t>
      </w:r>
      <w:proofErr w:type="spellEnd"/>
      <w:r w:rsidRPr="008D6E5C">
        <w:rPr>
          <w:rFonts w:ascii="Cambria" w:hAnsi="Cambria"/>
          <w:sz w:val="20"/>
          <w:szCs w:val="20"/>
        </w:rPr>
        <w:t xml:space="preserve"> murder and to identify the perpetrators, including </w:t>
      </w:r>
      <w:r w:rsidR="00675D09" w:rsidRPr="008D6E5C">
        <w:rPr>
          <w:rFonts w:ascii="Cambria" w:hAnsi="Cambria"/>
          <w:sz w:val="20"/>
          <w:szCs w:val="20"/>
        </w:rPr>
        <w:t>where</w:t>
      </w:r>
      <w:r w:rsidRPr="008D6E5C">
        <w:rPr>
          <w:rFonts w:ascii="Cambria" w:hAnsi="Cambria"/>
          <w:sz w:val="20"/>
          <w:szCs w:val="20"/>
        </w:rPr>
        <w:t xml:space="preserve"> such undertaking involves reopening closed investigations or reexamining cases adjudicated by the local justice system</w:t>
      </w:r>
      <w:r w:rsidR="00FC5DC8" w:rsidRPr="008D6E5C">
        <w:rPr>
          <w:rFonts w:ascii="Cambria" w:hAnsi="Cambria" w:cs="Calibri"/>
          <w:sz w:val="20"/>
          <w:szCs w:val="20"/>
        </w:rPr>
        <w:t>.</w:t>
      </w:r>
    </w:p>
    <w:p w:rsidR="00FC5DC8" w:rsidRPr="008D6E5C" w:rsidRDefault="00FC5DC8" w:rsidP="001520DB">
      <w:pPr>
        <w:pStyle w:val="Default"/>
        <w:ind w:firstLine="720"/>
        <w:jc w:val="both"/>
        <w:rPr>
          <w:rFonts w:ascii="Cambria" w:hAnsi="Cambria"/>
          <w:sz w:val="20"/>
          <w:szCs w:val="20"/>
        </w:rPr>
      </w:pPr>
    </w:p>
    <w:p w:rsidR="00FC5DC8" w:rsidRPr="008D6E5C" w:rsidRDefault="00C867B7" w:rsidP="001E469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8D6E5C">
        <w:rPr>
          <w:rFonts w:ascii="Cambria" w:hAnsi="Cambria" w:cs="Calibri"/>
          <w:sz w:val="20"/>
          <w:szCs w:val="20"/>
        </w:rPr>
        <w:t xml:space="preserve">Take all necessary measures to ensure the safety of the witnesses and </w:t>
      </w:r>
      <w:r w:rsidR="00FC5DC8" w:rsidRPr="008D6E5C">
        <w:rPr>
          <w:rFonts w:ascii="Cambria" w:hAnsi="Cambria" w:cs="Calibri"/>
          <w:sz w:val="20"/>
          <w:szCs w:val="20"/>
        </w:rPr>
        <w:t xml:space="preserve">Nelson </w:t>
      </w:r>
      <w:proofErr w:type="spellStart"/>
      <w:r w:rsidR="00FC5DC8" w:rsidRPr="008D6E5C">
        <w:rPr>
          <w:rFonts w:ascii="Cambria" w:hAnsi="Cambria" w:cs="Calibri"/>
          <w:sz w:val="20"/>
          <w:szCs w:val="20"/>
        </w:rPr>
        <w:t>Carvajal</w:t>
      </w:r>
      <w:proofErr w:type="spellEnd"/>
      <w:r w:rsidR="00FC5DC8" w:rsidRPr="008D6E5C">
        <w:rPr>
          <w:rFonts w:ascii="Cambria" w:hAnsi="Cambria" w:cs="Calibri"/>
          <w:sz w:val="20"/>
          <w:szCs w:val="20"/>
        </w:rPr>
        <w:t xml:space="preserve"> </w:t>
      </w:r>
      <w:proofErr w:type="spellStart"/>
      <w:r w:rsidR="00FC5DC8" w:rsidRPr="008D6E5C">
        <w:rPr>
          <w:rFonts w:ascii="Cambria" w:hAnsi="Cambria" w:cs="Calibri"/>
          <w:sz w:val="20"/>
          <w:szCs w:val="20"/>
        </w:rPr>
        <w:t>Carvajal</w:t>
      </w:r>
      <w:r w:rsidRPr="008D6E5C">
        <w:rPr>
          <w:rFonts w:ascii="Cambria" w:hAnsi="Cambria" w:cs="Calibri"/>
          <w:sz w:val="20"/>
          <w:szCs w:val="20"/>
        </w:rPr>
        <w:t>’s</w:t>
      </w:r>
      <w:proofErr w:type="spellEnd"/>
      <w:r w:rsidR="00FC5DC8" w:rsidRPr="008D6E5C">
        <w:rPr>
          <w:rFonts w:ascii="Cambria" w:hAnsi="Cambria" w:cs="Calibri"/>
          <w:sz w:val="20"/>
          <w:szCs w:val="20"/>
        </w:rPr>
        <w:t xml:space="preserve"> </w:t>
      </w:r>
      <w:r w:rsidRPr="008D6E5C">
        <w:rPr>
          <w:rFonts w:ascii="Cambria" w:hAnsi="Cambria" w:cs="Calibri"/>
          <w:sz w:val="20"/>
          <w:szCs w:val="20"/>
        </w:rPr>
        <w:t>relatives over the course of these investigations and proceedings</w:t>
      </w:r>
      <w:r w:rsidR="00FC5DC8" w:rsidRPr="008D6E5C">
        <w:rPr>
          <w:rFonts w:ascii="Cambria" w:hAnsi="Cambria" w:cs="Calibri"/>
          <w:sz w:val="20"/>
          <w:szCs w:val="20"/>
        </w:rPr>
        <w:t>.</w:t>
      </w:r>
      <w:r w:rsidRPr="008D6E5C">
        <w:rPr>
          <w:rFonts w:ascii="Cambria" w:hAnsi="Cambria" w:cs="Calibri"/>
          <w:sz w:val="20"/>
          <w:szCs w:val="20"/>
        </w:rPr>
        <w:t xml:space="preserve"> </w:t>
      </w:r>
    </w:p>
    <w:p w:rsidR="00FC5DC8" w:rsidRPr="008D6E5C" w:rsidRDefault="00FC5DC8" w:rsidP="001520DB">
      <w:pPr>
        <w:pStyle w:val="ListParagraph"/>
        <w:rPr>
          <w:sz w:val="20"/>
          <w:szCs w:val="20"/>
        </w:rPr>
      </w:pPr>
    </w:p>
    <w:p w:rsidR="00FC5DC8" w:rsidRPr="008D6E5C" w:rsidRDefault="00C867B7" w:rsidP="001E469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cs="Calibri"/>
          <w:sz w:val="20"/>
          <w:szCs w:val="20"/>
        </w:rPr>
      </w:pPr>
      <w:r w:rsidRPr="008D6E5C">
        <w:rPr>
          <w:rFonts w:ascii="Cambria" w:hAnsi="Cambria"/>
          <w:sz w:val="20"/>
          <w:szCs w:val="20"/>
        </w:rPr>
        <w:t xml:space="preserve">Continue implementing effective protection measures to guarantee the safety of journalists who are particularly at risk on account of the practice of their profession, whether the </w:t>
      </w:r>
      <w:r w:rsidR="00EF5F24" w:rsidRPr="008D6E5C">
        <w:rPr>
          <w:rFonts w:ascii="Cambria" w:hAnsi="Cambria" w:cs="Calibri"/>
          <w:sz w:val="20"/>
          <w:szCs w:val="20"/>
        </w:rPr>
        <w:t>threats</w:t>
      </w:r>
      <w:r w:rsidR="00FC5DC8" w:rsidRPr="008D6E5C">
        <w:rPr>
          <w:rFonts w:ascii="Cambria" w:hAnsi="Cambria" w:cs="Calibri"/>
          <w:sz w:val="20"/>
          <w:szCs w:val="20"/>
        </w:rPr>
        <w:t xml:space="preserve"> </w:t>
      </w:r>
      <w:r w:rsidRPr="008D6E5C">
        <w:rPr>
          <w:rFonts w:ascii="Cambria" w:hAnsi="Cambria" w:cs="Calibri"/>
          <w:sz w:val="20"/>
          <w:szCs w:val="20"/>
        </w:rPr>
        <w:t>are from</w:t>
      </w:r>
      <w:r w:rsidR="00FC5DC8" w:rsidRPr="008D6E5C">
        <w:rPr>
          <w:rFonts w:ascii="Cambria" w:hAnsi="Cambria" w:cs="Calibri"/>
          <w:sz w:val="20"/>
          <w:szCs w:val="20"/>
        </w:rPr>
        <w:t xml:space="preserve"> </w:t>
      </w:r>
      <w:r w:rsidR="00550B54" w:rsidRPr="008D6E5C">
        <w:rPr>
          <w:rFonts w:ascii="Cambria" w:hAnsi="Cambria" w:cs="Calibri"/>
          <w:sz w:val="20"/>
          <w:szCs w:val="20"/>
        </w:rPr>
        <w:t>State agents</w:t>
      </w:r>
      <w:r w:rsidR="00FC5DC8" w:rsidRPr="008D6E5C">
        <w:rPr>
          <w:rFonts w:ascii="Cambria" w:hAnsi="Cambria" w:cs="Calibri"/>
          <w:sz w:val="20"/>
          <w:szCs w:val="20"/>
        </w:rPr>
        <w:t xml:space="preserve"> </w:t>
      </w:r>
      <w:r w:rsidRPr="008D6E5C">
        <w:rPr>
          <w:rFonts w:ascii="Cambria" w:hAnsi="Cambria" w:cs="Calibri"/>
          <w:sz w:val="20"/>
          <w:szCs w:val="20"/>
        </w:rPr>
        <w:t>or private individuals.</w:t>
      </w:r>
      <w:r w:rsidR="00FC5DC8" w:rsidRPr="008D6E5C">
        <w:rPr>
          <w:rFonts w:ascii="Cambria" w:hAnsi="Cambria" w:cs="Calibri"/>
          <w:sz w:val="20"/>
          <w:szCs w:val="20"/>
        </w:rPr>
        <w:t xml:space="preserve"> </w:t>
      </w:r>
      <w:r w:rsidRPr="008D6E5C">
        <w:rPr>
          <w:rFonts w:ascii="Cambria" w:hAnsi="Cambria" w:cs="Calibri"/>
          <w:sz w:val="20"/>
          <w:szCs w:val="20"/>
        </w:rPr>
        <w:t>The</w:t>
      </w:r>
      <w:r w:rsidR="007A2CDF" w:rsidRPr="008D6E5C">
        <w:rPr>
          <w:rFonts w:ascii="Cambria" w:hAnsi="Cambria" w:cs="Calibri"/>
          <w:sz w:val="20"/>
          <w:szCs w:val="20"/>
        </w:rPr>
        <w:t xml:space="preserve"> State</w:t>
      </w:r>
      <w:r w:rsidR="00FC5DC8" w:rsidRPr="008D6E5C">
        <w:rPr>
          <w:rFonts w:ascii="Cambria" w:hAnsi="Cambria" w:cs="Calibri"/>
          <w:sz w:val="20"/>
          <w:szCs w:val="20"/>
        </w:rPr>
        <w:t xml:space="preserve"> </w:t>
      </w:r>
      <w:r w:rsidRPr="008D6E5C">
        <w:rPr>
          <w:rFonts w:ascii="Cambria" w:hAnsi="Cambria" w:cs="Calibri"/>
          <w:sz w:val="20"/>
          <w:szCs w:val="20"/>
        </w:rPr>
        <w:t>must especially strengthen the implementation of the</w:t>
      </w:r>
      <w:r w:rsidR="00FC5DC8" w:rsidRPr="008D6E5C">
        <w:rPr>
          <w:rFonts w:ascii="Cambria" w:hAnsi="Cambria" w:cs="Calibri"/>
          <w:sz w:val="20"/>
          <w:szCs w:val="20"/>
        </w:rPr>
        <w:t xml:space="preserve"> “</w:t>
      </w:r>
      <w:r w:rsidR="00ED5690" w:rsidRPr="008D6E5C">
        <w:rPr>
          <w:rFonts w:ascii="Cambria" w:hAnsi="Cambria" w:cs="Calibri"/>
          <w:sz w:val="20"/>
          <w:szCs w:val="20"/>
        </w:rPr>
        <w:t xml:space="preserve">Program for Protection and Prevention of the rights to life, freedom, integrity, and security of persons, groups, and communities” for </w:t>
      </w:r>
      <w:r w:rsidRPr="008D6E5C">
        <w:rPr>
          <w:rFonts w:ascii="Cambria" w:hAnsi="Cambria" w:cs="Calibri"/>
          <w:sz w:val="20"/>
          <w:szCs w:val="20"/>
        </w:rPr>
        <w:t xml:space="preserve">regional journalists, particularly those who practice the profession in rural areas of Colombia. </w:t>
      </w:r>
    </w:p>
    <w:p w:rsidR="00FC5DC8" w:rsidRPr="008D6E5C" w:rsidRDefault="00FC5DC8" w:rsidP="001520DB">
      <w:pPr>
        <w:ind w:firstLine="720"/>
        <w:jc w:val="both"/>
        <w:rPr>
          <w:rFonts w:ascii="Cambria" w:hAnsi="Cambria"/>
          <w:sz w:val="20"/>
          <w:szCs w:val="20"/>
        </w:rPr>
      </w:pPr>
    </w:p>
    <w:p w:rsidR="00FC5DC8" w:rsidRPr="008D6E5C" w:rsidRDefault="00ED5690" w:rsidP="001E4690">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Cambria" w:hAnsi="Cambria"/>
          <w:sz w:val="20"/>
          <w:szCs w:val="20"/>
        </w:rPr>
      </w:pPr>
      <w:r w:rsidRPr="008D6E5C">
        <w:rPr>
          <w:rFonts w:ascii="Cambria" w:hAnsi="Cambria"/>
          <w:sz w:val="20"/>
          <w:szCs w:val="20"/>
        </w:rPr>
        <w:t>Provide appropriate redress for the</w:t>
      </w:r>
      <w:r w:rsidR="00FC5DC8" w:rsidRPr="008D6E5C">
        <w:rPr>
          <w:rFonts w:ascii="Cambria" w:hAnsi="Cambria"/>
          <w:sz w:val="20"/>
          <w:szCs w:val="20"/>
        </w:rPr>
        <w:t xml:space="preserve"> </w:t>
      </w:r>
      <w:r w:rsidR="00CE0022" w:rsidRPr="008D6E5C">
        <w:rPr>
          <w:rFonts w:ascii="Cambria" w:hAnsi="Cambria"/>
          <w:sz w:val="20"/>
          <w:szCs w:val="20"/>
        </w:rPr>
        <w:t>human rights violations</w:t>
      </w:r>
      <w:r w:rsidR="00FC5DC8" w:rsidRPr="008D6E5C">
        <w:rPr>
          <w:rFonts w:ascii="Cambria" w:hAnsi="Cambria"/>
          <w:sz w:val="20"/>
          <w:szCs w:val="20"/>
        </w:rPr>
        <w:t xml:space="preserve"> </w:t>
      </w:r>
      <w:r w:rsidRPr="008D6E5C">
        <w:rPr>
          <w:rFonts w:ascii="Cambria" w:hAnsi="Cambria"/>
          <w:sz w:val="20"/>
          <w:szCs w:val="20"/>
        </w:rPr>
        <w:t>declared in this report, in both the pecuniary and non-pecuniary aspects</w:t>
      </w:r>
      <w:r w:rsidR="00FC5DC8" w:rsidRPr="008D6E5C">
        <w:rPr>
          <w:rFonts w:ascii="Cambria" w:hAnsi="Cambria"/>
          <w:sz w:val="20"/>
          <w:szCs w:val="20"/>
        </w:rPr>
        <w:t>, as</w:t>
      </w:r>
      <w:r w:rsidRPr="008D6E5C">
        <w:rPr>
          <w:rFonts w:ascii="Cambria" w:hAnsi="Cambria"/>
          <w:sz w:val="20"/>
          <w:szCs w:val="20"/>
        </w:rPr>
        <w:t xml:space="preserve"> well as the </w:t>
      </w:r>
      <w:r w:rsidR="006411AD" w:rsidRPr="008D6E5C">
        <w:rPr>
          <w:rFonts w:ascii="Cambria" w:hAnsi="Cambria"/>
          <w:sz w:val="20"/>
          <w:szCs w:val="20"/>
        </w:rPr>
        <w:t xml:space="preserve">vindication </w:t>
      </w:r>
      <w:r w:rsidRPr="008D6E5C">
        <w:rPr>
          <w:rFonts w:ascii="Cambria" w:hAnsi="Cambria"/>
          <w:sz w:val="20"/>
          <w:szCs w:val="20"/>
        </w:rPr>
        <w:t xml:space="preserve">of </w:t>
      </w:r>
      <w:r w:rsidR="00FC5DC8" w:rsidRPr="008D6E5C">
        <w:rPr>
          <w:rFonts w:ascii="Cambria" w:hAnsi="Cambria"/>
          <w:sz w:val="20"/>
          <w:szCs w:val="20"/>
        </w:rPr>
        <w:t xml:space="preserve">Nelson </w:t>
      </w:r>
      <w:proofErr w:type="spellStart"/>
      <w:r w:rsidR="00FC5DC8" w:rsidRPr="008D6E5C">
        <w:rPr>
          <w:rFonts w:ascii="Cambria" w:hAnsi="Cambria"/>
          <w:sz w:val="20"/>
          <w:szCs w:val="20"/>
        </w:rPr>
        <w:t>Carvajal</w:t>
      </w:r>
      <w:proofErr w:type="spellEnd"/>
      <w:r w:rsidR="00FC5DC8" w:rsidRPr="008D6E5C">
        <w:rPr>
          <w:rFonts w:ascii="Cambria" w:hAnsi="Cambria"/>
          <w:sz w:val="20"/>
          <w:szCs w:val="20"/>
        </w:rPr>
        <w:t xml:space="preserve"> </w:t>
      </w:r>
      <w:proofErr w:type="spellStart"/>
      <w:r w:rsidR="00FC5DC8" w:rsidRPr="008D6E5C">
        <w:rPr>
          <w:rFonts w:ascii="Cambria" w:hAnsi="Cambria"/>
          <w:sz w:val="20"/>
          <w:szCs w:val="20"/>
        </w:rPr>
        <w:t>Carvajal</w:t>
      </w:r>
      <w:r w:rsidRPr="008D6E5C">
        <w:rPr>
          <w:rFonts w:ascii="Cambria" w:hAnsi="Cambria"/>
          <w:sz w:val="20"/>
          <w:szCs w:val="20"/>
        </w:rPr>
        <w:t>’s</w:t>
      </w:r>
      <w:proofErr w:type="spellEnd"/>
      <w:r w:rsidRPr="008D6E5C">
        <w:rPr>
          <w:rFonts w:ascii="Cambria" w:hAnsi="Cambria"/>
          <w:sz w:val="20"/>
          <w:szCs w:val="20"/>
        </w:rPr>
        <w:t xml:space="preserve"> work as a jour</w:t>
      </w:r>
      <w:r w:rsidR="003405EC" w:rsidRPr="008D6E5C">
        <w:rPr>
          <w:rFonts w:ascii="Cambria" w:hAnsi="Cambria"/>
          <w:sz w:val="20"/>
          <w:szCs w:val="20"/>
        </w:rPr>
        <w:t xml:space="preserve">nalist in a local media outlet, </w:t>
      </w:r>
      <w:r w:rsidR="001F5ABF" w:rsidRPr="008D6E5C">
        <w:rPr>
          <w:rFonts w:ascii="Cambria" w:hAnsi="Cambria"/>
          <w:sz w:val="20"/>
          <w:szCs w:val="20"/>
        </w:rPr>
        <w:t>with special attention given to the impact</w:t>
      </w:r>
      <w:r w:rsidR="0014554A" w:rsidRPr="008D6E5C">
        <w:rPr>
          <w:rFonts w:ascii="Cambria" w:hAnsi="Cambria"/>
          <w:sz w:val="20"/>
          <w:szCs w:val="20"/>
        </w:rPr>
        <w:t xml:space="preserve"> caused to the relatives of Nelson </w:t>
      </w:r>
      <w:proofErr w:type="spellStart"/>
      <w:r w:rsidR="0014554A" w:rsidRPr="008D6E5C">
        <w:rPr>
          <w:rFonts w:ascii="Cambria" w:hAnsi="Cambria"/>
          <w:sz w:val="20"/>
          <w:szCs w:val="20"/>
        </w:rPr>
        <w:t>Carvajal</w:t>
      </w:r>
      <w:proofErr w:type="spellEnd"/>
      <w:r w:rsidR="0014554A" w:rsidRPr="008D6E5C">
        <w:rPr>
          <w:rFonts w:ascii="Cambria" w:hAnsi="Cambria"/>
          <w:sz w:val="20"/>
          <w:szCs w:val="20"/>
        </w:rPr>
        <w:t xml:space="preserve"> </w:t>
      </w:r>
      <w:proofErr w:type="spellStart"/>
      <w:r w:rsidR="0014554A" w:rsidRPr="008D6E5C">
        <w:rPr>
          <w:rFonts w:ascii="Cambria" w:hAnsi="Cambria"/>
          <w:sz w:val="20"/>
          <w:szCs w:val="20"/>
        </w:rPr>
        <w:t>Carvajal</w:t>
      </w:r>
      <w:proofErr w:type="spellEnd"/>
      <w:r w:rsidR="0014554A" w:rsidRPr="008D6E5C">
        <w:rPr>
          <w:rFonts w:ascii="Cambria" w:hAnsi="Cambria"/>
          <w:sz w:val="20"/>
          <w:szCs w:val="20"/>
        </w:rPr>
        <w:t xml:space="preserve"> by the </w:t>
      </w:r>
      <w:r w:rsidR="001F5ABF" w:rsidRPr="008D6E5C">
        <w:rPr>
          <w:rFonts w:ascii="Cambria" w:hAnsi="Cambria"/>
          <w:sz w:val="20"/>
          <w:szCs w:val="20"/>
        </w:rPr>
        <w:t>departure from their country</w:t>
      </w:r>
      <w:r w:rsidR="003405EC" w:rsidRPr="008D6E5C">
        <w:rPr>
          <w:rFonts w:ascii="Cambria" w:hAnsi="Cambria"/>
          <w:sz w:val="20"/>
          <w:szCs w:val="20"/>
        </w:rPr>
        <w:t>.</w:t>
      </w:r>
    </w:p>
    <w:p w:rsidR="00A03E84" w:rsidRPr="008D6E5C" w:rsidRDefault="00A03E84" w:rsidP="00A03E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rsidR="00A95486" w:rsidRPr="00874A5A" w:rsidRDefault="00A03E84" w:rsidP="00A9548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pacing w:val="-2"/>
          <w:sz w:val="20"/>
          <w:szCs w:val="20"/>
        </w:rPr>
      </w:pPr>
      <w:r w:rsidRPr="008D6E5C">
        <w:rPr>
          <w:rFonts w:ascii="Cambria" w:hAnsi="Cambria"/>
          <w:sz w:val="20"/>
          <w:szCs w:val="20"/>
        </w:rPr>
        <w:t>Done and signed in the city of Washington, D.C., on the 26</w:t>
      </w:r>
      <w:r w:rsidRPr="008D6E5C">
        <w:rPr>
          <w:rFonts w:ascii="Cambria" w:hAnsi="Cambria"/>
          <w:sz w:val="20"/>
          <w:szCs w:val="20"/>
          <w:vertAlign w:val="superscript"/>
        </w:rPr>
        <w:t>th</w:t>
      </w:r>
      <w:r w:rsidRPr="008D6E5C">
        <w:rPr>
          <w:rFonts w:ascii="Cambria" w:hAnsi="Cambria"/>
          <w:sz w:val="20"/>
          <w:szCs w:val="20"/>
        </w:rPr>
        <w:t xml:space="preserve"> days of March, </w:t>
      </w:r>
      <w:proofErr w:type="gramStart"/>
      <w:r w:rsidRPr="008D6E5C">
        <w:rPr>
          <w:rFonts w:ascii="Cambria" w:hAnsi="Cambria"/>
          <w:sz w:val="20"/>
          <w:szCs w:val="20"/>
        </w:rPr>
        <w:t xml:space="preserve">2015 </w:t>
      </w:r>
      <w:r w:rsidR="00A95486" w:rsidRPr="00874A5A">
        <w:rPr>
          <w:rFonts w:ascii="Cambria" w:hAnsi="Cambria"/>
          <w:spacing w:val="-2"/>
          <w:sz w:val="20"/>
          <w:szCs w:val="20"/>
        </w:rPr>
        <w:t xml:space="preserve"> (</w:t>
      </w:r>
      <w:proofErr w:type="gramEnd"/>
      <w:r w:rsidR="00A95486" w:rsidRPr="00874A5A">
        <w:rPr>
          <w:rFonts w:ascii="Cambria" w:hAnsi="Cambria"/>
          <w:spacing w:val="-2"/>
          <w:sz w:val="20"/>
          <w:szCs w:val="20"/>
        </w:rPr>
        <w:t xml:space="preserve">Signed):  </w:t>
      </w:r>
      <w:r w:rsidR="00A95486" w:rsidRPr="00874A5A">
        <w:rPr>
          <w:rFonts w:ascii="Cambria" w:hAnsi="Cambria" w:cs="Arial"/>
          <w:noProof/>
          <w:spacing w:val="-2"/>
          <w:sz w:val="20"/>
          <w:szCs w:val="20"/>
        </w:rPr>
        <w:t>Rose-Marie Belle Antoine,</w:t>
      </w:r>
      <w:r w:rsidR="00A95486" w:rsidRPr="00874A5A">
        <w:rPr>
          <w:rFonts w:ascii="Cambria" w:hAnsi="Cambria"/>
          <w:sz w:val="20"/>
          <w:szCs w:val="20"/>
        </w:rPr>
        <w:t xml:space="preserve"> President; </w:t>
      </w:r>
      <w:r w:rsidR="00A95486" w:rsidRPr="00874A5A">
        <w:rPr>
          <w:rFonts w:ascii="Cambria" w:hAnsi="Cambria" w:cs="Arial"/>
          <w:noProof/>
          <w:spacing w:val="-2"/>
          <w:sz w:val="20"/>
          <w:szCs w:val="20"/>
        </w:rPr>
        <w:t>James L. Cavallaro</w:t>
      </w:r>
      <w:r w:rsidR="00A95486" w:rsidRPr="00874A5A">
        <w:rPr>
          <w:rFonts w:ascii="Cambria" w:hAnsi="Cambria"/>
          <w:sz w:val="20"/>
          <w:szCs w:val="20"/>
        </w:rPr>
        <w:t xml:space="preserve">, </w:t>
      </w:r>
      <w:r w:rsidR="00A95486" w:rsidRPr="00874A5A">
        <w:rPr>
          <w:rFonts w:ascii="Cambria" w:hAnsi="Cambria"/>
          <w:spacing w:val="-2"/>
          <w:sz w:val="20"/>
          <w:szCs w:val="20"/>
        </w:rPr>
        <w:t>First Vice President;</w:t>
      </w:r>
      <w:r w:rsidR="00A95486" w:rsidRPr="00874A5A">
        <w:rPr>
          <w:rFonts w:ascii="Cambria" w:hAnsi="Cambria" w:cs="Arial"/>
          <w:noProof/>
          <w:spacing w:val="-2"/>
          <w:sz w:val="20"/>
          <w:szCs w:val="20"/>
        </w:rPr>
        <w:t xml:space="preserve"> José de Jesús Orozco Henríquez</w:t>
      </w:r>
      <w:r w:rsidR="00A95486" w:rsidRPr="00874A5A">
        <w:rPr>
          <w:rFonts w:ascii="Cambria" w:hAnsi="Cambria"/>
          <w:spacing w:val="-2"/>
          <w:sz w:val="20"/>
          <w:szCs w:val="20"/>
        </w:rPr>
        <w:t xml:space="preserve">, </w:t>
      </w:r>
      <w:r w:rsidR="00A95486" w:rsidRPr="00874A5A">
        <w:rPr>
          <w:rFonts w:ascii="Cambria" w:hAnsi="Cambria" w:cs="Arial"/>
          <w:noProof/>
          <w:spacing w:val="-2"/>
          <w:sz w:val="20"/>
          <w:szCs w:val="20"/>
        </w:rPr>
        <w:t>Second V</w:t>
      </w:r>
      <w:r w:rsidR="00A95486">
        <w:rPr>
          <w:rFonts w:ascii="Cambria" w:hAnsi="Cambria" w:cs="Arial"/>
          <w:noProof/>
          <w:spacing w:val="-2"/>
          <w:sz w:val="20"/>
          <w:szCs w:val="20"/>
        </w:rPr>
        <w:t xml:space="preserve">ice President; Felipe González and </w:t>
      </w:r>
      <w:r w:rsidR="00A95486" w:rsidRPr="00874A5A">
        <w:rPr>
          <w:rFonts w:ascii="Cambria" w:hAnsi="Cambria"/>
          <w:sz w:val="20"/>
          <w:szCs w:val="20"/>
        </w:rPr>
        <w:t>Tracy Robinson</w:t>
      </w:r>
      <w:r w:rsidR="00A95486" w:rsidRPr="00874A5A">
        <w:rPr>
          <w:rFonts w:ascii="Cambria" w:hAnsi="Cambria" w:cs="Arial"/>
          <w:noProof/>
          <w:spacing w:val="-2"/>
          <w:sz w:val="20"/>
          <w:szCs w:val="20"/>
        </w:rPr>
        <w:t xml:space="preserve">, </w:t>
      </w:r>
      <w:r w:rsidR="00A95486" w:rsidRPr="00874A5A">
        <w:rPr>
          <w:rFonts w:ascii="Cambria" w:hAnsi="Cambria"/>
          <w:spacing w:val="-2"/>
          <w:sz w:val="20"/>
          <w:szCs w:val="20"/>
        </w:rPr>
        <w:t>Commissioners.</w:t>
      </w:r>
    </w:p>
    <w:p w:rsidR="00A03E84" w:rsidRPr="008D6E5C" w:rsidRDefault="00A03E84" w:rsidP="00A95486">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hAnsi="Cambria"/>
          <w:sz w:val="20"/>
          <w:szCs w:val="20"/>
        </w:rPr>
      </w:pPr>
    </w:p>
    <w:sectPr w:rsidR="00A03E84" w:rsidRPr="008D6E5C" w:rsidSect="006311DA">
      <w:footerReference w:type="first" r:id="rId16"/>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0E" w:rsidRDefault="005B380E" w:rsidP="00036A8A">
      <w:r>
        <w:separator/>
      </w:r>
    </w:p>
  </w:endnote>
  <w:endnote w:type="continuationSeparator" w:id="0">
    <w:p w:rsidR="005B380E" w:rsidRDefault="005B380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MinionPro-I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8A" w:rsidRPr="006311DA" w:rsidRDefault="00F8558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C93497">
      <w:rPr>
        <w:noProof/>
        <w:sz w:val="16"/>
      </w:rPr>
      <w:t>44</w:t>
    </w:r>
    <w:r w:rsidRPr="006311DA">
      <w:rPr>
        <w:noProof/>
        <w:sz w:val="16"/>
      </w:rPr>
      <w:fldChar w:fldCharType="end"/>
    </w:r>
  </w:p>
  <w:p w:rsidR="00F8558A" w:rsidRDefault="00F85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8A" w:rsidRDefault="00F8558A">
    <w:pPr>
      <w:pStyle w:val="Footer"/>
      <w:jc w:val="center"/>
    </w:pPr>
  </w:p>
  <w:p w:rsidR="00F8558A" w:rsidRDefault="00F85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8A" w:rsidRDefault="00F8558A">
    <w:pPr>
      <w:pStyle w:val="Footer"/>
      <w:jc w:val="center"/>
    </w:pPr>
    <w:r>
      <w:fldChar w:fldCharType="begin"/>
    </w:r>
    <w:r>
      <w:instrText xml:space="preserve"> PAGE   \* MERGEFORMAT </w:instrText>
    </w:r>
    <w:r>
      <w:fldChar w:fldCharType="separate"/>
    </w:r>
    <w:r>
      <w:rPr>
        <w:noProof/>
      </w:rPr>
      <w:t>1</w:t>
    </w:r>
    <w:r>
      <w:rPr>
        <w:noProof/>
      </w:rPr>
      <w:fldChar w:fldCharType="end"/>
    </w:r>
  </w:p>
  <w:p w:rsidR="00F8558A" w:rsidRDefault="00F8558A">
    <w:pPr>
      <w:pStyle w:val="Footer"/>
    </w:pPr>
  </w:p>
  <w:p w:rsidR="00F8558A" w:rsidRDefault="00F855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0E" w:rsidRPr="000036BD" w:rsidRDefault="005B380E" w:rsidP="00036A8A">
      <w:pPr>
        <w:rPr>
          <w:rFonts w:ascii="Cambria" w:hAnsi="Cambria"/>
          <w:sz w:val="16"/>
          <w:szCs w:val="16"/>
        </w:rPr>
      </w:pPr>
      <w:r w:rsidRPr="000036BD">
        <w:rPr>
          <w:rFonts w:ascii="Cambria" w:hAnsi="Cambria"/>
          <w:sz w:val="16"/>
          <w:szCs w:val="16"/>
        </w:rPr>
        <w:separator/>
      </w:r>
    </w:p>
  </w:footnote>
  <w:footnote w:type="continuationSeparator" w:id="0">
    <w:p w:rsidR="005B380E" w:rsidRPr="000036BD" w:rsidRDefault="005B380E" w:rsidP="00036A8A">
      <w:pPr>
        <w:rPr>
          <w:rFonts w:ascii="Cambria" w:hAnsi="Cambria"/>
          <w:sz w:val="16"/>
          <w:szCs w:val="16"/>
        </w:rPr>
      </w:pPr>
      <w:r w:rsidRPr="000036BD">
        <w:rPr>
          <w:rFonts w:ascii="Cambria" w:hAnsi="Cambria"/>
          <w:sz w:val="16"/>
          <w:szCs w:val="16"/>
        </w:rPr>
        <w:separator/>
      </w:r>
    </w:p>
    <w:p w:rsidR="005B380E" w:rsidRPr="000036BD" w:rsidRDefault="005B380E" w:rsidP="00036A8A">
      <w:pPr>
        <w:pStyle w:val="Footer"/>
        <w:rPr>
          <w:sz w:val="16"/>
          <w:szCs w:val="16"/>
        </w:rPr>
      </w:pPr>
      <w:r w:rsidRPr="000036BD">
        <w:rPr>
          <w:sz w:val="16"/>
          <w:szCs w:val="16"/>
        </w:rPr>
        <w:t xml:space="preserve">[… </w:t>
      </w:r>
      <w:proofErr w:type="gramStart"/>
      <w:r w:rsidRPr="000036BD">
        <w:rPr>
          <w:sz w:val="16"/>
          <w:szCs w:val="16"/>
        </w:rPr>
        <w:t>continuation</w:t>
      </w:r>
      <w:proofErr w:type="gramEnd"/>
      <w:r w:rsidRPr="000036BD">
        <w:rPr>
          <w:sz w:val="16"/>
          <w:szCs w:val="16"/>
        </w:rPr>
        <w:t>]</w:t>
      </w:r>
    </w:p>
  </w:footnote>
  <w:footnote w:type="continuationNotice" w:id="1">
    <w:p w:rsidR="005B380E" w:rsidRPr="000036BD" w:rsidRDefault="005B380E" w:rsidP="005B222D">
      <w:pPr>
        <w:jc w:val="right"/>
        <w:rPr>
          <w:rFonts w:ascii="Cambria" w:hAnsi="Cambria"/>
          <w:sz w:val="16"/>
          <w:szCs w:val="16"/>
          <w:lang w:val="es-ES_tradnl"/>
        </w:rPr>
      </w:pPr>
      <w:r w:rsidRPr="000036BD">
        <w:rPr>
          <w:rFonts w:ascii="Cambria" w:hAnsi="Cambria"/>
          <w:sz w:val="16"/>
          <w:szCs w:val="16"/>
        </w:rPr>
        <w:t>[</w:t>
      </w:r>
      <w:proofErr w:type="gramStart"/>
      <w:r w:rsidRPr="000036BD">
        <w:rPr>
          <w:rFonts w:ascii="Cambria" w:hAnsi="Cambria"/>
          <w:sz w:val="16"/>
          <w:szCs w:val="16"/>
        </w:rPr>
        <w:t>continues</w:t>
      </w:r>
      <w:proofErr w:type="gramEnd"/>
      <w:r w:rsidRPr="000036BD">
        <w:rPr>
          <w:rFonts w:ascii="Cambria" w:hAnsi="Cambria"/>
          <w:sz w:val="16"/>
          <w:szCs w:val="16"/>
        </w:rPr>
        <w:t xml:space="preserve"> …]</w:t>
      </w:r>
    </w:p>
  </w:footnote>
  <w:footnote w:id="2">
    <w:p w:rsidR="00F8558A" w:rsidRPr="007F1156" w:rsidRDefault="00F8558A" w:rsidP="007F1156">
      <w:pPr>
        <w:keepNext/>
        <w:spacing w:after="120"/>
        <w:ind w:firstLine="720"/>
        <w:jc w:val="both"/>
        <w:rPr>
          <w:rFonts w:ascii="Cambria" w:hAnsi="Cambria" w:cs="Arial"/>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r w:rsidRPr="007F1156">
        <w:rPr>
          <w:rFonts w:ascii="Cambria" w:hAnsi="Cambria" w:cs="Arial"/>
          <w:sz w:val="16"/>
          <w:szCs w:val="16"/>
        </w:rPr>
        <w:t xml:space="preserve">With regard to the termination of the friendly settlement phase with the Colombian State, the petitioner expressed the opinion that they had failed to reach a favorable outcome that would allow for the establishment of the facts of the crime or reduce the degree of impunity. </w:t>
      </w:r>
    </w:p>
  </w:footnote>
  <w:footnote w:id="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Paola Andrea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Bolaños</w:t>
      </w:r>
      <w:proofErr w:type="spellEnd"/>
      <w:r w:rsidRPr="007F1156">
        <w:rPr>
          <w:rFonts w:ascii="Cambria" w:hAnsi="Cambria"/>
          <w:sz w:val="16"/>
          <w:szCs w:val="16"/>
        </w:rPr>
        <w:t xml:space="preserve"> and </w:t>
      </w:r>
      <w:proofErr w:type="spellStart"/>
      <w:r w:rsidRPr="007F1156">
        <w:rPr>
          <w:rFonts w:ascii="Cambria" w:hAnsi="Cambria"/>
          <w:sz w:val="16"/>
          <w:szCs w:val="16"/>
        </w:rPr>
        <w:t>María</w:t>
      </w:r>
      <w:proofErr w:type="spellEnd"/>
      <w:r w:rsidRPr="007F1156">
        <w:rPr>
          <w:rFonts w:ascii="Cambria" w:hAnsi="Cambria"/>
          <w:sz w:val="16"/>
          <w:szCs w:val="16"/>
        </w:rPr>
        <w:t xml:space="preserve"> Alejandra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Bolaños</w:t>
      </w:r>
      <w:proofErr w:type="spellEnd"/>
      <w:r w:rsidRPr="007F1156">
        <w:rPr>
          <w:rFonts w:ascii="Cambria" w:hAnsi="Cambria"/>
          <w:sz w:val="16"/>
          <w:szCs w:val="16"/>
        </w:rPr>
        <w:t xml:space="preserve"> (daughters); Luz Stella </w:t>
      </w:r>
      <w:proofErr w:type="spellStart"/>
      <w:r w:rsidRPr="007F1156">
        <w:rPr>
          <w:rFonts w:ascii="Cambria" w:hAnsi="Cambria"/>
          <w:sz w:val="16"/>
          <w:szCs w:val="16"/>
        </w:rPr>
        <w:t>Bolaños</w:t>
      </w:r>
      <w:proofErr w:type="spellEnd"/>
      <w:r w:rsidRPr="007F1156">
        <w:rPr>
          <w:rFonts w:ascii="Cambria" w:hAnsi="Cambria"/>
          <w:sz w:val="16"/>
          <w:szCs w:val="16"/>
        </w:rPr>
        <w:t xml:space="preserve"> Rodríguez (spouse);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Gloria Mercedes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Ruth </w:t>
      </w:r>
      <w:proofErr w:type="spellStart"/>
      <w:r w:rsidRPr="007F1156">
        <w:rPr>
          <w:rFonts w:ascii="Cambria" w:hAnsi="Cambria"/>
          <w:sz w:val="16"/>
          <w:szCs w:val="16"/>
        </w:rPr>
        <w:t>Dary</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and Fernando Augusto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(siblings); </w:t>
      </w:r>
      <w:proofErr w:type="spellStart"/>
      <w:r w:rsidRPr="007F1156">
        <w:rPr>
          <w:rFonts w:ascii="Cambria" w:hAnsi="Cambria"/>
          <w:sz w:val="16"/>
          <w:szCs w:val="16"/>
        </w:rPr>
        <w:t>Cristhian</w:t>
      </w:r>
      <w:proofErr w:type="spellEnd"/>
      <w:r w:rsidRPr="007F1156">
        <w:rPr>
          <w:rFonts w:ascii="Cambria" w:hAnsi="Cambria"/>
          <w:sz w:val="16"/>
          <w:szCs w:val="16"/>
        </w:rPr>
        <w:t xml:space="preserve"> Camilo Motta </w:t>
      </w:r>
      <w:proofErr w:type="spellStart"/>
      <w:r w:rsidRPr="007F1156">
        <w:rPr>
          <w:rFonts w:ascii="Cambria" w:hAnsi="Cambria"/>
          <w:sz w:val="16"/>
          <w:szCs w:val="16"/>
        </w:rPr>
        <w:t>Carvajal</w:t>
      </w:r>
      <w:proofErr w:type="spellEnd"/>
      <w:r w:rsidRPr="007F1156">
        <w:rPr>
          <w:rFonts w:ascii="Cambria" w:hAnsi="Cambria"/>
          <w:sz w:val="16"/>
          <w:szCs w:val="16"/>
        </w:rPr>
        <w:t xml:space="preserve"> and César Augusto </w:t>
      </w:r>
      <w:proofErr w:type="spellStart"/>
      <w:r w:rsidRPr="007F1156">
        <w:rPr>
          <w:rFonts w:ascii="Cambria" w:hAnsi="Cambria"/>
          <w:sz w:val="16"/>
          <w:szCs w:val="16"/>
        </w:rPr>
        <w:t>Meneses</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(nephews).</w:t>
      </w:r>
    </w:p>
  </w:footnote>
  <w:footnote w:id="4">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Rules of Procedure of the IACHR, </w:t>
      </w:r>
      <w:r w:rsidRPr="007F1156">
        <w:rPr>
          <w:rFonts w:ascii="Cambria" w:hAnsi="Cambria"/>
          <w:spacing w:val="-3"/>
          <w:sz w:val="16"/>
          <w:szCs w:val="16"/>
        </w:rPr>
        <w:t xml:space="preserve">Article 43(1). “The Commission shall deliberate on the merits of the case, to which end it shall prepare a report in which it will examine the arguments, the evidence presented by the parties, and the information obtained during hearings and on-site observations. In addition, the Commission may take into account other information that is a matter of public knowledge.”  </w:t>
      </w:r>
    </w:p>
  </w:footnote>
  <w:footnote w:id="5">
    <w:p w:rsidR="00F8558A" w:rsidRPr="007F1156" w:rsidRDefault="00F8558A" w:rsidP="007F1156">
      <w:pPr>
        <w:pStyle w:val="FootnoteText"/>
        <w:spacing w:after="120"/>
        <w:ind w:firstLine="720"/>
        <w:jc w:val="both"/>
        <w:rPr>
          <w:rFonts w:ascii="Cambria" w:hAnsi="Cambria"/>
          <w:sz w:val="16"/>
          <w:szCs w:val="16"/>
          <w:lang w:val="pt-BR"/>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Velásquez</w:t>
      </w:r>
      <w:proofErr w:type="spellEnd"/>
      <w:r w:rsidRPr="007F1156">
        <w:rPr>
          <w:rFonts w:ascii="Cambria" w:hAnsi="Cambria"/>
          <w:i/>
          <w:sz w:val="16"/>
          <w:szCs w:val="16"/>
          <w:lang w:eastAsia="x-none"/>
        </w:rPr>
        <w:t xml:space="preserve"> Rodríguez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July 29, 1988. </w:t>
      </w:r>
      <w:r w:rsidRPr="007F1156">
        <w:rPr>
          <w:rFonts w:ascii="Cambria" w:hAnsi="Cambria"/>
          <w:sz w:val="16"/>
          <w:szCs w:val="16"/>
          <w:lang w:val="pt-BR" w:eastAsia="x-none"/>
        </w:rPr>
        <w:t xml:space="preserve">Series C No. 4. Para. 128 et seq.; IACHR. Report No. 37/10. Case 12.308. Manoel Leal de Oliveira (Brazil). </w:t>
      </w:r>
      <w:r w:rsidRPr="007F1156">
        <w:rPr>
          <w:rFonts w:ascii="Cambria" w:hAnsi="Cambria"/>
          <w:sz w:val="16"/>
          <w:szCs w:val="16"/>
          <w:lang w:eastAsia="x-none"/>
        </w:rPr>
        <w:t xml:space="preserve">March 17, 2010. </w:t>
      </w:r>
      <w:r w:rsidRPr="007F1156">
        <w:rPr>
          <w:rFonts w:ascii="Cambria" w:hAnsi="Cambria"/>
          <w:sz w:val="16"/>
          <w:szCs w:val="16"/>
          <w:lang w:val="pt-BR" w:eastAsia="x-none"/>
        </w:rPr>
        <w:t>Para. 56.</w:t>
      </w:r>
    </w:p>
  </w:footnote>
  <w:footnote w:id="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Velásquez</w:t>
      </w:r>
      <w:proofErr w:type="spellEnd"/>
      <w:r w:rsidRPr="007F1156">
        <w:rPr>
          <w:rFonts w:ascii="Cambria" w:hAnsi="Cambria"/>
          <w:i/>
          <w:sz w:val="16"/>
          <w:szCs w:val="16"/>
          <w:lang w:eastAsia="x-none"/>
        </w:rPr>
        <w:t xml:space="preserve"> Rodríguez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July 29, 1988. </w:t>
      </w:r>
      <w:proofErr w:type="gramStart"/>
      <w:r w:rsidRPr="007F1156">
        <w:rPr>
          <w:rFonts w:ascii="Cambria" w:hAnsi="Cambria"/>
          <w:sz w:val="16"/>
          <w:szCs w:val="16"/>
          <w:lang w:eastAsia="x-none"/>
        </w:rPr>
        <w:t>Series C No. 4.</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130;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Godínez</w:t>
      </w:r>
      <w:proofErr w:type="spellEnd"/>
      <w:r w:rsidRPr="007F1156">
        <w:rPr>
          <w:rFonts w:ascii="Cambria" w:hAnsi="Cambria"/>
          <w:i/>
          <w:sz w:val="16"/>
          <w:szCs w:val="16"/>
          <w:lang w:eastAsia="x-none"/>
        </w:rPr>
        <w:t xml:space="preserve"> Cruz v. Honduras.</w:t>
      </w:r>
      <w:proofErr w:type="gramEnd"/>
      <w:r w:rsidRPr="007F1156">
        <w:rPr>
          <w:rFonts w:ascii="Cambria" w:hAnsi="Cambria"/>
          <w:i/>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January 20, 1989. </w:t>
      </w:r>
      <w:proofErr w:type="gramStart"/>
      <w:r w:rsidRPr="007F1156">
        <w:rPr>
          <w:rFonts w:ascii="Cambria" w:hAnsi="Cambria"/>
          <w:sz w:val="16"/>
          <w:szCs w:val="16"/>
          <w:lang w:eastAsia="x-none"/>
        </w:rPr>
        <w:t>Series C No. 5.</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Paras.</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133-36;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Fairén</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Garbi</w:t>
      </w:r>
      <w:proofErr w:type="spellEnd"/>
      <w:r w:rsidRPr="007F1156">
        <w:rPr>
          <w:rFonts w:ascii="Cambria" w:hAnsi="Cambria"/>
          <w:i/>
          <w:sz w:val="16"/>
          <w:szCs w:val="16"/>
          <w:lang w:eastAsia="x-none"/>
        </w:rPr>
        <w:t xml:space="preserve"> and </w:t>
      </w:r>
      <w:proofErr w:type="spellStart"/>
      <w:r w:rsidRPr="007F1156">
        <w:rPr>
          <w:rFonts w:ascii="Cambria" w:hAnsi="Cambria"/>
          <w:i/>
          <w:sz w:val="16"/>
          <w:szCs w:val="16"/>
          <w:lang w:eastAsia="x-none"/>
        </w:rPr>
        <w:t>Solís</w:t>
      </w:r>
      <w:proofErr w:type="spellEnd"/>
      <w:r w:rsidRPr="007F1156">
        <w:rPr>
          <w:rFonts w:ascii="Cambria" w:hAnsi="Cambria"/>
          <w:i/>
          <w:sz w:val="16"/>
          <w:szCs w:val="16"/>
          <w:lang w:eastAsia="x-none"/>
        </w:rPr>
        <w:t xml:space="preserve"> Corrales v. Honduras.</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March 15, 1989. </w:t>
      </w:r>
      <w:proofErr w:type="gramStart"/>
      <w:r w:rsidRPr="007F1156">
        <w:rPr>
          <w:rFonts w:ascii="Cambria" w:hAnsi="Cambria"/>
          <w:sz w:val="16"/>
          <w:szCs w:val="16"/>
          <w:lang w:eastAsia="x-none"/>
        </w:rPr>
        <w:t>Series C No. 6.</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Paras.</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130-33;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Gangaram</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Panday</w:t>
      </w:r>
      <w:proofErr w:type="spellEnd"/>
      <w:r w:rsidRPr="007F1156">
        <w:rPr>
          <w:rFonts w:ascii="Cambria" w:hAnsi="Cambria"/>
          <w:i/>
          <w:sz w:val="16"/>
          <w:szCs w:val="16"/>
          <w:lang w:eastAsia="x-none"/>
        </w:rPr>
        <w:t xml:space="preserve"> v. Suriname.</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January 21, 1994. </w:t>
      </w:r>
      <w:proofErr w:type="gramStart"/>
      <w:r w:rsidRPr="007F1156">
        <w:rPr>
          <w:rFonts w:ascii="Cambria" w:hAnsi="Cambria"/>
          <w:sz w:val="16"/>
          <w:szCs w:val="16"/>
          <w:lang w:eastAsia="x-none"/>
        </w:rPr>
        <w:t>Series C No. 16.</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49.</w:t>
      </w:r>
    </w:p>
  </w:footnote>
  <w:footnote w:id="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Velásquez</w:t>
      </w:r>
      <w:proofErr w:type="spellEnd"/>
      <w:r w:rsidRPr="007F1156">
        <w:rPr>
          <w:rFonts w:ascii="Cambria" w:hAnsi="Cambria"/>
          <w:i/>
          <w:sz w:val="16"/>
          <w:szCs w:val="16"/>
          <w:lang w:eastAsia="x-none"/>
        </w:rPr>
        <w:t xml:space="preserve"> Rodríguez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July 29, 1988. </w:t>
      </w:r>
      <w:proofErr w:type="gramStart"/>
      <w:r w:rsidRPr="007F1156">
        <w:rPr>
          <w:rFonts w:ascii="Cambria" w:hAnsi="Cambria"/>
          <w:sz w:val="16"/>
          <w:szCs w:val="16"/>
          <w:lang w:eastAsia="x-none"/>
        </w:rPr>
        <w:t>Series C No. 4.</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135; </w:t>
      </w:r>
      <w:r w:rsidRPr="007F1156">
        <w:rPr>
          <w:rFonts w:ascii="Cambria" w:hAnsi="Cambria"/>
          <w:i/>
          <w:sz w:val="16"/>
          <w:szCs w:val="16"/>
          <w:lang w:eastAsia="x-none"/>
        </w:rPr>
        <w:t>Case of Ríos et al. v. Venezuela</w:t>
      </w:r>
      <w:r w:rsidRPr="007F1156">
        <w:rPr>
          <w:rFonts w:ascii="Cambria" w:hAnsi="Cambria"/>
          <w:sz w:val="16"/>
          <w:szCs w:val="16"/>
          <w:lang w:eastAsia="x-none"/>
        </w:rPr>
        <w:t>.</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Preliminary Objections, Merits, Reparations, and Costs.</w:t>
      </w:r>
      <w:proofErr w:type="gramEnd"/>
      <w:r w:rsidRPr="007F1156">
        <w:rPr>
          <w:rFonts w:ascii="Cambria" w:hAnsi="Cambria"/>
          <w:sz w:val="16"/>
          <w:szCs w:val="16"/>
          <w:lang w:eastAsia="x-none"/>
        </w:rPr>
        <w:t xml:space="preserve"> Judgment of January 28, 2009. </w:t>
      </w:r>
      <w:proofErr w:type="gramStart"/>
      <w:r w:rsidRPr="007F1156">
        <w:rPr>
          <w:rFonts w:ascii="Cambria" w:hAnsi="Cambria"/>
          <w:sz w:val="16"/>
          <w:szCs w:val="16"/>
          <w:lang w:eastAsia="x-none"/>
        </w:rPr>
        <w:t>Series C No. 194.</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98;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Chaparro</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Álvarez</w:t>
      </w:r>
      <w:proofErr w:type="spellEnd"/>
      <w:r w:rsidRPr="007F1156">
        <w:rPr>
          <w:rFonts w:ascii="Cambria" w:hAnsi="Cambria"/>
          <w:i/>
          <w:sz w:val="16"/>
          <w:szCs w:val="16"/>
          <w:lang w:eastAsia="x-none"/>
        </w:rPr>
        <w:t xml:space="preserve"> and </w:t>
      </w:r>
      <w:proofErr w:type="spellStart"/>
      <w:r w:rsidRPr="007F1156">
        <w:rPr>
          <w:rFonts w:ascii="Cambria" w:hAnsi="Cambria"/>
          <w:i/>
          <w:sz w:val="16"/>
          <w:szCs w:val="16"/>
          <w:lang w:eastAsia="x-none"/>
        </w:rPr>
        <w:t>Lapo</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Íñiguez</w:t>
      </w:r>
      <w:proofErr w:type="spellEnd"/>
      <w:r w:rsidRPr="007F1156">
        <w:rPr>
          <w:rFonts w:ascii="Cambria" w:hAnsi="Cambria"/>
          <w:i/>
          <w:sz w:val="16"/>
          <w:szCs w:val="16"/>
          <w:lang w:eastAsia="x-none"/>
        </w:rPr>
        <w:t>.</w:t>
      </w:r>
      <w:proofErr w:type="gramEnd"/>
      <w:r w:rsidRPr="007F1156">
        <w:rPr>
          <w:rFonts w:ascii="Cambria" w:hAnsi="Cambria"/>
          <w:i/>
          <w:sz w:val="16"/>
          <w:szCs w:val="16"/>
          <w:lang w:eastAsia="x-none"/>
        </w:rPr>
        <w:t xml:space="preserve"> v. Ecuador. </w:t>
      </w:r>
      <w:proofErr w:type="gramStart"/>
      <w:r w:rsidRPr="007F1156">
        <w:rPr>
          <w:rFonts w:ascii="Cambria" w:hAnsi="Cambria"/>
          <w:sz w:val="16"/>
          <w:szCs w:val="16"/>
          <w:lang w:eastAsia="x-none"/>
        </w:rPr>
        <w:t>Preliminary Objections, Merits, Reparations and Costs.</w:t>
      </w:r>
      <w:proofErr w:type="gramEnd"/>
      <w:r w:rsidRPr="007F1156">
        <w:rPr>
          <w:rFonts w:ascii="Cambria" w:hAnsi="Cambria"/>
          <w:sz w:val="16"/>
          <w:szCs w:val="16"/>
          <w:lang w:eastAsia="x-none"/>
        </w:rPr>
        <w:t xml:space="preserve"> Judgment of November 21, 2007. Series C No. 170, para. 154. </w:t>
      </w:r>
    </w:p>
  </w:footnote>
  <w:footnote w:id="8">
    <w:p w:rsidR="00F8558A" w:rsidRPr="007F1156" w:rsidRDefault="00F8558A" w:rsidP="007F1156">
      <w:pPr>
        <w:autoSpaceDE w:val="0"/>
        <w:autoSpaceDN w:val="0"/>
        <w:adjustRightInd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Velásquez</w:t>
      </w:r>
      <w:proofErr w:type="spellEnd"/>
      <w:r w:rsidRPr="007F1156">
        <w:rPr>
          <w:rFonts w:ascii="Cambria" w:hAnsi="Cambria"/>
          <w:i/>
          <w:sz w:val="16"/>
          <w:szCs w:val="16"/>
        </w:rPr>
        <w:t xml:space="preserve"> Rodríguez v. Honduras.</w:t>
      </w:r>
      <w:r w:rsidRPr="007F1156">
        <w:rPr>
          <w:rFonts w:ascii="Cambria" w:hAnsi="Cambria"/>
          <w:sz w:val="16"/>
          <w:szCs w:val="16"/>
        </w:rPr>
        <w:t xml:space="preserve"> </w:t>
      </w:r>
      <w:proofErr w:type="gramStart"/>
      <w:r w:rsidRPr="007F1156">
        <w:rPr>
          <w:rFonts w:ascii="Cambria" w:hAnsi="Cambria"/>
          <w:sz w:val="16"/>
          <w:szCs w:val="16"/>
        </w:rPr>
        <w:t>Merits.</w:t>
      </w:r>
      <w:proofErr w:type="gramEnd"/>
      <w:r w:rsidRPr="007F1156">
        <w:rPr>
          <w:rFonts w:ascii="Cambria" w:hAnsi="Cambria"/>
          <w:sz w:val="16"/>
          <w:szCs w:val="16"/>
        </w:rPr>
        <w:t xml:space="preserve"> Judgment of July 29, 1988. </w:t>
      </w:r>
      <w:r w:rsidRPr="007F1156">
        <w:rPr>
          <w:rFonts w:ascii="Cambria" w:hAnsi="Cambria"/>
          <w:sz w:val="16"/>
          <w:szCs w:val="16"/>
          <w:lang w:val="es-CO"/>
        </w:rPr>
        <w:t>Series C No. 4</w:t>
      </w:r>
      <w:r w:rsidRPr="007F1156">
        <w:rPr>
          <w:rFonts w:ascii="Cambria" w:hAnsi="Cambria" w:cs="MinionPro-Regular"/>
          <w:sz w:val="16"/>
          <w:szCs w:val="16"/>
          <w:lang w:val="es-CO"/>
        </w:rPr>
        <w:t xml:space="preserve">. Para. 134; </w:t>
      </w:r>
      <w:r w:rsidRPr="007F1156">
        <w:rPr>
          <w:rFonts w:ascii="Cambria" w:hAnsi="Cambria" w:cs="MinionPro-It"/>
          <w:i/>
          <w:iCs/>
          <w:sz w:val="16"/>
          <w:szCs w:val="16"/>
          <w:lang w:val="es-CO"/>
        </w:rPr>
        <w:t xml:space="preserve">Case of Suárez Rosero v. Ecuador. </w:t>
      </w:r>
      <w:proofErr w:type="gramStart"/>
      <w:r w:rsidRPr="007F1156">
        <w:rPr>
          <w:rFonts w:ascii="Cambria" w:hAnsi="Cambria" w:cs="MinionPro-It"/>
          <w:iCs/>
          <w:sz w:val="16"/>
          <w:szCs w:val="16"/>
        </w:rPr>
        <w:t>Merits.</w:t>
      </w:r>
      <w:proofErr w:type="gramEnd"/>
      <w:r w:rsidRPr="007F1156">
        <w:rPr>
          <w:rFonts w:ascii="Cambria" w:hAnsi="Cambria" w:cs="MinionPro-It"/>
          <w:iCs/>
          <w:sz w:val="16"/>
          <w:szCs w:val="16"/>
        </w:rPr>
        <w:t xml:space="preserve"> Judgment of November 12, 1997. </w:t>
      </w:r>
      <w:proofErr w:type="gramStart"/>
      <w:r w:rsidRPr="007F1156">
        <w:rPr>
          <w:rFonts w:ascii="Cambria" w:hAnsi="Cambria" w:cs="MinionPro-It"/>
          <w:iCs/>
          <w:sz w:val="16"/>
          <w:szCs w:val="16"/>
        </w:rPr>
        <w:t>Series C No. 35</w:t>
      </w:r>
      <w:r w:rsidRPr="007F1156">
        <w:rPr>
          <w:rFonts w:ascii="Cambria" w:hAnsi="Cambria" w:cs="MinionPro-Regular"/>
          <w:sz w:val="16"/>
          <w:szCs w:val="16"/>
        </w:rPr>
        <w:t>.</w:t>
      </w:r>
      <w:proofErr w:type="gramEnd"/>
      <w:r w:rsidRPr="007F1156">
        <w:rPr>
          <w:rFonts w:ascii="Cambria" w:hAnsi="Cambria" w:cs="MinionPro-Regular"/>
          <w:sz w:val="16"/>
          <w:szCs w:val="16"/>
        </w:rPr>
        <w:t xml:space="preserve"> </w:t>
      </w:r>
      <w:proofErr w:type="gramStart"/>
      <w:r w:rsidRPr="007F1156">
        <w:rPr>
          <w:rFonts w:ascii="Cambria" w:hAnsi="Cambria" w:cs="MinionPro-Regular"/>
          <w:sz w:val="16"/>
          <w:szCs w:val="16"/>
        </w:rPr>
        <w:t>Para.</w:t>
      </w:r>
      <w:proofErr w:type="gramEnd"/>
      <w:r w:rsidRPr="007F1156">
        <w:rPr>
          <w:rFonts w:ascii="Cambria" w:hAnsi="Cambria" w:cs="MinionPro-Regular"/>
          <w:sz w:val="16"/>
          <w:szCs w:val="16"/>
        </w:rPr>
        <w:t xml:space="preserve"> </w:t>
      </w:r>
      <w:proofErr w:type="gramStart"/>
      <w:r w:rsidRPr="007F1156">
        <w:rPr>
          <w:rFonts w:ascii="Cambria" w:hAnsi="Cambria" w:cs="MinionPro-Regular"/>
          <w:sz w:val="16"/>
          <w:szCs w:val="16"/>
        </w:rPr>
        <w:t xml:space="preserve">37; </w:t>
      </w:r>
      <w:r w:rsidRPr="007F1156">
        <w:rPr>
          <w:rFonts w:ascii="Cambria" w:hAnsi="Cambria" w:cs="MinionPro-It"/>
          <w:i/>
          <w:iCs/>
          <w:sz w:val="16"/>
          <w:szCs w:val="16"/>
        </w:rPr>
        <w:t>Case of Boyce et al. v. Barbados.</w:t>
      </w:r>
      <w:proofErr w:type="gramEnd"/>
      <w:r w:rsidRPr="007F1156">
        <w:rPr>
          <w:rFonts w:ascii="Cambria" w:hAnsi="Cambria" w:cs="MinionPro-It"/>
          <w:i/>
          <w:iCs/>
          <w:sz w:val="16"/>
          <w:szCs w:val="16"/>
        </w:rPr>
        <w:t xml:space="preserve"> </w:t>
      </w:r>
      <w:proofErr w:type="gramStart"/>
      <w:r w:rsidRPr="007F1156">
        <w:rPr>
          <w:rFonts w:ascii="Cambria" w:hAnsi="Cambria" w:cs="MinionPro-It"/>
          <w:iCs/>
          <w:sz w:val="16"/>
          <w:szCs w:val="16"/>
        </w:rPr>
        <w:t>Preliminary Objection, Merits, Reparations and Costs.</w:t>
      </w:r>
      <w:proofErr w:type="gramEnd"/>
      <w:r w:rsidRPr="007F1156">
        <w:rPr>
          <w:rFonts w:ascii="Cambria" w:hAnsi="Cambria" w:cs="MinionPro-It"/>
          <w:iCs/>
          <w:sz w:val="16"/>
          <w:szCs w:val="16"/>
        </w:rPr>
        <w:t xml:space="preserve"> Judgment of November 20, 2007. </w:t>
      </w:r>
      <w:proofErr w:type="gramStart"/>
      <w:r w:rsidRPr="007F1156">
        <w:rPr>
          <w:rFonts w:ascii="Cambria" w:hAnsi="Cambria" w:cs="MinionPro-It"/>
          <w:iCs/>
          <w:sz w:val="16"/>
          <w:szCs w:val="16"/>
        </w:rPr>
        <w:t>Series C No. 169</w:t>
      </w:r>
      <w:r w:rsidRPr="007F1156">
        <w:rPr>
          <w:rFonts w:ascii="Cambria" w:hAnsi="Cambria" w:cs="MinionPro-Regular"/>
          <w:sz w:val="16"/>
          <w:szCs w:val="16"/>
        </w:rPr>
        <w:t>.</w:t>
      </w:r>
      <w:proofErr w:type="gramEnd"/>
      <w:r w:rsidRPr="007F1156">
        <w:rPr>
          <w:rFonts w:ascii="Cambria" w:hAnsi="Cambria" w:cs="MinionPro-Regular"/>
          <w:sz w:val="16"/>
          <w:szCs w:val="16"/>
        </w:rPr>
        <w:t xml:space="preserve"> </w:t>
      </w:r>
      <w:proofErr w:type="gramStart"/>
      <w:r w:rsidRPr="007F1156">
        <w:rPr>
          <w:rFonts w:ascii="Cambria" w:hAnsi="Cambria" w:cs="MinionPro-Regular"/>
          <w:sz w:val="16"/>
          <w:szCs w:val="16"/>
        </w:rPr>
        <w:t xml:space="preserve">Footnote 37; </w:t>
      </w:r>
      <w:r w:rsidRPr="007F1156">
        <w:rPr>
          <w:rFonts w:ascii="Cambria" w:hAnsi="Cambria" w:cs="MinionPro-It"/>
          <w:i/>
          <w:iCs/>
          <w:sz w:val="16"/>
          <w:szCs w:val="16"/>
        </w:rPr>
        <w:t xml:space="preserve">Case of </w:t>
      </w:r>
      <w:proofErr w:type="spellStart"/>
      <w:r w:rsidRPr="007F1156">
        <w:rPr>
          <w:rFonts w:ascii="Cambria" w:hAnsi="Cambria" w:cs="MinionPro-It"/>
          <w:i/>
          <w:iCs/>
          <w:sz w:val="16"/>
          <w:szCs w:val="16"/>
        </w:rPr>
        <w:t>Yvon</w:t>
      </w:r>
      <w:proofErr w:type="spellEnd"/>
      <w:r w:rsidRPr="007F1156">
        <w:rPr>
          <w:rFonts w:ascii="Cambria" w:hAnsi="Cambria" w:cs="MinionPro-It"/>
          <w:i/>
          <w:iCs/>
          <w:sz w:val="16"/>
          <w:szCs w:val="16"/>
        </w:rPr>
        <w:t xml:space="preserve"> Neptune v. Haiti.</w:t>
      </w:r>
      <w:proofErr w:type="gramEnd"/>
      <w:r w:rsidRPr="007F1156">
        <w:rPr>
          <w:rFonts w:ascii="Cambria" w:hAnsi="Cambria" w:cs="MinionPro-It"/>
          <w:i/>
          <w:iCs/>
          <w:sz w:val="16"/>
          <w:szCs w:val="16"/>
        </w:rPr>
        <w:t xml:space="preserve"> </w:t>
      </w:r>
      <w:proofErr w:type="gramStart"/>
      <w:r w:rsidRPr="007F1156">
        <w:rPr>
          <w:rFonts w:ascii="Cambria" w:hAnsi="Cambria" w:cs="MinionPro-It"/>
          <w:iCs/>
          <w:sz w:val="16"/>
          <w:szCs w:val="16"/>
        </w:rPr>
        <w:t>Merits, Reparations and Costs.</w:t>
      </w:r>
      <w:proofErr w:type="gramEnd"/>
      <w:r w:rsidRPr="007F1156">
        <w:rPr>
          <w:rFonts w:ascii="Cambria" w:hAnsi="Cambria" w:cs="MinionPro-It"/>
          <w:iCs/>
          <w:sz w:val="16"/>
          <w:szCs w:val="16"/>
        </w:rPr>
        <w:t xml:space="preserve"> Judgment of May 6, 2008. </w:t>
      </w:r>
      <w:proofErr w:type="gramStart"/>
      <w:r w:rsidRPr="007F1156">
        <w:rPr>
          <w:rFonts w:ascii="Cambria" w:hAnsi="Cambria" w:cs="MinionPro-It"/>
          <w:iCs/>
          <w:sz w:val="16"/>
          <w:szCs w:val="16"/>
        </w:rPr>
        <w:t>Series C No. 180</w:t>
      </w:r>
      <w:r w:rsidRPr="007F1156">
        <w:rPr>
          <w:rFonts w:ascii="Cambria" w:hAnsi="Cambria" w:cs="MinionPro-Regular"/>
          <w:sz w:val="16"/>
          <w:szCs w:val="16"/>
        </w:rPr>
        <w:t>.</w:t>
      </w:r>
      <w:proofErr w:type="gramEnd"/>
      <w:r w:rsidRPr="007F1156">
        <w:rPr>
          <w:rFonts w:ascii="Cambria" w:hAnsi="Cambria" w:cs="MinionPro-Regular"/>
          <w:sz w:val="16"/>
          <w:szCs w:val="16"/>
        </w:rPr>
        <w:t xml:space="preserve"> </w:t>
      </w:r>
      <w:proofErr w:type="gramStart"/>
      <w:r w:rsidRPr="007F1156">
        <w:rPr>
          <w:rFonts w:ascii="Cambria" w:hAnsi="Cambria" w:cs="MinionPro-Regular"/>
          <w:sz w:val="16"/>
          <w:szCs w:val="16"/>
        </w:rPr>
        <w:t>Para.</w:t>
      </w:r>
      <w:proofErr w:type="gramEnd"/>
      <w:r w:rsidRPr="007F1156">
        <w:rPr>
          <w:rFonts w:ascii="Cambria" w:hAnsi="Cambria" w:cs="MinionPro-Regular"/>
          <w:sz w:val="16"/>
          <w:szCs w:val="16"/>
        </w:rPr>
        <w:t xml:space="preserve"> 37.</w:t>
      </w:r>
    </w:p>
  </w:footnote>
  <w:footnote w:id="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iCs/>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 xml:space="preserve">Attachment to the petitioner’s communication of October 17, 2002; </w:t>
      </w:r>
      <w:r w:rsidRPr="007F1156">
        <w:rPr>
          <w:rFonts w:ascii="Cambria" w:hAnsi="Cambria"/>
          <w:i/>
          <w:iCs/>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 xml:space="preserve">Attachment to the petitioner’s communication of October 17, 2002; </w:t>
      </w:r>
      <w:r w:rsidRPr="007F1156">
        <w:rPr>
          <w:rFonts w:ascii="Cambria" w:hAnsi="Cambria"/>
          <w:i/>
          <w:iCs/>
          <w:sz w:val="16"/>
          <w:szCs w:val="16"/>
        </w:rPr>
        <w:t>Attachment 25.</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Supplemental statement of Mrs. </w:t>
      </w:r>
      <w:proofErr w:type="spellStart"/>
      <w:r w:rsidRPr="007F1156">
        <w:rPr>
          <w:rFonts w:ascii="Cambria" w:hAnsi="Cambria"/>
          <w:sz w:val="16"/>
          <w:szCs w:val="16"/>
        </w:rPr>
        <w:t>Carmenza</w:t>
      </w:r>
      <w:proofErr w:type="spellEnd"/>
      <w:r w:rsidRPr="007F1156">
        <w:rPr>
          <w:rFonts w:ascii="Cambria" w:hAnsi="Cambria"/>
          <w:sz w:val="16"/>
          <w:szCs w:val="16"/>
        </w:rPr>
        <w:t xml:space="preserve"> </w:t>
      </w:r>
      <w:proofErr w:type="spellStart"/>
      <w:r w:rsidRPr="007F1156">
        <w:rPr>
          <w:rFonts w:ascii="Cambria" w:hAnsi="Cambria"/>
          <w:sz w:val="16"/>
          <w:szCs w:val="16"/>
        </w:rPr>
        <w:t>Raigosa</w:t>
      </w:r>
      <w:proofErr w:type="spellEnd"/>
      <w:r w:rsidRPr="007F1156">
        <w:rPr>
          <w:rFonts w:ascii="Cambria" w:hAnsi="Cambria"/>
          <w:sz w:val="16"/>
          <w:szCs w:val="16"/>
        </w:rPr>
        <w:t xml:space="preserve"> </w:t>
      </w:r>
      <w:proofErr w:type="spellStart"/>
      <w:r w:rsidRPr="007F1156">
        <w:rPr>
          <w:rFonts w:ascii="Cambria" w:hAnsi="Cambria"/>
          <w:sz w:val="16"/>
          <w:szCs w:val="16"/>
        </w:rPr>
        <w:t>Raigosa</w:t>
      </w:r>
      <w:proofErr w:type="spellEnd"/>
      <w:r w:rsidRPr="007F1156">
        <w:rPr>
          <w:rFonts w:ascii="Cambria" w:hAnsi="Cambria"/>
          <w:sz w:val="16"/>
          <w:szCs w:val="16"/>
        </w:rPr>
        <w:t>.</w:t>
      </w:r>
      <w:proofErr w:type="gramEnd"/>
      <w:r w:rsidRPr="007F1156">
        <w:rPr>
          <w:rFonts w:ascii="Cambria" w:hAnsi="Cambria"/>
          <w:sz w:val="16"/>
          <w:szCs w:val="16"/>
        </w:rPr>
        <w:t xml:space="preserve"> August 9, 1999. </w:t>
      </w:r>
      <w:proofErr w:type="gramStart"/>
      <w:r w:rsidRPr="007F1156">
        <w:rPr>
          <w:rFonts w:ascii="Cambria" w:hAnsi="Cambria"/>
          <w:sz w:val="16"/>
          <w:szCs w:val="16"/>
        </w:rPr>
        <w:t>Attachment to the petitioner’s communication of August 25, 2005;</w:t>
      </w:r>
      <w:r w:rsidRPr="007F1156">
        <w:rPr>
          <w:rFonts w:ascii="Cambria" w:hAnsi="Cambria"/>
          <w:i/>
          <w:iCs/>
          <w:sz w:val="16"/>
          <w:szCs w:val="16"/>
        </w:rPr>
        <w:t xml:space="preserve"> Attachment 22.</w:t>
      </w:r>
      <w:proofErr w:type="gramEnd"/>
      <w:r w:rsidRPr="007F1156">
        <w:rPr>
          <w:rFonts w:ascii="Cambria" w:hAnsi="Cambria"/>
          <w:sz w:val="16"/>
          <w:szCs w:val="16"/>
        </w:rPr>
        <w:t xml:space="preserve"> Regional Prosecutor’s Office Terrorism Unit. Santa Fe de Bogotá. </w:t>
      </w:r>
      <w:proofErr w:type="gramStart"/>
      <w:r w:rsidRPr="007F1156">
        <w:rPr>
          <w:rFonts w:ascii="Cambria" w:hAnsi="Cambria"/>
          <w:sz w:val="16"/>
          <w:szCs w:val="16"/>
        </w:rPr>
        <w:t xml:space="preserve">Statement of Mr. Luis Alberto </w:t>
      </w:r>
      <w:proofErr w:type="spellStart"/>
      <w:r w:rsidRPr="007F1156">
        <w:rPr>
          <w:rFonts w:ascii="Cambria" w:hAnsi="Cambria"/>
          <w:sz w:val="16"/>
          <w:szCs w:val="16"/>
        </w:rPr>
        <w:t>España</w:t>
      </w:r>
      <w:proofErr w:type="spellEnd"/>
      <w:r w:rsidRPr="007F1156">
        <w:rPr>
          <w:rFonts w:ascii="Cambria" w:hAnsi="Cambria"/>
          <w:sz w:val="16"/>
          <w:szCs w:val="16"/>
        </w:rPr>
        <w:t xml:space="preserve"> Rojas.</w:t>
      </w:r>
      <w:proofErr w:type="gramEnd"/>
      <w:r w:rsidRPr="007F1156">
        <w:rPr>
          <w:rFonts w:ascii="Cambria" w:hAnsi="Cambria"/>
          <w:sz w:val="16"/>
          <w:szCs w:val="16"/>
        </w:rPr>
        <w:t xml:space="preserve"> May 6, 1998. </w:t>
      </w:r>
      <w:proofErr w:type="gramStart"/>
      <w:r w:rsidRPr="007F1156">
        <w:rPr>
          <w:rFonts w:ascii="Cambria" w:hAnsi="Cambria"/>
          <w:sz w:val="16"/>
          <w:szCs w:val="16"/>
        </w:rPr>
        <w:t>Attachment to the petitioner’s communication of August 25, 2005.</w:t>
      </w:r>
      <w:proofErr w:type="gramEnd"/>
    </w:p>
  </w:footnote>
  <w:footnote w:id="1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iCs/>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p. 1.</w:t>
      </w:r>
      <w:proofErr w:type="gramEnd"/>
      <w:r w:rsidRPr="007F1156">
        <w:rPr>
          <w:rFonts w:ascii="Cambria" w:hAnsi="Cambria"/>
          <w:sz w:val="16"/>
          <w:szCs w:val="16"/>
        </w:rPr>
        <w:t xml:space="preserve"> </w:t>
      </w:r>
      <w:proofErr w:type="gramStart"/>
      <w:r w:rsidRPr="007F1156">
        <w:rPr>
          <w:rFonts w:ascii="Cambria" w:hAnsi="Cambria"/>
          <w:sz w:val="16"/>
          <w:szCs w:val="16"/>
        </w:rPr>
        <w:t xml:space="preserve">Attachment to the petitioner’s communication of August 25, 2005; </w:t>
      </w:r>
      <w:r w:rsidRPr="007F1156">
        <w:rPr>
          <w:rFonts w:ascii="Cambria" w:hAnsi="Cambria"/>
          <w:i/>
          <w:iCs/>
          <w:sz w:val="16"/>
          <w:szCs w:val="16"/>
        </w:rPr>
        <w:t>Attachment 16</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w:t>
      </w:r>
      <w:proofErr w:type="gramEnd"/>
      <w:r w:rsidRPr="007F1156">
        <w:rPr>
          <w:rFonts w:ascii="Cambria" w:hAnsi="Cambria"/>
          <w:sz w:val="16"/>
          <w:szCs w:val="16"/>
        </w:rPr>
        <w:t xml:space="preserve"> </w:t>
      </w:r>
      <w:proofErr w:type="gramStart"/>
      <w:r w:rsidRPr="007F1156">
        <w:rPr>
          <w:rFonts w:ascii="Cambria" w:hAnsi="Cambria"/>
          <w:sz w:val="16"/>
          <w:szCs w:val="16"/>
        </w:rPr>
        <w:t>Intake Section.</w:t>
      </w:r>
      <w:proofErr w:type="gramEnd"/>
      <w:r w:rsidRPr="007F1156">
        <w:rPr>
          <w:rFonts w:ascii="Cambria" w:hAnsi="Cambria"/>
          <w:sz w:val="16"/>
          <w:szCs w:val="16"/>
        </w:rPr>
        <w:t xml:space="preserve"> </w:t>
      </w:r>
      <w:proofErr w:type="gramStart"/>
      <w:r w:rsidRPr="007F1156">
        <w:rPr>
          <w:rFonts w:ascii="Cambria" w:hAnsi="Cambria"/>
          <w:sz w:val="16"/>
          <w:szCs w:val="16"/>
        </w:rPr>
        <w:t>Supplemental affidavit.</w:t>
      </w:r>
      <w:proofErr w:type="gramEnd"/>
      <w:r w:rsidRPr="007F1156">
        <w:rPr>
          <w:rFonts w:ascii="Cambria" w:hAnsi="Cambria"/>
          <w:sz w:val="16"/>
          <w:szCs w:val="16"/>
        </w:rPr>
        <w:t xml:space="preserve"> Rafael Hernando </w:t>
      </w:r>
      <w:proofErr w:type="spellStart"/>
      <w:r w:rsidRPr="007F1156">
        <w:rPr>
          <w:rFonts w:ascii="Cambria" w:hAnsi="Cambria"/>
          <w:sz w:val="16"/>
          <w:szCs w:val="16"/>
        </w:rPr>
        <w:t>Chaux</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April 12, 1999. </w:t>
      </w:r>
      <w:proofErr w:type="gramStart"/>
      <w:r w:rsidRPr="007F1156">
        <w:rPr>
          <w:rFonts w:ascii="Cambria" w:hAnsi="Cambria"/>
          <w:sz w:val="16"/>
          <w:szCs w:val="16"/>
        </w:rPr>
        <w:t>p 2.</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r w:rsidRPr="007F1156">
        <w:rPr>
          <w:rFonts w:ascii="Cambria" w:hAnsi="Cambria"/>
          <w:i/>
          <w:iCs/>
          <w:sz w:val="16"/>
          <w:szCs w:val="16"/>
        </w:rPr>
        <w:t xml:space="preserve"> Attachment 12</w:t>
      </w:r>
      <w:r w:rsidRPr="007F1156">
        <w:rPr>
          <w:rFonts w:ascii="Cambria" w:hAnsi="Cambria"/>
          <w:sz w:val="16"/>
          <w:szCs w:val="16"/>
        </w:rPr>
        <w:t>.</w:t>
      </w:r>
      <w:proofErr w:type="gramEnd"/>
      <w:r w:rsidRPr="007F1156">
        <w:rPr>
          <w:rFonts w:ascii="Cambria" w:hAnsi="Cambria"/>
          <w:sz w:val="16"/>
          <w:szCs w:val="16"/>
        </w:rPr>
        <w:t xml:space="preserve"> 22</w:t>
      </w:r>
      <w:r w:rsidRPr="007F1156">
        <w:rPr>
          <w:rFonts w:ascii="Cambria" w:hAnsi="Cambria"/>
          <w:sz w:val="16"/>
          <w:szCs w:val="16"/>
          <w:vertAlign w:val="superscript"/>
        </w:rPr>
        <w:t xml:space="preserve">nd </w:t>
      </w:r>
      <w:r w:rsidRPr="007F1156">
        <w:rPr>
          <w:rFonts w:ascii="Cambria" w:hAnsi="Cambria"/>
          <w:sz w:val="16"/>
          <w:szCs w:val="16"/>
        </w:rPr>
        <w:t xml:space="preserve">Office of the Prosecutor assigned to the Criminal Courts of the </w:t>
      </w:r>
      <w:proofErr w:type="spellStart"/>
      <w:r w:rsidRPr="007F1156">
        <w:rPr>
          <w:rFonts w:ascii="Cambria" w:hAnsi="Cambria"/>
          <w:sz w:val="16"/>
          <w:szCs w:val="16"/>
        </w:rPr>
        <w:t>Pitalito</w:t>
      </w:r>
      <w:proofErr w:type="spellEnd"/>
      <w:r w:rsidRPr="007F1156">
        <w:rPr>
          <w:rFonts w:ascii="Cambria" w:hAnsi="Cambria"/>
          <w:sz w:val="16"/>
          <w:szCs w:val="16"/>
        </w:rPr>
        <w:t xml:space="preserve"> Circuit.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April 28, 1998. </w:t>
      </w:r>
      <w:proofErr w:type="gramStart"/>
      <w:r w:rsidRPr="007F1156">
        <w:rPr>
          <w:rFonts w:ascii="Cambria" w:hAnsi="Cambria"/>
          <w:sz w:val="16"/>
          <w:szCs w:val="16"/>
        </w:rPr>
        <w:t>p. 1.</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1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iCs/>
          <w:sz w:val="16"/>
          <w:szCs w:val="16"/>
        </w:rPr>
        <w:t>Attachment 1</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Order of the 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w:t>
      </w:r>
    </w:p>
  </w:footnote>
  <w:footnote w:id="1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iCs/>
          <w:sz w:val="16"/>
          <w:szCs w:val="16"/>
        </w:rPr>
        <w:t>Attachment 9</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Judicial Police.</w:t>
      </w:r>
      <w:proofErr w:type="gramEnd"/>
      <w:r w:rsidRPr="007F1156">
        <w:rPr>
          <w:rFonts w:ascii="Cambria" w:hAnsi="Cambria"/>
          <w:sz w:val="16"/>
          <w:szCs w:val="16"/>
        </w:rPr>
        <w:t xml:space="preserve"> </w:t>
      </w:r>
      <w:proofErr w:type="gramStart"/>
      <w:r w:rsidRPr="007F1156">
        <w:rPr>
          <w:rFonts w:ascii="Cambria" w:hAnsi="Cambria"/>
          <w:sz w:val="16"/>
          <w:szCs w:val="16"/>
        </w:rPr>
        <w:t>Huila District.</w:t>
      </w:r>
      <w:proofErr w:type="gramEnd"/>
      <w:r w:rsidRPr="007F1156">
        <w:rPr>
          <w:rFonts w:ascii="Cambria" w:hAnsi="Cambria"/>
          <w:sz w:val="16"/>
          <w:szCs w:val="16"/>
        </w:rPr>
        <w:t xml:space="preserve"> </w:t>
      </w:r>
      <w:proofErr w:type="gramStart"/>
      <w:r w:rsidRPr="007F1156">
        <w:rPr>
          <w:rFonts w:ascii="Cambria" w:hAnsi="Cambria"/>
          <w:sz w:val="16"/>
          <w:szCs w:val="16"/>
        </w:rPr>
        <w:t>Corpse Inspection Certificate.</w:t>
      </w:r>
      <w:proofErr w:type="gramEnd"/>
      <w:r w:rsidRPr="007F1156">
        <w:rPr>
          <w:rFonts w:ascii="Cambria" w:hAnsi="Cambria"/>
          <w:sz w:val="16"/>
          <w:szCs w:val="16"/>
        </w:rPr>
        <w:t xml:space="preserve"> </w:t>
      </w:r>
      <w:proofErr w:type="gramStart"/>
      <w:r w:rsidRPr="007F1156">
        <w:rPr>
          <w:rFonts w:ascii="Cambria" w:hAnsi="Cambria"/>
          <w:sz w:val="16"/>
          <w:szCs w:val="16"/>
        </w:rPr>
        <w:t>Number 042.</w:t>
      </w:r>
      <w:proofErr w:type="gramEnd"/>
      <w:r w:rsidRPr="007F1156">
        <w:rPr>
          <w:rFonts w:ascii="Cambria" w:hAnsi="Cambria"/>
          <w:sz w:val="16"/>
          <w:szCs w:val="16"/>
        </w:rPr>
        <w:t xml:space="preserve"> April 16, 1998. </w:t>
      </w:r>
      <w:proofErr w:type="gramStart"/>
      <w:r w:rsidRPr="007F1156">
        <w:rPr>
          <w:rFonts w:ascii="Cambria" w:hAnsi="Cambria"/>
          <w:sz w:val="16"/>
          <w:szCs w:val="16"/>
        </w:rPr>
        <w:t>Attachment to the petitioner’s communication of August 25, 2005.</w:t>
      </w:r>
      <w:proofErr w:type="gramEnd"/>
    </w:p>
  </w:footnote>
  <w:footnote w:id="1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p>
  </w:footnote>
  <w:footnote w:id="1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10</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w:t>
      </w:r>
      <w:proofErr w:type="gramStart"/>
      <w:r w:rsidRPr="007F1156">
        <w:rPr>
          <w:rFonts w:ascii="Cambria" w:hAnsi="Cambria"/>
          <w:sz w:val="16"/>
          <w:szCs w:val="16"/>
        </w:rPr>
        <w:t>Investigative Unit.</w:t>
      </w:r>
      <w:proofErr w:type="gramEnd"/>
      <w:r w:rsidRPr="007F1156">
        <w:rPr>
          <w:rFonts w:ascii="Cambria" w:hAnsi="Cambria"/>
          <w:sz w:val="16"/>
          <w:szCs w:val="16"/>
        </w:rPr>
        <w:t xml:space="preserve"> </w:t>
      </w:r>
      <w:proofErr w:type="spellStart"/>
      <w:r w:rsidRPr="007F1156">
        <w:rPr>
          <w:rFonts w:ascii="Cambria" w:hAnsi="Cambria"/>
          <w:sz w:val="16"/>
          <w:szCs w:val="16"/>
        </w:rPr>
        <w:t>Pitalito</w:t>
      </w:r>
      <w:proofErr w:type="spellEnd"/>
      <w:r w:rsidRPr="007F1156">
        <w:rPr>
          <w:rFonts w:ascii="Cambria" w:hAnsi="Cambria"/>
          <w:sz w:val="16"/>
          <w:szCs w:val="16"/>
        </w:rPr>
        <w:t xml:space="preserve"> Huila. Report No. 388. Reference: Corpse Inspection Certificate of Nelson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Certificate No. 042. April 17, 1998. </w:t>
      </w:r>
      <w:proofErr w:type="gramStart"/>
      <w:r w:rsidRPr="007F1156">
        <w:rPr>
          <w:rFonts w:ascii="Cambria" w:hAnsi="Cambria"/>
          <w:sz w:val="16"/>
          <w:szCs w:val="16"/>
        </w:rPr>
        <w:t>Attachment to the petitioner’s communication of August 25, 2005.</w:t>
      </w:r>
      <w:proofErr w:type="gramEnd"/>
    </w:p>
  </w:footnote>
  <w:footnote w:id="1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9</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Judicial Police.</w:t>
      </w:r>
      <w:proofErr w:type="gramEnd"/>
      <w:r w:rsidRPr="007F1156">
        <w:rPr>
          <w:rFonts w:ascii="Cambria" w:hAnsi="Cambria"/>
          <w:sz w:val="16"/>
          <w:szCs w:val="16"/>
        </w:rPr>
        <w:t xml:space="preserve"> </w:t>
      </w:r>
      <w:proofErr w:type="gramStart"/>
      <w:r w:rsidRPr="007F1156">
        <w:rPr>
          <w:rFonts w:ascii="Cambria" w:hAnsi="Cambria"/>
          <w:sz w:val="16"/>
          <w:szCs w:val="16"/>
        </w:rPr>
        <w:t>Huila District.</w:t>
      </w:r>
      <w:proofErr w:type="gramEnd"/>
      <w:r w:rsidRPr="007F1156">
        <w:rPr>
          <w:rFonts w:ascii="Cambria" w:hAnsi="Cambria"/>
          <w:sz w:val="16"/>
          <w:szCs w:val="16"/>
        </w:rPr>
        <w:t xml:space="preserve"> </w:t>
      </w:r>
      <w:proofErr w:type="gramStart"/>
      <w:r w:rsidRPr="007F1156">
        <w:rPr>
          <w:rFonts w:ascii="Cambria" w:hAnsi="Cambria"/>
          <w:sz w:val="16"/>
          <w:szCs w:val="16"/>
        </w:rPr>
        <w:t>Corpse Inspection Certificate.</w:t>
      </w:r>
      <w:proofErr w:type="gramEnd"/>
      <w:r w:rsidRPr="007F1156">
        <w:rPr>
          <w:rFonts w:ascii="Cambria" w:hAnsi="Cambria"/>
          <w:sz w:val="16"/>
          <w:szCs w:val="16"/>
        </w:rPr>
        <w:t xml:space="preserve"> </w:t>
      </w:r>
      <w:proofErr w:type="gramStart"/>
      <w:r w:rsidRPr="007F1156">
        <w:rPr>
          <w:rFonts w:ascii="Cambria" w:hAnsi="Cambria"/>
          <w:sz w:val="16"/>
          <w:szCs w:val="16"/>
        </w:rPr>
        <w:t>Number 042.</w:t>
      </w:r>
      <w:proofErr w:type="gramEnd"/>
      <w:r w:rsidRPr="007F1156">
        <w:rPr>
          <w:rFonts w:ascii="Cambria" w:hAnsi="Cambria"/>
          <w:sz w:val="16"/>
          <w:szCs w:val="16"/>
        </w:rPr>
        <w:t xml:space="preserve"> April 16, 1998. </w:t>
      </w:r>
      <w:proofErr w:type="gramStart"/>
      <w:r w:rsidRPr="007F1156">
        <w:rPr>
          <w:rFonts w:ascii="Cambria" w:hAnsi="Cambria"/>
          <w:sz w:val="16"/>
          <w:szCs w:val="16"/>
        </w:rPr>
        <w:t xml:space="preserve">Attachment to the petitioner’s communication of August 25, 2005; </w:t>
      </w:r>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1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1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9</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Judicial Police.</w:t>
      </w:r>
      <w:proofErr w:type="gramEnd"/>
      <w:r w:rsidRPr="007F1156">
        <w:rPr>
          <w:rFonts w:ascii="Cambria" w:hAnsi="Cambria"/>
          <w:sz w:val="16"/>
          <w:szCs w:val="16"/>
        </w:rPr>
        <w:t xml:space="preserve"> </w:t>
      </w:r>
      <w:proofErr w:type="gramStart"/>
      <w:r w:rsidRPr="007F1156">
        <w:rPr>
          <w:rFonts w:ascii="Cambria" w:hAnsi="Cambria"/>
          <w:sz w:val="16"/>
          <w:szCs w:val="16"/>
        </w:rPr>
        <w:t>Huila District.</w:t>
      </w:r>
      <w:proofErr w:type="gramEnd"/>
      <w:r w:rsidRPr="007F1156">
        <w:rPr>
          <w:rFonts w:ascii="Cambria" w:hAnsi="Cambria"/>
          <w:sz w:val="16"/>
          <w:szCs w:val="16"/>
        </w:rPr>
        <w:t xml:space="preserve"> </w:t>
      </w:r>
      <w:proofErr w:type="gramStart"/>
      <w:r w:rsidRPr="007F1156">
        <w:rPr>
          <w:rFonts w:ascii="Cambria" w:hAnsi="Cambria"/>
          <w:sz w:val="16"/>
          <w:szCs w:val="16"/>
        </w:rPr>
        <w:t>Corpse Inspection Certificate.</w:t>
      </w:r>
      <w:proofErr w:type="gramEnd"/>
      <w:r w:rsidRPr="007F1156">
        <w:rPr>
          <w:rFonts w:ascii="Cambria" w:hAnsi="Cambria"/>
          <w:sz w:val="16"/>
          <w:szCs w:val="16"/>
        </w:rPr>
        <w:t xml:space="preserve"> </w:t>
      </w:r>
      <w:proofErr w:type="gramStart"/>
      <w:r w:rsidRPr="007F1156">
        <w:rPr>
          <w:rFonts w:ascii="Cambria" w:hAnsi="Cambria"/>
          <w:sz w:val="16"/>
          <w:szCs w:val="16"/>
        </w:rPr>
        <w:t>Number 042.</w:t>
      </w:r>
      <w:proofErr w:type="gramEnd"/>
      <w:r w:rsidRPr="007F1156">
        <w:rPr>
          <w:rFonts w:ascii="Cambria" w:hAnsi="Cambria"/>
          <w:sz w:val="16"/>
          <w:szCs w:val="16"/>
        </w:rPr>
        <w:t xml:space="preserve"> April 16, 1998. </w:t>
      </w:r>
      <w:proofErr w:type="gramStart"/>
      <w:r w:rsidRPr="007F1156">
        <w:rPr>
          <w:rFonts w:ascii="Cambria" w:hAnsi="Cambria"/>
          <w:sz w:val="16"/>
          <w:szCs w:val="16"/>
        </w:rPr>
        <w:t xml:space="preserve">Attachment to the petitioner’s communication of August 25, 2005; </w:t>
      </w:r>
      <w:r w:rsidRPr="007F1156">
        <w:rPr>
          <w:rFonts w:ascii="Cambria" w:hAnsi="Cambria"/>
          <w:i/>
          <w:sz w:val="16"/>
          <w:szCs w:val="16"/>
        </w:rPr>
        <w:t>Attachment 10</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w:t>
      </w:r>
      <w:proofErr w:type="gramStart"/>
      <w:r w:rsidRPr="007F1156">
        <w:rPr>
          <w:rFonts w:ascii="Cambria" w:hAnsi="Cambria"/>
          <w:sz w:val="16"/>
          <w:szCs w:val="16"/>
        </w:rPr>
        <w:t>Investigative Unit.</w:t>
      </w:r>
      <w:proofErr w:type="gramEnd"/>
      <w:r w:rsidRPr="007F1156">
        <w:rPr>
          <w:rFonts w:ascii="Cambria" w:hAnsi="Cambria"/>
          <w:sz w:val="16"/>
          <w:szCs w:val="16"/>
        </w:rPr>
        <w:t xml:space="preserve"> </w:t>
      </w:r>
      <w:proofErr w:type="spellStart"/>
      <w:r w:rsidRPr="007F1156">
        <w:rPr>
          <w:rFonts w:ascii="Cambria" w:hAnsi="Cambria"/>
          <w:sz w:val="16"/>
          <w:szCs w:val="16"/>
        </w:rPr>
        <w:t>Pitalito</w:t>
      </w:r>
      <w:proofErr w:type="spellEnd"/>
      <w:r w:rsidRPr="007F1156">
        <w:rPr>
          <w:rFonts w:ascii="Cambria" w:hAnsi="Cambria"/>
          <w:sz w:val="16"/>
          <w:szCs w:val="16"/>
        </w:rPr>
        <w:t xml:space="preserve"> Huila. Report No. 388. Reference: Corpse Inspection Certificate of Nelson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Certificate No. 042. April 17, 1998. </w:t>
      </w:r>
      <w:proofErr w:type="gramStart"/>
      <w:r w:rsidRPr="007F1156">
        <w:rPr>
          <w:rFonts w:ascii="Cambria" w:hAnsi="Cambria"/>
          <w:sz w:val="16"/>
          <w:szCs w:val="16"/>
        </w:rPr>
        <w:t xml:space="preserve">Attachment to the petitioner’s communication of August 25, 2005; </w:t>
      </w:r>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p>
  </w:footnote>
  <w:footnote w:id="1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1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hyperlink r:id="rId1" w:history="1">
        <w:proofErr w:type="gramStart"/>
        <w:r w:rsidRPr="007F1156">
          <w:rPr>
            <w:rStyle w:val="Hyperlink"/>
            <w:rFonts w:ascii="Cambria" w:hAnsi="Cambria"/>
            <w:sz w:val="16"/>
            <w:szCs w:val="16"/>
          </w:rPr>
          <w:t>Executive Order 100 of 1980</w:t>
        </w:r>
      </w:hyperlink>
      <w:bookmarkStart w:id="20" w:name="324"/>
      <w:r w:rsidRPr="007F1156">
        <w:rPr>
          <w:rFonts w:ascii="Cambria" w:hAnsi="Cambria"/>
          <w:sz w:val="16"/>
          <w:szCs w:val="16"/>
        </w:rPr>
        <w:t>.</w:t>
      </w:r>
      <w:proofErr w:type="gramEnd"/>
      <w:r w:rsidRPr="007F1156">
        <w:rPr>
          <w:rFonts w:ascii="Cambria" w:hAnsi="Cambria"/>
          <w:sz w:val="16"/>
          <w:szCs w:val="16"/>
        </w:rPr>
        <w:t xml:space="preserve"> Official Gazette No. 35.461 of February 20, 1980. </w:t>
      </w:r>
      <w:proofErr w:type="gramStart"/>
      <w:r w:rsidRPr="007F1156">
        <w:rPr>
          <w:rFonts w:ascii="Cambria" w:hAnsi="Cambria"/>
          <w:sz w:val="16"/>
          <w:szCs w:val="16"/>
        </w:rPr>
        <w:t>“Article 324.</w:t>
      </w:r>
      <w:proofErr w:type="gramEnd"/>
      <w:r w:rsidRPr="007F1156">
        <w:rPr>
          <w:rFonts w:ascii="Cambria" w:hAnsi="Cambria"/>
          <w:sz w:val="16"/>
          <w:szCs w:val="16"/>
        </w:rPr>
        <w:t xml:space="preserve"> &lt;Order repealed by Law 599 of 2000&gt; &lt;Replaced by Article 30 of Law 40 of 1993. The new text is as follows: </w:t>
      </w:r>
      <w:bookmarkEnd w:id="20"/>
      <w:r w:rsidRPr="007F1156">
        <w:rPr>
          <w:rFonts w:ascii="Cambria" w:hAnsi="Cambria"/>
          <w:sz w:val="16"/>
          <w:szCs w:val="16"/>
        </w:rPr>
        <w:t xml:space="preserve">Punitive aggravating circumstances: The penalty shall be between forty (40) and sixty (60) years in prison, if the act described in the preceding article is committed:  […] 8 against a person who is or has been […] a journalist.” </w:t>
      </w:r>
      <w:proofErr w:type="gramStart"/>
      <w:r w:rsidRPr="007F1156">
        <w:rPr>
          <w:rFonts w:ascii="Cambria" w:hAnsi="Cambria"/>
          <w:sz w:val="16"/>
          <w:szCs w:val="16"/>
        </w:rPr>
        <w:t>Legal provision in force on April 21, 1998.</w:t>
      </w:r>
      <w:proofErr w:type="gramEnd"/>
      <w:r w:rsidRPr="007F1156">
        <w:rPr>
          <w:rFonts w:ascii="Cambria" w:hAnsi="Cambria"/>
          <w:sz w:val="16"/>
          <w:szCs w:val="16"/>
        </w:rPr>
        <w:t xml:space="preserve"> </w:t>
      </w:r>
    </w:p>
    <w:p w:rsidR="00F8558A" w:rsidRPr="007F1156" w:rsidRDefault="00F8558A" w:rsidP="007F1156">
      <w:pPr>
        <w:spacing w:after="120"/>
        <w:ind w:firstLine="720"/>
        <w:jc w:val="both"/>
        <w:rPr>
          <w:rFonts w:ascii="Cambria" w:hAnsi="Cambria"/>
          <w:sz w:val="16"/>
          <w:szCs w:val="16"/>
        </w:rPr>
      </w:pPr>
      <w:proofErr w:type="gramStart"/>
      <w:r w:rsidRPr="007F1156">
        <w:rPr>
          <w:rFonts w:ascii="Cambria" w:hAnsi="Cambria"/>
          <w:sz w:val="16"/>
          <w:szCs w:val="16"/>
        </w:rPr>
        <w:t>According to the Code of Criminal Procedure in force on April 21, 1998 “Article 71.</w:t>
      </w:r>
      <w:proofErr w:type="gramEnd"/>
      <w:r w:rsidRPr="007F1156">
        <w:rPr>
          <w:rFonts w:ascii="Cambria" w:hAnsi="Cambria"/>
          <w:sz w:val="16"/>
          <w:szCs w:val="16"/>
        </w:rPr>
        <w:t xml:space="preserve"> [Text amended by Law 81 of 1993 and supplemented by Law 365 of 1997. Order repealed by Law 600 of 2000] Jurisdiction of Regional Judges. Regional judges shall hear and decide: At the first instance: […] 5. The offenses of aggravated kidnapping and kidnapping for ransom, but virtue of clauses 6, 8, and 12 of Article 3 of Law 40 of 1993, and murder, according to Article 324(8) of the Criminal Code.” </w:t>
      </w:r>
      <w:hyperlink r:id="rId2" w:history="1">
        <w:proofErr w:type="gramStart"/>
        <w:r w:rsidRPr="007F1156">
          <w:rPr>
            <w:rStyle w:val="Hyperlink"/>
            <w:rFonts w:ascii="Cambria" w:hAnsi="Cambria"/>
            <w:sz w:val="16"/>
            <w:szCs w:val="16"/>
          </w:rPr>
          <w:t>Order No. 2700 of 1991</w:t>
        </w:r>
      </w:hyperlink>
      <w:r w:rsidRPr="007F1156">
        <w:rPr>
          <w:rFonts w:ascii="Cambria" w:hAnsi="Cambria"/>
          <w:sz w:val="16"/>
          <w:szCs w:val="16"/>
        </w:rPr>
        <w:t>.</w:t>
      </w:r>
      <w:proofErr w:type="gramEnd"/>
      <w:r w:rsidRPr="007F1156">
        <w:rPr>
          <w:rFonts w:ascii="Cambria" w:hAnsi="Cambria"/>
          <w:sz w:val="16"/>
          <w:szCs w:val="16"/>
        </w:rPr>
        <w:t xml:space="preserve"> Official Gazette No. 40.190, of November 30, 1991.</w:t>
      </w:r>
    </w:p>
  </w:footnote>
  <w:footnote w:id="20">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11</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22nd District Office of the Public Prosecutor assigned to the Criminal Courts of the </w:t>
      </w:r>
      <w:proofErr w:type="spellStart"/>
      <w:r w:rsidRPr="007F1156">
        <w:rPr>
          <w:rFonts w:ascii="Cambria" w:hAnsi="Cambria"/>
          <w:sz w:val="16"/>
          <w:szCs w:val="16"/>
        </w:rPr>
        <w:t>Pitalito</w:t>
      </w:r>
      <w:proofErr w:type="spellEnd"/>
      <w:r w:rsidRPr="007F1156">
        <w:rPr>
          <w:rFonts w:ascii="Cambria" w:hAnsi="Cambria"/>
          <w:sz w:val="16"/>
          <w:szCs w:val="16"/>
        </w:rPr>
        <w:t xml:space="preserve"> Circuit, Huila. April 21, 1998. </w:t>
      </w:r>
      <w:proofErr w:type="gramStart"/>
      <w:r w:rsidRPr="007F1156">
        <w:rPr>
          <w:rFonts w:ascii="Cambria" w:hAnsi="Cambria"/>
          <w:sz w:val="16"/>
          <w:szCs w:val="16"/>
        </w:rPr>
        <w:t>Attachment to the petitioner’s communication of August 25, 2005.</w:t>
      </w:r>
      <w:proofErr w:type="gramEnd"/>
    </w:p>
  </w:footnote>
  <w:footnote w:id="21">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lang w:val="es-CO"/>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3.</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r w:rsidRPr="007F1156">
        <w:rPr>
          <w:rFonts w:ascii="Cambria" w:hAnsi="Cambria"/>
          <w:sz w:val="16"/>
          <w:szCs w:val="16"/>
        </w:rPr>
        <w:t xml:space="preserve"> </w:t>
      </w:r>
      <w:proofErr w:type="gramStart"/>
      <w:r w:rsidRPr="007F1156">
        <w:rPr>
          <w:rFonts w:ascii="Cambria" w:hAnsi="Cambria"/>
          <w:sz w:val="16"/>
          <w:szCs w:val="16"/>
        </w:rPr>
        <w:t>p.2.</w:t>
      </w:r>
      <w:proofErr w:type="gramEnd"/>
    </w:p>
  </w:footnote>
  <w:footnote w:id="2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Attachment to the petitioner’s communication of October 17, 2002.</w:t>
      </w:r>
      <w:proofErr w:type="gramEnd"/>
    </w:p>
  </w:footnote>
  <w:footnote w:id="23">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lang w:val="es-CO"/>
        </w:rPr>
        <w:footnoteRef/>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Attachment to the petitioner’s communication of October 17, 2002.</w:t>
      </w:r>
      <w:proofErr w:type="gramEnd"/>
      <w:r w:rsidRPr="007F1156">
        <w:rPr>
          <w:rFonts w:ascii="Cambria" w:hAnsi="Cambria"/>
          <w:sz w:val="16"/>
          <w:szCs w:val="16"/>
        </w:rPr>
        <w:t xml:space="preserve"> p. 2-3.</w:t>
      </w:r>
    </w:p>
  </w:footnote>
  <w:footnote w:id="2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25">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2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3.</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p>
  </w:footnote>
  <w:footnote w:id="2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15</w:t>
      </w:r>
      <w:r w:rsidRPr="007F1156">
        <w:rPr>
          <w:rFonts w:ascii="Cambria" w:hAnsi="Cambria"/>
          <w:sz w:val="16"/>
          <w:szCs w:val="16"/>
        </w:rPr>
        <w:t>.</w:t>
      </w:r>
      <w:proofErr w:type="gramEnd"/>
      <w:r w:rsidRPr="007F1156">
        <w:rPr>
          <w:rFonts w:ascii="Cambria" w:hAnsi="Cambria"/>
          <w:sz w:val="16"/>
          <w:szCs w:val="16"/>
        </w:rPr>
        <w:t xml:space="preserve"> Complaint filed with the Regional Office of the Public Prosecutor regarding risk to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March 1, 1999. </w:t>
      </w:r>
      <w:proofErr w:type="gramStart"/>
      <w:r w:rsidRPr="007F1156">
        <w:rPr>
          <w:rFonts w:ascii="Cambria" w:hAnsi="Cambria"/>
          <w:sz w:val="16"/>
          <w:szCs w:val="16"/>
        </w:rPr>
        <w:t>Received by the Regional Prosecutor’s Office on March 3, 1999.</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2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17.</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File: 33744. </w:t>
      </w:r>
      <w:proofErr w:type="gramStart"/>
      <w:r w:rsidRPr="007F1156">
        <w:rPr>
          <w:rFonts w:ascii="Cambria" w:hAnsi="Cambria"/>
          <w:sz w:val="16"/>
          <w:szCs w:val="16"/>
        </w:rPr>
        <w:t>Bogotá.</w:t>
      </w:r>
      <w:proofErr w:type="gramEnd"/>
      <w:r w:rsidRPr="007F1156">
        <w:rPr>
          <w:rFonts w:ascii="Cambria" w:hAnsi="Cambria"/>
          <w:sz w:val="16"/>
          <w:szCs w:val="16"/>
        </w:rPr>
        <w:t xml:space="preserve"> March 29, 1999. </w:t>
      </w:r>
      <w:proofErr w:type="gramStart"/>
      <w:r w:rsidRPr="007F1156">
        <w:rPr>
          <w:rFonts w:ascii="Cambria" w:hAnsi="Cambria"/>
          <w:sz w:val="16"/>
          <w:szCs w:val="16"/>
        </w:rPr>
        <w:t>Attachment to the petitioner’s communication of August 25, 2005.</w:t>
      </w:r>
      <w:proofErr w:type="gramEnd"/>
    </w:p>
  </w:footnote>
  <w:footnote w:id="2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p. 3-4. </w:t>
      </w:r>
      <w:proofErr w:type="gramStart"/>
      <w:r w:rsidRPr="007F1156">
        <w:rPr>
          <w:rFonts w:ascii="Cambria" w:hAnsi="Cambria"/>
          <w:sz w:val="16"/>
          <w:szCs w:val="16"/>
        </w:rPr>
        <w:t>Attachment to the petitioner’s communication of October 17, 2002.</w:t>
      </w:r>
      <w:proofErr w:type="gramEnd"/>
    </w:p>
  </w:footnote>
  <w:footnote w:id="3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23.</w:t>
      </w:r>
      <w:proofErr w:type="gramEnd"/>
      <w:r w:rsidRPr="007F1156">
        <w:rPr>
          <w:rFonts w:ascii="Cambria" w:hAnsi="Cambria"/>
          <w:i/>
          <w:sz w:val="16"/>
          <w:szCs w:val="16"/>
        </w:rPr>
        <w:t xml:space="preserve"> </w:t>
      </w:r>
      <w:r w:rsidRPr="007F1156">
        <w:rPr>
          <w:rFonts w:ascii="Cambria" w:hAnsi="Cambria"/>
          <w:sz w:val="16"/>
          <w:szCs w:val="16"/>
        </w:rPr>
        <w:t xml:space="preserve">Order 00566 of the Office of the Prosecutor General, August 24, 1999. </w:t>
      </w:r>
      <w:proofErr w:type="gramStart"/>
      <w:r w:rsidRPr="007F1156">
        <w:rPr>
          <w:rFonts w:ascii="Cambria" w:hAnsi="Cambria"/>
          <w:sz w:val="16"/>
          <w:szCs w:val="16"/>
        </w:rPr>
        <w:t>Attachment to the petitioner’s communication of August 25, 2005.</w:t>
      </w:r>
      <w:proofErr w:type="gramEnd"/>
    </w:p>
  </w:footnote>
  <w:footnote w:id="3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p>
  </w:footnote>
  <w:footnote w:id="3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p>
  </w:footnote>
  <w:footnote w:id="3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18.</w:t>
      </w:r>
      <w:proofErr w:type="gramEnd"/>
      <w:r w:rsidRPr="007F1156">
        <w:rPr>
          <w:rFonts w:ascii="Cambria" w:hAnsi="Cambria"/>
          <w:sz w:val="16"/>
          <w:szCs w:val="16"/>
        </w:rPr>
        <w:t xml:space="preserve"> </w:t>
      </w:r>
      <w:proofErr w:type="gramStart"/>
      <w:r w:rsidRPr="007F1156">
        <w:rPr>
          <w:rFonts w:ascii="Cambria" w:hAnsi="Cambria"/>
          <w:sz w:val="16"/>
          <w:szCs w:val="16"/>
        </w:rPr>
        <w:t>Criminal Court of the Specialized Circuit of Neiva, Huila.</w:t>
      </w:r>
      <w:proofErr w:type="gramEnd"/>
      <w:r w:rsidRPr="007F1156">
        <w:rPr>
          <w:rFonts w:ascii="Cambria" w:hAnsi="Cambria"/>
          <w:sz w:val="16"/>
          <w:szCs w:val="16"/>
        </w:rPr>
        <w:t xml:space="preserve"> </w:t>
      </w:r>
      <w:proofErr w:type="gramStart"/>
      <w:r w:rsidRPr="007F1156">
        <w:rPr>
          <w:rFonts w:ascii="Cambria" w:hAnsi="Cambria"/>
          <w:sz w:val="16"/>
          <w:szCs w:val="16"/>
        </w:rPr>
        <w:t>Public hearing in Case No. 2000-0090.</w:t>
      </w:r>
      <w:proofErr w:type="gramEnd"/>
      <w:r w:rsidRPr="007F1156">
        <w:rPr>
          <w:rFonts w:ascii="Cambria" w:hAnsi="Cambria"/>
          <w:sz w:val="16"/>
          <w:szCs w:val="16"/>
        </w:rPr>
        <w:t xml:space="preserve"> </w:t>
      </w:r>
      <w:proofErr w:type="gramStart"/>
      <w:r w:rsidRPr="007F1156">
        <w:rPr>
          <w:rFonts w:ascii="Cambria" w:hAnsi="Cambria"/>
          <w:sz w:val="16"/>
          <w:szCs w:val="16"/>
        </w:rPr>
        <w:t xml:space="preserve">Prosecution of Fernando </w:t>
      </w:r>
      <w:proofErr w:type="spellStart"/>
      <w:r w:rsidRPr="007F1156">
        <w:rPr>
          <w:rFonts w:ascii="Cambria" w:hAnsi="Cambria"/>
          <w:sz w:val="16"/>
          <w:szCs w:val="16"/>
        </w:rPr>
        <w:t>Bermúdez</w:t>
      </w:r>
      <w:proofErr w:type="spellEnd"/>
      <w:r w:rsidRPr="007F1156">
        <w:rPr>
          <w:rFonts w:ascii="Cambria" w:hAnsi="Cambria"/>
          <w:sz w:val="16"/>
          <w:szCs w:val="16"/>
        </w:rPr>
        <w:t xml:space="preserve"> </w:t>
      </w:r>
      <w:proofErr w:type="spellStart"/>
      <w:r w:rsidRPr="007F1156">
        <w:rPr>
          <w:rFonts w:ascii="Cambria" w:hAnsi="Cambria"/>
          <w:sz w:val="16"/>
          <w:szCs w:val="16"/>
        </w:rPr>
        <w:t>Ardila</w:t>
      </w:r>
      <w:proofErr w:type="spell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Félix Trujillo, and Alfaro Quintero Alvarado, for the offense of murder.</w:t>
      </w:r>
      <w:proofErr w:type="gramEnd"/>
      <w:r w:rsidRPr="007F1156">
        <w:rPr>
          <w:rFonts w:ascii="Cambria" w:hAnsi="Cambria"/>
          <w:sz w:val="16"/>
          <w:szCs w:val="16"/>
        </w:rPr>
        <w:t xml:space="preserve"> </w:t>
      </w:r>
      <w:proofErr w:type="gramStart"/>
      <w:r w:rsidRPr="007F1156">
        <w:rPr>
          <w:rFonts w:ascii="Cambria" w:hAnsi="Cambria"/>
          <w:sz w:val="16"/>
          <w:szCs w:val="16"/>
        </w:rPr>
        <w:t>Hearing No. 047.</w:t>
      </w:r>
      <w:proofErr w:type="gramEnd"/>
      <w:r w:rsidRPr="007F1156">
        <w:rPr>
          <w:rFonts w:ascii="Cambria" w:hAnsi="Cambria"/>
          <w:sz w:val="16"/>
          <w:szCs w:val="16"/>
        </w:rPr>
        <w:t xml:space="preserve"> November 29, 2000. </w:t>
      </w:r>
      <w:proofErr w:type="gramStart"/>
      <w:r w:rsidRPr="007F1156">
        <w:rPr>
          <w:rFonts w:ascii="Cambria" w:hAnsi="Cambria"/>
          <w:sz w:val="16"/>
          <w:szCs w:val="16"/>
        </w:rPr>
        <w:t>p. 31.</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3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p>
  </w:footnote>
  <w:footnote w:id="3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pp. 4-5. </w:t>
      </w:r>
      <w:proofErr w:type="gramStart"/>
      <w:r w:rsidRPr="007F1156">
        <w:rPr>
          <w:rFonts w:ascii="Cambria" w:hAnsi="Cambria"/>
          <w:sz w:val="16"/>
          <w:szCs w:val="16"/>
        </w:rPr>
        <w:t>Attachment to the petitioner’s communication of October 17, 2002.</w:t>
      </w:r>
      <w:proofErr w:type="gramEnd"/>
    </w:p>
  </w:footnote>
  <w:footnote w:id="36">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11</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22</w:t>
      </w:r>
      <w:r w:rsidRPr="007F1156">
        <w:rPr>
          <w:rFonts w:ascii="Cambria" w:hAnsi="Cambria"/>
          <w:sz w:val="16"/>
          <w:szCs w:val="16"/>
          <w:vertAlign w:val="superscript"/>
        </w:rPr>
        <w:t>nd</w:t>
      </w:r>
      <w:r w:rsidRPr="007F1156">
        <w:rPr>
          <w:rFonts w:ascii="Cambria" w:hAnsi="Cambria"/>
          <w:sz w:val="16"/>
          <w:szCs w:val="16"/>
        </w:rPr>
        <w:t xml:space="preserve"> District Office of the Public Prosecutor assigned to the Criminal Courts of the </w:t>
      </w:r>
      <w:proofErr w:type="spellStart"/>
      <w:r w:rsidRPr="007F1156">
        <w:rPr>
          <w:rFonts w:ascii="Cambria" w:hAnsi="Cambria"/>
          <w:sz w:val="16"/>
          <w:szCs w:val="16"/>
        </w:rPr>
        <w:t>Pitalito</w:t>
      </w:r>
      <w:proofErr w:type="spellEnd"/>
      <w:r w:rsidRPr="007F1156">
        <w:rPr>
          <w:rFonts w:ascii="Cambria" w:hAnsi="Cambria"/>
          <w:sz w:val="16"/>
          <w:szCs w:val="16"/>
        </w:rPr>
        <w:t xml:space="preserve"> Circuit, Huila. April 21, 1998. </w:t>
      </w:r>
      <w:proofErr w:type="gramStart"/>
      <w:r w:rsidRPr="007F1156">
        <w:rPr>
          <w:rFonts w:ascii="Cambria" w:hAnsi="Cambria"/>
          <w:sz w:val="16"/>
          <w:szCs w:val="16"/>
        </w:rPr>
        <w:t>Attachment to the petitioner’s communication of August 25, 2005.</w:t>
      </w:r>
      <w:proofErr w:type="gramEnd"/>
    </w:p>
  </w:footnote>
  <w:footnote w:id="37">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3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12</w:t>
      </w:r>
      <w:r w:rsidRPr="007F1156">
        <w:rPr>
          <w:rFonts w:ascii="Cambria" w:hAnsi="Cambria"/>
          <w:sz w:val="16"/>
          <w:szCs w:val="16"/>
        </w:rPr>
        <w:t>.</w:t>
      </w:r>
      <w:proofErr w:type="gramEnd"/>
      <w:r w:rsidRPr="007F1156">
        <w:rPr>
          <w:rFonts w:ascii="Cambria" w:hAnsi="Cambria"/>
          <w:sz w:val="16"/>
          <w:szCs w:val="16"/>
        </w:rPr>
        <w:t xml:space="preserve"> 22</w:t>
      </w:r>
      <w:r w:rsidRPr="007F1156">
        <w:rPr>
          <w:rFonts w:ascii="Cambria" w:hAnsi="Cambria"/>
          <w:sz w:val="16"/>
          <w:szCs w:val="16"/>
          <w:vertAlign w:val="superscript"/>
        </w:rPr>
        <w:t>nd</w:t>
      </w:r>
      <w:r w:rsidRPr="007F1156">
        <w:rPr>
          <w:rFonts w:ascii="Cambria" w:hAnsi="Cambria"/>
          <w:sz w:val="16"/>
          <w:szCs w:val="16"/>
        </w:rPr>
        <w:t xml:space="preserve"> Office of the Prosecutor assigned to the Criminal Courts of the </w:t>
      </w:r>
      <w:proofErr w:type="spellStart"/>
      <w:r w:rsidRPr="007F1156">
        <w:rPr>
          <w:rFonts w:ascii="Cambria" w:hAnsi="Cambria"/>
          <w:sz w:val="16"/>
          <w:szCs w:val="16"/>
        </w:rPr>
        <w:t>Pitalito</w:t>
      </w:r>
      <w:proofErr w:type="spellEnd"/>
      <w:r w:rsidRPr="007F1156">
        <w:rPr>
          <w:rFonts w:ascii="Cambria" w:hAnsi="Cambria"/>
          <w:sz w:val="16"/>
          <w:szCs w:val="16"/>
        </w:rPr>
        <w:t xml:space="preserve"> Circuit.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April 28, 1998. </w:t>
      </w:r>
      <w:proofErr w:type="gramStart"/>
      <w:r w:rsidRPr="007F1156">
        <w:rPr>
          <w:rFonts w:ascii="Cambria" w:hAnsi="Cambria"/>
          <w:sz w:val="16"/>
          <w:szCs w:val="16"/>
        </w:rPr>
        <w:t>p. 1.</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39">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40">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41">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Order of the 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p. 2.</w:t>
      </w:r>
    </w:p>
  </w:footnote>
  <w:footnote w:id="42">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43">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44">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10</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w:t>
      </w:r>
      <w:proofErr w:type="gramStart"/>
      <w:r w:rsidRPr="007F1156">
        <w:rPr>
          <w:rFonts w:ascii="Cambria" w:hAnsi="Cambria"/>
          <w:sz w:val="16"/>
          <w:szCs w:val="16"/>
        </w:rPr>
        <w:t>Investigative Unit.</w:t>
      </w:r>
      <w:proofErr w:type="gramEnd"/>
      <w:r w:rsidRPr="007F1156">
        <w:rPr>
          <w:rFonts w:ascii="Cambria" w:hAnsi="Cambria"/>
          <w:sz w:val="16"/>
          <w:szCs w:val="16"/>
        </w:rPr>
        <w:t xml:space="preserve"> </w:t>
      </w:r>
      <w:proofErr w:type="spellStart"/>
      <w:r w:rsidRPr="007F1156">
        <w:rPr>
          <w:rFonts w:ascii="Cambria" w:hAnsi="Cambria"/>
          <w:sz w:val="16"/>
          <w:szCs w:val="16"/>
        </w:rPr>
        <w:t>Pitalito</w:t>
      </w:r>
      <w:proofErr w:type="spellEnd"/>
      <w:r w:rsidRPr="007F1156">
        <w:rPr>
          <w:rFonts w:ascii="Cambria" w:hAnsi="Cambria"/>
          <w:sz w:val="16"/>
          <w:szCs w:val="16"/>
        </w:rPr>
        <w:t xml:space="preserve"> Huila. Report No. 388. Reference: Corpse Inspection Certificate of Nelson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Certificate No. 042. April 17, 1998.</w:t>
      </w:r>
    </w:p>
  </w:footnote>
  <w:footnote w:id="45">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July 29, 1999. </w:t>
      </w:r>
      <w:proofErr w:type="gramStart"/>
      <w:r w:rsidRPr="007F1156">
        <w:rPr>
          <w:rFonts w:ascii="Cambria" w:hAnsi="Cambria"/>
          <w:sz w:val="16"/>
          <w:szCs w:val="16"/>
        </w:rPr>
        <w:t>Attachment to the petitioner’s communication of August 25, 2005.</w:t>
      </w:r>
      <w:proofErr w:type="gramEnd"/>
    </w:p>
  </w:footnote>
  <w:footnote w:id="46">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w:t>
      </w:r>
      <w:proofErr w:type="gramStart"/>
      <w:r w:rsidRPr="007F1156">
        <w:rPr>
          <w:rFonts w:ascii="Cambria" w:hAnsi="Cambria"/>
          <w:sz w:val="16"/>
          <w:szCs w:val="16"/>
        </w:rPr>
        <w:t>Case No. 30689.</w:t>
      </w:r>
      <w:proofErr w:type="gramEnd"/>
      <w:r w:rsidRPr="007F1156">
        <w:rPr>
          <w:rFonts w:ascii="Cambria" w:hAnsi="Cambria"/>
          <w:sz w:val="16"/>
          <w:szCs w:val="16"/>
        </w:rPr>
        <w:t xml:space="preserve"> April 1, 2009. </w:t>
      </w:r>
      <w:proofErr w:type="gramStart"/>
      <w:r w:rsidRPr="007F1156">
        <w:rPr>
          <w:rFonts w:ascii="Cambria" w:hAnsi="Cambria"/>
          <w:sz w:val="16"/>
          <w:szCs w:val="16"/>
        </w:rPr>
        <w:t>Attachment to the petitioner’s communication of May 13, 2009.</w:t>
      </w:r>
      <w:proofErr w:type="gramEnd"/>
    </w:p>
  </w:footnote>
  <w:footnote w:id="4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According to Fernando </w:t>
      </w:r>
      <w:proofErr w:type="spellStart"/>
      <w:r w:rsidRPr="007F1156">
        <w:rPr>
          <w:rFonts w:ascii="Cambria" w:hAnsi="Cambria"/>
          <w:sz w:val="16"/>
          <w:szCs w:val="16"/>
        </w:rPr>
        <w:t>Bermúdez’s</w:t>
      </w:r>
      <w:proofErr w:type="spellEnd"/>
      <w:r w:rsidRPr="007F1156">
        <w:rPr>
          <w:rFonts w:ascii="Cambria" w:hAnsi="Cambria"/>
          <w:sz w:val="16"/>
          <w:szCs w:val="16"/>
        </w:rPr>
        <w:t xml:space="preserve"> testimony in a public hearing, he was a member of the </w:t>
      </w:r>
      <w:proofErr w:type="spellStart"/>
      <w:r w:rsidRPr="007F1156">
        <w:rPr>
          <w:rFonts w:ascii="Cambria" w:hAnsi="Cambria"/>
          <w:sz w:val="16"/>
          <w:szCs w:val="16"/>
        </w:rPr>
        <w:t>Pitalito</w:t>
      </w:r>
      <w:proofErr w:type="spellEnd"/>
      <w:r w:rsidRPr="007F1156">
        <w:rPr>
          <w:rFonts w:ascii="Cambria" w:hAnsi="Cambria"/>
          <w:sz w:val="16"/>
          <w:szCs w:val="16"/>
        </w:rPr>
        <w:t xml:space="preserve"> town council for 3 consecutive terms, from 1990 to 1998, and in 1998 he was elected to the Chamber for the 98-2002 </w:t>
      </w:r>
      <w:proofErr w:type="gramStart"/>
      <w:r w:rsidRPr="007F1156">
        <w:rPr>
          <w:rFonts w:ascii="Cambria" w:hAnsi="Cambria"/>
          <w:sz w:val="16"/>
          <w:szCs w:val="16"/>
        </w:rPr>
        <w:t>term</w:t>
      </w:r>
      <w:proofErr w:type="gramEnd"/>
      <w:r w:rsidRPr="007F1156">
        <w:rPr>
          <w:rFonts w:ascii="Cambria" w:hAnsi="Cambria"/>
          <w:sz w:val="16"/>
          <w:szCs w:val="16"/>
        </w:rPr>
        <w:t xml:space="preserve">. </w:t>
      </w:r>
      <w:proofErr w:type="gramStart"/>
      <w:r w:rsidRPr="007F1156">
        <w:rPr>
          <w:rFonts w:ascii="Cambria" w:hAnsi="Cambria"/>
          <w:i/>
          <w:sz w:val="16"/>
          <w:szCs w:val="16"/>
        </w:rPr>
        <w:t>Attachment 18.</w:t>
      </w:r>
      <w:proofErr w:type="gramEnd"/>
      <w:r w:rsidRPr="007F1156">
        <w:rPr>
          <w:rFonts w:ascii="Cambria" w:hAnsi="Cambria"/>
          <w:sz w:val="16"/>
          <w:szCs w:val="16"/>
        </w:rPr>
        <w:t xml:space="preserve"> </w:t>
      </w:r>
      <w:proofErr w:type="gramStart"/>
      <w:r w:rsidRPr="007F1156">
        <w:rPr>
          <w:rFonts w:ascii="Cambria" w:hAnsi="Cambria"/>
          <w:sz w:val="16"/>
          <w:szCs w:val="16"/>
        </w:rPr>
        <w:t>Criminal Court of the Specialized Circuit of Neiva, Huila.</w:t>
      </w:r>
      <w:proofErr w:type="gramEnd"/>
      <w:r w:rsidRPr="007F1156">
        <w:rPr>
          <w:rFonts w:ascii="Cambria" w:hAnsi="Cambria"/>
          <w:sz w:val="16"/>
          <w:szCs w:val="16"/>
        </w:rPr>
        <w:t xml:space="preserve"> </w:t>
      </w:r>
      <w:proofErr w:type="gramStart"/>
      <w:r w:rsidRPr="007F1156">
        <w:rPr>
          <w:rFonts w:ascii="Cambria" w:hAnsi="Cambria"/>
          <w:sz w:val="16"/>
          <w:szCs w:val="16"/>
        </w:rPr>
        <w:t>Public trial proceedings in Case No. 2000-0090.</w:t>
      </w:r>
      <w:proofErr w:type="gramEnd"/>
      <w:r w:rsidRPr="007F1156">
        <w:rPr>
          <w:rFonts w:ascii="Cambria" w:hAnsi="Cambria"/>
          <w:sz w:val="16"/>
          <w:szCs w:val="16"/>
        </w:rPr>
        <w:t xml:space="preserve"> </w:t>
      </w:r>
      <w:proofErr w:type="gramStart"/>
      <w:r w:rsidRPr="007F1156">
        <w:rPr>
          <w:rFonts w:ascii="Cambria" w:hAnsi="Cambria"/>
          <w:sz w:val="16"/>
          <w:szCs w:val="16"/>
        </w:rPr>
        <w:t xml:space="preserve">Prosecution of Fernando </w:t>
      </w:r>
      <w:proofErr w:type="spellStart"/>
      <w:r w:rsidRPr="007F1156">
        <w:rPr>
          <w:rFonts w:ascii="Cambria" w:hAnsi="Cambria"/>
          <w:sz w:val="16"/>
          <w:szCs w:val="16"/>
        </w:rPr>
        <w:t>Bermúdez</w:t>
      </w:r>
      <w:proofErr w:type="spellEnd"/>
      <w:r w:rsidRPr="007F1156">
        <w:rPr>
          <w:rFonts w:ascii="Cambria" w:hAnsi="Cambria"/>
          <w:sz w:val="16"/>
          <w:szCs w:val="16"/>
        </w:rPr>
        <w:t xml:space="preserve"> </w:t>
      </w:r>
      <w:proofErr w:type="spellStart"/>
      <w:r w:rsidRPr="007F1156">
        <w:rPr>
          <w:rFonts w:ascii="Cambria" w:hAnsi="Cambria"/>
          <w:sz w:val="16"/>
          <w:szCs w:val="16"/>
        </w:rPr>
        <w:t>Ardila</w:t>
      </w:r>
      <w:proofErr w:type="spell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Félix Trujillo, and Alfaro Quintero Alvarado, for the offense of murder.</w:t>
      </w:r>
      <w:proofErr w:type="gramEnd"/>
      <w:r w:rsidRPr="007F1156">
        <w:rPr>
          <w:rFonts w:ascii="Cambria" w:hAnsi="Cambria"/>
          <w:sz w:val="16"/>
          <w:szCs w:val="16"/>
        </w:rPr>
        <w:t xml:space="preserve"> </w:t>
      </w:r>
      <w:proofErr w:type="gramStart"/>
      <w:r w:rsidRPr="007F1156">
        <w:rPr>
          <w:rFonts w:ascii="Cambria" w:hAnsi="Cambria"/>
          <w:sz w:val="16"/>
          <w:szCs w:val="16"/>
        </w:rPr>
        <w:t>Hearing No. 047.</w:t>
      </w:r>
      <w:proofErr w:type="gramEnd"/>
      <w:r w:rsidRPr="007F1156">
        <w:rPr>
          <w:rFonts w:ascii="Cambria" w:hAnsi="Cambria"/>
          <w:sz w:val="16"/>
          <w:szCs w:val="16"/>
        </w:rPr>
        <w:t xml:space="preserve"> November 29, 2000. </w:t>
      </w:r>
      <w:proofErr w:type="gramStart"/>
      <w:r w:rsidRPr="007F1156">
        <w:rPr>
          <w:rFonts w:ascii="Cambria" w:hAnsi="Cambria"/>
          <w:sz w:val="16"/>
          <w:szCs w:val="16"/>
        </w:rPr>
        <w:t>Attachment to the petitioner’s communication of August 25, 2005.</w:t>
      </w:r>
      <w:proofErr w:type="gramEnd"/>
    </w:p>
  </w:footnote>
  <w:footnote w:id="4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19.</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Statement of Manuel Antonio Castro Tovar.</w:t>
      </w:r>
      <w:proofErr w:type="gramEnd"/>
      <w:r w:rsidRPr="007F1156">
        <w:rPr>
          <w:rFonts w:ascii="Cambria" w:hAnsi="Cambria"/>
          <w:sz w:val="16"/>
          <w:szCs w:val="16"/>
        </w:rPr>
        <w:t xml:space="preserve"> July 16, 1999. </w:t>
      </w:r>
      <w:proofErr w:type="gramStart"/>
      <w:r w:rsidRPr="007F1156">
        <w:rPr>
          <w:rFonts w:ascii="Cambria" w:hAnsi="Cambria"/>
          <w:sz w:val="16"/>
          <w:szCs w:val="16"/>
        </w:rPr>
        <w:t>p. 1.</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49">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50">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July 29, 1999. p. 1-2. </w:t>
      </w:r>
      <w:proofErr w:type="gramStart"/>
      <w:r w:rsidRPr="007F1156">
        <w:rPr>
          <w:rFonts w:ascii="Cambria" w:hAnsi="Cambria"/>
          <w:sz w:val="16"/>
          <w:szCs w:val="16"/>
        </w:rPr>
        <w:t>Attachment to the petitioner’s communication of August 25, 2005.</w:t>
      </w:r>
      <w:proofErr w:type="gramEnd"/>
    </w:p>
  </w:footnote>
  <w:footnote w:id="51">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5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24.</w:t>
      </w:r>
      <w:proofErr w:type="gramEnd"/>
      <w:r w:rsidRPr="007F1156">
        <w:rPr>
          <w:rFonts w:ascii="Cambria" w:hAnsi="Cambria"/>
          <w:i/>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District Unit. </w:t>
      </w:r>
      <w:proofErr w:type="gramStart"/>
      <w:r w:rsidRPr="007F1156">
        <w:rPr>
          <w:rFonts w:ascii="Cambria" w:hAnsi="Cambria"/>
          <w:sz w:val="16"/>
          <w:szCs w:val="16"/>
        </w:rPr>
        <w:t xml:space="preserve">Technical Investigations Unit </w:t>
      </w:r>
      <w:proofErr w:type="spellStart"/>
      <w:r w:rsidRPr="007F1156">
        <w:rPr>
          <w:rFonts w:ascii="Cambria" w:hAnsi="Cambria"/>
          <w:sz w:val="16"/>
          <w:szCs w:val="16"/>
        </w:rPr>
        <w:t>Pitalito</w:t>
      </w:r>
      <w:proofErr w:type="spellEnd"/>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of Dr. </w:t>
      </w:r>
      <w:proofErr w:type="spellStart"/>
      <w:r w:rsidRPr="007F1156">
        <w:rPr>
          <w:rFonts w:ascii="Cambria" w:hAnsi="Cambria"/>
          <w:sz w:val="16"/>
          <w:szCs w:val="16"/>
        </w:rPr>
        <w:t>Héctor</w:t>
      </w:r>
      <w:proofErr w:type="spellEnd"/>
      <w:r w:rsidRPr="007F1156">
        <w:rPr>
          <w:rFonts w:ascii="Cambria" w:hAnsi="Cambria"/>
          <w:sz w:val="16"/>
          <w:szCs w:val="16"/>
        </w:rPr>
        <w:t xml:space="preserve"> </w:t>
      </w:r>
      <w:proofErr w:type="spellStart"/>
      <w:r w:rsidRPr="007F1156">
        <w:rPr>
          <w:rFonts w:ascii="Cambria" w:hAnsi="Cambria"/>
          <w:sz w:val="16"/>
          <w:szCs w:val="16"/>
        </w:rPr>
        <w:t>Polonia</w:t>
      </w:r>
      <w:proofErr w:type="spellEnd"/>
      <w:r w:rsidRPr="007F1156">
        <w:rPr>
          <w:rFonts w:ascii="Cambria" w:hAnsi="Cambria"/>
          <w:sz w:val="16"/>
          <w:szCs w:val="16"/>
        </w:rPr>
        <w:t xml:space="preserve"> Sánchez.</w:t>
      </w:r>
      <w:proofErr w:type="gramEnd"/>
      <w:r w:rsidRPr="007F1156">
        <w:rPr>
          <w:rFonts w:ascii="Cambria" w:hAnsi="Cambria"/>
          <w:sz w:val="16"/>
          <w:szCs w:val="16"/>
        </w:rPr>
        <w:t xml:space="preserve"> </w:t>
      </w:r>
      <w:proofErr w:type="spellStart"/>
      <w:r w:rsidRPr="007F1156">
        <w:rPr>
          <w:rFonts w:ascii="Cambria" w:hAnsi="Cambria"/>
          <w:sz w:val="16"/>
          <w:szCs w:val="16"/>
        </w:rPr>
        <w:t>Pitalito</w:t>
      </w:r>
      <w:proofErr w:type="spellEnd"/>
      <w:r w:rsidRPr="007F1156">
        <w:rPr>
          <w:rFonts w:ascii="Cambria" w:hAnsi="Cambria"/>
          <w:sz w:val="16"/>
          <w:szCs w:val="16"/>
        </w:rPr>
        <w:t xml:space="preserve">, Huila. August 27, 1999. </w:t>
      </w:r>
      <w:proofErr w:type="gramStart"/>
      <w:r w:rsidRPr="007F1156">
        <w:rPr>
          <w:rFonts w:ascii="Cambria" w:hAnsi="Cambria"/>
          <w:sz w:val="16"/>
          <w:szCs w:val="16"/>
        </w:rPr>
        <w:t>p.2</w:t>
      </w:r>
      <w:proofErr w:type="gramEnd"/>
      <w:r w:rsidRPr="007F1156">
        <w:rPr>
          <w:rFonts w:ascii="Cambria" w:hAnsi="Cambria"/>
          <w:sz w:val="16"/>
          <w:szCs w:val="16"/>
        </w:rPr>
        <w:t>. Attachment to the petitioner’s communication of August 25, 2005.</w:t>
      </w:r>
    </w:p>
  </w:footnote>
  <w:footnote w:id="5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12</w:t>
      </w:r>
      <w:r w:rsidRPr="007F1156">
        <w:rPr>
          <w:rFonts w:ascii="Cambria" w:hAnsi="Cambria"/>
          <w:sz w:val="16"/>
          <w:szCs w:val="16"/>
        </w:rPr>
        <w:t>.</w:t>
      </w:r>
      <w:proofErr w:type="gramEnd"/>
      <w:r w:rsidRPr="007F1156">
        <w:rPr>
          <w:rFonts w:ascii="Cambria" w:hAnsi="Cambria"/>
          <w:sz w:val="16"/>
          <w:szCs w:val="16"/>
        </w:rPr>
        <w:t xml:space="preserve"> 22</w:t>
      </w:r>
      <w:r w:rsidRPr="007F1156">
        <w:rPr>
          <w:rFonts w:ascii="Cambria" w:hAnsi="Cambria"/>
          <w:sz w:val="16"/>
          <w:szCs w:val="16"/>
          <w:vertAlign w:val="superscript"/>
        </w:rPr>
        <w:t>nd</w:t>
      </w:r>
      <w:r w:rsidRPr="007F1156">
        <w:rPr>
          <w:rFonts w:ascii="Cambria" w:hAnsi="Cambria"/>
          <w:sz w:val="16"/>
          <w:szCs w:val="16"/>
        </w:rPr>
        <w:t xml:space="preserve"> Office of the Prosecutor assigned to the Criminal Courts of the </w:t>
      </w:r>
      <w:proofErr w:type="spellStart"/>
      <w:r w:rsidRPr="007F1156">
        <w:rPr>
          <w:rFonts w:ascii="Cambria" w:hAnsi="Cambria"/>
          <w:sz w:val="16"/>
          <w:szCs w:val="16"/>
        </w:rPr>
        <w:t>Pitalito</w:t>
      </w:r>
      <w:proofErr w:type="spellEnd"/>
      <w:r w:rsidRPr="007F1156">
        <w:rPr>
          <w:rFonts w:ascii="Cambria" w:hAnsi="Cambria"/>
          <w:sz w:val="16"/>
          <w:szCs w:val="16"/>
        </w:rPr>
        <w:t xml:space="preserve"> Circuit.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April 28, 1998. </w:t>
      </w:r>
      <w:proofErr w:type="gramStart"/>
      <w:r w:rsidRPr="007F1156">
        <w:rPr>
          <w:rFonts w:ascii="Cambria" w:hAnsi="Cambria"/>
          <w:sz w:val="16"/>
          <w:szCs w:val="16"/>
        </w:rPr>
        <w:t>p. 3.</w:t>
      </w:r>
      <w:proofErr w:type="gramEnd"/>
      <w:r w:rsidRPr="007F1156">
        <w:rPr>
          <w:rFonts w:ascii="Cambria" w:hAnsi="Cambria"/>
          <w:sz w:val="16"/>
          <w:szCs w:val="16"/>
        </w:rPr>
        <w:t xml:space="preserve"> </w:t>
      </w:r>
      <w:proofErr w:type="gramStart"/>
      <w:r w:rsidRPr="007F1156">
        <w:rPr>
          <w:rFonts w:ascii="Cambria" w:hAnsi="Cambria"/>
          <w:sz w:val="16"/>
          <w:szCs w:val="16"/>
        </w:rPr>
        <w:t xml:space="preserve">Attachment to the petitioner’s communication of August 25, 2005; </w:t>
      </w:r>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July 29, 1999. </w:t>
      </w:r>
      <w:proofErr w:type="gramStart"/>
      <w:r w:rsidRPr="007F1156">
        <w:rPr>
          <w:rFonts w:ascii="Cambria" w:hAnsi="Cambria"/>
          <w:sz w:val="16"/>
          <w:szCs w:val="16"/>
        </w:rPr>
        <w:t>Attachment to the petitioner’s communication of August 25, 2005.</w:t>
      </w:r>
      <w:proofErr w:type="gramEnd"/>
    </w:p>
  </w:footnote>
  <w:footnote w:id="54">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para</w:t>
      </w:r>
      <w:proofErr w:type="gramEnd"/>
      <w:r w:rsidRPr="007F1156">
        <w:rPr>
          <w:rFonts w:ascii="Cambria" w:hAnsi="Cambria"/>
          <w:sz w:val="16"/>
          <w:szCs w:val="16"/>
        </w:rPr>
        <w:t>. 52. Attachment to the petitioner’s communication of August 25, 2005.</w:t>
      </w:r>
    </w:p>
  </w:footnote>
  <w:footnote w:id="5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14</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Statement given by witness whose identity has been protected. File No. 33.744. January 18, 1999. Code “Scorpion.” p.1. </w:t>
      </w:r>
      <w:proofErr w:type="gramStart"/>
      <w:r w:rsidRPr="007F1156">
        <w:rPr>
          <w:rFonts w:ascii="Cambria" w:hAnsi="Cambria"/>
          <w:sz w:val="16"/>
          <w:szCs w:val="16"/>
        </w:rPr>
        <w:t>Attachment to the petitioner’s communication of August 25, 2005.</w:t>
      </w:r>
      <w:proofErr w:type="gramEnd"/>
    </w:p>
  </w:footnote>
  <w:footnote w:id="5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20.</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Unit assigned to the Specialized Criminal Judges of the Circuit. Santa Fe de Bogotá. </w:t>
      </w:r>
      <w:proofErr w:type="gramStart"/>
      <w:r w:rsidRPr="007F1156">
        <w:rPr>
          <w:rFonts w:ascii="Cambria" w:hAnsi="Cambria"/>
          <w:sz w:val="16"/>
          <w:szCs w:val="16"/>
        </w:rPr>
        <w:t>Supplemental Affidavit.</w:t>
      </w:r>
      <w:proofErr w:type="gramEnd"/>
      <w:r w:rsidRPr="007F1156">
        <w:rPr>
          <w:rFonts w:ascii="Cambria" w:hAnsi="Cambria"/>
          <w:sz w:val="16"/>
          <w:szCs w:val="16"/>
        </w:rPr>
        <w:t xml:space="preserve"> </w:t>
      </w:r>
      <w:proofErr w:type="gramStart"/>
      <w:r w:rsidRPr="007F1156">
        <w:rPr>
          <w:rFonts w:ascii="Cambria" w:hAnsi="Cambria"/>
          <w:sz w:val="16"/>
          <w:szCs w:val="16"/>
        </w:rPr>
        <w:t>Confidential witness.</w:t>
      </w:r>
      <w:proofErr w:type="gramEnd"/>
      <w:r w:rsidRPr="007F1156">
        <w:rPr>
          <w:rFonts w:ascii="Cambria" w:hAnsi="Cambria"/>
          <w:sz w:val="16"/>
          <w:szCs w:val="16"/>
        </w:rPr>
        <w:t xml:space="preserve"> Code “Tree.” August 13, 1999.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5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19.</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Statement of Manuel Antonio Castro Tovar.</w:t>
      </w:r>
      <w:proofErr w:type="gramEnd"/>
      <w:r w:rsidRPr="007F1156">
        <w:rPr>
          <w:rFonts w:ascii="Cambria" w:hAnsi="Cambria"/>
          <w:sz w:val="16"/>
          <w:szCs w:val="16"/>
        </w:rPr>
        <w:t xml:space="preserve"> July 16, 1999. P.2. Attachment to the petitioner’s communication of August 25, 2005.</w:t>
      </w:r>
    </w:p>
  </w:footnote>
  <w:footnote w:id="5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p. 29.</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October 17, 2002.</w:t>
      </w:r>
      <w:proofErr w:type="gramEnd"/>
      <w:r w:rsidRPr="007F1156">
        <w:rPr>
          <w:rFonts w:ascii="Cambria" w:hAnsi="Cambria"/>
          <w:sz w:val="16"/>
          <w:szCs w:val="16"/>
        </w:rPr>
        <w:t xml:space="preserve"> </w:t>
      </w:r>
    </w:p>
  </w:footnote>
  <w:footnote w:id="59">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6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Communication from the Colombian State dated August 15, 2003. DDH.22027, pp. 5-6. </w:t>
      </w:r>
      <w:proofErr w:type="gramStart"/>
      <w:r w:rsidRPr="007F1156">
        <w:rPr>
          <w:rFonts w:ascii="Cambria" w:hAnsi="Cambria"/>
          <w:sz w:val="16"/>
          <w:szCs w:val="16"/>
        </w:rPr>
        <w:t>Received by the IACHR on August 19, 2003.</w:t>
      </w:r>
      <w:proofErr w:type="gramEnd"/>
    </w:p>
  </w:footnote>
  <w:footnote w:id="61">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p. 38. Attachment to the petitioner’s communication dated October 17, 2002.</w:t>
      </w:r>
    </w:p>
  </w:footnote>
  <w:footnote w:id="62">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p. 38. Attachment to the petitioner’s communication dated October 17, 2002.</w:t>
      </w:r>
    </w:p>
  </w:footnote>
  <w:footnote w:id="6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p. 9. Attachment to the petitioner’s communication dated October 17, 2002.</w:t>
      </w:r>
    </w:p>
  </w:footnote>
  <w:footnote w:id="6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p. 9. Attachment to the petitioner’s communication dated October 17, 2002.</w:t>
      </w:r>
    </w:p>
  </w:footnote>
  <w:footnote w:id="65">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p. 38.</w:t>
      </w:r>
      <w:proofErr w:type="gramEnd"/>
      <w:r w:rsidRPr="007F1156">
        <w:rPr>
          <w:rFonts w:ascii="Cambria" w:hAnsi="Cambria"/>
          <w:sz w:val="16"/>
          <w:szCs w:val="16"/>
        </w:rPr>
        <w:t xml:space="preserve"> Attachment to the petitioner’s communication dated October 17, 2002.</w:t>
      </w:r>
    </w:p>
  </w:footnote>
  <w:footnote w:id="66">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p. 15 Attachment to the petitioner’s communication dated October 17, 2002.</w:t>
      </w:r>
    </w:p>
  </w:footnote>
  <w:footnote w:id="67">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July 29, 1999. </w:t>
      </w:r>
      <w:proofErr w:type="gramStart"/>
      <w:r w:rsidRPr="007F1156">
        <w:rPr>
          <w:rFonts w:ascii="Cambria" w:hAnsi="Cambria"/>
          <w:sz w:val="16"/>
          <w:szCs w:val="16"/>
        </w:rPr>
        <w:t>Attachment to the petitioner’s communication of August 25, 2005.</w:t>
      </w:r>
      <w:proofErr w:type="gramEnd"/>
    </w:p>
  </w:footnote>
  <w:footnote w:id="6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18.</w:t>
      </w:r>
      <w:proofErr w:type="gramEnd"/>
      <w:r w:rsidRPr="007F1156">
        <w:rPr>
          <w:rFonts w:ascii="Cambria" w:hAnsi="Cambria"/>
          <w:sz w:val="16"/>
          <w:szCs w:val="16"/>
        </w:rPr>
        <w:t xml:space="preserve"> </w:t>
      </w:r>
      <w:proofErr w:type="gramStart"/>
      <w:r w:rsidRPr="007F1156">
        <w:rPr>
          <w:rFonts w:ascii="Cambria" w:hAnsi="Cambria"/>
          <w:sz w:val="16"/>
          <w:szCs w:val="16"/>
        </w:rPr>
        <w:t>Criminal Court of the Specialized Circuit of Neiva, Huila.</w:t>
      </w:r>
      <w:proofErr w:type="gramEnd"/>
      <w:r w:rsidRPr="007F1156">
        <w:rPr>
          <w:rFonts w:ascii="Cambria" w:hAnsi="Cambria"/>
          <w:sz w:val="16"/>
          <w:szCs w:val="16"/>
        </w:rPr>
        <w:t xml:space="preserve"> </w:t>
      </w:r>
      <w:proofErr w:type="gramStart"/>
      <w:r w:rsidRPr="007F1156">
        <w:rPr>
          <w:rFonts w:ascii="Cambria" w:hAnsi="Cambria"/>
          <w:sz w:val="16"/>
          <w:szCs w:val="16"/>
        </w:rPr>
        <w:t>Public trial proceedings in Case No. 2000-0090.</w:t>
      </w:r>
      <w:proofErr w:type="gramEnd"/>
      <w:r w:rsidRPr="007F1156">
        <w:rPr>
          <w:rFonts w:ascii="Cambria" w:hAnsi="Cambria"/>
          <w:sz w:val="16"/>
          <w:szCs w:val="16"/>
        </w:rPr>
        <w:t xml:space="preserve"> </w:t>
      </w:r>
      <w:proofErr w:type="gramStart"/>
      <w:r w:rsidRPr="007F1156">
        <w:rPr>
          <w:rFonts w:ascii="Cambria" w:hAnsi="Cambria"/>
          <w:sz w:val="16"/>
          <w:szCs w:val="16"/>
        </w:rPr>
        <w:t xml:space="preserve">Prosecution of Fernando </w:t>
      </w:r>
      <w:proofErr w:type="spellStart"/>
      <w:r w:rsidRPr="007F1156">
        <w:rPr>
          <w:rFonts w:ascii="Cambria" w:hAnsi="Cambria"/>
          <w:sz w:val="16"/>
          <w:szCs w:val="16"/>
        </w:rPr>
        <w:t>Bermúdez</w:t>
      </w:r>
      <w:proofErr w:type="spellEnd"/>
      <w:r w:rsidRPr="007F1156">
        <w:rPr>
          <w:rFonts w:ascii="Cambria" w:hAnsi="Cambria"/>
          <w:sz w:val="16"/>
          <w:szCs w:val="16"/>
        </w:rPr>
        <w:t xml:space="preserve"> </w:t>
      </w:r>
      <w:proofErr w:type="spellStart"/>
      <w:r w:rsidRPr="007F1156">
        <w:rPr>
          <w:rFonts w:ascii="Cambria" w:hAnsi="Cambria"/>
          <w:sz w:val="16"/>
          <w:szCs w:val="16"/>
        </w:rPr>
        <w:t>Ardila</w:t>
      </w:r>
      <w:proofErr w:type="spell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Félix Trujillo, and Alfaro Quintero Alvarado, for the offense of murder.</w:t>
      </w:r>
      <w:proofErr w:type="gramEnd"/>
      <w:r w:rsidRPr="007F1156">
        <w:rPr>
          <w:rFonts w:ascii="Cambria" w:hAnsi="Cambria"/>
          <w:sz w:val="16"/>
          <w:szCs w:val="16"/>
        </w:rPr>
        <w:t xml:space="preserve"> </w:t>
      </w:r>
      <w:proofErr w:type="gramStart"/>
      <w:r w:rsidRPr="007F1156">
        <w:rPr>
          <w:rFonts w:ascii="Cambria" w:hAnsi="Cambria"/>
          <w:sz w:val="16"/>
          <w:szCs w:val="16"/>
        </w:rPr>
        <w:t>Hearing No. 047.</w:t>
      </w:r>
      <w:proofErr w:type="gramEnd"/>
      <w:r w:rsidRPr="007F1156">
        <w:rPr>
          <w:rFonts w:ascii="Cambria" w:hAnsi="Cambria"/>
          <w:sz w:val="16"/>
          <w:szCs w:val="16"/>
        </w:rPr>
        <w:t xml:space="preserve"> November 29, 2000. </w:t>
      </w:r>
      <w:proofErr w:type="gramStart"/>
      <w:r w:rsidRPr="007F1156">
        <w:rPr>
          <w:rFonts w:ascii="Cambria" w:hAnsi="Cambria"/>
          <w:sz w:val="16"/>
          <w:szCs w:val="16"/>
        </w:rPr>
        <w:t>p. 19.</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6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Communication from the Colombian State dated August 15, 2003. DDH.22027, pp. 5-6. </w:t>
      </w:r>
      <w:proofErr w:type="gramStart"/>
      <w:r w:rsidRPr="007F1156">
        <w:rPr>
          <w:rFonts w:ascii="Cambria" w:hAnsi="Cambria"/>
          <w:sz w:val="16"/>
          <w:szCs w:val="16"/>
        </w:rPr>
        <w:t>Received by the IACHR on August 19, 2003.</w:t>
      </w:r>
      <w:proofErr w:type="gramEnd"/>
    </w:p>
  </w:footnote>
  <w:footnote w:id="7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Attachment to the petitioner’s communication of October 17, 2002.</w:t>
      </w:r>
      <w:proofErr w:type="gramEnd"/>
    </w:p>
  </w:footnote>
  <w:footnote w:id="71">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p. 24.</w:t>
      </w:r>
      <w:proofErr w:type="gramEnd"/>
      <w:r w:rsidRPr="007F1156">
        <w:rPr>
          <w:rFonts w:ascii="Cambria" w:hAnsi="Cambria"/>
          <w:sz w:val="16"/>
          <w:szCs w:val="16"/>
        </w:rPr>
        <w:t xml:space="preserve"> Attachment to the petitioner’s communication dated October 17, 2002.</w:t>
      </w:r>
    </w:p>
  </w:footnote>
  <w:footnote w:id="72">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p. 40.</w:t>
      </w:r>
      <w:proofErr w:type="gramEnd"/>
      <w:r w:rsidRPr="007F1156">
        <w:rPr>
          <w:rFonts w:ascii="Cambria" w:hAnsi="Cambria"/>
          <w:sz w:val="16"/>
          <w:szCs w:val="16"/>
        </w:rPr>
        <w:t xml:space="preserve"> Attachment to the petitioner’s communication dated October 17, 2002.</w:t>
      </w:r>
    </w:p>
  </w:footnote>
  <w:footnote w:id="73">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p. 41.</w:t>
      </w:r>
      <w:proofErr w:type="gramEnd"/>
      <w:r w:rsidRPr="007F1156">
        <w:rPr>
          <w:rFonts w:ascii="Cambria" w:hAnsi="Cambria"/>
          <w:sz w:val="16"/>
          <w:szCs w:val="16"/>
        </w:rPr>
        <w:t xml:space="preserve"> Attachment to the petitioner’s communication dated October 17, 2002.</w:t>
      </w:r>
    </w:p>
  </w:footnote>
  <w:footnote w:id="74">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40.</w:t>
      </w:r>
      <w:proofErr w:type="gramEnd"/>
      <w:r w:rsidRPr="007F1156">
        <w:rPr>
          <w:rFonts w:ascii="Cambria" w:hAnsi="Cambria"/>
          <w:sz w:val="16"/>
          <w:szCs w:val="16"/>
        </w:rPr>
        <w:t xml:space="preserve"> Attachment to the petitioner’s communication dated October 17, 2002.</w:t>
      </w:r>
    </w:p>
  </w:footnote>
  <w:footnote w:id="75">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40.</w:t>
      </w:r>
      <w:proofErr w:type="gramEnd"/>
      <w:r w:rsidRPr="007F1156">
        <w:rPr>
          <w:rFonts w:ascii="Cambria" w:hAnsi="Cambria"/>
          <w:sz w:val="16"/>
          <w:szCs w:val="16"/>
        </w:rPr>
        <w:t xml:space="preserve"> Attachment to the petitioner’s communication dated October 17, 2002.</w:t>
      </w:r>
    </w:p>
  </w:footnote>
  <w:footnote w:id="76">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38.</w:t>
      </w:r>
      <w:proofErr w:type="gramEnd"/>
      <w:r w:rsidRPr="007F1156">
        <w:rPr>
          <w:rFonts w:ascii="Cambria" w:hAnsi="Cambria"/>
          <w:sz w:val="16"/>
          <w:szCs w:val="16"/>
        </w:rPr>
        <w:t xml:space="preserve"> Attachment to the petitioner’s communication dated October 17, 2002.</w:t>
      </w:r>
    </w:p>
  </w:footnote>
  <w:footnote w:id="7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4.</w:t>
      </w:r>
      <w:proofErr w:type="gramEnd"/>
      <w:r w:rsidRPr="007F1156">
        <w:rPr>
          <w:rFonts w:ascii="Cambria" w:hAnsi="Cambria"/>
          <w:sz w:val="16"/>
          <w:szCs w:val="16"/>
        </w:rPr>
        <w:t xml:space="preserve"> </w:t>
      </w:r>
      <w:proofErr w:type="gramStart"/>
      <w:r w:rsidRPr="007F1156">
        <w:rPr>
          <w:rFonts w:ascii="Cambria" w:hAnsi="Cambria"/>
          <w:sz w:val="16"/>
          <w:szCs w:val="16"/>
        </w:rPr>
        <w:t>Superior Court for the Judicial District.</w:t>
      </w:r>
      <w:proofErr w:type="gramEnd"/>
      <w:r w:rsidRPr="007F1156">
        <w:rPr>
          <w:rFonts w:ascii="Cambria" w:hAnsi="Cambria"/>
          <w:sz w:val="16"/>
          <w:szCs w:val="16"/>
        </w:rPr>
        <w:t xml:space="preserve"> </w:t>
      </w:r>
      <w:proofErr w:type="gramStart"/>
      <w:r w:rsidRPr="007F1156">
        <w:rPr>
          <w:rFonts w:ascii="Cambria" w:hAnsi="Cambria"/>
          <w:sz w:val="16"/>
          <w:szCs w:val="16"/>
        </w:rPr>
        <w:t>Criminal Judgment Division.</w:t>
      </w:r>
      <w:proofErr w:type="gramEnd"/>
      <w:r w:rsidRPr="007F1156">
        <w:rPr>
          <w:rFonts w:ascii="Cambria" w:hAnsi="Cambria"/>
          <w:sz w:val="16"/>
          <w:szCs w:val="16"/>
        </w:rPr>
        <w:t xml:space="preserve"> Judgment of April 6, 2001. </w:t>
      </w:r>
      <w:proofErr w:type="gramStart"/>
      <w:r w:rsidRPr="007F1156">
        <w:rPr>
          <w:rFonts w:ascii="Cambria" w:hAnsi="Cambria"/>
          <w:sz w:val="16"/>
          <w:szCs w:val="16"/>
        </w:rPr>
        <w:t>p. 4.</w:t>
      </w:r>
      <w:proofErr w:type="gramEnd"/>
      <w:r w:rsidRPr="007F1156">
        <w:rPr>
          <w:rFonts w:ascii="Cambria" w:hAnsi="Cambria"/>
          <w:sz w:val="16"/>
          <w:szCs w:val="16"/>
        </w:rPr>
        <w:t xml:space="preserve"> Attachment to the petitioner’s communication dated October 17, 2002.</w:t>
      </w:r>
    </w:p>
  </w:footnote>
  <w:footnote w:id="78">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3.</w:t>
      </w:r>
      <w:proofErr w:type="gramEnd"/>
      <w:r w:rsidRPr="007F1156">
        <w:rPr>
          <w:rFonts w:ascii="Cambria" w:hAnsi="Cambria"/>
          <w:sz w:val="16"/>
          <w:szCs w:val="16"/>
        </w:rPr>
        <w:t xml:space="preserve"> Single Criminal Court of the Specialized Circuit. Neiva, Huila. Judgment of December 15, 2000. </w:t>
      </w:r>
      <w:proofErr w:type="gramStart"/>
      <w:r w:rsidRPr="007F1156">
        <w:rPr>
          <w:rFonts w:ascii="Cambria" w:hAnsi="Cambria"/>
          <w:sz w:val="16"/>
          <w:szCs w:val="16"/>
        </w:rPr>
        <w:t>p. 41.</w:t>
      </w:r>
      <w:proofErr w:type="gramEnd"/>
      <w:r w:rsidRPr="007F1156">
        <w:rPr>
          <w:rFonts w:ascii="Cambria" w:hAnsi="Cambria"/>
          <w:sz w:val="16"/>
          <w:szCs w:val="16"/>
        </w:rPr>
        <w:t xml:space="preserve"> Attachment to the petitioner’s communication dated October 17, 2002.</w:t>
      </w:r>
    </w:p>
  </w:footnote>
  <w:footnote w:id="7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26</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Prosecutor 101 of the National Human Rights and International Humanitarian Law Unit.</w:t>
      </w:r>
      <w:proofErr w:type="gramEnd"/>
      <w:r w:rsidRPr="007F1156">
        <w:rPr>
          <w:rFonts w:ascii="Cambria" w:hAnsi="Cambria"/>
          <w:sz w:val="16"/>
          <w:szCs w:val="16"/>
        </w:rPr>
        <w:t xml:space="preserve"> July 23, 2013. Attachment to the petitioner’s communication dated August 12, 2013.</w:t>
      </w:r>
    </w:p>
  </w:footnote>
  <w:footnote w:id="8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Case No 30689. April 1, 2009. </w:t>
      </w:r>
      <w:proofErr w:type="gramStart"/>
      <w:r w:rsidRPr="007F1156">
        <w:rPr>
          <w:rFonts w:ascii="Cambria" w:hAnsi="Cambria"/>
          <w:sz w:val="16"/>
          <w:szCs w:val="16"/>
        </w:rPr>
        <w:t>Attachment to the petitioner’s communication of May 13, 2009.</w:t>
      </w:r>
      <w:proofErr w:type="gramEnd"/>
      <w:r w:rsidRPr="007F1156">
        <w:rPr>
          <w:rFonts w:ascii="Cambria" w:hAnsi="Cambria"/>
          <w:sz w:val="16"/>
          <w:szCs w:val="16"/>
        </w:rPr>
        <w:t xml:space="preserve"> </w:t>
      </w:r>
    </w:p>
  </w:footnote>
  <w:footnote w:id="8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26</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Prosecutor 101 of the National Human Rights and International Humanitarian Law Unit.</w:t>
      </w:r>
      <w:proofErr w:type="gramEnd"/>
      <w:r w:rsidRPr="007F1156">
        <w:rPr>
          <w:rFonts w:ascii="Cambria" w:hAnsi="Cambria"/>
          <w:sz w:val="16"/>
          <w:szCs w:val="16"/>
        </w:rPr>
        <w:t xml:space="preserve"> July 23, 2013. Attachment to the petitioner’s communication dated August 12, 2013.</w:t>
      </w:r>
    </w:p>
  </w:footnote>
  <w:footnote w:id="82">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Attachment to the petitioner’s communication of August 25, 2005.</w:t>
      </w:r>
      <w:proofErr w:type="gramEnd"/>
    </w:p>
  </w:footnote>
  <w:footnote w:id="8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26</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Prosecutor 101 of the National Human Rights and International Humanitarian Law Unit.</w:t>
      </w:r>
      <w:proofErr w:type="gramEnd"/>
      <w:r w:rsidRPr="007F1156">
        <w:rPr>
          <w:rFonts w:ascii="Cambria" w:hAnsi="Cambria"/>
          <w:sz w:val="16"/>
          <w:szCs w:val="16"/>
        </w:rPr>
        <w:t xml:space="preserve"> July 23, 2013. Attachment to the petitioner’s communication dated August 12, 2013.</w:t>
      </w:r>
    </w:p>
  </w:footnote>
  <w:footnote w:id="8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Case No 30689. April 1, 2009. </w:t>
      </w:r>
      <w:proofErr w:type="gramStart"/>
      <w:r w:rsidRPr="007F1156">
        <w:rPr>
          <w:rFonts w:ascii="Cambria" w:hAnsi="Cambria"/>
          <w:sz w:val="16"/>
          <w:szCs w:val="16"/>
        </w:rPr>
        <w:t>Attachment to the petitioner’s communication of May 13, 2009.</w:t>
      </w:r>
      <w:proofErr w:type="gramEnd"/>
      <w:r w:rsidRPr="007F1156">
        <w:rPr>
          <w:rFonts w:ascii="Cambria" w:hAnsi="Cambria"/>
          <w:sz w:val="16"/>
          <w:szCs w:val="16"/>
        </w:rPr>
        <w:t xml:space="preserve"> </w:t>
      </w:r>
    </w:p>
  </w:footnote>
  <w:footnote w:id="8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Case No 30689. April 1, 2009. </w:t>
      </w:r>
      <w:proofErr w:type="gramStart"/>
      <w:r w:rsidRPr="007F1156">
        <w:rPr>
          <w:rFonts w:ascii="Cambria" w:hAnsi="Cambria"/>
          <w:sz w:val="16"/>
          <w:szCs w:val="16"/>
        </w:rPr>
        <w:t>Attachment to the petitioner’s communication of May 13, 2009.</w:t>
      </w:r>
      <w:proofErr w:type="gramEnd"/>
      <w:r w:rsidRPr="007F1156">
        <w:rPr>
          <w:rFonts w:ascii="Cambria" w:hAnsi="Cambria"/>
          <w:sz w:val="16"/>
          <w:szCs w:val="16"/>
        </w:rPr>
        <w:t xml:space="preserve"> </w:t>
      </w:r>
    </w:p>
  </w:footnote>
  <w:footnote w:id="8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Case No 30689. April 1, 2009. </w:t>
      </w:r>
      <w:proofErr w:type="gramStart"/>
      <w:r w:rsidRPr="007F1156">
        <w:rPr>
          <w:rFonts w:ascii="Cambria" w:hAnsi="Cambria"/>
          <w:sz w:val="16"/>
          <w:szCs w:val="16"/>
        </w:rPr>
        <w:t>Attachment to the petitioner’s communication of May 13, 2009.</w:t>
      </w:r>
      <w:proofErr w:type="gramEnd"/>
      <w:r w:rsidRPr="007F1156">
        <w:rPr>
          <w:rFonts w:ascii="Cambria" w:hAnsi="Cambria"/>
          <w:sz w:val="16"/>
          <w:szCs w:val="16"/>
        </w:rPr>
        <w:t xml:space="preserve"> </w:t>
      </w:r>
    </w:p>
  </w:footnote>
  <w:footnote w:id="87">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Case No 30689. April 1, 2009. </w:t>
      </w:r>
      <w:proofErr w:type="gramStart"/>
      <w:r w:rsidRPr="007F1156">
        <w:rPr>
          <w:rFonts w:ascii="Cambria" w:hAnsi="Cambria"/>
          <w:sz w:val="16"/>
          <w:szCs w:val="16"/>
        </w:rPr>
        <w:t>Attachment to the petitioner’s communication of May 13, 2009.</w:t>
      </w:r>
      <w:proofErr w:type="gramEnd"/>
    </w:p>
  </w:footnote>
  <w:footnote w:id="8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26</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Prosecutor 101 of the National Human Rights and International Humanitarian Law Unit.</w:t>
      </w:r>
      <w:proofErr w:type="gramEnd"/>
      <w:r w:rsidRPr="007F1156">
        <w:rPr>
          <w:rFonts w:ascii="Cambria" w:hAnsi="Cambria"/>
          <w:sz w:val="16"/>
          <w:szCs w:val="16"/>
        </w:rPr>
        <w:t xml:space="preserve"> July 23, 2013. Attachment to the petitioner’s communication dated August 12, 2013.</w:t>
      </w:r>
    </w:p>
  </w:footnote>
  <w:footnote w:id="8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26</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Prosecutor 101 of the National Human Rights and International Humanitarian Law Unit.</w:t>
      </w:r>
      <w:proofErr w:type="gramEnd"/>
      <w:r w:rsidRPr="007F1156">
        <w:rPr>
          <w:rFonts w:ascii="Cambria" w:hAnsi="Cambria"/>
          <w:sz w:val="16"/>
          <w:szCs w:val="16"/>
        </w:rPr>
        <w:t xml:space="preserve"> July 23, 2013. Attachment to the petitioner’s communication dated August 12, 2013.</w:t>
      </w:r>
    </w:p>
  </w:footnote>
  <w:footnote w:id="90">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28.</w:t>
      </w:r>
      <w:proofErr w:type="gramEnd"/>
      <w:r w:rsidRPr="007F1156">
        <w:rPr>
          <w:rFonts w:ascii="Cambria" w:hAnsi="Cambria"/>
          <w:i/>
          <w:sz w:val="16"/>
          <w:szCs w:val="16"/>
        </w:rPr>
        <w:t xml:space="preserve"> </w:t>
      </w:r>
      <w:proofErr w:type="gramStart"/>
      <w:r w:rsidRPr="007F1156">
        <w:rPr>
          <w:rFonts w:ascii="Cambria" w:hAnsi="Cambria"/>
          <w:sz w:val="16"/>
          <w:szCs w:val="16"/>
        </w:rPr>
        <w:t>Huila District Office of the Judicial Council.</w:t>
      </w:r>
      <w:proofErr w:type="gramEnd"/>
      <w:r w:rsidRPr="007F1156">
        <w:rPr>
          <w:rFonts w:ascii="Cambria" w:hAnsi="Cambria"/>
          <w:sz w:val="16"/>
          <w:szCs w:val="16"/>
        </w:rPr>
        <w:t xml:space="preserve"> </w:t>
      </w:r>
      <w:proofErr w:type="gramStart"/>
      <w:r w:rsidRPr="007F1156">
        <w:rPr>
          <w:rFonts w:ascii="Cambria" w:hAnsi="Cambria"/>
          <w:sz w:val="16"/>
          <w:szCs w:val="16"/>
        </w:rPr>
        <w:t>Disciplinary Chamber.</w:t>
      </w:r>
      <w:proofErr w:type="gramEnd"/>
      <w:r w:rsidRPr="007F1156">
        <w:rPr>
          <w:rFonts w:ascii="Cambria" w:hAnsi="Cambria"/>
          <w:sz w:val="16"/>
          <w:szCs w:val="16"/>
        </w:rPr>
        <w:t xml:space="preserve"> </w:t>
      </w:r>
      <w:proofErr w:type="gramStart"/>
      <w:r w:rsidRPr="007F1156">
        <w:rPr>
          <w:rFonts w:ascii="Cambria" w:hAnsi="Cambria"/>
          <w:sz w:val="16"/>
          <w:szCs w:val="16"/>
        </w:rPr>
        <w:t>File 2007-376-00.</w:t>
      </w:r>
      <w:proofErr w:type="gramEnd"/>
      <w:r w:rsidRPr="007F1156">
        <w:rPr>
          <w:rFonts w:ascii="Cambria" w:hAnsi="Cambria"/>
          <w:sz w:val="16"/>
          <w:szCs w:val="16"/>
        </w:rPr>
        <w:t xml:space="preserve"> December 7, 2007. p. 1-2. </w:t>
      </w:r>
      <w:proofErr w:type="gramStart"/>
      <w:r w:rsidRPr="007F1156">
        <w:rPr>
          <w:rFonts w:ascii="Cambria" w:hAnsi="Cambria"/>
          <w:sz w:val="16"/>
          <w:szCs w:val="16"/>
        </w:rPr>
        <w:t>Attachment to the petitioner’s communication of May 13, 2009.</w:t>
      </w:r>
      <w:proofErr w:type="gramEnd"/>
    </w:p>
  </w:footnote>
  <w:footnote w:id="91">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28.</w:t>
      </w:r>
      <w:proofErr w:type="gramEnd"/>
      <w:r w:rsidRPr="007F1156">
        <w:rPr>
          <w:rFonts w:ascii="Cambria" w:hAnsi="Cambria"/>
          <w:i/>
          <w:sz w:val="16"/>
          <w:szCs w:val="16"/>
        </w:rPr>
        <w:t xml:space="preserve"> </w:t>
      </w:r>
      <w:proofErr w:type="gramStart"/>
      <w:r w:rsidRPr="007F1156">
        <w:rPr>
          <w:rFonts w:ascii="Cambria" w:hAnsi="Cambria"/>
          <w:sz w:val="16"/>
          <w:szCs w:val="16"/>
        </w:rPr>
        <w:t>Huila District Office of the Judicial Council.</w:t>
      </w:r>
      <w:proofErr w:type="gramEnd"/>
      <w:r w:rsidRPr="007F1156">
        <w:rPr>
          <w:rFonts w:ascii="Cambria" w:hAnsi="Cambria"/>
          <w:sz w:val="16"/>
          <w:szCs w:val="16"/>
        </w:rPr>
        <w:t xml:space="preserve"> </w:t>
      </w:r>
      <w:proofErr w:type="gramStart"/>
      <w:r w:rsidRPr="007F1156">
        <w:rPr>
          <w:rFonts w:ascii="Cambria" w:hAnsi="Cambria"/>
          <w:sz w:val="16"/>
          <w:szCs w:val="16"/>
        </w:rPr>
        <w:t>Disciplinary Chamber.</w:t>
      </w:r>
      <w:proofErr w:type="gramEnd"/>
      <w:r w:rsidRPr="007F1156">
        <w:rPr>
          <w:rFonts w:ascii="Cambria" w:hAnsi="Cambria"/>
          <w:sz w:val="16"/>
          <w:szCs w:val="16"/>
        </w:rPr>
        <w:t xml:space="preserve"> </w:t>
      </w:r>
      <w:proofErr w:type="gramStart"/>
      <w:r w:rsidRPr="007F1156">
        <w:rPr>
          <w:rFonts w:ascii="Cambria" w:hAnsi="Cambria"/>
          <w:sz w:val="16"/>
          <w:szCs w:val="16"/>
        </w:rPr>
        <w:t>File 2007-376-00.</w:t>
      </w:r>
      <w:proofErr w:type="gramEnd"/>
      <w:r w:rsidRPr="007F1156">
        <w:rPr>
          <w:rFonts w:ascii="Cambria" w:hAnsi="Cambria"/>
          <w:sz w:val="16"/>
          <w:szCs w:val="16"/>
        </w:rPr>
        <w:t xml:space="preserve"> December 7, 2007. </w:t>
      </w:r>
      <w:proofErr w:type="gramStart"/>
      <w:r w:rsidRPr="007F1156">
        <w:rPr>
          <w:rFonts w:ascii="Cambria" w:hAnsi="Cambria"/>
          <w:sz w:val="16"/>
          <w:szCs w:val="16"/>
        </w:rPr>
        <w:t>p. 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May 13, 2009.</w:t>
      </w:r>
      <w:proofErr w:type="gramEnd"/>
    </w:p>
  </w:footnote>
  <w:footnote w:id="9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7</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Document from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to the National Human Rights Unit of the Office of the Prosecutor General.</w:t>
      </w:r>
      <w:proofErr w:type="gramEnd"/>
      <w:r w:rsidRPr="007F1156">
        <w:rPr>
          <w:rFonts w:ascii="Cambria" w:hAnsi="Cambria"/>
          <w:sz w:val="16"/>
          <w:szCs w:val="16"/>
        </w:rPr>
        <w:t xml:space="preserve"> Attachment A: National Human Rights Unit.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File No. 582 HRU. October 15, 1999. </w:t>
      </w:r>
      <w:proofErr w:type="gramStart"/>
      <w:r w:rsidRPr="007F1156">
        <w:rPr>
          <w:rFonts w:ascii="Cambria" w:hAnsi="Cambria"/>
          <w:sz w:val="16"/>
          <w:szCs w:val="16"/>
        </w:rPr>
        <w:t xml:space="preserve">Attachment to the petitioner’s communication of August 25, 2005; </w:t>
      </w:r>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July 29, 1999. </w:t>
      </w:r>
      <w:proofErr w:type="gramStart"/>
      <w:r w:rsidRPr="007F1156">
        <w:rPr>
          <w:rFonts w:ascii="Cambria" w:hAnsi="Cambria"/>
          <w:sz w:val="16"/>
          <w:szCs w:val="16"/>
        </w:rPr>
        <w:t>Attachment to the petitioner’s communication of August 25, 2005.</w:t>
      </w:r>
      <w:proofErr w:type="gramEnd"/>
    </w:p>
  </w:footnote>
  <w:footnote w:id="93">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5</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w:t>
      </w:r>
      <w:proofErr w:type="gramStart"/>
      <w:r w:rsidRPr="007F1156">
        <w:rPr>
          <w:rFonts w:ascii="Cambria" w:hAnsi="Cambria"/>
          <w:sz w:val="16"/>
          <w:szCs w:val="16"/>
        </w:rPr>
        <w:t>National Investigation Division.</w:t>
      </w:r>
      <w:proofErr w:type="gramEnd"/>
      <w:r w:rsidRPr="007F1156">
        <w:rPr>
          <w:rFonts w:ascii="Cambria" w:hAnsi="Cambria"/>
          <w:sz w:val="16"/>
          <w:szCs w:val="16"/>
        </w:rPr>
        <w:t xml:space="preserve"> </w:t>
      </w:r>
      <w:proofErr w:type="gramStart"/>
      <w:r w:rsidRPr="007F1156">
        <w:rPr>
          <w:rFonts w:ascii="Cambria" w:hAnsi="Cambria"/>
          <w:sz w:val="16"/>
          <w:szCs w:val="16"/>
        </w:rPr>
        <w:t>Investigation Section.</w:t>
      </w:r>
      <w:proofErr w:type="gramEnd"/>
      <w:r w:rsidRPr="007F1156">
        <w:rPr>
          <w:rFonts w:ascii="Cambria" w:hAnsi="Cambria"/>
          <w:sz w:val="16"/>
          <w:szCs w:val="16"/>
        </w:rPr>
        <w:t xml:space="preserve"> Regional Crimes Group. </w:t>
      </w:r>
      <w:proofErr w:type="gramStart"/>
      <w:r w:rsidRPr="007F1156">
        <w:rPr>
          <w:rFonts w:ascii="Cambria" w:hAnsi="Cambria"/>
          <w:sz w:val="16"/>
          <w:szCs w:val="16"/>
        </w:rPr>
        <w:t>Record of Judicial Proceeding.</w:t>
      </w:r>
      <w:proofErr w:type="gramEnd"/>
      <w:r w:rsidRPr="007F1156">
        <w:rPr>
          <w:rFonts w:ascii="Cambria" w:hAnsi="Cambria"/>
          <w:sz w:val="16"/>
          <w:szCs w:val="16"/>
        </w:rPr>
        <w:t xml:space="preserve"> File No. 33.744. Work Mission No. 1169/99. Bogotá D.C. April 27, 1999. </w:t>
      </w:r>
      <w:proofErr w:type="gramStart"/>
      <w:r w:rsidRPr="007F1156">
        <w:rPr>
          <w:rFonts w:ascii="Cambria" w:hAnsi="Cambria"/>
          <w:sz w:val="16"/>
          <w:szCs w:val="16"/>
        </w:rPr>
        <w:t>Attachment to the petitioner’s communication of August 25, 2005.</w:t>
      </w:r>
      <w:proofErr w:type="gramEnd"/>
    </w:p>
  </w:footnote>
  <w:footnote w:id="94">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6.</w:t>
      </w:r>
      <w:proofErr w:type="gramEnd"/>
      <w:r w:rsidRPr="007F1156">
        <w:rPr>
          <w:rFonts w:ascii="Cambria" w:hAnsi="Cambria"/>
          <w:i/>
          <w:sz w:val="16"/>
          <w:szCs w:val="16"/>
        </w:rPr>
        <w:t xml:space="preserve"> </w:t>
      </w:r>
      <w:proofErr w:type="gramStart"/>
      <w:r w:rsidRPr="007F1156">
        <w:rPr>
          <w:rFonts w:ascii="Cambria" w:hAnsi="Cambria"/>
          <w:sz w:val="16"/>
          <w:szCs w:val="16"/>
        </w:rPr>
        <w:t xml:space="preserve">First Notary Public of </w:t>
      </w:r>
      <w:proofErr w:type="spellStart"/>
      <w:r w:rsidRPr="007F1156">
        <w:rPr>
          <w:rFonts w:ascii="Cambria" w:hAnsi="Cambria"/>
          <w:sz w:val="16"/>
          <w:szCs w:val="16"/>
        </w:rPr>
        <w:t>Pitalito</w:t>
      </w:r>
      <w:proofErr w:type="spellEnd"/>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Department of Huila.</w:t>
      </w:r>
      <w:proofErr w:type="gramEnd"/>
      <w:r w:rsidRPr="007F1156">
        <w:rPr>
          <w:rFonts w:ascii="Cambria" w:hAnsi="Cambria"/>
          <w:sz w:val="16"/>
          <w:szCs w:val="16"/>
        </w:rPr>
        <w:t xml:space="preserve"> Certificate Number 683. September 18, 2003. Attachment to the petitioner’s communication of September 22, 2003</w:t>
      </w:r>
    </w:p>
  </w:footnote>
  <w:footnote w:id="95">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6.</w:t>
      </w:r>
      <w:proofErr w:type="gramEnd"/>
      <w:r w:rsidRPr="007F1156">
        <w:rPr>
          <w:rFonts w:ascii="Cambria" w:hAnsi="Cambria"/>
          <w:i/>
          <w:sz w:val="16"/>
          <w:szCs w:val="16"/>
        </w:rPr>
        <w:t xml:space="preserve"> </w:t>
      </w:r>
      <w:proofErr w:type="gramStart"/>
      <w:r w:rsidRPr="007F1156">
        <w:rPr>
          <w:rFonts w:ascii="Cambria" w:hAnsi="Cambria"/>
          <w:sz w:val="16"/>
          <w:szCs w:val="16"/>
        </w:rPr>
        <w:t xml:space="preserve">First Notary Public of </w:t>
      </w:r>
      <w:proofErr w:type="spellStart"/>
      <w:r w:rsidRPr="007F1156">
        <w:rPr>
          <w:rFonts w:ascii="Cambria" w:hAnsi="Cambria"/>
          <w:sz w:val="16"/>
          <w:szCs w:val="16"/>
        </w:rPr>
        <w:t>Pitalito</w:t>
      </w:r>
      <w:proofErr w:type="spellEnd"/>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Department of Huila.</w:t>
      </w:r>
      <w:proofErr w:type="gramEnd"/>
      <w:r w:rsidRPr="007F1156">
        <w:rPr>
          <w:rFonts w:ascii="Cambria" w:hAnsi="Cambria"/>
          <w:sz w:val="16"/>
          <w:szCs w:val="16"/>
        </w:rPr>
        <w:t xml:space="preserve"> Certificate Number 683. September 18, 2003. Attachment to the petitioner’s communication of September 22, 2003</w:t>
      </w:r>
    </w:p>
  </w:footnote>
  <w:footnote w:id="96">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7</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Document from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to the National Human Rights Unit of the Office of the Prosecutor General.</w:t>
      </w:r>
      <w:proofErr w:type="gramEnd"/>
      <w:r w:rsidRPr="007F1156">
        <w:rPr>
          <w:rFonts w:ascii="Cambria" w:hAnsi="Cambria"/>
          <w:sz w:val="16"/>
          <w:szCs w:val="16"/>
        </w:rPr>
        <w:t xml:space="preserve"> Attachment A: National Human Rights Unit.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File No. 582 HRU. October 15, 1999. </w:t>
      </w:r>
      <w:proofErr w:type="gramStart"/>
      <w:r w:rsidRPr="007F1156">
        <w:rPr>
          <w:rFonts w:ascii="Cambria" w:hAnsi="Cambria"/>
          <w:sz w:val="16"/>
          <w:szCs w:val="16"/>
        </w:rPr>
        <w:t>Attachment to the petitioner’s communication of August 25, 2005.</w:t>
      </w:r>
      <w:proofErr w:type="gramEnd"/>
    </w:p>
  </w:footnote>
  <w:footnote w:id="97">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7</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Document from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to the National Human Rights Unit of the Office of the Prosecutor General.</w:t>
      </w:r>
      <w:proofErr w:type="gramEnd"/>
      <w:r w:rsidRPr="007F1156">
        <w:rPr>
          <w:rFonts w:ascii="Cambria" w:hAnsi="Cambria"/>
          <w:sz w:val="16"/>
          <w:szCs w:val="16"/>
        </w:rPr>
        <w:t xml:space="preserve"> Attachment A: National Human Rights Unit.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File No. 582 HRU. October 15, 1999. </w:t>
      </w:r>
      <w:proofErr w:type="gramStart"/>
      <w:r w:rsidRPr="007F1156">
        <w:rPr>
          <w:rFonts w:ascii="Cambria" w:hAnsi="Cambria"/>
          <w:sz w:val="16"/>
          <w:szCs w:val="16"/>
        </w:rPr>
        <w:t>Attachment to the petitioner’s communication of August 25, 2005.</w:t>
      </w:r>
      <w:proofErr w:type="gramEnd"/>
    </w:p>
  </w:footnote>
  <w:footnote w:id="98">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w:t>
      </w:r>
      <w:proofErr w:type="gramStart"/>
      <w:r w:rsidRPr="007F1156">
        <w:rPr>
          <w:rFonts w:ascii="Cambria" w:hAnsi="Cambria"/>
          <w:sz w:val="16"/>
          <w:szCs w:val="16"/>
        </w:rPr>
        <w:t>July 29, 1999, p. 4, Attachment to the petitioner’s communication of August 25, 2005.</w:t>
      </w:r>
      <w:proofErr w:type="gramEnd"/>
    </w:p>
  </w:footnote>
  <w:footnote w:id="99">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7</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Document from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to the National Human Rights Unit of the Office of the Prosecutor General.</w:t>
      </w:r>
      <w:proofErr w:type="gramEnd"/>
      <w:r w:rsidRPr="007F1156">
        <w:rPr>
          <w:rFonts w:ascii="Cambria" w:hAnsi="Cambria"/>
          <w:sz w:val="16"/>
          <w:szCs w:val="16"/>
        </w:rPr>
        <w:t xml:space="preserve"> Attachment A: National Human Rights Unit.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File No. 582 HRU. October 15, 1999. </w:t>
      </w:r>
      <w:proofErr w:type="gramStart"/>
      <w:r w:rsidRPr="007F1156">
        <w:rPr>
          <w:rFonts w:ascii="Cambria" w:hAnsi="Cambria"/>
          <w:sz w:val="16"/>
          <w:szCs w:val="16"/>
        </w:rPr>
        <w:t>Attachment to the petitioner’s communication of August 25, 2005.</w:t>
      </w:r>
      <w:proofErr w:type="gramEnd"/>
    </w:p>
  </w:footnote>
  <w:footnote w:id="100">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7</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Document from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to the National Human Rights Unit of the Office of the Prosecutor General.</w:t>
      </w:r>
      <w:proofErr w:type="gramEnd"/>
      <w:r w:rsidRPr="007F1156">
        <w:rPr>
          <w:rFonts w:ascii="Cambria" w:hAnsi="Cambria"/>
          <w:sz w:val="16"/>
          <w:szCs w:val="16"/>
        </w:rPr>
        <w:t xml:space="preserve"> Attachment A: National Human Rights Unit.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of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File No. 582 HRU. October 15, 1999. </w:t>
      </w:r>
      <w:proofErr w:type="gramStart"/>
      <w:r w:rsidRPr="007F1156">
        <w:rPr>
          <w:rFonts w:ascii="Cambria" w:hAnsi="Cambria"/>
          <w:sz w:val="16"/>
          <w:szCs w:val="16"/>
        </w:rPr>
        <w:t>Attachment to the petitioner’s communication of August 25, 2005.</w:t>
      </w:r>
      <w:proofErr w:type="gramEnd"/>
    </w:p>
  </w:footnote>
  <w:footnote w:id="10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6.</w:t>
      </w:r>
      <w:proofErr w:type="gramEnd"/>
      <w:r w:rsidRPr="007F1156">
        <w:rPr>
          <w:rFonts w:ascii="Cambria" w:hAnsi="Cambria"/>
          <w:i/>
          <w:sz w:val="16"/>
          <w:szCs w:val="16"/>
        </w:rPr>
        <w:t xml:space="preserve"> </w:t>
      </w:r>
      <w:proofErr w:type="gramStart"/>
      <w:r w:rsidRPr="007F1156">
        <w:rPr>
          <w:rFonts w:ascii="Cambria" w:hAnsi="Cambria"/>
          <w:sz w:val="16"/>
          <w:szCs w:val="16"/>
        </w:rPr>
        <w:t xml:space="preserve">First Notary Public of </w:t>
      </w:r>
      <w:proofErr w:type="spellStart"/>
      <w:r w:rsidRPr="007F1156">
        <w:rPr>
          <w:rFonts w:ascii="Cambria" w:hAnsi="Cambria"/>
          <w:sz w:val="16"/>
          <w:szCs w:val="16"/>
        </w:rPr>
        <w:t>Pitalito</w:t>
      </w:r>
      <w:proofErr w:type="spellEnd"/>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Department of Huila.</w:t>
      </w:r>
      <w:proofErr w:type="gramEnd"/>
      <w:r w:rsidRPr="007F1156">
        <w:rPr>
          <w:rFonts w:ascii="Cambria" w:hAnsi="Cambria"/>
          <w:sz w:val="16"/>
          <w:szCs w:val="16"/>
        </w:rPr>
        <w:t xml:space="preserve"> Certificate Number 683. September 18, 2003. </w:t>
      </w:r>
      <w:proofErr w:type="gramStart"/>
      <w:r w:rsidRPr="007F1156">
        <w:rPr>
          <w:rFonts w:ascii="Cambria" w:hAnsi="Cambria"/>
          <w:sz w:val="16"/>
          <w:szCs w:val="16"/>
        </w:rPr>
        <w:t>Attachment to the petitioner’s communication of September 22, 2003.</w:t>
      </w:r>
      <w:proofErr w:type="gramEnd"/>
      <w:r w:rsidRPr="007F1156">
        <w:rPr>
          <w:rFonts w:ascii="Cambria" w:hAnsi="Cambria"/>
          <w:sz w:val="16"/>
          <w:szCs w:val="16"/>
        </w:rPr>
        <w:t xml:space="preserve"> </w:t>
      </w:r>
    </w:p>
  </w:footnote>
  <w:footnote w:id="10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15</w:t>
      </w:r>
      <w:r w:rsidRPr="007F1156">
        <w:rPr>
          <w:rFonts w:ascii="Cambria" w:hAnsi="Cambria"/>
          <w:sz w:val="16"/>
          <w:szCs w:val="16"/>
        </w:rPr>
        <w:t>.</w:t>
      </w:r>
      <w:proofErr w:type="gramEnd"/>
      <w:r w:rsidRPr="007F1156">
        <w:rPr>
          <w:rFonts w:ascii="Cambria" w:hAnsi="Cambria"/>
          <w:sz w:val="16"/>
          <w:szCs w:val="16"/>
        </w:rPr>
        <w:t xml:space="preserve"> Complaint filed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with the Regional Office of the Public Prosecutor regarding risks faced by witnesses. March 1, 1999. </w:t>
      </w:r>
      <w:proofErr w:type="gramStart"/>
      <w:r w:rsidRPr="007F1156">
        <w:rPr>
          <w:rFonts w:ascii="Cambria" w:hAnsi="Cambria"/>
          <w:sz w:val="16"/>
          <w:szCs w:val="16"/>
        </w:rPr>
        <w:t>Received by the Regional Prosecutor’s Office on March 3, 1999.</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103">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Regional Office of the Public Prosecutor Special Terrorism Unit.</w:t>
      </w:r>
      <w:proofErr w:type="gramEnd"/>
      <w:r w:rsidRPr="007F1156">
        <w:rPr>
          <w:rFonts w:ascii="Cambria" w:hAnsi="Cambria"/>
          <w:sz w:val="16"/>
          <w:szCs w:val="16"/>
        </w:rPr>
        <w:t xml:space="preserve"> </w:t>
      </w:r>
      <w:proofErr w:type="gramStart"/>
      <w:r w:rsidRPr="007F1156">
        <w:rPr>
          <w:rFonts w:ascii="Cambria" w:hAnsi="Cambria"/>
          <w:sz w:val="16"/>
          <w:szCs w:val="16"/>
        </w:rPr>
        <w:t>Case 33.744.</w:t>
      </w:r>
      <w:proofErr w:type="gramEnd"/>
      <w:r w:rsidRPr="007F1156">
        <w:rPr>
          <w:rFonts w:ascii="Cambria" w:hAnsi="Cambria"/>
          <w:sz w:val="16"/>
          <w:szCs w:val="16"/>
        </w:rPr>
        <w:t xml:space="preserve"> </w:t>
      </w:r>
      <w:proofErr w:type="gramStart"/>
      <w:r w:rsidRPr="007F1156">
        <w:rPr>
          <w:rFonts w:ascii="Cambria" w:hAnsi="Cambria"/>
          <w:sz w:val="16"/>
          <w:szCs w:val="16"/>
        </w:rPr>
        <w:t>COD.</w:t>
      </w:r>
      <w:proofErr w:type="gramEnd"/>
      <w:r w:rsidRPr="007F1156">
        <w:rPr>
          <w:rFonts w:ascii="Cambria" w:hAnsi="Cambria"/>
          <w:sz w:val="16"/>
          <w:szCs w:val="16"/>
        </w:rPr>
        <w:t xml:space="preserve"> </w:t>
      </w:r>
      <w:proofErr w:type="gramStart"/>
      <w:r w:rsidRPr="007F1156">
        <w:rPr>
          <w:rFonts w:ascii="Cambria" w:hAnsi="Cambria"/>
          <w:sz w:val="16"/>
          <w:szCs w:val="16"/>
        </w:rPr>
        <w:t>-210-209.</w:t>
      </w:r>
      <w:proofErr w:type="gramEnd"/>
      <w:r w:rsidRPr="007F1156">
        <w:rPr>
          <w:rFonts w:ascii="Cambria" w:hAnsi="Cambria"/>
          <w:sz w:val="16"/>
          <w:szCs w:val="16"/>
        </w:rPr>
        <w:t xml:space="preserve"> </w:t>
      </w:r>
      <w:proofErr w:type="spellStart"/>
      <w:r w:rsidRPr="007F1156">
        <w:rPr>
          <w:rFonts w:ascii="Cambria" w:hAnsi="Cambria"/>
          <w:sz w:val="16"/>
          <w:szCs w:val="16"/>
        </w:rPr>
        <w:t>Santafé</w:t>
      </w:r>
      <w:proofErr w:type="spellEnd"/>
      <w:r w:rsidRPr="007F1156">
        <w:rPr>
          <w:rFonts w:ascii="Cambria" w:hAnsi="Cambria"/>
          <w:sz w:val="16"/>
          <w:szCs w:val="16"/>
        </w:rPr>
        <w:t xml:space="preserve"> de Bogotá D.C. January 18, 1999. </w:t>
      </w:r>
      <w:proofErr w:type="gramStart"/>
      <w:r w:rsidRPr="007F1156">
        <w:rPr>
          <w:rFonts w:ascii="Cambria" w:hAnsi="Cambria"/>
          <w:sz w:val="16"/>
          <w:szCs w:val="16"/>
        </w:rPr>
        <w:t>para</w:t>
      </w:r>
      <w:proofErr w:type="gramEnd"/>
      <w:r w:rsidRPr="007F1156">
        <w:rPr>
          <w:rFonts w:ascii="Cambria" w:hAnsi="Cambria"/>
          <w:sz w:val="16"/>
          <w:szCs w:val="16"/>
        </w:rPr>
        <w:t>. 53. Attachment to the petitioner’s communication of August 25, 2005.</w:t>
      </w:r>
    </w:p>
  </w:footnote>
  <w:footnote w:id="104">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Technical Investigations Unit.</w:t>
      </w:r>
      <w:proofErr w:type="gramEnd"/>
      <w:r w:rsidRPr="007F1156">
        <w:rPr>
          <w:rFonts w:ascii="Cambria" w:hAnsi="Cambria"/>
          <w:sz w:val="16"/>
          <w:szCs w:val="16"/>
        </w:rPr>
        <w:t xml:space="preserve"> Regional Crimes Group. Supplemental Affidavit provided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 xml:space="preserve"> in Case File No. 33.744. July 29, 1999. Pp. 1-2. </w:t>
      </w:r>
      <w:proofErr w:type="gramStart"/>
      <w:r w:rsidRPr="007F1156">
        <w:rPr>
          <w:rFonts w:ascii="Cambria" w:hAnsi="Cambria"/>
          <w:sz w:val="16"/>
          <w:szCs w:val="16"/>
        </w:rPr>
        <w:t>Attachment to the petitioner’s communication of August 25, 2005.</w:t>
      </w:r>
      <w:proofErr w:type="gramEnd"/>
    </w:p>
  </w:footnote>
  <w:footnote w:id="105">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8.</w:t>
      </w:r>
      <w:proofErr w:type="gramEnd"/>
      <w:r w:rsidRPr="007F1156">
        <w:rPr>
          <w:rFonts w:ascii="Cambria" w:hAnsi="Cambria"/>
          <w:i/>
          <w:sz w:val="16"/>
          <w:szCs w:val="16"/>
        </w:rPr>
        <w:t xml:space="preserve"> </w:t>
      </w:r>
      <w:proofErr w:type="gramStart"/>
      <w:r w:rsidRPr="007F1156">
        <w:rPr>
          <w:rFonts w:ascii="Cambria" w:hAnsi="Cambria"/>
          <w:sz w:val="16"/>
          <w:szCs w:val="16"/>
        </w:rPr>
        <w:t>Office of the Prosecutor General.</w:t>
      </w:r>
      <w:proofErr w:type="gramEnd"/>
      <w:r w:rsidRPr="007F1156">
        <w:rPr>
          <w:rFonts w:ascii="Cambria" w:hAnsi="Cambria"/>
          <w:sz w:val="16"/>
          <w:szCs w:val="16"/>
        </w:rPr>
        <w:t xml:space="preserve"> </w:t>
      </w:r>
      <w:proofErr w:type="gramStart"/>
      <w:r w:rsidRPr="007F1156">
        <w:rPr>
          <w:rFonts w:ascii="Cambria" w:hAnsi="Cambria"/>
          <w:sz w:val="16"/>
          <w:szCs w:val="16"/>
        </w:rPr>
        <w:t>National Human Rights Unit.</w:t>
      </w:r>
      <w:proofErr w:type="gramEnd"/>
      <w:r w:rsidRPr="007F1156">
        <w:rPr>
          <w:rFonts w:ascii="Cambria" w:hAnsi="Cambria"/>
          <w:sz w:val="16"/>
          <w:szCs w:val="16"/>
        </w:rPr>
        <w:t xml:space="preserve"> </w:t>
      </w:r>
      <w:proofErr w:type="gramStart"/>
      <w:r w:rsidRPr="007F1156">
        <w:rPr>
          <w:rFonts w:ascii="Cambria" w:hAnsi="Cambria"/>
          <w:sz w:val="16"/>
          <w:szCs w:val="16"/>
        </w:rPr>
        <w:t xml:space="preserve">Statement given by Judith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w:t>
      </w:r>
      <w:proofErr w:type="spellEnd"/>
      <w:r w:rsidRPr="007F1156">
        <w:rPr>
          <w:rFonts w:ascii="Cambria" w:hAnsi="Cambria"/>
          <w:sz w:val="16"/>
          <w:szCs w:val="16"/>
        </w:rPr>
        <w:t>.</w:t>
      </w:r>
      <w:proofErr w:type="gramEnd"/>
      <w:r w:rsidRPr="007F1156">
        <w:rPr>
          <w:rFonts w:ascii="Cambria" w:hAnsi="Cambria"/>
          <w:sz w:val="16"/>
          <w:szCs w:val="16"/>
        </w:rPr>
        <w:t xml:space="preserve"> File No. 582 HRU. October 15, 1999. </w:t>
      </w:r>
      <w:proofErr w:type="gramStart"/>
      <w:r w:rsidRPr="007F1156">
        <w:rPr>
          <w:rFonts w:ascii="Cambria" w:hAnsi="Cambria"/>
          <w:sz w:val="16"/>
          <w:szCs w:val="16"/>
        </w:rPr>
        <w:t>Attachment to the petitioner’s communication of August 25, 2005.</w:t>
      </w:r>
      <w:proofErr w:type="gramEnd"/>
    </w:p>
  </w:footnote>
  <w:footnote w:id="10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29</w:t>
      </w:r>
      <w:r w:rsidRPr="007F1156">
        <w:rPr>
          <w:rFonts w:ascii="Cambria" w:hAnsi="Cambria"/>
          <w:sz w:val="16"/>
          <w:szCs w:val="16"/>
        </w:rPr>
        <w:t>.</w:t>
      </w:r>
      <w:proofErr w:type="gramEnd"/>
      <w:r w:rsidRPr="007F1156">
        <w:rPr>
          <w:rFonts w:ascii="Cambria" w:hAnsi="Cambria"/>
          <w:sz w:val="16"/>
          <w:szCs w:val="16"/>
        </w:rPr>
        <w:t xml:space="preserve"> Petitioner’s communication dated August 12, 2013, forwarded to the State on August 22, 2013.</w:t>
      </w:r>
    </w:p>
  </w:footnote>
  <w:footnote w:id="10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El </w:t>
      </w:r>
      <w:proofErr w:type="spellStart"/>
      <w:r w:rsidRPr="007F1156">
        <w:rPr>
          <w:rFonts w:ascii="Cambria" w:hAnsi="Cambria"/>
          <w:sz w:val="16"/>
          <w:szCs w:val="16"/>
        </w:rPr>
        <w:t>Tiempo</w:t>
      </w:r>
      <w:proofErr w:type="spellEnd"/>
      <w:r w:rsidRPr="007F1156">
        <w:rPr>
          <w:rFonts w:ascii="Cambria" w:hAnsi="Cambria"/>
          <w:sz w:val="16"/>
          <w:szCs w:val="16"/>
        </w:rPr>
        <w:t xml:space="preserve">. May 5, 2007. </w:t>
      </w:r>
      <w:hyperlink r:id="rId3" w:history="1">
        <w:proofErr w:type="spellStart"/>
        <w:proofErr w:type="gramStart"/>
        <w:r w:rsidRPr="007F1156">
          <w:rPr>
            <w:rStyle w:val="Hyperlink"/>
            <w:rFonts w:ascii="Cambria" w:hAnsi="Cambria"/>
            <w:sz w:val="16"/>
            <w:szCs w:val="16"/>
          </w:rPr>
          <w:t>Asesinan</w:t>
        </w:r>
        <w:proofErr w:type="spellEnd"/>
        <w:r w:rsidRPr="007F1156">
          <w:rPr>
            <w:rStyle w:val="Hyperlink"/>
            <w:rFonts w:ascii="Cambria" w:hAnsi="Cambria"/>
            <w:sz w:val="16"/>
            <w:szCs w:val="16"/>
          </w:rPr>
          <w:t xml:space="preserve"> a </w:t>
        </w:r>
        <w:proofErr w:type="spellStart"/>
        <w:r w:rsidRPr="007F1156">
          <w:rPr>
            <w:rStyle w:val="Hyperlink"/>
            <w:rFonts w:ascii="Cambria" w:hAnsi="Cambria"/>
            <w:sz w:val="16"/>
            <w:szCs w:val="16"/>
          </w:rPr>
          <w:t>testigo</w:t>
        </w:r>
        <w:proofErr w:type="spellEnd"/>
        <w:r w:rsidRPr="007F1156">
          <w:rPr>
            <w:rStyle w:val="Hyperlink"/>
            <w:rFonts w:ascii="Cambria" w:hAnsi="Cambria"/>
            <w:sz w:val="16"/>
            <w:szCs w:val="16"/>
          </w:rPr>
          <w:t xml:space="preserve"> </w:t>
        </w:r>
        <w:proofErr w:type="spellStart"/>
        <w:r w:rsidRPr="007F1156">
          <w:rPr>
            <w:rStyle w:val="Hyperlink"/>
            <w:rFonts w:ascii="Cambria" w:hAnsi="Cambria"/>
            <w:sz w:val="16"/>
            <w:szCs w:val="16"/>
          </w:rPr>
          <w:t>en</w:t>
        </w:r>
        <w:proofErr w:type="spellEnd"/>
        <w:r w:rsidRPr="007F1156">
          <w:rPr>
            <w:rStyle w:val="Hyperlink"/>
            <w:rFonts w:ascii="Cambria" w:hAnsi="Cambria"/>
            <w:sz w:val="16"/>
            <w:szCs w:val="16"/>
          </w:rPr>
          <w:t xml:space="preserve"> </w:t>
        </w:r>
        <w:proofErr w:type="spellStart"/>
        <w:r w:rsidRPr="007F1156">
          <w:rPr>
            <w:rStyle w:val="Hyperlink"/>
            <w:rFonts w:ascii="Cambria" w:hAnsi="Cambria"/>
            <w:sz w:val="16"/>
            <w:szCs w:val="16"/>
          </w:rPr>
          <w:t>procesos</w:t>
        </w:r>
        <w:proofErr w:type="spellEnd"/>
        <w:r w:rsidRPr="007F1156">
          <w:rPr>
            <w:rStyle w:val="Hyperlink"/>
            <w:rFonts w:ascii="Cambria" w:hAnsi="Cambria"/>
            <w:sz w:val="16"/>
            <w:szCs w:val="16"/>
          </w:rPr>
          <w:t xml:space="preserve"> </w:t>
        </w:r>
        <w:proofErr w:type="spellStart"/>
        <w:r w:rsidRPr="007F1156">
          <w:rPr>
            <w:rStyle w:val="Hyperlink"/>
            <w:rFonts w:ascii="Cambria" w:hAnsi="Cambria"/>
            <w:sz w:val="16"/>
            <w:szCs w:val="16"/>
          </w:rPr>
          <w:t>judiciales</w:t>
        </w:r>
        <w:proofErr w:type="spellEnd"/>
      </w:hyperlink>
      <w:r w:rsidRPr="007F1156">
        <w:rPr>
          <w:rFonts w:ascii="Cambria" w:hAnsi="Cambria"/>
          <w:sz w:val="16"/>
          <w:szCs w:val="16"/>
        </w:rPr>
        <w:t>; Petitioner’s communication of May 13, 2009, forwarded to the Colombian State on May 14, 2009.</w:t>
      </w:r>
      <w:proofErr w:type="gramEnd"/>
    </w:p>
  </w:footnote>
  <w:footnote w:id="10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27.</w:t>
      </w:r>
      <w:proofErr w:type="gramEnd"/>
      <w:r w:rsidRPr="007F1156">
        <w:rPr>
          <w:rFonts w:ascii="Cambria" w:hAnsi="Cambria"/>
          <w:sz w:val="16"/>
          <w:szCs w:val="16"/>
        </w:rPr>
        <w:t xml:space="preserve"> </w:t>
      </w:r>
      <w:proofErr w:type="gramStart"/>
      <w:r w:rsidRPr="007F1156">
        <w:rPr>
          <w:rFonts w:ascii="Cambria" w:hAnsi="Cambria"/>
          <w:sz w:val="16"/>
          <w:szCs w:val="16"/>
        </w:rPr>
        <w:t>Supreme Court of Justice.</w:t>
      </w:r>
      <w:proofErr w:type="gramEnd"/>
      <w:r w:rsidRPr="007F1156">
        <w:rPr>
          <w:rFonts w:ascii="Cambria" w:hAnsi="Cambria"/>
          <w:sz w:val="16"/>
          <w:szCs w:val="16"/>
        </w:rPr>
        <w:t xml:space="preserve"> </w:t>
      </w:r>
      <w:proofErr w:type="gramStart"/>
      <w:r w:rsidRPr="007F1156">
        <w:rPr>
          <w:rFonts w:ascii="Cambria" w:hAnsi="Cambria"/>
          <w:sz w:val="16"/>
          <w:szCs w:val="16"/>
        </w:rPr>
        <w:t>Criminal Cassation Division.</w:t>
      </w:r>
      <w:proofErr w:type="gramEnd"/>
      <w:r w:rsidRPr="007F1156">
        <w:rPr>
          <w:rFonts w:ascii="Cambria" w:hAnsi="Cambria"/>
          <w:sz w:val="16"/>
          <w:szCs w:val="16"/>
        </w:rPr>
        <w:t xml:space="preserve"> Case No 30689. April 1, 2009. </w:t>
      </w:r>
      <w:proofErr w:type="gramStart"/>
      <w:r w:rsidRPr="007F1156">
        <w:rPr>
          <w:rFonts w:ascii="Cambria" w:hAnsi="Cambria"/>
          <w:sz w:val="16"/>
          <w:szCs w:val="16"/>
        </w:rPr>
        <w:t>Attachment to the petitioner’s communication of May 13, 2009.</w:t>
      </w:r>
      <w:proofErr w:type="gramEnd"/>
      <w:r w:rsidRPr="007F1156">
        <w:rPr>
          <w:rFonts w:ascii="Cambria" w:hAnsi="Cambria"/>
          <w:sz w:val="16"/>
          <w:szCs w:val="16"/>
        </w:rPr>
        <w:t xml:space="preserve"> </w:t>
      </w:r>
    </w:p>
  </w:footnote>
  <w:footnote w:id="10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Communication of the petitioner dated May 13, 2009. </w:t>
      </w:r>
    </w:p>
  </w:footnote>
  <w:footnote w:id="11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4" w:history="1">
        <w:r w:rsidRPr="007F1156">
          <w:rPr>
            <w:rStyle w:val="Hyperlink"/>
            <w:rFonts w:ascii="Cambria" w:hAnsi="Cambria"/>
            <w:sz w:val="16"/>
            <w:szCs w:val="16"/>
          </w:rPr>
          <w:t xml:space="preserve">Impunity, Self-Censorship and Armed Internal </w:t>
        </w:r>
        <w:proofErr w:type="gramStart"/>
        <w:r w:rsidRPr="007F1156">
          <w:rPr>
            <w:rStyle w:val="Hyperlink"/>
            <w:rFonts w:ascii="Cambria" w:hAnsi="Cambria"/>
            <w:sz w:val="16"/>
            <w:szCs w:val="16"/>
          </w:rPr>
          <w:t>Conflict :</w:t>
        </w:r>
        <w:proofErr w:type="gramEnd"/>
        <w:r w:rsidRPr="007F1156">
          <w:rPr>
            <w:rStyle w:val="Hyperlink"/>
            <w:rFonts w:ascii="Cambria" w:hAnsi="Cambria"/>
            <w:sz w:val="16"/>
            <w:szCs w:val="16"/>
          </w:rPr>
          <w:t xml:space="preserve"> An Analysis of the State of Freedom of Expression in Colombia</w:t>
        </w:r>
      </w:hyperlink>
      <w:r w:rsidRPr="007F1156">
        <w:rPr>
          <w:rFonts w:ascii="Cambria" w:hAnsi="Cambria"/>
          <w:i/>
          <w:sz w:val="16"/>
          <w:szCs w:val="16"/>
        </w:rPr>
        <w:t xml:space="preserve">. </w:t>
      </w:r>
      <w:r w:rsidRPr="007F1156">
        <w:rPr>
          <w:rFonts w:ascii="Cambria" w:hAnsi="Cambria"/>
          <w:sz w:val="16"/>
          <w:szCs w:val="16"/>
        </w:rPr>
        <w:t>OEA/</w:t>
      </w:r>
      <w:proofErr w:type="spellStart"/>
      <w:r w:rsidRPr="007F1156">
        <w:rPr>
          <w:rFonts w:ascii="Cambria" w:hAnsi="Cambria"/>
          <w:sz w:val="16"/>
          <w:szCs w:val="16"/>
        </w:rPr>
        <w:t>Ser.L</w:t>
      </w:r>
      <w:proofErr w:type="spellEnd"/>
      <w:r w:rsidRPr="007F1156">
        <w:rPr>
          <w:rFonts w:ascii="Cambria" w:hAnsi="Cambria"/>
          <w:sz w:val="16"/>
          <w:szCs w:val="16"/>
        </w:rPr>
        <w:t xml:space="preserve">/V/II Doc.51, August 25, 2005. </w:t>
      </w:r>
      <w:proofErr w:type="gramStart"/>
      <w:r w:rsidRPr="007F1156">
        <w:rPr>
          <w:rFonts w:ascii="Cambria" w:hAnsi="Cambria"/>
          <w:sz w:val="16"/>
          <w:szCs w:val="16"/>
        </w:rPr>
        <w:t>Para.</w:t>
      </w:r>
      <w:proofErr w:type="gramEnd"/>
      <w:r w:rsidRPr="007F1156">
        <w:rPr>
          <w:rFonts w:ascii="Cambria" w:hAnsi="Cambria"/>
          <w:sz w:val="16"/>
          <w:szCs w:val="16"/>
        </w:rPr>
        <w:t xml:space="preserve"> 5.</w:t>
      </w:r>
    </w:p>
  </w:footnote>
  <w:footnote w:id="11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5" w:history="1">
        <w:r w:rsidRPr="007F1156">
          <w:rPr>
            <w:rStyle w:val="Hyperlink"/>
            <w:rFonts w:ascii="Cambria" w:hAnsi="Cambria"/>
            <w:sz w:val="16"/>
            <w:szCs w:val="16"/>
          </w:rPr>
          <w:t xml:space="preserve">Impunity, Self-Censorship and Armed Internal </w:t>
        </w:r>
        <w:proofErr w:type="gramStart"/>
        <w:r w:rsidRPr="007F1156">
          <w:rPr>
            <w:rStyle w:val="Hyperlink"/>
            <w:rFonts w:ascii="Cambria" w:hAnsi="Cambria"/>
            <w:sz w:val="16"/>
            <w:szCs w:val="16"/>
          </w:rPr>
          <w:t>Conflict :</w:t>
        </w:r>
        <w:proofErr w:type="gramEnd"/>
        <w:r w:rsidRPr="007F1156">
          <w:rPr>
            <w:rStyle w:val="Hyperlink"/>
            <w:rFonts w:ascii="Cambria" w:hAnsi="Cambria"/>
            <w:sz w:val="16"/>
            <w:szCs w:val="16"/>
          </w:rPr>
          <w:t xml:space="preserve"> An Analysis of the State of Freedom of Expression in Colombia</w:t>
        </w:r>
      </w:hyperlink>
      <w:r w:rsidRPr="007F1156">
        <w:rPr>
          <w:rFonts w:ascii="Cambria" w:hAnsi="Cambria"/>
          <w:i/>
          <w:sz w:val="16"/>
          <w:szCs w:val="16"/>
        </w:rPr>
        <w:t xml:space="preserve">. </w:t>
      </w:r>
      <w:r w:rsidRPr="007F1156">
        <w:rPr>
          <w:rFonts w:ascii="Cambria" w:hAnsi="Cambria"/>
          <w:sz w:val="16"/>
          <w:szCs w:val="16"/>
        </w:rPr>
        <w:t>OEA/</w:t>
      </w:r>
      <w:proofErr w:type="spellStart"/>
      <w:r w:rsidRPr="007F1156">
        <w:rPr>
          <w:rFonts w:ascii="Cambria" w:hAnsi="Cambria"/>
          <w:sz w:val="16"/>
          <w:szCs w:val="16"/>
        </w:rPr>
        <w:t>Ser.L</w:t>
      </w:r>
      <w:proofErr w:type="spellEnd"/>
      <w:r w:rsidRPr="007F1156">
        <w:rPr>
          <w:rFonts w:ascii="Cambria" w:hAnsi="Cambria"/>
          <w:sz w:val="16"/>
          <w:szCs w:val="16"/>
        </w:rPr>
        <w:t xml:space="preserve">/V/II Doc.51, August 25, 2005. </w:t>
      </w:r>
      <w:proofErr w:type="gramStart"/>
      <w:r w:rsidRPr="007F1156">
        <w:rPr>
          <w:rFonts w:ascii="Cambria" w:hAnsi="Cambria"/>
          <w:sz w:val="16"/>
          <w:szCs w:val="16"/>
        </w:rPr>
        <w:t>Para.</w:t>
      </w:r>
      <w:proofErr w:type="gramEnd"/>
      <w:r w:rsidRPr="007F1156">
        <w:rPr>
          <w:rFonts w:ascii="Cambria" w:hAnsi="Cambria"/>
          <w:sz w:val="16"/>
          <w:szCs w:val="16"/>
        </w:rPr>
        <w:t xml:space="preserve"> 42.</w:t>
      </w:r>
    </w:p>
  </w:footnote>
  <w:footnote w:id="112">
    <w:p w:rsidR="00F8558A" w:rsidRPr="007F1156" w:rsidRDefault="00F8558A" w:rsidP="007F1156">
      <w:pPr>
        <w:pStyle w:val="FootnoteText"/>
        <w:tabs>
          <w:tab w:val="left" w:pos="72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6" w:history="1">
        <w:r w:rsidRPr="007F1156">
          <w:rPr>
            <w:rStyle w:val="Hyperlink"/>
            <w:rFonts w:ascii="Cambria" w:hAnsi="Cambria"/>
            <w:sz w:val="16"/>
            <w:szCs w:val="16"/>
          </w:rPr>
          <w:t xml:space="preserve">Impunity, Self-Censorship and Armed Internal </w:t>
        </w:r>
        <w:proofErr w:type="gramStart"/>
        <w:r w:rsidRPr="007F1156">
          <w:rPr>
            <w:rStyle w:val="Hyperlink"/>
            <w:rFonts w:ascii="Cambria" w:hAnsi="Cambria"/>
            <w:sz w:val="16"/>
            <w:szCs w:val="16"/>
          </w:rPr>
          <w:t>Conflict :</w:t>
        </w:r>
        <w:proofErr w:type="gramEnd"/>
        <w:r w:rsidRPr="007F1156">
          <w:rPr>
            <w:rStyle w:val="Hyperlink"/>
            <w:rFonts w:ascii="Cambria" w:hAnsi="Cambria"/>
            <w:sz w:val="16"/>
            <w:szCs w:val="16"/>
          </w:rPr>
          <w:t xml:space="preserve"> An Analysis of the State of Freedom of Expression in Colombia</w:t>
        </w:r>
      </w:hyperlink>
      <w:r w:rsidRPr="007F1156">
        <w:rPr>
          <w:rFonts w:ascii="Cambria" w:hAnsi="Cambria"/>
          <w:i/>
          <w:sz w:val="16"/>
          <w:szCs w:val="16"/>
        </w:rPr>
        <w:t xml:space="preserve">. </w:t>
      </w:r>
      <w:r w:rsidRPr="007F1156">
        <w:rPr>
          <w:rFonts w:ascii="Cambria" w:hAnsi="Cambria"/>
          <w:sz w:val="16"/>
          <w:szCs w:val="16"/>
        </w:rPr>
        <w:t>OEA/</w:t>
      </w:r>
      <w:proofErr w:type="spellStart"/>
      <w:r w:rsidRPr="007F1156">
        <w:rPr>
          <w:rFonts w:ascii="Cambria" w:hAnsi="Cambria"/>
          <w:sz w:val="16"/>
          <w:szCs w:val="16"/>
        </w:rPr>
        <w:t>Ser.L</w:t>
      </w:r>
      <w:proofErr w:type="spellEnd"/>
      <w:r w:rsidRPr="007F1156">
        <w:rPr>
          <w:rFonts w:ascii="Cambria" w:hAnsi="Cambria"/>
          <w:sz w:val="16"/>
          <w:szCs w:val="16"/>
        </w:rPr>
        <w:t xml:space="preserve">/V/II Doc.51, August 25, 2005. </w:t>
      </w:r>
      <w:proofErr w:type="gramStart"/>
      <w:r w:rsidRPr="007F1156">
        <w:rPr>
          <w:rFonts w:ascii="Cambria" w:hAnsi="Cambria"/>
          <w:sz w:val="16"/>
          <w:szCs w:val="16"/>
        </w:rPr>
        <w:t>Para.</w:t>
      </w:r>
      <w:proofErr w:type="gramEnd"/>
      <w:r w:rsidRPr="007F1156">
        <w:rPr>
          <w:rFonts w:ascii="Cambria" w:hAnsi="Cambria"/>
          <w:sz w:val="16"/>
          <w:szCs w:val="16"/>
        </w:rPr>
        <w:t xml:space="preserve"> 53. </w:t>
      </w:r>
    </w:p>
  </w:footnote>
  <w:footnote w:id="11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7" w:history="1">
        <w:r w:rsidRPr="007F1156">
          <w:rPr>
            <w:rStyle w:val="Hyperlink"/>
            <w:rFonts w:ascii="Cambria" w:hAnsi="Cambria"/>
            <w:sz w:val="16"/>
            <w:szCs w:val="16"/>
          </w:rPr>
          <w:t xml:space="preserve">Impunity, Self-Censorship and Armed Internal </w:t>
        </w:r>
        <w:proofErr w:type="gramStart"/>
        <w:r w:rsidRPr="007F1156">
          <w:rPr>
            <w:rStyle w:val="Hyperlink"/>
            <w:rFonts w:ascii="Cambria" w:hAnsi="Cambria"/>
            <w:sz w:val="16"/>
            <w:szCs w:val="16"/>
          </w:rPr>
          <w:t>Conflict :</w:t>
        </w:r>
        <w:proofErr w:type="gramEnd"/>
        <w:r w:rsidRPr="007F1156">
          <w:rPr>
            <w:rStyle w:val="Hyperlink"/>
            <w:rFonts w:ascii="Cambria" w:hAnsi="Cambria"/>
            <w:sz w:val="16"/>
            <w:szCs w:val="16"/>
          </w:rPr>
          <w:t xml:space="preserve"> An Analysis of the State of Freedom of Expression in Colombia</w:t>
        </w:r>
      </w:hyperlink>
      <w:r w:rsidRPr="007F1156">
        <w:rPr>
          <w:rFonts w:ascii="Cambria" w:hAnsi="Cambria"/>
          <w:i/>
          <w:sz w:val="16"/>
          <w:szCs w:val="16"/>
        </w:rPr>
        <w:t xml:space="preserve">. </w:t>
      </w:r>
      <w:r w:rsidRPr="007F1156">
        <w:rPr>
          <w:rFonts w:ascii="Cambria" w:hAnsi="Cambria"/>
          <w:sz w:val="16"/>
          <w:szCs w:val="16"/>
        </w:rPr>
        <w:t>OEA/</w:t>
      </w:r>
      <w:proofErr w:type="spellStart"/>
      <w:r w:rsidRPr="007F1156">
        <w:rPr>
          <w:rFonts w:ascii="Cambria" w:hAnsi="Cambria"/>
          <w:sz w:val="16"/>
          <w:szCs w:val="16"/>
        </w:rPr>
        <w:t>Ser.L</w:t>
      </w:r>
      <w:proofErr w:type="spellEnd"/>
      <w:r w:rsidRPr="007F1156">
        <w:rPr>
          <w:rFonts w:ascii="Cambria" w:hAnsi="Cambria"/>
          <w:sz w:val="16"/>
          <w:szCs w:val="16"/>
        </w:rPr>
        <w:t xml:space="preserve">/V/II Doc.51, August 25, 2005. </w:t>
      </w:r>
      <w:proofErr w:type="gramStart"/>
      <w:r w:rsidRPr="007F1156">
        <w:rPr>
          <w:rFonts w:ascii="Cambria" w:hAnsi="Cambria"/>
          <w:sz w:val="16"/>
          <w:szCs w:val="16"/>
        </w:rPr>
        <w:t>Para.</w:t>
      </w:r>
      <w:proofErr w:type="gramEnd"/>
      <w:r w:rsidRPr="007F1156">
        <w:rPr>
          <w:rFonts w:ascii="Cambria" w:hAnsi="Cambria"/>
          <w:sz w:val="16"/>
          <w:szCs w:val="16"/>
        </w:rPr>
        <w:t xml:space="preserve"> 78. </w:t>
      </w:r>
    </w:p>
  </w:footnote>
  <w:footnote w:id="114">
    <w:p w:rsidR="00F8558A" w:rsidRPr="007F1156" w:rsidRDefault="00F8558A" w:rsidP="007F1156">
      <w:pPr>
        <w:pStyle w:val="ListParagraph"/>
        <w:shd w:val="clear" w:color="auto" w:fill="FFFFFF"/>
        <w:tabs>
          <w:tab w:val="left" w:pos="810"/>
        </w:tabs>
        <w:spacing w:after="120"/>
        <w:ind w:left="0" w:firstLine="720"/>
        <w:jc w:val="both"/>
        <w:rPr>
          <w:sz w:val="16"/>
          <w:szCs w:val="16"/>
        </w:rPr>
      </w:pPr>
      <w:r w:rsidRPr="007F1156">
        <w:rPr>
          <w:rStyle w:val="FootnoteReference"/>
          <w:sz w:val="16"/>
          <w:szCs w:val="16"/>
        </w:rPr>
        <w:footnoteRef/>
      </w:r>
      <w:r w:rsidRPr="007F1156">
        <w:rPr>
          <w:sz w:val="16"/>
          <w:szCs w:val="16"/>
        </w:rPr>
        <w:t xml:space="preserve"> Article 4 of the Convention establishes that “</w:t>
      </w:r>
      <w:r w:rsidRPr="007F1156">
        <w:rPr>
          <w:rFonts w:cs="Tahoma"/>
          <w:sz w:val="16"/>
          <w:szCs w:val="16"/>
          <w:lang w:eastAsia="x-none"/>
        </w:rPr>
        <w:t>Every person has the right to have his life respected. This right shall be protected by law and, in general, from the moment of conception. No one shall be arbitrarily deprived of his life</w:t>
      </w:r>
      <w:proofErr w:type="gramStart"/>
      <w:r w:rsidRPr="007F1156">
        <w:rPr>
          <w:rFonts w:cs="Tahoma"/>
          <w:sz w:val="16"/>
          <w:szCs w:val="16"/>
          <w:lang w:eastAsia="x-none"/>
        </w:rPr>
        <w:t>.</w:t>
      </w:r>
      <w:r w:rsidRPr="007F1156">
        <w:rPr>
          <w:rFonts w:cs="Tahoma"/>
          <w:sz w:val="16"/>
          <w:szCs w:val="16"/>
        </w:rPr>
        <w:t>[</w:t>
      </w:r>
      <w:proofErr w:type="gramEnd"/>
      <w:r w:rsidRPr="007F1156">
        <w:rPr>
          <w:rFonts w:cs="Tahoma"/>
          <w:sz w:val="16"/>
          <w:szCs w:val="16"/>
        </w:rPr>
        <w:t>…]”</w:t>
      </w:r>
    </w:p>
  </w:footnote>
  <w:footnote w:id="11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r w:rsidRPr="007F1156">
        <w:rPr>
          <w:rFonts w:ascii="Cambria" w:hAnsi="Cambria" w:cs="Tahoma"/>
          <w:sz w:val="16"/>
          <w:szCs w:val="16"/>
        </w:rPr>
        <w:t>Article 13(1) of the American Convention provides that “Everyone has the right to freedom of thought and expression. This right includes freedom to seek, receive, and impart information and ideas of all kinds, regardless of frontiers, either orally, in writing, in print, in the form of art, or through any other medium of one's choice.”</w:t>
      </w:r>
    </w:p>
  </w:footnote>
  <w:footnote w:id="116">
    <w:p w:rsidR="00F8558A" w:rsidRPr="007F1156" w:rsidRDefault="00F8558A" w:rsidP="007F1156">
      <w:pPr>
        <w:shd w:val="clear" w:color="auto" w:fill="FFFFFF"/>
        <w:tabs>
          <w:tab w:val="left" w:pos="81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r w:rsidRPr="007F1156">
        <w:rPr>
          <w:rFonts w:ascii="Cambria" w:hAnsi="Cambria" w:cs="Arial"/>
          <w:sz w:val="16"/>
          <w:szCs w:val="16"/>
        </w:rPr>
        <w:t>Article 8(1) of the American Convention states that “</w:t>
      </w:r>
      <w:r w:rsidRPr="007F1156">
        <w:rPr>
          <w:rFonts w:ascii="Cambria" w:eastAsia="Calibri" w:hAnsi="Cambria" w:cs="Arial"/>
          <w:sz w:val="16"/>
          <w:szCs w:val="16"/>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11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r w:rsidRPr="007F1156">
        <w:rPr>
          <w:rFonts w:ascii="Cambria" w:hAnsi="Cambria" w:cs="Arial"/>
          <w:sz w:val="16"/>
          <w:szCs w:val="16"/>
        </w:rPr>
        <w:t>Article 25(1) of the Convention establishes that “Everyone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p>
  </w:footnote>
  <w:footnote w:id="11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Article 1(1) of the Convention states that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1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 xml:space="preserve">194; </w:t>
      </w:r>
      <w:r w:rsidRPr="007F1156">
        <w:rPr>
          <w:rFonts w:ascii="Cambria" w:hAnsi="Cambria"/>
          <w:bCs/>
          <w:sz w:val="16"/>
          <w:szCs w:val="16"/>
        </w:rPr>
        <w:t>IACHR.</w:t>
      </w:r>
      <w:proofErr w:type="gramEnd"/>
      <w:r w:rsidRPr="007F1156">
        <w:rPr>
          <w:rFonts w:ascii="Cambria" w:hAnsi="Cambria"/>
          <w:bCs/>
          <w:sz w:val="16"/>
          <w:szCs w:val="16"/>
        </w:rPr>
        <w:t xml:space="preserve"> Report</w:t>
      </w:r>
      <w:r w:rsidRPr="007F1156">
        <w:rPr>
          <w:rFonts w:ascii="Cambria" w:hAnsi="Cambria"/>
          <w:sz w:val="16"/>
          <w:szCs w:val="16"/>
        </w:rPr>
        <w:t xml:space="preserve"> No. 136/10. </w:t>
      </w:r>
      <w:proofErr w:type="gramStart"/>
      <w:r w:rsidRPr="007F1156">
        <w:rPr>
          <w:rFonts w:ascii="Cambria" w:hAnsi="Cambria"/>
          <w:sz w:val="16"/>
          <w:szCs w:val="16"/>
        </w:rPr>
        <w:t>Case 12.658.</w:t>
      </w:r>
      <w:proofErr w:type="gramEnd"/>
      <w:r w:rsidRPr="007F1156">
        <w:rPr>
          <w:rFonts w:ascii="Cambria" w:hAnsi="Cambria"/>
          <w:sz w:val="16"/>
          <w:szCs w:val="16"/>
        </w:rPr>
        <w:t xml:space="preserve"> </w:t>
      </w:r>
      <w:proofErr w:type="gramStart"/>
      <w:r w:rsidRPr="007F1156">
        <w:rPr>
          <w:rFonts w:ascii="Cambria" w:hAnsi="Cambria"/>
          <w:sz w:val="16"/>
          <w:szCs w:val="16"/>
        </w:rPr>
        <w:t xml:space="preserve">Luis Gonzalo “Richard” </w:t>
      </w:r>
      <w:proofErr w:type="spellStart"/>
      <w:r w:rsidRPr="007F1156">
        <w:rPr>
          <w:rFonts w:ascii="Cambria" w:hAnsi="Cambria"/>
          <w:sz w:val="16"/>
          <w:szCs w:val="16"/>
        </w:rPr>
        <w:t>Vélez</w:t>
      </w:r>
      <w:proofErr w:type="spellEnd"/>
      <w:r w:rsidRPr="007F1156">
        <w:rPr>
          <w:rFonts w:ascii="Cambria" w:hAnsi="Cambria"/>
          <w:sz w:val="16"/>
          <w:szCs w:val="16"/>
        </w:rPr>
        <w:t xml:space="preserve"> </w:t>
      </w:r>
      <w:proofErr w:type="spellStart"/>
      <w:r w:rsidRPr="007F1156">
        <w:rPr>
          <w:rFonts w:ascii="Cambria" w:hAnsi="Cambria"/>
          <w:sz w:val="16"/>
          <w:szCs w:val="16"/>
        </w:rPr>
        <w:t>Restrepo</w:t>
      </w:r>
      <w:proofErr w:type="spellEnd"/>
      <w:r w:rsidRPr="007F1156">
        <w:rPr>
          <w:rFonts w:ascii="Cambria" w:hAnsi="Cambria"/>
          <w:sz w:val="16"/>
          <w:szCs w:val="16"/>
        </w:rPr>
        <w:t xml:space="preserve"> and Family (Colombia).</w:t>
      </w:r>
      <w:proofErr w:type="gramEnd"/>
      <w:r w:rsidRPr="007F1156">
        <w:rPr>
          <w:rFonts w:ascii="Cambria" w:hAnsi="Cambria"/>
          <w:sz w:val="16"/>
          <w:szCs w:val="16"/>
        </w:rPr>
        <w:t xml:space="preserve"> October 23, 2010.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136; IACHR.</w:t>
      </w:r>
      <w:proofErr w:type="gramEnd"/>
      <w:r w:rsidRPr="007F1156">
        <w:rPr>
          <w:rFonts w:ascii="Cambria" w:hAnsi="Cambria"/>
          <w:sz w:val="16"/>
          <w:szCs w:val="16"/>
        </w:rPr>
        <w:t xml:space="preserve"> Report No. 50/99. </w:t>
      </w:r>
      <w:proofErr w:type="gramStart"/>
      <w:r w:rsidRPr="007F1156">
        <w:rPr>
          <w:rFonts w:ascii="Cambria" w:hAnsi="Cambria"/>
          <w:sz w:val="16"/>
          <w:szCs w:val="16"/>
        </w:rPr>
        <w:t>Case 11.739.</w:t>
      </w:r>
      <w:proofErr w:type="gramEnd"/>
      <w:r w:rsidRPr="007F1156">
        <w:rPr>
          <w:rFonts w:ascii="Cambria" w:hAnsi="Cambria"/>
          <w:sz w:val="16"/>
          <w:szCs w:val="16"/>
        </w:rPr>
        <w:t xml:space="preserve"> </w:t>
      </w:r>
      <w:proofErr w:type="spellStart"/>
      <w:r w:rsidRPr="007F1156">
        <w:rPr>
          <w:rFonts w:ascii="Cambria" w:hAnsi="Cambria"/>
          <w:sz w:val="16"/>
          <w:szCs w:val="16"/>
        </w:rPr>
        <w:t>Héctor</w:t>
      </w:r>
      <w:proofErr w:type="spellEnd"/>
      <w:r w:rsidRPr="007F1156">
        <w:rPr>
          <w:rFonts w:ascii="Cambria" w:hAnsi="Cambria"/>
          <w:sz w:val="16"/>
          <w:szCs w:val="16"/>
        </w:rPr>
        <w:t xml:space="preserve"> Félix Miranda (Mexico). April 13, 1999.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52; IACHR.</w:t>
      </w:r>
      <w:proofErr w:type="gramEnd"/>
      <w:r w:rsidRPr="007F1156">
        <w:rPr>
          <w:rFonts w:ascii="Cambria" w:hAnsi="Cambria"/>
          <w:sz w:val="16"/>
          <w:szCs w:val="16"/>
        </w:rPr>
        <w:t xml:space="preserve"> Report No. 130/99. </w:t>
      </w:r>
      <w:proofErr w:type="gramStart"/>
      <w:r w:rsidRPr="007F1156">
        <w:rPr>
          <w:rFonts w:ascii="Cambria" w:hAnsi="Cambria"/>
          <w:sz w:val="16"/>
          <w:szCs w:val="16"/>
        </w:rPr>
        <w:t>Case No. 11.740.</w:t>
      </w:r>
      <w:proofErr w:type="gram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Manuel </w:t>
      </w:r>
      <w:proofErr w:type="spellStart"/>
      <w:r w:rsidRPr="007F1156">
        <w:rPr>
          <w:rFonts w:ascii="Cambria" w:hAnsi="Cambria"/>
          <w:sz w:val="16"/>
          <w:szCs w:val="16"/>
        </w:rPr>
        <w:t>Oropeza</w:t>
      </w:r>
      <w:proofErr w:type="spellEnd"/>
      <w:r w:rsidRPr="007F1156">
        <w:rPr>
          <w:rFonts w:ascii="Cambria" w:hAnsi="Cambria"/>
          <w:sz w:val="16"/>
          <w:szCs w:val="16"/>
        </w:rPr>
        <w:t xml:space="preserve"> (Mexico). November 19, 1999. </w:t>
      </w:r>
      <w:proofErr w:type="gramStart"/>
      <w:r w:rsidRPr="007F1156">
        <w:rPr>
          <w:rFonts w:ascii="Cambria" w:hAnsi="Cambria"/>
          <w:sz w:val="16"/>
          <w:szCs w:val="16"/>
        </w:rPr>
        <w:t>Para.</w:t>
      </w:r>
      <w:proofErr w:type="gramEnd"/>
      <w:r w:rsidRPr="007F1156">
        <w:rPr>
          <w:rFonts w:ascii="Cambria" w:hAnsi="Cambria"/>
          <w:sz w:val="16"/>
          <w:szCs w:val="16"/>
        </w:rPr>
        <w:t xml:space="preserve"> 58.</w:t>
      </w:r>
    </w:p>
  </w:footnote>
  <w:footnote w:id="12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 xml:space="preserve">194; </w:t>
      </w:r>
      <w:r w:rsidRPr="007F1156">
        <w:rPr>
          <w:rFonts w:ascii="Cambria" w:hAnsi="Cambria"/>
          <w:bCs/>
          <w:sz w:val="16"/>
          <w:szCs w:val="16"/>
        </w:rPr>
        <w:t>IACHR.</w:t>
      </w:r>
      <w:proofErr w:type="gramEnd"/>
      <w:r w:rsidRPr="007F1156">
        <w:rPr>
          <w:rFonts w:ascii="Cambria" w:hAnsi="Cambria"/>
          <w:bCs/>
          <w:sz w:val="16"/>
          <w:szCs w:val="16"/>
        </w:rPr>
        <w:t xml:space="preserve"> Report</w:t>
      </w:r>
      <w:r w:rsidRPr="007F1156">
        <w:rPr>
          <w:rFonts w:ascii="Cambria" w:hAnsi="Cambria"/>
          <w:sz w:val="16"/>
          <w:szCs w:val="16"/>
        </w:rPr>
        <w:t xml:space="preserve"> No. 136/10. </w:t>
      </w:r>
      <w:proofErr w:type="gramStart"/>
      <w:r w:rsidRPr="007F1156">
        <w:rPr>
          <w:rFonts w:ascii="Cambria" w:hAnsi="Cambria"/>
          <w:sz w:val="16"/>
          <w:szCs w:val="16"/>
        </w:rPr>
        <w:t>Case 12.658.</w:t>
      </w:r>
      <w:proofErr w:type="gramEnd"/>
      <w:r w:rsidRPr="007F1156">
        <w:rPr>
          <w:rFonts w:ascii="Cambria" w:hAnsi="Cambria"/>
          <w:sz w:val="16"/>
          <w:szCs w:val="16"/>
        </w:rPr>
        <w:t xml:space="preserve"> </w:t>
      </w:r>
      <w:proofErr w:type="gramStart"/>
      <w:r w:rsidRPr="007F1156">
        <w:rPr>
          <w:rFonts w:ascii="Cambria" w:hAnsi="Cambria"/>
          <w:sz w:val="16"/>
          <w:szCs w:val="16"/>
        </w:rPr>
        <w:t xml:space="preserve">Luis Gonzalo “Richard” </w:t>
      </w:r>
      <w:proofErr w:type="spellStart"/>
      <w:r w:rsidRPr="007F1156">
        <w:rPr>
          <w:rFonts w:ascii="Cambria" w:hAnsi="Cambria"/>
          <w:sz w:val="16"/>
          <w:szCs w:val="16"/>
        </w:rPr>
        <w:t>Vélez</w:t>
      </w:r>
      <w:proofErr w:type="spellEnd"/>
      <w:r w:rsidRPr="007F1156">
        <w:rPr>
          <w:rFonts w:ascii="Cambria" w:hAnsi="Cambria"/>
          <w:sz w:val="16"/>
          <w:szCs w:val="16"/>
        </w:rPr>
        <w:t xml:space="preserve"> </w:t>
      </w:r>
      <w:proofErr w:type="spellStart"/>
      <w:r w:rsidRPr="007F1156">
        <w:rPr>
          <w:rFonts w:ascii="Cambria" w:hAnsi="Cambria"/>
          <w:sz w:val="16"/>
          <w:szCs w:val="16"/>
        </w:rPr>
        <w:t>Restrepo</w:t>
      </w:r>
      <w:proofErr w:type="spellEnd"/>
      <w:r w:rsidRPr="007F1156">
        <w:rPr>
          <w:rFonts w:ascii="Cambria" w:hAnsi="Cambria"/>
          <w:sz w:val="16"/>
          <w:szCs w:val="16"/>
        </w:rPr>
        <w:t xml:space="preserve"> and Family (Colombia).</w:t>
      </w:r>
      <w:proofErr w:type="gramEnd"/>
      <w:r w:rsidRPr="007F1156">
        <w:rPr>
          <w:rFonts w:ascii="Cambria" w:hAnsi="Cambria"/>
          <w:sz w:val="16"/>
          <w:szCs w:val="16"/>
        </w:rPr>
        <w:t xml:space="preserve"> October 23, 2010.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136; IACHR.</w:t>
      </w:r>
      <w:proofErr w:type="gramEnd"/>
      <w:r w:rsidRPr="007F1156">
        <w:rPr>
          <w:rFonts w:ascii="Cambria" w:hAnsi="Cambria"/>
          <w:sz w:val="16"/>
          <w:szCs w:val="16"/>
        </w:rPr>
        <w:t xml:space="preserve"> Report No. 50/99. </w:t>
      </w:r>
      <w:proofErr w:type="gramStart"/>
      <w:r w:rsidRPr="007F1156">
        <w:rPr>
          <w:rFonts w:ascii="Cambria" w:hAnsi="Cambria"/>
          <w:sz w:val="16"/>
          <w:szCs w:val="16"/>
        </w:rPr>
        <w:t>Case 11.739.</w:t>
      </w:r>
      <w:proofErr w:type="gramEnd"/>
      <w:r w:rsidRPr="007F1156">
        <w:rPr>
          <w:rFonts w:ascii="Cambria" w:hAnsi="Cambria"/>
          <w:sz w:val="16"/>
          <w:szCs w:val="16"/>
        </w:rPr>
        <w:t xml:space="preserve"> </w:t>
      </w:r>
      <w:proofErr w:type="spellStart"/>
      <w:r w:rsidRPr="007F1156">
        <w:rPr>
          <w:rFonts w:ascii="Cambria" w:hAnsi="Cambria"/>
          <w:sz w:val="16"/>
          <w:szCs w:val="16"/>
        </w:rPr>
        <w:t>Héctor</w:t>
      </w:r>
      <w:proofErr w:type="spellEnd"/>
      <w:r w:rsidRPr="007F1156">
        <w:rPr>
          <w:rFonts w:ascii="Cambria" w:hAnsi="Cambria"/>
          <w:sz w:val="16"/>
          <w:szCs w:val="16"/>
        </w:rPr>
        <w:t xml:space="preserve"> Félix Miranda (Mexico). April 13, 1999.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52; IACHR.</w:t>
      </w:r>
      <w:proofErr w:type="gramEnd"/>
      <w:r w:rsidRPr="007F1156">
        <w:rPr>
          <w:rFonts w:ascii="Cambria" w:hAnsi="Cambria"/>
          <w:sz w:val="16"/>
          <w:szCs w:val="16"/>
        </w:rPr>
        <w:t xml:space="preserve"> Report No. 130/99. </w:t>
      </w:r>
      <w:proofErr w:type="gramStart"/>
      <w:r w:rsidRPr="007F1156">
        <w:rPr>
          <w:rFonts w:ascii="Cambria" w:hAnsi="Cambria"/>
          <w:sz w:val="16"/>
          <w:szCs w:val="16"/>
        </w:rPr>
        <w:t>Case No. 11.740.</w:t>
      </w:r>
      <w:proofErr w:type="gram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Manuel </w:t>
      </w:r>
      <w:proofErr w:type="spellStart"/>
      <w:r w:rsidRPr="007F1156">
        <w:rPr>
          <w:rFonts w:ascii="Cambria" w:hAnsi="Cambria"/>
          <w:sz w:val="16"/>
          <w:szCs w:val="16"/>
        </w:rPr>
        <w:t>Oropeza</w:t>
      </w:r>
      <w:proofErr w:type="spellEnd"/>
      <w:r w:rsidRPr="007F1156">
        <w:rPr>
          <w:rFonts w:ascii="Cambria" w:hAnsi="Cambria"/>
          <w:sz w:val="16"/>
          <w:szCs w:val="16"/>
        </w:rPr>
        <w:t xml:space="preserve"> (Mexico). November 19, 1999. </w:t>
      </w:r>
      <w:proofErr w:type="gramStart"/>
      <w:r w:rsidRPr="007F1156">
        <w:rPr>
          <w:rFonts w:ascii="Cambria" w:hAnsi="Cambria"/>
          <w:sz w:val="16"/>
          <w:szCs w:val="16"/>
        </w:rPr>
        <w:t>Para.</w:t>
      </w:r>
      <w:proofErr w:type="gramEnd"/>
      <w:r w:rsidRPr="007F1156">
        <w:rPr>
          <w:rFonts w:ascii="Cambria" w:hAnsi="Cambria"/>
          <w:sz w:val="16"/>
          <w:szCs w:val="16"/>
        </w:rPr>
        <w:t xml:space="preserve"> 58.</w:t>
      </w:r>
    </w:p>
  </w:footnote>
  <w:footnote w:id="12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209.</w:t>
      </w:r>
    </w:p>
  </w:footnote>
  <w:footnote w:id="122">
    <w:p w:rsidR="00F8558A" w:rsidRPr="007F1156" w:rsidRDefault="00F8558A" w:rsidP="007F1156">
      <w:pPr>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Ivcher</w:t>
      </w:r>
      <w:proofErr w:type="spellEnd"/>
      <w:r w:rsidRPr="007F1156">
        <w:rPr>
          <w:rFonts w:ascii="Cambria" w:hAnsi="Cambria"/>
          <w:i/>
          <w:sz w:val="16"/>
          <w:szCs w:val="16"/>
        </w:rPr>
        <w:t xml:space="preserve"> Bronstein v. Peru</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February 6, 2001. </w:t>
      </w:r>
      <w:proofErr w:type="gramStart"/>
      <w:r w:rsidRPr="007F1156">
        <w:rPr>
          <w:rFonts w:ascii="Cambria" w:hAnsi="Cambria"/>
          <w:sz w:val="16"/>
          <w:szCs w:val="16"/>
        </w:rPr>
        <w:t>Series C No. 74.</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150; I/A Court H.R., </w:t>
      </w:r>
      <w:r w:rsidRPr="007F1156">
        <w:rPr>
          <w:rFonts w:ascii="Cambria" w:hAnsi="Cambria"/>
          <w:i/>
          <w:sz w:val="16"/>
          <w:szCs w:val="16"/>
        </w:rPr>
        <w:t>Case of Herrera Ulloa v. Costa Rica</w:t>
      </w:r>
      <w:r w:rsidRPr="007F1156">
        <w:rPr>
          <w:rFonts w:ascii="Cambria" w:hAnsi="Cambria"/>
          <w:sz w:val="16"/>
          <w:szCs w:val="16"/>
        </w:rPr>
        <w:t xml:space="preserve">. </w:t>
      </w:r>
      <w:proofErr w:type="gramStart"/>
      <w:r w:rsidRPr="007F1156">
        <w:rPr>
          <w:rFonts w:ascii="Cambria" w:hAnsi="Cambria"/>
          <w:sz w:val="16"/>
          <w:szCs w:val="16"/>
        </w:rPr>
        <w:t>Preliminary Objections, Merits, Reparations and Costs.</w:t>
      </w:r>
      <w:proofErr w:type="gramEnd"/>
      <w:r w:rsidRPr="007F1156">
        <w:rPr>
          <w:rFonts w:ascii="Cambria" w:hAnsi="Cambria"/>
          <w:sz w:val="16"/>
          <w:szCs w:val="16"/>
        </w:rPr>
        <w:t xml:space="preserve"> Judgment of July 2, 2004. </w:t>
      </w:r>
      <w:proofErr w:type="gramStart"/>
      <w:r w:rsidRPr="007F1156">
        <w:rPr>
          <w:rFonts w:ascii="Cambria" w:hAnsi="Cambria"/>
          <w:sz w:val="16"/>
          <w:szCs w:val="16"/>
        </w:rPr>
        <w:t>Series C No. 107.</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119</w:t>
      </w:r>
    </w:p>
  </w:footnote>
  <w:footnote w:id="12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8"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 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9" w:history="1">
        <w:proofErr w:type="gramStart"/>
        <w:r w:rsidRPr="007F1156">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Presentation; IACHR.</w:t>
      </w:r>
      <w:proofErr w:type="gramEnd"/>
      <w:r w:rsidRPr="007F1156">
        <w:rPr>
          <w:rFonts w:ascii="Cambria" w:hAnsi="Cambria"/>
          <w:sz w:val="16"/>
          <w:szCs w:val="16"/>
        </w:rPr>
        <w:t xml:space="preserve"> Report No. 37/10. March 17, 2010. </w:t>
      </w:r>
      <w:proofErr w:type="gramStart"/>
      <w:r w:rsidRPr="007F1156">
        <w:rPr>
          <w:rFonts w:ascii="Cambria" w:hAnsi="Cambria"/>
          <w:sz w:val="16"/>
          <w:szCs w:val="16"/>
        </w:rPr>
        <w:t>Case 12.308.</w:t>
      </w:r>
      <w:proofErr w:type="gramEnd"/>
      <w:r w:rsidRPr="007F1156">
        <w:rPr>
          <w:rFonts w:ascii="Cambria" w:hAnsi="Cambria"/>
          <w:sz w:val="16"/>
          <w:szCs w:val="16"/>
        </w:rPr>
        <w:t xml:space="preserve"> </w:t>
      </w:r>
      <w:proofErr w:type="spellStart"/>
      <w:r w:rsidRPr="007F1156">
        <w:rPr>
          <w:rFonts w:ascii="Cambria" w:hAnsi="Cambria"/>
          <w:sz w:val="16"/>
          <w:szCs w:val="16"/>
        </w:rPr>
        <w:t>Manoel</w:t>
      </w:r>
      <w:proofErr w:type="spellEnd"/>
      <w:r w:rsidRPr="007F1156">
        <w:rPr>
          <w:rFonts w:ascii="Cambria" w:hAnsi="Cambria"/>
          <w:sz w:val="16"/>
          <w:szCs w:val="16"/>
        </w:rPr>
        <w:t xml:space="preserve"> Leal de Oliveira (Brazil).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97; United Nations General Assembly.</w:t>
      </w:r>
      <w:proofErr w:type="gramEnd"/>
      <w:r w:rsidRPr="007F1156">
        <w:rPr>
          <w:rFonts w:ascii="Cambria" w:hAnsi="Cambria"/>
          <w:sz w:val="16"/>
          <w:szCs w:val="16"/>
        </w:rPr>
        <w:t xml:space="preserve"> </w:t>
      </w:r>
      <w:hyperlink r:id="rId10" w:history="1">
        <w:proofErr w:type="gramStart"/>
        <w:r w:rsidRPr="007F1156">
          <w:rPr>
            <w:rStyle w:val="Hyperlink"/>
            <w:rFonts w:ascii="Cambria" w:hAnsi="Cambria"/>
            <w:sz w:val="16"/>
            <w:szCs w:val="16"/>
          </w:rPr>
          <w:t xml:space="preserve">Report of the Special Rapporteur on extrajudicial, summary or arbitrary executions, </w:t>
        </w:r>
        <w:proofErr w:type="spellStart"/>
        <w:r w:rsidRPr="007F1156">
          <w:rPr>
            <w:rStyle w:val="Hyperlink"/>
            <w:rFonts w:ascii="Cambria" w:hAnsi="Cambria"/>
            <w:sz w:val="16"/>
            <w:szCs w:val="16"/>
          </w:rPr>
          <w:t>Christof</w:t>
        </w:r>
        <w:proofErr w:type="spellEnd"/>
        <w:r w:rsidRPr="007F1156">
          <w:rPr>
            <w:rStyle w:val="Hyperlink"/>
            <w:rFonts w:ascii="Cambria" w:hAnsi="Cambria"/>
            <w:sz w:val="16"/>
            <w:szCs w:val="16"/>
          </w:rPr>
          <w:t xml:space="preserve"> </w:t>
        </w:r>
        <w:proofErr w:type="spellStart"/>
        <w:r w:rsidRPr="007F1156">
          <w:rPr>
            <w:rStyle w:val="Hyperlink"/>
            <w:rFonts w:ascii="Cambria" w:hAnsi="Cambria"/>
            <w:sz w:val="16"/>
            <w:szCs w:val="16"/>
          </w:rPr>
          <w:t>Heyns</w:t>
        </w:r>
        <w:proofErr w:type="spellEnd"/>
      </w:hyperlink>
      <w:r w:rsidRPr="007F1156">
        <w:rPr>
          <w:rFonts w:ascii="Cambria" w:hAnsi="Cambria"/>
          <w:i/>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A/HRC/20/22.</w:t>
      </w:r>
      <w:proofErr w:type="gramEnd"/>
      <w:r w:rsidRPr="007F1156">
        <w:rPr>
          <w:rFonts w:ascii="Cambria" w:hAnsi="Cambria"/>
          <w:sz w:val="16"/>
          <w:szCs w:val="16"/>
        </w:rPr>
        <w:t xml:space="preserve"> April 10, 2012. </w:t>
      </w:r>
      <w:proofErr w:type="gramStart"/>
      <w:r w:rsidRPr="007F1156">
        <w:rPr>
          <w:rFonts w:ascii="Cambria" w:hAnsi="Cambria"/>
          <w:sz w:val="16"/>
          <w:szCs w:val="16"/>
        </w:rPr>
        <w:t>Para.</w:t>
      </w:r>
      <w:proofErr w:type="gramEnd"/>
      <w:r w:rsidRPr="007F1156">
        <w:rPr>
          <w:rFonts w:ascii="Cambria" w:hAnsi="Cambria"/>
          <w:sz w:val="16"/>
          <w:szCs w:val="16"/>
        </w:rPr>
        <w:t xml:space="preserve"> 21. </w:t>
      </w:r>
    </w:p>
  </w:footnote>
  <w:footnote w:id="124">
    <w:p w:rsidR="00F8558A" w:rsidRPr="007F1156" w:rsidRDefault="00F8558A" w:rsidP="007F1156">
      <w:pPr>
        <w:shd w:val="clear" w:color="auto" w:fill="FFFFFF"/>
        <w:tabs>
          <w:tab w:val="left" w:pos="810"/>
        </w:tabs>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In this case, the Commission notes that Nelson </w:t>
      </w:r>
      <w:proofErr w:type="spellStart"/>
      <w:r w:rsidRPr="007F1156">
        <w:rPr>
          <w:rFonts w:ascii="Cambria" w:hAnsi="Cambria"/>
          <w:sz w:val="16"/>
          <w:szCs w:val="16"/>
        </w:rPr>
        <w:t>Carvajal</w:t>
      </w:r>
      <w:proofErr w:type="spellEnd"/>
      <w:r w:rsidRPr="007F1156">
        <w:rPr>
          <w:rFonts w:ascii="Cambria" w:hAnsi="Cambria"/>
          <w:sz w:val="16"/>
          <w:szCs w:val="16"/>
        </w:rPr>
        <w:t xml:space="preserve"> </w:t>
      </w:r>
      <w:proofErr w:type="spellStart"/>
      <w:r w:rsidRPr="007F1156">
        <w:rPr>
          <w:rFonts w:ascii="Cambria" w:hAnsi="Cambria"/>
          <w:sz w:val="16"/>
          <w:szCs w:val="16"/>
        </w:rPr>
        <w:t>Carvajal’s</w:t>
      </w:r>
      <w:proofErr w:type="spellEnd"/>
      <w:r w:rsidRPr="007F1156">
        <w:rPr>
          <w:rFonts w:ascii="Cambria" w:hAnsi="Cambria"/>
          <w:sz w:val="16"/>
          <w:szCs w:val="16"/>
        </w:rPr>
        <w:t xml:space="preserve"> personal safety and life were at risk prior to his murder; nevertheless, there is nothing in the case file to indicate that the State had knowledge of this situation or that it should have known about this risk due to special circumstances. </w:t>
      </w:r>
    </w:p>
  </w:footnote>
  <w:footnote w:id="12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Case of the Pueblo Bello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January 31, 2006. </w:t>
      </w:r>
      <w:proofErr w:type="gramStart"/>
      <w:r w:rsidRPr="007F1156">
        <w:rPr>
          <w:rFonts w:ascii="Cambria" w:hAnsi="Cambria"/>
          <w:sz w:val="16"/>
          <w:szCs w:val="16"/>
        </w:rPr>
        <w:t>Series C No. 140.</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 xml:space="preserve">143; </w:t>
      </w:r>
      <w:r w:rsidRPr="007F1156">
        <w:rPr>
          <w:rFonts w:ascii="Cambria" w:hAnsi="Cambria"/>
          <w:i/>
          <w:sz w:val="16"/>
          <w:szCs w:val="16"/>
        </w:rPr>
        <w:t xml:space="preserve">Case of the </w:t>
      </w:r>
      <w:proofErr w:type="spellStart"/>
      <w:r w:rsidRPr="007F1156">
        <w:rPr>
          <w:rFonts w:ascii="Cambria" w:hAnsi="Cambria"/>
          <w:i/>
          <w:sz w:val="16"/>
          <w:szCs w:val="16"/>
        </w:rPr>
        <w:t>Moiwana</w:t>
      </w:r>
      <w:proofErr w:type="spellEnd"/>
      <w:r w:rsidRPr="007F1156">
        <w:rPr>
          <w:rFonts w:ascii="Cambria" w:hAnsi="Cambria"/>
          <w:i/>
          <w:sz w:val="16"/>
          <w:szCs w:val="16"/>
        </w:rPr>
        <w:t xml:space="preserve"> Community v. Suriname.</w:t>
      </w:r>
      <w:proofErr w:type="gramEnd"/>
      <w:r w:rsidRPr="007F1156">
        <w:rPr>
          <w:rFonts w:ascii="Cambria" w:hAnsi="Cambria"/>
          <w:i/>
          <w:sz w:val="16"/>
          <w:szCs w:val="16"/>
        </w:rPr>
        <w:t xml:space="preserve"> </w:t>
      </w:r>
      <w:r w:rsidRPr="007F1156">
        <w:rPr>
          <w:rFonts w:ascii="Cambria" w:hAnsi="Cambria"/>
          <w:sz w:val="16"/>
          <w:szCs w:val="16"/>
        </w:rPr>
        <w:t xml:space="preserve">Judgment of June 15, 2005. Series C No. 124, para. 145. </w:t>
      </w:r>
    </w:p>
  </w:footnote>
  <w:footnote w:id="12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Kawas</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Fernández</w:t>
      </w:r>
      <w:proofErr w:type="spellEnd"/>
      <w:r w:rsidRPr="007F1156">
        <w:rPr>
          <w:rFonts w:ascii="Cambria" w:hAnsi="Cambria"/>
          <w:i/>
          <w:sz w:val="16"/>
          <w:szCs w:val="16"/>
          <w:lang w:eastAsia="x-none"/>
        </w:rPr>
        <w:t xml:space="preserve">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April 3, 2009. </w:t>
      </w:r>
      <w:proofErr w:type="gramStart"/>
      <w:r w:rsidRPr="007F1156">
        <w:rPr>
          <w:rFonts w:ascii="Cambria" w:hAnsi="Cambria"/>
          <w:sz w:val="16"/>
          <w:szCs w:val="16"/>
          <w:lang w:eastAsia="x-none"/>
        </w:rPr>
        <w:t>Series C No. 196.</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75.</w:t>
      </w:r>
    </w:p>
  </w:footnote>
  <w:footnote w:id="12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Case of the Pueblo Bello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January 31, 2006. </w:t>
      </w:r>
      <w:proofErr w:type="gramStart"/>
      <w:r w:rsidRPr="007F1156">
        <w:rPr>
          <w:rFonts w:ascii="Cambria" w:hAnsi="Cambria"/>
          <w:sz w:val="16"/>
          <w:szCs w:val="16"/>
        </w:rPr>
        <w:t>Series C No. 140.</w:t>
      </w:r>
      <w:proofErr w:type="gramEnd"/>
      <w:r w:rsidRPr="007F1156">
        <w:rPr>
          <w:rFonts w:ascii="Cambria" w:hAnsi="Cambria"/>
          <w:sz w:val="16"/>
          <w:szCs w:val="16"/>
        </w:rPr>
        <w:t xml:space="preserve"> </w:t>
      </w:r>
      <w:proofErr w:type="gramStart"/>
      <w:r w:rsidRPr="007F1156">
        <w:rPr>
          <w:rFonts w:ascii="Cambria" w:hAnsi="Cambria"/>
          <w:sz w:val="16"/>
          <w:szCs w:val="16"/>
        </w:rPr>
        <w:t>para.</w:t>
      </w:r>
      <w:r w:rsidRPr="007F1156">
        <w:rPr>
          <w:rFonts w:ascii="Cambria" w:hAnsi="Cambria"/>
          <w:sz w:val="16"/>
          <w:szCs w:val="16"/>
          <w:lang w:eastAsia="zh-CN"/>
        </w:rPr>
        <w:t xml:space="preserve">145; </w:t>
      </w:r>
      <w:r w:rsidRPr="007F1156">
        <w:rPr>
          <w:rFonts w:ascii="Cambria" w:hAnsi="Cambria"/>
          <w:sz w:val="16"/>
          <w:szCs w:val="16"/>
        </w:rPr>
        <w:t>I/A Court H.R.,</w:t>
      </w:r>
      <w:r w:rsidRPr="007F1156">
        <w:rPr>
          <w:rFonts w:ascii="Cambria" w:hAnsi="Cambria"/>
          <w:i/>
          <w:sz w:val="16"/>
          <w:szCs w:val="16"/>
        </w:rPr>
        <w:t xml:space="preserve"> Case of </w:t>
      </w:r>
      <w:proofErr w:type="spellStart"/>
      <w:r w:rsidRPr="007F1156">
        <w:rPr>
          <w:rFonts w:ascii="Cambria" w:hAnsi="Cambria"/>
          <w:i/>
          <w:sz w:val="16"/>
          <w:szCs w:val="16"/>
        </w:rPr>
        <w:t>Kawas</w:t>
      </w:r>
      <w:proofErr w:type="spellEnd"/>
      <w:r w:rsidRPr="007F1156">
        <w:rPr>
          <w:rFonts w:ascii="Cambria" w:hAnsi="Cambria"/>
          <w:i/>
          <w:sz w:val="16"/>
          <w:szCs w:val="16"/>
        </w:rPr>
        <w:t xml:space="preserve"> </w:t>
      </w:r>
      <w:proofErr w:type="spellStart"/>
      <w:r w:rsidRPr="007F1156">
        <w:rPr>
          <w:rFonts w:ascii="Cambria" w:hAnsi="Cambria"/>
          <w:i/>
          <w:sz w:val="16"/>
          <w:szCs w:val="16"/>
        </w:rPr>
        <w:t>Fernández</w:t>
      </w:r>
      <w:proofErr w:type="spellEnd"/>
      <w:r w:rsidRPr="007F1156">
        <w:rPr>
          <w:rFonts w:ascii="Cambria" w:hAnsi="Cambria"/>
          <w:i/>
          <w:sz w:val="16"/>
          <w:szCs w:val="16"/>
        </w:rPr>
        <w:t xml:space="preserve"> v. Honduras.</w:t>
      </w:r>
      <w:proofErr w:type="gramEnd"/>
      <w:r w:rsidRPr="007F1156">
        <w:rPr>
          <w:rFonts w:ascii="Cambria" w:hAnsi="Cambria"/>
          <w:i/>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April 3, 2009. </w:t>
      </w:r>
      <w:proofErr w:type="gramStart"/>
      <w:r w:rsidRPr="007F1156">
        <w:rPr>
          <w:rFonts w:ascii="Cambria" w:hAnsi="Cambria"/>
          <w:sz w:val="16"/>
          <w:szCs w:val="16"/>
        </w:rPr>
        <w:t>Series C No. 196</w:t>
      </w:r>
      <w:r w:rsidRPr="007F1156">
        <w:rPr>
          <w:rFonts w:ascii="Cambria" w:hAnsi="Cambria"/>
          <w:sz w:val="16"/>
          <w:szCs w:val="16"/>
          <w:lang w:eastAsia="x-none"/>
        </w:rPr>
        <w:t>.</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r w:rsidRPr="007F1156">
        <w:rPr>
          <w:rFonts w:ascii="Cambria" w:hAnsi="Cambria"/>
          <w:sz w:val="16"/>
          <w:szCs w:val="16"/>
          <w:lang w:eastAsia="zh-CN"/>
        </w:rPr>
        <w:t>78.</w:t>
      </w:r>
    </w:p>
  </w:footnote>
  <w:footnote w:id="12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Velásquez</w:t>
      </w:r>
      <w:proofErr w:type="spellEnd"/>
      <w:r w:rsidRPr="007F1156">
        <w:rPr>
          <w:rFonts w:ascii="Cambria" w:hAnsi="Cambria"/>
          <w:i/>
          <w:sz w:val="16"/>
          <w:szCs w:val="16"/>
        </w:rPr>
        <w:t xml:space="preserve"> Rodríguez v. Honduras.</w:t>
      </w:r>
      <w:r w:rsidRPr="007F1156">
        <w:rPr>
          <w:rFonts w:ascii="Cambria" w:hAnsi="Cambria"/>
          <w:sz w:val="16"/>
          <w:szCs w:val="16"/>
        </w:rPr>
        <w:t xml:space="preserve"> </w:t>
      </w:r>
      <w:proofErr w:type="gramStart"/>
      <w:r w:rsidRPr="007F1156">
        <w:rPr>
          <w:rFonts w:ascii="Cambria" w:hAnsi="Cambria"/>
          <w:sz w:val="16"/>
          <w:szCs w:val="16"/>
        </w:rPr>
        <w:t>Merits.</w:t>
      </w:r>
      <w:proofErr w:type="gramEnd"/>
      <w:r w:rsidRPr="007F1156">
        <w:rPr>
          <w:rFonts w:ascii="Cambria" w:hAnsi="Cambria"/>
          <w:sz w:val="16"/>
          <w:szCs w:val="16"/>
        </w:rPr>
        <w:t xml:space="preserve"> Judgment of July 29, 1988. </w:t>
      </w:r>
      <w:proofErr w:type="gramStart"/>
      <w:r w:rsidRPr="007F1156">
        <w:rPr>
          <w:rFonts w:ascii="Cambria" w:hAnsi="Cambria"/>
          <w:sz w:val="16"/>
          <w:szCs w:val="16"/>
        </w:rPr>
        <w:t>Series C No. 4.</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176</w:t>
      </w:r>
      <w:r w:rsidRPr="007F1156">
        <w:rPr>
          <w:rFonts w:ascii="Cambria" w:hAnsi="Cambria"/>
          <w:i/>
          <w:sz w:val="16"/>
          <w:szCs w:val="16"/>
        </w:rPr>
        <w:t xml:space="preserve">. </w:t>
      </w:r>
      <w:r w:rsidRPr="007F1156">
        <w:rPr>
          <w:rFonts w:ascii="Cambria" w:hAnsi="Cambria"/>
          <w:sz w:val="16"/>
          <w:szCs w:val="16"/>
        </w:rPr>
        <w:t>I/A Court H.R.,</w:t>
      </w:r>
      <w:r w:rsidRPr="007F1156">
        <w:rPr>
          <w:rFonts w:ascii="Cambria" w:hAnsi="Cambria"/>
          <w:i/>
          <w:sz w:val="16"/>
          <w:szCs w:val="16"/>
        </w:rPr>
        <w:t xml:space="preserve"> Case of </w:t>
      </w:r>
      <w:proofErr w:type="spellStart"/>
      <w:r w:rsidRPr="007F1156">
        <w:rPr>
          <w:rFonts w:ascii="Cambria" w:hAnsi="Cambria"/>
          <w:i/>
          <w:sz w:val="16"/>
          <w:szCs w:val="16"/>
        </w:rPr>
        <w:t>Kawas</w:t>
      </w:r>
      <w:proofErr w:type="spellEnd"/>
      <w:r w:rsidRPr="007F1156">
        <w:rPr>
          <w:rFonts w:ascii="Cambria" w:hAnsi="Cambria"/>
          <w:i/>
          <w:sz w:val="16"/>
          <w:szCs w:val="16"/>
        </w:rPr>
        <w:t xml:space="preserve"> </w:t>
      </w:r>
      <w:proofErr w:type="spellStart"/>
      <w:r w:rsidRPr="007F1156">
        <w:rPr>
          <w:rFonts w:ascii="Cambria" w:hAnsi="Cambria"/>
          <w:i/>
          <w:sz w:val="16"/>
          <w:szCs w:val="16"/>
        </w:rPr>
        <w:t>Fernández</w:t>
      </w:r>
      <w:proofErr w:type="spellEnd"/>
      <w:r w:rsidRPr="007F1156">
        <w:rPr>
          <w:rFonts w:ascii="Cambria" w:hAnsi="Cambria"/>
          <w:i/>
          <w:sz w:val="16"/>
          <w:szCs w:val="16"/>
        </w:rPr>
        <w:t xml:space="preserve"> v. Honduras.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April 3, 2009. </w:t>
      </w:r>
      <w:proofErr w:type="gramStart"/>
      <w:r w:rsidRPr="007F1156">
        <w:rPr>
          <w:rFonts w:ascii="Cambria" w:hAnsi="Cambria"/>
          <w:sz w:val="16"/>
          <w:szCs w:val="16"/>
        </w:rPr>
        <w:t>Series C No. 196</w:t>
      </w:r>
      <w:r w:rsidRPr="007F1156">
        <w:rPr>
          <w:rFonts w:ascii="Cambria" w:hAnsi="Cambria"/>
          <w:sz w:val="16"/>
          <w:szCs w:val="16"/>
          <w:lang w:eastAsia="x-none"/>
        </w:rPr>
        <w:t>.</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r w:rsidRPr="007F1156">
        <w:rPr>
          <w:rFonts w:ascii="Cambria" w:hAnsi="Cambria"/>
          <w:sz w:val="16"/>
          <w:szCs w:val="16"/>
        </w:rPr>
        <w:t>76.</w:t>
      </w:r>
    </w:p>
  </w:footnote>
  <w:footnote w:id="12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Style w:val="sb8d990e2"/>
          <w:rFonts w:ascii="Cambria" w:eastAsia="Cambria" w:hAnsi="Cambria"/>
          <w:sz w:val="16"/>
          <w:szCs w:val="16"/>
        </w:rPr>
        <w:t xml:space="preserve"> </w:t>
      </w:r>
      <w:proofErr w:type="spellStart"/>
      <w:proofErr w:type="gramStart"/>
      <w:r w:rsidRPr="007F1156">
        <w:rPr>
          <w:rFonts w:ascii="Cambria" w:hAnsi="Cambria"/>
          <w:i/>
          <w:sz w:val="16"/>
          <w:szCs w:val="16"/>
        </w:rPr>
        <w:t>Cfr</w:t>
      </w:r>
      <w:proofErr w:type="spellEnd"/>
      <w:r w:rsidRPr="007F1156">
        <w:rPr>
          <w:rFonts w:ascii="Cambria" w:hAnsi="Cambria"/>
          <w:i/>
          <w:sz w:val="16"/>
          <w:szCs w:val="16"/>
        </w:rPr>
        <w:t xml:space="preserve">. </w:t>
      </w:r>
      <w:r w:rsidRPr="007F1156">
        <w:rPr>
          <w:rFonts w:ascii="Cambria" w:hAnsi="Cambria"/>
          <w:sz w:val="16"/>
          <w:szCs w:val="16"/>
        </w:rPr>
        <w:t>ECHR</w:t>
      </w:r>
      <w:r w:rsidRPr="007F1156">
        <w:rPr>
          <w:rFonts w:ascii="Cambria" w:hAnsi="Cambria"/>
          <w:spacing w:val="-3"/>
          <w:sz w:val="16"/>
          <w:szCs w:val="16"/>
        </w:rPr>
        <w:t>,</w:t>
      </w:r>
      <w:r w:rsidRPr="007F1156">
        <w:rPr>
          <w:rFonts w:ascii="Cambria" w:hAnsi="Cambria"/>
          <w:i/>
          <w:spacing w:val="-3"/>
          <w:sz w:val="16"/>
          <w:szCs w:val="16"/>
        </w:rPr>
        <w:t xml:space="preserve"> </w:t>
      </w:r>
      <w:proofErr w:type="spellStart"/>
      <w:r w:rsidRPr="007F1156">
        <w:rPr>
          <w:rFonts w:ascii="Cambria" w:hAnsi="Cambria"/>
          <w:i/>
          <w:spacing w:val="-3"/>
          <w:sz w:val="16"/>
          <w:szCs w:val="16"/>
        </w:rPr>
        <w:t>Ergi</w:t>
      </w:r>
      <w:proofErr w:type="spellEnd"/>
      <w:r w:rsidRPr="007F1156">
        <w:rPr>
          <w:rFonts w:ascii="Cambria" w:hAnsi="Cambria"/>
          <w:i/>
          <w:spacing w:val="-3"/>
          <w:sz w:val="16"/>
          <w:szCs w:val="16"/>
        </w:rPr>
        <w:t xml:space="preserve"> v. Turkey, Judgment of 28.07.1998, Reports of Judgments, n. 81</w:t>
      </w:r>
      <w:r w:rsidRPr="007F1156">
        <w:rPr>
          <w:rFonts w:ascii="Cambria" w:hAnsi="Cambria"/>
          <w:spacing w:val="-3"/>
          <w:sz w:val="16"/>
          <w:szCs w:val="16"/>
        </w:rPr>
        <w:t>, paras.</w:t>
      </w:r>
      <w:proofErr w:type="gramEnd"/>
      <w:r w:rsidRPr="007F1156">
        <w:rPr>
          <w:rFonts w:ascii="Cambria" w:hAnsi="Cambria"/>
          <w:spacing w:val="-3"/>
          <w:sz w:val="16"/>
          <w:szCs w:val="16"/>
        </w:rPr>
        <w:t xml:space="preserve"> 85-86, </w:t>
      </w:r>
      <w:r w:rsidRPr="007F1156">
        <w:rPr>
          <w:rFonts w:ascii="Cambria" w:hAnsi="Cambria"/>
          <w:sz w:val="16"/>
          <w:szCs w:val="16"/>
        </w:rPr>
        <w:t>ECHR,</w:t>
      </w:r>
      <w:r w:rsidRPr="007F1156">
        <w:rPr>
          <w:rFonts w:ascii="Cambria" w:hAnsi="Cambria"/>
          <w:i/>
          <w:sz w:val="16"/>
          <w:szCs w:val="16"/>
        </w:rPr>
        <w:t xml:space="preserve"> </w:t>
      </w:r>
      <w:proofErr w:type="spellStart"/>
      <w:r w:rsidRPr="007F1156">
        <w:rPr>
          <w:rFonts w:ascii="Cambria" w:hAnsi="Cambria"/>
          <w:i/>
          <w:sz w:val="16"/>
          <w:szCs w:val="16"/>
        </w:rPr>
        <w:t>Akkoç</w:t>
      </w:r>
      <w:proofErr w:type="spellEnd"/>
      <w:r w:rsidRPr="007F1156">
        <w:rPr>
          <w:rFonts w:ascii="Cambria" w:hAnsi="Cambria"/>
          <w:i/>
          <w:sz w:val="16"/>
          <w:szCs w:val="16"/>
        </w:rPr>
        <w:t xml:space="preserve"> v. Turkey, Judgment of 10 October 2000</w:t>
      </w:r>
      <w:r w:rsidRPr="007F1156">
        <w:rPr>
          <w:rFonts w:ascii="Cambria" w:hAnsi="Cambria"/>
          <w:sz w:val="16"/>
          <w:szCs w:val="16"/>
        </w:rPr>
        <w:t xml:space="preserve">, paras. </w:t>
      </w:r>
      <w:proofErr w:type="gramStart"/>
      <w:r w:rsidRPr="007F1156">
        <w:rPr>
          <w:rFonts w:ascii="Cambria" w:hAnsi="Cambria"/>
          <w:sz w:val="16"/>
          <w:szCs w:val="16"/>
        </w:rPr>
        <w:t>77 to 99; ECHR,</w:t>
      </w:r>
      <w:r w:rsidRPr="007F1156">
        <w:rPr>
          <w:rFonts w:ascii="Cambria" w:hAnsi="Cambria"/>
          <w:i/>
          <w:sz w:val="16"/>
          <w:szCs w:val="16"/>
        </w:rPr>
        <w:t xml:space="preserve"> </w:t>
      </w:r>
      <w:proofErr w:type="spellStart"/>
      <w:r w:rsidRPr="007F1156">
        <w:rPr>
          <w:rFonts w:ascii="Cambria" w:hAnsi="Cambria"/>
          <w:i/>
          <w:sz w:val="16"/>
          <w:szCs w:val="16"/>
        </w:rPr>
        <w:t>Kiliç</w:t>
      </w:r>
      <w:proofErr w:type="spellEnd"/>
      <w:r w:rsidRPr="007F1156">
        <w:rPr>
          <w:rFonts w:ascii="Cambria" w:hAnsi="Cambria"/>
          <w:i/>
          <w:sz w:val="16"/>
          <w:szCs w:val="16"/>
        </w:rPr>
        <w:t xml:space="preserve"> v. Turkey, Judgment of 28 March 2000, </w:t>
      </w:r>
      <w:r w:rsidRPr="007F1156">
        <w:rPr>
          <w:rFonts w:ascii="Cambria" w:hAnsi="Cambria"/>
          <w:sz w:val="16"/>
          <w:szCs w:val="16"/>
        </w:rPr>
        <w:t>paras.</w:t>
      </w:r>
      <w:proofErr w:type="gramEnd"/>
      <w:r w:rsidRPr="007F1156">
        <w:rPr>
          <w:rFonts w:ascii="Cambria" w:hAnsi="Cambria"/>
          <w:sz w:val="16"/>
          <w:szCs w:val="16"/>
        </w:rPr>
        <w:t xml:space="preserve"> </w:t>
      </w:r>
      <w:proofErr w:type="gramStart"/>
      <w:r w:rsidRPr="007F1156">
        <w:rPr>
          <w:rFonts w:ascii="Cambria" w:hAnsi="Cambria"/>
          <w:sz w:val="16"/>
          <w:szCs w:val="16"/>
        </w:rPr>
        <w:t>78 to 83.</w:t>
      </w:r>
      <w:proofErr w:type="gramEnd"/>
    </w:p>
  </w:footnote>
  <w:footnote w:id="13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Vélez</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Restrepo</w:t>
      </w:r>
      <w:proofErr w:type="spellEnd"/>
      <w:r w:rsidRPr="007F1156">
        <w:rPr>
          <w:rFonts w:ascii="Cambria" w:hAnsi="Cambria"/>
          <w:i/>
          <w:sz w:val="16"/>
          <w:szCs w:val="16"/>
          <w:lang w:eastAsia="x-none"/>
        </w:rPr>
        <w:t xml:space="preserve"> and Family v. Colombia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Preliminary Objection, Merits, Reparations, and Costs.</w:t>
      </w:r>
      <w:proofErr w:type="gramEnd"/>
      <w:r w:rsidRPr="007F1156">
        <w:rPr>
          <w:rFonts w:ascii="Cambria" w:hAnsi="Cambria"/>
          <w:sz w:val="16"/>
          <w:szCs w:val="16"/>
          <w:lang w:eastAsia="x-none"/>
        </w:rPr>
        <w:t xml:space="preserve"> Judgment of September 3, 2012. </w:t>
      </w:r>
      <w:proofErr w:type="gramStart"/>
      <w:r w:rsidRPr="007F1156">
        <w:rPr>
          <w:rFonts w:ascii="Cambria" w:hAnsi="Cambria"/>
          <w:sz w:val="16"/>
          <w:szCs w:val="16"/>
          <w:lang w:eastAsia="x-none"/>
        </w:rPr>
        <w:t>Series C No. 248.</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215.</w:t>
      </w:r>
    </w:p>
  </w:footnote>
  <w:footnote w:id="13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lang w:eastAsia="x-none"/>
        </w:rPr>
        <w:t>IACHR.</w:t>
      </w:r>
      <w:proofErr w:type="gramEnd"/>
      <w:r w:rsidRPr="007F1156">
        <w:rPr>
          <w:rFonts w:ascii="Cambria" w:hAnsi="Cambria"/>
          <w:sz w:val="16"/>
          <w:szCs w:val="16"/>
          <w:lang w:eastAsia="x-none"/>
        </w:rPr>
        <w:t xml:space="preserve"> Report No. 50/99. </w:t>
      </w:r>
      <w:proofErr w:type="gramStart"/>
      <w:r w:rsidRPr="007F1156">
        <w:rPr>
          <w:rFonts w:ascii="Cambria" w:hAnsi="Cambria"/>
          <w:sz w:val="16"/>
          <w:szCs w:val="16"/>
          <w:lang w:eastAsia="x-none"/>
        </w:rPr>
        <w:t>Case 11.739.</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Héctor</w:t>
      </w:r>
      <w:proofErr w:type="spellEnd"/>
      <w:r w:rsidRPr="007F1156">
        <w:rPr>
          <w:rFonts w:ascii="Cambria" w:hAnsi="Cambria"/>
          <w:iCs/>
          <w:sz w:val="16"/>
          <w:szCs w:val="16"/>
          <w:lang w:eastAsia="x-none"/>
        </w:rPr>
        <w:t xml:space="preserve"> Félix Miranda (Mexico)</w:t>
      </w:r>
      <w:r w:rsidRPr="007F1156">
        <w:rPr>
          <w:rFonts w:ascii="Cambria" w:hAnsi="Cambria"/>
          <w:sz w:val="16"/>
          <w:szCs w:val="16"/>
          <w:lang w:eastAsia="x-none"/>
        </w:rPr>
        <w:t xml:space="preserve">. April 13,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52; IACHR.</w:t>
      </w:r>
      <w:proofErr w:type="gramEnd"/>
      <w:r w:rsidRPr="007F1156">
        <w:rPr>
          <w:rFonts w:ascii="Cambria" w:hAnsi="Cambria"/>
          <w:sz w:val="16"/>
          <w:szCs w:val="16"/>
          <w:lang w:eastAsia="x-none"/>
        </w:rPr>
        <w:t xml:space="preserve"> Report No. 130/99. </w:t>
      </w:r>
      <w:proofErr w:type="gramStart"/>
      <w:r w:rsidRPr="007F1156">
        <w:rPr>
          <w:rFonts w:ascii="Cambria" w:hAnsi="Cambria"/>
          <w:sz w:val="16"/>
          <w:szCs w:val="16"/>
          <w:lang w:eastAsia="x-none"/>
        </w:rPr>
        <w:t>Case No. 11.740.</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Víctor</w:t>
      </w:r>
      <w:proofErr w:type="spellEnd"/>
      <w:r w:rsidRPr="007F1156">
        <w:rPr>
          <w:rFonts w:ascii="Cambria" w:hAnsi="Cambria"/>
          <w:iCs/>
          <w:sz w:val="16"/>
          <w:szCs w:val="16"/>
          <w:lang w:eastAsia="x-none"/>
        </w:rPr>
        <w:t xml:space="preserve"> Manuel </w:t>
      </w:r>
      <w:proofErr w:type="spellStart"/>
      <w:r w:rsidRPr="007F1156">
        <w:rPr>
          <w:rFonts w:ascii="Cambria" w:hAnsi="Cambria"/>
          <w:iCs/>
          <w:sz w:val="16"/>
          <w:szCs w:val="16"/>
          <w:lang w:eastAsia="x-none"/>
        </w:rPr>
        <w:t>Oropeza</w:t>
      </w:r>
      <w:proofErr w:type="spellEnd"/>
      <w:r w:rsidRPr="007F1156">
        <w:rPr>
          <w:rFonts w:ascii="Cambria" w:hAnsi="Cambria"/>
          <w:iCs/>
          <w:sz w:val="16"/>
          <w:szCs w:val="16"/>
          <w:lang w:eastAsia="x-none"/>
        </w:rPr>
        <w:t xml:space="preserve"> (Mexico)</w:t>
      </w:r>
      <w:r w:rsidRPr="007F1156">
        <w:rPr>
          <w:rFonts w:ascii="Cambria" w:hAnsi="Cambria"/>
          <w:sz w:val="16"/>
          <w:szCs w:val="16"/>
          <w:lang w:eastAsia="x-none"/>
        </w:rPr>
        <w:t xml:space="preserve">. November 19,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58.</w:t>
      </w:r>
    </w:p>
  </w:footnote>
  <w:footnote w:id="13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lang w:eastAsia="x-none"/>
        </w:rPr>
        <w:footnoteRef/>
      </w:r>
      <w:r w:rsidRPr="007F1156">
        <w:rPr>
          <w:rFonts w:ascii="Cambria" w:hAnsi="Cambria"/>
          <w:sz w:val="16"/>
          <w:szCs w:val="16"/>
          <w:lang w:eastAsia="x-none"/>
        </w:rPr>
        <w:t xml:space="preserve"> </w:t>
      </w:r>
      <w:proofErr w:type="gramStart"/>
      <w:r w:rsidRPr="007F1156">
        <w:rPr>
          <w:rFonts w:ascii="Cambria" w:hAnsi="Cambria"/>
          <w:sz w:val="16"/>
          <w:szCs w:val="16"/>
          <w:lang w:eastAsia="x-none"/>
        </w:rPr>
        <w:t>IACHR.</w:t>
      </w:r>
      <w:proofErr w:type="gramEnd"/>
      <w:r w:rsidRPr="007F1156">
        <w:rPr>
          <w:rFonts w:ascii="Cambria" w:hAnsi="Cambria"/>
          <w:sz w:val="16"/>
          <w:szCs w:val="16"/>
          <w:lang w:eastAsia="x-none"/>
        </w:rPr>
        <w:t xml:space="preserve"> Report No. 50/99. </w:t>
      </w:r>
      <w:proofErr w:type="gramStart"/>
      <w:r w:rsidRPr="007F1156">
        <w:rPr>
          <w:rFonts w:ascii="Cambria" w:hAnsi="Cambria"/>
          <w:sz w:val="16"/>
          <w:szCs w:val="16"/>
          <w:lang w:eastAsia="x-none"/>
        </w:rPr>
        <w:t>Case 11.739.</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Héctor</w:t>
      </w:r>
      <w:proofErr w:type="spellEnd"/>
      <w:r w:rsidRPr="007F1156">
        <w:rPr>
          <w:rFonts w:ascii="Cambria" w:hAnsi="Cambria"/>
          <w:iCs/>
          <w:sz w:val="16"/>
          <w:szCs w:val="16"/>
          <w:lang w:eastAsia="x-none"/>
        </w:rPr>
        <w:t xml:space="preserve"> Félix Miranda (Mexico)</w:t>
      </w:r>
      <w:r w:rsidRPr="007F1156">
        <w:rPr>
          <w:rFonts w:ascii="Cambria" w:hAnsi="Cambria"/>
          <w:sz w:val="16"/>
          <w:szCs w:val="16"/>
          <w:lang w:eastAsia="x-none"/>
        </w:rPr>
        <w:t xml:space="preserve">. April 13,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52; IACHR.</w:t>
      </w:r>
      <w:proofErr w:type="gramEnd"/>
      <w:r w:rsidRPr="007F1156">
        <w:rPr>
          <w:rFonts w:ascii="Cambria" w:hAnsi="Cambria"/>
          <w:sz w:val="16"/>
          <w:szCs w:val="16"/>
          <w:lang w:eastAsia="x-none"/>
        </w:rPr>
        <w:t xml:space="preserve"> Report No. 130/99. </w:t>
      </w:r>
      <w:proofErr w:type="gramStart"/>
      <w:r w:rsidRPr="007F1156">
        <w:rPr>
          <w:rFonts w:ascii="Cambria" w:hAnsi="Cambria"/>
          <w:sz w:val="16"/>
          <w:szCs w:val="16"/>
          <w:lang w:eastAsia="x-none"/>
        </w:rPr>
        <w:t>Case No. 11.740.</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Víctor</w:t>
      </w:r>
      <w:proofErr w:type="spellEnd"/>
      <w:r w:rsidRPr="007F1156">
        <w:rPr>
          <w:rFonts w:ascii="Cambria" w:hAnsi="Cambria"/>
          <w:iCs/>
          <w:sz w:val="16"/>
          <w:szCs w:val="16"/>
          <w:lang w:eastAsia="x-none"/>
        </w:rPr>
        <w:t xml:space="preserve"> Manuel </w:t>
      </w:r>
      <w:proofErr w:type="spellStart"/>
      <w:r w:rsidRPr="007F1156">
        <w:rPr>
          <w:rFonts w:ascii="Cambria" w:hAnsi="Cambria"/>
          <w:iCs/>
          <w:sz w:val="16"/>
          <w:szCs w:val="16"/>
          <w:lang w:eastAsia="x-none"/>
        </w:rPr>
        <w:t>Oropeza</w:t>
      </w:r>
      <w:proofErr w:type="spellEnd"/>
      <w:r w:rsidRPr="007F1156">
        <w:rPr>
          <w:rFonts w:ascii="Cambria" w:hAnsi="Cambria"/>
          <w:iCs/>
          <w:sz w:val="16"/>
          <w:szCs w:val="16"/>
          <w:lang w:eastAsia="x-none"/>
        </w:rPr>
        <w:t xml:space="preserve"> (Mexico)</w:t>
      </w:r>
      <w:r w:rsidRPr="007F1156">
        <w:rPr>
          <w:rFonts w:ascii="Cambria" w:hAnsi="Cambria"/>
          <w:sz w:val="16"/>
          <w:szCs w:val="16"/>
          <w:lang w:eastAsia="x-none"/>
        </w:rPr>
        <w:t xml:space="preserve">. November 19,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58. </w:t>
      </w:r>
      <w:r w:rsidRPr="007F1156">
        <w:rPr>
          <w:rFonts w:ascii="Cambria" w:hAnsi="Cambria"/>
          <w:i/>
          <w:iCs/>
          <w:sz w:val="16"/>
          <w:szCs w:val="16"/>
          <w:lang w:eastAsia="x-none"/>
        </w:rPr>
        <w:t>See also</w:t>
      </w:r>
      <w:r w:rsidRPr="007F1156">
        <w:rPr>
          <w:rFonts w:ascii="Cambria" w:hAnsi="Cambria"/>
          <w:sz w:val="16"/>
          <w:szCs w:val="16"/>
          <w:lang w:eastAsia="x-none"/>
        </w:rPr>
        <w:t xml:space="preserve">, IACHR. Report No. 136/10. </w:t>
      </w:r>
      <w:proofErr w:type="gramStart"/>
      <w:r w:rsidRPr="007F1156">
        <w:rPr>
          <w:rFonts w:ascii="Cambria" w:hAnsi="Cambria"/>
          <w:sz w:val="16"/>
          <w:szCs w:val="16"/>
          <w:lang w:eastAsia="x-none"/>
        </w:rPr>
        <w:t>Case 12.658.</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Luis Gonzalo “Richard” </w:t>
      </w:r>
      <w:proofErr w:type="spellStart"/>
      <w:r w:rsidRPr="007F1156">
        <w:rPr>
          <w:rFonts w:ascii="Cambria" w:hAnsi="Cambria"/>
          <w:sz w:val="16"/>
          <w:szCs w:val="16"/>
          <w:lang w:eastAsia="x-none"/>
        </w:rPr>
        <w:t>Vélez</w:t>
      </w:r>
      <w:proofErr w:type="spellEnd"/>
      <w:r w:rsidRPr="007F1156">
        <w:rPr>
          <w:rFonts w:ascii="Cambria" w:hAnsi="Cambria"/>
          <w:sz w:val="16"/>
          <w:szCs w:val="16"/>
          <w:lang w:eastAsia="x-none"/>
        </w:rPr>
        <w:t xml:space="preserve"> </w:t>
      </w:r>
      <w:proofErr w:type="spellStart"/>
      <w:r w:rsidRPr="007F1156">
        <w:rPr>
          <w:rFonts w:ascii="Cambria" w:hAnsi="Cambria"/>
          <w:sz w:val="16"/>
          <w:szCs w:val="16"/>
          <w:lang w:eastAsia="x-none"/>
        </w:rPr>
        <w:t>Restrepo</w:t>
      </w:r>
      <w:proofErr w:type="spellEnd"/>
      <w:r w:rsidRPr="007F1156">
        <w:rPr>
          <w:rFonts w:ascii="Cambria" w:hAnsi="Cambria"/>
          <w:sz w:val="16"/>
          <w:szCs w:val="16"/>
          <w:lang w:eastAsia="x-none"/>
        </w:rPr>
        <w:t xml:space="preserve"> and Family (Colombia)</w:t>
      </w:r>
      <w:r w:rsidRPr="007F1156">
        <w:rPr>
          <w:rFonts w:ascii="Cambria" w:hAnsi="Cambria"/>
          <w:iCs/>
          <w:sz w:val="16"/>
          <w:szCs w:val="16"/>
          <w:lang w:eastAsia="x-none"/>
        </w:rPr>
        <w:t>.</w:t>
      </w:r>
      <w:proofErr w:type="gramEnd"/>
      <w:r w:rsidRPr="007F1156">
        <w:rPr>
          <w:rFonts w:ascii="Cambria" w:hAnsi="Cambria"/>
          <w:iCs/>
          <w:sz w:val="16"/>
          <w:szCs w:val="16"/>
          <w:lang w:eastAsia="x-none"/>
        </w:rPr>
        <w:t xml:space="preserve"> October 23, 2010</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136; IACHR.</w:t>
      </w:r>
      <w:proofErr w:type="gramEnd"/>
      <w:r w:rsidRPr="007F1156">
        <w:rPr>
          <w:rFonts w:ascii="Cambria" w:hAnsi="Cambria"/>
          <w:sz w:val="16"/>
          <w:szCs w:val="16"/>
          <w:lang w:eastAsia="x-none"/>
        </w:rPr>
        <w:t xml:space="preserve"> </w:t>
      </w:r>
      <w:hyperlink r:id="rId11" w:history="1">
        <w:proofErr w:type="gramStart"/>
        <w:r w:rsidRPr="007F1156">
          <w:rPr>
            <w:rStyle w:val="Hyperlink"/>
            <w:rFonts w:ascii="Cambria" w:hAnsi="Cambria"/>
            <w:sz w:val="16"/>
            <w:szCs w:val="16"/>
            <w:lang w:eastAsia="x-none"/>
          </w:rPr>
          <w:t>2010 Annual Report.</w:t>
        </w:r>
        <w:proofErr w:type="gramEnd"/>
        <w:r w:rsidRPr="007F1156">
          <w:rPr>
            <w:rStyle w:val="Hyperlink"/>
            <w:rFonts w:ascii="Cambria" w:hAnsi="Cambria"/>
            <w:sz w:val="16"/>
            <w:szCs w:val="16"/>
            <w:lang w:eastAsia="x-none"/>
          </w:rPr>
          <w:t xml:space="preserve"> </w:t>
        </w:r>
        <w:proofErr w:type="gramStart"/>
        <w:r w:rsidRPr="007F1156">
          <w:rPr>
            <w:rStyle w:val="Hyperlink"/>
            <w:rFonts w:ascii="Cambria" w:hAnsi="Cambria"/>
            <w:sz w:val="16"/>
            <w:szCs w:val="16"/>
            <w:lang w:eastAsia="x-none"/>
          </w:rPr>
          <w:t>Report of the Office of the Special Rapporteur for Freedom of Expression</w:t>
        </w:r>
      </w:hyperlink>
      <w:r w:rsidRPr="007F1156">
        <w:rPr>
          <w:rFonts w:ascii="Cambria" w:hAnsi="Cambria"/>
          <w:sz w:val="16"/>
          <w:szCs w:val="16"/>
          <w:lang w:eastAsia="x-none"/>
        </w:rPr>
        <w:t>.</w:t>
      </w:r>
      <w:proofErr w:type="gramEnd"/>
      <w:r w:rsidRPr="007F1156">
        <w:rPr>
          <w:rFonts w:ascii="Cambria" w:hAnsi="Cambria"/>
          <w:sz w:val="16"/>
          <w:szCs w:val="16"/>
          <w:lang w:eastAsia="x-none"/>
        </w:rPr>
        <w:t xml:space="preserve"> Chapter II: </w:t>
      </w:r>
      <w:r w:rsidRPr="007F1156">
        <w:rPr>
          <w:rFonts w:ascii="Cambria" w:hAnsi="Cambria"/>
          <w:i/>
          <w:sz w:val="16"/>
          <w:szCs w:val="16"/>
          <w:lang w:eastAsia="x-none"/>
        </w:rPr>
        <w:t xml:space="preserve">2010 </w:t>
      </w:r>
      <w:r w:rsidRPr="007F1156">
        <w:rPr>
          <w:rFonts w:ascii="Cambria" w:hAnsi="Cambria"/>
          <w:i/>
          <w:iCs/>
          <w:sz w:val="16"/>
          <w:szCs w:val="16"/>
          <w:lang w:eastAsia="x-none"/>
        </w:rPr>
        <w:t xml:space="preserve">Special Report on Freedom of Expression in Mexico. </w:t>
      </w:r>
      <w:r w:rsidRPr="007F1156">
        <w:rPr>
          <w:rFonts w:ascii="Cambria" w:hAnsi="Cambria"/>
          <w:sz w:val="16"/>
          <w:szCs w:val="16"/>
          <w:lang w:eastAsia="x-none"/>
        </w:rPr>
        <w:t>OEA/</w:t>
      </w:r>
      <w:proofErr w:type="spellStart"/>
      <w:r w:rsidRPr="007F1156">
        <w:rPr>
          <w:rFonts w:ascii="Cambria" w:hAnsi="Cambria"/>
          <w:sz w:val="16"/>
          <w:szCs w:val="16"/>
          <w:lang w:eastAsia="x-none"/>
        </w:rPr>
        <w:t>Ser.L</w:t>
      </w:r>
      <w:proofErr w:type="spellEnd"/>
      <w:r w:rsidRPr="007F1156">
        <w:rPr>
          <w:rFonts w:ascii="Cambria" w:hAnsi="Cambria"/>
          <w:sz w:val="16"/>
          <w:szCs w:val="16"/>
          <w:lang w:eastAsia="x-none"/>
        </w:rPr>
        <w:t xml:space="preserve">/V/II. </w:t>
      </w:r>
      <w:proofErr w:type="gramStart"/>
      <w:r w:rsidRPr="007F1156">
        <w:rPr>
          <w:rFonts w:ascii="Cambria" w:hAnsi="Cambria"/>
          <w:sz w:val="16"/>
          <w:szCs w:val="16"/>
          <w:lang w:eastAsia="x-none"/>
        </w:rPr>
        <w:t>Doc. 5.</w:t>
      </w:r>
      <w:proofErr w:type="gramEnd"/>
      <w:r w:rsidRPr="007F1156">
        <w:rPr>
          <w:rFonts w:ascii="Cambria" w:hAnsi="Cambria"/>
          <w:sz w:val="16"/>
          <w:szCs w:val="16"/>
          <w:lang w:eastAsia="x-none"/>
        </w:rPr>
        <w:t xml:space="preserve"> March 7, 2011.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716. </w:t>
      </w:r>
      <w:r w:rsidRPr="007F1156">
        <w:rPr>
          <w:rFonts w:ascii="Cambria" w:hAnsi="Cambria"/>
          <w:i/>
          <w:iCs/>
          <w:sz w:val="16"/>
          <w:szCs w:val="16"/>
          <w:lang w:eastAsia="x-none"/>
        </w:rPr>
        <w:t>See also</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I/A</w:t>
      </w:r>
      <w:proofErr w:type="gramEnd"/>
      <w:r w:rsidRPr="007F1156">
        <w:rPr>
          <w:rFonts w:ascii="Cambria" w:hAnsi="Cambria"/>
          <w:sz w:val="16"/>
          <w:szCs w:val="16"/>
          <w:lang w:eastAsia="x-none"/>
        </w:rPr>
        <w:t xml:space="preserve">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Vélez</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Restrepo</w:t>
      </w:r>
      <w:proofErr w:type="spellEnd"/>
      <w:r w:rsidRPr="007F1156">
        <w:rPr>
          <w:rFonts w:ascii="Cambria" w:hAnsi="Cambria"/>
          <w:i/>
          <w:sz w:val="16"/>
          <w:szCs w:val="16"/>
          <w:lang w:eastAsia="x-none"/>
        </w:rPr>
        <w:t xml:space="preserve"> and Family v. Colombia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Preliminary Objection, Merits, Reparations, and Costs.</w:t>
      </w:r>
      <w:proofErr w:type="gramEnd"/>
      <w:r w:rsidRPr="007F1156">
        <w:rPr>
          <w:rFonts w:ascii="Cambria" w:hAnsi="Cambria"/>
          <w:sz w:val="16"/>
          <w:szCs w:val="16"/>
          <w:lang w:eastAsia="x-none"/>
        </w:rPr>
        <w:t xml:space="preserve"> Judgment of September 3, 2012. </w:t>
      </w:r>
      <w:proofErr w:type="gramStart"/>
      <w:r w:rsidRPr="007F1156">
        <w:rPr>
          <w:rFonts w:ascii="Cambria" w:hAnsi="Cambria"/>
          <w:sz w:val="16"/>
          <w:szCs w:val="16"/>
          <w:lang w:eastAsia="x-none"/>
        </w:rPr>
        <w:t>Series C No. 248.</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211.</w:t>
      </w:r>
    </w:p>
  </w:footnote>
  <w:footnote w:id="13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lang w:eastAsia="x-none"/>
        </w:rPr>
        <w:t>Case 11.739.</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Héctor</w:t>
      </w:r>
      <w:proofErr w:type="spellEnd"/>
      <w:r w:rsidRPr="007F1156">
        <w:rPr>
          <w:rFonts w:ascii="Cambria" w:hAnsi="Cambria"/>
          <w:iCs/>
          <w:sz w:val="16"/>
          <w:szCs w:val="16"/>
          <w:lang w:eastAsia="x-none"/>
        </w:rPr>
        <w:t xml:space="preserve"> Félix Miranda (Mexico)</w:t>
      </w:r>
      <w:r w:rsidRPr="007F1156">
        <w:rPr>
          <w:rFonts w:ascii="Cambria" w:hAnsi="Cambria"/>
          <w:sz w:val="16"/>
          <w:szCs w:val="16"/>
          <w:lang w:eastAsia="x-none"/>
        </w:rPr>
        <w:t xml:space="preserve">. April 13,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52; IACHR.</w:t>
      </w:r>
      <w:proofErr w:type="gramEnd"/>
      <w:r w:rsidRPr="007F1156">
        <w:rPr>
          <w:rFonts w:ascii="Cambria" w:hAnsi="Cambria"/>
          <w:sz w:val="16"/>
          <w:szCs w:val="16"/>
          <w:lang w:eastAsia="x-none"/>
        </w:rPr>
        <w:t xml:space="preserve"> Report No. 130/99. </w:t>
      </w:r>
      <w:proofErr w:type="gramStart"/>
      <w:r w:rsidRPr="007F1156">
        <w:rPr>
          <w:rFonts w:ascii="Cambria" w:hAnsi="Cambria"/>
          <w:sz w:val="16"/>
          <w:szCs w:val="16"/>
          <w:lang w:eastAsia="x-none"/>
        </w:rPr>
        <w:t>Case No. 11.740.</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Víctor</w:t>
      </w:r>
      <w:proofErr w:type="spellEnd"/>
      <w:r w:rsidRPr="007F1156">
        <w:rPr>
          <w:rFonts w:ascii="Cambria" w:hAnsi="Cambria"/>
          <w:iCs/>
          <w:sz w:val="16"/>
          <w:szCs w:val="16"/>
          <w:lang w:eastAsia="x-none"/>
        </w:rPr>
        <w:t xml:space="preserve"> Manuel </w:t>
      </w:r>
      <w:proofErr w:type="spellStart"/>
      <w:r w:rsidRPr="007F1156">
        <w:rPr>
          <w:rFonts w:ascii="Cambria" w:hAnsi="Cambria"/>
          <w:iCs/>
          <w:sz w:val="16"/>
          <w:szCs w:val="16"/>
          <w:lang w:eastAsia="x-none"/>
        </w:rPr>
        <w:t>Oropeza</w:t>
      </w:r>
      <w:proofErr w:type="spellEnd"/>
      <w:r w:rsidRPr="007F1156">
        <w:rPr>
          <w:rFonts w:ascii="Cambria" w:hAnsi="Cambria"/>
          <w:iCs/>
          <w:sz w:val="16"/>
          <w:szCs w:val="16"/>
          <w:lang w:eastAsia="x-none"/>
        </w:rPr>
        <w:t xml:space="preserve"> (Mexico)</w:t>
      </w:r>
      <w:r w:rsidRPr="007F1156">
        <w:rPr>
          <w:rFonts w:ascii="Cambria" w:hAnsi="Cambria"/>
          <w:sz w:val="16"/>
          <w:szCs w:val="16"/>
          <w:lang w:eastAsia="x-none"/>
        </w:rPr>
        <w:t xml:space="preserve">. November 19,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61.</w:t>
      </w:r>
    </w:p>
  </w:footnote>
  <w:footnote w:id="13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12" w:history="1">
        <w:proofErr w:type="gramStart"/>
        <w:r w:rsidRPr="007F1156">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129. </w:t>
      </w:r>
    </w:p>
  </w:footnote>
  <w:footnote w:id="135">
    <w:p w:rsidR="00F8558A" w:rsidRPr="007F1156" w:rsidRDefault="00F8558A" w:rsidP="007F1156">
      <w:pPr>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 xml:space="preserve">I/A Court H.R., </w:t>
      </w:r>
      <w:r w:rsidRPr="007F1156">
        <w:rPr>
          <w:rFonts w:ascii="Cambria" w:hAnsi="Cambria"/>
          <w:i/>
          <w:sz w:val="16"/>
          <w:szCs w:val="16"/>
        </w:rPr>
        <w:t>Compulsory Membership in an Association Prescribed by Law for the Practice of Journalism (Arts. 13 and 29 American Convention on Human Rights).</w:t>
      </w:r>
      <w:proofErr w:type="gramEnd"/>
      <w:r w:rsidRPr="007F1156">
        <w:rPr>
          <w:rFonts w:ascii="Cambria" w:hAnsi="Cambria"/>
          <w:sz w:val="16"/>
          <w:szCs w:val="16"/>
        </w:rPr>
        <w:t xml:space="preserve"> Advisory Opinion OC-5/85 of November 13, 1985. Series </w:t>
      </w:r>
      <w:proofErr w:type="gramStart"/>
      <w:r w:rsidRPr="007F1156">
        <w:rPr>
          <w:rFonts w:ascii="Cambria" w:hAnsi="Cambria"/>
          <w:sz w:val="16"/>
          <w:szCs w:val="16"/>
        </w:rPr>
        <w:t>A</w:t>
      </w:r>
      <w:proofErr w:type="gramEnd"/>
      <w:r w:rsidRPr="007F1156">
        <w:rPr>
          <w:rFonts w:ascii="Cambria" w:hAnsi="Cambria"/>
          <w:sz w:val="16"/>
          <w:szCs w:val="16"/>
        </w:rPr>
        <w:t xml:space="preserve"> No. 5.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70; IACHR.</w:t>
      </w:r>
      <w:proofErr w:type="gramEnd"/>
      <w:r w:rsidRPr="007F1156">
        <w:rPr>
          <w:rFonts w:ascii="Cambria" w:hAnsi="Cambria"/>
          <w:sz w:val="16"/>
          <w:szCs w:val="16"/>
        </w:rPr>
        <w:t xml:space="preserve"> </w:t>
      </w:r>
      <w:hyperlink r:id="rId13"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2.</w:t>
      </w:r>
    </w:p>
  </w:footnote>
  <w:footnote w:id="13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Vélez</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Restrepo</w:t>
      </w:r>
      <w:proofErr w:type="spellEnd"/>
      <w:r w:rsidRPr="007F1156">
        <w:rPr>
          <w:rFonts w:ascii="Cambria" w:hAnsi="Cambria"/>
          <w:i/>
          <w:sz w:val="16"/>
          <w:szCs w:val="16"/>
          <w:lang w:eastAsia="x-none"/>
        </w:rPr>
        <w:t xml:space="preserve"> and Family v. Colombia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Preliminary Objection, Merits, Reparations, and Costs.</w:t>
      </w:r>
      <w:proofErr w:type="gramEnd"/>
      <w:r w:rsidRPr="007F1156">
        <w:rPr>
          <w:rFonts w:ascii="Cambria" w:hAnsi="Cambria"/>
          <w:sz w:val="16"/>
          <w:szCs w:val="16"/>
          <w:lang w:eastAsia="x-none"/>
        </w:rPr>
        <w:t xml:space="preserve"> Judgment of September 3, 2012. </w:t>
      </w:r>
      <w:proofErr w:type="gramStart"/>
      <w:r w:rsidRPr="007F1156">
        <w:rPr>
          <w:rFonts w:ascii="Cambria" w:hAnsi="Cambria"/>
          <w:sz w:val="16"/>
          <w:szCs w:val="16"/>
          <w:lang w:eastAsia="x-none"/>
        </w:rPr>
        <w:t>Series C No. 248.</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148; IACHR.</w:t>
      </w:r>
      <w:proofErr w:type="gramEnd"/>
      <w:r w:rsidRPr="007F1156">
        <w:rPr>
          <w:rFonts w:ascii="Cambria" w:hAnsi="Cambria"/>
          <w:sz w:val="16"/>
          <w:szCs w:val="16"/>
          <w:lang w:eastAsia="x-none"/>
        </w:rPr>
        <w:t xml:space="preserve"> Report No. 136/10. </w:t>
      </w:r>
      <w:proofErr w:type="gramStart"/>
      <w:r w:rsidRPr="007F1156">
        <w:rPr>
          <w:rFonts w:ascii="Cambria" w:hAnsi="Cambria"/>
          <w:sz w:val="16"/>
          <w:szCs w:val="16"/>
          <w:lang w:eastAsia="x-none"/>
        </w:rPr>
        <w:t>Case 12.658.</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 xml:space="preserve">Luis Gonzalo “Richard” </w:t>
      </w:r>
      <w:proofErr w:type="spellStart"/>
      <w:r w:rsidRPr="007F1156">
        <w:rPr>
          <w:rFonts w:ascii="Cambria" w:hAnsi="Cambria"/>
          <w:sz w:val="16"/>
          <w:szCs w:val="16"/>
          <w:lang w:eastAsia="x-none"/>
        </w:rPr>
        <w:t>Vélez</w:t>
      </w:r>
      <w:proofErr w:type="spellEnd"/>
      <w:r w:rsidRPr="007F1156">
        <w:rPr>
          <w:rFonts w:ascii="Cambria" w:hAnsi="Cambria"/>
          <w:sz w:val="16"/>
          <w:szCs w:val="16"/>
          <w:lang w:eastAsia="x-none"/>
        </w:rPr>
        <w:t xml:space="preserve"> </w:t>
      </w:r>
      <w:proofErr w:type="spellStart"/>
      <w:r w:rsidRPr="007F1156">
        <w:rPr>
          <w:rFonts w:ascii="Cambria" w:hAnsi="Cambria"/>
          <w:sz w:val="16"/>
          <w:szCs w:val="16"/>
          <w:lang w:eastAsia="x-none"/>
        </w:rPr>
        <w:t>Restrepo</w:t>
      </w:r>
      <w:proofErr w:type="spellEnd"/>
      <w:r w:rsidRPr="007F1156">
        <w:rPr>
          <w:rFonts w:ascii="Cambria" w:hAnsi="Cambria"/>
          <w:sz w:val="16"/>
          <w:szCs w:val="16"/>
          <w:lang w:eastAsia="x-none"/>
        </w:rPr>
        <w:t xml:space="preserve"> and Family (Colombia)</w:t>
      </w:r>
      <w:r w:rsidRPr="007F1156">
        <w:rPr>
          <w:rFonts w:ascii="Cambria" w:hAnsi="Cambria"/>
          <w:iCs/>
          <w:sz w:val="16"/>
          <w:szCs w:val="16"/>
          <w:lang w:eastAsia="x-none"/>
        </w:rPr>
        <w:t>.</w:t>
      </w:r>
      <w:proofErr w:type="gramEnd"/>
      <w:r w:rsidRPr="007F1156">
        <w:rPr>
          <w:rFonts w:ascii="Cambria" w:hAnsi="Cambria"/>
          <w:iCs/>
          <w:sz w:val="16"/>
          <w:szCs w:val="16"/>
          <w:lang w:eastAsia="x-none"/>
        </w:rPr>
        <w:t xml:space="preserve"> October 23, 2010</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136; IACHR.</w:t>
      </w:r>
      <w:proofErr w:type="gramEnd"/>
      <w:r w:rsidRPr="007F1156">
        <w:rPr>
          <w:rFonts w:ascii="Cambria" w:hAnsi="Cambria"/>
          <w:sz w:val="16"/>
          <w:szCs w:val="16"/>
          <w:lang w:eastAsia="x-none"/>
        </w:rPr>
        <w:t xml:space="preserve"> Report No. 50/99. </w:t>
      </w:r>
      <w:proofErr w:type="gramStart"/>
      <w:r w:rsidRPr="007F1156">
        <w:rPr>
          <w:rFonts w:ascii="Cambria" w:hAnsi="Cambria"/>
          <w:sz w:val="16"/>
          <w:szCs w:val="16"/>
          <w:lang w:eastAsia="x-none"/>
        </w:rPr>
        <w:t>Case 11.739.</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Héctor</w:t>
      </w:r>
      <w:proofErr w:type="spellEnd"/>
      <w:r w:rsidRPr="007F1156">
        <w:rPr>
          <w:rFonts w:ascii="Cambria" w:hAnsi="Cambria"/>
          <w:iCs/>
          <w:sz w:val="16"/>
          <w:szCs w:val="16"/>
          <w:lang w:eastAsia="x-none"/>
        </w:rPr>
        <w:t xml:space="preserve"> Félix Miranda (Mexico)</w:t>
      </w:r>
      <w:r w:rsidRPr="007F1156">
        <w:rPr>
          <w:rFonts w:ascii="Cambria" w:hAnsi="Cambria"/>
          <w:sz w:val="16"/>
          <w:szCs w:val="16"/>
          <w:lang w:eastAsia="x-none"/>
        </w:rPr>
        <w:t xml:space="preserve">. April 13,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52; IACHR.</w:t>
      </w:r>
      <w:proofErr w:type="gramEnd"/>
      <w:r w:rsidRPr="007F1156">
        <w:rPr>
          <w:rFonts w:ascii="Cambria" w:hAnsi="Cambria"/>
          <w:sz w:val="16"/>
          <w:szCs w:val="16"/>
          <w:lang w:eastAsia="x-none"/>
        </w:rPr>
        <w:t xml:space="preserve"> Report No. 130/99. </w:t>
      </w:r>
      <w:proofErr w:type="gramStart"/>
      <w:r w:rsidRPr="007F1156">
        <w:rPr>
          <w:rFonts w:ascii="Cambria" w:hAnsi="Cambria"/>
          <w:sz w:val="16"/>
          <w:szCs w:val="16"/>
          <w:lang w:eastAsia="x-none"/>
        </w:rPr>
        <w:t>Case No. 11.740.</w:t>
      </w:r>
      <w:proofErr w:type="gramEnd"/>
      <w:r w:rsidRPr="007F1156">
        <w:rPr>
          <w:rFonts w:ascii="Cambria" w:hAnsi="Cambria"/>
          <w:sz w:val="16"/>
          <w:szCs w:val="16"/>
          <w:lang w:eastAsia="x-none"/>
        </w:rPr>
        <w:t xml:space="preserve"> </w:t>
      </w:r>
      <w:proofErr w:type="spellStart"/>
      <w:r w:rsidRPr="007F1156">
        <w:rPr>
          <w:rFonts w:ascii="Cambria" w:hAnsi="Cambria"/>
          <w:iCs/>
          <w:sz w:val="16"/>
          <w:szCs w:val="16"/>
          <w:lang w:eastAsia="x-none"/>
        </w:rPr>
        <w:t>Víctor</w:t>
      </w:r>
      <w:proofErr w:type="spellEnd"/>
      <w:r w:rsidRPr="007F1156">
        <w:rPr>
          <w:rFonts w:ascii="Cambria" w:hAnsi="Cambria"/>
          <w:iCs/>
          <w:sz w:val="16"/>
          <w:szCs w:val="16"/>
          <w:lang w:eastAsia="x-none"/>
        </w:rPr>
        <w:t xml:space="preserve"> Manuel </w:t>
      </w:r>
      <w:proofErr w:type="spellStart"/>
      <w:r w:rsidRPr="007F1156">
        <w:rPr>
          <w:rFonts w:ascii="Cambria" w:hAnsi="Cambria"/>
          <w:iCs/>
          <w:sz w:val="16"/>
          <w:szCs w:val="16"/>
          <w:lang w:eastAsia="x-none"/>
        </w:rPr>
        <w:t>Oropeza</w:t>
      </w:r>
      <w:proofErr w:type="spellEnd"/>
      <w:r w:rsidRPr="007F1156">
        <w:rPr>
          <w:rFonts w:ascii="Cambria" w:hAnsi="Cambria"/>
          <w:iCs/>
          <w:sz w:val="16"/>
          <w:szCs w:val="16"/>
          <w:lang w:eastAsia="x-none"/>
        </w:rPr>
        <w:t xml:space="preserve"> (Mexico)</w:t>
      </w:r>
      <w:r w:rsidRPr="007F1156">
        <w:rPr>
          <w:rFonts w:ascii="Cambria" w:hAnsi="Cambria"/>
          <w:sz w:val="16"/>
          <w:szCs w:val="16"/>
          <w:lang w:eastAsia="x-none"/>
        </w:rPr>
        <w:t xml:space="preserve">. November 19, 1999.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58. </w:t>
      </w:r>
      <w:r w:rsidRPr="007F1156">
        <w:rPr>
          <w:rFonts w:ascii="Cambria" w:hAnsi="Cambria"/>
          <w:i/>
          <w:iCs/>
          <w:sz w:val="16"/>
          <w:szCs w:val="16"/>
          <w:lang w:eastAsia="x-none"/>
        </w:rPr>
        <w:t>See also</w:t>
      </w:r>
      <w:r w:rsidRPr="007F1156">
        <w:rPr>
          <w:rFonts w:ascii="Cambria" w:hAnsi="Cambria"/>
          <w:sz w:val="16"/>
          <w:szCs w:val="16"/>
          <w:lang w:eastAsia="x-none"/>
        </w:rPr>
        <w:t xml:space="preserve">, IACHR. </w:t>
      </w:r>
      <w:hyperlink r:id="rId14" w:history="1">
        <w:proofErr w:type="gramStart"/>
        <w:r w:rsidRPr="007F1156">
          <w:rPr>
            <w:rStyle w:val="Hyperlink"/>
            <w:rFonts w:ascii="Cambria" w:hAnsi="Cambria"/>
            <w:sz w:val="16"/>
            <w:szCs w:val="16"/>
            <w:lang w:eastAsia="x-none"/>
          </w:rPr>
          <w:t>2010 Annual Report.</w:t>
        </w:r>
        <w:proofErr w:type="gramEnd"/>
        <w:r w:rsidRPr="007F1156">
          <w:rPr>
            <w:rStyle w:val="Hyperlink"/>
            <w:rFonts w:ascii="Cambria" w:hAnsi="Cambria"/>
            <w:sz w:val="16"/>
            <w:szCs w:val="16"/>
            <w:lang w:eastAsia="x-none"/>
          </w:rPr>
          <w:t xml:space="preserve"> </w:t>
        </w:r>
        <w:proofErr w:type="gramStart"/>
        <w:r w:rsidRPr="007F1156">
          <w:rPr>
            <w:rStyle w:val="Hyperlink"/>
            <w:rFonts w:ascii="Cambria" w:hAnsi="Cambria"/>
            <w:sz w:val="16"/>
            <w:szCs w:val="16"/>
            <w:lang w:eastAsia="x-none"/>
          </w:rPr>
          <w:t>Report of the Office of the Special Rapporteur for Freedom of Expression</w:t>
        </w:r>
      </w:hyperlink>
      <w:r w:rsidRPr="007F1156">
        <w:rPr>
          <w:rFonts w:ascii="Cambria" w:hAnsi="Cambria"/>
          <w:sz w:val="16"/>
          <w:szCs w:val="16"/>
          <w:lang w:eastAsia="x-none"/>
        </w:rPr>
        <w:t>.</w:t>
      </w:r>
      <w:proofErr w:type="gramEnd"/>
      <w:r w:rsidRPr="007F1156">
        <w:rPr>
          <w:rFonts w:ascii="Cambria" w:hAnsi="Cambria"/>
          <w:sz w:val="16"/>
          <w:szCs w:val="16"/>
          <w:lang w:eastAsia="x-none"/>
        </w:rPr>
        <w:t xml:space="preserve"> Chapter II: </w:t>
      </w:r>
      <w:r w:rsidRPr="007F1156">
        <w:rPr>
          <w:rFonts w:ascii="Cambria" w:hAnsi="Cambria"/>
          <w:i/>
          <w:sz w:val="16"/>
          <w:szCs w:val="16"/>
          <w:lang w:eastAsia="x-none"/>
        </w:rPr>
        <w:t>2010 Special Report on Freedom of Expression in Mexico</w:t>
      </w:r>
      <w:r w:rsidRPr="007F1156">
        <w:rPr>
          <w:rFonts w:ascii="Cambria" w:hAnsi="Cambria"/>
          <w:sz w:val="16"/>
          <w:szCs w:val="16"/>
          <w:lang w:eastAsia="x-none"/>
        </w:rPr>
        <w:t>. OEA/</w:t>
      </w:r>
      <w:proofErr w:type="spellStart"/>
      <w:r w:rsidRPr="007F1156">
        <w:rPr>
          <w:rFonts w:ascii="Cambria" w:hAnsi="Cambria"/>
          <w:sz w:val="16"/>
          <w:szCs w:val="16"/>
          <w:lang w:eastAsia="x-none"/>
        </w:rPr>
        <w:t>Ser.L</w:t>
      </w:r>
      <w:proofErr w:type="spellEnd"/>
      <w:r w:rsidRPr="007F1156">
        <w:rPr>
          <w:rFonts w:ascii="Cambria" w:hAnsi="Cambria"/>
          <w:sz w:val="16"/>
          <w:szCs w:val="16"/>
          <w:lang w:eastAsia="x-none"/>
        </w:rPr>
        <w:t xml:space="preserve">/V/II. </w:t>
      </w:r>
      <w:proofErr w:type="gramStart"/>
      <w:r w:rsidRPr="007F1156">
        <w:rPr>
          <w:rFonts w:ascii="Cambria" w:hAnsi="Cambria"/>
          <w:sz w:val="16"/>
          <w:szCs w:val="16"/>
          <w:lang w:eastAsia="x-none"/>
        </w:rPr>
        <w:t>Doc. 5.</w:t>
      </w:r>
      <w:proofErr w:type="gramEnd"/>
      <w:r w:rsidRPr="007F1156">
        <w:rPr>
          <w:rFonts w:ascii="Cambria" w:hAnsi="Cambria"/>
          <w:sz w:val="16"/>
          <w:szCs w:val="16"/>
          <w:lang w:eastAsia="x-none"/>
        </w:rPr>
        <w:t xml:space="preserve"> March 7, 2011.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716.</w:t>
      </w:r>
    </w:p>
  </w:footnote>
  <w:footnote w:id="13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r w:rsidRPr="007F1156">
        <w:rPr>
          <w:rFonts w:ascii="Cambria" w:hAnsi="Cambria"/>
          <w:sz w:val="16"/>
          <w:szCs w:val="16"/>
          <w:lang w:eastAsia="x-none"/>
        </w:rPr>
        <w:t xml:space="preserve">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Velásquez</w:t>
      </w:r>
      <w:proofErr w:type="spellEnd"/>
      <w:r w:rsidRPr="007F1156">
        <w:rPr>
          <w:rFonts w:ascii="Cambria" w:hAnsi="Cambria"/>
          <w:i/>
          <w:sz w:val="16"/>
          <w:szCs w:val="16"/>
          <w:lang w:eastAsia="x-none"/>
        </w:rPr>
        <w:t xml:space="preserve"> Rodríguez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July 29, 1988. </w:t>
      </w:r>
      <w:proofErr w:type="gramStart"/>
      <w:r w:rsidRPr="007F1156">
        <w:rPr>
          <w:rFonts w:ascii="Cambria" w:hAnsi="Cambria"/>
          <w:sz w:val="16"/>
          <w:szCs w:val="16"/>
          <w:lang w:eastAsia="x-none"/>
        </w:rPr>
        <w:t>Series C No. 4.</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r w:rsidRPr="007F1156">
        <w:rPr>
          <w:rFonts w:ascii="Cambria" w:hAnsi="Cambria"/>
          <w:sz w:val="16"/>
          <w:szCs w:val="16"/>
        </w:rPr>
        <w:t>177.</w:t>
      </w:r>
      <w:proofErr w:type="gramEnd"/>
    </w:p>
  </w:footnote>
  <w:footnote w:id="13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15"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 xml:space="preserve">175 </w:t>
      </w:r>
      <w:r w:rsidRPr="007F1156">
        <w:rPr>
          <w:rFonts w:ascii="Cambria" w:hAnsi="Cambria"/>
          <w:i/>
          <w:sz w:val="16"/>
          <w:szCs w:val="16"/>
        </w:rPr>
        <w:t>et seq.</w:t>
      </w:r>
      <w:proofErr w:type="gramEnd"/>
    </w:p>
  </w:footnote>
  <w:footnote w:id="139">
    <w:p w:rsidR="00F8558A" w:rsidRPr="007F1156" w:rsidRDefault="00F8558A" w:rsidP="007F1156">
      <w:pPr>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spellStart"/>
      <w:proofErr w:type="gramStart"/>
      <w:r w:rsidRPr="007F1156">
        <w:rPr>
          <w:rFonts w:ascii="Cambria" w:hAnsi="Cambria" w:cs="Verdana"/>
          <w:bCs/>
          <w:i/>
          <w:sz w:val="16"/>
          <w:szCs w:val="16"/>
          <w:lang w:bidi="en-US"/>
        </w:rPr>
        <w:t>Cfr</w:t>
      </w:r>
      <w:proofErr w:type="spellEnd"/>
      <w:r w:rsidRPr="007F1156">
        <w:rPr>
          <w:rFonts w:ascii="Cambria" w:hAnsi="Cambria" w:cs="Verdana"/>
          <w:bCs/>
          <w:i/>
          <w:sz w:val="16"/>
          <w:szCs w:val="16"/>
          <w:lang w:bidi="en-US"/>
        </w:rPr>
        <w:t>.</w:t>
      </w:r>
      <w:proofErr w:type="gramEnd"/>
      <w:r w:rsidRPr="007F1156">
        <w:rPr>
          <w:rFonts w:ascii="Cambria" w:hAnsi="Cambria" w:cs="Verdana"/>
          <w:bCs/>
          <w:i/>
          <w:sz w:val="16"/>
          <w:szCs w:val="16"/>
          <w:lang w:bidi="en-US"/>
        </w:rPr>
        <w:t xml:space="preserve"> </w:t>
      </w:r>
      <w:r w:rsidRPr="007F1156">
        <w:rPr>
          <w:rFonts w:ascii="Cambria" w:hAnsi="Cambria" w:cs="Verdana"/>
          <w:bCs/>
          <w:sz w:val="16"/>
          <w:szCs w:val="16"/>
          <w:lang w:bidi="en-US"/>
        </w:rPr>
        <w:t xml:space="preserve">I/A Court H.R., </w:t>
      </w:r>
      <w:r w:rsidRPr="007F1156">
        <w:rPr>
          <w:rFonts w:ascii="Cambria" w:hAnsi="Cambria" w:cs="Verdana"/>
          <w:bCs/>
          <w:i/>
          <w:sz w:val="16"/>
          <w:szCs w:val="16"/>
          <w:lang w:bidi="en-US"/>
        </w:rPr>
        <w:t>Case of Garibaldi v. Brazil.</w:t>
      </w:r>
      <w:r w:rsidRPr="007F1156">
        <w:rPr>
          <w:rFonts w:ascii="Cambria" w:hAnsi="Cambria" w:cs="Verdana"/>
          <w:bCs/>
          <w:sz w:val="16"/>
          <w:szCs w:val="16"/>
          <w:lang w:bidi="en-US"/>
        </w:rPr>
        <w:t xml:space="preserve"> </w:t>
      </w:r>
      <w:proofErr w:type="gramStart"/>
      <w:r w:rsidRPr="007F1156">
        <w:rPr>
          <w:rFonts w:ascii="Cambria" w:hAnsi="Cambria" w:cs="Verdana"/>
          <w:bCs/>
          <w:sz w:val="16"/>
          <w:szCs w:val="16"/>
          <w:lang w:bidi="en-US"/>
        </w:rPr>
        <w:t>Preliminary Objections, Merits, Reparations, and Costs.</w:t>
      </w:r>
      <w:proofErr w:type="gramEnd"/>
      <w:r w:rsidRPr="007F1156">
        <w:rPr>
          <w:rFonts w:ascii="Cambria" w:hAnsi="Cambria" w:cs="Verdana"/>
          <w:bCs/>
          <w:sz w:val="16"/>
          <w:szCs w:val="16"/>
          <w:lang w:bidi="en-US"/>
        </w:rPr>
        <w:t xml:space="preserve"> Judgment of September 23, 2009. Series C No. 203</w:t>
      </w:r>
      <w:r w:rsidRPr="007F1156">
        <w:rPr>
          <w:rFonts w:ascii="Cambria" w:hAnsi="Cambria"/>
          <w:color w:val="000000"/>
          <w:sz w:val="16"/>
          <w:szCs w:val="16"/>
        </w:rPr>
        <w:t xml:space="preserve">, </w:t>
      </w:r>
      <w:r w:rsidRPr="007F1156">
        <w:rPr>
          <w:rFonts w:ascii="Cambria" w:hAnsi="Cambria"/>
          <w:sz w:val="16"/>
          <w:szCs w:val="16"/>
        </w:rPr>
        <w:t xml:space="preserve">para. 120; </w:t>
      </w:r>
      <w:r w:rsidRPr="007F1156">
        <w:rPr>
          <w:rFonts w:ascii="Cambria" w:hAnsi="Cambria" w:cs="Verdana"/>
          <w:bCs/>
          <w:sz w:val="16"/>
          <w:szCs w:val="16"/>
          <w:lang w:bidi="en-US"/>
        </w:rPr>
        <w:t xml:space="preserve">I/A Court H.R., </w:t>
      </w:r>
      <w:r w:rsidRPr="007F1156">
        <w:rPr>
          <w:rFonts w:ascii="Cambria" w:hAnsi="Cambria" w:cs="Verdana"/>
          <w:bCs/>
          <w:i/>
          <w:sz w:val="16"/>
          <w:szCs w:val="16"/>
          <w:lang w:bidi="en-US"/>
        </w:rPr>
        <w:t>Case of Barrios Family v. Venezuela.</w:t>
      </w:r>
      <w:r w:rsidRPr="007F1156">
        <w:rPr>
          <w:rFonts w:ascii="Cambria" w:hAnsi="Cambria" w:cs="Verdana"/>
          <w:bCs/>
          <w:sz w:val="16"/>
          <w:szCs w:val="16"/>
          <w:lang w:bidi="en-US"/>
        </w:rPr>
        <w:t xml:space="preserve"> </w:t>
      </w:r>
      <w:proofErr w:type="gramStart"/>
      <w:r w:rsidRPr="007F1156">
        <w:rPr>
          <w:rFonts w:ascii="Cambria" w:hAnsi="Cambria" w:cs="Verdana"/>
          <w:bCs/>
          <w:sz w:val="16"/>
          <w:szCs w:val="16"/>
          <w:lang w:bidi="en-US"/>
        </w:rPr>
        <w:t>Merits, Reparations and Costs.</w:t>
      </w:r>
      <w:proofErr w:type="gramEnd"/>
      <w:r w:rsidRPr="007F1156">
        <w:rPr>
          <w:rFonts w:ascii="Cambria" w:hAnsi="Cambria" w:cs="Verdana"/>
          <w:bCs/>
          <w:sz w:val="16"/>
          <w:szCs w:val="16"/>
          <w:lang w:bidi="en-US"/>
        </w:rPr>
        <w:t xml:space="preserve"> Judgment of November 24, 2011. Series C No. 237</w:t>
      </w:r>
      <w:r w:rsidRPr="007F1156">
        <w:rPr>
          <w:rFonts w:ascii="Cambria" w:hAnsi="Cambria"/>
          <w:color w:val="000000"/>
          <w:sz w:val="16"/>
          <w:szCs w:val="16"/>
        </w:rPr>
        <w:t>, para. 181.</w:t>
      </w:r>
    </w:p>
  </w:footnote>
  <w:footnote w:id="14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16" w:history="1">
        <w:r w:rsidRPr="007F1156">
          <w:rPr>
            <w:rStyle w:val="Hyperlink"/>
            <w:rFonts w:ascii="Cambria" w:hAnsi="Cambria"/>
            <w:sz w:val="16"/>
            <w:szCs w:val="16"/>
          </w:rPr>
          <w:t xml:space="preserve">2013 Annual Report.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175; United Nations General Assembly.</w:t>
      </w:r>
      <w:proofErr w:type="gramEnd"/>
      <w:r w:rsidRPr="007F1156">
        <w:rPr>
          <w:rFonts w:ascii="Cambria" w:hAnsi="Cambria"/>
          <w:sz w:val="16"/>
          <w:szCs w:val="16"/>
        </w:rPr>
        <w:t xml:space="preserve"> </w:t>
      </w:r>
      <w:proofErr w:type="gramStart"/>
      <w:r w:rsidRPr="007F1156">
        <w:rPr>
          <w:rFonts w:ascii="Cambria" w:hAnsi="Cambria"/>
          <w:iCs/>
          <w:sz w:val="16"/>
          <w:szCs w:val="16"/>
        </w:rPr>
        <w:t>Report of the Special Rapporteur on the promotion and protection of the right to freedom of opinion and expression, Frank La Rue.</w:t>
      </w:r>
      <w:proofErr w:type="gramEnd"/>
      <w:r w:rsidRPr="007F1156">
        <w:rPr>
          <w:rFonts w:ascii="Cambria" w:hAnsi="Cambria"/>
          <w:sz w:val="16"/>
          <w:szCs w:val="16"/>
        </w:rPr>
        <w:t xml:space="preserve"> </w:t>
      </w:r>
      <w:proofErr w:type="gramStart"/>
      <w:r w:rsidRPr="007F1156">
        <w:rPr>
          <w:rFonts w:ascii="Cambria" w:hAnsi="Cambria"/>
          <w:sz w:val="16"/>
          <w:szCs w:val="16"/>
        </w:rPr>
        <w:t>A/HRC/20/17.</w:t>
      </w:r>
      <w:proofErr w:type="gramEnd"/>
      <w:r w:rsidRPr="007F1156">
        <w:rPr>
          <w:rFonts w:ascii="Cambria" w:hAnsi="Cambria"/>
          <w:sz w:val="16"/>
          <w:szCs w:val="16"/>
        </w:rPr>
        <w:t xml:space="preserve"> June 4, 2012. </w:t>
      </w:r>
      <w:proofErr w:type="gramStart"/>
      <w:r w:rsidRPr="007F1156">
        <w:rPr>
          <w:rFonts w:ascii="Cambria" w:hAnsi="Cambria"/>
          <w:sz w:val="16"/>
          <w:szCs w:val="16"/>
        </w:rPr>
        <w:t>Para.</w:t>
      </w:r>
      <w:proofErr w:type="gramEnd"/>
      <w:r w:rsidRPr="007F1156">
        <w:rPr>
          <w:rFonts w:ascii="Cambria" w:hAnsi="Cambria"/>
          <w:sz w:val="16"/>
          <w:szCs w:val="16"/>
        </w:rPr>
        <w:t xml:space="preserve"> 57. Available at: </w:t>
      </w:r>
      <w:hyperlink r:id="rId17" w:history="1">
        <w:r w:rsidRPr="007F1156">
          <w:rPr>
            <w:rStyle w:val="Hyperlink"/>
            <w:rFonts w:ascii="Cambria" w:hAnsi="Cambria" w:cs="Cambria"/>
            <w:sz w:val="16"/>
            <w:szCs w:val="16"/>
          </w:rPr>
          <w:t>http://daccess-dds-ny.un.org/doc/UNDOC/GEN/G12/137/87/PDF/G1213787.pdf?OpenElement</w:t>
        </w:r>
      </w:hyperlink>
    </w:p>
  </w:footnote>
  <w:footnote w:id="14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18"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175.</w:t>
      </w:r>
    </w:p>
  </w:footnote>
  <w:footnote w:id="14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19" w:history="1">
        <w:proofErr w:type="gramStart"/>
        <w:r w:rsidRPr="007F1156">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 xml:space="preserve">58, </w:t>
      </w:r>
      <w:r w:rsidRPr="007F1156">
        <w:rPr>
          <w:rFonts w:ascii="Cambria" w:hAnsi="Cambria"/>
          <w:i/>
          <w:sz w:val="16"/>
          <w:szCs w:val="16"/>
        </w:rPr>
        <w:t xml:space="preserve">citing </w:t>
      </w:r>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i/>
          <w:iCs/>
          <w:sz w:val="16"/>
          <w:szCs w:val="16"/>
        </w:rPr>
        <w:t xml:space="preserve">Case of </w:t>
      </w:r>
      <w:proofErr w:type="spellStart"/>
      <w:r w:rsidRPr="007F1156">
        <w:rPr>
          <w:rFonts w:ascii="Cambria" w:hAnsi="Cambria"/>
          <w:i/>
          <w:iCs/>
          <w:sz w:val="16"/>
          <w:szCs w:val="16"/>
        </w:rPr>
        <w:t>Baldeón</w:t>
      </w:r>
      <w:proofErr w:type="spellEnd"/>
      <w:r w:rsidRPr="007F1156">
        <w:rPr>
          <w:rFonts w:ascii="Cambria" w:hAnsi="Cambria"/>
          <w:i/>
          <w:iCs/>
          <w:sz w:val="16"/>
          <w:szCs w:val="16"/>
        </w:rPr>
        <w:t xml:space="preserve"> García v. Peru.</w:t>
      </w:r>
      <w:proofErr w:type="gramEnd"/>
      <w:r w:rsidRPr="007F1156">
        <w:rPr>
          <w:rFonts w:ascii="Cambria" w:hAnsi="Cambria"/>
          <w:i/>
          <w:iCs/>
          <w:sz w:val="16"/>
          <w:szCs w:val="16"/>
        </w:rPr>
        <w:t xml:space="preserve"> </w:t>
      </w:r>
      <w:proofErr w:type="gramStart"/>
      <w:r w:rsidRPr="007F1156">
        <w:rPr>
          <w:rFonts w:ascii="Cambria" w:hAnsi="Cambria"/>
          <w:i/>
          <w:iCs/>
          <w:sz w:val="16"/>
          <w:szCs w:val="16"/>
        </w:rPr>
        <w:t>Merits, Reparations and Costs</w:t>
      </w:r>
      <w:r w:rsidRPr="007F1156">
        <w:rPr>
          <w:rFonts w:ascii="Cambria" w:hAnsi="Cambria"/>
          <w:sz w:val="16"/>
          <w:szCs w:val="16"/>
        </w:rPr>
        <w:t>.</w:t>
      </w:r>
      <w:proofErr w:type="gramEnd"/>
      <w:r w:rsidRPr="007F1156">
        <w:rPr>
          <w:rFonts w:ascii="Cambria" w:hAnsi="Cambria"/>
          <w:sz w:val="16"/>
          <w:szCs w:val="16"/>
        </w:rPr>
        <w:t xml:space="preserve"> Judgment of April 6, 2006. </w:t>
      </w:r>
      <w:proofErr w:type="gramStart"/>
      <w:r w:rsidRPr="007F1156">
        <w:rPr>
          <w:rFonts w:ascii="Cambria" w:hAnsi="Cambria"/>
          <w:sz w:val="16"/>
          <w:szCs w:val="16"/>
        </w:rPr>
        <w:t>Series C No. 147.</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95;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June 25, 2012. </w:t>
      </w:r>
      <w:hyperlink r:id="rId20" w:history="1">
        <w:proofErr w:type="gramStart"/>
        <w:r w:rsidRPr="007F1156">
          <w:rPr>
            <w:rStyle w:val="Hyperlink"/>
            <w:rFonts w:ascii="Cambria" w:hAnsi="Cambria" w:cs="Cambria"/>
            <w:i/>
            <w:sz w:val="16"/>
            <w:szCs w:val="16"/>
          </w:rPr>
          <w:t>Joint Declaration on Crimes against Freedom of Expression</w:t>
        </w:r>
      </w:hyperlink>
      <w:r w:rsidRPr="007F1156">
        <w:rPr>
          <w:rFonts w:ascii="Cambria" w:hAnsi="Cambria"/>
          <w:sz w:val="16"/>
          <w:szCs w:val="16"/>
        </w:rPr>
        <w:t>; European Court of Human Rights.</w:t>
      </w:r>
      <w:proofErr w:type="gramEnd"/>
      <w:r w:rsidRPr="007F1156">
        <w:rPr>
          <w:rFonts w:ascii="Cambria" w:hAnsi="Cambria"/>
          <w:i/>
          <w:iCs/>
          <w:sz w:val="16"/>
          <w:szCs w:val="16"/>
        </w:rPr>
        <w:t xml:space="preserve"> </w:t>
      </w:r>
      <w:proofErr w:type="gramStart"/>
      <w:r w:rsidRPr="007F1156">
        <w:rPr>
          <w:rFonts w:ascii="Cambria" w:hAnsi="Cambria"/>
          <w:i/>
          <w:iCs/>
          <w:sz w:val="16"/>
          <w:szCs w:val="16"/>
        </w:rPr>
        <w:t xml:space="preserve">Case of </w:t>
      </w:r>
      <w:proofErr w:type="spellStart"/>
      <w:r w:rsidRPr="007F1156">
        <w:rPr>
          <w:rFonts w:ascii="Cambria" w:hAnsi="Cambria"/>
          <w:i/>
          <w:iCs/>
          <w:sz w:val="16"/>
          <w:szCs w:val="16"/>
        </w:rPr>
        <w:t>Adali</w:t>
      </w:r>
      <w:proofErr w:type="spellEnd"/>
      <w:r w:rsidRPr="007F1156">
        <w:rPr>
          <w:rFonts w:ascii="Cambria" w:hAnsi="Cambria"/>
          <w:i/>
          <w:iCs/>
          <w:sz w:val="16"/>
          <w:szCs w:val="16"/>
        </w:rPr>
        <w:t xml:space="preserve"> v. Turkey</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Application no. 38187/97.</w:t>
      </w:r>
      <w:proofErr w:type="gramEnd"/>
      <w:r w:rsidRPr="007F1156">
        <w:rPr>
          <w:rFonts w:ascii="Cambria" w:hAnsi="Cambria"/>
          <w:sz w:val="16"/>
          <w:szCs w:val="16"/>
        </w:rPr>
        <w:t xml:space="preserve"> </w:t>
      </w:r>
      <w:proofErr w:type="gramStart"/>
      <w:r w:rsidRPr="007F1156">
        <w:rPr>
          <w:rFonts w:ascii="Cambria" w:hAnsi="Cambria"/>
          <w:sz w:val="16"/>
          <w:szCs w:val="16"/>
        </w:rPr>
        <w:t>Judgment.</w:t>
      </w:r>
      <w:proofErr w:type="gramEnd"/>
      <w:r w:rsidRPr="007F1156">
        <w:rPr>
          <w:rFonts w:ascii="Cambria" w:hAnsi="Cambria"/>
          <w:sz w:val="16"/>
          <w:szCs w:val="16"/>
        </w:rPr>
        <w:t xml:space="preserve"> 31 March 2005. </w:t>
      </w:r>
      <w:proofErr w:type="gramStart"/>
      <w:r w:rsidRPr="007F1156">
        <w:rPr>
          <w:rFonts w:ascii="Cambria" w:hAnsi="Cambria"/>
          <w:sz w:val="16"/>
          <w:szCs w:val="16"/>
        </w:rPr>
        <w:t>Para.</w:t>
      </w:r>
      <w:proofErr w:type="gramEnd"/>
      <w:r w:rsidRPr="007F1156">
        <w:rPr>
          <w:rFonts w:ascii="Cambria" w:hAnsi="Cambria"/>
          <w:sz w:val="16"/>
          <w:szCs w:val="16"/>
        </w:rPr>
        <w:t xml:space="preserve"> </w:t>
      </w:r>
      <w:r w:rsidRPr="007F1156">
        <w:rPr>
          <w:rFonts w:ascii="Cambria" w:hAnsi="Cambria"/>
          <w:bCs/>
          <w:sz w:val="16"/>
          <w:szCs w:val="16"/>
        </w:rPr>
        <w:t xml:space="preserve">222. “This means not only a lack of hierarchical or institutional connection but also a practical independence (see, for example, </w:t>
      </w:r>
      <w:proofErr w:type="spellStart"/>
      <w:r w:rsidRPr="007F1156">
        <w:rPr>
          <w:rFonts w:ascii="Cambria" w:hAnsi="Cambria"/>
          <w:bCs/>
          <w:i/>
          <w:sz w:val="16"/>
          <w:szCs w:val="16"/>
        </w:rPr>
        <w:t>Ergi</w:t>
      </w:r>
      <w:proofErr w:type="spellEnd"/>
      <w:r w:rsidRPr="007F1156">
        <w:rPr>
          <w:rFonts w:ascii="Cambria" w:hAnsi="Cambria"/>
          <w:bCs/>
          <w:i/>
          <w:sz w:val="16"/>
          <w:szCs w:val="16"/>
        </w:rPr>
        <w:t xml:space="preserve"> v. Turkey</w:t>
      </w:r>
      <w:r w:rsidRPr="007F1156">
        <w:rPr>
          <w:rFonts w:ascii="Cambria" w:hAnsi="Cambria"/>
          <w:bCs/>
          <w:sz w:val="16"/>
          <w:szCs w:val="16"/>
        </w:rPr>
        <w:t>, judgment of 28 July 1998, Reports 1998-IV, §§ 83-84, where the public prosecutor investigating the death of a girl during an alleged clash showed a lack of independence through his heavy reliance on the information provided by the gendarmes implicated in the incident)</w:t>
      </w:r>
      <w:r w:rsidRPr="007F1156">
        <w:rPr>
          <w:rFonts w:ascii="Cambria" w:hAnsi="Cambria" w:cs="Arial"/>
          <w:sz w:val="16"/>
          <w:szCs w:val="16"/>
        </w:rPr>
        <w:t>.”</w:t>
      </w:r>
    </w:p>
  </w:footnote>
  <w:footnote w:id="14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21"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176; The United Nations (UN) Special Rapporteur on Freedom of Opinion and Expression, the Organization for Security and Co-operation in Europe (OSCE) Representative on Freedom of the Media, the Organization of American States (OAS) Special Rapporteur on Freedom of Expression and the African Commission on Human and Peoples’ Rights (ACHPR) Special Rapporteur on Freedom of Expression and Access to Information. June 25, 2012. </w:t>
      </w:r>
      <w:hyperlink r:id="rId22" w:history="1">
        <w:proofErr w:type="gramStart"/>
        <w:r w:rsidRPr="007F1156">
          <w:rPr>
            <w:rStyle w:val="Hyperlink"/>
            <w:rFonts w:ascii="Cambria" w:hAnsi="Cambria" w:cs="Cambria"/>
            <w:i/>
            <w:sz w:val="16"/>
            <w:szCs w:val="16"/>
          </w:rPr>
          <w:t>Joint Declaration on Crimes against Freedom of Expression</w:t>
        </w:r>
      </w:hyperlink>
      <w:r w:rsidRPr="007F1156">
        <w:rPr>
          <w:rFonts w:ascii="Cambria" w:hAnsi="Cambria"/>
          <w:sz w:val="16"/>
          <w:szCs w:val="16"/>
        </w:rPr>
        <w:t>; United Nations General Assembly.</w:t>
      </w:r>
      <w:proofErr w:type="gramEnd"/>
      <w:r w:rsidRPr="007F1156">
        <w:rPr>
          <w:rFonts w:ascii="Cambria" w:hAnsi="Cambria"/>
          <w:sz w:val="16"/>
          <w:szCs w:val="16"/>
        </w:rPr>
        <w:t xml:space="preserve"> </w:t>
      </w:r>
      <w:hyperlink r:id="rId23" w:history="1">
        <w:proofErr w:type="gramStart"/>
        <w:r w:rsidRPr="007F1156">
          <w:rPr>
            <w:rStyle w:val="Hyperlink"/>
            <w:rFonts w:ascii="Cambria" w:hAnsi="Cambria"/>
            <w:sz w:val="16"/>
            <w:szCs w:val="16"/>
          </w:rPr>
          <w:t xml:space="preserve">Report of the Special Rapporteur on extrajudicial, summary or arbitrary executions, </w:t>
        </w:r>
        <w:proofErr w:type="spellStart"/>
        <w:r w:rsidRPr="007F1156">
          <w:rPr>
            <w:rStyle w:val="Hyperlink"/>
            <w:rFonts w:ascii="Cambria" w:hAnsi="Cambria"/>
            <w:sz w:val="16"/>
            <w:szCs w:val="16"/>
          </w:rPr>
          <w:t>Christof</w:t>
        </w:r>
        <w:proofErr w:type="spellEnd"/>
        <w:r w:rsidRPr="007F1156">
          <w:rPr>
            <w:rStyle w:val="Hyperlink"/>
            <w:rFonts w:ascii="Cambria" w:hAnsi="Cambria"/>
            <w:sz w:val="16"/>
            <w:szCs w:val="16"/>
          </w:rPr>
          <w:t xml:space="preserve"> </w:t>
        </w:r>
        <w:proofErr w:type="spellStart"/>
        <w:r w:rsidRPr="007F1156">
          <w:rPr>
            <w:rStyle w:val="Hyperlink"/>
            <w:rFonts w:ascii="Cambria" w:hAnsi="Cambria"/>
            <w:sz w:val="16"/>
            <w:szCs w:val="16"/>
          </w:rPr>
          <w:t>Heyns</w:t>
        </w:r>
        <w:proofErr w:type="spellEnd"/>
      </w:hyperlink>
      <w:r w:rsidRPr="007F1156">
        <w:rPr>
          <w:rFonts w:ascii="Cambria" w:hAnsi="Cambria"/>
          <w:i/>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A/HRC/20/22.</w:t>
      </w:r>
      <w:proofErr w:type="gramEnd"/>
      <w:r w:rsidRPr="007F1156">
        <w:rPr>
          <w:rFonts w:ascii="Cambria" w:hAnsi="Cambria"/>
          <w:sz w:val="16"/>
          <w:szCs w:val="16"/>
        </w:rPr>
        <w:t xml:space="preserve"> April 10, 2012. </w:t>
      </w:r>
      <w:proofErr w:type="gramStart"/>
      <w:r w:rsidRPr="007F1156">
        <w:rPr>
          <w:rFonts w:ascii="Cambria" w:hAnsi="Cambria"/>
          <w:sz w:val="16"/>
          <w:szCs w:val="16"/>
        </w:rPr>
        <w:t>Para.</w:t>
      </w:r>
      <w:proofErr w:type="gramEnd"/>
      <w:r w:rsidRPr="007F1156">
        <w:rPr>
          <w:rFonts w:ascii="Cambria" w:hAnsi="Cambria"/>
          <w:sz w:val="16"/>
          <w:szCs w:val="16"/>
        </w:rPr>
        <w:t xml:space="preserve"> 113.</w:t>
      </w:r>
    </w:p>
  </w:footnote>
  <w:footnote w:id="14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24"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183.</w:t>
      </w:r>
    </w:p>
  </w:footnote>
  <w:footnote w:id="14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25" w:history="1">
        <w:r w:rsidRPr="007F1156">
          <w:rPr>
            <w:rStyle w:val="Hyperlink"/>
            <w:rFonts w:ascii="Cambria" w:hAnsi="Cambria" w:cs="Cambria"/>
            <w:sz w:val="16"/>
            <w:szCs w:val="16"/>
          </w:rPr>
          <w:t>Second Report on the Situation of Human</w:t>
        </w:r>
      </w:hyperlink>
      <w:r w:rsidRPr="007F1156">
        <w:rPr>
          <w:rStyle w:val="Hyperlink"/>
          <w:rFonts w:ascii="Cambria" w:hAnsi="Cambria" w:cs="Cambria"/>
          <w:sz w:val="16"/>
          <w:szCs w:val="16"/>
        </w:rPr>
        <w:t xml:space="preserve"> Rights Defenders in the Americas</w:t>
      </w:r>
      <w:r w:rsidRPr="007F1156">
        <w:rPr>
          <w:rFonts w:ascii="Cambria" w:hAnsi="Cambria"/>
          <w:sz w:val="16"/>
          <w:szCs w:val="16"/>
        </w:rPr>
        <w:t>.</w:t>
      </w:r>
      <w:r w:rsidRPr="007F1156">
        <w:rPr>
          <w:rFonts w:ascii="Cambria" w:hAnsi="Cambria"/>
          <w:i/>
          <w:sz w:val="16"/>
          <w:szCs w:val="16"/>
        </w:rPr>
        <w:t xml:space="preserve"> </w:t>
      </w:r>
      <w:r w:rsidRPr="007F1156">
        <w:rPr>
          <w:rFonts w:ascii="Cambria" w:hAnsi="Cambria"/>
          <w:sz w:val="16"/>
          <w:szCs w:val="16"/>
        </w:rPr>
        <w:t>OEA/</w:t>
      </w:r>
      <w:proofErr w:type="spellStart"/>
      <w:r w:rsidRPr="007F1156">
        <w:rPr>
          <w:rFonts w:ascii="Cambria" w:hAnsi="Cambria"/>
          <w:sz w:val="16"/>
          <w:szCs w:val="16"/>
        </w:rPr>
        <w:t>Ser.L</w:t>
      </w:r>
      <w:proofErr w:type="spellEnd"/>
      <w:r w:rsidRPr="007F1156">
        <w:rPr>
          <w:rFonts w:ascii="Cambria" w:hAnsi="Cambria"/>
          <w:sz w:val="16"/>
          <w:szCs w:val="16"/>
        </w:rPr>
        <w:t xml:space="preserve">/V/II. </w:t>
      </w:r>
      <w:proofErr w:type="gramStart"/>
      <w:r w:rsidRPr="007F1156">
        <w:rPr>
          <w:rFonts w:ascii="Cambria" w:hAnsi="Cambria"/>
          <w:sz w:val="16"/>
          <w:szCs w:val="16"/>
        </w:rPr>
        <w:t>Doc. 66.</w:t>
      </w:r>
      <w:proofErr w:type="gramEnd"/>
      <w:r w:rsidRPr="007F1156">
        <w:rPr>
          <w:rFonts w:ascii="Cambria" w:hAnsi="Cambria"/>
          <w:sz w:val="16"/>
          <w:szCs w:val="16"/>
        </w:rPr>
        <w:t xml:space="preserve"> December 31, 2011. </w:t>
      </w:r>
      <w:proofErr w:type="gramStart"/>
      <w:r w:rsidRPr="007F1156">
        <w:rPr>
          <w:rFonts w:ascii="Cambria" w:hAnsi="Cambria"/>
          <w:sz w:val="16"/>
          <w:szCs w:val="16"/>
        </w:rPr>
        <w:t>Paras.</w:t>
      </w:r>
      <w:proofErr w:type="gramEnd"/>
      <w:r w:rsidRPr="007F1156">
        <w:rPr>
          <w:rFonts w:ascii="Cambria" w:hAnsi="Cambria"/>
          <w:sz w:val="16"/>
          <w:szCs w:val="16"/>
        </w:rPr>
        <w:t xml:space="preserve"> </w:t>
      </w:r>
      <w:proofErr w:type="gramStart"/>
      <w:r w:rsidRPr="007F1156">
        <w:rPr>
          <w:rFonts w:ascii="Cambria" w:hAnsi="Cambria"/>
          <w:sz w:val="16"/>
          <w:szCs w:val="16"/>
        </w:rPr>
        <w:t>383 &amp; 385; IACHR.</w:t>
      </w:r>
      <w:proofErr w:type="gramEnd"/>
      <w:r w:rsidRPr="007F1156">
        <w:rPr>
          <w:rFonts w:ascii="Cambria" w:hAnsi="Cambria"/>
          <w:sz w:val="16"/>
          <w:szCs w:val="16"/>
        </w:rPr>
        <w:t xml:space="preserve"> </w:t>
      </w:r>
      <w:hyperlink r:id="rId26"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186.</w:t>
      </w:r>
    </w:p>
  </w:footnote>
  <w:footnote w:id="14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27"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186; 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28" w:history="1">
        <w:proofErr w:type="gramStart"/>
        <w:r w:rsidRPr="007F1156">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58.</w:t>
      </w:r>
    </w:p>
  </w:footnote>
  <w:footnote w:id="14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the </w:t>
      </w:r>
      <w:proofErr w:type="spellStart"/>
      <w:r w:rsidRPr="007F1156">
        <w:rPr>
          <w:rFonts w:ascii="Cambria" w:hAnsi="Cambria"/>
          <w:i/>
          <w:sz w:val="16"/>
          <w:szCs w:val="16"/>
        </w:rPr>
        <w:t>Rochela</w:t>
      </w:r>
      <w:proofErr w:type="spellEnd"/>
      <w:r w:rsidRPr="007F1156">
        <w:rPr>
          <w:rFonts w:ascii="Cambria" w:hAnsi="Cambria"/>
          <w:i/>
          <w:sz w:val="16"/>
          <w:szCs w:val="16"/>
        </w:rPr>
        <w:t xml:space="preserve">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May 11, 2007. </w:t>
      </w:r>
      <w:proofErr w:type="gramStart"/>
      <w:r w:rsidRPr="007F1156">
        <w:rPr>
          <w:rFonts w:ascii="Cambria" w:hAnsi="Cambria"/>
          <w:sz w:val="16"/>
          <w:szCs w:val="16"/>
        </w:rPr>
        <w:t>Series C No. 163.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171.</w:t>
      </w:r>
    </w:p>
  </w:footnote>
  <w:footnote w:id="14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29" w:history="1">
        <w:r w:rsidRPr="007F1156">
          <w:rPr>
            <w:rStyle w:val="Hyperlink"/>
            <w:rFonts w:ascii="Cambria" w:hAnsi="Cambria"/>
            <w:sz w:val="16"/>
            <w:szCs w:val="16"/>
          </w:rPr>
          <w:t xml:space="preserve">2013 Annual Report.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188; IACHR.</w:t>
      </w:r>
      <w:proofErr w:type="gramEnd"/>
      <w:r w:rsidRPr="007F1156">
        <w:rPr>
          <w:rFonts w:ascii="Cambria" w:hAnsi="Cambria"/>
          <w:sz w:val="16"/>
          <w:szCs w:val="16"/>
        </w:rPr>
        <w:t xml:space="preserve"> </w:t>
      </w:r>
      <w:hyperlink r:id="rId30" w:history="1">
        <w:r w:rsidRPr="007F1156">
          <w:rPr>
            <w:rStyle w:val="Hyperlink"/>
            <w:rFonts w:ascii="Cambria" w:hAnsi="Cambria"/>
            <w:sz w:val="16"/>
            <w:szCs w:val="16"/>
          </w:rPr>
          <w:t xml:space="preserve">2010 Annual Report.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 </w:t>
      </w:r>
      <w:r w:rsidRPr="007F1156">
        <w:rPr>
          <w:rFonts w:ascii="Cambria" w:hAnsi="Cambria"/>
          <w:i/>
          <w:sz w:val="16"/>
          <w:szCs w:val="16"/>
        </w:rPr>
        <w:t>2010 Special Report on Freedom of Expression in Mexico</w:t>
      </w:r>
      <w:r w:rsidRPr="007F1156">
        <w:rPr>
          <w:rFonts w:ascii="Cambria" w:hAnsi="Cambria"/>
          <w:sz w:val="16"/>
          <w:szCs w:val="16"/>
        </w:rPr>
        <w:t>. OEA/</w:t>
      </w:r>
      <w:proofErr w:type="spellStart"/>
      <w:r w:rsidRPr="007F1156">
        <w:rPr>
          <w:rFonts w:ascii="Cambria" w:hAnsi="Cambria"/>
          <w:sz w:val="16"/>
          <w:szCs w:val="16"/>
        </w:rPr>
        <w:t>Ser.L</w:t>
      </w:r>
      <w:proofErr w:type="spellEnd"/>
      <w:r w:rsidRPr="007F1156">
        <w:rPr>
          <w:rFonts w:ascii="Cambria" w:hAnsi="Cambria"/>
          <w:sz w:val="16"/>
          <w:szCs w:val="16"/>
        </w:rPr>
        <w:t xml:space="preserve">/V/II. </w:t>
      </w:r>
      <w:proofErr w:type="gramStart"/>
      <w:r w:rsidRPr="007F1156">
        <w:rPr>
          <w:rFonts w:ascii="Cambria" w:hAnsi="Cambria"/>
          <w:sz w:val="16"/>
          <w:szCs w:val="16"/>
        </w:rPr>
        <w:t>Doc. 5.</w:t>
      </w:r>
      <w:proofErr w:type="gramEnd"/>
      <w:r w:rsidRPr="007F1156">
        <w:rPr>
          <w:rFonts w:ascii="Cambria" w:hAnsi="Cambria"/>
          <w:sz w:val="16"/>
          <w:szCs w:val="16"/>
        </w:rPr>
        <w:t xml:space="preserve"> March 7, 2011.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733 y 821; United Nations General Assembly.</w:t>
      </w:r>
      <w:proofErr w:type="gramEnd"/>
      <w:r w:rsidRPr="007F1156">
        <w:rPr>
          <w:rFonts w:ascii="Cambria" w:hAnsi="Cambria"/>
          <w:sz w:val="16"/>
          <w:szCs w:val="16"/>
        </w:rPr>
        <w:t xml:space="preserve"> </w:t>
      </w:r>
      <w:proofErr w:type="gramStart"/>
      <w:r w:rsidRPr="007F1156">
        <w:rPr>
          <w:rFonts w:ascii="Cambria" w:hAnsi="Cambria"/>
          <w:iCs/>
          <w:sz w:val="16"/>
          <w:szCs w:val="16"/>
        </w:rPr>
        <w:t>Report of the Special Rapporteur on the promotion and protection of the right to freedom of opinion and expression, Frank La Rue.</w:t>
      </w:r>
      <w:proofErr w:type="gramEnd"/>
      <w:r w:rsidRPr="007F1156">
        <w:rPr>
          <w:rFonts w:ascii="Cambria" w:hAnsi="Cambria"/>
          <w:sz w:val="16"/>
          <w:szCs w:val="16"/>
        </w:rPr>
        <w:t xml:space="preserve"> </w:t>
      </w:r>
      <w:proofErr w:type="gramStart"/>
      <w:r w:rsidRPr="007F1156">
        <w:rPr>
          <w:rFonts w:ascii="Cambria" w:hAnsi="Cambria"/>
          <w:sz w:val="16"/>
          <w:szCs w:val="16"/>
        </w:rPr>
        <w:t>A/HRC/20/17.</w:t>
      </w:r>
      <w:proofErr w:type="gramEnd"/>
      <w:r w:rsidRPr="007F1156">
        <w:rPr>
          <w:rFonts w:ascii="Cambria" w:hAnsi="Cambria"/>
          <w:sz w:val="16"/>
          <w:szCs w:val="16"/>
        </w:rPr>
        <w:t xml:space="preserve"> June 4, 2012. </w:t>
      </w:r>
      <w:proofErr w:type="gramStart"/>
      <w:r w:rsidRPr="007F1156">
        <w:rPr>
          <w:rFonts w:ascii="Cambria" w:hAnsi="Cambria"/>
          <w:sz w:val="16"/>
          <w:szCs w:val="16"/>
        </w:rPr>
        <w:t>Para.</w:t>
      </w:r>
      <w:proofErr w:type="gramEnd"/>
      <w:r w:rsidRPr="007F1156">
        <w:rPr>
          <w:rFonts w:ascii="Cambria" w:hAnsi="Cambria"/>
          <w:sz w:val="16"/>
          <w:szCs w:val="16"/>
        </w:rPr>
        <w:t xml:space="preserve"> 102. Available at: </w:t>
      </w:r>
      <w:hyperlink r:id="rId31" w:history="1">
        <w:r w:rsidRPr="007F1156">
          <w:rPr>
            <w:rStyle w:val="Hyperlink"/>
            <w:rFonts w:ascii="Cambria" w:hAnsi="Cambria" w:cs="Cambria"/>
            <w:sz w:val="16"/>
            <w:szCs w:val="16"/>
          </w:rPr>
          <w:t>http://daccess-dds-ny.un.org/doc/UNDOC/GEN/G12/137/87/PDF/G1213787.pdf?OpenElement</w:t>
        </w:r>
      </w:hyperlink>
      <w:r w:rsidRPr="007F1156">
        <w:rPr>
          <w:rFonts w:ascii="Cambria" w:hAnsi="Cambria"/>
          <w:sz w:val="16"/>
          <w:szCs w:val="16"/>
        </w:rPr>
        <w:t xml:space="preserve">; IACHR.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32" w:history="1">
        <w:proofErr w:type="gramStart"/>
        <w:r w:rsidRPr="007F1156">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58, </w:t>
      </w:r>
      <w:r w:rsidRPr="007F1156">
        <w:rPr>
          <w:rFonts w:ascii="Cambria" w:hAnsi="Cambria"/>
          <w:i/>
          <w:sz w:val="16"/>
          <w:szCs w:val="16"/>
        </w:rPr>
        <w:t xml:space="preserve">citing </w:t>
      </w:r>
      <w:proofErr w:type="gramStart"/>
      <w:r w:rsidRPr="007F1156">
        <w:rPr>
          <w:rFonts w:ascii="Cambria" w:hAnsi="Cambria"/>
          <w:sz w:val="16"/>
          <w:szCs w:val="16"/>
        </w:rPr>
        <w:t>I/A</w:t>
      </w:r>
      <w:proofErr w:type="gramEnd"/>
      <w:r w:rsidRPr="007F1156">
        <w:rPr>
          <w:rFonts w:ascii="Cambria" w:hAnsi="Cambria"/>
          <w:sz w:val="16"/>
          <w:szCs w:val="16"/>
        </w:rPr>
        <w:t xml:space="preserve"> Court H.R., </w:t>
      </w:r>
      <w:r w:rsidRPr="007F1156">
        <w:rPr>
          <w:rFonts w:ascii="Cambria" w:hAnsi="Cambria"/>
          <w:i/>
          <w:sz w:val="16"/>
          <w:szCs w:val="16"/>
        </w:rPr>
        <w:t xml:space="preserve">Case of </w:t>
      </w:r>
      <w:proofErr w:type="spellStart"/>
      <w:r w:rsidRPr="007F1156">
        <w:rPr>
          <w:rFonts w:ascii="Cambria" w:hAnsi="Cambria"/>
          <w:i/>
          <w:sz w:val="16"/>
          <w:szCs w:val="16"/>
        </w:rPr>
        <w:t>Carpio</w:t>
      </w:r>
      <w:proofErr w:type="spellEnd"/>
      <w:r w:rsidRPr="007F1156">
        <w:rPr>
          <w:rFonts w:ascii="Cambria" w:hAnsi="Cambria"/>
          <w:i/>
          <w:sz w:val="16"/>
          <w:szCs w:val="16"/>
        </w:rPr>
        <w:t xml:space="preserve"> Nicolle et al. v. Guatemala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November 22, 2004. </w:t>
      </w:r>
      <w:proofErr w:type="gramStart"/>
      <w:r w:rsidRPr="007F1156">
        <w:rPr>
          <w:rFonts w:ascii="Cambria" w:hAnsi="Cambria"/>
          <w:sz w:val="16"/>
          <w:szCs w:val="16"/>
        </w:rPr>
        <w:t>Series C No. 117.</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135; United Nations General Assembly.</w:t>
      </w:r>
      <w:proofErr w:type="gramEnd"/>
      <w:r w:rsidRPr="007F1156">
        <w:rPr>
          <w:rFonts w:ascii="Cambria" w:hAnsi="Cambria"/>
          <w:sz w:val="16"/>
          <w:szCs w:val="16"/>
        </w:rPr>
        <w:t xml:space="preserve"> </w:t>
      </w:r>
      <w:proofErr w:type="gramStart"/>
      <w:r w:rsidRPr="007F1156">
        <w:rPr>
          <w:rFonts w:ascii="Cambria" w:hAnsi="Cambria"/>
          <w:sz w:val="16"/>
          <w:szCs w:val="16"/>
        </w:rPr>
        <w:t>Human Rights Council.</w:t>
      </w:r>
      <w:proofErr w:type="gramEnd"/>
      <w:r w:rsidRPr="007F1156">
        <w:rPr>
          <w:rFonts w:ascii="Cambria" w:hAnsi="Cambria"/>
          <w:sz w:val="16"/>
          <w:szCs w:val="16"/>
        </w:rPr>
        <w:t xml:space="preserve"> </w:t>
      </w:r>
      <w:hyperlink r:id="rId33" w:history="1">
        <w:proofErr w:type="gramStart"/>
        <w:r w:rsidRPr="007F1156">
          <w:rPr>
            <w:rStyle w:val="Hyperlink"/>
            <w:rFonts w:ascii="Cambria" w:hAnsi="Cambria" w:cs="Cambria"/>
            <w:sz w:val="16"/>
            <w:szCs w:val="16"/>
          </w:rPr>
          <w:t>Promotion and protection of all human rights, civil, political, economic, social and cultural rights, including the right to development</w:t>
        </w:r>
      </w:hyperlink>
      <w:r w:rsidRPr="007F1156">
        <w:rPr>
          <w:rFonts w:ascii="Cambria" w:hAnsi="Cambria"/>
          <w:sz w:val="16"/>
          <w:szCs w:val="16"/>
        </w:rPr>
        <w:t>.</w:t>
      </w:r>
      <w:proofErr w:type="gramEnd"/>
      <w:r w:rsidRPr="007F1156">
        <w:rPr>
          <w:rFonts w:ascii="Cambria" w:hAnsi="Cambria"/>
          <w:sz w:val="16"/>
          <w:szCs w:val="16"/>
        </w:rPr>
        <w:t xml:space="preserve"> A/HRC/21/L.6. September 21, 2012. </w:t>
      </w:r>
      <w:proofErr w:type="gramStart"/>
      <w:r w:rsidRPr="007F1156">
        <w:rPr>
          <w:rFonts w:ascii="Cambria" w:hAnsi="Cambria"/>
          <w:sz w:val="16"/>
          <w:szCs w:val="16"/>
        </w:rPr>
        <w:t>Para.</w:t>
      </w:r>
      <w:proofErr w:type="gramEnd"/>
      <w:r w:rsidRPr="007F1156">
        <w:rPr>
          <w:rFonts w:ascii="Cambria" w:hAnsi="Cambria"/>
          <w:sz w:val="16"/>
          <w:szCs w:val="16"/>
        </w:rPr>
        <w:t xml:space="preserve"> 8. </w:t>
      </w:r>
    </w:p>
  </w:footnote>
  <w:footnote w:id="14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 R., </w:t>
      </w:r>
      <w:r w:rsidRPr="007F1156">
        <w:rPr>
          <w:rFonts w:ascii="Cambria" w:hAnsi="Cambria"/>
          <w:i/>
          <w:sz w:val="16"/>
          <w:szCs w:val="16"/>
        </w:rPr>
        <w:t>Case of Gutiérrez and Family v. Argentina.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November 25, 2013. </w:t>
      </w:r>
      <w:proofErr w:type="gramStart"/>
      <w:r w:rsidRPr="007F1156">
        <w:rPr>
          <w:rFonts w:ascii="Cambria" w:hAnsi="Cambria"/>
          <w:sz w:val="16"/>
          <w:szCs w:val="16"/>
        </w:rPr>
        <w:t>Series C No. 271.</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119.</w:t>
      </w:r>
    </w:p>
  </w:footnote>
  <w:footnote w:id="15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Third Report on the Human Rights Situation in Colombia.</w:t>
      </w:r>
      <w:proofErr w:type="gramEnd"/>
      <w:r w:rsidRPr="007F1156">
        <w:rPr>
          <w:rFonts w:ascii="Cambria" w:hAnsi="Cambria"/>
          <w:sz w:val="16"/>
          <w:szCs w:val="16"/>
        </w:rPr>
        <w:t xml:space="preserve"> </w:t>
      </w:r>
      <w:proofErr w:type="gramStart"/>
      <w:r w:rsidRPr="007F1156">
        <w:rPr>
          <w:rFonts w:ascii="Cambria" w:hAnsi="Cambria"/>
          <w:sz w:val="16"/>
          <w:szCs w:val="16"/>
        </w:rPr>
        <w:t>Chapter V (Administration of Justice and Rule of Law).</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/V/II.102. </w:t>
      </w:r>
      <w:proofErr w:type="gramStart"/>
      <w:r w:rsidRPr="007F1156">
        <w:rPr>
          <w:rFonts w:ascii="Cambria" w:hAnsi="Cambria"/>
          <w:sz w:val="16"/>
          <w:szCs w:val="16"/>
        </w:rPr>
        <w:t>Doc. 9 rev. 1.</w:t>
      </w:r>
      <w:proofErr w:type="gramEnd"/>
      <w:r w:rsidRPr="007F1156">
        <w:rPr>
          <w:rFonts w:ascii="Cambria" w:hAnsi="Cambria"/>
          <w:sz w:val="16"/>
          <w:szCs w:val="16"/>
        </w:rPr>
        <w:t xml:space="preserve"> February 26, 1999. </w:t>
      </w:r>
    </w:p>
  </w:footnote>
  <w:footnote w:id="151">
    <w:p w:rsidR="00F8558A" w:rsidRPr="007F1156" w:rsidRDefault="00F8558A" w:rsidP="007F1156">
      <w:pPr>
        <w:spacing w:after="120"/>
        <w:ind w:firstLine="720"/>
        <w:jc w:val="both"/>
        <w:rPr>
          <w:rStyle w:val="FootnoteReference"/>
          <w:rFonts w:ascii="Cambria" w:hAnsi="Cambria"/>
          <w:sz w:val="16"/>
          <w:szCs w:val="16"/>
        </w:rPr>
      </w:pPr>
      <w:r w:rsidRPr="007F1156">
        <w:rPr>
          <w:rFonts w:ascii="Cambria" w:hAnsi="Cambria"/>
          <w:bCs/>
          <w:sz w:val="16"/>
          <w:szCs w:val="16"/>
        </w:rPr>
        <w:t xml:space="preserve"> </w:t>
      </w:r>
      <w:r w:rsidRPr="007F1156">
        <w:rPr>
          <w:rStyle w:val="FootnoteReference"/>
          <w:rFonts w:ascii="Cambria" w:hAnsi="Cambria"/>
          <w:sz w:val="16"/>
          <w:szCs w:val="16"/>
        </w:rPr>
        <w:footnoteRef/>
      </w:r>
      <w:r w:rsidRPr="007F1156">
        <w:rPr>
          <w:rFonts w:ascii="Cambria" w:hAnsi="Cambria"/>
          <w:bCs/>
          <w:sz w:val="16"/>
          <w:szCs w:val="16"/>
        </w:rPr>
        <w:t xml:space="preserve"> United Nations Principles on the effective prevention and investigation of Extra-Legal, Arbitrary and Summary Executions</w:t>
      </w:r>
      <w:r w:rsidRPr="007F1156">
        <w:rPr>
          <w:rFonts w:ascii="Cambria" w:hAnsi="Cambria"/>
          <w:sz w:val="16"/>
          <w:szCs w:val="16"/>
        </w:rPr>
        <w:t>, Resolution 1989/65 Economic and Social Council, May 24, 1989;</w:t>
      </w:r>
      <w:r w:rsidRPr="007F1156">
        <w:rPr>
          <w:rFonts w:ascii="Cambria" w:hAnsi="Cambria"/>
          <w:bCs/>
          <w:sz w:val="16"/>
          <w:szCs w:val="16"/>
        </w:rPr>
        <w:t xml:space="preserve"> Model Protocol for a legal investigation of Extra-legal, Arbitrary and Summary Executions</w:t>
      </w:r>
      <w:r w:rsidRPr="007F1156">
        <w:rPr>
          <w:rFonts w:ascii="Cambria" w:hAnsi="Cambria"/>
          <w:sz w:val="16"/>
          <w:szCs w:val="16"/>
        </w:rPr>
        <w:t xml:space="preserve">, UN Doc. E/ST/CSDHA/.12 (1991), Part III. See also, CIDH. Report nº 92/05. </w:t>
      </w:r>
      <w:proofErr w:type="gramStart"/>
      <w:r w:rsidRPr="007F1156">
        <w:rPr>
          <w:rFonts w:ascii="Cambria" w:hAnsi="Cambria"/>
          <w:sz w:val="16"/>
          <w:szCs w:val="16"/>
        </w:rPr>
        <w:t>Case 12.418.</w:t>
      </w:r>
      <w:proofErr w:type="gramEnd"/>
      <w:r w:rsidRPr="007F1156">
        <w:rPr>
          <w:rFonts w:ascii="Cambria" w:hAnsi="Cambria"/>
          <w:sz w:val="16"/>
          <w:szCs w:val="16"/>
        </w:rPr>
        <w:t xml:space="preserve"> </w:t>
      </w:r>
      <w:proofErr w:type="gramStart"/>
      <w:r w:rsidRPr="007F1156">
        <w:rPr>
          <w:rFonts w:ascii="Cambria" w:hAnsi="Cambria"/>
          <w:sz w:val="16"/>
          <w:szCs w:val="16"/>
        </w:rPr>
        <w:t>Merits.</w:t>
      </w:r>
      <w:proofErr w:type="gramEnd"/>
      <w:r w:rsidRPr="007F1156">
        <w:rPr>
          <w:rFonts w:ascii="Cambria" w:hAnsi="Cambria"/>
          <w:sz w:val="16"/>
          <w:szCs w:val="16"/>
        </w:rPr>
        <w:t xml:space="preserve"> Michael Gayle. Jamaica. </w:t>
      </w:r>
      <w:proofErr w:type="gramStart"/>
      <w:r w:rsidRPr="007F1156">
        <w:rPr>
          <w:rFonts w:ascii="Cambria" w:hAnsi="Cambria"/>
          <w:sz w:val="16"/>
          <w:szCs w:val="16"/>
        </w:rPr>
        <w:t>October 24, 2005, para.</w:t>
      </w:r>
      <w:proofErr w:type="gramEnd"/>
      <w:r w:rsidRPr="007F1156">
        <w:rPr>
          <w:rFonts w:ascii="Cambria" w:hAnsi="Cambria"/>
          <w:sz w:val="16"/>
          <w:szCs w:val="16"/>
        </w:rPr>
        <w:t xml:space="preserve"> 88-86; Report No. 10/95, Case No. 10.580, Manuel Stalin </w:t>
      </w:r>
      <w:proofErr w:type="spellStart"/>
      <w:r w:rsidRPr="007F1156">
        <w:rPr>
          <w:rFonts w:ascii="Cambria" w:hAnsi="Cambria"/>
          <w:sz w:val="16"/>
          <w:szCs w:val="16"/>
        </w:rPr>
        <w:t>Bolaños</w:t>
      </w:r>
      <w:proofErr w:type="spellEnd"/>
      <w:r w:rsidRPr="007F1156">
        <w:rPr>
          <w:rFonts w:ascii="Cambria" w:hAnsi="Cambria"/>
          <w:sz w:val="16"/>
          <w:szCs w:val="16"/>
        </w:rPr>
        <w:t xml:space="preserve"> </w:t>
      </w:r>
      <w:proofErr w:type="spellStart"/>
      <w:r w:rsidRPr="007F1156">
        <w:rPr>
          <w:rFonts w:ascii="Cambria" w:hAnsi="Cambria"/>
          <w:sz w:val="16"/>
          <w:szCs w:val="16"/>
        </w:rPr>
        <w:t>Quiñones</w:t>
      </w:r>
      <w:proofErr w:type="spellEnd"/>
      <w:r w:rsidRPr="007F1156">
        <w:rPr>
          <w:rFonts w:ascii="Cambria" w:hAnsi="Cambria"/>
          <w:sz w:val="16"/>
          <w:szCs w:val="16"/>
        </w:rPr>
        <w:t>, Ecuador, September 12, 1995, para. 32-34.</w:t>
      </w:r>
    </w:p>
  </w:footnote>
  <w:footnote w:id="15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211.</w:t>
      </w:r>
    </w:p>
  </w:footnote>
  <w:footnote w:id="15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the </w:t>
      </w:r>
      <w:proofErr w:type="spellStart"/>
      <w:r w:rsidRPr="007F1156">
        <w:rPr>
          <w:rFonts w:ascii="Cambria" w:hAnsi="Cambria"/>
          <w:i/>
          <w:sz w:val="16"/>
          <w:szCs w:val="16"/>
        </w:rPr>
        <w:t>Rochela</w:t>
      </w:r>
      <w:proofErr w:type="spellEnd"/>
      <w:r w:rsidRPr="007F1156">
        <w:rPr>
          <w:rFonts w:ascii="Cambria" w:hAnsi="Cambria"/>
          <w:i/>
          <w:sz w:val="16"/>
          <w:szCs w:val="16"/>
        </w:rPr>
        <w:t xml:space="preserve">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May 11, 2007. </w:t>
      </w:r>
      <w:proofErr w:type="gramStart"/>
      <w:r w:rsidRPr="007F1156">
        <w:rPr>
          <w:rFonts w:ascii="Cambria" w:hAnsi="Cambria"/>
          <w:sz w:val="16"/>
          <w:szCs w:val="16"/>
        </w:rPr>
        <w:t>Series C No. 163.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158; I/A Court H.R., </w:t>
      </w:r>
      <w:r w:rsidRPr="007F1156">
        <w:rPr>
          <w:rFonts w:ascii="Cambria" w:hAnsi="Cambria"/>
          <w:i/>
          <w:sz w:val="16"/>
          <w:szCs w:val="16"/>
        </w:rPr>
        <w:t xml:space="preserve">Case of Manuel </w:t>
      </w:r>
      <w:proofErr w:type="spellStart"/>
      <w:r w:rsidRPr="007F1156">
        <w:rPr>
          <w:rFonts w:ascii="Cambria" w:hAnsi="Cambria"/>
          <w:i/>
          <w:sz w:val="16"/>
          <w:szCs w:val="16"/>
        </w:rPr>
        <w:t>Cepeda</w:t>
      </w:r>
      <w:proofErr w:type="spellEnd"/>
      <w:r w:rsidRPr="007F1156">
        <w:rPr>
          <w:rFonts w:ascii="Cambria" w:hAnsi="Cambria"/>
          <w:i/>
          <w:sz w:val="16"/>
          <w:szCs w:val="16"/>
        </w:rPr>
        <w:t xml:space="preserve"> Vargas v. Colombia.</w:t>
      </w:r>
      <w:r w:rsidRPr="007F1156">
        <w:rPr>
          <w:rFonts w:ascii="Cambria" w:hAnsi="Cambria"/>
          <w:sz w:val="16"/>
          <w:szCs w:val="16"/>
        </w:rPr>
        <w:t xml:space="preserve"> </w:t>
      </w:r>
      <w:proofErr w:type="gramStart"/>
      <w:r w:rsidRPr="007F1156">
        <w:rPr>
          <w:rFonts w:ascii="Cambria" w:hAnsi="Cambria"/>
          <w:sz w:val="16"/>
          <w:szCs w:val="16"/>
        </w:rPr>
        <w:t>Preliminary Objections, Merits, Reparations and Costs.</w:t>
      </w:r>
      <w:proofErr w:type="gramEnd"/>
      <w:r w:rsidRPr="007F1156">
        <w:rPr>
          <w:rFonts w:ascii="Cambria" w:hAnsi="Cambria"/>
          <w:sz w:val="16"/>
          <w:szCs w:val="16"/>
        </w:rPr>
        <w:t xml:space="preserve"> Judgment of May 26, 2010. </w:t>
      </w:r>
      <w:proofErr w:type="gramStart"/>
      <w:r w:rsidRPr="007F1156">
        <w:rPr>
          <w:rFonts w:ascii="Cambria" w:hAnsi="Cambria"/>
          <w:sz w:val="16"/>
          <w:szCs w:val="16"/>
        </w:rPr>
        <w:t>Series C No. 213.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106-110 &amp; 167.</w:t>
      </w:r>
      <w:proofErr w:type="gramEnd"/>
    </w:p>
  </w:footnote>
  <w:footnote w:id="15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the </w:t>
      </w:r>
      <w:proofErr w:type="spellStart"/>
      <w:r w:rsidRPr="007F1156">
        <w:rPr>
          <w:rFonts w:ascii="Cambria" w:hAnsi="Cambria"/>
          <w:i/>
          <w:sz w:val="16"/>
          <w:szCs w:val="16"/>
        </w:rPr>
        <w:t>Rochela</w:t>
      </w:r>
      <w:proofErr w:type="spellEnd"/>
      <w:r w:rsidRPr="007F1156">
        <w:rPr>
          <w:rFonts w:ascii="Cambria" w:hAnsi="Cambria"/>
          <w:i/>
          <w:sz w:val="16"/>
          <w:szCs w:val="16"/>
        </w:rPr>
        <w:t xml:space="preserve">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May 11, 2007. </w:t>
      </w:r>
      <w:proofErr w:type="gramStart"/>
      <w:r w:rsidRPr="007F1156">
        <w:rPr>
          <w:rFonts w:ascii="Cambria" w:hAnsi="Cambria"/>
          <w:sz w:val="16"/>
          <w:szCs w:val="16"/>
        </w:rPr>
        <w:t>Series C No. 163.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158; I/A Court H.R., </w:t>
      </w:r>
      <w:r w:rsidRPr="007F1156">
        <w:rPr>
          <w:rFonts w:ascii="Cambria" w:hAnsi="Cambria"/>
          <w:i/>
          <w:sz w:val="16"/>
          <w:szCs w:val="16"/>
        </w:rPr>
        <w:t xml:space="preserve">Case of Manuel </w:t>
      </w:r>
      <w:proofErr w:type="spellStart"/>
      <w:r w:rsidRPr="007F1156">
        <w:rPr>
          <w:rFonts w:ascii="Cambria" w:hAnsi="Cambria"/>
          <w:i/>
          <w:sz w:val="16"/>
          <w:szCs w:val="16"/>
        </w:rPr>
        <w:t>Cepeda</w:t>
      </w:r>
      <w:proofErr w:type="spellEnd"/>
      <w:r w:rsidRPr="007F1156">
        <w:rPr>
          <w:rFonts w:ascii="Cambria" w:hAnsi="Cambria"/>
          <w:i/>
          <w:sz w:val="16"/>
          <w:szCs w:val="16"/>
        </w:rPr>
        <w:t xml:space="preserve"> Vargas v. Colombia</w:t>
      </w:r>
      <w:r w:rsidRPr="007F1156">
        <w:rPr>
          <w:rFonts w:ascii="Cambria" w:hAnsi="Cambria"/>
          <w:sz w:val="16"/>
          <w:szCs w:val="16"/>
        </w:rPr>
        <w:t xml:space="preserve">. </w:t>
      </w:r>
      <w:proofErr w:type="gramStart"/>
      <w:r w:rsidRPr="007F1156">
        <w:rPr>
          <w:rFonts w:ascii="Cambria" w:hAnsi="Cambria"/>
          <w:sz w:val="16"/>
          <w:szCs w:val="16"/>
        </w:rPr>
        <w:t>Preliminary Objections, Merits, Reparations and Costs.</w:t>
      </w:r>
      <w:proofErr w:type="gramEnd"/>
      <w:r w:rsidRPr="007F1156">
        <w:rPr>
          <w:rFonts w:ascii="Cambria" w:hAnsi="Cambria"/>
          <w:sz w:val="16"/>
          <w:szCs w:val="16"/>
        </w:rPr>
        <w:t xml:space="preserve"> Judgment of May 26, 2010. </w:t>
      </w:r>
      <w:proofErr w:type="gramStart"/>
      <w:r w:rsidRPr="007F1156">
        <w:rPr>
          <w:rFonts w:ascii="Cambria" w:hAnsi="Cambria"/>
          <w:sz w:val="16"/>
          <w:szCs w:val="16"/>
        </w:rPr>
        <w:t>Series C No. 213.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106-110 &amp; 167.</w:t>
      </w:r>
      <w:proofErr w:type="gramEnd"/>
    </w:p>
  </w:footnote>
  <w:footnote w:id="15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34" w:history="1">
        <w:proofErr w:type="gramStart"/>
        <w:r w:rsidRPr="007F1156">
          <w:rPr>
            <w:rStyle w:val="Hyperlink"/>
            <w:rFonts w:ascii="Cambria" w:hAnsi="Cambria"/>
            <w:sz w:val="16"/>
            <w:szCs w:val="16"/>
          </w:rPr>
          <w:t>2013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Chapter III (Violence against Journalists and Media Workers: Inter-American Standards and National Practices on Prevention, Protection and Prosecution of Perpetrators). OEA/</w:t>
      </w:r>
      <w:proofErr w:type="spellStart"/>
      <w:r w:rsidRPr="007F1156">
        <w:rPr>
          <w:rFonts w:ascii="Cambria" w:hAnsi="Cambria"/>
          <w:sz w:val="16"/>
          <w:szCs w:val="16"/>
        </w:rPr>
        <w:t>Ser.L</w:t>
      </w:r>
      <w:proofErr w:type="spellEnd"/>
      <w:r w:rsidRPr="007F1156">
        <w:rPr>
          <w:rFonts w:ascii="Cambria" w:hAnsi="Cambria"/>
          <w:sz w:val="16"/>
          <w:szCs w:val="16"/>
        </w:rPr>
        <w:t xml:space="preserve">/V/II.149. </w:t>
      </w:r>
      <w:proofErr w:type="gramStart"/>
      <w:r w:rsidRPr="007F1156">
        <w:rPr>
          <w:rFonts w:ascii="Cambria" w:hAnsi="Cambria"/>
          <w:sz w:val="16"/>
          <w:szCs w:val="16"/>
        </w:rPr>
        <w:t>Doc. 50.</w:t>
      </w:r>
      <w:proofErr w:type="gramEnd"/>
      <w:r w:rsidRPr="007F1156">
        <w:rPr>
          <w:rFonts w:ascii="Cambria" w:hAnsi="Cambria"/>
          <w:sz w:val="16"/>
          <w:szCs w:val="16"/>
        </w:rPr>
        <w:t xml:space="preserve"> December 31, 2013. </w:t>
      </w:r>
      <w:proofErr w:type="gramStart"/>
      <w:r w:rsidRPr="007F1156">
        <w:rPr>
          <w:rFonts w:ascii="Cambria" w:hAnsi="Cambria"/>
          <w:sz w:val="16"/>
          <w:szCs w:val="16"/>
        </w:rPr>
        <w:t>Para.</w:t>
      </w:r>
      <w:proofErr w:type="gramEnd"/>
      <w:r w:rsidRPr="007F1156">
        <w:rPr>
          <w:rFonts w:ascii="Cambria" w:hAnsi="Cambria"/>
          <w:sz w:val="16"/>
          <w:szCs w:val="16"/>
        </w:rPr>
        <w:t xml:space="preserve"> 203.</w:t>
      </w:r>
    </w:p>
  </w:footnote>
  <w:footnote w:id="15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cs="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211.</w:t>
      </w:r>
    </w:p>
  </w:footnote>
  <w:footnote w:id="157">
    <w:p w:rsidR="00F8558A" w:rsidRPr="007F1156" w:rsidRDefault="00F8558A" w:rsidP="007F1156">
      <w:pPr>
        <w:pStyle w:val="FootnoteText"/>
        <w:widowControl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i/>
          <w:sz w:val="16"/>
          <w:szCs w:val="16"/>
        </w:rPr>
        <w:t>Attachment 18.</w:t>
      </w:r>
      <w:proofErr w:type="gramEnd"/>
      <w:r w:rsidRPr="007F1156">
        <w:rPr>
          <w:rFonts w:ascii="Cambria" w:hAnsi="Cambria"/>
          <w:sz w:val="16"/>
          <w:szCs w:val="16"/>
        </w:rPr>
        <w:t xml:space="preserve"> </w:t>
      </w:r>
      <w:proofErr w:type="gramStart"/>
      <w:r w:rsidRPr="007F1156">
        <w:rPr>
          <w:rFonts w:ascii="Cambria" w:hAnsi="Cambria"/>
          <w:sz w:val="16"/>
          <w:szCs w:val="16"/>
        </w:rPr>
        <w:t>Criminal Court of the Specialized Circuit of Neiva, Huila.</w:t>
      </w:r>
      <w:proofErr w:type="gramEnd"/>
      <w:r w:rsidRPr="007F1156">
        <w:rPr>
          <w:rFonts w:ascii="Cambria" w:hAnsi="Cambria"/>
          <w:sz w:val="16"/>
          <w:szCs w:val="16"/>
        </w:rPr>
        <w:t xml:space="preserve"> </w:t>
      </w:r>
      <w:proofErr w:type="gramStart"/>
      <w:r w:rsidRPr="007F1156">
        <w:rPr>
          <w:rFonts w:ascii="Cambria" w:hAnsi="Cambria"/>
          <w:sz w:val="16"/>
          <w:szCs w:val="16"/>
        </w:rPr>
        <w:t>Public trial proceedings in Case No. 2000-0090.</w:t>
      </w:r>
      <w:proofErr w:type="gramEnd"/>
      <w:r w:rsidRPr="007F1156">
        <w:rPr>
          <w:rFonts w:ascii="Cambria" w:hAnsi="Cambria"/>
          <w:sz w:val="16"/>
          <w:szCs w:val="16"/>
        </w:rPr>
        <w:t xml:space="preserve"> </w:t>
      </w:r>
      <w:proofErr w:type="gramStart"/>
      <w:r w:rsidRPr="007F1156">
        <w:rPr>
          <w:rFonts w:ascii="Cambria" w:hAnsi="Cambria"/>
          <w:sz w:val="16"/>
          <w:szCs w:val="16"/>
        </w:rPr>
        <w:t xml:space="preserve">Prosecution of Fernando </w:t>
      </w:r>
      <w:proofErr w:type="spellStart"/>
      <w:r w:rsidRPr="007F1156">
        <w:rPr>
          <w:rFonts w:ascii="Cambria" w:hAnsi="Cambria"/>
          <w:sz w:val="16"/>
          <w:szCs w:val="16"/>
        </w:rPr>
        <w:t>Bermúdez</w:t>
      </w:r>
      <w:proofErr w:type="spellEnd"/>
      <w:r w:rsidRPr="007F1156">
        <w:rPr>
          <w:rFonts w:ascii="Cambria" w:hAnsi="Cambria"/>
          <w:sz w:val="16"/>
          <w:szCs w:val="16"/>
        </w:rPr>
        <w:t xml:space="preserve"> </w:t>
      </w:r>
      <w:proofErr w:type="spellStart"/>
      <w:r w:rsidRPr="007F1156">
        <w:rPr>
          <w:rFonts w:ascii="Cambria" w:hAnsi="Cambria"/>
          <w:sz w:val="16"/>
          <w:szCs w:val="16"/>
        </w:rPr>
        <w:t>Ardila</w:t>
      </w:r>
      <w:proofErr w:type="spell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Félix Trujillo, and Alfaro Quintero Alvarado, for the offense of murder.</w:t>
      </w:r>
      <w:proofErr w:type="gramEnd"/>
      <w:r w:rsidRPr="007F1156">
        <w:rPr>
          <w:rFonts w:ascii="Cambria" w:hAnsi="Cambria"/>
          <w:sz w:val="16"/>
          <w:szCs w:val="16"/>
        </w:rPr>
        <w:t xml:space="preserve"> </w:t>
      </w:r>
      <w:proofErr w:type="gramStart"/>
      <w:r w:rsidRPr="007F1156">
        <w:rPr>
          <w:rFonts w:ascii="Cambria" w:hAnsi="Cambria"/>
          <w:sz w:val="16"/>
          <w:szCs w:val="16"/>
        </w:rPr>
        <w:t>Hearing No. 047.</w:t>
      </w:r>
      <w:proofErr w:type="gramEnd"/>
      <w:r w:rsidRPr="007F1156">
        <w:rPr>
          <w:rFonts w:ascii="Cambria" w:hAnsi="Cambria"/>
          <w:sz w:val="16"/>
          <w:szCs w:val="16"/>
        </w:rPr>
        <w:t xml:space="preserve"> </w:t>
      </w:r>
      <w:proofErr w:type="gramStart"/>
      <w:r w:rsidRPr="007F1156">
        <w:rPr>
          <w:rFonts w:ascii="Cambria" w:hAnsi="Cambria"/>
          <w:sz w:val="16"/>
          <w:szCs w:val="16"/>
        </w:rPr>
        <w:t>November 29, 2000, pp. 23-24.</w:t>
      </w:r>
      <w:proofErr w:type="gramEnd"/>
      <w:r w:rsidRPr="007F1156">
        <w:rPr>
          <w:rFonts w:ascii="Cambria" w:hAnsi="Cambria"/>
          <w:sz w:val="16"/>
          <w:szCs w:val="16"/>
        </w:rPr>
        <w:t xml:space="preserve"> </w:t>
      </w:r>
      <w:proofErr w:type="gramStart"/>
      <w:r w:rsidRPr="007F1156">
        <w:rPr>
          <w:rFonts w:ascii="Cambria" w:hAnsi="Cambria"/>
          <w:sz w:val="16"/>
          <w:szCs w:val="16"/>
        </w:rPr>
        <w:t>Attachment to the petitioner’s communication of August 25, 2005.</w:t>
      </w:r>
      <w:proofErr w:type="gramEnd"/>
    </w:p>
  </w:footnote>
  <w:footnote w:id="158">
    <w:p w:rsidR="00F8558A" w:rsidRPr="007F1156" w:rsidRDefault="00F8558A" w:rsidP="007F1156">
      <w:pPr>
        <w:widowControl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Case of Gómez Palomino v. Peru.</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November 22, 2005. </w:t>
      </w:r>
      <w:proofErr w:type="gramStart"/>
      <w:r w:rsidRPr="007F1156">
        <w:rPr>
          <w:rFonts w:ascii="Cambria" w:hAnsi="Cambria"/>
          <w:sz w:val="16"/>
          <w:szCs w:val="16"/>
        </w:rPr>
        <w:t>Series C No. 136.</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85; </w:t>
      </w:r>
      <w:r w:rsidRPr="007F1156">
        <w:rPr>
          <w:rFonts w:ascii="Cambria" w:hAnsi="Cambria" w:cs="Arial"/>
          <w:sz w:val="16"/>
          <w:szCs w:val="16"/>
        </w:rPr>
        <w:t xml:space="preserve">I/A Court H.R., </w:t>
      </w:r>
      <w:r w:rsidRPr="007F1156">
        <w:rPr>
          <w:rFonts w:ascii="Cambria" w:hAnsi="Cambria" w:cs="Arial"/>
          <w:i/>
          <w:sz w:val="16"/>
          <w:szCs w:val="16"/>
        </w:rPr>
        <w:t xml:space="preserve">Case of the </w:t>
      </w:r>
      <w:proofErr w:type="spellStart"/>
      <w:r w:rsidRPr="007F1156">
        <w:rPr>
          <w:rFonts w:ascii="Cambria" w:hAnsi="Cambria" w:cs="Arial"/>
          <w:i/>
          <w:sz w:val="16"/>
          <w:szCs w:val="16"/>
        </w:rPr>
        <w:t>Moiwana</w:t>
      </w:r>
      <w:proofErr w:type="spellEnd"/>
      <w:r w:rsidRPr="007F1156">
        <w:rPr>
          <w:rFonts w:ascii="Cambria" w:hAnsi="Cambria" w:cs="Arial"/>
          <w:i/>
          <w:sz w:val="16"/>
          <w:szCs w:val="16"/>
        </w:rPr>
        <w:t xml:space="preserve"> Community v. Suriname.</w:t>
      </w:r>
      <w:r w:rsidRPr="007F1156">
        <w:rPr>
          <w:rFonts w:ascii="Cambria" w:hAnsi="Cambria" w:cs="Arial"/>
          <w:sz w:val="16"/>
          <w:szCs w:val="16"/>
        </w:rPr>
        <w:t xml:space="preserve"> </w:t>
      </w:r>
      <w:proofErr w:type="gramStart"/>
      <w:r w:rsidRPr="007F1156">
        <w:rPr>
          <w:rFonts w:ascii="Cambria" w:hAnsi="Cambria" w:cs="Arial"/>
          <w:sz w:val="16"/>
          <w:szCs w:val="16"/>
        </w:rPr>
        <w:t>Preliminary Objections, Merits, Reparations and Costs.</w:t>
      </w:r>
      <w:proofErr w:type="gramEnd"/>
      <w:r w:rsidRPr="007F1156">
        <w:rPr>
          <w:rFonts w:ascii="Cambria" w:hAnsi="Cambria" w:cs="Arial"/>
          <w:sz w:val="16"/>
          <w:szCs w:val="16"/>
        </w:rPr>
        <w:t xml:space="preserve"> Judgment of June 15, 2005. </w:t>
      </w:r>
      <w:proofErr w:type="gramStart"/>
      <w:r w:rsidRPr="007F1156">
        <w:rPr>
          <w:rFonts w:ascii="Cambria" w:hAnsi="Cambria" w:cs="Arial"/>
          <w:sz w:val="16"/>
          <w:szCs w:val="16"/>
        </w:rPr>
        <w:t>Series C No. 124.</w:t>
      </w:r>
      <w:proofErr w:type="gramEnd"/>
      <w:r w:rsidRPr="007F1156">
        <w:rPr>
          <w:rFonts w:ascii="Cambria" w:hAnsi="Cambria" w:cs="Arial"/>
          <w:sz w:val="16"/>
          <w:szCs w:val="16"/>
        </w:rPr>
        <w:t xml:space="preserve"> </w:t>
      </w:r>
      <w:proofErr w:type="gramStart"/>
      <w:r w:rsidRPr="007F1156">
        <w:rPr>
          <w:rFonts w:ascii="Cambria" w:hAnsi="Cambria" w:cs="Arial"/>
          <w:sz w:val="16"/>
          <w:szCs w:val="16"/>
        </w:rPr>
        <w:t>Para.</w:t>
      </w:r>
      <w:proofErr w:type="gramEnd"/>
      <w:r w:rsidRPr="007F1156">
        <w:rPr>
          <w:rFonts w:ascii="Cambria" w:hAnsi="Cambria" w:cs="Arial"/>
          <w:sz w:val="16"/>
          <w:szCs w:val="16"/>
        </w:rPr>
        <w:t xml:space="preserve"> 160.</w:t>
      </w:r>
    </w:p>
  </w:footnote>
  <w:footnote w:id="159">
    <w:p w:rsidR="00F8558A" w:rsidRPr="007F1156" w:rsidRDefault="00F8558A" w:rsidP="007F1156">
      <w:pPr>
        <w:widowControl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Case of Gómez Palomino v. Peru.</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November 22, 2005. </w:t>
      </w:r>
      <w:proofErr w:type="gramStart"/>
      <w:r w:rsidRPr="007F1156">
        <w:rPr>
          <w:rFonts w:ascii="Cambria" w:hAnsi="Cambria"/>
          <w:sz w:val="16"/>
          <w:szCs w:val="16"/>
        </w:rPr>
        <w:t>Series C No. 136.</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85.</w:t>
      </w:r>
    </w:p>
  </w:footnote>
  <w:footnote w:id="160">
    <w:p w:rsidR="00F8558A" w:rsidRPr="007F1156" w:rsidRDefault="00F8558A" w:rsidP="007F1156">
      <w:pPr>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Genie </w:t>
      </w:r>
      <w:proofErr w:type="spellStart"/>
      <w:r w:rsidRPr="007F1156">
        <w:rPr>
          <w:rFonts w:ascii="Cambria" w:hAnsi="Cambria"/>
          <w:i/>
          <w:sz w:val="16"/>
          <w:szCs w:val="16"/>
        </w:rPr>
        <w:t>Lacayo</w:t>
      </w:r>
      <w:proofErr w:type="spellEnd"/>
      <w:r w:rsidRPr="007F1156">
        <w:rPr>
          <w:rFonts w:ascii="Cambria" w:hAnsi="Cambria"/>
          <w:i/>
          <w:sz w:val="16"/>
          <w:szCs w:val="16"/>
        </w:rPr>
        <w:t xml:space="preserve"> v. Nicaragua.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January 29, 1997. </w:t>
      </w:r>
      <w:proofErr w:type="gramStart"/>
      <w:r w:rsidRPr="007F1156">
        <w:rPr>
          <w:rFonts w:ascii="Cambria" w:hAnsi="Cambria"/>
          <w:sz w:val="16"/>
          <w:szCs w:val="16"/>
        </w:rPr>
        <w:t>Series C No. 30.</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77; IACHR.</w:t>
      </w:r>
      <w:proofErr w:type="gramEnd"/>
      <w:r w:rsidRPr="007F1156">
        <w:rPr>
          <w:rFonts w:ascii="Cambria" w:hAnsi="Cambria"/>
          <w:sz w:val="16"/>
          <w:szCs w:val="16"/>
        </w:rPr>
        <w:t xml:space="preserve"> Report No. 50/99. </w:t>
      </w:r>
      <w:proofErr w:type="gramStart"/>
      <w:r w:rsidRPr="007F1156">
        <w:rPr>
          <w:rFonts w:ascii="Cambria" w:hAnsi="Cambria"/>
          <w:sz w:val="16"/>
          <w:szCs w:val="16"/>
        </w:rPr>
        <w:t>Case 11.739.</w:t>
      </w:r>
      <w:proofErr w:type="gramEnd"/>
      <w:r w:rsidRPr="007F1156">
        <w:rPr>
          <w:rFonts w:ascii="Cambria" w:hAnsi="Cambria"/>
          <w:sz w:val="16"/>
          <w:szCs w:val="16"/>
        </w:rPr>
        <w:t xml:space="preserve"> </w:t>
      </w:r>
      <w:proofErr w:type="spellStart"/>
      <w:r w:rsidRPr="007F1156">
        <w:rPr>
          <w:rFonts w:ascii="Cambria" w:hAnsi="Cambria"/>
          <w:sz w:val="16"/>
          <w:szCs w:val="16"/>
        </w:rPr>
        <w:t>Héctor</w:t>
      </w:r>
      <w:proofErr w:type="spellEnd"/>
      <w:r w:rsidRPr="007F1156">
        <w:rPr>
          <w:rFonts w:ascii="Cambria" w:hAnsi="Cambria"/>
          <w:sz w:val="16"/>
          <w:szCs w:val="16"/>
        </w:rPr>
        <w:t xml:space="preserve"> Félix Miranda (Mexico). April 13, 1999.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52; IACHR.</w:t>
      </w:r>
      <w:proofErr w:type="gramEnd"/>
      <w:r w:rsidRPr="007F1156">
        <w:rPr>
          <w:rFonts w:ascii="Cambria" w:hAnsi="Cambria"/>
          <w:sz w:val="16"/>
          <w:szCs w:val="16"/>
        </w:rPr>
        <w:t xml:space="preserve"> Report No. 130/99. </w:t>
      </w:r>
      <w:proofErr w:type="gramStart"/>
      <w:r w:rsidRPr="007F1156">
        <w:rPr>
          <w:rFonts w:ascii="Cambria" w:hAnsi="Cambria"/>
          <w:sz w:val="16"/>
          <w:szCs w:val="16"/>
        </w:rPr>
        <w:t>Case No. 11.740.</w:t>
      </w:r>
      <w:proofErr w:type="gramEnd"/>
      <w:r w:rsidRPr="007F1156">
        <w:rPr>
          <w:rFonts w:ascii="Cambria" w:hAnsi="Cambria"/>
          <w:sz w:val="16"/>
          <w:szCs w:val="16"/>
        </w:rPr>
        <w:t xml:space="preserve"> </w:t>
      </w:r>
      <w:proofErr w:type="spellStart"/>
      <w:r w:rsidRPr="007F1156">
        <w:rPr>
          <w:rFonts w:ascii="Cambria" w:hAnsi="Cambria"/>
          <w:sz w:val="16"/>
          <w:szCs w:val="16"/>
        </w:rPr>
        <w:t>Víctor</w:t>
      </w:r>
      <w:proofErr w:type="spellEnd"/>
      <w:r w:rsidRPr="007F1156">
        <w:rPr>
          <w:rFonts w:ascii="Cambria" w:hAnsi="Cambria"/>
          <w:sz w:val="16"/>
          <w:szCs w:val="16"/>
        </w:rPr>
        <w:t xml:space="preserve"> Manuel </w:t>
      </w:r>
      <w:proofErr w:type="spellStart"/>
      <w:r w:rsidRPr="007F1156">
        <w:rPr>
          <w:rFonts w:ascii="Cambria" w:hAnsi="Cambria"/>
          <w:sz w:val="16"/>
          <w:szCs w:val="16"/>
        </w:rPr>
        <w:t>Oropeza</w:t>
      </w:r>
      <w:proofErr w:type="spellEnd"/>
      <w:r w:rsidRPr="007F1156">
        <w:rPr>
          <w:rFonts w:ascii="Cambria" w:hAnsi="Cambria"/>
          <w:sz w:val="16"/>
          <w:szCs w:val="16"/>
        </w:rPr>
        <w:t xml:space="preserve"> (Mexico). November 19, 1999. </w:t>
      </w:r>
      <w:proofErr w:type="gramStart"/>
      <w:r w:rsidRPr="007F1156">
        <w:rPr>
          <w:rFonts w:ascii="Cambria" w:hAnsi="Cambria"/>
          <w:sz w:val="16"/>
          <w:szCs w:val="16"/>
        </w:rPr>
        <w:t>Para.</w:t>
      </w:r>
      <w:proofErr w:type="gramEnd"/>
      <w:r w:rsidRPr="007F1156">
        <w:rPr>
          <w:rFonts w:ascii="Cambria" w:hAnsi="Cambria"/>
          <w:sz w:val="16"/>
          <w:szCs w:val="16"/>
        </w:rPr>
        <w:t xml:space="preserve"> 30.</w:t>
      </w:r>
    </w:p>
  </w:footnote>
  <w:footnote w:id="161">
    <w:p w:rsidR="00F8558A" w:rsidRPr="007F1156" w:rsidRDefault="00F8558A" w:rsidP="007F1156">
      <w:pPr>
        <w:tabs>
          <w:tab w:val="left" w:pos="720"/>
        </w:tabs>
        <w:spacing w:after="120"/>
        <w:ind w:firstLine="720"/>
        <w:jc w:val="both"/>
        <w:rPr>
          <w:rStyle w:val="FootnoteReference"/>
          <w:rFonts w:ascii="Cambria" w:hAnsi="Cambria"/>
          <w:sz w:val="16"/>
          <w:szCs w:val="16"/>
        </w:rPr>
      </w:pPr>
      <w:r w:rsidRPr="007F1156">
        <w:rPr>
          <w:rStyle w:val="FootnoteReference"/>
          <w:rFonts w:ascii="Cambria" w:hAnsi="Cambria"/>
          <w:sz w:val="16"/>
          <w:szCs w:val="16"/>
        </w:rPr>
        <w:footnoteRef/>
      </w:r>
      <w:r w:rsidRPr="007F1156">
        <w:rPr>
          <w:rStyle w:val="FootnoteReference"/>
          <w:rFonts w:ascii="Cambria" w:hAnsi="Cambria"/>
          <w:sz w:val="16"/>
          <w:szCs w:val="16"/>
        </w:rPr>
        <w:t xml:space="preserve"> </w:t>
      </w:r>
      <w:proofErr w:type="spellStart"/>
      <w:proofErr w:type="gramStart"/>
      <w:r w:rsidRPr="007F1156">
        <w:rPr>
          <w:rFonts w:ascii="Cambria" w:hAnsi="Cambria"/>
          <w:i/>
          <w:sz w:val="16"/>
          <w:szCs w:val="16"/>
        </w:rPr>
        <w:t>Cfr</w:t>
      </w:r>
      <w:proofErr w:type="spellEnd"/>
      <w:r w:rsidRPr="007F1156">
        <w:rPr>
          <w:rFonts w:ascii="Cambria" w:hAnsi="Cambria"/>
          <w:i/>
          <w:sz w:val="16"/>
          <w:szCs w:val="16"/>
        </w:rPr>
        <w:t>.</w:t>
      </w:r>
      <w:proofErr w:type="gramEnd"/>
      <w:r w:rsidRPr="007F1156">
        <w:rPr>
          <w:rStyle w:val="FootnoteReference"/>
          <w:rFonts w:ascii="Cambria" w:hAnsi="Cambria"/>
          <w:spacing w:val="-2"/>
          <w:sz w:val="16"/>
          <w:szCs w:val="16"/>
        </w:rPr>
        <w:t xml:space="preserve"> </w:t>
      </w:r>
      <w:r w:rsidRPr="007F1156">
        <w:rPr>
          <w:rFonts w:ascii="Cambria" w:hAnsi="Cambria"/>
          <w:sz w:val="16"/>
          <w:szCs w:val="16"/>
        </w:rPr>
        <w:t xml:space="preserve">I/A Court H.R., </w:t>
      </w:r>
      <w:r w:rsidRPr="007F1156">
        <w:rPr>
          <w:rFonts w:ascii="Cambria" w:hAnsi="Cambria"/>
          <w:i/>
          <w:sz w:val="16"/>
          <w:szCs w:val="16"/>
        </w:rPr>
        <w:t xml:space="preserve">Case of </w:t>
      </w:r>
      <w:proofErr w:type="spellStart"/>
      <w:r w:rsidRPr="007F1156">
        <w:rPr>
          <w:rFonts w:ascii="Cambria" w:hAnsi="Cambria"/>
          <w:i/>
          <w:sz w:val="16"/>
          <w:szCs w:val="16"/>
        </w:rPr>
        <w:t>Kawas</w:t>
      </w:r>
      <w:proofErr w:type="spellEnd"/>
      <w:r w:rsidRPr="007F1156">
        <w:rPr>
          <w:rFonts w:ascii="Cambria" w:hAnsi="Cambria"/>
          <w:i/>
          <w:sz w:val="16"/>
          <w:szCs w:val="16"/>
        </w:rPr>
        <w:t xml:space="preserve"> </w:t>
      </w:r>
      <w:proofErr w:type="spellStart"/>
      <w:r w:rsidRPr="007F1156">
        <w:rPr>
          <w:rFonts w:ascii="Cambria" w:hAnsi="Cambria"/>
          <w:i/>
          <w:sz w:val="16"/>
          <w:szCs w:val="16"/>
        </w:rPr>
        <w:t>Fernández</w:t>
      </w:r>
      <w:proofErr w:type="spellEnd"/>
      <w:r w:rsidRPr="007F1156">
        <w:rPr>
          <w:rFonts w:ascii="Cambria" w:hAnsi="Cambria"/>
          <w:i/>
          <w:sz w:val="16"/>
          <w:szCs w:val="16"/>
        </w:rPr>
        <w:t xml:space="preserve"> v. Honduras</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April 3, 2009. </w:t>
      </w:r>
      <w:proofErr w:type="gramStart"/>
      <w:r w:rsidRPr="007F1156">
        <w:rPr>
          <w:rFonts w:ascii="Cambria" w:hAnsi="Cambria"/>
          <w:sz w:val="16"/>
          <w:szCs w:val="16"/>
        </w:rPr>
        <w:t>Series C No. 196.</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pacing w:val="-2"/>
          <w:sz w:val="16"/>
          <w:szCs w:val="16"/>
        </w:rPr>
        <w:t xml:space="preserve">112; </w:t>
      </w:r>
      <w:r w:rsidRPr="007F1156">
        <w:rPr>
          <w:rFonts w:ascii="Cambria" w:hAnsi="Cambria"/>
          <w:bCs/>
          <w:i/>
          <w:spacing w:val="-2"/>
          <w:sz w:val="16"/>
          <w:szCs w:val="16"/>
        </w:rPr>
        <w:t>Case of Valle Jaramillo et al. v. Colombia.</w:t>
      </w:r>
      <w:proofErr w:type="gramEnd"/>
      <w:r w:rsidRPr="007F1156">
        <w:rPr>
          <w:rFonts w:ascii="Cambria" w:hAnsi="Cambria"/>
          <w:bCs/>
          <w:i/>
          <w:spacing w:val="-2"/>
          <w:sz w:val="16"/>
          <w:szCs w:val="16"/>
        </w:rPr>
        <w:t xml:space="preserve"> </w:t>
      </w:r>
      <w:proofErr w:type="gramStart"/>
      <w:r w:rsidRPr="007F1156">
        <w:rPr>
          <w:rFonts w:ascii="Cambria" w:hAnsi="Cambria"/>
          <w:bCs/>
          <w:spacing w:val="-2"/>
          <w:sz w:val="16"/>
          <w:szCs w:val="16"/>
        </w:rPr>
        <w:t>Merits, Reparations and Costs.</w:t>
      </w:r>
      <w:proofErr w:type="gramEnd"/>
      <w:r w:rsidRPr="007F1156">
        <w:rPr>
          <w:rFonts w:ascii="Cambria" w:hAnsi="Cambria"/>
          <w:bCs/>
          <w:spacing w:val="-2"/>
          <w:sz w:val="16"/>
          <w:szCs w:val="16"/>
        </w:rPr>
        <w:t xml:space="preserve"> Judgment of November 27, 2008. </w:t>
      </w:r>
      <w:proofErr w:type="gramStart"/>
      <w:r w:rsidRPr="007F1156">
        <w:rPr>
          <w:rFonts w:ascii="Cambria" w:hAnsi="Cambria"/>
          <w:bCs/>
          <w:spacing w:val="-2"/>
          <w:sz w:val="16"/>
          <w:szCs w:val="16"/>
        </w:rPr>
        <w:t>Series C No. 192</w:t>
      </w:r>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pacing w:val="-2"/>
          <w:sz w:val="16"/>
          <w:szCs w:val="16"/>
        </w:rPr>
        <w:t xml:space="preserve"> 155.</w:t>
      </w:r>
    </w:p>
  </w:footnote>
  <w:footnote w:id="162">
    <w:p w:rsidR="00F8558A" w:rsidRPr="007F1156" w:rsidRDefault="00F8558A" w:rsidP="007F1156">
      <w:pPr>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Case of Gómez Palomino v. Peru.</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November 22, 2005. </w:t>
      </w:r>
      <w:proofErr w:type="gramStart"/>
      <w:r w:rsidRPr="007F1156">
        <w:rPr>
          <w:rFonts w:ascii="Cambria" w:hAnsi="Cambria"/>
          <w:sz w:val="16"/>
          <w:szCs w:val="16"/>
        </w:rPr>
        <w:t>Series C No. 136.</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85. </w:t>
      </w:r>
    </w:p>
  </w:footnote>
  <w:footnote w:id="16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35" w:history="1">
        <w:proofErr w:type="gramStart"/>
        <w:r w:rsidRPr="007F1156">
          <w:rPr>
            <w:rStyle w:val="Hyperlink"/>
            <w:rFonts w:ascii="Cambria" w:hAnsi="Cambria" w:cs="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w:t>
      </w:r>
      <w:proofErr w:type="gramStart"/>
      <w:r w:rsidRPr="007F1156">
        <w:rPr>
          <w:rFonts w:ascii="Cambria" w:hAnsi="Cambria"/>
          <w:sz w:val="16"/>
          <w:szCs w:val="16"/>
        </w:rPr>
        <w:t>March 8, 2008, para.</w:t>
      </w:r>
      <w:proofErr w:type="gramEnd"/>
      <w:r w:rsidRPr="007F1156">
        <w:rPr>
          <w:rFonts w:ascii="Cambria" w:hAnsi="Cambria"/>
          <w:sz w:val="16"/>
          <w:szCs w:val="16"/>
        </w:rPr>
        <w:t xml:space="preserve"> 60.  </w:t>
      </w:r>
    </w:p>
  </w:footnote>
  <w:footnote w:id="164">
    <w:p w:rsidR="00F8558A" w:rsidRPr="007F1156" w:rsidRDefault="00F8558A" w:rsidP="007F1156">
      <w:pPr>
        <w:pStyle w:val="FootnoteText"/>
        <w:widowControl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36" w:history="1">
        <w:proofErr w:type="gramStart"/>
        <w:r w:rsidRPr="007F1156">
          <w:rPr>
            <w:rStyle w:val="Hyperlink"/>
            <w:rFonts w:ascii="Cambria" w:hAnsi="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41.</w:t>
      </w:r>
    </w:p>
  </w:footnote>
  <w:footnote w:id="165">
    <w:p w:rsidR="00F8558A" w:rsidRPr="007F1156" w:rsidRDefault="00F8558A" w:rsidP="007F1156">
      <w:pPr>
        <w:pStyle w:val="FootnoteText"/>
        <w:widowControl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proofErr w:type="gramStart"/>
      <w:r w:rsidRPr="007F1156">
        <w:rPr>
          <w:rFonts w:ascii="Cambria" w:hAnsi="Cambria"/>
          <w:sz w:val="16"/>
          <w:szCs w:val="16"/>
        </w:rPr>
        <w:t>Office of the Special Rapporteur for Freedom of Expression.</w:t>
      </w:r>
      <w:proofErr w:type="gramEnd"/>
      <w:r w:rsidRPr="007F1156">
        <w:rPr>
          <w:rFonts w:ascii="Cambria" w:hAnsi="Cambria"/>
          <w:sz w:val="16"/>
          <w:szCs w:val="16"/>
        </w:rPr>
        <w:t xml:space="preserve"> </w:t>
      </w:r>
      <w:hyperlink r:id="rId37" w:history="1">
        <w:proofErr w:type="gramStart"/>
        <w:r w:rsidRPr="007F1156">
          <w:rPr>
            <w:rStyle w:val="Hyperlink"/>
            <w:rFonts w:ascii="Cambria" w:hAnsi="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41.</w:t>
      </w:r>
    </w:p>
  </w:footnote>
  <w:footnote w:id="166">
    <w:p w:rsidR="00F8558A" w:rsidRPr="007F1156" w:rsidRDefault="00F8558A" w:rsidP="007F1156">
      <w:pPr>
        <w:widowControl w:val="0"/>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the </w:t>
      </w:r>
      <w:proofErr w:type="spellStart"/>
      <w:r w:rsidRPr="007F1156">
        <w:rPr>
          <w:rFonts w:ascii="Cambria" w:hAnsi="Cambria"/>
          <w:i/>
          <w:sz w:val="16"/>
          <w:szCs w:val="16"/>
        </w:rPr>
        <w:t>Rochela</w:t>
      </w:r>
      <w:proofErr w:type="spellEnd"/>
      <w:r w:rsidRPr="007F1156">
        <w:rPr>
          <w:rFonts w:ascii="Cambria" w:hAnsi="Cambria"/>
          <w:i/>
          <w:sz w:val="16"/>
          <w:szCs w:val="16"/>
        </w:rPr>
        <w:t xml:space="preserve">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May 11, 2007. </w:t>
      </w:r>
      <w:proofErr w:type="gramStart"/>
      <w:r w:rsidRPr="007F1156">
        <w:rPr>
          <w:rFonts w:ascii="Cambria" w:hAnsi="Cambria"/>
          <w:sz w:val="16"/>
          <w:szCs w:val="16"/>
        </w:rPr>
        <w:t>Series C No. 163.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171; IACHR.</w:t>
      </w:r>
      <w:proofErr w:type="gramEnd"/>
      <w:r w:rsidRPr="007F1156">
        <w:rPr>
          <w:rFonts w:ascii="Cambria" w:hAnsi="Cambria"/>
          <w:sz w:val="16"/>
          <w:szCs w:val="16"/>
        </w:rPr>
        <w:t xml:space="preserve"> </w:t>
      </w:r>
      <w:hyperlink r:id="rId38" w:history="1">
        <w:proofErr w:type="gramStart"/>
        <w:r w:rsidRPr="007F1156">
          <w:rPr>
            <w:rStyle w:val="Hyperlink"/>
            <w:rFonts w:ascii="Cambria" w:hAnsi="Cambria"/>
            <w:sz w:val="16"/>
            <w:szCs w:val="16"/>
          </w:rPr>
          <w:t>Office of the Special Rapporteur for Freedom of Expression.</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Special Study on the Status of Investigations into the Murder of Journalists during the 1995-2005 Period for Reasons That May Be Related to Their Work in Journalism</w:t>
        </w:r>
      </w:hyperlink>
      <w:r w:rsidRPr="007F1156">
        <w:rPr>
          <w:rFonts w:ascii="Cambria" w:hAnsi="Cambria"/>
          <w:sz w:val="16"/>
          <w:szCs w:val="16"/>
        </w:rPr>
        <w:t>.</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/V/II.131. </w:t>
      </w:r>
      <w:proofErr w:type="gramStart"/>
      <w:r w:rsidRPr="007F1156">
        <w:rPr>
          <w:rFonts w:ascii="Cambria" w:hAnsi="Cambria"/>
          <w:sz w:val="16"/>
          <w:szCs w:val="16"/>
        </w:rPr>
        <w:t>Doc. 35.</w:t>
      </w:r>
      <w:proofErr w:type="gramEnd"/>
      <w:r w:rsidRPr="007F1156">
        <w:rPr>
          <w:rFonts w:ascii="Cambria" w:hAnsi="Cambria"/>
          <w:sz w:val="16"/>
          <w:szCs w:val="16"/>
        </w:rPr>
        <w:t xml:space="preserve"> March 8, 2008. </w:t>
      </w:r>
      <w:proofErr w:type="gramStart"/>
      <w:r w:rsidRPr="007F1156">
        <w:rPr>
          <w:rFonts w:ascii="Cambria" w:hAnsi="Cambria"/>
          <w:sz w:val="16"/>
          <w:szCs w:val="16"/>
        </w:rPr>
        <w:t>Para.</w:t>
      </w:r>
      <w:proofErr w:type="gramEnd"/>
      <w:r w:rsidRPr="007F1156">
        <w:rPr>
          <w:rFonts w:ascii="Cambria" w:hAnsi="Cambria"/>
          <w:sz w:val="16"/>
          <w:szCs w:val="16"/>
        </w:rPr>
        <w:t xml:space="preserve"> 58;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w:t>
      </w:r>
      <w:r w:rsidRPr="007F1156">
        <w:rPr>
          <w:rFonts w:ascii="Cambria" w:hAnsi="Cambria"/>
          <w:color w:val="000000"/>
          <w:sz w:val="16"/>
          <w:szCs w:val="16"/>
        </w:rPr>
        <w:t xml:space="preserve">203-204; I/A Court H.R., </w:t>
      </w:r>
      <w:r w:rsidRPr="007F1156">
        <w:rPr>
          <w:rFonts w:ascii="Cambria" w:hAnsi="Cambria"/>
          <w:i/>
          <w:color w:val="000000"/>
          <w:sz w:val="16"/>
          <w:szCs w:val="16"/>
        </w:rPr>
        <w:t xml:space="preserve">Case of Manuel </w:t>
      </w:r>
      <w:proofErr w:type="spellStart"/>
      <w:r w:rsidRPr="007F1156">
        <w:rPr>
          <w:rFonts w:ascii="Cambria" w:hAnsi="Cambria"/>
          <w:i/>
          <w:color w:val="000000"/>
          <w:sz w:val="16"/>
          <w:szCs w:val="16"/>
        </w:rPr>
        <w:t>Cepeda</w:t>
      </w:r>
      <w:proofErr w:type="spellEnd"/>
      <w:r w:rsidRPr="007F1156">
        <w:rPr>
          <w:rFonts w:ascii="Cambria" w:hAnsi="Cambria"/>
          <w:i/>
          <w:color w:val="000000"/>
          <w:sz w:val="16"/>
          <w:szCs w:val="16"/>
        </w:rPr>
        <w:t xml:space="preserve"> Vargas v. Colombia</w:t>
      </w:r>
      <w:r w:rsidRPr="007F1156">
        <w:rPr>
          <w:rFonts w:ascii="Cambria" w:hAnsi="Cambria"/>
          <w:color w:val="000000"/>
          <w:sz w:val="16"/>
          <w:szCs w:val="16"/>
        </w:rPr>
        <w:t xml:space="preserve">. </w:t>
      </w:r>
      <w:proofErr w:type="gramStart"/>
      <w:r w:rsidRPr="007F1156">
        <w:rPr>
          <w:rFonts w:ascii="Cambria" w:hAnsi="Cambria"/>
          <w:color w:val="000000"/>
          <w:sz w:val="16"/>
          <w:szCs w:val="16"/>
        </w:rPr>
        <w:t>Preliminary Objections, Merits, Reparations and Costs.</w:t>
      </w:r>
      <w:proofErr w:type="gramEnd"/>
      <w:r w:rsidRPr="007F1156">
        <w:rPr>
          <w:rFonts w:ascii="Cambria" w:hAnsi="Cambria"/>
          <w:color w:val="000000"/>
          <w:sz w:val="16"/>
          <w:szCs w:val="16"/>
        </w:rPr>
        <w:t xml:space="preserve"> Judgment of May 26, 2010. </w:t>
      </w:r>
      <w:proofErr w:type="gramStart"/>
      <w:r w:rsidRPr="007F1156">
        <w:rPr>
          <w:rFonts w:ascii="Cambria" w:hAnsi="Cambria"/>
          <w:color w:val="000000"/>
          <w:sz w:val="16"/>
          <w:szCs w:val="16"/>
        </w:rPr>
        <w:t>Series C No. 213.</w:t>
      </w:r>
      <w:proofErr w:type="gramEnd"/>
      <w:r w:rsidRPr="007F1156">
        <w:rPr>
          <w:rFonts w:ascii="Cambria" w:hAnsi="Cambria"/>
          <w:color w:val="000000"/>
          <w:sz w:val="16"/>
          <w:szCs w:val="16"/>
        </w:rPr>
        <w:t xml:space="preserve"> </w:t>
      </w:r>
      <w:proofErr w:type="gramStart"/>
      <w:r w:rsidRPr="007F1156">
        <w:rPr>
          <w:rFonts w:ascii="Cambria" w:hAnsi="Cambria"/>
          <w:color w:val="000000"/>
          <w:sz w:val="16"/>
          <w:szCs w:val="16"/>
        </w:rPr>
        <w:t>Para.</w:t>
      </w:r>
      <w:proofErr w:type="gramEnd"/>
      <w:r w:rsidRPr="007F1156">
        <w:rPr>
          <w:rFonts w:ascii="Cambria" w:hAnsi="Cambria"/>
          <w:color w:val="000000"/>
          <w:sz w:val="16"/>
          <w:szCs w:val="16"/>
        </w:rPr>
        <w:t xml:space="preserve"> </w:t>
      </w:r>
      <w:r w:rsidRPr="007F1156">
        <w:rPr>
          <w:rFonts w:ascii="Cambria" w:hAnsi="Cambria"/>
          <w:sz w:val="16"/>
          <w:szCs w:val="16"/>
        </w:rPr>
        <w:t>194-195.</w:t>
      </w:r>
    </w:p>
  </w:footnote>
  <w:footnote w:id="167">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b/>
          <w:sz w:val="16"/>
          <w:szCs w:val="16"/>
        </w:rPr>
        <w:t xml:space="preserve"> </w:t>
      </w:r>
      <w:proofErr w:type="gramStart"/>
      <w:r w:rsidRPr="007F1156">
        <w:rPr>
          <w:rFonts w:ascii="Cambria" w:hAnsi="Cambria"/>
          <w:sz w:val="16"/>
          <w:szCs w:val="16"/>
        </w:rPr>
        <w:t>IACHR.</w:t>
      </w:r>
      <w:proofErr w:type="gramEnd"/>
      <w:r w:rsidRPr="007F1156">
        <w:rPr>
          <w:rFonts w:ascii="Cambria" w:hAnsi="Cambria"/>
          <w:sz w:val="16"/>
          <w:szCs w:val="16"/>
        </w:rPr>
        <w:t xml:space="preserve"> </w:t>
      </w:r>
      <w:hyperlink r:id="rId39" w:history="1">
        <w:hyperlink r:id="rId40" w:history="1">
          <w:r w:rsidRPr="007F1156">
            <w:rPr>
              <w:rStyle w:val="Hyperlink"/>
              <w:rFonts w:ascii="Cambria" w:hAnsi="Cambria"/>
              <w:sz w:val="16"/>
              <w:szCs w:val="16"/>
            </w:rPr>
            <w:t>2009 Annual Report. Report of the Office of the Special Rapporteur for Freedom of Expression</w:t>
          </w:r>
        </w:hyperlink>
      </w:hyperlink>
      <w:r w:rsidRPr="007F1156">
        <w:rPr>
          <w:rFonts w:ascii="Cambria" w:hAnsi="Cambria"/>
          <w:sz w:val="16"/>
          <w:szCs w:val="16"/>
        </w:rPr>
        <w:t xml:space="preserve">. </w:t>
      </w:r>
      <w:proofErr w:type="gramStart"/>
      <w:r w:rsidRPr="007F1156">
        <w:rPr>
          <w:rFonts w:ascii="Cambria" w:hAnsi="Cambria"/>
          <w:sz w:val="16"/>
          <w:szCs w:val="16"/>
        </w:rPr>
        <w:t>Chapter III (Inter-American Legal Framework of the Right to Freedom of Expression).</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 </w:t>
      </w:r>
      <w:proofErr w:type="gramStart"/>
      <w:r w:rsidRPr="007F1156">
        <w:rPr>
          <w:rFonts w:ascii="Cambria" w:hAnsi="Cambria"/>
          <w:sz w:val="16"/>
          <w:szCs w:val="16"/>
        </w:rPr>
        <w:t>Doc. 51.</w:t>
      </w:r>
      <w:proofErr w:type="gramEnd"/>
      <w:r w:rsidRPr="007F1156">
        <w:rPr>
          <w:rFonts w:ascii="Cambria" w:hAnsi="Cambria"/>
          <w:sz w:val="16"/>
          <w:szCs w:val="16"/>
        </w:rPr>
        <w:t xml:space="preserve"> December 30, 2009. </w:t>
      </w:r>
      <w:proofErr w:type="gramStart"/>
      <w:r w:rsidRPr="007F1156">
        <w:rPr>
          <w:rFonts w:ascii="Cambria" w:hAnsi="Cambria"/>
          <w:sz w:val="16"/>
          <w:szCs w:val="16"/>
        </w:rPr>
        <w:t>Para.</w:t>
      </w:r>
      <w:proofErr w:type="gramEnd"/>
      <w:r w:rsidRPr="007F1156">
        <w:rPr>
          <w:rFonts w:ascii="Cambria" w:hAnsi="Cambria"/>
          <w:sz w:val="16"/>
          <w:szCs w:val="16"/>
        </w:rPr>
        <w:t xml:space="preserve"> </w:t>
      </w:r>
      <w:proofErr w:type="gramStart"/>
      <w:r w:rsidRPr="007F1156">
        <w:rPr>
          <w:rFonts w:ascii="Cambria" w:hAnsi="Cambria"/>
          <w:sz w:val="16"/>
          <w:szCs w:val="16"/>
        </w:rPr>
        <w:t>179; IACHR.</w:t>
      </w:r>
      <w:proofErr w:type="gramEnd"/>
      <w:r w:rsidRPr="007F1156">
        <w:rPr>
          <w:rFonts w:ascii="Cambria" w:hAnsi="Cambria"/>
          <w:sz w:val="16"/>
          <w:szCs w:val="16"/>
        </w:rPr>
        <w:t xml:space="preserve"> </w:t>
      </w:r>
      <w:hyperlink r:id="rId41" w:history="1">
        <w:proofErr w:type="gramStart"/>
        <w:r w:rsidRPr="007F1156">
          <w:rPr>
            <w:rStyle w:val="Hyperlink"/>
            <w:rFonts w:ascii="Cambria" w:hAnsi="Cambria"/>
            <w:sz w:val="16"/>
            <w:szCs w:val="16"/>
          </w:rPr>
          <w:t>2010 Annual Report.</w:t>
        </w:r>
        <w:proofErr w:type="gramEnd"/>
        <w:r w:rsidRPr="007F1156">
          <w:rPr>
            <w:rStyle w:val="Hyperlink"/>
            <w:rFonts w:ascii="Cambria" w:hAnsi="Cambria"/>
            <w:sz w:val="16"/>
            <w:szCs w:val="16"/>
          </w:rPr>
          <w:t xml:space="preserve"> </w:t>
        </w:r>
        <w:proofErr w:type="gramStart"/>
        <w:r w:rsidRPr="007F1156">
          <w:rPr>
            <w:rStyle w:val="Hyperlink"/>
            <w:rFonts w:ascii="Cambria" w:hAnsi="Cambria"/>
            <w:sz w:val="16"/>
            <w:szCs w:val="16"/>
          </w:rPr>
          <w:t>Report of the Office of the Special Rapporteur for Freedom of Expression</w:t>
        </w:r>
      </w:hyperlink>
      <w:r w:rsidRPr="007F1156">
        <w:rPr>
          <w:rFonts w:ascii="Cambria" w:hAnsi="Cambria"/>
          <w:sz w:val="16"/>
          <w:szCs w:val="16"/>
        </w:rPr>
        <w:t>.</w:t>
      </w:r>
      <w:proofErr w:type="gramEnd"/>
      <w:r w:rsidRPr="007F1156">
        <w:rPr>
          <w:rFonts w:ascii="Cambria" w:hAnsi="Cambria"/>
          <w:sz w:val="16"/>
          <w:szCs w:val="16"/>
        </w:rPr>
        <w:t xml:space="preserve"> </w:t>
      </w:r>
      <w:proofErr w:type="gramStart"/>
      <w:r w:rsidRPr="007F1156">
        <w:rPr>
          <w:rFonts w:ascii="Cambria" w:hAnsi="Cambria"/>
          <w:sz w:val="16"/>
          <w:szCs w:val="16"/>
        </w:rPr>
        <w:t>Chapter II.</w:t>
      </w:r>
      <w:proofErr w:type="gramEnd"/>
      <w:r w:rsidRPr="007F1156">
        <w:rPr>
          <w:rFonts w:ascii="Cambria" w:hAnsi="Cambria"/>
          <w:sz w:val="16"/>
          <w:szCs w:val="16"/>
        </w:rPr>
        <w:t xml:space="preserve"> </w:t>
      </w:r>
      <w:proofErr w:type="gramStart"/>
      <w:r w:rsidRPr="007F1156">
        <w:rPr>
          <w:rFonts w:ascii="Cambria" w:hAnsi="Cambria"/>
          <w:sz w:val="16"/>
          <w:szCs w:val="16"/>
        </w:rPr>
        <w:t>2010 Special Report on Freedom of Expression in Mexico.</w:t>
      </w:r>
      <w:proofErr w:type="gramEnd"/>
      <w:r w:rsidRPr="007F1156">
        <w:rPr>
          <w:rFonts w:ascii="Cambria" w:hAnsi="Cambria"/>
          <w:sz w:val="16"/>
          <w:szCs w:val="16"/>
        </w:rPr>
        <w:t xml:space="preserve"> OEA/</w:t>
      </w:r>
      <w:proofErr w:type="spellStart"/>
      <w:r w:rsidRPr="007F1156">
        <w:rPr>
          <w:rFonts w:ascii="Cambria" w:hAnsi="Cambria"/>
          <w:sz w:val="16"/>
          <w:szCs w:val="16"/>
        </w:rPr>
        <w:t>Ser.L</w:t>
      </w:r>
      <w:proofErr w:type="spellEnd"/>
      <w:r w:rsidRPr="007F1156">
        <w:rPr>
          <w:rFonts w:ascii="Cambria" w:hAnsi="Cambria"/>
          <w:sz w:val="16"/>
          <w:szCs w:val="16"/>
        </w:rPr>
        <w:t xml:space="preserve">/V/II. </w:t>
      </w:r>
      <w:proofErr w:type="gramStart"/>
      <w:r w:rsidRPr="007F1156">
        <w:rPr>
          <w:rFonts w:ascii="Cambria" w:hAnsi="Cambria"/>
          <w:sz w:val="16"/>
          <w:szCs w:val="16"/>
        </w:rPr>
        <w:t>Doc. 5.</w:t>
      </w:r>
      <w:proofErr w:type="gramEnd"/>
      <w:r w:rsidRPr="007F1156">
        <w:rPr>
          <w:rFonts w:ascii="Cambria" w:hAnsi="Cambria"/>
          <w:sz w:val="16"/>
          <w:szCs w:val="16"/>
        </w:rPr>
        <w:t xml:space="preserve"> March 7, 2011. </w:t>
      </w:r>
    </w:p>
  </w:footnote>
  <w:footnote w:id="16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212.</w:t>
      </w:r>
    </w:p>
  </w:footnote>
  <w:footnote w:id="16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the </w:t>
      </w:r>
      <w:proofErr w:type="spellStart"/>
      <w:r w:rsidRPr="007F1156">
        <w:rPr>
          <w:rFonts w:ascii="Cambria" w:hAnsi="Cambria"/>
          <w:i/>
          <w:sz w:val="16"/>
          <w:szCs w:val="16"/>
        </w:rPr>
        <w:t>Rochela</w:t>
      </w:r>
      <w:proofErr w:type="spellEnd"/>
      <w:r w:rsidRPr="007F1156">
        <w:rPr>
          <w:rFonts w:ascii="Cambria" w:hAnsi="Cambria"/>
          <w:i/>
          <w:sz w:val="16"/>
          <w:szCs w:val="16"/>
        </w:rPr>
        <w:t xml:space="preserve"> Massacre v. Colombia.</w:t>
      </w:r>
      <w:r w:rsidRPr="007F1156">
        <w:rPr>
          <w:rFonts w:ascii="Cambria" w:hAnsi="Cambria"/>
          <w:sz w:val="16"/>
          <w:szCs w:val="16"/>
        </w:rPr>
        <w:t xml:space="preserve"> </w:t>
      </w:r>
      <w:proofErr w:type="gramStart"/>
      <w:r w:rsidRPr="007F1156">
        <w:rPr>
          <w:rFonts w:ascii="Cambria" w:hAnsi="Cambria"/>
          <w:sz w:val="16"/>
          <w:szCs w:val="16"/>
        </w:rPr>
        <w:t>Merits, Reparations and Costs.</w:t>
      </w:r>
      <w:proofErr w:type="gramEnd"/>
      <w:r w:rsidRPr="007F1156">
        <w:rPr>
          <w:rFonts w:ascii="Cambria" w:hAnsi="Cambria"/>
          <w:sz w:val="16"/>
          <w:szCs w:val="16"/>
        </w:rPr>
        <w:t xml:space="preserve"> Judgment of May 11, 2007. </w:t>
      </w:r>
      <w:proofErr w:type="gramStart"/>
      <w:r w:rsidRPr="007F1156">
        <w:rPr>
          <w:rFonts w:ascii="Cambria" w:hAnsi="Cambria"/>
          <w:sz w:val="16"/>
          <w:szCs w:val="16"/>
        </w:rPr>
        <w:t>Series C No. 163.</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175; I/A Court H.R., </w:t>
      </w:r>
      <w:r w:rsidRPr="007F1156">
        <w:rPr>
          <w:rFonts w:ascii="Cambria" w:hAnsi="Cambria"/>
          <w:i/>
          <w:sz w:val="16"/>
          <w:szCs w:val="16"/>
        </w:rPr>
        <w:t xml:space="preserve">Case of the </w:t>
      </w:r>
      <w:proofErr w:type="spellStart"/>
      <w:r w:rsidRPr="007F1156">
        <w:rPr>
          <w:rFonts w:ascii="Cambria" w:hAnsi="Cambria"/>
          <w:i/>
          <w:sz w:val="16"/>
          <w:szCs w:val="16"/>
        </w:rPr>
        <w:t>Ituango</w:t>
      </w:r>
      <w:proofErr w:type="spellEnd"/>
      <w:r w:rsidRPr="007F1156">
        <w:rPr>
          <w:rFonts w:ascii="Cambria" w:hAnsi="Cambria"/>
          <w:i/>
          <w:sz w:val="16"/>
          <w:szCs w:val="16"/>
        </w:rPr>
        <w:t xml:space="preserve"> Massacres v. Colombia.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w:t>
      </w:r>
      <w:proofErr w:type="gramStart"/>
      <w:r w:rsidRPr="007F1156">
        <w:rPr>
          <w:rFonts w:ascii="Cambria" w:hAnsi="Cambria"/>
          <w:sz w:val="16"/>
          <w:szCs w:val="16"/>
        </w:rPr>
        <w:t>Judgment of July 1, 2006 Series C No. 148, para.</w:t>
      </w:r>
      <w:proofErr w:type="gramEnd"/>
      <w:r w:rsidRPr="007F1156">
        <w:rPr>
          <w:rFonts w:ascii="Cambria" w:hAnsi="Cambria"/>
          <w:sz w:val="16"/>
          <w:szCs w:val="16"/>
        </w:rPr>
        <w:t xml:space="preserve"> 322.</w:t>
      </w:r>
    </w:p>
  </w:footnote>
  <w:footnote w:id="170">
    <w:p w:rsidR="00F8558A" w:rsidRPr="007F1156" w:rsidRDefault="00F8558A" w:rsidP="007F115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rPr>
      </w:pPr>
      <w:r w:rsidRPr="007F1156">
        <w:rPr>
          <w:rStyle w:val="FootnoteReference"/>
          <w:rFonts w:ascii="Cambria" w:hAnsi="Cambria" w:cs="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Kawas</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Fernández</w:t>
      </w:r>
      <w:proofErr w:type="spellEnd"/>
      <w:r w:rsidRPr="007F1156">
        <w:rPr>
          <w:rFonts w:ascii="Cambria" w:hAnsi="Cambria"/>
          <w:i/>
          <w:sz w:val="16"/>
          <w:szCs w:val="16"/>
          <w:lang w:eastAsia="x-none"/>
        </w:rPr>
        <w:t xml:space="preserve">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April 3, 2009. </w:t>
      </w:r>
      <w:proofErr w:type="gramStart"/>
      <w:r w:rsidRPr="007F1156">
        <w:rPr>
          <w:rFonts w:ascii="Cambria" w:hAnsi="Cambria"/>
          <w:sz w:val="16"/>
          <w:szCs w:val="16"/>
          <w:lang w:eastAsia="x-none"/>
        </w:rPr>
        <w:t>Series C No. 196.</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97.</w:t>
      </w:r>
    </w:p>
  </w:footnote>
  <w:footnote w:id="171">
    <w:p w:rsidR="00F8558A" w:rsidRPr="007F1156" w:rsidRDefault="00F8558A" w:rsidP="007F1156">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rFonts w:ascii="Cambria" w:hAnsi="Cambria"/>
          <w:sz w:val="16"/>
          <w:szCs w:val="16"/>
        </w:rPr>
      </w:pPr>
      <w:r w:rsidRPr="007F1156">
        <w:rPr>
          <w:rStyle w:val="FootnoteReference"/>
          <w:rFonts w:ascii="Cambria" w:hAnsi="Cambria" w:cs="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Kawas</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Fernández</w:t>
      </w:r>
      <w:proofErr w:type="spellEnd"/>
      <w:r w:rsidRPr="007F1156">
        <w:rPr>
          <w:rFonts w:ascii="Cambria" w:hAnsi="Cambria"/>
          <w:i/>
          <w:sz w:val="16"/>
          <w:szCs w:val="16"/>
          <w:lang w:eastAsia="x-none"/>
        </w:rPr>
        <w:t xml:space="preserve">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April 3, 2009. </w:t>
      </w:r>
      <w:proofErr w:type="gramStart"/>
      <w:r w:rsidRPr="007F1156">
        <w:rPr>
          <w:rFonts w:ascii="Cambria" w:hAnsi="Cambria"/>
          <w:sz w:val="16"/>
          <w:szCs w:val="16"/>
          <w:lang w:eastAsia="x-none"/>
        </w:rPr>
        <w:t>Series C No. 196.</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97.</w:t>
      </w:r>
    </w:p>
  </w:footnote>
  <w:footnote w:id="17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“Article 5.</w:t>
      </w:r>
      <w:proofErr w:type="gramEnd"/>
      <w:r w:rsidRPr="007F1156">
        <w:rPr>
          <w:rFonts w:ascii="Cambria" w:hAnsi="Cambria"/>
          <w:sz w:val="16"/>
          <w:szCs w:val="16"/>
        </w:rPr>
        <w:t xml:space="preserve"> </w:t>
      </w:r>
      <w:proofErr w:type="gramStart"/>
      <w:r w:rsidRPr="007F1156">
        <w:rPr>
          <w:rFonts w:ascii="Cambria" w:hAnsi="Cambria"/>
          <w:sz w:val="16"/>
          <w:szCs w:val="16"/>
        </w:rPr>
        <w:t>Right to Humane Treatment.</w:t>
      </w:r>
      <w:proofErr w:type="gramEnd"/>
      <w:r w:rsidRPr="007F1156">
        <w:rPr>
          <w:rFonts w:ascii="Cambria" w:hAnsi="Cambria"/>
          <w:sz w:val="16"/>
          <w:szCs w:val="16"/>
        </w:rPr>
        <w:t xml:space="preserve"> 1. Every person has the right to have his physical, mental, and moral integrity respected.”</w:t>
      </w:r>
    </w:p>
  </w:footnote>
  <w:footnote w:id="173">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proofErr w:type="gramStart"/>
      <w:r w:rsidRPr="007F1156">
        <w:rPr>
          <w:rFonts w:ascii="Cambria" w:hAnsi="Cambria"/>
          <w:sz w:val="16"/>
          <w:szCs w:val="16"/>
        </w:rPr>
        <w:t>“Article 22.</w:t>
      </w:r>
      <w:proofErr w:type="gramEnd"/>
      <w:r w:rsidRPr="007F1156">
        <w:rPr>
          <w:rFonts w:ascii="Cambria" w:hAnsi="Cambria"/>
          <w:sz w:val="16"/>
          <w:szCs w:val="16"/>
        </w:rPr>
        <w:t xml:space="preserve"> </w:t>
      </w:r>
      <w:proofErr w:type="gramStart"/>
      <w:r w:rsidRPr="007F1156">
        <w:rPr>
          <w:rFonts w:ascii="Cambria" w:hAnsi="Cambria"/>
          <w:sz w:val="16"/>
          <w:szCs w:val="16"/>
        </w:rPr>
        <w:t>Freedom of Movement and Residence.</w:t>
      </w:r>
      <w:proofErr w:type="gramEnd"/>
      <w:r w:rsidRPr="007F1156">
        <w:rPr>
          <w:rFonts w:ascii="Cambria" w:hAnsi="Cambria"/>
          <w:sz w:val="16"/>
          <w:szCs w:val="16"/>
        </w:rPr>
        <w:t xml:space="preserve"> 1. Every person lawfully in the territory of a State Party has the right to move about in it, and to reside in it subject to the provisions of the law.”</w:t>
      </w:r>
    </w:p>
  </w:footnote>
  <w:footnote w:id="174">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Cantoral</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Huamaní</w:t>
      </w:r>
      <w:proofErr w:type="spellEnd"/>
      <w:r w:rsidRPr="007F1156">
        <w:rPr>
          <w:rFonts w:ascii="Cambria" w:hAnsi="Cambria"/>
          <w:i/>
          <w:sz w:val="16"/>
          <w:szCs w:val="16"/>
          <w:lang w:eastAsia="x-none"/>
        </w:rPr>
        <w:t xml:space="preserve"> and García Santa Cruz v. Peru.</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Preliminary Objection, Merits, Reparations and Costs.</w:t>
      </w:r>
      <w:proofErr w:type="gramEnd"/>
      <w:r w:rsidRPr="007F1156">
        <w:rPr>
          <w:rFonts w:ascii="Cambria" w:hAnsi="Cambria"/>
          <w:sz w:val="16"/>
          <w:szCs w:val="16"/>
          <w:lang w:eastAsia="x-none"/>
        </w:rPr>
        <w:t xml:space="preserve"> Judgment of July 10, 2007. </w:t>
      </w:r>
      <w:proofErr w:type="gramStart"/>
      <w:r w:rsidRPr="007F1156">
        <w:rPr>
          <w:rFonts w:ascii="Cambria" w:hAnsi="Cambria"/>
          <w:sz w:val="16"/>
          <w:szCs w:val="16"/>
          <w:lang w:eastAsia="x-none"/>
        </w:rPr>
        <w:t>Series C No. 167.</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112; I/A Court H.R., </w:t>
      </w:r>
      <w:r w:rsidRPr="007F1156">
        <w:rPr>
          <w:rFonts w:ascii="Cambria" w:hAnsi="Cambria"/>
          <w:i/>
          <w:sz w:val="16"/>
          <w:szCs w:val="16"/>
          <w:lang w:eastAsia="x-none"/>
        </w:rPr>
        <w:t>Case of Bueno Alves v. Argentina.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May 11, 2007. </w:t>
      </w:r>
      <w:proofErr w:type="gramStart"/>
      <w:r w:rsidRPr="007F1156">
        <w:rPr>
          <w:rFonts w:ascii="Cambria" w:hAnsi="Cambria"/>
          <w:sz w:val="16"/>
          <w:szCs w:val="16"/>
          <w:lang w:eastAsia="x-none"/>
        </w:rPr>
        <w:t>Series C No. 164.</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102.</w:t>
      </w:r>
    </w:p>
  </w:footnote>
  <w:footnote w:id="175">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Cantoral</w:t>
      </w:r>
      <w:proofErr w:type="spellEnd"/>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Huamaní</w:t>
      </w:r>
      <w:proofErr w:type="spellEnd"/>
      <w:r w:rsidRPr="007F1156">
        <w:rPr>
          <w:rFonts w:ascii="Cambria" w:hAnsi="Cambria"/>
          <w:i/>
          <w:sz w:val="16"/>
          <w:szCs w:val="16"/>
          <w:lang w:eastAsia="x-none"/>
        </w:rPr>
        <w:t xml:space="preserve"> and García Santa Cruz v. Peru.</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Preliminary Objection, Merits, Reparations and Costs.</w:t>
      </w:r>
      <w:proofErr w:type="gramEnd"/>
      <w:r w:rsidRPr="007F1156">
        <w:rPr>
          <w:rFonts w:ascii="Cambria" w:hAnsi="Cambria"/>
          <w:sz w:val="16"/>
          <w:szCs w:val="16"/>
          <w:lang w:eastAsia="x-none"/>
        </w:rPr>
        <w:t xml:space="preserve"> Judgment of July 10, 2007. </w:t>
      </w:r>
      <w:proofErr w:type="gramStart"/>
      <w:r w:rsidRPr="007F1156">
        <w:rPr>
          <w:rFonts w:ascii="Cambria" w:hAnsi="Cambria"/>
          <w:sz w:val="16"/>
          <w:szCs w:val="16"/>
          <w:lang w:eastAsia="x-none"/>
        </w:rPr>
        <w:t>Series C No. 167.</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112; I/A Court H.R., </w:t>
      </w:r>
      <w:r w:rsidRPr="007F1156">
        <w:rPr>
          <w:rFonts w:ascii="Cambria" w:hAnsi="Cambria"/>
          <w:i/>
          <w:sz w:val="16"/>
          <w:szCs w:val="16"/>
          <w:lang w:eastAsia="x-none"/>
        </w:rPr>
        <w:t xml:space="preserve">Case of Vargas </w:t>
      </w:r>
      <w:proofErr w:type="spellStart"/>
      <w:r w:rsidRPr="007F1156">
        <w:rPr>
          <w:rFonts w:ascii="Cambria" w:hAnsi="Cambria"/>
          <w:i/>
          <w:sz w:val="16"/>
          <w:szCs w:val="16"/>
          <w:lang w:eastAsia="x-none"/>
        </w:rPr>
        <w:t>Areco</w:t>
      </w:r>
      <w:proofErr w:type="spellEnd"/>
      <w:r w:rsidRPr="007F1156">
        <w:rPr>
          <w:rFonts w:ascii="Cambria" w:hAnsi="Cambria"/>
          <w:i/>
          <w:sz w:val="16"/>
          <w:szCs w:val="16"/>
          <w:lang w:eastAsia="x-none"/>
        </w:rPr>
        <w:t xml:space="preserve"> v. Paraguay</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September 26, 2006. </w:t>
      </w:r>
      <w:proofErr w:type="gramStart"/>
      <w:r w:rsidRPr="007F1156">
        <w:rPr>
          <w:rFonts w:ascii="Cambria" w:hAnsi="Cambria"/>
          <w:sz w:val="16"/>
          <w:szCs w:val="16"/>
          <w:lang w:eastAsia="x-none"/>
        </w:rPr>
        <w:t>Series C No. 155.</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96.</w:t>
      </w:r>
    </w:p>
  </w:footnote>
  <w:footnote w:id="176">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Case of Valle Jaramillo et al. v. Colombia.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November 27, 2008. </w:t>
      </w:r>
      <w:proofErr w:type="gramStart"/>
      <w:r w:rsidRPr="007F1156">
        <w:rPr>
          <w:rFonts w:ascii="Cambria" w:hAnsi="Cambria"/>
          <w:sz w:val="16"/>
          <w:szCs w:val="16"/>
          <w:lang w:eastAsia="x-none"/>
        </w:rPr>
        <w:t>Series C No. 192.</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98</w:t>
      </w:r>
      <w:r>
        <w:rPr>
          <w:rFonts w:ascii="Cambria" w:hAnsi="Cambria"/>
          <w:sz w:val="16"/>
          <w:szCs w:val="16"/>
          <w:lang w:eastAsia="x-none"/>
        </w:rPr>
        <w:t>;</w:t>
      </w:r>
      <w:r w:rsidRPr="007F1156">
        <w:rPr>
          <w:rFonts w:ascii="Cambria" w:hAnsi="Cambria"/>
          <w:sz w:val="16"/>
          <w:szCs w:val="16"/>
        </w:rPr>
        <w:t xml:space="preserve"> </w:t>
      </w:r>
      <w:r w:rsidRPr="007F1156">
        <w:rPr>
          <w:rFonts w:ascii="Cambria" w:hAnsi="Cambria"/>
          <w:sz w:val="16"/>
          <w:szCs w:val="16"/>
          <w:lang w:eastAsia="x-none"/>
        </w:rPr>
        <w:t xml:space="preserve">I/A Court H.R., </w:t>
      </w:r>
      <w:r w:rsidRPr="007F1156">
        <w:rPr>
          <w:rFonts w:ascii="Cambria" w:hAnsi="Cambria"/>
          <w:i/>
          <w:sz w:val="16"/>
          <w:szCs w:val="16"/>
          <w:lang w:eastAsia="x-none"/>
        </w:rPr>
        <w:t xml:space="preserve">Case </w:t>
      </w:r>
      <w:proofErr w:type="gramStart"/>
      <w:r w:rsidRPr="007F1156">
        <w:rPr>
          <w:rFonts w:ascii="Cambria" w:hAnsi="Cambria"/>
          <w:i/>
          <w:sz w:val="16"/>
          <w:szCs w:val="16"/>
          <w:lang w:eastAsia="x-none"/>
        </w:rPr>
        <w:t>of</w:t>
      </w:r>
      <w:r>
        <w:rPr>
          <w:rFonts w:ascii="Cambria" w:hAnsi="Cambria"/>
          <w:i/>
          <w:sz w:val="16"/>
          <w:szCs w:val="16"/>
          <w:lang w:eastAsia="x-none"/>
        </w:rPr>
        <w:t xml:space="preserve"> </w:t>
      </w:r>
      <w:r w:rsidRPr="007F1156">
        <w:rPr>
          <w:rFonts w:ascii="Cambria" w:hAnsi="Cambria"/>
          <w:i/>
          <w:sz w:val="16"/>
          <w:szCs w:val="16"/>
          <w:lang w:eastAsia="x-none"/>
        </w:rPr>
        <w:t xml:space="preserve"> </w:t>
      </w:r>
      <w:proofErr w:type="spellStart"/>
      <w:r w:rsidRPr="007F1156">
        <w:rPr>
          <w:rFonts w:ascii="Cambria" w:hAnsi="Cambria"/>
          <w:i/>
          <w:sz w:val="16"/>
          <w:szCs w:val="16"/>
          <w:lang w:eastAsia="x-none"/>
        </w:rPr>
        <w:t>Velásquez</w:t>
      </w:r>
      <w:proofErr w:type="spellEnd"/>
      <w:proofErr w:type="gramEnd"/>
      <w:r w:rsidRPr="007F1156">
        <w:rPr>
          <w:rFonts w:ascii="Cambria" w:hAnsi="Cambria"/>
          <w:i/>
          <w:sz w:val="16"/>
          <w:szCs w:val="16"/>
          <w:lang w:eastAsia="x-none"/>
        </w:rPr>
        <w:t xml:space="preserve"> Rodríguez v. Honduras.</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w:t>
      </w:r>
      <w:proofErr w:type="gramEnd"/>
      <w:r w:rsidRPr="007F1156">
        <w:rPr>
          <w:rFonts w:ascii="Cambria" w:hAnsi="Cambria"/>
          <w:sz w:val="16"/>
          <w:szCs w:val="16"/>
          <w:lang w:eastAsia="x-none"/>
        </w:rPr>
        <w:t xml:space="preserve"> Judgment of July 29, 1988. </w:t>
      </w:r>
      <w:proofErr w:type="gramStart"/>
      <w:r w:rsidRPr="007F1156">
        <w:rPr>
          <w:rFonts w:ascii="Cambria" w:hAnsi="Cambria"/>
          <w:sz w:val="16"/>
          <w:szCs w:val="16"/>
          <w:lang w:eastAsia="x-none"/>
        </w:rPr>
        <w:t>Series C No. 4.</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166; I/A Court H.R., </w:t>
      </w:r>
      <w:r w:rsidRPr="007F1156">
        <w:rPr>
          <w:rFonts w:ascii="Cambria" w:hAnsi="Cambria"/>
          <w:i/>
          <w:sz w:val="16"/>
          <w:szCs w:val="16"/>
          <w:lang w:eastAsia="x-none"/>
        </w:rPr>
        <w:t xml:space="preserve">Case of </w:t>
      </w:r>
      <w:proofErr w:type="spellStart"/>
      <w:r w:rsidRPr="007F1156">
        <w:rPr>
          <w:rFonts w:ascii="Cambria" w:hAnsi="Cambria"/>
          <w:i/>
          <w:sz w:val="16"/>
          <w:szCs w:val="16"/>
          <w:lang w:eastAsia="x-none"/>
        </w:rPr>
        <w:t>Heliodoro</w:t>
      </w:r>
      <w:proofErr w:type="spellEnd"/>
      <w:r w:rsidRPr="007F1156">
        <w:rPr>
          <w:rFonts w:ascii="Cambria" w:hAnsi="Cambria"/>
          <w:i/>
          <w:sz w:val="16"/>
          <w:szCs w:val="16"/>
          <w:lang w:eastAsia="x-none"/>
        </w:rPr>
        <w:t>-Portugal v. Panama.</w:t>
      </w:r>
      <w:r w:rsidRPr="007F1156">
        <w:rPr>
          <w:rFonts w:ascii="Cambria" w:hAnsi="Cambria"/>
          <w:sz w:val="16"/>
          <w:szCs w:val="16"/>
          <w:lang w:eastAsia="x-none"/>
        </w:rPr>
        <w:t xml:space="preserve"> Judgment of August 12, 2008. </w:t>
      </w:r>
      <w:proofErr w:type="gramStart"/>
      <w:r w:rsidRPr="007F1156">
        <w:rPr>
          <w:rFonts w:ascii="Cambria" w:hAnsi="Cambria"/>
          <w:sz w:val="16"/>
          <w:szCs w:val="16"/>
          <w:lang w:eastAsia="x-none"/>
        </w:rPr>
        <w:t>Series C No. 186.</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142; I/A Court H.R., </w:t>
      </w:r>
      <w:r w:rsidRPr="007F1156">
        <w:rPr>
          <w:rFonts w:ascii="Cambria" w:hAnsi="Cambria"/>
          <w:i/>
          <w:sz w:val="16"/>
          <w:szCs w:val="16"/>
          <w:lang w:eastAsia="x-none"/>
        </w:rPr>
        <w:t>Case of García Prieto et al. v. El Salvador.</w:t>
      </w:r>
      <w:r w:rsidRPr="007F1156">
        <w:rPr>
          <w:rFonts w:ascii="Cambria" w:hAnsi="Cambria"/>
          <w:sz w:val="16"/>
          <w:szCs w:val="16"/>
          <w:lang w:eastAsia="x-none"/>
        </w:rPr>
        <w:t xml:space="preserve"> Judgment of November 20, 2007. </w:t>
      </w:r>
      <w:proofErr w:type="gramStart"/>
      <w:r w:rsidRPr="007F1156">
        <w:rPr>
          <w:rFonts w:ascii="Cambria" w:hAnsi="Cambria"/>
          <w:sz w:val="16"/>
          <w:szCs w:val="16"/>
          <w:lang w:eastAsia="x-none"/>
        </w:rPr>
        <w:t>Series C No. 168.</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w:t>
      </w:r>
      <w:proofErr w:type="gramEnd"/>
      <w:r w:rsidRPr="007F1156">
        <w:rPr>
          <w:rFonts w:ascii="Cambria" w:hAnsi="Cambria"/>
          <w:sz w:val="16"/>
          <w:szCs w:val="16"/>
          <w:lang w:eastAsia="x-none"/>
        </w:rPr>
        <w:t xml:space="preserve"> 99. </w:t>
      </w:r>
    </w:p>
  </w:footnote>
  <w:footnote w:id="177">
    <w:p w:rsidR="00F8558A" w:rsidRPr="007F1156" w:rsidRDefault="00F8558A" w:rsidP="007F1156">
      <w:pPr>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xml:space="preserve">. 220; </w:t>
      </w:r>
      <w:r w:rsidRPr="007F1156">
        <w:rPr>
          <w:rStyle w:val="FootnoteReference"/>
          <w:rFonts w:ascii="Cambria" w:hAnsi="Cambria"/>
          <w:sz w:val="16"/>
          <w:szCs w:val="16"/>
          <w:lang w:eastAsia="x-none"/>
        </w:rPr>
        <w:footnoteRef/>
      </w:r>
      <w:r w:rsidRPr="007F1156">
        <w:rPr>
          <w:rFonts w:ascii="Cambria" w:hAnsi="Cambria"/>
          <w:sz w:val="16"/>
          <w:szCs w:val="16"/>
          <w:lang w:eastAsia="x-none"/>
        </w:rPr>
        <w:t xml:space="preserve"> I/A Court H.R., </w:t>
      </w:r>
      <w:r w:rsidRPr="007F1156">
        <w:rPr>
          <w:rFonts w:ascii="Cambria" w:hAnsi="Cambria"/>
          <w:i/>
          <w:sz w:val="16"/>
          <w:szCs w:val="16"/>
          <w:lang w:eastAsia="x-none"/>
        </w:rPr>
        <w:t>Case of Valle Jaramillo et al. v. Colombia.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November 27, 2008. </w:t>
      </w:r>
      <w:proofErr w:type="gramStart"/>
      <w:r w:rsidRPr="007F1156">
        <w:rPr>
          <w:rFonts w:ascii="Cambria" w:hAnsi="Cambria"/>
          <w:sz w:val="16"/>
          <w:szCs w:val="16"/>
          <w:lang w:eastAsia="x-none"/>
        </w:rPr>
        <w:t>Series C No. 192.</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Paras.</w:t>
      </w:r>
      <w:proofErr w:type="gramEnd"/>
      <w:r w:rsidRPr="007F1156">
        <w:rPr>
          <w:rFonts w:ascii="Cambria" w:hAnsi="Cambria"/>
          <w:sz w:val="16"/>
          <w:szCs w:val="16"/>
          <w:lang w:eastAsia="x-none"/>
        </w:rPr>
        <w:t xml:space="preserve"> 140-144; </w:t>
      </w:r>
      <w:r w:rsidRPr="007F1156">
        <w:rPr>
          <w:rFonts w:ascii="Cambria" w:hAnsi="Cambria"/>
          <w:color w:val="000000"/>
          <w:sz w:val="16"/>
          <w:szCs w:val="16"/>
        </w:rPr>
        <w:t xml:space="preserve">I/A Court H.R., </w:t>
      </w:r>
      <w:r w:rsidRPr="007F1156">
        <w:rPr>
          <w:rFonts w:ascii="Cambria" w:hAnsi="Cambria"/>
          <w:i/>
          <w:color w:val="000000"/>
          <w:sz w:val="16"/>
          <w:szCs w:val="16"/>
        </w:rPr>
        <w:t xml:space="preserve">Case of Manuel </w:t>
      </w:r>
      <w:proofErr w:type="spellStart"/>
      <w:r w:rsidRPr="007F1156">
        <w:rPr>
          <w:rFonts w:ascii="Cambria" w:hAnsi="Cambria"/>
          <w:i/>
          <w:color w:val="000000"/>
          <w:sz w:val="16"/>
          <w:szCs w:val="16"/>
        </w:rPr>
        <w:t>Cepeda</w:t>
      </w:r>
      <w:proofErr w:type="spellEnd"/>
      <w:r w:rsidRPr="007F1156">
        <w:rPr>
          <w:rFonts w:ascii="Cambria" w:hAnsi="Cambria"/>
          <w:i/>
          <w:color w:val="000000"/>
          <w:sz w:val="16"/>
          <w:szCs w:val="16"/>
        </w:rPr>
        <w:t xml:space="preserve"> Vargas v. Colombia</w:t>
      </w:r>
      <w:r w:rsidRPr="007F1156">
        <w:rPr>
          <w:rFonts w:ascii="Cambria" w:hAnsi="Cambria"/>
          <w:color w:val="000000"/>
          <w:sz w:val="16"/>
          <w:szCs w:val="16"/>
        </w:rPr>
        <w:t xml:space="preserve">. </w:t>
      </w:r>
      <w:proofErr w:type="gramStart"/>
      <w:r w:rsidRPr="007F1156">
        <w:rPr>
          <w:rFonts w:ascii="Cambria" w:hAnsi="Cambria"/>
          <w:color w:val="000000"/>
          <w:sz w:val="16"/>
          <w:szCs w:val="16"/>
        </w:rPr>
        <w:t>Preliminary Objections, Merits, Reparations and Costs.</w:t>
      </w:r>
      <w:proofErr w:type="gramEnd"/>
      <w:r w:rsidRPr="007F1156">
        <w:rPr>
          <w:rFonts w:ascii="Cambria" w:hAnsi="Cambria"/>
          <w:color w:val="000000"/>
          <w:sz w:val="16"/>
          <w:szCs w:val="16"/>
        </w:rPr>
        <w:t xml:space="preserve"> Judgment of May 26, 2010. </w:t>
      </w:r>
      <w:proofErr w:type="gramStart"/>
      <w:r w:rsidRPr="007F1156">
        <w:rPr>
          <w:rFonts w:ascii="Cambria" w:hAnsi="Cambria"/>
          <w:color w:val="000000"/>
          <w:sz w:val="16"/>
          <w:szCs w:val="16"/>
        </w:rPr>
        <w:t>Series C No. 213.</w:t>
      </w:r>
      <w:proofErr w:type="gramEnd"/>
    </w:p>
  </w:footnote>
  <w:footnote w:id="178">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220.</w:t>
      </w:r>
    </w:p>
  </w:footnote>
  <w:footnote w:id="179">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I/A Court H.R., </w:t>
      </w:r>
      <w:r w:rsidRPr="007F1156">
        <w:rPr>
          <w:rFonts w:ascii="Cambria" w:hAnsi="Cambria"/>
          <w:i/>
          <w:sz w:val="16"/>
          <w:szCs w:val="16"/>
        </w:rPr>
        <w:t xml:space="preserve">Case of </w:t>
      </w:r>
      <w:proofErr w:type="spellStart"/>
      <w:r w:rsidRPr="007F1156">
        <w:rPr>
          <w:rFonts w:ascii="Cambria" w:hAnsi="Cambria"/>
          <w:i/>
          <w:sz w:val="16"/>
          <w:szCs w:val="16"/>
        </w:rPr>
        <w:t>Vélez</w:t>
      </w:r>
      <w:proofErr w:type="spellEnd"/>
      <w:r w:rsidRPr="007F1156">
        <w:rPr>
          <w:rFonts w:ascii="Cambria" w:hAnsi="Cambria"/>
          <w:i/>
          <w:sz w:val="16"/>
          <w:szCs w:val="16"/>
        </w:rPr>
        <w:t xml:space="preserve"> </w:t>
      </w:r>
      <w:proofErr w:type="spellStart"/>
      <w:r w:rsidRPr="007F1156">
        <w:rPr>
          <w:rFonts w:ascii="Cambria" w:hAnsi="Cambria"/>
          <w:i/>
          <w:sz w:val="16"/>
          <w:szCs w:val="16"/>
        </w:rPr>
        <w:t>Restrepo</w:t>
      </w:r>
      <w:proofErr w:type="spellEnd"/>
      <w:r w:rsidRPr="007F1156">
        <w:rPr>
          <w:rFonts w:ascii="Cambria" w:hAnsi="Cambria"/>
          <w:i/>
          <w:sz w:val="16"/>
          <w:szCs w:val="16"/>
        </w:rPr>
        <w:t xml:space="preserve"> and Family v. Colombia.</w:t>
      </w:r>
      <w:r w:rsidRPr="007F1156">
        <w:rPr>
          <w:rFonts w:ascii="Cambria" w:hAnsi="Cambria"/>
          <w:sz w:val="16"/>
          <w:szCs w:val="16"/>
        </w:rPr>
        <w:t xml:space="preserve"> </w:t>
      </w:r>
      <w:proofErr w:type="gramStart"/>
      <w:r w:rsidRPr="007F1156">
        <w:rPr>
          <w:rFonts w:ascii="Cambria" w:hAnsi="Cambria"/>
          <w:sz w:val="16"/>
          <w:szCs w:val="16"/>
        </w:rPr>
        <w:t>Preliminary Objection, Merits, Reparations, and Costs.</w:t>
      </w:r>
      <w:proofErr w:type="gramEnd"/>
      <w:r w:rsidRPr="007F1156">
        <w:rPr>
          <w:rFonts w:ascii="Cambria" w:hAnsi="Cambria"/>
          <w:sz w:val="16"/>
          <w:szCs w:val="16"/>
        </w:rPr>
        <w:t xml:space="preserve"> Judgment of September 3, 2012. </w:t>
      </w:r>
      <w:proofErr w:type="gramStart"/>
      <w:r w:rsidRPr="007F1156">
        <w:rPr>
          <w:rFonts w:ascii="Cambria" w:hAnsi="Cambria"/>
          <w:sz w:val="16"/>
          <w:szCs w:val="16"/>
        </w:rPr>
        <w:t>Series C No. 248.</w:t>
      </w:r>
      <w:proofErr w:type="gramEnd"/>
      <w:r w:rsidRPr="007F1156">
        <w:rPr>
          <w:rFonts w:ascii="Cambria" w:hAnsi="Cambria"/>
          <w:sz w:val="16"/>
          <w:szCs w:val="16"/>
        </w:rPr>
        <w:t xml:space="preserve"> </w:t>
      </w:r>
      <w:proofErr w:type="gramStart"/>
      <w:r w:rsidRPr="007F1156">
        <w:rPr>
          <w:rFonts w:ascii="Cambria" w:hAnsi="Cambria"/>
          <w:sz w:val="16"/>
          <w:szCs w:val="16"/>
        </w:rPr>
        <w:t>para</w:t>
      </w:r>
      <w:proofErr w:type="gramEnd"/>
      <w:r w:rsidRPr="007F1156">
        <w:rPr>
          <w:rFonts w:ascii="Cambria" w:hAnsi="Cambria"/>
          <w:sz w:val="16"/>
          <w:szCs w:val="16"/>
        </w:rPr>
        <w:t>. 221.</w:t>
      </w:r>
    </w:p>
  </w:footnote>
  <w:footnote w:id="180">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w:t>
      </w:r>
      <w:r w:rsidRPr="007F1156">
        <w:rPr>
          <w:rFonts w:ascii="Cambria" w:hAnsi="Cambria"/>
          <w:sz w:val="16"/>
          <w:szCs w:val="16"/>
          <w:lang w:eastAsia="x-none"/>
        </w:rPr>
        <w:t xml:space="preserve">I/A Court H.R., </w:t>
      </w:r>
      <w:r w:rsidRPr="007F1156">
        <w:rPr>
          <w:rFonts w:ascii="Cambria" w:hAnsi="Cambria"/>
          <w:i/>
          <w:sz w:val="16"/>
          <w:szCs w:val="16"/>
          <w:lang w:eastAsia="x-none"/>
        </w:rPr>
        <w:t>Case of Valle Jaramillo et al. v. Colombia.</w:t>
      </w:r>
      <w:r w:rsidRPr="007F1156">
        <w:rPr>
          <w:rFonts w:ascii="Cambria" w:hAnsi="Cambria"/>
          <w:sz w:val="16"/>
          <w:szCs w:val="16"/>
          <w:lang w:eastAsia="x-none"/>
        </w:rPr>
        <w:t xml:space="preserve"> </w:t>
      </w:r>
      <w:proofErr w:type="gramStart"/>
      <w:r w:rsidRPr="007F1156">
        <w:rPr>
          <w:rFonts w:ascii="Cambria" w:hAnsi="Cambria"/>
          <w:sz w:val="16"/>
          <w:szCs w:val="16"/>
          <w:lang w:eastAsia="x-none"/>
        </w:rPr>
        <w:t>Merits, Reparations and Costs.</w:t>
      </w:r>
      <w:proofErr w:type="gramEnd"/>
      <w:r w:rsidRPr="007F1156">
        <w:rPr>
          <w:rFonts w:ascii="Cambria" w:hAnsi="Cambria"/>
          <w:sz w:val="16"/>
          <w:szCs w:val="16"/>
          <w:lang w:eastAsia="x-none"/>
        </w:rPr>
        <w:t xml:space="preserve"> Judgment of November 27, 2008. </w:t>
      </w:r>
      <w:proofErr w:type="gramStart"/>
      <w:r w:rsidRPr="007F1156">
        <w:rPr>
          <w:rFonts w:ascii="Cambria" w:hAnsi="Cambria"/>
          <w:sz w:val="16"/>
          <w:szCs w:val="16"/>
          <w:lang w:eastAsia="x-none"/>
        </w:rPr>
        <w:t>Series C No. 192.</w:t>
      </w:r>
      <w:proofErr w:type="gramEnd"/>
      <w:r w:rsidRPr="007F1156">
        <w:rPr>
          <w:rFonts w:ascii="Cambria" w:hAnsi="Cambria"/>
          <w:sz w:val="16"/>
          <w:szCs w:val="16"/>
          <w:lang w:eastAsia="x-none"/>
        </w:rPr>
        <w:t xml:space="preserve"> </w:t>
      </w:r>
      <w:proofErr w:type="gramStart"/>
      <w:r w:rsidRPr="007F1156">
        <w:rPr>
          <w:rFonts w:ascii="Cambria" w:hAnsi="Cambria"/>
          <w:sz w:val="16"/>
          <w:szCs w:val="16"/>
          <w:lang w:eastAsia="x-none"/>
        </w:rPr>
        <w:t>Paras.</w:t>
      </w:r>
      <w:proofErr w:type="gramEnd"/>
      <w:r w:rsidRPr="007F1156">
        <w:rPr>
          <w:rFonts w:ascii="Cambria" w:hAnsi="Cambria"/>
          <w:sz w:val="16"/>
          <w:szCs w:val="16"/>
          <w:lang w:eastAsia="x-none"/>
        </w:rPr>
        <w:t xml:space="preserve"> 140-144.</w:t>
      </w:r>
    </w:p>
  </w:footnote>
  <w:footnote w:id="181">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“The State finds that that information was provided by the petitioner for information purposes only, with no further observations being admissible, given that the aforementioned decisions were not presented. The argument of the representatives concerning the ‘confidentiality’ of those documents is understandable; however, and with a view to the transparency of the proceedings before the Honorable Commission, it would be important for them to be disclosed, not only in order to present the appropriate observations but also because in the opinion of the State it is essential that the IACHR should have access to them—without including that information in the international proceedings—as has been done in other cases and/or petitions.” Communication from the Colombian State dated November 18, 2013. MPC/OEA No. 1538/2013. Forwarding note 20135010027201-GDI dated November 13, 2013. </w:t>
      </w:r>
      <w:proofErr w:type="gramStart"/>
      <w:r w:rsidRPr="007F1156">
        <w:rPr>
          <w:rFonts w:ascii="Cambria" w:hAnsi="Cambria"/>
          <w:sz w:val="16"/>
          <w:szCs w:val="16"/>
        </w:rPr>
        <w:t>Received by the IACHR on November 19, 2013.</w:t>
      </w:r>
      <w:proofErr w:type="gramEnd"/>
    </w:p>
  </w:footnote>
  <w:footnote w:id="182">
    <w:p w:rsidR="00F8558A" w:rsidRPr="007F1156" w:rsidRDefault="00F8558A" w:rsidP="007F1156">
      <w:pPr>
        <w:pStyle w:val="FootnoteText"/>
        <w:spacing w:after="120"/>
        <w:ind w:firstLine="720"/>
        <w:jc w:val="both"/>
        <w:rPr>
          <w:rFonts w:ascii="Cambria" w:hAnsi="Cambria"/>
          <w:sz w:val="16"/>
          <w:szCs w:val="16"/>
        </w:rPr>
      </w:pPr>
      <w:r w:rsidRPr="007F1156">
        <w:rPr>
          <w:rStyle w:val="FootnoteReference"/>
          <w:rFonts w:ascii="Cambria" w:hAnsi="Cambria"/>
          <w:sz w:val="16"/>
          <w:szCs w:val="16"/>
        </w:rPr>
        <w:footnoteRef/>
      </w:r>
      <w:r w:rsidRPr="007F1156">
        <w:rPr>
          <w:rFonts w:ascii="Cambria" w:hAnsi="Cambria"/>
          <w:sz w:val="16"/>
          <w:szCs w:val="16"/>
        </w:rPr>
        <w:t xml:space="preserve"> Communication from the Colombian State dated July 15, 2009. </w:t>
      </w:r>
      <w:proofErr w:type="gramStart"/>
      <w:r w:rsidRPr="007F1156">
        <w:rPr>
          <w:rFonts w:ascii="Cambria" w:hAnsi="Cambria"/>
          <w:sz w:val="16"/>
          <w:szCs w:val="16"/>
        </w:rPr>
        <w:t>DDH.GOI. No. 37793/1905.</w:t>
      </w:r>
      <w:proofErr w:type="gramEnd"/>
      <w:r w:rsidRPr="007F1156">
        <w:rPr>
          <w:rFonts w:ascii="Cambria" w:hAnsi="Cambria"/>
          <w:sz w:val="16"/>
          <w:szCs w:val="16"/>
        </w:rPr>
        <w:t xml:space="preserve"> </w:t>
      </w:r>
      <w:proofErr w:type="gramStart"/>
      <w:r w:rsidRPr="007F1156">
        <w:rPr>
          <w:rFonts w:ascii="Cambria" w:hAnsi="Cambria"/>
          <w:sz w:val="16"/>
          <w:szCs w:val="16"/>
        </w:rPr>
        <w:t>P. 29.</w:t>
      </w:r>
      <w:proofErr w:type="gramEnd"/>
      <w:r w:rsidRPr="007F1156">
        <w:rPr>
          <w:rFonts w:ascii="Cambria" w:hAnsi="Cambria"/>
          <w:sz w:val="16"/>
          <w:szCs w:val="16"/>
        </w:rPr>
        <w:t xml:space="preserve"> </w:t>
      </w:r>
      <w:proofErr w:type="gramStart"/>
      <w:r w:rsidRPr="007F1156">
        <w:rPr>
          <w:rFonts w:ascii="Cambria" w:hAnsi="Cambria"/>
          <w:sz w:val="16"/>
          <w:szCs w:val="16"/>
        </w:rPr>
        <w:t>Received by the IACHR on July 16, 2009.</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8A" w:rsidRDefault="00F8558A" w:rsidP="00B845B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F8558A" w:rsidRDefault="00F85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58A" w:rsidRDefault="00F8558A" w:rsidP="002C1641">
    <w:pPr>
      <w:pStyle w:val="Header"/>
      <w:tabs>
        <w:tab w:val="clear" w:pos="4320"/>
        <w:tab w:val="clear" w:pos="8640"/>
      </w:tabs>
      <w:jc w:val="center"/>
      <w:rPr>
        <w:sz w:val="22"/>
        <w:szCs w:val="22"/>
      </w:rPr>
    </w:pPr>
    <w:r>
      <w:rPr>
        <w:noProof/>
        <w:sz w:val="22"/>
        <w:szCs w:val="22"/>
      </w:rPr>
      <w:drawing>
        <wp:inline distT="0" distB="0" distL="0" distR="0" wp14:anchorId="20BB7E4B" wp14:editId="53E8C230">
          <wp:extent cx="2208530" cy="120650"/>
          <wp:effectExtent l="0" t="0" r="1270" b="0"/>
          <wp:docPr id="5" name="Picture 21"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120650"/>
                  </a:xfrm>
                  <a:prstGeom prst="rect">
                    <a:avLst/>
                  </a:prstGeom>
                  <a:noFill/>
                  <a:ln>
                    <a:noFill/>
                  </a:ln>
                </pic:spPr>
              </pic:pic>
            </a:graphicData>
          </a:graphic>
        </wp:inline>
      </w:drawing>
    </w:r>
  </w:p>
  <w:p w:rsidR="00F8558A" w:rsidRPr="00EC7D62" w:rsidRDefault="00F8558A"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9B10DD"/>
    <w:multiLevelType w:val="hybridMultilevel"/>
    <w:tmpl w:val="57084DB2"/>
    <w:lvl w:ilvl="0" w:tplc="1302A5D6">
      <w:start w:val="1"/>
      <w:numFmt w:val="upperLetter"/>
      <w:pStyle w:val="Heading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626C18"/>
    <w:multiLevelType w:val="hybridMultilevel"/>
    <w:tmpl w:val="3A4CC446"/>
    <w:lvl w:ilvl="0" w:tplc="3CEA6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9D774CE"/>
    <w:multiLevelType w:val="hybridMultilevel"/>
    <w:tmpl w:val="CE042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5E391A"/>
    <w:multiLevelType w:val="hybridMultilevel"/>
    <w:tmpl w:val="E75A2FBC"/>
    <w:lvl w:ilvl="0" w:tplc="A966182E">
      <w:start w:val="1"/>
      <w:numFmt w:val="upperLetter"/>
      <w:pStyle w:val="Style2"/>
      <w:lvlText w:val="%1."/>
      <w:lvlJc w:val="left"/>
      <w:pPr>
        <w:tabs>
          <w:tab w:val="num" w:pos="1080"/>
        </w:tabs>
        <w:ind w:left="1080" w:hanging="360"/>
      </w:pPr>
      <w:rPr>
        <w:rFonts w:hint="default"/>
      </w:rPr>
    </w:lvl>
    <w:lvl w:ilvl="1" w:tplc="F57E72A8">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F921DC2"/>
    <w:multiLevelType w:val="hybridMultilevel"/>
    <w:tmpl w:val="C2D6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8392973"/>
    <w:multiLevelType w:val="hybridMultilevel"/>
    <w:tmpl w:val="2FF4FC0A"/>
    <w:lvl w:ilvl="0" w:tplc="82602046">
      <w:start w:val="1"/>
      <w:numFmt w:val="decimal"/>
      <w:lvlText w:val="%1."/>
      <w:lvlJc w:val="left"/>
      <w:pPr>
        <w:tabs>
          <w:tab w:val="num" w:pos="1260"/>
        </w:tabs>
        <w:ind w:left="1260" w:hanging="360"/>
      </w:pPr>
      <w:rPr>
        <w:b w:val="0"/>
      </w:rPr>
    </w:lvl>
    <w:lvl w:ilvl="1" w:tplc="5B509156">
      <w:start w:val="2"/>
      <w:numFmt w:val="bullet"/>
      <w:lvlText w:val="-"/>
      <w:lvlJc w:val="left"/>
      <w:pPr>
        <w:tabs>
          <w:tab w:val="num" w:pos="1440"/>
        </w:tabs>
        <w:ind w:left="1440" w:hanging="360"/>
      </w:pPr>
      <w:rPr>
        <w:rFonts w:ascii="Calibri" w:eastAsia="Times New Roman" w:hAnsi="Calibri" w:cs="Arial" w:hint="default"/>
      </w:rPr>
    </w:lvl>
    <w:lvl w:ilvl="2" w:tplc="B374DD64">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04E41BC"/>
    <w:multiLevelType w:val="hybridMultilevel"/>
    <w:tmpl w:val="E2E4070E"/>
    <w:lvl w:ilvl="0" w:tplc="EB4ECDAE">
      <w:start w:val="1"/>
      <w:numFmt w:val="upperRoman"/>
      <w:pStyle w:val="Style1"/>
      <w:lvlText w:val="%1."/>
      <w:lvlJc w:val="left"/>
      <w:pPr>
        <w:ind w:left="1004" w:hanging="720"/>
      </w:pPr>
      <w:rPr>
        <w:rFonts w:cs="Times New Roman" w:hint="default"/>
        <w:b/>
      </w:rPr>
    </w:lvl>
    <w:lvl w:ilvl="1" w:tplc="F6081B3A">
      <w:start w:val="1"/>
      <w:numFmt w:val="upperLetter"/>
      <w:lvlText w:val="%2."/>
      <w:lvlJc w:val="left"/>
      <w:pPr>
        <w:tabs>
          <w:tab w:val="num" w:pos="0"/>
        </w:tabs>
        <w:ind w:left="1364" w:hanging="360"/>
      </w:pPr>
      <w:rPr>
        <w:rFonts w:cs="Times New Roman" w:hint="default"/>
      </w:rPr>
    </w:lvl>
    <w:lvl w:ilvl="2" w:tplc="0C0A001B">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52">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6">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5"/>
  </w:num>
  <w:num w:numId="4">
    <w:abstractNumId w:val="24"/>
  </w:num>
  <w:num w:numId="5">
    <w:abstractNumId w:val="48"/>
  </w:num>
  <w:num w:numId="6">
    <w:abstractNumId w:val="30"/>
  </w:num>
  <w:num w:numId="7">
    <w:abstractNumId w:val="9"/>
  </w:num>
  <w:num w:numId="8">
    <w:abstractNumId w:val="19"/>
  </w:num>
  <w:num w:numId="9">
    <w:abstractNumId w:val="44"/>
  </w:num>
  <w:num w:numId="10">
    <w:abstractNumId w:val="0"/>
  </w:num>
  <w:num w:numId="11">
    <w:abstractNumId w:val="39"/>
  </w:num>
  <w:num w:numId="12">
    <w:abstractNumId w:val="40"/>
  </w:num>
  <w:num w:numId="13">
    <w:abstractNumId w:val="45"/>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5"/>
  </w:num>
  <w:num w:numId="28">
    <w:abstractNumId w:val="26"/>
  </w:num>
  <w:num w:numId="29">
    <w:abstractNumId w:val="27"/>
  </w:num>
  <w:num w:numId="30">
    <w:abstractNumId w:val="29"/>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7"/>
  </w:num>
  <w:num w:numId="42">
    <w:abstractNumId w:val="49"/>
  </w:num>
  <w:num w:numId="43">
    <w:abstractNumId w:val="50"/>
  </w:num>
  <w:num w:numId="44">
    <w:abstractNumId w:val="53"/>
  </w:num>
  <w:num w:numId="45">
    <w:abstractNumId w:val="54"/>
  </w:num>
  <w:num w:numId="46">
    <w:abstractNumId w:val="56"/>
  </w:num>
  <w:num w:numId="47">
    <w:abstractNumId w:val="57"/>
  </w:num>
  <w:num w:numId="48">
    <w:abstractNumId w:val="58"/>
  </w:num>
  <w:num w:numId="49">
    <w:abstractNumId w:val="59"/>
  </w:num>
  <w:num w:numId="50">
    <w:abstractNumId w:val="60"/>
  </w:num>
  <w:num w:numId="51">
    <w:abstractNumId w:val="23"/>
  </w:num>
  <w:num w:numId="52">
    <w:abstractNumId w:val="43"/>
  </w:num>
  <w:num w:numId="53">
    <w:abstractNumId w:val="52"/>
  </w:num>
  <w:num w:numId="54">
    <w:abstractNumId w:val="46"/>
  </w:num>
  <w:num w:numId="55">
    <w:abstractNumId w:val="2"/>
  </w:num>
  <w:num w:numId="56">
    <w:abstractNumId w:val="28"/>
  </w:num>
  <w:num w:numId="57">
    <w:abstractNumId w:val="8"/>
  </w:num>
  <w:num w:numId="58">
    <w:abstractNumId w:val="2"/>
    <w:lvlOverride w:ilvl="0">
      <w:startOverride w:val="1"/>
    </w:lvlOverride>
  </w:num>
  <w:num w:numId="59">
    <w:abstractNumId w:val="51"/>
  </w:num>
  <w:num w:numId="60">
    <w:abstractNumId w:val="7"/>
  </w:num>
  <w:num w:numId="61">
    <w:abstractNumId w:val="22"/>
  </w:num>
  <w:num w:numId="62">
    <w:abstractNumId w:val="5"/>
  </w:num>
  <w:num w:numId="63">
    <w:abstractNumId w:val="2"/>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6BD"/>
    <w:rsid w:val="00004AD8"/>
    <w:rsid w:val="000070D7"/>
    <w:rsid w:val="000111A8"/>
    <w:rsid w:val="0001788C"/>
    <w:rsid w:val="0002192D"/>
    <w:rsid w:val="00031FBE"/>
    <w:rsid w:val="000330DD"/>
    <w:rsid w:val="0003360B"/>
    <w:rsid w:val="00033D44"/>
    <w:rsid w:val="00036A8A"/>
    <w:rsid w:val="00036C9D"/>
    <w:rsid w:val="00040C3A"/>
    <w:rsid w:val="00040FFB"/>
    <w:rsid w:val="00045D4D"/>
    <w:rsid w:val="000536B5"/>
    <w:rsid w:val="00056F97"/>
    <w:rsid w:val="00057335"/>
    <w:rsid w:val="0006101B"/>
    <w:rsid w:val="000639C0"/>
    <w:rsid w:val="00070F3A"/>
    <w:rsid w:val="000716C5"/>
    <w:rsid w:val="00073A29"/>
    <w:rsid w:val="00075E23"/>
    <w:rsid w:val="00080A3E"/>
    <w:rsid w:val="00084FF9"/>
    <w:rsid w:val="00086605"/>
    <w:rsid w:val="00092F32"/>
    <w:rsid w:val="0009344A"/>
    <w:rsid w:val="00097DD8"/>
    <w:rsid w:val="000A575F"/>
    <w:rsid w:val="000A7A37"/>
    <w:rsid w:val="000A7FD2"/>
    <w:rsid w:val="000B3192"/>
    <w:rsid w:val="000B52FE"/>
    <w:rsid w:val="000B5BE6"/>
    <w:rsid w:val="000B63C0"/>
    <w:rsid w:val="000D10DB"/>
    <w:rsid w:val="000D2E7C"/>
    <w:rsid w:val="000D2F61"/>
    <w:rsid w:val="000D705D"/>
    <w:rsid w:val="000D7257"/>
    <w:rsid w:val="000E0D51"/>
    <w:rsid w:val="000E3185"/>
    <w:rsid w:val="000F0B05"/>
    <w:rsid w:val="000F5C3C"/>
    <w:rsid w:val="001000C6"/>
    <w:rsid w:val="001077EB"/>
    <w:rsid w:val="00112DAD"/>
    <w:rsid w:val="00115734"/>
    <w:rsid w:val="00120611"/>
    <w:rsid w:val="00123E32"/>
    <w:rsid w:val="0012782E"/>
    <w:rsid w:val="00130C99"/>
    <w:rsid w:val="0013104F"/>
    <w:rsid w:val="001326C4"/>
    <w:rsid w:val="00133420"/>
    <w:rsid w:val="0013654C"/>
    <w:rsid w:val="00137EBA"/>
    <w:rsid w:val="00144010"/>
    <w:rsid w:val="00144792"/>
    <w:rsid w:val="00144E70"/>
    <w:rsid w:val="0014554A"/>
    <w:rsid w:val="00145EDC"/>
    <w:rsid w:val="001520DB"/>
    <w:rsid w:val="00153188"/>
    <w:rsid w:val="00155E6A"/>
    <w:rsid w:val="00167A34"/>
    <w:rsid w:val="00170149"/>
    <w:rsid w:val="00171148"/>
    <w:rsid w:val="00176450"/>
    <w:rsid w:val="001766CB"/>
    <w:rsid w:val="0018037F"/>
    <w:rsid w:val="001804FC"/>
    <w:rsid w:val="00186520"/>
    <w:rsid w:val="001943F7"/>
    <w:rsid w:val="001A4BF6"/>
    <w:rsid w:val="001A514C"/>
    <w:rsid w:val="001A5F27"/>
    <w:rsid w:val="001A7870"/>
    <w:rsid w:val="001B2172"/>
    <w:rsid w:val="001B314B"/>
    <w:rsid w:val="001B41FB"/>
    <w:rsid w:val="001B5955"/>
    <w:rsid w:val="001B7476"/>
    <w:rsid w:val="001C1226"/>
    <w:rsid w:val="001C1B41"/>
    <w:rsid w:val="001C71DF"/>
    <w:rsid w:val="001E1299"/>
    <w:rsid w:val="001E1AA7"/>
    <w:rsid w:val="001E2473"/>
    <w:rsid w:val="001E31BC"/>
    <w:rsid w:val="001E449B"/>
    <w:rsid w:val="001E4690"/>
    <w:rsid w:val="001E5C6C"/>
    <w:rsid w:val="001E7D1A"/>
    <w:rsid w:val="001F25A1"/>
    <w:rsid w:val="001F5ABF"/>
    <w:rsid w:val="001F727C"/>
    <w:rsid w:val="002001E1"/>
    <w:rsid w:val="00200D33"/>
    <w:rsid w:val="00202A88"/>
    <w:rsid w:val="002030B8"/>
    <w:rsid w:val="00210E0E"/>
    <w:rsid w:val="00211533"/>
    <w:rsid w:val="002154E7"/>
    <w:rsid w:val="00232085"/>
    <w:rsid w:val="002350E6"/>
    <w:rsid w:val="00237ECB"/>
    <w:rsid w:val="002414DD"/>
    <w:rsid w:val="00247403"/>
    <w:rsid w:val="00247542"/>
    <w:rsid w:val="00247E41"/>
    <w:rsid w:val="0025750F"/>
    <w:rsid w:val="00257893"/>
    <w:rsid w:val="00266092"/>
    <w:rsid w:val="00266186"/>
    <w:rsid w:val="00266449"/>
    <w:rsid w:val="00266B61"/>
    <w:rsid w:val="0026712A"/>
    <w:rsid w:val="0026781D"/>
    <w:rsid w:val="00267B57"/>
    <w:rsid w:val="002704DB"/>
    <w:rsid w:val="00273169"/>
    <w:rsid w:val="00275EF5"/>
    <w:rsid w:val="00280D4B"/>
    <w:rsid w:val="0028561C"/>
    <w:rsid w:val="00290C7D"/>
    <w:rsid w:val="002923A5"/>
    <w:rsid w:val="00295534"/>
    <w:rsid w:val="00296650"/>
    <w:rsid w:val="00296D15"/>
    <w:rsid w:val="002A1E7B"/>
    <w:rsid w:val="002A3A21"/>
    <w:rsid w:val="002A402A"/>
    <w:rsid w:val="002A47D0"/>
    <w:rsid w:val="002A66A4"/>
    <w:rsid w:val="002B4DEA"/>
    <w:rsid w:val="002C131F"/>
    <w:rsid w:val="002C1641"/>
    <w:rsid w:val="002C223F"/>
    <w:rsid w:val="002C44E9"/>
    <w:rsid w:val="002D3ED9"/>
    <w:rsid w:val="002D7EA2"/>
    <w:rsid w:val="002E15DF"/>
    <w:rsid w:val="002E187C"/>
    <w:rsid w:val="002E3387"/>
    <w:rsid w:val="002E5F80"/>
    <w:rsid w:val="002E612E"/>
    <w:rsid w:val="002E6E57"/>
    <w:rsid w:val="002F16FE"/>
    <w:rsid w:val="002F33FD"/>
    <w:rsid w:val="002F4B6E"/>
    <w:rsid w:val="002F4DCD"/>
    <w:rsid w:val="00301075"/>
    <w:rsid w:val="00302733"/>
    <w:rsid w:val="003039B6"/>
    <w:rsid w:val="00311A4F"/>
    <w:rsid w:val="00311C43"/>
    <w:rsid w:val="00313865"/>
    <w:rsid w:val="00314078"/>
    <w:rsid w:val="003203DC"/>
    <w:rsid w:val="00322450"/>
    <w:rsid w:val="00322D89"/>
    <w:rsid w:val="003246B5"/>
    <w:rsid w:val="0033169F"/>
    <w:rsid w:val="00332395"/>
    <w:rsid w:val="003405EC"/>
    <w:rsid w:val="003414AC"/>
    <w:rsid w:val="00341A42"/>
    <w:rsid w:val="00341D2A"/>
    <w:rsid w:val="00343235"/>
    <w:rsid w:val="00343381"/>
    <w:rsid w:val="00353AEE"/>
    <w:rsid w:val="00356185"/>
    <w:rsid w:val="00357318"/>
    <w:rsid w:val="00360380"/>
    <w:rsid w:val="00362330"/>
    <w:rsid w:val="003644F1"/>
    <w:rsid w:val="0036646F"/>
    <w:rsid w:val="0037076C"/>
    <w:rsid w:val="0037235C"/>
    <w:rsid w:val="00377B56"/>
    <w:rsid w:val="003821DE"/>
    <w:rsid w:val="00384A2E"/>
    <w:rsid w:val="00386CF0"/>
    <w:rsid w:val="00391455"/>
    <w:rsid w:val="003A5526"/>
    <w:rsid w:val="003B7FEC"/>
    <w:rsid w:val="003C0160"/>
    <w:rsid w:val="003C32BC"/>
    <w:rsid w:val="003C6662"/>
    <w:rsid w:val="003E0349"/>
    <w:rsid w:val="003F1BBF"/>
    <w:rsid w:val="00401AAF"/>
    <w:rsid w:val="004057F9"/>
    <w:rsid w:val="0040707C"/>
    <w:rsid w:val="004073B4"/>
    <w:rsid w:val="00407D5C"/>
    <w:rsid w:val="0041560C"/>
    <w:rsid w:val="004162C0"/>
    <w:rsid w:val="004165C2"/>
    <w:rsid w:val="00417622"/>
    <w:rsid w:val="00417B86"/>
    <w:rsid w:val="00423F07"/>
    <w:rsid w:val="0042463D"/>
    <w:rsid w:val="00430783"/>
    <w:rsid w:val="00432B88"/>
    <w:rsid w:val="0043411F"/>
    <w:rsid w:val="0045097B"/>
    <w:rsid w:val="00450A4A"/>
    <w:rsid w:val="0045213A"/>
    <w:rsid w:val="0045319C"/>
    <w:rsid w:val="00454EFC"/>
    <w:rsid w:val="00455570"/>
    <w:rsid w:val="0046027F"/>
    <w:rsid w:val="00461589"/>
    <w:rsid w:val="004615E9"/>
    <w:rsid w:val="00465944"/>
    <w:rsid w:val="004666FB"/>
    <w:rsid w:val="00467B7E"/>
    <w:rsid w:val="004707D4"/>
    <w:rsid w:val="00470E67"/>
    <w:rsid w:val="00472C43"/>
    <w:rsid w:val="00483616"/>
    <w:rsid w:val="00486785"/>
    <w:rsid w:val="00486F9A"/>
    <w:rsid w:val="004920CB"/>
    <w:rsid w:val="0049235A"/>
    <w:rsid w:val="004925C7"/>
    <w:rsid w:val="0049419D"/>
    <w:rsid w:val="004A48A8"/>
    <w:rsid w:val="004A7054"/>
    <w:rsid w:val="004A7746"/>
    <w:rsid w:val="004B0168"/>
    <w:rsid w:val="004B2762"/>
    <w:rsid w:val="004B2A3F"/>
    <w:rsid w:val="004B3414"/>
    <w:rsid w:val="004B7EB6"/>
    <w:rsid w:val="004C4B62"/>
    <w:rsid w:val="004D3DCE"/>
    <w:rsid w:val="004D4C23"/>
    <w:rsid w:val="004D5DEA"/>
    <w:rsid w:val="004D6025"/>
    <w:rsid w:val="004D61D1"/>
    <w:rsid w:val="004D72BC"/>
    <w:rsid w:val="004E0C31"/>
    <w:rsid w:val="004E1734"/>
    <w:rsid w:val="004E7C9B"/>
    <w:rsid w:val="004F0E80"/>
    <w:rsid w:val="00501399"/>
    <w:rsid w:val="00503E07"/>
    <w:rsid w:val="0050543F"/>
    <w:rsid w:val="005071EC"/>
    <w:rsid w:val="00507BC4"/>
    <w:rsid w:val="00510BA5"/>
    <w:rsid w:val="00511BD3"/>
    <w:rsid w:val="005128E4"/>
    <w:rsid w:val="00515209"/>
    <w:rsid w:val="005157EF"/>
    <w:rsid w:val="00515CB3"/>
    <w:rsid w:val="0052151F"/>
    <w:rsid w:val="00525560"/>
    <w:rsid w:val="00525A71"/>
    <w:rsid w:val="00527DFE"/>
    <w:rsid w:val="0053167E"/>
    <w:rsid w:val="005357A6"/>
    <w:rsid w:val="00544C49"/>
    <w:rsid w:val="00550B54"/>
    <w:rsid w:val="00550C16"/>
    <w:rsid w:val="00571AF9"/>
    <w:rsid w:val="00572FDB"/>
    <w:rsid w:val="0057402A"/>
    <w:rsid w:val="005771D0"/>
    <w:rsid w:val="00577BDC"/>
    <w:rsid w:val="0058190F"/>
    <w:rsid w:val="00585BB5"/>
    <w:rsid w:val="00590835"/>
    <w:rsid w:val="0059191A"/>
    <w:rsid w:val="00591A83"/>
    <w:rsid w:val="005921FF"/>
    <w:rsid w:val="00592A23"/>
    <w:rsid w:val="005953D4"/>
    <w:rsid w:val="00596CD6"/>
    <w:rsid w:val="005A005A"/>
    <w:rsid w:val="005A0C97"/>
    <w:rsid w:val="005A288C"/>
    <w:rsid w:val="005A6D0E"/>
    <w:rsid w:val="005B0BE6"/>
    <w:rsid w:val="005B222D"/>
    <w:rsid w:val="005B380E"/>
    <w:rsid w:val="005B3B7E"/>
    <w:rsid w:val="005B52B0"/>
    <w:rsid w:val="005B63CE"/>
    <w:rsid w:val="005B6806"/>
    <w:rsid w:val="005C00F9"/>
    <w:rsid w:val="005C0A2C"/>
    <w:rsid w:val="005C4225"/>
    <w:rsid w:val="005C4BAB"/>
    <w:rsid w:val="005D1C33"/>
    <w:rsid w:val="005D262F"/>
    <w:rsid w:val="005D2DA8"/>
    <w:rsid w:val="005D3132"/>
    <w:rsid w:val="005E3211"/>
    <w:rsid w:val="005E59A8"/>
    <w:rsid w:val="005F0F33"/>
    <w:rsid w:val="00600DEB"/>
    <w:rsid w:val="00601A5B"/>
    <w:rsid w:val="00602997"/>
    <w:rsid w:val="00607BC6"/>
    <w:rsid w:val="006100FE"/>
    <w:rsid w:val="00612A23"/>
    <w:rsid w:val="00613027"/>
    <w:rsid w:val="00621BD9"/>
    <w:rsid w:val="00623472"/>
    <w:rsid w:val="00625F75"/>
    <w:rsid w:val="00627C9F"/>
    <w:rsid w:val="006311DA"/>
    <w:rsid w:val="006311E9"/>
    <w:rsid w:val="00632354"/>
    <w:rsid w:val="006411AD"/>
    <w:rsid w:val="00641954"/>
    <w:rsid w:val="00642810"/>
    <w:rsid w:val="0064761C"/>
    <w:rsid w:val="00647FAB"/>
    <w:rsid w:val="00651AEE"/>
    <w:rsid w:val="00652333"/>
    <w:rsid w:val="00652A42"/>
    <w:rsid w:val="00653980"/>
    <w:rsid w:val="00660000"/>
    <w:rsid w:val="0066004A"/>
    <w:rsid w:val="00661A6C"/>
    <w:rsid w:val="006620A2"/>
    <w:rsid w:val="006651FB"/>
    <w:rsid w:val="00667FB9"/>
    <w:rsid w:val="00670677"/>
    <w:rsid w:val="00674029"/>
    <w:rsid w:val="00675D09"/>
    <w:rsid w:val="0068009E"/>
    <w:rsid w:val="0068182A"/>
    <w:rsid w:val="00683245"/>
    <w:rsid w:val="006951B8"/>
    <w:rsid w:val="00695C1A"/>
    <w:rsid w:val="006A16C6"/>
    <w:rsid w:val="006A17D2"/>
    <w:rsid w:val="006A6C55"/>
    <w:rsid w:val="006A73E6"/>
    <w:rsid w:val="006A781D"/>
    <w:rsid w:val="006B2D5C"/>
    <w:rsid w:val="006B5E78"/>
    <w:rsid w:val="006C4EB1"/>
    <w:rsid w:val="006C7C87"/>
    <w:rsid w:val="006D15DC"/>
    <w:rsid w:val="006D3648"/>
    <w:rsid w:val="006D4251"/>
    <w:rsid w:val="006D4CC5"/>
    <w:rsid w:val="006E0166"/>
    <w:rsid w:val="006E3D4E"/>
    <w:rsid w:val="006E7B34"/>
    <w:rsid w:val="006F2016"/>
    <w:rsid w:val="006F4FF8"/>
    <w:rsid w:val="0070097C"/>
    <w:rsid w:val="00701B24"/>
    <w:rsid w:val="0071477F"/>
    <w:rsid w:val="00716593"/>
    <w:rsid w:val="00720BA6"/>
    <w:rsid w:val="00724A76"/>
    <w:rsid w:val="00725ECA"/>
    <w:rsid w:val="00734F31"/>
    <w:rsid w:val="0073697D"/>
    <w:rsid w:val="00740953"/>
    <w:rsid w:val="00745899"/>
    <w:rsid w:val="007468B5"/>
    <w:rsid w:val="0075171F"/>
    <w:rsid w:val="007522EE"/>
    <w:rsid w:val="00752A08"/>
    <w:rsid w:val="0075778A"/>
    <w:rsid w:val="0075799B"/>
    <w:rsid w:val="007607C4"/>
    <w:rsid w:val="00761147"/>
    <w:rsid w:val="0076643F"/>
    <w:rsid w:val="00772BA5"/>
    <w:rsid w:val="00774858"/>
    <w:rsid w:val="00774A94"/>
    <w:rsid w:val="00775602"/>
    <w:rsid w:val="00777482"/>
    <w:rsid w:val="007779C8"/>
    <w:rsid w:val="00777AD4"/>
    <w:rsid w:val="00793A67"/>
    <w:rsid w:val="00797D0A"/>
    <w:rsid w:val="007A0492"/>
    <w:rsid w:val="007A084C"/>
    <w:rsid w:val="007A0C1A"/>
    <w:rsid w:val="007A280C"/>
    <w:rsid w:val="007A2811"/>
    <w:rsid w:val="007A2CDF"/>
    <w:rsid w:val="007A2F70"/>
    <w:rsid w:val="007A6F17"/>
    <w:rsid w:val="007B076F"/>
    <w:rsid w:val="007B4283"/>
    <w:rsid w:val="007B50F3"/>
    <w:rsid w:val="007B6127"/>
    <w:rsid w:val="007C3095"/>
    <w:rsid w:val="007C3334"/>
    <w:rsid w:val="007C52BB"/>
    <w:rsid w:val="007D1701"/>
    <w:rsid w:val="007D1D81"/>
    <w:rsid w:val="007D2B98"/>
    <w:rsid w:val="007D2BBE"/>
    <w:rsid w:val="007D3B5B"/>
    <w:rsid w:val="007D41C4"/>
    <w:rsid w:val="007D59B5"/>
    <w:rsid w:val="007D72AE"/>
    <w:rsid w:val="007E01D1"/>
    <w:rsid w:val="007E1E47"/>
    <w:rsid w:val="007E1F76"/>
    <w:rsid w:val="007E37CE"/>
    <w:rsid w:val="007F0317"/>
    <w:rsid w:val="007F1156"/>
    <w:rsid w:val="007F318B"/>
    <w:rsid w:val="007F4783"/>
    <w:rsid w:val="00800F77"/>
    <w:rsid w:val="00803F1C"/>
    <w:rsid w:val="00805700"/>
    <w:rsid w:val="0080600E"/>
    <w:rsid w:val="008063E7"/>
    <w:rsid w:val="0081201F"/>
    <w:rsid w:val="00815BEC"/>
    <w:rsid w:val="0081696D"/>
    <w:rsid w:val="00817612"/>
    <w:rsid w:val="00821903"/>
    <w:rsid w:val="00827E83"/>
    <w:rsid w:val="00837C45"/>
    <w:rsid w:val="008443EB"/>
    <w:rsid w:val="00844D72"/>
    <w:rsid w:val="008477F6"/>
    <w:rsid w:val="00850026"/>
    <w:rsid w:val="0085301C"/>
    <w:rsid w:val="00853419"/>
    <w:rsid w:val="008541BE"/>
    <w:rsid w:val="0085754C"/>
    <w:rsid w:val="0086079C"/>
    <w:rsid w:val="00861730"/>
    <w:rsid w:val="008620C5"/>
    <w:rsid w:val="008668D4"/>
    <w:rsid w:val="0086799B"/>
    <w:rsid w:val="00874974"/>
    <w:rsid w:val="00877130"/>
    <w:rsid w:val="008827AD"/>
    <w:rsid w:val="008840F1"/>
    <w:rsid w:val="00884AE8"/>
    <w:rsid w:val="00897E12"/>
    <w:rsid w:val="008B2EEB"/>
    <w:rsid w:val="008B43C9"/>
    <w:rsid w:val="008B5E41"/>
    <w:rsid w:val="008C2164"/>
    <w:rsid w:val="008C4B22"/>
    <w:rsid w:val="008C6A1F"/>
    <w:rsid w:val="008D32C8"/>
    <w:rsid w:val="008D43BA"/>
    <w:rsid w:val="008D617F"/>
    <w:rsid w:val="008D6E5C"/>
    <w:rsid w:val="008E0E28"/>
    <w:rsid w:val="008E1A58"/>
    <w:rsid w:val="008E2D4B"/>
    <w:rsid w:val="008E3759"/>
    <w:rsid w:val="008E3A3E"/>
    <w:rsid w:val="008E569F"/>
    <w:rsid w:val="008E56E9"/>
    <w:rsid w:val="008F3568"/>
    <w:rsid w:val="008F5F9F"/>
    <w:rsid w:val="008F645F"/>
    <w:rsid w:val="00902BE6"/>
    <w:rsid w:val="009041DC"/>
    <w:rsid w:val="00907EED"/>
    <w:rsid w:val="009104B4"/>
    <w:rsid w:val="00924210"/>
    <w:rsid w:val="00925728"/>
    <w:rsid w:val="00925FCD"/>
    <w:rsid w:val="00931DC4"/>
    <w:rsid w:val="00932834"/>
    <w:rsid w:val="009335D7"/>
    <w:rsid w:val="0093441A"/>
    <w:rsid w:val="00936B2E"/>
    <w:rsid w:val="00943977"/>
    <w:rsid w:val="009520FB"/>
    <w:rsid w:val="00954BF7"/>
    <w:rsid w:val="00956252"/>
    <w:rsid w:val="009562E6"/>
    <w:rsid w:val="00961DCF"/>
    <w:rsid w:val="00963549"/>
    <w:rsid w:val="00964366"/>
    <w:rsid w:val="0096527B"/>
    <w:rsid w:val="0096706E"/>
    <w:rsid w:val="0097168D"/>
    <w:rsid w:val="009722A3"/>
    <w:rsid w:val="0097478A"/>
    <w:rsid w:val="00981FBA"/>
    <w:rsid w:val="00983732"/>
    <w:rsid w:val="00984598"/>
    <w:rsid w:val="0099071D"/>
    <w:rsid w:val="00992F30"/>
    <w:rsid w:val="009A139B"/>
    <w:rsid w:val="009A254E"/>
    <w:rsid w:val="009A7B67"/>
    <w:rsid w:val="009B381B"/>
    <w:rsid w:val="009B5B21"/>
    <w:rsid w:val="009B6763"/>
    <w:rsid w:val="009B7087"/>
    <w:rsid w:val="009C4521"/>
    <w:rsid w:val="009C5EBE"/>
    <w:rsid w:val="009D0D2A"/>
    <w:rsid w:val="009D7611"/>
    <w:rsid w:val="009E05FE"/>
    <w:rsid w:val="009E191A"/>
    <w:rsid w:val="009E2E68"/>
    <w:rsid w:val="009E346B"/>
    <w:rsid w:val="009E53DE"/>
    <w:rsid w:val="009F3A2C"/>
    <w:rsid w:val="009F5F99"/>
    <w:rsid w:val="009F6773"/>
    <w:rsid w:val="00A0001F"/>
    <w:rsid w:val="00A010E1"/>
    <w:rsid w:val="00A03E84"/>
    <w:rsid w:val="00A10085"/>
    <w:rsid w:val="00A106C3"/>
    <w:rsid w:val="00A17F4B"/>
    <w:rsid w:val="00A225E1"/>
    <w:rsid w:val="00A22836"/>
    <w:rsid w:val="00A270B5"/>
    <w:rsid w:val="00A32126"/>
    <w:rsid w:val="00A34086"/>
    <w:rsid w:val="00A34FD8"/>
    <w:rsid w:val="00A406A5"/>
    <w:rsid w:val="00A43458"/>
    <w:rsid w:val="00A45FBF"/>
    <w:rsid w:val="00A47C34"/>
    <w:rsid w:val="00A5265A"/>
    <w:rsid w:val="00A528D1"/>
    <w:rsid w:val="00A6312F"/>
    <w:rsid w:val="00A64D39"/>
    <w:rsid w:val="00A666BC"/>
    <w:rsid w:val="00A66BE5"/>
    <w:rsid w:val="00A7174B"/>
    <w:rsid w:val="00A73BEE"/>
    <w:rsid w:val="00A81DA7"/>
    <w:rsid w:val="00A840AE"/>
    <w:rsid w:val="00A8794D"/>
    <w:rsid w:val="00A926AE"/>
    <w:rsid w:val="00A949B2"/>
    <w:rsid w:val="00A95486"/>
    <w:rsid w:val="00AA2439"/>
    <w:rsid w:val="00AB00A1"/>
    <w:rsid w:val="00AB5561"/>
    <w:rsid w:val="00AC15A3"/>
    <w:rsid w:val="00AC5E9C"/>
    <w:rsid w:val="00AD196C"/>
    <w:rsid w:val="00AD1B3B"/>
    <w:rsid w:val="00AD2309"/>
    <w:rsid w:val="00AD2808"/>
    <w:rsid w:val="00AD2FFD"/>
    <w:rsid w:val="00AD37C1"/>
    <w:rsid w:val="00AD4A59"/>
    <w:rsid w:val="00AD5D15"/>
    <w:rsid w:val="00AD7C92"/>
    <w:rsid w:val="00AE3C90"/>
    <w:rsid w:val="00AE50B8"/>
    <w:rsid w:val="00AE5188"/>
    <w:rsid w:val="00AE66EC"/>
    <w:rsid w:val="00AE6DCC"/>
    <w:rsid w:val="00AE6F91"/>
    <w:rsid w:val="00AF128C"/>
    <w:rsid w:val="00AF3A14"/>
    <w:rsid w:val="00AF5571"/>
    <w:rsid w:val="00AF7572"/>
    <w:rsid w:val="00B03A3A"/>
    <w:rsid w:val="00B05D5E"/>
    <w:rsid w:val="00B11C4F"/>
    <w:rsid w:val="00B167E9"/>
    <w:rsid w:val="00B17062"/>
    <w:rsid w:val="00B24BB8"/>
    <w:rsid w:val="00B30775"/>
    <w:rsid w:val="00B314DB"/>
    <w:rsid w:val="00B319B1"/>
    <w:rsid w:val="00B31EBE"/>
    <w:rsid w:val="00B3718B"/>
    <w:rsid w:val="00B423FF"/>
    <w:rsid w:val="00B4392C"/>
    <w:rsid w:val="00B43B60"/>
    <w:rsid w:val="00B4632A"/>
    <w:rsid w:val="00B47D16"/>
    <w:rsid w:val="00B52107"/>
    <w:rsid w:val="00B55534"/>
    <w:rsid w:val="00B55E22"/>
    <w:rsid w:val="00B56583"/>
    <w:rsid w:val="00B57A91"/>
    <w:rsid w:val="00B57B61"/>
    <w:rsid w:val="00B61E12"/>
    <w:rsid w:val="00B62686"/>
    <w:rsid w:val="00B71331"/>
    <w:rsid w:val="00B73A9C"/>
    <w:rsid w:val="00B75F10"/>
    <w:rsid w:val="00B844B3"/>
    <w:rsid w:val="00B845B4"/>
    <w:rsid w:val="00B90405"/>
    <w:rsid w:val="00B951A4"/>
    <w:rsid w:val="00BA276C"/>
    <w:rsid w:val="00BB306F"/>
    <w:rsid w:val="00BB4363"/>
    <w:rsid w:val="00BB6655"/>
    <w:rsid w:val="00BC1BFF"/>
    <w:rsid w:val="00BC3EEF"/>
    <w:rsid w:val="00BC6A25"/>
    <w:rsid w:val="00BD232B"/>
    <w:rsid w:val="00BD4B89"/>
    <w:rsid w:val="00BD66B0"/>
    <w:rsid w:val="00BE3477"/>
    <w:rsid w:val="00BE4BC4"/>
    <w:rsid w:val="00BE6A8B"/>
    <w:rsid w:val="00BE6AC0"/>
    <w:rsid w:val="00BE7E72"/>
    <w:rsid w:val="00BF1D70"/>
    <w:rsid w:val="00BF6101"/>
    <w:rsid w:val="00BF6B12"/>
    <w:rsid w:val="00C00859"/>
    <w:rsid w:val="00C01936"/>
    <w:rsid w:val="00C02B2E"/>
    <w:rsid w:val="00C02EBC"/>
    <w:rsid w:val="00C0575F"/>
    <w:rsid w:val="00C05D4E"/>
    <w:rsid w:val="00C06715"/>
    <w:rsid w:val="00C10FC5"/>
    <w:rsid w:val="00C13748"/>
    <w:rsid w:val="00C15529"/>
    <w:rsid w:val="00C1575C"/>
    <w:rsid w:val="00C21762"/>
    <w:rsid w:val="00C22B86"/>
    <w:rsid w:val="00C24543"/>
    <w:rsid w:val="00C24740"/>
    <w:rsid w:val="00C256A2"/>
    <w:rsid w:val="00C31A92"/>
    <w:rsid w:val="00C3235F"/>
    <w:rsid w:val="00C3492D"/>
    <w:rsid w:val="00C42D15"/>
    <w:rsid w:val="00C5291C"/>
    <w:rsid w:val="00C5502E"/>
    <w:rsid w:val="00C55560"/>
    <w:rsid w:val="00C64D8A"/>
    <w:rsid w:val="00C66B72"/>
    <w:rsid w:val="00C734AB"/>
    <w:rsid w:val="00C80970"/>
    <w:rsid w:val="00C82B3B"/>
    <w:rsid w:val="00C8483E"/>
    <w:rsid w:val="00C84A02"/>
    <w:rsid w:val="00C84FB7"/>
    <w:rsid w:val="00C866C8"/>
    <w:rsid w:val="00C867B7"/>
    <w:rsid w:val="00C93497"/>
    <w:rsid w:val="00C9567A"/>
    <w:rsid w:val="00CA0E3A"/>
    <w:rsid w:val="00CA1F15"/>
    <w:rsid w:val="00CA5CE1"/>
    <w:rsid w:val="00CB250E"/>
    <w:rsid w:val="00CB2660"/>
    <w:rsid w:val="00CC186C"/>
    <w:rsid w:val="00CC5E90"/>
    <w:rsid w:val="00CD046C"/>
    <w:rsid w:val="00CD45AC"/>
    <w:rsid w:val="00CD7A28"/>
    <w:rsid w:val="00CD7C9F"/>
    <w:rsid w:val="00CE0022"/>
    <w:rsid w:val="00CE295C"/>
    <w:rsid w:val="00CE4E2E"/>
    <w:rsid w:val="00CE5199"/>
    <w:rsid w:val="00CE66D5"/>
    <w:rsid w:val="00CF13EB"/>
    <w:rsid w:val="00CF510A"/>
    <w:rsid w:val="00D009B6"/>
    <w:rsid w:val="00D04AC1"/>
    <w:rsid w:val="00D128C2"/>
    <w:rsid w:val="00D1708C"/>
    <w:rsid w:val="00D230C7"/>
    <w:rsid w:val="00D23FA4"/>
    <w:rsid w:val="00D26452"/>
    <w:rsid w:val="00D269E9"/>
    <w:rsid w:val="00D26D9D"/>
    <w:rsid w:val="00D30715"/>
    <w:rsid w:val="00D34786"/>
    <w:rsid w:val="00D35FFF"/>
    <w:rsid w:val="00D40509"/>
    <w:rsid w:val="00D40A1E"/>
    <w:rsid w:val="00D41203"/>
    <w:rsid w:val="00D41244"/>
    <w:rsid w:val="00D47423"/>
    <w:rsid w:val="00D5248B"/>
    <w:rsid w:val="00D56ACB"/>
    <w:rsid w:val="00D57EA5"/>
    <w:rsid w:val="00D6336F"/>
    <w:rsid w:val="00D67521"/>
    <w:rsid w:val="00D712D3"/>
    <w:rsid w:val="00D71422"/>
    <w:rsid w:val="00D7145E"/>
    <w:rsid w:val="00D7558D"/>
    <w:rsid w:val="00D77AA2"/>
    <w:rsid w:val="00D81D92"/>
    <w:rsid w:val="00D878D3"/>
    <w:rsid w:val="00D90185"/>
    <w:rsid w:val="00D93446"/>
    <w:rsid w:val="00DA223A"/>
    <w:rsid w:val="00DA602E"/>
    <w:rsid w:val="00DA62FD"/>
    <w:rsid w:val="00DA7B5F"/>
    <w:rsid w:val="00DC2498"/>
    <w:rsid w:val="00DC268B"/>
    <w:rsid w:val="00DC7467"/>
    <w:rsid w:val="00DD3145"/>
    <w:rsid w:val="00DE34FB"/>
    <w:rsid w:val="00DE74C7"/>
    <w:rsid w:val="00DF20E5"/>
    <w:rsid w:val="00DF3239"/>
    <w:rsid w:val="00DF3373"/>
    <w:rsid w:val="00DF44C8"/>
    <w:rsid w:val="00DF48F9"/>
    <w:rsid w:val="00DF4E24"/>
    <w:rsid w:val="00E01A7C"/>
    <w:rsid w:val="00E03BC4"/>
    <w:rsid w:val="00E13FEE"/>
    <w:rsid w:val="00E14ECE"/>
    <w:rsid w:val="00E17F3A"/>
    <w:rsid w:val="00E20322"/>
    <w:rsid w:val="00E21655"/>
    <w:rsid w:val="00E22400"/>
    <w:rsid w:val="00E237DE"/>
    <w:rsid w:val="00E23D0D"/>
    <w:rsid w:val="00E25B25"/>
    <w:rsid w:val="00E33F23"/>
    <w:rsid w:val="00E35E3E"/>
    <w:rsid w:val="00E364B1"/>
    <w:rsid w:val="00E43157"/>
    <w:rsid w:val="00E533FF"/>
    <w:rsid w:val="00E545ED"/>
    <w:rsid w:val="00E546A5"/>
    <w:rsid w:val="00E56DE4"/>
    <w:rsid w:val="00E6046D"/>
    <w:rsid w:val="00E668F5"/>
    <w:rsid w:val="00E709B3"/>
    <w:rsid w:val="00E70CEE"/>
    <w:rsid w:val="00E73791"/>
    <w:rsid w:val="00E8209C"/>
    <w:rsid w:val="00E83531"/>
    <w:rsid w:val="00E8789F"/>
    <w:rsid w:val="00E908A9"/>
    <w:rsid w:val="00E93776"/>
    <w:rsid w:val="00E97B71"/>
    <w:rsid w:val="00EA0163"/>
    <w:rsid w:val="00EA09B0"/>
    <w:rsid w:val="00EA1024"/>
    <w:rsid w:val="00EA63BB"/>
    <w:rsid w:val="00EA734A"/>
    <w:rsid w:val="00EB454D"/>
    <w:rsid w:val="00EB6BE5"/>
    <w:rsid w:val="00EB7A9D"/>
    <w:rsid w:val="00EC4BDD"/>
    <w:rsid w:val="00EC4D70"/>
    <w:rsid w:val="00EC5665"/>
    <w:rsid w:val="00EC741D"/>
    <w:rsid w:val="00ED5690"/>
    <w:rsid w:val="00EE20B0"/>
    <w:rsid w:val="00EE3522"/>
    <w:rsid w:val="00EE58D6"/>
    <w:rsid w:val="00EE5D8B"/>
    <w:rsid w:val="00EF0B8F"/>
    <w:rsid w:val="00EF28B1"/>
    <w:rsid w:val="00EF5F24"/>
    <w:rsid w:val="00EF619B"/>
    <w:rsid w:val="00F00B55"/>
    <w:rsid w:val="00F0735A"/>
    <w:rsid w:val="00F1380F"/>
    <w:rsid w:val="00F14F0E"/>
    <w:rsid w:val="00F24C29"/>
    <w:rsid w:val="00F253CC"/>
    <w:rsid w:val="00F27C14"/>
    <w:rsid w:val="00F322CC"/>
    <w:rsid w:val="00F34EF4"/>
    <w:rsid w:val="00F41A5B"/>
    <w:rsid w:val="00F449DC"/>
    <w:rsid w:val="00F5171B"/>
    <w:rsid w:val="00F5628E"/>
    <w:rsid w:val="00F56BA5"/>
    <w:rsid w:val="00F57449"/>
    <w:rsid w:val="00F6047F"/>
    <w:rsid w:val="00F623DB"/>
    <w:rsid w:val="00F644E6"/>
    <w:rsid w:val="00F760C1"/>
    <w:rsid w:val="00F809F2"/>
    <w:rsid w:val="00F81CBD"/>
    <w:rsid w:val="00F830FB"/>
    <w:rsid w:val="00F85360"/>
    <w:rsid w:val="00F8558A"/>
    <w:rsid w:val="00F864B9"/>
    <w:rsid w:val="00F93A76"/>
    <w:rsid w:val="00F93CCA"/>
    <w:rsid w:val="00F9653B"/>
    <w:rsid w:val="00FB1210"/>
    <w:rsid w:val="00FB35B3"/>
    <w:rsid w:val="00FB62CF"/>
    <w:rsid w:val="00FC1DFB"/>
    <w:rsid w:val="00FC23CA"/>
    <w:rsid w:val="00FC3A66"/>
    <w:rsid w:val="00FC3EB4"/>
    <w:rsid w:val="00FC530F"/>
    <w:rsid w:val="00FC5DC8"/>
    <w:rsid w:val="00FC6C58"/>
    <w:rsid w:val="00FC7707"/>
    <w:rsid w:val="00FD11F5"/>
    <w:rsid w:val="00FD2A84"/>
    <w:rsid w:val="00FE340D"/>
    <w:rsid w:val="00FE6B45"/>
    <w:rsid w:val="00FF0B4D"/>
    <w:rsid w:val="00FF21CF"/>
    <w:rsid w:val="00FF22CA"/>
    <w:rsid w:val="00FF3E93"/>
    <w:rsid w:val="00FF4041"/>
    <w:rsid w:val="00FF4CCA"/>
    <w:rsid w:val="00FF5851"/>
    <w:rsid w:val="00FF66DA"/>
    <w:rsid w:val="00FF6746"/>
    <w:rsid w:val="00FF7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2F33FD"/>
    <w:pPr>
      <w:keepNext/>
      <w:keepLines/>
      <w:numPr>
        <w:numId w:val="53"/>
      </w:numPr>
      <w:spacing w:before="480"/>
      <w:outlineLvl w:val="0"/>
    </w:pPr>
    <w:rPr>
      <w:rFonts w:ascii="Cambria" w:eastAsia="Times New Roman" w:hAnsi="Cambria"/>
      <w:b/>
      <w:bCs/>
      <w:sz w:val="20"/>
      <w:szCs w:val="28"/>
    </w:rPr>
  </w:style>
  <w:style w:type="paragraph" w:styleId="Heading2">
    <w:name w:val="heading 2"/>
    <w:basedOn w:val="Normal"/>
    <w:next w:val="Normal"/>
    <w:link w:val="Heading2Char"/>
    <w:unhideWhenUsed/>
    <w:qFormat/>
    <w:rsid w:val="002F33FD"/>
    <w:pPr>
      <w:keepNext/>
      <w:keepLines/>
      <w:numPr>
        <w:numId w:val="55"/>
      </w:numPr>
      <w:tabs>
        <w:tab w:val="clear" w:pos="1080"/>
      </w:tabs>
      <w:spacing w:before="200"/>
      <w:ind w:left="0" w:firstLine="0"/>
      <w:outlineLvl w:val="1"/>
    </w:pPr>
    <w:rPr>
      <w:rFonts w:ascii="Cambria" w:eastAsia="Times New Roman" w:hAnsi="Cambria"/>
      <w:b/>
      <w:bCs/>
      <w:sz w:val="20"/>
      <w:szCs w:val="26"/>
    </w:rPr>
  </w:style>
  <w:style w:type="paragraph" w:styleId="Heading3">
    <w:name w:val="heading 3"/>
    <w:basedOn w:val="Normal"/>
    <w:next w:val="Normal"/>
    <w:link w:val="Heading3Char"/>
    <w:uiPriority w:val="9"/>
    <w:unhideWhenUsed/>
    <w:qFormat/>
    <w:rsid w:val="002F33FD"/>
    <w:pPr>
      <w:keepNext/>
      <w:keepLines/>
      <w:spacing w:before="200"/>
      <w:ind w:left="1440" w:hanging="720"/>
      <w:outlineLvl w:val="2"/>
    </w:pPr>
    <w:rPr>
      <w:rFonts w:ascii="Cambria" w:eastAsia="Times New Roman" w:hAnsi="Cambria"/>
      <w:b/>
      <w:bCs/>
      <w:sz w:val="20"/>
    </w:rPr>
  </w:style>
  <w:style w:type="paragraph" w:styleId="Heading4">
    <w:name w:val="heading 4"/>
    <w:basedOn w:val="Normal"/>
    <w:next w:val="Normal"/>
    <w:link w:val="Heading4Char"/>
    <w:uiPriority w:val="9"/>
    <w:semiHidden/>
    <w:unhideWhenUsed/>
    <w:qFormat/>
    <w:rsid w:val="00F809F2"/>
    <w:pPr>
      <w:keepNext/>
      <w:keepLines/>
      <w:spacing w:before="200"/>
      <w:ind w:left="1440" w:hanging="720"/>
      <w:outlineLvl w:val="3"/>
    </w:pPr>
    <w:rPr>
      <w:rFonts w:ascii="Cambria" w:eastAsia="Times New Roman" w:hAnsi="Cambria"/>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2F33FD"/>
    <w:rPr>
      <w:rFonts w:ascii="Cambria" w:eastAsia="Times New Roman" w:hAnsi="Cambria"/>
      <w:b/>
      <w:bCs/>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10085"/>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2F33FD"/>
    <w:rPr>
      <w:rFonts w:ascii="Cambria" w:eastAsia="Times New Roman" w:hAnsi="Cambria"/>
      <w:b/>
      <w:bCs/>
      <w:szCs w:val="26"/>
      <w:bdr w:val="nil"/>
    </w:rPr>
  </w:style>
  <w:style w:type="character" w:customStyle="1" w:styleId="Heading3Char">
    <w:name w:val="Heading 3 Char"/>
    <w:link w:val="Heading3"/>
    <w:uiPriority w:val="9"/>
    <w:rsid w:val="002F33FD"/>
    <w:rPr>
      <w:rFonts w:ascii="Cambria" w:eastAsia="Times New Roman" w:hAnsi="Cambria" w:cs="Times New Roman"/>
      <w:b/>
      <w:bCs/>
      <w:szCs w:val="24"/>
      <w:lang w:val="en-US" w:eastAsia="en-US"/>
    </w:rPr>
  </w:style>
  <w:style w:type="character" w:customStyle="1" w:styleId="BodyTextIndentChar">
    <w:name w:val="Body Text Indent Char"/>
    <w:link w:val="BodyTextIndent"/>
    <w:rsid w:val="002F33FD"/>
    <w:rPr>
      <w:rFonts w:eastAsia="Times New Roman"/>
      <w:color w:val="000000"/>
      <w:sz w:val="24"/>
      <w:szCs w:val="24"/>
      <w:u w:color="000000"/>
      <w:lang w:val="es-ES_tradnl"/>
    </w:rPr>
  </w:style>
  <w:style w:type="character" w:customStyle="1" w:styleId="ListParagraphChar">
    <w:name w:val="List Paragraph Char"/>
    <w:link w:val="ListParagraph"/>
    <w:locked/>
    <w:rsid w:val="002F33FD"/>
    <w:rPr>
      <w:rFonts w:ascii="Cambria" w:eastAsia="Cambria" w:hAnsi="Cambria" w:cs="Cambria"/>
      <w:color w:val="000000"/>
      <w:sz w:val="24"/>
      <w:szCs w:val="24"/>
      <w:u w:color="000000"/>
      <w:lang w:val="en-US"/>
    </w:rPr>
  </w:style>
  <w:style w:type="character" w:styleId="Strong">
    <w:name w:val="Strong"/>
    <w:uiPriority w:val="22"/>
    <w:qFormat/>
    <w:rsid w:val="002F33FD"/>
    <w:rPr>
      <w:rFonts w:cs="Times New Roman"/>
      <w:b/>
      <w:bCs/>
    </w:rPr>
  </w:style>
  <w:style w:type="paragraph" w:customStyle="1" w:styleId="Style2">
    <w:name w:val="Style2"/>
    <w:basedOn w:val="ListParagraph"/>
    <w:link w:val="Style2Char"/>
    <w:rsid w:val="002F33FD"/>
    <w:pPr>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pPr>
    <w:rPr>
      <w:rFonts w:eastAsia="MS Mincho" w:cs="Times New Roman"/>
      <w:b/>
      <w:color w:val="auto"/>
      <w:sz w:val="20"/>
      <w:szCs w:val="20"/>
      <w:bdr w:val="none" w:sz="0" w:space="0" w:color="auto"/>
      <w:lang w:val="es-ES" w:eastAsia="en-US"/>
    </w:rPr>
  </w:style>
  <w:style w:type="character" w:customStyle="1" w:styleId="Style2Char">
    <w:name w:val="Style2 Char"/>
    <w:link w:val="Style2"/>
    <w:rsid w:val="002F33FD"/>
    <w:rPr>
      <w:rFonts w:ascii="Cambria" w:eastAsia="MS Mincho" w:hAnsi="Cambria"/>
      <w:b/>
      <w:u w:color="000000"/>
      <w:lang w:val="es-ES"/>
    </w:rPr>
  </w:style>
  <w:style w:type="character" w:customStyle="1" w:styleId="Heading4Char">
    <w:name w:val="Heading 4 Char"/>
    <w:link w:val="Heading4"/>
    <w:uiPriority w:val="9"/>
    <w:semiHidden/>
    <w:rsid w:val="00F809F2"/>
    <w:rPr>
      <w:rFonts w:ascii="Cambria" w:eastAsia="Times New Roman" w:hAnsi="Cambria" w:cs="Times New Roman"/>
      <w:b/>
      <w:bCs/>
      <w:iCs/>
      <w:szCs w:val="24"/>
      <w:lang w:val="en-US" w:eastAsia="en-US"/>
    </w:rPr>
  </w:style>
  <w:style w:type="paragraph" w:customStyle="1" w:styleId="Default">
    <w:name w:val="Default"/>
    <w:link w:val="DefaultChar"/>
    <w:rsid w:val="00FC5DC8"/>
    <w:pPr>
      <w:autoSpaceDE w:val="0"/>
      <w:autoSpaceDN w:val="0"/>
      <w:adjustRightInd w:val="0"/>
    </w:pPr>
    <w:rPr>
      <w:rFonts w:eastAsia="Times New Roman"/>
      <w:color w:val="000000"/>
      <w:sz w:val="24"/>
      <w:szCs w:val="24"/>
    </w:rPr>
  </w:style>
  <w:style w:type="character" w:customStyle="1" w:styleId="DefaultChar">
    <w:name w:val="Default Char"/>
    <w:link w:val="Default"/>
    <w:rsid w:val="00FC5DC8"/>
    <w:rPr>
      <w:rFonts w:eastAsia="Times New Roman"/>
      <w:color w:val="000000"/>
      <w:sz w:val="24"/>
      <w:szCs w:val="24"/>
      <w:bdr w:val="none" w:sz="0" w:space="0" w:color="auto"/>
      <w:lang w:val="en-US" w:eastAsia="en-US"/>
    </w:rPr>
  </w:style>
  <w:style w:type="paragraph" w:customStyle="1" w:styleId="Style1">
    <w:name w:val="Style1"/>
    <w:basedOn w:val="ListParagraph"/>
    <w:rsid w:val="00FC5DC8"/>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pPr>
    <w:rPr>
      <w:rFonts w:eastAsia="MS Mincho" w:cs="Times New Roman"/>
      <w:b/>
      <w:color w:val="auto"/>
      <w:sz w:val="20"/>
      <w:szCs w:val="20"/>
      <w:bdr w:val="none" w:sz="0" w:space="0" w:color="auto"/>
      <w:lang w:val="es-ES_tradnl" w:eastAsia="en-US"/>
    </w:rPr>
  </w:style>
  <w:style w:type="character" w:customStyle="1" w:styleId="sb8d990e2">
    <w:name w:val="sb8d990e2"/>
    <w:basedOn w:val="DefaultParagraphFont"/>
    <w:rsid w:val="00FC5DC8"/>
  </w:style>
  <w:style w:type="character" w:customStyle="1" w:styleId="s7d2086b4">
    <w:name w:val="s7d2086b4"/>
    <w:basedOn w:val="DefaultParagraphFont"/>
    <w:rsid w:val="00FC5DC8"/>
  </w:style>
  <w:style w:type="character" w:customStyle="1" w:styleId="st">
    <w:name w:val="st"/>
    <w:basedOn w:val="DefaultParagraphFont"/>
    <w:rsid w:val="00C0575F"/>
  </w:style>
  <w:style w:type="character" w:styleId="Emphasis">
    <w:name w:val="Emphasis"/>
    <w:uiPriority w:val="20"/>
    <w:qFormat/>
    <w:rsid w:val="00C0575F"/>
    <w:rPr>
      <w:i/>
      <w:iCs/>
    </w:rPr>
  </w:style>
  <w:style w:type="character" w:styleId="FollowedHyperlink">
    <w:name w:val="FollowedHyperlink"/>
    <w:uiPriority w:val="99"/>
    <w:semiHidden/>
    <w:unhideWhenUsed/>
    <w:rsid w:val="00924210"/>
    <w:rPr>
      <w:color w:val="800080"/>
      <w:u w:val="single"/>
    </w:rPr>
  </w:style>
  <w:style w:type="paragraph" w:styleId="HTMLPreformatted">
    <w:name w:val="HTML Preformatted"/>
    <w:basedOn w:val="Normal"/>
    <w:link w:val="HTMLPreformattedChar"/>
    <w:uiPriority w:val="99"/>
    <w:semiHidden/>
    <w:unhideWhenUsed/>
    <w:rsid w:val="001F727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uiPriority w:val="99"/>
    <w:semiHidden/>
    <w:rsid w:val="001F727C"/>
    <w:rPr>
      <w:rFonts w:ascii="Courier New" w:eastAsia="Times New Roman" w:hAnsi="Courier New" w:cs="Courier New"/>
      <w:bdr w:val="none" w:sz="0" w:space="0" w:color="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between w:val="nil"/>
        <w:bar w:val="nil"/>
      </w:pBdr>
    </w:pPr>
    <w:rPr>
      <w:sz w:val="24"/>
      <w:szCs w:val="24"/>
      <w:bdr w:val="nil"/>
    </w:rPr>
  </w:style>
  <w:style w:type="paragraph" w:styleId="Heading1">
    <w:name w:val="heading 1"/>
    <w:basedOn w:val="Normal"/>
    <w:next w:val="Normal"/>
    <w:link w:val="Heading1Char"/>
    <w:uiPriority w:val="9"/>
    <w:qFormat/>
    <w:rsid w:val="002F33FD"/>
    <w:pPr>
      <w:keepNext/>
      <w:keepLines/>
      <w:numPr>
        <w:numId w:val="53"/>
      </w:numPr>
      <w:spacing w:before="480"/>
      <w:outlineLvl w:val="0"/>
    </w:pPr>
    <w:rPr>
      <w:rFonts w:ascii="Cambria" w:eastAsia="Times New Roman" w:hAnsi="Cambria"/>
      <w:b/>
      <w:bCs/>
      <w:sz w:val="20"/>
      <w:szCs w:val="28"/>
    </w:rPr>
  </w:style>
  <w:style w:type="paragraph" w:styleId="Heading2">
    <w:name w:val="heading 2"/>
    <w:basedOn w:val="Normal"/>
    <w:next w:val="Normal"/>
    <w:link w:val="Heading2Char"/>
    <w:unhideWhenUsed/>
    <w:qFormat/>
    <w:rsid w:val="002F33FD"/>
    <w:pPr>
      <w:keepNext/>
      <w:keepLines/>
      <w:numPr>
        <w:numId w:val="55"/>
      </w:numPr>
      <w:tabs>
        <w:tab w:val="clear" w:pos="1080"/>
      </w:tabs>
      <w:spacing w:before="200"/>
      <w:ind w:left="0" w:firstLine="0"/>
      <w:outlineLvl w:val="1"/>
    </w:pPr>
    <w:rPr>
      <w:rFonts w:ascii="Cambria" w:eastAsia="Times New Roman" w:hAnsi="Cambria"/>
      <w:b/>
      <w:bCs/>
      <w:sz w:val="20"/>
      <w:szCs w:val="26"/>
    </w:rPr>
  </w:style>
  <w:style w:type="paragraph" w:styleId="Heading3">
    <w:name w:val="heading 3"/>
    <w:basedOn w:val="Normal"/>
    <w:next w:val="Normal"/>
    <w:link w:val="Heading3Char"/>
    <w:uiPriority w:val="9"/>
    <w:unhideWhenUsed/>
    <w:qFormat/>
    <w:rsid w:val="002F33FD"/>
    <w:pPr>
      <w:keepNext/>
      <w:keepLines/>
      <w:spacing w:before="200"/>
      <w:ind w:left="1440" w:hanging="720"/>
      <w:outlineLvl w:val="2"/>
    </w:pPr>
    <w:rPr>
      <w:rFonts w:ascii="Cambria" w:eastAsia="Times New Roman" w:hAnsi="Cambria"/>
      <w:b/>
      <w:bCs/>
      <w:sz w:val="20"/>
    </w:rPr>
  </w:style>
  <w:style w:type="paragraph" w:styleId="Heading4">
    <w:name w:val="heading 4"/>
    <w:basedOn w:val="Normal"/>
    <w:next w:val="Normal"/>
    <w:link w:val="Heading4Char"/>
    <w:uiPriority w:val="9"/>
    <w:semiHidden/>
    <w:unhideWhenUsed/>
    <w:qFormat/>
    <w:rsid w:val="00F809F2"/>
    <w:pPr>
      <w:keepNext/>
      <w:keepLines/>
      <w:spacing w:before="200"/>
      <w:ind w:left="1440" w:hanging="720"/>
      <w:outlineLvl w:val="3"/>
    </w:pPr>
    <w:rPr>
      <w:rFonts w:ascii="Cambria" w:eastAsia="Times New Roman" w:hAnsi="Cambria"/>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pBdr>
        <w:top w:val="nil"/>
        <w:left w:val="nil"/>
        <w:bottom w:val="nil"/>
        <w:right w:val="nil"/>
        <w:between w:val="nil"/>
        <w:bar w:val="nil"/>
      </w:pBdr>
      <w:tabs>
        <w:tab w:val="right" w:pos="9020"/>
      </w:tabs>
    </w:pPr>
    <w:rPr>
      <w:rFonts w:ascii="Helvetica" w:hAnsi="Arial Unicode MS" w:cs="Arial Unicode MS"/>
      <w:color w:val="000000"/>
      <w:sz w:val="24"/>
      <w:szCs w:val="24"/>
      <w:bdr w:val="nil"/>
      <w:lang w:val="es-ES" w:eastAsia="es-ES"/>
    </w:rPr>
  </w:style>
  <w:style w:type="paragraph" w:styleId="Footer">
    <w:name w:val="footer"/>
    <w:link w:val="FooterChar"/>
    <w:uiPriority w:val="99"/>
    <w:pPr>
      <w:pBdr>
        <w:top w:val="nil"/>
        <w:left w:val="nil"/>
        <w:bottom w:val="nil"/>
        <w:right w:val="nil"/>
        <w:between w:val="nil"/>
        <w:bar w:val="nil"/>
      </w:pBdr>
      <w:tabs>
        <w:tab w:val="center" w:pos="4513"/>
        <w:tab w:val="right" w:pos="9026"/>
      </w:tabs>
    </w:pPr>
    <w:rPr>
      <w:rFonts w:ascii="Cambria" w:eastAsia="Cambria" w:hAnsi="Cambria" w:cs="Cambria"/>
      <w:color w:val="000000"/>
      <w:sz w:val="24"/>
      <w:szCs w:val="24"/>
      <w:u w:color="000000"/>
      <w:bdr w:val="nil"/>
      <w:lang w:eastAsia="es-ES"/>
    </w:rPr>
  </w:style>
  <w:style w:type="paragraph" w:customStyle="1" w:styleId="Cuerpo">
    <w:name w:val="Cuerpo"/>
    <w:pPr>
      <w:pBdr>
        <w:top w:val="nil"/>
        <w:left w:val="nil"/>
        <w:bottom w:val="nil"/>
        <w:right w:val="nil"/>
        <w:between w:val="nil"/>
        <w:bar w:val="nil"/>
      </w:pBdr>
    </w:pPr>
    <w:rPr>
      <w:rFonts w:ascii="Cambria" w:eastAsia="Cambria" w:hAnsi="Cambria" w:cs="Cambria"/>
      <w:color w:val="000000"/>
      <w:sz w:val="24"/>
      <w:szCs w:val="24"/>
      <w:u w:color="000000"/>
      <w:bdr w:val="nil"/>
      <w:lang w:val="es-ES" w:eastAsia="es-ES"/>
    </w:rPr>
  </w:style>
  <w:style w:type="paragraph" w:styleId="BodyTextIndent">
    <w:name w:val="Body Text Indent"/>
    <w:link w:val="BodyTextIndentChar"/>
    <w:pPr>
      <w:pBdr>
        <w:top w:val="nil"/>
        <w:left w:val="nil"/>
        <w:bottom w:val="nil"/>
        <w:right w:val="nil"/>
        <w:between w:val="nil"/>
        <w:bar w:val="nil"/>
      </w:pBdr>
      <w:ind w:left="2160" w:hanging="720"/>
    </w:pPr>
    <w:rPr>
      <w:rFonts w:eastAsia="Times New Roman"/>
      <w:color w:val="000000"/>
      <w:sz w:val="24"/>
      <w:szCs w:val="24"/>
      <w:u w:color="000000"/>
      <w:bdr w:val="nil"/>
      <w:lang w:val="es-ES_tradnl" w:eastAsia="es-ES"/>
    </w:rPr>
  </w:style>
  <w:style w:type="paragraph" w:styleId="ListParagraph">
    <w:name w:val="List Paragraph"/>
    <w:link w:val="ListParagraphChar"/>
    <w:qFormat/>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pPr>
      <w:pBdr>
        <w:top w:val="nil"/>
        <w:left w:val="nil"/>
        <w:bottom w:val="nil"/>
        <w:right w:val="nil"/>
        <w:between w:val="nil"/>
        <w:bar w:val="nil"/>
      </w:pBdr>
    </w:pPr>
    <w:rPr>
      <w:rFonts w:ascii="Calibri" w:eastAsia="Calibri" w:hAnsi="Calibri" w:cs="Calibri"/>
      <w:color w:val="000000"/>
      <w:u w:color="000000"/>
      <w:bdr w:val="nil"/>
      <w:lang w:eastAsia="es-E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link w:val="Heading1"/>
    <w:uiPriority w:val="9"/>
    <w:rsid w:val="002F33FD"/>
    <w:rPr>
      <w:rFonts w:ascii="Cambria" w:eastAsia="Times New Roman" w:hAnsi="Cambria"/>
      <w:b/>
      <w:bCs/>
      <w:szCs w:val="28"/>
      <w:bdr w:val="nil"/>
    </w:rPr>
  </w:style>
  <w:style w:type="table" w:styleId="MediumShading1-Accent1">
    <w:name w:val="Medium Shading 1 Accent 1"/>
    <w:basedOn w:val="TableNormal"/>
    <w:uiPriority w:val="63"/>
    <w:rsid w:val="006A17D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10085"/>
    <w:pPr>
      <w:tabs>
        <w:tab w:val="left" w:pos="720"/>
        <w:tab w:val="right" w:leader="dot" w:pos="9350"/>
      </w:tabs>
      <w:spacing w:after="100"/>
    </w:pPr>
    <w:rPr>
      <w:rFonts w:ascii="Calibri" w:hAnsi="Calibr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referencia nota al pi...,4_G,16 Point,Superscript 6 Point,Texto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Heading2Char">
    <w:name w:val="Heading 2 Char"/>
    <w:link w:val="Heading2"/>
    <w:rsid w:val="002F33FD"/>
    <w:rPr>
      <w:rFonts w:ascii="Cambria" w:eastAsia="Times New Roman" w:hAnsi="Cambria"/>
      <w:b/>
      <w:bCs/>
      <w:szCs w:val="26"/>
      <w:bdr w:val="nil"/>
    </w:rPr>
  </w:style>
  <w:style w:type="character" w:customStyle="1" w:styleId="Heading3Char">
    <w:name w:val="Heading 3 Char"/>
    <w:link w:val="Heading3"/>
    <w:uiPriority w:val="9"/>
    <w:rsid w:val="002F33FD"/>
    <w:rPr>
      <w:rFonts w:ascii="Cambria" w:eastAsia="Times New Roman" w:hAnsi="Cambria" w:cs="Times New Roman"/>
      <w:b/>
      <w:bCs/>
      <w:szCs w:val="24"/>
      <w:lang w:val="en-US" w:eastAsia="en-US"/>
    </w:rPr>
  </w:style>
  <w:style w:type="character" w:customStyle="1" w:styleId="BodyTextIndentChar">
    <w:name w:val="Body Text Indent Char"/>
    <w:link w:val="BodyTextIndent"/>
    <w:rsid w:val="002F33FD"/>
    <w:rPr>
      <w:rFonts w:eastAsia="Times New Roman"/>
      <w:color w:val="000000"/>
      <w:sz w:val="24"/>
      <w:szCs w:val="24"/>
      <w:u w:color="000000"/>
      <w:lang w:val="es-ES_tradnl"/>
    </w:rPr>
  </w:style>
  <w:style w:type="character" w:customStyle="1" w:styleId="ListParagraphChar">
    <w:name w:val="List Paragraph Char"/>
    <w:link w:val="ListParagraph"/>
    <w:locked/>
    <w:rsid w:val="002F33FD"/>
    <w:rPr>
      <w:rFonts w:ascii="Cambria" w:eastAsia="Cambria" w:hAnsi="Cambria" w:cs="Cambria"/>
      <w:color w:val="000000"/>
      <w:sz w:val="24"/>
      <w:szCs w:val="24"/>
      <w:u w:color="000000"/>
      <w:lang w:val="en-US"/>
    </w:rPr>
  </w:style>
  <w:style w:type="character" w:styleId="Strong">
    <w:name w:val="Strong"/>
    <w:uiPriority w:val="22"/>
    <w:qFormat/>
    <w:rsid w:val="002F33FD"/>
    <w:rPr>
      <w:rFonts w:cs="Times New Roman"/>
      <w:b/>
      <w:bCs/>
    </w:rPr>
  </w:style>
  <w:style w:type="paragraph" w:customStyle="1" w:styleId="Style2">
    <w:name w:val="Style2"/>
    <w:basedOn w:val="ListParagraph"/>
    <w:link w:val="Style2Char"/>
    <w:rsid w:val="002F33FD"/>
    <w:pPr>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pPr>
    <w:rPr>
      <w:rFonts w:eastAsia="MS Mincho" w:cs="Times New Roman"/>
      <w:b/>
      <w:color w:val="auto"/>
      <w:sz w:val="20"/>
      <w:szCs w:val="20"/>
      <w:bdr w:val="none" w:sz="0" w:space="0" w:color="auto"/>
      <w:lang w:val="es-ES" w:eastAsia="en-US"/>
    </w:rPr>
  </w:style>
  <w:style w:type="character" w:customStyle="1" w:styleId="Style2Char">
    <w:name w:val="Style2 Char"/>
    <w:link w:val="Style2"/>
    <w:rsid w:val="002F33FD"/>
    <w:rPr>
      <w:rFonts w:ascii="Cambria" w:eastAsia="MS Mincho" w:hAnsi="Cambria"/>
      <w:b/>
      <w:u w:color="000000"/>
      <w:lang w:val="es-ES"/>
    </w:rPr>
  </w:style>
  <w:style w:type="character" w:customStyle="1" w:styleId="Heading4Char">
    <w:name w:val="Heading 4 Char"/>
    <w:link w:val="Heading4"/>
    <w:uiPriority w:val="9"/>
    <w:semiHidden/>
    <w:rsid w:val="00F809F2"/>
    <w:rPr>
      <w:rFonts w:ascii="Cambria" w:eastAsia="Times New Roman" w:hAnsi="Cambria" w:cs="Times New Roman"/>
      <w:b/>
      <w:bCs/>
      <w:iCs/>
      <w:szCs w:val="24"/>
      <w:lang w:val="en-US" w:eastAsia="en-US"/>
    </w:rPr>
  </w:style>
  <w:style w:type="paragraph" w:customStyle="1" w:styleId="Default">
    <w:name w:val="Default"/>
    <w:link w:val="DefaultChar"/>
    <w:rsid w:val="00FC5DC8"/>
    <w:pPr>
      <w:autoSpaceDE w:val="0"/>
      <w:autoSpaceDN w:val="0"/>
      <w:adjustRightInd w:val="0"/>
    </w:pPr>
    <w:rPr>
      <w:rFonts w:eastAsia="Times New Roman"/>
      <w:color w:val="000000"/>
      <w:sz w:val="24"/>
      <w:szCs w:val="24"/>
    </w:rPr>
  </w:style>
  <w:style w:type="character" w:customStyle="1" w:styleId="DefaultChar">
    <w:name w:val="Default Char"/>
    <w:link w:val="Default"/>
    <w:rsid w:val="00FC5DC8"/>
    <w:rPr>
      <w:rFonts w:eastAsia="Times New Roman"/>
      <w:color w:val="000000"/>
      <w:sz w:val="24"/>
      <w:szCs w:val="24"/>
      <w:bdr w:val="none" w:sz="0" w:space="0" w:color="auto"/>
      <w:lang w:val="en-US" w:eastAsia="en-US"/>
    </w:rPr>
  </w:style>
  <w:style w:type="paragraph" w:customStyle="1" w:styleId="Style1">
    <w:name w:val="Style1"/>
    <w:basedOn w:val="ListParagraph"/>
    <w:rsid w:val="00FC5DC8"/>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pPr>
    <w:rPr>
      <w:rFonts w:eastAsia="MS Mincho" w:cs="Times New Roman"/>
      <w:b/>
      <w:color w:val="auto"/>
      <w:sz w:val="20"/>
      <w:szCs w:val="20"/>
      <w:bdr w:val="none" w:sz="0" w:space="0" w:color="auto"/>
      <w:lang w:val="es-ES_tradnl" w:eastAsia="en-US"/>
    </w:rPr>
  </w:style>
  <w:style w:type="character" w:customStyle="1" w:styleId="sb8d990e2">
    <w:name w:val="sb8d990e2"/>
    <w:basedOn w:val="DefaultParagraphFont"/>
    <w:rsid w:val="00FC5DC8"/>
  </w:style>
  <w:style w:type="character" w:customStyle="1" w:styleId="s7d2086b4">
    <w:name w:val="s7d2086b4"/>
    <w:basedOn w:val="DefaultParagraphFont"/>
    <w:rsid w:val="00FC5DC8"/>
  </w:style>
  <w:style w:type="character" w:customStyle="1" w:styleId="st">
    <w:name w:val="st"/>
    <w:basedOn w:val="DefaultParagraphFont"/>
    <w:rsid w:val="00C0575F"/>
  </w:style>
  <w:style w:type="character" w:styleId="Emphasis">
    <w:name w:val="Emphasis"/>
    <w:uiPriority w:val="20"/>
    <w:qFormat/>
    <w:rsid w:val="00C0575F"/>
    <w:rPr>
      <w:i/>
      <w:iCs/>
    </w:rPr>
  </w:style>
  <w:style w:type="character" w:styleId="FollowedHyperlink">
    <w:name w:val="FollowedHyperlink"/>
    <w:uiPriority w:val="99"/>
    <w:semiHidden/>
    <w:unhideWhenUsed/>
    <w:rsid w:val="00924210"/>
    <w:rPr>
      <w:color w:val="800080"/>
      <w:u w:val="single"/>
    </w:rPr>
  </w:style>
  <w:style w:type="paragraph" w:styleId="HTMLPreformatted">
    <w:name w:val="HTML Preformatted"/>
    <w:basedOn w:val="Normal"/>
    <w:link w:val="HTMLPreformattedChar"/>
    <w:uiPriority w:val="99"/>
    <w:semiHidden/>
    <w:unhideWhenUsed/>
    <w:rsid w:val="001F727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link w:val="HTMLPreformatted"/>
    <w:uiPriority w:val="99"/>
    <w:semiHidden/>
    <w:rsid w:val="001F727C"/>
    <w:rPr>
      <w:rFonts w:ascii="Courier New" w:eastAsia="Times New Roman" w:hAnsi="Courier New" w:cs="Courier New"/>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3456">
      <w:bodyDiv w:val="1"/>
      <w:marLeft w:val="0"/>
      <w:marRight w:val="0"/>
      <w:marTop w:val="0"/>
      <w:marBottom w:val="0"/>
      <w:divBdr>
        <w:top w:val="none" w:sz="0" w:space="0" w:color="auto"/>
        <w:left w:val="none" w:sz="0" w:space="0" w:color="auto"/>
        <w:bottom w:val="none" w:sz="0" w:space="0" w:color="auto"/>
        <w:right w:val="none" w:sz="0" w:space="0" w:color="auto"/>
      </w:divBdr>
      <w:divsChild>
        <w:div w:id="875848958">
          <w:marLeft w:val="0"/>
          <w:marRight w:val="0"/>
          <w:marTop w:val="0"/>
          <w:marBottom w:val="0"/>
          <w:divBdr>
            <w:top w:val="none" w:sz="0" w:space="0" w:color="auto"/>
            <w:left w:val="none" w:sz="0" w:space="0" w:color="auto"/>
            <w:bottom w:val="none" w:sz="0" w:space="0" w:color="auto"/>
            <w:right w:val="none" w:sz="0" w:space="0" w:color="auto"/>
          </w:divBdr>
        </w:div>
        <w:div w:id="1222860247">
          <w:marLeft w:val="0"/>
          <w:marRight w:val="0"/>
          <w:marTop w:val="0"/>
          <w:marBottom w:val="0"/>
          <w:divBdr>
            <w:top w:val="none" w:sz="0" w:space="0" w:color="auto"/>
            <w:left w:val="none" w:sz="0" w:space="0" w:color="auto"/>
            <w:bottom w:val="none" w:sz="0" w:space="0" w:color="auto"/>
            <w:right w:val="none" w:sz="0" w:space="0" w:color="auto"/>
          </w:divBdr>
        </w:div>
        <w:div w:id="2110150624">
          <w:marLeft w:val="0"/>
          <w:marRight w:val="0"/>
          <w:marTop w:val="0"/>
          <w:marBottom w:val="0"/>
          <w:divBdr>
            <w:top w:val="none" w:sz="0" w:space="0" w:color="auto"/>
            <w:left w:val="none" w:sz="0" w:space="0" w:color="auto"/>
            <w:bottom w:val="none" w:sz="0" w:space="0" w:color="auto"/>
            <w:right w:val="none" w:sz="0" w:space="0" w:color="auto"/>
          </w:divBdr>
        </w:div>
      </w:divsChild>
    </w:div>
    <w:div w:id="1143889361">
      <w:bodyDiv w:val="1"/>
      <w:marLeft w:val="0"/>
      <w:marRight w:val="0"/>
      <w:marTop w:val="0"/>
      <w:marBottom w:val="0"/>
      <w:divBdr>
        <w:top w:val="none" w:sz="0" w:space="0" w:color="auto"/>
        <w:left w:val="none" w:sz="0" w:space="0" w:color="auto"/>
        <w:bottom w:val="none" w:sz="0" w:space="0" w:color="auto"/>
        <w:right w:val="none" w:sz="0" w:space="0" w:color="auto"/>
      </w:divBdr>
    </w:div>
    <w:div w:id="119835385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67209205">
      <w:bodyDiv w:val="1"/>
      <w:marLeft w:val="0"/>
      <w:marRight w:val="0"/>
      <w:marTop w:val="0"/>
      <w:marBottom w:val="0"/>
      <w:divBdr>
        <w:top w:val="none" w:sz="0" w:space="0" w:color="auto"/>
        <w:left w:val="none" w:sz="0" w:space="0" w:color="auto"/>
        <w:bottom w:val="none" w:sz="0" w:space="0" w:color="auto"/>
        <w:right w:val="none" w:sz="0" w:space="0" w:color="auto"/>
      </w:divBdr>
      <w:divsChild>
        <w:div w:id="1065763387">
          <w:marLeft w:val="0"/>
          <w:marRight w:val="0"/>
          <w:marTop w:val="0"/>
          <w:marBottom w:val="0"/>
          <w:divBdr>
            <w:top w:val="none" w:sz="0" w:space="0" w:color="auto"/>
            <w:left w:val="none" w:sz="0" w:space="0" w:color="auto"/>
            <w:bottom w:val="none" w:sz="0" w:space="0" w:color="auto"/>
            <w:right w:val="none" w:sz="0" w:space="0" w:color="auto"/>
          </w:divBdr>
        </w:div>
        <w:div w:id="1630745609">
          <w:marLeft w:val="0"/>
          <w:marRight w:val="0"/>
          <w:marTop w:val="0"/>
          <w:marBottom w:val="0"/>
          <w:divBdr>
            <w:top w:val="none" w:sz="0" w:space="0" w:color="auto"/>
            <w:left w:val="none" w:sz="0" w:space="0" w:color="auto"/>
            <w:bottom w:val="none" w:sz="0" w:space="0" w:color="auto"/>
            <w:right w:val="none" w:sz="0" w:space="0" w:color="auto"/>
          </w:divBdr>
        </w:div>
        <w:div w:id="1654336401">
          <w:marLeft w:val="0"/>
          <w:marRight w:val="0"/>
          <w:marTop w:val="0"/>
          <w:marBottom w:val="0"/>
          <w:divBdr>
            <w:top w:val="none" w:sz="0" w:space="0" w:color="auto"/>
            <w:left w:val="none" w:sz="0" w:space="0" w:color="auto"/>
            <w:bottom w:val="none" w:sz="0" w:space="0" w:color="auto"/>
            <w:right w:val="none" w:sz="0" w:space="0" w:color="auto"/>
          </w:divBdr>
        </w:div>
        <w:div w:id="17673093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idh.org/relatoria/ShowDocument.asp?DocumentID=153"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oas.org/en/iachr/expression/docs/reports/annual/2014_04_22_%20IA_2013_ENG%20_FINALweb.pdf" TargetMode="External"/><Relationship Id="rId13" Type="http://schemas.openxmlformats.org/officeDocument/2006/relationships/hyperlink" Target="http://www.oas.org/en/iachr/expression/docs/reports/annual/2014_04_22_%20IA_2013_ENG%20_FINALweb.pdf" TargetMode="External"/><Relationship Id="rId18" Type="http://schemas.openxmlformats.org/officeDocument/2006/relationships/hyperlink" Target="http://www.oas.org/en/iachr/expression/docs/reports/annual/2014_04_22_%20IA_2013_ENG%20_FINALweb.pdf" TargetMode="External"/><Relationship Id="rId26" Type="http://schemas.openxmlformats.org/officeDocument/2006/relationships/hyperlink" Target="http://www.oas.org/en/iachr/expression/docs/reports/annual/2014_04_22_%20IA_2013_ENG%20_FINALweb.pdf" TargetMode="External"/><Relationship Id="rId39" Type="http://schemas.openxmlformats.org/officeDocument/2006/relationships/hyperlink" Target="http://www.oas.org/en/iachr/expression/docs/reports/annual/Informe%20Anual%202009%202%20ENG.pdf" TargetMode="External"/><Relationship Id="rId3" Type="http://schemas.openxmlformats.org/officeDocument/2006/relationships/hyperlink" Target="http://www.eltiempo.com/archivo/documento/MAM-2483980" TargetMode="External"/><Relationship Id="rId21" Type="http://schemas.openxmlformats.org/officeDocument/2006/relationships/hyperlink" Target="http://www.oas.org/en/iachr/expression/docs/reports/annual/2014_04_22_%20IA_2013_ENG%20_FINALweb.pdf" TargetMode="External"/><Relationship Id="rId34" Type="http://schemas.openxmlformats.org/officeDocument/2006/relationships/hyperlink" Target="http://www.oas.org/en/iachr/expression/docs/reports/annual/2014_04_22_%20IA_2013_ENG%20_FINALweb.pdf" TargetMode="External"/><Relationship Id="rId7" Type="http://schemas.openxmlformats.org/officeDocument/2006/relationships/hyperlink" Target="http://cidh.org/relatoria/ShowDocument.asp?DocumentID=153" TargetMode="External"/><Relationship Id="rId12" Type="http://schemas.openxmlformats.org/officeDocument/2006/relationships/hyperlink" Target="http://www.cidh.org/relatoria/section/asesinato%20de%20periodistas%20ingles.pdf" TargetMode="External"/><Relationship Id="rId17" Type="http://schemas.openxmlformats.org/officeDocument/2006/relationships/hyperlink" Target="http://daccess-dds-ny.un.org/doc/UNDOC/GEN/G12/137/87/PDF/G1213787.pdf?OpenElement" TargetMode="External"/><Relationship Id="rId25" Type="http://schemas.openxmlformats.org/officeDocument/2006/relationships/hyperlink" Target="http://www.oas.org/en/iachr/defenders/docs/pdf/defenders2011.pdf" TargetMode="External"/><Relationship Id="rId33" Type="http://schemas.openxmlformats.org/officeDocument/2006/relationships/hyperlink" Target="http://www.ohchr.org/EN/HRBodies/HRC/RegularSessions/Session21/Pages/ResDecStat.aspx" TargetMode="External"/><Relationship Id="rId38" Type="http://schemas.openxmlformats.org/officeDocument/2006/relationships/hyperlink" Target="http://www.cidh.org/relatoria/section/asesinato%20de%20periodistas%20ingles.pdf" TargetMode="External"/><Relationship Id="rId2" Type="http://schemas.openxmlformats.org/officeDocument/2006/relationships/hyperlink" Target="ftp://ftp.camara.gov.co/camara/basedoc/codigo/codigo_procedimiento_penal_1991.html" TargetMode="External"/><Relationship Id="rId16" Type="http://schemas.openxmlformats.org/officeDocument/2006/relationships/hyperlink" Target="http://www.oas.org/en/iachr/expression/docs/reports/annual/2014_04_22_%20IA_2013_ENG%20_FINALweb.pdf" TargetMode="External"/><Relationship Id="rId20" Type="http://schemas.openxmlformats.org/officeDocument/2006/relationships/hyperlink" Target="http://www.oas.org/en/iachr/expression/showarticle.asp?artID=905&amp;lID=1" TargetMode="External"/><Relationship Id="rId29" Type="http://schemas.openxmlformats.org/officeDocument/2006/relationships/hyperlink" Target="http://www.oas.org/en/iachr/expression/docs/reports/annual/2014_04_22_%20IA_2013_ENG%20_FINALweb.pdf" TargetMode="External"/><Relationship Id="rId41" Type="http://schemas.openxmlformats.org/officeDocument/2006/relationships/hyperlink" Target="http://www.oas.org/en/iachr/expression/docs/reports/annual/Infornme%202010%20P%20ENG.pdf" TargetMode="External"/><Relationship Id="rId1" Type="http://schemas.openxmlformats.org/officeDocument/2006/relationships/hyperlink" Target="ftp://ftp.camara.gov.co/camara/basedoc/codigo/codigo_penal_1980.html" TargetMode="External"/><Relationship Id="rId6" Type="http://schemas.openxmlformats.org/officeDocument/2006/relationships/hyperlink" Target="http://cidh.org/relatoria/ShowDocument.asp?DocumentID=153" TargetMode="External"/><Relationship Id="rId11" Type="http://schemas.openxmlformats.org/officeDocument/2006/relationships/hyperlink" Target="http://www.oas.org/en/iachr/expression/docs/reports/annual/Infornme%202010%20P%20ENG.pdf" TargetMode="External"/><Relationship Id="rId24" Type="http://schemas.openxmlformats.org/officeDocument/2006/relationships/hyperlink" Target="http://www.oas.org/en/iachr/expression/docs/reports/annual/2014_04_22_%20IA_2013_ENG%20_FINALweb.pdf" TargetMode="External"/><Relationship Id="rId32" Type="http://schemas.openxmlformats.org/officeDocument/2006/relationships/hyperlink" Target="http://www.cidh.org/relatoria/section/asesinato%20de%20periodistas%20ingles.pdf" TargetMode="External"/><Relationship Id="rId37" Type="http://schemas.openxmlformats.org/officeDocument/2006/relationships/hyperlink" Target="http://www.cidh.org/relatoria/section/asesinato%20de%20periodistas%20ingles.pdf" TargetMode="External"/><Relationship Id="rId40" Type="http://schemas.openxmlformats.org/officeDocument/2006/relationships/hyperlink" Target="http://www.oas.org/es/cidh/expresion/docs/informes/anuales/Informe%20Anual%202009%201%20ESP.pdf" TargetMode="External"/><Relationship Id="rId5" Type="http://schemas.openxmlformats.org/officeDocument/2006/relationships/hyperlink" Target="http://cidh.org/relatoria/ShowDocument.asp?DocumentID=153" TargetMode="External"/><Relationship Id="rId15" Type="http://schemas.openxmlformats.org/officeDocument/2006/relationships/hyperlink" Target="http://www.oas.org/en/iachr/expression/docs/reports/annual/2014_04_22_%20IA_2013_ENG%20_FINALweb.pdf" TargetMode="External"/><Relationship Id="rId23" Type="http://schemas.openxmlformats.org/officeDocument/2006/relationships/hyperlink" Target="http://www.ohchr.org/Documents/HRBodies/HRCouncil/RegularSession/Session20/A-HRC-20-22_en.pdf" TargetMode="External"/><Relationship Id="rId28" Type="http://schemas.openxmlformats.org/officeDocument/2006/relationships/hyperlink" Target="http://www.cidh.org/relatoria/section/asesinato%20de%20periodistas%20ingles.pdf" TargetMode="External"/><Relationship Id="rId36" Type="http://schemas.openxmlformats.org/officeDocument/2006/relationships/hyperlink" Target="http://www.cidh.org/relatoria/section/asesinato%20de%20periodistas%20ingles.pdf" TargetMode="External"/><Relationship Id="rId10" Type="http://schemas.openxmlformats.org/officeDocument/2006/relationships/hyperlink" Target="http://www.ohchr.org/Documents/HRBodies/HRCouncil/RegularSession/Session20/A-HRC-20-22_en.pdf" TargetMode="External"/><Relationship Id="rId19" Type="http://schemas.openxmlformats.org/officeDocument/2006/relationships/hyperlink" Target="http://www.cidh.org/relatoria/section/asesinato%20de%20periodistas%20ingles.pdf" TargetMode="External"/><Relationship Id="rId31" Type="http://schemas.openxmlformats.org/officeDocument/2006/relationships/hyperlink" Target="http://daccess-dds-ny.un.org/doc/UNDOC/GEN/G12/137/87/PDF/G1213787.pdf?OpenElement" TargetMode="External"/><Relationship Id="rId4" Type="http://schemas.openxmlformats.org/officeDocument/2006/relationships/hyperlink" Target="http://cidh.org/relatoria/ShowDocument.asp?DocumentID=153" TargetMode="External"/><Relationship Id="rId9" Type="http://schemas.openxmlformats.org/officeDocument/2006/relationships/hyperlink" Target="http://www.cidh.org/relatoria/section/asesinato%20de%20periodistas%20ingles.pdf" TargetMode="External"/><Relationship Id="rId14" Type="http://schemas.openxmlformats.org/officeDocument/2006/relationships/hyperlink" Target="http://www.oas.org/en/iachr/expression/docs/reports/annual/Infornme%202010%20P%20ENG.pdf" TargetMode="External"/><Relationship Id="rId22" Type="http://schemas.openxmlformats.org/officeDocument/2006/relationships/hyperlink" Target="http://www.oas.org/en/iachr/expression/showarticle.asp?artID=905&amp;lID=1" TargetMode="External"/><Relationship Id="rId27" Type="http://schemas.openxmlformats.org/officeDocument/2006/relationships/hyperlink" Target="http://www.oas.org/en/iachr/expression/docs/reports/annual/2014_04_22_%20IA_2013_ENG%20_FINALweb.pdf" TargetMode="External"/><Relationship Id="rId30" Type="http://schemas.openxmlformats.org/officeDocument/2006/relationships/hyperlink" Target="http://www.oas.org/en/iachr/expression/docs/reports/annual/Infornme%202010%20P%20ENG.pdf" TargetMode="External"/><Relationship Id="rId35" Type="http://schemas.openxmlformats.org/officeDocument/2006/relationships/hyperlink" Target="http://www.cidh.org/relatoria/section/asesinato%20de%20periodistas%20ingl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D159-F800-4A14-9C02-23040462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22105</Words>
  <Characters>125999</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147809</CharactersWithSpaces>
  <SharedDoc>false</SharedDoc>
  <HLinks>
    <vt:vector size="252" baseType="variant">
      <vt:variant>
        <vt:i4>1179741</vt:i4>
      </vt:variant>
      <vt:variant>
        <vt:i4>0</vt:i4>
      </vt:variant>
      <vt:variant>
        <vt:i4>0</vt:i4>
      </vt:variant>
      <vt:variant>
        <vt:i4>5</vt:i4>
      </vt:variant>
      <vt:variant>
        <vt:lpwstr>http://cidh.org/relatoria/ShowDocument.asp?DocumentID=153</vt:lpwstr>
      </vt:variant>
      <vt:variant>
        <vt:lpwstr/>
      </vt:variant>
      <vt:variant>
        <vt:i4>7798884</vt:i4>
      </vt:variant>
      <vt:variant>
        <vt:i4>123</vt:i4>
      </vt:variant>
      <vt:variant>
        <vt:i4>0</vt:i4>
      </vt:variant>
      <vt:variant>
        <vt:i4>5</vt:i4>
      </vt:variant>
      <vt:variant>
        <vt:lpwstr>http://www.oas.org/en/iachr/expression/docs/reports/annual/Infornme 2010 P ENG.pdf</vt:lpwstr>
      </vt:variant>
      <vt:variant>
        <vt:lpwstr/>
      </vt:variant>
      <vt:variant>
        <vt:i4>6553712</vt:i4>
      </vt:variant>
      <vt:variant>
        <vt:i4>119</vt:i4>
      </vt:variant>
      <vt:variant>
        <vt:i4>0</vt:i4>
      </vt:variant>
      <vt:variant>
        <vt:i4>5</vt:i4>
      </vt:variant>
      <vt:variant>
        <vt:lpwstr>http://www.oas.org/es/cidh/expresion/docs/informes/anuales/Informe Anual 2009 1 ESP.pdf</vt:lpwstr>
      </vt:variant>
      <vt:variant>
        <vt:lpwstr/>
      </vt:variant>
      <vt:variant>
        <vt:i4>6619235</vt:i4>
      </vt:variant>
      <vt:variant>
        <vt:i4>117</vt:i4>
      </vt:variant>
      <vt:variant>
        <vt:i4>0</vt:i4>
      </vt:variant>
      <vt:variant>
        <vt:i4>5</vt:i4>
      </vt:variant>
      <vt:variant>
        <vt:lpwstr>http://www.oas.org/en/iachr/expression/docs/reports/annual/Informe Anual 2009 2 ENG.pdf</vt:lpwstr>
      </vt:variant>
      <vt:variant>
        <vt:lpwstr/>
      </vt:variant>
      <vt:variant>
        <vt:i4>6160459</vt:i4>
      </vt:variant>
      <vt:variant>
        <vt:i4>114</vt:i4>
      </vt:variant>
      <vt:variant>
        <vt:i4>0</vt:i4>
      </vt:variant>
      <vt:variant>
        <vt:i4>5</vt:i4>
      </vt:variant>
      <vt:variant>
        <vt:lpwstr>http://www.cidh.org/relatoria/section/asesinato de periodistas ingles.pdf</vt:lpwstr>
      </vt:variant>
      <vt:variant>
        <vt:lpwstr/>
      </vt:variant>
      <vt:variant>
        <vt:i4>6160459</vt:i4>
      </vt:variant>
      <vt:variant>
        <vt:i4>111</vt:i4>
      </vt:variant>
      <vt:variant>
        <vt:i4>0</vt:i4>
      </vt:variant>
      <vt:variant>
        <vt:i4>5</vt:i4>
      </vt:variant>
      <vt:variant>
        <vt:lpwstr>http://www.cidh.org/relatoria/section/asesinato de periodistas ingles.pdf</vt:lpwstr>
      </vt:variant>
      <vt:variant>
        <vt:lpwstr/>
      </vt:variant>
      <vt:variant>
        <vt:i4>6160459</vt:i4>
      </vt:variant>
      <vt:variant>
        <vt:i4>108</vt:i4>
      </vt:variant>
      <vt:variant>
        <vt:i4>0</vt:i4>
      </vt:variant>
      <vt:variant>
        <vt:i4>5</vt:i4>
      </vt:variant>
      <vt:variant>
        <vt:lpwstr>http://www.cidh.org/relatoria/section/asesinato de periodistas ingles.pdf</vt:lpwstr>
      </vt:variant>
      <vt:variant>
        <vt:lpwstr/>
      </vt:variant>
      <vt:variant>
        <vt:i4>6160459</vt:i4>
      </vt:variant>
      <vt:variant>
        <vt:i4>105</vt:i4>
      </vt:variant>
      <vt:variant>
        <vt:i4>0</vt:i4>
      </vt:variant>
      <vt:variant>
        <vt:i4>5</vt:i4>
      </vt:variant>
      <vt:variant>
        <vt:lpwstr>http://www.cidh.org/relatoria/section/asesinato de periodistas ingles.pdf</vt:lpwstr>
      </vt:variant>
      <vt:variant>
        <vt:lpwstr/>
      </vt:variant>
      <vt:variant>
        <vt:i4>4521992</vt:i4>
      </vt:variant>
      <vt:variant>
        <vt:i4>102</vt:i4>
      </vt:variant>
      <vt:variant>
        <vt:i4>0</vt:i4>
      </vt:variant>
      <vt:variant>
        <vt:i4>5</vt:i4>
      </vt:variant>
      <vt:variant>
        <vt:lpwstr>http://www.oas.org/en/iachr/expression/docs/reports/annual/2014_04_22_ IA_2013_ENG _FINALweb.pdf</vt:lpwstr>
      </vt:variant>
      <vt:variant>
        <vt:lpwstr/>
      </vt:variant>
      <vt:variant>
        <vt:i4>1769553</vt:i4>
      </vt:variant>
      <vt:variant>
        <vt:i4>99</vt:i4>
      </vt:variant>
      <vt:variant>
        <vt:i4>0</vt:i4>
      </vt:variant>
      <vt:variant>
        <vt:i4>5</vt:i4>
      </vt:variant>
      <vt:variant>
        <vt:lpwstr>http://www.ohchr.org/EN/HRBodies/HRC/RegularSessions/Session21/Pages/ResDecStat.aspx</vt:lpwstr>
      </vt:variant>
      <vt:variant>
        <vt:lpwstr/>
      </vt:variant>
      <vt:variant>
        <vt:i4>6160459</vt:i4>
      </vt:variant>
      <vt:variant>
        <vt:i4>96</vt:i4>
      </vt:variant>
      <vt:variant>
        <vt:i4>0</vt:i4>
      </vt:variant>
      <vt:variant>
        <vt:i4>5</vt:i4>
      </vt:variant>
      <vt:variant>
        <vt:lpwstr>http://www.cidh.org/relatoria/section/asesinato de periodistas ingles.pdf</vt:lpwstr>
      </vt:variant>
      <vt:variant>
        <vt:lpwstr/>
      </vt:variant>
      <vt:variant>
        <vt:i4>7667774</vt:i4>
      </vt:variant>
      <vt:variant>
        <vt:i4>93</vt:i4>
      </vt:variant>
      <vt:variant>
        <vt:i4>0</vt:i4>
      </vt:variant>
      <vt:variant>
        <vt:i4>5</vt:i4>
      </vt:variant>
      <vt:variant>
        <vt:lpwstr>http://daccess-dds-ny.un.org/doc/UNDOC/GEN/G12/137/87/PDF/G1213787.pdf?OpenElement</vt:lpwstr>
      </vt:variant>
      <vt:variant>
        <vt:lpwstr/>
      </vt:variant>
      <vt:variant>
        <vt:i4>7798884</vt:i4>
      </vt:variant>
      <vt:variant>
        <vt:i4>90</vt:i4>
      </vt:variant>
      <vt:variant>
        <vt:i4>0</vt:i4>
      </vt:variant>
      <vt:variant>
        <vt:i4>5</vt:i4>
      </vt:variant>
      <vt:variant>
        <vt:lpwstr>http://www.oas.org/en/iachr/expression/docs/reports/annual/Infornme 2010 P ENG.pdf</vt:lpwstr>
      </vt:variant>
      <vt:variant>
        <vt:lpwstr/>
      </vt:variant>
      <vt:variant>
        <vt:i4>4521992</vt:i4>
      </vt:variant>
      <vt:variant>
        <vt:i4>87</vt:i4>
      </vt:variant>
      <vt:variant>
        <vt:i4>0</vt:i4>
      </vt:variant>
      <vt:variant>
        <vt:i4>5</vt:i4>
      </vt:variant>
      <vt:variant>
        <vt:lpwstr>http://www.oas.org/en/iachr/expression/docs/reports/annual/2014_04_22_ IA_2013_ENG _FINALweb.pdf</vt:lpwstr>
      </vt:variant>
      <vt:variant>
        <vt:lpwstr/>
      </vt:variant>
      <vt:variant>
        <vt:i4>6160459</vt:i4>
      </vt:variant>
      <vt:variant>
        <vt:i4>84</vt:i4>
      </vt:variant>
      <vt:variant>
        <vt:i4>0</vt:i4>
      </vt:variant>
      <vt:variant>
        <vt:i4>5</vt:i4>
      </vt:variant>
      <vt:variant>
        <vt:lpwstr>http://www.cidh.org/relatoria/section/asesinato de periodistas ingles.pdf</vt:lpwstr>
      </vt:variant>
      <vt:variant>
        <vt:lpwstr/>
      </vt:variant>
      <vt:variant>
        <vt:i4>4521992</vt:i4>
      </vt:variant>
      <vt:variant>
        <vt:i4>81</vt:i4>
      </vt:variant>
      <vt:variant>
        <vt:i4>0</vt:i4>
      </vt:variant>
      <vt:variant>
        <vt:i4>5</vt:i4>
      </vt:variant>
      <vt:variant>
        <vt:lpwstr>http://www.oas.org/en/iachr/expression/docs/reports/annual/2014_04_22_ IA_2013_ENG _FINALweb.pdf</vt:lpwstr>
      </vt:variant>
      <vt:variant>
        <vt:lpwstr/>
      </vt:variant>
      <vt:variant>
        <vt:i4>4521992</vt:i4>
      </vt:variant>
      <vt:variant>
        <vt:i4>78</vt:i4>
      </vt:variant>
      <vt:variant>
        <vt:i4>0</vt:i4>
      </vt:variant>
      <vt:variant>
        <vt:i4>5</vt:i4>
      </vt:variant>
      <vt:variant>
        <vt:lpwstr>http://www.oas.org/en/iachr/expression/docs/reports/annual/2014_04_22_ IA_2013_ENG _FINALweb.pdf</vt:lpwstr>
      </vt:variant>
      <vt:variant>
        <vt:lpwstr/>
      </vt:variant>
      <vt:variant>
        <vt:i4>851986</vt:i4>
      </vt:variant>
      <vt:variant>
        <vt:i4>75</vt:i4>
      </vt:variant>
      <vt:variant>
        <vt:i4>0</vt:i4>
      </vt:variant>
      <vt:variant>
        <vt:i4>5</vt:i4>
      </vt:variant>
      <vt:variant>
        <vt:lpwstr>http://www.oas.org/en/iachr/defenders/docs/pdf/defenders2011.pdf</vt:lpwstr>
      </vt:variant>
      <vt:variant>
        <vt:lpwstr/>
      </vt:variant>
      <vt:variant>
        <vt:i4>4521992</vt:i4>
      </vt:variant>
      <vt:variant>
        <vt:i4>72</vt:i4>
      </vt:variant>
      <vt:variant>
        <vt:i4>0</vt:i4>
      </vt:variant>
      <vt:variant>
        <vt:i4>5</vt:i4>
      </vt:variant>
      <vt:variant>
        <vt:lpwstr>http://www.oas.org/en/iachr/expression/docs/reports/annual/2014_04_22_ IA_2013_ENG _FINALweb.pdf</vt:lpwstr>
      </vt:variant>
      <vt:variant>
        <vt:lpwstr/>
      </vt:variant>
      <vt:variant>
        <vt:i4>1179769</vt:i4>
      </vt:variant>
      <vt:variant>
        <vt:i4>69</vt:i4>
      </vt:variant>
      <vt:variant>
        <vt:i4>0</vt:i4>
      </vt:variant>
      <vt:variant>
        <vt:i4>5</vt:i4>
      </vt:variant>
      <vt:variant>
        <vt:lpwstr>http://www.ohchr.org/Documents/HRBodies/HRCouncil/RegularSession/Session20/A-HRC-20-22_en.pdf</vt:lpwstr>
      </vt:variant>
      <vt:variant>
        <vt:lpwstr/>
      </vt:variant>
      <vt:variant>
        <vt:i4>7798905</vt:i4>
      </vt:variant>
      <vt:variant>
        <vt:i4>66</vt:i4>
      </vt:variant>
      <vt:variant>
        <vt:i4>0</vt:i4>
      </vt:variant>
      <vt:variant>
        <vt:i4>5</vt:i4>
      </vt:variant>
      <vt:variant>
        <vt:lpwstr>http://www.oas.org/en/iachr/expression/showarticle.asp?artID=905&amp;lID=1</vt:lpwstr>
      </vt:variant>
      <vt:variant>
        <vt:lpwstr/>
      </vt:variant>
      <vt:variant>
        <vt:i4>4521992</vt:i4>
      </vt:variant>
      <vt:variant>
        <vt:i4>63</vt:i4>
      </vt:variant>
      <vt:variant>
        <vt:i4>0</vt:i4>
      </vt:variant>
      <vt:variant>
        <vt:i4>5</vt:i4>
      </vt:variant>
      <vt:variant>
        <vt:lpwstr>http://www.oas.org/en/iachr/expression/docs/reports/annual/2014_04_22_ IA_2013_ENG _FINALweb.pdf</vt:lpwstr>
      </vt:variant>
      <vt:variant>
        <vt:lpwstr/>
      </vt:variant>
      <vt:variant>
        <vt:i4>7798905</vt:i4>
      </vt:variant>
      <vt:variant>
        <vt:i4>60</vt:i4>
      </vt:variant>
      <vt:variant>
        <vt:i4>0</vt:i4>
      </vt:variant>
      <vt:variant>
        <vt:i4>5</vt:i4>
      </vt:variant>
      <vt:variant>
        <vt:lpwstr>http://www.oas.org/en/iachr/expression/showarticle.asp?artID=905&amp;lID=1</vt:lpwstr>
      </vt:variant>
      <vt:variant>
        <vt:lpwstr/>
      </vt:variant>
      <vt:variant>
        <vt:i4>6160459</vt:i4>
      </vt:variant>
      <vt:variant>
        <vt:i4>57</vt:i4>
      </vt:variant>
      <vt:variant>
        <vt:i4>0</vt:i4>
      </vt:variant>
      <vt:variant>
        <vt:i4>5</vt:i4>
      </vt:variant>
      <vt:variant>
        <vt:lpwstr>http://www.cidh.org/relatoria/section/asesinato de periodistas ingles.pdf</vt:lpwstr>
      </vt:variant>
      <vt:variant>
        <vt:lpwstr/>
      </vt:variant>
      <vt:variant>
        <vt:i4>4521992</vt:i4>
      </vt:variant>
      <vt:variant>
        <vt:i4>54</vt:i4>
      </vt:variant>
      <vt:variant>
        <vt:i4>0</vt:i4>
      </vt:variant>
      <vt:variant>
        <vt:i4>5</vt:i4>
      </vt:variant>
      <vt:variant>
        <vt:lpwstr>http://www.oas.org/en/iachr/expression/docs/reports/annual/2014_04_22_ IA_2013_ENG _FINALweb.pdf</vt:lpwstr>
      </vt:variant>
      <vt:variant>
        <vt:lpwstr/>
      </vt:variant>
      <vt:variant>
        <vt:i4>7667774</vt:i4>
      </vt:variant>
      <vt:variant>
        <vt:i4>51</vt:i4>
      </vt:variant>
      <vt:variant>
        <vt:i4>0</vt:i4>
      </vt:variant>
      <vt:variant>
        <vt:i4>5</vt:i4>
      </vt:variant>
      <vt:variant>
        <vt:lpwstr>http://daccess-dds-ny.un.org/doc/UNDOC/GEN/G12/137/87/PDF/G1213787.pdf?OpenElement</vt:lpwstr>
      </vt:variant>
      <vt:variant>
        <vt:lpwstr/>
      </vt:variant>
      <vt:variant>
        <vt:i4>4521992</vt:i4>
      </vt:variant>
      <vt:variant>
        <vt:i4>48</vt:i4>
      </vt:variant>
      <vt:variant>
        <vt:i4>0</vt:i4>
      </vt:variant>
      <vt:variant>
        <vt:i4>5</vt:i4>
      </vt:variant>
      <vt:variant>
        <vt:lpwstr>http://www.oas.org/en/iachr/expression/docs/reports/annual/2014_04_22_ IA_2013_ENG _FINALweb.pdf</vt:lpwstr>
      </vt:variant>
      <vt:variant>
        <vt:lpwstr/>
      </vt:variant>
      <vt:variant>
        <vt:i4>4521992</vt:i4>
      </vt:variant>
      <vt:variant>
        <vt:i4>45</vt:i4>
      </vt:variant>
      <vt:variant>
        <vt:i4>0</vt:i4>
      </vt:variant>
      <vt:variant>
        <vt:i4>5</vt:i4>
      </vt:variant>
      <vt:variant>
        <vt:lpwstr>http://www.oas.org/en/iachr/expression/docs/reports/annual/2014_04_22_ IA_2013_ENG _FINALweb.pdf</vt:lpwstr>
      </vt:variant>
      <vt:variant>
        <vt:lpwstr/>
      </vt:variant>
      <vt:variant>
        <vt:i4>7798884</vt:i4>
      </vt:variant>
      <vt:variant>
        <vt:i4>42</vt:i4>
      </vt:variant>
      <vt:variant>
        <vt:i4>0</vt:i4>
      </vt:variant>
      <vt:variant>
        <vt:i4>5</vt:i4>
      </vt:variant>
      <vt:variant>
        <vt:lpwstr>http://www.oas.org/en/iachr/expression/docs/reports/annual/Infornme 2010 P ENG.pdf</vt:lpwstr>
      </vt:variant>
      <vt:variant>
        <vt:lpwstr/>
      </vt:variant>
      <vt:variant>
        <vt:i4>4521992</vt:i4>
      </vt:variant>
      <vt:variant>
        <vt:i4>39</vt:i4>
      </vt:variant>
      <vt:variant>
        <vt:i4>0</vt:i4>
      </vt:variant>
      <vt:variant>
        <vt:i4>5</vt:i4>
      </vt:variant>
      <vt:variant>
        <vt:lpwstr>http://www.oas.org/en/iachr/expression/docs/reports/annual/2014_04_22_ IA_2013_ENG _FINALweb.pdf</vt:lpwstr>
      </vt:variant>
      <vt:variant>
        <vt:lpwstr/>
      </vt:variant>
      <vt:variant>
        <vt:i4>6160459</vt:i4>
      </vt:variant>
      <vt:variant>
        <vt:i4>36</vt:i4>
      </vt:variant>
      <vt:variant>
        <vt:i4>0</vt:i4>
      </vt:variant>
      <vt:variant>
        <vt:i4>5</vt:i4>
      </vt:variant>
      <vt:variant>
        <vt:lpwstr>http://www.cidh.org/relatoria/section/asesinato de periodistas ingles.pdf</vt:lpwstr>
      </vt:variant>
      <vt:variant>
        <vt:lpwstr/>
      </vt:variant>
      <vt:variant>
        <vt:i4>7798884</vt:i4>
      </vt:variant>
      <vt:variant>
        <vt:i4>33</vt:i4>
      </vt:variant>
      <vt:variant>
        <vt:i4>0</vt:i4>
      </vt:variant>
      <vt:variant>
        <vt:i4>5</vt:i4>
      </vt:variant>
      <vt:variant>
        <vt:lpwstr>http://www.oas.org/en/iachr/expression/docs/reports/annual/Infornme 2010 P ENG.pdf</vt:lpwstr>
      </vt:variant>
      <vt:variant>
        <vt:lpwstr/>
      </vt:variant>
      <vt:variant>
        <vt:i4>1179769</vt:i4>
      </vt:variant>
      <vt:variant>
        <vt:i4>27</vt:i4>
      </vt:variant>
      <vt:variant>
        <vt:i4>0</vt:i4>
      </vt:variant>
      <vt:variant>
        <vt:i4>5</vt:i4>
      </vt:variant>
      <vt:variant>
        <vt:lpwstr>http://www.ohchr.org/Documents/HRBodies/HRCouncil/RegularSession/Session20/A-HRC-20-22_en.pdf</vt:lpwstr>
      </vt:variant>
      <vt:variant>
        <vt:lpwstr/>
      </vt:variant>
      <vt:variant>
        <vt:i4>6160459</vt:i4>
      </vt:variant>
      <vt:variant>
        <vt:i4>24</vt:i4>
      </vt:variant>
      <vt:variant>
        <vt:i4>0</vt:i4>
      </vt:variant>
      <vt:variant>
        <vt:i4>5</vt:i4>
      </vt:variant>
      <vt:variant>
        <vt:lpwstr>http://www.cidh.org/relatoria/section/asesinato de periodistas ingles.pdf</vt:lpwstr>
      </vt:variant>
      <vt:variant>
        <vt:lpwstr/>
      </vt:variant>
      <vt:variant>
        <vt:i4>4521992</vt:i4>
      </vt:variant>
      <vt:variant>
        <vt:i4>21</vt:i4>
      </vt:variant>
      <vt:variant>
        <vt:i4>0</vt:i4>
      </vt:variant>
      <vt:variant>
        <vt:i4>5</vt:i4>
      </vt:variant>
      <vt:variant>
        <vt:lpwstr>http://www.oas.org/en/iachr/expression/docs/reports/annual/2014_04_22_ IA_2013_ENG _FINALweb.pdf</vt:lpwstr>
      </vt:variant>
      <vt:variant>
        <vt:lpwstr/>
      </vt:variant>
      <vt:variant>
        <vt:i4>1179741</vt:i4>
      </vt:variant>
      <vt:variant>
        <vt:i4>18</vt:i4>
      </vt:variant>
      <vt:variant>
        <vt:i4>0</vt:i4>
      </vt:variant>
      <vt:variant>
        <vt:i4>5</vt:i4>
      </vt:variant>
      <vt:variant>
        <vt:lpwstr>http://cidh.org/relatoria/ShowDocument.asp?DocumentID=153</vt:lpwstr>
      </vt:variant>
      <vt:variant>
        <vt:lpwstr/>
      </vt:variant>
      <vt:variant>
        <vt:i4>1179741</vt:i4>
      </vt:variant>
      <vt:variant>
        <vt:i4>15</vt:i4>
      </vt:variant>
      <vt:variant>
        <vt:i4>0</vt:i4>
      </vt:variant>
      <vt:variant>
        <vt:i4>5</vt:i4>
      </vt:variant>
      <vt:variant>
        <vt:lpwstr>http://cidh.org/relatoria/ShowDocument.asp?DocumentID=153</vt:lpwstr>
      </vt:variant>
      <vt:variant>
        <vt:lpwstr/>
      </vt:variant>
      <vt:variant>
        <vt:i4>1179741</vt:i4>
      </vt:variant>
      <vt:variant>
        <vt:i4>12</vt:i4>
      </vt:variant>
      <vt:variant>
        <vt:i4>0</vt:i4>
      </vt:variant>
      <vt:variant>
        <vt:i4>5</vt:i4>
      </vt:variant>
      <vt:variant>
        <vt:lpwstr>http://cidh.org/relatoria/ShowDocument.asp?DocumentID=153</vt:lpwstr>
      </vt:variant>
      <vt:variant>
        <vt:lpwstr/>
      </vt:variant>
      <vt:variant>
        <vt:i4>1179741</vt:i4>
      </vt:variant>
      <vt:variant>
        <vt:i4>9</vt:i4>
      </vt:variant>
      <vt:variant>
        <vt:i4>0</vt:i4>
      </vt:variant>
      <vt:variant>
        <vt:i4>5</vt:i4>
      </vt:variant>
      <vt:variant>
        <vt:lpwstr>http://cidh.org/relatoria/ShowDocument.asp?DocumentID=153</vt:lpwstr>
      </vt:variant>
      <vt:variant>
        <vt:lpwstr/>
      </vt:variant>
      <vt:variant>
        <vt:i4>5570565</vt:i4>
      </vt:variant>
      <vt:variant>
        <vt:i4>6</vt:i4>
      </vt:variant>
      <vt:variant>
        <vt:i4>0</vt:i4>
      </vt:variant>
      <vt:variant>
        <vt:i4>5</vt:i4>
      </vt:variant>
      <vt:variant>
        <vt:lpwstr>http://www.eltiempo.com/archivo/documento/MAM-2483980</vt:lpwstr>
      </vt:variant>
      <vt:variant>
        <vt:lpwstr/>
      </vt:variant>
      <vt:variant>
        <vt:i4>6357010</vt:i4>
      </vt:variant>
      <vt:variant>
        <vt:i4>3</vt:i4>
      </vt:variant>
      <vt:variant>
        <vt:i4>0</vt:i4>
      </vt:variant>
      <vt:variant>
        <vt:i4>5</vt:i4>
      </vt:variant>
      <vt:variant>
        <vt:lpwstr>ftp://ftp.camara.gov.co/camara/basedoc/codigo/codigo_procedimiento_penal_1991.html</vt:lpwstr>
      </vt:variant>
      <vt:variant>
        <vt:lpwstr/>
      </vt:variant>
      <vt:variant>
        <vt:i4>1769541</vt:i4>
      </vt:variant>
      <vt:variant>
        <vt:i4>0</vt:i4>
      </vt:variant>
      <vt:variant>
        <vt:i4>0</vt:i4>
      </vt:variant>
      <vt:variant>
        <vt:i4>5</vt:i4>
      </vt:variant>
      <vt:variant>
        <vt:lpwstr>ftp://ftp.camara.gov.co/camara/basedoc/codigo/codigo_penal_1980.html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%username%</cp:lastModifiedBy>
  <cp:revision>5</cp:revision>
  <cp:lastPrinted>2015-04-10T19:25:00Z</cp:lastPrinted>
  <dcterms:created xsi:type="dcterms:W3CDTF">2015-04-23T20:58:00Z</dcterms:created>
  <dcterms:modified xsi:type="dcterms:W3CDTF">2015-04-23T21:01:00Z</dcterms:modified>
</cp:coreProperties>
</file>