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AB31D" w14:textId="6E4DD05E" w:rsidR="00040C3A" w:rsidRPr="00420489" w:rsidRDefault="00F30897" w:rsidP="00627C9F">
      <w:pPr>
        <w:jc w:val="both"/>
        <w:rPr>
          <w:rFonts w:asciiTheme="majorHAnsi" w:hAnsiTheme="majorHAnsi" w:cs="Univers"/>
          <w:b/>
          <w:bCs/>
          <w:sz w:val="20"/>
          <w:szCs w:val="20"/>
          <w:lang w:val="es-ES_tradnl"/>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6C85927C" wp14:editId="0EB5F565">
                <wp:simplePos x="0" y="0"/>
                <wp:positionH relativeFrom="column">
                  <wp:posOffset>-188925</wp:posOffset>
                </wp:positionH>
                <wp:positionV relativeFrom="paragraph">
                  <wp:posOffset>-401955</wp:posOffset>
                </wp:positionV>
                <wp:extent cx="1409700" cy="8977630"/>
                <wp:effectExtent l="0" t="0" r="0" b="0"/>
                <wp:wrapNone/>
                <wp:docPr id="12" name="Rectangle 12"/>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w="25400" cap="flat" cmpd="sng" algn="ctr">
                          <a:noFill/>
                          <a:prstDash val="solid"/>
                        </a:ln>
                        <a:effectLst/>
                      </wps:spPr>
                      <wps:txbx>
                        <w:txbxContent>
                          <w:p w14:paraId="21F3E249" w14:textId="77777777" w:rsidR="00F30897" w:rsidRDefault="00F30897" w:rsidP="00F30897">
                            <w:pPr>
                              <w:pBdr>
                                <w:top w:val="nil"/>
                              </w:pBdr>
                              <w:jc w:val="center"/>
                              <w:rPr>
                                <w:rFonts w:asciiTheme="minorHAnsi" w:hAnsiTheme="minorHAnsi"/>
                                <w:b/>
                                <w:color w:val="FFFFFF" w:themeColor="background1"/>
                                <w:lang w:val="pt-BR"/>
                              </w:rPr>
                            </w:pPr>
                          </w:p>
                          <w:p w14:paraId="243CDC6B" w14:textId="77777777" w:rsidR="00F30897" w:rsidRDefault="00F30897" w:rsidP="00F30897">
                            <w:pPr>
                              <w:pBdr>
                                <w:top w:val="nil"/>
                              </w:pBdr>
                              <w:jc w:val="center"/>
                              <w:rPr>
                                <w:rFonts w:asciiTheme="minorHAnsi" w:hAnsiTheme="minorHAnsi"/>
                                <w:b/>
                                <w:color w:val="FFFFFF" w:themeColor="background1"/>
                                <w:lang w:val="pt-BR"/>
                              </w:rPr>
                            </w:pPr>
                          </w:p>
                          <w:p w14:paraId="4DE0BCCD" w14:textId="77777777" w:rsidR="00F30897" w:rsidRDefault="00F30897" w:rsidP="00F30897">
                            <w:pPr>
                              <w:pBdr>
                                <w:top w:val="nil"/>
                              </w:pBdr>
                              <w:jc w:val="center"/>
                              <w:rPr>
                                <w:rFonts w:asciiTheme="minorHAnsi" w:hAnsiTheme="minorHAnsi"/>
                                <w:b/>
                                <w:color w:val="FFFFFF" w:themeColor="background1"/>
                                <w:lang w:val="pt-BR"/>
                              </w:rPr>
                            </w:pPr>
                          </w:p>
                          <w:p w14:paraId="41B7ECB3" w14:textId="77777777" w:rsidR="00F30897" w:rsidRDefault="00F30897" w:rsidP="00F30897">
                            <w:pPr>
                              <w:pBdr>
                                <w:top w:val="nil"/>
                              </w:pBdr>
                              <w:jc w:val="center"/>
                              <w:rPr>
                                <w:rFonts w:asciiTheme="minorHAnsi" w:hAnsiTheme="minorHAnsi"/>
                                <w:b/>
                                <w:color w:val="FFFFFF" w:themeColor="background1"/>
                                <w:lang w:val="pt-BR"/>
                              </w:rPr>
                            </w:pPr>
                          </w:p>
                          <w:p w14:paraId="48005BE7" w14:textId="77777777" w:rsidR="00F30897" w:rsidRDefault="00F30897" w:rsidP="00F30897">
                            <w:pPr>
                              <w:pBdr>
                                <w:top w:val="nil"/>
                              </w:pBdr>
                              <w:jc w:val="center"/>
                              <w:rPr>
                                <w:rFonts w:asciiTheme="minorHAnsi" w:hAnsiTheme="minorHAnsi"/>
                                <w:b/>
                                <w:color w:val="FFFFFF" w:themeColor="background1"/>
                                <w:lang w:val="pt-BR"/>
                              </w:rPr>
                            </w:pPr>
                          </w:p>
                          <w:p w14:paraId="50D294B1" w14:textId="77777777" w:rsidR="00F30897" w:rsidRDefault="00F30897" w:rsidP="00F30897">
                            <w:pPr>
                              <w:pBdr>
                                <w:top w:val="nil"/>
                              </w:pBdr>
                              <w:jc w:val="center"/>
                              <w:rPr>
                                <w:rFonts w:asciiTheme="minorHAnsi" w:hAnsiTheme="minorHAnsi"/>
                                <w:b/>
                                <w:color w:val="FFFFFF" w:themeColor="background1"/>
                                <w:lang w:val="pt-BR"/>
                              </w:rPr>
                            </w:pPr>
                          </w:p>
                          <w:p w14:paraId="399F3A18" w14:textId="77777777" w:rsidR="00F30897" w:rsidRDefault="00F30897" w:rsidP="00F30897">
                            <w:pPr>
                              <w:pBdr>
                                <w:top w:val="nil"/>
                              </w:pBdr>
                              <w:jc w:val="center"/>
                              <w:rPr>
                                <w:rFonts w:asciiTheme="minorHAnsi" w:hAnsiTheme="minorHAnsi"/>
                                <w:b/>
                                <w:color w:val="FFFFFF" w:themeColor="background1"/>
                                <w:lang w:val="pt-BR"/>
                              </w:rPr>
                            </w:pPr>
                          </w:p>
                          <w:p w14:paraId="2C8484DC" w14:textId="77777777" w:rsidR="00F30897" w:rsidRDefault="00F30897" w:rsidP="00F30897">
                            <w:pPr>
                              <w:pBdr>
                                <w:top w:val="nil"/>
                              </w:pBdr>
                              <w:jc w:val="center"/>
                              <w:rPr>
                                <w:rFonts w:asciiTheme="minorHAnsi" w:hAnsiTheme="minorHAnsi"/>
                                <w:b/>
                                <w:color w:val="FFFFFF" w:themeColor="background1"/>
                                <w:lang w:val="pt-BR"/>
                              </w:rPr>
                            </w:pPr>
                          </w:p>
                          <w:p w14:paraId="72E9B31A" w14:textId="77777777" w:rsidR="00F30897" w:rsidRDefault="00F30897" w:rsidP="00F30897">
                            <w:pPr>
                              <w:pBdr>
                                <w:top w:val="nil"/>
                              </w:pBdr>
                              <w:jc w:val="center"/>
                              <w:rPr>
                                <w:rFonts w:asciiTheme="minorHAnsi" w:hAnsiTheme="minorHAnsi"/>
                                <w:b/>
                                <w:color w:val="FFFFFF" w:themeColor="background1"/>
                                <w:lang w:val="pt-BR"/>
                              </w:rPr>
                            </w:pPr>
                          </w:p>
                          <w:p w14:paraId="0A88DBB8" w14:textId="77777777" w:rsidR="00F30897" w:rsidRDefault="00F30897" w:rsidP="00F30897">
                            <w:pPr>
                              <w:pBdr>
                                <w:top w:val="nil"/>
                              </w:pBdr>
                              <w:jc w:val="center"/>
                              <w:rPr>
                                <w:rFonts w:asciiTheme="minorHAnsi" w:hAnsiTheme="minorHAnsi"/>
                                <w:b/>
                                <w:color w:val="FFFFFF" w:themeColor="background1"/>
                                <w:lang w:val="pt-BR"/>
                              </w:rPr>
                            </w:pPr>
                          </w:p>
                          <w:p w14:paraId="3F61CB48" w14:textId="77777777" w:rsidR="00F30897" w:rsidRDefault="00F30897" w:rsidP="00F30897">
                            <w:pPr>
                              <w:pBdr>
                                <w:top w:val="nil"/>
                              </w:pBdr>
                              <w:jc w:val="center"/>
                              <w:rPr>
                                <w:rFonts w:asciiTheme="minorHAnsi" w:hAnsiTheme="minorHAnsi"/>
                                <w:b/>
                                <w:color w:val="FFFFFF" w:themeColor="background1"/>
                                <w:lang w:val="pt-BR"/>
                              </w:rPr>
                            </w:pPr>
                          </w:p>
                          <w:p w14:paraId="543289A3" w14:textId="77777777" w:rsidR="00F30897" w:rsidRPr="0094120E" w:rsidRDefault="00F30897" w:rsidP="00F30897">
                            <w:pPr>
                              <w:pBdr>
                                <w:top w:val="nil"/>
                              </w:pBd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OEA/Ser.L/V/II.156</w:t>
                            </w:r>
                          </w:p>
                          <w:p w14:paraId="31D70948" w14:textId="77777777" w:rsidR="00F30897" w:rsidRPr="0094120E" w:rsidRDefault="00F30897" w:rsidP="00F30897">
                            <w:pPr>
                              <w:pBdr>
                                <w:top w:val="nil"/>
                              </w:pBd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21</w:t>
                            </w:r>
                          </w:p>
                          <w:p w14:paraId="218BEB8C" w14:textId="77777777" w:rsidR="00F30897" w:rsidRPr="00B06C1C" w:rsidRDefault="00F30897" w:rsidP="00F30897">
                            <w:pPr>
                              <w:pBdr>
                                <w:top w:val="nil"/>
                              </w:pBd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28 October</w:t>
                            </w:r>
                            <w:r w:rsidRPr="00B06C1C">
                              <w:rPr>
                                <w:rFonts w:asciiTheme="minorHAnsi" w:hAnsiTheme="minorHAnsi"/>
                                <w:color w:val="FFFFFF" w:themeColor="background1"/>
                                <w:sz w:val="22"/>
                                <w:lang w:val="pt-BR"/>
                              </w:rPr>
                              <w:t xml:space="preserve"> 201</w:t>
                            </w:r>
                            <w:r>
                              <w:rPr>
                                <w:rFonts w:asciiTheme="minorHAnsi" w:hAnsiTheme="minorHAnsi"/>
                                <w:color w:val="FFFFFF" w:themeColor="background1"/>
                                <w:sz w:val="22"/>
                                <w:lang w:val="pt-BR"/>
                              </w:rPr>
                              <w:t>5</w:t>
                            </w:r>
                          </w:p>
                          <w:p w14:paraId="0FD80BEA" w14:textId="77777777" w:rsidR="00F30897" w:rsidRPr="005B29D4" w:rsidRDefault="00F30897" w:rsidP="00F30897">
                            <w:pPr>
                              <w:pBdr>
                                <w:top w:val="nil"/>
                              </w:pBd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Original: S</w:t>
                            </w:r>
                            <w:r w:rsidRPr="005B29D4">
                              <w:rPr>
                                <w:rFonts w:asciiTheme="minorHAnsi" w:hAnsiTheme="minorHAnsi"/>
                                <w:color w:val="FFFFFF" w:themeColor="background1"/>
                                <w:sz w:val="22"/>
                              </w:rPr>
                              <w:t>panish</w:t>
                            </w:r>
                          </w:p>
                          <w:p w14:paraId="25C04DCB" w14:textId="77777777" w:rsidR="00F30897" w:rsidRDefault="00F30897" w:rsidP="00F30897">
                            <w:pPr>
                              <w:pBdr>
                                <w:top w:val="nil"/>
                              </w:pBdr>
                              <w:jc w:val="center"/>
                              <w:rPr>
                                <w:rFonts w:asciiTheme="minorHAnsi" w:hAnsiTheme="minorHAnsi"/>
                                <w:b/>
                                <w:color w:val="FFFFFF" w:themeColor="background1"/>
                                <w:lang w:val="pt-BR"/>
                              </w:rPr>
                            </w:pPr>
                          </w:p>
                          <w:p w14:paraId="5D7526E8" w14:textId="77777777" w:rsidR="00F30897" w:rsidRDefault="00F30897" w:rsidP="00F30897">
                            <w:pPr>
                              <w:pBdr>
                                <w:top w:val="nil"/>
                              </w:pBdr>
                              <w:jc w:val="center"/>
                              <w:rPr>
                                <w:rFonts w:asciiTheme="minorHAnsi" w:hAnsiTheme="minorHAnsi"/>
                                <w:b/>
                                <w:color w:val="FFFFFF" w:themeColor="background1"/>
                                <w:lang w:val="pt-BR"/>
                              </w:rPr>
                            </w:pPr>
                          </w:p>
                          <w:p w14:paraId="72627B07" w14:textId="77777777" w:rsidR="00F30897" w:rsidRDefault="00F30897" w:rsidP="00F30897">
                            <w:pPr>
                              <w:pBdr>
                                <w:top w:val="nil"/>
                              </w:pBdr>
                              <w:jc w:val="center"/>
                              <w:rPr>
                                <w:rFonts w:asciiTheme="minorHAnsi" w:hAnsiTheme="minorHAnsi"/>
                                <w:b/>
                                <w:color w:val="FFFFFF" w:themeColor="background1"/>
                                <w:lang w:val="pt-BR"/>
                              </w:rPr>
                            </w:pPr>
                          </w:p>
                          <w:p w14:paraId="4716B933" w14:textId="77777777" w:rsidR="00F30897" w:rsidRDefault="00F30897" w:rsidP="00F30897">
                            <w:pPr>
                              <w:pBdr>
                                <w:top w:val="nil"/>
                              </w:pBdr>
                              <w:jc w:val="center"/>
                              <w:rPr>
                                <w:rFonts w:asciiTheme="minorHAnsi" w:hAnsiTheme="minorHAnsi"/>
                                <w:b/>
                                <w:color w:val="FFFFFF" w:themeColor="background1"/>
                                <w:lang w:val="pt-BR"/>
                              </w:rPr>
                            </w:pPr>
                          </w:p>
                          <w:p w14:paraId="4DCBA488" w14:textId="77777777" w:rsidR="00F30897" w:rsidRDefault="00F30897" w:rsidP="00F30897">
                            <w:pPr>
                              <w:pBdr>
                                <w:top w:val="nil"/>
                              </w:pBdr>
                              <w:jc w:val="center"/>
                              <w:rPr>
                                <w:rFonts w:asciiTheme="minorHAnsi" w:hAnsiTheme="minorHAnsi"/>
                                <w:b/>
                                <w:color w:val="FFFFFF" w:themeColor="background1"/>
                                <w:lang w:val="pt-BR"/>
                              </w:rPr>
                            </w:pPr>
                          </w:p>
                          <w:p w14:paraId="1873C86E" w14:textId="77777777" w:rsidR="00F30897" w:rsidRDefault="00F30897" w:rsidP="00F30897">
                            <w:pPr>
                              <w:pBdr>
                                <w:top w:val="nil"/>
                              </w:pBdr>
                              <w:jc w:val="center"/>
                              <w:rPr>
                                <w:rFonts w:asciiTheme="minorHAnsi" w:hAnsiTheme="minorHAnsi"/>
                                <w:b/>
                                <w:color w:val="FFFFFF" w:themeColor="background1"/>
                                <w:lang w:val="pt-BR"/>
                              </w:rPr>
                            </w:pPr>
                          </w:p>
                          <w:p w14:paraId="2CDCE154" w14:textId="77777777" w:rsidR="00F30897" w:rsidRDefault="00F30897" w:rsidP="00F30897">
                            <w:pPr>
                              <w:pBdr>
                                <w:top w:val="nil"/>
                              </w:pBdr>
                              <w:jc w:val="center"/>
                              <w:rPr>
                                <w:rFonts w:asciiTheme="minorHAnsi" w:hAnsiTheme="minorHAnsi"/>
                                <w:b/>
                                <w:color w:val="FFFFFF" w:themeColor="background1"/>
                                <w:lang w:val="pt-BR"/>
                              </w:rPr>
                            </w:pPr>
                          </w:p>
                          <w:p w14:paraId="30BD244A" w14:textId="77777777" w:rsidR="00F30897" w:rsidRDefault="00F30897" w:rsidP="00F30897">
                            <w:pPr>
                              <w:pBdr>
                                <w:top w:val="nil"/>
                              </w:pBdr>
                              <w:jc w:val="center"/>
                              <w:rPr>
                                <w:rFonts w:asciiTheme="minorHAnsi" w:hAnsiTheme="minorHAnsi"/>
                                <w:b/>
                                <w:color w:val="FFFFFF" w:themeColor="background1"/>
                                <w:lang w:val="pt-BR"/>
                              </w:rPr>
                            </w:pPr>
                          </w:p>
                          <w:p w14:paraId="6325FD61" w14:textId="77777777" w:rsidR="00F30897" w:rsidRDefault="00F30897" w:rsidP="00F30897">
                            <w:pPr>
                              <w:pBdr>
                                <w:top w:val="nil"/>
                              </w:pBdr>
                              <w:jc w:val="center"/>
                              <w:rPr>
                                <w:rFonts w:asciiTheme="minorHAnsi" w:hAnsiTheme="minorHAnsi"/>
                                <w:b/>
                                <w:color w:val="FFFFFF" w:themeColor="background1"/>
                                <w:lang w:val="pt-BR"/>
                              </w:rPr>
                            </w:pPr>
                          </w:p>
                          <w:p w14:paraId="43764B8E" w14:textId="77777777" w:rsidR="00F30897" w:rsidRDefault="00F30897" w:rsidP="00F30897">
                            <w:pPr>
                              <w:pBdr>
                                <w:top w:val="nil"/>
                              </w:pBdr>
                              <w:jc w:val="center"/>
                              <w:rPr>
                                <w:rFonts w:asciiTheme="minorHAnsi" w:hAnsiTheme="minorHAnsi"/>
                                <w:b/>
                                <w:color w:val="FFFFFF" w:themeColor="background1"/>
                                <w:lang w:val="pt-BR"/>
                              </w:rPr>
                            </w:pPr>
                          </w:p>
                          <w:p w14:paraId="2C3D4DD8" w14:textId="77777777" w:rsidR="00F30897" w:rsidRDefault="00F30897" w:rsidP="00F30897">
                            <w:pPr>
                              <w:pBdr>
                                <w:top w:val="nil"/>
                              </w:pBdr>
                              <w:jc w:val="center"/>
                              <w:rPr>
                                <w:rFonts w:asciiTheme="minorHAnsi" w:hAnsiTheme="minorHAnsi"/>
                                <w:b/>
                                <w:color w:val="FFFFFF" w:themeColor="background1"/>
                                <w:lang w:val="pt-BR"/>
                              </w:rPr>
                            </w:pPr>
                          </w:p>
                          <w:p w14:paraId="46E02758" w14:textId="77777777" w:rsidR="00F30897" w:rsidRDefault="00F30897" w:rsidP="00F30897">
                            <w:pPr>
                              <w:pBdr>
                                <w:top w:val="nil"/>
                              </w:pBdr>
                              <w:jc w:val="center"/>
                              <w:rPr>
                                <w:rFonts w:asciiTheme="minorHAnsi" w:hAnsiTheme="minorHAnsi"/>
                                <w:b/>
                                <w:color w:val="FFFFFF" w:themeColor="background1"/>
                                <w:lang w:val="pt-BR"/>
                              </w:rPr>
                            </w:pPr>
                          </w:p>
                          <w:p w14:paraId="20522693" w14:textId="77777777" w:rsidR="00F30897" w:rsidRDefault="00F30897" w:rsidP="00F30897">
                            <w:pPr>
                              <w:pBdr>
                                <w:top w:val="nil"/>
                              </w:pBdr>
                              <w:jc w:val="center"/>
                              <w:rPr>
                                <w:rFonts w:asciiTheme="minorHAnsi" w:hAnsiTheme="minorHAnsi"/>
                                <w:b/>
                                <w:color w:val="FFFFFF" w:themeColor="background1"/>
                                <w:lang w:val="pt-BR"/>
                              </w:rPr>
                            </w:pPr>
                          </w:p>
                          <w:p w14:paraId="0A9E9372" w14:textId="77777777" w:rsidR="00F30897" w:rsidRDefault="00F30897" w:rsidP="00F30897">
                            <w:pPr>
                              <w:pBdr>
                                <w:top w:val="nil"/>
                              </w:pBdr>
                              <w:jc w:val="center"/>
                              <w:rPr>
                                <w:rFonts w:asciiTheme="minorHAnsi" w:hAnsiTheme="minorHAnsi"/>
                                <w:b/>
                                <w:color w:val="FFFFFF" w:themeColor="background1"/>
                                <w:lang w:val="pt-BR"/>
                              </w:rPr>
                            </w:pPr>
                          </w:p>
                          <w:p w14:paraId="008B3F2E" w14:textId="77777777" w:rsidR="00F30897" w:rsidRDefault="00F30897" w:rsidP="00F30897">
                            <w:pPr>
                              <w:pBdr>
                                <w:top w:val="nil"/>
                              </w:pBdr>
                              <w:jc w:val="center"/>
                              <w:rPr>
                                <w:rFonts w:asciiTheme="minorHAnsi" w:hAnsiTheme="minorHAnsi"/>
                                <w:b/>
                                <w:color w:val="FFFFFF" w:themeColor="background1"/>
                                <w:lang w:val="pt-BR"/>
                              </w:rPr>
                            </w:pPr>
                          </w:p>
                          <w:p w14:paraId="7903751D" w14:textId="77777777" w:rsidR="00F30897" w:rsidRDefault="00F30897" w:rsidP="00F30897">
                            <w:pPr>
                              <w:pBdr>
                                <w:top w:val="nil"/>
                              </w:pBdr>
                              <w:jc w:val="center"/>
                              <w:rPr>
                                <w:rFonts w:asciiTheme="minorHAnsi" w:hAnsiTheme="minorHAnsi"/>
                                <w:b/>
                                <w:color w:val="FFFFFF" w:themeColor="background1"/>
                                <w:lang w:val="pt-BR"/>
                              </w:rPr>
                            </w:pPr>
                          </w:p>
                          <w:p w14:paraId="14B0DC97" w14:textId="77777777" w:rsidR="00F30897" w:rsidRDefault="00F30897" w:rsidP="00F30897">
                            <w:pPr>
                              <w:pBdr>
                                <w:top w:val="nil"/>
                              </w:pBdr>
                              <w:jc w:val="center"/>
                              <w:rPr>
                                <w:rFonts w:asciiTheme="minorHAnsi" w:hAnsiTheme="minorHAnsi"/>
                                <w:b/>
                                <w:color w:val="FFFFFF" w:themeColor="background1"/>
                                <w:lang w:val="pt-BR"/>
                              </w:rPr>
                            </w:pPr>
                          </w:p>
                          <w:p w14:paraId="600B4008" w14:textId="77777777" w:rsidR="00F30897" w:rsidRDefault="00F30897" w:rsidP="00F30897">
                            <w:pPr>
                              <w:pBdr>
                                <w:top w:val="nil"/>
                              </w:pBdr>
                              <w:jc w:val="center"/>
                              <w:rPr>
                                <w:rFonts w:asciiTheme="minorHAnsi" w:hAnsiTheme="minorHAnsi"/>
                                <w:b/>
                                <w:color w:val="FFFFFF" w:themeColor="background1"/>
                                <w:lang w:val="pt-BR"/>
                              </w:rPr>
                            </w:pPr>
                          </w:p>
                          <w:p w14:paraId="2AA44F12" w14:textId="77777777" w:rsidR="00F30897" w:rsidRDefault="00F30897" w:rsidP="00F30897">
                            <w:pPr>
                              <w:pBdr>
                                <w:top w:val="nil"/>
                              </w:pBdr>
                              <w:jc w:val="center"/>
                              <w:rPr>
                                <w:rFonts w:asciiTheme="minorHAnsi" w:hAnsiTheme="minorHAnsi"/>
                                <w:b/>
                                <w:color w:val="FFFFFF" w:themeColor="background1"/>
                                <w:lang w:val="pt-BR"/>
                              </w:rPr>
                            </w:pPr>
                          </w:p>
                          <w:p w14:paraId="7C7A290C" w14:textId="77777777" w:rsidR="00F30897" w:rsidRDefault="00F30897" w:rsidP="00F30897">
                            <w:pPr>
                              <w:pBdr>
                                <w:top w:val="nil"/>
                              </w:pBdr>
                              <w:jc w:val="center"/>
                              <w:rPr>
                                <w:rFonts w:asciiTheme="minorHAnsi" w:hAnsiTheme="minorHAnsi"/>
                                <w:b/>
                                <w:color w:val="FFFFFF" w:themeColor="background1"/>
                                <w:lang w:val="pt-BR"/>
                              </w:rPr>
                            </w:pPr>
                          </w:p>
                          <w:p w14:paraId="7585A472" w14:textId="77777777" w:rsidR="00F30897" w:rsidRDefault="00F30897" w:rsidP="00F30897">
                            <w:pPr>
                              <w:pBdr>
                                <w:top w:val="nil"/>
                              </w:pBdr>
                              <w:jc w:val="center"/>
                              <w:rPr>
                                <w:rFonts w:asciiTheme="minorHAnsi" w:hAnsiTheme="minorHAnsi"/>
                                <w:b/>
                                <w:color w:val="FFFFFF" w:themeColor="background1"/>
                                <w:lang w:val="pt-BR"/>
                              </w:rPr>
                            </w:pPr>
                          </w:p>
                          <w:p w14:paraId="2302A99E" w14:textId="77777777" w:rsidR="00F30897" w:rsidRDefault="00F30897" w:rsidP="00F30897">
                            <w:pPr>
                              <w:pBdr>
                                <w:top w:val="nil"/>
                              </w:pBdr>
                              <w:jc w:val="center"/>
                              <w:rPr>
                                <w:rFonts w:asciiTheme="minorHAnsi" w:hAnsiTheme="minorHAnsi"/>
                                <w:b/>
                                <w:color w:val="FFFFFF" w:themeColor="background1"/>
                                <w:lang w:val="pt-BR"/>
                              </w:rPr>
                            </w:pPr>
                          </w:p>
                          <w:p w14:paraId="3831E425" w14:textId="77777777" w:rsidR="00F30897" w:rsidRDefault="00F30897" w:rsidP="00F30897">
                            <w:pPr>
                              <w:pBdr>
                                <w:top w:val="nil"/>
                              </w:pBdr>
                              <w:jc w:val="center"/>
                              <w:rPr>
                                <w:rFonts w:asciiTheme="minorHAnsi" w:hAnsiTheme="minorHAnsi"/>
                                <w:b/>
                                <w:color w:val="FFFFFF" w:themeColor="background1"/>
                                <w:lang w:val="pt-BR"/>
                              </w:rPr>
                            </w:pPr>
                          </w:p>
                          <w:p w14:paraId="6D0A3FCC" w14:textId="77777777" w:rsidR="00F30897" w:rsidRDefault="00F30897" w:rsidP="00F30897">
                            <w:pPr>
                              <w:pBdr>
                                <w:top w:val="nil"/>
                              </w:pBdr>
                              <w:jc w:val="center"/>
                              <w:rPr>
                                <w:rFonts w:asciiTheme="minorHAnsi" w:hAnsiTheme="minorHAnsi"/>
                                <w:b/>
                                <w:color w:val="FFFFFF" w:themeColor="background1"/>
                                <w:lang w:val="pt-BR"/>
                              </w:rPr>
                            </w:pPr>
                          </w:p>
                          <w:p w14:paraId="3D3E6594" w14:textId="77777777" w:rsidR="00F30897" w:rsidRDefault="00F30897" w:rsidP="00F30897">
                            <w:pPr>
                              <w:pBdr>
                                <w:top w:val="nil"/>
                              </w:pBdr>
                              <w:jc w:val="center"/>
                              <w:rPr>
                                <w:rFonts w:asciiTheme="minorHAnsi" w:hAnsiTheme="minorHAnsi"/>
                                <w:b/>
                                <w:color w:val="FFFFFF" w:themeColor="background1"/>
                                <w:lang w:val="pt-BR"/>
                              </w:rPr>
                            </w:pPr>
                          </w:p>
                          <w:p w14:paraId="1DCBAAF8" w14:textId="77777777" w:rsidR="00F30897" w:rsidRDefault="00F30897" w:rsidP="00F30897">
                            <w:pPr>
                              <w:pBdr>
                                <w:top w:val="nil"/>
                              </w:pBdr>
                              <w:jc w:val="center"/>
                              <w:rPr>
                                <w:rFonts w:asciiTheme="minorHAnsi" w:hAnsiTheme="minorHAnsi"/>
                                <w:b/>
                                <w:color w:val="FFFFFF" w:themeColor="background1"/>
                                <w:lang w:val="pt-BR"/>
                              </w:rPr>
                            </w:pPr>
                          </w:p>
                          <w:p w14:paraId="296ABB85" w14:textId="77777777" w:rsidR="00F30897" w:rsidRDefault="00F30897" w:rsidP="00F30897">
                            <w:pPr>
                              <w:pBdr>
                                <w:top w:val="nil"/>
                              </w:pBdr>
                              <w:jc w:val="center"/>
                              <w:rPr>
                                <w:rFonts w:asciiTheme="minorHAnsi" w:hAnsiTheme="minorHAnsi"/>
                                <w:b/>
                                <w:color w:val="FFFFFF" w:themeColor="background1"/>
                                <w:lang w:val="pt-BR"/>
                              </w:rPr>
                            </w:pPr>
                          </w:p>
                          <w:p w14:paraId="7EA8A578" w14:textId="77777777" w:rsidR="00F30897" w:rsidRDefault="00F30897" w:rsidP="00F30897">
                            <w:pPr>
                              <w:pBdr>
                                <w:top w:val="nil"/>
                              </w:pBdr>
                              <w:jc w:val="center"/>
                              <w:rPr>
                                <w:rFonts w:asciiTheme="minorHAnsi" w:hAnsiTheme="minorHAnsi"/>
                                <w:b/>
                                <w:color w:val="FFFFFF" w:themeColor="background1"/>
                                <w:lang w:val="pt-BR"/>
                              </w:rPr>
                            </w:pPr>
                          </w:p>
                          <w:p w14:paraId="26E0E9BA" w14:textId="77777777" w:rsidR="00F30897" w:rsidRDefault="00F30897" w:rsidP="00F30897">
                            <w:pPr>
                              <w:pBdr>
                                <w:top w:val="nil"/>
                              </w:pBdr>
                              <w:jc w:val="center"/>
                              <w:rPr>
                                <w:rFonts w:asciiTheme="minorHAnsi" w:hAnsiTheme="minorHAnsi"/>
                                <w:b/>
                                <w:color w:val="FFFFFF" w:themeColor="background1"/>
                                <w:lang w:val="pt-BR"/>
                              </w:rPr>
                            </w:pPr>
                          </w:p>
                          <w:p w14:paraId="1D73453C" w14:textId="77777777" w:rsidR="00F30897" w:rsidRDefault="00F30897" w:rsidP="00F30897">
                            <w:pPr>
                              <w:pBdr>
                                <w:top w:val="nil"/>
                              </w:pBdr>
                              <w:jc w:val="center"/>
                              <w:rPr>
                                <w:rFonts w:asciiTheme="minorHAnsi" w:hAnsiTheme="minorHAnsi"/>
                                <w:b/>
                                <w:color w:val="FFFFFF" w:themeColor="background1"/>
                                <w:lang w:val="pt-BR"/>
                              </w:rPr>
                            </w:pPr>
                          </w:p>
                          <w:p w14:paraId="6A33DF45" w14:textId="77777777" w:rsidR="00F30897" w:rsidRDefault="00F30897" w:rsidP="00F30897">
                            <w:pPr>
                              <w:pBdr>
                                <w:top w:val="nil"/>
                              </w:pBdr>
                              <w:jc w:val="center"/>
                              <w:rPr>
                                <w:rFonts w:asciiTheme="minorHAnsi" w:hAnsiTheme="minorHAnsi"/>
                                <w:b/>
                                <w:color w:val="FFFFFF" w:themeColor="background1"/>
                                <w:lang w:val="pt-BR"/>
                              </w:rPr>
                            </w:pPr>
                          </w:p>
                          <w:p w14:paraId="6309370D" w14:textId="77777777" w:rsidR="00F30897" w:rsidRDefault="00F30897" w:rsidP="00F30897">
                            <w:pPr>
                              <w:pBdr>
                                <w:top w:val="nil"/>
                              </w:pBdr>
                              <w:jc w:val="center"/>
                              <w:rPr>
                                <w:rFonts w:asciiTheme="minorHAnsi" w:hAnsiTheme="minorHAnsi"/>
                                <w:b/>
                                <w:color w:val="FFFFFF" w:themeColor="background1"/>
                                <w:lang w:val="pt-BR"/>
                              </w:rPr>
                            </w:pPr>
                          </w:p>
                          <w:p w14:paraId="7391D785" w14:textId="77777777" w:rsidR="00F30897" w:rsidRDefault="00F30897" w:rsidP="00F30897">
                            <w:pPr>
                              <w:pBdr>
                                <w:top w:val="nil"/>
                              </w:pBdr>
                              <w:jc w:val="center"/>
                              <w:rPr>
                                <w:rFonts w:asciiTheme="minorHAnsi" w:hAnsiTheme="minorHAnsi"/>
                                <w:b/>
                                <w:color w:val="FFFFFF" w:themeColor="background1"/>
                                <w:lang w:val="pt-BR"/>
                              </w:rPr>
                            </w:pPr>
                          </w:p>
                          <w:p w14:paraId="3D05F570" w14:textId="77777777" w:rsidR="00F30897" w:rsidRDefault="00F30897" w:rsidP="00F30897">
                            <w:pPr>
                              <w:pBdr>
                                <w:top w:val="nil"/>
                              </w:pBdr>
                              <w:jc w:val="center"/>
                              <w:rPr>
                                <w:rFonts w:asciiTheme="minorHAnsi" w:hAnsiTheme="minorHAnsi"/>
                                <w:b/>
                                <w:color w:val="FFFFFF" w:themeColor="background1"/>
                                <w:lang w:val="pt-BR"/>
                              </w:rPr>
                            </w:pPr>
                          </w:p>
                          <w:p w14:paraId="28A5A7B9" w14:textId="77777777" w:rsidR="00F30897" w:rsidRDefault="00F30897" w:rsidP="00F30897">
                            <w:pPr>
                              <w:pBdr>
                                <w:top w:val="nil"/>
                              </w:pBdr>
                              <w:jc w:val="center"/>
                              <w:rPr>
                                <w:rFonts w:asciiTheme="minorHAnsi" w:hAnsiTheme="minorHAnsi"/>
                                <w:b/>
                                <w:color w:val="FFFFFF" w:themeColor="background1"/>
                                <w:lang w:val="pt-BR"/>
                              </w:rPr>
                            </w:pPr>
                          </w:p>
                          <w:p w14:paraId="591551E7" w14:textId="77777777" w:rsidR="00F30897" w:rsidRPr="004B7EB6" w:rsidRDefault="00F30897" w:rsidP="00F30897">
                            <w:pPr>
                              <w:pBdr>
                                <w:top w:val="nil"/>
                              </w:pBd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p w14:paraId="5266FEA7" w14:textId="77777777" w:rsidR="00F30897" w:rsidRDefault="00F30897" w:rsidP="00F30897">
                            <w:pPr>
                              <w:pBdr>
                                <w:top w:val="nil"/>
                              </w:pBd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left:0;text-align:left;margin-left:-14.9pt;margin-top:-31.65pt;width:111pt;height:70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2FaQIAAMYEAAAOAAAAZHJzL2Uyb0RvYy54bWysVE1PGzEQvVfqf7B8L5uEQCBig6JQqkoI&#10;UKHiPPF6PySv7dpOdumv77N3A5T2VPXizHhm5808v8nFZd8qtpfON0bnfHo04UxqYYpGVzn//nj9&#10;6YwzH0gXpIyWOX+Wnl+uPn646OxSzkxtVCEdQxHtl53NeR2CXWaZF7VsyR8ZKzWCpXEtBbiuygpH&#10;Haq3KptNJqdZZ1xhnRHSe9xeDUG+SvXLUopwV5ZeBqZyjt5COl06t/HMVhe0rBzZuhFjG/QPXbTU&#10;aIC+lLqiQGznmj9KtY1wxpsyHAnTZqYsGyHTDJhmOnk3zUNNVqZZQI63LzT5/1dW3O7vHWsKvN2M&#10;M00t3ugbWCNdKclwB4I665fIe7D3bvQ8zDhtX7o2/mIO1idSn19IlX1gApfT+eR8MQH3ArGz88Xi&#10;9DjRnr1+bp0PX6RpWTRy7oCfyKT9jQ+AROohJaJ5o5riulEqOa7abpRje8ILny7Wn483sWd88lua&#10;0qzL+exknjohKK1UFNBUazG71xVnpCpIWASXsLWJCKg0YF+RrweMVHaEUDrGZdLZ2Goka6AnWqHf&#10;9ondxYHIrSmewbgzgxS9FdcNpr4hH+7JQXtgCvsU7nCUyqBpM1qc1cb9/Nt9zIckEOWsg5Yx0I8d&#10;OcmZ+qohlvPpfB7Fn5z5yWIGx72NbN9G9K7dGJA5xeZakcyYH9TBLJ1pn7B264iKEGkB7IG60dmE&#10;YcewuEKu1ykNgrcUbvSDFbH4gdnH/omcHZ8+QDW35qB7Wr5TwJAbv9RmvQumbJI8ItMDr3j46GBZ&#10;kgTGxY7b+NZPWa9/P6tfAAAA//8DAFBLAwQUAAYACAAAACEAYO73muQAAAAMAQAADwAAAGRycy9k&#10;b3ducmV2LnhtbEyPS0/DMBCE70j8B2uRuKDWIVGrNMSpeBQJkDjQ9tDe3GRJIuJ1FDuP/nu2J7jN&#10;akYz36bryTRiwM7VlhTczwMQSLktaioV7HevsxiE85oK3VhCBWd0sM6ur1KdFHakLxy2vhRcQi7R&#10;Cirv20RKl1dotJvbFom9b9sZ7fnsSll0euRy08gwCJbS6Jp4odItPleY/2x7oyAeP57eh/Nn7N82&#10;d/uXzXQ49ger1O3N9PgAwuPk/8JwwWd0yJjpZHsqnGgUzMIVo3sWyygCcUmswhDEiUW0CBYgs1T+&#10;fyL7BQAA//8DAFBLAQItABQABgAIAAAAIQC2gziS/gAAAOEBAAATAAAAAAAAAAAAAAAAAAAAAABb&#10;Q29udGVudF9UeXBlc10ueG1sUEsBAi0AFAAGAAgAAAAhADj9If/WAAAAlAEAAAsAAAAAAAAAAAAA&#10;AAAALwEAAF9yZWxzLy5yZWxzUEsBAi0AFAAGAAgAAAAhAP96rYVpAgAAxgQAAA4AAAAAAAAAAAAA&#10;AAAALgIAAGRycy9lMm9Eb2MueG1sUEsBAi0AFAAGAAgAAAAhAGDu95rkAAAADAEAAA8AAAAAAAAA&#10;AAAAAAAAwwQAAGRycy9kb3ducmV2LnhtbFBLBQYAAAAABAAEAPMAAADUBQAAAAA=&#10;" fillcolor="#67ae3c" stroked="f" strokeweight="2pt">
                <v:textbox>
                  <w:txbxContent>
                    <w:p w14:paraId="21F3E249" w14:textId="77777777" w:rsidR="00F30897" w:rsidRDefault="00F30897" w:rsidP="00F30897">
                      <w:pPr>
                        <w:pBdr>
                          <w:top w:val="nil"/>
                        </w:pBdr>
                        <w:jc w:val="center"/>
                        <w:rPr>
                          <w:rFonts w:asciiTheme="minorHAnsi" w:hAnsiTheme="minorHAnsi"/>
                          <w:b/>
                          <w:color w:val="FFFFFF" w:themeColor="background1"/>
                          <w:lang w:val="pt-BR"/>
                        </w:rPr>
                      </w:pPr>
                    </w:p>
                    <w:p w14:paraId="243CDC6B" w14:textId="77777777" w:rsidR="00F30897" w:rsidRDefault="00F30897" w:rsidP="00F30897">
                      <w:pPr>
                        <w:pBdr>
                          <w:top w:val="nil"/>
                        </w:pBdr>
                        <w:jc w:val="center"/>
                        <w:rPr>
                          <w:rFonts w:asciiTheme="minorHAnsi" w:hAnsiTheme="minorHAnsi"/>
                          <w:b/>
                          <w:color w:val="FFFFFF" w:themeColor="background1"/>
                          <w:lang w:val="pt-BR"/>
                        </w:rPr>
                      </w:pPr>
                    </w:p>
                    <w:p w14:paraId="4DE0BCCD" w14:textId="77777777" w:rsidR="00F30897" w:rsidRDefault="00F30897" w:rsidP="00F30897">
                      <w:pPr>
                        <w:pBdr>
                          <w:top w:val="nil"/>
                        </w:pBdr>
                        <w:jc w:val="center"/>
                        <w:rPr>
                          <w:rFonts w:asciiTheme="minorHAnsi" w:hAnsiTheme="minorHAnsi"/>
                          <w:b/>
                          <w:color w:val="FFFFFF" w:themeColor="background1"/>
                          <w:lang w:val="pt-BR"/>
                        </w:rPr>
                      </w:pPr>
                    </w:p>
                    <w:p w14:paraId="41B7ECB3" w14:textId="77777777" w:rsidR="00F30897" w:rsidRDefault="00F30897" w:rsidP="00F30897">
                      <w:pPr>
                        <w:pBdr>
                          <w:top w:val="nil"/>
                        </w:pBdr>
                        <w:jc w:val="center"/>
                        <w:rPr>
                          <w:rFonts w:asciiTheme="minorHAnsi" w:hAnsiTheme="minorHAnsi"/>
                          <w:b/>
                          <w:color w:val="FFFFFF" w:themeColor="background1"/>
                          <w:lang w:val="pt-BR"/>
                        </w:rPr>
                      </w:pPr>
                    </w:p>
                    <w:p w14:paraId="48005BE7" w14:textId="77777777" w:rsidR="00F30897" w:rsidRDefault="00F30897" w:rsidP="00F30897">
                      <w:pPr>
                        <w:pBdr>
                          <w:top w:val="nil"/>
                        </w:pBdr>
                        <w:jc w:val="center"/>
                        <w:rPr>
                          <w:rFonts w:asciiTheme="minorHAnsi" w:hAnsiTheme="minorHAnsi"/>
                          <w:b/>
                          <w:color w:val="FFFFFF" w:themeColor="background1"/>
                          <w:lang w:val="pt-BR"/>
                        </w:rPr>
                      </w:pPr>
                    </w:p>
                    <w:p w14:paraId="50D294B1" w14:textId="77777777" w:rsidR="00F30897" w:rsidRDefault="00F30897" w:rsidP="00F30897">
                      <w:pPr>
                        <w:pBdr>
                          <w:top w:val="nil"/>
                        </w:pBdr>
                        <w:jc w:val="center"/>
                        <w:rPr>
                          <w:rFonts w:asciiTheme="minorHAnsi" w:hAnsiTheme="minorHAnsi"/>
                          <w:b/>
                          <w:color w:val="FFFFFF" w:themeColor="background1"/>
                          <w:lang w:val="pt-BR"/>
                        </w:rPr>
                      </w:pPr>
                    </w:p>
                    <w:p w14:paraId="399F3A18" w14:textId="77777777" w:rsidR="00F30897" w:rsidRDefault="00F30897" w:rsidP="00F30897">
                      <w:pPr>
                        <w:pBdr>
                          <w:top w:val="nil"/>
                        </w:pBdr>
                        <w:jc w:val="center"/>
                        <w:rPr>
                          <w:rFonts w:asciiTheme="minorHAnsi" w:hAnsiTheme="minorHAnsi"/>
                          <w:b/>
                          <w:color w:val="FFFFFF" w:themeColor="background1"/>
                          <w:lang w:val="pt-BR"/>
                        </w:rPr>
                      </w:pPr>
                    </w:p>
                    <w:p w14:paraId="2C8484DC" w14:textId="77777777" w:rsidR="00F30897" w:rsidRDefault="00F30897" w:rsidP="00F30897">
                      <w:pPr>
                        <w:pBdr>
                          <w:top w:val="nil"/>
                        </w:pBdr>
                        <w:jc w:val="center"/>
                        <w:rPr>
                          <w:rFonts w:asciiTheme="minorHAnsi" w:hAnsiTheme="minorHAnsi"/>
                          <w:b/>
                          <w:color w:val="FFFFFF" w:themeColor="background1"/>
                          <w:lang w:val="pt-BR"/>
                        </w:rPr>
                      </w:pPr>
                    </w:p>
                    <w:p w14:paraId="72E9B31A" w14:textId="77777777" w:rsidR="00F30897" w:rsidRDefault="00F30897" w:rsidP="00F30897">
                      <w:pPr>
                        <w:pBdr>
                          <w:top w:val="nil"/>
                        </w:pBdr>
                        <w:jc w:val="center"/>
                        <w:rPr>
                          <w:rFonts w:asciiTheme="minorHAnsi" w:hAnsiTheme="minorHAnsi"/>
                          <w:b/>
                          <w:color w:val="FFFFFF" w:themeColor="background1"/>
                          <w:lang w:val="pt-BR"/>
                        </w:rPr>
                      </w:pPr>
                    </w:p>
                    <w:p w14:paraId="0A88DBB8" w14:textId="77777777" w:rsidR="00F30897" w:rsidRDefault="00F30897" w:rsidP="00F30897">
                      <w:pPr>
                        <w:pBdr>
                          <w:top w:val="nil"/>
                        </w:pBdr>
                        <w:jc w:val="center"/>
                        <w:rPr>
                          <w:rFonts w:asciiTheme="minorHAnsi" w:hAnsiTheme="minorHAnsi"/>
                          <w:b/>
                          <w:color w:val="FFFFFF" w:themeColor="background1"/>
                          <w:lang w:val="pt-BR"/>
                        </w:rPr>
                      </w:pPr>
                    </w:p>
                    <w:p w14:paraId="3F61CB48" w14:textId="77777777" w:rsidR="00F30897" w:rsidRDefault="00F30897" w:rsidP="00F30897">
                      <w:pPr>
                        <w:pBdr>
                          <w:top w:val="nil"/>
                        </w:pBdr>
                        <w:jc w:val="center"/>
                        <w:rPr>
                          <w:rFonts w:asciiTheme="minorHAnsi" w:hAnsiTheme="minorHAnsi"/>
                          <w:b/>
                          <w:color w:val="FFFFFF" w:themeColor="background1"/>
                          <w:lang w:val="pt-BR"/>
                        </w:rPr>
                      </w:pPr>
                    </w:p>
                    <w:p w14:paraId="543289A3" w14:textId="77777777" w:rsidR="00F30897" w:rsidRPr="0094120E" w:rsidRDefault="00F30897" w:rsidP="00F30897">
                      <w:pPr>
                        <w:pBdr>
                          <w:top w:val="nil"/>
                        </w:pBd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OEA/Ser.L/V/II.156</w:t>
                      </w:r>
                    </w:p>
                    <w:p w14:paraId="31D70948" w14:textId="77777777" w:rsidR="00F30897" w:rsidRPr="0094120E" w:rsidRDefault="00F30897" w:rsidP="00F30897">
                      <w:pPr>
                        <w:pBdr>
                          <w:top w:val="nil"/>
                        </w:pBd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21</w:t>
                      </w:r>
                    </w:p>
                    <w:p w14:paraId="218BEB8C" w14:textId="77777777" w:rsidR="00F30897" w:rsidRPr="00B06C1C" w:rsidRDefault="00F30897" w:rsidP="00F30897">
                      <w:pPr>
                        <w:pBdr>
                          <w:top w:val="nil"/>
                        </w:pBd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28 October</w:t>
                      </w:r>
                      <w:r w:rsidRPr="00B06C1C">
                        <w:rPr>
                          <w:rFonts w:asciiTheme="minorHAnsi" w:hAnsiTheme="minorHAnsi"/>
                          <w:color w:val="FFFFFF" w:themeColor="background1"/>
                          <w:sz w:val="22"/>
                          <w:lang w:val="pt-BR"/>
                        </w:rPr>
                        <w:t xml:space="preserve"> 201</w:t>
                      </w:r>
                      <w:r>
                        <w:rPr>
                          <w:rFonts w:asciiTheme="minorHAnsi" w:hAnsiTheme="minorHAnsi"/>
                          <w:color w:val="FFFFFF" w:themeColor="background1"/>
                          <w:sz w:val="22"/>
                          <w:lang w:val="pt-BR"/>
                        </w:rPr>
                        <w:t>5</w:t>
                      </w:r>
                    </w:p>
                    <w:p w14:paraId="0FD80BEA" w14:textId="77777777" w:rsidR="00F30897" w:rsidRPr="005B29D4" w:rsidRDefault="00F30897" w:rsidP="00F30897">
                      <w:pPr>
                        <w:pBdr>
                          <w:top w:val="nil"/>
                        </w:pBd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Original: S</w:t>
                      </w:r>
                      <w:r w:rsidRPr="005B29D4">
                        <w:rPr>
                          <w:rFonts w:asciiTheme="minorHAnsi" w:hAnsiTheme="minorHAnsi"/>
                          <w:color w:val="FFFFFF" w:themeColor="background1"/>
                          <w:sz w:val="22"/>
                        </w:rPr>
                        <w:t>panish</w:t>
                      </w:r>
                    </w:p>
                    <w:p w14:paraId="25C04DCB" w14:textId="77777777" w:rsidR="00F30897" w:rsidRDefault="00F30897" w:rsidP="00F30897">
                      <w:pPr>
                        <w:pBdr>
                          <w:top w:val="nil"/>
                        </w:pBdr>
                        <w:jc w:val="center"/>
                        <w:rPr>
                          <w:rFonts w:asciiTheme="minorHAnsi" w:hAnsiTheme="minorHAnsi"/>
                          <w:b/>
                          <w:color w:val="FFFFFF" w:themeColor="background1"/>
                          <w:lang w:val="pt-BR"/>
                        </w:rPr>
                      </w:pPr>
                    </w:p>
                    <w:p w14:paraId="5D7526E8" w14:textId="77777777" w:rsidR="00F30897" w:rsidRDefault="00F30897" w:rsidP="00F30897">
                      <w:pPr>
                        <w:pBdr>
                          <w:top w:val="nil"/>
                        </w:pBdr>
                        <w:jc w:val="center"/>
                        <w:rPr>
                          <w:rFonts w:asciiTheme="minorHAnsi" w:hAnsiTheme="minorHAnsi"/>
                          <w:b/>
                          <w:color w:val="FFFFFF" w:themeColor="background1"/>
                          <w:lang w:val="pt-BR"/>
                        </w:rPr>
                      </w:pPr>
                    </w:p>
                    <w:p w14:paraId="72627B07" w14:textId="77777777" w:rsidR="00F30897" w:rsidRDefault="00F30897" w:rsidP="00F30897">
                      <w:pPr>
                        <w:pBdr>
                          <w:top w:val="nil"/>
                        </w:pBdr>
                        <w:jc w:val="center"/>
                        <w:rPr>
                          <w:rFonts w:asciiTheme="minorHAnsi" w:hAnsiTheme="minorHAnsi"/>
                          <w:b/>
                          <w:color w:val="FFFFFF" w:themeColor="background1"/>
                          <w:lang w:val="pt-BR"/>
                        </w:rPr>
                      </w:pPr>
                    </w:p>
                    <w:p w14:paraId="4716B933" w14:textId="77777777" w:rsidR="00F30897" w:rsidRDefault="00F30897" w:rsidP="00F30897">
                      <w:pPr>
                        <w:pBdr>
                          <w:top w:val="nil"/>
                        </w:pBdr>
                        <w:jc w:val="center"/>
                        <w:rPr>
                          <w:rFonts w:asciiTheme="minorHAnsi" w:hAnsiTheme="minorHAnsi"/>
                          <w:b/>
                          <w:color w:val="FFFFFF" w:themeColor="background1"/>
                          <w:lang w:val="pt-BR"/>
                        </w:rPr>
                      </w:pPr>
                    </w:p>
                    <w:p w14:paraId="4DCBA488" w14:textId="77777777" w:rsidR="00F30897" w:rsidRDefault="00F30897" w:rsidP="00F30897">
                      <w:pPr>
                        <w:pBdr>
                          <w:top w:val="nil"/>
                        </w:pBdr>
                        <w:jc w:val="center"/>
                        <w:rPr>
                          <w:rFonts w:asciiTheme="minorHAnsi" w:hAnsiTheme="minorHAnsi"/>
                          <w:b/>
                          <w:color w:val="FFFFFF" w:themeColor="background1"/>
                          <w:lang w:val="pt-BR"/>
                        </w:rPr>
                      </w:pPr>
                    </w:p>
                    <w:p w14:paraId="1873C86E" w14:textId="77777777" w:rsidR="00F30897" w:rsidRDefault="00F30897" w:rsidP="00F30897">
                      <w:pPr>
                        <w:pBdr>
                          <w:top w:val="nil"/>
                        </w:pBdr>
                        <w:jc w:val="center"/>
                        <w:rPr>
                          <w:rFonts w:asciiTheme="minorHAnsi" w:hAnsiTheme="minorHAnsi"/>
                          <w:b/>
                          <w:color w:val="FFFFFF" w:themeColor="background1"/>
                          <w:lang w:val="pt-BR"/>
                        </w:rPr>
                      </w:pPr>
                    </w:p>
                    <w:p w14:paraId="2CDCE154" w14:textId="77777777" w:rsidR="00F30897" w:rsidRDefault="00F30897" w:rsidP="00F30897">
                      <w:pPr>
                        <w:pBdr>
                          <w:top w:val="nil"/>
                        </w:pBdr>
                        <w:jc w:val="center"/>
                        <w:rPr>
                          <w:rFonts w:asciiTheme="minorHAnsi" w:hAnsiTheme="minorHAnsi"/>
                          <w:b/>
                          <w:color w:val="FFFFFF" w:themeColor="background1"/>
                          <w:lang w:val="pt-BR"/>
                        </w:rPr>
                      </w:pPr>
                    </w:p>
                    <w:p w14:paraId="30BD244A" w14:textId="77777777" w:rsidR="00F30897" w:rsidRDefault="00F30897" w:rsidP="00F30897">
                      <w:pPr>
                        <w:pBdr>
                          <w:top w:val="nil"/>
                        </w:pBdr>
                        <w:jc w:val="center"/>
                        <w:rPr>
                          <w:rFonts w:asciiTheme="minorHAnsi" w:hAnsiTheme="minorHAnsi"/>
                          <w:b/>
                          <w:color w:val="FFFFFF" w:themeColor="background1"/>
                          <w:lang w:val="pt-BR"/>
                        </w:rPr>
                      </w:pPr>
                    </w:p>
                    <w:p w14:paraId="6325FD61" w14:textId="77777777" w:rsidR="00F30897" w:rsidRDefault="00F30897" w:rsidP="00F30897">
                      <w:pPr>
                        <w:pBdr>
                          <w:top w:val="nil"/>
                        </w:pBdr>
                        <w:jc w:val="center"/>
                        <w:rPr>
                          <w:rFonts w:asciiTheme="minorHAnsi" w:hAnsiTheme="minorHAnsi"/>
                          <w:b/>
                          <w:color w:val="FFFFFF" w:themeColor="background1"/>
                          <w:lang w:val="pt-BR"/>
                        </w:rPr>
                      </w:pPr>
                    </w:p>
                    <w:p w14:paraId="43764B8E" w14:textId="77777777" w:rsidR="00F30897" w:rsidRDefault="00F30897" w:rsidP="00F30897">
                      <w:pPr>
                        <w:pBdr>
                          <w:top w:val="nil"/>
                        </w:pBdr>
                        <w:jc w:val="center"/>
                        <w:rPr>
                          <w:rFonts w:asciiTheme="minorHAnsi" w:hAnsiTheme="minorHAnsi"/>
                          <w:b/>
                          <w:color w:val="FFFFFF" w:themeColor="background1"/>
                          <w:lang w:val="pt-BR"/>
                        </w:rPr>
                      </w:pPr>
                    </w:p>
                    <w:p w14:paraId="2C3D4DD8" w14:textId="77777777" w:rsidR="00F30897" w:rsidRDefault="00F30897" w:rsidP="00F30897">
                      <w:pPr>
                        <w:pBdr>
                          <w:top w:val="nil"/>
                        </w:pBdr>
                        <w:jc w:val="center"/>
                        <w:rPr>
                          <w:rFonts w:asciiTheme="minorHAnsi" w:hAnsiTheme="minorHAnsi"/>
                          <w:b/>
                          <w:color w:val="FFFFFF" w:themeColor="background1"/>
                          <w:lang w:val="pt-BR"/>
                        </w:rPr>
                      </w:pPr>
                    </w:p>
                    <w:p w14:paraId="46E02758" w14:textId="77777777" w:rsidR="00F30897" w:rsidRDefault="00F30897" w:rsidP="00F30897">
                      <w:pPr>
                        <w:pBdr>
                          <w:top w:val="nil"/>
                        </w:pBdr>
                        <w:jc w:val="center"/>
                        <w:rPr>
                          <w:rFonts w:asciiTheme="minorHAnsi" w:hAnsiTheme="minorHAnsi"/>
                          <w:b/>
                          <w:color w:val="FFFFFF" w:themeColor="background1"/>
                          <w:lang w:val="pt-BR"/>
                        </w:rPr>
                      </w:pPr>
                    </w:p>
                    <w:p w14:paraId="20522693" w14:textId="77777777" w:rsidR="00F30897" w:rsidRDefault="00F30897" w:rsidP="00F30897">
                      <w:pPr>
                        <w:pBdr>
                          <w:top w:val="nil"/>
                        </w:pBdr>
                        <w:jc w:val="center"/>
                        <w:rPr>
                          <w:rFonts w:asciiTheme="minorHAnsi" w:hAnsiTheme="minorHAnsi"/>
                          <w:b/>
                          <w:color w:val="FFFFFF" w:themeColor="background1"/>
                          <w:lang w:val="pt-BR"/>
                        </w:rPr>
                      </w:pPr>
                    </w:p>
                    <w:p w14:paraId="0A9E9372" w14:textId="77777777" w:rsidR="00F30897" w:rsidRDefault="00F30897" w:rsidP="00F30897">
                      <w:pPr>
                        <w:pBdr>
                          <w:top w:val="nil"/>
                        </w:pBdr>
                        <w:jc w:val="center"/>
                        <w:rPr>
                          <w:rFonts w:asciiTheme="minorHAnsi" w:hAnsiTheme="minorHAnsi"/>
                          <w:b/>
                          <w:color w:val="FFFFFF" w:themeColor="background1"/>
                          <w:lang w:val="pt-BR"/>
                        </w:rPr>
                      </w:pPr>
                    </w:p>
                    <w:p w14:paraId="008B3F2E" w14:textId="77777777" w:rsidR="00F30897" w:rsidRDefault="00F30897" w:rsidP="00F30897">
                      <w:pPr>
                        <w:pBdr>
                          <w:top w:val="nil"/>
                        </w:pBdr>
                        <w:jc w:val="center"/>
                        <w:rPr>
                          <w:rFonts w:asciiTheme="minorHAnsi" w:hAnsiTheme="minorHAnsi"/>
                          <w:b/>
                          <w:color w:val="FFFFFF" w:themeColor="background1"/>
                          <w:lang w:val="pt-BR"/>
                        </w:rPr>
                      </w:pPr>
                    </w:p>
                    <w:p w14:paraId="7903751D" w14:textId="77777777" w:rsidR="00F30897" w:rsidRDefault="00F30897" w:rsidP="00F30897">
                      <w:pPr>
                        <w:pBdr>
                          <w:top w:val="nil"/>
                        </w:pBdr>
                        <w:jc w:val="center"/>
                        <w:rPr>
                          <w:rFonts w:asciiTheme="minorHAnsi" w:hAnsiTheme="minorHAnsi"/>
                          <w:b/>
                          <w:color w:val="FFFFFF" w:themeColor="background1"/>
                          <w:lang w:val="pt-BR"/>
                        </w:rPr>
                      </w:pPr>
                    </w:p>
                    <w:p w14:paraId="14B0DC97" w14:textId="77777777" w:rsidR="00F30897" w:rsidRDefault="00F30897" w:rsidP="00F30897">
                      <w:pPr>
                        <w:pBdr>
                          <w:top w:val="nil"/>
                        </w:pBdr>
                        <w:jc w:val="center"/>
                        <w:rPr>
                          <w:rFonts w:asciiTheme="minorHAnsi" w:hAnsiTheme="minorHAnsi"/>
                          <w:b/>
                          <w:color w:val="FFFFFF" w:themeColor="background1"/>
                          <w:lang w:val="pt-BR"/>
                        </w:rPr>
                      </w:pPr>
                    </w:p>
                    <w:p w14:paraId="600B4008" w14:textId="77777777" w:rsidR="00F30897" w:rsidRDefault="00F30897" w:rsidP="00F30897">
                      <w:pPr>
                        <w:pBdr>
                          <w:top w:val="nil"/>
                        </w:pBdr>
                        <w:jc w:val="center"/>
                        <w:rPr>
                          <w:rFonts w:asciiTheme="minorHAnsi" w:hAnsiTheme="minorHAnsi"/>
                          <w:b/>
                          <w:color w:val="FFFFFF" w:themeColor="background1"/>
                          <w:lang w:val="pt-BR"/>
                        </w:rPr>
                      </w:pPr>
                    </w:p>
                    <w:p w14:paraId="2AA44F12" w14:textId="77777777" w:rsidR="00F30897" w:rsidRDefault="00F30897" w:rsidP="00F30897">
                      <w:pPr>
                        <w:pBdr>
                          <w:top w:val="nil"/>
                        </w:pBdr>
                        <w:jc w:val="center"/>
                        <w:rPr>
                          <w:rFonts w:asciiTheme="minorHAnsi" w:hAnsiTheme="minorHAnsi"/>
                          <w:b/>
                          <w:color w:val="FFFFFF" w:themeColor="background1"/>
                          <w:lang w:val="pt-BR"/>
                        </w:rPr>
                      </w:pPr>
                    </w:p>
                    <w:p w14:paraId="7C7A290C" w14:textId="77777777" w:rsidR="00F30897" w:rsidRDefault="00F30897" w:rsidP="00F30897">
                      <w:pPr>
                        <w:pBdr>
                          <w:top w:val="nil"/>
                        </w:pBdr>
                        <w:jc w:val="center"/>
                        <w:rPr>
                          <w:rFonts w:asciiTheme="minorHAnsi" w:hAnsiTheme="minorHAnsi"/>
                          <w:b/>
                          <w:color w:val="FFFFFF" w:themeColor="background1"/>
                          <w:lang w:val="pt-BR"/>
                        </w:rPr>
                      </w:pPr>
                    </w:p>
                    <w:p w14:paraId="7585A472" w14:textId="77777777" w:rsidR="00F30897" w:rsidRDefault="00F30897" w:rsidP="00F30897">
                      <w:pPr>
                        <w:pBdr>
                          <w:top w:val="nil"/>
                        </w:pBdr>
                        <w:jc w:val="center"/>
                        <w:rPr>
                          <w:rFonts w:asciiTheme="minorHAnsi" w:hAnsiTheme="minorHAnsi"/>
                          <w:b/>
                          <w:color w:val="FFFFFF" w:themeColor="background1"/>
                          <w:lang w:val="pt-BR"/>
                        </w:rPr>
                      </w:pPr>
                    </w:p>
                    <w:p w14:paraId="2302A99E" w14:textId="77777777" w:rsidR="00F30897" w:rsidRDefault="00F30897" w:rsidP="00F30897">
                      <w:pPr>
                        <w:pBdr>
                          <w:top w:val="nil"/>
                        </w:pBdr>
                        <w:jc w:val="center"/>
                        <w:rPr>
                          <w:rFonts w:asciiTheme="minorHAnsi" w:hAnsiTheme="minorHAnsi"/>
                          <w:b/>
                          <w:color w:val="FFFFFF" w:themeColor="background1"/>
                          <w:lang w:val="pt-BR"/>
                        </w:rPr>
                      </w:pPr>
                    </w:p>
                    <w:p w14:paraId="3831E425" w14:textId="77777777" w:rsidR="00F30897" w:rsidRDefault="00F30897" w:rsidP="00F30897">
                      <w:pPr>
                        <w:pBdr>
                          <w:top w:val="nil"/>
                        </w:pBdr>
                        <w:jc w:val="center"/>
                        <w:rPr>
                          <w:rFonts w:asciiTheme="minorHAnsi" w:hAnsiTheme="minorHAnsi"/>
                          <w:b/>
                          <w:color w:val="FFFFFF" w:themeColor="background1"/>
                          <w:lang w:val="pt-BR"/>
                        </w:rPr>
                      </w:pPr>
                    </w:p>
                    <w:p w14:paraId="6D0A3FCC" w14:textId="77777777" w:rsidR="00F30897" w:rsidRDefault="00F30897" w:rsidP="00F30897">
                      <w:pPr>
                        <w:pBdr>
                          <w:top w:val="nil"/>
                        </w:pBdr>
                        <w:jc w:val="center"/>
                        <w:rPr>
                          <w:rFonts w:asciiTheme="minorHAnsi" w:hAnsiTheme="minorHAnsi"/>
                          <w:b/>
                          <w:color w:val="FFFFFF" w:themeColor="background1"/>
                          <w:lang w:val="pt-BR"/>
                        </w:rPr>
                      </w:pPr>
                    </w:p>
                    <w:p w14:paraId="3D3E6594" w14:textId="77777777" w:rsidR="00F30897" w:rsidRDefault="00F30897" w:rsidP="00F30897">
                      <w:pPr>
                        <w:pBdr>
                          <w:top w:val="nil"/>
                        </w:pBdr>
                        <w:jc w:val="center"/>
                        <w:rPr>
                          <w:rFonts w:asciiTheme="minorHAnsi" w:hAnsiTheme="minorHAnsi"/>
                          <w:b/>
                          <w:color w:val="FFFFFF" w:themeColor="background1"/>
                          <w:lang w:val="pt-BR"/>
                        </w:rPr>
                      </w:pPr>
                    </w:p>
                    <w:p w14:paraId="1DCBAAF8" w14:textId="77777777" w:rsidR="00F30897" w:rsidRDefault="00F30897" w:rsidP="00F30897">
                      <w:pPr>
                        <w:pBdr>
                          <w:top w:val="nil"/>
                        </w:pBdr>
                        <w:jc w:val="center"/>
                        <w:rPr>
                          <w:rFonts w:asciiTheme="minorHAnsi" w:hAnsiTheme="minorHAnsi"/>
                          <w:b/>
                          <w:color w:val="FFFFFF" w:themeColor="background1"/>
                          <w:lang w:val="pt-BR"/>
                        </w:rPr>
                      </w:pPr>
                    </w:p>
                    <w:p w14:paraId="296ABB85" w14:textId="77777777" w:rsidR="00F30897" w:rsidRDefault="00F30897" w:rsidP="00F30897">
                      <w:pPr>
                        <w:pBdr>
                          <w:top w:val="nil"/>
                        </w:pBdr>
                        <w:jc w:val="center"/>
                        <w:rPr>
                          <w:rFonts w:asciiTheme="minorHAnsi" w:hAnsiTheme="minorHAnsi"/>
                          <w:b/>
                          <w:color w:val="FFFFFF" w:themeColor="background1"/>
                          <w:lang w:val="pt-BR"/>
                        </w:rPr>
                      </w:pPr>
                    </w:p>
                    <w:p w14:paraId="7EA8A578" w14:textId="77777777" w:rsidR="00F30897" w:rsidRDefault="00F30897" w:rsidP="00F30897">
                      <w:pPr>
                        <w:pBdr>
                          <w:top w:val="nil"/>
                        </w:pBdr>
                        <w:jc w:val="center"/>
                        <w:rPr>
                          <w:rFonts w:asciiTheme="minorHAnsi" w:hAnsiTheme="minorHAnsi"/>
                          <w:b/>
                          <w:color w:val="FFFFFF" w:themeColor="background1"/>
                          <w:lang w:val="pt-BR"/>
                        </w:rPr>
                      </w:pPr>
                    </w:p>
                    <w:p w14:paraId="26E0E9BA" w14:textId="77777777" w:rsidR="00F30897" w:rsidRDefault="00F30897" w:rsidP="00F30897">
                      <w:pPr>
                        <w:pBdr>
                          <w:top w:val="nil"/>
                        </w:pBdr>
                        <w:jc w:val="center"/>
                        <w:rPr>
                          <w:rFonts w:asciiTheme="minorHAnsi" w:hAnsiTheme="minorHAnsi"/>
                          <w:b/>
                          <w:color w:val="FFFFFF" w:themeColor="background1"/>
                          <w:lang w:val="pt-BR"/>
                        </w:rPr>
                      </w:pPr>
                    </w:p>
                    <w:p w14:paraId="1D73453C" w14:textId="77777777" w:rsidR="00F30897" w:rsidRDefault="00F30897" w:rsidP="00F30897">
                      <w:pPr>
                        <w:pBdr>
                          <w:top w:val="nil"/>
                        </w:pBdr>
                        <w:jc w:val="center"/>
                        <w:rPr>
                          <w:rFonts w:asciiTheme="minorHAnsi" w:hAnsiTheme="minorHAnsi"/>
                          <w:b/>
                          <w:color w:val="FFFFFF" w:themeColor="background1"/>
                          <w:lang w:val="pt-BR"/>
                        </w:rPr>
                      </w:pPr>
                    </w:p>
                    <w:p w14:paraId="6A33DF45" w14:textId="77777777" w:rsidR="00F30897" w:rsidRDefault="00F30897" w:rsidP="00F30897">
                      <w:pPr>
                        <w:pBdr>
                          <w:top w:val="nil"/>
                        </w:pBdr>
                        <w:jc w:val="center"/>
                        <w:rPr>
                          <w:rFonts w:asciiTheme="minorHAnsi" w:hAnsiTheme="minorHAnsi"/>
                          <w:b/>
                          <w:color w:val="FFFFFF" w:themeColor="background1"/>
                          <w:lang w:val="pt-BR"/>
                        </w:rPr>
                      </w:pPr>
                    </w:p>
                    <w:p w14:paraId="6309370D" w14:textId="77777777" w:rsidR="00F30897" w:rsidRDefault="00F30897" w:rsidP="00F30897">
                      <w:pPr>
                        <w:pBdr>
                          <w:top w:val="nil"/>
                        </w:pBdr>
                        <w:jc w:val="center"/>
                        <w:rPr>
                          <w:rFonts w:asciiTheme="minorHAnsi" w:hAnsiTheme="minorHAnsi"/>
                          <w:b/>
                          <w:color w:val="FFFFFF" w:themeColor="background1"/>
                          <w:lang w:val="pt-BR"/>
                        </w:rPr>
                      </w:pPr>
                    </w:p>
                    <w:p w14:paraId="7391D785" w14:textId="77777777" w:rsidR="00F30897" w:rsidRDefault="00F30897" w:rsidP="00F30897">
                      <w:pPr>
                        <w:pBdr>
                          <w:top w:val="nil"/>
                        </w:pBdr>
                        <w:jc w:val="center"/>
                        <w:rPr>
                          <w:rFonts w:asciiTheme="minorHAnsi" w:hAnsiTheme="minorHAnsi"/>
                          <w:b/>
                          <w:color w:val="FFFFFF" w:themeColor="background1"/>
                          <w:lang w:val="pt-BR"/>
                        </w:rPr>
                      </w:pPr>
                    </w:p>
                    <w:p w14:paraId="3D05F570" w14:textId="77777777" w:rsidR="00F30897" w:rsidRDefault="00F30897" w:rsidP="00F30897">
                      <w:pPr>
                        <w:pBdr>
                          <w:top w:val="nil"/>
                        </w:pBdr>
                        <w:jc w:val="center"/>
                        <w:rPr>
                          <w:rFonts w:asciiTheme="minorHAnsi" w:hAnsiTheme="minorHAnsi"/>
                          <w:b/>
                          <w:color w:val="FFFFFF" w:themeColor="background1"/>
                          <w:lang w:val="pt-BR"/>
                        </w:rPr>
                      </w:pPr>
                    </w:p>
                    <w:p w14:paraId="28A5A7B9" w14:textId="77777777" w:rsidR="00F30897" w:rsidRDefault="00F30897" w:rsidP="00F30897">
                      <w:pPr>
                        <w:pBdr>
                          <w:top w:val="nil"/>
                        </w:pBdr>
                        <w:jc w:val="center"/>
                        <w:rPr>
                          <w:rFonts w:asciiTheme="minorHAnsi" w:hAnsiTheme="minorHAnsi"/>
                          <w:b/>
                          <w:color w:val="FFFFFF" w:themeColor="background1"/>
                          <w:lang w:val="pt-BR"/>
                        </w:rPr>
                      </w:pPr>
                    </w:p>
                    <w:p w14:paraId="591551E7" w14:textId="77777777" w:rsidR="00F30897" w:rsidRPr="004B7EB6" w:rsidRDefault="00F30897" w:rsidP="00F30897">
                      <w:pPr>
                        <w:pBdr>
                          <w:top w:val="nil"/>
                        </w:pBd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p w14:paraId="5266FEA7" w14:textId="77777777" w:rsidR="00F30897" w:rsidRDefault="00F30897" w:rsidP="00F30897">
                      <w:pPr>
                        <w:pBdr>
                          <w:top w:val="nil"/>
                        </w:pBdr>
                        <w:jc w:val="center"/>
                      </w:pPr>
                    </w:p>
                  </w:txbxContent>
                </v:textbox>
              </v:rect>
            </w:pict>
          </mc:Fallback>
        </mc:AlternateContent>
      </w:r>
      <w:r w:rsidR="00C0075D">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7E8B0562" wp14:editId="174742A5">
                <wp:simplePos x="0" y="0"/>
                <wp:positionH relativeFrom="column">
                  <wp:posOffset>1282065</wp:posOffset>
                </wp:positionH>
                <wp:positionV relativeFrom="paragraph">
                  <wp:posOffset>-373380</wp:posOffset>
                </wp:positionV>
                <wp:extent cx="5248275" cy="902335"/>
                <wp:effectExtent l="0" t="0" r="0"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7049EE" w14:textId="7B6E8836" w:rsidR="00C45C34" w:rsidRDefault="00C45C34" w:rsidP="00AE5488">
                            <w:r w:rsidRPr="001D502F">
                              <w:rPr>
                                <w:noProof/>
                              </w:rPr>
                              <w:drawing>
                                <wp:inline distT="0" distB="0" distL="0" distR="0" wp14:anchorId="1D21AA3E" wp14:editId="086F58F9">
                                  <wp:extent cx="2517775" cy="487045"/>
                                  <wp:effectExtent l="0" t="0" r="0" b="8255"/>
                                  <wp:docPr id="14" name="Imagen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7775" cy="48704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100.95pt;margin-top:-29.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EkV7l+EAAAALAQAADwAAAGRycy9kb3ducmV2LnhtbEyPy07DMBBF90j8gzVI&#10;7Fq7KQ8TMqkqBBskhCiVqu7ceIgDsR1stw1/j7uC5WiO7j23Woy2ZwcKsfMOYTYVwMg1XneuRVi/&#10;P00ksJiU06r3jhB+KMKiPj+rVKn90b3RYZValkNcLBWCSWkoOY+NIavi1A/k8u/DB6tSPkPLdVDH&#10;HG57Xghxw63qXG4waqAHQ83Xam8RbuVWm8/wPK43L8tv8zrw/lFxxMuLcXkPLNGY/mA46Wd1qLPT&#10;zu+djqxHKMTsLqMIk2uZN5wIUcgrYDsEOZ8Dryv+f0P9CwAA//8DAFBLAQItABQABgAIAAAAIQC2&#10;gziS/gAAAOEBAAATAAAAAAAAAAAAAAAAAAAAAABbQ29udGVudF9UeXBlc10ueG1sUEsBAi0AFAAG&#10;AAgAAAAhADj9If/WAAAAlAEAAAsAAAAAAAAAAAAAAAAALwEAAF9yZWxzLy5yZWxzUEsBAi0AFAAG&#10;AAgAAAAhAGa4LZCKAgAAfQUAAA4AAAAAAAAAAAAAAAAALgIAAGRycy9lMm9Eb2MueG1sUEsBAi0A&#10;FAAGAAgAAAAhABJFe5fhAAAACwEAAA8AAAAAAAAAAAAAAAAA5AQAAGRycy9kb3ducmV2LnhtbFBL&#10;BQYAAAAABAAEAPMAAADyBQAAAAA=&#10;" filled="f" stroked="f" strokeweight=".5pt">
                <v:path arrowok="t"/>
                <v:textbox>
                  <w:txbxContent>
                    <w:p w14:paraId="5C7049EE" w14:textId="7B6E8836" w:rsidR="00C45C34" w:rsidRDefault="00C45C34" w:rsidP="00AE5488">
                      <w:r w:rsidRPr="001D502F">
                        <w:rPr>
                          <w:noProof/>
                        </w:rPr>
                        <w:drawing>
                          <wp:inline distT="0" distB="0" distL="0" distR="0" wp14:anchorId="1D21AA3E" wp14:editId="086F58F9">
                            <wp:extent cx="2517775" cy="487045"/>
                            <wp:effectExtent l="0" t="0" r="0" b="8255"/>
                            <wp:docPr id="14" name="Imagen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7775" cy="487045"/>
                                    </a:xfrm>
                                    <a:prstGeom prst="rect">
                                      <a:avLst/>
                                    </a:prstGeom>
                                    <a:noFill/>
                                    <a:ln>
                                      <a:noFill/>
                                    </a:ln>
                                  </pic:spPr>
                                </pic:pic>
                              </a:graphicData>
                            </a:graphic>
                          </wp:inline>
                        </w:drawing>
                      </w:r>
                      <w:r>
                        <w:tab/>
                        <w:t xml:space="preserve"> </w:t>
                      </w:r>
                    </w:p>
                  </w:txbxContent>
                </v:textbox>
              </v:shape>
            </w:pict>
          </mc:Fallback>
        </mc:AlternateContent>
      </w:r>
    </w:p>
    <w:p w14:paraId="6AA66009" w14:textId="77777777" w:rsidR="00040C3A" w:rsidRPr="00420489" w:rsidRDefault="00040C3A" w:rsidP="00040C3A">
      <w:pPr>
        <w:tabs>
          <w:tab w:val="center" w:pos="5400"/>
        </w:tabs>
        <w:suppressAutoHyphens/>
        <w:jc w:val="both"/>
        <w:rPr>
          <w:rFonts w:asciiTheme="majorHAnsi" w:hAnsiTheme="majorHAnsi"/>
          <w:sz w:val="20"/>
          <w:szCs w:val="20"/>
          <w:lang w:val="es-ES_tradnl"/>
        </w:rPr>
      </w:pPr>
    </w:p>
    <w:p w14:paraId="0BBF26E5" w14:textId="77777777" w:rsidR="00040C3A" w:rsidRPr="00420489" w:rsidRDefault="00040C3A" w:rsidP="00040C3A">
      <w:pPr>
        <w:tabs>
          <w:tab w:val="center" w:pos="5400"/>
        </w:tabs>
        <w:suppressAutoHyphens/>
        <w:jc w:val="both"/>
        <w:rPr>
          <w:rFonts w:asciiTheme="majorHAnsi" w:hAnsiTheme="majorHAnsi"/>
          <w:sz w:val="20"/>
          <w:szCs w:val="20"/>
          <w:lang w:val="es-ES_tradnl"/>
        </w:rPr>
      </w:pPr>
    </w:p>
    <w:p w14:paraId="3F43C8B4" w14:textId="77777777" w:rsidR="005128E4" w:rsidRPr="00420489" w:rsidRDefault="005128E4" w:rsidP="00040C3A">
      <w:pPr>
        <w:tabs>
          <w:tab w:val="center" w:pos="5400"/>
        </w:tabs>
        <w:suppressAutoHyphens/>
        <w:rPr>
          <w:rFonts w:asciiTheme="majorHAnsi" w:hAnsiTheme="majorHAnsi"/>
          <w:sz w:val="20"/>
          <w:szCs w:val="20"/>
          <w:lang w:val="es-ES_tradnl"/>
        </w:rPr>
      </w:pPr>
    </w:p>
    <w:p w14:paraId="26776CFF" w14:textId="77777777" w:rsidR="005128E4" w:rsidRPr="00420489" w:rsidRDefault="005128E4" w:rsidP="00040C3A">
      <w:pPr>
        <w:tabs>
          <w:tab w:val="center" w:pos="5400"/>
        </w:tabs>
        <w:suppressAutoHyphens/>
        <w:rPr>
          <w:rFonts w:asciiTheme="majorHAnsi" w:hAnsiTheme="majorHAnsi"/>
          <w:sz w:val="20"/>
          <w:szCs w:val="20"/>
          <w:lang w:val="es-ES_tradnl"/>
        </w:rPr>
      </w:pPr>
    </w:p>
    <w:p w14:paraId="4E9D30AD" w14:textId="77777777" w:rsidR="005128E4" w:rsidRPr="00420489" w:rsidRDefault="005128E4" w:rsidP="00040C3A">
      <w:pPr>
        <w:tabs>
          <w:tab w:val="center" w:pos="5400"/>
        </w:tabs>
        <w:suppressAutoHyphens/>
        <w:rPr>
          <w:rFonts w:asciiTheme="majorHAnsi" w:hAnsiTheme="majorHAnsi"/>
          <w:sz w:val="20"/>
          <w:szCs w:val="20"/>
          <w:lang w:val="es-ES_tradnl"/>
        </w:rPr>
      </w:pPr>
    </w:p>
    <w:p w14:paraId="7F6145F8" w14:textId="77777777" w:rsidR="00040C3A" w:rsidRPr="00420489" w:rsidRDefault="00040C3A" w:rsidP="005128E4">
      <w:pPr>
        <w:tabs>
          <w:tab w:val="center" w:pos="5400"/>
        </w:tabs>
        <w:suppressAutoHyphens/>
        <w:jc w:val="center"/>
        <w:rPr>
          <w:rFonts w:asciiTheme="majorHAnsi" w:hAnsiTheme="majorHAnsi"/>
          <w:sz w:val="20"/>
          <w:szCs w:val="20"/>
          <w:lang w:val="es-ES_tradnl"/>
        </w:rPr>
      </w:pPr>
    </w:p>
    <w:p w14:paraId="51C6353A" w14:textId="77777777" w:rsidR="00040C3A" w:rsidRPr="00420489" w:rsidRDefault="00040C3A" w:rsidP="005128E4">
      <w:pPr>
        <w:tabs>
          <w:tab w:val="center" w:pos="5400"/>
        </w:tabs>
        <w:suppressAutoHyphens/>
        <w:jc w:val="center"/>
        <w:rPr>
          <w:rFonts w:asciiTheme="majorHAnsi" w:hAnsiTheme="majorHAnsi"/>
          <w:sz w:val="20"/>
          <w:szCs w:val="20"/>
          <w:lang w:val="es-ES_tradnl"/>
        </w:rPr>
      </w:pPr>
      <w:bookmarkStart w:id="0" w:name="_GoBack"/>
      <w:bookmarkEnd w:id="0"/>
    </w:p>
    <w:p w14:paraId="3BF4CEE8" w14:textId="77777777" w:rsidR="005B52B0" w:rsidRPr="00420489" w:rsidRDefault="005B52B0" w:rsidP="005128E4">
      <w:pPr>
        <w:tabs>
          <w:tab w:val="center" w:pos="5400"/>
        </w:tabs>
        <w:suppressAutoHyphens/>
        <w:jc w:val="center"/>
        <w:rPr>
          <w:rFonts w:asciiTheme="majorHAnsi" w:hAnsiTheme="majorHAnsi"/>
          <w:sz w:val="20"/>
          <w:szCs w:val="20"/>
          <w:lang w:val="es-ES_tradnl"/>
        </w:rPr>
      </w:pPr>
    </w:p>
    <w:p w14:paraId="39B27625" w14:textId="77777777" w:rsidR="005B52B0" w:rsidRPr="00420489" w:rsidRDefault="005B52B0" w:rsidP="005128E4">
      <w:pPr>
        <w:tabs>
          <w:tab w:val="center" w:pos="5400"/>
        </w:tabs>
        <w:suppressAutoHyphens/>
        <w:jc w:val="center"/>
        <w:rPr>
          <w:rFonts w:asciiTheme="majorHAnsi" w:hAnsiTheme="majorHAnsi"/>
          <w:sz w:val="20"/>
          <w:szCs w:val="20"/>
          <w:lang w:val="es-ES_tradnl"/>
        </w:rPr>
      </w:pPr>
    </w:p>
    <w:p w14:paraId="0E6B3772" w14:textId="77777777" w:rsidR="005B52B0" w:rsidRPr="00420489" w:rsidRDefault="005B52B0" w:rsidP="005128E4">
      <w:pPr>
        <w:tabs>
          <w:tab w:val="center" w:pos="5400"/>
        </w:tabs>
        <w:suppressAutoHyphens/>
        <w:jc w:val="center"/>
        <w:rPr>
          <w:rFonts w:asciiTheme="majorHAnsi" w:hAnsiTheme="majorHAnsi"/>
          <w:sz w:val="20"/>
          <w:szCs w:val="20"/>
          <w:lang w:val="es-ES_tradnl"/>
        </w:rPr>
      </w:pPr>
    </w:p>
    <w:p w14:paraId="423AC743" w14:textId="63E9F4BA" w:rsidR="00040C3A" w:rsidRPr="00420489" w:rsidRDefault="002D2C84" w:rsidP="002D2C84">
      <w:pPr>
        <w:tabs>
          <w:tab w:val="left" w:pos="4208"/>
          <w:tab w:val="center" w:pos="5400"/>
        </w:tabs>
        <w:suppressAutoHyphens/>
        <w:rPr>
          <w:rFonts w:asciiTheme="majorHAnsi" w:hAnsiTheme="majorHAnsi"/>
          <w:sz w:val="20"/>
          <w:szCs w:val="20"/>
          <w:lang w:val="es-ES_tradnl"/>
        </w:rPr>
      </w:pPr>
      <w:r>
        <w:rPr>
          <w:rFonts w:asciiTheme="majorHAnsi" w:hAnsiTheme="majorHAnsi"/>
          <w:sz w:val="20"/>
          <w:szCs w:val="20"/>
          <w:lang w:val="es-ES_tradnl"/>
        </w:rPr>
        <w:tab/>
      </w:r>
    </w:p>
    <w:p w14:paraId="63FB2DAE" w14:textId="77777777" w:rsidR="00040C3A" w:rsidRPr="00420489" w:rsidRDefault="00040C3A" w:rsidP="00040C3A">
      <w:pPr>
        <w:tabs>
          <w:tab w:val="center" w:pos="5400"/>
        </w:tabs>
        <w:suppressAutoHyphens/>
        <w:jc w:val="center"/>
        <w:rPr>
          <w:rFonts w:asciiTheme="majorHAnsi" w:hAnsiTheme="majorHAnsi"/>
          <w:sz w:val="20"/>
          <w:szCs w:val="20"/>
          <w:lang w:val="es-ES_tradnl"/>
        </w:rPr>
      </w:pPr>
    </w:p>
    <w:p w14:paraId="36144BF8" w14:textId="77777777" w:rsidR="00040C3A" w:rsidRPr="00420489" w:rsidRDefault="00C0075D" w:rsidP="00040C3A">
      <w:pPr>
        <w:tabs>
          <w:tab w:val="center" w:pos="5400"/>
        </w:tabs>
        <w:suppressAutoHyphens/>
        <w:jc w:val="center"/>
        <w:rPr>
          <w:rFonts w:asciiTheme="majorHAnsi" w:hAnsiTheme="majorHAnsi"/>
          <w:sz w:val="20"/>
          <w:szCs w:val="20"/>
          <w:lang w:val="es-ES_tradnl"/>
        </w:rPr>
      </w:pPr>
      <w:r>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2DB7267E" wp14:editId="664C80B2">
                <wp:simplePos x="0" y="0"/>
                <wp:positionH relativeFrom="column">
                  <wp:posOffset>1352550</wp:posOffset>
                </wp:positionH>
                <wp:positionV relativeFrom="paragraph">
                  <wp:posOffset>107315</wp:posOffset>
                </wp:positionV>
                <wp:extent cx="4441190" cy="2181225"/>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F9D9AA" w14:textId="2A800B8A" w:rsidR="00C45C34" w:rsidRPr="005B29D4" w:rsidRDefault="00C45C34" w:rsidP="00997BC5">
                            <w:pPr>
                              <w:spacing w:line="276" w:lineRule="auto"/>
                              <w:rPr>
                                <w:rFonts w:asciiTheme="majorHAnsi" w:hAnsiTheme="majorHAnsi" w:cs="Arial"/>
                                <w:b/>
                                <w:bCs/>
                                <w:color w:val="0D0D0D" w:themeColor="text1" w:themeTint="F2"/>
                                <w:sz w:val="36"/>
                                <w:szCs w:val="22"/>
                              </w:rPr>
                            </w:pPr>
                            <w:r w:rsidRPr="005B29D4">
                              <w:rPr>
                                <w:rFonts w:asciiTheme="majorHAnsi" w:hAnsiTheme="majorHAnsi" w:cs="Arial"/>
                                <w:b/>
                                <w:bCs/>
                                <w:color w:val="0D0D0D" w:themeColor="text1" w:themeTint="F2"/>
                                <w:sz w:val="36"/>
                                <w:szCs w:val="22"/>
                              </w:rPr>
                              <w:t xml:space="preserve">REPORT </w:t>
                            </w:r>
                            <w:r w:rsidRPr="005B29D4">
                              <w:rPr>
                                <w:rFonts w:asciiTheme="majorHAnsi" w:hAnsiTheme="majorHAnsi" w:cs="Arial"/>
                                <w:b/>
                                <w:bCs/>
                                <w:color w:val="0D0D0D" w:themeColor="text1" w:themeTint="F2"/>
                                <w:sz w:val="36"/>
                                <w:szCs w:val="40"/>
                              </w:rPr>
                              <w:t>No.</w:t>
                            </w:r>
                            <w:r>
                              <w:rPr>
                                <w:rFonts w:asciiTheme="majorHAnsi" w:hAnsiTheme="majorHAnsi" w:cs="Arial"/>
                                <w:b/>
                                <w:bCs/>
                                <w:color w:val="0D0D0D" w:themeColor="text1" w:themeTint="F2"/>
                                <w:sz w:val="36"/>
                                <w:szCs w:val="22"/>
                              </w:rPr>
                              <w:t xml:space="preserve"> 75</w:t>
                            </w:r>
                            <w:r w:rsidRPr="005B29D4">
                              <w:rPr>
                                <w:rFonts w:asciiTheme="majorHAnsi" w:hAnsiTheme="majorHAnsi" w:cs="Arial"/>
                                <w:b/>
                                <w:bCs/>
                                <w:color w:val="0D0D0D" w:themeColor="text1" w:themeTint="F2"/>
                                <w:sz w:val="36"/>
                                <w:szCs w:val="22"/>
                              </w:rPr>
                              <w:t>/15</w:t>
                            </w:r>
                          </w:p>
                          <w:p w14:paraId="2C20096E" w14:textId="7E046109" w:rsidR="00C45C34" w:rsidRPr="00EB25FE" w:rsidRDefault="00C45C34" w:rsidP="00997BC5">
                            <w:pPr>
                              <w:spacing w:line="276" w:lineRule="auto"/>
                              <w:rPr>
                                <w:rFonts w:asciiTheme="majorHAnsi" w:hAnsiTheme="majorHAnsi" w:cs="Arial"/>
                                <w:b/>
                                <w:color w:val="0D0D0D" w:themeColor="text1" w:themeTint="F2"/>
                                <w:sz w:val="36"/>
                                <w:szCs w:val="22"/>
                              </w:rPr>
                            </w:pPr>
                            <w:r w:rsidRPr="00EB25FE">
                              <w:rPr>
                                <w:rFonts w:asciiTheme="majorHAnsi" w:hAnsiTheme="majorHAnsi" w:cs="Arial"/>
                                <w:b/>
                                <w:color w:val="0D0D0D" w:themeColor="text1" w:themeTint="F2"/>
                                <w:sz w:val="36"/>
                                <w:szCs w:val="22"/>
                              </w:rPr>
                              <w:t>CASE 12.923</w:t>
                            </w:r>
                          </w:p>
                          <w:p w14:paraId="64167D0D" w14:textId="24D72B18" w:rsidR="00C45C34" w:rsidRPr="00EB25FE" w:rsidRDefault="00C45C3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Pr="00EB25FE">
                              <w:rPr>
                                <w:rFonts w:asciiTheme="majorHAnsi" w:hAnsiTheme="majorHAnsi" w:cs="Arial"/>
                                <w:color w:val="0D0D0D" w:themeColor="text1" w:themeTint="F2"/>
                                <w:szCs w:val="22"/>
                              </w:rPr>
                              <w:t xml:space="preserve">MERITS </w:t>
                            </w:r>
                          </w:p>
                          <w:p w14:paraId="4DC84F7D" w14:textId="77777777" w:rsidR="00C45C34" w:rsidRPr="00EB25FE" w:rsidRDefault="00C45C34" w:rsidP="00997BC5">
                            <w:pPr>
                              <w:spacing w:line="276" w:lineRule="auto"/>
                              <w:rPr>
                                <w:rFonts w:asciiTheme="majorHAnsi" w:hAnsiTheme="majorHAnsi" w:cs="Arial"/>
                                <w:color w:val="0D0D0D" w:themeColor="text1" w:themeTint="F2"/>
                                <w:szCs w:val="22"/>
                              </w:rPr>
                            </w:pPr>
                            <w:bookmarkStart w:id="1" w:name="_ftnref1"/>
                          </w:p>
                          <w:bookmarkEnd w:id="1"/>
                          <w:p w14:paraId="189E3A3E" w14:textId="40E93779" w:rsidR="00C45C34" w:rsidRPr="00506E20" w:rsidRDefault="00C45C34" w:rsidP="00997BC5">
                            <w:pPr>
                              <w:spacing w:line="276" w:lineRule="auto"/>
                              <w:rPr>
                                <w:rFonts w:asciiTheme="majorHAnsi" w:hAnsiTheme="majorHAnsi" w:cs="Arial"/>
                                <w:color w:val="0D0D0D" w:themeColor="text1" w:themeTint="F2"/>
                                <w:szCs w:val="22"/>
                              </w:rPr>
                            </w:pPr>
                            <w:r>
                              <w:rPr>
                                <w:rFonts w:ascii="Cambria" w:hAnsi="Cambria"/>
                              </w:rPr>
                              <w:t xml:space="preserve">ROCÍO SAN MIGUEL SOSA AND OTHERS </w:t>
                            </w:r>
                          </w:p>
                          <w:p w14:paraId="092D091C" w14:textId="4E020615" w:rsidR="00C45C34" w:rsidRPr="0010736F" w:rsidRDefault="00C45C3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 xml:space="preserve">Venezuela </w:t>
                            </w:r>
                          </w:p>
                          <w:p w14:paraId="1FC32D92" w14:textId="77777777" w:rsidR="00C45C34" w:rsidRPr="00AE5488" w:rsidRDefault="00C45C3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R6jQIAAIMFAAAOAAAAZHJzL2Uyb0RvYy54bWysVN9P2zAQfp+0/8Hy+0jTtQyipqgDMU2q&#10;AA0mnl3HbiNsn2e7Tbq/nrOTtBXbC9NeEtv33e/vbnbVakV2wvkaTEnzsxElwnCoarMu6c+n208X&#10;lPjATMUUGFHSvfD0av7xw6yxhRjDBlQlHEEjxheNLekmBFtkmecboZk/AysMCiU4zQJe3TqrHGvQ&#10;ulbZeDQ6zxpwlXXAhff4etMJ6TzZl1LwcC+lF4GokmJsIX1d+q7iN5vPWLF2zG5q3ofB/iEKzWqD&#10;Tg+mblhgZOvqP0zpmjvwIMMZB52BlDUXKQfMJh+9yeZxw6xIuWBxvD2Uyf8/s/xu9+BIXZV0Solh&#10;Glv0JNpAvkJLprE6jfUFgh4twkKLz9jllKm3S+AvHiHZCaZT8IiO1Wil0/GPeRJUxAbsD0WPXjg+&#10;TiaTPL9EEUfZOL/Ix+PkODuqW+fDNwGaxENJHXY1hcB2Sx9iAKwYINGbgdtaqdRZZUhT0vPP01FS&#10;OEhQQ5mIFYkjvZmYRxd6OoW9EhGjzA8hsUYpg/iQ2CmulSM7hrxinAsT8litZBfRESUxiPco9vhj&#10;VO9R7vIYPIMJB2VdG3Bdx+JQHcOuXoaQZYfvO+m7vGMJQrtqEzkSMr6soNojExx0k+Qtv62xKUvm&#10;wwNzODrYSFwH4R4/UgEWH/oTJRtwv//2HvHIaJRS0uAoltT/2jInKFHfDXL9Mp9M4uymy2T6ZYwX&#10;dypZnUrMVl8DdiXHxWN5OkZ8UMNROtDPuDUW0SuKmOHou6RhOF6HbkHg1uFisUggnFbLwtI8Wj4M&#10;QKTcU/vMnO15GZDSdzAMLSve0LPDxvYaWGwDyDpx91jVvv446YlI/VaKq+T0nlDH3Tl/BQ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wbqEeo0CAACDBQAADgAAAAAAAAAAAAAAAAAuAgAAZHJzL2Uyb0RvYy54bWxQSwEC&#10;LQAUAAYACAAAACEA9UR3F+AAAAAKAQAADwAAAAAAAAAAAAAAAADnBAAAZHJzL2Rvd25yZXYueG1s&#10;UEsFBgAAAAAEAAQA8wAAAPQFAAAAAA==&#10;" filled="f" stroked="f" strokeweight=".5pt">
                <v:path arrowok="t"/>
                <v:textbox>
                  <w:txbxContent>
                    <w:p w14:paraId="20F9D9AA" w14:textId="2A800B8A" w:rsidR="00C45C34" w:rsidRPr="005B29D4" w:rsidRDefault="00C45C34" w:rsidP="00997BC5">
                      <w:pPr>
                        <w:spacing w:line="276" w:lineRule="auto"/>
                        <w:rPr>
                          <w:rFonts w:asciiTheme="majorHAnsi" w:hAnsiTheme="majorHAnsi" w:cs="Arial"/>
                          <w:b/>
                          <w:bCs/>
                          <w:color w:val="0D0D0D" w:themeColor="text1" w:themeTint="F2"/>
                          <w:sz w:val="36"/>
                          <w:szCs w:val="22"/>
                        </w:rPr>
                      </w:pPr>
                      <w:r w:rsidRPr="005B29D4">
                        <w:rPr>
                          <w:rFonts w:asciiTheme="majorHAnsi" w:hAnsiTheme="majorHAnsi" w:cs="Arial"/>
                          <w:b/>
                          <w:bCs/>
                          <w:color w:val="0D0D0D" w:themeColor="text1" w:themeTint="F2"/>
                          <w:sz w:val="36"/>
                          <w:szCs w:val="22"/>
                        </w:rPr>
                        <w:t xml:space="preserve">REPORT </w:t>
                      </w:r>
                      <w:r w:rsidRPr="005B29D4">
                        <w:rPr>
                          <w:rFonts w:asciiTheme="majorHAnsi" w:hAnsiTheme="majorHAnsi" w:cs="Arial"/>
                          <w:b/>
                          <w:bCs/>
                          <w:color w:val="0D0D0D" w:themeColor="text1" w:themeTint="F2"/>
                          <w:sz w:val="36"/>
                          <w:szCs w:val="40"/>
                        </w:rPr>
                        <w:t>No.</w:t>
                      </w:r>
                      <w:r>
                        <w:rPr>
                          <w:rFonts w:asciiTheme="majorHAnsi" w:hAnsiTheme="majorHAnsi" w:cs="Arial"/>
                          <w:b/>
                          <w:bCs/>
                          <w:color w:val="0D0D0D" w:themeColor="text1" w:themeTint="F2"/>
                          <w:sz w:val="36"/>
                          <w:szCs w:val="22"/>
                        </w:rPr>
                        <w:t xml:space="preserve"> 75</w:t>
                      </w:r>
                      <w:r w:rsidRPr="005B29D4">
                        <w:rPr>
                          <w:rFonts w:asciiTheme="majorHAnsi" w:hAnsiTheme="majorHAnsi" w:cs="Arial"/>
                          <w:b/>
                          <w:bCs/>
                          <w:color w:val="0D0D0D" w:themeColor="text1" w:themeTint="F2"/>
                          <w:sz w:val="36"/>
                          <w:szCs w:val="22"/>
                        </w:rPr>
                        <w:t>/15</w:t>
                      </w:r>
                    </w:p>
                    <w:p w14:paraId="2C20096E" w14:textId="7E046109" w:rsidR="00C45C34" w:rsidRPr="00EB25FE" w:rsidRDefault="00C45C34" w:rsidP="00997BC5">
                      <w:pPr>
                        <w:spacing w:line="276" w:lineRule="auto"/>
                        <w:rPr>
                          <w:rFonts w:asciiTheme="majorHAnsi" w:hAnsiTheme="majorHAnsi" w:cs="Arial"/>
                          <w:b/>
                          <w:color w:val="0D0D0D" w:themeColor="text1" w:themeTint="F2"/>
                          <w:sz w:val="36"/>
                          <w:szCs w:val="22"/>
                        </w:rPr>
                      </w:pPr>
                      <w:r w:rsidRPr="00EB25FE">
                        <w:rPr>
                          <w:rFonts w:asciiTheme="majorHAnsi" w:hAnsiTheme="majorHAnsi" w:cs="Arial"/>
                          <w:b/>
                          <w:color w:val="0D0D0D" w:themeColor="text1" w:themeTint="F2"/>
                          <w:sz w:val="36"/>
                          <w:szCs w:val="22"/>
                        </w:rPr>
                        <w:t>CASE 12.923</w:t>
                      </w:r>
                    </w:p>
                    <w:p w14:paraId="64167D0D" w14:textId="24D72B18" w:rsidR="00C45C34" w:rsidRPr="00EB25FE" w:rsidRDefault="00C45C3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Pr="00EB25FE">
                        <w:rPr>
                          <w:rFonts w:asciiTheme="majorHAnsi" w:hAnsiTheme="majorHAnsi" w:cs="Arial"/>
                          <w:color w:val="0D0D0D" w:themeColor="text1" w:themeTint="F2"/>
                          <w:szCs w:val="22"/>
                        </w:rPr>
                        <w:t xml:space="preserve">MERITS </w:t>
                      </w:r>
                    </w:p>
                    <w:p w14:paraId="4DC84F7D" w14:textId="77777777" w:rsidR="00C45C34" w:rsidRPr="00EB25FE" w:rsidRDefault="00C45C34" w:rsidP="00997BC5">
                      <w:pPr>
                        <w:spacing w:line="276" w:lineRule="auto"/>
                        <w:rPr>
                          <w:rFonts w:asciiTheme="majorHAnsi" w:hAnsiTheme="majorHAnsi" w:cs="Arial"/>
                          <w:color w:val="0D0D0D" w:themeColor="text1" w:themeTint="F2"/>
                          <w:szCs w:val="22"/>
                        </w:rPr>
                      </w:pPr>
                      <w:bookmarkStart w:id="1" w:name="_ftnref1"/>
                    </w:p>
                    <w:bookmarkEnd w:id="1"/>
                    <w:p w14:paraId="189E3A3E" w14:textId="40E93779" w:rsidR="00C45C34" w:rsidRPr="00506E20" w:rsidRDefault="00C45C34" w:rsidP="00997BC5">
                      <w:pPr>
                        <w:spacing w:line="276" w:lineRule="auto"/>
                        <w:rPr>
                          <w:rFonts w:asciiTheme="majorHAnsi" w:hAnsiTheme="majorHAnsi" w:cs="Arial"/>
                          <w:color w:val="0D0D0D" w:themeColor="text1" w:themeTint="F2"/>
                          <w:szCs w:val="22"/>
                        </w:rPr>
                      </w:pPr>
                      <w:r>
                        <w:rPr>
                          <w:rFonts w:ascii="Cambria" w:hAnsi="Cambria"/>
                        </w:rPr>
                        <w:t xml:space="preserve">ROCÍO SAN MIGUEL SOSA AND OTHERS </w:t>
                      </w:r>
                    </w:p>
                    <w:p w14:paraId="092D091C" w14:textId="4E020615" w:rsidR="00C45C34" w:rsidRPr="0010736F" w:rsidRDefault="00C45C3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 xml:space="preserve">Venezuela </w:t>
                      </w:r>
                    </w:p>
                    <w:p w14:paraId="1FC32D92" w14:textId="77777777" w:rsidR="00C45C34" w:rsidRPr="00AE5488" w:rsidRDefault="00C45C34" w:rsidP="007A5817">
                      <w:pPr>
                        <w:rPr>
                          <w:color w:val="0D0D0D" w:themeColor="text1" w:themeTint="F2"/>
                          <w:lang w:val="es-ES_tradnl"/>
                        </w:rPr>
                      </w:pPr>
                    </w:p>
                  </w:txbxContent>
                </v:textbox>
              </v:shape>
            </w:pict>
          </mc:Fallback>
        </mc:AlternateContent>
      </w:r>
      <w:r>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1FF20D19" wp14:editId="23ED492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21B8F2" w14:textId="77777777" w:rsidR="00C45C34" w:rsidRPr="0094120E" w:rsidRDefault="00C45C34" w:rsidP="00847996">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OEA/Ser.L/V/II.156</w:t>
                            </w:r>
                          </w:p>
                          <w:p w14:paraId="5DC0F8C0" w14:textId="7BBED775" w:rsidR="00C45C34" w:rsidRPr="0094120E" w:rsidRDefault="00C45C34" w:rsidP="00847996">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21</w:t>
                            </w:r>
                          </w:p>
                          <w:p w14:paraId="4F13B99D" w14:textId="7720ECC0" w:rsidR="00C45C34" w:rsidRPr="00B06C1C" w:rsidRDefault="00C45C34" w:rsidP="00847996">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28 October</w:t>
                            </w:r>
                            <w:r w:rsidRPr="00B06C1C">
                              <w:rPr>
                                <w:rFonts w:asciiTheme="minorHAnsi" w:hAnsiTheme="minorHAnsi"/>
                                <w:color w:val="FFFFFF" w:themeColor="background1"/>
                                <w:sz w:val="22"/>
                                <w:lang w:val="pt-BR"/>
                              </w:rPr>
                              <w:t xml:space="preserve"> 201</w:t>
                            </w:r>
                            <w:r>
                              <w:rPr>
                                <w:rFonts w:asciiTheme="minorHAnsi" w:hAnsiTheme="minorHAnsi"/>
                                <w:color w:val="FFFFFF" w:themeColor="background1"/>
                                <w:sz w:val="22"/>
                                <w:lang w:val="pt-BR"/>
                              </w:rPr>
                              <w:t>5</w:t>
                            </w:r>
                          </w:p>
                          <w:p w14:paraId="42C48A09" w14:textId="2DFD5C91" w:rsidR="00C45C34" w:rsidRPr="005B29D4" w:rsidRDefault="00C45C34" w:rsidP="00847996">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Original: S</w:t>
                            </w:r>
                            <w:r w:rsidRPr="005B29D4">
                              <w:rPr>
                                <w:rFonts w:asciiTheme="minorHAnsi" w:hAnsiTheme="minorHAnsi"/>
                                <w:color w:val="FFFFFF" w:themeColor="background1"/>
                                <w:sz w:val="22"/>
                              </w:rPr>
                              <w:t>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14:paraId="3921B8F2" w14:textId="77777777" w:rsidR="00C45C34" w:rsidRPr="0094120E" w:rsidRDefault="00C45C34" w:rsidP="00847996">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OEA/Ser.L/V/II.156</w:t>
                      </w:r>
                    </w:p>
                    <w:p w14:paraId="5DC0F8C0" w14:textId="7BBED775" w:rsidR="00C45C34" w:rsidRPr="0094120E" w:rsidRDefault="00C45C34" w:rsidP="00847996">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21</w:t>
                      </w:r>
                    </w:p>
                    <w:p w14:paraId="4F13B99D" w14:textId="7720ECC0" w:rsidR="00C45C34" w:rsidRPr="00B06C1C" w:rsidRDefault="00C45C34" w:rsidP="00847996">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28 October</w:t>
                      </w:r>
                      <w:r w:rsidRPr="00B06C1C">
                        <w:rPr>
                          <w:rFonts w:asciiTheme="minorHAnsi" w:hAnsiTheme="minorHAnsi"/>
                          <w:color w:val="FFFFFF" w:themeColor="background1"/>
                          <w:sz w:val="22"/>
                          <w:lang w:val="pt-BR"/>
                        </w:rPr>
                        <w:t xml:space="preserve"> 201</w:t>
                      </w:r>
                      <w:r>
                        <w:rPr>
                          <w:rFonts w:asciiTheme="minorHAnsi" w:hAnsiTheme="minorHAnsi"/>
                          <w:color w:val="FFFFFF" w:themeColor="background1"/>
                          <w:sz w:val="22"/>
                          <w:lang w:val="pt-BR"/>
                        </w:rPr>
                        <w:t>5</w:t>
                      </w:r>
                    </w:p>
                    <w:p w14:paraId="42C48A09" w14:textId="2DFD5C91" w:rsidR="00C45C34" w:rsidRPr="005B29D4" w:rsidRDefault="00C45C34" w:rsidP="00847996">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Original: S</w:t>
                      </w:r>
                      <w:r w:rsidRPr="005B29D4">
                        <w:rPr>
                          <w:rFonts w:asciiTheme="minorHAnsi" w:hAnsiTheme="minorHAnsi"/>
                          <w:color w:val="FFFFFF" w:themeColor="background1"/>
                          <w:sz w:val="22"/>
                        </w:rPr>
                        <w:t>panish</w:t>
                      </w:r>
                    </w:p>
                  </w:txbxContent>
                </v:textbox>
              </v:shape>
            </w:pict>
          </mc:Fallback>
        </mc:AlternateContent>
      </w:r>
    </w:p>
    <w:p w14:paraId="43B3482E" w14:textId="77777777" w:rsidR="00040C3A" w:rsidRPr="00420489" w:rsidRDefault="00040C3A" w:rsidP="00040C3A">
      <w:pPr>
        <w:tabs>
          <w:tab w:val="center" w:pos="5400"/>
        </w:tabs>
        <w:suppressAutoHyphens/>
        <w:jc w:val="center"/>
        <w:rPr>
          <w:rFonts w:asciiTheme="majorHAnsi" w:hAnsiTheme="majorHAnsi"/>
          <w:sz w:val="20"/>
          <w:szCs w:val="20"/>
          <w:lang w:val="es-ES_tradnl"/>
        </w:rPr>
      </w:pPr>
    </w:p>
    <w:p w14:paraId="4FE4D371" w14:textId="77777777" w:rsidR="00040C3A" w:rsidRPr="00420489" w:rsidRDefault="00040C3A" w:rsidP="00040C3A">
      <w:pPr>
        <w:tabs>
          <w:tab w:val="center" w:pos="5400"/>
        </w:tabs>
        <w:suppressAutoHyphens/>
        <w:jc w:val="center"/>
        <w:rPr>
          <w:rFonts w:asciiTheme="majorHAnsi" w:hAnsiTheme="majorHAnsi"/>
          <w:sz w:val="20"/>
          <w:szCs w:val="20"/>
          <w:lang w:val="es-ES_tradnl"/>
        </w:rPr>
      </w:pPr>
    </w:p>
    <w:p w14:paraId="189081E0" w14:textId="77777777" w:rsidR="00040C3A" w:rsidRPr="00420489" w:rsidRDefault="00040C3A" w:rsidP="00040C3A">
      <w:pPr>
        <w:tabs>
          <w:tab w:val="center" w:pos="5400"/>
        </w:tabs>
        <w:suppressAutoHyphens/>
        <w:jc w:val="center"/>
        <w:rPr>
          <w:rFonts w:asciiTheme="majorHAnsi" w:hAnsiTheme="majorHAnsi" w:cs="Arial"/>
          <w:sz w:val="20"/>
          <w:szCs w:val="20"/>
          <w:lang w:val="es-ES_tradnl"/>
        </w:rPr>
      </w:pPr>
    </w:p>
    <w:p w14:paraId="7AD33075" w14:textId="77777777" w:rsidR="00040C3A" w:rsidRPr="00420489" w:rsidRDefault="00040C3A" w:rsidP="00040C3A">
      <w:pPr>
        <w:tabs>
          <w:tab w:val="center" w:pos="5400"/>
        </w:tabs>
        <w:suppressAutoHyphens/>
        <w:jc w:val="center"/>
        <w:rPr>
          <w:rFonts w:asciiTheme="majorHAnsi" w:hAnsiTheme="majorHAnsi"/>
          <w:sz w:val="20"/>
          <w:szCs w:val="20"/>
          <w:lang w:val="es-ES_tradnl"/>
        </w:rPr>
      </w:pPr>
    </w:p>
    <w:p w14:paraId="12F700A7" w14:textId="77777777" w:rsidR="00040C3A" w:rsidRPr="00420489" w:rsidRDefault="00040C3A" w:rsidP="00040C3A">
      <w:pPr>
        <w:tabs>
          <w:tab w:val="center" w:pos="5400"/>
        </w:tabs>
        <w:suppressAutoHyphens/>
        <w:jc w:val="center"/>
        <w:rPr>
          <w:rFonts w:asciiTheme="majorHAnsi" w:hAnsiTheme="majorHAnsi"/>
          <w:sz w:val="20"/>
          <w:szCs w:val="20"/>
          <w:lang w:val="es-ES_tradnl"/>
        </w:rPr>
      </w:pPr>
    </w:p>
    <w:p w14:paraId="28E0BBCB" w14:textId="77777777" w:rsidR="00040C3A" w:rsidRPr="00420489" w:rsidRDefault="00040C3A" w:rsidP="00040C3A">
      <w:pPr>
        <w:tabs>
          <w:tab w:val="center" w:pos="5400"/>
        </w:tabs>
        <w:suppressAutoHyphens/>
        <w:jc w:val="center"/>
        <w:rPr>
          <w:rFonts w:asciiTheme="majorHAnsi" w:hAnsiTheme="majorHAnsi"/>
          <w:sz w:val="20"/>
          <w:szCs w:val="20"/>
          <w:lang w:val="es-ES_tradnl"/>
        </w:rPr>
      </w:pPr>
    </w:p>
    <w:p w14:paraId="50912C44" w14:textId="77777777" w:rsidR="00040C3A" w:rsidRPr="00420489" w:rsidRDefault="00040C3A" w:rsidP="00040C3A">
      <w:pPr>
        <w:tabs>
          <w:tab w:val="center" w:pos="5400"/>
        </w:tabs>
        <w:suppressAutoHyphens/>
        <w:jc w:val="center"/>
        <w:rPr>
          <w:rFonts w:asciiTheme="majorHAnsi" w:hAnsiTheme="majorHAnsi"/>
          <w:sz w:val="20"/>
          <w:szCs w:val="20"/>
          <w:lang w:val="es-ES_tradnl"/>
        </w:rPr>
      </w:pPr>
    </w:p>
    <w:p w14:paraId="6C5C1E84" w14:textId="77777777" w:rsidR="005128E4" w:rsidRPr="00420489" w:rsidRDefault="005128E4" w:rsidP="00040C3A">
      <w:pPr>
        <w:tabs>
          <w:tab w:val="center" w:pos="5400"/>
        </w:tabs>
        <w:suppressAutoHyphens/>
        <w:jc w:val="center"/>
        <w:rPr>
          <w:rFonts w:asciiTheme="majorHAnsi" w:hAnsiTheme="majorHAnsi"/>
          <w:sz w:val="20"/>
          <w:szCs w:val="20"/>
          <w:lang w:val="es-ES_tradnl"/>
        </w:rPr>
      </w:pPr>
    </w:p>
    <w:p w14:paraId="250BAAC9" w14:textId="77777777" w:rsidR="00040C3A" w:rsidRPr="00420489" w:rsidRDefault="00040C3A" w:rsidP="00040C3A">
      <w:pPr>
        <w:tabs>
          <w:tab w:val="center" w:pos="5400"/>
        </w:tabs>
        <w:suppressAutoHyphens/>
        <w:jc w:val="center"/>
        <w:rPr>
          <w:rFonts w:asciiTheme="majorHAnsi" w:hAnsiTheme="majorHAnsi"/>
          <w:sz w:val="20"/>
          <w:szCs w:val="20"/>
          <w:lang w:val="es-ES_tradnl"/>
        </w:rPr>
      </w:pPr>
    </w:p>
    <w:p w14:paraId="4BA3AC2C" w14:textId="77777777" w:rsidR="005128E4" w:rsidRPr="00420489" w:rsidRDefault="005128E4" w:rsidP="00040C3A">
      <w:pPr>
        <w:tabs>
          <w:tab w:val="center" w:pos="5400"/>
        </w:tabs>
        <w:suppressAutoHyphens/>
        <w:jc w:val="center"/>
        <w:rPr>
          <w:rFonts w:asciiTheme="majorHAnsi" w:hAnsiTheme="majorHAnsi"/>
          <w:sz w:val="20"/>
          <w:szCs w:val="20"/>
          <w:lang w:val="es-ES_tradnl"/>
        </w:rPr>
      </w:pPr>
    </w:p>
    <w:p w14:paraId="6110F4F1" w14:textId="77777777" w:rsidR="005128E4" w:rsidRPr="00420489" w:rsidRDefault="005128E4" w:rsidP="00040C3A">
      <w:pPr>
        <w:tabs>
          <w:tab w:val="center" w:pos="5400"/>
        </w:tabs>
        <w:suppressAutoHyphens/>
        <w:jc w:val="center"/>
        <w:rPr>
          <w:rFonts w:asciiTheme="majorHAnsi" w:hAnsiTheme="majorHAnsi"/>
          <w:sz w:val="20"/>
          <w:szCs w:val="20"/>
          <w:lang w:val="es-ES_tradnl"/>
        </w:rPr>
      </w:pPr>
    </w:p>
    <w:p w14:paraId="62919D09" w14:textId="77777777" w:rsidR="005128E4" w:rsidRPr="00420489" w:rsidRDefault="005128E4" w:rsidP="00040C3A">
      <w:pPr>
        <w:tabs>
          <w:tab w:val="center" w:pos="5400"/>
        </w:tabs>
        <w:suppressAutoHyphens/>
        <w:jc w:val="center"/>
        <w:rPr>
          <w:rFonts w:asciiTheme="majorHAnsi" w:hAnsiTheme="majorHAnsi"/>
          <w:sz w:val="20"/>
          <w:szCs w:val="20"/>
          <w:lang w:val="es-ES_tradnl"/>
        </w:rPr>
      </w:pPr>
    </w:p>
    <w:p w14:paraId="07425A29" w14:textId="77777777" w:rsidR="00040C3A" w:rsidRPr="00420489" w:rsidRDefault="00040C3A" w:rsidP="00040C3A">
      <w:pPr>
        <w:tabs>
          <w:tab w:val="center" w:pos="5400"/>
        </w:tabs>
        <w:suppressAutoHyphens/>
        <w:jc w:val="center"/>
        <w:rPr>
          <w:rFonts w:asciiTheme="majorHAnsi" w:hAnsiTheme="majorHAnsi"/>
          <w:sz w:val="20"/>
          <w:szCs w:val="20"/>
          <w:lang w:val="es-ES_tradnl"/>
        </w:rPr>
      </w:pPr>
    </w:p>
    <w:p w14:paraId="17897BFD" w14:textId="77777777" w:rsidR="00040C3A" w:rsidRPr="00420489" w:rsidRDefault="00040C3A" w:rsidP="00040C3A">
      <w:pPr>
        <w:tabs>
          <w:tab w:val="center" w:pos="5400"/>
        </w:tabs>
        <w:suppressAutoHyphens/>
        <w:jc w:val="center"/>
        <w:rPr>
          <w:rFonts w:asciiTheme="majorHAnsi" w:hAnsiTheme="majorHAnsi"/>
          <w:sz w:val="20"/>
          <w:szCs w:val="20"/>
          <w:lang w:val="es-ES_tradnl"/>
        </w:rPr>
      </w:pPr>
    </w:p>
    <w:p w14:paraId="10664904" w14:textId="77777777" w:rsidR="00A50FCF" w:rsidRPr="00420489" w:rsidRDefault="00A50FCF" w:rsidP="00040C3A">
      <w:pPr>
        <w:tabs>
          <w:tab w:val="center" w:pos="5400"/>
        </w:tabs>
        <w:suppressAutoHyphens/>
        <w:jc w:val="center"/>
        <w:rPr>
          <w:rFonts w:asciiTheme="majorHAnsi" w:hAnsiTheme="majorHAnsi"/>
          <w:sz w:val="20"/>
          <w:szCs w:val="20"/>
          <w:lang w:val="es-ES_tradnl"/>
        </w:rPr>
      </w:pPr>
    </w:p>
    <w:p w14:paraId="3F0BE975" w14:textId="77777777" w:rsidR="00A50FCF" w:rsidRPr="00420489" w:rsidRDefault="00A50FCF" w:rsidP="00040C3A">
      <w:pPr>
        <w:tabs>
          <w:tab w:val="center" w:pos="5400"/>
        </w:tabs>
        <w:suppressAutoHyphens/>
        <w:jc w:val="center"/>
        <w:rPr>
          <w:rFonts w:asciiTheme="majorHAnsi" w:hAnsiTheme="majorHAnsi"/>
          <w:sz w:val="20"/>
          <w:szCs w:val="20"/>
          <w:lang w:val="es-ES_tradnl"/>
        </w:rPr>
      </w:pPr>
    </w:p>
    <w:p w14:paraId="47080086" w14:textId="77777777" w:rsidR="00A50FCF" w:rsidRPr="00420489" w:rsidRDefault="00A50FCF" w:rsidP="00040C3A">
      <w:pPr>
        <w:tabs>
          <w:tab w:val="center" w:pos="5400"/>
        </w:tabs>
        <w:suppressAutoHyphens/>
        <w:jc w:val="center"/>
        <w:rPr>
          <w:rFonts w:asciiTheme="majorHAnsi" w:hAnsiTheme="majorHAnsi"/>
          <w:sz w:val="20"/>
          <w:szCs w:val="20"/>
          <w:lang w:val="es-ES_tradnl"/>
        </w:rPr>
      </w:pPr>
    </w:p>
    <w:p w14:paraId="1908F869" w14:textId="77777777" w:rsidR="00A50FCF" w:rsidRPr="00420489" w:rsidRDefault="00A50FCF" w:rsidP="00040C3A">
      <w:pPr>
        <w:tabs>
          <w:tab w:val="center" w:pos="5400"/>
        </w:tabs>
        <w:suppressAutoHyphens/>
        <w:jc w:val="center"/>
        <w:rPr>
          <w:rFonts w:asciiTheme="majorHAnsi" w:hAnsiTheme="majorHAnsi"/>
          <w:sz w:val="20"/>
          <w:szCs w:val="20"/>
          <w:lang w:val="es-ES_tradnl"/>
        </w:rPr>
      </w:pPr>
    </w:p>
    <w:p w14:paraId="082EA4EC" w14:textId="77777777" w:rsidR="00A50FCF" w:rsidRPr="00420489" w:rsidRDefault="00A50FCF" w:rsidP="00040C3A">
      <w:pPr>
        <w:tabs>
          <w:tab w:val="center" w:pos="5400"/>
        </w:tabs>
        <w:suppressAutoHyphens/>
        <w:jc w:val="center"/>
        <w:rPr>
          <w:rFonts w:asciiTheme="majorHAnsi" w:hAnsiTheme="majorHAnsi"/>
          <w:sz w:val="20"/>
          <w:szCs w:val="20"/>
          <w:lang w:val="es-ES_tradnl"/>
        </w:rPr>
      </w:pPr>
    </w:p>
    <w:p w14:paraId="00799DDF" w14:textId="77777777" w:rsidR="00A50FCF" w:rsidRPr="00420489" w:rsidRDefault="00A50FCF" w:rsidP="00040C3A">
      <w:pPr>
        <w:tabs>
          <w:tab w:val="center" w:pos="5400"/>
        </w:tabs>
        <w:suppressAutoHyphens/>
        <w:jc w:val="center"/>
        <w:rPr>
          <w:rFonts w:asciiTheme="majorHAnsi" w:hAnsiTheme="majorHAnsi"/>
          <w:sz w:val="20"/>
          <w:szCs w:val="20"/>
          <w:lang w:val="es-ES_tradnl"/>
        </w:rPr>
      </w:pPr>
    </w:p>
    <w:p w14:paraId="54AA26F6" w14:textId="77777777" w:rsidR="00A50FCF" w:rsidRPr="00420489" w:rsidRDefault="00A50FCF" w:rsidP="00040C3A">
      <w:pPr>
        <w:tabs>
          <w:tab w:val="center" w:pos="5400"/>
        </w:tabs>
        <w:suppressAutoHyphens/>
        <w:jc w:val="center"/>
        <w:rPr>
          <w:rFonts w:asciiTheme="majorHAnsi" w:hAnsiTheme="majorHAnsi"/>
          <w:sz w:val="20"/>
          <w:szCs w:val="20"/>
          <w:lang w:val="es-ES_tradnl"/>
        </w:rPr>
      </w:pPr>
    </w:p>
    <w:p w14:paraId="1EA598FE" w14:textId="77777777" w:rsidR="00A50FCF" w:rsidRPr="00420489" w:rsidRDefault="00A50FCF" w:rsidP="00040C3A">
      <w:pPr>
        <w:tabs>
          <w:tab w:val="center" w:pos="5400"/>
        </w:tabs>
        <w:suppressAutoHyphens/>
        <w:jc w:val="center"/>
        <w:rPr>
          <w:rFonts w:asciiTheme="majorHAnsi" w:hAnsiTheme="majorHAnsi"/>
          <w:sz w:val="20"/>
          <w:szCs w:val="20"/>
          <w:lang w:val="es-ES_tradnl"/>
        </w:rPr>
      </w:pPr>
    </w:p>
    <w:p w14:paraId="51EAFD3F" w14:textId="77777777" w:rsidR="00A50FCF" w:rsidRPr="00420489" w:rsidRDefault="00A50FCF" w:rsidP="00040C3A">
      <w:pPr>
        <w:tabs>
          <w:tab w:val="center" w:pos="5400"/>
        </w:tabs>
        <w:suppressAutoHyphens/>
        <w:jc w:val="center"/>
        <w:rPr>
          <w:rFonts w:asciiTheme="majorHAnsi" w:hAnsiTheme="majorHAnsi"/>
          <w:sz w:val="20"/>
          <w:szCs w:val="20"/>
          <w:lang w:val="es-ES_tradnl"/>
        </w:rPr>
      </w:pPr>
    </w:p>
    <w:p w14:paraId="3F0243D6" w14:textId="77777777" w:rsidR="00A50FCF" w:rsidRPr="00420489" w:rsidRDefault="00A50FCF" w:rsidP="00040C3A">
      <w:pPr>
        <w:tabs>
          <w:tab w:val="center" w:pos="5400"/>
        </w:tabs>
        <w:suppressAutoHyphens/>
        <w:jc w:val="center"/>
        <w:rPr>
          <w:rFonts w:asciiTheme="majorHAnsi" w:hAnsiTheme="majorHAnsi"/>
          <w:sz w:val="20"/>
          <w:szCs w:val="20"/>
          <w:lang w:val="es-ES_tradnl"/>
        </w:rPr>
      </w:pPr>
    </w:p>
    <w:p w14:paraId="54F13C70" w14:textId="77777777" w:rsidR="00A50FCF" w:rsidRPr="00420489" w:rsidRDefault="00A50FCF" w:rsidP="00040C3A">
      <w:pPr>
        <w:tabs>
          <w:tab w:val="center" w:pos="5400"/>
        </w:tabs>
        <w:suppressAutoHyphens/>
        <w:jc w:val="center"/>
        <w:rPr>
          <w:rFonts w:asciiTheme="majorHAnsi" w:hAnsiTheme="majorHAnsi"/>
          <w:sz w:val="20"/>
          <w:szCs w:val="20"/>
          <w:lang w:val="es-ES_tradnl"/>
        </w:rPr>
      </w:pPr>
    </w:p>
    <w:p w14:paraId="45A86A68" w14:textId="77777777" w:rsidR="00A50FCF" w:rsidRPr="00420489" w:rsidRDefault="00A50FCF" w:rsidP="00040C3A">
      <w:pPr>
        <w:tabs>
          <w:tab w:val="center" w:pos="5400"/>
        </w:tabs>
        <w:suppressAutoHyphens/>
        <w:jc w:val="center"/>
        <w:rPr>
          <w:rFonts w:asciiTheme="majorHAnsi" w:hAnsiTheme="majorHAnsi"/>
          <w:sz w:val="20"/>
          <w:szCs w:val="20"/>
          <w:lang w:val="es-ES_tradnl"/>
        </w:rPr>
      </w:pPr>
    </w:p>
    <w:p w14:paraId="6906E9D3" w14:textId="77777777" w:rsidR="00A50FCF" w:rsidRPr="00420489" w:rsidRDefault="00A50FCF" w:rsidP="00040C3A">
      <w:pPr>
        <w:tabs>
          <w:tab w:val="center" w:pos="5400"/>
        </w:tabs>
        <w:suppressAutoHyphens/>
        <w:jc w:val="center"/>
        <w:rPr>
          <w:rFonts w:asciiTheme="majorHAnsi" w:hAnsiTheme="majorHAnsi"/>
          <w:sz w:val="20"/>
          <w:szCs w:val="20"/>
          <w:lang w:val="es-ES_tradnl"/>
        </w:rPr>
      </w:pPr>
    </w:p>
    <w:p w14:paraId="49453FE2" w14:textId="77777777" w:rsidR="00A50FCF" w:rsidRPr="00420489" w:rsidRDefault="00A50FCF" w:rsidP="00040C3A">
      <w:pPr>
        <w:tabs>
          <w:tab w:val="center" w:pos="5400"/>
        </w:tabs>
        <w:suppressAutoHyphens/>
        <w:jc w:val="center"/>
        <w:rPr>
          <w:rFonts w:asciiTheme="majorHAnsi" w:hAnsiTheme="majorHAnsi"/>
          <w:sz w:val="20"/>
          <w:szCs w:val="20"/>
          <w:lang w:val="es-ES_tradnl"/>
        </w:rPr>
      </w:pPr>
    </w:p>
    <w:p w14:paraId="00B0A117" w14:textId="77777777" w:rsidR="00A50FCF" w:rsidRPr="00420489" w:rsidRDefault="00C0075D" w:rsidP="00040C3A">
      <w:pPr>
        <w:tabs>
          <w:tab w:val="center" w:pos="5400"/>
        </w:tabs>
        <w:suppressAutoHyphens/>
        <w:jc w:val="center"/>
        <w:rPr>
          <w:rFonts w:asciiTheme="majorHAnsi" w:hAnsiTheme="majorHAnsi"/>
          <w:sz w:val="20"/>
          <w:szCs w:val="20"/>
          <w:lang w:val="es-ES_tradnl"/>
        </w:rPr>
      </w:pPr>
      <w:r>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611C4B89" wp14:editId="158AB5F7">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B14375" w14:textId="489B7A3B" w:rsidR="00C45C34" w:rsidRPr="001D502F" w:rsidRDefault="00C45C34" w:rsidP="007C7D76">
                            <w:pPr>
                              <w:tabs>
                                <w:tab w:val="center" w:pos="5400"/>
                              </w:tabs>
                              <w:suppressAutoHyphens/>
                              <w:spacing w:before="60"/>
                              <w:rPr>
                                <w:rFonts w:ascii="Cambria" w:hAnsi="Cambria"/>
                                <w:color w:val="0D0D0D"/>
                                <w:sz w:val="18"/>
                                <w:szCs w:val="22"/>
                              </w:rPr>
                            </w:pPr>
                            <w:r w:rsidRPr="001D502F">
                              <w:rPr>
                                <w:rFonts w:ascii="Cambria" w:hAnsi="Cambria"/>
                                <w:color w:val="0D0D0D"/>
                                <w:sz w:val="18"/>
                                <w:szCs w:val="20"/>
                              </w:rPr>
                              <w:t>Approved by the Co</w:t>
                            </w:r>
                            <w:r>
                              <w:rPr>
                                <w:rFonts w:ascii="Cambria" w:hAnsi="Cambria"/>
                                <w:color w:val="0D0D0D"/>
                                <w:sz w:val="18"/>
                                <w:szCs w:val="20"/>
                              </w:rPr>
                              <w:t>mmission at its session No. 21 held on October 28, 2015</w:t>
                            </w:r>
                            <w:r w:rsidRPr="001D502F">
                              <w:rPr>
                                <w:rFonts w:ascii="Cambria" w:hAnsi="Cambria"/>
                                <w:color w:val="0D0D0D"/>
                                <w:sz w:val="18"/>
                                <w:szCs w:val="20"/>
                              </w:rPr>
                              <w:br/>
                            </w:r>
                            <w:r>
                              <w:rPr>
                                <w:rFonts w:ascii="Cambria" w:hAnsi="Cambria" w:cs="Univers"/>
                                <w:color w:val="0D0D0D"/>
                                <w:sz w:val="18"/>
                                <w:szCs w:val="20"/>
                              </w:rPr>
                              <w:t>156</w:t>
                            </w:r>
                            <w:r w:rsidRPr="001D502F">
                              <w:rPr>
                                <w:rFonts w:ascii="Cambria" w:hAnsi="Cambria" w:cs="Univers"/>
                                <w:color w:val="0D0D0D"/>
                                <w:sz w:val="18"/>
                                <w:szCs w:val="20"/>
                              </w:rPr>
                              <w:t xml:space="preserve"> Regular Period of Sessions</w:t>
                            </w:r>
                          </w:p>
                          <w:p w14:paraId="077F3F07" w14:textId="1E16E08D" w:rsidR="00C45C34" w:rsidRPr="007C7D76" w:rsidRDefault="00C45C34" w:rsidP="00247403">
                            <w:pPr>
                              <w:tabs>
                                <w:tab w:val="center" w:pos="5400"/>
                              </w:tabs>
                              <w:suppressAutoHyphens/>
                              <w:spacing w:before="60"/>
                              <w:rPr>
                                <w:rFonts w:asciiTheme="majorHAnsi" w:hAnsiTheme="majorHAnsi" w:cs="Univers"/>
                                <w:color w:val="0D0D0D" w:themeColor="text1" w:themeTint="F2"/>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14:paraId="6EB14375" w14:textId="489B7A3B" w:rsidR="00C45C34" w:rsidRPr="001D502F" w:rsidRDefault="00C45C34" w:rsidP="007C7D76">
                      <w:pPr>
                        <w:tabs>
                          <w:tab w:val="center" w:pos="5400"/>
                        </w:tabs>
                        <w:suppressAutoHyphens/>
                        <w:spacing w:before="60"/>
                        <w:rPr>
                          <w:rFonts w:ascii="Cambria" w:hAnsi="Cambria"/>
                          <w:color w:val="0D0D0D"/>
                          <w:sz w:val="18"/>
                          <w:szCs w:val="22"/>
                        </w:rPr>
                      </w:pPr>
                      <w:r w:rsidRPr="001D502F">
                        <w:rPr>
                          <w:rFonts w:ascii="Cambria" w:hAnsi="Cambria"/>
                          <w:color w:val="0D0D0D"/>
                          <w:sz w:val="18"/>
                          <w:szCs w:val="20"/>
                        </w:rPr>
                        <w:t>Approved by the Co</w:t>
                      </w:r>
                      <w:r>
                        <w:rPr>
                          <w:rFonts w:ascii="Cambria" w:hAnsi="Cambria"/>
                          <w:color w:val="0D0D0D"/>
                          <w:sz w:val="18"/>
                          <w:szCs w:val="20"/>
                        </w:rPr>
                        <w:t>mmission at its session No. 21 held on October 28, 2015</w:t>
                      </w:r>
                      <w:r w:rsidRPr="001D502F">
                        <w:rPr>
                          <w:rFonts w:ascii="Cambria" w:hAnsi="Cambria"/>
                          <w:color w:val="0D0D0D"/>
                          <w:sz w:val="18"/>
                          <w:szCs w:val="20"/>
                        </w:rPr>
                        <w:br/>
                      </w:r>
                      <w:r>
                        <w:rPr>
                          <w:rFonts w:ascii="Cambria" w:hAnsi="Cambria" w:cs="Univers"/>
                          <w:color w:val="0D0D0D"/>
                          <w:sz w:val="18"/>
                          <w:szCs w:val="20"/>
                        </w:rPr>
                        <w:t>156</w:t>
                      </w:r>
                      <w:r w:rsidRPr="001D502F">
                        <w:rPr>
                          <w:rFonts w:ascii="Cambria" w:hAnsi="Cambria" w:cs="Univers"/>
                          <w:color w:val="0D0D0D"/>
                          <w:sz w:val="18"/>
                          <w:szCs w:val="20"/>
                        </w:rPr>
                        <w:t xml:space="preserve"> Regular Period of Sessions</w:t>
                      </w:r>
                    </w:p>
                    <w:p w14:paraId="077F3F07" w14:textId="1E16E08D" w:rsidR="00C45C34" w:rsidRPr="007C7D76" w:rsidRDefault="00C45C34" w:rsidP="00247403">
                      <w:pPr>
                        <w:tabs>
                          <w:tab w:val="center" w:pos="5400"/>
                        </w:tabs>
                        <w:suppressAutoHyphens/>
                        <w:spacing w:before="60"/>
                        <w:rPr>
                          <w:rFonts w:asciiTheme="majorHAnsi" w:hAnsiTheme="majorHAnsi" w:cs="Univers"/>
                          <w:color w:val="0D0D0D" w:themeColor="text1" w:themeTint="F2"/>
                          <w:sz w:val="18"/>
                          <w:szCs w:val="20"/>
                        </w:rPr>
                      </w:pPr>
                    </w:p>
                  </w:txbxContent>
                </v:textbox>
              </v:shape>
            </w:pict>
          </mc:Fallback>
        </mc:AlternateContent>
      </w:r>
    </w:p>
    <w:p w14:paraId="1320969F" w14:textId="77777777" w:rsidR="00A50FCF" w:rsidRPr="00420489" w:rsidRDefault="00A50FCF" w:rsidP="00040C3A">
      <w:pPr>
        <w:tabs>
          <w:tab w:val="center" w:pos="5400"/>
        </w:tabs>
        <w:suppressAutoHyphens/>
        <w:jc w:val="center"/>
        <w:rPr>
          <w:rFonts w:asciiTheme="majorHAnsi" w:hAnsiTheme="majorHAnsi"/>
          <w:sz w:val="20"/>
          <w:szCs w:val="20"/>
          <w:lang w:val="es-ES_tradnl"/>
        </w:rPr>
      </w:pPr>
    </w:p>
    <w:p w14:paraId="643F0C21" w14:textId="77777777" w:rsidR="00A50FCF" w:rsidRPr="00420489" w:rsidRDefault="00A50FCF" w:rsidP="00040C3A">
      <w:pPr>
        <w:tabs>
          <w:tab w:val="center" w:pos="5400"/>
        </w:tabs>
        <w:suppressAutoHyphens/>
        <w:jc w:val="center"/>
        <w:rPr>
          <w:rFonts w:asciiTheme="majorHAnsi" w:hAnsiTheme="majorHAnsi"/>
          <w:sz w:val="20"/>
          <w:szCs w:val="20"/>
          <w:lang w:val="es-ES_tradnl"/>
        </w:rPr>
      </w:pPr>
    </w:p>
    <w:p w14:paraId="61C1466F" w14:textId="77777777" w:rsidR="00A50FCF" w:rsidRPr="00420489" w:rsidRDefault="00A50FCF" w:rsidP="00040C3A">
      <w:pPr>
        <w:tabs>
          <w:tab w:val="center" w:pos="5400"/>
        </w:tabs>
        <w:suppressAutoHyphens/>
        <w:jc w:val="center"/>
        <w:rPr>
          <w:rFonts w:asciiTheme="majorHAnsi" w:hAnsiTheme="majorHAnsi"/>
          <w:sz w:val="20"/>
          <w:szCs w:val="20"/>
          <w:lang w:val="es-ES_tradnl"/>
        </w:rPr>
      </w:pPr>
    </w:p>
    <w:p w14:paraId="4EB7FCD2" w14:textId="77777777" w:rsidR="00A50FCF" w:rsidRPr="00420489" w:rsidRDefault="00A50FCF" w:rsidP="00040C3A">
      <w:pPr>
        <w:tabs>
          <w:tab w:val="center" w:pos="5400"/>
        </w:tabs>
        <w:suppressAutoHyphens/>
        <w:jc w:val="center"/>
        <w:rPr>
          <w:rFonts w:asciiTheme="majorHAnsi" w:hAnsiTheme="majorHAnsi"/>
          <w:sz w:val="20"/>
          <w:szCs w:val="20"/>
          <w:lang w:val="es-ES_tradnl"/>
        </w:rPr>
      </w:pPr>
    </w:p>
    <w:p w14:paraId="036ADEBB" w14:textId="77777777" w:rsidR="00A50FCF" w:rsidRPr="00420489" w:rsidRDefault="00C0075D" w:rsidP="00040C3A">
      <w:pPr>
        <w:tabs>
          <w:tab w:val="center" w:pos="5400"/>
        </w:tabs>
        <w:suppressAutoHyphens/>
        <w:jc w:val="center"/>
        <w:rPr>
          <w:rFonts w:asciiTheme="majorHAnsi" w:hAnsiTheme="majorHAnsi"/>
          <w:sz w:val="20"/>
          <w:szCs w:val="20"/>
          <w:lang w:val="es-ES_tradnl"/>
        </w:rPr>
      </w:pPr>
      <w:r>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05738D7D" wp14:editId="3D07B633">
                <wp:simplePos x="0" y="0"/>
                <wp:positionH relativeFrom="column">
                  <wp:posOffset>1333500</wp:posOffset>
                </wp:positionH>
                <wp:positionV relativeFrom="paragraph">
                  <wp:posOffset>5715</wp:posOffset>
                </wp:positionV>
                <wp:extent cx="4943475" cy="65722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040AB1" w14:textId="7533A106" w:rsidR="00C45C34" w:rsidRPr="00506E20" w:rsidRDefault="00C45C34" w:rsidP="007C7D76">
                            <w:pPr>
                              <w:spacing w:line="276" w:lineRule="auto"/>
                              <w:rPr>
                                <w:rFonts w:ascii="Cambria" w:hAnsi="Cambria"/>
                                <w:color w:val="595959"/>
                                <w:sz w:val="18"/>
                              </w:rPr>
                            </w:pPr>
                            <w:r w:rsidRPr="001D502F">
                              <w:rPr>
                                <w:rFonts w:ascii="Cambria" w:hAnsi="Cambria"/>
                                <w:b/>
                                <w:color w:val="595959"/>
                                <w:sz w:val="18"/>
                              </w:rPr>
                              <w:t xml:space="preserve">Cite as: </w:t>
                            </w:r>
                            <w:r>
                              <w:rPr>
                                <w:rFonts w:ascii="Cambria" w:hAnsi="Cambria"/>
                                <w:color w:val="595959"/>
                                <w:sz w:val="18"/>
                              </w:rPr>
                              <w:t>IACHR, Report No. 75/15</w:t>
                            </w:r>
                            <w:r w:rsidRPr="001D502F">
                              <w:rPr>
                                <w:rFonts w:ascii="Cambria" w:hAnsi="Cambria"/>
                                <w:color w:val="595959"/>
                                <w:sz w:val="18"/>
                              </w:rPr>
                              <w:t>, Case 1</w:t>
                            </w:r>
                            <w:r>
                              <w:rPr>
                                <w:rFonts w:ascii="Cambria" w:hAnsi="Cambria"/>
                                <w:color w:val="595959"/>
                                <w:sz w:val="18"/>
                              </w:rPr>
                              <w:t>2.923</w:t>
                            </w:r>
                            <w:r w:rsidRPr="001D502F">
                              <w:rPr>
                                <w:rFonts w:ascii="Cambria" w:hAnsi="Cambria"/>
                                <w:color w:val="595959"/>
                                <w:sz w:val="18"/>
                              </w:rPr>
                              <w:t xml:space="preserve">. Merits. </w:t>
                            </w:r>
                            <w:proofErr w:type="spellStart"/>
                            <w:proofErr w:type="gramStart"/>
                            <w:r w:rsidRPr="00506E20">
                              <w:rPr>
                                <w:rFonts w:asciiTheme="majorHAnsi" w:hAnsiTheme="majorHAnsi"/>
                                <w:color w:val="595959" w:themeColor="text1" w:themeTint="A6"/>
                                <w:sz w:val="18"/>
                                <w:szCs w:val="18"/>
                              </w:rPr>
                              <w:t>Rocío</w:t>
                            </w:r>
                            <w:proofErr w:type="spellEnd"/>
                            <w:r w:rsidRPr="00506E20">
                              <w:rPr>
                                <w:rFonts w:asciiTheme="majorHAnsi" w:hAnsiTheme="majorHAnsi"/>
                                <w:color w:val="595959" w:themeColor="text1" w:themeTint="A6"/>
                                <w:sz w:val="18"/>
                                <w:szCs w:val="18"/>
                              </w:rPr>
                              <w:t xml:space="preserve"> San Miguel Sosa and others</w:t>
                            </w:r>
                            <w:r w:rsidRPr="00506E20">
                              <w:rPr>
                                <w:rFonts w:ascii="Cambria" w:hAnsi="Cambria"/>
                                <w:color w:val="595959"/>
                                <w:sz w:val="18"/>
                              </w:rPr>
                              <w:t>.</w:t>
                            </w:r>
                            <w:proofErr w:type="gramEnd"/>
                            <w:r w:rsidRPr="00506E20">
                              <w:rPr>
                                <w:rFonts w:ascii="Cambria" w:hAnsi="Cambria"/>
                                <w:color w:val="595959"/>
                                <w:sz w:val="18"/>
                              </w:rPr>
                              <w:t xml:space="preserve"> Venezuela. </w:t>
                            </w:r>
                            <w:r>
                              <w:rPr>
                                <w:rFonts w:ascii="Cambria" w:hAnsi="Cambria"/>
                                <w:color w:val="595959"/>
                                <w:sz w:val="18"/>
                              </w:rPr>
                              <w:t xml:space="preserve">October 28, </w:t>
                            </w:r>
                            <w:r w:rsidRPr="00506E20">
                              <w:rPr>
                                <w:rFonts w:ascii="Cambria" w:hAnsi="Cambria"/>
                                <w:color w:val="595959"/>
                                <w:sz w:val="18"/>
                              </w:rPr>
                              <w:t xml:space="preserve">2015. </w:t>
                            </w:r>
                          </w:p>
                          <w:p w14:paraId="515D12B7" w14:textId="3003BB9A" w:rsidR="00C45C34" w:rsidRPr="00506E20" w:rsidRDefault="00C45C34" w:rsidP="00113F73">
                            <w:pPr>
                              <w:spacing w:line="276" w:lineRule="auto"/>
                              <w:rPr>
                                <w:rFonts w:asciiTheme="majorHAnsi" w:hAnsiTheme="majorHAnsi"/>
                                <w:color w:val="595959" w:themeColor="text1" w:themeTint="A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14:paraId="3A040AB1" w14:textId="7533A106" w:rsidR="00C45C34" w:rsidRPr="00506E20" w:rsidRDefault="00C45C34" w:rsidP="007C7D76">
                      <w:pPr>
                        <w:spacing w:line="276" w:lineRule="auto"/>
                        <w:rPr>
                          <w:rFonts w:ascii="Cambria" w:hAnsi="Cambria"/>
                          <w:color w:val="595959"/>
                          <w:sz w:val="18"/>
                        </w:rPr>
                      </w:pPr>
                      <w:r w:rsidRPr="001D502F">
                        <w:rPr>
                          <w:rFonts w:ascii="Cambria" w:hAnsi="Cambria"/>
                          <w:b/>
                          <w:color w:val="595959"/>
                          <w:sz w:val="18"/>
                        </w:rPr>
                        <w:t xml:space="preserve">Cite as: </w:t>
                      </w:r>
                      <w:r>
                        <w:rPr>
                          <w:rFonts w:ascii="Cambria" w:hAnsi="Cambria"/>
                          <w:color w:val="595959"/>
                          <w:sz w:val="18"/>
                        </w:rPr>
                        <w:t>IACHR, Report No. 75/15</w:t>
                      </w:r>
                      <w:r w:rsidRPr="001D502F">
                        <w:rPr>
                          <w:rFonts w:ascii="Cambria" w:hAnsi="Cambria"/>
                          <w:color w:val="595959"/>
                          <w:sz w:val="18"/>
                        </w:rPr>
                        <w:t>, Case 1</w:t>
                      </w:r>
                      <w:r>
                        <w:rPr>
                          <w:rFonts w:ascii="Cambria" w:hAnsi="Cambria"/>
                          <w:color w:val="595959"/>
                          <w:sz w:val="18"/>
                        </w:rPr>
                        <w:t>2.923</w:t>
                      </w:r>
                      <w:r w:rsidRPr="001D502F">
                        <w:rPr>
                          <w:rFonts w:ascii="Cambria" w:hAnsi="Cambria"/>
                          <w:color w:val="595959"/>
                          <w:sz w:val="18"/>
                        </w:rPr>
                        <w:t xml:space="preserve">. Merits. </w:t>
                      </w:r>
                      <w:proofErr w:type="spellStart"/>
                      <w:proofErr w:type="gramStart"/>
                      <w:r w:rsidRPr="00506E20">
                        <w:rPr>
                          <w:rFonts w:asciiTheme="majorHAnsi" w:hAnsiTheme="majorHAnsi"/>
                          <w:color w:val="595959" w:themeColor="text1" w:themeTint="A6"/>
                          <w:sz w:val="18"/>
                          <w:szCs w:val="18"/>
                        </w:rPr>
                        <w:t>Rocío</w:t>
                      </w:r>
                      <w:proofErr w:type="spellEnd"/>
                      <w:r w:rsidRPr="00506E20">
                        <w:rPr>
                          <w:rFonts w:asciiTheme="majorHAnsi" w:hAnsiTheme="majorHAnsi"/>
                          <w:color w:val="595959" w:themeColor="text1" w:themeTint="A6"/>
                          <w:sz w:val="18"/>
                          <w:szCs w:val="18"/>
                        </w:rPr>
                        <w:t xml:space="preserve"> San Miguel Sosa and others</w:t>
                      </w:r>
                      <w:r w:rsidRPr="00506E20">
                        <w:rPr>
                          <w:rFonts w:ascii="Cambria" w:hAnsi="Cambria"/>
                          <w:color w:val="595959"/>
                          <w:sz w:val="18"/>
                        </w:rPr>
                        <w:t>.</w:t>
                      </w:r>
                      <w:proofErr w:type="gramEnd"/>
                      <w:r w:rsidRPr="00506E20">
                        <w:rPr>
                          <w:rFonts w:ascii="Cambria" w:hAnsi="Cambria"/>
                          <w:color w:val="595959"/>
                          <w:sz w:val="18"/>
                        </w:rPr>
                        <w:t xml:space="preserve"> Venezuela. </w:t>
                      </w:r>
                      <w:r>
                        <w:rPr>
                          <w:rFonts w:ascii="Cambria" w:hAnsi="Cambria"/>
                          <w:color w:val="595959"/>
                          <w:sz w:val="18"/>
                        </w:rPr>
                        <w:t xml:space="preserve">October 28, </w:t>
                      </w:r>
                      <w:r w:rsidRPr="00506E20">
                        <w:rPr>
                          <w:rFonts w:ascii="Cambria" w:hAnsi="Cambria"/>
                          <w:color w:val="595959"/>
                          <w:sz w:val="18"/>
                        </w:rPr>
                        <w:t xml:space="preserve">2015. </w:t>
                      </w:r>
                    </w:p>
                    <w:p w14:paraId="515D12B7" w14:textId="3003BB9A" w:rsidR="00C45C34" w:rsidRPr="00506E20" w:rsidRDefault="00C45C34" w:rsidP="00113F73">
                      <w:pPr>
                        <w:spacing w:line="276" w:lineRule="auto"/>
                        <w:rPr>
                          <w:rFonts w:asciiTheme="majorHAnsi" w:hAnsiTheme="majorHAnsi"/>
                          <w:color w:val="595959" w:themeColor="text1" w:themeTint="A6"/>
                          <w:sz w:val="18"/>
                          <w:szCs w:val="18"/>
                        </w:rPr>
                      </w:pPr>
                    </w:p>
                  </w:txbxContent>
                </v:textbox>
              </v:shape>
            </w:pict>
          </mc:Fallback>
        </mc:AlternateContent>
      </w:r>
    </w:p>
    <w:p w14:paraId="35EF68A0" w14:textId="77777777" w:rsidR="00A50FCF" w:rsidRPr="00420489" w:rsidRDefault="00A50FCF" w:rsidP="00040C3A">
      <w:pPr>
        <w:tabs>
          <w:tab w:val="center" w:pos="5400"/>
        </w:tabs>
        <w:suppressAutoHyphens/>
        <w:jc w:val="center"/>
        <w:rPr>
          <w:rFonts w:asciiTheme="majorHAnsi" w:hAnsiTheme="majorHAnsi"/>
          <w:sz w:val="20"/>
          <w:szCs w:val="20"/>
          <w:lang w:val="es-ES_tradnl"/>
        </w:rPr>
      </w:pPr>
    </w:p>
    <w:p w14:paraId="3C8DA0E9" w14:textId="77777777" w:rsidR="0090270B" w:rsidRPr="00420489" w:rsidRDefault="00C0075D" w:rsidP="005516A1">
      <w:pPr>
        <w:tabs>
          <w:tab w:val="center" w:pos="5400"/>
        </w:tabs>
        <w:suppressAutoHyphens/>
        <w:jc w:val="center"/>
        <w:rPr>
          <w:rFonts w:asciiTheme="majorHAnsi" w:hAnsiTheme="majorHAnsi"/>
          <w:b/>
          <w:sz w:val="20"/>
          <w:szCs w:val="20"/>
          <w:lang w:val="es-ES_tradnl"/>
        </w:rPr>
      </w:pPr>
      <w:r>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6BE5886F" wp14:editId="5FAFF638">
                <wp:simplePos x="0" y="0"/>
                <wp:positionH relativeFrom="column">
                  <wp:posOffset>1329690</wp:posOffset>
                </wp:positionH>
                <wp:positionV relativeFrom="paragraph">
                  <wp:posOffset>638810</wp:posOffset>
                </wp:positionV>
                <wp:extent cx="4096385" cy="56705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AC323D" w14:textId="688A3EB2" w:rsidR="00C45C34" w:rsidRPr="00D72DC6" w:rsidRDefault="00C45C34" w:rsidP="00F02AD1">
                            <w:pPr>
                              <w:rPr>
                                <w:color w:val="FFFFFF" w:themeColor="background1"/>
                              </w:rPr>
                            </w:pPr>
                            <w:r w:rsidRPr="001D502F">
                              <w:rPr>
                                <w:noProof/>
                              </w:rPr>
                              <w:drawing>
                                <wp:inline distT="0" distB="0" distL="0" distR="0" wp14:anchorId="4A6E292A" wp14:editId="2BEE1AE3">
                                  <wp:extent cx="1127125" cy="382905"/>
                                  <wp:effectExtent l="0" t="0" r="0" b="0"/>
                                  <wp:docPr id="6" name="Imagen 6"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125" cy="3829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FelgIAAKoFAAAOAAAAZHJzL2Uyb0RvYy54bWysVE1v2zAMvQ/YfxB0X+2kSdoEdYqsRYcB&#10;QVssHXpWZCkxKomapMTOfv0o2flo10uHXWxKfCRF8pFX141WZCucr8AUtHeWUyIMh7Iyq4L+fLr7&#10;ckmJD8yUTIERBd0JT6+nnz9d1XYi+rAGVQpH0Inxk9oWdB2CnWSZ52uhmT8DKwwqJTjNAh7dKisd&#10;q9G7Vlk/z0dZDa60DrjwHm9vWyWdJv9SCh4epPQiEFVQfFtIX5e+y/jNpldssnLMrivePYP9wys0&#10;qwwGPbi6ZYGRjav+cqUr7sCDDGccdAZSVlykHDCbXv4mm8WaWZFyweJ4eyiT/39u+f320ZGqLOiY&#10;EsM0tuhJNIF8hYaMY3Vq6ycIWliEhQavscspU2/nwF88QrITTGvgER2r0Uin4x/zJGiIDdgdih6j&#10;cLwc5OPR+eWQEo664egiHw5j3OxobZ0P3wRoEoWCOmxqegHbzn1ooXtIDOZBVeVdpVQ6RCKJG+XI&#10;liEFVOh1zl+hlCF1QUfnwzw5NhDNW8/KRDciUakLF9NtM0xS2CkRMcr8EBJLmRJ9JzbjXJhD/ISO&#10;KImhPmLY4Y+v+ohxmwdapMhgwsFYVwZc29jXJStf9iWTLb5ruG/zjiUIzbJJHEqdizdLKHdIGAft&#10;wHnL7yps3pz58MgcThhSAbdGeMCPVIDFh06iZA3u93v3EY/ERy0lNU5sQf2vDXOCEvXd4EiMe4NB&#10;HPF0GAwv+nhwp5rlqcZs9A0gI3q4nyxPYsQHtRelA/2My2UWo6KKGY6xCxr24k1o9wguJy5mswTC&#10;obYszM3C8v2cRGo+Nc/M2Y6/AZl/D/vZZpM3NG6xsT8GZpsAskocP1a1qz8uhDQl3fKKG+f0nFDH&#10;FTv9AwAA//8DAFBLAwQUAAYACAAAACEAwkssP98AAAALAQAADwAAAGRycy9kb3ducmV2LnhtbEyP&#10;PW/CMBCGdyT+g3VIXVBxQFAlaRxUVUWCgaFpFzYTX5Oo8TmyDaT/vtepjHfvo/ej2I62F1f0oXOk&#10;YLlIQCDVznTUKPj82D2mIELUZHTvCBX8YIBtOZ0UOjfuRu94rWIj2IRCrhW0MQ65lKFu0eqwcAMS&#10;a1/OWx359I00Xt/Y3PZylSRP0uqOOKHVA762WH9XF6vgGE77+cnvd/MqGHlAPL4dllGph9n48gwi&#10;4hj/Yfirz9Wh5E5ndyETRK9glWRrRlngGBBMpJv1BsSZP2mWgSwLeb+h/AUAAP//AwBQSwECLQAU&#10;AAYACAAAACEAtoM4kv4AAADhAQAAEwAAAAAAAAAAAAAAAAAAAAAAW0NvbnRlbnRfVHlwZXNdLnht&#10;bFBLAQItABQABgAIAAAAIQA4/SH/1gAAAJQBAAALAAAAAAAAAAAAAAAAAC8BAABfcmVscy8ucmVs&#10;c1BLAQItABQABgAIAAAAIQAp3VFelgIAAKoFAAAOAAAAAAAAAAAAAAAAAC4CAABkcnMvZTJvRG9j&#10;LnhtbFBLAQItABQABgAIAAAAIQDCSyw/3wAAAAsBAAAPAAAAAAAAAAAAAAAAAPAEAABkcnMvZG93&#10;bnJldi54bWxQSwUGAAAAAAQABADzAAAA/AUAAAAA&#10;" fillcolor="white [3201]" stroked="f" strokeweight=".5pt">
                <v:path arrowok="t"/>
                <v:textbox>
                  <w:txbxContent>
                    <w:p w14:paraId="7BAC323D" w14:textId="688A3EB2" w:rsidR="00C45C34" w:rsidRPr="00D72DC6" w:rsidRDefault="00C45C34" w:rsidP="00F02AD1">
                      <w:pPr>
                        <w:rPr>
                          <w:color w:val="FFFFFF" w:themeColor="background1"/>
                        </w:rPr>
                      </w:pPr>
                      <w:r w:rsidRPr="001D502F">
                        <w:rPr>
                          <w:noProof/>
                        </w:rPr>
                        <w:drawing>
                          <wp:inline distT="0" distB="0" distL="0" distR="0" wp14:anchorId="4A6E292A" wp14:editId="2BEE1AE3">
                            <wp:extent cx="1127125" cy="382905"/>
                            <wp:effectExtent l="0" t="0" r="0" b="0"/>
                            <wp:docPr id="6" name="Imagen 6"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125" cy="382905"/>
                                    </a:xfrm>
                                    <a:prstGeom prst="rect">
                                      <a:avLst/>
                                    </a:prstGeom>
                                    <a:noFill/>
                                    <a:ln>
                                      <a:noFill/>
                                    </a:ln>
                                  </pic:spPr>
                                </pic:pic>
                              </a:graphicData>
                            </a:graphic>
                          </wp:inline>
                        </w:drawing>
                      </w:r>
                    </w:p>
                  </w:txbxContent>
                </v:textbox>
              </v:shape>
            </w:pict>
          </mc:Fallback>
        </mc:AlternateContent>
      </w:r>
      <w:r>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7C85B1C2" wp14:editId="30016380">
                <wp:simplePos x="0" y="0"/>
                <wp:positionH relativeFrom="column">
                  <wp:posOffset>-272415</wp:posOffset>
                </wp:positionH>
                <wp:positionV relativeFrom="paragraph">
                  <wp:posOffset>915035</wp:posOffset>
                </wp:positionV>
                <wp:extent cx="1181100" cy="3327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DA54B0" w14:textId="77777777" w:rsidR="00C45C34" w:rsidRPr="004B7EB6" w:rsidRDefault="00C45C3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cG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KSWG&#10;aWzRs2gD+QItmcbqNNYXCFpahIUWn7HLKVNvF8BfPUKyE0yn4BEdq9FKp+Mf8ySoiA3YH4oevfBo&#10;Lb/K8xGKOMomk/HlNHUlO2pb58NXAZrEQ0kdNjVFwHYLH6J/VgyQ6MzAfa1UaqwypCnpxeR8lBQO&#10;EtRQJmJFokhvJqbRRZ5OYa9ExCjzXUgsUUogPiRyilvlyI4hrRjnwoQ8FivZRXRESQziPYo9/hjV&#10;e5S7PAbPYMJBWdcGXNewOFPHsKvXIWTZ4ftG+i7vWILQrtrEjYuBCSuo9kgEB90gecvva2zKgvnw&#10;xBxODvYRt0F4xI9UgMWH/kTJBtyvv71HPBIapZQ0OIkl9T+3zAlK1DeDVP+cT5ESJKTL9PxyjBd3&#10;KlmdSsxW3wJ2Jce9Y3k6RnxQw1E60C+4NObRK4qY4ei7pGE43oZuP+DS4WI+TyAcVsvCwiwtH/gf&#10;KffcvjBne14GZPQDDDPLijf07LCxvQbm2wCyTtyNde6q2tcfBz0RqV9KcZOc3hPquDpnvwEAAP//&#10;AwBQSwMEFAAGAAgAAAAhACDAf2/gAAAACwEAAA8AAABkcnMvZG93bnJldi54bWxMj8FOwzAQRO9I&#10;/IO1SNxapyWUNsSpKgQXJIQolaretrGJA/E62G4b/p7tCW6zmqfZmXI5uE4cTYitJwWTcQbCUO11&#10;S42CzfvTaA4iJiSNnSej4MdEWFaXFyUW2p/ozRzXqREcQrFABTalvpAy1tY4jGPfG2LvwweHic/Q&#10;SB3wxOGuk9Msm0mHLfEHi715sKb+Wh+cgrv5TtvP8Dxsti+rb/vay+4RpVLXV8PqHkQyQ/qD4Vyf&#10;q0PFnfb+QDqKTsEony4YZSPPJyDORH7DYs9iMbsFWZXy/4bqFwAA//8DAFBLAQItABQABgAIAAAA&#10;IQC2gziS/gAAAOEBAAATAAAAAAAAAAAAAAAAAAAAAABbQ29udGVudF9UeXBlc10ueG1sUEsBAi0A&#10;FAAGAAgAAAAhADj9If/WAAAAlAEAAAsAAAAAAAAAAAAAAAAALwEAAF9yZWxzLy5yZWxzUEsBAi0A&#10;FAAGAAgAAAAhAFm4hwaOAgAAggUAAA4AAAAAAAAAAAAAAAAALgIAAGRycy9lMm9Eb2MueG1sUEsB&#10;Ai0AFAAGAAgAAAAhACDAf2/gAAAACwEAAA8AAAAAAAAAAAAAAAAA6AQAAGRycy9kb3ducmV2Lnht&#10;bFBLBQYAAAAABAAEAPMAAAD1BQAAAAA=&#10;" filled="f" stroked="f" strokeweight=".5pt">
                <v:path arrowok="t"/>
                <v:textbox>
                  <w:txbxContent>
                    <w:p w14:paraId="44DA54B0" w14:textId="77777777" w:rsidR="00C45C34" w:rsidRPr="004B7EB6" w:rsidRDefault="00C45C3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062DBDE" w14:textId="77777777" w:rsidR="0070697F" w:rsidRPr="00420489" w:rsidRDefault="0070697F" w:rsidP="005516A1">
      <w:pPr>
        <w:tabs>
          <w:tab w:val="center" w:pos="5400"/>
        </w:tabs>
        <w:suppressAutoHyphens/>
        <w:jc w:val="center"/>
        <w:rPr>
          <w:rFonts w:asciiTheme="majorHAnsi" w:hAnsiTheme="majorHAnsi"/>
          <w:b/>
          <w:sz w:val="20"/>
          <w:szCs w:val="20"/>
          <w:lang w:val="es-ES_tradnl"/>
        </w:rPr>
        <w:sectPr w:rsidR="0070697F" w:rsidRPr="00420489"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p>
    <w:p w14:paraId="0B99A998" w14:textId="14586404" w:rsidR="004B316C" w:rsidRPr="00506E20" w:rsidRDefault="00E551A3" w:rsidP="00326F3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rPr>
      </w:pPr>
      <w:r w:rsidRPr="00506E20">
        <w:rPr>
          <w:rFonts w:asciiTheme="majorHAnsi" w:eastAsia="Times New Roman" w:hAnsiTheme="majorHAnsi"/>
          <w:b/>
          <w:sz w:val="20"/>
          <w:szCs w:val="20"/>
          <w:bdr w:val="none" w:sz="0" w:space="0" w:color="auto"/>
        </w:rPr>
        <w:lastRenderedPageBreak/>
        <w:t>REPORT</w:t>
      </w:r>
      <w:r w:rsidR="00847996">
        <w:rPr>
          <w:rFonts w:asciiTheme="majorHAnsi" w:eastAsia="Times New Roman" w:hAnsiTheme="majorHAnsi"/>
          <w:b/>
          <w:sz w:val="20"/>
          <w:szCs w:val="20"/>
          <w:bdr w:val="none" w:sz="0" w:space="0" w:color="auto"/>
        </w:rPr>
        <w:t xml:space="preserve"> No. 75</w:t>
      </w:r>
      <w:r w:rsidR="00B06C1C" w:rsidRPr="00506E20">
        <w:rPr>
          <w:rFonts w:asciiTheme="majorHAnsi" w:eastAsia="Times New Roman" w:hAnsiTheme="majorHAnsi"/>
          <w:b/>
          <w:sz w:val="20"/>
          <w:szCs w:val="20"/>
          <w:bdr w:val="none" w:sz="0" w:space="0" w:color="auto"/>
        </w:rPr>
        <w:t>/15</w:t>
      </w:r>
    </w:p>
    <w:p w14:paraId="210BECCF" w14:textId="26D2BD59" w:rsidR="004B316C" w:rsidRPr="00506E20" w:rsidRDefault="00E551A3" w:rsidP="00326F3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rPr>
      </w:pPr>
      <w:r w:rsidRPr="00506E20">
        <w:rPr>
          <w:rFonts w:asciiTheme="majorHAnsi" w:eastAsia="Times New Roman" w:hAnsiTheme="majorHAnsi"/>
          <w:b/>
          <w:sz w:val="20"/>
          <w:szCs w:val="20"/>
          <w:bdr w:val="none" w:sz="0" w:space="0" w:color="auto"/>
        </w:rPr>
        <w:t>CASE</w:t>
      </w:r>
      <w:r w:rsidR="005E21D4" w:rsidRPr="00506E20">
        <w:rPr>
          <w:rFonts w:asciiTheme="majorHAnsi" w:eastAsia="Times New Roman" w:hAnsiTheme="majorHAnsi"/>
          <w:b/>
          <w:sz w:val="20"/>
          <w:szCs w:val="20"/>
          <w:bdr w:val="none" w:sz="0" w:space="0" w:color="auto"/>
        </w:rPr>
        <w:t xml:space="preserve"> 12.923</w:t>
      </w:r>
    </w:p>
    <w:p w14:paraId="61888AB4" w14:textId="66387262" w:rsidR="004B316C" w:rsidRPr="00506E20" w:rsidRDefault="00E551A3" w:rsidP="00326F3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rPr>
      </w:pPr>
      <w:r w:rsidRPr="00506E20">
        <w:rPr>
          <w:rFonts w:asciiTheme="majorHAnsi" w:eastAsia="Times New Roman" w:hAnsiTheme="majorHAnsi"/>
          <w:sz w:val="20"/>
          <w:szCs w:val="20"/>
          <w:bdr w:val="none" w:sz="0" w:space="0" w:color="auto"/>
        </w:rPr>
        <w:t>MERITS</w:t>
      </w:r>
    </w:p>
    <w:p w14:paraId="4E3DFC7F" w14:textId="0EEC3EBB" w:rsidR="00B06C1C" w:rsidRPr="00506E20" w:rsidRDefault="00E551A3" w:rsidP="00326F3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rPr>
      </w:pPr>
      <w:r w:rsidRPr="00506E20">
        <w:rPr>
          <w:rFonts w:asciiTheme="majorHAnsi" w:eastAsia="Times New Roman" w:hAnsiTheme="majorHAnsi"/>
          <w:sz w:val="20"/>
          <w:szCs w:val="20"/>
          <w:bdr w:val="none" w:sz="0" w:space="0" w:color="auto"/>
        </w:rPr>
        <w:t xml:space="preserve">ROCIO SAN MIGUEL SOSA </w:t>
      </w:r>
      <w:r w:rsidR="00506E20" w:rsidRPr="00506E20">
        <w:rPr>
          <w:rFonts w:asciiTheme="majorHAnsi" w:eastAsia="Times New Roman" w:hAnsiTheme="majorHAnsi"/>
          <w:sz w:val="20"/>
          <w:szCs w:val="20"/>
          <w:bdr w:val="none" w:sz="0" w:space="0" w:color="auto"/>
        </w:rPr>
        <w:t>AND OT</w:t>
      </w:r>
      <w:r w:rsidR="00506E20">
        <w:rPr>
          <w:rFonts w:asciiTheme="majorHAnsi" w:eastAsia="Times New Roman" w:hAnsiTheme="majorHAnsi"/>
          <w:sz w:val="20"/>
          <w:szCs w:val="20"/>
          <w:bdr w:val="none" w:sz="0" w:space="0" w:color="auto"/>
        </w:rPr>
        <w:t>HERS</w:t>
      </w:r>
    </w:p>
    <w:p w14:paraId="3B0C7D90" w14:textId="77777777" w:rsidR="00B06C1C" w:rsidRPr="00326F31" w:rsidRDefault="005E21D4" w:rsidP="00326F3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rPr>
      </w:pPr>
      <w:r w:rsidRPr="00326F31">
        <w:rPr>
          <w:rFonts w:asciiTheme="majorHAnsi" w:eastAsia="Times New Roman" w:hAnsiTheme="majorHAnsi"/>
          <w:sz w:val="20"/>
          <w:szCs w:val="20"/>
          <w:bdr w:val="none" w:sz="0" w:space="0" w:color="auto"/>
        </w:rPr>
        <w:t>VENEZUELA</w:t>
      </w:r>
    </w:p>
    <w:p w14:paraId="6939C697" w14:textId="24C9F9DA" w:rsidR="0073741F" w:rsidRPr="00326F31" w:rsidRDefault="00847996" w:rsidP="00326F3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rPr>
      </w:pPr>
      <w:r>
        <w:rPr>
          <w:rFonts w:asciiTheme="majorHAnsi" w:eastAsia="Times New Roman" w:hAnsiTheme="majorHAnsi"/>
          <w:sz w:val="20"/>
          <w:szCs w:val="20"/>
          <w:bdr w:val="none" w:sz="0" w:space="0" w:color="auto"/>
        </w:rPr>
        <w:t>October 28</w:t>
      </w:r>
      <w:r w:rsidR="00B26289" w:rsidRPr="00326F31">
        <w:rPr>
          <w:rFonts w:asciiTheme="majorHAnsi" w:eastAsia="Times New Roman" w:hAnsiTheme="majorHAnsi"/>
          <w:sz w:val="20"/>
          <w:szCs w:val="20"/>
          <w:bdr w:val="none" w:sz="0" w:space="0" w:color="auto"/>
        </w:rPr>
        <w:t xml:space="preserve">, </w:t>
      </w:r>
      <w:r w:rsidR="00E24E60" w:rsidRPr="00326F31">
        <w:rPr>
          <w:rFonts w:asciiTheme="majorHAnsi" w:eastAsia="Times New Roman" w:hAnsiTheme="majorHAnsi"/>
          <w:sz w:val="20"/>
          <w:szCs w:val="20"/>
          <w:bdr w:val="none" w:sz="0" w:space="0" w:color="auto"/>
        </w:rPr>
        <w:t>2015</w:t>
      </w:r>
    </w:p>
    <w:p w14:paraId="6884816B" w14:textId="77777777" w:rsidR="004B316C" w:rsidRPr="00326F31" w:rsidRDefault="004B316C" w:rsidP="00326F3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sz w:val="20"/>
          <w:szCs w:val="20"/>
        </w:rPr>
      </w:pPr>
    </w:p>
    <w:p w14:paraId="54C22040" w14:textId="794A4EA4" w:rsidR="00FB6151" w:rsidRPr="00FB6151" w:rsidRDefault="00FB6151" w:rsidP="00FB6151">
      <w:pPr>
        <w:tabs>
          <w:tab w:val="center" w:pos="5400"/>
        </w:tabs>
        <w:suppressAutoHyphens/>
        <w:jc w:val="center"/>
        <w:rPr>
          <w:rFonts w:asciiTheme="majorHAnsi" w:hAnsiTheme="majorHAnsi"/>
          <w:b/>
          <w:sz w:val="20"/>
          <w:szCs w:val="20"/>
        </w:rPr>
      </w:pPr>
      <w:r>
        <w:rPr>
          <w:rFonts w:asciiTheme="majorHAnsi" w:hAnsiTheme="majorHAnsi"/>
          <w:b/>
          <w:sz w:val="20"/>
          <w:szCs w:val="20"/>
        </w:rPr>
        <w:t>INDEX</w:t>
      </w:r>
    </w:p>
    <w:sdt>
      <w:sdtPr>
        <w:rPr>
          <w:rFonts w:ascii="Times New Roman" w:eastAsia="Arial Unicode MS" w:hAnsi="Times New Roman" w:cs="Times New Roman"/>
          <w:b w:val="0"/>
          <w:bCs w:val="0"/>
          <w:color w:val="auto"/>
          <w:sz w:val="24"/>
          <w:szCs w:val="24"/>
          <w:bdr w:val="nil"/>
          <w:lang w:eastAsia="en-US"/>
        </w:rPr>
        <w:id w:val="1553810457"/>
        <w:docPartObj>
          <w:docPartGallery w:val="Table of Contents"/>
          <w:docPartUnique/>
        </w:docPartObj>
      </w:sdtPr>
      <w:sdtEndPr>
        <w:rPr>
          <w:noProof/>
        </w:rPr>
      </w:sdtEndPr>
      <w:sdtContent>
        <w:p w14:paraId="365C1F07" w14:textId="148AFFC5" w:rsidR="00FB6151" w:rsidRPr="00D87B8E" w:rsidRDefault="00FB6151">
          <w:pPr>
            <w:pStyle w:val="TOCHeading"/>
            <w:rPr>
              <w:b w:val="0"/>
              <w:sz w:val="20"/>
              <w:szCs w:val="20"/>
            </w:rPr>
          </w:pPr>
        </w:p>
        <w:p w14:paraId="27F42164" w14:textId="77777777" w:rsidR="00D87B8E" w:rsidRPr="00D87B8E" w:rsidRDefault="00FB6151">
          <w:pPr>
            <w:pStyle w:val="TOC1"/>
            <w:rPr>
              <w:rFonts w:asciiTheme="majorHAnsi" w:eastAsiaTheme="minorEastAsia" w:hAnsiTheme="majorHAnsi" w:cstheme="minorBidi"/>
              <w:noProof/>
              <w:sz w:val="20"/>
              <w:szCs w:val="20"/>
              <w:bdr w:val="none" w:sz="0" w:space="0" w:color="auto"/>
            </w:rPr>
          </w:pPr>
          <w:r w:rsidRPr="00D87B8E">
            <w:rPr>
              <w:rFonts w:asciiTheme="majorHAnsi" w:hAnsiTheme="majorHAnsi"/>
              <w:sz w:val="20"/>
              <w:szCs w:val="20"/>
            </w:rPr>
            <w:fldChar w:fldCharType="begin"/>
          </w:r>
          <w:r w:rsidRPr="00D87B8E">
            <w:rPr>
              <w:rFonts w:asciiTheme="majorHAnsi" w:hAnsiTheme="majorHAnsi"/>
              <w:sz w:val="20"/>
              <w:szCs w:val="20"/>
            </w:rPr>
            <w:instrText xml:space="preserve"> TOC \o "1-3" \h \z \u </w:instrText>
          </w:r>
          <w:r w:rsidRPr="00D87B8E">
            <w:rPr>
              <w:rFonts w:asciiTheme="majorHAnsi" w:hAnsiTheme="majorHAnsi"/>
              <w:sz w:val="20"/>
              <w:szCs w:val="20"/>
            </w:rPr>
            <w:fldChar w:fldCharType="separate"/>
          </w:r>
          <w:hyperlink w:anchor="_Toc433311124" w:history="1">
            <w:r w:rsidR="00D87B8E" w:rsidRPr="00D87B8E">
              <w:rPr>
                <w:rStyle w:val="Hyperlink"/>
                <w:rFonts w:asciiTheme="majorHAnsi" w:hAnsiTheme="majorHAnsi"/>
                <w:noProof/>
                <w:sz w:val="20"/>
                <w:szCs w:val="20"/>
              </w:rPr>
              <w:t>I.</w:t>
            </w:r>
            <w:r w:rsidR="00D87B8E" w:rsidRPr="00D87B8E">
              <w:rPr>
                <w:rFonts w:asciiTheme="majorHAnsi" w:eastAsiaTheme="minorEastAsia" w:hAnsiTheme="majorHAnsi" w:cstheme="minorBidi"/>
                <w:noProof/>
                <w:sz w:val="20"/>
                <w:szCs w:val="20"/>
                <w:bdr w:val="none" w:sz="0" w:space="0" w:color="auto"/>
              </w:rPr>
              <w:tab/>
            </w:r>
            <w:r w:rsidR="00D87B8E" w:rsidRPr="00D87B8E">
              <w:rPr>
                <w:rStyle w:val="Hyperlink"/>
                <w:rFonts w:asciiTheme="majorHAnsi" w:hAnsiTheme="majorHAnsi"/>
                <w:noProof/>
                <w:sz w:val="20"/>
                <w:szCs w:val="20"/>
              </w:rPr>
              <w:t>SUMMARY</w:t>
            </w:r>
            <w:r w:rsidR="00D87B8E" w:rsidRPr="00D87B8E">
              <w:rPr>
                <w:rFonts w:asciiTheme="majorHAnsi" w:hAnsiTheme="majorHAnsi"/>
                <w:noProof/>
                <w:webHidden/>
                <w:sz w:val="20"/>
                <w:szCs w:val="20"/>
              </w:rPr>
              <w:tab/>
            </w:r>
            <w:r w:rsidR="00D87B8E" w:rsidRPr="00D87B8E">
              <w:rPr>
                <w:rFonts w:asciiTheme="majorHAnsi" w:hAnsiTheme="majorHAnsi"/>
                <w:noProof/>
                <w:webHidden/>
                <w:sz w:val="20"/>
                <w:szCs w:val="20"/>
              </w:rPr>
              <w:fldChar w:fldCharType="begin"/>
            </w:r>
            <w:r w:rsidR="00D87B8E" w:rsidRPr="00D87B8E">
              <w:rPr>
                <w:rFonts w:asciiTheme="majorHAnsi" w:hAnsiTheme="majorHAnsi"/>
                <w:noProof/>
                <w:webHidden/>
                <w:sz w:val="20"/>
                <w:szCs w:val="20"/>
              </w:rPr>
              <w:instrText xml:space="preserve"> PAGEREF _Toc433311124 \h </w:instrText>
            </w:r>
            <w:r w:rsidR="00D87B8E" w:rsidRPr="00D87B8E">
              <w:rPr>
                <w:rFonts w:asciiTheme="majorHAnsi" w:hAnsiTheme="majorHAnsi"/>
                <w:noProof/>
                <w:webHidden/>
                <w:sz w:val="20"/>
                <w:szCs w:val="20"/>
              </w:rPr>
            </w:r>
            <w:r w:rsidR="00D87B8E" w:rsidRPr="00D87B8E">
              <w:rPr>
                <w:rFonts w:asciiTheme="majorHAnsi" w:hAnsiTheme="majorHAnsi"/>
                <w:noProof/>
                <w:webHidden/>
                <w:sz w:val="20"/>
                <w:szCs w:val="20"/>
              </w:rPr>
              <w:fldChar w:fldCharType="separate"/>
            </w:r>
            <w:r w:rsidR="00D87B8E" w:rsidRPr="00D87B8E">
              <w:rPr>
                <w:rFonts w:asciiTheme="majorHAnsi" w:hAnsiTheme="majorHAnsi"/>
                <w:noProof/>
                <w:webHidden/>
                <w:sz w:val="20"/>
                <w:szCs w:val="20"/>
              </w:rPr>
              <w:t>2</w:t>
            </w:r>
            <w:r w:rsidR="00D87B8E" w:rsidRPr="00D87B8E">
              <w:rPr>
                <w:rFonts w:asciiTheme="majorHAnsi" w:hAnsiTheme="majorHAnsi"/>
                <w:noProof/>
                <w:webHidden/>
                <w:sz w:val="20"/>
                <w:szCs w:val="20"/>
              </w:rPr>
              <w:fldChar w:fldCharType="end"/>
            </w:r>
          </w:hyperlink>
        </w:p>
        <w:p w14:paraId="5BB1D377" w14:textId="77777777" w:rsidR="00D87B8E" w:rsidRPr="00D87B8E" w:rsidRDefault="00F30897">
          <w:pPr>
            <w:pStyle w:val="TOC1"/>
            <w:rPr>
              <w:rFonts w:asciiTheme="majorHAnsi" w:eastAsiaTheme="minorEastAsia" w:hAnsiTheme="majorHAnsi" w:cstheme="minorBidi"/>
              <w:noProof/>
              <w:sz w:val="20"/>
              <w:szCs w:val="20"/>
              <w:bdr w:val="none" w:sz="0" w:space="0" w:color="auto"/>
            </w:rPr>
          </w:pPr>
          <w:hyperlink w:anchor="_Toc433311125" w:history="1">
            <w:r w:rsidR="00D87B8E" w:rsidRPr="00D87B8E">
              <w:rPr>
                <w:rStyle w:val="Hyperlink"/>
                <w:rFonts w:asciiTheme="majorHAnsi" w:hAnsiTheme="majorHAnsi"/>
                <w:noProof/>
                <w:sz w:val="20"/>
                <w:szCs w:val="20"/>
              </w:rPr>
              <w:t>II.</w:t>
            </w:r>
            <w:r w:rsidR="00D87B8E" w:rsidRPr="00D87B8E">
              <w:rPr>
                <w:rFonts w:asciiTheme="majorHAnsi" w:eastAsiaTheme="minorEastAsia" w:hAnsiTheme="majorHAnsi" w:cstheme="minorBidi"/>
                <w:noProof/>
                <w:sz w:val="20"/>
                <w:szCs w:val="20"/>
                <w:bdr w:val="none" w:sz="0" w:space="0" w:color="auto"/>
              </w:rPr>
              <w:tab/>
            </w:r>
            <w:r w:rsidR="00D87B8E" w:rsidRPr="00D87B8E">
              <w:rPr>
                <w:rStyle w:val="Hyperlink"/>
                <w:rFonts w:asciiTheme="majorHAnsi" w:hAnsiTheme="majorHAnsi"/>
                <w:noProof/>
                <w:sz w:val="20"/>
                <w:szCs w:val="20"/>
              </w:rPr>
              <w:t>PROCEEDINGS BEFORE THE COMMISSION</w:t>
            </w:r>
            <w:r w:rsidR="00D87B8E" w:rsidRPr="00D87B8E">
              <w:rPr>
                <w:rFonts w:asciiTheme="majorHAnsi" w:hAnsiTheme="majorHAnsi"/>
                <w:noProof/>
                <w:webHidden/>
                <w:sz w:val="20"/>
                <w:szCs w:val="20"/>
              </w:rPr>
              <w:tab/>
            </w:r>
            <w:r w:rsidR="00D87B8E" w:rsidRPr="00D87B8E">
              <w:rPr>
                <w:rFonts w:asciiTheme="majorHAnsi" w:hAnsiTheme="majorHAnsi"/>
                <w:noProof/>
                <w:webHidden/>
                <w:sz w:val="20"/>
                <w:szCs w:val="20"/>
              </w:rPr>
              <w:fldChar w:fldCharType="begin"/>
            </w:r>
            <w:r w:rsidR="00D87B8E" w:rsidRPr="00D87B8E">
              <w:rPr>
                <w:rFonts w:asciiTheme="majorHAnsi" w:hAnsiTheme="majorHAnsi"/>
                <w:noProof/>
                <w:webHidden/>
                <w:sz w:val="20"/>
                <w:szCs w:val="20"/>
              </w:rPr>
              <w:instrText xml:space="preserve"> PAGEREF _Toc433311125 \h </w:instrText>
            </w:r>
            <w:r w:rsidR="00D87B8E" w:rsidRPr="00D87B8E">
              <w:rPr>
                <w:rFonts w:asciiTheme="majorHAnsi" w:hAnsiTheme="majorHAnsi"/>
                <w:noProof/>
                <w:webHidden/>
                <w:sz w:val="20"/>
                <w:szCs w:val="20"/>
              </w:rPr>
            </w:r>
            <w:r w:rsidR="00D87B8E" w:rsidRPr="00D87B8E">
              <w:rPr>
                <w:rFonts w:asciiTheme="majorHAnsi" w:hAnsiTheme="majorHAnsi"/>
                <w:noProof/>
                <w:webHidden/>
                <w:sz w:val="20"/>
                <w:szCs w:val="20"/>
              </w:rPr>
              <w:fldChar w:fldCharType="separate"/>
            </w:r>
            <w:r w:rsidR="00D87B8E" w:rsidRPr="00D87B8E">
              <w:rPr>
                <w:rFonts w:asciiTheme="majorHAnsi" w:hAnsiTheme="majorHAnsi"/>
                <w:noProof/>
                <w:webHidden/>
                <w:sz w:val="20"/>
                <w:szCs w:val="20"/>
              </w:rPr>
              <w:t>2</w:t>
            </w:r>
            <w:r w:rsidR="00D87B8E" w:rsidRPr="00D87B8E">
              <w:rPr>
                <w:rFonts w:asciiTheme="majorHAnsi" w:hAnsiTheme="majorHAnsi"/>
                <w:noProof/>
                <w:webHidden/>
                <w:sz w:val="20"/>
                <w:szCs w:val="20"/>
              </w:rPr>
              <w:fldChar w:fldCharType="end"/>
            </w:r>
          </w:hyperlink>
        </w:p>
        <w:p w14:paraId="500A69C6" w14:textId="77777777" w:rsidR="00D87B8E" w:rsidRPr="00D87B8E" w:rsidRDefault="00F30897">
          <w:pPr>
            <w:pStyle w:val="TOC1"/>
            <w:rPr>
              <w:rFonts w:asciiTheme="majorHAnsi" w:eastAsiaTheme="minorEastAsia" w:hAnsiTheme="majorHAnsi" w:cstheme="minorBidi"/>
              <w:noProof/>
              <w:sz w:val="20"/>
              <w:szCs w:val="20"/>
              <w:bdr w:val="none" w:sz="0" w:space="0" w:color="auto"/>
            </w:rPr>
          </w:pPr>
          <w:hyperlink w:anchor="_Toc433311126" w:history="1">
            <w:r w:rsidR="00D87B8E" w:rsidRPr="00D87B8E">
              <w:rPr>
                <w:rStyle w:val="Hyperlink"/>
                <w:rFonts w:asciiTheme="majorHAnsi" w:hAnsiTheme="majorHAnsi"/>
                <w:noProof/>
                <w:sz w:val="20"/>
                <w:szCs w:val="20"/>
              </w:rPr>
              <w:t>III.</w:t>
            </w:r>
            <w:r w:rsidR="00D87B8E" w:rsidRPr="00D87B8E">
              <w:rPr>
                <w:rFonts w:asciiTheme="majorHAnsi" w:eastAsiaTheme="minorEastAsia" w:hAnsiTheme="majorHAnsi" w:cstheme="minorBidi"/>
                <w:noProof/>
                <w:sz w:val="20"/>
                <w:szCs w:val="20"/>
                <w:bdr w:val="none" w:sz="0" w:space="0" w:color="auto"/>
              </w:rPr>
              <w:tab/>
            </w:r>
            <w:r w:rsidR="00D87B8E" w:rsidRPr="00D87B8E">
              <w:rPr>
                <w:rStyle w:val="Hyperlink"/>
                <w:rFonts w:asciiTheme="majorHAnsi" w:hAnsiTheme="majorHAnsi"/>
                <w:noProof/>
                <w:sz w:val="20"/>
                <w:szCs w:val="20"/>
              </w:rPr>
              <w:t>POSITION OF THE PARTIES</w:t>
            </w:r>
            <w:r w:rsidR="00D87B8E" w:rsidRPr="00D87B8E">
              <w:rPr>
                <w:rFonts w:asciiTheme="majorHAnsi" w:hAnsiTheme="majorHAnsi"/>
                <w:noProof/>
                <w:webHidden/>
                <w:sz w:val="20"/>
                <w:szCs w:val="20"/>
              </w:rPr>
              <w:tab/>
            </w:r>
            <w:r w:rsidR="00D87B8E" w:rsidRPr="00D87B8E">
              <w:rPr>
                <w:rFonts w:asciiTheme="majorHAnsi" w:hAnsiTheme="majorHAnsi"/>
                <w:noProof/>
                <w:webHidden/>
                <w:sz w:val="20"/>
                <w:szCs w:val="20"/>
              </w:rPr>
              <w:fldChar w:fldCharType="begin"/>
            </w:r>
            <w:r w:rsidR="00D87B8E" w:rsidRPr="00D87B8E">
              <w:rPr>
                <w:rFonts w:asciiTheme="majorHAnsi" w:hAnsiTheme="majorHAnsi"/>
                <w:noProof/>
                <w:webHidden/>
                <w:sz w:val="20"/>
                <w:szCs w:val="20"/>
              </w:rPr>
              <w:instrText xml:space="preserve"> PAGEREF _Toc433311126 \h </w:instrText>
            </w:r>
            <w:r w:rsidR="00D87B8E" w:rsidRPr="00D87B8E">
              <w:rPr>
                <w:rFonts w:asciiTheme="majorHAnsi" w:hAnsiTheme="majorHAnsi"/>
                <w:noProof/>
                <w:webHidden/>
                <w:sz w:val="20"/>
                <w:szCs w:val="20"/>
              </w:rPr>
            </w:r>
            <w:r w:rsidR="00D87B8E" w:rsidRPr="00D87B8E">
              <w:rPr>
                <w:rFonts w:asciiTheme="majorHAnsi" w:hAnsiTheme="majorHAnsi"/>
                <w:noProof/>
                <w:webHidden/>
                <w:sz w:val="20"/>
                <w:szCs w:val="20"/>
              </w:rPr>
              <w:fldChar w:fldCharType="separate"/>
            </w:r>
            <w:r w:rsidR="00D87B8E" w:rsidRPr="00D87B8E">
              <w:rPr>
                <w:rFonts w:asciiTheme="majorHAnsi" w:hAnsiTheme="majorHAnsi"/>
                <w:noProof/>
                <w:webHidden/>
                <w:sz w:val="20"/>
                <w:szCs w:val="20"/>
              </w:rPr>
              <w:t>3</w:t>
            </w:r>
            <w:r w:rsidR="00D87B8E" w:rsidRPr="00D87B8E">
              <w:rPr>
                <w:rFonts w:asciiTheme="majorHAnsi" w:hAnsiTheme="majorHAnsi"/>
                <w:noProof/>
                <w:webHidden/>
                <w:sz w:val="20"/>
                <w:szCs w:val="20"/>
              </w:rPr>
              <w:fldChar w:fldCharType="end"/>
            </w:r>
          </w:hyperlink>
        </w:p>
        <w:p w14:paraId="3A88C033" w14:textId="77777777" w:rsidR="00D87B8E" w:rsidRPr="00D87B8E" w:rsidRDefault="00F30897">
          <w:pPr>
            <w:pStyle w:val="TOC2"/>
            <w:rPr>
              <w:rFonts w:asciiTheme="majorHAnsi" w:eastAsiaTheme="minorEastAsia" w:hAnsiTheme="majorHAnsi" w:cstheme="minorBidi"/>
              <w:noProof/>
              <w:sz w:val="20"/>
              <w:szCs w:val="20"/>
              <w:bdr w:val="none" w:sz="0" w:space="0" w:color="auto"/>
            </w:rPr>
          </w:pPr>
          <w:hyperlink w:anchor="_Toc433311127" w:history="1">
            <w:r w:rsidR="00D87B8E" w:rsidRPr="00D87B8E">
              <w:rPr>
                <w:rStyle w:val="Hyperlink"/>
                <w:rFonts w:asciiTheme="majorHAnsi" w:hAnsiTheme="majorHAnsi"/>
                <w:noProof/>
                <w:sz w:val="20"/>
                <w:szCs w:val="20"/>
              </w:rPr>
              <w:t>A.</w:t>
            </w:r>
            <w:r w:rsidR="00D87B8E" w:rsidRPr="00D87B8E">
              <w:rPr>
                <w:rFonts w:asciiTheme="majorHAnsi" w:eastAsiaTheme="minorEastAsia" w:hAnsiTheme="majorHAnsi" w:cstheme="minorBidi"/>
                <w:noProof/>
                <w:sz w:val="20"/>
                <w:szCs w:val="20"/>
                <w:bdr w:val="none" w:sz="0" w:space="0" w:color="auto"/>
              </w:rPr>
              <w:tab/>
            </w:r>
            <w:r w:rsidR="00D87B8E" w:rsidRPr="00D87B8E">
              <w:rPr>
                <w:rStyle w:val="Hyperlink"/>
                <w:rFonts w:asciiTheme="majorHAnsi" w:hAnsiTheme="majorHAnsi"/>
                <w:noProof/>
                <w:sz w:val="20"/>
                <w:szCs w:val="20"/>
              </w:rPr>
              <w:t>Position of the petitioners</w:t>
            </w:r>
            <w:r w:rsidR="00D87B8E" w:rsidRPr="00D87B8E">
              <w:rPr>
                <w:rFonts w:asciiTheme="majorHAnsi" w:hAnsiTheme="majorHAnsi"/>
                <w:noProof/>
                <w:webHidden/>
                <w:sz w:val="20"/>
                <w:szCs w:val="20"/>
              </w:rPr>
              <w:tab/>
            </w:r>
            <w:r w:rsidR="00D87B8E" w:rsidRPr="00D87B8E">
              <w:rPr>
                <w:rFonts w:asciiTheme="majorHAnsi" w:hAnsiTheme="majorHAnsi"/>
                <w:noProof/>
                <w:webHidden/>
                <w:sz w:val="20"/>
                <w:szCs w:val="20"/>
              </w:rPr>
              <w:fldChar w:fldCharType="begin"/>
            </w:r>
            <w:r w:rsidR="00D87B8E" w:rsidRPr="00D87B8E">
              <w:rPr>
                <w:rFonts w:asciiTheme="majorHAnsi" w:hAnsiTheme="majorHAnsi"/>
                <w:noProof/>
                <w:webHidden/>
                <w:sz w:val="20"/>
                <w:szCs w:val="20"/>
              </w:rPr>
              <w:instrText xml:space="preserve"> PAGEREF _Toc433311127 \h </w:instrText>
            </w:r>
            <w:r w:rsidR="00D87B8E" w:rsidRPr="00D87B8E">
              <w:rPr>
                <w:rFonts w:asciiTheme="majorHAnsi" w:hAnsiTheme="majorHAnsi"/>
                <w:noProof/>
                <w:webHidden/>
                <w:sz w:val="20"/>
                <w:szCs w:val="20"/>
              </w:rPr>
            </w:r>
            <w:r w:rsidR="00D87B8E" w:rsidRPr="00D87B8E">
              <w:rPr>
                <w:rFonts w:asciiTheme="majorHAnsi" w:hAnsiTheme="majorHAnsi"/>
                <w:noProof/>
                <w:webHidden/>
                <w:sz w:val="20"/>
                <w:szCs w:val="20"/>
              </w:rPr>
              <w:fldChar w:fldCharType="separate"/>
            </w:r>
            <w:r w:rsidR="00D87B8E" w:rsidRPr="00D87B8E">
              <w:rPr>
                <w:rFonts w:asciiTheme="majorHAnsi" w:hAnsiTheme="majorHAnsi"/>
                <w:noProof/>
                <w:webHidden/>
                <w:sz w:val="20"/>
                <w:szCs w:val="20"/>
              </w:rPr>
              <w:t>3</w:t>
            </w:r>
            <w:r w:rsidR="00D87B8E" w:rsidRPr="00D87B8E">
              <w:rPr>
                <w:rFonts w:asciiTheme="majorHAnsi" w:hAnsiTheme="majorHAnsi"/>
                <w:noProof/>
                <w:webHidden/>
                <w:sz w:val="20"/>
                <w:szCs w:val="20"/>
              </w:rPr>
              <w:fldChar w:fldCharType="end"/>
            </w:r>
          </w:hyperlink>
        </w:p>
        <w:p w14:paraId="2B423441" w14:textId="77777777" w:rsidR="00D87B8E" w:rsidRPr="00D87B8E" w:rsidRDefault="00F30897">
          <w:pPr>
            <w:pStyle w:val="TOC2"/>
            <w:rPr>
              <w:rFonts w:asciiTheme="majorHAnsi" w:eastAsiaTheme="minorEastAsia" w:hAnsiTheme="majorHAnsi" w:cstheme="minorBidi"/>
              <w:noProof/>
              <w:sz w:val="20"/>
              <w:szCs w:val="20"/>
              <w:bdr w:val="none" w:sz="0" w:space="0" w:color="auto"/>
            </w:rPr>
          </w:pPr>
          <w:hyperlink w:anchor="_Toc433311128" w:history="1">
            <w:r w:rsidR="00D87B8E" w:rsidRPr="00D87B8E">
              <w:rPr>
                <w:rStyle w:val="Hyperlink"/>
                <w:rFonts w:asciiTheme="majorHAnsi" w:hAnsiTheme="majorHAnsi"/>
                <w:noProof/>
                <w:sz w:val="20"/>
                <w:szCs w:val="20"/>
              </w:rPr>
              <w:t>B.</w:t>
            </w:r>
            <w:r w:rsidR="00D87B8E" w:rsidRPr="00D87B8E">
              <w:rPr>
                <w:rFonts w:asciiTheme="majorHAnsi" w:eastAsiaTheme="minorEastAsia" w:hAnsiTheme="majorHAnsi" w:cstheme="minorBidi"/>
                <w:noProof/>
                <w:sz w:val="20"/>
                <w:szCs w:val="20"/>
                <w:bdr w:val="none" w:sz="0" w:space="0" w:color="auto"/>
              </w:rPr>
              <w:tab/>
            </w:r>
            <w:r w:rsidR="00D87B8E" w:rsidRPr="00D87B8E">
              <w:rPr>
                <w:rStyle w:val="Hyperlink"/>
                <w:rFonts w:asciiTheme="majorHAnsi" w:hAnsiTheme="majorHAnsi"/>
                <w:noProof/>
                <w:sz w:val="20"/>
                <w:szCs w:val="20"/>
              </w:rPr>
              <w:t>Position of the State</w:t>
            </w:r>
            <w:r w:rsidR="00D87B8E" w:rsidRPr="00D87B8E">
              <w:rPr>
                <w:rFonts w:asciiTheme="majorHAnsi" w:hAnsiTheme="majorHAnsi"/>
                <w:noProof/>
                <w:webHidden/>
                <w:sz w:val="20"/>
                <w:szCs w:val="20"/>
              </w:rPr>
              <w:tab/>
            </w:r>
            <w:r w:rsidR="00D87B8E" w:rsidRPr="00D87B8E">
              <w:rPr>
                <w:rFonts w:asciiTheme="majorHAnsi" w:hAnsiTheme="majorHAnsi"/>
                <w:noProof/>
                <w:webHidden/>
                <w:sz w:val="20"/>
                <w:szCs w:val="20"/>
              </w:rPr>
              <w:fldChar w:fldCharType="begin"/>
            </w:r>
            <w:r w:rsidR="00D87B8E" w:rsidRPr="00D87B8E">
              <w:rPr>
                <w:rFonts w:asciiTheme="majorHAnsi" w:hAnsiTheme="majorHAnsi"/>
                <w:noProof/>
                <w:webHidden/>
                <w:sz w:val="20"/>
                <w:szCs w:val="20"/>
              </w:rPr>
              <w:instrText xml:space="preserve"> PAGEREF _Toc433311128 \h </w:instrText>
            </w:r>
            <w:r w:rsidR="00D87B8E" w:rsidRPr="00D87B8E">
              <w:rPr>
                <w:rFonts w:asciiTheme="majorHAnsi" w:hAnsiTheme="majorHAnsi"/>
                <w:noProof/>
                <w:webHidden/>
                <w:sz w:val="20"/>
                <w:szCs w:val="20"/>
              </w:rPr>
            </w:r>
            <w:r w:rsidR="00D87B8E" w:rsidRPr="00D87B8E">
              <w:rPr>
                <w:rFonts w:asciiTheme="majorHAnsi" w:hAnsiTheme="majorHAnsi"/>
                <w:noProof/>
                <w:webHidden/>
                <w:sz w:val="20"/>
                <w:szCs w:val="20"/>
              </w:rPr>
              <w:fldChar w:fldCharType="separate"/>
            </w:r>
            <w:r w:rsidR="00D87B8E" w:rsidRPr="00D87B8E">
              <w:rPr>
                <w:rFonts w:asciiTheme="majorHAnsi" w:hAnsiTheme="majorHAnsi"/>
                <w:noProof/>
                <w:webHidden/>
                <w:sz w:val="20"/>
                <w:szCs w:val="20"/>
              </w:rPr>
              <w:t>6</w:t>
            </w:r>
            <w:r w:rsidR="00D87B8E" w:rsidRPr="00D87B8E">
              <w:rPr>
                <w:rFonts w:asciiTheme="majorHAnsi" w:hAnsiTheme="majorHAnsi"/>
                <w:noProof/>
                <w:webHidden/>
                <w:sz w:val="20"/>
                <w:szCs w:val="20"/>
              </w:rPr>
              <w:fldChar w:fldCharType="end"/>
            </w:r>
          </w:hyperlink>
        </w:p>
        <w:p w14:paraId="25DB5F48" w14:textId="77777777" w:rsidR="00D87B8E" w:rsidRPr="00D87B8E" w:rsidRDefault="00F30897">
          <w:pPr>
            <w:pStyle w:val="TOC1"/>
            <w:rPr>
              <w:rFonts w:asciiTheme="majorHAnsi" w:eastAsiaTheme="minorEastAsia" w:hAnsiTheme="majorHAnsi" w:cstheme="minorBidi"/>
              <w:noProof/>
              <w:sz w:val="20"/>
              <w:szCs w:val="20"/>
              <w:bdr w:val="none" w:sz="0" w:space="0" w:color="auto"/>
            </w:rPr>
          </w:pPr>
          <w:hyperlink w:anchor="_Toc433311129" w:history="1">
            <w:r w:rsidR="00D87B8E" w:rsidRPr="00D87B8E">
              <w:rPr>
                <w:rStyle w:val="Hyperlink"/>
                <w:rFonts w:asciiTheme="majorHAnsi" w:hAnsiTheme="majorHAnsi"/>
                <w:noProof/>
                <w:sz w:val="20"/>
                <w:szCs w:val="20"/>
              </w:rPr>
              <w:t>IV.</w:t>
            </w:r>
            <w:r w:rsidR="00D87B8E" w:rsidRPr="00D87B8E">
              <w:rPr>
                <w:rFonts w:asciiTheme="majorHAnsi" w:eastAsiaTheme="minorEastAsia" w:hAnsiTheme="majorHAnsi" w:cstheme="minorBidi"/>
                <w:noProof/>
                <w:sz w:val="20"/>
                <w:szCs w:val="20"/>
                <w:bdr w:val="none" w:sz="0" w:space="0" w:color="auto"/>
              </w:rPr>
              <w:tab/>
            </w:r>
            <w:r w:rsidR="00D87B8E" w:rsidRPr="00D87B8E">
              <w:rPr>
                <w:rStyle w:val="Hyperlink"/>
                <w:rFonts w:asciiTheme="majorHAnsi" w:hAnsiTheme="majorHAnsi"/>
                <w:noProof/>
                <w:sz w:val="20"/>
                <w:szCs w:val="20"/>
              </w:rPr>
              <w:t>PROVEN FACTS</w:t>
            </w:r>
            <w:r w:rsidR="00D87B8E" w:rsidRPr="00D87B8E">
              <w:rPr>
                <w:rFonts w:asciiTheme="majorHAnsi" w:hAnsiTheme="majorHAnsi"/>
                <w:noProof/>
                <w:webHidden/>
                <w:sz w:val="20"/>
                <w:szCs w:val="20"/>
              </w:rPr>
              <w:tab/>
            </w:r>
            <w:r w:rsidR="00D87B8E" w:rsidRPr="00D87B8E">
              <w:rPr>
                <w:rFonts w:asciiTheme="majorHAnsi" w:hAnsiTheme="majorHAnsi"/>
                <w:noProof/>
                <w:webHidden/>
                <w:sz w:val="20"/>
                <w:szCs w:val="20"/>
              </w:rPr>
              <w:fldChar w:fldCharType="begin"/>
            </w:r>
            <w:r w:rsidR="00D87B8E" w:rsidRPr="00D87B8E">
              <w:rPr>
                <w:rFonts w:asciiTheme="majorHAnsi" w:hAnsiTheme="majorHAnsi"/>
                <w:noProof/>
                <w:webHidden/>
                <w:sz w:val="20"/>
                <w:szCs w:val="20"/>
              </w:rPr>
              <w:instrText xml:space="preserve"> PAGEREF _Toc433311129 \h </w:instrText>
            </w:r>
            <w:r w:rsidR="00D87B8E" w:rsidRPr="00D87B8E">
              <w:rPr>
                <w:rFonts w:asciiTheme="majorHAnsi" w:hAnsiTheme="majorHAnsi"/>
                <w:noProof/>
                <w:webHidden/>
                <w:sz w:val="20"/>
                <w:szCs w:val="20"/>
              </w:rPr>
            </w:r>
            <w:r w:rsidR="00D87B8E" w:rsidRPr="00D87B8E">
              <w:rPr>
                <w:rFonts w:asciiTheme="majorHAnsi" w:hAnsiTheme="majorHAnsi"/>
                <w:noProof/>
                <w:webHidden/>
                <w:sz w:val="20"/>
                <w:szCs w:val="20"/>
              </w:rPr>
              <w:fldChar w:fldCharType="separate"/>
            </w:r>
            <w:r w:rsidR="00D87B8E" w:rsidRPr="00D87B8E">
              <w:rPr>
                <w:rFonts w:asciiTheme="majorHAnsi" w:hAnsiTheme="majorHAnsi"/>
                <w:noProof/>
                <w:webHidden/>
                <w:sz w:val="20"/>
                <w:szCs w:val="20"/>
              </w:rPr>
              <w:t>9</w:t>
            </w:r>
            <w:r w:rsidR="00D87B8E" w:rsidRPr="00D87B8E">
              <w:rPr>
                <w:rFonts w:asciiTheme="majorHAnsi" w:hAnsiTheme="majorHAnsi"/>
                <w:noProof/>
                <w:webHidden/>
                <w:sz w:val="20"/>
                <w:szCs w:val="20"/>
              </w:rPr>
              <w:fldChar w:fldCharType="end"/>
            </w:r>
          </w:hyperlink>
        </w:p>
        <w:p w14:paraId="6BE31370" w14:textId="77777777" w:rsidR="00D87B8E" w:rsidRPr="00D87B8E" w:rsidRDefault="00F30897">
          <w:pPr>
            <w:pStyle w:val="TOC2"/>
            <w:rPr>
              <w:rFonts w:asciiTheme="majorHAnsi" w:eastAsiaTheme="minorEastAsia" w:hAnsiTheme="majorHAnsi" w:cstheme="minorBidi"/>
              <w:noProof/>
              <w:sz w:val="20"/>
              <w:szCs w:val="20"/>
              <w:bdr w:val="none" w:sz="0" w:space="0" w:color="auto"/>
            </w:rPr>
          </w:pPr>
          <w:hyperlink w:anchor="_Toc433311130" w:history="1">
            <w:r w:rsidR="00D87B8E" w:rsidRPr="00D87B8E">
              <w:rPr>
                <w:rStyle w:val="Hyperlink"/>
                <w:rFonts w:asciiTheme="majorHAnsi" w:hAnsiTheme="majorHAnsi"/>
                <w:noProof/>
                <w:sz w:val="20"/>
                <w:szCs w:val="20"/>
              </w:rPr>
              <w:t>A.</w:t>
            </w:r>
            <w:r w:rsidR="00D87B8E" w:rsidRPr="00D87B8E">
              <w:rPr>
                <w:rFonts w:asciiTheme="majorHAnsi" w:eastAsiaTheme="minorEastAsia" w:hAnsiTheme="majorHAnsi" w:cstheme="minorBidi"/>
                <w:noProof/>
                <w:sz w:val="20"/>
                <w:szCs w:val="20"/>
                <w:bdr w:val="none" w:sz="0" w:space="0" w:color="auto"/>
              </w:rPr>
              <w:tab/>
            </w:r>
            <w:r w:rsidR="00D87B8E" w:rsidRPr="00D87B8E">
              <w:rPr>
                <w:rStyle w:val="Hyperlink"/>
                <w:rFonts w:asciiTheme="majorHAnsi" w:hAnsiTheme="majorHAnsi"/>
                <w:noProof/>
                <w:sz w:val="20"/>
                <w:szCs w:val="20"/>
              </w:rPr>
              <w:t>Preliminary issue on the use of certain evidence</w:t>
            </w:r>
            <w:r w:rsidR="00D87B8E" w:rsidRPr="00D87B8E">
              <w:rPr>
                <w:rFonts w:asciiTheme="majorHAnsi" w:hAnsiTheme="majorHAnsi"/>
                <w:noProof/>
                <w:webHidden/>
                <w:sz w:val="20"/>
                <w:szCs w:val="20"/>
              </w:rPr>
              <w:tab/>
            </w:r>
            <w:r w:rsidR="00D87B8E" w:rsidRPr="00D87B8E">
              <w:rPr>
                <w:rFonts w:asciiTheme="majorHAnsi" w:hAnsiTheme="majorHAnsi"/>
                <w:noProof/>
                <w:webHidden/>
                <w:sz w:val="20"/>
                <w:szCs w:val="20"/>
              </w:rPr>
              <w:fldChar w:fldCharType="begin"/>
            </w:r>
            <w:r w:rsidR="00D87B8E" w:rsidRPr="00D87B8E">
              <w:rPr>
                <w:rFonts w:asciiTheme="majorHAnsi" w:hAnsiTheme="majorHAnsi"/>
                <w:noProof/>
                <w:webHidden/>
                <w:sz w:val="20"/>
                <w:szCs w:val="20"/>
              </w:rPr>
              <w:instrText xml:space="preserve"> PAGEREF _Toc433311130 \h </w:instrText>
            </w:r>
            <w:r w:rsidR="00D87B8E" w:rsidRPr="00D87B8E">
              <w:rPr>
                <w:rFonts w:asciiTheme="majorHAnsi" w:hAnsiTheme="majorHAnsi"/>
                <w:noProof/>
                <w:webHidden/>
                <w:sz w:val="20"/>
                <w:szCs w:val="20"/>
              </w:rPr>
            </w:r>
            <w:r w:rsidR="00D87B8E" w:rsidRPr="00D87B8E">
              <w:rPr>
                <w:rFonts w:asciiTheme="majorHAnsi" w:hAnsiTheme="majorHAnsi"/>
                <w:noProof/>
                <w:webHidden/>
                <w:sz w:val="20"/>
                <w:szCs w:val="20"/>
              </w:rPr>
              <w:fldChar w:fldCharType="separate"/>
            </w:r>
            <w:r w:rsidR="00D87B8E" w:rsidRPr="00D87B8E">
              <w:rPr>
                <w:rFonts w:asciiTheme="majorHAnsi" w:hAnsiTheme="majorHAnsi"/>
                <w:noProof/>
                <w:webHidden/>
                <w:sz w:val="20"/>
                <w:szCs w:val="20"/>
              </w:rPr>
              <w:t>9</w:t>
            </w:r>
            <w:r w:rsidR="00D87B8E" w:rsidRPr="00D87B8E">
              <w:rPr>
                <w:rFonts w:asciiTheme="majorHAnsi" w:hAnsiTheme="majorHAnsi"/>
                <w:noProof/>
                <w:webHidden/>
                <w:sz w:val="20"/>
                <w:szCs w:val="20"/>
              </w:rPr>
              <w:fldChar w:fldCharType="end"/>
            </w:r>
          </w:hyperlink>
        </w:p>
        <w:p w14:paraId="016D9811" w14:textId="77777777" w:rsidR="00D87B8E" w:rsidRPr="00D87B8E" w:rsidRDefault="00F30897">
          <w:pPr>
            <w:pStyle w:val="TOC2"/>
            <w:rPr>
              <w:rFonts w:asciiTheme="majorHAnsi" w:eastAsiaTheme="minorEastAsia" w:hAnsiTheme="majorHAnsi" w:cstheme="minorBidi"/>
              <w:noProof/>
              <w:sz w:val="20"/>
              <w:szCs w:val="20"/>
              <w:bdr w:val="none" w:sz="0" w:space="0" w:color="auto"/>
            </w:rPr>
          </w:pPr>
          <w:hyperlink w:anchor="_Toc433311131" w:history="1">
            <w:r w:rsidR="00D87B8E" w:rsidRPr="00D87B8E">
              <w:rPr>
                <w:rStyle w:val="Hyperlink"/>
                <w:rFonts w:asciiTheme="majorHAnsi" w:hAnsiTheme="majorHAnsi"/>
                <w:noProof/>
                <w:sz w:val="20"/>
                <w:szCs w:val="20"/>
              </w:rPr>
              <w:t>B.</w:t>
            </w:r>
            <w:r w:rsidR="00D87B8E" w:rsidRPr="00D87B8E">
              <w:rPr>
                <w:rFonts w:asciiTheme="majorHAnsi" w:eastAsiaTheme="minorEastAsia" w:hAnsiTheme="majorHAnsi" w:cstheme="minorBidi"/>
                <w:noProof/>
                <w:sz w:val="20"/>
                <w:szCs w:val="20"/>
                <w:bdr w:val="none" w:sz="0" w:space="0" w:color="auto"/>
              </w:rPr>
              <w:tab/>
            </w:r>
            <w:r w:rsidR="00D87B8E" w:rsidRPr="00D87B8E">
              <w:rPr>
                <w:rStyle w:val="Hyperlink"/>
                <w:rFonts w:asciiTheme="majorHAnsi" w:hAnsiTheme="majorHAnsi"/>
                <w:noProof/>
                <w:sz w:val="20"/>
                <w:szCs w:val="20"/>
              </w:rPr>
              <w:t>Context of the petition for signatures for convening the consultative and recall referendum of the President of the Republic</w:t>
            </w:r>
            <w:r w:rsidR="00D87B8E" w:rsidRPr="00D87B8E">
              <w:rPr>
                <w:rFonts w:asciiTheme="majorHAnsi" w:hAnsiTheme="majorHAnsi"/>
                <w:noProof/>
                <w:webHidden/>
                <w:sz w:val="20"/>
                <w:szCs w:val="20"/>
              </w:rPr>
              <w:tab/>
            </w:r>
            <w:r w:rsidR="00D87B8E" w:rsidRPr="00D87B8E">
              <w:rPr>
                <w:rFonts w:asciiTheme="majorHAnsi" w:hAnsiTheme="majorHAnsi"/>
                <w:noProof/>
                <w:webHidden/>
                <w:sz w:val="20"/>
                <w:szCs w:val="20"/>
              </w:rPr>
              <w:fldChar w:fldCharType="begin"/>
            </w:r>
            <w:r w:rsidR="00D87B8E" w:rsidRPr="00D87B8E">
              <w:rPr>
                <w:rFonts w:asciiTheme="majorHAnsi" w:hAnsiTheme="majorHAnsi"/>
                <w:noProof/>
                <w:webHidden/>
                <w:sz w:val="20"/>
                <w:szCs w:val="20"/>
              </w:rPr>
              <w:instrText xml:space="preserve"> PAGEREF _Toc433311131 \h </w:instrText>
            </w:r>
            <w:r w:rsidR="00D87B8E" w:rsidRPr="00D87B8E">
              <w:rPr>
                <w:rFonts w:asciiTheme="majorHAnsi" w:hAnsiTheme="majorHAnsi"/>
                <w:noProof/>
                <w:webHidden/>
                <w:sz w:val="20"/>
                <w:szCs w:val="20"/>
              </w:rPr>
            </w:r>
            <w:r w:rsidR="00D87B8E" w:rsidRPr="00D87B8E">
              <w:rPr>
                <w:rFonts w:asciiTheme="majorHAnsi" w:hAnsiTheme="majorHAnsi"/>
                <w:noProof/>
                <w:webHidden/>
                <w:sz w:val="20"/>
                <w:szCs w:val="20"/>
              </w:rPr>
              <w:fldChar w:fldCharType="separate"/>
            </w:r>
            <w:r w:rsidR="00D87B8E" w:rsidRPr="00D87B8E">
              <w:rPr>
                <w:rFonts w:asciiTheme="majorHAnsi" w:hAnsiTheme="majorHAnsi"/>
                <w:noProof/>
                <w:webHidden/>
                <w:sz w:val="20"/>
                <w:szCs w:val="20"/>
              </w:rPr>
              <w:t>10</w:t>
            </w:r>
            <w:r w:rsidR="00D87B8E" w:rsidRPr="00D87B8E">
              <w:rPr>
                <w:rFonts w:asciiTheme="majorHAnsi" w:hAnsiTheme="majorHAnsi"/>
                <w:noProof/>
                <w:webHidden/>
                <w:sz w:val="20"/>
                <w:szCs w:val="20"/>
              </w:rPr>
              <w:fldChar w:fldCharType="end"/>
            </w:r>
          </w:hyperlink>
        </w:p>
        <w:p w14:paraId="646F78B3" w14:textId="77777777" w:rsidR="00D87B8E" w:rsidRPr="00D87B8E" w:rsidRDefault="00F30897">
          <w:pPr>
            <w:pStyle w:val="TOC2"/>
            <w:rPr>
              <w:rFonts w:asciiTheme="majorHAnsi" w:eastAsiaTheme="minorEastAsia" w:hAnsiTheme="majorHAnsi" w:cstheme="minorBidi"/>
              <w:noProof/>
              <w:sz w:val="20"/>
              <w:szCs w:val="20"/>
              <w:bdr w:val="none" w:sz="0" w:space="0" w:color="auto"/>
            </w:rPr>
          </w:pPr>
          <w:hyperlink w:anchor="_Toc433311132" w:history="1">
            <w:r w:rsidR="00D87B8E" w:rsidRPr="00D87B8E">
              <w:rPr>
                <w:rStyle w:val="Hyperlink"/>
                <w:rFonts w:asciiTheme="majorHAnsi" w:hAnsiTheme="majorHAnsi"/>
                <w:noProof/>
                <w:sz w:val="20"/>
                <w:szCs w:val="20"/>
              </w:rPr>
              <w:t>C.</w:t>
            </w:r>
            <w:r w:rsidR="00D87B8E" w:rsidRPr="00D87B8E">
              <w:rPr>
                <w:rFonts w:asciiTheme="majorHAnsi" w:eastAsiaTheme="minorEastAsia" w:hAnsiTheme="majorHAnsi" w:cstheme="minorBidi"/>
                <w:noProof/>
                <w:sz w:val="20"/>
                <w:szCs w:val="20"/>
                <w:bdr w:val="none" w:sz="0" w:space="0" w:color="auto"/>
              </w:rPr>
              <w:tab/>
            </w:r>
            <w:r w:rsidR="00D87B8E" w:rsidRPr="00D87B8E">
              <w:rPr>
                <w:rStyle w:val="Hyperlink"/>
                <w:rFonts w:asciiTheme="majorHAnsi" w:hAnsiTheme="majorHAnsi"/>
                <w:noProof/>
                <w:sz w:val="20"/>
                <w:szCs w:val="20"/>
              </w:rPr>
              <w:t>The work relationship and termination of contracts of Rocío San Miguel Sosa, Magally Chang Girón, and Thais Coromoto Peña</w:t>
            </w:r>
            <w:r w:rsidR="00D87B8E" w:rsidRPr="00D87B8E">
              <w:rPr>
                <w:rFonts w:asciiTheme="majorHAnsi" w:hAnsiTheme="majorHAnsi"/>
                <w:noProof/>
                <w:webHidden/>
                <w:sz w:val="20"/>
                <w:szCs w:val="20"/>
              </w:rPr>
              <w:tab/>
            </w:r>
            <w:r w:rsidR="00D87B8E" w:rsidRPr="00D87B8E">
              <w:rPr>
                <w:rFonts w:asciiTheme="majorHAnsi" w:hAnsiTheme="majorHAnsi"/>
                <w:noProof/>
                <w:webHidden/>
                <w:sz w:val="20"/>
                <w:szCs w:val="20"/>
              </w:rPr>
              <w:fldChar w:fldCharType="begin"/>
            </w:r>
            <w:r w:rsidR="00D87B8E" w:rsidRPr="00D87B8E">
              <w:rPr>
                <w:rFonts w:asciiTheme="majorHAnsi" w:hAnsiTheme="majorHAnsi"/>
                <w:noProof/>
                <w:webHidden/>
                <w:sz w:val="20"/>
                <w:szCs w:val="20"/>
              </w:rPr>
              <w:instrText xml:space="preserve"> PAGEREF _Toc433311132 \h </w:instrText>
            </w:r>
            <w:r w:rsidR="00D87B8E" w:rsidRPr="00D87B8E">
              <w:rPr>
                <w:rFonts w:asciiTheme="majorHAnsi" w:hAnsiTheme="majorHAnsi"/>
                <w:noProof/>
                <w:webHidden/>
                <w:sz w:val="20"/>
                <w:szCs w:val="20"/>
              </w:rPr>
            </w:r>
            <w:r w:rsidR="00D87B8E" w:rsidRPr="00D87B8E">
              <w:rPr>
                <w:rFonts w:asciiTheme="majorHAnsi" w:hAnsiTheme="majorHAnsi"/>
                <w:noProof/>
                <w:webHidden/>
                <w:sz w:val="20"/>
                <w:szCs w:val="20"/>
              </w:rPr>
              <w:fldChar w:fldCharType="separate"/>
            </w:r>
            <w:r w:rsidR="00D87B8E" w:rsidRPr="00D87B8E">
              <w:rPr>
                <w:rFonts w:asciiTheme="majorHAnsi" w:hAnsiTheme="majorHAnsi"/>
                <w:noProof/>
                <w:webHidden/>
                <w:sz w:val="20"/>
                <w:szCs w:val="20"/>
              </w:rPr>
              <w:t>17</w:t>
            </w:r>
            <w:r w:rsidR="00D87B8E" w:rsidRPr="00D87B8E">
              <w:rPr>
                <w:rFonts w:asciiTheme="majorHAnsi" w:hAnsiTheme="majorHAnsi"/>
                <w:noProof/>
                <w:webHidden/>
                <w:sz w:val="20"/>
                <w:szCs w:val="20"/>
              </w:rPr>
              <w:fldChar w:fldCharType="end"/>
            </w:r>
          </w:hyperlink>
        </w:p>
        <w:p w14:paraId="23765188" w14:textId="77777777" w:rsidR="00D87B8E" w:rsidRPr="00D87B8E" w:rsidRDefault="00F30897">
          <w:pPr>
            <w:pStyle w:val="TOC2"/>
            <w:rPr>
              <w:rFonts w:asciiTheme="majorHAnsi" w:eastAsiaTheme="minorEastAsia" w:hAnsiTheme="majorHAnsi" w:cstheme="minorBidi"/>
              <w:noProof/>
              <w:sz w:val="20"/>
              <w:szCs w:val="20"/>
              <w:bdr w:val="none" w:sz="0" w:space="0" w:color="auto"/>
            </w:rPr>
          </w:pPr>
          <w:hyperlink w:anchor="_Toc433311133" w:history="1">
            <w:r w:rsidR="00D87B8E" w:rsidRPr="00D87B8E">
              <w:rPr>
                <w:rStyle w:val="Hyperlink"/>
                <w:rFonts w:asciiTheme="majorHAnsi" w:hAnsiTheme="majorHAnsi"/>
                <w:noProof/>
                <w:sz w:val="20"/>
                <w:szCs w:val="20"/>
              </w:rPr>
              <w:t>D.</w:t>
            </w:r>
            <w:r w:rsidR="00D87B8E" w:rsidRPr="00D87B8E">
              <w:rPr>
                <w:rFonts w:asciiTheme="majorHAnsi" w:eastAsiaTheme="minorEastAsia" w:hAnsiTheme="majorHAnsi" w:cstheme="minorBidi"/>
                <w:noProof/>
                <w:sz w:val="20"/>
                <w:szCs w:val="20"/>
                <w:bdr w:val="none" w:sz="0" w:space="0" w:color="auto"/>
              </w:rPr>
              <w:tab/>
            </w:r>
            <w:r w:rsidR="00D87B8E" w:rsidRPr="00D87B8E">
              <w:rPr>
                <w:rStyle w:val="Hyperlink"/>
                <w:rFonts w:asciiTheme="majorHAnsi" w:hAnsiTheme="majorHAnsi"/>
                <w:noProof/>
                <w:sz w:val="20"/>
                <w:szCs w:val="20"/>
              </w:rPr>
              <w:t>Internal processes initiated in relation to the termination of the contracts</w:t>
            </w:r>
            <w:r w:rsidR="00D87B8E" w:rsidRPr="00D87B8E">
              <w:rPr>
                <w:rFonts w:asciiTheme="majorHAnsi" w:hAnsiTheme="majorHAnsi"/>
                <w:noProof/>
                <w:webHidden/>
                <w:sz w:val="20"/>
                <w:szCs w:val="20"/>
              </w:rPr>
              <w:tab/>
            </w:r>
            <w:r w:rsidR="00D87B8E" w:rsidRPr="00D87B8E">
              <w:rPr>
                <w:rFonts w:asciiTheme="majorHAnsi" w:hAnsiTheme="majorHAnsi"/>
                <w:noProof/>
                <w:webHidden/>
                <w:sz w:val="20"/>
                <w:szCs w:val="20"/>
              </w:rPr>
              <w:fldChar w:fldCharType="begin"/>
            </w:r>
            <w:r w:rsidR="00D87B8E" w:rsidRPr="00D87B8E">
              <w:rPr>
                <w:rFonts w:asciiTheme="majorHAnsi" w:hAnsiTheme="majorHAnsi"/>
                <w:noProof/>
                <w:webHidden/>
                <w:sz w:val="20"/>
                <w:szCs w:val="20"/>
              </w:rPr>
              <w:instrText xml:space="preserve"> PAGEREF _Toc433311133 \h </w:instrText>
            </w:r>
            <w:r w:rsidR="00D87B8E" w:rsidRPr="00D87B8E">
              <w:rPr>
                <w:rFonts w:asciiTheme="majorHAnsi" w:hAnsiTheme="majorHAnsi"/>
                <w:noProof/>
                <w:webHidden/>
                <w:sz w:val="20"/>
                <w:szCs w:val="20"/>
              </w:rPr>
            </w:r>
            <w:r w:rsidR="00D87B8E" w:rsidRPr="00D87B8E">
              <w:rPr>
                <w:rFonts w:asciiTheme="majorHAnsi" w:hAnsiTheme="majorHAnsi"/>
                <w:noProof/>
                <w:webHidden/>
                <w:sz w:val="20"/>
                <w:szCs w:val="20"/>
              </w:rPr>
              <w:fldChar w:fldCharType="separate"/>
            </w:r>
            <w:r w:rsidR="00D87B8E" w:rsidRPr="00D87B8E">
              <w:rPr>
                <w:rFonts w:asciiTheme="majorHAnsi" w:hAnsiTheme="majorHAnsi"/>
                <w:noProof/>
                <w:webHidden/>
                <w:sz w:val="20"/>
                <w:szCs w:val="20"/>
              </w:rPr>
              <w:t>22</w:t>
            </w:r>
            <w:r w:rsidR="00D87B8E" w:rsidRPr="00D87B8E">
              <w:rPr>
                <w:rFonts w:asciiTheme="majorHAnsi" w:hAnsiTheme="majorHAnsi"/>
                <w:noProof/>
                <w:webHidden/>
                <w:sz w:val="20"/>
                <w:szCs w:val="20"/>
              </w:rPr>
              <w:fldChar w:fldCharType="end"/>
            </w:r>
          </w:hyperlink>
        </w:p>
        <w:p w14:paraId="0D229FEF" w14:textId="77777777" w:rsidR="00D87B8E" w:rsidRPr="00D87B8E" w:rsidRDefault="00F30897">
          <w:pPr>
            <w:pStyle w:val="TOC1"/>
            <w:rPr>
              <w:rFonts w:asciiTheme="majorHAnsi" w:eastAsiaTheme="minorEastAsia" w:hAnsiTheme="majorHAnsi" w:cstheme="minorBidi"/>
              <w:noProof/>
              <w:sz w:val="20"/>
              <w:szCs w:val="20"/>
              <w:bdr w:val="none" w:sz="0" w:space="0" w:color="auto"/>
            </w:rPr>
          </w:pPr>
          <w:hyperlink w:anchor="_Toc433311134" w:history="1">
            <w:r w:rsidR="00D87B8E" w:rsidRPr="00D87B8E">
              <w:rPr>
                <w:rStyle w:val="Hyperlink"/>
                <w:rFonts w:asciiTheme="majorHAnsi" w:hAnsiTheme="majorHAnsi"/>
                <w:noProof/>
                <w:sz w:val="20"/>
                <w:szCs w:val="20"/>
              </w:rPr>
              <w:t>V.</w:t>
            </w:r>
            <w:r w:rsidR="00D87B8E" w:rsidRPr="00D87B8E">
              <w:rPr>
                <w:rFonts w:asciiTheme="majorHAnsi" w:eastAsiaTheme="minorEastAsia" w:hAnsiTheme="majorHAnsi" w:cstheme="minorBidi"/>
                <w:noProof/>
                <w:sz w:val="20"/>
                <w:szCs w:val="20"/>
                <w:bdr w:val="none" w:sz="0" w:space="0" w:color="auto"/>
              </w:rPr>
              <w:tab/>
            </w:r>
            <w:r w:rsidR="00D87B8E" w:rsidRPr="00D87B8E">
              <w:rPr>
                <w:rStyle w:val="Hyperlink"/>
                <w:rFonts w:asciiTheme="majorHAnsi" w:hAnsiTheme="majorHAnsi"/>
                <w:noProof/>
                <w:sz w:val="20"/>
                <w:szCs w:val="20"/>
              </w:rPr>
              <w:t>LEGAL ANALYSIS</w:t>
            </w:r>
            <w:r w:rsidR="00D87B8E" w:rsidRPr="00D87B8E">
              <w:rPr>
                <w:rFonts w:asciiTheme="majorHAnsi" w:hAnsiTheme="majorHAnsi"/>
                <w:noProof/>
                <w:webHidden/>
                <w:sz w:val="20"/>
                <w:szCs w:val="20"/>
              </w:rPr>
              <w:tab/>
            </w:r>
            <w:r w:rsidR="00D87B8E" w:rsidRPr="00D87B8E">
              <w:rPr>
                <w:rFonts w:asciiTheme="majorHAnsi" w:hAnsiTheme="majorHAnsi"/>
                <w:noProof/>
                <w:webHidden/>
                <w:sz w:val="20"/>
                <w:szCs w:val="20"/>
              </w:rPr>
              <w:fldChar w:fldCharType="begin"/>
            </w:r>
            <w:r w:rsidR="00D87B8E" w:rsidRPr="00D87B8E">
              <w:rPr>
                <w:rFonts w:asciiTheme="majorHAnsi" w:hAnsiTheme="majorHAnsi"/>
                <w:noProof/>
                <w:webHidden/>
                <w:sz w:val="20"/>
                <w:szCs w:val="20"/>
              </w:rPr>
              <w:instrText xml:space="preserve"> PAGEREF _Toc433311134 \h </w:instrText>
            </w:r>
            <w:r w:rsidR="00D87B8E" w:rsidRPr="00D87B8E">
              <w:rPr>
                <w:rFonts w:asciiTheme="majorHAnsi" w:hAnsiTheme="majorHAnsi"/>
                <w:noProof/>
                <w:webHidden/>
                <w:sz w:val="20"/>
                <w:szCs w:val="20"/>
              </w:rPr>
            </w:r>
            <w:r w:rsidR="00D87B8E" w:rsidRPr="00D87B8E">
              <w:rPr>
                <w:rFonts w:asciiTheme="majorHAnsi" w:hAnsiTheme="majorHAnsi"/>
                <w:noProof/>
                <w:webHidden/>
                <w:sz w:val="20"/>
                <w:szCs w:val="20"/>
              </w:rPr>
              <w:fldChar w:fldCharType="separate"/>
            </w:r>
            <w:r w:rsidR="00D87B8E" w:rsidRPr="00D87B8E">
              <w:rPr>
                <w:rFonts w:asciiTheme="majorHAnsi" w:hAnsiTheme="majorHAnsi"/>
                <w:noProof/>
                <w:webHidden/>
                <w:sz w:val="20"/>
                <w:szCs w:val="20"/>
              </w:rPr>
              <w:t>27</w:t>
            </w:r>
            <w:r w:rsidR="00D87B8E" w:rsidRPr="00D87B8E">
              <w:rPr>
                <w:rFonts w:asciiTheme="majorHAnsi" w:hAnsiTheme="majorHAnsi"/>
                <w:noProof/>
                <w:webHidden/>
                <w:sz w:val="20"/>
                <w:szCs w:val="20"/>
              </w:rPr>
              <w:fldChar w:fldCharType="end"/>
            </w:r>
          </w:hyperlink>
        </w:p>
        <w:p w14:paraId="045E38EB" w14:textId="77777777" w:rsidR="00D87B8E" w:rsidRPr="00D87B8E" w:rsidRDefault="00F30897">
          <w:pPr>
            <w:pStyle w:val="TOC2"/>
            <w:rPr>
              <w:rFonts w:asciiTheme="majorHAnsi" w:eastAsiaTheme="minorEastAsia" w:hAnsiTheme="majorHAnsi" w:cstheme="minorBidi"/>
              <w:noProof/>
              <w:sz w:val="20"/>
              <w:szCs w:val="20"/>
              <w:bdr w:val="none" w:sz="0" w:space="0" w:color="auto"/>
            </w:rPr>
          </w:pPr>
          <w:hyperlink w:anchor="_Toc433311135" w:history="1">
            <w:r w:rsidR="00D87B8E" w:rsidRPr="00D87B8E">
              <w:rPr>
                <w:rStyle w:val="Hyperlink"/>
                <w:rFonts w:asciiTheme="majorHAnsi" w:hAnsiTheme="majorHAnsi"/>
                <w:noProof/>
                <w:sz w:val="20"/>
                <w:szCs w:val="20"/>
              </w:rPr>
              <w:t>A.</w:t>
            </w:r>
            <w:r w:rsidR="00D87B8E" w:rsidRPr="00D87B8E">
              <w:rPr>
                <w:rFonts w:asciiTheme="majorHAnsi" w:eastAsiaTheme="minorEastAsia" w:hAnsiTheme="majorHAnsi" w:cstheme="minorBidi"/>
                <w:noProof/>
                <w:sz w:val="20"/>
                <w:szCs w:val="20"/>
                <w:bdr w:val="none" w:sz="0" w:space="0" w:color="auto"/>
              </w:rPr>
              <w:tab/>
            </w:r>
            <w:r w:rsidR="00D87B8E" w:rsidRPr="00D87B8E">
              <w:rPr>
                <w:rStyle w:val="Hyperlink"/>
                <w:rFonts w:asciiTheme="majorHAnsi" w:hAnsiTheme="majorHAnsi"/>
                <w:noProof/>
                <w:sz w:val="20"/>
                <w:szCs w:val="20"/>
              </w:rPr>
              <w:t>Political rights, freedom of expression and the principle of equality and non-discrimination in the context of the dismissal (Articles 23.1, 13.1 and 13.3, 24 and 1.1 of the American Convention)</w:t>
            </w:r>
            <w:r w:rsidR="00D87B8E" w:rsidRPr="00D87B8E">
              <w:rPr>
                <w:rFonts w:asciiTheme="majorHAnsi" w:hAnsiTheme="majorHAnsi"/>
                <w:noProof/>
                <w:webHidden/>
                <w:sz w:val="20"/>
                <w:szCs w:val="20"/>
              </w:rPr>
              <w:tab/>
            </w:r>
            <w:r w:rsidR="00D87B8E" w:rsidRPr="00D87B8E">
              <w:rPr>
                <w:rFonts w:asciiTheme="majorHAnsi" w:hAnsiTheme="majorHAnsi"/>
                <w:noProof/>
                <w:webHidden/>
                <w:sz w:val="20"/>
                <w:szCs w:val="20"/>
              </w:rPr>
              <w:fldChar w:fldCharType="begin"/>
            </w:r>
            <w:r w:rsidR="00D87B8E" w:rsidRPr="00D87B8E">
              <w:rPr>
                <w:rFonts w:asciiTheme="majorHAnsi" w:hAnsiTheme="majorHAnsi"/>
                <w:noProof/>
                <w:webHidden/>
                <w:sz w:val="20"/>
                <w:szCs w:val="20"/>
              </w:rPr>
              <w:instrText xml:space="preserve"> PAGEREF _Toc433311135 \h </w:instrText>
            </w:r>
            <w:r w:rsidR="00D87B8E" w:rsidRPr="00D87B8E">
              <w:rPr>
                <w:rFonts w:asciiTheme="majorHAnsi" w:hAnsiTheme="majorHAnsi"/>
                <w:noProof/>
                <w:webHidden/>
                <w:sz w:val="20"/>
                <w:szCs w:val="20"/>
              </w:rPr>
            </w:r>
            <w:r w:rsidR="00D87B8E" w:rsidRPr="00D87B8E">
              <w:rPr>
                <w:rFonts w:asciiTheme="majorHAnsi" w:hAnsiTheme="majorHAnsi"/>
                <w:noProof/>
                <w:webHidden/>
                <w:sz w:val="20"/>
                <w:szCs w:val="20"/>
              </w:rPr>
              <w:fldChar w:fldCharType="separate"/>
            </w:r>
            <w:r w:rsidR="00D87B8E" w:rsidRPr="00D87B8E">
              <w:rPr>
                <w:rFonts w:asciiTheme="majorHAnsi" w:hAnsiTheme="majorHAnsi"/>
                <w:noProof/>
                <w:webHidden/>
                <w:sz w:val="20"/>
                <w:szCs w:val="20"/>
              </w:rPr>
              <w:t>27</w:t>
            </w:r>
            <w:r w:rsidR="00D87B8E" w:rsidRPr="00D87B8E">
              <w:rPr>
                <w:rFonts w:asciiTheme="majorHAnsi" w:hAnsiTheme="majorHAnsi"/>
                <w:noProof/>
                <w:webHidden/>
                <w:sz w:val="20"/>
                <w:szCs w:val="20"/>
              </w:rPr>
              <w:fldChar w:fldCharType="end"/>
            </w:r>
          </w:hyperlink>
        </w:p>
        <w:p w14:paraId="2DBA3F7A" w14:textId="77777777" w:rsidR="00D87B8E" w:rsidRPr="00D87B8E" w:rsidRDefault="00F30897">
          <w:pPr>
            <w:pStyle w:val="TOC2"/>
            <w:rPr>
              <w:rFonts w:asciiTheme="majorHAnsi" w:eastAsiaTheme="minorEastAsia" w:hAnsiTheme="majorHAnsi" w:cstheme="minorBidi"/>
              <w:noProof/>
              <w:sz w:val="20"/>
              <w:szCs w:val="20"/>
              <w:bdr w:val="none" w:sz="0" w:space="0" w:color="auto"/>
            </w:rPr>
          </w:pPr>
          <w:hyperlink w:anchor="_Toc433311136" w:history="1">
            <w:r w:rsidR="00D87B8E" w:rsidRPr="00D87B8E">
              <w:rPr>
                <w:rStyle w:val="Hyperlink"/>
                <w:rFonts w:asciiTheme="majorHAnsi" w:hAnsiTheme="majorHAnsi"/>
                <w:noProof/>
                <w:sz w:val="20"/>
                <w:szCs w:val="20"/>
              </w:rPr>
              <w:t>B.</w:t>
            </w:r>
            <w:r w:rsidR="00D87B8E" w:rsidRPr="00D87B8E">
              <w:rPr>
                <w:rFonts w:asciiTheme="majorHAnsi" w:eastAsiaTheme="minorEastAsia" w:hAnsiTheme="majorHAnsi" w:cstheme="minorBidi"/>
                <w:noProof/>
                <w:sz w:val="20"/>
                <w:szCs w:val="20"/>
                <w:bdr w:val="none" w:sz="0" w:space="0" w:color="auto"/>
              </w:rPr>
              <w:tab/>
            </w:r>
            <w:r w:rsidR="00D87B8E" w:rsidRPr="00D87B8E">
              <w:rPr>
                <w:rStyle w:val="Hyperlink"/>
                <w:rFonts w:asciiTheme="majorHAnsi" w:hAnsiTheme="majorHAnsi"/>
                <w:noProof/>
                <w:sz w:val="20"/>
                <w:szCs w:val="20"/>
              </w:rPr>
              <w:t>The rights to a fair trial and judicial protection (Articles 8.1, 25.1 of the American Convention), in relation to the obligation to respect rights (Article 1.1 of the American Convention)</w:t>
            </w:r>
            <w:r w:rsidR="00D87B8E" w:rsidRPr="00D87B8E">
              <w:rPr>
                <w:rFonts w:asciiTheme="majorHAnsi" w:hAnsiTheme="majorHAnsi"/>
                <w:noProof/>
                <w:webHidden/>
                <w:sz w:val="20"/>
                <w:szCs w:val="20"/>
              </w:rPr>
              <w:tab/>
            </w:r>
            <w:r w:rsidR="00D87B8E" w:rsidRPr="00D87B8E">
              <w:rPr>
                <w:rFonts w:asciiTheme="majorHAnsi" w:hAnsiTheme="majorHAnsi"/>
                <w:noProof/>
                <w:webHidden/>
                <w:sz w:val="20"/>
                <w:szCs w:val="20"/>
              </w:rPr>
              <w:fldChar w:fldCharType="begin"/>
            </w:r>
            <w:r w:rsidR="00D87B8E" w:rsidRPr="00D87B8E">
              <w:rPr>
                <w:rFonts w:asciiTheme="majorHAnsi" w:hAnsiTheme="majorHAnsi"/>
                <w:noProof/>
                <w:webHidden/>
                <w:sz w:val="20"/>
                <w:szCs w:val="20"/>
              </w:rPr>
              <w:instrText xml:space="preserve"> PAGEREF _Toc433311136 \h </w:instrText>
            </w:r>
            <w:r w:rsidR="00D87B8E" w:rsidRPr="00D87B8E">
              <w:rPr>
                <w:rFonts w:asciiTheme="majorHAnsi" w:hAnsiTheme="majorHAnsi"/>
                <w:noProof/>
                <w:webHidden/>
                <w:sz w:val="20"/>
                <w:szCs w:val="20"/>
              </w:rPr>
            </w:r>
            <w:r w:rsidR="00D87B8E" w:rsidRPr="00D87B8E">
              <w:rPr>
                <w:rFonts w:asciiTheme="majorHAnsi" w:hAnsiTheme="majorHAnsi"/>
                <w:noProof/>
                <w:webHidden/>
                <w:sz w:val="20"/>
                <w:szCs w:val="20"/>
              </w:rPr>
              <w:fldChar w:fldCharType="separate"/>
            </w:r>
            <w:r w:rsidR="00D87B8E" w:rsidRPr="00D87B8E">
              <w:rPr>
                <w:rFonts w:asciiTheme="majorHAnsi" w:hAnsiTheme="majorHAnsi"/>
                <w:noProof/>
                <w:webHidden/>
                <w:sz w:val="20"/>
                <w:szCs w:val="20"/>
              </w:rPr>
              <w:t>36</w:t>
            </w:r>
            <w:r w:rsidR="00D87B8E" w:rsidRPr="00D87B8E">
              <w:rPr>
                <w:rFonts w:asciiTheme="majorHAnsi" w:hAnsiTheme="majorHAnsi"/>
                <w:noProof/>
                <w:webHidden/>
                <w:sz w:val="20"/>
                <w:szCs w:val="20"/>
              </w:rPr>
              <w:fldChar w:fldCharType="end"/>
            </w:r>
          </w:hyperlink>
        </w:p>
        <w:p w14:paraId="5D21F652" w14:textId="77777777" w:rsidR="00D87B8E" w:rsidRPr="00D87B8E" w:rsidRDefault="00F30897">
          <w:pPr>
            <w:pStyle w:val="TOC1"/>
            <w:rPr>
              <w:rFonts w:asciiTheme="majorHAnsi" w:eastAsiaTheme="minorEastAsia" w:hAnsiTheme="majorHAnsi" w:cstheme="minorBidi"/>
              <w:noProof/>
              <w:sz w:val="20"/>
              <w:szCs w:val="20"/>
              <w:bdr w:val="none" w:sz="0" w:space="0" w:color="auto"/>
            </w:rPr>
          </w:pPr>
          <w:hyperlink w:anchor="_Toc433311137" w:history="1">
            <w:r w:rsidR="00D87B8E" w:rsidRPr="00D87B8E">
              <w:rPr>
                <w:rStyle w:val="Hyperlink"/>
                <w:rFonts w:asciiTheme="majorHAnsi" w:eastAsia="Times New Roman" w:hAnsiTheme="majorHAnsi"/>
                <w:bCs/>
                <w:noProof/>
                <w:sz w:val="20"/>
                <w:szCs w:val="20"/>
                <w:lang w:val="es-AR"/>
              </w:rPr>
              <w:t>VI.</w:t>
            </w:r>
            <w:r w:rsidR="00D87B8E" w:rsidRPr="00D87B8E">
              <w:rPr>
                <w:rFonts w:asciiTheme="majorHAnsi" w:eastAsiaTheme="minorEastAsia" w:hAnsiTheme="majorHAnsi" w:cstheme="minorBidi"/>
                <w:noProof/>
                <w:sz w:val="20"/>
                <w:szCs w:val="20"/>
                <w:bdr w:val="none" w:sz="0" w:space="0" w:color="auto"/>
              </w:rPr>
              <w:tab/>
            </w:r>
            <w:r w:rsidR="00D87B8E" w:rsidRPr="00D87B8E">
              <w:rPr>
                <w:rStyle w:val="Hyperlink"/>
                <w:rFonts w:asciiTheme="majorHAnsi" w:eastAsia="Times New Roman" w:hAnsiTheme="majorHAnsi"/>
                <w:noProof/>
                <w:sz w:val="20"/>
                <w:szCs w:val="20"/>
                <w:lang w:val="es-ES_tradnl"/>
              </w:rPr>
              <w:t>CONCLUSIONS</w:t>
            </w:r>
            <w:r w:rsidR="00D87B8E" w:rsidRPr="00D87B8E">
              <w:rPr>
                <w:rFonts w:asciiTheme="majorHAnsi" w:hAnsiTheme="majorHAnsi"/>
                <w:noProof/>
                <w:webHidden/>
                <w:sz w:val="20"/>
                <w:szCs w:val="20"/>
              </w:rPr>
              <w:tab/>
            </w:r>
            <w:r w:rsidR="00D87B8E" w:rsidRPr="00D87B8E">
              <w:rPr>
                <w:rFonts w:asciiTheme="majorHAnsi" w:hAnsiTheme="majorHAnsi"/>
                <w:noProof/>
                <w:webHidden/>
                <w:sz w:val="20"/>
                <w:szCs w:val="20"/>
              </w:rPr>
              <w:fldChar w:fldCharType="begin"/>
            </w:r>
            <w:r w:rsidR="00D87B8E" w:rsidRPr="00D87B8E">
              <w:rPr>
                <w:rFonts w:asciiTheme="majorHAnsi" w:hAnsiTheme="majorHAnsi"/>
                <w:noProof/>
                <w:webHidden/>
                <w:sz w:val="20"/>
                <w:szCs w:val="20"/>
              </w:rPr>
              <w:instrText xml:space="preserve"> PAGEREF _Toc433311137 \h </w:instrText>
            </w:r>
            <w:r w:rsidR="00D87B8E" w:rsidRPr="00D87B8E">
              <w:rPr>
                <w:rFonts w:asciiTheme="majorHAnsi" w:hAnsiTheme="majorHAnsi"/>
                <w:noProof/>
                <w:webHidden/>
                <w:sz w:val="20"/>
                <w:szCs w:val="20"/>
              </w:rPr>
            </w:r>
            <w:r w:rsidR="00D87B8E" w:rsidRPr="00D87B8E">
              <w:rPr>
                <w:rFonts w:asciiTheme="majorHAnsi" w:hAnsiTheme="majorHAnsi"/>
                <w:noProof/>
                <w:webHidden/>
                <w:sz w:val="20"/>
                <w:szCs w:val="20"/>
              </w:rPr>
              <w:fldChar w:fldCharType="separate"/>
            </w:r>
            <w:r w:rsidR="00D87B8E" w:rsidRPr="00D87B8E">
              <w:rPr>
                <w:rFonts w:asciiTheme="majorHAnsi" w:hAnsiTheme="majorHAnsi"/>
                <w:noProof/>
                <w:webHidden/>
                <w:sz w:val="20"/>
                <w:szCs w:val="20"/>
              </w:rPr>
              <w:t>43</w:t>
            </w:r>
            <w:r w:rsidR="00D87B8E" w:rsidRPr="00D87B8E">
              <w:rPr>
                <w:rFonts w:asciiTheme="majorHAnsi" w:hAnsiTheme="majorHAnsi"/>
                <w:noProof/>
                <w:webHidden/>
                <w:sz w:val="20"/>
                <w:szCs w:val="20"/>
              </w:rPr>
              <w:fldChar w:fldCharType="end"/>
            </w:r>
          </w:hyperlink>
        </w:p>
        <w:p w14:paraId="7AF3A12B" w14:textId="77777777" w:rsidR="00D87B8E" w:rsidRPr="00D87B8E" w:rsidRDefault="00F30897">
          <w:pPr>
            <w:pStyle w:val="TOC1"/>
            <w:rPr>
              <w:rFonts w:asciiTheme="majorHAnsi" w:eastAsiaTheme="minorEastAsia" w:hAnsiTheme="majorHAnsi" w:cstheme="minorBidi"/>
              <w:noProof/>
              <w:sz w:val="20"/>
              <w:szCs w:val="20"/>
              <w:bdr w:val="none" w:sz="0" w:space="0" w:color="auto"/>
            </w:rPr>
          </w:pPr>
          <w:hyperlink w:anchor="_Toc433311138" w:history="1">
            <w:r w:rsidR="00D87B8E" w:rsidRPr="00D87B8E">
              <w:rPr>
                <w:rStyle w:val="Hyperlink"/>
                <w:rFonts w:asciiTheme="majorHAnsi" w:eastAsia="Times New Roman" w:hAnsiTheme="majorHAnsi"/>
                <w:noProof/>
                <w:sz w:val="20"/>
                <w:szCs w:val="20"/>
                <w:lang w:val="es-ES_tradnl"/>
              </w:rPr>
              <w:t>VII.</w:t>
            </w:r>
            <w:r w:rsidR="00D87B8E" w:rsidRPr="00D87B8E">
              <w:rPr>
                <w:rFonts w:asciiTheme="majorHAnsi" w:eastAsiaTheme="minorEastAsia" w:hAnsiTheme="majorHAnsi" w:cstheme="minorBidi"/>
                <w:noProof/>
                <w:sz w:val="20"/>
                <w:szCs w:val="20"/>
                <w:bdr w:val="none" w:sz="0" w:space="0" w:color="auto"/>
              </w:rPr>
              <w:tab/>
            </w:r>
            <w:r w:rsidR="00D87B8E" w:rsidRPr="00D87B8E">
              <w:rPr>
                <w:rStyle w:val="Hyperlink"/>
                <w:rFonts w:asciiTheme="majorHAnsi" w:eastAsia="Times New Roman" w:hAnsiTheme="majorHAnsi"/>
                <w:noProof/>
                <w:sz w:val="20"/>
                <w:szCs w:val="20"/>
                <w:lang w:val="es-ES_tradnl"/>
              </w:rPr>
              <w:t>RECOMMENDATIONS</w:t>
            </w:r>
            <w:r w:rsidR="00D87B8E" w:rsidRPr="00D87B8E">
              <w:rPr>
                <w:rFonts w:asciiTheme="majorHAnsi" w:hAnsiTheme="majorHAnsi"/>
                <w:noProof/>
                <w:webHidden/>
                <w:sz w:val="20"/>
                <w:szCs w:val="20"/>
              </w:rPr>
              <w:tab/>
            </w:r>
            <w:r w:rsidR="00D87B8E" w:rsidRPr="00D87B8E">
              <w:rPr>
                <w:rFonts w:asciiTheme="majorHAnsi" w:hAnsiTheme="majorHAnsi"/>
                <w:noProof/>
                <w:webHidden/>
                <w:sz w:val="20"/>
                <w:szCs w:val="20"/>
              </w:rPr>
              <w:fldChar w:fldCharType="begin"/>
            </w:r>
            <w:r w:rsidR="00D87B8E" w:rsidRPr="00D87B8E">
              <w:rPr>
                <w:rFonts w:asciiTheme="majorHAnsi" w:hAnsiTheme="majorHAnsi"/>
                <w:noProof/>
                <w:webHidden/>
                <w:sz w:val="20"/>
                <w:szCs w:val="20"/>
              </w:rPr>
              <w:instrText xml:space="preserve"> PAGEREF _Toc433311138 \h </w:instrText>
            </w:r>
            <w:r w:rsidR="00D87B8E" w:rsidRPr="00D87B8E">
              <w:rPr>
                <w:rFonts w:asciiTheme="majorHAnsi" w:hAnsiTheme="majorHAnsi"/>
                <w:noProof/>
                <w:webHidden/>
                <w:sz w:val="20"/>
                <w:szCs w:val="20"/>
              </w:rPr>
            </w:r>
            <w:r w:rsidR="00D87B8E" w:rsidRPr="00D87B8E">
              <w:rPr>
                <w:rFonts w:asciiTheme="majorHAnsi" w:hAnsiTheme="majorHAnsi"/>
                <w:noProof/>
                <w:webHidden/>
                <w:sz w:val="20"/>
                <w:szCs w:val="20"/>
              </w:rPr>
              <w:fldChar w:fldCharType="separate"/>
            </w:r>
            <w:r w:rsidR="00D87B8E" w:rsidRPr="00D87B8E">
              <w:rPr>
                <w:rFonts w:asciiTheme="majorHAnsi" w:hAnsiTheme="majorHAnsi"/>
                <w:noProof/>
                <w:webHidden/>
                <w:sz w:val="20"/>
                <w:szCs w:val="20"/>
              </w:rPr>
              <w:t>43</w:t>
            </w:r>
            <w:r w:rsidR="00D87B8E" w:rsidRPr="00D87B8E">
              <w:rPr>
                <w:rFonts w:asciiTheme="majorHAnsi" w:hAnsiTheme="majorHAnsi"/>
                <w:noProof/>
                <w:webHidden/>
                <w:sz w:val="20"/>
                <w:szCs w:val="20"/>
              </w:rPr>
              <w:fldChar w:fldCharType="end"/>
            </w:r>
          </w:hyperlink>
        </w:p>
        <w:p w14:paraId="071F18FA" w14:textId="7223A0F6" w:rsidR="00FB6151" w:rsidRDefault="00FB6151">
          <w:r w:rsidRPr="00D87B8E">
            <w:rPr>
              <w:rFonts w:asciiTheme="majorHAnsi" w:hAnsiTheme="majorHAnsi"/>
              <w:bCs/>
              <w:noProof/>
              <w:sz w:val="20"/>
              <w:szCs w:val="20"/>
            </w:rPr>
            <w:fldChar w:fldCharType="end"/>
          </w:r>
        </w:p>
      </w:sdtContent>
    </w:sdt>
    <w:p w14:paraId="76D18778" w14:textId="2AE2AAE0" w:rsidR="002D2B26" w:rsidRPr="00326F31" w:rsidRDefault="002D2B26" w:rsidP="00326F31">
      <w:pPr>
        <w:jc w:val="both"/>
        <w:rPr>
          <w:rFonts w:asciiTheme="majorHAnsi" w:hAnsiTheme="majorHAnsi"/>
          <w:sz w:val="20"/>
          <w:szCs w:val="20"/>
        </w:rPr>
      </w:pPr>
    </w:p>
    <w:p w14:paraId="6B7F0C2E" w14:textId="77777777" w:rsidR="00FB6151" w:rsidRDefault="00FB6151" w:rsidP="00326F3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rPr>
      </w:pPr>
    </w:p>
    <w:p w14:paraId="04032844" w14:textId="77777777" w:rsidR="00FB6151" w:rsidRDefault="00FB6151" w:rsidP="00FB6151">
      <w:pPr>
        <w:pBdr>
          <w:top w:val="none" w:sz="0" w:space="0" w:color="auto"/>
          <w:left w:val="none" w:sz="0" w:space="0" w:color="auto"/>
          <w:bottom w:val="none" w:sz="0" w:space="0" w:color="auto"/>
          <w:right w:val="none" w:sz="0" w:space="0" w:color="auto"/>
          <w:between w:val="none" w:sz="0" w:space="0" w:color="auto"/>
          <w:bar w:val="none" w:sz="0" w:color="auto"/>
        </w:pBdr>
        <w:tabs>
          <w:tab w:val="left" w:pos="9360"/>
        </w:tabs>
        <w:ind w:right="90"/>
        <w:jc w:val="center"/>
        <w:rPr>
          <w:rFonts w:asciiTheme="majorHAnsi" w:eastAsia="Times New Roman" w:hAnsiTheme="majorHAnsi"/>
          <w:b/>
          <w:sz w:val="20"/>
          <w:szCs w:val="20"/>
          <w:bdr w:val="none" w:sz="0" w:space="0" w:color="auto"/>
        </w:rPr>
      </w:pPr>
    </w:p>
    <w:p w14:paraId="082C6D62" w14:textId="77777777" w:rsidR="00FB6151" w:rsidRDefault="00FB6151" w:rsidP="00326F3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rPr>
      </w:pPr>
    </w:p>
    <w:p w14:paraId="2B6CF051" w14:textId="77777777" w:rsidR="00FB6151" w:rsidRDefault="00FB6151" w:rsidP="00326F3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rPr>
      </w:pPr>
    </w:p>
    <w:p w14:paraId="0D4C113F" w14:textId="77777777" w:rsidR="00FB6151" w:rsidRDefault="00FB6151" w:rsidP="00326F3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rPr>
      </w:pPr>
    </w:p>
    <w:p w14:paraId="3A3E4BBE" w14:textId="77777777" w:rsidR="00FB6151" w:rsidRDefault="00FB6151" w:rsidP="00326F3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rPr>
      </w:pPr>
    </w:p>
    <w:p w14:paraId="02EC9829" w14:textId="77777777" w:rsidR="00FB6151" w:rsidRDefault="00FB6151" w:rsidP="00326F3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rPr>
      </w:pPr>
    </w:p>
    <w:p w14:paraId="49961218" w14:textId="77777777" w:rsidR="00FB6151" w:rsidRDefault="00FB6151" w:rsidP="00326F3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rPr>
      </w:pPr>
    </w:p>
    <w:p w14:paraId="1D40FB37" w14:textId="77777777" w:rsidR="00FB6151" w:rsidRDefault="00FB6151" w:rsidP="00326F3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rPr>
      </w:pPr>
    </w:p>
    <w:p w14:paraId="60F224F3" w14:textId="77777777" w:rsidR="00FB6151" w:rsidRDefault="00FB6151" w:rsidP="00326F3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rPr>
      </w:pPr>
    </w:p>
    <w:p w14:paraId="4480726B" w14:textId="77777777" w:rsidR="00FB6151" w:rsidRDefault="00FB6151" w:rsidP="00326F3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rPr>
      </w:pPr>
    </w:p>
    <w:p w14:paraId="0EB23B2E" w14:textId="77777777" w:rsidR="00FB6151" w:rsidRDefault="00FB6151" w:rsidP="00326F3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rPr>
      </w:pPr>
    </w:p>
    <w:p w14:paraId="3501B22A" w14:textId="77777777" w:rsidR="00D87B8E" w:rsidRDefault="00D87B8E" w:rsidP="00326F3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rPr>
      </w:pPr>
    </w:p>
    <w:p w14:paraId="1D9D7888" w14:textId="77777777" w:rsidR="00FB6151" w:rsidRDefault="00FB6151" w:rsidP="00FB615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sz w:val="20"/>
          <w:szCs w:val="20"/>
          <w:bdr w:val="none" w:sz="0" w:space="0" w:color="auto"/>
        </w:rPr>
      </w:pPr>
    </w:p>
    <w:p w14:paraId="6CE7461A" w14:textId="2F3B1F30" w:rsidR="00B26289" w:rsidRPr="00165F1E" w:rsidRDefault="00847996" w:rsidP="00326F3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VE"/>
        </w:rPr>
      </w:pPr>
      <w:r>
        <w:rPr>
          <w:rFonts w:asciiTheme="majorHAnsi" w:eastAsia="Times New Roman" w:hAnsiTheme="majorHAnsi"/>
          <w:b/>
          <w:sz w:val="20"/>
          <w:szCs w:val="20"/>
          <w:bdr w:val="none" w:sz="0" w:space="0" w:color="auto"/>
          <w:lang w:val="es-VE"/>
        </w:rPr>
        <w:lastRenderedPageBreak/>
        <w:t>REPORT No. 75</w:t>
      </w:r>
      <w:r w:rsidR="00B26289" w:rsidRPr="00165F1E">
        <w:rPr>
          <w:rFonts w:asciiTheme="majorHAnsi" w:eastAsia="Times New Roman" w:hAnsiTheme="majorHAnsi"/>
          <w:b/>
          <w:sz w:val="20"/>
          <w:szCs w:val="20"/>
          <w:bdr w:val="none" w:sz="0" w:space="0" w:color="auto"/>
          <w:lang w:val="es-VE"/>
        </w:rPr>
        <w:t>/15</w:t>
      </w:r>
    </w:p>
    <w:p w14:paraId="7F794C00" w14:textId="77777777" w:rsidR="00B26289" w:rsidRPr="00165F1E" w:rsidRDefault="00B26289" w:rsidP="00326F3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VE"/>
        </w:rPr>
      </w:pPr>
      <w:r w:rsidRPr="00165F1E">
        <w:rPr>
          <w:rFonts w:asciiTheme="majorHAnsi" w:eastAsia="Times New Roman" w:hAnsiTheme="majorHAnsi"/>
          <w:b/>
          <w:sz w:val="20"/>
          <w:szCs w:val="20"/>
          <w:bdr w:val="none" w:sz="0" w:space="0" w:color="auto"/>
          <w:lang w:val="es-VE"/>
        </w:rPr>
        <w:t>CASE 12.923</w:t>
      </w:r>
    </w:p>
    <w:p w14:paraId="6B65A63E" w14:textId="77777777" w:rsidR="00B26289" w:rsidRPr="00506E20" w:rsidRDefault="00B26289" w:rsidP="00326F3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VE"/>
        </w:rPr>
      </w:pPr>
      <w:r w:rsidRPr="00506E20">
        <w:rPr>
          <w:rFonts w:asciiTheme="majorHAnsi" w:eastAsia="Times New Roman" w:hAnsiTheme="majorHAnsi"/>
          <w:sz w:val="20"/>
          <w:szCs w:val="20"/>
          <w:bdr w:val="none" w:sz="0" w:space="0" w:color="auto"/>
          <w:lang w:val="es-VE"/>
        </w:rPr>
        <w:t>MERITS</w:t>
      </w:r>
    </w:p>
    <w:p w14:paraId="35A7774F" w14:textId="77777777" w:rsidR="00B26289" w:rsidRPr="00326F31" w:rsidRDefault="00B26289" w:rsidP="00326F3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ES_tradnl"/>
        </w:rPr>
      </w:pPr>
      <w:r w:rsidRPr="00326F31">
        <w:rPr>
          <w:rFonts w:asciiTheme="majorHAnsi" w:eastAsia="Times New Roman" w:hAnsiTheme="majorHAnsi"/>
          <w:sz w:val="20"/>
          <w:szCs w:val="20"/>
          <w:bdr w:val="none" w:sz="0" w:space="0" w:color="auto"/>
          <w:lang w:val="es-ES_tradnl"/>
        </w:rPr>
        <w:t>ROCIO SAN MIGUEL SOSA ET AL</w:t>
      </w:r>
    </w:p>
    <w:p w14:paraId="7498E2FE" w14:textId="77777777" w:rsidR="00B26289" w:rsidRPr="00326F31" w:rsidRDefault="00B26289" w:rsidP="00326F3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ES_tradnl"/>
        </w:rPr>
      </w:pPr>
      <w:r w:rsidRPr="00326F31">
        <w:rPr>
          <w:rFonts w:asciiTheme="majorHAnsi" w:eastAsia="Times New Roman" w:hAnsiTheme="majorHAnsi"/>
          <w:sz w:val="20"/>
          <w:szCs w:val="20"/>
          <w:bdr w:val="none" w:sz="0" w:space="0" w:color="auto"/>
          <w:lang w:val="es-ES_tradnl"/>
        </w:rPr>
        <w:t>VENEZUELA</w:t>
      </w:r>
    </w:p>
    <w:p w14:paraId="28492D8D" w14:textId="73F0C72B" w:rsidR="00B26289" w:rsidRPr="00326F31" w:rsidRDefault="00847996" w:rsidP="00326F3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ES_tradnl"/>
        </w:rPr>
      </w:pPr>
      <w:proofErr w:type="spellStart"/>
      <w:r>
        <w:rPr>
          <w:rFonts w:asciiTheme="majorHAnsi" w:eastAsia="Times New Roman" w:hAnsiTheme="majorHAnsi"/>
          <w:sz w:val="20"/>
          <w:szCs w:val="20"/>
          <w:bdr w:val="none" w:sz="0" w:space="0" w:color="auto"/>
          <w:lang w:val="es-ES_tradnl"/>
        </w:rPr>
        <w:t>October</w:t>
      </w:r>
      <w:proofErr w:type="spellEnd"/>
      <w:r>
        <w:rPr>
          <w:rFonts w:asciiTheme="majorHAnsi" w:eastAsia="Times New Roman" w:hAnsiTheme="majorHAnsi"/>
          <w:sz w:val="20"/>
          <w:szCs w:val="20"/>
          <w:bdr w:val="none" w:sz="0" w:space="0" w:color="auto"/>
          <w:lang w:val="es-ES_tradnl"/>
        </w:rPr>
        <w:t xml:space="preserve"> 28</w:t>
      </w:r>
      <w:r w:rsidR="00B26289" w:rsidRPr="00326F31">
        <w:rPr>
          <w:rFonts w:asciiTheme="majorHAnsi" w:eastAsia="Times New Roman" w:hAnsiTheme="majorHAnsi"/>
          <w:sz w:val="20"/>
          <w:szCs w:val="20"/>
          <w:bdr w:val="none" w:sz="0" w:space="0" w:color="auto"/>
          <w:lang w:val="es-ES_tradnl"/>
        </w:rPr>
        <w:t>, 2015</w:t>
      </w:r>
    </w:p>
    <w:p w14:paraId="0E113258" w14:textId="77777777" w:rsidR="004B316C" w:rsidRPr="00326F31" w:rsidRDefault="004B316C" w:rsidP="00326F31">
      <w:pPr>
        <w:jc w:val="both"/>
        <w:rPr>
          <w:rFonts w:asciiTheme="majorHAnsi" w:eastAsia="Times New Roman" w:hAnsiTheme="majorHAnsi"/>
          <w:b/>
          <w:sz w:val="20"/>
          <w:szCs w:val="20"/>
          <w:bdr w:val="none" w:sz="0" w:space="0" w:color="auto"/>
          <w:lang w:val="es-ES_tradnl"/>
        </w:rPr>
      </w:pPr>
    </w:p>
    <w:p w14:paraId="44C5122A" w14:textId="77777777" w:rsidR="004B316C" w:rsidRPr="00326F31" w:rsidRDefault="004B316C" w:rsidP="00326F3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_tradnl"/>
        </w:rPr>
      </w:pPr>
    </w:p>
    <w:p w14:paraId="5756B7F0" w14:textId="73582007" w:rsidR="00E40449" w:rsidRPr="00326F31" w:rsidRDefault="00B26289" w:rsidP="00326F31">
      <w:pPr>
        <w:pStyle w:val="Heading1"/>
        <w:numPr>
          <w:ilvl w:val="0"/>
          <w:numId w:val="55"/>
        </w:numPr>
        <w:tabs>
          <w:tab w:val="clear" w:pos="1440"/>
        </w:tabs>
        <w:jc w:val="both"/>
      </w:pPr>
      <w:bookmarkStart w:id="2" w:name="_Toc433311124"/>
      <w:r w:rsidRPr="00326F31">
        <w:t>SUMMARY</w:t>
      </w:r>
      <w:bookmarkEnd w:id="2"/>
    </w:p>
    <w:p w14:paraId="34DB547F" w14:textId="77777777" w:rsidR="00E40449" w:rsidRPr="00326F31" w:rsidRDefault="00E40449" w:rsidP="00326F31">
      <w:pPr>
        <w:jc w:val="both"/>
        <w:rPr>
          <w:rFonts w:asciiTheme="majorHAnsi" w:hAnsiTheme="majorHAnsi" w:cs="Arial"/>
          <w:sz w:val="20"/>
          <w:szCs w:val="20"/>
          <w:lang w:val="es-ES"/>
        </w:rPr>
      </w:pPr>
    </w:p>
    <w:p w14:paraId="5D454B99" w14:textId="26C210FC" w:rsidR="005E21D4" w:rsidRPr="00326F31" w:rsidRDefault="005B29D4" w:rsidP="00326F3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rPr>
      </w:pPr>
      <w:r w:rsidRPr="00326F31">
        <w:rPr>
          <w:rFonts w:asciiTheme="majorHAnsi" w:eastAsia="Calibri" w:hAnsiTheme="majorHAnsi"/>
          <w:sz w:val="20"/>
          <w:szCs w:val="20"/>
        </w:rPr>
        <w:t>On March 7, 2006,</w:t>
      </w:r>
      <w:r w:rsidR="00E40449" w:rsidRPr="00326F31">
        <w:rPr>
          <w:rFonts w:asciiTheme="majorHAnsi" w:eastAsia="Calibri" w:hAnsiTheme="majorHAnsi"/>
          <w:sz w:val="20"/>
          <w:szCs w:val="20"/>
        </w:rPr>
        <w:t xml:space="preserve"> </w:t>
      </w:r>
      <w:r w:rsidRPr="00326F31">
        <w:rPr>
          <w:rFonts w:asciiTheme="majorHAnsi" w:hAnsiTheme="majorHAnsi"/>
          <w:sz w:val="20"/>
          <w:szCs w:val="20"/>
        </w:rPr>
        <w:t xml:space="preserve">the Inter-American Commission on Human Rights (hereinafter “the Inter-American Commission,” “the Commission” or “the IACHR”) received a petition lodged by </w:t>
      </w:r>
      <w:r w:rsidR="00C45C34">
        <w:rPr>
          <w:rFonts w:asciiTheme="majorHAnsi" w:eastAsia="Calibri" w:hAnsiTheme="majorHAnsi"/>
          <w:sz w:val="20"/>
          <w:szCs w:val="20"/>
        </w:rPr>
        <w:t xml:space="preserve">Ligia Bolívar </w:t>
      </w:r>
      <w:r w:rsidRPr="00326F31">
        <w:rPr>
          <w:rFonts w:asciiTheme="majorHAnsi" w:eastAsia="Calibri" w:hAnsiTheme="majorHAnsi"/>
          <w:sz w:val="20"/>
          <w:szCs w:val="20"/>
        </w:rPr>
        <w:t>Osuna and</w:t>
      </w:r>
      <w:r w:rsidR="005E21D4" w:rsidRPr="00326F31">
        <w:rPr>
          <w:rFonts w:asciiTheme="majorHAnsi" w:eastAsia="Calibri" w:hAnsiTheme="majorHAnsi"/>
          <w:sz w:val="20"/>
          <w:szCs w:val="20"/>
        </w:rPr>
        <w:t xml:space="preserve"> Héctor Faúndez Ledesma (</w:t>
      </w:r>
      <w:r w:rsidRPr="00326F31">
        <w:rPr>
          <w:rFonts w:asciiTheme="majorHAnsi" w:hAnsiTheme="majorHAnsi"/>
          <w:sz w:val="20"/>
          <w:szCs w:val="20"/>
        </w:rPr>
        <w:t>hereinafter “the petitioners”) alleging that the Bolivarian Republic of Venezuela (hereinafter “the State” or “the Venezuelan State”) is responsible for the violation of several provisions of the American Convention on Human Rights (hereinafter "the Convention" or "the American Convention") to the detriment of Rocío San</w:t>
      </w:r>
      <w:r w:rsidR="00326F31">
        <w:rPr>
          <w:rFonts w:asciiTheme="majorHAnsi" w:hAnsiTheme="majorHAnsi"/>
          <w:sz w:val="20"/>
          <w:szCs w:val="20"/>
        </w:rPr>
        <w:t xml:space="preserve"> Miguel Sosa, Magally Chang Giró</w:t>
      </w:r>
      <w:r w:rsidRPr="00326F31">
        <w:rPr>
          <w:rFonts w:asciiTheme="majorHAnsi" w:hAnsiTheme="majorHAnsi"/>
          <w:sz w:val="20"/>
          <w:szCs w:val="20"/>
        </w:rPr>
        <w:t>n</w:t>
      </w:r>
      <w:r w:rsidR="0070526E" w:rsidRPr="00326F31">
        <w:rPr>
          <w:rFonts w:asciiTheme="majorHAnsi" w:hAnsiTheme="majorHAnsi"/>
          <w:sz w:val="20"/>
          <w:szCs w:val="20"/>
        </w:rPr>
        <w:t>,</w:t>
      </w:r>
      <w:r w:rsidRPr="00326F31">
        <w:rPr>
          <w:rFonts w:asciiTheme="majorHAnsi" w:hAnsiTheme="majorHAnsi"/>
          <w:sz w:val="20"/>
          <w:szCs w:val="20"/>
        </w:rPr>
        <w:t xml:space="preserve"> and Thais Coromoto Peña (hereinafter "the alleged victims ").</w:t>
      </w:r>
      <w:r w:rsidR="00EF10AE" w:rsidRPr="00326F31">
        <w:rPr>
          <w:rFonts w:asciiTheme="majorHAnsi" w:eastAsia="Calibri" w:hAnsiTheme="majorHAnsi"/>
          <w:sz w:val="20"/>
          <w:szCs w:val="20"/>
        </w:rPr>
        <w:t xml:space="preserve"> </w:t>
      </w:r>
    </w:p>
    <w:p w14:paraId="46722704" w14:textId="77777777" w:rsidR="00E40449" w:rsidRPr="00326F31" w:rsidRDefault="00E40449" w:rsidP="00326F31">
      <w:pPr>
        <w:tabs>
          <w:tab w:val="left" w:pos="1440"/>
        </w:tabs>
        <w:jc w:val="both"/>
        <w:rPr>
          <w:rFonts w:asciiTheme="majorHAnsi" w:eastAsia="Calibri" w:hAnsiTheme="majorHAnsi"/>
          <w:sz w:val="20"/>
          <w:szCs w:val="20"/>
        </w:rPr>
      </w:pPr>
    </w:p>
    <w:p w14:paraId="13F86352" w14:textId="0AD509B5" w:rsidR="005B29D4" w:rsidRPr="00326F31" w:rsidRDefault="005B29D4" w:rsidP="00326F3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rPr>
      </w:pPr>
      <w:r w:rsidRPr="00326F31">
        <w:rPr>
          <w:rFonts w:asciiTheme="majorHAnsi" w:eastAsia="Calibri" w:hAnsiTheme="majorHAnsi"/>
          <w:sz w:val="20"/>
          <w:szCs w:val="20"/>
        </w:rPr>
        <w:t xml:space="preserve">The petitioners </w:t>
      </w:r>
      <w:r w:rsidR="00506E20">
        <w:rPr>
          <w:rFonts w:asciiTheme="majorHAnsi" w:eastAsia="Calibri" w:hAnsiTheme="majorHAnsi"/>
          <w:sz w:val="20"/>
          <w:szCs w:val="20"/>
        </w:rPr>
        <w:t>claim</w:t>
      </w:r>
      <w:r w:rsidRPr="00326F31">
        <w:rPr>
          <w:rFonts w:asciiTheme="majorHAnsi" w:eastAsia="Calibri" w:hAnsiTheme="majorHAnsi"/>
          <w:sz w:val="20"/>
          <w:szCs w:val="20"/>
        </w:rPr>
        <w:t xml:space="preserve"> that in 2004 the alleged victims were dismissed from their posts in the National </w:t>
      </w:r>
      <w:r w:rsidR="00FA20B3" w:rsidRPr="00326F31">
        <w:rPr>
          <w:rFonts w:asciiTheme="majorHAnsi" w:eastAsia="Calibri" w:hAnsiTheme="majorHAnsi"/>
          <w:sz w:val="20"/>
          <w:szCs w:val="20"/>
        </w:rPr>
        <w:t>Border Council (hereinafter "CNF</w:t>
      </w:r>
      <w:r w:rsidRPr="00326F31">
        <w:rPr>
          <w:rFonts w:asciiTheme="majorHAnsi" w:eastAsia="Calibri" w:hAnsiTheme="majorHAnsi"/>
          <w:sz w:val="20"/>
          <w:szCs w:val="20"/>
        </w:rPr>
        <w:t>"</w:t>
      </w:r>
      <w:r w:rsidR="00FA20B3" w:rsidRPr="00326F31">
        <w:rPr>
          <w:rFonts w:asciiTheme="majorHAnsi" w:eastAsia="Calibri" w:hAnsiTheme="majorHAnsi"/>
          <w:sz w:val="20"/>
          <w:szCs w:val="20"/>
        </w:rPr>
        <w:t>, for its initial</w:t>
      </w:r>
      <w:r w:rsidR="00506E20">
        <w:rPr>
          <w:rFonts w:asciiTheme="majorHAnsi" w:eastAsia="Calibri" w:hAnsiTheme="majorHAnsi"/>
          <w:sz w:val="20"/>
          <w:szCs w:val="20"/>
        </w:rPr>
        <w:t>s</w:t>
      </w:r>
      <w:r w:rsidR="00FA20B3" w:rsidRPr="00326F31">
        <w:rPr>
          <w:rFonts w:asciiTheme="majorHAnsi" w:eastAsia="Calibri" w:hAnsiTheme="majorHAnsi"/>
          <w:sz w:val="20"/>
          <w:szCs w:val="20"/>
        </w:rPr>
        <w:t xml:space="preserve"> in Spanish</w:t>
      </w:r>
      <w:r w:rsidRPr="00326F31">
        <w:rPr>
          <w:rFonts w:asciiTheme="majorHAnsi" w:eastAsia="Calibri" w:hAnsiTheme="majorHAnsi"/>
          <w:sz w:val="20"/>
          <w:szCs w:val="20"/>
        </w:rPr>
        <w:t>) in retaliation for signing</w:t>
      </w:r>
      <w:r w:rsidR="00632217" w:rsidRPr="00326F31">
        <w:rPr>
          <w:rFonts w:asciiTheme="majorHAnsi" w:eastAsia="Calibri" w:hAnsiTheme="majorHAnsi"/>
          <w:sz w:val="20"/>
          <w:szCs w:val="20"/>
        </w:rPr>
        <w:t xml:space="preserve"> the petitions</w:t>
      </w:r>
      <w:r w:rsidRPr="00326F31">
        <w:rPr>
          <w:rFonts w:asciiTheme="majorHAnsi" w:eastAsia="Calibri" w:hAnsiTheme="majorHAnsi"/>
          <w:sz w:val="20"/>
          <w:szCs w:val="20"/>
        </w:rPr>
        <w:t xml:space="preserve"> to carry out a recall referendum </w:t>
      </w:r>
      <w:r w:rsidR="00632217" w:rsidRPr="00326F31">
        <w:rPr>
          <w:rFonts w:asciiTheme="majorHAnsi" w:hAnsiTheme="majorHAnsi"/>
          <w:sz w:val="20"/>
          <w:szCs w:val="20"/>
        </w:rPr>
        <w:t>on the term of office of the President of the Republic</w:t>
      </w:r>
      <w:r w:rsidRPr="00326F31">
        <w:rPr>
          <w:rFonts w:asciiTheme="majorHAnsi" w:eastAsia="Calibri" w:hAnsiTheme="majorHAnsi"/>
          <w:sz w:val="20"/>
          <w:szCs w:val="20"/>
        </w:rPr>
        <w:t>, Hugo Chavez Frías in 2003. They also noted that the alleged victims we</w:t>
      </w:r>
      <w:r w:rsidR="00CB2513" w:rsidRPr="00326F31">
        <w:rPr>
          <w:rFonts w:asciiTheme="majorHAnsi" w:eastAsia="Calibri" w:hAnsiTheme="majorHAnsi"/>
          <w:sz w:val="20"/>
          <w:szCs w:val="20"/>
        </w:rPr>
        <w:t>re not heard by a court that me</w:t>
      </w:r>
      <w:r w:rsidRPr="00326F31">
        <w:rPr>
          <w:rFonts w:asciiTheme="majorHAnsi" w:eastAsia="Calibri" w:hAnsiTheme="majorHAnsi"/>
          <w:sz w:val="20"/>
          <w:szCs w:val="20"/>
        </w:rPr>
        <w:t>t the minimum requirements of independence and impartiality</w:t>
      </w:r>
      <w:r w:rsidR="00CB2513" w:rsidRPr="00326F31">
        <w:rPr>
          <w:rFonts w:asciiTheme="majorHAnsi" w:eastAsia="Calibri" w:hAnsiTheme="majorHAnsi"/>
          <w:sz w:val="20"/>
          <w:szCs w:val="20"/>
        </w:rPr>
        <w:t>,</w:t>
      </w:r>
      <w:r w:rsidRPr="00326F31">
        <w:rPr>
          <w:rFonts w:asciiTheme="majorHAnsi" w:eastAsia="Calibri" w:hAnsiTheme="majorHAnsi"/>
          <w:sz w:val="20"/>
          <w:szCs w:val="20"/>
        </w:rPr>
        <w:t xml:space="preserve"> and that</w:t>
      </w:r>
      <w:r w:rsidR="00506E20">
        <w:rPr>
          <w:rFonts w:asciiTheme="majorHAnsi" w:eastAsia="Calibri" w:hAnsiTheme="majorHAnsi"/>
          <w:sz w:val="20"/>
          <w:szCs w:val="20"/>
        </w:rPr>
        <w:t xml:space="preserve"> would hear them</w:t>
      </w:r>
      <w:r w:rsidRPr="00326F31">
        <w:rPr>
          <w:rFonts w:asciiTheme="majorHAnsi" w:eastAsia="Calibri" w:hAnsiTheme="majorHAnsi"/>
          <w:sz w:val="20"/>
          <w:szCs w:val="20"/>
        </w:rPr>
        <w:t xml:space="preserve"> with </w:t>
      </w:r>
      <w:r w:rsidR="00CB2513" w:rsidRPr="00326F31">
        <w:rPr>
          <w:rFonts w:asciiTheme="majorHAnsi" w:eastAsia="Calibri" w:hAnsiTheme="majorHAnsi"/>
          <w:sz w:val="20"/>
          <w:szCs w:val="20"/>
        </w:rPr>
        <w:t xml:space="preserve">the </w:t>
      </w:r>
      <w:r w:rsidRPr="00326F31">
        <w:rPr>
          <w:rFonts w:asciiTheme="majorHAnsi" w:eastAsia="Calibri" w:hAnsiTheme="majorHAnsi"/>
          <w:sz w:val="20"/>
          <w:szCs w:val="20"/>
        </w:rPr>
        <w:t>due guarantees for the restitution of their rights.</w:t>
      </w:r>
    </w:p>
    <w:p w14:paraId="151CFCA3" w14:textId="77777777" w:rsidR="00B97B72" w:rsidRPr="00326F31" w:rsidRDefault="00B97B72" w:rsidP="00326F31">
      <w:pPr>
        <w:jc w:val="both"/>
        <w:rPr>
          <w:rFonts w:asciiTheme="majorHAnsi" w:eastAsia="Calibri" w:hAnsiTheme="majorHAnsi"/>
          <w:sz w:val="20"/>
          <w:szCs w:val="20"/>
        </w:rPr>
      </w:pPr>
    </w:p>
    <w:p w14:paraId="716A2C04" w14:textId="77777777" w:rsidR="00632217" w:rsidRPr="00326F31" w:rsidRDefault="00B97B72" w:rsidP="00326F3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rPr>
      </w:pPr>
      <w:r w:rsidRPr="00326F31">
        <w:rPr>
          <w:rFonts w:asciiTheme="majorHAnsi" w:eastAsia="Calibri" w:hAnsiTheme="majorHAnsi"/>
          <w:sz w:val="20"/>
          <w:szCs w:val="20"/>
        </w:rPr>
        <w:t xml:space="preserve">For its part, the Venezuelan State did not </w:t>
      </w:r>
      <w:r w:rsidR="003A3D77" w:rsidRPr="00326F31">
        <w:rPr>
          <w:rFonts w:asciiTheme="majorHAnsi" w:eastAsia="Calibri" w:hAnsiTheme="majorHAnsi"/>
          <w:sz w:val="20"/>
          <w:szCs w:val="20"/>
        </w:rPr>
        <w:t>p</w:t>
      </w:r>
      <w:r w:rsidR="00F2093A" w:rsidRPr="00326F31">
        <w:rPr>
          <w:rFonts w:asciiTheme="majorHAnsi" w:eastAsia="Calibri" w:hAnsiTheme="majorHAnsi"/>
          <w:sz w:val="20"/>
          <w:szCs w:val="20"/>
        </w:rPr>
        <w:t xml:space="preserve">resent </w:t>
      </w:r>
      <w:r w:rsidRPr="00326F31">
        <w:rPr>
          <w:rFonts w:asciiTheme="majorHAnsi" w:eastAsia="Calibri" w:hAnsiTheme="majorHAnsi"/>
          <w:sz w:val="20"/>
          <w:szCs w:val="20"/>
        </w:rPr>
        <w:t>observations</w:t>
      </w:r>
      <w:r w:rsidR="00F2093A" w:rsidRPr="00326F31">
        <w:rPr>
          <w:rFonts w:asciiTheme="majorHAnsi" w:eastAsia="Calibri" w:hAnsiTheme="majorHAnsi"/>
          <w:sz w:val="20"/>
          <w:szCs w:val="20"/>
        </w:rPr>
        <w:t xml:space="preserve"> on the merits</w:t>
      </w:r>
      <w:r w:rsidRPr="00326F31">
        <w:rPr>
          <w:rFonts w:asciiTheme="majorHAnsi" w:eastAsia="Calibri" w:hAnsiTheme="majorHAnsi"/>
          <w:sz w:val="20"/>
          <w:szCs w:val="20"/>
        </w:rPr>
        <w:t>. The State's submissions available to the Commission correspond to the admissi</w:t>
      </w:r>
      <w:r w:rsidR="00DD5D7B" w:rsidRPr="00326F31">
        <w:rPr>
          <w:rFonts w:asciiTheme="majorHAnsi" w:eastAsia="Calibri" w:hAnsiTheme="majorHAnsi"/>
          <w:sz w:val="20"/>
          <w:szCs w:val="20"/>
        </w:rPr>
        <w:t>bility stage. In those communications</w:t>
      </w:r>
      <w:r w:rsidRPr="00326F31">
        <w:rPr>
          <w:rFonts w:asciiTheme="majorHAnsi" w:eastAsia="Calibri" w:hAnsiTheme="majorHAnsi"/>
          <w:sz w:val="20"/>
          <w:szCs w:val="20"/>
        </w:rPr>
        <w:t>, in addition to issues of admissibility</w:t>
      </w:r>
      <w:r w:rsidR="00DD5D7B" w:rsidRPr="00326F31">
        <w:rPr>
          <w:rFonts w:asciiTheme="majorHAnsi" w:eastAsia="Calibri" w:hAnsiTheme="majorHAnsi"/>
          <w:sz w:val="20"/>
          <w:szCs w:val="20"/>
        </w:rPr>
        <w:t>,</w:t>
      </w:r>
      <w:r w:rsidRPr="00326F31">
        <w:rPr>
          <w:rFonts w:asciiTheme="majorHAnsi" w:eastAsia="Calibri" w:hAnsiTheme="majorHAnsi"/>
          <w:sz w:val="20"/>
          <w:szCs w:val="20"/>
        </w:rPr>
        <w:t xml:space="preserve"> that are</w:t>
      </w:r>
      <w:r w:rsidR="00DD5D7B" w:rsidRPr="00326F31">
        <w:rPr>
          <w:rFonts w:asciiTheme="majorHAnsi" w:eastAsia="Calibri" w:hAnsiTheme="majorHAnsi"/>
          <w:sz w:val="20"/>
          <w:szCs w:val="20"/>
        </w:rPr>
        <w:t xml:space="preserve"> not relevant to the merits analysis, having</w:t>
      </w:r>
      <w:r w:rsidRPr="00326F31">
        <w:rPr>
          <w:rFonts w:asciiTheme="majorHAnsi" w:eastAsia="Calibri" w:hAnsiTheme="majorHAnsi"/>
          <w:sz w:val="20"/>
          <w:szCs w:val="20"/>
        </w:rPr>
        <w:t xml:space="preserve"> already be</w:t>
      </w:r>
      <w:r w:rsidR="00DD5D7B" w:rsidRPr="00326F31">
        <w:rPr>
          <w:rFonts w:asciiTheme="majorHAnsi" w:eastAsia="Calibri" w:hAnsiTheme="majorHAnsi"/>
          <w:sz w:val="20"/>
          <w:szCs w:val="20"/>
        </w:rPr>
        <w:t>en</w:t>
      </w:r>
      <w:r w:rsidRPr="00326F31">
        <w:rPr>
          <w:rFonts w:asciiTheme="majorHAnsi" w:eastAsia="Calibri" w:hAnsiTheme="majorHAnsi"/>
          <w:sz w:val="20"/>
          <w:szCs w:val="20"/>
        </w:rPr>
        <w:t xml:space="preserve"> resolved, the State argued that there is </w:t>
      </w:r>
      <w:r w:rsidR="00DD5D7B" w:rsidRPr="00326F31">
        <w:rPr>
          <w:rFonts w:asciiTheme="majorHAnsi" w:eastAsia="Calibri" w:hAnsiTheme="majorHAnsi"/>
          <w:sz w:val="20"/>
          <w:szCs w:val="20"/>
        </w:rPr>
        <w:t>no causal link between the signatures</w:t>
      </w:r>
      <w:r w:rsidRPr="00326F31">
        <w:rPr>
          <w:rFonts w:asciiTheme="majorHAnsi" w:eastAsia="Calibri" w:hAnsiTheme="majorHAnsi"/>
          <w:sz w:val="20"/>
          <w:szCs w:val="20"/>
        </w:rPr>
        <w:t xml:space="preserve"> and the termination of</w:t>
      </w:r>
      <w:r w:rsidR="00DD5D7B" w:rsidRPr="00326F31">
        <w:rPr>
          <w:rFonts w:asciiTheme="majorHAnsi" w:eastAsia="Calibri" w:hAnsiTheme="majorHAnsi"/>
          <w:sz w:val="20"/>
          <w:szCs w:val="20"/>
        </w:rPr>
        <w:t xml:space="preserve"> the alleged victims, because said termination was carried out in</w:t>
      </w:r>
      <w:r w:rsidRPr="00326F31">
        <w:rPr>
          <w:rFonts w:asciiTheme="majorHAnsi" w:eastAsia="Calibri" w:hAnsiTheme="majorHAnsi"/>
          <w:sz w:val="20"/>
          <w:szCs w:val="20"/>
        </w:rPr>
        <w:t xml:space="preserve"> application</w:t>
      </w:r>
      <w:r w:rsidR="00F44C2B" w:rsidRPr="00326F31">
        <w:rPr>
          <w:rFonts w:asciiTheme="majorHAnsi" w:eastAsia="Calibri" w:hAnsiTheme="majorHAnsi"/>
          <w:sz w:val="20"/>
          <w:szCs w:val="20"/>
        </w:rPr>
        <w:t xml:space="preserve"> of the</w:t>
      </w:r>
      <w:r w:rsidRPr="00326F31">
        <w:rPr>
          <w:rFonts w:asciiTheme="majorHAnsi" w:eastAsia="Calibri" w:hAnsiTheme="majorHAnsi"/>
          <w:sz w:val="20"/>
          <w:szCs w:val="20"/>
        </w:rPr>
        <w:t xml:space="preserve"> seventh clause of the</w:t>
      </w:r>
      <w:r w:rsidR="00F44C2B" w:rsidRPr="00326F31">
        <w:rPr>
          <w:rFonts w:asciiTheme="majorHAnsi" w:eastAsia="Calibri" w:hAnsiTheme="majorHAnsi"/>
          <w:sz w:val="20"/>
          <w:szCs w:val="20"/>
        </w:rPr>
        <w:t>ir</w:t>
      </w:r>
      <w:r w:rsidRPr="00326F31">
        <w:rPr>
          <w:rFonts w:asciiTheme="majorHAnsi" w:eastAsia="Calibri" w:hAnsiTheme="majorHAnsi"/>
          <w:sz w:val="20"/>
          <w:szCs w:val="20"/>
        </w:rPr>
        <w:t xml:space="preserve"> respective contracts, under which the employer is empowered to terminate the servi</w:t>
      </w:r>
      <w:r w:rsidR="008D5009" w:rsidRPr="00326F31">
        <w:rPr>
          <w:rFonts w:asciiTheme="majorHAnsi" w:eastAsia="Calibri" w:hAnsiTheme="majorHAnsi"/>
          <w:sz w:val="20"/>
          <w:szCs w:val="20"/>
        </w:rPr>
        <w:t>ces without any motivation. The State</w:t>
      </w:r>
      <w:r w:rsidRPr="00326F31">
        <w:rPr>
          <w:rFonts w:asciiTheme="majorHAnsi" w:eastAsia="Calibri" w:hAnsiTheme="majorHAnsi"/>
          <w:sz w:val="20"/>
          <w:szCs w:val="20"/>
        </w:rPr>
        <w:t xml:space="preserve"> also indicated that the alleged victims filed various r</w:t>
      </w:r>
      <w:r w:rsidR="008D5009" w:rsidRPr="00326F31">
        <w:rPr>
          <w:rFonts w:asciiTheme="majorHAnsi" w:eastAsia="Calibri" w:hAnsiTheme="majorHAnsi"/>
          <w:sz w:val="20"/>
          <w:szCs w:val="20"/>
        </w:rPr>
        <w:t>emedies</w:t>
      </w:r>
      <w:r w:rsidRPr="00326F31">
        <w:rPr>
          <w:rFonts w:asciiTheme="majorHAnsi" w:eastAsia="Calibri" w:hAnsiTheme="majorHAnsi"/>
          <w:sz w:val="20"/>
          <w:szCs w:val="20"/>
        </w:rPr>
        <w:t>, w</w:t>
      </w:r>
      <w:r w:rsidR="008D5009" w:rsidRPr="00326F31">
        <w:rPr>
          <w:rFonts w:asciiTheme="majorHAnsi" w:eastAsia="Calibri" w:hAnsiTheme="majorHAnsi"/>
          <w:sz w:val="20"/>
          <w:szCs w:val="20"/>
        </w:rPr>
        <w:t>hich were duly resolved by the judicial authorities</w:t>
      </w:r>
      <w:r w:rsidRPr="00326F31">
        <w:rPr>
          <w:rFonts w:asciiTheme="majorHAnsi" w:eastAsia="Calibri" w:hAnsiTheme="majorHAnsi"/>
          <w:sz w:val="20"/>
          <w:szCs w:val="20"/>
        </w:rPr>
        <w:t>.</w:t>
      </w:r>
    </w:p>
    <w:p w14:paraId="2A226D8B" w14:textId="77777777" w:rsidR="00632217" w:rsidRPr="00326F31" w:rsidRDefault="00632217" w:rsidP="00326F3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rPr>
      </w:pPr>
    </w:p>
    <w:p w14:paraId="76DCE3D3" w14:textId="10709F1E" w:rsidR="009A0CF3" w:rsidRPr="00462E55" w:rsidRDefault="00E21AB8" w:rsidP="00462E5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rPr>
      </w:pPr>
      <w:r w:rsidRPr="00326F31">
        <w:rPr>
          <w:rFonts w:asciiTheme="majorHAnsi" w:hAnsiTheme="majorHAnsi"/>
          <w:sz w:val="20"/>
          <w:szCs w:val="20"/>
        </w:rPr>
        <w:t xml:space="preserve">After examining the positions of the parties, the Commission concluded that the Venezuelan State is responsible for the violation of the rights enshrined in Articles </w:t>
      </w:r>
      <w:r w:rsidRPr="00326F31">
        <w:rPr>
          <w:rFonts w:asciiTheme="majorHAnsi" w:eastAsia="Calibri" w:hAnsiTheme="majorHAnsi"/>
          <w:sz w:val="20"/>
          <w:szCs w:val="20"/>
        </w:rPr>
        <w:t>8</w:t>
      </w:r>
      <w:r w:rsidR="00506E20">
        <w:rPr>
          <w:rFonts w:asciiTheme="majorHAnsi" w:eastAsia="Calibri" w:hAnsiTheme="majorHAnsi"/>
          <w:sz w:val="20"/>
          <w:szCs w:val="20"/>
        </w:rPr>
        <w:t xml:space="preserve"> (right to a fair trial) </w:t>
      </w:r>
      <w:r w:rsidRPr="00326F31">
        <w:rPr>
          <w:rFonts w:asciiTheme="majorHAnsi" w:eastAsia="Calibri" w:hAnsiTheme="majorHAnsi"/>
          <w:sz w:val="20"/>
          <w:szCs w:val="20"/>
        </w:rPr>
        <w:t>, 13</w:t>
      </w:r>
      <w:r w:rsidR="00506E20">
        <w:rPr>
          <w:rFonts w:asciiTheme="majorHAnsi" w:eastAsia="Calibri" w:hAnsiTheme="majorHAnsi"/>
          <w:sz w:val="20"/>
          <w:szCs w:val="20"/>
        </w:rPr>
        <w:t xml:space="preserve"> (freedom of conscience and religion)</w:t>
      </w:r>
      <w:r w:rsidRPr="00326F31">
        <w:rPr>
          <w:rFonts w:asciiTheme="majorHAnsi" w:eastAsia="Calibri" w:hAnsiTheme="majorHAnsi"/>
          <w:sz w:val="20"/>
          <w:szCs w:val="20"/>
        </w:rPr>
        <w:t>, 23</w:t>
      </w:r>
      <w:r w:rsidR="00506E20">
        <w:rPr>
          <w:rFonts w:asciiTheme="majorHAnsi" w:eastAsia="Calibri" w:hAnsiTheme="majorHAnsi"/>
          <w:sz w:val="20"/>
          <w:szCs w:val="20"/>
        </w:rPr>
        <w:t xml:space="preserve"> (right to participate in government)</w:t>
      </w:r>
      <w:r w:rsidRPr="00326F31">
        <w:rPr>
          <w:rFonts w:asciiTheme="majorHAnsi" w:eastAsia="Calibri" w:hAnsiTheme="majorHAnsi"/>
          <w:sz w:val="20"/>
          <w:szCs w:val="20"/>
        </w:rPr>
        <w:t>, 24</w:t>
      </w:r>
      <w:r w:rsidR="00506E20">
        <w:rPr>
          <w:rFonts w:asciiTheme="majorHAnsi" w:eastAsia="Calibri" w:hAnsiTheme="majorHAnsi"/>
          <w:sz w:val="20"/>
          <w:szCs w:val="20"/>
        </w:rPr>
        <w:t xml:space="preserve"> (right to equal protection)</w:t>
      </w:r>
      <w:r w:rsidRPr="00326F31">
        <w:rPr>
          <w:rFonts w:asciiTheme="majorHAnsi" w:eastAsia="Calibri" w:hAnsiTheme="majorHAnsi"/>
          <w:sz w:val="20"/>
          <w:szCs w:val="20"/>
        </w:rPr>
        <w:t xml:space="preserve"> and 25</w:t>
      </w:r>
      <w:r w:rsidR="00506E20">
        <w:rPr>
          <w:rFonts w:asciiTheme="majorHAnsi" w:eastAsia="Calibri" w:hAnsiTheme="majorHAnsi"/>
          <w:sz w:val="20"/>
          <w:szCs w:val="20"/>
        </w:rPr>
        <w:t xml:space="preserve"> (right to judicial protection)</w:t>
      </w:r>
      <w:r w:rsidRPr="00326F31">
        <w:rPr>
          <w:rFonts w:asciiTheme="majorHAnsi" w:eastAsia="Calibri" w:hAnsiTheme="majorHAnsi"/>
          <w:sz w:val="20"/>
          <w:szCs w:val="20"/>
        </w:rPr>
        <w:t xml:space="preserve"> </w:t>
      </w:r>
      <w:r w:rsidRPr="00326F31">
        <w:rPr>
          <w:rFonts w:asciiTheme="majorHAnsi" w:hAnsiTheme="majorHAnsi"/>
          <w:sz w:val="20"/>
          <w:szCs w:val="20"/>
        </w:rPr>
        <w:t>of the American Convention, in connection with Articles 1.1</w:t>
      </w:r>
      <w:r w:rsidR="00506E20">
        <w:rPr>
          <w:rFonts w:asciiTheme="majorHAnsi" w:hAnsiTheme="majorHAnsi"/>
          <w:sz w:val="20"/>
          <w:szCs w:val="20"/>
        </w:rPr>
        <w:t xml:space="preserve"> (obligation to respect rights)</w:t>
      </w:r>
      <w:r w:rsidRPr="00326F31">
        <w:rPr>
          <w:rFonts w:asciiTheme="majorHAnsi" w:hAnsiTheme="majorHAnsi"/>
          <w:sz w:val="20"/>
          <w:szCs w:val="20"/>
        </w:rPr>
        <w:t xml:space="preserve"> and 2</w:t>
      </w:r>
      <w:r w:rsidR="00506E20">
        <w:rPr>
          <w:rFonts w:asciiTheme="majorHAnsi" w:hAnsiTheme="majorHAnsi"/>
          <w:sz w:val="20"/>
          <w:szCs w:val="20"/>
        </w:rPr>
        <w:t xml:space="preserve"> (domestic legal effects)</w:t>
      </w:r>
      <w:r w:rsidRPr="00326F31">
        <w:rPr>
          <w:rFonts w:asciiTheme="majorHAnsi" w:hAnsiTheme="majorHAnsi"/>
          <w:sz w:val="20"/>
          <w:szCs w:val="20"/>
        </w:rPr>
        <w:t xml:space="preserve"> thereof, to the detriment of </w:t>
      </w:r>
      <w:r w:rsidRPr="00326F31">
        <w:rPr>
          <w:rFonts w:asciiTheme="majorHAnsi" w:eastAsia="Calibri" w:hAnsiTheme="majorHAnsi"/>
          <w:sz w:val="20"/>
          <w:szCs w:val="20"/>
        </w:rPr>
        <w:t>Rocío San Mi</w:t>
      </w:r>
      <w:r w:rsidR="0070526E" w:rsidRPr="00326F31">
        <w:rPr>
          <w:rFonts w:asciiTheme="majorHAnsi" w:eastAsia="Calibri" w:hAnsiTheme="majorHAnsi"/>
          <w:sz w:val="20"/>
          <w:szCs w:val="20"/>
        </w:rPr>
        <w:t>guel Sosa, Magally Chang Girón, and</w:t>
      </w:r>
      <w:r w:rsidRPr="00326F31">
        <w:rPr>
          <w:rFonts w:asciiTheme="majorHAnsi" w:eastAsia="Calibri" w:hAnsiTheme="majorHAnsi"/>
          <w:sz w:val="20"/>
          <w:szCs w:val="20"/>
        </w:rPr>
        <w:t xml:space="preserve"> Thais Coromoto Peña</w:t>
      </w:r>
      <w:r w:rsidRPr="00326F31">
        <w:rPr>
          <w:rFonts w:asciiTheme="majorHAnsi" w:hAnsiTheme="majorHAnsi"/>
          <w:sz w:val="20"/>
          <w:szCs w:val="20"/>
        </w:rPr>
        <w:t>.</w:t>
      </w:r>
      <w:r w:rsidR="005E6C10">
        <w:rPr>
          <w:rFonts w:asciiTheme="majorHAnsi" w:hAnsiTheme="majorHAnsi"/>
          <w:sz w:val="20"/>
          <w:szCs w:val="20"/>
        </w:rPr>
        <w:t xml:space="preserve"> </w:t>
      </w:r>
      <w:r w:rsidR="009A0CF3">
        <w:rPr>
          <w:rFonts w:asciiTheme="majorHAnsi" w:hAnsiTheme="majorHAnsi"/>
          <w:sz w:val="20"/>
          <w:szCs w:val="20"/>
        </w:rPr>
        <w:t>In addition, the Commission concluded that it has no evidence in its possession to</w:t>
      </w:r>
      <w:r w:rsidR="00462E55">
        <w:rPr>
          <w:rFonts w:asciiTheme="majorHAnsi" w:hAnsiTheme="majorHAnsi"/>
          <w:sz w:val="20"/>
          <w:szCs w:val="20"/>
        </w:rPr>
        <w:t xml:space="preserve"> declare the State responsible for the violation of article 5 (humane treatment)</w:t>
      </w:r>
      <w:r w:rsidR="009A0CF3" w:rsidRPr="00462E55">
        <w:rPr>
          <w:rFonts w:asciiTheme="majorHAnsi" w:hAnsiTheme="majorHAnsi"/>
          <w:sz w:val="20"/>
          <w:szCs w:val="20"/>
        </w:rPr>
        <w:t xml:space="preserve"> of the American Convention, separately. Finally</w:t>
      </w:r>
      <w:r w:rsidR="00462E55" w:rsidRPr="00462E55">
        <w:rPr>
          <w:rFonts w:asciiTheme="majorHAnsi" w:hAnsiTheme="majorHAnsi"/>
          <w:sz w:val="20"/>
          <w:szCs w:val="20"/>
        </w:rPr>
        <w:t xml:space="preserve">, the Commission made the respective recommendations. </w:t>
      </w:r>
    </w:p>
    <w:p w14:paraId="612596F5" w14:textId="77777777" w:rsidR="00462E55" w:rsidRPr="00326F31" w:rsidRDefault="00462E55" w:rsidP="00326F3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highlight w:val="yellow"/>
        </w:rPr>
      </w:pPr>
    </w:p>
    <w:p w14:paraId="5EEBBDAF" w14:textId="30F3E216" w:rsidR="00E40449" w:rsidRPr="00326F31" w:rsidRDefault="00B26289" w:rsidP="00326F31">
      <w:pPr>
        <w:pStyle w:val="Heading1"/>
        <w:numPr>
          <w:ilvl w:val="0"/>
          <w:numId w:val="55"/>
        </w:numPr>
        <w:tabs>
          <w:tab w:val="clear" w:pos="1440"/>
        </w:tabs>
        <w:jc w:val="both"/>
      </w:pPr>
      <w:bookmarkStart w:id="3" w:name="_Toc433311125"/>
      <w:bookmarkStart w:id="4" w:name="_Toc370840745"/>
      <w:bookmarkStart w:id="5" w:name="_Toc370840841"/>
      <w:r w:rsidRPr="00326F31">
        <w:t>PROCEEDINGS BEFORE THE COMMISSION</w:t>
      </w:r>
      <w:bookmarkEnd w:id="3"/>
    </w:p>
    <w:p w14:paraId="14D8D24C" w14:textId="77777777" w:rsidR="00E40449" w:rsidRPr="00326F31" w:rsidRDefault="00E40449" w:rsidP="00326F31">
      <w:pPr>
        <w:jc w:val="both"/>
        <w:rPr>
          <w:rFonts w:asciiTheme="majorHAnsi" w:hAnsiTheme="majorHAnsi"/>
          <w:sz w:val="20"/>
          <w:szCs w:val="20"/>
          <w:lang w:val="es-ES"/>
        </w:rPr>
      </w:pPr>
    </w:p>
    <w:p w14:paraId="5D085A6A" w14:textId="2935447D" w:rsidR="00E40449" w:rsidRPr="00326F31" w:rsidRDefault="00E40449" w:rsidP="00326F31">
      <w:pPr>
        <w:ind w:left="708"/>
        <w:jc w:val="both"/>
        <w:rPr>
          <w:rFonts w:asciiTheme="majorHAnsi" w:hAnsiTheme="majorHAnsi"/>
          <w:b/>
          <w:sz w:val="20"/>
          <w:szCs w:val="20"/>
        </w:rPr>
      </w:pPr>
      <w:r w:rsidRPr="00326F31">
        <w:rPr>
          <w:rFonts w:asciiTheme="majorHAnsi" w:hAnsiTheme="majorHAnsi"/>
          <w:b/>
          <w:sz w:val="20"/>
          <w:szCs w:val="20"/>
        </w:rPr>
        <w:t>A.</w:t>
      </w:r>
      <w:r w:rsidRPr="00326F31">
        <w:rPr>
          <w:rFonts w:asciiTheme="majorHAnsi" w:hAnsiTheme="majorHAnsi"/>
          <w:b/>
          <w:sz w:val="20"/>
          <w:szCs w:val="20"/>
        </w:rPr>
        <w:tab/>
      </w:r>
      <w:r w:rsidR="004C41EF" w:rsidRPr="00326F31">
        <w:rPr>
          <w:rFonts w:asciiTheme="majorHAnsi" w:hAnsiTheme="majorHAnsi"/>
          <w:b/>
          <w:sz w:val="20"/>
          <w:szCs w:val="20"/>
        </w:rPr>
        <w:t xml:space="preserve">Processing of the case </w:t>
      </w:r>
      <w:r w:rsidR="00AD7729">
        <w:rPr>
          <w:rFonts w:asciiTheme="majorHAnsi" w:hAnsiTheme="majorHAnsi"/>
          <w:b/>
          <w:sz w:val="20"/>
          <w:szCs w:val="20"/>
        </w:rPr>
        <w:t xml:space="preserve">subsequent to the admissibility </w:t>
      </w:r>
      <w:r w:rsidR="004C41EF" w:rsidRPr="00326F31">
        <w:rPr>
          <w:rFonts w:asciiTheme="majorHAnsi" w:hAnsiTheme="majorHAnsi"/>
          <w:b/>
          <w:sz w:val="20"/>
          <w:szCs w:val="20"/>
        </w:rPr>
        <w:t>report</w:t>
      </w:r>
    </w:p>
    <w:p w14:paraId="2481862D" w14:textId="77777777" w:rsidR="00E40449" w:rsidRPr="00326F31" w:rsidRDefault="00E40449" w:rsidP="00326F31">
      <w:pPr>
        <w:jc w:val="both"/>
        <w:rPr>
          <w:rFonts w:asciiTheme="majorHAnsi" w:hAnsiTheme="majorHAnsi"/>
          <w:sz w:val="20"/>
          <w:szCs w:val="20"/>
        </w:rPr>
      </w:pPr>
    </w:p>
    <w:p w14:paraId="78AAB7A0" w14:textId="0808ABE3" w:rsidR="004D4057" w:rsidRPr="00AD7729" w:rsidRDefault="00AD794D" w:rsidP="00326F3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rPr>
      </w:pPr>
      <w:r w:rsidRPr="00326F31">
        <w:rPr>
          <w:rFonts w:asciiTheme="majorHAnsi" w:eastAsia="Calibri" w:hAnsiTheme="majorHAnsi"/>
          <w:sz w:val="20"/>
          <w:szCs w:val="20"/>
        </w:rPr>
        <w:t xml:space="preserve">On March 7, 2006, the Commission received the petition and registered it under the number </w:t>
      </w:r>
      <w:r w:rsidR="00C35013" w:rsidRPr="00326F31">
        <w:rPr>
          <w:rFonts w:asciiTheme="majorHAnsi" w:eastAsia="Calibri" w:hAnsiTheme="majorHAnsi"/>
          <w:sz w:val="20"/>
          <w:szCs w:val="20"/>
        </w:rPr>
        <w:t>212-06</w:t>
      </w:r>
      <w:r w:rsidR="00E40449" w:rsidRPr="00326F31">
        <w:rPr>
          <w:rFonts w:asciiTheme="majorHAnsi" w:eastAsia="Calibri" w:hAnsiTheme="majorHAnsi"/>
          <w:sz w:val="20"/>
          <w:szCs w:val="20"/>
        </w:rPr>
        <w:t xml:space="preserve">. </w:t>
      </w:r>
      <w:r w:rsidRPr="00326F31">
        <w:rPr>
          <w:rFonts w:asciiTheme="majorHAnsi" w:eastAsia="Calibri" w:hAnsiTheme="majorHAnsi"/>
          <w:sz w:val="20"/>
          <w:szCs w:val="20"/>
        </w:rPr>
        <w:t>The procedure until the decision on admissibility is explained in detail in Report No. 59/13 of July 16, 2013</w:t>
      </w:r>
      <w:r w:rsidR="00E40449" w:rsidRPr="00326F31">
        <w:rPr>
          <w:rFonts w:asciiTheme="majorHAnsi" w:eastAsia="Calibri" w:hAnsiTheme="majorHAnsi"/>
          <w:sz w:val="20"/>
          <w:szCs w:val="20"/>
          <w:vertAlign w:val="superscript"/>
        </w:rPr>
        <w:footnoteReference w:id="2"/>
      </w:r>
      <w:r w:rsidR="00E40449" w:rsidRPr="00326F31">
        <w:rPr>
          <w:rFonts w:asciiTheme="majorHAnsi" w:eastAsia="Calibri" w:hAnsiTheme="majorHAnsi"/>
          <w:sz w:val="20"/>
          <w:szCs w:val="20"/>
        </w:rPr>
        <w:t xml:space="preserve">. </w:t>
      </w:r>
      <w:r w:rsidR="007C4605" w:rsidRPr="00326F31">
        <w:rPr>
          <w:rFonts w:asciiTheme="majorHAnsi" w:eastAsia="Calibri" w:hAnsiTheme="majorHAnsi"/>
          <w:sz w:val="20"/>
          <w:szCs w:val="20"/>
        </w:rPr>
        <w:t>In said report, the IACHR declared the petition admissible as to the possible violation of the rights enshrined in Articles 5, 8, 13, 23, 24 and 25 of the American Convention in connection with Articles 1.1 and 2 thereof.</w:t>
      </w:r>
    </w:p>
    <w:p w14:paraId="223CA75A" w14:textId="15A766F9" w:rsidR="00F2093A" w:rsidRPr="00326F31" w:rsidRDefault="00F2093A" w:rsidP="00326F3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rPr>
      </w:pPr>
      <w:r w:rsidRPr="00326F31">
        <w:rPr>
          <w:rFonts w:asciiTheme="majorHAnsi" w:eastAsia="Calibri" w:hAnsiTheme="majorHAnsi"/>
          <w:sz w:val="20"/>
          <w:szCs w:val="20"/>
        </w:rPr>
        <w:lastRenderedPageBreak/>
        <w:t>On August 21, 2013, the Commission notified the admissibility report to the parties. Also, in accordance with Article 38.2 of its Rules, the Commission made itself available to the parties to reach a friendly settlement and asked the petitioners to submit additional observations on the merits within four months. On January 30, 2015, the petitioners submitted their observations on the merits. These observations were forwarded to the Venezuelan State</w:t>
      </w:r>
      <w:r w:rsidR="00165F1E">
        <w:rPr>
          <w:rFonts w:asciiTheme="majorHAnsi" w:eastAsia="Calibri" w:hAnsiTheme="majorHAnsi"/>
          <w:sz w:val="20"/>
          <w:szCs w:val="20"/>
        </w:rPr>
        <w:t xml:space="preserve"> on March 31, 2015</w:t>
      </w:r>
      <w:r w:rsidRPr="00326F31">
        <w:rPr>
          <w:rFonts w:asciiTheme="majorHAnsi" w:eastAsia="Calibri" w:hAnsiTheme="majorHAnsi"/>
          <w:sz w:val="20"/>
          <w:szCs w:val="20"/>
        </w:rPr>
        <w:t xml:space="preserve"> requesting to submit any additional observations on the merits within the statutory period of four months. At the date of approval of this report, the Venezuelan State has not submitted its additional observations on the merits.</w:t>
      </w:r>
    </w:p>
    <w:p w14:paraId="0CD0BBB4" w14:textId="77777777" w:rsidR="00E40449" w:rsidRPr="00326F31" w:rsidRDefault="00E40449" w:rsidP="00326F31">
      <w:pPr>
        <w:jc w:val="both"/>
        <w:rPr>
          <w:rFonts w:asciiTheme="majorHAnsi" w:hAnsiTheme="majorHAnsi"/>
          <w:sz w:val="20"/>
          <w:szCs w:val="20"/>
        </w:rPr>
      </w:pPr>
    </w:p>
    <w:p w14:paraId="3EBD95A6" w14:textId="36524815" w:rsidR="00E40449" w:rsidRPr="00326F31" w:rsidRDefault="00B968A8" w:rsidP="00326F31">
      <w:pPr>
        <w:pStyle w:val="Heading1"/>
        <w:numPr>
          <w:ilvl w:val="0"/>
          <w:numId w:val="55"/>
        </w:numPr>
        <w:tabs>
          <w:tab w:val="clear" w:pos="1440"/>
        </w:tabs>
        <w:jc w:val="both"/>
      </w:pPr>
      <w:bookmarkStart w:id="6" w:name="_Toc433311126"/>
      <w:bookmarkEnd w:id="4"/>
      <w:bookmarkEnd w:id="5"/>
      <w:r w:rsidRPr="00326F31">
        <w:t>POSITION OF THE PARTIES</w:t>
      </w:r>
      <w:bookmarkEnd w:id="6"/>
    </w:p>
    <w:p w14:paraId="0A22D00F" w14:textId="77777777" w:rsidR="00E40449" w:rsidRPr="00326F31" w:rsidRDefault="00E40449" w:rsidP="00326F31">
      <w:pPr>
        <w:jc w:val="both"/>
        <w:rPr>
          <w:rFonts w:asciiTheme="majorHAnsi" w:hAnsiTheme="majorHAnsi"/>
          <w:sz w:val="20"/>
          <w:szCs w:val="20"/>
          <w:lang w:val="es-CO"/>
        </w:rPr>
      </w:pPr>
    </w:p>
    <w:p w14:paraId="74947F40" w14:textId="31F3C928" w:rsidR="00E40449" w:rsidRPr="00326F31" w:rsidRDefault="00B968A8" w:rsidP="00326F31">
      <w:pPr>
        <w:pStyle w:val="Heading2"/>
        <w:numPr>
          <w:ilvl w:val="0"/>
          <w:numId w:val="59"/>
        </w:numPr>
      </w:pPr>
      <w:bookmarkStart w:id="7" w:name="_Toc433311127"/>
      <w:r w:rsidRPr="00326F31">
        <w:t>P</w:t>
      </w:r>
      <w:r w:rsidR="00AD7729">
        <w:t xml:space="preserve">osition of </w:t>
      </w:r>
      <w:proofErr w:type="spellStart"/>
      <w:r w:rsidR="00AD7729">
        <w:t>the</w:t>
      </w:r>
      <w:proofErr w:type="spellEnd"/>
      <w:r w:rsidR="00AD7729">
        <w:t xml:space="preserve"> </w:t>
      </w:r>
      <w:proofErr w:type="spellStart"/>
      <w:r w:rsidR="00AD7729">
        <w:t>petitioners</w:t>
      </w:r>
      <w:bookmarkEnd w:id="7"/>
      <w:proofErr w:type="spellEnd"/>
      <w:r w:rsidR="00AD7729">
        <w:t xml:space="preserve"> </w:t>
      </w:r>
    </w:p>
    <w:p w14:paraId="7FE2B61A" w14:textId="77777777" w:rsidR="00424452" w:rsidRPr="00326F31" w:rsidRDefault="00424452" w:rsidP="00326F3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lang w:val="es-VE"/>
        </w:rPr>
      </w:pPr>
    </w:p>
    <w:p w14:paraId="4D1329D5" w14:textId="3F549670" w:rsidR="00FA20B3" w:rsidRPr="00326F31" w:rsidRDefault="00FA20B3" w:rsidP="00326F3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rPr>
      </w:pPr>
      <w:r w:rsidRPr="00326F31">
        <w:rPr>
          <w:rFonts w:asciiTheme="majorHAnsi" w:eastAsia="Calibri" w:hAnsiTheme="majorHAnsi"/>
          <w:sz w:val="20"/>
          <w:szCs w:val="20"/>
        </w:rPr>
        <w:t>During the merits stage the petitioners ratified in all its parts the content of their initial complaint of March 7, 2006. In this regard, they noted that the alleged victims Rocío San Mi</w:t>
      </w:r>
      <w:r w:rsidR="00897DCF" w:rsidRPr="00326F31">
        <w:rPr>
          <w:rFonts w:asciiTheme="majorHAnsi" w:eastAsia="Calibri" w:hAnsiTheme="majorHAnsi"/>
          <w:sz w:val="20"/>
          <w:szCs w:val="20"/>
        </w:rPr>
        <w:t>guel Sosa, Magally Chang Girón, and</w:t>
      </w:r>
      <w:r w:rsidRPr="00326F31">
        <w:rPr>
          <w:rFonts w:asciiTheme="majorHAnsi" w:eastAsia="Calibri" w:hAnsiTheme="majorHAnsi"/>
          <w:sz w:val="20"/>
          <w:szCs w:val="20"/>
        </w:rPr>
        <w:t xml:space="preserve"> Thais Coromoto Peña worked at the CNF, under the Ministry of Foreign Affairs of the Bolivarian Republic of Venezuela. They noted that: i) T</w:t>
      </w:r>
      <w:r w:rsidR="00897DCF" w:rsidRPr="00326F31">
        <w:rPr>
          <w:rFonts w:asciiTheme="majorHAnsi" w:eastAsia="Calibri" w:hAnsiTheme="majorHAnsi"/>
          <w:sz w:val="20"/>
          <w:szCs w:val="20"/>
        </w:rPr>
        <w:t>hais Coromoto Peña had worked at</w:t>
      </w:r>
      <w:r w:rsidRPr="00326F31">
        <w:rPr>
          <w:rFonts w:asciiTheme="majorHAnsi" w:eastAsia="Calibri" w:hAnsiTheme="majorHAnsi"/>
          <w:sz w:val="20"/>
          <w:szCs w:val="20"/>
        </w:rPr>
        <w:t xml:space="preserve"> the service of the Public Administration for 2</w:t>
      </w:r>
      <w:r w:rsidR="00897DCF" w:rsidRPr="00326F31">
        <w:rPr>
          <w:rFonts w:asciiTheme="majorHAnsi" w:eastAsia="Calibri" w:hAnsiTheme="majorHAnsi"/>
          <w:sz w:val="20"/>
          <w:szCs w:val="20"/>
        </w:rPr>
        <w:t>0 years, nine of them working for</w:t>
      </w:r>
      <w:r w:rsidRPr="00326F31">
        <w:rPr>
          <w:rFonts w:asciiTheme="majorHAnsi" w:eastAsia="Calibri" w:hAnsiTheme="majorHAnsi"/>
          <w:sz w:val="20"/>
          <w:szCs w:val="20"/>
        </w:rPr>
        <w:t xml:space="preserve"> the CNF; ii</w:t>
      </w:r>
      <w:r w:rsidR="00897DCF" w:rsidRPr="00326F31">
        <w:rPr>
          <w:rFonts w:asciiTheme="majorHAnsi" w:eastAsia="Calibri" w:hAnsiTheme="majorHAnsi"/>
          <w:sz w:val="20"/>
          <w:szCs w:val="20"/>
        </w:rPr>
        <w:t>) Rocío San Miguel Sosa had done so</w:t>
      </w:r>
      <w:r w:rsidRPr="00326F31">
        <w:rPr>
          <w:rFonts w:asciiTheme="majorHAnsi" w:eastAsia="Calibri" w:hAnsiTheme="majorHAnsi"/>
          <w:sz w:val="20"/>
          <w:szCs w:val="20"/>
        </w:rPr>
        <w:t xml:space="preserve"> for a total of 13</w:t>
      </w:r>
      <w:r w:rsidR="00897DCF" w:rsidRPr="00326F31">
        <w:rPr>
          <w:rFonts w:asciiTheme="majorHAnsi" w:eastAsia="Calibri" w:hAnsiTheme="majorHAnsi"/>
          <w:sz w:val="20"/>
          <w:szCs w:val="20"/>
        </w:rPr>
        <w:t xml:space="preserve"> years</w:t>
      </w:r>
      <w:r w:rsidRPr="00326F31">
        <w:rPr>
          <w:rFonts w:asciiTheme="majorHAnsi" w:eastAsia="Calibri" w:hAnsiTheme="majorHAnsi"/>
          <w:sz w:val="20"/>
          <w:szCs w:val="20"/>
        </w:rPr>
        <w:t xml:space="preserve">, seven of which he served in the CNF; and iii) </w:t>
      </w:r>
      <w:r w:rsidR="00897DCF" w:rsidRPr="00326F31">
        <w:rPr>
          <w:rFonts w:asciiTheme="majorHAnsi" w:eastAsia="Calibri" w:hAnsiTheme="majorHAnsi"/>
          <w:sz w:val="20"/>
          <w:szCs w:val="20"/>
        </w:rPr>
        <w:t>Magally Chang Girón</w:t>
      </w:r>
      <w:r w:rsidRPr="00326F31">
        <w:rPr>
          <w:rFonts w:asciiTheme="majorHAnsi" w:eastAsia="Calibri" w:hAnsiTheme="majorHAnsi"/>
          <w:sz w:val="20"/>
          <w:szCs w:val="20"/>
        </w:rPr>
        <w:t xml:space="preserve">, </w:t>
      </w:r>
      <w:r w:rsidR="00897DCF" w:rsidRPr="00326F31">
        <w:rPr>
          <w:rFonts w:asciiTheme="majorHAnsi" w:eastAsia="Calibri" w:hAnsiTheme="majorHAnsi"/>
          <w:sz w:val="20"/>
          <w:szCs w:val="20"/>
        </w:rPr>
        <w:t>on its part, had worked six years at</w:t>
      </w:r>
      <w:r w:rsidRPr="00326F31">
        <w:rPr>
          <w:rFonts w:asciiTheme="majorHAnsi" w:eastAsia="Calibri" w:hAnsiTheme="majorHAnsi"/>
          <w:sz w:val="20"/>
          <w:szCs w:val="20"/>
        </w:rPr>
        <w:t xml:space="preserve"> the service of</w:t>
      </w:r>
      <w:r w:rsidR="00897DCF" w:rsidRPr="00326F31">
        <w:rPr>
          <w:rFonts w:asciiTheme="majorHAnsi" w:eastAsia="Calibri" w:hAnsiTheme="majorHAnsi"/>
          <w:sz w:val="20"/>
          <w:szCs w:val="20"/>
        </w:rPr>
        <w:t xml:space="preserve"> the</w:t>
      </w:r>
      <w:r w:rsidRPr="00326F31">
        <w:rPr>
          <w:rFonts w:asciiTheme="majorHAnsi" w:eastAsia="Calibri" w:hAnsiTheme="majorHAnsi"/>
          <w:sz w:val="20"/>
          <w:szCs w:val="20"/>
        </w:rPr>
        <w:t xml:space="preserve"> CNF.</w:t>
      </w:r>
    </w:p>
    <w:p w14:paraId="3293B302" w14:textId="77777777" w:rsidR="004D4057" w:rsidRPr="00326F31" w:rsidRDefault="004D4057" w:rsidP="00326F31">
      <w:pPr>
        <w:pStyle w:val="ListParagraph"/>
        <w:jc w:val="both"/>
        <w:rPr>
          <w:rFonts w:asciiTheme="majorHAnsi" w:eastAsia="Calibri" w:hAnsiTheme="majorHAnsi"/>
          <w:sz w:val="20"/>
          <w:szCs w:val="20"/>
        </w:rPr>
      </w:pPr>
    </w:p>
    <w:p w14:paraId="1B654C10" w14:textId="133B6F2B" w:rsidR="00897DCF" w:rsidRPr="00326F31" w:rsidRDefault="00897DCF" w:rsidP="00326F3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rPr>
      </w:pPr>
      <w:r w:rsidRPr="00326F31">
        <w:rPr>
          <w:rFonts w:asciiTheme="majorHAnsi" w:eastAsia="Calibri" w:hAnsiTheme="majorHAnsi"/>
          <w:sz w:val="20"/>
          <w:szCs w:val="20"/>
        </w:rPr>
        <w:t xml:space="preserve">The petitioners reported that in March 2004, Rocío San Miguel Sosa, Magally Chang Girón, and Thais Coromoto Peña were informed of the decision of the President of the National Border Council to terminate their employment contract with that institution. In their view, that decision was based on "purely political reasons" linked to the decision of the alleged victims to sign the </w:t>
      </w:r>
      <w:r w:rsidR="00632217" w:rsidRPr="00326F31">
        <w:rPr>
          <w:rFonts w:asciiTheme="majorHAnsi" w:eastAsia="Calibri" w:hAnsiTheme="majorHAnsi"/>
          <w:sz w:val="20"/>
          <w:szCs w:val="20"/>
        </w:rPr>
        <w:t>peti</w:t>
      </w:r>
      <w:r w:rsidRPr="00326F31">
        <w:rPr>
          <w:rFonts w:asciiTheme="majorHAnsi" w:eastAsia="Calibri" w:hAnsiTheme="majorHAnsi"/>
          <w:sz w:val="20"/>
          <w:szCs w:val="20"/>
        </w:rPr>
        <w:t>t</w:t>
      </w:r>
      <w:r w:rsidR="00632217" w:rsidRPr="00326F31">
        <w:rPr>
          <w:rFonts w:asciiTheme="majorHAnsi" w:eastAsia="Calibri" w:hAnsiTheme="majorHAnsi"/>
          <w:sz w:val="20"/>
          <w:szCs w:val="20"/>
        </w:rPr>
        <w:t>ion</w:t>
      </w:r>
      <w:r w:rsidRPr="00326F31">
        <w:rPr>
          <w:rFonts w:asciiTheme="majorHAnsi" w:eastAsia="Calibri" w:hAnsiTheme="majorHAnsi"/>
          <w:sz w:val="20"/>
          <w:szCs w:val="20"/>
        </w:rPr>
        <w:t xml:space="preserve"> to carry out the recall referendum </w:t>
      </w:r>
      <w:r w:rsidR="00632217" w:rsidRPr="00326F31">
        <w:rPr>
          <w:rFonts w:asciiTheme="majorHAnsi" w:hAnsiTheme="majorHAnsi"/>
          <w:sz w:val="20"/>
          <w:szCs w:val="20"/>
        </w:rPr>
        <w:t>on the term of office of the President of the Republic</w:t>
      </w:r>
      <w:r w:rsidRPr="00326F31">
        <w:rPr>
          <w:rFonts w:asciiTheme="majorHAnsi" w:eastAsia="Calibri" w:hAnsiTheme="majorHAnsi"/>
          <w:sz w:val="20"/>
          <w:szCs w:val="20"/>
        </w:rPr>
        <w:t>, under Article 72 of the Constitution of that country.</w:t>
      </w:r>
    </w:p>
    <w:p w14:paraId="038E1640" w14:textId="77777777" w:rsidR="004D4057" w:rsidRPr="00326F31" w:rsidRDefault="004D4057" w:rsidP="00326F31">
      <w:pPr>
        <w:pStyle w:val="ListParagraph"/>
        <w:jc w:val="both"/>
        <w:rPr>
          <w:rFonts w:asciiTheme="majorHAnsi" w:eastAsia="Calibri" w:hAnsiTheme="majorHAnsi"/>
          <w:sz w:val="20"/>
          <w:szCs w:val="20"/>
        </w:rPr>
      </w:pPr>
    </w:p>
    <w:p w14:paraId="36F08E01" w14:textId="25B6F205" w:rsidR="004D4057" w:rsidRPr="00326F31" w:rsidRDefault="004D4057" w:rsidP="00326F3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rPr>
      </w:pPr>
      <w:r w:rsidRPr="00326F31">
        <w:rPr>
          <w:rFonts w:asciiTheme="majorHAnsi" w:eastAsia="Calibri" w:hAnsiTheme="majorHAnsi"/>
          <w:sz w:val="20"/>
          <w:szCs w:val="20"/>
        </w:rPr>
        <w:t xml:space="preserve">By way of background, the petitioners indicated that, in August 2002, several organizations submitted a list of signatures to the National Electoral Council (hereinafter "the CNE" for its initials in Spanish) requesting to carry out an advisory referendum to achieve the resignation of the President of the Republic. On December 3, 2002, the referendum on the presidential term was convened, however afterwards the Acting Chamber for Electoral Matters of the Supreme Court of Justice called off the above-mentioned referendum process until the National Assembly appointed new members to the CNE. In February 2003 a new </w:t>
      </w:r>
      <w:r w:rsidR="00CE61EF">
        <w:rPr>
          <w:rFonts w:asciiTheme="majorHAnsi" w:eastAsia="Calibri" w:hAnsiTheme="majorHAnsi"/>
          <w:sz w:val="20"/>
          <w:szCs w:val="20"/>
        </w:rPr>
        <w:t>gathering of signatures</w:t>
      </w:r>
      <w:r w:rsidRPr="00326F31">
        <w:rPr>
          <w:rFonts w:asciiTheme="majorHAnsi" w:eastAsia="Calibri" w:hAnsiTheme="majorHAnsi"/>
          <w:sz w:val="20"/>
          <w:szCs w:val="20"/>
        </w:rPr>
        <w:t xml:space="preserve"> got underway popularly known as “</w:t>
      </w:r>
      <w:r w:rsidRPr="00326F31">
        <w:rPr>
          <w:rFonts w:asciiTheme="majorHAnsi" w:eastAsia="Calibri" w:hAnsiTheme="majorHAnsi"/>
          <w:i/>
          <w:sz w:val="20"/>
          <w:szCs w:val="20"/>
        </w:rPr>
        <w:t xml:space="preserve">El </w:t>
      </w:r>
      <w:proofErr w:type="spellStart"/>
      <w:r w:rsidR="00632217" w:rsidRPr="00326F31">
        <w:rPr>
          <w:rFonts w:asciiTheme="majorHAnsi" w:eastAsia="Calibri" w:hAnsiTheme="majorHAnsi"/>
          <w:i/>
          <w:sz w:val="20"/>
          <w:szCs w:val="20"/>
        </w:rPr>
        <w:t>F</w:t>
      </w:r>
      <w:r w:rsidRPr="00326F31">
        <w:rPr>
          <w:rFonts w:asciiTheme="majorHAnsi" w:eastAsia="Calibri" w:hAnsiTheme="majorHAnsi"/>
          <w:i/>
          <w:sz w:val="20"/>
          <w:szCs w:val="20"/>
        </w:rPr>
        <w:t>irmazo</w:t>
      </w:r>
      <w:proofErr w:type="spellEnd"/>
      <w:r w:rsidRPr="00326F31">
        <w:rPr>
          <w:rFonts w:asciiTheme="majorHAnsi" w:eastAsia="Calibri" w:hAnsiTheme="majorHAnsi"/>
          <w:sz w:val="20"/>
          <w:szCs w:val="20"/>
        </w:rPr>
        <w:t>”, presenting on August 20, 2003 more than 3 million signatures before the CNE. However, on this occasion the CNE found the petition inadmissible because it had been filed tardily and established over thirty technical conditions to carry out the referendum.</w:t>
      </w:r>
    </w:p>
    <w:p w14:paraId="03AACE97" w14:textId="77777777" w:rsidR="004D4057" w:rsidRPr="00326F31" w:rsidRDefault="004D4057" w:rsidP="00326F31">
      <w:pPr>
        <w:jc w:val="both"/>
        <w:rPr>
          <w:rStyle w:val="StyleUnivers10pt"/>
          <w:rFonts w:asciiTheme="majorHAnsi" w:hAnsiTheme="majorHAnsi"/>
          <w:szCs w:val="20"/>
        </w:rPr>
      </w:pPr>
    </w:p>
    <w:p w14:paraId="1372E94B" w14:textId="4692D1EF" w:rsidR="004D4057" w:rsidRPr="00326F31" w:rsidRDefault="004D4057" w:rsidP="00326F3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Style w:val="StyleUnivers10pt"/>
          <w:rFonts w:asciiTheme="majorHAnsi" w:eastAsia="Calibri" w:hAnsiTheme="majorHAnsi"/>
          <w:szCs w:val="20"/>
        </w:rPr>
      </w:pPr>
      <w:r w:rsidRPr="00326F31">
        <w:rPr>
          <w:rStyle w:val="StyleUnivers10pt"/>
          <w:rFonts w:asciiTheme="majorHAnsi" w:hAnsiTheme="majorHAnsi"/>
          <w:szCs w:val="20"/>
        </w:rPr>
        <w:t xml:space="preserve">Finally, the CNE convened and organized a new period for collection of signatures, which ran from November 28 to December 1, 2003, and that </w:t>
      </w:r>
      <w:r w:rsidR="00CE61EF">
        <w:rPr>
          <w:rStyle w:val="StyleUnivers10pt"/>
          <w:rFonts w:asciiTheme="majorHAnsi" w:hAnsiTheme="majorHAnsi"/>
          <w:szCs w:val="20"/>
        </w:rPr>
        <w:t xml:space="preserve">was </w:t>
      </w:r>
      <w:r w:rsidRPr="00326F31">
        <w:rPr>
          <w:rStyle w:val="StyleUnivers10pt"/>
          <w:rFonts w:asciiTheme="majorHAnsi" w:hAnsiTheme="majorHAnsi"/>
          <w:szCs w:val="20"/>
        </w:rPr>
        <w:t>popularly known as “</w:t>
      </w:r>
      <w:r w:rsidRPr="00326F31">
        <w:rPr>
          <w:rStyle w:val="StyleUnivers10pt"/>
          <w:rFonts w:asciiTheme="majorHAnsi" w:hAnsiTheme="majorHAnsi"/>
          <w:i/>
          <w:szCs w:val="20"/>
        </w:rPr>
        <w:t xml:space="preserve">El </w:t>
      </w:r>
      <w:proofErr w:type="spellStart"/>
      <w:r w:rsidRPr="00326F31">
        <w:rPr>
          <w:rStyle w:val="StyleUnivers10pt"/>
          <w:rFonts w:asciiTheme="majorHAnsi" w:hAnsiTheme="majorHAnsi"/>
          <w:i/>
          <w:szCs w:val="20"/>
        </w:rPr>
        <w:t>reafirmazo</w:t>
      </w:r>
      <w:proofErr w:type="spellEnd"/>
      <w:r w:rsidRPr="00326F31">
        <w:rPr>
          <w:rStyle w:val="StyleUnivers10pt"/>
          <w:rFonts w:asciiTheme="majorHAnsi" w:hAnsiTheme="majorHAnsi"/>
          <w:i/>
          <w:szCs w:val="20"/>
        </w:rPr>
        <w:t>”</w:t>
      </w:r>
      <w:r w:rsidRPr="00326F31">
        <w:rPr>
          <w:rStyle w:val="StyleUnivers10pt"/>
          <w:rFonts w:asciiTheme="majorHAnsi" w:hAnsiTheme="majorHAnsi"/>
          <w:szCs w:val="20"/>
        </w:rPr>
        <w:t>.</w:t>
      </w:r>
      <w:r w:rsidR="005E6C10">
        <w:rPr>
          <w:rStyle w:val="StyleUnivers10pt"/>
          <w:rFonts w:asciiTheme="majorHAnsi" w:hAnsiTheme="majorHAnsi"/>
          <w:szCs w:val="20"/>
        </w:rPr>
        <w:t xml:space="preserve"> </w:t>
      </w:r>
      <w:r w:rsidRPr="00326F31">
        <w:rPr>
          <w:rStyle w:val="StyleUnivers10pt"/>
          <w:rFonts w:asciiTheme="majorHAnsi" w:hAnsiTheme="majorHAnsi"/>
          <w:szCs w:val="20"/>
        </w:rPr>
        <w:t>The petitioners contended that in the weeks prior to this signature collection drive, both the President of the Republic and other high-ranking government officials made threatening public statements to intimidate citizens into not participating in the signature collection process.</w:t>
      </w:r>
      <w:r w:rsidR="005E6C10">
        <w:rPr>
          <w:rStyle w:val="StyleUnivers10pt"/>
          <w:rFonts w:asciiTheme="majorHAnsi" w:hAnsiTheme="majorHAnsi"/>
          <w:szCs w:val="20"/>
        </w:rPr>
        <w:t xml:space="preserve"> </w:t>
      </w:r>
    </w:p>
    <w:p w14:paraId="72EC698C" w14:textId="77777777" w:rsidR="004D4057" w:rsidRPr="00326F31" w:rsidRDefault="004D4057" w:rsidP="00326F31">
      <w:pPr>
        <w:pStyle w:val="ListParagraph"/>
        <w:jc w:val="both"/>
        <w:rPr>
          <w:rStyle w:val="StyleUnivers10pt"/>
          <w:rFonts w:asciiTheme="majorHAnsi" w:hAnsiTheme="majorHAnsi"/>
          <w:szCs w:val="20"/>
        </w:rPr>
      </w:pPr>
    </w:p>
    <w:p w14:paraId="1E0E8B12" w14:textId="6A63EE17" w:rsidR="004D4057" w:rsidRPr="00326F31" w:rsidRDefault="004D4057" w:rsidP="00326F3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rPr>
      </w:pPr>
      <w:r w:rsidRPr="00326F31">
        <w:rPr>
          <w:rStyle w:val="StyleUnivers10pt"/>
          <w:rFonts w:asciiTheme="majorHAnsi" w:hAnsiTheme="majorHAnsi"/>
          <w:szCs w:val="20"/>
        </w:rPr>
        <w:t>On December 2, 2003, the Ministry of Infrastructure reported to the country that the signatures gathered during “</w:t>
      </w:r>
      <w:r w:rsidR="00C9052E">
        <w:rPr>
          <w:rStyle w:val="StyleUnivers10pt"/>
          <w:rFonts w:asciiTheme="majorHAnsi" w:hAnsiTheme="majorHAnsi"/>
          <w:i/>
          <w:szCs w:val="20"/>
        </w:rPr>
        <w:t>E</w:t>
      </w:r>
      <w:r w:rsidRPr="00326F31">
        <w:rPr>
          <w:rStyle w:val="StyleUnivers10pt"/>
          <w:rFonts w:asciiTheme="majorHAnsi" w:hAnsiTheme="majorHAnsi"/>
          <w:i/>
          <w:szCs w:val="20"/>
        </w:rPr>
        <w:t xml:space="preserve">l Reafirmazo” </w:t>
      </w:r>
      <w:r w:rsidRPr="00326F31">
        <w:rPr>
          <w:rStyle w:val="StyleUnivers10pt"/>
          <w:rFonts w:asciiTheme="majorHAnsi" w:hAnsiTheme="majorHAnsi"/>
          <w:szCs w:val="20"/>
        </w:rPr>
        <w:t>would be posted at the collection centers so that all Venezuelans could verify them.</w:t>
      </w:r>
      <w:r w:rsidR="005E6C10">
        <w:rPr>
          <w:rStyle w:val="StyleUnivers10pt"/>
          <w:rFonts w:asciiTheme="majorHAnsi" w:hAnsiTheme="majorHAnsi"/>
          <w:szCs w:val="20"/>
        </w:rPr>
        <w:t xml:space="preserve"> </w:t>
      </w:r>
      <w:r w:rsidRPr="00326F31">
        <w:rPr>
          <w:rStyle w:val="StyleUnivers10pt"/>
          <w:rFonts w:asciiTheme="majorHAnsi" w:hAnsiTheme="majorHAnsi"/>
          <w:szCs w:val="20"/>
        </w:rPr>
        <w:t>They added that the signatures collected were submitted to the CNE on December 19, 2003 for validation.</w:t>
      </w:r>
      <w:r w:rsidR="005E6C10">
        <w:rPr>
          <w:rStyle w:val="StyleUnivers10pt"/>
          <w:rFonts w:asciiTheme="majorHAnsi" w:hAnsiTheme="majorHAnsi"/>
          <w:szCs w:val="20"/>
        </w:rPr>
        <w:t xml:space="preserve"> </w:t>
      </w:r>
    </w:p>
    <w:p w14:paraId="03146856" w14:textId="77777777" w:rsidR="00030EEC" w:rsidRPr="00326F31" w:rsidRDefault="00030EEC" w:rsidP="00326F3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rPr>
      </w:pPr>
    </w:p>
    <w:p w14:paraId="498A545A" w14:textId="2A11603C" w:rsidR="00785BFC" w:rsidRPr="00326F31" w:rsidRDefault="008D5572" w:rsidP="00326F3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Style w:val="StyleUnivers10pt"/>
          <w:rFonts w:asciiTheme="majorHAnsi" w:eastAsia="Calibri" w:hAnsiTheme="majorHAnsi"/>
          <w:szCs w:val="20"/>
        </w:rPr>
      </w:pPr>
      <w:r w:rsidRPr="00326F31">
        <w:rPr>
          <w:rStyle w:val="StyleUnivers10pt"/>
          <w:rFonts w:asciiTheme="majorHAnsi" w:hAnsiTheme="majorHAnsi"/>
          <w:szCs w:val="20"/>
        </w:rPr>
        <w:t xml:space="preserve">The petitioners </w:t>
      </w:r>
      <w:r w:rsidR="003C08D7">
        <w:rPr>
          <w:rStyle w:val="StyleUnivers10pt"/>
          <w:rFonts w:asciiTheme="majorHAnsi" w:hAnsiTheme="majorHAnsi"/>
          <w:szCs w:val="20"/>
        </w:rPr>
        <w:t>underscored</w:t>
      </w:r>
      <w:r w:rsidRPr="00326F31">
        <w:rPr>
          <w:rStyle w:val="StyleUnivers10pt"/>
          <w:rFonts w:asciiTheme="majorHAnsi" w:hAnsiTheme="majorHAnsi"/>
          <w:szCs w:val="20"/>
        </w:rPr>
        <w:t xml:space="preserve"> that on January 30, 2004, prior to the CNE validating the signatures turned over to it, the President of the Republic filed a request with the CNE to hand over </w:t>
      </w:r>
      <w:r w:rsidR="000038FC" w:rsidRPr="00326F31">
        <w:rPr>
          <w:rStyle w:val="StyleUnivers10pt"/>
          <w:rFonts w:asciiTheme="majorHAnsi" w:hAnsiTheme="majorHAnsi"/>
          <w:szCs w:val="20"/>
        </w:rPr>
        <w:t xml:space="preserve">to congressman Luis Tascón </w:t>
      </w:r>
      <w:r w:rsidRPr="00326F31">
        <w:rPr>
          <w:rStyle w:val="StyleUnivers10pt"/>
          <w:rFonts w:asciiTheme="majorHAnsi" w:hAnsiTheme="majorHAnsi"/>
          <w:szCs w:val="20"/>
        </w:rPr>
        <w:t xml:space="preserve">a copy of the original signature sheets of all persons signing the </w:t>
      </w:r>
      <w:r w:rsidR="000038FC" w:rsidRPr="00326F31">
        <w:rPr>
          <w:rStyle w:val="StyleUnivers10pt"/>
          <w:rFonts w:asciiTheme="majorHAnsi" w:hAnsiTheme="majorHAnsi"/>
          <w:szCs w:val="20"/>
        </w:rPr>
        <w:t xml:space="preserve">petition, who after obtaining them published them on its website along with allegations of fraud of the signatories. </w:t>
      </w:r>
      <w:r w:rsidR="000038FC" w:rsidRPr="00326F31">
        <w:rPr>
          <w:rFonts w:asciiTheme="majorHAnsi" w:hAnsiTheme="majorHAnsi" w:cs="Arial"/>
          <w:sz w:val="20"/>
          <w:szCs w:val="20"/>
        </w:rPr>
        <w:t>They asserted that on February 15, 2004, on the Sunday television program of the President of the Republic, he urged the consult the “</w:t>
      </w:r>
      <w:r w:rsidR="000038FC" w:rsidRPr="00326F31">
        <w:rPr>
          <w:rFonts w:asciiTheme="majorHAnsi" w:hAnsiTheme="majorHAnsi" w:cs="Arial"/>
          <w:i/>
          <w:sz w:val="20"/>
          <w:szCs w:val="20"/>
        </w:rPr>
        <w:t>Tascón List</w:t>
      </w:r>
      <w:r w:rsidR="000038FC" w:rsidRPr="00326F31">
        <w:rPr>
          <w:rFonts w:asciiTheme="majorHAnsi" w:hAnsiTheme="majorHAnsi" w:cs="Arial"/>
          <w:sz w:val="20"/>
          <w:szCs w:val="20"/>
        </w:rPr>
        <w:t>”, indicating the Web site where people could view who had signed the petition to remove him from office.</w:t>
      </w:r>
      <w:r w:rsidR="000038FC" w:rsidRPr="00326F31">
        <w:rPr>
          <w:rFonts w:asciiTheme="majorHAnsi" w:hAnsiTheme="majorHAnsi"/>
          <w:sz w:val="20"/>
          <w:szCs w:val="20"/>
        </w:rPr>
        <w:t xml:space="preserve"> </w:t>
      </w:r>
      <w:r w:rsidR="000038FC" w:rsidRPr="00326F31">
        <w:rPr>
          <w:rFonts w:asciiTheme="majorHAnsi" w:hAnsiTheme="majorHAnsi" w:cs="Arial"/>
          <w:sz w:val="20"/>
          <w:szCs w:val="20"/>
        </w:rPr>
        <w:t xml:space="preserve">The petitioners alleged that the Web featured a built-in signature browser function </w:t>
      </w:r>
      <w:r w:rsidR="000038FC" w:rsidRPr="00326F31">
        <w:rPr>
          <w:rFonts w:asciiTheme="majorHAnsi" w:hAnsiTheme="majorHAnsi" w:cs="Arial"/>
          <w:sz w:val="20"/>
          <w:szCs w:val="20"/>
        </w:rPr>
        <w:lastRenderedPageBreak/>
        <w:t>that made it possible to investigate the names of the signers by entering a signer’s national identity card number. They also contended that this browser function included accusation that signers had committed fraud and were traitors to the nation.</w:t>
      </w:r>
      <w:r w:rsidR="005E6C10">
        <w:rPr>
          <w:rFonts w:asciiTheme="majorHAnsi" w:hAnsiTheme="majorHAnsi" w:cs="Arial"/>
          <w:sz w:val="20"/>
          <w:szCs w:val="20"/>
        </w:rPr>
        <w:t xml:space="preserve"> </w:t>
      </w:r>
      <w:r w:rsidR="003C08D7">
        <w:rPr>
          <w:rFonts w:asciiTheme="majorHAnsi" w:hAnsiTheme="majorHAnsi" w:cs="Arial"/>
          <w:sz w:val="20"/>
          <w:szCs w:val="20"/>
        </w:rPr>
        <w:t xml:space="preserve">In view </w:t>
      </w:r>
      <w:r w:rsidR="000038FC" w:rsidRPr="00326F31">
        <w:rPr>
          <w:rFonts w:asciiTheme="majorHAnsi" w:hAnsiTheme="majorHAnsi" w:cs="Arial"/>
          <w:sz w:val="20"/>
          <w:szCs w:val="20"/>
        </w:rPr>
        <w:t xml:space="preserve">of the petitioners, after the creation of this website, public employees and officials began to be pressured to disavow their signatures in the referendum or retract them in </w:t>
      </w:r>
      <w:r w:rsidR="00632217" w:rsidRPr="00326F31">
        <w:rPr>
          <w:rFonts w:asciiTheme="majorHAnsi" w:hAnsiTheme="majorHAnsi" w:cs="Arial"/>
          <w:sz w:val="20"/>
          <w:szCs w:val="20"/>
        </w:rPr>
        <w:t>the process of challenge</w:t>
      </w:r>
      <w:r w:rsidR="000038FC" w:rsidRPr="00326F31">
        <w:rPr>
          <w:rFonts w:asciiTheme="majorHAnsi" w:hAnsiTheme="majorHAnsi" w:cs="Arial"/>
          <w:sz w:val="20"/>
          <w:szCs w:val="20"/>
        </w:rPr>
        <w:t>.</w:t>
      </w:r>
      <w:r w:rsidR="005E6C10">
        <w:rPr>
          <w:rFonts w:asciiTheme="majorHAnsi" w:hAnsiTheme="majorHAnsi" w:cs="Arial"/>
          <w:sz w:val="20"/>
          <w:szCs w:val="20"/>
        </w:rPr>
        <w:t xml:space="preserve"> </w:t>
      </w:r>
      <w:r w:rsidR="000038FC" w:rsidRPr="00326F31">
        <w:rPr>
          <w:rFonts w:asciiTheme="majorHAnsi" w:hAnsiTheme="majorHAnsi" w:cs="Arial"/>
          <w:sz w:val="20"/>
          <w:szCs w:val="20"/>
        </w:rPr>
        <w:t>According to the information provided, the signatures of more than one million citizens were challenged in this process.</w:t>
      </w:r>
    </w:p>
    <w:p w14:paraId="66EE21BD" w14:textId="77777777" w:rsidR="00785BFC" w:rsidRPr="00326F31" w:rsidRDefault="00785BFC" w:rsidP="00326F3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Style w:val="StyleUnivers10pt"/>
          <w:rFonts w:asciiTheme="majorHAnsi" w:eastAsia="Calibri" w:hAnsiTheme="majorHAnsi"/>
          <w:szCs w:val="20"/>
        </w:rPr>
      </w:pPr>
    </w:p>
    <w:p w14:paraId="1465FEEF" w14:textId="74731992" w:rsidR="000038FC" w:rsidRPr="00326F31" w:rsidRDefault="000038FC" w:rsidP="00326F3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rPr>
      </w:pPr>
      <w:r w:rsidRPr="00326F31">
        <w:rPr>
          <w:rFonts w:asciiTheme="majorHAnsi" w:hAnsiTheme="majorHAnsi" w:cs="Arial"/>
          <w:sz w:val="20"/>
          <w:szCs w:val="20"/>
        </w:rPr>
        <w:t xml:space="preserve">The petitioners argued that, precisely in this particular context, </w:t>
      </w:r>
      <w:r w:rsidRPr="00326F31">
        <w:rPr>
          <w:rFonts w:asciiTheme="majorHAnsi" w:hAnsiTheme="majorHAnsi"/>
          <w:sz w:val="20"/>
          <w:szCs w:val="20"/>
        </w:rPr>
        <w:t>Rocío San Miguel Sosa, Magally Chang Girón</w:t>
      </w:r>
      <w:r w:rsidR="00C9052E">
        <w:rPr>
          <w:rFonts w:asciiTheme="majorHAnsi" w:hAnsiTheme="majorHAnsi"/>
          <w:sz w:val="20"/>
          <w:szCs w:val="20"/>
        </w:rPr>
        <w:t>,</w:t>
      </w:r>
      <w:r w:rsidRPr="00326F31">
        <w:rPr>
          <w:rFonts w:asciiTheme="majorHAnsi" w:hAnsiTheme="majorHAnsi"/>
          <w:sz w:val="20"/>
          <w:szCs w:val="20"/>
        </w:rPr>
        <w:t xml:space="preserve"> and Thais Coromoto Peña were advised of the decision of the Chairman of the National Border Council to terminate their labor contract with said institution.</w:t>
      </w:r>
      <w:r w:rsidR="005E6C10">
        <w:rPr>
          <w:rFonts w:asciiTheme="majorHAnsi" w:hAnsiTheme="majorHAnsi"/>
          <w:sz w:val="20"/>
          <w:szCs w:val="20"/>
        </w:rPr>
        <w:t xml:space="preserve"> </w:t>
      </w:r>
      <w:r w:rsidRPr="00326F31">
        <w:rPr>
          <w:rFonts w:asciiTheme="majorHAnsi" w:hAnsiTheme="majorHAnsi"/>
          <w:sz w:val="20"/>
          <w:szCs w:val="20"/>
        </w:rPr>
        <w:t>According to the petitioners, of the 22 individuals who were employed at the National Border Council at that time, the only ones who appeared on the list that was released to the public by congressman Tascón as signers of the recall referendum petition on the term of office of the President of the Republic were Rocío San Miguel Sosa, Magally Chang Girón</w:t>
      </w:r>
      <w:r w:rsidR="00C9052E">
        <w:rPr>
          <w:rFonts w:asciiTheme="majorHAnsi" w:hAnsiTheme="majorHAnsi"/>
          <w:sz w:val="20"/>
          <w:szCs w:val="20"/>
        </w:rPr>
        <w:t>,</w:t>
      </w:r>
      <w:r w:rsidRPr="00326F31">
        <w:rPr>
          <w:rFonts w:asciiTheme="majorHAnsi" w:hAnsiTheme="majorHAnsi"/>
          <w:sz w:val="20"/>
          <w:szCs w:val="20"/>
        </w:rPr>
        <w:t xml:space="preserve"> and Thais Coromoto Peña and Jorge Guerra Navarro</w:t>
      </w:r>
      <w:r w:rsidR="00785BFC" w:rsidRPr="00326F31">
        <w:rPr>
          <w:rFonts w:asciiTheme="majorHAnsi" w:hAnsiTheme="majorHAnsi"/>
          <w:sz w:val="20"/>
          <w:szCs w:val="20"/>
        </w:rPr>
        <w:t>;</w:t>
      </w:r>
      <w:r w:rsidRPr="00326F31">
        <w:rPr>
          <w:rFonts w:asciiTheme="majorHAnsi" w:hAnsiTheme="majorHAnsi"/>
          <w:sz w:val="20"/>
          <w:szCs w:val="20"/>
        </w:rPr>
        <w:t xml:space="preserve"> and that those four persons were notified of </w:t>
      </w:r>
      <w:r w:rsidR="000C326B">
        <w:rPr>
          <w:rFonts w:asciiTheme="majorHAnsi" w:hAnsiTheme="majorHAnsi"/>
          <w:sz w:val="20"/>
          <w:szCs w:val="20"/>
        </w:rPr>
        <w:t xml:space="preserve">the </w:t>
      </w:r>
      <w:r w:rsidRPr="00326F31">
        <w:rPr>
          <w:rFonts w:asciiTheme="majorHAnsi" w:hAnsiTheme="majorHAnsi"/>
          <w:sz w:val="20"/>
          <w:szCs w:val="20"/>
        </w:rPr>
        <w:t xml:space="preserve">early termination of their </w:t>
      </w:r>
      <w:r w:rsidR="000C326B">
        <w:rPr>
          <w:rFonts w:asciiTheme="majorHAnsi" w:hAnsiTheme="majorHAnsi"/>
          <w:sz w:val="20"/>
          <w:szCs w:val="20"/>
        </w:rPr>
        <w:t>contracts</w:t>
      </w:r>
      <w:r w:rsidRPr="00326F31">
        <w:rPr>
          <w:rFonts w:asciiTheme="majorHAnsi" w:hAnsiTheme="majorHAnsi"/>
          <w:sz w:val="20"/>
          <w:szCs w:val="20"/>
        </w:rPr>
        <w:t xml:space="preserve">. </w:t>
      </w:r>
    </w:p>
    <w:p w14:paraId="4036E117" w14:textId="77777777" w:rsidR="000038FC" w:rsidRPr="00326F31" w:rsidRDefault="000038FC" w:rsidP="00326F3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rPr>
      </w:pPr>
    </w:p>
    <w:p w14:paraId="7B24F038" w14:textId="3A337CCA" w:rsidR="00785BFC" w:rsidRPr="00326F31" w:rsidRDefault="00785BFC" w:rsidP="00326F3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rPr>
      </w:pPr>
      <w:r w:rsidRPr="00326F31">
        <w:rPr>
          <w:rFonts w:asciiTheme="majorHAnsi" w:hAnsiTheme="majorHAnsi" w:cs="Arial"/>
          <w:sz w:val="20"/>
          <w:szCs w:val="20"/>
        </w:rPr>
        <w:t>The petitioners asserted that the written dismissal notification did not state the reason for the action.</w:t>
      </w:r>
      <w:r w:rsidR="005E6C10">
        <w:rPr>
          <w:rFonts w:asciiTheme="majorHAnsi" w:hAnsiTheme="majorHAnsi" w:cs="Arial"/>
          <w:sz w:val="20"/>
          <w:szCs w:val="20"/>
        </w:rPr>
        <w:t xml:space="preserve"> </w:t>
      </w:r>
      <w:r w:rsidRPr="00326F31">
        <w:rPr>
          <w:rFonts w:asciiTheme="majorHAnsi" w:hAnsiTheme="majorHAnsi" w:cs="Arial"/>
          <w:sz w:val="20"/>
          <w:szCs w:val="20"/>
        </w:rPr>
        <w:t>They claimed, however, that at the time they were served the written notice, the Executive Secretary of the institution orally informed the alleged victims, separately, that their dismissals were the consequence of signing the petition for the recall of the term of office of the President of the Republic.</w:t>
      </w:r>
      <w:r w:rsidR="005E6C10">
        <w:rPr>
          <w:rFonts w:asciiTheme="majorHAnsi" w:hAnsiTheme="majorHAnsi" w:cs="Arial"/>
          <w:sz w:val="20"/>
          <w:szCs w:val="20"/>
        </w:rPr>
        <w:t xml:space="preserve"> </w:t>
      </w:r>
      <w:r w:rsidRPr="00326F31">
        <w:rPr>
          <w:rFonts w:asciiTheme="majorHAnsi" w:hAnsiTheme="majorHAnsi" w:cs="Arial"/>
          <w:sz w:val="20"/>
          <w:szCs w:val="20"/>
        </w:rPr>
        <w:t>The petitioners alleged that the offer was made to Mrs. Thais Coromoto Peña that the measure would be vacated in exchange for disavowing her signature on the day of challenge called by the National Electoral Council.</w:t>
      </w:r>
      <w:r w:rsidR="005E6C10">
        <w:rPr>
          <w:rFonts w:asciiTheme="majorHAnsi" w:hAnsiTheme="majorHAnsi" w:cs="Arial"/>
          <w:sz w:val="20"/>
          <w:szCs w:val="20"/>
        </w:rPr>
        <w:t xml:space="preserve"> </w:t>
      </w:r>
      <w:r w:rsidRPr="00326F31">
        <w:rPr>
          <w:rFonts w:asciiTheme="majorHAnsi" w:hAnsiTheme="majorHAnsi" w:cs="Arial"/>
          <w:sz w:val="20"/>
          <w:szCs w:val="20"/>
        </w:rPr>
        <w:t xml:space="preserve">They also contended that the dismissal of Mr. Guerra Navarro did not actually occur because he accepted the pledge to not validate his signature before the election authorities. </w:t>
      </w:r>
    </w:p>
    <w:p w14:paraId="0F1B12F2" w14:textId="77777777" w:rsidR="00911364" w:rsidRPr="00326F31" w:rsidRDefault="00911364" w:rsidP="00326F31">
      <w:pPr>
        <w:pStyle w:val="ListParagraph"/>
        <w:jc w:val="both"/>
        <w:rPr>
          <w:rFonts w:asciiTheme="majorHAnsi" w:hAnsiTheme="majorHAnsi" w:cs="Arial"/>
          <w:sz w:val="20"/>
          <w:szCs w:val="20"/>
        </w:rPr>
      </w:pPr>
    </w:p>
    <w:p w14:paraId="3856B83C" w14:textId="7EA8FC75" w:rsidR="00632217" w:rsidRPr="00326F31" w:rsidRDefault="00632217" w:rsidP="00326F3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rPr>
      </w:pPr>
      <w:r w:rsidRPr="00326F31">
        <w:rPr>
          <w:rFonts w:asciiTheme="majorHAnsi" w:hAnsiTheme="majorHAnsi" w:cs="Arial"/>
          <w:sz w:val="20"/>
          <w:szCs w:val="20"/>
        </w:rPr>
        <w:t>The petitioners alleged that on April 20, 2004, the Chairman of the CNE announced that more than one million signatures would undergo the process of challenge, noting that during the “day of challenge,” in addition to the validation of signatures, the signatures of any of the signers of the petition, who may have changed their minds, could be retracted.</w:t>
      </w:r>
      <w:r w:rsidR="005E6C10">
        <w:rPr>
          <w:rFonts w:asciiTheme="majorHAnsi" w:hAnsiTheme="majorHAnsi" w:cs="Arial"/>
          <w:sz w:val="20"/>
          <w:szCs w:val="20"/>
        </w:rPr>
        <w:t xml:space="preserve"> </w:t>
      </w:r>
      <w:r w:rsidR="00911364" w:rsidRPr="00326F31">
        <w:rPr>
          <w:rFonts w:asciiTheme="majorHAnsi" w:hAnsiTheme="majorHAnsi" w:cs="Arial"/>
          <w:sz w:val="20"/>
          <w:szCs w:val="20"/>
        </w:rPr>
        <w:t xml:space="preserve">They indicated that </w:t>
      </w:r>
      <w:r w:rsidR="000C326B">
        <w:rPr>
          <w:rFonts w:asciiTheme="majorHAnsi" w:hAnsiTheme="majorHAnsi" w:cs="Arial"/>
          <w:sz w:val="20"/>
          <w:szCs w:val="20"/>
        </w:rPr>
        <w:t xml:space="preserve">the </w:t>
      </w:r>
      <w:r w:rsidR="00911364" w:rsidRPr="00326F31">
        <w:rPr>
          <w:rFonts w:asciiTheme="majorHAnsi" w:hAnsiTheme="majorHAnsi" w:cs="Arial"/>
          <w:sz w:val="20"/>
          <w:szCs w:val="20"/>
        </w:rPr>
        <w:t>abovementioned</w:t>
      </w:r>
      <w:r w:rsidRPr="00326F31">
        <w:rPr>
          <w:rFonts w:asciiTheme="majorHAnsi" w:hAnsiTheme="majorHAnsi" w:cs="Arial"/>
          <w:sz w:val="20"/>
          <w:szCs w:val="20"/>
        </w:rPr>
        <w:t xml:space="preserve"> day of challenge was convened by the CNE and was held on June 27, 2004.</w:t>
      </w:r>
      <w:r w:rsidR="005E6C10">
        <w:rPr>
          <w:rFonts w:asciiTheme="majorHAnsi" w:hAnsiTheme="majorHAnsi" w:cs="Arial"/>
          <w:sz w:val="20"/>
          <w:szCs w:val="20"/>
        </w:rPr>
        <w:t xml:space="preserve"> </w:t>
      </w:r>
      <w:r w:rsidRPr="00326F31">
        <w:rPr>
          <w:rFonts w:asciiTheme="majorHAnsi" w:hAnsiTheme="majorHAnsi" w:cs="Arial"/>
          <w:sz w:val="20"/>
          <w:szCs w:val="20"/>
        </w:rPr>
        <w:t xml:space="preserve">The petitioners noted that Rocío San Miguel, whose signature had been challenged, validated </w:t>
      </w:r>
      <w:r w:rsidR="00911364" w:rsidRPr="00326F31">
        <w:rPr>
          <w:rFonts w:asciiTheme="majorHAnsi" w:hAnsiTheme="majorHAnsi" w:cs="Arial"/>
          <w:sz w:val="20"/>
          <w:szCs w:val="20"/>
        </w:rPr>
        <w:t>her signature on that occasion.</w:t>
      </w:r>
      <w:r w:rsidRPr="00326F31">
        <w:rPr>
          <w:rFonts w:asciiTheme="majorHAnsi" w:hAnsiTheme="majorHAnsi" w:cs="Arial"/>
          <w:sz w:val="20"/>
          <w:szCs w:val="20"/>
        </w:rPr>
        <w:t xml:space="preserve"> They added that the actual presidential term recall referendum was held on August 15, 2004, as </w:t>
      </w:r>
      <w:r w:rsidR="00911364" w:rsidRPr="00326F31">
        <w:rPr>
          <w:rFonts w:asciiTheme="majorHAnsi" w:hAnsiTheme="majorHAnsi" w:cs="Arial"/>
          <w:sz w:val="20"/>
          <w:szCs w:val="20"/>
        </w:rPr>
        <w:t>convened</w:t>
      </w:r>
      <w:r w:rsidRPr="00326F31">
        <w:rPr>
          <w:rFonts w:asciiTheme="majorHAnsi" w:hAnsiTheme="majorHAnsi" w:cs="Arial"/>
          <w:sz w:val="20"/>
          <w:szCs w:val="20"/>
        </w:rPr>
        <w:t xml:space="preserve"> by the CNE, and that </w:t>
      </w:r>
      <w:r w:rsidRPr="00326F31">
        <w:rPr>
          <w:rFonts w:asciiTheme="majorHAnsi" w:hAnsiTheme="majorHAnsi"/>
          <w:sz w:val="20"/>
          <w:szCs w:val="20"/>
        </w:rPr>
        <w:t>Rocío San Miguel Sosa, Magally Chang Girón and Thais Coromoto Peña participated in it.</w:t>
      </w:r>
    </w:p>
    <w:p w14:paraId="1B9D8E6D" w14:textId="77777777" w:rsidR="00632217" w:rsidRPr="00326F31" w:rsidRDefault="00632217" w:rsidP="00326F3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rPr>
      </w:pPr>
    </w:p>
    <w:p w14:paraId="16D1D1C9" w14:textId="6E6DE462" w:rsidR="007D0764" w:rsidRPr="00326F31" w:rsidRDefault="007D0764" w:rsidP="00326F3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rPr>
      </w:pPr>
      <w:r w:rsidRPr="00326F31">
        <w:rPr>
          <w:rFonts w:asciiTheme="majorHAnsi" w:hAnsiTheme="majorHAnsi" w:cs="Arial"/>
          <w:sz w:val="20"/>
          <w:szCs w:val="20"/>
        </w:rPr>
        <w:t>The petitioners alleged that the referendum was followed by retaliation of those who signed and that, particularly, “at the end of 2004, Mrs. Rocío San Miguel was also expelled from the Advanced Air Force Academy and the Advanced Naval War School, where she had been serving as a professor.”</w:t>
      </w:r>
      <w:r w:rsidR="005E6C10">
        <w:rPr>
          <w:rFonts w:asciiTheme="majorHAnsi" w:hAnsiTheme="majorHAnsi" w:cs="Arial"/>
          <w:sz w:val="20"/>
          <w:szCs w:val="20"/>
        </w:rPr>
        <w:t xml:space="preserve"> </w:t>
      </w:r>
      <w:r w:rsidRPr="00326F31">
        <w:rPr>
          <w:rFonts w:asciiTheme="majorHAnsi" w:hAnsiTheme="majorHAnsi" w:cs="Arial"/>
          <w:sz w:val="20"/>
          <w:szCs w:val="20"/>
        </w:rPr>
        <w:t xml:space="preserve">Furthermore, her husband, an active-duty officer of the </w:t>
      </w:r>
      <w:r w:rsidR="005534FC" w:rsidRPr="00326F31">
        <w:rPr>
          <w:rFonts w:asciiTheme="majorHAnsi" w:hAnsiTheme="majorHAnsi" w:cs="Arial"/>
          <w:sz w:val="20"/>
          <w:szCs w:val="20"/>
        </w:rPr>
        <w:t>National Armed Forces</w:t>
      </w:r>
      <w:r w:rsidRPr="00326F31">
        <w:rPr>
          <w:rFonts w:asciiTheme="majorHAnsi" w:hAnsiTheme="majorHAnsi" w:cs="Arial"/>
          <w:sz w:val="20"/>
          <w:szCs w:val="20"/>
        </w:rPr>
        <w:t xml:space="preserve">, </w:t>
      </w:r>
      <w:r w:rsidR="005534FC" w:rsidRPr="00326F31">
        <w:rPr>
          <w:rFonts w:asciiTheme="majorHAnsi" w:eastAsia="Calibri" w:hAnsiTheme="majorHAnsi"/>
          <w:sz w:val="20"/>
          <w:szCs w:val="20"/>
        </w:rPr>
        <w:t xml:space="preserve">with the rank of " Aviation Colonel” </w:t>
      </w:r>
      <w:r w:rsidRPr="00326F31">
        <w:rPr>
          <w:rFonts w:asciiTheme="majorHAnsi" w:hAnsiTheme="majorHAnsi" w:cs="Arial"/>
          <w:sz w:val="20"/>
          <w:szCs w:val="20"/>
        </w:rPr>
        <w:t>had not been assigned to any position in</w:t>
      </w:r>
      <w:r w:rsidR="00257466" w:rsidRPr="00326F31">
        <w:rPr>
          <w:rFonts w:asciiTheme="majorHAnsi" w:hAnsiTheme="majorHAnsi" w:cs="Arial"/>
          <w:sz w:val="20"/>
          <w:szCs w:val="20"/>
        </w:rPr>
        <w:t xml:space="preserve"> the</w:t>
      </w:r>
      <w:r w:rsidR="00257466" w:rsidRPr="00326F31">
        <w:rPr>
          <w:rFonts w:asciiTheme="majorHAnsi" w:hAnsiTheme="majorHAnsi"/>
          <w:sz w:val="20"/>
          <w:szCs w:val="20"/>
        </w:rPr>
        <w:t xml:space="preserve"> </w:t>
      </w:r>
      <w:r w:rsidR="00257466" w:rsidRPr="00326F31">
        <w:rPr>
          <w:rFonts w:asciiTheme="majorHAnsi" w:hAnsiTheme="majorHAnsi" w:cs="Arial"/>
          <w:sz w:val="20"/>
          <w:szCs w:val="20"/>
        </w:rPr>
        <w:t>Military Aviation</w:t>
      </w:r>
      <w:r w:rsidRPr="00326F31">
        <w:rPr>
          <w:rFonts w:asciiTheme="majorHAnsi" w:hAnsiTheme="majorHAnsi" w:cs="Arial"/>
          <w:sz w:val="20"/>
          <w:szCs w:val="20"/>
        </w:rPr>
        <w:t xml:space="preserve"> unit since August 18, 2004 as of the d</w:t>
      </w:r>
      <w:r w:rsidR="00257466" w:rsidRPr="00326F31">
        <w:rPr>
          <w:rFonts w:asciiTheme="majorHAnsi" w:hAnsiTheme="majorHAnsi" w:cs="Arial"/>
          <w:sz w:val="20"/>
          <w:szCs w:val="20"/>
        </w:rPr>
        <w:t>ate of submission of the initial</w:t>
      </w:r>
      <w:r w:rsidRPr="00326F31">
        <w:rPr>
          <w:rFonts w:asciiTheme="majorHAnsi" w:hAnsiTheme="majorHAnsi" w:cs="Arial"/>
          <w:sz w:val="20"/>
          <w:szCs w:val="20"/>
        </w:rPr>
        <w:t xml:space="preserve"> claim by the petitioners.</w:t>
      </w:r>
      <w:r w:rsidR="005E6C10">
        <w:rPr>
          <w:rFonts w:asciiTheme="majorHAnsi" w:hAnsiTheme="majorHAnsi" w:cs="Arial"/>
          <w:sz w:val="20"/>
          <w:szCs w:val="20"/>
        </w:rPr>
        <w:t xml:space="preserve"> </w:t>
      </w:r>
    </w:p>
    <w:p w14:paraId="55D3F354" w14:textId="77777777" w:rsidR="00424452" w:rsidRPr="00326F31" w:rsidRDefault="00424452" w:rsidP="00326F3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rPr>
      </w:pPr>
    </w:p>
    <w:p w14:paraId="083AA3F4" w14:textId="0AE02A4F" w:rsidR="00257466" w:rsidRPr="00326F31" w:rsidRDefault="00257466" w:rsidP="00326F3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rPr>
      </w:pPr>
      <w:r w:rsidRPr="00326F31">
        <w:rPr>
          <w:rFonts w:asciiTheme="majorHAnsi" w:hAnsiTheme="majorHAnsi" w:cs="Arial"/>
          <w:sz w:val="20"/>
          <w:szCs w:val="20"/>
        </w:rPr>
        <w:t>The petitioners asserted that on April 15, 2005, then President of the Republic, Hugo Chávez Frías, publically ordered Congressman Luis Tascón’s list to be “buried.”</w:t>
      </w:r>
      <w:r w:rsidR="005E6C10">
        <w:rPr>
          <w:rFonts w:asciiTheme="majorHAnsi" w:hAnsiTheme="majorHAnsi" w:cs="Arial"/>
          <w:sz w:val="20"/>
          <w:szCs w:val="20"/>
        </w:rPr>
        <w:t xml:space="preserve"> </w:t>
      </w:r>
      <w:r w:rsidRPr="00326F31">
        <w:rPr>
          <w:rFonts w:asciiTheme="majorHAnsi" w:hAnsiTheme="majorHAnsi" w:cs="Arial"/>
          <w:sz w:val="20"/>
          <w:szCs w:val="20"/>
        </w:rPr>
        <w:t xml:space="preserve">They further noted that on April 26, 2005, the Attorney General of the Republic commissioned Prosecuting Attorney </w:t>
      </w:r>
      <w:r w:rsidR="00165F1E" w:rsidRPr="00326F31">
        <w:rPr>
          <w:rFonts w:asciiTheme="majorHAnsi" w:hAnsiTheme="majorHAnsi" w:cs="Arial"/>
          <w:sz w:val="20"/>
          <w:szCs w:val="20"/>
        </w:rPr>
        <w:t>Number</w:t>
      </w:r>
      <w:r w:rsidRPr="00326F31">
        <w:rPr>
          <w:rFonts w:asciiTheme="majorHAnsi" w:hAnsiTheme="majorHAnsi" w:cs="Arial"/>
          <w:sz w:val="20"/>
          <w:szCs w:val="20"/>
        </w:rPr>
        <w:t xml:space="preserve"> 49 of the Metropolitan Area of Caracas to investigate the complaints of political discrimination; nonetheless, the alleged victims were never called by said prosecutor, even though a complaint had</w:t>
      </w:r>
      <w:r w:rsidR="00165F1E">
        <w:rPr>
          <w:rFonts w:asciiTheme="majorHAnsi" w:hAnsiTheme="majorHAnsi" w:cs="Arial"/>
          <w:sz w:val="20"/>
          <w:szCs w:val="20"/>
        </w:rPr>
        <w:t xml:space="preserve"> been filed by them since May 2004.</w:t>
      </w:r>
      <w:r w:rsidR="005E6C10">
        <w:rPr>
          <w:rFonts w:asciiTheme="majorHAnsi" w:hAnsiTheme="majorHAnsi" w:cs="Arial"/>
          <w:sz w:val="20"/>
          <w:szCs w:val="20"/>
        </w:rPr>
        <w:t xml:space="preserve"> </w:t>
      </w:r>
    </w:p>
    <w:p w14:paraId="66895B8E" w14:textId="77777777" w:rsidR="00424452" w:rsidRPr="00326F31" w:rsidRDefault="00424452" w:rsidP="00326F3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rPr>
      </w:pPr>
    </w:p>
    <w:p w14:paraId="16820D3B" w14:textId="20EF54CE" w:rsidR="00257466" w:rsidRPr="00326F31" w:rsidRDefault="00257466" w:rsidP="00326F3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rPr>
      </w:pPr>
      <w:r w:rsidRPr="00326F31">
        <w:rPr>
          <w:rFonts w:asciiTheme="majorHAnsi" w:hAnsiTheme="majorHAnsi" w:cs="Arial"/>
          <w:sz w:val="20"/>
          <w:szCs w:val="20"/>
        </w:rPr>
        <w:t xml:space="preserve">The petitioners asserted that on August 24, 2005, the Association for the Defense of the Signers of the Petition reported that there was a “second Tascón List” called the “Maisanta List” or “Maisanta Program,” which had been copied onto a compact disc and distributed throughout the different agencies of </w:t>
      </w:r>
      <w:r w:rsidRPr="00326F31">
        <w:rPr>
          <w:rFonts w:asciiTheme="majorHAnsi" w:eastAsia="Calibri" w:hAnsiTheme="majorHAnsi"/>
          <w:sz w:val="20"/>
          <w:szCs w:val="20"/>
        </w:rPr>
        <w:t>the Public Administration</w:t>
      </w:r>
      <w:r w:rsidRPr="00326F31">
        <w:rPr>
          <w:rFonts w:asciiTheme="majorHAnsi" w:hAnsiTheme="majorHAnsi" w:cs="Arial"/>
          <w:sz w:val="20"/>
          <w:szCs w:val="20"/>
        </w:rPr>
        <w:t xml:space="preserve"> for discriminatory purposes. </w:t>
      </w:r>
    </w:p>
    <w:p w14:paraId="58A06F2E" w14:textId="77777777" w:rsidR="00257466" w:rsidRPr="00326F31" w:rsidRDefault="00257466" w:rsidP="00326F31">
      <w:pPr>
        <w:pStyle w:val="ListParagraph"/>
        <w:jc w:val="both"/>
        <w:rPr>
          <w:rFonts w:asciiTheme="majorHAnsi" w:eastAsia="Calibri" w:hAnsiTheme="majorHAnsi"/>
          <w:sz w:val="20"/>
          <w:szCs w:val="20"/>
        </w:rPr>
      </w:pPr>
    </w:p>
    <w:p w14:paraId="75C408E0" w14:textId="391122AB" w:rsidR="00257466" w:rsidRPr="00326F31" w:rsidRDefault="00257466" w:rsidP="00326F3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rPr>
      </w:pPr>
      <w:r w:rsidRPr="00326F31">
        <w:rPr>
          <w:rFonts w:asciiTheme="majorHAnsi" w:eastAsia="Calibri" w:hAnsiTheme="majorHAnsi"/>
          <w:sz w:val="20"/>
          <w:szCs w:val="20"/>
        </w:rPr>
        <w:t xml:space="preserve">As to the procedures followed by the alleged victims under the domestic legal system, the petitioners noted that on May 27, 2004, </w:t>
      </w:r>
      <w:proofErr w:type="spellStart"/>
      <w:r w:rsidRPr="00326F31">
        <w:rPr>
          <w:rFonts w:asciiTheme="majorHAnsi" w:eastAsia="Calibri" w:hAnsiTheme="majorHAnsi"/>
          <w:sz w:val="20"/>
          <w:szCs w:val="20"/>
        </w:rPr>
        <w:t>Rocío</w:t>
      </w:r>
      <w:proofErr w:type="spellEnd"/>
      <w:r w:rsidRPr="00326F31">
        <w:rPr>
          <w:rFonts w:asciiTheme="majorHAnsi" w:eastAsia="Calibri" w:hAnsiTheme="majorHAnsi"/>
          <w:sz w:val="20"/>
          <w:szCs w:val="20"/>
        </w:rPr>
        <w:t xml:space="preserve"> San Miguel Sosa, Magally Chang Girón and Thais Coromoto Peña filed charges with the Attorney General of the Republic of Venezuela regarding the facts that are the subject of </w:t>
      </w:r>
      <w:r w:rsidRPr="00326F31">
        <w:rPr>
          <w:rFonts w:asciiTheme="majorHAnsi" w:eastAsia="Calibri" w:hAnsiTheme="majorHAnsi"/>
          <w:sz w:val="20"/>
          <w:szCs w:val="20"/>
        </w:rPr>
        <w:lastRenderedPageBreak/>
        <w:t>the initial petition.</w:t>
      </w:r>
      <w:r w:rsidR="005E6C10">
        <w:rPr>
          <w:rFonts w:asciiTheme="majorHAnsi" w:eastAsia="Calibri" w:hAnsiTheme="majorHAnsi"/>
          <w:sz w:val="20"/>
          <w:szCs w:val="20"/>
        </w:rPr>
        <w:t xml:space="preserve"> </w:t>
      </w:r>
      <w:r w:rsidRPr="00326F31">
        <w:rPr>
          <w:rFonts w:asciiTheme="majorHAnsi" w:eastAsia="Calibri" w:hAnsiTheme="majorHAnsi"/>
          <w:sz w:val="20"/>
          <w:szCs w:val="20"/>
        </w:rPr>
        <w:t xml:space="preserve">They noted that on April 4, 2005, Control Court 21 of the Criminal Judicial Circuit of the Metropolitan Area of Caracas gave its judgement dismissing the charges on the grounds that the facts stated in the complaint were not criminal offenses under the law, adding that on May 12, 2005, the appellate court upheld the dismissal of the case. The petitioners indicated that the </w:t>
      </w:r>
      <w:r w:rsidR="00AA552C">
        <w:rPr>
          <w:rFonts w:asciiTheme="majorHAnsi" w:eastAsia="Calibri" w:hAnsiTheme="majorHAnsi"/>
          <w:sz w:val="20"/>
          <w:szCs w:val="20"/>
        </w:rPr>
        <w:t>appeal remedy (</w:t>
      </w:r>
      <w:r w:rsidR="00871501">
        <w:rPr>
          <w:rFonts w:asciiTheme="majorHAnsi" w:eastAsia="Calibri" w:hAnsiTheme="majorHAnsi"/>
          <w:sz w:val="20"/>
          <w:szCs w:val="20"/>
        </w:rPr>
        <w:t>cas</w:t>
      </w:r>
      <w:r w:rsidR="00AA552C">
        <w:rPr>
          <w:rFonts w:asciiTheme="majorHAnsi" w:eastAsia="Calibri" w:hAnsiTheme="majorHAnsi"/>
          <w:sz w:val="20"/>
          <w:szCs w:val="20"/>
        </w:rPr>
        <w:t>ación)</w:t>
      </w:r>
      <w:r w:rsidR="00871501">
        <w:rPr>
          <w:rFonts w:asciiTheme="majorHAnsi" w:eastAsia="Calibri" w:hAnsiTheme="majorHAnsi"/>
          <w:sz w:val="20"/>
          <w:szCs w:val="20"/>
        </w:rPr>
        <w:t xml:space="preserve"> </w:t>
      </w:r>
      <w:r w:rsidR="00706840" w:rsidRPr="00326F31">
        <w:rPr>
          <w:rFonts w:asciiTheme="majorHAnsi" w:eastAsia="Calibri" w:hAnsiTheme="majorHAnsi"/>
          <w:sz w:val="20"/>
          <w:szCs w:val="20"/>
        </w:rPr>
        <w:t>was also dismissed.</w:t>
      </w:r>
    </w:p>
    <w:p w14:paraId="793FF020" w14:textId="77777777" w:rsidR="00257466" w:rsidRPr="00326F31" w:rsidRDefault="00257466" w:rsidP="00326F31">
      <w:pPr>
        <w:pStyle w:val="ListParagraph"/>
        <w:jc w:val="both"/>
        <w:rPr>
          <w:rFonts w:asciiTheme="majorHAnsi" w:hAnsiTheme="majorHAnsi" w:cs="Arial"/>
          <w:sz w:val="20"/>
          <w:szCs w:val="20"/>
        </w:rPr>
      </w:pPr>
    </w:p>
    <w:p w14:paraId="3A3CF14E" w14:textId="71D2A3AE" w:rsidR="00257466" w:rsidRPr="00326F31" w:rsidRDefault="00257466" w:rsidP="00326F3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rPr>
      </w:pPr>
      <w:r w:rsidRPr="00326F31">
        <w:rPr>
          <w:rFonts w:asciiTheme="majorHAnsi" w:hAnsiTheme="majorHAnsi" w:cs="Arial"/>
          <w:sz w:val="20"/>
          <w:szCs w:val="20"/>
        </w:rPr>
        <w:t>The petitioners also argued that the alleged victims reported the incidents on May 27, 2004, to the Office of the People’s Ombudsman.</w:t>
      </w:r>
      <w:r w:rsidR="005E6C10">
        <w:rPr>
          <w:rFonts w:asciiTheme="majorHAnsi" w:hAnsiTheme="majorHAnsi" w:cs="Arial"/>
          <w:sz w:val="20"/>
          <w:szCs w:val="20"/>
        </w:rPr>
        <w:t xml:space="preserve"> </w:t>
      </w:r>
      <w:r w:rsidRPr="00326F31">
        <w:rPr>
          <w:rFonts w:asciiTheme="majorHAnsi" w:hAnsiTheme="majorHAnsi" w:cs="Arial"/>
          <w:sz w:val="20"/>
          <w:szCs w:val="20"/>
        </w:rPr>
        <w:t>According to the account of the petitioners, the complaint was lost by this Office and after resubmitting the documents, this office officially opened a case on June 29, 2004.</w:t>
      </w:r>
      <w:r w:rsidR="005E6C10">
        <w:rPr>
          <w:rFonts w:asciiTheme="majorHAnsi" w:hAnsiTheme="majorHAnsi" w:cs="Arial"/>
          <w:sz w:val="20"/>
          <w:szCs w:val="20"/>
        </w:rPr>
        <w:t xml:space="preserve"> </w:t>
      </w:r>
      <w:r w:rsidRPr="00326F31">
        <w:rPr>
          <w:rFonts w:asciiTheme="majorHAnsi" w:hAnsiTheme="majorHAnsi" w:cs="Arial"/>
          <w:sz w:val="20"/>
          <w:szCs w:val="20"/>
        </w:rPr>
        <w:t>On August 7, that same year, the O</w:t>
      </w:r>
      <w:r w:rsidR="00871501">
        <w:rPr>
          <w:rFonts w:asciiTheme="majorHAnsi" w:hAnsiTheme="majorHAnsi" w:cs="Arial"/>
          <w:sz w:val="20"/>
          <w:szCs w:val="20"/>
        </w:rPr>
        <w:t>ffice of the People’s Ombudsman</w:t>
      </w:r>
      <w:r w:rsidR="00A955FA">
        <w:rPr>
          <w:rFonts w:asciiTheme="majorHAnsi" w:hAnsiTheme="majorHAnsi" w:cs="Arial"/>
          <w:sz w:val="20"/>
          <w:szCs w:val="20"/>
        </w:rPr>
        <w:t xml:space="preserve"> </w:t>
      </w:r>
      <w:r w:rsidRPr="00326F31">
        <w:rPr>
          <w:rFonts w:asciiTheme="majorHAnsi" w:hAnsiTheme="majorHAnsi" w:cs="Arial"/>
          <w:sz w:val="20"/>
          <w:szCs w:val="20"/>
        </w:rPr>
        <w:t xml:space="preserve">archived the case file. </w:t>
      </w:r>
    </w:p>
    <w:p w14:paraId="1876485F" w14:textId="77777777" w:rsidR="00257466" w:rsidRPr="00326F31" w:rsidRDefault="00257466" w:rsidP="00326F3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rPr>
      </w:pPr>
    </w:p>
    <w:p w14:paraId="4DC80305" w14:textId="0E8F9A62" w:rsidR="00257466" w:rsidRPr="00326F31" w:rsidRDefault="00257466" w:rsidP="00326F3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rPr>
      </w:pPr>
      <w:r w:rsidRPr="00326F31">
        <w:rPr>
          <w:rFonts w:asciiTheme="majorHAnsi" w:hAnsiTheme="majorHAnsi"/>
          <w:sz w:val="20"/>
          <w:szCs w:val="20"/>
        </w:rPr>
        <w:t xml:space="preserve">Additionally, the petitioners noted that on July 22, 2004, the alleged victims filed an appeal for constitutional relief through an </w:t>
      </w:r>
      <w:r w:rsidRPr="00326F31">
        <w:rPr>
          <w:rFonts w:asciiTheme="majorHAnsi" w:hAnsiTheme="majorHAnsi"/>
          <w:i/>
          <w:sz w:val="20"/>
          <w:szCs w:val="20"/>
        </w:rPr>
        <w:t xml:space="preserve">amparo </w:t>
      </w:r>
      <w:r w:rsidRPr="00326F31">
        <w:rPr>
          <w:rFonts w:asciiTheme="majorHAnsi" w:hAnsiTheme="majorHAnsi"/>
          <w:sz w:val="20"/>
          <w:szCs w:val="20"/>
        </w:rPr>
        <w:t>proceeding with the Fourth Trial Court for Labor Matters of the Metropolitan Area of Caracas; said appeal was found to be groundless on the merits on July 27, 2005.</w:t>
      </w:r>
      <w:r w:rsidR="005E6C10">
        <w:rPr>
          <w:rFonts w:asciiTheme="majorHAnsi" w:hAnsiTheme="majorHAnsi"/>
          <w:sz w:val="20"/>
          <w:szCs w:val="20"/>
        </w:rPr>
        <w:t xml:space="preserve"> </w:t>
      </w:r>
      <w:r w:rsidRPr="00326F31">
        <w:rPr>
          <w:rFonts w:asciiTheme="majorHAnsi" w:hAnsiTheme="majorHAnsi"/>
          <w:sz w:val="20"/>
          <w:szCs w:val="20"/>
        </w:rPr>
        <w:t>This trial court judgment was upheld on September 9, 2005, by the Third Superior Court for Labor Matters of the Labor Circuit Court of the Judicial District of the Metropolitan Area of Caracas.</w:t>
      </w:r>
      <w:r w:rsidR="005E6C10">
        <w:rPr>
          <w:rFonts w:asciiTheme="majorHAnsi" w:hAnsiTheme="majorHAnsi"/>
          <w:sz w:val="20"/>
          <w:szCs w:val="20"/>
        </w:rPr>
        <w:t xml:space="preserve"> </w:t>
      </w:r>
    </w:p>
    <w:p w14:paraId="242C139F" w14:textId="77777777" w:rsidR="00E10F7B" w:rsidRPr="00326F31" w:rsidRDefault="00E10F7B" w:rsidP="00326F31">
      <w:pPr>
        <w:pStyle w:val="ListParagraph"/>
        <w:jc w:val="both"/>
        <w:rPr>
          <w:rFonts w:asciiTheme="majorHAnsi" w:eastAsia="Calibri" w:hAnsiTheme="majorHAnsi"/>
          <w:sz w:val="20"/>
          <w:szCs w:val="20"/>
        </w:rPr>
      </w:pPr>
    </w:p>
    <w:p w14:paraId="1581B7E0" w14:textId="62A0C436" w:rsidR="00E10F7B" w:rsidRPr="00326F31" w:rsidRDefault="00E10F7B" w:rsidP="00326F3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rPr>
      </w:pPr>
      <w:r w:rsidRPr="00326F31">
        <w:rPr>
          <w:rFonts w:asciiTheme="majorHAnsi" w:eastAsia="Calibri" w:hAnsiTheme="majorHAnsi"/>
          <w:sz w:val="20"/>
          <w:szCs w:val="20"/>
        </w:rPr>
        <w:t xml:space="preserve">As for the </w:t>
      </w:r>
      <w:r w:rsidR="00706840" w:rsidRPr="00326F31">
        <w:rPr>
          <w:rFonts w:asciiTheme="majorHAnsi" w:eastAsia="Calibri" w:hAnsiTheme="majorHAnsi"/>
          <w:sz w:val="20"/>
          <w:szCs w:val="20"/>
        </w:rPr>
        <w:t>merits</w:t>
      </w:r>
      <w:r w:rsidRPr="00326F31">
        <w:rPr>
          <w:rFonts w:asciiTheme="majorHAnsi" w:eastAsia="Calibri" w:hAnsiTheme="majorHAnsi"/>
          <w:sz w:val="20"/>
          <w:szCs w:val="20"/>
        </w:rPr>
        <w:t xml:space="preserve"> issues raised by the State during the admissibility stage, the petitioners indicated that while Venezuela claims that the Tasc</w:t>
      </w:r>
      <w:r w:rsidR="00A84A6C" w:rsidRPr="00326F31">
        <w:rPr>
          <w:rFonts w:asciiTheme="majorHAnsi" w:eastAsia="Calibri" w:hAnsiTheme="majorHAnsi"/>
          <w:sz w:val="20"/>
          <w:szCs w:val="20"/>
        </w:rPr>
        <w:t>ó</w:t>
      </w:r>
      <w:r w:rsidRPr="00326F31">
        <w:rPr>
          <w:rFonts w:asciiTheme="majorHAnsi" w:eastAsia="Calibri" w:hAnsiTheme="majorHAnsi"/>
          <w:sz w:val="20"/>
          <w:szCs w:val="20"/>
        </w:rPr>
        <w:t>n list was a citizen tool to verify the legality of the signatures for the recall referendum, since 17 October 2003, then-President Hugo Chavez threatened to take political reprisals against the signatories in a televised public event.</w:t>
      </w:r>
    </w:p>
    <w:p w14:paraId="38FEF148" w14:textId="77777777" w:rsidR="00E10F7B" w:rsidRPr="00326F31" w:rsidRDefault="00E10F7B" w:rsidP="00F5380C">
      <w:pPr>
        <w:jc w:val="both"/>
        <w:rPr>
          <w:rFonts w:asciiTheme="majorHAnsi" w:eastAsia="Calibri" w:hAnsiTheme="majorHAnsi"/>
          <w:sz w:val="20"/>
          <w:szCs w:val="20"/>
        </w:rPr>
      </w:pPr>
    </w:p>
    <w:p w14:paraId="087A283E" w14:textId="54941C93" w:rsidR="007155B6" w:rsidRPr="00F5380C" w:rsidRDefault="00E10F7B" w:rsidP="00F5380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rPr>
      </w:pPr>
      <w:r w:rsidRPr="00326F31">
        <w:rPr>
          <w:rFonts w:asciiTheme="majorHAnsi" w:eastAsia="Calibri" w:hAnsiTheme="majorHAnsi"/>
          <w:sz w:val="20"/>
          <w:szCs w:val="20"/>
        </w:rPr>
        <w:t xml:space="preserve">As for the argument </w:t>
      </w:r>
      <w:r w:rsidR="00F5380C">
        <w:rPr>
          <w:rFonts w:asciiTheme="majorHAnsi" w:eastAsia="Calibri" w:hAnsiTheme="majorHAnsi"/>
          <w:sz w:val="20"/>
          <w:szCs w:val="20"/>
        </w:rPr>
        <w:t xml:space="preserve">according to which a contractual provision allowed for the State to terminate such contracts, </w:t>
      </w:r>
      <w:r w:rsidRPr="00F5380C">
        <w:rPr>
          <w:rFonts w:asciiTheme="majorHAnsi" w:eastAsia="Calibri" w:hAnsiTheme="majorHAnsi"/>
          <w:sz w:val="20"/>
          <w:szCs w:val="20"/>
        </w:rPr>
        <w:t>the petitioners pointed out that this should not be construed as an authorization for arbitrariness or that it absolves the State from invoking legitimate and rational reasons, other than any form of discrimination prohibited by Article 1.1 of the Convention.</w:t>
      </w:r>
      <w:r w:rsidR="007470B2" w:rsidRPr="00F5380C">
        <w:rPr>
          <w:rFonts w:asciiTheme="majorHAnsi" w:eastAsia="Calibri" w:hAnsiTheme="majorHAnsi"/>
          <w:sz w:val="20"/>
          <w:szCs w:val="20"/>
        </w:rPr>
        <w:t xml:space="preserve"> </w:t>
      </w:r>
    </w:p>
    <w:p w14:paraId="0BBA2A3D" w14:textId="77777777" w:rsidR="00E10F7B" w:rsidRPr="00326F31" w:rsidRDefault="00E10F7B" w:rsidP="00326F31">
      <w:pPr>
        <w:jc w:val="both"/>
        <w:rPr>
          <w:rFonts w:asciiTheme="majorHAnsi" w:eastAsia="Calibri" w:hAnsiTheme="majorHAnsi"/>
          <w:sz w:val="20"/>
          <w:szCs w:val="20"/>
        </w:rPr>
      </w:pPr>
    </w:p>
    <w:p w14:paraId="7646ACCA" w14:textId="0E7B2623" w:rsidR="00EE0F71" w:rsidRPr="00326F31" w:rsidRDefault="00E10F7B" w:rsidP="00326F3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rPr>
      </w:pPr>
      <w:r w:rsidRPr="00326F31">
        <w:rPr>
          <w:rFonts w:asciiTheme="majorHAnsi" w:eastAsia="Calibri" w:hAnsiTheme="majorHAnsi"/>
          <w:sz w:val="20"/>
          <w:szCs w:val="20"/>
        </w:rPr>
        <w:t xml:space="preserve">The petitioners argued that given the facts described above, the State violated Articles 5, 8, 13, 16, 23, 24, 25 and 26 of the American Convention, in conjunction with Articles 1 (1), 2 and 29 thereof , to the detriment of Rocío San Miguel Sosa, </w:t>
      </w:r>
      <w:proofErr w:type="spellStart"/>
      <w:r w:rsidRPr="00326F31">
        <w:rPr>
          <w:rFonts w:asciiTheme="majorHAnsi" w:eastAsia="Calibri" w:hAnsiTheme="majorHAnsi"/>
          <w:sz w:val="20"/>
          <w:szCs w:val="20"/>
        </w:rPr>
        <w:t>Magally</w:t>
      </w:r>
      <w:proofErr w:type="spellEnd"/>
      <w:r w:rsidRPr="00326F31">
        <w:rPr>
          <w:rFonts w:asciiTheme="majorHAnsi" w:eastAsia="Calibri" w:hAnsiTheme="majorHAnsi"/>
          <w:sz w:val="20"/>
          <w:szCs w:val="20"/>
        </w:rPr>
        <w:t xml:space="preserve"> Chang </w:t>
      </w:r>
      <w:proofErr w:type="spellStart"/>
      <w:r w:rsidRPr="00326F31">
        <w:rPr>
          <w:rFonts w:asciiTheme="majorHAnsi" w:eastAsia="Calibri" w:hAnsiTheme="majorHAnsi"/>
          <w:sz w:val="20"/>
          <w:szCs w:val="20"/>
        </w:rPr>
        <w:t>Girón</w:t>
      </w:r>
      <w:proofErr w:type="spellEnd"/>
      <w:r w:rsidRPr="00326F31">
        <w:rPr>
          <w:rFonts w:asciiTheme="majorHAnsi" w:eastAsia="Calibri" w:hAnsiTheme="majorHAnsi"/>
          <w:sz w:val="20"/>
          <w:szCs w:val="20"/>
        </w:rPr>
        <w:t xml:space="preserve">, and Thais </w:t>
      </w:r>
      <w:proofErr w:type="spellStart"/>
      <w:r w:rsidRPr="00326F31">
        <w:rPr>
          <w:rFonts w:asciiTheme="majorHAnsi" w:eastAsia="Calibri" w:hAnsiTheme="majorHAnsi"/>
          <w:sz w:val="20"/>
          <w:szCs w:val="20"/>
        </w:rPr>
        <w:t>Coromoto</w:t>
      </w:r>
      <w:proofErr w:type="spellEnd"/>
      <w:r w:rsidRPr="00326F31">
        <w:rPr>
          <w:rFonts w:asciiTheme="majorHAnsi" w:eastAsia="Calibri" w:hAnsiTheme="majorHAnsi"/>
          <w:sz w:val="20"/>
          <w:szCs w:val="20"/>
        </w:rPr>
        <w:t xml:space="preserve"> Peña</w:t>
      </w:r>
      <w:r w:rsidR="00BB7104">
        <w:rPr>
          <w:rFonts w:asciiTheme="majorHAnsi" w:eastAsia="Calibri" w:hAnsiTheme="majorHAnsi"/>
          <w:sz w:val="20"/>
          <w:szCs w:val="20"/>
        </w:rPr>
        <w:t>.</w:t>
      </w:r>
    </w:p>
    <w:p w14:paraId="721AF9C4" w14:textId="77777777" w:rsidR="00003585" w:rsidRPr="00326F31" w:rsidRDefault="00003585" w:rsidP="00326F31">
      <w:pPr>
        <w:jc w:val="both"/>
        <w:rPr>
          <w:rFonts w:asciiTheme="majorHAnsi" w:hAnsiTheme="majorHAnsi"/>
          <w:sz w:val="20"/>
          <w:szCs w:val="20"/>
        </w:rPr>
      </w:pPr>
    </w:p>
    <w:p w14:paraId="160686D5" w14:textId="77777777" w:rsidR="00762237" w:rsidRPr="00326F31" w:rsidRDefault="009D4083" w:rsidP="00326F3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rPr>
      </w:pPr>
      <w:r w:rsidRPr="00326F31">
        <w:rPr>
          <w:rFonts w:asciiTheme="majorHAnsi" w:hAnsiTheme="majorHAnsi"/>
          <w:sz w:val="20"/>
          <w:szCs w:val="20"/>
        </w:rPr>
        <w:t>As to the alleged violation of</w:t>
      </w:r>
      <w:r w:rsidR="00003585" w:rsidRPr="00326F31">
        <w:rPr>
          <w:rFonts w:asciiTheme="majorHAnsi" w:hAnsiTheme="majorHAnsi"/>
          <w:sz w:val="20"/>
          <w:szCs w:val="20"/>
        </w:rPr>
        <w:t xml:space="preserve"> the</w:t>
      </w:r>
      <w:r w:rsidRPr="00326F31">
        <w:rPr>
          <w:rFonts w:asciiTheme="majorHAnsi" w:hAnsiTheme="majorHAnsi"/>
          <w:sz w:val="20"/>
          <w:szCs w:val="20"/>
        </w:rPr>
        <w:t xml:space="preserve"> </w:t>
      </w:r>
      <w:r w:rsidR="00003585" w:rsidRPr="00326F31">
        <w:rPr>
          <w:rFonts w:asciiTheme="majorHAnsi" w:hAnsiTheme="majorHAnsi"/>
          <w:b/>
          <w:sz w:val="20"/>
          <w:szCs w:val="20"/>
        </w:rPr>
        <w:t>right to humane treatment</w:t>
      </w:r>
      <w:r w:rsidRPr="00326F31">
        <w:rPr>
          <w:rFonts w:asciiTheme="majorHAnsi" w:hAnsiTheme="majorHAnsi"/>
          <w:sz w:val="20"/>
          <w:szCs w:val="20"/>
        </w:rPr>
        <w:t xml:space="preserve">, the petitioners assert that the Venezuelan State subjected the alleged victims to cruel, inhuman and degrading treatment, by punishing them for exercising a legitimate right, which deprived them of their livelihood, </w:t>
      </w:r>
      <w:r w:rsidR="00003585" w:rsidRPr="00326F31">
        <w:rPr>
          <w:rFonts w:asciiTheme="majorHAnsi" w:hAnsiTheme="majorHAnsi"/>
          <w:sz w:val="20"/>
          <w:szCs w:val="20"/>
        </w:rPr>
        <w:t xml:space="preserve">and </w:t>
      </w:r>
      <w:r w:rsidRPr="00326F31">
        <w:rPr>
          <w:rFonts w:asciiTheme="majorHAnsi" w:hAnsiTheme="majorHAnsi"/>
          <w:sz w:val="20"/>
          <w:szCs w:val="20"/>
        </w:rPr>
        <w:t xml:space="preserve">stigmatized them in the eyes of the rest of society, </w:t>
      </w:r>
      <w:r w:rsidR="00003585" w:rsidRPr="00326F31">
        <w:rPr>
          <w:rFonts w:asciiTheme="majorHAnsi" w:hAnsiTheme="majorHAnsi"/>
          <w:sz w:val="20"/>
          <w:szCs w:val="20"/>
        </w:rPr>
        <w:t>upsetting</w:t>
      </w:r>
      <w:r w:rsidRPr="00326F31">
        <w:rPr>
          <w:rFonts w:asciiTheme="majorHAnsi" w:hAnsiTheme="majorHAnsi"/>
          <w:sz w:val="20"/>
          <w:szCs w:val="20"/>
        </w:rPr>
        <w:t xml:space="preserve"> their spiritual and family life, leading to </w:t>
      </w:r>
      <w:r w:rsidR="00003585" w:rsidRPr="00326F31">
        <w:rPr>
          <w:rFonts w:asciiTheme="majorHAnsi" w:hAnsiTheme="majorHAnsi"/>
          <w:sz w:val="20"/>
          <w:szCs w:val="20"/>
        </w:rPr>
        <w:t>feelings of frustration, which severely affected</w:t>
      </w:r>
      <w:r w:rsidRPr="00326F31">
        <w:rPr>
          <w:rFonts w:asciiTheme="majorHAnsi" w:hAnsiTheme="majorHAnsi"/>
          <w:sz w:val="20"/>
          <w:szCs w:val="20"/>
        </w:rPr>
        <w:t xml:space="preserve"> their life </w:t>
      </w:r>
      <w:r w:rsidR="00003585" w:rsidRPr="00326F31">
        <w:rPr>
          <w:rFonts w:asciiTheme="majorHAnsi" w:hAnsiTheme="majorHAnsi"/>
          <w:sz w:val="20"/>
          <w:szCs w:val="20"/>
        </w:rPr>
        <w:t>plans.</w:t>
      </w:r>
    </w:p>
    <w:p w14:paraId="2F6B902A" w14:textId="77777777" w:rsidR="00762237" w:rsidRPr="00326F31" w:rsidRDefault="00762237" w:rsidP="00326F31">
      <w:pPr>
        <w:pStyle w:val="ListParagraph"/>
        <w:jc w:val="both"/>
        <w:rPr>
          <w:rFonts w:asciiTheme="majorHAnsi" w:hAnsiTheme="majorHAnsi"/>
          <w:sz w:val="20"/>
          <w:szCs w:val="20"/>
        </w:rPr>
      </w:pPr>
    </w:p>
    <w:p w14:paraId="1795F5F0" w14:textId="7CBD64FE" w:rsidR="00762237" w:rsidRPr="00326F31" w:rsidRDefault="00003585" w:rsidP="00326F3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rPr>
      </w:pPr>
      <w:r w:rsidRPr="00326F31">
        <w:rPr>
          <w:rFonts w:asciiTheme="majorHAnsi" w:hAnsiTheme="majorHAnsi"/>
          <w:sz w:val="20"/>
          <w:szCs w:val="20"/>
        </w:rPr>
        <w:t xml:space="preserve">As to the alleged violation of their </w:t>
      </w:r>
      <w:r w:rsidRPr="00326F31">
        <w:rPr>
          <w:rFonts w:asciiTheme="majorHAnsi" w:hAnsiTheme="majorHAnsi"/>
          <w:b/>
          <w:sz w:val="20"/>
          <w:szCs w:val="20"/>
        </w:rPr>
        <w:t>right to a fair trial</w:t>
      </w:r>
      <w:r w:rsidRPr="00326F31">
        <w:rPr>
          <w:rFonts w:asciiTheme="majorHAnsi" w:hAnsiTheme="majorHAnsi"/>
          <w:sz w:val="20"/>
          <w:szCs w:val="20"/>
        </w:rPr>
        <w:t>, the petitioners contended, first and foremost, that the dismissal of the alleged victims from their positions of employment was an actual administrative sanction for exercising their rights.</w:t>
      </w:r>
      <w:r w:rsidR="005E6C10">
        <w:rPr>
          <w:rFonts w:asciiTheme="majorHAnsi" w:hAnsiTheme="majorHAnsi"/>
          <w:sz w:val="20"/>
          <w:szCs w:val="20"/>
        </w:rPr>
        <w:t xml:space="preserve"> </w:t>
      </w:r>
      <w:r w:rsidRPr="00326F31">
        <w:rPr>
          <w:rFonts w:asciiTheme="majorHAnsi" w:hAnsiTheme="majorHAnsi"/>
          <w:sz w:val="20"/>
          <w:szCs w:val="20"/>
        </w:rPr>
        <w:t>In the view of the petitioners, if the State was charging the alleged victims with having committed an offense, it had the duty to properly serve notice of the charges to them, bring the evidence against them to their atten</w:t>
      </w:r>
      <w:r w:rsidR="00762237" w:rsidRPr="00326F31">
        <w:rPr>
          <w:rFonts w:asciiTheme="majorHAnsi" w:hAnsiTheme="majorHAnsi"/>
          <w:sz w:val="20"/>
          <w:szCs w:val="20"/>
        </w:rPr>
        <w:t xml:space="preserve">tion and to hear their defense. Secondly, the petitioners alleged that both the criminal proceeding and the </w:t>
      </w:r>
      <w:r w:rsidR="00762237" w:rsidRPr="00326F31">
        <w:rPr>
          <w:rFonts w:asciiTheme="majorHAnsi" w:hAnsiTheme="majorHAnsi"/>
          <w:i/>
          <w:sz w:val="20"/>
          <w:szCs w:val="20"/>
        </w:rPr>
        <w:t>amparo</w:t>
      </w:r>
      <w:r w:rsidR="00762237" w:rsidRPr="00326F31">
        <w:rPr>
          <w:rFonts w:asciiTheme="majorHAnsi" w:hAnsiTheme="majorHAnsi"/>
          <w:sz w:val="20"/>
          <w:szCs w:val="20"/>
        </w:rPr>
        <w:t xml:space="preserve"> proceeding for constitutional relief were marred by many irregularities and that the State did not fulfill the minimum standard of </w:t>
      </w:r>
      <w:r w:rsidR="00A955FA">
        <w:rPr>
          <w:rFonts w:asciiTheme="majorHAnsi" w:hAnsiTheme="majorHAnsi"/>
          <w:sz w:val="20"/>
          <w:szCs w:val="20"/>
        </w:rPr>
        <w:t xml:space="preserve">due diligence </w:t>
      </w:r>
      <w:r w:rsidR="00762237" w:rsidRPr="00326F31">
        <w:rPr>
          <w:rFonts w:asciiTheme="majorHAnsi" w:hAnsiTheme="majorHAnsi"/>
          <w:sz w:val="20"/>
          <w:szCs w:val="20"/>
        </w:rPr>
        <w:t>to investigate this type of.</w:t>
      </w:r>
      <w:r w:rsidR="005E6C10">
        <w:rPr>
          <w:rFonts w:asciiTheme="majorHAnsi" w:hAnsiTheme="majorHAnsi"/>
          <w:sz w:val="20"/>
          <w:szCs w:val="20"/>
        </w:rPr>
        <w:t xml:space="preserve"> </w:t>
      </w:r>
      <w:r w:rsidR="00762237" w:rsidRPr="00326F31">
        <w:rPr>
          <w:rFonts w:asciiTheme="majorHAnsi" w:hAnsiTheme="majorHAnsi"/>
          <w:sz w:val="20"/>
          <w:szCs w:val="20"/>
        </w:rPr>
        <w:t xml:space="preserve">They added that, in the proceeding to seek constitutional relief through </w:t>
      </w:r>
      <w:r w:rsidR="00762237" w:rsidRPr="00326F31">
        <w:rPr>
          <w:rFonts w:asciiTheme="majorHAnsi" w:hAnsiTheme="majorHAnsi"/>
          <w:i/>
          <w:sz w:val="20"/>
          <w:szCs w:val="20"/>
        </w:rPr>
        <w:t xml:space="preserve">amparo, </w:t>
      </w:r>
      <w:r w:rsidR="00762237" w:rsidRPr="00326F31">
        <w:rPr>
          <w:rFonts w:asciiTheme="majorHAnsi" w:hAnsiTheme="majorHAnsi"/>
          <w:sz w:val="20"/>
          <w:szCs w:val="20"/>
        </w:rPr>
        <w:t xml:space="preserve">the alleged victims were not heard by an independent and impartial tribunal, within a reasonable time and under the </w:t>
      </w:r>
      <w:r w:rsidR="00A955FA">
        <w:rPr>
          <w:rFonts w:asciiTheme="majorHAnsi" w:hAnsiTheme="majorHAnsi"/>
          <w:sz w:val="20"/>
          <w:szCs w:val="20"/>
        </w:rPr>
        <w:t xml:space="preserve">guarantees of due process. </w:t>
      </w:r>
    </w:p>
    <w:p w14:paraId="0901E1F2" w14:textId="77777777" w:rsidR="00762237" w:rsidRPr="00326F31" w:rsidRDefault="00762237" w:rsidP="00326F31">
      <w:pPr>
        <w:pBdr>
          <w:top w:val="none" w:sz="0" w:space="0" w:color="auto"/>
          <w:left w:val="none" w:sz="0" w:space="0" w:color="auto"/>
          <w:bottom w:val="none" w:sz="0" w:space="0" w:color="auto"/>
          <w:right w:val="none" w:sz="0" w:space="0" w:color="auto"/>
          <w:between w:val="none" w:sz="0" w:space="0" w:color="auto"/>
          <w:bar w:val="none" w:sz="0" w:color="auto"/>
        </w:pBdr>
        <w:tabs>
          <w:tab w:val="left" w:pos="1260"/>
        </w:tabs>
        <w:jc w:val="both"/>
        <w:rPr>
          <w:rFonts w:asciiTheme="majorHAnsi" w:eastAsia="Calibri" w:hAnsiTheme="majorHAnsi"/>
          <w:sz w:val="20"/>
          <w:szCs w:val="20"/>
        </w:rPr>
      </w:pPr>
    </w:p>
    <w:p w14:paraId="0604A115" w14:textId="02CBCFA9" w:rsidR="00762237" w:rsidRPr="00326F31" w:rsidRDefault="00762237" w:rsidP="00326F3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rPr>
      </w:pPr>
      <w:r w:rsidRPr="00326F31">
        <w:rPr>
          <w:rFonts w:asciiTheme="majorHAnsi" w:hAnsiTheme="majorHAnsi"/>
          <w:sz w:val="20"/>
          <w:szCs w:val="20"/>
        </w:rPr>
        <w:t>As for the criminal complaint, the petitioners contended that the Office of the Public Prosecutor failed to take the necessary measures in the investigation, such as an</w:t>
      </w:r>
      <w:r w:rsidR="00A955FA">
        <w:rPr>
          <w:rFonts w:asciiTheme="majorHAnsi" w:hAnsiTheme="majorHAnsi"/>
          <w:sz w:val="20"/>
          <w:szCs w:val="20"/>
        </w:rPr>
        <w:t xml:space="preserve"> on-site inspection</w:t>
      </w:r>
      <w:r w:rsidRPr="00326F31">
        <w:rPr>
          <w:rFonts w:asciiTheme="majorHAnsi" w:hAnsiTheme="majorHAnsi"/>
          <w:sz w:val="20"/>
          <w:szCs w:val="20"/>
        </w:rPr>
        <w:t xml:space="preserve"> to w</w:t>
      </w:r>
      <w:r w:rsidR="00F5380C">
        <w:rPr>
          <w:rFonts w:asciiTheme="majorHAnsi" w:hAnsiTheme="majorHAnsi"/>
          <w:sz w:val="20"/>
          <w:szCs w:val="20"/>
        </w:rPr>
        <w:t>h</w:t>
      </w:r>
      <w:r w:rsidRPr="00326F31">
        <w:rPr>
          <w:rFonts w:asciiTheme="majorHAnsi" w:hAnsiTheme="majorHAnsi"/>
          <w:sz w:val="20"/>
          <w:szCs w:val="20"/>
        </w:rPr>
        <w:t>ere the incidents occurred, or interviews to staff members assigned to the National Border Council.</w:t>
      </w:r>
      <w:r w:rsidR="005E6C10">
        <w:rPr>
          <w:rFonts w:asciiTheme="majorHAnsi" w:hAnsiTheme="majorHAnsi"/>
          <w:sz w:val="20"/>
          <w:szCs w:val="20"/>
        </w:rPr>
        <w:t xml:space="preserve"> </w:t>
      </w:r>
      <w:r w:rsidRPr="00326F31">
        <w:rPr>
          <w:rFonts w:asciiTheme="majorHAnsi" w:hAnsiTheme="majorHAnsi"/>
          <w:sz w:val="20"/>
          <w:szCs w:val="20"/>
        </w:rPr>
        <w:t>They further claimed that the decision to dismiss the case took place “behind the backs of the [alleged] victims.”</w:t>
      </w:r>
      <w:r w:rsidR="005E6C10">
        <w:rPr>
          <w:rFonts w:asciiTheme="majorHAnsi" w:hAnsiTheme="majorHAnsi"/>
          <w:sz w:val="20"/>
          <w:szCs w:val="20"/>
        </w:rPr>
        <w:t xml:space="preserve"> </w:t>
      </w:r>
      <w:r w:rsidRPr="00326F31">
        <w:rPr>
          <w:rFonts w:asciiTheme="majorHAnsi" w:hAnsiTheme="majorHAnsi"/>
          <w:sz w:val="20"/>
          <w:szCs w:val="20"/>
        </w:rPr>
        <w:t>In this regard, the petitioners argued that the Control Court did not summon the parties to the oral hearing that was held to receive their arguments on the motion for dismissal of the case filed by the Office of the Public Prosecutor, as required by Venezuelan legislation.</w:t>
      </w:r>
      <w:r w:rsidR="005E6C10">
        <w:rPr>
          <w:rFonts w:asciiTheme="majorHAnsi" w:hAnsiTheme="majorHAnsi"/>
          <w:sz w:val="20"/>
          <w:szCs w:val="20"/>
        </w:rPr>
        <w:t xml:space="preserve"> </w:t>
      </w:r>
      <w:r w:rsidRPr="00326F31">
        <w:rPr>
          <w:rFonts w:asciiTheme="majorHAnsi" w:hAnsiTheme="majorHAnsi"/>
          <w:sz w:val="20"/>
          <w:szCs w:val="20"/>
        </w:rPr>
        <w:t xml:space="preserve">They asserted that they appealed to the Chamber for </w:t>
      </w:r>
      <w:r w:rsidRPr="00326F31">
        <w:rPr>
          <w:rFonts w:asciiTheme="majorHAnsi" w:hAnsiTheme="majorHAnsi"/>
          <w:sz w:val="20"/>
          <w:szCs w:val="20"/>
        </w:rPr>
        <w:lastRenderedPageBreak/>
        <w:t>Appeals on Criminal Matters of the Supreme Court of Justice, to order the case to be reheard, because a hearing on the dismissal had not be conducted, which was d</w:t>
      </w:r>
      <w:r w:rsidR="00F5380C">
        <w:rPr>
          <w:rFonts w:asciiTheme="majorHAnsi" w:hAnsiTheme="majorHAnsi"/>
          <w:sz w:val="20"/>
          <w:szCs w:val="20"/>
        </w:rPr>
        <w:t xml:space="preserve">enied even though </w:t>
      </w:r>
      <w:r w:rsidRPr="00326F31">
        <w:rPr>
          <w:rFonts w:asciiTheme="majorHAnsi" w:hAnsiTheme="majorHAnsi"/>
          <w:sz w:val="20"/>
          <w:szCs w:val="20"/>
        </w:rPr>
        <w:t xml:space="preserve"> a consistent legal precedent supporting their claim</w:t>
      </w:r>
      <w:r w:rsidR="00F5380C">
        <w:rPr>
          <w:rFonts w:asciiTheme="majorHAnsi" w:hAnsiTheme="majorHAnsi"/>
          <w:sz w:val="20"/>
          <w:szCs w:val="20"/>
        </w:rPr>
        <w:t xml:space="preserve"> existed</w:t>
      </w:r>
      <w:r w:rsidRPr="00326F31">
        <w:rPr>
          <w:rFonts w:asciiTheme="majorHAnsi" w:hAnsiTheme="majorHAnsi"/>
          <w:sz w:val="20"/>
          <w:szCs w:val="20"/>
        </w:rPr>
        <w:t xml:space="preserve">. </w:t>
      </w:r>
    </w:p>
    <w:p w14:paraId="5DA809D4" w14:textId="5FEA4422" w:rsidR="00424452" w:rsidRPr="00326F31" w:rsidRDefault="00424452" w:rsidP="00326F3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rPr>
      </w:pPr>
    </w:p>
    <w:p w14:paraId="55996265" w14:textId="04F7F0F6" w:rsidR="005C491E" w:rsidRPr="00326F31" w:rsidRDefault="005C491E" w:rsidP="00326F3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rPr>
      </w:pPr>
      <w:r w:rsidRPr="00326F31">
        <w:rPr>
          <w:rFonts w:asciiTheme="majorHAnsi" w:hAnsiTheme="majorHAnsi"/>
          <w:sz w:val="20"/>
          <w:szCs w:val="20"/>
        </w:rPr>
        <w:t xml:space="preserve">As for the alleged violation of </w:t>
      </w:r>
      <w:r w:rsidRPr="00326F31">
        <w:rPr>
          <w:rFonts w:asciiTheme="majorHAnsi" w:hAnsiTheme="majorHAnsi"/>
          <w:b/>
          <w:sz w:val="20"/>
          <w:szCs w:val="20"/>
        </w:rPr>
        <w:t>freedom of thought and expression</w:t>
      </w:r>
      <w:r w:rsidRPr="00326F31">
        <w:rPr>
          <w:rFonts w:asciiTheme="majorHAnsi" w:hAnsiTheme="majorHAnsi"/>
          <w:sz w:val="20"/>
          <w:szCs w:val="20"/>
        </w:rPr>
        <w:t>, the petitioners argued that the alleged victims were dismissed as punishment for expressing their political opinion by signing the petition for the recall referendum and, in so doing, their own opinion on the performance of the Venezuelan government.</w:t>
      </w:r>
      <w:r w:rsidR="005E6C10">
        <w:rPr>
          <w:rFonts w:asciiTheme="majorHAnsi" w:hAnsiTheme="majorHAnsi"/>
          <w:sz w:val="20"/>
          <w:szCs w:val="20"/>
        </w:rPr>
        <w:t xml:space="preserve"> </w:t>
      </w:r>
      <w:r w:rsidRPr="00326F31">
        <w:rPr>
          <w:rFonts w:asciiTheme="majorHAnsi" w:hAnsiTheme="majorHAnsi"/>
          <w:sz w:val="20"/>
          <w:szCs w:val="20"/>
        </w:rPr>
        <w:t>The petitioners also believed that the aforementioned punishment has a chilling effect.</w:t>
      </w:r>
      <w:r w:rsidR="005E6C10">
        <w:rPr>
          <w:rFonts w:asciiTheme="majorHAnsi" w:hAnsiTheme="majorHAnsi"/>
          <w:sz w:val="20"/>
          <w:szCs w:val="20"/>
        </w:rPr>
        <w:t xml:space="preserve"> </w:t>
      </w:r>
      <w:r w:rsidRPr="00326F31">
        <w:rPr>
          <w:rFonts w:asciiTheme="majorHAnsi" w:hAnsiTheme="majorHAnsi"/>
          <w:sz w:val="20"/>
          <w:szCs w:val="20"/>
        </w:rPr>
        <w:t>They stressed that there must be a wide margin of tolerance for statements about public officials, when matters of public interest are involved.</w:t>
      </w:r>
    </w:p>
    <w:p w14:paraId="22C408FC" w14:textId="77777777" w:rsidR="005C491E" w:rsidRPr="00326F31" w:rsidRDefault="005C491E" w:rsidP="00326F3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rPr>
      </w:pPr>
    </w:p>
    <w:p w14:paraId="07B440FB" w14:textId="7F9AD143" w:rsidR="007025F2" w:rsidRPr="007025F2" w:rsidRDefault="005C491E" w:rsidP="00326F3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rPr>
      </w:pPr>
      <w:r w:rsidRPr="00326F31">
        <w:rPr>
          <w:rFonts w:asciiTheme="majorHAnsi" w:hAnsiTheme="majorHAnsi"/>
          <w:sz w:val="20"/>
          <w:szCs w:val="20"/>
        </w:rPr>
        <w:t xml:space="preserve">Concerning the </w:t>
      </w:r>
      <w:r w:rsidRPr="00326F31">
        <w:rPr>
          <w:rFonts w:asciiTheme="majorHAnsi" w:hAnsiTheme="majorHAnsi"/>
          <w:b/>
          <w:sz w:val="20"/>
          <w:szCs w:val="20"/>
        </w:rPr>
        <w:t>right to association</w:t>
      </w:r>
      <w:r w:rsidRPr="00326F31">
        <w:rPr>
          <w:rFonts w:asciiTheme="majorHAnsi" w:hAnsiTheme="majorHAnsi"/>
          <w:sz w:val="20"/>
          <w:szCs w:val="20"/>
        </w:rPr>
        <w:t xml:space="preserve">, the petitioners noted that a transitory association of citizens </w:t>
      </w:r>
      <w:r w:rsidR="007025F2">
        <w:rPr>
          <w:rFonts w:asciiTheme="majorHAnsi" w:hAnsiTheme="majorHAnsi"/>
          <w:sz w:val="20"/>
          <w:szCs w:val="20"/>
        </w:rPr>
        <w:t xml:space="preserve">with the legitimate aim of revoking the mandate of President of the Republic, should not have been interfered by the State as it happen when the alleged victims were remove from their posts. </w:t>
      </w:r>
    </w:p>
    <w:p w14:paraId="292D9F0C" w14:textId="77777777" w:rsidR="007025F2" w:rsidRPr="00326F31" w:rsidRDefault="007025F2" w:rsidP="00326F31">
      <w:pPr>
        <w:jc w:val="both"/>
        <w:rPr>
          <w:rFonts w:asciiTheme="majorHAnsi" w:hAnsiTheme="majorHAnsi"/>
          <w:sz w:val="20"/>
          <w:szCs w:val="20"/>
        </w:rPr>
      </w:pPr>
    </w:p>
    <w:p w14:paraId="6B45AA20" w14:textId="59759B22" w:rsidR="005C491E" w:rsidRPr="00326F31" w:rsidRDefault="005C491E" w:rsidP="00326F3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rPr>
      </w:pPr>
      <w:r w:rsidRPr="00326F31">
        <w:rPr>
          <w:rFonts w:asciiTheme="majorHAnsi" w:hAnsiTheme="majorHAnsi"/>
          <w:sz w:val="20"/>
          <w:szCs w:val="20"/>
        </w:rPr>
        <w:t xml:space="preserve">With regard to the alleged violation of the </w:t>
      </w:r>
      <w:r w:rsidRPr="00326F31">
        <w:rPr>
          <w:rFonts w:asciiTheme="majorHAnsi" w:hAnsiTheme="majorHAnsi"/>
          <w:b/>
          <w:sz w:val="20"/>
          <w:szCs w:val="20"/>
        </w:rPr>
        <w:t>right to participate in government</w:t>
      </w:r>
      <w:r w:rsidRPr="00326F31">
        <w:rPr>
          <w:rFonts w:asciiTheme="majorHAnsi" w:hAnsiTheme="majorHAnsi"/>
          <w:sz w:val="20"/>
          <w:szCs w:val="20"/>
        </w:rPr>
        <w:t>, the petitioners claimed that the alleged victims were the target of pressure to not exercise their political right to participate in the process of convening a recall referendum on the president’s term in office, and that their subsequent dismissal from their job amounted to a punishment for exercising said right.</w:t>
      </w:r>
      <w:r w:rsidR="005E6C10">
        <w:rPr>
          <w:rFonts w:asciiTheme="majorHAnsi" w:hAnsiTheme="majorHAnsi"/>
          <w:sz w:val="20"/>
          <w:szCs w:val="20"/>
        </w:rPr>
        <w:t xml:space="preserve"> </w:t>
      </w:r>
      <w:r w:rsidRPr="00326F31">
        <w:rPr>
          <w:rFonts w:asciiTheme="majorHAnsi" w:hAnsiTheme="majorHAnsi"/>
          <w:sz w:val="20"/>
          <w:szCs w:val="20"/>
        </w:rPr>
        <w:t xml:space="preserve">The petitioners also alleged that when the list of people who signed the petition to call for the referendum was made public, the right to vote by secret ballot, as provided for by Article 23.1.b of the Convention, was infringed. The petitioners further claimed the violation to Article 23.1.c of the Convention, given that excluding people from government jobs who do not share the official ideology of the government, fosters a system of political </w:t>
      </w:r>
      <w:r w:rsidRPr="00326F31">
        <w:rPr>
          <w:rFonts w:asciiTheme="majorHAnsi" w:hAnsiTheme="majorHAnsi"/>
          <w:i/>
          <w:sz w:val="20"/>
          <w:szCs w:val="20"/>
        </w:rPr>
        <w:t>apartheid.</w:t>
      </w:r>
    </w:p>
    <w:p w14:paraId="0DCCAB76" w14:textId="77777777" w:rsidR="005C491E" w:rsidRPr="00326F31" w:rsidRDefault="005C491E" w:rsidP="00326F31">
      <w:pPr>
        <w:pStyle w:val="ListParagraph"/>
        <w:jc w:val="both"/>
        <w:rPr>
          <w:rFonts w:asciiTheme="majorHAnsi" w:hAnsiTheme="majorHAnsi"/>
          <w:sz w:val="20"/>
          <w:szCs w:val="20"/>
        </w:rPr>
      </w:pPr>
    </w:p>
    <w:p w14:paraId="39C30392" w14:textId="0548BC1F" w:rsidR="005C491E" w:rsidRPr="00326F31" w:rsidRDefault="005C491E" w:rsidP="00326F3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rPr>
      </w:pPr>
      <w:r w:rsidRPr="00326F31">
        <w:rPr>
          <w:rFonts w:asciiTheme="majorHAnsi" w:hAnsiTheme="majorHAnsi"/>
          <w:sz w:val="20"/>
          <w:szCs w:val="20"/>
        </w:rPr>
        <w:t xml:space="preserve">With regard to the </w:t>
      </w:r>
      <w:r w:rsidRPr="00326F31">
        <w:rPr>
          <w:rFonts w:asciiTheme="majorHAnsi" w:hAnsiTheme="majorHAnsi"/>
          <w:b/>
          <w:sz w:val="20"/>
          <w:szCs w:val="20"/>
        </w:rPr>
        <w:t>right to equal protection and the principle of nondiscrimination</w:t>
      </w:r>
      <w:r w:rsidRPr="00326F31">
        <w:rPr>
          <w:rFonts w:asciiTheme="majorHAnsi" w:hAnsiTheme="majorHAnsi"/>
          <w:sz w:val="20"/>
          <w:szCs w:val="20"/>
        </w:rPr>
        <w:t>, the petitioners stated that unlike the alleged victims, public officials who were committed to the political project of the then President of the Republic could freely express their views without being fired. They also alleged that the case is a clear example of political discrimination since the publication of the "Tascon list" had the effect of exposing to public hatred and contempt to thos</w:t>
      </w:r>
      <w:r w:rsidR="00706840" w:rsidRPr="00326F31">
        <w:rPr>
          <w:rFonts w:asciiTheme="majorHAnsi" w:hAnsiTheme="majorHAnsi"/>
          <w:sz w:val="20"/>
          <w:szCs w:val="20"/>
        </w:rPr>
        <w:t>e who signed the petit</w:t>
      </w:r>
      <w:r w:rsidRPr="00326F31">
        <w:rPr>
          <w:rFonts w:asciiTheme="majorHAnsi" w:hAnsiTheme="majorHAnsi"/>
          <w:sz w:val="20"/>
          <w:szCs w:val="20"/>
        </w:rPr>
        <w:t>ion for the recall referendum. They added that the signatories of the list suffered various reprisals, like watching their access to public facilities being prevented, the cancelation of their contracts with the public administration, obstacles in obtaining identity documents, as well as the publication of their names on billboards of public offices and their classification as "traitors to the nation".</w:t>
      </w:r>
    </w:p>
    <w:p w14:paraId="225198D1" w14:textId="77777777" w:rsidR="00900B16" w:rsidRPr="00326F31" w:rsidRDefault="00900B16" w:rsidP="00326F31">
      <w:pPr>
        <w:jc w:val="both"/>
        <w:rPr>
          <w:rFonts w:asciiTheme="majorHAnsi" w:hAnsiTheme="majorHAnsi"/>
          <w:sz w:val="20"/>
          <w:szCs w:val="20"/>
        </w:rPr>
      </w:pPr>
    </w:p>
    <w:p w14:paraId="6AEF8696" w14:textId="7F92C4A3" w:rsidR="009F55E8" w:rsidRPr="00326F31" w:rsidRDefault="009F55E8" w:rsidP="00326F3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rPr>
      </w:pPr>
      <w:r w:rsidRPr="00326F31">
        <w:rPr>
          <w:rFonts w:asciiTheme="majorHAnsi" w:hAnsiTheme="majorHAnsi"/>
          <w:sz w:val="20"/>
          <w:szCs w:val="20"/>
        </w:rPr>
        <w:t xml:space="preserve">As for the </w:t>
      </w:r>
      <w:r w:rsidRPr="00326F31">
        <w:rPr>
          <w:rFonts w:asciiTheme="majorHAnsi" w:hAnsiTheme="majorHAnsi"/>
          <w:b/>
          <w:sz w:val="20"/>
          <w:szCs w:val="20"/>
        </w:rPr>
        <w:t>right to judicial protection</w:t>
      </w:r>
      <w:r w:rsidRPr="00326F31">
        <w:rPr>
          <w:rFonts w:asciiTheme="majorHAnsi" w:hAnsiTheme="majorHAnsi"/>
          <w:sz w:val="20"/>
          <w:szCs w:val="20"/>
        </w:rPr>
        <w:t>, the petitioners claimed that the alleged victims did not occupy positions of trust, inasmuch as: (i) the State had not complied with the provisions of Article 53 of the Law of the Public Service Statute, which sets forth that positions of trust must expressly be listed in the organic regulations of the entities of the civil service; (ii) the alleged victims were never invited to take part at high-level meetings; and (iii) all of them had served in the civil service on the National Border Council for more than two administrations, without being replaced due to the change in government.</w:t>
      </w:r>
      <w:r w:rsidR="005E6C10">
        <w:rPr>
          <w:rFonts w:asciiTheme="majorHAnsi" w:hAnsiTheme="majorHAnsi"/>
          <w:sz w:val="20"/>
          <w:szCs w:val="20"/>
        </w:rPr>
        <w:t xml:space="preserve"> </w:t>
      </w:r>
      <w:r w:rsidRPr="00326F31">
        <w:rPr>
          <w:rFonts w:asciiTheme="majorHAnsi" w:hAnsiTheme="majorHAnsi"/>
          <w:sz w:val="20"/>
          <w:szCs w:val="20"/>
        </w:rPr>
        <w:t>Based on this classification, the petitioners contended, the alleged victims did not have access to a simple and prompt remedy to provide relief to them from the decisions of the administration.</w:t>
      </w:r>
      <w:r w:rsidR="005E6C10">
        <w:rPr>
          <w:rFonts w:asciiTheme="majorHAnsi" w:hAnsiTheme="majorHAnsi"/>
          <w:sz w:val="20"/>
          <w:szCs w:val="20"/>
        </w:rPr>
        <w:t xml:space="preserve"> </w:t>
      </w:r>
      <w:r w:rsidR="00900B16" w:rsidRPr="00326F31">
        <w:rPr>
          <w:rFonts w:asciiTheme="majorHAnsi" w:hAnsiTheme="majorHAnsi"/>
          <w:sz w:val="20"/>
          <w:szCs w:val="20"/>
        </w:rPr>
        <w:t>In general, they</w:t>
      </w:r>
      <w:r w:rsidRPr="00326F31">
        <w:rPr>
          <w:rFonts w:asciiTheme="majorHAnsi" w:hAnsiTheme="majorHAnsi"/>
          <w:sz w:val="20"/>
          <w:szCs w:val="20"/>
        </w:rPr>
        <w:t xml:space="preserve"> contended that “in the absence of the rule of law, in which independent and impartial tribunals operate, any remedy providing relief before the Venezuelan courts would have proven to be ineffective.”</w:t>
      </w:r>
      <w:r w:rsidR="005E6C10">
        <w:rPr>
          <w:rFonts w:asciiTheme="majorHAnsi" w:hAnsiTheme="majorHAnsi"/>
          <w:sz w:val="20"/>
          <w:szCs w:val="20"/>
        </w:rPr>
        <w:t xml:space="preserve"> </w:t>
      </w:r>
    </w:p>
    <w:p w14:paraId="57072778" w14:textId="77777777" w:rsidR="00900B16" w:rsidRPr="00326F31" w:rsidRDefault="00900B16" w:rsidP="00326F3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rPr>
      </w:pPr>
    </w:p>
    <w:p w14:paraId="1FE8D931" w14:textId="44245674" w:rsidR="00900B16" w:rsidRPr="00326F31" w:rsidRDefault="00900B16" w:rsidP="00326F3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rPr>
      </w:pPr>
      <w:r w:rsidRPr="00326F31">
        <w:rPr>
          <w:rFonts w:asciiTheme="majorHAnsi" w:hAnsiTheme="majorHAnsi"/>
          <w:sz w:val="20"/>
          <w:szCs w:val="20"/>
        </w:rPr>
        <w:t xml:space="preserve">Concerning the </w:t>
      </w:r>
      <w:r w:rsidRPr="00326F31">
        <w:rPr>
          <w:rFonts w:asciiTheme="majorHAnsi" w:hAnsiTheme="majorHAnsi"/>
          <w:b/>
          <w:sz w:val="20"/>
          <w:szCs w:val="20"/>
        </w:rPr>
        <w:t>progressive development of economic, social and cultural rights</w:t>
      </w:r>
      <w:r w:rsidRPr="00326F31">
        <w:rPr>
          <w:rFonts w:asciiTheme="majorHAnsi" w:hAnsiTheme="majorHAnsi"/>
          <w:sz w:val="20"/>
          <w:szCs w:val="20"/>
        </w:rPr>
        <w:t>, the petitioners argued that the dismissal of the victims from their jobs was an infringement of their right to work, set forth in Article 45 of the OAS Charter, to which Article 26 the Convention refers to They added that the principle of non-discrimination is fundamental in terms of economic, social and cultural rights.</w:t>
      </w:r>
      <w:r w:rsidR="005E6C10">
        <w:rPr>
          <w:rFonts w:asciiTheme="majorHAnsi" w:hAnsiTheme="majorHAnsi"/>
          <w:sz w:val="20"/>
          <w:szCs w:val="20"/>
        </w:rPr>
        <w:t xml:space="preserve"> </w:t>
      </w:r>
    </w:p>
    <w:p w14:paraId="1EB79080" w14:textId="77777777" w:rsidR="00424452" w:rsidRPr="00326F31" w:rsidRDefault="00424452" w:rsidP="00326F3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rPr>
      </w:pPr>
    </w:p>
    <w:p w14:paraId="032F40D1" w14:textId="54B9685F" w:rsidR="00E40449" w:rsidRPr="00326F31" w:rsidRDefault="00DE2D1E" w:rsidP="00326F31">
      <w:pPr>
        <w:pStyle w:val="Heading2"/>
        <w:numPr>
          <w:ilvl w:val="0"/>
          <w:numId w:val="59"/>
        </w:numPr>
      </w:pPr>
      <w:bookmarkStart w:id="8" w:name="_Toc433311128"/>
      <w:r w:rsidRPr="00326F31">
        <w:t>Position</w:t>
      </w:r>
      <w:r w:rsidR="00175ABB">
        <w:t xml:space="preserve"> of </w:t>
      </w:r>
      <w:proofErr w:type="spellStart"/>
      <w:r w:rsidR="00175ABB">
        <w:t>the</w:t>
      </w:r>
      <w:proofErr w:type="spellEnd"/>
      <w:r w:rsidR="00175ABB">
        <w:t xml:space="preserve"> </w:t>
      </w:r>
      <w:proofErr w:type="spellStart"/>
      <w:r w:rsidR="00175ABB">
        <w:t>State</w:t>
      </w:r>
      <w:bookmarkEnd w:id="8"/>
      <w:proofErr w:type="spellEnd"/>
      <w:r w:rsidR="00175ABB">
        <w:t xml:space="preserve"> </w:t>
      </w:r>
    </w:p>
    <w:p w14:paraId="46D63BE3" w14:textId="77777777" w:rsidR="00E40449" w:rsidRPr="00326F31" w:rsidRDefault="00E40449" w:rsidP="00326F31">
      <w:pPr>
        <w:jc w:val="both"/>
        <w:rPr>
          <w:rFonts w:asciiTheme="majorHAnsi" w:hAnsiTheme="majorHAnsi"/>
          <w:sz w:val="20"/>
          <w:szCs w:val="20"/>
        </w:rPr>
      </w:pPr>
    </w:p>
    <w:p w14:paraId="262E10D1" w14:textId="51362B28" w:rsidR="00576D03" w:rsidRPr="00326F31" w:rsidRDefault="00576D03" w:rsidP="00326F3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rPr>
      </w:pPr>
      <w:r w:rsidRPr="00326F31">
        <w:rPr>
          <w:rFonts w:asciiTheme="majorHAnsi" w:hAnsiTheme="majorHAnsi"/>
          <w:sz w:val="20"/>
          <w:szCs w:val="20"/>
        </w:rPr>
        <w:t>The State did not submit additional observations on the merits. In that sense, this section is based on the arguments of the State on the admissibility stage, as far as relevant for the analysis of the merits.</w:t>
      </w:r>
    </w:p>
    <w:p w14:paraId="1DD0C5C8" w14:textId="77777777" w:rsidR="006907CC" w:rsidRPr="00326F31" w:rsidRDefault="006907CC" w:rsidP="00326F31">
      <w:pPr>
        <w:jc w:val="both"/>
        <w:rPr>
          <w:rFonts w:asciiTheme="majorHAnsi" w:hAnsiTheme="majorHAnsi"/>
          <w:sz w:val="20"/>
          <w:szCs w:val="20"/>
        </w:rPr>
      </w:pPr>
    </w:p>
    <w:p w14:paraId="352B94BF" w14:textId="053B8427" w:rsidR="00182E76" w:rsidRPr="00326F31" w:rsidRDefault="00576D03" w:rsidP="00326F3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sz w:val="20"/>
          <w:szCs w:val="20"/>
          <w:bdr w:val="none" w:sz="0" w:space="0" w:color="auto"/>
        </w:rPr>
      </w:pPr>
      <w:r w:rsidRPr="00326F31">
        <w:rPr>
          <w:rFonts w:asciiTheme="majorHAnsi" w:hAnsiTheme="majorHAnsi"/>
          <w:sz w:val="20"/>
          <w:szCs w:val="20"/>
        </w:rPr>
        <w:lastRenderedPageBreak/>
        <w:t>In addressing the petition process to gather signatures for convening the recall referendum of the President of the Republic, the State explained that the process requires the signatures of at least twenty per cent of all voters, as set forth in Article 72 of the Constitution of that country.</w:t>
      </w:r>
      <w:r w:rsidR="005E6C10">
        <w:rPr>
          <w:rFonts w:asciiTheme="majorHAnsi" w:hAnsiTheme="majorHAnsi"/>
          <w:sz w:val="20"/>
          <w:szCs w:val="20"/>
        </w:rPr>
        <w:t xml:space="preserve"> </w:t>
      </w:r>
      <w:r w:rsidRPr="00326F31">
        <w:rPr>
          <w:rFonts w:asciiTheme="majorHAnsi" w:hAnsiTheme="majorHAnsi"/>
          <w:sz w:val="20"/>
          <w:szCs w:val="20"/>
        </w:rPr>
        <w:t>Accordingly, the CNE examined the signatures it had received and challenged some of them citing irregularities.</w:t>
      </w:r>
      <w:r w:rsidR="005E6C10">
        <w:rPr>
          <w:rFonts w:asciiTheme="majorHAnsi" w:hAnsiTheme="majorHAnsi"/>
          <w:sz w:val="20"/>
          <w:szCs w:val="20"/>
        </w:rPr>
        <w:t xml:space="preserve"> </w:t>
      </w:r>
      <w:r w:rsidRPr="00326F31">
        <w:rPr>
          <w:rFonts w:asciiTheme="majorHAnsi" w:hAnsiTheme="majorHAnsi"/>
          <w:sz w:val="20"/>
          <w:szCs w:val="20"/>
        </w:rPr>
        <w:t xml:space="preserve">According to the State, this is what led the CNE to create the database questioned by the petitioners, which was intended to be a citizens’ instrument to help verify whether or not signatures had been fraudulently included in the petition. </w:t>
      </w:r>
    </w:p>
    <w:p w14:paraId="77CE74CB" w14:textId="77777777" w:rsidR="00182E76" w:rsidRPr="00326F31" w:rsidRDefault="00182E76" w:rsidP="00326F31">
      <w:pPr>
        <w:pStyle w:val="ListParagraph"/>
        <w:jc w:val="both"/>
        <w:rPr>
          <w:rFonts w:asciiTheme="majorHAnsi" w:hAnsiTheme="majorHAnsi"/>
          <w:sz w:val="20"/>
          <w:szCs w:val="20"/>
        </w:rPr>
      </w:pPr>
    </w:p>
    <w:p w14:paraId="6AF7D349" w14:textId="7DEBD765" w:rsidR="00182E76" w:rsidRPr="00326F31" w:rsidRDefault="00182E76" w:rsidP="00326F3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sz w:val="20"/>
          <w:szCs w:val="20"/>
          <w:bdr w:val="none" w:sz="0" w:space="0" w:color="auto"/>
        </w:rPr>
      </w:pPr>
      <w:r w:rsidRPr="00326F31">
        <w:rPr>
          <w:rFonts w:asciiTheme="majorHAnsi" w:hAnsiTheme="majorHAnsi"/>
          <w:sz w:val="20"/>
          <w:szCs w:val="20"/>
        </w:rPr>
        <w:t>The State explained that on March 2, 2004, the CNE issued rules to regulate the challenge process in order to verify the legitimacy of the signatures and that this process was to take place on April 20, 2004.</w:t>
      </w:r>
      <w:r w:rsidR="005E6C10">
        <w:rPr>
          <w:rFonts w:asciiTheme="majorHAnsi" w:hAnsiTheme="majorHAnsi"/>
          <w:sz w:val="20"/>
          <w:szCs w:val="20"/>
        </w:rPr>
        <w:t xml:space="preserve"> </w:t>
      </w:r>
      <w:r w:rsidRPr="00326F31">
        <w:rPr>
          <w:rFonts w:asciiTheme="majorHAnsi" w:hAnsiTheme="majorHAnsi"/>
          <w:sz w:val="20"/>
          <w:szCs w:val="20"/>
        </w:rPr>
        <w:t>The State contends that the signature verification day was actually held on June 27, 2004, and that because the signature of Rocío San Miguel was one of the ones that had been challenged for a</w:t>
      </w:r>
      <w:r w:rsidR="00175ABB">
        <w:rPr>
          <w:rFonts w:asciiTheme="majorHAnsi" w:hAnsiTheme="majorHAnsi"/>
          <w:sz w:val="20"/>
          <w:szCs w:val="20"/>
        </w:rPr>
        <w:t>lleged irregularities, the</w:t>
      </w:r>
      <w:r w:rsidRPr="00326F31">
        <w:rPr>
          <w:rFonts w:asciiTheme="majorHAnsi" w:hAnsiTheme="majorHAnsi"/>
          <w:sz w:val="20"/>
          <w:szCs w:val="20"/>
        </w:rPr>
        <w:t xml:space="preserve"> contract of </w:t>
      </w:r>
      <w:proofErr w:type="spellStart"/>
      <w:r w:rsidRPr="00326F31">
        <w:rPr>
          <w:rFonts w:asciiTheme="majorHAnsi" w:hAnsiTheme="majorHAnsi"/>
          <w:sz w:val="20"/>
          <w:szCs w:val="20"/>
        </w:rPr>
        <w:t>Rocío</w:t>
      </w:r>
      <w:proofErr w:type="spellEnd"/>
      <w:r w:rsidRPr="00326F31">
        <w:rPr>
          <w:rFonts w:asciiTheme="majorHAnsi" w:hAnsiTheme="majorHAnsi"/>
          <w:sz w:val="20"/>
          <w:szCs w:val="20"/>
        </w:rPr>
        <w:t xml:space="preserve"> San Miguel could not have been decided on the basis of a signature that took legal effect as of the time of the challenge, in other words, once the whole petition process on the presidential referendum had concluded.</w:t>
      </w:r>
      <w:r w:rsidR="005E6C10">
        <w:rPr>
          <w:rFonts w:asciiTheme="majorHAnsi" w:hAnsiTheme="majorHAnsi"/>
          <w:sz w:val="20"/>
          <w:szCs w:val="20"/>
        </w:rPr>
        <w:t xml:space="preserve"> </w:t>
      </w:r>
    </w:p>
    <w:p w14:paraId="5CAEECBB" w14:textId="77777777" w:rsidR="00182E76" w:rsidRPr="00326F31" w:rsidRDefault="00182E76" w:rsidP="00326F31">
      <w:pPr>
        <w:pStyle w:val="ListParagraph"/>
        <w:jc w:val="both"/>
        <w:rPr>
          <w:rFonts w:asciiTheme="majorHAnsi" w:hAnsiTheme="majorHAnsi"/>
          <w:sz w:val="20"/>
          <w:szCs w:val="20"/>
        </w:rPr>
      </w:pPr>
    </w:p>
    <w:p w14:paraId="75261193" w14:textId="51CEE482" w:rsidR="00182E76" w:rsidRDefault="00182E76" w:rsidP="00326F3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sz w:val="20"/>
          <w:szCs w:val="20"/>
          <w:bdr w:val="none" w:sz="0" w:space="0" w:color="auto"/>
        </w:rPr>
      </w:pPr>
      <w:r w:rsidRPr="00326F31">
        <w:rPr>
          <w:rFonts w:asciiTheme="majorHAnsi" w:hAnsiTheme="majorHAnsi"/>
          <w:sz w:val="20"/>
          <w:szCs w:val="20"/>
        </w:rPr>
        <w:t>By the account of the</w:t>
      </w:r>
      <w:r w:rsidR="00503826">
        <w:rPr>
          <w:rFonts w:asciiTheme="majorHAnsi" w:hAnsiTheme="majorHAnsi"/>
          <w:sz w:val="20"/>
          <w:szCs w:val="20"/>
        </w:rPr>
        <w:t xml:space="preserve"> State, the processes of rescis</w:t>
      </w:r>
      <w:r w:rsidR="00503826" w:rsidRPr="00326F31">
        <w:rPr>
          <w:rFonts w:asciiTheme="majorHAnsi" w:hAnsiTheme="majorHAnsi"/>
          <w:sz w:val="20"/>
          <w:szCs w:val="20"/>
        </w:rPr>
        <w:t>sion</w:t>
      </w:r>
      <w:r w:rsidRPr="00326F31">
        <w:rPr>
          <w:rFonts w:asciiTheme="majorHAnsi" w:hAnsiTheme="majorHAnsi"/>
          <w:sz w:val="20"/>
          <w:szCs w:val="20"/>
        </w:rPr>
        <w:t xml:space="preserve"> of contracts of the alleged victims were conducted with strict adherence to the law and respecting the principle of the will of the signatory parties to said contracts.</w:t>
      </w:r>
      <w:r w:rsidR="005E6C10">
        <w:rPr>
          <w:rFonts w:asciiTheme="majorHAnsi" w:hAnsiTheme="majorHAnsi"/>
          <w:sz w:val="20"/>
          <w:szCs w:val="20"/>
        </w:rPr>
        <w:t xml:space="preserve"> </w:t>
      </w:r>
      <w:r w:rsidRPr="00326F31">
        <w:rPr>
          <w:rFonts w:asciiTheme="majorHAnsi" w:hAnsiTheme="majorHAnsi"/>
          <w:sz w:val="20"/>
          <w:szCs w:val="20"/>
        </w:rPr>
        <w:t>According to the State, on December 31, 2003, the alleged victims signed a new contract with the National Border Council, which went into effect on January 1, until December 31, 2004.</w:t>
      </w:r>
      <w:r w:rsidR="005E6C10">
        <w:rPr>
          <w:rFonts w:asciiTheme="majorHAnsi" w:hAnsiTheme="majorHAnsi"/>
          <w:sz w:val="20"/>
          <w:szCs w:val="20"/>
        </w:rPr>
        <w:t xml:space="preserve"> </w:t>
      </w:r>
      <w:r w:rsidRPr="00326F31">
        <w:rPr>
          <w:rFonts w:asciiTheme="majorHAnsi" w:hAnsiTheme="majorHAnsi"/>
          <w:sz w:val="20"/>
          <w:szCs w:val="20"/>
        </w:rPr>
        <w:t>The State asserted that on March 12, 2004, the chairman of the National Border Council decided to terminate the contracts of Rocío San Miguel Sosa, Magally Chang Girón</w:t>
      </w:r>
      <w:r w:rsidR="00C9052E">
        <w:rPr>
          <w:rFonts w:asciiTheme="majorHAnsi" w:hAnsiTheme="majorHAnsi"/>
          <w:sz w:val="20"/>
          <w:szCs w:val="20"/>
        </w:rPr>
        <w:t>,</w:t>
      </w:r>
      <w:r w:rsidRPr="00326F31">
        <w:rPr>
          <w:rFonts w:asciiTheme="majorHAnsi" w:hAnsiTheme="majorHAnsi"/>
          <w:sz w:val="20"/>
          <w:szCs w:val="20"/>
        </w:rPr>
        <w:t xml:space="preserve"> and Thais Coromoto Peña </w:t>
      </w:r>
      <w:r w:rsidR="00AF3572">
        <w:rPr>
          <w:rFonts w:asciiTheme="majorHAnsi" w:hAnsiTheme="majorHAnsi"/>
          <w:sz w:val="20"/>
          <w:szCs w:val="20"/>
        </w:rPr>
        <w:t xml:space="preserve">invoking </w:t>
      </w:r>
      <w:r w:rsidRPr="00326F31">
        <w:rPr>
          <w:rFonts w:asciiTheme="majorHAnsi" w:hAnsiTheme="majorHAnsi"/>
          <w:sz w:val="20"/>
          <w:szCs w:val="20"/>
        </w:rPr>
        <w:t>the seventh clause of those contracts.</w:t>
      </w:r>
    </w:p>
    <w:p w14:paraId="3B209C06" w14:textId="77777777" w:rsidR="00AF3572" w:rsidRPr="00AF3572" w:rsidRDefault="00AF3572" w:rsidP="00AF357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bdr w:val="none" w:sz="0" w:space="0" w:color="auto"/>
        </w:rPr>
      </w:pPr>
    </w:p>
    <w:p w14:paraId="2F9EF003" w14:textId="4C20DC39" w:rsidR="00182E76" w:rsidRPr="00326F31" w:rsidRDefault="00182E76" w:rsidP="00326F3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sz w:val="20"/>
          <w:szCs w:val="20"/>
          <w:bdr w:val="none" w:sz="0" w:space="0" w:color="auto"/>
        </w:rPr>
      </w:pPr>
      <w:r w:rsidRPr="00326F31">
        <w:rPr>
          <w:rFonts w:asciiTheme="majorHAnsi" w:eastAsia="Times New Roman" w:hAnsiTheme="majorHAnsi"/>
          <w:sz w:val="20"/>
          <w:szCs w:val="20"/>
          <w:bdr w:val="none" w:sz="0" w:space="0" w:color="auto"/>
        </w:rPr>
        <w:t>The State indicated that by the time the alleged "</w:t>
      </w:r>
      <w:r w:rsidRPr="00326F31">
        <w:rPr>
          <w:rFonts w:asciiTheme="majorHAnsi" w:hAnsiTheme="majorHAnsi"/>
          <w:sz w:val="20"/>
          <w:szCs w:val="20"/>
        </w:rPr>
        <w:t>calls for political discrimination</w:t>
      </w:r>
      <w:r w:rsidRPr="00326F31">
        <w:rPr>
          <w:rFonts w:asciiTheme="majorHAnsi" w:eastAsia="Times New Roman" w:hAnsiTheme="majorHAnsi"/>
          <w:sz w:val="20"/>
          <w:szCs w:val="20"/>
          <w:bdr w:val="none" w:sz="0" w:space="0" w:color="auto"/>
        </w:rPr>
        <w:t xml:space="preserve">" began, the contracts of the alleged victims had already been </w:t>
      </w:r>
      <w:r w:rsidR="00AF3572" w:rsidRPr="00326F31">
        <w:rPr>
          <w:rFonts w:asciiTheme="majorHAnsi" w:eastAsia="Times New Roman" w:hAnsiTheme="majorHAnsi"/>
          <w:sz w:val="20"/>
          <w:szCs w:val="20"/>
          <w:bdr w:val="none" w:sz="0" w:space="0" w:color="auto"/>
        </w:rPr>
        <w:t>terminated</w:t>
      </w:r>
      <w:r w:rsidR="00AF3572" w:rsidRPr="00326F31">
        <w:rPr>
          <w:rFonts w:asciiTheme="majorHAnsi" w:hAnsiTheme="majorHAnsi"/>
          <w:sz w:val="20"/>
          <w:szCs w:val="20"/>
        </w:rPr>
        <w:t>;</w:t>
      </w:r>
      <w:r w:rsidRPr="00326F31">
        <w:rPr>
          <w:rFonts w:asciiTheme="majorHAnsi" w:hAnsiTheme="majorHAnsi"/>
          <w:sz w:val="20"/>
          <w:szCs w:val="20"/>
        </w:rPr>
        <w:t xml:space="preserve"> therefor there is no link of cause and effect between their taking part in the process of collecting signatures and the termination of the contracts. </w:t>
      </w:r>
    </w:p>
    <w:p w14:paraId="45A13A96" w14:textId="77777777" w:rsidR="00182E76" w:rsidRPr="00326F31" w:rsidRDefault="00182E76" w:rsidP="00326F31">
      <w:pPr>
        <w:pStyle w:val="ListParagraph"/>
        <w:jc w:val="both"/>
        <w:rPr>
          <w:rFonts w:asciiTheme="majorHAnsi" w:hAnsiTheme="majorHAnsi"/>
          <w:sz w:val="20"/>
          <w:szCs w:val="20"/>
        </w:rPr>
      </w:pPr>
    </w:p>
    <w:p w14:paraId="0BCA023E" w14:textId="48D894F9" w:rsidR="00182E76" w:rsidRPr="00326F31" w:rsidRDefault="00182E76" w:rsidP="00326F3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sz w:val="20"/>
          <w:szCs w:val="20"/>
          <w:bdr w:val="none" w:sz="0" w:space="0" w:color="auto"/>
        </w:rPr>
      </w:pPr>
      <w:r w:rsidRPr="00326F31">
        <w:rPr>
          <w:rFonts w:asciiTheme="majorHAnsi" w:hAnsiTheme="majorHAnsi"/>
          <w:sz w:val="20"/>
          <w:szCs w:val="20"/>
        </w:rPr>
        <w:t>The State claimed that, as a consequence of the termination of the</w:t>
      </w:r>
      <w:r w:rsidR="00AF3572">
        <w:rPr>
          <w:rFonts w:asciiTheme="majorHAnsi" w:hAnsiTheme="majorHAnsi"/>
          <w:sz w:val="20"/>
          <w:szCs w:val="20"/>
        </w:rPr>
        <w:t>ir</w:t>
      </w:r>
      <w:r w:rsidRPr="00326F31">
        <w:rPr>
          <w:rFonts w:asciiTheme="majorHAnsi" w:hAnsiTheme="majorHAnsi"/>
          <w:sz w:val="20"/>
          <w:szCs w:val="20"/>
        </w:rPr>
        <w:t xml:space="preserve"> contract</w:t>
      </w:r>
      <w:r w:rsidR="00AF3572">
        <w:rPr>
          <w:rFonts w:asciiTheme="majorHAnsi" w:hAnsiTheme="majorHAnsi"/>
          <w:sz w:val="20"/>
          <w:szCs w:val="20"/>
        </w:rPr>
        <w:t>s</w:t>
      </w:r>
      <w:r w:rsidRPr="00326F31">
        <w:rPr>
          <w:rFonts w:asciiTheme="majorHAnsi" w:hAnsiTheme="majorHAnsi"/>
          <w:sz w:val="20"/>
          <w:szCs w:val="20"/>
        </w:rPr>
        <w:t xml:space="preserve">, the alleged victims filed on June 22, 2004, for constitutional relief via the </w:t>
      </w:r>
      <w:r w:rsidRPr="00326F31">
        <w:rPr>
          <w:rFonts w:asciiTheme="majorHAnsi" w:hAnsiTheme="majorHAnsi"/>
          <w:i/>
          <w:sz w:val="20"/>
          <w:szCs w:val="20"/>
        </w:rPr>
        <w:t xml:space="preserve">amparo </w:t>
      </w:r>
      <w:r w:rsidR="00A84A6C" w:rsidRPr="00326F31">
        <w:rPr>
          <w:rFonts w:asciiTheme="majorHAnsi" w:hAnsiTheme="majorHAnsi"/>
          <w:sz w:val="20"/>
          <w:szCs w:val="20"/>
        </w:rPr>
        <w:t>proceeding.</w:t>
      </w:r>
      <w:r w:rsidR="005E6C10">
        <w:rPr>
          <w:rFonts w:asciiTheme="majorHAnsi" w:hAnsiTheme="majorHAnsi"/>
          <w:sz w:val="20"/>
          <w:szCs w:val="20"/>
        </w:rPr>
        <w:t xml:space="preserve"> </w:t>
      </w:r>
      <w:r w:rsidRPr="00326F31">
        <w:rPr>
          <w:rFonts w:asciiTheme="majorHAnsi" w:hAnsiTheme="majorHAnsi"/>
          <w:sz w:val="20"/>
          <w:szCs w:val="20"/>
        </w:rPr>
        <w:t xml:space="preserve">The State asserted that on July 27, 2005, the </w:t>
      </w:r>
      <w:r w:rsidRPr="00326F31">
        <w:rPr>
          <w:rFonts w:asciiTheme="majorHAnsi" w:hAnsiTheme="majorHAnsi"/>
          <w:i/>
          <w:sz w:val="20"/>
          <w:szCs w:val="20"/>
        </w:rPr>
        <w:t xml:space="preserve">amparo </w:t>
      </w:r>
      <w:r w:rsidRPr="00326F31">
        <w:rPr>
          <w:rFonts w:asciiTheme="majorHAnsi" w:hAnsiTheme="majorHAnsi"/>
          <w:sz w:val="20"/>
          <w:szCs w:val="20"/>
        </w:rPr>
        <w:t>claim was found groundless on the merits of the matter, and that on September 9, 2005, the Third Superior Trial Court upheld the original trial court decision.</w:t>
      </w:r>
      <w:r w:rsidR="005E6C10">
        <w:rPr>
          <w:rFonts w:asciiTheme="majorHAnsi" w:hAnsiTheme="majorHAnsi"/>
          <w:sz w:val="20"/>
          <w:szCs w:val="20"/>
        </w:rPr>
        <w:t xml:space="preserve"> </w:t>
      </w:r>
    </w:p>
    <w:p w14:paraId="069C1EAF" w14:textId="77777777" w:rsidR="00182E76" w:rsidRPr="00326F31" w:rsidRDefault="00182E76" w:rsidP="00326F31">
      <w:pPr>
        <w:jc w:val="both"/>
        <w:rPr>
          <w:rFonts w:asciiTheme="majorHAnsi" w:hAnsiTheme="majorHAnsi"/>
          <w:sz w:val="20"/>
          <w:szCs w:val="20"/>
        </w:rPr>
      </w:pPr>
    </w:p>
    <w:p w14:paraId="0C80B22B" w14:textId="7633826C" w:rsidR="00182E76" w:rsidRPr="00326F31" w:rsidRDefault="00182E76" w:rsidP="00326F3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sz w:val="20"/>
          <w:szCs w:val="20"/>
          <w:bdr w:val="none" w:sz="0" w:space="0" w:color="auto"/>
        </w:rPr>
      </w:pPr>
      <w:r w:rsidRPr="00326F31">
        <w:rPr>
          <w:rFonts w:asciiTheme="majorHAnsi" w:hAnsiTheme="majorHAnsi"/>
          <w:sz w:val="20"/>
          <w:szCs w:val="20"/>
        </w:rPr>
        <w:t>The State contended that the alleged victims filed a complaint before the Office of the People’s Ombudsman on May 27, 2004, and that on August 17, 2004, the Office of the People’s Ombudsman issued an official certificate of closure of the proceeding for lack of sufficient evidence to establish that there was a violation of the human rights of the complainants.</w:t>
      </w:r>
      <w:r w:rsidR="005E6C10">
        <w:rPr>
          <w:rFonts w:asciiTheme="majorHAnsi" w:hAnsiTheme="majorHAnsi"/>
          <w:sz w:val="20"/>
          <w:szCs w:val="20"/>
        </w:rPr>
        <w:t xml:space="preserve"> </w:t>
      </w:r>
      <w:r w:rsidRPr="00326F31">
        <w:rPr>
          <w:rFonts w:asciiTheme="majorHAnsi" w:hAnsiTheme="majorHAnsi"/>
          <w:sz w:val="20"/>
          <w:szCs w:val="20"/>
        </w:rPr>
        <w:t>The State further noted that the alleged victims never went to the CNE to lay out their case so that this agency could determine whether there had been a violation of their political rights.</w:t>
      </w:r>
      <w:r w:rsidR="005E6C10">
        <w:rPr>
          <w:rFonts w:asciiTheme="majorHAnsi" w:hAnsiTheme="majorHAnsi"/>
          <w:sz w:val="20"/>
          <w:szCs w:val="20"/>
        </w:rPr>
        <w:t xml:space="preserve"> </w:t>
      </w:r>
    </w:p>
    <w:p w14:paraId="696EF578" w14:textId="77777777" w:rsidR="00182E76" w:rsidRPr="00326F31" w:rsidRDefault="00182E76" w:rsidP="00326F31">
      <w:pPr>
        <w:pStyle w:val="ListParagraph"/>
        <w:jc w:val="both"/>
        <w:rPr>
          <w:rFonts w:asciiTheme="majorHAnsi" w:hAnsiTheme="majorHAnsi"/>
          <w:sz w:val="20"/>
          <w:szCs w:val="20"/>
        </w:rPr>
      </w:pPr>
    </w:p>
    <w:p w14:paraId="7A2EDEBB" w14:textId="325BF12B" w:rsidR="00182E76" w:rsidRPr="00326F31" w:rsidRDefault="00182E76" w:rsidP="00326F3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sz w:val="20"/>
          <w:szCs w:val="20"/>
          <w:bdr w:val="none" w:sz="0" w:space="0" w:color="auto"/>
        </w:rPr>
      </w:pPr>
      <w:r w:rsidRPr="00326F31">
        <w:rPr>
          <w:rFonts w:asciiTheme="majorHAnsi" w:hAnsiTheme="majorHAnsi"/>
          <w:sz w:val="20"/>
          <w:szCs w:val="20"/>
        </w:rPr>
        <w:t>The State claimed that on July 6, 2004, the alleged victims filed a complaint with the Office of the Public Prosecutor, but on January 1, 2005, the Office of the Thirty-Seventh Prosecuting Attorney of the Office of the Public Prosecutor with Full Jurisdiction nationwide moved for the dismissal of the case, a decision upheld at the appeals level.</w:t>
      </w:r>
      <w:r w:rsidR="005E6C10">
        <w:rPr>
          <w:rFonts w:asciiTheme="majorHAnsi" w:hAnsiTheme="majorHAnsi"/>
          <w:sz w:val="20"/>
          <w:szCs w:val="20"/>
        </w:rPr>
        <w:t xml:space="preserve"> </w:t>
      </w:r>
      <w:r w:rsidRPr="00326F31">
        <w:rPr>
          <w:rFonts w:asciiTheme="majorHAnsi" w:hAnsiTheme="majorHAnsi"/>
          <w:sz w:val="20"/>
          <w:szCs w:val="20"/>
        </w:rPr>
        <w:t>The State also noted that the alleged victims filed a direct appeal to the highest court of review (</w:t>
      </w:r>
      <w:r w:rsidRPr="00326F31">
        <w:rPr>
          <w:rFonts w:asciiTheme="majorHAnsi" w:hAnsiTheme="majorHAnsi"/>
          <w:i/>
          <w:sz w:val="20"/>
          <w:szCs w:val="20"/>
        </w:rPr>
        <w:t>casación</w:t>
      </w:r>
      <w:r w:rsidRPr="00326F31">
        <w:rPr>
          <w:rFonts w:asciiTheme="majorHAnsi" w:hAnsiTheme="majorHAnsi"/>
          <w:sz w:val="20"/>
          <w:szCs w:val="20"/>
        </w:rPr>
        <w:t>), which was also denied.</w:t>
      </w:r>
    </w:p>
    <w:p w14:paraId="45F686B0" w14:textId="77777777" w:rsidR="00182E76" w:rsidRPr="00326F31" w:rsidRDefault="00182E76" w:rsidP="00326F31">
      <w:pPr>
        <w:jc w:val="both"/>
        <w:rPr>
          <w:rFonts w:asciiTheme="majorHAnsi" w:hAnsiTheme="majorHAnsi"/>
          <w:sz w:val="20"/>
          <w:szCs w:val="20"/>
        </w:rPr>
      </w:pPr>
    </w:p>
    <w:p w14:paraId="34B441AD" w14:textId="7389F802" w:rsidR="00182E76" w:rsidRPr="00326F31" w:rsidRDefault="00182E76" w:rsidP="00326F3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sz w:val="20"/>
          <w:szCs w:val="20"/>
          <w:bdr w:val="none" w:sz="0" w:space="0" w:color="auto"/>
        </w:rPr>
      </w:pPr>
      <w:r w:rsidRPr="00326F31">
        <w:rPr>
          <w:rFonts w:asciiTheme="majorHAnsi" w:hAnsiTheme="majorHAnsi"/>
          <w:sz w:val="20"/>
          <w:szCs w:val="20"/>
        </w:rPr>
        <w:t>As for the violation of the right to humane treatment, the State contended that applying a clause of a contract can hardly be viewed as “cruel” treatment.</w:t>
      </w:r>
      <w:r w:rsidR="005E6C10">
        <w:rPr>
          <w:rFonts w:asciiTheme="majorHAnsi" w:hAnsiTheme="majorHAnsi"/>
          <w:sz w:val="20"/>
          <w:szCs w:val="20"/>
        </w:rPr>
        <w:t xml:space="preserve"> </w:t>
      </w:r>
      <w:r w:rsidRPr="00326F31">
        <w:rPr>
          <w:rFonts w:asciiTheme="majorHAnsi" w:hAnsiTheme="majorHAnsi"/>
          <w:sz w:val="20"/>
          <w:szCs w:val="20"/>
        </w:rPr>
        <w:t>The State also asserted that the complainants were unsuccessful at proving that they had been threatened, and noted that beca</w:t>
      </w:r>
      <w:r w:rsidR="00AF3572">
        <w:rPr>
          <w:rFonts w:asciiTheme="majorHAnsi" w:hAnsiTheme="majorHAnsi"/>
          <w:sz w:val="20"/>
          <w:szCs w:val="20"/>
        </w:rPr>
        <w:t>use the relevant labor law, the</w:t>
      </w:r>
      <w:r w:rsidRPr="00326F31">
        <w:rPr>
          <w:rFonts w:asciiTheme="majorHAnsi" w:hAnsiTheme="majorHAnsi"/>
          <w:sz w:val="20"/>
          <w:szCs w:val="20"/>
        </w:rPr>
        <w:t xml:space="preserve"> alleged victims were eligible to apply for civil service positions through a competitive process.</w:t>
      </w:r>
    </w:p>
    <w:p w14:paraId="29A30324" w14:textId="77777777" w:rsidR="00FA3C98" w:rsidRPr="00326F31" w:rsidRDefault="00FA3C98" w:rsidP="00326F3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Times New Roman" w:hAnsiTheme="majorHAnsi"/>
          <w:sz w:val="20"/>
          <w:szCs w:val="20"/>
          <w:bdr w:val="none" w:sz="0" w:space="0" w:color="auto"/>
        </w:rPr>
      </w:pPr>
    </w:p>
    <w:p w14:paraId="0F9A2E04" w14:textId="5F6652EE" w:rsidR="007D389B" w:rsidRPr="00326F31" w:rsidRDefault="00182E76" w:rsidP="00326F3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sz w:val="20"/>
          <w:szCs w:val="20"/>
          <w:bdr w:val="none" w:sz="0" w:space="0" w:color="auto"/>
        </w:rPr>
      </w:pPr>
      <w:r w:rsidRPr="00326F31">
        <w:rPr>
          <w:rFonts w:asciiTheme="majorHAnsi" w:hAnsiTheme="majorHAnsi"/>
          <w:sz w:val="20"/>
          <w:szCs w:val="20"/>
        </w:rPr>
        <w:t xml:space="preserve">With regard to the charge of violation of the right to a fair trial, the State asserted that the alleged victims were not the target of administrative sanctions, but of the application of a contractual clause that granted the power to the employer, as well as to the employee, to terminate the </w:t>
      </w:r>
      <w:r w:rsidR="00AF3572">
        <w:rPr>
          <w:rFonts w:asciiTheme="majorHAnsi" w:hAnsiTheme="majorHAnsi"/>
          <w:sz w:val="20"/>
          <w:szCs w:val="20"/>
        </w:rPr>
        <w:t>work</w:t>
      </w:r>
      <w:r w:rsidRPr="00326F31">
        <w:rPr>
          <w:rFonts w:asciiTheme="majorHAnsi" w:hAnsiTheme="majorHAnsi"/>
          <w:sz w:val="20"/>
          <w:szCs w:val="20"/>
        </w:rPr>
        <w:t xml:space="preserve"> relationship simply by giving notice to cease their activities, without cause.</w:t>
      </w:r>
      <w:r w:rsidR="005E6C10">
        <w:rPr>
          <w:rFonts w:asciiTheme="majorHAnsi" w:hAnsiTheme="majorHAnsi"/>
          <w:sz w:val="20"/>
          <w:szCs w:val="20"/>
        </w:rPr>
        <w:t xml:space="preserve"> </w:t>
      </w:r>
      <w:r w:rsidRPr="00326F31">
        <w:rPr>
          <w:rFonts w:asciiTheme="majorHAnsi" w:hAnsiTheme="majorHAnsi"/>
          <w:sz w:val="20"/>
          <w:szCs w:val="20"/>
        </w:rPr>
        <w:t>In this regard, the State considered that the complainants were not “removed from office” (‘</w:t>
      </w:r>
      <w:r w:rsidRPr="00326F31">
        <w:rPr>
          <w:rFonts w:asciiTheme="majorHAnsi" w:hAnsiTheme="majorHAnsi"/>
          <w:i/>
          <w:sz w:val="20"/>
          <w:szCs w:val="20"/>
        </w:rPr>
        <w:t xml:space="preserve">destituido’ </w:t>
      </w:r>
      <w:r w:rsidRPr="00326F31">
        <w:rPr>
          <w:rFonts w:asciiTheme="majorHAnsi" w:hAnsiTheme="majorHAnsi"/>
          <w:sz w:val="20"/>
          <w:szCs w:val="20"/>
        </w:rPr>
        <w:t xml:space="preserve">a term reserved for public officials) but rather the </w:t>
      </w:r>
      <w:r w:rsidRPr="00326F31">
        <w:rPr>
          <w:rFonts w:asciiTheme="majorHAnsi" w:hAnsiTheme="majorHAnsi"/>
          <w:sz w:val="20"/>
          <w:szCs w:val="20"/>
        </w:rPr>
        <w:lastRenderedPageBreak/>
        <w:t>legal provision that was applicable to them was the terms of their respective contracts and, supplementarily, the Organic Labor Law, which provides for the payment of certain amounts of money to cover the time that the dismissed employee is engaged in securing new employment.</w:t>
      </w:r>
      <w:r w:rsidR="005E6C10">
        <w:rPr>
          <w:rFonts w:asciiTheme="majorHAnsi" w:hAnsiTheme="majorHAnsi"/>
          <w:sz w:val="20"/>
          <w:szCs w:val="20"/>
        </w:rPr>
        <w:t xml:space="preserve"> </w:t>
      </w:r>
      <w:r w:rsidRPr="00326F31">
        <w:rPr>
          <w:rFonts w:asciiTheme="majorHAnsi" w:hAnsiTheme="majorHAnsi"/>
          <w:sz w:val="20"/>
          <w:szCs w:val="20"/>
        </w:rPr>
        <w:t>The State claimed that the amounts of money that the alleged victims were entitled to under the law were made available to them.</w:t>
      </w:r>
      <w:r w:rsidR="005E6C10">
        <w:rPr>
          <w:rFonts w:asciiTheme="majorHAnsi" w:hAnsiTheme="majorHAnsi"/>
          <w:sz w:val="20"/>
          <w:szCs w:val="20"/>
        </w:rPr>
        <w:t xml:space="preserve"> </w:t>
      </w:r>
      <w:r w:rsidRPr="00326F31">
        <w:rPr>
          <w:rFonts w:asciiTheme="majorHAnsi" w:hAnsiTheme="majorHAnsi"/>
          <w:sz w:val="20"/>
          <w:szCs w:val="20"/>
        </w:rPr>
        <w:t>Furthermore, the State asserted that the Law does not prescribe any procedure prior to terminating a contract and it was not necessary to give cause for the acts of dismissal.</w:t>
      </w:r>
      <w:r w:rsidR="005E6C10">
        <w:rPr>
          <w:rFonts w:asciiTheme="majorHAnsi" w:hAnsiTheme="majorHAnsi"/>
          <w:sz w:val="20"/>
          <w:szCs w:val="20"/>
        </w:rPr>
        <w:t xml:space="preserve"> </w:t>
      </w:r>
      <w:r w:rsidRPr="00326F31">
        <w:rPr>
          <w:rFonts w:asciiTheme="majorHAnsi" w:hAnsiTheme="majorHAnsi"/>
          <w:sz w:val="20"/>
          <w:szCs w:val="20"/>
        </w:rPr>
        <w:t xml:space="preserve">In this regard, it noted that the alleged victims were not public officials, as defined by the Constitution and the Public Service Statute. </w:t>
      </w:r>
    </w:p>
    <w:p w14:paraId="4E1D7876" w14:textId="77777777" w:rsidR="007D389B" w:rsidRPr="00326F31" w:rsidRDefault="007D389B" w:rsidP="00326F3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Times New Roman" w:hAnsiTheme="majorHAnsi"/>
          <w:sz w:val="20"/>
          <w:szCs w:val="20"/>
          <w:bdr w:val="none" w:sz="0" w:space="0" w:color="auto"/>
        </w:rPr>
      </w:pPr>
    </w:p>
    <w:p w14:paraId="2AD54367" w14:textId="0554FB64" w:rsidR="007D389B" w:rsidRPr="00326F31" w:rsidRDefault="007D389B" w:rsidP="00326F3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sz w:val="20"/>
          <w:szCs w:val="20"/>
          <w:bdr w:val="none" w:sz="0" w:space="0" w:color="auto"/>
        </w:rPr>
      </w:pPr>
      <w:r w:rsidRPr="00326F31">
        <w:rPr>
          <w:rFonts w:asciiTheme="majorHAnsi" w:hAnsiTheme="majorHAnsi"/>
          <w:sz w:val="20"/>
          <w:szCs w:val="20"/>
        </w:rPr>
        <w:t>The State contended that the alleged victims wrongly filed a criminal complaint with the Office of the Public Prosecutor on May 27, 2004.</w:t>
      </w:r>
      <w:r w:rsidR="005E6C10">
        <w:rPr>
          <w:rFonts w:asciiTheme="majorHAnsi" w:hAnsiTheme="majorHAnsi"/>
          <w:sz w:val="20"/>
          <w:szCs w:val="20"/>
        </w:rPr>
        <w:t xml:space="preserve"> </w:t>
      </w:r>
      <w:r w:rsidRPr="00326F31">
        <w:rPr>
          <w:rFonts w:asciiTheme="majorHAnsi" w:hAnsiTheme="majorHAnsi"/>
          <w:sz w:val="20"/>
          <w:szCs w:val="20"/>
        </w:rPr>
        <w:t xml:space="preserve">On this issue, it argued that the complainants “intend to confuse the IACHR with the filing of </w:t>
      </w:r>
      <w:r w:rsidR="00CB0181" w:rsidRPr="00326F31">
        <w:rPr>
          <w:rFonts w:asciiTheme="majorHAnsi" w:hAnsiTheme="majorHAnsi"/>
          <w:sz w:val="20"/>
          <w:szCs w:val="20"/>
        </w:rPr>
        <w:t>non-suitable</w:t>
      </w:r>
      <w:r w:rsidRPr="00326F31">
        <w:rPr>
          <w:rFonts w:asciiTheme="majorHAnsi" w:hAnsiTheme="majorHAnsi"/>
          <w:sz w:val="20"/>
          <w:szCs w:val="20"/>
        </w:rPr>
        <w:t xml:space="preserve"> remedies for the restoration of their allegedly violated right, without distinguishing between [on the one hand] the criminal responsibility that civil servants have as a consequence of their duties and of the public property they are in charge of, and, on the other hand, the consequences and obligations arising from termination of a labor relationship, which is settled in the labor rather than the criminal courts.”</w:t>
      </w:r>
    </w:p>
    <w:p w14:paraId="1F9F6595" w14:textId="77777777" w:rsidR="00CA28F3" w:rsidRPr="00326F31" w:rsidRDefault="00CA28F3" w:rsidP="00326F3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Times New Roman" w:hAnsiTheme="majorHAnsi"/>
          <w:sz w:val="20"/>
          <w:szCs w:val="20"/>
          <w:bdr w:val="none" w:sz="0" w:space="0" w:color="auto"/>
        </w:rPr>
      </w:pPr>
    </w:p>
    <w:p w14:paraId="6D19505C" w14:textId="1A50FFB7" w:rsidR="007D389B" w:rsidRPr="00326F31" w:rsidRDefault="007D389B" w:rsidP="00326F3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sz w:val="20"/>
          <w:szCs w:val="20"/>
          <w:bdr w:val="none" w:sz="0" w:space="0" w:color="auto"/>
        </w:rPr>
      </w:pPr>
      <w:r w:rsidRPr="00326F31">
        <w:rPr>
          <w:rFonts w:asciiTheme="majorHAnsi" w:hAnsiTheme="majorHAnsi"/>
          <w:sz w:val="20"/>
          <w:szCs w:val="20"/>
        </w:rPr>
        <w:t>As for the alleged violation of the right to freedom of expression, the State reiterates that the rescission of the contracts of the alleged victims was not a punishment, but rather involved the simple application of a contractual clause pursuant to the law.</w:t>
      </w:r>
      <w:r w:rsidR="005E6C10">
        <w:rPr>
          <w:rFonts w:asciiTheme="majorHAnsi" w:hAnsiTheme="majorHAnsi"/>
          <w:sz w:val="20"/>
          <w:szCs w:val="20"/>
        </w:rPr>
        <w:t xml:space="preserve"> </w:t>
      </w:r>
      <w:r w:rsidRPr="00326F31">
        <w:rPr>
          <w:rFonts w:asciiTheme="majorHAnsi" w:hAnsiTheme="majorHAnsi"/>
          <w:sz w:val="20"/>
          <w:szCs w:val="20"/>
        </w:rPr>
        <w:t>The State stressed that no court proceedings were brought against the complainants for issuing statements of a political nature, nor has the media been sanctioned or censured for being a vehicle of expression of citizens who supported the petition for the recall referendum.</w:t>
      </w:r>
      <w:r w:rsidR="005E6C10">
        <w:rPr>
          <w:rFonts w:asciiTheme="majorHAnsi" w:hAnsiTheme="majorHAnsi"/>
          <w:sz w:val="20"/>
          <w:szCs w:val="20"/>
        </w:rPr>
        <w:t xml:space="preserve"> </w:t>
      </w:r>
    </w:p>
    <w:p w14:paraId="1BB7969A" w14:textId="77777777" w:rsidR="007D389B" w:rsidRPr="00326F31" w:rsidRDefault="007D389B" w:rsidP="00326F3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bdr w:val="none" w:sz="0" w:space="0" w:color="auto"/>
        </w:rPr>
      </w:pPr>
    </w:p>
    <w:p w14:paraId="437E8BDA" w14:textId="5373D97E" w:rsidR="0020074C" w:rsidRPr="00326F31" w:rsidRDefault="00CA28F3" w:rsidP="00326F3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sz w:val="20"/>
          <w:szCs w:val="20"/>
          <w:bdr w:val="none" w:sz="0" w:space="0" w:color="auto"/>
        </w:rPr>
      </w:pPr>
      <w:r w:rsidRPr="00326F31">
        <w:rPr>
          <w:rFonts w:asciiTheme="majorHAnsi" w:hAnsiTheme="majorHAnsi"/>
          <w:sz w:val="20"/>
          <w:szCs w:val="20"/>
        </w:rPr>
        <w:t>Likewise, according to the Venezuelan State, there was no violation of the right to freedom of association, because the exercise of that right on a subject of such great national consequence as a referendum on a presidential recall, must be duly regulated.</w:t>
      </w:r>
      <w:r w:rsidR="005E6C10">
        <w:rPr>
          <w:rFonts w:asciiTheme="majorHAnsi" w:hAnsiTheme="majorHAnsi"/>
          <w:sz w:val="20"/>
          <w:szCs w:val="20"/>
        </w:rPr>
        <w:t xml:space="preserve"> </w:t>
      </w:r>
      <w:r w:rsidRPr="00326F31">
        <w:rPr>
          <w:rFonts w:asciiTheme="majorHAnsi" w:hAnsiTheme="majorHAnsi"/>
          <w:sz w:val="20"/>
          <w:szCs w:val="20"/>
        </w:rPr>
        <w:t>In support of this claim, the State argued that on September 25, 2003, the CNE issued the “Guidelines Regulating Processes of Recall Referenda of the Terms in Office of Popularly Elected Positions,” which ensures compliance of the State with the obligation to the democratic exercise of the will of the people. The State asserted that several different referenda processes carried out in Venezuela are of public knowledge and are widely known internationally, in which the participation of the citizenry, the</w:t>
      </w:r>
      <w:r w:rsidR="0037160C" w:rsidRPr="00326F31">
        <w:rPr>
          <w:rFonts w:asciiTheme="majorHAnsi" w:hAnsiTheme="majorHAnsi"/>
          <w:sz w:val="20"/>
          <w:szCs w:val="20"/>
        </w:rPr>
        <w:t xml:space="preserve"> collaboration of the</w:t>
      </w:r>
      <w:r w:rsidRPr="00326F31">
        <w:rPr>
          <w:rFonts w:asciiTheme="majorHAnsi" w:hAnsiTheme="majorHAnsi"/>
          <w:sz w:val="20"/>
          <w:szCs w:val="20"/>
        </w:rPr>
        <w:t xml:space="preserve"> CNE and</w:t>
      </w:r>
      <w:r w:rsidR="0037160C" w:rsidRPr="00326F31">
        <w:rPr>
          <w:rFonts w:asciiTheme="majorHAnsi" w:hAnsiTheme="majorHAnsi"/>
          <w:sz w:val="20"/>
          <w:szCs w:val="20"/>
        </w:rPr>
        <w:t xml:space="preserve"> of </w:t>
      </w:r>
      <w:r w:rsidRPr="00326F31">
        <w:rPr>
          <w:rFonts w:asciiTheme="majorHAnsi" w:hAnsiTheme="majorHAnsi"/>
          <w:sz w:val="20"/>
          <w:szCs w:val="20"/>
        </w:rPr>
        <w:t>State</w:t>
      </w:r>
      <w:r w:rsidR="0037160C" w:rsidRPr="00326F31">
        <w:rPr>
          <w:rFonts w:asciiTheme="majorHAnsi" w:hAnsiTheme="majorHAnsi"/>
          <w:sz w:val="20"/>
          <w:szCs w:val="20"/>
        </w:rPr>
        <w:t xml:space="preserve"> authorities</w:t>
      </w:r>
      <w:r w:rsidRPr="00326F31">
        <w:rPr>
          <w:rFonts w:asciiTheme="majorHAnsi" w:hAnsiTheme="majorHAnsi"/>
          <w:sz w:val="20"/>
          <w:szCs w:val="20"/>
        </w:rPr>
        <w:t xml:space="preserve"> was evident. </w:t>
      </w:r>
    </w:p>
    <w:p w14:paraId="59786B20" w14:textId="77777777" w:rsidR="0020074C" w:rsidRPr="00326F31" w:rsidRDefault="0020074C" w:rsidP="00326F31">
      <w:pPr>
        <w:pStyle w:val="ListParagraph"/>
        <w:jc w:val="both"/>
        <w:rPr>
          <w:rFonts w:asciiTheme="majorHAnsi" w:hAnsiTheme="majorHAnsi"/>
          <w:sz w:val="20"/>
          <w:szCs w:val="20"/>
        </w:rPr>
      </w:pPr>
    </w:p>
    <w:p w14:paraId="7C240BA5" w14:textId="6659ACEF" w:rsidR="0037160C" w:rsidRPr="00326F31" w:rsidRDefault="0037160C" w:rsidP="00326F3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sz w:val="20"/>
          <w:szCs w:val="20"/>
          <w:bdr w:val="none" w:sz="0" w:space="0" w:color="auto"/>
        </w:rPr>
      </w:pPr>
      <w:r w:rsidRPr="00326F31">
        <w:rPr>
          <w:rFonts w:asciiTheme="majorHAnsi" w:hAnsiTheme="majorHAnsi"/>
          <w:sz w:val="20"/>
          <w:szCs w:val="20"/>
        </w:rPr>
        <w:t>With regard to the violation of the right to participate in government, the State contended that the complainants did not provide adequate and legally sound evidence to prove that they were the targets of political pressure to not exercise their political rights.</w:t>
      </w:r>
      <w:r w:rsidR="005E6C10">
        <w:rPr>
          <w:rFonts w:asciiTheme="majorHAnsi" w:hAnsiTheme="majorHAnsi"/>
          <w:sz w:val="20"/>
          <w:szCs w:val="20"/>
        </w:rPr>
        <w:t xml:space="preserve"> </w:t>
      </w:r>
      <w:r w:rsidRPr="00326F31">
        <w:rPr>
          <w:rFonts w:asciiTheme="majorHAnsi" w:hAnsiTheme="majorHAnsi"/>
          <w:sz w:val="20"/>
          <w:szCs w:val="20"/>
        </w:rPr>
        <w:t xml:space="preserve">In this regard, they contended that the rescission of a labor contract is not regarded in Venezuelan law as a sanction. They further asserted that the complainants can hardly contend that the State </w:t>
      </w:r>
      <w:r w:rsidR="0020074C" w:rsidRPr="00326F31">
        <w:rPr>
          <w:rFonts w:asciiTheme="majorHAnsi" w:hAnsiTheme="majorHAnsi"/>
          <w:sz w:val="20"/>
          <w:szCs w:val="20"/>
        </w:rPr>
        <w:t xml:space="preserve">has infringed </w:t>
      </w:r>
      <w:r w:rsidRPr="00326F31">
        <w:rPr>
          <w:rFonts w:asciiTheme="majorHAnsi" w:hAnsiTheme="majorHAnsi"/>
          <w:sz w:val="20"/>
          <w:szCs w:val="20"/>
        </w:rPr>
        <w:t xml:space="preserve">their right to have equal access to </w:t>
      </w:r>
      <w:r w:rsidR="0020074C" w:rsidRPr="00326F31">
        <w:rPr>
          <w:rFonts w:asciiTheme="majorHAnsi" w:hAnsiTheme="majorHAnsi"/>
          <w:sz w:val="20"/>
          <w:szCs w:val="20"/>
        </w:rPr>
        <w:t>public service,</w:t>
      </w:r>
      <w:r w:rsidRPr="00326F31">
        <w:rPr>
          <w:rFonts w:asciiTheme="majorHAnsi" w:hAnsiTheme="majorHAnsi"/>
          <w:sz w:val="20"/>
          <w:szCs w:val="20"/>
        </w:rPr>
        <w:t xml:space="preserve"> since </w:t>
      </w:r>
      <w:r w:rsidR="0020074C" w:rsidRPr="00326F31">
        <w:rPr>
          <w:rFonts w:asciiTheme="majorHAnsi" w:hAnsiTheme="majorHAnsi"/>
          <w:sz w:val="20"/>
          <w:szCs w:val="20"/>
        </w:rPr>
        <w:t xml:space="preserve">what occurred was the resolution of a work </w:t>
      </w:r>
      <w:r w:rsidR="00CB0181" w:rsidRPr="00326F31">
        <w:rPr>
          <w:rFonts w:asciiTheme="majorHAnsi" w:hAnsiTheme="majorHAnsi"/>
          <w:sz w:val="20"/>
          <w:szCs w:val="20"/>
        </w:rPr>
        <w:t>contract</w:t>
      </w:r>
      <w:r w:rsidRPr="00326F31">
        <w:rPr>
          <w:rFonts w:asciiTheme="majorHAnsi" w:hAnsiTheme="majorHAnsi"/>
          <w:sz w:val="20"/>
          <w:szCs w:val="20"/>
        </w:rPr>
        <w:t>, in which the alleged victims lacked the status of public officials.</w:t>
      </w:r>
      <w:r w:rsidR="005E6C10">
        <w:rPr>
          <w:rFonts w:asciiTheme="majorHAnsi" w:hAnsiTheme="majorHAnsi"/>
          <w:sz w:val="20"/>
          <w:szCs w:val="20"/>
        </w:rPr>
        <w:t xml:space="preserve"> </w:t>
      </w:r>
      <w:r w:rsidRPr="00326F31">
        <w:rPr>
          <w:rFonts w:asciiTheme="majorHAnsi" w:hAnsiTheme="majorHAnsi"/>
          <w:sz w:val="20"/>
          <w:szCs w:val="20"/>
        </w:rPr>
        <w:t xml:space="preserve">It argued that there is nothing on record to prove that these citizens have ever taken part in a competitive process to apply for positions in the civil service. </w:t>
      </w:r>
    </w:p>
    <w:p w14:paraId="0CC73EF7" w14:textId="77777777" w:rsidR="00A24801" w:rsidRPr="00326F31" w:rsidRDefault="00A24801" w:rsidP="00326F31">
      <w:pPr>
        <w:jc w:val="both"/>
        <w:rPr>
          <w:rFonts w:asciiTheme="majorHAnsi" w:eastAsia="Times New Roman" w:hAnsiTheme="majorHAnsi"/>
          <w:sz w:val="20"/>
          <w:szCs w:val="20"/>
          <w:bdr w:val="none" w:sz="0" w:space="0" w:color="auto"/>
        </w:rPr>
      </w:pPr>
    </w:p>
    <w:p w14:paraId="2CF7919E" w14:textId="77777777" w:rsidR="0020074C" w:rsidRPr="00326F31" w:rsidRDefault="0020074C" w:rsidP="00326F3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sz w:val="20"/>
          <w:szCs w:val="20"/>
          <w:bdr w:val="none" w:sz="0" w:space="0" w:color="auto"/>
        </w:rPr>
      </w:pPr>
      <w:r w:rsidRPr="00326F31">
        <w:rPr>
          <w:rFonts w:asciiTheme="majorHAnsi" w:hAnsiTheme="majorHAnsi"/>
          <w:sz w:val="20"/>
          <w:szCs w:val="20"/>
        </w:rPr>
        <w:t>Concerning the violation of the right to equal protection, the State reiterated its arguments on the nature of the contract of the alleged victims, indicating that they intended to link the termination of an employment relationship with the exercise of a political right, departing from inaccurate deductions, as well as illegally obtained recordings, rejected by Venezuelan national courts. The State argued that the alleged victims were aware of the nature of their contracts, which is reflected in the authority before which they presented their</w:t>
      </w:r>
      <w:r w:rsidRPr="00326F31">
        <w:rPr>
          <w:rFonts w:asciiTheme="majorHAnsi" w:hAnsiTheme="majorHAnsi"/>
          <w:i/>
          <w:sz w:val="20"/>
          <w:szCs w:val="20"/>
        </w:rPr>
        <w:t xml:space="preserve"> amparo</w:t>
      </w:r>
      <w:r w:rsidRPr="00326F31">
        <w:rPr>
          <w:rFonts w:asciiTheme="majorHAnsi" w:hAnsiTheme="majorHAnsi"/>
          <w:sz w:val="20"/>
          <w:szCs w:val="20"/>
        </w:rPr>
        <w:t xml:space="preserve"> proceeding for constitutional relief.</w:t>
      </w:r>
    </w:p>
    <w:p w14:paraId="26FDF7E5" w14:textId="77777777" w:rsidR="0020074C" w:rsidRPr="00326F31" w:rsidRDefault="0020074C" w:rsidP="00326F31">
      <w:pPr>
        <w:pStyle w:val="ListParagraph"/>
        <w:jc w:val="both"/>
        <w:rPr>
          <w:rFonts w:asciiTheme="majorHAnsi" w:hAnsiTheme="majorHAnsi"/>
          <w:sz w:val="20"/>
          <w:szCs w:val="20"/>
        </w:rPr>
      </w:pPr>
    </w:p>
    <w:p w14:paraId="2A99EBA0" w14:textId="6AF310F9" w:rsidR="0020074C" w:rsidRPr="00326F31" w:rsidRDefault="0020074C" w:rsidP="00326F3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sz w:val="20"/>
          <w:szCs w:val="20"/>
          <w:bdr w:val="none" w:sz="0" w:space="0" w:color="auto"/>
        </w:rPr>
      </w:pPr>
      <w:r w:rsidRPr="00326F31">
        <w:rPr>
          <w:rFonts w:asciiTheme="majorHAnsi" w:hAnsiTheme="majorHAnsi"/>
          <w:sz w:val="20"/>
          <w:szCs w:val="20"/>
        </w:rPr>
        <w:t xml:space="preserve">As for the violation of the right to judicial protection alleged by the petitioners, the State argued that the fact that the </w:t>
      </w:r>
      <w:r w:rsidRPr="00326F31">
        <w:rPr>
          <w:rFonts w:asciiTheme="majorHAnsi" w:hAnsiTheme="majorHAnsi"/>
          <w:i/>
          <w:sz w:val="20"/>
          <w:szCs w:val="20"/>
        </w:rPr>
        <w:t xml:space="preserve">amparo </w:t>
      </w:r>
      <w:r w:rsidRPr="00326F31">
        <w:rPr>
          <w:rFonts w:asciiTheme="majorHAnsi" w:hAnsiTheme="majorHAnsi"/>
          <w:sz w:val="20"/>
          <w:szCs w:val="20"/>
        </w:rPr>
        <w:t xml:space="preserve">claim for constitutional relief was found groundless did not mean that there has been a violation of the provisions of the Convention, because despite the existence of the ordinary labor procedure before the labor courts, the </w:t>
      </w:r>
      <w:r w:rsidRPr="00326F31">
        <w:rPr>
          <w:rFonts w:asciiTheme="majorHAnsi" w:hAnsiTheme="majorHAnsi"/>
          <w:i/>
          <w:sz w:val="20"/>
          <w:szCs w:val="20"/>
        </w:rPr>
        <w:t>amparo</w:t>
      </w:r>
      <w:r w:rsidRPr="00326F31">
        <w:rPr>
          <w:rFonts w:asciiTheme="majorHAnsi" w:hAnsiTheme="majorHAnsi"/>
          <w:sz w:val="20"/>
          <w:szCs w:val="20"/>
        </w:rPr>
        <w:t xml:space="preserve"> claim, an action of a special nature, was admitted and processed in keeping with the law.</w:t>
      </w:r>
      <w:r w:rsidR="005E6C10">
        <w:rPr>
          <w:rFonts w:asciiTheme="majorHAnsi" w:hAnsiTheme="majorHAnsi"/>
          <w:sz w:val="20"/>
          <w:szCs w:val="20"/>
        </w:rPr>
        <w:t xml:space="preserve"> </w:t>
      </w:r>
      <w:r w:rsidRPr="00326F31">
        <w:rPr>
          <w:rFonts w:asciiTheme="majorHAnsi" w:hAnsiTheme="majorHAnsi"/>
          <w:sz w:val="20"/>
          <w:szCs w:val="20"/>
        </w:rPr>
        <w:t>According to the State, the judge who heard the case, based on the standard of free and reasoned judgment (</w:t>
      </w:r>
      <w:r w:rsidRPr="00326F31">
        <w:rPr>
          <w:rFonts w:asciiTheme="majorHAnsi" w:hAnsiTheme="majorHAnsi"/>
          <w:i/>
          <w:sz w:val="20"/>
          <w:szCs w:val="20"/>
        </w:rPr>
        <w:t>sana crítica</w:t>
      </w:r>
      <w:r w:rsidRPr="00326F31">
        <w:rPr>
          <w:rFonts w:asciiTheme="majorHAnsi" w:hAnsiTheme="majorHAnsi"/>
          <w:sz w:val="20"/>
          <w:szCs w:val="20"/>
        </w:rPr>
        <w:t>) examined the evidence introduced by the parties and ruled pursuant to the law.</w:t>
      </w:r>
      <w:r w:rsidR="005E6C10">
        <w:rPr>
          <w:rFonts w:asciiTheme="majorHAnsi" w:hAnsiTheme="majorHAnsi"/>
          <w:sz w:val="20"/>
          <w:szCs w:val="20"/>
        </w:rPr>
        <w:t xml:space="preserve"> </w:t>
      </w:r>
      <w:r w:rsidRPr="00326F31">
        <w:rPr>
          <w:rFonts w:asciiTheme="majorHAnsi" w:hAnsiTheme="majorHAnsi"/>
          <w:sz w:val="20"/>
          <w:szCs w:val="20"/>
        </w:rPr>
        <w:t xml:space="preserve">Additionally, the State believed that the alleged victims had a suitable remedy available to </w:t>
      </w:r>
      <w:r w:rsidRPr="00326F31">
        <w:rPr>
          <w:rFonts w:asciiTheme="majorHAnsi" w:hAnsiTheme="majorHAnsi"/>
          <w:sz w:val="20"/>
          <w:szCs w:val="20"/>
        </w:rPr>
        <w:lastRenderedPageBreak/>
        <w:t xml:space="preserve">them in the labor courts, but they chose to pursue the least suitable remedy of the </w:t>
      </w:r>
      <w:r w:rsidRPr="00326F31">
        <w:rPr>
          <w:rFonts w:asciiTheme="majorHAnsi" w:hAnsiTheme="majorHAnsi"/>
          <w:i/>
          <w:sz w:val="20"/>
          <w:szCs w:val="20"/>
        </w:rPr>
        <w:t xml:space="preserve">amparo </w:t>
      </w:r>
      <w:r w:rsidRPr="00326F31">
        <w:rPr>
          <w:rFonts w:asciiTheme="majorHAnsi" w:hAnsiTheme="majorHAnsi"/>
          <w:sz w:val="20"/>
          <w:szCs w:val="20"/>
        </w:rPr>
        <w:t>claim for constitutional relief as a mechanism to gain access “recklessly” to international bodies.</w:t>
      </w:r>
    </w:p>
    <w:p w14:paraId="14DAD7EA" w14:textId="77777777" w:rsidR="0020074C" w:rsidRPr="00326F31" w:rsidRDefault="0020074C" w:rsidP="00326F3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bdr w:val="none" w:sz="0" w:space="0" w:color="auto"/>
        </w:rPr>
      </w:pPr>
    </w:p>
    <w:p w14:paraId="343B54D2" w14:textId="20F3AF51" w:rsidR="003A38FB" w:rsidRPr="00326F31" w:rsidRDefault="003A38FB" w:rsidP="00326F3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sz w:val="20"/>
          <w:szCs w:val="20"/>
          <w:bdr w:val="none" w:sz="0" w:space="0" w:color="auto"/>
        </w:rPr>
      </w:pPr>
      <w:r w:rsidRPr="00326F31">
        <w:rPr>
          <w:rFonts w:asciiTheme="majorHAnsi" w:hAnsiTheme="majorHAnsi"/>
          <w:sz w:val="20"/>
          <w:szCs w:val="20"/>
        </w:rPr>
        <w:t>The State also believed that it had not transgressed Article 26 of the Convention, inasmuch as Venezuelan law sets forth criteria to provide monetary reparation to workers when they are dismissed, as well as payment of unemployment benefits as provided by the Organic Labor Law.</w:t>
      </w:r>
      <w:r w:rsidR="005E6C10">
        <w:rPr>
          <w:rFonts w:asciiTheme="majorHAnsi" w:hAnsiTheme="majorHAnsi"/>
          <w:sz w:val="20"/>
          <w:szCs w:val="20"/>
        </w:rPr>
        <w:t xml:space="preserve"> </w:t>
      </w:r>
      <w:r w:rsidRPr="00326F31">
        <w:rPr>
          <w:rFonts w:asciiTheme="majorHAnsi" w:hAnsiTheme="majorHAnsi"/>
          <w:sz w:val="20"/>
          <w:szCs w:val="20"/>
        </w:rPr>
        <w:t>The State considered the termination of the labor relationship to have taken place under a contractual clause that allowed it, and that it does not entail a violation of the workers’ rights or an abridgment of the guarantees protecting them, because it is not an obligation of the employ</w:t>
      </w:r>
      <w:r w:rsidR="001B73A3">
        <w:rPr>
          <w:rFonts w:asciiTheme="majorHAnsi" w:hAnsiTheme="majorHAnsi"/>
          <w:sz w:val="20"/>
          <w:szCs w:val="20"/>
        </w:rPr>
        <w:t>er to maintain a life-long work</w:t>
      </w:r>
      <w:r w:rsidRPr="00326F31">
        <w:rPr>
          <w:rFonts w:asciiTheme="majorHAnsi" w:hAnsiTheme="majorHAnsi"/>
          <w:sz w:val="20"/>
          <w:szCs w:val="20"/>
        </w:rPr>
        <w:t xml:space="preserve"> relationship with the employee.</w:t>
      </w:r>
      <w:r w:rsidR="005E6C10">
        <w:rPr>
          <w:rFonts w:asciiTheme="majorHAnsi" w:hAnsiTheme="majorHAnsi"/>
          <w:sz w:val="20"/>
          <w:szCs w:val="20"/>
        </w:rPr>
        <w:t xml:space="preserve"> </w:t>
      </w:r>
    </w:p>
    <w:p w14:paraId="54B60791" w14:textId="77777777" w:rsidR="009A3A22" w:rsidRPr="00326F31" w:rsidRDefault="009A3A22" w:rsidP="00326F31">
      <w:pPr>
        <w:jc w:val="both"/>
        <w:rPr>
          <w:rFonts w:asciiTheme="majorHAnsi" w:hAnsiTheme="majorHAnsi"/>
          <w:sz w:val="20"/>
          <w:szCs w:val="20"/>
        </w:rPr>
      </w:pPr>
    </w:p>
    <w:p w14:paraId="7CC9E8ED" w14:textId="6688826B" w:rsidR="009A3A22" w:rsidRPr="00326F31" w:rsidRDefault="009A3A22" w:rsidP="00326F3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sz w:val="20"/>
          <w:szCs w:val="20"/>
          <w:bdr w:val="none" w:sz="0" w:space="0" w:color="auto"/>
        </w:rPr>
      </w:pPr>
      <w:r w:rsidRPr="00326F31">
        <w:rPr>
          <w:rFonts w:asciiTheme="majorHAnsi" w:hAnsiTheme="majorHAnsi"/>
          <w:sz w:val="20"/>
          <w:szCs w:val="20"/>
        </w:rPr>
        <w:t>In addressing the alleged violations of Article 1.1 of the Convention, the State reiterated that the alleged victims were not discriminated against for political reasons or any reasons of another nature. It reiterated that the alleged victims simply did not have the status of public officials and were subject to the Organic Labor Law.</w:t>
      </w:r>
      <w:r w:rsidR="005E6C10">
        <w:rPr>
          <w:rFonts w:asciiTheme="majorHAnsi" w:hAnsiTheme="majorHAnsi"/>
          <w:sz w:val="20"/>
          <w:szCs w:val="20"/>
        </w:rPr>
        <w:t xml:space="preserve"> </w:t>
      </w:r>
      <w:r w:rsidRPr="00326F31">
        <w:rPr>
          <w:rFonts w:asciiTheme="majorHAnsi" w:hAnsiTheme="majorHAnsi"/>
          <w:sz w:val="20"/>
          <w:szCs w:val="20"/>
        </w:rPr>
        <w:t>In this regard, it emphasized that the termination of the labor relationship under the contractual termination clause cannot be viewed as discriminatory.</w:t>
      </w:r>
      <w:r w:rsidR="005E6C10">
        <w:rPr>
          <w:rFonts w:asciiTheme="majorHAnsi" w:hAnsiTheme="majorHAnsi"/>
          <w:sz w:val="20"/>
          <w:szCs w:val="20"/>
        </w:rPr>
        <w:t xml:space="preserve"> </w:t>
      </w:r>
    </w:p>
    <w:p w14:paraId="46BF10BA" w14:textId="77777777" w:rsidR="00F75A47" w:rsidRPr="00326F31" w:rsidRDefault="00F75A47" w:rsidP="00326F31">
      <w:pPr>
        <w:jc w:val="both"/>
        <w:rPr>
          <w:rFonts w:asciiTheme="majorHAnsi" w:eastAsia="Times New Roman" w:hAnsiTheme="majorHAnsi"/>
          <w:sz w:val="20"/>
          <w:szCs w:val="20"/>
          <w:bdr w:val="none" w:sz="0" w:space="0" w:color="auto"/>
        </w:rPr>
      </w:pPr>
    </w:p>
    <w:p w14:paraId="2AF19600" w14:textId="1E315D61" w:rsidR="00E40449" w:rsidRPr="00326F31" w:rsidRDefault="00C9052E" w:rsidP="00326F31">
      <w:pPr>
        <w:pStyle w:val="Heading1"/>
        <w:numPr>
          <w:ilvl w:val="0"/>
          <w:numId w:val="55"/>
        </w:numPr>
        <w:tabs>
          <w:tab w:val="clear" w:pos="1440"/>
        </w:tabs>
        <w:jc w:val="both"/>
      </w:pPr>
      <w:bookmarkStart w:id="9" w:name="_Toc433311129"/>
      <w:r>
        <w:t>PROVEN</w:t>
      </w:r>
      <w:r w:rsidR="00DE2D1E" w:rsidRPr="00326F31">
        <w:t xml:space="preserve"> FACTS</w:t>
      </w:r>
      <w:bookmarkEnd w:id="9"/>
    </w:p>
    <w:p w14:paraId="11143D18" w14:textId="77777777" w:rsidR="00F75A47" w:rsidRPr="00326F31" w:rsidRDefault="00E40449" w:rsidP="00326F31">
      <w:pPr>
        <w:ind w:right="720"/>
        <w:jc w:val="both"/>
        <w:rPr>
          <w:rFonts w:asciiTheme="majorHAnsi" w:hAnsiTheme="majorHAnsi"/>
          <w:sz w:val="20"/>
          <w:szCs w:val="20"/>
        </w:rPr>
      </w:pPr>
      <w:r w:rsidRPr="00326F31">
        <w:rPr>
          <w:rFonts w:asciiTheme="majorHAnsi" w:hAnsiTheme="majorHAnsi"/>
          <w:sz w:val="20"/>
          <w:szCs w:val="20"/>
        </w:rPr>
        <w:t xml:space="preserve"> </w:t>
      </w:r>
    </w:p>
    <w:p w14:paraId="22C97340" w14:textId="48278390" w:rsidR="00706840" w:rsidRPr="00326F31" w:rsidRDefault="00706840"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Taking into account the information available in the file, as well as publicly available information, the proven facts will be described in the following order: A) Preliminary issue on the use of certain evidence; B) Context of the petition for signatures for convening the consultative and recall referendum for the President of</w:t>
      </w:r>
      <w:r w:rsidR="000608B5">
        <w:rPr>
          <w:rFonts w:asciiTheme="majorHAnsi" w:hAnsiTheme="majorHAnsi"/>
          <w:sz w:val="20"/>
          <w:szCs w:val="20"/>
        </w:rPr>
        <w:t xml:space="preserve"> the Republic; C) The work</w:t>
      </w:r>
      <w:r w:rsidRPr="00326F31">
        <w:rPr>
          <w:rFonts w:asciiTheme="majorHAnsi" w:hAnsiTheme="majorHAnsi"/>
          <w:sz w:val="20"/>
          <w:szCs w:val="20"/>
        </w:rPr>
        <w:t xml:space="preserve"> relationship and termination of contracts of </w:t>
      </w:r>
      <w:r w:rsidRPr="00326F31">
        <w:rPr>
          <w:rFonts w:asciiTheme="majorHAnsi" w:eastAsia="Times New Roman" w:hAnsiTheme="majorHAnsi"/>
          <w:sz w:val="20"/>
          <w:szCs w:val="20"/>
          <w:bdr w:val="none" w:sz="0" w:space="0" w:color="auto"/>
        </w:rPr>
        <w:t>Rocío San Miguel Sosa, Magally Chang Girón, and Thais Coromoto Peña</w:t>
      </w:r>
      <w:r w:rsidRPr="00326F31">
        <w:rPr>
          <w:rFonts w:asciiTheme="majorHAnsi" w:hAnsiTheme="majorHAnsi"/>
          <w:sz w:val="20"/>
          <w:szCs w:val="20"/>
        </w:rPr>
        <w:t>; and D) Internal processes initiated in relation to the termination of the contracts.</w:t>
      </w:r>
    </w:p>
    <w:p w14:paraId="37DE94B7" w14:textId="04E78CB7" w:rsidR="00CE59DE" w:rsidRPr="00326F31" w:rsidRDefault="00CE59DE" w:rsidP="00326F31">
      <w:pPr>
        <w:jc w:val="both"/>
        <w:rPr>
          <w:rFonts w:asciiTheme="majorHAnsi" w:hAnsiTheme="majorHAnsi"/>
          <w:sz w:val="20"/>
          <w:szCs w:val="20"/>
        </w:rPr>
      </w:pPr>
    </w:p>
    <w:p w14:paraId="70FC1269" w14:textId="4DEAC584" w:rsidR="00F75A47" w:rsidRPr="00326F31" w:rsidRDefault="00B80719" w:rsidP="00326F31">
      <w:pPr>
        <w:pStyle w:val="Heading2"/>
        <w:numPr>
          <w:ilvl w:val="0"/>
          <w:numId w:val="60"/>
        </w:numPr>
        <w:rPr>
          <w:lang w:val="en-US"/>
        </w:rPr>
      </w:pPr>
      <w:bookmarkStart w:id="10" w:name="_Toc432596979"/>
      <w:bookmarkStart w:id="11" w:name="_Toc433311130"/>
      <w:bookmarkStart w:id="12" w:name="_Toc423514411"/>
      <w:r w:rsidRPr="00326F31">
        <w:rPr>
          <w:lang w:val="en-US"/>
        </w:rPr>
        <w:t>Preliminary issue on the use of certain evidence</w:t>
      </w:r>
      <w:bookmarkEnd w:id="10"/>
      <w:bookmarkEnd w:id="11"/>
    </w:p>
    <w:p w14:paraId="115B2F7F" w14:textId="77777777" w:rsidR="00F75A47" w:rsidRPr="00326F31" w:rsidRDefault="00F75A47" w:rsidP="00326F31">
      <w:pPr>
        <w:jc w:val="both"/>
        <w:rPr>
          <w:rFonts w:asciiTheme="majorHAnsi" w:hAnsiTheme="majorHAnsi"/>
          <w:sz w:val="20"/>
          <w:szCs w:val="20"/>
        </w:rPr>
      </w:pPr>
    </w:p>
    <w:p w14:paraId="7CF4D8CE" w14:textId="04D8EBC8" w:rsidR="00A8677A" w:rsidRDefault="00A8677A" w:rsidP="00A8677A">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78787F">
        <w:rPr>
          <w:rFonts w:asciiTheme="majorHAnsi" w:hAnsiTheme="majorHAnsi"/>
          <w:sz w:val="20"/>
          <w:szCs w:val="20"/>
        </w:rPr>
        <w:t xml:space="preserve">The Commission </w:t>
      </w:r>
      <w:r>
        <w:rPr>
          <w:rFonts w:asciiTheme="majorHAnsi" w:hAnsiTheme="majorHAnsi"/>
          <w:sz w:val="20"/>
          <w:szCs w:val="20"/>
        </w:rPr>
        <w:t>notes</w:t>
      </w:r>
      <w:r w:rsidRPr="0078787F">
        <w:rPr>
          <w:rFonts w:asciiTheme="majorHAnsi" w:hAnsiTheme="majorHAnsi"/>
          <w:sz w:val="20"/>
          <w:szCs w:val="20"/>
        </w:rPr>
        <w:t xml:space="preserve"> that the State asserted that the recordings constituted evidence obtained illegally, which led to its rejection in the domestic proceedings.   The Commission recalls that according to the </w:t>
      </w:r>
      <w:r>
        <w:rPr>
          <w:rFonts w:asciiTheme="majorHAnsi" w:hAnsiTheme="majorHAnsi"/>
          <w:sz w:val="20"/>
          <w:szCs w:val="20"/>
        </w:rPr>
        <w:t xml:space="preserve">jurisprudence </w:t>
      </w:r>
      <w:r w:rsidRPr="0078787F">
        <w:rPr>
          <w:rFonts w:asciiTheme="majorHAnsi" w:hAnsiTheme="majorHAnsi"/>
          <w:sz w:val="20"/>
          <w:szCs w:val="20"/>
        </w:rPr>
        <w:t>of the Inter-American System, the standard of proof are less formal in an international legal proceeding than in a domestic one and it has held that its bodies can “weight the evidence freely”</w:t>
      </w:r>
      <w:r w:rsidRPr="00A8677A">
        <w:rPr>
          <w:rFonts w:asciiTheme="majorHAnsi" w:hAnsiTheme="majorHAnsi"/>
          <w:sz w:val="20"/>
          <w:szCs w:val="20"/>
          <w:vertAlign w:val="superscript"/>
        </w:rPr>
        <w:footnoteReference w:id="3"/>
      </w:r>
      <w:r w:rsidRPr="0078787F">
        <w:rPr>
          <w:rFonts w:asciiTheme="majorHAnsi" w:hAnsiTheme="majorHAnsi"/>
          <w:sz w:val="20"/>
          <w:szCs w:val="20"/>
        </w:rPr>
        <w:t>. In this regard, the Inter American Court has stated that they “must apply an assessment of the evidence that takes into account the gravity of attributing international responsibility to a State and that, despite this, is able to create confidence in the truth of the facts that have been alleged”</w:t>
      </w:r>
      <w:r w:rsidRPr="00A8677A">
        <w:rPr>
          <w:rFonts w:asciiTheme="majorHAnsi" w:hAnsiTheme="majorHAnsi"/>
          <w:sz w:val="20"/>
          <w:szCs w:val="20"/>
          <w:vertAlign w:val="superscript"/>
        </w:rPr>
        <w:footnoteReference w:id="4"/>
      </w:r>
      <w:r w:rsidRPr="0078787F">
        <w:rPr>
          <w:rFonts w:asciiTheme="majorHAnsi" w:hAnsiTheme="majorHAnsi"/>
          <w:sz w:val="20"/>
          <w:szCs w:val="20"/>
        </w:rPr>
        <w:t>. The Court has considered that “it is legitimate to use circumstantial evidence, indications and presumptions to found a judgment, provided that conclusions consistent with the facts can be inferred from them”</w:t>
      </w:r>
      <w:r w:rsidRPr="00A8677A">
        <w:rPr>
          <w:rFonts w:asciiTheme="majorHAnsi" w:hAnsiTheme="majorHAnsi"/>
          <w:sz w:val="20"/>
          <w:szCs w:val="20"/>
          <w:vertAlign w:val="superscript"/>
        </w:rPr>
        <w:footnoteReference w:id="5"/>
      </w:r>
      <w:r>
        <w:rPr>
          <w:rFonts w:asciiTheme="majorHAnsi" w:hAnsiTheme="majorHAnsi"/>
          <w:sz w:val="20"/>
          <w:szCs w:val="20"/>
        </w:rPr>
        <w:t>.</w:t>
      </w:r>
    </w:p>
    <w:p w14:paraId="062C9C9B" w14:textId="77777777" w:rsidR="00A8677A" w:rsidRDefault="00A8677A" w:rsidP="00A8677A">
      <w:pPr>
        <w:pBdr>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14:paraId="665C499E" w14:textId="4DA3A1A9" w:rsidR="00A8677A" w:rsidRDefault="00A8677A" w:rsidP="00A8677A">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A8677A">
        <w:rPr>
          <w:rFonts w:ascii="Cambria" w:hAnsi="Cambria"/>
          <w:sz w:val="20"/>
          <w:szCs w:val="20"/>
        </w:rPr>
        <w:t>Although the Inter-American Court has ruled that telephone conversations are protected under Article 11 of the American Convention</w:t>
      </w:r>
      <w:r w:rsidRPr="00FF330E">
        <w:rPr>
          <w:rStyle w:val="FootnoteReference"/>
          <w:rFonts w:ascii="Cambria" w:hAnsi="Cambria"/>
          <w:sz w:val="20"/>
          <w:szCs w:val="20"/>
          <w:lang w:val="es-ES_tradnl"/>
        </w:rPr>
        <w:footnoteReference w:id="6"/>
      </w:r>
      <w:r w:rsidRPr="00A8677A">
        <w:rPr>
          <w:rFonts w:ascii="Cambria" w:hAnsi="Cambria"/>
          <w:sz w:val="20"/>
          <w:szCs w:val="20"/>
        </w:rPr>
        <w:t>, the consta</w:t>
      </w:r>
      <w:r w:rsidR="000608B5">
        <w:rPr>
          <w:rFonts w:ascii="Cambria" w:hAnsi="Cambria"/>
          <w:sz w:val="20"/>
          <w:szCs w:val="20"/>
        </w:rPr>
        <w:t>nt jurisprudence of the of the I</w:t>
      </w:r>
      <w:r w:rsidRPr="00A8677A">
        <w:rPr>
          <w:rFonts w:ascii="Cambria" w:hAnsi="Cambria"/>
          <w:sz w:val="20"/>
          <w:szCs w:val="20"/>
        </w:rPr>
        <w:t>nter-American system has also established that “the right to privacy is not an absolute right and can be restricted by the States, provided interference is not abusive or arbitrary; to this end, it must be established by law, pursue a legitimate purpose and be necessary in a democratic society”</w:t>
      </w:r>
      <w:r w:rsidRPr="00FF330E">
        <w:rPr>
          <w:rStyle w:val="FootnoteReference"/>
          <w:rFonts w:ascii="Cambria" w:hAnsi="Cambria"/>
          <w:sz w:val="20"/>
          <w:szCs w:val="20"/>
          <w:lang w:val="es-ES_tradnl"/>
        </w:rPr>
        <w:footnoteReference w:id="7"/>
      </w:r>
      <w:r w:rsidRPr="00A8677A">
        <w:rPr>
          <w:rFonts w:ascii="Cambria" w:hAnsi="Cambria"/>
          <w:sz w:val="20"/>
          <w:szCs w:val="20"/>
        </w:rPr>
        <w:t>.</w:t>
      </w:r>
    </w:p>
    <w:p w14:paraId="5C49201D" w14:textId="77777777" w:rsidR="00A8677A" w:rsidRDefault="00A8677A" w:rsidP="00A8677A">
      <w:pPr>
        <w:pStyle w:val="ListParagraph"/>
        <w:rPr>
          <w:sz w:val="20"/>
          <w:szCs w:val="20"/>
        </w:rPr>
      </w:pPr>
    </w:p>
    <w:p w14:paraId="6E8511BC" w14:textId="77777777" w:rsidR="00A8677A" w:rsidRDefault="00A8677A" w:rsidP="00A8677A">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A8677A">
        <w:rPr>
          <w:rFonts w:ascii="Cambria" w:hAnsi="Cambria"/>
          <w:sz w:val="20"/>
          <w:szCs w:val="20"/>
        </w:rPr>
        <w:lastRenderedPageBreak/>
        <w:t xml:space="preserve">In this case the content of the conversations do not refer to matters relating to private life or reputation of the participants in the conversation. By contrast, the talks revolve around the reasons that supported the dismissal, particularly, whether the signature to convene a recall referendum was the real motivation. In that sense, the use of the conversation in this report does not disclose aspects of the private life of the people involved but rather could legitimately be described as matters of public interest, taking into special consideration the allegations regarding the existence of a generalized context of retaliation. </w:t>
      </w:r>
    </w:p>
    <w:p w14:paraId="47BB7FCC" w14:textId="77777777" w:rsidR="00A8677A" w:rsidRDefault="00A8677A" w:rsidP="00A8677A">
      <w:pPr>
        <w:pStyle w:val="ListParagraph"/>
        <w:rPr>
          <w:sz w:val="20"/>
          <w:szCs w:val="20"/>
        </w:rPr>
      </w:pPr>
    </w:p>
    <w:p w14:paraId="618D680C" w14:textId="77777777" w:rsidR="00A8677A" w:rsidRDefault="00A8677A" w:rsidP="00A8677A">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A8677A">
        <w:rPr>
          <w:rFonts w:ascii="Cambria" w:hAnsi="Cambria"/>
          <w:sz w:val="20"/>
          <w:szCs w:val="20"/>
        </w:rPr>
        <w:t xml:space="preserve">The European Court has ruled on sanctions against media for spreading the recording of a telephone conversation between senior state officials. In the case of </w:t>
      </w:r>
      <w:r w:rsidRPr="00A8677A">
        <w:rPr>
          <w:rFonts w:ascii="Cambria" w:hAnsi="Cambria"/>
          <w:i/>
          <w:sz w:val="20"/>
          <w:szCs w:val="20"/>
        </w:rPr>
        <w:t>Radio Twist v. Slovakia</w:t>
      </w:r>
      <w:r w:rsidRPr="00FF330E">
        <w:rPr>
          <w:rStyle w:val="FootnoteReference"/>
          <w:rFonts w:ascii="Cambria" w:hAnsi="Cambria"/>
          <w:i/>
          <w:sz w:val="20"/>
          <w:szCs w:val="20"/>
          <w:lang w:val="es-CO"/>
        </w:rPr>
        <w:footnoteReference w:id="8"/>
      </w:r>
      <w:r w:rsidRPr="00A8677A">
        <w:rPr>
          <w:rFonts w:ascii="Cambria" w:hAnsi="Cambria"/>
          <w:i/>
          <w:sz w:val="20"/>
          <w:szCs w:val="20"/>
        </w:rPr>
        <w:t>,</w:t>
      </w:r>
      <w:r w:rsidRPr="00A8677A">
        <w:rPr>
          <w:rFonts w:ascii="Cambria" w:hAnsi="Cambria"/>
          <w:sz w:val="20"/>
          <w:szCs w:val="20"/>
        </w:rPr>
        <w:t xml:space="preserve"> this Court noted that from the context and content of the conversation, the political and public interest character of it was evident, without it being possible to determine a dimension related to the private lives of such persons. Consequently, the European Court found that the special standard of tolerance established in its case law was applicable, and found that the sanction imposed was not necessary in a democratic society.</w:t>
      </w:r>
    </w:p>
    <w:p w14:paraId="373A4E41" w14:textId="77777777" w:rsidR="00A8677A" w:rsidRDefault="00A8677A" w:rsidP="00A8677A">
      <w:pPr>
        <w:pStyle w:val="ListParagraph"/>
        <w:rPr>
          <w:sz w:val="20"/>
          <w:szCs w:val="20"/>
        </w:rPr>
      </w:pPr>
    </w:p>
    <w:p w14:paraId="309CC0AA" w14:textId="6F7C294F" w:rsidR="00D44CC0" w:rsidRPr="0078587D" w:rsidRDefault="00A8677A" w:rsidP="00D44CC0">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A8677A">
        <w:rPr>
          <w:rFonts w:ascii="Cambria" w:hAnsi="Cambria"/>
          <w:sz w:val="20"/>
          <w:szCs w:val="20"/>
        </w:rPr>
        <w:t>Another element that the Commission considers relevant to take into account relates to the characteristics of this case. The main debate that the Commission must resolve is whether the dismissal of the three alleged victims was based on their signatures to convene a recall referendum of the then President of the Republic. In that sense, what is argued is that there is an alleged covert discrimination behind a veil of legality consistent in a contractual clause. In such cases, by its very nature, there is generally no direct evidence about the presence of a prohibited ground of discrimination, in this case, political opinion.</w:t>
      </w:r>
      <w:r w:rsidR="00D44CC0">
        <w:rPr>
          <w:rFonts w:ascii="Cambria" w:hAnsi="Cambria"/>
          <w:sz w:val="20"/>
          <w:szCs w:val="20"/>
        </w:rPr>
        <w:t xml:space="preserve"> T</w:t>
      </w:r>
      <w:r w:rsidR="0078587D">
        <w:rPr>
          <w:rFonts w:ascii="Cambria" w:hAnsi="Cambria"/>
          <w:sz w:val="20"/>
          <w:szCs w:val="20"/>
        </w:rPr>
        <w:t xml:space="preserve">his explains the reasons </w:t>
      </w:r>
      <w:r w:rsidR="00D44CC0">
        <w:rPr>
          <w:rFonts w:ascii="Cambria" w:hAnsi="Cambria"/>
          <w:sz w:val="20"/>
          <w:szCs w:val="20"/>
        </w:rPr>
        <w:t xml:space="preserve">why the Commission must consider indicia and circumstantial evidence in </w:t>
      </w:r>
      <w:r w:rsidR="0078587D">
        <w:rPr>
          <w:rFonts w:ascii="Cambria" w:hAnsi="Cambria"/>
          <w:sz w:val="20"/>
          <w:szCs w:val="20"/>
        </w:rPr>
        <w:t>such</w:t>
      </w:r>
      <w:r w:rsidR="00D44CC0">
        <w:rPr>
          <w:rFonts w:ascii="Cambria" w:hAnsi="Cambria"/>
          <w:sz w:val="20"/>
          <w:szCs w:val="20"/>
        </w:rPr>
        <w:t xml:space="preserve"> cases. </w:t>
      </w:r>
      <w:r w:rsidR="0078587D">
        <w:rPr>
          <w:rFonts w:ascii="Cambria" w:hAnsi="Cambria"/>
          <w:sz w:val="20"/>
          <w:szCs w:val="20"/>
        </w:rPr>
        <w:t xml:space="preserve"> The recordings of the telephone conversation are another element of the evidence provided to the Commission. </w:t>
      </w:r>
    </w:p>
    <w:p w14:paraId="596C14BA" w14:textId="77777777" w:rsidR="00A8677A" w:rsidRPr="0078587D" w:rsidRDefault="00A8677A" w:rsidP="00A8677A">
      <w:pPr>
        <w:rPr>
          <w:sz w:val="20"/>
          <w:szCs w:val="20"/>
        </w:rPr>
      </w:pPr>
    </w:p>
    <w:p w14:paraId="02628AF7" w14:textId="07A17E04" w:rsidR="00A8677A" w:rsidRPr="00A8677A" w:rsidRDefault="00A8677A" w:rsidP="00A8677A">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A8677A">
        <w:rPr>
          <w:rFonts w:ascii="Cambria" w:hAnsi="Cambria"/>
          <w:sz w:val="20"/>
          <w:szCs w:val="20"/>
        </w:rPr>
        <w:t>Considering all the above elements as a whole, the Commission considers that the use of the transcripts and the recordings of the telephone conversations is justified in this case and, therefore, will proceed to consider the, on the subsequent factual determinations.</w:t>
      </w:r>
    </w:p>
    <w:p w14:paraId="4518A8AB" w14:textId="77777777" w:rsidR="002A62C7" w:rsidRDefault="002A62C7" w:rsidP="00326F31">
      <w:pPr>
        <w:jc w:val="both"/>
        <w:rPr>
          <w:rFonts w:asciiTheme="majorHAnsi" w:hAnsiTheme="majorHAnsi"/>
          <w:sz w:val="20"/>
          <w:szCs w:val="20"/>
        </w:rPr>
      </w:pPr>
    </w:p>
    <w:p w14:paraId="15650F1E" w14:textId="77777777" w:rsidR="00A8677A" w:rsidRPr="00326F31" w:rsidRDefault="00A8677A" w:rsidP="00326F31">
      <w:pPr>
        <w:jc w:val="both"/>
        <w:rPr>
          <w:rFonts w:asciiTheme="majorHAnsi" w:hAnsiTheme="majorHAnsi"/>
          <w:sz w:val="20"/>
          <w:szCs w:val="20"/>
        </w:rPr>
      </w:pPr>
    </w:p>
    <w:p w14:paraId="5E0B7EBD" w14:textId="71DF3595" w:rsidR="00E40449" w:rsidRPr="00326F31" w:rsidRDefault="00706840" w:rsidP="00326F31">
      <w:pPr>
        <w:pStyle w:val="Heading2"/>
        <w:numPr>
          <w:ilvl w:val="0"/>
          <w:numId w:val="60"/>
        </w:numPr>
        <w:rPr>
          <w:lang w:val="en-US"/>
        </w:rPr>
      </w:pPr>
      <w:bookmarkStart w:id="13" w:name="_Toc433311131"/>
      <w:bookmarkEnd w:id="12"/>
      <w:r w:rsidRPr="00326F31">
        <w:rPr>
          <w:lang w:val="en-US"/>
        </w:rPr>
        <w:t>Context of the petition</w:t>
      </w:r>
      <w:r w:rsidR="00DB39B4" w:rsidRPr="00326F31">
        <w:rPr>
          <w:lang w:val="en-US"/>
        </w:rPr>
        <w:t xml:space="preserve"> for signatures for convening the consultative and recall referendum of the President of the Republic</w:t>
      </w:r>
      <w:bookmarkEnd w:id="13"/>
      <w:r w:rsidR="00FA08DD" w:rsidRPr="00326F31">
        <w:rPr>
          <w:lang w:val="en-US"/>
        </w:rPr>
        <w:t xml:space="preserve"> </w:t>
      </w:r>
    </w:p>
    <w:p w14:paraId="7A09F199" w14:textId="32CC3675" w:rsidR="00E571A2" w:rsidRPr="00326F31" w:rsidRDefault="00A71531" w:rsidP="00326F31">
      <w:pPr>
        <w:tabs>
          <w:tab w:val="left" w:pos="2207"/>
        </w:tabs>
        <w:jc w:val="both"/>
        <w:rPr>
          <w:rFonts w:asciiTheme="majorHAnsi" w:hAnsiTheme="majorHAnsi"/>
          <w:b/>
          <w:sz w:val="20"/>
          <w:szCs w:val="20"/>
        </w:rPr>
      </w:pPr>
      <w:r w:rsidRPr="00326F31">
        <w:rPr>
          <w:rFonts w:asciiTheme="majorHAnsi" w:hAnsiTheme="majorHAnsi"/>
          <w:b/>
          <w:sz w:val="20"/>
          <w:szCs w:val="20"/>
        </w:rPr>
        <w:tab/>
      </w:r>
    </w:p>
    <w:p w14:paraId="6A866BB9" w14:textId="41E405D9" w:rsidR="00E571A2" w:rsidRPr="00326F31" w:rsidRDefault="00A71531" w:rsidP="004127E4">
      <w:pPr>
        <w:pStyle w:val="ListParagraph"/>
        <w:numPr>
          <w:ilvl w:val="1"/>
          <w:numId w:val="55"/>
        </w:numPr>
        <w:tabs>
          <w:tab w:val="clear" w:pos="1800"/>
          <w:tab w:val="num" w:pos="1440"/>
        </w:tabs>
        <w:ind w:hanging="1080"/>
        <w:jc w:val="both"/>
        <w:rPr>
          <w:rFonts w:asciiTheme="majorHAnsi" w:hAnsiTheme="majorHAnsi"/>
          <w:b/>
          <w:sz w:val="20"/>
          <w:szCs w:val="20"/>
        </w:rPr>
      </w:pPr>
      <w:r w:rsidRPr="00326F31">
        <w:rPr>
          <w:rFonts w:asciiTheme="majorHAnsi" w:hAnsiTheme="majorHAnsi"/>
          <w:b/>
          <w:sz w:val="20"/>
          <w:szCs w:val="20"/>
        </w:rPr>
        <w:t>The first collection of signatures for the presidential consultative referendum</w:t>
      </w:r>
      <w:r w:rsidR="00E571A2" w:rsidRPr="00326F31">
        <w:rPr>
          <w:rFonts w:asciiTheme="majorHAnsi" w:hAnsiTheme="majorHAnsi"/>
          <w:b/>
          <w:sz w:val="20"/>
          <w:szCs w:val="20"/>
        </w:rPr>
        <w:t xml:space="preserve"> </w:t>
      </w:r>
    </w:p>
    <w:p w14:paraId="41DF7CD6" w14:textId="77777777" w:rsidR="004119AE" w:rsidRPr="00326F31" w:rsidRDefault="004119AE" w:rsidP="00326F31">
      <w:pPr>
        <w:jc w:val="both"/>
        <w:rPr>
          <w:rFonts w:asciiTheme="majorHAnsi" w:hAnsiTheme="majorHAnsi"/>
          <w:sz w:val="20"/>
          <w:szCs w:val="20"/>
        </w:rPr>
      </w:pPr>
    </w:p>
    <w:p w14:paraId="6007848D" w14:textId="5E90AB92" w:rsidR="00910D7B" w:rsidRPr="00326F31" w:rsidRDefault="00DA6705"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 xml:space="preserve">The Venezuelan Political Constitution, enacted in 1999, enshrines under Articles 71 and 72 the possibility to withdraw all charges and magistrates elected by popular vote after half of the period for which the civil servant was elected for has passed, by the request to convene a referendum by no fewer than twenty percent </w:t>
      </w:r>
      <w:r w:rsidR="00CE384C" w:rsidRPr="00326F31">
        <w:rPr>
          <w:rFonts w:asciiTheme="majorHAnsi" w:hAnsiTheme="majorHAnsi"/>
          <w:sz w:val="20"/>
          <w:szCs w:val="20"/>
        </w:rPr>
        <w:t>of voters registered in the pertinent circumscription</w:t>
      </w:r>
      <w:r w:rsidR="00CE384C" w:rsidRPr="00326F31">
        <w:rPr>
          <w:rStyle w:val="FootnoteTextChar"/>
          <w:rFonts w:asciiTheme="majorHAnsi" w:hAnsiTheme="majorHAnsi"/>
          <w:sz w:val="20"/>
          <w:szCs w:val="20"/>
          <w:vertAlign w:val="superscript"/>
        </w:rPr>
        <w:footnoteReference w:id="9"/>
      </w:r>
      <w:r w:rsidR="00CE384C" w:rsidRPr="00326F31">
        <w:rPr>
          <w:rFonts w:asciiTheme="majorHAnsi" w:hAnsiTheme="majorHAnsi"/>
          <w:sz w:val="20"/>
          <w:szCs w:val="20"/>
        </w:rPr>
        <w:t>.</w:t>
      </w:r>
    </w:p>
    <w:p w14:paraId="5AA04D12" w14:textId="77777777" w:rsidR="00274A4B" w:rsidRPr="00326F31" w:rsidRDefault="00274A4B" w:rsidP="00326F31">
      <w:pPr>
        <w:jc w:val="both"/>
        <w:rPr>
          <w:rFonts w:asciiTheme="majorHAnsi" w:hAnsiTheme="majorHAnsi"/>
          <w:sz w:val="20"/>
          <w:szCs w:val="20"/>
        </w:rPr>
      </w:pPr>
    </w:p>
    <w:p w14:paraId="1025FEAC" w14:textId="0949AC18" w:rsidR="00CA076A" w:rsidRPr="00326F31" w:rsidRDefault="00CA076A"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lastRenderedPageBreak/>
        <w:t>During 2001 and 2002 Venezuela faced a serious institutional and political crisis under which opposition parties and civil society organizations promoted a consultative referendum to request the resignation of President Hugo Chavez. To this end, the organizations collected signatures and on 4 November, 2002 handed to the National Electoral Council over two million signatures</w:t>
      </w:r>
      <w:r w:rsidRPr="00326F31">
        <w:rPr>
          <w:rStyle w:val="FootnoteReference"/>
          <w:rFonts w:asciiTheme="majorHAnsi" w:hAnsiTheme="majorHAnsi"/>
          <w:sz w:val="20"/>
          <w:szCs w:val="20"/>
          <w:lang w:val="es-VE"/>
        </w:rPr>
        <w:footnoteReference w:id="10"/>
      </w:r>
      <w:r w:rsidRPr="00326F31">
        <w:rPr>
          <w:rFonts w:asciiTheme="majorHAnsi" w:hAnsiTheme="majorHAnsi"/>
          <w:sz w:val="20"/>
          <w:szCs w:val="20"/>
        </w:rPr>
        <w:t>.</w:t>
      </w:r>
      <w:r w:rsidR="005E6C10">
        <w:rPr>
          <w:rFonts w:asciiTheme="majorHAnsi" w:hAnsiTheme="majorHAnsi"/>
          <w:sz w:val="20"/>
          <w:szCs w:val="20"/>
        </w:rPr>
        <w:t xml:space="preserve"> </w:t>
      </w:r>
    </w:p>
    <w:p w14:paraId="15ABB3A9" w14:textId="77777777" w:rsidR="00EE2D9F" w:rsidRPr="00326F31" w:rsidRDefault="00EE2D9F" w:rsidP="00326F31">
      <w:pPr>
        <w:jc w:val="both"/>
        <w:rPr>
          <w:rFonts w:asciiTheme="majorHAnsi" w:hAnsiTheme="majorHAnsi"/>
          <w:sz w:val="20"/>
          <w:szCs w:val="20"/>
        </w:rPr>
      </w:pPr>
    </w:p>
    <w:p w14:paraId="7D09A764" w14:textId="40F1EFE3" w:rsidR="00274A4B" w:rsidRPr="00326F31" w:rsidRDefault="00274A4B"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VE"/>
        </w:rPr>
      </w:pPr>
      <w:r w:rsidRPr="00326F31">
        <w:rPr>
          <w:rFonts w:asciiTheme="majorHAnsi" w:hAnsiTheme="majorHAnsi"/>
          <w:sz w:val="20"/>
          <w:szCs w:val="20"/>
        </w:rPr>
        <w:t>In November 2002, during a television program, President Chavez said he would not resign his position by stating that "not even assuming that the National Electoral Council decreed that the question (of the consultative referendum) is valid. Nor in the event that the Supreme Court says so. Nor in the event that they do the referendum and draw 90% of the votes, I will not resign!”</w:t>
      </w:r>
      <w:r w:rsidRPr="00326F31">
        <w:rPr>
          <w:rStyle w:val="FootnoteReference"/>
          <w:rFonts w:asciiTheme="majorHAnsi" w:hAnsiTheme="majorHAnsi"/>
          <w:sz w:val="20"/>
          <w:szCs w:val="20"/>
        </w:rPr>
        <w:t xml:space="preserve"> </w:t>
      </w:r>
      <w:r w:rsidRPr="00326F31">
        <w:rPr>
          <w:rStyle w:val="FootnoteReference"/>
          <w:rFonts w:asciiTheme="majorHAnsi" w:hAnsiTheme="majorHAnsi"/>
          <w:sz w:val="20"/>
          <w:szCs w:val="20"/>
          <w:lang w:val="es-VE"/>
        </w:rPr>
        <w:footnoteReference w:id="11"/>
      </w:r>
      <w:r w:rsidR="007B2A37" w:rsidRPr="00326F31">
        <w:rPr>
          <w:rFonts w:asciiTheme="majorHAnsi" w:hAnsiTheme="majorHAnsi"/>
          <w:sz w:val="20"/>
          <w:szCs w:val="20"/>
          <w:lang w:val="es-VE"/>
        </w:rPr>
        <w:t>.</w:t>
      </w:r>
    </w:p>
    <w:p w14:paraId="7937BB45" w14:textId="77777777" w:rsidR="00EE2D9F" w:rsidRPr="00326F31" w:rsidRDefault="00EE2D9F" w:rsidP="00326F31">
      <w:pPr>
        <w:pStyle w:val="ListParagraph"/>
        <w:jc w:val="both"/>
        <w:rPr>
          <w:rFonts w:asciiTheme="majorHAnsi" w:hAnsiTheme="majorHAnsi"/>
          <w:sz w:val="20"/>
          <w:szCs w:val="20"/>
          <w:lang w:val="es-DO"/>
        </w:rPr>
      </w:pPr>
    </w:p>
    <w:p w14:paraId="281AECCF" w14:textId="5CFDE536" w:rsidR="00EE2D9F" w:rsidRPr="00326F31" w:rsidRDefault="00EE2D9F"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On December 3, 2002, by Resolution 021203-457, the National Electoral Council called for voters to participate in the national advisory referendum on the presidential term set for February 2, 2003</w:t>
      </w:r>
      <w:r w:rsidRPr="00326F31">
        <w:rPr>
          <w:rStyle w:val="FootnoteReference"/>
          <w:rFonts w:asciiTheme="majorHAnsi" w:hAnsiTheme="majorHAnsi"/>
          <w:sz w:val="20"/>
          <w:szCs w:val="20"/>
          <w:lang w:val="es-VE"/>
        </w:rPr>
        <w:footnoteReference w:id="12"/>
      </w:r>
      <w:r w:rsidRPr="00326F31">
        <w:rPr>
          <w:rFonts w:asciiTheme="majorHAnsi" w:hAnsiTheme="majorHAnsi"/>
          <w:sz w:val="20"/>
          <w:szCs w:val="20"/>
        </w:rPr>
        <w:t xml:space="preserve"> .</w:t>
      </w:r>
    </w:p>
    <w:p w14:paraId="28A6DD4D" w14:textId="77777777" w:rsidR="004C481E" w:rsidRPr="00326F31" w:rsidRDefault="004C481E" w:rsidP="00326F31">
      <w:pPr>
        <w:jc w:val="both"/>
        <w:rPr>
          <w:rFonts w:asciiTheme="majorHAnsi" w:hAnsiTheme="majorHAnsi"/>
          <w:sz w:val="20"/>
          <w:szCs w:val="20"/>
        </w:rPr>
      </w:pPr>
    </w:p>
    <w:p w14:paraId="21AA3762" w14:textId="76F00676" w:rsidR="007B2A37" w:rsidRPr="00326F31" w:rsidRDefault="007B2A37"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 xml:space="preserve">Then, on December 30, 2002, three members of the Fifth Republic Movement political party filed a </w:t>
      </w:r>
      <w:r w:rsidR="00F605CF" w:rsidRPr="00326F31">
        <w:rPr>
          <w:rFonts w:asciiTheme="majorHAnsi" w:hAnsiTheme="majorHAnsi"/>
          <w:sz w:val="20"/>
          <w:szCs w:val="20"/>
        </w:rPr>
        <w:t>claim</w:t>
      </w:r>
      <w:r w:rsidRPr="00326F31">
        <w:rPr>
          <w:rFonts w:asciiTheme="majorHAnsi" w:hAnsiTheme="majorHAnsi"/>
          <w:sz w:val="20"/>
          <w:szCs w:val="20"/>
        </w:rPr>
        <w:t xml:space="preserve"> for "annulment with request for constitutional </w:t>
      </w:r>
      <w:r w:rsidRPr="00326F31">
        <w:rPr>
          <w:rFonts w:asciiTheme="majorHAnsi" w:hAnsiTheme="majorHAnsi"/>
          <w:i/>
          <w:sz w:val="20"/>
          <w:szCs w:val="20"/>
        </w:rPr>
        <w:t>amparo</w:t>
      </w:r>
      <w:r w:rsidRPr="00326F31">
        <w:rPr>
          <w:rFonts w:asciiTheme="majorHAnsi" w:hAnsiTheme="majorHAnsi"/>
          <w:sz w:val="20"/>
          <w:szCs w:val="20"/>
        </w:rPr>
        <w:t>" against Resolution No. 021203-457 of December 3, 2002, published in the Electoral Gazette No. 168 of December 5, 2002</w:t>
      </w:r>
      <w:r w:rsidRPr="00326F31">
        <w:rPr>
          <w:rStyle w:val="FootnoteReference"/>
          <w:rFonts w:asciiTheme="majorHAnsi" w:hAnsiTheme="majorHAnsi"/>
          <w:sz w:val="20"/>
          <w:szCs w:val="20"/>
          <w:lang w:val="es-VE"/>
        </w:rPr>
        <w:footnoteReference w:id="13"/>
      </w:r>
      <w:r w:rsidRPr="00326F31">
        <w:rPr>
          <w:rFonts w:asciiTheme="majorHAnsi" w:hAnsiTheme="majorHAnsi"/>
          <w:color w:val="000000"/>
          <w:sz w:val="20"/>
          <w:szCs w:val="20"/>
        </w:rPr>
        <w:t>.</w:t>
      </w:r>
    </w:p>
    <w:p w14:paraId="7145818F" w14:textId="77777777" w:rsidR="008B573D" w:rsidRPr="00326F31" w:rsidRDefault="008B573D" w:rsidP="00326F31">
      <w:pPr>
        <w:pStyle w:val="ListParagraph"/>
        <w:jc w:val="both"/>
        <w:rPr>
          <w:rFonts w:asciiTheme="majorHAnsi" w:hAnsiTheme="majorHAnsi"/>
          <w:sz w:val="20"/>
          <w:szCs w:val="20"/>
        </w:rPr>
      </w:pPr>
    </w:p>
    <w:p w14:paraId="1EA690D9" w14:textId="02CED6CA" w:rsidR="004C481E" w:rsidRPr="00326F31" w:rsidRDefault="004C481E"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 xml:space="preserve">On January 22, 2003, 10 days </w:t>
      </w:r>
      <w:r w:rsidR="0082232D" w:rsidRPr="00326F31">
        <w:rPr>
          <w:rFonts w:asciiTheme="majorHAnsi" w:hAnsiTheme="majorHAnsi"/>
          <w:sz w:val="20"/>
          <w:szCs w:val="20"/>
        </w:rPr>
        <w:t xml:space="preserve">before </w:t>
      </w:r>
      <w:r w:rsidRPr="00326F31">
        <w:rPr>
          <w:rFonts w:asciiTheme="majorHAnsi" w:hAnsiTheme="majorHAnsi"/>
          <w:sz w:val="20"/>
          <w:szCs w:val="20"/>
        </w:rPr>
        <w:t xml:space="preserve">the date for carrying out the consultative referendum, the </w:t>
      </w:r>
      <w:r w:rsidR="0082232D" w:rsidRPr="00326F31">
        <w:rPr>
          <w:rFonts w:asciiTheme="majorHAnsi" w:hAnsiTheme="majorHAnsi" w:cs="Arial"/>
          <w:sz w:val="20"/>
          <w:szCs w:val="20"/>
        </w:rPr>
        <w:t xml:space="preserve">Acting Chamber for Electoral Matters </w:t>
      </w:r>
      <w:r w:rsidR="0082232D" w:rsidRPr="00326F31">
        <w:rPr>
          <w:rFonts w:asciiTheme="majorHAnsi" w:hAnsiTheme="majorHAnsi"/>
          <w:sz w:val="20"/>
          <w:szCs w:val="20"/>
        </w:rPr>
        <w:t xml:space="preserve">of the TSJ resolved the request for constitutional </w:t>
      </w:r>
      <w:r w:rsidR="0082232D" w:rsidRPr="00326F31">
        <w:rPr>
          <w:rFonts w:asciiTheme="majorHAnsi" w:hAnsiTheme="majorHAnsi"/>
          <w:i/>
          <w:sz w:val="20"/>
          <w:szCs w:val="20"/>
        </w:rPr>
        <w:t>amparo</w:t>
      </w:r>
      <w:r w:rsidR="0082232D" w:rsidRPr="00326F31">
        <w:rPr>
          <w:rFonts w:asciiTheme="majorHAnsi" w:hAnsiTheme="majorHAnsi"/>
          <w:sz w:val="20"/>
          <w:szCs w:val="20"/>
        </w:rPr>
        <w:t xml:space="preserve"> </w:t>
      </w:r>
      <w:r w:rsidRPr="00326F31">
        <w:rPr>
          <w:rFonts w:asciiTheme="majorHAnsi" w:hAnsiTheme="majorHAnsi"/>
          <w:sz w:val="20"/>
          <w:szCs w:val="20"/>
        </w:rPr>
        <w:t>and</w:t>
      </w:r>
      <w:r w:rsidR="0082232D" w:rsidRPr="00326F31">
        <w:rPr>
          <w:rFonts w:asciiTheme="majorHAnsi" w:hAnsiTheme="majorHAnsi"/>
          <w:sz w:val="20"/>
          <w:szCs w:val="20"/>
        </w:rPr>
        <w:t xml:space="preserve"> the annulment </w:t>
      </w:r>
      <w:r w:rsidR="00F605CF" w:rsidRPr="00326F31">
        <w:rPr>
          <w:rFonts w:asciiTheme="majorHAnsi" w:hAnsiTheme="majorHAnsi"/>
          <w:sz w:val="20"/>
          <w:szCs w:val="20"/>
        </w:rPr>
        <w:t>claim, and</w:t>
      </w:r>
      <w:r w:rsidRPr="00326F31">
        <w:rPr>
          <w:rFonts w:asciiTheme="majorHAnsi" w:hAnsiTheme="majorHAnsi"/>
          <w:sz w:val="20"/>
          <w:szCs w:val="20"/>
        </w:rPr>
        <w:t xml:space="preserve"> ordered the CNE</w:t>
      </w:r>
      <w:r w:rsidR="00E04845" w:rsidRPr="00326F31">
        <w:rPr>
          <w:rFonts w:asciiTheme="majorHAnsi" w:hAnsiTheme="majorHAnsi"/>
          <w:sz w:val="20"/>
          <w:szCs w:val="20"/>
        </w:rPr>
        <w:t xml:space="preserve"> to</w:t>
      </w:r>
      <w:r w:rsidRPr="00326F31">
        <w:rPr>
          <w:rFonts w:asciiTheme="majorHAnsi" w:hAnsiTheme="majorHAnsi"/>
          <w:sz w:val="20"/>
          <w:szCs w:val="20"/>
        </w:rPr>
        <w:t>: a) r</w:t>
      </w:r>
      <w:r w:rsidR="00E04845" w:rsidRPr="00326F31">
        <w:rPr>
          <w:rFonts w:asciiTheme="majorHAnsi" w:hAnsiTheme="majorHAnsi"/>
          <w:sz w:val="20"/>
          <w:szCs w:val="20"/>
        </w:rPr>
        <w:t>efrain from initiating electoral</w:t>
      </w:r>
      <w:r w:rsidRPr="00326F31">
        <w:rPr>
          <w:rFonts w:asciiTheme="majorHAnsi" w:hAnsiTheme="majorHAnsi"/>
          <w:sz w:val="20"/>
          <w:szCs w:val="20"/>
        </w:rPr>
        <w:t xml:space="preserve"> or referenda</w:t>
      </w:r>
      <w:r w:rsidR="00E04845" w:rsidRPr="00326F31">
        <w:rPr>
          <w:rFonts w:asciiTheme="majorHAnsi" w:hAnsiTheme="majorHAnsi"/>
          <w:sz w:val="20"/>
          <w:szCs w:val="20"/>
        </w:rPr>
        <w:t xml:space="preserve"> processes</w:t>
      </w:r>
      <w:r w:rsidRPr="00326F31">
        <w:rPr>
          <w:rFonts w:asciiTheme="majorHAnsi" w:hAnsiTheme="majorHAnsi"/>
          <w:sz w:val="20"/>
          <w:szCs w:val="20"/>
        </w:rPr>
        <w:t xml:space="preserve"> and suspend those</w:t>
      </w:r>
      <w:r w:rsidR="00E04845" w:rsidRPr="00326F31">
        <w:rPr>
          <w:rFonts w:asciiTheme="majorHAnsi" w:hAnsiTheme="majorHAnsi"/>
          <w:sz w:val="20"/>
          <w:szCs w:val="20"/>
        </w:rPr>
        <w:t xml:space="preserve"> already initiated; b) r</w:t>
      </w:r>
      <w:r w:rsidR="005B70E5" w:rsidRPr="00326F31">
        <w:rPr>
          <w:rFonts w:asciiTheme="majorHAnsi" w:hAnsiTheme="majorHAnsi"/>
          <w:sz w:val="20"/>
          <w:szCs w:val="20"/>
        </w:rPr>
        <w:t>efrain from conduction sessions</w:t>
      </w:r>
      <w:r w:rsidRPr="00326F31">
        <w:rPr>
          <w:rFonts w:asciiTheme="majorHAnsi" w:hAnsiTheme="majorHAnsi"/>
          <w:sz w:val="20"/>
          <w:szCs w:val="20"/>
        </w:rPr>
        <w:t xml:space="preserve"> with the participation of Leonardo Pizani; </w:t>
      </w:r>
      <w:r w:rsidR="00E04845" w:rsidRPr="00326F31">
        <w:rPr>
          <w:rFonts w:asciiTheme="majorHAnsi" w:hAnsiTheme="majorHAnsi"/>
          <w:sz w:val="20"/>
          <w:szCs w:val="20"/>
        </w:rPr>
        <w:t xml:space="preserve">and </w:t>
      </w:r>
      <w:r w:rsidRPr="00326F31">
        <w:rPr>
          <w:rFonts w:asciiTheme="majorHAnsi" w:hAnsiTheme="majorHAnsi"/>
          <w:sz w:val="20"/>
          <w:szCs w:val="20"/>
        </w:rPr>
        <w:t>c) suspend the effects of Resolution No. 021203-457</w:t>
      </w:r>
      <w:r w:rsidR="005B70E5" w:rsidRPr="00326F31">
        <w:rPr>
          <w:rStyle w:val="FootnoteReference"/>
          <w:rFonts w:asciiTheme="majorHAnsi" w:hAnsiTheme="majorHAnsi"/>
          <w:sz w:val="20"/>
          <w:szCs w:val="20"/>
          <w:lang w:val="es-VE"/>
        </w:rPr>
        <w:footnoteReference w:id="14"/>
      </w:r>
      <w:r w:rsidR="005E6C10">
        <w:rPr>
          <w:rFonts w:asciiTheme="majorHAnsi" w:hAnsiTheme="majorHAnsi"/>
          <w:sz w:val="20"/>
          <w:szCs w:val="20"/>
        </w:rPr>
        <w:t xml:space="preserve"> </w:t>
      </w:r>
      <w:r w:rsidRPr="00326F31">
        <w:rPr>
          <w:rFonts w:asciiTheme="majorHAnsi" w:hAnsiTheme="majorHAnsi"/>
          <w:sz w:val="20"/>
          <w:szCs w:val="20"/>
        </w:rPr>
        <w:t xml:space="preserve">given that in </w:t>
      </w:r>
      <w:r w:rsidR="00E04845" w:rsidRPr="00326F31">
        <w:rPr>
          <w:rFonts w:asciiTheme="majorHAnsi" w:hAnsiTheme="majorHAnsi"/>
          <w:sz w:val="20"/>
          <w:szCs w:val="20"/>
        </w:rPr>
        <w:t>the approval of that</w:t>
      </w:r>
      <w:r w:rsidRPr="00326F31">
        <w:rPr>
          <w:rFonts w:asciiTheme="majorHAnsi" w:hAnsiTheme="majorHAnsi"/>
          <w:sz w:val="20"/>
          <w:szCs w:val="20"/>
        </w:rPr>
        <w:t xml:space="preserve"> decision</w:t>
      </w:r>
      <w:r w:rsidR="00E04845" w:rsidRPr="00326F31">
        <w:rPr>
          <w:rFonts w:asciiTheme="majorHAnsi" w:hAnsiTheme="majorHAnsi"/>
          <w:sz w:val="20"/>
          <w:szCs w:val="20"/>
        </w:rPr>
        <w:t xml:space="preserve"> a </w:t>
      </w:r>
      <w:r w:rsidRPr="00326F31">
        <w:rPr>
          <w:rFonts w:asciiTheme="majorHAnsi" w:hAnsiTheme="majorHAnsi"/>
          <w:sz w:val="20"/>
          <w:szCs w:val="20"/>
        </w:rPr>
        <w:t>person who had already resigned</w:t>
      </w:r>
      <w:r w:rsidR="00E04845" w:rsidRPr="00326F31">
        <w:rPr>
          <w:rFonts w:asciiTheme="majorHAnsi" w:hAnsiTheme="majorHAnsi"/>
          <w:sz w:val="20"/>
          <w:szCs w:val="20"/>
        </w:rPr>
        <w:t xml:space="preserve"> to his position</w:t>
      </w:r>
      <w:r w:rsidRPr="00326F31">
        <w:rPr>
          <w:rFonts w:asciiTheme="majorHAnsi" w:hAnsiTheme="majorHAnsi"/>
          <w:sz w:val="20"/>
          <w:szCs w:val="20"/>
        </w:rPr>
        <w:t xml:space="preserve"> as deputy</w:t>
      </w:r>
      <w:r w:rsidR="00E04845" w:rsidRPr="00326F31">
        <w:rPr>
          <w:rFonts w:asciiTheme="majorHAnsi" w:hAnsiTheme="majorHAnsi"/>
          <w:sz w:val="20"/>
          <w:szCs w:val="20"/>
        </w:rPr>
        <w:t xml:space="preserve"> participated in the Board, therefore</w:t>
      </w:r>
      <w:r w:rsidRPr="00326F31">
        <w:rPr>
          <w:rFonts w:asciiTheme="majorHAnsi" w:hAnsiTheme="majorHAnsi"/>
          <w:sz w:val="20"/>
          <w:szCs w:val="20"/>
        </w:rPr>
        <w:t xml:space="preserve"> that de</w:t>
      </w:r>
      <w:r w:rsidR="00E04845" w:rsidRPr="00326F31">
        <w:rPr>
          <w:rFonts w:asciiTheme="majorHAnsi" w:hAnsiTheme="majorHAnsi"/>
          <w:sz w:val="20"/>
          <w:szCs w:val="20"/>
        </w:rPr>
        <w:t>cision is</w:t>
      </w:r>
      <w:r w:rsidRPr="00326F31">
        <w:rPr>
          <w:rFonts w:asciiTheme="majorHAnsi" w:hAnsiTheme="majorHAnsi"/>
          <w:sz w:val="20"/>
          <w:szCs w:val="20"/>
        </w:rPr>
        <w:t xml:space="preserve"> detrimental</w:t>
      </w:r>
      <w:r w:rsidR="00E04845" w:rsidRPr="00326F31">
        <w:rPr>
          <w:rFonts w:asciiTheme="majorHAnsi" w:hAnsiTheme="majorHAnsi"/>
          <w:sz w:val="20"/>
          <w:szCs w:val="20"/>
        </w:rPr>
        <w:t xml:space="preserve"> to</w:t>
      </w:r>
      <w:r w:rsidRPr="00326F31">
        <w:rPr>
          <w:rFonts w:asciiTheme="majorHAnsi" w:hAnsiTheme="majorHAnsi"/>
          <w:sz w:val="20"/>
          <w:szCs w:val="20"/>
        </w:rPr>
        <w:t xml:space="preserve"> "the right to participate in public affairs</w:t>
      </w:r>
      <w:r w:rsidR="00E04845" w:rsidRPr="00326F31">
        <w:rPr>
          <w:rFonts w:asciiTheme="majorHAnsi" w:hAnsiTheme="majorHAnsi"/>
          <w:sz w:val="20"/>
          <w:szCs w:val="20"/>
        </w:rPr>
        <w:t xml:space="preserve"> of both the appellants, and in generally all voters (...)</w:t>
      </w:r>
      <w:r w:rsidRPr="00326F31">
        <w:rPr>
          <w:rFonts w:asciiTheme="majorHAnsi" w:hAnsiTheme="majorHAnsi"/>
          <w:sz w:val="20"/>
          <w:szCs w:val="20"/>
        </w:rPr>
        <w:t>"</w:t>
      </w:r>
      <w:r w:rsidR="00E04845" w:rsidRPr="00326F31">
        <w:rPr>
          <w:rStyle w:val="FootnoteReference"/>
          <w:rFonts w:asciiTheme="majorHAnsi" w:hAnsiTheme="majorHAnsi"/>
          <w:sz w:val="20"/>
          <w:szCs w:val="20"/>
          <w:lang w:val="es-VE"/>
        </w:rPr>
        <w:footnoteReference w:id="15"/>
      </w:r>
      <w:r w:rsidRPr="00326F31">
        <w:rPr>
          <w:rFonts w:asciiTheme="majorHAnsi" w:hAnsiTheme="majorHAnsi"/>
          <w:sz w:val="20"/>
          <w:szCs w:val="20"/>
        </w:rPr>
        <w:t xml:space="preserve">. </w:t>
      </w:r>
      <w:r w:rsidR="008B573D" w:rsidRPr="00326F31">
        <w:rPr>
          <w:rFonts w:asciiTheme="majorHAnsi" w:hAnsiTheme="majorHAnsi"/>
          <w:sz w:val="20"/>
          <w:szCs w:val="20"/>
        </w:rPr>
        <w:t>In light of the above, the CNE suspended the call for a consultative referendum and restricted its activities to those of an administrative nature</w:t>
      </w:r>
      <w:r w:rsidR="008B573D" w:rsidRPr="00326F31">
        <w:rPr>
          <w:rStyle w:val="FootnoteTextChar"/>
          <w:rFonts w:asciiTheme="majorHAnsi" w:hAnsiTheme="majorHAnsi"/>
          <w:sz w:val="20"/>
          <w:szCs w:val="20"/>
          <w:vertAlign w:val="superscript"/>
        </w:rPr>
        <w:footnoteReference w:id="16"/>
      </w:r>
      <w:r w:rsidR="008B573D" w:rsidRPr="00326F31">
        <w:rPr>
          <w:rFonts w:asciiTheme="majorHAnsi" w:hAnsiTheme="majorHAnsi"/>
          <w:sz w:val="20"/>
          <w:szCs w:val="20"/>
        </w:rPr>
        <w:t>.</w:t>
      </w:r>
    </w:p>
    <w:p w14:paraId="088364FF" w14:textId="77777777" w:rsidR="00280D03" w:rsidRPr="00326F31" w:rsidRDefault="00280D03" w:rsidP="00326F31">
      <w:pPr>
        <w:pBdr>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14:paraId="33C64F92" w14:textId="0A3E3167" w:rsidR="00EB0584" w:rsidRPr="007C4D59" w:rsidRDefault="00D744A5" w:rsidP="007C4D59">
      <w:pPr>
        <w:pStyle w:val="ListParagraph"/>
        <w:numPr>
          <w:ilvl w:val="1"/>
          <w:numId w:val="55"/>
        </w:numPr>
        <w:tabs>
          <w:tab w:val="clear" w:pos="1800"/>
          <w:tab w:val="num" w:pos="1080"/>
        </w:tabs>
        <w:ind w:hanging="1080"/>
        <w:jc w:val="both"/>
        <w:rPr>
          <w:rFonts w:asciiTheme="majorHAnsi" w:hAnsiTheme="majorHAnsi"/>
          <w:b/>
          <w:sz w:val="20"/>
          <w:szCs w:val="20"/>
        </w:rPr>
      </w:pPr>
      <w:r w:rsidRPr="007C4D59">
        <w:rPr>
          <w:rFonts w:asciiTheme="majorHAnsi" w:hAnsiTheme="majorHAnsi"/>
          <w:b/>
          <w:sz w:val="20"/>
          <w:szCs w:val="20"/>
        </w:rPr>
        <w:t>The second collection of signatures:</w:t>
      </w:r>
      <w:r w:rsidR="004A5DA7" w:rsidRPr="007C4D59">
        <w:rPr>
          <w:rFonts w:asciiTheme="majorHAnsi" w:hAnsiTheme="majorHAnsi"/>
          <w:b/>
          <w:sz w:val="20"/>
          <w:szCs w:val="20"/>
        </w:rPr>
        <w:t xml:space="preserve"> </w:t>
      </w:r>
      <w:r w:rsidR="008B573D" w:rsidRPr="007C4D59">
        <w:rPr>
          <w:rStyle w:val="StyleUnivers10pt"/>
          <w:rFonts w:asciiTheme="majorHAnsi" w:hAnsiTheme="majorHAnsi"/>
          <w:b/>
          <w:szCs w:val="20"/>
        </w:rPr>
        <w:t>“</w:t>
      </w:r>
      <w:r w:rsidR="00E53BCF" w:rsidRPr="007C4D59">
        <w:rPr>
          <w:rStyle w:val="StyleUnivers10pt"/>
          <w:rFonts w:asciiTheme="majorHAnsi" w:hAnsiTheme="majorHAnsi"/>
          <w:b/>
          <w:i/>
          <w:szCs w:val="20"/>
        </w:rPr>
        <w:t>El F</w:t>
      </w:r>
      <w:r w:rsidR="008B573D" w:rsidRPr="007C4D59">
        <w:rPr>
          <w:rStyle w:val="StyleUnivers10pt"/>
          <w:rFonts w:asciiTheme="majorHAnsi" w:hAnsiTheme="majorHAnsi"/>
          <w:b/>
          <w:i/>
          <w:szCs w:val="20"/>
        </w:rPr>
        <w:t>irmazo</w:t>
      </w:r>
      <w:r w:rsidR="008B573D" w:rsidRPr="007C4D59">
        <w:rPr>
          <w:rStyle w:val="StyleUnivers10pt"/>
          <w:rFonts w:asciiTheme="majorHAnsi" w:hAnsiTheme="majorHAnsi"/>
          <w:b/>
          <w:szCs w:val="20"/>
        </w:rPr>
        <w:t xml:space="preserve">” </w:t>
      </w:r>
    </w:p>
    <w:p w14:paraId="59E77213" w14:textId="77777777" w:rsidR="008C710F" w:rsidRPr="00326F31" w:rsidRDefault="008C710F" w:rsidP="00326F31">
      <w:pPr>
        <w:jc w:val="both"/>
        <w:rPr>
          <w:rFonts w:asciiTheme="majorHAnsi" w:hAnsiTheme="majorHAnsi"/>
          <w:sz w:val="20"/>
          <w:szCs w:val="20"/>
        </w:rPr>
      </w:pPr>
    </w:p>
    <w:p w14:paraId="3F196166" w14:textId="4F84F7E9" w:rsidR="00E53BCF" w:rsidRPr="00326F31" w:rsidRDefault="00E53BCF"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In view of the decision of the Electoral Chamber of the TSJ, political parties and members of civil society determined to carry out on February 2, 2003 a second collection of signatures known as “</w:t>
      </w:r>
      <w:r w:rsidRPr="00326F31">
        <w:rPr>
          <w:rFonts w:asciiTheme="majorHAnsi" w:hAnsiTheme="majorHAnsi"/>
          <w:i/>
          <w:sz w:val="20"/>
          <w:szCs w:val="20"/>
        </w:rPr>
        <w:t xml:space="preserve">El </w:t>
      </w:r>
      <w:proofErr w:type="spellStart"/>
      <w:r w:rsidRPr="00326F31">
        <w:rPr>
          <w:rFonts w:asciiTheme="majorHAnsi" w:hAnsiTheme="majorHAnsi"/>
          <w:i/>
          <w:sz w:val="20"/>
          <w:szCs w:val="20"/>
        </w:rPr>
        <w:t>Firmazo</w:t>
      </w:r>
      <w:proofErr w:type="spellEnd"/>
      <w:r w:rsidR="007C4D59">
        <w:rPr>
          <w:rFonts w:asciiTheme="majorHAnsi" w:hAnsiTheme="majorHAnsi"/>
          <w:sz w:val="20"/>
          <w:szCs w:val="20"/>
        </w:rPr>
        <w:t>”</w:t>
      </w:r>
      <w:r w:rsidRPr="00326F31">
        <w:rPr>
          <w:rFonts w:asciiTheme="majorHAnsi" w:hAnsiTheme="majorHAnsi"/>
          <w:sz w:val="20"/>
          <w:szCs w:val="20"/>
        </w:rPr>
        <w:t>, this time for a referendum with a recall nature for the Presidential term. In said c</w:t>
      </w:r>
      <w:r w:rsidRPr="00326F31">
        <w:rPr>
          <w:rStyle w:val="StyleUnivers10pt"/>
          <w:rFonts w:asciiTheme="majorHAnsi" w:hAnsiTheme="majorHAnsi"/>
          <w:szCs w:val="20"/>
        </w:rPr>
        <w:t>ollection drive,</w:t>
      </w:r>
      <w:r w:rsidRPr="00326F31">
        <w:rPr>
          <w:rFonts w:asciiTheme="majorHAnsi" w:hAnsiTheme="majorHAnsi"/>
          <w:sz w:val="20"/>
          <w:szCs w:val="20"/>
        </w:rPr>
        <w:t xml:space="preserve"> more than three million signatures were collected</w:t>
      </w:r>
      <w:r w:rsidR="00613C6B" w:rsidRPr="00326F31">
        <w:rPr>
          <w:rStyle w:val="FootnoteTextChar"/>
          <w:rFonts w:asciiTheme="majorHAnsi" w:hAnsiTheme="majorHAnsi"/>
          <w:sz w:val="20"/>
          <w:szCs w:val="20"/>
          <w:vertAlign w:val="superscript"/>
        </w:rPr>
        <w:footnoteReference w:id="17"/>
      </w:r>
      <w:r w:rsidR="00613C6B" w:rsidRPr="00326F31">
        <w:rPr>
          <w:rFonts w:asciiTheme="majorHAnsi" w:hAnsiTheme="majorHAnsi"/>
          <w:sz w:val="20"/>
          <w:szCs w:val="20"/>
        </w:rPr>
        <w:t>.</w:t>
      </w:r>
    </w:p>
    <w:p w14:paraId="540B5EF5" w14:textId="77777777" w:rsidR="00613C6B" w:rsidRPr="00326F31" w:rsidRDefault="00613C6B" w:rsidP="00326F31">
      <w:pPr>
        <w:pBdr>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14:paraId="7B1D4EA5" w14:textId="3E198376" w:rsidR="00613C6B" w:rsidRPr="00326F31" w:rsidRDefault="00613C6B"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The Carter Center and the OAS, as observers, said that "</w:t>
      </w:r>
      <w:r w:rsidRPr="00326F31">
        <w:rPr>
          <w:rFonts w:asciiTheme="majorHAnsi" w:hAnsiTheme="majorHAnsi"/>
          <w:i/>
          <w:sz w:val="20"/>
          <w:szCs w:val="20"/>
        </w:rPr>
        <w:t>El Firmazo</w:t>
      </w:r>
      <w:r w:rsidRPr="00326F31">
        <w:rPr>
          <w:rFonts w:asciiTheme="majorHAnsi" w:hAnsiTheme="majorHAnsi"/>
          <w:sz w:val="20"/>
          <w:szCs w:val="20"/>
        </w:rPr>
        <w:t>" developed normally. However, government officials branded as fraudulent the drive, and denied that they had collected enough signatures to hold the referendum</w:t>
      </w:r>
      <w:r w:rsidRPr="00326F31">
        <w:rPr>
          <w:rStyle w:val="FootnoteTextChar"/>
          <w:rFonts w:asciiTheme="majorHAnsi" w:hAnsiTheme="majorHAnsi"/>
          <w:sz w:val="20"/>
          <w:szCs w:val="20"/>
          <w:vertAlign w:val="superscript"/>
        </w:rPr>
        <w:footnoteReference w:id="18"/>
      </w:r>
      <w:r w:rsidRPr="00326F31">
        <w:rPr>
          <w:rFonts w:asciiTheme="majorHAnsi" w:hAnsiTheme="majorHAnsi"/>
          <w:sz w:val="20"/>
          <w:szCs w:val="20"/>
        </w:rPr>
        <w:t>.</w:t>
      </w:r>
    </w:p>
    <w:p w14:paraId="09024B7E" w14:textId="77777777" w:rsidR="00613C6B" w:rsidRPr="00326F31" w:rsidRDefault="00613C6B" w:rsidP="00326F31">
      <w:pPr>
        <w:pStyle w:val="ListParagraph"/>
        <w:jc w:val="both"/>
        <w:rPr>
          <w:rFonts w:asciiTheme="majorHAnsi" w:hAnsiTheme="majorHAnsi"/>
          <w:sz w:val="20"/>
          <w:szCs w:val="20"/>
        </w:rPr>
      </w:pPr>
    </w:p>
    <w:p w14:paraId="625F9268" w14:textId="7B3A5CAD" w:rsidR="00613C6B" w:rsidRPr="00326F31" w:rsidRDefault="00613C6B"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Considering that a decision of the Constitutional Chamber ruled that "the signatures for the recall must be recorded before the National Electoral Council (CNE), once President Chavez or any elected official meets midterm"</w:t>
      </w:r>
      <w:r w:rsidRPr="00326F31">
        <w:rPr>
          <w:rStyle w:val="FootnoteTextChar"/>
          <w:rFonts w:asciiTheme="majorHAnsi" w:hAnsiTheme="majorHAnsi"/>
          <w:sz w:val="20"/>
          <w:szCs w:val="20"/>
          <w:vertAlign w:val="superscript"/>
        </w:rPr>
        <w:footnoteReference w:id="19"/>
      </w:r>
      <w:r w:rsidRPr="00326F31">
        <w:rPr>
          <w:rFonts w:asciiTheme="majorHAnsi" w:hAnsiTheme="majorHAnsi"/>
          <w:sz w:val="20"/>
          <w:szCs w:val="20"/>
        </w:rPr>
        <w:t>, the obtained signatures were submitted to the CNE on August 20, 2003</w:t>
      </w:r>
      <w:r w:rsidRPr="00326F31">
        <w:rPr>
          <w:rStyle w:val="FootnoteTextChar"/>
          <w:rFonts w:asciiTheme="majorHAnsi" w:hAnsiTheme="majorHAnsi"/>
          <w:sz w:val="20"/>
          <w:szCs w:val="20"/>
          <w:vertAlign w:val="superscript"/>
        </w:rPr>
        <w:footnoteReference w:id="20"/>
      </w:r>
      <w:r w:rsidRPr="00326F31">
        <w:rPr>
          <w:rFonts w:asciiTheme="majorHAnsi" w:hAnsiTheme="majorHAnsi"/>
          <w:sz w:val="20"/>
          <w:szCs w:val="20"/>
        </w:rPr>
        <w:t>.</w:t>
      </w:r>
    </w:p>
    <w:p w14:paraId="41B506B6" w14:textId="77777777" w:rsidR="00B06810" w:rsidRPr="00326F31" w:rsidRDefault="00B06810" w:rsidP="00326F31">
      <w:pPr>
        <w:pStyle w:val="ListParagraph"/>
        <w:jc w:val="both"/>
        <w:rPr>
          <w:rFonts w:asciiTheme="majorHAnsi" w:hAnsiTheme="majorHAnsi"/>
          <w:sz w:val="20"/>
          <w:szCs w:val="20"/>
        </w:rPr>
      </w:pPr>
    </w:p>
    <w:p w14:paraId="122A1AC4" w14:textId="3F244E84" w:rsidR="00394466" w:rsidRPr="00326F31" w:rsidRDefault="00394466"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 xml:space="preserve">On September 12, 2003 by resolution No. 030912-461 the CNE declared inadmissible the petition for a recall referendum against President Hugo Chávez Frías, arguing among other things: 1) </w:t>
      </w:r>
      <w:r w:rsidR="00B06810" w:rsidRPr="00326F31">
        <w:rPr>
          <w:rFonts w:asciiTheme="majorHAnsi" w:hAnsiTheme="majorHAnsi"/>
          <w:sz w:val="20"/>
          <w:szCs w:val="20"/>
        </w:rPr>
        <w:t xml:space="preserve">the untimeliness </w:t>
      </w:r>
      <w:r w:rsidRPr="00326F31">
        <w:rPr>
          <w:rFonts w:asciiTheme="majorHAnsi" w:hAnsiTheme="majorHAnsi"/>
          <w:sz w:val="20"/>
          <w:szCs w:val="20"/>
        </w:rPr>
        <w:t>of the signatures</w:t>
      </w:r>
      <w:r w:rsidR="007C4D59">
        <w:rPr>
          <w:rFonts w:asciiTheme="majorHAnsi" w:hAnsiTheme="majorHAnsi"/>
          <w:sz w:val="20"/>
          <w:szCs w:val="20"/>
        </w:rPr>
        <w:t xml:space="preserve"> since they were collected</w:t>
      </w:r>
      <w:r w:rsidR="00B06810" w:rsidRPr="00326F31">
        <w:rPr>
          <w:rFonts w:asciiTheme="majorHAnsi" w:hAnsiTheme="majorHAnsi"/>
          <w:sz w:val="20"/>
          <w:szCs w:val="20"/>
        </w:rPr>
        <w:t xml:space="preserve"> six</w:t>
      </w:r>
      <w:r w:rsidRPr="00326F31">
        <w:rPr>
          <w:rFonts w:asciiTheme="majorHAnsi" w:hAnsiTheme="majorHAnsi"/>
          <w:sz w:val="20"/>
          <w:szCs w:val="20"/>
        </w:rPr>
        <w:t xml:space="preserve"> months and 18 days before the </w:t>
      </w:r>
      <w:r w:rsidR="00B06810" w:rsidRPr="00326F31">
        <w:rPr>
          <w:rFonts w:asciiTheme="majorHAnsi" w:hAnsiTheme="majorHAnsi"/>
          <w:sz w:val="20"/>
          <w:szCs w:val="20"/>
        </w:rPr>
        <w:t xml:space="preserve">President’s </w:t>
      </w:r>
      <w:r w:rsidRPr="00326F31">
        <w:rPr>
          <w:rFonts w:asciiTheme="majorHAnsi" w:hAnsiTheme="majorHAnsi"/>
          <w:sz w:val="20"/>
          <w:szCs w:val="20"/>
        </w:rPr>
        <w:t xml:space="preserve">midterm </w:t>
      </w:r>
      <w:r w:rsidR="00B06810" w:rsidRPr="00326F31">
        <w:rPr>
          <w:rFonts w:asciiTheme="majorHAnsi" w:hAnsiTheme="majorHAnsi"/>
          <w:sz w:val="20"/>
          <w:szCs w:val="20"/>
        </w:rPr>
        <w:t>was reached, therefore "</w:t>
      </w:r>
      <w:r w:rsidRPr="00326F31">
        <w:rPr>
          <w:rFonts w:asciiTheme="majorHAnsi" w:hAnsiTheme="majorHAnsi"/>
          <w:sz w:val="20"/>
          <w:szCs w:val="20"/>
        </w:rPr>
        <w:t>signatures</w:t>
      </w:r>
      <w:r w:rsidR="00B06810" w:rsidRPr="00326F31">
        <w:rPr>
          <w:rFonts w:asciiTheme="majorHAnsi" w:hAnsiTheme="majorHAnsi"/>
          <w:sz w:val="20"/>
          <w:szCs w:val="20"/>
        </w:rPr>
        <w:t xml:space="preserve"> to accompany an application with a purpose to which </w:t>
      </w:r>
      <w:r w:rsidRPr="00326F31">
        <w:rPr>
          <w:rFonts w:asciiTheme="majorHAnsi" w:hAnsiTheme="majorHAnsi"/>
          <w:sz w:val="20"/>
          <w:szCs w:val="20"/>
        </w:rPr>
        <w:t xml:space="preserve">the undersigned </w:t>
      </w:r>
      <w:r w:rsidR="00B06810" w:rsidRPr="00326F31">
        <w:rPr>
          <w:rFonts w:asciiTheme="majorHAnsi" w:hAnsiTheme="majorHAnsi"/>
          <w:sz w:val="20"/>
          <w:szCs w:val="20"/>
        </w:rPr>
        <w:t xml:space="preserve">has </w:t>
      </w:r>
      <w:r w:rsidRPr="00326F31">
        <w:rPr>
          <w:rFonts w:asciiTheme="majorHAnsi" w:hAnsiTheme="majorHAnsi"/>
          <w:sz w:val="20"/>
          <w:szCs w:val="20"/>
        </w:rPr>
        <w:t xml:space="preserve">not </w:t>
      </w:r>
      <w:r w:rsidR="007C4D59">
        <w:rPr>
          <w:rFonts w:asciiTheme="majorHAnsi" w:hAnsiTheme="majorHAnsi"/>
          <w:sz w:val="20"/>
          <w:szCs w:val="20"/>
        </w:rPr>
        <w:t xml:space="preserve">the </w:t>
      </w:r>
      <w:r w:rsidRPr="00326F31">
        <w:rPr>
          <w:rFonts w:asciiTheme="majorHAnsi" w:hAnsiTheme="majorHAnsi"/>
          <w:sz w:val="20"/>
          <w:szCs w:val="20"/>
        </w:rPr>
        <w:t>right yet</w:t>
      </w:r>
      <w:r w:rsidR="00B06810" w:rsidRPr="00326F31">
        <w:rPr>
          <w:rFonts w:asciiTheme="majorHAnsi" w:hAnsiTheme="majorHAnsi"/>
          <w:sz w:val="20"/>
          <w:szCs w:val="20"/>
        </w:rPr>
        <w:t>, cannot be collected</w:t>
      </w:r>
      <w:r w:rsidRPr="00326F31">
        <w:rPr>
          <w:rFonts w:asciiTheme="majorHAnsi" w:hAnsiTheme="majorHAnsi"/>
          <w:sz w:val="20"/>
          <w:szCs w:val="20"/>
        </w:rPr>
        <w:t>"</w:t>
      </w:r>
      <w:r w:rsidR="00B06810" w:rsidRPr="00326F31">
        <w:rPr>
          <w:rStyle w:val="FootnoteTextChar"/>
          <w:rFonts w:asciiTheme="majorHAnsi" w:hAnsiTheme="majorHAnsi"/>
          <w:sz w:val="20"/>
          <w:szCs w:val="20"/>
          <w:vertAlign w:val="superscript"/>
        </w:rPr>
        <w:footnoteReference w:id="21"/>
      </w:r>
      <w:r w:rsidRPr="00326F31">
        <w:rPr>
          <w:rFonts w:asciiTheme="majorHAnsi" w:hAnsiTheme="majorHAnsi"/>
          <w:sz w:val="20"/>
          <w:szCs w:val="20"/>
        </w:rPr>
        <w:t xml:space="preserve">; and 2) that the request was not addressed to the CNE and "the text refers to an alleged initiative </w:t>
      </w:r>
      <w:r w:rsidR="00B06810" w:rsidRPr="00326F31">
        <w:rPr>
          <w:rFonts w:asciiTheme="majorHAnsi" w:hAnsiTheme="majorHAnsi"/>
          <w:sz w:val="20"/>
          <w:szCs w:val="20"/>
        </w:rPr>
        <w:t xml:space="preserve">that the signatories have </w:t>
      </w:r>
      <w:r w:rsidRPr="00326F31">
        <w:rPr>
          <w:rFonts w:asciiTheme="majorHAnsi" w:hAnsiTheme="majorHAnsi"/>
          <w:sz w:val="20"/>
          <w:szCs w:val="20"/>
        </w:rPr>
        <w:t>to convene the referendum</w:t>
      </w:r>
      <w:r w:rsidR="00B06810" w:rsidRPr="00326F31">
        <w:rPr>
          <w:rFonts w:asciiTheme="majorHAnsi" w:hAnsiTheme="majorHAnsi"/>
          <w:sz w:val="20"/>
          <w:szCs w:val="20"/>
        </w:rPr>
        <w:t xml:space="preserve"> themselves</w:t>
      </w:r>
      <w:r w:rsidRPr="00326F31">
        <w:rPr>
          <w:rFonts w:asciiTheme="majorHAnsi" w:hAnsiTheme="majorHAnsi"/>
          <w:sz w:val="20"/>
          <w:szCs w:val="20"/>
        </w:rPr>
        <w:t xml:space="preserve">, when </w:t>
      </w:r>
      <w:r w:rsidR="00B06810" w:rsidRPr="00326F31">
        <w:rPr>
          <w:rFonts w:asciiTheme="majorHAnsi" w:hAnsiTheme="majorHAnsi"/>
          <w:sz w:val="20"/>
          <w:szCs w:val="20"/>
        </w:rPr>
        <w:t xml:space="preserve">they </w:t>
      </w:r>
      <w:r w:rsidRPr="00326F31">
        <w:rPr>
          <w:rFonts w:asciiTheme="majorHAnsi" w:hAnsiTheme="majorHAnsi"/>
          <w:sz w:val="20"/>
          <w:szCs w:val="20"/>
        </w:rPr>
        <w:t>only have</w:t>
      </w:r>
      <w:r w:rsidR="00B06810" w:rsidRPr="00326F31">
        <w:rPr>
          <w:rFonts w:asciiTheme="majorHAnsi" w:hAnsiTheme="majorHAnsi"/>
          <w:sz w:val="20"/>
          <w:szCs w:val="20"/>
        </w:rPr>
        <w:t xml:space="preserve"> [such initiative] to activate [the referendum]</w:t>
      </w:r>
      <w:r w:rsidRPr="00326F31">
        <w:rPr>
          <w:rFonts w:asciiTheme="majorHAnsi" w:hAnsiTheme="majorHAnsi"/>
          <w:sz w:val="20"/>
          <w:szCs w:val="20"/>
        </w:rPr>
        <w:t xml:space="preserve"> throug</w:t>
      </w:r>
      <w:r w:rsidR="00B06810" w:rsidRPr="00326F31">
        <w:rPr>
          <w:rFonts w:asciiTheme="majorHAnsi" w:hAnsiTheme="majorHAnsi"/>
          <w:sz w:val="20"/>
          <w:szCs w:val="20"/>
        </w:rPr>
        <w:t>h the Electoral Body with the ability</w:t>
      </w:r>
      <w:r w:rsidRPr="00326F31">
        <w:rPr>
          <w:rFonts w:asciiTheme="majorHAnsi" w:hAnsiTheme="majorHAnsi"/>
          <w:sz w:val="20"/>
          <w:szCs w:val="20"/>
        </w:rPr>
        <w:t xml:space="preserve"> to summon</w:t>
      </w:r>
      <w:r w:rsidR="00B06810" w:rsidRPr="00326F31">
        <w:rPr>
          <w:rFonts w:asciiTheme="majorHAnsi" w:hAnsiTheme="majorHAnsi"/>
          <w:sz w:val="20"/>
          <w:szCs w:val="20"/>
        </w:rPr>
        <w:t xml:space="preserve"> it”</w:t>
      </w:r>
      <w:r w:rsidR="00B06810" w:rsidRPr="00326F31">
        <w:rPr>
          <w:rStyle w:val="FootnoteTextChar"/>
          <w:rFonts w:asciiTheme="majorHAnsi" w:hAnsiTheme="majorHAnsi"/>
          <w:sz w:val="20"/>
          <w:szCs w:val="20"/>
          <w:vertAlign w:val="superscript"/>
        </w:rPr>
        <w:t xml:space="preserve"> </w:t>
      </w:r>
      <w:r w:rsidR="00B06810" w:rsidRPr="00326F31">
        <w:rPr>
          <w:rStyle w:val="FootnoteTextChar"/>
          <w:rFonts w:asciiTheme="majorHAnsi" w:hAnsiTheme="majorHAnsi"/>
          <w:sz w:val="20"/>
          <w:szCs w:val="20"/>
          <w:vertAlign w:val="superscript"/>
        </w:rPr>
        <w:footnoteReference w:id="22"/>
      </w:r>
      <w:r w:rsidR="00B06810" w:rsidRPr="00326F31">
        <w:rPr>
          <w:rFonts w:asciiTheme="majorHAnsi" w:hAnsiTheme="majorHAnsi"/>
          <w:sz w:val="20"/>
          <w:szCs w:val="20"/>
        </w:rPr>
        <w:t>.</w:t>
      </w:r>
    </w:p>
    <w:p w14:paraId="647F4902" w14:textId="77777777" w:rsidR="00394466" w:rsidRPr="00326F31" w:rsidRDefault="00394466" w:rsidP="00326F31">
      <w:pPr>
        <w:tabs>
          <w:tab w:val="left" w:pos="3516"/>
        </w:tabs>
        <w:jc w:val="both"/>
        <w:rPr>
          <w:rFonts w:asciiTheme="majorHAnsi" w:hAnsiTheme="majorHAnsi"/>
          <w:b/>
          <w:sz w:val="20"/>
          <w:szCs w:val="20"/>
        </w:rPr>
      </w:pPr>
    </w:p>
    <w:p w14:paraId="0FDC4E2A" w14:textId="0CF48C07" w:rsidR="00E90B04" w:rsidRPr="00326F31" w:rsidRDefault="00D744A5" w:rsidP="007C4D59">
      <w:pPr>
        <w:pStyle w:val="ListParagraph"/>
        <w:numPr>
          <w:ilvl w:val="1"/>
          <w:numId w:val="55"/>
        </w:numPr>
        <w:tabs>
          <w:tab w:val="clear" w:pos="1800"/>
          <w:tab w:val="num" w:pos="1080"/>
        </w:tabs>
        <w:ind w:hanging="1080"/>
        <w:jc w:val="both"/>
        <w:rPr>
          <w:rFonts w:asciiTheme="majorHAnsi" w:hAnsiTheme="majorHAnsi"/>
          <w:b/>
          <w:sz w:val="20"/>
          <w:szCs w:val="20"/>
        </w:rPr>
      </w:pPr>
      <w:r w:rsidRPr="00326F31">
        <w:rPr>
          <w:rFonts w:asciiTheme="majorHAnsi" w:hAnsiTheme="majorHAnsi"/>
          <w:b/>
          <w:sz w:val="20"/>
          <w:szCs w:val="20"/>
        </w:rPr>
        <w:t>The third</w:t>
      </w:r>
      <w:r w:rsidR="004A5DA7" w:rsidRPr="00326F31">
        <w:rPr>
          <w:rFonts w:asciiTheme="majorHAnsi" w:hAnsiTheme="majorHAnsi"/>
          <w:b/>
          <w:sz w:val="20"/>
          <w:szCs w:val="20"/>
        </w:rPr>
        <w:t xml:space="preserve"> collection of signatures:</w:t>
      </w:r>
      <w:r w:rsidRPr="00326F31">
        <w:rPr>
          <w:rFonts w:asciiTheme="majorHAnsi" w:hAnsiTheme="majorHAnsi"/>
          <w:b/>
          <w:sz w:val="20"/>
          <w:szCs w:val="20"/>
        </w:rPr>
        <w:t xml:space="preserve"> </w:t>
      </w:r>
      <w:r w:rsidR="0098717C" w:rsidRPr="00326F31">
        <w:rPr>
          <w:rFonts w:asciiTheme="majorHAnsi" w:hAnsiTheme="majorHAnsi"/>
          <w:b/>
          <w:sz w:val="20"/>
          <w:szCs w:val="20"/>
        </w:rPr>
        <w:t>“</w:t>
      </w:r>
      <w:r w:rsidR="0098717C" w:rsidRPr="00326F31">
        <w:rPr>
          <w:rFonts w:asciiTheme="majorHAnsi" w:hAnsiTheme="majorHAnsi"/>
          <w:b/>
          <w:i/>
          <w:sz w:val="20"/>
          <w:szCs w:val="20"/>
        </w:rPr>
        <w:t>El Reafirmazo</w:t>
      </w:r>
      <w:r w:rsidR="0098717C" w:rsidRPr="00326F31">
        <w:rPr>
          <w:rFonts w:asciiTheme="majorHAnsi" w:hAnsiTheme="majorHAnsi"/>
          <w:b/>
          <w:sz w:val="20"/>
          <w:szCs w:val="20"/>
        </w:rPr>
        <w:t xml:space="preserve">” </w:t>
      </w:r>
      <w:r w:rsidR="005E6C10">
        <w:rPr>
          <w:rFonts w:asciiTheme="majorHAnsi" w:hAnsiTheme="majorHAnsi"/>
          <w:b/>
          <w:sz w:val="20"/>
          <w:szCs w:val="20"/>
        </w:rPr>
        <w:t xml:space="preserve"> </w:t>
      </w:r>
    </w:p>
    <w:p w14:paraId="1A81AA60" w14:textId="77777777" w:rsidR="0098717C" w:rsidRPr="00326F31" w:rsidRDefault="0098717C" w:rsidP="00326F31">
      <w:pPr>
        <w:pBdr>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14:paraId="69A12F35" w14:textId="3B181F07" w:rsidR="0098717C" w:rsidRPr="00326F31" w:rsidRDefault="0098717C"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After the inadmissibility of the petition for a recall referendum "</w:t>
      </w:r>
      <w:r w:rsidRPr="00326F31">
        <w:rPr>
          <w:rFonts w:asciiTheme="majorHAnsi" w:hAnsiTheme="majorHAnsi"/>
          <w:i/>
          <w:sz w:val="20"/>
          <w:szCs w:val="20"/>
        </w:rPr>
        <w:t>El Firmazo</w:t>
      </w:r>
      <w:r w:rsidRPr="00326F31">
        <w:rPr>
          <w:rFonts w:asciiTheme="majorHAnsi" w:hAnsiTheme="majorHAnsi"/>
          <w:sz w:val="20"/>
          <w:szCs w:val="20"/>
        </w:rPr>
        <w:t>", in September 2003, the CNE approved the legislation to regulate recall referenda processes by establishing various technical conditions to carry out a recall referendum</w:t>
      </w:r>
      <w:r w:rsidRPr="00326F31">
        <w:rPr>
          <w:rStyle w:val="FootnoteTextChar"/>
          <w:rFonts w:asciiTheme="majorHAnsi" w:hAnsiTheme="majorHAnsi"/>
          <w:sz w:val="20"/>
          <w:szCs w:val="20"/>
          <w:vertAlign w:val="superscript"/>
        </w:rPr>
        <w:footnoteReference w:id="23"/>
      </w:r>
      <w:r w:rsidR="005E6C10">
        <w:rPr>
          <w:rFonts w:asciiTheme="majorHAnsi" w:hAnsiTheme="majorHAnsi"/>
          <w:sz w:val="20"/>
          <w:szCs w:val="20"/>
        </w:rPr>
        <w:t xml:space="preserve"> </w:t>
      </w:r>
      <w:r w:rsidRPr="00326F31">
        <w:rPr>
          <w:rFonts w:asciiTheme="majorHAnsi" w:hAnsiTheme="majorHAnsi"/>
          <w:sz w:val="20"/>
          <w:szCs w:val="20"/>
        </w:rPr>
        <w:t>and decided to call for a new collection of signatures for a presidential recall referendum, to be held between November 28 and December 1, 2003</w:t>
      </w:r>
      <w:r w:rsidRPr="00326F31">
        <w:rPr>
          <w:rStyle w:val="FootnoteTextChar"/>
          <w:rFonts w:asciiTheme="majorHAnsi" w:hAnsiTheme="majorHAnsi"/>
          <w:sz w:val="20"/>
          <w:szCs w:val="20"/>
          <w:vertAlign w:val="superscript"/>
        </w:rPr>
        <w:footnoteReference w:id="24"/>
      </w:r>
      <w:r w:rsidRPr="00326F31">
        <w:rPr>
          <w:rFonts w:asciiTheme="majorHAnsi" w:hAnsiTheme="majorHAnsi"/>
          <w:sz w:val="20"/>
          <w:szCs w:val="20"/>
        </w:rPr>
        <w:t>.</w:t>
      </w:r>
    </w:p>
    <w:p w14:paraId="7FF270EC" w14:textId="77777777" w:rsidR="00F1030E" w:rsidRPr="00326F31" w:rsidRDefault="00F1030E" w:rsidP="00326F31">
      <w:pPr>
        <w:jc w:val="both"/>
        <w:rPr>
          <w:rFonts w:asciiTheme="majorHAnsi" w:hAnsiTheme="majorHAnsi"/>
          <w:sz w:val="20"/>
          <w:szCs w:val="20"/>
        </w:rPr>
      </w:pPr>
    </w:p>
    <w:p w14:paraId="3BFC60F8" w14:textId="5BCC988C" w:rsidR="00C33ABF" w:rsidRPr="00326F31" w:rsidRDefault="00C33ABF"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Also, [the CNE] issued</w:t>
      </w:r>
      <w:r w:rsidR="00F1030E" w:rsidRPr="00326F31">
        <w:rPr>
          <w:rFonts w:asciiTheme="majorHAnsi" w:hAnsiTheme="majorHAnsi"/>
          <w:sz w:val="20"/>
          <w:szCs w:val="20"/>
        </w:rPr>
        <w:t xml:space="preserve"> the</w:t>
      </w:r>
      <w:r w:rsidRPr="00326F31">
        <w:rPr>
          <w:rFonts w:asciiTheme="majorHAnsi" w:hAnsiTheme="majorHAnsi"/>
          <w:sz w:val="20"/>
          <w:szCs w:val="20"/>
        </w:rPr>
        <w:t xml:space="preserve"> Resolution 031027-710 by which it "urged both public sector bodies in any of the territorial political levels of government (national, state and municipal) and private agencies with staff at its service, to refrain from implementing any direct or indirect measure that seeks to influence or prevent the free and peaceful enjoyment of the constitutional right to political participation tangled in each of the procedural stages of the recall referendum, governed by rules to regulate the Processes for Recall Referenda</w:t>
      </w:r>
      <w:r w:rsidR="00F1030E" w:rsidRPr="00326F31">
        <w:rPr>
          <w:rFonts w:asciiTheme="majorHAnsi" w:hAnsiTheme="majorHAnsi" w:cs="Arial"/>
          <w:sz w:val="20"/>
          <w:szCs w:val="20"/>
        </w:rPr>
        <w:t xml:space="preserve"> for T</w:t>
      </w:r>
      <w:r w:rsidRPr="00326F31">
        <w:rPr>
          <w:rFonts w:asciiTheme="majorHAnsi" w:hAnsiTheme="majorHAnsi" w:cs="Arial"/>
          <w:sz w:val="20"/>
          <w:szCs w:val="20"/>
        </w:rPr>
        <w:t>erm</w:t>
      </w:r>
      <w:r w:rsidR="00F1030E" w:rsidRPr="00326F31">
        <w:rPr>
          <w:rFonts w:asciiTheme="majorHAnsi" w:hAnsiTheme="majorHAnsi" w:cs="Arial"/>
          <w:sz w:val="20"/>
          <w:szCs w:val="20"/>
        </w:rPr>
        <w:t>s</w:t>
      </w:r>
      <w:r w:rsidRPr="00326F31">
        <w:rPr>
          <w:rFonts w:asciiTheme="majorHAnsi" w:hAnsiTheme="majorHAnsi" w:cs="Arial"/>
          <w:sz w:val="20"/>
          <w:szCs w:val="20"/>
        </w:rPr>
        <w:t xml:space="preserve"> of </w:t>
      </w:r>
      <w:r w:rsidR="00F1030E" w:rsidRPr="00326F31">
        <w:rPr>
          <w:rFonts w:asciiTheme="majorHAnsi" w:hAnsiTheme="majorHAnsi" w:cs="Arial"/>
          <w:sz w:val="20"/>
          <w:szCs w:val="20"/>
        </w:rPr>
        <w:t>O</w:t>
      </w:r>
      <w:r w:rsidRPr="00326F31">
        <w:rPr>
          <w:rFonts w:asciiTheme="majorHAnsi" w:hAnsiTheme="majorHAnsi" w:cs="Arial"/>
          <w:sz w:val="20"/>
          <w:szCs w:val="20"/>
        </w:rPr>
        <w:t xml:space="preserve">ffice </w:t>
      </w:r>
      <w:r w:rsidR="00F1030E" w:rsidRPr="00326F31">
        <w:rPr>
          <w:rFonts w:asciiTheme="majorHAnsi" w:hAnsiTheme="majorHAnsi" w:cs="Arial"/>
          <w:sz w:val="20"/>
          <w:szCs w:val="20"/>
        </w:rPr>
        <w:t xml:space="preserve">Mandates </w:t>
      </w:r>
      <w:r w:rsidRPr="00326F31">
        <w:rPr>
          <w:rFonts w:asciiTheme="majorHAnsi" w:hAnsiTheme="majorHAnsi" w:cs="Arial"/>
          <w:sz w:val="20"/>
          <w:szCs w:val="20"/>
        </w:rPr>
        <w:t xml:space="preserve">of </w:t>
      </w:r>
      <w:r w:rsidR="00F1030E" w:rsidRPr="00326F31">
        <w:rPr>
          <w:rFonts w:asciiTheme="majorHAnsi" w:hAnsiTheme="majorHAnsi" w:cs="Arial"/>
          <w:sz w:val="20"/>
          <w:szCs w:val="20"/>
        </w:rPr>
        <w:t>Popularly E</w:t>
      </w:r>
      <w:r w:rsidRPr="00326F31">
        <w:rPr>
          <w:rFonts w:asciiTheme="majorHAnsi" w:hAnsiTheme="majorHAnsi" w:cs="Arial"/>
          <w:sz w:val="20"/>
          <w:szCs w:val="20"/>
        </w:rPr>
        <w:t>lected</w:t>
      </w:r>
      <w:r w:rsidR="00F1030E" w:rsidRPr="00326F31">
        <w:rPr>
          <w:rFonts w:asciiTheme="majorHAnsi" w:hAnsiTheme="majorHAnsi" w:cs="Arial"/>
          <w:sz w:val="20"/>
          <w:szCs w:val="20"/>
        </w:rPr>
        <w:t xml:space="preserve"> P</w:t>
      </w:r>
      <w:r w:rsidRPr="00326F31">
        <w:rPr>
          <w:rFonts w:asciiTheme="majorHAnsi" w:hAnsiTheme="majorHAnsi" w:cs="Arial"/>
          <w:sz w:val="20"/>
          <w:szCs w:val="20"/>
        </w:rPr>
        <w:t>ositions</w:t>
      </w:r>
      <w:r w:rsidRPr="00326F31">
        <w:rPr>
          <w:rFonts w:asciiTheme="majorHAnsi" w:hAnsiTheme="majorHAnsi"/>
          <w:sz w:val="20"/>
          <w:szCs w:val="20"/>
        </w:rPr>
        <w:t>"</w:t>
      </w:r>
      <w:r w:rsidRPr="00326F31">
        <w:rPr>
          <w:rStyle w:val="FootnoteTextChar"/>
          <w:rFonts w:asciiTheme="majorHAnsi" w:hAnsiTheme="majorHAnsi"/>
          <w:sz w:val="20"/>
          <w:szCs w:val="20"/>
          <w:vertAlign w:val="superscript"/>
        </w:rPr>
        <w:footnoteReference w:id="25"/>
      </w:r>
      <w:r w:rsidRPr="00326F31">
        <w:rPr>
          <w:rFonts w:asciiTheme="majorHAnsi" w:hAnsiTheme="majorHAnsi"/>
          <w:sz w:val="20"/>
          <w:szCs w:val="20"/>
        </w:rPr>
        <w:t>; and Resolution No. 031120-794 through which it dictates the "Guidelines on criteria for the validation of signatures and of the forms to collect signatures for the recall referendum process</w:t>
      </w:r>
      <w:r w:rsidR="00F1030E" w:rsidRPr="00326F31">
        <w:rPr>
          <w:rFonts w:asciiTheme="majorHAnsi" w:hAnsiTheme="majorHAnsi"/>
          <w:sz w:val="20"/>
          <w:szCs w:val="20"/>
        </w:rPr>
        <w:t xml:space="preserve"> for terms of office</w:t>
      </w:r>
      <w:r w:rsidRPr="00326F31">
        <w:rPr>
          <w:rFonts w:asciiTheme="majorHAnsi" w:hAnsiTheme="majorHAnsi"/>
          <w:sz w:val="20"/>
          <w:szCs w:val="20"/>
        </w:rPr>
        <w:t xml:space="preserve"> of </w:t>
      </w:r>
      <w:r w:rsidRPr="00326F31">
        <w:rPr>
          <w:rFonts w:asciiTheme="majorHAnsi" w:hAnsiTheme="majorHAnsi" w:cs="Arial"/>
          <w:sz w:val="20"/>
          <w:szCs w:val="20"/>
        </w:rPr>
        <w:t>popularly elected positions</w:t>
      </w:r>
      <w:r w:rsidRPr="00326F31">
        <w:rPr>
          <w:rFonts w:asciiTheme="majorHAnsi" w:hAnsiTheme="majorHAnsi"/>
          <w:sz w:val="20"/>
          <w:szCs w:val="20"/>
        </w:rPr>
        <w:t>"</w:t>
      </w:r>
      <w:r w:rsidRPr="00326F31">
        <w:rPr>
          <w:rStyle w:val="FootnoteTextChar"/>
          <w:rFonts w:asciiTheme="majorHAnsi" w:hAnsiTheme="majorHAnsi"/>
          <w:sz w:val="20"/>
          <w:szCs w:val="20"/>
          <w:vertAlign w:val="superscript"/>
        </w:rPr>
        <w:footnoteReference w:id="26"/>
      </w:r>
      <w:r w:rsidRPr="00326F31">
        <w:rPr>
          <w:rFonts w:asciiTheme="majorHAnsi" w:hAnsiTheme="majorHAnsi"/>
          <w:sz w:val="20"/>
          <w:szCs w:val="20"/>
        </w:rPr>
        <w:t>.</w:t>
      </w:r>
    </w:p>
    <w:p w14:paraId="01370541" w14:textId="77777777" w:rsidR="00A0758B" w:rsidRPr="00326F31" w:rsidRDefault="00A0758B" w:rsidP="00326F31">
      <w:pPr>
        <w:pStyle w:val="ListParagraph"/>
        <w:jc w:val="both"/>
        <w:rPr>
          <w:rFonts w:asciiTheme="majorHAnsi" w:hAnsiTheme="majorHAnsi"/>
          <w:sz w:val="20"/>
          <w:szCs w:val="20"/>
        </w:rPr>
      </w:pPr>
    </w:p>
    <w:p w14:paraId="235B3664" w14:textId="23A4B817" w:rsidR="00F1030E" w:rsidRPr="00326F31" w:rsidRDefault="00F1030E"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 xml:space="preserve">In the months prior to the dates set by the CNE for the collection of signatures drive, as reported by various media, some officials suggested that collection of signatures may be fraudulent or threatened those </w:t>
      </w:r>
      <w:r w:rsidRPr="00326F31">
        <w:rPr>
          <w:rFonts w:asciiTheme="majorHAnsi" w:hAnsiTheme="majorHAnsi"/>
          <w:sz w:val="20"/>
          <w:szCs w:val="20"/>
        </w:rPr>
        <w:lastRenderedPageBreak/>
        <w:t>who would participate in the referendum</w:t>
      </w:r>
      <w:r w:rsidR="00B62681" w:rsidRPr="00326F31">
        <w:rPr>
          <w:rStyle w:val="FootnoteTextChar"/>
          <w:rFonts w:asciiTheme="majorHAnsi" w:hAnsiTheme="majorHAnsi"/>
          <w:sz w:val="20"/>
          <w:szCs w:val="20"/>
          <w:vertAlign w:val="superscript"/>
        </w:rPr>
        <w:footnoteReference w:id="27"/>
      </w:r>
      <w:r w:rsidRPr="00326F31">
        <w:rPr>
          <w:rFonts w:asciiTheme="majorHAnsi" w:hAnsiTheme="majorHAnsi"/>
          <w:sz w:val="20"/>
          <w:szCs w:val="20"/>
        </w:rPr>
        <w:t>. For example, in October 20</w:t>
      </w:r>
      <w:r w:rsidR="00B62681" w:rsidRPr="00326F31">
        <w:rPr>
          <w:rFonts w:asciiTheme="majorHAnsi" w:hAnsiTheme="majorHAnsi"/>
          <w:sz w:val="20"/>
          <w:szCs w:val="20"/>
        </w:rPr>
        <w:t xml:space="preserve">03 President Chavez stated "those who signed </w:t>
      </w:r>
      <w:r w:rsidRPr="00326F31">
        <w:rPr>
          <w:rFonts w:asciiTheme="majorHAnsi" w:hAnsiTheme="majorHAnsi"/>
          <w:sz w:val="20"/>
          <w:szCs w:val="20"/>
        </w:rPr>
        <w:t>against Chavez</w:t>
      </w:r>
      <w:r w:rsidR="00B62681" w:rsidRPr="00326F31">
        <w:rPr>
          <w:rFonts w:asciiTheme="majorHAnsi" w:hAnsiTheme="majorHAnsi"/>
          <w:sz w:val="20"/>
          <w:szCs w:val="20"/>
        </w:rPr>
        <w:t>, your name will be registered for history, because you</w:t>
      </w:r>
      <w:r w:rsidRPr="00326F31">
        <w:rPr>
          <w:rFonts w:asciiTheme="majorHAnsi" w:hAnsiTheme="majorHAnsi"/>
          <w:sz w:val="20"/>
          <w:szCs w:val="20"/>
        </w:rPr>
        <w:t xml:space="preserve"> will have to put your name and surname and signature and I</w:t>
      </w:r>
      <w:r w:rsidR="00B62681" w:rsidRPr="00326F31">
        <w:rPr>
          <w:rFonts w:asciiTheme="majorHAnsi" w:hAnsiTheme="majorHAnsi"/>
          <w:sz w:val="20"/>
          <w:szCs w:val="20"/>
        </w:rPr>
        <w:t>D number and your fingerprint"</w:t>
      </w:r>
      <w:r w:rsidR="00B62681" w:rsidRPr="00326F31">
        <w:rPr>
          <w:rStyle w:val="FootnoteReference"/>
          <w:rFonts w:asciiTheme="majorHAnsi" w:hAnsiTheme="majorHAnsi"/>
          <w:sz w:val="20"/>
          <w:szCs w:val="20"/>
        </w:rPr>
        <w:t xml:space="preserve"> </w:t>
      </w:r>
      <w:r w:rsidR="00B62681" w:rsidRPr="00326F31">
        <w:rPr>
          <w:rStyle w:val="FootnoteReference"/>
          <w:rFonts w:asciiTheme="majorHAnsi" w:hAnsiTheme="majorHAnsi"/>
          <w:sz w:val="20"/>
          <w:szCs w:val="20"/>
          <w:lang w:val="es-VE"/>
        </w:rPr>
        <w:footnoteReference w:id="28"/>
      </w:r>
      <w:r w:rsidR="00B62681" w:rsidRPr="00326F31">
        <w:rPr>
          <w:rFonts w:asciiTheme="majorHAnsi" w:hAnsiTheme="majorHAnsi"/>
          <w:sz w:val="20"/>
          <w:szCs w:val="20"/>
        </w:rPr>
        <w:t>.</w:t>
      </w:r>
    </w:p>
    <w:p w14:paraId="02D876C6" w14:textId="77777777" w:rsidR="005107B8" w:rsidRPr="00326F31" w:rsidRDefault="005107B8" w:rsidP="00326F31">
      <w:pPr>
        <w:jc w:val="both"/>
        <w:rPr>
          <w:rFonts w:asciiTheme="majorHAnsi" w:hAnsiTheme="majorHAnsi"/>
          <w:sz w:val="20"/>
          <w:szCs w:val="20"/>
        </w:rPr>
      </w:pPr>
    </w:p>
    <w:p w14:paraId="014D0168" w14:textId="48BD8A9C" w:rsidR="00A0758B" w:rsidRPr="00326F31" w:rsidRDefault="00A0758B"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 xml:space="preserve">In turn, on November 22, 2003, Lina Ron, Coordinator of </w:t>
      </w:r>
      <w:r w:rsidR="005107B8" w:rsidRPr="00326F31">
        <w:rPr>
          <w:rFonts w:asciiTheme="majorHAnsi" w:hAnsiTheme="majorHAnsi"/>
          <w:sz w:val="20"/>
          <w:szCs w:val="20"/>
        </w:rPr>
        <w:t xml:space="preserve">the </w:t>
      </w:r>
      <w:r w:rsidRPr="00326F31">
        <w:rPr>
          <w:rFonts w:asciiTheme="majorHAnsi" w:hAnsiTheme="majorHAnsi"/>
          <w:sz w:val="20"/>
          <w:szCs w:val="20"/>
        </w:rPr>
        <w:t>Bolivarian Circles and then President of the Single Social Fund, a public institution responsible for managing resources for financing and regulating social programs, stated that "I will not allow</w:t>
      </w:r>
      <w:r w:rsidR="005107B8" w:rsidRPr="00326F31">
        <w:rPr>
          <w:rFonts w:asciiTheme="majorHAnsi" w:hAnsiTheme="majorHAnsi"/>
          <w:sz w:val="20"/>
          <w:szCs w:val="20"/>
        </w:rPr>
        <w:t xml:space="preserve"> that in any</w:t>
      </w:r>
      <w:r w:rsidRPr="00326F31">
        <w:rPr>
          <w:rFonts w:asciiTheme="majorHAnsi" w:hAnsiTheme="majorHAnsi"/>
          <w:sz w:val="20"/>
          <w:szCs w:val="20"/>
        </w:rPr>
        <w:t xml:space="preserve"> collection </w:t>
      </w:r>
      <w:r w:rsidR="005107B8" w:rsidRPr="00326F31">
        <w:rPr>
          <w:rFonts w:asciiTheme="majorHAnsi" w:hAnsiTheme="majorHAnsi"/>
          <w:sz w:val="20"/>
          <w:szCs w:val="20"/>
        </w:rPr>
        <w:t xml:space="preserve">post people </w:t>
      </w:r>
      <w:r w:rsidRPr="00326F31">
        <w:rPr>
          <w:rFonts w:asciiTheme="majorHAnsi" w:hAnsiTheme="majorHAnsi"/>
          <w:sz w:val="20"/>
          <w:szCs w:val="20"/>
        </w:rPr>
        <w:t>sign against my commander, against the greatest man of this country, against the messiah of th</w:t>
      </w:r>
      <w:r w:rsidR="005107B8" w:rsidRPr="00326F31">
        <w:rPr>
          <w:rFonts w:asciiTheme="majorHAnsi" w:hAnsiTheme="majorHAnsi"/>
          <w:sz w:val="20"/>
          <w:szCs w:val="20"/>
        </w:rPr>
        <w:t>is</w:t>
      </w:r>
      <w:r w:rsidRPr="00326F31">
        <w:rPr>
          <w:rFonts w:asciiTheme="majorHAnsi" w:hAnsiTheme="majorHAnsi"/>
          <w:sz w:val="20"/>
          <w:szCs w:val="20"/>
        </w:rPr>
        <w:t xml:space="preserve"> land, against the</w:t>
      </w:r>
      <w:r w:rsidR="00C449B8">
        <w:rPr>
          <w:rFonts w:asciiTheme="majorHAnsi" w:hAnsiTheme="majorHAnsi"/>
          <w:sz w:val="20"/>
          <w:szCs w:val="20"/>
        </w:rPr>
        <w:t xml:space="preserve"> kindest man the nation ever </w:t>
      </w:r>
      <w:r w:rsidR="005107B8" w:rsidRPr="00326F31">
        <w:rPr>
          <w:rFonts w:asciiTheme="majorHAnsi" w:hAnsiTheme="majorHAnsi"/>
          <w:sz w:val="20"/>
          <w:szCs w:val="20"/>
        </w:rPr>
        <w:t>had</w:t>
      </w:r>
      <w:r w:rsidRPr="00326F31">
        <w:rPr>
          <w:rFonts w:asciiTheme="majorHAnsi" w:hAnsiTheme="majorHAnsi"/>
          <w:sz w:val="20"/>
          <w:szCs w:val="20"/>
        </w:rPr>
        <w:t>,</w:t>
      </w:r>
      <w:r w:rsidR="00C449B8">
        <w:rPr>
          <w:rFonts w:asciiTheme="majorHAnsi" w:hAnsiTheme="majorHAnsi"/>
          <w:sz w:val="20"/>
          <w:szCs w:val="20"/>
        </w:rPr>
        <w:t xml:space="preserve"> whoever does [si</w:t>
      </w:r>
      <w:r w:rsidR="005107B8" w:rsidRPr="00326F31">
        <w:rPr>
          <w:rFonts w:asciiTheme="majorHAnsi" w:hAnsiTheme="majorHAnsi"/>
          <w:sz w:val="20"/>
          <w:szCs w:val="20"/>
        </w:rPr>
        <w:t>g</w:t>
      </w:r>
      <w:r w:rsidR="00C449B8">
        <w:rPr>
          <w:rFonts w:asciiTheme="majorHAnsi" w:hAnsiTheme="majorHAnsi"/>
          <w:sz w:val="20"/>
          <w:szCs w:val="20"/>
        </w:rPr>
        <w:t>n</w:t>
      </w:r>
      <w:r w:rsidR="005107B8" w:rsidRPr="00326F31">
        <w:rPr>
          <w:rFonts w:asciiTheme="majorHAnsi" w:hAnsiTheme="majorHAnsi"/>
          <w:sz w:val="20"/>
          <w:szCs w:val="20"/>
        </w:rPr>
        <w:t>] it, either they kill me</w:t>
      </w:r>
      <w:r w:rsidRPr="00326F31">
        <w:rPr>
          <w:rFonts w:asciiTheme="majorHAnsi" w:hAnsiTheme="majorHAnsi"/>
          <w:sz w:val="20"/>
          <w:szCs w:val="20"/>
        </w:rPr>
        <w:t xml:space="preserve"> or I</w:t>
      </w:r>
      <w:r w:rsidR="005107B8" w:rsidRPr="00326F31">
        <w:rPr>
          <w:rFonts w:asciiTheme="majorHAnsi" w:hAnsiTheme="majorHAnsi"/>
          <w:sz w:val="20"/>
          <w:szCs w:val="20"/>
        </w:rPr>
        <w:t xml:space="preserve"> kill them</w:t>
      </w:r>
      <w:r w:rsidRPr="00326F31">
        <w:rPr>
          <w:rFonts w:asciiTheme="majorHAnsi" w:hAnsiTheme="majorHAnsi"/>
          <w:sz w:val="20"/>
          <w:szCs w:val="20"/>
        </w:rPr>
        <w:t>"</w:t>
      </w:r>
      <w:r w:rsidR="005107B8" w:rsidRPr="00326F31">
        <w:rPr>
          <w:rStyle w:val="FootnoteTextChar"/>
          <w:rFonts w:asciiTheme="majorHAnsi" w:hAnsiTheme="majorHAnsi"/>
          <w:sz w:val="20"/>
          <w:szCs w:val="20"/>
          <w:vertAlign w:val="superscript"/>
        </w:rPr>
        <w:footnoteReference w:id="29"/>
      </w:r>
      <w:r w:rsidR="005107B8" w:rsidRPr="00326F31">
        <w:rPr>
          <w:rFonts w:asciiTheme="majorHAnsi" w:hAnsiTheme="majorHAnsi"/>
          <w:sz w:val="20"/>
          <w:szCs w:val="20"/>
        </w:rPr>
        <w:t>. Also, again, on</w:t>
      </w:r>
      <w:r w:rsidRPr="00326F31">
        <w:rPr>
          <w:rFonts w:asciiTheme="majorHAnsi" w:hAnsiTheme="majorHAnsi"/>
          <w:sz w:val="20"/>
          <w:szCs w:val="20"/>
        </w:rPr>
        <w:t xml:space="preserve"> December 1, 2003 President Hugo </w:t>
      </w:r>
      <w:r w:rsidR="005107B8" w:rsidRPr="00326F31">
        <w:rPr>
          <w:rFonts w:asciiTheme="majorHAnsi" w:hAnsiTheme="majorHAnsi"/>
          <w:sz w:val="20"/>
          <w:szCs w:val="20"/>
        </w:rPr>
        <w:t>Chávez</w:t>
      </w:r>
      <w:r w:rsidRPr="00326F31">
        <w:rPr>
          <w:rFonts w:asciiTheme="majorHAnsi" w:hAnsiTheme="majorHAnsi"/>
          <w:sz w:val="20"/>
          <w:szCs w:val="20"/>
        </w:rPr>
        <w:t xml:space="preserve"> referring to "</w:t>
      </w:r>
      <w:r w:rsidR="005107B8" w:rsidRPr="00326F31">
        <w:rPr>
          <w:rFonts w:asciiTheme="majorHAnsi" w:hAnsiTheme="majorHAnsi"/>
          <w:i/>
          <w:sz w:val="20"/>
          <w:szCs w:val="20"/>
        </w:rPr>
        <w:t xml:space="preserve">The </w:t>
      </w:r>
      <w:r w:rsidRPr="00326F31">
        <w:rPr>
          <w:rFonts w:asciiTheme="majorHAnsi" w:hAnsiTheme="majorHAnsi"/>
          <w:i/>
          <w:sz w:val="20"/>
          <w:szCs w:val="20"/>
        </w:rPr>
        <w:t>Reafirmazo</w:t>
      </w:r>
      <w:r w:rsidR="005107B8" w:rsidRPr="00326F31">
        <w:rPr>
          <w:rFonts w:asciiTheme="majorHAnsi" w:hAnsiTheme="majorHAnsi"/>
          <w:sz w:val="20"/>
          <w:szCs w:val="20"/>
        </w:rPr>
        <w:t>" said "are you sure that there won’t be fraud against us</w:t>
      </w:r>
      <w:r w:rsidRPr="00326F31">
        <w:rPr>
          <w:rFonts w:asciiTheme="majorHAnsi" w:hAnsiTheme="majorHAnsi"/>
          <w:sz w:val="20"/>
          <w:szCs w:val="20"/>
        </w:rPr>
        <w:t>? As the people say</w:t>
      </w:r>
      <w:r w:rsidR="005107B8" w:rsidRPr="00326F31">
        <w:rPr>
          <w:rFonts w:asciiTheme="majorHAnsi" w:hAnsiTheme="majorHAnsi"/>
          <w:sz w:val="20"/>
          <w:szCs w:val="20"/>
        </w:rPr>
        <w:t>,</w:t>
      </w:r>
      <w:r w:rsidRPr="00326F31">
        <w:rPr>
          <w:rFonts w:asciiTheme="majorHAnsi" w:hAnsiTheme="majorHAnsi"/>
          <w:sz w:val="20"/>
          <w:szCs w:val="20"/>
        </w:rPr>
        <w:t xml:space="preserve"> here in these streets</w:t>
      </w:r>
      <w:r w:rsidR="005107B8" w:rsidRPr="00326F31">
        <w:rPr>
          <w:rFonts w:asciiTheme="majorHAnsi" w:hAnsiTheme="majorHAnsi"/>
          <w:sz w:val="20"/>
          <w:szCs w:val="20"/>
        </w:rPr>
        <w:t xml:space="preserve"> of</w:t>
      </w:r>
      <w:r w:rsidRPr="00326F31">
        <w:rPr>
          <w:rFonts w:asciiTheme="majorHAnsi" w:hAnsiTheme="majorHAnsi"/>
          <w:sz w:val="20"/>
          <w:szCs w:val="20"/>
        </w:rPr>
        <w:t xml:space="preserve"> God "</w:t>
      </w:r>
      <w:r w:rsidR="005107B8" w:rsidRPr="00326F31">
        <w:rPr>
          <w:rFonts w:asciiTheme="majorHAnsi" w:hAnsiTheme="majorHAnsi"/>
          <w:sz w:val="20"/>
          <w:szCs w:val="20"/>
        </w:rPr>
        <w:t>cheating comes out"</w:t>
      </w:r>
      <w:r w:rsidR="005107B8" w:rsidRPr="00326F31">
        <w:rPr>
          <w:rStyle w:val="FootnoteTextChar"/>
          <w:rFonts w:asciiTheme="majorHAnsi" w:hAnsiTheme="majorHAnsi"/>
          <w:sz w:val="20"/>
          <w:szCs w:val="20"/>
          <w:vertAlign w:val="superscript"/>
        </w:rPr>
        <w:footnoteReference w:id="30"/>
      </w:r>
      <w:r w:rsidR="005107B8" w:rsidRPr="00326F31">
        <w:rPr>
          <w:rFonts w:asciiTheme="majorHAnsi" w:hAnsiTheme="majorHAnsi"/>
          <w:sz w:val="20"/>
          <w:szCs w:val="20"/>
        </w:rPr>
        <w:t>.</w:t>
      </w:r>
    </w:p>
    <w:p w14:paraId="32548DCB" w14:textId="77777777" w:rsidR="003E24AB" w:rsidRPr="00326F31" w:rsidRDefault="003E24AB" w:rsidP="00326F31">
      <w:pPr>
        <w:jc w:val="both"/>
        <w:rPr>
          <w:rFonts w:asciiTheme="majorHAnsi" w:hAnsiTheme="majorHAnsi"/>
          <w:sz w:val="20"/>
          <w:szCs w:val="20"/>
        </w:rPr>
      </w:pPr>
    </w:p>
    <w:p w14:paraId="3D567ADB" w14:textId="0721AF73" w:rsidR="003E24AB" w:rsidRPr="00326F31" w:rsidRDefault="003E24AB"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 xml:space="preserve">On the specified dates, the </w:t>
      </w:r>
      <w:r w:rsidRPr="00326F31">
        <w:rPr>
          <w:rFonts w:asciiTheme="majorHAnsi" w:hAnsiTheme="majorHAnsi" w:cs="Arial"/>
          <w:sz w:val="20"/>
          <w:szCs w:val="20"/>
        </w:rPr>
        <w:t>collection drive was carried out again,</w:t>
      </w:r>
      <w:r w:rsidRPr="00326F31">
        <w:rPr>
          <w:rFonts w:asciiTheme="majorHAnsi" w:hAnsiTheme="majorHAnsi"/>
          <w:sz w:val="20"/>
          <w:szCs w:val="20"/>
        </w:rPr>
        <w:t xml:space="preserve"> and on December 19, 2003 over 3 million signatures were presented to the CNE requesting the presidential recall referendum</w:t>
      </w:r>
      <w:r w:rsidRPr="00326F31">
        <w:rPr>
          <w:rStyle w:val="FootnoteTextChar"/>
          <w:rFonts w:asciiTheme="majorHAnsi" w:hAnsiTheme="majorHAnsi"/>
          <w:sz w:val="20"/>
          <w:szCs w:val="20"/>
          <w:vertAlign w:val="superscript"/>
        </w:rPr>
        <w:footnoteReference w:id="31"/>
      </w:r>
      <w:r w:rsidRPr="00326F31">
        <w:rPr>
          <w:rFonts w:asciiTheme="majorHAnsi" w:hAnsiTheme="majorHAnsi"/>
          <w:sz w:val="20"/>
          <w:szCs w:val="20"/>
        </w:rPr>
        <w:t>.</w:t>
      </w:r>
    </w:p>
    <w:p w14:paraId="54908C91" w14:textId="77777777" w:rsidR="00B62681" w:rsidRPr="00326F31" w:rsidRDefault="00B62681" w:rsidP="00326F31">
      <w:pPr>
        <w:pBdr>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14:paraId="1EE83B75" w14:textId="1D20C4FC" w:rsidR="002861AB" w:rsidRPr="00326F31" w:rsidRDefault="004A5DA7" w:rsidP="00326F31">
      <w:pPr>
        <w:pStyle w:val="ListParagraph"/>
        <w:numPr>
          <w:ilvl w:val="1"/>
          <w:numId w:val="55"/>
        </w:numPr>
        <w:tabs>
          <w:tab w:val="clear" w:pos="1800"/>
          <w:tab w:val="num" w:pos="1440"/>
        </w:tabs>
        <w:ind w:hanging="990"/>
        <w:jc w:val="both"/>
        <w:rPr>
          <w:rFonts w:asciiTheme="majorHAnsi" w:hAnsiTheme="majorHAnsi"/>
          <w:b/>
          <w:sz w:val="20"/>
          <w:szCs w:val="20"/>
        </w:rPr>
      </w:pPr>
      <w:r w:rsidRPr="00326F31">
        <w:rPr>
          <w:rFonts w:asciiTheme="majorHAnsi" w:hAnsiTheme="majorHAnsi"/>
          <w:b/>
          <w:sz w:val="20"/>
          <w:szCs w:val="20"/>
        </w:rPr>
        <w:t>The “</w:t>
      </w:r>
      <w:r w:rsidR="002861AB" w:rsidRPr="00326F31">
        <w:rPr>
          <w:rFonts w:asciiTheme="majorHAnsi" w:hAnsiTheme="majorHAnsi"/>
          <w:b/>
          <w:sz w:val="20"/>
          <w:szCs w:val="20"/>
        </w:rPr>
        <w:t>Tascón</w:t>
      </w:r>
      <w:r w:rsidRPr="00326F31">
        <w:rPr>
          <w:rFonts w:asciiTheme="majorHAnsi" w:hAnsiTheme="majorHAnsi"/>
          <w:b/>
          <w:sz w:val="20"/>
          <w:szCs w:val="20"/>
        </w:rPr>
        <w:t xml:space="preserve"> List</w:t>
      </w:r>
      <w:r w:rsidR="002861AB" w:rsidRPr="00326F31">
        <w:rPr>
          <w:rFonts w:asciiTheme="majorHAnsi" w:hAnsiTheme="majorHAnsi"/>
          <w:b/>
          <w:sz w:val="20"/>
          <w:szCs w:val="20"/>
        </w:rPr>
        <w:t>”</w:t>
      </w:r>
    </w:p>
    <w:p w14:paraId="4E3DAEF3" w14:textId="77777777" w:rsidR="0056639B" w:rsidRPr="00326F31" w:rsidRDefault="0056639B" w:rsidP="00326F31">
      <w:pPr>
        <w:pBdr>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14:paraId="3EDCDE1B" w14:textId="56A2877A" w:rsidR="00FB60C9" w:rsidRPr="00326F31" w:rsidRDefault="00FB60C9"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VE"/>
        </w:rPr>
      </w:pPr>
      <w:r w:rsidRPr="00326F31">
        <w:rPr>
          <w:rFonts w:asciiTheme="majorHAnsi" w:hAnsiTheme="majorHAnsi"/>
          <w:color w:val="080808"/>
          <w:sz w:val="20"/>
          <w:szCs w:val="20"/>
          <w:shd w:val="clear" w:color="auto" w:fill="FFFFFF"/>
        </w:rPr>
        <w:t xml:space="preserve">On January 30, 2004 the President asked the president of the National Electoral Council, to hand over to Congressman </w:t>
      </w:r>
      <w:r w:rsidRPr="00326F31">
        <w:rPr>
          <w:rFonts w:asciiTheme="majorHAnsi" w:hAnsiTheme="majorHAnsi"/>
          <w:sz w:val="20"/>
          <w:szCs w:val="20"/>
        </w:rPr>
        <w:t xml:space="preserve">Luis Tascón </w:t>
      </w:r>
      <w:r w:rsidRPr="00326F31">
        <w:rPr>
          <w:rFonts w:asciiTheme="majorHAnsi" w:hAnsiTheme="majorHAnsi"/>
          <w:color w:val="080808"/>
          <w:sz w:val="20"/>
          <w:szCs w:val="20"/>
          <w:shd w:val="clear" w:color="auto" w:fill="FFFFFF"/>
        </w:rPr>
        <w:t>"certified copies of the forms used during the April 4 event in which a group of citizens requested a recall referendum of my mandate"</w:t>
      </w:r>
      <w:r w:rsidRPr="00326F31">
        <w:rPr>
          <w:rFonts w:asciiTheme="majorHAnsi" w:hAnsiTheme="majorHAnsi"/>
          <w:sz w:val="20"/>
          <w:szCs w:val="20"/>
          <w:vertAlign w:val="superscript"/>
        </w:rPr>
        <w:footnoteReference w:id="32"/>
      </w:r>
      <w:r w:rsidRPr="00326F31">
        <w:rPr>
          <w:rFonts w:asciiTheme="majorHAnsi" w:hAnsiTheme="majorHAnsi"/>
          <w:color w:val="080808"/>
          <w:sz w:val="20"/>
          <w:szCs w:val="20"/>
          <w:shd w:val="clear" w:color="auto" w:fill="FFFFFF"/>
        </w:rPr>
        <w:t xml:space="preserve">. Prior to receiving copies of the forms, Congressman </w:t>
      </w:r>
      <w:r w:rsidRPr="00326F31">
        <w:rPr>
          <w:rFonts w:asciiTheme="majorHAnsi" w:hAnsiTheme="majorHAnsi"/>
          <w:sz w:val="20"/>
          <w:szCs w:val="20"/>
        </w:rPr>
        <w:t>Luis Tascón</w:t>
      </w:r>
      <w:r w:rsidRPr="00326F31">
        <w:rPr>
          <w:rFonts w:asciiTheme="majorHAnsi" w:hAnsiTheme="majorHAnsi"/>
          <w:color w:val="080808"/>
          <w:sz w:val="20"/>
          <w:szCs w:val="20"/>
          <w:shd w:val="clear" w:color="auto" w:fill="FFFFFF"/>
        </w:rPr>
        <w:t xml:space="preserve"> said that "now with the forms we will have the oppo</w:t>
      </w:r>
      <w:r w:rsidR="00131FA4">
        <w:rPr>
          <w:rFonts w:asciiTheme="majorHAnsi" w:hAnsiTheme="majorHAnsi"/>
          <w:color w:val="080808"/>
          <w:sz w:val="20"/>
          <w:szCs w:val="20"/>
          <w:shd w:val="clear" w:color="auto" w:fill="FFFFFF"/>
        </w:rPr>
        <w:t>rtunity to give a face to fraud</w:t>
      </w:r>
      <w:r w:rsidR="00131FA4" w:rsidRPr="00326F31">
        <w:rPr>
          <w:rFonts w:asciiTheme="majorHAnsi" w:hAnsiTheme="majorHAnsi"/>
          <w:color w:val="080808"/>
          <w:sz w:val="20"/>
          <w:szCs w:val="20"/>
          <w:shd w:val="clear" w:color="auto" w:fill="FFFFFF"/>
        </w:rPr>
        <w:t xml:space="preserve"> (</w:t>
      </w:r>
      <w:r w:rsidRPr="00326F31">
        <w:rPr>
          <w:rFonts w:asciiTheme="majorHAnsi" w:hAnsiTheme="majorHAnsi"/>
          <w:color w:val="080808"/>
          <w:sz w:val="20"/>
          <w:szCs w:val="20"/>
          <w:shd w:val="clear" w:color="auto" w:fill="FFFFFF"/>
        </w:rPr>
        <w:t>...)"</w:t>
      </w:r>
      <w:r w:rsidRPr="00326F31">
        <w:rPr>
          <w:rFonts w:asciiTheme="majorHAnsi" w:hAnsiTheme="majorHAnsi"/>
          <w:sz w:val="20"/>
          <w:szCs w:val="20"/>
          <w:vertAlign w:val="superscript"/>
        </w:rPr>
        <w:footnoteReference w:id="33"/>
      </w:r>
      <w:r w:rsidRPr="00326F31">
        <w:rPr>
          <w:rFonts w:asciiTheme="majorHAnsi" w:hAnsiTheme="majorHAnsi"/>
          <w:sz w:val="20"/>
          <w:szCs w:val="20"/>
          <w:lang w:val="es-VE"/>
        </w:rPr>
        <w:t>.</w:t>
      </w:r>
    </w:p>
    <w:p w14:paraId="53EE9C70" w14:textId="77777777" w:rsidR="002F6034" w:rsidRPr="00326F31" w:rsidRDefault="002F6034" w:rsidP="00326F31">
      <w:pPr>
        <w:jc w:val="both"/>
        <w:rPr>
          <w:rFonts w:asciiTheme="majorHAnsi" w:hAnsiTheme="majorHAnsi"/>
          <w:color w:val="080808"/>
          <w:sz w:val="20"/>
          <w:szCs w:val="20"/>
          <w:shd w:val="clear" w:color="auto" w:fill="FFFFFF"/>
        </w:rPr>
      </w:pPr>
    </w:p>
    <w:p w14:paraId="6D8FD342" w14:textId="0C00E7B7" w:rsidR="003268A6" w:rsidRPr="00326F31" w:rsidRDefault="003268A6"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080808"/>
          <w:sz w:val="20"/>
          <w:szCs w:val="20"/>
          <w:shd w:val="clear" w:color="auto" w:fill="FFFFFF"/>
          <w:lang w:val="es-VE"/>
        </w:rPr>
      </w:pPr>
      <w:r w:rsidRPr="00326F31">
        <w:rPr>
          <w:rFonts w:asciiTheme="majorHAnsi" w:hAnsiTheme="majorHAnsi"/>
          <w:color w:val="080808"/>
          <w:sz w:val="20"/>
          <w:szCs w:val="20"/>
          <w:shd w:val="clear" w:color="auto" w:fill="FFFFFF"/>
        </w:rPr>
        <w:t xml:space="preserve">After the CNE gave copies of the forms to Congressman </w:t>
      </w:r>
      <w:r w:rsidRPr="00326F31">
        <w:rPr>
          <w:rFonts w:asciiTheme="majorHAnsi" w:hAnsiTheme="majorHAnsi"/>
          <w:sz w:val="20"/>
          <w:szCs w:val="20"/>
        </w:rPr>
        <w:t>Tascón</w:t>
      </w:r>
      <w:r w:rsidRPr="00326F31">
        <w:rPr>
          <w:rFonts w:asciiTheme="majorHAnsi" w:hAnsiTheme="majorHAnsi"/>
          <w:color w:val="080808"/>
          <w:sz w:val="20"/>
          <w:szCs w:val="20"/>
          <w:shd w:val="clear" w:color="auto" w:fill="FFFFFF"/>
        </w:rPr>
        <w:t xml:space="preserve">, he published these lists on the website www.luistascon.com, accusing the signatories of participating in a "mega-fraud". On the </w:t>
      </w:r>
      <w:r w:rsidR="00105B63" w:rsidRPr="00326F31">
        <w:rPr>
          <w:rFonts w:asciiTheme="majorHAnsi" w:hAnsiTheme="majorHAnsi"/>
          <w:color w:val="080808"/>
          <w:sz w:val="20"/>
          <w:szCs w:val="20"/>
          <w:shd w:val="clear" w:color="auto" w:fill="FFFFFF"/>
        </w:rPr>
        <w:t>website</w:t>
      </w:r>
      <w:r w:rsidRPr="00326F31">
        <w:rPr>
          <w:rFonts w:asciiTheme="majorHAnsi" w:hAnsiTheme="majorHAnsi"/>
          <w:color w:val="080808"/>
          <w:sz w:val="20"/>
          <w:szCs w:val="20"/>
          <w:shd w:val="clear" w:color="auto" w:fill="FFFFFF"/>
        </w:rPr>
        <w:t xml:space="preserve"> you could access the list of signatories of the petition for a presidential recall referendum by entering the ID number after a text that read "Enter your ID here (only numbers) to see if it appears in the ... MEGA FRAUD ...!". Referring to the website, parliamentary </w:t>
      </w:r>
      <w:r w:rsidRPr="00326F31">
        <w:rPr>
          <w:rFonts w:asciiTheme="majorHAnsi" w:hAnsiTheme="majorHAnsi"/>
          <w:sz w:val="20"/>
          <w:szCs w:val="20"/>
        </w:rPr>
        <w:t>Tascón</w:t>
      </w:r>
      <w:r w:rsidRPr="00326F31">
        <w:rPr>
          <w:rFonts w:asciiTheme="majorHAnsi" w:hAnsiTheme="majorHAnsi"/>
          <w:color w:val="080808"/>
          <w:sz w:val="20"/>
          <w:szCs w:val="20"/>
          <w:shd w:val="clear" w:color="auto" w:fill="FFFFFF"/>
        </w:rPr>
        <w:t xml:space="preserve"> said that "this is a service also for people in the opposition who signed, if they signed, congratulations! OK? But unfortunately you participated, and that’s why the website says so. You participated in the fraud"</w:t>
      </w:r>
      <w:r w:rsidRPr="00326F31">
        <w:rPr>
          <w:rStyle w:val="FootnoteTextChar"/>
          <w:rFonts w:asciiTheme="majorHAnsi" w:hAnsiTheme="majorHAnsi"/>
          <w:sz w:val="20"/>
          <w:szCs w:val="20"/>
          <w:vertAlign w:val="superscript"/>
        </w:rPr>
        <w:footnoteReference w:id="34"/>
      </w:r>
      <w:r w:rsidRPr="00326F31">
        <w:rPr>
          <w:rFonts w:asciiTheme="majorHAnsi" w:hAnsiTheme="majorHAnsi"/>
          <w:color w:val="080808"/>
          <w:sz w:val="20"/>
          <w:szCs w:val="20"/>
          <w:shd w:val="clear" w:color="auto" w:fill="FFFFFF"/>
        </w:rPr>
        <w:t>.</w:t>
      </w:r>
    </w:p>
    <w:p w14:paraId="117D8767" w14:textId="77777777" w:rsidR="002F6034" w:rsidRPr="00326F31" w:rsidRDefault="002F6034" w:rsidP="00326F31">
      <w:pPr>
        <w:jc w:val="both"/>
        <w:rPr>
          <w:rFonts w:asciiTheme="majorHAnsi" w:hAnsiTheme="majorHAnsi"/>
          <w:color w:val="080808"/>
          <w:sz w:val="20"/>
          <w:szCs w:val="20"/>
          <w:shd w:val="clear" w:color="auto" w:fill="FFFFFF"/>
        </w:rPr>
      </w:pPr>
    </w:p>
    <w:p w14:paraId="45050DBF" w14:textId="15684CF0" w:rsidR="002F6034" w:rsidRPr="00326F31" w:rsidRDefault="002F6034"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080808"/>
          <w:sz w:val="20"/>
          <w:szCs w:val="20"/>
          <w:shd w:val="clear" w:color="auto" w:fill="FFFFFF"/>
          <w:lang w:val="es-VE"/>
        </w:rPr>
      </w:pPr>
      <w:r w:rsidRPr="00326F31">
        <w:rPr>
          <w:rFonts w:asciiTheme="majorHAnsi" w:hAnsiTheme="majorHAnsi"/>
          <w:color w:val="080808"/>
          <w:sz w:val="20"/>
          <w:szCs w:val="20"/>
          <w:shd w:val="clear" w:color="auto" w:fill="FFFFFF"/>
        </w:rPr>
        <w:t>Also referring to the website, in a television program, President Hugo Chávez Frías said "I’</w:t>
      </w:r>
      <w:r w:rsidR="008A42DF" w:rsidRPr="00326F31">
        <w:rPr>
          <w:rFonts w:asciiTheme="majorHAnsi" w:hAnsiTheme="majorHAnsi"/>
          <w:color w:val="080808"/>
          <w:sz w:val="20"/>
          <w:szCs w:val="20"/>
          <w:shd w:val="clear" w:color="auto" w:fill="FFFFFF"/>
        </w:rPr>
        <w:t xml:space="preserve">ve been informed </w:t>
      </w:r>
      <w:r w:rsidRPr="00326F31">
        <w:rPr>
          <w:rFonts w:asciiTheme="majorHAnsi" w:hAnsiTheme="majorHAnsi"/>
          <w:color w:val="080808"/>
          <w:sz w:val="20"/>
          <w:szCs w:val="20"/>
          <w:shd w:val="clear" w:color="auto" w:fill="FFFFFF"/>
        </w:rPr>
        <w:t xml:space="preserve">that Congressman Luis Tascón has a website. On his website, well, the list of all these things, especially the ID numbers of those who supposedly signed, I call on the Venezuelan people to check, and let the faces come out! There </w:t>
      </w:r>
      <w:r w:rsidR="008A42DF" w:rsidRPr="00326F31">
        <w:rPr>
          <w:rFonts w:asciiTheme="majorHAnsi" w:hAnsiTheme="majorHAnsi"/>
          <w:color w:val="080808"/>
          <w:sz w:val="20"/>
          <w:szCs w:val="20"/>
          <w:shd w:val="clear" w:color="auto" w:fill="FFFFFF"/>
        </w:rPr>
        <w:t xml:space="preserve">it is </w:t>
      </w:r>
      <w:hyperlink r:id="rId16" w:history="1">
        <w:r w:rsidR="008A42DF" w:rsidRPr="00326F31">
          <w:rPr>
            <w:rStyle w:val="Hyperlink"/>
            <w:rFonts w:asciiTheme="majorHAnsi" w:hAnsiTheme="majorHAnsi"/>
            <w:sz w:val="20"/>
            <w:szCs w:val="20"/>
            <w:shd w:val="clear" w:color="auto" w:fill="FFFFFF"/>
          </w:rPr>
          <w:t>www.luistascon.com</w:t>
        </w:r>
      </w:hyperlink>
      <w:r w:rsidR="008A42DF" w:rsidRPr="00326F31">
        <w:rPr>
          <w:rFonts w:asciiTheme="majorHAnsi" w:hAnsiTheme="majorHAnsi"/>
          <w:color w:val="080808"/>
          <w:sz w:val="20"/>
          <w:szCs w:val="20"/>
          <w:shd w:val="clear" w:color="auto" w:fill="FFFFFF"/>
        </w:rPr>
        <w:t>. Go</w:t>
      </w:r>
      <w:r w:rsidRPr="00326F31">
        <w:rPr>
          <w:rFonts w:asciiTheme="majorHAnsi" w:hAnsiTheme="majorHAnsi"/>
          <w:color w:val="080808"/>
          <w:sz w:val="20"/>
          <w:szCs w:val="20"/>
          <w:shd w:val="clear" w:color="auto" w:fill="FFFFFF"/>
        </w:rPr>
        <w:t xml:space="preserve"> </w:t>
      </w:r>
      <w:r w:rsidR="008A42DF" w:rsidRPr="00326F31">
        <w:rPr>
          <w:rFonts w:asciiTheme="majorHAnsi" w:hAnsiTheme="majorHAnsi"/>
          <w:color w:val="080808"/>
          <w:sz w:val="20"/>
          <w:szCs w:val="20"/>
          <w:shd w:val="clear" w:color="auto" w:fill="FFFFFF"/>
        </w:rPr>
        <w:t xml:space="preserve">in </w:t>
      </w:r>
      <w:r w:rsidR="008D3F36" w:rsidRPr="00326F31">
        <w:rPr>
          <w:rFonts w:asciiTheme="majorHAnsi" w:hAnsiTheme="majorHAnsi"/>
          <w:color w:val="080808"/>
          <w:sz w:val="20"/>
          <w:szCs w:val="20"/>
          <w:shd w:val="clear" w:color="auto" w:fill="FFFFFF"/>
        </w:rPr>
        <w:t>there</w:t>
      </w:r>
      <w:r w:rsidRPr="00326F31">
        <w:rPr>
          <w:rFonts w:asciiTheme="majorHAnsi" w:hAnsiTheme="majorHAnsi"/>
          <w:color w:val="080808"/>
          <w:sz w:val="20"/>
          <w:szCs w:val="20"/>
          <w:shd w:val="clear" w:color="auto" w:fill="FFFFFF"/>
        </w:rPr>
        <w:t>"</w:t>
      </w:r>
      <w:r w:rsidR="008D3F36" w:rsidRPr="00326F31">
        <w:rPr>
          <w:rStyle w:val="FootnoteTextChar"/>
          <w:rFonts w:asciiTheme="majorHAnsi" w:hAnsiTheme="majorHAnsi"/>
          <w:sz w:val="20"/>
          <w:szCs w:val="20"/>
          <w:vertAlign w:val="superscript"/>
        </w:rPr>
        <w:footnoteReference w:id="35"/>
      </w:r>
      <w:r w:rsidR="008D3F36" w:rsidRPr="00326F31">
        <w:rPr>
          <w:rFonts w:asciiTheme="majorHAnsi" w:hAnsiTheme="majorHAnsi"/>
          <w:color w:val="080808"/>
          <w:sz w:val="20"/>
          <w:szCs w:val="20"/>
          <w:shd w:val="clear" w:color="auto" w:fill="FFFFFF"/>
          <w:lang w:val="es-VE"/>
        </w:rPr>
        <w:t>.</w:t>
      </w:r>
    </w:p>
    <w:p w14:paraId="7957D419" w14:textId="77777777" w:rsidR="00405A32" w:rsidRPr="00326F31" w:rsidRDefault="00405A32" w:rsidP="00326F31">
      <w:pPr>
        <w:pStyle w:val="ListParagraph"/>
        <w:jc w:val="both"/>
        <w:rPr>
          <w:rFonts w:asciiTheme="majorHAnsi" w:hAnsiTheme="majorHAnsi"/>
          <w:b/>
          <w:sz w:val="20"/>
          <w:szCs w:val="20"/>
        </w:rPr>
      </w:pPr>
    </w:p>
    <w:p w14:paraId="04C96D6C" w14:textId="449F382B" w:rsidR="00C85E9A" w:rsidRPr="00326F31" w:rsidRDefault="00175358" w:rsidP="00C449B8">
      <w:pPr>
        <w:pStyle w:val="ListParagraph"/>
        <w:numPr>
          <w:ilvl w:val="1"/>
          <w:numId w:val="55"/>
        </w:numPr>
        <w:tabs>
          <w:tab w:val="clear" w:pos="1800"/>
          <w:tab w:val="num" w:pos="1080"/>
        </w:tabs>
        <w:ind w:hanging="1080"/>
        <w:jc w:val="both"/>
        <w:rPr>
          <w:rFonts w:asciiTheme="majorHAnsi" w:hAnsiTheme="majorHAnsi"/>
          <w:b/>
          <w:sz w:val="20"/>
          <w:szCs w:val="20"/>
        </w:rPr>
      </w:pPr>
      <w:r w:rsidRPr="00326F31">
        <w:rPr>
          <w:rFonts w:asciiTheme="majorHAnsi" w:hAnsiTheme="majorHAnsi"/>
          <w:b/>
          <w:sz w:val="20"/>
          <w:szCs w:val="20"/>
        </w:rPr>
        <w:t>Complaints of dismissal and threats of dismissal to employees who signed the requests for a</w:t>
      </w:r>
      <w:r w:rsidR="008D3F36" w:rsidRPr="00326F31">
        <w:rPr>
          <w:rFonts w:asciiTheme="majorHAnsi" w:hAnsiTheme="majorHAnsi"/>
          <w:b/>
          <w:sz w:val="20"/>
          <w:szCs w:val="20"/>
        </w:rPr>
        <w:t xml:space="preserve"> presidential</w:t>
      </w:r>
      <w:r w:rsidRPr="00326F31">
        <w:rPr>
          <w:rFonts w:asciiTheme="majorHAnsi" w:hAnsiTheme="majorHAnsi"/>
          <w:b/>
          <w:sz w:val="20"/>
          <w:szCs w:val="20"/>
        </w:rPr>
        <w:t xml:space="preserve"> referendum</w:t>
      </w:r>
    </w:p>
    <w:p w14:paraId="3E7772F2" w14:textId="77777777" w:rsidR="00C85E9A" w:rsidRPr="00326F31" w:rsidRDefault="00C85E9A" w:rsidP="00326F31">
      <w:pPr>
        <w:jc w:val="both"/>
        <w:rPr>
          <w:rFonts w:asciiTheme="majorHAnsi" w:hAnsiTheme="majorHAnsi"/>
          <w:sz w:val="20"/>
          <w:szCs w:val="20"/>
        </w:rPr>
      </w:pPr>
    </w:p>
    <w:p w14:paraId="38872890" w14:textId="72AD8FC9" w:rsidR="008D3F36" w:rsidRPr="00326F31" w:rsidRDefault="008D3F36"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080808"/>
          <w:sz w:val="20"/>
          <w:szCs w:val="20"/>
          <w:shd w:val="clear" w:color="auto" w:fill="FFFFFF"/>
        </w:rPr>
      </w:pPr>
      <w:r w:rsidRPr="00326F31">
        <w:rPr>
          <w:rFonts w:asciiTheme="majorHAnsi" w:hAnsiTheme="majorHAnsi"/>
          <w:color w:val="080808"/>
          <w:sz w:val="20"/>
          <w:szCs w:val="20"/>
          <w:shd w:val="clear" w:color="auto" w:fill="FFFFFF"/>
        </w:rPr>
        <w:t xml:space="preserve">According to publicly available information, after the publication of the </w:t>
      </w:r>
      <w:proofErr w:type="spellStart"/>
      <w:r w:rsidRPr="00326F31">
        <w:rPr>
          <w:rFonts w:asciiTheme="majorHAnsi" w:hAnsiTheme="majorHAnsi"/>
          <w:color w:val="080808"/>
          <w:sz w:val="20"/>
          <w:szCs w:val="20"/>
          <w:shd w:val="clear" w:color="auto" w:fill="FFFFFF"/>
        </w:rPr>
        <w:t>Tascón</w:t>
      </w:r>
      <w:proofErr w:type="spellEnd"/>
      <w:r w:rsidR="00C449B8">
        <w:rPr>
          <w:rFonts w:asciiTheme="majorHAnsi" w:hAnsiTheme="majorHAnsi"/>
          <w:color w:val="080808"/>
          <w:sz w:val="20"/>
          <w:szCs w:val="20"/>
          <w:shd w:val="clear" w:color="auto" w:fill="FFFFFF"/>
        </w:rPr>
        <w:t xml:space="preserve"> list,</w:t>
      </w:r>
      <w:r w:rsidR="00251A00" w:rsidRPr="00251A00">
        <w:rPr>
          <w:rFonts w:asciiTheme="majorHAnsi" w:hAnsiTheme="majorHAnsi"/>
          <w:sz w:val="20"/>
          <w:szCs w:val="20"/>
        </w:rPr>
        <w:t xml:space="preserve"> </w:t>
      </w:r>
      <w:r w:rsidR="00251A00" w:rsidRPr="00326F31">
        <w:rPr>
          <w:rFonts w:asciiTheme="majorHAnsi" w:hAnsiTheme="majorHAnsi"/>
          <w:sz w:val="20"/>
          <w:szCs w:val="20"/>
        </w:rPr>
        <w:t>various media</w:t>
      </w:r>
      <w:r w:rsidRPr="00326F31">
        <w:rPr>
          <w:rFonts w:asciiTheme="majorHAnsi" w:hAnsiTheme="majorHAnsi"/>
          <w:color w:val="080808"/>
          <w:sz w:val="20"/>
          <w:szCs w:val="20"/>
          <w:shd w:val="clear" w:color="auto" w:fill="FFFFFF"/>
        </w:rPr>
        <w:t xml:space="preserve"> </w:t>
      </w:r>
      <w:r w:rsidR="00251A00">
        <w:rPr>
          <w:rFonts w:asciiTheme="majorHAnsi" w:hAnsiTheme="majorHAnsi"/>
          <w:color w:val="080808"/>
          <w:sz w:val="20"/>
          <w:szCs w:val="20"/>
          <w:shd w:val="clear" w:color="auto" w:fill="FFFFFF"/>
        </w:rPr>
        <w:t>reported</w:t>
      </w:r>
      <w:r w:rsidR="00CC20FD" w:rsidRPr="00326F31">
        <w:rPr>
          <w:rFonts w:asciiTheme="majorHAnsi" w:hAnsiTheme="majorHAnsi"/>
          <w:color w:val="080808"/>
          <w:sz w:val="20"/>
          <w:szCs w:val="20"/>
          <w:shd w:val="clear" w:color="auto" w:fill="FFFFFF"/>
        </w:rPr>
        <w:t xml:space="preserve"> </w:t>
      </w:r>
      <w:r w:rsidRPr="00326F31">
        <w:rPr>
          <w:rFonts w:asciiTheme="majorHAnsi" w:hAnsiTheme="majorHAnsi"/>
          <w:color w:val="080808"/>
          <w:sz w:val="20"/>
          <w:szCs w:val="20"/>
          <w:shd w:val="clear" w:color="auto" w:fill="FFFFFF"/>
        </w:rPr>
        <w:t>layoffs of public workers in retaliation</w:t>
      </w:r>
      <w:r w:rsidR="00CC20FD" w:rsidRPr="00326F31">
        <w:rPr>
          <w:rFonts w:asciiTheme="majorHAnsi" w:hAnsiTheme="majorHAnsi"/>
          <w:color w:val="080808"/>
          <w:sz w:val="20"/>
          <w:szCs w:val="20"/>
          <w:shd w:val="clear" w:color="auto" w:fill="FFFFFF"/>
        </w:rPr>
        <w:t xml:space="preserve"> for their</w:t>
      </w:r>
      <w:r w:rsidRPr="00326F31">
        <w:rPr>
          <w:rFonts w:asciiTheme="majorHAnsi" w:hAnsiTheme="majorHAnsi"/>
          <w:color w:val="080808"/>
          <w:sz w:val="20"/>
          <w:szCs w:val="20"/>
          <w:shd w:val="clear" w:color="auto" w:fill="FFFFFF"/>
        </w:rPr>
        <w:t xml:space="preserve"> signature on the presidential recall referendum</w:t>
      </w:r>
      <w:r w:rsidR="00CC20FD" w:rsidRPr="00326F31">
        <w:rPr>
          <w:rFonts w:asciiTheme="majorHAnsi" w:hAnsiTheme="majorHAnsi"/>
          <w:color w:val="080808"/>
          <w:sz w:val="20"/>
          <w:szCs w:val="20"/>
          <w:shd w:val="clear" w:color="auto" w:fill="FFFFFF"/>
        </w:rPr>
        <w:t xml:space="preserve"> began</w:t>
      </w:r>
      <w:r w:rsidR="00CC20FD" w:rsidRPr="00326F31">
        <w:rPr>
          <w:rStyle w:val="FootnoteTextChar"/>
          <w:rFonts w:asciiTheme="majorHAnsi" w:hAnsiTheme="majorHAnsi"/>
          <w:sz w:val="20"/>
          <w:szCs w:val="20"/>
          <w:vertAlign w:val="superscript"/>
        </w:rPr>
        <w:footnoteReference w:id="36"/>
      </w:r>
      <w:r w:rsidRPr="00326F31">
        <w:rPr>
          <w:rFonts w:asciiTheme="majorHAnsi" w:hAnsiTheme="majorHAnsi"/>
          <w:color w:val="080808"/>
          <w:sz w:val="20"/>
          <w:szCs w:val="20"/>
          <w:shd w:val="clear" w:color="auto" w:fill="FFFFFF"/>
        </w:rPr>
        <w:t>. Some of the layoffs were preceded by statements by public officials accusing the signatories of treason.</w:t>
      </w:r>
    </w:p>
    <w:p w14:paraId="528E854E" w14:textId="77777777" w:rsidR="009B26E0" w:rsidRPr="00326F31" w:rsidRDefault="009B26E0" w:rsidP="00326F31">
      <w:pPr>
        <w:pStyle w:val="ListParagraph"/>
        <w:jc w:val="both"/>
        <w:rPr>
          <w:rFonts w:asciiTheme="majorHAnsi" w:hAnsiTheme="majorHAnsi" w:cs="Arial"/>
          <w:sz w:val="20"/>
          <w:szCs w:val="20"/>
          <w:shd w:val="clear" w:color="auto" w:fill="FFFFFF"/>
        </w:rPr>
      </w:pPr>
    </w:p>
    <w:p w14:paraId="408E6410" w14:textId="43CD82AD" w:rsidR="009B26E0" w:rsidRPr="00326F31" w:rsidRDefault="009B26E0"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Arial"/>
          <w:color w:val="000000"/>
          <w:sz w:val="20"/>
          <w:szCs w:val="20"/>
          <w:shd w:val="clear" w:color="auto" w:fill="FFFFFF"/>
        </w:rPr>
      </w:pPr>
      <w:r w:rsidRPr="00326F31">
        <w:rPr>
          <w:rFonts w:asciiTheme="majorHAnsi" w:hAnsiTheme="majorHAnsi" w:cs="Arial"/>
          <w:color w:val="000000"/>
          <w:sz w:val="20"/>
          <w:szCs w:val="20"/>
          <w:shd w:val="clear" w:color="auto" w:fill="FFFFFF"/>
        </w:rPr>
        <w:t>In this regard, on March 20, 2004, Roger Capella, then Minister of Health and Social Development stated that "a traitor cannot be in a position of trust and this State has a policy and correspondence with the government it has, where there’s no room for traitors. Those who have signed are dumped"</w:t>
      </w:r>
      <w:r w:rsidR="00C449B8" w:rsidRPr="00326F31">
        <w:rPr>
          <w:rStyle w:val="FootnoteTextChar"/>
          <w:rFonts w:asciiTheme="majorHAnsi" w:hAnsiTheme="majorHAnsi"/>
          <w:sz w:val="20"/>
          <w:szCs w:val="20"/>
          <w:vertAlign w:val="superscript"/>
        </w:rPr>
        <w:footnoteReference w:id="37"/>
      </w:r>
      <w:r w:rsidRPr="00326F31">
        <w:rPr>
          <w:rFonts w:asciiTheme="majorHAnsi" w:hAnsiTheme="majorHAnsi" w:cs="Arial"/>
          <w:color w:val="000000"/>
          <w:sz w:val="20"/>
          <w:szCs w:val="20"/>
          <w:shd w:val="clear" w:color="auto" w:fill="FFFFFF"/>
        </w:rPr>
        <w:t>. The same official said that "those who signed against President Chávez" will be dismissed "because it is an act of terrorism"</w:t>
      </w:r>
      <w:r w:rsidRPr="00326F31">
        <w:rPr>
          <w:rStyle w:val="FootnoteTextChar"/>
          <w:rFonts w:asciiTheme="majorHAnsi" w:hAnsiTheme="majorHAnsi"/>
          <w:sz w:val="20"/>
          <w:szCs w:val="20"/>
          <w:vertAlign w:val="superscript"/>
        </w:rPr>
        <w:footnoteReference w:id="38"/>
      </w:r>
      <w:r w:rsidRPr="00326F31">
        <w:rPr>
          <w:rFonts w:asciiTheme="majorHAnsi" w:hAnsiTheme="majorHAnsi" w:cs="Arial"/>
          <w:color w:val="000000"/>
          <w:sz w:val="20"/>
          <w:szCs w:val="20"/>
          <w:shd w:val="clear" w:color="auto" w:fill="FFFFFF"/>
        </w:rPr>
        <w:t>.</w:t>
      </w:r>
    </w:p>
    <w:p w14:paraId="03D6E04E" w14:textId="77777777" w:rsidR="00DA4E12" w:rsidRPr="00326F31" w:rsidRDefault="00DA4E12" w:rsidP="00326F31">
      <w:pPr>
        <w:jc w:val="both"/>
        <w:rPr>
          <w:rFonts w:asciiTheme="majorHAnsi" w:hAnsiTheme="majorHAnsi" w:cs="Arial"/>
          <w:sz w:val="20"/>
          <w:szCs w:val="20"/>
          <w:shd w:val="clear" w:color="auto" w:fill="FFFFFF"/>
        </w:rPr>
      </w:pPr>
    </w:p>
    <w:p w14:paraId="4AE158ED" w14:textId="3CD649B8" w:rsidR="00DA4E12" w:rsidRPr="00326F31" w:rsidRDefault="00DA4E12"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Arial"/>
          <w:color w:val="000000"/>
          <w:sz w:val="20"/>
          <w:szCs w:val="20"/>
          <w:shd w:val="clear" w:color="auto" w:fill="FFFFFF"/>
        </w:rPr>
      </w:pPr>
      <w:r w:rsidRPr="00326F31">
        <w:rPr>
          <w:rFonts w:asciiTheme="majorHAnsi" w:hAnsiTheme="majorHAnsi" w:cs="Arial"/>
          <w:color w:val="000000"/>
          <w:sz w:val="20"/>
          <w:szCs w:val="20"/>
          <w:shd w:val="clear" w:color="auto" w:fill="FFFFFF"/>
        </w:rPr>
        <w:t>On March 29, 2004 the Minister of Foreign Affairs stated to the media that: "I consider logical that an official with a position of trust that has signed against Hugo Chávez, makes his position available; otherwise they will be transferred to other duties within the Ministry of Foreign Affairs. They will not be dismissed, but they cannot be a close collaborator, because they don’t believe in the policy set out by the President</w:t>
      </w:r>
      <w:r w:rsidRPr="00326F31">
        <w:rPr>
          <w:rFonts w:asciiTheme="majorHAnsi" w:hAnsiTheme="majorHAnsi" w:cs="Arial"/>
          <w:sz w:val="20"/>
          <w:szCs w:val="20"/>
          <w:shd w:val="clear" w:color="auto" w:fill="FFFFFF"/>
        </w:rPr>
        <w:t>”</w:t>
      </w:r>
      <w:r w:rsidRPr="00326F31">
        <w:rPr>
          <w:rStyle w:val="FootnoteReference"/>
          <w:rFonts w:asciiTheme="majorHAnsi" w:hAnsiTheme="majorHAnsi" w:cs="Arial"/>
          <w:sz w:val="20"/>
          <w:szCs w:val="20"/>
          <w:shd w:val="clear" w:color="auto" w:fill="FFFFFF"/>
          <w:lang w:val="es-VE"/>
        </w:rPr>
        <w:footnoteReference w:id="39"/>
      </w:r>
      <w:r w:rsidRPr="00326F31">
        <w:rPr>
          <w:rFonts w:asciiTheme="majorHAnsi" w:hAnsiTheme="majorHAnsi" w:cs="Arial"/>
          <w:sz w:val="20"/>
          <w:szCs w:val="20"/>
          <w:shd w:val="clear" w:color="auto" w:fill="FFFFFF"/>
        </w:rPr>
        <w:t>.</w:t>
      </w:r>
    </w:p>
    <w:p w14:paraId="2AF8C932" w14:textId="77777777" w:rsidR="00C32AD3" w:rsidRPr="00326F31" w:rsidRDefault="00C32AD3" w:rsidP="00326F31">
      <w:pPr>
        <w:jc w:val="both"/>
        <w:rPr>
          <w:rFonts w:asciiTheme="majorHAnsi" w:hAnsiTheme="majorHAnsi" w:cs="Arial"/>
          <w:sz w:val="20"/>
          <w:szCs w:val="20"/>
          <w:shd w:val="clear" w:color="auto" w:fill="FFFFFF"/>
        </w:rPr>
      </w:pPr>
    </w:p>
    <w:p w14:paraId="54EB9D34" w14:textId="7B95555D" w:rsidR="002B33A7" w:rsidRPr="00326F31" w:rsidRDefault="002B33A7"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Arial"/>
          <w:color w:val="000000"/>
          <w:sz w:val="20"/>
          <w:szCs w:val="20"/>
          <w:shd w:val="clear" w:color="auto" w:fill="FFFFFF"/>
        </w:rPr>
      </w:pPr>
      <w:r w:rsidRPr="00326F31">
        <w:rPr>
          <w:rFonts w:asciiTheme="majorHAnsi" w:hAnsiTheme="majorHAnsi" w:cs="Arial"/>
          <w:color w:val="000000"/>
          <w:sz w:val="20"/>
          <w:szCs w:val="20"/>
          <w:shd w:val="clear" w:color="auto" w:fill="FFFFFF"/>
        </w:rPr>
        <w:t>Also, the then president of Petroleum of</w:t>
      </w:r>
      <w:r w:rsidR="00EA1F8F" w:rsidRPr="00326F31">
        <w:rPr>
          <w:rFonts w:asciiTheme="majorHAnsi" w:hAnsiTheme="majorHAnsi" w:cs="Arial"/>
          <w:color w:val="000000"/>
          <w:sz w:val="20"/>
          <w:szCs w:val="20"/>
          <w:shd w:val="clear" w:color="auto" w:fill="FFFFFF"/>
        </w:rPr>
        <w:t xml:space="preserve"> Venezuela (PDVSA) warned </w:t>
      </w:r>
      <w:r w:rsidRPr="00326F31">
        <w:rPr>
          <w:rFonts w:asciiTheme="majorHAnsi" w:hAnsiTheme="majorHAnsi" w:cs="Arial"/>
          <w:color w:val="000000"/>
          <w:sz w:val="20"/>
          <w:szCs w:val="20"/>
          <w:shd w:val="clear" w:color="auto" w:fill="FFFFFF"/>
        </w:rPr>
        <w:t>that "</w:t>
      </w:r>
      <w:r w:rsidR="00EA1F8F" w:rsidRPr="00326F31">
        <w:rPr>
          <w:rFonts w:asciiTheme="majorHAnsi" w:hAnsiTheme="majorHAnsi" w:cs="Arial"/>
          <w:color w:val="000000"/>
          <w:sz w:val="20"/>
          <w:szCs w:val="20"/>
          <w:shd w:val="clear" w:color="auto" w:fill="FFFFFF"/>
        </w:rPr>
        <w:t>it would</w:t>
      </w:r>
      <w:r w:rsidRPr="00326F31">
        <w:rPr>
          <w:rFonts w:asciiTheme="majorHAnsi" w:hAnsiTheme="majorHAnsi" w:cs="Arial"/>
          <w:color w:val="000000"/>
          <w:sz w:val="20"/>
          <w:szCs w:val="20"/>
          <w:shd w:val="clear" w:color="auto" w:fill="FFFFFF"/>
        </w:rPr>
        <w:t xml:space="preserve"> </w:t>
      </w:r>
      <w:r w:rsidR="00EA1F8F" w:rsidRPr="00326F31">
        <w:rPr>
          <w:rFonts w:asciiTheme="majorHAnsi" w:hAnsiTheme="majorHAnsi" w:cs="Arial"/>
          <w:color w:val="000000"/>
          <w:sz w:val="20"/>
          <w:szCs w:val="20"/>
          <w:shd w:val="clear" w:color="auto" w:fill="FFFFFF"/>
        </w:rPr>
        <w:t>be</w:t>
      </w:r>
      <w:r w:rsidRPr="00326F31">
        <w:rPr>
          <w:rFonts w:asciiTheme="majorHAnsi" w:hAnsiTheme="majorHAnsi" w:cs="Arial"/>
          <w:color w:val="000000"/>
          <w:sz w:val="20"/>
          <w:szCs w:val="20"/>
          <w:shd w:val="clear" w:color="auto" w:fill="FFFFFF"/>
        </w:rPr>
        <w:t xml:space="preserve"> </w:t>
      </w:r>
      <w:r w:rsidR="00EA1F8F" w:rsidRPr="00326F31">
        <w:rPr>
          <w:rFonts w:asciiTheme="majorHAnsi" w:hAnsiTheme="majorHAnsi" w:cs="Arial"/>
          <w:color w:val="000000"/>
          <w:sz w:val="20"/>
          <w:szCs w:val="20"/>
          <w:shd w:val="clear" w:color="auto" w:fill="FFFFFF"/>
        </w:rPr>
        <w:t xml:space="preserve">no </w:t>
      </w:r>
      <w:r w:rsidRPr="00326F31">
        <w:rPr>
          <w:rFonts w:asciiTheme="majorHAnsi" w:hAnsiTheme="majorHAnsi" w:cs="Arial"/>
          <w:color w:val="000000"/>
          <w:sz w:val="20"/>
          <w:szCs w:val="20"/>
          <w:shd w:val="clear" w:color="auto" w:fill="FFFFFF"/>
        </w:rPr>
        <w:t>surprise if the workers who signed the petition to call</w:t>
      </w:r>
      <w:r w:rsidR="00EA1F8F" w:rsidRPr="00326F31">
        <w:rPr>
          <w:rFonts w:asciiTheme="majorHAnsi" w:hAnsiTheme="majorHAnsi" w:cs="Arial"/>
          <w:color w:val="000000"/>
          <w:sz w:val="20"/>
          <w:szCs w:val="20"/>
          <w:shd w:val="clear" w:color="auto" w:fill="FFFFFF"/>
        </w:rPr>
        <w:t xml:space="preserve"> [for the referendum] were dismissed from their jobs</w:t>
      </w:r>
      <w:r w:rsidRPr="00326F31">
        <w:rPr>
          <w:rFonts w:asciiTheme="majorHAnsi" w:hAnsiTheme="majorHAnsi" w:cs="Arial"/>
          <w:color w:val="000000"/>
          <w:sz w:val="20"/>
          <w:szCs w:val="20"/>
          <w:shd w:val="clear" w:color="auto" w:fill="FFFFFF"/>
        </w:rPr>
        <w:t>"</w:t>
      </w:r>
      <w:r w:rsidR="00EA1F8F" w:rsidRPr="00326F31">
        <w:rPr>
          <w:rStyle w:val="FootnoteTextChar"/>
          <w:rFonts w:asciiTheme="majorHAnsi" w:hAnsiTheme="majorHAnsi"/>
          <w:sz w:val="20"/>
          <w:szCs w:val="20"/>
          <w:vertAlign w:val="superscript"/>
        </w:rPr>
        <w:footnoteReference w:id="40"/>
      </w:r>
      <w:r w:rsidR="00EA1F8F" w:rsidRPr="00326F31">
        <w:rPr>
          <w:rFonts w:asciiTheme="majorHAnsi" w:hAnsiTheme="majorHAnsi" w:cs="Arial"/>
          <w:color w:val="000000"/>
          <w:sz w:val="20"/>
          <w:szCs w:val="20"/>
          <w:shd w:val="clear" w:color="auto" w:fill="FFFFFF"/>
        </w:rPr>
        <w:t>.</w:t>
      </w:r>
      <w:r w:rsidRPr="00326F31">
        <w:rPr>
          <w:rFonts w:asciiTheme="majorHAnsi" w:hAnsiTheme="majorHAnsi" w:cs="Arial"/>
          <w:color w:val="000000"/>
          <w:sz w:val="20"/>
          <w:szCs w:val="20"/>
          <w:shd w:val="clear" w:color="auto" w:fill="FFFFFF"/>
        </w:rPr>
        <w:t xml:space="preserve"> According to a report by Human Rights Watch "some employ</w:t>
      </w:r>
      <w:r w:rsidR="00C32AD3" w:rsidRPr="00326F31">
        <w:rPr>
          <w:rFonts w:asciiTheme="majorHAnsi" w:hAnsiTheme="majorHAnsi" w:cs="Arial"/>
          <w:color w:val="000000"/>
          <w:sz w:val="20"/>
          <w:szCs w:val="20"/>
          <w:shd w:val="clear" w:color="auto" w:fill="FFFFFF"/>
        </w:rPr>
        <w:t>ees of PDVSA reported later to the press that they</w:t>
      </w:r>
      <w:r w:rsidRPr="00326F31">
        <w:rPr>
          <w:rFonts w:asciiTheme="majorHAnsi" w:hAnsiTheme="majorHAnsi" w:cs="Arial"/>
          <w:color w:val="000000"/>
          <w:sz w:val="20"/>
          <w:szCs w:val="20"/>
          <w:shd w:val="clear" w:color="auto" w:fill="FFFFFF"/>
        </w:rPr>
        <w:t xml:space="preserve"> had been dismiss</w:t>
      </w:r>
      <w:r w:rsidR="00C32AD3" w:rsidRPr="00326F31">
        <w:rPr>
          <w:rFonts w:asciiTheme="majorHAnsi" w:hAnsiTheme="majorHAnsi" w:cs="Arial"/>
          <w:color w:val="000000"/>
          <w:sz w:val="20"/>
          <w:szCs w:val="20"/>
          <w:shd w:val="clear" w:color="auto" w:fill="FFFFFF"/>
        </w:rPr>
        <w:t>ed, and when they asked why, they were told</w:t>
      </w:r>
      <w:r w:rsidRPr="00326F31">
        <w:rPr>
          <w:rFonts w:asciiTheme="majorHAnsi" w:hAnsiTheme="majorHAnsi" w:cs="Arial"/>
          <w:color w:val="000000"/>
          <w:sz w:val="20"/>
          <w:szCs w:val="20"/>
          <w:shd w:val="clear" w:color="auto" w:fill="FFFFFF"/>
        </w:rPr>
        <w:t xml:space="preserve"> it was because they had signed the referendum petition</w:t>
      </w:r>
      <w:r w:rsidR="00C32AD3" w:rsidRPr="00326F31">
        <w:rPr>
          <w:rFonts w:asciiTheme="majorHAnsi" w:hAnsiTheme="majorHAnsi" w:cs="Arial"/>
          <w:color w:val="000000"/>
          <w:sz w:val="20"/>
          <w:szCs w:val="20"/>
          <w:shd w:val="clear" w:color="auto" w:fill="FFFFFF"/>
        </w:rPr>
        <w:t>”</w:t>
      </w:r>
      <w:r w:rsidR="00C32AD3" w:rsidRPr="00326F31">
        <w:rPr>
          <w:rStyle w:val="FootnoteTextChar"/>
          <w:rFonts w:asciiTheme="majorHAnsi" w:hAnsiTheme="majorHAnsi"/>
          <w:sz w:val="20"/>
          <w:szCs w:val="20"/>
          <w:vertAlign w:val="superscript"/>
        </w:rPr>
        <w:footnoteReference w:id="41"/>
      </w:r>
      <w:r w:rsidR="00C32AD3" w:rsidRPr="00326F31">
        <w:rPr>
          <w:rFonts w:asciiTheme="majorHAnsi" w:hAnsiTheme="majorHAnsi" w:cs="Arial"/>
          <w:color w:val="000000"/>
          <w:sz w:val="20"/>
          <w:szCs w:val="20"/>
          <w:shd w:val="clear" w:color="auto" w:fill="FFFFFF"/>
        </w:rPr>
        <w:t>.</w:t>
      </w:r>
    </w:p>
    <w:p w14:paraId="113FEDD5" w14:textId="77777777" w:rsidR="00C32AD3" w:rsidRPr="00326F31" w:rsidRDefault="00C32AD3" w:rsidP="00326F31">
      <w:pPr>
        <w:pStyle w:val="ListParagraph"/>
        <w:jc w:val="both"/>
        <w:rPr>
          <w:rFonts w:asciiTheme="majorHAnsi" w:hAnsiTheme="majorHAnsi" w:cs="Arial"/>
          <w:sz w:val="20"/>
          <w:szCs w:val="20"/>
          <w:shd w:val="clear" w:color="auto" w:fill="FFFFFF"/>
        </w:rPr>
      </w:pPr>
    </w:p>
    <w:p w14:paraId="2E6823F4" w14:textId="6BFCD13A" w:rsidR="00C32AD3" w:rsidRPr="00326F31" w:rsidRDefault="00C32AD3"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The same report</w:t>
      </w:r>
      <w:r w:rsidR="00C449B8">
        <w:rPr>
          <w:rFonts w:asciiTheme="majorHAnsi" w:hAnsiTheme="majorHAnsi"/>
          <w:sz w:val="20"/>
          <w:szCs w:val="20"/>
        </w:rPr>
        <w:t xml:space="preserve">, as well as a report prepared by a Venezuelan organization, </w:t>
      </w:r>
      <w:r w:rsidRPr="00326F31">
        <w:rPr>
          <w:rFonts w:asciiTheme="majorHAnsi" w:hAnsiTheme="majorHAnsi"/>
          <w:sz w:val="20"/>
          <w:szCs w:val="20"/>
        </w:rPr>
        <w:t>documented a number of cases of alleged layoffs motivated by the participation</w:t>
      </w:r>
      <w:r w:rsidR="00131FA4">
        <w:rPr>
          <w:rFonts w:asciiTheme="majorHAnsi" w:hAnsiTheme="majorHAnsi"/>
          <w:sz w:val="20"/>
          <w:szCs w:val="20"/>
        </w:rPr>
        <w:t xml:space="preserve"> of </w:t>
      </w:r>
      <w:r w:rsidR="001020F4">
        <w:rPr>
          <w:rFonts w:asciiTheme="majorHAnsi" w:hAnsiTheme="majorHAnsi"/>
          <w:sz w:val="20"/>
          <w:szCs w:val="20"/>
        </w:rPr>
        <w:t>public employees</w:t>
      </w:r>
      <w:r w:rsidRPr="00326F31">
        <w:rPr>
          <w:rFonts w:asciiTheme="majorHAnsi" w:hAnsiTheme="majorHAnsi"/>
          <w:sz w:val="20"/>
          <w:szCs w:val="20"/>
        </w:rPr>
        <w:t xml:space="preserve"> in the recall referendum petition</w:t>
      </w:r>
      <w:r w:rsidR="00C449B8" w:rsidRPr="00420489">
        <w:rPr>
          <w:rStyle w:val="FootnoteTextChar"/>
          <w:rFonts w:asciiTheme="majorHAnsi" w:hAnsiTheme="majorHAnsi"/>
          <w:sz w:val="20"/>
          <w:szCs w:val="20"/>
          <w:vertAlign w:val="superscript"/>
        </w:rPr>
        <w:footnoteReference w:id="42"/>
      </w:r>
      <w:r w:rsidRPr="00326F31">
        <w:rPr>
          <w:rFonts w:asciiTheme="majorHAnsi" w:hAnsiTheme="majorHAnsi"/>
          <w:sz w:val="20"/>
          <w:szCs w:val="20"/>
        </w:rPr>
        <w:t xml:space="preserve">. Among them it was highlighted the case of 80 public employees of the Fund of Deposit Guarantee and Banking Protection, allegedly dismissed for being included in "a list, partly based on the Tascón list, </w:t>
      </w:r>
      <w:r w:rsidRPr="00326F31">
        <w:rPr>
          <w:rFonts w:asciiTheme="majorHAnsi" w:hAnsiTheme="majorHAnsi"/>
          <w:sz w:val="20"/>
          <w:szCs w:val="20"/>
        </w:rPr>
        <w:lastRenderedPageBreak/>
        <w:t>circulated within the institution"</w:t>
      </w:r>
      <w:r w:rsidRPr="00326F31">
        <w:rPr>
          <w:rStyle w:val="FootnoteTextChar"/>
          <w:rFonts w:asciiTheme="majorHAnsi" w:hAnsiTheme="majorHAnsi"/>
          <w:sz w:val="20"/>
          <w:szCs w:val="20"/>
          <w:vertAlign w:val="superscript"/>
        </w:rPr>
        <w:footnoteReference w:id="43"/>
      </w:r>
      <w:r w:rsidRPr="00326F31">
        <w:rPr>
          <w:rFonts w:asciiTheme="majorHAnsi" w:hAnsiTheme="majorHAnsi" w:cs="Arial"/>
          <w:color w:val="000000"/>
          <w:sz w:val="20"/>
          <w:szCs w:val="20"/>
          <w:shd w:val="clear" w:color="auto" w:fill="FFFFFF"/>
        </w:rPr>
        <w:t>.</w:t>
      </w:r>
      <w:r w:rsidRPr="00326F31">
        <w:rPr>
          <w:rFonts w:asciiTheme="majorHAnsi" w:hAnsiTheme="majorHAnsi"/>
          <w:sz w:val="20"/>
          <w:szCs w:val="20"/>
        </w:rPr>
        <w:t xml:space="preserve"> In this regard, so</w:t>
      </w:r>
      <w:r w:rsidR="00C449B8">
        <w:rPr>
          <w:rFonts w:asciiTheme="majorHAnsi" w:hAnsiTheme="majorHAnsi"/>
          <w:sz w:val="20"/>
          <w:szCs w:val="20"/>
        </w:rPr>
        <w:t>me employees had stated that</w:t>
      </w:r>
      <w:r w:rsidRPr="00326F31">
        <w:rPr>
          <w:rFonts w:asciiTheme="majorHAnsi" w:hAnsiTheme="majorHAnsi"/>
          <w:sz w:val="20"/>
          <w:szCs w:val="20"/>
        </w:rPr>
        <w:t xml:space="preserve"> in the list distributed within the organization, appeared the name of each employee, his political profile (starting at 1 for </w:t>
      </w:r>
      <w:r w:rsidRPr="00326F31">
        <w:rPr>
          <w:rFonts w:asciiTheme="majorHAnsi" w:hAnsiTheme="majorHAnsi"/>
          <w:i/>
          <w:sz w:val="20"/>
          <w:szCs w:val="20"/>
        </w:rPr>
        <w:t>Chavistas</w:t>
      </w:r>
      <w:r w:rsidRPr="00326F31">
        <w:rPr>
          <w:rFonts w:asciiTheme="majorHAnsi" w:hAnsiTheme="majorHAnsi"/>
          <w:sz w:val="20"/>
          <w:szCs w:val="20"/>
        </w:rPr>
        <w:t xml:space="preserve"> militant</w:t>
      </w:r>
      <w:r w:rsidR="00C5301B" w:rsidRPr="00326F31">
        <w:rPr>
          <w:rFonts w:asciiTheme="majorHAnsi" w:hAnsiTheme="majorHAnsi"/>
          <w:sz w:val="20"/>
          <w:szCs w:val="20"/>
        </w:rPr>
        <w:t>s</w:t>
      </w:r>
      <w:r w:rsidRPr="00326F31">
        <w:rPr>
          <w:rFonts w:asciiTheme="majorHAnsi" w:hAnsiTheme="majorHAnsi"/>
          <w:sz w:val="20"/>
          <w:szCs w:val="20"/>
        </w:rPr>
        <w:t>, up to 6 for radical political opposition) and an initial indicating whether the employee had s</w:t>
      </w:r>
      <w:r w:rsidR="00C5301B" w:rsidRPr="00326F31">
        <w:rPr>
          <w:rFonts w:asciiTheme="majorHAnsi" w:hAnsiTheme="majorHAnsi"/>
          <w:sz w:val="20"/>
          <w:szCs w:val="20"/>
        </w:rPr>
        <w:t>igned the petition for</w:t>
      </w:r>
      <w:r w:rsidRPr="00326F31">
        <w:rPr>
          <w:rFonts w:asciiTheme="majorHAnsi" w:hAnsiTheme="majorHAnsi"/>
          <w:sz w:val="20"/>
          <w:szCs w:val="20"/>
        </w:rPr>
        <w:t xml:space="preserve"> advisory referendum, or for the recall referendum according to data from the Tascón list</w:t>
      </w:r>
      <w:r w:rsidR="00A53CD9" w:rsidRPr="00326F31">
        <w:rPr>
          <w:rStyle w:val="FootnoteReference"/>
          <w:rFonts w:asciiTheme="majorHAnsi" w:hAnsiTheme="majorHAnsi" w:cs="Arial"/>
          <w:color w:val="000000"/>
          <w:sz w:val="20"/>
          <w:szCs w:val="20"/>
          <w:shd w:val="clear" w:color="auto" w:fill="FFFFFF"/>
          <w:lang w:val="es-VE"/>
        </w:rPr>
        <w:footnoteReference w:id="44"/>
      </w:r>
      <w:r w:rsidRPr="00326F31">
        <w:rPr>
          <w:rFonts w:asciiTheme="majorHAnsi" w:hAnsiTheme="majorHAnsi"/>
          <w:sz w:val="20"/>
          <w:szCs w:val="20"/>
        </w:rPr>
        <w:t>. According to</w:t>
      </w:r>
      <w:r w:rsidR="003D32BF" w:rsidRPr="00326F31">
        <w:rPr>
          <w:rFonts w:asciiTheme="majorHAnsi" w:hAnsiTheme="majorHAnsi"/>
          <w:sz w:val="20"/>
          <w:szCs w:val="20"/>
        </w:rPr>
        <w:t xml:space="preserve"> discharged employees</w:t>
      </w:r>
      <w:r w:rsidRPr="00326F31">
        <w:rPr>
          <w:rFonts w:asciiTheme="majorHAnsi" w:hAnsiTheme="majorHAnsi"/>
          <w:sz w:val="20"/>
          <w:szCs w:val="20"/>
        </w:rPr>
        <w:t>, all of them were classified as government opponents in the list circulated</w:t>
      </w:r>
      <w:r w:rsidR="00A53CD9" w:rsidRPr="00326F31">
        <w:rPr>
          <w:rStyle w:val="FootnoteReference"/>
          <w:rFonts w:asciiTheme="majorHAnsi" w:hAnsiTheme="majorHAnsi" w:cs="Arial"/>
          <w:color w:val="000000"/>
          <w:sz w:val="20"/>
          <w:szCs w:val="20"/>
          <w:shd w:val="clear" w:color="auto" w:fill="FFFFFF"/>
          <w:lang w:val="es-VE"/>
        </w:rPr>
        <w:footnoteReference w:id="45"/>
      </w:r>
      <w:r w:rsidRPr="00326F31">
        <w:rPr>
          <w:rFonts w:asciiTheme="majorHAnsi" w:hAnsiTheme="majorHAnsi"/>
          <w:sz w:val="20"/>
          <w:szCs w:val="20"/>
        </w:rPr>
        <w:t xml:space="preserve">. According to publicly available information, the Director of that public institution, referring </w:t>
      </w:r>
      <w:r w:rsidR="003D32BF" w:rsidRPr="00326F31">
        <w:rPr>
          <w:rFonts w:asciiTheme="majorHAnsi" w:hAnsiTheme="majorHAnsi"/>
          <w:sz w:val="20"/>
          <w:szCs w:val="20"/>
        </w:rPr>
        <w:t xml:space="preserve">to the dismissal stated that "we were dealing with </w:t>
      </w:r>
      <w:r w:rsidRPr="00326F31">
        <w:rPr>
          <w:rFonts w:asciiTheme="majorHAnsi" w:hAnsiTheme="majorHAnsi"/>
          <w:sz w:val="20"/>
          <w:szCs w:val="20"/>
        </w:rPr>
        <w:t>officials</w:t>
      </w:r>
      <w:r w:rsidR="003D32BF" w:rsidRPr="00326F31">
        <w:rPr>
          <w:rFonts w:asciiTheme="majorHAnsi" w:hAnsiTheme="majorHAnsi"/>
          <w:sz w:val="20"/>
          <w:szCs w:val="20"/>
        </w:rPr>
        <w:t xml:space="preserve"> of free removal who dragged</w:t>
      </w:r>
      <w:r w:rsidRPr="00326F31">
        <w:rPr>
          <w:rFonts w:asciiTheme="majorHAnsi" w:hAnsiTheme="majorHAnsi"/>
          <w:sz w:val="20"/>
          <w:szCs w:val="20"/>
        </w:rPr>
        <w:t xml:space="preserve"> a culture </w:t>
      </w:r>
      <w:r w:rsidR="003D32BF" w:rsidRPr="00326F31">
        <w:rPr>
          <w:rFonts w:asciiTheme="majorHAnsi" w:hAnsiTheme="majorHAnsi"/>
          <w:sz w:val="20"/>
          <w:szCs w:val="20"/>
        </w:rPr>
        <w:t xml:space="preserve">that was </w:t>
      </w:r>
      <w:r w:rsidRPr="00326F31">
        <w:rPr>
          <w:rFonts w:asciiTheme="majorHAnsi" w:hAnsiTheme="majorHAnsi"/>
          <w:sz w:val="20"/>
          <w:szCs w:val="20"/>
        </w:rPr>
        <w:t>not consonant with the project that is contemplated for socioeconomic development"</w:t>
      </w:r>
      <w:r w:rsidR="003D32BF" w:rsidRPr="00326F31">
        <w:rPr>
          <w:rStyle w:val="FootnoteTextChar"/>
          <w:rFonts w:asciiTheme="majorHAnsi" w:hAnsiTheme="majorHAnsi"/>
          <w:sz w:val="20"/>
          <w:szCs w:val="20"/>
          <w:vertAlign w:val="superscript"/>
        </w:rPr>
        <w:footnoteReference w:id="46"/>
      </w:r>
      <w:r w:rsidR="003D32BF" w:rsidRPr="00326F31">
        <w:rPr>
          <w:rFonts w:asciiTheme="majorHAnsi" w:hAnsiTheme="majorHAnsi" w:cs="Arial"/>
          <w:color w:val="000000"/>
          <w:sz w:val="20"/>
          <w:szCs w:val="20"/>
          <w:shd w:val="clear" w:color="auto" w:fill="FFFFFF"/>
        </w:rPr>
        <w:t>.</w:t>
      </w:r>
      <w:r w:rsidR="005E6C10">
        <w:rPr>
          <w:rFonts w:asciiTheme="majorHAnsi" w:hAnsiTheme="majorHAnsi" w:cs="Arial"/>
          <w:color w:val="000000"/>
          <w:sz w:val="20"/>
          <w:szCs w:val="20"/>
          <w:shd w:val="clear" w:color="auto" w:fill="FFFFFF"/>
        </w:rPr>
        <w:t xml:space="preserve"> </w:t>
      </w:r>
    </w:p>
    <w:p w14:paraId="6FC0F0AC" w14:textId="77777777" w:rsidR="00887C86" w:rsidRPr="00326F31" w:rsidRDefault="00887C86" w:rsidP="00326F31">
      <w:pPr>
        <w:pStyle w:val="ListParagraph"/>
        <w:jc w:val="both"/>
        <w:rPr>
          <w:rFonts w:asciiTheme="majorHAnsi" w:hAnsiTheme="majorHAnsi"/>
          <w:sz w:val="20"/>
          <w:szCs w:val="20"/>
        </w:rPr>
      </w:pPr>
    </w:p>
    <w:p w14:paraId="3D646AAF" w14:textId="7BC53AD8" w:rsidR="00662351" w:rsidRPr="00326F31" w:rsidRDefault="00662351"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 xml:space="preserve">Also in March 2004, Froilan Barrios, member of the Executive Committee of the Confederation of Workers of Venezuela reported that the oil industry "has a list of 1999 active and retired workers who bear the threat of a possible removal or transfer of charge having participated in the </w:t>
      </w:r>
      <w:r w:rsidRPr="00326F31">
        <w:rPr>
          <w:rFonts w:asciiTheme="majorHAnsi" w:hAnsiTheme="majorHAnsi"/>
          <w:i/>
          <w:sz w:val="20"/>
          <w:szCs w:val="20"/>
        </w:rPr>
        <w:t>reafirmazo</w:t>
      </w:r>
      <w:r w:rsidRPr="00326F31">
        <w:rPr>
          <w:rFonts w:asciiTheme="majorHAnsi" w:hAnsiTheme="majorHAnsi"/>
          <w:sz w:val="20"/>
          <w:szCs w:val="20"/>
        </w:rPr>
        <w:t>"</w:t>
      </w:r>
      <w:r w:rsidRPr="00326F31">
        <w:rPr>
          <w:rStyle w:val="FootnoteTextChar"/>
          <w:rFonts w:asciiTheme="majorHAnsi" w:hAnsiTheme="majorHAnsi"/>
          <w:sz w:val="20"/>
          <w:szCs w:val="20"/>
          <w:vertAlign w:val="superscript"/>
        </w:rPr>
        <w:footnoteReference w:id="47"/>
      </w:r>
      <w:r w:rsidRPr="00326F31">
        <w:rPr>
          <w:rFonts w:asciiTheme="majorHAnsi" w:hAnsiTheme="majorHAnsi"/>
          <w:sz w:val="20"/>
          <w:szCs w:val="20"/>
        </w:rPr>
        <w:t>.</w:t>
      </w:r>
      <w:r w:rsidR="005E6C10">
        <w:rPr>
          <w:rFonts w:asciiTheme="majorHAnsi" w:hAnsiTheme="majorHAnsi"/>
          <w:sz w:val="20"/>
          <w:szCs w:val="20"/>
        </w:rPr>
        <w:t xml:space="preserve"> </w:t>
      </w:r>
    </w:p>
    <w:p w14:paraId="5855EA37" w14:textId="77777777" w:rsidR="00A32A18" w:rsidRPr="00326F31" w:rsidRDefault="00A32A18" w:rsidP="00326F31">
      <w:pPr>
        <w:jc w:val="both"/>
        <w:rPr>
          <w:rFonts w:asciiTheme="majorHAnsi" w:hAnsiTheme="majorHAnsi"/>
          <w:color w:val="080808"/>
          <w:sz w:val="20"/>
          <w:szCs w:val="20"/>
          <w:shd w:val="clear" w:color="auto" w:fill="FFFFFF"/>
        </w:rPr>
      </w:pPr>
    </w:p>
    <w:p w14:paraId="13F03C8B" w14:textId="2192290B" w:rsidR="00A32A18" w:rsidRPr="00326F31" w:rsidRDefault="00A32A18"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color w:val="080808"/>
          <w:sz w:val="20"/>
          <w:szCs w:val="20"/>
          <w:shd w:val="clear" w:color="auto" w:fill="FFFFFF"/>
        </w:rPr>
        <w:t xml:space="preserve">In turn, some media documented other allegations of reprisals to employees who participated in the referendum process in other state institutions such as the National Center of Information Technologies, the Miranda State Government, the Ministry of Popular Economy, the Institute for Welfare and Social Assistance for the Personnel of the Ministry of Education, the Board of Education of Miranda, </w:t>
      </w:r>
      <w:r w:rsidR="005C223C">
        <w:rPr>
          <w:rFonts w:asciiTheme="majorHAnsi" w:hAnsiTheme="majorHAnsi"/>
          <w:color w:val="080808"/>
          <w:sz w:val="20"/>
          <w:szCs w:val="20"/>
          <w:shd w:val="clear" w:color="auto" w:fill="FFFFFF"/>
        </w:rPr>
        <w:t xml:space="preserve">and the </w:t>
      </w:r>
      <w:r w:rsidRPr="00326F31">
        <w:rPr>
          <w:rFonts w:asciiTheme="majorHAnsi" w:hAnsiTheme="majorHAnsi"/>
          <w:color w:val="080808"/>
          <w:sz w:val="20"/>
          <w:szCs w:val="20"/>
          <w:shd w:val="clear" w:color="auto" w:fill="FFFFFF"/>
        </w:rPr>
        <w:t>National Electoral Council</w:t>
      </w:r>
      <w:r w:rsidRPr="00326F31">
        <w:rPr>
          <w:rStyle w:val="FootnoteReference"/>
          <w:rFonts w:asciiTheme="majorHAnsi" w:hAnsiTheme="majorHAnsi"/>
          <w:sz w:val="20"/>
          <w:szCs w:val="20"/>
          <w:lang w:val="es-VE"/>
        </w:rPr>
        <w:footnoteReference w:id="48"/>
      </w:r>
      <w:r w:rsidRPr="00326F31">
        <w:rPr>
          <w:rFonts w:asciiTheme="majorHAnsi" w:hAnsiTheme="majorHAnsi"/>
          <w:sz w:val="20"/>
          <w:szCs w:val="20"/>
        </w:rPr>
        <w:t>.</w:t>
      </w:r>
    </w:p>
    <w:p w14:paraId="01DB697E" w14:textId="77777777" w:rsidR="00A32A18" w:rsidRPr="00326F31" w:rsidRDefault="00A32A18" w:rsidP="00326F31">
      <w:pPr>
        <w:pBdr>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80808"/>
          <w:sz w:val="20"/>
          <w:szCs w:val="20"/>
          <w:shd w:val="clear" w:color="auto" w:fill="FFFFFF"/>
        </w:rPr>
      </w:pPr>
    </w:p>
    <w:p w14:paraId="7CD95D39" w14:textId="674A19B3" w:rsidR="00265475" w:rsidRPr="00326F31" w:rsidRDefault="004C0A07" w:rsidP="005C223C">
      <w:pPr>
        <w:pStyle w:val="ListParagraph"/>
        <w:numPr>
          <w:ilvl w:val="1"/>
          <w:numId w:val="55"/>
        </w:numPr>
        <w:tabs>
          <w:tab w:val="clear" w:pos="1800"/>
          <w:tab w:val="num" w:pos="1080"/>
        </w:tabs>
        <w:ind w:hanging="1080"/>
        <w:jc w:val="both"/>
        <w:rPr>
          <w:rFonts w:asciiTheme="majorHAnsi" w:hAnsiTheme="majorHAnsi"/>
          <w:b/>
          <w:sz w:val="20"/>
          <w:szCs w:val="20"/>
        </w:rPr>
      </w:pPr>
      <w:r w:rsidRPr="00326F31">
        <w:rPr>
          <w:rFonts w:asciiTheme="majorHAnsi" w:hAnsiTheme="majorHAnsi"/>
          <w:b/>
          <w:sz w:val="20"/>
          <w:szCs w:val="20"/>
        </w:rPr>
        <w:t>Results of the recall procedure</w:t>
      </w:r>
      <w:r w:rsidR="00456F80" w:rsidRPr="00326F31">
        <w:rPr>
          <w:rFonts w:asciiTheme="majorHAnsi" w:hAnsiTheme="majorHAnsi"/>
          <w:b/>
          <w:sz w:val="20"/>
          <w:szCs w:val="20"/>
        </w:rPr>
        <w:t xml:space="preserve"> </w:t>
      </w:r>
      <w:r w:rsidRPr="00326F31">
        <w:rPr>
          <w:rFonts w:asciiTheme="majorHAnsi" w:hAnsiTheme="majorHAnsi"/>
          <w:b/>
          <w:sz w:val="20"/>
          <w:szCs w:val="20"/>
        </w:rPr>
        <w:t>"</w:t>
      </w:r>
      <w:r w:rsidR="00456F80" w:rsidRPr="00326F31">
        <w:rPr>
          <w:rFonts w:asciiTheme="majorHAnsi" w:hAnsiTheme="majorHAnsi"/>
          <w:b/>
          <w:i/>
          <w:sz w:val="20"/>
          <w:szCs w:val="20"/>
        </w:rPr>
        <w:t>El</w:t>
      </w:r>
      <w:r w:rsidR="00202D93" w:rsidRPr="00326F31">
        <w:rPr>
          <w:rFonts w:asciiTheme="majorHAnsi" w:hAnsiTheme="majorHAnsi"/>
          <w:b/>
          <w:i/>
          <w:sz w:val="20"/>
          <w:szCs w:val="20"/>
        </w:rPr>
        <w:t xml:space="preserve"> </w:t>
      </w:r>
      <w:r w:rsidRPr="00326F31">
        <w:rPr>
          <w:rFonts w:asciiTheme="majorHAnsi" w:hAnsiTheme="majorHAnsi"/>
          <w:b/>
          <w:i/>
          <w:sz w:val="20"/>
          <w:szCs w:val="20"/>
        </w:rPr>
        <w:t>Reafirmazo</w:t>
      </w:r>
      <w:r w:rsidRPr="00326F31">
        <w:rPr>
          <w:rFonts w:asciiTheme="majorHAnsi" w:hAnsiTheme="majorHAnsi"/>
          <w:b/>
          <w:sz w:val="20"/>
          <w:szCs w:val="20"/>
        </w:rPr>
        <w:t>" and conducting the recall referendum</w:t>
      </w:r>
    </w:p>
    <w:p w14:paraId="39DA4AEB" w14:textId="77777777" w:rsidR="00265475" w:rsidRPr="00326F31" w:rsidRDefault="00E92441" w:rsidP="00326F31">
      <w:pPr>
        <w:pBdr>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326F31">
        <w:rPr>
          <w:rFonts w:asciiTheme="majorHAnsi" w:hAnsiTheme="majorHAnsi"/>
          <w:sz w:val="20"/>
          <w:szCs w:val="20"/>
        </w:rPr>
        <w:t xml:space="preserve"> </w:t>
      </w:r>
    </w:p>
    <w:p w14:paraId="6DE994D2" w14:textId="3F8857FC" w:rsidR="00456F80" w:rsidRPr="00326F31" w:rsidRDefault="00456F80"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VE"/>
        </w:rPr>
      </w:pPr>
      <w:r w:rsidRPr="00326F31">
        <w:rPr>
          <w:rFonts w:asciiTheme="majorHAnsi" w:hAnsiTheme="majorHAnsi"/>
          <w:sz w:val="20"/>
          <w:szCs w:val="20"/>
        </w:rPr>
        <w:t>A</w:t>
      </w:r>
      <w:r w:rsidR="00055FAD" w:rsidRPr="00326F31">
        <w:rPr>
          <w:rFonts w:asciiTheme="majorHAnsi" w:hAnsiTheme="majorHAnsi"/>
          <w:sz w:val="20"/>
          <w:szCs w:val="20"/>
        </w:rPr>
        <w:t>fter receiving the signatures for</w:t>
      </w:r>
      <w:r w:rsidRPr="00326F31">
        <w:rPr>
          <w:rFonts w:asciiTheme="majorHAnsi" w:hAnsiTheme="majorHAnsi"/>
          <w:sz w:val="20"/>
          <w:szCs w:val="20"/>
        </w:rPr>
        <w:t xml:space="preserve"> </w:t>
      </w:r>
      <w:r w:rsidR="00055FAD" w:rsidRPr="00326F31">
        <w:rPr>
          <w:rFonts w:asciiTheme="majorHAnsi" w:hAnsiTheme="majorHAnsi"/>
          <w:sz w:val="20"/>
          <w:szCs w:val="20"/>
        </w:rPr>
        <w:t xml:space="preserve">the </w:t>
      </w:r>
      <w:r w:rsidRPr="00326F31">
        <w:rPr>
          <w:rFonts w:asciiTheme="majorHAnsi" w:hAnsiTheme="majorHAnsi"/>
          <w:sz w:val="20"/>
          <w:szCs w:val="20"/>
        </w:rPr>
        <w:t>"</w:t>
      </w:r>
      <w:r w:rsidRPr="00326F31">
        <w:rPr>
          <w:rFonts w:asciiTheme="majorHAnsi" w:hAnsiTheme="majorHAnsi"/>
          <w:i/>
          <w:sz w:val="20"/>
          <w:szCs w:val="20"/>
        </w:rPr>
        <w:t>Reafirmazo</w:t>
      </w:r>
      <w:r w:rsidRPr="00326F31">
        <w:rPr>
          <w:rFonts w:asciiTheme="majorHAnsi" w:hAnsiTheme="majorHAnsi"/>
          <w:sz w:val="20"/>
          <w:szCs w:val="20"/>
        </w:rPr>
        <w:t xml:space="preserve">" on March 2, 2004 the National Electoral Council issued Resolution No. 040302-131 with the preliminary results of the recall procedure initiated </w:t>
      </w:r>
      <w:r w:rsidR="00055FAD" w:rsidRPr="00326F31">
        <w:rPr>
          <w:rFonts w:asciiTheme="majorHAnsi" w:hAnsiTheme="majorHAnsi"/>
          <w:sz w:val="20"/>
          <w:szCs w:val="20"/>
        </w:rPr>
        <w:t>regarding</w:t>
      </w:r>
      <w:r w:rsidRPr="00326F31">
        <w:rPr>
          <w:rFonts w:asciiTheme="majorHAnsi" w:hAnsiTheme="majorHAnsi"/>
          <w:sz w:val="20"/>
          <w:szCs w:val="20"/>
        </w:rPr>
        <w:t xml:space="preserve"> President </w:t>
      </w:r>
      <w:r w:rsidR="00055FAD" w:rsidRPr="00326F31">
        <w:rPr>
          <w:rFonts w:asciiTheme="majorHAnsi" w:hAnsiTheme="majorHAnsi"/>
          <w:sz w:val="20"/>
          <w:szCs w:val="20"/>
        </w:rPr>
        <w:t>Hugo Chávez Frías</w:t>
      </w:r>
      <w:r w:rsidR="00055FAD" w:rsidRPr="00326F31">
        <w:rPr>
          <w:rStyle w:val="FootnoteTextChar"/>
          <w:rFonts w:asciiTheme="majorHAnsi" w:hAnsiTheme="majorHAnsi"/>
          <w:sz w:val="20"/>
          <w:szCs w:val="20"/>
          <w:vertAlign w:val="superscript"/>
        </w:rPr>
        <w:footnoteReference w:id="49"/>
      </w:r>
      <w:r w:rsidR="00055FAD" w:rsidRPr="00326F31">
        <w:rPr>
          <w:rFonts w:asciiTheme="majorHAnsi" w:hAnsiTheme="majorHAnsi"/>
          <w:sz w:val="20"/>
          <w:szCs w:val="20"/>
        </w:rPr>
        <w:t>. On</w:t>
      </w:r>
      <w:r w:rsidRPr="00326F31">
        <w:rPr>
          <w:rFonts w:asciiTheme="majorHAnsi" w:hAnsiTheme="majorHAnsi"/>
          <w:sz w:val="20"/>
          <w:szCs w:val="20"/>
        </w:rPr>
        <w:t xml:space="preserve"> April 20, 2004 the National Electoral Council, foll</w:t>
      </w:r>
      <w:r w:rsidR="00252986" w:rsidRPr="00326F31">
        <w:rPr>
          <w:rFonts w:asciiTheme="majorHAnsi" w:hAnsiTheme="majorHAnsi"/>
          <w:sz w:val="20"/>
          <w:szCs w:val="20"/>
        </w:rPr>
        <w:t xml:space="preserve">owing the rules on the right to challenge </w:t>
      </w:r>
      <w:r w:rsidRPr="00326F31">
        <w:rPr>
          <w:rFonts w:asciiTheme="majorHAnsi" w:hAnsiTheme="majorHAnsi"/>
          <w:sz w:val="20"/>
          <w:szCs w:val="20"/>
        </w:rPr>
        <w:t xml:space="preserve">the recall procedures </w:t>
      </w:r>
      <w:r w:rsidR="00252986" w:rsidRPr="00326F31">
        <w:rPr>
          <w:rFonts w:asciiTheme="majorHAnsi" w:hAnsiTheme="majorHAnsi"/>
          <w:sz w:val="20"/>
          <w:szCs w:val="20"/>
        </w:rPr>
        <w:t>for office terms elected by popular vote</w:t>
      </w:r>
      <w:r w:rsidR="00252986" w:rsidRPr="00326F31">
        <w:rPr>
          <w:rFonts w:asciiTheme="majorHAnsi" w:hAnsiTheme="majorHAnsi"/>
          <w:sz w:val="20"/>
          <w:szCs w:val="20"/>
          <w:vertAlign w:val="superscript"/>
        </w:rPr>
        <w:footnoteReference w:id="50"/>
      </w:r>
      <w:r w:rsidR="00252986" w:rsidRPr="00326F31">
        <w:rPr>
          <w:rFonts w:asciiTheme="majorHAnsi" w:hAnsiTheme="majorHAnsi"/>
          <w:sz w:val="20"/>
          <w:szCs w:val="20"/>
        </w:rPr>
        <w:t xml:space="preserve"> </w:t>
      </w:r>
      <w:r w:rsidRPr="00326F31">
        <w:rPr>
          <w:rFonts w:asciiTheme="majorHAnsi" w:hAnsiTheme="majorHAnsi"/>
          <w:sz w:val="20"/>
          <w:szCs w:val="20"/>
        </w:rPr>
        <w:t>determined that 1,192,914 signatures should</w:t>
      </w:r>
      <w:r w:rsidR="00252986" w:rsidRPr="00326F31">
        <w:rPr>
          <w:rFonts w:asciiTheme="majorHAnsi" w:hAnsiTheme="majorHAnsi"/>
          <w:sz w:val="20"/>
          <w:szCs w:val="20"/>
        </w:rPr>
        <w:t xml:space="preserve"> </w:t>
      </w:r>
      <w:r w:rsidR="00252986" w:rsidRPr="00326F31">
        <w:rPr>
          <w:rFonts w:asciiTheme="majorHAnsi" w:hAnsiTheme="majorHAnsi" w:cs="Arial"/>
          <w:sz w:val="20"/>
          <w:szCs w:val="20"/>
        </w:rPr>
        <w:t>underg</w:t>
      </w:r>
      <w:r w:rsidR="00A53CD9" w:rsidRPr="00326F31">
        <w:rPr>
          <w:rFonts w:asciiTheme="majorHAnsi" w:hAnsiTheme="majorHAnsi" w:cs="Arial"/>
          <w:sz w:val="20"/>
          <w:szCs w:val="20"/>
        </w:rPr>
        <w:t>o the process of challenge</w:t>
      </w:r>
      <w:r w:rsidR="00A53CD9" w:rsidRPr="00326F31">
        <w:rPr>
          <w:rStyle w:val="FootnoteReference"/>
          <w:rFonts w:asciiTheme="majorHAnsi" w:hAnsiTheme="majorHAnsi"/>
          <w:sz w:val="20"/>
          <w:szCs w:val="20"/>
          <w:lang w:val="es-VE"/>
        </w:rPr>
        <w:footnoteReference w:id="51"/>
      </w:r>
      <w:r w:rsidR="00A53CD9" w:rsidRPr="00326F31">
        <w:rPr>
          <w:rFonts w:asciiTheme="majorHAnsi" w:hAnsiTheme="majorHAnsi" w:cs="Arial"/>
          <w:sz w:val="20"/>
          <w:szCs w:val="20"/>
        </w:rPr>
        <w:t xml:space="preserve"> on a</w:t>
      </w:r>
      <w:r w:rsidRPr="00326F31">
        <w:rPr>
          <w:rFonts w:asciiTheme="majorHAnsi" w:hAnsiTheme="majorHAnsi"/>
          <w:sz w:val="20"/>
          <w:szCs w:val="20"/>
        </w:rPr>
        <w:t xml:space="preserve"> date to</w:t>
      </w:r>
      <w:r w:rsidR="00252986" w:rsidRPr="00326F31">
        <w:rPr>
          <w:rFonts w:asciiTheme="majorHAnsi" w:hAnsiTheme="majorHAnsi"/>
          <w:sz w:val="20"/>
          <w:szCs w:val="20"/>
        </w:rPr>
        <w:t xml:space="preserve"> be</w:t>
      </w:r>
      <w:r w:rsidRPr="00326F31">
        <w:rPr>
          <w:rFonts w:asciiTheme="majorHAnsi" w:hAnsiTheme="majorHAnsi"/>
          <w:sz w:val="20"/>
          <w:szCs w:val="20"/>
        </w:rPr>
        <w:t xml:space="preserve"> indicat</w:t>
      </w:r>
      <w:r w:rsidR="00252986" w:rsidRPr="00326F31">
        <w:rPr>
          <w:rFonts w:asciiTheme="majorHAnsi" w:hAnsiTheme="majorHAnsi"/>
          <w:sz w:val="20"/>
          <w:szCs w:val="20"/>
        </w:rPr>
        <w:t>ed</w:t>
      </w:r>
      <w:r w:rsidRPr="00326F31">
        <w:rPr>
          <w:rFonts w:asciiTheme="majorHAnsi" w:hAnsiTheme="majorHAnsi"/>
          <w:sz w:val="20"/>
          <w:szCs w:val="20"/>
        </w:rPr>
        <w:t xml:space="preserve"> </w:t>
      </w:r>
      <w:r w:rsidR="00252986" w:rsidRPr="00326F31">
        <w:rPr>
          <w:rFonts w:asciiTheme="majorHAnsi" w:hAnsiTheme="majorHAnsi"/>
          <w:sz w:val="20"/>
          <w:szCs w:val="20"/>
        </w:rPr>
        <w:t xml:space="preserve">by the electoral </w:t>
      </w:r>
      <w:r w:rsidR="00252986" w:rsidRPr="00326F31">
        <w:rPr>
          <w:rFonts w:asciiTheme="majorHAnsi" w:hAnsiTheme="majorHAnsi"/>
          <w:sz w:val="20"/>
          <w:szCs w:val="20"/>
        </w:rPr>
        <w:lastRenderedPageBreak/>
        <w:t xml:space="preserve">authority. The </w:t>
      </w:r>
      <w:r w:rsidR="00252986" w:rsidRPr="00326F31">
        <w:rPr>
          <w:rFonts w:asciiTheme="majorHAnsi" w:hAnsiTheme="majorHAnsi" w:cs="Arial"/>
          <w:sz w:val="20"/>
          <w:szCs w:val="20"/>
        </w:rPr>
        <w:t>process of challenge</w:t>
      </w:r>
      <w:r w:rsidRPr="00326F31">
        <w:rPr>
          <w:rFonts w:asciiTheme="majorHAnsi" w:hAnsiTheme="majorHAnsi"/>
          <w:sz w:val="20"/>
          <w:szCs w:val="20"/>
        </w:rPr>
        <w:t xml:space="preserve"> required</w:t>
      </w:r>
      <w:r w:rsidR="00252986" w:rsidRPr="00326F31">
        <w:rPr>
          <w:rFonts w:asciiTheme="majorHAnsi" w:hAnsiTheme="majorHAnsi"/>
          <w:sz w:val="20"/>
          <w:szCs w:val="20"/>
        </w:rPr>
        <w:t xml:space="preserve"> the</w:t>
      </w:r>
      <w:r w:rsidRPr="00326F31">
        <w:rPr>
          <w:rFonts w:asciiTheme="majorHAnsi" w:hAnsiTheme="majorHAnsi"/>
          <w:sz w:val="20"/>
          <w:szCs w:val="20"/>
        </w:rPr>
        <w:t xml:space="preserve"> </w:t>
      </w:r>
      <w:r w:rsidR="00252986" w:rsidRPr="00326F31">
        <w:rPr>
          <w:rFonts w:asciiTheme="majorHAnsi" w:hAnsiTheme="majorHAnsi"/>
          <w:sz w:val="20"/>
          <w:szCs w:val="20"/>
        </w:rPr>
        <w:t>re</w:t>
      </w:r>
      <w:r w:rsidRPr="00326F31">
        <w:rPr>
          <w:rFonts w:asciiTheme="majorHAnsi" w:hAnsiTheme="majorHAnsi"/>
          <w:sz w:val="20"/>
          <w:szCs w:val="20"/>
        </w:rPr>
        <w:t xml:space="preserve">validation of signatures </w:t>
      </w:r>
      <w:r w:rsidR="00252986" w:rsidRPr="00326F31">
        <w:rPr>
          <w:rFonts w:asciiTheme="majorHAnsi" w:hAnsiTheme="majorHAnsi"/>
          <w:sz w:val="20"/>
          <w:szCs w:val="20"/>
        </w:rPr>
        <w:t>subject to challenge and allowed the withdrawal of signatures of applicants who had changed their</w:t>
      </w:r>
      <w:r w:rsidRPr="00326F31">
        <w:rPr>
          <w:rFonts w:asciiTheme="majorHAnsi" w:hAnsiTheme="majorHAnsi"/>
          <w:sz w:val="20"/>
          <w:szCs w:val="20"/>
        </w:rPr>
        <w:t xml:space="preserve"> mind</w:t>
      </w:r>
      <w:r w:rsidR="00252986" w:rsidRPr="00326F31">
        <w:rPr>
          <w:rFonts w:asciiTheme="majorHAnsi" w:hAnsiTheme="majorHAnsi"/>
          <w:sz w:val="20"/>
          <w:szCs w:val="20"/>
        </w:rPr>
        <w:t>s</w:t>
      </w:r>
      <w:r w:rsidRPr="00326F31">
        <w:rPr>
          <w:rFonts w:asciiTheme="majorHAnsi" w:hAnsiTheme="majorHAnsi"/>
          <w:sz w:val="20"/>
          <w:szCs w:val="20"/>
        </w:rPr>
        <w:t xml:space="preserve">. </w:t>
      </w:r>
      <w:r w:rsidR="00252986" w:rsidRPr="00326F31">
        <w:rPr>
          <w:rFonts w:asciiTheme="majorHAnsi" w:hAnsiTheme="majorHAnsi" w:cs="Arial"/>
          <w:sz w:val="20"/>
          <w:szCs w:val="20"/>
        </w:rPr>
        <w:t>This day of challenge was held on June 27, 2004.</w:t>
      </w:r>
    </w:p>
    <w:p w14:paraId="34FF1D52" w14:textId="77777777" w:rsidR="00456F80" w:rsidRPr="00326F31" w:rsidRDefault="00456F80" w:rsidP="00326F31">
      <w:pPr>
        <w:pBdr>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14:paraId="215EB864" w14:textId="7F3D3F11" w:rsidR="00450DEE" w:rsidRPr="00326F31" w:rsidRDefault="00450DEE"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On June 25, 2004 by resolution 040615-852 the National Electoral Council decided to ratify the call to hold the presidential recall referendum on August 15, 2004</w:t>
      </w:r>
      <w:r w:rsidRPr="00326F31">
        <w:rPr>
          <w:rStyle w:val="FootnoteReference"/>
          <w:rFonts w:asciiTheme="majorHAnsi" w:hAnsiTheme="majorHAnsi"/>
          <w:sz w:val="20"/>
          <w:szCs w:val="20"/>
          <w:lang w:val="es-VE"/>
        </w:rPr>
        <w:footnoteReference w:id="52"/>
      </w:r>
      <w:r w:rsidRPr="00326F31">
        <w:rPr>
          <w:rFonts w:asciiTheme="majorHAnsi" w:hAnsiTheme="majorHAnsi"/>
          <w:sz w:val="20"/>
          <w:szCs w:val="20"/>
        </w:rPr>
        <w:t>. This call was conducted and resulted in a total of 3, 989, 008 votes in favor of the recall of the term of the President, and 5, 800, 629 votes against the recall, so the CNE ratified the mandate the President of the Republic</w:t>
      </w:r>
      <w:r w:rsidR="00132419" w:rsidRPr="00326F31">
        <w:rPr>
          <w:rStyle w:val="FootnoteReference"/>
          <w:rFonts w:asciiTheme="majorHAnsi" w:hAnsiTheme="majorHAnsi"/>
          <w:sz w:val="20"/>
          <w:szCs w:val="20"/>
          <w:lang w:val="es-VE"/>
        </w:rPr>
        <w:footnoteReference w:id="53"/>
      </w:r>
      <w:r w:rsidRPr="00326F31">
        <w:rPr>
          <w:rFonts w:asciiTheme="majorHAnsi" w:hAnsiTheme="majorHAnsi"/>
          <w:sz w:val="20"/>
          <w:szCs w:val="20"/>
        </w:rPr>
        <w:t xml:space="preserve">. The OAS and the Carter Center observers of this process, declared </w:t>
      </w:r>
      <w:r w:rsidR="0083681D" w:rsidRPr="00326F31">
        <w:rPr>
          <w:rFonts w:asciiTheme="majorHAnsi" w:hAnsiTheme="majorHAnsi"/>
          <w:sz w:val="20"/>
          <w:szCs w:val="20"/>
        </w:rPr>
        <w:t>the legitimacy of the results</w:t>
      </w:r>
      <w:r w:rsidRPr="00326F31">
        <w:rPr>
          <w:rStyle w:val="FootnoteReference"/>
          <w:rFonts w:asciiTheme="majorHAnsi" w:hAnsiTheme="majorHAnsi"/>
          <w:sz w:val="20"/>
          <w:szCs w:val="20"/>
          <w:lang w:val="es-VE"/>
        </w:rPr>
        <w:footnoteReference w:id="54"/>
      </w:r>
      <w:r w:rsidRPr="00326F31">
        <w:rPr>
          <w:rFonts w:asciiTheme="majorHAnsi" w:hAnsiTheme="majorHAnsi"/>
          <w:sz w:val="20"/>
          <w:szCs w:val="20"/>
        </w:rPr>
        <w:t>.</w:t>
      </w:r>
    </w:p>
    <w:p w14:paraId="64DCEAD8" w14:textId="77777777" w:rsidR="004709B0" w:rsidRPr="00326F31" w:rsidRDefault="004709B0" w:rsidP="00326F31">
      <w:pPr>
        <w:pStyle w:val="ListParagraph"/>
        <w:ind w:left="1800"/>
        <w:jc w:val="both"/>
        <w:rPr>
          <w:rFonts w:asciiTheme="majorHAnsi" w:hAnsiTheme="majorHAnsi"/>
          <w:b/>
          <w:sz w:val="20"/>
          <w:szCs w:val="20"/>
        </w:rPr>
      </w:pPr>
    </w:p>
    <w:p w14:paraId="0A2A3A50" w14:textId="2831E47A" w:rsidR="00B64AE2" w:rsidRPr="00326F31" w:rsidRDefault="00202D93" w:rsidP="005C223C">
      <w:pPr>
        <w:pStyle w:val="ListParagraph"/>
        <w:numPr>
          <w:ilvl w:val="1"/>
          <w:numId w:val="55"/>
        </w:numPr>
        <w:tabs>
          <w:tab w:val="clear" w:pos="1800"/>
          <w:tab w:val="num" w:pos="1080"/>
        </w:tabs>
        <w:ind w:hanging="1080"/>
        <w:jc w:val="both"/>
        <w:rPr>
          <w:rFonts w:asciiTheme="majorHAnsi" w:hAnsiTheme="majorHAnsi"/>
          <w:b/>
          <w:sz w:val="20"/>
          <w:szCs w:val="20"/>
        </w:rPr>
      </w:pPr>
      <w:r w:rsidRPr="00326F31">
        <w:rPr>
          <w:rFonts w:asciiTheme="majorHAnsi" w:hAnsiTheme="majorHAnsi"/>
          <w:b/>
          <w:sz w:val="20"/>
          <w:szCs w:val="20"/>
        </w:rPr>
        <w:t>Public Ministry</w:t>
      </w:r>
      <w:r w:rsidR="001B21FD" w:rsidRPr="00326F31">
        <w:rPr>
          <w:rFonts w:asciiTheme="majorHAnsi" w:hAnsiTheme="majorHAnsi"/>
          <w:b/>
          <w:sz w:val="20"/>
          <w:szCs w:val="20"/>
        </w:rPr>
        <w:t>’s</w:t>
      </w:r>
      <w:r w:rsidRPr="00326F31">
        <w:rPr>
          <w:rFonts w:asciiTheme="majorHAnsi" w:hAnsiTheme="majorHAnsi"/>
          <w:b/>
          <w:sz w:val="20"/>
          <w:szCs w:val="20"/>
        </w:rPr>
        <w:t xml:space="preserve"> investigation regarding complaints of discrimination</w:t>
      </w:r>
    </w:p>
    <w:p w14:paraId="43E92F14" w14:textId="77777777" w:rsidR="004B7532" w:rsidRPr="00326F31" w:rsidRDefault="004B7532" w:rsidP="00326F31">
      <w:pPr>
        <w:jc w:val="both"/>
        <w:rPr>
          <w:rFonts w:asciiTheme="majorHAnsi" w:hAnsiTheme="majorHAnsi"/>
          <w:sz w:val="20"/>
          <w:szCs w:val="20"/>
        </w:rPr>
      </w:pPr>
    </w:p>
    <w:p w14:paraId="1191A867" w14:textId="4A225D7E" w:rsidR="004B7532" w:rsidRPr="00326F31" w:rsidRDefault="004B7532"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Considering the allegations described in various media about political discrimination and d</w:t>
      </w:r>
      <w:r w:rsidR="00251A00">
        <w:rPr>
          <w:rFonts w:asciiTheme="majorHAnsi" w:hAnsiTheme="majorHAnsi"/>
          <w:sz w:val="20"/>
          <w:szCs w:val="20"/>
        </w:rPr>
        <w:t>ismissals of public officials as an alleged</w:t>
      </w:r>
      <w:r w:rsidRPr="00326F31">
        <w:rPr>
          <w:rFonts w:asciiTheme="majorHAnsi" w:hAnsiTheme="majorHAnsi"/>
          <w:sz w:val="20"/>
          <w:szCs w:val="20"/>
        </w:rPr>
        <w:t xml:space="preserve"> retaliation for their appearance on the lists of signatories that requested the presidential recall referendum, the General Prosecutor's Office ordered Prosecutor 49 of the Caracas Metropolitan Area to open an investigation</w:t>
      </w:r>
      <w:r w:rsidRPr="00326F31">
        <w:rPr>
          <w:rFonts w:asciiTheme="majorHAnsi" w:hAnsiTheme="majorHAnsi"/>
          <w:sz w:val="20"/>
          <w:szCs w:val="20"/>
          <w:vertAlign w:val="superscript"/>
          <w:lang w:val="es-VE"/>
        </w:rPr>
        <w:footnoteReference w:id="55"/>
      </w:r>
      <w:r w:rsidRPr="00326F31">
        <w:rPr>
          <w:rFonts w:asciiTheme="majorHAnsi" w:hAnsiTheme="majorHAnsi"/>
          <w:sz w:val="20"/>
          <w:szCs w:val="20"/>
        </w:rPr>
        <w:t>. By statement of 27 April 2005, the Public Ministry reported that Prosecutor 49 of the Caracas Metropolitan Area began the "legal investigations to ascertain whether there were specific offenses that both officials and individuals may have incurred in with the use of the aforementioned lists". In the same statement he added that no rule "states that the lists of signatories cannot be spread and, on the contrary, one of the reasons for its distribution is, precisely, to prevent misuse of signatures that could harm the authenticity and transparency of the process"</w:t>
      </w:r>
      <w:r w:rsidRPr="00326F31">
        <w:rPr>
          <w:rFonts w:asciiTheme="majorHAnsi" w:hAnsiTheme="majorHAnsi"/>
          <w:sz w:val="20"/>
          <w:szCs w:val="20"/>
          <w:vertAlign w:val="superscript"/>
          <w:lang w:val="es-VE"/>
        </w:rPr>
        <w:footnoteReference w:id="56"/>
      </w:r>
      <w:r w:rsidRPr="00326F31">
        <w:rPr>
          <w:rFonts w:asciiTheme="majorHAnsi" w:hAnsiTheme="majorHAnsi"/>
          <w:sz w:val="20"/>
          <w:szCs w:val="20"/>
        </w:rPr>
        <w:t>. The Commission has no information on the results of that investigation.</w:t>
      </w:r>
    </w:p>
    <w:p w14:paraId="31C0606A" w14:textId="77777777" w:rsidR="001D568D" w:rsidRPr="00326F31" w:rsidRDefault="001D568D" w:rsidP="00326F31">
      <w:pPr>
        <w:pBdr>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14:paraId="3C3FA138" w14:textId="0039A86F" w:rsidR="001D568D" w:rsidRPr="00326F31" w:rsidRDefault="00330AD6" w:rsidP="001020F4">
      <w:pPr>
        <w:pStyle w:val="ListParagraph"/>
        <w:numPr>
          <w:ilvl w:val="1"/>
          <w:numId w:val="55"/>
        </w:numPr>
        <w:tabs>
          <w:tab w:val="clear" w:pos="1800"/>
          <w:tab w:val="num" w:pos="1440"/>
        </w:tabs>
        <w:ind w:left="1080" w:hanging="270"/>
        <w:jc w:val="both"/>
        <w:rPr>
          <w:rFonts w:asciiTheme="majorHAnsi" w:hAnsiTheme="majorHAnsi"/>
          <w:b/>
          <w:sz w:val="20"/>
          <w:szCs w:val="20"/>
        </w:rPr>
      </w:pPr>
      <w:r w:rsidRPr="00326F31">
        <w:rPr>
          <w:rFonts w:asciiTheme="majorHAnsi" w:hAnsiTheme="majorHAnsi"/>
          <w:b/>
          <w:sz w:val="20"/>
          <w:szCs w:val="20"/>
        </w:rPr>
        <w:t xml:space="preserve">The end of the </w:t>
      </w:r>
      <w:r w:rsidR="001D568D" w:rsidRPr="00326F31">
        <w:rPr>
          <w:rFonts w:asciiTheme="majorHAnsi" w:hAnsiTheme="majorHAnsi"/>
          <w:b/>
          <w:sz w:val="20"/>
          <w:szCs w:val="20"/>
        </w:rPr>
        <w:t>“Tascón</w:t>
      </w:r>
      <w:r w:rsidRPr="00326F31">
        <w:rPr>
          <w:rFonts w:asciiTheme="majorHAnsi" w:hAnsiTheme="majorHAnsi"/>
          <w:b/>
          <w:sz w:val="20"/>
          <w:szCs w:val="20"/>
        </w:rPr>
        <w:t xml:space="preserve"> List” and the beginning of the “M</w:t>
      </w:r>
      <w:r w:rsidR="001D568D" w:rsidRPr="00326F31">
        <w:rPr>
          <w:rFonts w:asciiTheme="majorHAnsi" w:hAnsiTheme="majorHAnsi"/>
          <w:b/>
          <w:sz w:val="20"/>
          <w:szCs w:val="20"/>
        </w:rPr>
        <w:t>aisanta</w:t>
      </w:r>
      <w:r w:rsidRPr="00326F31">
        <w:rPr>
          <w:rFonts w:asciiTheme="majorHAnsi" w:hAnsiTheme="majorHAnsi"/>
          <w:b/>
          <w:sz w:val="20"/>
          <w:szCs w:val="20"/>
        </w:rPr>
        <w:t xml:space="preserve"> list</w:t>
      </w:r>
      <w:r w:rsidR="001D568D" w:rsidRPr="00326F31">
        <w:rPr>
          <w:rFonts w:asciiTheme="majorHAnsi" w:hAnsiTheme="majorHAnsi"/>
          <w:b/>
          <w:sz w:val="20"/>
          <w:szCs w:val="20"/>
        </w:rPr>
        <w:t>”</w:t>
      </w:r>
    </w:p>
    <w:p w14:paraId="7018AB98" w14:textId="77777777" w:rsidR="001D568D" w:rsidRPr="00326F31" w:rsidRDefault="001D568D" w:rsidP="00326F31">
      <w:pPr>
        <w:pBdr>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14:paraId="794B343D" w14:textId="447DBF29" w:rsidR="004C57C1" w:rsidRPr="00326F31" w:rsidRDefault="004C57C1"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VE"/>
        </w:rPr>
      </w:pPr>
      <w:r w:rsidRPr="00326F31">
        <w:rPr>
          <w:rFonts w:asciiTheme="majorHAnsi" w:hAnsiTheme="majorHAnsi"/>
          <w:sz w:val="20"/>
          <w:szCs w:val="20"/>
        </w:rPr>
        <w:t>According to information received by the Commission on April 15, 2005 the then President of the Republic Hugo Chávez, referring to the Tascón List stated that "</w:t>
      </w:r>
      <w:r w:rsidR="00A800F5" w:rsidRPr="00326F31">
        <w:rPr>
          <w:rFonts w:asciiTheme="majorHAnsi" w:hAnsiTheme="majorHAnsi"/>
          <w:color w:val="000000"/>
          <w:sz w:val="20"/>
          <w:szCs w:val="20"/>
        </w:rPr>
        <w:t xml:space="preserve">this episode is behind us now. If anyone resorts to the list in order to make a personnel decision about someone, he or she is carrying the past into the present and perpetuating situations that we have moved beyond. […] The famous list certainly played an important role at a given point in time, but that’s over now. We call upon all our citizens to build bridges. I say this because some letters have been sent to me that lead me to believe that in some quarters the Tascón list is still being used to determine whether a person will or will not work. </w:t>
      </w:r>
      <w:r w:rsidR="00A800F5" w:rsidRPr="00326F31">
        <w:rPr>
          <w:rFonts w:asciiTheme="majorHAnsi" w:hAnsiTheme="majorHAnsi"/>
          <w:color w:val="000000"/>
          <w:sz w:val="20"/>
          <w:szCs w:val="20"/>
          <w:lang w:val="es-DO"/>
        </w:rPr>
        <w:t>Let’s bury the Tascón lis</w:t>
      </w:r>
      <w:r w:rsidR="00A800F5" w:rsidRPr="00326F31">
        <w:rPr>
          <w:rFonts w:asciiTheme="majorHAnsi" w:hAnsiTheme="majorHAnsi"/>
          <w:sz w:val="20"/>
          <w:szCs w:val="20"/>
          <w:lang w:val="es-DO"/>
        </w:rPr>
        <w:t>t”</w:t>
      </w:r>
      <w:r w:rsidRPr="00326F31">
        <w:rPr>
          <w:rStyle w:val="FootnoteReference"/>
          <w:rFonts w:asciiTheme="majorHAnsi" w:hAnsiTheme="majorHAnsi"/>
          <w:sz w:val="20"/>
          <w:szCs w:val="20"/>
          <w:lang w:val="es-VE"/>
        </w:rPr>
        <w:footnoteReference w:id="57"/>
      </w:r>
      <w:r w:rsidRPr="00326F31">
        <w:rPr>
          <w:rFonts w:asciiTheme="majorHAnsi" w:hAnsiTheme="majorHAnsi"/>
          <w:sz w:val="20"/>
          <w:szCs w:val="20"/>
          <w:lang w:val="es-DO"/>
        </w:rPr>
        <w:t>.</w:t>
      </w:r>
    </w:p>
    <w:p w14:paraId="364B1401" w14:textId="77777777" w:rsidR="004C57C1" w:rsidRPr="00326F31" w:rsidRDefault="004C57C1" w:rsidP="00326F31">
      <w:pPr>
        <w:pBdr>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DO"/>
        </w:rPr>
      </w:pPr>
    </w:p>
    <w:p w14:paraId="26A73129" w14:textId="47B920C5" w:rsidR="00F90CE4" w:rsidRPr="00326F31" w:rsidRDefault="00A800F5"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olor w:val="000000"/>
          <w:sz w:val="20"/>
          <w:szCs w:val="20"/>
          <w:bdr w:val="none" w:sz="0" w:space="0" w:color="auto"/>
        </w:rPr>
      </w:pPr>
      <w:r w:rsidRPr="00326F31">
        <w:rPr>
          <w:rFonts w:asciiTheme="majorHAnsi" w:hAnsiTheme="majorHAnsi"/>
          <w:sz w:val="20"/>
          <w:szCs w:val="20"/>
        </w:rPr>
        <w:t xml:space="preserve">In its 2009 report on Democracy and Human Rights in Venezuela, the IACHR </w:t>
      </w:r>
      <w:r w:rsidR="00251A00">
        <w:rPr>
          <w:rFonts w:asciiTheme="majorHAnsi" w:hAnsiTheme="majorHAnsi"/>
          <w:sz w:val="20"/>
          <w:szCs w:val="20"/>
        </w:rPr>
        <w:t xml:space="preserve">took </w:t>
      </w:r>
      <w:r w:rsidR="00251A00">
        <w:rPr>
          <w:rFonts w:asciiTheme="majorHAnsi" w:eastAsia="Times New Roman" w:hAnsiTheme="majorHAnsi"/>
          <w:color w:val="000000"/>
          <w:sz w:val="20"/>
          <w:szCs w:val="20"/>
          <w:bdr w:val="none" w:sz="0" w:space="0" w:color="auto"/>
        </w:rPr>
        <w:t>note</w:t>
      </w:r>
      <w:r w:rsidR="00A65F7F">
        <w:rPr>
          <w:rFonts w:asciiTheme="majorHAnsi" w:eastAsia="Times New Roman" w:hAnsiTheme="majorHAnsi"/>
          <w:color w:val="000000"/>
          <w:sz w:val="20"/>
          <w:szCs w:val="20"/>
          <w:bdr w:val="none" w:sz="0" w:space="0" w:color="auto"/>
        </w:rPr>
        <w:t xml:space="preserve"> of</w:t>
      </w:r>
      <w:r w:rsidRPr="00326F31">
        <w:rPr>
          <w:rFonts w:asciiTheme="majorHAnsi" w:eastAsia="Times New Roman" w:hAnsiTheme="majorHAnsi"/>
          <w:color w:val="000000"/>
          <w:sz w:val="20"/>
          <w:szCs w:val="20"/>
          <w:bdr w:val="none" w:sz="0" w:space="0" w:color="auto"/>
        </w:rPr>
        <w:t xml:space="preserve"> the acknowledgement of President of the Republic that the list was used for political discrimination, to dismiss employees, or block applications for employment, among other things, and whereby the President called upon the regional authorities and their supporters to do away with and bury the so-called “Tascón li</w:t>
      </w:r>
      <w:r w:rsidR="00132419" w:rsidRPr="00326F31">
        <w:rPr>
          <w:rFonts w:asciiTheme="majorHAnsi" w:eastAsia="Times New Roman" w:hAnsiTheme="majorHAnsi"/>
          <w:color w:val="000000"/>
          <w:sz w:val="20"/>
          <w:szCs w:val="20"/>
          <w:bdr w:val="none" w:sz="0" w:space="0" w:color="auto"/>
        </w:rPr>
        <w:t>st</w:t>
      </w:r>
      <w:r w:rsidRPr="00326F31">
        <w:rPr>
          <w:rFonts w:asciiTheme="majorHAnsi" w:eastAsia="Times New Roman" w:hAnsiTheme="majorHAnsi"/>
          <w:color w:val="000000"/>
          <w:sz w:val="20"/>
          <w:szCs w:val="20"/>
          <w:bdr w:val="none" w:sz="0" w:space="0" w:color="auto"/>
        </w:rPr>
        <w:t>”</w:t>
      </w:r>
      <w:r w:rsidR="00132419" w:rsidRPr="00326F31">
        <w:rPr>
          <w:rStyle w:val="FootnoteReference"/>
          <w:rFonts w:asciiTheme="majorHAnsi" w:eastAsia="Times New Roman" w:hAnsiTheme="majorHAnsi"/>
          <w:color w:val="000000"/>
          <w:sz w:val="20"/>
          <w:szCs w:val="20"/>
          <w:bdr w:val="none" w:sz="0" w:space="0" w:color="auto"/>
          <w:lang w:val="es-AR"/>
        </w:rPr>
        <w:footnoteReference w:id="58"/>
      </w:r>
      <w:r w:rsidR="00132419" w:rsidRPr="00326F31">
        <w:rPr>
          <w:rFonts w:asciiTheme="majorHAnsi" w:eastAsia="Times New Roman" w:hAnsiTheme="majorHAnsi"/>
          <w:color w:val="000000"/>
          <w:sz w:val="20"/>
          <w:szCs w:val="20"/>
          <w:bdr w:val="none" w:sz="0" w:space="0" w:color="auto"/>
        </w:rPr>
        <w:t>.</w:t>
      </w:r>
      <w:r w:rsidRPr="00326F31">
        <w:rPr>
          <w:rFonts w:asciiTheme="majorHAnsi" w:eastAsia="Times New Roman" w:hAnsiTheme="majorHAnsi"/>
          <w:color w:val="000000"/>
          <w:sz w:val="20"/>
          <w:szCs w:val="20"/>
          <w:bdr w:val="none" w:sz="0" w:space="0" w:color="auto"/>
        </w:rPr>
        <w:t xml:space="preserve"> However, </w:t>
      </w:r>
      <w:r w:rsidRPr="00326F31">
        <w:rPr>
          <w:rFonts w:asciiTheme="majorHAnsi" w:eastAsia="Times New Roman" w:hAnsiTheme="majorHAnsi"/>
          <w:color w:val="000000"/>
          <w:sz w:val="20"/>
          <w:szCs w:val="20"/>
          <w:bdr w:val="none" w:sz="0" w:space="0" w:color="auto"/>
        </w:rPr>
        <w:lastRenderedPageBreak/>
        <w:t xml:space="preserve">the Commission also noted that according to </w:t>
      </w:r>
      <w:r w:rsidRPr="00326F31">
        <w:rPr>
          <w:rFonts w:asciiTheme="majorHAnsi" w:hAnsiTheme="majorHAnsi"/>
          <w:color w:val="000000"/>
          <w:sz w:val="20"/>
          <w:szCs w:val="20"/>
        </w:rPr>
        <w:t xml:space="preserve">reports that </w:t>
      </w:r>
      <w:r w:rsidRPr="00326F31">
        <w:rPr>
          <w:rFonts w:asciiTheme="majorHAnsi" w:eastAsia="Times New Roman" w:hAnsiTheme="majorHAnsi"/>
          <w:color w:val="000000"/>
          <w:sz w:val="20"/>
          <w:szCs w:val="20"/>
          <w:bdr w:val="none" w:sz="0" w:space="0" w:color="auto"/>
        </w:rPr>
        <w:t>the list was still being used at the public and private level, as a tool to discriminate against hundreds of persons on political grounds</w:t>
      </w:r>
      <w:r w:rsidRPr="00326F31">
        <w:rPr>
          <w:rFonts w:asciiTheme="majorHAnsi" w:hAnsiTheme="majorHAnsi"/>
          <w:color w:val="000000"/>
          <w:sz w:val="20"/>
          <w:szCs w:val="20"/>
        </w:rPr>
        <w:t>, and showed concern in regards to information referring to an even more sophisticated tool that was created during the 2005 legislative elections, known as the “Maisanta list,” which includes not just the names of the persons who signed the presidential recall referendum petition, but also detailed information on the more than 12 million registered voters and their political preferences, the Commission considered that the creation of this list affects the guarantee of vote by secret ballot contained in Article 23 of the American Convention</w:t>
      </w:r>
      <w:r w:rsidR="00F90CE4" w:rsidRPr="00326F31">
        <w:rPr>
          <w:rStyle w:val="FootnoteReference"/>
          <w:rFonts w:asciiTheme="majorHAnsi" w:eastAsia="Times New Roman" w:hAnsiTheme="majorHAnsi"/>
          <w:color w:val="000000"/>
          <w:sz w:val="20"/>
          <w:szCs w:val="20"/>
          <w:bdr w:val="none" w:sz="0" w:space="0" w:color="auto"/>
          <w:lang w:val="es-AR"/>
        </w:rPr>
        <w:footnoteReference w:id="59"/>
      </w:r>
      <w:r w:rsidR="00F90CE4" w:rsidRPr="00326F31">
        <w:rPr>
          <w:rFonts w:asciiTheme="majorHAnsi" w:eastAsia="Times New Roman" w:hAnsiTheme="majorHAnsi"/>
          <w:color w:val="000000"/>
          <w:sz w:val="20"/>
          <w:szCs w:val="20"/>
          <w:bdr w:val="none" w:sz="0" w:space="0" w:color="auto"/>
        </w:rPr>
        <w:t xml:space="preserve">. </w:t>
      </w:r>
    </w:p>
    <w:p w14:paraId="7715BFF7" w14:textId="77777777" w:rsidR="00F90CE4" w:rsidRPr="00326F31" w:rsidRDefault="00F90CE4" w:rsidP="00326F31">
      <w:pPr>
        <w:jc w:val="both"/>
        <w:rPr>
          <w:rFonts w:asciiTheme="majorHAnsi" w:hAnsiTheme="majorHAnsi"/>
          <w:sz w:val="20"/>
          <w:szCs w:val="20"/>
        </w:rPr>
      </w:pPr>
    </w:p>
    <w:p w14:paraId="18727147" w14:textId="09E61229" w:rsidR="00E40449" w:rsidRPr="00326F31" w:rsidRDefault="003530C9" w:rsidP="00A65F7F">
      <w:pPr>
        <w:pStyle w:val="Heading2"/>
        <w:numPr>
          <w:ilvl w:val="0"/>
          <w:numId w:val="60"/>
        </w:numPr>
        <w:ind w:left="1080" w:hanging="360"/>
        <w:rPr>
          <w:lang w:val="en-US"/>
        </w:rPr>
      </w:pPr>
      <w:bookmarkStart w:id="14" w:name="_Toc432596981"/>
      <w:bookmarkStart w:id="15" w:name="_Toc433311132"/>
      <w:r w:rsidRPr="00326F31">
        <w:rPr>
          <w:lang w:val="en-US"/>
        </w:rPr>
        <w:t xml:space="preserve">The </w:t>
      </w:r>
      <w:r w:rsidR="00E75F15">
        <w:rPr>
          <w:lang w:val="en-US"/>
        </w:rPr>
        <w:t>work</w:t>
      </w:r>
      <w:r w:rsidRPr="00326F31">
        <w:rPr>
          <w:lang w:val="en-US"/>
        </w:rPr>
        <w:t xml:space="preserve"> relationship and termination of contracts of</w:t>
      </w:r>
      <w:r w:rsidR="00FA08DD" w:rsidRPr="00326F31">
        <w:rPr>
          <w:lang w:val="en-US"/>
        </w:rPr>
        <w:t xml:space="preserve"> Rocío San Mi</w:t>
      </w:r>
      <w:r w:rsidRPr="00326F31">
        <w:rPr>
          <w:lang w:val="en-US"/>
        </w:rPr>
        <w:t>guel Sosa, Magally Chang Girón, and</w:t>
      </w:r>
      <w:r w:rsidR="00FA08DD" w:rsidRPr="00326F31">
        <w:rPr>
          <w:lang w:val="en-US"/>
        </w:rPr>
        <w:t xml:space="preserve"> Thais Coromoto Peña</w:t>
      </w:r>
      <w:bookmarkEnd w:id="14"/>
      <w:bookmarkEnd w:id="15"/>
      <w:r w:rsidR="00FA08DD" w:rsidRPr="00326F31">
        <w:rPr>
          <w:lang w:val="en-US"/>
        </w:rPr>
        <w:t xml:space="preserve"> </w:t>
      </w:r>
    </w:p>
    <w:p w14:paraId="77AFB137" w14:textId="77777777" w:rsidR="00543123" w:rsidRPr="00326F31" w:rsidRDefault="00543123" w:rsidP="00326F31">
      <w:pPr>
        <w:pBdr>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14:paraId="310F05EA" w14:textId="314CBF72" w:rsidR="00543123" w:rsidRPr="00326F31" w:rsidRDefault="00543123"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The three alleged victims in this case, Rocío San Miguel Sosa, Magally Chang Girón</w:t>
      </w:r>
      <w:r w:rsidR="007A5CA0">
        <w:rPr>
          <w:rFonts w:asciiTheme="majorHAnsi" w:hAnsiTheme="majorHAnsi"/>
          <w:sz w:val="20"/>
          <w:szCs w:val="20"/>
        </w:rPr>
        <w:t>,</w:t>
      </w:r>
      <w:r w:rsidRPr="00326F31">
        <w:rPr>
          <w:rFonts w:asciiTheme="majorHAnsi" w:hAnsiTheme="majorHAnsi"/>
          <w:sz w:val="20"/>
          <w:szCs w:val="20"/>
        </w:rPr>
        <w:t xml:space="preserve"> and Thais Coromoto Peña, were working for the National Border Council under a professional services contract. According to a report by the Office of Analysis and Legal Assessment of the Vice President, the use of such contracts without guarantees of stability common to permanent officials, was due to the lack of approval of the Organic Law on Borders, which would create an agency to direct the State border affairs and allow the stability of its officials</w:t>
      </w:r>
      <w:r w:rsidRPr="00326F31">
        <w:rPr>
          <w:rStyle w:val="FootnoteReference"/>
          <w:rFonts w:asciiTheme="majorHAnsi" w:hAnsiTheme="majorHAnsi"/>
          <w:sz w:val="20"/>
          <w:szCs w:val="20"/>
          <w:lang w:val="es-ES_tradnl"/>
        </w:rPr>
        <w:footnoteReference w:id="60"/>
      </w:r>
      <w:r w:rsidRPr="00326F31">
        <w:rPr>
          <w:rFonts w:asciiTheme="majorHAnsi" w:hAnsiTheme="majorHAnsi"/>
          <w:sz w:val="20"/>
          <w:szCs w:val="20"/>
        </w:rPr>
        <w:t>.</w:t>
      </w:r>
    </w:p>
    <w:p w14:paraId="65C56154" w14:textId="77777777" w:rsidR="00F63367" w:rsidRPr="00326F31" w:rsidRDefault="00F63367" w:rsidP="00326F31">
      <w:pPr>
        <w:pStyle w:val="ListParagraph"/>
        <w:jc w:val="both"/>
        <w:rPr>
          <w:rFonts w:asciiTheme="majorHAnsi" w:hAnsiTheme="majorHAnsi"/>
          <w:sz w:val="20"/>
          <w:szCs w:val="20"/>
        </w:rPr>
      </w:pPr>
    </w:p>
    <w:p w14:paraId="5DA05678" w14:textId="35D3F867" w:rsidR="00F63367" w:rsidRPr="00326F31" w:rsidRDefault="00F63367"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Rocío San Miguel Sosa began working as a legal adviser at the National Border Council in July 1996 and continued through the renewal of her service contract</w:t>
      </w:r>
      <w:r w:rsidRPr="00326F31">
        <w:rPr>
          <w:rStyle w:val="FootnoteReference"/>
          <w:rFonts w:asciiTheme="majorHAnsi" w:hAnsiTheme="majorHAnsi"/>
          <w:sz w:val="20"/>
          <w:szCs w:val="20"/>
          <w:lang w:val="es-VE"/>
        </w:rPr>
        <w:footnoteReference w:id="61"/>
      </w:r>
      <w:r w:rsidRPr="00326F31">
        <w:rPr>
          <w:rFonts w:asciiTheme="majorHAnsi" w:hAnsiTheme="majorHAnsi"/>
          <w:sz w:val="20"/>
          <w:szCs w:val="20"/>
        </w:rPr>
        <w:t xml:space="preserve">, working at the institution until the end of May 2004. Her last contract was </w:t>
      </w:r>
      <w:r w:rsidR="00140ED0" w:rsidRPr="00326F31">
        <w:rPr>
          <w:rFonts w:asciiTheme="majorHAnsi" w:hAnsiTheme="majorHAnsi"/>
          <w:sz w:val="20"/>
          <w:szCs w:val="20"/>
        </w:rPr>
        <w:t>elaborated</w:t>
      </w:r>
      <w:r w:rsidRPr="00326F31">
        <w:rPr>
          <w:rFonts w:asciiTheme="majorHAnsi" w:hAnsiTheme="majorHAnsi"/>
          <w:sz w:val="20"/>
          <w:szCs w:val="20"/>
        </w:rPr>
        <w:t xml:space="preserve"> for a period of one year from January 1 to December 31, 2004</w:t>
      </w:r>
      <w:r w:rsidRPr="00326F31">
        <w:rPr>
          <w:rFonts w:asciiTheme="majorHAnsi" w:hAnsiTheme="majorHAnsi"/>
          <w:sz w:val="20"/>
          <w:szCs w:val="20"/>
          <w:vertAlign w:val="superscript"/>
          <w:lang w:val="es-VE"/>
        </w:rPr>
        <w:footnoteReference w:id="62"/>
      </w:r>
      <w:r w:rsidRPr="00326F31">
        <w:rPr>
          <w:rFonts w:asciiTheme="majorHAnsi" w:hAnsiTheme="majorHAnsi"/>
          <w:sz w:val="20"/>
          <w:szCs w:val="20"/>
        </w:rPr>
        <w:t>.</w:t>
      </w:r>
    </w:p>
    <w:p w14:paraId="2D2F83A8" w14:textId="77777777" w:rsidR="0084792D" w:rsidRPr="00326F31" w:rsidRDefault="0084792D" w:rsidP="00326F31">
      <w:pPr>
        <w:jc w:val="both"/>
        <w:rPr>
          <w:rFonts w:asciiTheme="majorHAnsi" w:hAnsiTheme="majorHAnsi"/>
          <w:sz w:val="20"/>
          <w:szCs w:val="20"/>
        </w:rPr>
      </w:pPr>
    </w:p>
    <w:p w14:paraId="1FFF12B9" w14:textId="2250BDB0" w:rsidR="00867189" w:rsidRPr="00326F31" w:rsidRDefault="00867189"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Magally Chang Girón began her work as Staff Assistant and then as Staff Coordinator of the National Border Council in May 1997, holding monthly, quarterly and annual contracts with the institution to continue providing professional services to the institution</w:t>
      </w:r>
      <w:r w:rsidR="0084792D" w:rsidRPr="00326F31">
        <w:rPr>
          <w:rStyle w:val="FootnoteReference"/>
          <w:rFonts w:asciiTheme="majorHAnsi" w:hAnsiTheme="majorHAnsi"/>
          <w:sz w:val="20"/>
          <w:szCs w:val="20"/>
          <w:lang w:val="es-VE"/>
        </w:rPr>
        <w:footnoteReference w:id="63"/>
      </w:r>
      <w:r w:rsidRPr="00326F31">
        <w:rPr>
          <w:rFonts w:asciiTheme="majorHAnsi" w:hAnsiTheme="majorHAnsi"/>
          <w:sz w:val="20"/>
          <w:szCs w:val="20"/>
        </w:rPr>
        <w:t>. Her last contract was elaborated for the period of one year from January 1 to December 31, 2004</w:t>
      </w:r>
      <w:r w:rsidRPr="00326F31">
        <w:rPr>
          <w:rStyle w:val="FootnoteReference"/>
          <w:rFonts w:asciiTheme="majorHAnsi" w:hAnsiTheme="majorHAnsi"/>
          <w:sz w:val="20"/>
          <w:szCs w:val="20"/>
          <w:lang w:val="es-ES_tradnl"/>
        </w:rPr>
        <w:footnoteReference w:id="64"/>
      </w:r>
      <w:r w:rsidRPr="00326F31">
        <w:rPr>
          <w:rFonts w:asciiTheme="majorHAnsi" w:hAnsiTheme="majorHAnsi"/>
          <w:sz w:val="20"/>
          <w:szCs w:val="20"/>
        </w:rPr>
        <w:t xml:space="preserve">. </w:t>
      </w:r>
    </w:p>
    <w:p w14:paraId="174B962F" w14:textId="77777777" w:rsidR="00B56D14" w:rsidRPr="00326F31" w:rsidRDefault="00B56D14" w:rsidP="00326F31">
      <w:pPr>
        <w:jc w:val="both"/>
        <w:rPr>
          <w:rFonts w:asciiTheme="majorHAnsi" w:hAnsiTheme="majorHAnsi"/>
          <w:sz w:val="20"/>
          <w:szCs w:val="20"/>
        </w:rPr>
      </w:pPr>
    </w:p>
    <w:p w14:paraId="686528D8" w14:textId="64832C69" w:rsidR="00140ED0" w:rsidRPr="00326F31" w:rsidRDefault="00140ED0"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Thais Coromoto Peña served as Public Relations Executive or Secretary of the National Border Council between April 1 2000 and March 12, 2004, holding several annual contracts with said institution</w:t>
      </w:r>
      <w:r w:rsidRPr="00326F31">
        <w:rPr>
          <w:rStyle w:val="FootnoteReference"/>
          <w:rFonts w:asciiTheme="majorHAnsi" w:hAnsiTheme="majorHAnsi"/>
          <w:sz w:val="20"/>
          <w:szCs w:val="20"/>
          <w:lang w:val="es-VE"/>
        </w:rPr>
        <w:footnoteReference w:id="65"/>
      </w:r>
      <w:r w:rsidRPr="00326F31">
        <w:rPr>
          <w:rFonts w:asciiTheme="majorHAnsi" w:hAnsiTheme="majorHAnsi"/>
          <w:sz w:val="20"/>
          <w:szCs w:val="20"/>
        </w:rPr>
        <w:t>. Her last contract was elaborated for a period of one year from January 1 to December 31, 2004</w:t>
      </w:r>
      <w:r w:rsidRPr="00326F31">
        <w:rPr>
          <w:rStyle w:val="FootnoteReference"/>
          <w:rFonts w:asciiTheme="majorHAnsi" w:hAnsiTheme="majorHAnsi"/>
          <w:sz w:val="20"/>
          <w:szCs w:val="20"/>
          <w:lang w:val="es-ES_tradnl"/>
        </w:rPr>
        <w:footnoteReference w:id="66"/>
      </w:r>
      <w:r w:rsidRPr="00326F31">
        <w:rPr>
          <w:rFonts w:asciiTheme="majorHAnsi" w:hAnsiTheme="majorHAnsi"/>
          <w:sz w:val="20"/>
          <w:szCs w:val="20"/>
        </w:rPr>
        <w:t>.</w:t>
      </w:r>
    </w:p>
    <w:p w14:paraId="2825237D" w14:textId="77777777" w:rsidR="00285069" w:rsidRPr="00326F31" w:rsidRDefault="00285069" w:rsidP="00326F31">
      <w:pPr>
        <w:pStyle w:val="ListParagraph"/>
        <w:jc w:val="both"/>
        <w:rPr>
          <w:rFonts w:asciiTheme="majorHAnsi" w:hAnsiTheme="majorHAnsi"/>
          <w:sz w:val="20"/>
          <w:szCs w:val="20"/>
        </w:rPr>
      </w:pPr>
    </w:p>
    <w:p w14:paraId="7ADCD6AC" w14:textId="0496CC38" w:rsidR="001C03FB" w:rsidRPr="00326F31" w:rsidRDefault="001C03FB"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In the months of November and December 2003, the three alleged victims chose to participate in the "</w:t>
      </w:r>
      <w:r w:rsidRPr="00326F31">
        <w:rPr>
          <w:rFonts w:asciiTheme="majorHAnsi" w:hAnsiTheme="majorHAnsi"/>
          <w:i/>
          <w:sz w:val="20"/>
          <w:szCs w:val="20"/>
        </w:rPr>
        <w:t>reafirmazo</w:t>
      </w:r>
      <w:r w:rsidRPr="00326F31">
        <w:rPr>
          <w:rFonts w:asciiTheme="majorHAnsi" w:hAnsiTheme="majorHAnsi"/>
          <w:sz w:val="20"/>
          <w:szCs w:val="20"/>
        </w:rPr>
        <w:t>" and signed the recall referendum petition for the then President of the Republic Hugo Chávez Frías</w:t>
      </w:r>
      <w:r w:rsidRPr="00326F31">
        <w:rPr>
          <w:rStyle w:val="FootnoteReference"/>
          <w:rFonts w:asciiTheme="majorHAnsi" w:hAnsiTheme="majorHAnsi"/>
          <w:sz w:val="20"/>
          <w:szCs w:val="20"/>
          <w:lang w:val="es-ES_tradnl"/>
        </w:rPr>
        <w:footnoteReference w:id="67"/>
      </w:r>
      <w:r w:rsidRPr="00326F31">
        <w:rPr>
          <w:rFonts w:asciiTheme="majorHAnsi" w:hAnsiTheme="majorHAnsi"/>
          <w:sz w:val="20"/>
          <w:szCs w:val="20"/>
        </w:rPr>
        <w:t>. Also Mr. Jorge Guerra signed the request for a referendum, who worked as a photographer of the National Border Council</w:t>
      </w:r>
      <w:r w:rsidRPr="00326F31">
        <w:rPr>
          <w:rStyle w:val="FootnoteReference"/>
          <w:rFonts w:asciiTheme="majorHAnsi" w:hAnsiTheme="majorHAnsi"/>
          <w:sz w:val="20"/>
          <w:szCs w:val="20"/>
          <w:lang w:val="es-ES_tradnl"/>
        </w:rPr>
        <w:footnoteReference w:id="68"/>
      </w:r>
      <w:r w:rsidRPr="00326F31">
        <w:rPr>
          <w:rFonts w:asciiTheme="majorHAnsi" w:hAnsiTheme="majorHAnsi"/>
          <w:sz w:val="20"/>
          <w:szCs w:val="20"/>
        </w:rPr>
        <w:t>.</w:t>
      </w:r>
    </w:p>
    <w:p w14:paraId="5B4C040F" w14:textId="77777777" w:rsidR="00D86219" w:rsidRPr="00326F31" w:rsidRDefault="00D86219" w:rsidP="00326F31">
      <w:pPr>
        <w:pBdr>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14:paraId="231F9039" w14:textId="242B02C7" w:rsidR="00D86219" w:rsidRPr="00A149EA" w:rsidRDefault="00D86219" w:rsidP="00A149EA">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By communication dated March 12, 2004</w:t>
      </w:r>
      <w:r w:rsidRPr="00326F31">
        <w:rPr>
          <w:rStyle w:val="FootnoteReference"/>
          <w:rFonts w:asciiTheme="majorHAnsi" w:hAnsiTheme="majorHAnsi"/>
          <w:sz w:val="20"/>
          <w:szCs w:val="20"/>
          <w:lang w:val="es-VE"/>
        </w:rPr>
        <w:footnoteReference w:id="69"/>
      </w:r>
      <w:r w:rsidRPr="00326F31">
        <w:rPr>
          <w:rFonts w:asciiTheme="majorHAnsi" w:hAnsiTheme="majorHAnsi"/>
          <w:sz w:val="20"/>
          <w:szCs w:val="20"/>
        </w:rPr>
        <w:t>, the President of the National Border Council communicated to Rocío San Miguel Sosa, Magally Chang Girón, Thais Coromoto Peña and Jorge Guerra, his decision to terminate their contracts as of April 1 2004</w:t>
      </w:r>
      <w:r w:rsidRPr="00326F31">
        <w:rPr>
          <w:rFonts w:asciiTheme="majorHAnsi" w:hAnsiTheme="majorHAnsi"/>
          <w:sz w:val="20"/>
          <w:szCs w:val="20"/>
          <w:vertAlign w:val="superscript"/>
          <w:lang w:val="es-VE"/>
        </w:rPr>
        <w:footnoteReference w:id="70"/>
      </w:r>
      <w:r w:rsidRPr="00326F31">
        <w:rPr>
          <w:rFonts w:asciiTheme="majorHAnsi" w:hAnsiTheme="majorHAnsi"/>
          <w:sz w:val="20"/>
          <w:szCs w:val="20"/>
        </w:rPr>
        <w:t>. In the case of Jorge Guer</w:t>
      </w:r>
      <w:r w:rsidR="00D52A23" w:rsidRPr="00326F31">
        <w:rPr>
          <w:rFonts w:asciiTheme="majorHAnsi" w:hAnsiTheme="majorHAnsi"/>
          <w:sz w:val="20"/>
          <w:szCs w:val="20"/>
        </w:rPr>
        <w:t>ra</w:t>
      </w:r>
      <w:r w:rsidR="00340A13" w:rsidRPr="00326F31">
        <w:rPr>
          <w:rFonts w:asciiTheme="majorHAnsi" w:hAnsiTheme="majorHAnsi"/>
          <w:sz w:val="20"/>
          <w:szCs w:val="20"/>
        </w:rPr>
        <w:t xml:space="preserve"> the Commission has </w:t>
      </w:r>
      <w:r w:rsidRPr="00326F31">
        <w:rPr>
          <w:rFonts w:asciiTheme="majorHAnsi" w:hAnsiTheme="majorHAnsi"/>
          <w:sz w:val="20"/>
          <w:szCs w:val="20"/>
        </w:rPr>
        <w:t>information</w:t>
      </w:r>
      <w:r w:rsidR="00340A13" w:rsidRPr="00326F31">
        <w:rPr>
          <w:rFonts w:asciiTheme="majorHAnsi" w:hAnsiTheme="majorHAnsi"/>
          <w:sz w:val="20"/>
          <w:szCs w:val="20"/>
        </w:rPr>
        <w:t xml:space="preserve"> that indicates that he was not the one who sign</w:t>
      </w:r>
      <w:r w:rsidR="00A149EA">
        <w:rPr>
          <w:rFonts w:asciiTheme="majorHAnsi" w:hAnsiTheme="majorHAnsi"/>
          <w:sz w:val="20"/>
          <w:szCs w:val="20"/>
        </w:rPr>
        <w:t>ed [the petition], but that "the old ID he had in his house had been manipulated by a woman who lives there to sign in his name</w:t>
      </w:r>
      <w:r w:rsidRPr="00A149EA">
        <w:rPr>
          <w:rFonts w:asciiTheme="majorHAnsi" w:hAnsiTheme="majorHAnsi"/>
          <w:sz w:val="20"/>
          <w:szCs w:val="20"/>
        </w:rPr>
        <w:t>"</w:t>
      </w:r>
      <w:r w:rsidR="00340A13" w:rsidRPr="00326F31">
        <w:rPr>
          <w:rStyle w:val="FootnoteReference"/>
          <w:rFonts w:asciiTheme="majorHAnsi" w:hAnsiTheme="majorHAnsi"/>
          <w:sz w:val="20"/>
          <w:szCs w:val="20"/>
          <w:lang w:val="es-ES_tradnl"/>
        </w:rPr>
        <w:footnoteReference w:id="71"/>
      </w:r>
      <w:r w:rsidR="00340A13" w:rsidRPr="00A149EA">
        <w:rPr>
          <w:rFonts w:asciiTheme="majorHAnsi" w:hAnsiTheme="majorHAnsi"/>
          <w:sz w:val="20"/>
          <w:szCs w:val="20"/>
        </w:rPr>
        <w:t>.</w:t>
      </w:r>
      <w:r w:rsidR="005E6C10" w:rsidRPr="00A149EA">
        <w:rPr>
          <w:rFonts w:asciiTheme="majorHAnsi" w:hAnsiTheme="majorHAnsi"/>
          <w:sz w:val="20"/>
          <w:szCs w:val="20"/>
        </w:rPr>
        <w:t xml:space="preserve"> </w:t>
      </w:r>
      <w:r w:rsidRPr="00A149EA">
        <w:rPr>
          <w:rFonts w:asciiTheme="majorHAnsi" w:hAnsiTheme="majorHAnsi"/>
          <w:sz w:val="20"/>
          <w:szCs w:val="20"/>
        </w:rPr>
        <w:t xml:space="preserve">He </w:t>
      </w:r>
      <w:r w:rsidR="00340A13" w:rsidRPr="00A149EA">
        <w:rPr>
          <w:rFonts w:asciiTheme="majorHAnsi" w:hAnsiTheme="majorHAnsi"/>
          <w:sz w:val="20"/>
          <w:szCs w:val="20"/>
        </w:rPr>
        <w:t xml:space="preserve">had </w:t>
      </w:r>
      <w:r w:rsidRPr="00A149EA">
        <w:rPr>
          <w:rFonts w:asciiTheme="majorHAnsi" w:hAnsiTheme="majorHAnsi"/>
          <w:sz w:val="20"/>
          <w:szCs w:val="20"/>
        </w:rPr>
        <w:t xml:space="preserve">also indicated that </w:t>
      </w:r>
      <w:r w:rsidR="00340A13" w:rsidRPr="00A149EA">
        <w:rPr>
          <w:rFonts w:asciiTheme="majorHAnsi" w:hAnsiTheme="majorHAnsi"/>
          <w:sz w:val="20"/>
          <w:szCs w:val="20"/>
        </w:rPr>
        <w:t>he would disavow his signature i</w:t>
      </w:r>
      <w:r w:rsidRPr="00A149EA">
        <w:rPr>
          <w:rFonts w:asciiTheme="majorHAnsi" w:hAnsiTheme="majorHAnsi"/>
          <w:sz w:val="20"/>
          <w:szCs w:val="20"/>
        </w:rPr>
        <w:t xml:space="preserve">n the </w:t>
      </w:r>
      <w:r w:rsidR="00340A13" w:rsidRPr="00A149EA">
        <w:rPr>
          <w:rFonts w:asciiTheme="majorHAnsi" w:hAnsiTheme="majorHAnsi"/>
          <w:sz w:val="20"/>
          <w:szCs w:val="20"/>
        </w:rPr>
        <w:t>challenge</w:t>
      </w:r>
      <w:r w:rsidRPr="00A149EA">
        <w:rPr>
          <w:rFonts w:asciiTheme="majorHAnsi" w:hAnsiTheme="majorHAnsi"/>
          <w:sz w:val="20"/>
          <w:szCs w:val="20"/>
        </w:rPr>
        <w:t xml:space="preserve"> process</w:t>
      </w:r>
      <w:r w:rsidR="00340A13" w:rsidRPr="00326F31">
        <w:rPr>
          <w:rStyle w:val="FootnoteReference"/>
          <w:rFonts w:asciiTheme="majorHAnsi" w:hAnsiTheme="majorHAnsi"/>
          <w:sz w:val="20"/>
          <w:szCs w:val="20"/>
          <w:lang w:val="es-ES"/>
        </w:rPr>
        <w:footnoteReference w:id="72"/>
      </w:r>
      <w:r w:rsidR="00340A13" w:rsidRPr="00A149EA">
        <w:rPr>
          <w:rFonts w:asciiTheme="majorHAnsi" w:hAnsiTheme="majorHAnsi"/>
          <w:sz w:val="20"/>
          <w:szCs w:val="20"/>
        </w:rPr>
        <w:t>.</w:t>
      </w:r>
      <w:r w:rsidRPr="00A149EA">
        <w:rPr>
          <w:rFonts w:asciiTheme="majorHAnsi" w:hAnsiTheme="majorHAnsi"/>
          <w:sz w:val="20"/>
          <w:szCs w:val="20"/>
        </w:rPr>
        <w:t xml:space="preserve"> The State of Venezuela did not dispute</w:t>
      </w:r>
      <w:r w:rsidR="00340A13" w:rsidRPr="00A149EA">
        <w:rPr>
          <w:rFonts w:asciiTheme="majorHAnsi" w:hAnsiTheme="majorHAnsi"/>
          <w:sz w:val="20"/>
          <w:szCs w:val="20"/>
        </w:rPr>
        <w:t xml:space="preserve"> the facts</w:t>
      </w:r>
      <w:r w:rsidRPr="00A149EA">
        <w:rPr>
          <w:rFonts w:asciiTheme="majorHAnsi" w:hAnsiTheme="majorHAnsi"/>
          <w:sz w:val="20"/>
          <w:szCs w:val="20"/>
        </w:rPr>
        <w:t xml:space="preserve"> that Mr. Jorge Guerra signed the "</w:t>
      </w:r>
      <w:r w:rsidRPr="00A149EA">
        <w:rPr>
          <w:rFonts w:asciiTheme="majorHAnsi" w:hAnsiTheme="majorHAnsi"/>
          <w:i/>
          <w:sz w:val="20"/>
          <w:szCs w:val="20"/>
        </w:rPr>
        <w:t>reafirmazo</w:t>
      </w:r>
      <w:r w:rsidRPr="00A149EA">
        <w:rPr>
          <w:rFonts w:asciiTheme="majorHAnsi" w:hAnsiTheme="majorHAnsi"/>
          <w:sz w:val="20"/>
          <w:szCs w:val="20"/>
        </w:rPr>
        <w:t>"</w:t>
      </w:r>
      <w:r w:rsidR="00340A13" w:rsidRPr="00A149EA">
        <w:rPr>
          <w:rFonts w:asciiTheme="majorHAnsi" w:hAnsiTheme="majorHAnsi"/>
          <w:sz w:val="20"/>
          <w:szCs w:val="20"/>
        </w:rPr>
        <w:t>, that he</w:t>
      </w:r>
      <w:r w:rsidRPr="00A149EA">
        <w:rPr>
          <w:rFonts w:asciiTheme="majorHAnsi" w:hAnsiTheme="majorHAnsi"/>
          <w:sz w:val="20"/>
          <w:szCs w:val="20"/>
        </w:rPr>
        <w:t xml:space="preserve"> had been notified of th</w:t>
      </w:r>
      <w:r w:rsidR="00340A13" w:rsidRPr="00A149EA">
        <w:rPr>
          <w:rFonts w:asciiTheme="majorHAnsi" w:hAnsiTheme="majorHAnsi"/>
          <w:sz w:val="20"/>
          <w:szCs w:val="20"/>
        </w:rPr>
        <w:t>e termination of his contract, that he had disavow</w:t>
      </w:r>
      <w:r w:rsidRPr="00A149EA">
        <w:rPr>
          <w:rFonts w:asciiTheme="majorHAnsi" w:hAnsiTheme="majorHAnsi"/>
          <w:sz w:val="20"/>
          <w:szCs w:val="20"/>
        </w:rPr>
        <w:t xml:space="preserve">ed his signature </w:t>
      </w:r>
      <w:r w:rsidR="00340A13" w:rsidRPr="00A149EA">
        <w:rPr>
          <w:rFonts w:asciiTheme="majorHAnsi" w:hAnsiTheme="majorHAnsi"/>
          <w:sz w:val="20"/>
          <w:szCs w:val="20"/>
        </w:rPr>
        <w:t xml:space="preserve">in the challenge process </w:t>
      </w:r>
      <w:r w:rsidRPr="00A149EA">
        <w:rPr>
          <w:rFonts w:asciiTheme="majorHAnsi" w:hAnsiTheme="majorHAnsi"/>
          <w:sz w:val="20"/>
          <w:szCs w:val="20"/>
        </w:rPr>
        <w:t>and,</w:t>
      </w:r>
      <w:r w:rsidR="005E6C10" w:rsidRPr="00A149EA">
        <w:rPr>
          <w:rFonts w:asciiTheme="majorHAnsi" w:hAnsiTheme="majorHAnsi"/>
          <w:sz w:val="20"/>
          <w:szCs w:val="20"/>
        </w:rPr>
        <w:t xml:space="preserve"> </w:t>
      </w:r>
      <w:r w:rsidR="00340A13" w:rsidRPr="00A149EA">
        <w:rPr>
          <w:rFonts w:asciiTheme="majorHAnsi" w:hAnsiTheme="majorHAnsi"/>
          <w:sz w:val="20"/>
          <w:szCs w:val="20"/>
        </w:rPr>
        <w:t xml:space="preserve">that </w:t>
      </w:r>
      <w:r w:rsidRPr="00A149EA">
        <w:rPr>
          <w:rFonts w:asciiTheme="majorHAnsi" w:hAnsiTheme="majorHAnsi"/>
          <w:sz w:val="20"/>
          <w:szCs w:val="20"/>
        </w:rPr>
        <w:t>unlike the three alleged victims</w:t>
      </w:r>
      <w:r w:rsidR="00340A13" w:rsidRPr="00A149EA">
        <w:rPr>
          <w:rFonts w:asciiTheme="majorHAnsi" w:hAnsiTheme="majorHAnsi"/>
          <w:sz w:val="20"/>
          <w:szCs w:val="20"/>
        </w:rPr>
        <w:t xml:space="preserve"> who</w:t>
      </w:r>
      <w:r w:rsidRPr="00A149EA">
        <w:rPr>
          <w:rFonts w:asciiTheme="majorHAnsi" w:hAnsiTheme="majorHAnsi"/>
          <w:sz w:val="20"/>
          <w:szCs w:val="20"/>
        </w:rPr>
        <w:t xml:space="preserve"> did not </w:t>
      </w:r>
      <w:r w:rsidR="00340A13" w:rsidRPr="00A149EA">
        <w:rPr>
          <w:rFonts w:asciiTheme="majorHAnsi" w:hAnsiTheme="majorHAnsi"/>
          <w:sz w:val="20"/>
          <w:szCs w:val="20"/>
        </w:rPr>
        <w:t xml:space="preserve">challenged their </w:t>
      </w:r>
      <w:r w:rsidRPr="00A149EA">
        <w:rPr>
          <w:rFonts w:asciiTheme="majorHAnsi" w:hAnsiTheme="majorHAnsi"/>
          <w:sz w:val="20"/>
          <w:szCs w:val="20"/>
        </w:rPr>
        <w:t>signature</w:t>
      </w:r>
      <w:r w:rsidR="00340A13" w:rsidRPr="00A149EA">
        <w:rPr>
          <w:rFonts w:asciiTheme="majorHAnsi" w:hAnsiTheme="majorHAnsi"/>
          <w:sz w:val="20"/>
          <w:szCs w:val="20"/>
        </w:rPr>
        <w:t>s</w:t>
      </w:r>
      <w:r w:rsidRPr="00A149EA">
        <w:rPr>
          <w:rFonts w:asciiTheme="majorHAnsi" w:hAnsiTheme="majorHAnsi"/>
          <w:sz w:val="20"/>
          <w:szCs w:val="20"/>
        </w:rPr>
        <w:t>, he had kept his job.</w:t>
      </w:r>
    </w:p>
    <w:p w14:paraId="75545739" w14:textId="77777777" w:rsidR="00A84A6C" w:rsidRPr="00326F31" w:rsidRDefault="00A84A6C" w:rsidP="00326F31">
      <w:pPr>
        <w:jc w:val="both"/>
        <w:rPr>
          <w:rFonts w:asciiTheme="majorHAnsi" w:hAnsiTheme="majorHAnsi"/>
          <w:sz w:val="20"/>
          <w:szCs w:val="20"/>
        </w:rPr>
      </w:pPr>
    </w:p>
    <w:p w14:paraId="0ED3363D" w14:textId="4C8CE133" w:rsidR="00A84A6C" w:rsidRPr="00326F31" w:rsidRDefault="00A84A6C"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 xml:space="preserve">On March 29, 2004 Rocío San Miguel Sosa sent a letter to the President of the National Border Council expressing her disagreement with the </w:t>
      </w:r>
      <w:r w:rsidR="00E75F15">
        <w:rPr>
          <w:rFonts w:asciiTheme="majorHAnsi" w:hAnsiTheme="majorHAnsi"/>
          <w:sz w:val="20"/>
          <w:szCs w:val="20"/>
        </w:rPr>
        <w:t>dismissal and indicating that "</w:t>
      </w:r>
      <w:r w:rsidRPr="00326F31">
        <w:rPr>
          <w:rFonts w:asciiTheme="majorHAnsi" w:hAnsiTheme="majorHAnsi"/>
          <w:sz w:val="20"/>
          <w:szCs w:val="20"/>
        </w:rPr>
        <w:t>you are doing the dismissal directly, in your capacity of Chairman of the Agency; but not without having first sent the Executive Secretary of the Board, nineteen days before the formal act of notification, to warn me that the reasons [for dismissal] are none other than my signature requesting the presidential recall referendum”</w:t>
      </w:r>
      <w:r w:rsidRPr="00326F31">
        <w:rPr>
          <w:rFonts w:asciiTheme="majorHAnsi" w:hAnsiTheme="majorHAnsi"/>
          <w:sz w:val="20"/>
          <w:szCs w:val="20"/>
          <w:vertAlign w:val="superscript"/>
          <w:lang w:val="es-VE"/>
        </w:rPr>
        <w:footnoteReference w:id="73"/>
      </w:r>
      <w:r w:rsidRPr="00326F31">
        <w:rPr>
          <w:rFonts w:asciiTheme="majorHAnsi" w:hAnsiTheme="majorHAnsi"/>
          <w:sz w:val="20"/>
          <w:szCs w:val="20"/>
        </w:rPr>
        <w:t>.</w:t>
      </w:r>
    </w:p>
    <w:p w14:paraId="6066B6C5" w14:textId="77777777" w:rsidR="00A84A6C" w:rsidRPr="00326F31" w:rsidRDefault="00A84A6C" w:rsidP="00326F31">
      <w:pPr>
        <w:pStyle w:val="ListParagraph"/>
        <w:jc w:val="both"/>
        <w:rPr>
          <w:rFonts w:asciiTheme="majorHAnsi" w:hAnsiTheme="majorHAnsi"/>
          <w:sz w:val="20"/>
          <w:szCs w:val="20"/>
        </w:rPr>
      </w:pPr>
    </w:p>
    <w:p w14:paraId="7ECB7B1C" w14:textId="2EF7B20D" w:rsidR="009D05C2" w:rsidRPr="00326F31" w:rsidRDefault="00A84A6C"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The Commission notes that the decision to terminate the contracts with the alleged victims lacks motivation, indicating in the text of the letters only the following: "I am writing to you, in order to announce my decision to terminate your employment contract (...) as from April 1 this year"</w:t>
      </w:r>
      <w:r w:rsidRPr="00326F31">
        <w:rPr>
          <w:rFonts w:asciiTheme="majorHAnsi" w:hAnsiTheme="majorHAnsi"/>
          <w:sz w:val="20"/>
          <w:szCs w:val="20"/>
          <w:vertAlign w:val="superscript"/>
          <w:lang w:val="es-VE"/>
        </w:rPr>
        <w:footnoteReference w:id="74"/>
      </w:r>
      <w:r w:rsidRPr="00326F31">
        <w:rPr>
          <w:rFonts w:asciiTheme="majorHAnsi" w:hAnsiTheme="majorHAnsi"/>
          <w:sz w:val="20"/>
          <w:szCs w:val="20"/>
        </w:rPr>
        <w:t xml:space="preserve">. However, afterwards the </w:t>
      </w:r>
      <w:r w:rsidRPr="00326F31">
        <w:rPr>
          <w:rFonts w:asciiTheme="majorHAnsi" w:hAnsiTheme="majorHAnsi"/>
          <w:sz w:val="20"/>
          <w:szCs w:val="20"/>
        </w:rPr>
        <w:lastRenderedPageBreak/>
        <w:t>President of the National Border Council informed within the context of the internal processes, that the decision to terminate these contracts had been taken under their seventh clause, where it’s states that "the contractor reserves the right to terminate this contract when deemed appropriate, upon notice to the 'contracted' made at least one month in advance”</w:t>
      </w:r>
      <w:r w:rsidRPr="00326F31">
        <w:rPr>
          <w:rStyle w:val="FootnoteReference"/>
          <w:rFonts w:asciiTheme="majorHAnsi" w:hAnsiTheme="majorHAnsi"/>
          <w:sz w:val="20"/>
          <w:szCs w:val="20"/>
        </w:rPr>
        <w:t xml:space="preserve"> </w:t>
      </w:r>
      <w:r w:rsidRPr="00326F31">
        <w:rPr>
          <w:rStyle w:val="FootnoteReference"/>
          <w:rFonts w:asciiTheme="majorHAnsi" w:hAnsiTheme="majorHAnsi"/>
          <w:sz w:val="20"/>
          <w:szCs w:val="20"/>
          <w:lang w:val="es-ES_tradnl"/>
        </w:rPr>
        <w:footnoteReference w:id="75"/>
      </w:r>
      <w:r w:rsidRPr="00326F31">
        <w:rPr>
          <w:rFonts w:asciiTheme="majorHAnsi" w:hAnsiTheme="majorHAnsi"/>
          <w:sz w:val="20"/>
          <w:szCs w:val="20"/>
        </w:rPr>
        <w:t>.</w:t>
      </w:r>
      <w:r w:rsidR="005E6C10">
        <w:rPr>
          <w:rFonts w:asciiTheme="majorHAnsi" w:hAnsiTheme="majorHAnsi"/>
          <w:sz w:val="20"/>
          <w:szCs w:val="20"/>
        </w:rPr>
        <w:t xml:space="preserve"> </w:t>
      </w:r>
    </w:p>
    <w:p w14:paraId="5F3ED469" w14:textId="77777777" w:rsidR="009D05C2" w:rsidRPr="00326F31" w:rsidRDefault="009D05C2" w:rsidP="00326F31">
      <w:pPr>
        <w:jc w:val="both"/>
        <w:rPr>
          <w:rFonts w:asciiTheme="majorHAnsi" w:hAnsiTheme="majorHAnsi"/>
          <w:sz w:val="20"/>
          <w:szCs w:val="20"/>
        </w:rPr>
      </w:pPr>
    </w:p>
    <w:p w14:paraId="0BA791E9" w14:textId="571BBC3D" w:rsidR="009D05C2" w:rsidRPr="00326F31" w:rsidRDefault="009D05C2"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 xml:space="preserve">The Executive Secretary of the National Border Council said in a communication registered on the file that "at no time the President of the Agency stated that the grounds for the termination of contracts were due to an alleged 'gesture </w:t>
      </w:r>
      <w:r w:rsidR="004602DF" w:rsidRPr="00326F31">
        <w:rPr>
          <w:rFonts w:asciiTheme="majorHAnsi" w:hAnsiTheme="majorHAnsi"/>
          <w:sz w:val="20"/>
          <w:szCs w:val="20"/>
        </w:rPr>
        <w:t>o</w:t>
      </w:r>
      <w:r w:rsidRPr="00326F31">
        <w:rPr>
          <w:rFonts w:asciiTheme="majorHAnsi" w:hAnsiTheme="majorHAnsi"/>
          <w:sz w:val="20"/>
          <w:szCs w:val="20"/>
        </w:rPr>
        <w:t>f distrust', in which San Miguel Sosa, Chang Girón y Peña would have incurred by signing the petition for the presidential recall referendum, and therefore a reckless interpretation of that decision has no basis"</w:t>
      </w:r>
      <w:r w:rsidRPr="00326F31">
        <w:rPr>
          <w:rStyle w:val="FootnoteReference"/>
          <w:rFonts w:asciiTheme="majorHAnsi" w:hAnsiTheme="majorHAnsi"/>
          <w:sz w:val="20"/>
          <w:szCs w:val="20"/>
          <w:lang w:val="es-ES_tradnl"/>
        </w:rPr>
        <w:footnoteReference w:id="76"/>
      </w:r>
      <w:r w:rsidRPr="00326F31">
        <w:rPr>
          <w:rFonts w:asciiTheme="majorHAnsi" w:hAnsiTheme="majorHAnsi"/>
          <w:sz w:val="20"/>
          <w:szCs w:val="20"/>
        </w:rPr>
        <w:t>. In a radio interview, the Executive Secretary said that the three alleged victims were dismissed by order of the Vice President as a result of a restructuring</w:t>
      </w:r>
      <w:r w:rsidRPr="00326F31">
        <w:rPr>
          <w:rStyle w:val="FootnoteReference"/>
          <w:rFonts w:asciiTheme="majorHAnsi" w:hAnsiTheme="majorHAnsi"/>
          <w:sz w:val="20"/>
          <w:szCs w:val="20"/>
          <w:lang w:val="es-ES_tradnl"/>
        </w:rPr>
        <w:footnoteReference w:id="77"/>
      </w:r>
      <w:r w:rsidRPr="00326F31">
        <w:rPr>
          <w:rFonts w:asciiTheme="majorHAnsi" w:hAnsiTheme="majorHAnsi"/>
          <w:sz w:val="20"/>
          <w:szCs w:val="20"/>
        </w:rPr>
        <w:t>.</w:t>
      </w:r>
    </w:p>
    <w:p w14:paraId="0895F0B5" w14:textId="77777777" w:rsidR="004602DF" w:rsidRPr="00326F31" w:rsidRDefault="004602DF" w:rsidP="00A705EC">
      <w:pPr>
        <w:pStyle w:val="ListParagraph"/>
        <w:jc w:val="both"/>
        <w:rPr>
          <w:rFonts w:asciiTheme="majorHAnsi" w:hAnsiTheme="majorHAnsi"/>
          <w:sz w:val="20"/>
          <w:szCs w:val="20"/>
        </w:rPr>
      </w:pPr>
    </w:p>
    <w:p w14:paraId="3564FF60" w14:textId="2CCF3995" w:rsidR="004602DF" w:rsidRPr="00326F31" w:rsidRDefault="004602DF"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Also, in his statement given to the Prosecutor, on July 14, 2004, the then Executive Secretary of the National Border Council denied having said to</w:t>
      </w:r>
      <w:r w:rsidR="005E6C10">
        <w:rPr>
          <w:rFonts w:asciiTheme="majorHAnsi" w:hAnsiTheme="majorHAnsi"/>
          <w:sz w:val="20"/>
          <w:szCs w:val="20"/>
        </w:rPr>
        <w:t xml:space="preserve"> </w:t>
      </w:r>
      <w:r w:rsidRPr="00326F31">
        <w:rPr>
          <w:rFonts w:asciiTheme="majorHAnsi" w:hAnsiTheme="majorHAnsi"/>
          <w:sz w:val="20"/>
          <w:szCs w:val="20"/>
        </w:rPr>
        <w:t>some of the victims of this case that their dismissal was due to a gesture of distrust that they had committed by signing the request for the presidential recall referendum</w:t>
      </w:r>
      <w:r w:rsidRPr="00326F31">
        <w:rPr>
          <w:rStyle w:val="FootnoteReference"/>
          <w:rFonts w:asciiTheme="majorHAnsi" w:hAnsiTheme="majorHAnsi"/>
          <w:sz w:val="20"/>
          <w:szCs w:val="20"/>
          <w:lang w:val="es-ES"/>
        </w:rPr>
        <w:footnoteReference w:id="78"/>
      </w:r>
      <w:r w:rsidRPr="00326F31">
        <w:rPr>
          <w:rFonts w:asciiTheme="majorHAnsi" w:hAnsiTheme="majorHAnsi"/>
          <w:sz w:val="20"/>
          <w:szCs w:val="20"/>
        </w:rPr>
        <w:t>.</w:t>
      </w:r>
      <w:r w:rsidR="005E6C10">
        <w:rPr>
          <w:rFonts w:asciiTheme="majorHAnsi" w:hAnsiTheme="majorHAnsi"/>
          <w:sz w:val="20"/>
          <w:szCs w:val="20"/>
        </w:rPr>
        <w:t xml:space="preserve"> </w:t>
      </w:r>
    </w:p>
    <w:p w14:paraId="6FC1ABB7" w14:textId="77777777" w:rsidR="00817FC9" w:rsidRPr="00326F31" w:rsidRDefault="00817FC9" w:rsidP="00326F31">
      <w:pPr>
        <w:pStyle w:val="ListParagraph"/>
        <w:jc w:val="both"/>
        <w:rPr>
          <w:rFonts w:asciiTheme="majorHAnsi" w:hAnsiTheme="majorHAnsi"/>
          <w:sz w:val="20"/>
          <w:szCs w:val="20"/>
        </w:rPr>
      </w:pPr>
    </w:p>
    <w:p w14:paraId="6EBEB7D8" w14:textId="77777777" w:rsidR="006745C7" w:rsidRPr="00326F31" w:rsidRDefault="00817FC9"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In contrast to this, in the context of the legal proceedings described below, several elements emerged indicating that the termination of contract of the alleged victims was related to the signing of the petition for the presidential recall referendum.</w:t>
      </w:r>
    </w:p>
    <w:p w14:paraId="7E4C45CD" w14:textId="77777777" w:rsidR="006745C7" w:rsidRPr="00326F31" w:rsidRDefault="006745C7" w:rsidP="00326F31">
      <w:pPr>
        <w:pStyle w:val="ListParagraph"/>
        <w:jc w:val="both"/>
        <w:rPr>
          <w:rFonts w:asciiTheme="majorHAnsi" w:hAnsiTheme="majorHAnsi"/>
          <w:sz w:val="20"/>
          <w:szCs w:val="20"/>
        </w:rPr>
      </w:pPr>
    </w:p>
    <w:p w14:paraId="7013D84D" w14:textId="6DF7B8C6" w:rsidR="006745C7" w:rsidRPr="00326F31" w:rsidRDefault="00192CEC"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 xml:space="preserve">In her testimony before the Prosecutor’s Office, on July 15, 2004, Rocío San Miguel Sosa stated that on March 11, 2004 </w:t>
      </w:r>
      <w:proofErr w:type="spellStart"/>
      <w:r w:rsidRPr="00326F31">
        <w:rPr>
          <w:rFonts w:asciiTheme="majorHAnsi" w:hAnsiTheme="majorHAnsi"/>
          <w:sz w:val="20"/>
          <w:szCs w:val="20"/>
        </w:rPr>
        <w:t>Feijoo</w:t>
      </w:r>
      <w:proofErr w:type="spellEnd"/>
      <w:r w:rsidRPr="00326F31">
        <w:rPr>
          <w:rFonts w:asciiTheme="majorHAnsi" w:hAnsiTheme="majorHAnsi"/>
          <w:sz w:val="20"/>
          <w:szCs w:val="20"/>
        </w:rPr>
        <w:t xml:space="preserve"> </w:t>
      </w:r>
      <w:proofErr w:type="spellStart"/>
      <w:r w:rsidRPr="00326F31">
        <w:rPr>
          <w:rFonts w:asciiTheme="majorHAnsi" w:hAnsiTheme="majorHAnsi"/>
          <w:sz w:val="20"/>
          <w:szCs w:val="20"/>
        </w:rPr>
        <w:t>Colomine</w:t>
      </w:r>
      <w:proofErr w:type="spellEnd"/>
      <w:r w:rsidRPr="00326F31">
        <w:rPr>
          <w:rFonts w:asciiTheme="majorHAnsi" w:hAnsiTheme="majorHAnsi"/>
          <w:sz w:val="20"/>
          <w:szCs w:val="20"/>
        </w:rPr>
        <w:t xml:space="preserve"> </w:t>
      </w:r>
      <w:proofErr w:type="spellStart"/>
      <w:r w:rsidR="00A65F7F">
        <w:rPr>
          <w:rFonts w:asciiTheme="majorHAnsi" w:hAnsiTheme="majorHAnsi"/>
          <w:sz w:val="20"/>
          <w:szCs w:val="20"/>
        </w:rPr>
        <w:t>Rincones</w:t>
      </w:r>
      <w:proofErr w:type="spellEnd"/>
      <w:r w:rsidRPr="00326F31">
        <w:rPr>
          <w:rFonts w:asciiTheme="majorHAnsi" w:hAnsiTheme="majorHAnsi"/>
          <w:sz w:val="20"/>
          <w:szCs w:val="20"/>
        </w:rPr>
        <w:t>, Executive Secretary of the National Border Council, verbally informed her of her possible dismissal, explaining to her that in a conversation held with José Vicente Rangel Vale, President of the National Border Council, he ordered him to "proceed to the dismissal of Rocío San Miguel and Thais Peña because these people had petitioned for the presidential recall"</w:t>
      </w:r>
      <w:r w:rsidRPr="00326F31">
        <w:rPr>
          <w:rStyle w:val="FootnoteReference"/>
          <w:rFonts w:asciiTheme="majorHAnsi" w:hAnsiTheme="majorHAnsi"/>
          <w:sz w:val="20"/>
          <w:szCs w:val="20"/>
          <w:lang w:val="es-ES"/>
        </w:rPr>
        <w:footnoteReference w:id="79"/>
      </w:r>
      <w:r w:rsidRPr="00326F31">
        <w:rPr>
          <w:rFonts w:asciiTheme="majorHAnsi" w:hAnsiTheme="majorHAnsi"/>
          <w:sz w:val="20"/>
          <w:szCs w:val="20"/>
        </w:rPr>
        <w:t>. In said interview, Rocío San Miguel also said the on March 31, 2004 she spoke with Ilia Azpúrua, legal advisor of the Vice President and Secretary of the Cabinet, and that person told her "it was not possible that working at the White Palace I had signed</w:t>
      </w:r>
      <w:r w:rsidR="006745C7" w:rsidRPr="00326F31">
        <w:rPr>
          <w:rFonts w:asciiTheme="majorHAnsi" w:hAnsiTheme="majorHAnsi"/>
          <w:sz w:val="20"/>
          <w:szCs w:val="20"/>
        </w:rPr>
        <w:t xml:space="preserve"> [the petition]</w:t>
      </w:r>
      <w:r w:rsidRPr="00326F31">
        <w:rPr>
          <w:rFonts w:asciiTheme="majorHAnsi" w:hAnsiTheme="majorHAnsi"/>
          <w:sz w:val="20"/>
          <w:szCs w:val="20"/>
        </w:rPr>
        <w:t>, that I was a person of trust, and that by signing I had shown a gesture of distrust"</w:t>
      </w:r>
      <w:r w:rsidRPr="00326F31">
        <w:rPr>
          <w:rStyle w:val="FootnoteReference"/>
          <w:rFonts w:asciiTheme="majorHAnsi" w:hAnsiTheme="majorHAnsi"/>
          <w:sz w:val="20"/>
          <w:szCs w:val="20"/>
          <w:lang w:val="es-ES"/>
        </w:rPr>
        <w:footnoteReference w:id="80"/>
      </w:r>
      <w:r w:rsidRPr="00326F31">
        <w:rPr>
          <w:rFonts w:asciiTheme="majorHAnsi" w:hAnsiTheme="majorHAnsi"/>
          <w:sz w:val="20"/>
          <w:szCs w:val="20"/>
        </w:rPr>
        <w:t>. In this statement Rocío San Miguel stressed that</w:t>
      </w:r>
      <w:r w:rsidR="006745C7" w:rsidRPr="00326F31">
        <w:rPr>
          <w:rFonts w:asciiTheme="majorHAnsi" w:hAnsiTheme="majorHAnsi"/>
          <w:sz w:val="20"/>
          <w:szCs w:val="20"/>
        </w:rPr>
        <w:t xml:space="preserve"> of</w:t>
      </w:r>
      <w:r w:rsidRPr="00326F31">
        <w:rPr>
          <w:rFonts w:asciiTheme="majorHAnsi" w:hAnsiTheme="majorHAnsi"/>
          <w:sz w:val="20"/>
          <w:szCs w:val="20"/>
        </w:rPr>
        <w:t xml:space="preserve"> over twenty people working in the National Border Council</w:t>
      </w:r>
      <w:r w:rsidR="006745C7" w:rsidRPr="00326F31">
        <w:rPr>
          <w:rFonts w:asciiTheme="majorHAnsi" w:hAnsiTheme="majorHAnsi"/>
          <w:sz w:val="20"/>
          <w:szCs w:val="20"/>
        </w:rPr>
        <w:t>, they only dismissed the four people who signed the petition</w:t>
      </w:r>
      <w:r w:rsidRPr="00326F31">
        <w:rPr>
          <w:rFonts w:asciiTheme="majorHAnsi" w:hAnsiTheme="majorHAnsi"/>
          <w:sz w:val="20"/>
          <w:szCs w:val="20"/>
        </w:rPr>
        <w:t xml:space="preserve"> for the recall referendum, however Mr. Jorge Navarro Guerra </w:t>
      </w:r>
      <w:r w:rsidR="006745C7" w:rsidRPr="00326F31">
        <w:rPr>
          <w:rFonts w:asciiTheme="majorHAnsi" w:hAnsiTheme="majorHAnsi"/>
          <w:sz w:val="20"/>
          <w:szCs w:val="20"/>
        </w:rPr>
        <w:t>was able to keep his job by disavowing his signature in the challenge process</w:t>
      </w:r>
      <w:r w:rsidR="006745C7" w:rsidRPr="00326F31">
        <w:rPr>
          <w:rStyle w:val="FootnoteReference"/>
          <w:rFonts w:asciiTheme="majorHAnsi" w:hAnsiTheme="majorHAnsi"/>
          <w:sz w:val="20"/>
          <w:szCs w:val="20"/>
          <w:lang w:val="es-ES"/>
        </w:rPr>
        <w:footnoteReference w:id="81"/>
      </w:r>
      <w:r w:rsidR="006745C7" w:rsidRPr="00326F31">
        <w:rPr>
          <w:rFonts w:asciiTheme="majorHAnsi" w:hAnsiTheme="majorHAnsi"/>
          <w:sz w:val="20"/>
          <w:szCs w:val="20"/>
        </w:rPr>
        <w:t>. She also stated</w:t>
      </w:r>
      <w:r w:rsidRPr="00326F31">
        <w:rPr>
          <w:rFonts w:asciiTheme="majorHAnsi" w:hAnsiTheme="majorHAnsi"/>
          <w:sz w:val="20"/>
          <w:szCs w:val="20"/>
        </w:rPr>
        <w:t xml:space="preserve"> that in the conversation with Fei</w:t>
      </w:r>
      <w:r w:rsidR="006745C7" w:rsidRPr="00326F31">
        <w:rPr>
          <w:rFonts w:asciiTheme="majorHAnsi" w:hAnsiTheme="majorHAnsi"/>
          <w:sz w:val="20"/>
          <w:szCs w:val="20"/>
        </w:rPr>
        <w:t>joo Colomine he told her</w:t>
      </w:r>
      <w:r w:rsidRPr="00326F31">
        <w:rPr>
          <w:rFonts w:asciiTheme="majorHAnsi" w:hAnsiTheme="majorHAnsi"/>
          <w:sz w:val="20"/>
          <w:szCs w:val="20"/>
        </w:rPr>
        <w:t xml:space="preserve"> that "he </w:t>
      </w:r>
      <w:r w:rsidR="006745C7" w:rsidRPr="00326F31">
        <w:rPr>
          <w:rFonts w:asciiTheme="majorHAnsi" w:hAnsiTheme="majorHAnsi"/>
          <w:sz w:val="20"/>
          <w:szCs w:val="20"/>
        </w:rPr>
        <w:t xml:space="preserve">had </w:t>
      </w:r>
      <w:r w:rsidRPr="00326F31">
        <w:rPr>
          <w:rFonts w:asciiTheme="majorHAnsi" w:hAnsiTheme="majorHAnsi"/>
          <w:sz w:val="20"/>
          <w:szCs w:val="20"/>
        </w:rPr>
        <w:t xml:space="preserve">managed to stop the dismissal of Jorge </w:t>
      </w:r>
      <w:r w:rsidRPr="00326F31">
        <w:rPr>
          <w:rFonts w:asciiTheme="majorHAnsi" w:hAnsiTheme="majorHAnsi"/>
          <w:sz w:val="20"/>
          <w:szCs w:val="20"/>
        </w:rPr>
        <w:lastRenderedPageBreak/>
        <w:t xml:space="preserve">Guerra and would not </w:t>
      </w:r>
      <w:r w:rsidR="006745C7" w:rsidRPr="00326F31">
        <w:rPr>
          <w:rFonts w:asciiTheme="majorHAnsi" w:hAnsiTheme="majorHAnsi"/>
          <w:sz w:val="20"/>
          <w:szCs w:val="20"/>
        </w:rPr>
        <w:t>deliver</w:t>
      </w:r>
      <w:r w:rsidRPr="00326F31">
        <w:rPr>
          <w:rFonts w:asciiTheme="majorHAnsi" w:hAnsiTheme="majorHAnsi"/>
          <w:sz w:val="20"/>
          <w:szCs w:val="20"/>
        </w:rPr>
        <w:t xml:space="preserve"> the communication of José Vicente Rangel, </w:t>
      </w:r>
      <w:r w:rsidR="006745C7" w:rsidRPr="00326F31">
        <w:rPr>
          <w:rFonts w:asciiTheme="majorHAnsi" w:hAnsiTheme="majorHAnsi"/>
          <w:sz w:val="20"/>
          <w:szCs w:val="20"/>
        </w:rPr>
        <w:t>because Guerra’s case</w:t>
      </w:r>
      <w:r w:rsidRPr="00326F31">
        <w:rPr>
          <w:rFonts w:asciiTheme="majorHAnsi" w:hAnsiTheme="majorHAnsi"/>
          <w:sz w:val="20"/>
          <w:szCs w:val="20"/>
        </w:rPr>
        <w:t xml:space="preserve"> was different </w:t>
      </w:r>
      <w:r w:rsidR="006745C7" w:rsidRPr="00326F31">
        <w:rPr>
          <w:rFonts w:asciiTheme="majorHAnsi" w:hAnsiTheme="majorHAnsi"/>
          <w:sz w:val="20"/>
          <w:szCs w:val="20"/>
        </w:rPr>
        <w:t>as</w:t>
      </w:r>
      <w:r w:rsidR="00A149EA">
        <w:rPr>
          <w:rFonts w:asciiTheme="majorHAnsi" w:hAnsiTheme="majorHAnsi"/>
          <w:sz w:val="20"/>
          <w:szCs w:val="20"/>
        </w:rPr>
        <w:t xml:space="preserve"> "the old ID he had in his house had been manipulated by a woman who lives there to sign in his name</w:t>
      </w:r>
      <w:r w:rsidR="00A149EA" w:rsidRPr="00A149EA">
        <w:rPr>
          <w:rFonts w:asciiTheme="majorHAnsi" w:hAnsiTheme="majorHAnsi"/>
          <w:sz w:val="20"/>
          <w:szCs w:val="20"/>
        </w:rPr>
        <w:t>"</w:t>
      </w:r>
      <w:r w:rsidR="00A149EA" w:rsidRPr="00326F31">
        <w:rPr>
          <w:rStyle w:val="FootnoteReference"/>
          <w:rFonts w:asciiTheme="majorHAnsi" w:hAnsiTheme="majorHAnsi"/>
          <w:sz w:val="20"/>
          <w:szCs w:val="20"/>
          <w:lang w:val="es-ES_tradnl"/>
        </w:rPr>
        <w:footnoteReference w:id="82"/>
      </w:r>
      <w:r w:rsidR="00A149EA" w:rsidRPr="00A149EA">
        <w:rPr>
          <w:rFonts w:asciiTheme="majorHAnsi" w:hAnsiTheme="majorHAnsi"/>
          <w:sz w:val="20"/>
          <w:szCs w:val="20"/>
        </w:rPr>
        <w:t>.</w:t>
      </w:r>
    </w:p>
    <w:p w14:paraId="445DEC39" w14:textId="77777777" w:rsidR="006745C7" w:rsidRPr="00326F31" w:rsidRDefault="006745C7" w:rsidP="00326F31">
      <w:pPr>
        <w:pBdr>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14:paraId="7BECEEDC" w14:textId="0A14B254" w:rsidR="006745C7" w:rsidRPr="00326F31" w:rsidRDefault="006745C7"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Moreover, on July 16, 2004, Magally Chang Girón declared before the Prosecutor that "I was notified on March 22 this year by Mr. Feijoo Colomine of my dismissal as Personal Assistant of the National Border Council, by instructions of the Council President Dr. José Vicente Rangel Vale, and that the reason was for having signed the presidential recall petition. That's it"</w:t>
      </w:r>
      <w:r w:rsidRPr="00326F31">
        <w:rPr>
          <w:rStyle w:val="FootnoteReference"/>
          <w:rFonts w:asciiTheme="majorHAnsi" w:hAnsiTheme="majorHAnsi"/>
          <w:sz w:val="20"/>
          <w:szCs w:val="20"/>
          <w:lang w:val="es-ES"/>
        </w:rPr>
        <w:footnoteReference w:id="83"/>
      </w:r>
      <w:r w:rsidRPr="00326F31">
        <w:rPr>
          <w:rFonts w:asciiTheme="majorHAnsi" w:hAnsiTheme="majorHAnsi"/>
          <w:sz w:val="20"/>
          <w:szCs w:val="20"/>
        </w:rPr>
        <w:t>. In the same statement she said that three of the four people who signed the request for a referendum were dismissed, and that the she saw the letter of dismissal of the fourth person, Mr. Jorge Guerra but is unknown to her why he was not dismissed</w:t>
      </w:r>
      <w:r w:rsidRPr="00326F31">
        <w:rPr>
          <w:rStyle w:val="FootnoteReference"/>
          <w:rFonts w:asciiTheme="majorHAnsi" w:hAnsiTheme="majorHAnsi"/>
          <w:sz w:val="20"/>
          <w:szCs w:val="20"/>
          <w:lang w:val="es-ES"/>
        </w:rPr>
        <w:footnoteReference w:id="84"/>
      </w:r>
      <w:r w:rsidRPr="00326F31">
        <w:rPr>
          <w:rFonts w:asciiTheme="majorHAnsi" w:hAnsiTheme="majorHAnsi"/>
          <w:sz w:val="20"/>
          <w:szCs w:val="20"/>
        </w:rPr>
        <w:t>.</w:t>
      </w:r>
    </w:p>
    <w:p w14:paraId="0AD63DDF" w14:textId="77777777" w:rsidR="002A257A" w:rsidRPr="00326F31" w:rsidRDefault="002A257A" w:rsidP="00326F31">
      <w:pPr>
        <w:pStyle w:val="ListParagraph"/>
        <w:jc w:val="both"/>
        <w:rPr>
          <w:rFonts w:asciiTheme="majorHAnsi" w:hAnsiTheme="majorHAnsi"/>
          <w:sz w:val="20"/>
          <w:szCs w:val="20"/>
        </w:rPr>
      </w:pPr>
    </w:p>
    <w:p w14:paraId="0B8828AB" w14:textId="2DEA64E0" w:rsidR="002A257A" w:rsidRPr="00326F31" w:rsidRDefault="002A257A"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 xml:space="preserve">For her part, in her testimony before the Prosecutor rendered on July 15, 2004, Thais Coromoto Peña, said that Feijoo Colomine </w:t>
      </w:r>
      <w:r w:rsidR="00A16C0A">
        <w:rPr>
          <w:rFonts w:asciiTheme="majorHAnsi" w:hAnsiTheme="majorHAnsi"/>
          <w:sz w:val="20"/>
          <w:szCs w:val="20"/>
        </w:rPr>
        <w:t>Rincones</w:t>
      </w:r>
      <w:r w:rsidRPr="00326F31">
        <w:rPr>
          <w:rFonts w:asciiTheme="majorHAnsi" w:hAnsiTheme="majorHAnsi"/>
          <w:sz w:val="20"/>
          <w:szCs w:val="20"/>
        </w:rPr>
        <w:t xml:space="preserve"> made a verbal notification to her of the dismissal, and that the Secretary of that person told her that Feijoo "was upset because they were against the President and against the process"</w:t>
      </w:r>
      <w:r w:rsidRPr="00326F31">
        <w:rPr>
          <w:rStyle w:val="FootnoteReference"/>
          <w:rFonts w:asciiTheme="majorHAnsi" w:hAnsiTheme="majorHAnsi"/>
          <w:sz w:val="20"/>
          <w:szCs w:val="20"/>
          <w:lang w:val="es-ES"/>
        </w:rPr>
        <w:footnoteReference w:id="85"/>
      </w:r>
      <w:r w:rsidRPr="00326F31">
        <w:rPr>
          <w:rFonts w:asciiTheme="majorHAnsi" w:hAnsiTheme="majorHAnsi"/>
          <w:sz w:val="20"/>
          <w:szCs w:val="20"/>
        </w:rPr>
        <w:t>. She also indicated that after being notified of the dismissal "Feijoo Colomine told me to withdraw my signature, that he could send me to Jesse Chacon to do so, to what I replied that I was a woman of self-belief and conscience, that it was my decision and that it will remain that wasy, as I do not have any reason to take it back; then I told him that we shouldn’t talk anymore about it"</w:t>
      </w:r>
      <w:r w:rsidRPr="00326F31">
        <w:rPr>
          <w:rStyle w:val="FootnoteReference"/>
          <w:rFonts w:asciiTheme="majorHAnsi" w:hAnsiTheme="majorHAnsi"/>
          <w:sz w:val="20"/>
          <w:szCs w:val="20"/>
          <w:lang w:val="es-ES"/>
        </w:rPr>
        <w:footnoteReference w:id="86"/>
      </w:r>
      <w:r w:rsidRPr="00326F31">
        <w:rPr>
          <w:rFonts w:asciiTheme="majorHAnsi" w:hAnsiTheme="majorHAnsi"/>
          <w:sz w:val="20"/>
          <w:szCs w:val="20"/>
        </w:rPr>
        <w:t>.</w:t>
      </w:r>
    </w:p>
    <w:p w14:paraId="2BCB4492" w14:textId="77777777" w:rsidR="002A257A" w:rsidRPr="00326F31" w:rsidRDefault="002A257A" w:rsidP="00326F31">
      <w:pPr>
        <w:jc w:val="both"/>
        <w:rPr>
          <w:rFonts w:asciiTheme="majorHAnsi" w:hAnsiTheme="majorHAnsi"/>
          <w:sz w:val="20"/>
          <w:szCs w:val="20"/>
        </w:rPr>
      </w:pPr>
    </w:p>
    <w:p w14:paraId="7E691786" w14:textId="48742C10" w:rsidR="002A257A" w:rsidRPr="00326F31" w:rsidRDefault="002A257A"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 xml:space="preserve">Likewise, in the context of the alleged victims’ </w:t>
      </w:r>
      <w:r w:rsidRPr="00326F31">
        <w:rPr>
          <w:rFonts w:asciiTheme="majorHAnsi" w:hAnsiTheme="majorHAnsi"/>
          <w:i/>
          <w:sz w:val="20"/>
          <w:szCs w:val="20"/>
        </w:rPr>
        <w:t xml:space="preserve">amparo </w:t>
      </w:r>
      <w:r w:rsidRPr="00326F31">
        <w:rPr>
          <w:rFonts w:asciiTheme="majorHAnsi" w:hAnsiTheme="majorHAnsi"/>
          <w:sz w:val="20"/>
          <w:szCs w:val="20"/>
        </w:rPr>
        <w:t>proceeding, the transcripts of telephone conversations with two officials to whom they referred in the abovementioned interviews were presented. The Commission has in its power the recordings of these conversations, their relevant contents are detailed below.</w:t>
      </w:r>
    </w:p>
    <w:p w14:paraId="788AB76D" w14:textId="77777777" w:rsidR="002A257A" w:rsidRPr="00326F31" w:rsidRDefault="002A257A" w:rsidP="00326F31">
      <w:pPr>
        <w:jc w:val="both"/>
        <w:rPr>
          <w:rFonts w:asciiTheme="majorHAnsi" w:hAnsiTheme="majorHAnsi"/>
          <w:sz w:val="20"/>
          <w:szCs w:val="20"/>
        </w:rPr>
      </w:pPr>
    </w:p>
    <w:p w14:paraId="4306A2CD" w14:textId="4493E37B" w:rsidR="002A257A" w:rsidRPr="00326F31" w:rsidRDefault="002A257A"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Below are the transcripts of the relevant parts of the telephone conversation between the then Executive Secretary of the National Border Council Feijoo Colomine and Rocio San Miguel Sosa:</w:t>
      </w:r>
    </w:p>
    <w:p w14:paraId="609EAF9E" w14:textId="77777777" w:rsidR="00046C0E" w:rsidRPr="00326F31" w:rsidRDefault="00046C0E" w:rsidP="00326F31">
      <w:pPr>
        <w:pStyle w:val="ListParagraph"/>
        <w:jc w:val="both"/>
        <w:rPr>
          <w:rFonts w:asciiTheme="majorHAnsi" w:hAnsiTheme="majorHAnsi"/>
          <w:sz w:val="20"/>
          <w:szCs w:val="20"/>
        </w:rPr>
      </w:pPr>
    </w:p>
    <w:p w14:paraId="5D4591A1" w14:textId="234BFF9E" w:rsidR="00617467" w:rsidRPr="00326F31" w:rsidRDefault="00617467" w:rsidP="00326F31">
      <w:pPr>
        <w:ind w:left="720" w:right="720"/>
        <w:jc w:val="both"/>
        <w:rPr>
          <w:rFonts w:asciiTheme="majorHAnsi" w:hAnsiTheme="majorHAnsi"/>
          <w:sz w:val="20"/>
          <w:szCs w:val="20"/>
        </w:rPr>
      </w:pPr>
      <w:r w:rsidRPr="00326F31">
        <w:rPr>
          <w:rFonts w:asciiTheme="majorHAnsi" w:hAnsiTheme="majorHAnsi"/>
          <w:sz w:val="20"/>
          <w:szCs w:val="20"/>
        </w:rPr>
        <w:t>FC:</w:t>
      </w:r>
      <w:r w:rsidR="002A257A" w:rsidRPr="00326F31">
        <w:rPr>
          <w:rFonts w:asciiTheme="majorHAnsi" w:hAnsiTheme="majorHAnsi"/>
          <w:sz w:val="20"/>
          <w:szCs w:val="20"/>
        </w:rPr>
        <w:t xml:space="preserve"> One has some limitations, for exercising this, this position of trust.</w:t>
      </w:r>
    </w:p>
    <w:p w14:paraId="3B1695C6" w14:textId="1CEBED4C" w:rsidR="00617467" w:rsidRPr="00326F31" w:rsidRDefault="00617467" w:rsidP="00326F31">
      <w:pPr>
        <w:ind w:left="720" w:right="720"/>
        <w:jc w:val="both"/>
        <w:rPr>
          <w:rFonts w:asciiTheme="majorHAnsi" w:hAnsiTheme="majorHAnsi"/>
          <w:sz w:val="20"/>
          <w:szCs w:val="20"/>
        </w:rPr>
      </w:pPr>
      <w:r w:rsidRPr="00326F31">
        <w:rPr>
          <w:rFonts w:asciiTheme="majorHAnsi" w:hAnsiTheme="majorHAnsi"/>
          <w:sz w:val="20"/>
          <w:szCs w:val="20"/>
        </w:rPr>
        <w:t xml:space="preserve">RSM: </w:t>
      </w:r>
      <w:r w:rsidR="002A257A" w:rsidRPr="00326F31">
        <w:rPr>
          <w:rFonts w:asciiTheme="majorHAnsi" w:hAnsiTheme="majorHAnsi"/>
          <w:sz w:val="20"/>
          <w:szCs w:val="20"/>
        </w:rPr>
        <w:t>Mhmm</w:t>
      </w:r>
    </w:p>
    <w:p w14:paraId="30149FF3" w14:textId="1CF7A34A" w:rsidR="00617467" w:rsidRPr="00326F31" w:rsidRDefault="00617467" w:rsidP="00326F31">
      <w:pPr>
        <w:ind w:left="720" w:right="720"/>
        <w:jc w:val="both"/>
        <w:rPr>
          <w:rFonts w:asciiTheme="majorHAnsi" w:hAnsiTheme="majorHAnsi"/>
          <w:sz w:val="20"/>
          <w:szCs w:val="20"/>
        </w:rPr>
      </w:pPr>
      <w:r w:rsidRPr="00326F31">
        <w:rPr>
          <w:rFonts w:asciiTheme="majorHAnsi" w:hAnsiTheme="majorHAnsi"/>
          <w:sz w:val="20"/>
          <w:szCs w:val="20"/>
        </w:rPr>
        <w:t xml:space="preserve">FC: </w:t>
      </w:r>
      <w:r w:rsidR="002A257A" w:rsidRPr="00326F31">
        <w:rPr>
          <w:rFonts w:asciiTheme="majorHAnsi" w:hAnsiTheme="majorHAnsi"/>
          <w:sz w:val="20"/>
          <w:szCs w:val="20"/>
        </w:rPr>
        <w:t>One has limitations</w:t>
      </w:r>
    </w:p>
    <w:p w14:paraId="4803534D" w14:textId="3EE0E03D" w:rsidR="00617467" w:rsidRPr="00326F31" w:rsidRDefault="00617467" w:rsidP="00326F31">
      <w:pPr>
        <w:ind w:left="720" w:right="720"/>
        <w:jc w:val="both"/>
        <w:rPr>
          <w:rFonts w:asciiTheme="majorHAnsi" w:hAnsiTheme="majorHAnsi"/>
          <w:sz w:val="20"/>
          <w:szCs w:val="20"/>
        </w:rPr>
      </w:pPr>
      <w:r w:rsidRPr="00326F31">
        <w:rPr>
          <w:rFonts w:asciiTheme="majorHAnsi" w:hAnsiTheme="majorHAnsi"/>
          <w:sz w:val="20"/>
          <w:szCs w:val="20"/>
        </w:rPr>
        <w:t xml:space="preserve">RSM: </w:t>
      </w:r>
      <w:r w:rsidR="002A257A" w:rsidRPr="00326F31">
        <w:rPr>
          <w:rFonts w:asciiTheme="majorHAnsi" w:hAnsiTheme="majorHAnsi"/>
          <w:sz w:val="20"/>
          <w:szCs w:val="20"/>
        </w:rPr>
        <w:t>Mhm, Which one? The one to exercise political rights?</w:t>
      </w:r>
    </w:p>
    <w:p w14:paraId="34AB5DE6" w14:textId="64A38B9F" w:rsidR="00617467" w:rsidRPr="00326F31" w:rsidRDefault="00617467" w:rsidP="00326F31">
      <w:pPr>
        <w:ind w:left="720" w:right="720"/>
        <w:jc w:val="both"/>
        <w:rPr>
          <w:rFonts w:asciiTheme="majorHAnsi" w:hAnsiTheme="majorHAnsi"/>
          <w:sz w:val="20"/>
          <w:szCs w:val="20"/>
        </w:rPr>
      </w:pPr>
      <w:r w:rsidRPr="00326F31">
        <w:rPr>
          <w:rFonts w:asciiTheme="majorHAnsi" w:hAnsiTheme="majorHAnsi"/>
          <w:sz w:val="20"/>
          <w:szCs w:val="20"/>
        </w:rPr>
        <w:t xml:space="preserve">FC: </w:t>
      </w:r>
      <w:r w:rsidR="007F6C61" w:rsidRPr="00326F31">
        <w:rPr>
          <w:rFonts w:asciiTheme="majorHAnsi" w:hAnsiTheme="majorHAnsi"/>
          <w:sz w:val="20"/>
          <w:szCs w:val="20"/>
        </w:rPr>
        <w:t>One can participate and exercise their political rights, of any kind. But you do not, you can not reveal an element of distrust.</w:t>
      </w:r>
    </w:p>
    <w:p w14:paraId="62B959F1" w14:textId="77777777" w:rsidR="007F6C61" w:rsidRPr="00326F31" w:rsidRDefault="00CE5D46" w:rsidP="00326F31">
      <w:pPr>
        <w:ind w:left="720" w:right="720"/>
        <w:jc w:val="both"/>
        <w:rPr>
          <w:rFonts w:asciiTheme="majorHAnsi" w:hAnsiTheme="majorHAnsi"/>
          <w:sz w:val="20"/>
          <w:szCs w:val="20"/>
        </w:rPr>
      </w:pPr>
      <w:r w:rsidRPr="00326F31">
        <w:rPr>
          <w:rFonts w:asciiTheme="majorHAnsi" w:hAnsiTheme="majorHAnsi"/>
          <w:sz w:val="20"/>
          <w:szCs w:val="20"/>
        </w:rPr>
        <w:t xml:space="preserve">RSM: </w:t>
      </w:r>
      <w:r w:rsidR="007F6C61" w:rsidRPr="00326F31">
        <w:rPr>
          <w:rFonts w:asciiTheme="majorHAnsi" w:hAnsiTheme="majorHAnsi"/>
          <w:sz w:val="20"/>
          <w:szCs w:val="20"/>
        </w:rPr>
        <w:t>But what element of distrust?</w:t>
      </w:r>
    </w:p>
    <w:p w14:paraId="3157A5E2" w14:textId="02D34016" w:rsidR="00CE5D46" w:rsidRPr="00326F31" w:rsidRDefault="00CE5D46" w:rsidP="00326F31">
      <w:pPr>
        <w:ind w:left="720" w:right="720"/>
        <w:jc w:val="both"/>
        <w:rPr>
          <w:rFonts w:asciiTheme="majorHAnsi" w:hAnsiTheme="majorHAnsi"/>
          <w:sz w:val="20"/>
          <w:szCs w:val="20"/>
          <w:lang w:val="es-ES"/>
        </w:rPr>
      </w:pPr>
      <w:r w:rsidRPr="00326F31">
        <w:rPr>
          <w:rFonts w:asciiTheme="majorHAnsi" w:hAnsiTheme="majorHAnsi"/>
          <w:sz w:val="20"/>
          <w:szCs w:val="20"/>
        </w:rPr>
        <w:t xml:space="preserve">FC: </w:t>
      </w:r>
      <w:r w:rsidR="007F6C61" w:rsidRPr="00326F31">
        <w:rPr>
          <w:rFonts w:asciiTheme="majorHAnsi" w:hAnsiTheme="majorHAnsi"/>
          <w:sz w:val="20"/>
          <w:szCs w:val="20"/>
        </w:rPr>
        <w:t xml:space="preserve">You cannot expose, because you are signing the petition for the recall of the guy that is paying you and that is hiring you </w:t>
      </w:r>
      <w:r w:rsidRPr="00326F31">
        <w:rPr>
          <w:rFonts w:asciiTheme="majorHAnsi" w:hAnsiTheme="majorHAnsi"/>
          <w:sz w:val="20"/>
          <w:szCs w:val="20"/>
        </w:rPr>
        <w:t>(…)</w:t>
      </w:r>
      <w:r w:rsidRPr="00326F31">
        <w:rPr>
          <w:rFonts w:asciiTheme="majorHAnsi" w:hAnsiTheme="majorHAnsi"/>
          <w:sz w:val="20"/>
          <w:szCs w:val="20"/>
          <w:vertAlign w:val="superscript"/>
          <w:lang w:val="es-ES"/>
        </w:rPr>
        <w:footnoteReference w:id="87"/>
      </w:r>
      <w:r w:rsidRPr="00326F31">
        <w:rPr>
          <w:rFonts w:asciiTheme="majorHAnsi" w:hAnsiTheme="majorHAnsi"/>
          <w:sz w:val="20"/>
          <w:szCs w:val="20"/>
          <w:lang w:val="es-ES"/>
        </w:rPr>
        <w:t>”</w:t>
      </w:r>
    </w:p>
    <w:p w14:paraId="3E2DB31D" w14:textId="77777777" w:rsidR="00CE5D46" w:rsidRPr="00326F31" w:rsidRDefault="00CE5D46" w:rsidP="00326F31">
      <w:pPr>
        <w:pStyle w:val="ListParagraph"/>
        <w:jc w:val="both"/>
        <w:rPr>
          <w:rFonts w:asciiTheme="majorHAnsi" w:hAnsiTheme="majorHAnsi"/>
          <w:sz w:val="20"/>
          <w:szCs w:val="20"/>
          <w:lang w:val="es-ES_tradnl"/>
        </w:rPr>
      </w:pPr>
    </w:p>
    <w:p w14:paraId="59161610" w14:textId="5CB9822A" w:rsidR="007F6C61" w:rsidRPr="00326F31" w:rsidRDefault="007F6C61"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With regards to the termination of the contracts with the alleged victims, the recording of the conversation contains the following:</w:t>
      </w:r>
    </w:p>
    <w:p w14:paraId="5F61933F" w14:textId="77777777" w:rsidR="00CE5D46" w:rsidRPr="00326F31" w:rsidRDefault="00CE5D46" w:rsidP="00326F31">
      <w:pPr>
        <w:pStyle w:val="ListParagraph"/>
        <w:jc w:val="both"/>
        <w:rPr>
          <w:rFonts w:asciiTheme="majorHAnsi" w:hAnsiTheme="majorHAnsi"/>
          <w:sz w:val="20"/>
          <w:szCs w:val="20"/>
        </w:rPr>
      </w:pPr>
    </w:p>
    <w:p w14:paraId="4DBEAFB2" w14:textId="69A54D8C" w:rsidR="00CE5D46" w:rsidRPr="00326F31" w:rsidRDefault="00CE5D46" w:rsidP="00326F31">
      <w:pPr>
        <w:ind w:left="720" w:right="720"/>
        <w:jc w:val="both"/>
        <w:rPr>
          <w:rFonts w:asciiTheme="majorHAnsi" w:hAnsiTheme="majorHAnsi"/>
          <w:sz w:val="20"/>
          <w:szCs w:val="20"/>
        </w:rPr>
      </w:pPr>
      <w:r w:rsidRPr="00326F31">
        <w:rPr>
          <w:rFonts w:asciiTheme="majorHAnsi" w:hAnsiTheme="majorHAnsi"/>
          <w:sz w:val="20"/>
          <w:szCs w:val="20"/>
        </w:rPr>
        <w:t xml:space="preserve">FC: </w:t>
      </w:r>
      <w:r w:rsidR="007F6C61" w:rsidRPr="00326F31">
        <w:rPr>
          <w:rFonts w:asciiTheme="majorHAnsi" w:hAnsiTheme="majorHAnsi"/>
          <w:sz w:val="20"/>
          <w:szCs w:val="20"/>
        </w:rPr>
        <w:t xml:space="preserve">Well but, but the, the Government has made a </w:t>
      </w:r>
      <w:r w:rsidR="00141EE4" w:rsidRPr="00326F31">
        <w:rPr>
          <w:rFonts w:asciiTheme="majorHAnsi" w:hAnsiTheme="majorHAnsi"/>
          <w:sz w:val="20"/>
          <w:szCs w:val="20"/>
        </w:rPr>
        <w:t>decisio</w:t>
      </w:r>
      <w:r w:rsidR="007F6C61" w:rsidRPr="00326F31">
        <w:rPr>
          <w:rFonts w:asciiTheme="majorHAnsi" w:hAnsiTheme="majorHAnsi"/>
          <w:sz w:val="20"/>
          <w:szCs w:val="20"/>
        </w:rPr>
        <w:t>n.</w:t>
      </w:r>
    </w:p>
    <w:p w14:paraId="6D7CC97B" w14:textId="6EEADA7F" w:rsidR="0070448F" w:rsidRPr="00326F31" w:rsidRDefault="0070448F" w:rsidP="00326F31">
      <w:pPr>
        <w:ind w:left="720" w:right="720"/>
        <w:jc w:val="both"/>
        <w:rPr>
          <w:rFonts w:asciiTheme="majorHAnsi" w:hAnsiTheme="majorHAnsi"/>
          <w:sz w:val="20"/>
          <w:szCs w:val="20"/>
        </w:rPr>
      </w:pPr>
      <w:r w:rsidRPr="00326F31">
        <w:rPr>
          <w:rFonts w:asciiTheme="majorHAnsi" w:hAnsiTheme="majorHAnsi"/>
          <w:sz w:val="20"/>
          <w:szCs w:val="20"/>
        </w:rPr>
        <w:lastRenderedPageBreak/>
        <w:t xml:space="preserve">RSM: </w:t>
      </w:r>
      <w:r w:rsidR="007F6C61" w:rsidRPr="00326F31">
        <w:rPr>
          <w:rFonts w:asciiTheme="majorHAnsi" w:hAnsiTheme="majorHAnsi"/>
          <w:sz w:val="20"/>
          <w:szCs w:val="20"/>
        </w:rPr>
        <w:t>To dispose of all the employees who sign.</w:t>
      </w:r>
    </w:p>
    <w:p w14:paraId="29BD91B8" w14:textId="5C057042" w:rsidR="0070448F" w:rsidRPr="00326F31" w:rsidRDefault="0070448F" w:rsidP="00326F31">
      <w:pPr>
        <w:ind w:left="720" w:right="720"/>
        <w:jc w:val="both"/>
        <w:rPr>
          <w:rFonts w:asciiTheme="majorHAnsi" w:hAnsiTheme="majorHAnsi"/>
          <w:sz w:val="20"/>
          <w:szCs w:val="20"/>
        </w:rPr>
      </w:pPr>
      <w:r w:rsidRPr="00326F31">
        <w:rPr>
          <w:rFonts w:asciiTheme="majorHAnsi" w:hAnsiTheme="majorHAnsi"/>
          <w:sz w:val="20"/>
          <w:szCs w:val="20"/>
        </w:rPr>
        <w:t xml:space="preserve">FC: </w:t>
      </w:r>
      <w:r w:rsidR="007F6C61" w:rsidRPr="00326F31">
        <w:rPr>
          <w:rFonts w:asciiTheme="majorHAnsi" w:hAnsiTheme="majorHAnsi"/>
          <w:sz w:val="20"/>
          <w:szCs w:val="20"/>
        </w:rPr>
        <w:t>Well, at least José Vicente made the decision in our case</w:t>
      </w:r>
      <w:r w:rsidR="007F6C61" w:rsidRPr="00326F31">
        <w:rPr>
          <w:rFonts w:asciiTheme="majorHAnsi" w:hAnsiTheme="majorHAnsi"/>
          <w:sz w:val="20"/>
          <w:szCs w:val="20"/>
          <w:vertAlign w:val="superscript"/>
          <w:lang w:val="es-ES"/>
        </w:rPr>
        <w:footnoteReference w:id="88"/>
      </w:r>
      <w:r w:rsidR="007F6C61" w:rsidRPr="00326F31">
        <w:rPr>
          <w:rFonts w:asciiTheme="majorHAnsi" w:hAnsiTheme="majorHAnsi"/>
          <w:sz w:val="20"/>
          <w:szCs w:val="20"/>
        </w:rPr>
        <w:t>.</w:t>
      </w:r>
    </w:p>
    <w:p w14:paraId="0AAA3130" w14:textId="77777777" w:rsidR="00CE5D46" w:rsidRPr="00326F31" w:rsidRDefault="00CE5D46" w:rsidP="00326F31">
      <w:pPr>
        <w:pBdr>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14:paraId="28D1B07B" w14:textId="558A8E40" w:rsidR="0052425B" w:rsidRPr="00326F31" w:rsidRDefault="003845EE"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In connection with the termination of the contract of the employee surnamed Guerra, the recording has the following:</w:t>
      </w:r>
    </w:p>
    <w:p w14:paraId="24DFD8EC" w14:textId="77777777" w:rsidR="003845EE" w:rsidRPr="00326F31" w:rsidRDefault="003845EE" w:rsidP="00326F31">
      <w:pPr>
        <w:ind w:left="720" w:right="720"/>
        <w:jc w:val="both"/>
        <w:rPr>
          <w:rFonts w:asciiTheme="majorHAnsi" w:hAnsiTheme="majorHAnsi"/>
          <w:sz w:val="20"/>
          <w:szCs w:val="20"/>
        </w:rPr>
      </w:pPr>
    </w:p>
    <w:p w14:paraId="4B374FE0" w14:textId="6AA6E96D" w:rsidR="0052425B" w:rsidRPr="00326F31" w:rsidRDefault="0052425B" w:rsidP="00326F31">
      <w:pPr>
        <w:ind w:left="720" w:right="720"/>
        <w:jc w:val="both"/>
        <w:rPr>
          <w:rFonts w:asciiTheme="majorHAnsi" w:hAnsiTheme="majorHAnsi"/>
          <w:sz w:val="20"/>
          <w:szCs w:val="20"/>
        </w:rPr>
      </w:pPr>
      <w:r w:rsidRPr="00326F31">
        <w:rPr>
          <w:rFonts w:asciiTheme="majorHAnsi" w:hAnsiTheme="majorHAnsi"/>
          <w:sz w:val="20"/>
          <w:szCs w:val="20"/>
        </w:rPr>
        <w:t xml:space="preserve">FC: </w:t>
      </w:r>
      <w:r w:rsidR="003845EE" w:rsidRPr="00326F31">
        <w:rPr>
          <w:rFonts w:asciiTheme="majorHAnsi" w:hAnsiTheme="majorHAnsi"/>
          <w:sz w:val="20"/>
          <w:szCs w:val="20"/>
        </w:rPr>
        <w:t>I mean, I, I took the decision not to execute the decision of, of José Vicente regarding Guerra.</w:t>
      </w:r>
    </w:p>
    <w:p w14:paraId="3156A887" w14:textId="27DF423B" w:rsidR="0052425B" w:rsidRPr="00326F31" w:rsidRDefault="0052425B" w:rsidP="00326F31">
      <w:pPr>
        <w:ind w:left="720" w:right="720"/>
        <w:jc w:val="both"/>
        <w:rPr>
          <w:rFonts w:asciiTheme="majorHAnsi" w:hAnsiTheme="majorHAnsi"/>
          <w:sz w:val="20"/>
          <w:szCs w:val="20"/>
        </w:rPr>
      </w:pPr>
      <w:r w:rsidRPr="00326F31">
        <w:rPr>
          <w:rFonts w:asciiTheme="majorHAnsi" w:hAnsiTheme="majorHAnsi"/>
          <w:sz w:val="20"/>
          <w:szCs w:val="20"/>
        </w:rPr>
        <w:t xml:space="preserve">RSM: </w:t>
      </w:r>
      <w:r w:rsidR="003845EE" w:rsidRPr="00326F31">
        <w:rPr>
          <w:rFonts w:asciiTheme="majorHAnsi" w:hAnsiTheme="majorHAnsi"/>
          <w:sz w:val="20"/>
          <w:szCs w:val="20"/>
        </w:rPr>
        <w:t>Ok, perfect right?</w:t>
      </w:r>
    </w:p>
    <w:p w14:paraId="1B6A80CC" w14:textId="6B93E1E2" w:rsidR="0052425B" w:rsidRPr="00326F31" w:rsidRDefault="0052425B" w:rsidP="00326F31">
      <w:pPr>
        <w:ind w:left="720" w:right="720"/>
        <w:jc w:val="both"/>
        <w:rPr>
          <w:rFonts w:asciiTheme="majorHAnsi" w:hAnsiTheme="majorHAnsi"/>
          <w:sz w:val="20"/>
          <w:szCs w:val="20"/>
        </w:rPr>
      </w:pPr>
      <w:r w:rsidRPr="00326F31">
        <w:rPr>
          <w:rFonts w:asciiTheme="majorHAnsi" w:hAnsiTheme="majorHAnsi"/>
          <w:sz w:val="20"/>
          <w:szCs w:val="20"/>
        </w:rPr>
        <w:t xml:space="preserve">FC: </w:t>
      </w:r>
      <w:r w:rsidR="003845EE" w:rsidRPr="00326F31">
        <w:rPr>
          <w:rFonts w:asciiTheme="majorHAnsi" w:hAnsiTheme="majorHAnsi"/>
          <w:sz w:val="20"/>
          <w:szCs w:val="20"/>
        </w:rPr>
        <w:t>Because, well, because</w:t>
      </w:r>
    </w:p>
    <w:p w14:paraId="10A1B5DA" w14:textId="2D100E69" w:rsidR="0052425B" w:rsidRPr="00326F31" w:rsidRDefault="0052425B" w:rsidP="00326F31">
      <w:pPr>
        <w:ind w:left="720" w:right="720"/>
        <w:jc w:val="both"/>
        <w:rPr>
          <w:rFonts w:asciiTheme="majorHAnsi" w:hAnsiTheme="majorHAnsi"/>
          <w:sz w:val="20"/>
          <w:szCs w:val="20"/>
        </w:rPr>
      </w:pPr>
      <w:r w:rsidRPr="00326F31">
        <w:rPr>
          <w:rFonts w:asciiTheme="majorHAnsi" w:hAnsiTheme="majorHAnsi"/>
          <w:sz w:val="20"/>
          <w:szCs w:val="20"/>
        </w:rPr>
        <w:t xml:space="preserve">RSM: </w:t>
      </w:r>
      <w:r w:rsidR="003845EE" w:rsidRPr="00326F31">
        <w:rPr>
          <w:rFonts w:asciiTheme="majorHAnsi" w:hAnsiTheme="majorHAnsi"/>
          <w:sz w:val="20"/>
          <w:szCs w:val="20"/>
        </w:rPr>
        <w:t>He's going to do it right now</w:t>
      </w:r>
    </w:p>
    <w:p w14:paraId="6261492C" w14:textId="3220655A" w:rsidR="0052425B" w:rsidRPr="00326F31" w:rsidRDefault="0052425B" w:rsidP="00326F31">
      <w:pPr>
        <w:ind w:left="720" w:right="720"/>
        <w:jc w:val="both"/>
        <w:rPr>
          <w:rFonts w:asciiTheme="majorHAnsi" w:hAnsiTheme="majorHAnsi"/>
          <w:sz w:val="20"/>
          <w:szCs w:val="20"/>
        </w:rPr>
      </w:pPr>
      <w:r w:rsidRPr="00326F31">
        <w:rPr>
          <w:rFonts w:asciiTheme="majorHAnsi" w:hAnsiTheme="majorHAnsi"/>
          <w:sz w:val="20"/>
          <w:szCs w:val="20"/>
        </w:rPr>
        <w:t xml:space="preserve">FC: </w:t>
      </w:r>
      <w:r w:rsidR="003845EE" w:rsidRPr="00326F31">
        <w:rPr>
          <w:rFonts w:asciiTheme="majorHAnsi" w:hAnsiTheme="majorHAnsi"/>
          <w:sz w:val="20"/>
          <w:szCs w:val="20"/>
        </w:rPr>
        <w:t>In any case they are different, because in the other case, they said, "Yes, we signed," oh, well.</w:t>
      </w:r>
    </w:p>
    <w:p w14:paraId="3BB812B8" w14:textId="532DF93D" w:rsidR="0052425B" w:rsidRPr="00165F1E" w:rsidRDefault="0052425B" w:rsidP="00326F31">
      <w:pPr>
        <w:ind w:left="720" w:right="720"/>
        <w:jc w:val="both"/>
        <w:rPr>
          <w:rFonts w:asciiTheme="majorHAnsi" w:hAnsiTheme="majorHAnsi"/>
          <w:sz w:val="20"/>
          <w:szCs w:val="20"/>
        </w:rPr>
      </w:pPr>
      <w:r w:rsidRPr="00326F31">
        <w:rPr>
          <w:rFonts w:asciiTheme="majorHAnsi" w:hAnsiTheme="majorHAnsi"/>
          <w:sz w:val="20"/>
          <w:szCs w:val="20"/>
        </w:rPr>
        <w:t xml:space="preserve">RSM: </w:t>
      </w:r>
      <w:r w:rsidR="003845EE" w:rsidRPr="00326F31">
        <w:rPr>
          <w:rFonts w:asciiTheme="majorHAnsi" w:hAnsiTheme="majorHAnsi"/>
          <w:sz w:val="20"/>
          <w:szCs w:val="20"/>
        </w:rPr>
        <w:t xml:space="preserve">OK. Now one thing. What will Guerra do right now, is he going to have to say it in a public document? </w:t>
      </w:r>
      <w:r w:rsidR="003845EE" w:rsidRPr="00165F1E">
        <w:rPr>
          <w:rFonts w:asciiTheme="majorHAnsi" w:hAnsiTheme="majorHAnsi"/>
          <w:sz w:val="20"/>
          <w:szCs w:val="20"/>
        </w:rPr>
        <w:t xml:space="preserve">No? </w:t>
      </w:r>
      <w:proofErr w:type="gramStart"/>
      <w:r w:rsidR="003845EE" w:rsidRPr="00165F1E">
        <w:rPr>
          <w:rFonts w:asciiTheme="majorHAnsi" w:hAnsiTheme="majorHAnsi"/>
          <w:sz w:val="20"/>
          <w:szCs w:val="20"/>
        </w:rPr>
        <w:t>Before the CNE?</w:t>
      </w:r>
      <w:proofErr w:type="gramEnd"/>
      <w:r w:rsidR="003845EE" w:rsidRPr="00165F1E">
        <w:rPr>
          <w:rFonts w:asciiTheme="majorHAnsi" w:hAnsiTheme="majorHAnsi"/>
          <w:sz w:val="20"/>
          <w:szCs w:val="20"/>
        </w:rPr>
        <w:t xml:space="preserve"> </w:t>
      </w:r>
    </w:p>
    <w:p w14:paraId="1DB63BFD" w14:textId="2BC3B58B" w:rsidR="0052425B" w:rsidRPr="00326F31" w:rsidRDefault="0052425B" w:rsidP="00326F31">
      <w:pPr>
        <w:ind w:left="720" w:right="720"/>
        <w:jc w:val="both"/>
        <w:rPr>
          <w:rFonts w:asciiTheme="majorHAnsi" w:hAnsiTheme="majorHAnsi"/>
          <w:sz w:val="20"/>
          <w:szCs w:val="20"/>
        </w:rPr>
      </w:pPr>
      <w:r w:rsidRPr="0073120A">
        <w:rPr>
          <w:rFonts w:asciiTheme="majorHAnsi" w:hAnsiTheme="majorHAnsi"/>
          <w:sz w:val="20"/>
          <w:szCs w:val="20"/>
        </w:rPr>
        <w:t xml:space="preserve">FC: </w:t>
      </w:r>
      <w:r w:rsidR="003845EE" w:rsidRPr="00326F31">
        <w:rPr>
          <w:rFonts w:asciiTheme="majorHAnsi" w:hAnsiTheme="majorHAnsi"/>
          <w:sz w:val="20"/>
          <w:szCs w:val="20"/>
        </w:rPr>
        <w:t>No, he has to wait, for the call to challenge and do so.</w:t>
      </w:r>
    </w:p>
    <w:p w14:paraId="22DDF112" w14:textId="7D70FAC2" w:rsidR="00C94E03" w:rsidRPr="00506E20" w:rsidRDefault="003845EE" w:rsidP="00326F31">
      <w:pPr>
        <w:ind w:left="720" w:right="720"/>
        <w:jc w:val="both"/>
        <w:rPr>
          <w:rFonts w:asciiTheme="majorHAnsi" w:hAnsiTheme="majorHAnsi"/>
          <w:sz w:val="20"/>
          <w:szCs w:val="20"/>
        </w:rPr>
      </w:pPr>
      <w:r w:rsidRPr="00506E20">
        <w:rPr>
          <w:rFonts w:asciiTheme="majorHAnsi" w:hAnsiTheme="majorHAnsi"/>
          <w:sz w:val="20"/>
          <w:szCs w:val="20"/>
        </w:rPr>
        <w:t>RSM: OK</w:t>
      </w:r>
    </w:p>
    <w:p w14:paraId="3776030D" w14:textId="25412813" w:rsidR="00C94E03" w:rsidRPr="00506E20" w:rsidRDefault="00C94E03" w:rsidP="00326F31">
      <w:pPr>
        <w:ind w:left="720" w:right="720"/>
        <w:jc w:val="both"/>
        <w:rPr>
          <w:rFonts w:asciiTheme="majorHAnsi" w:hAnsiTheme="majorHAnsi"/>
          <w:sz w:val="20"/>
          <w:szCs w:val="20"/>
        </w:rPr>
      </w:pPr>
      <w:r w:rsidRPr="00506E20">
        <w:rPr>
          <w:rFonts w:asciiTheme="majorHAnsi" w:hAnsiTheme="majorHAnsi"/>
          <w:sz w:val="20"/>
          <w:szCs w:val="20"/>
        </w:rPr>
        <w:t xml:space="preserve">FC: </w:t>
      </w:r>
      <w:r w:rsidR="003845EE" w:rsidRPr="00506E20">
        <w:rPr>
          <w:rFonts w:asciiTheme="majorHAnsi" w:hAnsiTheme="majorHAnsi"/>
          <w:sz w:val="20"/>
          <w:szCs w:val="20"/>
        </w:rPr>
        <w:t>Nothing else</w:t>
      </w:r>
    </w:p>
    <w:p w14:paraId="08B2D39F" w14:textId="0A38CDB1" w:rsidR="00C94E03" w:rsidRPr="00506E20" w:rsidRDefault="00C94E03" w:rsidP="00326F31">
      <w:pPr>
        <w:ind w:left="720" w:right="720"/>
        <w:jc w:val="both"/>
        <w:rPr>
          <w:rFonts w:asciiTheme="majorHAnsi" w:hAnsiTheme="majorHAnsi"/>
          <w:sz w:val="20"/>
          <w:szCs w:val="20"/>
        </w:rPr>
      </w:pPr>
      <w:r w:rsidRPr="00506E20">
        <w:rPr>
          <w:rFonts w:asciiTheme="majorHAnsi" w:hAnsiTheme="majorHAnsi"/>
          <w:sz w:val="20"/>
          <w:szCs w:val="20"/>
        </w:rPr>
        <w:t>RSM: ah</w:t>
      </w:r>
    </w:p>
    <w:p w14:paraId="295A59EE" w14:textId="68F02983" w:rsidR="00C94E03" w:rsidRPr="00326F31" w:rsidRDefault="003845EE" w:rsidP="00326F31">
      <w:pPr>
        <w:ind w:left="720" w:right="720"/>
        <w:jc w:val="both"/>
        <w:rPr>
          <w:rFonts w:asciiTheme="majorHAnsi" w:hAnsiTheme="majorHAnsi"/>
          <w:sz w:val="20"/>
          <w:szCs w:val="20"/>
        </w:rPr>
      </w:pPr>
      <w:r w:rsidRPr="00326F31">
        <w:rPr>
          <w:rFonts w:asciiTheme="majorHAnsi" w:hAnsiTheme="majorHAnsi"/>
          <w:sz w:val="20"/>
          <w:szCs w:val="20"/>
        </w:rPr>
        <w:t>FC: And</w:t>
      </w:r>
    </w:p>
    <w:p w14:paraId="4037A4B1" w14:textId="7B7FF998" w:rsidR="00C94E03" w:rsidRPr="00326F31" w:rsidRDefault="00C94E03" w:rsidP="00326F31">
      <w:pPr>
        <w:ind w:left="720" w:right="720"/>
        <w:jc w:val="both"/>
        <w:rPr>
          <w:rFonts w:asciiTheme="majorHAnsi" w:hAnsiTheme="majorHAnsi"/>
          <w:sz w:val="20"/>
          <w:szCs w:val="20"/>
        </w:rPr>
      </w:pPr>
      <w:r w:rsidRPr="00326F31">
        <w:rPr>
          <w:rFonts w:asciiTheme="majorHAnsi" w:hAnsiTheme="majorHAnsi"/>
          <w:sz w:val="20"/>
          <w:szCs w:val="20"/>
        </w:rPr>
        <w:t xml:space="preserve">RSM: </w:t>
      </w:r>
      <w:r w:rsidR="003845EE" w:rsidRPr="00326F31">
        <w:rPr>
          <w:rFonts w:asciiTheme="majorHAnsi" w:hAnsiTheme="majorHAnsi"/>
          <w:sz w:val="20"/>
          <w:szCs w:val="20"/>
        </w:rPr>
        <w:t>It's okay</w:t>
      </w:r>
    </w:p>
    <w:p w14:paraId="2A5012AD" w14:textId="024B604A" w:rsidR="00C94E03" w:rsidRPr="00326F31" w:rsidRDefault="00C94E03" w:rsidP="00326F31">
      <w:pPr>
        <w:ind w:left="720" w:right="720"/>
        <w:jc w:val="both"/>
        <w:rPr>
          <w:rFonts w:asciiTheme="majorHAnsi" w:hAnsiTheme="majorHAnsi"/>
          <w:sz w:val="20"/>
          <w:szCs w:val="20"/>
        </w:rPr>
      </w:pPr>
      <w:r w:rsidRPr="00326F31">
        <w:rPr>
          <w:rFonts w:asciiTheme="majorHAnsi" w:hAnsiTheme="majorHAnsi"/>
          <w:sz w:val="20"/>
          <w:szCs w:val="20"/>
        </w:rPr>
        <w:t>FC:</w:t>
      </w:r>
      <w:r w:rsidR="005E6C10">
        <w:rPr>
          <w:rFonts w:asciiTheme="majorHAnsi" w:hAnsiTheme="majorHAnsi"/>
          <w:sz w:val="20"/>
          <w:szCs w:val="20"/>
        </w:rPr>
        <w:t xml:space="preserve"> </w:t>
      </w:r>
      <w:r w:rsidR="003845EE" w:rsidRPr="00326F31">
        <w:rPr>
          <w:rFonts w:asciiTheme="majorHAnsi" w:hAnsiTheme="majorHAnsi"/>
          <w:sz w:val="20"/>
          <w:szCs w:val="20"/>
        </w:rPr>
        <w:t>And that's what</w:t>
      </w:r>
    </w:p>
    <w:p w14:paraId="7CFD2ACA" w14:textId="47F5E874" w:rsidR="00C94E03" w:rsidRPr="00326F31" w:rsidRDefault="003845EE" w:rsidP="00326F31">
      <w:pPr>
        <w:ind w:left="720" w:right="720"/>
        <w:jc w:val="both"/>
        <w:rPr>
          <w:rFonts w:asciiTheme="majorHAnsi" w:hAnsiTheme="majorHAnsi"/>
          <w:sz w:val="20"/>
          <w:szCs w:val="20"/>
        </w:rPr>
      </w:pPr>
      <w:r w:rsidRPr="00326F31">
        <w:rPr>
          <w:rFonts w:asciiTheme="majorHAnsi" w:hAnsiTheme="majorHAnsi"/>
          <w:sz w:val="20"/>
          <w:szCs w:val="20"/>
        </w:rPr>
        <w:t>RSM: Did you warn José Vicente that, that, that this is not, this is not not, not allowed? To fire people for, for signing. Did you warn him?</w:t>
      </w:r>
    </w:p>
    <w:p w14:paraId="086D2D5F" w14:textId="698EA502" w:rsidR="00C94E03" w:rsidRPr="00326F31" w:rsidRDefault="00C94E03" w:rsidP="00326F31">
      <w:pPr>
        <w:ind w:left="720" w:right="720"/>
        <w:jc w:val="both"/>
        <w:rPr>
          <w:rFonts w:asciiTheme="majorHAnsi" w:hAnsiTheme="majorHAnsi"/>
          <w:sz w:val="20"/>
          <w:szCs w:val="20"/>
        </w:rPr>
      </w:pPr>
      <w:r w:rsidRPr="00326F31">
        <w:rPr>
          <w:rFonts w:asciiTheme="majorHAnsi" w:hAnsiTheme="majorHAnsi"/>
          <w:sz w:val="20"/>
          <w:szCs w:val="20"/>
        </w:rPr>
        <w:t xml:space="preserve">FC: </w:t>
      </w:r>
      <w:r w:rsidR="003845EE" w:rsidRPr="00326F31">
        <w:rPr>
          <w:rFonts w:asciiTheme="majorHAnsi" w:hAnsiTheme="majorHAnsi"/>
          <w:sz w:val="20"/>
          <w:szCs w:val="20"/>
        </w:rPr>
        <w:t>In those terms like you're telling me, no</w:t>
      </w:r>
      <w:r w:rsidR="000D77A5" w:rsidRPr="00326F31">
        <w:rPr>
          <w:rFonts w:asciiTheme="majorHAnsi" w:hAnsiTheme="majorHAnsi"/>
          <w:sz w:val="20"/>
          <w:szCs w:val="20"/>
          <w:vertAlign w:val="superscript"/>
          <w:lang w:val="es-ES"/>
        </w:rPr>
        <w:footnoteReference w:id="89"/>
      </w:r>
      <w:r w:rsidRPr="00326F31">
        <w:rPr>
          <w:rFonts w:asciiTheme="majorHAnsi" w:hAnsiTheme="majorHAnsi"/>
          <w:sz w:val="20"/>
          <w:szCs w:val="20"/>
        </w:rPr>
        <w:t xml:space="preserve">. </w:t>
      </w:r>
    </w:p>
    <w:p w14:paraId="2CC8F722" w14:textId="715B3A8D" w:rsidR="004D741F" w:rsidRPr="00326F31" w:rsidRDefault="0052425B" w:rsidP="00326F31">
      <w:pPr>
        <w:ind w:left="720" w:right="720"/>
        <w:jc w:val="both"/>
        <w:rPr>
          <w:rFonts w:asciiTheme="majorHAnsi" w:hAnsiTheme="majorHAnsi"/>
          <w:sz w:val="20"/>
          <w:szCs w:val="20"/>
        </w:rPr>
      </w:pPr>
      <w:r w:rsidRPr="00326F31">
        <w:rPr>
          <w:rFonts w:asciiTheme="majorHAnsi" w:hAnsiTheme="majorHAnsi"/>
          <w:sz w:val="20"/>
          <w:szCs w:val="20"/>
        </w:rPr>
        <w:t xml:space="preserve"> </w:t>
      </w:r>
    </w:p>
    <w:p w14:paraId="2BD06B53" w14:textId="70AFB655" w:rsidR="00897D3C" w:rsidRPr="00326F31" w:rsidRDefault="00897D3C"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In a conversation between Rocio San Miguel Sosa and Ilia Azpurua, Legal Consultant of the Vice Presidency of the Republic, the former expressed her dismay at the termination of her contract stating that regardless of having signed the presidential referendum, she always fulfilled her dutie</w:t>
      </w:r>
      <w:r w:rsidR="005F6DBD" w:rsidRPr="00326F31">
        <w:rPr>
          <w:rFonts w:asciiTheme="majorHAnsi" w:hAnsiTheme="majorHAnsi"/>
          <w:sz w:val="20"/>
          <w:szCs w:val="20"/>
        </w:rPr>
        <w:t xml:space="preserve">s, to which the latter </w:t>
      </w:r>
      <w:r w:rsidRPr="00326F31">
        <w:rPr>
          <w:rFonts w:asciiTheme="majorHAnsi" w:hAnsiTheme="majorHAnsi"/>
          <w:sz w:val="20"/>
          <w:szCs w:val="20"/>
        </w:rPr>
        <w:t>replied that she would inform the Vice President</w:t>
      </w:r>
      <w:r w:rsidR="005F6DBD" w:rsidRPr="00326F31">
        <w:rPr>
          <w:rFonts w:asciiTheme="majorHAnsi" w:hAnsiTheme="majorHAnsi"/>
          <w:sz w:val="20"/>
          <w:szCs w:val="20"/>
        </w:rPr>
        <w:t xml:space="preserve"> of that</w:t>
      </w:r>
      <w:r w:rsidRPr="00326F31">
        <w:rPr>
          <w:rFonts w:asciiTheme="majorHAnsi" w:hAnsiTheme="majorHAnsi"/>
          <w:sz w:val="20"/>
          <w:szCs w:val="20"/>
        </w:rPr>
        <w:t>, also stating that "I think, I repeat. I consider you</w:t>
      </w:r>
      <w:r w:rsidR="005F6DBD" w:rsidRPr="00326F31">
        <w:rPr>
          <w:rFonts w:asciiTheme="majorHAnsi" w:hAnsiTheme="majorHAnsi"/>
          <w:sz w:val="20"/>
          <w:szCs w:val="20"/>
        </w:rPr>
        <w:t xml:space="preserve"> to be</w:t>
      </w:r>
      <w:r w:rsidRPr="00326F31">
        <w:rPr>
          <w:rFonts w:asciiTheme="majorHAnsi" w:hAnsiTheme="majorHAnsi"/>
          <w:sz w:val="20"/>
          <w:szCs w:val="20"/>
        </w:rPr>
        <w:t xml:space="preserve"> a highly professional person. But you have to understand a little, I mean, you're in the White Palace right? That is an issue, it is paradoxical right? Because your work has nothing to do with it. But it is paradoxical. </w:t>
      </w:r>
      <w:r w:rsidR="007A5CA0">
        <w:rPr>
          <w:rFonts w:asciiTheme="majorHAnsi" w:hAnsiTheme="majorHAnsi"/>
          <w:sz w:val="20"/>
          <w:szCs w:val="20"/>
        </w:rPr>
        <w:t>But you have to be aware of your surroundings</w:t>
      </w:r>
      <w:r w:rsidRPr="00326F31">
        <w:rPr>
          <w:rFonts w:asciiTheme="majorHAnsi" w:hAnsiTheme="majorHAnsi"/>
          <w:sz w:val="20"/>
          <w:szCs w:val="20"/>
        </w:rPr>
        <w:t>, at least in the</w:t>
      </w:r>
      <w:r w:rsidR="005F6DBD" w:rsidRPr="00326F31">
        <w:rPr>
          <w:rFonts w:asciiTheme="majorHAnsi" w:hAnsiTheme="majorHAnsi"/>
          <w:sz w:val="20"/>
          <w:szCs w:val="20"/>
        </w:rPr>
        <w:t xml:space="preserve"> physical space where you work at</w:t>
      </w:r>
      <w:r w:rsidRPr="00326F31">
        <w:rPr>
          <w:rFonts w:asciiTheme="majorHAnsi" w:hAnsiTheme="majorHAnsi"/>
          <w:sz w:val="20"/>
          <w:szCs w:val="20"/>
        </w:rPr>
        <w:t>"</w:t>
      </w:r>
      <w:r w:rsidR="005F6DBD" w:rsidRPr="00326F31">
        <w:rPr>
          <w:rStyle w:val="FootnoteTextChar"/>
          <w:rFonts w:asciiTheme="majorHAnsi" w:hAnsiTheme="majorHAnsi"/>
          <w:sz w:val="20"/>
          <w:szCs w:val="20"/>
          <w:vertAlign w:val="superscript"/>
        </w:rPr>
        <w:footnoteReference w:id="90"/>
      </w:r>
      <w:r w:rsidR="005F6DBD" w:rsidRPr="00326F31">
        <w:rPr>
          <w:rFonts w:asciiTheme="majorHAnsi" w:hAnsiTheme="majorHAnsi"/>
          <w:sz w:val="20"/>
          <w:szCs w:val="20"/>
        </w:rPr>
        <w:t>.</w:t>
      </w:r>
    </w:p>
    <w:p w14:paraId="03068495" w14:textId="77777777" w:rsidR="002C3F66" w:rsidRPr="00326F31" w:rsidRDefault="002C3F66" w:rsidP="00326F31">
      <w:pPr>
        <w:pStyle w:val="ListParagraph"/>
        <w:jc w:val="both"/>
        <w:rPr>
          <w:rFonts w:asciiTheme="majorHAnsi" w:hAnsiTheme="majorHAnsi"/>
          <w:sz w:val="20"/>
          <w:szCs w:val="20"/>
        </w:rPr>
      </w:pPr>
    </w:p>
    <w:p w14:paraId="124EE625" w14:textId="7CE18320" w:rsidR="002C3F66" w:rsidRPr="00326F31" w:rsidRDefault="002C3F66"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As indicated at the beginning of this section, the three alleged victims held various monthly, semi-annual or annual contracts with the National Border Council. Rocío San Miguel held eight contracts with the National Border Council between 1996 and 2004</w:t>
      </w:r>
      <w:r w:rsidRPr="00326F31">
        <w:rPr>
          <w:rStyle w:val="FootnoteReference"/>
          <w:rFonts w:asciiTheme="majorHAnsi" w:hAnsiTheme="majorHAnsi"/>
          <w:sz w:val="20"/>
          <w:szCs w:val="20"/>
          <w:lang w:val="es-VE"/>
        </w:rPr>
        <w:footnoteReference w:id="91"/>
      </w:r>
      <w:r w:rsidR="00A16C0A">
        <w:rPr>
          <w:rFonts w:asciiTheme="majorHAnsi" w:hAnsiTheme="majorHAnsi"/>
          <w:sz w:val="20"/>
          <w:szCs w:val="20"/>
        </w:rPr>
        <w:t xml:space="preserve">; </w:t>
      </w:r>
      <w:proofErr w:type="spellStart"/>
      <w:r w:rsidR="00A16C0A">
        <w:rPr>
          <w:rFonts w:asciiTheme="majorHAnsi" w:hAnsiTheme="majorHAnsi"/>
          <w:sz w:val="20"/>
          <w:szCs w:val="20"/>
        </w:rPr>
        <w:t>Magally</w:t>
      </w:r>
      <w:proofErr w:type="spellEnd"/>
      <w:r w:rsidR="00A16C0A">
        <w:rPr>
          <w:rFonts w:asciiTheme="majorHAnsi" w:hAnsiTheme="majorHAnsi"/>
          <w:sz w:val="20"/>
          <w:szCs w:val="20"/>
        </w:rPr>
        <w:t xml:space="preserve"> </w:t>
      </w:r>
      <w:r w:rsidRPr="00326F31">
        <w:rPr>
          <w:rFonts w:asciiTheme="majorHAnsi" w:hAnsiTheme="majorHAnsi"/>
          <w:sz w:val="20"/>
          <w:szCs w:val="20"/>
        </w:rPr>
        <w:t xml:space="preserve">Chang </w:t>
      </w:r>
      <w:proofErr w:type="spellStart"/>
      <w:r w:rsidRPr="00326F31">
        <w:rPr>
          <w:rFonts w:asciiTheme="majorHAnsi" w:hAnsiTheme="majorHAnsi"/>
          <w:sz w:val="20"/>
          <w:szCs w:val="20"/>
        </w:rPr>
        <w:t>Girón</w:t>
      </w:r>
      <w:proofErr w:type="spellEnd"/>
      <w:r w:rsidRPr="00326F31">
        <w:rPr>
          <w:rFonts w:asciiTheme="majorHAnsi" w:hAnsiTheme="majorHAnsi"/>
          <w:sz w:val="20"/>
          <w:szCs w:val="20"/>
        </w:rPr>
        <w:t xml:space="preserve"> held 12 contracts with the same institution between 1997 and 2004</w:t>
      </w:r>
      <w:r w:rsidRPr="00326F31">
        <w:rPr>
          <w:rStyle w:val="FootnoteReference"/>
          <w:rFonts w:asciiTheme="majorHAnsi" w:hAnsiTheme="majorHAnsi"/>
          <w:sz w:val="20"/>
          <w:szCs w:val="20"/>
          <w:lang w:val="es-VE"/>
        </w:rPr>
        <w:footnoteReference w:id="92"/>
      </w:r>
      <w:r w:rsidRPr="00326F31">
        <w:rPr>
          <w:rFonts w:asciiTheme="majorHAnsi" w:hAnsiTheme="majorHAnsi"/>
          <w:sz w:val="20"/>
          <w:szCs w:val="20"/>
        </w:rPr>
        <w:t xml:space="preserve">; and Thais Coromoto Peña signed four contracts with the National </w:t>
      </w:r>
      <w:r w:rsidRPr="00326F31">
        <w:rPr>
          <w:rFonts w:asciiTheme="majorHAnsi" w:hAnsiTheme="majorHAnsi"/>
          <w:sz w:val="20"/>
          <w:szCs w:val="20"/>
        </w:rPr>
        <w:lastRenderedPageBreak/>
        <w:t>Border Council between 2000 and 2004</w:t>
      </w:r>
      <w:r w:rsidRPr="00326F31">
        <w:rPr>
          <w:rStyle w:val="FootnoteReference"/>
          <w:rFonts w:asciiTheme="majorHAnsi" w:hAnsiTheme="majorHAnsi"/>
          <w:sz w:val="20"/>
          <w:szCs w:val="20"/>
          <w:lang w:val="es-VE"/>
        </w:rPr>
        <w:footnoteReference w:id="93"/>
      </w:r>
      <w:r w:rsidRPr="00326F31">
        <w:rPr>
          <w:rFonts w:asciiTheme="majorHAnsi" w:hAnsiTheme="majorHAnsi"/>
          <w:sz w:val="20"/>
          <w:szCs w:val="20"/>
        </w:rPr>
        <w:t>. None of these contracts was terminated before the agreed period, except the lasts ones that were finalized three months after its inception and months after the alleged victims signed the petition for the presidential recall referendum.</w:t>
      </w:r>
    </w:p>
    <w:p w14:paraId="207BA804" w14:textId="77777777" w:rsidR="002C3F66" w:rsidRPr="00326F31" w:rsidRDefault="002C3F66" w:rsidP="00326F31">
      <w:pPr>
        <w:jc w:val="both"/>
        <w:rPr>
          <w:rFonts w:asciiTheme="majorHAnsi" w:hAnsiTheme="majorHAnsi"/>
          <w:sz w:val="20"/>
          <w:szCs w:val="20"/>
        </w:rPr>
      </w:pPr>
    </w:p>
    <w:p w14:paraId="6C04B353" w14:textId="66B64F3C" w:rsidR="002C3F66" w:rsidRPr="00326F31" w:rsidRDefault="002C3F66"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The Commission also notes that according to the list published in a Venezuelan national journal, out of the total of 23 employees of the National Border Council registered in the payroll until 2003</w:t>
      </w:r>
      <w:r w:rsidRPr="00326F31">
        <w:rPr>
          <w:rStyle w:val="FootnoteReference"/>
          <w:rFonts w:asciiTheme="majorHAnsi" w:hAnsiTheme="majorHAnsi"/>
          <w:sz w:val="20"/>
          <w:szCs w:val="20"/>
          <w:lang w:val="es-ES_tradnl"/>
        </w:rPr>
        <w:footnoteReference w:id="94"/>
      </w:r>
      <w:r w:rsidRPr="00326F31">
        <w:rPr>
          <w:rFonts w:asciiTheme="majorHAnsi" w:hAnsiTheme="majorHAnsi"/>
          <w:sz w:val="20"/>
          <w:szCs w:val="20"/>
        </w:rPr>
        <w:t xml:space="preserve">, four people signed the petition for a recall referendum on the presidential term, identified with the ID’s 3.247.646, 4.421.705, 6.974.789 y 11.928.963, which belong respectively to </w:t>
      </w:r>
      <w:proofErr w:type="spellStart"/>
      <w:r w:rsidRPr="00326F31">
        <w:rPr>
          <w:rFonts w:asciiTheme="majorHAnsi" w:hAnsiTheme="majorHAnsi"/>
          <w:sz w:val="20"/>
          <w:szCs w:val="20"/>
        </w:rPr>
        <w:t>Magally</w:t>
      </w:r>
      <w:proofErr w:type="spellEnd"/>
      <w:r w:rsidRPr="00326F31">
        <w:rPr>
          <w:rFonts w:asciiTheme="majorHAnsi" w:hAnsiTheme="majorHAnsi"/>
          <w:sz w:val="20"/>
          <w:szCs w:val="20"/>
        </w:rPr>
        <w:t xml:space="preserve"> Chang </w:t>
      </w:r>
      <w:proofErr w:type="spellStart"/>
      <w:r w:rsidRPr="00326F31">
        <w:rPr>
          <w:rFonts w:asciiTheme="majorHAnsi" w:hAnsiTheme="majorHAnsi"/>
          <w:sz w:val="20"/>
          <w:szCs w:val="20"/>
        </w:rPr>
        <w:t>Girón</w:t>
      </w:r>
      <w:proofErr w:type="spellEnd"/>
      <w:r w:rsidRPr="00326F31">
        <w:rPr>
          <w:rFonts w:asciiTheme="majorHAnsi" w:hAnsiTheme="majorHAnsi"/>
          <w:sz w:val="20"/>
          <w:szCs w:val="20"/>
        </w:rPr>
        <w:t>, Thai</w:t>
      </w:r>
      <w:r w:rsidR="00A82FB2" w:rsidRPr="00326F31">
        <w:rPr>
          <w:rFonts w:asciiTheme="majorHAnsi" w:hAnsiTheme="majorHAnsi"/>
          <w:sz w:val="20"/>
          <w:szCs w:val="20"/>
        </w:rPr>
        <w:t>s</w:t>
      </w:r>
      <w:r w:rsidR="00EF6A54">
        <w:rPr>
          <w:rFonts w:asciiTheme="majorHAnsi" w:hAnsiTheme="majorHAnsi"/>
          <w:sz w:val="20"/>
          <w:szCs w:val="20"/>
        </w:rPr>
        <w:t xml:space="preserve"> </w:t>
      </w:r>
      <w:proofErr w:type="spellStart"/>
      <w:r w:rsidR="00EF6A54">
        <w:rPr>
          <w:rFonts w:asciiTheme="majorHAnsi" w:hAnsiTheme="majorHAnsi"/>
          <w:sz w:val="20"/>
          <w:szCs w:val="20"/>
        </w:rPr>
        <w:t>Coromoto</w:t>
      </w:r>
      <w:proofErr w:type="spellEnd"/>
      <w:r w:rsidR="00A82FB2" w:rsidRPr="00326F31">
        <w:rPr>
          <w:rFonts w:asciiTheme="majorHAnsi" w:hAnsiTheme="majorHAnsi"/>
          <w:sz w:val="20"/>
          <w:szCs w:val="20"/>
        </w:rPr>
        <w:t xml:space="preserve"> Peña, </w:t>
      </w:r>
      <w:proofErr w:type="spellStart"/>
      <w:r w:rsidRPr="00326F31">
        <w:rPr>
          <w:rFonts w:asciiTheme="majorHAnsi" w:hAnsiTheme="majorHAnsi"/>
          <w:sz w:val="20"/>
          <w:szCs w:val="20"/>
        </w:rPr>
        <w:t>Rocío</w:t>
      </w:r>
      <w:proofErr w:type="spellEnd"/>
      <w:r w:rsidRPr="00326F31">
        <w:rPr>
          <w:rFonts w:asciiTheme="majorHAnsi" w:hAnsiTheme="majorHAnsi"/>
          <w:sz w:val="20"/>
          <w:szCs w:val="20"/>
        </w:rPr>
        <w:t xml:space="preserve"> San Miguel Sosa, and Jorge Guerra Navarro. All four people were informed of the termination of their contracts, however with respect to Jorge Navarro Guerra, as is clear from the statements of the alleged victims, he managed to keep his job after stating that "he did not sign the request for referendum, instead someone took his ID and signed for him"</w:t>
      </w:r>
      <w:r w:rsidRPr="00326F31">
        <w:rPr>
          <w:rStyle w:val="FootnoteReference"/>
          <w:rFonts w:asciiTheme="majorHAnsi" w:hAnsiTheme="majorHAnsi"/>
          <w:sz w:val="20"/>
          <w:szCs w:val="20"/>
          <w:lang w:val="es-ES_tradnl"/>
        </w:rPr>
        <w:footnoteReference w:id="95"/>
      </w:r>
      <w:r w:rsidRPr="00326F31">
        <w:rPr>
          <w:rFonts w:asciiTheme="majorHAnsi" w:hAnsiTheme="majorHAnsi"/>
          <w:sz w:val="20"/>
          <w:szCs w:val="20"/>
        </w:rPr>
        <w:t>, and that he would participate in the challenge process of signatures, to not to ratify it.</w:t>
      </w:r>
    </w:p>
    <w:p w14:paraId="05324C4C" w14:textId="77777777" w:rsidR="00027093" w:rsidRPr="00326F31" w:rsidRDefault="00027093" w:rsidP="00326F31">
      <w:pPr>
        <w:jc w:val="both"/>
        <w:rPr>
          <w:rFonts w:asciiTheme="majorHAnsi" w:hAnsiTheme="majorHAnsi"/>
          <w:sz w:val="20"/>
          <w:szCs w:val="20"/>
        </w:rPr>
      </w:pPr>
    </w:p>
    <w:p w14:paraId="75A5A54C" w14:textId="48B1B4D7" w:rsidR="00E40449" w:rsidRPr="00326F31" w:rsidRDefault="00504CC7" w:rsidP="00326F31">
      <w:pPr>
        <w:pStyle w:val="Heading2"/>
        <w:numPr>
          <w:ilvl w:val="0"/>
          <w:numId w:val="60"/>
        </w:numPr>
        <w:rPr>
          <w:lang w:val="en-US"/>
        </w:rPr>
      </w:pPr>
      <w:bookmarkStart w:id="16" w:name="_Toc433311133"/>
      <w:bookmarkStart w:id="17" w:name="_Toc420680447"/>
      <w:r w:rsidRPr="00326F31">
        <w:rPr>
          <w:lang w:val="en-US"/>
        </w:rPr>
        <w:t>Internal processes initiate</w:t>
      </w:r>
      <w:r w:rsidR="00706840" w:rsidRPr="00326F31">
        <w:rPr>
          <w:lang w:val="en-US"/>
        </w:rPr>
        <w:t>d in relation</w:t>
      </w:r>
      <w:r w:rsidR="00132BB6" w:rsidRPr="00326F31">
        <w:rPr>
          <w:lang w:val="en-US"/>
        </w:rPr>
        <w:t xml:space="preserve"> to the termination of the contracts</w:t>
      </w:r>
      <w:bookmarkEnd w:id="16"/>
    </w:p>
    <w:p w14:paraId="16E5A9CE" w14:textId="77777777" w:rsidR="00CC4B44" w:rsidRPr="00326F31" w:rsidRDefault="00CC4B44" w:rsidP="00326F31">
      <w:pPr>
        <w:pBdr>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14:paraId="1139AE2D" w14:textId="32BCFA93" w:rsidR="00CC4B44" w:rsidRPr="00326F31" w:rsidRDefault="00CC4B44"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In view of the abovementioned facts, the alleged victims initiated and promoted the judicial actions described below.</w:t>
      </w:r>
    </w:p>
    <w:p w14:paraId="6CDB9C35" w14:textId="77777777" w:rsidR="00CC4B44" w:rsidRPr="00326F31" w:rsidRDefault="00CC4B44" w:rsidP="00326F31">
      <w:pPr>
        <w:jc w:val="both"/>
        <w:rPr>
          <w:rFonts w:asciiTheme="majorHAnsi" w:hAnsiTheme="majorHAnsi"/>
          <w:sz w:val="20"/>
          <w:szCs w:val="20"/>
        </w:rPr>
      </w:pPr>
    </w:p>
    <w:p w14:paraId="6E5E456A" w14:textId="4336CCEC" w:rsidR="00E40449" w:rsidRPr="00326F31" w:rsidRDefault="00CC4B44" w:rsidP="00326F31">
      <w:pPr>
        <w:pStyle w:val="ListParagraph"/>
        <w:numPr>
          <w:ilvl w:val="0"/>
          <w:numId w:val="61"/>
        </w:numPr>
        <w:tabs>
          <w:tab w:val="clear" w:pos="1800"/>
        </w:tabs>
        <w:ind w:left="1440" w:hanging="720"/>
        <w:jc w:val="both"/>
        <w:rPr>
          <w:rFonts w:asciiTheme="majorHAnsi" w:hAnsiTheme="majorHAnsi"/>
          <w:b/>
          <w:sz w:val="20"/>
          <w:szCs w:val="20"/>
          <w:lang w:val="es-VE"/>
        </w:rPr>
      </w:pPr>
      <w:r w:rsidRPr="00326F31">
        <w:rPr>
          <w:rFonts w:asciiTheme="majorHAnsi" w:hAnsiTheme="majorHAnsi"/>
          <w:b/>
          <w:sz w:val="20"/>
          <w:szCs w:val="20"/>
          <w:lang w:val="es-VE"/>
        </w:rPr>
        <w:t>Complaint before</w:t>
      </w:r>
      <w:r w:rsidR="00132BB6" w:rsidRPr="00326F31">
        <w:rPr>
          <w:rFonts w:asciiTheme="majorHAnsi" w:hAnsiTheme="majorHAnsi"/>
          <w:b/>
          <w:sz w:val="20"/>
          <w:szCs w:val="20"/>
          <w:lang w:val="es-VE"/>
        </w:rPr>
        <w:t xml:space="preserve"> the Ombudsman</w:t>
      </w:r>
    </w:p>
    <w:p w14:paraId="3199DBE2" w14:textId="77777777" w:rsidR="00E40449" w:rsidRPr="00326F31" w:rsidRDefault="00E40449" w:rsidP="00326F31">
      <w:pPr>
        <w:jc w:val="both"/>
        <w:rPr>
          <w:rFonts w:asciiTheme="majorHAnsi" w:hAnsiTheme="majorHAnsi"/>
          <w:sz w:val="20"/>
          <w:szCs w:val="20"/>
          <w:lang w:val="es-AR"/>
        </w:rPr>
      </w:pPr>
    </w:p>
    <w:p w14:paraId="247BB749" w14:textId="7D5CB322" w:rsidR="00D84471" w:rsidRPr="00326F31" w:rsidRDefault="00D84471"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On May 27, 2004 Rocío San Miguel Sosa, Magally Chang Girón, and Thais Coromoto Peña, filed a complaint before the Ombudsman, alleging unjustified and discriminatory dismissal from the National Border Council, exercised in retaliation for their signatures on the petition for a presidential recall referendum</w:t>
      </w:r>
      <w:r w:rsidRPr="00326F31">
        <w:rPr>
          <w:rFonts w:asciiTheme="majorHAnsi" w:hAnsiTheme="majorHAnsi"/>
          <w:sz w:val="20"/>
          <w:szCs w:val="20"/>
          <w:vertAlign w:val="superscript"/>
          <w:lang w:val="es-ES_tradnl"/>
        </w:rPr>
        <w:footnoteReference w:id="96"/>
      </w:r>
      <w:r w:rsidRPr="00326F31">
        <w:rPr>
          <w:rFonts w:asciiTheme="majorHAnsi" w:hAnsiTheme="majorHAnsi"/>
          <w:sz w:val="20"/>
          <w:szCs w:val="20"/>
        </w:rPr>
        <w:t>. On June 29, 2004 the Delegate Defender of the Metropolitan Area of Caracas issued an order admitting the complaint and ordering the completion of all necessary steps to investigate the allegations</w:t>
      </w:r>
      <w:r w:rsidRPr="00326F31">
        <w:rPr>
          <w:rFonts w:asciiTheme="majorHAnsi" w:hAnsiTheme="majorHAnsi"/>
          <w:sz w:val="20"/>
          <w:szCs w:val="20"/>
          <w:vertAlign w:val="superscript"/>
          <w:lang w:val="es-ES_tradnl"/>
        </w:rPr>
        <w:footnoteReference w:id="97"/>
      </w:r>
      <w:r w:rsidRPr="00326F31">
        <w:rPr>
          <w:rFonts w:asciiTheme="majorHAnsi" w:hAnsiTheme="majorHAnsi"/>
          <w:sz w:val="20"/>
          <w:szCs w:val="20"/>
        </w:rPr>
        <w:t>.</w:t>
      </w:r>
    </w:p>
    <w:p w14:paraId="21907D77" w14:textId="77777777" w:rsidR="009007BF" w:rsidRPr="00326F31" w:rsidRDefault="009007BF" w:rsidP="00326F31">
      <w:pPr>
        <w:pStyle w:val="ListParagraph"/>
        <w:jc w:val="both"/>
        <w:rPr>
          <w:rFonts w:asciiTheme="majorHAnsi" w:hAnsiTheme="majorHAnsi"/>
          <w:sz w:val="20"/>
          <w:szCs w:val="20"/>
        </w:rPr>
      </w:pPr>
    </w:p>
    <w:p w14:paraId="144DE16C" w14:textId="6219FD2E" w:rsidR="009007BF" w:rsidRPr="00EF6A54" w:rsidRDefault="009007BF"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 xml:space="preserve">On 16 July 2004, the Coordinator of Legal Services of the Ombudsman Office issued a report indicating that it was not possible to prove the facts indicated by Rocío San Miguel Sosa, </w:t>
      </w:r>
      <w:proofErr w:type="spellStart"/>
      <w:r w:rsidRPr="00326F31">
        <w:rPr>
          <w:rFonts w:asciiTheme="majorHAnsi" w:hAnsiTheme="majorHAnsi"/>
          <w:sz w:val="20"/>
          <w:szCs w:val="20"/>
        </w:rPr>
        <w:t>Magal</w:t>
      </w:r>
      <w:r w:rsidR="00EF6A54">
        <w:rPr>
          <w:rFonts w:asciiTheme="majorHAnsi" w:hAnsiTheme="majorHAnsi"/>
          <w:sz w:val="20"/>
          <w:szCs w:val="20"/>
        </w:rPr>
        <w:t>ly</w:t>
      </w:r>
      <w:proofErr w:type="spellEnd"/>
      <w:r w:rsidRPr="00326F31">
        <w:rPr>
          <w:rFonts w:asciiTheme="majorHAnsi" w:hAnsiTheme="majorHAnsi"/>
          <w:sz w:val="20"/>
          <w:szCs w:val="20"/>
        </w:rPr>
        <w:t xml:space="preserve"> Chang </w:t>
      </w:r>
      <w:proofErr w:type="spellStart"/>
      <w:r w:rsidRPr="00326F31">
        <w:rPr>
          <w:rFonts w:asciiTheme="majorHAnsi" w:hAnsiTheme="majorHAnsi"/>
          <w:sz w:val="20"/>
          <w:szCs w:val="20"/>
        </w:rPr>
        <w:t>Girón</w:t>
      </w:r>
      <w:proofErr w:type="spellEnd"/>
      <w:r w:rsidRPr="00326F31">
        <w:rPr>
          <w:rFonts w:asciiTheme="majorHAnsi" w:hAnsiTheme="majorHAnsi"/>
          <w:sz w:val="20"/>
          <w:szCs w:val="20"/>
        </w:rPr>
        <w:t>, and Thais Coromoto Peña, in the sense that they were subjected to a discriminatory act by the National Border Council, by being fired from their respective post for having signed the petition for a presidential recall referendum</w:t>
      </w:r>
      <w:r w:rsidRPr="00326F31">
        <w:rPr>
          <w:rStyle w:val="FootnoteReference"/>
          <w:rFonts w:asciiTheme="majorHAnsi" w:hAnsiTheme="majorHAnsi"/>
          <w:sz w:val="20"/>
          <w:szCs w:val="20"/>
          <w:lang w:val="es-ES"/>
        </w:rPr>
        <w:footnoteReference w:id="98"/>
      </w:r>
      <w:r w:rsidRPr="00326F31">
        <w:rPr>
          <w:rFonts w:asciiTheme="majorHAnsi" w:hAnsiTheme="majorHAnsi"/>
          <w:sz w:val="20"/>
          <w:szCs w:val="20"/>
        </w:rPr>
        <w:t>. The report notes that:</w:t>
      </w:r>
    </w:p>
    <w:p w14:paraId="39534926" w14:textId="77777777" w:rsidR="00BF3DF6" w:rsidRPr="00326F31" w:rsidRDefault="00BF3DF6" w:rsidP="00326F31">
      <w:pPr>
        <w:pStyle w:val="ListParagraph"/>
        <w:jc w:val="both"/>
        <w:rPr>
          <w:rFonts w:asciiTheme="majorHAnsi" w:hAnsiTheme="majorHAnsi"/>
          <w:sz w:val="20"/>
          <w:szCs w:val="20"/>
        </w:rPr>
      </w:pPr>
    </w:p>
    <w:p w14:paraId="4B29F79E" w14:textId="0C1D105E" w:rsidR="00BB256D" w:rsidRPr="00326F31" w:rsidRDefault="006A58F8" w:rsidP="00326F31">
      <w:pPr>
        <w:ind w:left="720" w:right="720"/>
        <w:jc w:val="both"/>
        <w:rPr>
          <w:rFonts w:asciiTheme="majorHAnsi" w:hAnsiTheme="majorHAnsi"/>
          <w:sz w:val="20"/>
          <w:szCs w:val="20"/>
        </w:rPr>
      </w:pPr>
      <w:r w:rsidRPr="00326F31">
        <w:rPr>
          <w:rFonts w:asciiTheme="majorHAnsi" w:hAnsiTheme="majorHAnsi"/>
          <w:sz w:val="20"/>
          <w:szCs w:val="20"/>
        </w:rPr>
        <w:t>We are faced with the unproven statement of the plaintiffs against the factual demonstration of the discretionary powers of the acting administration. Such action, obviously, is insufficient to prove that the reason for the dismissal of the petitioners are political and related to citizen participation</w:t>
      </w:r>
      <w:r w:rsidR="00BE025B" w:rsidRPr="00326F31">
        <w:rPr>
          <w:rStyle w:val="FootnoteReference"/>
          <w:rFonts w:asciiTheme="majorHAnsi" w:hAnsiTheme="majorHAnsi"/>
          <w:sz w:val="20"/>
          <w:szCs w:val="20"/>
          <w:lang w:val="es-ES"/>
        </w:rPr>
        <w:footnoteReference w:id="99"/>
      </w:r>
      <w:r w:rsidR="008140C5" w:rsidRPr="00326F31">
        <w:rPr>
          <w:rFonts w:asciiTheme="majorHAnsi" w:hAnsiTheme="majorHAnsi"/>
          <w:sz w:val="20"/>
          <w:szCs w:val="20"/>
        </w:rPr>
        <w:t>.</w:t>
      </w:r>
      <w:r w:rsidR="005E6C10">
        <w:rPr>
          <w:rFonts w:asciiTheme="majorHAnsi" w:hAnsiTheme="majorHAnsi"/>
          <w:sz w:val="20"/>
          <w:szCs w:val="20"/>
        </w:rPr>
        <w:t xml:space="preserve"> </w:t>
      </w:r>
    </w:p>
    <w:p w14:paraId="240D46CF" w14:textId="77777777" w:rsidR="009D33B2" w:rsidRPr="00326F31" w:rsidRDefault="009D33B2" w:rsidP="00326F3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14:paraId="3F08DDE5" w14:textId="272C7AF7" w:rsidR="006A58F8" w:rsidRPr="00326F31" w:rsidRDefault="006A58F8"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On August 17, 2004 the Delegate Defender of the Metropolitan Area of Caracas decided to archive</w:t>
      </w:r>
      <w:r w:rsidRPr="00326F31">
        <w:rPr>
          <w:rFonts w:asciiTheme="majorHAnsi" w:hAnsiTheme="majorHAnsi" w:cs="Arial"/>
          <w:sz w:val="20"/>
          <w:szCs w:val="20"/>
        </w:rPr>
        <w:t xml:space="preserve"> the complaint</w:t>
      </w:r>
      <w:r w:rsidRPr="00326F31">
        <w:rPr>
          <w:rFonts w:asciiTheme="majorHAnsi" w:hAnsiTheme="majorHAnsi"/>
          <w:sz w:val="20"/>
          <w:szCs w:val="20"/>
        </w:rPr>
        <w:t xml:space="preserve"> by stating that is was not proven that the administration acted with abuse of power, on the contrary, it was only evidenced that they made use of their contractual right to terminate the contracts </w:t>
      </w:r>
      <w:r w:rsidR="00EF6A54">
        <w:rPr>
          <w:rFonts w:asciiTheme="majorHAnsi" w:hAnsiTheme="majorHAnsi"/>
          <w:sz w:val="20"/>
          <w:szCs w:val="20"/>
        </w:rPr>
        <w:t>pursuant to</w:t>
      </w:r>
      <w:r w:rsidRPr="00326F31">
        <w:rPr>
          <w:rFonts w:asciiTheme="majorHAnsi" w:hAnsiTheme="majorHAnsi"/>
          <w:sz w:val="20"/>
          <w:szCs w:val="20"/>
        </w:rPr>
        <w:t xml:space="preserve"> the seventh clause of the </w:t>
      </w:r>
      <w:r w:rsidR="00EF6A54">
        <w:rPr>
          <w:rFonts w:asciiTheme="majorHAnsi" w:hAnsiTheme="majorHAnsi"/>
          <w:sz w:val="20"/>
          <w:szCs w:val="20"/>
        </w:rPr>
        <w:t>contract</w:t>
      </w:r>
      <w:r w:rsidRPr="00326F31">
        <w:rPr>
          <w:rFonts w:asciiTheme="majorHAnsi" w:hAnsiTheme="majorHAnsi"/>
          <w:sz w:val="20"/>
          <w:szCs w:val="20"/>
          <w:vertAlign w:val="superscript"/>
          <w:lang w:val="es-VE"/>
        </w:rPr>
        <w:footnoteReference w:id="100"/>
      </w:r>
      <w:r w:rsidRPr="00326F31">
        <w:rPr>
          <w:rFonts w:asciiTheme="majorHAnsi" w:hAnsiTheme="majorHAnsi"/>
          <w:sz w:val="20"/>
          <w:szCs w:val="20"/>
        </w:rPr>
        <w:t>.</w:t>
      </w:r>
    </w:p>
    <w:p w14:paraId="516ED319" w14:textId="77777777" w:rsidR="00DE610F" w:rsidRPr="00326F31" w:rsidRDefault="00DE610F" w:rsidP="00326F31">
      <w:pPr>
        <w:jc w:val="both"/>
        <w:rPr>
          <w:rFonts w:asciiTheme="majorHAnsi" w:hAnsiTheme="majorHAnsi"/>
          <w:b/>
          <w:sz w:val="20"/>
          <w:szCs w:val="20"/>
        </w:rPr>
      </w:pPr>
    </w:p>
    <w:bookmarkEnd w:id="17"/>
    <w:p w14:paraId="6BFA419A" w14:textId="704E8CF4" w:rsidR="00504CC7" w:rsidRPr="00326F31" w:rsidRDefault="00504CC7" w:rsidP="0073120A">
      <w:pPr>
        <w:pStyle w:val="ListParagraph"/>
        <w:numPr>
          <w:ilvl w:val="0"/>
          <w:numId w:val="61"/>
        </w:numPr>
        <w:tabs>
          <w:tab w:val="clear" w:pos="1800"/>
          <w:tab w:val="num" w:pos="1440"/>
        </w:tabs>
        <w:ind w:hanging="1080"/>
        <w:jc w:val="both"/>
        <w:rPr>
          <w:rFonts w:asciiTheme="majorHAnsi" w:hAnsiTheme="majorHAnsi"/>
          <w:b/>
          <w:sz w:val="20"/>
          <w:szCs w:val="20"/>
        </w:rPr>
      </w:pPr>
      <w:r w:rsidRPr="00326F31">
        <w:rPr>
          <w:rFonts w:asciiTheme="majorHAnsi" w:hAnsiTheme="majorHAnsi"/>
          <w:b/>
          <w:sz w:val="20"/>
          <w:szCs w:val="20"/>
        </w:rPr>
        <w:t>Action</w:t>
      </w:r>
      <w:r w:rsidR="004042F1" w:rsidRPr="00326F31">
        <w:rPr>
          <w:rFonts w:asciiTheme="majorHAnsi" w:hAnsiTheme="majorHAnsi"/>
          <w:b/>
          <w:sz w:val="20"/>
          <w:szCs w:val="20"/>
        </w:rPr>
        <w:t xml:space="preserve"> for constitutional </w:t>
      </w:r>
      <w:r w:rsidR="004042F1" w:rsidRPr="00326F31">
        <w:rPr>
          <w:rFonts w:asciiTheme="majorHAnsi" w:hAnsiTheme="majorHAnsi"/>
          <w:b/>
          <w:i/>
          <w:sz w:val="20"/>
          <w:szCs w:val="20"/>
        </w:rPr>
        <w:t>amparo</w:t>
      </w:r>
      <w:r w:rsidRPr="00326F31">
        <w:rPr>
          <w:rFonts w:asciiTheme="majorHAnsi" w:hAnsiTheme="majorHAnsi"/>
          <w:b/>
          <w:sz w:val="20"/>
          <w:szCs w:val="20"/>
        </w:rPr>
        <w:t xml:space="preserve"> before the labor courts</w:t>
      </w:r>
    </w:p>
    <w:p w14:paraId="17413F03" w14:textId="77777777" w:rsidR="00E404DA" w:rsidRPr="00326F31" w:rsidRDefault="00E404DA" w:rsidP="00326F3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14:paraId="3B7F20C1" w14:textId="0E1862AD" w:rsidR="004042F1" w:rsidRPr="00326F31" w:rsidRDefault="004042F1"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On July 22, 2004 the alleged victims filed a constitutional</w:t>
      </w:r>
      <w:r w:rsidRPr="00326F31">
        <w:rPr>
          <w:rFonts w:asciiTheme="majorHAnsi" w:hAnsiTheme="majorHAnsi"/>
          <w:i/>
          <w:sz w:val="20"/>
          <w:szCs w:val="20"/>
        </w:rPr>
        <w:t xml:space="preserve"> amparo</w:t>
      </w:r>
      <w:r w:rsidRPr="00326F31">
        <w:rPr>
          <w:rFonts w:asciiTheme="majorHAnsi" w:hAnsiTheme="majorHAnsi"/>
          <w:sz w:val="20"/>
          <w:szCs w:val="20"/>
        </w:rPr>
        <w:t xml:space="preserve"> before the labor courts against the National Border Council arguing that </w:t>
      </w:r>
      <w:r w:rsidR="0073120A">
        <w:rPr>
          <w:rFonts w:asciiTheme="majorHAnsi" w:hAnsiTheme="majorHAnsi"/>
          <w:sz w:val="20"/>
          <w:szCs w:val="20"/>
        </w:rPr>
        <w:t xml:space="preserve">they </w:t>
      </w:r>
      <w:r w:rsidRPr="00326F31">
        <w:rPr>
          <w:rFonts w:asciiTheme="majorHAnsi" w:hAnsiTheme="majorHAnsi"/>
          <w:sz w:val="20"/>
          <w:szCs w:val="20"/>
        </w:rPr>
        <w:t>were the subject of employment discrimination by being dismissed as retaliation for signing the petition for the presidential recall referendum</w:t>
      </w:r>
      <w:r w:rsidRPr="00326F31">
        <w:rPr>
          <w:rFonts w:asciiTheme="majorHAnsi" w:hAnsiTheme="majorHAnsi"/>
          <w:sz w:val="20"/>
          <w:szCs w:val="20"/>
          <w:vertAlign w:val="superscript"/>
          <w:lang w:val="es-VE"/>
        </w:rPr>
        <w:footnoteReference w:id="101"/>
      </w:r>
      <w:r w:rsidRPr="00326F31">
        <w:rPr>
          <w:rFonts w:asciiTheme="majorHAnsi" w:hAnsiTheme="majorHAnsi"/>
          <w:sz w:val="20"/>
          <w:szCs w:val="20"/>
        </w:rPr>
        <w:t>.</w:t>
      </w:r>
    </w:p>
    <w:p w14:paraId="0A13B72D" w14:textId="77777777" w:rsidR="001E69EE" w:rsidRPr="00326F31" w:rsidRDefault="001E69EE" w:rsidP="00326F31">
      <w:pPr>
        <w:pBdr>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14:paraId="748C1D63" w14:textId="5223A603" w:rsidR="004042F1" w:rsidRPr="00326F31" w:rsidRDefault="004042F1"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On August 4, 2004 the Fourth Court of First Instance Judicial Circuit for Labor Matters declared itself incompetent to hear the</w:t>
      </w:r>
      <w:r w:rsidRPr="00326F31">
        <w:rPr>
          <w:rFonts w:asciiTheme="majorHAnsi" w:hAnsiTheme="majorHAnsi"/>
          <w:i/>
          <w:sz w:val="20"/>
          <w:szCs w:val="20"/>
        </w:rPr>
        <w:t xml:space="preserve"> amparo</w:t>
      </w:r>
      <w:r w:rsidRPr="00326F31">
        <w:rPr>
          <w:rFonts w:asciiTheme="majorHAnsi" w:hAnsiTheme="majorHAnsi"/>
          <w:sz w:val="20"/>
          <w:szCs w:val="20"/>
        </w:rPr>
        <w:t xml:space="preserve"> claim, considering that it would correspond to the Constitutional Chamber of the Supreme Court to examine the case, since </w:t>
      </w:r>
      <w:r w:rsidR="0073120A">
        <w:rPr>
          <w:rFonts w:asciiTheme="majorHAnsi" w:hAnsiTheme="majorHAnsi"/>
          <w:sz w:val="20"/>
          <w:szCs w:val="20"/>
        </w:rPr>
        <w:t xml:space="preserve">the </w:t>
      </w:r>
      <w:r w:rsidRPr="00326F31">
        <w:rPr>
          <w:rFonts w:asciiTheme="majorHAnsi" w:hAnsiTheme="majorHAnsi"/>
          <w:sz w:val="20"/>
          <w:szCs w:val="20"/>
        </w:rPr>
        <w:t>President of the National Border Council also served at the time as Minister of Foreign Affairs, therefore he’s as a senior official as provided in Article 8 of the Organic Law on Protection of Rights and Constitutional Guarantees</w:t>
      </w:r>
      <w:r w:rsidRPr="00326F31">
        <w:rPr>
          <w:rStyle w:val="FootnoteReference"/>
          <w:rFonts w:asciiTheme="majorHAnsi" w:hAnsiTheme="majorHAnsi"/>
          <w:sz w:val="20"/>
          <w:szCs w:val="20"/>
          <w:lang w:val="es-VE"/>
        </w:rPr>
        <w:footnoteReference w:id="102"/>
      </w:r>
      <w:r w:rsidRPr="00326F31">
        <w:rPr>
          <w:rFonts w:asciiTheme="majorHAnsi" w:hAnsiTheme="majorHAnsi"/>
          <w:sz w:val="20"/>
          <w:szCs w:val="20"/>
        </w:rPr>
        <w:t>.</w:t>
      </w:r>
    </w:p>
    <w:p w14:paraId="4F0FCE46" w14:textId="77777777" w:rsidR="00135773" w:rsidRPr="00326F31" w:rsidRDefault="00135773" w:rsidP="00326F31">
      <w:pPr>
        <w:jc w:val="both"/>
        <w:rPr>
          <w:rFonts w:asciiTheme="majorHAnsi" w:hAnsiTheme="majorHAnsi"/>
          <w:sz w:val="20"/>
          <w:szCs w:val="20"/>
        </w:rPr>
      </w:pPr>
    </w:p>
    <w:p w14:paraId="2A3353D8" w14:textId="17965E97" w:rsidR="00785272" w:rsidRPr="00326F31" w:rsidRDefault="00785272"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On November 23, 2004 the al</w:t>
      </w:r>
      <w:r w:rsidR="006101C3" w:rsidRPr="00326F31">
        <w:rPr>
          <w:rFonts w:asciiTheme="majorHAnsi" w:hAnsiTheme="majorHAnsi"/>
          <w:sz w:val="20"/>
          <w:szCs w:val="20"/>
        </w:rPr>
        <w:t>leged victims filed a brief before</w:t>
      </w:r>
      <w:r w:rsidRPr="00326F31">
        <w:rPr>
          <w:rFonts w:asciiTheme="majorHAnsi" w:hAnsiTheme="majorHAnsi"/>
          <w:sz w:val="20"/>
          <w:szCs w:val="20"/>
        </w:rPr>
        <w:t xml:space="preserve"> the Constitutional Chamber of the Supreme Court requesting t</w:t>
      </w:r>
      <w:r w:rsidR="00135773" w:rsidRPr="00326F31">
        <w:rPr>
          <w:rFonts w:asciiTheme="majorHAnsi" w:hAnsiTheme="majorHAnsi"/>
          <w:sz w:val="20"/>
          <w:szCs w:val="20"/>
        </w:rPr>
        <w:t xml:space="preserve">hat the Constitutional Court </w:t>
      </w:r>
      <w:r w:rsidRPr="00326F31">
        <w:rPr>
          <w:rFonts w:asciiTheme="majorHAnsi" w:hAnsiTheme="majorHAnsi"/>
          <w:sz w:val="20"/>
          <w:szCs w:val="20"/>
        </w:rPr>
        <w:t>rule</w:t>
      </w:r>
      <w:r w:rsidR="00135773" w:rsidRPr="00326F31">
        <w:rPr>
          <w:rFonts w:asciiTheme="majorHAnsi" w:hAnsiTheme="majorHAnsi"/>
          <w:sz w:val="20"/>
          <w:szCs w:val="20"/>
        </w:rPr>
        <w:t>d</w:t>
      </w:r>
      <w:r w:rsidRPr="00326F31">
        <w:rPr>
          <w:rFonts w:asciiTheme="majorHAnsi" w:hAnsiTheme="majorHAnsi"/>
          <w:sz w:val="20"/>
          <w:szCs w:val="20"/>
        </w:rPr>
        <w:t xml:space="preserve"> on the </w:t>
      </w:r>
      <w:r w:rsidR="00135773" w:rsidRPr="00326F31">
        <w:rPr>
          <w:rFonts w:asciiTheme="majorHAnsi" w:hAnsiTheme="majorHAnsi"/>
          <w:i/>
          <w:sz w:val="20"/>
          <w:szCs w:val="20"/>
        </w:rPr>
        <w:t>amparo</w:t>
      </w:r>
      <w:r w:rsidRPr="00326F31">
        <w:rPr>
          <w:rFonts w:asciiTheme="majorHAnsi" w:hAnsiTheme="majorHAnsi"/>
          <w:sz w:val="20"/>
          <w:szCs w:val="20"/>
        </w:rPr>
        <w:t xml:space="preserve">, </w:t>
      </w:r>
      <w:r w:rsidR="00135773" w:rsidRPr="00326F31">
        <w:rPr>
          <w:rFonts w:asciiTheme="majorHAnsi" w:hAnsiTheme="majorHAnsi"/>
          <w:sz w:val="20"/>
          <w:szCs w:val="20"/>
        </w:rPr>
        <w:t>because there was</w:t>
      </w:r>
      <w:r w:rsidRPr="00326F31">
        <w:rPr>
          <w:rFonts w:asciiTheme="majorHAnsi" w:hAnsiTheme="majorHAnsi"/>
          <w:sz w:val="20"/>
          <w:szCs w:val="20"/>
        </w:rPr>
        <w:t xml:space="preserve"> </w:t>
      </w:r>
      <w:r w:rsidR="00135773" w:rsidRPr="00326F31">
        <w:rPr>
          <w:rFonts w:asciiTheme="majorHAnsi" w:hAnsiTheme="majorHAnsi"/>
          <w:sz w:val="20"/>
          <w:szCs w:val="20"/>
        </w:rPr>
        <w:t xml:space="preserve">still </w:t>
      </w:r>
      <w:r w:rsidRPr="00326F31">
        <w:rPr>
          <w:rFonts w:asciiTheme="majorHAnsi" w:hAnsiTheme="majorHAnsi"/>
          <w:sz w:val="20"/>
          <w:szCs w:val="20"/>
        </w:rPr>
        <w:t xml:space="preserve">not a decision on the </w:t>
      </w:r>
      <w:r w:rsidR="00135773" w:rsidRPr="00326F31">
        <w:rPr>
          <w:rFonts w:asciiTheme="majorHAnsi" w:hAnsiTheme="majorHAnsi"/>
          <w:sz w:val="20"/>
          <w:szCs w:val="20"/>
        </w:rPr>
        <w:t xml:space="preserve">declination of jurisdiction </w:t>
      </w:r>
      <w:r w:rsidRPr="00326F31">
        <w:rPr>
          <w:rFonts w:asciiTheme="majorHAnsi" w:hAnsiTheme="majorHAnsi"/>
          <w:sz w:val="20"/>
          <w:szCs w:val="20"/>
        </w:rPr>
        <w:t>after 104 days</w:t>
      </w:r>
      <w:r w:rsidR="00135773" w:rsidRPr="00326F31">
        <w:rPr>
          <w:rFonts w:asciiTheme="majorHAnsi" w:hAnsiTheme="majorHAnsi"/>
          <w:sz w:val="20"/>
          <w:szCs w:val="20"/>
        </w:rPr>
        <w:t xml:space="preserve"> had passed</w:t>
      </w:r>
      <w:r w:rsidR="00135773" w:rsidRPr="00326F31">
        <w:rPr>
          <w:rStyle w:val="FootnoteReference"/>
          <w:rFonts w:asciiTheme="majorHAnsi" w:hAnsiTheme="majorHAnsi"/>
          <w:sz w:val="20"/>
          <w:szCs w:val="20"/>
          <w:lang w:val="es-VE"/>
        </w:rPr>
        <w:footnoteReference w:id="103"/>
      </w:r>
      <w:r w:rsidRPr="00326F31">
        <w:rPr>
          <w:rFonts w:asciiTheme="majorHAnsi" w:hAnsiTheme="majorHAnsi"/>
          <w:sz w:val="20"/>
          <w:szCs w:val="20"/>
        </w:rPr>
        <w:t>. That request was repeated on February 3, 2005</w:t>
      </w:r>
      <w:r w:rsidR="00135773" w:rsidRPr="00326F31">
        <w:rPr>
          <w:rStyle w:val="FootnoteReference"/>
          <w:rFonts w:asciiTheme="majorHAnsi" w:hAnsiTheme="majorHAnsi"/>
          <w:sz w:val="20"/>
          <w:szCs w:val="20"/>
          <w:lang w:val="es-VE"/>
        </w:rPr>
        <w:footnoteReference w:id="104"/>
      </w:r>
      <w:r w:rsidRPr="00326F31">
        <w:rPr>
          <w:rFonts w:asciiTheme="majorHAnsi" w:hAnsiTheme="majorHAnsi"/>
          <w:sz w:val="20"/>
          <w:szCs w:val="20"/>
        </w:rPr>
        <w:t>, on May 3, 2005</w:t>
      </w:r>
      <w:r w:rsidR="00135773" w:rsidRPr="00326F31">
        <w:rPr>
          <w:rStyle w:val="FootnoteReference"/>
          <w:rFonts w:asciiTheme="majorHAnsi" w:hAnsiTheme="majorHAnsi"/>
          <w:sz w:val="20"/>
          <w:szCs w:val="20"/>
          <w:lang w:val="es-VE"/>
        </w:rPr>
        <w:footnoteReference w:id="105"/>
      </w:r>
      <w:r w:rsidR="00135773" w:rsidRPr="00326F31">
        <w:rPr>
          <w:rFonts w:asciiTheme="majorHAnsi" w:hAnsiTheme="majorHAnsi"/>
          <w:sz w:val="20"/>
          <w:szCs w:val="20"/>
        </w:rPr>
        <w:t>,</w:t>
      </w:r>
      <w:r w:rsidRPr="00326F31">
        <w:rPr>
          <w:rFonts w:asciiTheme="majorHAnsi" w:hAnsiTheme="majorHAnsi"/>
          <w:sz w:val="20"/>
          <w:szCs w:val="20"/>
        </w:rPr>
        <w:t xml:space="preserve"> and </w:t>
      </w:r>
      <w:r w:rsidR="00135773" w:rsidRPr="00326F31">
        <w:rPr>
          <w:rFonts w:asciiTheme="majorHAnsi" w:hAnsiTheme="majorHAnsi"/>
          <w:sz w:val="20"/>
          <w:szCs w:val="20"/>
        </w:rPr>
        <w:t xml:space="preserve">on </w:t>
      </w:r>
      <w:r w:rsidRPr="00326F31">
        <w:rPr>
          <w:rFonts w:asciiTheme="majorHAnsi" w:hAnsiTheme="majorHAnsi"/>
          <w:sz w:val="20"/>
          <w:szCs w:val="20"/>
        </w:rPr>
        <w:t>May 11, 2005</w:t>
      </w:r>
      <w:r w:rsidR="00135773" w:rsidRPr="00326F31">
        <w:rPr>
          <w:rStyle w:val="FootnoteReference"/>
          <w:rFonts w:asciiTheme="majorHAnsi" w:hAnsiTheme="majorHAnsi"/>
          <w:sz w:val="20"/>
          <w:szCs w:val="20"/>
          <w:lang w:val="es-VE"/>
        </w:rPr>
        <w:footnoteReference w:id="106"/>
      </w:r>
      <w:r w:rsidR="00135773" w:rsidRPr="00326F31">
        <w:rPr>
          <w:rFonts w:asciiTheme="majorHAnsi" w:hAnsiTheme="majorHAnsi"/>
          <w:sz w:val="20"/>
          <w:szCs w:val="20"/>
        </w:rPr>
        <w:t>.</w:t>
      </w:r>
    </w:p>
    <w:p w14:paraId="3DC99B2D" w14:textId="77777777" w:rsidR="00135773" w:rsidRPr="00326F31" w:rsidRDefault="00135773" w:rsidP="00326F31">
      <w:pPr>
        <w:pStyle w:val="ListParagraph"/>
        <w:jc w:val="both"/>
        <w:rPr>
          <w:rFonts w:asciiTheme="majorHAnsi" w:hAnsiTheme="majorHAnsi"/>
          <w:sz w:val="20"/>
          <w:szCs w:val="20"/>
        </w:rPr>
      </w:pPr>
    </w:p>
    <w:p w14:paraId="19CC61B3" w14:textId="7A52E23D" w:rsidR="00135773" w:rsidRPr="00326F31" w:rsidRDefault="00135773" w:rsidP="00326F3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rPr>
      </w:pPr>
      <w:r w:rsidRPr="00326F31">
        <w:rPr>
          <w:rFonts w:asciiTheme="majorHAnsi" w:hAnsiTheme="majorHAnsi"/>
          <w:sz w:val="20"/>
          <w:szCs w:val="20"/>
        </w:rPr>
        <w:t>On 26 May 2005, the Constitutional Chamber of the Supreme Court issued a ruling stating that it does not accept declination of jurisdiction of the Fourth Court of First Instance Judicial Circuit for Labor Matters of the Metropolitan Area of Caracas because the case under study is a relationship of employer-employee nature, therefore the examination of the matter rests within the labor courts</w:t>
      </w:r>
      <w:r w:rsidRPr="00326F31">
        <w:rPr>
          <w:rStyle w:val="FootnoteReference"/>
          <w:rFonts w:asciiTheme="majorHAnsi" w:hAnsiTheme="majorHAnsi"/>
          <w:sz w:val="20"/>
          <w:szCs w:val="20"/>
          <w:lang w:val="es-VE"/>
        </w:rPr>
        <w:footnoteReference w:id="107"/>
      </w:r>
      <w:r w:rsidRPr="00326F31">
        <w:rPr>
          <w:rFonts w:asciiTheme="majorHAnsi" w:hAnsiTheme="majorHAnsi"/>
          <w:sz w:val="20"/>
          <w:szCs w:val="20"/>
        </w:rPr>
        <w:t xml:space="preserve">. Under this, on June 17, 2005 the Fourth Court of First Instance admitted the </w:t>
      </w:r>
      <w:r w:rsidRPr="00326F31">
        <w:rPr>
          <w:rFonts w:asciiTheme="majorHAnsi" w:hAnsiTheme="majorHAnsi"/>
          <w:i/>
          <w:sz w:val="20"/>
          <w:szCs w:val="20"/>
        </w:rPr>
        <w:t>amparo</w:t>
      </w:r>
      <w:r w:rsidRPr="00326F31">
        <w:rPr>
          <w:rStyle w:val="FootnoteReference"/>
          <w:rFonts w:asciiTheme="majorHAnsi" w:hAnsiTheme="majorHAnsi"/>
          <w:sz w:val="20"/>
          <w:szCs w:val="20"/>
          <w:lang w:val="es-VE"/>
        </w:rPr>
        <w:footnoteReference w:id="108"/>
      </w:r>
      <w:r w:rsidRPr="00326F31">
        <w:rPr>
          <w:rFonts w:asciiTheme="majorHAnsi" w:hAnsiTheme="majorHAnsi"/>
          <w:sz w:val="20"/>
          <w:szCs w:val="20"/>
        </w:rPr>
        <w:t>.</w:t>
      </w:r>
    </w:p>
    <w:p w14:paraId="5133D2DB" w14:textId="77777777" w:rsidR="00135773" w:rsidRPr="00326F31" w:rsidRDefault="00135773" w:rsidP="00326F3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14:paraId="45F80C29" w14:textId="6B7A4B73" w:rsidR="00135773" w:rsidRPr="00326F31" w:rsidRDefault="00135773"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 xml:space="preserve">On 20 July 2005, the Public Prosecutor issued his opinion regarding the </w:t>
      </w:r>
      <w:r w:rsidRPr="00326F31">
        <w:rPr>
          <w:rFonts w:asciiTheme="majorHAnsi" w:hAnsiTheme="majorHAnsi"/>
          <w:i/>
          <w:sz w:val="20"/>
          <w:szCs w:val="20"/>
        </w:rPr>
        <w:t>amparo</w:t>
      </w:r>
      <w:r w:rsidRPr="00326F31">
        <w:rPr>
          <w:rFonts w:asciiTheme="majorHAnsi" w:hAnsiTheme="majorHAnsi"/>
          <w:sz w:val="20"/>
          <w:szCs w:val="20"/>
        </w:rPr>
        <w:t xml:space="preserve">, requesting that it be declared inadmissible, as the </w:t>
      </w:r>
      <w:r w:rsidRPr="00326F31">
        <w:rPr>
          <w:rFonts w:asciiTheme="majorHAnsi" w:hAnsiTheme="majorHAnsi"/>
          <w:i/>
          <w:sz w:val="20"/>
          <w:szCs w:val="20"/>
        </w:rPr>
        <w:t xml:space="preserve">amparo </w:t>
      </w:r>
      <w:r w:rsidRPr="00326F31">
        <w:rPr>
          <w:rFonts w:asciiTheme="majorHAnsi" w:hAnsiTheme="majorHAnsi"/>
          <w:sz w:val="20"/>
          <w:szCs w:val="20"/>
        </w:rPr>
        <w:t xml:space="preserve">was not the adequate remedy for proving whether a dismissal is justified or not, he also asked for the </w:t>
      </w:r>
      <w:r w:rsidRPr="00326F31">
        <w:rPr>
          <w:rFonts w:asciiTheme="majorHAnsi" w:hAnsiTheme="majorHAnsi"/>
          <w:i/>
          <w:sz w:val="20"/>
          <w:szCs w:val="20"/>
        </w:rPr>
        <w:t>amparo</w:t>
      </w:r>
      <w:r w:rsidRPr="00326F31">
        <w:rPr>
          <w:rFonts w:asciiTheme="majorHAnsi" w:hAnsiTheme="majorHAnsi"/>
          <w:sz w:val="20"/>
          <w:szCs w:val="20"/>
        </w:rPr>
        <w:t xml:space="preserve"> to be dismissed as there was still an ongoing investigation by the Public Prosecutor, and because the alleged victims had not proven the alleged political discrimination</w:t>
      </w:r>
      <w:r w:rsidRPr="00326F31">
        <w:rPr>
          <w:rStyle w:val="FootnoteReference"/>
          <w:rFonts w:asciiTheme="majorHAnsi" w:hAnsiTheme="majorHAnsi"/>
          <w:sz w:val="20"/>
          <w:szCs w:val="20"/>
          <w:lang w:val="es-VE"/>
        </w:rPr>
        <w:footnoteReference w:id="109"/>
      </w:r>
      <w:r w:rsidRPr="00326F31">
        <w:rPr>
          <w:rFonts w:asciiTheme="majorHAnsi" w:hAnsiTheme="majorHAnsi"/>
          <w:sz w:val="20"/>
          <w:szCs w:val="20"/>
        </w:rPr>
        <w:t xml:space="preserve">. </w:t>
      </w:r>
      <w:r w:rsidRPr="00326F31">
        <w:rPr>
          <w:rFonts w:asciiTheme="majorHAnsi" w:hAnsiTheme="majorHAnsi"/>
          <w:sz w:val="20"/>
          <w:szCs w:val="20"/>
        </w:rPr>
        <w:lastRenderedPageBreak/>
        <w:t xml:space="preserve">Also on July 20, 2005, the President of the National Border Council José Vicente Rangel submitted a request to declare inadmissible the </w:t>
      </w:r>
      <w:r w:rsidRPr="00326F31">
        <w:rPr>
          <w:rFonts w:asciiTheme="majorHAnsi" w:hAnsiTheme="majorHAnsi"/>
          <w:i/>
          <w:sz w:val="20"/>
          <w:szCs w:val="20"/>
        </w:rPr>
        <w:t>amparo</w:t>
      </w:r>
      <w:r w:rsidRPr="00326F31">
        <w:rPr>
          <w:rFonts w:asciiTheme="majorHAnsi" w:hAnsiTheme="majorHAnsi"/>
          <w:sz w:val="20"/>
          <w:szCs w:val="20"/>
        </w:rPr>
        <w:t xml:space="preserve"> on the grounds that the alleged victims should have resorted to the ordinary procedure established in the Organic Labor Procedure Law. He also considered that under t</w:t>
      </w:r>
      <w:r w:rsidR="00EF6A54">
        <w:rPr>
          <w:rFonts w:asciiTheme="majorHAnsi" w:hAnsiTheme="majorHAnsi"/>
          <w:sz w:val="20"/>
          <w:szCs w:val="20"/>
        </w:rPr>
        <w:t>he seventh clause of the</w:t>
      </w:r>
      <w:r w:rsidRPr="00326F31">
        <w:rPr>
          <w:rFonts w:asciiTheme="majorHAnsi" w:hAnsiTheme="majorHAnsi"/>
          <w:sz w:val="20"/>
          <w:szCs w:val="20"/>
        </w:rPr>
        <w:t xml:space="preserve"> contracts with the three alleged victims no cause is needed to terminate the contract, "regardless of whether the plaintiffs met or not with the responsibilities that were assigned to them, just by executing that power, as he did under the seventh clause of the contract, was enough"</w:t>
      </w:r>
      <w:r w:rsidRPr="00326F31">
        <w:rPr>
          <w:rStyle w:val="FootnoteReference"/>
          <w:rFonts w:asciiTheme="majorHAnsi" w:hAnsiTheme="majorHAnsi"/>
          <w:sz w:val="20"/>
          <w:szCs w:val="20"/>
          <w:lang w:val="es-VE"/>
        </w:rPr>
        <w:footnoteReference w:id="110"/>
      </w:r>
      <w:r w:rsidRPr="00326F31">
        <w:rPr>
          <w:rFonts w:asciiTheme="majorHAnsi" w:hAnsiTheme="majorHAnsi"/>
          <w:sz w:val="20"/>
          <w:szCs w:val="20"/>
        </w:rPr>
        <w:t>.</w:t>
      </w:r>
      <w:r w:rsidR="005E6C10">
        <w:rPr>
          <w:rFonts w:asciiTheme="majorHAnsi" w:hAnsiTheme="majorHAnsi"/>
          <w:sz w:val="20"/>
          <w:szCs w:val="20"/>
        </w:rPr>
        <w:t xml:space="preserve"> </w:t>
      </w:r>
    </w:p>
    <w:p w14:paraId="3F6834B6" w14:textId="77777777" w:rsidR="00E97468" w:rsidRPr="00326F31" w:rsidRDefault="00E97468" w:rsidP="00326F31">
      <w:pPr>
        <w:jc w:val="both"/>
        <w:rPr>
          <w:rFonts w:asciiTheme="majorHAnsi" w:hAnsiTheme="majorHAnsi"/>
          <w:sz w:val="20"/>
          <w:szCs w:val="20"/>
        </w:rPr>
      </w:pPr>
    </w:p>
    <w:p w14:paraId="0174E630" w14:textId="77777777" w:rsidR="003E30F5" w:rsidRPr="00326F31" w:rsidRDefault="00E97468"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On July 20, 2005, a constitutional hearing was held before the Fourth Court of First Instance Judicial Circuit for Labor Matters. As part of that hearing, the alleged victims requested including to the file the recording on a tape of the conversations, the transcript of a radio interview with Feijoo Colomine, as well as the transcript of the conversation between Rocío San Miguel and Ilia Azpúrua; however the Court refused such items as evidence considering that "both the playback of the tape and the transcript of the conversations were obtained without the consent of the alleged counterparts, in this case, citizens Feijoo Colomine and Ilia Apúrua, respectively. In addition, there is no way to be certain that the voices belong to those claimed to be the counterpart. Finally, in the opinion of this court, they are illegal and illegitimate evidence, and therefore they are not admitted to the trial"</w:t>
      </w:r>
      <w:r w:rsidRPr="00326F31">
        <w:rPr>
          <w:rStyle w:val="FootnoteReference"/>
          <w:rFonts w:asciiTheme="majorHAnsi" w:hAnsiTheme="majorHAnsi"/>
          <w:sz w:val="20"/>
          <w:szCs w:val="20"/>
          <w:lang w:val="es-VE"/>
        </w:rPr>
        <w:footnoteReference w:id="111"/>
      </w:r>
      <w:r w:rsidRPr="00326F31">
        <w:rPr>
          <w:rFonts w:asciiTheme="majorHAnsi" w:hAnsiTheme="majorHAnsi"/>
          <w:sz w:val="20"/>
          <w:szCs w:val="20"/>
        </w:rPr>
        <w:t>.</w:t>
      </w:r>
    </w:p>
    <w:p w14:paraId="722E88CC" w14:textId="77777777" w:rsidR="003E30F5" w:rsidRPr="00326F31" w:rsidRDefault="003E30F5" w:rsidP="00326F31">
      <w:pPr>
        <w:pStyle w:val="ListParagraph"/>
        <w:jc w:val="both"/>
        <w:rPr>
          <w:rFonts w:asciiTheme="majorHAnsi" w:hAnsiTheme="majorHAnsi"/>
          <w:sz w:val="20"/>
          <w:szCs w:val="20"/>
        </w:rPr>
      </w:pPr>
    </w:p>
    <w:p w14:paraId="4DDE3448" w14:textId="7CAF7528" w:rsidR="003E30F5" w:rsidRPr="00326F31" w:rsidRDefault="003E30F5"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 xml:space="preserve">On July 27, 2005 the Fourth Court of First Instance issued a judgment dismissing the </w:t>
      </w:r>
      <w:r w:rsidRPr="00326F31">
        <w:rPr>
          <w:rFonts w:asciiTheme="majorHAnsi" w:hAnsiTheme="majorHAnsi"/>
          <w:i/>
          <w:sz w:val="20"/>
          <w:szCs w:val="20"/>
        </w:rPr>
        <w:t>amparo</w:t>
      </w:r>
      <w:r w:rsidRPr="00326F31">
        <w:rPr>
          <w:rFonts w:asciiTheme="majorHAnsi" w:hAnsiTheme="majorHAnsi"/>
          <w:sz w:val="20"/>
          <w:szCs w:val="20"/>
        </w:rPr>
        <w:t xml:space="preserve"> on the grounds that the evidence adduced by the plaintiff did not allow to "convincingly establish the causal link between the alleged discriminatory treatment for signing and the decision to terminate the employment relationship"</w:t>
      </w:r>
      <w:r w:rsidRPr="00326F31">
        <w:rPr>
          <w:rStyle w:val="FootnoteReference"/>
          <w:rFonts w:asciiTheme="majorHAnsi" w:hAnsiTheme="majorHAnsi"/>
          <w:sz w:val="20"/>
          <w:szCs w:val="20"/>
          <w:lang w:val="es-VE"/>
        </w:rPr>
        <w:footnoteReference w:id="112"/>
      </w:r>
      <w:r w:rsidRPr="00326F31">
        <w:rPr>
          <w:rFonts w:asciiTheme="majorHAnsi" w:hAnsiTheme="majorHAnsi"/>
          <w:sz w:val="20"/>
          <w:szCs w:val="20"/>
        </w:rPr>
        <w:t>. In that decision, the court also found that "the respondent brought the documents, already discussed, which confirm that there was a worker whose contract was terminated at the same time as the plaintiffs and had not signed the recall referendum, and of another worker who did sign and yet he is still working for the National Border Council"</w:t>
      </w:r>
      <w:r w:rsidRPr="00326F31">
        <w:rPr>
          <w:rStyle w:val="FootnoteReference"/>
          <w:rFonts w:asciiTheme="majorHAnsi" w:hAnsiTheme="majorHAnsi"/>
          <w:sz w:val="20"/>
          <w:szCs w:val="20"/>
          <w:lang w:val="es-VE"/>
        </w:rPr>
        <w:footnoteReference w:id="113"/>
      </w:r>
      <w:r w:rsidRPr="00326F31">
        <w:rPr>
          <w:rFonts w:asciiTheme="majorHAnsi" w:hAnsiTheme="majorHAnsi"/>
          <w:sz w:val="20"/>
          <w:szCs w:val="20"/>
        </w:rPr>
        <w:t>. The Commission does not have any evidence corroborating this information.</w:t>
      </w:r>
    </w:p>
    <w:p w14:paraId="02A2BC0C" w14:textId="77777777" w:rsidR="006D7816" w:rsidRPr="00326F31" w:rsidRDefault="006D7816" w:rsidP="00326F31">
      <w:pPr>
        <w:pStyle w:val="ListParagraph"/>
        <w:jc w:val="both"/>
        <w:rPr>
          <w:rFonts w:asciiTheme="majorHAnsi" w:hAnsiTheme="majorHAnsi"/>
          <w:sz w:val="20"/>
          <w:szCs w:val="20"/>
        </w:rPr>
      </w:pPr>
    </w:p>
    <w:p w14:paraId="400CEE3B" w14:textId="56F33B10" w:rsidR="006D7816" w:rsidRPr="00326F31" w:rsidRDefault="006D7816"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On July 29, 2005 the alleged victims appealed</w:t>
      </w:r>
      <w:r w:rsidRPr="00326F31">
        <w:rPr>
          <w:rStyle w:val="FootnoteReference"/>
          <w:rFonts w:asciiTheme="majorHAnsi" w:hAnsiTheme="majorHAnsi"/>
          <w:sz w:val="20"/>
          <w:szCs w:val="20"/>
          <w:lang w:val="es-VE"/>
        </w:rPr>
        <w:footnoteReference w:id="114"/>
      </w:r>
      <w:r w:rsidRPr="00326F31">
        <w:rPr>
          <w:rFonts w:asciiTheme="majorHAnsi" w:hAnsiTheme="majorHAnsi"/>
          <w:sz w:val="20"/>
          <w:szCs w:val="20"/>
        </w:rPr>
        <w:t xml:space="preserve">, arguing among other </w:t>
      </w:r>
      <w:r w:rsidR="00EE3156" w:rsidRPr="00326F31">
        <w:rPr>
          <w:rFonts w:asciiTheme="majorHAnsi" w:hAnsiTheme="majorHAnsi"/>
          <w:sz w:val="20"/>
          <w:szCs w:val="20"/>
        </w:rPr>
        <w:t xml:space="preserve">thing that in the </w:t>
      </w:r>
      <w:proofErr w:type="spellStart"/>
      <w:r w:rsidR="00EE3156" w:rsidRPr="00326F31">
        <w:rPr>
          <w:rFonts w:asciiTheme="majorHAnsi" w:hAnsiTheme="majorHAnsi"/>
          <w:sz w:val="20"/>
          <w:szCs w:val="20"/>
        </w:rPr>
        <w:t>amparo</w:t>
      </w:r>
      <w:proofErr w:type="spellEnd"/>
      <w:r w:rsidR="00EE3156" w:rsidRPr="00326F31">
        <w:rPr>
          <w:rFonts w:asciiTheme="majorHAnsi" w:hAnsiTheme="majorHAnsi"/>
          <w:sz w:val="20"/>
          <w:szCs w:val="20"/>
        </w:rPr>
        <w:t xml:space="preserve"> procedure the testimony of victims was</w:t>
      </w:r>
      <w:r w:rsidRPr="00326F31">
        <w:rPr>
          <w:rFonts w:asciiTheme="majorHAnsi" w:hAnsiTheme="majorHAnsi"/>
          <w:sz w:val="20"/>
          <w:szCs w:val="20"/>
        </w:rPr>
        <w:t xml:space="preserve"> </w:t>
      </w:r>
      <w:r w:rsidR="00EE3156">
        <w:rPr>
          <w:rFonts w:asciiTheme="majorHAnsi" w:hAnsiTheme="majorHAnsi"/>
          <w:sz w:val="20"/>
          <w:szCs w:val="20"/>
        </w:rPr>
        <w:t xml:space="preserve">not evaluated neither </w:t>
      </w:r>
      <w:r w:rsidR="00EE3156" w:rsidRPr="00326F31">
        <w:rPr>
          <w:rFonts w:asciiTheme="majorHAnsi" w:hAnsiTheme="majorHAnsi"/>
          <w:sz w:val="20"/>
          <w:szCs w:val="20"/>
        </w:rPr>
        <w:t>positively nor</w:t>
      </w:r>
      <w:r w:rsidRPr="00326F31">
        <w:rPr>
          <w:rFonts w:asciiTheme="majorHAnsi" w:hAnsiTheme="majorHAnsi"/>
          <w:sz w:val="20"/>
          <w:szCs w:val="20"/>
        </w:rPr>
        <w:t xml:space="preserve"> negatively, therefore incurring in an improper valuation of certain evidence</w:t>
      </w:r>
      <w:r w:rsidRPr="00326F31">
        <w:rPr>
          <w:rStyle w:val="FootnoteReference"/>
          <w:rFonts w:asciiTheme="majorHAnsi" w:hAnsiTheme="majorHAnsi"/>
          <w:sz w:val="20"/>
          <w:szCs w:val="20"/>
          <w:lang w:val="es-VE"/>
        </w:rPr>
        <w:footnoteReference w:id="115"/>
      </w:r>
      <w:r w:rsidRPr="00326F31">
        <w:rPr>
          <w:rFonts w:asciiTheme="majorHAnsi" w:hAnsiTheme="majorHAnsi"/>
          <w:sz w:val="20"/>
          <w:szCs w:val="20"/>
        </w:rPr>
        <w:t>. On September 9, 2005 the Third Superior Court for Labor Matters of the Labor Circuit Court dismissed the appeal on the grounds that the plaintiffs failed to show that the exercise of the contractual power of the employer constituted a discriminatory practice</w:t>
      </w:r>
      <w:r w:rsidRPr="00326F31">
        <w:rPr>
          <w:rStyle w:val="FootnoteReference"/>
          <w:rFonts w:asciiTheme="majorHAnsi" w:hAnsiTheme="majorHAnsi"/>
          <w:sz w:val="20"/>
          <w:szCs w:val="20"/>
          <w:lang w:val="es-VE"/>
        </w:rPr>
        <w:footnoteReference w:id="116"/>
      </w:r>
      <w:r w:rsidRPr="00326F31">
        <w:rPr>
          <w:rFonts w:asciiTheme="majorHAnsi" w:hAnsiTheme="majorHAnsi"/>
          <w:sz w:val="20"/>
          <w:szCs w:val="20"/>
        </w:rPr>
        <w:t>.</w:t>
      </w:r>
    </w:p>
    <w:p w14:paraId="6EA4DAE1" w14:textId="77777777" w:rsidR="00E404DA" w:rsidRPr="00326F31" w:rsidRDefault="00E404DA" w:rsidP="00326F3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14:paraId="3C6212AE" w14:textId="78B5626E" w:rsidR="00544FB3" w:rsidRPr="00326F31" w:rsidRDefault="00544FB3" w:rsidP="00326F31">
      <w:pPr>
        <w:pStyle w:val="ListParagraph"/>
        <w:numPr>
          <w:ilvl w:val="0"/>
          <w:numId w:val="61"/>
        </w:numPr>
        <w:tabs>
          <w:tab w:val="clear" w:pos="1800"/>
        </w:tabs>
        <w:ind w:left="1440" w:hanging="720"/>
        <w:jc w:val="both"/>
        <w:rPr>
          <w:rFonts w:asciiTheme="majorHAnsi" w:hAnsiTheme="majorHAnsi"/>
          <w:b/>
          <w:sz w:val="20"/>
          <w:szCs w:val="20"/>
        </w:rPr>
      </w:pPr>
      <w:r w:rsidRPr="00326F31">
        <w:rPr>
          <w:rFonts w:asciiTheme="majorHAnsi" w:hAnsiTheme="majorHAnsi"/>
          <w:b/>
          <w:sz w:val="20"/>
          <w:szCs w:val="20"/>
        </w:rPr>
        <w:t>Criminal complaint before the Public Ministry</w:t>
      </w:r>
    </w:p>
    <w:p w14:paraId="0FE65EAF" w14:textId="77777777" w:rsidR="001E69EE" w:rsidRPr="00326F31" w:rsidRDefault="001E69EE" w:rsidP="00326F31">
      <w:pPr>
        <w:pBdr>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14:paraId="19AAD83B" w14:textId="5B562F78" w:rsidR="0059662E" w:rsidRPr="00326F31" w:rsidRDefault="001E69EE"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 xml:space="preserve">On May 27, 2004 Rocío San Miguel Sosa, Magally Chang Girón, and Thais Coromoto Peña filed a criminal complaint before the Prosecutor General's Office asking to initiate criminal investigations against </w:t>
      </w:r>
      <w:r w:rsidRPr="00326F31">
        <w:rPr>
          <w:rFonts w:asciiTheme="majorHAnsi" w:hAnsiTheme="majorHAnsi"/>
          <w:sz w:val="20"/>
          <w:szCs w:val="20"/>
        </w:rPr>
        <w:lastRenderedPageBreak/>
        <w:t>the officials who carried their dismissal</w:t>
      </w:r>
      <w:r w:rsidRPr="00326F31">
        <w:rPr>
          <w:rFonts w:asciiTheme="majorHAnsi" w:hAnsiTheme="majorHAnsi"/>
          <w:sz w:val="20"/>
          <w:szCs w:val="20"/>
          <w:vertAlign w:val="superscript"/>
          <w:lang w:val="es-VE"/>
        </w:rPr>
        <w:footnoteReference w:id="117"/>
      </w:r>
      <w:r w:rsidR="00EE3156">
        <w:rPr>
          <w:rFonts w:asciiTheme="majorHAnsi" w:hAnsiTheme="majorHAnsi"/>
          <w:sz w:val="20"/>
          <w:szCs w:val="20"/>
        </w:rPr>
        <w:t>, as this was an act of</w:t>
      </w:r>
      <w:r w:rsidRPr="00326F31">
        <w:rPr>
          <w:rFonts w:asciiTheme="majorHAnsi" w:hAnsiTheme="majorHAnsi"/>
          <w:sz w:val="20"/>
          <w:szCs w:val="20"/>
        </w:rPr>
        <w:t xml:space="preserve"> </w:t>
      </w:r>
      <w:r w:rsidR="00EE3156" w:rsidRPr="00326F31">
        <w:rPr>
          <w:rFonts w:asciiTheme="majorHAnsi" w:hAnsiTheme="majorHAnsi"/>
          <w:sz w:val="20"/>
          <w:szCs w:val="20"/>
        </w:rPr>
        <w:t>retaliation</w:t>
      </w:r>
      <w:r w:rsidRPr="00326F31">
        <w:rPr>
          <w:rFonts w:asciiTheme="majorHAnsi" w:hAnsiTheme="majorHAnsi"/>
          <w:sz w:val="20"/>
          <w:szCs w:val="20"/>
        </w:rPr>
        <w:t xml:space="preserve"> for signing the petition for the presidential recall referendum</w:t>
      </w:r>
      <w:r w:rsidRPr="00326F31">
        <w:rPr>
          <w:rFonts w:asciiTheme="majorHAnsi" w:hAnsiTheme="majorHAnsi"/>
          <w:sz w:val="20"/>
          <w:szCs w:val="20"/>
          <w:vertAlign w:val="superscript"/>
          <w:lang w:val="es-VE"/>
        </w:rPr>
        <w:footnoteReference w:id="118"/>
      </w:r>
      <w:r w:rsidRPr="00326F31">
        <w:rPr>
          <w:rFonts w:asciiTheme="majorHAnsi" w:hAnsiTheme="majorHAnsi"/>
          <w:sz w:val="20"/>
          <w:szCs w:val="20"/>
        </w:rPr>
        <w:t>. They reported that their dismissal was signed by the then President of the National Border Council José Vicente Rangel Vale, and that the Executive Secretary of the National Border Council told them that their dismissals were due to the gesture of distrust in which they had incurred by signing the petition for a presidential recall referendum</w:t>
      </w:r>
      <w:r w:rsidRPr="00326F31">
        <w:rPr>
          <w:rFonts w:asciiTheme="majorHAnsi" w:hAnsiTheme="majorHAnsi"/>
          <w:sz w:val="20"/>
          <w:szCs w:val="20"/>
          <w:vertAlign w:val="superscript"/>
          <w:lang w:val="es-VE"/>
        </w:rPr>
        <w:footnoteReference w:id="119"/>
      </w:r>
      <w:r w:rsidRPr="00326F31">
        <w:rPr>
          <w:rFonts w:asciiTheme="majorHAnsi" w:hAnsiTheme="majorHAnsi"/>
          <w:sz w:val="20"/>
          <w:szCs w:val="20"/>
        </w:rPr>
        <w:t>.</w:t>
      </w:r>
    </w:p>
    <w:p w14:paraId="5F55E025" w14:textId="77777777" w:rsidR="001E69EE" w:rsidRPr="00326F31" w:rsidRDefault="001E69EE" w:rsidP="00326F31">
      <w:pPr>
        <w:jc w:val="both"/>
        <w:rPr>
          <w:rFonts w:asciiTheme="majorHAnsi" w:hAnsiTheme="majorHAnsi"/>
          <w:sz w:val="20"/>
          <w:szCs w:val="20"/>
        </w:rPr>
      </w:pPr>
    </w:p>
    <w:p w14:paraId="4DF3551C" w14:textId="281D8DBD" w:rsidR="001E69EE" w:rsidRPr="00326F31" w:rsidRDefault="001E69EE"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On July 7, 2004, the Office of the Thirty-Seventh Prosecuting Attorney ordered the launch of the criminal investigation</w:t>
      </w:r>
      <w:r w:rsidRPr="00326F31">
        <w:rPr>
          <w:rFonts w:asciiTheme="majorHAnsi" w:hAnsiTheme="majorHAnsi"/>
          <w:sz w:val="20"/>
          <w:szCs w:val="20"/>
          <w:vertAlign w:val="superscript"/>
          <w:lang w:val="es-VE"/>
        </w:rPr>
        <w:footnoteReference w:id="120"/>
      </w:r>
      <w:r w:rsidRPr="00326F31">
        <w:rPr>
          <w:rFonts w:asciiTheme="majorHAnsi" w:hAnsiTheme="majorHAnsi"/>
          <w:sz w:val="20"/>
          <w:szCs w:val="20"/>
        </w:rPr>
        <w:t xml:space="preserve"> . On July 14, 2004 the Prosecutor interviewed the Executive Secretary of the National Border Council, Feijoo Colomine Rincones</w:t>
      </w:r>
      <w:r w:rsidRPr="00326F31">
        <w:rPr>
          <w:rFonts w:asciiTheme="majorHAnsi" w:hAnsiTheme="majorHAnsi"/>
          <w:sz w:val="20"/>
          <w:szCs w:val="20"/>
          <w:vertAlign w:val="superscript"/>
          <w:lang w:val="es-VE"/>
        </w:rPr>
        <w:footnoteReference w:id="121"/>
      </w:r>
      <w:r w:rsidRPr="00326F31">
        <w:rPr>
          <w:rFonts w:asciiTheme="majorHAnsi" w:hAnsiTheme="majorHAnsi"/>
          <w:sz w:val="20"/>
          <w:szCs w:val="20"/>
        </w:rPr>
        <w:t>. On the same date the Executive Secretary presented a report to the Prosecutor 37 of the Public Ministry</w:t>
      </w:r>
      <w:r w:rsidRPr="00326F31">
        <w:rPr>
          <w:rFonts w:asciiTheme="majorHAnsi" w:hAnsiTheme="majorHAnsi"/>
          <w:sz w:val="20"/>
          <w:szCs w:val="20"/>
          <w:vertAlign w:val="superscript"/>
          <w:lang w:val="es-VE"/>
        </w:rPr>
        <w:footnoteReference w:id="122"/>
      </w:r>
      <w:r w:rsidRPr="00326F31">
        <w:rPr>
          <w:rFonts w:asciiTheme="majorHAnsi" w:hAnsiTheme="majorHAnsi"/>
          <w:sz w:val="20"/>
          <w:szCs w:val="20"/>
        </w:rPr>
        <w:t>. On July 15, Rocío San Miguel, and Thais Coromoto Peña gave their statements, and on July 16 Magally Chang Girón made her statement</w:t>
      </w:r>
      <w:r w:rsidRPr="00326F31">
        <w:rPr>
          <w:rFonts w:asciiTheme="majorHAnsi" w:hAnsiTheme="majorHAnsi"/>
          <w:sz w:val="20"/>
          <w:szCs w:val="20"/>
          <w:vertAlign w:val="superscript"/>
          <w:lang w:val="es-VE"/>
        </w:rPr>
        <w:footnoteReference w:id="123"/>
      </w:r>
      <w:r w:rsidRPr="00326F31">
        <w:rPr>
          <w:rFonts w:asciiTheme="majorHAnsi" w:hAnsiTheme="majorHAnsi"/>
          <w:sz w:val="20"/>
          <w:szCs w:val="20"/>
        </w:rPr>
        <w:t>.</w:t>
      </w:r>
    </w:p>
    <w:p w14:paraId="77F6824D" w14:textId="77777777" w:rsidR="00DE2557" w:rsidRPr="00326F31" w:rsidRDefault="00DE2557" w:rsidP="00326F31">
      <w:pPr>
        <w:pStyle w:val="ListParagraph"/>
        <w:jc w:val="both"/>
        <w:rPr>
          <w:rFonts w:asciiTheme="majorHAnsi" w:hAnsiTheme="majorHAnsi"/>
          <w:sz w:val="20"/>
          <w:szCs w:val="20"/>
        </w:rPr>
      </w:pPr>
    </w:p>
    <w:p w14:paraId="08F0603A" w14:textId="4A4CB9E3" w:rsidR="00DE2557" w:rsidRPr="00326F31" w:rsidRDefault="00DE2557"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On January 21, 2005 the Thirty-Seventh Prosecuting Attorney requested the dismissal of the case to a trial judge, considering that the facts were not criminal in nature and noting that it could not be established the violation of a constitutional right as these were contractually established relationships, and as stipulated in the seventh clause of the contract signed by the plaintiffs the right to terminate the contract was reserved to the contractor</w:t>
      </w:r>
      <w:r w:rsidRPr="00326F31">
        <w:rPr>
          <w:rStyle w:val="FootnoteReference"/>
          <w:rFonts w:asciiTheme="majorHAnsi" w:hAnsiTheme="majorHAnsi"/>
          <w:sz w:val="20"/>
          <w:szCs w:val="20"/>
          <w:lang w:val="es-ES"/>
        </w:rPr>
        <w:footnoteReference w:id="124"/>
      </w:r>
      <w:r w:rsidRPr="00326F31">
        <w:rPr>
          <w:rFonts w:asciiTheme="majorHAnsi" w:hAnsiTheme="majorHAnsi"/>
          <w:sz w:val="20"/>
          <w:szCs w:val="20"/>
        </w:rPr>
        <w:t>. On April 4, 2005 the Twenty-First Judge of First Instance acting as Control Court ordered the dismissal of the case considerin</w:t>
      </w:r>
      <w:r w:rsidR="000B30B2" w:rsidRPr="00326F31">
        <w:rPr>
          <w:rFonts w:asciiTheme="majorHAnsi" w:hAnsiTheme="majorHAnsi"/>
          <w:sz w:val="20"/>
          <w:szCs w:val="20"/>
        </w:rPr>
        <w:t>g</w:t>
      </w:r>
      <w:r w:rsidRPr="00326F31">
        <w:rPr>
          <w:rFonts w:asciiTheme="majorHAnsi" w:hAnsiTheme="majorHAnsi"/>
          <w:sz w:val="20"/>
          <w:szCs w:val="20"/>
        </w:rPr>
        <w:t xml:space="preserve"> that,</w:t>
      </w:r>
    </w:p>
    <w:p w14:paraId="66342A6D" w14:textId="77777777" w:rsidR="000B30B2" w:rsidRPr="00326F31" w:rsidRDefault="000B30B2" w:rsidP="00326F31">
      <w:pPr>
        <w:ind w:right="720"/>
        <w:jc w:val="both"/>
        <w:rPr>
          <w:rFonts w:asciiTheme="majorHAnsi" w:hAnsiTheme="majorHAnsi"/>
          <w:sz w:val="20"/>
          <w:szCs w:val="20"/>
        </w:rPr>
      </w:pPr>
    </w:p>
    <w:p w14:paraId="7A4C8C08" w14:textId="7123A645" w:rsidR="000B30B2" w:rsidRPr="00326F31" w:rsidRDefault="000B30B2" w:rsidP="00326F31">
      <w:pPr>
        <w:ind w:left="720" w:right="720"/>
        <w:jc w:val="both"/>
        <w:rPr>
          <w:rFonts w:asciiTheme="majorHAnsi" w:hAnsiTheme="majorHAnsi"/>
          <w:sz w:val="20"/>
          <w:szCs w:val="20"/>
        </w:rPr>
      </w:pPr>
      <w:r w:rsidRPr="00326F31">
        <w:rPr>
          <w:rFonts w:asciiTheme="majorHAnsi" w:hAnsiTheme="majorHAnsi"/>
          <w:sz w:val="20"/>
          <w:szCs w:val="20"/>
        </w:rPr>
        <w:t xml:space="preserve">None of the clauses evidence that rules of criminal nature were violated, and although it is evident that the President of the National Border Council decided to terminate the procurement of services, the fact remains that this was allowed by the contract signed between the parties, in observing that none of the reported elements lead to corroborate the plaintiffs claim that the reason for the termination of the contract was the fact they voted in the recall referendum, and that if it were so, those facts are not criminal offenses, as the </w:t>
      </w:r>
      <w:r w:rsidR="00EE3156">
        <w:rPr>
          <w:rFonts w:asciiTheme="majorHAnsi" w:hAnsiTheme="majorHAnsi"/>
          <w:sz w:val="20"/>
          <w:szCs w:val="20"/>
        </w:rPr>
        <w:t xml:space="preserve">rules invoked as violating (sic) </w:t>
      </w:r>
      <w:r w:rsidRPr="00326F31">
        <w:rPr>
          <w:rFonts w:asciiTheme="majorHAnsi" w:hAnsiTheme="majorHAnsi"/>
          <w:sz w:val="20"/>
          <w:szCs w:val="20"/>
        </w:rPr>
        <w:t>constitutional rights, are not punishable acts, and in any case, the disagreements arising as a result of a contractual relationship are not within the jurisdiction of this court, since the plaintiffs could pursue their claim in other administrative or labor jurisdiction, for the purpose of ensuring their right to work, as criminal proceedings are not the</w:t>
      </w:r>
      <w:r w:rsidR="005E6C10">
        <w:rPr>
          <w:rFonts w:asciiTheme="majorHAnsi" w:hAnsiTheme="majorHAnsi"/>
          <w:sz w:val="20"/>
          <w:szCs w:val="20"/>
        </w:rPr>
        <w:t xml:space="preserve"> </w:t>
      </w:r>
      <w:r w:rsidRPr="00326F31">
        <w:rPr>
          <w:rFonts w:asciiTheme="majorHAnsi" w:hAnsiTheme="majorHAnsi"/>
          <w:sz w:val="20"/>
          <w:szCs w:val="20"/>
        </w:rPr>
        <w:t>ideal proceedings for their claim</w:t>
      </w:r>
      <w:r w:rsidRPr="00326F31">
        <w:rPr>
          <w:rFonts w:asciiTheme="majorHAnsi" w:hAnsiTheme="majorHAnsi"/>
          <w:sz w:val="20"/>
          <w:szCs w:val="20"/>
          <w:vertAlign w:val="superscript"/>
        </w:rPr>
        <w:footnoteReference w:id="125"/>
      </w:r>
      <w:r w:rsidRPr="00326F31">
        <w:rPr>
          <w:rFonts w:asciiTheme="majorHAnsi" w:hAnsiTheme="majorHAnsi"/>
          <w:sz w:val="20"/>
          <w:szCs w:val="20"/>
        </w:rPr>
        <w:t>.</w:t>
      </w:r>
      <w:r w:rsidR="005E6C10">
        <w:rPr>
          <w:rFonts w:asciiTheme="majorHAnsi" w:hAnsiTheme="majorHAnsi"/>
          <w:sz w:val="20"/>
          <w:szCs w:val="20"/>
        </w:rPr>
        <w:t xml:space="preserve"> </w:t>
      </w:r>
    </w:p>
    <w:p w14:paraId="5D0D41A9" w14:textId="77777777" w:rsidR="009D33B2" w:rsidRPr="00326F31" w:rsidRDefault="009D33B2" w:rsidP="00326F31">
      <w:pPr>
        <w:pBdr>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14:paraId="50EBE62D" w14:textId="16E66C83" w:rsidR="000B30B2" w:rsidRPr="00326F31" w:rsidRDefault="000B30B2"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 xml:space="preserve">On April 15, 2005, Rocío San Miguel Sosa, Magally Chang Girón, and Thais Coromoto Peña appealed against the decision to dismiss the case, arguing that the decision erred in law in concluding that </w:t>
      </w:r>
      <w:r w:rsidRPr="00326F31">
        <w:rPr>
          <w:rFonts w:asciiTheme="majorHAnsi" w:hAnsiTheme="majorHAnsi"/>
          <w:sz w:val="20"/>
          <w:szCs w:val="20"/>
        </w:rPr>
        <w:lastRenderedPageBreak/>
        <w:t>"</w:t>
      </w:r>
      <w:r w:rsidR="002E607F" w:rsidRPr="00326F31">
        <w:rPr>
          <w:rFonts w:asciiTheme="majorHAnsi" w:hAnsiTheme="majorHAnsi"/>
          <w:sz w:val="20"/>
          <w:szCs w:val="20"/>
        </w:rPr>
        <w:t xml:space="preserve">even </w:t>
      </w:r>
      <w:r w:rsidRPr="00326F31">
        <w:rPr>
          <w:rFonts w:asciiTheme="majorHAnsi" w:hAnsiTheme="majorHAnsi"/>
          <w:sz w:val="20"/>
          <w:szCs w:val="20"/>
        </w:rPr>
        <w:t>if it had been that way (if it had been confirmed that the reason for the termination of the contract was voting in the recall referendum) neither such allegations constitute offenses”</w:t>
      </w:r>
      <w:r w:rsidRPr="00326F31">
        <w:rPr>
          <w:rFonts w:asciiTheme="majorHAnsi" w:hAnsiTheme="majorHAnsi"/>
          <w:sz w:val="20"/>
          <w:szCs w:val="20"/>
          <w:vertAlign w:val="superscript"/>
        </w:rPr>
        <w:t xml:space="preserve"> </w:t>
      </w:r>
      <w:r w:rsidRPr="00326F31">
        <w:rPr>
          <w:rFonts w:asciiTheme="majorHAnsi" w:hAnsiTheme="majorHAnsi"/>
          <w:sz w:val="20"/>
          <w:szCs w:val="20"/>
          <w:vertAlign w:val="superscript"/>
        </w:rPr>
        <w:footnoteReference w:id="126"/>
      </w:r>
      <w:r w:rsidRPr="00326F31">
        <w:rPr>
          <w:rFonts w:asciiTheme="majorHAnsi" w:hAnsiTheme="majorHAnsi"/>
          <w:sz w:val="20"/>
          <w:szCs w:val="20"/>
        </w:rPr>
        <w:t>,</w:t>
      </w:r>
      <w:r w:rsidR="005E6C10">
        <w:rPr>
          <w:rFonts w:asciiTheme="majorHAnsi" w:hAnsiTheme="majorHAnsi"/>
          <w:sz w:val="20"/>
          <w:szCs w:val="20"/>
        </w:rPr>
        <w:t xml:space="preserve"> </w:t>
      </w:r>
      <w:r w:rsidRPr="00326F31">
        <w:rPr>
          <w:rFonts w:asciiTheme="majorHAnsi" w:hAnsiTheme="majorHAnsi"/>
          <w:sz w:val="20"/>
          <w:szCs w:val="20"/>
        </w:rPr>
        <w:t xml:space="preserve">but since the alleged facts do constitute crimes, and if </w:t>
      </w:r>
      <w:r w:rsidR="00BE1380">
        <w:rPr>
          <w:rFonts w:asciiTheme="majorHAnsi" w:hAnsiTheme="majorHAnsi"/>
          <w:sz w:val="20"/>
          <w:szCs w:val="20"/>
        </w:rPr>
        <w:t xml:space="preserve">it </w:t>
      </w:r>
      <w:r w:rsidRPr="00326F31">
        <w:rPr>
          <w:rFonts w:asciiTheme="majorHAnsi" w:hAnsiTheme="majorHAnsi"/>
          <w:sz w:val="20"/>
          <w:szCs w:val="20"/>
        </w:rPr>
        <w:t>wasn’t corroborate that the reason for the termination of contracts was the participation in the recall referendum, it was precisely because the prosecution did not develop a proper investigation</w:t>
      </w:r>
      <w:r w:rsidRPr="00326F31">
        <w:rPr>
          <w:rFonts w:asciiTheme="majorHAnsi" w:hAnsiTheme="majorHAnsi"/>
          <w:sz w:val="20"/>
          <w:szCs w:val="20"/>
          <w:vertAlign w:val="superscript"/>
        </w:rPr>
        <w:footnoteReference w:id="127"/>
      </w:r>
      <w:r w:rsidRPr="00326F31">
        <w:rPr>
          <w:rFonts w:asciiTheme="majorHAnsi" w:hAnsiTheme="majorHAnsi"/>
          <w:sz w:val="20"/>
          <w:szCs w:val="20"/>
        </w:rPr>
        <w:t>.</w:t>
      </w:r>
    </w:p>
    <w:p w14:paraId="6E8568C1" w14:textId="77777777" w:rsidR="001F2E46" w:rsidRPr="00326F31" w:rsidRDefault="001F2E46" w:rsidP="00326F31">
      <w:pPr>
        <w:jc w:val="both"/>
        <w:rPr>
          <w:rFonts w:asciiTheme="majorHAnsi" w:hAnsiTheme="majorHAnsi"/>
          <w:sz w:val="20"/>
          <w:szCs w:val="20"/>
        </w:rPr>
      </w:pPr>
    </w:p>
    <w:p w14:paraId="7FA0D0B0" w14:textId="2B86D425" w:rsidR="001F2E46" w:rsidRPr="00326F31" w:rsidRDefault="001F2E46"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26F31">
        <w:rPr>
          <w:rFonts w:asciiTheme="majorHAnsi" w:hAnsiTheme="majorHAnsi"/>
          <w:sz w:val="20"/>
          <w:szCs w:val="20"/>
        </w:rPr>
        <w:t>On April 28, 2005 the Thirty-Seventh Prosecuting Attorney requested the members of the Court of Appeal to dismiss the appeal considering that "the trial record show that the measures taken by those interested in the subject was limited to a contractually established relationship and has nothing that intervenes in criminal law (...)"</w:t>
      </w:r>
      <w:r w:rsidRPr="00326F31">
        <w:rPr>
          <w:rStyle w:val="FootnoteReference"/>
          <w:rFonts w:asciiTheme="majorHAnsi" w:hAnsiTheme="majorHAnsi"/>
          <w:sz w:val="20"/>
          <w:szCs w:val="20"/>
          <w:lang w:val="es-ES"/>
        </w:rPr>
        <w:footnoteReference w:id="128"/>
      </w:r>
      <w:r w:rsidRPr="00326F31">
        <w:rPr>
          <w:rFonts w:asciiTheme="majorHAnsi" w:hAnsiTheme="majorHAnsi"/>
          <w:sz w:val="20"/>
          <w:szCs w:val="20"/>
        </w:rPr>
        <w:t>.</w:t>
      </w:r>
    </w:p>
    <w:p w14:paraId="4845D9DC" w14:textId="77777777" w:rsidR="001F2E46" w:rsidRPr="00326F31" w:rsidRDefault="001F2E46" w:rsidP="00326F31">
      <w:pPr>
        <w:pStyle w:val="ListParagraph"/>
        <w:jc w:val="both"/>
        <w:rPr>
          <w:rFonts w:asciiTheme="majorHAnsi" w:hAnsiTheme="majorHAnsi"/>
          <w:sz w:val="20"/>
          <w:szCs w:val="20"/>
          <w:lang w:val="es-DO"/>
        </w:rPr>
      </w:pPr>
    </w:p>
    <w:p w14:paraId="6790C19F" w14:textId="4C66AE0A" w:rsidR="001F2E46" w:rsidRPr="00326F31" w:rsidRDefault="001F2E46"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326F31">
        <w:rPr>
          <w:rFonts w:asciiTheme="majorHAnsi" w:hAnsiTheme="majorHAnsi"/>
          <w:sz w:val="20"/>
          <w:szCs w:val="20"/>
        </w:rPr>
        <w:t>On May 5, 2005 the Seventh Chamber of the Court of Appeal admitted the appeal filed</w:t>
      </w:r>
      <w:r w:rsidRPr="00326F31">
        <w:rPr>
          <w:rStyle w:val="FootnoteReference"/>
          <w:rFonts w:asciiTheme="majorHAnsi" w:hAnsiTheme="majorHAnsi"/>
          <w:sz w:val="20"/>
          <w:szCs w:val="20"/>
          <w:lang w:val="es-ES"/>
        </w:rPr>
        <w:footnoteReference w:id="129"/>
      </w:r>
      <w:r w:rsidRPr="00326F31">
        <w:rPr>
          <w:rFonts w:asciiTheme="majorHAnsi" w:hAnsiTheme="majorHAnsi"/>
          <w:sz w:val="20"/>
          <w:szCs w:val="20"/>
        </w:rPr>
        <w:t>,</w:t>
      </w:r>
      <w:r w:rsidR="005E6C10">
        <w:rPr>
          <w:rFonts w:asciiTheme="majorHAnsi" w:hAnsiTheme="majorHAnsi"/>
          <w:sz w:val="20"/>
          <w:szCs w:val="20"/>
        </w:rPr>
        <w:t xml:space="preserve"> </w:t>
      </w:r>
      <w:r w:rsidRPr="00326F31">
        <w:rPr>
          <w:rFonts w:asciiTheme="majorHAnsi" w:hAnsiTheme="majorHAnsi"/>
          <w:sz w:val="20"/>
          <w:szCs w:val="20"/>
        </w:rPr>
        <w:t>and on May 12, 2005 that same Chamber dismissed the appeal stating that "it is impossible to demand of the Public Ministry (owner</w:t>
      </w:r>
      <w:r w:rsidR="00BE1380">
        <w:rPr>
          <w:rFonts w:asciiTheme="majorHAnsi" w:hAnsiTheme="majorHAnsi"/>
          <w:sz w:val="20"/>
          <w:szCs w:val="20"/>
        </w:rPr>
        <w:t xml:space="preserve"> of the</w:t>
      </w:r>
      <w:r w:rsidRPr="00326F31">
        <w:rPr>
          <w:rFonts w:asciiTheme="majorHAnsi" w:hAnsiTheme="majorHAnsi"/>
          <w:sz w:val="20"/>
          <w:szCs w:val="20"/>
        </w:rPr>
        <w:t xml:space="preserve"> criminal action by excellence), to present a different final action other than the one already exercised (dismissal of this case) (...</w:t>
      </w:r>
      <w:r w:rsidR="00BE1380" w:rsidRPr="00326F31">
        <w:rPr>
          <w:rFonts w:asciiTheme="majorHAnsi" w:hAnsiTheme="majorHAnsi"/>
          <w:sz w:val="20"/>
          <w:szCs w:val="20"/>
        </w:rPr>
        <w:t>) “</w:t>
      </w:r>
      <w:r w:rsidRPr="00326F31">
        <w:rPr>
          <w:rStyle w:val="FootnoteReference"/>
          <w:rFonts w:asciiTheme="majorHAnsi" w:hAnsiTheme="majorHAnsi"/>
          <w:sz w:val="20"/>
          <w:szCs w:val="20"/>
          <w:lang w:val="es-ES"/>
        </w:rPr>
        <w:footnoteReference w:id="130"/>
      </w:r>
      <w:r w:rsidRPr="00326F31">
        <w:rPr>
          <w:rFonts w:asciiTheme="majorHAnsi" w:hAnsiTheme="majorHAnsi"/>
          <w:sz w:val="20"/>
          <w:szCs w:val="20"/>
          <w:lang w:val="es-ES"/>
        </w:rPr>
        <w:t>.</w:t>
      </w:r>
    </w:p>
    <w:p w14:paraId="7E348792" w14:textId="77777777" w:rsidR="001F2E46" w:rsidRPr="00326F31" w:rsidRDefault="001F2E46" w:rsidP="00326F31">
      <w:pPr>
        <w:pStyle w:val="ListParagraph"/>
        <w:jc w:val="both"/>
        <w:rPr>
          <w:rFonts w:asciiTheme="majorHAnsi" w:hAnsiTheme="majorHAnsi"/>
          <w:sz w:val="20"/>
          <w:szCs w:val="20"/>
          <w:lang w:val="es-DO"/>
        </w:rPr>
      </w:pPr>
    </w:p>
    <w:p w14:paraId="4751A771" w14:textId="476DB32A" w:rsidR="001F2E46" w:rsidRPr="00326F31" w:rsidRDefault="001F2E46"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On July 7, 2005 the alleged victims filed an appeal</w:t>
      </w:r>
      <w:r w:rsidR="00BE1380">
        <w:rPr>
          <w:rFonts w:asciiTheme="majorHAnsi" w:hAnsiTheme="majorHAnsi"/>
          <w:sz w:val="20"/>
          <w:szCs w:val="20"/>
        </w:rPr>
        <w:t xml:space="preserve"> remedy (casación)</w:t>
      </w:r>
      <w:r w:rsidRPr="00326F31">
        <w:rPr>
          <w:rFonts w:asciiTheme="majorHAnsi" w:hAnsiTheme="majorHAnsi"/>
          <w:sz w:val="20"/>
          <w:szCs w:val="20"/>
        </w:rPr>
        <w:t xml:space="preserve"> against the decision which dismissed the appeal, alleging a series of violations of the right to due process and infringement and misinterpretation of the law</w:t>
      </w:r>
      <w:r w:rsidRPr="00326F31">
        <w:rPr>
          <w:rStyle w:val="FootnoteReference"/>
          <w:rFonts w:asciiTheme="majorHAnsi" w:hAnsiTheme="majorHAnsi"/>
          <w:sz w:val="20"/>
          <w:szCs w:val="20"/>
          <w:lang w:val="es-ES"/>
        </w:rPr>
        <w:footnoteReference w:id="131"/>
      </w:r>
      <w:r w:rsidRPr="00326F31">
        <w:rPr>
          <w:rFonts w:asciiTheme="majorHAnsi" w:hAnsiTheme="majorHAnsi"/>
          <w:sz w:val="20"/>
          <w:szCs w:val="20"/>
        </w:rPr>
        <w:t>.</w:t>
      </w:r>
    </w:p>
    <w:p w14:paraId="4100C489" w14:textId="77777777" w:rsidR="001F2E46" w:rsidRPr="00326F31" w:rsidRDefault="001F2E46" w:rsidP="00326F31">
      <w:pPr>
        <w:pStyle w:val="ListParagraph"/>
        <w:jc w:val="both"/>
        <w:rPr>
          <w:rFonts w:asciiTheme="majorHAnsi" w:hAnsiTheme="majorHAnsi"/>
          <w:sz w:val="20"/>
          <w:szCs w:val="20"/>
        </w:rPr>
      </w:pPr>
    </w:p>
    <w:p w14:paraId="25C28EC0" w14:textId="536FF9AD" w:rsidR="001F2E46" w:rsidRPr="00326F31" w:rsidRDefault="001F2E46"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On 27 September 2005 the Chamber of Criminal Appeals of the Supreme Court dismissed the appeal brought by the victims of the case on the grounds that the appellants "failed to demonstrate the usefulness of the appeal remedy (</w:t>
      </w:r>
      <w:r w:rsidR="00101CD1">
        <w:rPr>
          <w:rFonts w:asciiTheme="majorHAnsi" w:hAnsiTheme="majorHAnsi"/>
          <w:i/>
          <w:sz w:val="20"/>
          <w:szCs w:val="20"/>
        </w:rPr>
        <w:t>casac</w:t>
      </w:r>
      <w:r w:rsidRPr="00326F31">
        <w:rPr>
          <w:rFonts w:asciiTheme="majorHAnsi" w:hAnsiTheme="majorHAnsi"/>
          <w:i/>
          <w:sz w:val="20"/>
          <w:szCs w:val="20"/>
        </w:rPr>
        <w:t>ión</w:t>
      </w:r>
      <w:r w:rsidR="00AA552C">
        <w:rPr>
          <w:rFonts w:asciiTheme="majorHAnsi" w:hAnsiTheme="majorHAnsi"/>
          <w:sz w:val="20"/>
          <w:szCs w:val="20"/>
        </w:rPr>
        <w:t>) and did not express</w:t>
      </w:r>
      <w:r w:rsidRPr="00326F31">
        <w:rPr>
          <w:rFonts w:asciiTheme="majorHAnsi" w:hAnsiTheme="majorHAnsi"/>
          <w:sz w:val="20"/>
          <w:szCs w:val="20"/>
        </w:rPr>
        <w:t xml:space="preserve"> their arguments clearly"</w:t>
      </w:r>
      <w:r w:rsidRPr="00326F31">
        <w:rPr>
          <w:rStyle w:val="FootnoteReference"/>
          <w:rFonts w:asciiTheme="majorHAnsi" w:hAnsiTheme="majorHAnsi"/>
          <w:sz w:val="20"/>
          <w:szCs w:val="20"/>
          <w:lang w:val="es-ES"/>
        </w:rPr>
        <w:footnoteReference w:id="132"/>
      </w:r>
      <w:r w:rsidR="00101CD1">
        <w:rPr>
          <w:rFonts w:asciiTheme="majorHAnsi" w:hAnsiTheme="majorHAnsi"/>
          <w:sz w:val="20"/>
          <w:szCs w:val="20"/>
        </w:rPr>
        <w:t>.</w:t>
      </w:r>
    </w:p>
    <w:p w14:paraId="3136E932" w14:textId="77777777" w:rsidR="00F36DD3" w:rsidRPr="00326F31" w:rsidRDefault="00F36DD3" w:rsidP="00326F31">
      <w:pPr>
        <w:suppressAutoHyphens/>
        <w:jc w:val="both"/>
        <w:rPr>
          <w:rFonts w:asciiTheme="majorHAnsi" w:hAnsiTheme="majorHAnsi"/>
          <w:sz w:val="20"/>
          <w:szCs w:val="20"/>
        </w:rPr>
      </w:pPr>
    </w:p>
    <w:p w14:paraId="229CFB48" w14:textId="11B83C07" w:rsidR="00E40449" w:rsidRPr="00326F31" w:rsidRDefault="00544FB3" w:rsidP="00326F31">
      <w:pPr>
        <w:pStyle w:val="Heading1"/>
        <w:numPr>
          <w:ilvl w:val="0"/>
          <w:numId w:val="55"/>
        </w:numPr>
        <w:tabs>
          <w:tab w:val="clear" w:pos="1440"/>
        </w:tabs>
        <w:jc w:val="both"/>
      </w:pPr>
      <w:bookmarkStart w:id="18" w:name="_Toc433311134"/>
      <w:r w:rsidRPr="00326F31">
        <w:t>LEGAL ANALYSIS</w:t>
      </w:r>
      <w:bookmarkEnd w:id="18"/>
    </w:p>
    <w:p w14:paraId="7B60C402" w14:textId="77777777" w:rsidR="006E00A3" w:rsidRPr="00326F31" w:rsidRDefault="006E00A3" w:rsidP="00326F31">
      <w:pPr>
        <w:jc w:val="both"/>
        <w:rPr>
          <w:rFonts w:asciiTheme="majorHAnsi" w:hAnsiTheme="majorHAnsi"/>
          <w:sz w:val="20"/>
          <w:szCs w:val="20"/>
          <w:lang w:val="es-ES"/>
        </w:rPr>
      </w:pPr>
    </w:p>
    <w:p w14:paraId="038256CC" w14:textId="12A1A980" w:rsidR="004B5C1A" w:rsidRPr="001E6089" w:rsidRDefault="00003C98" w:rsidP="001E6089">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 xml:space="preserve">Based on the arguments of the parties and the proven facts, the Commission will decide first whether the creation of the "Tascón list" and its dissemination are itself violations of the American Convention. Secondly, the Commission will examine whether the dismissal of the alleged victims constituted a violation of political rights, freedom of expression and the principle of equality and non-discrimination. Third, the Commission shall determine whether the processes initiated internally constituted an effective remedy to protect them judicially against the dismissal. </w:t>
      </w:r>
      <w:r w:rsidRPr="001E6089">
        <w:rPr>
          <w:rFonts w:asciiTheme="majorHAnsi" w:hAnsiTheme="majorHAnsi"/>
          <w:sz w:val="20"/>
          <w:szCs w:val="20"/>
        </w:rPr>
        <w:t xml:space="preserve">Finally, the Commission will refer to the allegations of the petitioners regarding the violation of the right to personal integrity. Consequently, the Commission will conduct its legal analysis </w:t>
      </w:r>
      <w:r w:rsidR="004B5C1A" w:rsidRPr="001E6089">
        <w:rPr>
          <w:rFonts w:asciiTheme="majorHAnsi" w:hAnsiTheme="majorHAnsi"/>
          <w:sz w:val="20"/>
          <w:szCs w:val="20"/>
        </w:rPr>
        <w:t xml:space="preserve">referring </w:t>
      </w:r>
      <w:r w:rsidR="001E6089">
        <w:rPr>
          <w:rFonts w:asciiTheme="majorHAnsi" w:hAnsiTheme="majorHAnsi"/>
          <w:sz w:val="20"/>
          <w:szCs w:val="20"/>
        </w:rPr>
        <w:t>first to political rights, freedom of expression and to the principle of</w:t>
      </w:r>
      <w:r w:rsidR="00064D7F">
        <w:rPr>
          <w:rFonts w:asciiTheme="majorHAnsi" w:hAnsiTheme="majorHAnsi"/>
          <w:sz w:val="20"/>
          <w:szCs w:val="20"/>
        </w:rPr>
        <w:t xml:space="preserve"> equality and non-discrimination in the context of the dismissal. Second, the Commission will refer to the rights to a fair trial and judicial protection. </w:t>
      </w:r>
    </w:p>
    <w:p w14:paraId="2175099C" w14:textId="77777777" w:rsidR="00003C98" w:rsidRDefault="00003C98" w:rsidP="00326F31">
      <w:pPr>
        <w:ind w:right="720"/>
        <w:jc w:val="both"/>
        <w:rPr>
          <w:rFonts w:asciiTheme="majorHAnsi" w:eastAsia="Times New Roman" w:hAnsiTheme="majorHAnsi"/>
          <w:sz w:val="20"/>
          <w:szCs w:val="20"/>
          <w:lang w:eastAsia="es-ES"/>
        </w:rPr>
      </w:pPr>
    </w:p>
    <w:p w14:paraId="28D0D900" w14:textId="77777777" w:rsidR="00D7257D" w:rsidRPr="00326F31" w:rsidRDefault="00D7257D" w:rsidP="00326F31">
      <w:pPr>
        <w:pBdr>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lang w:eastAsia="es-ES"/>
        </w:rPr>
      </w:pPr>
    </w:p>
    <w:p w14:paraId="6F21943D" w14:textId="7F99C399" w:rsidR="00D7257D" w:rsidRPr="00326F31" w:rsidRDefault="00D34CE7" w:rsidP="00AA552C">
      <w:pPr>
        <w:pStyle w:val="Heading2"/>
        <w:numPr>
          <w:ilvl w:val="0"/>
          <w:numId w:val="62"/>
        </w:numPr>
        <w:ind w:left="1440" w:hanging="720"/>
        <w:rPr>
          <w:lang w:val="en-US"/>
        </w:rPr>
      </w:pPr>
      <w:bookmarkStart w:id="19" w:name="_Toc433311135"/>
      <w:r w:rsidRPr="00326F31">
        <w:rPr>
          <w:lang w:val="en-US"/>
        </w:rPr>
        <w:lastRenderedPageBreak/>
        <w:t>Political rights, freedom of expression and the principle of equality and non-discrimination in the context of the dismissal (Articles 23.1, 13.1 and 13.3, 24 and 1.1 of the American Convention)</w:t>
      </w:r>
      <w:bookmarkEnd w:id="19"/>
    </w:p>
    <w:p w14:paraId="7640CDAF" w14:textId="77777777" w:rsidR="00D7257D" w:rsidRPr="00326F31" w:rsidRDefault="00D7257D" w:rsidP="00326F31">
      <w:pPr>
        <w:pBdr>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lang w:eastAsia="es-ES"/>
        </w:rPr>
      </w:pPr>
    </w:p>
    <w:p w14:paraId="6ED245C3" w14:textId="25D5B798" w:rsidR="001C0C84" w:rsidRPr="00326F31" w:rsidRDefault="008D0DEE"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eastAsia="Times New Roman" w:hAnsiTheme="majorHAnsi"/>
          <w:sz w:val="20"/>
          <w:szCs w:val="20"/>
          <w:lang w:eastAsia="es-ES"/>
        </w:rPr>
        <w:t>Article 23.1 of the American Convention states:</w:t>
      </w:r>
    </w:p>
    <w:p w14:paraId="568E22B1" w14:textId="77777777" w:rsidR="008D0DEE" w:rsidRPr="00326F31" w:rsidRDefault="008D0DEE" w:rsidP="00326F31">
      <w:pPr>
        <w:pBdr>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14:paraId="74D6A880" w14:textId="2CA361FC" w:rsidR="007D4D0A" w:rsidRPr="00326F31" w:rsidRDefault="007D4D0A" w:rsidP="00326F31">
      <w:pPr>
        <w:tabs>
          <w:tab w:val="left" w:pos="709"/>
        </w:tabs>
        <w:suppressAutoHyphens/>
        <w:ind w:left="709"/>
        <w:jc w:val="both"/>
        <w:rPr>
          <w:rFonts w:asciiTheme="majorHAnsi" w:hAnsiTheme="majorHAnsi"/>
          <w:spacing w:val="-3"/>
          <w:sz w:val="20"/>
          <w:szCs w:val="20"/>
        </w:rPr>
      </w:pPr>
      <w:r w:rsidRPr="00326F31">
        <w:rPr>
          <w:rFonts w:asciiTheme="majorHAnsi" w:hAnsiTheme="majorHAnsi"/>
          <w:spacing w:val="-3"/>
          <w:sz w:val="20"/>
          <w:szCs w:val="20"/>
        </w:rPr>
        <w:tab/>
        <w:t>1.</w:t>
      </w:r>
      <w:r w:rsidRPr="00326F31">
        <w:rPr>
          <w:rFonts w:asciiTheme="majorHAnsi" w:hAnsiTheme="majorHAnsi"/>
          <w:spacing w:val="-3"/>
          <w:sz w:val="20"/>
          <w:szCs w:val="20"/>
        </w:rPr>
        <w:tab/>
      </w:r>
      <w:r w:rsidR="008D0DEE" w:rsidRPr="00326F31">
        <w:rPr>
          <w:rFonts w:asciiTheme="majorHAnsi" w:hAnsiTheme="majorHAnsi"/>
          <w:spacing w:val="-3"/>
          <w:sz w:val="20"/>
          <w:szCs w:val="20"/>
        </w:rPr>
        <w:t>Every citizen shall enjoy the following rights and opportunities:</w:t>
      </w:r>
    </w:p>
    <w:p w14:paraId="12F2D046" w14:textId="77777777" w:rsidR="008D0DEE" w:rsidRPr="00326F31" w:rsidRDefault="008D0DEE" w:rsidP="00326F31">
      <w:pPr>
        <w:tabs>
          <w:tab w:val="left" w:pos="709"/>
        </w:tabs>
        <w:suppressAutoHyphens/>
        <w:ind w:left="709"/>
        <w:jc w:val="both"/>
        <w:rPr>
          <w:rFonts w:asciiTheme="majorHAnsi" w:hAnsiTheme="majorHAnsi"/>
          <w:spacing w:val="-3"/>
          <w:sz w:val="20"/>
          <w:szCs w:val="20"/>
        </w:rPr>
      </w:pPr>
    </w:p>
    <w:p w14:paraId="6A0B3BB8" w14:textId="32C8AE00" w:rsidR="007D4D0A" w:rsidRPr="00326F31" w:rsidRDefault="007D4D0A" w:rsidP="00326F31">
      <w:pPr>
        <w:pStyle w:val="BodyTextIndent"/>
        <w:tabs>
          <w:tab w:val="left" w:pos="709"/>
        </w:tabs>
        <w:ind w:left="709" w:right="571" w:firstLine="0"/>
        <w:jc w:val="both"/>
        <w:rPr>
          <w:rFonts w:asciiTheme="majorHAnsi" w:hAnsiTheme="majorHAnsi"/>
          <w:sz w:val="20"/>
          <w:szCs w:val="20"/>
          <w:lang w:val="en-US"/>
        </w:rPr>
      </w:pPr>
      <w:r w:rsidRPr="00326F31">
        <w:rPr>
          <w:rFonts w:asciiTheme="majorHAnsi" w:hAnsiTheme="majorHAnsi"/>
          <w:sz w:val="20"/>
          <w:szCs w:val="20"/>
          <w:lang w:val="en-US"/>
        </w:rPr>
        <w:t>a.</w:t>
      </w:r>
      <w:r w:rsidRPr="00326F31">
        <w:rPr>
          <w:rFonts w:asciiTheme="majorHAnsi" w:hAnsiTheme="majorHAnsi"/>
          <w:sz w:val="20"/>
          <w:szCs w:val="20"/>
          <w:lang w:val="en-US"/>
        </w:rPr>
        <w:tab/>
      </w:r>
      <w:r w:rsidR="008D0DEE" w:rsidRPr="00326F31">
        <w:rPr>
          <w:rFonts w:asciiTheme="majorHAnsi" w:hAnsiTheme="majorHAnsi"/>
          <w:sz w:val="20"/>
          <w:szCs w:val="20"/>
          <w:lang w:val="en-US"/>
        </w:rPr>
        <w:t>to take part in the conduct of public affairs, directly or through freely chosen representatives;</w:t>
      </w:r>
    </w:p>
    <w:p w14:paraId="4BFF008C" w14:textId="77777777" w:rsidR="007D4D0A" w:rsidRPr="00326F31" w:rsidRDefault="007D4D0A" w:rsidP="00326F31">
      <w:pPr>
        <w:tabs>
          <w:tab w:val="left" w:pos="709"/>
        </w:tabs>
        <w:suppressAutoHyphens/>
        <w:ind w:left="709" w:right="571"/>
        <w:jc w:val="both"/>
        <w:rPr>
          <w:rFonts w:asciiTheme="majorHAnsi" w:hAnsiTheme="majorHAnsi"/>
          <w:spacing w:val="-3"/>
          <w:sz w:val="20"/>
          <w:szCs w:val="20"/>
        </w:rPr>
      </w:pPr>
    </w:p>
    <w:p w14:paraId="10C4DA9F" w14:textId="41C30A83" w:rsidR="007D4D0A" w:rsidRPr="00326F31" w:rsidRDefault="007D4D0A" w:rsidP="00326F31">
      <w:pPr>
        <w:tabs>
          <w:tab w:val="left" w:pos="709"/>
        </w:tabs>
        <w:suppressAutoHyphens/>
        <w:ind w:left="709" w:right="571"/>
        <w:jc w:val="both"/>
        <w:rPr>
          <w:rFonts w:asciiTheme="majorHAnsi" w:hAnsiTheme="majorHAnsi"/>
          <w:spacing w:val="-3"/>
          <w:sz w:val="20"/>
          <w:szCs w:val="20"/>
        </w:rPr>
      </w:pPr>
      <w:r w:rsidRPr="00326F31">
        <w:rPr>
          <w:rFonts w:asciiTheme="majorHAnsi" w:hAnsiTheme="majorHAnsi"/>
          <w:spacing w:val="-3"/>
          <w:sz w:val="20"/>
          <w:szCs w:val="20"/>
        </w:rPr>
        <w:t>b.</w:t>
      </w:r>
      <w:r w:rsidRPr="00326F31">
        <w:rPr>
          <w:rFonts w:asciiTheme="majorHAnsi" w:hAnsiTheme="majorHAnsi"/>
          <w:spacing w:val="-3"/>
          <w:sz w:val="20"/>
          <w:szCs w:val="20"/>
        </w:rPr>
        <w:tab/>
      </w:r>
      <w:r w:rsidR="008D0DEE" w:rsidRPr="00326F31">
        <w:rPr>
          <w:rFonts w:asciiTheme="majorHAnsi" w:eastAsia="Times New Roman" w:hAnsiTheme="majorHAnsi"/>
          <w:sz w:val="20"/>
          <w:szCs w:val="20"/>
          <w:lang w:eastAsia="es-ES"/>
        </w:rPr>
        <w:t>to vote and to be elected in genuine periodic elections, which shall be by universal and equal suffrage and by secret ballot that guarantees the free expression of the will of the voters; and</w:t>
      </w:r>
    </w:p>
    <w:p w14:paraId="6B03BE7B" w14:textId="77777777" w:rsidR="007D4D0A" w:rsidRPr="00326F31" w:rsidRDefault="007D4D0A" w:rsidP="00326F31">
      <w:pPr>
        <w:tabs>
          <w:tab w:val="left" w:pos="709"/>
        </w:tabs>
        <w:suppressAutoHyphens/>
        <w:ind w:left="709" w:right="571"/>
        <w:jc w:val="both"/>
        <w:rPr>
          <w:rFonts w:asciiTheme="majorHAnsi" w:hAnsiTheme="majorHAnsi"/>
          <w:spacing w:val="-3"/>
          <w:sz w:val="20"/>
          <w:szCs w:val="20"/>
        </w:rPr>
      </w:pPr>
    </w:p>
    <w:p w14:paraId="4626BA11" w14:textId="720C3E86" w:rsidR="008D0DEE" w:rsidRPr="00326F31" w:rsidRDefault="007D4D0A" w:rsidP="00326F31">
      <w:pPr>
        <w:tabs>
          <w:tab w:val="left" w:pos="709"/>
        </w:tabs>
        <w:suppressAutoHyphens/>
        <w:ind w:left="709" w:right="571"/>
        <w:jc w:val="both"/>
        <w:rPr>
          <w:rFonts w:asciiTheme="majorHAnsi" w:hAnsiTheme="majorHAnsi"/>
          <w:spacing w:val="-3"/>
          <w:sz w:val="20"/>
          <w:szCs w:val="20"/>
        </w:rPr>
      </w:pPr>
      <w:r w:rsidRPr="00326F31">
        <w:rPr>
          <w:rFonts w:asciiTheme="majorHAnsi" w:hAnsiTheme="majorHAnsi"/>
          <w:spacing w:val="-3"/>
          <w:sz w:val="20"/>
          <w:szCs w:val="20"/>
        </w:rPr>
        <w:t>c.</w:t>
      </w:r>
      <w:r w:rsidRPr="00326F31">
        <w:rPr>
          <w:rFonts w:asciiTheme="majorHAnsi" w:hAnsiTheme="majorHAnsi"/>
          <w:spacing w:val="-3"/>
          <w:sz w:val="20"/>
          <w:szCs w:val="20"/>
        </w:rPr>
        <w:tab/>
      </w:r>
      <w:r w:rsidR="008D0DEE" w:rsidRPr="00326F31">
        <w:rPr>
          <w:rFonts w:asciiTheme="majorHAnsi" w:eastAsia="Times New Roman" w:hAnsiTheme="majorHAnsi"/>
          <w:sz w:val="20"/>
          <w:szCs w:val="20"/>
          <w:lang w:eastAsia="es-ES"/>
        </w:rPr>
        <w:t>to have access, under general conditions of equality, to the public service of his country</w:t>
      </w:r>
    </w:p>
    <w:p w14:paraId="2846FB1E" w14:textId="71CC5005" w:rsidR="007D4D0A" w:rsidRPr="00326F31" w:rsidRDefault="007D4D0A" w:rsidP="00326F31">
      <w:pPr>
        <w:ind w:left="1080" w:right="720" w:hanging="360"/>
        <w:jc w:val="both"/>
        <w:rPr>
          <w:rFonts w:asciiTheme="majorHAnsi" w:eastAsia="Times New Roman" w:hAnsiTheme="majorHAnsi"/>
          <w:sz w:val="20"/>
          <w:szCs w:val="20"/>
          <w:lang w:eastAsia="es-ES"/>
        </w:rPr>
      </w:pPr>
    </w:p>
    <w:p w14:paraId="12F10D26" w14:textId="77777777" w:rsidR="008D0DEE" w:rsidRPr="00326F31" w:rsidRDefault="008D0DEE" w:rsidP="00326F31">
      <w:pPr>
        <w:ind w:left="1080" w:right="720" w:hanging="360"/>
        <w:jc w:val="both"/>
        <w:rPr>
          <w:rFonts w:asciiTheme="majorHAnsi" w:eastAsia="Times New Roman" w:hAnsiTheme="majorHAnsi"/>
          <w:sz w:val="20"/>
          <w:szCs w:val="20"/>
          <w:lang w:eastAsia="es-ES"/>
        </w:rPr>
      </w:pPr>
    </w:p>
    <w:p w14:paraId="4C00F854" w14:textId="1CEDBA02" w:rsidR="00D15325" w:rsidRPr="00326F31" w:rsidRDefault="008D0DEE"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lang w:eastAsia="es-ES"/>
        </w:rPr>
      </w:pPr>
      <w:r w:rsidRPr="00326F31">
        <w:rPr>
          <w:rFonts w:asciiTheme="majorHAnsi" w:eastAsia="Times New Roman" w:hAnsiTheme="majorHAnsi"/>
          <w:sz w:val="20"/>
          <w:szCs w:val="20"/>
          <w:lang w:eastAsia="es-ES"/>
        </w:rPr>
        <w:t>Article 13 of the Convention provides in its pertinent part:</w:t>
      </w:r>
    </w:p>
    <w:p w14:paraId="4C865BA9" w14:textId="77777777" w:rsidR="008D0DEE" w:rsidRPr="00326F31" w:rsidRDefault="008D0DEE" w:rsidP="00326F31">
      <w:pPr>
        <w:ind w:left="708" w:right="720"/>
        <w:jc w:val="both"/>
        <w:rPr>
          <w:rFonts w:asciiTheme="majorHAnsi" w:eastAsia="Times New Roman" w:hAnsiTheme="majorHAnsi"/>
          <w:sz w:val="20"/>
          <w:szCs w:val="20"/>
          <w:lang w:eastAsia="es-ES"/>
        </w:rPr>
      </w:pPr>
    </w:p>
    <w:p w14:paraId="59773830" w14:textId="1DB3A0BB" w:rsidR="008D0DEE" w:rsidRPr="00326F31" w:rsidRDefault="00D15325" w:rsidP="00326F31">
      <w:pPr>
        <w:ind w:left="708" w:right="720"/>
        <w:jc w:val="both"/>
        <w:rPr>
          <w:rFonts w:asciiTheme="majorHAnsi" w:eastAsia="Times New Roman" w:hAnsiTheme="majorHAnsi"/>
          <w:sz w:val="20"/>
          <w:szCs w:val="20"/>
          <w:lang w:eastAsia="es-ES"/>
        </w:rPr>
      </w:pPr>
      <w:r w:rsidRPr="00C9052E">
        <w:rPr>
          <w:rFonts w:asciiTheme="majorHAnsi" w:eastAsia="Times New Roman" w:hAnsiTheme="majorHAnsi"/>
          <w:sz w:val="20"/>
          <w:szCs w:val="20"/>
          <w:lang w:eastAsia="es-ES"/>
        </w:rPr>
        <w:t> </w:t>
      </w:r>
      <w:r w:rsidRPr="00326F31">
        <w:rPr>
          <w:rFonts w:asciiTheme="majorHAnsi" w:eastAsia="Times New Roman" w:hAnsiTheme="majorHAnsi"/>
          <w:sz w:val="20"/>
          <w:szCs w:val="20"/>
          <w:lang w:eastAsia="es-ES"/>
        </w:rPr>
        <w:t xml:space="preserve">1. </w:t>
      </w:r>
      <w:r w:rsidR="008D0DEE" w:rsidRPr="00326F31">
        <w:rPr>
          <w:rFonts w:asciiTheme="majorHAnsi" w:eastAsia="Times New Roman" w:hAnsiTheme="majorHAnsi"/>
          <w:sz w:val="20"/>
          <w:szCs w:val="20"/>
          <w:lang w:eastAsia="es-ES"/>
        </w:rPr>
        <w:t>Everyone has the right to freedom of thought and expression. This right includes freedom to seek, receive, and impart information and ideas of all kinds, regardless of frontiers, either orally, in writing, in print, in the form of art, or through any other medium of one's choice.</w:t>
      </w:r>
    </w:p>
    <w:p w14:paraId="260F3A04" w14:textId="77777777" w:rsidR="007D4D0A" w:rsidRPr="00326F31" w:rsidRDefault="007D4D0A" w:rsidP="00326F31">
      <w:pPr>
        <w:ind w:left="708" w:right="720"/>
        <w:jc w:val="both"/>
        <w:rPr>
          <w:rFonts w:asciiTheme="majorHAnsi" w:eastAsia="Times New Roman" w:hAnsiTheme="majorHAnsi"/>
          <w:sz w:val="20"/>
          <w:szCs w:val="20"/>
          <w:lang w:eastAsia="es-ES"/>
        </w:rPr>
      </w:pPr>
    </w:p>
    <w:p w14:paraId="31317B07" w14:textId="77777777" w:rsidR="007D4D0A" w:rsidRPr="00C9052E" w:rsidRDefault="007D4D0A" w:rsidP="00326F31">
      <w:pPr>
        <w:ind w:left="708" w:right="720"/>
        <w:jc w:val="both"/>
        <w:rPr>
          <w:rFonts w:asciiTheme="majorHAnsi" w:eastAsia="Times New Roman" w:hAnsiTheme="majorHAnsi"/>
          <w:sz w:val="20"/>
          <w:szCs w:val="20"/>
          <w:lang w:eastAsia="es-ES"/>
        </w:rPr>
      </w:pPr>
      <w:r w:rsidRPr="00C9052E">
        <w:rPr>
          <w:rFonts w:asciiTheme="majorHAnsi" w:eastAsia="Times New Roman" w:hAnsiTheme="majorHAnsi"/>
          <w:sz w:val="20"/>
          <w:szCs w:val="20"/>
          <w:lang w:eastAsia="es-ES"/>
        </w:rPr>
        <w:t>(…)</w:t>
      </w:r>
    </w:p>
    <w:p w14:paraId="524991A3" w14:textId="77777777" w:rsidR="007D4D0A" w:rsidRPr="00C9052E" w:rsidRDefault="007D4D0A" w:rsidP="00326F31">
      <w:pPr>
        <w:ind w:left="708" w:right="720"/>
        <w:jc w:val="both"/>
        <w:rPr>
          <w:rFonts w:asciiTheme="majorHAnsi" w:eastAsia="Times New Roman" w:hAnsiTheme="majorHAnsi"/>
          <w:sz w:val="20"/>
          <w:szCs w:val="20"/>
          <w:lang w:eastAsia="es-ES"/>
        </w:rPr>
      </w:pPr>
    </w:p>
    <w:p w14:paraId="335CD882" w14:textId="560BB6D8" w:rsidR="008D0DEE" w:rsidRPr="00326F31" w:rsidRDefault="00D15325" w:rsidP="00326F31">
      <w:pPr>
        <w:ind w:left="708" w:right="720"/>
        <w:jc w:val="both"/>
        <w:rPr>
          <w:rFonts w:asciiTheme="majorHAnsi" w:eastAsia="Times New Roman" w:hAnsiTheme="majorHAnsi"/>
          <w:sz w:val="20"/>
          <w:szCs w:val="20"/>
          <w:lang w:eastAsia="es-ES"/>
        </w:rPr>
      </w:pPr>
      <w:r w:rsidRPr="00C9052E">
        <w:rPr>
          <w:rFonts w:asciiTheme="majorHAnsi" w:eastAsia="Times New Roman" w:hAnsiTheme="majorHAnsi"/>
          <w:sz w:val="20"/>
          <w:szCs w:val="20"/>
          <w:lang w:eastAsia="es-ES"/>
        </w:rPr>
        <w:t> </w:t>
      </w:r>
      <w:r w:rsidRPr="00326F31">
        <w:rPr>
          <w:rFonts w:asciiTheme="majorHAnsi" w:eastAsia="Times New Roman" w:hAnsiTheme="majorHAnsi"/>
          <w:sz w:val="20"/>
          <w:szCs w:val="20"/>
          <w:lang w:eastAsia="es-ES"/>
        </w:rPr>
        <w:t xml:space="preserve">3. </w:t>
      </w:r>
      <w:r w:rsidR="008D0DEE" w:rsidRPr="00326F31">
        <w:rPr>
          <w:rFonts w:asciiTheme="majorHAnsi" w:eastAsia="Times New Roman" w:hAnsiTheme="majorHAnsi"/>
          <w:sz w:val="20"/>
          <w:szCs w:val="20"/>
          <w:lang w:eastAsia="es-ES"/>
        </w:rPr>
        <w:t>The right of expression may not be restricted by indirect methods or means, such as the abuse of government or private controls over newsprint, radio broadcasting frequencies, or equipment used in the dissemination of information, or by any other means tending to impede the communication and circulation of ideas and opinions.</w:t>
      </w:r>
    </w:p>
    <w:p w14:paraId="1941824A" w14:textId="77777777" w:rsidR="00D15325" w:rsidRPr="00326F31" w:rsidRDefault="00D15325" w:rsidP="00326F31">
      <w:pPr>
        <w:ind w:left="720" w:right="720"/>
        <w:jc w:val="both"/>
        <w:rPr>
          <w:rFonts w:asciiTheme="majorHAnsi" w:eastAsia="Times New Roman" w:hAnsiTheme="majorHAnsi"/>
          <w:sz w:val="20"/>
          <w:szCs w:val="20"/>
          <w:lang w:eastAsia="es-ES"/>
        </w:rPr>
      </w:pPr>
    </w:p>
    <w:p w14:paraId="2B5A8121" w14:textId="0CA067BE" w:rsidR="007D4D0A" w:rsidRPr="00326F31" w:rsidRDefault="008D0DEE"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lang w:eastAsia="es-ES"/>
        </w:rPr>
      </w:pPr>
      <w:r w:rsidRPr="00326F31">
        <w:rPr>
          <w:rFonts w:asciiTheme="majorHAnsi" w:eastAsia="Times New Roman" w:hAnsiTheme="majorHAnsi"/>
          <w:sz w:val="20"/>
          <w:szCs w:val="20"/>
          <w:lang w:eastAsia="es-ES"/>
        </w:rPr>
        <w:t>Article 24 of the Convention states:</w:t>
      </w:r>
    </w:p>
    <w:p w14:paraId="00B89601" w14:textId="77777777" w:rsidR="008D0DEE" w:rsidRPr="00326F31" w:rsidRDefault="008D0DEE" w:rsidP="00326F31">
      <w:pPr>
        <w:ind w:left="708" w:right="720"/>
        <w:jc w:val="both"/>
        <w:rPr>
          <w:rFonts w:asciiTheme="majorHAnsi" w:eastAsia="Times New Roman" w:hAnsiTheme="majorHAnsi"/>
          <w:sz w:val="20"/>
          <w:szCs w:val="20"/>
          <w:lang w:eastAsia="es-ES"/>
        </w:rPr>
      </w:pPr>
    </w:p>
    <w:p w14:paraId="199CBA90" w14:textId="51010EAC" w:rsidR="008D0DEE" w:rsidRPr="00326F31" w:rsidRDefault="008D0DEE" w:rsidP="00326F31">
      <w:pPr>
        <w:ind w:left="708" w:right="720"/>
        <w:jc w:val="both"/>
        <w:rPr>
          <w:rFonts w:asciiTheme="majorHAnsi" w:eastAsia="Times New Roman" w:hAnsiTheme="majorHAnsi"/>
          <w:sz w:val="20"/>
          <w:szCs w:val="20"/>
          <w:lang w:eastAsia="es-ES"/>
        </w:rPr>
      </w:pPr>
      <w:r w:rsidRPr="00326F31">
        <w:rPr>
          <w:rFonts w:asciiTheme="majorHAnsi" w:eastAsia="Times New Roman" w:hAnsiTheme="majorHAnsi"/>
          <w:sz w:val="20"/>
          <w:szCs w:val="20"/>
          <w:lang w:eastAsia="es-ES"/>
        </w:rPr>
        <w:t>All persons are equal before the law. Consequently, they are entitled, without discrimination, to equal protection of the law.</w:t>
      </w:r>
    </w:p>
    <w:p w14:paraId="642C4C9A" w14:textId="77777777" w:rsidR="00537CBF" w:rsidRPr="00C9052E" w:rsidRDefault="00537CBF" w:rsidP="00326F31">
      <w:pPr>
        <w:pBdr>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lang w:eastAsia="es-ES"/>
        </w:rPr>
      </w:pPr>
    </w:p>
    <w:p w14:paraId="596515D1" w14:textId="6AAE4398" w:rsidR="00537CBF" w:rsidRPr="00C9052E" w:rsidRDefault="00537CBF"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lang w:eastAsia="es-ES"/>
        </w:rPr>
      </w:pPr>
      <w:r w:rsidRPr="00326F31">
        <w:rPr>
          <w:rFonts w:asciiTheme="majorHAnsi" w:eastAsia="Times New Roman" w:hAnsiTheme="majorHAnsi"/>
          <w:sz w:val="20"/>
          <w:szCs w:val="20"/>
          <w:lang w:eastAsia="es-ES"/>
        </w:rPr>
        <w:t xml:space="preserve">At this point the Commission will determine whether the dismissal of </w:t>
      </w:r>
      <w:r w:rsidRPr="00326F31">
        <w:rPr>
          <w:rFonts w:asciiTheme="majorHAnsi" w:eastAsia="Calibri" w:hAnsiTheme="majorHAnsi"/>
          <w:sz w:val="20"/>
          <w:szCs w:val="20"/>
        </w:rPr>
        <w:t xml:space="preserve">Rocío San Miguel Sosa, Magally Chang Girón, and Thais Coromoto Peña </w:t>
      </w:r>
      <w:r w:rsidRPr="00326F31">
        <w:rPr>
          <w:rFonts w:asciiTheme="majorHAnsi" w:eastAsia="Times New Roman" w:hAnsiTheme="majorHAnsi"/>
          <w:sz w:val="20"/>
          <w:szCs w:val="20"/>
          <w:lang w:eastAsia="es-ES"/>
        </w:rPr>
        <w:t xml:space="preserve">of public office in the CNF constitutes a violation of the rights mentioned above. This determination requires the Commission to rule first on whether it was an act motivated by the political opinion expressed by signing the petition to convene the recall referendum, or if as indicated by the State, </w:t>
      </w:r>
      <w:r w:rsidR="00CE0946">
        <w:rPr>
          <w:rFonts w:asciiTheme="majorHAnsi" w:eastAsia="Times New Roman" w:hAnsiTheme="majorHAnsi"/>
          <w:sz w:val="20"/>
          <w:szCs w:val="20"/>
          <w:lang w:eastAsia="es-ES"/>
        </w:rPr>
        <w:t xml:space="preserve">if </w:t>
      </w:r>
      <w:r w:rsidRPr="00326F31">
        <w:rPr>
          <w:rFonts w:asciiTheme="majorHAnsi" w:eastAsia="Times New Roman" w:hAnsiTheme="majorHAnsi"/>
          <w:sz w:val="20"/>
          <w:szCs w:val="20"/>
          <w:lang w:eastAsia="es-ES"/>
        </w:rPr>
        <w:t>it was the application of the seventh clause of their employment contract. If it is an act motivated by politically opinion, the Commission will analyze whether such treatment is justified under the American Convention</w:t>
      </w:r>
      <w:r w:rsidR="00093BD2">
        <w:rPr>
          <w:rFonts w:asciiTheme="majorHAnsi" w:eastAsia="Times New Roman" w:hAnsiTheme="majorHAnsi"/>
          <w:sz w:val="20"/>
          <w:szCs w:val="20"/>
          <w:lang w:eastAsia="es-ES"/>
        </w:rPr>
        <w:t>.</w:t>
      </w:r>
    </w:p>
    <w:p w14:paraId="33845B4B" w14:textId="77777777" w:rsidR="00537CBF" w:rsidRPr="00C9052E" w:rsidRDefault="00537CBF" w:rsidP="00326F31">
      <w:pPr>
        <w:pStyle w:val="ListParagraph"/>
        <w:jc w:val="both"/>
        <w:rPr>
          <w:rFonts w:asciiTheme="majorHAnsi" w:eastAsia="Times New Roman" w:hAnsiTheme="majorHAnsi"/>
          <w:sz w:val="20"/>
          <w:szCs w:val="20"/>
        </w:rPr>
      </w:pPr>
    </w:p>
    <w:p w14:paraId="78975F00" w14:textId="3A6404DF" w:rsidR="00537CBF" w:rsidRPr="00326F31" w:rsidRDefault="00537CBF" w:rsidP="00326F3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lang w:eastAsia="es-ES"/>
        </w:rPr>
      </w:pPr>
      <w:r w:rsidRPr="00326F31">
        <w:rPr>
          <w:rFonts w:asciiTheme="majorHAnsi" w:eastAsia="Times New Roman" w:hAnsiTheme="majorHAnsi"/>
          <w:sz w:val="20"/>
          <w:szCs w:val="20"/>
          <w:lang w:eastAsia="es-ES"/>
        </w:rPr>
        <w:t>The Commission shall conduct the analysis described in the previous section in the following order: i) General considerations on political rights and their relation to the right to freedom of expression, the indirect restrictions on freedom of expression and the principle of equality and non-discrimination; ii) Analysis of whether the dismissal was based on</w:t>
      </w:r>
      <w:r w:rsidR="00CE0946">
        <w:rPr>
          <w:rFonts w:asciiTheme="majorHAnsi" w:eastAsia="Times New Roman" w:hAnsiTheme="majorHAnsi"/>
          <w:sz w:val="20"/>
          <w:szCs w:val="20"/>
          <w:lang w:eastAsia="es-ES"/>
        </w:rPr>
        <w:t xml:space="preserve"> the</w:t>
      </w:r>
      <w:r w:rsidRPr="00326F31">
        <w:rPr>
          <w:rFonts w:asciiTheme="majorHAnsi" w:eastAsia="Times New Roman" w:hAnsiTheme="majorHAnsi"/>
          <w:sz w:val="20"/>
          <w:szCs w:val="20"/>
          <w:lang w:eastAsia="es-ES"/>
        </w:rPr>
        <w:t xml:space="preserve"> political opinion expressed by signing the petition for a recall referendum and, therefore, constituted a violation of political rights and freedom of expression; and iii) Analysis of whether the dismissal was an act of discrimination based on political opinion.</w:t>
      </w:r>
    </w:p>
    <w:p w14:paraId="10A0DBB1" w14:textId="77777777" w:rsidR="007D4D0A" w:rsidRPr="00326F31" w:rsidRDefault="007D4D0A" w:rsidP="00326F31">
      <w:pPr>
        <w:pBdr>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lang w:eastAsia="es-ES"/>
        </w:rPr>
      </w:pPr>
    </w:p>
    <w:p w14:paraId="5EDCD70C" w14:textId="2729C953" w:rsidR="007E665B" w:rsidRPr="00326F31" w:rsidRDefault="007E665B" w:rsidP="00326F31">
      <w:pPr>
        <w:pStyle w:val="ListParagraph"/>
        <w:numPr>
          <w:ilvl w:val="1"/>
          <w:numId w:val="55"/>
        </w:numPr>
        <w:pBdr>
          <w:left w:val="none" w:sz="0" w:space="0" w:color="auto"/>
          <w:bottom w:val="none" w:sz="0" w:space="0" w:color="auto"/>
          <w:right w:val="none" w:sz="0" w:space="0" w:color="auto"/>
          <w:between w:val="none" w:sz="0" w:space="0" w:color="auto"/>
          <w:bar w:val="none" w:sz="0" w:color="auto"/>
        </w:pBdr>
        <w:tabs>
          <w:tab w:val="clear" w:pos="1800"/>
          <w:tab w:val="num" w:pos="1418"/>
        </w:tabs>
        <w:ind w:left="1418" w:hanging="709"/>
        <w:jc w:val="both"/>
        <w:rPr>
          <w:rFonts w:asciiTheme="majorHAnsi" w:eastAsia="Times New Roman" w:hAnsiTheme="majorHAnsi"/>
          <w:b/>
          <w:sz w:val="20"/>
          <w:szCs w:val="20"/>
        </w:rPr>
      </w:pPr>
      <w:r w:rsidRPr="00326F31">
        <w:rPr>
          <w:rFonts w:asciiTheme="majorHAnsi" w:eastAsia="Times New Roman" w:hAnsiTheme="majorHAnsi"/>
          <w:b/>
          <w:sz w:val="20"/>
          <w:szCs w:val="20"/>
        </w:rPr>
        <w:t xml:space="preserve">General considerations on political rights and their relation to the right to freedom of expression, </w:t>
      </w:r>
      <w:r w:rsidR="00E2435C" w:rsidRPr="00326F31">
        <w:rPr>
          <w:rFonts w:asciiTheme="majorHAnsi" w:eastAsia="Times New Roman" w:hAnsiTheme="majorHAnsi"/>
          <w:b/>
          <w:sz w:val="20"/>
          <w:szCs w:val="20"/>
        </w:rPr>
        <w:t xml:space="preserve">the </w:t>
      </w:r>
      <w:r w:rsidRPr="00326F31">
        <w:rPr>
          <w:rFonts w:asciiTheme="majorHAnsi" w:eastAsia="Times New Roman" w:hAnsiTheme="majorHAnsi"/>
          <w:b/>
          <w:sz w:val="20"/>
          <w:szCs w:val="20"/>
        </w:rPr>
        <w:t>indirect restrictions on freedom of expression and the principle of equality and non-discrimination</w:t>
      </w:r>
    </w:p>
    <w:p w14:paraId="7F936F32" w14:textId="77777777" w:rsidR="00AB7D09" w:rsidRPr="00326F31" w:rsidRDefault="00AB7D09" w:rsidP="00326F31">
      <w:pPr>
        <w:pBdr>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b/>
          <w:sz w:val="20"/>
          <w:szCs w:val="20"/>
        </w:rPr>
      </w:pPr>
    </w:p>
    <w:p w14:paraId="5F43CD24" w14:textId="77777777" w:rsidR="00585A52" w:rsidRDefault="00093BD2" w:rsidP="00585A52">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lang w:eastAsia="es-ES"/>
        </w:rPr>
      </w:pPr>
      <w:r w:rsidRPr="00093BD2">
        <w:rPr>
          <w:rFonts w:asciiTheme="majorHAnsi" w:eastAsia="Times New Roman" w:hAnsiTheme="majorHAnsi"/>
          <w:sz w:val="20"/>
          <w:szCs w:val="20"/>
          <w:lang w:eastAsia="es-ES"/>
        </w:rPr>
        <w:lastRenderedPageBreak/>
        <w:t>Both the Commission and the Court have stressed the importance of political rights by recognizing and protecting the right and the duty of every citizen to participate in his or her country’s political life, and to promote the strengthening of democracy and political pluralism</w:t>
      </w:r>
      <w:r w:rsidRPr="00093BD2">
        <w:rPr>
          <w:rFonts w:asciiTheme="majorHAnsi" w:eastAsia="Times New Roman" w:hAnsiTheme="majorHAnsi"/>
          <w:sz w:val="20"/>
          <w:szCs w:val="20"/>
          <w:vertAlign w:val="superscript"/>
          <w:lang w:eastAsia="es-ES"/>
        </w:rPr>
        <w:footnoteReference w:id="133"/>
      </w:r>
      <w:r w:rsidRPr="00093BD2">
        <w:rPr>
          <w:rFonts w:asciiTheme="majorHAnsi" w:eastAsia="Times New Roman" w:hAnsiTheme="majorHAnsi"/>
          <w:sz w:val="20"/>
          <w:szCs w:val="20"/>
          <w:lang w:eastAsia="es-ES"/>
        </w:rPr>
        <w:t xml:space="preserve"> . The Court has emphasized that because of its importance, the American Convention under Article 27 prohibits their suspension and the essential judicial guarantees for their protection</w:t>
      </w:r>
      <w:r>
        <w:rPr>
          <w:rFonts w:asciiTheme="majorHAnsi" w:eastAsia="Times New Roman" w:hAnsiTheme="majorHAnsi"/>
          <w:sz w:val="20"/>
          <w:szCs w:val="20"/>
          <w:lang w:eastAsia="es-ES"/>
        </w:rPr>
        <w:t xml:space="preserve">. </w:t>
      </w:r>
      <w:r w:rsidRPr="00093BD2">
        <w:rPr>
          <w:rFonts w:asciiTheme="majorHAnsi" w:eastAsia="Times New Roman" w:hAnsiTheme="majorHAnsi"/>
          <w:sz w:val="20"/>
          <w:szCs w:val="20"/>
          <w:lang w:eastAsia="es-ES"/>
        </w:rPr>
        <w:t xml:space="preserve"> </w:t>
      </w:r>
    </w:p>
    <w:p w14:paraId="754B9083" w14:textId="77777777" w:rsidR="00585A52" w:rsidRDefault="00585A52" w:rsidP="00585A52">
      <w:pPr>
        <w:pBdr>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lang w:eastAsia="es-ES"/>
        </w:rPr>
      </w:pPr>
    </w:p>
    <w:p w14:paraId="43B5945C" w14:textId="77777777" w:rsidR="00585A52" w:rsidRDefault="00585A52" w:rsidP="00585A52">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lang w:eastAsia="es-ES"/>
        </w:rPr>
      </w:pPr>
      <w:r w:rsidRPr="00585A52">
        <w:rPr>
          <w:rFonts w:ascii="Cambria" w:hAnsi="Cambria"/>
          <w:sz w:val="20"/>
          <w:szCs w:val="20"/>
        </w:rPr>
        <w:t>The Inter-American Court has stated that Article 23 of the American Convention contains various norms that refer to the rights of the individual as a citizen; that is, as titleholder of the decision-making process in public matters, in his capacity as a voter by means of his vote, or as a public servant; in other words, to be elected by the people or by appointment or designation to occupy a public office. In words of the Court, “as distinct from almost all the other rights established in the Convention that are recognized to every person, Article 23 of the Convention not only establishes that its titleholders must enjoy rights, but adds the word “opportunities.” The latter implies the obligation to guarantee with positive measures that every person who is formally the titleholder of political rights has the real opportunity to exercise them. As the Court has previously indicated, it is essential that the State create optimum conditions and mechanisms to ensure that political rights can be exercised effectively, respecting the principle of equality and non-discrimination”</w:t>
      </w:r>
      <w:r w:rsidRPr="00585A52">
        <w:rPr>
          <w:rFonts w:ascii="Cambria" w:hAnsi="Cambria"/>
          <w:sz w:val="20"/>
          <w:szCs w:val="20"/>
          <w:vertAlign w:val="superscript"/>
        </w:rPr>
        <w:footnoteReference w:id="134"/>
      </w:r>
      <w:r w:rsidRPr="00585A52">
        <w:rPr>
          <w:rFonts w:ascii="Cambria" w:hAnsi="Cambria"/>
          <w:sz w:val="20"/>
          <w:szCs w:val="20"/>
        </w:rPr>
        <w:t>.</w:t>
      </w:r>
    </w:p>
    <w:p w14:paraId="0CE7DA36" w14:textId="77777777" w:rsidR="00585A52" w:rsidRDefault="00585A52" w:rsidP="00585A52">
      <w:pPr>
        <w:pStyle w:val="ListParagraph"/>
        <w:rPr>
          <w:sz w:val="20"/>
          <w:szCs w:val="20"/>
        </w:rPr>
      </w:pPr>
    </w:p>
    <w:p w14:paraId="234C511E" w14:textId="77777777" w:rsidR="00585A52" w:rsidRDefault="00585A52" w:rsidP="00585A52">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lang w:eastAsia="es-ES"/>
        </w:rPr>
      </w:pPr>
      <w:r w:rsidRPr="00585A52">
        <w:rPr>
          <w:rFonts w:ascii="Cambria" w:hAnsi="Cambria"/>
          <w:sz w:val="20"/>
          <w:szCs w:val="20"/>
        </w:rPr>
        <w:t>The rights enshrined in Article 23 of the American Convention can be exercised through broad and diverse activities that people do in order to participate in public affairs of a country and, under that rule, “citizens have the right to play an active role in the conduct of public affairs directly through referenda, plebiscites or consultations or through freely elected representatives”</w:t>
      </w:r>
      <w:r w:rsidRPr="00585A52">
        <w:rPr>
          <w:rFonts w:ascii="Cambria" w:hAnsi="Cambria"/>
          <w:sz w:val="20"/>
          <w:szCs w:val="20"/>
          <w:vertAlign w:val="superscript"/>
          <w:lang w:val="es-ES"/>
        </w:rPr>
        <w:footnoteReference w:id="135"/>
      </w:r>
      <w:r w:rsidRPr="00585A52">
        <w:rPr>
          <w:rFonts w:ascii="Cambria" w:hAnsi="Cambria"/>
          <w:sz w:val="20"/>
          <w:szCs w:val="20"/>
        </w:rPr>
        <w:t xml:space="preserve">. </w:t>
      </w:r>
    </w:p>
    <w:p w14:paraId="00AC276F" w14:textId="77777777" w:rsidR="00585A52" w:rsidRDefault="00585A52" w:rsidP="00585A52">
      <w:pPr>
        <w:pStyle w:val="ListParagraph"/>
        <w:rPr>
          <w:spacing w:val="-3"/>
          <w:sz w:val="20"/>
          <w:szCs w:val="20"/>
        </w:rPr>
      </w:pPr>
    </w:p>
    <w:p w14:paraId="2A03FE70" w14:textId="77777777" w:rsidR="00585A52" w:rsidRDefault="00585A52" w:rsidP="00585A52">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lang w:eastAsia="es-ES"/>
        </w:rPr>
      </w:pPr>
      <w:r w:rsidRPr="00585A52">
        <w:rPr>
          <w:rFonts w:ascii="Cambria" w:hAnsi="Cambria"/>
          <w:color w:val="000000"/>
          <w:spacing w:val="-3"/>
          <w:sz w:val="20"/>
          <w:szCs w:val="20"/>
        </w:rPr>
        <w:t>When examining the scope of Article 23, the Commission has stated that if Article 23 was to be fully respected elections had to be authentic, universal, periodic, and by secret ballot or some other means that enabled voters to express their will freely</w:t>
      </w:r>
      <w:r w:rsidRPr="00585A52">
        <w:rPr>
          <w:rFonts w:ascii="Cambria" w:hAnsi="Cambria"/>
          <w:sz w:val="20"/>
          <w:szCs w:val="20"/>
          <w:vertAlign w:val="superscript"/>
          <w:lang w:val="es-ES"/>
        </w:rPr>
        <w:footnoteReference w:id="136"/>
      </w:r>
      <w:r w:rsidRPr="00585A52">
        <w:rPr>
          <w:rFonts w:ascii="Cambria" w:hAnsi="Cambria"/>
          <w:sz w:val="20"/>
          <w:szCs w:val="20"/>
        </w:rPr>
        <w:t>.</w:t>
      </w:r>
    </w:p>
    <w:p w14:paraId="4840E6C4" w14:textId="77777777" w:rsidR="00585A52" w:rsidRDefault="00585A52" w:rsidP="00585A52">
      <w:pPr>
        <w:pStyle w:val="ListParagraph"/>
        <w:rPr>
          <w:sz w:val="20"/>
          <w:szCs w:val="20"/>
        </w:rPr>
      </w:pPr>
    </w:p>
    <w:p w14:paraId="00B05EBE" w14:textId="77777777" w:rsidR="00585A52" w:rsidRDefault="00585A52" w:rsidP="00585A52">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lang w:eastAsia="es-ES"/>
        </w:rPr>
      </w:pPr>
      <w:r w:rsidRPr="00585A52">
        <w:rPr>
          <w:rFonts w:ascii="Cambria" w:hAnsi="Cambria"/>
          <w:sz w:val="20"/>
          <w:szCs w:val="20"/>
        </w:rPr>
        <w:t>For its part, the United Nations, Human Rights Committee for the International Covenant on Civil and Political Rights (hereinafter “Human Rights Committee”), has indicated that “States should take measures to guarantee the requirement of the secrecy of the vote during elections (…) this implies that voters should be protected from any form of coercion or compulsion to disclose how they intend to vote or how they voted, and from any unlawful or arbitrary interference with the voting process”</w:t>
      </w:r>
      <w:r w:rsidRPr="00585A52">
        <w:rPr>
          <w:rFonts w:ascii="Cambria" w:hAnsi="Cambria"/>
          <w:sz w:val="20"/>
          <w:szCs w:val="20"/>
          <w:vertAlign w:val="superscript"/>
          <w:lang w:val="es-CO"/>
        </w:rPr>
        <w:footnoteReference w:id="137"/>
      </w:r>
      <w:r w:rsidRPr="00585A52">
        <w:rPr>
          <w:rFonts w:ascii="Cambria" w:hAnsi="Cambria"/>
          <w:sz w:val="20"/>
          <w:szCs w:val="20"/>
        </w:rPr>
        <w:t>.</w:t>
      </w:r>
    </w:p>
    <w:p w14:paraId="74BF69BA" w14:textId="77777777" w:rsidR="00585A52" w:rsidRDefault="00585A52" w:rsidP="00585A52">
      <w:pPr>
        <w:pStyle w:val="ListParagraph"/>
        <w:rPr>
          <w:rFonts w:asciiTheme="majorHAnsi" w:eastAsia="Times New Roman" w:hAnsiTheme="majorHAnsi"/>
          <w:sz w:val="20"/>
          <w:szCs w:val="20"/>
        </w:rPr>
      </w:pPr>
    </w:p>
    <w:p w14:paraId="12FDAF00" w14:textId="77777777" w:rsidR="00585A52" w:rsidRDefault="00585A52" w:rsidP="00585A52">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lang w:eastAsia="es-ES"/>
        </w:rPr>
      </w:pPr>
      <w:r>
        <w:rPr>
          <w:rFonts w:asciiTheme="majorHAnsi" w:eastAsia="Times New Roman" w:hAnsiTheme="majorHAnsi"/>
          <w:sz w:val="20"/>
          <w:szCs w:val="20"/>
          <w:lang w:eastAsia="es-ES"/>
        </w:rPr>
        <w:t xml:space="preserve"> T</w:t>
      </w:r>
      <w:r w:rsidR="00C77EA2" w:rsidRPr="00585A52">
        <w:rPr>
          <w:rFonts w:asciiTheme="majorHAnsi" w:eastAsia="Times New Roman" w:hAnsiTheme="majorHAnsi"/>
          <w:sz w:val="20"/>
          <w:szCs w:val="20"/>
          <w:lang w:eastAsia="es-ES"/>
        </w:rPr>
        <w:t>he two organs or the Inter- American system have pointed out that the exercise of political rights and freedom of thought and expression are closely linked and mutually reinforcing</w:t>
      </w:r>
      <w:r w:rsidR="00C77EA2" w:rsidRPr="00326F31">
        <w:rPr>
          <w:rStyle w:val="FootnoteReference"/>
          <w:rFonts w:asciiTheme="majorHAnsi" w:hAnsiTheme="majorHAnsi"/>
          <w:sz w:val="20"/>
          <w:szCs w:val="20"/>
          <w:lang w:val="es-ES"/>
        </w:rPr>
        <w:footnoteReference w:id="138"/>
      </w:r>
      <w:r w:rsidR="00C77EA2" w:rsidRPr="00585A52">
        <w:rPr>
          <w:rFonts w:asciiTheme="majorHAnsi" w:hAnsiTheme="majorHAnsi"/>
          <w:sz w:val="20"/>
          <w:szCs w:val="20"/>
        </w:rPr>
        <w:t>.</w:t>
      </w:r>
    </w:p>
    <w:p w14:paraId="1827EB8B" w14:textId="77777777" w:rsidR="00585A52" w:rsidRDefault="00585A52" w:rsidP="00585A52">
      <w:pPr>
        <w:pStyle w:val="ListParagraph"/>
        <w:rPr>
          <w:rFonts w:asciiTheme="majorHAnsi" w:hAnsiTheme="majorHAnsi"/>
          <w:sz w:val="20"/>
          <w:szCs w:val="20"/>
        </w:rPr>
      </w:pPr>
    </w:p>
    <w:p w14:paraId="60523C2C" w14:textId="61235468" w:rsidR="00585A52" w:rsidRDefault="00D57298" w:rsidP="00585A52">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lang w:eastAsia="es-ES"/>
        </w:rPr>
      </w:pPr>
      <w:r w:rsidRPr="00585A52">
        <w:rPr>
          <w:rFonts w:asciiTheme="majorHAnsi" w:hAnsiTheme="majorHAnsi"/>
          <w:sz w:val="20"/>
          <w:szCs w:val="20"/>
        </w:rPr>
        <w:t xml:space="preserve">As highlighted by the </w:t>
      </w:r>
      <w:r w:rsidR="00FA1F84">
        <w:rPr>
          <w:rFonts w:asciiTheme="majorHAnsi" w:hAnsiTheme="majorHAnsi"/>
          <w:sz w:val="20"/>
          <w:szCs w:val="20"/>
        </w:rPr>
        <w:t xml:space="preserve">Inter-American </w:t>
      </w:r>
      <w:r w:rsidRPr="00585A52">
        <w:rPr>
          <w:rFonts w:asciiTheme="majorHAnsi" w:hAnsiTheme="majorHAnsi"/>
          <w:sz w:val="20"/>
          <w:szCs w:val="20"/>
        </w:rPr>
        <w:t>Court</w:t>
      </w:r>
      <w:r w:rsidR="00AB7D09" w:rsidRPr="00585A52">
        <w:rPr>
          <w:rFonts w:asciiTheme="majorHAnsi" w:hAnsiTheme="majorHAnsi"/>
          <w:sz w:val="20"/>
          <w:szCs w:val="20"/>
        </w:rPr>
        <w:t xml:space="preserve">, </w:t>
      </w:r>
      <w:r w:rsidRPr="00585A52">
        <w:rPr>
          <w:rFonts w:asciiTheme="majorHAnsi" w:hAnsiTheme="majorHAnsi"/>
          <w:sz w:val="20"/>
          <w:szCs w:val="20"/>
        </w:rPr>
        <w:t>political rights are closely related to other rights embodied in the American Convention, such as freedom of expression, and freedom of association and assembly; together, they make democracy possible</w:t>
      </w:r>
      <w:r w:rsidR="00AB7D09" w:rsidRPr="00326F31">
        <w:rPr>
          <w:rStyle w:val="FootnoteReference"/>
          <w:rFonts w:asciiTheme="majorHAnsi" w:hAnsiTheme="majorHAnsi"/>
          <w:sz w:val="20"/>
          <w:szCs w:val="20"/>
          <w:lang w:val="es-ES"/>
        </w:rPr>
        <w:footnoteReference w:id="139"/>
      </w:r>
      <w:r w:rsidR="00AB7D09" w:rsidRPr="00585A52">
        <w:rPr>
          <w:rFonts w:asciiTheme="majorHAnsi" w:hAnsiTheme="majorHAnsi"/>
          <w:sz w:val="20"/>
          <w:szCs w:val="20"/>
        </w:rPr>
        <w:t xml:space="preserve">. </w:t>
      </w:r>
      <w:r w:rsidRPr="00585A52">
        <w:rPr>
          <w:rStyle w:val="apple-converted-space"/>
          <w:rFonts w:asciiTheme="majorHAnsi" w:hAnsiTheme="majorHAnsi"/>
          <w:color w:val="000000"/>
          <w:sz w:val="20"/>
          <w:szCs w:val="20"/>
        </w:rPr>
        <w:t>The right to freedom of expression is a cornerstone upon which the very existence of democratic societies is based, due to its indispensable structural relationship to democracy</w:t>
      </w:r>
      <w:r w:rsidR="00AB7D09" w:rsidRPr="00326F31">
        <w:rPr>
          <w:rStyle w:val="apple-converted-space"/>
          <w:rFonts w:asciiTheme="majorHAnsi" w:hAnsiTheme="majorHAnsi"/>
          <w:color w:val="000000"/>
          <w:sz w:val="20"/>
          <w:szCs w:val="20"/>
          <w:vertAlign w:val="superscript"/>
          <w:lang w:val="es-VE"/>
        </w:rPr>
        <w:footnoteReference w:id="140"/>
      </w:r>
      <w:r w:rsidR="00AB7D09" w:rsidRPr="00585A52">
        <w:rPr>
          <w:rStyle w:val="apple-converted-space"/>
          <w:rFonts w:asciiTheme="majorHAnsi" w:hAnsiTheme="majorHAnsi"/>
          <w:color w:val="000000"/>
          <w:sz w:val="20"/>
          <w:szCs w:val="20"/>
        </w:rPr>
        <w:t xml:space="preserve">. </w:t>
      </w:r>
      <w:r w:rsidR="004A7E40" w:rsidRPr="00585A52">
        <w:rPr>
          <w:rFonts w:asciiTheme="majorHAnsi" w:hAnsiTheme="majorHAnsi"/>
          <w:sz w:val="20"/>
          <w:szCs w:val="20"/>
        </w:rPr>
        <w:t>According to the Court without an effective guarantee of freedom of expression, democratic system weakens and pluralism and tolerance suffer grief; control mechanisms and citizen complaint may become ineffective and, ultimately, a fertile ground is created for authoritarian systems to take root</w:t>
      </w:r>
      <w:r w:rsidR="004A7E40" w:rsidRPr="00326F31">
        <w:rPr>
          <w:rStyle w:val="FootnoteReference"/>
          <w:rFonts w:asciiTheme="majorHAnsi" w:hAnsiTheme="majorHAnsi"/>
          <w:sz w:val="20"/>
          <w:szCs w:val="20"/>
          <w:lang w:val="es-ES"/>
        </w:rPr>
        <w:footnoteReference w:id="141"/>
      </w:r>
      <w:r w:rsidR="004A7E40" w:rsidRPr="00585A52">
        <w:rPr>
          <w:rFonts w:asciiTheme="majorHAnsi" w:hAnsiTheme="majorHAnsi"/>
          <w:sz w:val="20"/>
          <w:szCs w:val="20"/>
        </w:rPr>
        <w:t>.</w:t>
      </w:r>
    </w:p>
    <w:p w14:paraId="706C4779" w14:textId="77777777" w:rsidR="00585A52" w:rsidRDefault="00585A52" w:rsidP="00585A52">
      <w:pPr>
        <w:pStyle w:val="ListParagraph"/>
        <w:rPr>
          <w:rFonts w:asciiTheme="majorHAnsi" w:eastAsia="Times New Roman" w:hAnsiTheme="majorHAnsi"/>
          <w:sz w:val="20"/>
          <w:szCs w:val="20"/>
        </w:rPr>
      </w:pPr>
    </w:p>
    <w:p w14:paraId="064082E7" w14:textId="638FB80A" w:rsidR="00585A52" w:rsidRDefault="00333479" w:rsidP="00585A52">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lang w:eastAsia="es-ES"/>
        </w:rPr>
      </w:pPr>
      <w:r w:rsidRPr="00585A52">
        <w:rPr>
          <w:rFonts w:asciiTheme="majorHAnsi" w:eastAsia="Times New Roman" w:hAnsiTheme="majorHAnsi"/>
          <w:sz w:val="20"/>
          <w:szCs w:val="20"/>
        </w:rPr>
        <w:t>With regard to indirect restrictions on freedom of expression, the Court has held that the scope of Article 13.3 of the Convention should be the result of a joint reading with Article 13.1 of the Convention, in the sense that a broad interpretation</w:t>
      </w:r>
      <w:r w:rsidR="00CE0946">
        <w:rPr>
          <w:rFonts w:asciiTheme="majorHAnsi" w:eastAsia="Times New Roman" w:hAnsiTheme="majorHAnsi"/>
          <w:sz w:val="20"/>
          <w:szCs w:val="20"/>
        </w:rPr>
        <w:t xml:space="preserve"> of</w:t>
      </w:r>
      <w:r w:rsidRPr="00585A52">
        <w:rPr>
          <w:rFonts w:asciiTheme="majorHAnsi" w:eastAsia="Times New Roman" w:hAnsiTheme="majorHAnsi"/>
          <w:sz w:val="20"/>
          <w:szCs w:val="20"/>
        </w:rPr>
        <w:t xml:space="preserve"> this standard </w:t>
      </w:r>
      <w:r w:rsidR="00CE0946">
        <w:rPr>
          <w:rFonts w:asciiTheme="majorHAnsi" w:eastAsia="Times New Roman" w:hAnsiTheme="majorHAnsi"/>
          <w:sz w:val="20"/>
          <w:szCs w:val="20"/>
        </w:rPr>
        <w:t>allows to consider</w:t>
      </w:r>
      <w:r w:rsidRPr="00585A52">
        <w:rPr>
          <w:rFonts w:asciiTheme="majorHAnsi" w:eastAsia="Times New Roman" w:hAnsiTheme="majorHAnsi"/>
          <w:sz w:val="20"/>
          <w:szCs w:val="20"/>
        </w:rPr>
        <w:t xml:space="preserve"> that </w:t>
      </w:r>
      <w:r w:rsidR="00CE0946">
        <w:rPr>
          <w:rFonts w:asciiTheme="majorHAnsi" w:eastAsia="Times New Roman" w:hAnsiTheme="majorHAnsi"/>
          <w:sz w:val="20"/>
          <w:szCs w:val="20"/>
        </w:rPr>
        <w:t xml:space="preserve">it </w:t>
      </w:r>
      <w:r w:rsidRPr="00585A52">
        <w:rPr>
          <w:rFonts w:asciiTheme="majorHAnsi" w:eastAsia="Times New Roman" w:hAnsiTheme="majorHAnsi"/>
          <w:sz w:val="20"/>
          <w:szCs w:val="20"/>
        </w:rPr>
        <w:t xml:space="preserve">specifically protects communication, distribution and circulation of ideas and opinions, so that the use of "indirect methods or means" to restrict </w:t>
      </w:r>
      <w:r w:rsidR="009170B8" w:rsidRPr="00585A52">
        <w:rPr>
          <w:rFonts w:asciiTheme="majorHAnsi" w:eastAsia="Times New Roman" w:hAnsiTheme="majorHAnsi"/>
          <w:sz w:val="20"/>
          <w:szCs w:val="20"/>
        </w:rPr>
        <w:t>it are prohibited</w:t>
      </w:r>
      <w:r w:rsidR="009170B8" w:rsidRPr="00326F31">
        <w:rPr>
          <w:rStyle w:val="FootnoteReference"/>
          <w:rFonts w:asciiTheme="majorHAnsi" w:hAnsiTheme="majorHAnsi"/>
          <w:sz w:val="20"/>
          <w:szCs w:val="20"/>
        </w:rPr>
        <w:footnoteReference w:id="142"/>
      </w:r>
      <w:r w:rsidR="009170B8" w:rsidRPr="00585A52">
        <w:rPr>
          <w:rFonts w:asciiTheme="majorHAnsi" w:hAnsiTheme="majorHAnsi"/>
          <w:sz w:val="20"/>
          <w:szCs w:val="20"/>
        </w:rPr>
        <w:t xml:space="preserve">. </w:t>
      </w:r>
      <w:r w:rsidR="009170B8" w:rsidRPr="00585A52">
        <w:rPr>
          <w:rFonts w:asciiTheme="majorHAnsi" w:eastAsia="Times New Roman" w:hAnsiTheme="majorHAnsi"/>
          <w:sz w:val="20"/>
          <w:szCs w:val="20"/>
        </w:rPr>
        <w:t>In this regard, the Court has stated that what seeks this subsection is to exemplify more subtle forms of restricting the right to freedom of expression by State authorities or individuals</w:t>
      </w:r>
      <w:r w:rsidR="009170B8" w:rsidRPr="00326F31">
        <w:rPr>
          <w:rStyle w:val="FootnoteReference"/>
          <w:rFonts w:asciiTheme="majorHAnsi" w:hAnsiTheme="majorHAnsi"/>
          <w:sz w:val="20"/>
          <w:szCs w:val="20"/>
        </w:rPr>
        <w:footnoteReference w:id="143"/>
      </w:r>
      <w:r w:rsidR="009170B8" w:rsidRPr="00585A52">
        <w:rPr>
          <w:rFonts w:asciiTheme="majorHAnsi" w:eastAsia="Times New Roman" w:hAnsiTheme="majorHAnsi"/>
          <w:sz w:val="20"/>
          <w:szCs w:val="20"/>
        </w:rPr>
        <w:t>, and that the enunciation of mechanisms for indirect restriction of Article 13.3 of the Convention is not exhaustive</w:t>
      </w:r>
      <w:r w:rsidR="009170B8" w:rsidRPr="00326F31">
        <w:rPr>
          <w:rStyle w:val="FootnoteReference"/>
          <w:rFonts w:asciiTheme="majorHAnsi" w:hAnsiTheme="majorHAnsi"/>
          <w:sz w:val="20"/>
          <w:szCs w:val="20"/>
        </w:rPr>
        <w:footnoteReference w:id="144"/>
      </w:r>
      <w:r w:rsidR="009170B8" w:rsidRPr="00585A52">
        <w:rPr>
          <w:rFonts w:asciiTheme="majorHAnsi" w:hAnsiTheme="majorHAnsi"/>
          <w:sz w:val="20"/>
          <w:szCs w:val="20"/>
        </w:rPr>
        <w:t>.</w:t>
      </w:r>
      <w:r w:rsidR="009170B8" w:rsidRPr="00585A52">
        <w:rPr>
          <w:rFonts w:asciiTheme="majorHAnsi" w:eastAsia="Times New Roman" w:hAnsiTheme="majorHAnsi"/>
          <w:sz w:val="20"/>
          <w:szCs w:val="20"/>
        </w:rPr>
        <w:t xml:space="preserve"> The Court has also indicated that for a violation to Article 13.3 of the Convention to be configured, it’s required that the method or means effectively or indirectly restrict, the communication and circulation of ideas and opinions</w:t>
      </w:r>
      <w:r w:rsidR="009170B8" w:rsidRPr="00326F31">
        <w:rPr>
          <w:rStyle w:val="FootnoteReference"/>
          <w:rFonts w:asciiTheme="majorHAnsi" w:hAnsiTheme="majorHAnsi"/>
          <w:sz w:val="20"/>
          <w:szCs w:val="20"/>
        </w:rPr>
        <w:footnoteReference w:id="145"/>
      </w:r>
      <w:r w:rsidR="009170B8" w:rsidRPr="00585A52">
        <w:rPr>
          <w:rFonts w:asciiTheme="majorHAnsi" w:eastAsia="Times New Roman" w:hAnsiTheme="majorHAnsi"/>
          <w:sz w:val="20"/>
          <w:szCs w:val="20"/>
        </w:rPr>
        <w:t>.</w:t>
      </w:r>
    </w:p>
    <w:p w14:paraId="0859EEB6" w14:textId="77777777" w:rsidR="00585A52" w:rsidRDefault="00585A52" w:rsidP="00585A52">
      <w:pPr>
        <w:pStyle w:val="ListParagraph"/>
        <w:rPr>
          <w:rFonts w:asciiTheme="majorHAnsi" w:hAnsiTheme="majorHAnsi"/>
          <w:sz w:val="20"/>
          <w:szCs w:val="20"/>
        </w:rPr>
      </w:pPr>
    </w:p>
    <w:p w14:paraId="7582DA98" w14:textId="77777777" w:rsidR="00585A52" w:rsidRDefault="009170B8" w:rsidP="00585A52">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lang w:eastAsia="es-ES"/>
        </w:rPr>
      </w:pPr>
      <w:r w:rsidRPr="00585A52">
        <w:rPr>
          <w:rFonts w:asciiTheme="majorHAnsi" w:hAnsiTheme="majorHAnsi"/>
          <w:sz w:val="20"/>
          <w:szCs w:val="20"/>
        </w:rPr>
        <w:t xml:space="preserve">In regard to the principle of equality and non-discrimination established in Articles 24 and 1.1 of the Convention, the Commission and the Inter-American Court have repeatedly held that it constitutes the central and fundamental axis of the Inter-American human rights system. Also, it has been established that it "entails </w:t>
      </w:r>
      <w:r w:rsidRPr="00585A52">
        <w:rPr>
          <w:rFonts w:asciiTheme="majorHAnsi" w:hAnsiTheme="majorHAnsi"/>
          <w:i/>
          <w:sz w:val="20"/>
          <w:szCs w:val="20"/>
        </w:rPr>
        <w:t>erga omnes</w:t>
      </w:r>
      <w:r w:rsidRPr="00585A52">
        <w:rPr>
          <w:rFonts w:asciiTheme="majorHAnsi" w:hAnsiTheme="majorHAnsi"/>
          <w:sz w:val="20"/>
          <w:szCs w:val="20"/>
        </w:rPr>
        <w:t xml:space="preserve"> obligations of protection that bind all States and generate effect with regard to third parties, including individuals"</w:t>
      </w:r>
      <w:r w:rsidRPr="00326F31">
        <w:rPr>
          <w:rStyle w:val="FootnoteReference"/>
          <w:rFonts w:asciiTheme="majorHAnsi" w:hAnsiTheme="majorHAnsi"/>
          <w:sz w:val="20"/>
          <w:szCs w:val="20"/>
          <w:lang w:val="es-ES_tradnl"/>
        </w:rPr>
        <w:footnoteReference w:id="146"/>
      </w:r>
      <w:r w:rsidRPr="00585A52">
        <w:rPr>
          <w:rFonts w:asciiTheme="majorHAnsi" w:hAnsiTheme="majorHAnsi"/>
          <w:sz w:val="20"/>
          <w:szCs w:val="20"/>
        </w:rPr>
        <w:t xml:space="preserve">. The Court has indicated that in the current stage of the evolution of international law, the fundamental principle of equality and non-discrimination has entered the domain of </w:t>
      </w:r>
      <w:r w:rsidRPr="00585A52">
        <w:rPr>
          <w:rFonts w:asciiTheme="majorHAnsi" w:hAnsiTheme="majorHAnsi"/>
          <w:i/>
          <w:sz w:val="20"/>
          <w:szCs w:val="20"/>
        </w:rPr>
        <w:t>jus cogens</w:t>
      </w:r>
      <w:r w:rsidRPr="00585A52">
        <w:rPr>
          <w:rFonts w:asciiTheme="majorHAnsi" w:hAnsiTheme="majorHAnsi"/>
          <w:sz w:val="20"/>
          <w:szCs w:val="20"/>
        </w:rPr>
        <w:t>. On it rests the legal structure of national and international public order, and permeates the entire legal system</w:t>
      </w:r>
      <w:r w:rsidRPr="00326F31">
        <w:rPr>
          <w:rFonts w:asciiTheme="majorHAnsi" w:hAnsiTheme="majorHAnsi" w:cs="Arial"/>
          <w:sz w:val="20"/>
          <w:szCs w:val="20"/>
          <w:vertAlign w:val="superscript"/>
        </w:rPr>
        <w:footnoteReference w:id="147"/>
      </w:r>
      <w:r w:rsidRPr="00585A52">
        <w:rPr>
          <w:rFonts w:asciiTheme="majorHAnsi" w:hAnsiTheme="majorHAnsi" w:cs="Arial"/>
          <w:sz w:val="20"/>
          <w:szCs w:val="20"/>
        </w:rPr>
        <w:t>.</w:t>
      </w:r>
    </w:p>
    <w:p w14:paraId="4C2D0C5B" w14:textId="77777777" w:rsidR="00585A52" w:rsidRDefault="00585A52" w:rsidP="00585A52">
      <w:pPr>
        <w:pStyle w:val="ListParagraph"/>
        <w:rPr>
          <w:rFonts w:asciiTheme="majorHAnsi" w:hAnsiTheme="majorHAnsi"/>
          <w:sz w:val="20"/>
          <w:szCs w:val="20"/>
        </w:rPr>
      </w:pPr>
    </w:p>
    <w:p w14:paraId="48A64566" w14:textId="77777777" w:rsidR="00585A52" w:rsidRDefault="00182075" w:rsidP="00585A52">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lang w:eastAsia="es-ES"/>
        </w:rPr>
      </w:pPr>
      <w:r w:rsidRPr="00585A52">
        <w:rPr>
          <w:rFonts w:asciiTheme="majorHAnsi" w:hAnsiTheme="majorHAnsi"/>
          <w:sz w:val="20"/>
          <w:szCs w:val="20"/>
        </w:rPr>
        <w:t>The Court has established in its jurisprudence that Article 1.1 of the Convention is a general rule, the contents of which extends to all provisions of the treaty, because it has the obligation of States Parties to respect and guarantee the full and free exercise of the rights and freedoms recognized therein "without any discrimination". That is, whatever the origin or the form it takes, any treatment that can be considered discriminatory with respect to the exercise of any of the rights guaranteed under the Convention is per se incompatible with it</w:t>
      </w:r>
      <w:r w:rsidRPr="00326F31">
        <w:rPr>
          <w:rFonts w:asciiTheme="majorHAnsi" w:hAnsiTheme="majorHAnsi"/>
          <w:sz w:val="20"/>
          <w:szCs w:val="20"/>
          <w:vertAlign w:val="superscript"/>
        </w:rPr>
        <w:footnoteReference w:id="148"/>
      </w:r>
      <w:r w:rsidRPr="00585A52">
        <w:rPr>
          <w:rFonts w:asciiTheme="majorHAnsi" w:hAnsiTheme="majorHAnsi"/>
          <w:sz w:val="20"/>
          <w:szCs w:val="20"/>
        </w:rPr>
        <w:t>. Failure by the State, by any discriminatory treatment, of the general obligation to respect and guarantee human rights, gives rise to international responsibility</w:t>
      </w:r>
      <w:r w:rsidRPr="00326F31">
        <w:rPr>
          <w:rFonts w:asciiTheme="majorHAnsi" w:hAnsiTheme="majorHAnsi" w:cs="Arial"/>
          <w:sz w:val="20"/>
          <w:szCs w:val="20"/>
          <w:vertAlign w:val="superscript"/>
        </w:rPr>
        <w:footnoteReference w:id="149"/>
      </w:r>
      <w:r w:rsidRPr="00585A52">
        <w:rPr>
          <w:rFonts w:asciiTheme="majorHAnsi" w:hAnsiTheme="majorHAnsi"/>
          <w:sz w:val="20"/>
          <w:szCs w:val="20"/>
        </w:rPr>
        <w:t>. That is why there is an indissoluble link between the obligation to respect and guarantee human rights and the principle of equality and non-discrimination</w:t>
      </w:r>
      <w:r w:rsidRPr="00326F31">
        <w:rPr>
          <w:rFonts w:asciiTheme="majorHAnsi" w:hAnsiTheme="majorHAnsi" w:cs="Arial"/>
          <w:sz w:val="20"/>
          <w:szCs w:val="20"/>
          <w:vertAlign w:val="superscript"/>
        </w:rPr>
        <w:footnoteReference w:id="150"/>
      </w:r>
      <w:r w:rsidRPr="00585A52">
        <w:rPr>
          <w:rFonts w:asciiTheme="majorHAnsi" w:hAnsiTheme="majorHAnsi" w:cs="Arial"/>
          <w:sz w:val="20"/>
          <w:szCs w:val="20"/>
        </w:rPr>
        <w:t>.</w:t>
      </w:r>
      <w:r w:rsidRPr="00585A52">
        <w:rPr>
          <w:rFonts w:asciiTheme="majorHAnsi" w:hAnsiTheme="majorHAnsi"/>
          <w:sz w:val="20"/>
          <w:szCs w:val="20"/>
        </w:rPr>
        <w:t xml:space="preserve"> Article 1.1 of the Convention includes within the prohibited categories for discrimination "political opinion".</w:t>
      </w:r>
    </w:p>
    <w:p w14:paraId="680A88B2" w14:textId="77777777" w:rsidR="00585A52" w:rsidRDefault="00585A52" w:rsidP="00585A52">
      <w:pPr>
        <w:pStyle w:val="ListParagraph"/>
        <w:rPr>
          <w:rFonts w:asciiTheme="majorHAnsi" w:hAnsiTheme="majorHAnsi"/>
          <w:sz w:val="20"/>
          <w:szCs w:val="20"/>
        </w:rPr>
      </w:pPr>
    </w:p>
    <w:p w14:paraId="6FE3B6C4" w14:textId="6E11D7DA" w:rsidR="00A029D7" w:rsidRDefault="00C74105" w:rsidP="00A029D7">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lang w:eastAsia="es-ES"/>
        </w:rPr>
      </w:pPr>
      <w:r w:rsidRPr="00585A52">
        <w:rPr>
          <w:rFonts w:asciiTheme="majorHAnsi" w:hAnsiTheme="majorHAnsi"/>
          <w:sz w:val="20"/>
          <w:szCs w:val="20"/>
        </w:rPr>
        <w:t xml:space="preserve">The Commission considers that the signature for the convening of a mechanism of political participation, such as the presidential recall referendum, is not only the exercise of political rights in accordance with Article 23 of the Convention, but also an expression </w:t>
      </w:r>
      <w:r w:rsidR="009E0C89">
        <w:rPr>
          <w:rFonts w:asciiTheme="majorHAnsi" w:hAnsiTheme="majorHAnsi"/>
          <w:sz w:val="20"/>
          <w:szCs w:val="20"/>
        </w:rPr>
        <w:t xml:space="preserve">of a </w:t>
      </w:r>
      <w:r w:rsidRPr="00585A52">
        <w:rPr>
          <w:rFonts w:asciiTheme="majorHAnsi" w:hAnsiTheme="majorHAnsi"/>
          <w:sz w:val="20"/>
          <w:szCs w:val="20"/>
        </w:rPr>
        <w:t xml:space="preserve">political opinion of </w:t>
      </w:r>
      <w:r w:rsidRPr="00585A52">
        <w:rPr>
          <w:rFonts w:asciiTheme="majorHAnsi" w:eastAsia="Calibri" w:hAnsiTheme="majorHAnsi"/>
          <w:sz w:val="20"/>
          <w:szCs w:val="20"/>
        </w:rPr>
        <w:t>Rocío San Miguel Sosa, Magally Chang Girón, and Thais Coromoto Peña</w:t>
      </w:r>
      <w:r w:rsidRPr="00585A52">
        <w:rPr>
          <w:rFonts w:asciiTheme="majorHAnsi" w:hAnsiTheme="majorHAnsi"/>
          <w:sz w:val="20"/>
          <w:szCs w:val="20"/>
        </w:rPr>
        <w:t xml:space="preserve">, in turn protected by Article 13 of the Convention and article 1.1 thereof as discrimination prohibited category. Consequently, in accordance with the standards mentioned so far, the State had to ensure that political opinion was </w:t>
      </w:r>
      <w:r w:rsidR="00FA1F84" w:rsidRPr="00585A52">
        <w:rPr>
          <w:rFonts w:asciiTheme="majorHAnsi" w:hAnsiTheme="majorHAnsi"/>
          <w:sz w:val="20"/>
          <w:szCs w:val="20"/>
        </w:rPr>
        <w:t xml:space="preserve">expressed </w:t>
      </w:r>
      <w:r w:rsidR="00FA1F84">
        <w:rPr>
          <w:rFonts w:asciiTheme="majorHAnsi" w:hAnsiTheme="majorHAnsi"/>
          <w:sz w:val="20"/>
          <w:szCs w:val="20"/>
        </w:rPr>
        <w:t>in conditions that protect the free exercise</w:t>
      </w:r>
      <w:r w:rsidRPr="00585A52">
        <w:rPr>
          <w:rFonts w:asciiTheme="majorHAnsi" w:hAnsiTheme="majorHAnsi"/>
          <w:sz w:val="20"/>
          <w:szCs w:val="20"/>
        </w:rPr>
        <w:t xml:space="preserve"> and without fear of reprisal</w:t>
      </w:r>
      <w:r w:rsidR="009E0C89">
        <w:rPr>
          <w:rFonts w:asciiTheme="majorHAnsi" w:hAnsiTheme="majorHAnsi"/>
          <w:sz w:val="20"/>
          <w:szCs w:val="20"/>
        </w:rPr>
        <w:t>s</w:t>
      </w:r>
      <w:r w:rsidR="00FA1F84">
        <w:rPr>
          <w:rFonts w:asciiTheme="majorHAnsi" w:hAnsiTheme="majorHAnsi"/>
          <w:sz w:val="20"/>
          <w:szCs w:val="20"/>
        </w:rPr>
        <w:t xml:space="preserve"> of the political rights</w:t>
      </w:r>
      <w:r w:rsidRPr="00585A52">
        <w:rPr>
          <w:rFonts w:asciiTheme="majorHAnsi" w:hAnsiTheme="majorHAnsi"/>
          <w:sz w:val="20"/>
          <w:szCs w:val="20"/>
        </w:rPr>
        <w:t xml:space="preserve">. The State </w:t>
      </w:r>
      <w:r w:rsidR="009E0C89">
        <w:rPr>
          <w:rFonts w:asciiTheme="majorHAnsi" w:hAnsiTheme="majorHAnsi"/>
          <w:sz w:val="20"/>
          <w:szCs w:val="20"/>
        </w:rPr>
        <w:t>should have also</w:t>
      </w:r>
      <w:r w:rsidRPr="00585A52">
        <w:rPr>
          <w:rFonts w:asciiTheme="majorHAnsi" w:hAnsiTheme="majorHAnsi"/>
          <w:sz w:val="20"/>
          <w:szCs w:val="20"/>
        </w:rPr>
        <w:t xml:space="preserve"> refrained from taking actions regarding </w:t>
      </w:r>
      <w:r w:rsidRPr="00585A52">
        <w:rPr>
          <w:rFonts w:asciiTheme="majorHAnsi" w:eastAsia="Calibri" w:hAnsiTheme="majorHAnsi"/>
          <w:sz w:val="20"/>
          <w:szCs w:val="20"/>
        </w:rPr>
        <w:t xml:space="preserve">Rocío San Miguel Sosa, Magally Chang Girón, and Thais Coromoto Peña </w:t>
      </w:r>
      <w:r w:rsidRPr="00585A52">
        <w:rPr>
          <w:rFonts w:asciiTheme="majorHAnsi" w:hAnsiTheme="majorHAnsi"/>
          <w:sz w:val="20"/>
          <w:szCs w:val="20"/>
        </w:rPr>
        <w:t>based on their political views without justification and, of indirectly penalizing such expression.</w:t>
      </w:r>
    </w:p>
    <w:p w14:paraId="03F3D9D8" w14:textId="77777777" w:rsidR="00A029D7" w:rsidRDefault="00A029D7" w:rsidP="00A029D7">
      <w:pPr>
        <w:pStyle w:val="ListParagraph"/>
        <w:rPr>
          <w:rFonts w:asciiTheme="majorHAnsi" w:hAnsiTheme="majorHAnsi"/>
          <w:sz w:val="20"/>
          <w:szCs w:val="20"/>
        </w:rPr>
      </w:pPr>
    </w:p>
    <w:p w14:paraId="7E205E74" w14:textId="1EB4F654" w:rsidR="00C74105" w:rsidRPr="00A029D7" w:rsidRDefault="00C74105" w:rsidP="00A029D7">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lang w:eastAsia="es-ES"/>
        </w:rPr>
      </w:pPr>
      <w:r w:rsidRPr="00A029D7">
        <w:rPr>
          <w:rFonts w:asciiTheme="majorHAnsi" w:hAnsiTheme="majorHAnsi"/>
          <w:sz w:val="20"/>
          <w:szCs w:val="20"/>
        </w:rPr>
        <w:t>The Commi</w:t>
      </w:r>
      <w:r w:rsidR="00886208">
        <w:rPr>
          <w:rFonts w:asciiTheme="majorHAnsi" w:hAnsiTheme="majorHAnsi"/>
          <w:sz w:val="20"/>
          <w:szCs w:val="20"/>
        </w:rPr>
        <w:t>ssion</w:t>
      </w:r>
      <w:r w:rsidRPr="00A029D7">
        <w:rPr>
          <w:rFonts w:asciiTheme="majorHAnsi" w:hAnsiTheme="majorHAnsi"/>
          <w:sz w:val="20"/>
          <w:szCs w:val="20"/>
        </w:rPr>
        <w:t xml:space="preserve"> will now determine whether the dismissal of </w:t>
      </w:r>
      <w:r w:rsidRPr="00A029D7">
        <w:rPr>
          <w:rFonts w:asciiTheme="majorHAnsi" w:eastAsia="Calibri" w:hAnsiTheme="majorHAnsi"/>
          <w:sz w:val="20"/>
          <w:szCs w:val="20"/>
        </w:rPr>
        <w:t>Rocío San Miguel Sosa, Magally Chang Girón, and Thais Coromoto Peña</w:t>
      </w:r>
      <w:r w:rsidRPr="00A029D7">
        <w:rPr>
          <w:rFonts w:asciiTheme="majorHAnsi" w:hAnsiTheme="majorHAnsi"/>
          <w:sz w:val="20"/>
          <w:szCs w:val="20"/>
        </w:rPr>
        <w:t>, was a breach of those obligations.</w:t>
      </w:r>
    </w:p>
    <w:p w14:paraId="78744318" w14:textId="77777777" w:rsidR="006F0BBD" w:rsidRPr="00326F31" w:rsidRDefault="006F0BBD" w:rsidP="00326F31">
      <w:pPr>
        <w:jc w:val="both"/>
        <w:rPr>
          <w:rFonts w:asciiTheme="majorHAnsi" w:eastAsia="Times New Roman" w:hAnsiTheme="majorHAnsi"/>
          <w:b/>
          <w:sz w:val="20"/>
          <w:szCs w:val="20"/>
        </w:rPr>
      </w:pPr>
    </w:p>
    <w:p w14:paraId="3E7A48E3" w14:textId="355365C0" w:rsidR="00222DA8" w:rsidRPr="00326F31" w:rsidRDefault="00222DA8" w:rsidP="00326F31">
      <w:pPr>
        <w:pStyle w:val="ListParagraph"/>
        <w:numPr>
          <w:ilvl w:val="1"/>
          <w:numId w:val="55"/>
        </w:numPr>
        <w:pBdr>
          <w:left w:val="none" w:sz="0" w:space="0" w:color="auto"/>
          <w:bottom w:val="none" w:sz="0" w:space="0" w:color="auto"/>
          <w:right w:val="none" w:sz="0" w:space="0" w:color="auto"/>
          <w:between w:val="none" w:sz="0" w:space="0" w:color="auto"/>
          <w:bar w:val="none" w:sz="0" w:color="auto"/>
        </w:pBdr>
        <w:tabs>
          <w:tab w:val="clear" w:pos="1800"/>
          <w:tab w:val="num" w:pos="1440"/>
        </w:tabs>
        <w:ind w:left="1440" w:hanging="720"/>
        <w:jc w:val="both"/>
        <w:rPr>
          <w:rFonts w:asciiTheme="majorHAnsi" w:eastAsia="Times New Roman" w:hAnsiTheme="majorHAnsi"/>
          <w:b/>
          <w:sz w:val="20"/>
          <w:szCs w:val="20"/>
        </w:rPr>
      </w:pPr>
      <w:r w:rsidRPr="00326F31">
        <w:rPr>
          <w:rFonts w:asciiTheme="majorHAnsi" w:eastAsia="Times New Roman" w:hAnsiTheme="majorHAnsi"/>
          <w:b/>
          <w:sz w:val="20"/>
          <w:szCs w:val="20"/>
        </w:rPr>
        <w:t>Analysis of whether the dismissal was based on the political opini</w:t>
      </w:r>
      <w:r w:rsidR="009251DB" w:rsidRPr="00326F31">
        <w:rPr>
          <w:rFonts w:asciiTheme="majorHAnsi" w:eastAsia="Times New Roman" w:hAnsiTheme="majorHAnsi"/>
          <w:b/>
          <w:sz w:val="20"/>
          <w:szCs w:val="20"/>
        </w:rPr>
        <w:t>on expressed by signing the petition</w:t>
      </w:r>
      <w:r w:rsidRPr="00326F31">
        <w:rPr>
          <w:rFonts w:asciiTheme="majorHAnsi" w:eastAsia="Times New Roman" w:hAnsiTheme="majorHAnsi"/>
          <w:b/>
          <w:sz w:val="20"/>
          <w:szCs w:val="20"/>
        </w:rPr>
        <w:t xml:space="preserve"> for a recall referendum and, therefore, constituted a violation of political rights and freedom of expression</w:t>
      </w:r>
    </w:p>
    <w:p w14:paraId="4A1FDE28" w14:textId="77777777" w:rsidR="00AB7D09" w:rsidRPr="00A029D7" w:rsidRDefault="00AB7D09" w:rsidP="00A029D7">
      <w:pPr>
        <w:pBdr>
          <w:left w:val="none" w:sz="0" w:space="0" w:color="auto"/>
          <w:bottom w:val="none" w:sz="0" w:space="0" w:color="auto"/>
          <w:right w:val="none" w:sz="0" w:space="0" w:color="auto"/>
          <w:between w:val="none" w:sz="0" w:space="0" w:color="auto"/>
          <w:bar w:val="none" w:sz="0" w:color="auto"/>
        </w:pBdr>
        <w:ind w:left="720"/>
        <w:jc w:val="both"/>
      </w:pPr>
    </w:p>
    <w:p w14:paraId="782B7C89" w14:textId="2F5BD812" w:rsidR="00602192" w:rsidRDefault="001A4155" w:rsidP="00602192">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26F31">
        <w:rPr>
          <w:rFonts w:asciiTheme="majorHAnsi" w:hAnsiTheme="majorHAnsi"/>
          <w:sz w:val="20"/>
          <w:szCs w:val="20"/>
        </w:rPr>
        <w:t xml:space="preserve">At this point the Commission has to address the debate on the statement by the State regarding the termination of the contract, against the alleged </w:t>
      </w:r>
      <w:r w:rsidR="00A029D7">
        <w:rPr>
          <w:rFonts w:asciiTheme="majorHAnsi" w:hAnsiTheme="majorHAnsi"/>
          <w:sz w:val="20"/>
          <w:szCs w:val="20"/>
        </w:rPr>
        <w:t xml:space="preserve">real motivation for such action. In the </w:t>
      </w:r>
      <w:r w:rsidR="00F053C0">
        <w:rPr>
          <w:rFonts w:asciiTheme="majorHAnsi" w:hAnsiTheme="majorHAnsi"/>
          <w:sz w:val="20"/>
          <w:szCs w:val="20"/>
        </w:rPr>
        <w:t xml:space="preserve">instant case the Commission notes that the decision to terminate the contracts with the alleged victims by letter dated March 12, 2004, lacks motivation, indicating in the text of the letters only </w:t>
      </w:r>
      <w:r w:rsidR="00602192">
        <w:rPr>
          <w:rFonts w:asciiTheme="majorHAnsi" w:hAnsiTheme="majorHAnsi"/>
          <w:sz w:val="20"/>
          <w:szCs w:val="20"/>
        </w:rPr>
        <w:t>that that the contracts with the National Border Council are terminated as from April 1, 2004</w:t>
      </w:r>
      <w:r w:rsidR="00602192" w:rsidRPr="00420489">
        <w:rPr>
          <w:rFonts w:asciiTheme="majorHAnsi" w:hAnsiTheme="majorHAnsi"/>
          <w:sz w:val="20"/>
          <w:szCs w:val="20"/>
          <w:vertAlign w:val="superscript"/>
          <w:lang w:val="es-VE"/>
        </w:rPr>
        <w:footnoteReference w:id="151"/>
      </w:r>
      <w:r w:rsidR="00602192">
        <w:rPr>
          <w:rFonts w:asciiTheme="majorHAnsi" w:hAnsiTheme="majorHAnsi"/>
          <w:sz w:val="20"/>
          <w:szCs w:val="20"/>
        </w:rPr>
        <w:t xml:space="preserve">. </w:t>
      </w:r>
    </w:p>
    <w:p w14:paraId="62186630" w14:textId="77777777" w:rsidR="00602192" w:rsidRDefault="00602192" w:rsidP="00602192">
      <w:pPr>
        <w:pBdr>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14:paraId="5902A3A4" w14:textId="2EE9A11F" w:rsidR="00A705EC" w:rsidRDefault="00602192" w:rsidP="00A705EC">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pPr>
      <w:r>
        <w:rPr>
          <w:rFonts w:asciiTheme="majorHAnsi" w:hAnsiTheme="majorHAnsi"/>
          <w:sz w:val="20"/>
          <w:szCs w:val="20"/>
        </w:rPr>
        <w:lastRenderedPageBreak/>
        <w:t xml:space="preserve">The petitioners argued that the real motivation of the termination their contracts was the political opinion of Rocio San Miguel Sosa, </w:t>
      </w:r>
      <w:proofErr w:type="spellStart"/>
      <w:r>
        <w:rPr>
          <w:rFonts w:asciiTheme="majorHAnsi" w:hAnsiTheme="majorHAnsi"/>
          <w:sz w:val="20"/>
          <w:szCs w:val="20"/>
        </w:rPr>
        <w:t>Magally</w:t>
      </w:r>
      <w:proofErr w:type="spellEnd"/>
      <w:r>
        <w:rPr>
          <w:rFonts w:asciiTheme="majorHAnsi" w:hAnsiTheme="majorHAnsi"/>
          <w:sz w:val="20"/>
          <w:szCs w:val="20"/>
        </w:rPr>
        <w:t xml:space="preserve"> Chang </w:t>
      </w:r>
      <w:proofErr w:type="spellStart"/>
      <w:r>
        <w:rPr>
          <w:rFonts w:asciiTheme="majorHAnsi" w:hAnsiTheme="majorHAnsi"/>
          <w:sz w:val="20"/>
          <w:szCs w:val="20"/>
        </w:rPr>
        <w:t>Girón</w:t>
      </w:r>
      <w:proofErr w:type="spellEnd"/>
      <w:r>
        <w:rPr>
          <w:rFonts w:asciiTheme="majorHAnsi" w:hAnsiTheme="majorHAnsi"/>
          <w:sz w:val="20"/>
          <w:szCs w:val="20"/>
        </w:rPr>
        <w:t xml:space="preserve"> and Thais </w:t>
      </w:r>
      <w:proofErr w:type="spellStart"/>
      <w:r>
        <w:rPr>
          <w:rFonts w:asciiTheme="majorHAnsi" w:hAnsiTheme="majorHAnsi"/>
          <w:sz w:val="20"/>
          <w:szCs w:val="20"/>
        </w:rPr>
        <w:t>Coromoto</w:t>
      </w:r>
      <w:proofErr w:type="spellEnd"/>
      <w:r>
        <w:rPr>
          <w:rFonts w:asciiTheme="majorHAnsi" w:hAnsiTheme="majorHAnsi"/>
          <w:sz w:val="20"/>
          <w:szCs w:val="20"/>
        </w:rPr>
        <w:t xml:space="preserve"> Peña, expressed </w:t>
      </w:r>
      <w:r w:rsidR="00A705EC">
        <w:rPr>
          <w:rFonts w:asciiTheme="majorHAnsi" w:hAnsiTheme="majorHAnsi"/>
          <w:sz w:val="20"/>
          <w:szCs w:val="20"/>
        </w:rPr>
        <w:t>through in the recall referendum of the President of the Republic.</w:t>
      </w:r>
    </w:p>
    <w:p w14:paraId="53D6F3EF" w14:textId="77777777" w:rsidR="00C97F2E" w:rsidRDefault="00C97F2E" w:rsidP="00C97F2E">
      <w:pPr>
        <w:pBdr>
          <w:left w:val="none" w:sz="0" w:space="0" w:color="auto"/>
          <w:bottom w:val="none" w:sz="0" w:space="0" w:color="auto"/>
          <w:right w:val="none" w:sz="0" w:space="0" w:color="auto"/>
          <w:between w:val="none" w:sz="0" w:space="0" w:color="auto"/>
          <w:bar w:val="none" w:sz="0" w:color="auto"/>
        </w:pBdr>
        <w:jc w:val="both"/>
      </w:pPr>
    </w:p>
    <w:p w14:paraId="3FBDFF70" w14:textId="17BC6FBB" w:rsidR="00B107A9" w:rsidRDefault="00A705EC" w:rsidP="00835ED3">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B107A9">
        <w:rPr>
          <w:rFonts w:asciiTheme="majorHAnsi" w:hAnsiTheme="majorHAnsi"/>
          <w:sz w:val="20"/>
          <w:szCs w:val="20"/>
        </w:rPr>
        <w:t xml:space="preserve">In contrast within the framework of internal processes, CNF authorities who showed up said that the termination was merely the application of the seventh clause of the contract, which allows for discretional dismissal without motivation. </w:t>
      </w:r>
      <w:r w:rsidR="00B107A9" w:rsidRPr="00B107A9">
        <w:rPr>
          <w:rFonts w:asciiTheme="majorHAnsi" w:hAnsiTheme="majorHAnsi"/>
          <w:sz w:val="20"/>
          <w:szCs w:val="20"/>
        </w:rPr>
        <w:t>In a radio interview, the Executive Secretary of the CNF said that the three alleged victims were dismissed by order of the Vice President as a result of a restructuring.</w:t>
      </w:r>
      <w:r w:rsidRPr="00B107A9">
        <w:rPr>
          <w:rFonts w:asciiTheme="majorHAnsi" w:hAnsiTheme="majorHAnsi"/>
          <w:sz w:val="20"/>
          <w:szCs w:val="20"/>
        </w:rPr>
        <w:t xml:space="preserve"> In the same vein, the authorities </w:t>
      </w:r>
      <w:r w:rsidR="00B107A9" w:rsidRPr="00B107A9">
        <w:rPr>
          <w:rFonts w:asciiTheme="majorHAnsi" w:hAnsiTheme="majorHAnsi"/>
          <w:sz w:val="20"/>
          <w:szCs w:val="20"/>
        </w:rPr>
        <w:t>that were in charge of deciding the</w:t>
      </w:r>
      <w:r w:rsidRPr="00B107A9">
        <w:rPr>
          <w:rFonts w:asciiTheme="majorHAnsi" w:hAnsiTheme="majorHAnsi"/>
          <w:sz w:val="20"/>
          <w:szCs w:val="20"/>
        </w:rPr>
        <w:t xml:space="preserve"> various remedies assumed this version to be true, limiting themselves to declare </w:t>
      </w:r>
      <w:r w:rsidR="00B107A9" w:rsidRPr="00B107A9">
        <w:rPr>
          <w:rFonts w:asciiTheme="majorHAnsi" w:hAnsiTheme="majorHAnsi"/>
          <w:sz w:val="20"/>
          <w:szCs w:val="20"/>
        </w:rPr>
        <w:t xml:space="preserve">that </w:t>
      </w:r>
      <w:r w:rsidRPr="00B107A9">
        <w:rPr>
          <w:rFonts w:asciiTheme="majorHAnsi" w:hAnsiTheme="majorHAnsi"/>
          <w:sz w:val="20"/>
          <w:szCs w:val="20"/>
        </w:rPr>
        <w:t xml:space="preserve">the termination of the </w:t>
      </w:r>
      <w:r w:rsidR="00B107A9" w:rsidRPr="00B107A9">
        <w:rPr>
          <w:rFonts w:asciiTheme="majorHAnsi" w:hAnsiTheme="majorHAnsi"/>
          <w:sz w:val="20"/>
          <w:szCs w:val="20"/>
        </w:rPr>
        <w:t>work</w:t>
      </w:r>
      <w:r w:rsidRPr="00B107A9">
        <w:rPr>
          <w:rFonts w:asciiTheme="majorHAnsi" w:hAnsiTheme="majorHAnsi"/>
          <w:sz w:val="20"/>
          <w:szCs w:val="20"/>
        </w:rPr>
        <w:t xml:space="preserve"> relationship was the exercise of discretional powers under </w:t>
      </w:r>
      <w:r w:rsidR="00B107A9" w:rsidRPr="00B107A9">
        <w:rPr>
          <w:rFonts w:asciiTheme="majorHAnsi" w:hAnsiTheme="majorHAnsi"/>
          <w:sz w:val="20"/>
          <w:szCs w:val="20"/>
        </w:rPr>
        <w:t xml:space="preserve">the text of the </w:t>
      </w:r>
      <w:r w:rsidRPr="00B107A9">
        <w:rPr>
          <w:rFonts w:asciiTheme="majorHAnsi" w:hAnsiTheme="majorHAnsi"/>
          <w:sz w:val="20"/>
          <w:szCs w:val="20"/>
        </w:rPr>
        <w:t xml:space="preserve">contract. </w:t>
      </w:r>
      <w:r w:rsidR="00B107A9" w:rsidRPr="00B107A9">
        <w:rPr>
          <w:rFonts w:asciiTheme="majorHAnsi" w:hAnsiTheme="majorHAnsi"/>
          <w:sz w:val="20"/>
          <w:szCs w:val="20"/>
        </w:rPr>
        <w:t xml:space="preserve">In the </w:t>
      </w:r>
      <w:proofErr w:type="spellStart"/>
      <w:r w:rsidR="00B107A9" w:rsidRPr="00B107A9">
        <w:rPr>
          <w:rFonts w:asciiTheme="majorHAnsi" w:hAnsiTheme="majorHAnsi"/>
          <w:sz w:val="20"/>
          <w:szCs w:val="20"/>
        </w:rPr>
        <w:t>amparo</w:t>
      </w:r>
      <w:proofErr w:type="spellEnd"/>
      <w:r w:rsidR="00B107A9" w:rsidRPr="00B107A9">
        <w:rPr>
          <w:rFonts w:asciiTheme="majorHAnsi" w:hAnsiTheme="majorHAnsi"/>
          <w:sz w:val="20"/>
          <w:szCs w:val="20"/>
        </w:rPr>
        <w:t xml:space="preserve"> process it was concluded that "the plaintiffs have not shown that the performance of the contractual power of the employer constituted a discriminatory practice"</w:t>
      </w:r>
      <w:r w:rsidR="00B107A9" w:rsidRPr="00326F31">
        <w:rPr>
          <w:rStyle w:val="FootnoteReference"/>
          <w:rFonts w:asciiTheme="majorHAnsi" w:hAnsiTheme="majorHAnsi"/>
          <w:sz w:val="20"/>
          <w:szCs w:val="20"/>
          <w:lang w:val="es-VE"/>
        </w:rPr>
        <w:footnoteReference w:id="152"/>
      </w:r>
      <w:r w:rsidR="00B107A9" w:rsidRPr="00B107A9">
        <w:rPr>
          <w:rFonts w:asciiTheme="majorHAnsi" w:hAnsiTheme="majorHAnsi"/>
          <w:sz w:val="20"/>
          <w:szCs w:val="20"/>
        </w:rPr>
        <w:t>. In the criminal proceedings, the Twenty-First Court of First Instance dismissed the process by holding that "none of the elements lead to corroborate the complainants statements that the reason for the determination of the contract was voting in the recall referendum"</w:t>
      </w:r>
      <w:r w:rsidR="00B107A9" w:rsidRPr="00326F31">
        <w:rPr>
          <w:rFonts w:asciiTheme="majorHAnsi" w:hAnsiTheme="majorHAnsi"/>
          <w:sz w:val="20"/>
          <w:szCs w:val="20"/>
          <w:vertAlign w:val="superscript"/>
        </w:rPr>
        <w:footnoteReference w:id="153"/>
      </w:r>
      <w:r w:rsidR="00B107A9" w:rsidRPr="00B107A9">
        <w:rPr>
          <w:rFonts w:asciiTheme="majorHAnsi" w:hAnsiTheme="majorHAnsi"/>
          <w:sz w:val="20"/>
          <w:szCs w:val="20"/>
        </w:rPr>
        <w:t xml:space="preserve">. </w:t>
      </w:r>
      <w:r w:rsidR="005D46F5" w:rsidRPr="00326F31">
        <w:rPr>
          <w:rFonts w:asciiTheme="majorHAnsi" w:hAnsiTheme="majorHAnsi"/>
          <w:sz w:val="20"/>
          <w:szCs w:val="20"/>
        </w:rPr>
        <w:t>During</w:t>
      </w:r>
      <w:r w:rsidR="00C97F2E">
        <w:rPr>
          <w:rFonts w:asciiTheme="majorHAnsi" w:hAnsiTheme="majorHAnsi"/>
          <w:sz w:val="20"/>
          <w:szCs w:val="20"/>
        </w:rPr>
        <w:t xml:space="preserve"> the Inter-American proceedings,</w:t>
      </w:r>
      <w:r w:rsidR="00B107A9" w:rsidRPr="00326F31">
        <w:rPr>
          <w:rFonts w:asciiTheme="majorHAnsi" w:hAnsiTheme="majorHAnsi"/>
          <w:sz w:val="20"/>
          <w:szCs w:val="20"/>
        </w:rPr>
        <w:t xml:space="preserve"> the State maintained the same version on the exercise of the discretional power that the own contract allowed as motivation for its own termination</w:t>
      </w:r>
      <w:r w:rsidR="005D46F5">
        <w:rPr>
          <w:rFonts w:asciiTheme="majorHAnsi" w:hAnsiTheme="majorHAnsi"/>
          <w:sz w:val="20"/>
          <w:szCs w:val="20"/>
        </w:rPr>
        <w:t xml:space="preserve">. </w:t>
      </w:r>
    </w:p>
    <w:p w14:paraId="744E4FED" w14:textId="77777777" w:rsidR="005D46F5" w:rsidRDefault="005D46F5" w:rsidP="005D46F5">
      <w:pPr>
        <w:pBdr>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14:paraId="0D536CF9" w14:textId="2AC2F562" w:rsidR="005D46F5" w:rsidRDefault="005D46F5" w:rsidP="005D46F5">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G</w:t>
      </w:r>
      <w:r w:rsidRPr="005D46F5">
        <w:rPr>
          <w:rFonts w:asciiTheme="majorHAnsi" w:hAnsiTheme="majorHAnsi"/>
          <w:sz w:val="20"/>
          <w:szCs w:val="20"/>
        </w:rPr>
        <w:t xml:space="preserve">iven the argument of the petitioners </w:t>
      </w:r>
      <w:r w:rsidR="00886208">
        <w:rPr>
          <w:rFonts w:asciiTheme="majorHAnsi" w:hAnsiTheme="majorHAnsi"/>
          <w:sz w:val="20"/>
          <w:szCs w:val="20"/>
        </w:rPr>
        <w:t xml:space="preserve">according to which the </w:t>
      </w:r>
      <w:r w:rsidR="00C97F2E">
        <w:rPr>
          <w:rFonts w:asciiTheme="majorHAnsi" w:hAnsiTheme="majorHAnsi"/>
          <w:sz w:val="20"/>
          <w:szCs w:val="20"/>
        </w:rPr>
        <w:t xml:space="preserve">real motivation of the </w:t>
      </w:r>
      <w:r w:rsidR="00886208">
        <w:rPr>
          <w:rFonts w:asciiTheme="majorHAnsi" w:hAnsiTheme="majorHAnsi"/>
          <w:sz w:val="20"/>
          <w:szCs w:val="20"/>
        </w:rPr>
        <w:t>contract termination with</w:t>
      </w:r>
      <w:r w:rsidR="00C97F2E">
        <w:rPr>
          <w:rFonts w:asciiTheme="majorHAnsi" w:hAnsiTheme="majorHAnsi"/>
          <w:sz w:val="20"/>
          <w:szCs w:val="20"/>
        </w:rPr>
        <w:t xml:space="preserve"> the alleged victims was to</w:t>
      </w:r>
      <w:r w:rsidRPr="005D46F5">
        <w:rPr>
          <w:rFonts w:asciiTheme="majorHAnsi" w:hAnsiTheme="majorHAnsi"/>
          <w:sz w:val="20"/>
          <w:szCs w:val="20"/>
        </w:rPr>
        <w:t xml:space="preserve"> punish</w:t>
      </w:r>
      <w:r w:rsidR="00C97F2E">
        <w:rPr>
          <w:rFonts w:asciiTheme="majorHAnsi" w:hAnsiTheme="majorHAnsi"/>
          <w:sz w:val="20"/>
          <w:szCs w:val="20"/>
        </w:rPr>
        <w:t xml:space="preserve"> them</w:t>
      </w:r>
      <w:r w:rsidRPr="005D46F5">
        <w:rPr>
          <w:rFonts w:asciiTheme="majorHAnsi" w:hAnsiTheme="majorHAnsi"/>
          <w:sz w:val="20"/>
          <w:szCs w:val="20"/>
        </w:rPr>
        <w:t xml:space="preserve"> for their political expression in the petition for referendum, the analysis</w:t>
      </w:r>
      <w:r>
        <w:rPr>
          <w:rFonts w:asciiTheme="majorHAnsi" w:hAnsiTheme="majorHAnsi"/>
          <w:sz w:val="20"/>
          <w:szCs w:val="20"/>
        </w:rPr>
        <w:t xml:space="preserve"> of the Commission</w:t>
      </w:r>
      <w:r w:rsidRPr="005D46F5">
        <w:rPr>
          <w:rFonts w:asciiTheme="majorHAnsi" w:hAnsiTheme="majorHAnsi"/>
          <w:sz w:val="20"/>
          <w:szCs w:val="20"/>
        </w:rPr>
        <w:t xml:space="preserve"> cannot be based solely on the motivation formally declared in the preceding paragraphs. I</w:t>
      </w:r>
      <w:r w:rsidR="00C97F2E">
        <w:rPr>
          <w:rFonts w:asciiTheme="majorHAnsi" w:hAnsiTheme="majorHAnsi"/>
          <w:sz w:val="20"/>
          <w:szCs w:val="20"/>
        </w:rPr>
        <w:t>t i</w:t>
      </w:r>
      <w:r w:rsidRPr="005D46F5">
        <w:rPr>
          <w:rFonts w:asciiTheme="majorHAnsi" w:hAnsiTheme="majorHAnsi"/>
          <w:sz w:val="20"/>
          <w:szCs w:val="20"/>
        </w:rPr>
        <w:t>s up to the Commission to evaluate all available evidence to determine whether the te</w:t>
      </w:r>
      <w:r>
        <w:rPr>
          <w:rFonts w:asciiTheme="majorHAnsi" w:hAnsiTheme="majorHAnsi"/>
          <w:sz w:val="20"/>
          <w:szCs w:val="20"/>
        </w:rPr>
        <w:t xml:space="preserve">rmination was a misuse of power, understood as </w:t>
      </w:r>
      <w:r w:rsidR="00000665">
        <w:rPr>
          <w:rFonts w:asciiTheme="majorHAnsi" w:hAnsiTheme="majorHAnsi"/>
          <w:sz w:val="20"/>
          <w:szCs w:val="20"/>
        </w:rPr>
        <w:t>the use of formally valid procedures to conceal an illegal practice</w:t>
      </w:r>
      <w:r w:rsidR="00603ED8" w:rsidRPr="00420489">
        <w:rPr>
          <w:rStyle w:val="FootnoteReference"/>
          <w:rFonts w:asciiTheme="majorHAnsi" w:hAnsiTheme="majorHAnsi"/>
          <w:sz w:val="20"/>
          <w:szCs w:val="20"/>
          <w:lang w:val="es-MX"/>
        </w:rPr>
        <w:footnoteReference w:id="154"/>
      </w:r>
      <w:r w:rsidR="00000665">
        <w:rPr>
          <w:rFonts w:asciiTheme="majorHAnsi" w:hAnsiTheme="majorHAnsi"/>
          <w:sz w:val="20"/>
          <w:szCs w:val="20"/>
        </w:rPr>
        <w:t xml:space="preserve">. The IACHR has stated that in </w:t>
      </w:r>
      <w:r w:rsidR="00603ED8">
        <w:rPr>
          <w:rFonts w:asciiTheme="majorHAnsi" w:hAnsiTheme="majorHAnsi"/>
          <w:sz w:val="20"/>
          <w:szCs w:val="20"/>
        </w:rPr>
        <w:t>these cases</w:t>
      </w:r>
      <w:r w:rsidR="00000665">
        <w:rPr>
          <w:rFonts w:asciiTheme="majorHAnsi" w:hAnsiTheme="majorHAnsi"/>
          <w:sz w:val="20"/>
          <w:szCs w:val="20"/>
        </w:rPr>
        <w:t xml:space="preserve"> </w:t>
      </w:r>
      <w:r w:rsidR="00603ED8">
        <w:rPr>
          <w:rFonts w:asciiTheme="majorHAnsi" w:hAnsiTheme="majorHAnsi"/>
          <w:sz w:val="20"/>
          <w:szCs w:val="20"/>
        </w:rPr>
        <w:t>circumstantial or presumptive evidence is of especial importance</w:t>
      </w:r>
      <w:r w:rsidR="00603ED8" w:rsidRPr="00420489">
        <w:rPr>
          <w:rStyle w:val="FootnoteReference"/>
          <w:rFonts w:asciiTheme="majorHAnsi" w:hAnsiTheme="majorHAnsi"/>
          <w:sz w:val="20"/>
          <w:szCs w:val="20"/>
          <w:lang w:val="es-MX"/>
        </w:rPr>
        <w:footnoteReference w:id="155"/>
      </w:r>
      <w:r w:rsidR="00603ED8">
        <w:rPr>
          <w:rFonts w:asciiTheme="majorHAnsi" w:hAnsiTheme="majorHAnsi"/>
          <w:sz w:val="20"/>
          <w:szCs w:val="20"/>
        </w:rPr>
        <w:t xml:space="preserve">. </w:t>
      </w:r>
    </w:p>
    <w:p w14:paraId="62FE17C3" w14:textId="77777777" w:rsidR="00603ED8" w:rsidRDefault="00603ED8" w:rsidP="00603ED8">
      <w:pPr>
        <w:pStyle w:val="ListParagraph"/>
        <w:rPr>
          <w:rFonts w:asciiTheme="majorHAnsi" w:hAnsiTheme="majorHAnsi"/>
          <w:sz w:val="20"/>
          <w:szCs w:val="20"/>
        </w:rPr>
      </w:pPr>
    </w:p>
    <w:p w14:paraId="2F853C12" w14:textId="77777777" w:rsidR="006D7A70" w:rsidRDefault="00886208" w:rsidP="006D7A70">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The Commission will now summarize the different elements that it has in its possession to determine </w:t>
      </w:r>
      <w:r w:rsidRPr="00886208">
        <w:rPr>
          <w:rFonts w:asciiTheme="majorHAnsi" w:hAnsiTheme="majorHAnsi"/>
          <w:sz w:val="20"/>
          <w:szCs w:val="20"/>
        </w:rPr>
        <w:t xml:space="preserve">whether the dismissal of </w:t>
      </w:r>
      <w:proofErr w:type="spellStart"/>
      <w:r w:rsidRPr="00886208">
        <w:rPr>
          <w:rFonts w:asciiTheme="majorHAnsi" w:eastAsia="Calibri" w:hAnsiTheme="majorHAnsi"/>
          <w:sz w:val="20"/>
          <w:szCs w:val="20"/>
        </w:rPr>
        <w:t>Rocío</w:t>
      </w:r>
      <w:proofErr w:type="spellEnd"/>
      <w:r w:rsidRPr="00886208">
        <w:rPr>
          <w:rFonts w:asciiTheme="majorHAnsi" w:eastAsia="Calibri" w:hAnsiTheme="majorHAnsi"/>
          <w:sz w:val="20"/>
          <w:szCs w:val="20"/>
        </w:rPr>
        <w:t xml:space="preserve"> San Miguel Sosa, </w:t>
      </w:r>
      <w:proofErr w:type="spellStart"/>
      <w:r w:rsidRPr="00886208">
        <w:rPr>
          <w:rFonts w:asciiTheme="majorHAnsi" w:eastAsia="Calibri" w:hAnsiTheme="majorHAnsi"/>
          <w:sz w:val="20"/>
          <w:szCs w:val="20"/>
        </w:rPr>
        <w:t>Magally</w:t>
      </w:r>
      <w:proofErr w:type="spellEnd"/>
      <w:r w:rsidRPr="00886208">
        <w:rPr>
          <w:rFonts w:asciiTheme="majorHAnsi" w:eastAsia="Calibri" w:hAnsiTheme="majorHAnsi"/>
          <w:sz w:val="20"/>
          <w:szCs w:val="20"/>
        </w:rPr>
        <w:t xml:space="preserve"> Chang </w:t>
      </w:r>
      <w:proofErr w:type="spellStart"/>
      <w:r w:rsidRPr="00886208">
        <w:rPr>
          <w:rFonts w:asciiTheme="majorHAnsi" w:eastAsia="Calibri" w:hAnsiTheme="majorHAnsi"/>
          <w:sz w:val="20"/>
          <w:szCs w:val="20"/>
        </w:rPr>
        <w:t>Girón</w:t>
      </w:r>
      <w:proofErr w:type="spellEnd"/>
      <w:r w:rsidRPr="00886208">
        <w:rPr>
          <w:rFonts w:asciiTheme="majorHAnsi" w:eastAsia="Calibri" w:hAnsiTheme="majorHAnsi"/>
          <w:sz w:val="20"/>
          <w:szCs w:val="20"/>
        </w:rPr>
        <w:t xml:space="preserve">, and Thais </w:t>
      </w:r>
      <w:proofErr w:type="spellStart"/>
      <w:r w:rsidRPr="00886208">
        <w:rPr>
          <w:rFonts w:asciiTheme="majorHAnsi" w:eastAsia="Calibri" w:hAnsiTheme="majorHAnsi"/>
          <w:sz w:val="20"/>
          <w:szCs w:val="20"/>
        </w:rPr>
        <w:t>Coromoto</w:t>
      </w:r>
      <w:proofErr w:type="spellEnd"/>
      <w:r w:rsidRPr="00886208">
        <w:rPr>
          <w:rFonts w:asciiTheme="majorHAnsi" w:eastAsia="Calibri" w:hAnsiTheme="majorHAnsi"/>
          <w:sz w:val="20"/>
          <w:szCs w:val="20"/>
        </w:rPr>
        <w:t xml:space="preserve"> Peña</w:t>
      </w:r>
      <w:r w:rsidRPr="00886208">
        <w:rPr>
          <w:rFonts w:asciiTheme="majorHAnsi" w:hAnsiTheme="majorHAnsi"/>
          <w:sz w:val="20"/>
          <w:szCs w:val="20"/>
        </w:rPr>
        <w:t xml:space="preserve">, was </w:t>
      </w:r>
      <w:r>
        <w:rPr>
          <w:rFonts w:asciiTheme="majorHAnsi" w:hAnsiTheme="majorHAnsi"/>
          <w:sz w:val="20"/>
          <w:szCs w:val="20"/>
        </w:rPr>
        <w:t xml:space="preserve">motivated by </w:t>
      </w:r>
      <w:r w:rsidRPr="00886208">
        <w:rPr>
          <w:rFonts w:asciiTheme="majorHAnsi" w:hAnsiTheme="majorHAnsi"/>
          <w:sz w:val="20"/>
          <w:szCs w:val="20"/>
        </w:rPr>
        <w:t>the political opinion</w:t>
      </w:r>
      <w:r>
        <w:rPr>
          <w:rFonts w:asciiTheme="majorHAnsi" w:hAnsiTheme="majorHAnsi"/>
          <w:sz w:val="20"/>
          <w:szCs w:val="20"/>
        </w:rPr>
        <w:t xml:space="preserve">s </w:t>
      </w:r>
      <w:r w:rsidRPr="00886208">
        <w:rPr>
          <w:rFonts w:asciiTheme="majorHAnsi" w:hAnsiTheme="majorHAnsi"/>
          <w:sz w:val="20"/>
          <w:szCs w:val="20"/>
        </w:rPr>
        <w:t xml:space="preserve">of Rocio San Miguel Sosa, </w:t>
      </w:r>
      <w:proofErr w:type="spellStart"/>
      <w:r w:rsidRPr="00886208">
        <w:rPr>
          <w:rFonts w:asciiTheme="majorHAnsi" w:hAnsiTheme="majorHAnsi"/>
          <w:sz w:val="20"/>
          <w:szCs w:val="20"/>
        </w:rPr>
        <w:t>Magally</w:t>
      </w:r>
      <w:proofErr w:type="spellEnd"/>
      <w:r w:rsidRPr="00886208">
        <w:rPr>
          <w:rFonts w:asciiTheme="majorHAnsi" w:hAnsiTheme="majorHAnsi"/>
          <w:sz w:val="20"/>
          <w:szCs w:val="20"/>
        </w:rPr>
        <w:t xml:space="preserve"> Chang </w:t>
      </w:r>
      <w:proofErr w:type="spellStart"/>
      <w:r w:rsidRPr="00886208">
        <w:rPr>
          <w:rFonts w:asciiTheme="majorHAnsi" w:hAnsiTheme="majorHAnsi"/>
          <w:sz w:val="20"/>
          <w:szCs w:val="20"/>
        </w:rPr>
        <w:t>Girón</w:t>
      </w:r>
      <w:proofErr w:type="spellEnd"/>
      <w:r w:rsidRPr="00886208">
        <w:rPr>
          <w:rFonts w:asciiTheme="majorHAnsi" w:hAnsiTheme="majorHAnsi"/>
          <w:sz w:val="20"/>
          <w:szCs w:val="20"/>
        </w:rPr>
        <w:t xml:space="preserve"> and Thais </w:t>
      </w:r>
      <w:proofErr w:type="spellStart"/>
      <w:r w:rsidRPr="00886208">
        <w:rPr>
          <w:rFonts w:asciiTheme="majorHAnsi" w:hAnsiTheme="majorHAnsi"/>
          <w:sz w:val="20"/>
          <w:szCs w:val="20"/>
        </w:rPr>
        <w:t>Coromoto</w:t>
      </w:r>
      <w:proofErr w:type="spellEnd"/>
      <w:r w:rsidRPr="00886208">
        <w:rPr>
          <w:rFonts w:asciiTheme="majorHAnsi" w:hAnsiTheme="majorHAnsi"/>
          <w:sz w:val="20"/>
          <w:szCs w:val="20"/>
        </w:rPr>
        <w:t xml:space="preserve"> Peña</w:t>
      </w:r>
      <w:r>
        <w:rPr>
          <w:rFonts w:asciiTheme="majorHAnsi" w:hAnsiTheme="majorHAnsi"/>
          <w:sz w:val="20"/>
          <w:szCs w:val="20"/>
        </w:rPr>
        <w:t xml:space="preserve"> and was therefore </w:t>
      </w:r>
      <w:r w:rsidR="006D7A70">
        <w:rPr>
          <w:rFonts w:asciiTheme="majorHAnsi" w:hAnsiTheme="majorHAnsi"/>
          <w:sz w:val="20"/>
          <w:szCs w:val="20"/>
        </w:rPr>
        <w:t xml:space="preserve">a misuse of power concealed in the motive argued by the State according to which the termination of the contracts with the alleged victims was the application of a provision of the contract or part of a restructuring process. </w:t>
      </w:r>
    </w:p>
    <w:p w14:paraId="2CB6D256" w14:textId="77777777" w:rsidR="006D7A70" w:rsidRDefault="006D7A70" w:rsidP="006D7A70">
      <w:pPr>
        <w:pStyle w:val="ListParagraph"/>
        <w:rPr>
          <w:rFonts w:asciiTheme="majorHAnsi" w:hAnsiTheme="majorHAnsi"/>
          <w:sz w:val="20"/>
          <w:szCs w:val="20"/>
        </w:rPr>
      </w:pPr>
    </w:p>
    <w:p w14:paraId="06502735" w14:textId="2F85478C" w:rsidR="001D57DD" w:rsidRDefault="00FA114B" w:rsidP="00E96E1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E96E11">
        <w:rPr>
          <w:rFonts w:asciiTheme="majorHAnsi" w:hAnsiTheme="majorHAnsi"/>
          <w:color w:val="000000"/>
          <w:sz w:val="20"/>
          <w:szCs w:val="20"/>
        </w:rPr>
        <w:t xml:space="preserve">First, </w:t>
      </w:r>
      <w:r w:rsidR="006651E9" w:rsidRPr="00E96E11">
        <w:rPr>
          <w:rFonts w:asciiTheme="majorHAnsi" w:hAnsiTheme="majorHAnsi"/>
          <w:color w:val="000000"/>
          <w:sz w:val="20"/>
          <w:szCs w:val="20"/>
        </w:rPr>
        <w:t xml:space="preserve">the Commission notes that the process of creation and publication of the </w:t>
      </w:r>
      <w:proofErr w:type="spellStart"/>
      <w:r w:rsidR="006651E9" w:rsidRPr="00E96E11">
        <w:rPr>
          <w:rFonts w:asciiTheme="majorHAnsi" w:hAnsiTheme="majorHAnsi"/>
          <w:color w:val="000000"/>
          <w:sz w:val="20"/>
          <w:szCs w:val="20"/>
        </w:rPr>
        <w:t>Tascón</w:t>
      </w:r>
      <w:proofErr w:type="spellEnd"/>
      <w:r w:rsidR="006651E9" w:rsidRPr="00E96E11">
        <w:rPr>
          <w:rFonts w:asciiTheme="majorHAnsi" w:hAnsiTheme="majorHAnsi"/>
          <w:color w:val="000000"/>
          <w:sz w:val="20"/>
          <w:szCs w:val="20"/>
        </w:rPr>
        <w:t xml:space="preserve"> List, constitutes, </w:t>
      </w:r>
      <w:r w:rsidR="006651E9" w:rsidRPr="00E96E11">
        <w:rPr>
          <w:rFonts w:asciiTheme="majorHAnsi" w:hAnsiTheme="majorHAnsi"/>
          <w:i/>
          <w:color w:val="000000"/>
          <w:sz w:val="20"/>
          <w:szCs w:val="20"/>
        </w:rPr>
        <w:t>per se</w:t>
      </w:r>
      <w:r w:rsidR="006651E9" w:rsidRPr="00E96E11">
        <w:rPr>
          <w:rFonts w:asciiTheme="majorHAnsi" w:hAnsiTheme="majorHAnsi"/>
          <w:color w:val="000000"/>
          <w:sz w:val="20"/>
          <w:szCs w:val="20"/>
        </w:rPr>
        <w:t>, a reflection on the lack of safeguards during the recall referendum of the President of the Republic, in order to guarantee the “free expression of the will of the voters” in the terms of article 23.1 b) of the Convention. This article seeks to protect persons against forms of pressure and reprisals within electoral processes. The Commission understands that these guarantees are applicable to the processes of recall referendums</w:t>
      </w:r>
      <w:r w:rsidR="004127E4" w:rsidRPr="00E96E11">
        <w:rPr>
          <w:rFonts w:asciiTheme="majorHAnsi" w:hAnsiTheme="majorHAnsi"/>
          <w:color w:val="000000"/>
          <w:sz w:val="20"/>
          <w:szCs w:val="20"/>
        </w:rPr>
        <w:t xml:space="preserve"> </w:t>
      </w:r>
      <w:r w:rsidR="001F1400" w:rsidRPr="00E96E11">
        <w:rPr>
          <w:rFonts w:asciiTheme="majorHAnsi" w:hAnsiTheme="majorHAnsi"/>
          <w:color w:val="000000"/>
          <w:sz w:val="20"/>
          <w:szCs w:val="20"/>
        </w:rPr>
        <w:t>of positions elected by popular vote</w:t>
      </w:r>
      <w:r w:rsidR="006651E9" w:rsidRPr="00E96E11">
        <w:rPr>
          <w:rFonts w:asciiTheme="majorHAnsi" w:hAnsiTheme="majorHAnsi"/>
          <w:color w:val="000000"/>
          <w:sz w:val="20"/>
          <w:szCs w:val="20"/>
        </w:rPr>
        <w:t xml:space="preserve">. </w:t>
      </w:r>
      <w:r w:rsidR="001F1400" w:rsidRPr="00E96E11">
        <w:rPr>
          <w:rFonts w:asciiTheme="majorHAnsi" w:hAnsiTheme="majorHAnsi"/>
          <w:color w:val="000000"/>
          <w:sz w:val="20"/>
          <w:szCs w:val="20"/>
        </w:rPr>
        <w:t xml:space="preserve"> </w:t>
      </w:r>
      <w:r w:rsidR="00E96E11" w:rsidRPr="00E96E11">
        <w:rPr>
          <w:rFonts w:asciiTheme="majorHAnsi" w:hAnsiTheme="majorHAnsi"/>
          <w:sz w:val="20"/>
          <w:szCs w:val="20"/>
        </w:rPr>
        <w:t xml:space="preserve">The Commission recognizes that the process of collecting signatures to hold a recall referendum, by its own procedure of collecting signatures, cannot guarantee the anonymity of the expression of the voters. However, this does not mean that the identity of the people who signed the petition for a recall referendum is public information. While the State must investigate any </w:t>
      </w:r>
      <w:r w:rsidR="00E96E11" w:rsidRPr="00E96E11">
        <w:rPr>
          <w:rFonts w:asciiTheme="majorHAnsi" w:hAnsiTheme="majorHAnsi"/>
          <w:sz w:val="20"/>
          <w:szCs w:val="20"/>
        </w:rPr>
        <w:lastRenderedPageBreak/>
        <w:t>allegation of fraud in the electoral process, mechanisms should be explored in that framework, to protect voters against retaliation.</w:t>
      </w:r>
      <w:r w:rsidR="00E96E11">
        <w:rPr>
          <w:rFonts w:asciiTheme="majorHAnsi" w:hAnsiTheme="majorHAnsi"/>
          <w:sz w:val="20"/>
          <w:szCs w:val="20"/>
        </w:rPr>
        <w:t xml:space="preserve"> In this sense, </w:t>
      </w:r>
      <w:r w:rsidR="00E96E11" w:rsidRPr="00E96E11">
        <w:rPr>
          <w:rFonts w:asciiTheme="majorHAnsi" w:hAnsiTheme="majorHAnsi"/>
          <w:sz w:val="20"/>
          <w:szCs w:val="20"/>
        </w:rPr>
        <w:t>providing information on the identity of the persons who signed the petition to convene the recall r</w:t>
      </w:r>
      <w:r w:rsidR="00E96E11">
        <w:rPr>
          <w:rFonts w:asciiTheme="majorHAnsi" w:hAnsiTheme="majorHAnsi"/>
          <w:sz w:val="20"/>
          <w:szCs w:val="20"/>
        </w:rPr>
        <w:t>eferendum to a Congressman, taking into account the context and the public statements made by officials; as well as the creation of the “</w:t>
      </w:r>
      <w:proofErr w:type="spellStart"/>
      <w:r w:rsidR="00E96E11">
        <w:rPr>
          <w:rFonts w:asciiTheme="majorHAnsi" w:hAnsiTheme="majorHAnsi"/>
          <w:sz w:val="20"/>
          <w:szCs w:val="20"/>
        </w:rPr>
        <w:t>Tascón</w:t>
      </w:r>
      <w:proofErr w:type="spellEnd"/>
      <w:r w:rsidR="00E96E11">
        <w:rPr>
          <w:rFonts w:asciiTheme="majorHAnsi" w:hAnsiTheme="majorHAnsi"/>
          <w:sz w:val="20"/>
          <w:szCs w:val="20"/>
        </w:rPr>
        <w:t xml:space="preserve"> list” </w:t>
      </w:r>
      <w:r w:rsidR="00E96E11" w:rsidRPr="00E96E11">
        <w:rPr>
          <w:rFonts w:asciiTheme="majorHAnsi" w:hAnsiTheme="majorHAnsi"/>
          <w:sz w:val="20"/>
          <w:szCs w:val="20"/>
        </w:rPr>
        <w:t>on a web page, unde</w:t>
      </w:r>
      <w:r w:rsidR="001D57DD">
        <w:rPr>
          <w:rFonts w:asciiTheme="majorHAnsi" w:hAnsiTheme="majorHAnsi"/>
          <w:sz w:val="20"/>
          <w:szCs w:val="20"/>
        </w:rPr>
        <w:t xml:space="preserve">r accusations of a “mega-fraud” created an enabling environment for the realization of reprisals. </w:t>
      </w:r>
    </w:p>
    <w:p w14:paraId="681DE7EC" w14:textId="77777777" w:rsidR="006D7A70" w:rsidRPr="001D57DD" w:rsidRDefault="006D7A70" w:rsidP="001D57DD">
      <w:pPr>
        <w:rPr>
          <w:rFonts w:asciiTheme="majorHAnsi" w:hAnsiTheme="majorHAnsi"/>
          <w:sz w:val="20"/>
          <w:szCs w:val="20"/>
        </w:rPr>
      </w:pPr>
    </w:p>
    <w:p w14:paraId="0298659F" w14:textId="6887476D" w:rsidR="001D57DD" w:rsidRDefault="003E130B" w:rsidP="001D57DD">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color w:val="000000"/>
          <w:sz w:val="20"/>
          <w:szCs w:val="20"/>
        </w:rPr>
        <w:t>Second, t</w:t>
      </w:r>
      <w:r w:rsidR="001D57DD">
        <w:rPr>
          <w:rFonts w:asciiTheme="majorHAnsi" w:hAnsiTheme="majorHAnsi"/>
          <w:color w:val="000000"/>
          <w:sz w:val="20"/>
          <w:szCs w:val="20"/>
        </w:rPr>
        <w:t>he</w:t>
      </w:r>
      <w:r w:rsidR="00FA114B" w:rsidRPr="006D7A70">
        <w:rPr>
          <w:rFonts w:asciiTheme="majorHAnsi" w:hAnsiTheme="majorHAnsi"/>
          <w:color w:val="000000"/>
          <w:sz w:val="20"/>
          <w:szCs w:val="20"/>
        </w:rPr>
        <w:t xml:space="preserve"> Commission notes the existence of a known political context of widespread polarization by the time the events occurred. In this framework, the Commission established as proven that both the then President of the Republic and other senior government officials, including at least two ministers and a Congressman, made contemporaneous statements or at the time of signature or at the time of their presentation to the CNE, whose contents clearly show that they were forms of pressure for people not to sign, and of threats of retaliation for those who had signed, and even the unfounded accusation of terrorists to those who signed. Of particular relevance is the statement of the then President of the Republic who, referring to the "Tascón list," said "let the faces come out".</w:t>
      </w:r>
    </w:p>
    <w:p w14:paraId="47C8EE6D" w14:textId="77777777" w:rsidR="001D57DD" w:rsidRDefault="001D57DD" w:rsidP="001D57DD">
      <w:pPr>
        <w:pStyle w:val="ListParagraph"/>
        <w:rPr>
          <w:rFonts w:asciiTheme="majorHAnsi" w:hAnsiTheme="majorHAnsi"/>
          <w:sz w:val="20"/>
          <w:szCs w:val="20"/>
        </w:rPr>
      </w:pPr>
    </w:p>
    <w:p w14:paraId="2069A815" w14:textId="2B7F255B" w:rsidR="00FA114B" w:rsidRDefault="00FA114B" w:rsidP="001D57DD">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1D57DD">
        <w:rPr>
          <w:rFonts w:asciiTheme="majorHAnsi" w:hAnsiTheme="majorHAnsi"/>
          <w:color w:val="000000"/>
          <w:sz w:val="20"/>
          <w:szCs w:val="20"/>
        </w:rPr>
        <w:t>The Commission notes that in response to the State's obligations to respect, guarantee and promote human rights, officials have a duty to ensure that in exercising their freedom of expression, they don’t incur in the disregard of fundamental rights</w:t>
      </w:r>
      <w:r w:rsidRPr="00326F31">
        <w:rPr>
          <w:rFonts w:asciiTheme="majorHAnsi" w:hAnsiTheme="majorHAnsi"/>
          <w:sz w:val="20"/>
          <w:szCs w:val="20"/>
          <w:vertAlign w:val="superscript"/>
          <w:lang w:val="es-ES"/>
        </w:rPr>
        <w:footnoteReference w:id="156"/>
      </w:r>
      <w:r w:rsidRPr="001D57DD">
        <w:rPr>
          <w:rFonts w:asciiTheme="majorHAnsi" w:hAnsiTheme="majorHAnsi" w:cs="Calibri"/>
          <w:sz w:val="20"/>
          <w:szCs w:val="20"/>
        </w:rPr>
        <w:t>.</w:t>
      </w:r>
      <w:r w:rsidRPr="001D57DD">
        <w:rPr>
          <w:rFonts w:asciiTheme="majorHAnsi" w:hAnsiTheme="majorHAnsi"/>
          <w:color w:val="000000"/>
          <w:sz w:val="20"/>
          <w:szCs w:val="20"/>
        </w:rPr>
        <w:t xml:space="preserve"> They should also ensure that their expressions are not a "forms of direct or indirect interference or harmful pressure on the rights of those who seek to contribute to public deliberation through the expression and dissemination of thought"</w:t>
      </w:r>
      <w:r w:rsidRPr="00326F31">
        <w:rPr>
          <w:rFonts w:asciiTheme="majorHAnsi" w:hAnsiTheme="majorHAnsi" w:cs="Calibri"/>
          <w:sz w:val="20"/>
          <w:szCs w:val="20"/>
          <w:vertAlign w:val="superscript"/>
          <w:lang w:val="es-ES"/>
        </w:rPr>
        <w:footnoteReference w:id="157"/>
      </w:r>
      <w:r w:rsidRPr="001D57DD">
        <w:rPr>
          <w:rFonts w:asciiTheme="majorHAnsi" w:hAnsiTheme="majorHAnsi" w:cs="Calibri"/>
          <w:sz w:val="20"/>
          <w:szCs w:val="20"/>
        </w:rPr>
        <w:t>.</w:t>
      </w:r>
      <w:r w:rsidRPr="001D57DD">
        <w:rPr>
          <w:rFonts w:asciiTheme="majorHAnsi" w:hAnsiTheme="majorHAnsi"/>
          <w:color w:val="000000"/>
          <w:sz w:val="20"/>
          <w:szCs w:val="20"/>
        </w:rPr>
        <w:t xml:space="preserve"> This special duty of care is particularly pronounced in situations of great social unrest, public disorder or social or political polarization, </w:t>
      </w:r>
      <w:r w:rsidRPr="001D57DD">
        <w:rPr>
          <w:rFonts w:asciiTheme="majorHAnsi" w:hAnsiTheme="majorHAnsi"/>
          <w:sz w:val="20"/>
          <w:szCs w:val="20"/>
        </w:rPr>
        <w:t>precisely because of the risks such situations might pose for specific individuals or groups at a given time</w:t>
      </w:r>
      <w:r w:rsidRPr="00326F31">
        <w:rPr>
          <w:rFonts w:asciiTheme="majorHAnsi" w:hAnsiTheme="majorHAnsi"/>
          <w:sz w:val="20"/>
          <w:szCs w:val="20"/>
          <w:vertAlign w:val="superscript"/>
          <w:lang w:val="es-ES"/>
        </w:rPr>
        <w:footnoteReference w:id="158"/>
      </w:r>
      <w:r w:rsidRPr="001D57DD">
        <w:rPr>
          <w:rFonts w:asciiTheme="majorHAnsi" w:hAnsiTheme="majorHAnsi"/>
          <w:sz w:val="20"/>
          <w:szCs w:val="20"/>
        </w:rPr>
        <w:t>.</w:t>
      </w:r>
    </w:p>
    <w:p w14:paraId="75C03A4E" w14:textId="77777777" w:rsidR="001D57DD" w:rsidRDefault="001D57DD" w:rsidP="001D57DD">
      <w:pPr>
        <w:pStyle w:val="ListParagraph"/>
        <w:rPr>
          <w:rFonts w:asciiTheme="majorHAnsi" w:hAnsiTheme="majorHAnsi"/>
          <w:sz w:val="20"/>
          <w:szCs w:val="20"/>
        </w:rPr>
      </w:pPr>
    </w:p>
    <w:p w14:paraId="5B3A4AEE" w14:textId="4D3B9A5B" w:rsidR="00FA114B" w:rsidRPr="005B5065" w:rsidRDefault="001D57DD" w:rsidP="005B5065">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Third, </w:t>
      </w:r>
      <w:r w:rsidR="00FA114B" w:rsidRPr="001D57DD">
        <w:rPr>
          <w:rFonts w:asciiTheme="majorHAnsi" w:hAnsiTheme="majorHAnsi"/>
          <w:color w:val="000000"/>
          <w:sz w:val="20"/>
          <w:szCs w:val="20"/>
        </w:rPr>
        <w:t xml:space="preserve">the Commission notes that </w:t>
      </w:r>
      <w:r>
        <w:rPr>
          <w:rFonts w:asciiTheme="majorHAnsi" w:hAnsiTheme="majorHAnsi"/>
          <w:color w:val="000000"/>
          <w:sz w:val="20"/>
          <w:szCs w:val="20"/>
        </w:rPr>
        <w:t xml:space="preserve">the present case does not constitute an isolated </w:t>
      </w:r>
      <w:r w:rsidR="005B5065">
        <w:rPr>
          <w:rFonts w:asciiTheme="majorHAnsi" w:hAnsiTheme="majorHAnsi"/>
          <w:color w:val="000000"/>
          <w:sz w:val="20"/>
          <w:szCs w:val="20"/>
        </w:rPr>
        <w:t xml:space="preserve">complaint but </w:t>
      </w:r>
      <w:r w:rsidR="00FA114B" w:rsidRPr="005B5065">
        <w:rPr>
          <w:rFonts w:asciiTheme="majorHAnsi" w:hAnsiTheme="majorHAnsi"/>
          <w:color w:val="000000"/>
          <w:sz w:val="20"/>
          <w:szCs w:val="20"/>
        </w:rPr>
        <w:t>there are many complaints about the materialization of these threats. These complaints were documented by Human Rights Watch in the above mentioned report in the section on proven facts. In addition, there are multiple press documents that account for allegations of dismissals of people who appeared on the "Tascón list" in six different state</w:t>
      </w:r>
      <w:r w:rsidR="00A44B9C">
        <w:rPr>
          <w:rFonts w:asciiTheme="majorHAnsi" w:hAnsiTheme="majorHAnsi"/>
          <w:color w:val="000000"/>
          <w:sz w:val="20"/>
          <w:szCs w:val="20"/>
        </w:rPr>
        <w:t xml:space="preserve"> offices</w:t>
      </w:r>
      <w:r w:rsidR="005B5065">
        <w:rPr>
          <w:rFonts w:asciiTheme="majorHAnsi" w:hAnsiTheme="majorHAnsi"/>
          <w:color w:val="000000"/>
          <w:sz w:val="20"/>
          <w:szCs w:val="20"/>
        </w:rPr>
        <w:t xml:space="preserve">. Even the Attorney General’s Office itself acknowledged the existence of many complaints in this regard, when it ordered in April 2005 to open an investigation into cases of political discrimination.  </w:t>
      </w:r>
    </w:p>
    <w:p w14:paraId="1948968E" w14:textId="77777777" w:rsidR="005B5065" w:rsidRDefault="005B5065" w:rsidP="005B5065">
      <w:pPr>
        <w:pStyle w:val="ListParagraph"/>
        <w:rPr>
          <w:rFonts w:asciiTheme="majorHAnsi" w:hAnsiTheme="majorHAnsi"/>
          <w:sz w:val="20"/>
          <w:szCs w:val="20"/>
        </w:rPr>
      </w:pPr>
    </w:p>
    <w:p w14:paraId="1B903141" w14:textId="77777777" w:rsidR="00163AF3" w:rsidRDefault="005B5065" w:rsidP="00163AF3">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Fourth, </w:t>
      </w:r>
      <w:r w:rsidR="00FA114B" w:rsidRPr="00D57F66">
        <w:rPr>
          <w:rFonts w:asciiTheme="majorHAnsi" w:hAnsiTheme="majorHAnsi"/>
          <w:color w:val="000000"/>
          <w:sz w:val="20"/>
          <w:szCs w:val="20"/>
        </w:rPr>
        <w:t xml:space="preserve">the Commission notes that the signature challenge process carried out by the CNE and held on June 27, 2004, was not merely so that people could object to possible fraudulent use of their signatures and identities. When calling to the challenge process, the option to retract and withdraw their signature for people who signed for the recall referendum validly was also given. </w:t>
      </w:r>
      <w:r w:rsidR="00D57F66">
        <w:rPr>
          <w:rFonts w:asciiTheme="majorHAnsi" w:hAnsiTheme="majorHAnsi"/>
          <w:color w:val="000000"/>
          <w:sz w:val="20"/>
          <w:szCs w:val="20"/>
        </w:rPr>
        <w:t xml:space="preserve"> While it may be reasonable to create a </w:t>
      </w:r>
      <w:r w:rsidR="00163AF3">
        <w:rPr>
          <w:rFonts w:asciiTheme="majorHAnsi" w:hAnsiTheme="majorHAnsi"/>
          <w:color w:val="000000"/>
          <w:sz w:val="20"/>
          <w:szCs w:val="20"/>
        </w:rPr>
        <w:t xml:space="preserve">verification system in order to examine allegations of fraud, the object of it should not be to obtain a new expression of the persons who validly signed. </w:t>
      </w:r>
      <w:r w:rsidR="00163AF3">
        <w:rPr>
          <w:rFonts w:asciiTheme="majorHAnsi" w:hAnsiTheme="majorHAnsi"/>
          <w:sz w:val="20"/>
          <w:szCs w:val="20"/>
        </w:rPr>
        <w:t xml:space="preserve"> </w:t>
      </w:r>
      <w:r w:rsidR="00FA114B" w:rsidRPr="00163AF3">
        <w:rPr>
          <w:rFonts w:asciiTheme="majorHAnsi" w:hAnsiTheme="majorHAnsi"/>
          <w:color w:val="000000"/>
          <w:sz w:val="20"/>
          <w:szCs w:val="20"/>
        </w:rPr>
        <w:t>The granting of this option is problematic in the context of threatening statements by senior government officials, including the President of the Republic.</w:t>
      </w:r>
    </w:p>
    <w:p w14:paraId="72C79754" w14:textId="77777777" w:rsidR="00163AF3" w:rsidRDefault="00163AF3" w:rsidP="00163AF3">
      <w:pPr>
        <w:pStyle w:val="ListParagraph"/>
        <w:rPr>
          <w:rFonts w:asciiTheme="majorHAnsi" w:hAnsiTheme="majorHAnsi"/>
          <w:sz w:val="20"/>
          <w:szCs w:val="20"/>
        </w:rPr>
      </w:pPr>
    </w:p>
    <w:p w14:paraId="374343A7" w14:textId="77777777" w:rsidR="00B7781C" w:rsidRDefault="00FA114B" w:rsidP="00B7781C">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163AF3">
        <w:rPr>
          <w:rFonts w:asciiTheme="majorHAnsi" w:hAnsiTheme="majorHAnsi"/>
          <w:sz w:val="20"/>
          <w:szCs w:val="20"/>
        </w:rPr>
        <w:t>F</w:t>
      </w:r>
      <w:r w:rsidR="00163AF3" w:rsidRPr="00163AF3">
        <w:rPr>
          <w:rFonts w:asciiTheme="majorHAnsi" w:hAnsiTheme="majorHAnsi"/>
          <w:sz w:val="20"/>
          <w:szCs w:val="20"/>
        </w:rPr>
        <w:t>ifth</w:t>
      </w:r>
      <w:r w:rsidRPr="00163AF3">
        <w:rPr>
          <w:rFonts w:asciiTheme="majorHAnsi" w:hAnsiTheme="majorHAnsi"/>
          <w:sz w:val="20"/>
          <w:szCs w:val="20"/>
        </w:rPr>
        <w:t>, the Commission notes that</w:t>
      </w:r>
      <w:r w:rsidR="00163AF3">
        <w:rPr>
          <w:rFonts w:asciiTheme="majorHAnsi" w:hAnsiTheme="majorHAnsi"/>
          <w:sz w:val="20"/>
          <w:szCs w:val="20"/>
        </w:rPr>
        <w:t>, as was indicated in paragraph 87,</w:t>
      </w:r>
      <w:r w:rsidRPr="00163AF3">
        <w:rPr>
          <w:rFonts w:asciiTheme="majorHAnsi" w:hAnsiTheme="majorHAnsi"/>
          <w:sz w:val="20"/>
          <w:szCs w:val="20"/>
        </w:rPr>
        <w:t xml:space="preserve"> the then President of the Republic, in a statement of 15 April 2005, recognized that "</w:t>
      </w:r>
      <w:proofErr w:type="spellStart"/>
      <w:r w:rsidRPr="00163AF3">
        <w:rPr>
          <w:rFonts w:asciiTheme="majorHAnsi" w:hAnsiTheme="majorHAnsi"/>
          <w:sz w:val="20"/>
          <w:szCs w:val="20"/>
        </w:rPr>
        <w:t>Tascón</w:t>
      </w:r>
      <w:proofErr w:type="spellEnd"/>
      <w:r w:rsidRPr="00163AF3">
        <w:rPr>
          <w:rFonts w:asciiTheme="majorHAnsi" w:hAnsiTheme="majorHAnsi"/>
          <w:sz w:val="20"/>
          <w:szCs w:val="20"/>
        </w:rPr>
        <w:t xml:space="preserve"> list"</w:t>
      </w:r>
      <w:r w:rsidR="00163AF3" w:rsidRPr="00F17535">
        <w:rPr>
          <w:rStyle w:val="FootnoteReference"/>
          <w:rFonts w:asciiTheme="majorHAnsi" w:hAnsiTheme="majorHAnsi"/>
          <w:sz w:val="20"/>
          <w:szCs w:val="20"/>
          <w:lang w:val="es-VE"/>
        </w:rPr>
        <w:footnoteReference w:id="159"/>
      </w:r>
      <w:r w:rsidRPr="00163AF3">
        <w:rPr>
          <w:rFonts w:asciiTheme="majorHAnsi" w:hAnsiTheme="majorHAnsi"/>
          <w:sz w:val="20"/>
          <w:szCs w:val="20"/>
        </w:rPr>
        <w:t xml:space="preserve"> was used to fire workers or block job applications. This time the then President called to build bridges and to "bury" the "Tascón list". Regardless, as relevant to this analysis, the Commission notes that there was </w:t>
      </w:r>
      <w:r w:rsidR="00B7781C" w:rsidRPr="00163AF3">
        <w:rPr>
          <w:rFonts w:asciiTheme="majorHAnsi" w:hAnsiTheme="majorHAnsi"/>
          <w:sz w:val="20"/>
          <w:szCs w:val="20"/>
        </w:rPr>
        <w:t>recognition</w:t>
      </w:r>
      <w:r w:rsidRPr="00163AF3">
        <w:rPr>
          <w:rFonts w:asciiTheme="majorHAnsi" w:hAnsiTheme="majorHAnsi"/>
          <w:sz w:val="20"/>
          <w:szCs w:val="20"/>
        </w:rPr>
        <w:t xml:space="preserve"> from the highest echelons of power, of the use of the "Tascón list" as a means to realize retaliation against people who signed. The Commission further notes that under this recognition, the use of the "Tascón list" occurred in the workplace.</w:t>
      </w:r>
    </w:p>
    <w:p w14:paraId="1CFF6F37" w14:textId="77777777" w:rsidR="00B7781C" w:rsidRDefault="00B7781C" w:rsidP="00B7781C">
      <w:pPr>
        <w:pStyle w:val="ListParagraph"/>
        <w:rPr>
          <w:rFonts w:asciiTheme="majorHAnsi" w:hAnsiTheme="majorHAnsi"/>
          <w:sz w:val="20"/>
          <w:szCs w:val="20"/>
        </w:rPr>
      </w:pPr>
    </w:p>
    <w:p w14:paraId="5178B81C" w14:textId="14E73399" w:rsidR="008B20E5" w:rsidRPr="00B7781C" w:rsidRDefault="003E130B" w:rsidP="00B7781C">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Six</w:t>
      </w:r>
      <w:r w:rsidR="00FA114B" w:rsidRPr="00B7781C">
        <w:rPr>
          <w:rFonts w:asciiTheme="majorHAnsi" w:hAnsiTheme="majorHAnsi"/>
          <w:sz w:val="20"/>
          <w:szCs w:val="20"/>
        </w:rPr>
        <w:t>th, the Commission has the testimony of Rocío San Miguel, Magally Chang Girón, and Thais Coromoto Peña, who provided the following elements:</w:t>
      </w:r>
    </w:p>
    <w:p w14:paraId="285F952F" w14:textId="77777777" w:rsidR="00FA114B" w:rsidRPr="00326F31" w:rsidRDefault="00FA114B" w:rsidP="00326F31">
      <w:pPr>
        <w:pBdr>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14:paraId="5FA8C0E2" w14:textId="1C2CCEA2" w:rsidR="00FA114B" w:rsidRPr="00326F31" w:rsidRDefault="008B20E5" w:rsidP="00B7781C">
      <w:pPr>
        <w:ind w:left="720" w:right="720"/>
        <w:jc w:val="both"/>
        <w:rPr>
          <w:rFonts w:asciiTheme="majorHAnsi" w:hAnsiTheme="majorHAnsi"/>
          <w:sz w:val="20"/>
          <w:szCs w:val="20"/>
        </w:rPr>
      </w:pPr>
      <w:r w:rsidRPr="00326F31">
        <w:rPr>
          <w:rFonts w:asciiTheme="majorHAnsi" w:hAnsiTheme="majorHAnsi"/>
          <w:sz w:val="20"/>
          <w:szCs w:val="20"/>
        </w:rPr>
        <w:t xml:space="preserve">- </w:t>
      </w:r>
      <w:r w:rsidR="00AB7D09" w:rsidRPr="00326F31">
        <w:rPr>
          <w:rFonts w:asciiTheme="majorHAnsi" w:hAnsiTheme="majorHAnsi"/>
          <w:sz w:val="20"/>
          <w:szCs w:val="20"/>
        </w:rPr>
        <w:t xml:space="preserve">Rocío San Miguel Sosa </w:t>
      </w:r>
      <w:r w:rsidR="00FA114B" w:rsidRPr="00326F31">
        <w:rPr>
          <w:rFonts w:asciiTheme="majorHAnsi" w:hAnsiTheme="majorHAnsi"/>
          <w:sz w:val="20"/>
          <w:szCs w:val="20"/>
        </w:rPr>
        <w:t xml:space="preserve">referred to a conversation with the Executive Secretary of the National Border Council who indicated that the reason for her dismissal was for petitioning for the presidential recall as well as a conversation with the legal consultant </w:t>
      </w:r>
      <w:r w:rsidR="00B7781C">
        <w:rPr>
          <w:rFonts w:asciiTheme="majorHAnsi" w:hAnsiTheme="majorHAnsi"/>
          <w:sz w:val="20"/>
          <w:szCs w:val="20"/>
        </w:rPr>
        <w:t xml:space="preserve">of the </w:t>
      </w:r>
      <w:r w:rsidR="00FA114B" w:rsidRPr="00326F31">
        <w:rPr>
          <w:rFonts w:asciiTheme="majorHAnsi" w:hAnsiTheme="majorHAnsi"/>
          <w:sz w:val="20"/>
          <w:szCs w:val="20"/>
        </w:rPr>
        <w:t>vice presidency</w:t>
      </w:r>
      <w:r w:rsidR="00B7781C">
        <w:rPr>
          <w:rFonts w:asciiTheme="majorHAnsi" w:hAnsiTheme="majorHAnsi"/>
          <w:sz w:val="20"/>
          <w:szCs w:val="20"/>
        </w:rPr>
        <w:t xml:space="preserve"> who told her</w:t>
      </w:r>
      <w:r w:rsidR="00FA114B" w:rsidRPr="00326F31">
        <w:rPr>
          <w:rFonts w:asciiTheme="majorHAnsi" w:hAnsiTheme="majorHAnsi"/>
          <w:sz w:val="20"/>
          <w:szCs w:val="20"/>
        </w:rPr>
        <w:t xml:space="preserve"> she was a trusted staff member and by signing she expressed a gesture of distrust.</w:t>
      </w:r>
    </w:p>
    <w:p w14:paraId="3F31596E" w14:textId="77777777" w:rsidR="00291197" w:rsidRPr="00326F31" w:rsidRDefault="00291197" w:rsidP="00B7781C">
      <w:pPr>
        <w:ind w:left="720" w:right="720"/>
        <w:jc w:val="both"/>
        <w:rPr>
          <w:rFonts w:asciiTheme="majorHAnsi" w:hAnsiTheme="majorHAnsi"/>
          <w:sz w:val="20"/>
          <w:szCs w:val="20"/>
        </w:rPr>
      </w:pPr>
    </w:p>
    <w:p w14:paraId="472384B2" w14:textId="654A13D2" w:rsidR="00FA114B" w:rsidRPr="00326F31" w:rsidRDefault="008B20E5" w:rsidP="00B7781C">
      <w:pPr>
        <w:ind w:left="720" w:right="720"/>
        <w:jc w:val="both"/>
        <w:rPr>
          <w:rFonts w:asciiTheme="majorHAnsi" w:hAnsiTheme="majorHAnsi"/>
          <w:sz w:val="20"/>
          <w:szCs w:val="20"/>
        </w:rPr>
      </w:pPr>
      <w:r w:rsidRPr="00326F31">
        <w:rPr>
          <w:rFonts w:asciiTheme="majorHAnsi" w:hAnsiTheme="majorHAnsi"/>
          <w:sz w:val="20"/>
          <w:szCs w:val="20"/>
        </w:rPr>
        <w:t xml:space="preserve">- </w:t>
      </w:r>
      <w:r w:rsidR="00AB7D09" w:rsidRPr="00326F31">
        <w:rPr>
          <w:rFonts w:asciiTheme="majorHAnsi" w:hAnsiTheme="majorHAnsi"/>
          <w:sz w:val="20"/>
          <w:szCs w:val="20"/>
        </w:rPr>
        <w:t>Magally Chang Girón</w:t>
      </w:r>
      <w:r w:rsidR="00FA114B" w:rsidRPr="00326F31">
        <w:rPr>
          <w:rFonts w:asciiTheme="majorHAnsi" w:hAnsiTheme="majorHAnsi"/>
          <w:sz w:val="20"/>
          <w:szCs w:val="20"/>
        </w:rPr>
        <w:t xml:space="preserve"> referred to the fact that three of the four people who signed the request for a referendum were dismissed, and </w:t>
      </w:r>
      <w:r w:rsidR="007A5CA0">
        <w:rPr>
          <w:rFonts w:asciiTheme="majorHAnsi" w:hAnsiTheme="majorHAnsi"/>
          <w:sz w:val="20"/>
          <w:szCs w:val="20"/>
        </w:rPr>
        <w:t>that she saw the communication for dismissal</w:t>
      </w:r>
      <w:r w:rsidR="00FA114B" w:rsidRPr="00326F31">
        <w:rPr>
          <w:rFonts w:asciiTheme="majorHAnsi" w:hAnsiTheme="majorHAnsi"/>
          <w:sz w:val="20"/>
          <w:szCs w:val="20"/>
        </w:rPr>
        <w:t xml:space="preserve"> of the fourth person - Jorge Guerra – learning later that ultimately he was not dismissed, without knowing the reasons.</w:t>
      </w:r>
    </w:p>
    <w:p w14:paraId="66134A4D" w14:textId="77777777" w:rsidR="00640598" w:rsidRPr="00326F31" w:rsidRDefault="00640598" w:rsidP="00B7781C">
      <w:pPr>
        <w:ind w:left="720" w:right="720"/>
        <w:jc w:val="both"/>
        <w:rPr>
          <w:rFonts w:asciiTheme="majorHAnsi" w:hAnsiTheme="majorHAnsi"/>
          <w:sz w:val="20"/>
          <w:szCs w:val="20"/>
        </w:rPr>
      </w:pPr>
    </w:p>
    <w:p w14:paraId="2FD9F010" w14:textId="59AB9AE7" w:rsidR="00FA114B" w:rsidRPr="00326F31" w:rsidRDefault="00640598" w:rsidP="00B7781C">
      <w:pPr>
        <w:ind w:left="720" w:right="720"/>
        <w:jc w:val="both"/>
        <w:rPr>
          <w:rFonts w:asciiTheme="majorHAnsi" w:hAnsiTheme="majorHAnsi"/>
          <w:sz w:val="20"/>
          <w:szCs w:val="20"/>
        </w:rPr>
      </w:pPr>
      <w:r w:rsidRPr="00326F31">
        <w:rPr>
          <w:rFonts w:asciiTheme="majorHAnsi" w:hAnsiTheme="majorHAnsi"/>
          <w:sz w:val="20"/>
          <w:szCs w:val="20"/>
        </w:rPr>
        <w:t xml:space="preserve">- </w:t>
      </w:r>
      <w:r w:rsidR="00AB7D09" w:rsidRPr="00326F31">
        <w:rPr>
          <w:rFonts w:asciiTheme="majorHAnsi" w:hAnsiTheme="majorHAnsi"/>
          <w:sz w:val="20"/>
          <w:szCs w:val="20"/>
        </w:rPr>
        <w:t xml:space="preserve">Thais Coromoto Peña </w:t>
      </w:r>
      <w:r w:rsidR="00FA114B" w:rsidRPr="00326F31">
        <w:rPr>
          <w:rFonts w:asciiTheme="majorHAnsi" w:hAnsiTheme="majorHAnsi"/>
          <w:sz w:val="20"/>
          <w:szCs w:val="20"/>
        </w:rPr>
        <w:t>mentioned that after being notified of the dismissal</w:t>
      </w:r>
      <w:r w:rsidR="00B7781C">
        <w:rPr>
          <w:rFonts w:asciiTheme="majorHAnsi" w:hAnsiTheme="majorHAnsi"/>
          <w:sz w:val="20"/>
          <w:szCs w:val="20"/>
        </w:rPr>
        <w:t xml:space="preserve">, </w:t>
      </w:r>
      <w:r w:rsidR="00FA114B" w:rsidRPr="00326F31">
        <w:rPr>
          <w:rFonts w:asciiTheme="majorHAnsi" w:hAnsiTheme="majorHAnsi"/>
          <w:sz w:val="20"/>
          <w:szCs w:val="20"/>
        </w:rPr>
        <w:t>the Executive Secretary of the National Border Council told her that if she withdrew the signature he could support her to suspend her dismissal as was done with Jorge Guerra.</w:t>
      </w:r>
    </w:p>
    <w:p w14:paraId="3E293655" w14:textId="77777777" w:rsidR="00291197" w:rsidRPr="00326F31" w:rsidRDefault="00291197" w:rsidP="00326F31">
      <w:pPr>
        <w:pBdr>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14:paraId="06ACA841" w14:textId="77777777" w:rsidR="00B7781C" w:rsidRDefault="00B7781C" w:rsidP="00B7781C">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Seventh</w:t>
      </w:r>
      <w:r w:rsidR="0064745D" w:rsidRPr="00326F31">
        <w:rPr>
          <w:rFonts w:asciiTheme="majorHAnsi" w:hAnsiTheme="majorHAnsi"/>
          <w:sz w:val="20"/>
          <w:szCs w:val="20"/>
        </w:rPr>
        <w:t>, the payroll of the National Border Council for 2003, confirms that of the total of 23 employees of the institution, the dismissal was notified only to the four people in the Council who signed the petition for a recall referendum: Rocío San Miguel, Magally Chang Girón, Thais Coromoto Peña, and Jorge Guerra Navarro.</w:t>
      </w:r>
    </w:p>
    <w:p w14:paraId="530E4A9D" w14:textId="77777777" w:rsidR="00B7781C" w:rsidRDefault="00B7781C" w:rsidP="00B7781C">
      <w:pPr>
        <w:pBdr>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14:paraId="5CB2B6D0" w14:textId="77777777" w:rsidR="000452BC" w:rsidRDefault="00B7781C" w:rsidP="000452BC">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Eig</w:t>
      </w:r>
      <w:r w:rsidR="0064745D" w:rsidRPr="00B7781C">
        <w:rPr>
          <w:rFonts w:asciiTheme="majorHAnsi" w:hAnsiTheme="majorHAnsi"/>
          <w:sz w:val="20"/>
          <w:szCs w:val="20"/>
        </w:rPr>
        <w:t>h</w:t>
      </w:r>
      <w:r>
        <w:rPr>
          <w:rFonts w:asciiTheme="majorHAnsi" w:hAnsiTheme="majorHAnsi"/>
          <w:sz w:val="20"/>
          <w:szCs w:val="20"/>
        </w:rPr>
        <w:t>t</w:t>
      </w:r>
      <w:r w:rsidR="0064745D" w:rsidRPr="00B7781C">
        <w:rPr>
          <w:rFonts w:asciiTheme="majorHAnsi" w:hAnsiTheme="majorHAnsi"/>
          <w:sz w:val="20"/>
          <w:szCs w:val="20"/>
        </w:rPr>
        <w:t xml:space="preserve">, on many occasions, including one of the conversations referred to by </w:t>
      </w:r>
      <w:proofErr w:type="spellStart"/>
      <w:r w:rsidR="0064745D" w:rsidRPr="00B7781C">
        <w:rPr>
          <w:rFonts w:asciiTheme="majorHAnsi" w:hAnsiTheme="majorHAnsi"/>
          <w:sz w:val="20"/>
          <w:szCs w:val="20"/>
        </w:rPr>
        <w:t>Rocío</w:t>
      </w:r>
      <w:proofErr w:type="spellEnd"/>
      <w:r w:rsidR="0064745D" w:rsidRPr="00B7781C">
        <w:rPr>
          <w:rFonts w:asciiTheme="majorHAnsi" w:hAnsiTheme="majorHAnsi"/>
          <w:sz w:val="20"/>
          <w:szCs w:val="20"/>
        </w:rPr>
        <w:t xml:space="preserve"> San Miguel, the</w:t>
      </w:r>
      <w:r>
        <w:rPr>
          <w:rFonts w:asciiTheme="majorHAnsi" w:hAnsiTheme="majorHAnsi"/>
          <w:sz w:val="20"/>
          <w:szCs w:val="20"/>
        </w:rPr>
        <w:t>re is</w:t>
      </w:r>
      <w:r w:rsidR="0064745D" w:rsidRPr="00B7781C">
        <w:rPr>
          <w:rFonts w:asciiTheme="majorHAnsi" w:hAnsiTheme="majorHAnsi"/>
          <w:sz w:val="20"/>
          <w:szCs w:val="20"/>
        </w:rPr>
        <w:t xml:space="preserve"> reference to the fact that Jorge Navarro Guerra could keep hi</w:t>
      </w:r>
      <w:r w:rsidR="000452BC">
        <w:rPr>
          <w:rFonts w:asciiTheme="majorHAnsi" w:hAnsiTheme="majorHAnsi"/>
          <w:sz w:val="20"/>
          <w:szCs w:val="20"/>
        </w:rPr>
        <w:t>s job because he objected to his</w:t>
      </w:r>
      <w:r w:rsidR="0064745D" w:rsidRPr="00B7781C">
        <w:rPr>
          <w:rFonts w:asciiTheme="majorHAnsi" w:hAnsiTheme="majorHAnsi"/>
          <w:sz w:val="20"/>
          <w:szCs w:val="20"/>
        </w:rPr>
        <w:t xml:space="preserve"> signature. The State has failed to contest before the Commission that Jorge Guerra initially signed, was fired along with the three alleged victims, then participated in the process of challenge objecting his signature, and was precisely the only one of the four dismissed that could preserve his job.</w:t>
      </w:r>
    </w:p>
    <w:p w14:paraId="094CCCA4" w14:textId="77777777" w:rsidR="000452BC" w:rsidRDefault="000452BC" w:rsidP="000452BC">
      <w:pPr>
        <w:pStyle w:val="ListParagraph"/>
        <w:rPr>
          <w:rFonts w:asciiTheme="majorHAnsi" w:hAnsiTheme="majorHAnsi"/>
          <w:sz w:val="20"/>
          <w:szCs w:val="20"/>
        </w:rPr>
      </w:pPr>
    </w:p>
    <w:p w14:paraId="2E5897BD" w14:textId="77777777" w:rsidR="000452BC" w:rsidRDefault="000452BC" w:rsidP="000452BC">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0452BC">
        <w:rPr>
          <w:rFonts w:asciiTheme="majorHAnsi" w:hAnsiTheme="majorHAnsi"/>
          <w:sz w:val="20"/>
          <w:szCs w:val="20"/>
        </w:rPr>
        <w:t>Ninth</w:t>
      </w:r>
      <w:r w:rsidR="0064745D" w:rsidRPr="000452BC">
        <w:rPr>
          <w:rFonts w:asciiTheme="majorHAnsi" w:hAnsiTheme="majorHAnsi"/>
          <w:sz w:val="20"/>
          <w:szCs w:val="20"/>
        </w:rPr>
        <w:t>, the Commission notes the continuation of the alleged victims contracts with the National Border Council for periods of eight years in the case of Rocío San Miguel, seven years in the case of Magally Chang Girón, and four years in the case of Thais Coromoto Peña, without them being resolved before the period agreed in each of them, except for the last contract that was terminated a few months after the alleged victims signed the petition for a recall referendum.</w:t>
      </w:r>
    </w:p>
    <w:p w14:paraId="066AB06C" w14:textId="77777777" w:rsidR="000452BC" w:rsidRDefault="000452BC" w:rsidP="000452BC">
      <w:pPr>
        <w:pStyle w:val="ListParagraph"/>
        <w:rPr>
          <w:rFonts w:asciiTheme="majorHAnsi" w:hAnsiTheme="majorHAnsi"/>
          <w:sz w:val="20"/>
          <w:szCs w:val="20"/>
        </w:rPr>
      </w:pPr>
    </w:p>
    <w:p w14:paraId="3EB724EC" w14:textId="17C1F1EC" w:rsidR="00E361C5" w:rsidRDefault="00E361C5" w:rsidP="000452BC">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0452BC">
        <w:rPr>
          <w:rFonts w:asciiTheme="majorHAnsi" w:hAnsiTheme="majorHAnsi"/>
          <w:sz w:val="20"/>
          <w:szCs w:val="20"/>
        </w:rPr>
        <w:t>Finally, the Commission was provided by the petitioners of the transcript of telephone conversations of Rocío San Miguel with the Executive Secretary of the National Border Council and the Legal Adviser of the Vice President, who suggest that her participation in the referendum was the cause for terminating her contract. The State has failed to demonstrate the lack of authenticity of the transcript of these conversations.</w:t>
      </w:r>
    </w:p>
    <w:p w14:paraId="5B7926B4" w14:textId="77777777" w:rsidR="000452BC" w:rsidRDefault="000452BC" w:rsidP="000452BC">
      <w:pPr>
        <w:pStyle w:val="ListParagraph"/>
        <w:rPr>
          <w:rFonts w:asciiTheme="majorHAnsi" w:hAnsiTheme="majorHAnsi"/>
          <w:sz w:val="20"/>
          <w:szCs w:val="20"/>
        </w:rPr>
      </w:pPr>
    </w:p>
    <w:p w14:paraId="45FECFDD" w14:textId="6FF019FA" w:rsidR="000452BC" w:rsidRPr="000452BC" w:rsidRDefault="000452BC" w:rsidP="000452BC">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The Commission recalls that </w:t>
      </w:r>
      <w:r w:rsidR="00924E1F">
        <w:rPr>
          <w:rFonts w:asciiTheme="majorHAnsi" w:hAnsiTheme="majorHAnsi"/>
          <w:sz w:val="20"/>
          <w:szCs w:val="20"/>
        </w:rPr>
        <w:t>there are formally valid decisions which can be used not as legitimate means of administering justice, but as mechanisms for achieving undeclared ends that were not evident at first sight</w:t>
      </w:r>
      <w:r w:rsidR="003B7ACF">
        <w:rPr>
          <w:rFonts w:asciiTheme="majorHAnsi" w:hAnsiTheme="majorHAnsi"/>
          <w:sz w:val="20"/>
          <w:szCs w:val="20"/>
        </w:rPr>
        <w:t xml:space="preserve"> and seek to impose an implicit </w:t>
      </w:r>
      <w:r w:rsidR="00A44B9C">
        <w:rPr>
          <w:rFonts w:asciiTheme="majorHAnsi" w:hAnsiTheme="majorHAnsi"/>
          <w:sz w:val="20"/>
          <w:szCs w:val="20"/>
        </w:rPr>
        <w:t>sanction with</w:t>
      </w:r>
      <w:r w:rsidR="003B7ACF">
        <w:rPr>
          <w:rFonts w:asciiTheme="majorHAnsi" w:hAnsiTheme="majorHAnsi"/>
          <w:sz w:val="20"/>
          <w:szCs w:val="20"/>
        </w:rPr>
        <w:t xml:space="preserve"> a </w:t>
      </w:r>
      <w:r w:rsidR="00DA307A">
        <w:rPr>
          <w:rFonts w:asciiTheme="majorHAnsi" w:hAnsiTheme="majorHAnsi"/>
          <w:sz w:val="20"/>
          <w:szCs w:val="20"/>
        </w:rPr>
        <w:t>purpose other than those for which they have been prescribed by law</w:t>
      </w:r>
      <w:r w:rsidR="00DA307A" w:rsidRPr="00924E1F">
        <w:rPr>
          <w:rStyle w:val="FootnoteReference"/>
          <w:rFonts w:asciiTheme="majorHAnsi" w:hAnsiTheme="majorHAnsi"/>
          <w:sz w:val="20"/>
          <w:szCs w:val="20"/>
        </w:rPr>
        <w:footnoteReference w:id="160"/>
      </w:r>
      <w:r w:rsidR="00DA307A">
        <w:rPr>
          <w:rFonts w:asciiTheme="majorHAnsi" w:hAnsiTheme="majorHAnsi"/>
          <w:sz w:val="20"/>
          <w:szCs w:val="20"/>
        </w:rPr>
        <w:t>.</w:t>
      </w:r>
      <w:r w:rsidR="003B7ACF">
        <w:rPr>
          <w:rFonts w:asciiTheme="majorHAnsi" w:hAnsiTheme="majorHAnsi"/>
          <w:sz w:val="20"/>
          <w:szCs w:val="20"/>
        </w:rPr>
        <w:t xml:space="preserve"> </w:t>
      </w:r>
    </w:p>
    <w:p w14:paraId="339B9A1F" w14:textId="77777777" w:rsidR="00924E1F" w:rsidRDefault="00924E1F" w:rsidP="00924E1F">
      <w:pPr>
        <w:jc w:val="both"/>
        <w:rPr>
          <w:rFonts w:asciiTheme="majorHAnsi" w:hAnsiTheme="majorHAnsi"/>
          <w:sz w:val="20"/>
          <w:szCs w:val="20"/>
        </w:rPr>
      </w:pPr>
    </w:p>
    <w:p w14:paraId="273058E0" w14:textId="77777777" w:rsidR="000452BC" w:rsidRPr="00326F31" w:rsidRDefault="000452BC" w:rsidP="000452BC">
      <w:pPr>
        <w:numPr>
          <w:ilvl w:val="0"/>
          <w:numId w:val="58"/>
        </w:numPr>
        <w:pBdr>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hAnsiTheme="majorHAnsi"/>
          <w:sz w:val="20"/>
          <w:szCs w:val="20"/>
        </w:rPr>
      </w:pPr>
      <w:r w:rsidRPr="00326F31">
        <w:rPr>
          <w:rFonts w:asciiTheme="majorHAnsi" w:hAnsiTheme="majorHAnsi"/>
          <w:sz w:val="20"/>
          <w:szCs w:val="20"/>
        </w:rPr>
        <w:t>For its part, the Court has also referred to the importance of the concept of misuse of power in cases such as this:</w:t>
      </w:r>
    </w:p>
    <w:p w14:paraId="04CE4C97" w14:textId="77777777" w:rsidR="000452BC" w:rsidRPr="00326F31" w:rsidRDefault="000452BC" w:rsidP="000452BC">
      <w:pPr>
        <w:pBdr>
          <w:left w:val="none" w:sz="0" w:space="0" w:color="auto"/>
          <w:bottom w:val="none" w:sz="0" w:space="0" w:color="auto"/>
          <w:right w:val="none" w:sz="0" w:space="0" w:color="auto"/>
          <w:between w:val="none" w:sz="0" w:space="0" w:color="auto"/>
          <w:bar w:val="none" w:sz="0" w:color="auto"/>
        </w:pBdr>
        <w:jc w:val="both"/>
        <w:rPr>
          <w:rFonts w:asciiTheme="majorHAnsi" w:hAnsiTheme="majorHAnsi" w:cs="Times"/>
          <w:sz w:val="20"/>
          <w:szCs w:val="20"/>
        </w:rPr>
      </w:pPr>
    </w:p>
    <w:p w14:paraId="795CEDB5" w14:textId="77777777" w:rsidR="000452BC" w:rsidRPr="00326F31" w:rsidRDefault="000452BC" w:rsidP="000452BC">
      <w:pPr>
        <w:pBdr>
          <w:left w:val="none" w:sz="0" w:space="0" w:color="auto"/>
          <w:bottom w:val="none" w:sz="0" w:space="0" w:color="auto"/>
          <w:right w:val="none" w:sz="0" w:space="0" w:color="auto"/>
          <w:between w:val="none" w:sz="0" w:space="0" w:color="auto"/>
          <w:bar w:val="none" w:sz="0" w:color="auto"/>
        </w:pBdr>
        <w:ind w:left="720" w:right="810"/>
        <w:jc w:val="both"/>
        <w:rPr>
          <w:rFonts w:asciiTheme="majorHAnsi" w:eastAsia="Calibri" w:hAnsiTheme="majorHAnsi" w:cs="Arial"/>
          <w:sz w:val="20"/>
          <w:szCs w:val="20"/>
          <w:lang w:eastAsia="de-DE"/>
        </w:rPr>
      </w:pPr>
      <w:r w:rsidRPr="00326F31">
        <w:rPr>
          <w:rFonts w:asciiTheme="majorHAnsi" w:eastAsia="Calibri" w:hAnsiTheme="majorHAnsi" w:cs="Arial"/>
          <w:sz w:val="20"/>
          <w:szCs w:val="20"/>
          <w:lang w:eastAsia="de-DE"/>
        </w:rPr>
        <w:lastRenderedPageBreak/>
        <w:t>(…) The Court considers necessary to note that the reason or purpose of a particular act of State authorities is relevant to the legal analysis of a case</w:t>
      </w:r>
      <w:r w:rsidRPr="00326F31">
        <w:rPr>
          <w:rStyle w:val="FootnoteReference"/>
          <w:rFonts w:asciiTheme="majorHAnsi" w:hAnsiTheme="majorHAnsi"/>
          <w:sz w:val="20"/>
          <w:szCs w:val="20"/>
        </w:rPr>
        <w:footnoteReference w:id="161"/>
      </w:r>
      <w:r w:rsidRPr="00326F31">
        <w:rPr>
          <w:rFonts w:asciiTheme="majorHAnsi" w:eastAsia="Calibri" w:hAnsiTheme="majorHAnsi" w:cs="Arial"/>
          <w:sz w:val="20"/>
          <w:szCs w:val="20"/>
          <w:lang w:eastAsia="de-DE"/>
        </w:rPr>
        <w:t>, because a motivation or a different purpose of the rule that grants the powers State authority to act, can show whether the action may be considered arbitrary</w:t>
      </w:r>
      <w:r w:rsidRPr="00326F31">
        <w:rPr>
          <w:rStyle w:val="FootnoteReference"/>
          <w:rFonts w:asciiTheme="majorHAnsi" w:eastAsia="ヒラギノ角ゴ Pro W3" w:hAnsiTheme="majorHAnsi"/>
          <w:sz w:val="20"/>
          <w:szCs w:val="20"/>
        </w:rPr>
        <w:footnoteReference w:id="162"/>
      </w:r>
      <w:r w:rsidRPr="00326F31">
        <w:rPr>
          <w:rFonts w:asciiTheme="majorHAnsi" w:eastAsia="Calibri" w:hAnsiTheme="majorHAnsi" w:cs="Arial"/>
          <w:sz w:val="20"/>
          <w:szCs w:val="20"/>
          <w:lang w:eastAsia="de-DE"/>
        </w:rPr>
        <w:t xml:space="preserve"> or a misuse of powers. In relation to this, the Court takes as its starting point that the actions of State authorities are covered by a presumption of lawful behavior</w:t>
      </w:r>
      <w:r w:rsidRPr="00326F31">
        <w:rPr>
          <w:rStyle w:val="FootnoteReference"/>
          <w:rFonts w:asciiTheme="majorHAnsi" w:hAnsiTheme="majorHAnsi"/>
          <w:color w:val="000000"/>
          <w:sz w:val="20"/>
          <w:szCs w:val="20"/>
        </w:rPr>
        <w:footnoteReference w:id="163"/>
      </w:r>
      <w:r w:rsidRPr="00326F31">
        <w:rPr>
          <w:rFonts w:asciiTheme="majorHAnsi" w:eastAsia="Calibri" w:hAnsiTheme="majorHAnsi" w:cs="Arial"/>
          <w:sz w:val="20"/>
          <w:szCs w:val="20"/>
          <w:lang w:eastAsia="de-DE"/>
        </w:rPr>
        <w:t xml:space="preserve">. And therefore unlawful conduct by state authorities must appear </w:t>
      </w:r>
      <w:proofErr w:type="gramStart"/>
      <w:r w:rsidRPr="00326F31">
        <w:rPr>
          <w:rFonts w:asciiTheme="majorHAnsi" w:eastAsia="Calibri" w:hAnsiTheme="majorHAnsi" w:cs="Arial"/>
          <w:sz w:val="20"/>
          <w:szCs w:val="20"/>
          <w:lang w:eastAsia="de-DE"/>
        </w:rPr>
        <w:t>proven</w:t>
      </w:r>
      <w:proofErr w:type="gramEnd"/>
      <w:r w:rsidRPr="00326F31">
        <w:rPr>
          <w:rFonts w:asciiTheme="majorHAnsi" w:eastAsia="Calibri" w:hAnsiTheme="majorHAnsi" w:cs="Arial"/>
          <w:sz w:val="20"/>
          <w:szCs w:val="20"/>
          <w:lang w:eastAsia="de-DE"/>
        </w:rPr>
        <w:t xml:space="preserve"> to rebut the presumption of good faith</w:t>
      </w:r>
      <w:r w:rsidRPr="00326F31">
        <w:rPr>
          <w:rStyle w:val="FootnoteReference"/>
          <w:rFonts w:asciiTheme="majorHAnsi" w:eastAsia="Calibri" w:hAnsiTheme="majorHAnsi" w:cs="Arial"/>
          <w:sz w:val="20"/>
          <w:szCs w:val="20"/>
          <w:lang w:eastAsia="de-DE"/>
        </w:rPr>
        <w:footnoteReference w:id="164"/>
      </w:r>
      <w:r w:rsidRPr="00326F31">
        <w:rPr>
          <w:rFonts w:asciiTheme="majorHAnsi" w:eastAsia="Calibri" w:hAnsiTheme="majorHAnsi" w:cs="Arial"/>
          <w:sz w:val="20"/>
          <w:szCs w:val="20"/>
          <w:lang w:eastAsia="de-DE"/>
        </w:rPr>
        <w:t>.</w:t>
      </w:r>
    </w:p>
    <w:p w14:paraId="7B88C120" w14:textId="77777777" w:rsidR="000452BC" w:rsidRPr="00924E1F" w:rsidRDefault="000452BC" w:rsidP="00924E1F">
      <w:pPr>
        <w:jc w:val="both"/>
        <w:rPr>
          <w:rFonts w:asciiTheme="majorHAnsi" w:hAnsiTheme="majorHAnsi"/>
          <w:sz w:val="20"/>
          <w:szCs w:val="20"/>
        </w:rPr>
      </w:pPr>
    </w:p>
    <w:p w14:paraId="152597F0" w14:textId="77777777" w:rsidR="00924E1F" w:rsidRDefault="00E361C5" w:rsidP="00924E1F">
      <w:pPr>
        <w:numPr>
          <w:ilvl w:val="0"/>
          <w:numId w:val="58"/>
        </w:numPr>
        <w:pBdr>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hAnsiTheme="majorHAnsi"/>
          <w:sz w:val="20"/>
          <w:szCs w:val="20"/>
        </w:rPr>
      </w:pPr>
      <w:r w:rsidRPr="00326F31">
        <w:rPr>
          <w:rFonts w:asciiTheme="majorHAnsi" w:hAnsiTheme="majorHAnsi"/>
          <w:sz w:val="20"/>
          <w:szCs w:val="20"/>
        </w:rPr>
        <w:t>The Commission considers that all these elements are consistent with each other and allow to reach the conviction that the termination of contracts of Rocío San Miguel Sosa, Magally Chang Girón, and Thais Coromoto Peña, constituted an act of misuse of power in which the existence of a discretional power was used in the contracts as a veil of legality for the true motivation to punish the victims for their expression of political opinion by signing the petition for the recall referendum. This implicit sanction constituted a violation of political rights and an indirect restriction on freedom of expression.</w:t>
      </w:r>
    </w:p>
    <w:p w14:paraId="3A730C65" w14:textId="77777777" w:rsidR="00924E1F" w:rsidRDefault="00924E1F" w:rsidP="00924E1F">
      <w:pPr>
        <w:pBdr>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14:paraId="5F2E7D4C" w14:textId="4AAE4673" w:rsidR="00E361C5" w:rsidRPr="00924E1F" w:rsidRDefault="00E361C5" w:rsidP="00924E1F">
      <w:pPr>
        <w:numPr>
          <w:ilvl w:val="0"/>
          <w:numId w:val="58"/>
        </w:numPr>
        <w:pBdr>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hAnsiTheme="majorHAnsi"/>
          <w:sz w:val="20"/>
          <w:szCs w:val="20"/>
        </w:rPr>
      </w:pPr>
      <w:r w:rsidRPr="00924E1F">
        <w:rPr>
          <w:rFonts w:asciiTheme="majorHAnsi" w:hAnsiTheme="majorHAnsi"/>
          <w:sz w:val="20"/>
          <w:szCs w:val="20"/>
        </w:rPr>
        <w:t xml:space="preserve">Consequently, the Commission concludes that the State of Venezuela violated the rights established in Articles 23.1 and 13.3 of the American Convention, in conjunction with Article 1.1 thereof, to the detriment of Rocío San Miguel Sosa, Magally Chang Girón, and Thais Coromoto Peña. Also, by finding that these violations took place in the context of </w:t>
      </w:r>
      <w:r w:rsidR="00DA307A">
        <w:rPr>
          <w:rFonts w:asciiTheme="majorHAnsi" w:hAnsiTheme="majorHAnsi"/>
          <w:sz w:val="20"/>
          <w:szCs w:val="20"/>
        </w:rPr>
        <w:t xml:space="preserve">a </w:t>
      </w:r>
      <w:r w:rsidRPr="00924E1F">
        <w:rPr>
          <w:rFonts w:asciiTheme="majorHAnsi" w:hAnsiTheme="majorHAnsi"/>
          <w:sz w:val="20"/>
          <w:szCs w:val="20"/>
        </w:rPr>
        <w:t>widespread practice of retaliation for the expression of political opinion</w:t>
      </w:r>
      <w:r w:rsidR="00DA307A">
        <w:rPr>
          <w:rFonts w:asciiTheme="majorHAnsi" w:hAnsiTheme="majorHAnsi"/>
          <w:sz w:val="20"/>
          <w:szCs w:val="20"/>
        </w:rPr>
        <w:t>s</w:t>
      </w:r>
      <w:r w:rsidRPr="00924E1F">
        <w:rPr>
          <w:rFonts w:asciiTheme="majorHAnsi" w:hAnsiTheme="majorHAnsi"/>
          <w:sz w:val="20"/>
          <w:szCs w:val="20"/>
        </w:rPr>
        <w:t xml:space="preserve"> under the recall referendum, the Commission considers that the State also violated its obligations under Article 2 of the American Convention.</w:t>
      </w:r>
    </w:p>
    <w:p w14:paraId="343028AE" w14:textId="77777777" w:rsidR="00471484" w:rsidRPr="00326F31" w:rsidRDefault="00471484" w:rsidP="00326F31">
      <w:pPr>
        <w:jc w:val="both"/>
        <w:rPr>
          <w:rFonts w:asciiTheme="majorHAnsi" w:eastAsia="Times New Roman" w:hAnsiTheme="majorHAnsi"/>
          <w:b/>
          <w:sz w:val="20"/>
          <w:szCs w:val="20"/>
        </w:rPr>
      </w:pPr>
    </w:p>
    <w:p w14:paraId="5B601F1A" w14:textId="2E01B6F2" w:rsidR="0000014F" w:rsidRPr="00326F31" w:rsidRDefault="0000014F" w:rsidP="00326F31">
      <w:pPr>
        <w:pStyle w:val="ListParagraph"/>
        <w:numPr>
          <w:ilvl w:val="1"/>
          <w:numId w:val="55"/>
        </w:numPr>
        <w:pBdr>
          <w:left w:val="none" w:sz="0" w:space="0" w:color="auto"/>
          <w:bottom w:val="none" w:sz="0" w:space="0" w:color="auto"/>
          <w:right w:val="none" w:sz="0" w:space="0" w:color="auto"/>
          <w:between w:val="none" w:sz="0" w:space="0" w:color="auto"/>
          <w:bar w:val="none" w:sz="0" w:color="auto"/>
        </w:pBdr>
        <w:tabs>
          <w:tab w:val="clear" w:pos="1800"/>
          <w:tab w:val="num" w:pos="1440"/>
        </w:tabs>
        <w:ind w:left="1440" w:hanging="720"/>
        <w:jc w:val="both"/>
        <w:rPr>
          <w:rFonts w:asciiTheme="majorHAnsi" w:eastAsia="Times New Roman" w:hAnsiTheme="majorHAnsi"/>
          <w:b/>
          <w:sz w:val="20"/>
          <w:szCs w:val="20"/>
        </w:rPr>
      </w:pPr>
      <w:r w:rsidRPr="00326F31">
        <w:rPr>
          <w:rFonts w:asciiTheme="majorHAnsi" w:eastAsia="Times New Roman" w:hAnsiTheme="majorHAnsi"/>
          <w:b/>
          <w:sz w:val="20"/>
          <w:szCs w:val="20"/>
        </w:rPr>
        <w:t>Analysis of whether the dismissal constituted an act of discrimination based on political opinion</w:t>
      </w:r>
    </w:p>
    <w:p w14:paraId="2A0B17B6" w14:textId="77777777" w:rsidR="00B20723" w:rsidRPr="00326F31" w:rsidRDefault="00B20723" w:rsidP="00326F31">
      <w:pPr>
        <w:pBdr>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14:paraId="6F48A875" w14:textId="77777777" w:rsidR="005D50AA" w:rsidRDefault="0017788C" w:rsidP="005D50AA">
      <w:pPr>
        <w:numPr>
          <w:ilvl w:val="0"/>
          <w:numId w:val="58"/>
        </w:numPr>
        <w:pBdr>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hAnsiTheme="majorHAnsi"/>
          <w:sz w:val="20"/>
          <w:szCs w:val="20"/>
        </w:rPr>
      </w:pPr>
      <w:r w:rsidRPr="00326F31">
        <w:rPr>
          <w:rFonts w:asciiTheme="majorHAnsi" w:hAnsiTheme="majorHAnsi"/>
          <w:sz w:val="20"/>
          <w:szCs w:val="20"/>
        </w:rPr>
        <w:t xml:space="preserve">Of particular relevance to the analysis of the alleged discrimination, the Commission stresses that in accordance with the indications listed in the previous section is that of the total of 23 employees at the National Border Council to date the only those who signed the presidential recall referendum request were notified of their contract termination, as is the case of the three alleged victims. According to her statement, in </w:t>
      </w:r>
      <w:r w:rsidRPr="00326F31">
        <w:rPr>
          <w:rFonts w:asciiTheme="majorHAnsi" w:hAnsiTheme="majorHAnsi"/>
          <w:sz w:val="20"/>
          <w:szCs w:val="20"/>
        </w:rPr>
        <w:lastRenderedPageBreak/>
        <w:t>the case of Thais Coromoto Peña, the Executive Secretary of the National Border Council told her that she could keep her job if she withdrew her signature petitioning for the presidential recall referendum. Also, as noted, the State has failed to controvert the fact that Mr. Jorge Guerra Navarro, was able to keep his job after he disavowed his signature. With these elements, the Commission considers that the National Border Council granted differential treatment to those public employees who participated in the petition for the presidential recall referendum.</w:t>
      </w:r>
    </w:p>
    <w:p w14:paraId="56334793" w14:textId="77777777" w:rsidR="005D50AA" w:rsidRDefault="005D50AA" w:rsidP="005D50AA">
      <w:pPr>
        <w:pBdr>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14:paraId="73296B67" w14:textId="77777777" w:rsidR="005D50AA" w:rsidRDefault="0017788C" w:rsidP="005D50AA">
      <w:pPr>
        <w:numPr>
          <w:ilvl w:val="0"/>
          <w:numId w:val="58"/>
        </w:numPr>
        <w:pBdr>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hAnsiTheme="majorHAnsi"/>
          <w:sz w:val="20"/>
          <w:szCs w:val="20"/>
        </w:rPr>
      </w:pPr>
      <w:r w:rsidRPr="005D50AA">
        <w:rPr>
          <w:rFonts w:asciiTheme="majorHAnsi" w:hAnsiTheme="majorHAnsi"/>
          <w:sz w:val="20"/>
          <w:szCs w:val="20"/>
        </w:rPr>
        <w:t xml:space="preserve">The </w:t>
      </w:r>
      <w:r w:rsidR="005D50AA">
        <w:rPr>
          <w:rFonts w:asciiTheme="majorHAnsi" w:hAnsiTheme="majorHAnsi"/>
          <w:sz w:val="20"/>
          <w:szCs w:val="20"/>
        </w:rPr>
        <w:t xml:space="preserve">Inter-American </w:t>
      </w:r>
      <w:r w:rsidRPr="005D50AA">
        <w:rPr>
          <w:rFonts w:asciiTheme="majorHAnsi" w:hAnsiTheme="majorHAnsi"/>
          <w:sz w:val="20"/>
          <w:szCs w:val="20"/>
        </w:rPr>
        <w:t>Court has, however, noted that "not all differences in treatment may be considered offensive by itself," but only that distinction that "has no objective and reasonable justification"</w:t>
      </w:r>
      <w:r w:rsidRPr="00326F31">
        <w:rPr>
          <w:rFonts w:asciiTheme="majorHAnsi" w:hAnsiTheme="majorHAnsi"/>
          <w:color w:val="000000"/>
          <w:sz w:val="20"/>
          <w:szCs w:val="20"/>
          <w:vertAlign w:val="superscript"/>
          <w:lang w:val="es-VE"/>
        </w:rPr>
        <w:footnoteReference w:id="165"/>
      </w:r>
      <w:r w:rsidRPr="005D50AA">
        <w:rPr>
          <w:rFonts w:asciiTheme="majorHAnsi" w:hAnsiTheme="majorHAnsi"/>
          <w:sz w:val="20"/>
          <w:szCs w:val="20"/>
        </w:rPr>
        <w:t>. The Court made the difference between "distinction" and "discrimination" so that the first are compatible with the American Convention as they are reasonable and objective, while the latter are arbitrary differences that lead to the detriment of human rights</w:t>
      </w:r>
      <w:r w:rsidRPr="00326F31">
        <w:rPr>
          <w:rFonts w:asciiTheme="majorHAnsi" w:hAnsiTheme="majorHAnsi"/>
          <w:color w:val="000000"/>
          <w:sz w:val="20"/>
          <w:szCs w:val="20"/>
          <w:vertAlign w:val="superscript"/>
          <w:lang w:val="es-VE"/>
        </w:rPr>
        <w:footnoteReference w:id="166"/>
      </w:r>
      <w:r w:rsidRPr="005D50AA">
        <w:rPr>
          <w:rFonts w:asciiTheme="majorHAnsi" w:hAnsiTheme="majorHAnsi"/>
          <w:color w:val="000000"/>
          <w:sz w:val="20"/>
          <w:szCs w:val="20"/>
        </w:rPr>
        <w:t>.</w:t>
      </w:r>
    </w:p>
    <w:p w14:paraId="7DC54621" w14:textId="77777777" w:rsidR="005D50AA" w:rsidRDefault="005D50AA" w:rsidP="005D50AA">
      <w:pPr>
        <w:pStyle w:val="ListParagraph"/>
        <w:rPr>
          <w:rFonts w:asciiTheme="majorHAnsi" w:hAnsiTheme="majorHAnsi"/>
          <w:sz w:val="20"/>
          <w:szCs w:val="20"/>
        </w:rPr>
      </w:pPr>
    </w:p>
    <w:p w14:paraId="5B25BDEC" w14:textId="77777777" w:rsidR="005D50AA" w:rsidRDefault="005D50AA" w:rsidP="005D50AA">
      <w:pPr>
        <w:numPr>
          <w:ilvl w:val="0"/>
          <w:numId w:val="58"/>
        </w:numPr>
        <w:pBdr>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hAnsiTheme="majorHAnsi"/>
          <w:sz w:val="20"/>
          <w:szCs w:val="20"/>
        </w:rPr>
      </w:pPr>
      <w:r>
        <w:rPr>
          <w:rFonts w:asciiTheme="majorHAnsi" w:hAnsiTheme="majorHAnsi"/>
          <w:color w:val="000000"/>
          <w:sz w:val="20"/>
          <w:szCs w:val="20"/>
        </w:rPr>
        <w:t>A</w:t>
      </w:r>
      <w:r w:rsidR="004331B4" w:rsidRPr="005D50AA">
        <w:rPr>
          <w:rFonts w:asciiTheme="majorHAnsi" w:hAnsiTheme="majorHAnsi"/>
          <w:color w:val="000000"/>
          <w:sz w:val="20"/>
          <w:szCs w:val="20"/>
        </w:rPr>
        <w:t>rticle 1.1 of the Convention specifically stipulates that the rights enshrined in the treaty should be respected and guaranteed "without discrimination on grounds of [...] political opinion". As for the reason for the different treatment received by the three victims, the Commission already stated in the previous section that the dismissal was based on the expression of their political opinions, so it is not necessary to further explore this point.</w:t>
      </w:r>
    </w:p>
    <w:p w14:paraId="134BE0F7" w14:textId="77777777" w:rsidR="005D50AA" w:rsidRDefault="005D50AA" w:rsidP="005D50AA">
      <w:pPr>
        <w:pStyle w:val="ListParagraph"/>
        <w:rPr>
          <w:rFonts w:asciiTheme="majorHAnsi" w:hAnsiTheme="majorHAnsi"/>
          <w:sz w:val="20"/>
          <w:szCs w:val="20"/>
        </w:rPr>
      </w:pPr>
    </w:p>
    <w:p w14:paraId="044F81E4" w14:textId="77777777" w:rsidR="005D50AA" w:rsidRDefault="004331B4" w:rsidP="005D50AA">
      <w:pPr>
        <w:numPr>
          <w:ilvl w:val="0"/>
          <w:numId w:val="58"/>
        </w:numPr>
        <w:pBdr>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hAnsiTheme="majorHAnsi"/>
          <w:sz w:val="20"/>
          <w:szCs w:val="20"/>
        </w:rPr>
      </w:pPr>
      <w:r w:rsidRPr="005D50AA">
        <w:rPr>
          <w:rFonts w:asciiTheme="majorHAnsi" w:hAnsiTheme="majorHAnsi"/>
          <w:sz w:val="20"/>
          <w:szCs w:val="20"/>
          <w:lang w:eastAsia="es-ES"/>
        </w:rPr>
        <w:t>However, the Commission notes that the specific criteria under which discrimination is prohibited under Article 1.1, although not an exhaustive list</w:t>
      </w:r>
      <w:r w:rsidRPr="00326F31">
        <w:rPr>
          <w:rStyle w:val="FootnoteReference"/>
          <w:rFonts w:asciiTheme="majorHAnsi" w:hAnsiTheme="majorHAnsi"/>
          <w:sz w:val="20"/>
          <w:szCs w:val="20"/>
          <w:lang w:val="es-CO" w:eastAsia="es-ES"/>
        </w:rPr>
        <w:footnoteReference w:id="167"/>
      </w:r>
      <w:r w:rsidRPr="005D50AA">
        <w:rPr>
          <w:rFonts w:asciiTheme="majorHAnsi" w:hAnsiTheme="majorHAnsi"/>
          <w:sz w:val="20"/>
          <w:szCs w:val="20"/>
          <w:lang w:eastAsia="es-ES"/>
        </w:rPr>
        <w:t>, it constitutes an illustrative list of categories for which the differences in treatment are particularly problematic</w:t>
      </w:r>
      <w:r w:rsidRPr="00326F31">
        <w:rPr>
          <w:rStyle w:val="FootnoteReference"/>
          <w:rFonts w:asciiTheme="majorHAnsi" w:hAnsiTheme="majorHAnsi"/>
          <w:sz w:val="20"/>
          <w:szCs w:val="20"/>
          <w:lang w:val="es-CO" w:eastAsia="es-ES"/>
        </w:rPr>
        <w:footnoteReference w:id="168"/>
      </w:r>
      <w:r w:rsidRPr="005D50AA">
        <w:rPr>
          <w:rFonts w:asciiTheme="majorHAnsi" w:hAnsiTheme="majorHAnsi"/>
          <w:sz w:val="20"/>
          <w:szCs w:val="20"/>
          <w:lang w:eastAsia="es-ES"/>
        </w:rPr>
        <w:t>. In the case Granier et al (</w:t>
      </w:r>
      <w:r w:rsidRPr="005D50AA">
        <w:rPr>
          <w:rFonts w:asciiTheme="majorHAnsi" w:hAnsiTheme="majorHAnsi"/>
          <w:i/>
          <w:sz w:val="20"/>
          <w:szCs w:val="20"/>
          <w:lang w:eastAsia="es-ES"/>
        </w:rPr>
        <w:t>Radio Caracas Televisión</w:t>
      </w:r>
      <w:r w:rsidRPr="005D50AA">
        <w:rPr>
          <w:rFonts w:asciiTheme="majorHAnsi" w:hAnsiTheme="majorHAnsi"/>
          <w:sz w:val="20"/>
          <w:szCs w:val="20"/>
          <w:lang w:eastAsia="es-ES"/>
        </w:rPr>
        <w:t>) v. Venezuela, the Court found that "political opinion" is one of those categories that trigger strict scrutiny against any difference in treatment based on it</w:t>
      </w:r>
      <w:r w:rsidRPr="00326F31">
        <w:rPr>
          <w:rStyle w:val="FootnoteReference"/>
          <w:rFonts w:asciiTheme="majorHAnsi" w:hAnsiTheme="majorHAnsi"/>
          <w:sz w:val="20"/>
          <w:szCs w:val="20"/>
          <w:lang w:val="es-CO" w:eastAsia="es-ES"/>
        </w:rPr>
        <w:footnoteReference w:id="169"/>
      </w:r>
      <w:r w:rsidRPr="005D50AA">
        <w:rPr>
          <w:rFonts w:asciiTheme="majorHAnsi" w:hAnsiTheme="majorHAnsi"/>
          <w:sz w:val="20"/>
          <w:szCs w:val="20"/>
          <w:lang w:eastAsia="es-ES"/>
        </w:rPr>
        <w:t xml:space="preserve">. </w:t>
      </w:r>
    </w:p>
    <w:p w14:paraId="440FCD42" w14:textId="77777777" w:rsidR="005D50AA" w:rsidRDefault="005D50AA" w:rsidP="005D50AA">
      <w:pPr>
        <w:pStyle w:val="ListParagraph"/>
        <w:rPr>
          <w:rFonts w:asciiTheme="majorHAnsi" w:hAnsiTheme="majorHAnsi"/>
          <w:sz w:val="20"/>
          <w:szCs w:val="20"/>
        </w:rPr>
      </w:pPr>
    </w:p>
    <w:p w14:paraId="253928C6" w14:textId="77777777" w:rsidR="005D50AA" w:rsidRDefault="00C75A7C" w:rsidP="005D50AA">
      <w:pPr>
        <w:numPr>
          <w:ilvl w:val="0"/>
          <w:numId w:val="58"/>
        </w:numPr>
        <w:pBdr>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hAnsiTheme="majorHAnsi"/>
          <w:sz w:val="20"/>
          <w:szCs w:val="20"/>
        </w:rPr>
      </w:pPr>
      <w:r w:rsidRPr="005D50AA">
        <w:rPr>
          <w:rFonts w:asciiTheme="majorHAnsi" w:hAnsiTheme="majorHAnsi"/>
          <w:sz w:val="20"/>
          <w:szCs w:val="20"/>
        </w:rPr>
        <w:t>In practical terms this means that, having established a difference in treatment based on political opinion, the same is presumed incompatible with the American Convention, reversing the burden of proof for the State, which must give reasons of much weight to support a distinction of this nature in the light of the judgment of proportionality and its sub-principles of legitimate aim – that in the case of a strict judgment must be a pressing social need - suitability, necessity and proportionality in strict sense</w:t>
      </w:r>
      <w:r w:rsidRPr="00326F31">
        <w:rPr>
          <w:rStyle w:val="FootnoteReference"/>
          <w:rFonts w:asciiTheme="majorHAnsi" w:hAnsiTheme="majorHAnsi"/>
          <w:sz w:val="20"/>
          <w:szCs w:val="20"/>
          <w:lang w:val="es-ES"/>
        </w:rPr>
        <w:footnoteReference w:id="170"/>
      </w:r>
      <w:r w:rsidRPr="005D50AA">
        <w:rPr>
          <w:rFonts w:asciiTheme="majorHAnsi" w:hAnsiTheme="majorHAnsi"/>
          <w:sz w:val="20"/>
          <w:szCs w:val="20"/>
        </w:rPr>
        <w:t>.</w:t>
      </w:r>
    </w:p>
    <w:p w14:paraId="095F22CF" w14:textId="77777777" w:rsidR="005D50AA" w:rsidRDefault="005D50AA" w:rsidP="005D50AA">
      <w:pPr>
        <w:pStyle w:val="ListParagraph"/>
        <w:rPr>
          <w:rFonts w:asciiTheme="majorHAnsi" w:hAnsiTheme="majorHAnsi"/>
          <w:sz w:val="20"/>
          <w:szCs w:val="20"/>
        </w:rPr>
      </w:pPr>
    </w:p>
    <w:p w14:paraId="4E32F421" w14:textId="77777777" w:rsidR="005D50AA" w:rsidRDefault="00851220" w:rsidP="005D50AA">
      <w:pPr>
        <w:numPr>
          <w:ilvl w:val="0"/>
          <w:numId w:val="58"/>
        </w:numPr>
        <w:pBdr>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hAnsiTheme="majorHAnsi"/>
          <w:sz w:val="20"/>
          <w:szCs w:val="20"/>
        </w:rPr>
      </w:pPr>
      <w:r w:rsidRPr="005D50AA">
        <w:rPr>
          <w:rFonts w:asciiTheme="majorHAnsi" w:hAnsiTheme="majorHAnsi"/>
          <w:sz w:val="20"/>
          <w:szCs w:val="20"/>
        </w:rPr>
        <w:t>In the present case the Commission notes that the State has denied that the dismissal had taken place as a result of the political views of the victims expressed by signing the petition for the recall referendum. Consequently, the State has not attempted to justify the difference in treatment based on political opinions, because their argument has been based on objecting that this was the real reason for the dismissal, which has already been undermined by the Commission throughout this report.</w:t>
      </w:r>
    </w:p>
    <w:p w14:paraId="254125CF" w14:textId="77777777" w:rsidR="005D50AA" w:rsidRDefault="005D50AA" w:rsidP="005D50AA">
      <w:pPr>
        <w:pStyle w:val="ListParagraph"/>
        <w:rPr>
          <w:rFonts w:asciiTheme="majorHAnsi" w:hAnsiTheme="majorHAnsi"/>
          <w:sz w:val="20"/>
          <w:szCs w:val="20"/>
        </w:rPr>
      </w:pPr>
    </w:p>
    <w:p w14:paraId="21C6C065" w14:textId="13CC7214" w:rsidR="00851220" w:rsidRPr="005D50AA" w:rsidRDefault="00851220" w:rsidP="005D50AA">
      <w:pPr>
        <w:numPr>
          <w:ilvl w:val="0"/>
          <w:numId w:val="58"/>
        </w:numPr>
        <w:pBdr>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hAnsiTheme="majorHAnsi"/>
          <w:sz w:val="20"/>
          <w:szCs w:val="20"/>
        </w:rPr>
      </w:pPr>
      <w:r w:rsidRPr="005D50AA">
        <w:rPr>
          <w:rFonts w:asciiTheme="majorHAnsi" w:hAnsiTheme="majorHAnsi"/>
          <w:color w:val="000000"/>
          <w:sz w:val="20"/>
          <w:szCs w:val="20"/>
        </w:rPr>
        <w:t xml:space="preserve">In these circumstances and considering the presumption of unconventionality of any difference in treatment based on political opinion and subsequent burden of proof breached by the State in the </w:t>
      </w:r>
      <w:r w:rsidRPr="005D50AA">
        <w:rPr>
          <w:rFonts w:asciiTheme="majorHAnsi" w:hAnsiTheme="majorHAnsi"/>
          <w:color w:val="000000"/>
          <w:sz w:val="20"/>
          <w:szCs w:val="20"/>
        </w:rPr>
        <w:lastRenderedPageBreak/>
        <w:t xml:space="preserve">present case, the Commission concludes that the State violated the principle of equality and nondiscrimination established in Articles 24 and 1.1 of the American Convention to the detriment of </w:t>
      </w:r>
      <w:r w:rsidRPr="005D50AA">
        <w:rPr>
          <w:rFonts w:asciiTheme="majorHAnsi" w:hAnsiTheme="majorHAnsi"/>
          <w:sz w:val="20"/>
          <w:szCs w:val="20"/>
        </w:rPr>
        <w:t xml:space="preserve">Rocío San Miguel Sosa, Magally Chang Girón, and Thais Coromoto Peña. </w:t>
      </w:r>
    </w:p>
    <w:p w14:paraId="7216C507" w14:textId="13543D77" w:rsidR="00532A86" w:rsidRPr="00326F31" w:rsidRDefault="00532A86" w:rsidP="00326F31">
      <w:pPr>
        <w:pBdr>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14:paraId="6E918444" w14:textId="62C800BB" w:rsidR="0096395A" w:rsidRPr="00326F31" w:rsidRDefault="00D4736B" w:rsidP="00326F31">
      <w:pPr>
        <w:pStyle w:val="Heading2"/>
        <w:numPr>
          <w:ilvl w:val="0"/>
          <w:numId w:val="62"/>
        </w:numPr>
        <w:rPr>
          <w:lang w:val="en-US"/>
        </w:rPr>
      </w:pPr>
      <w:bookmarkStart w:id="20" w:name="_Toc433311136"/>
      <w:r w:rsidRPr="00326F31">
        <w:rPr>
          <w:lang w:val="en-US"/>
        </w:rPr>
        <w:t>The rights to a fair trial and judicial protection (Articles 8.1, 25.1 of the American Convention), in relation to the obligation to respect rights (Article 1.1 of the American Convention)</w:t>
      </w:r>
      <w:bookmarkEnd w:id="20"/>
    </w:p>
    <w:p w14:paraId="64CFBE10" w14:textId="77777777" w:rsidR="00E802E4" w:rsidRPr="005D50AA" w:rsidRDefault="00E802E4" w:rsidP="005D50AA">
      <w:pPr>
        <w:pBdr>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olor w:val="000000"/>
          <w:sz w:val="20"/>
          <w:szCs w:val="20"/>
        </w:rPr>
      </w:pPr>
    </w:p>
    <w:p w14:paraId="3446B95F" w14:textId="363DBC07" w:rsidR="00D6022F" w:rsidRPr="005D50AA" w:rsidRDefault="008456CB" w:rsidP="005D50AA">
      <w:pPr>
        <w:numPr>
          <w:ilvl w:val="0"/>
          <w:numId w:val="58"/>
        </w:numPr>
        <w:pBdr>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hAnsiTheme="majorHAnsi"/>
          <w:color w:val="000000"/>
          <w:sz w:val="20"/>
          <w:szCs w:val="20"/>
        </w:rPr>
      </w:pPr>
      <w:r w:rsidRPr="005D50AA">
        <w:rPr>
          <w:rFonts w:asciiTheme="majorHAnsi" w:hAnsiTheme="majorHAnsi"/>
          <w:color w:val="000000"/>
          <w:sz w:val="20"/>
          <w:szCs w:val="20"/>
        </w:rPr>
        <w:t>The articles of the Convention mentioned in the title of this section read as follows:</w:t>
      </w:r>
    </w:p>
    <w:p w14:paraId="4316D7AF" w14:textId="77777777" w:rsidR="008456CB" w:rsidRPr="00326F31" w:rsidRDefault="008456CB" w:rsidP="00326F31">
      <w:pPr>
        <w:ind w:firstLine="708"/>
        <w:jc w:val="both"/>
        <w:rPr>
          <w:rFonts w:asciiTheme="majorHAnsi" w:hAnsiTheme="majorHAnsi"/>
          <w:sz w:val="20"/>
          <w:szCs w:val="20"/>
        </w:rPr>
      </w:pPr>
    </w:p>
    <w:p w14:paraId="38DAC98B" w14:textId="77777777" w:rsidR="008456CB" w:rsidRPr="00326F31" w:rsidRDefault="008456CB" w:rsidP="00326F31">
      <w:pPr>
        <w:ind w:left="720" w:right="720"/>
        <w:jc w:val="both"/>
        <w:rPr>
          <w:rFonts w:asciiTheme="majorHAnsi" w:eastAsia="Times New Roman" w:hAnsiTheme="majorHAnsi"/>
          <w:sz w:val="20"/>
          <w:szCs w:val="20"/>
          <w:lang w:eastAsia="es-ES"/>
        </w:rPr>
      </w:pPr>
      <w:r w:rsidRPr="00326F31">
        <w:rPr>
          <w:rFonts w:asciiTheme="majorHAnsi" w:eastAsia="Times New Roman" w:hAnsiTheme="majorHAnsi"/>
          <w:sz w:val="20"/>
          <w:szCs w:val="20"/>
          <w:lang w:eastAsia="es-ES"/>
        </w:rPr>
        <w:t>Article 8. Right to a Fair Trial</w:t>
      </w:r>
    </w:p>
    <w:p w14:paraId="434022A2" w14:textId="77777777" w:rsidR="00D6022F" w:rsidRPr="00326F31" w:rsidRDefault="00D6022F" w:rsidP="00326F31">
      <w:pPr>
        <w:ind w:firstLine="708"/>
        <w:jc w:val="both"/>
        <w:rPr>
          <w:rFonts w:asciiTheme="majorHAnsi" w:hAnsiTheme="majorHAnsi"/>
          <w:sz w:val="20"/>
          <w:szCs w:val="20"/>
        </w:rPr>
      </w:pPr>
    </w:p>
    <w:p w14:paraId="79632B30" w14:textId="3E0ABA13" w:rsidR="008456CB" w:rsidRPr="00326F31" w:rsidRDefault="008456CB" w:rsidP="00326F31">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Times New Roman" w:hAnsiTheme="majorHAnsi"/>
          <w:sz w:val="20"/>
          <w:szCs w:val="20"/>
          <w:lang w:eastAsia="es-ES"/>
        </w:rPr>
      </w:pPr>
      <w:r w:rsidRPr="00326F31">
        <w:rPr>
          <w:rFonts w:asciiTheme="majorHAnsi" w:eastAsia="Times New Roman" w:hAnsiTheme="majorHAnsi"/>
          <w:sz w:val="20"/>
          <w:szCs w:val="20"/>
          <w:lang w:eastAsia="es-ES"/>
        </w:rPr>
        <w:t>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p w14:paraId="6C7CB7B0" w14:textId="77777777" w:rsidR="008456CB" w:rsidRPr="00326F31" w:rsidRDefault="008456CB" w:rsidP="00326F31">
      <w:pPr>
        <w:ind w:left="720" w:right="720"/>
        <w:jc w:val="both"/>
        <w:rPr>
          <w:rFonts w:asciiTheme="majorHAnsi" w:eastAsia="Times New Roman" w:hAnsiTheme="majorHAnsi"/>
          <w:sz w:val="20"/>
          <w:szCs w:val="20"/>
          <w:lang w:eastAsia="es-ES"/>
        </w:rPr>
      </w:pPr>
    </w:p>
    <w:p w14:paraId="0C658090" w14:textId="7DCF1973" w:rsidR="00D6022F" w:rsidRPr="00326F31" w:rsidRDefault="008456CB" w:rsidP="00326F31">
      <w:pPr>
        <w:ind w:firstLine="708"/>
        <w:jc w:val="both"/>
        <w:rPr>
          <w:rFonts w:asciiTheme="majorHAnsi" w:hAnsiTheme="majorHAnsi"/>
          <w:sz w:val="20"/>
          <w:szCs w:val="20"/>
        </w:rPr>
      </w:pPr>
      <w:r w:rsidRPr="00326F31">
        <w:rPr>
          <w:rFonts w:asciiTheme="majorHAnsi" w:hAnsiTheme="majorHAnsi"/>
          <w:sz w:val="20"/>
          <w:szCs w:val="20"/>
        </w:rPr>
        <w:t>Article 25. Right to Judicial Protection</w:t>
      </w:r>
    </w:p>
    <w:p w14:paraId="0D104B97" w14:textId="77777777" w:rsidR="008456CB" w:rsidRPr="00326F31" w:rsidRDefault="008456CB" w:rsidP="00326F31">
      <w:pPr>
        <w:ind w:firstLine="708"/>
        <w:jc w:val="both"/>
        <w:rPr>
          <w:rFonts w:asciiTheme="majorHAnsi" w:hAnsiTheme="majorHAnsi"/>
          <w:sz w:val="20"/>
          <w:szCs w:val="20"/>
        </w:rPr>
      </w:pPr>
    </w:p>
    <w:p w14:paraId="3C914A10" w14:textId="0CCA5684" w:rsidR="008456CB" w:rsidRPr="00326F31" w:rsidRDefault="008456CB" w:rsidP="00D61FF7">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Theme="majorHAnsi" w:eastAsia="Times New Roman" w:hAnsiTheme="majorHAnsi"/>
          <w:sz w:val="20"/>
          <w:szCs w:val="20"/>
        </w:rPr>
      </w:pPr>
      <w:r w:rsidRPr="00326F31">
        <w:rPr>
          <w:rFonts w:asciiTheme="majorHAnsi" w:eastAsia="Times New Roman" w:hAnsiTheme="majorHAnsi"/>
          <w:sz w:val="20"/>
          <w:szCs w:val="20"/>
        </w:rPr>
        <w:t>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p w14:paraId="2CD31584" w14:textId="77777777" w:rsidR="008456CB" w:rsidRPr="00326F31" w:rsidRDefault="008456CB" w:rsidP="00326F31">
      <w:pPr>
        <w:ind w:right="720"/>
        <w:jc w:val="both"/>
        <w:rPr>
          <w:rFonts w:asciiTheme="majorHAnsi" w:eastAsia="Times New Roman" w:hAnsiTheme="majorHAnsi"/>
          <w:sz w:val="20"/>
          <w:szCs w:val="20"/>
          <w:lang w:eastAsia="es-ES"/>
        </w:rPr>
      </w:pPr>
    </w:p>
    <w:p w14:paraId="4DDBDB14" w14:textId="230D9A34" w:rsidR="00D6022F" w:rsidRPr="00C9052E" w:rsidRDefault="008456CB" w:rsidP="00326F31">
      <w:pPr>
        <w:ind w:left="720" w:right="720"/>
        <w:jc w:val="both"/>
        <w:rPr>
          <w:rFonts w:asciiTheme="majorHAnsi" w:eastAsia="Times New Roman" w:hAnsiTheme="majorHAnsi"/>
          <w:sz w:val="20"/>
          <w:szCs w:val="20"/>
          <w:lang w:eastAsia="es-ES"/>
        </w:rPr>
      </w:pPr>
      <w:r w:rsidRPr="00C9052E">
        <w:rPr>
          <w:rFonts w:asciiTheme="majorHAnsi" w:eastAsia="Times New Roman" w:hAnsiTheme="majorHAnsi"/>
          <w:sz w:val="20"/>
          <w:szCs w:val="20"/>
          <w:lang w:eastAsia="es-ES"/>
        </w:rPr>
        <w:t>Article 1.1 of the Convention states</w:t>
      </w:r>
    </w:p>
    <w:p w14:paraId="5BE17C34" w14:textId="77777777" w:rsidR="008456CB" w:rsidRPr="00C9052E" w:rsidRDefault="008456CB" w:rsidP="00326F31">
      <w:pPr>
        <w:ind w:left="720" w:right="720"/>
        <w:jc w:val="both"/>
        <w:rPr>
          <w:rFonts w:asciiTheme="majorHAnsi" w:eastAsia="Times New Roman" w:hAnsiTheme="majorHAnsi"/>
          <w:sz w:val="20"/>
          <w:szCs w:val="20"/>
          <w:lang w:eastAsia="es-ES"/>
        </w:rPr>
      </w:pPr>
    </w:p>
    <w:p w14:paraId="25628768" w14:textId="11820AC5" w:rsidR="008456CB" w:rsidRPr="00326F31" w:rsidRDefault="008456CB" w:rsidP="00326F31">
      <w:pPr>
        <w:ind w:left="720" w:right="720"/>
        <w:jc w:val="both"/>
        <w:rPr>
          <w:rFonts w:asciiTheme="majorHAnsi" w:eastAsia="Times New Roman" w:hAnsiTheme="majorHAnsi"/>
          <w:sz w:val="20"/>
          <w:szCs w:val="20"/>
          <w:lang w:eastAsia="es-ES"/>
        </w:rPr>
      </w:pPr>
      <w:r w:rsidRPr="00326F31">
        <w:rPr>
          <w:rFonts w:asciiTheme="majorHAnsi" w:eastAsia="Times New Roman" w:hAnsiTheme="majorHAnsi"/>
          <w:sz w:val="20"/>
          <w:szCs w:val="20"/>
          <w:lang w:eastAsia="es-ES"/>
        </w:rPr>
        <w:t>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p>
    <w:p w14:paraId="245BE2B2" w14:textId="77777777" w:rsidR="00D6022F" w:rsidRPr="00326F31" w:rsidRDefault="00D6022F" w:rsidP="00326F31">
      <w:pPr>
        <w:jc w:val="both"/>
        <w:rPr>
          <w:rFonts w:asciiTheme="majorHAnsi" w:eastAsia="Times New Roman" w:hAnsiTheme="majorHAnsi"/>
          <w:sz w:val="20"/>
          <w:szCs w:val="20"/>
        </w:rPr>
      </w:pPr>
    </w:p>
    <w:p w14:paraId="24940D49" w14:textId="02AA2F40" w:rsidR="008456CB" w:rsidRPr="005D50AA" w:rsidRDefault="008456CB" w:rsidP="005D50AA">
      <w:pPr>
        <w:numPr>
          <w:ilvl w:val="0"/>
          <w:numId w:val="58"/>
        </w:numPr>
        <w:pBdr>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hAnsiTheme="majorHAnsi"/>
          <w:color w:val="000000"/>
          <w:sz w:val="20"/>
          <w:szCs w:val="20"/>
        </w:rPr>
      </w:pPr>
      <w:r w:rsidRPr="005D50AA">
        <w:rPr>
          <w:rFonts w:asciiTheme="majorHAnsi" w:hAnsiTheme="majorHAnsi"/>
          <w:color w:val="000000"/>
          <w:sz w:val="20"/>
          <w:szCs w:val="20"/>
        </w:rPr>
        <w:t>The Commission will analyze the facts in light of these standards from the following structure: 1. The due process within the context of the dismissal; 2. Analysis of effectiveness and due diligence of the amparo remedy and criminal complaint; 3. Reasonable time analysis of the amparo remedy.</w:t>
      </w:r>
    </w:p>
    <w:p w14:paraId="192F1280" w14:textId="77777777" w:rsidR="008456CB" w:rsidRPr="00326F31" w:rsidRDefault="008456CB" w:rsidP="00326F31">
      <w:pPr>
        <w:pBdr>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rPr>
      </w:pPr>
    </w:p>
    <w:p w14:paraId="2BDE7814" w14:textId="16460B9E" w:rsidR="00D6022F" w:rsidRPr="00326F31" w:rsidRDefault="00A61AE2" w:rsidP="00D61FF7">
      <w:pPr>
        <w:pStyle w:val="ListParagraph"/>
        <w:numPr>
          <w:ilvl w:val="0"/>
          <w:numId w:val="65"/>
        </w:numPr>
        <w:ind w:left="1440" w:hanging="720"/>
        <w:jc w:val="both"/>
        <w:rPr>
          <w:rFonts w:asciiTheme="majorHAnsi" w:eastAsia="Times New Roman" w:hAnsiTheme="majorHAnsi"/>
          <w:b/>
          <w:sz w:val="20"/>
          <w:szCs w:val="20"/>
        </w:rPr>
      </w:pPr>
      <w:r w:rsidRPr="00326F31">
        <w:rPr>
          <w:rFonts w:asciiTheme="majorHAnsi" w:eastAsia="Times New Roman" w:hAnsiTheme="majorHAnsi"/>
          <w:b/>
          <w:sz w:val="20"/>
          <w:szCs w:val="20"/>
        </w:rPr>
        <w:t xml:space="preserve">Due process within the </w:t>
      </w:r>
      <w:r w:rsidR="00003C98" w:rsidRPr="00326F31">
        <w:rPr>
          <w:rFonts w:asciiTheme="majorHAnsi" w:eastAsia="Times New Roman" w:hAnsiTheme="majorHAnsi"/>
          <w:b/>
          <w:sz w:val="20"/>
          <w:szCs w:val="20"/>
        </w:rPr>
        <w:t>context of</w:t>
      </w:r>
      <w:r w:rsidRPr="00326F31">
        <w:rPr>
          <w:rFonts w:asciiTheme="majorHAnsi" w:eastAsia="Times New Roman" w:hAnsiTheme="majorHAnsi"/>
          <w:b/>
          <w:sz w:val="20"/>
          <w:szCs w:val="20"/>
        </w:rPr>
        <w:t xml:space="preserve"> the dismissal</w:t>
      </w:r>
    </w:p>
    <w:p w14:paraId="64E51A30" w14:textId="77777777" w:rsidR="006D2E3E" w:rsidRPr="00C9052E" w:rsidRDefault="006D2E3E" w:rsidP="00326F31">
      <w:pPr>
        <w:pBdr>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14:paraId="4916B2BD" w14:textId="77777777" w:rsidR="00835ED3" w:rsidRDefault="006D2E3E" w:rsidP="00835ED3">
      <w:pPr>
        <w:numPr>
          <w:ilvl w:val="0"/>
          <w:numId w:val="58"/>
        </w:numPr>
        <w:pBdr>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hAnsiTheme="majorHAnsi"/>
          <w:color w:val="000000"/>
          <w:sz w:val="20"/>
          <w:szCs w:val="20"/>
        </w:rPr>
      </w:pPr>
      <w:r w:rsidRPr="00835ED3">
        <w:rPr>
          <w:rFonts w:asciiTheme="majorHAnsi" w:hAnsiTheme="majorHAnsi"/>
          <w:color w:val="000000"/>
          <w:sz w:val="20"/>
          <w:szCs w:val="20"/>
        </w:rPr>
        <w:t>In the previous section, the Commission established that there was a misuse of power in the termination of contracts of the victims with the National Border Council. This implies that such termination constituted, in fact, an administrative penalty. The Inter-American Commission has stated that the misuse of power constitutes a violation of the right to a fair trial and may involve the violation of other rights protected by the Convention</w:t>
      </w:r>
      <w:r w:rsidRPr="00835ED3">
        <w:rPr>
          <w:rFonts w:asciiTheme="majorHAnsi" w:hAnsiTheme="majorHAnsi"/>
          <w:color w:val="000000"/>
          <w:sz w:val="20"/>
          <w:szCs w:val="20"/>
          <w:vertAlign w:val="superscript"/>
        </w:rPr>
        <w:footnoteReference w:id="171"/>
      </w:r>
      <w:r w:rsidRPr="00835ED3">
        <w:rPr>
          <w:rFonts w:asciiTheme="majorHAnsi" w:hAnsiTheme="majorHAnsi"/>
          <w:color w:val="000000"/>
          <w:sz w:val="20"/>
          <w:szCs w:val="20"/>
        </w:rPr>
        <w:t>.</w:t>
      </w:r>
    </w:p>
    <w:p w14:paraId="0A3A22C2" w14:textId="77777777" w:rsidR="00835ED3" w:rsidRDefault="00835ED3" w:rsidP="00835ED3">
      <w:pPr>
        <w:pBdr>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olor w:val="000000"/>
          <w:sz w:val="20"/>
          <w:szCs w:val="20"/>
        </w:rPr>
      </w:pPr>
    </w:p>
    <w:p w14:paraId="2741BDA0" w14:textId="77777777" w:rsidR="00835ED3" w:rsidRDefault="00E73EA0" w:rsidP="00835ED3">
      <w:pPr>
        <w:numPr>
          <w:ilvl w:val="0"/>
          <w:numId w:val="58"/>
        </w:numPr>
        <w:pBdr>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hAnsiTheme="majorHAnsi"/>
          <w:color w:val="000000"/>
          <w:sz w:val="20"/>
          <w:szCs w:val="20"/>
        </w:rPr>
      </w:pPr>
      <w:r w:rsidRPr="00835ED3">
        <w:rPr>
          <w:rFonts w:asciiTheme="majorHAnsi" w:hAnsiTheme="majorHAnsi"/>
          <w:sz w:val="20"/>
          <w:szCs w:val="20"/>
        </w:rPr>
        <w:t>In this regard, both the Inter-American Court and the IACHR have indicated that although Article 8 of the American Convention is titled "</w:t>
      </w:r>
      <w:r w:rsidRPr="00835ED3">
        <w:rPr>
          <w:rFonts w:asciiTheme="majorHAnsi" w:eastAsia="Times New Roman" w:hAnsiTheme="majorHAnsi"/>
          <w:sz w:val="20"/>
          <w:szCs w:val="20"/>
          <w:lang w:eastAsia="es-ES"/>
        </w:rPr>
        <w:t xml:space="preserve"> Right to a Fair Trial</w:t>
      </w:r>
      <w:r w:rsidRPr="00835ED3">
        <w:rPr>
          <w:rFonts w:asciiTheme="majorHAnsi" w:hAnsiTheme="majorHAnsi"/>
          <w:sz w:val="20"/>
          <w:szCs w:val="20"/>
        </w:rPr>
        <w:t xml:space="preserve"> " its application is not limited to judicial remedies in a strict sense, "but to all</w:t>
      </w:r>
      <w:r w:rsidR="00D647EB" w:rsidRPr="00835ED3">
        <w:rPr>
          <w:rFonts w:asciiTheme="majorHAnsi" w:hAnsiTheme="majorHAnsi"/>
          <w:sz w:val="20"/>
          <w:szCs w:val="20"/>
        </w:rPr>
        <w:t xml:space="preserve"> the</w:t>
      </w:r>
      <w:r w:rsidRPr="00835ED3">
        <w:rPr>
          <w:rFonts w:asciiTheme="majorHAnsi" w:hAnsiTheme="majorHAnsi"/>
          <w:sz w:val="20"/>
          <w:szCs w:val="20"/>
        </w:rPr>
        <w:t xml:space="preserve"> requirements that must be observed in the p</w:t>
      </w:r>
      <w:r w:rsidR="00D647EB" w:rsidRPr="00835ED3">
        <w:rPr>
          <w:rFonts w:asciiTheme="majorHAnsi" w:hAnsiTheme="majorHAnsi"/>
          <w:sz w:val="20"/>
          <w:szCs w:val="20"/>
        </w:rPr>
        <w:t>rocedural stages</w:t>
      </w:r>
      <w:r w:rsidRPr="00835ED3">
        <w:rPr>
          <w:rFonts w:asciiTheme="majorHAnsi" w:hAnsiTheme="majorHAnsi"/>
          <w:sz w:val="20"/>
          <w:szCs w:val="20"/>
        </w:rPr>
        <w:t xml:space="preserve">" </w:t>
      </w:r>
      <w:r w:rsidR="00D647EB" w:rsidRPr="00835ED3">
        <w:rPr>
          <w:rFonts w:asciiTheme="majorHAnsi" w:hAnsiTheme="majorHAnsi"/>
          <w:sz w:val="20"/>
          <w:szCs w:val="20"/>
        </w:rPr>
        <w:t>in order for all persons to be able to defend their rights adequately vis-à-vis any type of State action that could affect them</w:t>
      </w:r>
      <w:r w:rsidRPr="00835ED3">
        <w:rPr>
          <w:rFonts w:asciiTheme="majorHAnsi" w:hAnsiTheme="majorHAnsi"/>
          <w:sz w:val="20"/>
          <w:szCs w:val="20"/>
        </w:rPr>
        <w:t xml:space="preserve">. </w:t>
      </w:r>
      <w:r w:rsidR="00D647EB" w:rsidRPr="00835ED3">
        <w:rPr>
          <w:rFonts w:asciiTheme="majorHAnsi" w:hAnsiTheme="majorHAnsi"/>
          <w:sz w:val="20"/>
          <w:szCs w:val="20"/>
        </w:rPr>
        <w:t>That is to say that the due process of law must be respected in any act or omission on the part of the State bodies in a proceeding, whether of a punitive administrative, or of a judicial nature</w:t>
      </w:r>
      <w:r w:rsidR="00D647EB" w:rsidRPr="00326F31">
        <w:rPr>
          <w:rFonts w:asciiTheme="majorHAnsi" w:hAnsiTheme="majorHAnsi"/>
          <w:sz w:val="20"/>
          <w:szCs w:val="20"/>
          <w:vertAlign w:val="superscript"/>
        </w:rPr>
        <w:footnoteReference w:id="172"/>
      </w:r>
      <w:r w:rsidR="00D647EB" w:rsidRPr="00835ED3">
        <w:rPr>
          <w:rFonts w:asciiTheme="majorHAnsi" w:hAnsiTheme="majorHAnsi"/>
          <w:sz w:val="20"/>
          <w:szCs w:val="20"/>
        </w:rPr>
        <w:t>.</w:t>
      </w:r>
    </w:p>
    <w:p w14:paraId="47C3DE2F" w14:textId="77777777" w:rsidR="00835ED3" w:rsidRDefault="00835ED3" w:rsidP="003B7ACF">
      <w:pPr>
        <w:pStyle w:val="ListParagraph"/>
        <w:rPr>
          <w:rFonts w:asciiTheme="majorHAnsi" w:hAnsiTheme="majorHAnsi"/>
          <w:sz w:val="20"/>
          <w:szCs w:val="20"/>
        </w:rPr>
      </w:pPr>
    </w:p>
    <w:p w14:paraId="07FB2EFE" w14:textId="77777777" w:rsidR="00835ED3" w:rsidRDefault="00D647EB" w:rsidP="00835ED3">
      <w:pPr>
        <w:numPr>
          <w:ilvl w:val="0"/>
          <w:numId w:val="58"/>
        </w:numPr>
        <w:pBdr>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hAnsiTheme="majorHAnsi"/>
          <w:color w:val="000000"/>
          <w:sz w:val="20"/>
          <w:szCs w:val="20"/>
        </w:rPr>
      </w:pPr>
      <w:r w:rsidRPr="00835ED3">
        <w:rPr>
          <w:rFonts w:asciiTheme="majorHAnsi" w:hAnsiTheme="majorHAnsi"/>
          <w:sz w:val="20"/>
          <w:szCs w:val="20"/>
        </w:rPr>
        <w:t>In the present case, since it is an implicit sanction, imposed by an unjustified decision, the victims in the case were prevented from criticizing the real reason for it or impose a further review by a higher court to analyze the seriousness of the conduct in question and the proportionality of the sanction. The Commission notes that motivation has a significant impact on the analysis of the impartiality of</w:t>
      </w:r>
      <w:r w:rsidR="00B1309A" w:rsidRPr="00835ED3">
        <w:rPr>
          <w:rFonts w:asciiTheme="majorHAnsi" w:hAnsiTheme="majorHAnsi"/>
          <w:sz w:val="20"/>
          <w:szCs w:val="20"/>
        </w:rPr>
        <w:t xml:space="preserve"> the authority in charge of the exam</w:t>
      </w:r>
      <w:r w:rsidRPr="00835ED3">
        <w:rPr>
          <w:rFonts w:asciiTheme="majorHAnsi" w:hAnsiTheme="majorHAnsi"/>
          <w:sz w:val="20"/>
          <w:szCs w:val="20"/>
        </w:rPr>
        <w:t xml:space="preserve"> and application of the </w:t>
      </w:r>
      <w:r w:rsidR="00B1309A" w:rsidRPr="00835ED3">
        <w:rPr>
          <w:rFonts w:asciiTheme="majorHAnsi" w:hAnsiTheme="majorHAnsi"/>
          <w:sz w:val="20"/>
          <w:szCs w:val="20"/>
        </w:rPr>
        <w:t>penalty, precisely because of this</w:t>
      </w:r>
      <w:r w:rsidRPr="00835ED3">
        <w:rPr>
          <w:rFonts w:asciiTheme="majorHAnsi" w:hAnsiTheme="majorHAnsi"/>
          <w:sz w:val="20"/>
          <w:szCs w:val="20"/>
        </w:rPr>
        <w:t xml:space="preserve"> absence favors</w:t>
      </w:r>
      <w:r w:rsidR="00B1309A" w:rsidRPr="00835ED3">
        <w:rPr>
          <w:rFonts w:asciiTheme="majorHAnsi" w:hAnsiTheme="majorHAnsi"/>
          <w:sz w:val="20"/>
          <w:szCs w:val="20"/>
        </w:rPr>
        <w:t xml:space="preserve"> that</w:t>
      </w:r>
      <w:r w:rsidRPr="00835ED3">
        <w:rPr>
          <w:rFonts w:asciiTheme="majorHAnsi" w:hAnsiTheme="majorHAnsi"/>
          <w:sz w:val="20"/>
          <w:szCs w:val="20"/>
        </w:rPr>
        <w:t xml:space="preserve"> </w:t>
      </w:r>
      <w:r w:rsidR="00B1309A" w:rsidRPr="00835ED3">
        <w:rPr>
          <w:rFonts w:asciiTheme="majorHAnsi" w:hAnsiTheme="majorHAnsi"/>
          <w:sz w:val="20"/>
          <w:szCs w:val="20"/>
        </w:rPr>
        <w:t>non punitive formal act</w:t>
      </w:r>
      <w:r w:rsidRPr="00835ED3">
        <w:rPr>
          <w:rFonts w:asciiTheme="majorHAnsi" w:hAnsiTheme="majorHAnsi"/>
          <w:sz w:val="20"/>
          <w:szCs w:val="20"/>
        </w:rPr>
        <w:t>s translate into real sanctions as a way of retaliation against the people who are targeted.</w:t>
      </w:r>
    </w:p>
    <w:p w14:paraId="0B779AE9" w14:textId="77777777" w:rsidR="00835ED3" w:rsidRDefault="00835ED3" w:rsidP="00835ED3">
      <w:pPr>
        <w:pStyle w:val="ListParagraph"/>
        <w:rPr>
          <w:rFonts w:asciiTheme="majorHAnsi" w:eastAsia="Times New Roman" w:hAnsiTheme="majorHAnsi"/>
          <w:sz w:val="20"/>
          <w:szCs w:val="20"/>
        </w:rPr>
      </w:pPr>
    </w:p>
    <w:p w14:paraId="516AD974" w14:textId="5F289AFB" w:rsidR="00B1309A" w:rsidRPr="00835ED3" w:rsidRDefault="00B1309A" w:rsidP="00835ED3">
      <w:pPr>
        <w:numPr>
          <w:ilvl w:val="0"/>
          <w:numId w:val="58"/>
        </w:numPr>
        <w:pBdr>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hAnsiTheme="majorHAnsi"/>
          <w:color w:val="000000"/>
          <w:sz w:val="20"/>
          <w:szCs w:val="20"/>
        </w:rPr>
      </w:pPr>
      <w:r w:rsidRPr="00835ED3">
        <w:rPr>
          <w:rFonts w:asciiTheme="majorHAnsi" w:eastAsia="Times New Roman" w:hAnsiTheme="majorHAnsi"/>
          <w:sz w:val="20"/>
          <w:szCs w:val="20"/>
        </w:rPr>
        <w:t xml:space="preserve">For these reasons, the Commission considers that the State is responsible for the abuse of power that took place with the aim of imposing an implicit sanction under the excuse of applying a discretional power, which carried the violation of the substantive rights mentioned, and a general violation of the guarantees of due process enshrined in Article 8 of the American Convention in conjunction with Article 1.1 thereof, to the detriment </w:t>
      </w:r>
      <w:r w:rsidRPr="00835ED3">
        <w:rPr>
          <w:rFonts w:asciiTheme="majorHAnsi" w:hAnsiTheme="majorHAnsi"/>
          <w:sz w:val="20"/>
          <w:szCs w:val="20"/>
        </w:rPr>
        <w:t xml:space="preserve">Rocío San Miguel Sosa, </w:t>
      </w:r>
      <w:proofErr w:type="spellStart"/>
      <w:r w:rsidRPr="00835ED3">
        <w:rPr>
          <w:rFonts w:asciiTheme="majorHAnsi" w:hAnsiTheme="majorHAnsi"/>
          <w:sz w:val="20"/>
          <w:szCs w:val="20"/>
        </w:rPr>
        <w:t>Magally</w:t>
      </w:r>
      <w:proofErr w:type="spellEnd"/>
      <w:r w:rsidRPr="00835ED3">
        <w:rPr>
          <w:rFonts w:asciiTheme="majorHAnsi" w:hAnsiTheme="majorHAnsi"/>
          <w:sz w:val="20"/>
          <w:szCs w:val="20"/>
        </w:rPr>
        <w:t xml:space="preserve"> Chang </w:t>
      </w:r>
      <w:proofErr w:type="spellStart"/>
      <w:r w:rsidRPr="00835ED3">
        <w:rPr>
          <w:rFonts w:asciiTheme="majorHAnsi" w:hAnsiTheme="majorHAnsi"/>
          <w:sz w:val="20"/>
          <w:szCs w:val="20"/>
        </w:rPr>
        <w:t>Girón</w:t>
      </w:r>
      <w:proofErr w:type="spellEnd"/>
      <w:r w:rsidRPr="00835ED3">
        <w:rPr>
          <w:rFonts w:asciiTheme="majorHAnsi" w:hAnsiTheme="majorHAnsi"/>
          <w:sz w:val="20"/>
          <w:szCs w:val="20"/>
        </w:rPr>
        <w:t xml:space="preserve">, and Thais </w:t>
      </w:r>
      <w:proofErr w:type="spellStart"/>
      <w:r w:rsidRPr="00835ED3">
        <w:rPr>
          <w:rFonts w:asciiTheme="majorHAnsi" w:hAnsiTheme="majorHAnsi"/>
          <w:sz w:val="20"/>
          <w:szCs w:val="20"/>
        </w:rPr>
        <w:t>Coromoto</w:t>
      </w:r>
      <w:proofErr w:type="spellEnd"/>
      <w:r w:rsidR="0029245A">
        <w:rPr>
          <w:rFonts w:asciiTheme="majorHAnsi" w:hAnsiTheme="majorHAnsi"/>
          <w:sz w:val="20"/>
          <w:szCs w:val="20"/>
        </w:rPr>
        <w:t xml:space="preserve"> Peña</w:t>
      </w:r>
      <w:r w:rsidR="00EB13E5" w:rsidRPr="00835ED3">
        <w:rPr>
          <w:rFonts w:asciiTheme="majorHAnsi" w:hAnsiTheme="majorHAnsi"/>
          <w:sz w:val="20"/>
          <w:szCs w:val="20"/>
        </w:rPr>
        <w:t>.</w:t>
      </w:r>
    </w:p>
    <w:p w14:paraId="7523CCB0" w14:textId="77777777" w:rsidR="00D6022F" w:rsidRPr="00326F31" w:rsidRDefault="00D6022F" w:rsidP="00326F31">
      <w:pPr>
        <w:jc w:val="both"/>
        <w:rPr>
          <w:rFonts w:asciiTheme="majorHAnsi" w:eastAsia="Times New Roman" w:hAnsiTheme="majorHAnsi"/>
          <w:b/>
          <w:sz w:val="20"/>
          <w:szCs w:val="20"/>
        </w:rPr>
      </w:pPr>
    </w:p>
    <w:p w14:paraId="67C254CD" w14:textId="4BAAAA86" w:rsidR="00A938A9" w:rsidRPr="00326F31" w:rsidRDefault="00A938A9" w:rsidP="00D61FF7">
      <w:pPr>
        <w:pStyle w:val="ListParagraph"/>
        <w:numPr>
          <w:ilvl w:val="0"/>
          <w:numId w:val="65"/>
        </w:numPr>
        <w:ind w:left="1440" w:hanging="720"/>
        <w:jc w:val="both"/>
        <w:rPr>
          <w:rFonts w:asciiTheme="majorHAnsi" w:eastAsia="Times New Roman" w:hAnsiTheme="majorHAnsi"/>
          <w:b/>
          <w:sz w:val="20"/>
          <w:szCs w:val="20"/>
        </w:rPr>
      </w:pPr>
      <w:r w:rsidRPr="00326F31">
        <w:rPr>
          <w:rFonts w:asciiTheme="majorHAnsi" w:eastAsia="Times New Roman" w:hAnsiTheme="majorHAnsi"/>
          <w:b/>
          <w:sz w:val="20"/>
          <w:szCs w:val="20"/>
        </w:rPr>
        <w:t>Analysis of effectiveness and due diligence</w:t>
      </w:r>
      <w:r w:rsidR="00A61AE2" w:rsidRPr="00326F31">
        <w:rPr>
          <w:rFonts w:asciiTheme="majorHAnsi" w:eastAsia="Times New Roman" w:hAnsiTheme="majorHAnsi"/>
          <w:b/>
          <w:sz w:val="20"/>
          <w:szCs w:val="20"/>
        </w:rPr>
        <w:t xml:space="preserve"> of</w:t>
      </w:r>
      <w:r w:rsidRPr="00326F31">
        <w:rPr>
          <w:rFonts w:asciiTheme="majorHAnsi" w:eastAsia="Times New Roman" w:hAnsiTheme="majorHAnsi"/>
          <w:b/>
          <w:sz w:val="20"/>
          <w:szCs w:val="20"/>
        </w:rPr>
        <w:t xml:space="preserve"> the </w:t>
      </w:r>
      <w:r w:rsidRPr="00326F31">
        <w:rPr>
          <w:rFonts w:asciiTheme="majorHAnsi" w:eastAsia="Times New Roman" w:hAnsiTheme="majorHAnsi"/>
          <w:b/>
          <w:i/>
          <w:sz w:val="20"/>
          <w:szCs w:val="20"/>
        </w:rPr>
        <w:t>amparo</w:t>
      </w:r>
      <w:r w:rsidRPr="00326F31">
        <w:rPr>
          <w:rFonts w:asciiTheme="majorHAnsi" w:eastAsia="Times New Roman" w:hAnsiTheme="majorHAnsi"/>
          <w:b/>
          <w:sz w:val="20"/>
          <w:szCs w:val="20"/>
        </w:rPr>
        <w:t xml:space="preserve"> </w:t>
      </w:r>
      <w:r w:rsidR="00A61AE2" w:rsidRPr="00326F31">
        <w:rPr>
          <w:rFonts w:asciiTheme="majorHAnsi" w:eastAsia="Times New Roman" w:hAnsiTheme="majorHAnsi"/>
          <w:b/>
          <w:sz w:val="20"/>
          <w:szCs w:val="20"/>
        </w:rPr>
        <w:t xml:space="preserve">remedy </w:t>
      </w:r>
      <w:r w:rsidRPr="00326F31">
        <w:rPr>
          <w:rFonts w:asciiTheme="majorHAnsi" w:eastAsia="Times New Roman" w:hAnsiTheme="majorHAnsi"/>
          <w:b/>
          <w:sz w:val="20"/>
          <w:szCs w:val="20"/>
        </w:rPr>
        <w:t>and</w:t>
      </w:r>
      <w:r w:rsidR="00A61AE2" w:rsidRPr="00326F31">
        <w:rPr>
          <w:rFonts w:asciiTheme="majorHAnsi" w:eastAsia="Times New Roman" w:hAnsiTheme="majorHAnsi"/>
          <w:b/>
          <w:sz w:val="20"/>
          <w:szCs w:val="20"/>
        </w:rPr>
        <w:t xml:space="preserve"> the</w:t>
      </w:r>
      <w:r w:rsidRPr="00326F31">
        <w:rPr>
          <w:rFonts w:asciiTheme="majorHAnsi" w:eastAsia="Times New Roman" w:hAnsiTheme="majorHAnsi"/>
          <w:b/>
          <w:sz w:val="20"/>
          <w:szCs w:val="20"/>
        </w:rPr>
        <w:t xml:space="preserve"> criminal complaint</w:t>
      </w:r>
    </w:p>
    <w:p w14:paraId="19D33A6D" w14:textId="021BF871" w:rsidR="00375706" w:rsidRPr="00C9052E" w:rsidRDefault="00375706" w:rsidP="00326F31">
      <w:pPr>
        <w:pBdr>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14:paraId="60BE0C2E" w14:textId="77777777" w:rsidR="00835ED3" w:rsidRDefault="00375706" w:rsidP="00835ED3">
      <w:pPr>
        <w:numPr>
          <w:ilvl w:val="0"/>
          <w:numId w:val="58"/>
        </w:numPr>
        <w:pBdr>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Times New Roman" w:hAnsiTheme="majorHAnsi"/>
          <w:sz w:val="20"/>
          <w:szCs w:val="20"/>
        </w:rPr>
      </w:pPr>
      <w:r w:rsidRPr="00835ED3">
        <w:rPr>
          <w:rFonts w:asciiTheme="majorHAnsi" w:eastAsia="Times New Roman" w:hAnsiTheme="majorHAnsi"/>
          <w:sz w:val="20"/>
          <w:szCs w:val="20"/>
        </w:rPr>
        <w:t>The Court has indicated that the protection of the individual against the arbitrary exercise of public power is the primary objective of international protection of human rights. The lack of effective domestic remedies renders people defenseless</w:t>
      </w:r>
      <w:r w:rsidRPr="00835ED3">
        <w:rPr>
          <w:rFonts w:asciiTheme="majorHAnsi" w:eastAsia="Times New Roman" w:hAnsiTheme="majorHAnsi"/>
          <w:sz w:val="20"/>
          <w:szCs w:val="20"/>
          <w:vertAlign w:val="superscript"/>
        </w:rPr>
        <w:footnoteReference w:id="173"/>
      </w:r>
      <w:r w:rsidRPr="00835ED3">
        <w:rPr>
          <w:rFonts w:asciiTheme="majorHAnsi" w:eastAsia="Times New Roman" w:hAnsiTheme="majorHAnsi"/>
          <w:sz w:val="20"/>
          <w:szCs w:val="20"/>
        </w:rPr>
        <w:t>.</w:t>
      </w:r>
    </w:p>
    <w:p w14:paraId="17F440A1" w14:textId="77777777" w:rsidR="00835ED3" w:rsidRDefault="00835ED3" w:rsidP="00835ED3">
      <w:pPr>
        <w:pBdr>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rPr>
      </w:pPr>
    </w:p>
    <w:p w14:paraId="0E4C25AC" w14:textId="77777777" w:rsidR="003B3C70" w:rsidRDefault="00277F61" w:rsidP="003B3C70">
      <w:pPr>
        <w:numPr>
          <w:ilvl w:val="0"/>
          <w:numId w:val="58"/>
        </w:numPr>
        <w:pBdr>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Times New Roman" w:hAnsiTheme="majorHAnsi"/>
          <w:sz w:val="20"/>
          <w:szCs w:val="20"/>
        </w:rPr>
      </w:pPr>
      <w:r w:rsidRPr="00835ED3">
        <w:rPr>
          <w:rFonts w:asciiTheme="majorHAnsi" w:hAnsiTheme="majorHAnsi"/>
          <w:sz w:val="20"/>
          <w:szCs w:val="20"/>
        </w:rPr>
        <w:t>The Commission notes that the State has a general obligation to provide effective judicial remedies to individuals claiming to be victims of human rights violations (Article 25), remedies that must be substantiated in accordance with the rules of due process (Article 8.1), all within the general obligation, by such States to guarantee the free and full exercise of the rights recognized by the Convention to all persons subject to their jurisdiction (Article 1.1)</w:t>
      </w:r>
      <w:r w:rsidRPr="00326F31">
        <w:rPr>
          <w:rFonts w:asciiTheme="majorHAnsi" w:hAnsiTheme="majorHAnsi"/>
          <w:sz w:val="20"/>
          <w:szCs w:val="20"/>
          <w:vertAlign w:val="superscript"/>
          <w:lang w:val="es-ES"/>
        </w:rPr>
        <w:footnoteReference w:id="174"/>
      </w:r>
      <w:r w:rsidRPr="00835ED3">
        <w:rPr>
          <w:rFonts w:asciiTheme="majorHAnsi" w:hAnsiTheme="majorHAnsi"/>
          <w:sz w:val="20"/>
          <w:szCs w:val="20"/>
        </w:rPr>
        <w:t xml:space="preserve">. The Court has indicated that the victims and their relatives have the right, and the States the obligation, to </w:t>
      </w:r>
      <w:r w:rsidR="00E7757D" w:rsidRPr="00835ED3">
        <w:rPr>
          <w:rFonts w:asciiTheme="majorHAnsi" w:hAnsiTheme="majorHAnsi"/>
          <w:sz w:val="20"/>
          <w:szCs w:val="20"/>
        </w:rPr>
        <w:t xml:space="preserve">ensure, that what befell the alleged victims will be investigated effectively by the State authorities; that proceedings will be filed against those allegedly responsible for the </w:t>
      </w:r>
      <w:r w:rsidR="00E7757D" w:rsidRPr="00835ED3">
        <w:rPr>
          <w:rFonts w:asciiTheme="majorHAnsi" w:hAnsiTheme="majorHAnsi"/>
          <w:sz w:val="20"/>
          <w:szCs w:val="20"/>
        </w:rPr>
        <w:lastRenderedPageBreak/>
        <w:t>unlawful acts; and, if applicable, the pertinent penalties will be imposed, and the losses suffered by the next of kin repaired</w:t>
      </w:r>
      <w:r w:rsidRPr="00326F31">
        <w:rPr>
          <w:rStyle w:val="FootnoteReference"/>
          <w:rFonts w:asciiTheme="majorHAnsi" w:hAnsiTheme="majorHAnsi"/>
          <w:sz w:val="20"/>
          <w:szCs w:val="20"/>
        </w:rPr>
        <w:footnoteReference w:id="175"/>
      </w:r>
      <w:r w:rsidRPr="00835ED3">
        <w:rPr>
          <w:rFonts w:asciiTheme="majorHAnsi" w:hAnsiTheme="majorHAnsi"/>
          <w:sz w:val="20"/>
          <w:szCs w:val="20"/>
        </w:rPr>
        <w:t>.</w:t>
      </w:r>
    </w:p>
    <w:p w14:paraId="3B722313" w14:textId="77777777" w:rsidR="003B3C70" w:rsidRDefault="003B3C70" w:rsidP="003B3C70">
      <w:pPr>
        <w:pStyle w:val="ListParagraph"/>
        <w:rPr>
          <w:rFonts w:asciiTheme="majorHAnsi" w:hAnsiTheme="majorHAnsi"/>
          <w:sz w:val="20"/>
          <w:szCs w:val="20"/>
        </w:rPr>
      </w:pPr>
    </w:p>
    <w:p w14:paraId="0427484A" w14:textId="77777777" w:rsidR="003B3C70" w:rsidRDefault="00E7757D" w:rsidP="003B3C70">
      <w:pPr>
        <w:numPr>
          <w:ilvl w:val="0"/>
          <w:numId w:val="58"/>
        </w:numPr>
        <w:pBdr>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Times New Roman" w:hAnsiTheme="majorHAnsi"/>
          <w:sz w:val="20"/>
          <w:szCs w:val="20"/>
        </w:rPr>
      </w:pPr>
      <w:r w:rsidRPr="003B3C70">
        <w:rPr>
          <w:rFonts w:asciiTheme="majorHAnsi" w:eastAsia="Cambria" w:hAnsiTheme="majorHAnsi" w:cs="Cambria"/>
          <w:color w:val="000000"/>
          <w:sz w:val="20"/>
          <w:szCs w:val="20"/>
          <w:u w:color="000000"/>
          <w:lang w:eastAsia="es-ES"/>
        </w:rPr>
        <w:t xml:space="preserve">Likewise, </w:t>
      </w:r>
      <w:r w:rsidRPr="003B3C70">
        <w:rPr>
          <w:rFonts w:asciiTheme="majorHAnsi" w:hAnsiTheme="majorHAnsi"/>
          <w:sz w:val="20"/>
          <w:szCs w:val="20"/>
        </w:rPr>
        <w:t>the Court has understood that, for an effective recourse to exist, it is not enough for it to be established by the Constitution or law, or be formally admissible; rather it needs to be truly appropriate for establishing whether there has been a human rights violation and for providing whatever is necessary to repair this</w:t>
      </w:r>
      <w:r w:rsidRPr="00326F31">
        <w:rPr>
          <w:rFonts w:asciiTheme="majorHAnsi" w:hAnsiTheme="majorHAnsi"/>
          <w:sz w:val="20"/>
          <w:szCs w:val="20"/>
          <w:vertAlign w:val="superscript"/>
        </w:rPr>
        <w:footnoteReference w:id="176"/>
      </w:r>
      <w:r w:rsidRPr="003B3C70">
        <w:rPr>
          <w:rFonts w:asciiTheme="majorHAnsi" w:hAnsiTheme="majorHAnsi"/>
          <w:sz w:val="20"/>
          <w:szCs w:val="20"/>
        </w:rPr>
        <w:t>. The same court also noted that these domestic recourses must be available to the interested parties and result in an effective and justified decision on the matter raised, as well as potentially providing adequate reparation</w:t>
      </w:r>
      <w:r w:rsidRPr="00326F31">
        <w:rPr>
          <w:rStyle w:val="FootnoteReference"/>
          <w:rFonts w:asciiTheme="majorHAnsi" w:hAnsiTheme="majorHAnsi"/>
          <w:sz w:val="20"/>
          <w:szCs w:val="20"/>
          <w:lang w:val="es-CO"/>
        </w:rPr>
        <w:footnoteReference w:id="177"/>
      </w:r>
      <w:r w:rsidRPr="003B3C70">
        <w:rPr>
          <w:rFonts w:asciiTheme="majorHAnsi" w:hAnsiTheme="majorHAnsi"/>
          <w:sz w:val="20"/>
          <w:szCs w:val="20"/>
        </w:rPr>
        <w:t>.</w:t>
      </w:r>
    </w:p>
    <w:p w14:paraId="762D7FEB" w14:textId="77777777" w:rsidR="003B3C70" w:rsidRDefault="003B3C70" w:rsidP="003B3C70">
      <w:pPr>
        <w:pStyle w:val="ListParagraph"/>
        <w:rPr>
          <w:rFonts w:asciiTheme="majorHAnsi" w:hAnsiTheme="majorHAnsi"/>
          <w:sz w:val="20"/>
          <w:szCs w:val="20"/>
        </w:rPr>
      </w:pPr>
    </w:p>
    <w:p w14:paraId="7602E54D" w14:textId="4E9E16D1" w:rsidR="003B3C70" w:rsidRDefault="00E7757D" w:rsidP="003B3C70">
      <w:pPr>
        <w:numPr>
          <w:ilvl w:val="0"/>
          <w:numId w:val="58"/>
        </w:numPr>
        <w:pBdr>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Times New Roman" w:hAnsiTheme="majorHAnsi"/>
          <w:sz w:val="20"/>
          <w:szCs w:val="20"/>
        </w:rPr>
      </w:pPr>
      <w:r w:rsidRPr="003B3C70">
        <w:rPr>
          <w:rFonts w:asciiTheme="majorHAnsi" w:hAnsiTheme="majorHAnsi"/>
          <w:sz w:val="20"/>
          <w:szCs w:val="20"/>
        </w:rPr>
        <w:t xml:space="preserve">In turn, the </w:t>
      </w:r>
      <w:r w:rsidR="003B3C70" w:rsidRPr="003B3C70">
        <w:rPr>
          <w:rFonts w:asciiTheme="majorHAnsi" w:hAnsiTheme="majorHAnsi"/>
          <w:sz w:val="20"/>
          <w:szCs w:val="20"/>
        </w:rPr>
        <w:t xml:space="preserve">Inter-American </w:t>
      </w:r>
      <w:r w:rsidRPr="003B3C70">
        <w:rPr>
          <w:rFonts w:asciiTheme="majorHAnsi" w:hAnsiTheme="majorHAnsi"/>
          <w:sz w:val="20"/>
          <w:szCs w:val="20"/>
        </w:rPr>
        <w:t>Court has noted that the duty to investigate must be done with "due diligence" implying that investigation should be undertaken utilizing all the legal means available and should be oriented toward the determination of the truth</w:t>
      </w:r>
      <w:r w:rsidRPr="00326F31">
        <w:rPr>
          <w:rFonts w:asciiTheme="majorHAnsi" w:hAnsiTheme="majorHAnsi"/>
          <w:sz w:val="20"/>
          <w:szCs w:val="20"/>
          <w:vertAlign w:val="superscript"/>
        </w:rPr>
        <w:footnoteReference w:id="178"/>
      </w:r>
      <w:r w:rsidRPr="003B3C70">
        <w:rPr>
          <w:rFonts w:asciiTheme="majorHAnsi" w:hAnsiTheme="majorHAnsi"/>
          <w:sz w:val="20"/>
          <w:szCs w:val="20"/>
        </w:rPr>
        <w:t xml:space="preserve">. In the same vein, the Court has indicated that the State has a duty to ensure that everything you need to know the truth about what happened, and that the possible responsible parties </w:t>
      </w:r>
      <w:r w:rsidR="004F5827" w:rsidRPr="003B3C70">
        <w:rPr>
          <w:rFonts w:asciiTheme="majorHAnsi" w:hAnsiTheme="majorHAnsi"/>
          <w:sz w:val="20"/>
          <w:szCs w:val="20"/>
        </w:rPr>
        <w:t>are</w:t>
      </w:r>
      <w:r w:rsidRPr="003B3C70">
        <w:rPr>
          <w:rFonts w:asciiTheme="majorHAnsi" w:hAnsiTheme="majorHAnsi"/>
          <w:sz w:val="20"/>
          <w:szCs w:val="20"/>
        </w:rPr>
        <w:t xml:space="preserve"> punished</w:t>
      </w:r>
      <w:r w:rsidRPr="00326F31">
        <w:rPr>
          <w:rStyle w:val="FootnoteReference"/>
          <w:rFonts w:asciiTheme="majorHAnsi" w:hAnsiTheme="majorHAnsi"/>
          <w:sz w:val="20"/>
          <w:szCs w:val="20"/>
        </w:rPr>
        <w:footnoteReference w:id="179"/>
      </w:r>
      <w:r w:rsidRPr="003B3C70">
        <w:rPr>
          <w:rFonts w:asciiTheme="majorHAnsi" w:hAnsiTheme="majorHAnsi"/>
          <w:sz w:val="20"/>
          <w:szCs w:val="20"/>
        </w:rPr>
        <w:t>, involving every State institution</w:t>
      </w:r>
      <w:r w:rsidRPr="00326F31">
        <w:rPr>
          <w:rStyle w:val="FootnoteReference"/>
          <w:rFonts w:asciiTheme="majorHAnsi" w:hAnsiTheme="majorHAnsi"/>
          <w:sz w:val="20"/>
          <w:szCs w:val="20"/>
        </w:rPr>
        <w:footnoteReference w:id="180"/>
      </w:r>
      <w:r w:rsidRPr="003B3C70">
        <w:rPr>
          <w:rFonts w:asciiTheme="majorHAnsi" w:hAnsiTheme="majorHAnsi"/>
          <w:sz w:val="20"/>
          <w:szCs w:val="20"/>
        </w:rPr>
        <w:t>. The Court has also said that it is particularly important that the competent authorities adopt all reasonable measures to guarantee the necessary probative material in order to carry out the investigation</w:t>
      </w:r>
      <w:r w:rsidRPr="00326F31">
        <w:rPr>
          <w:rStyle w:val="FootnoteReference"/>
          <w:rFonts w:asciiTheme="majorHAnsi" w:hAnsiTheme="majorHAnsi" w:cs="Arial"/>
          <w:sz w:val="20"/>
          <w:szCs w:val="20"/>
        </w:rPr>
        <w:footnoteReference w:id="181"/>
      </w:r>
      <w:r w:rsidRPr="003B3C70">
        <w:rPr>
          <w:rFonts w:asciiTheme="majorHAnsi" w:hAnsiTheme="majorHAnsi" w:cs="Arial"/>
          <w:sz w:val="20"/>
          <w:szCs w:val="20"/>
        </w:rPr>
        <w:t>.</w:t>
      </w:r>
    </w:p>
    <w:p w14:paraId="3B131EA7" w14:textId="77777777" w:rsidR="003B3C70" w:rsidRDefault="003B3C70" w:rsidP="003B3C70">
      <w:pPr>
        <w:pStyle w:val="ListParagraph"/>
        <w:rPr>
          <w:rFonts w:asciiTheme="majorHAnsi" w:hAnsiTheme="majorHAnsi"/>
          <w:sz w:val="20"/>
          <w:szCs w:val="20"/>
        </w:rPr>
      </w:pPr>
    </w:p>
    <w:p w14:paraId="18E18405" w14:textId="77777777" w:rsidR="003B3C70" w:rsidRDefault="00E7757D" w:rsidP="003B3C70">
      <w:pPr>
        <w:numPr>
          <w:ilvl w:val="0"/>
          <w:numId w:val="58"/>
        </w:numPr>
        <w:pBdr>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Times New Roman" w:hAnsiTheme="majorHAnsi"/>
          <w:sz w:val="20"/>
          <w:szCs w:val="20"/>
        </w:rPr>
      </w:pPr>
      <w:r w:rsidRPr="003B3C70">
        <w:rPr>
          <w:rFonts w:asciiTheme="majorHAnsi" w:hAnsiTheme="majorHAnsi"/>
          <w:sz w:val="20"/>
          <w:szCs w:val="20"/>
        </w:rPr>
        <w:t>Taking into account the parameters indicated, the Commission will examine whether, in this case the State of Venezuela offered to the victims an effective remedy to protect them of violations of their human rights through a serious and diligent investigation within a reasonable time.</w:t>
      </w:r>
    </w:p>
    <w:p w14:paraId="75C7696B" w14:textId="77777777" w:rsidR="003B3C70" w:rsidRDefault="003B3C70" w:rsidP="003B3C70">
      <w:pPr>
        <w:pStyle w:val="ListParagraph"/>
        <w:rPr>
          <w:rFonts w:asciiTheme="majorHAnsi" w:eastAsia="Times New Roman" w:hAnsiTheme="majorHAnsi"/>
          <w:sz w:val="20"/>
          <w:szCs w:val="20"/>
        </w:rPr>
      </w:pPr>
    </w:p>
    <w:p w14:paraId="64105804" w14:textId="21DE3D19" w:rsidR="003B3C70" w:rsidRDefault="00E7757D" w:rsidP="003B3C70">
      <w:pPr>
        <w:numPr>
          <w:ilvl w:val="0"/>
          <w:numId w:val="58"/>
        </w:numPr>
        <w:pBdr>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Times New Roman" w:hAnsiTheme="majorHAnsi"/>
          <w:sz w:val="20"/>
          <w:szCs w:val="20"/>
        </w:rPr>
      </w:pPr>
      <w:r w:rsidRPr="003B3C70">
        <w:rPr>
          <w:rFonts w:asciiTheme="majorHAnsi" w:eastAsia="Times New Roman" w:hAnsiTheme="majorHAnsi"/>
          <w:sz w:val="20"/>
          <w:szCs w:val="20"/>
        </w:rPr>
        <w:t xml:space="preserve">The Commission notes that the victims presented both an </w:t>
      </w:r>
      <w:r w:rsidRPr="003B3C70">
        <w:rPr>
          <w:rFonts w:asciiTheme="majorHAnsi" w:eastAsia="Times New Roman" w:hAnsiTheme="majorHAnsi"/>
          <w:i/>
          <w:sz w:val="20"/>
          <w:szCs w:val="20"/>
        </w:rPr>
        <w:t>amparo</w:t>
      </w:r>
      <w:r w:rsidRPr="003B3C70">
        <w:rPr>
          <w:rFonts w:asciiTheme="majorHAnsi" w:eastAsia="Times New Roman" w:hAnsiTheme="majorHAnsi"/>
          <w:sz w:val="20"/>
          <w:szCs w:val="20"/>
        </w:rPr>
        <w:t xml:space="preserve"> remedy and a criminal complaint. The </w:t>
      </w:r>
      <w:r w:rsidRPr="003B3C70">
        <w:rPr>
          <w:rFonts w:asciiTheme="majorHAnsi" w:eastAsia="Times New Roman" w:hAnsiTheme="majorHAnsi"/>
          <w:i/>
          <w:sz w:val="20"/>
          <w:szCs w:val="20"/>
        </w:rPr>
        <w:t>amparo</w:t>
      </w:r>
      <w:r w:rsidRPr="003B3C70">
        <w:rPr>
          <w:rFonts w:asciiTheme="majorHAnsi" w:eastAsia="Times New Roman" w:hAnsiTheme="majorHAnsi"/>
          <w:sz w:val="20"/>
          <w:szCs w:val="20"/>
        </w:rPr>
        <w:t xml:space="preserve"> was filed on July 22, 2004 while the criminal complaint was filed on May 27, 2004. The </w:t>
      </w:r>
      <w:r w:rsidRPr="003B3C70">
        <w:rPr>
          <w:rFonts w:asciiTheme="majorHAnsi" w:eastAsia="Times New Roman" w:hAnsiTheme="majorHAnsi"/>
          <w:i/>
          <w:sz w:val="20"/>
          <w:szCs w:val="20"/>
        </w:rPr>
        <w:t>amparo</w:t>
      </w:r>
      <w:r w:rsidRPr="003B3C70">
        <w:rPr>
          <w:rFonts w:asciiTheme="majorHAnsi" w:eastAsia="Times New Roman" w:hAnsiTheme="majorHAnsi"/>
          <w:sz w:val="20"/>
          <w:szCs w:val="20"/>
        </w:rPr>
        <w:t xml:space="preserve"> was finally resolved unfavorably on September 9, 2005; while the criminal investigation was dismissed, a decision that became final after the rejection of the appeal</w:t>
      </w:r>
      <w:r w:rsidR="004F5827">
        <w:rPr>
          <w:rFonts w:asciiTheme="majorHAnsi" w:eastAsia="Times New Roman" w:hAnsiTheme="majorHAnsi"/>
          <w:sz w:val="20"/>
          <w:szCs w:val="20"/>
        </w:rPr>
        <w:t xml:space="preserve"> remedy</w:t>
      </w:r>
      <w:r w:rsidRPr="003B3C70">
        <w:rPr>
          <w:rFonts w:asciiTheme="majorHAnsi" w:eastAsia="Times New Roman" w:hAnsiTheme="majorHAnsi"/>
          <w:sz w:val="20"/>
          <w:szCs w:val="20"/>
        </w:rPr>
        <w:t xml:space="preserve"> (</w:t>
      </w:r>
      <w:proofErr w:type="spellStart"/>
      <w:r w:rsidRPr="003B3C70">
        <w:rPr>
          <w:rFonts w:asciiTheme="majorHAnsi" w:eastAsia="Times New Roman" w:hAnsiTheme="majorHAnsi"/>
          <w:i/>
          <w:sz w:val="20"/>
          <w:szCs w:val="20"/>
        </w:rPr>
        <w:t>casación</w:t>
      </w:r>
      <w:proofErr w:type="spellEnd"/>
      <w:r w:rsidRPr="003B3C70">
        <w:rPr>
          <w:rFonts w:asciiTheme="majorHAnsi" w:eastAsia="Times New Roman" w:hAnsiTheme="majorHAnsi"/>
          <w:sz w:val="20"/>
          <w:szCs w:val="20"/>
        </w:rPr>
        <w:t>) on September 27, 2005</w:t>
      </w:r>
      <w:r w:rsidRPr="003B3C70">
        <w:rPr>
          <w:rFonts w:asciiTheme="majorHAnsi" w:eastAsia="Times New Roman" w:hAnsiTheme="majorHAnsi"/>
          <w:b/>
          <w:sz w:val="20"/>
          <w:szCs w:val="20"/>
        </w:rPr>
        <w:t>.</w:t>
      </w:r>
    </w:p>
    <w:p w14:paraId="3ADC4B42" w14:textId="77777777" w:rsidR="003B3C70" w:rsidRDefault="003B3C70" w:rsidP="003B3C70">
      <w:pPr>
        <w:pStyle w:val="ListParagraph"/>
        <w:rPr>
          <w:rFonts w:asciiTheme="majorHAnsi" w:eastAsia="Times New Roman" w:hAnsiTheme="majorHAnsi"/>
          <w:sz w:val="20"/>
          <w:szCs w:val="20"/>
        </w:rPr>
      </w:pPr>
    </w:p>
    <w:p w14:paraId="57F366B5" w14:textId="77777777" w:rsidR="003B3C70" w:rsidRDefault="007C5F30" w:rsidP="003B3C70">
      <w:pPr>
        <w:numPr>
          <w:ilvl w:val="0"/>
          <w:numId w:val="58"/>
        </w:numPr>
        <w:pBdr>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Times New Roman" w:hAnsiTheme="majorHAnsi"/>
          <w:sz w:val="20"/>
          <w:szCs w:val="20"/>
        </w:rPr>
      </w:pPr>
      <w:r w:rsidRPr="003B3C70">
        <w:rPr>
          <w:rFonts w:asciiTheme="majorHAnsi" w:eastAsia="Times New Roman" w:hAnsiTheme="majorHAnsi"/>
          <w:sz w:val="20"/>
          <w:szCs w:val="20"/>
        </w:rPr>
        <w:t xml:space="preserve">The motivations of the judicial authorities in both processes are similar in that both remedies concluded that the victims did not prove the political discrimination claimed, and assumed as valid the consistent explanation on the implementation of the seventh clause of the contract that granted discretional </w:t>
      </w:r>
      <w:r w:rsidRPr="003B3C70">
        <w:rPr>
          <w:rFonts w:asciiTheme="majorHAnsi" w:eastAsia="Times New Roman" w:hAnsiTheme="majorHAnsi"/>
          <w:sz w:val="20"/>
          <w:szCs w:val="20"/>
        </w:rPr>
        <w:lastRenderedPageBreak/>
        <w:t xml:space="preserve">powers to the employer. For example, the decision of First Instance of the </w:t>
      </w:r>
      <w:r w:rsidRPr="003B3C70">
        <w:rPr>
          <w:rFonts w:asciiTheme="majorHAnsi" w:eastAsia="Times New Roman" w:hAnsiTheme="majorHAnsi"/>
          <w:i/>
          <w:sz w:val="20"/>
          <w:szCs w:val="20"/>
        </w:rPr>
        <w:t>amparo</w:t>
      </w:r>
      <w:r w:rsidRPr="003B3C70">
        <w:rPr>
          <w:rFonts w:asciiTheme="majorHAnsi" w:eastAsia="Times New Roman" w:hAnsiTheme="majorHAnsi"/>
          <w:sz w:val="20"/>
          <w:szCs w:val="20"/>
        </w:rPr>
        <w:t xml:space="preserve"> proceeding of July 27, 2005, subsequently confirmed, indicated there was a failure to "clearly establish the causal link between the alleged discriminatory treatment for signing and the decision ending the working relationship". In the criminal proceedings, when delivering the dismissal, it was noted that although the CNF ended the employment relationship "which would be allowed by the contract (...) none of the items presented lead to corroborate the complainants’ statement that the reason (...) was voting in the recall referendum".</w:t>
      </w:r>
    </w:p>
    <w:p w14:paraId="463853A7" w14:textId="77777777" w:rsidR="003B3C70" w:rsidRDefault="003B3C70" w:rsidP="003B3C70">
      <w:pPr>
        <w:pStyle w:val="ListParagraph"/>
        <w:rPr>
          <w:rFonts w:asciiTheme="majorHAnsi" w:hAnsiTheme="majorHAnsi"/>
          <w:bCs/>
          <w:sz w:val="20"/>
          <w:szCs w:val="20"/>
        </w:rPr>
      </w:pPr>
    </w:p>
    <w:p w14:paraId="490654D9" w14:textId="2FA95BDE" w:rsidR="003B3C70" w:rsidRPr="004F5827" w:rsidRDefault="00383C51" w:rsidP="004F5827">
      <w:pPr>
        <w:numPr>
          <w:ilvl w:val="0"/>
          <w:numId w:val="58"/>
        </w:numPr>
        <w:pBdr>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hAnsiTheme="majorHAnsi"/>
          <w:bCs/>
          <w:sz w:val="20"/>
          <w:szCs w:val="20"/>
        </w:rPr>
      </w:pPr>
      <w:r w:rsidRPr="003B3C70">
        <w:rPr>
          <w:rFonts w:asciiTheme="majorHAnsi" w:hAnsiTheme="majorHAnsi"/>
          <w:bCs/>
          <w:sz w:val="20"/>
          <w:szCs w:val="20"/>
        </w:rPr>
        <w:t xml:space="preserve">The Commission notes that the judicial officers who examined both remedies limited to determining whether </w:t>
      </w:r>
      <w:r w:rsidR="004F5827">
        <w:rPr>
          <w:rFonts w:asciiTheme="majorHAnsi" w:hAnsiTheme="majorHAnsi"/>
          <w:bCs/>
          <w:sz w:val="20"/>
          <w:szCs w:val="20"/>
        </w:rPr>
        <w:t xml:space="preserve">National Border Council had the right to unilaterally terminate the contracts with the victims. </w:t>
      </w:r>
      <w:r w:rsidRPr="004F5827">
        <w:rPr>
          <w:rFonts w:asciiTheme="majorHAnsi" w:hAnsiTheme="majorHAnsi"/>
          <w:bCs/>
          <w:sz w:val="20"/>
          <w:szCs w:val="20"/>
        </w:rPr>
        <w:t>This corroboration is not suitable to determine whether there was discrimination in a case of alleged discrimination precisely that operated covertly behind the veil of legality of the discretion established in the contract. When a judicial authority finds an allegation of disguised discrimination, the obl</w:t>
      </w:r>
      <w:r w:rsidR="004F5827">
        <w:rPr>
          <w:rFonts w:asciiTheme="majorHAnsi" w:hAnsiTheme="majorHAnsi"/>
          <w:bCs/>
          <w:sz w:val="20"/>
          <w:szCs w:val="20"/>
        </w:rPr>
        <w:t>igation of due diligence implies an</w:t>
      </w:r>
      <w:r w:rsidRPr="004F5827">
        <w:rPr>
          <w:rFonts w:asciiTheme="majorHAnsi" w:hAnsiTheme="majorHAnsi"/>
          <w:bCs/>
          <w:sz w:val="20"/>
          <w:szCs w:val="20"/>
        </w:rPr>
        <w:t xml:space="preserve"> investigat</w:t>
      </w:r>
      <w:r w:rsidR="004F5827">
        <w:rPr>
          <w:rFonts w:asciiTheme="majorHAnsi" w:hAnsiTheme="majorHAnsi"/>
          <w:bCs/>
          <w:sz w:val="20"/>
          <w:szCs w:val="20"/>
        </w:rPr>
        <w:t>ion</w:t>
      </w:r>
      <w:r w:rsidRPr="004F5827">
        <w:rPr>
          <w:rFonts w:asciiTheme="majorHAnsi" w:hAnsiTheme="majorHAnsi"/>
          <w:bCs/>
          <w:sz w:val="20"/>
          <w:szCs w:val="20"/>
        </w:rPr>
        <w:t xml:space="preserve"> beyond the formally declared</w:t>
      </w:r>
      <w:r w:rsidR="004F5827">
        <w:rPr>
          <w:rFonts w:asciiTheme="majorHAnsi" w:hAnsiTheme="majorHAnsi"/>
          <w:bCs/>
          <w:sz w:val="20"/>
          <w:szCs w:val="20"/>
        </w:rPr>
        <w:t xml:space="preserve"> motivation of the act</w:t>
      </w:r>
      <w:r w:rsidRPr="004F5827">
        <w:rPr>
          <w:rFonts w:asciiTheme="majorHAnsi" w:hAnsiTheme="majorHAnsi"/>
          <w:bCs/>
          <w:sz w:val="20"/>
          <w:szCs w:val="20"/>
        </w:rPr>
        <w:t xml:space="preserve"> and take into consideration all the </w:t>
      </w:r>
      <w:r w:rsidR="004F5827">
        <w:rPr>
          <w:rFonts w:asciiTheme="majorHAnsi" w:hAnsiTheme="majorHAnsi"/>
          <w:bCs/>
          <w:sz w:val="20"/>
          <w:szCs w:val="20"/>
        </w:rPr>
        <w:t xml:space="preserve">indicia, circumstantial evidence and </w:t>
      </w:r>
      <w:r w:rsidRPr="004F5827">
        <w:rPr>
          <w:rFonts w:asciiTheme="majorHAnsi" w:hAnsiTheme="majorHAnsi"/>
          <w:bCs/>
          <w:sz w:val="20"/>
          <w:szCs w:val="20"/>
        </w:rPr>
        <w:t>other</w:t>
      </w:r>
      <w:r w:rsidR="004F5827">
        <w:rPr>
          <w:rFonts w:asciiTheme="majorHAnsi" w:hAnsiTheme="majorHAnsi"/>
          <w:bCs/>
          <w:sz w:val="20"/>
          <w:szCs w:val="20"/>
        </w:rPr>
        <w:t>s</w:t>
      </w:r>
      <w:r w:rsidRPr="004F5827">
        <w:rPr>
          <w:rFonts w:asciiTheme="majorHAnsi" w:hAnsiTheme="majorHAnsi"/>
          <w:bCs/>
          <w:sz w:val="20"/>
          <w:szCs w:val="20"/>
        </w:rPr>
        <w:t>.</w:t>
      </w:r>
    </w:p>
    <w:p w14:paraId="64C56FD4" w14:textId="77777777" w:rsidR="003B3C70" w:rsidRDefault="003B3C70" w:rsidP="003B3C70">
      <w:pPr>
        <w:pStyle w:val="ListParagraph"/>
        <w:rPr>
          <w:rFonts w:asciiTheme="majorHAnsi" w:hAnsiTheme="majorHAnsi"/>
          <w:bCs/>
          <w:sz w:val="20"/>
          <w:szCs w:val="20"/>
        </w:rPr>
      </w:pPr>
    </w:p>
    <w:p w14:paraId="25C7B0F0" w14:textId="199562D3" w:rsidR="003B3C70" w:rsidRDefault="00383C51" w:rsidP="003B3C70">
      <w:pPr>
        <w:numPr>
          <w:ilvl w:val="0"/>
          <w:numId w:val="58"/>
        </w:numPr>
        <w:pBdr>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Times New Roman" w:hAnsiTheme="majorHAnsi"/>
          <w:sz w:val="20"/>
          <w:szCs w:val="20"/>
        </w:rPr>
      </w:pPr>
      <w:r w:rsidRPr="003B3C70">
        <w:rPr>
          <w:rFonts w:asciiTheme="majorHAnsi" w:hAnsiTheme="majorHAnsi"/>
          <w:bCs/>
          <w:sz w:val="20"/>
          <w:szCs w:val="20"/>
        </w:rPr>
        <w:t>Moreover, the reasons for rejection</w:t>
      </w:r>
      <w:r w:rsidR="00B972EF">
        <w:rPr>
          <w:rFonts w:asciiTheme="majorHAnsi" w:hAnsiTheme="majorHAnsi"/>
          <w:bCs/>
          <w:sz w:val="20"/>
          <w:szCs w:val="20"/>
        </w:rPr>
        <w:t xml:space="preserve"> of the remedies</w:t>
      </w:r>
      <w:r w:rsidRPr="003B3C70">
        <w:rPr>
          <w:rFonts w:asciiTheme="majorHAnsi" w:hAnsiTheme="majorHAnsi"/>
          <w:bCs/>
          <w:sz w:val="20"/>
          <w:szCs w:val="20"/>
        </w:rPr>
        <w:t xml:space="preserve"> also refer to the fact that the victims did not prove discrimination. In this regard, the Commission notes that the judicial authorities in charge of resolving such cases should be aware that covert forms of discrimination often do not have direct proof and, therefore, the burden of proof cannot rest absolutely in the person alleging discrimination as occurred in the context of these remedies.</w:t>
      </w:r>
    </w:p>
    <w:p w14:paraId="1EA63C74" w14:textId="77777777" w:rsidR="003B3C70" w:rsidRDefault="003B3C70" w:rsidP="003B3C70">
      <w:pPr>
        <w:pStyle w:val="ListParagraph"/>
        <w:rPr>
          <w:rFonts w:asciiTheme="majorHAnsi" w:hAnsiTheme="majorHAnsi"/>
          <w:bCs/>
          <w:sz w:val="20"/>
          <w:szCs w:val="20"/>
        </w:rPr>
      </w:pPr>
    </w:p>
    <w:p w14:paraId="4336E5D2" w14:textId="787C7158" w:rsidR="004B1C89" w:rsidRPr="00677C7A" w:rsidRDefault="004B1C89" w:rsidP="00677C7A">
      <w:pPr>
        <w:numPr>
          <w:ilvl w:val="0"/>
          <w:numId w:val="58"/>
        </w:numPr>
        <w:pBdr>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Times New Roman" w:hAnsiTheme="majorHAnsi"/>
          <w:sz w:val="20"/>
          <w:szCs w:val="20"/>
        </w:rPr>
      </w:pPr>
      <w:r>
        <w:rPr>
          <w:rFonts w:asciiTheme="majorHAnsi" w:eastAsia="Times New Roman" w:hAnsiTheme="majorHAnsi"/>
          <w:sz w:val="20"/>
          <w:szCs w:val="20"/>
        </w:rPr>
        <w:t xml:space="preserve">Consequently, the Commission considers that although </w:t>
      </w:r>
      <w:r w:rsidR="009E3833">
        <w:rPr>
          <w:rFonts w:asciiTheme="majorHAnsi" w:eastAsia="Times New Roman" w:hAnsiTheme="majorHAnsi"/>
          <w:sz w:val="20"/>
          <w:szCs w:val="20"/>
        </w:rPr>
        <w:t xml:space="preserve">the </w:t>
      </w:r>
      <w:proofErr w:type="spellStart"/>
      <w:r w:rsidR="00DC7C71" w:rsidRPr="00677C7A">
        <w:rPr>
          <w:rFonts w:asciiTheme="majorHAnsi" w:eastAsia="Times New Roman" w:hAnsiTheme="majorHAnsi"/>
          <w:i/>
          <w:sz w:val="20"/>
          <w:szCs w:val="20"/>
        </w:rPr>
        <w:t>amparo</w:t>
      </w:r>
      <w:proofErr w:type="spellEnd"/>
      <w:r w:rsidR="00DC7C71" w:rsidRPr="00677C7A">
        <w:rPr>
          <w:rFonts w:asciiTheme="majorHAnsi" w:eastAsia="Times New Roman" w:hAnsiTheme="majorHAnsi"/>
          <w:i/>
          <w:sz w:val="20"/>
          <w:szCs w:val="20"/>
        </w:rPr>
        <w:t xml:space="preserve"> </w:t>
      </w:r>
      <w:r w:rsidR="00DC7C71">
        <w:rPr>
          <w:rFonts w:asciiTheme="majorHAnsi" w:eastAsia="Times New Roman" w:hAnsiTheme="majorHAnsi"/>
          <w:sz w:val="20"/>
          <w:szCs w:val="20"/>
        </w:rPr>
        <w:t xml:space="preserve">judicial </w:t>
      </w:r>
      <w:r w:rsidR="009E3833">
        <w:rPr>
          <w:rFonts w:asciiTheme="majorHAnsi" w:eastAsia="Times New Roman" w:hAnsiTheme="majorHAnsi"/>
          <w:sz w:val="20"/>
          <w:szCs w:val="20"/>
        </w:rPr>
        <w:t xml:space="preserve">authority </w:t>
      </w:r>
      <w:r w:rsidR="00DC7C71">
        <w:rPr>
          <w:rFonts w:asciiTheme="majorHAnsi" w:eastAsia="Times New Roman" w:hAnsiTheme="majorHAnsi"/>
          <w:sz w:val="20"/>
          <w:szCs w:val="20"/>
        </w:rPr>
        <w:t xml:space="preserve">referred to the allegation of discrimination, it was examined only formally and without due diligence.  Also, the </w:t>
      </w:r>
      <w:r w:rsidR="00677C7A">
        <w:rPr>
          <w:rFonts w:asciiTheme="majorHAnsi" w:eastAsia="Times New Roman" w:hAnsiTheme="majorHAnsi"/>
          <w:sz w:val="20"/>
          <w:szCs w:val="20"/>
        </w:rPr>
        <w:t xml:space="preserve">judicial authority imposed a very high standard when requiring the victim to prove “clearly” the causal link between the discriminatory treatment and the decision to end the working relationship. This also involves placing all the burden of proof on the person alleging discrimination. </w:t>
      </w:r>
    </w:p>
    <w:p w14:paraId="2C1B8C7F" w14:textId="77777777" w:rsidR="004B1C89" w:rsidRDefault="004B1C89" w:rsidP="004B1C89">
      <w:pPr>
        <w:pStyle w:val="ListParagraph"/>
        <w:rPr>
          <w:rFonts w:asciiTheme="majorHAnsi" w:hAnsiTheme="majorHAnsi"/>
          <w:bCs/>
          <w:sz w:val="20"/>
          <w:szCs w:val="20"/>
        </w:rPr>
      </w:pPr>
    </w:p>
    <w:p w14:paraId="58B02FE2" w14:textId="0FBB9478" w:rsidR="003B3C70" w:rsidRDefault="008C5D43" w:rsidP="003B3C70">
      <w:pPr>
        <w:numPr>
          <w:ilvl w:val="0"/>
          <w:numId w:val="58"/>
        </w:numPr>
        <w:pBdr>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Times New Roman" w:hAnsiTheme="majorHAnsi"/>
          <w:sz w:val="20"/>
          <w:szCs w:val="20"/>
        </w:rPr>
      </w:pPr>
      <w:r w:rsidRPr="003B3C70">
        <w:rPr>
          <w:rFonts w:asciiTheme="majorHAnsi" w:hAnsiTheme="majorHAnsi"/>
          <w:bCs/>
          <w:sz w:val="20"/>
          <w:szCs w:val="20"/>
        </w:rPr>
        <w:t>The Commission considers that the authorities must use all legal means at its disposal to obtain the truth of what happened to victims of human rights violations</w:t>
      </w:r>
      <w:r w:rsidRPr="00326F31">
        <w:rPr>
          <w:rStyle w:val="FootnoteReference"/>
          <w:rFonts w:asciiTheme="majorHAnsi" w:hAnsiTheme="majorHAnsi"/>
          <w:bCs/>
          <w:sz w:val="20"/>
          <w:szCs w:val="20"/>
          <w:lang w:val="es-EC"/>
        </w:rPr>
        <w:footnoteReference w:id="182"/>
      </w:r>
      <w:r w:rsidRPr="003B3C70">
        <w:rPr>
          <w:rFonts w:asciiTheme="majorHAnsi" w:hAnsiTheme="majorHAnsi"/>
          <w:bCs/>
          <w:sz w:val="20"/>
          <w:szCs w:val="20"/>
        </w:rPr>
        <w:t>. A due diligence in the investigation process requires the authorities to take into account the complexity of the facts, the context and the circumstances in which they occurred and patterns that explain their commission, avoiding omissions in the collection of evidence and track all logical lines of investigatio</w:t>
      </w:r>
      <w:r w:rsidR="00E64205" w:rsidRPr="003B3C70">
        <w:rPr>
          <w:rFonts w:asciiTheme="majorHAnsi" w:hAnsiTheme="majorHAnsi"/>
          <w:bCs/>
          <w:sz w:val="20"/>
          <w:szCs w:val="20"/>
        </w:rPr>
        <w:t>n</w:t>
      </w:r>
      <w:r w:rsidRPr="00326F31">
        <w:rPr>
          <w:rStyle w:val="FootnoteReference"/>
          <w:rFonts w:asciiTheme="majorHAnsi" w:hAnsiTheme="majorHAnsi"/>
          <w:sz w:val="20"/>
          <w:szCs w:val="20"/>
          <w:lang w:val="es-VE"/>
        </w:rPr>
        <w:footnoteReference w:id="183"/>
      </w:r>
      <w:r w:rsidRPr="003B3C70">
        <w:rPr>
          <w:rFonts w:asciiTheme="majorHAnsi" w:hAnsiTheme="majorHAnsi"/>
          <w:sz w:val="20"/>
          <w:szCs w:val="20"/>
        </w:rPr>
        <w:t>.</w:t>
      </w:r>
      <w:r w:rsidRPr="003B3C70">
        <w:rPr>
          <w:rFonts w:asciiTheme="majorHAnsi" w:hAnsiTheme="majorHAnsi"/>
          <w:bCs/>
          <w:sz w:val="20"/>
          <w:szCs w:val="20"/>
        </w:rPr>
        <w:t xml:space="preserve"> Both the IACHR and the Inter-American Court have established that prosecutors, when drawing logical lines of investigation must take into account all the evidentiary material </w:t>
      </w:r>
      <w:r w:rsidR="00B972EF">
        <w:rPr>
          <w:rFonts w:asciiTheme="majorHAnsi" w:hAnsiTheme="majorHAnsi"/>
          <w:bCs/>
          <w:sz w:val="20"/>
          <w:szCs w:val="20"/>
        </w:rPr>
        <w:t>in its possession</w:t>
      </w:r>
      <w:r w:rsidRPr="003B3C70">
        <w:rPr>
          <w:rFonts w:asciiTheme="majorHAnsi" w:hAnsiTheme="majorHAnsi"/>
          <w:bCs/>
          <w:sz w:val="20"/>
          <w:szCs w:val="20"/>
        </w:rPr>
        <w:t>. In that sense, when victims bring to the investigative bodies evidentiary material, they should be valued by State bodies to develop the research hypotheses on the obligation of the judicial guarantees</w:t>
      </w:r>
      <w:r w:rsidRPr="00326F31">
        <w:rPr>
          <w:rStyle w:val="FootnoteReference"/>
          <w:rFonts w:asciiTheme="majorHAnsi" w:hAnsiTheme="majorHAnsi"/>
          <w:sz w:val="20"/>
          <w:szCs w:val="20"/>
          <w:lang w:val="es-VE"/>
        </w:rPr>
        <w:footnoteReference w:id="184"/>
      </w:r>
      <w:r w:rsidRPr="003B3C70">
        <w:rPr>
          <w:rFonts w:asciiTheme="majorHAnsi" w:hAnsiTheme="majorHAnsi"/>
          <w:sz w:val="20"/>
          <w:szCs w:val="20"/>
        </w:rPr>
        <w:t>.</w:t>
      </w:r>
    </w:p>
    <w:p w14:paraId="30F68A3E" w14:textId="77777777" w:rsidR="003B3C70" w:rsidRDefault="003B3C70" w:rsidP="003B3C70">
      <w:pPr>
        <w:pStyle w:val="ListParagraph"/>
        <w:rPr>
          <w:rFonts w:asciiTheme="majorHAnsi" w:hAnsiTheme="majorHAnsi"/>
          <w:bCs/>
          <w:sz w:val="20"/>
          <w:szCs w:val="20"/>
        </w:rPr>
      </w:pPr>
    </w:p>
    <w:p w14:paraId="2B21D726" w14:textId="2A19976D" w:rsidR="003B3C70" w:rsidRPr="003B3C70" w:rsidRDefault="002E607F" w:rsidP="003B3C70">
      <w:pPr>
        <w:numPr>
          <w:ilvl w:val="0"/>
          <w:numId w:val="58"/>
        </w:numPr>
        <w:pBdr>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Times New Roman" w:hAnsiTheme="majorHAnsi"/>
          <w:sz w:val="20"/>
          <w:szCs w:val="20"/>
        </w:rPr>
      </w:pPr>
      <w:r w:rsidRPr="003B3C70">
        <w:rPr>
          <w:rFonts w:asciiTheme="majorHAnsi" w:hAnsiTheme="majorHAnsi"/>
          <w:bCs/>
          <w:sz w:val="20"/>
          <w:szCs w:val="20"/>
        </w:rPr>
        <w:t xml:space="preserve">The Commission notes that the judicial authorities who examined the claims did not consider the hypothesis concerning the use of the power to terminate the employment under the contract clause as a mean of retaliation against the victims for their participation in the recall referendum petition. The proceedings were limited to collecting the testimony of the three victims and </w:t>
      </w:r>
      <w:r w:rsidR="00B972EF">
        <w:rPr>
          <w:rFonts w:asciiTheme="majorHAnsi" w:hAnsiTheme="majorHAnsi"/>
          <w:bCs/>
          <w:sz w:val="20"/>
          <w:szCs w:val="20"/>
        </w:rPr>
        <w:t xml:space="preserve">the </w:t>
      </w:r>
      <w:r w:rsidRPr="003B3C70">
        <w:rPr>
          <w:rFonts w:asciiTheme="majorHAnsi" w:hAnsiTheme="majorHAnsi"/>
          <w:bCs/>
          <w:sz w:val="20"/>
          <w:szCs w:val="20"/>
        </w:rPr>
        <w:t xml:space="preserve">then Executive Secretary of the National Border Council, omitting the realization of other fundamental steps to check the allegation of discrimination. In such proceedings the Commission would consider: i) To receive the statement of the then President of the National Border Council José Vicente Rangel Vale who terminated the contracts of the alleged </w:t>
      </w:r>
      <w:r w:rsidRPr="003B3C70">
        <w:rPr>
          <w:rFonts w:asciiTheme="majorHAnsi" w:hAnsiTheme="majorHAnsi"/>
          <w:bCs/>
          <w:sz w:val="20"/>
          <w:szCs w:val="20"/>
        </w:rPr>
        <w:lastRenderedPageBreak/>
        <w:t>victims with the National Border Council and who was accused of having exercised such power arbitrarily, ii) Conducting an interview with Jorge Guerra Navarro, employee of the National Border Council, whose contract would have been terminated</w:t>
      </w:r>
      <w:r w:rsidR="005E6C10" w:rsidRPr="003B3C70">
        <w:rPr>
          <w:rFonts w:asciiTheme="majorHAnsi" w:hAnsiTheme="majorHAnsi"/>
          <w:bCs/>
          <w:sz w:val="20"/>
          <w:szCs w:val="20"/>
        </w:rPr>
        <w:t xml:space="preserve"> </w:t>
      </w:r>
      <w:r w:rsidRPr="003B3C70">
        <w:rPr>
          <w:rFonts w:asciiTheme="majorHAnsi" w:hAnsiTheme="majorHAnsi"/>
          <w:bCs/>
          <w:sz w:val="20"/>
          <w:szCs w:val="20"/>
        </w:rPr>
        <w:t xml:space="preserve">but was kept in his post for allegedly committing to withdraw his signature in the process of challenge; iii) call to testify people of the staff to the National Border Council, who could have testified about the facts of the case and the context in the National Border Council; and iv) requesting the payroll of the National Border Council for 2003 and the list of signatories of the petition for a </w:t>
      </w:r>
      <w:r w:rsidR="003B3C70">
        <w:rPr>
          <w:rFonts w:asciiTheme="majorHAnsi" w:hAnsiTheme="majorHAnsi"/>
          <w:bCs/>
          <w:sz w:val="20"/>
          <w:szCs w:val="20"/>
        </w:rPr>
        <w:t xml:space="preserve">presidential </w:t>
      </w:r>
      <w:r w:rsidRPr="003B3C70">
        <w:rPr>
          <w:rFonts w:asciiTheme="majorHAnsi" w:hAnsiTheme="majorHAnsi"/>
          <w:bCs/>
          <w:sz w:val="20"/>
          <w:szCs w:val="20"/>
        </w:rPr>
        <w:t>recall referendum.</w:t>
      </w:r>
    </w:p>
    <w:p w14:paraId="70E85B1B" w14:textId="77777777" w:rsidR="003B3C70" w:rsidRDefault="003B3C70" w:rsidP="003B3C70">
      <w:pPr>
        <w:pBdr>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rPr>
      </w:pPr>
    </w:p>
    <w:p w14:paraId="30E2D25F" w14:textId="75EC9A34" w:rsidR="003B3C70" w:rsidRDefault="002E607F" w:rsidP="003B3C70">
      <w:pPr>
        <w:numPr>
          <w:ilvl w:val="0"/>
          <w:numId w:val="58"/>
        </w:numPr>
        <w:pBdr>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Times New Roman" w:hAnsiTheme="majorHAnsi"/>
          <w:sz w:val="20"/>
          <w:szCs w:val="20"/>
        </w:rPr>
      </w:pPr>
      <w:r w:rsidRPr="003B3C70">
        <w:rPr>
          <w:rFonts w:asciiTheme="majorHAnsi" w:hAnsiTheme="majorHAnsi"/>
          <w:bCs/>
          <w:sz w:val="20"/>
          <w:szCs w:val="20"/>
        </w:rPr>
        <w:t xml:space="preserve">In this regard, the Commission considers that neither under the </w:t>
      </w:r>
      <w:r w:rsidRPr="003B3C70">
        <w:rPr>
          <w:rFonts w:asciiTheme="majorHAnsi" w:hAnsiTheme="majorHAnsi"/>
          <w:bCs/>
          <w:i/>
          <w:sz w:val="20"/>
          <w:szCs w:val="20"/>
        </w:rPr>
        <w:t>amparo</w:t>
      </w:r>
      <w:r w:rsidR="00B972EF">
        <w:rPr>
          <w:rFonts w:asciiTheme="majorHAnsi" w:hAnsiTheme="majorHAnsi"/>
          <w:bCs/>
          <w:sz w:val="20"/>
          <w:szCs w:val="20"/>
        </w:rPr>
        <w:t xml:space="preserve"> remedy, nor</w:t>
      </w:r>
      <w:r w:rsidRPr="003B3C70">
        <w:rPr>
          <w:rFonts w:asciiTheme="majorHAnsi" w:hAnsiTheme="majorHAnsi"/>
          <w:bCs/>
          <w:sz w:val="20"/>
          <w:szCs w:val="20"/>
        </w:rPr>
        <w:t xml:space="preserve"> under </w:t>
      </w:r>
      <w:r w:rsidR="00B972EF">
        <w:rPr>
          <w:rFonts w:asciiTheme="majorHAnsi" w:hAnsiTheme="majorHAnsi"/>
          <w:bCs/>
          <w:sz w:val="20"/>
          <w:szCs w:val="20"/>
        </w:rPr>
        <w:t xml:space="preserve">the </w:t>
      </w:r>
      <w:r w:rsidRPr="003B3C70">
        <w:rPr>
          <w:rFonts w:asciiTheme="majorHAnsi" w:hAnsiTheme="majorHAnsi"/>
          <w:bCs/>
          <w:sz w:val="20"/>
          <w:szCs w:val="20"/>
        </w:rPr>
        <w:t>criminal investigation, the judicial authorities examined properly the allegation of disguised discrimination, limiting</w:t>
      </w:r>
      <w:r w:rsidR="00B972EF">
        <w:rPr>
          <w:rFonts w:asciiTheme="majorHAnsi" w:hAnsiTheme="majorHAnsi"/>
          <w:bCs/>
          <w:sz w:val="20"/>
          <w:szCs w:val="20"/>
        </w:rPr>
        <w:t xml:space="preserve"> themselves</w:t>
      </w:r>
      <w:r w:rsidRPr="003B3C70">
        <w:rPr>
          <w:rFonts w:asciiTheme="majorHAnsi" w:hAnsiTheme="majorHAnsi"/>
          <w:bCs/>
          <w:sz w:val="20"/>
          <w:szCs w:val="20"/>
        </w:rPr>
        <w:t xml:space="preserve"> to verify the formal justification given by the authorities, placing all the burden of proof on the victims, for a fact that, by its very nature, can hardly have direct or "reliable" evidence, as indicated by the authority who heard the </w:t>
      </w:r>
      <w:r w:rsidRPr="003B3C70">
        <w:rPr>
          <w:rFonts w:asciiTheme="majorHAnsi" w:hAnsiTheme="majorHAnsi"/>
          <w:bCs/>
          <w:i/>
          <w:sz w:val="20"/>
          <w:szCs w:val="20"/>
        </w:rPr>
        <w:t xml:space="preserve">amparo </w:t>
      </w:r>
      <w:r w:rsidRPr="003B3C70">
        <w:rPr>
          <w:rFonts w:asciiTheme="majorHAnsi" w:hAnsiTheme="majorHAnsi"/>
          <w:bCs/>
          <w:sz w:val="20"/>
          <w:szCs w:val="20"/>
        </w:rPr>
        <w:t>claim.</w:t>
      </w:r>
      <w:r w:rsidR="00D6022F" w:rsidRPr="003B3C70">
        <w:rPr>
          <w:rFonts w:asciiTheme="majorHAnsi" w:hAnsiTheme="majorHAnsi"/>
          <w:bCs/>
          <w:sz w:val="20"/>
          <w:szCs w:val="20"/>
        </w:rPr>
        <w:t xml:space="preserve"> </w:t>
      </w:r>
    </w:p>
    <w:p w14:paraId="7B5990C4" w14:textId="77777777" w:rsidR="003B3C70" w:rsidRDefault="003B3C70" w:rsidP="003B3C70">
      <w:pPr>
        <w:pStyle w:val="ListParagraph"/>
        <w:rPr>
          <w:rFonts w:asciiTheme="majorHAnsi" w:hAnsiTheme="majorHAnsi"/>
          <w:sz w:val="20"/>
          <w:szCs w:val="20"/>
        </w:rPr>
      </w:pPr>
    </w:p>
    <w:p w14:paraId="45713CFC" w14:textId="3E282430" w:rsidR="003B3C70" w:rsidRDefault="002E607F" w:rsidP="003B3C70">
      <w:pPr>
        <w:numPr>
          <w:ilvl w:val="0"/>
          <w:numId w:val="58"/>
        </w:numPr>
        <w:pBdr>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Times New Roman" w:hAnsiTheme="majorHAnsi"/>
          <w:sz w:val="20"/>
          <w:szCs w:val="20"/>
        </w:rPr>
      </w:pPr>
      <w:r w:rsidRPr="003B3C70">
        <w:rPr>
          <w:rFonts w:asciiTheme="majorHAnsi" w:hAnsiTheme="majorHAnsi"/>
          <w:sz w:val="20"/>
          <w:szCs w:val="20"/>
        </w:rPr>
        <w:t>The Commission further notes that in the context of the criminal investigation, the victims filed an appeal against the decision of dismissal. By raising the appeal, they argued that the decision to dismiss erred in law in concluding ""even if it had been that way (if it had been confirmed that the reason for the termination of the contract was voting in the recall referendum) neither such allegations constitute offenses”</w:t>
      </w:r>
      <w:r w:rsidRPr="003B3C70">
        <w:rPr>
          <w:rFonts w:asciiTheme="majorHAnsi" w:hAnsiTheme="majorHAnsi"/>
          <w:sz w:val="20"/>
          <w:szCs w:val="20"/>
          <w:vertAlign w:val="superscript"/>
        </w:rPr>
        <w:t xml:space="preserve"> </w:t>
      </w:r>
      <w:r w:rsidRPr="003B3C70">
        <w:rPr>
          <w:rFonts w:asciiTheme="majorHAnsi" w:hAnsiTheme="majorHAnsi"/>
          <w:sz w:val="20"/>
          <w:szCs w:val="20"/>
        </w:rPr>
        <w:t xml:space="preserve">indicating that the facts do constitute offenses under articles 203, 166, 175, 254, 286 of the Criminal Code, 256 of the Law of Suffrage and Political Participation and 68 of the Anti-Corruption Act, also arguing that if wasn’t </w:t>
      </w:r>
      <w:r w:rsidR="00D13CA7">
        <w:rPr>
          <w:rFonts w:asciiTheme="majorHAnsi" w:hAnsiTheme="majorHAnsi"/>
          <w:sz w:val="20"/>
          <w:szCs w:val="20"/>
        </w:rPr>
        <w:t>proved</w:t>
      </w:r>
      <w:r w:rsidRPr="003B3C70">
        <w:rPr>
          <w:rFonts w:asciiTheme="majorHAnsi" w:hAnsiTheme="majorHAnsi"/>
          <w:sz w:val="20"/>
          <w:szCs w:val="20"/>
        </w:rPr>
        <w:t xml:space="preserve"> that the reason for the termination of </w:t>
      </w:r>
      <w:r w:rsidR="00D13CA7">
        <w:rPr>
          <w:rFonts w:asciiTheme="majorHAnsi" w:hAnsiTheme="majorHAnsi"/>
          <w:sz w:val="20"/>
          <w:szCs w:val="20"/>
        </w:rPr>
        <w:t xml:space="preserve">the </w:t>
      </w:r>
      <w:r w:rsidRPr="003B3C70">
        <w:rPr>
          <w:rFonts w:asciiTheme="majorHAnsi" w:hAnsiTheme="majorHAnsi"/>
          <w:sz w:val="20"/>
          <w:szCs w:val="20"/>
        </w:rPr>
        <w:t>contracts was the participation in the recall referendum, it was precisely because the prosecution did not develop a proper investigation.</w:t>
      </w:r>
    </w:p>
    <w:p w14:paraId="635428E2" w14:textId="77777777" w:rsidR="003B3C70" w:rsidRDefault="003B3C70" w:rsidP="003B3C70">
      <w:pPr>
        <w:pStyle w:val="ListParagraph"/>
        <w:rPr>
          <w:rFonts w:asciiTheme="majorHAnsi" w:hAnsiTheme="majorHAnsi"/>
          <w:sz w:val="20"/>
          <w:szCs w:val="20"/>
        </w:rPr>
      </w:pPr>
    </w:p>
    <w:p w14:paraId="2B966279" w14:textId="77777777" w:rsidR="003B3C70" w:rsidRDefault="00FD0371" w:rsidP="003B3C70">
      <w:pPr>
        <w:numPr>
          <w:ilvl w:val="0"/>
          <w:numId w:val="58"/>
        </w:numPr>
        <w:pBdr>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Times New Roman" w:hAnsiTheme="majorHAnsi"/>
          <w:sz w:val="20"/>
          <w:szCs w:val="20"/>
        </w:rPr>
      </w:pPr>
      <w:r w:rsidRPr="003B3C70">
        <w:rPr>
          <w:rFonts w:asciiTheme="majorHAnsi" w:hAnsiTheme="majorHAnsi"/>
          <w:sz w:val="20"/>
          <w:szCs w:val="20"/>
        </w:rPr>
        <w:t>The Commission emphasizes that in the decision to deny the appeal, the Court of Appeals did not address the allegations of the alleged victims and merely stated that "it is impossible to demand of the Public Ministry (owner criminal action by excellence), to present a different final action other than the one already exercised (dismissal of this case) (...)“</w:t>
      </w:r>
      <w:r w:rsidRPr="00326F31">
        <w:rPr>
          <w:rStyle w:val="FootnoteReference"/>
          <w:rFonts w:asciiTheme="majorHAnsi" w:hAnsiTheme="majorHAnsi"/>
          <w:sz w:val="20"/>
          <w:szCs w:val="20"/>
          <w:lang w:val="es-ES"/>
        </w:rPr>
        <w:footnoteReference w:id="185"/>
      </w:r>
      <w:r w:rsidRPr="003B3C70">
        <w:rPr>
          <w:rFonts w:asciiTheme="majorHAnsi" w:hAnsiTheme="majorHAnsi"/>
          <w:sz w:val="20"/>
          <w:szCs w:val="20"/>
        </w:rPr>
        <w:t>.The Commission notes that Article 447 of the Criminal Procedure Code provides the possibility of challenging decisions that "end the process or make it impossible to continue"</w:t>
      </w:r>
      <w:r w:rsidRPr="00326F31">
        <w:rPr>
          <w:rStyle w:val="FootnoteReference"/>
          <w:rFonts w:asciiTheme="majorHAnsi" w:hAnsiTheme="majorHAnsi"/>
          <w:sz w:val="20"/>
          <w:szCs w:val="20"/>
          <w:lang w:val="es-VE"/>
        </w:rPr>
        <w:footnoteReference w:id="186"/>
      </w:r>
      <w:r w:rsidRPr="003B3C70">
        <w:rPr>
          <w:rFonts w:asciiTheme="majorHAnsi" w:hAnsiTheme="majorHAnsi"/>
          <w:sz w:val="20"/>
          <w:szCs w:val="20"/>
        </w:rPr>
        <w:t>.</w:t>
      </w:r>
    </w:p>
    <w:p w14:paraId="68BD2B94" w14:textId="77777777" w:rsidR="003B3C70" w:rsidRDefault="003B3C70" w:rsidP="003B3C70">
      <w:pPr>
        <w:pStyle w:val="ListParagraph"/>
        <w:rPr>
          <w:rFonts w:asciiTheme="majorHAnsi" w:hAnsiTheme="majorHAnsi"/>
          <w:sz w:val="20"/>
          <w:szCs w:val="20"/>
        </w:rPr>
      </w:pPr>
    </w:p>
    <w:p w14:paraId="1AA7CE60" w14:textId="77777777" w:rsidR="003B3C70" w:rsidRDefault="00215CB1" w:rsidP="003B3C70">
      <w:pPr>
        <w:numPr>
          <w:ilvl w:val="0"/>
          <w:numId w:val="58"/>
        </w:numPr>
        <w:pBdr>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Times New Roman" w:hAnsiTheme="majorHAnsi"/>
          <w:sz w:val="20"/>
          <w:szCs w:val="20"/>
        </w:rPr>
      </w:pPr>
      <w:r w:rsidRPr="003B3C70">
        <w:rPr>
          <w:rFonts w:asciiTheme="majorHAnsi" w:hAnsiTheme="majorHAnsi"/>
          <w:sz w:val="20"/>
          <w:szCs w:val="20"/>
        </w:rPr>
        <w:t xml:space="preserve">In this respect, the Commission recalls that Article 25.1 of the American Convention establishes </w:t>
      </w:r>
      <w:r w:rsidR="00B000E6" w:rsidRPr="003B3C70">
        <w:rPr>
          <w:rFonts w:asciiTheme="majorHAnsi" w:hAnsiTheme="majorHAnsi"/>
          <w:sz w:val="20"/>
          <w:szCs w:val="20"/>
        </w:rPr>
        <w:t>the obligation of the States Parties to ensure to all persons subject to their jurisdiction an effective judicial remedy</w:t>
      </w:r>
      <w:r w:rsidR="00B000E6" w:rsidRPr="00326F31">
        <w:rPr>
          <w:rStyle w:val="FootnoteReference"/>
          <w:rFonts w:asciiTheme="majorHAnsi" w:hAnsiTheme="majorHAnsi"/>
          <w:sz w:val="20"/>
          <w:szCs w:val="20"/>
          <w:lang w:val="es-VE"/>
        </w:rPr>
        <w:footnoteReference w:id="187"/>
      </w:r>
      <w:r w:rsidR="00B000E6" w:rsidRPr="003B3C70">
        <w:rPr>
          <w:rFonts w:asciiTheme="majorHAnsi" w:hAnsiTheme="majorHAnsi"/>
          <w:sz w:val="20"/>
          <w:szCs w:val="20"/>
        </w:rPr>
        <w:t xml:space="preserve"> which supposes that, in addition to the formal existence of remedies, these obtain results or responses to the violations of the rights established in the Convention, the Constitution, or by law</w:t>
      </w:r>
      <w:r w:rsidR="00B000E6" w:rsidRPr="00326F31">
        <w:rPr>
          <w:rStyle w:val="FootnoteReference"/>
          <w:rFonts w:asciiTheme="majorHAnsi" w:hAnsiTheme="majorHAnsi"/>
          <w:sz w:val="20"/>
          <w:szCs w:val="20"/>
          <w:lang w:val="es-VE"/>
        </w:rPr>
        <w:footnoteReference w:id="188"/>
      </w:r>
      <w:r w:rsidR="00B000E6" w:rsidRPr="003B3C70">
        <w:rPr>
          <w:rFonts w:asciiTheme="majorHAnsi" w:hAnsiTheme="majorHAnsi"/>
          <w:sz w:val="20"/>
          <w:szCs w:val="20"/>
        </w:rPr>
        <w:t>.</w:t>
      </w:r>
    </w:p>
    <w:p w14:paraId="7E3111AA" w14:textId="77777777" w:rsidR="003B3C70" w:rsidRDefault="003B3C70" w:rsidP="003B3C70">
      <w:pPr>
        <w:pStyle w:val="ListParagraph"/>
        <w:rPr>
          <w:rFonts w:asciiTheme="majorHAnsi" w:hAnsiTheme="majorHAnsi"/>
          <w:sz w:val="20"/>
          <w:szCs w:val="20"/>
        </w:rPr>
      </w:pPr>
    </w:p>
    <w:p w14:paraId="1C0F364E" w14:textId="77777777" w:rsidR="003B3C70" w:rsidRDefault="00B000E6" w:rsidP="003B3C70">
      <w:pPr>
        <w:numPr>
          <w:ilvl w:val="0"/>
          <w:numId w:val="58"/>
        </w:numPr>
        <w:pBdr>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Times New Roman" w:hAnsiTheme="majorHAnsi"/>
          <w:sz w:val="20"/>
          <w:szCs w:val="20"/>
        </w:rPr>
      </w:pPr>
      <w:r w:rsidRPr="003B3C70">
        <w:rPr>
          <w:rFonts w:asciiTheme="majorHAnsi" w:hAnsiTheme="majorHAnsi"/>
          <w:sz w:val="20"/>
          <w:szCs w:val="20"/>
        </w:rPr>
        <w:t xml:space="preserve">The Commission considers </w:t>
      </w:r>
      <w:proofErr w:type="gramStart"/>
      <w:r w:rsidRPr="003B3C70">
        <w:rPr>
          <w:rFonts w:asciiTheme="majorHAnsi" w:hAnsiTheme="majorHAnsi"/>
          <w:sz w:val="20"/>
          <w:szCs w:val="20"/>
        </w:rPr>
        <w:t>that the appeal in this case, by not ruling nor containing adequate motivation for understanding that the arguments of the victims were duly considered, as well as the reasons of their irrelevance, did not constitute an</w:t>
      </w:r>
      <w:r w:rsidR="008E0794" w:rsidRPr="003B3C70">
        <w:rPr>
          <w:rFonts w:asciiTheme="majorHAnsi" w:hAnsiTheme="majorHAnsi"/>
          <w:sz w:val="20"/>
          <w:szCs w:val="20"/>
        </w:rPr>
        <w:t xml:space="preserve"> effective remedy to examine </w:t>
      </w:r>
      <w:r w:rsidRPr="003B3C70">
        <w:rPr>
          <w:rFonts w:asciiTheme="majorHAnsi" w:hAnsiTheme="majorHAnsi"/>
          <w:sz w:val="20"/>
          <w:szCs w:val="20"/>
        </w:rPr>
        <w:t>the decision to dismiss</w:t>
      </w:r>
      <w:proofErr w:type="gramEnd"/>
      <w:r w:rsidR="008E0794" w:rsidRPr="003B3C70">
        <w:rPr>
          <w:rFonts w:asciiTheme="majorHAnsi" w:hAnsiTheme="majorHAnsi"/>
          <w:sz w:val="20"/>
          <w:szCs w:val="20"/>
        </w:rPr>
        <w:t>.</w:t>
      </w:r>
    </w:p>
    <w:p w14:paraId="2004C92A" w14:textId="77777777" w:rsidR="003B3C70" w:rsidRDefault="003B3C70" w:rsidP="003B3C70">
      <w:pPr>
        <w:pStyle w:val="ListParagraph"/>
        <w:rPr>
          <w:rFonts w:asciiTheme="majorHAnsi" w:hAnsiTheme="majorHAnsi"/>
          <w:sz w:val="20"/>
          <w:szCs w:val="20"/>
        </w:rPr>
      </w:pPr>
    </w:p>
    <w:p w14:paraId="5490EEBD" w14:textId="00078B6F" w:rsidR="00D6022F" w:rsidRPr="00D87B8E" w:rsidRDefault="00B000E6" w:rsidP="003B3C70">
      <w:pPr>
        <w:numPr>
          <w:ilvl w:val="0"/>
          <w:numId w:val="58"/>
        </w:numPr>
        <w:pBdr>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Times New Roman" w:hAnsiTheme="majorHAnsi"/>
          <w:sz w:val="20"/>
          <w:szCs w:val="20"/>
        </w:rPr>
      </w:pPr>
      <w:r w:rsidRPr="003B3C70">
        <w:rPr>
          <w:rFonts w:asciiTheme="majorHAnsi" w:hAnsiTheme="majorHAnsi"/>
          <w:sz w:val="20"/>
          <w:szCs w:val="20"/>
        </w:rPr>
        <w:t xml:space="preserve">In light of all the above considerations the Commission concludes that neither the </w:t>
      </w:r>
      <w:r w:rsidRPr="003B3C70">
        <w:rPr>
          <w:rFonts w:asciiTheme="majorHAnsi" w:hAnsiTheme="majorHAnsi"/>
          <w:i/>
          <w:sz w:val="20"/>
          <w:szCs w:val="20"/>
        </w:rPr>
        <w:t>amparo</w:t>
      </w:r>
      <w:r w:rsidRPr="003B3C70">
        <w:rPr>
          <w:rFonts w:asciiTheme="majorHAnsi" w:hAnsiTheme="majorHAnsi"/>
          <w:sz w:val="20"/>
          <w:szCs w:val="20"/>
        </w:rPr>
        <w:t xml:space="preserve"> remedy, nor the criminal investigation, including the appeal against the dismissal, constituted effective remedies to deal with </w:t>
      </w:r>
      <w:r w:rsidR="00D13CA7">
        <w:rPr>
          <w:rFonts w:asciiTheme="majorHAnsi" w:hAnsiTheme="majorHAnsi"/>
          <w:sz w:val="20"/>
          <w:szCs w:val="20"/>
        </w:rPr>
        <w:t xml:space="preserve">the </w:t>
      </w:r>
      <w:r w:rsidRPr="003B3C70">
        <w:rPr>
          <w:rFonts w:asciiTheme="majorHAnsi" w:hAnsiTheme="majorHAnsi"/>
          <w:sz w:val="20"/>
          <w:szCs w:val="20"/>
        </w:rPr>
        <w:t xml:space="preserve">alleged misuse of power materialized in covert discrimination. Consequently, the Commission concludes that the State of Venezuela is responsible for the violation of the rights to judicial guarantees and judicial protection established in Articles 8.1 and 25.1 of the American Convention in relation </w:t>
      </w:r>
      <w:r w:rsidRPr="003B3C70">
        <w:rPr>
          <w:rFonts w:asciiTheme="majorHAnsi" w:hAnsiTheme="majorHAnsi"/>
          <w:sz w:val="20"/>
          <w:szCs w:val="20"/>
        </w:rPr>
        <w:lastRenderedPageBreak/>
        <w:t>to the obligations under Article 1.1 thereof to the detriment of Rocío San Miguel Sosa, Magally Chang Girón, and Thais Peña Coromoto.</w:t>
      </w:r>
      <w:r w:rsidR="00D6022F" w:rsidRPr="003B3C70">
        <w:rPr>
          <w:rFonts w:asciiTheme="majorHAnsi" w:hAnsiTheme="majorHAnsi"/>
          <w:sz w:val="20"/>
          <w:szCs w:val="20"/>
        </w:rPr>
        <w:t xml:space="preserve"> </w:t>
      </w:r>
    </w:p>
    <w:p w14:paraId="57C458D1" w14:textId="77777777" w:rsidR="00D87B8E" w:rsidRDefault="00D87B8E" w:rsidP="00D87B8E">
      <w:pPr>
        <w:pStyle w:val="ListParagraph"/>
        <w:rPr>
          <w:rFonts w:asciiTheme="majorHAnsi" w:eastAsia="Times New Roman" w:hAnsiTheme="majorHAnsi"/>
          <w:sz w:val="20"/>
          <w:szCs w:val="20"/>
        </w:rPr>
      </w:pPr>
    </w:p>
    <w:p w14:paraId="6F6383CE" w14:textId="77777777" w:rsidR="00D87B8E" w:rsidRDefault="00D87B8E" w:rsidP="00D87B8E">
      <w:pPr>
        <w:pBdr>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rPr>
      </w:pPr>
    </w:p>
    <w:p w14:paraId="229021D2" w14:textId="77777777" w:rsidR="00D87B8E" w:rsidRPr="003B3C70" w:rsidRDefault="00D87B8E" w:rsidP="00D87B8E">
      <w:pPr>
        <w:pBdr>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rPr>
      </w:pPr>
    </w:p>
    <w:p w14:paraId="5723A798" w14:textId="77777777" w:rsidR="00D6022F" w:rsidRPr="00326F31" w:rsidRDefault="00D6022F" w:rsidP="00326F31">
      <w:pPr>
        <w:jc w:val="both"/>
        <w:rPr>
          <w:rFonts w:asciiTheme="majorHAnsi" w:eastAsia="Times New Roman" w:hAnsiTheme="majorHAnsi"/>
          <w:b/>
          <w:sz w:val="20"/>
          <w:szCs w:val="20"/>
        </w:rPr>
      </w:pPr>
    </w:p>
    <w:p w14:paraId="0DE15162" w14:textId="1F325C92" w:rsidR="00D6022F" w:rsidRPr="00326F31" w:rsidRDefault="0075543C" w:rsidP="00D61FF7">
      <w:pPr>
        <w:pStyle w:val="ListParagraph"/>
        <w:numPr>
          <w:ilvl w:val="0"/>
          <w:numId w:val="65"/>
        </w:numPr>
        <w:ind w:left="1440" w:hanging="720"/>
        <w:jc w:val="both"/>
        <w:rPr>
          <w:rFonts w:asciiTheme="majorHAnsi" w:eastAsia="Times New Roman" w:hAnsiTheme="majorHAnsi"/>
          <w:b/>
          <w:sz w:val="20"/>
          <w:szCs w:val="20"/>
        </w:rPr>
      </w:pPr>
      <w:r w:rsidRPr="00326F31">
        <w:rPr>
          <w:rFonts w:asciiTheme="majorHAnsi" w:eastAsia="Times New Roman" w:hAnsiTheme="majorHAnsi"/>
          <w:b/>
          <w:sz w:val="20"/>
          <w:szCs w:val="20"/>
        </w:rPr>
        <w:t xml:space="preserve">Reasonable time analysis of the </w:t>
      </w:r>
      <w:r w:rsidRPr="00326F31">
        <w:rPr>
          <w:rFonts w:asciiTheme="majorHAnsi" w:eastAsia="Times New Roman" w:hAnsiTheme="majorHAnsi"/>
          <w:b/>
          <w:i/>
          <w:sz w:val="20"/>
          <w:szCs w:val="20"/>
        </w:rPr>
        <w:t>amparo</w:t>
      </w:r>
      <w:r w:rsidRPr="00326F31">
        <w:rPr>
          <w:rFonts w:asciiTheme="majorHAnsi" w:eastAsia="Times New Roman" w:hAnsiTheme="majorHAnsi"/>
          <w:b/>
          <w:sz w:val="20"/>
          <w:szCs w:val="20"/>
        </w:rPr>
        <w:t xml:space="preserve"> remedy</w:t>
      </w:r>
    </w:p>
    <w:p w14:paraId="7838882C" w14:textId="77777777" w:rsidR="000603D5" w:rsidRPr="00C9052E" w:rsidRDefault="000603D5" w:rsidP="00326F31">
      <w:pPr>
        <w:pBdr>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bCs/>
          <w:sz w:val="20"/>
          <w:szCs w:val="20"/>
        </w:rPr>
      </w:pPr>
    </w:p>
    <w:p w14:paraId="33D53709" w14:textId="1DF39784" w:rsidR="00005228" w:rsidRDefault="000603D5" w:rsidP="00005228">
      <w:pPr>
        <w:numPr>
          <w:ilvl w:val="0"/>
          <w:numId w:val="58"/>
        </w:numPr>
        <w:pBdr>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hAnsiTheme="majorHAnsi"/>
          <w:sz w:val="20"/>
          <w:szCs w:val="20"/>
        </w:rPr>
      </w:pPr>
      <w:r w:rsidRPr="00005228">
        <w:rPr>
          <w:rFonts w:asciiTheme="majorHAnsi" w:hAnsiTheme="majorHAnsi"/>
          <w:sz w:val="20"/>
          <w:szCs w:val="20"/>
        </w:rPr>
        <w:t>T</w:t>
      </w:r>
      <w:r w:rsidR="00D13CA7">
        <w:rPr>
          <w:rFonts w:asciiTheme="majorHAnsi" w:hAnsiTheme="majorHAnsi"/>
          <w:sz w:val="20"/>
          <w:szCs w:val="20"/>
        </w:rPr>
        <w:t>he Commission will now consider</w:t>
      </w:r>
      <w:r w:rsidRPr="00005228">
        <w:rPr>
          <w:rFonts w:asciiTheme="majorHAnsi" w:hAnsiTheme="majorHAnsi"/>
          <w:sz w:val="20"/>
          <w:szCs w:val="20"/>
        </w:rPr>
        <w:t xml:space="preserve"> whether in the processing of the amparo remedy the State respected the guarantee of reasonable time. The amparo was filed on July 22, 2004 and finally solved on September 9, 2005, that is, 14 months later.</w:t>
      </w:r>
    </w:p>
    <w:p w14:paraId="2BD8077F" w14:textId="77777777" w:rsidR="00005228" w:rsidRDefault="00005228" w:rsidP="00005228">
      <w:pPr>
        <w:pBdr>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14:paraId="027F8567" w14:textId="77777777" w:rsidR="00005228" w:rsidRDefault="000603D5" w:rsidP="00005228">
      <w:pPr>
        <w:numPr>
          <w:ilvl w:val="0"/>
          <w:numId w:val="58"/>
        </w:numPr>
        <w:pBdr>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hAnsiTheme="majorHAnsi"/>
          <w:sz w:val="20"/>
          <w:szCs w:val="20"/>
        </w:rPr>
      </w:pPr>
      <w:r w:rsidRPr="00005228">
        <w:rPr>
          <w:rFonts w:asciiTheme="majorHAnsi" w:hAnsiTheme="majorHAnsi"/>
          <w:sz w:val="20"/>
          <w:szCs w:val="20"/>
        </w:rPr>
        <w:t>The Inter-American Court jurisprudence has found that it is necessary to take into account four elements to determine the fairness of such term: a) the complexity of the matter, b) the procedural activity of the interested party, c) the conduct of judicial authorities, and d) the impairment to the legal situation of the person involved in the proceedings</w:t>
      </w:r>
      <w:r w:rsidRPr="00326F31">
        <w:rPr>
          <w:rStyle w:val="FootnoteReference"/>
          <w:rFonts w:asciiTheme="majorHAnsi" w:hAnsiTheme="majorHAnsi"/>
          <w:bCs/>
          <w:sz w:val="20"/>
          <w:szCs w:val="20"/>
          <w:lang w:val="es-EC"/>
        </w:rPr>
        <w:footnoteReference w:id="189"/>
      </w:r>
      <w:r w:rsidRPr="00005228">
        <w:rPr>
          <w:rFonts w:asciiTheme="majorHAnsi" w:hAnsiTheme="majorHAnsi"/>
          <w:bCs/>
          <w:sz w:val="20"/>
          <w:szCs w:val="20"/>
        </w:rPr>
        <w:t>.</w:t>
      </w:r>
    </w:p>
    <w:p w14:paraId="7A420D27" w14:textId="77777777" w:rsidR="00005228" w:rsidRDefault="00005228" w:rsidP="00005228">
      <w:pPr>
        <w:pStyle w:val="ListParagraph"/>
        <w:rPr>
          <w:rFonts w:asciiTheme="majorHAnsi" w:hAnsiTheme="majorHAnsi"/>
          <w:sz w:val="20"/>
          <w:szCs w:val="20"/>
        </w:rPr>
      </w:pPr>
    </w:p>
    <w:p w14:paraId="587AEF76" w14:textId="4F0A878D" w:rsidR="00005228" w:rsidRDefault="000603D5" w:rsidP="00005228">
      <w:pPr>
        <w:numPr>
          <w:ilvl w:val="0"/>
          <w:numId w:val="58"/>
        </w:numPr>
        <w:pBdr>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hAnsiTheme="majorHAnsi"/>
          <w:sz w:val="20"/>
          <w:szCs w:val="20"/>
        </w:rPr>
      </w:pPr>
      <w:r w:rsidRPr="00005228">
        <w:rPr>
          <w:rFonts w:asciiTheme="majorHAnsi" w:hAnsiTheme="majorHAnsi"/>
          <w:sz w:val="20"/>
          <w:szCs w:val="20"/>
        </w:rPr>
        <w:t xml:space="preserve">With regard to the complexity of the matter, the Commission notes that the </w:t>
      </w:r>
      <w:r w:rsidRPr="00005228">
        <w:rPr>
          <w:rFonts w:asciiTheme="majorHAnsi" w:hAnsiTheme="majorHAnsi"/>
          <w:i/>
          <w:sz w:val="20"/>
          <w:szCs w:val="20"/>
        </w:rPr>
        <w:t xml:space="preserve">amparo </w:t>
      </w:r>
      <w:r w:rsidRPr="00005228">
        <w:rPr>
          <w:rFonts w:asciiTheme="majorHAnsi" w:hAnsiTheme="majorHAnsi"/>
          <w:sz w:val="20"/>
          <w:szCs w:val="20"/>
        </w:rPr>
        <w:t xml:space="preserve">remedy filed against the National Border Council seek for the Court to declare that the administrative act of dismissal was a violation of the right to equality before the law, to the guarantee of non-discrimination, and of labor rights and job </w:t>
      </w:r>
      <w:r w:rsidR="00D13CA7">
        <w:rPr>
          <w:rFonts w:asciiTheme="majorHAnsi" w:hAnsiTheme="majorHAnsi"/>
          <w:sz w:val="20"/>
          <w:szCs w:val="20"/>
        </w:rPr>
        <w:t>stability</w:t>
      </w:r>
      <w:r w:rsidRPr="00005228">
        <w:rPr>
          <w:rFonts w:asciiTheme="majorHAnsi" w:hAnsiTheme="majorHAnsi"/>
          <w:sz w:val="20"/>
          <w:szCs w:val="20"/>
        </w:rPr>
        <w:t xml:space="preserve">, as well as the restitution of the alleged victims to their jobs. Although, as noted above, cases of misuse of power or covert discrimination may take some complexity, especially in terms of evidence, the Commission notes that the judicial proceedings of </w:t>
      </w:r>
      <w:r w:rsidRPr="00005228">
        <w:rPr>
          <w:rFonts w:asciiTheme="majorHAnsi" w:hAnsiTheme="majorHAnsi"/>
          <w:i/>
          <w:sz w:val="20"/>
          <w:szCs w:val="20"/>
        </w:rPr>
        <w:t>amparo</w:t>
      </w:r>
      <w:r w:rsidRPr="00005228">
        <w:rPr>
          <w:rFonts w:asciiTheme="majorHAnsi" w:hAnsiTheme="majorHAnsi"/>
          <w:sz w:val="20"/>
          <w:szCs w:val="20"/>
        </w:rPr>
        <w:t xml:space="preserve"> filed by the victims was very specific, since it consisted of the </w:t>
      </w:r>
      <w:r w:rsidRPr="00005228">
        <w:rPr>
          <w:rFonts w:asciiTheme="majorHAnsi" w:hAnsiTheme="majorHAnsi"/>
          <w:i/>
          <w:sz w:val="20"/>
          <w:szCs w:val="20"/>
        </w:rPr>
        <w:t>amparo</w:t>
      </w:r>
      <w:r w:rsidRPr="00005228">
        <w:rPr>
          <w:rFonts w:asciiTheme="majorHAnsi" w:hAnsiTheme="majorHAnsi"/>
          <w:sz w:val="20"/>
          <w:szCs w:val="20"/>
        </w:rPr>
        <w:t xml:space="preserve"> presentation accompanied by the supporting documents. The Commission has no information on </w:t>
      </w:r>
      <w:r w:rsidR="00005228">
        <w:rPr>
          <w:rFonts w:asciiTheme="majorHAnsi" w:hAnsiTheme="majorHAnsi"/>
          <w:sz w:val="20"/>
          <w:szCs w:val="20"/>
        </w:rPr>
        <w:t xml:space="preserve">a relevant evidentiary </w:t>
      </w:r>
      <w:r w:rsidR="00005228" w:rsidRPr="00005228">
        <w:rPr>
          <w:rFonts w:asciiTheme="majorHAnsi" w:hAnsiTheme="majorHAnsi"/>
          <w:sz w:val="20"/>
          <w:szCs w:val="20"/>
        </w:rPr>
        <w:t>display</w:t>
      </w:r>
      <w:r w:rsidRPr="00005228">
        <w:rPr>
          <w:rFonts w:asciiTheme="majorHAnsi" w:hAnsiTheme="majorHAnsi"/>
          <w:sz w:val="20"/>
          <w:szCs w:val="20"/>
        </w:rPr>
        <w:t xml:space="preserve"> that could justify the delay of 14 months to rule on an appeal. Consequently, the Commission considers that the State did not prove that the delay was attributable to the complexity of the case.</w:t>
      </w:r>
    </w:p>
    <w:p w14:paraId="0B05EDCE" w14:textId="77777777" w:rsidR="00005228" w:rsidRDefault="00005228" w:rsidP="00005228">
      <w:pPr>
        <w:pStyle w:val="ListParagraph"/>
        <w:rPr>
          <w:rFonts w:asciiTheme="majorHAnsi" w:hAnsiTheme="majorHAnsi"/>
          <w:sz w:val="20"/>
          <w:szCs w:val="20"/>
        </w:rPr>
      </w:pPr>
    </w:p>
    <w:p w14:paraId="7384E9A2" w14:textId="77777777" w:rsidR="00005228" w:rsidRDefault="005C4F98" w:rsidP="00005228">
      <w:pPr>
        <w:numPr>
          <w:ilvl w:val="0"/>
          <w:numId w:val="58"/>
        </w:numPr>
        <w:pBdr>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hAnsiTheme="majorHAnsi"/>
          <w:sz w:val="20"/>
          <w:szCs w:val="20"/>
        </w:rPr>
      </w:pPr>
      <w:r w:rsidRPr="00005228">
        <w:rPr>
          <w:rFonts w:asciiTheme="majorHAnsi" w:hAnsiTheme="majorHAnsi"/>
          <w:sz w:val="20"/>
          <w:szCs w:val="20"/>
        </w:rPr>
        <w:t xml:space="preserve">Regarding the procedural activity of the interested party, the petitioners filed the </w:t>
      </w:r>
      <w:r w:rsidRPr="00005228">
        <w:rPr>
          <w:rFonts w:asciiTheme="majorHAnsi" w:hAnsiTheme="majorHAnsi"/>
          <w:i/>
          <w:sz w:val="20"/>
          <w:szCs w:val="20"/>
        </w:rPr>
        <w:t>amparo</w:t>
      </w:r>
      <w:r w:rsidRPr="00005228">
        <w:rPr>
          <w:rFonts w:asciiTheme="majorHAnsi" w:hAnsiTheme="majorHAnsi"/>
          <w:sz w:val="20"/>
          <w:szCs w:val="20"/>
        </w:rPr>
        <w:t xml:space="preserve"> on 22 July 2004. On August 4, 2004 the Fourth Court of First Instance declared itself incompetent to hear the action and referred the </w:t>
      </w:r>
      <w:r w:rsidRPr="00005228">
        <w:rPr>
          <w:rFonts w:asciiTheme="majorHAnsi" w:hAnsiTheme="majorHAnsi"/>
          <w:i/>
          <w:sz w:val="20"/>
          <w:szCs w:val="20"/>
        </w:rPr>
        <w:t xml:space="preserve">amparo </w:t>
      </w:r>
      <w:r w:rsidRPr="00005228">
        <w:rPr>
          <w:rFonts w:asciiTheme="majorHAnsi" w:hAnsiTheme="majorHAnsi"/>
          <w:sz w:val="20"/>
          <w:szCs w:val="20"/>
        </w:rPr>
        <w:t xml:space="preserve">case to the Constitutional Chamber of the Supreme Court. In at least three occasions the victims petitioned the Constitutional Court a ruling on the challenges to the jurisdiction matter. On May 26, 2005 the Constitutional Chamber of the Supreme Court issued a ruling stating that it does not accept the challenges to the jurisdiction. Under this, on June 17, 2005 the Fourth Court of First Instance admitted the </w:t>
      </w:r>
      <w:r w:rsidRPr="00005228">
        <w:rPr>
          <w:rFonts w:asciiTheme="majorHAnsi" w:hAnsiTheme="majorHAnsi"/>
          <w:i/>
          <w:sz w:val="20"/>
          <w:szCs w:val="20"/>
        </w:rPr>
        <w:t>amparo</w:t>
      </w:r>
      <w:r w:rsidRPr="00005228">
        <w:rPr>
          <w:rFonts w:asciiTheme="majorHAnsi" w:hAnsiTheme="majorHAnsi"/>
          <w:sz w:val="20"/>
          <w:szCs w:val="20"/>
        </w:rPr>
        <w:t xml:space="preserve">. On July 20, 2005 the alleged victims appeared to a constitutional hearing before the Fourth Court of First Instance of Labor Matters, and the end of the hearing the Fourth Court of First Instance dismissed the </w:t>
      </w:r>
      <w:r w:rsidRPr="00005228">
        <w:rPr>
          <w:rFonts w:asciiTheme="majorHAnsi" w:hAnsiTheme="majorHAnsi"/>
          <w:i/>
          <w:sz w:val="20"/>
          <w:szCs w:val="20"/>
        </w:rPr>
        <w:t>amparo</w:t>
      </w:r>
      <w:r w:rsidRPr="00005228">
        <w:rPr>
          <w:rFonts w:asciiTheme="majorHAnsi" w:hAnsiTheme="majorHAnsi"/>
          <w:sz w:val="20"/>
          <w:szCs w:val="20"/>
        </w:rPr>
        <w:t xml:space="preserve">, and indicated that it would issue a decision stating the matters of fact and law of the decision, within five working days of the hearing. On July 27, 2005 the Fourth Court issued the judgment on the merits, dismissing the </w:t>
      </w:r>
      <w:r w:rsidRPr="00005228">
        <w:rPr>
          <w:rFonts w:asciiTheme="majorHAnsi" w:hAnsiTheme="majorHAnsi"/>
          <w:i/>
          <w:sz w:val="20"/>
          <w:szCs w:val="20"/>
        </w:rPr>
        <w:t>amparo</w:t>
      </w:r>
      <w:r w:rsidRPr="00005228">
        <w:rPr>
          <w:rFonts w:asciiTheme="majorHAnsi" w:hAnsiTheme="majorHAnsi"/>
          <w:sz w:val="20"/>
          <w:szCs w:val="20"/>
        </w:rPr>
        <w:t xml:space="preserve"> claim. Under this, on July 29, 2005 the alleged victims appealed. On September 9, 2005 the Third Superior Court for Labor of the Labor Judicial Circuit dismissed the appeal. In this regard, the Commission notes that the alleged victims were actively involved in the process without any elements that might attribute the delay in the decision of </w:t>
      </w:r>
      <w:proofErr w:type="spellStart"/>
      <w:r w:rsidRPr="00005228">
        <w:rPr>
          <w:rFonts w:asciiTheme="majorHAnsi" w:hAnsiTheme="majorHAnsi"/>
          <w:i/>
          <w:sz w:val="20"/>
          <w:szCs w:val="20"/>
        </w:rPr>
        <w:t>amparo</w:t>
      </w:r>
      <w:proofErr w:type="spellEnd"/>
      <w:r w:rsidRPr="00005228">
        <w:rPr>
          <w:rFonts w:asciiTheme="majorHAnsi" w:hAnsiTheme="majorHAnsi"/>
          <w:sz w:val="20"/>
          <w:szCs w:val="20"/>
        </w:rPr>
        <w:t>.</w:t>
      </w:r>
    </w:p>
    <w:p w14:paraId="27FCE402" w14:textId="77777777" w:rsidR="00005228" w:rsidRDefault="00005228" w:rsidP="00005228">
      <w:pPr>
        <w:pBdr>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14:paraId="7362CFEB" w14:textId="77777777" w:rsidR="00005228" w:rsidRDefault="005C4F98" w:rsidP="00005228">
      <w:pPr>
        <w:numPr>
          <w:ilvl w:val="0"/>
          <w:numId w:val="58"/>
        </w:numPr>
        <w:pBdr>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hAnsiTheme="majorHAnsi"/>
          <w:sz w:val="20"/>
          <w:szCs w:val="20"/>
        </w:rPr>
      </w:pPr>
      <w:r w:rsidRPr="00005228">
        <w:rPr>
          <w:rFonts w:asciiTheme="majorHAnsi" w:hAnsiTheme="majorHAnsi"/>
          <w:sz w:val="20"/>
          <w:szCs w:val="20"/>
        </w:rPr>
        <w:t>As for the conduct of the judicial authorities, the Commission notes that Article 26 of the Constitution provides the right to obtain a corresponding prompt decision from the organs of justice</w:t>
      </w:r>
      <w:r w:rsidRPr="00326F31">
        <w:rPr>
          <w:rStyle w:val="FootnoteReference"/>
          <w:rFonts w:asciiTheme="majorHAnsi" w:hAnsiTheme="majorHAnsi"/>
          <w:sz w:val="20"/>
          <w:szCs w:val="20"/>
          <w:lang w:val="es-VE"/>
        </w:rPr>
        <w:footnoteReference w:id="190"/>
      </w:r>
      <w:r w:rsidRPr="00005228">
        <w:rPr>
          <w:rFonts w:asciiTheme="majorHAnsi" w:hAnsiTheme="majorHAnsi"/>
          <w:sz w:val="20"/>
          <w:szCs w:val="20"/>
        </w:rPr>
        <w:t xml:space="preserve">. Venezuelan law, specifically the Organic Law on Protection of Rights and Constitutional Guarantees of 1988, in force at the time, provided for the </w:t>
      </w:r>
      <w:r w:rsidRPr="00005228">
        <w:rPr>
          <w:rFonts w:asciiTheme="majorHAnsi" w:hAnsiTheme="majorHAnsi"/>
          <w:i/>
          <w:sz w:val="20"/>
          <w:szCs w:val="20"/>
        </w:rPr>
        <w:t>amparo</w:t>
      </w:r>
      <w:r w:rsidRPr="00005228">
        <w:rPr>
          <w:rFonts w:asciiTheme="majorHAnsi" w:hAnsiTheme="majorHAnsi"/>
          <w:sz w:val="20"/>
          <w:szCs w:val="20"/>
        </w:rPr>
        <w:t xml:space="preserve"> as a quick remedy to respond to all</w:t>
      </w:r>
      <w:r w:rsidR="006A416F" w:rsidRPr="00005228">
        <w:rPr>
          <w:rFonts w:asciiTheme="majorHAnsi" w:hAnsiTheme="majorHAnsi"/>
          <w:sz w:val="20"/>
          <w:szCs w:val="20"/>
        </w:rPr>
        <w:t>eged violations of human rights.</w:t>
      </w:r>
      <w:r w:rsidR="006A416F" w:rsidRPr="00005228">
        <w:rPr>
          <w:rStyle w:val="FootnoteReference"/>
          <w:rFonts w:ascii="Cambria" w:hAnsi="Cambria"/>
          <w:sz w:val="20"/>
          <w:szCs w:val="20"/>
        </w:rPr>
        <w:t xml:space="preserve"> </w:t>
      </w:r>
      <w:r w:rsidR="006A416F" w:rsidRPr="009B7A5D">
        <w:rPr>
          <w:rStyle w:val="FootnoteReference"/>
          <w:rFonts w:ascii="Cambria" w:hAnsi="Cambria"/>
          <w:sz w:val="20"/>
          <w:szCs w:val="20"/>
          <w:lang w:val="es-ES"/>
        </w:rPr>
        <w:lastRenderedPageBreak/>
        <w:footnoteReference w:id="191"/>
      </w:r>
      <w:r w:rsidR="006A416F" w:rsidRPr="00005228">
        <w:rPr>
          <w:rFonts w:ascii="Cambria" w:hAnsi="Cambria"/>
          <w:sz w:val="20"/>
          <w:szCs w:val="20"/>
        </w:rPr>
        <w:t>.</w:t>
      </w:r>
      <w:r w:rsidRPr="00005228">
        <w:rPr>
          <w:rFonts w:asciiTheme="majorHAnsi" w:hAnsiTheme="majorHAnsi"/>
          <w:sz w:val="20"/>
          <w:szCs w:val="20"/>
        </w:rPr>
        <w:t xml:space="preserve"> This law referred to the "brief, summary and effective" nature of the remedy and established that courts must give "preference to the processing of </w:t>
      </w:r>
      <w:r w:rsidRPr="00005228">
        <w:rPr>
          <w:rFonts w:asciiTheme="majorHAnsi" w:hAnsiTheme="majorHAnsi"/>
          <w:i/>
          <w:sz w:val="20"/>
          <w:szCs w:val="20"/>
        </w:rPr>
        <w:t>amparo</w:t>
      </w:r>
      <w:r w:rsidRPr="00005228">
        <w:rPr>
          <w:rFonts w:asciiTheme="majorHAnsi" w:hAnsiTheme="majorHAnsi"/>
          <w:sz w:val="20"/>
          <w:szCs w:val="20"/>
        </w:rPr>
        <w:t xml:space="preserve"> to any other matter"</w:t>
      </w:r>
      <w:r w:rsidRPr="00326F31">
        <w:rPr>
          <w:rStyle w:val="FootnoteReference"/>
          <w:rFonts w:asciiTheme="majorHAnsi" w:hAnsiTheme="majorHAnsi"/>
          <w:sz w:val="20"/>
          <w:szCs w:val="20"/>
          <w:lang w:val="es-ES"/>
        </w:rPr>
        <w:footnoteReference w:id="192"/>
      </w:r>
      <w:r w:rsidR="00005228">
        <w:rPr>
          <w:rFonts w:asciiTheme="majorHAnsi" w:hAnsiTheme="majorHAnsi"/>
          <w:sz w:val="20"/>
          <w:szCs w:val="20"/>
        </w:rPr>
        <w:t>.</w:t>
      </w:r>
    </w:p>
    <w:p w14:paraId="1F77C3BE" w14:textId="77777777" w:rsidR="00005228" w:rsidRDefault="00005228" w:rsidP="00005228">
      <w:pPr>
        <w:pStyle w:val="ListParagraph"/>
        <w:rPr>
          <w:rFonts w:asciiTheme="majorHAnsi" w:hAnsiTheme="majorHAnsi"/>
          <w:sz w:val="20"/>
          <w:szCs w:val="20"/>
        </w:rPr>
      </w:pPr>
    </w:p>
    <w:p w14:paraId="1C33AE6C" w14:textId="6360AF52" w:rsidR="00005228" w:rsidRDefault="0023177F" w:rsidP="00005228">
      <w:pPr>
        <w:numPr>
          <w:ilvl w:val="0"/>
          <w:numId w:val="58"/>
        </w:numPr>
        <w:pBdr>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hAnsiTheme="majorHAnsi"/>
          <w:sz w:val="20"/>
          <w:szCs w:val="20"/>
        </w:rPr>
      </w:pPr>
      <w:r w:rsidRPr="00005228">
        <w:rPr>
          <w:rFonts w:asciiTheme="majorHAnsi" w:hAnsiTheme="majorHAnsi"/>
          <w:sz w:val="20"/>
          <w:szCs w:val="20"/>
        </w:rPr>
        <w:t xml:space="preserve">Despite these provisions, the Commission notes that for most of the duration of the process under the judicial authorities, they were discussing jurisdiction issues. Indeed, after the Fourth Court declined jurisdiction and referred the case to the Constitutional Court, and despite repeated requests of the victims, the plea was not resolved until ten months later, on May 26, 2005, when the Constitutional Chamber of the Supreme Court issued a ruling stating that it did not accept the challenges to the jurisdiction. In turn, the judgment on the merits of the </w:t>
      </w:r>
      <w:r w:rsidRPr="00005228">
        <w:rPr>
          <w:rFonts w:asciiTheme="majorHAnsi" w:hAnsiTheme="majorHAnsi"/>
          <w:i/>
          <w:sz w:val="20"/>
          <w:szCs w:val="20"/>
        </w:rPr>
        <w:t>amparo</w:t>
      </w:r>
      <w:r w:rsidRPr="00005228">
        <w:rPr>
          <w:rFonts w:asciiTheme="majorHAnsi" w:hAnsiTheme="majorHAnsi"/>
          <w:sz w:val="20"/>
          <w:szCs w:val="20"/>
        </w:rPr>
        <w:t xml:space="preserve"> was issued on July 27, 2005, over a year after its </w:t>
      </w:r>
      <w:r w:rsidR="00F21548" w:rsidRPr="00005228">
        <w:rPr>
          <w:rFonts w:asciiTheme="majorHAnsi" w:hAnsiTheme="majorHAnsi"/>
          <w:sz w:val="20"/>
          <w:szCs w:val="20"/>
        </w:rPr>
        <w:t>introduction;</w:t>
      </w:r>
      <w:r w:rsidRPr="00005228">
        <w:rPr>
          <w:rFonts w:asciiTheme="majorHAnsi" w:hAnsiTheme="majorHAnsi"/>
          <w:sz w:val="20"/>
          <w:szCs w:val="20"/>
        </w:rPr>
        <w:t xml:space="preserve"> the State has not presented any justification for the delay of a remedy that for its own nature should be resolved with the greater immediacy possible.</w:t>
      </w:r>
    </w:p>
    <w:p w14:paraId="5DB73EB7" w14:textId="77777777" w:rsidR="00005228" w:rsidRDefault="00005228" w:rsidP="00005228">
      <w:pPr>
        <w:pStyle w:val="ListParagraph"/>
        <w:rPr>
          <w:rFonts w:asciiTheme="majorHAnsi" w:hAnsiTheme="majorHAnsi"/>
          <w:sz w:val="20"/>
          <w:szCs w:val="20"/>
        </w:rPr>
      </w:pPr>
    </w:p>
    <w:p w14:paraId="1F58153F" w14:textId="312CCE61" w:rsidR="0023177F" w:rsidRPr="00005228" w:rsidRDefault="0023177F" w:rsidP="00005228">
      <w:pPr>
        <w:numPr>
          <w:ilvl w:val="0"/>
          <w:numId w:val="58"/>
        </w:numPr>
        <w:pBdr>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hAnsiTheme="majorHAnsi"/>
          <w:sz w:val="20"/>
          <w:szCs w:val="20"/>
        </w:rPr>
      </w:pPr>
      <w:r w:rsidRPr="00005228">
        <w:rPr>
          <w:rFonts w:asciiTheme="majorHAnsi" w:hAnsiTheme="majorHAnsi"/>
          <w:sz w:val="20"/>
          <w:szCs w:val="20"/>
        </w:rPr>
        <w:t xml:space="preserve">In view of the above, the Commission considers that the </w:t>
      </w:r>
      <w:r w:rsidRPr="00005228">
        <w:rPr>
          <w:rFonts w:asciiTheme="majorHAnsi" w:hAnsiTheme="majorHAnsi"/>
          <w:i/>
          <w:sz w:val="20"/>
          <w:szCs w:val="20"/>
        </w:rPr>
        <w:t>amparo</w:t>
      </w:r>
      <w:r w:rsidRPr="00005228">
        <w:rPr>
          <w:rFonts w:asciiTheme="majorHAnsi" w:hAnsiTheme="majorHAnsi"/>
          <w:sz w:val="20"/>
          <w:szCs w:val="20"/>
        </w:rPr>
        <w:t xml:space="preserve"> remedy did not </w:t>
      </w:r>
      <w:r w:rsidR="00F21548">
        <w:rPr>
          <w:rFonts w:asciiTheme="majorHAnsi" w:hAnsiTheme="majorHAnsi"/>
          <w:sz w:val="20"/>
          <w:szCs w:val="20"/>
        </w:rPr>
        <w:t>comply wi</w:t>
      </w:r>
      <w:r w:rsidRPr="00005228">
        <w:rPr>
          <w:rFonts w:asciiTheme="majorHAnsi" w:hAnsiTheme="majorHAnsi"/>
          <w:sz w:val="20"/>
          <w:szCs w:val="20"/>
        </w:rPr>
        <w:t>t</w:t>
      </w:r>
      <w:r w:rsidR="00F21548">
        <w:rPr>
          <w:rFonts w:asciiTheme="majorHAnsi" w:hAnsiTheme="majorHAnsi"/>
          <w:sz w:val="20"/>
          <w:szCs w:val="20"/>
        </w:rPr>
        <w:t>h</w:t>
      </w:r>
      <w:r w:rsidRPr="00005228">
        <w:rPr>
          <w:rFonts w:asciiTheme="majorHAnsi" w:hAnsiTheme="majorHAnsi"/>
          <w:sz w:val="20"/>
          <w:szCs w:val="20"/>
        </w:rPr>
        <w:t xml:space="preserve"> the guarantee of reasonable time, which was an additional factor of the denial of justice suffered by the victims in the terms stated in this report. Consequently, the Commission concludes that in the present case the breach of the reasonable time guarantee under the </w:t>
      </w:r>
      <w:r w:rsidRPr="00005228">
        <w:rPr>
          <w:rFonts w:asciiTheme="majorHAnsi" w:hAnsiTheme="majorHAnsi"/>
          <w:i/>
          <w:sz w:val="20"/>
          <w:szCs w:val="20"/>
        </w:rPr>
        <w:t>amparo</w:t>
      </w:r>
      <w:r w:rsidRPr="00005228">
        <w:rPr>
          <w:rFonts w:asciiTheme="majorHAnsi" w:hAnsiTheme="majorHAnsi"/>
          <w:sz w:val="20"/>
          <w:szCs w:val="20"/>
        </w:rPr>
        <w:t xml:space="preserve"> proceeding was an additional violation of the right to a fair trial and judicial protection established in Articles 8.1 and 25.1 of the Convention American in conjunction with Article 1.1 of the same instrument to the detriment of Rocío San Miguel Sosa, Magally Chang Girón, and Thais Coromoto Peña.</w:t>
      </w:r>
    </w:p>
    <w:p w14:paraId="5D9F1B2B" w14:textId="77777777" w:rsidR="00D6022F" w:rsidRPr="00326F31" w:rsidRDefault="00D6022F" w:rsidP="00326F31">
      <w:pPr>
        <w:jc w:val="both"/>
        <w:rPr>
          <w:rFonts w:asciiTheme="majorHAnsi" w:hAnsiTheme="majorHAnsi"/>
          <w:bCs/>
          <w:sz w:val="20"/>
          <w:szCs w:val="20"/>
        </w:rPr>
      </w:pPr>
    </w:p>
    <w:p w14:paraId="3BE235E2" w14:textId="55988D85" w:rsidR="00D6022F" w:rsidRPr="00326F31" w:rsidRDefault="0075543C" w:rsidP="00326F31">
      <w:pPr>
        <w:keepN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outlineLvl w:val="0"/>
        <w:rPr>
          <w:rFonts w:asciiTheme="majorHAnsi" w:eastAsia="Times New Roman" w:hAnsiTheme="majorHAnsi" w:cs="Arial"/>
          <w:bCs/>
          <w:sz w:val="20"/>
          <w:szCs w:val="20"/>
          <w:bdr w:val="none" w:sz="0" w:space="0" w:color="auto"/>
          <w:lang w:val="es-AR"/>
        </w:rPr>
      </w:pPr>
      <w:bookmarkStart w:id="21" w:name="_Toc370830584"/>
      <w:bookmarkStart w:id="22" w:name="_Toc374694266"/>
      <w:bookmarkStart w:id="23" w:name="_Toc423514429"/>
      <w:bookmarkStart w:id="24" w:name="_Toc431474327"/>
      <w:bookmarkStart w:id="25" w:name="_Toc431566933"/>
      <w:bookmarkStart w:id="26" w:name="_Toc433311137"/>
      <w:r w:rsidRPr="00326F31">
        <w:rPr>
          <w:rFonts w:asciiTheme="majorHAnsi" w:eastAsia="Times New Roman" w:hAnsiTheme="majorHAnsi"/>
          <w:b/>
          <w:sz w:val="20"/>
          <w:szCs w:val="20"/>
          <w:bdr w:val="none" w:sz="0" w:space="0" w:color="auto"/>
          <w:lang w:val="es-ES_tradnl"/>
        </w:rPr>
        <w:t>CONCLUSION</w:t>
      </w:r>
      <w:r w:rsidR="00D6022F" w:rsidRPr="00326F31">
        <w:rPr>
          <w:rFonts w:asciiTheme="majorHAnsi" w:eastAsia="Times New Roman" w:hAnsiTheme="majorHAnsi"/>
          <w:b/>
          <w:sz w:val="20"/>
          <w:szCs w:val="20"/>
          <w:bdr w:val="none" w:sz="0" w:space="0" w:color="auto"/>
          <w:lang w:val="es-ES_tradnl"/>
        </w:rPr>
        <w:t>S</w:t>
      </w:r>
      <w:bookmarkEnd w:id="21"/>
      <w:bookmarkEnd w:id="22"/>
      <w:bookmarkEnd w:id="23"/>
      <w:bookmarkEnd w:id="24"/>
      <w:bookmarkEnd w:id="25"/>
      <w:bookmarkEnd w:id="26"/>
    </w:p>
    <w:p w14:paraId="703A0334" w14:textId="77777777" w:rsidR="00D6022F" w:rsidRPr="00326F31" w:rsidRDefault="00D6022F" w:rsidP="00326F31">
      <w:pPr>
        <w:ind w:left="720"/>
        <w:jc w:val="both"/>
        <w:rPr>
          <w:rFonts w:asciiTheme="majorHAnsi" w:eastAsia="Times New Roman" w:hAnsiTheme="majorHAnsi"/>
          <w:sz w:val="20"/>
          <w:szCs w:val="20"/>
          <w:lang w:val="es-AR"/>
        </w:rPr>
      </w:pPr>
    </w:p>
    <w:p w14:paraId="01076481" w14:textId="77777777" w:rsidR="00005228" w:rsidRDefault="0023177F" w:rsidP="00005228">
      <w:pPr>
        <w:numPr>
          <w:ilvl w:val="0"/>
          <w:numId w:val="58"/>
        </w:numPr>
        <w:pBdr>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hAnsiTheme="majorHAnsi"/>
          <w:sz w:val="20"/>
          <w:szCs w:val="20"/>
        </w:rPr>
      </w:pPr>
      <w:r w:rsidRPr="00326F31">
        <w:rPr>
          <w:rFonts w:asciiTheme="majorHAnsi" w:hAnsiTheme="majorHAnsi"/>
          <w:sz w:val="20"/>
          <w:szCs w:val="20"/>
        </w:rPr>
        <w:t>In accordance with the considerations of facts and law expressed in this report on merits, the Commission concludes that the Venezuelan State is responsible for the violation of political rights, the right to freedom of expression, the right to equality before the law and non-discrimination, fair trial and judicial protection embodied in Articles 23, 13, 24, 8 and 25 of the American Convention, in conjunction with Article 1.1 of the same instrument to the detriment of Rocío San Miguel Sosa, Magally Chang Girón, and Thais Coromoto Peña.</w:t>
      </w:r>
    </w:p>
    <w:p w14:paraId="143E21EC" w14:textId="77777777" w:rsidR="00005228" w:rsidRDefault="00005228" w:rsidP="00005228">
      <w:pPr>
        <w:pBdr>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14:paraId="648F7E1E" w14:textId="27898FD1" w:rsidR="00D87B8E" w:rsidRPr="00353767" w:rsidRDefault="009141AB" w:rsidP="00353767">
      <w:pPr>
        <w:numPr>
          <w:ilvl w:val="0"/>
          <w:numId w:val="58"/>
        </w:numPr>
        <w:pBdr>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hAnsiTheme="majorHAnsi"/>
          <w:sz w:val="20"/>
          <w:szCs w:val="20"/>
        </w:rPr>
      </w:pPr>
      <w:r w:rsidRPr="00005228">
        <w:rPr>
          <w:rFonts w:asciiTheme="majorHAnsi" w:hAnsiTheme="majorHAnsi" w:cs="Verdana"/>
          <w:sz w:val="20"/>
          <w:szCs w:val="20"/>
        </w:rPr>
        <w:t>The Commission considers that, based on the available information, the possible violation of the right to personal integrity is subsumed in the violations found throughout this report. The Commission has no information enabling it to determine the need for a separate determination on Article 5 of the American Convention.</w:t>
      </w:r>
    </w:p>
    <w:p w14:paraId="6FE635F6" w14:textId="77777777" w:rsidR="00D87B8E" w:rsidRPr="00326F31" w:rsidRDefault="00D87B8E" w:rsidP="00326F3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rPr>
      </w:pPr>
    </w:p>
    <w:p w14:paraId="6AF2F064" w14:textId="558D5993" w:rsidR="00D6022F" w:rsidRPr="00326F31" w:rsidRDefault="00D6022F" w:rsidP="00326F31">
      <w:pPr>
        <w:keepN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outlineLvl w:val="0"/>
        <w:rPr>
          <w:rFonts w:asciiTheme="majorHAnsi" w:eastAsia="Times New Roman" w:hAnsiTheme="majorHAnsi"/>
          <w:b/>
          <w:sz w:val="20"/>
          <w:szCs w:val="20"/>
          <w:bdr w:val="none" w:sz="0" w:space="0" w:color="auto"/>
          <w:lang w:val="es-ES_tradnl"/>
        </w:rPr>
      </w:pPr>
      <w:bookmarkStart w:id="27" w:name="_Toc395298796"/>
      <w:bookmarkStart w:id="28" w:name="_Toc418254642"/>
      <w:bookmarkStart w:id="29" w:name="_Toc423514430"/>
      <w:bookmarkStart w:id="30" w:name="_Toc431474328"/>
      <w:bookmarkStart w:id="31" w:name="_Toc431566934"/>
      <w:bookmarkStart w:id="32" w:name="_Toc433311138"/>
      <w:r w:rsidRPr="00326F31">
        <w:rPr>
          <w:rFonts w:asciiTheme="majorHAnsi" w:eastAsia="Times New Roman" w:hAnsiTheme="majorHAnsi"/>
          <w:b/>
          <w:sz w:val="20"/>
          <w:szCs w:val="20"/>
          <w:bdr w:val="none" w:sz="0" w:space="0" w:color="auto"/>
          <w:lang w:val="es-ES_tradnl"/>
        </w:rPr>
        <w:t>RECOM</w:t>
      </w:r>
      <w:bookmarkEnd w:id="27"/>
      <w:bookmarkEnd w:id="28"/>
      <w:bookmarkEnd w:id="29"/>
      <w:bookmarkEnd w:id="30"/>
      <w:bookmarkEnd w:id="31"/>
      <w:r w:rsidR="003D6EAA" w:rsidRPr="00326F31">
        <w:rPr>
          <w:rFonts w:asciiTheme="majorHAnsi" w:eastAsia="Times New Roman" w:hAnsiTheme="majorHAnsi"/>
          <w:b/>
          <w:sz w:val="20"/>
          <w:szCs w:val="20"/>
          <w:bdr w:val="none" w:sz="0" w:space="0" w:color="auto"/>
          <w:lang w:val="es-ES_tradnl"/>
        </w:rPr>
        <w:t>MENDATIONS</w:t>
      </w:r>
      <w:bookmarkEnd w:id="32"/>
    </w:p>
    <w:p w14:paraId="04FD2484" w14:textId="77777777" w:rsidR="00D6022F" w:rsidRPr="00326F31" w:rsidRDefault="00D6022F" w:rsidP="00326F31">
      <w:pPr>
        <w:jc w:val="both"/>
        <w:rPr>
          <w:rFonts w:asciiTheme="majorHAnsi" w:eastAsia="Times New Roman" w:hAnsiTheme="majorHAnsi"/>
          <w:sz w:val="20"/>
          <w:szCs w:val="20"/>
          <w:lang w:val="es-AR"/>
        </w:rPr>
      </w:pPr>
    </w:p>
    <w:p w14:paraId="7E6E9CEA" w14:textId="0AA9A648" w:rsidR="00D6022F" w:rsidRPr="00326F31" w:rsidRDefault="009F0F24" w:rsidP="00005228">
      <w:pPr>
        <w:numPr>
          <w:ilvl w:val="0"/>
          <w:numId w:val="58"/>
        </w:numPr>
        <w:pBdr>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hAnsiTheme="majorHAnsi" w:cs="Verdana"/>
          <w:sz w:val="20"/>
          <w:szCs w:val="20"/>
        </w:rPr>
      </w:pPr>
      <w:r w:rsidRPr="00005228">
        <w:rPr>
          <w:rFonts w:asciiTheme="majorHAnsi" w:hAnsiTheme="majorHAnsi" w:cs="Verdana"/>
          <w:sz w:val="20"/>
          <w:szCs w:val="20"/>
        </w:rPr>
        <w:t>Base</w:t>
      </w:r>
      <w:r w:rsidR="003D6EAA" w:rsidRPr="00005228">
        <w:rPr>
          <w:rFonts w:asciiTheme="majorHAnsi" w:hAnsiTheme="majorHAnsi" w:cs="Verdana"/>
          <w:sz w:val="20"/>
          <w:szCs w:val="20"/>
        </w:rPr>
        <w:t>d</w:t>
      </w:r>
      <w:r w:rsidRPr="00005228">
        <w:rPr>
          <w:rFonts w:asciiTheme="majorHAnsi" w:hAnsiTheme="majorHAnsi" w:cs="Verdana"/>
          <w:sz w:val="20"/>
          <w:szCs w:val="20"/>
        </w:rPr>
        <w:t xml:space="preserve"> </w:t>
      </w:r>
      <w:r w:rsidR="003D6EAA" w:rsidRPr="00005228">
        <w:rPr>
          <w:rFonts w:asciiTheme="majorHAnsi" w:hAnsiTheme="majorHAnsi" w:cs="Verdana"/>
          <w:sz w:val="20"/>
          <w:szCs w:val="20"/>
        </w:rPr>
        <w:t>on the foregoing conclusions,</w:t>
      </w:r>
    </w:p>
    <w:p w14:paraId="7486A95A" w14:textId="77777777" w:rsidR="00D6022F" w:rsidRPr="00326F31" w:rsidRDefault="00D6022F" w:rsidP="00326F31">
      <w:pPr>
        <w:jc w:val="both"/>
        <w:rPr>
          <w:rFonts w:asciiTheme="majorHAnsi" w:hAnsiTheme="majorHAnsi"/>
          <w:sz w:val="20"/>
          <w:szCs w:val="20"/>
        </w:rPr>
      </w:pPr>
    </w:p>
    <w:p w14:paraId="21EC73D4" w14:textId="5C6129CF" w:rsidR="003D6EAA" w:rsidRPr="00326F31" w:rsidRDefault="00D6022F" w:rsidP="00326F31">
      <w:pPr>
        <w:jc w:val="both"/>
        <w:rPr>
          <w:rFonts w:asciiTheme="majorHAnsi" w:hAnsiTheme="majorHAnsi"/>
          <w:b/>
          <w:sz w:val="20"/>
          <w:szCs w:val="20"/>
        </w:rPr>
      </w:pPr>
      <w:r w:rsidRPr="00326F31">
        <w:rPr>
          <w:rFonts w:asciiTheme="majorHAnsi" w:hAnsiTheme="majorHAnsi"/>
          <w:b/>
          <w:sz w:val="20"/>
          <w:szCs w:val="20"/>
        </w:rPr>
        <w:tab/>
      </w:r>
      <w:r w:rsidR="003D6EAA" w:rsidRPr="00326F31">
        <w:rPr>
          <w:rFonts w:asciiTheme="majorHAnsi" w:hAnsiTheme="majorHAnsi"/>
          <w:b/>
          <w:sz w:val="20"/>
          <w:szCs w:val="20"/>
        </w:rPr>
        <w:t>THE INTER-AMERICAN COMMISSION ON HUMAN RIGHTS RECOMMENDS TO THE STATE OF</w:t>
      </w:r>
    </w:p>
    <w:p w14:paraId="6D1BD48F" w14:textId="2C3A03A0" w:rsidR="00D6022F" w:rsidRPr="00326F31" w:rsidRDefault="003D6EAA" w:rsidP="00326F31">
      <w:pPr>
        <w:jc w:val="both"/>
        <w:rPr>
          <w:rFonts w:asciiTheme="majorHAnsi" w:hAnsiTheme="majorHAnsi"/>
          <w:b/>
          <w:sz w:val="20"/>
          <w:szCs w:val="20"/>
        </w:rPr>
      </w:pPr>
      <w:r w:rsidRPr="00326F31">
        <w:rPr>
          <w:rFonts w:asciiTheme="majorHAnsi" w:hAnsiTheme="majorHAnsi"/>
          <w:b/>
          <w:sz w:val="20"/>
          <w:szCs w:val="20"/>
          <w:lang w:val="es-ES"/>
        </w:rPr>
        <w:t>VENEZUELA,</w:t>
      </w:r>
    </w:p>
    <w:p w14:paraId="04AC4D13" w14:textId="5A581251" w:rsidR="00861B6C" w:rsidRPr="00326F31" w:rsidRDefault="00D6022F" w:rsidP="00326F3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326F31">
        <w:rPr>
          <w:rFonts w:asciiTheme="majorHAnsi" w:hAnsiTheme="majorHAnsi"/>
          <w:sz w:val="20"/>
          <w:szCs w:val="20"/>
          <w:lang w:val="es-ES"/>
        </w:rPr>
        <w:t xml:space="preserve"> </w:t>
      </w:r>
    </w:p>
    <w:p w14:paraId="40D7F7DD" w14:textId="05AF4513" w:rsidR="00861B6C" w:rsidRPr="00C9052E" w:rsidRDefault="00861B6C" w:rsidP="00D61FF7">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326F31">
        <w:rPr>
          <w:rFonts w:asciiTheme="majorHAnsi" w:hAnsiTheme="majorHAnsi"/>
          <w:sz w:val="20"/>
          <w:szCs w:val="20"/>
        </w:rPr>
        <w:t>To reinstate victims to the civil service on a job similar to the one they would currently hold, had they not been separated from their posts. Should this not be the will of the victims or that there are objective reasons which prevent the reincorporation, the State must pay compensation for this, which is independent of the repairs relating to the material and moral damage in the recommendation number two</w:t>
      </w:r>
      <w:r w:rsidR="00A66089">
        <w:rPr>
          <w:rFonts w:asciiTheme="majorHAnsi" w:hAnsiTheme="majorHAnsi"/>
          <w:sz w:val="20"/>
          <w:szCs w:val="20"/>
        </w:rPr>
        <w:t>.</w:t>
      </w:r>
    </w:p>
    <w:p w14:paraId="6545E1B3" w14:textId="77777777" w:rsidR="00BA7A49" w:rsidRPr="00C9052E" w:rsidRDefault="00BA7A49" w:rsidP="00326F31">
      <w:pPr>
        <w:pStyle w:val="ListParagraph"/>
        <w:jc w:val="both"/>
        <w:rPr>
          <w:rFonts w:asciiTheme="majorHAnsi" w:hAnsiTheme="majorHAnsi"/>
          <w:sz w:val="20"/>
          <w:szCs w:val="20"/>
        </w:rPr>
      </w:pPr>
    </w:p>
    <w:p w14:paraId="7D37A128" w14:textId="08F2CA41" w:rsidR="00D6022F" w:rsidRPr="00326F31" w:rsidRDefault="00BA7A49" w:rsidP="00D61FF7">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326F31">
        <w:rPr>
          <w:rFonts w:asciiTheme="majorHAnsi" w:hAnsiTheme="majorHAnsi"/>
          <w:sz w:val="20"/>
          <w:szCs w:val="20"/>
        </w:rPr>
        <w:t>To provide adequate compensation for the human rights violations declared in this report both material and morally.</w:t>
      </w:r>
    </w:p>
    <w:p w14:paraId="71B41A4C" w14:textId="77777777" w:rsidR="00BA7A49" w:rsidRPr="00C9052E" w:rsidRDefault="00BA7A49" w:rsidP="00326F31">
      <w:pPr>
        <w:pStyle w:val="ListParagraph"/>
        <w:jc w:val="both"/>
        <w:rPr>
          <w:rFonts w:asciiTheme="majorHAnsi" w:hAnsiTheme="majorHAnsi"/>
          <w:sz w:val="20"/>
          <w:szCs w:val="20"/>
        </w:rPr>
      </w:pPr>
    </w:p>
    <w:p w14:paraId="447A99D6" w14:textId="4CB27045" w:rsidR="00BA7A49" w:rsidRPr="00326F31" w:rsidRDefault="00BA7A49" w:rsidP="00D61FF7">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326F31">
        <w:rPr>
          <w:rFonts w:asciiTheme="majorHAnsi" w:hAnsiTheme="majorHAnsi"/>
          <w:sz w:val="20"/>
          <w:szCs w:val="20"/>
        </w:rPr>
        <w:t>To carry out the corresponding</w:t>
      </w:r>
      <w:r w:rsidR="007567C8">
        <w:rPr>
          <w:rFonts w:asciiTheme="majorHAnsi" w:hAnsiTheme="majorHAnsi"/>
          <w:sz w:val="20"/>
          <w:szCs w:val="20"/>
        </w:rPr>
        <w:t xml:space="preserve"> criminal, administrative or other</w:t>
      </w:r>
      <w:r w:rsidR="00803A41">
        <w:rPr>
          <w:rFonts w:asciiTheme="majorHAnsi" w:hAnsiTheme="majorHAnsi"/>
          <w:sz w:val="20"/>
          <w:szCs w:val="20"/>
        </w:rPr>
        <w:t xml:space="preserve"> </w:t>
      </w:r>
      <w:r w:rsidRPr="00326F31">
        <w:rPr>
          <w:rFonts w:asciiTheme="majorHAnsi" w:hAnsiTheme="majorHAnsi"/>
          <w:sz w:val="20"/>
          <w:szCs w:val="20"/>
        </w:rPr>
        <w:t>proce</w:t>
      </w:r>
      <w:r w:rsidR="007567C8">
        <w:rPr>
          <w:rFonts w:asciiTheme="majorHAnsi" w:hAnsiTheme="majorHAnsi"/>
          <w:sz w:val="20"/>
          <w:szCs w:val="20"/>
        </w:rPr>
        <w:t xml:space="preserve">edings </w:t>
      </w:r>
      <w:r w:rsidRPr="00326F31">
        <w:rPr>
          <w:rFonts w:asciiTheme="majorHAnsi" w:hAnsiTheme="majorHAnsi"/>
          <w:sz w:val="20"/>
          <w:szCs w:val="20"/>
        </w:rPr>
        <w:t>related to the human rights violations declared in this report, in an impartial, effective and within a reasonable time manner, in order to fully clarify the facts and to establish the respective responsibilities.</w:t>
      </w:r>
    </w:p>
    <w:p w14:paraId="1FF16C32" w14:textId="77777777" w:rsidR="00BA7A49" w:rsidRPr="00C9052E" w:rsidRDefault="00BA7A49" w:rsidP="00326F31">
      <w:pPr>
        <w:jc w:val="both"/>
        <w:rPr>
          <w:rFonts w:asciiTheme="majorHAnsi" w:hAnsiTheme="majorHAnsi"/>
          <w:color w:val="080808"/>
          <w:sz w:val="20"/>
          <w:szCs w:val="20"/>
          <w:shd w:val="clear" w:color="auto" w:fill="FFFFFF"/>
        </w:rPr>
      </w:pPr>
    </w:p>
    <w:p w14:paraId="3FFDA53D" w14:textId="0D06F228" w:rsidR="00BA7A49" w:rsidRPr="00803A41" w:rsidRDefault="00BA7A49" w:rsidP="00D61FF7">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80808"/>
          <w:sz w:val="20"/>
          <w:szCs w:val="20"/>
          <w:shd w:val="clear" w:color="auto" w:fill="FFFFFF"/>
        </w:rPr>
      </w:pPr>
      <w:r w:rsidRPr="00326F31">
        <w:rPr>
          <w:rFonts w:asciiTheme="majorHAnsi" w:hAnsiTheme="majorHAnsi"/>
          <w:color w:val="080808"/>
          <w:sz w:val="20"/>
          <w:szCs w:val="20"/>
          <w:shd w:val="clear" w:color="auto" w:fill="FFFFFF"/>
        </w:rPr>
        <w:t xml:space="preserve">To adopt the necessary measures of non-repetition to prevent future occurrence of similar events. In particular, adopt legislative, administrative or other measures to prevent discrimination for political reasons. </w:t>
      </w:r>
      <w:r w:rsidR="00803A41">
        <w:rPr>
          <w:rFonts w:asciiTheme="majorHAnsi" w:hAnsiTheme="majorHAnsi"/>
          <w:color w:val="080808"/>
          <w:sz w:val="20"/>
          <w:szCs w:val="20"/>
          <w:shd w:val="clear" w:color="auto" w:fill="FFFFFF"/>
        </w:rPr>
        <w:t xml:space="preserve"> In this context, to ensure the existence of clear rules on access and use of data collected in electoral processes, with the necessary safeguards to ensure the free expression of political opinions without fear of reprisals. In addition, to carry out training programs:</w:t>
      </w:r>
      <w:r w:rsidRPr="00803A41">
        <w:rPr>
          <w:rFonts w:asciiTheme="majorHAnsi" w:hAnsiTheme="majorHAnsi"/>
          <w:color w:val="080808"/>
          <w:sz w:val="20"/>
          <w:szCs w:val="20"/>
          <w:shd w:val="clear" w:color="auto" w:fill="FFFFFF"/>
        </w:rPr>
        <w:t xml:space="preserve"> i) to public officials at all levels on the prohibition of discrimination based on political opinion; and ii) to legal practitioners called upon to hear any allegations of covert discrimination or misuse of power</w:t>
      </w:r>
      <w:r w:rsidR="00803A41">
        <w:rPr>
          <w:rFonts w:asciiTheme="majorHAnsi" w:hAnsiTheme="majorHAnsi"/>
          <w:color w:val="080808"/>
          <w:sz w:val="20"/>
          <w:szCs w:val="20"/>
          <w:shd w:val="clear" w:color="auto" w:fill="FFFFFF"/>
        </w:rPr>
        <w:t xml:space="preserve">. </w:t>
      </w:r>
    </w:p>
    <w:sectPr w:rsidR="00BA7A49" w:rsidRPr="00803A41" w:rsidSect="00905478">
      <w:type w:val="oddPage"/>
      <w:pgSz w:w="12240" w:h="15840"/>
      <w:pgMar w:top="1440" w:right="135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0B64E" w14:textId="77777777" w:rsidR="00C45C34" w:rsidRDefault="00C45C34">
      <w:r>
        <w:separator/>
      </w:r>
    </w:p>
  </w:endnote>
  <w:endnote w:type="continuationSeparator" w:id="0">
    <w:p w14:paraId="510BE188" w14:textId="77777777" w:rsidR="00C45C34" w:rsidRDefault="00C45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Universal">
    <w:altName w:val="Courier New"/>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7" w:usb1="00000000" w:usb2="00000000" w:usb3="00000000" w:csb0="00000093"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16E3980E" w14:textId="77777777" w:rsidR="00C45C34" w:rsidRPr="00934A2C" w:rsidRDefault="00C45C3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30897">
          <w:rPr>
            <w:noProof/>
            <w:sz w:val="16"/>
            <w:szCs w:val="22"/>
          </w:rPr>
          <w:t>1</w:t>
        </w:r>
        <w:r w:rsidRPr="00934A2C">
          <w:rPr>
            <w:noProof/>
            <w:sz w:val="16"/>
            <w:szCs w:val="22"/>
          </w:rPr>
          <w:fldChar w:fldCharType="end"/>
        </w:r>
      </w:p>
    </w:sdtContent>
  </w:sdt>
  <w:p w14:paraId="344D13B3" w14:textId="77777777" w:rsidR="00C45C34" w:rsidRDefault="00C45C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AFFD9" w14:textId="77777777" w:rsidR="00C45C34" w:rsidRPr="00934A2C" w:rsidRDefault="00C45C34">
    <w:pPr>
      <w:pStyle w:val="Footer"/>
      <w:jc w:val="center"/>
      <w:rPr>
        <w:sz w:val="16"/>
        <w:szCs w:val="22"/>
      </w:rPr>
    </w:pPr>
  </w:p>
  <w:p w14:paraId="24261B60" w14:textId="77777777" w:rsidR="00C45C34" w:rsidRDefault="00C45C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51A18" w14:textId="77777777" w:rsidR="00C45C34" w:rsidRDefault="00C45C34">
      <w:r>
        <w:separator/>
      </w:r>
    </w:p>
  </w:footnote>
  <w:footnote w:type="continuationSeparator" w:id="0">
    <w:p w14:paraId="6093FE19" w14:textId="77777777" w:rsidR="00C45C34" w:rsidRDefault="00C45C34">
      <w:r>
        <w:continuationSeparator/>
      </w:r>
    </w:p>
  </w:footnote>
  <w:footnote w:type="continuationNotice" w:id="1">
    <w:p w14:paraId="03EF4254" w14:textId="77777777" w:rsidR="00C45C34" w:rsidRDefault="00C45C34"/>
  </w:footnote>
  <w:footnote w:id="2">
    <w:p w14:paraId="7CDAECD5" w14:textId="0722DACC"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IACHR, Report No. 59/13 (Admissibility), Petition 212-06, </w:t>
      </w:r>
      <w:proofErr w:type="spellStart"/>
      <w:r w:rsidRPr="00326F31">
        <w:rPr>
          <w:rFonts w:asciiTheme="majorHAnsi" w:hAnsiTheme="majorHAnsi"/>
          <w:sz w:val="16"/>
          <w:szCs w:val="16"/>
        </w:rPr>
        <w:t>Rocío</w:t>
      </w:r>
      <w:proofErr w:type="spellEnd"/>
      <w:r w:rsidRPr="00326F31">
        <w:rPr>
          <w:rFonts w:asciiTheme="majorHAnsi" w:hAnsiTheme="majorHAnsi"/>
          <w:sz w:val="16"/>
          <w:szCs w:val="16"/>
        </w:rPr>
        <w:t xml:space="preserve"> San Miguel Sosa et al, Venezuela, July 16, 2013, paras 5-7.</w:t>
      </w:r>
    </w:p>
  </w:footnote>
  <w:footnote w:id="3">
    <w:p w14:paraId="1979DC81" w14:textId="77777777" w:rsidR="00C45C34" w:rsidRPr="00A70AD1" w:rsidRDefault="00C45C34" w:rsidP="00131FA4">
      <w:pPr>
        <w:pStyle w:val="FootnoteText"/>
        <w:spacing w:after="120"/>
        <w:ind w:firstLine="720"/>
        <w:rPr>
          <w:rFonts w:asciiTheme="majorHAnsi" w:hAnsiTheme="majorHAnsi"/>
          <w:sz w:val="16"/>
          <w:szCs w:val="16"/>
        </w:rPr>
      </w:pPr>
      <w:r w:rsidRPr="00A70AD1">
        <w:rPr>
          <w:rStyle w:val="FootnoteReference"/>
          <w:rFonts w:asciiTheme="majorHAnsi" w:hAnsiTheme="majorHAnsi"/>
          <w:sz w:val="16"/>
          <w:szCs w:val="16"/>
        </w:rPr>
        <w:footnoteRef/>
      </w:r>
      <w:r w:rsidRPr="00A70AD1">
        <w:rPr>
          <w:rFonts w:asciiTheme="majorHAnsi" w:hAnsiTheme="majorHAnsi"/>
          <w:sz w:val="16"/>
          <w:szCs w:val="16"/>
        </w:rPr>
        <w:t xml:space="preserve"> I/a Court H.R., Case of Velasquez Rodriguez. </w:t>
      </w:r>
      <w:proofErr w:type="gramStart"/>
      <w:r w:rsidRPr="00A70AD1">
        <w:rPr>
          <w:rFonts w:asciiTheme="majorHAnsi" w:hAnsiTheme="majorHAnsi"/>
          <w:sz w:val="16"/>
          <w:szCs w:val="16"/>
        </w:rPr>
        <w:t>Merits.</w:t>
      </w:r>
      <w:proofErr w:type="gramEnd"/>
      <w:r w:rsidRPr="00A70AD1">
        <w:rPr>
          <w:rFonts w:asciiTheme="majorHAnsi" w:hAnsiTheme="majorHAnsi"/>
          <w:sz w:val="16"/>
          <w:szCs w:val="16"/>
        </w:rPr>
        <w:t xml:space="preserve"> Judgment of July 29, 1988. Series C No. 4, para. </w:t>
      </w:r>
      <w:proofErr w:type="gramStart"/>
      <w:r w:rsidRPr="00A70AD1">
        <w:rPr>
          <w:rFonts w:asciiTheme="majorHAnsi" w:hAnsiTheme="majorHAnsi"/>
          <w:sz w:val="16"/>
          <w:szCs w:val="16"/>
        </w:rPr>
        <w:t>127 and 128.</w:t>
      </w:r>
      <w:proofErr w:type="gramEnd"/>
    </w:p>
  </w:footnote>
  <w:footnote w:id="4">
    <w:p w14:paraId="730D123C" w14:textId="77777777" w:rsidR="00C45C34" w:rsidRPr="00A70AD1" w:rsidRDefault="00C45C34" w:rsidP="00131FA4">
      <w:pPr>
        <w:pStyle w:val="FootnoteText"/>
        <w:spacing w:after="120"/>
        <w:ind w:firstLine="720"/>
        <w:rPr>
          <w:rFonts w:asciiTheme="majorHAnsi" w:hAnsiTheme="majorHAnsi"/>
          <w:sz w:val="16"/>
          <w:szCs w:val="16"/>
        </w:rPr>
      </w:pPr>
      <w:r w:rsidRPr="00A70AD1">
        <w:rPr>
          <w:rStyle w:val="FootnoteReference"/>
          <w:rFonts w:asciiTheme="majorHAnsi" w:hAnsiTheme="majorHAnsi"/>
          <w:sz w:val="16"/>
          <w:szCs w:val="16"/>
        </w:rPr>
        <w:footnoteRef/>
      </w:r>
      <w:r w:rsidRPr="00A70AD1">
        <w:rPr>
          <w:rFonts w:asciiTheme="majorHAnsi" w:hAnsiTheme="majorHAnsi"/>
          <w:sz w:val="16"/>
          <w:szCs w:val="16"/>
        </w:rPr>
        <w:t xml:space="preserve"> </w:t>
      </w:r>
      <w:proofErr w:type="gramStart"/>
      <w:r w:rsidRPr="00A70AD1">
        <w:rPr>
          <w:rFonts w:asciiTheme="majorHAnsi" w:hAnsiTheme="majorHAnsi"/>
          <w:sz w:val="16"/>
          <w:szCs w:val="16"/>
        </w:rPr>
        <w:t>I/a Court H.R., Case of Gonzalez Medina and family v. Dominican Republic.</w:t>
      </w:r>
      <w:proofErr w:type="gramEnd"/>
      <w:r w:rsidRPr="00A70AD1">
        <w:rPr>
          <w:rFonts w:asciiTheme="majorHAnsi" w:hAnsiTheme="majorHAnsi"/>
          <w:sz w:val="16"/>
          <w:szCs w:val="16"/>
        </w:rPr>
        <w:t xml:space="preserve"> </w:t>
      </w:r>
      <w:proofErr w:type="gramStart"/>
      <w:r w:rsidRPr="00A70AD1">
        <w:rPr>
          <w:rFonts w:asciiTheme="majorHAnsi" w:hAnsiTheme="majorHAnsi"/>
          <w:sz w:val="16"/>
          <w:szCs w:val="16"/>
        </w:rPr>
        <w:t>Preliminary Objections, Merits, Reparations, and Costs.</w:t>
      </w:r>
      <w:proofErr w:type="gramEnd"/>
      <w:r w:rsidRPr="00A70AD1">
        <w:rPr>
          <w:rFonts w:asciiTheme="majorHAnsi" w:hAnsiTheme="majorHAnsi"/>
          <w:sz w:val="16"/>
          <w:szCs w:val="16"/>
        </w:rPr>
        <w:t xml:space="preserve"> Judgment of February 27, 2012. Series C No. 240, para. 132</w:t>
      </w:r>
    </w:p>
  </w:footnote>
  <w:footnote w:id="5">
    <w:p w14:paraId="578182AE" w14:textId="77777777" w:rsidR="00C45C34" w:rsidRPr="00FF330E" w:rsidRDefault="00C45C34" w:rsidP="00131FA4">
      <w:pPr>
        <w:pStyle w:val="FootnoteText"/>
        <w:spacing w:after="120"/>
        <w:ind w:firstLine="720"/>
      </w:pPr>
      <w:r w:rsidRPr="00A70AD1">
        <w:rPr>
          <w:rStyle w:val="FootnoteReference"/>
          <w:rFonts w:asciiTheme="majorHAnsi" w:hAnsiTheme="majorHAnsi"/>
          <w:sz w:val="16"/>
          <w:szCs w:val="16"/>
        </w:rPr>
        <w:footnoteRef/>
      </w:r>
      <w:r w:rsidRPr="00A70AD1">
        <w:rPr>
          <w:rFonts w:asciiTheme="majorHAnsi" w:hAnsiTheme="majorHAnsi"/>
          <w:sz w:val="16"/>
          <w:szCs w:val="16"/>
        </w:rPr>
        <w:t xml:space="preserve"> </w:t>
      </w:r>
      <w:proofErr w:type="gramStart"/>
      <w:r w:rsidRPr="00A70AD1">
        <w:rPr>
          <w:rFonts w:asciiTheme="majorHAnsi" w:hAnsiTheme="majorHAnsi"/>
          <w:sz w:val="16"/>
          <w:szCs w:val="16"/>
        </w:rPr>
        <w:t>I/a Court H.R., Case of Gonzalez Medina and family v. Dominican Republic.</w:t>
      </w:r>
      <w:proofErr w:type="gramEnd"/>
      <w:r w:rsidRPr="00A70AD1">
        <w:rPr>
          <w:rFonts w:asciiTheme="majorHAnsi" w:hAnsiTheme="majorHAnsi"/>
          <w:sz w:val="16"/>
          <w:szCs w:val="16"/>
        </w:rPr>
        <w:t xml:space="preserve"> </w:t>
      </w:r>
      <w:proofErr w:type="gramStart"/>
      <w:r w:rsidRPr="00A70AD1">
        <w:rPr>
          <w:rFonts w:asciiTheme="majorHAnsi" w:hAnsiTheme="majorHAnsi"/>
          <w:sz w:val="16"/>
          <w:szCs w:val="16"/>
        </w:rPr>
        <w:t>Preliminary Objections, Merits, Reparations, and Costs.</w:t>
      </w:r>
      <w:proofErr w:type="gramEnd"/>
      <w:r w:rsidRPr="00A70AD1">
        <w:rPr>
          <w:rFonts w:asciiTheme="majorHAnsi" w:hAnsiTheme="majorHAnsi"/>
          <w:sz w:val="16"/>
          <w:szCs w:val="16"/>
        </w:rPr>
        <w:t xml:space="preserve"> Judgment of February 27, 2012. Series C No. 240, para. 134.</w:t>
      </w:r>
      <w:r>
        <w:t xml:space="preserve">  </w:t>
      </w:r>
    </w:p>
  </w:footnote>
  <w:footnote w:id="6">
    <w:p w14:paraId="1E7F22DB" w14:textId="77777777" w:rsidR="00C45C34" w:rsidRPr="00FF330E" w:rsidRDefault="00C45C34" w:rsidP="00131FA4">
      <w:pPr>
        <w:pStyle w:val="FootnoteText"/>
        <w:spacing w:after="120"/>
        <w:ind w:firstLine="720"/>
        <w:jc w:val="both"/>
        <w:rPr>
          <w:rFonts w:ascii="Cambria" w:hAnsi="Cambria"/>
          <w:sz w:val="16"/>
          <w:szCs w:val="16"/>
        </w:rPr>
      </w:pPr>
      <w:r w:rsidRPr="00FF330E">
        <w:rPr>
          <w:rStyle w:val="FootnoteReference"/>
          <w:rFonts w:ascii="Cambria" w:hAnsi="Cambria"/>
          <w:sz w:val="16"/>
          <w:szCs w:val="16"/>
        </w:rPr>
        <w:footnoteRef/>
      </w:r>
      <w:r w:rsidRPr="00FF330E">
        <w:rPr>
          <w:rFonts w:ascii="Cambria" w:hAnsi="Cambria"/>
          <w:sz w:val="16"/>
          <w:szCs w:val="16"/>
        </w:rPr>
        <w:t xml:space="preserve"> I/A Court H.R., Case of Escher et al. v. Brazil. </w:t>
      </w:r>
      <w:proofErr w:type="gramStart"/>
      <w:r w:rsidRPr="00FF330E">
        <w:rPr>
          <w:rFonts w:ascii="Cambria" w:hAnsi="Cambria"/>
          <w:sz w:val="16"/>
          <w:szCs w:val="16"/>
        </w:rPr>
        <w:t>Preliminary Objections, Merits, Reparations, and Costs.</w:t>
      </w:r>
      <w:proofErr w:type="gramEnd"/>
      <w:r w:rsidRPr="00FF330E">
        <w:rPr>
          <w:rFonts w:ascii="Cambria" w:hAnsi="Cambria"/>
          <w:sz w:val="16"/>
          <w:szCs w:val="16"/>
        </w:rPr>
        <w:t xml:space="preserve"> Judgment of July 6, 2009. Series C No</w:t>
      </w:r>
      <w:r>
        <w:rPr>
          <w:rFonts w:ascii="Cambria" w:hAnsi="Cambria"/>
          <w:sz w:val="16"/>
          <w:szCs w:val="16"/>
        </w:rPr>
        <w:t>. 200, para. 114</w:t>
      </w:r>
      <w:r w:rsidRPr="00FF330E">
        <w:rPr>
          <w:rFonts w:ascii="Cambria" w:hAnsi="Cambria"/>
          <w:sz w:val="16"/>
          <w:szCs w:val="16"/>
        </w:rPr>
        <w:t>.</w:t>
      </w:r>
    </w:p>
  </w:footnote>
  <w:footnote w:id="7">
    <w:p w14:paraId="0E68F6A4" w14:textId="77777777" w:rsidR="00C45C34" w:rsidRPr="00FF330E" w:rsidRDefault="00C45C34" w:rsidP="00131FA4">
      <w:pPr>
        <w:pStyle w:val="FootnoteText"/>
        <w:spacing w:after="120"/>
        <w:ind w:firstLine="720"/>
        <w:jc w:val="both"/>
        <w:rPr>
          <w:rFonts w:ascii="Cambria" w:hAnsi="Cambria"/>
          <w:sz w:val="16"/>
          <w:szCs w:val="16"/>
        </w:rPr>
      </w:pPr>
      <w:r w:rsidRPr="00FF330E">
        <w:rPr>
          <w:rStyle w:val="FootnoteReference"/>
          <w:rFonts w:ascii="Cambria" w:hAnsi="Cambria"/>
          <w:sz w:val="16"/>
          <w:szCs w:val="16"/>
        </w:rPr>
        <w:footnoteRef/>
      </w:r>
      <w:r w:rsidRPr="00FF330E">
        <w:rPr>
          <w:rFonts w:ascii="Cambria" w:hAnsi="Cambria"/>
          <w:sz w:val="16"/>
          <w:szCs w:val="16"/>
        </w:rPr>
        <w:t xml:space="preserve"> I/A Court H.R., Case of Escher et al. v. Brazil. </w:t>
      </w:r>
      <w:proofErr w:type="gramStart"/>
      <w:r w:rsidRPr="00FF330E">
        <w:rPr>
          <w:rFonts w:ascii="Cambria" w:hAnsi="Cambria"/>
          <w:sz w:val="16"/>
          <w:szCs w:val="16"/>
        </w:rPr>
        <w:t>Preliminary Objections, Merits, Reparations, and Costs.</w:t>
      </w:r>
      <w:proofErr w:type="gramEnd"/>
      <w:r w:rsidRPr="00FF330E">
        <w:rPr>
          <w:rFonts w:ascii="Cambria" w:hAnsi="Cambria"/>
          <w:sz w:val="16"/>
          <w:szCs w:val="16"/>
        </w:rPr>
        <w:t xml:space="preserve"> Judgment of July 6, 2009. Series C No. 200, para. 116.</w:t>
      </w:r>
    </w:p>
  </w:footnote>
  <w:footnote w:id="8">
    <w:p w14:paraId="6BCAA534" w14:textId="77777777" w:rsidR="00C45C34" w:rsidRPr="00FF330E" w:rsidRDefault="00C45C34" w:rsidP="00131FA4">
      <w:pPr>
        <w:pStyle w:val="FootnoteText"/>
        <w:spacing w:after="120"/>
        <w:ind w:firstLine="720"/>
        <w:jc w:val="both"/>
        <w:rPr>
          <w:rFonts w:ascii="Cambria" w:hAnsi="Cambria"/>
          <w:sz w:val="16"/>
          <w:szCs w:val="16"/>
        </w:rPr>
      </w:pPr>
      <w:r w:rsidRPr="00FF330E">
        <w:rPr>
          <w:rStyle w:val="FootnoteReference"/>
          <w:rFonts w:ascii="Cambria" w:hAnsi="Cambria"/>
          <w:sz w:val="16"/>
          <w:szCs w:val="16"/>
        </w:rPr>
        <w:footnoteRef/>
      </w:r>
      <w:r w:rsidRPr="00FF330E">
        <w:rPr>
          <w:rFonts w:ascii="Cambria" w:hAnsi="Cambria"/>
          <w:sz w:val="16"/>
          <w:szCs w:val="16"/>
        </w:rPr>
        <w:t xml:space="preserve"> </w:t>
      </w:r>
      <w:proofErr w:type="gramStart"/>
      <w:r w:rsidRPr="00FF330E">
        <w:rPr>
          <w:rFonts w:ascii="Cambria" w:hAnsi="Cambria"/>
          <w:sz w:val="16"/>
          <w:szCs w:val="16"/>
        </w:rPr>
        <w:t>Radio Twist v. Slovakia.</w:t>
      </w:r>
      <w:proofErr w:type="gramEnd"/>
      <w:r w:rsidRPr="00FF330E">
        <w:rPr>
          <w:rFonts w:ascii="Cambria" w:hAnsi="Cambria"/>
          <w:sz w:val="16"/>
          <w:szCs w:val="16"/>
        </w:rPr>
        <w:t xml:space="preserve"> </w:t>
      </w:r>
      <w:proofErr w:type="gramStart"/>
      <w:r w:rsidRPr="00FF330E">
        <w:rPr>
          <w:rFonts w:ascii="Cambria" w:hAnsi="Cambria"/>
          <w:sz w:val="16"/>
          <w:szCs w:val="16"/>
        </w:rPr>
        <w:t>Paras.</w:t>
      </w:r>
      <w:proofErr w:type="gramEnd"/>
      <w:r w:rsidRPr="00FF330E">
        <w:rPr>
          <w:rFonts w:ascii="Cambria" w:hAnsi="Cambria"/>
          <w:sz w:val="16"/>
          <w:szCs w:val="16"/>
        </w:rPr>
        <w:t xml:space="preserve"> 56 – 65.</w:t>
      </w:r>
    </w:p>
  </w:footnote>
  <w:footnote w:id="9">
    <w:p w14:paraId="52A41781" w14:textId="77A7F0C1" w:rsidR="00C45C34" w:rsidRPr="00326F31" w:rsidRDefault="00C45C34" w:rsidP="00131FA4">
      <w:pPr>
        <w:spacing w:after="120"/>
        <w:ind w:firstLine="720"/>
        <w:jc w:val="both"/>
        <w:rPr>
          <w:rFonts w:asciiTheme="majorHAnsi" w:eastAsia="Calibri" w:hAnsiTheme="majorHAnsi" w:cs="Calibri"/>
          <w:color w:val="000000"/>
          <w:sz w:val="16"/>
          <w:szCs w:val="16"/>
          <w:u w:color="000000"/>
          <w:lang w:eastAsia="es-ES"/>
        </w:rPr>
      </w:pPr>
      <w:r w:rsidRPr="00326F31">
        <w:rPr>
          <w:rFonts w:asciiTheme="majorHAnsi" w:eastAsia="Calibri" w:hAnsiTheme="majorHAnsi" w:cs="Calibri"/>
          <w:color w:val="000000"/>
          <w:sz w:val="16"/>
          <w:szCs w:val="16"/>
          <w:u w:color="000000"/>
          <w:vertAlign w:val="superscript"/>
          <w:lang w:val="es-VE" w:eastAsia="es-ES"/>
        </w:rPr>
        <w:footnoteRef/>
      </w:r>
      <w:r w:rsidRPr="00326F31">
        <w:rPr>
          <w:rFonts w:asciiTheme="majorHAnsi" w:eastAsia="Calibri" w:hAnsiTheme="majorHAnsi" w:cs="Calibri"/>
          <w:color w:val="000000"/>
          <w:sz w:val="16"/>
          <w:szCs w:val="16"/>
          <w:u w:color="000000"/>
          <w:lang w:eastAsia="es-ES"/>
        </w:rPr>
        <w:t xml:space="preserve"> Article 71 of the Constitution establishes that: Matters of special national transcendence may be referred to a consultative referendum, on the initiative of the President of the Republic, taken at a meeting of the Cabinet; by resolution of the National Assembly, passed by a majority vote; or at the request of a number of voters constituting at least 10% of all voters registered on the national, civil and electoral registry. Matters of special state, municipal and parish transcendence may also be referred to a consultative referendum. The initiative shall be taken by the Parish Board, the Municipal Council and to the Legislative Council, by the vote of two third of its members; by the Mayor and the Governor or by a number of voters constituting at least 10% of the total number of voters registered in the pertinent circumscription.</w:t>
      </w:r>
      <w:r>
        <w:rPr>
          <w:rFonts w:asciiTheme="majorHAnsi" w:eastAsia="Calibri" w:hAnsiTheme="majorHAnsi" w:cs="Calibri"/>
          <w:color w:val="000000"/>
          <w:sz w:val="16"/>
          <w:szCs w:val="16"/>
          <w:u w:color="000000"/>
          <w:lang w:eastAsia="es-ES"/>
        </w:rPr>
        <w:t xml:space="preserve"> </w:t>
      </w:r>
      <w:r w:rsidRPr="00326F31">
        <w:rPr>
          <w:rFonts w:asciiTheme="majorHAnsi" w:eastAsia="Calibri" w:hAnsiTheme="majorHAnsi" w:cs="Calibri"/>
          <w:color w:val="000000"/>
          <w:sz w:val="16"/>
          <w:szCs w:val="16"/>
          <w:u w:color="000000"/>
          <w:lang w:eastAsia="es-ES"/>
        </w:rPr>
        <w:t>In turn, Article 72 stipulates that: All magistrates and other offices filled by popular vote are subject to revocation. Once half of the term of office to which an official has been elected has elapsed, a number of voters constituting at least 20% of the voters registered in the pertinent circumscription may extend a petition for the calling of a referendum to revoke such official's mandate. When a number of voters equal to or greater than the number of those who elected the official vote in favor of revocation, provided that a number of voters equal to or greater than 25% of the total number of registered voters have voted in the revocation election, the official's mandate shall be deemed revoked, and immediate action shall be taken to fill the permanent vacancy in accordance with the provided for in this Constitution and by law. The revocation of the mandate for the collegiate bodies shall be performed in accordance with the law. During the term to which the official was elected, only one petition to recall may be filed</w:t>
      </w:r>
      <w:r w:rsidRPr="00326F31">
        <w:rPr>
          <w:rFonts w:asciiTheme="majorHAnsi" w:eastAsia="Calibri" w:hAnsiTheme="majorHAnsi" w:cs="Calibri"/>
          <w:color w:val="000000"/>
          <w:sz w:val="16"/>
          <w:szCs w:val="16"/>
        </w:rPr>
        <w:t>. See Constitution of the Bolivarian Republic of Venezuela</w:t>
      </w:r>
      <w:r w:rsidRPr="00326F31">
        <w:rPr>
          <w:rFonts w:asciiTheme="majorHAnsi" w:hAnsiTheme="majorHAnsi"/>
          <w:sz w:val="16"/>
          <w:szCs w:val="16"/>
        </w:rPr>
        <w:t xml:space="preserve">, Extraordinary Official Gazette no. 36,380 of December 30, 1999, available at: </w:t>
      </w:r>
      <w:hyperlink r:id="rId1" w:anchor="cap4" w:history="1">
        <w:r w:rsidRPr="00326F31">
          <w:rPr>
            <w:rStyle w:val="Hyperlink"/>
            <w:rFonts w:asciiTheme="majorHAnsi" w:hAnsiTheme="majorHAnsi"/>
            <w:sz w:val="16"/>
            <w:szCs w:val="16"/>
          </w:rPr>
          <w:t>http://www.cne.gob.ve/web/normativa_electoral/constitucion/titulo3.php#cap4</w:t>
        </w:r>
      </w:hyperlink>
      <w:r w:rsidRPr="00326F31">
        <w:rPr>
          <w:rFonts w:asciiTheme="majorHAnsi" w:hAnsiTheme="majorHAnsi"/>
          <w:sz w:val="16"/>
          <w:szCs w:val="16"/>
        </w:rPr>
        <w:t>.</w:t>
      </w:r>
      <w:r>
        <w:rPr>
          <w:rFonts w:asciiTheme="majorHAnsi" w:hAnsiTheme="majorHAnsi"/>
          <w:sz w:val="16"/>
          <w:szCs w:val="16"/>
        </w:rPr>
        <w:t xml:space="preserve"> </w:t>
      </w:r>
    </w:p>
  </w:footnote>
  <w:footnote w:id="10">
    <w:p w14:paraId="4E0A50B0" w14:textId="23278C99"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w:t>
      </w:r>
      <w:proofErr w:type="gramStart"/>
      <w:r w:rsidRPr="00326F31">
        <w:rPr>
          <w:rFonts w:asciiTheme="majorHAnsi" w:hAnsiTheme="majorHAnsi"/>
          <w:sz w:val="16"/>
          <w:szCs w:val="16"/>
        </w:rPr>
        <w:t xml:space="preserve">Project </w:t>
      </w:r>
      <w:proofErr w:type="spellStart"/>
      <w:r w:rsidRPr="00326F31">
        <w:rPr>
          <w:rFonts w:asciiTheme="majorHAnsi" w:hAnsiTheme="majorHAnsi"/>
          <w:i/>
          <w:sz w:val="16"/>
          <w:szCs w:val="16"/>
        </w:rPr>
        <w:t>Súmate</w:t>
      </w:r>
      <w:proofErr w:type="spellEnd"/>
      <w:r w:rsidRPr="00326F31">
        <w:rPr>
          <w:rFonts w:asciiTheme="majorHAnsi" w:hAnsiTheme="majorHAnsi"/>
          <w:sz w:val="16"/>
          <w:szCs w:val="16"/>
        </w:rPr>
        <w:t xml:space="preserve">, available at: </w:t>
      </w:r>
      <w:hyperlink r:id="rId2" w:history="1">
        <w:r w:rsidRPr="00326F31">
          <w:rPr>
            <w:rStyle w:val="Hyperlink"/>
            <w:rFonts w:asciiTheme="majorHAnsi" w:hAnsiTheme="majorHAnsi"/>
            <w:sz w:val="16"/>
            <w:szCs w:val="16"/>
          </w:rPr>
          <w:t>http://www.sumate.org/proyectos.html</w:t>
        </w:r>
      </w:hyperlink>
      <w:r w:rsidRPr="00326F31">
        <w:rPr>
          <w:rFonts w:asciiTheme="majorHAnsi" w:hAnsiTheme="majorHAnsi"/>
          <w:sz w:val="16"/>
          <w:szCs w:val="16"/>
        </w:rPr>
        <w:t>.</w:t>
      </w:r>
      <w:proofErr w:type="gramEnd"/>
      <w:r w:rsidRPr="00326F31">
        <w:rPr>
          <w:rFonts w:asciiTheme="majorHAnsi" w:hAnsiTheme="majorHAnsi"/>
          <w:sz w:val="16"/>
          <w:szCs w:val="16"/>
        </w:rPr>
        <w:t xml:space="preserve"> </w:t>
      </w:r>
    </w:p>
  </w:footnote>
  <w:footnote w:id="11">
    <w:p w14:paraId="648E4421" w14:textId="667F7E80"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Analytics, Chavez: I will not resign even if they get 90% of the votes in the referendum, November 25, 2002, available at: </w:t>
      </w:r>
      <w:hyperlink r:id="rId3" w:history="1">
        <w:r w:rsidRPr="00326F31">
          <w:rPr>
            <w:rStyle w:val="Hyperlink"/>
            <w:rFonts w:asciiTheme="majorHAnsi" w:hAnsiTheme="majorHAnsi"/>
            <w:sz w:val="16"/>
            <w:szCs w:val="16"/>
          </w:rPr>
          <w:t>http://analitica.com/actualidad/actualidad-nacional/chavez-no-renunciare-aunque-logren-90-de-votos-en-el-referendum/</w:t>
        </w:r>
      </w:hyperlink>
      <w:r w:rsidRPr="00326F31">
        <w:rPr>
          <w:rFonts w:asciiTheme="majorHAnsi" w:hAnsiTheme="majorHAnsi"/>
          <w:sz w:val="16"/>
          <w:szCs w:val="16"/>
        </w:rPr>
        <w:t>.</w:t>
      </w:r>
      <w:r>
        <w:rPr>
          <w:rFonts w:asciiTheme="majorHAnsi" w:hAnsiTheme="majorHAnsi"/>
          <w:sz w:val="16"/>
          <w:szCs w:val="16"/>
        </w:rPr>
        <w:t xml:space="preserve"> </w:t>
      </w:r>
      <w:r w:rsidRPr="00326F31">
        <w:rPr>
          <w:rFonts w:asciiTheme="majorHAnsi" w:hAnsiTheme="majorHAnsi"/>
          <w:i/>
          <w:sz w:val="16"/>
          <w:szCs w:val="16"/>
        </w:rPr>
        <w:t xml:space="preserve">El </w:t>
      </w:r>
      <w:proofErr w:type="spellStart"/>
      <w:r w:rsidRPr="00326F31">
        <w:rPr>
          <w:rFonts w:asciiTheme="majorHAnsi" w:hAnsiTheme="majorHAnsi"/>
          <w:i/>
          <w:sz w:val="16"/>
          <w:szCs w:val="16"/>
        </w:rPr>
        <w:t>Día</w:t>
      </w:r>
      <w:proofErr w:type="spellEnd"/>
      <w:r w:rsidRPr="00326F31">
        <w:rPr>
          <w:rFonts w:asciiTheme="majorHAnsi" w:hAnsiTheme="majorHAnsi"/>
          <w:sz w:val="16"/>
          <w:szCs w:val="16"/>
        </w:rPr>
        <w:t xml:space="preserve"> [‘The Day’], The Supreme Court annuls the February 2 referendum, November 29, 2002, available at:</w:t>
      </w:r>
      <w:r>
        <w:rPr>
          <w:rFonts w:asciiTheme="majorHAnsi" w:hAnsiTheme="majorHAnsi"/>
          <w:sz w:val="16"/>
          <w:szCs w:val="16"/>
        </w:rPr>
        <w:t xml:space="preserve"> </w:t>
      </w:r>
      <w:hyperlink r:id="rId4" w:history="1">
        <w:r w:rsidRPr="00326F31">
          <w:rPr>
            <w:rStyle w:val="Hyperlink"/>
            <w:rFonts w:asciiTheme="majorHAnsi" w:hAnsiTheme="majorHAnsi"/>
            <w:sz w:val="16"/>
            <w:szCs w:val="16"/>
          </w:rPr>
          <w:t>http://eldia.es/venezuela/2002-11-29/2-Tribunal-Supremo-Justicia-anula-referendum-febrero.htm</w:t>
        </w:r>
      </w:hyperlink>
      <w:r w:rsidRPr="00326F31">
        <w:rPr>
          <w:rFonts w:asciiTheme="majorHAnsi" w:hAnsiTheme="majorHAnsi"/>
          <w:sz w:val="16"/>
          <w:szCs w:val="16"/>
        </w:rPr>
        <w:t xml:space="preserve">. </w:t>
      </w:r>
    </w:p>
  </w:footnote>
  <w:footnote w:id="12">
    <w:p w14:paraId="134F2F93" w14:textId="31AE2941"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National Electoral Council Resolution No. 021203-457, Electoral Gazette No. 168, available at: </w:t>
      </w:r>
      <w:hyperlink r:id="rId5" w:history="1">
        <w:r w:rsidRPr="00326F31">
          <w:rPr>
            <w:rStyle w:val="Hyperlink"/>
            <w:rFonts w:asciiTheme="majorHAnsi" w:hAnsiTheme="majorHAnsi"/>
            <w:sz w:val="16"/>
            <w:szCs w:val="16"/>
          </w:rPr>
          <w:t>http://www.cne.gob.ve/web/gaceta_electoral/gaceta_electoral_detallado.php?tg=1&amp;num_gac=168</w:t>
        </w:r>
      </w:hyperlink>
      <w:r w:rsidRPr="00326F31">
        <w:rPr>
          <w:rFonts w:asciiTheme="majorHAnsi" w:hAnsiTheme="majorHAnsi"/>
          <w:sz w:val="16"/>
          <w:szCs w:val="16"/>
        </w:rPr>
        <w:t xml:space="preserve">. </w:t>
      </w:r>
    </w:p>
  </w:footnote>
  <w:footnote w:id="13">
    <w:p w14:paraId="1F214563" w14:textId="3032AD1A"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Acting Chamber for Electoral Matters of the Supreme Court of Justice, Decision that grants the constitutional precautionary </w:t>
      </w:r>
      <w:proofErr w:type="spellStart"/>
      <w:r w:rsidRPr="00326F31">
        <w:rPr>
          <w:rFonts w:asciiTheme="majorHAnsi" w:hAnsiTheme="majorHAnsi"/>
          <w:i/>
          <w:sz w:val="16"/>
          <w:szCs w:val="16"/>
        </w:rPr>
        <w:t>amparo</w:t>
      </w:r>
      <w:proofErr w:type="spellEnd"/>
      <w:r w:rsidRPr="00326F31">
        <w:rPr>
          <w:rFonts w:asciiTheme="majorHAnsi" w:hAnsiTheme="majorHAnsi"/>
          <w:i/>
          <w:sz w:val="16"/>
          <w:szCs w:val="16"/>
        </w:rPr>
        <w:t>,</w:t>
      </w:r>
      <w:r w:rsidRPr="00326F31">
        <w:rPr>
          <w:rFonts w:asciiTheme="majorHAnsi" w:hAnsiTheme="majorHAnsi"/>
          <w:sz w:val="16"/>
          <w:szCs w:val="16"/>
        </w:rPr>
        <w:t xml:space="preserve"> January 22, 2003, available at: </w:t>
      </w:r>
      <w:hyperlink r:id="rId6" w:history="1">
        <w:r w:rsidRPr="00326F31">
          <w:rPr>
            <w:rStyle w:val="Hyperlink"/>
            <w:rFonts w:asciiTheme="majorHAnsi" w:hAnsiTheme="majorHAnsi"/>
            <w:sz w:val="16"/>
            <w:szCs w:val="16"/>
          </w:rPr>
          <w:t>http://historico.tsj.gob.ve/decisiones/selec/enero/3-220103-X-0002.HTM</w:t>
        </w:r>
      </w:hyperlink>
      <w:r w:rsidRPr="00326F31">
        <w:rPr>
          <w:rFonts w:asciiTheme="majorHAnsi" w:hAnsiTheme="majorHAnsi"/>
          <w:sz w:val="16"/>
          <w:szCs w:val="16"/>
        </w:rPr>
        <w:t xml:space="preserve">, </w:t>
      </w:r>
      <w:proofErr w:type="spellStart"/>
      <w:r w:rsidRPr="00326F31">
        <w:rPr>
          <w:rFonts w:asciiTheme="majorHAnsi" w:hAnsiTheme="majorHAnsi"/>
          <w:i/>
          <w:sz w:val="16"/>
          <w:szCs w:val="16"/>
        </w:rPr>
        <w:t>Súmate</w:t>
      </w:r>
      <w:proofErr w:type="spellEnd"/>
      <w:r w:rsidRPr="00326F31">
        <w:rPr>
          <w:rFonts w:asciiTheme="majorHAnsi" w:hAnsiTheme="majorHAnsi"/>
          <w:sz w:val="16"/>
          <w:szCs w:val="16"/>
        </w:rPr>
        <w:t xml:space="preserve"> Progress Report "The Presidential Recall Referendum", September 7, 2004, page 14, available at: </w:t>
      </w:r>
      <w:hyperlink r:id="rId7" w:history="1">
        <w:r w:rsidRPr="00326F31">
          <w:rPr>
            <w:rStyle w:val="Hyperlink"/>
            <w:rFonts w:asciiTheme="majorHAnsi" w:hAnsiTheme="majorHAnsi"/>
            <w:sz w:val="16"/>
            <w:szCs w:val="16"/>
          </w:rPr>
          <w:t>http://infovenezuela.org/democracy/attachments-spanish/T3%20ST03%20N8%20Avance%20Sumate%20RRP1-1.pdf</w:t>
        </w:r>
      </w:hyperlink>
      <w:r w:rsidRPr="00326F31">
        <w:rPr>
          <w:rFonts w:asciiTheme="majorHAnsi" w:hAnsiTheme="majorHAnsi"/>
          <w:sz w:val="16"/>
          <w:szCs w:val="16"/>
        </w:rPr>
        <w:t xml:space="preserve">. </w:t>
      </w:r>
    </w:p>
  </w:footnote>
  <w:footnote w:id="14">
    <w:p w14:paraId="4610447D" w14:textId="04351B94"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w:t>
      </w:r>
      <w:proofErr w:type="gramStart"/>
      <w:r w:rsidRPr="00326F31">
        <w:rPr>
          <w:rFonts w:asciiTheme="majorHAnsi" w:hAnsiTheme="majorHAnsi"/>
          <w:sz w:val="16"/>
          <w:szCs w:val="16"/>
        </w:rPr>
        <w:t xml:space="preserve">Acting Chamber for Electoral Matters of the Supreme Court of Justice, Decision that grants the constitutional precautionary </w:t>
      </w:r>
      <w:proofErr w:type="spellStart"/>
      <w:r w:rsidRPr="00326F31">
        <w:rPr>
          <w:rFonts w:asciiTheme="majorHAnsi" w:hAnsiTheme="majorHAnsi"/>
          <w:i/>
          <w:sz w:val="16"/>
          <w:szCs w:val="16"/>
        </w:rPr>
        <w:t>amparo</w:t>
      </w:r>
      <w:proofErr w:type="spellEnd"/>
      <w:r w:rsidRPr="00326F31">
        <w:rPr>
          <w:rFonts w:asciiTheme="majorHAnsi" w:hAnsiTheme="majorHAnsi"/>
          <w:i/>
          <w:sz w:val="16"/>
          <w:szCs w:val="16"/>
        </w:rPr>
        <w:t>,</w:t>
      </w:r>
      <w:r w:rsidRPr="00326F31">
        <w:rPr>
          <w:rFonts w:asciiTheme="majorHAnsi" w:hAnsiTheme="majorHAnsi"/>
          <w:sz w:val="16"/>
          <w:szCs w:val="16"/>
        </w:rPr>
        <w:t xml:space="preserve"> January 22, 2003, available at: </w:t>
      </w:r>
      <w:hyperlink r:id="rId8" w:history="1">
        <w:r w:rsidRPr="00326F31">
          <w:rPr>
            <w:rStyle w:val="Hyperlink"/>
            <w:rFonts w:asciiTheme="majorHAnsi" w:hAnsiTheme="majorHAnsi"/>
            <w:sz w:val="16"/>
            <w:szCs w:val="16"/>
          </w:rPr>
          <w:t>http://historico.tsj.gob.ve/decisiones/selec/enero/3-220103-X-0002.HTM</w:t>
        </w:r>
      </w:hyperlink>
      <w:r w:rsidRPr="00326F31">
        <w:rPr>
          <w:rFonts w:asciiTheme="majorHAnsi" w:hAnsiTheme="majorHAnsi"/>
          <w:sz w:val="16"/>
          <w:szCs w:val="16"/>
        </w:rPr>
        <w:t>.</w:t>
      </w:r>
      <w:proofErr w:type="gramEnd"/>
      <w:r w:rsidRPr="00326F31">
        <w:rPr>
          <w:rFonts w:asciiTheme="majorHAnsi" w:hAnsiTheme="majorHAnsi"/>
          <w:sz w:val="16"/>
          <w:szCs w:val="16"/>
        </w:rPr>
        <w:t xml:space="preserve"> </w:t>
      </w:r>
    </w:p>
  </w:footnote>
  <w:footnote w:id="15">
    <w:p w14:paraId="68FFBEB5" w14:textId="4E866CA4"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w:t>
      </w:r>
      <w:proofErr w:type="gramStart"/>
      <w:r w:rsidRPr="00326F31">
        <w:rPr>
          <w:rFonts w:asciiTheme="majorHAnsi" w:hAnsiTheme="majorHAnsi"/>
          <w:sz w:val="16"/>
          <w:szCs w:val="16"/>
        </w:rPr>
        <w:t xml:space="preserve">Acting Chamber for Electoral Matters of the Supreme Court of Justice, Decision that grants the constitutional precautionary </w:t>
      </w:r>
      <w:proofErr w:type="spellStart"/>
      <w:r w:rsidRPr="00326F31">
        <w:rPr>
          <w:rFonts w:asciiTheme="majorHAnsi" w:hAnsiTheme="majorHAnsi"/>
          <w:i/>
          <w:sz w:val="16"/>
          <w:szCs w:val="16"/>
        </w:rPr>
        <w:t>amparo</w:t>
      </w:r>
      <w:proofErr w:type="spellEnd"/>
      <w:r w:rsidRPr="00326F31">
        <w:rPr>
          <w:rFonts w:asciiTheme="majorHAnsi" w:hAnsiTheme="majorHAnsi"/>
          <w:i/>
          <w:sz w:val="16"/>
          <w:szCs w:val="16"/>
        </w:rPr>
        <w:t>,</w:t>
      </w:r>
      <w:r w:rsidRPr="00326F31">
        <w:rPr>
          <w:rFonts w:asciiTheme="majorHAnsi" w:hAnsiTheme="majorHAnsi"/>
          <w:sz w:val="16"/>
          <w:szCs w:val="16"/>
        </w:rPr>
        <w:t xml:space="preserve"> January 22, 2003, available at: </w:t>
      </w:r>
      <w:hyperlink r:id="rId9" w:history="1">
        <w:r w:rsidRPr="00326F31">
          <w:rPr>
            <w:rStyle w:val="Hyperlink"/>
            <w:rFonts w:asciiTheme="majorHAnsi" w:hAnsiTheme="majorHAnsi"/>
            <w:sz w:val="16"/>
            <w:szCs w:val="16"/>
          </w:rPr>
          <w:t>http://historico.tsj.gob.ve/decisiones/selec/enero/3-220103-X-0002.HTM</w:t>
        </w:r>
      </w:hyperlink>
      <w:r w:rsidRPr="00326F31">
        <w:rPr>
          <w:rFonts w:asciiTheme="majorHAnsi" w:hAnsiTheme="majorHAnsi"/>
          <w:sz w:val="16"/>
          <w:szCs w:val="16"/>
        </w:rPr>
        <w:t>.</w:t>
      </w:r>
      <w:proofErr w:type="gramEnd"/>
      <w:r w:rsidRPr="00326F31">
        <w:rPr>
          <w:rFonts w:asciiTheme="majorHAnsi" w:hAnsiTheme="majorHAnsi"/>
          <w:sz w:val="16"/>
          <w:szCs w:val="16"/>
        </w:rPr>
        <w:t xml:space="preserve"> </w:t>
      </w:r>
    </w:p>
  </w:footnote>
  <w:footnote w:id="16">
    <w:p w14:paraId="41BFECF7" w14:textId="5085FFCC"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w:t>
      </w:r>
      <w:proofErr w:type="spellStart"/>
      <w:r w:rsidRPr="00326F31">
        <w:rPr>
          <w:rFonts w:asciiTheme="majorHAnsi" w:hAnsiTheme="majorHAnsi"/>
          <w:i/>
          <w:sz w:val="16"/>
          <w:szCs w:val="16"/>
        </w:rPr>
        <w:t>Súmate</w:t>
      </w:r>
      <w:proofErr w:type="spellEnd"/>
      <w:r w:rsidRPr="00326F31">
        <w:rPr>
          <w:rFonts w:asciiTheme="majorHAnsi" w:hAnsiTheme="majorHAnsi"/>
          <w:sz w:val="16"/>
          <w:szCs w:val="16"/>
        </w:rPr>
        <w:t xml:space="preserve"> Progress Report "The Presidential Recall Referendum", September 7, 2004, page 14, available at: </w:t>
      </w:r>
      <w:hyperlink r:id="rId10" w:history="1">
        <w:r w:rsidRPr="00326F31">
          <w:rPr>
            <w:rStyle w:val="Hyperlink"/>
            <w:rFonts w:asciiTheme="majorHAnsi" w:hAnsiTheme="majorHAnsi"/>
            <w:sz w:val="16"/>
            <w:szCs w:val="16"/>
          </w:rPr>
          <w:t>http://infovenezuela.org/democracy/attachments-spanish/T3%20ST03%20N8%20Avance%20Sumate%20RRP1-1.pdf</w:t>
        </w:r>
      </w:hyperlink>
      <w:r w:rsidRPr="00326F31">
        <w:rPr>
          <w:rFonts w:asciiTheme="majorHAnsi" w:hAnsiTheme="majorHAnsi"/>
          <w:sz w:val="16"/>
          <w:szCs w:val="16"/>
        </w:rPr>
        <w:t>.</w:t>
      </w:r>
    </w:p>
  </w:footnote>
  <w:footnote w:id="17">
    <w:p w14:paraId="38CE1727" w14:textId="323258D0"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w:t>
      </w:r>
      <w:proofErr w:type="spellStart"/>
      <w:r w:rsidRPr="00326F31">
        <w:rPr>
          <w:rFonts w:asciiTheme="majorHAnsi" w:hAnsiTheme="majorHAnsi"/>
          <w:i/>
          <w:sz w:val="16"/>
          <w:szCs w:val="16"/>
        </w:rPr>
        <w:t>Súmate</w:t>
      </w:r>
      <w:proofErr w:type="spellEnd"/>
      <w:r w:rsidRPr="00326F31">
        <w:rPr>
          <w:rFonts w:asciiTheme="majorHAnsi" w:hAnsiTheme="majorHAnsi"/>
          <w:sz w:val="16"/>
          <w:szCs w:val="16"/>
        </w:rPr>
        <w:t xml:space="preserve"> Progress Report "The Presidential Recall Referendum", September 7, 2004, page 15, available at: </w:t>
      </w:r>
      <w:hyperlink r:id="rId11" w:history="1">
        <w:r w:rsidRPr="00326F31">
          <w:rPr>
            <w:rStyle w:val="Hyperlink"/>
            <w:rFonts w:asciiTheme="majorHAnsi" w:hAnsiTheme="majorHAnsi"/>
            <w:sz w:val="16"/>
            <w:szCs w:val="16"/>
          </w:rPr>
          <w:t>http://infovenezuela.org/democracy/attachments-spanish/T3%20ST03%20N8%20Avance%20Sumate%20RRP1-1.pdf</w:t>
        </w:r>
      </w:hyperlink>
    </w:p>
  </w:footnote>
  <w:footnote w:id="18">
    <w:p w14:paraId="5C0CB30E" w14:textId="4C7C7155"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w:t>
      </w:r>
      <w:r w:rsidRPr="00326F31">
        <w:rPr>
          <w:rFonts w:asciiTheme="majorHAnsi" w:hAnsiTheme="majorHAnsi"/>
          <w:i/>
          <w:sz w:val="16"/>
          <w:szCs w:val="16"/>
        </w:rPr>
        <w:t>El País</w:t>
      </w:r>
      <w:r w:rsidRPr="00326F31">
        <w:rPr>
          <w:rFonts w:asciiTheme="majorHAnsi" w:hAnsiTheme="majorHAnsi"/>
          <w:sz w:val="16"/>
          <w:szCs w:val="16"/>
        </w:rPr>
        <w:t xml:space="preserve">, opposition claims victory in the </w:t>
      </w:r>
      <w:proofErr w:type="spellStart"/>
      <w:r w:rsidRPr="00326F31">
        <w:rPr>
          <w:rFonts w:asciiTheme="majorHAnsi" w:hAnsiTheme="majorHAnsi"/>
          <w:i/>
          <w:sz w:val="16"/>
          <w:szCs w:val="16"/>
        </w:rPr>
        <w:t>firmazo</w:t>
      </w:r>
      <w:proofErr w:type="spellEnd"/>
      <w:r w:rsidRPr="00326F31">
        <w:rPr>
          <w:rFonts w:asciiTheme="majorHAnsi" w:hAnsiTheme="majorHAnsi"/>
          <w:sz w:val="16"/>
          <w:szCs w:val="16"/>
        </w:rPr>
        <w:t xml:space="preserve"> against Chavez, December 3, 2003, available at: </w:t>
      </w:r>
      <w:hyperlink r:id="rId12" w:history="1">
        <w:r w:rsidRPr="00326F31">
          <w:rPr>
            <w:rStyle w:val="Hyperlink"/>
            <w:rFonts w:asciiTheme="majorHAnsi" w:hAnsiTheme="majorHAnsi"/>
            <w:sz w:val="16"/>
            <w:szCs w:val="16"/>
          </w:rPr>
          <w:t>http://elpais.com/diario/2003/12/03/internacional/1070406013_850215.html</w:t>
        </w:r>
      </w:hyperlink>
      <w:r w:rsidRPr="00326F31">
        <w:rPr>
          <w:rFonts w:asciiTheme="majorHAnsi" w:hAnsiTheme="majorHAnsi"/>
          <w:sz w:val="16"/>
          <w:szCs w:val="16"/>
        </w:rPr>
        <w:t xml:space="preserve">. </w:t>
      </w:r>
    </w:p>
  </w:footnote>
  <w:footnote w:id="19">
    <w:p w14:paraId="1BE99AE5" w14:textId="0F4F3875"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w:t>
      </w:r>
      <w:r w:rsidRPr="00326F31">
        <w:rPr>
          <w:rFonts w:asciiTheme="majorHAnsi" w:hAnsiTheme="majorHAnsi"/>
          <w:i/>
          <w:sz w:val="16"/>
          <w:szCs w:val="16"/>
        </w:rPr>
        <w:t>El Universal</w:t>
      </w:r>
      <w:r w:rsidRPr="00326F31">
        <w:rPr>
          <w:rFonts w:asciiTheme="majorHAnsi" w:hAnsiTheme="majorHAnsi"/>
          <w:sz w:val="16"/>
          <w:szCs w:val="16"/>
        </w:rPr>
        <w:t xml:space="preserve">, Order to deliver signatures after 19A, August 14, 2003, available at: </w:t>
      </w:r>
      <w:hyperlink r:id="rId13" w:history="1">
        <w:r w:rsidRPr="00326F31">
          <w:rPr>
            <w:rStyle w:val="Hyperlink"/>
            <w:rFonts w:asciiTheme="majorHAnsi" w:hAnsiTheme="majorHAnsi"/>
            <w:sz w:val="16"/>
            <w:szCs w:val="16"/>
          </w:rPr>
          <w:t>http://www.eluniversal.com/2003/08/14/pol_art_14104AA</w:t>
        </w:r>
      </w:hyperlink>
      <w:r w:rsidRPr="00326F31">
        <w:rPr>
          <w:rFonts w:asciiTheme="majorHAnsi" w:hAnsiTheme="majorHAnsi"/>
          <w:sz w:val="16"/>
          <w:szCs w:val="16"/>
        </w:rPr>
        <w:t xml:space="preserve">. </w:t>
      </w:r>
    </w:p>
  </w:footnote>
  <w:footnote w:id="20">
    <w:p w14:paraId="011AFBE9" w14:textId="37722CED"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proofErr w:type="spellStart"/>
      <w:r w:rsidRPr="00326F31">
        <w:rPr>
          <w:rFonts w:asciiTheme="majorHAnsi" w:hAnsiTheme="majorHAnsi"/>
          <w:i/>
          <w:sz w:val="16"/>
          <w:szCs w:val="16"/>
        </w:rPr>
        <w:t>Súmate</w:t>
      </w:r>
      <w:proofErr w:type="spellEnd"/>
      <w:r w:rsidRPr="00326F31">
        <w:rPr>
          <w:rFonts w:asciiTheme="majorHAnsi" w:hAnsiTheme="majorHAnsi"/>
          <w:sz w:val="16"/>
          <w:szCs w:val="16"/>
        </w:rPr>
        <w:t xml:space="preserve"> Progress Report "The Presidential Recall Referendum", September 7, 2004, page 14, available at: </w:t>
      </w:r>
      <w:hyperlink r:id="rId14" w:history="1">
        <w:r w:rsidRPr="00326F31">
          <w:rPr>
            <w:rStyle w:val="Hyperlink"/>
            <w:rFonts w:asciiTheme="majorHAnsi" w:hAnsiTheme="majorHAnsi"/>
            <w:sz w:val="16"/>
            <w:szCs w:val="16"/>
          </w:rPr>
          <w:t>http://infovenezuela.org/democracy/attachments-spanish/T3%20ST03%20N8%20Avance%20Sumate%20RRP1-1.pdf</w:t>
        </w:r>
      </w:hyperlink>
      <w:r w:rsidRPr="00326F31">
        <w:rPr>
          <w:rFonts w:asciiTheme="majorHAnsi" w:hAnsiTheme="majorHAnsi"/>
          <w:sz w:val="16"/>
          <w:szCs w:val="16"/>
        </w:rPr>
        <w:t>.</w:t>
      </w:r>
    </w:p>
  </w:footnote>
  <w:footnote w:id="21">
    <w:p w14:paraId="61825B08" w14:textId="5D5CC10F"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National Electoral Council Resolution No. 030912-461, September 12, 2003, available at</w:t>
      </w:r>
      <w:proofErr w:type="gramStart"/>
      <w:r w:rsidRPr="00326F31">
        <w:rPr>
          <w:rFonts w:asciiTheme="majorHAnsi" w:hAnsiTheme="majorHAnsi"/>
          <w:sz w:val="16"/>
          <w:szCs w:val="16"/>
        </w:rPr>
        <w:t>:</w:t>
      </w:r>
      <w:proofErr w:type="gramEnd"/>
      <w:r>
        <w:fldChar w:fldCharType="begin"/>
      </w:r>
      <w:r>
        <w:instrText xml:space="preserve"> HYPERLINK "http://www.cne.gob.ve/web/sala_prensa/noticia_detallada.php?id=1629" </w:instrText>
      </w:r>
      <w:r>
        <w:fldChar w:fldCharType="separate"/>
      </w:r>
      <w:r w:rsidRPr="00326F31">
        <w:rPr>
          <w:rStyle w:val="Hyperlink"/>
          <w:rFonts w:asciiTheme="majorHAnsi" w:hAnsiTheme="majorHAnsi"/>
          <w:sz w:val="16"/>
          <w:szCs w:val="16"/>
        </w:rPr>
        <w:t>http://www.cne.gob.ve/web/sala_prensa/noticia_detallada.php?id=1629</w:t>
      </w:r>
      <w:r>
        <w:rPr>
          <w:rStyle w:val="Hyperlink"/>
          <w:rFonts w:asciiTheme="majorHAnsi" w:hAnsiTheme="majorHAnsi"/>
          <w:sz w:val="16"/>
          <w:szCs w:val="16"/>
        </w:rPr>
        <w:fldChar w:fldCharType="end"/>
      </w:r>
      <w:r w:rsidRPr="00326F31">
        <w:rPr>
          <w:rFonts w:asciiTheme="majorHAnsi" w:hAnsiTheme="majorHAnsi"/>
          <w:sz w:val="16"/>
          <w:szCs w:val="16"/>
        </w:rPr>
        <w:t xml:space="preserve">. </w:t>
      </w:r>
    </w:p>
  </w:footnote>
  <w:footnote w:id="22">
    <w:p w14:paraId="67CF62B7" w14:textId="2A375534"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National Electoral Council Resolution No. 030912-461, September 12, 2003, available at: </w:t>
      </w:r>
      <w:hyperlink r:id="rId15" w:history="1">
        <w:r w:rsidRPr="00326F31">
          <w:rPr>
            <w:rStyle w:val="Hyperlink"/>
            <w:rFonts w:asciiTheme="majorHAnsi" w:hAnsiTheme="majorHAnsi"/>
            <w:sz w:val="16"/>
            <w:szCs w:val="16"/>
          </w:rPr>
          <w:t>http://www.cne.gob.ve/web/sala_prensa/noticia_detallada.php?id=1629</w:t>
        </w:r>
      </w:hyperlink>
      <w:r w:rsidRPr="00326F31">
        <w:rPr>
          <w:rFonts w:asciiTheme="majorHAnsi" w:hAnsiTheme="majorHAnsi"/>
          <w:sz w:val="16"/>
          <w:szCs w:val="16"/>
        </w:rPr>
        <w:t xml:space="preserve">. </w:t>
      </w:r>
    </w:p>
  </w:footnote>
  <w:footnote w:id="23">
    <w:p w14:paraId="7F69F5BD" w14:textId="524AE04B"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National Electoral Council, Resolution 030925-465, September 25, 2003.</w:t>
      </w:r>
    </w:p>
  </w:footnote>
  <w:footnote w:id="24">
    <w:p w14:paraId="1400329A" w14:textId="1B8673B1"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National Electoral Council, Resolution 031015-539, October 15, 2003.</w:t>
      </w:r>
    </w:p>
  </w:footnote>
  <w:footnote w:id="25">
    <w:p w14:paraId="18B9AA02" w14:textId="05063A9F"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1</w:t>
      </w:r>
      <w:r w:rsidRPr="00326F31">
        <w:rPr>
          <w:rFonts w:asciiTheme="majorHAnsi" w:hAnsiTheme="majorHAnsi"/>
          <w:sz w:val="16"/>
          <w:szCs w:val="16"/>
        </w:rPr>
        <w:t xml:space="preserve">. </w:t>
      </w:r>
      <w:proofErr w:type="gramStart"/>
      <w:r w:rsidRPr="00326F31">
        <w:rPr>
          <w:rFonts w:asciiTheme="majorHAnsi" w:hAnsiTheme="majorHAnsi"/>
          <w:sz w:val="16"/>
          <w:szCs w:val="16"/>
        </w:rPr>
        <w:t>National Electoral Council Resolution No. 031027-710 of 27 October 2003 (Annex A to the State’s submission within the admissibility process before Commission of January 16, 2008).</w:t>
      </w:r>
      <w:proofErr w:type="gramEnd"/>
    </w:p>
  </w:footnote>
  <w:footnote w:id="26">
    <w:p w14:paraId="55696DEF" w14:textId="0299987C"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Ann</w:t>
      </w:r>
      <w:r>
        <w:rPr>
          <w:rFonts w:asciiTheme="majorHAnsi" w:hAnsiTheme="majorHAnsi"/>
          <w:sz w:val="16"/>
          <w:szCs w:val="16"/>
        </w:rPr>
        <w:t>ex 2</w:t>
      </w:r>
      <w:r w:rsidRPr="00326F31">
        <w:rPr>
          <w:rFonts w:asciiTheme="majorHAnsi" w:hAnsiTheme="majorHAnsi"/>
          <w:sz w:val="16"/>
          <w:szCs w:val="16"/>
        </w:rPr>
        <w:t xml:space="preserve">. </w:t>
      </w:r>
      <w:proofErr w:type="gramStart"/>
      <w:r w:rsidRPr="00326F31">
        <w:rPr>
          <w:rFonts w:asciiTheme="majorHAnsi" w:hAnsiTheme="majorHAnsi"/>
          <w:sz w:val="16"/>
          <w:szCs w:val="16"/>
        </w:rPr>
        <w:t>National Electoral Council Resolution No. 031027-710 of 27 October 2003 (Annex A to the State’s submission within the admissibility process before Commission of January 16, 2008).</w:t>
      </w:r>
      <w:proofErr w:type="gramEnd"/>
    </w:p>
  </w:footnote>
  <w:footnote w:id="27">
    <w:p w14:paraId="23F21A1F" w14:textId="35EE7568" w:rsidR="00C45C34" w:rsidRPr="00326F31" w:rsidRDefault="00C45C34" w:rsidP="00131FA4">
      <w:pPr>
        <w:pBdr>
          <w:left w:val="none" w:sz="0" w:space="0" w:color="auto"/>
          <w:bottom w:val="none" w:sz="0" w:space="0" w:color="auto"/>
          <w:right w:val="none" w:sz="0" w:space="0" w:color="auto"/>
          <w:between w:val="none" w:sz="0" w:space="0" w:color="auto"/>
          <w:bar w:val="none" w:sz="0" w:color="auto"/>
        </w:pBdr>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In its Annual Report 2004, the Commission indicated that it was informed “</w:t>
      </w:r>
      <w:r w:rsidRPr="00326F31">
        <w:rPr>
          <w:rFonts w:asciiTheme="majorHAnsi" w:hAnsiTheme="majorHAnsi"/>
          <w:color w:val="000000"/>
          <w:sz w:val="16"/>
          <w:szCs w:val="16"/>
        </w:rPr>
        <w:t>of growing tensions and polarization between opposition sectors and the government. This was evident in the events surrounding the process of verifying and validating signatures collected by the National Electoral Council (CNE), as well as in the charges voiced by senior government officials and the President himself about instances of "mega-fraud", and in the wave of peaceful street protests in some of which there were acts of violence involving the disproportionate use of force by the security apparatus responsible for public safety</w:t>
      </w:r>
      <w:r w:rsidRPr="00326F31">
        <w:rPr>
          <w:rFonts w:asciiTheme="majorHAnsi" w:hAnsiTheme="majorHAnsi"/>
          <w:sz w:val="16"/>
          <w:szCs w:val="16"/>
        </w:rPr>
        <w:t xml:space="preserve">. </w:t>
      </w:r>
      <w:r w:rsidRPr="00326F31">
        <w:rPr>
          <w:rFonts w:asciiTheme="majorHAnsi" w:hAnsiTheme="majorHAnsi"/>
          <w:sz w:val="16"/>
          <w:szCs w:val="16"/>
          <w:shd w:val="clear" w:color="auto" w:fill="FFFFFF"/>
        </w:rPr>
        <w:t xml:space="preserve">See IACHR, </w:t>
      </w:r>
      <w:r w:rsidRPr="00326F31">
        <w:rPr>
          <w:rFonts w:asciiTheme="majorHAnsi" w:hAnsiTheme="majorHAnsi"/>
          <w:sz w:val="16"/>
          <w:szCs w:val="16"/>
        </w:rPr>
        <w:t>Follow-up report on compliance by the State of Venezuela with the recommendations made by the IACHR in its report on the situation of human rights in Venezuela</w:t>
      </w:r>
      <w:r w:rsidRPr="00326F31">
        <w:rPr>
          <w:rFonts w:asciiTheme="majorHAnsi" w:hAnsiTheme="majorHAnsi"/>
          <w:sz w:val="16"/>
          <w:szCs w:val="16"/>
          <w:shd w:val="clear" w:color="auto" w:fill="FFFFFF"/>
        </w:rPr>
        <w:t xml:space="preserve">, February 23, 2005, available at: </w:t>
      </w:r>
      <w:hyperlink r:id="rId16" w:history="1">
        <w:r w:rsidRPr="00326F31">
          <w:rPr>
            <w:rStyle w:val="Hyperlink"/>
            <w:rFonts w:asciiTheme="majorHAnsi" w:hAnsiTheme="majorHAnsi"/>
            <w:sz w:val="16"/>
            <w:szCs w:val="16"/>
          </w:rPr>
          <w:t>http://www.cidh.org/annualrep/2004eng/chap.5b.htm</w:t>
        </w:r>
      </w:hyperlink>
      <w:r w:rsidRPr="00326F31">
        <w:rPr>
          <w:rFonts w:asciiTheme="majorHAnsi" w:hAnsiTheme="majorHAnsi"/>
          <w:sz w:val="16"/>
          <w:szCs w:val="16"/>
        </w:rPr>
        <w:t>.</w:t>
      </w:r>
      <w:r w:rsidRPr="00326F31">
        <w:rPr>
          <w:rFonts w:asciiTheme="majorHAnsi" w:hAnsiTheme="majorHAnsi"/>
          <w:sz w:val="16"/>
          <w:szCs w:val="16"/>
          <w:shd w:val="clear" w:color="auto" w:fill="FFFFFF"/>
        </w:rPr>
        <w:t xml:space="preserve"> </w:t>
      </w:r>
    </w:p>
  </w:footnote>
  <w:footnote w:id="28">
    <w:p w14:paraId="45B24018" w14:textId="226991BC"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Documentary "The List, a people under suspicion, available at: </w:t>
      </w:r>
      <w:hyperlink r:id="rId17" w:history="1">
        <w:r w:rsidRPr="00326F31">
          <w:rPr>
            <w:rStyle w:val="Hyperlink"/>
            <w:rFonts w:asciiTheme="majorHAnsi" w:hAnsiTheme="majorHAnsi"/>
            <w:sz w:val="16"/>
            <w:szCs w:val="16"/>
          </w:rPr>
          <w:t>https://www.youtube.com/watch?v=2LuOQjhg8BU</w:t>
        </w:r>
      </w:hyperlink>
      <w:r w:rsidRPr="00326F31">
        <w:rPr>
          <w:rFonts w:asciiTheme="majorHAnsi" w:hAnsiTheme="majorHAnsi"/>
          <w:sz w:val="16"/>
          <w:szCs w:val="16"/>
        </w:rPr>
        <w:t>;</w:t>
      </w:r>
      <w:r>
        <w:rPr>
          <w:rFonts w:asciiTheme="majorHAnsi" w:hAnsiTheme="majorHAnsi"/>
          <w:sz w:val="16"/>
          <w:szCs w:val="16"/>
        </w:rPr>
        <w:t xml:space="preserve"> </w:t>
      </w:r>
      <w:r w:rsidRPr="00326F31">
        <w:rPr>
          <w:rFonts w:asciiTheme="majorHAnsi" w:hAnsiTheme="majorHAnsi"/>
          <w:sz w:val="16"/>
          <w:szCs w:val="16"/>
        </w:rPr>
        <w:t xml:space="preserve">The Universal, The infamous list, what’s upsetting is how millions of people came out of the slums to vote without fear, February 25, 2012, available at: </w:t>
      </w:r>
      <w:hyperlink r:id="rId18" w:history="1">
        <w:r w:rsidRPr="00326F31">
          <w:rPr>
            <w:rStyle w:val="Hyperlink"/>
            <w:rFonts w:asciiTheme="majorHAnsi" w:hAnsiTheme="majorHAnsi"/>
            <w:sz w:val="16"/>
            <w:szCs w:val="16"/>
          </w:rPr>
          <w:t>http://www.eluniversal.com/opinion/120225/la-lista-infame-imp</w:t>
        </w:r>
      </w:hyperlink>
      <w:r w:rsidRPr="00326F31">
        <w:rPr>
          <w:rFonts w:asciiTheme="majorHAnsi" w:hAnsiTheme="majorHAnsi"/>
          <w:sz w:val="16"/>
          <w:szCs w:val="16"/>
        </w:rPr>
        <w:t xml:space="preserve">. </w:t>
      </w:r>
    </w:p>
  </w:footnote>
  <w:footnote w:id="29">
    <w:p w14:paraId="7679B185" w14:textId="428B8754"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Active Citizenship, Documentary "The List, a people under suspicion" available at: </w:t>
      </w:r>
      <w:hyperlink r:id="rId19" w:history="1">
        <w:r w:rsidRPr="00326F31">
          <w:rPr>
            <w:rStyle w:val="Hyperlink"/>
            <w:rFonts w:asciiTheme="majorHAnsi" w:hAnsiTheme="majorHAnsi"/>
            <w:sz w:val="16"/>
            <w:szCs w:val="16"/>
          </w:rPr>
          <w:t>https://ciudadaniaactivavzla.wordpress.com/2015/03/26/documental-la-lista-tascon/</w:t>
        </w:r>
      </w:hyperlink>
      <w:r w:rsidRPr="00326F31">
        <w:rPr>
          <w:rFonts w:asciiTheme="majorHAnsi" w:hAnsiTheme="majorHAnsi"/>
          <w:sz w:val="16"/>
          <w:szCs w:val="16"/>
        </w:rPr>
        <w:t xml:space="preserve">. </w:t>
      </w:r>
    </w:p>
  </w:footnote>
  <w:footnote w:id="30">
    <w:p w14:paraId="3504BEDF" w14:textId="56CAF0FA"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Active Citizenship, Documentary "The List, a people under suspicion" available at: </w:t>
      </w:r>
      <w:hyperlink r:id="rId20" w:history="1">
        <w:r w:rsidRPr="00326F31">
          <w:rPr>
            <w:rStyle w:val="Hyperlink"/>
            <w:rFonts w:asciiTheme="majorHAnsi" w:hAnsiTheme="majorHAnsi"/>
            <w:sz w:val="16"/>
            <w:szCs w:val="16"/>
          </w:rPr>
          <w:t>https://ciudadaniaactivavzla.wordpress.com/2015/03/26/documental-la-lista-tascon/</w:t>
        </w:r>
      </w:hyperlink>
      <w:r w:rsidRPr="00326F31">
        <w:rPr>
          <w:rFonts w:asciiTheme="majorHAnsi" w:hAnsiTheme="majorHAnsi"/>
          <w:sz w:val="16"/>
          <w:szCs w:val="16"/>
        </w:rPr>
        <w:t xml:space="preserve">. </w:t>
      </w:r>
    </w:p>
  </w:footnote>
  <w:footnote w:id="31">
    <w:p w14:paraId="2FFAFFFC" w14:textId="17513FB5"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The Carter Center, Observation of the presidential recall referendum in Venezuela, February 2005, page 28, available at: </w:t>
      </w:r>
      <w:hyperlink r:id="rId21" w:history="1">
        <w:r w:rsidRPr="00326F31">
          <w:rPr>
            <w:rStyle w:val="Hyperlink"/>
            <w:rFonts w:asciiTheme="majorHAnsi" w:hAnsiTheme="majorHAnsi"/>
            <w:sz w:val="16"/>
            <w:szCs w:val="16"/>
          </w:rPr>
          <w:t>https://www.cartercenter.org/documents/2021.pdf</w:t>
        </w:r>
      </w:hyperlink>
      <w:r w:rsidRPr="00326F31">
        <w:rPr>
          <w:rFonts w:asciiTheme="majorHAnsi" w:hAnsiTheme="majorHAnsi"/>
          <w:sz w:val="16"/>
          <w:szCs w:val="16"/>
        </w:rPr>
        <w:t xml:space="preserve">. </w:t>
      </w:r>
    </w:p>
  </w:footnote>
  <w:footnote w:id="32">
    <w:p w14:paraId="6CC750C4" w14:textId="2D796213"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ABC, Chavez placed on a blacklist all who participated in the primaries of the opposition, April 10, 2012, available at:: </w:t>
      </w:r>
      <w:hyperlink r:id="rId22" w:history="1">
        <w:r w:rsidRPr="00326F31">
          <w:rPr>
            <w:rStyle w:val="Hyperlink"/>
            <w:rFonts w:asciiTheme="majorHAnsi" w:hAnsiTheme="majorHAnsi"/>
            <w:sz w:val="16"/>
            <w:szCs w:val="16"/>
          </w:rPr>
          <w:t>http://www.abc.es/20120410/internacional/abci-chavez-coloca-lista-negra-201204092159.html</w:t>
        </w:r>
      </w:hyperlink>
      <w:r w:rsidRPr="00326F31">
        <w:rPr>
          <w:rFonts w:asciiTheme="majorHAnsi" w:hAnsiTheme="majorHAnsi"/>
          <w:sz w:val="16"/>
          <w:szCs w:val="16"/>
        </w:rPr>
        <w:t xml:space="preserve">, </w:t>
      </w:r>
      <w:r w:rsidRPr="00326F31">
        <w:rPr>
          <w:rFonts w:asciiTheme="majorHAnsi" w:hAnsiTheme="majorHAnsi"/>
          <w:i/>
          <w:sz w:val="16"/>
          <w:szCs w:val="16"/>
        </w:rPr>
        <w:t>El Universal</w:t>
      </w:r>
      <w:r w:rsidRPr="00326F31">
        <w:rPr>
          <w:rFonts w:asciiTheme="majorHAnsi" w:hAnsiTheme="majorHAnsi"/>
          <w:sz w:val="16"/>
          <w:szCs w:val="16"/>
        </w:rPr>
        <w:t xml:space="preserve">, 42 public bodies engaged in discrimination, November 11, 2006, available at: </w:t>
      </w:r>
      <w:hyperlink r:id="rId23" w:history="1">
        <w:r w:rsidRPr="00326F31">
          <w:rPr>
            <w:rStyle w:val="Hyperlink"/>
            <w:rFonts w:asciiTheme="majorHAnsi" w:hAnsiTheme="majorHAnsi"/>
            <w:sz w:val="16"/>
            <w:szCs w:val="16"/>
          </w:rPr>
          <w:t>http://www.eluniversal.com/2006/11/11/imp_pol_art_65474</w:t>
        </w:r>
      </w:hyperlink>
      <w:r w:rsidRPr="00326F31">
        <w:rPr>
          <w:rFonts w:asciiTheme="majorHAnsi" w:hAnsiTheme="majorHAnsi"/>
          <w:sz w:val="16"/>
          <w:szCs w:val="16"/>
        </w:rPr>
        <w:t xml:space="preserve">. </w:t>
      </w:r>
    </w:p>
  </w:footnote>
  <w:footnote w:id="33">
    <w:p w14:paraId="29BFEAEC" w14:textId="7D4CC68B"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Active Citizenship, Documentary "The List, a people under suspicion" available at: </w:t>
      </w:r>
      <w:hyperlink r:id="rId24" w:history="1">
        <w:r w:rsidRPr="00326F31">
          <w:rPr>
            <w:rStyle w:val="Hyperlink"/>
            <w:rFonts w:asciiTheme="majorHAnsi" w:hAnsiTheme="majorHAnsi"/>
            <w:sz w:val="16"/>
            <w:szCs w:val="16"/>
          </w:rPr>
          <w:t>https://ciudadaniaactivavzla.wordpress.com/2015/03/26/documental-la-lista-tascon/</w:t>
        </w:r>
      </w:hyperlink>
      <w:r w:rsidRPr="00326F31">
        <w:rPr>
          <w:rFonts w:asciiTheme="majorHAnsi" w:hAnsiTheme="majorHAnsi"/>
          <w:sz w:val="16"/>
          <w:szCs w:val="16"/>
        </w:rPr>
        <w:t>.</w:t>
      </w:r>
    </w:p>
  </w:footnote>
  <w:footnote w:id="34">
    <w:p w14:paraId="34F2DA20" w14:textId="43B5B1EA"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Active Citizenship, Documentary "The List, a people under suspicion" available at: </w:t>
      </w:r>
      <w:hyperlink r:id="rId25" w:history="1">
        <w:r w:rsidRPr="00326F31">
          <w:rPr>
            <w:rStyle w:val="Hyperlink"/>
            <w:rFonts w:asciiTheme="majorHAnsi" w:hAnsiTheme="majorHAnsi"/>
            <w:sz w:val="16"/>
            <w:szCs w:val="16"/>
          </w:rPr>
          <w:t>https://ciudadaniaactivavzla.wordpress.com/2015/03/26/documental-la-lista-tascon/</w:t>
        </w:r>
      </w:hyperlink>
      <w:r w:rsidRPr="00326F31">
        <w:rPr>
          <w:rFonts w:asciiTheme="majorHAnsi" w:hAnsiTheme="majorHAnsi"/>
          <w:sz w:val="16"/>
          <w:szCs w:val="16"/>
        </w:rPr>
        <w:t>.</w:t>
      </w:r>
    </w:p>
  </w:footnote>
  <w:footnote w:id="35">
    <w:p w14:paraId="50A17C1F" w14:textId="7F2C101F"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Active Citizenship, Documentary "The List, a people under suspicion" available at: </w:t>
      </w:r>
      <w:hyperlink r:id="rId26" w:history="1">
        <w:r w:rsidRPr="00326F31">
          <w:rPr>
            <w:rStyle w:val="Hyperlink"/>
            <w:rFonts w:asciiTheme="majorHAnsi" w:hAnsiTheme="majorHAnsi"/>
            <w:sz w:val="16"/>
            <w:szCs w:val="16"/>
          </w:rPr>
          <w:t>https://ciudadaniaactivavzla.wordpress.com/2015/03/26/documental-la-lista-tascon/</w:t>
        </w:r>
      </w:hyperlink>
      <w:r w:rsidRPr="00326F31">
        <w:rPr>
          <w:rFonts w:asciiTheme="majorHAnsi" w:hAnsiTheme="majorHAnsi"/>
          <w:sz w:val="16"/>
          <w:szCs w:val="16"/>
        </w:rPr>
        <w:t>.</w:t>
      </w:r>
    </w:p>
  </w:footnote>
  <w:footnote w:id="36">
    <w:p w14:paraId="3A8DF425" w14:textId="1205CD97"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See Annex 3</w:t>
      </w:r>
      <w:r w:rsidRPr="00326F31">
        <w:rPr>
          <w:rFonts w:asciiTheme="majorHAnsi" w:hAnsiTheme="majorHAnsi"/>
          <w:sz w:val="16"/>
          <w:szCs w:val="16"/>
        </w:rPr>
        <w:t>. Compiling press articles on allegations of retaliation for the signing of the petition for a presidential recall referendum, Annex M of Annex IV of the complaint filed before the IACHR on March 7, 2006.</w:t>
      </w:r>
    </w:p>
  </w:footnote>
  <w:footnote w:id="37">
    <w:p w14:paraId="3E1AF6F2" w14:textId="77777777"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w:t>
      </w:r>
      <w:r w:rsidRPr="00326F31">
        <w:rPr>
          <w:rFonts w:asciiTheme="majorHAnsi" w:hAnsiTheme="majorHAnsi"/>
          <w:i/>
          <w:sz w:val="16"/>
          <w:szCs w:val="16"/>
        </w:rPr>
        <w:t>El Universal</w:t>
      </w:r>
      <w:r w:rsidRPr="00326F31">
        <w:rPr>
          <w:rFonts w:asciiTheme="majorHAnsi" w:hAnsiTheme="majorHAnsi"/>
          <w:sz w:val="16"/>
          <w:szCs w:val="16"/>
        </w:rPr>
        <w:t xml:space="preserve">, </w:t>
      </w:r>
      <w:proofErr w:type="gramStart"/>
      <w:r w:rsidRPr="00326F31">
        <w:rPr>
          <w:rFonts w:asciiTheme="majorHAnsi" w:hAnsiTheme="majorHAnsi"/>
          <w:sz w:val="16"/>
          <w:szCs w:val="16"/>
        </w:rPr>
        <w:t>To</w:t>
      </w:r>
      <w:proofErr w:type="gramEnd"/>
      <w:r w:rsidRPr="00326F31">
        <w:rPr>
          <w:rFonts w:asciiTheme="majorHAnsi" w:hAnsiTheme="majorHAnsi"/>
          <w:sz w:val="16"/>
          <w:szCs w:val="16"/>
        </w:rPr>
        <w:t xml:space="preserve"> sign against Chávez is an act of terrorism, March 21, 2004, available at: </w:t>
      </w:r>
      <w:hyperlink r:id="rId27" w:history="1">
        <w:r w:rsidRPr="00326F31">
          <w:rPr>
            <w:rStyle w:val="Hyperlink"/>
            <w:rFonts w:asciiTheme="majorHAnsi" w:hAnsiTheme="majorHAnsi"/>
            <w:sz w:val="16"/>
            <w:szCs w:val="16"/>
          </w:rPr>
          <w:t>http://www.eluniversal.com/2004/03/21/pol_art_21108A</w:t>
        </w:r>
      </w:hyperlink>
      <w:r w:rsidRPr="00326F31">
        <w:rPr>
          <w:rFonts w:asciiTheme="majorHAnsi" w:hAnsiTheme="majorHAnsi"/>
          <w:sz w:val="16"/>
          <w:szCs w:val="16"/>
        </w:rPr>
        <w:t xml:space="preserve">. </w:t>
      </w:r>
    </w:p>
  </w:footnote>
  <w:footnote w:id="38">
    <w:p w14:paraId="31885472" w14:textId="4F5F4523"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w:t>
      </w:r>
      <w:r w:rsidRPr="00326F31">
        <w:rPr>
          <w:rFonts w:asciiTheme="majorHAnsi" w:hAnsiTheme="majorHAnsi"/>
          <w:i/>
          <w:sz w:val="16"/>
          <w:szCs w:val="16"/>
        </w:rPr>
        <w:t>El Universal</w:t>
      </w:r>
      <w:r w:rsidRPr="00326F31">
        <w:rPr>
          <w:rFonts w:asciiTheme="majorHAnsi" w:hAnsiTheme="majorHAnsi"/>
          <w:sz w:val="16"/>
          <w:szCs w:val="16"/>
        </w:rPr>
        <w:t xml:space="preserve">, </w:t>
      </w:r>
      <w:proofErr w:type="gramStart"/>
      <w:r w:rsidRPr="00326F31">
        <w:rPr>
          <w:rFonts w:asciiTheme="majorHAnsi" w:hAnsiTheme="majorHAnsi"/>
          <w:sz w:val="16"/>
          <w:szCs w:val="16"/>
        </w:rPr>
        <w:t>To</w:t>
      </w:r>
      <w:proofErr w:type="gramEnd"/>
      <w:r w:rsidRPr="00326F31">
        <w:rPr>
          <w:rFonts w:asciiTheme="majorHAnsi" w:hAnsiTheme="majorHAnsi"/>
          <w:sz w:val="16"/>
          <w:szCs w:val="16"/>
        </w:rPr>
        <w:t xml:space="preserve"> sign against Chávez is an act of terrorism, March 21, 2004, available at: </w:t>
      </w:r>
      <w:hyperlink r:id="rId28" w:history="1">
        <w:r w:rsidRPr="00326F31">
          <w:rPr>
            <w:rStyle w:val="Hyperlink"/>
            <w:rFonts w:asciiTheme="majorHAnsi" w:hAnsiTheme="majorHAnsi"/>
            <w:sz w:val="16"/>
            <w:szCs w:val="16"/>
          </w:rPr>
          <w:t>http://www.eluniversal.com/2004/03/21/pol_art_21108A</w:t>
        </w:r>
      </w:hyperlink>
      <w:r w:rsidRPr="00326F31">
        <w:rPr>
          <w:rFonts w:asciiTheme="majorHAnsi" w:hAnsiTheme="majorHAnsi"/>
          <w:sz w:val="16"/>
          <w:szCs w:val="16"/>
        </w:rPr>
        <w:t xml:space="preserve">. </w:t>
      </w:r>
    </w:p>
  </w:footnote>
  <w:footnote w:id="39">
    <w:p w14:paraId="39041E43" w14:textId="32E441DD" w:rsidR="00C45C34" w:rsidRPr="00C9052E"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IACHR, Report No. 59/13, Petition 212-06. </w:t>
      </w:r>
      <w:proofErr w:type="gramStart"/>
      <w:r w:rsidRPr="00326F31">
        <w:rPr>
          <w:rFonts w:asciiTheme="majorHAnsi" w:hAnsiTheme="majorHAnsi"/>
          <w:sz w:val="16"/>
          <w:szCs w:val="16"/>
        </w:rPr>
        <w:t>Admissibility.</w:t>
      </w:r>
      <w:proofErr w:type="gramEnd"/>
      <w:r w:rsidRPr="00326F31">
        <w:rPr>
          <w:rFonts w:asciiTheme="majorHAnsi" w:hAnsiTheme="majorHAnsi"/>
          <w:sz w:val="16"/>
          <w:szCs w:val="16"/>
        </w:rPr>
        <w:t xml:space="preserve"> </w:t>
      </w:r>
      <w:r w:rsidRPr="00326F31">
        <w:rPr>
          <w:rFonts w:asciiTheme="majorHAnsi" w:hAnsiTheme="majorHAnsi"/>
          <w:sz w:val="16"/>
          <w:szCs w:val="16"/>
          <w:lang w:val="es-ES"/>
        </w:rPr>
        <w:t>Rocío San Miguel</w:t>
      </w:r>
      <w:r>
        <w:rPr>
          <w:rFonts w:asciiTheme="majorHAnsi" w:hAnsiTheme="majorHAnsi"/>
          <w:sz w:val="16"/>
          <w:szCs w:val="16"/>
          <w:lang w:val="es-ES"/>
        </w:rPr>
        <w:t xml:space="preserve"> </w:t>
      </w:r>
      <w:r w:rsidRPr="00326F31">
        <w:rPr>
          <w:rFonts w:asciiTheme="majorHAnsi" w:hAnsiTheme="majorHAnsi"/>
          <w:sz w:val="16"/>
          <w:szCs w:val="16"/>
          <w:lang w:val="es-ES"/>
        </w:rPr>
        <w:t xml:space="preserve">Sosa et al. </w:t>
      </w:r>
      <w:r w:rsidRPr="00C9052E">
        <w:rPr>
          <w:rFonts w:asciiTheme="majorHAnsi" w:hAnsiTheme="majorHAnsi"/>
          <w:sz w:val="16"/>
          <w:szCs w:val="16"/>
        </w:rPr>
        <w:t xml:space="preserve">Venezuela. </w:t>
      </w:r>
      <w:proofErr w:type="gramStart"/>
      <w:r w:rsidRPr="00C9052E">
        <w:rPr>
          <w:rFonts w:asciiTheme="majorHAnsi" w:hAnsiTheme="majorHAnsi"/>
          <w:sz w:val="16"/>
          <w:szCs w:val="16"/>
        </w:rPr>
        <w:t>July 16, 2013, para 16.</w:t>
      </w:r>
      <w:proofErr w:type="gramEnd"/>
    </w:p>
  </w:footnote>
  <w:footnote w:id="40">
    <w:p w14:paraId="67B03DFC" w14:textId="43FFB2DC"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Human rights watch, </w:t>
      </w:r>
      <w:proofErr w:type="gramStart"/>
      <w:r w:rsidRPr="00326F31">
        <w:rPr>
          <w:rFonts w:asciiTheme="majorHAnsi" w:hAnsiTheme="majorHAnsi"/>
          <w:sz w:val="16"/>
          <w:szCs w:val="16"/>
        </w:rPr>
        <w:t>A</w:t>
      </w:r>
      <w:proofErr w:type="gramEnd"/>
      <w:r w:rsidRPr="00326F31">
        <w:rPr>
          <w:rFonts w:asciiTheme="majorHAnsi" w:hAnsiTheme="majorHAnsi"/>
          <w:sz w:val="16"/>
          <w:szCs w:val="16"/>
        </w:rPr>
        <w:t xml:space="preserve"> decade of Chávez Political Intolerance and Lost Opportunities for Advancing Human Rights in Venezuela, p.20. Available at: </w:t>
      </w:r>
      <w:hyperlink r:id="rId29" w:history="1">
        <w:r w:rsidRPr="00326F31">
          <w:rPr>
            <w:rStyle w:val="Hyperlink"/>
            <w:rFonts w:asciiTheme="majorHAnsi" w:hAnsiTheme="majorHAnsi"/>
            <w:sz w:val="16"/>
            <w:szCs w:val="16"/>
          </w:rPr>
          <w:t>https://www.hrw.org/sites/default/files/reports/venezuela0908spweb_0.pdf</w:t>
        </w:r>
      </w:hyperlink>
      <w:r w:rsidRPr="00326F31">
        <w:rPr>
          <w:rFonts w:asciiTheme="majorHAnsi" w:hAnsiTheme="majorHAnsi"/>
          <w:sz w:val="16"/>
          <w:szCs w:val="16"/>
        </w:rPr>
        <w:t>.</w:t>
      </w:r>
      <w:r>
        <w:rPr>
          <w:rFonts w:asciiTheme="majorHAnsi" w:hAnsiTheme="majorHAnsi"/>
          <w:sz w:val="16"/>
          <w:szCs w:val="16"/>
        </w:rPr>
        <w:t xml:space="preserve"> </w:t>
      </w:r>
    </w:p>
  </w:footnote>
  <w:footnote w:id="41">
    <w:p w14:paraId="04BBE308" w14:textId="406934DB"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Human rights watch, </w:t>
      </w:r>
      <w:proofErr w:type="gramStart"/>
      <w:r w:rsidRPr="00326F31">
        <w:rPr>
          <w:rFonts w:asciiTheme="majorHAnsi" w:hAnsiTheme="majorHAnsi"/>
          <w:sz w:val="16"/>
          <w:szCs w:val="16"/>
        </w:rPr>
        <w:t>A</w:t>
      </w:r>
      <w:proofErr w:type="gramEnd"/>
      <w:r w:rsidRPr="00326F31">
        <w:rPr>
          <w:rFonts w:asciiTheme="majorHAnsi" w:hAnsiTheme="majorHAnsi"/>
          <w:sz w:val="16"/>
          <w:szCs w:val="16"/>
        </w:rPr>
        <w:t xml:space="preserve"> decade of Chávez Political Intolerance and Lost Opportunities for Advancing Human Rights in Venezuela, p.20. Available at: </w:t>
      </w:r>
      <w:hyperlink r:id="rId30" w:history="1">
        <w:r w:rsidRPr="00326F31">
          <w:rPr>
            <w:rStyle w:val="Hyperlink"/>
            <w:rFonts w:asciiTheme="majorHAnsi" w:hAnsiTheme="majorHAnsi"/>
            <w:sz w:val="16"/>
            <w:szCs w:val="16"/>
          </w:rPr>
          <w:t>https://www.hrw.org/sites/default/files/reports/venezuela0908spweb_0.pdf</w:t>
        </w:r>
      </w:hyperlink>
      <w:r w:rsidRPr="00326F31">
        <w:rPr>
          <w:rFonts w:asciiTheme="majorHAnsi" w:hAnsiTheme="majorHAnsi"/>
          <w:sz w:val="16"/>
          <w:szCs w:val="16"/>
        </w:rPr>
        <w:t>.</w:t>
      </w:r>
      <w:r>
        <w:rPr>
          <w:rFonts w:asciiTheme="majorHAnsi" w:hAnsiTheme="majorHAnsi"/>
          <w:sz w:val="16"/>
          <w:szCs w:val="16"/>
        </w:rPr>
        <w:t xml:space="preserve"> </w:t>
      </w:r>
    </w:p>
  </w:footnote>
  <w:footnote w:id="42">
    <w:p w14:paraId="40DC3D04" w14:textId="77777777" w:rsidR="00C45C34" w:rsidRPr="00C449B8" w:rsidRDefault="00C45C34" w:rsidP="00131FA4">
      <w:pPr>
        <w:pStyle w:val="FootnoteText"/>
        <w:spacing w:after="120"/>
        <w:ind w:firstLine="720"/>
        <w:jc w:val="both"/>
        <w:rPr>
          <w:rFonts w:ascii="Cambria" w:hAnsi="Cambria"/>
          <w:sz w:val="16"/>
          <w:szCs w:val="16"/>
        </w:rPr>
      </w:pPr>
      <w:r w:rsidRPr="00A2556A">
        <w:rPr>
          <w:rStyle w:val="FootnoteReference"/>
          <w:rFonts w:ascii="Cambria" w:hAnsi="Cambria"/>
          <w:sz w:val="16"/>
          <w:szCs w:val="16"/>
        </w:rPr>
        <w:footnoteRef/>
      </w:r>
      <w:r w:rsidRPr="00A2556A">
        <w:rPr>
          <w:rFonts w:ascii="Cambria" w:hAnsi="Cambria"/>
          <w:sz w:val="16"/>
          <w:szCs w:val="16"/>
          <w:lang w:val="es-VE"/>
        </w:rPr>
        <w:t xml:space="preserve"> Human </w:t>
      </w:r>
      <w:proofErr w:type="spellStart"/>
      <w:r w:rsidRPr="00A2556A">
        <w:rPr>
          <w:rFonts w:ascii="Cambria" w:hAnsi="Cambria"/>
          <w:sz w:val="16"/>
          <w:szCs w:val="16"/>
          <w:lang w:val="es-VE"/>
        </w:rPr>
        <w:t>rights</w:t>
      </w:r>
      <w:proofErr w:type="spellEnd"/>
      <w:r w:rsidRPr="00A2556A">
        <w:rPr>
          <w:rFonts w:ascii="Cambria" w:hAnsi="Cambria"/>
          <w:sz w:val="16"/>
          <w:szCs w:val="16"/>
          <w:lang w:val="es-VE"/>
        </w:rPr>
        <w:t xml:space="preserve"> </w:t>
      </w:r>
      <w:proofErr w:type="spellStart"/>
      <w:r w:rsidRPr="00A2556A">
        <w:rPr>
          <w:rFonts w:ascii="Cambria" w:hAnsi="Cambria"/>
          <w:sz w:val="16"/>
          <w:szCs w:val="16"/>
          <w:lang w:val="es-VE"/>
        </w:rPr>
        <w:t>watch</w:t>
      </w:r>
      <w:proofErr w:type="spellEnd"/>
      <w:r w:rsidRPr="00A2556A">
        <w:rPr>
          <w:rFonts w:ascii="Cambria" w:hAnsi="Cambria"/>
          <w:sz w:val="16"/>
          <w:szCs w:val="16"/>
          <w:lang w:val="es-VE"/>
        </w:rPr>
        <w:t xml:space="preserve">, Una década de Chávez, Intolerancia política y oportunidades perdidas para el progreso de los derechos humanos en Venezuela,  Pág.20. Disponible en: </w:t>
      </w:r>
      <w:hyperlink r:id="rId31" w:history="1">
        <w:r w:rsidRPr="00A2556A">
          <w:rPr>
            <w:rStyle w:val="Hyperlink"/>
            <w:rFonts w:ascii="Cambria" w:hAnsi="Cambria"/>
            <w:sz w:val="16"/>
            <w:szCs w:val="16"/>
            <w:lang w:val="es-VE"/>
          </w:rPr>
          <w:t>https://www.hrw.org/sites/default/files/reports/venezuela0908spweb_0.pdf</w:t>
        </w:r>
      </w:hyperlink>
      <w:r>
        <w:rPr>
          <w:rFonts w:ascii="Cambria" w:hAnsi="Cambria"/>
          <w:sz w:val="16"/>
          <w:szCs w:val="16"/>
          <w:lang w:val="es-VE"/>
        </w:rPr>
        <w:t xml:space="preserve">; Asociación Civil Súmate, Apartheid del Siglo XXI. La informática al servicio de la discriminación política en Venezuela, capítulo 3. </w:t>
      </w:r>
      <w:proofErr w:type="spellStart"/>
      <w:r w:rsidRPr="00C449B8">
        <w:rPr>
          <w:rFonts w:ascii="Cambria" w:hAnsi="Cambria"/>
          <w:sz w:val="16"/>
          <w:szCs w:val="16"/>
        </w:rPr>
        <w:t>Disponible</w:t>
      </w:r>
      <w:proofErr w:type="spellEnd"/>
      <w:r w:rsidRPr="00C449B8">
        <w:rPr>
          <w:rFonts w:ascii="Cambria" w:hAnsi="Cambria"/>
          <w:sz w:val="16"/>
          <w:szCs w:val="16"/>
        </w:rPr>
        <w:t xml:space="preserve"> </w:t>
      </w:r>
      <w:proofErr w:type="spellStart"/>
      <w:r w:rsidRPr="00C449B8">
        <w:rPr>
          <w:rFonts w:ascii="Cambria" w:hAnsi="Cambria"/>
          <w:sz w:val="16"/>
          <w:szCs w:val="16"/>
        </w:rPr>
        <w:t>en</w:t>
      </w:r>
      <w:proofErr w:type="spellEnd"/>
      <w:r w:rsidRPr="00C449B8">
        <w:rPr>
          <w:rFonts w:ascii="Cambria" w:hAnsi="Cambria"/>
          <w:sz w:val="16"/>
          <w:szCs w:val="16"/>
        </w:rPr>
        <w:t xml:space="preserve">: </w:t>
      </w:r>
      <w:hyperlink r:id="rId32" w:history="1">
        <w:r w:rsidRPr="00C449B8">
          <w:rPr>
            <w:rStyle w:val="Hyperlink"/>
            <w:rFonts w:ascii="Cambria" w:hAnsi="Cambria"/>
            <w:sz w:val="16"/>
            <w:szCs w:val="16"/>
          </w:rPr>
          <w:t>http://sumate.org/documentos/ApartheidSigloXXI/Apartheid%20del%20Siglo%20XXI%20Capitulo3.pdf</w:t>
        </w:r>
      </w:hyperlink>
      <w:r w:rsidRPr="00C449B8">
        <w:rPr>
          <w:rFonts w:ascii="Cambria" w:hAnsi="Cambria"/>
          <w:sz w:val="16"/>
          <w:szCs w:val="16"/>
        </w:rPr>
        <w:t xml:space="preserve">. </w:t>
      </w:r>
    </w:p>
  </w:footnote>
  <w:footnote w:id="43">
    <w:p w14:paraId="15A177D8" w14:textId="4CC545B5"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Human rights watch, </w:t>
      </w:r>
      <w:proofErr w:type="gramStart"/>
      <w:r w:rsidRPr="00326F31">
        <w:rPr>
          <w:rFonts w:asciiTheme="majorHAnsi" w:hAnsiTheme="majorHAnsi"/>
          <w:sz w:val="16"/>
          <w:szCs w:val="16"/>
        </w:rPr>
        <w:t>A</w:t>
      </w:r>
      <w:proofErr w:type="gramEnd"/>
      <w:r w:rsidRPr="00326F31">
        <w:rPr>
          <w:rFonts w:asciiTheme="majorHAnsi" w:hAnsiTheme="majorHAnsi"/>
          <w:sz w:val="16"/>
          <w:szCs w:val="16"/>
        </w:rPr>
        <w:t xml:space="preserve"> decade of Chávez Political Intolerance and Lost Opportunities for Advancing Human Rights in Venezuela, p.24. Available at: </w:t>
      </w:r>
      <w:hyperlink r:id="rId33" w:history="1">
        <w:r w:rsidRPr="00326F31">
          <w:rPr>
            <w:rStyle w:val="Hyperlink"/>
            <w:rFonts w:asciiTheme="majorHAnsi" w:hAnsiTheme="majorHAnsi"/>
            <w:sz w:val="16"/>
            <w:szCs w:val="16"/>
          </w:rPr>
          <w:t>https://www.hrw.org/sites/default/files/reports/venezuela0908spweb_0.pdf</w:t>
        </w:r>
      </w:hyperlink>
      <w:r w:rsidRPr="00326F31">
        <w:rPr>
          <w:rFonts w:asciiTheme="majorHAnsi" w:hAnsiTheme="majorHAnsi"/>
          <w:sz w:val="16"/>
          <w:szCs w:val="16"/>
        </w:rPr>
        <w:t>.</w:t>
      </w:r>
      <w:r>
        <w:rPr>
          <w:rFonts w:asciiTheme="majorHAnsi" w:hAnsiTheme="majorHAnsi"/>
          <w:sz w:val="16"/>
          <w:szCs w:val="16"/>
        </w:rPr>
        <w:t xml:space="preserve"> </w:t>
      </w:r>
    </w:p>
  </w:footnote>
  <w:footnote w:id="44">
    <w:p w14:paraId="53380971" w14:textId="4F56252A"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Human rights watch, </w:t>
      </w:r>
      <w:proofErr w:type="gramStart"/>
      <w:r w:rsidRPr="00326F31">
        <w:rPr>
          <w:rFonts w:asciiTheme="majorHAnsi" w:hAnsiTheme="majorHAnsi"/>
          <w:sz w:val="16"/>
          <w:szCs w:val="16"/>
        </w:rPr>
        <w:t>A</w:t>
      </w:r>
      <w:proofErr w:type="gramEnd"/>
      <w:r w:rsidRPr="00326F31">
        <w:rPr>
          <w:rFonts w:asciiTheme="majorHAnsi" w:hAnsiTheme="majorHAnsi"/>
          <w:sz w:val="16"/>
          <w:szCs w:val="16"/>
        </w:rPr>
        <w:t xml:space="preserve"> decade of Chávez Political Intolerance and Lost Opportunities for Advancing Human Rights in Venezuela, p.24. Available at: </w:t>
      </w:r>
      <w:hyperlink r:id="rId34" w:history="1">
        <w:r w:rsidRPr="00326F31">
          <w:rPr>
            <w:rStyle w:val="Hyperlink"/>
            <w:rFonts w:asciiTheme="majorHAnsi" w:hAnsiTheme="majorHAnsi"/>
            <w:sz w:val="16"/>
            <w:szCs w:val="16"/>
          </w:rPr>
          <w:t>https://www.hrw.org/sites/default/files/reports/venezuela0908spweb_0.pdf</w:t>
        </w:r>
      </w:hyperlink>
      <w:r w:rsidRPr="00326F31">
        <w:rPr>
          <w:rFonts w:asciiTheme="majorHAnsi" w:hAnsiTheme="majorHAnsi"/>
          <w:sz w:val="16"/>
          <w:szCs w:val="16"/>
        </w:rPr>
        <w:t>.</w:t>
      </w:r>
      <w:r>
        <w:rPr>
          <w:rFonts w:asciiTheme="majorHAnsi" w:hAnsiTheme="majorHAnsi"/>
          <w:sz w:val="16"/>
          <w:szCs w:val="16"/>
        </w:rPr>
        <w:t xml:space="preserve"> </w:t>
      </w:r>
    </w:p>
  </w:footnote>
  <w:footnote w:id="45">
    <w:p w14:paraId="1CA1AE6D" w14:textId="4720D2A2"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Human rights watch, </w:t>
      </w:r>
      <w:proofErr w:type="gramStart"/>
      <w:r w:rsidRPr="00326F31">
        <w:rPr>
          <w:rFonts w:asciiTheme="majorHAnsi" w:hAnsiTheme="majorHAnsi"/>
          <w:sz w:val="16"/>
          <w:szCs w:val="16"/>
        </w:rPr>
        <w:t>A</w:t>
      </w:r>
      <w:proofErr w:type="gramEnd"/>
      <w:r w:rsidRPr="00326F31">
        <w:rPr>
          <w:rFonts w:asciiTheme="majorHAnsi" w:hAnsiTheme="majorHAnsi"/>
          <w:sz w:val="16"/>
          <w:szCs w:val="16"/>
        </w:rPr>
        <w:t xml:space="preserve"> decade of Chávez Political Intolerance and Lost Opportunities for Advancing Human Rights in Venezuela, p.24. Available at: </w:t>
      </w:r>
      <w:hyperlink r:id="rId35" w:history="1">
        <w:r w:rsidRPr="00326F31">
          <w:rPr>
            <w:rStyle w:val="Hyperlink"/>
            <w:rFonts w:asciiTheme="majorHAnsi" w:hAnsiTheme="majorHAnsi"/>
            <w:sz w:val="16"/>
            <w:szCs w:val="16"/>
          </w:rPr>
          <w:t>https://www.hrw.org/sites/default/files/reports/venezuela0908spweb_0.pdf</w:t>
        </w:r>
      </w:hyperlink>
      <w:r w:rsidRPr="00326F31">
        <w:rPr>
          <w:rFonts w:asciiTheme="majorHAnsi" w:hAnsiTheme="majorHAnsi"/>
          <w:sz w:val="16"/>
          <w:szCs w:val="16"/>
        </w:rPr>
        <w:t>.</w:t>
      </w:r>
      <w:r>
        <w:rPr>
          <w:rFonts w:asciiTheme="majorHAnsi" w:hAnsiTheme="majorHAnsi"/>
          <w:sz w:val="16"/>
          <w:szCs w:val="16"/>
        </w:rPr>
        <w:t xml:space="preserve"> </w:t>
      </w:r>
    </w:p>
  </w:footnote>
  <w:footnote w:id="46">
    <w:p w14:paraId="1A5707F6" w14:textId="3D694C02" w:rsidR="00C45C34" w:rsidRPr="00326F31" w:rsidRDefault="00C45C34" w:rsidP="00131FA4">
      <w:pPr>
        <w:pStyle w:val="FootnoteText"/>
        <w:tabs>
          <w:tab w:val="left" w:pos="3780"/>
        </w:tabs>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w:t>
      </w:r>
      <w:r w:rsidRPr="00326F31">
        <w:rPr>
          <w:rFonts w:asciiTheme="majorHAnsi" w:hAnsiTheme="majorHAnsi"/>
          <w:i/>
          <w:sz w:val="16"/>
          <w:szCs w:val="16"/>
        </w:rPr>
        <w:t>El Universal</w:t>
      </w:r>
      <w:r w:rsidRPr="00326F31">
        <w:rPr>
          <w:rFonts w:asciiTheme="majorHAnsi" w:hAnsiTheme="majorHAnsi"/>
          <w:sz w:val="16"/>
          <w:szCs w:val="16"/>
        </w:rPr>
        <w:t xml:space="preserve">, Illegal dismissals impact </w:t>
      </w:r>
      <w:proofErr w:type="spellStart"/>
      <w:r w:rsidRPr="00326F31">
        <w:rPr>
          <w:rFonts w:asciiTheme="majorHAnsi" w:hAnsiTheme="majorHAnsi"/>
          <w:sz w:val="16"/>
          <w:szCs w:val="16"/>
        </w:rPr>
        <w:t>Fogade</w:t>
      </w:r>
      <w:proofErr w:type="spellEnd"/>
      <w:r w:rsidRPr="00326F31">
        <w:rPr>
          <w:rFonts w:asciiTheme="majorHAnsi" w:hAnsiTheme="majorHAnsi"/>
          <w:sz w:val="16"/>
          <w:szCs w:val="16"/>
        </w:rPr>
        <w:t xml:space="preserve"> accounts, February 23, 2008. Available at: </w:t>
      </w:r>
      <w:hyperlink r:id="rId36" w:history="1">
        <w:r w:rsidRPr="00326F31">
          <w:rPr>
            <w:rStyle w:val="Hyperlink"/>
            <w:rFonts w:asciiTheme="majorHAnsi" w:hAnsiTheme="majorHAnsi"/>
            <w:sz w:val="16"/>
            <w:szCs w:val="16"/>
          </w:rPr>
          <w:t>http://www.eluniversal.com/2008/02/23/eco_art_despidos-ilegales-im_726634</w:t>
        </w:r>
      </w:hyperlink>
      <w:r w:rsidRPr="00326F31">
        <w:rPr>
          <w:rFonts w:asciiTheme="majorHAnsi" w:hAnsiTheme="majorHAnsi"/>
          <w:sz w:val="16"/>
          <w:szCs w:val="16"/>
        </w:rPr>
        <w:t>.</w:t>
      </w:r>
      <w:r>
        <w:rPr>
          <w:rFonts w:asciiTheme="majorHAnsi" w:hAnsiTheme="majorHAnsi"/>
          <w:sz w:val="16"/>
          <w:szCs w:val="16"/>
        </w:rPr>
        <w:t xml:space="preserve"> </w:t>
      </w:r>
      <w:r w:rsidRPr="00326F31">
        <w:rPr>
          <w:rFonts w:asciiTheme="majorHAnsi" w:hAnsiTheme="majorHAnsi"/>
          <w:sz w:val="16"/>
          <w:szCs w:val="16"/>
        </w:rPr>
        <w:t xml:space="preserve">According to another report, the following gradation of 1 to 6 was stated: "hard </w:t>
      </w:r>
      <w:proofErr w:type="spellStart"/>
      <w:r w:rsidRPr="00326F31">
        <w:rPr>
          <w:rFonts w:asciiTheme="majorHAnsi" w:hAnsiTheme="majorHAnsi"/>
          <w:i/>
          <w:sz w:val="16"/>
          <w:szCs w:val="16"/>
        </w:rPr>
        <w:t>chavista</w:t>
      </w:r>
      <w:proofErr w:type="spellEnd"/>
      <w:r w:rsidRPr="00326F31">
        <w:rPr>
          <w:rFonts w:asciiTheme="majorHAnsi" w:hAnsiTheme="majorHAnsi"/>
          <w:sz w:val="16"/>
          <w:szCs w:val="16"/>
        </w:rPr>
        <w:t xml:space="preserve">", "light </w:t>
      </w:r>
      <w:proofErr w:type="spellStart"/>
      <w:r w:rsidRPr="00326F31">
        <w:rPr>
          <w:rFonts w:asciiTheme="majorHAnsi" w:hAnsiTheme="majorHAnsi"/>
          <w:i/>
          <w:sz w:val="16"/>
          <w:szCs w:val="16"/>
        </w:rPr>
        <w:t>chavista</w:t>
      </w:r>
      <w:proofErr w:type="spellEnd"/>
      <w:r w:rsidRPr="00326F31">
        <w:rPr>
          <w:rFonts w:asciiTheme="majorHAnsi" w:hAnsiTheme="majorHAnsi"/>
          <w:sz w:val="16"/>
          <w:szCs w:val="16"/>
        </w:rPr>
        <w:t>", "</w:t>
      </w:r>
      <w:proofErr w:type="spellStart"/>
      <w:r w:rsidRPr="00326F31">
        <w:rPr>
          <w:rFonts w:asciiTheme="majorHAnsi" w:hAnsiTheme="majorHAnsi"/>
          <w:sz w:val="16"/>
          <w:szCs w:val="16"/>
        </w:rPr>
        <w:t>nini</w:t>
      </w:r>
      <w:proofErr w:type="spellEnd"/>
      <w:r w:rsidRPr="00326F31">
        <w:rPr>
          <w:rFonts w:asciiTheme="majorHAnsi" w:hAnsiTheme="majorHAnsi"/>
          <w:sz w:val="16"/>
          <w:szCs w:val="16"/>
        </w:rPr>
        <w:t xml:space="preserve">" (nor opposition nor </w:t>
      </w:r>
      <w:proofErr w:type="spellStart"/>
      <w:r w:rsidRPr="00326F31">
        <w:rPr>
          <w:rFonts w:asciiTheme="majorHAnsi" w:hAnsiTheme="majorHAnsi"/>
          <w:i/>
          <w:sz w:val="16"/>
          <w:szCs w:val="16"/>
        </w:rPr>
        <w:t>chavista</w:t>
      </w:r>
      <w:proofErr w:type="spellEnd"/>
      <w:r w:rsidRPr="00326F31">
        <w:rPr>
          <w:rFonts w:asciiTheme="majorHAnsi" w:hAnsiTheme="majorHAnsi"/>
          <w:sz w:val="16"/>
          <w:szCs w:val="16"/>
        </w:rPr>
        <w:t xml:space="preserve">), "radical political opposition", "radical opposition" and "light opposition". See </w:t>
      </w:r>
      <w:proofErr w:type="spellStart"/>
      <w:r w:rsidRPr="00326F31">
        <w:rPr>
          <w:rFonts w:asciiTheme="majorHAnsi" w:hAnsiTheme="majorHAnsi"/>
          <w:i/>
          <w:sz w:val="16"/>
          <w:szCs w:val="16"/>
        </w:rPr>
        <w:t>Súmate</w:t>
      </w:r>
      <w:proofErr w:type="spellEnd"/>
      <w:r w:rsidRPr="00326F31">
        <w:rPr>
          <w:rFonts w:asciiTheme="majorHAnsi" w:hAnsiTheme="majorHAnsi"/>
          <w:sz w:val="16"/>
          <w:szCs w:val="16"/>
        </w:rPr>
        <w:t xml:space="preserve">, and more lists: from hard </w:t>
      </w:r>
      <w:proofErr w:type="spellStart"/>
      <w:r w:rsidRPr="00326F31">
        <w:rPr>
          <w:rFonts w:asciiTheme="majorHAnsi" w:hAnsiTheme="majorHAnsi"/>
          <w:i/>
          <w:sz w:val="16"/>
          <w:szCs w:val="16"/>
        </w:rPr>
        <w:t>Chavismo</w:t>
      </w:r>
      <w:proofErr w:type="spellEnd"/>
      <w:r w:rsidRPr="00326F31">
        <w:rPr>
          <w:rFonts w:asciiTheme="majorHAnsi" w:hAnsiTheme="majorHAnsi"/>
          <w:sz w:val="16"/>
          <w:szCs w:val="16"/>
        </w:rPr>
        <w:t xml:space="preserve"> to light "opposition", p. 120. Available at: </w:t>
      </w:r>
      <w:hyperlink r:id="rId37" w:history="1">
        <w:r w:rsidRPr="00326F31">
          <w:rPr>
            <w:rStyle w:val="Hyperlink"/>
            <w:rFonts w:asciiTheme="majorHAnsi" w:hAnsiTheme="majorHAnsi"/>
            <w:sz w:val="16"/>
            <w:szCs w:val="16"/>
          </w:rPr>
          <w:t>http://www.sumate.org/documentos/ApartheidSigloXXI/Apartheid%20del%20Siglo%20XXI%20Capitulo7.pdf</w:t>
        </w:r>
      </w:hyperlink>
      <w:r w:rsidRPr="00326F31">
        <w:rPr>
          <w:rFonts w:asciiTheme="majorHAnsi" w:hAnsiTheme="majorHAnsi"/>
          <w:sz w:val="16"/>
          <w:szCs w:val="16"/>
        </w:rPr>
        <w:t xml:space="preserve">. </w:t>
      </w:r>
    </w:p>
  </w:footnote>
  <w:footnote w:id="47">
    <w:p w14:paraId="300169FB" w14:textId="57AC6392"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w:t>
      </w:r>
      <w:r w:rsidRPr="00326F31">
        <w:rPr>
          <w:rFonts w:asciiTheme="majorHAnsi" w:hAnsiTheme="majorHAnsi"/>
          <w:i/>
          <w:sz w:val="16"/>
          <w:szCs w:val="16"/>
        </w:rPr>
        <w:t>El Universal</w:t>
      </w:r>
      <w:r w:rsidRPr="00326F31">
        <w:rPr>
          <w:rFonts w:asciiTheme="majorHAnsi" w:hAnsiTheme="majorHAnsi"/>
          <w:sz w:val="16"/>
          <w:szCs w:val="16"/>
        </w:rPr>
        <w:t xml:space="preserve">, </w:t>
      </w:r>
      <w:proofErr w:type="spellStart"/>
      <w:r w:rsidRPr="00326F31">
        <w:rPr>
          <w:rFonts w:asciiTheme="majorHAnsi" w:hAnsiTheme="majorHAnsi"/>
          <w:i/>
          <w:sz w:val="16"/>
          <w:szCs w:val="16"/>
        </w:rPr>
        <w:t>Reafirmazo</w:t>
      </w:r>
      <w:proofErr w:type="spellEnd"/>
      <w:r w:rsidRPr="00326F31">
        <w:rPr>
          <w:rFonts w:asciiTheme="majorHAnsi" w:hAnsiTheme="majorHAnsi"/>
          <w:sz w:val="16"/>
          <w:szCs w:val="16"/>
        </w:rPr>
        <w:t xml:space="preserve"> throes, 1909 oil workers under pressure, March 18, 2004, available at: </w:t>
      </w:r>
      <w:hyperlink r:id="rId38" w:history="1">
        <w:r w:rsidRPr="00326F31">
          <w:rPr>
            <w:rStyle w:val="Hyperlink"/>
            <w:rFonts w:asciiTheme="majorHAnsi" w:hAnsiTheme="majorHAnsi"/>
            <w:sz w:val="16"/>
            <w:szCs w:val="16"/>
          </w:rPr>
          <w:t>http://www.eluniversal.com/2004/03/18/imp_eco_art_18166A</w:t>
        </w:r>
      </w:hyperlink>
      <w:r w:rsidRPr="00326F31">
        <w:rPr>
          <w:rFonts w:asciiTheme="majorHAnsi" w:hAnsiTheme="majorHAnsi"/>
          <w:sz w:val="16"/>
          <w:szCs w:val="16"/>
        </w:rPr>
        <w:t xml:space="preserve">. </w:t>
      </w:r>
    </w:p>
  </w:footnote>
  <w:footnote w:id="48">
    <w:p w14:paraId="63F1EE9C" w14:textId="77777777"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w:t>
      </w:r>
      <w:r w:rsidRPr="00326F31">
        <w:rPr>
          <w:rFonts w:asciiTheme="majorHAnsi" w:hAnsiTheme="majorHAnsi"/>
          <w:i/>
          <w:sz w:val="16"/>
          <w:szCs w:val="16"/>
        </w:rPr>
        <w:t>El Nacional</w:t>
      </w:r>
      <w:r w:rsidRPr="00326F31">
        <w:rPr>
          <w:rFonts w:asciiTheme="majorHAnsi" w:hAnsiTheme="majorHAnsi"/>
          <w:sz w:val="16"/>
          <w:szCs w:val="16"/>
        </w:rPr>
        <w:t xml:space="preserve">, Summary of cases collected by </w:t>
      </w:r>
      <w:r w:rsidRPr="00326F31">
        <w:rPr>
          <w:rFonts w:asciiTheme="majorHAnsi" w:hAnsiTheme="majorHAnsi"/>
          <w:i/>
          <w:sz w:val="16"/>
          <w:szCs w:val="16"/>
        </w:rPr>
        <w:t>El Nacional</w:t>
      </w:r>
      <w:r w:rsidRPr="00326F31">
        <w:rPr>
          <w:rFonts w:asciiTheme="majorHAnsi" w:hAnsiTheme="majorHAnsi"/>
          <w:sz w:val="16"/>
          <w:szCs w:val="16"/>
        </w:rPr>
        <w:t xml:space="preserve">, April 24, 2005, available at: </w:t>
      </w:r>
      <w:hyperlink r:id="rId39" w:history="1">
        <w:r w:rsidRPr="00326F31">
          <w:rPr>
            <w:rStyle w:val="Hyperlink"/>
            <w:rFonts w:asciiTheme="majorHAnsi" w:hAnsiTheme="majorHAnsi"/>
            <w:sz w:val="16"/>
            <w:szCs w:val="16"/>
          </w:rPr>
          <w:t>http://infovenezuela.org/democracy/attachments-spanish/T5%20ST02%20N2%20Y%20T5ST02N3.pdf</w:t>
        </w:r>
      </w:hyperlink>
      <w:r w:rsidRPr="00326F31">
        <w:rPr>
          <w:rFonts w:asciiTheme="majorHAnsi" w:hAnsiTheme="majorHAnsi"/>
          <w:sz w:val="16"/>
          <w:szCs w:val="16"/>
        </w:rPr>
        <w:t xml:space="preserve">. </w:t>
      </w:r>
    </w:p>
  </w:footnote>
  <w:footnote w:id="49">
    <w:p w14:paraId="501C856B" w14:textId="4500242F"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4</w:t>
      </w:r>
      <w:r w:rsidRPr="00326F31">
        <w:rPr>
          <w:rFonts w:asciiTheme="majorHAnsi" w:hAnsiTheme="majorHAnsi"/>
          <w:sz w:val="16"/>
          <w:szCs w:val="16"/>
        </w:rPr>
        <w:t xml:space="preserve">. </w:t>
      </w:r>
      <w:proofErr w:type="gramStart"/>
      <w:r w:rsidRPr="00326F31">
        <w:rPr>
          <w:rFonts w:asciiTheme="majorHAnsi" w:hAnsiTheme="majorHAnsi"/>
          <w:sz w:val="16"/>
          <w:szCs w:val="16"/>
        </w:rPr>
        <w:t>National Electoral Council resolution No. 040302-131 of March 2, 2004 (Annex C to the State submission within the admissibility process before the IACHR on January 16, 2008).</w:t>
      </w:r>
      <w:proofErr w:type="gramEnd"/>
      <w:r w:rsidRPr="00326F31">
        <w:rPr>
          <w:rFonts w:asciiTheme="majorHAnsi" w:hAnsiTheme="majorHAnsi"/>
          <w:sz w:val="16"/>
          <w:szCs w:val="16"/>
        </w:rPr>
        <w:t xml:space="preserve"> In the resolution the following results were reported: a) Total forms processed subjected to physical verification by the agency: three hundred eighty-eight thousand one hundred and eight (388 108), b) empty and / or unused forms on the day of signature collection: seven thousand two hundred ninety-seven (7297) forms, c) Returned forms invalidated for breach of the " Guidelines on criteria for the validation of signatures and of the forms to collect signatures for the recall referendum process for terms of office of popularly elected positions", in particular paragraphs 2, 3, 4 and 5: thirty-nine thousand and sixty (39060) forms, d) Total number of requests processed of the universe of validated forms according to the records: three million eighty-six thousand and thirteen (3086013) applications.</w:t>
      </w:r>
    </w:p>
  </w:footnote>
  <w:footnote w:id="50">
    <w:p w14:paraId="29AA3D18" w14:textId="1AEBE90E"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5</w:t>
      </w:r>
      <w:r w:rsidRPr="00326F31">
        <w:rPr>
          <w:rFonts w:asciiTheme="majorHAnsi" w:hAnsiTheme="majorHAnsi"/>
          <w:sz w:val="16"/>
          <w:szCs w:val="16"/>
        </w:rPr>
        <w:t xml:space="preserve">. </w:t>
      </w:r>
      <w:proofErr w:type="gramStart"/>
      <w:r w:rsidRPr="00326F31">
        <w:rPr>
          <w:rFonts w:asciiTheme="majorHAnsi" w:hAnsiTheme="majorHAnsi"/>
          <w:sz w:val="16"/>
          <w:szCs w:val="16"/>
        </w:rPr>
        <w:t>National Electoral Council resolution No. 040420-563 of 27 October 2003, Annex D to the State submission within the admissibility process before the IACHR on January 16, 2008.</w:t>
      </w:r>
      <w:proofErr w:type="gramEnd"/>
    </w:p>
  </w:footnote>
  <w:footnote w:id="51">
    <w:p w14:paraId="6CA4383C" w14:textId="7009441E"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National Radio of </w:t>
      </w:r>
      <w:proofErr w:type="gramStart"/>
      <w:r w:rsidRPr="00326F31">
        <w:rPr>
          <w:rFonts w:asciiTheme="majorHAnsi" w:hAnsiTheme="majorHAnsi"/>
          <w:sz w:val="16"/>
          <w:szCs w:val="16"/>
        </w:rPr>
        <w:t>Venezuela,</w:t>
      </w:r>
      <w:proofErr w:type="gramEnd"/>
      <w:r w:rsidRPr="00326F31">
        <w:rPr>
          <w:rFonts w:asciiTheme="majorHAnsi" w:hAnsiTheme="majorHAnsi"/>
          <w:sz w:val="16"/>
          <w:szCs w:val="16"/>
        </w:rPr>
        <w:t xml:space="preserve"> ruled out possibility of including invalid signatures for challenge, May 4, 2004, available at: </w:t>
      </w:r>
      <w:hyperlink r:id="rId40" w:history="1">
        <w:r w:rsidRPr="00326F31">
          <w:rPr>
            <w:rStyle w:val="Hyperlink"/>
            <w:rFonts w:asciiTheme="majorHAnsi" w:hAnsiTheme="majorHAnsi"/>
            <w:sz w:val="16"/>
            <w:szCs w:val="16"/>
          </w:rPr>
          <w:t>http://www.rnv.gob.ve/descartada-posibilidad-de-incluir-firmas-invlidas-para-reparos/</w:t>
        </w:r>
      </w:hyperlink>
      <w:r w:rsidRPr="00326F31">
        <w:rPr>
          <w:rFonts w:asciiTheme="majorHAnsi" w:hAnsiTheme="majorHAnsi"/>
          <w:sz w:val="16"/>
          <w:szCs w:val="16"/>
        </w:rPr>
        <w:t xml:space="preserve">. </w:t>
      </w:r>
    </w:p>
  </w:footnote>
  <w:footnote w:id="52">
    <w:p w14:paraId="226F4D61" w14:textId="1FF95E6C"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CNE, Resolution No. 040615-852 of June 25, 2004, available at: </w:t>
      </w:r>
      <w:hyperlink r:id="rId41" w:history="1">
        <w:r w:rsidRPr="00326F31">
          <w:rPr>
            <w:rStyle w:val="Hyperlink"/>
            <w:rFonts w:asciiTheme="majorHAnsi" w:hAnsiTheme="majorHAnsi"/>
            <w:sz w:val="16"/>
            <w:szCs w:val="16"/>
          </w:rPr>
          <w:t>http://www.cne.gob.ve/web/gaceta_electoral/gaceta_electoral_detallado.php?tg=1&amp;num_gac=202</w:t>
        </w:r>
      </w:hyperlink>
      <w:r w:rsidRPr="00326F31">
        <w:rPr>
          <w:rFonts w:asciiTheme="majorHAnsi" w:hAnsiTheme="majorHAnsi"/>
          <w:sz w:val="16"/>
          <w:szCs w:val="16"/>
        </w:rPr>
        <w:t xml:space="preserve">. See also, </w:t>
      </w:r>
      <w:proofErr w:type="spellStart"/>
      <w:r w:rsidRPr="00326F31">
        <w:rPr>
          <w:rFonts w:asciiTheme="majorHAnsi" w:hAnsiTheme="majorHAnsi"/>
          <w:i/>
          <w:sz w:val="16"/>
          <w:szCs w:val="16"/>
        </w:rPr>
        <w:t>Súmate</w:t>
      </w:r>
      <w:proofErr w:type="spellEnd"/>
      <w:r w:rsidRPr="00326F31">
        <w:rPr>
          <w:rFonts w:asciiTheme="majorHAnsi" w:hAnsiTheme="majorHAnsi"/>
          <w:sz w:val="16"/>
          <w:szCs w:val="16"/>
        </w:rPr>
        <w:t xml:space="preserve">, Progress Report "Presidential Recall Referendum", </w:t>
      </w:r>
      <w:proofErr w:type="gramStart"/>
      <w:r w:rsidRPr="00326F31">
        <w:rPr>
          <w:rFonts w:asciiTheme="majorHAnsi" w:hAnsiTheme="majorHAnsi"/>
          <w:sz w:val="16"/>
          <w:szCs w:val="16"/>
        </w:rPr>
        <w:t>Annexes</w:t>
      </w:r>
      <w:proofErr w:type="gramEnd"/>
      <w:r w:rsidRPr="00326F31">
        <w:rPr>
          <w:rFonts w:asciiTheme="majorHAnsi" w:hAnsiTheme="majorHAnsi"/>
          <w:sz w:val="16"/>
          <w:szCs w:val="16"/>
        </w:rPr>
        <w:t xml:space="preserve">, available at: </w:t>
      </w:r>
      <w:hyperlink r:id="rId42" w:history="1">
        <w:r w:rsidRPr="00326F31">
          <w:rPr>
            <w:rStyle w:val="Hyperlink"/>
            <w:rFonts w:asciiTheme="majorHAnsi" w:hAnsiTheme="majorHAnsi"/>
            <w:sz w:val="16"/>
            <w:szCs w:val="16"/>
          </w:rPr>
          <w:t>http://sumate.org/Elecciones/2004Revocatorio/200409_informe_avance_anexos_referendo_revocatorio_presidencial.pdf</w:t>
        </w:r>
      </w:hyperlink>
      <w:r w:rsidRPr="00326F31">
        <w:rPr>
          <w:rFonts w:asciiTheme="majorHAnsi" w:hAnsiTheme="majorHAnsi"/>
          <w:sz w:val="16"/>
          <w:szCs w:val="16"/>
        </w:rPr>
        <w:t xml:space="preserve">. </w:t>
      </w:r>
    </w:p>
  </w:footnote>
  <w:footnote w:id="53">
    <w:p w14:paraId="4F7FCB55" w14:textId="7A51676B"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CNE Resolution No. 040826-1118, August 30, 2004, available at: </w:t>
      </w:r>
      <w:hyperlink r:id="rId43" w:history="1">
        <w:r w:rsidRPr="00326F31">
          <w:rPr>
            <w:rStyle w:val="Hyperlink"/>
            <w:rFonts w:asciiTheme="majorHAnsi" w:hAnsiTheme="majorHAnsi"/>
            <w:sz w:val="16"/>
            <w:szCs w:val="16"/>
          </w:rPr>
          <w:t>http://www.cne.gob.ve/web/gaceta_electoral/gaceta_electoral_detallado.php?tg=1&amp;num_gac=210</w:t>
        </w:r>
      </w:hyperlink>
      <w:r w:rsidRPr="00326F31">
        <w:rPr>
          <w:rFonts w:asciiTheme="majorHAnsi" w:hAnsiTheme="majorHAnsi"/>
          <w:sz w:val="16"/>
          <w:szCs w:val="16"/>
        </w:rPr>
        <w:t xml:space="preserve">. </w:t>
      </w:r>
    </w:p>
  </w:footnote>
  <w:footnote w:id="54">
    <w:p w14:paraId="466B74B8" w14:textId="3E4D2A77"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OAS, Statement of OAS Electoral Observation Mission on Venezuelan Presidential Referendum, August 18, 2004, available at: </w:t>
      </w:r>
      <w:hyperlink r:id="rId44" w:history="1">
        <w:r w:rsidRPr="00326F31">
          <w:rPr>
            <w:rStyle w:val="Hyperlink"/>
            <w:rFonts w:asciiTheme="majorHAnsi" w:hAnsiTheme="majorHAnsi"/>
            <w:sz w:val="16"/>
            <w:szCs w:val="16"/>
          </w:rPr>
          <w:t>http://www.oas.org/en/media_center/press_release.asp?sCodigo=E-130/04</w:t>
        </w:r>
      </w:hyperlink>
      <w:r w:rsidRPr="00326F31">
        <w:rPr>
          <w:rFonts w:asciiTheme="majorHAnsi" w:hAnsiTheme="majorHAnsi"/>
          <w:sz w:val="16"/>
          <w:szCs w:val="16"/>
        </w:rPr>
        <w:t xml:space="preserve">; OAS, OAS adopts resolution on the results of the Venezuelan referendum, August 26, 2004, available at: </w:t>
      </w:r>
      <w:hyperlink r:id="rId45" w:history="1">
        <w:r w:rsidRPr="00326F31">
          <w:rPr>
            <w:rStyle w:val="Hyperlink"/>
            <w:rFonts w:asciiTheme="majorHAnsi" w:hAnsiTheme="majorHAnsi"/>
            <w:sz w:val="16"/>
            <w:szCs w:val="16"/>
          </w:rPr>
          <w:t>http://www.oas.org/en/media_center/press_release.asp?sCodigo=E-138/04</w:t>
        </w:r>
      </w:hyperlink>
      <w:r w:rsidRPr="00326F31">
        <w:rPr>
          <w:rFonts w:asciiTheme="majorHAnsi" w:hAnsiTheme="majorHAnsi"/>
          <w:sz w:val="16"/>
          <w:szCs w:val="16"/>
        </w:rPr>
        <w:t xml:space="preserve"> </w:t>
      </w:r>
    </w:p>
  </w:footnote>
  <w:footnote w:id="55">
    <w:p w14:paraId="169217A7" w14:textId="2CCAB327"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6</w:t>
      </w:r>
      <w:r w:rsidRPr="00326F31">
        <w:rPr>
          <w:rFonts w:asciiTheme="majorHAnsi" w:hAnsiTheme="majorHAnsi"/>
          <w:sz w:val="16"/>
          <w:szCs w:val="16"/>
        </w:rPr>
        <w:t xml:space="preserve">. </w:t>
      </w:r>
      <w:r w:rsidRPr="00326F31">
        <w:rPr>
          <w:rFonts w:asciiTheme="majorHAnsi" w:hAnsiTheme="majorHAnsi"/>
          <w:i/>
          <w:sz w:val="16"/>
          <w:szCs w:val="16"/>
        </w:rPr>
        <w:t>El Universal</w:t>
      </w:r>
      <w:r w:rsidRPr="00326F31">
        <w:rPr>
          <w:rFonts w:asciiTheme="majorHAnsi" w:hAnsiTheme="majorHAnsi"/>
          <w:sz w:val="16"/>
          <w:szCs w:val="16"/>
        </w:rPr>
        <w:t>, Prosecutor opens investigation for discrimination of signatories of the RR, April 28, Annex M of Annex IV of the complaint filed before the IACHR on March 7, 2006.</w:t>
      </w:r>
    </w:p>
  </w:footnote>
  <w:footnote w:id="56">
    <w:p w14:paraId="3F9B6003" w14:textId="7369438E"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7</w:t>
      </w:r>
      <w:r w:rsidRPr="00326F31">
        <w:rPr>
          <w:rFonts w:asciiTheme="majorHAnsi" w:hAnsiTheme="majorHAnsi"/>
          <w:sz w:val="16"/>
          <w:szCs w:val="16"/>
        </w:rPr>
        <w:t>. Public Ministry statement: Public Prosecution starts investigation regarding the use of lists to petition for referendums in 2004. Annex III to the complaint filed before the IACHR on March 7, 2006.</w:t>
      </w:r>
    </w:p>
  </w:footnote>
  <w:footnote w:id="57">
    <w:p w14:paraId="6E5D6713" w14:textId="6A6A82D8" w:rsidR="00C45C34" w:rsidRPr="00326F31" w:rsidRDefault="00C45C34" w:rsidP="00131FA4">
      <w:pPr>
        <w:pStyle w:val="FootnoteText"/>
        <w:spacing w:after="120"/>
        <w:ind w:firstLine="720"/>
        <w:jc w:val="both"/>
        <w:rPr>
          <w:rFonts w:asciiTheme="majorHAnsi" w:eastAsia="Arial Unicode MS" w:hAnsiTheme="majorHAnsi" w:cs="Times New Roman"/>
          <w:sz w:val="16"/>
          <w:szCs w:val="16"/>
          <w:lang w:eastAsia="en-US"/>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Statement by Venezuelan President Hugo Chávez at the V Mobile Cabinet Meeting, April 15, 2005, in the city of Puerto </w:t>
      </w:r>
      <w:proofErr w:type="spellStart"/>
      <w:r w:rsidRPr="00326F31">
        <w:rPr>
          <w:rFonts w:asciiTheme="majorHAnsi" w:hAnsiTheme="majorHAnsi"/>
          <w:sz w:val="16"/>
          <w:szCs w:val="16"/>
        </w:rPr>
        <w:t>Ordaz</w:t>
      </w:r>
      <w:proofErr w:type="spellEnd"/>
      <w:r w:rsidRPr="00326F31">
        <w:rPr>
          <w:rFonts w:asciiTheme="majorHAnsi" w:hAnsiTheme="majorHAnsi"/>
          <w:sz w:val="16"/>
          <w:szCs w:val="16"/>
        </w:rPr>
        <w:t xml:space="preserve">, quoted in IACHR, Democracy and Human Rights in Venezuela, </w:t>
      </w:r>
      <w:r w:rsidRPr="00326F31">
        <w:rPr>
          <w:rFonts w:asciiTheme="majorHAnsi" w:eastAsia="Arial Unicode MS" w:hAnsiTheme="majorHAnsi" w:cs="Times New Roman"/>
          <w:sz w:val="16"/>
          <w:szCs w:val="16"/>
          <w:lang w:eastAsia="en-US"/>
        </w:rPr>
        <w:t>OEA/</w:t>
      </w:r>
      <w:proofErr w:type="spellStart"/>
      <w:r w:rsidRPr="00326F31">
        <w:rPr>
          <w:rFonts w:asciiTheme="majorHAnsi" w:eastAsia="Arial Unicode MS" w:hAnsiTheme="majorHAnsi" w:cs="Times New Roman"/>
          <w:sz w:val="16"/>
          <w:szCs w:val="16"/>
          <w:lang w:eastAsia="en-US"/>
        </w:rPr>
        <w:t>Ser.L</w:t>
      </w:r>
      <w:proofErr w:type="spellEnd"/>
      <w:r w:rsidRPr="00326F31">
        <w:rPr>
          <w:rFonts w:asciiTheme="majorHAnsi" w:eastAsia="Arial Unicode MS" w:hAnsiTheme="majorHAnsi" w:cs="Times New Roman"/>
          <w:sz w:val="16"/>
          <w:szCs w:val="16"/>
          <w:lang w:eastAsia="en-US"/>
        </w:rPr>
        <w:t xml:space="preserve">/V/II. </w:t>
      </w:r>
      <w:proofErr w:type="gramStart"/>
      <w:r w:rsidRPr="00326F31">
        <w:rPr>
          <w:rFonts w:asciiTheme="majorHAnsi" w:eastAsia="Arial Unicode MS" w:hAnsiTheme="majorHAnsi" w:cs="Times New Roman"/>
          <w:sz w:val="16"/>
          <w:szCs w:val="16"/>
          <w:lang w:eastAsia="en-US"/>
        </w:rPr>
        <w:t>Doc. 54.</w:t>
      </w:r>
      <w:proofErr w:type="gramEnd"/>
      <w:r w:rsidRPr="00326F31">
        <w:rPr>
          <w:rFonts w:asciiTheme="majorHAnsi" w:eastAsia="Arial Unicode MS" w:hAnsiTheme="majorHAnsi" w:cs="Times New Roman"/>
          <w:sz w:val="16"/>
          <w:szCs w:val="16"/>
          <w:lang w:eastAsia="en-US"/>
        </w:rPr>
        <w:t xml:space="preserve"> </w:t>
      </w:r>
      <w:proofErr w:type="gramStart"/>
      <w:r w:rsidRPr="00326F31">
        <w:rPr>
          <w:rFonts w:asciiTheme="majorHAnsi" w:eastAsia="Arial Unicode MS" w:hAnsiTheme="majorHAnsi" w:cs="Times New Roman"/>
          <w:sz w:val="16"/>
          <w:szCs w:val="16"/>
          <w:lang w:eastAsia="en-US"/>
        </w:rPr>
        <w:t>December 30, 2009</w:t>
      </w:r>
      <w:r w:rsidRPr="00326F31">
        <w:rPr>
          <w:rFonts w:asciiTheme="majorHAnsi" w:hAnsiTheme="majorHAnsi"/>
          <w:sz w:val="16"/>
          <w:szCs w:val="16"/>
        </w:rPr>
        <w:t xml:space="preserve">, chapter </w:t>
      </w:r>
      <w:proofErr w:type="spellStart"/>
      <w:r w:rsidRPr="00326F31">
        <w:rPr>
          <w:rFonts w:asciiTheme="majorHAnsi" w:hAnsiTheme="majorHAnsi"/>
          <w:sz w:val="16"/>
          <w:szCs w:val="16"/>
        </w:rPr>
        <w:t>II.a</w:t>
      </w:r>
      <w:proofErr w:type="spellEnd"/>
      <w:r w:rsidRPr="00326F31">
        <w:rPr>
          <w:rFonts w:asciiTheme="majorHAnsi" w:hAnsiTheme="majorHAnsi"/>
          <w:sz w:val="16"/>
          <w:szCs w:val="16"/>
        </w:rPr>
        <w:t>, para.</w:t>
      </w:r>
      <w:proofErr w:type="gramEnd"/>
      <w:r w:rsidRPr="00326F31">
        <w:rPr>
          <w:rFonts w:asciiTheme="majorHAnsi" w:hAnsiTheme="majorHAnsi"/>
          <w:sz w:val="16"/>
          <w:szCs w:val="16"/>
        </w:rPr>
        <w:t xml:space="preserve"> 99.</w:t>
      </w:r>
    </w:p>
  </w:footnote>
  <w:footnote w:id="58">
    <w:p w14:paraId="1DEC1491" w14:textId="70764153"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w:t>
      </w:r>
      <w:proofErr w:type="gramStart"/>
      <w:r w:rsidRPr="00326F31">
        <w:rPr>
          <w:rFonts w:asciiTheme="majorHAnsi" w:hAnsiTheme="majorHAnsi"/>
          <w:sz w:val="16"/>
          <w:szCs w:val="16"/>
        </w:rPr>
        <w:t xml:space="preserve">IACHR, Democracy and Human Rights in Venezuela, </w:t>
      </w:r>
      <w:r w:rsidRPr="00326F31">
        <w:rPr>
          <w:rFonts w:asciiTheme="majorHAnsi" w:eastAsia="Arial Unicode MS" w:hAnsiTheme="majorHAnsi" w:cs="Times New Roman"/>
          <w:sz w:val="16"/>
          <w:szCs w:val="16"/>
          <w:lang w:eastAsia="en-US"/>
        </w:rPr>
        <w:t>OEA/</w:t>
      </w:r>
      <w:proofErr w:type="spellStart"/>
      <w:r w:rsidRPr="00326F31">
        <w:rPr>
          <w:rFonts w:asciiTheme="majorHAnsi" w:eastAsia="Arial Unicode MS" w:hAnsiTheme="majorHAnsi" w:cs="Times New Roman"/>
          <w:sz w:val="16"/>
          <w:szCs w:val="16"/>
          <w:lang w:eastAsia="en-US"/>
        </w:rPr>
        <w:t>Ser.L</w:t>
      </w:r>
      <w:proofErr w:type="spellEnd"/>
      <w:r w:rsidRPr="00326F31">
        <w:rPr>
          <w:rFonts w:asciiTheme="majorHAnsi" w:eastAsia="Arial Unicode MS" w:hAnsiTheme="majorHAnsi" w:cs="Times New Roman"/>
          <w:sz w:val="16"/>
          <w:szCs w:val="16"/>
          <w:lang w:eastAsia="en-US"/>
        </w:rPr>
        <w:t>/V/II.</w:t>
      </w:r>
      <w:proofErr w:type="gramEnd"/>
      <w:r w:rsidRPr="00326F31">
        <w:rPr>
          <w:rFonts w:asciiTheme="majorHAnsi" w:eastAsia="Arial Unicode MS" w:hAnsiTheme="majorHAnsi" w:cs="Times New Roman"/>
          <w:sz w:val="16"/>
          <w:szCs w:val="16"/>
          <w:lang w:eastAsia="en-US"/>
        </w:rPr>
        <w:t xml:space="preserve"> </w:t>
      </w:r>
      <w:proofErr w:type="gramStart"/>
      <w:r w:rsidRPr="00326F31">
        <w:rPr>
          <w:rFonts w:asciiTheme="majorHAnsi" w:eastAsia="Arial Unicode MS" w:hAnsiTheme="majorHAnsi" w:cs="Times New Roman"/>
          <w:sz w:val="16"/>
          <w:szCs w:val="16"/>
          <w:lang w:eastAsia="en-US"/>
        </w:rPr>
        <w:t>Doc. 54.</w:t>
      </w:r>
      <w:proofErr w:type="gramEnd"/>
      <w:r w:rsidRPr="00326F31">
        <w:rPr>
          <w:rFonts w:asciiTheme="majorHAnsi" w:eastAsia="Arial Unicode MS" w:hAnsiTheme="majorHAnsi" w:cs="Times New Roman"/>
          <w:sz w:val="16"/>
          <w:szCs w:val="16"/>
          <w:lang w:eastAsia="en-US"/>
        </w:rPr>
        <w:t xml:space="preserve"> </w:t>
      </w:r>
      <w:proofErr w:type="gramStart"/>
      <w:r w:rsidRPr="00326F31">
        <w:rPr>
          <w:rFonts w:asciiTheme="majorHAnsi" w:eastAsia="Arial Unicode MS" w:hAnsiTheme="majorHAnsi" w:cs="Times New Roman"/>
          <w:sz w:val="16"/>
          <w:szCs w:val="16"/>
          <w:lang w:eastAsia="en-US"/>
        </w:rPr>
        <w:t>December 30, 2009</w:t>
      </w:r>
      <w:r w:rsidRPr="00326F31">
        <w:rPr>
          <w:rFonts w:asciiTheme="majorHAnsi" w:hAnsiTheme="majorHAnsi"/>
          <w:sz w:val="16"/>
          <w:szCs w:val="16"/>
        </w:rPr>
        <w:t xml:space="preserve">, chapter </w:t>
      </w:r>
      <w:proofErr w:type="spellStart"/>
      <w:r w:rsidRPr="00326F31">
        <w:rPr>
          <w:rFonts w:asciiTheme="majorHAnsi" w:hAnsiTheme="majorHAnsi"/>
          <w:sz w:val="16"/>
          <w:szCs w:val="16"/>
        </w:rPr>
        <w:t>II.a</w:t>
      </w:r>
      <w:proofErr w:type="spellEnd"/>
      <w:r w:rsidRPr="00326F31">
        <w:rPr>
          <w:rFonts w:asciiTheme="majorHAnsi" w:hAnsiTheme="majorHAnsi"/>
          <w:sz w:val="16"/>
          <w:szCs w:val="16"/>
        </w:rPr>
        <w:t>, para.</w:t>
      </w:r>
      <w:proofErr w:type="gramEnd"/>
      <w:r w:rsidRPr="00326F31">
        <w:rPr>
          <w:rFonts w:asciiTheme="majorHAnsi" w:hAnsiTheme="majorHAnsi"/>
          <w:sz w:val="16"/>
          <w:szCs w:val="16"/>
        </w:rPr>
        <w:t xml:space="preserve"> 99.</w:t>
      </w:r>
    </w:p>
  </w:footnote>
  <w:footnote w:id="59">
    <w:p w14:paraId="2B98070F" w14:textId="48D54E00"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w:t>
      </w:r>
      <w:proofErr w:type="gramStart"/>
      <w:r w:rsidRPr="00326F31">
        <w:rPr>
          <w:rFonts w:asciiTheme="majorHAnsi" w:hAnsiTheme="majorHAnsi"/>
          <w:sz w:val="16"/>
          <w:szCs w:val="16"/>
        </w:rPr>
        <w:t xml:space="preserve">IACHR, Democracy and Human Rights in Venezuela, </w:t>
      </w:r>
      <w:r w:rsidRPr="00326F31">
        <w:rPr>
          <w:rFonts w:asciiTheme="majorHAnsi" w:eastAsia="Arial Unicode MS" w:hAnsiTheme="majorHAnsi" w:cs="Times New Roman"/>
          <w:sz w:val="16"/>
          <w:szCs w:val="16"/>
          <w:lang w:eastAsia="en-US"/>
        </w:rPr>
        <w:t>OEA/</w:t>
      </w:r>
      <w:proofErr w:type="spellStart"/>
      <w:r w:rsidRPr="00326F31">
        <w:rPr>
          <w:rFonts w:asciiTheme="majorHAnsi" w:eastAsia="Arial Unicode MS" w:hAnsiTheme="majorHAnsi" w:cs="Times New Roman"/>
          <w:sz w:val="16"/>
          <w:szCs w:val="16"/>
          <w:lang w:eastAsia="en-US"/>
        </w:rPr>
        <w:t>Ser.L</w:t>
      </w:r>
      <w:proofErr w:type="spellEnd"/>
      <w:r w:rsidRPr="00326F31">
        <w:rPr>
          <w:rFonts w:asciiTheme="majorHAnsi" w:eastAsia="Arial Unicode MS" w:hAnsiTheme="majorHAnsi" w:cs="Times New Roman"/>
          <w:sz w:val="16"/>
          <w:szCs w:val="16"/>
          <w:lang w:eastAsia="en-US"/>
        </w:rPr>
        <w:t>/V/II.</w:t>
      </w:r>
      <w:proofErr w:type="gramEnd"/>
      <w:r w:rsidRPr="00326F31">
        <w:rPr>
          <w:rFonts w:asciiTheme="majorHAnsi" w:eastAsia="Arial Unicode MS" w:hAnsiTheme="majorHAnsi" w:cs="Times New Roman"/>
          <w:sz w:val="16"/>
          <w:szCs w:val="16"/>
          <w:lang w:eastAsia="en-US"/>
        </w:rPr>
        <w:t xml:space="preserve"> </w:t>
      </w:r>
      <w:proofErr w:type="gramStart"/>
      <w:r w:rsidRPr="00326F31">
        <w:rPr>
          <w:rFonts w:asciiTheme="majorHAnsi" w:eastAsia="Arial Unicode MS" w:hAnsiTheme="majorHAnsi" w:cs="Times New Roman"/>
          <w:sz w:val="16"/>
          <w:szCs w:val="16"/>
          <w:lang w:eastAsia="en-US"/>
        </w:rPr>
        <w:t>Doc. 54.</w:t>
      </w:r>
      <w:proofErr w:type="gramEnd"/>
      <w:r w:rsidRPr="00326F31">
        <w:rPr>
          <w:rFonts w:asciiTheme="majorHAnsi" w:eastAsia="Arial Unicode MS" w:hAnsiTheme="majorHAnsi" w:cs="Times New Roman"/>
          <w:sz w:val="16"/>
          <w:szCs w:val="16"/>
          <w:lang w:eastAsia="en-US"/>
        </w:rPr>
        <w:t xml:space="preserve"> </w:t>
      </w:r>
      <w:proofErr w:type="gramStart"/>
      <w:r w:rsidRPr="00326F31">
        <w:rPr>
          <w:rFonts w:asciiTheme="majorHAnsi" w:eastAsia="Arial Unicode MS" w:hAnsiTheme="majorHAnsi" w:cs="Times New Roman"/>
          <w:sz w:val="16"/>
          <w:szCs w:val="16"/>
          <w:lang w:eastAsia="en-US"/>
        </w:rPr>
        <w:t>December 30, 2009</w:t>
      </w:r>
      <w:r w:rsidRPr="00326F31">
        <w:rPr>
          <w:rFonts w:asciiTheme="majorHAnsi" w:hAnsiTheme="majorHAnsi"/>
          <w:sz w:val="16"/>
          <w:szCs w:val="16"/>
        </w:rPr>
        <w:t xml:space="preserve">, chapter </w:t>
      </w:r>
      <w:proofErr w:type="spellStart"/>
      <w:r w:rsidRPr="00326F31">
        <w:rPr>
          <w:rFonts w:asciiTheme="majorHAnsi" w:hAnsiTheme="majorHAnsi"/>
          <w:sz w:val="16"/>
          <w:szCs w:val="16"/>
        </w:rPr>
        <w:t>II.a</w:t>
      </w:r>
      <w:proofErr w:type="spellEnd"/>
      <w:r w:rsidRPr="00326F31">
        <w:rPr>
          <w:rFonts w:asciiTheme="majorHAnsi" w:hAnsiTheme="majorHAnsi"/>
          <w:sz w:val="16"/>
          <w:szCs w:val="16"/>
        </w:rPr>
        <w:t>, para.</w:t>
      </w:r>
      <w:proofErr w:type="gramEnd"/>
      <w:r w:rsidRPr="00326F31">
        <w:rPr>
          <w:rFonts w:asciiTheme="majorHAnsi" w:hAnsiTheme="majorHAnsi"/>
          <w:sz w:val="16"/>
          <w:szCs w:val="16"/>
        </w:rPr>
        <w:t xml:space="preserve"> 101.</w:t>
      </w:r>
    </w:p>
  </w:footnote>
  <w:footnote w:id="60">
    <w:p w14:paraId="58493633" w14:textId="17F75B33"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8</w:t>
      </w:r>
      <w:r w:rsidRPr="00326F31">
        <w:rPr>
          <w:rFonts w:asciiTheme="majorHAnsi" w:hAnsiTheme="majorHAnsi"/>
          <w:sz w:val="16"/>
          <w:szCs w:val="16"/>
        </w:rPr>
        <w:t>. Report of the Coordinator of Analysis and Legal Assessment of the Vice President addressed to the Vice President of Venezuela, December 8, 2003, Annex H of Annex IV of the complaint filed before the IACHR on March 7, 2006.</w:t>
      </w:r>
    </w:p>
  </w:footnote>
  <w:footnote w:id="61">
    <w:p w14:paraId="5BE5F5B0" w14:textId="433E711E"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Within the file, records show the conclusion of various contracts of </w:t>
      </w:r>
      <w:proofErr w:type="spellStart"/>
      <w:r w:rsidRPr="00326F31">
        <w:rPr>
          <w:rFonts w:asciiTheme="majorHAnsi" w:hAnsiTheme="majorHAnsi"/>
          <w:sz w:val="16"/>
          <w:szCs w:val="16"/>
        </w:rPr>
        <w:t>Rocío</w:t>
      </w:r>
      <w:proofErr w:type="spellEnd"/>
      <w:r w:rsidRPr="00326F31">
        <w:rPr>
          <w:rFonts w:asciiTheme="majorHAnsi" w:hAnsiTheme="majorHAnsi"/>
          <w:sz w:val="16"/>
          <w:szCs w:val="16"/>
        </w:rPr>
        <w:t xml:space="preserve"> San Miguel with the National Border Council: From July 1, 1996 until December 31, 1996, from 1 January 1997 to 31 December 1997, 1 January 1998 to December 31, 1998, from January 1, 2000 to March 31, 2000, from 1 January 2001 to 31 December 2001, from 1 January 2002 to 31 December 2002, the January 1, 2003 to December 31, 2003 and January 1, 2004 to</w:t>
      </w:r>
      <w:r>
        <w:rPr>
          <w:rFonts w:asciiTheme="majorHAnsi" w:hAnsiTheme="majorHAnsi"/>
          <w:sz w:val="16"/>
          <w:szCs w:val="16"/>
        </w:rPr>
        <w:t xml:space="preserve"> December 31, 2004. See Annex 9</w:t>
      </w:r>
      <w:r w:rsidRPr="00326F31">
        <w:rPr>
          <w:rFonts w:asciiTheme="majorHAnsi" w:hAnsiTheme="majorHAnsi"/>
          <w:sz w:val="16"/>
          <w:szCs w:val="16"/>
        </w:rPr>
        <w:t xml:space="preserve">. </w:t>
      </w:r>
      <w:proofErr w:type="spellStart"/>
      <w:r w:rsidRPr="00326F31">
        <w:rPr>
          <w:rFonts w:asciiTheme="majorHAnsi" w:hAnsiTheme="majorHAnsi"/>
          <w:sz w:val="16"/>
          <w:szCs w:val="16"/>
        </w:rPr>
        <w:t>Rocío</w:t>
      </w:r>
      <w:proofErr w:type="spellEnd"/>
      <w:r w:rsidRPr="00326F31">
        <w:rPr>
          <w:rFonts w:asciiTheme="majorHAnsi" w:hAnsiTheme="majorHAnsi"/>
          <w:sz w:val="16"/>
          <w:szCs w:val="16"/>
        </w:rPr>
        <w:t xml:space="preserve"> San Miguel contracts with the National Border Council, Annex </w:t>
      </w:r>
      <w:proofErr w:type="gramStart"/>
      <w:r w:rsidRPr="00326F31">
        <w:rPr>
          <w:rFonts w:asciiTheme="majorHAnsi" w:hAnsiTheme="majorHAnsi"/>
          <w:sz w:val="16"/>
          <w:szCs w:val="16"/>
        </w:rPr>
        <w:t>A</w:t>
      </w:r>
      <w:proofErr w:type="gramEnd"/>
      <w:r w:rsidRPr="00326F31">
        <w:rPr>
          <w:rFonts w:asciiTheme="majorHAnsi" w:hAnsiTheme="majorHAnsi"/>
          <w:sz w:val="16"/>
          <w:szCs w:val="16"/>
        </w:rPr>
        <w:t xml:space="preserve"> of Annex IV of the complaint filed before the IACHR on March 7, 2006.</w:t>
      </w:r>
    </w:p>
  </w:footnote>
  <w:footnote w:id="62">
    <w:p w14:paraId="1EA174D8" w14:textId="1DF7AC9E"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10</w:t>
      </w:r>
      <w:r w:rsidRPr="00326F31">
        <w:rPr>
          <w:rFonts w:asciiTheme="majorHAnsi" w:hAnsiTheme="majorHAnsi"/>
          <w:sz w:val="16"/>
          <w:szCs w:val="16"/>
        </w:rPr>
        <w:t xml:space="preserve">. </w:t>
      </w:r>
      <w:proofErr w:type="gramStart"/>
      <w:r w:rsidRPr="00326F31">
        <w:rPr>
          <w:rFonts w:asciiTheme="majorHAnsi" w:hAnsiTheme="majorHAnsi"/>
          <w:sz w:val="16"/>
          <w:szCs w:val="16"/>
        </w:rPr>
        <w:t xml:space="preserve">Labor contract between the head of the National Border Council with </w:t>
      </w:r>
      <w:proofErr w:type="spellStart"/>
      <w:r w:rsidRPr="00326F31">
        <w:rPr>
          <w:rFonts w:asciiTheme="majorHAnsi" w:hAnsiTheme="majorHAnsi"/>
          <w:sz w:val="16"/>
          <w:szCs w:val="16"/>
        </w:rPr>
        <w:t>Rocío</w:t>
      </w:r>
      <w:proofErr w:type="spellEnd"/>
      <w:r w:rsidRPr="00326F31">
        <w:rPr>
          <w:rFonts w:asciiTheme="majorHAnsi" w:hAnsiTheme="majorHAnsi"/>
          <w:sz w:val="16"/>
          <w:szCs w:val="16"/>
        </w:rPr>
        <w:t xml:space="preserve"> San Miguel Sosa on December 31, 2003, Annex F of the State submissions within the admissibility process before IACHR on January 16, 2008.</w:t>
      </w:r>
      <w:proofErr w:type="gramEnd"/>
    </w:p>
  </w:footnote>
  <w:footnote w:id="63">
    <w:p w14:paraId="453484BD" w14:textId="39F69E71"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Within the file, records show the conclusion of various contracts of </w:t>
      </w:r>
      <w:proofErr w:type="spellStart"/>
      <w:r w:rsidRPr="00326F31">
        <w:rPr>
          <w:rFonts w:asciiTheme="majorHAnsi" w:hAnsiTheme="majorHAnsi"/>
          <w:sz w:val="16"/>
          <w:szCs w:val="16"/>
        </w:rPr>
        <w:t>Magally</w:t>
      </w:r>
      <w:proofErr w:type="spellEnd"/>
      <w:r w:rsidRPr="00326F31">
        <w:rPr>
          <w:rFonts w:asciiTheme="majorHAnsi" w:hAnsiTheme="majorHAnsi"/>
          <w:sz w:val="16"/>
          <w:szCs w:val="16"/>
        </w:rPr>
        <w:t xml:space="preserve"> Chang with the National Border Council: from May 1, 1997 to December 31, 1997, from 1 January 1998 to 31 December 1998, from 1 January 1999 to March 31, 1999, from April 1, 1999 to May 31, 1999, from June 1, 1999 to June 30, 1999, from July 1, 1999 to December 31, 1999, 1 January 2000 to March 31, 2000, from April 1, 2000 to December 31, 2000, from 1 January 2001 to 31 December 2001, from 1 January 2002 to 31 December 2002, 1 January 2003 to December 31, 2003 and January 1, 2004 to December 31, 2004. See Annex </w:t>
      </w:r>
      <w:r>
        <w:rPr>
          <w:rFonts w:asciiTheme="majorHAnsi" w:hAnsiTheme="majorHAnsi"/>
          <w:sz w:val="16"/>
          <w:szCs w:val="16"/>
        </w:rPr>
        <w:t>11</w:t>
      </w:r>
      <w:r w:rsidRPr="00326F31">
        <w:rPr>
          <w:rFonts w:asciiTheme="majorHAnsi" w:hAnsiTheme="majorHAnsi"/>
          <w:sz w:val="16"/>
          <w:szCs w:val="16"/>
        </w:rPr>
        <w:t xml:space="preserve">. </w:t>
      </w:r>
      <w:proofErr w:type="spellStart"/>
      <w:r w:rsidRPr="00326F31">
        <w:rPr>
          <w:rFonts w:asciiTheme="majorHAnsi" w:hAnsiTheme="majorHAnsi"/>
          <w:sz w:val="16"/>
          <w:szCs w:val="16"/>
        </w:rPr>
        <w:t>Magally</w:t>
      </w:r>
      <w:proofErr w:type="spellEnd"/>
      <w:r w:rsidRPr="00326F31">
        <w:rPr>
          <w:rFonts w:asciiTheme="majorHAnsi" w:hAnsiTheme="majorHAnsi"/>
          <w:sz w:val="16"/>
          <w:szCs w:val="16"/>
        </w:rPr>
        <w:t xml:space="preserve"> Chang contracts with the National Border Council, Annex </w:t>
      </w:r>
      <w:proofErr w:type="gramStart"/>
      <w:r w:rsidRPr="00326F31">
        <w:rPr>
          <w:rFonts w:asciiTheme="majorHAnsi" w:hAnsiTheme="majorHAnsi"/>
          <w:sz w:val="16"/>
          <w:szCs w:val="16"/>
        </w:rPr>
        <w:t>A</w:t>
      </w:r>
      <w:proofErr w:type="gramEnd"/>
      <w:r w:rsidRPr="00326F31">
        <w:rPr>
          <w:rFonts w:asciiTheme="majorHAnsi" w:hAnsiTheme="majorHAnsi"/>
          <w:sz w:val="16"/>
          <w:szCs w:val="16"/>
        </w:rPr>
        <w:t xml:space="preserve"> of Annex IV of the complaint filed before the IACHR on March 7, 2006.</w:t>
      </w:r>
    </w:p>
  </w:footnote>
  <w:footnote w:id="64">
    <w:p w14:paraId="6ECD1E70" w14:textId="231258A0"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12</w:t>
      </w:r>
      <w:r w:rsidRPr="00326F31">
        <w:rPr>
          <w:rFonts w:asciiTheme="majorHAnsi" w:hAnsiTheme="majorHAnsi"/>
          <w:sz w:val="16"/>
          <w:szCs w:val="16"/>
        </w:rPr>
        <w:t xml:space="preserve">. </w:t>
      </w:r>
      <w:proofErr w:type="gramStart"/>
      <w:r w:rsidRPr="00326F31">
        <w:rPr>
          <w:rFonts w:asciiTheme="majorHAnsi" w:hAnsiTheme="majorHAnsi"/>
          <w:sz w:val="16"/>
          <w:szCs w:val="16"/>
        </w:rPr>
        <w:t xml:space="preserve">Labor contract between the head of the National Border Council with </w:t>
      </w:r>
      <w:proofErr w:type="spellStart"/>
      <w:r w:rsidRPr="00326F31">
        <w:rPr>
          <w:rFonts w:asciiTheme="majorHAnsi" w:hAnsiTheme="majorHAnsi"/>
          <w:sz w:val="16"/>
          <w:szCs w:val="16"/>
        </w:rPr>
        <w:t>Magally</w:t>
      </w:r>
      <w:proofErr w:type="spellEnd"/>
      <w:r w:rsidRPr="00326F31">
        <w:rPr>
          <w:rFonts w:asciiTheme="majorHAnsi" w:hAnsiTheme="majorHAnsi"/>
          <w:sz w:val="16"/>
          <w:szCs w:val="16"/>
        </w:rPr>
        <w:t xml:space="preserve"> M. Chang </w:t>
      </w:r>
      <w:proofErr w:type="spellStart"/>
      <w:r w:rsidRPr="00326F31">
        <w:rPr>
          <w:rFonts w:asciiTheme="majorHAnsi" w:hAnsiTheme="majorHAnsi"/>
          <w:sz w:val="16"/>
          <w:szCs w:val="16"/>
        </w:rPr>
        <w:t>Girón</w:t>
      </w:r>
      <w:proofErr w:type="spellEnd"/>
      <w:r w:rsidRPr="00326F31">
        <w:rPr>
          <w:rFonts w:asciiTheme="majorHAnsi" w:hAnsiTheme="majorHAnsi"/>
          <w:sz w:val="16"/>
          <w:szCs w:val="16"/>
        </w:rPr>
        <w:t xml:space="preserve"> on December 31, 2003, Annex F of the State submission within the admissibility process before IACHR on January 16, 2008.</w:t>
      </w:r>
      <w:proofErr w:type="gramEnd"/>
    </w:p>
  </w:footnote>
  <w:footnote w:id="65">
    <w:p w14:paraId="59121EF8" w14:textId="0126630C"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Within the file, records show the conclusion of contracts to provide services from April 1, 2000 to December 31, 2000, January 1, 2002 to December 31, 2002, January 1, 2003 to December 31, 2003, 1 January 2004 t</w:t>
      </w:r>
      <w:r>
        <w:rPr>
          <w:rFonts w:asciiTheme="majorHAnsi" w:hAnsiTheme="majorHAnsi"/>
          <w:sz w:val="16"/>
          <w:szCs w:val="16"/>
        </w:rPr>
        <w:t>o 31 December 2004. See Annex 13</w:t>
      </w:r>
      <w:r w:rsidRPr="00326F31">
        <w:rPr>
          <w:rFonts w:asciiTheme="majorHAnsi" w:hAnsiTheme="majorHAnsi"/>
          <w:sz w:val="16"/>
          <w:szCs w:val="16"/>
        </w:rPr>
        <w:t xml:space="preserve">. Thais </w:t>
      </w:r>
      <w:proofErr w:type="spellStart"/>
      <w:r w:rsidRPr="00326F31">
        <w:rPr>
          <w:rFonts w:asciiTheme="majorHAnsi" w:hAnsiTheme="majorHAnsi"/>
          <w:sz w:val="16"/>
          <w:szCs w:val="16"/>
        </w:rPr>
        <w:t>Coromoto</w:t>
      </w:r>
      <w:proofErr w:type="spellEnd"/>
      <w:r w:rsidRPr="00326F31">
        <w:rPr>
          <w:rFonts w:asciiTheme="majorHAnsi" w:hAnsiTheme="majorHAnsi"/>
          <w:sz w:val="16"/>
          <w:szCs w:val="16"/>
        </w:rPr>
        <w:t xml:space="preserve"> Peña contracts with the National Border Council, Annex A of Annex IV of the complaint filed before the IACHR on March 7, 2006</w:t>
      </w:r>
    </w:p>
  </w:footnote>
  <w:footnote w:id="66">
    <w:p w14:paraId="223D2C6B" w14:textId="1C8C5B1D"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14</w:t>
      </w:r>
      <w:r w:rsidRPr="00326F31">
        <w:rPr>
          <w:rFonts w:asciiTheme="majorHAnsi" w:hAnsiTheme="majorHAnsi"/>
          <w:sz w:val="16"/>
          <w:szCs w:val="16"/>
        </w:rPr>
        <w:t xml:space="preserve">. </w:t>
      </w:r>
      <w:proofErr w:type="gramStart"/>
      <w:r w:rsidRPr="00326F31">
        <w:rPr>
          <w:rFonts w:asciiTheme="majorHAnsi" w:hAnsiTheme="majorHAnsi"/>
          <w:sz w:val="16"/>
          <w:szCs w:val="16"/>
        </w:rPr>
        <w:t xml:space="preserve">Labor contract between the head of the National Border Council with Thais </w:t>
      </w:r>
      <w:proofErr w:type="spellStart"/>
      <w:r w:rsidRPr="00326F31">
        <w:rPr>
          <w:rFonts w:asciiTheme="majorHAnsi" w:hAnsiTheme="majorHAnsi"/>
          <w:sz w:val="16"/>
          <w:szCs w:val="16"/>
        </w:rPr>
        <w:t>Coromoto</w:t>
      </w:r>
      <w:proofErr w:type="spellEnd"/>
      <w:r w:rsidRPr="00326F31">
        <w:rPr>
          <w:rFonts w:asciiTheme="majorHAnsi" w:hAnsiTheme="majorHAnsi"/>
          <w:sz w:val="16"/>
          <w:szCs w:val="16"/>
        </w:rPr>
        <w:t xml:space="preserve"> Peña on December 31, 2003, Annex F of the State submission within admissibility the process before IACHR on January 16, 2008.</w:t>
      </w:r>
      <w:proofErr w:type="gramEnd"/>
    </w:p>
  </w:footnote>
  <w:footnote w:id="67">
    <w:p w14:paraId="2C69D5B0" w14:textId="6FC98118"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15</w:t>
      </w:r>
      <w:r w:rsidRPr="00326F31">
        <w:rPr>
          <w:rFonts w:asciiTheme="majorHAnsi" w:hAnsiTheme="majorHAnsi"/>
          <w:sz w:val="16"/>
          <w:szCs w:val="16"/>
        </w:rPr>
        <w:t>. Form to collect signatures, August 19, 2000, Annex C of Annex IV of the complaint filed before the IACHR on March 7, 2006. Annex II of the complaint filed before the IACHR on March 7, 2006.</w:t>
      </w:r>
    </w:p>
  </w:footnote>
  <w:footnote w:id="68">
    <w:p w14:paraId="7C7471C4" w14:textId="6C392DC0" w:rsidR="00C45C34" w:rsidRPr="00326F31" w:rsidRDefault="00C45C34" w:rsidP="00131FA4">
      <w:pPr>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16</w:t>
      </w:r>
      <w:r w:rsidRPr="00326F31">
        <w:rPr>
          <w:rFonts w:asciiTheme="majorHAnsi" w:hAnsiTheme="majorHAnsi"/>
          <w:sz w:val="16"/>
          <w:szCs w:val="16"/>
        </w:rPr>
        <w:t>.</w:t>
      </w:r>
      <w:r>
        <w:rPr>
          <w:rFonts w:asciiTheme="majorHAnsi" w:hAnsiTheme="majorHAnsi"/>
          <w:sz w:val="16"/>
          <w:szCs w:val="16"/>
        </w:rPr>
        <w:t xml:space="preserve"> </w:t>
      </w:r>
      <w:r w:rsidRPr="00326F31">
        <w:rPr>
          <w:rFonts w:asciiTheme="majorHAnsi" w:hAnsiTheme="majorHAnsi"/>
          <w:sz w:val="16"/>
          <w:szCs w:val="16"/>
        </w:rPr>
        <w:t>Appeal remedy (</w:t>
      </w:r>
      <w:proofErr w:type="spellStart"/>
      <w:r w:rsidRPr="00326F31">
        <w:rPr>
          <w:rFonts w:asciiTheme="majorHAnsi" w:hAnsiTheme="majorHAnsi"/>
          <w:i/>
          <w:sz w:val="16"/>
          <w:szCs w:val="16"/>
        </w:rPr>
        <w:t>casación</w:t>
      </w:r>
      <w:proofErr w:type="spellEnd"/>
      <w:r w:rsidRPr="00326F31">
        <w:rPr>
          <w:rFonts w:asciiTheme="majorHAnsi" w:hAnsiTheme="majorHAnsi"/>
          <w:sz w:val="16"/>
          <w:szCs w:val="16"/>
        </w:rPr>
        <w:t xml:space="preserve">), filed by </w:t>
      </w:r>
      <w:proofErr w:type="spellStart"/>
      <w:r w:rsidRPr="00326F31">
        <w:rPr>
          <w:rFonts w:asciiTheme="majorHAnsi" w:hAnsiTheme="majorHAnsi"/>
          <w:sz w:val="16"/>
          <w:szCs w:val="16"/>
        </w:rPr>
        <w:t>Rocío</w:t>
      </w:r>
      <w:proofErr w:type="spellEnd"/>
      <w:r w:rsidRPr="00326F31">
        <w:rPr>
          <w:rFonts w:asciiTheme="majorHAnsi" w:hAnsiTheme="majorHAnsi"/>
          <w:sz w:val="16"/>
          <w:szCs w:val="16"/>
        </w:rPr>
        <w:t xml:space="preserve"> San Miguel, </w:t>
      </w:r>
      <w:proofErr w:type="spellStart"/>
      <w:r w:rsidRPr="00326F31">
        <w:rPr>
          <w:rFonts w:asciiTheme="majorHAnsi" w:hAnsiTheme="majorHAnsi"/>
          <w:sz w:val="16"/>
          <w:szCs w:val="16"/>
        </w:rPr>
        <w:t>Magally</w:t>
      </w:r>
      <w:proofErr w:type="spellEnd"/>
      <w:r w:rsidRPr="00326F31">
        <w:rPr>
          <w:rFonts w:asciiTheme="majorHAnsi" w:hAnsiTheme="majorHAnsi"/>
          <w:sz w:val="16"/>
          <w:szCs w:val="16"/>
        </w:rPr>
        <w:t xml:space="preserve"> Chang </w:t>
      </w:r>
      <w:proofErr w:type="spellStart"/>
      <w:r w:rsidRPr="00326F31">
        <w:rPr>
          <w:rFonts w:asciiTheme="majorHAnsi" w:hAnsiTheme="majorHAnsi"/>
          <w:sz w:val="16"/>
          <w:szCs w:val="16"/>
        </w:rPr>
        <w:t>Girón</w:t>
      </w:r>
      <w:proofErr w:type="spellEnd"/>
      <w:r w:rsidRPr="00326F31">
        <w:rPr>
          <w:rFonts w:asciiTheme="majorHAnsi" w:hAnsiTheme="majorHAnsi"/>
          <w:sz w:val="16"/>
          <w:szCs w:val="16"/>
        </w:rPr>
        <w:t xml:space="preserve"> and Thais </w:t>
      </w:r>
      <w:proofErr w:type="spellStart"/>
      <w:r w:rsidRPr="00326F31">
        <w:rPr>
          <w:rFonts w:asciiTheme="majorHAnsi" w:hAnsiTheme="majorHAnsi"/>
          <w:sz w:val="16"/>
          <w:szCs w:val="16"/>
        </w:rPr>
        <w:t>Coromoto</w:t>
      </w:r>
      <w:proofErr w:type="spellEnd"/>
      <w:r w:rsidRPr="00326F31">
        <w:rPr>
          <w:rFonts w:asciiTheme="majorHAnsi" w:hAnsiTheme="majorHAnsi"/>
          <w:sz w:val="16"/>
          <w:szCs w:val="16"/>
        </w:rPr>
        <w:t xml:space="preserve"> Peña against the</w:t>
      </w:r>
      <w:r>
        <w:rPr>
          <w:rFonts w:asciiTheme="majorHAnsi" w:hAnsiTheme="majorHAnsi"/>
          <w:sz w:val="16"/>
          <w:szCs w:val="16"/>
        </w:rPr>
        <w:t xml:space="preserve"> </w:t>
      </w:r>
      <w:r w:rsidRPr="00326F31">
        <w:rPr>
          <w:rFonts w:asciiTheme="majorHAnsi" w:hAnsiTheme="majorHAnsi"/>
          <w:sz w:val="16"/>
          <w:szCs w:val="16"/>
        </w:rPr>
        <w:t>decision of the Seventh Chamber of the Court of Appeals of the Criminal Judicial Circuit of the Metropolitan Area of Caracas, July 6, 2005. Annex II of the complaint filed before the IACHR on March 7, 2006.</w:t>
      </w:r>
    </w:p>
  </w:footnote>
  <w:footnote w:id="69">
    <w:p w14:paraId="586F4A06" w14:textId="2B60F071"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The notification of Rocio San Miguel contains a signature of receipt dated March 25, 2004. In turn, the notification of </w:t>
      </w:r>
      <w:proofErr w:type="spellStart"/>
      <w:r w:rsidRPr="00326F31">
        <w:rPr>
          <w:rFonts w:asciiTheme="majorHAnsi" w:hAnsiTheme="majorHAnsi"/>
          <w:sz w:val="16"/>
          <w:szCs w:val="16"/>
        </w:rPr>
        <w:t>Magally</w:t>
      </w:r>
      <w:proofErr w:type="spellEnd"/>
      <w:r w:rsidRPr="00326F31">
        <w:rPr>
          <w:rFonts w:asciiTheme="majorHAnsi" w:hAnsiTheme="majorHAnsi"/>
          <w:sz w:val="16"/>
          <w:szCs w:val="16"/>
        </w:rPr>
        <w:t xml:space="preserve"> Chang </w:t>
      </w:r>
      <w:proofErr w:type="spellStart"/>
      <w:r w:rsidRPr="00326F31">
        <w:rPr>
          <w:rFonts w:asciiTheme="majorHAnsi" w:hAnsiTheme="majorHAnsi"/>
          <w:sz w:val="16"/>
          <w:szCs w:val="16"/>
        </w:rPr>
        <w:t>Girón</w:t>
      </w:r>
      <w:proofErr w:type="spellEnd"/>
      <w:r w:rsidRPr="00326F31">
        <w:rPr>
          <w:rFonts w:asciiTheme="majorHAnsi" w:hAnsiTheme="majorHAnsi"/>
          <w:sz w:val="16"/>
          <w:szCs w:val="16"/>
        </w:rPr>
        <w:t xml:space="preserve"> contains a receipt of acknowledgment signed on 22 March 2004. For Thais </w:t>
      </w:r>
      <w:proofErr w:type="spellStart"/>
      <w:r w:rsidRPr="00326F31">
        <w:rPr>
          <w:rFonts w:asciiTheme="majorHAnsi" w:hAnsiTheme="majorHAnsi"/>
          <w:sz w:val="16"/>
          <w:szCs w:val="16"/>
        </w:rPr>
        <w:t>Coromoto</w:t>
      </w:r>
      <w:proofErr w:type="spellEnd"/>
      <w:r w:rsidRPr="00326F31">
        <w:rPr>
          <w:rFonts w:asciiTheme="majorHAnsi" w:hAnsiTheme="majorHAnsi"/>
          <w:sz w:val="16"/>
          <w:szCs w:val="16"/>
        </w:rPr>
        <w:t xml:space="preserve"> Peña said communication contains a signature of receipt dated March 31, 2004.</w:t>
      </w:r>
    </w:p>
  </w:footnote>
  <w:footnote w:id="70">
    <w:p w14:paraId="666A299E" w14:textId="33D48ED1"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17</w:t>
      </w:r>
      <w:r w:rsidRPr="00326F31">
        <w:rPr>
          <w:rFonts w:asciiTheme="majorHAnsi" w:hAnsiTheme="majorHAnsi"/>
          <w:sz w:val="16"/>
          <w:szCs w:val="16"/>
        </w:rPr>
        <w:t>. Letter from the Chairman of the National Border Council to Rocio San Miguel, communicating the termination of the employment relationship, March 12, 2004, Annex F to the State’s submission within the admissibility process before the IAC</w:t>
      </w:r>
      <w:r>
        <w:rPr>
          <w:rFonts w:asciiTheme="majorHAnsi" w:hAnsiTheme="majorHAnsi"/>
          <w:sz w:val="16"/>
          <w:szCs w:val="16"/>
        </w:rPr>
        <w:t>HR on January 16, 2008; Annex 18</w:t>
      </w:r>
      <w:r w:rsidRPr="00326F31">
        <w:rPr>
          <w:rFonts w:asciiTheme="majorHAnsi" w:hAnsiTheme="majorHAnsi"/>
          <w:sz w:val="16"/>
          <w:szCs w:val="16"/>
        </w:rPr>
        <w:t xml:space="preserve">. Letter from the Chairman of the National Border Council to </w:t>
      </w:r>
      <w:proofErr w:type="spellStart"/>
      <w:r w:rsidRPr="00326F31">
        <w:rPr>
          <w:rFonts w:asciiTheme="majorHAnsi" w:hAnsiTheme="majorHAnsi"/>
          <w:sz w:val="16"/>
          <w:szCs w:val="16"/>
        </w:rPr>
        <w:t>Magally</w:t>
      </w:r>
      <w:proofErr w:type="spellEnd"/>
      <w:r w:rsidRPr="00326F31">
        <w:rPr>
          <w:rFonts w:asciiTheme="majorHAnsi" w:hAnsiTheme="majorHAnsi"/>
          <w:sz w:val="16"/>
          <w:szCs w:val="16"/>
        </w:rPr>
        <w:t xml:space="preserve"> Chang </w:t>
      </w:r>
      <w:proofErr w:type="spellStart"/>
      <w:r w:rsidRPr="00326F31">
        <w:rPr>
          <w:rFonts w:asciiTheme="majorHAnsi" w:hAnsiTheme="majorHAnsi"/>
          <w:sz w:val="16"/>
          <w:szCs w:val="16"/>
        </w:rPr>
        <w:t>Girón</w:t>
      </w:r>
      <w:proofErr w:type="spellEnd"/>
      <w:r w:rsidRPr="00326F31">
        <w:rPr>
          <w:rFonts w:asciiTheme="majorHAnsi" w:hAnsiTheme="majorHAnsi"/>
          <w:sz w:val="16"/>
          <w:szCs w:val="16"/>
        </w:rPr>
        <w:t>, communicating the termination of the employment relationship, March 12, 2004, Annex F to the State State’s submission within the admissibility process before the IACHR on January</w:t>
      </w:r>
      <w:r>
        <w:rPr>
          <w:rFonts w:asciiTheme="majorHAnsi" w:hAnsiTheme="majorHAnsi"/>
          <w:sz w:val="16"/>
          <w:szCs w:val="16"/>
        </w:rPr>
        <w:t xml:space="preserve"> 16, 2008; Annex 19</w:t>
      </w:r>
      <w:r w:rsidRPr="00326F31">
        <w:rPr>
          <w:rFonts w:asciiTheme="majorHAnsi" w:hAnsiTheme="majorHAnsi"/>
          <w:sz w:val="16"/>
          <w:szCs w:val="16"/>
        </w:rPr>
        <w:t xml:space="preserve">. </w:t>
      </w:r>
      <w:proofErr w:type="gramStart"/>
      <w:r w:rsidRPr="00326F31">
        <w:rPr>
          <w:rFonts w:asciiTheme="majorHAnsi" w:hAnsiTheme="majorHAnsi"/>
          <w:sz w:val="16"/>
          <w:szCs w:val="16"/>
        </w:rPr>
        <w:t xml:space="preserve">Letter from the Chairman of the National Border Council to Thais </w:t>
      </w:r>
      <w:proofErr w:type="spellStart"/>
      <w:r w:rsidRPr="00326F31">
        <w:rPr>
          <w:rFonts w:asciiTheme="majorHAnsi" w:hAnsiTheme="majorHAnsi"/>
          <w:sz w:val="16"/>
          <w:szCs w:val="16"/>
        </w:rPr>
        <w:t>Coromoto</w:t>
      </w:r>
      <w:proofErr w:type="spellEnd"/>
      <w:r w:rsidRPr="00326F31">
        <w:rPr>
          <w:rFonts w:asciiTheme="majorHAnsi" w:hAnsiTheme="majorHAnsi"/>
          <w:sz w:val="16"/>
          <w:szCs w:val="16"/>
        </w:rPr>
        <w:t xml:space="preserve"> Peña, communicating the termination of the employment relationship, March 12, 2004, Annex F to the State’s submission within the admissibility process before the IACHR on January 16, 2008.</w:t>
      </w:r>
      <w:proofErr w:type="gramEnd"/>
      <w:r w:rsidRPr="00326F31">
        <w:rPr>
          <w:rFonts w:asciiTheme="majorHAnsi" w:hAnsiTheme="majorHAnsi"/>
          <w:sz w:val="16"/>
          <w:szCs w:val="16"/>
        </w:rPr>
        <w:t xml:space="preserve"> In accordance with communication of the then Executive Secretary of the National Border Council, the alleged victims worked for the National Border Council un</w:t>
      </w:r>
      <w:r>
        <w:rPr>
          <w:rFonts w:asciiTheme="majorHAnsi" w:hAnsiTheme="majorHAnsi"/>
          <w:sz w:val="16"/>
          <w:szCs w:val="16"/>
        </w:rPr>
        <w:t>til April 30, 2004. See Annex 20</w:t>
      </w:r>
      <w:r w:rsidRPr="00326F31">
        <w:rPr>
          <w:rFonts w:asciiTheme="majorHAnsi" w:hAnsiTheme="majorHAnsi"/>
          <w:sz w:val="16"/>
          <w:szCs w:val="16"/>
        </w:rPr>
        <w:t xml:space="preserve">. </w:t>
      </w:r>
      <w:proofErr w:type="gramStart"/>
      <w:r w:rsidRPr="00326F31">
        <w:rPr>
          <w:rFonts w:asciiTheme="majorHAnsi" w:hAnsiTheme="majorHAnsi"/>
          <w:sz w:val="16"/>
          <w:szCs w:val="16"/>
        </w:rPr>
        <w:t>Letter from the Executive Secretary of the National Border Council to Prosecutor 37 of the Public Prosecutor’s Office, July 13, 2004, Annex II of the complaint filed before the IACHR on March 7, 2006.</w:t>
      </w:r>
      <w:proofErr w:type="gramEnd"/>
      <w:r w:rsidRPr="00326F31">
        <w:rPr>
          <w:rFonts w:asciiTheme="majorHAnsi" w:hAnsiTheme="majorHAnsi"/>
          <w:sz w:val="16"/>
          <w:szCs w:val="16"/>
        </w:rPr>
        <w:tab/>
      </w:r>
    </w:p>
  </w:footnote>
  <w:footnote w:id="71">
    <w:p w14:paraId="27D56E89" w14:textId="68EAD9BA"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21</w:t>
      </w:r>
      <w:r w:rsidRPr="00326F31">
        <w:rPr>
          <w:rFonts w:asciiTheme="majorHAnsi" w:hAnsiTheme="majorHAnsi"/>
          <w:sz w:val="16"/>
          <w:szCs w:val="16"/>
        </w:rPr>
        <w:t xml:space="preserve">. </w:t>
      </w:r>
      <w:proofErr w:type="gramStart"/>
      <w:r w:rsidRPr="00326F31">
        <w:rPr>
          <w:rFonts w:asciiTheme="majorHAnsi" w:hAnsiTheme="majorHAnsi"/>
          <w:sz w:val="16"/>
          <w:szCs w:val="16"/>
        </w:rPr>
        <w:t xml:space="preserve">Telephone conversation between </w:t>
      </w:r>
      <w:proofErr w:type="spellStart"/>
      <w:r w:rsidRPr="00326F31">
        <w:rPr>
          <w:rFonts w:asciiTheme="majorHAnsi" w:hAnsiTheme="majorHAnsi"/>
          <w:sz w:val="16"/>
          <w:szCs w:val="16"/>
        </w:rPr>
        <w:t>Feijoo</w:t>
      </w:r>
      <w:proofErr w:type="spellEnd"/>
      <w:r w:rsidRPr="00326F31">
        <w:rPr>
          <w:rFonts w:asciiTheme="majorHAnsi" w:hAnsiTheme="majorHAnsi"/>
          <w:sz w:val="16"/>
          <w:szCs w:val="16"/>
        </w:rPr>
        <w:t xml:space="preserve"> </w:t>
      </w:r>
      <w:proofErr w:type="spellStart"/>
      <w:r w:rsidRPr="00326F31">
        <w:rPr>
          <w:rFonts w:asciiTheme="majorHAnsi" w:hAnsiTheme="majorHAnsi"/>
          <w:sz w:val="16"/>
          <w:szCs w:val="16"/>
        </w:rPr>
        <w:t>Colomine</w:t>
      </w:r>
      <w:proofErr w:type="spellEnd"/>
      <w:r w:rsidRPr="00326F31">
        <w:rPr>
          <w:rFonts w:asciiTheme="majorHAnsi" w:hAnsiTheme="majorHAnsi"/>
          <w:sz w:val="16"/>
          <w:szCs w:val="16"/>
        </w:rPr>
        <w:t xml:space="preserve"> and Rocio San Miguel, March 24, 2004, Annex B of Annex IV of the complaint filed before the IACHR on March 7, 2006.</w:t>
      </w:r>
      <w:proofErr w:type="gramEnd"/>
    </w:p>
  </w:footnote>
  <w:footnote w:id="72">
    <w:p w14:paraId="7B1A8D4A" w14:textId="6BD54055"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22</w:t>
      </w:r>
      <w:r w:rsidRPr="00326F31">
        <w:rPr>
          <w:rFonts w:asciiTheme="majorHAnsi" w:hAnsiTheme="majorHAnsi"/>
          <w:sz w:val="16"/>
          <w:szCs w:val="16"/>
        </w:rPr>
        <w:t xml:space="preserve">. Transcript of the interview with </w:t>
      </w:r>
      <w:proofErr w:type="spellStart"/>
      <w:r w:rsidRPr="00326F31">
        <w:rPr>
          <w:rFonts w:asciiTheme="majorHAnsi" w:hAnsiTheme="majorHAnsi"/>
          <w:sz w:val="16"/>
          <w:szCs w:val="16"/>
        </w:rPr>
        <w:t>Rocío</w:t>
      </w:r>
      <w:proofErr w:type="spellEnd"/>
      <w:r w:rsidRPr="00326F31">
        <w:rPr>
          <w:rFonts w:asciiTheme="majorHAnsi" w:hAnsiTheme="majorHAnsi"/>
          <w:sz w:val="16"/>
          <w:szCs w:val="16"/>
        </w:rPr>
        <w:t xml:space="preserve"> del Carmen San Miguel Sosa, before the Office of the Thirty-Seventh Prosecuting Attorney on July 15, 2004, Annex II of the complaint filed before the IACHR on March 7, 2006</w:t>
      </w:r>
    </w:p>
  </w:footnote>
  <w:footnote w:id="73">
    <w:p w14:paraId="75A8BB8C" w14:textId="1DA90977"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23</w:t>
      </w:r>
      <w:r w:rsidRPr="00326F31">
        <w:rPr>
          <w:rFonts w:asciiTheme="majorHAnsi" w:hAnsiTheme="majorHAnsi"/>
          <w:sz w:val="16"/>
          <w:szCs w:val="16"/>
        </w:rPr>
        <w:t xml:space="preserve">. </w:t>
      </w:r>
      <w:proofErr w:type="spellStart"/>
      <w:r w:rsidRPr="00326F31">
        <w:rPr>
          <w:rFonts w:asciiTheme="majorHAnsi" w:hAnsiTheme="majorHAnsi"/>
          <w:sz w:val="16"/>
          <w:szCs w:val="16"/>
        </w:rPr>
        <w:t>Rocío</w:t>
      </w:r>
      <w:proofErr w:type="spellEnd"/>
      <w:r w:rsidRPr="00326F31">
        <w:rPr>
          <w:rFonts w:asciiTheme="majorHAnsi" w:hAnsiTheme="majorHAnsi"/>
          <w:sz w:val="16"/>
          <w:szCs w:val="16"/>
        </w:rPr>
        <w:t xml:space="preserve"> San Miguel letter to the President of the National Border Council, March 29, 2004, Annex I of the complaint filed before the IACRH on March 7, 2006.</w:t>
      </w:r>
    </w:p>
  </w:footnote>
  <w:footnote w:id="74">
    <w:p w14:paraId="1225F16B" w14:textId="6BC92CF8"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24</w:t>
      </w:r>
      <w:r w:rsidRPr="00326F31">
        <w:rPr>
          <w:rFonts w:asciiTheme="majorHAnsi" w:hAnsiTheme="majorHAnsi"/>
          <w:sz w:val="16"/>
          <w:szCs w:val="16"/>
        </w:rPr>
        <w:t>. Letter from the Chairman of the National Border Council to Rocio San Miguel, communicating the termination of the employment relationship, March 12, 2004, Annex F to the State’s submission within the admissibility process before the IAC</w:t>
      </w:r>
      <w:r>
        <w:rPr>
          <w:rFonts w:asciiTheme="majorHAnsi" w:hAnsiTheme="majorHAnsi"/>
          <w:sz w:val="16"/>
          <w:szCs w:val="16"/>
        </w:rPr>
        <w:t>HR on January 16, 2008; Annex 25</w:t>
      </w:r>
      <w:r w:rsidRPr="00326F31">
        <w:rPr>
          <w:rFonts w:asciiTheme="majorHAnsi" w:hAnsiTheme="majorHAnsi"/>
          <w:sz w:val="16"/>
          <w:szCs w:val="16"/>
        </w:rPr>
        <w:t xml:space="preserve">. Letter from the Chairman of the National Border Council to </w:t>
      </w:r>
      <w:proofErr w:type="spellStart"/>
      <w:r w:rsidRPr="00326F31">
        <w:rPr>
          <w:rFonts w:asciiTheme="majorHAnsi" w:hAnsiTheme="majorHAnsi"/>
          <w:sz w:val="16"/>
          <w:szCs w:val="16"/>
        </w:rPr>
        <w:t>Magally</w:t>
      </w:r>
      <w:proofErr w:type="spellEnd"/>
      <w:r w:rsidRPr="00326F31">
        <w:rPr>
          <w:rFonts w:asciiTheme="majorHAnsi" w:hAnsiTheme="majorHAnsi"/>
          <w:sz w:val="16"/>
          <w:szCs w:val="16"/>
        </w:rPr>
        <w:t xml:space="preserve"> Chang </w:t>
      </w:r>
      <w:proofErr w:type="spellStart"/>
      <w:r w:rsidRPr="00326F31">
        <w:rPr>
          <w:rFonts w:asciiTheme="majorHAnsi" w:hAnsiTheme="majorHAnsi"/>
          <w:sz w:val="16"/>
          <w:szCs w:val="16"/>
        </w:rPr>
        <w:t>Girón</w:t>
      </w:r>
      <w:proofErr w:type="spellEnd"/>
      <w:r w:rsidRPr="00326F31">
        <w:rPr>
          <w:rFonts w:asciiTheme="majorHAnsi" w:hAnsiTheme="majorHAnsi"/>
          <w:sz w:val="16"/>
          <w:szCs w:val="16"/>
        </w:rPr>
        <w:t>, communicating the termination of the employment relationship, March 12, 2004, Annex F to the State’s submission within the admissibility process before the IAC</w:t>
      </w:r>
      <w:r>
        <w:rPr>
          <w:rFonts w:asciiTheme="majorHAnsi" w:hAnsiTheme="majorHAnsi"/>
          <w:sz w:val="16"/>
          <w:szCs w:val="16"/>
        </w:rPr>
        <w:t>HR on January 16, 2008; Annex 26</w:t>
      </w:r>
      <w:r w:rsidRPr="00326F31">
        <w:rPr>
          <w:rFonts w:asciiTheme="majorHAnsi" w:hAnsiTheme="majorHAnsi"/>
          <w:sz w:val="16"/>
          <w:szCs w:val="16"/>
        </w:rPr>
        <w:t xml:space="preserve">. </w:t>
      </w:r>
      <w:proofErr w:type="gramStart"/>
      <w:r w:rsidRPr="00326F31">
        <w:rPr>
          <w:rFonts w:asciiTheme="majorHAnsi" w:hAnsiTheme="majorHAnsi"/>
          <w:sz w:val="16"/>
          <w:szCs w:val="16"/>
        </w:rPr>
        <w:t xml:space="preserve">Letter from the Chairman of the National Border Council to Thais </w:t>
      </w:r>
      <w:proofErr w:type="spellStart"/>
      <w:r w:rsidRPr="00326F31">
        <w:rPr>
          <w:rFonts w:asciiTheme="majorHAnsi" w:hAnsiTheme="majorHAnsi"/>
          <w:sz w:val="16"/>
          <w:szCs w:val="16"/>
        </w:rPr>
        <w:t>Coromoto</w:t>
      </w:r>
      <w:proofErr w:type="spellEnd"/>
      <w:r w:rsidRPr="00326F31">
        <w:rPr>
          <w:rFonts w:asciiTheme="majorHAnsi" w:hAnsiTheme="majorHAnsi"/>
          <w:sz w:val="16"/>
          <w:szCs w:val="16"/>
        </w:rPr>
        <w:t xml:space="preserve"> Peña, communicating the termination of the employment relationship, March 12, 2004, Annex F to the State’s submission within the admissibility process before the IACHR on January 16, 2008.</w:t>
      </w:r>
      <w:proofErr w:type="gramEnd"/>
      <w:r w:rsidRPr="00326F31">
        <w:rPr>
          <w:rFonts w:asciiTheme="majorHAnsi" w:hAnsiTheme="majorHAnsi"/>
          <w:sz w:val="16"/>
          <w:szCs w:val="16"/>
        </w:rPr>
        <w:t xml:space="preserve"> In accordance with communication of the then Executive Secretary of the National Border Council, the alleged victims worked for the National Border Council un</w:t>
      </w:r>
      <w:r>
        <w:rPr>
          <w:rFonts w:asciiTheme="majorHAnsi" w:hAnsiTheme="majorHAnsi"/>
          <w:sz w:val="16"/>
          <w:szCs w:val="16"/>
        </w:rPr>
        <w:t>til April 30, 2004. See Annex 20</w:t>
      </w:r>
      <w:r w:rsidRPr="00326F31">
        <w:rPr>
          <w:rFonts w:asciiTheme="majorHAnsi" w:hAnsiTheme="majorHAnsi"/>
          <w:sz w:val="16"/>
          <w:szCs w:val="16"/>
        </w:rPr>
        <w:t xml:space="preserve">. </w:t>
      </w:r>
      <w:proofErr w:type="gramStart"/>
      <w:r w:rsidRPr="00326F31">
        <w:rPr>
          <w:rFonts w:asciiTheme="majorHAnsi" w:hAnsiTheme="majorHAnsi"/>
          <w:sz w:val="16"/>
          <w:szCs w:val="16"/>
        </w:rPr>
        <w:t>Letter from the Executive Secretary of the National Border Council to Prosecutor 37 of the Public Prosecutor’s Office, July 13, 2004, Annex II of the complaint filed before the IACHR on March 7, 2006.</w:t>
      </w:r>
      <w:proofErr w:type="gramEnd"/>
    </w:p>
  </w:footnote>
  <w:footnote w:id="75">
    <w:p w14:paraId="298B2AC0" w14:textId="6B6B19A4"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27</w:t>
      </w:r>
      <w:r w:rsidRPr="00326F31">
        <w:rPr>
          <w:rFonts w:asciiTheme="majorHAnsi" w:hAnsiTheme="majorHAnsi"/>
          <w:sz w:val="16"/>
          <w:szCs w:val="16"/>
        </w:rPr>
        <w:t>. Communication of the Executive Secretary of the National Border Council addressed to the Office of the Ombudsman of the Metropolitan Area of Caracas in relation to the termination of the employment relationship with the victims in this case, page 1, Annex E to the State’s submission within the admissibility process before the IACHR on January 16, 2008.</w:t>
      </w:r>
    </w:p>
  </w:footnote>
  <w:footnote w:id="76">
    <w:p w14:paraId="456349D3" w14:textId="38E7A8DB"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27</w:t>
      </w:r>
      <w:r w:rsidRPr="00326F31">
        <w:rPr>
          <w:rFonts w:asciiTheme="majorHAnsi" w:hAnsiTheme="majorHAnsi"/>
          <w:sz w:val="16"/>
          <w:szCs w:val="16"/>
        </w:rPr>
        <w:t>. Communication of the Executive Secretary of the National Border Council addressed to the Office of the Ombudsman of the Metropolitan Area of Caracas in relation to the termination of the employment relationship with the victims in this case, page 2, Annex E to the State’s submission within the admissibility process before the IACHR on January 16, 2008.</w:t>
      </w:r>
    </w:p>
  </w:footnote>
  <w:footnote w:id="77">
    <w:p w14:paraId="5F7701CC" w14:textId="6EA9EEE2"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28. </w:t>
      </w:r>
      <w:proofErr w:type="gramStart"/>
      <w:r>
        <w:rPr>
          <w:rFonts w:asciiTheme="majorHAnsi" w:hAnsiTheme="majorHAnsi"/>
          <w:sz w:val="16"/>
          <w:szCs w:val="16"/>
        </w:rPr>
        <w:t xml:space="preserve">Interview by </w:t>
      </w:r>
      <w:proofErr w:type="spellStart"/>
      <w:r>
        <w:rPr>
          <w:rFonts w:asciiTheme="majorHAnsi" w:hAnsiTheme="majorHAnsi"/>
          <w:sz w:val="16"/>
          <w:szCs w:val="16"/>
        </w:rPr>
        <w:t>Ybelliz</w:t>
      </w:r>
      <w:r w:rsidRPr="00326F31">
        <w:rPr>
          <w:rFonts w:asciiTheme="majorHAnsi" w:hAnsiTheme="majorHAnsi"/>
          <w:sz w:val="16"/>
          <w:szCs w:val="16"/>
        </w:rPr>
        <w:t>e</w:t>
      </w:r>
      <w:proofErr w:type="spellEnd"/>
      <w:r w:rsidRPr="00326F31">
        <w:rPr>
          <w:rFonts w:asciiTheme="majorHAnsi" w:hAnsiTheme="majorHAnsi"/>
          <w:sz w:val="16"/>
          <w:szCs w:val="16"/>
        </w:rPr>
        <w:t xml:space="preserve"> Pacheco to </w:t>
      </w:r>
      <w:proofErr w:type="spellStart"/>
      <w:r w:rsidRPr="00326F31">
        <w:rPr>
          <w:rFonts w:asciiTheme="majorHAnsi" w:hAnsiTheme="majorHAnsi"/>
          <w:sz w:val="16"/>
          <w:szCs w:val="16"/>
        </w:rPr>
        <w:t>Feijoo</w:t>
      </w:r>
      <w:proofErr w:type="spellEnd"/>
      <w:r w:rsidRPr="00326F31">
        <w:rPr>
          <w:rFonts w:asciiTheme="majorHAnsi" w:hAnsiTheme="majorHAnsi"/>
          <w:sz w:val="16"/>
          <w:szCs w:val="16"/>
        </w:rPr>
        <w:t xml:space="preserve"> </w:t>
      </w:r>
      <w:proofErr w:type="spellStart"/>
      <w:r w:rsidRPr="00326F31">
        <w:rPr>
          <w:rFonts w:asciiTheme="majorHAnsi" w:hAnsiTheme="majorHAnsi"/>
          <w:sz w:val="16"/>
          <w:szCs w:val="16"/>
        </w:rPr>
        <w:t>Colomine</w:t>
      </w:r>
      <w:proofErr w:type="spellEnd"/>
      <w:r w:rsidRPr="00326F31">
        <w:rPr>
          <w:rFonts w:asciiTheme="majorHAnsi" w:hAnsiTheme="majorHAnsi"/>
          <w:sz w:val="16"/>
          <w:szCs w:val="16"/>
        </w:rPr>
        <w:t xml:space="preserve"> on August 3, 2004, Annex G of Annex IV of the complaint filed before the IACHR on March 7, 2006.</w:t>
      </w:r>
      <w:proofErr w:type="gramEnd"/>
    </w:p>
  </w:footnote>
  <w:footnote w:id="78">
    <w:p w14:paraId="48D2CA06" w14:textId="68A4B59F"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29</w:t>
      </w:r>
      <w:r w:rsidRPr="00326F31">
        <w:rPr>
          <w:rFonts w:asciiTheme="majorHAnsi" w:hAnsiTheme="majorHAnsi"/>
          <w:sz w:val="16"/>
          <w:szCs w:val="16"/>
        </w:rPr>
        <w:t xml:space="preserve">. Transcript of the interview with </w:t>
      </w:r>
      <w:proofErr w:type="spellStart"/>
      <w:r w:rsidRPr="00326F31">
        <w:rPr>
          <w:rFonts w:asciiTheme="majorHAnsi" w:hAnsiTheme="majorHAnsi"/>
          <w:sz w:val="16"/>
          <w:szCs w:val="16"/>
        </w:rPr>
        <w:t>Feijoo</w:t>
      </w:r>
      <w:proofErr w:type="spellEnd"/>
      <w:r>
        <w:rPr>
          <w:rFonts w:asciiTheme="majorHAnsi" w:hAnsiTheme="majorHAnsi"/>
          <w:sz w:val="16"/>
          <w:szCs w:val="16"/>
        </w:rPr>
        <w:t xml:space="preserve"> </w:t>
      </w:r>
      <w:proofErr w:type="spellStart"/>
      <w:r>
        <w:rPr>
          <w:rFonts w:asciiTheme="majorHAnsi" w:hAnsiTheme="majorHAnsi"/>
          <w:sz w:val="16"/>
          <w:szCs w:val="16"/>
        </w:rPr>
        <w:t>Colomine</w:t>
      </w:r>
      <w:proofErr w:type="spellEnd"/>
      <w:r>
        <w:rPr>
          <w:rFonts w:asciiTheme="majorHAnsi" w:hAnsiTheme="majorHAnsi"/>
          <w:sz w:val="16"/>
          <w:szCs w:val="16"/>
        </w:rPr>
        <w:t xml:space="preserve"> </w:t>
      </w:r>
      <w:proofErr w:type="spellStart"/>
      <w:r>
        <w:rPr>
          <w:rFonts w:asciiTheme="majorHAnsi" w:hAnsiTheme="majorHAnsi"/>
          <w:sz w:val="16"/>
          <w:szCs w:val="16"/>
        </w:rPr>
        <w:t>Rincones</w:t>
      </w:r>
      <w:proofErr w:type="spellEnd"/>
      <w:r w:rsidRPr="00326F31">
        <w:rPr>
          <w:rFonts w:asciiTheme="majorHAnsi" w:hAnsiTheme="majorHAnsi"/>
          <w:sz w:val="16"/>
          <w:szCs w:val="16"/>
        </w:rPr>
        <w:t>, before the Office of the Thirty-Seventh Prosecuting Attorney on July 14, 2004, Annex II of the complaint filed before the IACHR on March 7, 2006</w:t>
      </w:r>
    </w:p>
  </w:footnote>
  <w:footnote w:id="79">
    <w:p w14:paraId="306EBCB4" w14:textId="6F5DDEEE"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22</w:t>
      </w:r>
      <w:r w:rsidRPr="00326F31">
        <w:rPr>
          <w:rFonts w:asciiTheme="majorHAnsi" w:hAnsiTheme="majorHAnsi"/>
          <w:sz w:val="16"/>
          <w:szCs w:val="16"/>
        </w:rPr>
        <w:t xml:space="preserve">. Transcript of the interview with </w:t>
      </w:r>
      <w:proofErr w:type="spellStart"/>
      <w:r w:rsidRPr="00326F31">
        <w:rPr>
          <w:rFonts w:asciiTheme="majorHAnsi" w:hAnsiTheme="majorHAnsi"/>
          <w:sz w:val="16"/>
          <w:szCs w:val="16"/>
        </w:rPr>
        <w:t>Rocío</w:t>
      </w:r>
      <w:proofErr w:type="spellEnd"/>
      <w:r w:rsidRPr="00326F31">
        <w:rPr>
          <w:rFonts w:asciiTheme="majorHAnsi" w:hAnsiTheme="majorHAnsi"/>
          <w:sz w:val="16"/>
          <w:szCs w:val="16"/>
        </w:rPr>
        <w:t xml:space="preserve"> del Carmen San Miguel Sosa, before the Office of the Thirty-Seventh Prosecuting Attorney on July 15, 2004, Annex II of the complaint filed before the IACHR on March 7, 2006</w:t>
      </w:r>
    </w:p>
  </w:footnote>
  <w:footnote w:id="80">
    <w:p w14:paraId="55900BB5" w14:textId="5DD6852B"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22</w:t>
      </w:r>
      <w:r w:rsidRPr="00326F31">
        <w:rPr>
          <w:rFonts w:asciiTheme="majorHAnsi" w:hAnsiTheme="majorHAnsi"/>
          <w:sz w:val="16"/>
          <w:szCs w:val="16"/>
        </w:rPr>
        <w:t xml:space="preserve">. Transcript of the interview with </w:t>
      </w:r>
      <w:proofErr w:type="spellStart"/>
      <w:r w:rsidRPr="00326F31">
        <w:rPr>
          <w:rFonts w:asciiTheme="majorHAnsi" w:hAnsiTheme="majorHAnsi"/>
          <w:sz w:val="16"/>
          <w:szCs w:val="16"/>
        </w:rPr>
        <w:t>Rocío</w:t>
      </w:r>
      <w:proofErr w:type="spellEnd"/>
      <w:r w:rsidRPr="00326F31">
        <w:rPr>
          <w:rFonts w:asciiTheme="majorHAnsi" w:hAnsiTheme="majorHAnsi"/>
          <w:sz w:val="16"/>
          <w:szCs w:val="16"/>
        </w:rPr>
        <w:t xml:space="preserve"> del Carmen San Miguel Sosa, before the Office of the Thirty-Seventh Prosecuting Attorney on July 15, 2004, Annex II of the complaint filed before the IACHR on March 7, 2006</w:t>
      </w:r>
    </w:p>
  </w:footnote>
  <w:footnote w:id="81">
    <w:p w14:paraId="2D1F2D82" w14:textId="44E144F6"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22</w:t>
      </w:r>
      <w:r w:rsidRPr="00326F31">
        <w:rPr>
          <w:rFonts w:asciiTheme="majorHAnsi" w:hAnsiTheme="majorHAnsi"/>
          <w:sz w:val="16"/>
          <w:szCs w:val="16"/>
        </w:rPr>
        <w:t xml:space="preserve">. Transcript of the interview with </w:t>
      </w:r>
      <w:proofErr w:type="spellStart"/>
      <w:r w:rsidRPr="00326F31">
        <w:rPr>
          <w:rFonts w:asciiTheme="majorHAnsi" w:hAnsiTheme="majorHAnsi"/>
          <w:sz w:val="16"/>
          <w:szCs w:val="16"/>
        </w:rPr>
        <w:t>Rocío</w:t>
      </w:r>
      <w:proofErr w:type="spellEnd"/>
      <w:r w:rsidRPr="00326F31">
        <w:rPr>
          <w:rFonts w:asciiTheme="majorHAnsi" w:hAnsiTheme="majorHAnsi"/>
          <w:sz w:val="16"/>
          <w:szCs w:val="16"/>
        </w:rPr>
        <w:t xml:space="preserve"> del Carmen San Miguel Sosa, before the Office of the Thirty-Seventh Prosecuting Attorney on July 15, 2004, Annex II of the complaint filed before the IACHR on March 7, 2006</w:t>
      </w:r>
    </w:p>
  </w:footnote>
  <w:footnote w:id="82">
    <w:p w14:paraId="1DF5F12B" w14:textId="4F1428BD"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22</w:t>
      </w:r>
      <w:r w:rsidRPr="00326F31">
        <w:rPr>
          <w:rFonts w:asciiTheme="majorHAnsi" w:hAnsiTheme="majorHAnsi"/>
          <w:sz w:val="16"/>
          <w:szCs w:val="16"/>
        </w:rPr>
        <w:t xml:space="preserve">. </w:t>
      </w:r>
      <w:proofErr w:type="gramStart"/>
      <w:r w:rsidRPr="00326F31">
        <w:rPr>
          <w:rFonts w:asciiTheme="majorHAnsi" w:hAnsiTheme="majorHAnsi"/>
          <w:sz w:val="16"/>
          <w:szCs w:val="16"/>
        </w:rPr>
        <w:t xml:space="preserve">Telephone conversation between </w:t>
      </w:r>
      <w:proofErr w:type="spellStart"/>
      <w:r w:rsidRPr="00326F31">
        <w:rPr>
          <w:rFonts w:asciiTheme="majorHAnsi" w:hAnsiTheme="majorHAnsi"/>
          <w:sz w:val="16"/>
          <w:szCs w:val="16"/>
        </w:rPr>
        <w:t>Feijoo</w:t>
      </w:r>
      <w:proofErr w:type="spellEnd"/>
      <w:r w:rsidRPr="00326F31">
        <w:rPr>
          <w:rFonts w:asciiTheme="majorHAnsi" w:hAnsiTheme="majorHAnsi"/>
          <w:sz w:val="16"/>
          <w:szCs w:val="16"/>
        </w:rPr>
        <w:t xml:space="preserve"> </w:t>
      </w:r>
      <w:proofErr w:type="spellStart"/>
      <w:r w:rsidRPr="00326F31">
        <w:rPr>
          <w:rFonts w:asciiTheme="majorHAnsi" w:hAnsiTheme="majorHAnsi"/>
          <w:sz w:val="16"/>
          <w:szCs w:val="16"/>
        </w:rPr>
        <w:t>Colomine</w:t>
      </w:r>
      <w:proofErr w:type="spellEnd"/>
      <w:r w:rsidRPr="00326F31">
        <w:rPr>
          <w:rFonts w:asciiTheme="majorHAnsi" w:hAnsiTheme="majorHAnsi"/>
          <w:sz w:val="16"/>
          <w:szCs w:val="16"/>
        </w:rPr>
        <w:t xml:space="preserve"> and Rocio San Miguel, March 24, 2004, Annex B of Annex IV of the complaint filed before the IACHR on March 7, 2006.</w:t>
      </w:r>
      <w:proofErr w:type="gramEnd"/>
    </w:p>
  </w:footnote>
  <w:footnote w:id="83">
    <w:p w14:paraId="6AE0F3A5" w14:textId="7F14C53F"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An</w:t>
      </w:r>
      <w:r>
        <w:rPr>
          <w:rFonts w:asciiTheme="majorHAnsi" w:hAnsiTheme="majorHAnsi"/>
          <w:sz w:val="16"/>
          <w:szCs w:val="16"/>
        </w:rPr>
        <w:t>nex 30</w:t>
      </w:r>
      <w:r w:rsidRPr="00326F31">
        <w:rPr>
          <w:rFonts w:asciiTheme="majorHAnsi" w:hAnsiTheme="majorHAnsi"/>
          <w:sz w:val="16"/>
          <w:szCs w:val="16"/>
        </w:rPr>
        <w:t xml:space="preserve">. Transcript of the interview with </w:t>
      </w:r>
      <w:proofErr w:type="spellStart"/>
      <w:r w:rsidRPr="00326F31">
        <w:rPr>
          <w:rFonts w:asciiTheme="majorHAnsi" w:hAnsiTheme="majorHAnsi"/>
          <w:sz w:val="16"/>
          <w:szCs w:val="16"/>
        </w:rPr>
        <w:t>Magally</w:t>
      </w:r>
      <w:proofErr w:type="spellEnd"/>
      <w:r w:rsidRPr="00326F31">
        <w:rPr>
          <w:rFonts w:asciiTheme="majorHAnsi" w:hAnsiTheme="majorHAnsi"/>
          <w:sz w:val="16"/>
          <w:szCs w:val="16"/>
        </w:rPr>
        <w:t xml:space="preserve"> Margarita Chang </w:t>
      </w:r>
      <w:proofErr w:type="spellStart"/>
      <w:r w:rsidRPr="00326F31">
        <w:rPr>
          <w:rFonts w:asciiTheme="majorHAnsi" w:hAnsiTheme="majorHAnsi"/>
          <w:sz w:val="16"/>
          <w:szCs w:val="16"/>
        </w:rPr>
        <w:t>Girón</w:t>
      </w:r>
      <w:proofErr w:type="spellEnd"/>
      <w:r w:rsidRPr="00326F31">
        <w:rPr>
          <w:rFonts w:asciiTheme="majorHAnsi" w:hAnsiTheme="majorHAnsi"/>
          <w:sz w:val="16"/>
          <w:szCs w:val="16"/>
        </w:rPr>
        <w:t>, before the Office of the Thirty-Seventh Prosecuting Attorney on July 16, 2004, Annex II of the complaint filed before the IACHR on March 7, 2006</w:t>
      </w:r>
    </w:p>
  </w:footnote>
  <w:footnote w:id="84">
    <w:p w14:paraId="7EF03799" w14:textId="21FC9BD9"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30</w:t>
      </w:r>
      <w:r w:rsidRPr="00326F31">
        <w:rPr>
          <w:rFonts w:asciiTheme="majorHAnsi" w:hAnsiTheme="majorHAnsi"/>
          <w:sz w:val="16"/>
          <w:szCs w:val="16"/>
        </w:rPr>
        <w:t xml:space="preserve">. Transcript of the interview with </w:t>
      </w:r>
      <w:proofErr w:type="spellStart"/>
      <w:r w:rsidRPr="00326F31">
        <w:rPr>
          <w:rFonts w:asciiTheme="majorHAnsi" w:hAnsiTheme="majorHAnsi"/>
          <w:sz w:val="16"/>
          <w:szCs w:val="16"/>
        </w:rPr>
        <w:t>Magally</w:t>
      </w:r>
      <w:proofErr w:type="spellEnd"/>
      <w:r w:rsidRPr="00326F31">
        <w:rPr>
          <w:rFonts w:asciiTheme="majorHAnsi" w:hAnsiTheme="majorHAnsi"/>
          <w:sz w:val="16"/>
          <w:szCs w:val="16"/>
        </w:rPr>
        <w:t xml:space="preserve"> Margarita Chang </w:t>
      </w:r>
      <w:proofErr w:type="spellStart"/>
      <w:r w:rsidRPr="00326F31">
        <w:rPr>
          <w:rFonts w:asciiTheme="majorHAnsi" w:hAnsiTheme="majorHAnsi"/>
          <w:sz w:val="16"/>
          <w:szCs w:val="16"/>
        </w:rPr>
        <w:t>Girón</w:t>
      </w:r>
      <w:proofErr w:type="spellEnd"/>
      <w:r w:rsidRPr="00326F31">
        <w:rPr>
          <w:rFonts w:asciiTheme="majorHAnsi" w:hAnsiTheme="majorHAnsi"/>
          <w:sz w:val="16"/>
          <w:szCs w:val="16"/>
        </w:rPr>
        <w:t>, before the Office of the Thirty-Seventh Prosecuting Attorney on July 16, 2004, Annex II of the complaint filed before the IACHR on March 7, 2006</w:t>
      </w:r>
    </w:p>
  </w:footnote>
  <w:footnote w:id="85">
    <w:p w14:paraId="6D2C7334" w14:textId="2B6F321F"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31</w:t>
      </w:r>
      <w:r w:rsidRPr="00326F31">
        <w:rPr>
          <w:rFonts w:asciiTheme="majorHAnsi" w:hAnsiTheme="majorHAnsi"/>
          <w:sz w:val="16"/>
          <w:szCs w:val="16"/>
        </w:rPr>
        <w:t xml:space="preserve">. Transcript of the interview with Thais </w:t>
      </w:r>
      <w:proofErr w:type="spellStart"/>
      <w:r w:rsidRPr="00326F31">
        <w:rPr>
          <w:rFonts w:asciiTheme="majorHAnsi" w:hAnsiTheme="majorHAnsi"/>
          <w:sz w:val="16"/>
          <w:szCs w:val="16"/>
        </w:rPr>
        <w:t>Coromoto</w:t>
      </w:r>
      <w:proofErr w:type="spellEnd"/>
      <w:r w:rsidRPr="00326F31">
        <w:rPr>
          <w:rFonts w:asciiTheme="majorHAnsi" w:hAnsiTheme="majorHAnsi"/>
          <w:sz w:val="16"/>
          <w:szCs w:val="16"/>
        </w:rPr>
        <w:t xml:space="preserve"> Peña, before the Office of the Thirty-Seventh Prosecuting Attorney on July 15, 2004, Annex II of the complaint filed before the IACHR on March 7, 2006</w:t>
      </w:r>
    </w:p>
  </w:footnote>
  <w:footnote w:id="86">
    <w:p w14:paraId="65B95ADF" w14:textId="03877CB1"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31</w:t>
      </w:r>
      <w:r w:rsidRPr="00326F31">
        <w:rPr>
          <w:rFonts w:asciiTheme="majorHAnsi" w:hAnsiTheme="majorHAnsi"/>
          <w:sz w:val="16"/>
          <w:szCs w:val="16"/>
        </w:rPr>
        <w:t xml:space="preserve">. Transcript of the interview with Thais </w:t>
      </w:r>
      <w:proofErr w:type="spellStart"/>
      <w:r w:rsidRPr="00326F31">
        <w:rPr>
          <w:rFonts w:asciiTheme="majorHAnsi" w:hAnsiTheme="majorHAnsi"/>
          <w:sz w:val="16"/>
          <w:szCs w:val="16"/>
        </w:rPr>
        <w:t>Coromoto</w:t>
      </w:r>
      <w:proofErr w:type="spellEnd"/>
      <w:r w:rsidRPr="00326F31">
        <w:rPr>
          <w:rFonts w:asciiTheme="majorHAnsi" w:hAnsiTheme="majorHAnsi"/>
          <w:sz w:val="16"/>
          <w:szCs w:val="16"/>
        </w:rPr>
        <w:t xml:space="preserve"> Peña, before the Office of the Thirty-Seventh Prosecuting Attorney on July 15, 2004, Annex II of the complaint filed before the IACHR on March 7, 2006</w:t>
      </w:r>
    </w:p>
  </w:footnote>
  <w:footnote w:id="87">
    <w:p w14:paraId="7AA442F9" w14:textId="6B07A87B"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See Annex 21</w:t>
      </w:r>
      <w:r w:rsidRPr="00326F31">
        <w:rPr>
          <w:rFonts w:asciiTheme="majorHAnsi" w:hAnsiTheme="majorHAnsi"/>
          <w:sz w:val="16"/>
          <w:szCs w:val="16"/>
        </w:rPr>
        <w:t xml:space="preserve">. </w:t>
      </w:r>
      <w:proofErr w:type="gramStart"/>
      <w:r w:rsidRPr="00326F31">
        <w:rPr>
          <w:rFonts w:asciiTheme="majorHAnsi" w:hAnsiTheme="majorHAnsi"/>
          <w:sz w:val="16"/>
          <w:szCs w:val="16"/>
        </w:rPr>
        <w:t xml:space="preserve">Telephone conversation between </w:t>
      </w:r>
      <w:proofErr w:type="spellStart"/>
      <w:r w:rsidRPr="00326F31">
        <w:rPr>
          <w:rFonts w:asciiTheme="majorHAnsi" w:hAnsiTheme="majorHAnsi"/>
          <w:sz w:val="16"/>
          <w:szCs w:val="16"/>
        </w:rPr>
        <w:t>Feijoo</w:t>
      </w:r>
      <w:proofErr w:type="spellEnd"/>
      <w:r w:rsidRPr="00326F31">
        <w:rPr>
          <w:rFonts w:asciiTheme="majorHAnsi" w:hAnsiTheme="majorHAnsi"/>
          <w:sz w:val="16"/>
          <w:szCs w:val="16"/>
        </w:rPr>
        <w:t xml:space="preserve"> </w:t>
      </w:r>
      <w:proofErr w:type="spellStart"/>
      <w:r w:rsidRPr="00326F31">
        <w:rPr>
          <w:rFonts w:asciiTheme="majorHAnsi" w:hAnsiTheme="majorHAnsi"/>
          <w:sz w:val="16"/>
          <w:szCs w:val="16"/>
        </w:rPr>
        <w:t>Colomine</w:t>
      </w:r>
      <w:proofErr w:type="spellEnd"/>
      <w:r w:rsidRPr="00326F31">
        <w:rPr>
          <w:rFonts w:asciiTheme="majorHAnsi" w:hAnsiTheme="majorHAnsi"/>
          <w:sz w:val="16"/>
          <w:szCs w:val="16"/>
        </w:rPr>
        <w:t xml:space="preserve"> and Rocio San Miguel, March 24, 2004, Annex B of Annex IV of the complaint filed before the IACHR on March 7, 2006.</w:t>
      </w:r>
      <w:proofErr w:type="gramEnd"/>
    </w:p>
  </w:footnote>
  <w:footnote w:id="88">
    <w:p w14:paraId="6BB6B9DE" w14:textId="7D6D5FB6"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See Annex 21</w:t>
      </w:r>
      <w:r w:rsidRPr="00326F31">
        <w:rPr>
          <w:rFonts w:asciiTheme="majorHAnsi" w:hAnsiTheme="majorHAnsi"/>
          <w:sz w:val="16"/>
          <w:szCs w:val="16"/>
        </w:rPr>
        <w:t xml:space="preserve">. </w:t>
      </w:r>
      <w:proofErr w:type="gramStart"/>
      <w:r w:rsidRPr="00326F31">
        <w:rPr>
          <w:rFonts w:asciiTheme="majorHAnsi" w:hAnsiTheme="majorHAnsi"/>
          <w:sz w:val="16"/>
          <w:szCs w:val="16"/>
        </w:rPr>
        <w:t xml:space="preserve">Telephone conversation between </w:t>
      </w:r>
      <w:proofErr w:type="spellStart"/>
      <w:r w:rsidRPr="00326F31">
        <w:rPr>
          <w:rFonts w:asciiTheme="majorHAnsi" w:hAnsiTheme="majorHAnsi"/>
          <w:sz w:val="16"/>
          <w:szCs w:val="16"/>
        </w:rPr>
        <w:t>Feijoo</w:t>
      </w:r>
      <w:proofErr w:type="spellEnd"/>
      <w:r w:rsidRPr="00326F31">
        <w:rPr>
          <w:rFonts w:asciiTheme="majorHAnsi" w:hAnsiTheme="majorHAnsi"/>
          <w:sz w:val="16"/>
          <w:szCs w:val="16"/>
        </w:rPr>
        <w:t xml:space="preserve"> </w:t>
      </w:r>
      <w:proofErr w:type="spellStart"/>
      <w:r w:rsidRPr="00326F31">
        <w:rPr>
          <w:rFonts w:asciiTheme="majorHAnsi" w:hAnsiTheme="majorHAnsi"/>
          <w:sz w:val="16"/>
          <w:szCs w:val="16"/>
        </w:rPr>
        <w:t>Colomine</w:t>
      </w:r>
      <w:proofErr w:type="spellEnd"/>
      <w:r w:rsidRPr="00326F31">
        <w:rPr>
          <w:rFonts w:asciiTheme="majorHAnsi" w:hAnsiTheme="majorHAnsi"/>
          <w:sz w:val="16"/>
          <w:szCs w:val="16"/>
        </w:rPr>
        <w:t xml:space="preserve"> and Rocio San Miguel, March 24, 2004, Annex B of Annex IV of the complaint filed before the IACHR on March 7, 2006.</w:t>
      </w:r>
      <w:proofErr w:type="gramEnd"/>
    </w:p>
  </w:footnote>
  <w:footnote w:id="89">
    <w:p w14:paraId="6866E25B" w14:textId="58A6499D"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See Annex 21</w:t>
      </w:r>
      <w:r w:rsidRPr="00326F31">
        <w:rPr>
          <w:rFonts w:asciiTheme="majorHAnsi" w:hAnsiTheme="majorHAnsi"/>
          <w:sz w:val="16"/>
          <w:szCs w:val="16"/>
        </w:rPr>
        <w:t xml:space="preserve">. </w:t>
      </w:r>
      <w:proofErr w:type="gramStart"/>
      <w:r w:rsidRPr="00326F31">
        <w:rPr>
          <w:rFonts w:asciiTheme="majorHAnsi" w:hAnsiTheme="majorHAnsi"/>
          <w:sz w:val="16"/>
          <w:szCs w:val="16"/>
        </w:rPr>
        <w:t xml:space="preserve">Telephone conversation between </w:t>
      </w:r>
      <w:proofErr w:type="spellStart"/>
      <w:r w:rsidRPr="00326F31">
        <w:rPr>
          <w:rFonts w:asciiTheme="majorHAnsi" w:hAnsiTheme="majorHAnsi"/>
          <w:sz w:val="16"/>
          <w:szCs w:val="16"/>
        </w:rPr>
        <w:t>Feijoo</w:t>
      </w:r>
      <w:proofErr w:type="spellEnd"/>
      <w:r w:rsidRPr="00326F31">
        <w:rPr>
          <w:rFonts w:asciiTheme="majorHAnsi" w:hAnsiTheme="majorHAnsi"/>
          <w:sz w:val="16"/>
          <w:szCs w:val="16"/>
        </w:rPr>
        <w:t xml:space="preserve"> </w:t>
      </w:r>
      <w:proofErr w:type="spellStart"/>
      <w:r w:rsidRPr="00326F31">
        <w:rPr>
          <w:rFonts w:asciiTheme="majorHAnsi" w:hAnsiTheme="majorHAnsi"/>
          <w:sz w:val="16"/>
          <w:szCs w:val="16"/>
        </w:rPr>
        <w:t>Colomine</w:t>
      </w:r>
      <w:proofErr w:type="spellEnd"/>
      <w:r w:rsidRPr="00326F31">
        <w:rPr>
          <w:rFonts w:asciiTheme="majorHAnsi" w:hAnsiTheme="majorHAnsi"/>
          <w:sz w:val="16"/>
          <w:szCs w:val="16"/>
        </w:rPr>
        <w:t xml:space="preserve"> and Rocio San Miguel, March 24, 2004, Annex B of Annex IV of the complaint filed before the IACHR on March 7, 2006.</w:t>
      </w:r>
      <w:proofErr w:type="gramEnd"/>
    </w:p>
  </w:footnote>
  <w:footnote w:id="90">
    <w:p w14:paraId="57679212" w14:textId="119BCE98"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32</w:t>
      </w:r>
      <w:r w:rsidRPr="00326F31">
        <w:rPr>
          <w:rFonts w:asciiTheme="majorHAnsi" w:hAnsiTheme="majorHAnsi"/>
          <w:sz w:val="16"/>
          <w:szCs w:val="16"/>
        </w:rPr>
        <w:t xml:space="preserve">. </w:t>
      </w:r>
      <w:proofErr w:type="gramStart"/>
      <w:r w:rsidRPr="00326F31">
        <w:rPr>
          <w:rFonts w:asciiTheme="majorHAnsi" w:hAnsiTheme="majorHAnsi"/>
          <w:sz w:val="16"/>
          <w:szCs w:val="16"/>
        </w:rPr>
        <w:t xml:space="preserve">Telephone conversation between Rocio San Miguel and Ilia </w:t>
      </w:r>
      <w:proofErr w:type="spellStart"/>
      <w:r w:rsidRPr="00326F31">
        <w:rPr>
          <w:rFonts w:asciiTheme="majorHAnsi" w:hAnsiTheme="majorHAnsi"/>
          <w:sz w:val="16"/>
          <w:szCs w:val="16"/>
        </w:rPr>
        <w:t>Azpurua</w:t>
      </w:r>
      <w:proofErr w:type="spellEnd"/>
      <w:r w:rsidRPr="00326F31">
        <w:rPr>
          <w:rFonts w:asciiTheme="majorHAnsi" w:hAnsiTheme="majorHAnsi"/>
          <w:sz w:val="16"/>
          <w:szCs w:val="16"/>
        </w:rPr>
        <w:t>, March 31, 2004, Annex B of Annex IV of the complaint filed before the IACHR on March 7, 2006.</w:t>
      </w:r>
      <w:proofErr w:type="gramEnd"/>
    </w:p>
  </w:footnote>
  <w:footnote w:id="91">
    <w:p w14:paraId="0A685192" w14:textId="3D93B257"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Within the file, records show the conclusion of various contracts of </w:t>
      </w:r>
      <w:proofErr w:type="spellStart"/>
      <w:r w:rsidRPr="00326F31">
        <w:rPr>
          <w:rFonts w:asciiTheme="majorHAnsi" w:hAnsiTheme="majorHAnsi"/>
          <w:sz w:val="16"/>
          <w:szCs w:val="16"/>
        </w:rPr>
        <w:t>Rocío</w:t>
      </w:r>
      <w:proofErr w:type="spellEnd"/>
      <w:r w:rsidRPr="00326F31">
        <w:rPr>
          <w:rFonts w:asciiTheme="majorHAnsi" w:hAnsiTheme="majorHAnsi"/>
          <w:sz w:val="16"/>
          <w:szCs w:val="16"/>
        </w:rPr>
        <w:t xml:space="preserve"> San Miguel with the National Border Council: From July 1, 1996 until December 31, 1996, from 1 January 1997 to 31 December 1997, 1 January 1998 to December 31, 1998, from January 1, 2000 to March 31, 2000, from 1 January 2001 to 31 December 2001, from 1 January 2002 to 31 December 2002, the January 1, 2003 to December 31, 2003 and January 1, 2004 to</w:t>
      </w:r>
      <w:r>
        <w:rPr>
          <w:rFonts w:asciiTheme="majorHAnsi" w:hAnsiTheme="majorHAnsi"/>
          <w:sz w:val="16"/>
          <w:szCs w:val="16"/>
        </w:rPr>
        <w:t xml:space="preserve"> December 31, 2004. See Annex 9</w:t>
      </w:r>
      <w:r w:rsidRPr="00326F31">
        <w:rPr>
          <w:rFonts w:asciiTheme="majorHAnsi" w:hAnsiTheme="majorHAnsi"/>
          <w:sz w:val="16"/>
          <w:szCs w:val="16"/>
        </w:rPr>
        <w:t xml:space="preserve">. </w:t>
      </w:r>
      <w:proofErr w:type="spellStart"/>
      <w:r w:rsidRPr="00326F31">
        <w:rPr>
          <w:rFonts w:asciiTheme="majorHAnsi" w:hAnsiTheme="majorHAnsi"/>
          <w:sz w:val="16"/>
          <w:szCs w:val="16"/>
        </w:rPr>
        <w:t>Rocío</w:t>
      </w:r>
      <w:proofErr w:type="spellEnd"/>
      <w:r w:rsidRPr="00326F31">
        <w:rPr>
          <w:rFonts w:asciiTheme="majorHAnsi" w:hAnsiTheme="majorHAnsi"/>
          <w:sz w:val="16"/>
          <w:szCs w:val="16"/>
        </w:rPr>
        <w:t xml:space="preserve"> San Miguel contracts with the National Border Council, Annex </w:t>
      </w:r>
      <w:proofErr w:type="gramStart"/>
      <w:r w:rsidRPr="00326F31">
        <w:rPr>
          <w:rFonts w:asciiTheme="majorHAnsi" w:hAnsiTheme="majorHAnsi"/>
          <w:sz w:val="16"/>
          <w:szCs w:val="16"/>
        </w:rPr>
        <w:t>A</w:t>
      </w:r>
      <w:proofErr w:type="gramEnd"/>
      <w:r w:rsidRPr="00326F31">
        <w:rPr>
          <w:rFonts w:asciiTheme="majorHAnsi" w:hAnsiTheme="majorHAnsi"/>
          <w:sz w:val="16"/>
          <w:szCs w:val="16"/>
        </w:rPr>
        <w:t xml:space="preserve"> of Annex IV of the complaint filed before the IACHR on March 7, 2006.</w:t>
      </w:r>
    </w:p>
  </w:footnote>
  <w:footnote w:id="92">
    <w:p w14:paraId="19700305" w14:textId="0D09EFBA"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Within the file, records show the conclusion of various contracts of </w:t>
      </w:r>
      <w:proofErr w:type="spellStart"/>
      <w:r w:rsidRPr="00326F31">
        <w:rPr>
          <w:rFonts w:asciiTheme="majorHAnsi" w:hAnsiTheme="majorHAnsi"/>
          <w:sz w:val="16"/>
          <w:szCs w:val="16"/>
        </w:rPr>
        <w:t>Magally</w:t>
      </w:r>
      <w:proofErr w:type="spellEnd"/>
      <w:r w:rsidRPr="00326F31">
        <w:rPr>
          <w:rFonts w:asciiTheme="majorHAnsi" w:hAnsiTheme="majorHAnsi"/>
          <w:sz w:val="16"/>
          <w:szCs w:val="16"/>
        </w:rPr>
        <w:t xml:space="preserve"> Chang with the National Border Council: from May 1, 1997 to December 31, 1997, from 1 January 1998 to 31 December 1998, from 1 January 1999 to March 31, 1999, from April 1, 1999 to May 31, 1999, from June 1, 1999 to June 30, 1999, from July 1, 1999 to December 31, 1999, 1 January 2000 to March 31, 2000, from April 1, 2000 to December 31, 2000, from 1 January 2001 to 31 December 2001, from 1 January 2002 to 31 December 2002, 1 January 2003 to December 31, 2003 and January 1, 2004 to</w:t>
      </w:r>
      <w:r>
        <w:rPr>
          <w:rFonts w:asciiTheme="majorHAnsi" w:hAnsiTheme="majorHAnsi"/>
          <w:sz w:val="16"/>
          <w:szCs w:val="16"/>
        </w:rPr>
        <w:t xml:space="preserve"> December 31, 2004. See Annex 11</w:t>
      </w:r>
      <w:r w:rsidRPr="00326F31">
        <w:rPr>
          <w:rFonts w:asciiTheme="majorHAnsi" w:hAnsiTheme="majorHAnsi"/>
          <w:sz w:val="16"/>
          <w:szCs w:val="16"/>
        </w:rPr>
        <w:t xml:space="preserve">. </w:t>
      </w:r>
      <w:proofErr w:type="spellStart"/>
      <w:r w:rsidRPr="00326F31">
        <w:rPr>
          <w:rFonts w:asciiTheme="majorHAnsi" w:hAnsiTheme="majorHAnsi"/>
          <w:sz w:val="16"/>
          <w:szCs w:val="16"/>
        </w:rPr>
        <w:t>Magally</w:t>
      </w:r>
      <w:proofErr w:type="spellEnd"/>
      <w:r w:rsidRPr="00326F31">
        <w:rPr>
          <w:rFonts w:asciiTheme="majorHAnsi" w:hAnsiTheme="majorHAnsi"/>
          <w:sz w:val="16"/>
          <w:szCs w:val="16"/>
        </w:rPr>
        <w:t xml:space="preserve"> Chang contracts with the National Border Council, Annex </w:t>
      </w:r>
      <w:proofErr w:type="gramStart"/>
      <w:r w:rsidRPr="00326F31">
        <w:rPr>
          <w:rFonts w:asciiTheme="majorHAnsi" w:hAnsiTheme="majorHAnsi"/>
          <w:sz w:val="16"/>
          <w:szCs w:val="16"/>
        </w:rPr>
        <w:t>A</w:t>
      </w:r>
      <w:proofErr w:type="gramEnd"/>
      <w:r w:rsidRPr="00326F31">
        <w:rPr>
          <w:rFonts w:asciiTheme="majorHAnsi" w:hAnsiTheme="majorHAnsi"/>
          <w:sz w:val="16"/>
          <w:szCs w:val="16"/>
        </w:rPr>
        <w:t xml:space="preserve"> of Annex IV of the complaint filed before the IACHR on March 7, 2006.</w:t>
      </w:r>
    </w:p>
  </w:footnote>
  <w:footnote w:id="93">
    <w:p w14:paraId="602EF6DF" w14:textId="2D9E5B0E"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Within the file, records show the conclusion of contracts to provide services from April 1, 2000 to December 31, 2000, January 1, 2002 to December 31, 2002, January 1, 2003 to December 31, 2003, 1 January 2004 t</w:t>
      </w:r>
      <w:r>
        <w:rPr>
          <w:rFonts w:asciiTheme="majorHAnsi" w:hAnsiTheme="majorHAnsi"/>
          <w:sz w:val="16"/>
          <w:szCs w:val="16"/>
        </w:rPr>
        <w:t>o 31 December 2004. See Annex 13</w:t>
      </w:r>
      <w:r w:rsidRPr="00326F31">
        <w:rPr>
          <w:rFonts w:asciiTheme="majorHAnsi" w:hAnsiTheme="majorHAnsi"/>
          <w:sz w:val="16"/>
          <w:szCs w:val="16"/>
        </w:rPr>
        <w:t xml:space="preserve">. Thais </w:t>
      </w:r>
      <w:proofErr w:type="spellStart"/>
      <w:r w:rsidRPr="00326F31">
        <w:rPr>
          <w:rFonts w:asciiTheme="majorHAnsi" w:hAnsiTheme="majorHAnsi"/>
          <w:sz w:val="16"/>
          <w:szCs w:val="16"/>
        </w:rPr>
        <w:t>Coromoto</w:t>
      </w:r>
      <w:proofErr w:type="spellEnd"/>
      <w:r w:rsidRPr="00326F31">
        <w:rPr>
          <w:rFonts w:asciiTheme="majorHAnsi" w:hAnsiTheme="majorHAnsi"/>
          <w:sz w:val="16"/>
          <w:szCs w:val="16"/>
        </w:rPr>
        <w:t xml:space="preserve"> Peña contracts with the National Border Council, Annex </w:t>
      </w:r>
      <w:proofErr w:type="gramStart"/>
      <w:r w:rsidRPr="00326F31">
        <w:rPr>
          <w:rFonts w:asciiTheme="majorHAnsi" w:hAnsiTheme="majorHAnsi"/>
          <w:sz w:val="16"/>
          <w:szCs w:val="16"/>
        </w:rPr>
        <w:t>A</w:t>
      </w:r>
      <w:proofErr w:type="gramEnd"/>
      <w:r w:rsidRPr="00326F31">
        <w:rPr>
          <w:rFonts w:asciiTheme="majorHAnsi" w:hAnsiTheme="majorHAnsi"/>
          <w:sz w:val="16"/>
          <w:szCs w:val="16"/>
        </w:rPr>
        <w:t xml:space="preserve"> of Annex IV of the complaint filed before the IACHR on March 7, 2006.</w:t>
      </w:r>
    </w:p>
  </w:footnote>
  <w:footnote w:id="94">
    <w:p w14:paraId="57A13C4E" w14:textId="2261D201"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33</w:t>
      </w:r>
      <w:r w:rsidRPr="00326F31">
        <w:rPr>
          <w:rFonts w:asciiTheme="majorHAnsi" w:hAnsiTheme="majorHAnsi"/>
          <w:sz w:val="16"/>
          <w:szCs w:val="16"/>
        </w:rPr>
        <w:t xml:space="preserve">. </w:t>
      </w:r>
      <w:proofErr w:type="gramStart"/>
      <w:r w:rsidRPr="00326F31">
        <w:rPr>
          <w:rFonts w:asciiTheme="majorHAnsi" w:hAnsiTheme="majorHAnsi"/>
          <w:sz w:val="16"/>
          <w:szCs w:val="16"/>
        </w:rPr>
        <w:t>Copy of the payroll of the hired personnel in the National Border Council until December 2003, Annex 7 to the additional information submitted by the petitioners on May 30, 2007.</w:t>
      </w:r>
      <w:proofErr w:type="gramEnd"/>
    </w:p>
  </w:footnote>
  <w:footnote w:id="95">
    <w:p w14:paraId="78B7551B" w14:textId="33C7341D"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21</w:t>
      </w:r>
      <w:r w:rsidRPr="00326F31">
        <w:rPr>
          <w:rFonts w:asciiTheme="majorHAnsi" w:hAnsiTheme="majorHAnsi"/>
          <w:sz w:val="16"/>
          <w:szCs w:val="16"/>
        </w:rPr>
        <w:t xml:space="preserve">. </w:t>
      </w:r>
      <w:proofErr w:type="gramStart"/>
      <w:r w:rsidRPr="00326F31">
        <w:rPr>
          <w:rFonts w:asciiTheme="majorHAnsi" w:hAnsiTheme="majorHAnsi"/>
          <w:sz w:val="16"/>
          <w:szCs w:val="16"/>
        </w:rPr>
        <w:t xml:space="preserve">Telephone conversation between </w:t>
      </w:r>
      <w:proofErr w:type="spellStart"/>
      <w:r w:rsidRPr="00326F31">
        <w:rPr>
          <w:rFonts w:asciiTheme="majorHAnsi" w:hAnsiTheme="majorHAnsi"/>
          <w:sz w:val="16"/>
          <w:szCs w:val="16"/>
        </w:rPr>
        <w:t>Feijoo</w:t>
      </w:r>
      <w:proofErr w:type="spellEnd"/>
      <w:r w:rsidRPr="00326F31">
        <w:rPr>
          <w:rFonts w:asciiTheme="majorHAnsi" w:hAnsiTheme="majorHAnsi"/>
          <w:sz w:val="16"/>
          <w:szCs w:val="16"/>
        </w:rPr>
        <w:t xml:space="preserve"> </w:t>
      </w:r>
      <w:proofErr w:type="spellStart"/>
      <w:r w:rsidRPr="00326F31">
        <w:rPr>
          <w:rFonts w:asciiTheme="majorHAnsi" w:hAnsiTheme="majorHAnsi"/>
          <w:sz w:val="16"/>
          <w:szCs w:val="16"/>
        </w:rPr>
        <w:t>Colomine</w:t>
      </w:r>
      <w:proofErr w:type="spellEnd"/>
      <w:r w:rsidRPr="00326F31">
        <w:rPr>
          <w:rFonts w:asciiTheme="majorHAnsi" w:hAnsiTheme="majorHAnsi"/>
          <w:sz w:val="16"/>
          <w:szCs w:val="16"/>
        </w:rPr>
        <w:t xml:space="preserve"> and Rocio San Miguel, March 24, 2004, Annex B of Annex IV of the complaint filed before the IACHR on March 7, 2006.</w:t>
      </w:r>
      <w:proofErr w:type="gramEnd"/>
    </w:p>
  </w:footnote>
  <w:footnote w:id="96">
    <w:p w14:paraId="7BD12CD3" w14:textId="022E1C48"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34</w:t>
      </w:r>
      <w:r w:rsidRPr="00326F31">
        <w:rPr>
          <w:rFonts w:asciiTheme="majorHAnsi" w:hAnsiTheme="majorHAnsi"/>
          <w:sz w:val="16"/>
          <w:szCs w:val="16"/>
        </w:rPr>
        <w:t xml:space="preserve">. </w:t>
      </w:r>
      <w:proofErr w:type="gramStart"/>
      <w:r w:rsidRPr="00326F31">
        <w:rPr>
          <w:rFonts w:asciiTheme="majorHAnsi" w:hAnsiTheme="majorHAnsi"/>
          <w:sz w:val="16"/>
          <w:szCs w:val="16"/>
        </w:rPr>
        <w:t>Complaint before the Ombudsman, Annex III of the complaint filed before the IACHR on March 7, 2006.</w:t>
      </w:r>
      <w:proofErr w:type="gramEnd"/>
    </w:p>
  </w:footnote>
  <w:footnote w:id="97">
    <w:p w14:paraId="4B729DD3" w14:textId="18209D27"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35</w:t>
      </w:r>
      <w:r w:rsidRPr="00326F31">
        <w:rPr>
          <w:rFonts w:asciiTheme="majorHAnsi" w:hAnsiTheme="majorHAnsi"/>
          <w:sz w:val="16"/>
          <w:szCs w:val="16"/>
        </w:rPr>
        <w:t xml:space="preserve">. </w:t>
      </w:r>
      <w:proofErr w:type="gramStart"/>
      <w:r w:rsidRPr="00326F31">
        <w:rPr>
          <w:rFonts w:asciiTheme="majorHAnsi" w:hAnsiTheme="majorHAnsi"/>
          <w:sz w:val="16"/>
          <w:szCs w:val="16"/>
        </w:rPr>
        <w:t>Order for admission of June 29, 2004.</w:t>
      </w:r>
      <w:proofErr w:type="gramEnd"/>
      <w:r w:rsidRPr="00326F31">
        <w:rPr>
          <w:rFonts w:asciiTheme="majorHAnsi" w:hAnsiTheme="majorHAnsi"/>
          <w:sz w:val="16"/>
          <w:szCs w:val="16"/>
        </w:rPr>
        <w:t xml:space="preserve"> Annex III of the complaint filed before the IACHR on March 7, 2006</w:t>
      </w:r>
    </w:p>
  </w:footnote>
  <w:footnote w:id="98">
    <w:p w14:paraId="6D9388DA" w14:textId="56222076"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36</w:t>
      </w:r>
      <w:r w:rsidRPr="00326F31">
        <w:rPr>
          <w:rFonts w:asciiTheme="majorHAnsi" w:hAnsiTheme="majorHAnsi"/>
          <w:sz w:val="16"/>
          <w:szCs w:val="16"/>
        </w:rPr>
        <w:t>. Information Point of the Coordinator of Legal Services of the Ombudsman Office, July 16, 2004. Annex III of the complaint filed before the IACHR on March 7, 2006.</w:t>
      </w:r>
    </w:p>
  </w:footnote>
  <w:footnote w:id="99">
    <w:p w14:paraId="7E74A314" w14:textId="4583D3C6"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36</w:t>
      </w:r>
      <w:r w:rsidRPr="00326F31">
        <w:rPr>
          <w:rFonts w:asciiTheme="majorHAnsi" w:hAnsiTheme="majorHAnsi"/>
          <w:sz w:val="16"/>
          <w:szCs w:val="16"/>
        </w:rPr>
        <w:t>. Information Point of the Coordinator of Legal Services of the Ombudsman Office, July 16, 2004. Annex III of the complaint filed before the IACHR on March 7, 2006.</w:t>
      </w:r>
    </w:p>
  </w:footnote>
  <w:footnote w:id="100">
    <w:p w14:paraId="5B8723F4" w14:textId="6F0F3EE3"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37</w:t>
      </w:r>
      <w:r w:rsidRPr="00506E20">
        <w:rPr>
          <w:rFonts w:asciiTheme="majorHAnsi" w:hAnsiTheme="majorHAnsi"/>
          <w:sz w:val="16"/>
          <w:szCs w:val="16"/>
        </w:rPr>
        <w:t xml:space="preserve">. </w:t>
      </w:r>
      <w:proofErr w:type="gramStart"/>
      <w:r w:rsidRPr="00506E20">
        <w:rPr>
          <w:rFonts w:asciiTheme="majorHAnsi" w:hAnsiTheme="majorHAnsi"/>
          <w:sz w:val="16"/>
          <w:szCs w:val="16"/>
        </w:rPr>
        <w:t>Closing Act, August17, 2004.</w:t>
      </w:r>
      <w:proofErr w:type="gramEnd"/>
      <w:r w:rsidRPr="00506E20">
        <w:rPr>
          <w:rFonts w:asciiTheme="majorHAnsi" w:hAnsiTheme="majorHAnsi"/>
          <w:sz w:val="16"/>
          <w:szCs w:val="16"/>
        </w:rPr>
        <w:t xml:space="preserve"> Annex III of the complaint filed before the IACHR on March 7, 2006.</w:t>
      </w:r>
    </w:p>
  </w:footnote>
  <w:footnote w:id="101">
    <w:p w14:paraId="66EC54D1" w14:textId="04DCEA4D"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A</w:t>
      </w:r>
      <w:r>
        <w:rPr>
          <w:rFonts w:asciiTheme="majorHAnsi" w:hAnsiTheme="majorHAnsi"/>
          <w:sz w:val="16"/>
          <w:szCs w:val="16"/>
        </w:rPr>
        <w:t>nnex 38</w:t>
      </w:r>
      <w:r w:rsidRPr="00326F31">
        <w:rPr>
          <w:rFonts w:asciiTheme="majorHAnsi" w:hAnsiTheme="majorHAnsi"/>
          <w:sz w:val="16"/>
          <w:szCs w:val="16"/>
        </w:rPr>
        <w:t>. Constitutional</w:t>
      </w:r>
      <w:r w:rsidRPr="00326F31">
        <w:rPr>
          <w:rFonts w:asciiTheme="majorHAnsi" w:hAnsiTheme="majorHAnsi"/>
          <w:i/>
          <w:sz w:val="16"/>
          <w:szCs w:val="16"/>
        </w:rPr>
        <w:t xml:space="preserve"> </w:t>
      </w:r>
      <w:proofErr w:type="spellStart"/>
      <w:r w:rsidRPr="00326F31">
        <w:rPr>
          <w:rFonts w:asciiTheme="majorHAnsi" w:hAnsiTheme="majorHAnsi"/>
          <w:i/>
          <w:sz w:val="16"/>
          <w:szCs w:val="16"/>
        </w:rPr>
        <w:t>amparo</w:t>
      </w:r>
      <w:proofErr w:type="spellEnd"/>
      <w:r w:rsidRPr="00326F31">
        <w:rPr>
          <w:rFonts w:asciiTheme="majorHAnsi" w:hAnsiTheme="majorHAnsi"/>
          <w:sz w:val="16"/>
          <w:szCs w:val="16"/>
        </w:rPr>
        <w:t xml:space="preserve"> claim, July 22, 2004, Annex I of the complaint filed before the IACHR on March 7, 2006.</w:t>
      </w:r>
    </w:p>
  </w:footnote>
  <w:footnote w:id="102">
    <w:p w14:paraId="61351AD5" w14:textId="77A3952E"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w:t>
      </w:r>
      <w:proofErr w:type="spellStart"/>
      <w:proofErr w:type="gramStart"/>
      <w:r>
        <w:rPr>
          <w:rFonts w:asciiTheme="majorHAnsi" w:hAnsiTheme="majorHAnsi"/>
          <w:sz w:val="16"/>
          <w:szCs w:val="16"/>
        </w:rPr>
        <w:t>Anexo</w:t>
      </w:r>
      <w:proofErr w:type="spellEnd"/>
      <w:r>
        <w:rPr>
          <w:rFonts w:asciiTheme="majorHAnsi" w:hAnsiTheme="majorHAnsi"/>
          <w:sz w:val="16"/>
          <w:szCs w:val="16"/>
        </w:rPr>
        <w:t xml:space="preserve"> 39</w:t>
      </w:r>
      <w:r w:rsidRPr="00326F31">
        <w:rPr>
          <w:rFonts w:asciiTheme="majorHAnsi" w:hAnsiTheme="majorHAnsi"/>
          <w:sz w:val="16"/>
          <w:szCs w:val="16"/>
        </w:rPr>
        <w:t>.</w:t>
      </w:r>
      <w:proofErr w:type="gramEnd"/>
      <w:r>
        <w:rPr>
          <w:rFonts w:asciiTheme="majorHAnsi" w:hAnsiTheme="majorHAnsi"/>
          <w:sz w:val="16"/>
          <w:szCs w:val="16"/>
        </w:rPr>
        <w:t xml:space="preserve"> </w:t>
      </w:r>
      <w:proofErr w:type="gramStart"/>
      <w:r w:rsidRPr="00326F31">
        <w:rPr>
          <w:rFonts w:asciiTheme="majorHAnsi" w:hAnsiTheme="majorHAnsi"/>
          <w:sz w:val="16"/>
          <w:szCs w:val="16"/>
        </w:rPr>
        <w:t>Resolution of the Fourth Court of First Instance Judicial Circuit for Labor Matters declaring itself incompetent to hear the constitutional</w:t>
      </w:r>
      <w:r w:rsidRPr="00326F31">
        <w:rPr>
          <w:rFonts w:asciiTheme="majorHAnsi" w:hAnsiTheme="majorHAnsi"/>
          <w:i/>
          <w:sz w:val="16"/>
          <w:szCs w:val="16"/>
        </w:rPr>
        <w:t xml:space="preserve"> </w:t>
      </w:r>
      <w:proofErr w:type="spellStart"/>
      <w:r w:rsidRPr="00326F31">
        <w:rPr>
          <w:rFonts w:asciiTheme="majorHAnsi" w:hAnsiTheme="majorHAnsi"/>
          <w:i/>
          <w:sz w:val="16"/>
          <w:szCs w:val="16"/>
        </w:rPr>
        <w:t>amparo</w:t>
      </w:r>
      <w:proofErr w:type="spellEnd"/>
      <w:r w:rsidRPr="00326F31">
        <w:rPr>
          <w:rFonts w:asciiTheme="majorHAnsi" w:hAnsiTheme="majorHAnsi"/>
          <w:sz w:val="16"/>
          <w:szCs w:val="16"/>
        </w:rPr>
        <w:t xml:space="preserve"> complaint, August 4, 2004.</w:t>
      </w:r>
      <w:proofErr w:type="gramEnd"/>
      <w:r w:rsidRPr="00326F31">
        <w:rPr>
          <w:rFonts w:asciiTheme="majorHAnsi" w:hAnsiTheme="majorHAnsi"/>
          <w:sz w:val="16"/>
          <w:szCs w:val="16"/>
        </w:rPr>
        <w:t xml:space="preserve"> Annex I of the complaint filed before the IACHR on March 7, 2006.</w:t>
      </w:r>
    </w:p>
  </w:footnote>
  <w:footnote w:id="103">
    <w:p w14:paraId="660BC466" w14:textId="238F4455"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40</w:t>
      </w:r>
      <w:r w:rsidRPr="00326F31">
        <w:rPr>
          <w:rFonts w:asciiTheme="majorHAnsi" w:hAnsiTheme="majorHAnsi"/>
          <w:sz w:val="16"/>
          <w:szCs w:val="16"/>
        </w:rPr>
        <w:t>. Request to the Constitutional Chamber of the Supreme Court, November 23, 2004, Annex I of the complaint filed before the IACHR on March 7, 2006.</w:t>
      </w:r>
    </w:p>
  </w:footnote>
  <w:footnote w:id="104">
    <w:p w14:paraId="43924059" w14:textId="725CF3F8"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41</w:t>
      </w:r>
      <w:r w:rsidRPr="00326F31">
        <w:rPr>
          <w:rFonts w:asciiTheme="majorHAnsi" w:hAnsiTheme="majorHAnsi"/>
          <w:sz w:val="16"/>
          <w:szCs w:val="16"/>
        </w:rPr>
        <w:t>. Request to the Constitutional Chamber of the Supreme Court, February 3, 2005, Annex I of the complaint filed before the IACHR on March 7, 2006.</w:t>
      </w:r>
    </w:p>
  </w:footnote>
  <w:footnote w:id="105">
    <w:p w14:paraId="42D1B780" w14:textId="2338DA0B"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42</w:t>
      </w:r>
      <w:r w:rsidRPr="00326F31">
        <w:rPr>
          <w:rFonts w:asciiTheme="majorHAnsi" w:hAnsiTheme="majorHAnsi"/>
          <w:sz w:val="16"/>
          <w:szCs w:val="16"/>
        </w:rPr>
        <w:t>. Request to the Constitutional Chamber of the Supreme Court, May 3, 2005, Annex I of the complaint filed before the IACHR on March 7, 2006.</w:t>
      </w:r>
    </w:p>
  </w:footnote>
  <w:footnote w:id="106">
    <w:p w14:paraId="3CE638FC" w14:textId="061C71CC"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43</w:t>
      </w:r>
      <w:r w:rsidRPr="00326F31">
        <w:rPr>
          <w:rFonts w:asciiTheme="majorHAnsi" w:hAnsiTheme="majorHAnsi"/>
          <w:sz w:val="16"/>
          <w:szCs w:val="16"/>
        </w:rPr>
        <w:t>. Request to the Constitutional Chamber of the Supreme Court, May 11, 2005, Annex I of the complaint filed before the IACHR on March 7, 2006.</w:t>
      </w:r>
    </w:p>
  </w:footnote>
  <w:footnote w:id="107">
    <w:p w14:paraId="7FA579A0" w14:textId="3FDC5581"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44</w:t>
      </w:r>
      <w:r w:rsidRPr="00326F31">
        <w:rPr>
          <w:rFonts w:asciiTheme="majorHAnsi" w:hAnsiTheme="majorHAnsi"/>
          <w:sz w:val="16"/>
          <w:szCs w:val="16"/>
        </w:rPr>
        <w:t>. Judgment of the Constitutional Chamber of the Supreme Court stating that it does not accept the declination of jurisdiction of the Fourth Court of First Instance Judicial Circuit for Labor Matters of the Metropolitan Area of Caracas, May 26, 2005, Annex I of the complaint filed before the IACHR on March 7, 2006.</w:t>
      </w:r>
    </w:p>
  </w:footnote>
  <w:footnote w:id="108">
    <w:p w14:paraId="0C71122A" w14:textId="322474D5"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45</w:t>
      </w:r>
      <w:r w:rsidRPr="00326F31">
        <w:rPr>
          <w:rFonts w:asciiTheme="majorHAnsi" w:hAnsiTheme="majorHAnsi"/>
          <w:sz w:val="16"/>
          <w:szCs w:val="16"/>
        </w:rPr>
        <w:t>, Decision of the Fourth Court of First Instance Judicial Circuit for Labor Matters of the Metropolitan Area of Caracas, June 17, 2005. Annex I of the complaint filed before the IACHR on March 7, 2006.</w:t>
      </w:r>
    </w:p>
  </w:footnote>
  <w:footnote w:id="109">
    <w:p w14:paraId="3E7CEDC8" w14:textId="60C967BD"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46</w:t>
      </w:r>
      <w:r w:rsidRPr="00326F31">
        <w:rPr>
          <w:rFonts w:asciiTheme="majorHAnsi" w:hAnsiTheme="majorHAnsi"/>
          <w:sz w:val="16"/>
          <w:szCs w:val="16"/>
        </w:rPr>
        <w:t xml:space="preserve">. Written opinion of the Prosecutor requesting the dismissal of the constitutional </w:t>
      </w:r>
      <w:proofErr w:type="spellStart"/>
      <w:r w:rsidRPr="00326F31">
        <w:rPr>
          <w:rFonts w:asciiTheme="majorHAnsi" w:hAnsiTheme="majorHAnsi"/>
          <w:i/>
          <w:sz w:val="16"/>
          <w:szCs w:val="16"/>
        </w:rPr>
        <w:t>amparo</w:t>
      </w:r>
      <w:proofErr w:type="spellEnd"/>
      <w:r w:rsidRPr="00326F31">
        <w:rPr>
          <w:rFonts w:asciiTheme="majorHAnsi" w:hAnsiTheme="majorHAnsi"/>
          <w:i/>
          <w:sz w:val="16"/>
          <w:szCs w:val="16"/>
        </w:rPr>
        <w:t xml:space="preserve"> </w:t>
      </w:r>
      <w:r w:rsidRPr="00326F31">
        <w:rPr>
          <w:rFonts w:asciiTheme="majorHAnsi" w:hAnsiTheme="majorHAnsi"/>
          <w:sz w:val="16"/>
          <w:szCs w:val="16"/>
        </w:rPr>
        <w:t>complaint, July 20, 2005, Annex I of the complaint filed before the IACHR on March 7, 2006.</w:t>
      </w:r>
    </w:p>
  </w:footnote>
  <w:footnote w:id="110">
    <w:p w14:paraId="315BA9A4" w14:textId="4224C7BB"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47</w:t>
      </w:r>
      <w:r w:rsidRPr="00326F31">
        <w:rPr>
          <w:rFonts w:asciiTheme="majorHAnsi" w:hAnsiTheme="majorHAnsi"/>
          <w:sz w:val="16"/>
          <w:szCs w:val="16"/>
        </w:rPr>
        <w:t>. Letter from the President of the National Border Council to the Judge of the Fourth Court of First Instance Judicial Circuit for Labor Matters of the Metropolitan Area of Caracas, July 20, 2005, Annex I of the complaint filed before the IACHR on March 7, 2006.</w:t>
      </w:r>
    </w:p>
  </w:footnote>
  <w:footnote w:id="111">
    <w:p w14:paraId="1AB5BB46" w14:textId="1285613F"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48</w:t>
      </w:r>
      <w:r w:rsidRPr="00326F31">
        <w:rPr>
          <w:rFonts w:asciiTheme="majorHAnsi" w:hAnsiTheme="majorHAnsi"/>
          <w:sz w:val="16"/>
          <w:szCs w:val="16"/>
        </w:rPr>
        <w:t>. Minute of the Constitutional Court hearing of July 20, 2005, Annex I of the complaint filed before the IACHR on March 7, 2006.</w:t>
      </w:r>
    </w:p>
  </w:footnote>
  <w:footnote w:id="112">
    <w:p w14:paraId="21319B9C" w14:textId="0EACED19"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49</w:t>
      </w:r>
      <w:r w:rsidRPr="00326F31">
        <w:rPr>
          <w:rFonts w:asciiTheme="majorHAnsi" w:hAnsiTheme="majorHAnsi"/>
          <w:sz w:val="16"/>
          <w:szCs w:val="16"/>
        </w:rPr>
        <w:t>, Judgement of the Fourth Court of First Instance Judicial Circuit for Labor Matters of the Metropolitan Area of Caracas, July 27, 2005. Annex I of the complaint filed before the IACHR on March 7, 2006.</w:t>
      </w:r>
    </w:p>
  </w:footnote>
  <w:footnote w:id="113">
    <w:p w14:paraId="3255D1E9" w14:textId="060C0406"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49</w:t>
      </w:r>
      <w:r w:rsidRPr="00326F31">
        <w:rPr>
          <w:rFonts w:asciiTheme="majorHAnsi" w:hAnsiTheme="majorHAnsi"/>
          <w:sz w:val="16"/>
          <w:szCs w:val="16"/>
        </w:rPr>
        <w:t>, Judgement of the Fourth Court of First Instance Judicial Circuit for Labor Matters of the Metropolitan Area of Caracas, July 27, 2005. Annex I of the complaint filed before the IACHR on March 7, 2006. The decision states that during the constitutional public hearing, the respondent provided a certified copy of the notice of termination of the employment contract of the citizen Leoni Lopez on March12, 2004 who did not sign against the President of the Republic.</w:t>
      </w:r>
    </w:p>
  </w:footnote>
  <w:footnote w:id="114">
    <w:p w14:paraId="69FA7A41" w14:textId="4707B3DC"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50</w:t>
      </w:r>
      <w:r w:rsidRPr="00326F31">
        <w:rPr>
          <w:rFonts w:asciiTheme="majorHAnsi" w:hAnsiTheme="majorHAnsi"/>
          <w:sz w:val="16"/>
          <w:szCs w:val="16"/>
        </w:rPr>
        <w:t>. Appeal filed by the alleged victims on July 29, 2005, Annex I of the complaint filed before the IACHR on March 7, 2006.</w:t>
      </w:r>
    </w:p>
  </w:footnote>
  <w:footnote w:id="115">
    <w:p w14:paraId="684EF058" w14:textId="675F04AC"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51</w:t>
      </w:r>
      <w:r w:rsidRPr="00326F31">
        <w:rPr>
          <w:rFonts w:asciiTheme="majorHAnsi" w:hAnsiTheme="majorHAnsi"/>
          <w:sz w:val="16"/>
          <w:szCs w:val="16"/>
        </w:rPr>
        <w:t>. Grounds of appeal, July 29, 2005, Annex I of the complaint filed before the IACHR on March 7, 2006.</w:t>
      </w:r>
    </w:p>
  </w:footnote>
  <w:footnote w:id="116">
    <w:p w14:paraId="18BD43E7" w14:textId="55770A50"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Annex </w:t>
      </w:r>
      <w:r>
        <w:rPr>
          <w:rFonts w:asciiTheme="majorHAnsi" w:hAnsiTheme="majorHAnsi"/>
          <w:sz w:val="16"/>
          <w:szCs w:val="16"/>
        </w:rPr>
        <w:t>52</w:t>
      </w:r>
      <w:r w:rsidRPr="00326F31">
        <w:rPr>
          <w:rFonts w:asciiTheme="majorHAnsi" w:hAnsiTheme="majorHAnsi"/>
          <w:sz w:val="16"/>
          <w:szCs w:val="16"/>
        </w:rPr>
        <w:t xml:space="preserve">. Judgment of the Third Superior Court for Labor Matters of the Labor Circuit Court of the Judicial District of the Metropolitan Area of Caracas, September 9, 2005, Annex I of the complaint filed before the IACHR on March 7, 2006. </w:t>
      </w:r>
    </w:p>
  </w:footnote>
  <w:footnote w:id="117">
    <w:p w14:paraId="23FD4375" w14:textId="719A0001"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53</w:t>
      </w:r>
      <w:r w:rsidRPr="00326F31">
        <w:rPr>
          <w:rFonts w:asciiTheme="majorHAnsi" w:hAnsiTheme="majorHAnsi"/>
          <w:sz w:val="16"/>
          <w:szCs w:val="16"/>
        </w:rPr>
        <w:t>. Criminal complaint filed before the Attorney General's Office, May 27, 2004, Annex II of the complaint filed before the IACHR on March 7, 2006.</w:t>
      </w:r>
    </w:p>
  </w:footnote>
  <w:footnote w:id="118">
    <w:p w14:paraId="21094F58" w14:textId="34E74CD3"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53</w:t>
      </w:r>
      <w:r w:rsidRPr="00326F31">
        <w:rPr>
          <w:rFonts w:asciiTheme="majorHAnsi" w:hAnsiTheme="majorHAnsi"/>
          <w:sz w:val="16"/>
          <w:szCs w:val="16"/>
        </w:rPr>
        <w:t>. Criminal complaint filed before the Attorney General's Office, May 27, 2004, Annex II of the complaint filed before the IACHR on March 7, 2006.</w:t>
      </w:r>
    </w:p>
  </w:footnote>
  <w:footnote w:id="119">
    <w:p w14:paraId="27E38FF5" w14:textId="1CA9976B"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53</w:t>
      </w:r>
      <w:r w:rsidRPr="00326F31">
        <w:rPr>
          <w:rFonts w:asciiTheme="majorHAnsi" w:hAnsiTheme="majorHAnsi"/>
          <w:sz w:val="16"/>
          <w:szCs w:val="16"/>
        </w:rPr>
        <w:t>. Criminal complaint filed before the Attorney General's Office, May 27, 2004, Annex II of the complaint filed before the IACHR on March 7, 2006.</w:t>
      </w:r>
    </w:p>
  </w:footnote>
  <w:footnote w:id="120">
    <w:p w14:paraId="3123308D" w14:textId="7BA740E9"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54</w:t>
      </w:r>
      <w:r w:rsidRPr="00326F31">
        <w:rPr>
          <w:rFonts w:asciiTheme="majorHAnsi" w:hAnsiTheme="majorHAnsi"/>
          <w:sz w:val="16"/>
          <w:szCs w:val="16"/>
        </w:rPr>
        <w:t>.</w:t>
      </w:r>
      <w:r>
        <w:rPr>
          <w:rFonts w:asciiTheme="majorHAnsi" w:hAnsiTheme="majorHAnsi"/>
          <w:sz w:val="16"/>
          <w:szCs w:val="16"/>
        </w:rPr>
        <w:t xml:space="preserve"> </w:t>
      </w:r>
      <w:r w:rsidRPr="00326F31">
        <w:rPr>
          <w:rFonts w:asciiTheme="majorHAnsi" w:hAnsiTheme="majorHAnsi"/>
          <w:sz w:val="16"/>
          <w:szCs w:val="16"/>
        </w:rPr>
        <w:t xml:space="preserve">Communication that orders the launch of the criminal investigation regarding the complaint filed by </w:t>
      </w:r>
      <w:proofErr w:type="spellStart"/>
      <w:r w:rsidRPr="00326F31">
        <w:rPr>
          <w:rFonts w:asciiTheme="majorHAnsi" w:hAnsiTheme="majorHAnsi"/>
          <w:sz w:val="16"/>
          <w:szCs w:val="16"/>
        </w:rPr>
        <w:t>Rocío</w:t>
      </w:r>
      <w:proofErr w:type="spellEnd"/>
      <w:r w:rsidRPr="00326F31">
        <w:rPr>
          <w:rFonts w:asciiTheme="majorHAnsi" w:hAnsiTheme="majorHAnsi"/>
          <w:sz w:val="16"/>
          <w:szCs w:val="16"/>
        </w:rPr>
        <w:t xml:space="preserve"> San Miguel, </w:t>
      </w:r>
      <w:proofErr w:type="spellStart"/>
      <w:r w:rsidRPr="00326F31">
        <w:rPr>
          <w:rFonts w:asciiTheme="majorHAnsi" w:hAnsiTheme="majorHAnsi"/>
          <w:sz w:val="16"/>
          <w:szCs w:val="16"/>
        </w:rPr>
        <w:t>Magally</w:t>
      </w:r>
      <w:proofErr w:type="spellEnd"/>
      <w:r w:rsidRPr="00326F31">
        <w:rPr>
          <w:rFonts w:asciiTheme="majorHAnsi" w:hAnsiTheme="majorHAnsi"/>
          <w:sz w:val="16"/>
          <w:szCs w:val="16"/>
        </w:rPr>
        <w:t xml:space="preserve"> Chang </w:t>
      </w:r>
      <w:proofErr w:type="spellStart"/>
      <w:r w:rsidRPr="00326F31">
        <w:rPr>
          <w:rFonts w:asciiTheme="majorHAnsi" w:hAnsiTheme="majorHAnsi"/>
          <w:sz w:val="16"/>
          <w:szCs w:val="16"/>
        </w:rPr>
        <w:t>Girón</w:t>
      </w:r>
      <w:proofErr w:type="spellEnd"/>
      <w:r w:rsidRPr="00326F31">
        <w:rPr>
          <w:rFonts w:asciiTheme="majorHAnsi" w:hAnsiTheme="majorHAnsi"/>
          <w:sz w:val="16"/>
          <w:szCs w:val="16"/>
        </w:rPr>
        <w:t xml:space="preserve"> and Thais Peña, May 27. 2004, Annex II of the complaint filed before the IACHR on March 7, 2006.</w:t>
      </w:r>
    </w:p>
  </w:footnote>
  <w:footnote w:id="121">
    <w:p w14:paraId="6FC4B8BC" w14:textId="73397DA5"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29</w:t>
      </w:r>
      <w:r w:rsidRPr="00326F31">
        <w:rPr>
          <w:rFonts w:asciiTheme="majorHAnsi" w:hAnsiTheme="majorHAnsi"/>
          <w:sz w:val="16"/>
          <w:szCs w:val="16"/>
        </w:rPr>
        <w:t xml:space="preserve">. </w:t>
      </w:r>
      <w:proofErr w:type="gramStart"/>
      <w:r w:rsidRPr="00326F31">
        <w:rPr>
          <w:rFonts w:asciiTheme="majorHAnsi" w:hAnsiTheme="majorHAnsi"/>
          <w:sz w:val="16"/>
          <w:szCs w:val="16"/>
        </w:rPr>
        <w:t xml:space="preserve">Transcript of the interview with </w:t>
      </w:r>
      <w:proofErr w:type="spellStart"/>
      <w:r w:rsidRPr="00326F31">
        <w:rPr>
          <w:rFonts w:asciiTheme="majorHAnsi" w:hAnsiTheme="majorHAnsi"/>
          <w:sz w:val="16"/>
          <w:szCs w:val="16"/>
        </w:rPr>
        <w:t>Feijoo</w:t>
      </w:r>
      <w:proofErr w:type="spellEnd"/>
      <w:r w:rsidRPr="00326F31">
        <w:rPr>
          <w:rFonts w:asciiTheme="majorHAnsi" w:hAnsiTheme="majorHAnsi"/>
          <w:sz w:val="16"/>
          <w:szCs w:val="16"/>
        </w:rPr>
        <w:t xml:space="preserve"> </w:t>
      </w:r>
      <w:proofErr w:type="spellStart"/>
      <w:r w:rsidRPr="00326F31">
        <w:rPr>
          <w:rFonts w:asciiTheme="majorHAnsi" w:hAnsiTheme="majorHAnsi"/>
          <w:sz w:val="16"/>
          <w:szCs w:val="16"/>
        </w:rPr>
        <w:t>Colomine</w:t>
      </w:r>
      <w:proofErr w:type="spellEnd"/>
      <w:r w:rsidRPr="00326F31">
        <w:rPr>
          <w:rFonts w:asciiTheme="majorHAnsi" w:hAnsiTheme="majorHAnsi"/>
          <w:sz w:val="16"/>
          <w:szCs w:val="16"/>
        </w:rPr>
        <w:t xml:space="preserve"> </w:t>
      </w:r>
      <w:proofErr w:type="spellStart"/>
      <w:r w:rsidRPr="00326F31">
        <w:rPr>
          <w:rFonts w:asciiTheme="majorHAnsi" w:hAnsiTheme="majorHAnsi"/>
          <w:sz w:val="16"/>
          <w:szCs w:val="16"/>
        </w:rPr>
        <w:t>Rincones</w:t>
      </w:r>
      <w:proofErr w:type="spellEnd"/>
      <w:r w:rsidRPr="00326F31">
        <w:rPr>
          <w:rFonts w:asciiTheme="majorHAnsi" w:hAnsiTheme="majorHAnsi"/>
          <w:sz w:val="16"/>
          <w:szCs w:val="16"/>
        </w:rPr>
        <w:t>, July 14, 2004, Annex II of the complaint filed before the IACHR on March 7, 2006.</w:t>
      </w:r>
      <w:proofErr w:type="gramEnd"/>
    </w:p>
  </w:footnote>
  <w:footnote w:id="122">
    <w:p w14:paraId="74061341" w14:textId="3BA3375F"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55</w:t>
      </w:r>
      <w:r w:rsidRPr="00326F31">
        <w:rPr>
          <w:rFonts w:asciiTheme="majorHAnsi" w:hAnsiTheme="majorHAnsi"/>
          <w:sz w:val="16"/>
          <w:szCs w:val="16"/>
        </w:rPr>
        <w:t xml:space="preserve">. </w:t>
      </w:r>
      <w:proofErr w:type="gramStart"/>
      <w:r w:rsidRPr="00326F31">
        <w:rPr>
          <w:rFonts w:asciiTheme="majorHAnsi" w:hAnsiTheme="majorHAnsi"/>
          <w:sz w:val="16"/>
          <w:szCs w:val="16"/>
        </w:rPr>
        <w:t>Report of the Executive Secretary of the National Border Council, July 14, 2004, Annex II of the complaint filed before the IACHR on March 7, 2006.</w:t>
      </w:r>
      <w:proofErr w:type="gramEnd"/>
    </w:p>
  </w:footnote>
  <w:footnote w:id="123">
    <w:p w14:paraId="5EEEE3CC" w14:textId="4FFD822A"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56</w:t>
      </w:r>
      <w:r w:rsidRPr="00326F31">
        <w:rPr>
          <w:rFonts w:asciiTheme="majorHAnsi" w:hAnsiTheme="majorHAnsi"/>
          <w:sz w:val="16"/>
          <w:szCs w:val="16"/>
        </w:rPr>
        <w:t>. Testimony of the alleged victims, July</w:t>
      </w:r>
      <w:r>
        <w:rPr>
          <w:rFonts w:asciiTheme="majorHAnsi" w:hAnsiTheme="majorHAnsi"/>
          <w:sz w:val="16"/>
          <w:szCs w:val="16"/>
        </w:rPr>
        <w:t xml:space="preserve"> </w:t>
      </w:r>
      <w:r w:rsidRPr="00326F31">
        <w:rPr>
          <w:rFonts w:asciiTheme="majorHAnsi" w:hAnsiTheme="majorHAnsi"/>
          <w:sz w:val="16"/>
          <w:szCs w:val="16"/>
        </w:rPr>
        <w:t>15 and 16, 2004, Annex II of the complaint filed before the IACHR on March 7, 2006.</w:t>
      </w:r>
    </w:p>
  </w:footnote>
  <w:footnote w:id="124">
    <w:p w14:paraId="2ABD93FA" w14:textId="174E7743"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57</w:t>
      </w:r>
      <w:r w:rsidRPr="00326F31">
        <w:rPr>
          <w:rFonts w:asciiTheme="majorHAnsi" w:hAnsiTheme="majorHAnsi"/>
          <w:sz w:val="16"/>
          <w:szCs w:val="16"/>
        </w:rPr>
        <w:t>, Request for dismissal of the case to the Judge of First Instance acting as Control Court of the Criminal Judicial Circuit of the Metropolitan Area of Caracas, Annex II of the complaint filed before the IACHR on March 7, 2006.</w:t>
      </w:r>
    </w:p>
  </w:footnote>
  <w:footnote w:id="125">
    <w:p w14:paraId="289EF032" w14:textId="7285B570"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58</w:t>
      </w:r>
      <w:r w:rsidRPr="00326F31">
        <w:rPr>
          <w:rFonts w:asciiTheme="majorHAnsi" w:hAnsiTheme="majorHAnsi"/>
          <w:sz w:val="16"/>
          <w:szCs w:val="16"/>
        </w:rPr>
        <w:t>, Resolution dismissal of the case of Control Court 21 of the Criminal Judicial Circuit of the Metropolitan Area of Caracas, April 4, 2004.</w:t>
      </w:r>
      <w:r>
        <w:rPr>
          <w:rFonts w:asciiTheme="majorHAnsi" w:hAnsiTheme="majorHAnsi"/>
          <w:sz w:val="16"/>
          <w:szCs w:val="16"/>
        </w:rPr>
        <w:t xml:space="preserve"> </w:t>
      </w:r>
      <w:r w:rsidRPr="00326F31">
        <w:rPr>
          <w:rFonts w:asciiTheme="majorHAnsi" w:hAnsiTheme="majorHAnsi"/>
          <w:sz w:val="16"/>
          <w:szCs w:val="16"/>
        </w:rPr>
        <w:t>Annex II of the complaint filed before the IACHR on March 7, 2006.</w:t>
      </w:r>
    </w:p>
  </w:footnote>
  <w:footnote w:id="126">
    <w:p w14:paraId="6BFC6379" w14:textId="01CE9520"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w:t>
      </w:r>
      <w:proofErr w:type="gramStart"/>
      <w:r>
        <w:rPr>
          <w:rFonts w:asciiTheme="majorHAnsi" w:hAnsiTheme="majorHAnsi"/>
          <w:sz w:val="16"/>
          <w:szCs w:val="16"/>
        </w:rPr>
        <w:t>Annex 59</w:t>
      </w:r>
      <w:r w:rsidRPr="00326F31">
        <w:rPr>
          <w:rFonts w:asciiTheme="majorHAnsi" w:hAnsiTheme="majorHAnsi"/>
          <w:sz w:val="16"/>
          <w:szCs w:val="16"/>
        </w:rPr>
        <w:t>, Appeal against the decision of dismissal, April 15, 2005, Annex II of the complaint filed before the IACHR on March 7, 2006.</w:t>
      </w:r>
      <w:proofErr w:type="gramEnd"/>
    </w:p>
  </w:footnote>
  <w:footnote w:id="127">
    <w:p w14:paraId="3EF63D84" w14:textId="0D74D38B"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w:t>
      </w:r>
      <w:proofErr w:type="spellStart"/>
      <w:proofErr w:type="gramStart"/>
      <w:r>
        <w:rPr>
          <w:rFonts w:asciiTheme="majorHAnsi" w:hAnsiTheme="majorHAnsi"/>
          <w:sz w:val="16"/>
          <w:szCs w:val="16"/>
        </w:rPr>
        <w:t>Anexo</w:t>
      </w:r>
      <w:proofErr w:type="spellEnd"/>
      <w:r>
        <w:rPr>
          <w:rFonts w:asciiTheme="majorHAnsi" w:hAnsiTheme="majorHAnsi"/>
          <w:sz w:val="16"/>
          <w:szCs w:val="16"/>
        </w:rPr>
        <w:t xml:space="preserve"> 59</w:t>
      </w:r>
      <w:r w:rsidRPr="00326F31">
        <w:rPr>
          <w:rFonts w:asciiTheme="majorHAnsi" w:hAnsiTheme="majorHAnsi"/>
          <w:sz w:val="16"/>
          <w:szCs w:val="16"/>
        </w:rPr>
        <w:t>.</w:t>
      </w:r>
      <w:proofErr w:type="gramEnd"/>
      <w:r w:rsidRPr="00326F31">
        <w:rPr>
          <w:rFonts w:asciiTheme="majorHAnsi" w:hAnsiTheme="majorHAnsi"/>
          <w:sz w:val="16"/>
          <w:szCs w:val="16"/>
        </w:rPr>
        <w:t xml:space="preserve"> Appeal against the decision of dismissal, April 15, 2005, Annex II of the complaint filed before the IACHR on March 7, 2006.</w:t>
      </w:r>
    </w:p>
  </w:footnote>
  <w:footnote w:id="128">
    <w:p w14:paraId="579FBF01" w14:textId="7B6F8EEE"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60</w:t>
      </w:r>
      <w:r w:rsidRPr="00326F31">
        <w:rPr>
          <w:rFonts w:asciiTheme="majorHAnsi" w:hAnsiTheme="majorHAnsi"/>
          <w:sz w:val="16"/>
          <w:szCs w:val="16"/>
        </w:rPr>
        <w:t>. Response of the Thirty-Seventh Prosecuting Attorney on the appeal against the decision of dismissal, April 28, 2005,Annex II of the complaint filed before the IACHR on March 7, 2006.</w:t>
      </w:r>
      <w:r w:rsidRPr="00326F31">
        <w:rPr>
          <w:rFonts w:asciiTheme="majorHAnsi" w:hAnsiTheme="majorHAnsi"/>
          <w:sz w:val="16"/>
          <w:szCs w:val="16"/>
        </w:rPr>
        <w:tab/>
      </w:r>
    </w:p>
  </w:footnote>
  <w:footnote w:id="129">
    <w:p w14:paraId="5B3AE753" w14:textId="662D9D57"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61</w:t>
      </w:r>
      <w:r w:rsidRPr="00326F31">
        <w:rPr>
          <w:rFonts w:asciiTheme="majorHAnsi" w:hAnsiTheme="majorHAnsi"/>
          <w:sz w:val="16"/>
          <w:szCs w:val="16"/>
        </w:rPr>
        <w:t>.</w:t>
      </w:r>
      <w:r>
        <w:rPr>
          <w:rFonts w:asciiTheme="majorHAnsi" w:hAnsiTheme="majorHAnsi"/>
          <w:sz w:val="16"/>
          <w:szCs w:val="16"/>
        </w:rPr>
        <w:t xml:space="preserve"> </w:t>
      </w:r>
      <w:r w:rsidRPr="00326F31">
        <w:rPr>
          <w:rFonts w:asciiTheme="majorHAnsi" w:hAnsiTheme="majorHAnsi"/>
          <w:sz w:val="16"/>
          <w:szCs w:val="16"/>
        </w:rPr>
        <w:t>Admissibility of the appeal by the Seventh Chamber of the Court of Appeals of the Criminal Judicial Circuit of the Metropolitan Area of Caracas, May 5, 2005,</w:t>
      </w:r>
      <w:r>
        <w:rPr>
          <w:rFonts w:asciiTheme="majorHAnsi" w:hAnsiTheme="majorHAnsi"/>
          <w:sz w:val="16"/>
          <w:szCs w:val="16"/>
        </w:rPr>
        <w:t xml:space="preserve"> </w:t>
      </w:r>
      <w:r w:rsidRPr="00326F31">
        <w:rPr>
          <w:rFonts w:asciiTheme="majorHAnsi" w:hAnsiTheme="majorHAnsi"/>
          <w:sz w:val="16"/>
          <w:szCs w:val="16"/>
        </w:rPr>
        <w:t>Annex II of the complaint filed before the IACHR on March 7, 2006.</w:t>
      </w:r>
    </w:p>
  </w:footnote>
  <w:footnote w:id="130">
    <w:p w14:paraId="3B223C18" w14:textId="4E05FEF7"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62</w:t>
      </w:r>
      <w:r w:rsidRPr="00326F31">
        <w:rPr>
          <w:rFonts w:asciiTheme="majorHAnsi" w:hAnsiTheme="majorHAnsi"/>
          <w:sz w:val="16"/>
          <w:szCs w:val="16"/>
        </w:rPr>
        <w:t>. Decision of the Seventh Chamber of the Court of Appeals of the Criminal Judicial Circuit of the Metropolitan Area of Caracas, which dismisses the appeal, May 12, 2005, Annex II of the complaint filed before the IACHR on March 7, 2006.</w:t>
      </w:r>
    </w:p>
  </w:footnote>
  <w:footnote w:id="131">
    <w:p w14:paraId="6E5B0E2A" w14:textId="44D38BFF"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63</w:t>
      </w:r>
      <w:r w:rsidRPr="00326F31">
        <w:rPr>
          <w:rFonts w:asciiTheme="majorHAnsi" w:hAnsiTheme="majorHAnsi"/>
          <w:sz w:val="16"/>
          <w:szCs w:val="16"/>
        </w:rPr>
        <w:t>. Appeal remedy (</w:t>
      </w:r>
      <w:proofErr w:type="spellStart"/>
      <w:r w:rsidRPr="00326F31">
        <w:rPr>
          <w:rFonts w:asciiTheme="majorHAnsi" w:hAnsiTheme="majorHAnsi"/>
          <w:i/>
          <w:sz w:val="16"/>
          <w:szCs w:val="16"/>
        </w:rPr>
        <w:t>casa</w:t>
      </w:r>
      <w:r>
        <w:rPr>
          <w:rFonts w:asciiTheme="majorHAnsi" w:hAnsiTheme="majorHAnsi"/>
          <w:i/>
          <w:sz w:val="16"/>
          <w:szCs w:val="16"/>
        </w:rPr>
        <w:t>c</w:t>
      </w:r>
      <w:r w:rsidRPr="00326F31">
        <w:rPr>
          <w:rFonts w:asciiTheme="majorHAnsi" w:hAnsiTheme="majorHAnsi"/>
          <w:i/>
          <w:sz w:val="16"/>
          <w:szCs w:val="16"/>
        </w:rPr>
        <w:t>ión</w:t>
      </w:r>
      <w:proofErr w:type="spellEnd"/>
      <w:r w:rsidRPr="00326F31">
        <w:rPr>
          <w:rFonts w:asciiTheme="majorHAnsi" w:hAnsiTheme="majorHAnsi"/>
          <w:sz w:val="16"/>
          <w:szCs w:val="16"/>
        </w:rPr>
        <w:t xml:space="preserve">) filed by </w:t>
      </w:r>
      <w:proofErr w:type="spellStart"/>
      <w:r w:rsidRPr="00326F31">
        <w:rPr>
          <w:rFonts w:asciiTheme="majorHAnsi" w:hAnsiTheme="majorHAnsi"/>
          <w:sz w:val="16"/>
          <w:szCs w:val="16"/>
        </w:rPr>
        <w:t>Rocío</w:t>
      </w:r>
      <w:proofErr w:type="spellEnd"/>
      <w:r w:rsidRPr="00326F31">
        <w:rPr>
          <w:rFonts w:asciiTheme="majorHAnsi" w:hAnsiTheme="majorHAnsi"/>
          <w:sz w:val="16"/>
          <w:szCs w:val="16"/>
        </w:rPr>
        <w:t xml:space="preserve"> San Miguel Sosa, </w:t>
      </w:r>
      <w:proofErr w:type="spellStart"/>
      <w:r w:rsidRPr="00326F31">
        <w:rPr>
          <w:rFonts w:asciiTheme="majorHAnsi" w:hAnsiTheme="majorHAnsi"/>
          <w:sz w:val="16"/>
          <w:szCs w:val="16"/>
        </w:rPr>
        <w:t>Magally</w:t>
      </w:r>
      <w:proofErr w:type="spellEnd"/>
      <w:r w:rsidRPr="00326F31">
        <w:rPr>
          <w:rFonts w:asciiTheme="majorHAnsi" w:hAnsiTheme="majorHAnsi"/>
          <w:sz w:val="16"/>
          <w:szCs w:val="16"/>
        </w:rPr>
        <w:t xml:space="preserve"> Chang </w:t>
      </w:r>
      <w:proofErr w:type="spellStart"/>
      <w:r w:rsidRPr="00326F31">
        <w:rPr>
          <w:rFonts w:asciiTheme="majorHAnsi" w:hAnsiTheme="majorHAnsi"/>
          <w:sz w:val="16"/>
          <w:szCs w:val="16"/>
        </w:rPr>
        <w:t>Girón</w:t>
      </w:r>
      <w:proofErr w:type="spellEnd"/>
      <w:r w:rsidRPr="00326F31">
        <w:rPr>
          <w:rFonts w:asciiTheme="majorHAnsi" w:hAnsiTheme="majorHAnsi"/>
          <w:sz w:val="16"/>
          <w:szCs w:val="16"/>
        </w:rPr>
        <w:t xml:space="preserve"> and Thais </w:t>
      </w:r>
      <w:proofErr w:type="spellStart"/>
      <w:r w:rsidRPr="00326F31">
        <w:rPr>
          <w:rFonts w:asciiTheme="majorHAnsi" w:hAnsiTheme="majorHAnsi"/>
          <w:sz w:val="16"/>
          <w:szCs w:val="16"/>
        </w:rPr>
        <w:t>Coromoto</w:t>
      </w:r>
      <w:proofErr w:type="spellEnd"/>
      <w:r w:rsidRPr="00326F31">
        <w:rPr>
          <w:rFonts w:asciiTheme="majorHAnsi" w:hAnsiTheme="majorHAnsi"/>
          <w:sz w:val="16"/>
          <w:szCs w:val="16"/>
        </w:rPr>
        <w:t xml:space="preserve"> Peña before the Chamber of Criminal Appeals of the Supreme Court, July 7, 2005, Annex II of the complaint filed before the IACHR on March 7, 2006.</w:t>
      </w:r>
    </w:p>
  </w:footnote>
  <w:footnote w:id="132">
    <w:p w14:paraId="22F99628" w14:textId="2BD33432"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64</w:t>
      </w:r>
      <w:r w:rsidRPr="00326F31">
        <w:rPr>
          <w:rFonts w:asciiTheme="majorHAnsi" w:hAnsiTheme="majorHAnsi"/>
          <w:sz w:val="16"/>
          <w:szCs w:val="16"/>
        </w:rPr>
        <w:t>. Judgment of the Chamber of Criminal Appeals of the Supreme Court that dismisses the Appeal remedy (</w:t>
      </w:r>
      <w:proofErr w:type="spellStart"/>
      <w:r w:rsidRPr="00326F31">
        <w:rPr>
          <w:rFonts w:asciiTheme="majorHAnsi" w:hAnsiTheme="majorHAnsi"/>
          <w:i/>
          <w:sz w:val="16"/>
          <w:szCs w:val="16"/>
        </w:rPr>
        <w:t>casasión</w:t>
      </w:r>
      <w:proofErr w:type="spellEnd"/>
      <w:r w:rsidRPr="00326F31">
        <w:rPr>
          <w:rFonts w:asciiTheme="majorHAnsi" w:hAnsiTheme="majorHAnsi"/>
          <w:sz w:val="16"/>
          <w:szCs w:val="16"/>
        </w:rPr>
        <w:t>), September 27, 2005, Annex II of the complaint filed before the IACHR on March 7, 2006.</w:t>
      </w:r>
    </w:p>
  </w:footnote>
  <w:footnote w:id="133">
    <w:p w14:paraId="2C99B495" w14:textId="77777777" w:rsidR="00C45C34" w:rsidRPr="00272781" w:rsidRDefault="00C45C34" w:rsidP="00131FA4">
      <w:pPr>
        <w:pStyle w:val="FootnoteText"/>
        <w:spacing w:after="120"/>
        <w:ind w:firstLine="720"/>
        <w:jc w:val="both"/>
        <w:rPr>
          <w:rFonts w:ascii="Cambria" w:hAnsi="Cambria"/>
          <w:sz w:val="16"/>
          <w:szCs w:val="16"/>
        </w:rPr>
      </w:pPr>
      <w:r w:rsidRPr="00272781">
        <w:rPr>
          <w:rStyle w:val="FootnoteReference"/>
          <w:rFonts w:ascii="Cambria" w:hAnsi="Cambria"/>
          <w:sz w:val="16"/>
          <w:szCs w:val="16"/>
        </w:rPr>
        <w:footnoteRef/>
      </w:r>
      <w:r w:rsidRPr="00272781">
        <w:rPr>
          <w:rFonts w:ascii="Cambria" w:hAnsi="Cambria"/>
          <w:sz w:val="16"/>
          <w:szCs w:val="16"/>
        </w:rPr>
        <w:t xml:space="preserve"> </w:t>
      </w:r>
      <w:proofErr w:type="gramStart"/>
      <w:r w:rsidRPr="00272781">
        <w:rPr>
          <w:rFonts w:ascii="Cambria" w:hAnsi="Cambria"/>
          <w:sz w:val="16"/>
          <w:szCs w:val="16"/>
        </w:rPr>
        <w:t xml:space="preserve">IACHR, Democracy and Human Rights in Venezuela, </w:t>
      </w:r>
      <w:r w:rsidRPr="00272781">
        <w:rPr>
          <w:rFonts w:ascii="Cambria" w:eastAsia="Arial Unicode MS" w:hAnsi="Cambria" w:cs="Times New Roman"/>
          <w:sz w:val="16"/>
          <w:szCs w:val="16"/>
          <w:lang w:eastAsia="en-US"/>
        </w:rPr>
        <w:t>OEA/</w:t>
      </w:r>
      <w:proofErr w:type="spellStart"/>
      <w:r w:rsidRPr="00272781">
        <w:rPr>
          <w:rFonts w:ascii="Cambria" w:eastAsia="Arial Unicode MS" w:hAnsi="Cambria" w:cs="Times New Roman"/>
          <w:sz w:val="16"/>
          <w:szCs w:val="16"/>
          <w:lang w:eastAsia="en-US"/>
        </w:rPr>
        <w:t>Ser.L</w:t>
      </w:r>
      <w:proofErr w:type="spellEnd"/>
      <w:r w:rsidRPr="00272781">
        <w:rPr>
          <w:rFonts w:ascii="Cambria" w:eastAsia="Arial Unicode MS" w:hAnsi="Cambria" w:cs="Times New Roman"/>
          <w:sz w:val="16"/>
          <w:szCs w:val="16"/>
          <w:lang w:eastAsia="en-US"/>
        </w:rPr>
        <w:t>/V/II.</w:t>
      </w:r>
      <w:proofErr w:type="gramEnd"/>
      <w:r w:rsidRPr="00272781">
        <w:rPr>
          <w:rFonts w:ascii="Cambria" w:eastAsia="Arial Unicode MS" w:hAnsi="Cambria" w:cs="Times New Roman"/>
          <w:sz w:val="16"/>
          <w:szCs w:val="16"/>
          <w:lang w:eastAsia="en-US"/>
        </w:rPr>
        <w:t xml:space="preserve"> </w:t>
      </w:r>
      <w:proofErr w:type="gramStart"/>
      <w:r w:rsidRPr="00272781">
        <w:rPr>
          <w:rFonts w:ascii="Cambria" w:eastAsia="Arial Unicode MS" w:hAnsi="Cambria" w:cs="Times New Roman"/>
          <w:sz w:val="16"/>
          <w:szCs w:val="16"/>
          <w:lang w:eastAsia="en-US"/>
        </w:rPr>
        <w:t>Doc. 54.</w:t>
      </w:r>
      <w:proofErr w:type="gramEnd"/>
      <w:r w:rsidRPr="00272781">
        <w:rPr>
          <w:rFonts w:ascii="Cambria" w:eastAsia="Arial Unicode MS" w:hAnsi="Cambria" w:cs="Times New Roman"/>
          <w:sz w:val="16"/>
          <w:szCs w:val="16"/>
          <w:lang w:eastAsia="en-US"/>
        </w:rPr>
        <w:t xml:space="preserve"> </w:t>
      </w:r>
      <w:proofErr w:type="gramStart"/>
      <w:r w:rsidRPr="00272781">
        <w:rPr>
          <w:rFonts w:ascii="Cambria" w:eastAsia="Arial Unicode MS" w:hAnsi="Cambria" w:cs="Times New Roman"/>
          <w:sz w:val="16"/>
          <w:szCs w:val="16"/>
          <w:lang w:eastAsia="en-US"/>
        </w:rPr>
        <w:t>December 30, 2009</w:t>
      </w:r>
      <w:r w:rsidRPr="00272781">
        <w:rPr>
          <w:rFonts w:ascii="Cambria" w:hAnsi="Cambria"/>
          <w:sz w:val="16"/>
          <w:szCs w:val="16"/>
        </w:rPr>
        <w:t>, chapter II, para.</w:t>
      </w:r>
      <w:proofErr w:type="gramEnd"/>
      <w:r w:rsidRPr="00272781">
        <w:rPr>
          <w:rFonts w:ascii="Cambria" w:hAnsi="Cambria"/>
          <w:sz w:val="16"/>
          <w:szCs w:val="16"/>
        </w:rPr>
        <w:t xml:space="preserve"> 18; I/A Court H.R., Case of </w:t>
      </w:r>
      <w:proofErr w:type="spellStart"/>
      <w:r w:rsidRPr="00272781">
        <w:rPr>
          <w:rFonts w:ascii="Cambria" w:hAnsi="Cambria"/>
          <w:sz w:val="16"/>
          <w:szCs w:val="16"/>
        </w:rPr>
        <w:t>Yatama</w:t>
      </w:r>
      <w:proofErr w:type="spellEnd"/>
      <w:r w:rsidRPr="00272781">
        <w:rPr>
          <w:rFonts w:ascii="Cambria" w:hAnsi="Cambria"/>
          <w:sz w:val="16"/>
          <w:szCs w:val="16"/>
        </w:rPr>
        <w:t xml:space="preserve"> v. Nicaragua. </w:t>
      </w:r>
      <w:proofErr w:type="gramStart"/>
      <w:r w:rsidRPr="00272781">
        <w:rPr>
          <w:rFonts w:ascii="Cambria" w:hAnsi="Cambria"/>
          <w:sz w:val="16"/>
          <w:szCs w:val="16"/>
        </w:rPr>
        <w:t>Preliminary Objections, Merits, Reparations and Costs.</w:t>
      </w:r>
      <w:proofErr w:type="gramEnd"/>
      <w:r w:rsidRPr="00272781">
        <w:rPr>
          <w:rFonts w:ascii="Cambria" w:hAnsi="Cambria"/>
          <w:sz w:val="16"/>
          <w:szCs w:val="16"/>
        </w:rPr>
        <w:t xml:space="preserve"> Judgment of June 23, 2005. Series C No. 127, para. 192.</w:t>
      </w:r>
    </w:p>
  </w:footnote>
  <w:footnote w:id="134">
    <w:p w14:paraId="4E844E17" w14:textId="77777777" w:rsidR="00C45C34" w:rsidRPr="00272781" w:rsidRDefault="00C45C34" w:rsidP="00131FA4">
      <w:pPr>
        <w:spacing w:after="120"/>
        <w:ind w:firstLine="720"/>
        <w:jc w:val="both"/>
        <w:rPr>
          <w:rFonts w:ascii="Cambria" w:hAnsi="Cambria" w:cs="Verdana"/>
          <w:b/>
          <w:bCs/>
          <w:smallCaps/>
          <w:sz w:val="16"/>
          <w:szCs w:val="16"/>
        </w:rPr>
      </w:pPr>
      <w:r w:rsidRPr="00272781">
        <w:rPr>
          <w:rStyle w:val="FootnoteReference"/>
          <w:rFonts w:ascii="Cambria" w:hAnsi="Cambria"/>
          <w:sz w:val="16"/>
          <w:szCs w:val="16"/>
        </w:rPr>
        <w:footnoteRef/>
      </w:r>
      <w:r w:rsidRPr="00272781">
        <w:rPr>
          <w:rFonts w:ascii="Cambria" w:hAnsi="Cambria"/>
          <w:sz w:val="16"/>
          <w:szCs w:val="16"/>
        </w:rPr>
        <w:t xml:space="preserve"> I/A Court H.R., Case of </w:t>
      </w:r>
      <w:proofErr w:type="spellStart"/>
      <w:r w:rsidRPr="00272781">
        <w:rPr>
          <w:rFonts w:ascii="Cambria" w:hAnsi="Cambria"/>
          <w:sz w:val="16"/>
          <w:szCs w:val="16"/>
        </w:rPr>
        <w:t>Yatama</w:t>
      </w:r>
      <w:proofErr w:type="spellEnd"/>
      <w:r w:rsidRPr="00272781">
        <w:rPr>
          <w:rFonts w:ascii="Cambria" w:hAnsi="Cambria"/>
          <w:sz w:val="16"/>
          <w:szCs w:val="16"/>
        </w:rPr>
        <w:t xml:space="preserve"> v. Nicaragua. </w:t>
      </w:r>
      <w:proofErr w:type="gramStart"/>
      <w:r w:rsidRPr="00272781">
        <w:rPr>
          <w:rFonts w:ascii="Cambria" w:hAnsi="Cambria"/>
          <w:sz w:val="16"/>
          <w:szCs w:val="16"/>
        </w:rPr>
        <w:t>Preliminary Objections, Merits, Reparations and Costs.</w:t>
      </w:r>
      <w:proofErr w:type="gramEnd"/>
      <w:r w:rsidRPr="00272781">
        <w:rPr>
          <w:rFonts w:ascii="Cambria" w:hAnsi="Cambria"/>
          <w:sz w:val="16"/>
          <w:szCs w:val="16"/>
        </w:rPr>
        <w:t xml:space="preserve"> Judgment of June 23, 2005. Series C No. 127, para. 195; I/A Court H.R., Case of </w:t>
      </w:r>
      <w:proofErr w:type="spellStart"/>
      <w:r w:rsidRPr="00272781">
        <w:rPr>
          <w:rFonts w:ascii="Cambria" w:hAnsi="Cambria"/>
          <w:sz w:val="16"/>
          <w:szCs w:val="16"/>
        </w:rPr>
        <w:t>Castañeda</w:t>
      </w:r>
      <w:proofErr w:type="spellEnd"/>
      <w:r w:rsidRPr="00272781">
        <w:rPr>
          <w:rFonts w:ascii="Cambria" w:hAnsi="Cambria"/>
          <w:sz w:val="16"/>
          <w:szCs w:val="16"/>
        </w:rPr>
        <w:t xml:space="preserve"> </w:t>
      </w:r>
      <w:proofErr w:type="spellStart"/>
      <w:r w:rsidRPr="00272781">
        <w:rPr>
          <w:rFonts w:ascii="Cambria" w:hAnsi="Cambria"/>
          <w:sz w:val="16"/>
          <w:szCs w:val="16"/>
        </w:rPr>
        <w:t>Gutman</w:t>
      </w:r>
      <w:proofErr w:type="spellEnd"/>
      <w:r w:rsidRPr="00272781">
        <w:rPr>
          <w:rFonts w:ascii="Cambria" w:hAnsi="Cambria"/>
          <w:sz w:val="16"/>
          <w:szCs w:val="16"/>
        </w:rPr>
        <w:t xml:space="preserve"> v. México. </w:t>
      </w:r>
      <w:proofErr w:type="gramStart"/>
      <w:r w:rsidRPr="00272781">
        <w:rPr>
          <w:rFonts w:ascii="Cambria" w:hAnsi="Cambria"/>
          <w:sz w:val="16"/>
          <w:szCs w:val="16"/>
        </w:rPr>
        <w:t>Preliminary Objections, Merits, Reparations, and Costs.</w:t>
      </w:r>
      <w:proofErr w:type="gramEnd"/>
      <w:r w:rsidRPr="00272781">
        <w:rPr>
          <w:rFonts w:ascii="Cambria" w:hAnsi="Cambria"/>
          <w:sz w:val="16"/>
          <w:szCs w:val="16"/>
        </w:rPr>
        <w:t xml:space="preserve"> Judgment of August 6, 2008. Series C No. 184, para. 145.</w:t>
      </w:r>
    </w:p>
  </w:footnote>
  <w:footnote w:id="135">
    <w:p w14:paraId="44B4A0B2" w14:textId="77777777" w:rsidR="00C45C34" w:rsidRPr="00272781" w:rsidRDefault="00C45C34" w:rsidP="00131FA4">
      <w:pPr>
        <w:pStyle w:val="FootnoteText"/>
        <w:spacing w:after="120"/>
        <w:ind w:firstLine="720"/>
        <w:jc w:val="both"/>
        <w:rPr>
          <w:rFonts w:ascii="Cambria" w:hAnsi="Cambria"/>
          <w:sz w:val="16"/>
          <w:szCs w:val="16"/>
        </w:rPr>
      </w:pPr>
      <w:r w:rsidRPr="00272781">
        <w:rPr>
          <w:rStyle w:val="FootnoteReference"/>
          <w:rFonts w:ascii="Cambria" w:hAnsi="Cambria"/>
          <w:sz w:val="16"/>
          <w:szCs w:val="16"/>
        </w:rPr>
        <w:footnoteRef/>
      </w:r>
      <w:r w:rsidRPr="00272781">
        <w:rPr>
          <w:rFonts w:ascii="Cambria" w:hAnsi="Cambria"/>
          <w:sz w:val="16"/>
          <w:szCs w:val="16"/>
        </w:rPr>
        <w:t xml:space="preserve"> I/A Court H.R., Case of </w:t>
      </w:r>
      <w:proofErr w:type="spellStart"/>
      <w:r w:rsidRPr="00272781">
        <w:rPr>
          <w:rFonts w:ascii="Cambria" w:hAnsi="Cambria"/>
          <w:sz w:val="16"/>
          <w:szCs w:val="16"/>
        </w:rPr>
        <w:t>Castañeda</w:t>
      </w:r>
      <w:proofErr w:type="spellEnd"/>
      <w:r w:rsidRPr="00272781">
        <w:rPr>
          <w:rFonts w:ascii="Cambria" w:hAnsi="Cambria"/>
          <w:sz w:val="16"/>
          <w:szCs w:val="16"/>
        </w:rPr>
        <w:t xml:space="preserve"> </w:t>
      </w:r>
      <w:proofErr w:type="spellStart"/>
      <w:r w:rsidRPr="00272781">
        <w:rPr>
          <w:rFonts w:ascii="Cambria" w:hAnsi="Cambria"/>
          <w:sz w:val="16"/>
          <w:szCs w:val="16"/>
        </w:rPr>
        <w:t>Gutman</w:t>
      </w:r>
      <w:proofErr w:type="spellEnd"/>
      <w:r w:rsidRPr="00272781">
        <w:rPr>
          <w:rFonts w:ascii="Cambria" w:hAnsi="Cambria"/>
          <w:sz w:val="16"/>
          <w:szCs w:val="16"/>
        </w:rPr>
        <w:t xml:space="preserve"> v. México. </w:t>
      </w:r>
      <w:proofErr w:type="gramStart"/>
      <w:r w:rsidRPr="00272781">
        <w:rPr>
          <w:rFonts w:ascii="Cambria" w:hAnsi="Cambria"/>
          <w:sz w:val="16"/>
          <w:szCs w:val="16"/>
        </w:rPr>
        <w:t>Preliminary Objections, Merits, Reparations, and Costs.</w:t>
      </w:r>
      <w:proofErr w:type="gramEnd"/>
      <w:r w:rsidRPr="00272781">
        <w:rPr>
          <w:rFonts w:ascii="Cambria" w:hAnsi="Cambria"/>
          <w:sz w:val="16"/>
          <w:szCs w:val="16"/>
        </w:rPr>
        <w:t xml:space="preserve"> Judgment of August 6, 2008. Series C No. 184, para. 147. Similarly, United Nations, Human Rights Committee, when interpreting Article 25 of the International Covenant on Civil and Political Rights, the wording of which is very similar to the provision in the American Convention, establishes broad parameters concerning the regulation of political rights. When interpreting this norm, the United Nations Human Rights Committee has stated that political rights must be guaranteed for election or constitutional amendment, referendum and other elections. See United Nations, Human Rights Committee, General Comment No. 25, The right to participate in public affairs, voting rights and the right of equal access to public service (Art. 25) of July 12, 1996, CCPR/C/21/Rev.1/Add.7, available at: </w:t>
      </w:r>
      <w:hyperlink r:id="rId46" w:history="1">
        <w:r w:rsidRPr="00272781">
          <w:rPr>
            <w:rStyle w:val="Hyperlink"/>
            <w:rFonts w:ascii="Cambria" w:hAnsi="Cambria"/>
            <w:sz w:val="16"/>
            <w:szCs w:val="16"/>
          </w:rPr>
          <w:t>http://www.refworld.org/docid/453883fc22.html</w:t>
        </w:r>
      </w:hyperlink>
      <w:r w:rsidRPr="00272781">
        <w:rPr>
          <w:rFonts w:ascii="Cambria" w:hAnsi="Cambria"/>
          <w:sz w:val="16"/>
          <w:szCs w:val="16"/>
        </w:rPr>
        <w:t xml:space="preserve"> </w:t>
      </w:r>
    </w:p>
  </w:footnote>
  <w:footnote w:id="136">
    <w:p w14:paraId="6085AC6C" w14:textId="77777777" w:rsidR="00C45C34" w:rsidRPr="00272781" w:rsidRDefault="00C45C34" w:rsidP="00131FA4">
      <w:pPr>
        <w:pStyle w:val="FootnoteText"/>
        <w:spacing w:after="120"/>
        <w:ind w:firstLine="720"/>
        <w:jc w:val="both"/>
        <w:rPr>
          <w:rFonts w:ascii="Cambria" w:hAnsi="Cambria"/>
          <w:sz w:val="16"/>
          <w:szCs w:val="16"/>
        </w:rPr>
      </w:pPr>
      <w:r w:rsidRPr="00272781">
        <w:rPr>
          <w:rStyle w:val="FootnoteReference"/>
          <w:rFonts w:ascii="Cambria" w:hAnsi="Cambria"/>
          <w:sz w:val="16"/>
          <w:szCs w:val="16"/>
        </w:rPr>
        <w:footnoteRef/>
      </w:r>
      <w:r w:rsidRPr="00272781">
        <w:rPr>
          <w:rFonts w:ascii="Cambria" w:hAnsi="Cambria"/>
          <w:sz w:val="16"/>
          <w:szCs w:val="16"/>
        </w:rPr>
        <w:t xml:space="preserve"> IACHR, Report 14/93, Case 10.956, Luis Felipe Bravo Mena, October 7, 1993, available at: </w:t>
      </w:r>
      <w:hyperlink r:id="rId47" w:history="1">
        <w:r w:rsidRPr="00272781">
          <w:rPr>
            <w:rStyle w:val="Hyperlink"/>
            <w:rFonts w:ascii="Cambria" w:hAnsi="Cambria"/>
            <w:sz w:val="16"/>
            <w:szCs w:val="16"/>
          </w:rPr>
          <w:t>http://www.cidh.org/annualrep/93eng/Mexico.10956.htm</w:t>
        </w:r>
      </w:hyperlink>
      <w:r w:rsidRPr="00272781">
        <w:rPr>
          <w:rFonts w:ascii="Cambria" w:hAnsi="Cambria"/>
          <w:sz w:val="16"/>
          <w:szCs w:val="16"/>
        </w:rPr>
        <w:t xml:space="preserve"> </w:t>
      </w:r>
    </w:p>
  </w:footnote>
  <w:footnote w:id="137">
    <w:p w14:paraId="03348A53" w14:textId="77777777" w:rsidR="00C45C34" w:rsidRPr="00272781" w:rsidRDefault="00C45C34" w:rsidP="00131FA4">
      <w:pPr>
        <w:pStyle w:val="FootnoteText"/>
        <w:spacing w:after="120"/>
        <w:ind w:firstLine="720"/>
        <w:jc w:val="both"/>
        <w:rPr>
          <w:rFonts w:ascii="Cambria" w:hAnsi="Cambria"/>
          <w:sz w:val="16"/>
          <w:szCs w:val="16"/>
        </w:rPr>
      </w:pPr>
      <w:r w:rsidRPr="00272781">
        <w:rPr>
          <w:rStyle w:val="FootnoteReference"/>
          <w:rFonts w:ascii="Cambria" w:hAnsi="Cambria"/>
          <w:sz w:val="16"/>
          <w:szCs w:val="16"/>
        </w:rPr>
        <w:footnoteRef/>
      </w:r>
      <w:r w:rsidRPr="00272781">
        <w:rPr>
          <w:rFonts w:ascii="Cambria" w:hAnsi="Cambria"/>
          <w:sz w:val="16"/>
          <w:szCs w:val="16"/>
        </w:rPr>
        <w:t xml:space="preserve"> </w:t>
      </w:r>
      <w:proofErr w:type="gramStart"/>
      <w:r w:rsidRPr="00272781">
        <w:rPr>
          <w:rFonts w:ascii="Cambria" w:hAnsi="Cambria"/>
          <w:sz w:val="16"/>
          <w:szCs w:val="16"/>
        </w:rPr>
        <w:t>Human Rights Committee, General Comment No. 25, para.</w:t>
      </w:r>
      <w:proofErr w:type="gramEnd"/>
      <w:r w:rsidRPr="00272781">
        <w:rPr>
          <w:rFonts w:ascii="Cambria" w:hAnsi="Cambria"/>
          <w:sz w:val="16"/>
          <w:szCs w:val="16"/>
        </w:rPr>
        <w:t xml:space="preserve"> 20. </w:t>
      </w:r>
    </w:p>
  </w:footnote>
  <w:footnote w:id="138">
    <w:p w14:paraId="698B4BDB" w14:textId="333EE702" w:rsidR="00C45C34" w:rsidRPr="00326F31" w:rsidRDefault="00C45C34" w:rsidP="00131FA4">
      <w:pPr>
        <w:pStyle w:val="FootnoteText"/>
        <w:spacing w:after="120"/>
        <w:ind w:firstLine="720"/>
        <w:jc w:val="both"/>
        <w:rPr>
          <w:rFonts w:asciiTheme="majorHAnsi" w:hAnsiTheme="majorHAnsi" w:cs="Arial"/>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I/A Court H.R., Case of Ricardo </w:t>
      </w:r>
      <w:proofErr w:type="spellStart"/>
      <w:r w:rsidRPr="00326F31">
        <w:rPr>
          <w:rFonts w:asciiTheme="majorHAnsi" w:hAnsiTheme="majorHAnsi"/>
          <w:sz w:val="16"/>
          <w:szCs w:val="16"/>
        </w:rPr>
        <w:t>Canese</w:t>
      </w:r>
      <w:proofErr w:type="spellEnd"/>
      <w:r w:rsidRPr="00326F31">
        <w:rPr>
          <w:rFonts w:asciiTheme="majorHAnsi" w:hAnsiTheme="majorHAnsi"/>
          <w:sz w:val="16"/>
          <w:szCs w:val="16"/>
        </w:rPr>
        <w:t xml:space="preserve"> v. Paraguay. </w:t>
      </w:r>
      <w:proofErr w:type="gramStart"/>
      <w:r w:rsidRPr="00326F31">
        <w:rPr>
          <w:rFonts w:asciiTheme="majorHAnsi" w:hAnsiTheme="majorHAnsi"/>
          <w:sz w:val="16"/>
          <w:szCs w:val="16"/>
        </w:rPr>
        <w:t>Merits, Reparations and Costs.</w:t>
      </w:r>
      <w:proofErr w:type="gramEnd"/>
      <w:r w:rsidRPr="00326F31">
        <w:rPr>
          <w:rFonts w:asciiTheme="majorHAnsi" w:hAnsiTheme="majorHAnsi"/>
          <w:sz w:val="16"/>
          <w:szCs w:val="16"/>
        </w:rPr>
        <w:t xml:space="preserve"> Judgment of August 31, 2004. Series C No. 111, para. 90; IACHR, Freedom of Expression and the Electoral Process: The Case of Opinion Polls and Exit Polls, 2005, paras. 11-15, available at: </w:t>
      </w:r>
      <w:hyperlink r:id="rId48" w:history="1">
        <w:r w:rsidRPr="00326F31">
          <w:rPr>
            <w:rStyle w:val="Hyperlink"/>
            <w:rFonts w:asciiTheme="majorHAnsi" w:hAnsiTheme="majorHAnsi"/>
            <w:sz w:val="16"/>
            <w:szCs w:val="16"/>
          </w:rPr>
          <w:t>http://www.oas.org/en/iachr/expression/reports/thematic.asp</w:t>
        </w:r>
      </w:hyperlink>
      <w:r w:rsidRPr="00326F31">
        <w:rPr>
          <w:rFonts w:asciiTheme="majorHAnsi" w:hAnsiTheme="majorHAnsi"/>
          <w:sz w:val="16"/>
          <w:szCs w:val="16"/>
        </w:rPr>
        <w:t>. Likewise the European Court of Human Rights has ruled that the two rights are interrelated. See ECHR, Case Mathieu-</w:t>
      </w:r>
      <w:proofErr w:type="spellStart"/>
      <w:r w:rsidRPr="00326F31">
        <w:rPr>
          <w:rFonts w:asciiTheme="majorHAnsi" w:hAnsiTheme="majorHAnsi"/>
          <w:sz w:val="16"/>
          <w:szCs w:val="16"/>
        </w:rPr>
        <w:t>Mohin</w:t>
      </w:r>
      <w:proofErr w:type="spellEnd"/>
      <w:r w:rsidRPr="00326F31">
        <w:rPr>
          <w:rFonts w:asciiTheme="majorHAnsi" w:hAnsiTheme="majorHAnsi"/>
          <w:sz w:val="16"/>
          <w:szCs w:val="16"/>
        </w:rPr>
        <w:t xml:space="preserve"> and </w:t>
      </w:r>
      <w:proofErr w:type="spellStart"/>
      <w:r w:rsidRPr="00326F31">
        <w:rPr>
          <w:rFonts w:asciiTheme="majorHAnsi" w:hAnsiTheme="majorHAnsi"/>
          <w:sz w:val="16"/>
          <w:szCs w:val="16"/>
        </w:rPr>
        <w:t>Clerfayt</w:t>
      </w:r>
      <w:proofErr w:type="spellEnd"/>
      <w:r w:rsidRPr="00326F31">
        <w:rPr>
          <w:rFonts w:asciiTheme="majorHAnsi" w:hAnsiTheme="majorHAnsi"/>
          <w:sz w:val="16"/>
          <w:szCs w:val="16"/>
        </w:rPr>
        <w:t xml:space="preserve"> v. Belgium, judgment of 2 March 1987, Series A, No. 113, </w:t>
      </w:r>
      <w:proofErr w:type="gramStart"/>
      <w:r w:rsidRPr="00326F31">
        <w:rPr>
          <w:rFonts w:asciiTheme="majorHAnsi" w:hAnsiTheme="majorHAnsi"/>
          <w:sz w:val="16"/>
          <w:szCs w:val="16"/>
        </w:rPr>
        <w:t>para</w:t>
      </w:r>
      <w:proofErr w:type="gramEnd"/>
      <w:r w:rsidRPr="00326F31">
        <w:rPr>
          <w:rFonts w:asciiTheme="majorHAnsi" w:hAnsiTheme="majorHAnsi"/>
          <w:sz w:val="16"/>
          <w:szCs w:val="16"/>
        </w:rPr>
        <w:t>. 54.</w:t>
      </w:r>
    </w:p>
  </w:footnote>
  <w:footnote w:id="139">
    <w:p w14:paraId="223E1782" w14:textId="7C874EC6" w:rsidR="00C45C34" w:rsidRPr="00326F31" w:rsidRDefault="00C45C34" w:rsidP="00131FA4">
      <w:pPr>
        <w:spacing w:after="120"/>
        <w:ind w:firstLine="720"/>
        <w:jc w:val="both"/>
        <w:rPr>
          <w:rFonts w:asciiTheme="majorHAnsi" w:hAnsiTheme="majorHAnsi" w:cs="Verdana"/>
          <w:b/>
          <w:bCs/>
          <w:smallCaps/>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w:t>
      </w:r>
      <w:r w:rsidRPr="00326F31">
        <w:rPr>
          <w:rFonts w:asciiTheme="majorHAnsi" w:hAnsiTheme="majorHAnsi"/>
          <w:sz w:val="16"/>
          <w:szCs w:val="16"/>
        </w:rPr>
        <w:t xml:space="preserve">I/A Court H.R., Case of </w:t>
      </w:r>
      <w:proofErr w:type="spellStart"/>
      <w:r w:rsidRPr="00326F31">
        <w:rPr>
          <w:rFonts w:asciiTheme="majorHAnsi" w:hAnsiTheme="majorHAnsi"/>
          <w:sz w:val="16"/>
          <w:szCs w:val="16"/>
        </w:rPr>
        <w:t>Castañeda</w:t>
      </w:r>
      <w:proofErr w:type="spellEnd"/>
      <w:r w:rsidRPr="00326F31">
        <w:rPr>
          <w:rFonts w:asciiTheme="majorHAnsi" w:hAnsiTheme="majorHAnsi"/>
          <w:sz w:val="16"/>
          <w:szCs w:val="16"/>
        </w:rPr>
        <w:t xml:space="preserve"> </w:t>
      </w:r>
      <w:proofErr w:type="spellStart"/>
      <w:r w:rsidRPr="00326F31">
        <w:rPr>
          <w:rFonts w:asciiTheme="majorHAnsi" w:hAnsiTheme="majorHAnsi"/>
          <w:sz w:val="16"/>
          <w:szCs w:val="16"/>
        </w:rPr>
        <w:t>Gutman</w:t>
      </w:r>
      <w:proofErr w:type="spellEnd"/>
      <w:r w:rsidRPr="00326F31">
        <w:rPr>
          <w:rFonts w:asciiTheme="majorHAnsi" w:hAnsiTheme="majorHAnsi"/>
          <w:sz w:val="16"/>
          <w:szCs w:val="16"/>
        </w:rPr>
        <w:t xml:space="preserve"> v. México. </w:t>
      </w:r>
      <w:proofErr w:type="gramStart"/>
      <w:r w:rsidRPr="00326F31">
        <w:rPr>
          <w:rFonts w:asciiTheme="majorHAnsi" w:hAnsiTheme="majorHAnsi"/>
          <w:sz w:val="16"/>
          <w:szCs w:val="16"/>
        </w:rPr>
        <w:t>Preliminary Objections, Merits, Reparations, and Costs.</w:t>
      </w:r>
      <w:proofErr w:type="gramEnd"/>
      <w:r w:rsidRPr="00326F31">
        <w:rPr>
          <w:rFonts w:asciiTheme="majorHAnsi" w:hAnsiTheme="majorHAnsi"/>
          <w:sz w:val="16"/>
          <w:szCs w:val="16"/>
        </w:rPr>
        <w:t xml:space="preserve"> </w:t>
      </w:r>
      <w:r w:rsidRPr="00C9052E">
        <w:rPr>
          <w:rFonts w:asciiTheme="majorHAnsi" w:hAnsiTheme="majorHAnsi"/>
          <w:sz w:val="16"/>
          <w:szCs w:val="16"/>
        </w:rPr>
        <w:t xml:space="preserve">Judgment of August 6, 2008. </w:t>
      </w:r>
      <w:r w:rsidRPr="00326F31">
        <w:rPr>
          <w:rFonts w:asciiTheme="majorHAnsi" w:hAnsiTheme="majorHAnsi"/>
          <w:sz w:val="16"/>
          <w:szCs w:val="16"/>
        </w:rPr>
        <w:t>Series C No. 184, para. 140.</w:t>
      </w:r>
    </w:p>
  </w:footnote>
  <w:footnote w:id="140">
    <w:p w14:paraId="4318908F" w14:textId="11589BFE" w:rsidR="00C45C34" w:rsidRPr="00C9052E"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w:t>
      </w:r>
      <w:proofErr w:type="spellStart"/>
      <w:proofErr w:type="gramStart"/>
      <w:r w:rsidRPr="00326F31">
        <w:rPr>
          <w:rFonts w:asciiTheme="majorHAnsi" w:hAnsiTheme="majorHAnsi"/>
          <w:sz w:val="16"/>
          <w:szCs w:val="16"/>
        </w:rPr>
        <w:t>Cfr</w:t>
      </w:r>
      <w:proofErr w:type="spellEnd"/>
      <w:r w:rsidRPr="00326F31">
        <w:rPr>
          <w:rFonts w:asciiTheme="majorHAnsi" w:hAnsiTheme="majorHAnsi"/>
          <w:sz w:val="16"/>
          <w:szCs w:val="16"/>
        </w:rPr>
        <w:t>.</w:t>
      </w:r>
      <w:proofErr w:type="gramEnd"/>
      <w:r w:rsidRPr="00326F31">
        <w:rPr>
          <w:rFonts w:asciiTheme="majorHAnsi" w:hAnsiTheme="majorHAnsi"/>
          <w:sz w:val="16"/>
          <w:szCs w:val="16"/>
        </w:rPr>
        <w:t xml:space="preserve"> I/A Court H.R., Case of Claude Reyes et al. v. Chile. </w:t>
      </w:r>
      <w:proofErr w:type="gramStart"/>
      <w:r w:rsidRPr="00326F31">
        <w:rPr>
          <w:rFonts w:asciiTheme="majorHAnsi" w:hAnsiTheme="majorHAnsi"/>
          <w:sz w:val="16"/>
          <w:szCs w:val="16"/>
        </w:rPr>
        <w:t>Merits, Reparations and Costs.</w:t>
      </w:r>
      <w:proofErr w:type="gramEnd"/>
      <w:r w:rsidRPr="00326F31">
        <w:rPr>
          <w:rFonts w:asciiTheme="majorHAnsi" w:hAnsiTheme="majorHAnsi"/>
          <w:sz w:val="16"/>
          <w:szCs w:val="16"/>
        </w:rPr>
        <w:t xml:space="preserve"> Judgment of September 19, 2006. Series C No. 151, para. 85; I/A Court H.R., Case of Herrera Ulloa v. Costa Rica. </w:t>
      </w:r>
      <w:proofErr w:type="gramStart"/>
      <w:r w:rsidRPr="00326F31">
        <w:rPr>
          <w:rFonts w:asciiTheme="majorHAnsi" w:hAnsiTheme="majorHAnsi"/>
          <w:sz w:val="16"/>
          <w:szCs w:val="16"/>
        </w:rPr>
        <w:t>Preliminary Objections, Merits, Reparations and Costs.</w:t>
      </w:r>
      <w:proofErr w:type="gramEnd"/>
      <w:r w:rsidRPr="00326F31">
        <w:rPr>
          <w:rFonts w:asciiTheme="majorHAnsi" w:hAnsiTheme="majorHAnsi"/>
          <w:sz w:val="16"/>
          <w:szCs w:val="16"/>
        </w:rPr>
        <w:t xml:space="preserve"> Judgment of July 2, 2004. Series C No. 107, para. 116; I/A Court H.R., Case of Ricardo </w:t>
      </w:r>
      <w:proofErr w:type="spellStart"/>
      <w:r w:rsidRPr="00326F31">
        <w:rPr>
          <w:rFonts w:asciiTheme="majorHAnsi" w:hAnsiTheme="majorHAnsi"/>
          <w:sz w:val="16"/>
          <w:szCs w:val="16"/>
        </w:rPr>
        <w:t>Canese</w:t>
      </w:r>
      <w:proofErr w:type="spellEnd"/>
      <w:r w:rsidRPr="00326F31">
        <w:rPr>
          <w:rFonts w:asciiTheme="majorHAnsi" w:hAnsiTheme="majorHAnsi"/>
          <w:sz w:val="16"/>
          <w:szCs w:val="16"/>
        </w:rPr>
        <w:t xml:space="preserve"> v. Paraguay. </w:t>
      </w:r>
      <w:proofErr w:type="gramStart"/>
      <w:r w:rsidRPr="00326F31">
        <w:rPr>
          <w:rFonts w:asciiTheme="majorHAnsi" w:hAnsiTheme="majorHAnsi"/>
          <w:sz w:val="16"/>
          <w:szCs w:val="16"/>
        </w:rPr>
        <w:t>Merits, Reparations and Costs.</w:t>
      </w:r>
      <w:proofErr w:type="gramEnd"/>
      <w:r w:rsidRPr="00326F31">
        <w:rPr>
          <w:rFonts w:asciiTheme="majorHAnsi" w:hAnsiTheme="majorHAnsi"/>
          <w:sz w:val="16"/>
          <w:szCs w:val="16"/>
        </w:rPr>
        <w:t xml:space="preserve"> </w:t>
      </w:r>
      <w:r w:rsidRPr="00C9052E">
        <w:rPr>
          <w:rFonts w:asciiTheme="majorHAnsi" w:hAnsiTheme="majorHAnsi"/>
          <w:sz w:val="16"/>
          <w:szCs w:val="16"/>
        </w:rPr>
        <w:t xml:space="preserve">Judgment of August 31, 2004. Series C No. 111, para. </w:t>
      </w:r>
      <w:proofErr w:type="gramStart"/>
      <w:r w:rsidRPr="00326F31">
        <w:rPr>
          <w:rFonts w:asciiTheme="majorHAnsi" w:hAnsiTheme="majorHAnsi"/>
          <w:sz w:val="16"/>
          <w:szCs w:val="16"/>
        </w:rPr>
        <w:t>86; I/A Court H.R., Compulsory Membership in an Association Prescribed by Law for the Practice of Journalism (Arts. 13 and 29 American Convention on Human Rights).</w:t>
      </w:r>
      <w:proofErr w:type="gramEnd"/>
      <w:r w:rsidRPr="00326F31">
        <w:rPr>
          <w:rFonts w:asciiTheme="majorHAnsi" w:hAnsiTheme="majorHAnsi"/>
          <w:sz w:val="16"/>
          <w:szCs w:val="16"/>
        </w:rPr>
        <w:t xml:space="preserve"> </w:t>
      </w:r>
      <w:r w:rsidRPr="00C9052E">
        <w:rPr>
          <w:rFonts w:asciiTheme="majorHAnsi" w:hAnsiTheme="majorHAnsi"/>
          <w:sz w:val="16"/>
          <w:szCs w:val="16"/>
        </w:rPr>
        <w:t xml:space="preserve">Advisory Opinion OC-5/85 of November 13, 1985. Series </w:t>
      </w:r>
      <w:proofErr w:type="gramStart"/>
      <w:r w:rsidRPr="00C9052E">
        <w:rPr>
          <w:rFonts w:asciiTheme="majorHAnsi" w:hAnsiTheme="majorHAnsi"/>
          <w:sz w:val="16"/>
          <w:szCs w:val="16"/>
        </w:rPr>
        <w:t>A</w:t>
      </w:r>
      <w:proofErr w:type="gramEnd"/>
      <w:r w:rsidRPr="00C9052E">
        <w:rPr>
          <w:rFonts w:asciiTheme="majorHAnsi" w:hAnsiTheme="majorHAnsi"/>
          <w:sz w:val="16"/>
          <w:szCs w:val="16"/>
        </w:rPr>
        <w:t xml:space="preserve"> No. 5, para. 70.</w:t>
      </w:r>
    </w:p>
  </w:footnote>
  <w:footnote w:id="141">
    <w:p w14:paraId="2D6141EA" w14:textId="08B3B268" w:rsidR="00C45C34" w:rsidRPr="00C9052E" w:rsidRDefault="00C45C34" w:rsidP="00131FA4">
      <w:pPr>
        <w:pStyle w:val="FootnoteText"/>
        <w:spacing w:after="120"/>
        <w:ind w:firstLine="720"/>
        <w:jc w:val="both"/>
        <w:rPr>
          <w:rFonts w:asciiTheme="majorHAnsi" w:hAnsiTheme="majorHAnsi"/>
          <w:sz w:val="16"/>
          <w:szCs w:val="16"/>
          <w:lang w:val="fr-FR"/>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I/A Court H. R., Case of </w:t>
      </w:r>
      <w:proofErr w:type="spellStart"/>
      <w:r w:rsidRPr="00326F31">
        <w:rPr>
          <w:rFonts w:asciiTheme="majorHAnsi" w:hAnsiTheme="majorHAnsi"/>
          <w:sz w:val="16"/>
          <w:szCs w:val="16"/>
        </w:rPr>
        <w:t>Granier</w:t>
      </w:r>
      <w:proofErr w:type="spellEnd"/>
      <w:r w:rsidRPr="00326F31">
        <w:rPr>
          <w:rFonts w:asciiTheme="majorHAnsi" w:hAnsiTheme="majorHAnsi"/>
          <w:sz w:val="16"/>
          <w:szCs w:val="16"/>
        </w:rPr>
        <w:t xml:space="preserve"> et al. </w:t>
      </w:r>
      <w:r w:rsidRPr="00165F1E">
        <w:rPr>
          <w:rFonts w:asciiTheme="majorHAnsi" w:hAnsiTheme="majorHAnsi"/>
          <w:sz w:val="16"/>
          <w:szCs w:val="16"/>
        </w:rPr>
        <w:t xml:space="preserve">(Radio Caracas Television) v. Venezuela. </w:t>
      </w:r>
      <w:proofErr w:type="gramStart"/>
      <w:r w:rsidRPr="00326F31">
        <w:rPr>
          <w:rFonts w:asciiTheme="majorHAnsi" w:hAnsiTheme="majorHAnsi"/>
          <w:sz w:val="16"/>
          <w:szCs w:val="16"/>
        </w:rPr>
        <w:t>Preliminary Objections, Merits, Reparations and Costs.</w:t>
      </w:r>
      <w:proofErr w:type="gramEnd"/>
      <w:r w:rsidRPr="00326F31">
        <w:rPr>
          <w:rFonts w:asciiTheme="majorHAnsi" w:hAnsiTheme="majorHAnsi"/>
          <w:sz w:val="16"/>
          <w:szCs w:val="16"/>
        </w:rPr>
        <w:t xml:space="preserve"> Judgment of June 22, 2015. Series C No. 293, para. </w:t>
      </w:r>
      <w:r w:rsidRPr="00C9052E">
        <w:rPr>
          <w:rFonts w:asciiTheme="majorHAnsi" w:hAnsiTheme="majorHAnsi"/>
          <w:sz w:val="16"/>
          <w:szCs w:val="16"/>
          <w:lang w:val="fr-FR"/>
        </w:rPr>
        <w:t xml:space="preserve">140. </w:t>
      </w:r>
    </w:p>
  </w:footnote>
  <w:footnote w:id="142">
    <w:p w14:paraId="55DC653B" w14:textId="61B3EBE2" w:rsidR="00C45C34" w:rsidRPr="00C9052E" w:rsidRDefault="00C45C34" w:rsidP="00131FA4">
      <w:pPr>
        <w:pStyle w:val="FootnoteText"/>
        <w:tabs>
          <w:tab w:val="left" w:pos="567"/>
        </w:tabs>
        <w:spacing w:after="120"/>
        <w:ind w:firstLine="720"/>
        <w:jc w:val="both"/>
        <w:rPr>
          <w:rFonts w:asciiTheme="majorHAnsi" w:hAnsiTheme="majorHAnsi"/>
          <w:sz w:val="16"/>
          <w:szCs w:val="16"/>
          <w:lang w:val="fr-FR"/>
        </w:rPr>
      </w:pPr>
      <w:r w:rsidRPr="00326F31">
        <w:rPr>
          <w:rStyle w:val="FootnoteReference"/>
          <w:rFonts w:asciiTheme="majorHAnsi" w:hAnsiTheme="majorHAnsi"/>
          <w:sz w:val="16"/>
          <w:szCs w:val="16"/>
        </w:rPr>
        <w:footnoteRef/>
      </w:r>
      <w:r w:rsidRPr="009E0C89">
        <w:rPr>
          <w:rFonts w:asciiTheme="majorHAnsi" w:hAnsiTheme="majorHAnsi"/>
          <w:sz w:val="16"/>
          <w:szCs w:val="16"/>
        </w:rPr>
        <w:t xml:space="preserve"> </w:t>
      </w:r>
      <w:r w:rsidRPr="00326F31">
        <w:rPr>
          <w:rFonts w:asciiTheme="majorHAnsi" w:hAnsiTheme="majorHAnsi"/>
          <w:sz w:val="16"/>
          <w:szCs w:val="16"/>
        </w:rPr>
        <w:t xml:space="preserve">I/A Court H. R., Case of </w:t>
      </w:r>
      <w:proofErr w:type="spellStart"/>
      <w:r w:rsidRPr="00326F31">
        <w:rPr>
          <w:rFonts w:asciiTheme="majorHAnsi" w:hAnsiTheme="majorHAnsi"/>
          <w:sz w:val="16"/>
          <w:szCs w:val="16"/>
        </w:rPr>
        <w:t>Granier</w:t>
      </w:r>
      <w:proofErr w:type="spellEnd"/>
      <w:r w:rsidRPr="00326F31">
        <w:rPr>
          <w:rFonts w:asciiTheme="majorHAnsi" w:hAnsiTheme="majorHAnsi"/>
          <w:sz w:val="16"/>
          <w:szCs w:val="16"/>
        </w:rPr>
        <w:t xml:space="preserve"> et al. </w:t>
      </w:r>
      <w:r w:rsidRPr="009E0C89">
        <w:rPr>
          <w:rFonts w:asciiTheme="majorHAnsi" w:hAnsiTheme="majorHAnsi"/>
          <w:sz w:val="16"/>
          <w:szCs w:val="16"/>
        </w:rPr>
        <w:t xml:space="preserve">(Radio Caracas Television) v. Venezuela. </w:t>
      </w:r>
      <w:proofErr w:type="gramStart"/>
      <w:r w:rsidRPr="00326F31">
        <w:rPr>
          <w:rFonts w:asciiTheme="majorHAnsi" w:hAnsiTheme="majorHAnsi"/>
          <w:sz w:val="16"/>
          <w:szCs w:val="16"/>
        </w:rPr>
        <w:t>Preliminary Objections, Merits, Reparations and Costs.</w:t>
      </w:r>
      <w:proofErr w:type="gramEnd"/>
      <w:r w:rsidRPr="00326F31">
        <w:rPr>
          <w:rFonts w:asciiTheme="majorHAnsi" w:hAnsiTheme="majorHAnsi"/>
          <w:sz w:val="16"/>
          <w:szCs w:val="16"/>
        </w:rPr>
        <w:t xml:space="preserve"> Judgment of June 2</w:t>
      </w:r>
      <w:r>
        <w:rPr>
          <w:rFonts w:asciiTheme="majorHAnsi" w:hAnsiTheme="majorHAnsi"/>
          <w:sz w:val="16"/>
          <w:szCs w:val="16"/>
        </w:rPr>
        <w:t>2, 2015. Series C No. 293, para</w:t>
      </w:r>
      <w:r w:rsidRPr="00C9052E">
        <w:rPr>
          <w:rFonts w:asciiTheme="majorHAnsi" w:hAnsiTheme="majorHAnsi"/>
          <w:sz w:val="16"/>
          <w:szCs w:val="16"/>
          <w:lang w:val="fr-FR"/>
        </w:rPr>
        <w:t xml:space="preserve">. 161. </w:t>
      </w:r>
      <w:r w:rsidRPr="00C9052E">
        <w:rPr>
          <w:rFonts w:asciiTheme="majorHAnsi" w:hAnsiTheme="majorHAnsi"/>
          <w:sz w:val="16"/>
          <w:szCs w:val="16"/>
          <w:lang w:val="fr-FR"/>
        </w:rPr>
        <w:tab/>
      </w:r>
    </w:p>
  </w:footnote>
  <w:footnote w:id="143">
    <w:p w14:paraId="39BBDA6E" w14:textId="59B55F93" w:rsidR="00C45C34" w:rsidRPr="009E0C89" w:rsidRDefault="00C45C34" w:rsidP="00131FA4">
      <w:pPr>
        <w:pStyle w:val="FootnoteText"/>
        <w:tabs>
          <w:tab w:val="left" w:pos="567"/>
        </w:tabs>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9E0C89">
        <w:rPr>
          <w:rFonts w:asciiTheme="majorHAnsi" w:hAnsiTheme="majorHAnsi"/>
          <w:sz w:val="16"/>
          <w:szCs w:val="16"/>
        </w:rPr>
        <w:t xml:space="preserve"> </w:t>
      </w:r>
      <w:r w:rsidRPr="00326F31">
        <w:rPr>
          <w:rFonts w:asciiTheme="majorHAnsi" w:hAnsiTheme="majorHAnsi"/>
          <w:sz w:val="16"/>
          <w:szCs w:val="16"/>
        </w:rPr>
        <w:t xml:space="preserve">I/A Court H. R., Case of </w:t>
      </w:r>
      <w:proofErr w:type="spellStart"/>
      <w:r w:rsidRPr="00326F31">
        <w:rPr>
          <w:rFonts w:asciiTheme="majorHAnsi" w:hAnsiTheme="majorHAnsi"/>
          <w:sz w:val="16"/>
          <w:szCs w:val="16"/>
        </w:rPr>
        <w:t>Granier</w:t>
      </w:r>
      <w:proofErr w:type="spellEnd"/>
      <w:r w:rsidRPr="00326F31">
        <w:rPr>
          <w:rFonts w:asciiTheme="majorHAnsi" w:hAnsiTheme="majorHAnsi"/>
          <w:sz w:val="16"/>
          <w:szCs w:val="16"/>
        </w:rPr>
        <w:t xml:space="preserve"> et al. </w:t>
      </w:r>
      <w:r w:rsidRPr="009E0C89">
        <w:rPr>
          <w:rFonts w:asciiTheme="majorHAnsi" w:hAnsiTheme="majorHAnsi"/>
          <w:sz w:val="16"/>
          <w:szCs w:val="16"/>
        </w:rPr>
        <w:t xml:space="preserve">(Radio Caracas Television) v. Venezuela. </w:t>
      </w:r>
      <w:proofErr w:type="gramStart"/>
      <w:r w:rsidRPr="00326F31">
        <w:rPr>
          <w:rFonts w:asciiTheme="majorHAnsi" w:hAnsiTheme="majorHAnsi"/>
          <w:sz w:val="16"/>
          <w:szCs w:val="16"/>
        </w:rPr>
        <w:t>Preliminary Objections, Merits, Reparations and Costs.</w:t>
      </w:r>
      <w:proofErr w:type="gramEnd"/>
      <w:r w:rsidRPr="00326F31">
        <w:rPr>
          <w:rFonts w:asciiTheme="majorHAnsi" w:hAnsiTheme="majorHAnsi"/>
          <w:sz w:val="16"/>
          <w:szCs w:val="16"/>
        </w:rPr>
        <w:t xml:space="preserve"> Judgment of June 22, 2015. Series C No. 293, para. </w:t>
      </w:r>
      <w:r>
        <w:rPr>
          <w:rFonts w:asciiTheme="majorHAnsi" w:hAnsiTheme="majorHAnsi"/>
          <w:sz w:val="16"/>
          <w:szCs w:val="16"/>
        </w:rPr>
        <w:t>162.</w:t>
      </w:r>
      <w:r w:rsidRPr="009E0C89">
        <w:rPr>
          <w:rFonts w:asciiTheme="majorHAnsi" w:hAnsiTheme="majorHAnsi"/>
          <w:sz w:val="16"/>
          <w:szCs w:val="16"/>
        </w:rPr>
        <w:t xml:space="preserve"> </w:t>
      </w:r>
      <w:r w:rsidRPr="009E0C89">
        <w:rPr>
          <w:rFonts w:asciiTheme="majorHAnsi" w:hAnsiTheme="majorHAnsi"/>
          <w:sz w:val="16"/>
          <w:szCs w:val="16"/>
        </w:rPr>
        <w:tab/>
      </w:r>
    </w:p>
  </w:footnote>
  <w:footnote w:id="144">
    <w:p w14:paraId="3489C39F" w14:textId="22EDEE0B" w:rsidR="00C45C34" w:rsidRPr="009E0C89" w:rsidRDefault="00C45C34" w:rsidP="00131FA4">
      <w:pPr>
        <w:pStyle w:val="FootnoteText"/>
        <w:tabs>
          <w:tab w:val="left" w:pos="567"/>
        </w:tabs>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9E0C89">
        <w:rPr>
          <w:rFonts w:asciiTheme="majorHAnsi" w:hAnsiTheme="majorHAnsi"/>
          <w:sz w:val="16"/>
          <w:szCs w:val="16"/>
        </w:rPr>
        <w:t xml:space="preserve"> </w:t>
      </w:r>
      <w:r w:rsidRPr="00326F31">
        <w:rPr>
          <w:rFonts w:asciiTheme="majorHAnsi" w:hAnsiTheme="majorHAnsi"/>
          <w:sz w:val="16"/>
          <w:szCs w:val="16"/>
        </w:rPr>
        <w:t xml:space="preserve">I/A Court H. R., Case of </w:t>
      </w:r>
      <w:proofErr w:type="spellStart"/>
      <w:r w:rsidRPr="00326F31">
        <w:rPr>
          <w:rFonts w:asciiTheme="majorHAnsi" w:hAnsiTheme="majorHAnsi"/>
          <w:sz w:val="16"/>
          <w:szCs w:val="16"/>
        </w:rPr>
        <w:t>Granier</w:t>
      </w:r>
      <w:proofErr w:type="spellEnd"/>
      <w:r w:rsidRPr="00326F31">
        <w:rPr>
          <w:rFonts w:asciiTheme="majorHAnsi" w:hAnsiTheme="majorHAnsi"/>
          <w:sz w:val="16"/>
          <w:szCs w:val="16"/>
        </w:rPr>
        <w:t xml:space="preserve"> et al. </w:t>
      </w:r>
      <w:r w:rsidRPr="009E0C89">
        <w:rPr>
          <w:rFonts w:asciiTheme="majorHAnsi" w:hAnsiTheme="majorHAnsi"/>
          <w:sz w:val="16"/>
          <w:szCs w:val="16"/>
        </w:rPr>
        <w:t xml:space="preserve">(Radio Caracas Television) v. Venezuela. </w:t>
      </w:r>
      <w:proofErr w:type="gramStart"/>
      <w:r w:rsidRPr="00326F31">
        <w:rPr>
          <w:rFonts w:asciiTheme="majorHAnsi" w:hAnsiTheme="majorHAnsi"/>
          <w:sz w:val="16"/>
          <w:szCs w:val="16"/>
        </w:rPr>
        <w:t>Preliminary Objections, Merits, Reparations and Costs.</w:t>
      </w:r>
      <w:proofErr w:type="gramEnd"/>
      <w:r w:rsidRPr="00326F31">
        <w:rPr>
          <w:rFonts w:asciiTheme="majorHAnsi" w:hAnsiTheme="majorHAnsi"/>
          <w:sz w:val="16"/>
          <w:szCs w:val="16"/>
        </w:rPr>
        <w:t xml:space="preserve"> Judgment of June 22, 2015. Series C No. 293, para. </w:t>
      </w:r>
      <w:r>
        <w:rPr>
          <w:rFonts w:asciiTheme="majorHAnsi" w:hAnsiTheme="majorHAnsi"/>
          <w:sz w:val="16"/>
          <w:szCs w:val="16"/>
        </w:rPr>
        <w:t>163.</w:t>
      </w:r>
    </w:p>
  </w:footnote>
  <w:footnote w:id="145">
    <w:p w14:paraId="77040ECB" w14:textId="09290187" w:rsidR="00C45C34" w:rsidRPr="00C9052E" w:rsidRDefault="00C45C34" w:rsidP="00131FA4">
      <w:pPr>
        <w:pStyle w:val="FootnoteText"/>
        <w:tabs>
          <w:tab w:val="left" w:pos="567"/>
        </w:tabs>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9E0C89">
        <w:rPr>
          <w:rFonts w:asciiTheme="majorHAnsi" w:hAnsiTheme="majorHAnsi"/>
          <w:sz w:val="16"/>
          <w:szCs w:val="16"/>
        </w:rPr>
        <w:t xml:space="preserve"> </w:t>
      </w:r>
      <w:r w:rsidRPr="00326F31">
        <w:rPr>
          <w:rFonts w:asciiTheme="majorHAnsi" w:hAnsiTheme="majorHAnsi"/>
          <w:sz w:val="16"/>
          <w:szCs w:val="16"/>
        </w:rPr>
        <w:t xml:space="preserve">I/A Court H. R., Case of </w:t>
      </w:r>
      <w:proofErr w:type="spellStart"/>
      <w:r w:rsidRPr="00326F31">
        <w:rPr>
          <w:rFonts w:asciiTheme="majorHAnsi" w:hAnsiTheme="majorHAnsi"/>
          <w:sz w:val="16"/>
          <w:szCs w:val="16"/>
        </w:rPr>
        <w:t>Granier</w:t>
      </w:r>
      <w:proofErr w:type="spellEnd"/>
      <w:r w:rsidRPr="00326F31">
        <w:rPr>
          <w:rFonts w:asciiTheme="majorHAnsi" w:hAnsiTheme="majorHAnsi"/>
          <w:sz w:val="16"/>
          <w:szCs w:val="16"/>
        </w:rPr>
        <w:t xml:space="preserve"> et al. </w:t>
      </w:r>
      <w:r w:rsidRPr="009E0C89">
        <w:rPr>
          <w:rFonts w:asciiTheme="majorHAnsi" w:hAnsiTheme="majorHAnsi"/>
          <w:sz w:val="16"/>
          <w:szCs w:val="16"/>
        </w:rPr>
        <w:t xml:space="preserve">(Radio Caracas Television) v. Venezuela. </w:t>
      </w:r>
      <w:proofErr w:type="gramStart"/>
      <w:r w:rsidRPr="00326F31">
        <w:rPr>
          <w:rFonts w:asciiTheme="majorHAnsi" w:hAnsiTheme="majorHAnsi"/>
          <w:sz w:val="16"/>
          <w:szCs w:val="16"/>
        </w:rPr>
        <w:t>Preliminary Objections, Merits, Reparations and Costs.</w:t>
      </w:r>
      <w:proofErr w:type="gramEnd"/>
      <w:r w:rsidRPr="00326F31">
        <w:rPr>
          <w:rFonts w:asciiTheme="majorHAnsi" w:hAnsiTheme="majorHAnsi"/>
          <w:sz w:val="16"/>
          <w:szCs w:val="16"/>
        </w:rPr>
        <w:t xml:space="preserve"> Judgment of June 22, 2015. Series C No. 293, para. </w:t>
      </w:r>
      <w:r w:rsidRPr="009E0C89">
        <w:rPr>
          <w:rFonts w:asciiTheme="majorHAnsi" w:hAnsiTheme="majorHAnsi"/>
          <w:sz w:val="16"/>
          <w:szCs w:val="16"/>
        </w:rPr>
        <w:t xml:space="preserve">140. </w:t>
      </w:r>
      <w:r>
        <w:rPr>
          <w:rFonts w:asciiTheme="majorHAnsi" w:hAnsiTheme="majorHAnsi"/>
          <w:sz w:val="16"/>
          <w:szCs w:val="16"/>
        </w:rPr>
        <w:t xml:space="preserve">Quoting </w:t>
      </w:r>
      <w:proofErr w:type="spellStart"/>
      <w:r w:rsidRPr="009E0C89">
        <w:rPr>
          <w:rFonts w:asciiTheme="majorHAnsi" w:hAnsiTheme="majorHAnsi"/>
          <w:i/>
          <w:sz w:val="16"/>
          <w:szCs w:val="16"/>
        </w:rPr>
        <w:t>Cfr</w:t>
      </w:r>
      <w:proofErr w:type="spellEnd"/>
      <w:r w:rsidRPr="009E0C89">
        <w:rPr>
          <w:rFonts w:asciiTheme="majorHAnsi" w:hAnsiTheme="majorHAnsi"/>
          <w:i/>
          <w:sz w:val="16"/>
          <w:szCs w:val="16"/>
        </w:rPr>
        <w:t>. Case of Ríos et al. v. Venezuela</w:t>
      </w:r>
      <w:r w:rsidRPr="009E0C89">
        <w:rPr>
          <w:rFonts w:asciiTheme="majorHAnsi" w:hAnsiTheme="majorHAnsi"/>
          <w:sz w:val="16"/>
          <w:szCs w:val="16"/>
        </w:rPr>
        <w:t xml:space="preserve">, para. </w:t>
      </w:r>
      <w:proofErr w:type="gramStart"/>
      <w:r w:rsidRPr="00C9052E">
        <w:rPr>
          <w:rFonts w:asciiTheme="majorHAnsi" w:hAnsiTheme="majorHAnsi"/>
          <w:sz w:val="16"/>
          <w:szCs w:val="16"/>
        </w:rPr>
        <w:t>340,</w:t>
      </w:r>
      <w:proofErr w:type="gramEnd"/>
      <w:r w:rsidRPr="00C9052E">
        <w:rPr>
          <w:rFonts w:asciiTheme="majorHAnsi" w:hAnsiTheme="majorHAnsi"/>
          <w:sz w:val="16"/>
          <w:szCs w:val="16"/>
        </w:rPr>
        <w:t xml:space="preserve"> and </w:t>
      </w:r>
      <w:r w:rsidRPr="00C9052E">
        <w:rPr>
          <w:rFonts w:asciiTheme="majorHAnsi" w:hAnsiTheme="majorHAnsi"/>
          <w:i/>
          <w:sz w:val="16"/>
          <w:szCs w:val="16"/>
        </w:rPr>
        <w:t xml:space="preserve">Case of </w:t>
      </w:r>
      <w:proofErr w:type="spellStart"/>
      <w:r w:rsidRPr="00C9052E">
        <w:rPr>
          <w:rFonts w:asciiTheme="majorHAnsi" w:hAnsiTheme="majorHAnsi"/>
          <w:i/>
          <w:sz w:val="16"/>
          <w:szCs w:val="16"/>
        </w:rPr>
        <w:t>Perozo</w:t>
      </w:r>
      <w:proofErr w:type="spellEnd"/>
      <w:r w:rsidRPr="00C9052E">
        <w:rPr>
          <w:rFonts w:asciiTheme="majorHAnsi" w:hAnsiTheme="majorHAnsi"/>
          <w:i/>
          <w:sz w:val="16"/>
          <w:szCs w:val="16"/>
        </w:rPr>
        <w:t xml:space="preserve"> et al. v. Venezuela</w:t>
      </w:r>
      <w:r w:rsidRPr="00C9052E">
        <w:rPr>
          <w:rFonts w:asciiTheme="majorHAnsi" w:hAnsiTheme="majorHAnsi"/>
          <w:sz w:val="16"/>
          <w:szCs w:val="16"/>
        </w:rPr>
        <w:t>, para. 367.</w:t>
      </w:r>
    </w:p>
  </w:footnote>
  <w:footnote w:id="146">
    <w:p w14:paraId="673F03B2" w14:textId="77777777"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w:t>
      </w:r>
      <w:proofErr w:type="gramStart"/>
      <w:r w:rsidRPr="00326F31">
        <w:rPr>
          <w:rFonts w:asciiTheme="majorHAnsi" w:hAnsiTheme="majorHAnsi"/>
          <w:sz w:val="16"/>
          <w:szCs w:val="16"/>
        </w:rPr>
        <w:t>I/A Court H.R., Juridical Condition and Rights of the Undocumented Migrants.</w:t>
      </w:r>
      <w:proofErr w:type="gramEnd"/>
      <w:r w:rsidRPr="00326F31">
        <w:rPr>
          <w:rFonts w:asciiTheme="majorHAnsi" w:hAnsiTheme="majorHAnsi"/>
          <w:sz w:val="16"/>
          <w:szCs w:val="16"/>
        </w:rPr>
        <w:t xml:space="preserve"> Advisory Opinion OC-18/03 of September 17, 2003. Series </w:t>
      </w:r>
      <w:proofErr w:type="gramStart"/>
      <w:r w:rsidRPr="00326F31">
        <w:rPr>
          <w:rFonts w:asciiTheme="majorHAnsi" w:hAnsiTheme="majorHAnsi"/>
          <w:sz w:val="16"/>
          <w:szCs w:val="16"/>
        </w:rPr>
        <w:t>A</w:t>
      </w:r>
      <w:proofErr w:type="gramEnd"/>
      <w:r w:rsidRPr="00326F31">
        <w:rPr>
          <w:rFonts w:asciiTheme="majorHAnsi" w:hAnsiTheme="majorHAnsi"/>
          <w:sz w:val="16"/>
          <w:szCs w:val="16"/>
        </w:rPr>
        <w:t xml:space="preserve"> No.18, para. </w:t>
      </w:r>
      <w:proofErr w:type="gramStart"/>
      <w:r w:rsidRPr="00326F31">
        <w:rPr>
          <w:rFonts w:asciiTheme="majorHAnsi" w:hAnsiTheme="majorHAnsi"/>
          <w:sz w:val="16"/>
          <w:szCs w:val="16"/>
        </w:rPr>
        <w:t>173 (5).</w:t>
      </w:r>
      <w:proofErr w:type="gramEnd"/>
    </w:p>
  </w:footnote>
  <w:footnote w:id="147">
    <w:p w14:paraId="07D5C9CD" w14:textId="0523F419" w:rsidR="00C45C34" w:rsidRPr="00C9052E" w:rsidRDefault="00C45C34" w:rsidP="00131FA4">
      <w:pPr>
        <w:pStyle w:val="FootnoteText"/>
        <w:tabs>
          <w:tab w:val="left" w:pos="567"/>
        </w:tabs>
        <w:spacing w:after="120"/>
        <w:ind w:firstLine="720"/>
        <w:jc w:val="both"/>
        <w:rPr>
          <w:rFonts w:asciiTheme="majorHAnsi" w:hAnsiTheme="majorHAnsi" w:cs="Arial"/>
          <w:b/>
          <w:i/>
          <w:iCs/>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w:t>
      </w:r>
      <w:proofErr w:type="spellStart"/>
      <w:proofErr w:type="gramStart"/>
      <w:r w:rsidRPr="00326F31">
        <w:rPr>
          <w:rFonts w:asciiTheme="majorHAnsi" w:hAnsiTheme="majorHAnsi"/>
          <w:i/>
          <w:sz w:val="16"/>
          <w:szCs w:val="16"/>
        </w:rPr>
        <w:t>Cfr</w:t>
      </w:r>
      <w:proofErr w:type="spellEnd"/>
      <w:r w:rsidRPr="00326F31">
        <w:rPr>
          <w:rFonts w:asciiTheme="majorHAnsi" w:hAnsiTheme="majorHAnsi"/>
          <w:i/>
          <w:sz w:val="16"/>
          <w:szCs w:val="16"/>
        </w:rPr>
        <w:t xml:space="preserve">. </w:t>
      </w:r>
      <w:r w:rsidRPr="00326F31">
        <w:rPr>
          <w:rFonts w:asciiTheme="majorHAnsi" w:hAnsiTheme="majorHAnsi" w:cs="Arial"/>
          <w:i/>
          <w:iCs/>
          <w:sz w:val="16"/>
          <w:szCs w:val="16"/>
        </w:rPr>
        <w:t>Juridical Condition and Rights of the Undocumented Migrants</w:t>
      </w:r>
      <w:r w:rsidRPr="00326F31">
        <w:rPr>
          <w:rFonts w:asciiTheme="majorHAnsi" w:hAnsiTheme="majorHAnsi" w:cs="Arial"/>
          <w:sz w:val="16"/>
          <w:szCs w:val="16"/>
        </w:rPr>
        <w:t>,</w:t>
      </w:r>
      <w:r w:rsidRPr="00326F31">
        <w:rPr>
          <w:rFonts w:asciiTheme="majorHAnsi" w:hAnsiTheme="majorHAnsi" w:cs="Arial"/>
          <w:i/>
          <w:iCs/>
          <w:sz w:val="16"/>
          <w:szCs w:val="16"/>
        </w:rPr>
        <w:t xml:space="preserve"> </w:t>
      </w:r>
      <w:r w:rsidRPr="00326F31">
        <w:rPr>
          <w:rFonts w:asciiTheme="majorHAnsi" w:hAnsiTheme="majorHAnsi" w:cs="Arial"/>
          <w:sz w:val="16"/>
          <w:szCs w:val="16"/>
        </w:rPr>
        <w:t>para.</w:t>
      </w:r>
      <w:proofErr w:type="gramEnd"/>
      <w:r w:rsidRPr="00326F31">
        <w:rPr>
          <w:rFonts w:asciiTheme="majorHAnsi" w:hAnsiTheme="majorHAnsi" w:cs="Arial"/>
          <w:sz w:val="16"/>
          <w:szCs w:val="16"/>
        </w:rPr>
        <w:t xml:space="preserve"> </w:t>
      </w:r>
      <w:proofErr w:type="gramStart"/>
      <w:r w:rsidRPr="00326F31">
        <w:rPr>
          <w:rFonts w:asciiTheme="majorHAnsi" w:hAnsiTheme="majorHAnsi" w:cs="Arial"/>
          <w:sz w:val="16"/>
          <w:szCs w:val="16"/>
        </w:rPr>
        <w:t>101,</w:t>
      </w:r>
      <w:proofErr w:type="gramEnd"/>
      <w:r w:rsidRPr="00326F31">
        <w:rPr>
          <w:rFonts w:asciiTheme="majorHAnsi" w:hAnsiTheme="majorHAnsi" w:cs="Arial"/>
          <w:sz w:val="16"/>
          <w:szCs w:val="16"/>
        </w:rPr>
        <w:t xml:space="preserve"> and</w:t>
      </w:r>
      <w:r w:rsidRPr="00326F31">
        <w:rPr>
          <w:rStyle w:val="Strong"/>
          <w:rFonts w:asciiTheme="majorHAnsi" w:hAnsiTheme="majorHAnsi"/>
          <w:i/>
          <w:sz w:val="16"/>
          <w:szCs w:val="16"/>
          <w:shd w:val="clear" w:color="auto" w:fill="FFFFFF"/>
        </w:rPr>
        <w:t xml:space="preserve"> </w:t>
      </w:r>
      <w:r w:rsidRPr="00326F31">
        <w:rPr>
          <w:rStyle w:val="Strong"/>
          <w:rFonts w:asciiTheme="majorHAnsi" w:hAnsiTheme="majorHAnsi"/>
          <w:b w:val="0"/>
          <w:i/>
          <w:sz w:val="16"/>
          <w:szCs w:val="16"/>
          <w:shd w:val="clear" w:color="auto" w:fill="FFFFFF"/>
        </w:rPr>
        <w:t xml:space="preserve">Case of Espinoza </w:t>
      </w:r>
      <w:proofErr w:type="spellStart"/>
      <w:r w:rsidRPr="00326F31">
        <w:rPr>
          <w:rStyle w:val="Strong"/>
          <w:rFonts w:asciiTheme="majorHAnsi" w:hAnsiTheme="majorHAnsi"/>
          <w:b w:val="0"/>
          <w:i/>
          <w:sz w:val="16"/>
          <w:szCs w:val="16"/>
          <w:shd w:val="clear" w:color="auto" w:fill="FFFFFF"/>
        </w:rPr>
        <w:t>Gonzáles</w:t>
      </w:r>
      <w:proofErr w:type="spellEnd"/>
      <w:r w:rsidRPr="00326F31">
        <w:rPr>
          <w:rStyle w:val="Strong"/>
          <w:rFonts w:asciiTheme="majorHAnsi" w:hAnsiTheme="majorHAnsi"/>
          <w:b w:val="0"/>
          <w:i/>
          <w:sz w:val="16"/>
          <w:szCs w:val="16"/>
          <w:shd w:val="clear" w:color="auto" w:fill="FFFFFF"/>
        </w:rPr>
        <w:t xml:space="preserve"> v. Peru. Preliminary Objection</w:t>
      </w:r>
      <w:r w:rsidRPr="00326F31">
        <w:rPr>
          <w:rStyle w:val="Strong"/>
          <w:rFonts w:asciiTheme="majorHAnsi" w:hAnsiTheme="majorHAnsi"/>
          <w:b w:val="0"/>
          <w:sz w:val="16"/>
          <w:szCs w:val="16"/>
          <w:shd w:val="clear" w:color="auto" w:fill="FFFFFF"/>
        </w:rPr>
        <w:t xml:space="preserve">, para. </w:t>
      </w:r>
      <w:r w:rsidRPr="00C9052E">
        <w:rPr>
          <w:rStyle w:val="Strong"/>
          <w:rFonts w:asciiTheme="majorHAnsi" w:hAnsiTheme="majorHAnsi"/>
          <w:b w:val="0"/>
          <w:sz w:val="16"/>
          <w:szCs w:val="16"/>
          <w:shd w:val="clear" w:color="auto" w:fill="FFFFFF"/>
        </w:rPr>
        <w:t>216.</w:t>
      </w:r>
    </w:p>
  </w:footnote>
  <w:footnote w:id="148">
    <w:p w14:paraId="7EF609A5" w14:textId="5F882633" w:rsidR="00C45C34" w:rsidRPr="00C9052E" w:rsidRDefault="00C45C34" w:rsidP="00131FA4">
      <w:pPr>
        <w:pStyle w:val="FootnoteText"/>
        <w:tabs>
          <w:tab w:val="left" w:pos="567"/>
        </w:tabs>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w:t>
      </w:r>
      <w:proofErr w:type="spellStart"/>
      <w:proofErr w:type="gramStart"/>
      <w:r w:rsidRPr="00326F31">
        <w:rPr>
          <w:rFonts w:asciiTheme="majorHAnsi" w:hAnsiTheme="majorHAnsi"/>
          <w:i/>
          <w:sz w:val="16"/>
          <w:szCs w:val="16"/>
        </w:rPr>
        <w:t>Cfr</w:t>
      </w:r>
      <w:proofErr w:type="spellEnd"/>
      <w:r w:rsidRPr="00326F31">
        <w:rPr>
          <w:rFonts w:asciiTheme="majorHAnsi" w:hAnsiTheme="majorHAnsi"/>
          <w:i/>
          <w:sz w:val="16"/>
          <w:szCs w:val="16"/>
        </w:rPr>
        <w:t>.</w:t>
      </w:r>
      <w:proofErr w:type="gramEnd"/>
      <w:r w:rsidRPr="00326F31">
        <w:rPr>
          <w:rFonts w:asciiTheme="majorHAnsi" w:hAnsiTheme="majorHAnsi"/>
          <w:i/>
          <w:sz w:val="16"/>
          <w:szCs w:val="16"/>
        </w:rPr>
        <w:t xml:space="preserve"> I/A Court H.R</w:t>
      </w:r>
      <w:proofErr w:type="gramStart"/>
      <w:r w:rsidRPr="00326F31">
        <w:rPr>
          <w:rFonts w:asciiTheme="majorHAnsi" w:hAnsiTheme="majorHAnsi"/>
          <w:i/>
          <w:sz w:val="16"/>
          <w:szCs w:val="16"/>
        </w:rPr>
        <w:t>.,</w:t>
      </w:r>
      <w:proofErr w:type="gramEnd"/>
      <w:r w:rsidRPr="00326F31">
        <w:rPr>
          <w:rFonts w:asciiTheme="majorHAnsi" w:hAnsiTheme="majorHAnsi"/>
          <w:i/>
          <w:sz w:val="16"/>
          <w:szCs w:val="16"/>
        </w:rPr>
        <w:t xml:space="preserve"> Proposed Amendments of the Naturalization Provisions of the Constitution of Costa Rica. </w:t>
      </w:r>
      <w:r w:rsidRPr="00C9052E">
        <w:rPr>
          <w:rFonts w:asciiTheme="majorHAnsi" w:hAnsiTheme="majorHAnsi"/>
          <w:i/>
          <w:sz w:val="16"/>
          <w:szCs w:val="16"/>
        </w:rPr>
        <w:t xml:space="preserve">Advisory Opinion OC-4/84 of January 19, 1984. Series </w:t>
      </w:r>
      <w:proofErr w:type="gramStart"/>
      <w:r w:rsidRPr="00C9052E">
        <w:rPr>
          <w:rFonts w:asciiTheme="majorHAnsi" w:hAnsiTheme="majorHAnsi"/>
          <w:i/>
          <w:sz w:val="16"/>
          <w:szCs w:val="16"/>
        </w:rPr>
        <w:t>A</w:t>
      </w:r>
      <w:proofErr w:type="gramEnd"/>
      <w:r w:rsidRPr="00C9052E">
        <w:rPr>
          <w:rFonts w:asciiTheme="majorHAnsi" w:hAnsiTheme="majorHAnsi"/>
          <w:i/>
          <w:sz w:val="16"/>
          <w:szCs w:val="16"/>
        </w:rPr>
        <w:t xml:space="preserve"> No. 4</w:t>
      </w:r>
      <w:r w:rsidRPr="00C9052E">
        <w:rPr>
          <w:rFonts w:asciiTheme="majorHAnsi" w:hAnsiTheme="majorHAnsi"/>
          <w:sz w:val="16"/>
          <w:szCs w:val="16"/>
        </w:rPr>
        <w:t xml:space="preserve">, para. </w:t>
      </w:r>
      <w:r w:rsidRPr="00326F31">
        <w:rPr>
          <w:rFonts w:asciiTheme="majorHAnsi" w:hAnsiTheme="majorHAnsi"/>
          <w:sz w:val="16"/>
          <w:szCs w:val="16"/>
        </w:rPr>
        <w:t xml:space="preserve">53, and </w:t>
      </w:r>
      <w:r w:rsidRPr="00326F31">
        <w:rPr>
          <w:rFonts w:asciiTheme="majorHAnsi" w:hAnsiTheme="majorHAnsi"/>
          <w:i/>
          <w:sz w:val="16"/>
          <w:szCs w:val="16"/>
        </w:rPr>
        <w:t xml:space="preserve">I/A Court H. R., Case of the Afro-descendant communities displaced from the </w:t>
      </w:r>
      <w:proofErr w:type="spellStart"/>
      <w:r w:rsidRPr="00326F31">
        <w:rPr>
          <w:rFonts w:asciiTheme="majorHAnsi" w:hAnsiTheme="majorHAnsi"/>
          <w:i/>
          <w:sz w:val="16"/>
          <w:szCs w:val="16"/>
        </w:rPr>
        <w:t>Cacarica</w:t>
      </w:r>
      <w:proofErr w:type="spellEnd"/>
      <w:r w:rsidRPr="00326F31">
        <w:rPr>
          <w:rFonts w:asciiTheme="majorHAnsi" w:hAnsiTheme="majorHAnsi"/>
          <w:i/>
          <w:sz w:val="16"/>
          <w:szCs w:val="16"/>
        </w:rPr>
        <w:t xml:space="preserve"> River Basin (Operation Genesis) v. Colombia. </w:t>
      </w:r>
      <w:proofErr w:type="gramStart"/>
      <w:r w:rsidRPr="00326F31">
        <w:rPr>
          <w:rFonts w:asciiTheme="majorHAnsi" w:hAnsiTheme="majorHAnsi"/>
          <w:i/>
          <w:sz w:val="16"/>
          <w:szCs w:val="16"/>
        </w:rPr>
        <w:t>Preliminary Objections, Merits, Reparations and Costs.</w:t>
      </w:r>
      <w:proofErr w:type="gramEnd"/>
      <w:r w:rsidRPr="00326F31">
        <w:rPr>
          <w:rFonts w:asciiTheme="majorHAnsi" w:hAnsiTheme="majorHAnsi"/>
          <w:i/>
          <w:sz w:val="16"/>
          <w:szCs w:val="16"/>
        </w:rPr>
        <w:t xml:space="preserve"> Judgment of November 20, 2013. Series C No. 270</w:t>
      </w:r>
      <w:r w:rsidRPr="00326F31">
        <w:rPr>
          <w:rFonts w:asciiTheme="majorHAnsi" w:hAnsiTheme="majorHAnsi"/>
          <w:sz w:val="16"/>
          <w:szCs w:val="16"/>
        </w:rPr>
        <w:t xml:space="preserve">, para. </w:t>
      </w:r>
      <w:r w:rsidRPr="00C9052E">
        <w:rPr>
          <w:rFonts w:asciiTheme="majorHAnsi" w:hAnsiTheme="majorHAnsi"/>
          <w:sz w:val="16"/>
          <w:szCs w:val="16"/>
        </w:rPr>
        <w:t xml:space="preserve">332. </w:t>
      </w:r>
    </w:p>
  </w:footnote>
  <w:footnote w:id="149">
    <w:p w14:paraId="2AC55C72" w14:textId="28124259" w:rsidR="00C45C34" w:rsidRPr="00326F31" w:rsidRDefault="00C45C34" w:rsidP="00131FA4">
      <w:pPr>
        <w:pStyle w:val="FootnoteText"/>
        <w:tabs>
          <w:tab w:val="left" w:pos="567"/>
        </w:tabs>
        <w:spacing w:after="120"/>
        <w:ind w:firstLine="720"/>
        <w:jc w:val="both"/>
        <w:rPr>
          <w:rFonts w:asciiTheme="majorHAnsi" w:hAnsiTheme="majorHAnsi" w:cs="Arial"/>
          <w:i/>
          <w:iCs/>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w:t>
      </w:r>
      <w:proofErr w:type="spellStart"/>
      <w:proofErr w:type="gramStart"/>
      <w:r w:rsidRPr="00326F31">
        <w:rPr>
          <w:rFonts w:asciiTheme="majorHAnsi" w:hAnsiTheme="majorHAnsi"/>
          <w:i/>
          <w:sz w:val="16"/>
          <w:szCs w:val="16"/>
        </w:rPr>
        <w:t>Cfr</w:t>
      </w:r>
      <w:proofErr w:type="spellEnd"/>
      <w:r w:rsidRPr="00326F31">
        <w:rPr>
          <w:rFonts w:asciiTheme="majorHAnsi" w:hAnsiTheme="majorHAnsi"/>
          <w:i/>
          <w:sz w:val="16"/>
          <w:szCs w:val="16"/>
        </w:rPr>
        <w:t xml:space="preserve">. </w:t>
      </w:r>
      <w:r w:rsidRPr="00326F31">
        <w:rPr>
          <w:rFonts w:asciiTheme="majorHAnsi" w:hAnsiTheme="majorHAnsi"/>
          <w:sz w:val="16"/>
          <w:szCs w:val="16"/>
        </w:rPr>
        <w:t>Juridical Condition and Rights of the Undocumented Migrants.</w:t>
      </w:r>
      <w:proofErr w:type="gramEnd"/>
      <w:r w:rsidRPr="00326F31">
        <w:rPr>
          <w:rFonts w:asciiTheme="majorHAnsi" w:hAnsiTheme="majorHAnsi"/>
          <w:sz w:val="16"/>
          <w:szCs w:val="16"/>
        </w:rPr>
        <w:t xml:space="preserve"> Advisory Opinion OC-18/03 of September 17, 2003. </w:t>
      </w:r>
      <w:r w:rsidRPr="00165F1E">
        <w:rPr>
          <w:rFonts w:asciiTheme="majorHAnsi" w:hAnsiTheme="majorHAnsi"/>
          <w:sz w:val="16"/>
          <w:szCs w:val="16"/>
        </w:rPr>
        <w:t xml:space="preserve">Series </w:t>
      </w:r>
      <w:proofErr w:type="gramStart"/>
      <w:r w:rsidRPr="00165F1E">
        <w:rPr>
          <w:rFonts w:asciiTheme="majorHAnsi" w:hAnsiTheme="majorHAnsi"/>
          <w:sz w:val="16"/>
          <w:szCs w:val="16"/>
        </w:rPr>
        <w:t>A</w:t>
      </w:r>
      <w:proofErr w:type="gramEnd"/>
      <w:r w:rsidRPr="00165F1E">
        <w:rPr>
          <w:rFonts w:asciiTheme="majorHAnsi" w:hAnsiTheme="majorHAnsi"/>
          <w:sz w:val="16"/>
          <w:szCs w:val="16"/>
        </w:rPr>
        <w:t xml:space="preserve"> No.18, para</w:t>
      </w:r>
      <w:r w:rsidRPr="00165F1E">
        <w:rPr>
          <w:rFonts w:asciiTheme="majorHAnsi" w:hAnsiTheme="majorHAnsi" w:cs="Arial"/>
          <w:sz w:val="16"/>
          <w:szCs w:val="16"/>
        </w:rPr>
        <w:t xml:space="preserve">. </w:t>
      </w:r>
      <w:proofErr w:type="gramStart"/>
      <w:r w:rsidRPr="00165F1E">
        <w:rPr>
          <w:rFonts w:asciiTheme="majorHAnsi" w:hAnsiTheme="majorHAnsi" w:cs="Arial"/>
          <w:sz w:val="16"/>
          <w:szCs w:val="16"/>
        </w:rPr>
        <w:t>85,</w:t>
      </w:r>
      <w:proofErr w:type="gramEnd"/>
      <w:r w:rsidRPr="00165F1E">
        <w:rPr>
          <w:rFonts w:asciiTheme="majorHAnsi" w:hAnsiTheme="majorHAnsi" w:cs="Arial"/>
          <w:sz w:val="16"/>
          <w:szCs w:val="16"/>
        </w:rPr>
        <w:t xml:space="preserve"> and</w:t>
      </w:r>
      <w:r w:rsidRPr="00165F1E">
        <w:rPr>
          <w:rStyle w:val="Strong"/>
          <w:rFonts w:asciiTheme="majorHAnsi" w:hAnsiTheme="majorHAnsi"/>
          <w:i/>
          <w:sz w:val="16"/>
          <w:szCs w:val="16"/>
          <w:shd w:val="clear" w:color="auto" w:fill="FFFFFF"/>
        </w:rPr>
        <w:t xml:space="preserve"> </w:t>
      </w:r>
      <w:r w:rsidRPr="00165F1E">
        <w:rPr>
          <w:rStyle w:val="Strong"/>
          <w:rFonts w:asciiTheme="majorHAnsi" w:hAnsiTheme="majorHAnsi"/>
          <w:b w:val="0"/>
          <w:i/>
          <w:sz w:val="16"/>
          <w:szCs w:val="16"/>
          <w:shd w:val="clear" w:color="auto" w:fill="FFFFFF"/>
        </w:rPr>
        <w:t xml:space="preserve">Case of Espinoza </w:t>
      </w:r>
      <w:proofErr w:type="spellStart"/>
      <w:r w:rsidRPr="00165F1E">
        <w:rPr>
          <w:rStyle w:val="Strong"/>
          <w:rFonts w:asciiTheme="majorHAnsi" w:hAnsiTheme="majorHAnsi"/>
          <w:b w:val="0"/>
          <w:i/>
          <w:sz w:val="16"/>
          <w:szCs w:val="16"/>
          <w:shd w:val="clear" w:color="auto" w:fill="FFFFFF"/>
        </w:rPr>
        <w:t>Gonzáles</w:t>
      </w:r>
      <w:proofErr w:type="spellEnd"/>
      <w:r w:rsidRPr="00165F1E">
        <w:rPr>
          <w:rStyle w:val="Strong"/>
          <w:rFonts w:asciiTheme="majorHAnsi" w:hAnsiTheme="majorHAnsi"/>
          <w:b w:val="0"/>
          <w:i/>
          <w:sz w:val="16"/>
          <w:szCs w:val="16"/>
          <w:shd w:val="clear" w:color="auto" w:fill="FFFFFF"/>
        </w:rPr>
        <w:t xml:space="preserve"> v. Peru, </w:t>
      </w:r>
      <w:r w:rsidRPr="00165F1E">
        <w:rPr>
          <w:rStyle w:val="Strong"/>
          <w:rFonts w:asciiTheme="majorHAnsi" w:hAnsiTheme="majorHAnsi"/>
          <w:b w:val="0"/>
          <w:sz w:val="16"/>
          <w:szCs w:val="16"/>
          <w:shd w:val="clear" w:color="auto" w:fill="FFFFFF"/>
        </w:rPr>
        <w:t xml:space="preserve">para. </w:t>
      </w:r>
      <w:r w:rsidRPr="00326F31">
        <w:rPr>
          <w:rStyle w:val="Strong"/>
          <w:rFonts w:asciiTheme="majorHAnsi" w:hAnsiTheme="majorHAnsi"/>
          <w:b w:val="0"/>
          <w:sz w:val="16"/>
          <w:szCs w:val="16"/>
          <w:shd w:val="clear" w:color="auto" w:fill="FFFFFF"/>
        </w:rPr>
        <w:t>218.</w:t>
      </w:r>
    </w:p>
  </w:footnote>
  <w:footnote w:id="150">
    <w:p w14:paraId="7DAEED0A" w14:textId="52D3F2B1" w:rsidR="00C45C34" w:rsidRPr="00165F1E" w:rsidRDefault="00C45C34" w:rsidP="00131FA4">
      <w:pPr>
        <w:pStyle w:val="FootnoteText"/>
        <w:tabs>
          <w:tab w:val="left" w:pos="567"/>
        </w:tabs>
        <w:spacing w:after="120"/>
        <w:ind w:firstLine="720"/>
        <w:jc w:val="both"/>
        <w:rPr>
          <w:rFonts w:asciiTheme="majorHAnsi" w:hAnsiTheme="majorHAnsi"/>
          <w:sz w:val="16"/>
          <w:szCs w:val="16"/>
          <w:lang w:val="es-VE"/>
        </w:rPr>
      </w:pPr>
      <w:r w:rsidRPr="00326F31">
        <w:rPr>
          <w:rStyle w:val="FootnoteReference"/>
          <w:rFonts w:asciiTheme="majorHAnsi" w:hAnsiTheme="majorHAnsi"/>
          <w:sz w:val="16"/>
          <w:szCs w:val="16"/>
        </w:rPr>
        <w:footnoteRef/>
      </w:r>
      <w:r>
        <w:rPr>
          <w:rFonts w:asciiTheme="majorHAnsi" w:hAnsiTheme="majorHAnsi"/>
          <w:sz w:val="16"/>
          <w:szCs w:val="16"/>
        </w:rPr>
        <w:t xml:space="preserve"> </w:t>
      </w:r>
      <w:proofErr w:type="spellStart"/>
      <w:proofErr w:type="gramStart"/>
      <w:r w:rsidRPr="00326F31">
        <w:rPr>
          <w:rFonts w:asciiTheme="majorHAnsi" w:hAnsiTheme="majorHAnsi"/>
          <w:i/>
          <w:sz w:val="16"/>
          <w:szCs w:val="16"/>
        </w:rPr>
        <w:t>Cfr</w:t>
      </w:r>
      <w:proofErr w:type="spellEnd"/>
      <w:r w:rsidRPr="00326F31">
        <w:rPr>
          <w:rFonts w:asciiTheme="majorHAnsi" w:hAnsiTheme="majorHAnsi"/>
          <w:i/>
          <w:sz w:val="16"/>
          <w:szCs w:val="16"/>
        </w:rPr>
        <w:t xml:space="preserve">. </w:t>
      </w:r>
      <w:r w:rsidRPr="00326F31">
        <w:rPr>
          <w:rFonts w:asciiTheme="majorHAnsi" w:hAnsiTheme="majorHAnsi" w:cs="Arial"/>
          <w:i/>
          <w:iCs/>
          <w:sz w:val="16"/>
          <w:szCs w:val="16"/>
        </w:rPr>
        <w:t>Juridical Condition and Rights of the Undocumented Migrants</w:t>
      </w:r>
      <w:r w:rsidRPr="00326F31">
        <w:rPr>
          <w:rFonts w:asciiTheme="majorHAnsi" w:hAnsiTheme="majorHAnsi" w:cs="Arial"/>
          <w:sz w:val="16"/>
          <w:szCs w:val="16"/>
        </w:rPr>
        <w:t>,</w:t>
      </w:r>
      <w:r w:rsidRPr="00326F31">
        <w:rPr>
          <w:rFonts w:asciiTheme="majorHAnsi" w:hAnsiTheme="majorHAnsi" w:cs="Arial"/>
          <w:i/>
          <w:iCs/>
          <w:sz w:val="16"/>
          <w:szCs w:val="16"/>
        </w:rPr>
        <w:t xml:space="preserve"> </w:t>
      </w:r>
      <w:r w:rsidRPr="00326F31">
        <w:rPr>
          <w:rFonts w:asciiTheme="majorHAnsi" w:hAnsiTheme="majorHAnsi" w:cs="Arial"/>
          <w:sz w:val="16"/>
          <w:szCs w:val="16"/>
        </w:rPr>
        <w:t>para.</w:t>
      </w:r>
      <w:proofErr w:type="gramEnd"/>
      <w:r w:rsidRPr="00326F31">
        <w:rPr>
          <w:rFonts w:asciiTheme="majorHAnsi" w:hAnsiTheme="majorHAnsi" w:cs="Arial"/>
          <w:sz w:val="16"/>
          <w:szCs w:val="16"/>
        </w:rPr>
        <w:t xml:space="preserve"> </w:t>
      </w:r>
      <w:r w:rsidRPr="00165F1E">
        <w:rPr>
          <w:rFonts w:asciiTheme="majorHAnsi" w:hAnsiTheme="majorHAnsi" w:cs="Arial"/>
          <w:sz w:val="16"/>
          <w:szCs w:val="16"/>
          <w:lang w:val="es-VE"/>
        </w:rPr>
        <w:t>53, and</w:t>
      </w:r>
      <w:r w:rsidRPr="00165F1E">
        <w:rPr>
          <w:rStyle w:val="Strong"/>
          <w:rFonts w:asciiTheme="majorHAnsi" w:hAnsiTheme="majorHAnsi"/>
          <w:i/>
          <w:sz w:val="16"/>
          <w:szCs w:val="16"/>
          <w:shd w:val="clear" w:color="auto" w:fill="FFFFFF"/>
          <w:lang w:val="es-VE"/>
        </w:rPr>
        <w:t xml:space="preserve"> </w:t>
      </w:r>
      <w:r w:rsidRPr="00165F1E">
        <w:rPr>
          <w:rStyle w:val="Strong"/>
          <w:rFonts w:asciiTheme="majorHAnsi" w:hAnsiTheme="majorHAnsi"/>
          <w:b w:val="0"/>
          <w:i/>
          <w:sz w:val="16"/>
          <w:szCs w:val="16"/>
          <w:shd w:val="clear" w:color="auto" w:fill="FFFFFF"/>
          <w:lang w:val="es-VE"/>
        </w:rPr>
        <w:t xml:space="preserve">Case of Espinoza Gonzáles v. </w:t>
      </w:r>
      <w:proofErr w:type="spellStart"/>
      <w:r w:rsidRPr="00165F1E">
        <w:rPr>
          <w:rStyle w:val="Strong"/>
          <w:rFonts w:asciiTheme="majorHAnsi" w:hAnsiTheme="majorHAnsi"/>
          <w:b w:val="0"/>
          <w:i/>
          <w:sz w:val="16"/>
          <w:szCs w:val="16"/>
          <w:shd w:val="clear" w:color="auto" w:fill="FFFFFF"/>
          <w:lang w:val="es-VE"/>
        </w:rPr>
        <w:t>Peru</w:t>
      </w:r>
      <w:proofErr w:type="spellEnd"/>
      <w:r w:rsidRPr="00165F1E">
        <w:rPr>
          <w:rStyle w:val="Strong"/>
          <w:rFonts w:asciiTheme="majorHAnsi" w:hAnsiTheme="majorHAnsi"/>
          <w:b w:val="0"/>
          <w:i/>
          <w:sz w:val="16"/>
          <w:szCs w:val="16"/>
          <w:shd w:val="clear" w:color="auto" w:fill="FFFFFF"/>
          <w:lang w:val="es-VE"/>
        </w:rPr>
        <w:t xml:space="preserve">, </w:t>
      </w:r>
      <w:r w:rsidRPr="00165F1E">
        <w:rPr>
          <w:rStyle w:val="Strong"/>
          <w:rFonts w:asciiTheme="majorHAnsi" w:hAnsiTheme="majorHAnsi"/>
          <w:b w:val="0"/>
          <w:sz w:val="16"/>
          <w:szCs w:val="16"/>
          <w:shd w:val="clear" w:color="auto" w:fill="FFFFFF"/>
          <w:lang w:val="es-VE"/>
        </w:rPr>
        <w:t>para. 218..</w:t>
      </w:r>
    </w:p>
  </w:footnote>
  <w:footnote w:id="151">
    <w:p w14:paraId="34C9177E" w14:textId="20C70EE7" w:rsidR="00C45C34" w:rsidRPr="00A2556A" w:rsidRDefault="00C45C34" w:rsidP="00835223">
      <w:pPr>
        <w:pStyle w:val="FootnoteText"/>
        <w:spacing w:after="120"/>
        <w:ind w:firstLine="720"/>
        <w:jc w:val="both"/>
        <w:rPr>
          <w:rFonts w:ascii="Cambria" w:hAnsi="Cambria"/>
          <w:sz w:val="16"/>
          <w:szCs w:val="16"/>
          <w:lang w:val="es-VE"/>
        </w:rPr>
      </w:pPr>
      <w:r w:rsidRPr="00A2556A">
        <w:rPr>
          <w:rStyle w:val="FootnoteReference"/>
          <w:rFonts w:ascii="Cambria" w:hAnsi="Cambria"/>
          <w:sz w:val="16"/>
          <w:szCs w:val="16"/>
        </w:rPr>
        <w:footnoteRef/>
      </w:r>
      <w:r>
        <w:rPr>
          <w:rFonts w:ascii="Cambria" w:hAnsi="Cambria"/>
          <w:sz w:val="16"/>
          <w:szCs w:val="16"/>
          <w:lang w:val="es-VE"/>
        </w:rPr>
        <w:t xml:space="preserve"> Anexo 17</w:t>
      </w:r>
      <w:r w:rsidRPr="00A2556A">
        <w:rPr>
          <w:rFonts w:ascii="Cambria" w:hAnsi="Cambria"/>
          <w:sz w:val="16"/>
          <w:szCs w:val="16"/>
          <w:lang w:val="es-VE"/>
        </w:rPr>
        <w:t xml:space="preserve">.  Carta del Presidente del Consejo Nacional de Fronteras a Rocío San Miguel, comunicando la finalización de la relación laboral, el 12 de marzo de 2004, Anexo F al Escrito del Estado dentro del trámite de admisibilidad ante CIDH </w:t>
      </w:r>
      <w:r>
        <w:rPr>
          <w:rFonts w:ascii="Cambria" w:hAnsi="Cambria"/>
          <w:sz w:val="16"/>
          <w:szCs w:val="16"/>
          <w:lang w:val="es-VE"/>
        </w:rPr>
        <w:t>de 16 de enero de 2008; Anexo 18</w:t>
      </w:r>
      <w:r w:rsidRPr="00A2556A">
        <w:rPr>
          <w:rFonts w:ascii="Cambria" w:hAnsi="Cambria"/>
          <w:sz w:val="16"/>
          <w:szCs w:val="16"/>
          <w:lang w:val="es-VE"/>
        </w:rPr>
        <w:t xml:space="preserve">.  Carta del Presidente del Consejo Nacional de Fronteras a </w:t>
      </w:r>
      <w:proofErr w:type="spellStart"/>
      <w:r w:rsidRPr="00A2556A">
        <w:rPr>
          <w:rFonts w:ascii="Cambria" w:hAnsi="Cambria"/>
          <w:sz w:val="16"/>
          <w:szCs w:val="16"/>
          <w:lang w:val="es-VE"/>
        </w:rPr>
        <w:t>Magally</w:t>
      </w:r>
      <w:proofErr w:type="spellEnd"/>
      <w:r w:rsidRPr="00A2556A">
        <w:rPr>
          <w:rFonts w:ascii="Cambria" w:hAnsi="Cambria"/>
          <w:sz w:val="16"/>
          <w:szCs w:val="16"/>
          <w:lang w:val="es-VE"/>
        </w:rPr>
        <w:t xml:space="preserve"> Chang Girón, comunicando la finalización de la relación laboral, el 12 de marzo de 2004, Anexo F al Escrito del Estado dentro del trámite de admisibilidad ante CIDH </w:t>
      </w:r>
      <w:r>
        <w:rPr>
          <w:rFonts w:ascii="Cambria" w:hAnsi="Cambria"/>
          <w:sz w:val="16"/>
          <w:szCs w:val="16"/>
          <w:lang w:val="es-VE"/>
        </w:rPr>
        <w:t>de 16 de enero de 2008; Anexo 19</w:t>
      </w:r>
      <w:r w:rsidRPr="00A2556A">
        <w:rPr>
          <w:rFonts w:ascii="Cambria" w:hAnsi="Cambria"/>
          <w:sz w:val="16"/>
          <w:szCs w:val="16"/>
          <w:lang w:val="es-VE"/>
        </w:rPr>
        <w:t>.  Carta del Presidente del Consejo Nacional de Fronteras a Thais Coromoto Peña, comunicando la finalización de la relación laboral, el 12 de marzo de 2004, Anexo F al Escrito del Estado dentro del trámite de admisibilidad ante CIDH de 16 de enero de 2008. De conformidad con una comunicación del entonces Secretario Ejecutivo del Consejo Nacional de Fronteras, las presuntas víctimas prestaron sus servicios al Consejo Nacional de Fronteras hasta el 30</w:t>
      </w:r>
      <w:r>
        <w:rPr>
          <w:rFonts w:ascii="Cambria" w:hAnsi="Cambria"/>
          <w:sz w:val="16"/>
          <w:szCs w:val="16"/>
          <w:lang w:val="es-VE"/>
        </w:rPr>
        <w:t xml:space="preserve"> de abril de 2004.  Ver Anexo 20</w:t>
      </w:r>
      <w:r w:rsidRPr="00A2556A">
        <w:rPr>
          <w:rFonts w:ascii="Cambria" w:hAnsi="Cambria"/>
          <w:sz w:val="16"/>
          <w:szCs w:val="16"/>
          <w:lang w:val="es-VE"/>
        </w:rPr>
        <w:t xml:space="preserve">. Carta del Secretario Ejecutivo del Consejo Nacional de Fronteras al Fiscal 37 del Ministerio Público, 13 de julio de 2004, Anexo II de la denuncia presentada ante la CIDH el 7 de marzo de 2006. </w:t>
      </w:r>
      <w:r w:rsidRPr="00A2556A">
        <w:rPr>
          <w:rFonts w:ascii="Cambria" w:hAnsi="Cambria"/>
          <w:sz w:val="16"/>
          <w:szCs w:val="16"/>
          <w:lang w:val="es-VE"/>
        </w:rPr>
        <w:tab/>
      </w:r>
    </w:p>
  </w:footnote>
  <w:footnote w:id="152">
    <w:p w14:paraId="1F54E750" w14:textId="02F5586A"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52</w:t>
      </w:r>
      <w:r w:rsidRPr="00326F31">
        <w:rPr>
          <w:rFonts w:asciiTheme="majorHAnsi" w:hAnsiTheme="majorHAnsi"/>
          <w:sz w:val="16"/>
          <w:szCs w:val="16"/>
        </w:rPr>
        <w:t>. Judgment of the Third Superior Court for Labor Matters of the Labor Circuit Court of the Judicial District of the Metropolitan Area of Caracas, September 9, 2005, Annex I of the complaint filed before the IACHR on March 7, 2006.</w:t>
      </w:r>
    </w:p>
  </w:footnote>
  <w:footnote w:id="153">
    <w:p w14:paraId="30557898" w14:textId="45CFCBAE"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58.</w:t>
      </w:r>
      <w:r w:rsidRPr="00326F31">
        <w:rPr>
          <w:rFonts w:asciiTheme="majorHAnsi" w:hAnsiTheme="majorHAnsi"/>
          <w:sz w:val="16"/>
          <w:szCs w:val="16"/>
        </w:rPr>
        <w:t xml:space="preserve"> </w:t>
      </w:r>
      <w:proofErr w:type="gramStart"/>
      <w:r w:rsidRPr="00326F31">
        <w:rPr>
          <w:rFonts w:asciiTheme="majorHAnsi" w:hAnsiTheme="majorHAnsi"/>
          <w:sz w:val="16"/>
          <w:szCs w:val="16"/>
        </w:rPr>
        <w:t>Resolution dismissal of the case of Control Court 21 of the Criminal Judicial Circuit of the Metropolitan Area of Caracas, April 4, 2004.</w:t>
      </w:r>
      <w:proofErr w:type="gramEnd"/>
      <w:r>
        <w:rPr>
          <w:rFonts w:asciiTheme="majorHAnsi" w:hAnsiTheme="majorHAnsi"/>
          <w:sz w:val="16"/>
          <w:szCs w:val="16"/>
        </w:rPr>
        <w:t xml:space="preserve"> </w:t>
      </w:r>
      <w:r w:rsidRPr="00326F31">
        <w:rPr>
          <w:rFonts w:asciiTheme="majorHAnsi" w:hAnsiTheme="majorHAnsi"/>
          <w:sz w:val="16"/>
          <w:szCs w:val="16"/>
        </w:rPr>
        <w:t>Annex II of the complaint filed before the IACHR on March 7, 2006.</w:t>
      </w:r>
    </w:p>
  </w:footnote>
  <w:footnote w:id="154">
    <w:p w14:paraId="616BE1FC" w14:textId="1A3B22BC" w:rsidR="00C45C34" w:rsidRPr="00603ED8" w:rsidRDefault="00C45C34" w:rsidP="00131FA4">
      <w:pPr>
        <w:pStyle w:val="FootnoteText"/>
        <w:tabs>
          <w:tab w:val="left" w:pos="360"/>
        </w:tabs>
        <w:spacing w:after="120"/>
        <w:ind w:firstLine="720"/>
        <w:jc w:val="both"/>
        <w:rPr>
          <w:rFonts w:ascii="Cambria" w:hAnsi="Cambria"/>
          <w:sz w:val="16"/>
          <w:szCs w:val="16"/>
        </w:rPr>
      </w:pPr>
      <w:r w:rsidRPr="00A2556A">
        <w:rPr>
          <w:rStyle w:val="FootnoteReference"/>
          <w:rFonts w:ascii="Cambria" w:hAnsi="Cambria"/>
          <w:sz w:val="16"/>
          <w:szCs w:val="16"/>
        </w:rPr>
        <w:footnoteRef/>
      </w:r>
      <w:proofErr w:type="gramStart"/>
      <w:r w:rsidRPr="00326F31">
        <w:rPr>
          <w:rFonts w:asciiTheme="majorHAnsi" w:hAnsiTheme="majorHAnsi"/>
          <w:sz w:val="16"/>
          <w:szCs w:val="16"/>
        </w:rPr>
        <w:t>IACHR.</w:t>
      </w:r>
      <w:proofErr w:type="gramEnd"/>
      <w:r w:rsidRPr="00326F31">
        <w:rPr>
          <w:rFonts w:asciiTheme="majorHAnsi" w:hAnsiTheme="majorHAnsi"/>
          <w:sz w:val="16"/>
          <w:szCs w:val="16"/>
        </w:rPr>
        <w:t xml:space="preserve"> Application filed before the Inter-American Court of Human Rights, in the case of Ana María Ruggeri Cova, Perkins Rocha Contreras and Juan Carlos </w:t>
      </w:r>
      <w:proofErr w:type="spellStart"/>
      <w:r w:rsidRPr="00326F31">
        <w:rPr>
          <w:rFonts w:asciiTheme="majorHAnsi" w:hAnsiTheme="majorHAnsi"/>
          <w:sz w:val="16"/>
          <w:szCs w:val="16"/>
        </w:rPr>
        <w:t>Apitz</w:t>
      </w:r>
      <w:proofErr w:type="spellEnd"/>
      <w:r w:rsidRPr="00326F31">
        <w:rPr>
          <w:rFonts w:asciiTheme="majorHAnsi" w:hAnsiTheme="majorHAnsi"/>
          <w:sz w:val="16"/>
          <w:szCs w:val="16"/>
        </w:rPr>
        <w:t xml:space="preserve"> (“First Court of Administrative Disputes”) (Case 12.489) against the Bolivarian Republic of Venezuela, November 2, 2006, para. </w:t>
      </w:r>
      <w:r>
        <w:rPr>
          <w:rFonts w:asciiTheme="majorHAnsi" w:hAnsiTheme="majorHAnsi"/>
          <w:sz w:val="16"/>
          <w:szCs w:val="16"/>
        </w:rPr>
        <w:t>128.</w:t>
      </w:r>
    </w:p>
  </w:footnote>
  <w:footnote w:id="155">
    <w:p w14:paraId="054798DD" w14:textId="3926A2AA" w:rsidR="00C45C34" w:rsidRPr="00603ED8" w:rsidRDefault="00C45C34" w:rsidP="00131FA4">
      <w:pPr>
        <w:pStyle w:val="FootnoteText"/>
        <w:tabs>
          <w:tab w:val="left" w:pos="360"/>
        </w:tabs>
        <w:spacing w:after="120"/>
        <w:ind w:firstLine="720"/>
        <w:jc w:val="both"/>
        <w:rPr>
          <w:rFonts w:ascii="Cambria" w:hAnsi="Cambria"/>
          <w:sz w:val="16"/>
          <w:szCs w:val="16"/>
        </w:rPr>
      </w:pPr>
      <w:r w:rsidRPr="00A2556A">
        <w:rPr>
          <w:rStyle w:val="FootnoteReference"/>
          <w:rFonts w:ascii="Cambria" w:hAnsi="Cambria"/>
          <w:sz w:val="16"/>
          <w:szCs w:val="16"/>
        </w:rPr>
        <w:footnoteRef/>
      </w:r>
      <w:proofErr w:type="gramStart"/>
      <w:r w:rsidRPr="00326F31">
        <w:rPr>
          <w:rFonts w:asciiTheme="majorHAnsi" w:hAnsiTheme="majorHAnsi"/>
          <w:sz w:val="16"/>
          <w:szCs w:val="16"/>
        </w:rPr>
        <w:t>IACHR.</w:t>
      </w:r>
      <w:proofErr w:type="gramEnd"/>
      <w:r w:rsidRPr="00326F31">
        <w:rPr>
          <w:rFonts w:asciiTheme="majorHAnsi" w:hAnsiTheme="majorHAnsi"/>
          <w:sz w:val="16"/>
          <w:szCs w:val="16"/>
        </w:rPr>
        <w:t xml:space="preserve"> Application filed before the Inter-American Court of Human Rights, in the case of Ana María Ruggeri Cova, Perkins Rocha Contreras and Juan Carlos </w:t>
      </w:r>
      <w:proofErr w:type="spellStart"/>
      <w:r w:rsidRPr="00326F31">
        <w:rPr>
          <w:rFonts w:asciiTheme="majorHAnsi" w:hAnsiTheme="majorHAnsi"/>
          <w:sz w:val="16"/>
          <w:szCs w:val="16"/>
        </w:rPr>
        <w:t>Apitz</w:t>
      </w:r>
      <w:proofErr w:type="spellEnd"/>
      <w:r w:rsidRPr="00326F31">
        <w:rPr>
          <w:rFonts w:asciiTheme="majorHAnsi" w:hAnsiTheme="majorHAnsi"/>
          <w:sz w:val="16"/>
          <w:szCs w:val="16"/>
        </w:rPr>
        <w:t xml:space="preserve"> (“First Court of Administrative Disputes”) (Case 12.489) against the Bolivarian Republic of Venezuela, November 2, 2006, para. </w:t>
      </w:r>
      <w:r w:rsidRPr="00C9052E">
        <w:rPr>
          <w:rFonts w:asciiTheme="majorHAnsi" w:hAnsiTheme="majorHAnsi"/>
          <w:sz w:val="16"/>
          <w:szCs w:val="16"/>
        </w:rPr>
        <w:t>129</w:t>
      </w:r>
      <w:r w:rsidRPr="00603ED8">
        <w:rPr>
          <w:rFonts w:ascii="Cambria" w:hAnsi="Cambria"/>
          <w:sz w:val="16"/>
          <w:szCs w:val="16"/>
        </w:rPr>
        <w:t xml:space="preserve">.  </w:t>
      </w:r>
    </w:p>
  </w:footnote>
  <w:footnote w:id="156">
    <w:p w14:paraId="7A10A77C" w14:textId="5F87E253" w:rsidR="00C45C34" w:rsidRPr="00C9052E" w:rsidRDefault="00C45C34" w:rsidP="00131FA4">
      <w:pPr>
        <w:pStyle w:val="footnote"/>
        <w:spacing w:before="0" w:beforeAutospacing="0" w:after="120" w:afterAutospacing="0"/>
        <w:ind w:firstLine="720"/>
        <w:jc w:val="both"/>
        <w:rPr>
          <w:rFonts w:asciiTheme="majorHAnsi" w:hAnsiTheme="majorHAnsi"/>
          <w:sz w:val="16"/>
          <w:szCs w:val="16"/>
        </w:rPr>
      </w:pPr>
      <w:proofErr w:type="gramStart"/>
      <w:r w:rsidRPr="00326F31">
        <w:rPr>
          <w:rFonts w:asciiTheme="majorHAnsi" w:hAnsiTheme="majorHAnsi"/>
          <w:sz w:val="16"/>
          <w:szCs w:val="16"/>
        </w:rPr>
        <w:t>IACHR, The Inter-American Legal Framework Regarding the Right to Freedom of Expression OEA/</w:t>
      </w:r>
      <w:proofErr w:type="spellStart"/>
      <w:r w:rsidRPr="00326F31">
        <w:rPr>
          <w:rFonts w:asciiTheme="majorHAnsi" w:hAnsiTheme="majorHAnsi"/>
          <w:sz w:val="16"/>
          <w:szCs w:val="16"/>
        </w:rPr>
        <w:t>Ser.L</w:t>
      </w:r>
      <w:proofErr w:type="spellEnd"/>
      <w:r w:rsidRPr="00326F31">
        <w:rPr>
          <w:rFonts w:asciiTheme="majorHAnsi" w:hAnsiTheme="majorHAnsi"/>
          <w:sz w:val="16"/>
          <w:szCs w:val="16"/>
        </w:rPr>
        <w:t>/V/IICIDH/RELE/INF.2/09/, December, 30 2009, para.</w:t>
      </w:r>
      <w:proofErr w:type="gramEnd"/>
      <w:r w:rsidRPr="00326F31">
        <w:rPr>
          <w:rFonts w:asciiTheme="majorHAnsi" w:hAnsiTheme="majorHAnsi"/>
          <w:sz w:val="16"/>
          <w:szCs w:val="16"/>
        </w:rPr>
        <w:t xml:space="preserve"> </w:t>
      </w:r>
      <w:r w:rsidRPr="00C9052E">
        <w:rPr>
          <w:rFonts w:asciiTheme="majorHAnsi" w:hAnsiTheme="majorHAnsi"/>
          <w:sz w:val="16"/>
          <w:szCs w:val="16"/>
        </w:rPr>
        <w:t>203.</w:t>
      </w:r>
      <w:r>
        <w:rPr>
          <w:rFonts w:asciiTheme="majorHAnsi" w:hAnsiTheme="majorHAnsi"/>
          <w:sz w:val="16"/>
          <w:szCs w:val="16"/>
        </w:rPr>
        <w:t xml:space="preserve"> </w:t>
      </w:r>
    </w:p>
  </w:footnote>
  <w:footnote w:id="157">
    <w:p w14:paraId="0D8E3005" w14:textId="052E5284" w:rsidR="00C45C34" w:rsidRPr="00C9052E" w:rsidRDefault="00C45C34" w:rsidP="00131FA4">
      <w:pPr>
        <w:pStyle w:val="footnote"/>
        <w:spacing w:before="0" w:beforeAutospacing="0" w:after="120" w:afterAutospacing="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IACHR, 2013 </w:t>
      </w:r>
      <w:proofErr w:type="spellStart"/>
      <w:r w:rsidRPr="00326F31">
        <w:rPr>
          <w:rFonts w:asciiTheme="majorHAnsi" w:hAnsiTheme="majorHAnsi"/>
          <w:sz w:val="16"/>
          <w:szCs w:val="16"/>
        </w:rPr>
        <w:t>Anual</w:t>
      </w:r>
      <w:proofErr w:type="spellEnd"/>
      <w:r w:rsidRPr="00326F31">
        <w:rPr>
          <w:rFonts w:asciiTheme="majorHAnsi" w:hAnsiTheme="majorHAnsi"/>
          <w:sz w:val="16"/>
          <w:szCs w:val="16"/>
        </w:rPr>
        <w:t xml:space="preserve"> Report of the Inter-American Commission on Human Rights, Volume II, Annual Report of the Office of the Special Rapporteur for Freedom of Expression </w:t>
      </w:r>
      <w:proofErr w:type="spellStart"/>
      <w:r w:rsidRPr="00326F31">
        <w:rPr>
          <w:rFonts w:asciiTheme="majorHAnsi" w:hAnsiTheme="majorHAnsi"/>
          <w:sz w:val="16"/>
          <w:szCs w:val="16"/>
        </w:rPr>
        <w:t>oea</w:t>
      </w:r>
      <w:proofErr w:type="spellEnd"/>
      <w:r w:rsidRPr="00326F31">
        <w:rPr>
          <w:rFonts w:asciiTheme="majorHAnsi" w:hAnsiTheme="majorHAnsi"/>
          <w:sz w:val="16"/>
          <w:szCs w:val="16"/>
        </w:rPr>
        <w:t>/</w:t>
      </w:r>
      <w:proofErr w:type="spellStart"/>
      <w:r w:rsidRPr="00326F31">
        <w:rPr>
          <w:rFonts w:asciiTheme="majorHAnsi" w:hAnsiTheme="majorHAnsi"/>
          <w:sz w:val="16"/>
          <w:szCs w:val="16"/>
        </w:rPr>
        <w:t>ser.L</w:t>
      </w:r>
      <w:proofErr w:type="spellEnd"/>
      <w:r w:rsidRPr="00326F31">
        <w:rPr>
          <w:rFonts w:asciiTheme="majorHAnsi" w:hAnsiTheme="majorHAnsi"/>
          <w:sz w:val="16"/>
          <w:szCs w:val="16"/>
        </w:rPr>
        <w:t xml:space="preserve">/V.II/Doc.50, December 31, 2013, para. </w:t>
      </w:r>
      <w:r w:rsidRPr="00C9052E">
        <w:rPr>
          <w:rFonts w:asciiTheme="majorHAnsi" w:hAnsiTheme="majorHAnsi"/>
          <w:sz w:val="16"/>
          <w:szCs w:val="16"/>
        </w:rPr>
        <w:t>911.</w:t>
      </w:r>
    </w:p>
  </w:footnote>
  <w:footnote w:id="158">
    <w:p w14:paraId="29975FA8" w14:textId="5D203937" w:rsidR="00C45C34" w:rsidRPr="00C9052E" w:rsidRDefault="00C45C34" w:rsidP="00131FA4">
      <w:pPr>
        <w:pStyle w:val="footnote"/>
        <w:spacing w:before="0" w:beforeAutospacing="0" w:after="120" w:afterAutospacing="0"/>
        <w:ind w:firstLine="720"/>
        <w:jc w:val="both"/>
        <w:rPr>
          <w:rFonts w:asciiTheme="majorHAnsi" w:hAnsiTheme="majorHAnsi"/>
          <w:sz w:val="16"/>
          <w:szCs w:val="16"/>
        </w:rPr>
      </w:pPr>
      <w:r w:rsidRPr="00326F31">
        <w:rPr>
          <w:rStyle w:val="FootnoteReference"/>
          <w:rFonts w:asciiTheme="majorHAnsi" w:hAnsiTheme="majorHAnsi"/>
          <w:sz w:val="16"/>
          <w:szCs w:val="16"/>
        </w:rPr>
        <w:footnoteRef/>
      </w:r>
      <w:proofErr w:type="spellStart"/>
      <w:proofErr w:type="gramStart"/>
      <w:r w:rsidRPr="00C9052E">
        <w:rPr>
          <w:rFonts w:asciiTheme="majorHAnsi" w:hAnsiTheme="majorHAnsi"/>
          <w:i/>
          <w:sz w:val="16"/>
          <w:szCs w:val="16"/>
        </w:rPr>
        <w:t>Ibíd</w:t>
      </w:r>
      <w:proofErr w:type="spellEnd"/>
      <w:r w:rsidRPr="00C9052E">
        <w:rPr>
          <w:rFonts w:asciiTheme="majorHAnsi" w:hAnsiTheme="majorHAnsi"/>
          <w:i/>
          <w:sz w:val="16"/>
          <w:szCs w:val="16"/>
        </w:rPr>
        <w:t>.</w:t>
      </w:r>
      <w:proofErr w:type="gramEnd"/>
      <w:r w:rsidRPr="00C9052E">
        <w:rPr>
          <w:rFonts w:asciiTheme="majorHAnsi" w:hAnsiTheme="majorHAnsi"/>
          <w:sz w:val="16"/>
          <w:szCs w:val="16"/>
        </w:rPr>
        <w:t xml:space="preserve"> </w:t>
      </w:r>
      <w:proofErr w:type="gramStart"/>
      <w:r w:rsidRPr="00C9052E">
        <w:rPr>
          <w:rFonts w:asciiTheme="majorHAnsi" w:hAnsiTheme="majorHAnsi"/>
          <w:sz w:val="16"/>
          <w:szCs w:val="16"/>
        </w:rPr>
        <w:t>para</w:t>
      </w:r>
      <w:proofErr w:type="gramEnd"/>
      <w:r w:rsidRPr="00C9052E">
        <w:rPr>
          <w:rFonts w:asciiTheme="majorHAnsi" w:hAnsiTheme="majorHAnsi"/>
          <w:sz w:val="16"/>
          <w:szCs w:val="16"/>
        </w:rPr>
        <w:t>. 870.</w:t>
      </w:r>
    </w:p>
  </w:footnote>
  <w:footnote w:id="159">
    <w:p w14:paraId="415981A0" w14:textId="14878B06" w:rsidR="00C45C34" w:rsidRPr="00163AF3" w:rsidRDefault="00C45C34" w:rsidP="00131FA4">
      <w:pPr>
        <w:pStyle w:val="FootnoteText"/>
        <w:spacing w:after="120"/>
        <w:ind w:firstLine="720"/>
        <w:jc w:val="both"/>
        <w:rPr>
          <w:rFonts w:ascii="Cambria" w:hAnsi="Cambria"/>
          <w:sz w:val="16"/>
          <w:szCs w:val="16"/>
        </w:rPr>
      </w:pPr>
      <w:r w:rsidRPr="00A2556A">
        <w:rPr>
          <w:rStyle w:val="FootnoteReference"/>
          <w:rFonts w:ascii="Cambria" w:hAnsi="Cambria"/>
          <w:sz w:val="16"/>
          <w:szCs w:val="16"/>
        </w:rPr>
        <w:footnoteRef/>
      </w:r>
      <w:r w:rsidRPr="00B7781C">
        <w:rPr>
          <w:rFonts w:ascii="Cambria" w:hAnsi="Cambria"/>
          <w:sz w:val="16"/>
          <w:szCs w:val="16"/>
        </w:rPr>
        <w:t xml:space="preserve"> Statement by Venezuelan President Hugo Ch</w:t>
      </w:r>
      <w:r>
        <w:rPr>
          <w:rFonts w:ascii="Cambria" w:hAnsi="Cambria"/>
          <w:sz w:val="16"/>
          <w:szCs w:val="16"/>
        </w:rPr>
        <w:t>ávez at the V Mobile Cabinet Meeting, April 15</w:t>
      </w:r>
      <w:proofErr w:type="gramStart"/>
      <w:r>
        <w:rPr>
          <w:rFonts w:ascii="Cambria" w:hAnsi="Cambria"/>
          <w:sz w:val="16"/>
          <w:szCs w:val="16"/>
        </w:rPr>
        <w:t>,2005</w:t>
      </w:r>
      <w:proofErr w:type="gramEnd"/>
      <w:r>
        <w:rPr>
          <w:rFonts w:ascii="Cambria" w:hAnsi="Cambria"/>
          <w:sz w:val="16"/>
          <w:szCs w:val="16"/>
        </w:rPr>
        <w:t xml:space="preserve">, in the city of Puerto </w:t>
      </w:r>
      <w:proofErr w:type="spellStart"/>
      <w:r>
        <w:rPr>
          <w:rFonts w:ascii="Cambria" w:hAnsi="Cambria"/>
          <w:sz w:val="16"/>
          <w:szCs w:val="16"/>
        </w:rPr>
        <w:t>Ordaz</w:t>
      </w:r>
      <w:proofErr w:type="spellEnd"/>
      <w:r w:rsidRPr="00B7781C">
        <w:rPr>
          <w:rFonts w:ascii="Cambria" w:eastAsia="Arial Unicode MS" w:hAnsi="Cambria" w:cs="Times New Roman"/>
          <w:sz w:val="16"/>
          <w:szCs w:val="16"/>
          <w:lang w:eastAsia="en-US"/>
        </w:rPr>
        <w:t>, cited in</w:t>
      </w:r>
      <w:r>
        <w:rPr>
          <w:rFonts w:ascii="Cambria" w:eastAsia="Arial Unicode MS" w:hAnsi="Cambria" w:cs="Times New Roman"/>
          <w:sz w:val="16"/>
          <w:szCs w:val="16"/>
          <w:lang w:eastAsia="en-US"/>
        </w:rPr>
        <w:t xml:space="preserve"> IACHR </w:t>
      </w:r>
      <w:r w:rsidRPr="00B7781C">
        <w:rPr>
          <w:rFonts w:ascii="Cambria" w:hAnsi="Cambria"/>
          <w:sz w:val="16"/>
          <w:szCs w:val="16"/>
        </w:rPr>
        <w:t>, Democracy and Human Rights in Venezuela, OEA/</w:t>
      </w:r>
      <w:proofErr w:type="spellStart"/>
      <w:r w:rsidRPr="00B7781C">
        <w:rPr>
          <w:rFonts w:ascii="Cambria" w:hAnsi="Cambria"/>
          <w:sz w:val="16"/>
          <w:szCs w:val="16"/>
        </w:rPr>
        <w:t>Ser.L</w:t>
      </w:r>
      <w:proofErr w:type="spellEnd"/>
      <w:r w:rsidRPr="00B7781C">
        <w:rPr>
          <w:rFonts w:ascii="Cambria" w:hAnsi="Cambria"/>
          <w:sz w:val="16"/>
          <w:szCs w:val="16"/>
        </w:rPr>
        <w:t xml:space="preserve">/V/II.Doc.54, December 30, 2009, chap </w:t>
      </w:r>
      <w:proofErr w:type="spellStart"/>
      <w:r w:rsidRPr="00B7781C">
        <w:rPr>
          <w:rFonts w:ascii="Cambria" w:hAnsi="Cambria"/>
          <w:sz w:val="16"/>
          <w:szCs w:val="16"/>
        </w:rPr>
        <w:t>II.a</w:t>
      </w:r>
      <w:proofErr w:type="spellEnd"/>
      <w:r w:rsidRPr="00B7781C">
        <w:rPr>
          <w:rFonts w:ascii="Cambria" w:hAnsi="Cambria"/>
          <w:sz w:val="16"/>
          <w:szCs w:val="16"/>
        </w:rPr>
        <w:t xml:space="preserve">, para. </w:t>
      </w:r>
      <w:r w:rsidRPr="00163AF3">
        <w:rPr>
          <w:rFonts w:ascii="Cambria" w:hAnsi="Cambria"/>
          <w:sz w:val="16"/>
          <w:szCs w:val="16"/>
        </w:rPr>
        <w:t>99.</w:t>
      </w:r>
    </w:p>
  </w:footnote>
  <w:footnote w:id="160">
    <w:p w14:paraId="30E4F078" w14:textId="77777777" w:rsidR="00C45C34" w:rsidRPr="00924E1F" w:rsidRDefault="00C45C34" w:rsidP="00DA307A">
      <w:pPr>
        <w:pStyle w:val="FootnoteText"/>
        <w:tabs>
          <w:tab w:val="left" w:pos="360"/>
        </w:tabs>
        <w:spacing w:after="120"/>
        <w:ind w:firstLine="720"/>
        <w:jc w:val="both"/>
        <w:rPr>
          <w:rFonts w:ascii="Cambria" w:hAnsi="Cambria"/>
          <w:sz w:val="16"/>
          <w:szCs w:val="16"/>
        </w:rPr>
      </w:pPr>
      <w:r w:rsidRPr="00924E1F">
        <w:rPr>
          <w:rStyle w:val="FootnoteReference"/>
          <w:rFonts w:asciiTheme="majorHAnsi" w:hAnsiTheme="majorHAnsi"/>
          <w:sz w:val="16"/>
          <w:szCs w:val="16"/>
        </w:rPr>
        <w:footnoteRef/>
      </w:r>
      <w:r w:rsidRPr="00924E1F">
        <w:rPr>
          <w:rFonts w:asciiTheme="majorHAnsi" w:hAnsiTheme="majorHAnsi"/>
          <w:sz w:val="16"/>
          <w:szCs w:val="16"/>
        </w:rPr>
        <w:t xml:space="preserve"> </w:t>
      </w:r>
      <w:proofErr w:type="gramStart"/>
      <w:r w:rsidRPr="00924E1F">
        <w:rPr>
          <w:rFonts w:asciiTheme="majorHAnsi" w:hAnsiTheme="majorHAnsi"/>
          <w:sz w:val="16"/>
          <w:szCs w:val="16"/>
        </w:rPr>
        <w:t>IACHR.</w:t>
      </w:r>
      <w:proofErr w:type="gramEnd"/>
      <w:r w:rsidRPr="00924E1F">
        <w:rPr>
          <w:rFonts w:asciiTheme="majorHAnsi" w:hAnsiTheme="majorHAnsi"/>
          <w:sz w:val="16"/>
          <w:szCs w:val="16"/>
        </w:rPr>
        <w:t xml:space="preserve"> Application filed before the Inter-American Court of Human Rights, in the case of Ana María Ruggeri Cova, Perkins Rocha Contreras and Juan Carlos </w:t>
      </w:r>
      <w:proofErr w:type="spellStart"/>
      <w:r w:rsidRPr="00924E1F">
        <w:rPr>
          <w:rFonts w:asciiTheme="majorHAnsi" w:hAnsiTheme="majorHAnsi"/>
          <w:sz w:val="16"/>
          <w:szCs w:val="16"/>
        </w:rPr>
        <w:t>Apitz</w:t>
      </w:r>
      <w:proofErr w:type="spellEnd"/>
      <w:r w:rsidRPr="00924E1F">
        <w:rPr>
          <w:rFonts w:asciiTheme="majorHAnsi" w:hAnsiTheme="majorHAnsi"/>
          <w:sz w:val="16"/>
          <w:szCs w:val="16"/>
        </w:rPr>
        <w:t xml:space="preserve"> (“First Court of Administrative Disputes”) (Case 12.489) against the Bolivarian Republic of Venezuela, November 2, 2006, para. 128</w:t>
      </w:r>
      <w:r>
        <w:rPr>
          <w:rFonts w:asciiTheme="majorHAnsi" w:hAnsiTheme="majorHAnsi"/>
          <w:sz w:val="16"/>
          <w:szCs w:val="16"/>
        </w:rPr>
        <w:t>.</w:t>
      </w:r>
    </w:p>
  </w:footnote>
  <w:footnote w:id="161">
    <w:p w14:paraId="7D182313" w14:textId="17881978" w:rsidR="00C45C34" w:rsidRPr="00C9052E" w:rsidRDefault="00C45C34" w:rsidP="00131FA4">
      <w:pPr>
        <w:pStyle w:val="FootnoteText"/>
        <w:tabs>
          <w:tab w:val="left" w:pos="567"/>
        </w:tabs>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I/A Court H. R., Case of </w:t>
      </w:r>
      <w:proofErr w:type="spellStart"/>
      <w:r w:rsidRPr="00326F31">
        <w:rPr>
          <w:rFonts w:asciiTheme="majorHAnsi" w:hAnsiTheme="majorHAnsi"/>
          <w:sz w:val="16"/>
          <w:szCs w:val="16"/>
        </w:rPr>
        <w:t>Granier</w:t>
      </w:r>
      <w:proofErr w:type="spellEnd"/>
      <w:r w:rsidRPr="00326F31">
        <w:rPr>
          <w:rFonts w:asciiTheme="majorHAnsi" w:hAnsiTheme="majorHAnsi"/>
          <w:sz w:val="16"/>
          <w:szCs w:val="16"/>
        </w:rPr>
        <w:t xml:space="preserve"> et al. </w:t>
      </w:r>
      <w:r w:rsidRPr="003B7ACF">
        <w:rPr>
          <w:rFonts w:asciiTheme="majorHAnsi" w:hAnsiTheme="majorHAnsi"/>
          <w:sz w:val="16"/>
          <w:szCs w:val="16"/>
        </w:rPr>
        <w:t xml:space="preserve">(Radio Caracas Television) v. Venezuela. </w:t>
      </w:r>
      <w:proofErr w:type="gramStart"/>
      <w:r w:rsidRPr="00326F31">
        <w:rPr>
          <w:rFonts w:asciiTheme="majorHAnsi" w:hAnsiTheme="majorHAnsi"/>
          <w:sz w:val="16"/>
          <w:szCs w:val="16"/>
        </w:rPr>
        <w:t>Preliminary Objections, Merits, Reparations and Costs.</w:t>
      </w:r>
      <w:proofErr w:type="gramEnd"/>
      <w:r w:rsidRPr="00326F31">
        <w:rPr>
          <w:rFonts w:asciiTheme="majorHAnsi" w:hAnsiTheme="majorHAnsi"/>
          <w:sz w:val="16"/>
          <w:szCs w:val="16"/>
        </w:rPr>
        <w:t xml:space="preserve"> Judgment of June 22, 2015. </w:t>
      </w:r>
      <w:proofErr w:type="gramStart"/>
      <w:r w:rsidRPr="00326F31">
        <w:rPr>
          <w:rFonts w:asciiTheme="majorHAnsi" w:hAnsiTheme="majorHAnsi"/>
          <w:sz w:val="16"/>
          <w:szCs w:val="16"/>
        </w:rPr>
        <w:t>Series C No. 293, para 189.</w:t>
      </w:r>
      <w:proofErr w:type="gramEnd"/>
      <w:r w:rsidRPr="00326F31">
        <w:rPr>
          <w:rFonts w:asciiTheme="majorHAnsi" w:hAnsiTheme="majorHAnsi"/>
          <w:sz w:val="16"/>
          <w:szCs w:val="16"/>
        </w:rPr>
        <w:t xml:space="preserve"> </w:t>
      </w:r>
      <w:proofErr w:type="gramStart"/>
      <w:r w:rsidRPr="00326F31">
        <w:rPr>
          <w:rFonts w:asciiTheme="majorHAnsi" w:hAnsiTheme="majorHAnsi"/>
          <w:sz w:val="16"/>
          <w:szCs w:val="16"/>
        </w:rPr>
        <w:t>Quoting.</w:t>
      </w:r>
      <w:proofErr w:type="gramEnd"/>
      <w:r w:rsidRPr="00326F31">
        <w:rPr>
          <w:rFonts w:asciiTheme="majorHAnsi" w:hAnsiTheme="majorHAnsi"/>
          <w:sz w:val="16"/>
          <w:szCs w:val="16"/>
        </w:rPr>
        <w:t xml:space="preserve"> </w:t>
      </w:r>
      <w:proofErr w:type="gramStart"/>
      <w:r w:rsidRPr="00326F31">
        <w:rPr>
          <w:rFonts w:asciiTheme="majorHAnsi" w:hAnsiTheme="majorHAnsi"/>
          <w:i/>
          <w:sz w:val="16"/>
          <w:szCs w:val="16"/>
        </w:rPr>
        <w:t xml:space="preserve">Case of the Supreme Court of Justice (Quintana </w:t>
      </w:r>
      <w:proofErr w:type="spellStart"/>
      <w:r w:rsidRPr="00326F31">
        <w:rPr>
          <w:rFonts w:asciiTheme="majorHAnsi" w:hAnsiTheme="majorHAnsi"/>
          <w:i/>
          <w:sz w:val="16"/>
          <w:szCs w:val="16"/>
        </w:rPr>
        <w:t>Coello</w:t>
      </w:r>
      <w:proofErr w:type="spellEnd"/>
      <w:r w:rsidRPr="00326F31">
        <w:rPr>
          <w:rFonts w:asciiTheme="majorHAnsi" w:hAnsiTheme="majorHAnsi"/>
          <w:i/>
          <w:sz w:val="16"/>
          <w:szCs w:val="16"/>
        </w:rPr>
        <w:t xml:space="preserve"> et al.) v. Ecuador.</w:t>
      </w:r>
      <w:proofErr w:type="gramEnd"/>
      <w:r w:rsidRPr="00326F31">
        <w:rPr>
          <w:rFonts w:asciiTheme="majorHAnsi" w:hAnsiTheme="majorHAnsi"/>
          <w:i/>
          <w:sz w:val="16"/>
          <w:szCs w:val="16"/>
        </w:rPr>
        <w:t xml:space="preserve"> </w:t>
      </w:r>
      <w:proofErr w:type="gramStart"/>
      <w:r w:rsidRPr="00326F31">
        <w:rPr>
          <w:rFonts w:asciiTheme="majorHAnsi" w:hAnsiTheme="majorHAnsi"/>
          <w:i/>
          <w:sz w:val="16"/>
          <w:szCs w:val="16"/>
        </w:rPr>
        <w:t>Preliminary Objection, Merits, Reparations and Costs.</w:t>
      </w:r>
      <w:proofErr w:type="gramEnd"/>
      <w:r w:rsidRPr="00326F31">
        <w:rPr>
          <w:rFonts w:asciiTheme="majorHAnsi" w:hAnsiTheme="majorHAnsi"/>
          <w:i/>
          <w:sz w:val="16"/>
          <w:szCs w:val="16"/>
        </w:rPr>
        <w:t xml:space="preserve"> Judgment of August 23, 2013. </w:t>
      </w:r>
      <w:r w:rsidRPr="00C9052E">
        <w:rPr>
          <w:rFonts w:asciiTheme="majorHAnsi" w:hAnsiTheme="majorHAnsi"/>
          <w:i/>
          <w:sz w:val="16"/>
          <w:szCs w:val="16"/>
        </w:rPr>
        <w:t>Series C No. 266,</w:t>
      </w:r>
      <w:r w:rsidRPr="00C9052E">
        <w:rPr>
          <w:rFonts w:asciiTheme="majorHAnsi" w:hAnsiTheme="majorHAnsi"/>
          <w:sz w:val="16"/>
          <w:szCs w:val="16"/>
        </w:rPr>
        <w:t xml:space="preserve"> para. </w:t>
      </w:r>
      <w:proofErr w:type="gramStart"/>
      <w:r w:rsidRPr="00326F31">
        <w:rPr>
          <w:rFonts w:asciiTheme="majorHAnsi" w:hAnsiTheme="majorHAnsi"/>
          <w:sz w:val="16"/>
          <w:szCs w:val="16"/>
        </w:rPr>
        <w:t>173,</w:t>
      </w:r>
      <w:proofErr w:type="gramEnd"/>
      <w:r w:rsidRPr="00326F31">
        <w:rPr>
          <w:rFonts w:asciiTheme="majorHAnsi" w:hAnsiTheme="majorHAnsi"/>
          <w:sz w:val="16"/>
          <w:szCs w:val="16"/>
        </w:rPr>
        <w:t xml:space="preserve"> and </w:t>
      </w:r>
      <w:r w:rsidRPr="00326F31">
        <w:rPr>
          <w:rFonts w:asciiTheme="majorHAnsi" w:hAnsiTheme="majorHAnsi"/>
          <w:i/>
          <w:sz w:val="16"/>
          <w:szCs w:val="16"/>
        </w:rPr>
        <w:t>Case of the Constitutional Tribunal (</w:t>
      </w:r>
      <w:proofErr w:type="spellStart"/>
      <w:r w:rsidRPr="00326F31">
        <w:rPr>
          <w:rFonts w:asciiTheme="majorHAnsi" w:hAnsiTheme="majorHAnsi"/>
          <w:i/>
          <w:sz w:val="16"/>
          <w:szCs w:val="16"/>
        </w:rPr>
        <w:t>Camba</w:t>
      </w:r>
      <w:proofErr w:type="spellEnd"/>
      <w:r w:rsidRPr="00326F31">
        <w:rPr>
          <w:rFonts w:asciiTheme="majorHAnsi" w:hAnsiTheme="majorHAnsi"/>
          <w:i/>
          <w:sz w:val="16"/>
          <w:szCs w:val="16"/>
        </w:rPr>
        <w:t xml:space="preserve"> Campos et al.) v. Ecuador. </w:t>
      </w:r>
      <w:proofErr w:type="gramStart"/>
      <w:r w:rsidRPr="00326F31">
        <w:rPr>
          <w:rFonts w:asciiTheme="majorHAnsi" w:hAnsiTheme="majorHAnsi"/>
          <w:i/>
          <w:sz w:val="16"/>
          <w:szCs w:val="16"/>
        </w:rPr>
        <w:t>Preliminary Objections, Merits, Reparations and Costs.</w:t>
      </w:r>
      <w:proofErr w:type="gramEnd"/>
      <w:r w:rsidRPr="00326F31">
        <w:rPr>
          <w:rFonts w:asciiTheme="majorHAnsi" w:hAnsiTheme="majorHAnsi"/>
          <w:i/>
          <w:sz w:val="16"/>
          <w:szCs w:val="16"/>
        </w:rPr>
        <w:t xml:space="preserve"> </w:t>
      </w:r>
      <w:r w:rsidRPr="00C9052E">
        <w:rPr>
          <w:rFonts w:asciiTheme="majorHAnsi" w:hAnsiTheme="majorHAnsi"/>
          <w:i/>
          <w:sz w:val="16"/>
          <w:szCs w:val="16"/>
        </w:rPr>
        <w:t>Judgment of August 28, 2013. Series C No. 268,</w:t>
      </w:r>
      <w:r>
        <w:rPr>
          <w:rFonts w:asciiTheme="majorHAnsi" w:hAnsiTheme="majorHAnsi"/>
          <w:i/>
          <w:sz w:val="16"/>
          <w:szCs w:val="16"/>
        </w:rPr>
        <w:t xml:space="preserve"> </w:t>
      </w:r>
      <w:r w:rsidRPr="00C9052E">
        <w:rPr>
          <w:rFonts w:asciiTheme="majorHAnsi" w:hAnsiTheme="majorHAnsi"/>
          <w:sz w:val="16"/>
          <w:szCs w:val="16"/>
        </w:rPr>
        <w:t>para. 210.</w:t>
      </w:r>
    </w:p>
  </w:footnote>
  <w:footnote w:id="162">
    <w:p w14:paraId="22068684" w14:textId="14438F04" w:rsidR="00C45C34" w:rsidRPr="00C9052E" w:rsidRDefault="00C45C34" w:rsidP="00131FA4">
      <w:pPr>
        <w:tabs>
          <w:tab w:val="left" w:pos="567"/>
        </w:tabs>
        <w:spacing w:after="120"/>
        <w:ind w:firstLine="720"/>
        <w:jc w:val="both"/>
        <w:rPr>
          <w:rFonts w:asciiTheme="majorHAnsi" w:hAnsiTheme="majorHAnsi" w:cs="Arial"/>
          <w:sz w:val="16"/>
          <w:szCs w:val="16"/>
        </w:rPr>
      </w:pPr>
      <w:r w:rsidRPr="00326F31">
        <w:rPr>
          <w:rStyle w:val="FootnoteReference"/>
          <w:rFonts w:asciiTheme="majorHAnsi" w:eastAsia="ヒラギノ角ゴ Pro W3" w:hAnsiTheme="majorHAnsi"/>
          <w:sz w:val="16"/>
          <w:szCs w:val="16"/>
        </w:rPr>
        <w:footnoteRef/>
      </w:r>
      <w:r w:rsidRPr="00C9052E">
        <w:rPr>
          <w:rFonts w:asciiTheme="majorHAnsi" w:hAnsiTheme="majorHAnsi"/>
          <w:sz w:val="16"/>
          <w:szCs w:val="16"/>
        </w:rPr>
        <w:t xml:space="preserve"> </w:t>
      </w:r>
      <w:r w:rsidRPr="00326F31">
        <w:rPr>
          <w:rFonts w:asciiTheme="majorHAnsi" w:hAnsiTheme="majorHAnsi"/>
          <w:sz w:val="16"/>
          <w:szCs w:val="16"/>
        </w:rPr>
        <w:t xml:space="preserve">I/A Court H. R., Case of </w:t>
      </w:r>
      <w:proofErr w:type="spellStart"/>
      <w:r w:rsidRPr="00326F31">
        <w:rPr>
          <w:rFonts w:asciiTheme="majorHAnsi" w:hAnsiTheme="majorHAnsi"/>
          <w:sz w:val="16"/>
          <w:szCs w:val="16"/>
        </w:rPr>
        <w:t>Granier</w:t>
      </w:r>
      <w:proofErr w:type="spellEnd"/>
      <w:r w:rsidRPr="00326F31">
        <w:rPr>
          <w:rFonts w:asciiTheme="majorHAnsi" w:hAnsiTheme="majorHAnsi"/>
          <w:sz w:val="16"/>
          <w:szCs w:val="16"/>
        </w:rPr>
        <w:t xml:space="preserve"> et al. </w:t>
      </w:r>
      <w:r w:rsidRPr="003B7ACF">
        <w:rPr>
          <w:rFonts w:asciiTheme="majorHAnsi" w:hAnsiTheme="majorHAnsi"/>
          <w:sz w:val="16"/>
          <w:szCs w:val="16"/>
        </w:rPr>
        <w:t xml:space="preserve">(Radio Caracas Television) v. Venezuela. </w:t>
      </w:r>
      <w:proofErr w:type="gramStart"/>
      <w:r w:rsidRPr="00326F31">
        <w:rPr>
          <w:rFonts w:asciiTheme="majorHAnsi" w:hAnsiTheme="majorHAnsi"/>
          <w:sz w:val="16"/>
          <w:szCs w:val="16"/>
        </w:rPr>
        <w:t>Preliminary Objections, Merits, Reparations and Costs.</w:t>
      </w:r>
      <w:proofErr w:type="gramEnd"/>
      <w:r w:rsidRPr="00326F31">
        <w:rPr>
          <w:rFonts w:asciiTheme="majorHAnsi" w:hAnsiTheme="majorHAnsi"/>
          <w:sz w:val="16"/>
          <w:szCs w:val="16"/>
        </w:rPr>
        <w:t xml:space="preserve"> Judgment of June 22, 2015. </w:t>
      </w:r>
      <w:proofErr w:type="gramStart"/>
      <w:r w:rsidRPr="00326F31">
        <w:rPr>
          <w:rFonts w:asciiTheme="majorHAnsi" w:hAnsiTheme="majorHAnsi"/>
          <w:sz w:val="16"/>
          <w:szCs w:val="16"/>
        </w:rPr>
        <w:t>Serie</w:t>
      </w:r>
      <w:r>
        <w:rPr>
          <w:rFonts w:asciiTheme="majorHAnsi" w:hAnsiTheme="majorHAnsi"/>
          <w:sz w:val="16"/>
          <w:szCs w:val="16"/>
        </w:rPr>
        <w:t>s C No. 293, para</w:t>
      </w:r>
      <w:r w:rsidRPr="00C9052E">
        <w:rPr>
          <w:rFonts w:asciiTheme="majorHAnsi" w:hAnsiTheme="majorHAnsi"/>
          <w:sz w:val="16"/>
          <w:szCs w:val="16"/>
        </w:rPr>
        <w:t xml:space="preserve"> 189.</w:t>
      </w:r>
      <w:proofErr w:type="gramEnd"/>
      <w:r w:rsidRPr="00C9052E">
        <w:rPr>
          <w:rFonts w:asciiTheme="majorHAnsi" w:hAnsiTheme="majorHAnsi"/>
          <w:sz w:val="16"/>
          <w:szCs w:val="16"/>
        </w:rPr>
        <w:t xml:space="preserve"> </w:t>
      </w:r>
      <w:proofErr w:type="gramStart"/>
      <w:r w:rsidRPr="00C9052E">
        <w:rPr>
          <w:rFonts w:asciiTheme="majorHAnsi" w:hAnsiTheme="majorHAnsi"/>
          <w:sz w:val="16"/>
          <w:szCs w:val="16"/>
        </w:rPr>
        <w:t>Quoting.</w:t>
      </w:r>
      <w:proofErr w:type="gramEnd"/>
      <w:r w:rsidRPr="00C9052E">
        <w:rPr>
          <w:rFonts w:asciiTheme="majorHAnsi" w:hAnsiTheme="majorHAnsi"/>
          <w:sz w:val="16"/>
          <w:szCs w:val="16"/>
        </w:rPr>
        <w:t xml:space="preserve"> </w:t>
      </w:r>
      <w:proofErr w:type="gramStart"/>
      <w:r w:rsidRPr="00326F31">
        <w:rPr>
          <w:rFonts w:asciiTheme="majorHAnsi" w:hAnsiTheme="majorHAnsi"/>
          <w:i/>
          <w:sz w:val="16"/>
          <w:szCs w:val="16"/>
        </w:rPr>
        <w:t xml:space="preserve">Case of the Supreme Court of Justice (Quintana </w:t>
      </w:r>
      <w:proofErr w:type="spellStart"/>
      <w:r w:rsidRPr="00326F31">
        <w:rPr>
          <w:rFonts w:asciiTheme="majorHAnsi" w:hAnsiTheme="majorHAnsi"/>
          <w:i/>
          <w:sz w:val="16"/>
          <w:szCs w:val="16"/>
        </w:rPr>
        <w:t>Coello</w:t>
      </w:r>
      <w:proofErr w:type="spellEnd"/>
      <w:r w:rsidRPr="00326F31">
        <w:rPr>
          <w:rFonts w:asciiTheme="majorHAnsi" w:hAnsiTheme="majorHAnsi"/>
          <w:i/>
          <w:sz w:val="16"/>
          <w:szCs w:val="16"/>
        </w:rPr>
        <w:t xml:space="preserve"> et al.) v. Ecuador.</w:t>
      </w:r>
      <w:proofErr w:type="gramEnd"/>
      <w:r w:rsidRPr="00326F31">
        <w:rPr>
          <w:rFonts w:asciiTheme="majorHAnsi" w:hAnsiTheme="majorHAnsi"/>
          <w:i/>
          <w:sz w:val="16"/>
          <w:szCs w:val="16"/>
        </w:rPr>
        <w:t xml:space="preserve"> </w:t>
      </w:r>
      <w:r w:rsidRPr="00326F31">
        <w:rPr>
          <w:rFonts w:asciiTheme="majorHAnsi" w:hAnsiTheme="majorHAnsi"/>
          <w:sz w:val="16"/>
          <w:szCs w:val="16"/>
        </w:rPr>
        <w:t xml:space="preserve">In this regard, the European Court of Human Rights has taken into account the real purpose or grounds that the State authorities had when exercising their functions, in order to determine whether or not there had been a violation of the European Convention on Human Rights. For example, in the Case of </w:t>
      </w:r>
      <w:proofErr w:type="spellStart"/>
      <w:r w:rsidRPr="00326F31">
        <w:rPr>
          <w:rFonts w:asciiTheme="majorHAnsi" w:hAnsiTheme="majorHAnsi"/>
          <w:sz w:val="16"/>
          <w:szCs w:val="16"/>
        </w:rPr>
        <w:t>Gusinskiy</w:t>
      </w:r>
      <w:proofErr w:type="spellEnd"/>
      <w:r w:rsidRPr="00326F31">
        <w:rPr>
          <w:rFonts w:asciiTheme="majorHAnsi" w:hAnsiTheme="majorHAnsi"/>
          <w:sz w:val="16"/>
          <w:szCs w:val="16"/>
        </w:rPr>
        <w:t xml:space="preserve"> v. Russia, the European Court considered that the restriction of the victim’s detention, authorized by Article 5.1(c) of the European Convention was applied not only in order to make him appear before the competent judicial authority, considering that there were reasonable indications of the commission of an offense, but also in order to oblige him to sell his Company to the State. In the case of </w:t>
      </w:r>
      <w:proofErr w:type="spellStart"/>
      <w:r w:rsidRPr="00326F31">
        <w:rPr>
          <w:rFonts w:asciiTheme="majorHAnsi" w:hAnsiTheme="majorHAnsi"/>
          <w:sz w:val="16"/>
          <w:szCs w:val="16"/>
        </w:rPr>
        <w:t>Cebotari</w:t>
      </w:r>
      <w:proofErr w:type="spellEnd"/>
      <w:r w:rsidRPr="00326F31">
        <w:rPr>
          <w:rFonts w:asciiTheme="majorHAnsi" w:hAnsiTheme="majorHAnsi"/>
          <w:sz w:val="16"/>
          <w:szCs w:val="16"/>
        </w:rPr>
        <w:t xml:space="preserve"> v. Moldavia, it declared that Article 18 of the European Convention had been violated because the Government had not convinced the Court that there were reasonable indications that the applicant had committed an offense, and the Court concluded that the real purpose of the criminal proceeding and the applicant’s detention was to put pressure on him and, thus, prevent his company “</w:t>
      </w:r>
      <w:proofErr w:type="spellStart"/>
      <w:r w:rsidRPr="00326F31">
        <w:rPr>
          <w:rFonts w:asciiTheme="majorHAnsi" w:hAnsiTheme="majorHAnsi"/>
          <w:sz w:val="16"/>
          <w:szCs w:val="16"/>
        </w:rPr>
        <w:t>Oferta</w:t>
      </w:r>
      <w:proofErr w:type="spellEnd"/>
      <w:r w:rsidRPr="00326F31">
        <w:rPr>
          <w:rFonts w:asciiTheme="majorHAnsi" w:hAnsiTheme="majorHAnsi"/>
          <w:sz w:val="16"/>
          <w:szCs w:val="16"/>
        </w:rPr>
        <w:t xml:space="preserve"> Plus” from suing before the Court. Finally, in the case of </w:t>
      </w:r>
      <w:proofErr w:type="spellStart"/>
      <w:r w:rsidRPr="00326F31">
        <w:rPr>
          <w:rFonts w:asciiTheme="majorHAnsi" w:hAnsiTheme="majorHAnsi"/>
          <w:sz w:val="16"/>
          <w:szCs w:val="16"/>
        </w:rPr>
        <w:t>Lutsenko</w:t>
      </w:r>
      <w:proofErr w:type="spellEnd"/>
      <w:r w:rsidRPr="00326F31">
        <w:rPr>
          <w:rFonts w:asciiTheme="majorHAnsi" w:hAnsiTheme="majorHAnsi"/>
          <w:sz w:val="16"/>
          <w:szCs w:val="16"/>
        </w:rPr>
        <w:t xml:space="preserve"> v. Ukraine, the European Court determined that the deprivation of liberty of the applicant, authorized by Article 5.1(c), had been applied not only in order to make him appear before the competent judicial authority, because there were reasonable indications that he had committed an offense, but also for other reasons related to the prosecutor’s intention of accusing the applicant for publicly expressing his opposition to the charges against him. Cf. European Court of Human Rights, Case of </w:t>
      </w:r>
      <w:proofErr w:type="spellStart"/>
      <w:r w:rsidRPr="00326F31">
        <w:rPr>
          <w:rFonts w:asciiTheme="majorHAnsi" w:hAnsiTheme="majorHAnsi"/>
          <w:sz w:val="16"/>
          <w:szCs w:val="16"/>
        </w:rPr>
        <w:t>Gusinskiy</w:t>
      </w:r>
      <w:proofErr w:type="spellEnd"/>
      <w:r w:rsidRPr="00326F31">
        <w:rPr>
          <w:rFonts w:asciiTheme="majorHAnsi" w:hAnsiTheme="majorHAnsi"/>
          <w:sz w:val="16"/>
          <w:szCs w:val="16"/>
        </w:rPr>
        <w:t xml:space="preserve"> v. Russia, </w:t>
      </w:r>
      <w:proofErr w:type="gramStart"/>
      <w:r w:rsidRPr="00326F31">
        <w:rPr>
          <w:rFonts w:asciiTheme="majorHAnsi" w:hAnsiTheme="majorHAnsi"/>
          <w:sz w:val="16"/>
          <w:szCs w:val="16"/>
        </w:rPr>
        <w:t>Judgment</w:t>
      </w:r>
      <w:proofErr w:type="gramEnd"/>
      <w:r w:rsidRPr="00326F31">
        <w:rPr>
          <w:rFonts w:asciiTheme="majorHAnsi" w:hAnsiTheme="majorHAnsi"/>
          <w:sz w:val="16"/>
          <w:szCs w:val="16"/>
        </w:rPr>
        <w:t xml:space="preserve"> of 19 May 2004, paras. </w:t>
      </w:r>
      <w:proofErr w:type="gramStart"/>
      <w:r w:rsidRPr="00326F31">
        <w:rPr>
          <w:rFonts w:asciiTheme="majorHAnsi" w:hAnsiTheme="majorHAnsi"/>
          <w:sz w:val="16"/>
          <w:szCs w:val="16"/>
        </w:rPr>
        <w:t xml:space="preserve">71 to 78; Case of </w:t>
      </w:r>
      <w:proofErr w:type="spellStart"/>
      <w:r w:rsidRPr="00326F31">
        <w:rPr>
          <w:rFonts w:asciiTheme="majorHAnsi" w:hAnsiTheme="majorHAnsi"/>
          <w:sz w:val="16"/>
          <w:szCs w:val="16"/>
        </w:rPr>
        <w:t>Cebotari</w:t>
      </w:r>
      <w:proofErr w:type="spellEnd"/>
      <w:r w:rsidRPr="00326F31">
        <w:rPr>
          <w:rFonts w:asciiTheme="majorHAnsi" w:hAnsiTheme="majorHAnsi"/>
          <w:sz w:val="16"/>
          <w:szCs w:val="16"/>
        </w:rPr>
        <w:t xml:space="preserve"> v. Moldavia, Judgment of 13 February 2008, paras.</w:t>
      </w:r>
      <w:proofErr w:type="gramEnd"/>
      <w:r w:rsidRPr="00326F31">
        <w:rPr>
          <w:rFonts w:asciiTheme="majorHAnsi" w:hAnsiTheme="majorHAnsi"/>
          <w:sz w:val="16"/>
          <w:szCs w:val="16"/>
        </w:rPr>
        <w:t xml:space="preserve"> </w:t>
      </w:r>
      <w:proofErr w:type="gramStart"/>
      <w:r w:rsidRPr="00326F31">
        <w:rPr>
          <w:rFonts w:asciiTheme="majorHAnsi" w:hAnsiTheme="majorHAnsi"/>
          <w:sz w:val="16"/>
          <w:szCs w:val="16"/>
        </w:rPr>
        <w:t xml:space="preserve">46 to 53, and Case of </w:t>
      </w:r>
      <w:proofErr w:type="spellStart"/>
      <w:r w:rsidRPr="00326F31">
        <w:rPr>
          <w:rFonts w:asciiTheme="majorHAnsi" w:hAnsiTheme="majorHAnsi"/>
          <w:sz w:val="16"/>
          <w:szCs w:val="16"/>
        </w:rPr>
        <w:t>Lutsenko</w:t>
      </w:r>
      <w:proofErr w:type="spellEnd"/>
      <w:r w:rsidRPr="00326F31">
        <w:rPr>
          <w:rFonts w:asciiTheme="majorHAnsi" w:hAnsiTheme="majorHAnsi"/>
          <w:sz w:val="16"/>
          <w:szCs w:val="16"/>
        </w:rPr>
        <w:t xml:space="preserve"> v. Ukraine, Judgment of 3 July 2012, paras.</w:t>
      </w:r>
      <w:proofErr w:type="gramEnd"/>
      <w:r w:rsidRPr="00326F31">
        <w:rPr>
          <w:rFonts w:asciiTheme="majorHAnsi" w:hAnsiTheme="majorHAnsi"/>
          <w:sz w:val="16"/>
          <w:szCs w:val="16"/>
        </w:rPr>
        <w:t xml:space="preserve"> </w:t>
      </w:r>
      <w:proofErr w:type="gramStart"/>
      <w:r w:rsidRPr="00326F31">
        <w:rPr>
          <w:rFonts w:asciiTheme="majorHAnsi" w:hAnsiTheme="majorHAnsi"/>
          <w:sz w:val="16"/>
          <w:szCs w:val="16"/>
        </w:rPr>
        <w:t>100 to 110.</w:t>
      </w:r>
      <w:proofErr w:type="gramEnd"/>
    </w:p>
  </w:footnote>
  <w:footnote w:id="163">
    <w:p w14:paraId="6F633E1B" w14:textId="72F1A10D" w:rsidR="00C45C34" w:rsidRPr="00C9052E" w:rsidRDefault="00C45C34" w:rsidP="00131FA4">
      <w:pPr>
        <w:pStyle w:val="FootnoteText"/>
        <w:tabs>
          <w:tab w:val="left" w:pos="567"/>
        </w:tabs>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I/A Court H. R., Case of </w:t>
      </w:r>
      <w:proofErr w:type="spellStart"/>
      <w:r w:rsidRPr="00326F31">
        <w:rPr>
          <w:rFonts w:asciiTheme="majorHAnsi" w:hAnsiTheme="majorHAnsi"/>
          <w:sz w:val="16"/>
          <w:szCs w:val="16"/>
        </w:rPr>
        <w:t>Granier</w:t>
      </w:r>
      <w:proofErr w:type="spellEnd"/>
      <w:r w:rsidRPr="00326F31">
        <w:rPr>
          <w:rFonts w:asciiTheme="majorHAnsi" w:hAnsiTheme="majorHAnsi"/>
          <w:sz w:val="16"/>
          <w:szCs w:val="16"/>
        </w:rPr>
        <w:t xml:space="preserve"> et al. </w:t>
      </w:r>
      <w:r w:rsidRPr="003B7ACF">
        <w:rPr>
          <w:rFonts w:asciiTheme="majorHAnsi" w:hAnsiTheme="majorHAnsi"/>
          <w:sz w:val="16"/>
          <w:szCs w:val="16"/>
        </w:rPr>
        <w:t xml:space="preserve">(Radio Caracas Television) v. Venezuela. </w:t>
      </w:r>
      <w:proofErr w:type="gramStart"/>
      <w:r w:rsidRPr="00326F31">
        <w:rPr>
          <w:rFonts w:asciiTheme="majorHAnsi" w:hAnsiTheme="majorHAnsi"/>
          <w:sz w:val="16"/>
          <w:szCs w:val="16"/>
        </w:rPr>
        <w:t>Preliminary Objections, Merits, Reparations and Costs.</w:t>
      </w:r>
      <w:proofErr w:type="gramEnd"/>
      <w:r w:rsidRPr="00326F31">
        <w:rPr>
          <w:rFonts w:asciiTheme="majorHAnsi" w:hAnsiTheme="majorHAnsi"/>
          <w:sz w:val="16"/>
          <w:szCs w:val="16"/>
        </w:rPr>
        <w:t xml:space="preserve"> Judgment of June 22, 2015. Series C No. 293, Quoting. </w:t>
      </w:r>
      <w:proofErr w:type="gramStart"/>
      <w:r w:rsidRPr="00326F31">
        <w:rPr>
          <w:rFonts w:asciiTheme="majorHAnsi" w:hAnsiTheme="majorHAnsi"/>
          <w:i/>
          <w:sz w:val="16"/>
          <w:szCs w:val="16"/>
        </w:rPr>
        <w:t xml:space="preserve">Case of the Supreme Court of Justice (Quintana </w:t>
      </w:r>
      <w:proofErr w:type="spellStart"/>
      <w:r w:rsidRPr="00326F31">
        <w:rPr>
          <w:rFonts w:asciiTheme="majorHAnsi" w:hAnsiTheme="majorHAnsi"/>
          <w:i/>
          <w:sz w:val="16"/>
          <w:szCs w:val="16"/>
        </w:rPr>
        <w:t>Coello</w:t>
      </w:r>
      <w:proofErr w:type="spellEnd"/>
      <w:r w:rsidRPr="00326F31">
        <w:rPr>
          <w:rFonts w:asciiTheme="majorHAnsi" w:hAnsiTheme="majorHAnsi"/>
          <w:i/>
          <w:sz w:val="16"/>
          <w:szCs w:val="16"/>
        </w:rPr>
        <w:t xml:space="preserve"> et al.) v. Ecuador</w:t>
      </w:r>
      <w:r w:rsidRPr="00326F31">
        <w:rPr>
          <w:rFonts w:asciiTheme="majorHAnsi" w:hAnsiTheme="majorHAnsi"/>
          <w:sz w:val="16"/>
          <w:szCs w:val="16"/>
        </w:rPr>
        <w:t>, para.</w:t>
      </w:r>
      <w:proofErr w:type="gramEnd"/>
      <w:r w:rsidRPr="00326F31">
        <w:rPr>
          <w:rFonts w:asciiTheme="majorHAnsi" w:hAnsiTheme="majorHAnsi"/>
          <w:sz w:val="16"/>
          <w:szCs w:val="16"/>
        </w:rPr>
        <w:t xml:space="preserve"> </w:t>
      </w:r>
      <w:proofErr w:type="gramStart"/>
      <w:r w:rsidRPr="00326F31">
        <w:rPr>
          <w:rFonts w:asciiTheme="majorHAnsi" w:hAnsiTheme="majorHAnsi"/>
          <w:sz w:val="16"/>
          <w:szCs w:val="16"/>
        </w:rPr>
        <w:t>173,</w:t>
      </w:r>
      <w:proofErr w:type="gramEnd"/>
      <w:r w:rsidRPr="00326F31">
        <w:rPr>
          <w:rFonts w:asciiTheme="majorHAnsi" w:hAnsiTheme="majorHAnsi"/>
          <w:sz w:val="16"/>
          <w:szCs w:val="16"/>
        </w:rPr>
        <w:t xml:space="preserve"> and </w:t>
      </w:r>
      <w:r w:rsidRPr="00326F31">
        <w:rPr>
          <w:rFonts w:asciiTheme="majorHAnsi" w:hAnsiTheme="majorHAnsi"/>
          <w:i/>
          <w:sz w:val="16"/>
          <w:szCs w:val="16"/>
        </w:rPr>
        <w:t>Case of the Constitutional Tribunal (</w:t>
      </w:r>
      <w:proofErr w:type="spellStart"/>
      <w:r w:rsidRPr="00326F31">
        <w:rPr>
          <w:rFonts w:asciiTheme="majorHAnsi" w:hAnsiTheme="majorHAnsi"/>
          <w:i/>
          <w:sz w:val="16"/>
          <w:szCs w:val="16"/>
        </w:rPr>
        <w:t>Camba</w:t>
      </w:r>
      <w:proofErr w:type="spellEnd"/>
      <w:r w:rsidRPr="00326F31">
        <w:rPr>
          <w:rFonts w:asciiTheme="majorHAnsi" w:hAnsiTheme="majorHAnsi"/>
          <w:i/>
          <w:sz w:val="16"/>
          <w:szCs w:val="16"/>
        </w:rPr>
        <w:t xml:space="preserve"> Campos et al.) v. Ecuador</w:t>
      </w:r>
      <w:r w:rsidRPr="00326F31">
        <w:rPr>
          <w:rFonts w:asciiTheme="majorHAnsi" w:hAnsiTheme="majorHAnsi"/>
          <w:sz w:val="16"/>
          <w:szCs w:val="16"/>
        </w:rPr>
        <w:t xml:space="preserve">, para. </w:t>
      </w:r>
      <w:r w:rsidRPr="00C9052E">
        <w:rPr>
          <w:rFonts w:asciiTheme="majorHAnsi" w:hAnsiTheme="majorHAnsi"/>
          <w:sz w:val="16"/>
          <w:szCs w:val="16"/>
        </w:rPr>
        <w:t>210.</w:t>
      </w:r>
    </w:p>
  </w:footnote>
  <w:footnote w:id="164">
    <w:p w14:paraId="4D528EF0" w14:textId="21062899" w:rsidR="00C45C34" w:rsidRPr="00326F31" w:rsidRDefault="00C45C34" w:rsidP="00131FA4">
      <w:pPr>
        <w:tabs>
          <w:tab w:val="left" w:pos="567"/>
        </w:tabs>
        <w:autoSpaceDE w:val="0"/>
        <w:autoSpaceDN w:val="0"/>
        <w:adjustRightInd w:val="0"/>
        <w:spacing w:after="120"/>
        <w:ind w:firstLine="720"/>
        <w:jc w:val="both"/>
        <w:rPr>
          <w:rFonts w:asciiTheme="majorHAnsi" w:hAnsiTheme="majorHAnsi" w:cs="Arial"/>
          <w:sz w:val="16"/>
          <w:szCs w:val="16"/>
          <w:lang w:eastAsia="de-DE"/>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I/A Court H. R., Case of </w:t>
      </w:r>
      <w:proofErr w:type="spellStart"/>
      <w:r w:rsidRPr="00326F31">
        <w:rPr>
          <w:rFonts w:asciiTheme="majorHAnsi" w:hAnsiTheme="majorHAnsi"/>
          <w:sz w:val="16"/>
          <w:szCs w:val="16"/>
        </w:rPr>
        <w:t>Granier</w:t>
      </w:r>
      <w:proofErr w:type="spellEnd"/>
      <w:r w:rsidRPr="00326F31">
        <w:rPr>
          <w:rFonts w:asciiTheme="majorHAnsi" w:hAnsiTheme="majorHAnsi"/>
          <w:sz w:val="16"/>
          <w:szCs w:val="16"/>
        </w:rPr>
        <w:t xml:space="preserve"> et al. </w:t>
      </w:r>
      <w:r w:rsidRPr="003B7ACF">
        <w:rPr>
          <w:rFonts w:asciiTheme="majorHAnsi" w:hAnsiTheme="majorHAnsi"/>
          <w:sz w:val="16"/>
          <w:szCs w:val="16"/>
        </w:rPr>
        <w:t xml:space="preserve">(Radio Caracas Television) v. Venezuela. </w:t>
      </w:r>
      <w:proofErr w:type="gramStart"/>
      <w:r w:rsidRPr="00326F31">
        <w:rPr>
          <w:rFonts w:asciiTheme="majorHAnsi" w:hAnsiTheme="majorHAnsi"/>
          <w:sz w:val="16"/>
          <w:szCs w:val="16"/>
        </w:rPr>
        <w:t>Preliminary Objections, Merits, Reparations and Costs.</w:t>
      </w:r>
      <w:proofErr w:type="gramEnd"/>
      <w:r w:rsidRPr="00326F31">
        <w:rPr>
          <w:rFonts w:asciiTheme="majorHAnsi" w:hAnsiTheme="majorHAnsi"/>
          <w:sz w:val="16"/>
          <w:szCs w:val="16"/>
        </w:rPr>
        <w:t xml:space="preserve"> Judgment of June 22, 2015. Series C No. 293, paras. </w:t>
      </w:r>
      <w:r>
        <w:rPr>
          <w:rFonts w:asciiTheme="majorHAnsi" w:hAnsiTheme="majorHAnsi"/>
          <w:sz w:val="16"/>
          <w:szCs w:val="16"/>
        </w:rPr>
        <w:t>189</w:t>
      </w:r>
      <w:r w:rsidRPr="00326F31">
        <w:rPr>
          <w:rFonts w:asciiTheme="majorHAnsi" w:hAnsiTheme="majorHAnsi"/>
          <w:sz w:val="16"/>
          <w:szCs w:val="16"/>
        </w:rPr>
        <w:t xml:space="preserve">. Quoting. </w:t>
      </w:r>
      <w:proofErr w:type="gramStart"/>
      <w:r w:rsidRPr="00326F31">
        <w:rPr>
          <w:rFonts w:asciiTheme="majorHAnsi" w:hAnsiTheme="majorHAnsi"/>
          <w:i/>
          <w:sz w:val="16"/>
          <w:szCs w:val="16"/>
        </w:rPr>
        <w:t xml:space="preserve">Case of the Supreme Court of Justice (Quintana </w:t>
      </w:r>
      <w:proofErr w:type="spellStart"/>
      <w:r w:rsidRPr="00326F31">
        <w:rPr>
          <w:rFonts w:asciiTheme="majorHAnsi" w:hAnsiTheme="majorHAnsi"/>
          <w:i/>
          <w:sz w:val="16"/>
          <w:szCs w:val="16"/>
        </w:rPr>
        <w:t>Coello</w:t>
      </w:r>
      <w:proofErr w:type="spellEnd"/>
      <w:r w:rsidRPr="00326F31">
        <w:rPr>
          <w:rFonts w:asciiTheme="majorHAnsi" w:hAnsiTheme="majorHAnsi"/>
          <w:i/>
          <w:sz w:val="16"/>
          <w:szCs w:val="16"/>
        </w:rPr>
        <w:t xml:space="preserve"> et al.) v. Ecuador</w:t>
      </w:r>
      <w:r w:rsidRPr="00326F31">
        <w:rPr>
          <w:rFonts w:asciiTheme="majorHAnsi" w:hAnsiTheme="majorHAnsi"/>
          <w:sz w:val="16"/>
          <w:szCs w:val="16"/>
        </w:rPr>
        <w:t>, para.</w:t>
      </w:r>
      <w:proofErr w:type="gramEnd"/>
      <w:r w:rsidRPr="00326F31">
        <w:rPr>
          <w:rFonts w:asciiTheme="majorHAnsi" w:hAnsiTheme="majorHAnsi"/>
          <w:sz w:val="16"/>
          <w:szCs w:val="16"/>
        </w:rPr>
        <w:t xml:space="preserve"> </w:t>
      </w:r>
      <w:proofErr w:type="gramStart"/>
      <w:r w:rsidRPr="00326F31">
        <w:rPr>
          <w:rFonts w:asciiTheme="majorHAnsi" w:hAnsiTheme="majorHAnsi"/>
          <w:sz w:val="16"/>
          <w:szCs w:val="16"/>
        </w:rPr>
        <w:t>173,</w:t>
      </w:r>
      <w:proofErr w:type="gramEnd"/>
      <w:r w:rsidRPr="00326F31">
        <w:rPr>
          <w:rFonts w:asciiTheme="majorHAnsi" w:hAnsiTheme="majorHAnsi"/>
          <w:sz w:val="16"/>
          <w:szCs w:val="16"/>
        </w:rPr>
        <w:t xml:space="preserve"> and </w:t>
      </w:r>
      <w:r w:rsidRPr="00326F31">
        <w:rPr>
          <w:rFonts w:asciiTheme="majorHAnsi" w:hAnsiTheme="majorHAnsi"/>
          <w:i/>
          <w:sz w:val="16"/>
          <w:szCs w:val="16"/>
        </w:rPr>
        <w:t>Case of the Constitutional Tribunal (</w:t>
      </w:r>
      <w:proofErr w:type="spellStart"/>
      <w:r w:rsidRPr="00326F31">
        <w:rPr>
          <w:rFonts w:asciiTheme="majorHAnsi" w:hAnsiTheme="majorHAnsi"/>
          <w:i/>
          <w:sz w:val="16"/>
          <w:szCs w:val="16"/>
        </w:rPr>
        <w:t>Camba</w:t>
      </w:r>
      <w:proofErr w:type="spellEnd"/>
      <w:r w:rsidRPr="00326F31">
        <w:rPr>
          <w:rFonts w:asciiTheme="majorHAnsi" w:hAnsiTheme="majorHAnsi"/>
          <w:i/>
          <w:sz w:val="16"/>
          <w:szCs w:val="16"/>
        </w:rPr>
        <w:t xml:space="preserve"> Campos et al.) v. Ecuador</w:t>
      </w:r>
      <w:r w:rsidRPr="00326F31">
        <w:rPr>
          <w:rFonts w:asciiTheme="majorHAnsi" w:hAnsiTheme="majorHAnsi"/>
          <w:sz w:val="16"/>
          <w:szCs w:val="16"/>
        </w:rPr>
        <w:t>, para. 210.</w:t>
      </w:r>
    </w:p>
  </w:footnote>
  <w:footnote w:id="165">
    <w:p w14:paraId="7DAC18D8" w14:textId="15035F67" w:rsidR="00C45C34" w:rsidRPr="00C9052E"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w:t>
      </w:r>
      <w:proofErr w:type="gramStart"/>
      <w:r w:rsidRPr="00326F31">
        <w:rPr>
          <w:rFonts w:asciiTheme="majorHAnsi" w:hAnsiTheme="majorHAnsi"/>
          <w:sz w:val="16"/>
          <w:szCs w:val="16"/>
        </w:rPr>
        <w:t>I/A Court H.R., Juridical Condition and Human Rights of the Child.</w:t>
      </w:r>
      <w:proofErr w:type="gramEnd"/>
      <w:r w:rsidRPr="00326F31">
        <w:rPr>
          <w:rFonts w:asciiTheme="majorHAnsi" w:hAnsiTheme="majorHAnsi"/>
          <w:sz w:val="16"/>
          <w:szCs w:val="16"/>
        </w:rPr>
        <w:t xml:space="preserve"> </w:t>
      </w:r>
      <w:r w:rsidRPr="00C9052E">
        <w:rPr>
          <w:rFonts w:asciiTheme="majorHAnsi" w:hAnsiTheme="majorHAnsi"/>
          <w:sz w:val="16"/>
          <w:szCs w:val="16"/>
        </w:rPr>
        <w:t xml:space="preserve">Advisory Opinion OC-17/02 of August 28, 2002. Series </w:t>
      </w:r>
      <w:proofErr w:type="gramStart"/>
      <w:r w:rsidRPr="00C9052E">
        <w:rPr>
          <w:rFonts w:asciiTheme="majorHAnsi" w:hAnsiTheme="majorHAnsi"/>
          <w:sz w:val="16"/>
          <w:szCs w:val="16"/>
        </w:rPr>
        <w:t>A</w:t>
      </w:r>
      <w:proofErr w:type="gramEnd"/>
      <w:r w:rsidRPr="00C9052E">
        <w:rPr>
          <w:rFonts w:asciiTheme="majorHAnsi" w:hAnsiTheme="majorHAnsi"/>
          <w:sz w:val="16"/>
          <w:szCs w:val="16"/>
        </w:rPr>
        <w:t xml:space="preserve"> No.17, para. 46.</w:t>
      </w:r>
    </w:p>
  </w:footnote>
  <w:footnote w:id="166">
    <w:p w14:paraId="53AFF0D2" w14:textId="3C59DF71" w:rsidR="00C45C34" w:rsidRPr="00C9052E" w:rsidRDefault="00C45C34" w:rsidP="00131FA4">
      <w:pPr>
        <w:autoSpaceDE w:val="0"/>
        <w:autoSpaceDN w:val="0"/>
        <w:adjustRightInd w:val="0"/>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I/A Court H.R., Case of </w:t>
      </w:r>
      <w:proofErr w:type="spellStart"/>
      <w:r w:rsidRPr="00326F31">
        <w:rPr>
          <w:rFonts w:asciiTheme="majorHAnsi" w:hAnsiTheme="majorHAnsi"/>
          <w:sz w:val="16"/>
          <w:szCs w:val="16"/>
        </w:rPr>
        <w:t>Castañeda</w:t>
      </w:r>
      <w:proofErr w:type="spellEnd"/>
      <w:r w:rsidRPr="00326F31">
        <w:rPr>
          <w:rFonts w:asciiTheme="majorHAnsi" w:hAnsiTheme="majorHAnsi"/>
          <w:sz w:val="16"/>
          <w:szCs w:val="16"/>
        </w:rPr>
        <w:t xml:space="preserve"> </w:t>
      </w:r>
      <w:proofErr w:type="spellStart"/>
      <w:r w:rsidRPr="00326F31">
        <w:rPr>
          <w:rFonts w:asciiTheme="majorHAnsi" w:hAnsiTheme="majorHAnsi"/>
          <w:sz w:val="16"/>
          <w:szCs w:val="16"/>
        </w:rPr>
        <w:t>Gutman</w:t>
      </w:r>
      <w:proofErr w:type="spellEnd"/>
      <w:r w:rsidRPr="00326F31">
        <w:rPr>
          <w:rFonts w:asciiTheme="majorHAnsi" w:hAnsiTheme="majorHAnsi"/>
          <w:sz w:val="16"/>
          <w:szCs w:val="16"/>
        </w:rPr>
        <w:t xml:space="preserve"> v. México. </w:t>
      </w:r>
      <w:proofErr w:type="gramStart"/>
      <w:r w:rsidRPr="00326F31">
        <w:rPr>
          <w:rFonts w:asciiTheme="majorHAnsi" w:hAnsiTheme="majorHAnsi"/>
          <w:sz w:val="16"/>
          <w:szCs w:val="16"/>
        </w:rPr>
        <w:t>Preliminary Objections, Merits, Reparations, and Costs.</w:t>
      </w:r>
      <w:proofErr w:type="gramEnd"/>
      <w:r w:rsidRPr="00326F31">
        <w:rPr>
          <w:rFonts w:asciiTheme="majorHAnsi" w:hAnsiTheme="majorHAnsi"/>
          <w:sz w:val="16"/>
          <w:szCs w:val="16"/>
        </w:rPr>
        <w:t xml:space="preserve"> </w:t>
      </w:r>
      <w:r w:rsidRPr="00C9052E">
        <w:rPr>
          <w:rFonts w:asciiTheme="majorHAnsi" w:hAnsiTheme="majorHAnsi"/>
          <w:sz w:val="16"/>
          <w:szCs w:val="16"/>
        </w:rPr>
        <w:t xml:space="preserve">Judgment of August 6, 2008. Series C No. 184, para. </w:t>
      </w:r>
      <w:r w:rsidRPr="00326F31">
        <w:rPr>
          <w:rFonts w:asciiTheme="majorHAnsi" w:hAnsiTheme="majorHAnsi"/>
          <w:sz w:val="16"/>
          <w:szCs w:val="16"/>
        </w:rPr>
        <w:t xml:space="preserve">211, quoting </w:t>
      </w:r>
      <w:proofErr w:type="gramStart"/>
      <w:r w:rsidRPr="00326F31">
        <w:rPr>
          <w:rFonts w:asciiTheme="majorHAnsi" w:hAnsiTheme="majorHAnsi"/>
          <w:color w:val="000000"/>
          <w:sz w:val="16"/>
          <w:szCs w:val="16"/>
        </w:rPr>
        <w:t>I/A</w:t>
      </w:r>
      <w:proofErr w:type="gramEnd"/>
      <w:r w:rsidRPr="00326F31">
        <w:rPr>
          <w:rFonts w:asciiTheme="majorHAnsi" w:hAnsiTheme="majorHAnsi"/>
          <w:color w:val="000000"/>
          <w:sz w:val="16"/>
          <w:szCs w:val="16"/>
        </w:rPr>
        <w:t xml:space="preserve"> Court H.R., Juridical Condition and Rights of the Undocumented Migrants. </w:t>
      </w:r>
      <w:r w:rsidRPr="00C9052E">
        <w:rPr>
          <w:rFonts w:asciiTheme="majorHAnsi" w:hAnsiTheme="majorHAnsi"/>
          <w:color w:val="000000"/>
          <w:sz w:val="16"/>
          <w:szCs w:val="16"/>
        </w:rPr>
        <w:t xml:space="preserve">Advisory Opinion OC-18/03 of September 17, 2003. Series </w:t>
      </w:r>
      <w:proofErr w:type="gramStart"/>
      <w:r w:rsidRPr="00C9052E">
        <w:rPr>
          <w:rFonts w:asciiTheme="majorHAnsi" w:hAnsiTheme="majorHAnsi"/>
          <w:color w:val="000000"/>
          <w:sz w:val="16"/>
          <w:szCs w:val="16"/>
        </w:rPr>
        <w:t>A</w:t>
      </w:r>
      <w:proofErr w:type="gramEnd"/>
      <w:r w:rsidRPr="00C9052E">
        <w:rPr>
          <w:rFonts w:asciiTheme="majorHAnsi" w:hAnsiTheme="majorHAnsi"/>
          <w:color w:val="000000"/>
          <w:sz w:val="16"/>
          <w:szCs w:val="16"/>
        </w:rPr>
        <w:t xml:space="preserve"> No.18</w:t>
      </w:r>
      <w:r w:rsidRPr="00C9052E">
        <w:rPr>
          <w:rFonts w:asciiTheme="majorHAnsi" w:hAnsiTheme="majorHAnsi"/>
          <w:iCs/>
          <w:sz w:val="16"/>
          <w:szCs w:val="16"/>
        </w:rPr>
        <w:t xml:space="preserve">, </w:t>
      </w:r>
      <w:r w:rsidRPr="00C9052E">
        <w:rPr>
          <w:rFonts w:asciiTheme="majorHAnsi" w:hAnsiTheme="majorHAnsi"/>
          <w:color w:val="000000"/>
          <w:sz w:val="16"/>
          <w:szCs w:val="16"/>
        </w:rPr>
        <w:t>para. 84.</w:t>
      </w:r>
    </w:p>
  </w:footnote>
  <w:footnote w:id="167">
    <w:p w14:paraId="25D6F7A1" w14:textId="3611C3B0" w:rsidR="00C45C34" w:rsidRPr="00C9052E"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w:t>
      </w:r>
      <w:proofErr w:type="gramStart"/>
      <w:r w:rsidRPr="00326F31">
        <w:rPr>
          <w:rFonts w:asciiTheme="majorHAnsi" w:hAnsiTheme="majorHAnsi"/>
          <w:sz w:val="16"/>
          <w:szCs w:val="16"/>
        </w:rPr>
        <w:t xml:space="preserve">I/A Court H.R., Case of </w:t>
      </w:r>
      <w:proofErr w:type="spellStart"/>
      <w:r w:rsidRPr="00326F31">
        <w:rPr>
          <w:rFonts w:asciiTheme="majorHAnsi" w:hAnsiTheme="majorHAnsi"/>
          <w:sz w:val="16"/>
          <w:szCs w:val="16"/>
        </w:rPr>
        <w:t>Atala</w:t>
      </w:r>
      <w:proofErr w:type="spellEnd"/>
      <w:r w:rsidRPr="00326F31">
        <w:rPr>
          <w:rFonts w:asciiTheme="majorHAnsi" w:hAnsiTheme="majorHAnsi"/>
          <w:sz w:val="16"/>
          <w:szCs w:val="16"/>
        </w:rPr>
        <w:t xml:space="preserve"> </w:t>
      </w:r>
      <w:proofErr w:type="spellStart"/>
      <w:r w:rsidRPr="00326F31">
        <w:rPr>
          <w:rFonts w:asciiTheme="majorHAnsi" w:hAnsiTheme="majorHAnsi"/>
          <w:sz w:val="16"/>
          <w:szCs w:val="16"/>
        </w:rPr>
        <w:t>Riffo</w:t>
      </w:r>
      <w:proofErr w:type="spellEnd"/>
      <w:r w:rsidRPr="00326F31">
        <w:rPr>
          <w:rFonts w:asciiTheme="majorHAnsi" w:hAnsiTheme="majorHAnsi"/>
          <w:sz w:val="16"/>
          <w:szCs w:val="16"/>
        </w:rPr>
        <w:t xml:space="preserve"> and daughters v. Chile.</w:t>
      </w:r>
      <w:proofErr w:type="gramEnd"/>
      <w:r w:rsidRPr="00326F31">
        <w:rPr>
          <w:rFonts w:asciiTheme="majorHAnsi" w:hAnsiTheme="majorHAnsi"/>
          <w:sz w:val="16"/>
          <w:szCs w:val="16"/>
        </w:rPr>
        <w:t xml:space="preserve"> </w:t>
      </w:r>
      <w:proofErr w:type="gramStart"/>
      <w:r w:rsidRPr="00326F31">
        <w:rPr>
          <w:rFonts w:asciiTheme="majorHAnsi" w:hAnsiTheme="majorHAnsi"/>
          <w:sz w:val="16"/>
          <w:szCs w:val="16"/>
        </w:rPr>
        <w:t>Merits, Reparations and Costs.</w:t>
      </w:r>
      <w:proofErr w:type="gramEnd"/>
      <w:r w:rsidRPr="00326F31">
        <w:rPr>
          <w:rFonts w:asciiTheme="majorHAnsi" w:hAnsiTheme="majorHAnsi"/>
          <w:sz w:val="16"/>
          <w:szCs w:val="16"/>
        </w:rPr>
        <w:t xml:space="preserve"> Judgment of February 24</w:t>
      </w:r>
      <w:proofErr w:type="gramStart"/>
      <w:r w:rsidRPr="00326F31">
        <w:rPr>
          <w:rFonts w:asciiTheme="majorHAnsi" w:hAnsiTheme="majorHAnsi"/>
          <w:sz w:val="16"/>
          <w:szCs w:val="16"/>
        </w:rPr>
        <w:t>,2012</w:t>
      </w:r>
      <w:proofErr w:type="gramEnd"/>
      <w:r w:rsidRPr="00326F31">
        <w:rPr>
          <w:rFonts w:asciiTheme="majorHAnsi" w:hAnsiTheme="majorHAnsi"/>
          <w:sz w:val="16"/>
          <w:szCs w:val="16"/>
        </w:rPr>
        <w:t xml:space="preserve">. </w:t>
      </w:r>
      <w:r w:rsidRPr="00C9052E">
        <w:rPr>
          <w:rFonts w:asciiTheme="majorHAnsi" w:hAnsiTheme="majorHAnsi"/>
          <w:sz w:val="16"/>
          <w:szCs w:val="16"/>
        </w:rPr>
        <w:t>Series C No. 239, para. 85.</w:t>
      </w:r>
    </w:p>
  </w:footnote>
  <w:footnote w:id="168">
    <w:p w14:paraId="777FA6EF" w14:textId="26313926" w:rsidR="00C45C34" w:rsidRPr="00C9052E"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w:t>
      </w:r>
      <w:proofErr w:type="spellStart"/>
      <w:r w:rsidRPr="00326F31">
        <w:rPr>
          <w:rFonts w:asciiTheme="majorHAnsi" w:hAnsiTheme="majorHAnsi"/>
          <w:sz w:val="16"/>
          <w:szCs w:val="16"/>
        </w:rPr>
        <w:t>Cfr</w:t>
      </w:r>
      <w:proofErr w:type="spellEnd"/>
      <w:r w:rsidRPr="00326F31">
        <w:rPr>
          <w:rFonts w:asciiTheme="majorHAnsi" w:hAnsiTheme="majorHAnsi"/>
          <w:sz w:val="16"/>
          <w:szCs w:val="16"/>
        </w:rPr>
        <w:t xml:space="preserve">. IACHR, Application before the /A Court H.R. in the Case of Karen </w:t>
      </w:r>
      <w:proofErr w:type="spellStart"/>
      <w:r w:rsidRPr="00326F31">
        <w:rPr>
          <w:rFonts w:asciiTheme="majorHAnsi" w:hAnsiTheme="majorHAnsi"/>
          <w:sz w:val="16"/>
          <w:szCs w:val="16"/>
        </w:rPr>
        <w:t>Atala</w:t>
      </w:r>
      <w:proofErr w:type="spellEnd"/>
      <w:r w:rsidRPr="00326F31">
        <w:rPr>
          <w:rFonts w:asciiTheme="majorHAnsi" w:hAnsiTheme="majorHAnsi"/>
          <w:sz w:val="16"/>
          <w:szCs w:val="16"/>
        </w:rPr>
        <w:t xml:space="preserve"> </w:t>
      </w:r>
      <w:proofErr w:type="spellStart"/>
      <w:r w:rsidRPr="00326F31">
        <w:rPr>
          <w:rFonts w:asciiTheme="majorHAnsi" w:hAnsiTheme="majorHAnsi"/>
          <w:sz w:val="16"/>
          <w:szCs w:val="16"/>
        </w:rPr>
        <w:t>Riffo</w:t>
      </w:r>
      <w:proofErr w:type="spellEnd"/>
      <w:r w:rsidRPr="00326F31">
        <w:rPr>
          <w:rFonts w:asciiTheme="majorHAnsi" w:hAnsiTheme="majorHAnsi"/>
          <w:sz w:val="16"/>
          <w:szCs w:val="16"/>
        </w:rPr>
        <w:t xml:space="preserve"> and daughters against the State of</w:t>
      </w:r>
      <w:r>
        <w:rPr>
          <w:rFonts w:asciiTheme="majorHAnsi" w:hAnsiTheme="majorHAnsi"/>
          <w:sz w:val="16"/>
          <w:szCs w:val="16"/>
        </w:rPr>
        <w:t xml:space="preserve"> </w:t>
      </w:r>
      <w:r w:rsidRPr="00326F31">
        <w:rPr>
          <w:rFonts w:asciiTheme="majorHAnsi" w:hAnsiTheme="majorHAnsi"/>
          <w:sz w:val="16"/>
          <w:szCs w:val="16"/>
        </w:rPr>
        <w:t xml:space="preserve">Chile, </w:t>
      </w:r>
      <w:proofErr w:type="spellStart"/>
      <w:r w:rsidRPr="00326F31">
        <w:rPr>
          <w:rFonts w:asciiTheme="majorHAnsi" w:hAnsiTheme="majorHAnsi"/>
          <w:sz w:val="16"/>
          <w:szCs w:val="16"/>
        </w:rPr>
        <w:t>Septiembre</w:t>
      </w:r>
      <w:proofErr w:type="spellEnd"/>
      <w:r w:rsidRPr="00326F31">
        <w:rPr>
          <w:rFonts w:asciiTheme="majorHAnsi" w:hAnsiTheme="majorHAnsi"/>
          <w:sz w:val="16"/>
          <w:szCs w:val="16"/>
        </w:rPr>
        <w:t xml:space="preserve"> 17, 2010, para. </w:t>
      </w:r>
      <w:r w:rsidRPr="00C9052E">
        <w:rPr>
          <w:rFonts w:asciiTheme="majorHAnsi" w:hAnsiTheme="majorHAnsi"/>
          <w:sz w:val="16"/>
          <w:szCs w:val="16"/>
        </w:rPr>
        <w:t xml:space="preserve">88, available at: </w:t>
      </w:r>
      <w:hyperlink r:id="rId49" w:history="1">
        <w:r w:rsidRPr="00C9052E">
          <w:rPr>
            <w:rStyle w:val="Hyperlink"/>
            <w:rFonts w:asciiTheme="majorHAnsi" w:hAnsiTheme="majorHAnsi"/>
            <w:sz w:val="16"/>
            <w:szCs w:val="16"/>
          </w:rPr>
          <w:t>http://www.cidh.oas.org/demandas/12.502ENG.pdf</w:t>
        </w:r>
      </w:hyperlink>
      <w:r w:rsidRPr="00C9052E">
        <w:rPr>
          <w:rFonts w:asciiTheme="majorHAnsi" w:hAnsiTheme="majorHAnsi"/>
          <w:sz w:val="16"/>
          <w:szCs w:val="16"/>
        </w:rPr>
        <w:t xml:space="preserve">. </w:t>
      </w:r>
    </w:p>
  </w:footnote>
  <w:footnote w:id="169">
    <w:p w14:paraId="369C3CFC" w14:textId="75214246" w:rsidR="00C45C34" w:rsidRPr="00C9052E"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I/A Court H. R., Case of </w:t>
      </w:r>
      <w:proofErr w:type="spellStart"/>
      <w:r w:rsidRPr="00326F31">
        <w:rPr>
          <w:rFonts w:asciiTheme="majorHAnsi" w:hAnsiTheme="majorHAnsi"/>
          <w:sz w:val="16"/>
          <w:szCs w:val="16"/>
        </w:rPr>
        <w:t>Granier</w:t>
      </w:r>
      <w:proofErr w:type="spellEnd"/>
      <w:r w:rsidRPr="00326F31">
        <w:rPr>
          <w:rFonts w:asciiTheme="majorHAnsi" w:hAnsiTheme="majorHAnsi"/>
          <w:sz w:val="16"/>
          <w:szCs w:val="16"/>
        </w:rPr>
        <w:t xml:space="preserve"> et al. </w:t>
      </w:r>
      <w:r w:rsidRPr="00165F1E">
        <w:rPr>
          <w:rFonts w:asciiTheme="majorHAnsi" w:hAnsiTheme="majorHAnsi"/>
          <w:sz w:val="16"/>
          <w:szCs w:val="16"/>
        </w:rPr>
        <w:t xml:space="preserve">(Radio Caracas Television) v. Venezuela. </w:t>
      </w:r>
      <w:proofErr w:type="gramStart"/>
      <w:r w:rsidRPr="00326F31">
        <w:rPr>
          <w:rFonts w:asciiTheme="majorHAnsi" w:hAnsiTheme="majorHAnsi"/>
          <w:sz w:val="16"/>
          <w:szCs w:val="16"/>
        </w:rPr>
        <w:t>Preliminary Objections, Merits, Reparations and Costs.</w:t>
      </w:r>
      <w:proofErr w:type="gramEnd"/>
      <w:r w:rsidRPr="00326F31">
        <w:rPr>
          <w:rFonts w:asciiTheme="majorHAnsi" w:hAnsiTheme="majorHAnsi"/>
          <w:sz w:val="16"/>
          <w:szCs w:val="16"/>
        </w:rPr>
        <w:t xml:space="preserve"> Judgment of June 22, 2015. Series C No. 293, paras. </w:t>
      </w:r>
      <w:r w:rsidRPr="00C9052E">
        <w:rPr>
          <w:rFonts w:asciiTheme="majorHAnsi" w:hAnsiTheme="majorHAnsi"/>
          <w:sz w:val="16"/>
          <w:szCs w:val="16"/>
        </w:rPr>
        <w:t>223-227.</w:t>
      </w:r>
    </w:p>
  </w:footnote>
  <w:footnote w:id="170">
    <w:p w14:paraId="23DD3DE7" w14:textId="08287AB1"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w:t>
      </w:r>
      <w:proofErr w:type="spellStart"/>
      <w:r w:rsidRPr="00326F31">
        <w:rPr>
          <w:rFonts w:asciiTheme="majorHAnsi" w:hAnsiTheme="majorHAnsi"/>
          <w:sz w:val="16"/>
          <w:szCs w:val="16"/>
        </w:rPr>
        <w:t>Cfr</w:t>
      </w:r>
      <w:proofErr w:type="spellEnd"/>
      <w:r w:rsidRPr="00326F31">
        <w:rPr>
          <w:rFonts w:asciiTheme="majorHAnsi" w:hAnsiTheme="majorHAnsi"/>
          <w:sz w:val="16"/>
          <w:szCs w:val="16"/>
        </w:rPr>
        <w:t xml:space="preserve">. IACHR, Application before the /A Court H.R. in the Case of Karen </w:t>
      </w:r>
      <w:proofErr w:type="spellStart"/>
      <w:r w:rsidRPr="00326F31">
        <w:rPr>
          <w:rFonts w:asciiTheme="majorHAnsi" w:hAnsiTheme="majorHAnsi"/>
          <w:sz w:val="16"/>
          <w:szCs w:val="16"/>
        </w:rPr>
        <w:t>Atala</w:t>
      </w:r>
      <w:proofErr w:type="spellEnd"/>
      <w:r w:rsidRPr="00326F31">
        <w:rPr>
          <w:rFonts w:asciiTheme="majorHAnsi" w:hAnsiTheme="majorHAnsi"/>
          <w:sz w:val="16"/>
          <w:szCs w:val="16"/>
        </w:rPr>
        <w:t xml:space="preserve"> </w:t>
      </w:r>
      <w:proofErr w:type="spellStart"/>
      <w:r w:rsidRPr="00326F31">
        <w:rPr>
          <w:rFonts w:asciiTheme="majorHAnsi" w:hAnsiTheme="majorHAnsi"/>
          <w:sz w:val="16"/>
          <w:szCs w:val="16"/>
        </w:rPr>
        <w:t>Riffo</w:t>
      </w:r>
      <w:proofErr w:type="spellEnd"/>
      <w:r w:rsidRPr="00326F31">
        <w:rPr>
          <w:rFonts w:asciiTheme="majorHAnsi" w:hAnsiTheme="majorHAnsi"/>
          <w:sz w:val="16"/>
          <w:szCs w:val="16"/>
        </w:rPr>
        <w:t xml:space="preserve"> and daughters against the State of</w:t>
      </w:r>
      <w:r>
        <w:rPr>
          <w:rFonts w:asciiTheme="majorHAnsi" w:hAnsiTheme="majorHAnsi"/>
          <w:sz w:val="16"/>
          <w:szCs w:val="16"/>
        </w:rPr>
        <w:t xml:space="preserve"> </w:t>
      </w:r>
      <w:r w:rsidRPr="00326F31">
        <w:rPr>
          <w:rFonts w:asciiTheme="majorHAnsi" w:hAnsiTheme="majorHAnsi"/>
          <w:sz w:val="16"/>
          <w:szCs w:val="16"/>
        </w:rPr>
        <w:t xml:space="preserve">Chile, </w:t>
      </w:r>
      <w:proofErr w:type="spellStart"/>
      <w:r w:rsidRPr="00326F31">
        <w:rPr>
          <w:rFonts w:asciiTheme="majorHAnsi" w:hAnsiTheme="majorHAnsi"/>
          <w:sz w:val="16"/>
          <w:szCs w:val="16"/>
        </w:rPr>
        <w:t>Septiembre</w:t>
      </w:r>
      <w:proofErr w:type="spellEnd"/>
      <w:r w:rsidRPr="00326F31">
        <w:rPr>
          <w:rFonts w:asciiTheme="majorHAnsi" w:hAnsiTheme="majorHAnsi"/>
          <w:sz w:val="16"/>
          <w:szCs w:val="16"/>
        </w:rPr>
        <w:t xml:space="preserve"> 17, 2010, para. 89, available at: </w:t>
      </w:r>
      <w:hyperlink r:id="rId50" w:history="1">
        <w:r w:rsidRPr="00326F31">
          <w:rPr>
            <w:rStyle w:val="Hyperlink"/>
            <w:rFonts w:asciiTheme="majorHAnsi" w:hAnsiTheme="majorHAnsi"/>
            <w:sz w:val="16"/>
            <w:szCs w:val="16"/>
          </w:rPr>
          <w:t>http://www.cidh.oas.org/demandas/12.502ENG.pdf</w:t>
        </w:r>
      </w:hyperlink>
      <w:r w:rsidRPr="00326F31">
        <w:rPr>
          <w:rFonts w:asciiTheme="majorHAnsi" w:hAnsiTheme="majorHAnsi"/>
          <w:sz w:val="16"/>
          <w:szCs w:val="16"/>
        </w:rPr>
        <w:t>.</w:t>
      </w:r>
    </w:p>
  </w:footnote>
  <w:footnote w:id="171">
    <w:p w14:paraId="6C5CB7C7" w14:textId="2E5FE7AB" w:rsidR="00C45C34" w:rsidRPr="00C9052E"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In the Case of the</w:t>
      </w:r>
      <w:r w:rsidRPr="00326F31">
        <w:rPr>
          <w:rFonts w:asciiTheme="majorHAnsi" w:hAnsiTheme="majorHAnsi"/>
          <w:i/>
          <w:sz w:val="16"/>
          <w:szCs w:val="16"/>
        </w:rPr>
        <w:t xml:space="preserve"> General Gallardo</w:t>
      </w:r>
      <w:r w:rsidRPr="00326F31">
        <w:rPr>
          <w:rFonts w:asciiTheme="majorHAnsi" w:hAnsiTheme="majorHAnsi"/>
          <w:sz w:val="16"/>
          <w:szCs w:val="16"/>
        </w:rPr>
        <w:t>, the Inter-American Commission highlighted that “every administrative act must be directed at the accomplishment of a purpose, which is always determined, either expressly or tacitly (and hence is subject to regulation), by the provision that confers the authority to act. If the administrative authority or organ departs from that purpose, which conditions the exercise of its competence, any act or decision it takes for a different purpose ceases to be legitimate...</w:t>
      </w:r>
      <w:proofErr w:type="gramStart"/>
      <w:r w:rsidRPr="00326F31">
        <w:rPr>
          <w:rFonts w:asciiTheme="majorHAnsi" w:hAnsiTheme="majorHAnsi"/>
          <w:sz w:val="16"/>
          <w:szCs w:val="16"/>
        </w:rPr>
        <w:t>”.</w:t>
      </w:r>
      <w:proofErr w:type="gramEnd"/>
      <w:r>
        <w:rPr>
          <w:rFonts w:asciiTheme="majorHAnsi" w:hAnsiTheme="majorHAnsi"/>
          <w:sz w:val="16"/>
          <w:szCs w:val="16"/>
        </w:rPr>
        <w:t xml:space="preserve"> Similarly, the author </w:t>
      </w:r>
      <w:proofErr w:type="spellStart"/>
      <w:r>
        <w:rPr>
          <w:rFonts w:asciiTheme="majorHAnsi" w:hAnsiTheme="majorHAnsi"/>
          <w:sz w:val="16"/>
          <w:szCs w:val="16"/>
        </w:rPr>
        <w:t>Alibert</w:t>
      </w:r>
      <w:proofErr w:type="spellEnd"/>
      <w:r>
        <w:rPr>
          <w:rFonts w:asciiTheme="majorHAnsi" w:hAnsiTheme="majorHAnsi"/>
          <w:sz w:val="16"/>
          <w:szCs w:val="16"/>
        </w:rPr>
        <w:t xml:space="preserve"> </w:t>
      </w:r>
      <w:r w:rsidRPr="00326F31">
        <w:rPr>
          <w:rFonts w:asciiTheme="majorHAnsi" w:hAnsiTheme="majorHAnsi"/>
          <w:sz w:val="16"/>
          <w:szCs w:val="16"/>
        </w:rPr>
        <w:t xml:space="preserve"> has said that “an agent of the administration commits an abuse of power when, in performing an act within his competence and respecting the forms imposed by legislation, he makes use of his power in cases, for motives and to purposes other than those for which this power was conferred upon him. The abuse of power is an abuse of mandate, an abuse of law. An administrative act may have been performed by the competent official with all the appearances of legality and yet this discretionary act, which the qualified official had the strict right to perform, may be rendered illegal if its author has used his powers for a purpose other than that for which they were conferred on him, or to speak in terms of jurisprudence, for a purpose other than the public interest or the good of the service".</w:t>
      </w:r>
      <w:r>
        <w:rPr>
          <w:rFonts w:asciiTheme="majorHAnsi" w:hAnsiTheme="majorHAnsi"/>
          <w:sz w:val="16"/>
          <w:szCs w:val="16"/>
        </w:rPr>
        <w:t xml:space="preserve"> </w:t>
      </w:r>
      <w:r w:rsidRPr="00326F31">
        <w:rPr>
          <w:rFonts w:asciiTheme="majorHAnsi" w:hAnsiTheme="majorHAnsi"/>
          <w:sz w:val="16"/>
          <w:szCs w:val="16"/>
        </w:rPr>
        <w:t>[T]he Commission finds that while in principle General Gallardo was detained after the respective arrest warrant was issued by a competent Tribunal, it is evident that said public authority was used for ends other than those provided for in Mexican law, thus constituting an abuse of power, through successive and related actions that have tended to deny General José Francisco Gallardo his personal liberty, through acts that have the appearance of legality.</w:t>
      </w:r>
      <w:r>
        <w:rPr>
          <w:rFonts w:asciiTheme="majorHAnsi" w:hAnsiTheme="majorHAnsi"/>
          <w:sz w:val="16"/>
          <w:szCs w:val="16"/>
        </w:rPr>
        <w:t xml:space="preserve"> </w:t>
      </w:r>
      <w:r w:rsidRPr="00326F31">
        <w:rPr>
          <w:rFonts w:asciiTheme="majorHAnsi" w:hAnsiTheme="majorHAnsi"/>
          <w:sz w:val="16"/>
          <w:szCs w:val="16"/>
        </w:rPr>
        <w:t>Therefore, said conduct by the Mexican military authorities means that the law has been used for a purpose other than the one established in the law, i.e. the unlawful deprivation of liberty through acts that abide by legal formality.</w:t>
      </w:r>
      <w:r>
        <w:rPr>
          <w:rFonts w:asciiTheme="majorHAnsi" w:hAnsiTheme="majorHAnsi"/>
          <w:sz w:val="16"/>
          <w:szCs w:val="16"/>
        </w:rPr>
        <w:t xml:space="preserve"> </w:t>
      </w:r>
      <w:proofErr w:type="gramStart"/>
      <w:r w:rsidRPr="00326F31">
        <w:rPr>
          <w:rFonts w:asciiTheme="majorHAnsi" w:hAnsiTheme="majorHAnsi"/>
          <w:sz w:val="16"/>
          <w:szCs w:val="16"/>
        </w:rPr>
        <w:t>IACHR</w:t>
      </w:r>
      <w:r w:rsidRPr="00C9052E">
        <w:rPr>
          <w:rFonts w:asciiTheme="majorHAnsi" w:hAnsiTheme="majorHAnsi"/>
          <w:sz w:val="16"/>
          <w:szCs w:val="16"/>
        </w:rPr>
        <w:t>, Report No. 43/96, Case 11.430, Mexico,</w:t>
      </w:r>
      <w:r>
        <w:rPr>
          <w:rFonts w:asciiTheme="majorHAnsi" w:hAnsiTheme="majorHAnsi"/>
          <w:sz w:val="16"/>
          <w:szCs w:val="16"/>
        </w:rPr>
        <w:t xml:space="preserve"> </w:t>
      </w:r>
      <w:r w:rsidRPr="00C9052E">
        <w:rPr>
          <w:rFonts w:asciiTheme="majorHAnsi" w:hAnsiTheme="majorHAnsi"/>
          <w:sz w:val="16"/>
          <w:szCs w:val="16"/>
        </w:rPr>
        <w:t>Oct</w:t>
      </w:r>
      <w:r>
        <w:rPr>
          <w:rFonts w:asciiTheme="majorHAnsi" w:hAnsiTheme="majorHAnsi"/>
          <w:sz w:val="16"/>
          <w:szCs w:val="16"/>
        </w:rPr>
        <w:t xml:space="preserve">ober </w:t>
      </w:r>
      <w:r w:rsidRPr="00C9052E">
        <w:rPr>
          <w:rFonts w:asciiTheme="majorHAnsi" w:hAnsiTheme="majorHAnsi"/>
          <w:sz w:val="16"/>
          <w:szCs w:val="16"/>
        </w:rPr>
        <w:t>15, 1996, paras.</w:t>
      </w:r>
      <w:proofErr w:type="gramEnd"/>
      <w:r w:rsidRPr="00C9052E">
        <w:rPr>
          <w:rFonts w:asciiTheme="majorHAnsi" w:hAnsiTheme="majorHAnsi"/>
          <w:sz w:val="16"/>
          <w:szCs w:val="16"/>
        </w:rPr>
        <w:t xml:space="preserve"> </w:t>
      </w:r>
      <w:proofErr w:type="gramStart"/>
      <w:r w:rsidRPr="00C9052E">
        <w:rPr>
          <w:rFonts w:asciiTheme="majorHAnsi" w:hAnsiTheme="majorHAnsi"/>
          <w:sz w:val="16"/>
          <w:szCs w:val="16"/>
        </w:rPr>
        <w:t>70 and 114.</w:t>
      </w:r>
      <w:proofErr w:type="gramEnd"/>
    </w:p>
  </w:footnote>
  <w:footnote w:id="172">
    <w:p w14:paraId="7E351E5C" w14:textId="77777777" w:rsidR="00C45C34" w:rsidRPr="00C9052E" w:rsidRDefault="00C45C34" w:rsidP="00131FA4">
      <w:pPr>
        <w:pStyle w:val="NormalWeb"/>
        <w:spacing w:before="0" w:beforeAutospacing="0" w:after="120" w:afterAutospacing="0"/>
        <w:ind w:firstLine="720"/>
        <w:jc w:val="both"/>
        <w:rPr>
          <w:rFonts w:asciiTheme="majorHAnsi" w:eastAsia="Arial Unicode MS"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I/A Court H.R., Case of </w:t>
      </w:r>
      <w:proofErr w:type="spellStart"/>
      <w:r w:rsidRPr="00326F31">
        <w:rPr>
          <w:rFonts w:asciiTheme="majorHAnsi" w:hAnsiTheme="majorHAnsi"/>
          <w:sz w:val="16"/>
          <w:szCs w:val="16"/>
        </w:rPr>
        <w:t>Baena</w:t>
      </w:r>
      <w:proofErr w:type="spellEnd"/>
      <w:r w:rsidRPr="00326F31">
        <w:rPr>
          <w:rFonts w:asciiTheme="majorHAnsi" w:hAnsiTheme="majorHAnsi"/>
          <w:sz w:val="16"/>
          <w:szCs w:val="16"/>
        </w:rPr>
        <w:t xml:space="preserve"> Ricardo et al. v. Panama. </w:t>
      </w:r>
      <w:proofErr w:type="gramStart"/>
      <w:r w:rsidRPr="00326F31">
        <w:rPr>
          <w:rFonts w:asciiTheme="majorHAnsi" w:hAnsiTheme="majorHAnsi"/>
          <w:sz w:val="16"/>
          <w:szCs w:val="16"/>
        </w:rPr>
        <w:t>Merits, Reparations and Costs.</w:t>
      </w:r>
      <w:proofErr w:type="gramEnd"/>
      <w:r w:rsidRPr="00326F31">
        <w:rPr>
          <w:rFonts w:asciiTheme="majorHAnsi" w:hAnsiTheme="majorHAnsi"/>
          <w:sz w:val="16"/>
          <w:szCs w:val="16"/>
        </w:rPr>
        <w:t xml:space="preserve"> Judgment of February 2, 2001. </w:t>
      </w:r>
      <w:r w:rsidRPr="00C9052E">
        <w:rPr>
          <w:rFonts w:asciiTheme="majorHAnsi" w:hAnsiTheme="majorHAnsi"/>
          <w:sz w:val="16"/>
          <w:szCs w:val="16"/>
        </w:rPr>
        <w:t xml:space="preserve">Series C No. 72, para. </w:t>
      </w:r>
      <w:proofErr w:type="gramStart"/>
      <w:r w:rsidRPr="00C9052E">
        <w:rPr>
          <w:rFonts w:asciiTheme="majorHAnsi" w:hAnsiTheme="majorHAnsi"/>
          <w:sz w:val="16"/>
          <w:szCs w:val="16"/>
        </w:rPr>
        <w:t>124; IACHR</w:t>
      </w:r>
      <w:r w:rsidRPr="00C9052E">
        <w:rPr>
          <w:rFonts w:asciiTheme="majorHAnsi" w:eastAsia="Arial Unicode MS" w:hAnsiTheme="majorHAnsi"/>
          <w:sz w:val="16"/>
          <w:szCs w:val="16"/>
        </w:rPr>
        <w:t>.</w:t>
      </w:r>
      <w:proofErr w:type="gramEnd"/>
      <w:r w:rsidRPr="00C9052E">
        <w:rPr>
          <w:rFonts w:asciiTheme="majorHAnsi" w:eastAsia="Arial Unicode MS" w:hAnsiTheme="majorHAnsi"/>
          <w:sz w:val="16"/>
          <w:szCs w:val="16"/>
        </w:rPr>
        <w:t xml:space="preserve"> </w:t>
      </w:r>
      <w:r w:rsidRPr="00326F31">
        <w:rPr>
          <w:rFonts w:asciiTheme="majorHAnsi" w:eastAsia="Arial Unicode MS" w:hAnsiTheme="majorHAnsi"/>
          <w:i/>
          <w:iCs/>
          <w:sz w:val="16"/>
          <w:szCs w:val="16"/>
        </w:rPr>
        <w:t xml:space="preserve">Case 12.600 Hugo Quintana </w:t>
      </w:r>
      <w:proofErr w:type="spellStart"/>
      <w:r w:rsidRPr="00326F31">
        <w:rPr>
          <w:rFonts w:asciiTheme="majorHAnsi" w:eastAsia="Arial Unicode MS" w:hAnsiTheme="majorHAnsi"/>
          <w:i/>
          <w:iCs/>
          <w:sz w:val="16"/>
          <w:szCs w:val="16"/>
        </w:rPr>
        <w:t>Coello</w:t>
      </w:r>
      <w:proofErr w:type="spellEnd"/>
      <w:r w:rsidRPr="00326F31">
        <w:rPr>
          <w:rFonts w:asciiTheme="majorHAnsi" w:eastAsia="Arial Unicode MS" w:hAnsiTheme="majorHAnsi"/>
          <w:i/>
          <w:iCs/>
          <w:sz w:val="16"/>
          <w:szCs w:val="16"/>
        </w:rPr>
        <w:t xml:space="preserve"> et al (Supreme Court of Justice) against Ecuador (Merits), Au</w:t>
      </w:r>
      <w:r w:rsidRPr="00326F31">
        <w:rPr>
          <w:rFonts w:asciiTheme="majorHAnsi" w:eastAsia="Arial Unicode MS" w:hAnsiTheme="majorHAnsi"/>
          <w:sz w:val="16"/>
          <w:szCs w:val="16"/>
        </w:rPr>
        <w:t xml:space="preserve">gust 2, 2011, para. </w:t>
      </w:r>
      <w:r w:rsidRPr="00C9052E">
        <w:rPr>
          <w:rFonts w:asciiTheme="majorHAnsi" w:eastAsia="Arial Unicode MS" w:hAnsiTheme="majorHAnsi"/>
          <w:sz w:val="16"/>
          <w:szCs w:val="16"/>
        </w:rPr>
        <w:t>100.</w:t>
      </w:r>
    </w:p>
  </w:footnote>
  <w:footnote w:id="173">
    <w:p w14:paraId="6D9A18E8" w14:textId="3DDAC73F" w:rsidR="00C45C34" w:rsidRPr="00C9052E" w:rsidRDefault="00C45C34" w:rsidP="00131FA4">
      <w:pPr>
        <w:pStyle w:val="FootnoteText"/>
        <w:tabs>
          <w:tab w:val="left" w:pos="1080"/>
        </w:tabs>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I/A Court H.R., Case of Claude Reyes et al. v. Chile. </w:t>
      </w:r>
      <w:proofErr w:type="gramStart"/>
      <w:r w:rsidRPr="00326F31">
        <w:rPr>
          <w:rFonts w:asciiTheme="majorHAnsi" w:hAnsiTheme="majorHAnsi"/>
          <w:sz w:val="16"/>
          <w:szCs w:val="16"/>
        </w:rPr>
        <w:t>Merits, Reparations and Costs.</w:t>
      </w:r>
      <w:proofErr w:type="gramEnd"/>
      <w:r w:rsidRPr="00326F31">
        <w:rPr>
          <w:rFonts w:asciiTheme="majorHAnsi" w:hAnsiTheme="majorHAnsi"/>
          <w:sz w:val="16"/>
          <w:szCs w:val="16"/>
        </w:rPr>
        <w:t xml:space="preserve"> Judgment of September 19, 2006. Series C No. 151, para. 129; I/A Court H.R., Case of </w:t>
      </w:r>
      <w:proofErr w:type="spellStart"/>
      <w:r w:rsidRPr="00326F31">
        <w:rPr>
          <w:rFonts w:asciiTheme="majorHAnsi" w:hAnsiTheme="majorHAnsi"/>
          <w:sz w:val="16"/>
          <w:szCs w:val="16"/>
        </w:rPr>
        <w:t>García</w:t>
      </w:r>
      <w:proofErr w:type="spellEnd"/>
      <w:r w:rsidRPr="00326F31">
        <w:rPr>
          <w:rFonts w:asciiTheme="majorHAnsi" w:hAnsiTheme="majorHAnsi"/>
          <w:sz w:val="16"/>
          <w:szCs w:val="16"/>
        </w:rPr>
        <w:t xml:space="preserve"> </w:t>
      </w:r>
      <w:proofErr w:type="spellStart"/>
      <w:r w:rsidRPr="00326F31">
        <w:rPr>
          <w:rFonts w:asciiTheme="majorHAnsi" w:hAnsiTheme="majorHAnsi"/>
          <w:sz w:val="16"/>
          <w:szCs w:val="16"/>
        </w:rPr>
        <w:t>Asto</w:t>
      </w:r>
      <w:proofErr w:type="spellEnd"/>
      <w:r w:rsidRPr="00326F31">
        <w:rPr>
          <w:rFonts w:asciiTheme="majorHAnsi" w:hAnsiTheme="majorHAnsi"/>
          <w:sz w:val="16"/>
          <w:szCs w:val="16"/>
        </w:rPr>
        <w:t xml:space="preserve"> and </w:t>
      </w:r>
      <w:proofErr w:type="spellStart"/>
      <w:r w:rsidRPr="00326F31">
        <w:rPr>
          <w:rFonts w:asciiTheme="majorHAnsi" w:hAnsiTheme="majorHAnsi"/>
          <w:sz w:val="16"/>
          <w:szCs w:val="16"/>
        </w:rPr>
        <w:t>Ramírez</w:t>
      </w:r>
      <w:proofErr w:type="spellEnd"/>
      <w:r w:rsidRPr="00326F31">
        <w:rPr>
          <w:rFonts w:asciiTheme="majorHAnsi" w:hAnsiTheme="majorHAnsi"/>
          <w:sz w:val="16"/>
          <w:szCs w:val="16"/>
        </w:rPr>
        <w:t xml:space="preserve"> Rojas v. Peru. </w:t>
      </w:r>
      <w:proofErr w:type="gramStart"/>
      <w:r w:rsidRPr="00326F31">
        <w:rPr>
          <w:rFonts w:asciiTheme="majorHAnsi" w:hAnsiTheme="majorHAnsi"/>
          <w:sz w:val="16"/>
          <w:szCs w:val="16"/>
        </w:rPr>
        <w:t>Preliminary Objection, Merits, Reparations and Costs.</w:t>
      </w:r>
      <w:proofErr w:type="gramEnd"/>
      <w:r w:rsidRPr="00326F31">
        <w:rPr>
          <w:rFonts w:asciiTheme="majorHAnsi" w:hAnsiTheme="majorHAnsi"/>
          <w:sz w:val="16"/>
          <w:szCs w:val="16"/>
        </w:rPr>
        <w:t xml:space="preserve"> Judgment of November 25, 2005. Series C No. 137, para. 113; I/A Court H.R., Case of </w:t>
      </w:r>
      <w:proofErr w:type="spellStart"/>
      <w:r w:rsidRPr="00326F31">
        <w:rPr>
          <w:rFonts w:asciiTheme="majorHAnsi" w:hAnsiTheme="majorHAnsi"/>
          <w:sz w:val="16"/>
          <w:szCs w:val="16"/>
        </w:rPr>
        <w:t>Palamara</w:t>
      </w:r>
      <w:proofErr w:type="spellEnd"/>
      <w:r w:rsidRPr="00326F31">
        <w:rPr>
          <w:rFonts w:asciiTheme="majorHAnsi" w:hAnsiTheme="majorHAnsi"/>
          <w:sz w:val="16"/>
          <w:szCs w:val="16"/>
        </w:rPr>
        <w:t xml:space="preserve"> </w:t>
      </w:r>
      <w:proofErr w:type="spellStart"/>
      <w:r w:rsidRPr="00326F31">
        <w:rPr>
          <w:rFonts w:asciiTheme="majorHAnsi" w:hAnsiTheme="majorHAnsi"/>
          <w:sz w:val="16"/>
          <w:szCs w:val="16"/>
        </w:rPr>
        <w:t>Iribarne</w:t>
      </w:r>
      <w:proofErr w:type="spellEnd"/>
      <w:r w:rsidRPr="00326F31">
        <w:rPr>
          <w:rFonts w:asciiTheme="majorHAnsi" w:hAnsiTheme="majorHAnsi"/>
          <w:sz w:val="16"/>
          <w:szCs w:val="16"/>
        </w:rPr>
        <w:t xml:space="preserve"> v. Chile. </w:t>
      </w:r>
      <w:proofErr w:type="gramStart"/>
      <w:r w:rsidRPr="00326F31">
        <w:rPr>
          <w:rFonts w:asciiTheme="majorHAnsi" w:hAnsiTheme="majorHAnsi"/>
          <w:sz w:val="16"/>
          <w:szCs w:val="16"/>
        </w:rPr>
        <w:t>Merits, Reparations and Costs.</w:t>
      </w:r>
      <w:proofErr w:type="gramEnd"/>
      <w:r w:rsidRPr="00326F31">
        <w:rPr>
          <w:rFonts w:asciiTheme="majorHAnsi" w:hAnsiTheme="majorHAnsi"/>
          <w:sz w:val="16"/>
          <w:szCs w:val="16"/>
        </w:rPr>
        <w:t xml:space="preserve"> Judgment of November 22, 2005. </w:t>
      </w:r>
      <w:r w:rsidRPr="00C9052E">
        <w:rPr>
          <w:rFonts w:asciiTheme="majorHAnsi" w:hAnsiTheme="majorHAnsi"/>
          <w:sz w:val="16"/>
          <w:szCs w:val="16"/>
        </w:rPr>
        <w:t>Series C No. 135, para. 183</w:t>
      </w:r>
      <w:r w:rsidRPr="00C9052E">
        <w:rPr>
          <w:rFonts w:asciiTheme="majorHAnsi" w:hAnsiTheme="majorHAnsi"/>
          <w:iCs/>
          <w:sz w:val="16"/>
          <w:szCs w:val="16"/>
        </w:rPr>
        <w:t>.</w:t>
      </w:r>
    </w:p>
  </w:footnote>
  <w:footnote w:id="174">
    <w:p w14:paraId="7EA10BD7" w14:textId="6B9B14A7" w:rsidR="00C45C34" w:rsidRPr="00C9052E" w:rsidRDefault="00C45C34" w:rsidP="00131FA4">
      <w:pPr>
        <w:pStyle w:val="NoSpacing"/>
        <w:numPr>
          <w:ilvl w:val="0"/>
          <w:numId w:val="0"/>
        </w:numPr>
        <w:spacing w:after="120"/>
        <w:ind w:firstLine="720"/>
        <w:jc w:val="both"/>
        <w:rPr>
          <w:rFonts w:asciiTheme="majorHAnsi" w:hAnsiTheme="majorHAnsi"/>
          <w:sz w:val="16"/>
          <w:szCs w:val="16"/>
          <w:lang w:val="en-US"/>
        </w:rPr>
      </w:pPr>
      <w:r w:rsidRPr="00326F31">
        <w:rPr>
          <w:rStyle w:val="FootnoteReference"/>
          <w:rFonts w:asciiTheme="majorHAnsi" w:hAnsiTheme="majorHAnsi"/>
          <w:sz w:val="16"/>
          <w:szCs w:val="16"/>
        </w:rPr>
        <w:footnoteRef/>
      </w:r>
      <w:r w:rsidRPr="00C9052E">
        <w:rPr>
          <w:rFonts w:asciiTheme="majorHAnsi" w:hAnsiTheme="majorHAnsi"/>
          <w:sz w:val="16"/>
          <w:szCs w:val="16"/>
          <w:lang w:val="en-US"/>
        </w:rPr>
        <w:t xml:space="preserve"> I/A Court H.R., Case of </w:t>
      </w:r>
      <w:proofErr w:type="spellStart"/>
      <w:r w:rsidRPr="00C9052E">
        <w:rPr>
          <w:rFonts w:asciiTheme="majorHAnsi" w:hAnsiTheme="majorHAnsi"/>
          <w:sz w:val="16"/>
          <w:szCs w:val="16"/>
          <w:lang w:val="en-US"/>
        </w:rPr>
        <w:t>Velásquez</w:t>
      </w:r>
      <w:proofErr w:type="spellEnd"/>
      <w:r w:rsidRPr="00C9052E">
        <w:rPr>
          <w:rFonts w:asciiTheme="majorHAnsi" w:hAnsiTheme="majorHAnsi"/>
          <w:sz w:val="16"/>
          <w:szCs w:val="16"/>
          <w:lang w:val="en-US"/>
        </w:rPr>
        <w:t xml:space="preserve"> Rodríguez v. Honduras. </w:t>
      </w:r>
      <w:proofErr w:type="gramStart"/>
      <w:r w:rsidRPr="00326F31">
        <w:rPr>
          <w:rFonts w:asciiTheme="majorHAnsi" w:hAnsiTheme="majorHAnsi"/>
          <w:sz w:val="16"/>
          <w:szCs w:val="16"/>
          <w:lang w:val="en-US"/>
        </w:rPr>
        <w:t>Preliminary Objections.</w:t>
      </w:r>
      <w:proofErr w:type="gramEnd"/>
      <w:r w:rsidRPr="00326F31">
        <w:rPr>
          <w:rFonts w:asciiTheme="majorHAnsi" w:hAnsiTheme="majorHAnsi"/>
          <w:sz w:val="16"/>
          <w:szCs w:val="16"/>
          <w:lang w:val="en-US"/>
        </w:rPr>
        <w:t xml:space="preserve"> Judgment of June 26, 1987. Series C No. 1, para. 91; I/A Court H.R., Case of </w:t>
      </w:r>
      <w:proofErr w:type="spellStart"/>
      <w:r w:rsidRPr="00326F31">
        <w:rPr>
          <w:rFonts w:asciiTheme="majorHAnsi" w:hAnsiTheme="majorHAnsi"/>
          <w:sz w:val="16"/>
          <w:szCs w:val="16"/>
          <w:lang w:val="en-US"/>
        </w:rPr>
        <w:t>Kichwa</w:t>
      </w:r>
      <w:proofErr w:type="spellEnd"/>
      <w:r w:rsidRPr="00326F31">
        <w:rPr>
          <w:rFonts w:asciiTheme="majorHAnsi" w:hAnsiTheme="majorHAnsi"/>
          <w:sz w:val="16"/>
          <w:szCs w:val="16"/>
          <w:lang w:val="en-US"/>
        </w:rPr>
        <w:t xml:space="preserve"> Indigenous People of </w:t>
      </w:r>
      <w:proofErr w:type="spellStart"/>
      <w:r w:rsidRPr="00326F31">
        <w:rPr>
          <w:rFonts w:asciiTheme="majorHAnsi" w:hAnsiTheme="majorHAnsi"/>
          <w:sz w:val="16"/>
          <w:szCs w:val="16"/>
          <w:lang w:val="en-US"/>
        </w:rPr>
        <w:t>Sarayaku</w:t>
      </w:r>
      <w:proofErr w:type="spellEnd"/>
      <w:r w:rsidRPr="00326F31">
        <w:rPr>
          <w:rFonts w:asciiTheme="majorHAnsi" w:hAnsiTheme="majorHAnsi"/>
          <w:sz w:val="16"/>
          <w:szCs w:val="16"/>
          <w:lang w:val="en-US"/>
        </w:rPr>
        <w:t xml:space="preserve"> v. Ecuador. </w:t>
      </w:r>
      <w:proofErr w:type="gramStart"/>
      <w:r w:rsidRPr="00326F31">
        <w:rPr>
          <w:rFonts w:asciiTheme="majorHAnsi" w:hAnsiTheme="majorHAnsi"/>
          <w:sz w:val="16"/>
          <w:szCs w:val="16"/>
          <w:lang w:val="en-US"/>
        </w:rPr>
        <w:t>Merits and reparations.</w:t>
      </w:r>
      <w:proofErr w:type="gramEnd"/>
      <w:r w:rsidRPr="00326F31">
        <w:rPr>
          <w:rFonts w:asciiTheme="majorHAnsi" w:hAnsiTheme="majorHAnsi"/>
          <w:sz w:val="16"/>
          <w:szCs w:val="16"/>
          <w:lang w:val="en-US"/>
        </w:rPr>
        <w:t xml:space="preserve"> Judgment of June 27, 2012. </w:t>
      </w:r>
      <w:r w:rsidRPr="00C9052E">
        <w:rPr>
          <w:rFonts w:asciiTheme="majorHAnsi" w:hAnsiTheme="majorHAnsi"/>
          <w:sz w:val="16"/>
          <w:szCs w:val="16"/>
          <w:lang w:val="en-US"/>
        </w:rPr>
        <w:t xml:space="preserve">Series C No. 245, para. </w:t>
      </w:r>
      <w:proofErr w:type="gramStart"/>
      <w:r w:rsidRPr="00326F31">
        <w:rPr>
          <w:rFonts w:asciiTheme="majorHAnsi" w:hAnsiTheme="majorHAnsi"/>
          <w:sz w:val="16"/>
          <w:szCs w:val="16"/>
          <w:lang w:val="en-US"/>
        </w:rPr>
        <w:t>260; and</w:t>
      </w:r>
      <w:r w:rsidRPr="00326F31">
        <w:rPr>
          <w:rFonts w:asciiTheme="majorHAnsi" w:hAnsiTheme="majorHAnsi"/>
          <w:bCs/>
          <w:sz w:val="16"/>
          <w:szCs w:val="16"/>
          <w:lang w:val="en-US" w:bidi="en-US"/>
        </w:rPr>
        <w:t xml:space="preserve"> Case of the Kuna Indigenous People of </w:t>
      </w:r>
      <w:proofErr w:type="spellStart"/>
      <w:r w:rsidRPr="00326F31">
        <w:rPr>
          <w:rFonts w:asciiTheme="majorHAnsi" w:hAnsiTheme="majorHAnsi"/>
          <w:bCs/>
          <w:sz w:val="16"/>
          <w:szCs w:val="16"/>
          <w:lang w:val="en-US" w:bidi="en-US"/>
        </w:rPr>
        <w:t>Madungandí</w:t>
      </w:r>
      <w:proofErr w:type="spellEnd"/>
      <w:r w:rsidRPr="00326F31">
        <w:rPr>
          <w:rFonts w:asciiTheme="majorHAnsi" w:hAnsiTheme="majorHAnsi"/>
          <w:bCs/>
          <w:sz w:val="16"/>
          <w:szCs w:val="16"/>
          <w:lang w:val="en-US" w:bidi="en-US"/>
        </w:rPr>
        <w:t xml:space="preserve"> and the </w:t>
      </w:r>
      <w:proofErr w:type="spellStart"/>
      <w:r w:rsidRPr="00326F31">
        <w:rPr>
          <w:rFonts w:asciiTheme="majorHAnsi" w:hAnsiTheme="majorHAnsi"/>
          <w:bCs/>
          <w:sz w:val="16"/>
          <w:szCs w:val="16"/>
          <w:lang w:val="en-US" w:bidi="en-US"/>
        </w:rPr>
        <w:t>Emberá</w:t>
      </w:r>
      <w:proofErr w:type="spellEnd"/>
      <w:r w:rsidRPr="00326F31">
        <w:rPr>
          <w:rFonts w:asciiTheme="majorHAnsi" w:hAnsiTheme="majorHAnsi"/>
          <w:bCs/>
          <w:sz w:val="16"/>
          <w:szCs w:val="16"/>
          <w:lang w:val="en-US" w:bidi="en-US"/>
        </w:rPr>
        <w:t xml:space="preserve"> Indigenous People of </w:t>
      </w:r>
      <w:proofErr w:type="spellStart"/>
      <w:r w:rsidRPr="00326F31">
        <w:rPr>
          <w:rFonts w:asciiTheme="majorHAnsi" w:hAnsiTheme="majorHAnsi"/>
          <w:bCs/>
          <w:sz w:val="16"/>
          <w:szCs w:val="16"/>
          <w:lang w:val="en-US" w:bidi="en-US"/>
        </w:rPr>
        <w:t>Bayano</w:t>
      </w:r>
      <w:proofErr w:type="spellEnd"/>
      <w:r w:rsidRPr="00326F31">
        <w:rPr>
          <w:rFonts w:asciiTheme="majorHAnsi" w:hAnsiTheme="majorHAnsi"/>
          <w:bCs/>
          <w:sz w:val="16"/>
          <w:szCs w:val="16"/>
          <w:lang w:val="en-US" w:bidi="en-US"/>
        </w:rPr>
        <w:t xml:space="preserve"> and their Members v. Panama.</w:t>
      </w:r>
      <w:proofErr w:type="gramEnd"/>
      <w:r w:rsidRPr="00326F31">
        <w:rPr>
          <w:rFonts w:asciiTheme="majorHAnsi" w:hAnsiTheme="majorHAnsi"/>
          <w:bCs/>
          <w:sz w:val="16"/>
          <w:szCs w:val="16"/>
          <w:lang w:val="en-US" w:bidi="en-US"/>
        </w:rPr>
        <w:t xml:space="preserve"> </w:t>
      </w:r>
      <w:proofErr w:type="gramStart"/>
      <w:r w:rsidRPr="00326F31">
        <w:rPr>
          <w:rFonts w:asciiTheme="majorHAnsi" w:hAnsiTheme="majorHAnsi"/>
          <w:bCs/>
          <w:sz w:val="16"/>
          <w:szCs w:val="16"/>
          <w:lang w:val="en-US" w:bidi="en-US"/>
        </w:rPr>
        <w:t>Preliminary objections, merits, reparations and costs.</w:t>
      </w:r>
      <w:proofErr w:type="gramEnd"/>
      <w:r w:rsidRPr="00326F31">
        <w:rPr>
          <w:rFonts w:asciiTheme="majorHAnsi" w:hAnsiTheme="majorHAnsi"/>
          <w:bCs/>
          <w:sz w:val="16"/>
          <w:szCs w:val="16"/>
          <w:lang w:val="en-US" w:bidi="en-US"/>
        </w:rPr>
        <w:t xml:space="preserve"> Judgment of October 14, 2014. Series C No. 284, para. </w:t>
      </w:r>
      <w:r w:rsidRPr="00C9052E">
        <w:rPr>
          <w:rFonts w:asciiTheme="majorHAnsi" w:hAnsiTheme="majorHAnsi"/>
          <w:bCs/>
          <w:sz w:val="16"/>
          <w:szCs w:val="16"/>
          <w:lang w:val="en-US" w:bidi="en-US"/>
        </w:rPr>
        <w:t>165.</w:t>
      </w:r>
    </w:p>
  </w:footnote>
  <w:footnote w:id="175">
    <w:p w14:paraId="47C17B4E" w14:textId="2DE81E0D" w:rsidR="00C45C34" w:rsidRPr="00C9052E" w:rsidRDefault="00C45C34" w:rsidP="00131FA4">
      <w:pPr>
        <w:pStyle w:val="FootnoteText"/>
        <w:tabs>
          <w:tab w:val="left" w:pos="360"/>
          <w:tab w:val="left" w:pos="720"/>
          <w:tab w:val="left" w:pos="900"/>
          <w:tab w:val="left" w:pos="1080"/>
        </w:tabs>
        <w:spacing w:after="120"/>
        <w:ind w:firstLine="720"/>
        <w:jc w:val="both"/>
        <w:rPr>
          <w:rFonts w:asciiTheme="majorHAnsi" w:hAnsiTheme="majorHAnsi"/>
          <w: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w:t>
      </w:r>
      <w:r w:rsidRPr="00326F31">
        <w:rPr>
          <w:rFonts w:asciiTheme="majorHAnsi" w:hAnsiTheme="majorHAnsi"/>
          <w:sz w:val="16"/>
          <w:szCs w:val="16"/>
        </w:rPr>
        <w:tab/>
        <w:t xml:space="preserve">I/A Court H.R., Case of </w:t>
      </w:r>
      <w:proofErr w:type="spellStart"/>
      <w:r w:rsidRPr="00326F31">
        <w:rPr>
          <w:rFonts w:asciiTheme="majorHAnsi" w:hAnsiTheme="majorHAnsi"/>
          <w:sz w:val="16"/>
          <w:szCs w:val="16"/>
        </w:rPr>
        <w:t>García</w:t>
      </w:r>
      <w:proofErr w:type="spellEnd"/>
      <w:r w:rsidRPr="00326F31">
        <w:rPr>
          <w:rFonts w:asciiTheme="majorHAnsi" w:hAnsiTheme="majorHAnsi"/>
          <w:sz w:val="16"/>
          <w:szCs w:val="16"/>
        </w:rPr>
        <w:t xml:space="preserve"> Prieto et al. v. El Salvador. </w:t>
      </w:r>
      <w:proofErr w:type="gramStart"/>
      <w:r w:rsidRPr="00326F31">
        <w:rPr>
          <w:rFonts w:asciiTheme="majorHAnsi" w:hAnsiTheme="majorHAnsi"/>
          <w:sz w:val="16"/>
          <w:szCs w:val="16"/>
        </w:rPr>
        <w:t>Preliminary Objections, Merits, Reparations, and Costs.</w:t>
      </w:r>
      <w:proofErr w:type="gramEnd"/>
      <w:r w:rsidRPr="00326F31">
        <w:rPr>
          <w:rFonts w:asciiTheme="majorHAnsi" w:hAnsiTheme="majorHAnsi"/>
          <w:sz w:val="16"/>
          <w:szCs w:val="16"/>
        </w:rPr>
        <w:t xml:space="preserve"> Judgment of November 20, 2007. Series C No. 168, para. 103; I/A Court H.R., Case of </w:t>
      </w:r>
      <w:proofErr w:type="spellStart"/>
      <w:r w:rsidRPr="00326F31">
        <w:rPr>
          <w:rFonts w:asciiTheme="majorHAnsi" w:hAnsiTheme="majorHAnsi"/>
          <w:sz w:val="16"/>
          <w:szCs w:val="16"/>
        </w:rPr>
        <w:t>Bulacio</w:t>
      </w:r>
      <w:proofErr w:type="spellEnd"/>
      <w:r w:rsidRPr="00326F31">
        <w:rPr>
          <w:rFonts w:asciiTheme="majorHAnsi" w:hAnsiTheme="majorHAnsi"/>
          <w:sz w:val="16"/>
          <w:szCs w:val="16"/>
        </w:rPr>
        <w:t xml:space="preserve"> v. Argentina. </w:t>
      </w:r>
      <w:proofErr w:type="gramStart"/>
      <w:r w:rsidRPr="00326F31">
        <w:rPr>
          <w:rFonts w:asciiTheme="majorHAnsi" w:hAnsiTheme="majorHAnsi"/>
          <w:sz w:val="16"/>
          <w:szCs w:val="16"/>
        </w:rPr>
        <w:t>Merits, Reparations and Costs.</w:t>
      </w:r>
      <w:proofErr w:type="gramEnd"/>
      <w:r w:rsidRPr="00326F31">
        <w:rPr>
          <w:rFonts w:asciiTheme="majorHAnsi" w:hAnsiTheme="majorHAnsi"/>
          <w:sz w:val="16"/>
          <w:szCs w:val="16"/>
        </w:rPr>
        <w:t xml:space="preserve"> Judgment of September 18, 2003. </w:t>
      </w:r>
      <w:r w:rsidRPr="00C9052E">
        <w:rPr>
          <w:rFonts w:asciiTheme="majorHAnsi" w:hAnsiTheme="majorHAnsi"/>
          <w:sz w:val="16"/>
          <w:szCs w:val="16"/>
        </w:rPr>
        <w:t xml:space="preserve">Series C No. 100, para. </w:t>
      </w:r>
      <w:r w:rsidRPr="00326F31">
        <w:rPr>
          <w:rFonts w:asciiTheme="majorHAnsi" w:hAnsiTheme="majorHAnsi"/>
          <w:sz w:val="16"/>
          <w:szCs w:val="16"/>
        </w:rPr>
        <w:t xml:space="preserve">114; and I/A Court H.R., Case of the Miguel Castro </w:t>
      </w:r>
      <w:proofErr w:type="spellStart"/>
      <w:r w:rsidRPr="00326F31">
        <w:rPr>
          <w:rFonts w:asciiTheme="majorHAnsi" w:hAnsiTheme="majorHAnsi"/>
          <w:sz w:val="16"/>
          <w:szCs w:val="16"/>
        </w:rPr>
        <w:t>Castro</w:t>
      </w:r>
      <w:proofErr w:type="spellEnd"/>
      <w:r w:rsidRPr="00326F31">
        <w:rPr>
          <w:rFonts w:asciiTheme="majorHAnsi" w:hAnsiTheme="majorHAnsi"/>
          <w:sz w:val="16"/>
          <w:szCs w:val="16"/>
        </w:rPr>
        <w:t xml:space="preserve"> Prison v. Peru. </w:t>
      </w:r>
      <w:proofErr w:type="gramStart"/>
      <w:r w:rsidRPr="00326F31">
        <w:rPr>
          <w:rFonts w:asciiTheme="majorHAnsi" w:hAnsiTheme="majorHAnsi"/>
          <w:sz w:val="16"/>
          <w:szCs w:val="16"/>
        </w:rPr>
        <w:t>Interpretation of the Judgment on Merits, Reparations and Costs.</w:t>
      </w:r>
      <w:proofErr w:type="gramEnd"/>
      <w:r w:rsidRPr="00326F31">
        <w:rPr>
          <w:rFonts w:asciiTheme="majorHAnsi" w:hAnsiTheme="majorHAnsi"/>
          <w:sz w:val="16"/>
          <w:szCs w:val="16"/>
        </w:rPr>
        <w:t xml:space="preserve"> </w:t>
      </w:r>
      <w:proofErr w:type="gramStart"/>
      <w:r w:rsidRPr="00326F31">
        <w:rPr>
          <w:rFonts w:asciiTheme="majorHAnsi" w:hAnsiTheme="majorHAnsi"/>
          <w:sz w:val="16"/>
          <w:szCs w:val="16"/>
        </w:rPr>
        <w:t xml:space="preserve">Judgment of August 2, 2008 Series C No. 181, </w:t>
      </w:r>
      <w:r w:rsidRPr="00C9052E">
        <w:rPr>
          <w:rFonts w:asciiTheme="majorHAnsi" w:hAnsiTheme="majorHAnsi"/>
          <w:sz w:val="16"/>
          <w:szCs w:val="16"/>
        </w:rPr>
        <w:t>para.</w:t>
      </w:r>
      <w:proofErr w:type="gramEnd"/>
      <w:r w:rsidRPr="00C9052E">
        <w:rPr>
          <w:rFonts w:asciiTheme="majorHAnsi" w:hAnsiTheme="majorHAnsi"/>
          <w:sz w:val="16"/>
          <w:szCs w:val="16"/>
        </w:rPr>
        <w:t xml:space="preserve"> 382.</w:t>
      </w:r>
    </w:p>
  </w:footnote>
  <w:footnote w:id="176">
    <w:p w14:paraId="758A06A2" w14:textId="731378B5" w:rsidR="00C45C34" w:rsidRPr="00C9052E" w:rsidRDefault="00C45C34" w:rsidP="00131FA4">
      <w:pPr>
        <w:tabs>
          <w:tab w:val="left" w:pos="180"/>
          <w:tab w:val="left" w:pos="900"/>
          <w:tab w:val="left" w:pos="1080"/>
        </w:tabs>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w:t>
      </w:r>
      <w:r w:rsidRPr="00326F31">
        <w:rPr>
          <w:rFonts w:asciiTheme="majorHAnsi" w:hAnsiTheme="majorHAnsi"/>
          <w:sz w:val="16"/>
          <w:szCs w:val="16"/>
        </w:rPr>
        <w:tab/>
      </w:r>
      <w:r w:rsidRPr="00326F31">
        <w:rPr>
          <w:rFonts w:asciiTheme="majorHAnsi" w:hAnsiTheme="majorHAnsi"/>
          <w:color w:val="000000"/>
          <w:sz w:val="16"/>
          <w:szCs w:val="16"/>
        </w:rPr>
        <w:t>I/A Court H.R., Case of the Dismissed Congressional Employees (</w:t>
      </w:r>
      <w:proofErr w:type="spellStart"/>
      <w:r w:rsidRPr="00326F31">
        <w:rPr>
          <w:rFonts w:asciiTheme="majorHAnsi" w:hAnsiTheme="majorHAnsi"/>
          <w:color w:val="000000"/>
          <w:sz w:val="16"/>
          <w:szCs w:val="16"/>
        </w:rPr>
        <w:t>Aguado</w:t>
      </w:r>
      <w:proofErr w:type="spellEnd"/>
      <w:r w:rsidRPr="00326F31">
        <w:rPr>
          <w:rFonts w:asciiTheme="majorHAnsi" w:hAnsiTheme="majorHAnsi"/>
          <w:color w:val="000000"/>
          <w:sz w:val="16"/>
          <w:szCs w:val="16"/>
        </w:rPr>
        <w:t xml:space="preserve"> - Alfaro et al.) v. Peru. </w:t>
      </w:r>
      <w:proofErr w:type="gramStart"/>
      <w:r w:rsidRPr="00326F31">
        <w:rPr>
          <w:rFonts w:asciiTheme="majorHAnsi" w:hAnsiTheme="majorHAnsi"/>
          <w:color w:val="000000"/>
          <w:sz w:val="16"/>
          <w:szCs w:val="16"/>
        </w:rPr>
        <w:t>Preliminary Objections, Merits, Reparations and Costs.</w:t>
      </w:r>
      <w:proofErr w:type="gramEnd"/>
      <w:r w:rsidRPr="00326F31">
        <w:rPr>
          <w:rFonts w:asciiTheme="majorHAnsi" w:hAnsiTheme="majorHAnsi"/>
          <w:color w:val="000000"/>
          <w:sz w:val="16"/>
          <w:szCs w:val="16"/>
        </w:rPr>
        <w:t xml:space="preserve"> Judgment of November 24, 2006. Series C No. 158, para. 125; I/A Court H.R., Case of the </w:t>
      </w:r>
      <w:proofErr w:type="spellStart"/>
      <w:r w:rsidRPr="00326F31">
        <w:rPr>
          <w:rFonts w:asciiTheme="majorHAnsi" w:hAnsiTheme="majorHAnsi"/>
          <w:color w:val="000000"/>
          <w:sz w:val="16"/>
          <w:szCs w:val="16"/>
        </w:rPr>
        <w:t>Yakye</w:t>
      </w:r>
      <w:proofErr w:type="spellEnd"/>
      <w:r w:rsidRPr="00326F31">
        <w:rPr>
          <w:rFonts w:asciiTheme="majorHAnsi" w:hAnsiTheme="majorHAnsi"/>
          <w:color w:val="000000"/>
          <w:sz w:val="16"/>
          <w:szCs w:val="16"/>
        </w:rPr>
        <w:t xml:space="preserve"> </w:t>
      </w:r>
      <w:proofErr w:type="spellStart"/>
      <w:r w:rsidRPr="00326F31">
        <w:rPr>
          <w:rFonts w:asciiTheme="majorHAnsi" w:hAnsiTheme="majorHAnsi"/>
          <w:color w:val="000000"/>
          <w:sz w:val="16"/>
          <w:szCs w:val="16"/>
        </w:rPr>
        <w:t>Axa</w:t>
      </w:r>
      <w:proofErr w:type="spellEnd"/>
      <w:r w:rsidRPr="00326F31">
        <w:rPr>
          <w:rFonts w:asciiTheme="majorHAnsi" w:hAnsiTheme="majorHAnsi"/>
          <w:color w:val="000000"/>
          <w:sz w:val="16"/>
          <w:szCs w:val="16"/>
        </w:rPr>
        <w:t xml:space="preserve"> Indigenous Community v. Paraguay. </w:t>
      </w:r>
      <w:proofErr w:type="gramStart"/>
      <w:r w:rsidRPr="00326F31">
        <w:rPr>
          <w:rFonts w:asciiTheme="majorHAnsi" w:hAnsiTheme="majorHAnsi"/>
          <w:color w:val="000000"/>
          <w:sz w:val="16"/>
          <w:szCs w:val="16"/>
        </w:rPr>
        <w:t>Merits, Reparations and Costs.</w:t>
      </w:r>
      <w:proofErr w:type="gramEnd"/>
      <w:r w:rsidRPr="00326F31">
        <w:rPr>
          <w:rFonts w:asciiTheme="majorHAnsi" w:hAnsiTheme="majorHAnsi"/>
          <w:color w:val="000000"/>
          <w:sz w:val="16"/>
          <w:szCs w:val="16"/>
        </w:rPr>
        <w:t xml:space="preserve"> Judgment of June 17, 2005. Series C No. 125, </w:t>
      </w:r>
      <w:r w:rsidRPr="00326F31">
        <w:rPr>
          <w:rFonts w:asciiTheme="majorHAnsi" w:hAnsiTheme="majorHAnsi"/>
          <w:sz w:val="16"/>
          <w:szCs w:val="16"/>
        </w:rPr>
        <w:t>para.</w:t>
      </w:r>
      <w:r>
        <w:rPr>
          <w:rFonts w:asciiTheme="majorHAnsi" w:hAnsiTheme="majorHAnsi"/>
          <w:sz w:val="16"/>
          <w:szCs w:val="16"/>
        </w:rPr>
        <w:t xml:space="preserve"> </w:t>
      </w:r>
      <w:r w:rsidRPr="00326F31">
        <w:rPr>
          <w:rFonts w:asciiTheme="majorHAnsi" w:hAnsiTheme="majorHAnsi"/>
          <w:sz w:val="16"/>
          <w:szCs w:val="16"/>
        </w:rPr>
        <w:t xml:space="preserve">61; </w:t>
      </w:r>
      <w:r w:rsidRPr="00326F31">
        <w:rPr>
          <w:rFonts w:asciiTheme="majorHAnsi" w:hAnsiTheme="majorHAnsi"/>
          <w:color w:val="000000"/>
          <w:sz w:val="16"/>
          <w:szCs w:val="16"/>
        </w:rPr>
        <w:t xml:space="preserve">I/A Court H.R., Case of the “Five Pensioners” v. Peru. </w:t>
      </w:r>
      <w:proofErr w:type="gramStart"/>
      <w:r w:rsidRPr="00326F31">
        <w:rPr>
          <w:rFonts w:asciiTheme="majorHAnsi" w:hAnsiTheme="majorHAnsi"/>
          <w:color w:val="000000"/>
          <w:sz w:val="16"/>
          <w:szCs w:val="16"/>
        </w:rPr>
        <w:t>Merits, Reparations and Costs.</w:t>
      </w:r>
      <w:proofErr w:type="gramEnd"/>
      <w:r w:rsidRPr="00326F31">
        <w:rPr>
          <w:rFonts w:asciiTheme="majorHAnsi" w:hAnsiTheme="majorHAnsi"/>
          <w:color w:val="000000"/>
          <w:sz w:val="16"/>
          <w:szCs w:val="16"/>
        </w:rPr>
        <w:t xml:space="preserve"> Judgment of February 28, 2003. Series C No. 98</w:t>
      </w:r>
      <w:r w:rsidRPr="00326F31">
        <w:rPr>
          <w:rFonts w:asciiTheme="majorHAnsi" w:hAnsiTheme="majorHAnsi"/>
          <w:sz w:val="16"/>
          <w:szCs w:val="16"/>
        </w:rPr>
        <w:t xml:space="preserve">, </w:t>
      </w:r>
      <w:r w:rsidRPr="00C9052E">
        <w:rPr>
          <w:rFonts w:asciiTheme="majorHAnsi" w:hAnsiTheme="majorHAnsi"/>
          <w:sz w:val="16"/>
          <w:szCs w:val="16"/>
        </w:rPr>
        <w:t>para. 136.</w:t>
      </w:r>
    </w:p>
  </w:footnote>
  <w:footnote w:id="177">
    <w:p w14:paraId="6E9A23F5" w14:textId="77777777" w:rsidR="00C45C34" w:rsidRPr="00C9052E" w:rsidRDefault="00C45C34" w:rsidP="00131FA4">
      <w:pPr>
        <w:pStyle w:val="FootnoteText"/>
        <w:tabs>
          <w:tab w:val="left" w:pos="900"/>
          <w:tab w:val="left" w:pos="1080"/>
        </w:tabs>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/A Court H.R., Case of the Dismissed Congressional Employees (</w:t>
      </w:r>
      <w:proofErr w:type="spellStart"/>
      <w:r w:rsidRPr="00326F31">
        <w:rPr>
          <w:rFonts w:asciiTheme="majorHAnsi" w:hAnsiTheme="majorHAnsi"/>
          <w:sz w:val="16"/>
          <w:szCs w:val="16"/>
        </w:rPr>
        <w:t>Aguado</w:t>
      </w:r>
      <w:proofErr w:type="spellEnd"/>
      <w:r w:rsidRPr="00326F31">
        <w:rPr>
          <w:rFonts w:asciiTheme="majorHAnsi" w:hAnsiTheme="majorHAnsi"/>
          <w:sz w:val="16"/>
          <w:szCs w:val="16"/>
        </w:rPr>
        <w:t xml:space="preserve"> - Alfaro et al.) v. Peru. </w:t>
      </w:r>
      <w:proofErr w:type="gramStart"/>
      <w:r w:rsidRPr="00326F31">
        <w:rPr>
          <w:rFonts w:asciiTheme="majorHAnsi" w:hAnsiTheme="majorHAnsi"/>
          <w:sz w:val="16"/>
          <w:szCs w:val="16"/>
        </w:rPr>
        <w:t>Preliminary Objections, Merits, Reparations and Costs.</w:t>
      </w:r>
      <w:proofErr w:type="gramEnd"/>
      <w:r w:rsidRPr="00326F31">
        <w:rPr>
          <w:rFonts w:asciiTheme="majorHAnsi" w:hAnsiTheme="majorHAnsi"/>
          <w:sz w:val="16"/>
          <w:szCs w:val="16"/>
        </w:rPr>
        <w:t xml:space="preserve"> Judgment of November 24, 2006. </w:t>
      </w:r>
      <w:r w:rsidRPr="00C9052E">
        <w:rPr>
          <w:rFonts w:asciiTheme="majorHAnsi" w:hAnsiTheme="majorHAnsi"/>
          <w:sz w:val="16"/>
          <w:szCs w:val="16"/>
        </w:rPr>
        <w:t>Series C No. 158, para. 126.</w:t>
      </w:r>
    </w:p>
  </w:footnote>
  <w:footnote w:id="178">
    <w:p w14:paraId="496208AE" w14:textId="2B3AF20D" w:rsidR="00C45C34" w:rsidRPr="00C9052E" w:rsidRDefault="00C45C34" w:rsidP="00131FA4">
      <w:pPr>
        <w:tabs>
          <w:tab w:val="left" w:pos="360"/>
          <w:tab w:val="left" w:pos="720"/>
          <w:tab w:val="left" w:pos="900"/>
          <w:tab w:val="left" w:pos="1080"/>
        </w:tabs>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C9052E">
        <w:rPr>
          <w:rFonts w:asciiTheme="majorHAnsi" w:hAnsiTheme="majorHAnsi"/>
          <w:sz w:val="16"/>
          <w:szCs w:val="16"/>
        </w:rPr>
        <w:t xml:space="preserve"> I/A Court H.R., Case of </w:t>
      </w:r>
      <w:proofErr w:type="spellStart"/>
      <w:r w:rsidRPr="00C9052E">
        <w:rPr>
          <w:rFonts w:asciiTheme="majorHAnsi" w:hAnsiTheme="majorHAnsi"/>
          <w:sz w:val="16"/>
          <w:szCs w:val="16"/>
        </w:rPr>
        <w:t>García</w:t>
      </w:r>
      <w:proofErr w:type="spellEnd"/>
      <w:r w:rsidRPr="00C9052E">
        <w:rPr>
          <w:rFonts w:asciiTheme="majorHAnsi" w:hAnsiTheme="majorHAnsi"/>
          <w:sz w:val="16"/>
          <w:szCs w:val="16"/>
        </w:rPr>
        <w:t xml:space="preserve"> Prieto et al. v. El Salvador. </w:t>
      </w:r>
      <w:proofErr w:type="gramStart"/>
      <w:r w:rsidRPr="00326F31">
        <w:rPr>
          <w:rFonts w:asciiTheme="majorHAnsi" w:hAnsiTheme="majorHAnsi"/>
          <w:sz w:val="16"/>
          <w:szCs w:val="16"/>
        </w:rPr>
        <w:t>Preliminary Objections, Merits, Reparations, and Costs.</w:t>
      </w:r>
      <w:proofErr w:type="gramEnd"/>
      <w:r w:rsidRPr="00326F31">
        <w:rPr>
          <w:rFonts w:asciiTheme="majorHAnsi" w:hAnsiTheme="majorHAnsi"/>
          <w:sz w:val="16"/>
          <w:szCs w:val="16"/>
        </w:rPr>
        <w:t xml:space="preserve"> Judgment of November 20, 2007. Series C No. 168, para</w:t>
      </w:r>
      <w:r w:rsidRPr="00C9052E">
        <w:rPr>
          <w:rFonts w:asciiTheme="majorHAnsi" w:hAnsiTheme="majorHAnsi"/>
          <w:sz w:val="16"/>
          <w:szCs w:val="16"/>
        </w:rPr>
        <w:t>. 101.</w:t>
      </w:r>
      <w:r>
        <w:rPr>
          <w:rFonts w:asciiTheme="majorHAnsi" w:hAnsiTheme="majorHAnsi"/>
          <w:sz w:val="16"/>
          <w:szCs w:val="16"/>
        </w:rPr>
        <w:t xml:space="preserve"> </w:t>
      </w:r>
    </w:p>
  </w:footnote>
  <w:footnote w:id="179">
    <w:p w14:paraId="0ED891FC" w14:textId="41F4597A" w:rsidR="00C45C34" w:rsidRPr="00C9052E" w:rsidRDefault="00C45C34" w:rsidP="00131FA4">
      <w:pPr>
        <w:tabs>
          <w:tab w:val="left" w:pos="360"/>
          <w:tab w:val="left" w:pos="900"/>
          <w:tab w:val="left" w:pos="1080"/>
        </w:tabs>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I/A Court H.R., Case of </w:t>
      </w:r>
      <w:proofErr w:type="spellStart"/>
      <w:r w:rsidRPr="00326F31">
        <w:rPr>
          <w:rFonts w:asciiTheme="majorHAnsi" w:hAnsiTheme="majorHAnsi"/>
          <w:sz w:val="16"/>
          <w:szCs w:val="16"/>
        </w:rPr>
        <w:t>Bulacio</w:t>
      </w:r>
      <w:proofErr w:type="spellEnd"/>
      <w:r w:rsidRPr="00326F31">
        <w:rPr>
          <w:rFonts w:asciiTheme="majorHAnsi" w:hAnsiTheme="majorHAnsi"/>
          <w:sz w:val="16"/>
          <w:szCs w:val="16"/>
        </w:rPr>
        <w:t xml:space="preserve"> v. Argentina. </w:t>
      </w:r>
      <w:proofErr w:type="gramStart"/>
      <w:r w:rsidRPr="00326F31">
        <w:rPr>
          <w:rFonts w:asciiTheme="majorHAnsi" w:hAnsiTheme="majorHAnsi"/>
          <w:sz w:val="16"/>
          <w:szCs w:val="16"/>
        </w:rPr>
        <w:t>Merits, Reparations and Costs.</w:t>
      </w:r>
      <w:proofErr w:type="gramEnd"/>
      <w:r w:rsidRPr="00326F31">
        <w:rPr>
          <w:rFonts w:asciiTheme="majorHAnsi" w:hAnsiTheme="majorHAnsi"/>
          <w:sz w:val="16"/>
          <w:szCs w:val="16"/>
        </w:rPr>
        <w:t xml:space="preserve"> Judgment of September 18, 2003. </w:t>
      </w:r>
      <w:r w:rsidRPr="00C9052E">
        <w:rPr>
          <w:rFonts w:asciiTheme="majorHAnsi" w:hAnsiTheme="majorHAnsi"/>
          <w:sz w:val="16"/>
          <w:szCs w:val="16"/>
        </w:rPr>
        <w:t xml:space="preserve">Series C No. 100, para. </w:t>
      </w:r>
      <w:r w:rsidRPr="00326F31">
        <w:rPr>
          <w:rFonts w:asciiTheme="majorHAnsi" w:hAnsiTheme="majorHAnsi"/>
          <w:sz w:val="16"/>
          <w:szCs w:val="16"/>
        </w:rPr>
        <w:t xml:space="preserve">114; I/A Court H.R., Case of the </w:t>
      </w:r>
      <w:proofErr w:type="spellStart"/>
      <w:r w:rsidRPr="00326F31">
        <w:rPr>
          <w:rFonts w:asciiTheme="majorHAnsi" w:hAnsiTheme="majorHAnsi"/>
          <w:sz w:val="16"/>
          <w:szCs w:val="16"/>
        </w:rPr>
        <w:t>Rochela</w:t>
      </w:r>
      <w:proofErr w:type="spellEnd"/>
      <w:r w:rsidRPr="00326F31">
        <w:rPr>
          <w:rFonts w:asciiTheme="majorHAnsi" w:hAnsiTheme="majorHAnsi"/>
          <w:sz w:val="16"/>
          <w:szCs w:val="16"/>
        </w:rPr>
        <w:t xml:space="preserve"> Massacre v. Colombia. </w:t>
      </w:r>
      <w:proofErr w:type="gramStart"/>
      <w:r w:rsidRPr="00326F31">
        <w:rPr>
          <w:rFonts w:asciiTheme="majorHAnsi" w:hAnsiTheme="majorHAnsi"/>
          <w:sz w:val="16"/>
          <w:szCs w:val="16"/>
        </w:rPr>
        <w:t>Merits, Reparations and Costs.</w:t>
      </w:r>
      <w:proofErr w:type="gramEnd"/>
      <w:r w:rsidRPr="00326F31">
        <w:rPr>
          <w:rFonts w:asciiTheme="majorHAnsi" w:hAnsiTheme="majorHAnsi"/>
          <w:sz w:val="16"/>
          <w:szCs w:val="16"/>
        </w:rPr>
        <w:t xml:space="preserve"> Judgment of May 11, 2007. </w:t>
      </w:r>
      <w:proofErr w:type="gramStart"/>
      <w:r w:rsidRPr="00326F31">
        <w:rPr>
          <w:rFonts w:asciiTheme="majorHAnsi" w:hAnsiTheme="majorHAnsi"/>
          <w:sz w:val="16"/>
          <w:szCs w:val="16"/>
        </w:rPr>
        <w:t xml:space="preserve">Series C No. 163, para 146; I/A Court H.R., Case of the Miguel Castro </w:t>
      </w:r>
      <w:proofErr w:type="spellStart"/>
      <w:r w:rsidRPr="00326F31">
        <w:rPr>
          <w:rFonts w:asciiTheme="majorHAnsi" w:hAnsiTheme="majorHAnsi"/>
          <w:sz w:val="16"/>
          <w:szCs w:val="16"/>
        </w:rPr>
        <w:t>Castro</w:t>
      </w:r>
      <w:proofErr w:type="spellEnd"/>
      <w:r w:rsidRPr="00326F31">
        <w:rPr>
          <w:rFonts w:asciiTheme="majorHAnsi" w:hAnsiTheme="majorHAnsi"/>
          <w:sz w:val="16"/>
          <w:szCs w:val="16"/>
        </w:rPr>
        <w:t xml:space="preserve"> Prison v. Peru.</w:t>
      </w:r>
      <w:proofErr w:type="gramEnd"/>
      <w:r w:rsidRPr="00326F31">
        <w:rPr>
          <w:rFonts w:asciiTheme="majorHAnsi" w:hAnsiTheme="majorHAnsi"/>
          <w:sz w:val="16"/>
          <w:szCs w:val="16"/>
        </w:rPr>
        <w:t xml:space="preserve"> </w:t>
      </w:r>
      <w:proofErr w:type="gramStart"/>
      <w:r w:rsidRPr="00326F31">
        <w:rPr>
          <w:rFonts w:asciiTheme="majorHAnsi" w:hAnsiTheme="majorHAnsi"/>
          <w:sz w:val="16"/>
          <w:szCs w:val="16"/>
        </w:rPr>
        <w:t>Merits, Reparations and Costs.</w:t>
      </w:r>
      <w:proofErr w:type="gramEnd"/>
      <w:r w:rsidRPr="00326F31">
        <w:rPr>
          <w:rFonts w:asciiTheme="majorHAnsi" w:hAnsiTheme="majorHAnsi"/>
          <w:sz w:val="16"/>
          <w:szCs w:val="16"/>
        </w:rPr>
        <w:t xml:space="preserve"> Judgment of November 25, 2006. Series C No. 160, para</w:t>
      </w:r>
      <w:r w:rsidRPr="00C9052E">
        <w:rPr>
          <w:rFonts w:asciiTheme="majorHAnsi" w:hAnsiTheme="majorHAnsi"/>
          <w:sz w:val="16"/>
          <w:szCs w:val="16"/>
        </w:rPr>
        <w:t>. 382.</w:t>
      </w:r>
    </w:p>
  </w:footnote>
  <w:footnote w:id="180">
    <w:p w14:paraId="0E723114" w14:textId="54353367" w:rsidR="00C45C34" w:rsidRPr="00326F31" w:rsidRDefault="00C45C34" w:rsidP="00131FA4">
      <w:pPr>
        <w:tabs>
          <w:tab w:val="left" w:pos="360"/>
          <w:tab w:val="left" w:pos="900"/>
          <w:tab w:val="left" w:pos="1080"/>
        </w:tabs>
        <w:spacing w:after="120"/>
        <w:ind w:firstLine="720"/>
        <w:jc w:val="both"/>
        <w:rPr>
          <w:rFonts w:asciiTheme="majorHAnsi" w:hAnsiTheme="majorHAnsi"/>
          <w:sz w:val="16"/>
          <w:szCs w:val="16"/>
          <w:lang w:val="it-IT"/>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I/A Court H.R., Case of </w:t>
      </w:r>
      <w:proofErr w:type="spellStart"/>
      <w:r w:rsidRPr="00326F31">
        <w:rPr>
          <w:rFonts w:asciiTheme="majorHAnsi" w:hAnsiTheme="majorHAnsi"/>
          <w:sz w:val="16"/>
          <w:szCs w:val="16"/>
        </w:rPr>
        <w:t>Cantoral</w:t>
      </w:r>
      <w:proofErr w:type="spellEnd"/>
      <w:r w:rsidRPr="00326F31">
        <w:rPr>
          <w:rFonts w:asciiTheme="majorHAnsi" w:hAnsiTheme="majorHAnsi"/>
          <w:sz w:val="16"/>
          <w:szCs w:val="16"/>
        </w:rPr>
        <w:t xml:space="preserve"> </w:t>
      </w:r>
      <w:proofErr w:type="spellStart"/>
      <w:r w:rsidRPr="00326F31">
        <w:rPr>
          <w:rFonts w:asciiTheme="majorHAnsi" w:hAnsiTheme="majorHAnsi"/>
          <w:sz w:val="16"/>
          <w:szCs w:val="16"/>
        </w:rPr>
        <w:t>Huamaní</w:t>
      </w:r>
      <w:proofErr w:type="spellEnd"/>
      <w:r w:rsidRPr="00326F31">
        <w:rPr>
          <w:rFonts w:asciiTheme="majorHAnsi" w:hAnsiTheme="majorHAnsi"/>
          <w:sz w:val="16"/>
          <w:szCs w:val="16"/>
        </w:rPr>
        <w:t xml:space="preserve"> and </w:t>
      </w:r>
      <w:proofErr w:type="spellStart"/>
      <w:r w:rsidRPr="00326F31">
        <w:rPr>
          <w:rFonts w:asciiTheme="majorHAnsi" w:hAnsiTheme="majorHAnsi"/>
          <w:sz w:val="16"/>
          <w:szCs w:val="16"/>
        </w:rPr>
        <w:t>García</w:t>
      </w:r>
      <w:proofErr w:type="spellEnd"/>
      <w:r w:rsidRPr="00326F31">
        <w:rPr>
          <w:rFonts w:asciiTheme="majorHAnsi" w:hAnsiTheme="majorHAnsi"/>
          <w:sz w:val="16"/>
          <w:szCs w:val="16"/>
        </w:rPr>
        <w:t xml:space="preserve"> Santa Cruz v. Peru. </w:t>
      </w:r>
      <w:proofErr w:type="gramStart"/>
      <w:r w:rsidRPr="00326F31">
        <w:rPr>
          <w:rFonts w:asciiTheme="majorHAnsi" w:hAnsiTheme="majorHAnsi"/>
          <w:sz w:val="16"/>
          <w:szCs w:val="16"/>
        </w:rPr>
        <w:t>Preliminary Objection, Merits, Reparations and Costs.</w:t>
      </w:r>
      <w:proofErr w:type="gramEnd"/>
      <w:r w:rsidRPr="00326F31">
        <w:rPr>
          <w:rFonts w:asciiTheme="majorHAnsi" w:hAnsiTheme="majorHAnsi"/>
          <w:sz w:val="16"/>
          <w:szCs w:val="16"/>
        </w:rPr>
        <w:t xml:space="preserve"> Judgment of July 10, 2007. Series C No. 167, para. 130; I/A Court H.R., Case of the Pueblo Bello Massacre v. Colombia. </w:t>
      </w:r>
      <w:proofErr w:type="gramStart"/>
      <w:r w:rsidRPr="00326F31">
        <w:rPr>
          <w:rFonts w:asciiTheme="majorHAnsi" w:hAnsiTheme="majorHAnsi"/>
          <w:sz w:val="16"/>
          <w:szCs w:val="16"/>
        </w:rPr>
        <w:t>Merits, Reparations and Costs.</w:t>
      </w:r>
      <w:proofErr w:type="gramEnd"/>
      <w:r w:rsidRPr="00326F31">
        <w:rPr>
          <w:rFonts w:asciiTheme="majorHAnsi" w:hAnsiTheme="majorHAnsi"/>
          <w:sz w:val="16"/>
          <w:szCs w:val="16"/>
        </w:rPr>
        <w:t xml:space="preserve"> Judgment of January 31, 2006. </w:t>
      </w:r>
      <w:r w:rsidRPr="00C9052E">
        <w:rPr>
          <w:rFonts w:asciiTheme="majorHAnsi" w:hAnsiTheme="majorHAnsi"/>
          <w:sz w:val="16"/>
          <w:szCs w:val="16"/>
        </w:rPr>
        <w:t xml:space="preserve">Series C No. 140, </w:t>
      </w:r>
      <w:r w:rsidRPr="00326F31">
        <w:rPr>
          <w:rFonts w:asciiTheme="majorHAnsi" w:hAnsiTheme="majorHAnsi"/>
          <w:sz w:val="16"/>
          <w:szCs w:val="16"/>
          <w:lang w:val="it-IT"/>
        </w:rPr>
        <w:t>para</w:t>
      </w:r>
      <w:r w:rsidRPr="00C9052E">
        <w:rPr>
          <w:rFonts w:asciiTheme="majorHAnsi" w:hAnsiTheme="majorHAnsi"/>
          <w:sz w:val="16"/>
          <w:szCs w:val="16"/>
        </w:rPr>
        <w:t xml:space="preserve">. </w:t>
      </w:r>
      <w:r w:rsidRPr="00326F31">
        <w:rPr>
          <w:rFonts w:asciiTheme="majorHAnsi" w:hAnsiTheme="majorHAnsi"/>
          <w:sz w:val="16"/>
          <w:szCs w:val="16"/>
        </w:rPr>
        <w:t xml:space="preserve">120; and I/A Court H.R., Case of </w:t>
      </w:r>
      <w:proofErr w:type="spellStart"/>
      <w:r w:rsidRPr="00326F31">
        <w:rPr>
          <w:rFonts w:asciiTheme="majorHAnsi" w:hAnsiTheme="majorHAnsi"/>
          <w:sz w:val="16"/>
          <w:szCs w:val="16"/>
        </w:rPr>
        <w:t>Huilca</w:t>
      </w:r>
      <w:proofErr w:type="spellEnd"/>
      <w:r w:rsidRPr="00326F31">
        <w:rPr>
          <w:rFonts w:asciiTheme="majorHAnsi" w:hAnsiTheme="majorHAnsi"/>
          <w:sz w:val="16"/>
          <w:szCs w:val="16"/>
        </w:rPr>
        <w:t xml:space="preserve"> </w:t>
      </w:r>
      <w:proofErr w:type="spellStart"/>
      <w:r w:rsidRPr="00326F31">
        <w:rPr>
          <w:rFonts w:asciiTheme="majorHAnsi" w:hAnsiTheme="majorHAnsi"/>
          <w:sz w:val="16"/>
          <w:szCs w:val="16"/>
        </w:rPr>
        <w:t>Tecse</w:t>
      </w:r>
      <w:proofErr w:type="spellEnd"/>
      <w:r w:rsidRPr="00326F31">
        <w:rPr>
          <w:rFonts w:asciiTheme="majorHAnsi" w:hAnsiTheme="majorHAnsi"/>
          <w:sz w:val="16"/>
          <w:szCs w:val="16"/>
        </w:rPr>
        <w:t xml:space="preserve"> v. Peru. </w:t>
      </w:r>
      <w:proofErr w:type="gramStart"/>
      <w:r w:rsidRPr="00326F31">
        <w:rPr>
          <w:rFonts w:asciiTheme="majorHAnsi" w:hAnsiTheme="majorHAnsi"/>
          <w:sz w:val="16"/>
          <w:szCs w:val="16"/>
        </w:rPr>
        <w:t>Merits, Reparations and Costs.</w:t>
      </w:r>
      <w:proofErr w:type="gramEnd"/>
      <w:r w:rsidRPr="00326F31">
        <w:rPr>
          <w:rFonts w:asciiTheme="majorHAnsi" w:hAnsiTheme="majorHAnsi"/>
          <w:sz w:val="16"/>
          <w:szCs w:val="16"/>
        </w:rPr>
        <w:t xml:space="preserve"> Judgment of March 3, 2005. Series C No. 121, para. </w:t>
      </w:r>
      <w:r w:rsidRPr="00C9052E">
        <w:rPr>
          <w:rFonts w:asciiTheme="majorHAnsi" w:hAnsiTheme="majorHAnsi"/>
          <w:sz w:val="16"/>
          <w:szCs w:val="16"/>
        </w:rPr>
        <w:t>66.</w:t>
      </w:r>
    </w:p>
  </w:footnote>
  <w:footnote w:id="181">
    <w:p w14:paraId="07801BAF" w14:textId="1AC68EA9" w:rsidR="00C45C34" w:rsidRPr="00C9052E" w:rsidRDefault="00C45C34" w:rsidP="00131FA4">
      <w:pPr>
        <w:pStyle w:val="FootnoteText"/>
        <w:tabs>
          <w:tab w:val="left" w:pos="360"/>
          <w:tab w:val="left" w:pos="900"/>
          <w:tab w:val="left" w:pos="1080"/>
        </w:tabs>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I/A Court H.R., Case of Zambrano </w:t>
      </w:r>
      <w:proofErr w:type="spellStart"/>
      <w:r w:rsidRPr="00326F31">
        <w:rPr>
          <w:rFonts w:asciiTheme="majorHAnsi" w:hAnsiTheme="majorHAnsi"/>
          <w:sz w:val="16"/>
          <w:szCs w:val="16"/>
        </w:rPr>
        <w:t>Vélez</w:t>
      </w:r>
      <w:proofErr w:type="spellEnd"/>
      <w:r w:rsidRPr="00326F31">
        <w:rPr>
          <w:rFonts w:asciiTheme="majorHAnsi" w:hAnsiTheme="majorHAnsi"/>
          <w:sz w:val="16"/>
          <w:szCs w:val="16"/>
        </w:rPr>
        <w:t xml:space="preserve"> et al. v. Ecuador. </w:t>
      </w:r>
      <w:proofErr w:type="gramStart"/>
      <w:r w:rsidRPr="00326F31">
        <w:rPr>
          <w:rFonts w:asciiTheme="majorHAnsi" w:hAnsiTheme="majorHAnsi"/>
          <w:sz w:val="16"/>
          <w:szCs w:val="16"/>
        </w:rPr>
        <w:t>Merits, Reparations and Costs.</w:t>
      </w:r>
      <w:proofErr w:type="gramEnd"/>
      <w:r w:rsidRPr="00326F31">
        <w:rPr>
          <w:rFonts w:asciiTheme="majorHAnsi" w:hAnsiTheme="majorHAnsi"/>
          <w:sz w:val="16"/>
          <w:szCs w:val="16"/>
        </w:rPr>
        <w:t xml:space="preserve"> </w:t>
      </w:r>
      <w:r w:rsidRPr="00C9052E">
        <w:rPr>
          <w:rFonts w:asciiTheme="majorHAnsi" w:hAnsiTheme="majorHAnsi"/>
          <w:sz w:val="16"/>
          <w:szCs w:val="16"/>
        </w:rPr>
        <w:t xml:space="preserve">Judgment of July 4, 2007. </w:t>
      </w:r>
      <w:proofErr w:type="gramStart"/>
      <w:r w:rsidRPr="00C9052E">
        <w:rPr>
          <w:rFonts w:asciiTheme="majorHAnsi" w:hAnsiTheme="majorHAnsi"/>
          <w:sz w:val="16"/>
          <w:szCs w:val="16"/>
        </w:rPr>
        <w:t>Series C No. 166, para 122.</w:t>
      </w:r>
      <w:proofErr w:type="gramEnd"/>
    </w:p>
  </w:footnote>
  <w:footnote w:id="182">
    <w:p w14:paraId="4C727B41" w14:textId="4F88A8E8"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w:t>
      </w:r>
      <w:proofErr w:type="gramStart"/>
      <w:r w:rsidRPr="00326F31">
        <w:rPr>
          <w:rFonts w:asciiTheme="majorHAnsi" w:hAnsiTheme="majorHAnsi"/>
          <w:sz w:val="16"/>
          <w:szCs w:val="16"/>
        </w:rPr>
        <w:t>As it has been indicated by the Inter-American Court in cases of serious human rights violations.</w:t>
      </w:r>
      <w:proofErr w:type="gramEnd"/>
      <w:r w:rsidRPr="00326F31">
        <w:rPr>
          <w:rFonts w:asciiTheme="majorHAnsi" w:hAnsiTheme="majorHAnsi"/>
          <w:sz w:val="16"/>
          <w:szCs w:val="16"/>
        </w:rPr>
        <w:t xml:space="preserve"> See, for example, </w:t>
      </w:r>
      <w:proofErr w:type="gramStart"/>
      <w:r w:rsidRPr="00326F31">
        <w:rPr>
          <w:rFonts w:asciiTheme="majorHAnsi" w:hAnsiTheme="majorHAnsi"/>
          <w:sz w:val="16"/>
          <w:szCs w:val="16"/>
        </w:rPr>
        <w:t>I/A</w:t>
      </w:r>
      <w:proofErr w:type="gramEnd"/>
      <w:r w:rsidRPr="00326F31">
        <w:rPr>
          <w:rFonts w:asciiTheme="majorHAnsi" w:hAnsiTheme="majorHAnsi"/>
          <w:sz w:val="16"/>
          <w:szCs w:val="16"/>
        </w:rPr>
        <w:t xml:space="preserve"> Court H.R., Case of the Pueblo Bello Massacre v. Colombia. </w:t>
      </w:r>
      <w:proofErr w:type="gramStart"/>
      <w:r w:rsidRPr="00326F31">
        <w:rPr>
          <w:rFonts w:asciiTheme="majorHAnsi" w:hAnsiTheme="majorHAnsi"/>
          <w:sz w:val="16"/>
          <w:szCs w:val="16"/>
        </w:rPr>
        <w:t>Merits, Reparations and Costs.</w:t>
      </w:r>
      <w:proofErr w:type="gramEnd"/>
      <w:r w:rsidRPr="00326F31">
        <w:rPr>
          <w:rFonts w:asciiTheme="majorHAnsi" w:hAnsiTheme="majorHAnsi"/>
          <w:sz w:val="16"/>
          <w:szCs w:val="16"/>
        </w:rPr>
        <w:t xml:space="preserve"> Judgment of January 31, 2006. Series C No. 140, para.143. </w:t>
      </w:r>
    </w:p>
  </w:footnote>
  <w:footnote w:id="183">
    <w:p w14:paraId="7BCF49BE" w14:textId="2B51F946" w:rsidR="00C45C34" w:rsidRPr="00C9052E"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I/A Court H.R., Case of </w:t>
      </w:r>
      <w:proofErr w:type="spellStart"/>
      <w:r w:rsidRPr="00326F31">
        <w:rPr>
          <w:rFonts w:asciiTheme="majorHAnsi" w:hAnsiTheme="majorHAnsi"/>
          <w:sz w:val="16"/>
          <w:szCs w:val="16"/>
        </w:rPr>
        <w:t>Escué</w:t>
      </w:r>
      <w:proofErr w:type="spellEnd"/>
      <w:r w:rsidRPr="00326F31">
        <w:rPr>
          <w:rFonts w:asciiTheme="majorHAnsi" w:hAnsiTheme="majorHAnsi"/>
          <w:sz w:val="16"/>
          <w:szCs w:val="16"/>
        </w:rPr>
        <w:t xml:space="preserve"> Zapata. v. Colombia. </w:t>
      </w:r>
      <w:proofErr w:type="gramStart"/>
      <w:r w:rsidRPr="00326F31">
        <w:rPr>
          <w:rFonts w:asciiTheme="majorHAnsi" w:hAnsiTheme="majorHAnsi"/>
          <w:sz w:val="16"/>
          <w:szCs w:val="16"/>
        </w:rPr>
        <w:t>Interpretation of the Judgment on Merits, Reparations and Costs.</w:t>
      </w:r>
      <w:proofErr w:type="gramEnd"/>
      <w:r w:rsidRPr="00326F31">
        <w:rPr>
          <w:rFonts w:asciiTheme="majorHAnsi" w:hAnsiTheme="majorHAnsi"/>
          <w:sz w:val="16"/>
          <w:szCs w:val="16"/>
        </w:rPr>
        <w:t xml:space="preserve"> </w:t>
      </w:r>
      <w:proofErr w:type="gramStart"/>
      <w:r w:rsidRPr="00326F31">
        <w:rPr>
          <w:rFonts w:asciiTheme="majorHAnsi" w:hAnsiTheme="majorHAnsi"/>
          <w:sz w:val="16"/>
          <w:szCs w:val="16"/>
        </w:rPr>
        <w:t xml:space="preserve">Judgment of May 5, 2008 Series C No. 178, para.106; I/A Court H.R., Case of </w:t>
      </w:r>
      <w:proofErr w:type="spellStart"/>
      <w:r w:rsidRPr="00326F31">
        <w:rPr>
          <w:rFonts w:asciiTheme="majorHAnsi" w:hAnsiTheme="majorHAnsi"/>
          <w:sz w:val="16"/>
          <w:szCs w:val="16"/>
        </w:rPr>
        <w:t>Radilla</w:t>
      </w:r>
      <w:proofErr w:type="spellEnd"/>
      <w:r w:rsidRPr="00326F31">
        <w:rPr>
          <w:rFonts w:asciiTheme="majorHAnsi" w:hAnsiTheme="majorHAnsi"/>
          <w:sz w:val="16"/>
          <w:szCs w:val="16"/>
        </w:rPr>
        <w:t xml:space="preserve"> Pacheco v. Mexico.</w:t>
      </w:r>
      <w:proofErr w:type="gramEnd"/>
      <w:r w:rsidRPr="00326F31">
        <w:rPr>
          <w:rFonts w:asciiTheme="majorHAnsi" w:hAnsiTheme="majorHAnsi"/>
          <w:sz w:val="16"/>
          <w:szCs w:val="16"/>
        </w:rPr>
        <w:t xml:space="preserve"> </w:t>
      </w:r>
      <w:proofErr w:type="gramStart"/>
      <w:r w:rsidRPr="00326F31">
        <w:rPr>
          <w:rFonts w:asciiTheme="majorHAnsi" w:hAnsiTheme="majorHAnsi"/>
          <w:sz w:val="16"/>
          <w:szCs w:val="16"/>
        </w:rPr>
        <w:t>Preliminary Objections, Merits, Reparations, and Costs.</w:t>
      </w:r>
      <w:proofErr w:type="gramEnd"/>
      <w:r w:rsidRPr="00326F31">
        <w:rPr>
          <w:rFonts w:asciiTheme="majorHAnsi" w:hAnsiTheme="majorHAnsi"/>
          <w:sz w:val="16"/>
          <w:szCs w:val="16"/>
        </w:rPr>
        <w:t xml:space="preserve"> Judgment of November 23, 2009. </w:t>
      </w:r>
      <w:r w:rsidRPr="00C9052E">
        <w:rPr>
          <w:rFonts w:asciiTheme="majorHAnsi" w:hAnsiTheme="majorHAnsi"/>
          <w:sz w:val="16"/>
          <w:szCs w:val="16"/>
        </w:rPr>
        <w:t xml:space="preserve">Series C No. 209, para.333. </w:t>
      </w:r>
    </w:p>
  </w:footnote>
  <w:footnote w:id="184">
    <w:p w14:paraId="4210D432" w14:textId="27CF45B0"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IACHR, Report on Access to Justice and Social Inclusion: The Road towards Strengthening Democracy in Bolivia. </w:t>
      </w:r>
      <w:proofErr w:type="gramStart"/>
      <w:r w:rsidRPr="00326F31">
        <w:rPr>
          <w:rFonts w:asciiTheme="majorHAnsi" w:hAnsiTheme="majorHAnsi"/>
          <w:sz w:val="16"/>
          <w:szCs w:val="16"/>
        </w:rPr>
        <w:t>June 28, 2007, para.</w:t>
      </w:r>
      <w:proofErr w:type="gramEnd"/>
      <w:r w:rsidRPr="00326F31">
        <w:rPr>
          <w:rFonts w:asciiTheme="majorHAnsi" w:hAnsiTheme="majorHAnsi"/>
          <w:sz w:val="16"/>
          <w:szCs w:val="16"/>
        </w:rPr>
        <w:t xml:space="preserve"> 153. Available at: </w:t>
      </w:r>
      <w:hyperlink r:id="rId51" w:history="1">
        <w:r w:rsidRPr="00326F31">
          <w:rPr>
            <w:rStyle w:val="Hyperlink"/>
            <w:rFonts w:asciiTheme="majorHAnsi" w:hAnsiTheme="majorHAnsi"/>
            <w:sz w:val="16"/>
            <w:szCs w:val="16"/>
          </w:rPr>
          <w:t>http://cidh.org/countryrep/Bolivia2007eng/Bolivia07indice.eng.htm</w:t>
        </w:r>
      </w:hyperlink>
      <w:r w:rsidRPr="00326F31">
        <w:rPr>
          <w:rFonts w:asciiTheme="majorHAnsi" w:hAnsiTheme="majorHAnsi"/>
          <w:sz w:val="16"/>
          <w:szCs w:val="16"/>
        </w:rPr>
        <w:t xml:space="preserve">. </w:t>
      </w:r>
    </w:p>
  </w:footnote>
  <w:footnote w:id="185">
    <w:p w14:paraId="29E2A953" w14:textId="7E71283B"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Pr>
          <w:rFonts w:asciiTheme="majorHAnsi" w:hAnsiTheme="majorHAnsi"/>
          <w:sz w:val="16"/>
          <w:szCs w:val="16"/>
        </w:rPr>
        <w:t xml:space="preserve"> Annex 62</w:t>
      </w:r>
      <w:r w:rsidRPr="00326F31">
        <w:rPr>
          <w:rFonts w:asciiTheme="majorHAnsi" w:hAnsiTheme="majorHAnsi"/>
          <w:sz w:val="16"/>
          <w:szCs w:val="16"/>
        </w:rPr>
        <w:t>. Decision of the Seventh Chamber of the Court of Appeals of the Criminal Judicial Circuit of the Metropolitan Area of Caracas, which dismisses the appeal, May 12, 2005, Annex II of the complaint filed before the IACHR on March 7, 2006.</w:t>
      </w:r>
    </w:p>
  </w:footnote>
  <w:footnote w:id="186">
    <w:p w14:paraId="557A3177" w14:textId="29B2528A"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Criminal Procedure Code, Official Gazette of the Bolivarian Republic of Venezuela No 5558 of 14-11-2001, available at: </w:t>
      </w:r>
      <w:hyperlink r:id="rId52" w:history="1">
        <w:r w:rsidRPr="00326F31">
          <w:rPr>
            <w:rStyle w:val="Hyperlink"/>
            <w:rFonts w:asciiTheme="majorHAnsi" w:hAnsiTheme="majorHAnsi"/>
            <w:sz w:val="16"/>
            <w:szCs w:val="16"/>
          </w:rPr>
          <w:t>http://www.oas.org/juridico/spanish/cyb_ven_Cod_Org_Pro_Penal.pdf</w:t>
        </w:r>
      </w:hyperlink>
      <w:r w:rsidRPr="00326F31">
        <w:rPr>
          <w:rFonts w:asciiTheme="majorHAnsi" w:hAnsiTheme="majorHAnsi"/>
          <w:sz w:val="16"/>
          <w:szCs w:val="16"/>
        </w:rPr>
        <w:t>.</w:t>
      </w:r>
      <w:r>
        <w:rPr>
          <w:rFonts w:asciiTheme="majorHAnsi" w:hAnsiTheme="majorHAnsi"/>
          <w:sz w:val="16"/>
          <w:szCs w:val="16"/>
        </w:rPr>
        <w:t xml:space="preserve"> </w:t>
      </w:r>
    </w:p>
  </w:footnote>
  <w:footnote w:id="187">
    <w:p w14:paraId="6D20C8A2" w14:textId="4B255C22"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506E20">
        <w:rPr>
          <w:rFonts w:asciiTheme="majorHAnsi" w:hAnsiTheme="majorHAnsi"/>
          <w:sz w:val="16"/>
          <w:szCs w:val="16"/>
        </w:rPr>
        <w:t xml:space="preserve"> I/A Court H.R., Case of Blake v. Guatemala. </w:t>
      </w:r>
      <w:proofErr w:type="gramStart"/>
      <w:r w:rsidRPr="00506E20">
        <w:rPr>
          <w:rFonts w:asciiTheme="majorHAnsi" w:hAnsiTheme="majorHAnsi"/>
          <w:sz w:val="16"/>
          <w:szCs w:val="16"/>
        </w:rPr>
        <w:t>Merits.</w:t>
      </w:r>
      <w:proofErr w:type="gramEnd"/>
      <w:r w:rsidRPr="00506E20">
        <w:rPr>
          <w:rFonts w:asciiTheme="majorHAnsi" w:hAnsiTheme="majorHAnsi"/>
          <w:sz w:val="16"/>
          <w:szCs w:val="16"/>
        </w:rPr>
        <w:t xml:space="preserve"> Judgment of January 24, 1998. Series C No. 36, para</w:t>
      </w:r>
      <w:r w:rsidRPr="00326F31">
        <w:rPr>
          <w:rFonts w:asciiTheme="majorHAnsi" w:hAnsiTheme="majorHAnsi"/>
          <w:sz w:val="16"/>
          <w:szCs w:val="16"/>
        </w:rPr>
        <w:t>. 103.</w:t>
      </w:r>
      <w:r>
        <w:rPr>
          <w:rFonts w:asciiTheme="majorHAnsi" w:hAnsiTheme="majorHAnsi"/>
          <w:sz w:val="16"/>
          <w:szCs w:val="16"/>
        </w:rPr>
        <w:t xml:space="preserve"> </w:t>
      </w:r>
    </w:p>
  </w:footnote>
  <w:footnote w:id="188">
    <w:p w14:paraId="23035226" w14:textId="5319D73B" w:rsidR="00C45C34" w:rsidRPr="00C9052E"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w:t>
      </w:r>
      <w:proofErr w:type="gramStart"/>
      <w:r w:rsidRPr="00326F31">
        <w:rPr>
          <w:rFonts w:asciiTheme="majorHAnsi" w:hAnsiTheme="majorHAnsi"/>
          <w:sz w:val="16"/>
          <w:szCs w:val="16"/>
        </w:rPr>
        <w:t xml:space="preserve">I/A Court H.R., Case of </w:t>
      </w:r>
      <w:proofErr w:type="spellStart"/>
      <w:r w:rsidRPr="00326F31">
        <w:rPr>
          <w:rFonts w:asciiTheme="majorHAnsi" w:hAnsiTheme="majorHAnsi"/>
          <w:sz w:val="16"/>
          <w:szCs w:val="16"/>
        </w:rPr>
        <w:t>Fornerón</w:t>
      </w:r>
      <w:proofErr w:type="spellEnd"/>
      <w:r w:rsidRPr="00326F31">
        <w:rPr>
          <w:rFonts w:asciiTheme="majorHAnsi" w:hAnsiTheme="majorHAnsi"/>
          <w:sz w:val="16"/>
          <w:szCs w:val="16"/>
        </w:rPr>
        <w:t xml:space="preserve"> and daughter v. Argentina.</w:t>
      </w:r>
      <w:proofErr w:type="gramEnd"/>
      <w:r w:rsidRPr="00326F31">
        <w:rPr>
          <w:rFonts w:asciiTheme="majorHAnsi" w:hAnsiTheme="majorHAnsi"/>
          <w:sz w:val="16"/>
          <w:szCs w:val="16"/>
        </w:rPr>
        <w:t xml:space="preserve"> </w:t>
      </w:r>
      <w:proofErr w:type="gramStart"/>
      <w:r w:rsidRPr="00326F31">
        <w:rPr>
          <w:rFonts w:asciiTheme="majorHAnsi" w:hAnsiTheme="majorHAnsi"/>
          <w:sz w:val="16"/>
          <w:szCs w:val="16"/>
        </w:rPr>
        <w:t>Merits, Reparations and Costs.</w:t>
      </w:r>
      <w:proofErr w:type="gramEnd"/>
      <w:r w:rsidRPr="00326F31">
        <w:rPr>
          <w:rFonts w:asciiTheme="majorHAnsi" w:hAnsiTheme="majorHAnsi"/>
          <w:sz w:val="16"/>
          <w:szCs w:val="16"/>
        </w:rPr>
        <w:t xml:space="preserve"> Judgment of April 27, 2012. Series C No. 242, para</w:t>
      </w:r>
      <w:r w:rsidRPr="00C9052E">
        <w:rPr>
          <w:rFonts w:asciiTheme="majorHAnsi" w:hAnsiTheme="majorHAnsi"/>
          <w:sz w:val="16"/>
          <w:szCs w:val="16"/>
        </w:rPr>
        <w:t>. 107.</w:t>
      </w:r>
      <w:r>
        <w:rPr>
          <w:rFonts w:asciiTheme="majorHAnsi" w:hAnsiTheme="majorHAnsi"/>
          <w:sz w:val="16"/>
          <w:szCs w:val="16"/>
        </w:rPr>
        <w:t xml:space="preserve"> </w:t>
      </w:r>
    </w:p>
  </w:footnote>
  <w:footnote w:id="189">
    <w:p w14:paraId="7A337436" w14:textId="77777777" w:rsidR="00C45C34" w:rsidRPr="00C9052E"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I/A Court H.R., Case of </w:t>
      </w:r>
      <w:proofErr w:type="spellStart"/>
      <w:r w:rsidRPr="00326F31">
        <w:rPr>
          <w:rFonts w:asciiTheme="majorHAnsi" w:hAnsiTheme="majorHAnsi"/>
          <w:sz w:val="16"/>
          <w:szCs w:val="16"/>
        </w:rPr>
        <w:t>Kawas</w:t>
      </w:r>
      <w:proofErr w:type="spellEnd"/>
      <w:r w:rsidRPr="00326F31">
        <w:rPr>
          <w:rFonts w:asciiTheme="majorHAnsi" w:hAnsiTheme="majorHAnsi"/>
          <w:sz w:val="16"/>
          <w:szCs w:val="16"/>
        </w:rPr>
        <w:t xml:space="preserve"> </w:t>
      </w:r>
      <w:proofErr w:type="spellStart"/>
      <w:r w:rsidRPr="00326F31">
        <w:rPr>
          <w:rFonts w:asciiTheme="majorHAnsi" w:hAnsiTheme="majorHAnsi"/>
          <w:sz w:val="16"/>
          <w:szCs w:val="16"/>
        </w:rPr>
        <w:t>Fernández</w:t>
      </w:r>
      <w:proofErr w:type="spellEnd"/>
      <w:r w:rsidRPr="00326F31">
        <w:rPr>
          <w:rFonts w:asciiTheme="majorHAnsi" w:hAnsiTheme="majorHAnsi"/>
          <w:sz w:val="16"/>
          <w:szCs w:val="16"/>
        </w:rPr>
        <w:t xml:space="preserve"> v. Honduras. </w:t>
      </w:r>
      <w:proofErr w:type="gramStart"/>
      <w:r w:rsidRPr="00326F31">
        <w:rPr>
          <w:rFonts w:asciiTheme="majorHAnsi" w:hAnsiTheme="majorHAnsi"/>
          <w:sz w:val="16"/>
          <w:szCs w:val="16"/>
        </w:rPr>
        <w:t>Merits, Reparations and Costs.</w:t>
      </w:r>
      <w:proofErr w:type="gramEnd"/>
      <w:r w:rsidRPr="00326F31">
        <w:rPr>
          <w:rFonts w:asciiTheme="majorHAnsi" w:hAnsiTheme="majorHAnsi"/>
          <w:sz w:val="16"/>
          <w:szCs w:val="16"/>
        </w:rPr>
        <w:t xml:space="preserve"> Judgment of April 3, 2009. </w:t>
      </w:r>
      <w:r w:rsidRPr="00C9052E">
        <w:rPr>
          <w:rFonts w:asciiTheme="majorHAnsi" w:hAnsiTheme="majorHAnsi"/>
          <w:sz w:val="16"/>
          <w:szCs w:val="16"/>
        </w:rPr>
        <w:t>Series C No. 196, para.112.</w:t>
      </w:r>
    </w:p>
  </w:footnote>
  <w:footnote w:id="190">
    <w:p w14:paraId="37951CDA" w14:textId="66623314" w:rsidR="00C45C34" w:rsidRPr="00326F31" w:rsidRDefault="00C45C34" w:rsidP="00131FA4">
      <w:pPr>
        <w:pStyle w:val="FootnoteText"/>
        <w:spacing w:after="120"/>
        <w:ind w:firstLine="720"/>
        <w:jc w:val="both"/>
        <w:rPr>
          <w:rFonts w:asciiTheme="majorHAnsi" w:hAnsiTheme="majorHAnsi"/>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See Article 26 of the Political Constitution of the Bolivarian Republic of Venezuela, available at: </w:t>
      </w:r>
      <w:hyperlink r:id="rId53" w:anchor="cap2sec2" w:history="1">
        <w:r w:rsidRPr="00326F31">
          <w:rPr>
            <w:rStyle w:val="Hyperlink"/>
            <w:rFonts w:asciiTheme="majorHAnsi" w:hAnsiTheme="majorHAnsi"/>
            <w:sz w:val="16"/>
            <w:szCs w:val="16"/>
          </w:rPr>
          <w:t>http://www.cne.gob.ve/web/normativa_electoral/constitucion/titulo3.php#cap2sec2</w:t>
        </w:r>
      </w:hyperlink>
      <w:r w:rsidRPr="00326F31">
        <w:rPr>
          <w:rFonts w:asciiTheme="majorHAnsi" w:hAnsiTheme="majorHAnsi"/>
          <w:sz w:val="16"/>
          <w:szCs w:val="16"/>
        </w:rPr>
        <w:t xml:space="preserve"> </w:t>
      </w:r>
    </w:p>
  </w:footnote>
  <w:footnote w:id="191">
    <w:p w14:paraId="6E119BF2" w14:textId="0A397E16" w:rsidR="00C45C34" w:rsidRPr="006A416F" w:rsidRDefault="00C45C34" w:rsidP="00131FA4">
      <w:pPr>
        <w:pStyle w:val="FootnoteText"/>
        <w:spacing w:after="120"/>
        <w:ind w:firstLine="720"/>
        <w:jc w:val="both"/>
        <w:rPr>
          <w:rFonts w:ascii="Cambria" w:hAnsi="Cambria"/>
          <w:sz w:val="16"/>
          <w:szCs w:val="16"/>
        </w:rPr>
      </w:pPr>
      <w:r w:rsidRPr="009B7A5D">
        <w:rPr>
          <w:rStyle w:val="FootnoteReference"/>
          <w:rFonts w:ascii="Cambria" w:hAnsi="Cambria"/>
          <w:sz w:val="16"/>
          <w:szCs w:val="16"/>
        </w:rPr>
        <w:footnoteRef/>
      </w:r>
      <w:r w:rsidRPr="006A416F">
        <w:rPr>
          <w:rFonts w:ascii="Cambria" w:hAnsi="Cambria"/>
          <w:sz w:val="16"/>
          <w:szCs w:val="16"/>
        </w:rPr>
        <w:t xml:space="preserve"> </w:t>
      </w:r>
      <w:proofErr w:type="spellStart"/>
      <w:proofErr w:type="gramStart"/>
      <w:r w:rsidRPr="006A416F">
        <w:rPr>
          <w:rFonts w:ascii="Cambria" w:hAnsi="Cambria"/>
          <w:sz w:val="16"/>
          <w:szCs w:val="16"/>
        </w:rPr>
        <w:t>Cfr</w:t>
      </w:r>
      <w:proofErr w:type="spellEnd"/>
      <w:r w:rsidRPr="006A416F">
        <w:rPr>
          <w:rFonts w:ascii="Cambria" w:hAnsi="Cambria"/>
          <w:sz w:val="16"/>
          <w:szCs w:val="16"/>
        </w:rPr>
        <w:t>.</w:t>
      </w:r>
      <w:proofErr w:type="gramEnd"/>
      <w:r w:rsidRPr="006A416F">
        <w:rPr>
          <w:rFonts w:ascii="Cambria" w:hAnsi="Cambria"/>
          <w:sz w:val="16"/>
          <w:szCs w:val="16"/>
        </w:rPr>
        <w:t xml:space="preserve"> </w:t>
      </w:r>
      <w:proofErr w:type="gramStart"/>
      <w:r w:rsidRPr="006A416F">
        <w:rPr>
          <w:rFonts w:ascii="Cambria" w:hAnsi="Cambria"/>
          <w:sz w:val="16"/>
          <w:szCs w:val="16"/>
        </w:rPr>
        <w:t xml:space="preserve">I/A Court H.R. Case of </w:t>
      </w:r>
      <w:proofErr w:type="spellStart"/>
      <w:r w:rsidRPr="006A416F">
        <w:rPr>
          <w:rFonts w:ascii="Cambria" w:hAnsi="Cambria"/>
          <w:sz w:val="16"/>
          <w:szCs w:val="16"/>
        </w:rPr>
        <w:t>Apitz</w:t>
      </w:r>
      <w:proofErr w:type="spellEnd"/>
      <w:r w:rsidRPr="006A416F">
        <w:rPr>
          <w:rFonts w:ascii="Cambria" w:hAnsi="Cambria"/>
          <w:sz w:val="16"/>
          <w:szCs w:val="16"/>
        </w:rPr>
        <w:t xml:space="preserve"> </w:t>
      </w:r>
      <w:proofErr w:type="spellStart"/>
      <w:r w:rsidRPr="006A416F">
        <w:rPr>
          <w:rFonts w:ascii="Cambria" w:hAnsi="Cambria"/>
          <w:sz w:val="16"/>
          <w:szCs w:val="16"/>
        </w:rPr>
        <w:t>Barbera</w:t>
      </w:r>
      <w:proofErr w:type="spellEnd"/>
      <w:r w:rsidRPr="006A416F">
        <w:rPr>
          <w:rFonts w:ascii="Cambria" w:hAnsi="Cambria"/>
          <w:sz w:val="16"/>
          <w:szCs w:val="16"/>
        </w:rPr>
        <w:t xml:space="preserve"> et al. (“First Court of Administrative Disputes”) v. Venezuela.</w:t>
      </w:r>
      <w:proofErr w:type="gramEnd"/>
      <w:r w:rsidRPr="006A416F">
        <w:rPr>
          <w:rFonts w:ascii="Cambria" w:hAnsi="Cambria"/>
          <w:sz w:val="16"/>
          <w:szCs w:val="16"/>
        </w:rPr>
        <w:t xml:space="preserve"> </w:t>
      </w:r>
      <w:proofErr w:type="gramStart"/>
      <w:r w:rsidRPr="006A416F">
        <w:rPr>
          <w:rFonts w:ascii="Cambria" w:hAnsi="Cambria"/>
          <w:sz w:val="16"/>
          <w:szCs w:val="16"/>
        </w:rPr>
        <w:t>Preliminary Objection, Merits, Reparations and Costs.</w:t>
      </w:r>
      <w:proofErr w:type="gramEnd"/>
      <w:r w:rsidRPr="006A416F">
        <w:rPr>
          <w:rFonts w:ascii="Cambria" w:hAnsi="Cambria"/>
          <w:sz w:val="16"/>
          <w:szCs w:val="16"/>
        </w:rPr>
        <w:t xml:space="preserve"> Judgment of August 5, 2008. Series C No. 182</w:t>
      </w:r>
      <w:r>
        <w:rPr>
          <w:rFonts w:ascii="Cambria" w:hAnsi="Cambria"/>
          <w:sz w:val="16"/>
          <w:szCs w:val="16"/>
        </w:rPr>
        <w:t>, paras</w:t>
      </w:r>
      <w:r w:rsidRPr="006A416F">
        <w:rPr>
          <w:rFonts w:ascii="Cambria" w:hAnsi="Cambria"/>
          <w:sz w:val="16"/>
          <w:szCs w:val="16"/>
        </w:rPr>
        <w:t xml:space="preserve">. </w:t>
      </w:r>
      <w:proofErr w:type="gramStart"/>
      <w:r w:rsidRPr="00506E20">
        <w:rPr>
          <w:rFonts w:ascii="Cambria" w:hAnsi="Cambria"/>
          <w:sz w:val="16"/>
          <w:szCs w:val="16"/>
        </w:rPr>
        <w:t>155 y 156.</w:t>
      </w:r>
      <w:proofErr w:type="gramEnd"/>
      <w:r w:rsidRPr="00506E20">
        <w:rPr>
          <w:rFonts w:ascii="Cambria" w:hAnsi="Cambria"/>
          <w:sz w:val="16"/>
          <w:szCs w:val="16"/>
        </w:rPr>
        <w:t xml:space="preserve"> </w:t>
      </w:r>
      <w:r w:rsidRPr="006A416F">
        <w:rPr>
          <w:rFonts w:asciiTheme="majorHAnsi" w:hAnsiTheme="majorHAnsi"/>
          <w:sz w:val="16"/>
          <w:szCs w:val="16"/>
        </w:rPr>
        <w:t xml:space="preserve">Organic Law on Protection of Rights and Constitutional Guarantees of 1988, available at: </w:t>
      </w:r>
      <w:hyperlink r:id="rId54" w:history="1">
        <w:r w:rsidRPr="006A416F">
          <w:rPr>
            <w:rStyle w:val="Hyperlink"/>
            <w:rFonts w:asciiTheme="majorHAnsi" w:hAnsiTheme="majorHAnsi"/>
            <w:sz w:val="16"/>
            <w:szCs w:val="16"/>
          </w:rPr>
          <w:t>http://www.tsj.gov.ve/legislacion/loadgc.html</w:t>
        </w:r>
      </w:hyperlink>
      <w:r w:rsidRPr="006A416F">
        <w:rPr>
          <w:rFonts w:asciiTheme="majorHAnsi" w:hAnsiTheme="majorHAnsi"/>
          <w:sz w:val="16"/>
          <w:szCs w:val="16"/>
        </w:rPr>
        <w:t>.</w:t>
      </w:r>
      <w:r w:rsidRPr="006A416F">
        <w:rPr>
          <w:rFonts w:ascii="Cambria" w:hAnsi="Cambria"/>
          <w:sz w:val="16"/>
          <w:szCs w:val="16"/>
        </w:rPr>
        <w:t xml:space="preserve">, </w:t>
      </w:r>
      <w:r>
        <w:rPr>
          <w:rFonts w:ascii="Cambria" w:hAnsi="Cambria"/>
          <w:sz w:val="16"/>
          <w:szCs w:val="16"/>
        </w:rPr>
        <w:t>establishes in its relevant parts:</w:t>
      </w:r>
    </w:p>
    <w:p w14:paraId="760B6548" w14:textId="4536B579" w:rsidR="00C45C34" w:rsidRPr="006A416F" w:rsidRDefault="00C45C34" w:rsidP="00131FA4">
      <w:pPr>
        <w:pStyle w:val="NormalWeb"/>
        <w:spacing w:before="0" w:beforeAutospacing="0" w:after="120" w:afterAutospacing="0"/>
        <w:ind w:firstLine="720"/>
        <w:jc w:val="both"/>
        <w:rPr>
          <w:rFonts w:ascii="Cambria" w:hAnsi="Cambria"/>
          <w:sz w:val="16"/>
          <w:szCs w:val="16"/>
        </w:rPr>
      </w:pPr>
      <w:proofErr w:type="gramStart"/>
      <w:r w:rsidRPr="006A416F">
        <w:rPr>
          <w:rFonts w:ascii="Cambria" w:hAnsi="Cambria"/>
          <w:sz w:val="16"/>
          <w:szCs w:val="16"/>
        </w:rPr>
        <w:t>Article 22.</w:t>
      </w:r>
      <w:proofErr w:type="gramEnd"/>
      <w:r w:rsidRPr="006A416F">
        <w:rPr>
          <w:rFonts w:ascii="Cambria" w:hAnsi="Cambria"/>
          <w:sz w:val="16"/>
          <w:szCs w:val="16"/>
        </w:rPr>
        <w:t xml:space="preserve"> The court hearing the application for</w:t>
      </w:r>
      <w:r>
        <w:rPr>
          <w:rFonts w:ascii="Cambria" w:hAnsi="Cambria"/>
          <w:sz w:val="16"/>
          <w:szCs w:val="16"/>
        </w:rPr>
        <w:t xml:space="preserve"> </w:t>
      </w:r>
      <w:proofErr w:type="spellStart"/>
      <w:r w:rsidRPr="006A416F">
        <w:rPr>
          <w:rFonts w:ascii="Cambria" w:hAnsi="Cambria"/>
          <w:i/>
          <w:sz w:val="16"/>
          <w:szCs w:val="16"/>
        </w:rPr>
        <w:t>amparo</w:t>
      </w:r>
      <w:proofErr w:type="spellEnd"/>
      <w:r w:rsidRPr="006A416F">
        <w:rPr>
          <w:rFonts w:ascii="Cambria" w:hAnsi="Cambria"/>
          <w:sz w:val="16"/>
          <w:szCs w:val="16"/>
        </w:rPr>
        <w:t xml:space="preserve"> shall have the power to restore the juridical situation, regardless of considerations of mere form without any preliminary investigation that precedes it.</w:t>
      </w:r>
    </w:p>
    <w:p w14:paraId="6D374C91" w14:textId="622EB2AE" w:rsidR="00C45C34" w:rsidRPr="006A416F" w:rsidRDefault="00C45C34" w:rsidP="00131FA4">
      <w:pPr>
        <w:pStyle w:val="NormalWeb"/>
        <w:spacing w:before="0" w:beforeAutospacing="0" w:after="120" w:afterAutospacing="0"/>
        <w:ind w:firstLine="720"/>
        <w:jc w:val="both"/>
        <w:rPr>
          <w:rFonts w:ascii="Cambria" w:hAnsi="Cambria"/>
          <w:sz w:val="16"/>
          <w:szCs w:val="16"/>
        </w:rPr>
      </w:pPr>
      <w:r w:rsidRPr="006A416F">
        <w:rPr>
          <w:rFonts w:ascii="Cambria" w:hAnsi="Cambria"/>
          <w:sz w:val="16"/>
          <w:szCs w:val="16"/>
        </w:rPr>
        <w:t>In this case, an order of protection must be motivated and be based on a means test that constitutes a serious presumption of violation or threat of violation.</w:t>
      </w:r>
    </w:p>
    <w:p w14:paraId="513A803D" w14:textId="59EE2479" w:rsidR="00C45C34" w:rsidRPr="006A416F" w:rsidRDefault="00C45C34" w:rsidP="00131FA4">
      <w:pPr>
        <w:pStyle w:val="NormalWeb"/>
        <w:spacing w:before="0" w:beforeAutospacing="0" w:after="120" w:afterAutospacing="0"/>
        <w:ind w:firstLine="720"/>
        <w:jc w:val="both"/>
        <w:rPr>
          <w:rFonts w:ascii="Cambria" w:hAnsi="Cambria"/>
          <w:sz w:val="16"/>
          <w:szCs w:val="16"/>
        </w:rPr>
      </w:pPr>
      <w:proofErr w:type="gramStart"/>
      <w:r w:rsidRPr="006A416F">
        <w:rPr>
          <w:rFonts w:ascii="Cambria" w:hAnsi="Cambria"/>
          <w:sz w:val="16"/>
          <w:szCs w:val="16"/>
        </w:rPr>
        <w:t>Article 23.</w:t>
      </w:r>
      <w:proofErr w:type="gramEnd"/>
      <w:r w:rsidRPr="006A416F">
        <w:rPr>
          <w:rFonts w:ascii="Cambria" w:hAnsi="Cambria"/>
          <w:sz w:val="16"/>
          <w:szCs w:val="16"/>
        </w:rPr>
        <w:t xml:space="preserve"> If the Judge chooses to restore immediately the juridical situation under the previous article,</w:t>
      </w:r>
      <w:r>
        <w:rPr>
          <w:rFonts w:ascii="Cambria" w:hAnsi="Cambria"/>
          <w:sz w:val="16"/>
          <w:szCs w:val="16"/>
        </w:rPr>
        <w:t xml:space="preserve"> he will</w:t>
      </w:r>
      <w:r w:rsidRPr="006A416F">
        <w:rPr>
          <w:rFonts w:ascii="Cambria" w:hAnsi="Cambria"/>
          <w:sz w:val="16"/>
          <w:szCs w:val="16"/>
        </w:rPr>
        <w:t xml:space="preserve"> order the authority, institution, social organization or individual alleged to violate or threaten the right or constitutional guarantee, that within forty-eight (48) hours, counted from the respective notification, </w:t>
      </w:r>
      <w:r>
        <w:rPr>
          <w:rFonts w:ascii="Cambria" w:hAnsi="Cambria"/>
          <w:sz w:val="16"/>
          <w:szCs w:val="16"/>
        </w:rPr>
        <w:t xml:space="preserve">file a </w:t>
      </w:r>
      <w:r w:rsidRPr="006A416F">
        <w:rPr>
          <w:rFonts w:ascii="Cambria" w:hAnsi="Cambria"/>
          <w:sz w:val="16"/>
          <w:szCs w:val="16"/>
        </w:rPr>
        <w:t>report on the alleged violation or threat that gave rise to the injunction request.</w:t>
      </w:r>
    </w:p>
    <w:p w14:paraId="45F49187" w14:textId="0F8AEDBC" w:rsidR="00C45C34" w:rsidRDefault="00C45C34" w:rsidP="00131FA4">
      <w:pPr>
        <w:pStyle w:val="NormalWeb"/>
        <w:spacing w:before="0" w:beforeAutospacing="0" w:after="120" w:afterAutospacing="0"/>
        <w:ind w:firstLine="720"/>
        <w:jc w:val="both"/>
        <w:rPr>
          <w:rFonts w:ascii="Cambria" w:hAnsi="Cambria"/>
          <w:sz w:val="16"/>
          <w:szCs w:val="16"/>
        </w:rPr>
      </w:pPr>
      <w:r>
        <w:rPr>
          <w:rFonts w:ascii="Cambria" w:hAnsi="Cambria"/>
          <w:sz w:val="16"/>
          <w:szCs w:val="16"/>
        </w:rPr>
        <w:t>The lack of the corresponding report will be</w:t>
      </w:r>
      <w:r w:rsidRPr="006A416F">
        <w:rPr>
          <w:rFonts w:ascii="Cambria" w:hAnsi="Cambria"/>
          <w:sz w:val="16"/>
          <w:szCs w:val="16"/>
        </w:rPr>
        <w:t xml:space="preserve"> understood as acceptance of the offenses in question.</w:t>
      </w:r>
    </w:p>
    <w:p w14:paraId="21CB8639" w14:textId="0AFC0C6C" w:rsidR="00C45C34" w:rsidRPr="006A416F" w:rsidRDefault="00C45C34" w:rsidP="00131FA4">
      <w:pPr>
        <w:pStyle w:val="NormalWeb"/>
        <w:spacing w:before="0" w:beforeAutospacing="0" w:after="120" w:afterAutospacing="0"/>
        <w:ind w:firstLine="720"/>
        <w:jc w:val="both"/>
        <w:rPr>
          <w:rFonts w:ascii="Cambria" w:hAnsi="Cambria"/>
          <w:sz w:val="16"/>
          <w:szCs w:val="16"/>
        </w:rPr>
      </w:pPr>
      <w:proofErr w:type="gramStart"/>
      <w:r w:rsidRPr="006A416F">
        <w:rPr>
          <w:rFonts w:ascii="Cambria" w:hAnsi="Cambria"/>
          <w:sz w:val="16"/>
          <w:szCs w:val="16"/>
        </w:rPr>
        <w:t>Article 26.</w:t>
      </w:r>
      <w:proofErr w:type="gramEnd"/>
      <w:r w:rsidRPr="006A416F">
        <w:rPr>
          <w:rFonts w:ascii="Cambria" w:hAnsi="Cambria"/>
          <w:sz w:val="16"/>
          <w:szCs w:val="16"/>
        </w:rPr>
        <w:t xml:space="preserve"> The court hearing the </w:t>
      </w:r>
      <w:proofErr w:type="spellStart"/>
      <w:r w:rsidRPr="006A416F">
        <w:rPr>
          <w:rFonts w:ascii="Cambria" w:hAnsi="Cambria"/>
          <w:i/>
          <w:sz w:val="16"/>
          <w:szCs w:val="16"/>
        </w:rPr>
        <w:t>amparo</w:t>
      </w:r>
      <w:proofErr w:type="spellEnd"/>
      <w:r w:rsidRPr="006A416F">
        <w:rPr>
          <w:rFonts w:ascii="Cambria" w:hAnsi="Cambria"/>
          <w:i/>
          <w:sz w:val="16"/>
          <w:szCs w:val="16"/>
        </w:rPr>
        <w:t>,</w:t>
      </w:r>
      <w:r w:rsidRPr="006A416F">
        <w:rPr>
          <w:rFonts w:ascii="Cambria" w:hAnsi="Cambria"/>
          <w:sz w:val="16"/>
          <w:szCs w:val="16"/>
        </w:rPr>
        <w:t xml:space="preserve"> </w:t>
      </w:r>
      <w:r>
        <w:rPr>
          <w:rFonts w:ascii="Cambria" w:hAnsi="Cambria"/>
          <w:sz w:val="16"/>
          <w:szCs w:val="16"/>
        </w:rPr>
        <w:t xml:space="preserve">will </w:t>
      </w:r>
      <w:r w:rsidRPr="006A416F">
        <w:rPr>
          <w:rFonts w:ascii="Cambria" w:hAnsi="Cambria"/>
          <w:sz w:val="16"/>
          <w:szCs w:val="16"/>
        </w:rPr>
        <w:t>set within nin</w:t>
      </w:r>
      <w:r>
        <w:rPr>
          <w:rFonts w:ascii="Cambria" w:hAnsi="Cambria"/>
          <w:sz w:val="16"/>
          <w:szCs w:val="16"/>
        </w:rPr>
        <w:t>ety-six (96) hours</w:t>
      </w:r>
      <w:r w:rsidRPr="006A416F">
        <w:rPr>
          <w:rFonts w:ascii="Cambria" w:hAnsi="Cambria"/>
          <w:sz w:val="16"/>
          <w:szCs w:val="16"/>
        </w:rPr>
        <w:t xml:space="preserve"> following the presentation of the report by the alleged offender or the expiration of their respec</w:t>
      </w:r>
      <w:r>
        <w:rPr>
          <w:rFonts w:ascii="Cambria" w:hAnsi="Cambria"/>
          <w:sz w:val="16"/>
          <w:szCs w:val="16"/>
        </w:rPr>
        <w:t>tive term, the opportunity</w:t>
      </w:r>
      <w:r w:rsidRPr="006A416F">
        <w:rPr>
          <w:rFonts w:ascii="Cambria" w:hAnsi="Cambria"/>
          <w:sz w:val="16"/>
          <w:szCs w:val="16"/>
        </w:rPr>
        <w:t xml:space="preserve"> for the parties or their legal representatives express, orally and publicly, the respective arguments.</w:t>
      </w:r>
    </w:p>
    <w:p w14:paraId="58E2C424" w14:textId="259385E7" w:rsidR="00C45C34" w:rsidRPr="006A416F" w:rsidRDefault="00C45C34" w:rsidP="00131FA4">
      <w:pPr>
        <w:pStyle w:val="NormalWeb"/>
        <w:spacing w:before="0" w:beforeAutospacing="0" w:after="120" w:afterAutospacing="0"/>
        <w:ind w:firstLine="720"/>
        <w:jc w:val="both"/>
        <w:rPr>
          <w:rFonts w:ascii="Cambria" w:hAnsi="Cambria"/>
          <w:sz w:val="16"/>
          <w:szCs w:val="16"/>
        </w:rPr>
      </w:pPr>
      <w:r w:rsidRPr="006A416F">
        <w:rPr>
          <w:rFonts w:ascii="Cambria" w:hAnsi="Cambria"/>
          <w:sz w:val="16"/>
          <w:szCs w:val="16"/>
        </w:rPr>
        <w:t xml:space="preserve">Carried out that measure, the Judge will have a non-extendable term of twenty-four (24) hours to decide the </w:t>
      </w:r>
      <w:r>
        <w:rPr>
          <w:rFonts w:ascii="Cambria" w:hAnsi="Cambria"/>
          <w:sz w:val="16"/>
          <w:szCs w:val="16"/>
        </w:rPr>
        <w:t xml:space="preserve">application for constitutional </w:t>
      </w:r>
      <w:proofErr w:type="spellStart"/>
      <w:r w:rsidRPr="006A416F">
        <w:rPr>
          <w:rFonts w:ascii="Cambria" w:hAnsi="Cambria"/>
          <w:i/>
          <w:sz w:val="16"/>
          <w:szCs w:val="16"/>
        </w:rPr>
        <w:t>amparo</w:t>
      </w:r>
      <w:proofErr w:type="spellEnd"/>
      <w:r w:rsidRPr="006A416F">
        <w:rPr>
          <w:rFonts w:ascii="Cambria" w:hAnsi="Cambria"/>
          <w:i/>
          <w:sz w:val="16"/>
          <w:szCs w:val="16"/>
        </w:rPr>
        <w:t>.</w:t>
      </w:r>
    </w:p>
  </w:footnote>
  <w:footnote w:id="192">
    <w:p w14:paraId="1F3ADC52" w14:textId="36274C3D" w:rsidR="00C45C34" w:rsidRPr="00C9052E" w:rsidRDefault="00C45C34" w:rsidP="00131FA4">
      <w:pPr>
        <w:pStyle w:val="FootnoteText"/>
        <w:spacing w:after="120"/>
        <w:ind w:firstLine="720"/>
        <w:jc w:val="both"/>
        <w:rPr>
          <w:rFonts w:ascii="Cambria" w:hAnsi="Cambria"/>
          <w:sz w:val="16"/>
          <w:szCs w:val="16"/>
        </w:rPr>
      </w:pPr>
      <w:r w:rsidRPr="00326F31">
        <w:rPr>
          <w:rStyle w:val="FootnoteReference"/>
          <w:rFonts w:asciiTheme="majorHAnsi" w:hAnsiTheme="majorHAnsi"/>
          <w:sz w:val="16"/>
          <w:szCs w:val="16"/>
        </w:rPr>
        <w:footnoteRef/>
      </w:r>
      <w:r w:rsidRPr="00326F31">
        <w:rPr>
          <w:rFonts w:asciiTheme="majorHAnsi" w:hAnsiTheme="majorHAnsi"/>
          <w:sz w:val="16"/>
          <w:szCs w:val="16"/>
        </w:rPr>
        <w:t xml:space="preserve"> </w:t>
      </w:r>
      <w:proofErr w:type="gramStart"/>
      <w:r w:rsidRPr="00326F31">
        <w:rPr>
          <w:rFonts w:asciiTheme="majorHAnsi" w:hAnsiTheme="majorHAnsi"/>
          <w:sz w:val="16"/>
          <w:szCs w:val="16"/>
        </w:rPr>
        <w:t>Organic Law on Protection of Rights and Constitutional Guarantees of 1988, arts.</w:t>
      </w:r>
      <w:proofErr w:type="gramEnd"/>
      <w:r w:rsidRPr="00326F31">
        <w:rPr>
          <w:rFonts w:asciiTheme="majorHAnsi" w:hAnsiTheme="majorHAnsi"/>
          <w:sz w:val="16"/>
          <w:szCs w:val="16"/>
        </w:rPr>
        <w:t xml:space="preserve"> </w:t>
      </w:r>
      <w:r w:rsidRPr="00C9052E">
        <w:rPr>
          <w:rFonts w:asciiTheme="majorHAnsi" w:hAnsiTheme="majorHAnsi"/>
          <w:sz w:val="16"/>
          <w:szCs w:val="16"/>
        </w:rPr>
        <w:t xml:space="preserve">4, 13, available at: </w:t>
      </w:r>
      <w:hyperlink r:id="rId55" w:history="1">
        <w:r w:rsidRPr="00C9052E">
          <w:rPr>
            <w:rStyle w:val="Hyperlink"/>
            <w:rFonts w:asciiTheme="majorHAnsi" w:hAnsiTheme="majorHAnsi"/>
            <w:sz w:val="16"/>
            <w:szCs w:val="16"/>
          </w:rPr>
          <w:t>http://www.tsj.gov.ve/legislacion/loadgc.html</w:t>
        </w:r>
      </w:hyperlink>
      <w:r w:rsidRPr="00C9052E">
        <w:rPr>
          <w:rFonts w:asciiTheme="majorHAnsi" w:hAnsiTheme="maj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04B12" w14:textId="77777777" w:rsidR="00C45C34" w:rsidRDefault="00C45C34" w:rsidP="004B316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5ACA709" w14:textId="77777777" w:rsidR="00C45C34" w:rsidRDefault="00C45C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F3C0F" w14:textId="13DC8DAB" w:rsidR="00C45C34" w:rsidRDefault="00C45C34" w:rsidP="00A50FCF">
    <w:pPr>
      <w:pStyle w:val="Header"/>
      <w:tabs>
        <w:tab w:val="clear" w:pos="4320"/>
        <w:tab w:val="clear" w:pos="8640"/>
      </w:tabs>
      <w:jc w:val="center"/>
      <w:rPr>
        <w:sz w:val="22"/>
        <w:szCs w:val="22"/>
      </w:rPr>
    </w:pPr>
    <w:r w:rsidRPr="001D502F">
      <w:rPr>
        <w:noProof/>
        <w:sz w:val="22"/>
        <w:szCs w:val="22"/>
      </w:rPr>
      <w:drawing>
        <wp:inline distT="0" distB="0" distL="0" distR="0" wp14:anchorId="07BF6950" wp14:editId="7D39220F">
          <wp:extent cx="2208530" cy="118745"/>
          <wp:effectExtent l="0" t="0" r="1270" b="0"/>
          <wp:docPr id="3" name="Imagen 3"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118745"/>
                  </a:xfrm>
                  <a:prstGeom prst="rect">
                    <a:avLst/>
                  </a:prstGeom>
                  <a:noFill/>
                  <a:ln>
                    <a:noFill/>
                  </a:ln>
                </pic:spPr>
              </pic:pic>
            </a:graphicData>
          </a:graphic>
        </wp:inline>
      </w:drawing>
    </w:r>
  </w:p>
  <w:p w14:paraId="3ED00A27" w14:textId="77777777" w:rsidR="00C45C34" w:rsidRPr="00EC7D62" w:rsidRDefault="00F30897" w:rsidP="00A50FCF">
    <w:pPr>
      <w:pStyle w:val="Header"/>
      <w:tabs>
        <w:tab w:val="clear" w:pos="4320"/>
        <w:tab w:val="clear" w:pos="8640"/>
      </w:tabs>
      <w:jc w:val="center"/>
      <w:rPr>
        <w:sz w:val="22"/>
        <w:szCs w:val="22"/>
      </w:rPr>
    </w:pPr>
    <w:r>
      <w:rPr>
        <w:sz w:val="22"/>
        <w:szCs w:val="22"/>
      </w:rPr>
      <w:pict w14:anchorId="1AF324E4">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90328C"/>
    <w:lvl w:ilvl="0">
      <w:start w:val="1"/>
      <w:numFmt w:val="bullet"/>
      <w:pStyle w:val="NoSpacing"/>
      <w:lvlText w:val=""/>
      <w:lvlJc w:val="left"/>
      <w:pPr>
        <w:tabs>
          <w:tab w:val="num" w:pos="0"/>
        </w:tabs>
      </w:pPr>
      <w:rPr>
        <w:rFonts w:ascii="Symbol" w:hAnsi="Symbol" w:hint="default"/>
      </w:rPr>
    </w:lvl>
    <w:lvl w:ilvl="1">
      <w:start w:val="1"/>
      <w:numFmt w:val="bullet"/>
      <w:pStyle w:val="LightShading1"/>
      <w:lvlText w:val=""/>
      <w:lvlJc w:val="left"/>
      <w:pPr>
        <w:tabs>
          <w:tab w:val="num" w:pos="720"/>
        </w:tabs>
        <w:ind w:left="1080" w:hanging="360"/>
      </w:pPr>
      <w:rPr>
        <w:rFonts w:ascii="Symbol" w:hAnsi="Symbol" w:hint="default"/>
      </w:rPr>
    </w:lvl>
    <w:lvl w:ilvl="2">
      <w:start w:val="1"/>
      <w:numFmt w:val="bullet"/>
      <w:pStyle w:val="LightList1"/>
      <w:lvlText w:val="o"/>
      <w:lvlJc w:val="left"/>
      <w:pPr>
        <w:tabs>
          <w:tab w:val="num" w:pos="1440"/>
        </w:tabs>
        <w:ind w:left="1800" w:hanging="360"/>
      </w:pPr>
      <w:rPr>
        <w:rFonts w:ascii="Courier New" w:hAnsi="Courier New" w:hint="default"/>
      </w:rPr>
    </w:lvl>
    <w:lvl w:ilvl="3">
      <w:start w:val="1"/>
      <w:numFmt w:val="bullet"/>
      <w:pStyle w:val="LightGrid1"/>
      <w:lvlText w:val=""/>
      <w:lvlJc w:val="left"/>
      <w:pPr>
        <w:tabs>
          <w:tab w:val="num" w:pos="2160"/>
        </w:tabs>
        <w:ind w:left="2520" w:hanging="360"/>
      </w:pPr>
      <w:rPr>
        <w:rFonts w:ascii="Wingdings" w:hAnsi="Wingdings" w:hint="default"/>
      </w:rPr>
    </w:lvl>
    <w:lvl w:ilvl="4">
      <w:start w:val="1"/>
      <w:numFmt w:val="bullet"/>
      <w:pStyle w:val="MediumShading11"/>
      <w:lvlText w:val=""/>
      <w:lvlJc w:val="left"/>
      <w:pPr>
        <w:tabs>
          <w:tab w:val="num" w:pos="2880"/>
        </w:tabs>
        <w:ind w:left="3240" w:hanging="360"/>
      </w:pPr>
      <w:rPr>
        <w:rFonts w:ascii="Wingdings" w:hAnsi="Wingdings" w:hint="default"/>
      </w:rPr>
    </w:lvl>
    <w:lvl w:ilvl="5">
      <w:start w:val="1"/>
      <w:numFmt w:val="bullet"/>
      <w:pStyle w:val="MediumShading21"/>
      <w:lvlText w:val=""/>
      <w:lvlJc w:val="left"/>
      <w:pPr>
        <w:tabs>
          <w:tab w:val="num" w:pos="3600"/>
        </w:tabs>
        <w:ind w:left="3960" w:hanging="360"/>
      </w:pPr>
      <w:rPr>
        <w:rFonts w:ascii="Symbol" w:hAnsi="Symbol" w:hint="default"/>
      </w:rPr>
    </w:lvl>
    <w:lvl w:ilvl="6">
      <w:start w:val="1"/>
      <w:numFmt w:val="bullet"/>
      <w:pStyle w:val="MediumList11"/>
      <w:lvlText w:val="o"/>
      <w:lvlJc w:val="left"/>
      <w:pPr>
        <w:tabs>
          <w:tab w:val="num" w:pos="4320"/>
        </w:tabs>
        <w:ind w:left="4680" w:hanging="360"/>
      </w:pPr>
      <w:rPr>
        <w:rFonts w:ascii="Courier New" w:hAnsi="Courier New" w:hint="default"/>
      </w:rPr>
    </w:lvl>
    <w:lvl w:ilvl="7">
      <w:start w:val="1"/>
      <w:numFmt w:val="bullet"/>
      <w:pStyle w:val="MediumList21"/>
      <w:lvlText w:val=""/>
      <w:lvlJc w:val="left"/>
      <w:pPr>
        <w:tabs>
          <w:tab w:val="num" w:pos="5040"/>
        </w:tabs>
        <w:ind w:left="5400" w:hanging="360"/>
      </w:pPr>
      <w:rPr>
        <w:rFonts w:ascii="Wingdings" w:hAnsi="Wingdings" w:hint="default"/>
      </w:rPr>
    </w:lvl>
    <w:lvl w:ilvl="8">
      <w:start w:val="1"/>
      <w:numFmt w:val="bullet"/>
      <w:pStyle w:val="Estilo5"/>
      <w:lvlText w:val=""/>
      <w:lvlJc w:val="left"/>
      <w:pPr>
        <w:tabs>
          <w:tab w:val="num" w:pos="5760"/>
        </w:tabs>
        <w:ind w:left="6120" w:hanging="360"/>
      </w:pPr>
      <w:rPr>
        <w:rFonts w:ascii="Wingdings" w:hAnsi="Wingdings" w:hint="default"/>
      </w:r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595340C"/>
    <w:multiLevelType w:val="hybridMultilevel"/>
    <w:tmpl w:val="082E2974"/>
    <w:lvl w:ilvl="0" w:tplc="B7280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7D3EB2"/>
    <w:multiLevelType w:val="hybridMultilevel"/>
    <w:tmpl w:val="0860CF78"/>
    <w:lvl w:ilvl="0" w:tplc="46E66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FFF7F79"/>
    <w:multiLevelType w:val="hybridMultilevel"/>
    <w:tmpl w:val="DB6E93C0"/>
    <w:lvl w:ilvl="0" w:tplc="C0D662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7C65472"/>
    <w:multiLevelType w:val="hybridMultilevel"/>
    <w:tmpl w:val="B4603AC6"/>
    <w:lvl w:ilvl="0" w:tplc="1DF2145E">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0424"/>
    <w:multiLevelType w:val="hybridMultilevel"/>
    <w:tmpl w:val="28EC4CF0"/>
    <w:lvl w:ilvl="0" w:tplc="16B68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DC61D90"/>
    <w:multiLevelType w:val="hybridMultilevel"/>
    <w:tmpl w:val="7EA4E954"/>
    <w:lvl w:ilvl="0" w:tplc="8C565DD2">
      <w:start w:val="1"/>
      <w:numFmt w:val="decimal"/>
      <w:lvlText w:val="%1."/>
      <w:lvlJc w:val="left"/>
      <w:pPr>
        <w:tabs>
          <w:tab w:val="num" w:pos="1080"/>
        </w:tabs>
        <w:ind w:left="1080" w:hanging="360"/>
      </w:pPr>
      <w:rPr>
        <w:rFonts w:ascii="Cambria" w:hAnsi="Cambria" w:cs="Times New Roman" w:hint="default"/>
        <w:b w:val="0"/>
        <w:i w:val="0"/>
        <w:sz w:val="20"/>
        <w:szCs w:val="20"/>
        <w:lang w:val="es-ES_tradn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EDC4859"/>
    <w:multiLevelType w:val="hybridMultilevel"/>
    <w:tmpl w:val="D3528C34"/>
    <w:lvl w:ilvl="0" w:tplc="16B68AC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7B63B5"/>
    <w:multiLevelType w:val="hybridMultilevel"/>
    <w:tmpl w:val="89F4C518"/>
    <w:lvl w:ilvl="0" w:tplc="C43A80A0">
      <w:start w:val="1"/>
      <w:numFmt w:val="upperRoman"/>
      <w:pStyle w:val="Heading1"/>
      <w:lvlText w:val="%1."/>
      <w:lvlJc w:val="left"/>
      <w:pPr>
        <w:tabs>
          <w:tab w:val="num" w:pos="1080"/>
        </w:tabs>
        <w:ind w:left="1080" w:hanging="720"/>
      </w:pPr>
      <w:rPr>
        <w:rFonts w:hint="default"/>
      </w:rPr>
    </w:lvl>
    <w:lvl w:ilvl="1" w:tplc="736A0FE4">
      <w:start w:val="2"/>
      <w:numFmt w:val="upp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A73262A"/>
    <w:multiLevelType w:val="hybridMultilevel"/>
    <w:tmpl w:val="0F78D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6A101BB"/>
    <w:multiLevelType w:val="hybridMultilevel"/>
    <w:tmpl w:val="50C04F4C"/>
    <w:lvl w:ilvl="0" w:tplc="CB3E82CC">
      <w:start w:val="1"/>
      <w:numFmt w:val="upperRoman"/>
      <w:lvlText w:val="%1."/>
      <w:lvlJc w:val="left"/>
      <w:pPr>
        <w:tabs>
          <w:tab w:val="num" w:pos="1440"/>
        </w:tabs>
        <w:ind w:left="1440" w:hanging="720"/>
      </w:pPr>
      <w:rPr>
        <w:rFonts w:cs="Times New Roman" w:hint="default"/>
        <w:b/>
      </w:rPr>
    </w:lvl>
    <w:lvl w:ilvl="1" w:tplc="1DF2145E">
      <w:start w:val="1"/>
      <w:numFmt w:val="decimal"/>
      <w:lvlText w:val="%2."/>
      <w:lvlJc w:val="left"/>
      <w:pPr>
        <w:tabs>
          <w:tab w:val="num" w:pos="1800"/>
        </w:tabs>
        <w:ind w:left="1800" w:hanging="360"/>
      </w:pPr>
      <w:rPr>
        <w:rFonts w:cs="Times New Roman" w:hint="default"/>
      </w:rPr>
    </w:lvl>
    <w:lvl w:ilvl="2" w:tplc="881EAA16">
      <w:start w:val="1"/>
      <w:numFmt w:val="lowerLetter"/>
      <w:lvlText w:val="%3)"/>
      <w:lvlJc w:val="left"/>
      <w:pPr>
        <w:tabs>
          <w:tab w:val="num" w:pos="2700"/>
        </w:tabs>
        <w:ind w:left="2700" w:hanging="360"/>
      </w:pPr>
      <w:rPr>
        <w:rFonts w:cs="Times New Roman" w:hint="default"/>
      </w:rPr>
    </w:lvl>
    <w:lvl w:ilvl="3" w:tplc="B87E3F4A">
      <w:start w:val="2"/>
      <w:numFmt w:val="upperLetter"/>
      <w:lvlText w:val="%4."/>
      <w:lvlJc w:val="left"/>
      <w:pPr>
        <w:tabs>
          <w:tab w:val="num" w:pos="3240"/>
        </w:tabs>
        <w:ind w:left="3240" w:hanging="360"/>
      </w:pPr>
      <w:rPr>
        <w:rFonts w:cs="Times New Roman" w:hint="default"/>
      </w:rPr>
    </w:lvl>
    <w:lvl w:ilvl="4" w:tplc="817A8DEA">
      <w:start w:val="5"/>
      <w:numFmt w:val="bullet"/>
      <w:lvlText w:val="-"/>
      <w:lvlJc w:val="left"/>
      <w:pPr>
        <w:ind w:left="3960" w:hanging="360"/>
      </w:pPr>
      <w:rPr>
        <w:rFonts w:ascii="Cambria" w:eastAsia="Arial Unicode MS" w:hAnsi="Cambria" w:cs="Times New Roman" w:hint="default"/>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4">
    <w:nsid w:val="66BE5E6A"/>
    <w:multiLevelType w:val="hybridMultilevel"/>
    <w:tmpl w:val="99A4964C"/>
    <w:lvl w:ilvl="0" w:tplc="B95E0210">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E64D32"/>
    <w:multiLevelType w:val="hybridMultilevel"/>
    <w:tmpl w:val="9F8AF72C"/>
    <w:lvl w:ilvl="0" w:tplc="B09255D8">
      <w:start w:val="1"/>
      <w:numFmt w:val="decimal"/>
      <w:lvlText w:val="%1."/>
      <w:lvlJc w:val="left"/>
      <w:pPr>
        <w:tabs>
          <w:tab w:val="num" w:pos="0"/>
        </w:tabs>
      </w:pPr>
      <w:rPr>
        <w:rFonts w:ascii="Verdana" w:eastAsia="Times New Roman" w:hAnsi="Verdana" w:cs="Times New Roman" w:hint="default"/>
        <w:b w:val="0"/>
        <w:i w:val="0"/>
        <w:strike w:val="0"/>
        <w:color w:val="auto"/>
        <w:sz w:val="20"/>
      </w:rPr>
    </w:lvl>
    <w:lvl w:ilvl="1" w:tplc="3AAA13E2">
      <w:start w:val="1"/>
      <w:numFmt w:val="decimal"/>
      <w:lvlText w:val="%2."/>
      <w:lvlJc w:val="left"/>
      <w:pPr>
        <w:tabs>
          <w:tab w:val="num" w:pos="0"/>
        </w:tabs>
      </w:pPr>
      <w:rPr>
        <w:rFonts w:ascii="Verdana" w:eastAsia="Times New Roman" w:hAnsi="Verdana" w:cs="Times New Roman" w:hint="default"/>
        <w:b/>
        <w:i w:val="0"/>
        <w:strike w:val="0"/>
        <w:color w:val="auto"/>
        <w:sz w:val="20"/>
      </w:rPr>
    </w:lvl>
    <w:lvl w:ilvl="2" w:tplc="0409001B">
      <w:start w:val="1"/>
      <w:numFmt w:val="lowerRoman"/>
      <w:pStyle w:val="Estilo7"/>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9"/>
  </w:num>
  <w:num w:numId="4">
    <w:abstractNumId w:val="23"/>
  </w:num>
  <w:num w:numId="5">
    <w:abstractNumId w:val="52"/>
  </w:num>
  <w:num w:numId="6">
    <w:abstractNumId w:val="29"/>
  </w:num>
  <w:num w:numId="7">
    <w:abstractNumId w:val="8"/>
  </w:num>
  <w:num w:numId="8">
    <w:abstractNumId w:val="18"/>
  </w:num>
  <w:num w:numId="9">
    <w:abstractNumId w:val="47"/>
  </w:num>
  <w:num w:numId="10">
    <w:abstractNumId w:val="1"/>
  </w:num>
  <w:num w:numId="11">
    <w:abstractNumId w:val="41"/>
  </w:num>
  <w:num w:numId="12">
    <w:abstractNumId w:val="42"/>
  </w:num>
  <w:num w:numId="13">
    <w:abstractNumId w:val="49"/>
  </w:num>
  <w:num w:numId="14">
    <w:abstractNumId w:val="2"/>
  </w:num>
  <w:num w:numId="15">
    <w:abstractNumId w:val="3"/>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4"/>
  </w:num>
  <w:num w:numId="28">
    <w:abstractNumId w:val="25"/>
  </w:num>
  <w:num w:numId="29">
    <w:abstractNumId w:val="26"/>
  </w:num>
  <w:num w:numId="30">
    <w:abstractNumId w:val="28"/>
  </w:num>
  <w:num w:numId="31">
    <w:abstractNumId w:val="30"/>
  </w:num>
  <w:num w:numId="32">
    <w:abstractNumId w:val="34"/>
  </w:num>
  <w:num w:numId="33">
    <w:abstractNumId w:val="35"/>
  </w:num>
  <w:num w:numId="34">
    <w:abstractNumId w:val="36"/>
  </w:num>
  <w:num w:numId="35">
    <w:abstractNumId w:val="37"/>
  </w:num>
  <w:num w:numId="36">
    <w:abstractNumId w:val="38"/>
  </w:num>
  <w:num w:numId="37">
    <w:abstractNumId w:val="39"/>
  </w:num>
  <w:num w:numId="38">
    <w:abstractNumId w:val="40"/>
  </w:num>
  <w:num w:numId="39">
    <w:abstractNumId w:val="44"/>
  </w:num>
  <w:num w:numId="40">
    <w:abstractNumId w:val="45"/>
  </w:num>
  <w:num w:numId="41">
    <w:abstractNumId w:val="51"/>
  </w:num>
  <w:num w:numId="42">
    <w:abstractNumId w:val="55"/>
  </w:num>
  <w:num w:numId="43">
    <w:abstractNumId w:val="56"/>
  </w:num>
  <w:num w:numId="44">
    <w:abstractNumId w:val="57"/>
  </w:num>
  <w:num w:numId="45">
    <w:abstractNumId w:val="58"/>
  </w:num>
  <w:num w:numId="46">
    <w:abstractNumId w:val="60"/>
  </w:num>
  <w:num w:numId="47">
    <w:abstractNumId w:val="61"/>
  </w:num>
  <w:num w:numId="48">
    <w:abstractNumId w:val="62"/>
  </w:num>
  <w:num w:numId="49">
    <w:abstractNumId w:val="64"/>
  </w:num>
  <w:num w:numId="50">
    <w:abstractNumId w:val="65"/>
  </w:num>
  <w:num w:numId="51">
    <w:abstractNumId w:val="22"/>
  </w:num>
  <w:num w:numId="52">
    <w:abstractNumId w:val="46"/>
  </w:num>
  <w:num w:numId="53">
    <w:abstractNumId w:val="50"/>
  </w:num>
  <w:num w:numId="54">
    <w:abstractNumId w:val="43"/>
  </w:num>
  <w:num w:numId="55">
    <w:abstractNumId w:val="53"/>
  </w:num>
  <w:num w:numId="56">
    <w:abstractNumId w:val="0"/>
  </w:num>
  <w:num w:numId="57">
    <w:abstractNumId w:val="63"/>
  </w:num>
  <w:num w:numId="58">
    <w:abstractNumId w:val="32"/>
  </w:num>
  <w:num w:numId="59">
    <w:abstractNumId w:val="31"/>
  </w:num>
  <w:num w:numId="60">
    <w:abstractNumId w:val="33"/>
  </w:num>
  <w:num w:numId="61">
    <w:abstractNumId w:val="27"/>
  </w:num>
  <w:num w:numId="62">
    <w:abstractNumId w:val="21"/>
  </w:num>
  <w:num w:numId="63">
    <w:abstractNumId w:val="7"/>
  </w:num>
  <w:num w:numId="64">
    <w:abstractNumId w:val="54"/>
  </w:num>
  <w:num w:numId="65">
    <w:abstractNumId w:val="6"/>
  </w:num>
  <w:num w:numId="66">
    <w:abstractNumId w:val="4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pt-BR" w:vendorID="64" w:dllVersion="131078" w:nlCheck="1" w:checkStyle="0"/>
  <w:activeWritingStyle w:appName="MSWord" w:lang="es-VE"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C" w:vendorID="64" w:dllVersion="131078" w:nlCheck="1" w:checkStyle="1"/>
  <w:activeWritingStyle w:appName="MSWord" w:lang="es-CL" w:vendorID="64" w:dllVersion="131078" w:nlCheck="1" w:checkStyle="1"/>
  <w:activeWritingStyle w:appName="MSWord" w:lang="es-AR" w:vendorID="64" w:dllVersion="131078" w:nlCheck="1" w:checkStyle="1"/>
  <w:activeWritingStyle w:appName="MSWord" w:lang="es-DO" w:vendorID="64" w:dllVersion="131078" w:nlCheck="1" w:checkStyle="1"/>
  <w:activeWritingStyle w:appName="MSWord" w:lang="fr-CA" w:vendorID="64" w:dllVersion="131078" w:nlCheck="1" w:checkStyle="1"/>
  <w:activeWritingStyle w:appName="MSWord" w:lang="es-PE" w:vendorID="64" w:dllVersion="131078" w:nlCheck="1" w:checkStyle="1"/>
  <w:activeWritingStyle w:appName="MSWord" w:lang="es-CR" w:vendorID="64" w:dllVersion="131078" w:nlCheck="1" w:checkStyle="1"/>
  <w:activeWritingStyle w:appName="MSWord" w:lang="fr-FR" w:vendorID="64" w:dllVersion="131078" w:nlCheck="1" w:checkStyle="1"/>
  <w:proofState w:spelling="clean" w:grammar="clean"/>
  <w:defaultTabStop w:val="720"/>
  <w:hyphenationZone w:val="425"/>
  <w:characterSpacingControl w:val="doNotCompress"/>
  <w:hdrShapeDefaults>
    <o:shapedefaults v:ext="edit" spidmax="10242"/>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14F"/>
    <w:rsid w:val="0000036F"/>
    <w:rsid w:val="00000472"/>
    <w:rsid w:val="00000665"/>
    <w:rsid w:val="00000CDA"/>
    <w:rsid w:val="0000270F"/>
    <w:rsid w:val="00003017"/>
    <w:rsid w:val="00003585"/>
    <w:rsid w:val="00003756"/>
    <w:rsid w:val="000038FC"/>
    <w:rsid w:val="00003C0A"/>
    <w:rsid w:val="00003C98"/>
    <w:rsid w:val="00003E8B"/>
    <w:rsid w:val="00004260"/>
    <w:rsid w:val="00004A86"/>
    <w:rsid w:val="00004DE7"/>
    <w:rsid w:val="00005228"/>
    <w:rsid w:val="00005F8B"/>
    <w:rsid w:val="00006210"/>
    <w:rsid w:val="000065BB"/>
    <w:rsid w:val="0000665B"/>
    <w:rsid w:val="00006B28"/>
    <w:rsid w:val="00006E1F"/>
    <w:rsid w:val="000070D7"/>
    <w:rsid w:val="00007135"/>
    <w:rsid w:val="0000713D"/>
    <w:rsid w:val="0000721C"/>
    <w:rsid w:val="00007C3A"/>
    <w:rsid w:val="00007E1F"/>
    <w:rsid w:val="00010E7B"/>
    <w:rsid w:val="00010F73"/>
    <w:rsid w:val="0001139F"/>
    <w:rsid w:val="00011BFA"/>
    <w:rsid w:val="00011D28"/>
    <w:rsid w:val="00012E69"/>
    <w:rsid w:val="00013262"/>
    <w:rsid w:val="00013EF8"/>
    <w:rsid w:val="00015B68"/>
    <w:rsid w:val="00015CF2"/>
    <w:rsid w:val="00016669"/>
    <w:rsid w:val="000167C9"/>
    <w:rsid w:val="00016D84"/>
    <w:rsid w:val="0001714B"/>
    <w:rsid w:val="0001788C"/>
    <w:rsid w:val="00017896"/>
    <w:rsid w:val="00017D12"/>
    <w:rsid w:val="00020576"/>
    <w:rsid w:val="00021607"/>
    <w:rsid w:val="000216C0"/>
    <w:rsid w:val="00021B34"/>
    <w:rsid w:val="00022008"/>
    <w:rsid w:val="0002248F"/>
    <w:rsid w:val="00023070"/>
    <w:rsid w:val="000234A9"/>
    <w:rsid w:val="0002440E"/>
    <w:rsid w:val="00024A8B"/>
    <w:rsid w:val="00024A9E"/>
    <w:rsid w:val="000258DF"/>
    <w:rsid w:val="00027093"/>
    <w:rsid w:val="00027161"/>
    <w:rsid w:val="00027921"/>
    <w:rsid w:val="000308E4"/>
    <w:rsid w:val="00030CF4"/>
    <w:rsid w:val="00030EEA"/>
    <w:rsid w:val="00030EEC"/>
    <w:rsid w:val="0003140D"/>
    <w:rsid w:val="00032C1D"/>
    <w:rsid w:val="00032DB2"/>
    <w:rsid w:val="00033798"/>
    <w:rsid w:val="00033C0A"/>
    <w:rsid w:val="00033D3F"/>
    <w:rsid w:val="000345D8"/>
    <w:rsid w:val="000348CD"/>
    <w:rsid w:val="00034B08"/>
    <w:rsid w:val="00035898"/>
    <w:rsid w:val="00036090"/>
    <w:rsid w:val="00036409"/>
    <w:rsid w:val="0003681B"/>
    <w:rsid w:val="0003738C"/>
    <w:rsid w:val="00037C0D"/>
    <w:rsid w:val="00040AE9"/>
    <w:rsid w:val="00040C3A"/>
    <w:rsid w:val="0004176A"/>
    <w:rsid w:val="000422ED"/>
    <w:rsid w:val="000423AC"/>
    <w:rsid w:val="00042615"/>
    <w:rsid w:val="00042707"/>
    <w:rsid w:val="000428AA"/>
    <w:rsid w:val="00042AA3"/>
    <w:rsid w:val="0004316F"/>
    <w:rsid w:val="00043A9B"/>
    <w:rsid w:val="000443AB"/>
    <w:rsid w:val="000444CD"/>
    <w:rsid w:val="0004481A"/>
    <w:rsid w:val="00044D50"/>
    <w:rsid w:val="00044DFD"/>
    <w:rsid w:val="000452BC"/>
    <w:rsid w:val="000455F8"/>
    <w:rsid w:val="00045932"/>
    <w:rsid w:val="00046100"/>
    <w:rsid w:val="0004618D"/>
    <w:rsid w:val="00046395"/>
    <w:rsid w:val="000465C7"/>
    <w:rsid w:val="0004682F"/>
    <w:rsid w:val="00046C0E"/>
    <w:rsid w:val="00050A98"/>
    <w:rsid w:val="00050BD1"/>
    <w:rsid w:val="00052C79"/>
    <w:rsid w:val="000531B7"/>
    <w:rsid w:val="0005362B"/>
    <w:rsid w:val="00053C8B"/>
    <w:rsid w:val="00053D00"/>
    <w:rsid w:val="00054266"/>
    <w:rsid w:val="00054BCE"/>
    <w:rsid w:val="00054D12"/>
    <w:rsid w:val="00055001"/>
    <w:rsid w:val="0005571E"/>
    <w:rsid w:val="00055963"/>
    <w:rsid w:val="00055FAD"/>
    <w:rsid w:val="00056D2E"/>
    <w:rsid w:val="00056E11"/>
    <w:rsid w:val="00057C20"/>
    <w:rsid w:val="000603D5"/>
    <w:rsid w:val="000608B5"/>
    <w:rsid w:val="00062052"/>
    <w:rsid w:val="00062663"/>
    <w:rsid w:val="00062A19"/>
    <w:rsid w:val="00062AD7"/>
    <w:rsid w:val="00062B74"/>
    <w:rsid w:val="000646CE"/>
    <w:rsid w:val="00064A26"/>
    <w:rsid w:val="00064A4D"/>
    <w:rsid w:val="00064D5C"/>
    <w:rsid w:val="00064D7F"/>
    <w:rsid w:val="00064F88"/>
    <w:rsid w:val="000659A5"/>
    <w:rsid w:val="00065A77"/>
    <w:rsid w:val="000664AA"/>
    <w:rsid w:val="00066DC1"/>
    <w:rsid w:val="00066DC3"/>
    <w:rsid w:val="00066EF9"/>
    <w:rsid w:val="0006717D"/>
    <w:rsid w:val="00067387"/>
    <w:rsid w:val="000673D7"/>
    <w:rsid w:val="0007061E"/>
    <w:rsid w:val="0007068E"/>
    <w:rsid w:val="00070D39"/>
    <w:rsid w:val="00070D46"/>
    <w:rsid w:val="0007147B"/>
    <w:rsid w:val="000716C5"/>
    <w:rsid w:val="00072A6F"/>
    <w:rsid w:val="00073559"/>
    <w:rsid w:val="0007379B"/>
    <w:rsid w:val="000738B8"/>
    <w:rsid w:val="00073936"/>
    <w:rsid w:val="0007430D"/>
    <w:rsid w:val="00074A70"/>
    <w:rsid w:val="00075027"/>
    <w:rsid w:val="000756B3"/>
    <w:rsid w:val="00075E23"/>
    <w:rsid w:val="00075F8F"/>
    <w:rsid w:val="000766DB"/>
    <w:rsid w:val="0007700D"/>
    <w:rsid w:val="000771A8"/>
    <w:rsid w:val="000776FB"/>
    <w:rsid w:val="00077E68"/>
    <w:rsid w:val="0008002E"/>
    <w:rsid w:val="00080090"/>
    <w:rsid w:val="00081241"/>
    <w:rsid w:val="000819B7"/>
    <w:rsid w:val="00082D95"/>
    <w:rsid w:val="000832CE"/>
    <w:rsid w:val="00083661"/>
    <w:rsid w:val="000838F8"/>
    <w:rsid w:val="0008426D"/>
    <w:rsid w:val="00084A48"/>
    <w:rsid w:val="000852BF"/>
    <w:rsid w:val="00085AAE"/>
    <w:rsid w:val="000862C6"/>
    <w:rsid w:val="0008725D"/>
    <w:rsid w:val="000873CC"/>
    <w:rsid w:val="00087C95"/>
    <w:rsid w:val="00087F4C"/>
    <w:rsid w:val="00090355"/>
    <w:rsid w:val="00091369"/>
    <w:rsid w:val="00093196"/>
    <w:rsid w:val="00093275"/>
    <w:rsid w:val="0009344A"/>
    <w:rsid w:val="000936FF"/>
    <w:rsid w:val="00093BD2"/>
    <w:rsid w:val="00093C1D"/>
    <w:rsid w:val="0009424C"/>
    <w:rsid w:val="000949E4"/>
    <w:rsid w:val="00095BE7"/>
    <w:rsid w:val="000971C4"/>
    <w:rsid w:val="00097447"/>
    <w:rsid w:val="000978D9"/>
    <w:rsid w:val="0009791F"/>
    <w:rsid w:val="00097DA5"/>
    <w:rsid w:val="000A0655"/>
    <w:rsid w:val="000A0743"/>
    <w:rsid w:val="000A0D6F"/>
    <w:rsid w:val="000A17E2"/>
    <w:rsid w:val="000A2C5F"/>
    <w:rsid w:val="000A3352"/>
    <w:rsid w:val="000A392E"/>
    <w:rsid w:val="000A3ADC"/>
    <w:rsid w:val="000A4648"/>
    <w:rsid w:val="000A495B"/>
    <w:rsid w:val="000A546E"/>
    <w:rsid w:val="000A55A4"/>
    <w:rsid w:val="000A56CB"/>
    <w:rsid w:val="000A575F"/>
    <w:rsid w:val="000A5CD6"/>
    <w:rsid w:val="000A7128"/>
    <w:rsid w:val="000A73B5"/>
    <w:rsid w:val="000A76B6"/>
    <w:rsid w:val="000A7E6B"/>
    <w:rsid w:val="000B08E4"/>
    <w:rsid w:val="000B0AB4"/>
    <w:rsid w:val="000B0AD2"/>
    <w:rsid w:val="000B15F9"/>
    <w:rsid w:val="000B21D2"/>
    <w:rsid w:val="000B2D3E"/>
    <w:rsid w:val="000B2FC1"/>
    <w:rsid w:val="000B30B2"/>
    <w:rsid w:val="000B33A5"/>
    <w:rsid w:val="000B389F"/>
    <w:rsid w:val="000B421C"/>
    <w:rsid w:val="000B5C0D"/>
    <w:rsid w:val="000B60D1"/>
    <w:rsid w:val="000B68EE"/>
    <w:rsid w:val="000B7473"/>
    <w:rsid w:val="000B77D4"/>
    <w:rsid w:val="000C185A"/>
    <w:rsid w:val="000C1AEB"/>
    <w:rsid w:val="000C1C31"/>
    <w:rsid w:val="000C1C40"/>
    <w:rsid w:val="000C21D9"/>
    <w:rsid w:val="000C246A"/>
    <w:rsid w:val="000C2D1E"/>
    <w:rsid w:val="000C326B"/>
    <w:rsid w:val="000C3537"/>
    <w:rsid w:val="000C35AA"/>
    <w:rsid w:val="000C38D0"/>
    <w:rsid w:val="000C39A1"/>
    <w:rsid w:val="000C3FAF"/>
    <w:rsid w:val="000C4608"/>
    <w:rsid w:val="000C46DB"/>
    <w:rsid w:val="000C49E5"/>
    <w:rsid w:val="000C5BC3"/>
    <w:rsid w:val="000C5BC5"/>
    <w:rsid w:val="000C606A"/>
    <w:rsid w:val="000C6197"/>
    <w:rsid w:val="000C6396"/>
    <w:rsid w:val="000C6E2F"/>
    <w:rsid w:val="000D0883"/>
    <w:rsid w:val="000D10DB"/>
    <w:rsid w:val="000D2264"/>
    <w:rsid w:val="000D2B31"/>
    <w:rsid w:val="000D2FEA"/>
    <w:rsid w:val="000D3087"/>
    <w:rsid w:val="000D38BF"/>
    <w:rsid w:val="000D4302"/>
    <w:rsid w:val="000D4EDA"/>
    <w:rsid w:val="000D5813"/>
    <w:rsid w:val="000D5F45"/>
    <w:rsid w:val="000D63AB"/>
    <w:rsid w:val="000D6940"/>
    <w:rsid w:val="000D6C2C"/>
    <w:rsid w:val="000D77A5"/>
    <w:rsid w:val="000D7D62"/>
    <w:rsid w:val="000D7E5C"/>
    <w:rsid w:val="000E15E0"/>
    <w:rsid w:val="000E1735"/>
    <w:rsid w:val="000E2C13"/>
    <w:rsid w:val="000E2F92"/>
    <w:rsid w:val="000E36DB"/>
    <w:rsid w:val="000E4430"/>
    <w:rsid w:val="000E4DE0"/>
    <w:rsid w:val="000E5573"/>
    <w:rsid w:val="000E5EB5"/>
    <w:rsid w:val="000E5F2D"/>
    <w:rsid w:val="000E68C0"/>
    <w:rsid w:val="000E696E"/>
    <w:rsid w:val="000E6BB4"/>
    <w:rsid w:val="000E6D56"/>
    <w:rsid w:val="000E6F30"/>
    <w:rsid w:val="000E74A1"/>
    <w:rsid w:val="000E786A"/>
    <w:rsid w:val="000E79C6"/>
    <w:rsid w:val="000E7DB1"/>
    <w:rsid w:val="000E7F36"/>
    <w:rsid w:val="000F02CF"/>
    <w:rsid w:val="000F05CF"/>
    <w:rsid w:val="000F0D25"/>
    <w:rsid w:val="000F144C"/>
    <w:rsid w:val="000F1BFB"/>
    <w:rsid w:val="000F200D"/>
    <w:rsid w:val="000F37CF"/>
    <w:rsid w:val="000F4860"/>
    <w:rsid w:val="000F5F5D"/>
    <w:rsid w:val="000F60D7"/>
    <w:rsid w:val="000F6422"/>
    <w:rsid w:val="000F675E"/>
    <w:rsid w:val="000F6BAD"/>
    <w:rsid w:val="00100C29"/>
    <w:rsid w:val="00100DF8"/>
    <w:rsid w:val="0010163B"/>
    <w:rsid w:val="00101CD1"/>
    <w:rsid w:val="00101D95"/>
    <w:rsid w:val="001020F4"/>
    <w:rsid w:val="0010210A"/>
    <w:rsid w:val="00103340"/>
    <w:rsid w:val="001048C3"/>
    <w:rsid w:val="00104D50"/>
    <w:rsid w:val="00104EEF"/>
    <w:rsid w:val="00104F8F"/>
    <w:rsid w:val="00105618"/>
    <w:rsid w:val="00105B63"/>
    <w:rsid w:val="00105BF1"/>
    <w:rsid w:val="00105C91"/>
    <w:rsid w:val="001063C9"/>
    <w:rsid w:val="00106BB9"/>
    <w:rsid w:val="00106D45"/>
    <w:rsid w:val="00107131"/>
    <w:rsid w:val="001072D6"/>
    <w:rsid w:val="001072DB"/>
    <w:rsid w:val="0010736F"/>
    <w:rsid w:val="00107C28"/>
    <w:rsid w:val="00107DE1"/>
    <w:rsid w:val="001108C5"/>
    <w:rsid w:val="00111119"/>
    <w:rsid w:val="0011146D"/>
    <w:rsid w:val="00111D90"/>
    <w:rsid w:val="00112E9A"/>
    <w:rsid w:val="001135F0"/>
    <w:rsid w:val="001137BC"/>
    <w:rsid w:val="00113F73"/>
    <w:rsid w:val="0011455B"/>
    <w:rsid w:val="001148E3"/>
    <w:rsid w:val="00114A3E"/>
    <w:rsid w:val="00114F8B"/>
    <w:rsid w:val="00114FA2"/>
    <w:rsid w:val="0011518A"/>
    <w:rsid w:val="0011559D"/>
    <w:rsid w:val="001159C2"/>
    <w:rsid w:val="00116A99"/>
    <w:rsid w:val="00116DE9"/>
    <w:rsid w:val="0011729F"/>
    <w:rsid w:val="00117804"/>
    <w:rsid w:val="001179C8"/>
    <w:rsid w:val="001207B6"/>
    <w:rsid w:val="00121CC2"/>
    <w:rsid w:val="00121DA5"/>
    <w:rsid w:val="001244C2"/>
    <w:rsid w:val="0012463E"/>
    <w:rsid w:val="00124FDB"/>
    <w:rsid w:val="0012544F"/>
    <w:rsid w:val="001256DB"/>
    <w:rsid w:val="00125A0D"/>
    <w:rsid w:val="00125D1F"/>
    <w:rsid w:val="00126439"/>
    <w:rsid w:val="001271B3"/>
    <w:rsid w:val="001272DF"/>
    <w:rsid w:val="0013019B"/>
    <w:rsid w:val="001302EC"/>
    <w:rsid w:val="00131531"/>
    <w:rsid w:val="001317DE"/>
    <w:rsid w:val="00131D92"/>
    <w:rsid w:val="00131FA4"/>
    <w:rsid w:val="00132419"/>
    <w:rsid w:val="00132556"/>
    <w:rsid w:val="00132991"/>
    <w:rsid w:val="00132BB6"/>
    <w:rsid w:val="00133EE5"/>
    <w:rsid w:val="00134213"/>
    <w:rsid w:val="001348B4"/>
    <w:rsid w:val="0013490B"/>
    <w:rsid w:val="00134CAE"/>
    <w:rsid w:val="00134EC9"/>
    <w:rsid w:val="00135773"/>
    <w:rsid w:val="00135AFF"/>
    <w:rsid w:val="001362B9"/>
    <w:rsid w:val="00136BF2"/>
    <w:rsid w:val="00136BFD"/>
    <w:rsid w:val="00136C3F"/>
    <w:rsid w:val="00137255"/>
    <w:rsid w:val="001375A9"/>
    <w:rsid w:val="00137B73"/>
    <w:rsid w:val="00137DCE"/>
    <w:rsid w:val="0014020B"/>
    <w:rsid w:val="00140ED0"/>
    <w:rsid w:val="001414D2"/>
    <w:rsid w:val="00141EE4"/>
    <w:rsid w:val="00142959"/>
    <w:rsid w:val="00142F23"/>
    <w:rsid w:val="001435E4"/>
    <w:rsid w:val="00144168"/>
    <w:rsid w:val="0014430E"/>
    <w:rsid w:val="00144A3C"/>
    <w:rsid w:val="00144E97"/>
    <w:rsid w:val="00144F7B"/>
    <w:rsid w:val="00144F9D"/>
    <w:rsid w:val="0014640C"/>
    <w:rsid w:val="001464BE"/>
    <w:rsid w:val="00146DFF"/>
    <w:rsid w:val="00147374"/>
    <w:rsid w:val="0014754E"/>
    <w:rsid w:val="00147CDE"/>
    <w:rsid w:val="00150901"/>
    <w:rsid w:val="001509F1"/>
    <w:rsid w:val="001518CD"/>
    <w:rsid w:val="001518FF"/>
    <w:rsid w:val="00151A9C"/>
    <w:rsid w:val="00153168"/>
    <w:rsid w:val="00153902"/>
    <w:rsid w:val="0015428A"/>
    <w:rsid w:val="00154311"/>
    <w:rsid w:val="0015476E"/>
    <w:rsid w:val="00155C93"/>
    <w:rsid w:val="00155CBD"/>
    <w:rsid w:val="0015623F"/>
    <w:rsid w:val="0015653E"/>
    <w:rsid w:val="001567E9"/>
    <w:rsid w:val="00156F91"/>
    <w:rsid w:val="0016081C"/>
    <w:rsid w:val="0016148D"/>
    <w:rsid w:val="001629BF"/>
    <w:rsid w:val="00163AF3"/>
    <w:rsid w:val="001642A7"/>
    <w:rsid w:val="001644A9"/>
    <w:rsid w:val="00165554"/>
    <w:rsid w:val="00165B4C"/>
    <w:rsid w:val="00165F1E"/>
    <w:rsid w:val="0016638B"/>
    <w:rsid w:val="0016793E"/>
    <w:rsid w:val="00167A34"/>
    <w:rsid w:val="00167A48"/>
    <w:rsid w:val="0017016B"/>
    <w:rsid w:val="00171223"/>
    <w:rsid w:val="00171A98"/>
    <w:rsid w:val="00172786"/>
    <w:rsid w:val="00172BA6"/>
    <w:rsid w:val="00173BFF"/>
    <w:rsid w:val="00173E25"/>
    <w:rsid w:val="00174320"/>
    <w:rsid w:val="00175231"/>
    <w:rsid w:val="00175358"/>
    <w:rsid w:val="00175520"/>
    <w:rsid w:val="00175ABB"/>
    <w:rsid w:val="00176353"/>
    <w:rsid w:val="001770BB"/>
    <w:rsid w:val="001777FD"/>
    <w:rsid w:val="0017788C"/>
    <w:rsid w:val="001801B2"/>
    <w:rsid w:val="001801CE"/>
    <w:rsid w:val="00180AF9"/>
    <w:rsid w:val="00181839"/>
    <w:rsid w:val="00181F9D"/>
    <w:rsid w:val="00182075"/>
    <w:rsid w:val="001820E3"/>
    <w:rsid w:val="00182194"/>
    <w:rsid w:val="00182E76"/>
    <w:rsid w:val="00182F97"/>
    <w:rsid w:val="0018301D"/>
    <w:rsid w:val="00183B96"/>
    <w:rsid w:val="00183D57"/>
    <w:rsid w:val="0018406F"/>
    <w:rsid w:val="00184368"/>
    <w:rsid w:val="00184CD1"/>
    <w:rsid w:val="0018609E"/>
    <w:rsid w:val="001869BA"/>
    <w:rsid w:val="00186D50"/>
    <w:rsid w:val="001875BF"/>
    <w:rsid w:val="00187970"/>
    <w:rsid w:val="00187F36"/>
    <w:rsid w:val="001904BF"/>
    <w:rsid w:val="0019090E"/>
    <w:rsid w:val="00190FB4"/>
    <w:rsid w:val="0019117A"/>
    <w:rsid w:val="00191D9E"/>
    <w:rsid w:val="00192CEC"/>
    <w:rsid w:val="0019315D"/>
    <w:rsid w:val="001935B7"/>
    <w:rsid w:val="00193E53"/>
    <w:rsid w:val="00196576"/>
    <w:rsid w:val="001974F7"/>
    <w:rsid w:val="00197D1C"/>
    <w:rsid w:val="001A0392"/>
    <w:rsid w:val="001A0A80"/>
    <w:rsid w:val="001A0E10"/>
    <w:rsid w:val="001A2E9E"/>
    <w:rsid w:val="001A326F"/>
    <w:rsid w:val="001A39C9"/>
    <w:rsid w:val="001A3D33"/>
    <w:rsid w:val="001A4150"/>
    <w:rsid w:val="001A4155"/>
    <w:rsid w:val="001A4B19"/>
    <w:rsid w:val="001A56BE"/>
    <w:rsid w:val="001A5D0E"/>
    <w:rsid w:val="001A6142"/>
    <w:rsid w:val="001A6A3C"/>
    <w:rsid w:val="001A732B"/>
    <w:rsid w:val="001A73F3"/>
    <w:rsid w:val="001A7821"/>
    <w:rsid w:val="001A7870"/>
    <w:rsid w:val="001A7911"/>
    <w:rsid w:val="001B05AB"/>
    <w:rsid w:val="001B0833"/>
    <w:rsid w:val="001B0CFF"/>
    <w:rsid w:val="001B21FD"/>
    <w:rsid w:val="001B24D6"/>
    <w:rsid w:val="001B2DA4"/>
    <w:rsid w:val="001B397A"/>
    <w:rsid w:val="001B4309"/>
    <w:rsid w:val="001B464B"/>
    <w:rsid w:val="001B4E9A"/>
    <w:rsid w:val="001B512E"/>
    <w:rsid w:val="001B58DF"/>
    <w:rsid w:val="001B6514"/>
    <w:rsid w:val="001B668D"/>
    <w:rsid w:val="001B73A3"/>
    <w:rsid w:val="001B73E2"/>
    <w:rsid w:val="001B7CF7"/>
    <w:rsid w:val="001C02FD"/>
    <w:rsid w:val="001C03FB"/>
    <w:rsid w:val="001C0846"/>
    <w:rsid w:val="001C08F4"/>
    <w:rsid w:val="001C0C84"/>
    <w:rsid w:val="001C1B41"/>
    <w:rsid w:val="001C1FDD"/>
    <w:rsid w:val="001C39B3"/>
    <w:rsid w:val="001C3B7C"/>
    <w:rsid w:val="001C4035"/>
    <w:rsid w:val="001C4D40"/>
    <w:rsid w:val="001C5071"/>
    <w:rsid w:val="001C5CF6"/>
    <w:rsid w:val="001C65BC"/>
    <w:rsid w:val="001C65C8"/>
    <w:rsid w:val="001C7030"/>
    <w:rsid w:val="001C741A"/>
    <w:rsid w:val="001C7D08"/>
    <w:rsid w:val="001C7FB9"/>
    <w:rsid w:val="001D0110"/>
    <w:rsid w:val="001D018F"/>
    <w:rsid w:val="001D0A2D"/>
    <w:rsid w:val="001D0C3F"/>
    <w:rsid w:val="001D0FE9"/>
    <w:rsid w:val="001D13D4"/>
    <w:rsid w:val="001D1AB6"/>
    <w:rsid w:val="001D2A57"/>
    <w:rsid w:val="001D3235"/>
    <w:rsid w:val="001D4838"/>
    <w:rsid w:val="001D4920"/>
    <w:rsid w:val="001D4DCB"/>
    <w:rsid w:val="001D517C"/>
    <w:rsid w:val="001D53DD"/>
    <w:rsid w:val="001D568D"/>
    <w:rsid w:val="001D57DD"/>
    <w:rsid w:val="001D5CAE"/>
    <w:rsid w:val="001D6250"/>
    <w:rsid w:val="001D65EF"/>
    <w:rsid w:val="001D679A"/>
    <w:rsid w:val="001D6933"/>
    <w:rsid w:val="001D714A"/>
    <w:rsid w:val="001D72C4"/>
    <w:rsid w:val="001D78C3"/>
    <w:rsid w:val="001D79BD"/>
    <w:rsid w:val="001D7D0B"/>
    <w:rsid w:val="001D7EE5"/>
    <w:rsid w:val="001E0794"/>
    <w:rsid w:val="001E0E8D"/>
    <w:rsid w:val="001E199C"/>
    <w:rsid w:val="001E1A30"/>
    <w:rsid w:val="001E20DA"/>
    <w:rsid w:val="001E3CF8"/>
    <w:rsid w:val="001E3D9F"/>
    <w:rsid w:val="001E44AA"/>
    <w:rsid w:val="001E478E"/>
    <w:rsid w:val="001E5710"/>
    <w:rsid w:val="001E6089"/>
    <w:rsid w:val="001E616F"/>
    <w:rsid w:val="001E626D"/>
    <w:rsid w:val="001E69EE"/>
    <w:rsid w:val="001E730E"/>
    <w:rsid w:val="001E7B01"/>
    <w:rsid w:val="001E7F5B"/>
    <w:rsid w:val="001F0BAC"/>
    <w:rsid w:val="001F1400"/>
    <w:rsid w:val="001F1FCA"/>
    <w:rsid w:val="001F2029"/>
    <w:rsid w:val="001F21BE"/>
    <w:rsid w:val="001F2493"/>
    <w:rsid w:val="001F2A99"/>
    <w:rsid w:val="001F2E46"/>
    <w:rsid w:val="001F3808"/>
    <w:rsid w:val="001F3C33"/>
    <w:rsid w:val="001F4AD7"/>
    <w:rsid w:val="001F5239"/>
    <w:rsid w:val="001F5F72"/>
    <w:rsid w:val="001F6B91"/>
    <w:rsid w:val="001F7317"/>
    <w:rsid w:val="001F7520"/>
    <w:rsid w:val="001F7DEA"/>
    <w:rsid w:val="00200042"/>
    <w:rsid w:val="0020074C"/>
    <w:rsid w:val="0020078A"/>
    <w:rsid w:val="002010F0"/>
    <w:rsid w:val="00202938"/>
    <w:rsid w:val="00202D93"/>
    <w:rsid w:val="002035AD"/>
    <w:rsid w:val="0020451F"/>
    <w:rsid w:val="00204E28"/>
    <w:rsid w:val="00205360"/>
    <w:rsid w:val="00205C87"/>
    <w:rsid w:val="00206580"/>
    <w:rsid w:val="00206FD6"/>
    <w:rsid w:val="00207A7B"/>
    <w:rsid w:val="00207D88"/>
    <w:rsid w:val="00207E60"/>
    <w:rsid w:val="00210CEC"/>
    <w:rsid w:val="00210D4F"/>
    <w:rsid w:val="00211639"/>
    <w:rsid w:val="002119CF"/>
    <w:rsid w:val="002126B2"/>
    <w:rsid w:val="0021289C"/>
    <w:rsid w:val="00212DC0"/>
    <w:rsid w:val="00212FEF"/>
    <w:rsid w:val="002139B8"/>
    <w:rsid w:val="00213CE7"/>
    <w:rsid w:val="00214F4E"/>
    <w:rsid w:val="002159C3"/>
    <w:rsid w:val="00215C4E"/>
    <w:rsid w:val="00215CB1"/>
    <w:rsid w:val="002163E3"/>
    <w:rsid w:val="0021687A"/>
    <w:rsid w:val="00216E12"/>
    <w:rsid w:val="002170A0"/>
    <w:rsid w:val="00217BE0"/>
    <w:rsid w:val="00217D58"/>
    <w:rsid w:val="00220995"/>
    <w:rsid w:val="00220C98"/>
    <w:rsid w:val="00221882"/>
    <w:rsid w:val="00221D3B"/>
    <w:rsid w:val="00222DA8"/>
    <w:rsid w:val="0022325B"/>
    <w:rsid w:val="0022363F"/>
    <w:rsid w:val="00223E1A"/>
    <w:rsid w:val="00223F08"/>
    <w:rsid w:val="0022476D"/>
    <w:rsid w:val="0022485A"/>
    <w:rsid w:val="002250A3"/>
    <w:rsid w:val="002259E0"/>
    <w:rsid w:val="002275B6"/>
    <w:rsid w:val="00230ED4"/>
    <w:rsid w:val="0023138D"/>
    <w:rsid w:val="0023177F"/>
    <w:rsid w:val="00231A7E"/>
    <w:rsid w:val="00231B3A"/>
    <w:rsid w:val="00232699"/>
    <w:rsid w:val="00233556"/>
    <w:rsid w:val="00233754"/>
    <w:rsid w:val="00233A2A"/>
    <w:rsid w:val="00233ADE"/>
    <w:rsid w:val="00234195"/>
    <w:rsid w:val="00234E9B"/>
    <w:rsid w:val="00235217"/>
    <w:rsid w:val="002367BF"/>
    <w:rsid w:val="00236BC1"/>
    <w:rsid w:val="00241871"/>
    <w:rsid w:val="00242435"/>
    <w:rsid w:val="0024399A"/>
    <w:rsid w:val="0024436B"/>
    <w:rsid w:val="00244577"/>
    <w:rsid w:val="0024466B"/>
    <w:rsid w:val="002447E7"/>
    <w:rsid w:val="00244DD4"/>
    <w:rsid w:val="00246249"/>
    <w:rsid w:val="00246D1F"/>
    <w:rsid w:val="002470AA"/>
    <w:rsid w:val="00247102"/>
    <w:rsid w:val="00247403"/>
    <w:rsid w:val="00247542"/>
    <w:rsid w:val="002501DF"/>
    <w:rsid w:val="002502FA"/>
    <w:rsid w:val="0025035A"/>
    <w:rsid w:val="00250F6D"/>
    <w:rsid w:val="00251A00"/>
    <w:rsid w:val="00251AD4"/>
    <w:rsid w:val="002528A3"/>
    <w:rsid w:val="00252986"/>
    <w:rsid w:val="00252D46"/>
    <w:rsid w:val="0025362D"/>
    <w:rsid w:val="00253D89"/>
    <w:rsid w:val="00253ECD"/>
    <w:rsid w:val="00255E75"/>
    <w:rsid w:val="002561F9"/>
    <w:rsid w:val="0025645E"/>
    <w:rsid w:val="002571C0"/>
    <w:rsid w:val="002571E1"/>
    <w:rsid w:val="0025721A"/>
    <w:rsid w:val="00257466"/>
    <w:rsid w:val="0025788C"/>
    <w:rsid w:val="00260014"/>
    <w:rsid w:val="0026030B"/>
    <w:rsid w:val="0026036B"/>
    <w:rsid w:val="00260498"/>
    <w:rsid w:val="00260B9D"/>
    <w:rsid w:val="00261D98"/>
    <w:rsid w:val="00261FF3"/>
    <w:rsid w:val="00262FE7"/>
    <w:rsid w:val="002639B4"/>
    <w:rsid w:val="00264C08"/>
    <w:rsid w:val="00265475"/>
    <w:rsid w:val="00265763"/>
    <w:rsid w:val="00265CC8"/>
    <w:rsid w:val="00266B56"/>
    <w:rsid w:val="00266B61"/>
    <w:rsid w:val="0026712A"/>
    <w:rsid w:val="00267FD8"/>
    <w:rsid w:val="0027028C"/>
    <w:rsid w:val="002704DB"/>
    <w:rsid w:val="00270CCF"/>
    <w:rsid w:val="00271490"/>
    <w:rsid w:val="00272278"/>
    <w:rsid w:val="00272A9A"/>
    <w:rsid w:val="00273352"/>
    <w:rsid w:val="00273B48"/>
    <w:rsid w:val="00274A4B"/>
    <w:rsid w:val="00275A72"/>
    <w:rsid w:val="00276D62"/>
    <w:rsid w:val="002773C2"/>
    <w:rsid w:val="00277F61"/>
    <w:rsid w:val="00280936"/>
    <w:rsid w:val="00280D03"/>
    <w:rsid w:val="00281754"/>
    <w:rsid w:val="002822DA"/>
    <w:rsid w:val="002845CB"/>
    <w:rsid w:val="002849E0"/>
    <w:rsid w:val="00284DE8"/>
    <w:rsid w:val="00285069"/>
    <w:rsid w:val="00285772"/>
    <w:rsid w:val="00285F07"/>
    <w:rsid w:val="002861AB"/>
    <w:rsid w:val="002868D4"/>
    <w:rsid w:val="00286D5A"/>
    <w:rsid w:val="00287511"/>
    <w:rsid w:val="00287AD5"/>
    <w:rsid w:val="00290140"/>
    <w:rsid w:val="00291197"/>
    <w:rsid w:val="002915A4"/>
    <w:rsid w:val="00291852"/>
    <w:rsid w:val="00291CB2"/>
    <w:rsid w:val="00291E29"/>
    <w:rsid w:val="0029245A"/>
    <w:rsid w:val="00293632"/>
    <w:rsid w:val="002939B1"/>
    <w:rsid w:val="00293A69"/>
    <w:rsid w:val="00293BD4"/>
    <w:rsid w:val="00295B56"/>
    <w:rsid w:val="00295E72"/>
    <w:rsid w:val="002978D3"/>
    <w:rsid w:val="00297DAC"/>
    <w:rsid w:val="002A0AAE"/>
    <w:rsid w:val="002A0C80"/>
    <w:rsid w:val="002A0F05"/>
    <w:rsid w:val="002A1897"/>
    <w:rsid w:val="002A257A"/>
    <w:rsid w:val="002A2BB8"/>
    <w:rsid w:val="002A3123"/>
    <w:rsid w:val="002A357B"/>
    <w:rsid w:val="002A3A10"/>
    <w:rsid w:val="002A4AF0"/>
    <w:rsid w:val="002A51F5"/>
    <w:rsid w:val="002A55D8"/>
    <w:rsid w:val="002A5820"/>
    <w:rsid w:val="002A58AC"/>
    <w:rsid w:val="002A5980"/>
    <w:rsid w:val="002A59D5"/>
    <w:rsid w:val="002A5E63"/>
    <w:rsid w:val="002A5F69"/>
    <w:rsid w:val="002A62C7"/>
    <w:rsid w:val="002A6D47"/>
    <w:rsid w:val="002A6D6E"/>
    <w:rsid w:val="002A797C"/>
    <w:rsid w:val="002B02DF"/>
    <w:rsid w:val="002B049F"/>
    <w:rsid w:val="002B2064"/>
    <w:rsid w:val="002B2684"/>
    <w:rsid w:val="002B26AA"/>
    <w:rsid w:val="002B26C1"/>
    <w:rsid w:val="002B31DE"/>
    <w:rsid w:val="002B33A7"/>
    <w:rsid w:val="002B38D3"/>
    <w:rsid w:val="002B3A7D"/>
    <w:rsid w:val="002B5C25"/>
    <w:rsid w:val="002B5C5B"/>
    <w:rsid w:val="002B5CA7"/>
    <w:rsid w:val="002B6194"/>
    <w:rsid w:val="002B76B0"/>
    <w:rsid w:val="002B7DEB"/>
    <w:rsid w:val="002B7ED9"/>
    <w:rsid w:val="002C006D"/>
    <w:rsid w:val="002C0080"/>
    <w:rsid w:val="002C0102"/>
    <w:rsid w:val="002C0D63"/>
    <w:rsid w:val="002C15C4"/>
    <w:rsid w:val="002C1C64"/>
    <w:rsid w:val="002C2904"/>
    <w:rsid w:val="002C2B7C"/>
    <w:rsid w:val="002C34A2"/>
    <w:rsid w:val="002C3F66"/>
    <w:rsid w:val="002C4030"/>
    <w:rsid w:val="002C4287"/>
    <w:rsid w:val="002C42C4"/>
    <w:rsid w:val="002C4389"/>
    <w:rsid w:val="002C5523"/>
    <w:rsid w:val="002C591F"/>
    <w:rsid w:val="002C6225"/>
    <w:rsid w:val="002C65E0"/>
    <w:rsid w:val="002C6923"/>
    <w:rsid w:val="002D0E51"/>
    <w:rsid w:val="002D1830"/>
    <w:rsid w:val="002D18B6"/>
    <w:rsid w:val="002D18D9"/>
    <w:rsid w:val="002D2B26"/>
    <w:rsid w:val="002D2C84"/>
    <w:rsid w:val="002D31B6"/>
    <w:rsid w:val="002D3204"/>
    <w:rsid w:val="002D38A8"/>
    <w:rsid w:val="002D432A"/>
    <w:rsid w:val="002D49D8"/>
    <w:rsid w:val="002D6432"/>
    <w:rsid w:val="002D660F"/>
    <w:rsid w:val="002D6DFA"/>
    <w:rsid w:val="002D7C75"/>
    <w:rsid w:val="002D7EA2"/>
    <w:rsid w:val="002E07B0"/>
    <w:rsid w:val="002E1155"/>
    <w:rsid w:val="002E118C"/>
    <w:rsid w:val="002E11D8"/>
    <w:rsid w:val="002E187C"/>
    <w:rsid w:val="002E2177"/>
    <w:rsid w:val="002E2A8A"/>
    <w:rsid w:val="002E2BFD"/>
    <w:rsid w:val="002E2D5E"/>
    <w:rsid w:val="002E3978"/>
    <w:rsid w:val="002E3E41"/>
    <w:rsid w:val="002E4339"/>
    <w:rsid w:val="002E5579"/>
    <w:rsid w:val="002E583B"/>
    <w:rsid w:val="002E607F"/>
    <w:rsid w:val="002E67C3"/>
    <w:rsid w:val="002E68C8"/>
    <w:rsid w:val="002E7000"/>
    <w:rsid w:val="002E78CE"/>
    <w:rsid w:val="002F085C"/>
    <w:rsid w:val="002F0CCD"/>
    <w:rsid w:val="002F0FB2"/>
    <w:rsid w:val="002F1177"/>
    <w:rsid w:val="002F1ED2"/>
    <w:rsid w:val="002F225F"/>
    <w:rsid w:val="002F26D5"/>
    <w:rsid w:val="002F2D34"/>
    <w:rsid w:val="002F3964"/>
    <w:rsid w:val="002F3CDA"/>
    <w:rsid w:val="002F3F97"/>
    <w:rsid w:val="002F464F"/>
    <w:rsid w:val="002F485D"/>
    <w:rsid w:val="002F4876"/>
    <w:rsid w:val="002F5842"/>
    <w:rsid w:val="002F596C"/>
    <w:rsid w:val="002F5DAF"/>
    <w:rsid w:val="002F6034"/>
    <w:rsid w:val="002F6F78"/>
    <w:rsid w:val="003005A7"/>
    <w:rsid w:val="00300DE6"/>
    <w:rsid w:val="003018E5"/>
    <w:rsid w:val="00301E20"/>
    <w:rsid w:val="00301F70"/>
    <w:rsid w:val="00302347"/>
    <w:rsid w:val="00302733"/>
    <w:rsid w:val="00302A64"/>
    <w:rsid w:val="003034B3"/>
    <w:rsid w:val="003034CE"/>
    <w:rsid w:val="003037F0"/>
    <w:rsid w:val="00303974"/>
    <w:rsid w:val="003039F4"/>
    <w:rsid w:val="0030433B"/>
    <w:rsid w:val="003045D6"/>
    <w:rsid w:val="00304AD9"/>
    <w:rsid w:val="0030512D"/>
    <w:rsid w:val="00305956"/>
    <w:rsid w:val="0030616D"/>
    <w:rsid w:val="00306486"/>
    <w:rsid w:val="00306880"/>
    <w:rsid w:val="00306C37"/>
    <w:rsid w:val="00307920"/>
    <w:rsid w:val="00307B26"/>
    <w:rsid w:val="00307EE5"/>
    <w:rsid w:val="003106C3"/>
    <w:rsid w:val="0031128E"/>
    <w:rsid w:val="003112A9"/>
    <w:rsid w:val="00311901"/>
    <w:rsid w:val="00311EFE"/>
    <w:rsid w:val="003122F4"/>
    <w:rsid w:val="00312593"/>
    <w:rsid w:val="003126ED"/>
    <w:rsid w:val="00312F2F"/>
    <w:rsid w:val="00312F89"/>
    <w:rsid w:val="00312F99"/>
    <w:rsid w:val="00313AD6"/>
    <w:rsid w:val="00314078"/>
    <w:rsid w:val="00314A7F"/>
    <w:rsid w:val="00316517"/>
    <w:rsid w:val="00316E88"/>
    <w:rsid w:val="003170EA"/>
    <w:rsid w:val="00317250"/>
    <w:rsid w:val="00317EC9"/>
    <w:rsid w:val="00321576"/>
    <w:rsid w:val="0032186D"/>
    <w:rsid w:val="003229C1"/>
    <w:rsid w:val="00323190"/>
    <w:rsid w:val="00323253"/>
    <w:rsid w:val="0032363A"/>
    <w:rsid w:val="0032412C"/>
    <w:rsid w:val="003247D2"/>
    <w:rsid w:val="0032515D"/>
    <w:rsid w:val="003252C8"/>
    <w:rsid w:val="00325747"/>
    <w:rsid w:val="00325794"/>
    <w:rsid w:val="00325B5A"/>
    <w:rsid w:val="00326114"/>
    <w:rsid w:val="003268A6"/>
    <w:rsid w:val="00326F31"/>
    <w:rsid w:val="003273FC"/>
    <w:rsid w:val="003274CA"/>
    <w:rsid w:val="00327BA0"/>
    <w:rsid w:val="00327BFD"/>
    <w:rsid w:val="00330AD6"/>
    <w:rsid w:val="00330B2C"/>
    <w:rsid w:val="00331015"/>
    <w:rsid w:val="00331547"/>
    <w:rsid w:val="0033169F"/>
    <w:rsid w:val="00331880"/>
    <w:rsid w:val="00331D6B"/>
    <w:rsid w:val="00331DB6"/>
    <w:rsid w:val="00332983"/>
    <w:rsid w:val="003332ED"/>
    <w:rsid w:val="00333392"/>
    <w:rsid w:val="00333479"/>
    <w:rsid w:val="00333B27"/>
    <w:rsid w:val="003340F9"/>
    <w:rsid w:val="00334A3E"/>
    <w:rsid w:val="003351CA"/>
    <w:rsid w:val="00336412"/>
    <w:rsid w:val="003367AD"/>
    <w:rsid w:val="00336DBE"/>
    <w:rsid w:val="00337D8A"/>
    <w:rsid w:val="003401E5"/>
    <w:rsid w:val="003402C6"/>
    <w:rsid w:val="00340A13"/>
    <w:rsid w:val="00340E9B"/>
    <w:rsid w:val="00341959"/>
    <w:rsid w:val="00341D78"/>
    <w:rsid w:val="00341D8B"/>
    <w:rsid w:val="00342457"/>
    <w:rsid w:val="00342A5D"/>
    <w:rsid w:val="00343226"/>
    <w:rsid w:val="00343559"/>
    <w:rsid w:val="00343BE6"/>
    <w:rsid w:val="003450CB"/>
    <w:rsid w:val="00345593"/>
    <w:rsid w:val="00345FA9"/>
    <w:rsid w:val="00346183"/>
    <w:rsid w:val="00346643"/>
    <w:rsid w:val="00346C95"/>
    <w:rsid w:val="00346D2B"/>
    <w:rsid w:val="00347342"/>
    <w:rsid w:val="0034738C"/>
    <w:rsid w:val="00347AA1"/>
    <w:rsid w:val="00347B81"/>
    <w:rsid w:val="00350FEF"/>
    <w:rsid w:val="003513C8"/>
    <w:rsid w:val="003513F0"/>
    <w:rsid w:val="003523EE"/>
    <w:rsid w:val="00352C95"/>
    <w:rsid w:val="003530C9"/>
    <w:rsid w:val="00353767"/>
    <w:rsid w:val="0035379E"/>
    <w:rsid w:val="00353892"/>
    <w:rsid w:val="0035504C"/>
    <w:rsid w:val="00355188"/>
    <w:rsid w:val="003555B8"/>
    <w:rsid w:val="00355E3E"/>
    <w:rsid w:val="00356185"/>
    <w:rsid w:val="0035729D"/>
    <w:rsid w:val="00357AB2"/>
    <w:rsid w:val="00357E90"/>
    <w:rsid w:val="00360380"/>
    <w:rsid w:val="00360575"/>
    <w:rsid w:val="00360DF5"/>
    <w:rsid w:val="00360E13"/>
    <w:rsid w:val="00360EC9"/>
    <w:rsid w:val="00360F78"/>
    <w:rsid w:val="0036247E"/>
    <w:rsid w:val="003628E9"/>
    <w:rsid w:val="00363772"/>
    <w:rsid w:val="003639E7"/>
    <w:rsid w:val="00363A3F"/>
    <w:rsid w:val="003645B4"/>
    <w:rsid w:val="00364E00"/>
    <w:rsid w:val="0036502F"/>
    <w:rsid w:val="0036510E"/>
    <w:rsid w:val="003661B2"/>
    <w:rsid w:val="0036634F"/>
    <w:rsid w:val="00366ADD"/>
    <w:rsid w:val="003675E5"/>
    <w:rsid w:val="00367BDC"/>
    <w:rsid w:val="00367C3F"/>
    <w:rsid w:val="00370353"/>
    <w:rsid w:val="0037160C"/>
    <w:rsid w:val="00371913"/>
    <w:rsid w:val="00372131"/>
    <w:rsid w:val="00373626"/>
    <w:rsid w:val="003738D7"/>
    <w:rsid w:val="00373A0C"/>
    <w:rsid w:val="00373B73"/>
    <w:rsid w:val="00373E57"/>
    <w:rsid w:val="003742C8"/>
    <w:rsid w:val="003742D2"/>
    <w:rsid w:val="00374597"/>
    <w:rsid w:val="0037480D"/>
    <w:rsid w:val="00374B7D"/>
    <w:rsid w:val="00375706"/>
    <w:rsid w:val="00375D8A"/>
    <w:rsid w:val="00376D82"/>
    <w:rsid w:val="00377287"/>
    <w:rsid w:val="003803A8"/>
    <w:rsid w:val="00380B64"/>
    <w:rsid w:val="00380BCE"/>
    <w:rsid w:val="00380DD1"/>
    <w:rsid w:val="00381275"/>
    <w:rsid w:val="0038158C"/>
    <w:rsid w:val="003818C1"/>
    <w:rsid w:val="003819B8"/>
    <w:rsid w:val="00382C39"/>
    <w:rsid w:val="0038307F"/>
    <w:rsid w:val="003836AB"/>
    <w:rsid w:val="00383C51"/>
    <w:rsid w:val="00383FF6"/>
    <w:rsid w:val="003845EE"/>
    <w:rsid w:val="00384754"/>
    <w:rsid w:val="00384E4C"/>
    <w:rsid w:val="00385C70"/>
    <w:rsid w:val="0038683C"/>
    <w:rsid w:val="003868E9"/>
    <w:rsid w:val="00386A9E"/>
    <w:rsid w:val="00386CF0"/>
    <w:rsid w:val="00386F16"/>
    <w:rsid w:val="00387B9A"/>
    <w:rsid w:val="00387E8F"/>
    <w:rsid w:val="00387FC1"/>
    <w:rsid w:val="00390688"/>
    <w:rsid w:val="0039082B"/>
    <w:rsid w:val="00390C07"/>
    <w:rsid w:val="003912A6"/>
    <w:rsid w:val="00392130"/>
    <w:rsid w:val="003921AA"/>
    <w:rsid w:val="003930A2"/>
    <w:rsid w:val="00393445"/>
    <w:rsid w:val="00394466"/>
    <w:rsid w:val="00394AF9"/>
    <w:rsid w:val="00394CD0"/>
    <w:rsid w:val="00394EFE"/>
    <w:rsid w:val="0039660E"/>
    <w:rsid w:val="003978EF"/>
    <w:rsid w:val="00397AFA"/>
    <w:rsid w:val="00397C9F"/>
    <w:rsid w:val="003A31E7"/>
    <w:rsid w:val="003A38FB"/>
    <w:rsid w:val="003A3ACF"/>
    <w:rsid w:val="003A3D77"/>
    <w:rsid w:val="003A431E"/>
    <w:rsid w:val="003A5852"/>
    <w:rsid w:val="003A5933"/>
    <w:rsid w:val="003A5976"/>
    <w:rsid w:val="003A5CF9"/>
    <w:rsid w:val="003A5F02"/>
    <w:rsid w:val="003A6220"/>
    <w:rsid w:val="003A6E09"/>
    <w:rsid w:val="003A7106"/>
    <w:rsid w:val="003A723B"/>
    <w:rsid w:val="003A724A"/>
    <w:rsid w:val="003A7E29"/>
    <w:rsid w:val="003B0471"/>
    <w:rsid w:val="003B0A7F"/>
    <w:rsid w:val="003B0C66"/>
    <w:rsid w:val="003B3C70"/>
    <w:rsid w:val="003B3CD9"/>
    <w:rsid w:val="003B3EEC"/>
    <w:rsid w:val="003B451A"/>
    <w:rsid w:val="003B4D89"/>
    <w:rsid w:val="003B5118"/>
    <w:rsid w:val="003B56B1"/>
    <w:rsid w:val="003B5823"/>
    <w:rsid w:val="003B59D9"/>
    <w:rsid w:val="003B6C36"/>
    <w:rsid w:val="003B71FF"/>
    <w:rsid w:val="003B771B"/>
    <w:rsid w:val="003B78A3"/>
    <w:rsid w:val="003B7ACF"/>
    <w:rsid w:val="003B7B5D"/>
    <w:rsid w:val="003B7E4E"/>
    <w:rsid w:val="003B7E9C"/>
    <w:rsid w:val="003B7EF5"/>
    <w:rsid w:val="003C08D7"/>
    <w:rsid w:val="003C0A19"/>
    <w:rsid w:val="003C18BC"/>
    <w:rsid w:val="003C1A9C"/>
    <w:rsid w:val="003C2014"/>
    <w:rsid w:val="003C251B"/>
    <w:rsid w:val="003C2AB7"/>
    <w:rsid w:val="003C2ABC"/>
    <w:rsid w:val="003C3FB0"/>
    <w:rsid w:val="003C42AA"/>
    <w:rsid w:val="003C4326"/>
    <w:rsid w:val="003C5B0F"/>
    <w:rsid w:val="003C676B"/>
    <w:rsid w:val="003C7470"/>
    <w:rsid w:val="003C7713"/>
    <w:rsid w:val="003C7BD0"/>
    <w:rsid w:val="003D0A3D"/>
    <w:rsid w:val="003D13EF"/>
    <w:rsid w:val="003D19F6"/>
    <w:rsid w:val="003D1FF6"/>
    <w:rsid w:val="003D319A"/>
    <w:rsid w:val="003D32BF"/>
    <w:rsid w:val="003D3BC2"/>
    <w:rsid w:val="003D3BED"/>
    <w:rsid w:val="003D439F"/>
    <w:rsid w:val="003D4D71"/>
    <w:rsid w:val="003D5097"/>
    <w:rsid w:val="003D59E3"/>
    <w:rsid w:val="003D6240"/>
    <w:rsid w:val="003D64EB"/>
    <w:rsid w:val="003D679D"/>
    <w:rsid w:val="003D6EAA"/>
    <w:rsid w:val="003D722F"/>
    <w:rsid w:val="003E0724"/>
    <w:rsid w:val="003E0EC0"/>
    <w:rsid w:val="003E111D"/>
    <w:rsid w:val="003E130B"/>
    <w:rsid w:val="003E151B"/>
    <w:rsid w:val="003E1B7D"/>
    <w:rsid w:val="003E1CCE"/>
    <w:rsid w:val="003E22FD"/>
    <w:rsid w:val="003E24AB"/>
    <w:rsid w:val="003E2556"/>
    <w:rsid w:val="003E2978"/>
    <w:rsid w:val="003E2B6D"/>
    <w:rsid w:val="003E30F5"/>
    <w:rsid w:val="003E315B"/>
    <w:rsid w:val="003E36E8"/>
    <w:rsid w:val="003E3DAA"/>
    <w:rsid w:val="003E40BD"/>
    <w:rsid w:val="003E52CE"/>
    <w:rsid w:val="003E5767"/>
    <w:rsid w:val="003E6CA1"/>
    <w:rsid w:val="003E6F59"/>
    <w:rsid w:val="003E7128"/>
    <w:rsid w:val="003E73F9"/>
    <w:rsid w:val="003E7ACD"/>
    <w:rsid w:val="003F007D"/>
    <w:rsid w:val="003F1696"/>
    <w:rsid w:val="003F1A19"/>
    <w:rsid w:val="003F2AEF"/>
    <w:rsid w:val="003F342F"/>
    <w:rsid w:val="003F38EE"/>
    <w:rsid w:val="003F3CFA"/>
    <w:rsid w:val="003F46B5"/>
    <w:rsid w:val="003F49E4"/>
    <w:rsid w:val="003F4FFA"/>
    <w:rsid w:val="003F5ABB"/>
    <w:rsid w:val="003F6338"/>
    <w:rsid w:val="003F638A"/>
    <w:rsid w:val="003F6E8F"/>
    <w:rsid w:val="003F7E40"/>
    <w:rsid w:val="004001F4"/>
    <w:rsid w:val="004003F0"/>
    <w:rsid w:val="004007C2"/>
    <w:rsid w:val="004009FC"/>
    <w:rsid w:val="004011E9"/>
    <w:rsid w:val="00401A7F"/>
    <w:rsid w:val="0040313F"/>
    <w:rsid w:val="004042F1"/>
    <w:rsid w:val="0040438E"/>
    <w:rsid w:val="00404F46"/>
    <w:rsid w:val="00405361"/>
    <w:rsid w:val="00405A32"/>
    <w:rsid w:val="00405BC8"/>
    <w:rsid w:val="00405C29"/>
    <w:rsid w:val="00406CB5"/>
    <w:rsid w:val="00406F64"/>
    <w:rsid w:val="004119AE"/>
    <w:rsid w:val="00412250"/>
    <w:rsid w:val="00412267"/>
    <w:rsid w:val="004127E4"/>
    <w:rsid w:val="00412C81"/>
    <w:rsid w:val="00412C9A"/>
    <w:rsid w:val="004138E9"/>
    <w:rsid w:val="00414227"/>
    <w:rsid w:val="00415BBD"/>
    <w:rsid w:val="0041616C"/>
    <w:rsid w:val="00416215"/>
    <w:rsid w:val="00416470"/>
    <w:rsid w:val="004165C2"/>
    <w:rsid w:val="00417460"/>
    <w:rsid w:val="0041778C"/>
    <w:rsid w:val="0041782F"/>
    <w:rsid w:val="00417AC6"/>
    <w:rsid w:val="00417C85"/>
    <w:rsid w:val="00417CBD"/>
    <w:rsid w:val="00417E6F"/>
    <w:rsid w:val="00420489"/>
    <w:rsid w:val="004205DD"/>
    <w:rsid w:val="00420BC3"/>
    <w:rsid w:val="00421621"/>
    <w:rsid w:val="004216C5"/>
    <w:rsid w:val="00421995"/>
    <w:rsid w:val="00421A18"/>
    <w:rsid w:val="00421EFD"/>
    <w:rsid w:val="00422594"/>
    <w:rsid w:val="00422E2F"/>
    <w:rsid w:val="0042303C"/>
    <w:rsid w:val="004231F7"/>
    <w:rsid w:val="00423B60"/>
    <w:rsid w:val="00424452"/>
    <w:rsid w:val="00424962"/>
    <w:rsid w:val="00424A23"/>
    <w:rsid w:val="0042533D"/>
    <w:rsid w:val="004254C0"/>
    <w:rsid w:val="0042566E"/>
    <w:rsid w:val="0042699F"/>
    <w:rsid w:val="00427868"/>
    <w:rsid w:val="00427BBB"/>
    <w:rsid w:val="00430576"/>
    <w:rsid w:val="004308D1"/>
    <w:rsid w:val="004314FA"/>
    <w:rsid w:val="0043231F"/>
    <w:rsid w:val="0043250E"/>
    <w:rsid w:val="00432C81"/>
    <w:rsid w:val="0043310F"/>
    <w:rsid w:val="004331B4"/>
    <w:rsid w:val="0043456A"/>
    <w:rsid w:val="004347ED"/>
    <w:rsid w:val="00434849"/>
    <w:rsid w:val="004348D0"/>
    <w:rsid w:val="00435092"/>
    <w:rsid w:val="00435241"/>
    <w:rsid w:val="00435797"/>
    <w:rsid w:val="00435BC8"/>
    <w:rsid w:val="004363AB"/>
    <w:rsid w:val="00436503"/>
    <w:rsid w:val="00436FF4"/>
    <w:rsid w:val="00437367"/>
    <w:rsid w:val="00437845"/>
    <w:rsid w:val="004378F2"/>
    <w:rsid w:val="004378FB"/>
    <w:rsid w:val="00437CB9"/>
    <w:rsid w:val="00437D43"/>
    <w:rsid w:val="00437E1C"/>
    <w:rsid w:val="00437E20"/>
    <w:rsid w:val="00440B67"/>
    <w:rsid w:val="00440F62"/>
    <w:rsid w:val="004410E8"/>
    <w:rsid w:val="00441200"/>
    <w:rsid w:val="0044121F"/>
    <w:rsid w:val="00441AA4"/>
    <w:rsid w:val="00441ECB"/>
    <w:rsid w:val="00442243"/>
    <w:rsid w:val="004424FF"/>
    <w:rsid w:val="00442850"/>
    <w:rsid w:val="00443644"/>
    <w:rsid w:val="00443D9D"/>
    <w:rsid w:val="00444095"/>
    <w:rsid w:val="0044444F"/>
    <w:rsid w:val="00444C04"/>
    <w:rsid w:val="00446198"/>
    <w:rsid w:val="00446A1B"/>
    <w:rsid w:val="00447155"/>
    <w:rsid w:val="00447215"/>
    <w:rsid w:val="004479D4"/>
    <w:rsid w:val="00447F13"/>
    <w:rsid w:val="00450CA7"/>
    <w:rsid w:val="00450DEE"/>
    <w:rsid w:val="00450EE8"/>
    <w:rsid w:val="0045185C"/>
    <w:rsid w:val="004538B2"/>
    <w:rsid w:val="00453C42"/>
    <w:rsid w:val="00453E6F"/>
    <w:rsid w:val="004557E0"/>
    <w:rsid w:val="0045640E"/>
    <w:rsid w:val="00456CCA"/>
    <w:rsid w:val="00456F80"/>
    <w:rsid w:val="0045788B"/>
    <w:rsid w:val="00457A3B"/>
    <w:rsid w:val="004601D7"/>
    <w:rsid w:val="004602DF"/>
    <w:rsid w:val="004611CE"/>
    <w:rsid w:val="0046125C"/>
    <w:rsid w:val="0046192F"/>
    <w:rsid w:val="0046247F"/>
    <w:rsid w:val="00462771"/>
    <w:rsid w:val="00462D95"/>
    <w:rsid w:val="00462E55"/>
    <w:rsid w:val="00462F00"/>
    <w:rsid w:val="00462F66"/>
    <w:rsid w:val="00463AB9"/>
    <w:rsid w:val="00463C21"/>
    <w:rsid w:val="00463C4C"/>
    <w:rsid w:val="00464741"/>
    <w:rsid w:val="00464949"/>
    <w:rsid w:val="00466977"/>
    <w:rsid w:val="004669A8"/>
    <w:rsid w:val="00466D04"/>
    <w:rsid w:val="00466F31"/>
    <w:rsid w:val="00467534"/>
    <w:rsid w:val="00467B7E"/>
    <w:rsid w:val="00467D54"/>
    <w:rsid w:val="00470046"/>
    <w:rsid w:val="00470053"/>
    <w:rsid w:val="0047017B"/>
    <w:rsid w:val="00470193"/>
    <w:rsid w:val="0047063A"/>
    <w:rsid w:val="004706B2"/>
    <w:rsid w:val="004709B0"/>
    <w:rsid w:val="00470B7D"/>
    <w:rsid w:val="00470E85"/>
    <w:rsid w:val="004711FE"/>
    <w:rsid w:val="0047125D"/>
    <w:rsid w:val="00471484"/>
    <w:rsid w:val="0047196C"/>
    <w:rsid w:val="004719E3"/>
    <w:rsid w:val="00472759"/>
    <w:rsid w:val="0047286F"/>
    <w:rsid w:val="00473B36"/>
    <w:rsid w:val="00473B4A"/>
    <w:rsid w:val="0047462B"/>
    <w:rsid w:val="00474B8A"/>
    <w:rsid w:val="0047509E"/>
    <w:rsid w:val="0047544B"/>
    <w:rsid w:val="004762C7"/>
    <w:rsid w:val="004768CB"/>
    <w:rsid w:val="00477592"/>
    <w:rsid w:val="004806EB"/>
    <w:rsid w:val="00480A29"/>
    <w:rsid w:val="00480CDD"/>
    <w:rsid w:val="00480D60"/>
    <w:rsid w:val="00480E41"/>
    <w:rsid w:val="00480FFA"/>
    <w:rsid w:val="004812FD"/>
    <w:rsid w:val="004821E1"/>
    <w:rsid w:val="004826DF"/>
    <w:rsid w:val="004837BD"/>
    <w:rsid w:val="00484DFB"/>
    <w:rsid w:val="004859F8"/>
    <w:rsid w:val="00485F16"/>
    <w:rsid w:val="004862FF"/>
    <w:rsid w:val="00486431"/>
    <w:rsid w:val="004866AE"/>
    <w:rsid w:val="00486F1C"/>
    <w:rsid w:val="00486FF7"/>
    <w:rsid w:val="00487237"/>
    <w:rsid w:val="00490384"/>
    <w:rsid w:val="004904D3"/>
    <w:rsid w:val="00490A3E"/>
    <w:rsid w:val="00490E0C"/>
    <w:rsid w:val="004910CC"/>
    <w:rsid w:val="004921AB"/>
    <w:rsid w:val="0049241D"/>
    <w:rsid w:val="004929C8"/>
    <w:rsid w:val="00492B05"/>
    <w:rsid w:val="00492E0E"/>
    <w:rsid w:val="00492F3F"/>
    <w:rsid w:val="004930F4"/>
    <w:rsid w:val="00493B99"/>
    <w:rsid w:val="0049419D"/>
    <w:rsid w:val="0049438E"/>
    <w:rsid w:val="0049462E"/>
    <w:rsid w:val="00494B65"/>
    <w:rsid w:val="00494F1F"/>
    <w:rsid w:val="004956F6"/>
    <w:rsid w:val="00495B50"/>
    <w:rsid w:val="00495F35"/>
    <w:rsid w:val="00496186"/>
    <w:rsid w:val="00496351"/>
    <w:rsid w:val="004976AC"/>
    <w:rsid w:val="004A05B5"/>
    <w:rsid w:val="004A11F8"/>
    <w:rsid w:val="004A16C6"/>
    <w:rsid w:val="004A173E"/>
    <w:rsid w:val="004A1B09"/>
    <w:rsid w:val="004A1E90"/>
    <w:rsid w:val="004A1FF8"/>
    <w:rsid w:val="004A2094"/>
    <w:rsid w:val="004A258B"/>
    <w:rsid w:val="004A2F2E"/>
    <w:rsid w:val="004A2FFA"/>
    <w:rsid w:val="004A3419"/>
    <w:rsid w:val="004A5667"/>
    <w:rsid w:val="004A5D6F"/>
    <w:rsid w:val="004A5DA7"/>
    <w:rsid w:val="004A617D"/>
    <w:rsid w:val="004A7339"/>
    <w:rsid w:val="004A75C8"/>
    <w:rsid w:val="004A79F0"/>
    <w:rsid w:val="004A7E40"/>
    <w:rsid w:val="004A7E5C"/>
    <w:rsid w:val="004B01BA"/>
    <w:rsid w:val="004B0B09"/>
    <w:rsid w:val="004B1BE5"/>
    <w:rsid w:val="004B1C89"/>
    <w:rsid w:val="004B2543"/>
    <w:rsid w:val="004B2554"/>
    <w:rsid w:val="004B2AD6"/>
    <w:rsid w:val="004B2DCD"/>
    <w:rsid w:val="004B316C"/>
    <w:rsid w:val="004B31A2"/>
    <w:rsid w:val="004B327C"/>
    <w:rsid w:val="004B3A73"/>
    <w:rsid w:val="004B3ACD"/>
    <w:rsid w:val="004B3D32"/>
    <w:rsid w:val="004B3DE0"/>
    <w:rsid w:val="004B3E96"/>
    <w:rsid w:val="004B520F"/>
    <w:rsid w:val="004B541C"/>
    <w:rsid w:val="004B5C1A"/>
    <w:rsid w:val="004B5E6C"/>
    <w:rsid w:val="004B7532"/>
    <w:rsid w:val="004C0442"/>
    <w:rsid w:val="004C051E"/>
    <w:rsid w:val="004C0A07"/>
    <w:rsid w:val="004C0C8C"/>
    <w:rsid w:val="004C124F"/>
    <w:rsid w:val="004C1FA2"/>
    <w:rsid w:val="004C20D2"/>
    <w:rsid w:val="004C3017"/>
    <w:rsid w:val="004C4074"/>
    <w:rsid w:val="004C41EF"/>
    <w:rsid w:val="004C481E"/>
    <w:rsid w:val="004C4B62"/>
    <w:rsid w:val="004C4D01"/>
    <w:rsid w:val="004C526B"/>
    <w:rsid w:val="004C54C9"/>
    <w:rsid w:val="004C5730"/>
    <w:rsid w:val="004C57C1"/>
    <w:rsid w:val="004C5B63"/>
    <w:rsid w:val="004C5D37"/>
    <w:rsid w:val="004C5E9F"/>
    <w:rsid w:val="004C609C"/>
    <w:rsid w:val="004C642E"/>
    <w:rsid w:val="004C67C3"/>
    <w:rsid w:val="004C69F4"/>
    <w:rsid w:val="004C6A80"/>
    <w:rsid w:val="004D0630"/>
    <w:rsid w:val="004D0917"/>
    <w:rsid w:val="004D0F07"/>
    <w:rsid w:val="004D19C3"/>
    <w:rsid w:val="004D2149"/>
    <w:rsid w:val="004D30AE"/>
    <w:rsid w:val="004D3DAE"/>
    <w:rsid w:val="004D4057"/>
    <w:rsid w:val="004D4178"/>
    <w:rsid w:val="004D4704"/>
    <w:rsid w:val="004D4B43"/>
    <w:rsid w:val="004D4BC8"/>
    <w:rsid w:val="004D4FEE"/>
    <w:rsid w:val="004D5EBF"/>
    <w:rsid w:val="004D5ED4"/>
    <w:rsid w:val="004D6025"/>
    <w:rsid w:val="004D6324"/>
    <w:rsid w:val="004D6460"/>
    <w:rsid w:val="004D64FB"/>
    <w:rsid w:val="004D6AC8"/>
    <w:rsid w:val="004D6DF5"/>
    <w:rsid w:val="004D7133"/>
    <w:rsid w:val="004D741F"/>
    <w:rsid w:val="004D7BB7"/>
    <w:rsid w:val="004E07AE"/>
    <w:rsid w:val="004E0DAA"/>
    <w:rsid w:val="004E17C8"/>
    <w:rsid w:val="004E1D1E"/>
    <w:rsid w:val="004E1DE1"/>
    <w:rsid w:val="004E2649"/>
    <w:rsid w:val="004E274B"/>
    <w:rsid w:val="004E308B"/>
    <w:rsid w:val="004E3657"/>
    <w:rsid w:val="004E3B05"/>
    <w:rsid w:val="004E4868"/>
    <w:rsid w:val="004E4F80"/>
    <w:rsid w:val="004E50AF"/>
    <w:rsid w:val="004E54FC"/>
    <w:rsid w:val="004E58ED"/>
    <w:rsid w:val="004E6D2E"/>
    <w:rsid w:val="004E73D4"/>
    <w:rsid w:val="004E7996"/>
    <w:rsid w:val="004E79B7"/>
    <w:rsid w:val="004E7E35"/>
    <w:rsid w:val="004F0655"/>
    <w:rsid w:val="004F10D0"/>
    <w:rsid w:val="004F11A9"/>
    <w:rsid w:val="004F23A6"/>
    <w:rsid w:val="004F2C05"/>
    <w:rsid w:val="004F2EE9"/>
    <w:rsid w:val="004F3269"/>
    <w:rsid w:val="004F34D2"/>
    <w:rsid w:val="004F36CD"/>
    <w:rsid w:val="004F3C45"/>
    <w:rsid w:val="004F3CB3"/>
    <w:rsid w:val="004F46D8"/>
    <w:rsid w:val="004F4ACF"/>
    <w:rsid w:val="004F4FF8"/>
    <w:rsid w:val="004F5006"/>
    <w:rsid w:val="004F573D"/>
    <w:rsid w:val="004F57C9"/>
    <w:rsid w:val="004F5827"/>
    <w:rsid w:val="004F5B2D"/>
    <w:rsid w:val="004F604D"/>
    <w:rsid w:val="004F6A8C"/>
    <w:rsid w:val="004F6BA3"/>
    <w:rsid w:val="00501399"/>
    <w:rsid w:val="005013C5"/>
    <w:rsid w:val="00501D9A"/>
    <w:rsid w:val="00502E53"/>
    <w:rsid w:val="00503826"/>
    <w:rsid w:val="00503A50"/>
    <w:rsid w:val="0050429C"/>
    <w:rsid w:val="00504CC7"/>
    <w:rsid w:val="00504D4C"/>
    <w:rsid w:val="00504FE2"/>
    <w:rsid w:val="005055D2"/>
    <w:rsid w:val="005059A1"/>
    <w:rsid w:val="00505A3B"/>
    <w:rsid w:val="00505D03"/>
    <w:rsid w:val="0050633D"/>
    <w:rsid w:val="00506E20"/>
    <w:rsid w:val="005070E5"/>
    <w:rsid w:val="00507BC4"/>
    <w:rsid w:val="00510234"/>
    <w:rsid w:val="00510255"/>
    <w:rsid w:val="00510325"/>
    <w:rsid w:val="005107B8"/>
    <w:rsid w:val="00511514"/>
    <w:rsid w:val="00512302"/>
    <w:rsid w:val="00512714"/>
    <w:rsid w:val="005128E4"/>
    <w:rsid w:val="005133DB"/>
    <w:rsid w:val="005139D5"/>
    <w:rsid w:val="00513CB7"/>
    <w:rsid w:val="00513E30"/>
    <w:rsid w:val="0051487D"/>
    <w:rsid w:val="00514CA4"/>
    <w:rsid w:val="005155B3"/>
    <w:rsid w:val="00516871"/>
    <w:rsid w:val="005169D0"/>
    <w:rsid w:val="00516C63"/>
    <w:rsid w:val="00520869"/>
    <w:rsid w:val="00520AD9"/>
    <w:rsid w:val="005216DC"/>
    <w:rsid w:val="0052196E"/>
    <w:rsid w:val="00521C8E"/>
    <w:rsid w:val="0052356C"/>
    <w:rsid w:val="0052405D"/>
    <w:rsid w:val="0052425B"/>
    <w:rsid w:val="005245C0"/>
    <w:rsid w:val="0052469C"/>
    <w:rsid w:val="00524C2F"/>
    <w:rsid w:val="005254C4"/>
    <w:rsid w:val="00525560"/>
    <w:rsid w:val="0052567E"/>
    <w:rsid w:val="005260C9"/>
    <w:rsid w:val="00526252"/>
    <w:rsid w:val="00527688"/>
    <w:rsid w:val="005276EF"/>
    <w:rsid w:val="00527D40"/>
    <w:rsid w:val="00530E8B"/>
    <w:rsid w:val="005319E8"/>
    <w:rsid w:val="00531F93"/>
    <w:rsid w:val="0053252B"/>
    <w:rsid w:val="00532590"/>
    <w:rsid w:val="00532A86"/>
    <w:rsid w:val="0053366D"/>
    <w:rsid w:val="005342C2"/>
    <w:rsid w:val="00534382"/>
    <w:rsid w:val="00534464"/>
    <w:rsid w:val="0053714C"/>
    <w:rsid w:val="00537CBF"/>
    <w:rsid w:val="00537E23"/>
    <w:rsid w:val="00537E73"/>
    <w:rsid w:val="00540577"/>
    <w:rsid w:val="005406CB"/>
    <w:rsid w:val="00540C2B"/>
    <w:rsid w:val="00540EA2"/>
    <w:rsid w:val="005410E2"/>
    <w:rsid w:val="0054167E"/>
    <w:rsid w:val="00541F66"/>
    <w:rsid w:val="00542583"/>
    <w:rsid w:val="00542A9F"/>
    <w:rsid w:val="00543123"/>
    <w:rsid w:val="005432FB"/>
    <w:rsid w:val="00543FF6"/>
    <w:rsid w:val="00544007"/>
    <w:rsid w:val="00544570"/>
    <w:rsid w:val="00544C49"/>
    <w:rsid w:val="00544F8F"/>
    <w:rsid w:val="00544FB3"/>
    <w:rsid w:val="00544FDE"/>
    <w:rsid w:val="0054575C"/>
    <w:rsid w:val="00545A37"/>
    <w:rsid w:val="00545E4B"/>
    <w:rsid w:val="00546C44"/>
    <w:rsid w:val="0054729D"/>
    <w:rsid w:val="00547331"/>
    <w:rsid w:val="0054741E"/>
    <w:rsid w:val="005477CF"/>
    <w:rsid w:val="00547E2E"/>
    <w:rsid w:val="00550D2B"/>
    <w:rsid w:val="00550FA9"/>
    <w:rsid w:val="00551166"/>
    <w:rsid w:val="005516A1"/>
    <w:rsid w:val="00552344"/>
    <w:rsid w:val="0055250F"/>
    <w:rsid w:val="005534FC"/>
    <w:rsid w:val="00553A91"/>
    <w:rsid w:val="00553FAF"/>
    <w:rsid w:val="00555008"/>
    <w:rsid w:val="00556013"/>
    <w:rsid w:val="0055682B"/>
    <w:rsid w:val="00557B7A"/>
    <w:rsid w:val="00557E63"/>
    <w:rsid w:val="00557F06"/>
    <w:rsid w:val="00560543"/>
    <w:rsid w:val="00560687"/>
    <w:rsid w:val="005613EE"/>
    <w:rsid w:val="00561A87"/>
    <w:rsid w:val="00561FA0"/>
    <w:rsid w:val="00563887"/>
    <w:rsid w:val="00563977"/>
    <w:rsid w:val="00563F9A"/>
    <w:rsid w:val="005644B8"/>
    <w:rsid w:val="0056495C"/>
    <w:rsid w:val="00565026"/>
    <w:rsid w:val="00565A04"/>
    <w:rsid w:val="00566347"/>
    <w:rsid w:val="0056639B"/>
    <w:rsid w:val="00566BC9"/>
    <w:rsid w:val="005672F6"/>
    <w:rsid w:val="005674CB"/>
    <w:rsid w:val="00570607"/>
    <w:rsid w:val="00571064"/>
    <w:rsid w:val="005715B7"/>
    <w:rsid w:val="00572DDE"/>
    <w:rsid w:val="00573798"/>
    <w:rsid w:val="0057402A"/>
    <w:rsid w:val="0057447D"/>
    <w:rsid w:val="00574E64"/>
    <w:rsid w:val="00575540"/>
    <w:rsid w:val="00575E2A"/>
    <w:rsid w:val="0057643D"/>
    <w:rsid w:val="00576860"/>
    <w:rsid w:val="00576D03"/>
    <w:rsid w:val="00576F11"/>
    <w:rsid w:val="005771D0"/>
    <w:rsid w:val="005772F8"/>
    <w:rsid w:val="00577581"/>
    <w:rsid w:val="00580031"/>
    <w:rsid w:val="00580333"/>
    <w:rsid w:val="00580CCA"/>
    <w:rsid w:val="0058101F"/>
    <w:rsid w:val="0058194B"/>
    <w:rsid w:val="005825C4"/>
    <w:rsid w:val="00582609"/>
    <w:rsid w:val="00582F5F"/>
    <w:rsid w:val="00582FE3"/>
    <w:rsid w:val="0058377A"/>
    <w:rsid w:val="005837C1"/>
    <w:rsid w:val="005842E2"/>
    <w:rsid w:val="00584B56"/>
    <w:rsid w:val="00584D24"/>
    <w:rsid w:val="00584DD1"/>
    <w:rsid w:val="00585A52"/>
    <w:rsid w:val="00585A8F"/>
    <w:rsid w:val="00585E67"/>
    <w:rsid w:val="00585FFF"/>
    <w:rsid w:val="0058619A"/>
    <w:rsid w:val="005862CB"/>
    <w:rsid w:val="00587276"/>
    <w:rsid w:val="00587C05"/>
    <w:rsid w:val="00587D9C"/>
    <w:rsid w:val="00590A5F"/>
    <w:rsid w:val="00590B1D"/>
    <w:rsid w:val="00591708"/>
    <w:rsid w:val="005918C2"/>
    <w:rsid w:val="0059191A"/>
    <w:rsid w:val="00591D12"/>
    <w:rsid w:val="005921DF"/>
    <w:rsid w:val="005921FF"/>
    <w:rsid w:val="005923CF"/>
    <w:rsid w:val="00592F5D"/>
    <w:rsid w:val="00593031"/>
    <w:rsid w:val="00593896"/>
    <w:rsid w:val="00594FFE"/>
    <w:rsid w:val="00595E71"/>
    <w:rsid w:val="0059641C"/>
    <w:rsid w:val="00596572"/>
    <w:rsid w:val="0059662E"/>
    <w:rsid w:val="005967AB"/>
    <w:rsid w:val="00596865"/>
    <w:rsid w:val="00597060"/>
    <w:rsid w:val="0059717F"/>
    <w:rsid w:val="005976A9"/>
    <w:rsid w:val="00597D4B"/>
    <w:rsid w:val="005A0918"/>
    <w:rsid w:val="005A2996"/>
    <w:rsid w:val="005A3348"/>
    <w:rsid w:val="005A36F2"/>
    <w:rsid w:val="005A3E3F"/>
    <w:rsid w:val="005A46A2"/>
    <w:rsid w:val="005A5320"/>
    <w:rsid w:val="005A545C"/>
    <w:rsid w:val="005A55AD"/>
    <w:rsid w:val="005A5F2C"/>
    <w:rsid w:val="005A6D0E"/>
    <w:rsid w:val="005A71C6"/>
    <w:rsid w:val="005A763E"/>
    <w:rsid w:val="005A77C4"/>
    <w:rsid w:val="005A7A04"/>
    <w:rsid w:val="005A7D4B"/>
    <w:rsid w:val="005B018D"/>
    <w:rsid w:val="005B048D"/>
    <w:rsid w:val="005B1236"/>
    <w:rsid w:val="005B142C"/>
    <w:rsid w:val="005B155B"/>
    <w:rsid w:val="005B1C5F"/>
    <w:rsid w:val="005B2461"/>
    <w:rsid w:val="005B27A1"/>
    <w:rsid w:val="005B29D4"/>
    <w:rsid w:val="005B3859"/>
    <w:rsid w:val="005B3A06"/>
    <w:rsid w:val="005B3CF4"/>
    <w:rsid w:val="005B4313"/>
    <w:rsid w:val="005B458F"/>
    <w:rsid w:val="005B4B89"/>
    <w:rsid w:val="005B5065"/>
    <w:rsid w:val="005B52B0"/>
    <w:rsid w:val="005B586F"/>
    <w:rsid w:val="005B5E1E"/>
    <w:rsid w:val="005B66E4"/>
    <w:rsid w:val="005B6806"/>
    <w:rsid w:val="005B6890"/>
    <w:rsid w:val="005B6B30"/>
    <w:rsid w:val="005B70E5"/>
    <w:rsid w:val="005B7153"/>
    <w:rsid w:val="005C0276"/>
    <w:rsid w:val="005C04F7"/>
    <w:rsid w:val="005C0612"/>
    <w:rsid w:val="005C0771"/>
    <w:rsid w:val="005C1183"/>
    <w:rsid w:val="005C13B1"/>
    <w:rsid w:val="005C1795"/>
    <w:rsid w:val="005C223C"/>
    <w:rsid w:val="005C29D7"/>
    <w:rsid w:val="005C4225"/>
    <w:rsid w:val="005C439E"/>
    <w:rsid w:val="005C4651"/>
    <w:rsid w:val="005C4767"/>
    <w:rsid w:val="005C491E"/>
    <w:rsid w:val="005C4BC0"/>
    <w:rsid w:val="005C4F98"/>
    <w:rsid w:val="005C57A0"/>
    <w:rsid w:val="005C612F"/>
    <w:rsid w:val="005C6F03"/>
    <w:rsid w:val="005C71A5"/>
    <w:rsid w:val="005C7488"/>
    <w:rsid w:val="005D1F4F"/>
    <w:rsid w:val="005D3109"/>
    <w:rsid w:val="005D35DB"/>
    <w:rsid w:val="005D3BC9"/>
    <w:rsid w:val="005D3C3E"/>
    <w:rsid w:val="005D4463"/>
    <w:rsid w:val="005D46F5"/>
    <w:rsid w:val="005D4B0E"/>
    <w:rsid w:val="005D4BFB"/>
    <w:rsid w:val="005D50AA"/>
    <w:rsid w:val="005D52C5"/>
    <w:rsid w:val="005D5539"/>
    <w:rsid w:val="005D5CD2"/>
    <w:rsid w:val="005D5DBB"/>
    <w:rsid w:val="005E081B"/>
    <w:rsid w:val="005E09DC"/>
    <w:rsid w:val="005E1599"/>
    <w:rsid w:val="005E1D97"/>
    <w:rsid w:val="005E21D4"/>
    <w:rsid w:val="005E2A54"/>
    <w:rsid w:val="005E3919"/>
    <w:rsid w:val="005E39C7"/>
    <w:rsid w:val="005E4081"/>
    <w:rsid w:val="005E421A"/>
    <w:rsid w:val="005E441F"/>
    <w:rsid w:val="005E45A4"/>
    <w:rsid w:val="005E5437"/>
    <w:rsid w:val="005E5580"/>
    <w:rsid w:val="005E59D9"/>
    <w:rsid w:val="005E62F4"/>
    <w:rsid w:val="005E63E4"/>
    <w:rsid w:val="005E6507"/>
    <w:rsid w:val="005E65A7"/>
    <w:rsid w:val="005E66E5"/>
    <w:rsid w:val="005E699D"/>
    <w:rsid w:val="005E6C10"/>
    <w:rsid w:val="005F05EF"/>
    <w:rsid w:val="005F0DAD"/>
    <w:rsid w:val="005F0F33"/>
    <w:rsid w:val="005F10FD"/>
    <w:rsid w:val="005F12AF"/>
    <w:rsid w:val="005F178D"/>
    <w:rsid w:val="005F1F3B"/>
    <w:rsid w:val="005F25C4"/>
    <w:rsid w:val="005F2751"/>
    <w:rsid w:val="005F3A3B"/>
    <w:rsid w:val="005F3BAA"/>
    <w:rsid w:val="005F400F"/>
    <w:rsid w:val="005F41B6"/>
    <w:rsid w:val="005F505A"/>
    <w:rsid w:val="005F539F"/>
    <w:rsid w:val="005F6475"/>
    <w:rsid w:val="005F6AA6"/>
    <w:rsid w:val="005F6DBD"/>
    <w:rsid w:val="005F6F1E"/>
    <w:rsid w:val="005F74FD"/>
    <w:rsid w:val="005F7EE4"/>
    <w:rsid w:val="005F7FD1"/>
    <w:rsid w:val="00600363"/>
    <w:rsid w:val="00600DEB"/>
    <w:rsid w:val="0060104B"/>
    <w:rsid w:val="00601D10"/>
    <w:rsid w:val="00602192"/>
    <w:rsid w:val="00602481"/>
    <w:rsid w:val="00602BE9"/>
    <w:rsid w:val="006031D9"/>
    <w:rsid w:val="00603CC3"/>
    <w:rsid w:val="00603ED8"/>
    <w:rsid w:val="0060419C"/>
    <w:rsid w:val="006049D5"/>
    <w:rsid w:val="00605636"/>
    <w:rsid w:val="00605639"/>
    <w:rsid w:val="00605C21"/>
    <w:rsid w:val="00605DF3"/>
    <w:rsid w:val="00605F21"/>
    <w:rsid w:val="00606418"/>
    <w:rsid w:val="006078DA"/>
    <w:rsid w:val="00610191"/>
    <w:rsid w:val="006101C3"/>
    <w:rsid w:val="00610598"/>
    <w:rsid w:val="0061067B"/>
    <w:rsid w:val="00610D16"/>
    <w:rsid w:val="00611411"/>
    <w:rsid w:val="006118C9"/>
    <w:rsid w:val="00612699"/>
    <w:rsid w:val="006137AB"/>
    <w:rsid w:val="00613C6B"/>
    <w:rsid w:val="00614C69"/>
    <w:rsid w:val="00614F48"/>
    <w:rsid w:val="0061565D"/>
    <w:rsid w:val="00616517"/>
    <w:rsid w:val="00616733"/>
    <w:rsid w:val="00616A06"/>
    <w:rsid w:val="00616C27"/>
    <w:rsid w:val="00617467"/>
    <w:rsid w:val="00617C65"/>
    <w:rsid w:val="00617F15"/>
    <w:rsid w:val="00620D96"/>
    <w:rsid w:val="006219FF"/>
    <w:rsid w:val="0062206A"/>
    <w:rsid w:val="00622121"/>
    <w:rsid w:val="006222F0"/>
    <w:rsid w:val="00622D9E"/>
    <w:rsid w:val="00623415"/>
    <w:rsid w:val="0062361B"/>
    <w:rsid w:val="00623732"/>
    <w:rsid w:val="00624B07"/>
    <w:rsid w:val="00624C18"/>
    <w:rsid w:val="00625B29"/>
    <w:rsid w:val="0062667C"/>
    <w:rsid w:val="00626A1D"/>
    <w:rsid w:val="00626A68"/>
    <w:rsid w:val="00627295"/>
    <w:rsid w:val="00627303"/>
    <w:rsid w:val="0062761B"/>
    <w:rsid w:val="00627893"/>
    <w:rsid w:val="00627A84"/>
    <w:rsid w:val="00627C9F"/>
    <w:rsid w:val="00630099"/>
    <w:rsid w:val="006303C3"/>
    <w:rsid w:val="00630421"/>
    <w:rsid w:val="006308B0"/>
    <w:rsid w:val="00630F0A"/>
    <w:rsid w:val="006311E9"/>
    <w:rsid w:val="00632039"/>
    <w:rsid w:val="00632217"/>
    <w:rsid w:val="00632354"/>
    <w:rsid w:val="00632CED"/>
    <w:rsid w:val="00633006"/>
    <w:rsid w:val="0063380B"/>
    <w:rsid w:val="0063388A"/>
    <w:rsid w:val="006346A4"/>
    <w:rsid w:val="00634935"/>
    <w:rsid w:val="00634F0C"/>
    <w:rsid w:val="00635014"/>
    <w:rsid w:val="00636164"/>
    <w:rsid w:val="006367BE"/>
    <w:rsid w:val="006368A4"/>
    <w:rsid w:val="00637390"/>
    <w:rsid w:val="00637A7D"/>
    <w:rsid w:val="00637E9F"/>
    <w:rsid w:val="00640598"/>
    <w:rsid w:val="00641554"/>
    <w:rsid w:val="00641FFA"/>
    <w:rsid w:val="00642011"/>
    <w:rsid w:val="00642053"/>
    <w:rsid w:val="00642299"/>
    <w:rsid w:val="006427A2"/>
    <w:rsid w:val="00642810"/>
    <w:rsid w:val="006432DF"/>
    <w:rsid w:val="006443A2"/>
    <w:rsid w:val="00645394"/>
    <w:rsid w:val="00645737"/>
    <w:rsid w:val="0064625E"/>
    <w:rsid w:val="00646318"/>
    <w:rsid w:val="006463F5"/>
    <w:rsid w:val="00646412"/>
    <w:rsid w:val="00646AAA"/>
    <w:rsid w:val="0064745D"/>
    <w:rsid w:val="00647CBF"/>
    <w:rsid w:val="00647F10"/>
    <w:rsid w:val="006501D8"/>
    <w:rsid w:val="006504B1"/>
    <w:rsid w:val="00650B75"/>
    <w:rsid w:val="00650FD4"/>
    <w:rsid w:val="00651686"/>
    <w:rsid w:val="006517C3"/>
    <w:rsid w:val="006519E9"/>
    <w:rsid w:val="00651A84"/>
    <w:rsid w:val="00652129"/>
    <w:rsid w:val="00652333"/>
    <w:rsid w:val="00653C47"/>
    <w:rsid w:val="00654330"/>
    <w:rsid w:val="00654AA0"/>
    <w:rsid w:val="00654CA8"/>
    <w:rsid w:val="006559B7"/>
    <w:rsid w:val="00655DC3"/>
    <w:rsid w:val="00655F48"/>
    <w:rsid w:val="006565CC"/>
    <w:rsid w:val="00656A10"/>
    <w:rsid w:val="00657E2F"/>
    <w:rsid w:val="0066006C"/>
    <w:rsid w:val="006602D9"/>
    <w:rsid w:val="00661526"/>
    <w:rsid w:val="00661A1B"/>
    <w:rsid w:val="00662116"/>
    <w:rsid w:val="0066234E"/>
    <w:rsid w:val="00662351"/>
    <w:rsid w:val="00663AAF"/>
    <w:rsid w:val="00663EF4"/>
    <w:rsid w:val="006650A7"/>
    <w:rsid w:val="006651E9"/>
    <w:rsid w:val="00665324"/>
    <w:rsid w:val="00665BA0"/>
    <w:rsid w:val="00665EB9"/>
    <w:rsid w:val="00665F90"/>
    <w:rsid w:val="0066736C"/>
    <w:rsid w:val="0066745B"/>
    <w:rsid w:val="00667AB0"/>
    <w:rsid w:val="006700BC"/>
    <w:rsid w:val="0067030C"/>
    <w:rsid w:val="00671CD9"/>
    <w:rsid w:val="0067213E"/>
    <w:rsid w:val="00673038"/>
    <w:rsid w:val="0067328F"/>
    <w:rsid w:val="006745C7"/>
    <w:rsid w:val="00674D66"/>
    <w:rsid w:val="006758F4"/>
    <w:rsid w:val="00675D16"/>
    <w:rsid w:val="00676930"/>
    <w:rsid w:val="00676BEC"/>
    <w:rsid w:val="006774F4"/>
    <w:rsid w:val="00677817"/>
    <w:rsid w:val="00677AD8"/>
    <w:rsid w:val="00677C7A"/>
    <w:rsid w:val="0068001B"/>
    <w:rsid w:val="0068009E"/>
    <w:rsid w:val="0068096E"/>
    <w:rsid w:val="00680B66"/>
    <w:rsid w:val="0068105A"/>
    <w:rsid w:val="00681B7D"/>
    <w:rsid w:val="00682960"/>
    <w:rsid w:val="00682A00"/>
    <w:rsid w:val="006833DA"/>
    <w:rsid w:val="00683B3E"/>
    <w:rsid w:val="0068424C"/>
    <w:rsid w:val="006844D5"/>
    <w:rsid w:val="00684A8E"/>
    <w:rsid w:val="00684ADA"/>
    <w:rsid w:val="00684C05"/>
    <w:rsid w:val="00685083"/>
    <w:rsid w:val="006857A6"/>
    <w:rsid w:val="00685917"/>
    <w:rsid w:val="006868CE"/>
    <w:rsid w:val="00686C4E"/>
    <w:rsid w:val="00687233"/>
    <w:rsid w:val="0068775D"/>
    <w:rsid w:val="00687C60"/>
    <w:rsid w:val="006907CC"/>
    <w:rsid w:val="00691211"/>
    <w:rsid w:val="00691A60"/>
    <w:rsid w:val="006928EA"/>
    <w:rsid w:val="006945B0"/>
    <w:rsid w:val="00694B5E"/>
    <w:rsid w:val="006954B6"/>
    <w:rsid w:val="006959DA"/>
    <w:rsid w:val="00695A8A"/>
    <w:rsid w:val="00695E32"/>
    <w:rsid w:val="00696F5C"/>
    <w:rsid w:val="00697206"/>
    <w:rsid w:val="006A12EA"/>
    <w:rsid w:val="006A17D2"/>
    <w:rsid w:val="006A26BC"/>
    <w:rsid w:val="006A2D14"/>
    <w:rsid w:val="006A2FCE"/>
    <w:rsid w:val="006A416F"/>
    <w:rsid w:val="006A4388"/>
    <w:rsid w:val="006A5279"/>
    <w:rsid w:val="006A5378"/>
    <w:rsid w:val="006A5619"/>
    <w:rsid w:val="006A58F8"/>
    <w:rsid w:val="006A5D09"/>
    <w:rsid w:val="006A6116"/>
    <w:rsid w:val="006A6396"/>
    <w:rsid w:val="006A6530"/>
    <w:rsid w:val="006A686E"/>
    <w:rsid w:val="006A6C28"/>
    <w:rsid w:val="006A6E4C"/>
    <w:rsid w:val="006A6F86"/>
    <w:rsid w:val="006A73E6"/>
    <w:rsid w:val="006A75AD"/>
    <w:rsid w:val="006A789A"/>
    <w:rsid w:val="006B0320"/>
    <w:rsid w:val="006B09F4"/>
    <w:rsid w:val="006B0A06"/>
    <w:rsid w:val="006B140A"/>
    <w:rsid w:val="006B15CE"/>
    <w:rsid w:val="006B17C3"/>
    <w:rsid w:val="006B1A48"/>
    <w:rsid w:val="006B2CC7"/>
    <w:rsid w:val="006B2D5C"/>
    <w:rsid w:val="006B2FBF"/>
    <w:rsid w:val="006B33C4"/>
    <w:rsid w:val="006B351F"/>
    <w:rsid w:val="006B3714"/>
    <w:rsid w:val="006B3AF1"/>
    <w:rsid w:val="006B4D46"/>
    <w:rsid w:val="006B51B9"/>
    <w:rsid w:val="006B57E1"/>
    <w:rsid w:val="006B5B8E"/>
    <w:rsid w:val="006B69B5"/>
    <w:rsid w:val="006B6F29"/>
    <w:rsid w:val="006B71F6"/>
    <w:rsid w:val="006B7FA2"/>
    <w:rsid w:val="006C0FB6"/>
    <w:rsid w:val="006C11B7"/>
    <w:rsid w:val="006C128E"/>
    <w:rsid w:val="006C16D2"/>
    <w:rsid w:val="006C1767"/>
    <w:rsid w:val="006C17B3"/>
    <w:rsid w:val="006C1D5B"/>
    <w:rsid w:val="006C1E07"/>
    <w:rsid w:val="006C3B01"/>
    <w:rsid w:val="006C4468"/>
    <w:rsid w:val="006C4EB1"/>
    <w:rsid w:val="006C58EB"/>
    <w:rsid w:val="006C7244"/>
    <w:rsid w:val="006C7306"/>
    <w:rsid w:val="006D0196"/>
    <w:rsid w:val="006D0592"/>
    <w:rsid w:val="006D0772"/>
    <w:rsid w:val="006D0B3C"/>
    <w:rsid w:val="006D0E40"/>
    <w:rsid w:val="006D0F9A"/>
    <w:rsid w:val="006D132D"/>
    <w:rsid w:val="006D2C15"/>
    <w:rsid w:val="006D2E3E"/>
    <w:rsid w:val="006D2EC4"/>
    <w:rsid w:val="006D35C2"/>
    <w:rsid w:val="006D362F"/>
    <w:rsid w:val="006D39C6"/>
    <w:rsid w:val="006D5ED9"/>
    <w:rsid w:val="006D640D"/>
    <w:rsid w:val="006D6D14"/>
    <w:rsid w:val="006D7534"/>
    <w:rsid w:val="006D7816"/>
    <w:rsid w:val="006D7A70"/>
    <w:rsid w:val="006E0021"/>
    <w:rsid w:val="006E00A3"/>
    <w:rsid w:val="006E0166"/>
    <w:rsid w:val="006E1697"/>
    <w:rsid w:val="006E1A3B"/>
    <w:rsid w:val="006E26D2"/>
    <w:rsid w:val="006E2743"/>
    <w:rsid w:val="006E3AF6"/>
    <w:rsid w:val="006E3E8D"/>
    <w:rsid w:val="006E3EFB"/>
    <w:rsid w:val="006E434B"/>
    <w:rsid w:val="006E5002"/>
    <w:rsid w:val="006E54B0"/>
    <w:rsid w:val="006E56C1"/>
    <w:rsid w:val="006E58D1"/>
    <w:rsid w:val="006E5B92"/>
    <w:rsid w:val="006E5E19"/>
    <w:rsid w:val="006E6C59"/>
    <w:rsid w:val="006E72D0"/>
    <w:rsid w:val="006E7B34"/>
    <w:rsid w:val="006E7DF9"/>
    <w:rsid w:val="006F0078"/>
    <w:rsid w:val="006F09EB"/>
    <w:rsid w:val="006F0BBD"/>
    <w:rsid w:val="006F1121"/>
    <w:rsid w:val="006F241B"/>
    <w:rsid w:val="006F2B4A"/>
    <w:rsid w:val="006F34E3"/>
    <w:rsid w:val="006F3DC4"/>
    <w:rsid w:val="006F491C"/>
    <w:rsid w:val="006F4CE6"/>
    <w:rsid w:val="006F5AAE"/>
    <w:rsid w:val="006F5C1B"/>
    <w:rsid w:val="006F7EE3"/>
    <w:rsid w:val="00701983"/>
    <w:rsid w:val="00701F15"/>
    <w:rsid w:val="00701F4D"/>
    <w:rsid w:val="0070217A"/>
    <w:rsid w:val="007025F2"/>
    <w:rsid w:val="00702755"/>
    <w:rsid w:val="00702F28"/>
    <w:rsid w:val="007032B2"/>
    <w:rsid w:val="00703A3A"/>
    <w:rsid w:val="00703E40"/>
    <w:rsid w:val="00704084"/>
    <w:rsid w:val="00704237"/>
    <w:rsid w:val="007042C0"/>
    <w:rsid w:val="0070448F"/>
    <w:rsid w:val="0070498B"/>
    <w:rsid w:val="00704E13"/>
    <w:rsid w:val="0070526E"/>
    <w:rsid w:val="00705668"/>
    <w:rsid w:val="00705C69"/>
    <w:rsid w:val="00705E34"/>
    <w:rsid w:val="00706840"/>
    <w:rsid w:val="0070697F"/>
    <w:rsid w:val="007079BD"/>
    <w:rsid w:val="00707B7D"/>
    <w:rsid w:val="00710113"/>
    <w:rsid w:val="00710772"/>
    <w:rsid w:val="00710D41"/>
    <w:rsid w:val="007114BB"/>
    <w:rsid w:val="0071162D"/>
    <w:rsid w:val="00711B80"/>
    <w:rsid w:val="00711E01"/>
    <w:rsid w:val="00711F99"/>
    <w:rsid w:val="007124F8"/>
    <w:rsid w:val="007127FA"/>
    <w:rsid w:val="00713551"/>
    <w:rsid w:val="00713632"/>
    <w:rsid w:val="00713B81"/>
    <w:rsid w:val="00713E33"/>
    <w:rsid w:val="007146D8"/>
    <w:rsid w:val="007155B6"/>
    <w:rsid w:val="00717B02"/>
    <w:rsid w:val="007200CC"/>
    <w:rsid w:val="00720893"/>
    <w:rsid w:val="00720928"/>
    <w:rsid w:val="007209F2"/>
    <w:rsid w:val="00720F8E"/>
    <w:rsid w:val="007215FD"/>
    <w:rsid w:val="0072199C"/>
    <w:rsid w:val="00721B11"/>
    <w:rsid w:val="00721F44"/>
    <w:rsid w:val="007222C5"/>
    <w:rsid w:val="00722D18"/>
    <w:rsid w:val="00723A38"/>
    <w:rsid w:val="00724E06"/>
    <w:rsid w:val="007253B8"/>
    <w:rsid w:val="007255DB"/>
    <w:rsid w:val="00725E74"/>
    <w:rsid w:val="007264EF"/>
    <w:rsid w:val="00726EB2"/>
    <w:rsid w:val="007274DE"/>
    <w:rsid w:val="00727A5D"/>
    <w:rsid w:val="00727C60"/>
    <w:rsid w:val="007301C7"/>
    <w:rsid w:val="007303F5"/>
    <w:rsid w:val="0073120A"/>
    <w:rsid w:val="00731B6C"/>
    <w:rsid w:val="0073271A"/>
    <w:rsid w:val="00732A0F"/>
    <w:rsid w:val="00732AA5"/>
    <w:rsid w:val="00733029"/>
    <w:rsid w:val="00733344"/>
    <w:rsid w:val="00733A89"/>
    <w:rsid w:val="00733BC5"/>
    <w:rsid w:val="00733FB1"/>
    <w:rsid w:val="00734F47"/>
    <w:rsid w:val="00735244"/>
    <w:rsid w:val="007353CB"/>
    <w:rsid w:val="00735C10"/>
    <w:rsid w:val="00735E15"/>
    <w:rsid w:val="00736621"/>
    <w:rsid w:val="0073741F"/>
    <w:rsid w:val="00737E30"/>
    <w:rsid w:val="00740D0C"/>
    <w:rsid w:val="00741CA3"/>
    <w:rsid w:val="0074209F"/>
    <w:rsid w:val="007421AC"/>
    <w:rsid w:val="007425C7"/>
    <w:rsid w:val="007438F1"/>
    <w:rsid w:val="00744187"/>
    <w:rsid w:val="007441B6"/>
    <w:rsid w:val="00744387"/>
    <w:rsid w:val="007444E9"/>
    <w:rsid w:val="0074488D"/>
    <w:rsid w:val="0074509F"/>
    <w:rsid w:val="00745A9C"/>
    <w:rsid w:val="0074602F"/>
    <w:rsid w:val="0074626D"/>
    <w:rsid w:val="0074649B"/>
    <w:rsid w:val="0074670B"/>
    <w:rsid w:val="00746D77"/>
    <w:rsid w:val="007470B2"/>
    <w:rsid w:val="00747573"/>
    <w:rsid w:val="0075008E"/>
    <w:rsid w:val="0075120E"/>
    <w:rsid w:val="007518E6"/>
    <w:rsid w:val="007522B3"/>
    <w:rsid w:val="0075265F"/>
    <w:rsid w:val="007527F2"/>
    <w:rsid w:val="007528B9"/>
    <w:rsid w:val="00752DDB"/>
    <w:rsid w:val="007536A9"/>
    <w:rsid w:val="007543A5"/>
    <w:rsid w:val="00754E62"/>
    <w:rsid w:val="0075543C"/>
    <w:rsid w:val="007554FC"/>
    <w:rsid w:val="007555A2"/>
    <w:rsid w:val="007555B4"/>
    <w:rsid w:val="00755FDC"/>
    <w:rsid w:val="00756151"/>
    <w:rsid w:val="007567C8"/>
    <w:rsid w:val="007573DE"/>
    <w:rsid w:val="007576D1"/>
    <w:rsid w:val="00757EE9"/>
    <w:rsid w:val="00762237"/>
    <w:rsid w:val="00762321"/>
    <w:rsid w:val="0076258E"/>
    <w:rsid w:val="00762BBB"/>
    <w:rsid w:val="00764578"/>
    <w:rsid w:val="007650EA"/>
    <w:rsid w:val="00765397"/>
    <w:rsid w:val="00765557"/>
    <w:rsid w:val="007658BB"/>
    <w:rsid w:val="00766170"/>
    <w:rsid w:val="0076643F"/>
    <w:rsid w:val="00766855"/>
    <w:rsid w:val="00766DE1"/>
    <w:rsid w:val="00766EA0"/>
    <w:rsid w:val="00766FD3"/>
    <w:rsid w:val="007673D9"/>
    <w:rsid w:val="0076751D"/>
    <w:rsid w:val="007716DA"/>
    <w:rsid w:val="00771C9A"/>
    <w:rsid w:val="00772433"/>
    <w:rsid w:val="00772A89"/>
    <w:rsid w:val="00772C4C"/>
    <w:rsid w:val="00772EFA"/>
    <w:rsid w:val="00774B7A"/>
    <w:rsid w:val="00774C6F"/>
    <w:rsid w:val="00774DF0"/>
    <w:rsid w:val="007753D7"/>
    <w:rsid w:val="007755C7"/>
    <w:rsid w:val="00776913"/>
    <w:rsid w:val="00776DC6"/>
    <w:rsid w:val="00780581"/>
    <w:rsid w:val="00780661"/>
    <w:rsid w:val="007809F9"/>
    <w:rsid w:val="00780F38"/>
    <w:rsid w:val="0078174E"/>
    <w:rsid w:val="00781B69"/>
    <w:rsid w:val="00782585"/>
    <w:rsid w:val="00782A6F"/>
    <w:rsid w:val="00782C20"/>
    <w:rsid w:val="00782CFB"/>
    <w:rsid w:val="0078460C"/>
    <w:rsid w:val="00784766"/>
    <w:rsid w:val="007848A4"/>
    <w:rsid w:val="00784E03"/>
    <w:rsid w:val="00785213"/>
    <w:rsid w:val="00785272"/>
    <w:rsid w:val="00785691"/>
    <w:rsid w:val="0078587D"/>
    <w:rsid w:val="00785B6E"/>
    <w:rsid w:val="00785BBF"/>
    <w:rsid w:val="00785BFC"/>
    <w:rsid w:val="00785F90"/>
    <w:rsid w:val="007863BC"/>
    <w:rsid w:val="0078689C"/>
    <w:rsid w:val="00790178"/>
    <w:rsid w:val="00790243"/>
    <w:rsid w:val="00790F8B"/>
    <w:rsid w:val="00790FAB"/>
    <w:rsid w:val="00791A91"/>
    <w:rsid w:val="00792525"/>
    <w:rsid w:val="00792A15"/>
    <w:rsid w:val="007938CA"/>
    <w:rsid w:val="00793AED"/>
    <w:rsid w:val="00793CB7"/>
    <w:rsid w:val="0079417D"/>
    <w:rsid w:val="00794475"/>
    <w:rsid w:val="00794641"/>
    <w:rsid w:val="007950AC"/>
    <w:rsid w:val="00796236"/>
    <w:rsid w:val="00796A26"/>
    <w:rsid w:val="00797DD9"/>
    <w:rsid w:val="007A0688"/>
    <w:rsid w:val="007A101F"/>
    <w:rsid w:val="007A10D1"/>
    <w:rsid w:val="007A17E4"/>
    <w:rsid w:val="007A1CE0"/>
    <w:rsid w:val="007A26BF"/>
    <w:rsid w:val="007A29CE"/>
    <w:rsid w:val="007A29E9"/>
    <w:rsid w:val="007A33CA"/>
    <w:rsid w:val="007A3EC1"/>
    <w:rsid w:val="007A4039"/>
    <w:rsid w:val="007A46C7"/>
    <w:rsid w:val="007A4794"/>
    <w:rsid w:val="007A4A25"/>
    <w:rsid w:val="007A539D"/>
    <w:rsid w:val="007A5817"/>
    <w:rsid w:val="007A5CA0"/>
    <w:rsid w:val="007A6B39"/>
    <w:rsid w:val="007A6E5C"/>
    <w:rsid w:val="007A7FED"/>
    <w:rsid w:val="007B01BB"/>
    <w:rsid w:val="007B03A8"/>
    <w:rsid w:val="007B043F"/>
    <w:rsid w:val="007B05F9"/>
    <w:rsid w:val="007B0A16"/>
    <w:rsid w:val="007B0CE3"/>
    <w:rsid w:val="007B0EC9"/>
    <w:rsid w:val="007B1F4F"/>
    <w:rsid w:val="007B2A37"/>
    <w:rsid w:val="007B2B9C"/>
    <w:rsid w:val="007B3C7F"/>
    <w:rsid w:val="007B3D30"/>
    <w:rsid w:val="007B4920"/>
    <w:rsid w:val="007B515B"/>
    <w:rsid w:val="007B52BC"/>
    <w:rsid w:val="007B5D67"/>
    <w:rsid w:val="007B60E9"/>
    <w:rsid w:val="007B6779"/>
    <w:rsid w:val="007B6CC3"/>
    <w:rsid w:val="007B7113"/>
    <w:rsid w:val="007B752C"/>
    <w:rsid w:val="007B7C16"/>
    <w:rsid w:val="007C01B1"/>
    <w:rsid w:val="007C0801"/>
    <w:rsid w:val="007C0C13"/>
    <w:rsid w:val="007C0DA5"/>
    <w:rsid w:val="007C1647"/>
    <w:rsid w:val="007C1B4C"/>
    <w:rsid w:val="007C2330"/>
    <w:rsid w:val="007C27C3"/>
    <w:rsid w:val="007C2FF6"/>
    <w:rsid w:val="007C3334"/>
    <w:rsid w:val="007C351D"/>
    <w:rsid w:val="007C4605"/>
    <w:rsid w:val="007C4D59"/>
    <w:rsid w:val="007C5F30"/>
    <w:rsid w:val="007C6751"/>
    <w:rsid w:val="007C68C5"/>
    <w:rsid w:val="007C6F41"/>
    <w:rsid w:val="007C6F65"/>
    <w:rsid w:val="007C7891"/>
    <w:rsid w:val="007C7D76"/>
    <w:rsid w:val="007C7E5C"/>
    <w:rsid w:val="007D0764"/>
    <w:rsid w:val="007D0B97"/>
    <w:rsid w:val="007D0C8C"/>
    <w:rsid w:val="007D10B3"/>
    <w:rsid w:val="007D1432"/>
    <w:rsid w:val="007D16DC"/>
    <w:rsid w:val="007D1DEE"/>
    <w:rsid w:val="007D2484"/>
    <w:rsid w:val="007D2494"/>
    <w:rsid w:val="007D2B98"/>
    <w:rsid w:val="007D33BB"/>
    <w:rsid w:val="007D389B"/>
    <w:rsid w:val="007D4D0A"/>
    <w:rsid w:val="007D4F01"/>
    <w:rsid w:val="007D5AD1"/>
    <w:rsid w:val="007D5F5F"/>
    <w:rsid w:val="007D63A9"/>
    <w:rsid w:val="007D733F"/>
    <w:rsid w:val="007D7C4D"/>
    <w:rsid w:val="007D7F07"/>
    <w:rsid w:val="007E0337"/>
    <w:rsid w:val="007E03CE"/>
    <w:rsid w:val="007E07FA"/>
    <w:rsid w:val="007E0A89"/>
    <w:rsid w:val="007E0D10"/>
    <w:rsid w:val="007E0D92"/>
    <w:rsid w:val="007E1554"/>
    <w:rsid w:val="007E1751"/>
    <w:rsid w:val="007E1768"/>
    <w:rsid w:val="007E21BC"/>
    <w:rsid w:val="007E2B3E"/>
    <w:rsid w:val="007E38E5"/>
    <w:rsid w:val="007E41D2"/>
    <w:rsid w:val="007E441B"/>
    <w:rsid w:val="007E4D79"/>
    <w:rsid w:val="007E5009"/>
    <w:rsid w:val="007E585F"/>
    <w:rsid w:val="007E5A40"/>
    <w:rsid w:val="007E5D40"/>
    <w:rsid w:val="007E61C5"/>
    <w:rsid w:val="007E6417"/>
    <w:rsid w:val="007E665B"/>
    <w:rsid w:val="007E67DC"/>
    <w:rsid w:val="007E799A"/>
    <w:rsid w:val="007F0264"/>
    <w:rsid w:val="007F0496"/>
    <w:rsid w:val="007F0713"/>
    <w:rsid w:val="007F0A18"/>
    <w:rsid w:val="007F0C72"/>
    <w:rsid w:val="007F0D3D"/>
    <w:rsid w:val="007F171B"/>
    <w:rsid w:val="007F1CD8"/>
    <w:rsid w:val="007F22E5"/>
    <w:rsid w:val="007F2DC3"/>
    <w:rsid w:val="007F3406"/>
    <w:rsid w:val="007F400D"/>
    <w:rsid w:val="007F48EE"/>
    <w:rsid w:val="007F4C17"/>
    <w:rsid w:val="007F5266"/>
    <w:rsid w:val="007F5537"/>
    <w:rsid w:val="007F5D54"/>
    <w:rsid w:val="007F6080"/>
    <w:rsid w:val="007F62F3"/>
    <w:rsid w:val="007F6C61"/>
    <w:rsid w:val="007F6F48"/>
    <w:rsid w:val="007F6F94"/>
    <w:rsid w:val="007F7D9D"/>
    <w:rsid w:val="0080085C"/>
    <w:rsid w:val="0080094F"/>
    <w:rsid w:val="00800B51"/>
    <w:rsid w:val="0080142B"/>
    <w:rsid w:val="00802182"/>
    <w:rsid w:val="00802E76"/>
    <w:rsid w:val="0080398A"/>
    <w:rsid w:val="00803A41"/>
    <w:rsid w:val="00803F1C"/>
    <w:rsid w:val="0080600E"/>
    <w:rsid w:val="0080612C"/>
    <w:rsid w:val="0080639F"/>
    <w:rsid w:val="008069D1"/>
    <w:rsid w:val="00806CE0"/>
    <w:rsid w:val="00810AC5"/>
    <w:rsid w:val="008124AE"/>
    <w:rsid w:val="00812ACD"/>
    <w:rsid w:val="008140C5"/>
    <w:rsid w:val="0081449E"/>
    <w:rsid w:val="008146EC"/>
    <w:rsid w:val="0081496B"/>
    <w:rsid w:val="00815207"/>
    <w:rsid w:val="00815497"/>
    <w:rsid w:val="00815A24"/>
    <w:rsid w:val="00815E08"/>
    <w:rsid w:val="00816112"/>
    <w:rsid w:val="00816A42"/>
    <w:rsid w:val="00816AE5"/>
    <w:rsid w:val="00816ED6"/>
    <w:rsid w:val="00817276"/>
    <w:rsid w:val="00817612"/>
    <w:rsid w:val="00817AA5"/>
    <w:rsid w:val="00817B08"/>
    <w:rsid w:val="00817E57"/>
    <w:rsid w:val="00817FC9"/>
    <w:rsid w:val="00821FF7"/>
    <w:rsid w:val="0082232D"/>
    <w:rsid w:val="0082287D"/>
    <w:rsid w:val="00822FF5"/>
    <w:rsid w:val="0082333F"/>
    <w:rsid w:val="00824A3F"/>
    <w:rsid w:val="00825623"/>
    <w:rsid w:val="008258DE"/>
    <w:rsid w:val="00825F67"/>
    <w:rsid w:val="00825FF9"/>
    <w:rsid w:val="00826860"/>
    <w:rsid w:val="008271E7"/>
    <w:rsid w:val="00827229"/>
    <w:rsid w:val="00827365"/>
    <w:rsid w:val="00827622"/>
    <w:rsid w:val="0082785F"/>
    <w:rsid w:val="008309CD"/>
    <w:rsid w:val="00830F17"/>
    <w:rsid w:val="0083146E"/>
    <w:rsid w:val="00832873"/>
    <w:rsid w:val="00832E7E"/>
    <w:rsid w:val="00833633"/>
    <w:rsid w:val="00833661"/>
    <w:rsid w:val="008338A4"/>
    <w:rsid w:val="00834158"/>
    <w:rsid w:val="00835216"/>
    <w:rsid w:val="00835223"/>
    <w:rsid w:val="00835819"/>
    <w:rsid w:val="0083588E"/>
    <w:rsid w:val="00835ED3"/>
    <w:rsid w:val="00836060"/>
    <w:rsid w:val="0083613A"/>
    <w:rsid w:val="0083681D"/>
    <w:rsid w:val="00836907"/>
    <w:rsid w:val="008375A0"/>
    <w:rsid w:val="00837C45"/>
    <w:rsid w:val="008417D9"/>
    <w:rsid w:val="008418D2"/>
    <w:rsid w:val="00841B6E"/>
    <w:rsid w:val="00841E8D"/>
    <w:rsid w:val="00842033"/>
    <w:rsid w:val="00842510"/>
    <w:rsid w:val="008436B8"/>
    <w:rsid w:val="0084424C"/>
    <w:rsid w:val="00844730"/>
    <w:rsid w:val="00844798"/>
    <w:rsid w:val="00845447"/>
    <w:rsid w:val="008456CB"/>
    <w:rsid w:val="008457C2"/>
    <w:rsid w:val="00845DC2"/>
    <w:rsid w:val="00846555"/>
    <w:rsid w:val="0084792D"/>
    <w:rsid w:val="00847996"/>
    <w:rsid w:val="00847D04"/>
    <w:rsid w:val="00847D66"/>
    <w:rsid w:val="008505C6"/>
    <w:rsid w:val="008508B9"/>
    <w:rsid w:val="00850E4D"/>
    <w:rsid w:val="00851220"/>
    <w:rsid w:val="00851BEA"/>
    <w:rsid w:val="00853B54"/>
    <w:rsid w:val="00853F9D"/>
    <w:rsid w:val="008540B6"/>
    <w:rsid w:val="0085423E"/>
    <w:rsid w:val="008548E4"/>
    <w:rsid w:val="0085567C"/>
    <w:rsid w:val="008556CA"/>
    <w:rsid w:val="008563A3"/>
    <w:rsid w:val="00857A82"/>
    <w:rsid w:val="00857D41"/>
    <w:rsid w:val="00857FA2"/>
    <w:rsid w:val="0086031A"/>
    <w:rsid w:val="00860B5F"/>
    <w:rsid w:val="00860BFE"/>
    <w:rsid w:val="008611BC"/>
    <w:rsid w:val="00861880"/>
    <w:rsid w:val="008619A1"/>
    <w:rsid w:val="00861B6C"/>
    <w:rsid w:val="00862253"/>
    <w:rsid w:val="008627EF"/>
    <w:rsid w:val="008629F3"/>
    <w:rsid w:val="00862EC5"/>
    <w:rsid w:val="008657F3"/>
    <w:rsid w:val="00865CB9"/>
    <w:rsid w:val="00865D59"/>
    <w:rsid w:val="00866186"/>
    <w:rsid w:val="008664EC"/>
    <w:rsid w:val="008668F6"/>
    <w:rsid w:val="00867189"/>
    <w:rsid w:val="00867A6D"/>
    <w:rsid w:val="0087074B"/>
    <w:rsid w:val="00871501"/>
    <w:rsid w:val="00871537"/>
    <w:rsid w:val="00871D0C"/>
    <w:rsid w:val="0087259A"/>
    <w:rsid w:val="00872A3D"/>
    <w:rsid w:val="00873836"/>
    <w:rsid w:val="00873F92"/>
    <w:rsid w:val="0087479F"/>
    <w:rsid w:val="008762FF"/>
    <w:rsid w:val="00876822"/>
    <w:rsid w:val="00876A9F"/>
    <w:rsid w:val="008771AD"/>
    <w:rsid w:val="0087747E"/>
    <w:rsid w:val="00877CD0"/>
    <w:rsid w:val="00880BC8"/>
    <w:rsid w:val="00881157"/>
    <w:rsid w:val="00881B88"/>
    <w:rsid w:val="0088200E"/>
    <w:rsid w:val="0088252D"/>
    <w:rsid w:val="00882A03"/>
    <w:rsid w:val="008833C1"/>
    <w:rsid w:val="00885450"/>
    <w:rsid w:val="00885553"/>
    <w:rsid w:val="00885737"/>
    <w:rsid w:val="00885974"/>
    <w:rsid w:val="00885CA7"/>
    <w:rsid w:val="00885E54"/>
    <w:rsid w:val="00886208"/>
    <w:rsid w:val="00887BD0"/>
    <w:rsid w:val="00887C19"/>
    <w:rsid w:val="00887C86"/>
    <w:rsid w:val="008902F5"/>
    <w:rsid w:val="00890650"/>
    <w:rsid w:val="008909B7"/>
    <w:rsid w:val="00890C56"/>
    <w:rsid w:val="008914B5"/>
    <w:rsid w:val="00891F36"/>
    <w:rsid w:val="0089369B"/>
    <w:rsid w:val="00893713"/>
    <w:rsid w:val="00893DFD"/>
    <w:rsid w:val="00893EF9"/>
    <w:rsid w:val="00894134"/>
    <w:rsid w:val="00894D26"/>
    <w:rsid w:val="00895389"/>
    <w:rsid w:val="00895D38"/>
    <w:rsid w:val="00896099"/>
    <w:rsid w:val="00896807"/>
    <w:rsid w:val="00896F65"/>
    <w:rsid w:val="00897338"/>
    <w:rsid w:val="0089759E"/>
    <w:rsid w:val="00897C86"/>
    <w:rsid w:val="00897D3C"/>
    <w:rsid w:val="00897DCF"/>
    <w:rsid w:val="00897E12"/>
    <w:rsid w:val="008A0437"/>
    <w:rsid w:val="008A0EC3"/>
    <w:rsid w:val="008A21D5"/>
    <w:rsid w:val="008A2501"/>
    <w:rsid w:val="008A2B89"/>
    <w:rsid w:val="008A2F89"/>
    <w:rsid w:val="008A42DF"/>
    <w:rsid w:val="008A4748"/>
    <w:rsid w:val="008A4985"/>
    <w:rsid w:val="008A4B90"/>
    <w:rsid w:val="008A5EA2"/>
    <w:rsid w:val="008A63C6"/>
    <w:rsid w:val="008A6B26"/>
    <w:rsid w:val="008A6C80"/>
    <w:rsid w:val="008A72C5"/>
    <w:rsid w:val="008A75D0"/>
    <w:rsid w:val="008A7874"/>
    <w:rsid w:val="008A7E0F"/>
    <w:rsid w:val="008B08E2"/>
    <w:rsid w:val="008B0C96"/>
    <w:rsid w:val="008B10ED"/>
    <w:rsid w:val="008B12F5"/>
    <w:rsid w:val="008B192D"/>
    <w:rsid w:val="008B1BBB"/>
    <w:rsid w:val="008B1E57"/>
    <w:rsid w:val="008B20E5"/>
    <w:rsid w:val="008B21E9"/>
    <w:rsid w:val="008B2D49"/>
    <w:rsid w:val="008B31CA"/>
    <w:rsid w:val="008B41A1"/>
    <w:rsid w:val="008B4CCC"/>
    <w:rsid w:val="008B5196"/>
    <w:rsid w:val="008B5210"/>
    <w:rsid w:val="008B573D"/>
    <w:rsid w:val="008B59E8"/>
    <w:rsid w:val="008B6888"/>
    <w:rsid w:val="008B6EC0"/>
    <w:rsid w:val="008B744E"/>
    <w:rsid w:val="008B751D"/>
    <w:rsid w:val="008B793B"/>
    <w:rsid w:val="008B7C48"/>
    <w:rsid w:val="008C056E"/>
    <w:rsid w:val="008C0A49"/>
    <w:rsid w:val="008C0C3D"/>
    <w:rsid w:val="008C1BB7"/>
    <w:rsid w:val="008C294B"/>
    <w:rsid w:val="008C4927"/>
    <w:rsid w:val="008C5146"/>
    <w:rsid w:val="008C5543"/>
    <w:rsid w:val="008C5D43"/>
    <w:rsid w:val="008C5D8E"/>
    <w:rsid w:val="008C6103"/>
    <w:rsid w:val="008C6927"/>
    <w:rsid w:val="008C6949"/>
    <w:rsid w:val="008C6EAF"/>
    <w:rsid w:val="008C710F"/>
    <w:rsid w:val="008C74AB"/>
    <w:rsid w:val="008C7DB1"/>
    <w:rsid w:val="008D0DEE"/>
    <w:rsid w:val="008D0EC6"/>
    <w:rsid w:val="008D1A69"/>
    <w:rsid w:val="008D1FC9"/>
    <w:rsid w:val="008D21E0"/>
    <w:rsid w:val="008D2A0D"/>
    <w:rsid w:val="008D2E8E"/>
    <w:rsid w:val="008D3224"/>
    <w:rsid w:val="008D33B3"/>
    <w:rsid w:val="008D3F36"/>
    <w:rsid w:val="008D3FA1"/>
    <w:rsid w:val="008D4727"/>
    <w:rsid w:val="008D4768"/>
    <w:rsid w:val="008D4C94"/>
    <w:rsid w:val="008D5009"/>
    <w:rsid w:val="008D5572"/>
    <w:rsid w:val="008D65CF"/>
    <w:rsid w:val="008D6B20"/>
    <w:rsid w:val="008E0137"/>
    <w:rsid w:val="008E075C"/>
    <w:rsid w:val="008E0794"/>
    <w:rsid w:val="008E07BC"/>
    <w:rsid w:val="008E0960"/>
    <w:rsid w:val="008E0B0A"/>
    <w:rsid w:val="008E11CA"/>
    <w:rsid w:val="008E1471"/>
    <w:rsid w:val="008E1940"/>
    <w:rsid w:val="008E20A5"/>
    <w:rsid w:val="008E2248"/>
    <w:rsid w:val="008E25ED"/>
    <w:rsid w:val="008E2A39"/>
    <w:rsid w:val="008E2C2D"/>
    <w:rsid w:val="008E2FC3"/>
    <w:rsid w:val="008E3511"/>
    <w:rsid w:val="008E3759"/>
    <w:rsid w:val="008E50F6"/>
    <w:rsid w:val="008E5A1F"/>
    <w:rsid w:val="008E6E7A"/>
    <w:rsid w:val="008E7255"/>
    <w:rsid w:val="008F0CBE"/>
    <w:rsid w:val="008F12CF"/>
    <w:rsid w:val="008F1912"/>
    <w:rsid w:val="008F1E69"/>
    <w:rsid w:val="008F1F8A"/>
    <w:rsid w:val="008F2478"/>
    <w:rsid w:val="008F25BE"/>
    <w:rsid w:val="008F3479"/>
    <w:rsid w:val="008F3E0A"/>
    <w:rsid w:val="008F425A"/>
    <w:rsid w:val="008F45C9"/>
    <w:rsid w:val="008F4711"/>
    <w:rsid w:val="008F4EFD"/>
    <w:rsid w:val="008F5B40"/>
    <w:rsid w:val="008F5E8B"/>
    <w:rsid w:val="008F5FB3"/>
    <w:rsid w:val="008F66DC"/>
    <w:rsid w:val="008F7553"/>
    <w:rsid w:val="009007BF"/>
    <w:rsid w:val="00900B16"/>
    <w:rsid w:val="00901A4C"/>
    <w:rsid w:val="00902609"/>
    <w:rsid w:val="0090270B"/>
    <w:rsid w:val="00902F13"/>
    <w:rsid w:val="009032C1"/>
    <w:rsid w:val="009041DC"/>
    <w:rsid w:val="009042DB"/>
    <w:rsid w:val="00904BD6"/>
    <w:rsid w:val="00905478"/>
    <w:rsid w:val="0090550F"/>
    <w:rsid w:val="009058D9"/>
    <w:rsid w:val="00905C12"/>
    <w:rsid w:val="00906E40"/>
    <w:rsid w:val="00907063"/>
    <w:rsid w:val="009072E5"/>
    <w:rsid w:val="00907F68"/>
    <w:rsid w:val="00910381"/>
    <w:rsid w:val="009105A9"/>
    <w:rsid w:val="0091063B"/>
    <w:rsid w:val="00910D7B"/>
    <w:rsid w:val="00911364"/>
    <w:rsid w:val="009115E7"/>
    <w:rsid w:val="00911823"/>
    <w:rsid w:val="00911DA9"/>
    <w:rsid w:val="009121A0"/>
    <w:rsid w:val="00912B46"/>
    <w:rsid w:val="0091348F"/>
    <w:rsid w:val="009137EA"/>
    <w:rsid w:val="00913D8D"/>
    <w:rsid w:val="009141AB"/>
    <w:rsid w:val="009148CF"/>
    <w:rsid w:val="00914ADF"/>
    <w:rsid w:val="009154A4"/>
    <w:rsid w:val="009155FB"/>
    <w:rsid w:val="0091583A"/>
    <w:rsid w:val="009158F7"/>
    <w:rsid w:val="00916621"/>
    <w:rsid w:val="009169CB"/>
    <w:rsid w:val="00916E0F"/>
    <w:rsid w:val="009170B8"/>
    <w:rsid w:val="009177D4"/>
    <w:rsid w:val="00920889"/>
    <w:rsid w:val="00920930"/>
    <w:rsid w:val="009209D4"/>
    <w:rsid w:val="00920A58"/>
    <w:rsid w:val="00920A8C"/>
    <w:rsid w:val="00920AB3"/>
    <w:rsid w:val="00921832"/>
    <w:rsid w:val="009219E0"/>
    <w:rsid w:val="00921AB4"/>
    <w:rsid w:val="00921F39"/>
    <w:rsid w:val="00921F55"/>
    <w:rsid w:val="00922964"/>
    <w:rsid w:val="00922D48"/>
    <w:rsid w:val="009238E7"/>
    <w:rsid w:val="00924C64"/>
    <w:rsid w:val="00924E1F"/>
    <w:rsid w:val="009251DB"/>
    <w:rsid w:val="00925367"/>
    <w:rsid w:val="00926755"/>
    <w:rsid w:val="00926AA0"/>
    <w:rsid w:val="00926D4F"/>
    <w:rsid w:val="009271A8"/>
    <w:rsid w:val="009275F3"/>
    <w:rsid w:val="00927ED8"/>
    <w:rsid w:val="0093120D"/>
    <w:rsid w:val="0093313B"/>
    <w:rsid w:val="00933700"/>
    <w:rsid w:val="00933EE9"/>
    <w:rsid w:val="00934959"/>
    <w:rsid w:val="009349BE"/>
    <w:rsid w:val="00934A2C"/>
    <w:rsid w:val="00934B4C"/>
    <w:rsid w:val="00934DFB"/>
    <w:rsid w:val="00935013"/>
    <w:rsid w:val="0093501B"/>
    <w:rsid w:val="009366E0"/>
    <w:rsid w:val="0093685A"/>
    <w:rsid w:val="00937BCD"/>
    <w:rsid w:val="00940DF6"/>
    <w:rsid w:val="009411A4"/>
    <w:rsid w:val="0094120E"/>
    <w:rsid w:val="00941EBA"/>
    <w:rsid w:val="009424DA"/>
    <w:rsid w:val="0094275B"/>
    <w:rsid w:val="00942EC2"/>
    <w:rsid w:val="00943552"/>
    <w:rsid w:val="0094444C"/>
    <w:rsid w:val="00944C59"/>
    <w:rsid w:val="00944F05"/>
    <w:rsid w:val="00945A76"/>
    <w:rsid w:val="00945C77"/>
    <w:rsid w:val="0094696E"/>
    <w:rsid w:val="009470BC"/>
    <w:rsid w:val="00947E15"/>
    <w:rsid w:val="009500D7"/>
    <w:rsid w:val="009503D9"/>
    <w:rsid w:val="009508AA"/>
    <w:rsid w:val="00950B7F"/>
    <w:rsid w:val="00950E0E"/>
    <w:rsid w:val="00951E65"/>
    <w:rsid w:val="0095229E"/>
    <w:rsid w:val="0095245A"/>
    <w:rsid w:val="0095257D"/>
    <w:rsid w:val="009529DA"/>
    <w:rsid w:val="00952EDD"/>
    <w:rsid w:val="00952FD1"/>
    <w:rsid w:val="00954991"/>
    <w:rsid w:val="009552C9"/>
    <w:rsid w:val="009556DC"/>
    <w:rsid w:val="00955960"/>
    <w:rsid w:val="00955AA1"/>
    <w:rsid w:val="009567A7"/>
    <w:rsid w:val="0095700E"/>
    <w:rsid w:val="00957E2C"/>
    <w:rsid w:val="00960AF4"/>
    <w:rsid w:val="00961148"/>
    <w:rsid w:val="00961AAB"/>
    <w:rsid w:val="0096395A"/>
    <w:rsid w:val="00964E61"/>
    <w:rsid w:val="00964FF0"/>
    <w:rsid w:val="00965364"/>
    <w:rsid w:val="00965692"/>
    <w:rsid w:val="00965FF1"/>
    <w:rsid w:val="009661AF"/>
    <w:rsid w:val="00966665"/>
    <w:rsid w:val="009666D9"/>
    <w:rsid w:val="00967024"/>
    <w:rsid w:val="00967045"/>
    <w:rsid w:val="0096706E"/>
    <w:rsid w:val="009673BF"/>
    <w:rsid w:val="009719FA"/>
    <w:rsid w:val="00971ADF"/>
    <w:rsid w:val="00972061"/>
    <w:rsid w:val="00972540"/>
    <w:rsid w:val="00972CBA"/>
    <w:rsid w:val="00972E9F"/>
    <w:rsid w:val="00973E7C"/>
    <w:rsid w:val="00974C38"/>
    <w:rsid w:val="0097544B"/>
    <w:rsid w:val="00975C4E"/>
    <w:rsid w:val="00975E4C"/>
    <w:rsid w:val="00975F13"/>
    <w:rsid w:val="00976577"/>
    <w:rsid w:val="00976633"/>
    <w:rsid w:val="0097742E"/>
    <w:rsid w:val="00977AE2"/>
    <w:rsid w:val="00977B1C"/>
    <w:rsid w:val="00977F70"/>
    <w:rsid w:val="00980B7F"/>
    <w:rsid w:val="00980E04"/>
    <w:rsid w:val="00980EDD"/>
    <w:rsid w:val="00981174"/>
    <w:rsid w:val="00981FBA"/>
    <w:rsid w:val="00982BBB"/>
    <w:rsid w:val="00984198"/>
    <w:rsid w:val="00984E1B"/>
    <w:rsid w:val="00985B24"/>
    <w:rsid w:val="00985C1C"/>
    <w:rsid w:val="00986095"/>
    <w:rsid w:val="00986489"/>
    <w:rsid w:val="00986E88"/>
    <w:rsid w:val="0098717C"/>
    <w:rsid w:val="00987846"/>
    <w:rsid w:val="009901A9"/>
    <w:rsid w:val="0099057A"/>
    <w:rsid w:val="00990CE5"/>
    <w:rsid w:val="0099106A"/>
    <w:rsid w:val="009910E7"/>
    <w:rsid w:val="00991613"/>
    <w:rsid w:val="00991BFF"/>
    <w:rsid w:val="00991EC9"/>
    <w:rsid w:val="00992087"/>
    <w:rsid w:val="009922A2"/>
    <w:rsid w:val="009923C4"/>
    <w:rsid w:val="009937D9"/>
    <w:rsid w:val="00993864"/>
    <w:rsid w:val="00995985"/>
    <w:rsid w:val="009959C9"/>
    <w:rsid w:val="0099633B"/>
    <w:rsid w:val="00996486"/>
    <w:rsid w:val="00997BC5"/>
    <w:rsid w:val="00997FDB"/>
    <w:rsid w:val="009A0323"/>
    <w:rsid w:val="009A03A9"/>
    <w:rsid w:val="009A092B"/>
    <w:rsid w:val="009A0CF3"/>
    <w:rsid w:val="009A1B4C"/>
    <w:rsid w:val="009A1C21"/>
    <w:rsid w:val="009A25F6"/>
    <w:rsid w:val="009A30F6"/>
    <w:rsid w:val="009A3A22"/>
    <w:rsid w:val="009A3DB8"/>
    <w:rsid w:val="009A4AD3"/>
    <w:rsid w:val="009A4AE5"/>
    <w:rsid w:val="009A4B37"/>
    <w:rsid w:val="009A4EC8"/>
    <w:rsid w:val="009A4F41"/>
    <w:rsid w:val="009A56F1"/>
    <w:rsid w:val="009A585B"/>
    <w:rsid w:val="009A607F"/>
    <w:rsid w:val="009A69A0"/>
    <w:rsid w:val="009A7A66"/>
    <w:rsid w:val="009A7DF4"/>
    <w:rsid w:val="009B13D5"/>
    <w:rsid w:val="009B1688"/>
    <w:rsid w:val="009B2623"/>
    <w:rsid w:val="009B26E0"/>
    <w:rsid w:val="009B2830"/>
    <w:rsid w:val="009B3386"/>
    <w:rsid w:val="009B342D"/>
    <w:rsid w:val="009B3595"/>
    <w:rsid w:val="009B381B"/>
    <w:rsid w:val="009B4027"/>
    <w:rsid w:val="009B4685"/>
    <w:rsid w:val="009B4994"/>
    <w:rsid w:val="009B50A1"/>
    <w:rsid w:val="009B52CE"/>
    <w:rsid w:val="009B53F0"/>
    <w:rsid w:val="009B5C0A"/>
    <w:rsid w:val="009B5EF1"/>
    <w:rsid w:val="009B6281"/>
    <w:rsid w:val="009B62CA"/>
    <w:rsid w:val="009B6461"/>
    <w:rsid w:val="009B6585"/>
    <w:rsid w:val="009B6919"/>
    <w:rsid w:val="009B7119"/>
    <w:rsid w:val="009B7333"/>
    <w:rsid w:val="009B7D05"/>
    <w:rsid w:val="009C04E8"/>
    <w:rsid w:val="009C0C08"/>
    <w:rsid w:val="009C121B"/>
    <w:rsid w:val="009C1C1B"/>
    <w:rsid w:val="009C23B6"/>
    <w:rsid w:val="009C244A"/>
    <w:rsid w:val="009C3BA8"/>
    <w:rsid w:val="009C3C4B"/>
    <w:rsid w:val="009C3D85"/>
    <w:rsid w:val="009C44EC"/>
    <w:rsid w:val="009C475A"/>
    <w:rsid w:val="009C4C5F"/>
    <w:rsid w:val="009C54CA"/>
    <w:rsid w:val="009C6760"/>
    <w:rsid w:val="009C6A0D"/>
    <w:rsid w:val="009C777D"/>
    <w:rsid w:val="009C7BAA"/>
    <w:rsid w:val="009C7D64"/>
    <w:rsid w:val="009C7E38"/>
    <w:rsid w:val="009C7EA2"/>
    <w:rsid w:val="009D05C2"/>
    <w:rsid w:val="009D1822"/>
    <w:rsid w:val="009D1A08"/>
    <w:rsid w:val="009D230B"/>
    <w:rsid w:val="009D2ECA"/>
    <w:rsid w:val="009D33B2"/>
    <w:rsid w:val="009D3A41"/>
    <w:rsid w:val="009D3EF3"/>
    <w:rsid w:val="009D4083"/>
    <w:rsid w:val="009D5F93"/>
    <w:rsid w:val="009D74D7"/>
    <w:rsid w:val="009D7611"/>
    <w:rsid w:val="009E0B61"/>
    <w:rsid w:val="009E0C89"/>
    <w:rsid w:val="009E12CB"/>
    <w:rsid w:val="009E13FC"/>
    <w:rsid w:val="009E1BAF"/>
    <w:rsid w:val="009E21ED"/>
    <w:rsid w:val="009E3012"/>
    <w:rsid w:val="009E3833"/>
    <w:rsid w:val="009E45CB"/>
    <w:rsid w:val="009E4975"/>
    <w:rsid w:val="009E4A2A"/>
    <w:rsid w:val="009E4E45"/>
    <w:rsid w:val="009E4E91"/>
    <w:rsid w:val="009E53DE"/>
    <w:rsid w:val="009E5577"/>
    <w:rsid w:val="009E55C9"/>
    <w:rsid w:val="009E5DD1"/>
    <w:rsid w:val="009E5FE1"/>
    <w:rsid w:val="009E6937"/>
    <w:rsid w:val="009E695C"/>
    <w:rsid w:val="009E6C3E"/>
    <w:rsid w:val="009E6CC1"/>
    <w:rsid w:val="009E79F2"/>
    <w:rsid w:val="009E7C0B"/>
    <w:rsid w:val="009E7E3B"/>
    <w:rsid w:val="009F0F24"/>
    <w:rsid w:val="009F19B5"/>
    <w:rsid w:val="009F1D4D"/>
    <w:rsid w:val="009F1FC1"/>
    <w:rsid w:val="009F2EF7"/>
    <w:rsid w:val="009F33BF"/>
    <w:rsid w:val="009F3CAF"/>
    <w:rsid w:val="009F40AE"/>
    <w:rsid w:val="009F4735"/>
    <w:rsid w:val="009F4EFC"/>
    <w:rsid w:val="009F50F4"/>
    <w:rsid w:val="009F5402"/>
    <w:rsid w:val="009F55E8"/>
    <w:rsid w:val="009F6313"/>
    <w:rsid w:val="009F6409"/>
    <w:rsid w:val="009F6745"/>
    <w:rsid w:val="009F6C1A"/>
    <w:rsid w:val="009F7549"/>
    <w:rsid w:val="00A00BFD"/>
    <w:rsid w:val="00A0131C"/>
    <w:rsid w:val="00A01C60"/>
    <w:rsid w:val="00A01E78"/>
    <w:rsid w:val="00A0219A"/>
    <w:rsid w:val="00A025AC"/>
    <w:rsid w:val="00A027FA"/>
    <w:rsid w:val="00A029D7"/>
    <w:rsid w:val="00A03143"/>
    <w:rsid w:val="00A04282"/>
    <w:rsid w:val="00A04AF7"/>
    <w:rsid w:val="00A052AC"/>
    <w:rsid w:val="00A05477"/>
    <w:rsid w:val="00A06E28"/>
    <w:rsid w:val="00A072D4"/>
    <w:rsid w:val="00A0758B"/>
    <w:rsid w:val="00A07C4A"/>
    <w:rsid w:val="00A07E5F"/>
    <w:rsid w:val="00A104DF"/>
    <w:rsid w:val="00A10A00"/>
    <w:rsid w:val="00A1170C"/>
    <w:rsid w:val="00A12867"/>
    <w:rsid w:val="00A129F4"/>
    <w:rsid w:val="00A1346B"/>
    <w:rsid w:val="00A13654"/>
    <w:rsid w:val="00A139B1"/>
    <w:rsid w:val="00A13D36"/>
    <w:rsid w:val="00A149EA"/>
    <w:rsid w:val="00A15BCA"/>
    <w:rsid w:val="00A160DA"/>
    <w:rsid w:val="00A16B1B"/>
    <w:rsid w:val="00A16C0A"/>
    <w:rsid w:val="00A17003"/>
    <w:rsid w:val="00A17685"/>
    <w:rsid w:val="00A178DD"/>
    <w:rsid w:val="00A20460"/>
    <w:rsid w:val="00A219A8"/>
    <w:rsid w:val="00A21B9A"/>
    <w:rsid w:val="00A23138"/>
    <w:rsid w:val="00A231BB"/>
    <w:rsid w:val="00A23D7A"/>
    <w:rsid w:val="00A24801"/>
    <w:rsid w:val="00A2556A"/>
    <w:rsid w:val="00A25621"/>
    <w:rsid w:val="00A25E38"/>
    <w:rsid w:val="00A26681"/>
    <w:rsid w:val="00A2742D"/>
    <w:rsid w:val="00A27D5F"/>
    <w:rsid w:val="00A30A66"/>
    <w:rsid w:val="00A31632"/>
    <w:rsid w:val="00A3207B"/>
    <w:rsid w:val="00A322CA"/>
    <w:rsid w:val="00A328B3"/>
    <w:rsid w:val="00A32A18"/>
    <w:rsid w:val="00A32F4A"/>
    <w:rsid w:val="00A33F2C"/>
    <w:rsid w:val="00A344B3"/>
    <w:rsid w:val="00A34625"/>
    <w:rsid w:val="00A357AB"/>
    <w:rsid w:val="00A357FF"/>
    <w:rsid w:val="00A35CBB"/>
    <w:rsid w:val="00A3607C"/>
    <w:rsid w:val="00A36165"/>
    <w:rsid w:val="00A36B39"/>
    <w:rsid w:val="00A379F0"/>
    <w:rsid w:val="00A379F5"/>
    <w:rsid w:val="00A405E8"/>
    <w:rsid w:val="00A40EE9"/>
    <w:rsid w:val="00A411BD"/>
    <w:rsid w:val="00A41959"/>
    <w:rsid w:val="00A427A2"/>
    <w:rsid w:val="00A42CF6"/>
    <w:rsid w:val="00A430F9"/>
    <w:rsid w:val="00A43282"/>
    <w:rsid w:val="00A43286"/>
    <w:rsid w:val="00A43D5D"/>
    <w:rsid w:val="00A44165"/>
    <w:rsid w:val="00A4449E"/>
    <w:rsid w:val="00A44B9C"/>
    <w:rsid w:val="00A4583D"/>
    <w:rsid w:val="00A458BB"/>
    <w:rsid w:val="00A4661A"/>
    <w:rsid w:val="00A46904"/>
    <w:rsid w:val="00A46BA2"/>
    <w:rsid w:val="00A4737C"/>
    <w:rsid w:val="00A477D3"/>
    <w:rsid w:val="00A503DE"/>
    <w:rsid w:val="00A508E5"/>
    <w:rsid w:val="00A509E2"/>
    <w:rsid w:val="00A50B61"/>
    <w:rsid w:val="00A50B7B"/>
    <w:rsid w:val="00A50D2D"/>
    <w:rsid w:val="00A50F2F"/>
    <w:rsid w:val="00A50FCF"/>
    <w:rsid w:val="00A512A5"/>
    <w:rsid w:val="00A51744"/>
    <w:rsid w:val="00A528D1"/>
    <w:rsid w:val="00A52D34"/>
    <w:rsid w:val="00A5335B"/>
    <w:rsid w:val="00A5337B"/>
    <w:rsid w:val="00A53982"/>
    <w:rsid w:val="00A53CD9"/>
    <w:rsid w:val="00A54597"/>
    <w:rsid w:val="00A54AB9"/>
    <w:rsid w:val="00A550B7"/>
    <w:rsid w:val="00A55B8D"/>
    <w:rsid w:val="00A55C7B"/>
    <w:rsid w:val="00A55EEF"/>
    <w:rsid w:val="00A57053"/>
    <w:rsid w:val="00A57F82"/>
    <w:rsid w:val="00A60715"/>
    <w:rsid w:val="00A60DF4"/>
    <w:rsid w:val="00A610CD"/>
    <w:rsid w:val="00A61AE2"/>
    <w:rsid w:val="00A62487"/>
    <w:rsid w:val="00A62B85"/>
    <w:rsid w:val="00A62CF1"/>
    <w:rsid w:val="00A635E2"/>
    <w:rsid w:val="00A637C7"/>
    <w:rsid w:val="00A640EF"/>
    <w:rsid w:val="00A65066"/>
    <w:rsid w:val="00A65638"/>
    <w:rsid w:val="00A658E1"/>
    <w:rsid w:val="00A65AC3"/>
    <w:rsid w:val="00A65F7F"/>
    <w:rsid w:val="00A66089"/>
    <w:rsid w:val="00A66363"/>
    <w:rsid w:val="00A666C4"/>
    <w:rsid w:val="00A67020"/>
    <w:rsid w:val="00A678CE"/>
    <w:rsid w:val="00A67FD8"/>
    <w:rsid w:val="00A705EC"/>
    <w:rsid w:val="00A7105A"/>
    <w:rsid w:val="00A71079"/>
    <w:rsid w:val="00A71531"/>
    <w:rsid w:val="00A7190E"/>
    <w:rsid w:val="00A71B59"/>
    <w:rsid w:val="00A72174"/>
    <w:rsid w:val="00A7230A"/>
    <w:rsid w:val="00A72957"/>
    <w:rsid w:val="00A72EDD"/>
    <w:rsid w:val="00A731BF"/>
    <w:rsid w:val="00A73892"/>
    <w:rsid w:val="00A73B2E"/>
    <w:rsid w:val="00A73B7E"/>
    <w:rsid w:val="00A7401D"/>
    <w:rsid w:val="00A7407B"/>
    <w:rsid w:val="00A7408E"/>
    <w:rsid w:val="00A740B9"/>
    <w:rsid w:val="00A74A27"/>
    <w:rsid w:val="00A757F2"/>
    <w:rsid w:val="00A75A9C"/>
    <w:rsid w:val="00A76DB5"/>
    <w:rsid w:val="00A77001"/>
    <w:rsid w:val="00A800F5"/>
    <w:rsid w:val="00A80A6B"/>
    <w:rsid w:val="00A817B6"/>
    <w:rsid w:val="00A81D4D"/>
    <w:rsid w:val="00A81E6D"/>
    <w:rsid w:val="00A82364"/>
    <w:rsid w:val="00A82517"/>
    <w:rsid w:val="00A82EA7"/>
    <w:rsid w:val="00A82FB2"/>
    <w:rsid w:val="00A837F7"/>
    <w:rsid w:val="00A83D29"/>
    <w:rsid w:val="00A84096"/>
    <w:rsid w:val="00A842A0"/>
    <w:rsid w:val="00A84403"/>
    <w:rsid w:val="00A849C5"/>
    <w:rsid w:val="00A84A29"/>
    <w:rsid w:val="00A84A6C"/>
    <w:rsid w:val="00A84EEE"/>
    <w:rsid w:val="00A859F8"/>
    <w:rsid w:val="00A862F8"/>
    <w:rsid w:val="00A866D0"/>
    <w:rsid w:val="00A8677A"/>
    <w:rsid w:val="00A86937"/>
    <w:rsid w:val="00A87156"/>
    <w:rsid w:val="00A90A31"/>
    <w:rsid w:val="00A91484"/>
    <w:rsid w:val="00A918C1"/>
    <w:rsid w:val="00A9258C"/>
    <w:rsid w:val="00A92B2D"/>
    <w:rsid w:val="00A92D19"/>
    <w:rsid w:val="00A93138"/>
    <w:rsid w:val="00A9366F"/>
    <w:rsid w:val="00A938A9"/>
    <w:rsid w:val="00A94080"/>
    <w:rsid w:val="00A947E6"/>
    <w:rsid w:val="00A95457"/>
    <w:rsid w:val="00A95535"/>
    <w:rsid w:val="00A955FA"/>
    <w:rsid w:val="00A95C36"/>
    <w:rsid w:val="00A95C6E"/>
    <w:rsid w:val="00A95CBB"/>
    <w:rsid w:val="00A96001"/>
    <w:rsid w:val="00A978BF"/>
    <w:rsid w:val="00A97BA9"/>
    <w:rsid w:val="00A97FB6"/>
    <w:rsid w:val="00AA0751"/>
    <w:rsid w:val="00AA09A2"/>
    <w:rsid w:val="00AA09B7"/>
    <w:rsid w:val="00AA1294"/>
    <w:rsid w:val="00AA299D"/>
    <w:rsid w:val="00AA3666"/>
    <w:rsid w:val="00AA380B"/>
    <w:rsid w:val="00AA3DE2"/>
    <w:rsid w:val="00AA3DF8"/>
    <w:rsid w:val="00AA42C4"/>
    <w:rsid w:val="00AA4463"/>
    <w:rsid w:val="00AA552C"/>
    <w:rsid w:val="00AA5754"/>
    <w:rsid w:val="00AA61E8"/>
    <w:rsid w:val="00AA64DD"/>
    <w:rsid w:val="00AA652D"/>
    <w:rsid w:val="00AA78EE"/>
    <w:rsid w:val="00AA7937"/>
    <w:rsid w:val="00AB0351"/>
    <w:rsid w:val="00AB0512"/>
    <w:rsid w:val="00AB0C45"/>
    <w:rsid w:val="00AB1501"/>
    <w:rsid w:val="00AB15C9"/>
    <w:rsid w:val="00AB184F"/>
    <w:rsid w:val="00AB1C07"/>
    <w:rsid w:val="00AB21D6"/>
    <w:rsid w:val="00AB2F76"/>
    <w:rsid w:val="00AB314E"/>
    <w:rsid w:val="00AB36A9"/>
    <w:rsid w:val="00AB390C"/>
    <w:rsid w:val="00AB3B18"/>
    <w:rsid w:val="00AB43F6"/>
    <w:rsid w:val="00AB446E"/>
    <w:rsid w:val="00AB48B7"/>
    <w:rsid w:val="00AB59DE"/>
    <w:rsid w:val="00AB60D9"/>
    <w:rsid w:val="00AB62FD"/>
    <w:rsid w:val="00AB6544"/>
    <w:rsid w:val="00AB66AE"/>
    <w:rsid w:val="00AB66BF"/>
    <w:rsid w:val="00AB7183"/>
    <w:rsid w:val="00AB76A6"/>
    <w:rsid w:val="00AB7D09"/>
    <w:rsid w:val="00AC00C7"/>
    <w:rsid w:val="00AC0121"/>
    <w:rsid w:val="00AC02FB"/>
    <w:rsid w:val="00AC1248"/>
    <w:rsid w:val="00AC19CB"/>
    <w:rsid w:val="00AC2AC5"/>
    <w:rsid w:val="00AC3102"/>
    <w:rsid w:val="00AC3617"/>
    <w:rsid w:val="00AC4BEC"/>
    <w:rsid w:val="00AC5AD5"/>
    <w:rsid w:val="00AC5B89"/>
    <w:rsid w:val="00AC5F68"/>
    <w:rsid w:val="00AC6C7A"/>
    <w:rsid w:val="00AC7163"/>
    <w:rsid w:val="00AC74B7"/>
    <w:rsid w:val="00AC750B"/>
    <w:rsid w:val="00AC766D"/>
    <w:rsid w:val="00AD0B73"/>
    <w:rsid w:val="00AD1157"/>
    <w:rsid w:val="00AD198B"/>
    <w:rsid w:val="00AD1D81"/>
    <w:rsid w:val="00AD2972"/>
    <w:rsid w:val="00AD2DA0"/>
    <w:rsid w:val="00AD31E9"/>
    <w:rsid w:val="00AD452F"/>
    <w:rsid w:val="00AD4990"/>
    <w:rsid w:val="00AD6A7C"/>
    <w:rsid w:val="00AD6F41"/>
    <w:rsid w:val="00AD7729"/>
    <w:rsid w:val="00AD794D"/>
    <w:rsid w:val="00AD7F25"/>
    <w:rsid w:val="00AD7F4B"/>
    <w:rsid w:val="00AD7FD7"/>
    <w:rsid w:val="00AE0180"/>
    <w:rsid w:val="00AE02FB"/>
    <w:rsid w:val="00AE05ED"/>
    <w:rsid w:val="00AE063F"/>
    <w:rsid w:val="00AE0CEB"/>
    <w:rsid w:val="00AE103A"/>
    <w:rsid w:val="00AE16DB"/>
    <w:rsid w:val="00AE1770"/>
    <w:rsid w:val="00AE3479"/>
    <w:rsid w:val="00AE3A24"/>
    <w:rsid w:val="00AE46DB"/>
    <w:rsid w:val="00AE48BB"/>
    <w:rsid w:val="00AE4924"/>
    <w:rsid w:val="00AE5488"/>
    <w:rsid w:val="00AE6AC2"/>
    <w:rsid w:val="00AE6DE4"/>
    <w:rsid w:val="00AE6F91"/>
    <w:rsid w:val="00AE73B1"/>
    <w:rsid w:val="00AF03CA"/>
    <w:rsid w:val="00AF076C"/>
    <w:rsid w:val="00AF0DA1"/>
    <w:rsid w:val="00AF127A"/>
    <w:rsid w:val="00AF1EC1"/>
    <w:rsid w:val="00AF240F"/>
    <w:rsid w:val="00AF3064"/>
    <w:rsid w:val="00AF3572"/>
    <w:rsid w:val="00AF3E3C"/>
    <w:rsid w:val="00AF423D"/>
    <w:rsid w:val="00AF44C3"/>
    <w:rsid w:val="00AF4C2C"/>
    <w:rsid w:val="00AF4D3A"/>
    <w:rsid w:val="00AF52A5"/>
    <w:rsid w:val="00AF5571"/>
    <w:rsid w:val="00AF596C"/>
    <w:rsid w:val="00AF5E7A"/>
    <w:rsid w:val="00AF6A32"/>
    <w:rsid w:val="00AF6AFF"/>
    <w:rsid w:val="00AF7667"/>
    <w:rsid w:val="00AF77AE"/>
    <w:rsid w:val="00B000E6"/>
    <w:rsid w:val="00B00247"/>
    <w:rsid w:val="00B00FAB"/>
    <w:rsid w:val="00B0192B"/>
    <w:rsid w:val="00B01CCE"/>
    <w:rsid w:val="00B02FBE"/>
    <w:rsid w:val="00B0318B"/>
    <w:rsid w:val="00B0341D"/>
    <w:rsid w:val="00B05B37"/>
    <w:rsid w:val="00B06810"/>
    <w:rsid w:val="00B06C1C"/>
    <w:rsid w:val="00B07000"/>
    <w:rsid w:val="00B077CE"/>
    <w:rsid w:val="00B07EBA"/>
    <w:rsid w:val="00B102E9"/>
    <w:rsid w:val="00B107A9"/>
    <w:rsid w:val="00B10F4E"/>
    <w:rsid w:val="00B12686"/>
    <w:rsid w:val="00B1309A"/>
    <w:rsid w:val="00B13110"/>
    <w:rsid w:val="00B1311E"/>
    <w:rsid w:val="00B131AB"/>
    <w:rsid w:val="00B13D6E"/>
    <w:rsid w:val="00B14767"/>
    <w:rsid w:val="00B14F30"/>
    <w:rsid w:val="00B1664E"/>
    <w:rsid w:val="00B16EB9"/>
    <w:rsid w:val="00B1736D"/>
    <w:rsid w:val="00B17715"/>
    <w:rsid w:val="00B1773A"/>
    <w:rsid w:val="00B20723"/>
    <w:rsid w:val="00B21524"/>
    <w:rsid w:val="00B21948"/>
    <w:rsid w:val="00B2426C"/>
    <w:rsid w:val="00B24991"/>
    <w:rsid w:val="00B25283"/>
    <w:rsid w:val="00B2572A"/>
    <w:rsid w:val="00B25CDF"/>
    <w:rsid w:val="00B25D62"/>
    <w:rsid w:val="00B26289"/>
    <w:rsid w:val="00B262A4"/>
    <w:rsid w:val="00B264BC"/>
    <w:rsid w:val="00B26584"/>
    <w:rsid w:val="00B266DC"/>
    <w:rsid w:val="00B2694A"/>
    <w:rsid w:val="00B26AAC"/>
    <w:rsid w:val="00B26FB4"/>
    <w:rsid w:val="00B2753D"/>
    <w:rsid w:val="00B27BCD"/>
    <w:rsid w:val="00B302C7"/>
    <w:rsid w:val="00B30539"/>
    <w:rsid w:val="00B30977"/>
    <w:rsid w:val="00B314DB"/>
    <w:rsid w:val="00B316B6"/>
    <w:rsid w:val="00B349D1"/>
    <w:rsid w:val="00B34ACE"/>
    <w:rsid w:val="00B356B0"/>
    <w:rsid w:val="00B36240"/>
    <w:rsid w:val="00B36D53"/>
    <w:rsid w:val="00B3701B"/>
    <w:rsid w:val="00B3718B"/>
    <w:rsid w:val="00B37446"/>
    <w:rsid w:val="00B40069"/>
    <w:rsid w:val="00B4041B"/>
    <w:rsid w:val="00B4060E"/>
    <w:rsid w:val="00B40FB2"/>
    <w:rsid w:val="00B41C05"/>
    <w:rsid w:val="00B434AA"/>
    <w:rsid w:val="00B43AE5"/>
    <w:rsid w:val="00B43CAB"/>
    <w:rsid w:val="00B442C7"/>
    <w:rsid w:val="00B44C7C"/>
    <w:rsid w:val="00B456B1"/>
    <w:rsid w:val="00B45759"/>
    <w:rsid w:val="00B4632A"/>
    <w:rsid w:val="00B46A0F"/>
    <w:rsid w:val="00B46F78"/>
    <w:rsid w:val="00B473D0"/>
    <w:rsid w:val="00B476CE"/>
    <w:rsid w:val="00B50D3F"/>
    <w:rsid w:val="00B50E37"/>
    <w:rsid w:val="00B51482"/>
    <w:rsid w:val="00B530F1"/>
    <w:rsid w:val="00B5326D"/>
    <w:rsid w:val="00B53AD5"/>
    <w:rsid w:val="00B56419"/>
    <w:rsid w:val="00B56AC1"/>
    <w:rsid w:val="00B56B37"/>
    <w:rsid w:val="00B56D14"/>
    <w:rsid w:val="00B570E7"/>
    <w:rsid w:val="00B57F96"/>
    <w:rsid w:val="00B600F0"/>
    <w:rsid w:val="00B60964"/>
    <w:rsid w:val="00B6113A"/>
    <w:rsid w:val="00B61680"/>
    <w:rsid w:val="00B61F6A"/>
    <w:rsid w:val="00B62681"/>
    <w:rsid w:val="00B63484"/>
    <w:rsid w:val="00B636B5"/>
    <w:rsid w:val="00B64AE2"/>
    <w:rsid w:val="00B65B7D"/>
    <w:rsid w:val="00B65FAC"/>
    <w:rsid w:val="00B6650F"/>
    <w:rsid w:val="00B66DDF"/>
    <w:rsid w:val="00B66F20"/>
    <w:rsid w:val="00B6720D"/>
    <w:rsid w:val="00B71885"/>
    <w:rsid w:val="00B72332"/>
    <w:rsid w:val="00B727DB"/>
    <w:rsid w:val="00B72B38"/>
    <w:rsid w:val="00B73061"/>
    <w:rsid w:val="00B732CC"/>
    <w:rsid w:val="00B737FD"/>
    <w:rsid w:val="00B74B77"/>
    <w:rsid w:val="00B74CF0"/>
    <w:rsid w:val="00B75A71"/>
    <w:rsid w:val="00B772CB"/>
    <w:rsid w:val="00B7781C"/>
    <w:rsid w:val="00B8064A"/>
    <w:rsid w:val="00B80719"/>
    <w:rsid w:val="00B8166D"/>
    <w:rsid w:val="00B819AD"/>
    <w:rsid w:val="00B81C16"/>
    <w:rsid w:val="00B83ED3"/>
    <w:rsid w:val="00B84D32"/>
    <w:rsid w:val="00B84D3D"/>
    <w:rsid w:val="00B84FF0"/>
    <w:rsid w:val="00B85D0F"/>
    <w:rsid w:val="00B87ADF"/>
    <w:rsid w:val="00B87DB6"/>
    <w:rsid w:val="00B90768"/>
    <w:rsid w:val="00B90CB4"/>
    <w:rsid w:val="00B90D86"/>
    <w:rsid w:val="00B90E79"/>
    <w:rsid w:val="00B90EC1"/>
    <w:rsid w:val="00B91154"/>
    <w:rsid w:val="00B917C7"/>
    <w:rsid w:val="00B91CAC"/>
    <w:rsid w:val="00B92B20"/>
    <w:rsid w:val="00B92C9B"/>
    <w:rsid w:val="00B92D5A"/>
    <w:rsid w:val="00B93439"/>
    <w:rsid w:val="00B93FE4"/>
    <w:rsid w:val="00B9432B"/>
    <w:rsid w:val="00B944FB"/>
    <w:rsid w:val="00B94589"/>
    <w:rsid w:val="00B948CD"/>
    <w:rsid w:val="00B94B27"/>
    <w:rsid w:val="00B955AE"/>
    <w:rsid w:val="00B95CD3"/>
    <w:rsid w:val="00B95DE5"/>
    <w:rsid w:val="00B968A8"/>
    <w:rsid w:val="00B972EF"/>
    <w:rsid w:val="00B97310"/>
    <w:rsid w:val="00B97B72"/>
    <w:rsid w:val="00BA0A5E"/>
    <w:rsid w:val="00BA1C9C"/>
    <w:rsid w:val="00BA1D94"/>
    <w:rsid w:val="00BA2600"/>
    <w:rsid w:val="00BA276C"/>
    <w:rsid w:val="00BA2F04"/>
    <w:rsid w:val="00BA4746"/>
    <w:rsid w:val="00BA483C"/>
    <w:rsid w:val="00BA528B"/>
    <w:rsid w:val="00BA53BB"/>
    <w:rsid w:val="00BA573E"/>
    <w:rsid w:val="00BA5D29"/>
    <w:rsid w:val="00BA619C"/>
    <w:rsid w:val="00BA683E"/>
    <w:rsid w:val="00BA7312"/>
    <w:rsid w:val="00BA792D"/>
    <w:rsid w:val="00BA7A49"/>
    <w:rsid w:val="00BA7F1C"/>
    <w:rsid w:val="00BB01F4"/>
    <w:rsid w:val="00BB0213"/>
    <w:rsid w:val="00BB1F5B"/>
    <w:rsid w:val="00BB256D"/>
    <w:rsid w:val="00BB2D95"/>
    <w:rsid w:val="00BB306F"/>
    <w:rsid w:val="00BB35E4"/>
    <w:rsid w:val="00BB369E"/>
    <w:rsid w:val="00BB4116"/>
    <w:rsid w:val="00BB4253"/>
    <w:rsid w:val="00BB49EB"/>
    <w:rsid w:val="00BB52E6"/>
    <w:rsid w:val="00BB5322"/>
    <w:rsid w:val="00BB5FC7"/>
    <w:rsid w:val="00BB658B"/>
    <w:rsid w:val="00BB664F"/>
    <w:rsid w:val="00BB7104"/>
    <w:rsid w:val="00BB7C91"/>
    <w:rsid w:val="00BB7E95"/>
    <w:rsid w:val="00BC0622"/>
    <w:rsid w:val="00BC18C9"/>
    <w:rsid w:val="00BC2868"/>
    <w:rsid w:val="00BC2AFC"/>
    <w:rsid w:val="00BC2D8D"/>
    <w:rsid w:val="00BC4041"/>
    <w:rsid w:val="00BC433F"/>
    <w:rsid w:val="00BC4DAA"/>
    <w:rsid w:val="00BC4E19"/>
    <w:rsid w:val="00BC4F90"/>
    <w:rsid w:val="00BC57DB"/>
    <w:rsid w:val="00BC5941"/>
    <w:rsid w:val="00BC6005"/>
    <w:rsid w:val="00BC65A4"/>
    <w:rsid w:val="00BC668B"/>
    <w:rsid w:val="00BC668F"/>
    <w:rsid w:val="00BC6855"/>
    <w:rsid w:val="00BC6C67"/>
    <w:rsid w:val="00BC70E9"/>
    <w:rsid w:val="00BD0CF9"/>
    <w:rsid w:val="00BD0EB4"/>
    <w:rsid w:val="00BD2028"/>
    <w:rsid w:val="00BD2703"/>
    <w:rsid w:val="00BD33F7"/>
    <w:rsid w:val="00BD3A3F"/>
    <w:rsid w:val="00BD3D92"/>
    <w:rsid w:val="00BD41BB"/>
    <w:rsid w:val="00BD4730"/>
    <w:rsid w:val="00BD495B"/>
    <w:rsid w:val="00BD4B89"/>
    <w:rsid w:val="00BD5F33"/>
    <w:rsid w:val="00BD726E"/>
    <w:rsid w:val="00BE025B"/>
    <w:rsid w:val="00BE047B"/>
    <w:rsid w:val="00BE0D78"/>
    <w:rsid w:val="00BE120D"/>
    <w:rsid w:val="00BE1380"/>
    <w:rsid w:val="00BE167E"/>
    <w:rsid w:val="00BE1964"/>
    <w:rsid w:val="00BE2AE0"/>
    <w:rsid w:val="00BE3101"/>
    <w:rsid w:val="00BE31DC"/>
    <w:rsid w:val="00BE3526"/>
    <w:rsid w:val="00BE358A"/>
    <w:rsid w:val="00BE376B"/>
    <w:rsid w:val="00BE3D72"/>
    <w:rsid w:val="00BE3FD6"/>
    <w:rsid w:val="00BE4112"/>
    <w:rsid w:val="00BE4A27"/>
    <w:rsid w:val="00BE4C47"/>
    <w:rsid w:val="00BE65AE"/>
    <w:rsid w:val="00BE6BF1"/>
    <w:rsid w:val="00BE72B5"/>
    <w:rsid w:val="00BE73F9"/>
    <w:rsid w:val="00BE7B63"/>
    <w:rsid w:val="00BF03D8"/>
    <w:rsid w:val="00BF0ACA"/>
    <w:rsid w:val="00BF180B"/>
    <w:rsid w:val="00BF1823"/>
    <w:rsid w:val="00BF1A40"/>
    <w:rsid w:val="00BF2146"/>
    <w:rsid w:val="00BF339D"/>
    <w:rsid w:val="00BF3461"/>
    <w:rsid w:val="00BF34CC"/>
    <w:rsid w:val="00BF3DF6"/>
    <w:rsid w:val="00BF4CCB"/>
    <w:rsid w:val="00BF4D34"/>
    <w:rsid w:val="00BF5612"/>
    <w:rsid w:val="00BF5AF5"/>
    <w:rsid w:val="00BF6533"/>
    <w:rsid w:val="00BF6B82"/>
    <w:rsid w:val="00BF6FD8"/>
    <w:rsid w:val="00BF7D6D"/>
    <w:rsid w:val="00BF7F7C"/>
    <w:rsid w:val="00C0075D"/>
    <w:rsid w:val="00C01D45"/>
    <w:rsid w:val="00C01E60"/>
    <w:rsid w:val="00C0258D"/>
    <w:rsid w:val="00C0275D"/>
    <w:rsid w:val="00C02D36"/>
    <w:rsid w:val="00C02EA6"/>
    <w:rsid w:val="00C03680"/>
    <w:rsid w:val="00C03F9C"/>
    <w:rsid w:val="00C04314"/>
    <w:rsid w:val="00C045F5"/>
    <w:rsid w:val="00C047D5"/>
    <w:rsid w:val="00C047D9"/>
    <w:rsid w:val="00C04F37"/>
    <w:rsid w:val="00C052ED"/>
    <w:rsid w:val="00C054DF"/>
    <w:rsid w:val="00C0580F"/>
    <w:rsid w:val="00C05AAD"/>
    <w:rsid w:val="00C05C0C"/>
    <w:rsid w:val="00C05EC5"/>
    <w:rsid w:val="00C06120"/>
    <w:rsid w:val="00C062C0"/>
    <w:rsid w:val="00C067C3"/>
    <w:rsid w:val="00C071D4"/>
    <w:rsid w:val="00C1072B"/>
    <w:rsid w:val="00C10C6B"/>
    <w:rsid w:val="00C11042"/>
    <w:rsid w:val="00C116E8"/>
    <w:rsid w:val="00C11A27"/>
    <w:rsid w:val="00C12378"/>
    <w:rsid w:val="00C13281"/>
    <w:rsid w:val="00C135D0"/>
    <w:rsid w:val="00C13D44"/>
    <w:rsid w:val="00C143A1"/>
    <w:rsid w:val="00C14978"/>
    <w:rsid w:val="00C152A5"/>
    <w:rsid w:val="00C15A24"/>
    <w:rsid w:val="00C15A62"/>
    <w:rsid w:val="00C15E41"/>
    <w:rsid w:val="00C16451"/>
    <w:rsid w:val="00C169C4"/>
    <w:rsid w:val="00C174CA"/>
    <w:rsid w:val="00C17C8F"/>
    <w:rsid w:val="00C20E98"/>
    <w:rsid w:val="00C21762"/>
    <w:rsid w:val="00C21E02"/>
    <w:rsid w:val="00C2240A"/>
    <w:rsid w:val="00C22BEF"/>
    <w:rsid w:val="00C233AC"/>
    <w:rsid w:val="00C2355D"/>
    <w:rsid w:val="00C236C1"/>
    <w:rsid w:val="00C24543"/>
    <w:rsid w:val="00C247B9"/>
    <w:rsid w:val="00C2517B"/>
    <w:rsid w:val="00C25480"/>
    <w:rsid w:val="00C25607"/>
    <w:rsid w:val="00C256A2"/>
    <w:rsid w:val="00C26A02"/>
    <w:rsid w:val="00C2728C"/>
    <w:rsid w:val="00C300ED"/>
    <w:rsid w:val="00C30AC4"/>
    <w:rsid w:val="00C32539"/>
    <w:rsid w:val="00C32962"/>
    <w:rsid w:val="00C329B6"/>
    <w:rsid w:val="00C32AD3"/>
    <w:rsid w:val="00C33726"/>
    <w:rsid w:val="00C33ABF"/>
    <w:rsid w:val="00C33F62"/>
    <w:rsid w:val="00C34113"/>
    <w:rsid w:val="00C3457E"/>
    <w:rsid w:val="00C34CEF"/>
    <w:rsid w:val="00C34E9B"/>
    <w:rsid w:val="00C35013"/>
    <w:rsid w:val="00C3530F"/>
    <w:rsid w:val="00C3534A"/>
    <w:rsid w:val="00C3552C"/>
    <w:rsid w:val="00C3601A"/>
    <w:rsid w:val="00C3617B"/>
    <w:rsid w:val="00C3623E"/>
    <w:rsid w:val="00C37FDB"/>
    <w:rsid w:val="00C401C4"/>
    <w:rsid w:val="00C40219"/>
    <w:rsid w:val="00C40641"/>
    <w:rsid w:val="00C415F7"/>
    <w:rsid w:val="00C4160B"/>
    <w:rsid w:val="00C41985"/>
    <w:rsid w:val="00C41D1E"/>
    <w:rsid w:val="00C41D81"/>
    <w:rsid w:val="00C42BE7"/>
    <w:rsid w:val="00C433C4"/>
    <w:rsid w:val="00C437CD"/>
    <w:rsid w:val="00C441D8"/>
    <w:rsid w:val="00C44748"/>
    <w:rsid w:val="00C449B8"/>
    <w:rsid w:val="00C4519A"/>
    <w:rsid w:val="00C45415"/>
    <w:rsid w:val="00C45C34"/>
    <w:rsid w:val="00C45D0C"/>
    <w:rsid w:val="00C46810"/>
    <w:rsid w:val="00C50392"/>
    <w:rsid w:val="00C50E0A"/>
    <w:rsid w:val="00C512B7"/>
    <w:rsid w:val="00C51515"/>
    <w:rsid w:val="00C51B54"/>
    <w:rsid w:val="00C52032"/>
    <w:rsid w:val="00C5301B"/>
    <w:rsid w:val="00C5332A"/>
    <w:rsid w:val="00C533FC"/>
    <w:rsid w:val="00C54035"/>
    <w:rsid w:val="00C554CF"/>
    <w:rsid w:val="00C55590"/>
    <w:rsid w:val="00C5660B"/>
    <w:rsid w:val="00C573E1"/>
    <w:rsid w:val="00C578A4"/>
    <w:rsid w:val="00C604DB"/>
    <w:rsid w:val="00C60EAA"/>
    <w:rsid w:val="00C61082"/>
    <w:rsid w:val="00C616B6"/>
    <w:rsid w:val="00C62087"/>
    <w:rsid w:val="00C62141"/>
    <w:rsid w:val="00C62241"/>
    <w:rsid w:val="00C62CFF"/>
    <w:rsid w:val="00C6366B"/>
    <w:rsid w:val="00C639C6"/>
    <w:rsid w:val="00C639FB"/>
    <w:rsid w:val="00C6438A"/>
    <w:rsid w:val="00C65722"/>
    <w:rsid w:val="00C66807"/>
    <w:rsid w:val="00C66B72"/>
    <w:rsid w:val="00C66E3D"/>
    <w:rsid w:val="00C67600"/>
    <w:rsid w:val="00C67740"/>
    <w:rsid w:val="00C7030F"/>
    <w:rsid w:val="00C709FD"/>
    <w:rsid w:val="00C713CE"/>
    <w:rsid w:val="00C713D2"/>
    <w:rsid w:val="00C72736"/>
    <w:rsid w:val="00C73345"/>
    <w:rsid w:val="00C73D8E"/>
    <w:rsid w:val="00C74105"/>
    <w:rsid w:val="00C746F6"/>
    <w:rsid w:val="00C74A29"/>
    <w:rsid w:val="00C751A0"/>
    <w:rsid w:val="00C7582E"/>
    <w:rsid w:val="00C75A7C"/>
    <w:rsid w:val="00C7625C"/>
    <w:rsid w:val="00C762F5"/>
    <w:rsid w:val="00C768DE"/>
    <w:rsid w:val="00C769B0"/>
    <w:rsid w:val="00C76DF0"/>
    <w:rsid w:val="00C777AC"/>
    <w:rsid w:val="00C77EA2"/>
    <w:rsid w:val="00C80D43"/>
    <w:rsid w:val="00C817A5"/>
    <w:rsid w:val="00C825C1"/>
    <w:rsid w:val="00C8384D"/>
    <w:rsid w:val="00C842DF"/>
    <w:rsid w:val="00C84A25"/>
    <w:rsid w:val="00C851E6"/>
    <w:rsid w:val="00C85A89"/>
    <w:rsid w:val="00C85B93"/>
    <w:rsid w:val="00C85E9A"/>
    <w:rsid w:val="00C86F17"/>
    <w:rsid w:val="00C872FB"/>
    <w:rsid w:val="00C9052E"/>
    <w:rsid w:val="00C9157C"/>
    <w:rsid w:val="00C9176B"/>
    <w:rsid w:val="00C9192C"/>
    <w:rsid w:val="00C91F1F"/>
    <w:rsid w:val="00C91FAE"/>
    <w:rsid w:val="00C92371"/>
    <w:rsid w:val="00C925E5"/>
    <w:rsid w:val="00C9263A"/>
    <w:rsid w:val="00C92BBF"/>
    <w:rsid w:val="00C92DFD"/>
    <w:rsid w:val="00C9346A"/>
    <w:rsid w:val="00C93901"/>
    <w:rsid w:val="00C939C5"/>
    <w:rsid w:val="00C9443A"/>
    <w:rsid w:val="00C94E03"/>
    <w:rsid w:val="00C95188"/>
    <w:rsid w:val="00C9567A"/>
    <w:rsid w:val="00C96C27"/>
    <w:rsid w:val="00C97B5F"/>
    <w:rsid w:val="00C97F2E"/>
    <w:rsid w:val="00CA076A"/>
    <w:rsid w:val="00CA115B"/>
    <w:rsid w:val="00CA18FF"/>
    <w:rsid w:val="00CA1CFC"/>
    <w:rsid w:val="00CA2443"/>
    <w:rsid w:val="00CA28F3"/>
    <w:rsid w:val="00CA438E"/>
    <w:rsid w:val="00CA4570"/>
    <w:rsid w:val="00CA594D"/>
    <w:rsid w:val="00CA6001"/>
    <w:rsid w:val="00CA6347"/>
    <w:rsid w:val="00CA646A"/>
    <w:rsid w:val="00CA77C5"/>
    <w:rsid w:val="00CA7EA3"/>
    <w:rsid w:val="00CB0181"/>
    <w:rsid w:val="00CB0568"/>
    <w:rsid w:val="00CB1367"/>
    <w:rsid w:val="00CB15BF"/>
    <w:rsid w:val="00CB1774"/>
    <w:rsid w:val="00CB1B22"/>
    <w:rsid w:val="00CB212D"/>
    <w:rsid w:val="00CB2365"/>
    <w:rsid w:val="00CB2513"/>
    <w:rsid w:val="00CB25B4"/>
    <w:rsid w:val="00CB2660"/>
    <w:rsid w:val="00CB268E"/>
    <w:rsid w:val="00CB33DA"/>
    <w:rsid w:val="00CB3D2A"/>
    <w:rsid w:val="00CB51F9"/>
    <w:rsid w:val="00CB5B57"/>
    <w:rsid w:val="00CB6563"/>
    <w:rsid w:val="00CB6A15"/>
    <w:rsid w:val="00CB6BBC"/>
    <w:rsid w:val="00CB6CDB"/>
    <w:rsid w:val="00CB7019"/>
    <w:rsid w:val="00CB75DC"/>
    <w:rsid w:val="00CB768E"/>
    <w:rsid w:val="00CC0526"/>
    <w:rsid w:val="00CC0C3B"/>
    <w:rsid w:val="00CC20FD"/>
    <w:rsid w:val="00CC2355"/>
    <w:rsid w:val="00CC2479"/>
    <w:rsid w:val="00CC25EE"/>
    <w:rsid w:val="00CC2CE0"/>
    <w:rsid w:val="00CC2FB9"/>
    <w:rsid w:val="00CC3194"/>
    <w:rsid w:val="00CC33E4"/>
    <w:rsid w:val="00CC437D"/>
    <w:rsid w:val="00CC44AC"/>
    <w:rsid w:val="00CC4B44"/>
    <w:rsid w:val="00CC4FB6"/>
    <w:rsid w:val="00CC4FCD"/>
    <w:rsid w:val="00CC54BA"/>
    <w:rsid w:val="00CC5A69"/>
    <w:rsid w:val="00CC5E90"/>
    <w:rsid w:val="00CC5E9E"/>
    <w:rsid w:val="00CC6286"/>
    <w:rsid w:val="00CC62A2"/>
    <w:rsid w:val="00CC636E"/>
    <w:rsid w:val="00CC6EEB"/>
    <w:rsid w:val="00CC7018"/>
    <w:rsid w:val="00CC759E"/>
    <w:rsid w:val="00CC7B6E"/>
    <w:rsid w:val="00CC7BE0"/>
    <w:rsid w:val="00CC7D0D"/>
    <w:rsid w:val="00CD046C"/>
    <w:rsid w:val="00CD1103"/>
    <w:rsid w:val="00CD1947"/>
    <w:rsid w:val="00CD1B0D"/>
    <w:rsid w:val="00CD21DC"/>
    <w:rsid w:val="00CD241B"/>
    <w:rsid w:val="00CD2990"/>
    <w:rsid w:val="00CD2A95"/>
    <w:rsid w:val="00CD39A2"/>
    <w:rsid w:val="00CD3E9E"/>
    <w:rsid w:val="00CD49CE"/>
    <w:rsid w:val="00CD4BA5"/>
    <w:rsid w:val="00CD63B8"/>
    <w:rsid w:val="00CD66CD"/>
    <w:rsid w:val="00CD72F1"/>
    <w:rsid w:val="00CE076C"/>
    <w:rsid w:val="00CE0946"/>
    <w:rsid w:val="00CE0F5A"/>
    <w:rsid w:val="00CE17C9"/>
    <w:rsid w:val="00CE1801"/>
    <w:rsid w:val="00CE2A89"/>
    <w:rsid w:val="00CE2FB5"/>
    <w:rsid w:val="00CE311B"/>
    <w:rsid w:val="00CE384C"/>
    <w:rsid w:val="00CE3D55"/>
    <w:rsid w:val="00CE434E"/>
    <w:rsid w:val="00CE44CE"/>
    <w:rsid w:val="00CE4A64"/>
    <w:rsid w:val="00CE5199"/>
    <w:rsid w:val="00CE547B"/>
    <w:rsid w:val="00CE59DE"/>
    <w:rsid w:val="00CE5A44"/>
    <w:rsid w:val="00CE5D46"/>
    <w:rsid w:val="00CE61EF"/>
    <w:rsid w:val="00CE66D5"/>
    <w:rsid w:val="00CE672C"/>
    <w:rsid w:val="00CE7C68"/>
    <w:rsid w:val="00CE7F4A"/>
    <w:rsid w:val="00CF012B"/>
    <w:rsid w:val="00CF02D8"/>
    <w:rsid w:val="00CF102F"/>
    <w:rsid w:val="00CF1FAC"/>
    <w:rsid w:val="00CF29AF"/>
    <w:rsid w:val="00CF2B4C"/>
    <w:rsid w:val="00CF351C"/>
    <w:rsid w:val="00CF4F4B"/>
    <w:rsid w:val="00CF5907"/>
    <w:rsid w:val="00CF5C49"/>
    <w:rsid w:val="00CF637A"/>
    <w:rsid w:val="00CF6787"/>
    <w:rsid w:val="00CF783F"/>
    <w:rsid w:val="00CF7E17"/>
    <w:rsid w:val="00D0014F"/>
    <w:rsid w:val="00D00383"/>
    <w:rsid w:val="00D00928"/>
    <w:rsid w:val="00D00C12"/>
    <w:rsid w:val="00D01456"/>
    <w:rsid w:val="00D01FD1"/>
    <w:rsid w:val="00D02DB7"/>
    <w:rsid w:val="00D03E7E"/>
    <w:rsid w:val="00D044BD"/>
    <w:rsid w:val="00D046C4"/>
    <w:rsid w:val="00D04F27"/>
    <w:rsid w:val="00D05894"/>
    <w:rsid w:val="00D059DE"/>
    <w:rsid w:val="00D062FF"/>
    <w:rsid w:val="00D063AD"/>
    <w:rsid w:val="00D066BF"/>
    <w:rsid w:val="00D068DE"/>
    <w:rsid w:val="00D078F2"/>
    <w:rsid w:val="00D07CD3"/>
    <w:rsid w:val="00D108E9"/>
    <w:rsid w:val="00D10E07"/>
    <w:rsid w:val="00D10F5B"/>
    <w:rsid w:val="00D1165D"/>
    <w:rsid w:val="00D11A5E"/>
    <w:rsid w:val="00D1255D"/>
    <w:rsid w:val="00D12665"/>
    <w:rsid w:val="00D12EFE"/>
    <w:rsid w:val="00D13CA7"/>
    <w:rsid w:val="00D13D09"/>
    <w:rsid w:val="00D13FCE"/>
    <w:rsid w:val="00D149F1"/>
    <w:rsid w:val="00D14F16"/>
    <w:rsid w:val="00D15325"/>
    <w:rsid w:val="00D15EC3"/>
    <w:rsid w:val="00D162A1"/>
    <w:rsid w:val="00D163F2"/>
    <w:rsid w:val="00D167FE"/>
    <w:rsid w:val="00D173C6"/>
    <w:rsid w:val="00D17482"/>
    <w:rsid w:val="00D17CC0"/>
    <w:rsid w:val="00D200F6"/>
    <w:rsid w:val="00D20226"/>
    <w:rsid w:val="00D202AC"/>
    <w:rsid w:val="00D20AB9"/>
    <w:rsid w:val="00D20BD7"/>
    <w:rsid w:val="00D20FB9"/>
    <w:rsid w:val="00D2116F"/>
    <w:rsid w:val="00D211CE"/>
    <w:rsid w:val="00D21320"/>
    <w:rsid w:val="00D21891"/>
    <w:rsid w:val="00D21966"/>
    <w:rsid w:val="00D21A95"/>
    <w:rsid w:val="00D21F40"/>
    <w:rsid w:val="00D22010"/>
    <w:rsid w:val="00D2281E"/>
    <w:rsid w:val="00D22E8A"/>
    <w:rsid w:val="00D2333E"/>
    <w:rsid w:val="00D2360B"/>
    <w:rsid w:val="00D236A7"/>
    <w:rsid w:val="00D239E9"/>
    <w:rsid w:val="00D248F7"/>
    <w:rsid w:val="00D24A7F"/>
    <w:rsid w:val="00D25974"/>
    <w:rsid w:val="00D25DA5"/>
    <w:rsid w:val="00D26301"/>
    <w:rsid w:val="00D26A84"/>
    <w:rsid w:val="00D27700"/>
    <w:rsid w:val="00D27B53"/>
    <w:rsid w:val="00D306D1"/>
    <w:rsid w:val="00D306F3"/>
    <w:rsid w:val="00D308F8"/>
    <w:rsid w:val="00D3143B"/>
    <w:rsid w:val="00D31642"/>
    <w:rsid w:val="00D31674"/>
    <w:rsid w:val="00D32002"/>
    <w:rsid w:val="00D32082"/>
    <w:rsid w:val="00D324B3"/>
    <w:rsid w:val="00D329C8"/>
    <w:rsid w:val="00D33614"/>
    <w:rsid w:val="00D33852"/>
    <w:rsid w:val="00D33903"/>
    <w:rsid w:val="00D33AF6"/>
    <w:rsid w:val="00D33E17"/>
    <w:rsid w:val="00D34291"/>
    <w:rsid w:val="00D343B8"/>
    <w:rsid w:val="00D34786"/>
    <w:rsid w:val="00D34CE7"/>
    <w:rsid w:val="00D34E8F"/>
    <w:rsid w:val="00D34EC4"/>
    <w:rsid w:val="00D35F98"/>
    <w:rsid w:val="00D363CB"/>
    <w:rsid w:val="00D367BC"/>
    <w:rsid w:val="00D3681A"/>
    <w:rsid w:val="00D36DC7"/>
    <w:rsid w:val="00D373F6"/>
    <w:rsid w:val="00D37B53"/>
    <w:rsid w:val="00D409A3"/>
    <w:rsid w:val="00D41BBF"/>
    <w:rsid w:val="00D41DC9"/>
    <w:rsid w:val="00D4291A"/>
    <w:rsid w:val="00D43262"/>
    <w:rsid w:val="00D43835"/>
    <w:rsid w:val="00D43A4E"/>
    <w:rsid w:val="00D44154"/>
    <w:rsid w:val="00D44CC0"/>
    <w:rsid w:val="00D44D1C"/>
    <w:rsid w:val="00D455DD"/>
    <w:rsid w:val="00D45802"/>
    <w:rsid w:val="00D4628A"/>
    <w:rsid w:val="00D46A1F"/>
    <w:rsid w:val="00D4736B"/>
    <w:rsid w:val="00D47537"/>
    <w:rsid w:val="00D47A8E"/>
    <w:rsid w:val="00D47AE8"/>
    <w:rsid w:val="00D5022E"/>
    <w:rsid w:val="00D503C3"/>
    <w:rsid w:val="00D506C4"/>
    <w:rsid w:val="00D50CF0"/>
    <w:rsid w:val="00D50D9E"/>
    <w:rsid w:val="00D50E69"/>
    <w:rsid w:val="00D51633"/>
    <w:rsid w:val="00D524E7"/>
    <w:rsid w:val="00D52A23"/>
    <w:rsid w:val="00D52D14"/>
    <w:rsid w:val="00D531E3"/>
    <w:rsid w:val="00D5390E"/>
    <w:rsid w:val="00D543A9"/>
    <w:rsid w:val="00D55A37"/>
    <w:rsid w:val="00D5671A"/>
    <w:rsid w:val="00D57276"/>
    <w:rsid w:val="00D57298"/>
    <w:rsid w:val="00D5757C"/>
    <w:rsid w:val="00D57732"/>
    <w:rsid w:val="00D57E70"/>
    <w:rsid w:val="00D57F66"/>
    <w:rsid w:val="00D6022F"/>
    <w:rsid w:val="00D60299"/>
    <w:rsid w:val="00D603D4"/>
    <w:rsid w:val="00D60F3A"/>
    <w:rsid w:val="00D612F9"/>
    <w:rsid w:val="00D61CF7"/>
    <w:rsid w:val="00D61FF7"/>
    <w:rsid w:val="00D62D3D"/>
    <w:rsid w:val="00D62EE3"/>
    <w:rsid w:val="00D64185"/>
    <w:rsid w:val="00D647EB"/>
    <w:rsid w:val="00D652B5"/>
    <w:rsid w:val="00D65495"/>
    <w:rsid w:val="00D65F09"/>
    <w:rsid w:val="00D664FC"/>
    <w:rsid w:val="00D66A14"/>
    <w:rsid w:val="00D67CC4"/>
    <w:rsid w:val="00D712D3"/>
    <w:rsid w:val="00D71422"/>
    <w:rsid w:val="00D7151E"/>
    <w:rsid w:val="00D7257D"/>
    <w:rsid w:val="00D72582"/>
    <w:rsid w:val="00D72DC6"/>
    <w:rsid w:val="00D744A5"/>
    <w:rsid w:val="00D74BA2"/>
    <w:rsid w:val="00D74D79"/>
    <w:rsid w:val="00D7519B"/>
    <w:rsid w:val="00D752E8"/>
    <w:rsid w:val="00D7558D"/>
    <w:rsid w:val="00D75E0D"/>
    <w:rsid w:val="00D7603D"/>
    <w:rsid w:val="00D7609D"/>
    <w:rsid w:val="00D76222"/>
    <w:rsid w:val="00D7682C"/>
    <w:rsid w:val="00D7684D"/>
    <w:rsid w:val="00D76B90"/>
    <w:rsid w:val="00D77087"/>
    <w:rsid w:val="00D80B10"/>
    <w:rsid w:val="00D80BAC"/>
    <w:rsid w:val="00D810A9"/>
    <w:rsid w:val="00D810EB"/>
    <w:rsid w:val="00D81D92"/>
    <w:rsid w:val="00D81DB1"/>
    <w:rsid w:val="00D8270C"/>
    <w:rsid w:val="00D82F90"/>
    <w:rsid w:val="00D832DD"/>
    <w:rsid w:val="00D83493"/>
    <w:rsid w:val="00D84471"/>
    <w:rsid w:val="00D84F1F"/>
    <w:rsid w:val="00D85115"/>
    <w:rsid w:val="00D85BCD"/>
    <w:rsid w:val="00D85EAB"/>
    <w:rsid w:val="00D85EF7"/>
    <w:rsid w:val="00D86219"/>
    <w:rsid w:val="00D86479"/>
    <w:rsid w:val="00D864FB"/>
    <w:rsid w:val="00D86926"/>
    <w:rsid w:val="00D86B51"/>
    <w:rsid w:val="00D86B6A"/>
    <w:rsid w:val="00D86C32"/>
    <w:rsid w:val="00D871DD"/>
    <w:rsid w:val="00D87369"/>
    <w:rsid w:val="00D8739D"/>
    <w:rsid w:val="00D878B9"/>
    <w:rsid w:val="00D87B8E"/>
    <w:rsid w:val="00D900B7"/>
    <w:rsid w:val="00D90284"/>
    <w:rsid w:val="00D91266"/>
    <w:rsid w:val="00D9160D"/>
    <w:rsid w:val="00D91F0B"/>
    <w:rsid w:val="00D92701"/>
    <w:rsid w:val="00D927A3"/>
    <w:rsid w:val="00D928B6"/>
    <w:rsid w:val="00D9291F"/>
    <w:rsid w:val="00D92C49"/>
    <w:rsid w:val="00D92CC8"/>
    <w:rsid w:val="00D9324C"/>
    <w:rsid w:val="00D938BF"/>
    <w:rsid w:val="00D9413C"/>
    <w:rsid w:val="00D9479F"/>
    <w:rsid w:val="00D94A3B"/>
    <w:rsid w:val="00D95A66"/>
    <w:rsid w:val="00D961AB"/>
    <w:rsid w:val="00D97446"/>
    <w:rsid w:val="00D974F6"/>
    <w:rsid w:val="00D9757F"/>
    <w:rsid w:val="00D97B6E"/>
    <w:rsid w:val="00DA05DA"/>
    <w:rsid w:val="00DA0ACA"/>
    <w:rsid w:val="00DA0B90"/>
    <w:rsid w:val="00DA0CF1"/>
    <w:rsid w:val="00DA14C8"/>
    <w:rsid w:val="00DA2039"/>
    <w:rsid w:val="00DA2351"/>
    <w:rsid w:val="00DA2675"/>
    <w:rsid w:val="00DA307A"/>
    <w:rsid w:val="00DA380D"/>
    <w:rsid w:val="00DA3E6F"/>
    <w:rsid w:val="00DA4592"/>
    <w:rsid w:val="00DA4E12"/>
    <w:rsid w:val="00DA59AB"/>
    <w:rsid w:val="00DA5FD7"/>
    <w:rsid w:val="00DA6705"/>
    <w:rsid w:val="00DA6D54"/>
    <w:rsid w:val="00DA7111"/>
    <w:rsid w:val="00DA7B5F"/>
    <w:rsid w:val="00DA7BF2"/>
    <w:rsid w:val="00DB00A0"/>
    <w:rsid w:val="00DB0A25"/>
    <w:rsid w:val="00DB11C3"/>
    <w:rsid w:val="00DB1255"/>
    <w:rsid w:val="00DB1335"/>
    <w:rsid w:val="00DB1657"/>
    <w:rsid w:val="00DB1843"/>
    <w:rsid w:val="00DB2856"/>
    <w:rsid w:val="00DB32E8"/>
    <w:rsid w:val="00DB330D"/>
    <w:rsid w:val="00DB397C"/>
    <w:rsid w:val="00DB39B4"/>
    <w:rsid w:val="00DB4292"/>
    <w:rsid w:val="00DB50A5"/>
    <w:rsid w:val="00DB567E"/>
    <w:rsid w:val="00DB5C1D"/>
    <w:rsid w:val="00DB69E7"/>
    <w:rsid w:val="00DB6BC5"/>
    <w:rsid w:val="00DB6CA2"/>
    <w:rsid w:val="00DB7AEB"/>
    <w:rsid w:val="00DC0183"/>
    <w:rsid w:val="00DC01D2"/>
    <w:rsid w:val="00DC0482"/>
    <w:rsid w:val="00DC0551"/>
    <w:rsid w:val="00DC0767"/>
    <w:rsid w:val="00DC0D80"/>
    <w:rsid w:val="00DC11E7"/>
    <w:rsid w:val="00DC1A2E"/>
    <w:rsid w:val="00DC1E9C"/>
    <w:rsid w:val="00DC2B87"/>
    <w:rsid w:val="00DC337C"/>
    <w:rsid w:val="00DC4351"/>
    <w:rsid w:val="00DC499C"/>
    <w:rsid w:val="00DC51DD"/>
    <w:rsid w:val="00DC5C29"/>
    <w:rsid w:val="00DC6095"/>
    <w:rsid w:val="00DC61EE"/>
    <w:rsid w:val="00DC67B2"/>
    <w:rsid w:val="00DC6B69"/>
    <w:rsid w:val="00DC6F0A"/>
    <w:rsid w:val="00DC6F6C"/>
    <w:rsid w:val="00DC6F7C"/>
    <w:rsid w:val="00DC7023"/>
    <w:rsid w:val="00DC769A"/>
    <w:rsid w:val="00DC7C71"/>
    <w:rsid w:val="00DC7E66"/>
    <w:rsid w:val="00DD0888"/>
    <w:rsid w:val="00DD0BBA"/>
    <w:rsid w:val="00DD1443"/>
    <w:rsid w:val="00DD2142"/>
    <w:rsid w:val="00DD24ED"/>
    <w:rsid w:val="00DD3D86"/>
    <w:rsid w:val="00DD3E65"/>
    <w:rsid w:val="00DD410F"/>
    <w:rsid w:val="00DD4C4D"/>
    <w:rsid w:val="00DD5B44"/>
    <w:rsid w:val="00DD5D7B"/>
    <w:rsid w:val="00DD65CF"/>
    <w:rsid w:val="00DD684B"/>
    <w:rsid w:val="00DD6D14"/>
    <w:rsid w:val="00DD6F74"/>
    <w:rsid w:val="00DD70D2"/>
    <w:rsid w:val="00DE02F3"/>
    <w:rsid w:val="00DE07D2"/>
    <w:rsid w:val="00DE09A1"/>
    <w:rsid w:val="00DE09A5"/>
    <w:rsid w:val="00DE0A59"/>
    <w:rsid w:val="00DE1353"/>
    <w:rsid w:val="00DE21FB"/>
    <w:rsid w:val="00DE2557"/>
    <w:rsid w:val="00DE2805"/>
    <w:rsid w:val="00DE2D1E"/>
    <w:rsid w:val="00DE2DCE"/>
    <w:rsid w:val="00DE30FA"/>
    <w:rsid w:val="00DE4C67"/>
    <w:rsid w:val="00DE610F"/>
    <w:rsid w:val="00DE6CA6"/>
    <w:rsid w:val="00DE710B"/>
    <w:rsid w:val="00DE7267"/>
    <w:rsid w:val="00DE792A"/>
    <w:rsid w:val="00DF01D3"/>
    <w:rsid w:val="00DF087C"/>
    <w:rsid w:val="00DF0C1C"/>
    <w:rsid w:val="00DF0F2C"/>
    <w:rsid w:val="00DF0FC5"/>
    <w:rsid w:val="00DF1B4B"/>
    <w:rsid w:val="00DF1BCE"/>
    <w:rsid w:val="00DF26AA"/>
    <w:rsid w:val="00DF26E3"/>
    <w:rsid w:val="00DF36A5"/>
    <w:rsid w:val="00DF41C7"/>
    <w:rsid w:val="00DF4976"/>
    <w:rsid w:val="00DF4BDC"/>
    <w:rsid w:val="00DF4DC3"/>
    <w:rsid w:val="00DF6137"/>
    <w:rsid w:val="00DF640C"/>
    <w:rsid w:val="00DF6D65"/>
    <w:rsid w:val="00DF6EE0"/>
    <w:rsid w:val="00DF7740"/>
    <w:rsid w:val="00E0018F"/>
    <w:rsid w:val="00E00575"/>
    <w:rsid w:val="00E007B6"/>
    <w:rsid w:val="00E00943"/>
    <w:rsid w:val="00E00A9E"/>
    <w:rsid w:val="00E00BED"/>
    <w:rsid w:val="00E00E8B"/>
    <w:rsid w:val="00E01699"/>
    <w:rsid w:val="00E01F68"/>
    <w:rsid w:val="00E0225F"/>
    <w:rsid w:val="00E0238B"/>
    <w:rsid w:val="00E025B6"/>
    <w:rsid w:val="00E02F88"/>
    <w:rsid w:val="00E0340B"/>
    <w:rsid w:val="00E03579"/>
    <w:rsid w:val="00E03D10"/>
    <w:rsid w:val="00E04626"/>
    <w:rsid w:val="00E04845"/>
    <w:rsid w:val="00E05117"/>
    <w:rsid w:val="00E05283"/>
    <w:rsid w:val="00E0542D"/>
    <w:rsid w:val="00E054BE"/>
    <w:rsid w:val="00E05590"/>
    <w:rsid w:val="00E05963"/>
    <w:rsid w:val="00E05DD4"/>
    <w:rsid w:val="00E06907"/>
    <w:rsid w:val="00E07283"/>
    <w:rsid w:val="00E073AA"/>
    <w:rsid w:val="00E07432"/>
    <w:rsid w:val="00E07651"/>
    <w:rsid w:val="00E07A00"/>
    <w:rsid w:val="00E07F44"/>
    <w:rsid w:val="00E100AC"/>
    <w:rsid w:val="00E10211"/>
    <w:rsid w:val="00E10B87"/>
    <w:rsid w:val="00E10F7B"/>
    <w:rsid w:val="00E11EFC"/>
    <w:rsid w:val="00E12008"/>
    <w:rsid w:val="00E129DA"/>
    <w:rsid w:val="00E12D6E"/>
    <w:rsid w:val="00E12FA4"/>
    <w:rsid w:val="00E132E4"/>
    <w:rsid w:val="00E1365D"/>
    <w:rsid w:val="00E138C0"/>
    <w:rsid w:val="00E140CF"/>
    <w:rsid w:val="00E14A07"/>
    <w:rsid w:val="00E1541F"/>
    <w:rsid w:val="00E15E74"/>
    <w:rsid w:val="00E161B6"/>
    <w:rsid w:val="00E166A0"/>
    <w:rsid w:val="00E168F4"/>
    <w:rsid w:val="00E16A50"/>
    <w:rsid w:val="00E16D17"/>
    <w:rsid w:val="00E206A7"/>
    <w:rsid w:val="00E209A8"/>
    <w:rsid w:val="00E20EBA"/>
    <w:rsid w:val="00E21558"/>
    <w:rsid w:val="00E2197C"/>
    <w:rsid w:val="00E219C7"/>
    <w:rsid w:val="00E21AB8"/>
    <w:rsid w:val="00E21F0D"/>
    <w:rsid w:val="00E2257A"/>
    <w:rsid w:val="00E2265D"/>
    <w:rsid w:val="00E226AD"/>
    <w:rsid w:val="00E2332B"/>
    <w:rsid w:val="00E236F6"/>
    <w:rsid w:val="00E239AD"/>
    <w:rsid w:val="00E23E3D"/>
    <w:rsid w:val="00E23EAA"/>
    <w:rsid w:val="00E23FC1"/>
    <w:rsid w:val="00E2435C"/>
    <w:rsid w:val="00E24E60"/>
    <w:rsid w:val="00E25B14"/>
    <w:rsid w:val="00E2717A"/>
    <w:rsid w:val="00E276D3"/>
    <w:rsid w:val="00E27E1F"/>
    <w:rsid w:val="00E30427"/>
    <w:rsid w:val="00E31199"/>
    <w:rsid w:val="00E3130F"/>
    <w:rsid w:val="00E3162A"/>
    <w:rsid w:val="00E31C5F"/>
    <w:rsid w:val="00E3229C"/>
    <w:rsid w:val="00E3282D"/>
    <w:rsid w:val="00E32E6B"/>
    <w:rsid w:val="00E334EE"/>
    <w:rsid w:val="00E34B4D"/>
    <w:rsid w:val="00E34B77"/>
    <w:rsid w:val="00E34E0F"/>
    <w:rsid w:val="00E34F67"/>
    <w:rsid w:val="00E34F86"/>
    <w:rsid w:val="00E35456"/>
    <w:rsid w:val="00E361C5"/>
    <w:rsid w:val="00E36321"/>
    <w:rsid w:val="00E3643F"/>
    <w:rsid w:val="00E36709"/>
    <w:rsid w:val="00E375F7"/>
    <w:rsid w:val="00E379FB"/>
    <w:rsid w:val="00E40449"/>
    <w:rsid w:val="00E404DA"/>
    <w:rsid w:val="00E40AE5"/>
    <w:rsid w:val="00E40EAA"/>
    <w:rsid w:val="00E42BC5"/>
    <w:rsid w:val="00E42DC6"/>
    <w:rsid w:val="00E43157"/>
    <w:rsid w:val="00E43391"/>
    <w:rsid w:val="00E443D8"/>
    <w:rsid w:val="00E44FB5"/>
    <w:rsid w:val="00E4564E"/>
    <w:rsid w:val="00E45D84"/>
    <w:rsid w:val="00E461CE"/>
    <w:rsid w:val="00E4688F"/>
    <w:rsid w:val="00E47085"/>
    <w:rsid w:val="00E47274"/>
    <w:rsid w:val="00E475CB"/>
    <w:rsid w:val="00E50985"/>
    <w:rsid w:val="00E5125E"/>
    <w:rsid w:val="00E5183E"/>
    <w:rsid w:val="00E52120"/>
    <w:rsid w:val="00E52778"/>
    <w:rsid w:val="00E53522"/>
    <w:rsid w:val="00E53BCF"/>
    <w:rsid w:val="00E551A3"/>
    <w:rsid w:val="00E555A6"/>
    <w:rsid w:val="00E55C9B"/>
    <w:rsid w:val="00E571A2"/>
    <w:rsid w:val="00E57951"/>
    <w:rsid w:val="00E6041E"/>
    <w:rsid w:val="00E60984"/>
    <w:rsid w:val="00E611C5"/>
    <w:rsid w:val="00E6134B"/>
    <w:rsid w:val="00E620D3"/>
    <w:rsid w:val="00E625E8"/>
    <w:rsid w:val="00E6318B"/>
    <w:rsid w:val="00E632A1"/>
    <w:rsid w:val="00E638E9"/>
    <w:rsid w:val="00E63F00"/>
    <w:rsid w:val="00E64205"/>
    <w:rsid w:val="00E64439"/>
    <w:rsid w:val="00E64C50"/>
    <w:rsid w:val="00E64F6D"/>
    <w:rsid w:val="00E65121"/>
    <w:rsid w:val="00E65231"/>
    <w:rsid w:val="00E65686"/>
    <w:rsid w:val="00E6583F"/>
    <w:rsid w:val="00E65D77"/>
    <w:rsid w:val="00E65EEA"/>
    <w:rsid w:val="00E671D9"/>
    <w:rsid w:val="00E6751B"/>
    <w:rsid w:val="00E67D4F"/>
    <w:rsid w:val="00E67FE0"/>
    <w:rsid w:val="00E7107C"/>
    <w:rsid w:val="00E7199C"/>
    <w:rsid w:val="00E71AC7"/>
    <w:rsid w:val="00E720CA"/>
    <w:rsid w:val="00E73DA2"/>
    <w:rsid w:val="00E73EA0"/>
    <w:rsid w:val="00E73F34"/>
    <w:rsid w:val="00E752DD"/>
    <w:rsid w:val="00E75431"/>
    <w:rsid w:val="00E75A4B"/>
    <w:rsid w:val="00E75F15"/>
    <w:rsid w:val="00E763FB"/>
    <w:rsid w:val="00E7757D"/>
    <w:rsid w:val="00E77E37"/>
    <w:rsid w:val="00E802E4"/>
    <w:rsid w:val="00E80D57"/>
    <w:rsid w:val="00E80FE4"/>
    <w:rsid w:val="00E81BF2"/>
    <w:rsid w:val="00E82893"/>
    <w:rsid w:val="00E82DD9"/>
    <w:rsid w:val="00E830D2"/>
    <w:rsid w:val="00E83682"/>
    <w:rsid w:val="00E83C3F"/>
    <w:rsid w:val="00E83F5C"/>
    <w:rsid w:val="00E840EE"/>
    <w:rsid w:val="00E841AF"/>
    <w:rsid w:val="00E84727"/>
    <w:rsid w:val="00E84E07"/>
    <w:rsid w:val="00E84EB5"/>
    <w:rsid w:val="00E85662"/>
    <w:rsid w:val="00E85940"/>
    <w:rsid w:val="00E8629D"/>
    <w:rsid w:val="00E86A9C"/>
    <w:rsid w:val="00E86B98"/>
    <w:rsid w:val="00E8734C"/>
    <w:rsid w:val="00E8744A"/>
    <w:rsid w:val="00E8789F"/>
    <w:rsid w:val="00E90B04"/>
    <w:rsid w:val="00E91BB5"/>
    <w:rsid w:val="00E92441"/>
    <w:rsid w:val="00E925A2"/>
    <w:rsid w:val="00E9272C"/>
    <w:rsid w:val="00E92C44"/>
    <w:rsid w:val="00E93945"/>
    <w:rsid w:val="00E93ACE"/>
    <w:rsid w:val="00E93FD8"/>
    <w:rsid w:val="00E943D5"/>
    <w:rsid w:val="00E94A36"/>
    <w:rsid w:val="00E9542C"/>
    <w:rsid w:val="00E956AB"/>
    <w:rsid w:val="00E95C05"/>
    <w:rsid w:val="00E960F8"/>
    <w:rsid w:val="00E96E07"/>
    <w:rsid w:val="00E96E11"/>
    <w:rsid w:val="00E96E1A"/>
    <w:rsid w:val="00E97468"/>
    <w:rsid w:val="00E97B71"/>
    <w:rsid w:val="00EA00A7"/>
    <w:rsid w:val="00EA030C"/>
    <w:rsid w:val="00EA058D"/>
    <w:rsid w:val="00EA0A0E"/>
    <w:rsid w:val="00EA0ACD"/>
    <w:rsid w:val="00EA1360"/>
    <w:rsid w:val="00EA16FC"/>
    <w:rsid w:val="00EA1F8F"/>
    <w:rsid w:val="00EA33E8"/>
    <w:rsid w:val="00EA3D34"/>
    <w:rsid w:val="00EA4459"/>
    <w:rsid w:val="00EA4585"/>
    <w:rsid w:val="00EA4702"/>
    <w:rsid w:val="00EA4837"/>
    <w:rsid w:val="00EA59B1"/>
    <w:rsid w:val="00EA59BB"/>
    <w:rsid w:val="00EA5C48"/>
    <w:rsid w:val="00EA5D1F"/>
    <w:rsid w:val="00EA68AD"/>
    <w:rsid w:val="00EA6E86"/>
    <w:rsid w:val="00EA7DAD"/>
    <w:rsid w:val="00EB0237"/>
    <w:rsid w:val="00EB0584"/>
    <w:rsid w:val="00EB0CC8"/>
    <w:rsid w:val="00EB0EBD"/>
    <w:rsid w:val="00EB1228"/>
    <w:rsid w:val="00EB1348"/>
    <w:rsid w:val="00EB13E5"/>
    <w:rsid w:val="00EB1949"/>
    <w:rsid w:val="00EB1FA6"/>
    <w:rsid w:val="00EB25FE"/>
    <w:rsid w:val="00EB26D3"/>
    <w:rsid w:val="00EB2AC2"/>
    <w:rsid w:val="00EB2D76"/>
    <w:rsid w:val="00EB38D2"/>
    <w:rsid w:val="00EB3952"/>
    <w:rsid w:val="00EB3F5A"/>
    <w:rsid w:val="00EB413B"/>
    <w:rsid w:val="00EB454D"/>
    <w:rsid w:val="00EB492B"/>
    <w:rsid w:val="00EB576A"/>
    <w:rsid w:val="00EB60D2"/>
    <w:rsid w:val="00EB65F1"/>
    <w:rsid w:val="00EB7776"/>
    <w:rsid w:val="00EC271E"/>
    <w:rsid w:val="00EC3420"/>
    <w:rsid w:val="00EC3F5A"/>
    <w:rsid w:val="00EC57CD"/>
    <w:rsid w:val="00EC5871"/>
    <w:rsid w:val="00EC5AE5"/>
    <w:rsid w:val="00EC5EC4"/>
    <w:rsid w:val="00EC5F21"/>
    <w:rsid w:val="00EC5FC9"/>
    <w:rsid w:val="00EC6162"/>
    <w:rsid w:val="00EC68A4"/>
    <w:rsid w:val="00EC6C07"/>
    <w:rsid w:val="00EC6FCD"/>
    <w:rsid w:val="00EC75CD"/>
    <w:rsid w:val="00EC7729"/>
    <w:rsid w:val="00ED13EE"/>
    <w:rsid w:val="00ED1421"/>
    <w:rsid w:val="00ED14D5"/>
    <w:rsid w:val="00ED1A3E"/>
    <w:rsid w:val="00ED1B04"/>
    <w:rsid w:val="00ED248C"/>
    <w:rsid w:val="00ED2824"/>
    <w:rsid w:val="00ED2B97"/>
    <w:rsid w:val="00ED3D04"/>
    <w:rsid w:val="00ED4148"/>
    <w:rsid w:val="00ED52D6"/>
    <w:rsid w:val="00ED67F1"/>
    <w:rsid w:val="00ED75BD"/>
    <w:rsid w:val="00ED76BE"/>
    <w:rsid w:val="00ED7C53"/>
    <w:rsid w:val="00EE0032"/>
    <w:rsid w:val="00EE0747"/>
    <w:rsid w:val="00EE07CF"/>
    <w:rsid w:val="00EE0E65"/>
    <w:rsid w:val="00EE0EF2"/>
    <w:rsid w:val="00EE0F3C"/>
    <w:rsid w:val="00EE0F71"/>
    <w:rsid w:val="00EE1908"/>
    <w:rsid w:val="00EE1F51"/>
    <w:rsid w:val="00EE2B93"/>
    <w:rsid w:val="00EE2D9F"/>
    <w:rsid w:val="00EE3156"/>
    <w:rsid w:val="00EE3EEA"/>
    <w:rsid w:val="00EE42B2"/>
    <w:rsid w:val="00EE507F"/>
    <w:rsid w:val="00EE51CE"/>
    <w:rsid w:val="00EE52BC"/>
    <w:rsid w:val="00EE5AB2"/>
    <w:rsid w:val="00EE6E06"/>
    <w:rsid w:val="00EE7DB5"/>
    <w:rsid w:val="00EF019F"/>
    <w:rsid w:val="00EF0CFD"/>
    <w:rsid w:val="00EF10AE"/>
    <w:rsid w:val="00EF1FDC"/>
    <w:rsid w:val="00EF20EA"/>
    <w:rsid w:val="00EF25E4"/>
    <w:rsid w:val="00EF293D"/>
    <w:rsid w:val="00EF3628"/>
    <w:rsid w:val="00EF3997"/>
    <w:rsid w:val="00EF3AAC"/>
    <w:rsid w:val="00EF3ACE"/>
    <w:rsid w:val="00EF3F5D"/>
    <w:rsid w:val="00EF4A52"/>
    <w:rsid w:val="00EF4D4A"/>
    <w:rsid w:val="00EF53F2"/>
    <w:rsid w:val="00EF55FC"/>
    <w:rsid w:val="00EF5F2C"/>
    <w:rsid w:val="00EF619B"/>
    <w:rsid w:val="00EF6A54"/>
    <w:rsid w:val="00EF6DE9"/>
    <w:rsid w:val="00EF7060"/>
    <w:rsid w:val="00EF73D7"/>
    <w:rsid w:val="00EF769D"/>
    <w:rsid w:val="00EF7710"/>
    <w:rsid w:val="00EF7AD6"/>
    <w:rsid w:val="00EF7B0E"/>
    <w:rsid w:val="00F00055"/>
    <w:rsid w:val="00F00735"/>
    <w:rsid w:val="00F00B55"/>
    <w:rsid w:val="00F01E62"/>
    <w:rsid w:val="00F02506"/>
    <w:rsid w:val="00F027CA"/>
    <w:rsid w:val="00F02987"/>
    <w:rsid w:val="00F02AD1"/>
    <w:rsid w:val="00F031DF"/>
    <w:rsid w:val="00F03977"/>
    <w:rsid w:val="00F03B99"/>
    <w:rsid w:val="00F0417F"/>
    <w:rsid w:val="00F04F35"/>
    <w:rsid w:val="00F0509B"/>
    <w:rsid w:val="00F053C0"/>
    <w:rsid w:val="00F05F94"/>
    <w:rsid w:val="00F065B7"/>
    <w:rsid w:val="00F06BB9"/>
    <w:rsid w:val="00F071A7"/>
    <w:rsid w:val="00F07BE5"/>
    <w:rsid w:val="00F1030E"/>
    <w:rsid w:val="00F107B2"/>
    <w:rsid w:val="00F10D7E"/>
    <w:rsid w:val="00F10EF7"/>
    <w:rsid w:val="00F10F5F"/>
    <w:rsid w:val="00F11B32"/>
    <w:rsid w:val="00F11CDE"/>
    <w:rsid w:val="00F11CF8"/>
    <w:rsid w:val="00F121B8"/>
    <w:rsid w:val="00F12E5C"/>
    <w:rsid w:val="00F141E4"/>
    <w:rsid w:val="00F14D01"/>
    <w:rsid w:val="00F14E7D"/>
    <w:rsid w:val="00F1510C"/>
    <w:rsid w:val="00F16E58"/>
    <w:rsid w:val="00F1755B"/>
    <w:rsid w:val="00F2057E"/>
    <w:rsid w:val="00F2093A"/>
    <w:rsid w:val="00F21548"/>
    <w:rsid w:val="00F219EA"/>
    <w:rsid w:val="00F22F20"/>
    <w:rsid w:val="00F23C77"/>
    <w:rsid w:val="00F23DB8"/>
    <w:rsid w:val="00F247A0"/>
    <w:rsid w:val="00F250C7"/>
    <w:rsid w:val="00F253CC"/>
    <w:rsid w:val="00F2551C"/>
    <w:rsid w:val="00F2579B"/>
    <w:rsid w:val="00F25A36"/>
    <w:rsid w:val="00F25CD8"/>
    <w:rsid w:val="00F2600C"/>
    <w:rsid w:val="00F26A2B"/>
    <w:rsid w:val="00F2702A"/>
    <w:rsid w:val="00F2796D"/>
    <w:rsid w:val="00F27A79"/>
    <w:rsid w:val="00F3016F"/>
    <w:rsid w:val="00F301F1"/>
    <w:rsid w:val="00F3062D"/>
    <w:rsid w:val="00F30798"/>
    <w:rsid w:val="00F30897"/>
    <w:rsid w:val="00F318EF"/>
    <w:rsid w:val="00F3246D"/>
    <w:rsid w:val="00F32627"/>
    <w:rsid w:val="00F328BD"/>
    <w:rsid w:val="00F33748"/>
    <w:rsid w:val="00F33955"/>
    <w:rsid w:val="00F34358"/>
    <w:rsid w:val="00F3585A"/>
    <w:rsid w:val="00F36342"/>
    <w:rsid w:val="00F3684D"/>
    <w:rsid w:val="00F3692A"/>
    <w:rsid w:val="00F36BBC"/>
    <w:rsid w:val="00F36DD3"/>
    <w:rsid w:val="00F37106"/>
    <w:rsid w:val="00F3776F"/>
    <w:rsid w:val="00F4059E"/>
    <w:rsid w:val="00F42707"/>
    <w:rsid w:val="00F42AAE"/>
    <w:rsid w:val="00F4360C"/>
    <w:rsid w:val="00F4406D"/>
    <w:rsid w:val="00F4462C"/>
    <w:rsid w:val="00F44C09"/>
    <w:rsid w:val="00F44C2B"/>
    <w:rsid w:val="00F44FED"/>
    <w:rsid w:val="00F458B4"/>
    <w:rsid w:val="00F45942"/>
    <w:rsid w:val="00F45B86"/>
    <w:rsid w:val="00F460BD"/>
    <w:rsid w:val="00F46421"/>
    <w:rsid w:val="00F46DCE"/>
    <w:rsid w:val="00F47813"/>
    <w:rsid w:val="00F503E5"/>
    <w:rsid w:val="00F506DB"/>
    <w:rsid w:val="00F50950"/>
    <w:rsid w:val="00F50C83"/>
    <w:rsid w:val="00F50E2F"/>
    <w:rsid w:val="00F5120C"/>
    <w:rsid w:val="00F519CF"/>
    <w:rsid w:val="00F52036"/>
    <w:rsid w:val="00F5266C"/>
    <w:rsid w:val="00F537C8"/>
    <w:rsid w:val="00F5380C"/>
    <w:rsid w:val="00F53D74"/>
    <w:rsid w:val="00F54ECA"/>
    <w:rsid w:val="00F5569F"/>
    <w:rsid w:val="00F557DF"/>
    <w:rsid w:val="00F56BA5"/>
    <w:rsid w:val="00F56C88"/>
    <w:rsid w:val="00F57702"/>
    <w:rsid w:val="00F57724"/>
    <w:rsid w:val="00F57978"/>
    <w:rsid w:val="00F605CF"/>
    <w:rsid w:val="00F607B9"/>
    <w:rsid w:val="00F60E22"/>
    <w:rsid w:val="00F60E5B"/>
    <w:rsid w:val="00F6165A"/>
    <w:rsid w:val="00F61A1A"/>
    <w:rsid w:val="00F61FE4"/>
    <w:rsid w:val="00F62600"/>
    <w:rsid w:val="00F62748"/>
    <w:rsid w:val="00F62D1E"/>
    <w:rsid w:val="00F63367"/>
    <w:rsid w:val="00F63CCB"/>
    <w:rsid w:val="00F640C5"/>
    <w:rsid w:val="00F64B8B"/>
    <w:rsid w:val="00F64DB1"/>
    <w:rsid w:val="00F653D2"/>
    <w:rsid w:val="00F65545"/>
    <w:rsid w:val="00F659EC"/>
    <w:rsid w:val="00F6703B"/>
    <w:rsid w:val="00F678B3"/>
    <w:rsid w:val="00F67A50"/>
    <w:rsid w:val="00F67B09"/>
    <w:rsid w:val="00F67C38"/>
    <w:rsid w:val="00F70327"/>
    <w:rsid w:val="00F711C6"/>
    <w:rsid w:val="00F7124D"/>
    <w:rsid w:val="00F71A9D"/>
    <w:rsid w:val="00F7244A"/>
    <w:rsid w:val="00F72BD4"/>
    <w:rsid w:val="00F73687"/>
    <w:rsid w:val="00F746C3"/>
    <w:rsid w:val="00F74E0A"/>
    <w:rsid w:val="00F75A47"/>
    <w:rsid w:val="00F75F3C"/>
    <w:rsid w:val="00F764FE"/>
    <w:rsid w:val="00F77DF8"/>
    <w:rsid w:val="00F804AE"/>
    <w:rsid w:val="00F8067B"/>
    <w:rsid w:val="00F82DD5"/>
    <w:rsid w:val="00F82E43"/>
    <w:rsid w:val="00F843AA"/>
    <w:rsid w:val="00F84D44"/>
    <w:rsid w:val="00F852F7"/>
    <w:rsid w:val="00F85A52"/>
    <w:rsid w:val="00F860B1"/>
    <w:rsid w:val="00F866A6"/>
    <w:rsid w:val="00F869AF"/>
    <w:rsid w:val="00F869E0"/>
    <w:rsid w:val="00F877C0"/>
    <w:rsid w:val="00F9043B"/>
    <w:rsid w:val="00F90590"/>
    <w:rsid w:val="00F90767"/>
    <w:rsid w:val="00F90CAC"/>
    <w:rsid w:val="00F90CC2"/>
    <w:rsid w:val="00F90CE4"/>
    <w:rsid w:val="00F91160"/>
    <w:rsid w:val="00F91542"/>
    <w:rsid w:val="00F917D1"/>
    <w:rsid w:val="00F92433"/>
    <w:rsid w:val="00F93F64"/>
    <w:rsid w:val="00F94216"/>
    <w:rsid w:val="00F9491D"/>
    <w:rsid w:val="00F954CA"/>
    <w:rsid w:val="00F9568E"/>
    <w:rsid w:val="00F957AE"/>
    <w:rsid w:val="00F95A27"/>
    <w:rsid w:val="00F96160"/>
    <w:rsid w:val="00F9653B"/>
    <w:rsid w:val="00F96778"/>
    <w:rsid w:val="00F97A52"/>
    <w:rsid w:val="00F97E2D"/>
    <w:rsid w:val="00F97E62"/>
    <w:rsid w:val="00FA02EB"/>
    <w:rsid w:val="00FA0338"/>
    <w:rsid w:val="00FA08DD"/>
    <w:rsid w:val="00FA093F"/>
    <w:rsid w:val="00FA0D48"/>
    <w:rsid w:val="00FA114B"/>
    <w:rsid w:val="00FA174E"/>
    <w:rsid w:val="00FA1A78"/>
    <w:rsid w:val="00FA1F84"/>
    <w:rsid w:val="00FA1FAA"/>
    <w:rsid w:val="00FA20B3"/>
    <w:rsid w:val="00FA2595"/>
    <w:rsid w:val="00FA2E9D"/>
    <w:rsid w:val="00FA3858"/>
    <w:rsid w:val="00FA3C98"/>
    <w:rsid w:val="00FA4035"/>
    <w:rsid w:val="00FA4293"/>
    <w:rsid w:val="00FA46DA"/>
    <w:rsid w:val="00FA4AD3"/>
    <w:rsid w:val="00FA57A0"/>
    <w:rsid w:val="00FA5957"/>
    <w:rsid w:val="00FA5C21"/>
    <w:rsid w:val="00FA5EAE"/>
    <w:rsid w:val="00FA60B9"/>
    <w:rsid w:val="00FA65A6"/>
    <w:rsid w:val="00FA66D9"/>
    <w:rsid w:val="00FA6A30"/>
    <w:rsid w:val="00FA6C23"/>
    <w:rsid w:val="00FA7494"/>
    <w:rsid w:val="00FA7605"/>
    <w:rsid w:val="00FA77B7"/>
    <w:rsid w:val="00FB069F"/>
    <w:rsid w:val="00FB098E"/>
    <w:rsid w:val="00FB1084"/>
    <w:rsid w:val="00FB14D9"/>
    <w:rsid w:val="00FB1666"/>
    <w:rsid w:val="00FB2096"/>
    <w:rsid w:val="00FB3D94"/>
    <w:rsid w:val="00FB3F5D"/>
    <w:rsid w:val="00FB4364"/>
    <w:rsid w:val="00FB43DD"/>
    <w:rsid w:val="00FB4BD3"/>
    <w:rsid w:val="00FB4EB8"/>
    <w:rsid w:val="00FB52E5"/>
    <w:rsid w:val="00FB60C9"/>
    <w:rsid w:val="00FB6151"/>
    <w:rsid w:val="00FB62CF"/>
    <w:rsid w:val="00FB6330"/>
    <w:rsid w:val="00FB64DE"/>
    <w:rsid w:val="00FB68F0"/>
    <w:rsid w:val="00FC0761"/>
    <w:rsid w:val="00FC1660"/>
    <w:rsid w:val="00FC3B9C"/>
    <w:rsid w:val="00FC3E44"/>
    <w:rsid w:val="00FC4122"/>
    <w:rsid w:val="00FC415B"/>
    <w:rsid w:val="00FC488C"/>
    <w:rsid w:val="00FC551C"/>
    <w:rsid w:val="00FC563C"/>
    <w:rsid w:val="00FC5691"/>
    <w:rsid w:val="00FC6038"/>
    <w:rsid w:val="00FC634A"/>
    <w:rsid w:val="00FC7319"/>
    <w:rsid w:val="00FC7D96"/>
    <w:rsid w:val="00FD0371"/>
    <w:rsid w:val="00FD05AE"/>
    <w:rsid w:val="00FD0E62"/>
    <w:rsid w:val="00FD0EFE"/>
    <w:rsid w:val="00FD13DD"/>
    <w:rsid w:val="00FD1971"/>
    <w:rsid w:val="00FD1CEF"/>
    <w:rsid w:val="00FD21EF"/>
    <w:rsid w:val="00FD26A1"/>
    <w:rsid w:val="00FD27E6"/>
    <w:rsid w:val="00FD2E3F"/>
    <w:rsid w:val="00FD3C3B"/>
    <w:rsid w:val="00FD3D23"/>
    <w:rsid w:val="00FD44C4"/>
    <w:rsid w:val="00FD4A7B"/>
    <w:rsid w:val="00FD4EC1"/>
    <w:rsid w:val="00FD4F75"/>
    <w:rsid w:val="00FD54DA"/>
    <w:rsid w:val="00FD5921"/>
    <w:rsid w:val="00FD60E3"/>
    <w:rsid w:val="00FD66F9"/>
    <w:rsid w:val="00FD70E8"/>
    <w:rsid w:val="00FD729D"/>
    <w:rsid w:val="00FD76F2"/>
    <w:rsid w:val="00FD79FF"/>
    <w:rsid w:val="00FD7ECB"/>
    <w:rsid w:val="00FE0851"/>
    <w:rsid w:val="00FE0BC9"/>
    <w:rsid w:val="00FE0EE6"/>
    <w:rsid w:val="00FE15F2"/>
    <w:rsid w:val="00FE18F9"/>
    <w:rsid w:val="00FE1F1B"/>
    <w:rsid w:val="00FE1F8C"/>
    <w:rsid w:val="00FE29EC"/>
    <w:rsid w:val="00FE350D"/>
    <w:rsid w:val="00FE45EF"/>
    <w:rsid w:val="00FE487F"/>
    <w:rsid w:val="00FE4928"/>
    <w:rsid w:val="00FE4EE4"/>
    <w:rsid w:val="00FE52B3"/>
    <w:rsid w:val="00FE5E14"/>
    <w:rsid w:val="00FE66A3"/>
    <w:rsid w:val="00FE6783"/>
    <w:rsid w:val="00FE6B45"/>
    <w:rsid w:val="00FE6BB0"/>
    <w:rsid w:val="00FE7413"/>
    <w:rsid w:val="00FF11B9"/>
    <w:rsid w:val="00FF1BD8"/>
    <w:rsid w:val="00FF222C"/>
    <w:rsid w:val="00FF2A34"/>
    <w:rsid w:val="00FF342C"/>
    <w:rsid w:val="00FF3556"/>
    <w:rsid w:val="00FF4706"/>
    <w:rsid w:val="00FF4D55"/>
    <w:rsid w:val="00FF4E38"/>
    <w:rsid w:val="00FF5851"/>
    <w:rsid w:val="00FF5EE6"/>
    <w:rsid w:val="00FF7367"/>
    <w:rsid w:val="00FF7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14:docId w14:val="229E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53D7"/>
    <w:rPr>
      <w:sz w:val="24"/>
      <w:szCs w:val="24"/>
      <w:lang w:val="en-US" w:eastAsia="en-US"/>
    </w:rPr>
  </w:style>
  <w:style w:type="paragraph" w:styleId="Heading1">
    <w:name w:val="heading 1"/>
    <w:basedOn w:val="Normal"/>
    <w:next w:val="Normal"/>
    <w:link w:val="Heading1Char"/>
    <w:qFormat/>
    <w:rsid w:val="00E24E60"/>
    <w:pPr>
      <w:keepNext/>
      <w:numPr>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1440"/>
      <w:outlineLvl w:val="0"/>
    </w:pPr>
    <w:rPr>
      <w:rFonts w:asciiTheme="majorHAnsi" w:eastAsia="Times New Roman" w:hAnsiTheme="majorHAnsi"/>
      <w:b/>
      <w:sz w:val="20"/>
      <w:szCs w:val="20"/>
      <w:bdr w:val="none" w:sz="0" w:space="0" w:color="auto"/>
      <w:lang w:val="es-ES_tradnl"/>
    </w:rPr>
  </w:style>
  <w:style w:type="paragraph" w:styleId="Heading2">
    <w:name w:val="heading 2"/>
    <w:basedOn w:val="Normal"/>
    <w:next w:val="Normal"/>
    <w:link w:val="Heading2Char"/>
    <w:qFormat/>
    <w:rsid w:val="00E24E60"/>
    <w:pPr>
      <w:keepNext/>
      <w:numPr>
        <w:ilvl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pPr>
    <w:rPr>
      <w:rFonts w:asciiTheme="majorHAnsi" w:eastAsia="Times New Roman" w:hAnsiTheme="majorHAnsi"/>
      <w:b/>
      <w:sz w:val="20"/>
      <w:szCs w:val="20"/>
      <w:bdr w:val="none" w:sz="0" w:space="0" w:color="auto"/>
      <w:lang w:val="es-ES_tradnl"/>
    </w:rPr>
  </w:style>
  <w:style w:type="paragraph" w:styleId="Heading3">
    <w:name w:val="heading 3"/>
    <w:basedOn w:val="Normal"/>
    <w:next w:val="Normal"/>
    <w:link w:val="Heading3Char"/>
    <w:unhideWhenUsed/>
    <w:qFormat/>
    <w:rsid w:val="004B31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B316C"/>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Arial" w:eastAsia="Times New Roman" w:hAnsi="Arial"/>
      <w:b/>
      <w:szCs w:val="20"/>
      <w:bdr w:val="none" w:sz="0" w:space="0" w:color="auto"/>
    </w:rPr>
  </w:style>
  <w:style w:type="paragraph" w:styleId="Heading5">
    <w:name w:val="heading 5"/>
    <w:basedOn w:val="Normal"/>
    <w:next w:val="Normal"/>
    <w:link w:val="Heading5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rPr>
  </w:style>
  <w:style w:type="paragraph" w:styleId="Heading6">
    <w:name w:val="heading 6"/>
    <w:basedOn w:val="Normal"/>
    <w:next w:val="Normal"/>
    <w:link w:val="Heading6Char"/>
    <w:uiPriority w:val="9"/>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rPr>
  </w:style>
  <w:style w:type="paragraph" w:styleId="Heading7">
    <w:name w:val="heading 7"/>
    <w:basedOn w:val="Normal"/>
    <w:next w:val="Normal"/>
    <w:link w:val="Heading7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rPr>
  </w:style>
  <w:style w:type="paragraph" w:styleId="Heading8">
    <w:name w:val="heading 8"/>
    <w:basedOn w:val="Normal"/>
    <w:next w:val="Normal"/>
    <w:link w:val="Heading8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Times New Roman" w:hAnsi="Arial"/>
      <w:i/>
      <w:sz w:val="20"/>
      <w:szCs w:val="20"/>
      <w:bdr w:val="none" w:sz="0" w:space="0" w:color="auto"/>
    </w:rPr>
  </w:style>
  <w:style w:type="paragraph" w:styleId="Heading9">
    <w:name w:val="heading 9"/>
    <w:basedOn w:val="Normal"/>
    <w:next w:val="Normal"/>
    <w:link w:val="Heading9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b/>
      <w:i/>
      <w:sz w:val="1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53D7"/>
    <w:rPr>
      <w:u w:val="single"/>
    </w:rPr>
  </w:style>
  <w:style w:type="paragraph" w:customStyle="1" w:styleId="Cabeceraypie">
    <w:name w:val="Cabecera y pie"/>
    <w:rsid w:val="007753D7"/>
    <w:pPr>
      <w:tabs>
        <w:tab w:val="right" w:pos="9020"/>
      </w:tabs>
    </w:pPr>
    <w:rPr>
      <w:rFonts w:ascii="Helvetica" w:hAnsi="Arial Unicode MS" w:cs="Arial Unicode MS"/>
      <w:color w:val="000000"/>
      <w:sz w:val="24"/>
      <w:szCs w:val="24"/>
    </w:rPr>
  </w:style>
  <w:style w:type="paragraph" w:styleId="Footer">
    <w:name w:val="footer"/>
    <w:link w:val="FooterChar"/>
    <w:rsid w:val="007753D7"/>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sid w:val="007753D7"/>
    <w:rPr>
      <w:rFonts w:ascii="Cambria" w:eastAsia="Cambria" w:hAnsi="Cambria" w:cs="Cambria"/>
      <w:color w:val="000000"/>
      <w:sz w:val="24"/>
      <w:szCs w:val="24"/>
      <w:u w:color="000000"/>
    </w:rPr>
  </w:style>
  <w:style w:type="paragraph" w:styleId="BodyTextIndent">
    <w:name w:val="Body Text Indent"/>
    <w:link w:val="BodyTextIndentChar"/>
    <w:rsid w:val="007753D7"/>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rsid w:val="007753D7"/>
    <w:pPr>
      <w:ind w:left="720"/>
    </w:pPr>
    <w:rPr>
      <w:rFonts w:ascii="Cambria" w:eastAsia="Cambria" w:hAnsi="Cambria" w:cs="Cambria"/>
      <w:color w:val="000000"/>
      <w:sz w:val="24"/>
      <w:szCs w:val="24"/>
      <w:u w:color="000000"/>
      <w:lang w:val="en-US"/>
    </w:rPr>
  </w:style>
  <w:style w:type="numbering" w:customStyle="1" w:styleId="List0">
    <w:name w:val="List 0"/>
    <w:basedOn w:val="Estiloimportado1"/>
    <w:rsid w:val="007753D7"/>
    <w:pPr>
      <w:numPr>
        <w:numId w:val="31"/>
      </w:numPr>
    </w:pPr>
  </w:style>
  <w:style w:type="numbering" w:customStyle="1" w:styleId="Estiloimportado1">
    <w:name w:val="Estilo importado 1"/>
    <w:rsid w:val="007753D7"/>
  </w:style>
  <w:style w:type="numbering" w:customStyle="1" w:styleId="List1">
    <w:name w:val="List 1"/>
    <w:basedOn w:val="Estiloimportado2"/>
    <w:rsid w:val="007753D7"/>
    <w:pPr>
      <w:numPr>
        <w:numId w:val="1"/>
      </w:numPr>
    </w:pPr>
  </w:style>
  <w:style w:type="numbering" w:customStyle="1" w:styleId="Estiloimportado2">
    <w:name w:val="Estilo importado 2"/>
    <w:rsid w:val="007753D7"/>
  </w:style>
  <w:style w:type="numbering" w:customStyle="1" w:styleId="List21">
    <w:name w:val="List 21"/>
    <w:basedOn w:val="Estiloimportado3"/>
    <w:rsid w:val="007753D7"/>
    <w:pPr>
      <w:numPr>
        <w:numId w:val="52"/>
      </w:numPr>
    </w:pPr>
  </w:style>
  <w:style w:type="numbering" w:customStyle="1" w:styleId="Estiloimportado3">
    <w:name w:val="Estilo importado 3"/>
    <w:rsid w:val="007753D7"/>
  </w:style>
  <w:style w:type="numbering" w:customStyle="1" w:styleId="List31">
    <w:name w:val="List 31"/>
    <w:basedOn w:val="Estiloimportado4"/>
    <w:rsid w:val="007753D7"/>
    <w:pPr>
      <w:numPr>
        <w:numId w:val="51"/>
      </w:numPr>
    </w:pPr>
  </w:style>
  <w:style w:type="numbering" w:customStyle="1" w:styleId="Estiloimportado4">
    <w:name w:val="Estilo importado 4"/>
    <w:rsid w:val="007753D7"/>
  </w:style>
  <w:style w:type="numbering" w:customStyle="1" w:styleId="List41">
    <w:name w:val="List 41"/>
    <w:basedOn w:val="Estiloimportado5"/>
    <w:rsid w:val="007753D7"/>
    <w:pPr>
      <w:numPr>
        <w:numId w:val="2"/>
      </w:numPr>
    </w:pPr>
  </w:style>
  <w:style w:type="numbering" w:customStyle="1" w:styleId="Estiloimportado5">
    <w:name w:val="Estilo importado 5"/>
    <w:rsid w:val="007753D7"/>
  </w:style>
  <w:style w:type="numbering" w:customStyle="1" w:styleId="List51">
    <w:name w:val="List 51"/>
    <w:basedOn w:val="Estiloimportado6"/>
    <w:rsid w:val="007753D7"/>
    <w:pPr>
      <w:numPr>
        <w:numId w:val="53"/>
      </w:numPr>
    </w:pPr>
  </w:style>
  <w:style w:type="numbering" w:customStyle="1" w:styleId="Estiloimportado6">
    <w:name w:val="Estilo importado 6"/>
    <w:rsid w:val="007753D7"/>
  </w:style>
  <w:style w:type="numbering" w:customStyle="1" w:styleId="List6">
    <w:name w:val="List 6"/>
    <w:basedOn w:val="Estiloimportado7"/>
    <w:rsid w:val="007753D7"/>
    <w:pPr>
      <w:numPr>
        <w:numId w:val="3"/>
      </w:numPr>
    </w:pPr>
  </w:style>
  <w:style w:type="numbering" w:customStyle="1" w:styleId="Estiloimportado7">
    <w:name w:val="Estilo importado 7"/>
    <w:rsid w:val="007753D7"/>
  </w:style>
  <w:style w:type="numbering" w:customStyle="1" w:styleId="List7">
    <w:name w:val="List 7"/>
    <w:basedOn w:val="Estiloimportado8"/>
    <w:rsid w:val="007753D7"/>
    <w:pPr>
      <w:numPr>
        <w:numId w:val="4"/>
      </w:numPr>
    </w:pPr>
  </w:style>
  <w:style w:type="numbering" w:customStyle="1" w:styleId="Estiloimportado8">
    <w:name w:val="Estilo importado 8"/>
    <w:rsid w:val="007753D7"/>
  </w:style>
  <w:style w:type="numbering" w:customStyle="1" w:styleId="List8">
    <w:name w:val="List 8"/>
    <w:basedOn w:val="Estiloimportado9"/>
    <w:rsid w:val="007753D7"/>
    <w:pPr>
      <w:numPr>
        <w:numId w:val="5"/>
      </w:numPr>
    </w:pPr>
  </w:style>
  <w:style w:type="numbering" w:customStyle="1" w:styleId="Estiloimportado9">
    <w:name w:val="Estilo importado 9"/>
    <w:rsid w:val="007753D7"/>
  </w:style>
  <w:style w:type="numbering" w:customStyle="1" w:styleId="List9">
    <w:name w:val="List 9"/>
    <w:basedOn w:val="Estiloimportado10"/>
    <w:rsid w:val="007753D7"/>
    <w:pPr>
      <w:numPr>
        <w:numId w:val="22"/>
      </w:numPr>
    </w:pPr>
  </w:style>
  <w:style w:type="numbering" w:customStyle="1" w:styleId="Estiloimportado10">
    <w:name w:val="Estilo importado 10"/>
    <w:rsid w:val="007753D7"/>
  </w:style>
  <w:style w:type="numbering" w:customStyle="1" w:styleId="List10">
    <w:name w:val="List 10"/>
    <w:basedOn w:val="Estiloimportado11"/>
    <w:rsid w:val="007753D7"/>
    <w:pPr>
      <w:numPr>
        <w:numId w:val="6"/>
      </w:numPr>
    </w:pPr>
  </w:style>
  <w:style w:type="numbering" w:customStyle="1" w:styleId="Estiloimportado11">
    <w:name w:val="Estilo importado 11"/>
    <w:rsid w:val="007753D7"/>
  </w:style>
  <w:style w:type="numbering" w:customStyle="1" w:styleId="List11">
    <w:name w:val="List 11"/>
    <w:basedOn w:val="Estiloimportado12"/>
    <w:rsid w:val="007753D7"/>
    <w:pPr>
      <w:numPr>
        <w:numId w:val="7"/>
      </w:numPr>
    </w:pPr>
  </w:style>
  <w:style w:type="numbering" w:customStyle="1" w:styleId="Estiloimportado12">
    <w:name w:val="Estilo importado 12"/>
    <w:rsid w:val="007753D7"/>
  </w:style>
  <w:style w:type="numbering" w:customStyle="1" w:styleId="List12">
    <w:name w:val="List 12"/>
    <w:basedOn w:val="Estiloimportado13"/>
    <w:rsid w:val="007753D7"/>
    <w:pPr>
      <w:numPr>
        <w:numId w:val="36"/>
      </w:numPr>
    </w:pPr>
  </w:style>
  <w:style w:type="numbering" w:customStyle="1" w:styleId="Estiloimportado13">
    <w:name w:val="Estilo importado 13"/>
    <w:rsid w:val="007753D7"/>
  </w:style>
  <w:style w:type="numbering" w:customStyle="1" w:styleId="List13">
    <w:name w:val="List 13"/>
    <w:basedOn w:val="Estiloimportado14"/>
    <w:rsid w:val="007753D7"/>
    <w:pPr>
      <w:numPr>
        <w:numId w:val="42"/>
      </w:numPr>
    </w:pPr>
  </w:style>
  <w:style w:type="numbering" w:customStyle="1" w:styleId="Estiloimportado14">
    <w:name w:val="Estilo importado 14"/>
    <w:rsid w:val="007753D7"/>
  </w:style>
  <w:style w:type="numbering" w:customStyle="1" w:styleId="List14">
    <w:name w:val="List 14"/>
    <w:basedOn w:val="Estiloimportado15"/>
    <w:rsid w:val="007753D7"/>
    <w:pPr>
      <w:numPr>
        <w:numId w:val="17"/>
      </w:numPr>
    </w:pPr>
  </w:style>
  <w:style w:type="numbering" w:customStyle="1" w:styleId="Estiloimportado15">
    <w:name w:val="Estilo importado 15"/>
    <w:rsid w:val="007753D7"/>
  </w:style>
  <w:style w:type="numbering" w:customStyle="1" w:styleId="List15">
    <w:name w:val="List 15"/>
    <w:basedOn w:val="Estiloimportado16"/>
    <w:rsid w:val="007753D7"/>
    <w:pPr>
      <w:numPr>
        <w:numId w:val="16"/>
      </w:numPr>
    </w:pPr>
  </w:style>
  <w:style w:type="numbering" w:customStyle="1" w:styleId="Estiloimportado16">
    <w:name w:val="Estilo importado 16"/>
    <w:rsid w:val="007753D7"/>
  </w:style>
  <w:style w:type="numbering" w:customStyle="1" w:styleId="List16">
    <w:name w:val="List 16"/>
    <w:basedOn w:val="Estiloimportado16"/>
    <w:rsid w:val="007753D7"/>
    <w:pPr>
      <w:numPr>
        <w:numId w:val="10"/>
      </w:numPr>
    </w:pPr>
  </w:style>
  <w:style w:type="numbering" w:customStyle="1" w:styleId="List17">
    <w:name w:val="List 17"/>
    <w:basedOn w:val="Estiloimportado17"/>
    <w:rsid w:val="007753D7"/>
    <w:pPr>
      <w:numPr>
        <w:numId w:val="25"/>
      </w:numPr>
    </w:pPr>
  </w:style>
  <w:style w:type="numbering" w:customStyle="1" w:styleId="Estiloimportado17">
    <w:name w:val="Estilo importado 17"/>
    <w:rsid w:val="007753D7"/>
  </w:style>
  <w:style w:type="numbering" w:customStyle="1" w:styleId="List18">
    <w:name w:val="List 18"/>
    <w:basedOn w:val="Estiloimportado18"/>
    <w:rsid w:val="007753D7"/>
    <w:pPr>
      <w:numPr>
        <w:numId w:val="27"/>
      </w:numPr>
    </w:pPr>
  </w:style>
  <w:style w:type="numbering" w:customStyle="1" w:styleId="Estiloimportado18">
    <w:name w:val="Estilo importado 18"/>
    <w:rsid w:val="007753D7"/>
  </w:style>
  <w:style w:type="numbering" w:customStyle="1" w:styleId="List19">
    <w:name w:val="List 19"/>
    <w:basedOn w:val="Estiloimportado10"/>
    <w:rsid w:val="007753D7"/>
    <w:pPr>
      <w:numPr>
        <w:numId w:val="19"/>
      </w:numPr>
    </w:pPr>
  </w:style>
  <w:style w:type="numbering" w:customStyle="1" w:styleId="List20">
    <w:name w:val="List 20"/>
    <w:basedOn w:val="Estiloimportado12"/>
    <w:rsid w:val="007753D7"/>
    <w:pPr>
      <w:numPr>
        <w:numId w:val="43"/>
      </w:numPr>
    </w:pPr>
  </w:style>
  <w:style w:type="numbering" w:customStyle="1" w:styleId="List211">
    <w:name w:val="List 211"/>
    <w:basedOn w:val="Estiloimportado19"/>
    <w:rsid w:val="007753D7"/>
    <w:pPr>
      <w:numPr>
        <w:numId w:val="38"/>
      </w:numPr>
    </w:pPr>
  </w:style>
  <w:style w:type="numbering" w:customStyle="1" w:styleId="Estiloimportado19">
    <w:name w:val="Estilo importado 19"/>
    <w:rsid w:val="007753D7"/>
  </w:style>
  <w:style w:type="numbering" w:customStyle="1" w:styleId="List22">
    <w:name w:val="List 22"/>
    <w:basedOn w:val="Estiloimportado19"/>
    <w:rsid w:val="007753D7"/>
    <w:pPr>
      <w:numPr>
        <w:numId w:val="28"/>
      </w:numPr>
    </w:pPr>
  </w:style>
  <w:style w:type="numbering" w:customStyle="1" w:styleId="List23">
    <w:name w:val="List 23"/>
    <w:basedOn w:val="Estiloimportado19"/>
    <w:rsid w:val="007753D7"/>
    <w:pPr>
      <w:numPr>
        <w:numId w:val="18"/>
      </w:numPr>
    </w:pPr>
  </w:style>
  <w:style w:type="numbering" w:customStyle="1" w:styleId="List24">
    <w:name w:val="List 24"/>
    <w:basedOn w:val="Estiloimportado20"/>
    <w:rsid w:val="007753D7"/>
    <w:pPr>
      <w:numPr>
        <w:numId w:val="13"/>
      </w:numPr>
    </w:pPr>
  </w:style>
  <w:style w:type="numbering" w:customStyle="1" w:styleId="Estiloimportado20">
    <w:name w:val="Estilo importado 20"/>
    <w:rsid w:val="007753D7"/>
  </w:style>
  <w:style w:type="numbering" w:customStyle="1" w:styleId="List25">
    <w:name w:val="List 25"/>
    <w:basedOn w:val="Estiloimportado21"/>
    <w:rsid w:val="007753D7"/>
    <w:pPr>
      <w:numPr>
        <w:numId w:val="15"/>
      </w:numPr>
    </w:pPr>
  </w:style>
  <w:style w:type="numbering" w:customStyle="1" w:styleId="Estiloimportado21">
    <w:name w:val="Estilo importado 21"/>
    <w:rsid w:val="007753D7"/>
  </w:style>
  <w:style w:type="numbering" w:customStyle="1" w:styleId="List26">
    <w:name w:val="List 26"/>
    <w:basedOn w:val="Estiloimportado22"/>
    <w:rsid w:val="007753D7"/>
    <w:pPr>
      <w:numPr>
        <w:numId w:val="49"/>
      </w:numPr>
    </w:pPr>
  </w:style>
  <w:style w:type="numbering" w:customStyle="1" w:styleId="Estiloimportado22">
    <w:name w:val="Estilo importado 22"/>
    <w:rsid w:val="007753D7"/>
  </w:style>
  <w:style w:type="numbering" w:customStyle="1" w:styleId="List27">
    <w:name w:val="List 27"/>
    <w:basedOn w:val="Estiloimportado23"/>
    <w:rsid w:val="007753D7"/>
    <w:pPr>
      <w:numPr>
        <w:numId w:val="41"/>
      </w:numPr>
    </w:pPr>
  </w:style>
  <w:style w:type="numbering" w:customStyle="1" w:styleId="Estiloimportado23">
    <w:name w:val="Estilo importado 23"/>
    <w:rsid w:val="007753D7"/>
  </w:style>
  <w:style w:type="numbering" w:customStyle="1" w:styleId="List28">
    <w:name w:val="List 28"/>
    <w:basedOn w:val="Estiloimportado24"/>
    <w:rsid w:val="007753D7"/>
    <w:pPr>
      <w:numPr>
        <w:numId w:val="30"/>
      </w:numPr>
    </w:pPr>
  </w:style>
  <w:style w:type="numbering" w:customStyle="1" w:styleId="Estiloimportado24">
    <w:name w:val="Estilo importado 24"/>
    <w:rsid w:val="007753D7"/>
  </w:style>
  <w:style w:type="numbering" w:customStyle="1" w:styleId="List29">
    <w:name w:val="List 29"/>
    <w:basedOn w:val="Estiloimportado25"/>
    <w:rsid w:val="007753D7"/>
    <w:pPr>
      <w:numPr>
        <w:numId w:val="34"/>
      </w:numPr>
    </w:pPr>
  </w:style>
  <w:style w:type="numbering" w:customStyle="1" w:styleId="Estiloimportado25">
    <w:name w:val="Estilo importado 25"/>
    <w:rsid w:val="007753D7"/>
  </w:style>
  <w:style w:type="numbering" w:customStyle="1" w:styleId="List30">
    <w:name w:val="List 30"/>
    <w:basedOn w:val="Estiloimportado26"/>
    <w:rsid w:val="007753D7"/>
    <w:pPr>
      <w:numPr>
        <w:numId w:val="32"/>
      </w:numPr>
    </w:pPr>
  </w:style>
  <w:style w:type="numbering" w:customStyle="1" w:styleId="Estiloimportado26">
    <w:name w:val="Estilo importado 26"/>
    <w:rsid w:val="007753D7"/>
  </w:style>
  <w:style w:type="numbering" w:customStyle="1" w:styleId="List311">
    <w:name w:val="List 311"/>
    <w:basedOn w:val="Estiloimportado27"/>
    <w:rsid w:val="007753D7"/>
    <w:pPr>
      <w:numPr>
        <w:numId w:val="45"/>
      </w:numPr>
    </w:pPr>
  </w:style>
  <w:style w:type="numbering" w:customStyle="1" w:styleId="Estiloimportado27">
    <w:name w:val="Estilo importado 27"/>
    <w:rsid w:val="007753D7"/>
  </w:style>
  <w:style w:type="numbering" w:customStyle="1" w:styleId="List32">
    <w:name w:val="List 32"/>
    <w:basedOn w:val="Estiloimportado28"/>
    <w:rsid w:val="007753D7"/>
    <w:pPr>
      <w:numPr>
        <w:numId w:val="48"/>
      </w:numPr>
    </w:pPr>
  </w:style>
  <w:style w:type="numbering" w:customStyle="1" w:styleId="Estiloimportado28">
    <w:name w:val="Estilo importado 28"/>
    <w:rsid w:val="007753D7"/>
  </w:style>
  <w:style w:type="paragraph" w:styleId="FootnoteText">
    <w:name w:val="footnote text"/>
    <w:aliases w:val="Footnote Text Char Char Char Char Char,Footnote Text Char Char Char Char,FA Fu,Footnote reference,Footnote Text Char Char Char,FA Fußnotentext,FA Fuﬂnotentext,Texto nota pie Car,Footnote Text Cha,Footnote Text Char Char,footnote text,Ca,ft"/>
    <w:link w:val="FootnoteTextChar"/>
    <w:qFormat/>
    <w:rsid w:val="007753D7"/>
    <w:rPr>
      <w:rFonts w:ascii="Calibri" w:eastAsia="Calibri" w:hAnsi="Calibri" w:cs="Calibri"/>
      <w:color w:val="000000"/>
      <w:u w:color="000000"/>
      <w:lang w:val="en-US"/>
    </w:rPr>
  </w:style>
  <w:style w:type="numbering" w:customStyle="1" w:styleId="List33">
    <w:name w:val="List 33"/>
    <w:basedOn w:val="Estiloimportado29"/>
    <w:rsid w:val="007753D7"/>
    <w:pPr>
      <w:numPr>
        <w:numId w:val="26"/>
      </w:numPr>
    </w:pPr>
  </w:style>
  <w:style w:type="numbering" w:customStyle="1" w:styleId="Estiloimportado29">
    <w:name w:val="Estilo importado 29"/>
    <w:rsid w:val="007753D7"/>
  </w:style>
  <w:style w:type="numbering" w:customStyle="1" w:styleId="List34">
    <w:name w:val="List 34"/>
    <w:basedOn w:val="Estiloimportado30"/>
    <w:rsid w:val="007753D7"/>
    <w:pPr>
      <w:numPr>
        <w:numId w:val="11"/>
      </w:numPr>
    </w:pPr>
  </w:style>
  <w:style w:type="numbering" w:customStyle="1" w:styleId="Estiloimportado30">
    <w:name w:val="Estilo importado 30"/>
    <w:rsid w:val="007753D7"/>
  </w:style>
  <w:style w:type="numbering" w:customStyle="1" w:styleId="List35">
    <w:name w:val="List 35"/>
    <w:basedOn w:val="Estiloimportado31"/>
    <w:rsid w:val="007753D7"/>
    <w:pPr>
      <w:numPr>
        <w:numId w:val="8"/>
      </w:numPr>
    </w:pPr>
  </w:style>
  <w:style w:type="numbering" w:customStyle="1" w:styleId="Estiloimportado31">
    <w:name w:val="Estilo importado 31"/>
    <w:rsid w:val="007753D7"/>
  </w:style>
  <w:style w:type="numbering" w:customStyle="1" w:styleId="List36">
    <w:name w:val="List 36"/>
    <w:basedOn w:val="Estiloimportado32"/>
    <w:rsid w:val="007753D7"/>
    <w:pPr>
      <w:numPr>
        <w:numId w:val="14"/>
      </w:numPr>
    </w:pPr>
  </w:style>
  <w:style w:type="numbering" w:customStyle="1" w:styleId="Estiloimportado32">
    <w:name w:val="Estilo importado 32"/>
    <w:rsid w:val="007753D7"/>
  </w:style>
  <w:style w:type="numbering" w:customStyle="1" w:styleId="List37">
    <w:name w:val="List 37"/>
    <w:basedOn w:val="Estiloimportado33"/>
    <w:rsid w:val="007753D7"/>
    <w:pPr>
      <w:numPr>
        <w:numId w:val="47"/>
      </w:numPr>
    </w:pPr>
  </w:style>
  <w:style w:type="numbering" w:customStyle="1" w:styleId="Estiloimportado33">
    <w:name w:val="Estilo importado 33"/>
    <w:rsid w:val="007753D7"/>
  </w:style>
  <w:style w:type="numbering" w:customStyle="1" w:styleId="List38">
    <w:name w:val="List 38"/>
    <w:basedOn w:val="Estiloimportado34"/>
    <w:rsid w:val="007753D7"/>
    <w:pPr>
      <w:numPr>
        <w:numId w:val="35"/>
      </w:numPr>
    </w:pPr>
  </w:style>
  <w:style w:type="numbering" w:customStyle="1" w:styleId="Estiloimportado34">
    <w:name w:val="Estilo importado 34"/>
    <w:rsid w:val="007753D7"/>
  </w:style>
  <w:style w:type="numbering" w:customStyle="1" w:styleId="List39">
    <w:name w:val="List 39"/>
    <w:basedOn w:val="Estiloimportado35"/>
    <w:rsid w:val="007753D7"/>
    <w:pPr>
      <w:numPr>
        <w:numId w:val="46"/>
      </w:numPr>
    </w:pPr>
  </w:style>
  <w:style w:type="numbering" w:customStyle="1" w:styleId="Estiloimportado35">
    <w:name w:val="Estilo importado 35"/>
    <w:rsid w:val="007753D7"/>
  </w:style>
  <w:style w:type="numbering" w:customStyle="1" w:styleId="List40">
    <w:name w:val="List 40"/>
    <w:basedOn w:val="Estiloimportado36"/>
    <w:rsid w:val="007753D7"/>
    <w:pPr>
      <w:numPr>
        <w:numId w:val="21"/>
      </w:numPr>
    </w:pPr>
  </w:style>
  <w:style w:type="numbering" w:customStyle="1" w:styleId="Estiloimportado36">
    <w:name w:val="Estilo importado 36"/>
    <w:rsid w:val="007753D7"/>
  </w:style>
  <w:style w:type="numbering" w:customStyle="1" w:styleId="List411">
    <w:name w:val="List 411"/>
    <w:basedOn w:val="Estiloimportado37"/>
    <w:rsid w:val="007753D7"/>
    <w:pPr>
      <w:numPr>
        <w:numId w:val="44"/>
      </w:numPr>
    </w:pPr>
  </w:style>
  <w:style w:type="numbering" w:customStyle="1" w:styleId="Estiloimportado37">
    <w:name w:val="Estilo importado 37"/>
    <w:rsid w:val="007753D7"/>
  </w:style>
  <w:style w:type="numbering" w:customStyle="1" w:styleId="List42">
    <w:name w:val="List 42"/>
    <w:basedOn w:val="Estiloimportado12"/>
    <w:rsid w:val="007753D7"/>
    <w:pPr>
      <w:numPr>
        <w:numId w:val="12"/>
      </w:numPr>
    </w:pPr>
  </w:style>
  <w:style w:type="numbering" w:customStyle="1" w:styleId="List43">
    <w:name w:val="List 43"/>
    <w:basedOn w:val="Estiloimportado38"/>
    <w:rsid w:val="007753D7"/>
    <w:pPr>
      <w:numPr>
        <w:numId w:val="23"/>
      </w:numPr>
    </w:pPr>
  </w:style>
  <w:style w:type="numbering" w:customStyle="1" w:styleId="Estiloimportado38">
    <w:name w:val="Estilo importado 38"/>
    <w:rsid w:val="007753D7"/>
  </w:style>
  <w:style w:type="numbering" w:customStyle="1" w:styleId="List44">
    <w:name w:val="List 44"/>
    <w:basedOn w:val="Estiloimportado39"/>
    <w:rsid w:val="007753D7"/>
    <w:pPr>
      <w:numPr>
        <w:numId w:val="40"/>
      </w:numPr>
    </w:pPr>
  </w:style>
  <w:style w:type="numbering" w:customStyle="1" w:styleId="Estiloimportado39">
    <w:name w:val="Estilo importado 39"/>
    <w:rsid w:val="007753D7"/>
  </w:style>
  <w:style w:type="numbering" w:customStyle="1" w:styleId="List45">
    <w:name w:val="List 45"/>
    <w:basedOn w:val="Estiloimportado40"/>
    <w:rsid w:val="007753D7"/>
    <w:pPr>
      <w:numPr>
        <w:numId w:val="20"/>
      </w:numPr>
    </w:pPr>
  </w:style>
  <w:style w:type="numbering" w:customStyle="1" w:styleId="Estiloimportado40">
    <w:name w:val="Estilo importado 40"/>
    <w:rsid w:val="007753D7"/>
  </w:style>
  <w:style w:type="numbering" w:customStyle="1" w:styleId="List46">
    <w:name w:val="List 46"/>
    <w:basedOn w:val="Estiloimportado41"/>
    <w:rsid w:val="007753D7"/>
    <w:pPr>
      <w:numPr>
        <w:numId w:val="24"/>
      </w:numPr>
    </w:pPr>
  </w:style>
  <w:style w:type="numbering" w:customStyle="1" w:styleId="Estiloimportado41">
    <w:name w:val="Estilo importado 41"/>
    <w:rsid w:val="007753D7"/>
  </w:style>
  <w:style w:type="numbering" w:customStyle="1" w:styleId="List47">
    <w:name w:val="List 47"/>
    <w:basedOn w:val="Estiloimportado42"/>
    <w:rsid w:val="007753D7"/>
    <w:pPr>
      <w:numPr>
        <w:numId w:val="29"/>
      </w:numPr>
    </w:pPr>
  </w:style>
  <w:style w:type="numbering" w:customStyle="1" w:styleId="Estiloimportado42">
    <w:name w:val="Estilo importado 42"/>
    <w:rsid w:val="007753D7"/>
  </w:style>
  <w:style w:type="numbering" w:customStyle="1" w:styleId="List48">
    <w:name w:val="List 48"/>
    <w:basedOn w:val="Estiloimportado43"/>
    <w:rsid w:val="007753D7"/>
    <w:pPr>
      <w:numPr>
        <w:numId w:val="50"/>
      </w:numPr>
    </w:pPr>
  </w:style>
  <w:style w:type="numbering" w:customStyle="1" w:styleId="Estiloimportado43">
    <w:name w:val="Estilo importado 43"/>
    <w:rsid w:val="007753D7"/>
  </w:style>
  <w:style w:type="numbering" w:customStyle="1" w:styleId="List49">
    <w:name w:val="List 49"/>
    <w:basedOn w:val="Estiloimportado44"/>
    <w:rsid w:val="007753D7"/>
    <w:pPr>
      <w:numPr>
        <w:numId w:val="39"/>
      </w:numPr>
    </w:pPr>
  </w:style>
  <w:style w:type="numbering" w:customStyle="1" w:styleId="Estiloimportado44">
    <w:name w:val="Estilo importado 44"/>
    <w:rsid w:val="007753D7"/>
  </w:style>
  <w:style w:type="numbering" w:customStyle="1" w:styleId="List50">
    <w:name w:val="List 50"/>
    <w:basedOn w:val="Estiloimportado45"/>
    <w:rsid w:val="007753D7"/>
    <w:pPr>
      <w:numPr>
        <w:numId w:val="37"/>
      </w:numPr>
    </w:pPr>
  </w:style>
  <w:style w:type="numbering" w:customStyle="1" w:styleId="Estiloimportado45">
    <w:name w:val="Estilo importado 45"/>
    <w:rsid w:val="007753D7"/>
  </w:style>
  <w:style w:type="numbering" w:customStyle="1" w:styleId="List511">
    <w:name w:val="List 511"/>
    <w:basedOn w:val="Estiloimportado46"/>
    <w:rsid w:val="007753D7"/>
    <w:pPr>
      <w:numPr>
        <w:numId w:val="33"/>
      </w:numPr>
    </w:pPr>
  </w:style>
  <w:style w:type="numbering" w:customStyle="1" w:styleId="Estiloimportado46">
    <w:name w:val="Estilo importado 46"/>
    <w:rsid w:val="007753D7"/>
  </w:style>
  <w:style w:type="numbering" w:customStyle="1" w:styleId="List52">
    <w:name w:val="List 52"/>
    <w:basedOn w:val="Estiloimportado1"/>
    <w:rsid w:val="007753D7"/>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E24E60"/>
    <w:rPr>
      <w:rFonts w:asciiTheme="majorHAnsi" w:eastAsia="Times New Roman" w:hAnsiTheme="majorHAnsi"/>
      <w:b/>
      <w:bdr w:val="none" w:sz="0" w:space="0" w:color="auto"/>
      <w:lang w:val="es-ES_tradnl"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qFormat/>
    <w:rsid w:val="00835223"/>
    <w:pPr>
      <w:tabs>
        <w:tab w:val="left" w:pos="1440"/>
        <w:tab w:val="right" w:leader="dot" w:pos="9360"/>
      </w:tabs>
      <w:spacing w:after="100"/>
    </w:pPr>
    <w:rPr>
      <w:rFonts w:asciiTheme="minorHAnsi" w:hAnsiTheme="minorHAnsi"/>
      <w:sz w:val="22"/>
    </w:rPr>
  </w:style>
  <w:style w:type="paragraph" w:styleId="TOC3">
    <w:name w:val="toc 3"/>
    <w:basedOn w:val="Normal"/>
    <w:next w:val="Normal"/>
    <w:autoRedefine/>
    <w:uiPriority w:val="39"/>
    <w:unhideWhenUsed/>
    <w:qFormat/>
    <w:rsid w:val="005C4225"/>
    <w:pPr>
      <w:tabs>
        <w:tab w:val="left" w:pos="880"/>
        <w:tab w:val="right" w:leader="dot" w:pos="9350"/>
      </w:tabs>
      <w:spacing w:after="100"/>
      <w:ind w:left="2160" w:hanging="720"/>
    </w:pPr>
  </w:style>
  <w:style w:type="paragraph" w:styleId="TOC4">
    <w:name w:val="toc 4"/>
    <w:basedOn w:val="Normal"/>
    <w:next w:val="Normal"/>
    <w:autoRedefine/>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rsid w:val="00A50FCF"/>
    <w:rPr>
      <w:rFonts w:ascii="Cambria" w:eastAsia="Cambria" w:hAnsi="Cambria" w:cs="Cambria"/>
      <w:color w:val="000000"/>
      <w:sz w:val="24"/>
      <w:szCs w:val="24"/>
      <w:u w:color="000000"/>
      <w:lang w:val="en-US"/>
    </w:rPr>
  </w:style>
  <w:style w:type="character" w:customStyle="1" w:styleId="Heading3Char">
    <w:name w:val="Heading 3 Char"/>
    <w:basedOn w:val="DefaultParagraphFont"/>
    <w:link w:val="Heading3"/>
    <w:rsid w:val="004B316C"/>
    <w:rPr>
      <w:rFonts w:asciiTheme="majorHAnsi" w:eastAsiaTheme="majorEastAsia" w:hAnsiTheme="majorHAnsi" w:cstheme="majorBidi"/>
      <w:b/>
      <w:bCs/>
      <w:color w:val="4F81BD" w:themeColor="accent1"/>
      <w:sz w:val="24"/>
      <w:szCs w:val="24"/>
      <w:lang w:val="en-US" w:eastAsia="en-US"/>
    </w:rPr>
  </w:style>
  <w:style w:type="character" w:customStyle="1" w:styleId="Heading2Char">
    <w:name w:val="Heading 2 Char"/>
    <w:basedOn w:val="DefaultParagraphFont"/>
    <w:link w:val="Heading2"/>
    <w:rsid w:val="00E24E60"/>
    <w:rPr>
      <w:rFonts w:asciiTheme="majorHAnsi" w:eastAsia="Times New Roman" w:hAnsiTheme="majorHAnsi"/>
      <w:b/>
      <w:bdr w:val="none" w:sz="0" w:space="0" w:color="auto"/>
      <w:lang w:val="es-ES_tradnl" w:eastAsia="en-US"/>
    </w:rPr>
  </w:style>
  <w:style w:type="character" w:customStyle="1" w:styleId="Heading4Char">
    <w:name w:val="Heading 4 Char"/>
    <w:basedOn w:val="DefaultParagraphFont"/>
    <w:link w:val="Heading4"/>
    <w:rsid w:val="004B316C"/>
    <w:rPr>
      <w:rFonts w:ascii="Arial" w:eastAsia="Times New Roman" w:hAnsi="Arial"/>
      <w:b/>
      <w:sz w:val="24"/>
      <w:bdr w:val="none" w:sz="0" w:space="0" w:color="auto"/>
      <w:lang w:val="en-US" w:eastAsia="en-US"/>
    </w:rPr>
  </w:style>
  <w:style w:type="character" w:customStyle="1" w:styleId="Heading5Char">
    <w:name w:val="Heading 5 Char"/>
    <w:basedOn w:val="DefaultParagraphFont"/>
    <w:link w:val="Heading5"/>
    <w:rsid w:val="004B316C"/>
    <w:rPr>
      <w:rFonts w:eastAsia="Times New Roman"/>
      <w:sz w:val="22"/>
      <w:bdr w:val="none" w:sz="0" w:space="0" w:color="auto"/>
      <w:lang w:val="en-US" w:eastAsia="en-US"/>
    </w:rPr>
  </w:style>
  <w:style w:type="character" w:customStyle="1" w:styleId="Heading6Char">
    <w:name w:val="Heading 6 Char"/>
    <w:basedOn w:val="DefaultParagraphFont"/>
    <w:link w:val="Heading6"/>
    <w:rsid w:val="004B316C"/>
    <w:rPr>
      <w:rFonts w:eastAsia="Times New Roman"/>
      <w:i/>
      <w:sz w:val="22"/>
      <w:bdr w:val="none" w:sz="0" w:space="0" w:color="auto"/>
      <w:lang w:val="en-US" w:eastAsia="en-US"/>
    </w:rPr>
  </w:style>
  <w:style w:type="character" w:customStyle="1" w:styleId="Heading7Char">
    <w:name w:val="Heading 7 Char"/>
    <w:basedOn w:val="DefaultParagraphFont"/>
    <w:link w:val="Heading7"/>
    <w:rsid w:val="004B316C"/>
    <w:rPr>
      <w:rFonts w:ascii="Arial" w:eastAsia="Times New Roman" w:hAnsi="Arial"/>
      <w:bdr w:val="none" w:sz="0" w:space="0" w:color="auto"/>
      <w:lang w:val="en-US" w:eastAsia="en-US"/>
    </w:rPr>
  </w:style>
  <w:style w:type="character" w:customStyle="1" w:styleId="Heading8Char">
    <w:name w:val="Heading 8 Char"/>
    <w:basedOn w:val="DefaultParagraphFont"/>
    <w:link w:val="Heading8"/>
    <w:rsid w:val="004B316C"/>
    <w:rPr>
      <w:rFonts w:ascii="Arial" w:eastAsia="Times New Roman" w:hAnsi="Arial"/>
      <w:i/>
      <w:bdr w:val="none" w:sz="0" w:space="0" w:color="auto"/>
      <w:lang w:val="en-US" w:eastAsia="en-US"/>
    </w:rPr>
  </w:style>
  <w:style w:type="character" w:customStyle="1" w:styleId="Heading9Char">
    <w:name w:val="Heading 9 Char"/>
    <w:basedOn w:val="DefaultParagraphFont"/>
    <w:link w:val="Heading9"/>
    <w:rsid w:val="004B316C"/>
    <w:rPr>
      <w:rFonts w:ascii="Arial" w:eastAsia="Times New Roman" w:hAnsi="Arial"/>
      <w:b/>
      <w:i/>
      <w:sz w:val="18"/>
      <w:bdr w:val="none" w:sz="0" w:space="0" w:color="auto"/>
      <w:lang w:val="en-US" w:eastAsia="en-US"/>
    </w:rPr>
  </w:style>
  <w:style w:type="numbering" w:customStyle="1" w:styleId="NoList1">
    <w:name w:val="No List1"/>
    <w:next w:val="NoList"/>
    <w:semiHidden/>
    <w:unhideWhenUsed/>
    <w:rsid w:val="004B316C"/>
  </w:style>
  <w:style w:type="character" w:customStyle="1" w:styleId="BodyTextIndentChar">
    <w:name w:val="Body Text Indent Char"/>
    <w:basedOn w:val="DefaultParagraphFont"/>
    <w:link w:val="BodyTextIndent"/>
    <w:rsid w:val="004B316C"/>
    <w:rPr>
      <w:rFonts w:eastAsia="Times New Roman"/>
      <w:color w:val="000000"/>
      <w:sz w:val="24"/>
      <w:szCs w:val="24"/>
      <w:u w:color="000000"/>
      <w:lang w:val="es-ES_tradnl"/>
    </w:rPr>
  </w:style>
  <w:style w:type="character" w:customStyle="1" w:styleId="FootnoteTextChar">
    <w:name w:val="Footnote Text Char"/>
    <w:aliases w:val="Footnote Text Char Char Char Char Char Char,Footnote Text Char Char Char Char Char1,FA Fu Char,Footnote reference Char,Footnote Text Char Char Char Char1,FA Fußnotentext Char,FA Fuﬂnotentext Char,Texto nota pie Car Char,Ca Char"/>
    <w:basedOn w:val="DefaultParagraphFont"/>
    <w:link w:val="FootnoteText"/>
    <w:uiPriority w:val="99"/>
    <w:rsid w:val="004B316C"/>
    <w:rPr>
      <w:rFonts w:ascii="Calibri" w:eastAsia="Calibri" w:hAnsi="Calibri" w:cs="Calibri"/>
      <w:color w:val="000000"/>
      <w:u w:color="000000"/>
      <w:lang w:val="en-US"/>
    </w:rPr>
  </w:style>
  <w:style w:type="character" w:styleId="FootnoteReference">
    <w:name w:val="footnote reference"/>
    <w:aliases w:val="Footnotes refss,Texto de nota al pie,Appel note de bas de page,Footnote number,referencia nota al pie,BVI fnr,f,Ref. de nota al pie.,Footnote symbol,Footnote,4_G,16 Point,Superscript 6 Point,Texto nota al pie,Ref. de nota al pi,Ref,R"/>
    <w:uiPriority w:val="99"/>
    <w:qFormat/>
    <w:rsid w:val="004B316C"/>
    <w:rPr>
      <w:rFonts w:ascii="Verdana" w:hAnsi="Verdana"/>
      <w:sz w:val="22"/>
      <w:vertAlign w:val="superscript"/>
    </w:rPr>
  </w:style>
  <w:style w:type="character" w:customStyle="1" w:styleId="Style">
    <w:name w:val="Style"/>
    <w:rsid w:val="004B316C"/>
    <w:rPr>
      <w:rFonts w:ascii="Times New Roman" w:hAnsi="Times New Roman"/>
      <w:sz w:val="22"/>
      <w:vertAlign w:val="superscript"/>
    </w:rPr>
  </w:style>
  <w:style w:type="paragraph" w:customStyle="1" w:styleId="Style1">
    <w:name w:val="Style1"/>
    <w:basedOn w:val="FootnoteText"/>
    <w:autoRedefine/>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Univers" w:eastAsia="Times New Roman" w:hAnsi="Univers" w:cs="Times New Roman"/>
      <w:color w:val="auto"/>
      <w:sz w:val="16"/>
      <w:szCs w:val="16"/>
      <w:bdr w:val="none" w:sz="0" w:space="0" w:color="auto"/>
      <w:lang w:val="es-PY" w:eastAsia="en-US"/>
    </w:rPr>
  </w:style>
  <w:style w:type="paragraph" w:customStyle="1" w:styleId="Style10">
    <w:name w:val="Style 1"/>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408" w:lineRule="atLeast"/>
      <w:jc w:val="both"/>
    </w:pPr>
    <w:rPr>
      <w:rFonts w:eastAsia="Times New Roman"/>
      <w:bdr w:val="none" w:sz="0" w:space="0" w:color="auto"/>
    </w:rPr>
  </w:style>
  <w:style w:type="paragraph" w:customStyle="1" w:styleId="Style4">
    <w:name w:val="Style 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408" w:lineRule="atLeast"/>
      <w:jc w:val="both"/>
    </w:pPr>
    <w:rPr>
      <w:rFonts w:eastAsia="Times New Roman"/>
      <w:bdr w:val="none" w:sz="0" w:space="0" w:color="auto"/>
    </w:rPr>
  </w:style>
  <w:style w:type="paragraph" w:customStyle="1" w:styleId="Style31">
    <w:name w:val="Style 3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3204" w:line="1116" w:lineRule="exact"/>
      <w:jc w:val="center"/>
    </w:pPr>
    <w:rPr>
      <w:rFonts w:eastAsia="Times New Roman"/>
      <w:bdr w:val="none" w:sz="0" w:space="0" w:color="auto"/>
    </w:rPr>
  </w:style>
  <w:style w:type="paragraph" w:customStyle="1" w:styleId="Style36">
    <w:name w:val="Style 3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right="72"/>
      <w:jc w:val="both"/>
    </w:pPr>
    <w:rPr>
      <w:rFonts w:eastAsia="Times New Roman"/>
      <w:bdr w:val="none" w:sz="0" w:space="0" w:color="auto"/>
    </w:rPr>
  </w:style>
  <w:style w:type="paragraph" w:customStyle="1" w:styleId="Style11">
    <w:name w:val="Style 1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jc w:val="both"/>
    </w:pPr>
    <w:rPr>
      <w:rFonts w:eastAsia="Times New Roman"/>
      <w:bdr w:val="none" w:sz="0" w:space="0" w:color="auto"/>
    </w:rPr>
  </w:style>
  <w:style w:type="paragraph" w:customStyle="1" w:styleId="Style14">
    <w:name w:val="Style 1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left="504" w:right="72" w:hanging="504"/>
      <w:jc w:val="both"/>
    </w:pPr>
    <w:rPr>
      <w:rFonts w:eastAsia="Times New Roman"/>
      <w:bdr w:val="none" w:sz="0" w:space="0" w:color="auto"/>
    </w:rPr>
  </w:style>
  <w:style w:type="paragraph" w:customStyle="1" w:styleId="Style27">
    <w:name w:val="Style 2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360" w:lineRule="auto"/>
      <w:ind w:left="360" w:hanging="360"/>
      <w:jc w:val="both"/>
    </w:pPr>
    <w:rPr>
      <w:rFonts w:eastAsia="Times New Roman"/>
      <w:bdr w:val="none" w:sz="0" w:space="0" w:color="auto"/>
    </w:rPr>
  </w:style>
  <w:style w:type="paragraph" w:customStyle="1" w:styleId="Style16">
    <w:name w:val="Style 1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60" w:hanging="360"/>
      <w:jc w:val="both"/>
    </w:pPr>
    <w:rPr>
      <w:rFonts w:eastAsia="Times New Roman"/>
      <w:bdr w:val="none" w:sz="0" w:space="0" w:color="auto"/>
    </w:rPr>
  </w:style>
  <w:style w:type="paragraph" w:customStyle="1" w:styleId="Style17">
    <w:name w:val="Style 1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9">
    <w:name w:val="Style 1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504" w:right="72" w:hanging="504"/>
      <w:jc w:val="both"/>
    </w:pPr>
    <w:rPr>
      <w:rFonts w:eastAsia="Times New Roman"/>
      <w:bdr w:val="none" w:sz="0" w:space="0" w:color="auto"/>
    </w:rPr>
  </w:style>
  <w:style w:type="paragraph" w:customStyle="1" w:styleId="Style21">
    <w:name w:val="Style 2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jc w:val="both"/>
    </w:pPr>
    <w:rPr>
      <w:rFonts w:eastAsia="Times New Roman"/>
      <w:bdr w:val="none" w:sz="0" w:space="0" w:color="auto"/>
    </w:rPr>
  </w:style>
  <w:style w:type="paragraph" w:customStyle="1" w:styleId="Style22">
    <w:name w:val="Style 2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pPr>
    <w:rPr>
      <w:rFonts w:eastAsia="Times New Roman"/>
      <w:bdr w:val="none" w:sz="0" w:space="0" w:color="auto"/>
    </w:rPr>
  </w:style>
  <w:style w:type="paragraph" w:customStyle="1" w:styleId="Style24">
    <w:name w:val="Style 2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left="504" w:right="72" w:hanging="504"/>
      <w:jc w:val="both"/>
    </w:pPr>
    <w:rPr>
      <w:rFonts w:eastAsia="Times New Roman"/>
      <w:bdr w:val="none" w:sz="0" w:space="0" w:color="auto"/>
    </w:rPr>
  </w:style>
  <w:style w:type="paragraph" w:styleId="DocumentMap">
    <w:name w:val="Document Map"/>
    <w:basedOn w:val="Normal"/>
    <w:link w:val="DocumentMapChar"/>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rPr>
  </w:style>
  <w:style w:type="character" w:customStyle="1" w:styleId="DocumentMapChar">
    <w:name w:val="Document Map Char"/>
    <w:basedOn w:val="DefaultParagraphFont"/>
    <w:link w:val="DocumentMap"/>
    <w:semiHidden/>
    <w:rsid w:val="004B316C"/>
    <w:rPr>
      <w:rFonts w:ascii="Tahoma" w:eastAsia="Times New Roman" w:hAnsi="Tahoma" w:cs="Tahoma"/>
      <w:bdr w:val="none" w:sz="0" w:space="0" w:color="auto"/>
      <w:shd w:val="clear" w:color="auto" w:fill="000080"/>
      <w:lang w:val="en-US" w:eastAsia="en-US"/>
    </w:rPr>
  </w:style>
  <w:style w:type="paragraph" w:styleId="BodyText">
    <w:name w:val="Body Text"/>
    <w:aliases w:val="Body Text Char Car Car Car Car Car Car Car Car Car Car Car Car Car,Body Text Char Car Car Car Car Car Car Car Car Car Car Car Car"/>
    <w:basedOn w:val="Normal"/>
    <w:link w:val="BodyText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20"/>
      <w:szCs w:val="20"/>
      <w:bdr w:val="none" w:sz="0" w:space="0" w:color="auto"/>
    </w:rPr>
  </w:style>
  <w:style w:type="character" w:customStyle="1" w:styleId="BodyTextChar">
    <w:name w:val="Body Text Char"/>
    <w:aliases w:val="Body Text Char Car Car Car Car Car Car Car Car Car Car Car Car Car Char1,Body Text Char Car Car Car Car Car Car Car Car Car Car Car Car Char1"/>
    <w:basedOn w:val="DefaultParagraphFont"/>
    <w:link w:val="BodyText"/>
    <w:rsid w:val="004B316C"/>
    <w:rPr>
      <w:rFonts w:eastAsia="Times New Roman"/>
      <w:bdr w:val="none" w:sz="0" w:space="0" w:color="auto"/>
      <w:lang w:val="en-US" w:eastAsia="en-US"/>
    </w:rPr>
  </w:style>
  <w:style w:type="paragraph" w:customStyle="1" w:styleId="Style6">
    <w:name w:val="Style 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jc w:val="both"/>
    </w:pPr>
    <w:rPr>
      <w:rFonts w:eastAsia="Times New Roman"/>
      <w:bdr w:val="none" w:sz="0" w:space="0" w:color="auto"/>
    </w:rPr>
  </w:style>
  <w:style w:type="paragraph" w:customStyle="1" w:styleId="Style29">
    <w:name w:val="Style 2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right="72"/>
      <w:jc w:val="both"/>
    </w:pPr>
    <w:rPr>
      <w:rFonts w:eastAsia="Times New Roman"/>
      <w:bdr w:val="none" w:sz="0" w:space="0" w:color="auto"/>
    </w:rPr>
  </w:style>
  <w:style w:type="paragraph" w:customStyle="1" w:styleId="Style28">
    <w:name w:val="Style 2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left="72"/>
      <w:jc w:val="both"/>
    </w:pPr>
    <w:rPr>
      <w:rFonts w:eastAsia="Times New Roman"/>
      <w:bdr w:val="none" w:sz="0" w:space="0" w:color="auto"/>
    </w:rPr>
  </w:style>
  <w:style w:type="paragraph" w:customStyle="1" w:styleId="Style26">
    <w:name w:val="Style 2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00">
    <w:name w:val="Style 1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jc w:val="both"/>
    </w:pPr>
    <w:rPr>
      <w:rFonts w:eastAsia="Times New Roman"/>
      <w:bdr w:val="none" w:sz="0" w:space="0" w:color="auto"/>
    </w:rPr>
  </w:style>
  <w:style w:type="paragraph" w:customStyle="1" w:styleId="Style12">
    <w:name w:val="Style 1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3">
    <w:name w:val="Style 13"/>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2" w:firstLine="72"/>
      <w:jc w:val="both"/>
    </w:pPr>
    <w:rPr>
      <w:rFonts w:eastAsia="Times New Roman"/>
      <w:bdr w:val="none" w:sz="0" w:space="0" w:color="auto"/>
    </w:rPr>
  </w:style>
  <w:style w:type="paragraph" w:customStyle="1" w:styleId="Style2">
    <w:name w:val="Style 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5">
    <w:name w:val="Style 1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648" w:right="72"/>
    </w:pPr>
    <w:rPr>
      <w:rFonts w:eastAsia="Times New Roman"/>
      <w:bdr w:val="none" w:sz="0" w:space="0" w:color="auto"/>
    </w:rPr>
  </w:style>
  <w:style w:type="paragraph" w:customStyle="1" w:styleId="Style25">
    <w:name w:val="Style 2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8">
    <w:name w:val="Style 1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20">
    <w:name w:val="Style 2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pPr>
    <w:rPr>
      <w:rFonts w:eastAsia="Times New Roman"/>
      <w:bdr w:val="none" w:sz="0" w:space="0" w:color="auto"/>
    </w:rPr>
  </w:style>
  <w:style w:type="table" w:styleId="TableGrid">
    <w:name w:val="Table Grid"/>
    <w:basedOn w:val="TableNormal"/>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1,Normal (Web) Char Char,Normal (Web) Char1 Char,Normal (Web) Char Char Char"/>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uiPriority w:val="22"/>
    <w:qFormat/>
    <w:rsid w:val="004B316C"/>
    <w:rPr>
      <w:b/>
      <w:bCs/>
    </w:rPr>
  </w:style>
  <w:style w:type="character" w:customStyle="1" w:styleId="Heading1CharCharCharCharCharChar">
    <w:name w:val="Heading 1 Char Char Char Char Char Char"/>
    <w:rsid w:val="004B316C"/>
    <w:rPr>
      <w:rFonts w:ascii="Univers" w:hAnsi="Univers" w:cs="Arial"/>
      <w:kern w:val="36"/>
      <w:sz w:val="22"/>
      <w:szCs w:val="22"/>
      <w:lang w:val="en-US" w:eastAsia="en-US" w:bidi="ar-SA"/>
    </w:rPr>
  </w:style>
  <w:style w:type="paragraph" w:styleId="BodyTextIndent2">
    <w:name w:val="Body Text Indent 2"/>
    <w:basedOn w:val="Normal"/>
    <w:link w:val="BodyTextIndent2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sz w:val="20"/>
      <w:szCs w:val="20"/>
      <w:bdr w:val="none" w:sz="0" w:space="0" w:color="auto"/>
    </w:rPr>
  </w:style>
  <w:style w:type="character" w:customStyle="1" w:styleId="BodyTextIndent2Char">
    <w:name w:val="Body Text Indent 2 Char"/>
    <w:basedOn w:val="DefaultParagraphFont"/>
    <w:link w:val="BodyTextIndent2"/>
    <w:rsid w:val="004B316C"/>
    <w:rPr>
      <w:rFonts w:eastAsia="Times New Roman"/>
      <w:bdr w:val="none" w:sz="0" w:space="0" w:color="auto"/>
      <w:lang w:val="en-US" w:eastAsia="en-US"/>
    </w:rPr>
  </w:style>
  <w:style w:type="paragraph" w:customStyle="1" w:styleId="Default">
    <w:name w:val="Default"/>
    <w:link w:val="DefaultChar"/>
    <w:rsid w:val="004B31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ju-005fpara--char">
    <w:name w:val="ju-005fpara--char"/>
    <w:basedOn w:val="DefaultParagraphFont"/>
    <w:rsid w:val="004B316C"/>
  </w:style>
  <w:style w:type="paragraph" w:customStyle="1" w:styleId="Sinespaciado1">
    <w:name w:val="Sin espaciado1"/>
    <w:qFormat/>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normal--char">
    <w:name w:val="normal--char"/>
    <w:basedOn w:val="DefaultParagraphFont"/>
    <w:rsid w:val="004B316C"/>
  </w:style>
  <w:style w:type="paragraph" w:styleId="Title">
    <w:name w:val="Title"/>
    <w:basedOn w:val="Normal"/>
    <w:link w:val="Title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b/>
      <w:sz w:val="22"/>
      <w:szCs w:val="20"/>
      <w:bdr w:val="none" w:sz="0" w:space="0" w:color="auto"/>
      <w:lang w:val="es-ES"/>
    </w:rPr>
  </w:style>
  <w:style w:type="character" w:customStyle="1" w:styleId="TitleChar">
    <w:name w:val="Title Char"/>
    <w:basedOn w:val="DefaultParagraphFont"/>
    <w:link w:val="Title"/>
    <w:rsid w:val="004B316C"/>
    <w:rPr>
      <w:rFonts w:ascii="Univers" w:eastAsia="Times New Roman" w:hAnsi="Univers"/>
      <w:b/>
      <w:sz w:val="22"/>
      <w:bdr w:val="none" w:sz="0" w:space="0" w:color="auto"/>
      <w:lang w:eastAsia="en-US"/>
    </w:rPr>
  </w:style>
  <w:style w:type="character" w:customStyle="1" w:styleId="antetitulo1">
    <w:name w:val="antetitulo1"/>
    <w:rsid w:val="004B316C"/>
    <w:rPr>
      <w:rFonts w:ascii="Verdana" w:hAnsi="Verdana"/>
      <w:b w:val="0"/>
      <w:bCs w:val="0"/>
      <w:strike w:val="0"/>
      <w:dstrike w:val="0"/>
      <w:color w:val="CC0000"/>
      <w:sz w:val="15"/>
      <w:szCs w:val="15"/>
      <w:u w:val="none"/>
      <w:effect w:val="none"/>
    </w:rPr>
  </w:style>
  <w:style w:type="character" w:customStyle="1" w:styleId="ju-005fcase-0020char--char">
    <w:name w:val="ju-005fcase-0020char--char"/>
    <w:basedOn w:val="DefaultParagraphFont"/>
    <w:rsid w:val="004B316C"/>
  </w:style>
  <w:style w:type="paragraph" w:customStyle="1" w:styleId="Blockquote">
    <w:name w:val="Blockquote"/>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Times New Roman"/>
      <w:snapToGrid w:val="0"/>
      <w:szCs w:val="20"/>
      <w:bdr w:val="none" w:sz="0" w:space="0" w:color="auto"/>
    </w:rPr>
  </w:style>
  <w:style w:type="paragraph" w:styleId="TOC5">
    <w:name w:val="toc 5"/>
    <w:basedOn w:val="Normal"/>
    <w:next w:val="Normal"/>
    <w:autoRedefine/>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ind w:left="800"/>
    </w:pPr>
    <w:rPr>
      <w:rFonts w:eastAsia="Times New Roman"/>
      <w:sz w:val="20"/>
      <w:szCs w:val="20"/>
      <w:bdr w:val="none" w:sz="0" w:space="0" w:color="auto"/>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semiHidden/>
    <w:locked/>
    <w:rsid w:val="004B316C"/>
    <w:rPr>
      <w:rFonts w:cs="Times New Roman"/>
      <w:lang w:val="es-ES_tradnl" w:eastAsia="en-US" w:bidi="ar-SA"/>
    </w:rPr>
  </w:style>
  <w:style w:type="paragraph" w:customStyle="1" w:styleId="Car">
    <w:name w:val="Car"/>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Times New Roman"/>
      <w:noProof/>
      <w:color w:val="000000"/>
      <w:sz w:val="20"/>
      <w:szCs w:val="20"/>
      <w:bdr w:val="none" w:sz="0" w:space="0" w:color="auto"/>
      <w:lang w:val="es-CO" w:eastAsia="es-ES"/>
    </w:rPr>
  </w:style>
  <w:style w:type="paragraph" w:customStyle="1" w:styleId="Prrafonumerado">
    <w:name w:val="Párrafo numerado"/>
    <w:basedOn w:val="Normal"/>
    <w:autoRedefine/>
    <w:rsid w:val="004B316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60"/>
      <w:jc w:val="both"/>
    </w:pPr>
    <w:rPr>
      <w:rFonts w:ascii="Univers" w:eastAsia="Times New Roman" w:hAnsi="Univers"/>
      <w:sz w:val="18"/>
      <w:szCs w:val="18"/>
      <w:bdr w:val="none" w:sz="0" w:space="0" w:color="auto"/>
      <w:lang w:val="es-CO" w:eastAsia="es-ES"/>
    </w:rPr>
  </w:style>
  <w:style w:type="paragraph" w:styleId="BodyText3">
    <w:name w:val="Body Text 3"/>
    <w:basedOn w:val="Normal"/>
    <w:link w:val="BodyTex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4B316C"/>
    <w:rPr>
      <w:rFonts w:eastAsia="Times New Roman"/>
      <w:sz w:val="16"/>
      <w:szCs w:val="16"/>
      <w:bdr w:val="none" w:sz="0" w:space="0" w:color="auto"/>
      <w:lang w:val="en-US" w:eastAsia="en-US"/>
    </w:rPr>
  </w:style>
  <w:style w:type="paragraph" w:styleId="BodyTextIndent3">
    <w:name w:val="Body Text Indent 3"/>
    <w:basedOn w:val="Normal"/>
    <w:link w:val="BodyTextInden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rPr>
  </w:style>
  <w:style w:type="character" w:customStyle="1" w:styleId="BodyTextIndent3Char">
    <w:name w:val="Body Text Indent 3 Char"/>
    <w:basedOn w:val="DefaultParagraphFont"/>
    <w:link w:val="BodyTextIndent3"/>
    <w:rsid w:val="004B316C"/>
    <w:rPr>
      <w:rFonts w:eastAsia="Times New Roman"/>
      <w:sz w:val="16"/>
      <w:szCs w:val="16"/>
      <w:bdr w:val="none" w:sz="0" w:space="0" w:color="auto"/>
      <w:lang w:val="en-US" w:eastAsia="en-US"/>
    </w:rPr>
  </w:style>
  <w:style w:type="character" w:customStyle="1" w:styleId="FootnoteCharacters">
    <w:name w:val="Footnote Characters"/>
    <w:rsid w:val="004B316C"/>
    <w:rPr>
      <w:vertAlign w:val="superscript"/>
    </w:rPr>
  </w:style>
  <w:style w:type="character" w:customStyle="1" w:styleId="WW-FootnoteCharacters">
    <w:name w:val="WW-Footnote Characters"/>
    <w:rsid w:val="004B316C"/>
    <w:rPr>
      <w:rFonts w:ascii="Universal" w:hAnsi="Universal"/>
      <w:sz w:val="16"/>
      <w:vertAlign w:val="superscript"/>
    </w:rPr>
  </w:style>
  <w:style w:type="character" w:customStyle="1" w:styleId="textonavy1">
    <w:name w:val="texto_navy1"/>
    <w:rsid w:val="004B316C"/>
    <w:rPr>
      <w:color w:val="000080"/>
    </w:rPr>
  </w:style>
  <w:style w:type="paragraph" w:customStyle="1" w:styleId="Style3">
    <w:name w:val="Style 3"/>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pPr>
    <w:rPr>
      <w:rFonts w:eastAsia="Times New Roman"/>
      <w:bdr w:val="none" w:sz="0" w:space="0" w:color="auto"/>
    </w:rPr>
  </w:style>
  <w:style w:type="paragraph" w:customStyle="1" w:styleId="Style5">
    <w:name w:val="Style 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360" w:lineRule="auto"/>
      <w:jc w:val="both"/>
    </w:pPr>
    <w:rPr>
      <w:rFonts w:eastAsia="Times New Roman"/>
      <w:bdr w:val="none" w:sz="0" w:space="0" w:color="auto"/>
    </w:rPr>
  </w:style>
  <w:style w:type="paragraph" w:customStyle="1" w:styleId="Style7">
    <w:name w:val="Style 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right="72"/>
      <w:jc w:val="both"/>
    </w:pPr>
    <w:rPr>
      <w:rFonts w:eastAsia="Times New Roman"/>
      <w:bdr w:val="none" w:sz="0" w:space="0" w:color="auto"/>
    </w:rPr>
  </w:style>
  <w:style w:type="character" w:styleId="Emphasis">
    <w:name w:val="Emphasis"/>
    <w:qFormat/>
    <w:rsid w:val="004B316C"/>
    <w:rPr>
      <w:i/>
      <w:iCs/>
    </w:rPr>
  </w:style>
  <w:style w:type="character" w:styleId="CommentReference">
    <w:name w:val="annotation reference"/>
    <w:semiHidden/>
    <w:rsid w:val="004B316C"/>
    <w:rPr>
      <w:sz w:val="16"/>
      <w:szCs w:val="16"/>
    </w:rPr>
  </w:style>
  <w:style w:type="paragraph" w:styleId="CommentText">
    <w:name w:val="annotation text"/>
    <w:basedOn w:val="Normal"/>
    <w:link w:val="CommentTextChar"/>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semiHidden/>
    <w:rsid w:val="004B316C"/>
    <w:rPr>
      <w:rFonts w:eastAsia="Times New Roman"/>
      <w:bdr w:val="none" w:sz="0" w:space="0" w:color="auto"/>
      <w:lang w:val="en-US" w:eastAsia="en-US"/>
    </w:rPr>
  </w:style>
  <w:style w:type="character" w:customStyle="1" w:styleId="st1">
    <w:name w:val="st1"/>
    <w:basedOn w:val="DefaultParagraphFont"/>
    <w:rsid w:val="006F34E3"/>
  </w:style>
  <w:style w:type="paragraph" w:styleId="BodyText2">
    <w:name w:val="Body Text 2"/>
    <w:basedOn w:val="Normal"/>
    <w:link w:val="BodyText2Char"/>
    <w:unhideWhenUsed/>
    <w:rsid w:val="005F74FD"/>
    <w:pPr>
      <w:spacing w:after="120" w:line="480" w:lineRule="auto"/>
    </w:pPr>
  </w:style>
  <w:style w:type="character" w:customStyle="1" w:styleId="BodyText2Char">
    <w:name w:val="Body Text 2 Char"/>
    <w:basedOn w:val="DefaultParagraphFont"/>
    <w:link w:val="BodyText2"/>
    <w:semiHidden/>
    <w:rsid w:val="005F74FD"/>
    <w:rPr>
      <w:sz w:val="24"/>
      <w:szCs w:val="24"/>
      <w:lang w:val="en-US" w:eastAsia="en-US"/>
    </w:rPr>
  </w:style>
  <w:style w:type="paragraph" w:styleId="PlainText">
    <w:name w:val="Plain Text"/>
    <w:basedOn w:val="Normal"/>
    <w:link w:val="PlainTextChar"/>
    <w:uiPriority w:val="99"/>
    <w:unhideWhenUsed/>
    <w:rsid w:val="006D5ED9"/>
    <w:rPr>
      <w:rFonts w:ascii="Consolas" w:hAnsi="Consolas" w:cs="Consolas"/>
      <w:sz w:val="21"/>
      <w:szCs w:val="21"/>
    </w:rPr>
  </w:style>
  <w:style w:type="character" w:customStyle="1" w:styleId="PlainTextChar">
    <w:name w:val="Plain Text Char"/>
    <w:basedOn w:val="DefaultParagraphFont"/>
    <w:link w:val="PlainText"/>
    <w:uiPriority w:val="99"/>
    <w:semiHidden/>
    <w:rsid w:val="006D5ED9"/>
    <w:rPr>
      <w:rFonts w:ascii="Consolas" w:hAnsi="Consolas" w:cs="Consolas"/>
      <w:sz w:val="21"/>
      <w:szCs w:val="21"/>
      <w:lang w:val="en-US" w:eastAsia="en-US"/>
    </w:rPr>
  </w:style>
  <w:style w:type="character" w:customStyle="1" w:styleId="ListParagraphChar">
    <w:name w:val="List Paragraph Char"/>
    <w:link w:val="ListParagraph"/>
    <w:uiPriority w:val="34"/>
    <w:locked/>
    <w:rsid w:val="00AA09B7"/>
    <w:rPr>
      <w:rFonts w:ascii="Cambria" w:eastAsia="Cambria" w:hAnsi="Cambria" w:cs="Cambria"/>
      <w:color w:val="000000"/>
      <w:sz w:val="24"/>
      <w:szCs w:val="24"/>
      <w:u w:color="000000"/>
      <w:lang w:val="en-US"/>
    </w:rPr>
  </w:style>
  <w:style w:type="character" w:customStyle="1" w:styleId="BodyTextChar1">
    <w:name w:val="Body Text Char1"/>
    <w:aliases w:val="Body Text Char Char,Body Text Char Car Car Car Car Car Car Car Car Car Car Car Car Car Char,Body Text Char Car Car Car Car Car Car Car Car Car Car Car Car Char"/>
    <w:semiHidden/>
    <w:locked/>
    <w:rsid w:val="00E40449"/>
    <w:rPr>
      <w:rFonts w:ascii="Univers" w:eastAsia="Batang" w:hAnsi="Univers"/>
      <w:spacing w:val="-2"/>
      <w:sz w:val="22"/>
      <w:lang w:val="es-ES_tradnl" w:eastAsia="en-US" w:bidi="ar-SA"/>
    </w:rPr>
  </w:style>
  <w:style w:type="character" w:customStyle="1" w:styleId="FootnoteTextChar2">
    <w:name w:val="Footnote Text Char2"/>
    <w:aliases w:val="Footnote Text Char Char Char Char Char Char2,Footnote Text Char Char Char Char Char11,Footnote reference Char2,FA Fu Char2,Footnote Text Char Char Char Char11,Footnote Text Cha Char2,FA Fußnotentext Char2,FA Fuﬂnotentext Char2,f Cha"/>
    <w:semiHidden/>
    <w:locked/>
    <w:rsid w:val="00E40449"/>
    <w:rPr>
      <w:rFonts w:ascii="Univers" w:hAnsi="Univers" w:cs="Times New Roman"/>
      <w:lang w:val="es-ES_tradnl" w:eastAsia="x-none"/>
    </w:rPr>
  </w:style>
  <w:style w:type="paragraph" w:styleId="Subtitle">
    <w:name w:val="Subtitle"/>
    <w:basedOn w:val="Normal"/>
    <w:link w:val="SubtitleChar"/>
    <w:qFormat/>
    <w:rsid w:val="00E40449"/>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Batang" w:hAnsi="Arial" w:cs="Arial"/>
      <w:bdr w:val="none" w:sz="0" w:space="0" w:color="auto"/>
      <w:lang w:val="es-ES_tradnl"/>
    </w:rPr>
  </w:style>
  <w:style w:type="character" w:customStyle="1" w:styleId="SubtitleChar">
    <w:name w:val="Subtitle Char"/>
    <w:basedOn w:val="DefaultParagraphFont"/>
    <w:link w:val="Subtitle"/>
    <w:rsid w:val="00E40449"/>
    <w:rPr>
      <w:rFonts w:ascii="Arial" w:eastAsia="Batang" w:hAnsi="Arial" w:cs="Arial"/>
      <w:sz w:val="24"/>
      <w:szCs w:val="24"/>
      <w:bdr w:val="none" w:sz="0" w:space="0" w:color="auto"/>
      <w:lang w:val="es-ES_tradnl" w:eastAsia="en-US"/>
    </w:rPr>
  </w:style>
  <w:style w:type="paragraph" w:styleId="List2">
    <w:name w:val="List 2"/>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Batang" w:hAnsi="Univers"/>
      <w:sz w:val="22"/>
      <w:szCs w:val="20"/>
      <w:bdr w:val="none" w:sz="0" w:space="0" w:color="auto"/>
      <w:lang w:val="es-ES_tradnl"/>
    </w:rPr>
  </w:style>
  <w:style w:type="character" w:customStyle="1" w:styleId="NormalWebChar">
    <w:name w:val="Normal (Web) Char"/>
    <w:aliases w:val="Normal (Web) Char1 Char1,Normal (Web) Char Char Char1,Normal (Web) Char1 Char Char,Normal (Web) Char Char Char Char"/>
    <w:rsid w:val="00E40449"/>
    <w:rPr>
      <w:sz w:val="24"/>
      <w:lang w:val="en-US" w:eastAsia="en-US"/>
    </w:rPr>
  </w:style>
  <w:style w:type="paragraph" w:styleId="BlockText">
    <w:name w:val="Block Text"/>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ascii="Univers" w:eastAsia="Batang" w:hAnsi="Univers"/>
      <w:sz w:val="18"/>
      <w:szCs w:val="20"/>
      <w:bdr w:val="none" w:sz="0" w:space="0" w:color="auto"/>
      <w:lang w:val="es-ES_tradnl"/>
    </w:rPr>
  </w:style>
  <w:style w:type="paragraph" w:styleId="List3">
    <w:name w:val="List 3"/>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1080" w:hanging="360"/>
    </w:pPr>
    <w:rPr>
      <w:rFonts w:ascii="Univers" w:eastAsia="Batang" w:hAnsi="Univers"/>
      <w:sz w:val="22"/>
      <w:szCs w:val="20"/>
      <w:bdr w:val="none" w:sz="0" w:space="0" w:color="auto"/>
      <w:lang w:val="es-ES_tradnl"/>
    </w:rPr>
  </w:style>
  <w:style w:type="paragraph" w:customStyle="1" w:styleId="Sangradetindependiente">
    <w:name w:val="SangrÌa de t. independiente"/>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Batang" w:hAnsi="Garamond"/>
      <w:szCs w:val="20"/>
      <w:bdr w:val="none" w:sz="0" w:space="0" w:color="auto"/>
      <w:lang w:val="es-ES_tradnl" w:eastAsia="ar-SA"/>
    </w:rPr>
  </w:style>
  <w:style w:type="character" w:styleId="FollowedHyperlink">
    <w:name w:val="FollowedHyperlink"/>
    <w:rsid w:val="00E40449"/>
    <w:rPr>
      <w:rFonts w:cs="Times New Roman"/>
      <w:color w:val="800080"/>
      <w:u w:val="single"/>
    </w:rPr>
  </w:style>
  <w:style w:type="character" w:customStyle="1" w:styleId="ifinal011">
    <w:name w:val="ifinal011"/>
    <w:rsid w:val="00E40449"/>
    <w:rPr>
      <w:rFonts w:ascii="Verdana" w:hAnsi="Verdana"/>
      <w:color w:val="003399"/>
      <w:sz w:val="12"/>
    </w:rPr>
  </w:style>
  <w:style w:type="paragraph" w:customStyle="1" w:styleId="PlaceholderText1">
    <w:name w:val="Placeholder Text1"/>
    <w:basedOn w:val="Normal"/>
    <w:rsid w:val="00E40449"/>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0"/>
      </w:tabs>
      <w:outlineLvl w:val="0"/>
    </w:pPr>
    <w:rPr>
      <w:rFonts w:ascii="Verdana" w:eastAsia="MS Gothic" w:hAnsi="Verdana"/>
      <w:sz w:val="20"/>
      <w:bdr w:val="none" w:sz="0" w:space="0" w:color="auto"/>
      <w:lang w:val="es-ES_tradnl"/>
    </w:rPr>
  </w:style>
  <w:style w:type="paragraph" w:styleId="NoSpacing">
    <w:name w:val="No Spacing"/>
    <w:basedOn w:val="Normal"/>
    <w:uiPriority w:val="1"/>
    <w:qFormat/>
    <w:rsid w:val="00E40449"/>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720"/>
      </w:tabs>
      <w:ind w:left="1080" w:hanging="360"/>
      <w:outlineLvl w:val="1"/>
    </w:pPr>
    <w:rPr>
      <w:rFonts w:ascii="Verdana" w:eastAsia="MS Gothic" w:hAnsi="Verdana"/>
      <w:sz w:val="20"/>
      <w:bdr w:val="none" w:sz="0" w:space="0" w:color="auto"/>
      <w:lang w:val="es-ES_tradnl"/>
    </w:rPr>
  </w:style>
  <w:style w:type="paragraph" w:customStyle="1" w:styleId="LightShading1">
    <w:name w:val="Light Shading1"/>
    <w:basedOn w:val="Normal"/>
    <w:rsid w:val="00E40449"/>
    <w:pPr>
      <w:keepNext/>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ind w:left="1800"/>
      <w:outlineLvl w:val="2"/>
    </w:pPr>
    <w:rPr>
      <w:rFonts w:ascii="Verdana" w:eastAsia="MS Gothic" w:hAnsi="Verdana"/>
      <w:sz w:val="20"/>
      <w:bdr w:val="none" w:sz="0" w:space="0" w:color="auto"/>
      <w:lang w:val="es-ES_tradnl"/>
    </w:rPr>
  </w:style>
  <w:style w:type="paragraph" w:customStyle="1" w:styleId="LightList1">
    <w:name w:val="Light List1"/>
    <w:basedOn w:val="Normal"/>
    <w:rsid w:val="00E40449"/>
    <w:pPr>
      <w:keepNext/>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160"/>
      </w:tabs>
      <w:ind w:left="2520"/>
      <w:outlineLvl w:val="3"/>
    </w:pPr>
    <w:rPr>
      <w:rFonts w:ascii="Verdana" w:eastAsia="MS Gothic" w:hAnsi="Verdana"/>
      <w:sz w:val="20"/>
      <w:bdr w:val="none" w:sz="0" w:space="0" w:color="auto"/>
      <w:lang w:val="es-ES_tradnl"/>
    </w:rPr>
  </w:style>
  <w:style w:type="paragraph" w:customStyle="1" w:styleId="LightGrid1">
    <w:name w:val="Light Grid1"/>
    <w:basedOn w:val="Normal"/>
    <w:rsid w:val="00E40449"/>
    <w:pPr>
      <w:keepNext/>
      <w:numPr>
        <w:ilvl w:val="3"/>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2880"/>
      </w:tabs>
      <w:ind w:left="3240"/>
      <w:outlineLvl w:val="4"/>
    </w:pPr>
    <w:rPr>
      <w:rFonts w:ascii="Verdana" w:eastAsia="MS Gothic" w:hAnsi="Verdana"/>
      <w:sz w:val="20"/>
      <w:bdr w:val="none" w:sz="0" w:space="0" w:color="auto"/>
      <w:lang w:val="es-ES_tradnl"/>
    </w:rPr>
  </w:style>
  <w:style w:type="paragraph" w:customStyle="1" w:styleId="MediumShading11">
    <w:name w:val="Medium Shading 11"/>
    <w:basedOn w:val="Normal"/>
    <w:rsid w:val="00E40449"/>
    <w:pPr>
      <w:keepNext/>
      <w:numPr>
        <w:ilvl w:val="4"/>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3600"/>
      </w:tabs>
      <w:ind w:left="3960"/>
      <w:outlineLvl w:val="5"/>
    </w:pPr>
    <w:rPr>
      <w:rFonts w:ascii="Verdana" w:eastAsia="MS Gothic" w:hAnsi="Verdana"/>
      <w:sz w:val="20"/>
      <w:bdr w:val="none" w:sz="0" w:space="0" w:color="auto"/>
      <w:lang w:val="es-ES_tradnl"/>
    </w:rPr>
  </w:style>
  <w:style w:type="paragraph" w:customStyle="1" w:styleId="MediumShading21">
    <w:name w:val="Medium Shading 21"/>
    <w:basedOn w:val="Normal"/>
    <w:rsid w:val="00E40449"/>
    <w:pPr>
      <w:keepNext/>
      <w:numPr>
        <w:ilvl w:val="5"/>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3600"/>
        <w:tab w:val="num" w:pos="4320"/>
      </w:tabs>
      <w:ind w:left="4680"/>
      <w:outlineLvl w:val="6"/>
    </w:pPr>
    <w:rPr>
      <w:rFonts w:ascii="Verdana" w:eastAsia="MS Gothic" w:hAnsi="Verdana"/>
      <w:sz w:val="20"/>
      <w:bdr w:val="none" w:sz="0" w:space="0" w:color="auto"/>
      <w:lang w:val="es-ES_tradnl"/>
    </w:rPr>
  </w:style>
  <w:style w:type="paragraph" w:customStyle="1" w:styleId="MediumList11">
    <w:name w:val="Medium List 11"/>
    <w:basedOn w:val="Normal"/>
    <w:rsid w:val="00E40449"/>
    <w:pPr>
      <w:keepNext/>
      <w:numPr>
        <w:ilvl w:val="6"/>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5040"/>
      </w:tabs>
      <w:ind w:left="5400"/>
      <w:outlineLvl w:val="7"/>
    </w:pPr>
    <w:rPr>
      <w:rFonts w:ascii="Verdana" w:eastAsia="MS Gothic" w:hAnsi="Verdana"/>
      <w:sz w:val="20"/>
      <w:bdr w:val="none" w:sz="0" w:space="0" w:color="auto"/>
      <w:lang w:val="es-ES_tradnl"/>
    </w:rPr>
  </w:style>
  <w:style w:type="paragraph" w:customStyle="1" w:styleId="MediumList21">
    <w:name w:val="Medium List 21"/>
    <w:basedOn w:val="Normal"/>
    <w:rsid w:val="00E40449"/>
    <w:pPr>
      <w:keepNext/>
      <w:numPr>
        <w:ilvl w:val="7"/>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040"/>
        <w:tab w:val="num" w:pos="5760"/>
      </w:tabs>
      <w:ind w:left="6120"/>
      <w:outlineLvl w:val="8"/>
    </w:pPr>
    <w:rPr>
      <w:rFonts w:ascii="Verdana" w:eastAsia="MS Gothic" w:hAnsi="Verdana"/>
      <w:sz w:val="20"/>
      <w:bdr w:val="none" w:sz="0" w:space="0" w:color="auto"/>
      <w:lang w:val="es-ES_tradnl"/>
    </w:rPr>
  </w:style>
  <w:style w:type="paragraph" w:customStyle="1" w:styleId="Estilo5">
    <w:name w:val="Estilo5"/>
    <w:basedOn w:val="Heading1"/>
    <w:next w:val="Normal"/>
    <w:rsid w:val="00E40449"/>
    <w:pPr>
      <w:numPr>
        <w:ilvl w:val="8"/>
        <w:numId w:val="56"/>
      </w:numPr>
      <w:tabs>
        <w:tab w:val="clear" w:pos="5760"/>
      </w:tabs>
      <w:spacing w:before="240" w:after="60"/>
      <w:ind w:left="0" w:firstLine="0"/>
      <w:jc w:val="both"/>
    </w:pPr>
    <w:rPr>
      <w:rFonts w:ascii="Verdana" w:eastAsia="Batang" w:hAnsi="Verdana" w:cs="Arial"/>
      <w:b w:val="0"/>
      <w:bCs/>
      <w:kern w:val="32"/>
      <w:szCs w:val="24"/>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E40449"/>
    <w:rPr>
      <w:rFonts w:ascii="Univers" w:eastAsia="Batang" w:hAnsi="Univers"/>
      <w:lang w:val="es-CO" w:eastAsia="en-US" w:bidi="ar-SA"/>
    </w:rPr>
  </w:style>
  <w:style w:type="character" w:customStyle="1" w:styleId="apple-converted-space">
    <w:name w:val="apple-converted-space"/>
    <w:rsid w:val="00E40449"/>
    <w:rPr>
      <w:rFonts w:cs="Times New Roman"/>
    </w:rPr>
  </w:style>
  <w:style w:type="paragraph" w:customStyle="1" w:styleId="Estilo7">
    <w:name w:val="Estilo7"/>
    <w:basedOn w:val="Normal"/>
    <w:rsid w:val="00E40449"/>
    <w:pPr>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pacing w:before="120" w:after="120"/>
      <w:jc w:val="both"/>
    </w:pPr>
    <w:rPr>
      <w:rFonts w:ascii="Verdana" w:eastAsia="Batang" w:hAnsi="Verdana"/>
      <w:b/>
      <w:i/>
      <w:sz w:val="20"/>
      <w:szCs w:val="20"/>
      <w:bdr w:val="none" w:sz="0" w:space="0" w:color="auto"/>
      <w:lang w:val="es-ES_tradnl" w:eastAsia="es-MX"/>
    </w:rPr>
  </w:style>
  <w:style w:type="character" w:customStyle="1" w:styleId="skypepnhprintcontainer">
    <w:name w:val="skype_pnh_print_container"/>
    <w:rsid w:val="00E40449"/>
    <w:rPr>
      <w:rFonts w:cs="Times New Roman"/>
    </w:rPr>
  </w:style>
  <w:style w:type="character" w:customStyle="1" w:styleId="skypepnhcontainer">
    <w:name w:val="skype_pnh_container"/>
    <w:rsid w:val="00E40449"/>
    <w:rPr>
      <w:rFonts w:cs="Times New Roman"/>
    </w:rPr>
  </w:style>
  <w:style w:type="character" w:customStyle="1" w:styleId="s6b621b36">
    <w:name w:val="s6b621b36"/>
    <w:rsid w:val="00E40449"/>
    <w:rPr>
      <w:rFonts w:cs="Times New Roman"/>
    </w:rPr>
  </w:style>
  <w:style w:type="character" w:customStyle="1" w:styleId="tituloarticulo1">
    <w:name w:val="titulo_articulo1"/>
    <w:rsid w:val="00E40449"/>
    <w:rPr>
      <w:rFonts w:ascii="Arial" w:hAnsi="Arial"/>
      <w:b/>
      <w:sz w:val="36"/>
    </w:rPr>
  </w:style>
  <w:style w:type="paragraph" w:styleId="CommentSubject">
    <w:name w:val="annotation subject"/>
    <w:basedOn w:val="CommentText"/>
    <w:next w:val="CommentText"/>
    <w:link w:val="CommentSubjectChar"/>
    <w:semiHidden/>
    <w:rsid w:val="00E40449"/>
    <w:rPr>
      <w:rFonts w:ascii="Univers" w:eastAsia="Batang" w:hAnsi="Univers"/>
      <w:sz w:val="22"/>
      <w:lang w:val="es-ES_tradnl"/>
    </w:rPr>
  </w:style>
  <w:style w:type="character" w:customStyle="1" w:styleId="CommentSubjectChar">
    <w:name w:val="Comment Subject Char"/>
    <w:basedOn w:val="CommentTextChar"/>
    <w:link w:val="CommentSubject"/>
    <w:semiHidden/>
    <w:rsid w:val="00E40449"/>
    <w:rPr>
      <w:rFonts w:ascii="Univers" w:eastAsia="Batang" w:hAnsi="Univers"/>
      <w:sz w:val="22"/>
      <w:bdr w:val="none" w:sz="0" w:space="0" w:color="auto"/>
      <w:lang w:val="es-ES_tradnl" w:eastAsia="en-US"/>
    </w:rPr>
  </w:style>
  <w:style w:type="character" w:customStyle="1" w:styleId="ListParagraphChar1">
    <w:name w:val="List Paragraph Char1"/>
    <w:aliases w:val="Footnote Char2"/>
    <w:locked/>
    <w:rsid w:val="00E40449"/>
    <w:rPr>
      <w:rFonts w:ascii="Verdana" w:hAnsi="Verdana"/>
      <w:lang w:val="es-ES_tradnl" w:eastAsia="x-none"/>
    </w:rPr>
  </w:style>
  <w:style w:type="paragraph" w:styleId="Revision">
    <w:name w:val="Revision"/>
    <w:hidden/>
    <w:uiPriority w:val="71"/>
    <w:rsid w:val="00E40449"/>
    <w:pPr>
      <w:pBdr>
        <w:top w:val="none" w:sz="0" w:space="0" w:color="auto"/>
        <w:left w:val="none" w:sz="0" w:space="0" w:color="auto"/>
        <w:bottom w:val="none" w:sz="0" w:space="0" w:color="auto"/>
        <w:right w:val="none" w:sz="0" w:space="0" w:color="auto"/>
        <w:between w:val="none" w:sz="0" w:space="0" w:color="auto"/>
        <w:bar w:val="none" w:sz="0" w:color="auto"/>
      </w:pBdr>
    </w:pPr>
    <w:rPr>
      <w:rFonts w:ascii="Univers" w:eastAsia="Batang" w:hAnsi="Univers"/>
      <w:sz w:val="22"/>
      <w:bdr w:val="none" w:sz="0" w:space="0" w:color="auto"/>
      <w:lang w:val="es-ES_tradnl" w:eastAsia="en-US"/>
    </w:rPr>
  </w:style>
  <w:style w:type="character" w:customStyle="1" w:styleId="apple-style-span">
    <w:name w:val="apple-style-span"/>
    <w:rsid w:val="00E40449"/>
  </w:style>
  <w:style w:type="character" w:customStyle="1" w:styleId="DefaultChar">
    <w:name w:val="Default Char"/>
    <w:link w:val="Default"/>
    <w:rsid w:val="00424452"/>
    <w:rPr>
      <w:rFonts w:eastAsia="Times New Roman"/>
      <w:color w:val="000000"/>
      <w:sz w:val="24"/>
      <w:szCs w:val="24"/>
      <w:bdr w:val="none" w:sz="0" w:space="0" w:color="auto"/>
      <w:lang w:val="en-US" w:eastAsia="en-US"/>
    </w:rPr>
  </w:style>
  <w:style w:type="paragraph" w:styleId="TOCHeading">
    <w:name w:val="TOC Heading"/>
    <w:basedOn w:val="Heading1"/>
    <w:next w:val="Normal"/>
    <w:uiPriority w:val="39"/>
    <w:semiHidden/>
    <w:unhideWhenUsed/>
    <w:qFormat/>
    <w:rsid w:val="00526252"/>
    <w:pPr>
      <w:keepLines/>
      <w:numPr>
        <w:numId w:val="0"/>
      </w:numPr>
      <w:spacing w:before="480" w:line="276" w:lineRule="auto"/>
      <w:outlineLvl w:val="9"/>
    </w:pPr>
    <w:rPr>
      <w:rFonts w:eastAsiaTheme="majorEastAsia" w:cstheme="majorBidi"/>
      <w:bCs/>
      <w:color w:val="365F91" w:themeColor="accent1" w:themeShade="BF"/>
      <w:sz w:val="28"/>
      <w:szCs w:val="28"/>
      <w:lang w:val="en-US" w:eastAsia="ja-JP"/>
    </w:rPr>
  </w:style>
  <w:style w:type="paragraph" w:customStyle="1" w:styleId="ColorfulList-Accent12">
    <w:name w:val="Colorful List - Accent 12"/>
    <w:link w:val="ColorfulList-Accent1Char"/>
    <w:uiPriority w:val="34"/>
    <w:qFormat/>
    <w:rsid w:val="005D3C3E"/>
    <w:pPr>
      <w:ind w:left="720"/>
    </w:pPr>
    <w:rPr>
      <w:rFonts w:ascii="Cambria" w:eastAsia="Cambria" w:hAnsi="Cambria" w:cs="Cambria"/>
      <w:color w:val="000000"/>
      <w:sz w:val="24"/>
      <w:szCs w:val="24"/>
      <w:u w:color="000000"/>
      <w:lang w:val="en-US"/>
    </w:rPr>
  </w:style>
  <w:style w:type="character" w:customStyle="1" w:styleId="ColorfulList-Accent1Char">
    <w:name w:val="Colorful List - Accent 1 Char"/>
    <w:link w:val="ColorfulList-Accent12"/>
    <w:uiPriority w:val="34"/>
    <w:locked/>
    <w:rsid w:val="005D3C3E"/>
    <w:rPr>
      <w:rFonts w:ascii="Cambria" w:eastAsia="Cambria" w:hAnsi="Cambria" w:cs="Cambria"/>
      <w:color w:val="000000"/>
      <w:sz w:val="24"/>
      <w:szCs w:val="24"/>
      <w:u w:color="000000"/>
      <w:lang w:val="en-US"/>
    </w:rPr>
  </w:style>
  <w:style w:type="paragraph" w:customStyle="1" w:styleId="footnote">
    <w:name w:val="footnote"/>
    <w:basedOn w:val="NormalWeb"/>
    <w:rsid w:val="009E12CB"/>
  </w:style>
  <w:style w:type="character" w:styleId="PlaceholderText">
    <w:name w:val="Placeholder Text"/>
    <w:basedOn w:val="DefaultParagraphFont"/>
    <w:uiPriority w:val="99"/>
    <w:semiHidden/>
    <w:rsid w:val="00C762F5"/>
    <w:rPr>
      <w:color w:val="808080"/>
    </w:rPr>
  </w:style>
  <w:style w:type="character" w:customStyle="1" w:styleId="sb8d990e2">
    <w:name w:val="sb8d990e2"/>
    <w:basedOn w:val="DefaultParagraphFont"/>
    <w:rsid w:val="00417C85"/>
  </w:style>
  <w:style w:type="character" w:customStyle="1" w:styleId="StyleUnivers10pt">
    <w:name w:val="Style Univers 10 pt"/>
    <w:rsid w:val="004D4057"/>
    <w:rPr>
      <w:rFonts w:ascii="Univers" w:hAnsi="Univers"/>
      <w:sz w:val="20"/>
    </w:rPr>
  </w:style>
  <w:style w:type="paragraph" w:customStyle="1" w:styleId="ColorfulList-Accent11">
    <w:name w:val="Colorful List - Accent 11"/>
    <w:basedOn w:val="Normal"/>
    <w:uiPriority w:val="34"/>
    <w:qFormat/>
    <w:rsid w:val="0076223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bdr w:val="none" w:sz="0" w:space="0" w:color="auto"/>
    </w:rPr>
  </w:style>
  <w:style w:type="paragraph" w:styleId="HTMLPreformatted">
    <w:name w:val="HTML Preformatted"/>
    <w:basedOn w:val="Normal"/>
    <w:link w:val="HTMLPreformattedChar"/>
    <w:uiPriority w:val="99"/>
    <w:semiHidden/>
    <w:unhideWhenUsed/>
    <w:rsid w:val="007025F2"/>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7025F2"/>
    <w:rPr>
      <w:rFonts w:ascii="Courier New" w:eastAsia="Times New Roman" w:hAnsi="Courier New" w:cs="Courier New"/>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53D7"/>
    <w:rPr>
      <w:sz w:val="24"/>
      <w:szCs w:val="24"/>
      <w:lang w:val="en-US" w:eastAsia="en-US"/>
    </w:rPr>
  </w:style>
  <w:style w:type="paragraph" w:styleId="Heading1">
    <w:name w:val="heading 1"/>
    <w:basedOn w:val="Normal"/>
    <w:next w:val="Normal"/>
    <w:link w:val="Heading1Char"/>
    <w:qFormat/>
    <w:rsid w:val="00E24E60"/>
    <w:pPr>
      <w:keepNext/>
      <w:numPr>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1440"/>
      <w:outlineLvl w:val="0"/>
    </w:pPr>
    <w:rPr>
      <w:rFonts w:asciiTheme="majorHAnsi" w:eastAsia="Times New Roman" w:hAnsiTheme="majorHAnsi"/>
      <w:b/>
      <w:sz w:val="20"/>
      <w:szCs w:val="20"/>
      <w:bdr w:val="none" w:sz="0" w:space="0" w:color="auto"/>
      <w:lang w:val="es-ES_tradnl"/>
    </w:rPr>
  </w:style>
  <w:style w:type="paragraph" w:styleId="Heading2">
    <w:name w:val="heading 2"/>
    <w:basedOn w:val="Normal"/>
    <w:next w:val="Normal"/>
    <w:link w:val="Heading2Char"/>
    <w:qFormat/>
    <w:rsid w:val="00E24E60"/>
    <w:pPr>
      <w:keepNext/>
      <w:numPr>
        <w:ilvl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pPr>
    <w:rPr>
      <w:rFonts w:asciiTheme="majorHAnsi" w:eastAsia="Times New Roman" w:hAnsiTheme="majorHAnsi"/>
      <w:b/>
      <w:sz w:val="20"/>
      <w:szCs w:val="20"/>
      <w:bdr w:val="none" w:sz="0" w:space="0" w:color="auto"/>
      <w:lang w:val="es-ES_tradnl"/>
    </w:rPr>
  </w:style>
  <w:style w:type="paragraph" w:styleId="Heading3">
    <w:name w:val="heading 3"/>
    <w:basedOn w:val="Normal"/>
    <w:next w:val="Normal"/>
    <w:link w:val="Heading3Char"/>
    <w:unhideWhenUsed/>
    <w:qFormat/>
    <w:rsid w:val="004B31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B316C"/>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Arial" w:eastAsia="Times New Roman" w:hAnsi="Arial"/>
      <w:b/>
      <w:szCs w:val="20"/>
      <w:bdr w:val="none" w:sz="0" w:space="0" w:color="auto"/>
    </w:rPr>
  </w:style>
  <w:style w:type="paragraph" w:styleId="Heading5">
    <w:name w:val="heading 5"/>
    <w:basedOn w:val="Normal"/>
    <w:next w:val="Normal"/>
    <w:link w:val="Heading5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rPr>
  </w:style>
  <w:style w:type="paragraph" w:styleId="Heading6">
    <w:name w:val="heading 6"/>
    <w:basedOn w:val="Normal"/>
    <w:next w:val="Normal"/>
    <w:link w:val="Heading6Char"/>
    <w:uiPriority w:val="9"/>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rPr>
  </w:style>
  <w:style w:type="paragraph" w:styleId="Heading7">
    <w:name w:val="heading 7"/>
    <w:basedOn w:val="Normal"/>
    <w:next w:val="Normal"/>
    <w:link w:val="Heading7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rPr>
  </w:style>
  <w:style w:type="paragraph" w:styleId="Heading8">
    <w:name w:val="heading 8"/>
    <w:basedOn w:val="Normal"/>
    <w:next w:val="Normal"/>
    <w:link w:val="Heading8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Times New Roman" w:hAnsi="Arial"/>
      <w:i/>
      <w:sz w:val="20"/>
      <w:szCs w:val="20"/>
      <w:bdr w:val="none" w:sz="0" w:space="0" w:color="auto"/>
    </w:rPr>
  </w:style>
  <w:style w:type="paragraph" w:styleId="Heading9">
    <w:name w:val="heading 9"/>
    <w:basedOn w:val="Normal"/>
    <w:next w:val="Normal"/>
    <w:link w:val="Heading9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b/>
      <w:i/>
      <w:sz w:val="1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53D7"/>
    <w:rPr>
      <w:u w:val="single"/>
    </w:rPr>
  </w:style>
  <w:style w:type="paragraph" w:customStyle="1" w:styleId="Cabeceraypie">
    <w:name w:val="Cabecera y pie"/>
    <w:rsid w:val="007753D7"/>
    <w:pPr>
      <w:tabs>
        <w:tab w:val="right" w:pos="9020"/>
      </w:tabs>
    </w:pPr>
    <w:rPr>
      <w:rFonts w:ascii="Helvetica" w:hAnsi="Arial Unicode MS" w:cs="Arial Unicode MS"/>
      <w:color w:val="000000"/>
      <w:sz w:val="24"/>
      <w:szCs w:val="24"/>
    </w:rPr>
  </w:style>
  <w:style w:type="paragraph" w:styleId="Footer">
    <w:name w:val="footer"/>
    <w:link w:val="FooterChar"/>
    <w:rsid w:val="007753D7"/>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sid w:val="007753D7"/>
    <w:rPr>
      <w:rFonts w:ascii="Cambria" w:eastAsia="Cambria" w:hAnsi="Cambria" w:cs="Cambria"/>
      <w:color w:val="000000"/>
      <w:sz w:val="24"/>
      <w:szCs w:val="24"/>
      <w:u w:color="000000"/>
    </w:rPr>
  </w:style>
  <w:style w:type="paragraph" w:styleId="BodyTextIndent">
    <w:name w:val="Body Text Indent"/>
    <w:link w:val="BodyTextIndentChar"/>
    <w:rsid w:val="007753D7"/>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rsid w:val="007753D7"/>
    <w:pPr>
      <w:ind w:left="720"/>
    </w:pPr>
    <w:rPr>
      <w:rFonts w:ascii="Cambria" w:eastAsia="Cambria" w:hAnsi="Cambria" w:cs="Cambria"/>
      <w:color w:val="000000"/>
      <w:sz w:val="24"/>
      <w:szCs w:val="24"/>
      <w:u w:color="000000"/>
      <w:lang w:val="en-US"/>
    </w:rPr>
  </w:style>
  <w:style w:type="numbering" w:customStyle="1" w:styleId="List0">
    <w:name w:val="List 0"/>
    <w:basedOn w:val="Estiloimportado1"/>
    <w:rsid w:val="007753D7"/>
    <w:pPr>
      <w:numPr>
        <w:numId w:val="31"/>
      </w:numPr>
    </w:pPr>
  </w:style>
  <w:style w:type="numbering" w:customStyle="1" w:styleId="Estiloimportado1">
    <w:name w:val="Estilo importado 1"/>
    <w:rsid w:val="007753D7"/>
  </w:style>
  <w:style w:type="numbering" w:customStyle="1" w:styleId="List1">
    <w:name w:val="List 1"/>
    <w:basedOn w:val="Estiloimportado2"/>
    <w:rsid w:val="007753D7"/>
    <w:pPr>
      <w:numPr>
        <w:numId w:val="1"/>
      </w:numPr>
    </w:pPr>
  </w:style>
  <w:style w:type="numbering" w:customStyle="1" w:styleId="Estiloimportado2">
    <w:name w:val="Estilo importado 2"/>
    <w:rsid w:val="007753D7"/>
  </w:style>
  <w:style w:type="numbering" w:customStyle="1" w:styleId="List21">
    <w:name w:val="List 21"/>
    <w:basedOn w:val="Estiloimportado3"/>
    <w:rsid w:val="007753D7"/>
    <w:pPr>
      <w:numPr>
        <w:numId w:val="52"/>
      </w:numPr>
    </w:pPr>
  </w:style>
  <w:style w:type="numbering" w:customStyle="1" w:styleId="Estiloimportado3">
    <w:name w:val="Estilo importado 3"/>
    <w:rsid w:val="007753D7"/>
  </w:style>
  <w:style w:type="numbering" w:customStyle="1" w:styleId="List31">
    <w:name w:val="List 31"/>
    <w:basedOn w:val="Estiloimportado4"/>
    <w:rsid w:val="007753D7"/>
    <w:pPr>
      <w:numPr>
        <w:numId w:val="51"/>
      </w:numPr>
    </w:pPr>
  </w:style>
  <w:style w:type="numbering" w:customStyle="1" w:styleId="Estiloimportado4">
    <w:name w:val="Estilo importado 4"/>
    <w:rsid w:val="007753D7"/>
  </w:style>
  <w:style w:type="numbering" w:customStyle="1" w:styleId="List41">
    <w:name w:val="List 41"/>
    <w:basedOn w:val="Estiloimportado5"/>
    <w:rsid w:val="007753D7"/>
    <w:pPr>
      <w:numPr>
        <w:numId w:val="2"/>
      </w:numPr>
    </w:pPr>
  </w:style>
  <w:style w:type="numbering" w:customStyle="1" w:styleId="Estiloimportado5">
    <w:name w:val="Estilo importado 5"/>
    <w:rsid w:val="007753D7"/>
  </w:style>
  <w:style w:type="numbering" w:customStyle="1" w:styleId="List51">
    <w:name w:val="List 51"/>
    <w:basedOn w:val="Estiloimportado6"/>
    <w:rsid w:val="007753D7"/>
    <w:pPr>
      <w:numPr>
        <w:numId w:val="53"/>
      </w:numPr>
    </w:pPr>
  </w:style>
  <w:style w:type="numbering" w:customStyle="1" w:styleId="Estiloimportado6">
    <w:name w:val="Estilo importado 6"/>
    <w:rsid w:val="007753D7"/>
  </w:style>
  <w:style w:type="numbering" w:customStyle="1" w:styleId="List6">
    <w:name w:val="List 6"/>
    <w:basedOn w:val="Estiloimportado7"/>
    <w:rsid w:val="007753D7"/>
    <w:pPr>
      <w:numPr>
        <w:numId w:val="3"/>
      </w:numPr>
    </w:pPr>
  </w:style>
  <w:style w:type="numbering" w:customStyle="1" w:styleId="Estiloimportado7">
    <w:name w:val="Estilo importado 7"/>
    <w:rsid w:val="007753D7"/>
  </w:style>
  <w:style w:type="numbering" w:customStyle="1" w:styleId="List7">
    <w:name w:val="List 7"/>
    <w:basedOn w:val="Estiloimportado8"/>
    <w:rsid w:val="007753D7"/>
    <w:pPr>
      <w:numPr>
        <w:numId w:val="4"/>
      </w:numPr>
    </w:pPr>
  </w:style>
  <w:style w:type="numbering" w:customStyle="1" w:styleId="Estiloimportado8">
    <w:name w:val="Estilo importado 8"/>
    <w:rsid w:val="007753D7"/>
  </w:style>
  <w:style w:type="numbering" w:customStyle="1" w:styleId="List8">
    <w:name w:val="List 8"/>
    <w:basedOn w:val="Estiloimportado9"/>
    <w:rsid w:val="007753D7"/>
    <w:pPr>
      <w:numPr>
        <w:numId w:val="5"/>
      </w:numPr>
    </w:pPr>
  </w:style>
  <w:style w:type="numbering" w:customStyle="1" w:styleId="Estiloimportado9">
    <w:name w:val="Estilo importado 9"/>
    <w:rsid w:val="007753D7"/>
  </w:style>
  <w:style w:type="numbering" w:customStyle="1" w:styleId="List9">
    <w:name w:val="List 9"/>
    <w:basedOn w:val="Estiloimportado10"/>
    <w:rsid w:val="007753D7"/>
    <w:pPr>
      <w:numPr>
        <w:numId w:val="22"/>
      </w:numPr>
    </w:pPr>
  </w:style>
  <w:style w:type="numbering" w:customStyle="1" w:styleId="Estiloimportado10">
    <w:name w:val="Estilo importado 10"/>
    <w:rsid w:val="007753D7"/>
  </w:style>
  <w:style w:type="numbering" w:customStyle="1" w:styleId="List10">
    <w:name w:val="List 10"/>
    <w:basedOn w:val="Estiloimportado11"/>
    <w:rsid w:val="007753D7"/>
    <w:pPr>
      <w:numPr>
        <w:numId w:val="6"/>
      </w:numPr>
    </w:pPr>
  </w:style>
  <w:style w:type="numbering" w:customStyle="1" w:styleId="Estiloimportado11">
    <w:name w:val="Estilo importado 11"/>
    <w:rsid w:val="007753D7"/>
  </w:style>
  <w:style w:type="numbering" w:customStyle="1" w:styleId="List11">
    <w:name w:val="List 11"/>
    <w:basedOn w:val="Estiloimportado12"/>
    <w:rsid w:val="007753D7"/>
    <w:pPr>
      <w:numPr>
        <w:numId w:val="7"/>
      </w:numPr>
    </w:pPr>
  </w:style>
  <w:style w:type="numbering" w:customStyle="1" w:styleId="Estiloimportado12">
    <w:name w:val="Estilo importado 12"/>
    <w:rsid w:val="007753D7"/>
  </w:style>
  <w:style w:type="numbering" w:customStyle="1" w:styleId="List12">
    <w:name w:val="List 12"/>
    <w:basedOn w:val="Estiloimportado13"/>
    <w:rsid w:val="007753D7"/>
    <w:pPr>
      <w:numPr>
        <w:numId w:val="36"/>
      </w:numPr>
    </w:pPr>
  </w:style>
  <w:style w:type="numbering" w:customStyle="1" w:styleId="Estiloimportado13">
    <w:name w:val="Estilo importado 13"/>
    <w:rsid w:val="007753D7"/>
  </w:style>
  <w:style w:type="numbering" w:customStyle="1" w:styleId="List13">
    <w:name w:val="List 13"/>
    <w:basedOn w:val="Estiloimportado14"/>
    <w:rsid w:val="007753D7"/>
    <w:pPr>
      <w:numPr>
        <w:numId w:val="42"/>
      </w:numPr>
    </w:pPr>
  </w:style>
  <w:style w:type="numbering" w:customStyle="1" w:styleId="Estiloimportado14">
    <w:name w:val="Estilo importado 14"/>
    <w:rsid w:val="007753D7"/>
  </w:style>
  <w:style w:type="numbering" w:customStyle="1" w:styleId="List14">
    <w:name w:val="List 14"/>
    <w:basedOn w:val="Estiloimportado15"/>
    <w:rsid w:val="007753D7"/>
    <w:pPr>
      <w:numPr>
        <w:numId w:val="17"/>
      </w:numPr>
    </w:pPr>
  </w:style>
  <w:style w:type="numbering" w:customStyle="1" w:styleId="Estiloimportado15">
    <w:name w:val="Estilo importado 15"/>
    <w:rsid w:val="007753D7"/>
  </w:style>
  <w:style w:type="numbering" w:customStyle="1" w:styleId="List15">
    <w:name w:val="List 15"/>
    <w:basedOn w:val="Estiloimportado16"/>
    <w:rsid w:val="007753D7"/>
    <w:pPr>
      <w:numPr>
        <w:numId w:val="16"/>
      </w:numPr>
    </w:pPr>
  </w:style>
  <w:style w:type="numbering" w:customStyle="1" w:styleId="Estiloimportado16">
    <w:name w:val="Estilo importado 16"/>
    <w:rsid w:val="007753D7"/>
  </w:style>
  <w:style w:type="numbering" w:customStyle="1" w:styleId="List16">
    <w:name w:val="List 16"/>
    <w:basedOn w:val="Estiloimportado16"/>
    <w:rsid w:val="007753D7"/>
    <w:pPr>
      <w:numPr>
        <w:numId w:val="10"/>
      </w:numPr>
    </w:pPr>
  </w:style>
  <w:style w:type="numbering" w:customStyle="1" w:styleId="List17">
    <w:name w:val="List 17"/>
    <w:basedOn w:val="Estiloimportado17"/>
    <w:rsid w:val="007753D7"/>
    <w:pPr>
      <w:numPr>
        <w:numId w:val="25"/>
      </w:numPr>
    </w:pPr>
  </w:style>
  <w:style w:type="numbering" w:customStyle="1" w:styleId="Estiloimportado17">
    <w:name w:val="Estilo importado 17"/>
    <w:rsid w:val="007753D7"/>
  </w:style>
  <w:style w:type="numbering" w:customStyle="1" w:styleId="List18">
    <w:name w:val="List 18"/>
    <w:basedOn w:val="Estiloimportado18"/>
    <w:rsid w:val="007753D7"/>
    <w:pPr>
      <w:numPr>
        <w:numId w:val="27"/>
      </w:numPr>
    </w:pPr>
  </w:style>
  <w:style w:type="numbering" w:customStyle="1" w:styleId="Estiloimportado18">
    <w:name w:val="Estilo importado 18"/>
    <w:rsid w:val="007753D7"/>
  </w:style>
  <w:style w:type="numbering" w:customStyle="1" w:styleId="List19">
    <w:name w:val="List 19"/>
    <w:basedOn w:val="Estiloimportado10"/>
    <w:rsid w:val="007753D7"/>
    <w:pPr>
      <w:numPr>
        <w:numId w:val="19"/>
      </w:numPr>
    </w:pPr>
  </w:style>
  <w:style w:type="numbering" w:customStyle="1" w:styleId="List20">
    <w:name w:val="List 20"/>
    <w:basedOn w:val="Estiloimportado12"/>
    <w:rsid w:val="007753D7"/>
    <w:pPr>
      <w:numPr>
        <w:numId w:val="43"/>
      </w:numPr>
    </w:pPr>
  </w:style>
  <w:style w:type="numbering" w:customStyle="1" w:styleId="List211">
    <w:name w:val="List 211"/>
    <w:basedOn w:val="Estiloimportado19"/>
    <w:rsid w:val="007753D7"/>
    <w:pPr>
      <w:numPr>
        <w:numId w:val="38"/>
      </w:numPr>
    </w:pPr>
  </w:style>
  <w:style w:type="numbering" w:customStyle="1" w:styleId="Estiloimportado19">
    <w:name w:val="Estilo importado 19"/>
    <w:rsid w:val="007753D7"/>
  </w:style>
  <w:style w:type="numbering" w:customStyle="1" w:styleId="List22">
    <w:name w:val="List 22"/>
    <w:basedOn w:val="Estiloimportado19"/>
    <w:rsid w:val="007753D7"/>
    <w:pPr>
      <w:numPr>
        <w:numId w:val="28"/>
      </w:numPr>
    </w:pPr>
  </w:style>
  <w:style w:type="numbering" w:customStyle="1" w:styleId="List23">
    <w:name w:val="List 23"/>
    <w:basedOn w:val="Estiloimportado19"/>
    <w:rsid w:val="007753D7"/>
    <w:pPr>
      <w:numPr>
        <w:numId w:val="18"/>
      </w:numPr>
    </w:pPr>
  </w:style>
  <w:style w:type="numbering" w:customStyle="1" w:styleId="List24">
    <w:name w:val="List 24"/>
    <w:basedOn w:val="Estiloimportado20"/>
    <w:rsid w:val="007753D7"/>
    <w:pPr>
      <w:numPr>
        <w:numId w:val="13"/>
      </w:numPr>
    </w:pPr>
  </w:style>
  <w:style w:type="numbering" w:customStyle="1" w:styleId="Estiloimportado20">
    <w:name w:val="Estilo importado 20"/>
    <w:rsid w:val="007753D7"/>
  </w:style>
  <w:style w:type="numbering" w:customStyle="1" w:styleId="List25">
    <w:name w:val="List 25"/>
    <w:basedOn w:val="Estiloimportado21"/>
    <w:rsid w:val="007753D7"/>
    <w:pPr>
      <w:numPr>
        <w:numId w:val="15"/>
      </w:numPr>
    </w:pPr>
  </w:style>
  <w:style w:type="numbering" w:customStyle="1" w:styleId="Estiloimportado21">
    <w:name w:val="Estilo importado 21"/>
    <w:rsid w:val="007753D7"/>
  </w:style>
  <w:style w:type="numbering" w:customStyle="1" w:styleId="List26">
    <w:name w:val="List 26"/>
    <w:basedOn w:val="Estiloimportado22"/>
    <w:rsid w:val="007753D7"/>
    <w:pPr>
      <w:numPr>
        <w:numId w:val="49"/>
      </w:numPr>
    </w:pPr>
  </w:style>
  <w:style w:type="numbering" w:customStyle="1" w:styleId="Estiloimportado22">
    <w:name w:val="Estilo importado 22"/>
    <w:rsid w:val="007753D7"/>
  </w:style>
  <w:style w:type="numbering" w:customStyle="1" w:styleId="List27">
    <w:name w:val="List 27"/>
    <w:basedOn w:val="Estiloimportado23"/>
    <w:rsid w:val="007753D7"/>
    <w:pPr>
      <w:numPr>
        <w:numId w:val="41"/>
      </w:numPr>
    </w:pPr>
  </w:style>
  <w:style w:type="numbering" w:customStyle="1" w:styleId="Estiloimportado23">
    <w:name w:val="Estilo importado 23"/>
    <w:rsid w:val="007753D7"/>
  </w:style>
  <w:style w:type="numbering" w:customStyle="1" w:styleId="List28">
    <w:name w:val="List 28"/>
    <w:basedOn w:val="Estiloimportado24"/>
    <w:rsid w:val="007753D7"/>
    <w:pPr>
      <w:numPr>
        <w:numId w:val="30"/>
      </w:numPr>
    </w:pPr>
  </w:style>
  <w:style w:type="numbering" w:customStyle="1" w:styleId="Estiloimportado24">
    <w:name w:val="Estilo importado 24"/>
    <w:rsid w:val="007753D7"/>
  </w:style>
  <w:style w:type="numbering" w:customStyle="1" w:styleId="List29">
    <w:name w:val="List 29"/>
    <w:basedOn w:val="Estiloimportado25"/>
    <w:rsid w:val="007753D7"/>
    <w:pPr>
      <w:numPr>
        <w:numId w:val="34"/>
      </w:numPr>
    </w:pPr>
  </w:style>
  <w:style w:type="numbering" w:customStyle="1" w:styleId="Estiloimportado25">
    <w:name w:val="Estilo importado 25"/>
    <w:rsid w:val="007753D7"/>
  </w:style>
  <w:style w:type="numbering" w:customStyle="1" w:styleId="List30">
    <w:name w:val="List 30"/>
    <w:basedOn w:val="Estiloimportado26"/>
    <w:rsid w:val="007753D7"/>
    <w:pPr>
      <w:numPr>
        <w:numId w:val="32"/>
      </w:numPr>
    </w:pPr>
  </w:style>
  <w:style w:type="numbering" w:customStyle="1" w:styleId="Estiloimportado26">
    <w:name w:val="Estilo importado 26"/>
    <w:rsid w:val="007753D7"/>
  </w:style>
  <w:style w:type="numbering" w:customStyle="1" w:styleId="List311">
    <w:name w:val="List 311"/>
    <w:basedOn w:val="Estiloimportado27"/>
    <w:rsid w:val="007753D7"/>
    <w:pPr>
      <w:numPr>
        <w:numId w:val="45"/>
      </w:numPr>
    </w:pPr>
  </w:style>
  <w:style w:type="numbering" w:customStyle="1" w:styleId="Estiloimportado27">
    <w:name w:val="Estilo importado 27"/>
    <w:rsid w:val="007753D7"/>
  </w:style>
  <w:style w:type="numbering" w:customStyle="1" w:styleId="List32">
    <w:name w:val="List 32"/>
    <w:basedOn w:val="Estiloimportado28"/>
    <w:rsid w:val="007753D7"/>
    <w:pPr>
      <w:numPr>
        <w:numId w:val="48"/>
      </w:numPr>
    </w:pPr>
  </w:style>
  <w:style w:type="numbering" w:customStyle="1" w:styleId="Estiloimportado28">
    <w:name w:val="Estilo importado 28"/>
    <w:rsid w:val="007753D7"/>
  </w:style>
  <w:style w:type="paragraph" w:styleId="FootnoteText">
    <w:name w:val="footnote text"/>
    <w:aliases w:val="Footnote Text Char Char Char Char Char,Footnote Text Char Char Char Char,FA Fu,Footnote reference,Footnote Text Char Char Char,FA Fußnotentext,FA Fuﬂnotentext,Texto nota pie Car,Footnote Text Cha,Footnote Text Char Char,footnote text,Ca,ft"/>
    <w:link w:val="FootnoteTextChar"/>
    <w:qFormat/>
    <w:rsid w:val="007753D7"/>
    <w:rPr>
      <w:rFonts w:ascii="Calibri" w:eastAsia="Calibri" w:hAnsi="Calibri" w:cs="Calibri"/>
      <w:color w:val="000000"/>
      <w:u w:color="000000"/>
      <w:lang w:val="en-US"/>
    </w:rPr>
  </w:style>
  <w:style w:type="numbering" w:customStyle="1" w:styleId="List33">
    <w:name w:val="List 33"/>
    <w:basedOn w:val="Estiloimportado29"/>
    <w:rsid w:val="007753D7"/>
    <w:pPr>
      <w:numPr>
        <w:numId w:val="26"/>
      </w:numPr>
    </w:pPr>
  </w:style>
  <w:style w:type="numbering" w:customStyle="1" w:styleId="Estiloimportado29">
    <w:name w:val="Estilo importado 29"/>
    <w:rsid w:val="007753D7"/>
  </w:style>
  <w:style w:type="numbering" w:customStyle="1" w:styleId="List34">
    <w:name w:val="List 34"/>
    <w:basedOn w:val="Estiloimportado30"/>
    <w:rsid w:val="007753D7"/>
    <w:pPr>
      <w:numPr>
        <w:numId w:val="11"/>
      </w:numPr>
    </w:pPr>
  </w:style>
  <w:style w:type="numbering" w:customStyle="1" w:styleId="Estiloimportado30">
    <w:name w:val="Estilo importado 30"/>
    <w:rsid w:val="007753D7"/>
  </w:style>
  <w:style w:type="numbering" w:customStyle="1" w:styleId="List35">
    <w:name w:val="List 35"/>
    <w:basedOn w:val="Estiloimportado31"/>
    <w:rsid w:val="007753D7"/>
    <w:pPr>
      <w:numPr>
        <w:numId w:val="8"/>
      </w:numPr>
    </w:pPr>
  </w:style>
  <w:style w:type="numbering" w:customStyle="1" w:styleId="Estiloimportado31">
    <w:name w:val="Estilo importado 31"/>
    <w:rsid w:val="007753D7"/>
  </w:style>
  <w:style w:type="numbering" w:customStyle="1" w:styleId="List36">
    <w:name w:val="List 36"/>
    <w:basedOn w:val="Estiloimportado32"/>
    <w:rsid w:val="007753D7"/>
    <w:pPr>
      <w:numPr>
        <w:numId w:val="14"/>
      </w:numPr>
    </w:pPr>
  </w:style>
  <w:style w:type="numbering" w:customStyle="1" w:styleId="Estiloimportado32">
    <w:name w:val="Estilo importado 32"/>
    <w:rsid w:val="007753D7"/>
  </w:style>
  <w:style w:type="numbering" w:customStyle="1" w:styleId="List37">
    <w:name w:val="List 37"/>
    <w:basedOn w:val="Estiloimportado33"/>
    <w:rsid w:val="007753D7"/>
    <w:pPr>
      <w:numPr>
        <w:numId w:val="47"/>
      </w:numPr>
    </w:pPr>
  </w:style>
  <w:style w:type="numbering" w:customStyle="1" w:styleId="Estiloimportado33">
    <w:name w:val="Estilo importado 33"/>
    <w:rsid w:val="007753D7"/>
  </w:style>
  <w:style w:type="numbering" w:customStyle="1" w:styleId="List38">
    <w:name w:val="List 38"/>
    <w:basedOn w:val="Estiloimportado34"/>
    <w:rsid w:val="007753D7"/>
    <w:pPr>
      <w:numPr>
        <w:numId w:val="35"/>
      </w:numPr>
    </w:pPr>
  </w:style>
  <w:style w:type="numbering" w:customStyle="1" w:styleId="Estiloimportado34">
    <w:name w:val="Estilo importado 34"/>
    <w:rsid w:val="007753D7"/>
  </w:style>
  <w:style w:type="numbering" w:customStyle="1" w:styleId="List39">
    <w:name w:val="List 39"/>
    <w:basedOn w:val="Estiloimportado35"/>
    <w:rsid w:val="007753D7"/>
    <w:pPr>
      <w:numPr>
        <w:numId w:val="46"/>
      </w:numPr>
    </w:pPr>
  </w:style>
  <w:style w:type="numbering" w:customStyle="1" w:styleId="Estiloimportado35">
    <w:name w:val="Estilo importado 35"/>
    <w:rsid w:val="007753D7"/>
  </w:style>
  <w:style w:type="numbering" w:customStyle="1" w:styleId="List40">
    <w:name w:val="List 40"/>
    <w:basedOn w:val="Estiloimportado36"/>
    <w:rsid w:val="007753D7"/>
    <w:pPr>
      <w:numPr>
        <w:numId w:val="21"/>
      </w:numPr>
    </w:pPr>
  </w:style>
  <w:style w:type="numbering" w:customStyle="1" w:styleId="Estiloimportado36">
    <w:name w:val="Estilo importado 36"/>
    <w:rsid w:val="007753D7"/>
  </w:style>
  <w:style w:type="numbering" w:customStyle="1" w:styleId="List411">
    <w:name w:val="List 411"/>
    <w:basedOn w:val="Estiloimportado37"/>
    <w:rsid w:val="007753D7"/>
    <w:pPr>
      <w:numPr>
        <w:numId w:val="44"/>
      </w:numPr>
    </w:pPr>
  </w:style>
  <w:style w:type="numbering" w:customStyle="1" w:styleId="Estiloimportado37">
    <w:name w:val="Estilo importado 37"/>
    <w:rsid w:val="007753D7"/>
  </w:style>
  <w:style w:type="numbering" w:customStyle="1" w:styleId="List42">
    <w:name w:val="List 42"/>
    <w:basedOn w:val="Estiloimportado12"/>
    <w:rsid w:val="007753D7"/>
    <w:pPr>
      <w:numPr>
        <w:numId w:val="12"/>
      </w:numPr>
    </w:pPr>
  </w:style>
  <w:style w:type="numbering" w:customStyle="1" w:styleId="List43">
    <w:name w:val="List 43"/>
    <w:basedOn w:val="Estiloimportado38"/>
    <w:rsid w:val="007753D7"/>
    <w:pPr>
      <w:numPr>
        <w:numId w:val="23"/>
      </w:numPr>
    </w:pPr>
  </w:style>
  <w:style w:type="numbering" w:customStyle="1" w:styleId="Estiloimportado38">
    <w:name w:val="Estilo importado 38"/>
    <w:rsid w:val="007753D7"/>
  </w:style>
  <w:style w:type="numbering" w:customStyle="1" w:styleId="List44">
    <w:name w:val="List 44"/>
    <w:basedOn w:val="Estiloimportado39"/>
    <w:rsid w:val="007753D7"/>
    <w:pPr>
      <w:numPr>
        <w:numId w:val="40"/>
      </w:numPr>
    </w:pPr>
  </w:style>
  <w:style w:type="numbering" w:customStyle="1" w:styleId="Estiloimportado39">
    <w:name w:val="Estilo importado 39"/>
    <w:rsid w:val="007753D7"/>
  </w:style>
  <w:style w:type="numbering" w:customStyle="1" w:styleId="List45">
    <w:name w:val="List 45"/>
    <w:basedOn w:val="Estiloimportado40"/>
    <w:rsid w:val="007753D7"/>
    <w:pPr>
      <w:numPr>
        <w:numId w:val="20"/>
      </w:numPr>
    </w:pPr>
  </w:style>
  <w:style w:type="numbering" w:customStyle="1" w:styleId="Estiloimportado40">
    <w:name w:val="Estilo importado 40"/>
    <w:rsid w:val="007753D7"/>
  </w:style>
  <w:style w:type="numbering" w:customStyle="1" w:styleId="List46">
    <w:name w:val="List 46"/>
    <w:basedOn w:val="Estiloimportado41"/>
    <w:rsid w:val="007753D7"/>
    <w:pPr>
      <w:numPr>
        <w:numId w:val="24"/>
      </w:numPr>
    </w:pPr>
  </w:style>
  <w:style w:type="numbering" w:customStyle="1" w:styleId="Estiloimportado41">
    <w:name w:val="Estilo importado 41"/>
    <w:rsid w:val="007753D7"/>
  </w:style>
  <w:style w:type="numbering" w:customStyle="1" w:styleId="List47">
    <w:name w:val="List 47"/>
    <w:basedOn w:val="Estiloimportado42"/>
    <w:rsid w:val="007753D7"/>
    <w:pPr>
      <w:numPr>
        <w:numId w:val="29"/>
      </w:numPr>
    </w:pPr>
  </w:style>
  <w:style w:type="numbering" w:customStyle="1" w:styleId="Estiloimportado42">
    <w:name w:val="Estilo importado 42"/>
    <w:rsid w:val="007753D7"/>
  </w:style>
  <w:style w:type="numbering" w:customStyle="1" w:styleId="List48">
    <w:name w:val="List 48"/>
    <w:basedOn w:val="Estiloimportado43"/>
    <w:rsid w:val="007753D7"/>
    <w:pPr>
      <w:numPr>
        <w:numId w:val="50"/>
      </w:numPr>
    </w:pPr>
  </w:style>
  <w:style w:type="numbering" w:customStyle="1" w:styleId="Estiloimportado43">
    <w:name w:val="Estilo importado 43"/>
    <w:rsid w:val="007753D7"/>
  </w:style>
  <w:style w:type="numbering" w:customStyle="1" w:styleId="List49">
    <w:name w:val="List 49"/>
    <w:basedOn w:val="Estiloimportado44"/>
    <w:rsid w:val="007753D7"/>
    <w:pPr>
      <w:numPr>
        <w:numId w:val="39"/>
      </w:numPr>
    </w:pPr>
  </w:style>
  <w:style w:type="numbering" w:customStyle="1" w:styleId="Estiloimportado44">
    <w:name w:val="Estilo importado 44"/>
    <w:rsid w:val="007753D7"/>
  </w:style>
  <w:style w:type="numbering" w:customStyle="1" w:styleId="List50">
    <w:name w:val="List 50"/>
    <w:basedOn w:val="Estiloimportado45"/>
    <w:rsid w:val="007753D7"/>
    <w:pPr>
      <w:numPr>
        <w:numId w:val="37"/>
      </w:numPr>
    </w:pPr>
  </w:style>
  <w:style w:type="numbering" w:customStyle="1" w:styleId="Estiloimportado45">
    <w:name w:val="Estilo importado 45"/>
    <w:rsid w:val="007753D7"/>
  </w:style>
  <w:style w:type="numbering" w:customStyle="1" w:styleId="List511">
    <w:name w:val="List 511"/>
    <w:basedOn w:val="Estiloimportado46"/>
    <w:rsid w:val="007753D7"/>
    <w:pPr>
      <w:numPr>
        <w:numId w:val="33"/>
      </w:numPr>
    </w:pPr>
  </w:style>
  <w:style w:type="numbering" w:customStyle="1" w:styleId="Estiloimportado46">
    <w:name w:val="Estilo importado 46"/>
    <w:rsid w:val="007753D7"/>
  </w:style>
  <w:style w:type="numbering" w:customStyle="1" w:styleId="List52">
    <w:name w:val="List 52"/>
    <w:basedOn w:val="Estiloimportado1"/>
    <w:rsid w:val="007753D7"/>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E24E60"/>
    <w:rPr>
      <w:rFonts w:asciiTheme="majorHAnsi" w:eastAsia="Times New Roman" w:hAnsiTheme="majorHAnsi"/>
      <w:b/>
      <w:bdr w:val="none" w:sz="0" w:space="0" w:color="auto"/>
      <w:lang w:val="es-ES_tradnl"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qFormat/>
    <w:rsid w:val="00835223"/>
    <w:pPr>
      <w:tabs>
        <w:tab w:val="left" w:pos="1440"/>
        <w:tab w:val="right" w:leader="dot" w:pos="9360"/>
      </w:tabs>
      <w:spacing w:after="100"/>
    </w:pPr>
    <w:rPr>
      <w:rFonts w:asciiTheme="minorHAnsi" w:hAnsiTheme="minorHAnsi"/>
      <w:sz w:val="22"/>
    </w:rPr>
  </w:style>
  <w:style w:type="paragraph" w:styleId="TOC3">
    <w:name w:val="toc 3"/>
    <w:basedOn w:val="Normal"/>
    <w:next w:val="Normal"/>
    <w:autoRedefine/>
    <w:uiPriority w:val="39"/>
    <w:unhideWhenUsed/>
    <w:qFormat/>
    <w:rsid w:val="005C4225"/>
    <w:pPr>
      <w:tabs>
        <w:tab w:val="left" w:pos="880"/>
        <w:tab w:val="right" w:leader="dot" w:pos="9350"/>
      </w:tabs>
      <w:spacing w:after="100"/>
      <w:ind w:left="2160" w:hanging="720"/>
    </w:pPr>
  </w:style>
  <w:style w:type="paragraph" w:styleId="TOC4">
    <w:name w:val="toc 4"/>
    <w:basedOn w:val="Normal"/>
    <w:next w:val="Normal"/>
    <w:autoRedefine/>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rsid w:val="00A50FCF"/>
    <w:rPr>
      <w:rFonts w:ascii="Cambria" w:eastAsia="Cambria" w:hAnsi="Cambria" w:cs="Cambria"/>
      <w:color w:val="000000"/>
      <w:sz w:val="24"/>
      <w:szCs w:val="24"/>
      <w:u w:color="000000"/>
      <w:lang w:val="en-US"/>
    </w:rPr>
  </w:style>
  <w:style w:type="character" w:customStyle="1" w:styleId="Heading3Char">
    <w:name w:val="Heading 3 Char"/>
    <w:basedOn w:val="DefaultParagraphFont"/>
    <w:link w:val="Heading3"/>
    <w:rsid w:val="004B316C"/>
    <w:rPr>
      <w:rFonts w:asciiTheme="majorHAnsi" w:eastAsiaTheme="majorEastAsia" w:hAnsiTheme="majorHAnsi" w:cstheme="majorBidi"/>
      <w:b/>
      <w:bCs/>
      <w:color w:val="4F81BD" w:themeColor="accent1"/>
      <w:sz w:val="24"/>
      <w:szCs w:val="24"/>
      <w:lang w:val="en-US" w:eastAsia="en-US"/>
    </w:rPr>
  </w:style>
  <w:style w:type="character" w:customStyle="1" w:styleId="Heading2Char">
    <w:name w:val="Heading 2 Char"/>
    <w:basedOn w:val="DefaultParagraphFont"/>
    <w:link w:val="Heading2"/>
    <w:rsid w:val="00E24E60"/>
    <w:rPr>
      <w:rFonts w:asciiTheme="majorHAnsi" w:eastAsia="Times New Roman" w:hAnsiTheme="majorHAnsi"/>
      <w:b/>
      <w:bdr w:val="none" w:sz="0" w:space="0" w:color="auto"/>
      <w:lang w:val="es-ES_tradnl" w:eastAsia="en-US"/>
    </w:rPr>
  </w:style>
  <w:style w:type="character" w:customStyle="1" w:styleId="Heading4Char">
    <w:name w:val="Heading 4 Char"/>
    <w:basedOn w:val="DefaultParagraphFont"/>
    <w:link w:val="Heading4"/>
    <w:rsid w:val="004B316C"/>
    <w:rPr>
      <w:rFonts w:ascii="Arial" w:eastAsia="Times New Roman" w:hAnsi="Arial"/>
      <w:b/>
      <w:sz w:val="24"/>
      <w:bdr w:val="none" w:sz="0" w:space="0" w:color="auto"/>
      <w:lang w:val="en-US" w:eastAsia="en-US"/>
    </w:rPr>
  </w:style>
  <w:style w:type="character" w:customStyle="1" w:styleId="Heading5Char">
    <w:name w:val="Heading 5 Char"/>
    <w:basedOn w:val="DefaultParagraphFont"/>
    <w:link w:val="Heading5"/>
    <w:rsid w:val="004B316C"/>
    <w:rPr>
      <w:rFonts w:eastAsia="Times New Roman"/>
      <w:sz w:val="22"/>
      <w:bdr w:val="none" w:sz="0" w:space="0" w:color="auto"/>
      <w:lang w:val="en-US" w:eastAsia="en-US"/>
    </w:rPr>
  </w:style>
  <w:style w:type="character" w:customStyle="1" w:styleId="Heading6Char">
    <w:name w:val="Heading 6 Char"/>
    <w:basedOn w:val="DefaultParagraphFont"/>
    <w:link w:val="Heading6"/>
    <w:rsid w:val="004B316C"/>
    <w:rPr>
      <w:rFonts w:eastAsia="Times New Roman"/>
      <w:i/>
      <w:sz w:val="22"/>
      <w:bdr w:val="none" w:sz="0" w:space="0" w:color="auto"/>
      <w:lang w:val="en-US" w:eastAsia="en-US"/>
    </w:rPr>
  </w:style>
  <w:style w:type="character" w:customStyle="1" w:styleId="Heading7Char">
    <w:name w:val="Heading 7 Char"/>
    <w:basedOn w:val="DefaultParagraphFont"/>
    <w:link w:val="Heading7"/>
    <w:rsid w:val="004B316C"/>
    <w:rPr>
      <w:rFonts w:ascii="Arial" w:eastAsia="Times New Roman" w:hAnsi="Arial"/>
      <w:bdr w:val="none" w:sz="0" w:space="0" w:color="auto"/>
      <w:lang w:val="en-US" w:eastAsia="en-US"/>
    </w:rPr>
  </w:style>
  <w:style w:type="character" w:customStyle="1" w:styleId="Heading8Char">
    <w:name w:val="Heading 8 Char"/>
    <w:basedOn w:val="DefaultParagraphFont"/>
    <w:link w:val="Heading8"/>
    <w:rsid w:val="004B316C"/>
    <w:rPr>
      <w:rFonts w:ascii="Arial" w:eastAsia="Times New Roman" w:hAnsi="Arial"/>
      <w:i/>
      <w:bdr w:val="none" w:sz="0" w:space="0" w:color="auto"/>
      <w:lang w:val="en-US" w:eastAsia="en-US"/>
    </w:rPr>
  </w:style>
  <w:style w:type="character" w:customStyle="1" w:styleId="Heading9Char">
    <w:name w:val="Heading 9 Char"/>
    <w:basedOn w:val="DefaultParagraphFont"/>
    <w:link w:val="Heading9"/>
    <w:rsid w:val="004B316C"/>
    <w:rPr>
      <w:rFonts w:ascii="Arial" w:eastAsia="Times New Roman" w:hAnsi="Arial"/>
      <w:b/>
      <w:i/>
      <w:sz w:val="18"/>
      <w:bdr w:val="none" w:sz="0" w:space="0" w:color="auto"/>
      <w:lang w:val="en-US" w:eastAsia="en-US"/>
    </w:rPr>
  </w:style>
  <w:style w:type="numbering" w:customStyle="1" w:styleId="NoList1">
    <w:name w:val="No List1"/>
    <w:next w:val="NoList"/>
    <w:semiHidden/>
    <w:unhideWhenUsed/>
    <w:rsid w:val="004B316C"/>
  </w:style>
  <w:style w:type="character" w:customStyle="1" w:styleId="BodyTextIndentChar">
    <w:name w:val="Body Text Indent Char"/>
    <w:basedOn w:val="DefaultParagraphFont"/>
    <w:link w:val="BodyTextIndent"/>
    <w:rsid w:val="004B316C"/>
    <w:rPr>
      <w:rFonts w:eastAsia="Times New Roman"/>
      <w:color w:val="000000"/>
      <w:sz w:val="24"/>
      <w:szCs w:val="24"/>
      <w:u w:color="000000"/>
      <w:lang w:val="es-ES_tradnl"/>
    </w:rPr>
  </w:style>
  <w:style w:type="character" w:customStyle="1" w:styleId="FootnoteTextChar">
    <w:name w:val="Footnote Text Char"/>
    <w:aliases w:val="Footnote Text Char Char Char Char Char Char,Footnote Text Char Char Char Char Char1,FA Fu Char,Footnote reference Char,Footnote Text Char Char Char Char1,FA Fußnotentext Char,FA Fuﬂnotentext Char,Texto nota pie Car Char,Ca Char"/>
    <w:basedOn w:val="DefaultParagraphFont"/>
    <w:link w:val="FootnoteText"/>
    <w:uiPriority w:val="99"/>
    <w:rsid w:val="004B316C"/>
    <w:rPr>
      <w:rFonts w:ascii="Calibri" w:eastAsia="Calibri" w:hAnsi="Calibri" w:cs="Calibri"/>
      <w:color w:val="000000"/>
      <w:u w:color="000000"/>
      <w:lang w:val="en-US"/>
    </w:rPr>
  </w:style>
  <w:style w:type="character" w:styleId="FootnoteReference">
    <w:name w:val="footnote reference"/>
    <w:aliases w:val="Footnotes refss,Texto de nota al pie,Appel note de bas de page,Footnote number,referencia nota al pie,BVI fnr,f,Ref. de nota al pie.,Footnote symbol,Footnote,4_G,16 Point,Superscript 6 Point,Texto nota al pie,Ref. de nota al pi,Ref,R"/>
    <w:uiPriority w:val="99"/>
    <w:qFormat/>
    <w:rsid w:val="004B316C"/>
    <w:rPr>
      <w:rFonts w:ascii="Verdana" w:hAnsi="Verdana"/>
      <w:sz w:val="22"/>
      <w:vertAlign w:val="superscript"/>
    </w:rPr>
  </w:style>
  <w:style w:type="character" w:customStyle="1" w:styleId="Style">
    <w:name w:val="Style"/>
    <w:rsid w:val="004B316C"/>
    <w:rPr>
      <w:rFonts w:ascii="Times New Roman" w:hAnsi="Times New Roman"/>
      <w:sz w:val="22"/>
      <w:vertAlign w:val="superscript"/>
    </w:rPr>
  </w:style>
  <w:style w:type="paragraph" w:customStyle="1" w:styleId="Style1">
    <w:name w:val="Style1"/>
    <w:basedOn w:val="FootnoteText"/>
    <w:autoRedefine/>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Univers" w:eastAsia="Times New Roman" w:hAnsi="Univers" w:cs="Times New Roman"/>
      <w:color w:val="auto"/>
      <w:sz w:val="16"/>
      <w:szCs w:val="16"/>
      <w:bdr w:val="none" w:sz="0" w:space="0" w:color="auto"/>
      <w:lang w:val="es-PY" w:eastAsia="en-US"/>
    </w:rPr>
  </w:style>
  <w:style w:type="paragraph" w:customStyle="1" w:styleId="Style10">
    <w:name w:val="Style 1"/>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408" w:lineRule="atLeast"/>
      <w:jc w:val="both"/>
    </w:pPr>
    <w:rPr>
      <w:rFonts w:eastAsia="Times New Roman"/>
      <w:bdr w:val="none" w:sz="0" w:space="0" w:color="auto"/>
    </w:rPr>
  </w:style>
  <w:style w:type="paragraph" w:customStyle="1" w:styleId="Style4">
    <w:name w:val="Style 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408" w:lineRule="atLeast"/>
      <w:jc w:val="both"/>
    </w:pPr>
    <w:rPr>
      <w:rFonts w:eastAsia="Times New Roman"/>
      <w:bdr w:val="none" w:sz="0" w:space="0" w:color="auto"/>
    </w:rPr>
  </w:style>
  <w:style w:type="paragraph" w:customStyle="1" w:styleId="Style31">
    <w:name w:val="Style 3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3204" w:line="1116" w:lineRule="exact"/>
      <w:jc w:val="center"/>
    </w:pPr>
    <w:rPr>
      <w:rFonts w:eastAsia="Times New Roman"/>
      <w:bdr w:val="none" w:sz="0" w:space="0" w:color="auto"/>
    </w:rPr>
  </w:style>
  <w:style w:type="paragraph" w:customStyle="1" w:styleId="Style36">
    <w:name w:val="Style 3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right="72"/>
      <w:jc w:val="both"/>
    </w:pPr>
    <w:rPr>
      <w:rFonts w:eastAsia="Times New Roman"/>
      <w:bdr w:val="none" w:sz="0" w:space="0" w:color="auto"/>
    </w:rPr>
  </w:style>
  <w:style w:type="paragraph" w:customStyle="1" w:styleId="Style11">
    <w:name w:val="Style 1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jc w:val="both"/>
    </w:pPr>
    <w:rPr>
      <w:rFonts w:eastAsia="Times New Roman"/>
      <w:bdr w:val="none" w:sz="0" w:space="0" w:color="auto"/>
    </w:rPr>
  </w:style>
  <w:style w:type="paragraph" w:customStyle="1" w:styleId="Style14">
    <w:name w:val="Style 1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left="504" w:right="72" w:hanging="504"/>
      <w:jc w:val="both"/>
    </w:pPr>
    <w:rPr>
      <w:rFonts w:eastAsia="Times New Roman"/>
      <w:bdr w:val="none" w:sz="0" w:space="0" w:color="auto"/>
    </w:rPr>
  </w:style>
  <w:style w:type="paragraph" w:customStyle="1" w:styleId="Style27">
    <w:name w:val="Style 2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360" w:lineRule="auto"/>
      <w:ind w:left="360" w:hanging="360"/>
      <w:jc w:val="both"/>
    </w:pPr>
    <w:rPr>
      <w:rFonts w:eastAsia="Times New Roman"/>
      <w:bdr w:val="none" w:sz="0" w:space="0" w:color="auto"/>
    </w:rPr>
  </w:style>
  <w:style w:type="paragraph" w:customStyle="1" w:styleId="Style16">
    <w:name w:val="Style 1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60" w:hanging="360"/>
      <w:jc w:val="both"/>
    </w:pPr>
    <w:rPr>
      <w:rFonts w:eastAsia="Times New Roman"/>
      <w:bdr w:val="none" w:sz="0" w:space="0" w:color="auto"/>
    </w:rPr>
  </w:style>
  <w:style w:type="paragraph" w:customStyle="1" w:styleId="Style17">
    <w:name w:val="Style 1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9">
    <w:name w:val="Style 1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504" w:right="72" w:hanging="504"/>
      <w:jc w:val="both"/>
    </w:pPr>
    <w:rPr>
      <w:rFonts w:eastAsia="Times New Roman"/>
      <w:bdr w:val="none" w:sz="0" w:space="0" w:color="auto"/>
    </w:rPr>
  </w:style>
  <w:style w:type="paragraph" w:customStyle="1" w:styleId="Style21">
    <w:name w:val="Style 2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jc w:val="both"/>
    </w:pPr>
    <w:rPr>
      <w:rFonts w:eastAsia="Times New Roman"/>
      <w:bdr w:val="none" w:sz="0" w:space="0" w:color="auto"/>
    </w:rPr>
  </w:style>
  <w:style w:type="paragraph" w:customStyle="1" w:styleId="Style22">
    <w:name w:val="Style 2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pPr>
    <w:rPr>
      <w:rFonts w:eastAsia="Times New Roman"/>
      <w:bdr w:val="none" w:sz="0" w:space="0" w:color="auto"/>
    </w:rPr>
  </w:style>
  <w:style w:type="paragraph" w:customStyle="1" w:styleId="Style24">
    <w:name w:val="Style 2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left="504" w:right="72" w:hanging="504"/>
      <w:jc w:val="both"/>
    </w:pPr>
    <w:rPr>
      <w:rFonts w:eastAsia="Times New Roman"/>
      <w:bdr w:val="none" w:sz="0" w:space="0" w:color="auto"/>
    </w:rPr>
  </w:style>
  <w:style w:type="paragraph" w:styleId="DocumentMap">
    <w:name w:val="Document Map"/>
    <w:basedOn w:val="Normal"/>
    <w:link w:val="DocumentMapChar"/>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rPr>
  </w:style>
  <w:style w:type="character" w:customStyle="1" w:styleId="DocumentMapChar">
    <w:name w:val="Document Map Char"/>
    <w:basedOn w:val="DefaultParagraphFont"/>
    <w:link w:val="DocumentMap"/>
    <w:semiHidden/>
    <w:rsid w:val="004B316C"/>
    <w:rPr>
      <w:rFonts w:ascii="Tahoma" w:eastAsia="Times New Roman" w:hAnsi="Tahoma" w:cs="Tahoma"/>
      <w:bdr w:val="none" w:sz="0" w:space="0" w:color="auto"/>
      <w:shd w:val="clear" w:color="auto" w:fill="000080"/>
      <w:lang w:val="en-US" w:eastAsia="en-US"/>
    </w:rPr>
  </w:style>
  <w:style w:type="paragraph" w:styleId="BodyText">
    <w:name w:val="Body Text"/>
    <w:aliases w:val="Body Text Char Car Car Car Car Car Car Car Car Car Car Car Car Car,Body Text Char Car Car Car Car Car Car Car Car Car Car Car Car"/>
    <w:basedOn w:val="Normal"/>
    <w:link w:val="BodyText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20"/>
      <w:szCs w:val="20"/>
      <w:bdr w:val="none" w:sz="0" w:space="0" w:color="auto"/>
    </w:rPr>
  </w:style>
  <w:style w:type="character" w:customStyle="1" w:styleId="BodyTextChar">
    <w:name w:val="Body Text Char"/>
    <w:aliases w:val="Body Text Char Car Car Car Car Car Car Car Car Car Car Car Car Car Char1,Body Text Char Car Car Car Car Car Car Car Car Car Car Car Car Char1"/>
    <w:basedOn w:val="DefaultParagraphFont"/>
    <w:link w:val="BodyText"/>
    <w:rsid w:val="004B316C"/>
    <w:rPr>
      <w:rFonts w:eastAsia="Times New Roman"/>
      <w:bdr w:val="none" w:sz="0" w:space="0" w:color="auto"/>
      <w:lang w:val="en-US" w:eastAsia="en-US"/>
    </w:rPr>
  </w:style>
  <w:style w:type="paragraph" w:customStyle="1" w:styleId="Style6">
    <w:name w:val="Style 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jc w:val="both"/>
    </w:pPr>
    <w:rPr>
      <w:rFonts w:eastAsia="Times New Roman"/>
      <w:bdr w:val="none" w:sz="0" w:space="0" w:color="auto"/>
    </w:rPr>
  </w:style>
  <w:style w:type="paragraph" w:customStyle="1" w:styleId="Style29">
    <w:name w:val="Style 2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right="72"/>
      <w:jc w:val="both"/>
    </w:pPr>
    <w:rPr>
      <w:rFonts w:eastAsia="Times New Roman"/>
      <w:bdr w:val="none" w:sz="0" w:space="0" w:color="auto"/>
    </w:rPr>
  </w:style>
  <w:style w:type="paragraph" w:customStyle="1" w:styleId="Style28">
    <w:name w:val="Style 2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left="72"/>
      <w:jc w:val="both"/>
    </w:pPr>
    <w:rPr>
      <w:rFonts w:eastAsia="Times New Roman"/>
      <w:bdr w:val="none" w:sz="0" w:space="0" w:color="auto"/>
    </w:rPr>
  </w:style>
  <w:style w:type="paragraph" w:customStyle="1" w:styleId="Style26">
    <w:name w:val="Style 2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00">
    <w:name w:val="Style 1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jc w:val="both"/>
    </w:pPr>
    <w:rPr>
      <w:rFonts w:eastAsia="Times New Roman"/>
      <w:bdr w:val="none" w:sz="0" w:space="0" w:color="auto"/>
    </w:rPr>
  </w:style>
  <w:style w:type="paragraph" w:customStyle="1" w:styleId="Style12">
    <w:name w:val="Style 1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3">
    <w:name w:val="Style 13"/>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2" w:firstLine="72"/>
      <w:jc w:val="both"/>
    </w:pPr>
    <w:rPr>
      <w:rFonts w:eastAsia="Times New Roman"/>
      <w:bdr w:val="none" w:sz="0" w:space="0" w:color="auto"/>
    </w:rPr>
  </w:style>
  <w:style w:type="paragraph" w:customStyle="1" w:styleId="Style2">
    <w:name w:val="Style 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5">
    <w:name w:val="Style 1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648" w:right="72"/>
    </w:pPr>
    <w:rPr>
      <w:rFonts w:eastAsia="Times New Roman"/>
      <w:bdr w:val="none" w:sz="0" w:space="0" w:color="auto"/>
    </w:rPr>
  </w:style>
  <w:style w:type="paragraph" w:customStyle="1" w:styleId="Style25">
    <w:name w:val="Style 2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8">
    <w:name w:val="Style 1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20">
    <w:name w:val="Style 2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pPr>
    <w:rPr>
      <w:rFonts w:eastAsia="Times New Roman"/>
      <w:bdr w:val="none" w:sz="0" w:space="0" w:color="auto"/>
    </w:rPr>
  </w:style>
  <w:style w:type="table" w:styleId="TableGrid">
    <w:name w:val="Table Grid"/>
    <w:basedOn w:val="TableNormal"/>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1,Normal (Web) Char Char,Normal (Web) Char1 Char,Normal (Web) Char Char Char"/>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uiPriority w:val="22"/>
    <w:qFormat/>
    <w:rsid w:val="004B316C"/>
    <w:rPr>
      <w:b/>
      <w:bCs/>
    </w:rPr>
  </w:style>
  <w:style w:type="character" w:customStyle="1" w:styleId="Heading1CharCharCharCharCharChar">
    <w:name w:val="Heading 1 Char Char Char Char Char Char"/>
    <w:rsid w:val="004B316C"/>
    <w:rPr>
      <w:rFonts w:ascii="Univers" w:hAnsi="Univers" w:cs="Arial"/>
      <w:kern w:val="36"/>
      <w:sz w:val="22"/>
      <w:szCs w:val="22"/>
      <w:lang w:val="en-US" w:eastAsia="en-US" w:bidi="ar-SA"/>
    </w:rPr>
  </w:style>
  <w:style w:type="paragraph" w:styleId="BodyTextIndent2">
    <w:name w:val="Body Text Indent 2"/>
    <w:basedOn w:val="Normal"/>
    <w:link w:val="BodyTextIndent2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sz w:val="20"/>
      <w:szCs w:val="20"/>
      <w:bdr w:val="none" w:sz="0" w:space="0" w:color="auto"/>
    </w:rPr>
  </w:style>
  <w:style w:type="character" w:customStyle="1" w:styleId="BodyTextIndent2Char">
    <w:name w:val="Body Text Indent 2 Char"/>
    <w:basedOn w:val="DefaultParagraphFont"/>
    <w:link w:val="BodyTextIndent2"/>
    <w:rsid w:val="004B316C"/>
    <w:rPr>
      <w:rFonts w:eastAsia="Times New Roman"/>
      <w:bdr w:val="none" w:sz="0" w:space="0" w:color="auto"/>
      <w:lang w:val="en-US" w:eastAsia="en-US"/>
    </w:rPr>
  </w:style>
  <w:style w:type="paragraph" w:customStyle="1" w:styleId="Default">
    <w:name w:val="Default"/>
    <w:link w:val="DefaultChar"/>
    <w:rsid w:val="004B31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ju-005fpara--char">
    <w:name w:val="ju-005fpara--char"/>
    <w:basedOn w:val="DefaultParagraphFont"/>
    <w:rsid w:val="004B316C"/>
  </w:style>
  <w:style w:type="paragraph" w:customStyle="1" w:styleId="Sinespaciado1">
    <w:name w:val="Sin espaciado1"/>
    <w:qFormat/>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normal--char">
    <w:name w:val="normal--char"/>
    <w:basedOn w:val="DefaultParagraphFont"/>
    <w:rsid w:val="004B316C"/>
  </w:style>
  <w:style w:type="paragraph" w:styleId="Title">
    <w:name w:val="Title"/>
    <w:basedOn w:val="Normal"/>
    <w:link w:val="Title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b/>
      <w:sz w:val="22"/>
      <w:szCs w:val="20"/>
      <w:bdr w:val="none" w:sz="0" w:space="0" w:color="auto"/>
      <w:lang w:val="es-ES"/>
    </w:rPr>
  </w:style>
  <w:style w:type="character" w:customStyle="1" w:styleId="TitleChar">
    <w:name w:val="Title Char"/>
    <w:basedOn w:val="DefaultParagraphFont"/>
    <w:link w:val="Title"/>
    <w:rsid w:val="004B316C"/>
    <w:rPr>
      <w:rFonts w:ascii="Univers" w:eastAsia="Times New Roman" w:hAnsi="Univers"/>
      <w:b/>
      <w:sz w:val="22"/>
      <w:bdr w:val="none" w:sz="0" w:space="0" w:color="auto"/>
      <w:lang w:eastAsia="en-US"/>
    </w:rPr>
  </w:style>
  <w:style w:type="character" w:customStyle="1" w:styleId="antetitulo1">
    <w:name w:val="antetitulo1"/>
    <w:rsid w:val="004B316C"/>
    <w:rPr>
      <w:rFonts w:ascii="Verdana" w:hAnsi="Verdana"/>
      <w:b w:val="0"/>
      <w:bCs w:val="0"/>
      <w:strike w:val="0"/>
      <w:dstrike w:val="0"/>
      <w:color w:val="CC0000"/>
      <w:sz w:val="15"/>
      <w:szCs w:val="15"/>
      <w:u w:val="none"/>
      <w:effect w:val="none"/>
    </w:rPr>
  </w:style>
  <w:style w:type="character" w:customStyle="1" w:styleId="ju-005fcase-0020char--char">
    <w:name w:val="ju-005fcase-0020char--char"/>
    <w:basedOn w:val="DefaultParagraphFont"/>
    <w:rsid w:val="004B316C"/>
  </w:style>
  <w:style w:type="paragraph" w:customStyle="1" w:styleId="Blockquote">
    <w:name w:val="Blockquote"/>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Times New Roman"/>
      <w:snapToGrid w:val="0"/>
      <w:szCs w:val="20"/>
      <w:bdr w:val="none" w:sz="0" w:space="0" w:color="auto"/>
    </w:rPr>
  </w:style>
  <w:style w:type="paragraph" w:styleId="TOC5">
    <w:name w:val="toc 5"/>
    <w:basedOn w:val="Normal"/>
    <w:next w:val="Normal"/>
    <w:autoRedefine/>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ind w:left="800"/>
    </w:pPr>
    <w:rPr>
      <w:rFonts w:eastAsia="Times New Roman"/>
      <w:sz w:val="20"/>
      <w:szCs w:val="20"/>
      <w:bdr w:val="none" w:sz="0" w:space="0" w:color="auto"/>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semiHidden/>
    <w:locked/>
    <w:rsid w:val="004B316C"/>
    <w:rPr>
      <w:rFonts w:cs="Times New Roman"/>
      <w:lang w:val="es-ES_tradnl" w:eastAsia="en-US" w:bidi="ar-SA"/>
    </w:rPr>
  </w:style>
  <w:style w:type="paragraph" w:customStyle="1" w:styleId="Car">
    <w:name w:val="Car"/>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Times New Roman"/>
      <w:noProof/>
      <w:color w:val="000000"/>
      <w:sz w:val="20"/>
      <w:szCs w:val="20"/>
      <w:bdr w:val="none" w:sz="0" w:space="0" w:color="auto"/>
      <w:lang w:val="es-CO" w:eastAsia="es-ES"/>
    </w:rPr>
  </w:style>
  <w:style w:type="paragraph" w:customStyle="1" w:styleId="Prrafonumerado">
    <w:name w:val="Párrafo numerado"/>
    <w:basedOn w:val="Normal"/>
    <w:autoRedefine/>
    <w:rsid w:val="004B316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60"/>
      <w:jc w:val="both"/>
    </w:pPr>
    <w:rPr>
      <w:rFonts w:ascii="Univers" w:eastAsia="Times New Roman" w:hAnsi="Univers"/>
      <w:sz w:val="18"/>
      <w:szCs w:val="18"/>
      <w:bdr w:val="none" w:sz="0" w:space="0" w:color="auto"/>
      <w:lang w:val="es-CO" w:eastAsia="es-ES"/>
    </w:rPr>
  </w:style>
  <w:style w:type="paragraph" w:styleId="BodyText3">
    <w:name w:val="Body Text 3"/>
    <w:basedOn w:val="Normal"/>
    <w:link w:val="BodyTex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4B316C"/>
    <w:rPr>
      <w:rFonts w:eastAsia="Times New Roman"/>
      <w:sz w:val="16"/>
      <w:szCs w:val="16"/>
      <w:bdr w:val="none" w:sz="0" w:space="0" w:color="auto"/>
      <w:lang w:val="en-US" w:eastAsia="en-US"/>
    </w:rPr>
  </w:style>
  <w:style w:type="paragraph" w:styleId="BodyTextIndent3">
    <w:name w:val="Body Text Indent 3"/>
    <w:basedOn w:val="Normal"/>
    <w:link w:val="BodyTextInden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rPr>
  </w:style>
  <w:style w:type="character" w:customStyle="1" w:styleId="BodyTextIndent3Char">
    <w:name w:val="Body Text Indent 3 Char"/>
    <w:basedOn w:val="DefaultParagraphFont"/>
    <w:link w:val="BodyTextIndent3"/>
    <w:rsid w:val="004B316C"/>
    <w:rPr>
      <w:rFonts w:eastAsia="Times New Roman"/>
      <w:sz w:val="16"/>
      <w:szCs w:val="16"/>
      <w:bdr w:val="none" w:sz="0" w:space="0" w:color="auto"/>
      <w:lang w:val="en-US" w:eastAsia="en-US"/>
    </w:rPr>
  </w:style>
  <w:style w:type="character" w:customStyle="1" w:styleId="FootnoteCharacters">
    <w:name w:val="Footnote Characters"/>
    <w:rsid w:val="004B316C"/>
    <w:rPr>
      <w:vertAlign w:val="superscript"/>
    </w:rPr>
  </w:style>
  <w:style w:type="character" w:customStyle="1" w:styleId="WW-FootnoteCharacters">
    <w:name w:val="WW-Footnote Characters"/>
    <w:rsid w:val="004B316C"/>
    <w:rPr>
      <w:rFonts w:ascii="Universal" w:hAnsi="Universal"/>
      <w:sz w:val="16"/>
      <w:vertAlign w:val="superscript"/>
    </w:rPr>
  </w:style>
  <w:style w:type="character" w:customStyle="1" w:styleId="textonavy1">
    <w:name w:val="texto_navy1"/>
    <w:rsid w:val="004B316C"/>
    <w:rPr>
      <w:color w:val="000080"/>
    </w:rPr>
  </w:style>
  <w:style w:type="paragraph" w:customStyle="1" w:styleId="Style3">
    <w:name w:val="Style 3"/>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pPr>
    <w:rPr>
      <w:rFonts w:eastAsia="Times New Roman"/>
      <w:bdr w:val="none" w:sz="0" w:space="0" w:color="auto"/>
    </w:rPr>
  </w:style>
  <w:style w:type="paragraph" w:customStyle="1" w:styleId="Style5">
    <w:name w:val="Style 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360" w:lineRule="auto"/>
      <w:jc w:val="both"/>
    </w:pPr>
    <w:rPr>
      <w:rFonts w:eastAsia="Times New Roman"/>
      <w:bdr w:val="none" w:sz="0" w:space="0" w:color="auto"/>
    </w:rPr>
  </w:style>
  <w:style w:type="paragraph" w:customStyle="1" w:styleId="Style7">
    <w:name w:val="Style 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right="72"/>
      <w:jc w:val="both"/>
    </w:pPr>
    <w:rPr>
      <w:rFonts w:eastAsia="Times New Roman"/>
      <w:bdr w:val="none" w:sz="0" w:space="0" w:color="auto"/>
    </w:rPr>
  </w:style>
  <w:style w:type="character" w:styleId="Emphasis">
    <w:name w:val="Emphasis"/>
    <w:qFormat/>
    <w:rsid w:val="004B316C"/>
    <w:rPr>
      <w:i/>
      <w:iCs/>
    </w:rPr>
  </w:style>
  <w:style w:type="character" w:styleId="CommentReference">
    <w:name w:val="annotation reference"/>
    <w:semiHidden/>
    <w:rsid w:val="004B316C"/>
    <w:rPr>
      <w:sz w:val="16"/>
      <w:szCs w:val="16"/>
    </w:rPr>
  </w:style>
  <w:style w:type="paragraph" w:styleId="CommentText">
    <w:name w:val="annotation text"/>
    <w:basedOn w:val="Normal"/>
    <w:link w:val="CommentTextChar"/>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semiHidden/>
    <w:rsid w:val="004B316C"/>
    <w:rPr>
      <w:rFonts w:eastAsia="Times New Roman"/>
      <w:bdr w:val="none" w:sz="0" w:space="0" w:color="auto"/>
      <w:lang w:val="en-US" w:eastAsia="en-US"/>
    </w:rPr>
  </w:style>
  <w:style w:type="character" w:customStyle="1" w:styleId="st1">
    <w:name w:val="st1"/>
    <w:basedOn w:val="DefaultParagraphFont"/>
    <w:rsid w:val="006F34E3"/>
  </w:style>
  <w:style w:type="paragraph" w:styleId="BodyText2">
    <w:name w:val="Body Text 2"/>
    <w:basedOn w:val="Normal"/>
    <w:link w:val="BodyText2Char"/>
    <w:unhideWhenUsed/>
    <w:rsid w:val="005F74FD"/>
    <w:pPr>
      <w:spacing w:after="120" w:line="480" w:lineRule="auto"/>
    </w:pPr>
  </w:style>
  <w:style w:type="character" w:customStyle="1" w:styleId="BodyText2Char">
    <w:name w:val="Body Text 2 Char"/>
    <w:basedOn w:val="DefaultParagraphFont"/>
    <w:link w:val="BodyText2"/>
    <w:semiHidden/>
    <w:rsid w:val="005F74FD"/>
    <w:rPr>
      <w:sz w:val="24"/>
      <w:szCs w:val="24"/>
      <w:lang w:val="en-US" w:eastAsia="en-US"/>
    </w:rPr>
  </w:style>
  <w:style w:type="paragraph" w:styleId="PlainText">
    <w:name w:val="Plain Text"/>
    <w:basedOn w:val="Normal"/>
    <w:link w:val="PlainTextChar"/>
    <w:uiPriority w:val="99"/>
    <w:unhideWhenUsed/>
    <w:rsid w:val="006D5ED9"/>
    <w:rPr>
      <w:rFonts w:ascii="Consolas" w:hAnsi="Consolas" w:cs="Consolas"/>
      <w:sz w:val="21"/>
      <w:szCs w:val="21"/>
    </w:rPr>
  </w:style>
  <w:style w:type="character" w:customStyle="1" w:styleId="PlainTextChar">
    <w:name w:val="Plain Text Char"/>
    <w:basedOn w:val="DefaultParagraphFont"/>
    <w:link w:val="PlainText"/>
    <w:uiPriority w:val="99"/>
    <w:semiHidden/>
    <w:rsid w:val="006D5ED9"/>
    <w:rPr>
      <w:rFonts w:ascii="Consolas" w:hAnsi="Consolas" w:cs="Consolas"/>
      <w:sz w:val="21"/>
      <w:szCs w:val="21"/>
      <w:lang w:val="en-US" w:eastAsia="en-US"/>
    </w:rPr>
  </w:style>
  <w:style w:type="character" w:customStyle="1" w:styleId="ListParagraphChar">
    <w:name w:val="List Paragraph Char"/>
    <w:link w:val="ListParagraph"/>
    <w:uiPriority w:val="34"/>
    <w:locked/>
    <w:rsid w:val="00AA09B7"/>
    <w:rPr>
      <w:rFonts w:ascii="Cambria" w:eastAsia="Cambria" w:hAnsi="Cambria" w:cs="Cambria"/>
      <w:color w:val="000000"/>
      <w:sz w:val="24"/>
      <w:szCs w:val="24"/>
      <w:u w:color="000000"/>
      <w:lang w:val="en-US"/>
    </w:rPr>
  </w:style>
  <w:style w:type="character" w:customStyle="1" w:styleId="BodyTextChar1">
    <w:name w:val="Body Text Char1"/>
    <w:aliases w:val="Body Text Char Char,Body Text Char Car Car Car Car Car Car Car Car Car Car Car Car Car Char,Body Text Char Car Car Car Car Car Car Car Car Car Car Car Car Char"/>
    <w:semiHidden/>
    <w:locked/>
    <w:rsid w:val="00E40449"/>
    <w:rPr>
      <w:rFonts w:ascii="Univers" w:eastAsia="Batang" w:hAnsi="Univers"/>
      <w:spacing w:val="-2"/>
      <w:sz w:val="22"/>
      <w:lang w:val="es-ES_tradnl" w:eastAsia="en-US" w:bidi="ar-SA"/>
    </w:rPr>
  </w:style>
  <w:style w:type="character" w:customStyle="1" w:styleId="FootnoteTextChar2">
    <w:name w:val="Footnote Text Char2"/>
    <w:aliases w:val="Footnote Text Char Char Char Char Char Char2,Footnote Text Char Char Char Char Char11,Footnote reference Char2,FA Fu Char2,Footnote Text Char Char Char Char11,Footnote Text Cha Char2,FA Fußnotentext Char2,FA Fuﬂnotentext Char2,f Cha"/>
    <w:semiHidden/>
    <w:locked/>
    <w:rsid w:val="00E40449"/>
    <w:rPr>
      <w:rFonts w:ascii="Univers" w:hAnsi="Univers" w:cs="Times New Roman"/>
      <w:lang w:val="es-ES_tradnl" w:eastAsia="x-none"/>
    </w:rPr>
  </w:style>
  <w:style w:type="paragraph" w:styleId="Subtitle">
    <w:name w:val="Subtitle"/>
    <w:basedOn w:val="Normal"/>
    <w:link w:val="SubtitleChar"/>
    <w:qFormat/>
    <w:rsid w:val="00E40449"/>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Batang" w:hAnsi="Arial" w:cs="Arial"/>
      <w:bdr w:val="none" w:sz="0" w:space="0" w:color="auto"/>
      <w:lang w:val="es-ES_tradnl"/>
    </w:rPr>
  </w:style>
  <w:style w:type="character" w:customStyle="1" w:styleId="SubtitleChar">
    <w:name w:val="Subtitle Char"/>
    <w:basedOn w:val="DefaultParagraphFont"/>
    <w:link w:val="Subtitle"/>
    <w:rsid w:val="00E40449"/>
    <w:rPr>
      <w:rFonts w:ascii="Arial" w:eastAsia="Batang" w:hAnsi="Arial" w:cs="Arial"/>
      <w:sz w:val="24"/>
      <w:szCs w:val="24"/>
      <w:bdr w:val="none" w:sz="0" w:space="0" w:color="auto"/>
      <w:lang w:val="es-ES_tradnl" w:eastAsia="en-US"/>
    </w:rPr>
  </w:style>
  <w:style w:type="paragraph" w:styleId="List2">
    <w:name w:val="List 2"/>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Batang" w:hAnsi="Univers"/>
      <w:sz w:val="22"/>
      <w:szCs w:val="20"/>
      <w:bdr w:val="none" w:sz="0" w:space="0" w:color="auto"/>
      <w:lang w:val="es-ES_tradnl"/>
    </w:rPr>
  </w:style>
  <w:style w:type="character" w:customStyle="1" w:styleId="NormalWebChar">
    <w:name w:val="Normal (Web) Char"/>
    <w:aliases w:val="Normal (Web) Char1 Char1,Normal (Web) Char Char Char1,Normal (Web) Char1 Char Char,Normal (Web) Char Char Char Char"/>
    <w:rsid w:val="00E40449"/>
    <w:rPr>
      <w:sz w:val="24"/>
      <w:lang w:val="en-US" w:eastAsia="en-US"/>
    </w:rPr>
  </w:style>
  <w:style w:type="paragraph" w:styleId="BlockText">
    <w:name w:val="Block Text"/>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ascii="Univers" w:eastAsia="Batang" w:hAnsi="Univers"/>
      <w:sz w:val="18"/>
      <w:szCs w:val="20"/>
      <w:bdr w:val="none" w:sz="0" w:space="0" w:color="auto"/>
      <w:lang w:val="es-ES_tradnl"/>
    </w:rPr>
  </w:style>
  <w:style w:type="paragraph" w:styleId="List3">
    <w:name w:val="List 3"/>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1080" w:hanging="360"/>
    </w:pPr>
    <w:rPr>
      <w:rFonts w:ascii="Univers" w:eastAsia="Batang" w:hAnsi="Univers"/>
      <w:sz w:val="22"/>
      <w:szCs w:val="20"/>
      <w:bdr w:val="none" w:sz="0" w:space="0" w:color="auto"/>
      <w:lang w:val="es-ES_tradnl"/>
    </w:rPr>
  </w:style>
  <w:style w:type="paragraph" w:customStyle="1" w:styleId="Sangradetindependiente">
    <w:name w:val="SangrÌa de t. independiente"/>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Batang" w:hAnsi="Garamond"/>
      <w:szCs w:val="20"/>
      <w:bdr w:val="none" w:sz="0" w:space="0" w:color="auto"/>
      <w:lang w:val="es-ES_tradnl" w:eastAsia="ar-SA"/>
    </w:rPr>
  </w:style>
  <w:style w:type="character" w:styleId="FollowedHyperlink">
    <w:name w:val="FollowedHyperlink"/>
    <w:rsid w:val="00E40449"/>
    <w:rPr>
      <w:rFonts w:cs="Times New Roman"/>
      <w:color w:val="800080"/>
      <w:u w:val="single"/>
    </w:rPr>
  </w:style>
  <w:style w:type="character" w:customStyle="1" w:styleId="ifinal011">
    <w:name w:val="ifinal011"/>
    <w:rsid w:val="00E40449"/>
    <w:rPr>
      <w:rFonts w:ascii="Verdana" w:hAnsi="Verdana"/>
      <w:color w:val="003399"/>
      <w:sz w:val="12"/>
    </w:rPr>
  </w:style>
  <w:style w:type="paragraph" w:customStyle="1" w:styleId="PlaceholderText1">
    <w:name w:val="Placeholder Text1"/>
    <w:basedOn w:val="Normal"/>
    <w:rsid w:val="00E40449"/>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0"/>
      </w:tabs>
      <w:outlineLvl w:val="0"/>
    </w:pPr>
    <w:rPr>
      <w:rFonts w:ascii="Verdana" w:eastAsia="MS Gothic" w:hAnsi="Verdana"/>
      <w:sz w:val="20"/>
      <w:bdr w:val="none" w:sz="0" w:space="0" w:color="auto"/>
      <w:lang w:val="es-ES_tradnl"/>
    </w:rPr>
  </w:style>
  <w:style w:type="paragraph" w:styleId="NoSpacing">
    <w:name w:val="No Spacing"/>
    <w:basedOn w:val="Normal"/>
    <w:uiPriority w:val="1"/>
    <w:qFormat/>
    <w:rsid w:val="00E40449"/>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720"/>
      </w:tabs>
      <w:ind w:left="1080" w:hanging="360"/>
      <w:outlineLvl w:val="1"/>
    </w:pPr>
    <w:rPr>
      <w:rFonts w:ascii="Verdana" w:eastAsia="MS Gothic" w:hAnsi="Verdana"/>
      <w:sz w:val="20"/>
      <w:bdr w:val="none" w:sz="0" w:space="0" w:color="auto"/>
      <w:lang w:val="es-ES_tradnl"/>
    </w:rPr>
  </w:style>
  <w:style w:type="paragraph" w:customStyle="1" w:styleId="LightShading1">
    <w:name w:val="Light Shading1"/>
    <w:basedOn w:val="Normal"/>
    <w:rsid w:val="00E40449"/>
    <w:pPr>
      <w:keepNext/>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ind w:left="1800"/>
      <w:outlineLvl w:val="2"/>
    </w:pPr>
    <w:rPr>
      <w:rFonts w:ascii="Verdana" w:eastAsia="MS Gothic" w:hAnsi="Verdana"/>
      <w:sz w:val="20"/>
      <w:bdr w:val="none" w:sz="0" w:space="0" w:color="auto"/>
      <w:lang w:val="es-ES_tradnl"/>
    </w:rPr>
  </w:style>
  <w:style w:type="paragraph" w:customStyle="1" w:styleId="LightList1">
    <w:name w:val="Light List1"/>
    <w:basedOn w:val="Normal"/>
    <w:rsid w:val="00E40449"/>
    <w:pPr>
      <w:keepNext/>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160"/>
      </w:tabs>
      <w:ind w:left="2520"/>
      <w:outlineLvl w:val="3"/>
    </w:pPr>
    <w:rPr>
      <w:rFonts w:ascii="Verdana" w:eastAsia="MS Gothic" w:hAnsi="Verdana"/>
      <w:sz w:val="20"/>
      <w:bdr w:val="none" w:sz="0" w:space="0" w:color="auto"/>
      <w:lang w:val="es-ES_tradnl"/>
    </w:rPr>
  </w:style>
  <w:style w:type="paragraph" w:customStyle="1" w:styleId="LightGrid1">
    <w:name w:val="Light Grid1"/>
    <w:basedOn w:val="Normal"/>
    <w:rsid w:val="00E40449"/>
    <w:pPr>
      <w:keepNext/>
      <w:numPr>
        <w:ilvl w:val="3"/>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2880"/>
      </w:tabs>
      <w:ind w:left="3240"/>
      <w:outlineLvl w:val="4"/>
    </w:pPr>
    <w:rPr>
      <w:rFonts w:ascii="Verdana" w:eastAsia="MS Gothic" w:hAnsi="Verdana"/>
      <w:sz w:val="20"/>
      <w:bdr w:val="none" w:sz="0" w:space="0" w:color="auto"/>
      <w:lang w:val="es-ES_tradnl"/>
    </w:rPr>
  </w:style>
  <w:style w:type="paragraph" w:customStyle="1" w:styleId="MediumShading11">
    <w:name w:val="Medium Shading 11"/>
    <w:basedOn w:val="Normal"/>
    <w:rsid w:val="00E40449"/>
    <w:pPr>
      <w:keepNext/>
      <w:numPr>
        <w:ilvl w:val="4"/>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3600"/>
      </w:tabs>
      <w:ind w:left="3960"/>
      <w:outlineLvl w:val="5"/>
    </w:pPr>
    <w:rPr>
      <w:rFonts w:ascii="Verdana" w:eastAsia="MS Gothic" w:hAnsi="Verdana"/>
      <w:sz w:val="20"/>
      <w:bdr w:val="none" w:sz="0" w:space="0" w:color="auto"/>
      <w:lang w:val="es-ES_tradnl"/>
    </w:rPr>
  </w:style>
  <w:style w:type="paragraph" w:customStyle="1" w:styleId="MediumShading21">
    <w:name w:val="Medium Shading 21"/>
    <w:basedOn w:val="Normal"/>
    <w:rsid w:val="00E40449"/>
    <w:pPr>
      <w:keepNext/>
      <w:numPr>
        <w:ilvl w:val="5"/>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3600"/>
        <w:tab w:val="num" w:pos="4320"/>
      </w:tabs>
      <w:ind w:left="4680"/>
      <w:outlineLvl w:val="6"/>
    </w:pPr>
    <w:rPr>
      <w:rFonts w:ascii="Verdana" w:eastAsia="MS Gothic" w:hAnsi="Verdana"/>
      <w:sz w:val="20"/>
      <w:bdr w:val="none" w:sz="0" w:space="0" w:color="auto"/>
      <w:lang w:val="es-ES_tradnl"/>
    </w:rPr>
  </w:style>
  <w:style w:type="paragraph" w:customStyle="1" w:styleId="MediumList11">
    <w:name w:val="Medium List 11"/>
    <w:basedOn w:val="Normal"/>
    <w:rsid w:val="00E40449"/>
    <w:pPr>
      <w:keepNext/>
      <w:numPr>
        <w:ilvl w:val="6"/>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5040"/>
      </w:tabs>
      <w:ind w:left="5400"/>
      <w:outlineLvl w:val="7"/>
    </w:pPr>
    <w:rPr>
      <w:rFonts w:ascii="Verdana" w:eastAsia="MS Gothic" w:hAnsi="Verdana"/>
      <w:sz w:val="20"/>
      <w:bdr w:val="none" w:sz="0" w:space="0" w:color="auto"/>
      <w:lang w:val="es-ES_tradnl"/>
    </w:rPr>
  </w:style>
  <w:style w:type="paragraph" w:customStyle="1" w:styleId="MediumList21">
    <w:name w:val="Medium List 21"/>
    <w:basedOn w:val="Normal"/>
    <w:rsid w:val="00E40449"/>
    <w:pPr>
      <w:keepNext/>
      <w:numPr>
        <w:ilvl w:val="7"/>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040"/>
        <w:tab w:val="num" w:pos="5760"/>
      </w:tabs>
      <w:ind w:left="6120"/>
      <w:outlineLvl w:val="8"/>
    </w:pPr>
    <w:rPr>
      <w:rFonts w:ascii="Verdana" w:eastAsia="MS Gothic" w:hAnsi="Verdana"/>
      <w:sz w:val="20"/>
      <w:bdr w:val="none" w:sz="0" w:space="0" w:color="auto"/>
      <w:lang w:val="es-ES_tradnl"/>
    </w:rPr>
  </w:style>
  <w:style w:type="paragraph" w:customStyle="1" w:styleId="Estilo5">
    <w:name w:val="Estilo5"/>
    <w:basedOn w:val="Heading1"/>
    <w:next w:val="Normal"/>
    <w:rsid w:val="00E40449"/>
    <w:pPr>
      <w:numPr>
        <w:ilvl w:val="8"/>
        <w:numId w:val="56"/>
      </w:numPr>
      <w:tabs>
        <w:tab w:val="clear" w:pos="5760"/>
      </w:tabs>
      <w:spacing w:before="240" w:after="60"/>
      <w:ind w:left="0" w:firstLine="0"/>
      <w:jc w:val="both"/>
    </w:pPr>
    <w:rPr>
      <w:rFonts w:ascii="Verdana" w:eastAsia="Batang" w:hAnsi="Verdana" w:cs="Arial"/>
      <w:b w:val="0"/>
      <w:bCs/>
      <w:kern w:val="32"/>
      <w:szCs w:val="24"/>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E40449"/>
    <w:rPr>
      <w:rFonts w:ascii="Univers" w:eastAsia="Batang" w:hAnsi="Univers"/>
      <w:lang w:val="es-CO" w:eastAsia="en-US" w:bidi="ar-SA"/>
    </w:rPr>
  </w:style>
  <w:style w:type="character" w:customStyle="1" w:styleId="apple-converted-space">
    <w:name w:val="apple-converted-space"/>
    <w:rsid w:val="00E40449"/>
    <w:rPr>
      <w:rFonts w:cs="Times New Roman"/>
    </w:rPr>
  </w:style>
  <w:style w:type="paragraph" w:customStyle="1" w:styleId="Estilo7">
    <w:name w:val="Estilo7"/>
    <w:basedOn w:val="Normal"/>
    <w:rsid w:val="00E40449"/>
    <w:pPr>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pacing w:before="120" w:after="120"/>
      <w:jc w:val="both"/>
    </w:pPr>
    <w:rPr>
      <w:rFonts w:ascii="Verdana" w:eastAsia="Batang" w:hAnsi="Verdana"/>
      <w:b/>
      <w:i/>
      <w:sz w:val="20"/>
      <w:szCs w:val="20"/>
      <w:bdr w:val="none" w:sz="0" w:space="0" w:color="auto"/>
      <w:lang w:val="es-ES_tradnl" w:eastAsia="es-MX"/>
    </w:rPr>
  </w:style>
  <w:style w:type="character" w:customStyle="1" w:styleId="skypepnhprintcontainer">
    <w:name w:val="skype_pnh_print_container"/>
    <w:rsid w:val="00E40449"/>
    <w:rPr>
      <w:rFonts w:cs="Times New Roman"/>
    </w:rPr>
  </w:style>
  <w:style w:type="character" w:customStyle="1" w:styleId="skypepnhcontainer">
    <w:name w:val="skype_pnh_container"/>
    <w:rsid w:val="00E40449"/>
    <w:rPr>
      <w:rFonts w:cs="Times New Roman"/>
    </w:rPr>
  </w:style>
  <w:style w:type="character" w:customStyle="1" w:styleId="s6b621b36">
    <w:name w:val="s6b621b36"/>
    <w:rsid w:val="00E40449"/>
    <w:rPr>
      <w:rFonts w:cs="Times New Roman"/>
    </w:rPr>
  </w:style>
  <w:style w:type="character" w:customStyle="1" w:styleId="tituloarticulo1">
    <w:name w:val="titulo_articulo1"/>
    <w:rsid w:val="00E40449"/>
    <w:rPr>
      <w:rFonts w:ascii="Arial" w:hAnsi="Arial"/>
      <w:b/>
      <w:sz w:val="36"/>
    </w:rPr>
  </w:style>
  <w:style w:type="paragraph" w:styleId="CommentSubject">
    <w:name w:val="annotation subject"/>
    <w:basedOn w:val="CommentText"/>
    <w:next w:val="CommentText"/>
    <w:link w:val="CommentSubjectChar"/>
    <w:semiHidden/>
    <w:rsid w:val="00E40449"/>
    <w:rPr>
      <w:rFonts w:ascii="Univers" w:eastAsia="Batang" w:hAnsi="Univers"/>
      <w:sz w:val="22"/>
      <w:lang w:val="es-ES_tradnl"/>
    </w:rPr>
  </w:style>
  <w:style w:type="character" w:customStyle="1" w:styleId="CommentSubjectChar">
    <w:name w:val="Comment Subject Char"/>
    <w:basedOn w:val="CommentTextChar"/>
    <w:link w:val="CommentSubject"/>
    <w:semiHidden/>
    <w:rsid w:val="00E40449"/>
    <w:rPr>
      <w:rFonts w:ascii="Univers" w:eastAsia="Batang" w:hAnsi="Univers"/>
      <w:sz w:val="22"/>
      <w:bdr w:val="none" w:sz="0" w:space="0" w:color="auto"/>
      <w:lang w:val="es-ES_tradnl" w:eastAsia="en-US"/>
    </w:rPr>
  </w:style>
  <w:style w:type="character" w:customStyle="1" w:styleId="ListParagraphChar1">
    <w:name w:val="List Paragraph Char1"/>
    <w:aliases w:val="Footnote Char2"/>
    <w:locked/>
    <w:rsid w:val="00E40449"/>
    <w:rPr>
      <w:rFonts w:ascii="Verdana" w:hAnsi="Verdana"/>
      <w:lang w:val="es-ES_tradnl" w:eastAsia="x-none"/>
    </w:rPr>
  </w:style>
  <w:style w:type="paragraph" w:styleId="Revision">
    <w:name w:val="Revision"/>
    <w:hidden/>
    <w:uiPriority w:val="71"/>
    <w:rsid w:val="00E40449"/>
    <w:pPr>
      <w:pBdr>
        <w:top w:val="none" w:sz="0" w:space="0" w:color="auto"/>
        <w:left w:val="none" w:sz="0" w:space="0" w:color="auto"/>
        <w:bottom w:val="none" w:sz="0" w:space="0" w:color="auto"/>
        <w:right w:val="none" w:sz="0" w:space="0" w:color="auto"/>
        <w:between w:val="none" w:sz="0" w:space="0" w:color="auto"/>
        <w:bar w:val="none" w:sz="0" w:color="auto"/>
      </w:pBdr>
    </w:pPr>
    <w:rPr>
      <w:rFonts w:ascii="Univers" w:eastAsia="Batang" w:hAnsi="Univers"/>
      <w:sz w:val="22"/>
      <w:bdr w:val="none" w:sz="0" w:space="0" w:color="auto"/>
      <w:lang w:val="es-ES_tradnl" w:eastAsia="en-US"/>
    </w:rPr>
  </w:style>
  <w:style w:type="character" w:customStyle="1" w:styleId="apple-style-span">
    <w:name w:val="apple-style-span"/>
    <w:rsid w:val="00E40449"/>
  </w:style>
  <w:style w:type="character" w:customStyle="1" w:styleId="DefaultChar">
    <w:name w:val="Default Char"/>
    <w:link w:val="Default"/>
    <w:rsid w:val="00424452"/>
    <w:rPr>
      <w:rFonts w:eastAsia="Times New Roman"/>
      <w:color w:val="000000"/>
      <w:sz w:val="24"/>
      <w:szCs w:val="24"/>
      <w:bdr w:val="none" w:sz="0" w:space="0" w:color="auto"/>
      <w:lang w:val="en-US" w:eastAsia="en-US"/>
    </w:rPr>
  </w:style>
  <w:style w:type="paragraph" w:styleId="TOCHeading">
    <w:name w:val="TOC Heading"/>
    <w:basedOn w:val="Heading1"/>
    <w:next w:val="Normal"/>
    <w:uiPriority w:val="39"/>
    <w:semiHidden/>
    <w:unhideWhenUsed/>
    <w:qFormat/>
    <w:rsid w:val="00526252"/>
    <w:pPr>
      <w:keepLines/>
      <w:numPr>
        <w:numId w:val="0"/>
      </w:numPr>
      <w:spacing w:before="480" w:line="276" w:lineRule="auto"/>
      <w:outlineLvl w:val="9"/>
    </w:pPr>
    <w:rPr>
      <w:rFonts w:eastAsiaTheme="majorEastAsia" w:cstheme="majorBidi"/>
      <w:bCs/>
      <w:color w:val="365F91" w:themeColor="accent1" w:themeShade="BF"/>
      <w:sz w:val="28"/>
      <w:szCs w:val="28"/>
      <w:lang w:val="en-US" w:eastAsia="ja-JP"/>
    </w:rPr>
  </w:style>
  <w:style w:type="paragraph" w:customStyle="1" w:styleId="ColorfulList-Accent12">
    <w:name w:val="Colorful List - Accent 12"/>
    <w:link w:val="ColorfulList-Accent1Char"/>
    <w:uiPriority w:val="34"/>
    <w:qFormat/>
    <w:rsid w:val="005D3C3E"/>
    <w:pPr>
      <w:ind w:left="720"/>
    </w:pPr>
    <w:rPr>
      <w:rFonts w:ascii="Cambria" w:eastAsia="Cambria" w:hAnsi="Cambria" w:cs="Cambria"/>
      <w:color w:val="000000"/>
      <w:sz w:val="24"/>
      <w:szCs w:val="24"/>
      <w:u w:color="000000"/>
      <w:lang w:val="en-US"/>
    </w:rPr>
  </w:style>
  <w:style w:type="character" w:customStyle="1" w:styleId="ColorfulList-Accent1Char">
    <w:name w:val="Colorful List - Accent 1 Char"/>
    <w:link w:val="ColorfulList-Accent12"/>
    <w:uiPriority w:val="34"/>
    <w:locked/>
    <w:rsid w:val="005D3C3E"/>
    <w:rPr>
      <w:rFonts w:ascii="Cambria" w:eastAsia="Cambria" w:hAnsi="Cambria" w:cs="Cambria"/>
      <w:color w:val="000000"/>
      <w:sz w:val="24"/>
      <w:szCs w:val="24"/>
      <w:u w:color="000000"/>
      <w:lang w:val="en-US"/>
    </w:rPr>
  </w:style>
  <w:style w:type="paragraph" w:customStyle="1" w:styleId="footnote">
    <w:name w:val="footnote"/>
    <w:basedOn w:val="NormalWeb"/>
    <w:rsid w:val="009E12CB"/>
  </w:style>
  <w:style w:type="character" w:styleId="PlaceholderText">
    <w:name w:val="Placeholder Text"/>
    <w:basedOn w:val="DefaultParagraphFont"/>
    <w:uiPriority w:val="99"/>
    <w:semiHidden/>
    <w:rsid w:val="00C762F5"/>
    <w:rPr>
      <w:color w:val="808080"/>
    </w:rPr>
  </w:style>
  <w:style w:type="character" w:customStyle="1" w:styleId="sb8d990e2">
    <w:name w:val="sb8d990e2"/>
    <w:basedOn w:val="DefaultParagraphFont"/>
    <w:rsid w:val="00417C85"/>
  </w:style>
  <w:style w:type="character" w:customStyle="1" w:styleId="StyleUnivers10pt">
    <w:name w:val="Style Univers 10 pt"/>
    <w:rsid w:val="004D4057"/>
    <w:rPr>
      <w:rFonts w:ascii="Univers" w:hAnsi="Univers"/>
      <w:sz w:val="20"/>
    </w:rPr>
  </w:style>
  <w:style w:type="paragraph" w:customStyle="1" w:styleId="ColorfulList-Accent11">
    <w:name w:val="Colorful List - Accent 11"/>
    <w:basedOn w:val="Normal"/>
    <w:uiPriority w:val="34"/>
    <w:qFormat/>
    <w:rsid w:val="0076223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bdr w:val="none" w:sz="0" w:space="0" w:color="auto"/>
    </w:rPr>
  </w:style>
  <w:style w:type="paragraph" w:styleId="HTMLPreformatted">
    <w:name w:val="HTML Preformatted"/>
    <w:basedOn w:val="Normal"/>
    <w:link w:val="HTMLPreformattedChar"/>
    <w:uiPriority w:val="99"/>
    <w:semiHidden/>
    <w:unhideWhenUsed/>
    <w:rsid w:val="007025F2"/>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7025F2"/>
    <w:rPr>
      <w:rFonts w:ascii="Courier New" w:eastAsia="Times New Roman" w:hAnsi="Courier New" w:cs="Courier New"/>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0900">
      <w:bodyDiv w:val="1"/>
      <w:marLeft w:val="0"/>
      <w:marRight w:val="0"/>
      <w:marTop w:val="0"/>
      <w:marBottom w:val="0"/>
      <w:divBdr>
        <w:top w:val="none" w:sz="0" w:space="0" w:color="auto"/>
        <w:left w:val="none" w:sz="0" w:space="0" w:color="auto"/>
        <w:bottom w:val="none" w:sz="0" w:space="0" w:color="auto"/>
        <w:right w:val="none" w:sz="0" w:space="0" w:color="auto"/>
      </w:divBdr>
      <w:divsChild>
        <w:div w:id="1614703790">
          <w:marLeft w:val="0"/>
          <w:marRight w:val="0"/>
          <w:marTop w:val="0"/>
          <w:marBottom w:val="0"/>
          <w:divBdr>
            <w:top w:val="none" w:sz="0" w:space="0" w:color="auto"/>
            <w:left w:val="none" w:sz="0" w:space="0" w:color="auto"/>
            <w:bottom w:val="none" w:sz="0" w:space="0" w:color="auto"/>
            <w:right w:val="none" w:sz="0" w:space="0" w:color="auto"/>
          </w:divBdr>
          <w:divsChild>
            <w:div w:id="1615555170">
              <w:marLeft w:val="0"/>
              <w:marRight w:val="0"/>
              <w:marTop w:val="0"/>
              <w:marBottom w:val="0"/>
              <w:divBdr>
                <w:top w:val="none" w:sz="0" w:space="0" w:color="auto"/>
                <w:left w:val="none" w:sz="0" w:space="0" w:color="auto"/>
                <w:bottom w:val="none" w:sz="0" w:space="0" w:color="auto"/>
                <w:right w:val="none" w:sz="0" w:space="0" w:color="auto"/>
              </w:divBdr>
              <w:divsChild>
                <w:div w:id="17087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3949">
      <w:bodyDiv w:val="1"/>
      <w:marLeft w:val="0"/>
      <w:marRight w:val="0"/>
      <w:marTop w:val="0"/>
      <w:marBottom w:val="0"/>
      <w:divBdr>
        <w:top w:val="none" w:sz="0" w:space="0" w:color="auto"/>
        <w:left w:val="none" w:sz="0" w:space="0" w:color="auto"/>
        <w:bottom w:val="none" w:sz="0" w:space="0" w:color="auto"/>
        <w:right w:val="none" w:sz="0" w:space="0" w:color="auto"/>
      </w:divBdr>
      <w:divsChild>
        <w:div w:id="2063870308">
          <w:marLeft w:val="0"/>
          <w:marRight w:val="0"/>
          <w:marTop w:val="0"/>
          <w:marBottom w:val="0"/>
          <w:divBdr>
            <w:top w:val="none" w:sz="0" w:space="0" w:color="auto"/>
            <w:left w:val="none" w:sz="0" w:space="0" w:color="auto"/>
            <w:bottom w:val="none" w:sz="0" w:space="0" w:color="auto"/>
            <w:right w:val="none" w:sz="0" w:space="0" w:color="auto"/>
          </w:divBdr>
          <w:divsChild>
            <w:div w:id="1778405652">
              <w:marLeft w:val="0"/>
              <w:marRight w:val="0"/>
              <w:marTop w:val="0"/>
              <w:marBottom w:val="0"/>
              <w:divBdr>
                <w:top w:val="none" w:sz="0" w:space="0" w:color="auto"/>
                <w:left w:val="none" w:sz="0" w:space="0" w:color="auto"/>
                <w:bottom w:val="none" w:sz="0" w:space="0" w:color="auto"/>
                <w:right w:val="none" w:sz="0" w:space="0" w:color="auto"/>
              </w:divBdr>
              <w:divsChild>
                <w:div w:id="872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9093">
      <w:bodyDiv w:val="1"/>
      <w:marLeft w:val="0"/>
      <w:marRight w:val="0"/>
      <w:marTop w:val="0"/>
      <w:marBottom w:val="0"/>
      <w:divBdr>
        <w:top w:val="none" w:sz="0" w:space="0" w:color="auto"/>
        <w:left w:val="none" w:sz="0" w:space="0" w:color="auto"/>
        <w:bottom w:val="none" w:sz="0" w:space="0" w:color="auto"/>
        <w:right w:val="none" w:sz="0" w:space="0" w:color="auto"/>
      </w:divBdr>
    </w:div>
    <w:div w:id="217208730">
      <w:bodyDiv w:val="1"/>
      <w:marLeft w:val="0"/>
      <w:marRight w:val="0"/>
      <w:marTop w:val="0"/>
      <w:marBottom w:val="0"/>
      <w:divBdr>
        <w:top w:val="none" w:sz="0" w:space="0" w:color="auto"/>
        <w:left w:val="none" w:sz="0" w:space="0" w:color="auto"/>
        <w:bottom w:val="none" w:sz="0" w:space="0" w:color="auto"/>
        <w:right w:val="none" w:sz="0" w:space="0" w:color="auto"/>
      </w:divBdr>
      <w:divsChild>
        <w:div w:id="226035566">
          <w:marLeft w:val="0"/>
          <w:marRight w:val="0"/>
          <w:marTop w:val="0"/>
          <w:marBottom w:val="0"/>
          <w:divBdr>
            <w:top w:val="none" w:sz="0" w:space="0" w:color="auto"/>
            <w:left w:val="none" w:sz="0" w:space="0" w:color="auto"/>
            <w:bottom w:val="none" w:sz="0" w:space="0" w:color="auto"/>
            <w:right w:val="none" w:sz="0" w:space="0" w:color="auto"/>
          </w:divBdr>
          <w:divsChild>
            <w:div w:id="1873301713">
              <w:marLeft w:val="0"/>
              <w:marRight w:val="0"/>
              <w:marTop w:val="0"/>
              <w:marBottom w:val="0"/>
              <w:divBdr>
                <w:top w:val="none" w:sz="0" w:space="0" w:color="auto"/>
                <w:left w:val="none" w:sz="0" w:space="0" w:color="auto"/>
                <w:bottom w:val="none" w:sz="0" w:space="0" w:color="auto"/>
                <w:right w:val="none" w:sz="0" w:space="0" w:color="auto"/>
              </w:divBdr>
              <w:divsChild>
                <w:div w:id="10421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87795">
      <w:bodyDiv w:val="1"/>
      <w:marLeft w:val="0"/>
      <w:marRight w:val="0"/>
      <w:marTop w:val="0"/>
      <w:marBottom w:val="0"/>
      <w:divBdr>
        <w:top w:val="none" w:sz="0" w:space="0" w:color="auto"/>
        <w:left w:val="none" w:sz="0" w:space="0" w:color="auto"/>
        <w:bottom w:val="none" w:sz="0" w:space="0" w:color="auto"/>
        <w:right w:val="none" w:sz="0" w:space="0" w:color="auto"/>
      </w:divBdr>
      <w:divsChild>
        <w:div w:id="615672209">
          <w:marLeft w:val="0"/>
          <w:marRight w:val="0"/>
          <w:marTop w:val="0"/>
          <w:marBottom w:val="0"/>
          <w:divBdr>
            <w:top w:val="none" w:sz="0" w:space="0" w:color="auto"/>
            <w:left w:val="none" w:sz="0" w:space="0" w:color="auto"/>
            <w:bottom w:val="none" w:sz="0" w:space="0" w:color="auto"/>
            <w:right w:val="none" w:sz="0" w:space="0" w:color="auto"/>
          </w:divBdr>
          <w:divsChild>
            <w:div w:id="488667486">
              <w:marLeft w:val="0"/>
              <w:marRight w:val="0"/>
              <w:marTop w:val="0"/>
              <w:marBottom w:val="0"/>
              <w:divBdr>
                <w:top w:val="none" w:sz="0" w:space="0" w:color="auto"/>
                <w:left w:val="none" w:sz="0" w:space="0" w:color="auto"/>
                <w:bottom w:val="none" w:sz="0" w:space="0" w:color="auto"/>
                <w:right w:val="none" w:sz="0" w:space="0" w:color="auto"/>
              </w:divBdr>
              <w:divsChild>
                <w:div w:id="5353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060335">
      <w:bodyDiv w:val="1"/>
      <w:marLeft w:val="0"/>
      <w:marRight w:val="0"/>
      <w:marTop w:val="0"/>
      <w:marBottom w:val="0"/>
      <w:divBdr>
        <w:top w:val="none" w:sz="0" w:space="0" w:color="auto"/>
        <w:left w:val="none" w:sz="0" w:space="0" w:color="auto"/>
        <w:bottom w:val="none" w:sz="0" w:space="0" w:color="auto"/>
        <w:right w:val="none" w:sz="0" w:space="0" w:color="auto"/>
      </w:divBdr>
    </w:div>
    <w:div w:id="362901482">
      <w:bodyDiv w:val="1"/>
      <w:marLeft w:val="0"/>
      <w:marRight w:val="0"/>
      <w:marTop w:val="0"/>
      <w:marBottom w:val="0"/>
      <w:divBdr>
        <w:top w:val="none" w:sz="0" w:space="0" w:color="auto"/>
        <w:left w:val="none" w:sz="0" w:space="0" w:color="auto"/>
        <w:bottom w:val="none" w:sz="0" w:space="0" w:color="auto"/>
        <w:right w:val="none" w:sz="0" w:space="0" w:color="auto"/>
      </w:divBdr>
    </w:div>
    <w:div w:id="396171635">
      <w:bodyDiv w:val="1"/>
      <w:marLeft w:val="0"/>
      <w:marRight w:val="0"/>
      <w:marTop w:val="0"/>
      <w:marBottom w:val="0"/>
      <w:divBdr>
        <w:top w:val="none" w:sz="0" w:space="0" w:color="auto"/>
        <w:left w:val="none" w:sz="0" w:space="0" w:color="auto"/>
        <w:bottom w:val="none" w:sz="0" w:space="0" w:color="auto"/>
        <w:right w:val="none" w:sz="0" w:space="0" w:color="auto"/>
      </w:divBdr>
    </w:div>
    <w:div w:id="431360052">
      <w:bodyDiv w:val="1"/>
      <w:marLeft w:val="0"/>
      <w:marRight w:val="0"/>
      <w:marTop w:val="0"/>
      <w:marBottom w:val="0"/>
      <w:divBdr>
        <w:top w:val="none" w:sz="0" w:space="0" w:color="auto"/>
        <w:left w:val="none" w:sz="0" w:space="0" w:color="auto"/>
        <w:bottom w:val="none" w:sz="0" w:space="0" w:color="auto"/>
        <w:right w:val="none" w:sz="0" w:space="0" w:color="auto"/>
      </w:divBdr>
    </w:div>
    <w:div w:id="454327789">
      <w:bodyDiv w:val="1"/>
      <w:marLeft w:val="0"/>
      <w:marRight w:val="0"/>
      <w:marTop w:val="0"/>
      <w:marBottom w:val="0"/>
      <w:divBdr>
        <w:top w:val="none" w:sz="0" w:space="0" w:color="auto"/>
        <w:left w:val="none" w:sz="0" w:space="0" w:color="auto"/>
        <w:bottom w:val="none" w:sz="0" w:space="0" w:color="auto"/>
        <w:right w:val="none" w:sz="0" w:space="0" w:color="auto"/>
      </w:divBdr>
    </w:div>
    <w:div w:id="572394939">
      <w:bodyDiv w:val="1"/>
      <w:marLeft w:val="0"/>
      <w:marRight w:val="0"/>
      <w:marTop w:val="0"/>
      <w:marBottom w:val="0"/>
      <w:divBdr>
        <w:top w:val="none" w:sz="0" w:space="0" w:color="auto"/>
        <w:left w:val="none" w:sz="0" w:space="0" w:color="auto"/>
        <w:bottom w:val="none" w:sz="0" w:space="0" w:color="auto"/>
        <w:right w:val="none" w:sz="0" w:space="0" w:color="auto"/>
      </w:divBdr>
      <w:divsChild>
        <w:div w:id="1909606406">
          <w:marLeft w:val="0"/>
          <w:marRight w:val="0"/>
          <w:marTop w:val="0"/>
          <w:marBottom w:val="0"/>
          <w:divBdr>
            <w:top w:val="none" w:sz="0" w:space="0" w:color="auto"/>
            <w:left w:val="none" w:sz="0" w:space="0" w:color="auto"/>
            <w:bottom w:val="none" w:sz="0" w:space="0" w:color="auto"/>
            <w:right w:val="none" w:sz="0" w:space="0" w:color="auto"/>
          </w:divBdr>
          <w:divsChild>
            <w:div w:id="309869785">
              <w:marLeft w:val="0"/>
              <w:marRight w:val="0"/>
              <w:marTop w:val="0"/>
              <w:marBottom w:val="0"/>
              <w:divBdr>
                <w:top w:val="none" w:sz="0" w:space="0" w:color="auto"/>
                <w:left w:val="none" w:sz="0" w:space="0" w:color="auto"/>
                <w:bottom w:val="none" w:sz="0" w:space="0" w:color="auto"/>
                <w:right w:val="none" w:sz="0" w:space="0" w:color="auto"/>
              </w:divBdr>
              <w:divsChild>
                <w:div w:id="957755225">
                  <w:marLeft w:val="0"/>
                  <w:marRight w:val="0"/>
                  <w:marTop w:val="0"/>
                  <w:marBottom w:val="0"/>
                  <w:divBdr>
                    <w:top w:val="none" w:sz="0" w:space="0" w:color="auto"/>
                    <w:left w:val="none" w:sz="0" w:space="0" w:color="auto"/>
                    <w:bottom w:val="none" w:sz="0" w:space="0" w:color="auto"/>
                    <w:right w:val="none" w:sz="0" w:space="0" w:color="auto"/>
                  </w:divBdr>
                  <w:divsChild>
                    <w:div w:id="10392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230229">
      <w:bodyDiv w:val="1"/>
      <w:marLeft w:val="0"/>
      <w:marRight w:val="0"/>
      <w:marTop w:val="0"/>
      <w:marBottom w:val="0"/>
      <w:divBdr>
        <w:top w:val="none" w:sz="0" w:space="0" w:color="auto"/>
        <w:left w:val="none" w:sz="0" w:space="0" w:color="auto"/>
        <w:bottom w:val="none" w:sz="0" w:space="0" w:color="auto"/>
        <w:right w:val="none" w:sz="0" w:space="0" w:color="auto"/>
      </w:divBdr>
    </w:div>
    <w:div w:id="669524764">
      <w:bodyDiv w:val="1"/>
      <w:marLeft w:val="0"/>
      <w:marRight w:val="0"/>
      <w:marTop w:val="0"/>
      <w:marBottom w:val="0"/>
      <w:divBdr>
        <w:top w:val="none" w:sz="0" w:space="0" w:color="auto"/>
        <w:left w:val="none" w:sz="0" w:space="0" w:color="auto"/>
        <w:bottom w:val="none" w:sz="0" w:space="0" w:color="auto"/>
        <w:right w:val="none" w:sz="0" w:space="0" w:color="auto"/>
      </w:divBdr>
    </w:div>
    <w:div w:id="816646408">
      <w:bodyDiv w:val="1"/>
      <w:marLeft w:val="0"/>
      <w:marRight w:val="0"/>
      <w:marTop w:val="0"/>
      <w:marBottom w:val="0"/>
      <w:divBdr>
        <w:top w:val="none" w:sz="0" w:space="0" w:color="auto"/>
        <w:left w:val="none" w:sz="0" w:space="0" w:color="auto"/>
        <w:bottom w:val="none" w:sz="0" w:space="0" w:color="auto"/>
        <w:right w:val="none" w:sz="0" w:space="0" w:color="auto"/>
      </w:divBdr>
    </w:div>
    <w:div w:id="823395924">
      <w:bodyDiv w:val="1"/>
      <w:marLeft w:val="0"/>
      <w:marRight w:val="0"/>
      <w:marTop w:val="0"/>
      <w:marBottom w:val="0"/>
      <w:divBdr>
        <w:top w:val="none" w:sz="0" w:space="0" w:color="auto"/>
        <w:left w:val="none" w:sz="0" w:space="0" w:color="auto"/>
        <w:bottom w:val="none" w:sz="0" w:space="0" w:color="auto"/>
        <w:right w:val="none" w:sz="0" w:space="0" w:color="auto"/>
      </w:divBdr>
    </w:div>
    <w:div w:id="869807112">
      <w:bodyDiv w:val="1"/>
      <w:marLeft w:val="0"/>
      <w:marRight w:val="0"/>
      <w:marTop w:val="0"/>
      <w:marBottom w:val="0"/>
      <w:divBdr>
        <w:top w:val="none" w:sz="0" w:space="0" w:color="auto"/>
        <w:left w:val="none" w:sz="0" w:space="0" w:color="auto"/>
        <w:bottom w:val="none" w:sz="0" w:space="0" w:color="auto"/>
        <w:right w:val="none" w:sz="0" w:space="0" w:color="auto"/>
      </w:divBdr>
    </w:div>
    <w:div w:id="912397683">
      <w:bodyDiv w:val="1"/>
      <w:marLeft w:val="0"/>
      <w:marRight w:val="0"/>
      <w:marTop w:val="0"/>
      <w:marBottom w:val="0"/>
      <w:divBdr>
        <w:top w:val="none" w:sz="0" w:space="0" w:color="auto"/>
        <w:left w:val="none" w:sz="0" w:space="0" w:color="auto"/>
        <w:bottom w:val="none" w:sz="0" w:space="0" w:color="auto"/>
        <w:right w:val="none" w:sz="0" w:space="0" w:color="auto"/>
      </w:divBdr>
    </w:div>
    <w:div w:id="976683759">
      <w:bodyDiv w:val="1"/>
      <w:marLeft w:val="0"/>
      <w:marRight w:val="0"/>
      <w:marTop w:val="0"/>
      <w:marBottom w:val="0"/>
      <w:divBdr>
        <w:top w:val="none" w:sz="0" w:space="0" w:color="auto"/>
        <w:left w:val="none" w:sz="0" w:space="0" w:color="auto"/>
        <w:bottom w:val="none" w:sz="0" w:space="0" w:color="auto"/>
        <w:right w:val="none" w:sz="0" w:space="0" w:color="auto"/>
      </w:divBdr>
      <w:divsChild>
        <w:div w:id="1074013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07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3401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71273860">
      <w:bodyDiv w:val="1"/>
      <w:marLeft w:val="0"/>
      <w:marRight w:val="0"/>
      <w:marTop w:val="0"/>
      <w:marBottom w:val="0"/>
      <w:divBdr>
        <w:top w:val="none" w:sz="0" w:space="0" w:color="auto"/>
        <w:left w:val="none" w:sz="0" w:space="0" w:color="auto"/>
        <w:bottom w:val="none" w:sz="0" w:space="0" w:color="auto"/>
        <w:right w:val="none" w:sz="0" w:space="0" w:color="auto"/>
      </w:divBdr>
    </w:div>
    <w:div w:id="1220936955">
      <w:bodyDiv w:val="1"/>
      <w:marLeft w:val="0"/>
      <w:marRight w:val="0"/>
      <w:marTop w:val="0"/>
      <w:marBottom w:val="0"/>
      <w:divBdr>
        <w:top w:val="none" w:sz="0" w:space="0" w:color="auto"/>
        <w:left w:val="none" w:sz="0" w:space="0" w:color="auto"/>
        <w:bottom w:val="none" w:sz="0" w:space="0" w:color="auto"/>
        <w:right w:val="none" w:sz="0" w:space="0" w:color="auto"/>
      </w:divBdr>
      <w:divsChild>
        <w:div w:id="804811409">
          <w:marLeft w:val="0"/>
          <w:marRight w:val="0"/>
          <w:marTop w:val="0"/>
          <w:marBottom w:val="0"/>
          <w:divBdr>
            <w:top w:val="none" w:sz="0" w:space="0" w:color="auto"/>
            <w:left w:val="none" w:sz="0" w:space="0" w:color="auto"/>
            <w:bottom w:val="none" w:sz="0" w:space="0" w:color="auto"/>
            <w:right w:val="none" w:sz="0" w:space="0" w:color="auto"/>
          </w:divBdr>
          <w:divsChild>
            <w:div w:id="992490227">
              <w:marLeft w:val="0"/>
              <w:marRight w:val="0"/>
              <w:marTop w:val="0"/>
              <w:marBottom w:val="0"/>
              <w:divBdr>
                <w:top w:val="none" w:sz="0" w:space="0" w:color="auto"/>
                <w:left w:val="none" w:sz="0" w:space="0" w:color="auto"/>
                <w:bottom w:val="none" w:sz="0" w:space="0" w:color="auto"/>
                <w:right w:val="none" w:sz="0" w:space="0" w:color="auto"/>
              </w:divBdr>
              <w:divsChild>
                <w:div w:id="105952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56838">
      <w:bodyDiv w:val="1"/>
      <w:marLeft w:val="0"/>
      <w:marRight w:val="0"/>
      <w:marTop w:val="0"/>
      <w:marBottom w:val="0"/>
      <w:divBdr>
        <w:top w:val="none" w:sz="0" w:space="0" w:color="auto"/>
        <w:left w:val="none" w:sz="0" w:space="0" w:color="auto"/>
        <w:bottom w:val="none" w:sz="0" w:space="0" w:color="auto"/>
        <w:right w:val="none" w:sz="0" w:space="0" w:color="auto"/>
      </w:divBdr>
    </w:div>
    <w:div w:id="1336569766">
      <w:bodyDiv w:val="1"/>
      <w:marLeft w:val="0"/>
      <w:marRight w:val="0"/>
      <w:marTop w:val="0"/>
      <w:marBottom w:val="0"/>
      <w:divBdr>
        <w:top w:val="none" w:sz="0" w:space="0" w:color="auto"/>
        <w:left w:val="none" w:sz="0" w:space="0" w:color="auto"/>
        <w:bottom w:val="none" w:sz="0" w:space="0" w:color="auto"/>
        <w:right w:val="none" w:sz="0" w:space="0" w:color="auto"/>
      </w:divBdr>
    </w:div>
    <w:div w:id="1390032220">
      <w:bodyDiv w:val="1"/>
      <w:marLeft w:val="0"/>
      <w:marRight w:val="0"/>
      <w:marTop w:val="0"/>
      <w:marBottom w:val="0"/>
      <w:divBdr>
        <w:top w:val="none" w:sz="0" w:space="0" w:color="auto"/>
        <w:left w:val="none" w:sz="0" w:space="0" w:color="auto"/>
        <w:bottom w:val="none" w:sz="0" w:space="0" w:color="auto"/>
        <w:right w:val="none" w:sz="0" w:space="0" w:color="auto"/>
      </w:divBdr>
      <w:divsChild>
        <w:div w:id="1793479875">
          <w:marLeft w:val="0"/>
          <w:marRight w:val="0"/>
          <w:marTop w:val="0"/>
          <w:marBottom w:val="0"/>
          <w:divBdr>
            <w:top w:val="none" w:sz="0" w:space="0" w:color="auto"/>
            <w:left w:val="none" w:sz="0" w:space="0" w:color="auto"/>
            <w:bottom w:val="none" w:sz="0" w:space="0" w:color="auto"/>
            <w:right w:val="none" w:sz="0" w:space="0" w:color="auto"/>
          </w:divBdr>
          <w:divsChild>
            <w:div w:id="59988567">
              <w:marLeft w:val="0"/>
              <w:marRight w:val="0"/>
              <w:marTop w:val="0"/>
              <w:marBottom w:val="0"/>
              <w:divBdr>
                <w:top w:val="none" w:sz="0" w:space="0" w:color="auto"/>
                <w:left w:val="none" w:sz="0" w:space="0" w:color="auto"/>
                <w:bottom w:val="none" w:sz="0" w:space="0" w:color="auto"/>
                <w:right w:val="none" w:sz="0" w:space="0" w:color="auto"/>
              </w:divBdr>
              <w:divsChild>
                <w:div w:id="2141341908">
                  <w:marLeft w:val="0"/>
                  <w:marRight w:val="0"/>
                  <w:marTop w:val="0"/>
                  <w:marBottom w:val="0"/>
                  <w:divBdr>
                    <w:top w:val="none" w:sz="0" w:space="0" w:color="auto"/>
                    <w:left w:val="none" w:sz="0" w:space="0" w:color="auto"/>
                    <w:bottom w:val="none" w:sz="0" w:space="0" w:color="auto"/>
                    <w:right w:val="none" w:sz="0" w:space="0" w:color="auto"/>
                  </w:divBdr>
                  <w:divsChild>
                    <w:div w:id="7263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920160">
      <w:bodyDiv w:val="1"/>
      <w:marLeft w:val="0"/>
      <w:marRight w:val="0"/>
      <w:marTop w:val="0"/>
      <w:marBottom w:val="0"/>
      <w:divBdr>
        <w:top w:val="none" w:sz="0" w:space="0" w:color="auto"/>
        <w:left w:val="none" w:sz="0" w:space="0" w:color="auto"/>
        <w:bottom w:val="none" w:sz="0" w:space="0" w:color="auto"/>
        <w:right w:val="none" w:sz="0" w:space="0" w:color="auto"/>
      </w:divBdr>
      <w:divsChild>
        <w:div w:id="1778017893">
          <w:marLeft w:val="0"/>
          <w:marRight w:val="0"/>
          <w:marTop w:val="0"/>
          <w:marBottom w:val="0"/>
          <w:divBdr>
            <w:top w:val="none" w:sz="0" w:space="0" w:color="auto"/>
            <w:left w:val="none" w:sz="0" w:space="0" w:color="auto"/>
            <w:bottom w:val="none" w:sz="0" w:space="0" w:color="auto"/>
            <w:right w:val="none" w:sz="0" w:space="0" w:color="auto"/>
          </w:divBdr>
          <w:divsChild>
            <w:div w:id="518545274">
              <w:marLeft w:val="0"/>
              <w:marRight w:val="0"/>
              <w:marTop w:val="0"/>
              <w:marBottom w:val="0"/>
              <w:divBdr>
                <w:top w:val="none" w:sz="0" w:space="0" w:color="auto"/>
                <w:left w:val="none" w:sz="0" w:space="0" w:color="auto"/>
                <w:bottom w:val="none" w:sz="0" w:space="0" w:color="auto"/>
                <w:right w:val="none" w:sz="0" w:space="0" w:color="auto"/>
              </w:divBdr>
              <w:divsChild>
                <w:div w:id="1495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8871">
      <w:bodyDiv w:val="1"/>
      <w:marLeft w:val="0"/>
      <w:marRight w:val="0"/>
      <w:marTop w:val="0"/>
      <w:marBottom w:val="0"/>
      <w:divBdr>
        <w:top w:val="none" w:sz="0" w:space="0" w:color="auto"/>
        <w:left w:val="none" w:sz="0" w:space="0" w:color="auto"/>
        <w:bottom w:val="none" w:sz="0" w:space="0" w:color="auto"/>
        <w:right w:val="none" w:sz="0" w:space="0" w:color="auto"/>
      </w:divBdr>
      <w:divsChild>
        <w:div w:id="2000881240">
          <w:marLeft w:val="0"/>
          <w:marRight w:val="0"/>
          <w:marTop w:val="0"/>
          <w:marBottom w:val="0"/>
          <w:divBdr>
            <w:top w:val="none" w:sz="0" w:space="0" w:color="auto"/>
            <w:left w:val="none" w:sz="0" w:space="0" w:color="auto"/>
            <w:bottom w:val="none" w:sz="0" w:space="0" w:color="auto"/>
            <w:right w:val="none" w:sz="0" w:space="0" w:color="auto"/>
          </w:divBdr>
          <w:divsChild>
            <w:div w:id="183977375">
              <w:marLeft w:val="0"/>
              <w:marRight w:val="0"/>
              <w:marTop w:val="0"/>
              <w:marBottom w:val="0"/>
              <w:divBdr>
                <w:top w:val="none" w:sz="0" w:space="0" w:color="auto"/>
                <w:left w:val="none" w:sz="0" w:space="0" w:color="auto"/>
                <w:bottom w:val="none" w:sz="0" w:space="0" w:color="auto"/>
                <w:right w:val="none" w:sz="0" w:space="0" w:color="auto"/>
              </w:divBdr>
              <w:divsChild>
                <w:div w:id="4332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59133">
      <w:bodyDiv w:val="1"/>
      <w:marLeft w:val="0"/>
      <w:marRight w:val="0"/>
      <w:marTop w:val="0"/>
      <w:marBottom w:val="0"/>
      <w:divBdr>
        <w:top w:val="none" w:sz="0" w:space="0" w:color="auto"/>
        <w:left w:val="none" w:sz="0" w:space="0" w:color="auto"/>
        <w:bottom w:val="none" w:sz="0" w:space="0" w:color="auto"/>
        <w:right w:val="none" w:sz="0" w:space="0" w:color="auto"/>
      </w:divBdr>
    </w:div>
    <w:div w:id="1620455607">
      <w:bodyDiv w:val="1"/>
      <w:marLeft w:val="0"/>
      <w:marRight w:val="0"/>
      <w:marTop w:val="0"/>
      <w:marBottom w:val="0"/>
      <w:divBdr>
        <w:top w:val="none" w:sz="0" w:space="0" w:color="auto"/>
        <w:left w:val="none" w:sz="0" w:space="0" w:color="auto"/>
        <w:bottom w:val="none" w:sz="0" w:space="0" w:color="auto"/>
        <w:right w:val="none" w:sz="0" w:space="0" w:color="auto"/>
      </w:divBdr>
      <w:divsChild>
        <w:div w:id="1885410878">
          <w:marLeft w:val="0"/>
          <w:marRight w:val="0"/>
          <w:marTop w:val="0"/>
          <w:marBottom w:val="0"/>
          <w:divBdr>
            <w:top w:val="none" w:sz="0" w:space="0" w:color="auto"/>
            <w:left w:val="none" w:sz="0" w:space="0" w:color="auto"/>
            <w:bottom w:val="none" w:sz="0" w:space="0" w:color="auto"/>
            <w:right w:val="none" w:sz="0" w:space="0" w:color="auto"/>
          </w:divBdr>
          <w:divsChild>
            <w:div w:id="862671937">
              <w:marLeft w:val="0"/>
              <w:marRight w:val="0"/>
              <w:marTop w:val="0"/>
              <w:marBottom w:val="0"/>
              <w:divBdr>
                <w:top w:val="none" w:sz="0" w:space="0" w:color="auto"/>
                <w:left w:val="none" w:sz="0" w:space="0" w:color="auto"/>
                <w:bottom w:val="none" w:sz="0" w:space="0" w:color="auto"/>
                <w:right w:val="none" w:sz="0" w:space="0" w:color="auto"/>
              </w:divBdr>
              <w:divsChild>
                <w:div w:id="9130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09882">
      <w:bodyDiv w:val="1"/>
      <w:marLeft w:val="0"/>
      <w:marRight w:val="0"/>
      <w:marTop w:val="0"/>
      <w:marBottom w:val="0"/>
      <w:divBdr>
        <w:top w:val="none" w:sz="0" w:space="0" w:color="auto"/>
        <w:left w:val="none" w:sz="0" w:space="0" w:color="auto"/>
        <w:bottom w:val="none" w:sz="0" w:space="0" w:color="auto"/>
        <w:right w:val="none" w:sz="0" w:space="0" w:color="auto"/>
      </w:divBdr>
      <w:divsChild>
        <w:div w:id="1767460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32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449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75709477">
      <w:bodyDiv w:val="1"/>
      <w:marLeft w:val="0"/>
      <w:marRight w:val="0"/>
      <w:marTop w:val="0"/>
      <w:marBottom w:val="0"/>
      <w:divBdr>
        <w:top w:val="none" w:sz="0" w:space="0" w:color="auto"/>
        <w:left w:val="none" w:sz="0" w:space="0" w:color="auto"/>
        <w:bottom w:val="none" w:sz="0" w:space="0" w:color="auto"/>
        <w:right w:val="none" w:sz="0" w:space="0" w:color="auto"/>
      </w:divBdr>
      <w:divsChild>
        <w:div w:id="1982227836">
          <w:marLeft w:val="0"/>
          <w:marRight w:val="0"/>
          <w:marTop w:val="0"/>
          <w:marBottom w:val="0"/>
          <w:divBdr>
            <w:top w:val="none" w:sz="0" w:space="0" w:color="auto"/>
            <w:left w:val="none" w:sz="0" w:space="0" w:color="auto"/>
            <w:bottom w:val="none" w:sz="0" w:space="0" w:color="auto"/>
            <w:right w:val="none" w:sz="0" w:space="0" w:color="auto"/>
          </w:divBdr>
          <w:divsChild>
            <w:div w:id="184757938">
              <w:marLeft w:val="0"/>
              <w:marRight w:val="0"/>
              <w:marTop w:val="0"/>
              <w:marBottom w:val="0"/>
              <w:divBdr>
                <w:top w:val="none" w:sz="0" w:space="0" w:color="auto"/>
                <w:left w:val="none" w:sz="0" w:space="0" w:color="auto"/>
                <w:bottom w:val="none" w:sz="0" w:space="0" w:color="auto"/>
                <w:right w:val="none" w:sz="0" w:space="0" w:color="auto"/>
              </w:divBdr>
              <w:divsChild>
                <w:div w:id="76507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1968368">
      <w:bodyDiv w:val="1"/>
      <w:marLeft w:val="0"/>
      <w:marRight w:val="0"/>
      <w:marTop w:val="0"/>
      <w:marBottom w:val="0"/>
      <w:divBdr>
        <w:top w:val="none" w:sz="0" w:space="0" w:color="auto"/>
        <w:left w:val="none" w:sz="0" w:space="0" w:color="auto"/>
        <w:bottom w:val="none" w:sz="0" w:space="0" w:color="auto"/>
        <w:right w:val="none" w:sz="0" w:space="0" w:color="auto"/>
      </w:divBdr>
      <w:divsChild>
        <w:div w:id="456724534">
          <w:marLeft w:val="0"/>
          <w:marRight w:val="0"/>
          <w:marTop w:val="0"/>
          <w:marBottom w:val="0"/>
          <w:divBdr>
            <w:top w:val="none" w:sz="0" w:space="0" w:color="auto"/>
            <w:left w:val="none" w:sz="0" w:space="0" w:color="auto"/>
            <w:bottom w:val="none" w:sz="0" w:space="0" w:color="auto"/>
            <w:right w:val="none" w:sz="0" w:space="0" w:color="auto"/>
          </w:divBdr>
          <w:divsChild>
            <w:div w:id="1916433413">
              <w:marLeft w:val="0"/>
              <w:marRight w:val="0"/>
              <w:marTop w:val="0"/>
              <w:marBottom w:val="0"/>
              <w:divBdr>
                <w:top w:val="none" w:sz="0" w:space="0" w:color="auto"/>
                <w:left w:val="none" w:sz="0" w:space="0" w:color="auto"/>
                <w:bottom w:val="none" w:sz="0" w:space="0" w:color="auto"/>
                <w:right w:val="none" w:sz="0" w:space="0" w:color="auto"/>
              </w:divBdr>
              <w:divsChild>
                <w:div w:id="1300066048">
                  <w:marLeft w:val="0"/>
                  <w:marRight w:val="0"/>
                  <w:marTop w:val="0"/>
                  <w:marBottom w:val="0"/>
                  <w:divBdr>
                    <w:top w:val="none" w:sz="0" w:space="0" w:color="auto"/>
                    <w:left w:val="none" w:sz="0" w:space="0" w:color="auto"/>
                    <w:bottom w:val="none" w:sz="0" w:space="0" w:color="auto"/>
                    <w:right w:val="none" w:sz="0" w:space="0" w:color="auto"/>
                  </w:divBdr>
                </w:div>
                <w:div w:id="207080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87744">
      <w:bodyDiv w:val="1"/>
      <w:marLeft w:val="0"/>
      <w:marRight w:val="0"/>
      <w:marTop w:val="0"/>
      <w:marBottom w:val="0"/>
      <w:divBdr>
        <w:top w:val="none" w:sz="0" w:space="0" w:color="auto"/>
        <w:left w:val="none" w:sz="0" w:space="0" w:color="auto"/>
        <w:bottom w:val="none" w:sz="0" w:space="0" w:color="auto"/>
        <w:right w:val="none" w:sz="0" w:space="0" w:color="auto"/>
      </w:divBdr>
    </w:div>
    <w:div w:id="1839805601">
      <w:bodyDiv w:val="1"/>
      <w:marLeft w:val="0"/>
      <w:marRight w:val="0"/>
      <w:marTop w:val="0"/>
      <w:marBottom w:val="0"/>
      <w:divBdr>
        <w:top w:val="none" w:sz="0" w:space="0" w:color="auto"/>
        <w:left w:val="none" w:sz="0" w:space="0" w:color="auto"/>
        <w:bottom w:val="none" w:sz="0" w:space="0" w:color="auto"/>
        <w:right w:val="none" w:sz="0" w:space="0" w:color="auto"/>
      </w:divBdr>
      <w:divsChild>
        <w:div w:id="24913458">
          <w:marLeft w:val="0"/>
          <w:marRight w:val="0"/>
          <w:marTop w:val="0"/>
          <w:marBottom w:val="0"/>
          <w:divBdr>
            <w:top w:val="none" w:sz="0" w:space="0" w:color="auto"/>
            <w:left w:val="none" w:sz="0" w:space="0" w:color="auto"/>
            <w:bottom w:val="none" w:sz="0" w:space="0" w:color="auto"/>
            <w:right w:val="none" w:sz="0" w:space="0" w:color="auto"/>
          </w:divBdr>
          <w:divsChild>
            <w:div w:id="673724396">
              <w:marLeft w:val="0"/>
              <w:marRight w:val="0"/>
              <w:marTop w:val="0"/>
              <w:marBottom w:val="0"/>
              <w:divBdr>
                <w:top w:val="none" w:sz="0" w:space="0" w:color="auto"/>
                <w:left w:val="none" w:sz="0" w:space="0" w:color="auto"/>
                <w:bottom w:val="none" w:sz="0" w:space="0" w:color="auto"/>
                <w:right w:val="none" w:sz="0" w:space="0" w:color="auto"/>
              </w:divBdr>
              <w:divsChild>
                <w:div w:id="6708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3980">
      <w:bodyDiv w:val="1"/>
      <w:marLeft w:val="0"/>
      <w:marRight w:val="0"/>
      <w:marTop w:val="0"/>
      <w:marBottom w:val="0"/>
      <w:divBdr>
        <w:top w:val="none" w:sz="0" w:space="0" w:color="auto"/>
        <w:left w:val="none" w:sz="0" w:space="0" w:color="auto"/>
        <w:bottom w:val="none" w:sz="0" w:space="0" w:color="auto"/>
        <w:right w:val="none" w:sz="0" w:space="0" w:color="auto"/>
      </w:divBdr>
      <w:divsChild>
        <w:div w:id="21711777">
          <w:marLeft w:val="0"/>
          <w:marRight w:val="0"/>
          <w:marTop w:val="0"/>
          <w:marBottom w:val="0"/>
          <w:divBdr>
            <w:top w:val="none" w:sz="0" w:space="0" w:color="auto"/>
            <w:left w:val="none" w:sz="0" w:space="0" w:color="auto"/>
            <w:bottom w:val="none" w:sz="0" w:space="0" w:color="auto"/>
            <w:right w:val="none" w:sz="0" w:space="0" w:color="auto"/>
          </w:divBdr>
          <w:divsChild>
            <w:div w:id="1650017355">
              <w:marLeft w:val="0"/>
              <w:marRight w:val="0"/>
              <w:marTop w:val="0"/>
              <w:marBottom w:val="0"/>
              <w:divBdr>
                <w:top w:val="none" w:sz="0" w:space="0" w:color="auto"/>
                <w:left w:val="none" w:sz="0" w:space="0" w:color="auto"/>
                <w:bottom w:val="none" w:sz="0" w:space="0" w:color="auto"/>
                <w:right w:val="none" w:sz="0" w:space="0" w:color="auto"/>
              </w:divBdr>
              <w:divsChild>
                <w:div w:id="11794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0407">
      <w:bodyDiv w:val="1"/>
      <w:marLeft w:val="0"/>
      <w:marRight w:val="0"/>
      <w:marTop w:val="0"/>
      <w:marBottom w:val="0"/>
      <w:divBdr>
        <w:top w:val="none" w:sz="0" w:space="0" w:color="auto"/>
        <w:left w:val="none" w:sz="0" w:space="0" w:color="auto"/>
        <w:bottom w:val="none" w:sz="0" w:space="0" w:color="auto"/>
        <w:right w:val="none" w:sz="0" w:space="0" w:color="auto"/>
      </w:divBdr>
    </w:div>
    <w:div w:id="2005665976">
      <w:bodyDiv w:val="1"/>
      <w:marLeft w:val="0"/>
      <w:marRight w:val="0"/>
      <w:marTop w:val="0"/>
      <w:marBottom w:val="0"/>
      <w:divBdr>
        <w:top w:val="none" w:sz="0" w:space="0" w:color="auto"/>
        <w:left w:val="none" w:sz="0" w:space="0" w:color="auto"/>
        <w:bottom w:val="none" w:sz="0" w:space="0" w:color="auto"/>
        <w:right w:val="none" w:sz="0" w:space="0" w:color="auto"/>
      </w:divBdr>
    </w:div>
    <w:div w:id="2039357256">
      <w:bodyDiv w:val="1"/>
      <w:marLeft w:val="0"/>
      <w:marRight w:val="0"/>
      <w:marTop w:val="0"/>
      <w:marBottom w:val="0"/>
      <w:divBdr>
        <w:top w:val="none" w:sz="0" w:space="0" w:color="auto"/>
        <w:left w:val="none" w:sz="0" w:space="0" w:color="auto"/>
        <w:bottom w:val="none" w:sz="0" w:space="0" w:color="auto"/>
        <w:right w:val="none" w:sz="0" w:space="0" w:color="auto"/>
      </w:divBdr>
      <w:divsChild>
        <w:div w:id="992835716">
          <w:marLeft w:val="0"/>
          <w:marRight w:val="0"/>
          <w:marTop w:val="0"/>
          <w:marBottom w:val="0"/>
          <w:divBdr>
            <w:top w:val="none" w:sz="0" w:space="0" w:color="auto"/>
            <w:left w:val="none" w:sz="0" w:space="0" w:color="auto"/>
            <w:bottom w:val="none" w:sz="0" w:space="0" w:color="auto"/>
            <w:right w:val="none" w:sz="0" w:space="0" w:color="auto"/>
          </w:divBdr>
          <w:divsChild>
            <w:div w:id="819346187">
              <w:marLeft w:val="0"/>
              <w:marRight w:val="0"/>
              <w:marTop w:val="0"/>
              <w:marBottom w:val="0"/>
              <w:divBdr>
                <w:top w:val="none" w:sz="0" w:space="0" w:color="auto"/>
                <w:left w:val="none" w:sz="0" w:space="0" w:color="auto"/>
                <w:bottom w:val="none" w:sz="0" w:space="0" w:color="auto"/>
                <w:right w:val="none" w:sz="0" w:space="0" w:color="auto"/>
              </w:divBdr>
              <w:divsChild>
                <w:div w:id="14393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23829">
      <w:bodyDiv w:val="1"/>
      <w:marLeft w:val="0"/>
      <w:marRight w:val="0"/>
      <w:marTop w:val="0"/>
      <w:marBottom w:val="0"/>
      <w:divBdr>
        <w:top w:val="none" w:sz="0" w:space="0" w:color="auto"/>
        <w:left w:val="none" w:sz="0" w:space="0" w:color="auto"/>
        <w:bottom w:val="none" w:sz="0" w:space="0" w:color="auto"/>
        <w:right w:val="none" w:sz="0" w:space="0" w:color="auto"/>
      </w:divBdr>
    </w:div>
    <w:div w:id="2060976800">
      <w:bodyDiv w:val="1"/>
      <w:marLeft w:val="0"/>
      <w:marRight w:val="0"/>
      <w:marTop w:val="0"/>
      <w:marBottom w:val="0"/>
      <w:divBdr>
        <w:top w:val="none" w:sz="0" w:space="0" w:color="auto"/>
        <w:left w:val="none" w:sz="0" w:space="0" w:color="auto"/>
        <w:bottom w:val="none" w:sz="0" w:space="0" w:color="auto"/>
        <w:right w:val="none" w:sz="0" w:space="0" w:color="auto"/>
      </w:divBdr>
    </w:div>
    <w:div w:id="2096509803">
      <w:bodyDiv w:val="1"/>
      <w:marLeft w:val="0"/>
      <w:marRight w:val="0"/>
      <w:marTop w:val="0"/>
      <w:marBottom w:val="0"/>
      <w:divBdr>
        <w:top w:val="none" w:sz="0" w:space="0" w:color="auto"/>
        <w:left w:val="none" w:sz="0" w:space="0" w:color="auto"/>
        <w:bottom w:val="none" w:sz="0" w:space="0" w:color="auto"/>
        <w:right w:val="none" w:sz="0" w:space="0" w:color="auto"/>
      </w:divBdr>
    </w:div>
    <w:div w:id="2133282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uistasco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www.eluniversal.com/2003/08/14/pol_art_14104AA" TargetMode="External"/><Relationship Id="rId18" Type="http://schemas.openxmlformats.org/officeDocument/2006/relationships/hyperlink" Target="http://www.eluniversal.com/opinion/120225/la-lista-infame-imp" TargetMode="External"/><Relationship Id="rId26" Type="http://schemas.openxmlformats.org/officeDocument/2006/relationships/hyperlink" Target="https://ciudadaniaactivavzla.wordpress.com/2015/03/26/documental-la-lista-tascon/" TargetMode="External"/><Relationship Id="rId39" Type="http://schemas.openxmlformats.org/officeDocument/2006/relationships/hyperlink" Target="http://infovenezuela.org/democracy/attachments-spanish/T5%20ST02%20N2%20Y%20T5ST02N3.pdf" TargetMode="External"/><Relationship Id="rId21" Type="http://schemas.openxmlformats.org/officeDocument/2006/relationships/hyperlink" Target="https://www.cartercenter.org/documents/2021.pdf" TargetMode="External"/><Relationship Id="rId34" Type="http://schemas.openxmlformats.org/officeDocument/2006/relationships/hyperlink" Target="https://www.hrw.org/sites/default/files/reports/venezuela0908spweb_0.pdf" TargetMode="External"/><Relationship Id="rId42" Type="http://schemas.openxmlformats.org/officeDocument/2006/relationships/hyperlink" Target="http://sumate.org/Elecciones/2004Revocatorio/200409_informe_avance_anexos_referendo_revocatorio_presidencial.pdf" TargetMode="External"/><Relationship Id="rId47" Type="http://schemas.openxmlformats.org/officeDocument/2006/relationships/hyperlink" Target="http://www.cidh.org/annualrep/93eng/Mexico.10956.htm" TargetMode="External"/><Relationship Id="rId50" Type="http://schemas.openxmlformats.org/officeDocument/2006/relationships/hyperlink" Target="http://www.cidh.oas.org/demandas/12.502ENG.pdf" TargetMode="External"/><Relationship Id="rId55" Type="http://schemas.openxmlformats.org/officeDocument/2006/relationships/hyperlink" Target="http://www.tsj.gov.ve/legislacion/loadgc.html" TargetMode="External"/><Relationship Id="rId7" Type="http://schemas.openxmlformats.org/officeDocument/2006/relationships/hyperlink" Target="http://infovenezuela.org/democracy/attachments-spanish/T3%20ST03%20N8%20Avance%20Sumate%20RRP1-1.pdf" TargetMode="External"/><Relationship Id="rId12" Type="http://schemas.openxmlformats.org/officeDocument/2006/relationships/hyperlink" Target="http://elpais.com/diario/2003/12/03/internacional/1070406013_850215.html" TargetMode="External"/><Relationship Id="rId17" Type="http://schemas.openxmlformats.org/officeDocument/2006/relationships/hyperlink" Target="https://www.youtube.com/watch?v=2LuOQjhg8BU" TargetMode="External"/><Relationship Id="rId25" Type="http://schemas.openxmlformats.org/officeDocument/2006/relationships/hyperlink" Target="https://ciudadaniaactivavzla.wordpress.com/2015/03/26/documental-la-lista-tascon/" TargetMode="External"/><Relationship Id="rId33" Type="http://schemas.openxmlformats.org/officeDocument/2006/relationships/hyperlink" Target="https://www.hrw.org/sites/default/files/reports/venezuela0908spweb_0.pdf" TargetMode="External"/><Relationship Id="rId38" Type="http://schemas.openxmlformats.org/officeDocument/2006/relationships/hyperlink" Target="http://www.eluniversal.com/2004/03/18/imp_eco_art_18166A" TargetMode="External"/><Relationship Id="rId46" Type="http://schemas.openxmlformats.org/officeDocument/2006/relationships/hyperlink" Target="http://www.refworld.org/docid/453883fc22.html" TargetMode="External"/><Relationship Id="rId2" Type="http://schemas.openxmlformats.org/officeDocument/2006/relationships/hyperlink" Target="http://www.sumate.org/proyectos.html" TargetMode="External"/><Relationship Id="rId16" Type="http://schemas.openxmlformats.org/officeDocument/2006/relationships/hyperlink" Target="http://www.cidh.org/annualrep/2004eng/chap.5b.htm" TargetMode="External"/><Relationship Id="rId20" Type="http://schemas.openxmlformats.org/officeDocument/2006/relationships/hyperlink" Target="https://ciudadaniaactivavzla.wordpress.com/2015/03/26/documental-la-lista-tascon/" TargetMode="External"/><Relationship Id="rId29" Type="http://schemas.openxmlformats.org/officeDocument/2006/relationships/hyperlink" Target="https://www.hrw.org/sites/default/files/reports/venezuela0908spweb_0.pdf" TargetMode="External"/><Relationship Id="rId41" Type="http://schemas.openxmlformats.org/officeDocument/2006/relationships/hyperlink" Target="http://www.cne.gob.ve/web/gaceta_electoral/gaceta_electoral_detallado.php?tg=1&amp;num_gac=202" TargetMode="External"/><Relationship Id="rId54" Type="http://schemas.openxmlformats.org/officeDocument/2006/relationships/hyperlink" Target="http://www.tsj.gov.ve/legislacion/loadgc.html" TargetMode="External"/><Relationship Id="rId1" Type="http://schemas.openxmlformats.org/officeDocument/2006/relationships/hyperlink" Target="http://www.cne.gob.ve/web/normativa_electoral/constitucion/titulo3.php" TargetMode="External"/><Relationship Id="rId6" Type="http://schemas.openxmlformats.org/officeDocument/2006/relationships/hyperlink" Target="http://historico.tsj.gob.ve/decisiones/selec/enero/3-220103-X-0002.HTM" TargetMode="External"/><Relationship Id="rId11" Type="http://schemas.openxmlformats.org/officeDocument/2006/relationships/hyperlink" Target="http://infovenezuela.org/democracy/attachments-spanish/T3%20ST03%20N8%20Avance%20Sumate%20RRP1-1.pdf" TargetMode="External"/><Relationship Id="rId24" Type="http://schemas.openxmlformats.org/officeDocument/2006/relationships/hyperlink" Target="https://ciudadaniaactivavzla.wordpress.com/2015/03/26/documental-la-lista-tascon/" TargetMode="External"/><Relationship Id="rId32" Type="http://schemas.openxmlformats.org/officeDocument/2006/relationships/hyperlink" Target="http://sumate.org/documentos/ApartheidSigloXXI/Apartheid%20del%20Siglo%20XXI%20Capitulo3.pdf" TargetMode="External"/><Relationship Id="rId37" Type="http://schemas.openxmlformats.org/officeDocument/2006/relationships/hyperlink" Target="http://www.sumate.org/documentos/ApartheidSigloXXI/Apartheid%20del%20Siglo%20XXI%20Capitulo7.pdf" TargetMode="External"/><Relationship Id="rId40" Type="http://schemas.openxmlformats.org/officeDocument/2006/relationships/hyperlink" Target="http://www.rnv.gob.ve/descartada-posibilidad-de-incluir-firmas-invlidas-para-reparos/" TargetMode="External"/><Relationship Id="rId45" Type="http://schemas.openxmlformats.org/officeDocument/2006/relationships/hyperlink" Target="http://www.oas.org/en/media_center/press_release.asp?sCodigo=E-138/04" TargetMode="External"/><Relationship Id="rId53" Type="http://schemas.openxmlformats.org/officeDocument/2006/relationships/hyperlink" Target="http://www.cne.gob.ve/web/normativa_electoral/constitucion/titulo3.php" TargetMode="External"/><Relationship Id="rId5" Type="http://schemas.openxmlformats.org/officeDocument/2006/relationships/hyperlink" Target="http://www.cne.gob.ve/web/gaceta_electoral/gaceta_electoral_detallado.php?tg=1&amp;num_gac=168" TargetMode="External"/><Relationship Id="rId15" Type="http://schemas.openxmlformats.org/officeDocument/2006/relationships/hyperlink" Target="http://www.cne.gob.ve/web/sala_prensa/noticia_detallada.php?id=1629" TargetMode="External"/><Relationship Id="rId23" Type="http://schemas.openxmlformats.org/officeDocument/2006/relationships/hyperlink" Target="http://www.eluniversal.com/2006/11/11/imp_pol_art_65474" TargetMode="External"/><Relationship Id="rId28" Type="http://schemas.openxmlformats.org/officeDocument/2006/relationships/hyperlink" Target="http://www.eluniversal.com/2004/03/21/pol_art_21108A" TargetMode="External"/><Relationship Id="rId36" Type="http://schemas.openxmlformats.org/officeDocument/2006/relationships/hyperlink" Target="http://www.eluniversal.com/2008/02/23/eco_art_despidos-ilegales-im_726634" TargetMode="External"/><Relationship Id="rId49" Type="http://schemas.openxmlformats.org/officeDocument/2006/relationships/hyperlink" Target="http://www.cidh.oas.org/demandas/12.502ENG.pdf" TargetMode="External"/><Relationship Id="rId10" Type="http://schemas.openxmlformats.org/officeDocument/2006/relationships/hyperlink" Target="http://infovenezuela.org/democracy/attachments-spanish/T3%20ST03%20N8%20Avance%20Sumate%20RRP1-1.pdf" TargetMode="External"/><Relationship Id="rId19" Type="http://schemas.openxmlformats.org/officeDocument/2006/relationships/hyperlink" Target="https://ciudadaniaactivavzla.wordpress.com/2015/03/26/documental-la-lista-tascon/" TargetMode="External"/><Relationship Id="rId31" Type="http://schemas.openxmlformats.org/officeDocument/2006/relationships/hyperlink" Target="https://www.hrw.org/sites/default/files/reports/venezuela0908spweb_0.pdf" TargetMode="External"/><Relationship Id="rId44" Type="http://schemas.openxmlformats.org/officeDocument/2006/relationships/hyperlink" Target="http://www.oas.org/en/media_center/press_release.asp?sCodigo=E-130/04" TargetMode="External"/><Relationship Id="rId52" Type="http://schemas.openxmlformats.org/officeDocument/2006/relationships/hyperlink" Target="http://www.oas.org/juridico/spanish/cyb_ven_Cod_Org_Pro_Penal.pdf" TargetMode="External"/><Relationship Id="rId4" Type="http://schemas.openxmlformats.org/officeDocument/2006/relationships/hyperlink" Target="http://eldia.es/venezuela/2002-11-29/2-Tribunal-Supremo-Justicia-anula-referendum-febrero.htm" TargetMode="External"/><Relationship Id="rId9" Type="http://schemas.openxmlformats.org/officeDocument/2006/relationships/hyperlink" Target="http://historico.tsj.gob.ve/decisiones/selec/enero/3-220103-X-0002.HTM" TargetMode="External"/><Relationship Id="rId14" Type="http://schemas.openxmlformats.org/officeDocument/2006/relationships/hyperlink" Target="http://infovenezuela.org/democracy/attachments-spanish/T3%20ST03%20N8%20Avance%20Sumate%20RRP1-1.pdf" TargetMode="External"/><Relationship Id="rId22" Type="http://schemas.openxmlformats.org/officeDocument/2006/relationships/hyperlink" Target="http://www.abc.es/20120410/internacional/abci-chavez-coloca-lista-negra-201204092159.html" TargetMode="External"/><Relationship Id="rId27" Type="http://schemas.openxmlformats.org/officeDocument/2006/relationships/hyperlink" Target="http://www.eluniversal.com/2004/03/21/pol_art_21108A" TargetMode="External"/><Relationship Id="rId30" Type="http://schemas.openxmlformats.org/officeDocument/2006/relationships/hyperlink" Target="https://www.hrw.org/sites/default/files/reports/venezuela0908spweb_0.pdf" TargetMode="External"/><Relationship Id="rId35" Type="http://schemas.openxmlformats.org/officeDocument/2006/relationships/hyperlink" Target="https://www.hrw.org/sites/default/files/reports/venezuela0908spweb_0.pdf" TargetMode="External"/><Relationship Id="rId43" Type="http://schemas.openxmlformats.org/officeDocument/2006/relationships/hyperlink" Target="http://www.cne.gob.ve/web/gaceta_electoral/gaceta_electoral_detallado.php?tg=1&amp;num_gac=210" TargetMode="External"/><Relationship Id="rId48" Type="http://schemas.openxmlformats.org/officeDocument/2006/relationships/hyperlink" Target="http://www.oas.org/en/iachr/expression/reports/thematic.asp" TargetMode="External"/><Relationship Id="rId8" Type="http://schemas.openxmlformats.org/officeDocument/2006/relationships/hyperlink" Target="http://historico.tsj.gob.ve/decisiones/selec/enero/3-220103-X-0002.HTM" TargetMode="External"/><Relationship Id="rId51" Type="http://schemas.openxmlformats.org/officeDocument/2006/relationships/hyperlink" Target="http://cidh.org/countryrep/Bolivia2007eng/Bolivia07indice.eng.htm" TargetMode="External"/><Relationship Id="rId3" Type="http://schemas.openxmlformats.org/officeDocument/2006/relationships/hyperlink" Target="http://analitica.com/actualidad/actualidad-nacional/chavez-no-renunciare-aunque-logren-90-de-votos-en-el-referendu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D817B-2B39-4136-825C-11AD306A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3019</TotalTime>
  <Pages>44</Pages>
  <Words>19720</Words>
  <Characters>112407</Characters>
  <Application>Microsoft Office Word</Application>
  <DocSecurity>0</DocSecurity>
  <Lines>936</Lines>
  <Paragraphs>263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131864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CIDH</dc:creator>
  <cp:keywords/>
  <dc:description/>
  <cp:lastModifiedBy>%username%</cp:lastModifiedBy>
  <cp:revision>62</cp:revision>
  <cp:lastPrinted>2015-10-13T03:15:00Z</cp:lastPrinted>
  <dcterms:created xsi:type="dcterms:W3CDTF">2015-10-19T00:59:00Z</dcterms:created>
  <dcterms:modified xsi:type="dcterms:W3CDTF">2015-12-08T16:20:00Z</dcterms:modified>
</cp:coreProperties>
</file>