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9969" w14:textId="77777777" w:rsidR="00040C3A" w:rsidRPr="00CD52EE" w:rsidRDefault="00CD04AE" w:rsidP="001E4D7D">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DECE541" wp14:editId="4423BF6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1781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A720B76" wp14:editId="742E872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329E6" w14:textId="77777777" w:rsidR="00112772" w:rsidRDefault="00112772">
                            <w:r>
                              <w:rPr>
                                <w:noProof/>
                              </w:rPr>
                              <w:drawing>
                                <wp:inline distT="0" distB="0" distL="0" distR="0" wp14:anchorId="51112B38" wp14:editId="1AB3DF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20B76"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" filled="f" stroked="f" strokeweight=".5pt">
                <v:textbox>
                  <w:txbxContent>
                    <w:p w14:paraId="775329E6" w14:textId="77777777" w:rsidR="00112772" w:rsidRDefault="00112772">
                      <w:r>
                        <w:rPr>
                          <w:noProof/>
                        </w:rPr>
                        <w:drawing>
                          <wp:inline distT="0" distB="0" distL="0" distR="0" wp14:anchorId="51112B38" wp14:editId="1AB3DF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35B333A" w14:textId="77777777" w:rsidR="00040C3A" w:rsidRPr="00CD52EE" w:rsidRDefault="00040C3A" w:rsidP="00040C3A">
      <w:pPr>
        <w:tabs>
          <w:tab w:val="center" w:pos="5400"/>
        </w:tabs>
        <w:suppressAutoHyphens/>
        <w:jc w:val="both"/>
        <w:rPr>
          <w:rFonts w:asciiTheme="majorHAnsi" w:hAnsiTheme="majorHAnsi"/>
          <w:sz w:val="22"/>
          <w:szCs w:val="22"/>
          <w:lang w:val="es-ES"/>
        </w:rPr>
      </w:pPr>
    </w:p>
    <w:p w14:paraId="7CC908FD" w14:textId="77777777" w:rsidR="00040C3A" w:rsidRPr="00CD52EE" w:rsidRDefault="00040C3A" w:rsidP="00040C3A">
      <w:pPr>
        <w:tabs>
          <w:tab w:val="center" w:pos="5400"/>
        </w:tabs>
        <w:suppressAutoHyphens/>
        <w:jc w:val="both"/>
        <w:rPr>
          <w:rFonts w:asciiTheme="majorHAnsi" w:hAnsiTheme="majorHAnsi"/>
          <w:sz w:val="22"/>
          <w:szCs w:val="22"/>
          <w:lang w:val="es-ES"/>
        </w:rPr>
      </w:pPr>
    </w:p>
    <w:p w14:paraId="476AD8B5" w14:textId="77777777" w:rsidR="005128E4" w:rsidRPr="00CD52EE" w:rsidRDefault="005128E4" w:rsidP="00040C3A">
      <w:pPr>
        <w:tabs>
          <w:tab w:val="center" w:pos="5400"/>
        </w:tabs>
        <w:suppressAutoHyphens/>
        <w:rPr>
          <w:rFonts w:asciiTheme="majorHAnsi" w:hAnsiTheme="majorHAnsi"/>
          <w:sz w:val="22"/>
          <w:szCs w:val="22"/>
          <w:lang w:val="es-ES_tradnl"/>
        </w:rPr>
      </w:pPr>
    </w:p>
    <w:p w14:paraId="690868E6" w14:textId="77777777" w:rsidR="005128E4" w:rsidRPr="00CD52EE" w:rsidRDefault="005128E4" w:rsidP="00040C3A">
      <w:pPr>
        <w:tabs>
          <w:tab w:val="center" w:pos="5400"/>
        </w:tabs>
        <w:suppressAutoHyphens/>
        <w:rPr>
          <w:rFonts w:asciiTheme="majorHAnsi" w:hAnsiTheme="majorHAnsi"/>
          <w:sz w:val="22"/>
          <w:szCs w:val="22"/>
          <w:lang w:val="es-ES_tradnl"/>
        </w:rPr>
      </w:pPr>
    </w:p>
    <w:p w14:paraId="02AD34E5" w14:textId="77777777" w:rsidR="005128E4" w:rsidRPr="00CD52EE" w:rsidRDefault="005128E4" w:rsidP="00040C3A">
      <w:pPr>
        <w:tabs>
          <w:tab w:val="center" w:pos="5400"/>
        </w:tabs>
        <w:suppressAutoHyphens/>
        <w:rPr>
          <w:rFonts w:asciiTheme="majorHAnsi" w:hAnsiTheme="majorHAnsi"/>
          <w:sz w:val="22"/>
          <w:szCs w:val="22"/>
          <w:lang w:val="es-ES_tradnl"/>
        </w:rPr>
      </w:pPr>
    </w:p>
    <w:p w14:paraId="49D2F9E6" w14:textId="77777777" w:rsidR="00040C3A" w:rsidRPr="00CD52EE" w:rsidRDefault="00040C3A" w:rsidP="005128E4">
      <w:pPr>
        <w:tabs>
          <w:tab w:val="center" w:pos="5400"/>
        </w:tabs>
        <w:suppressAutoHyphens/>
        <w:jc w:val="center"/>
        <w:rPr>
          <w:rFonts w:asciiTheme="majorHAnsi" w:hAnsiTheme="majorHAnsi"/>
          <w:sz w:val="22"/>
          <w:szCs w:val="22"/>
          <w:lang w:val="es-ES_tradnl"/>
        </w:rPr>
      </w:pPr>
    </w:p>
    <w:p w14:paraId="3DC9DC0D" w14:textId="77777777" w:rsidR="00040C3A" w:rsidRPr="00CD52EE" w:rsidRDefault="00CD04AE" w:rsidP="005128E4">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3804DD55" wp14:editId="2DABD5D4">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D5EA" w14:textId="77777777" w:rsidR="00112772" w:rsidRDefault="00112772" w:rsidP="004B7EB6">
                            <w:pPr>
                              <w:spacing w:line="276" w:lineRule="auto"/>
                              <w:rPr>
                                <w:rFonts w:asciiTheme="majorHAnsi" w:hAnsiTheme="majorHAnsi" w:cs="Arial"/>
                                <w:b/>
                                <w:bCs/>
                                <w:color w:val="0D0D0D" w:themeColor="text1" w:themeTint="F2"/>
                                <w:sz w:val="36"/>
                                <w:szCs w:val="40"/>
                              </w:rPr>
                            </w:pPr>
                          </w:p>
                          <w:p w14:paraId="00D247E1" w14:textId="77777777" w:rsidR="00112772" w:rsidRDefault="00112772" w:rsidP="004B7EB6">
                            <w:pPr>
                              <w:spacing w:line="276" w:lineRule="auto"/>
                              <w:rPr>
                                <w:rFonts w:asciiTheme="majorHAnsi" w:hAnsiTheme="majorHAnsi" w:cs="Arial"/>
                                <w:b/>
                                <w:bCs/>
                                <w:color w:val="0D0D0D" w:themeColor="text1" w:themeTint="F2"/>
                                <w:sz w:val="36"/>
                                <w:szCs w:val="40"/>
                              </w:rPr>
                            </w:pPr>
                          </w:p>
                          <w:p w14:paraId="1E1C3C5C" w14:textId="77777777" w:rsidR="00112772" w:rsidRDefault="00112772" w:rsidP="004B7EB6">
                            <w:pPr>
                              <w:spacing w:line="276" w:lineRule="auto"/>
                              <w:rPr>
                                <w:rFonts w:asciiTheme="majorHAnsi" w:hAnsiTheme="majorHAnsi" w:cs="Arial"/>
                                <w:b/>
                                <w:bCs/>
                                <w:color w:val="0D0D0D" w:themeColor="text1" w:themeTint="F2"/>
                                <w:sz w:val="36"/>
                                <w:szCs w:val="40"/>
                              </w:rPr>
                            </w:pPr>
                          </w:p>
                          <w:p w14:paraId="3C44630D" w14:textId="77777777" w:rsidR="00112772" w:rsidRDefault="00112772" w:rsidP="004B7EB6">
                            <w:pPr>
                              <w:spacing w:line="276" w:lineRule="auto"/>
                              <w:rPr>
                                <w:rFonts w:asciiTheme="majorHAnsi" w:hAnsiTheme="majorHAnsi" w:cs="Arial"/>
                                <w:b/>
                                <w:bCs/>
                                <w:color w:val="0D0D0D" w:themeColor="text1" w:themeTint="F2"/>
                                <w:sz w:val="36"/>
                                <w:szCs w:val="40"/>
                              </w:rPr>
                            </w:pPr>
                          </w:p>
                          <w:p w14:paraId="2698AF98" w14:textId="77777777" w:rsidR="00112772" w:rsidRPr="004B7EB6" w:rsidRDefault="0011277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356FE">
                              <w:rPr>
                                <w:rFonts w:asciiTheme="majorHAnsi" w:hAnsiTheme="majorHAnsi" w:cs="Arial"/>
                                <w:b/>
                                <w:bCs/>
                                <w:color w:val="0D0D0D" w:themeColor="text1" w:themeTint="F2"/>
                                <w:sz w:val="36"/>
                                <w:szCs w:val="40"/>
                              </w:rPr>
                              <w:t>331</w:t>
                            </w:r>
                            <w:r>
                              <w:rPr>
                                <w:rFonts w:asciiTheme="majorHAnsi" w:hAnsiTheme="majorHAnsi" w:cs="Arial"/>
                                <w:b/>
                                <w:bCs/>
                                <w:color w:val="0D0D0D" w:themeColor="text1" w:themeTint="F2"/>
                                <w:sz w:val="36"/>
                                <w:szCs w:val="40"/>
                              </w:rPr>
                              <w:t>/20</w:t>
                            </w:r>
                          </w:p>
                          <w:p w14:paraId="4A952F7D" w14:textId="77777777" w:rsidR="00112772" w:rsidRPr="004B7EB6" w:rsidRDefault="0011277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145</w:t>
                            </w:r>
                          </w:p>
                          <w:p w14:paraId="584B9D02" w14:textId="77777777" w:rsidR="00112772" w:rsidRPr="004B7EB6" w:rsidRDefault="00112772"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p>
                          <w:p w14:paraId="67D34452" w14:textId="77777777" w:rsidR="00112772" w:rsidRPr="004B7EB6" w:rsidRDefault="00112772" w:rsidP="004B7EB6">
                            <w:pPr>
                              <w:spacing w:line="276" w:lineRule="auto"/>
                              <w:rPr>
                                <w:rFonts w:asciiTheme="majorHAnsi" w:hAnsiTheme="majorHAnsi" w:cs="Arial"/>
                                <w:color w:val="0D0D0D" w:themeColor="text1" w:themeTint="F2"/>
                                <w:szCs w:val="22"/>
                              </w:rPr>
                            </w:pPr>
                          </w:p>
                          <w:p w14:paraId="2EF0DB87" w14:textId="77777777" w:rsidR="00112772" w:rsidRDefault="00112772" w:rsidP="00191F07">
                            <w:pPr>
                              <w:pStyle w:val="Body"/>
                              <w:suppressAutoHyphens/>
                              <w:rPr>
                                <w:rFonts w:ascii="Cambria" w:eastAsia="Cambria" w:hAnsi="Cambria" w:cs="Cambria"/>
                              </w:rPr>
                            </w:pPr>
                            <w:r>
                              <w:rPr>
                                <w:rFonts w:ascii="Cambria" w:eastAsia="Cambria" w:hAnsi="Cambria" w:cs="Cambria"/>
                              </w:rPr>
                              <w:t>KEVIN DIAL AND ANDREW DOTTIN</w:t>
                            </w:r>
                          </w:p>
                          <w:p w14:paraId="6922866F" w14:textId="77777777" w:rsidR="00112772" w:rsidRDefault="0011277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TRINIDAD AND TOBAGO</w:t>
                            </w:r>
                          </w:p>
                          <w:p w14:paraId="6C8C3999" w14:textId="77777777" w:rsidR="00112772" w:rsidRPr="00E57833" w:rsidRDefault="00112772"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DD55"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Aim8JT&#10;fwIAAF4FAAAOAAAAAAAAAAAAAAAAAC4CAABkcnMvZTJvRG9jLnhtbFBLAQItABQABgAIAAAAIQA0&#10;fMJ04QAAAAoBAAAPAAAAAAAAAAAAAAAAANkEAABkcnMvZG93bnJldi54bWxQSwUGAAAAAAQABADz&#10;AAAA5wUAAAAA&#10;" filled="f" stroked="f" strokeweight=".5pt">
                <v:textbox>
                  <w:txbxContent>
                    <w:p w14:paraId="3323D5EA" w14:textId="77777777" w:rsidR="00112772" w:rsidRDefault="00112772" w:rsidP="004B7EB6">
                      <w:pPr>
                        <w:spacing w:line="276" w:lineRule="auto"/>
                        <w:rPr>
                          <w:rFonts w:asciiTheme="majorHAnsi" w:hAnsiTheme="majorHAnsi" w:cs="Arial"/>
                          <w:b/>
                          <w:bCs/>
                          <w:color w:val="0D0D0D" w:themeColor="text1" w:themeTint="F2"/>
                          <w:sz w:val="36"/>
                          <w:szCs w:val="40"/>
                        </w:rPr>
                      </w:pPr>
                    </w:p>
                    <w:p w14:paraId="00D247E1" w14:textId="77777777" w:rsidR="00112772" w:rsidRDefault="00112772" w:rsidP="004B7EB6">
                      <w:pPr>
                        <w:spacing w:line="276" w:lineRule="auto"/>
                        <w:rPr>
                          <w:rFonts w:asciiTheme="majorHAnsi" w:hAnsiTheme="majorHAnsi" w:cs="Arial"/>
                          <w:b/>
                          <w:bCs/>
                          <w:color w:val="0D0D0D" w:themeColor="text1" w:themeTint="F2"/>
                          <w:sz w:val="36"/>
                          <w:szCs w:val="40"/>
                        </w:rPr>
                      </w:pPr>
                    </w:p>
                    <w:p w14:paraId="1E1C3C5C" w14:textId="77777777" w:rsidR="00112772" w:rsidRDefault="00112772" w:rsidP="004B7EB6">
                      <w:pPr>
                        <w:spacing w:line="276" w:lineRule="auto"/>
                        <w:rPr>
                          <w:rFonts w:asciiTheme="majorHAnsi" w:hAnsiTheme="majorHAnsi" w:cs="Arial"/>
                          <w:b/>
                          <w:bCs/>
                          <w:color w:val="0D0D0D" w:themeColor="text1" w:themeTint="F2"/>
                          <w:sz w:val="36"/>
                          <w:szCs w:val="40"/>
                        </w:rPr>
                      </w:pPr>
                    </w:p>
                    <w:p w14:paraId="3C44630D" w14:textId="77777777" w:rsidR="00112772" w:rsidRDefault="00112772" w:rsidP="004B7EB6">
                      <w:pPr>
                        <w:spacing w:line="276" w:lineRule="auto"/>
                        <w:rPr>
                          <w:rFonts w:asciiTheme="majorHAnsi" w:hAnsiTheme="majorHAnsi" w:cs="Arial"/>
                          <w:b/>
                          <w:bCs/>
                          <w:color w:val="0D0D0D" w:themeColor="text1" w:themeTint="F2"/>
                          <w:sz w:val="36"/>
                          <w:szCs w:val="40"/>
                        </w:rPr>
                      </w:pPr>
                    </w:p>
                    <w:p w14:paraId="2698AF98" w14:textId="77777777" w:rsidR="00112772" w:rsidRPr="004B7EB6" w:rsidRDefault="0011277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356FE">
                        <w:rPr>
                          <w:rFonts w:asciiTheme="majorHAnsi" w:hAnsiTheme="majorHAnsi" w:cs="Arial"/>
                          <w:b/>
                          <w:bCs/>
                          <w:color w:val="0D0D0D" w:themeColor="text1" w:themeTint="F2"/>
                          <w:sz w:val="36"/>
                          <w:szCs w:val="40"/>
                        </w:rPr>
                        <w:t>331</w:t>
                      </w:r>
                      <w:r>
                        <w:rPr>
                          <w:rFonts w:asciiTheme="majorHAnsi" w:hAnsiTheme="majorHAnsi" w:cs="Arial"/>
                          <w:b/>
                          <w:bCs/>
                          <w:color w:val="0D0D0D" w:themeColor="text1" w:themeTint="F2"/>
                          <w:sz w:val="36"/>
                          <w:szCs w:val="40"/>
                        </w:rPr>
                        <w:t>/20</w:t>
                      </w:r>
                    </w:p>
                    <w:p w14:paraId="4A952F7D" w14:textId="77777777" w:rsidR="00112772" w:rsidRPr="004B7EB6" w:rsidRDefault="0011277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145</w:t>
                      </w:r>
                    </w:p>
                    <w:p w14:paraId="584B9D02" w14:textId="77777777" w:rsidR="00112772" w:rsidRPr="004B7EB6" w:rsidRDefault="00112772"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p>
                    <w:p w14:paraId="67D34452" w14:textId="77777777" w:rsidR="00112772" w:rsidRPr="004B7EB6" w:rsidRDefault="00112772" w:rsidP="004B7EB6">
                      <w:pPr>
                        <w:spacing w:line="276" w:lineRule="auto"/>
                        <w:rPr>
                          <w:rFonts w:asciiTheme="majorHAnsi" w:hAnsiTheme="majorHAnsi" w:cs="Arial"/>
                          <w:color w:val="0D0D0D" w:themeColor="text1" w:themeTint="F2"/>
                          <w:szCs w:val="22"/>
                        </w:rPr>
                      </w:pPr>
                    </w:p>
                    <w:p w14:paraId="2EF0DB87" w14:textId="77777777" w:rsidR="00112772" w:rsidRDefault="00112772" w:rsidP="00191F07">
                      <w:pPr>
                        <w:pStyle w:val="Body"/>
                        <w:suppressAutoHyphens/>
                        <w:rPr>
                          <w:rFonts w:ascii="Cambria" w:eastAsia="Cambria" w:hAnsi="Cambria" w:cs="Cambria"/>
                        </w:rPr>
                      </w:pPr>
                      <w:r>
                        <w:rPr>
                          <w:rFonts w:ascii="Cambria" w:eastAsia="Cambria" w:hAnsi="Cambria" w:cs="Cambria"/>
                        </w:rPr>
                        <w:t>KEVIN DIAL AND ANDREW DOTTIN</w:t>
                      </w:r>
                    </w:p>
                    <w:p w14:paraId="6922866F" w14:textId="77777777" w:rsidR="00112772" w:rsidRDefault="0011277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TRINIDAD AND TOBAGO</w:t>
                      </w:r>
                    </w:p>
                    <w:p w14:paraId="6C8C3999" w14:textId="77777777" w:rsidR="00112772" w:rsidRPr="00E57833" w:rsidRDefault="00112772" w:rsidP="004B7EB6">
                      <w:pPr>
                        <w:spacing w:line="276" w:lineRule="auto"/>
                        <w:rPr>
                          <w:rFonts w:asciiTheme="majorHAnsi" w:hAnsiTheme="majorHAnsi"/>
                          <w:color w:val="0D0D0D" w:themeColor="text1" w:themeTint="F2"/>
                        </w:rPr>
                      </w:pPr>
                    </w:p>
                  </w:txbxContent>
                </v:textbox>
              </v:shape>
            </w:pict>
          </mc:Fallback>
        </mc:AlternateContent>
      </w:r>
    </w:p>
    <w:p w14:paraId="040BB3FF" w14:textId="77777777" w:rsidR="005B52B0" w:rsidRPr="00CD52EE" w:rsidRDefault="005B52B0" w:rsidP="005128E4">
      <w:pPr>
        <w:tabs>
          <w:tab w:val="center" w:pos="5400"/>
        </w:tabs>
        <w:suppressAutoHyphens/>
        <w:jc w:val="center"/>
        <w:rPr>
          <w:rFonts w:asciiTheme="majorHAnsi" w:hAnsiTheme="majorHAnsi"/>
          <w:sz w:val="22"/>
          <w:szCs w:val="22"/>
          <w:lang w:val="es-ES_tradnl"/>
        </w:rPr>
      </w:pPr>
    </w:p>
    <w:p w14:paraId="5004E5DF" w14:textId="77777777" w:rsidR="005B52B0" w:rsidRPr="00CD52EE" w:rsidRDefault="005B52B0" w:rsidP="005128E4">
      <w:pPr>
        <w:tabs>
          <w:tab w:val="center" w:pos="5400"/>
        </w:tabs>
        <w:suppressAutoHyphens/>
        <w:jc w:val="center"/>
        <w:rPr>
          <w:rFonts w:asciiTheme="majorHAnsi" w:hAnsiTheme="majorHAnsi"/>
          <w:sz w:val="22"/>
          <w:szCs w:val="22"/>
          <w:lang w:val="es-ES_tradnl"/>
        </w:rPr>
      </w:pPr>
    </w:p>
    <w:p w14:paraId="66F38A9B" w14:textId="77777777" w:rsidR="005B52B0" w:rsidRPr="00CD52EE" w:rsidRDefault="005B52B0" w:rsidP="005128E4">
      <w:pPr>
        <w:tabs>
          <w:tab w:val="center" w:pos="5400"/>
        </w:tabs>
        <w:suppressAutoHyphens/>
        <w:jc w:val="center"/>
        <w:rPr>
          <w:rFonts w:asciiTheme="majorHAnsi" w:hAnsiTheme="majorHAnsi"/>
          <w:sz w:val="22"/>
          <w:szCs w:val="22"/>
          <w:lang w:val="es-ES_tradnl"/>
        </w:rPr>
      </w:pPr>
    </w:p>
    <w:p w14:paraId="28193A0C"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6AD49AC0"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7941A105"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65CB44F6"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42216CDB" w14:textId="77777777" w:rsidR="00040C3A" w:rsidRPr="00CD52EE" w:rsidRDefault="00CD04AE"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436F896" wp14:editId="3BEB72C7">
                <wp:simplePos x="0" y="0"/>
                <wp:positionH relativeFrom="column">
                  <wp:posOffset>-370205</wp:posOffset>
                </wp:positionH>
                <wp:positionV relativeFrom="paragraph">
                  <wp:posOffset>43180</wp:posOffset>
                </wp:positionV>
                <wp:extent cx="1334135" cy="835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1DF55" w14:textId="77777777" w:rsidR="00112772" w:rsidRPr="005F55DC" w:rsidRDefault="00112772" w:rsidP="002C1641">
                            <w:pPr>
                              <w:jc w:val="right"/>
                              <w:rPr>
                                <w:rFonts w:asciiTheme="minorHAnsi" w:hAnsiTheme="minorHAnsi"/>
                                <w:color w:val="FFFFFF" w:themeColor="background1"/>
                                <w:sz w:val="22"/>
                                <w:lang w:val="es-CO"/>
                              </w:rPr>
                            </w:pPr>
                            <w:r w:rsidRPr="005F55DC">
                              <w:rPr>
                                <w:rFonts w:asciiTheme="minorHAnsi" w:hAnsiTheme="minorHAnsi"/>
                                <w:color w:val="FFFFFF" w:themeColor="background1"/>
                                <w:sz w:val="22"/>
                                <w:lang w:val="es-CO"/>
                              </w:rPr>
                              <w:t>OEA/Ser.L/V/II</w:t>
                            </w:r>
                          </w:p>
                          <w:p w14:paraId="55E16830" w14:textId="77777777" w:rsidR="00112772" w:rsidRPr="00F566DE" w:rsidRDefault="00112772" w:rsidP="002C1641">
                            <w:pPr>
                              <w:jc w:val="right"/>
                              <w:rPr>
                                <w:rFonts w:asciiTheme="minorHAnsi" w:hAnsiTheme="minorHAnsi"/>
                                <w:color w:val="FFFFFF" w:themeColor="background1"/>
                                <w:sz w:val="22"/>
                                <w:lang w:val="es-US"/>
                              </w:rPr>
                            </w:pPr>
                            <w:r w:rsidRPr="00F566DE">
                              <w:rPr>
                                <w:rFonts w:asciiTheme="minorHAnsi" w:hAnsiTheme="minorHAnsi"/>
                                <w:color w:val="FFFFFF" w:themeColor="background1"/>
                                <w:sz w:val="22"/>
                                <w:lang w:val="es-US"/>
                              </w:rPr>
                              <w:t xml:space="preserve">Doc. </w:t>
                            </w:r>
                            <w:r w:rsidR="00A356FE" w:rsidRPr="00F566DE">
                              <w:rPr>
                                <w:rFonts w:asciiTheme="minorHAnsi" w:hAnsiTheme="minorHAnsi"/>
                                <w:color w:val="FFFFFF" w:themeColor="background1"/>
                                <w:sz w:val="22"/>
                                <w:lang w:val="es-US"/>
                              </w:rPr>
                              <w:t>349</w:t>
                            </w:r>
                          </w:p>
                          <w:p w14:paraId="4366EF00" w14:textId="77777777" w:rsidR="00112772" w:rsidRPr="004B7EB6" w:rsidRDefault="00A356FE" w:rsidP="002C1641">
                            <w:pPr>
                              <w:jc w:val="right"/>
                              <w:rPr>
                                <w:rFonts w:asciiTheme="minorHAnsi" w:hAnsiTheme="minorHAnsi"/>
                                <w:color w:val="FFFFFF" w:themeColor="background1"/>
                                <w:sz w:val="22"/>
                              </w:rPr>
                            </w:pPr>
                            <w:r>
                              <w:rPr>
                                <w:rFonts w:asciiTheme="minorHAnsi" w:hAnsiTheme="minorHAnsi"/>
                                <w:color w:val="FFFFFF" w:themeColor="background1"/>
                                <w:sz w:val="22"/>
                              </w:rPr>
                              <w:t>19</w:t>
                            </w:r>
                            <w:r w:rsidR="00112772"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112772">
                              <w:rPr>
                                <w:rFonts w:asciiTheme="minorHAnsi" w:hAnsiTheme="minorHAnsi"/>
                                <w:color w:val="FFFFFF" w:themeColor="background1"/>
                                <w:sz w:val="22"/>
                              </w:rPr>
                              <w:t xml:space="preserve"> 2020</w:t>
                            </w:r>
                          </w:p>
                          <w:p w14:paraId="5EEBAC9D" w14:textId="77777777" w:rsidR="00112772" w:rsidRPr="004B7EB6" w:rsidRDefault="0011277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6F896"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" filled="f" stroked="f" strokeweight=".5pt">
                <v:textbox>
                  <w:txbxContent>
                    <w:p w14:paraId="0F01DF55" w14:textId="77777777" w:rsidR="00112772" w:rsidRPr="005F55DC" w:rsidRDefault="00112772" w:rsidP="002C1641">
                      <w:pPr>
                        <w:jc w:val="right"/>
                        <w:rPr>
                          <w:rFonts w:asciiTheme="minorHAnsi" w:hAnsiTheme="minorHAnsi"/>
                          <w:color w:val="FFFFFF" w:themeColor="background1"/>
                          <w:sz w:val="22"/>
                          <w:lang w:val="es-CO"/>
                        </w:rPr>
                      </w:pPr>
                      <w:r w:rsidRPr="005F55DC">
                        <w:rPr>
                          <w:rFonts w:asciiTheme="minorHAnsi" w:hAnsiTheme="minorHAnsi"/>
                          <w:color w:val="FFFFFF" w:themeColor="background1"/>
                          <w:sz w:val="22"/>
                          <w:lang w:val="es-CO"/>
                        </w:rPr>
                        <w:t>OEA/Ser.L/V/II</w:t>
                      </w:r>
                    </w:p>
                    <w:p w14:paraId="55E16830" w14:textId="77777777" w:rsidR="00112772" w:rsidRPr="00F566DE" w:rsidRDefault="00112772" w:rsidP="002C1641">
                      <w:pPr>
                        <w:jc w:val="right"/>
                        <w:rPr>
                          <w:rFonts w:asciiTheme="minorHAnsi" w:hAnsiTheme="minorHAnsi"/>
                          <w:color w:val="FFFFFF" w:themeColor="background1"/>
                          <w:sz w:val="22"/>
                          <w:lang w:val="es-US"/>
                        </w:rPr>
                      </w:pPr>
                      <w:r w:rsidRPr="00F566DE">
                        <w:rPr>
                          <w:rFonts w:asciiTheme="minorHAnsi" w:hAnsiTheme="minorHAnsi"/>
                          <w:color w:val="FFFFFF" w:themeColor="background1"/>
                          <w:sz w:val="22"/>
                          <w:lang w:val="es-US"/>
                        </w:rPr>
                        <w:t xml:space="preserve">Doc. </w:t>
                      </w:r>
                      <w:r w:rsidR="00A356FE" w:rsidRPr="00F566DE">
                        <w:rPr>
                          <w:rFonts w:asciiTheme="minorHAnsi" w:hAnsiTheme="minorHAnsi"/>
                          <w:color w:val="FFFFFF" w:themeColor="background1"/>
                          <w:sz w:val="22"/>
                          <w:lang w:val="es-US"/>
                        </w:rPr>
                        <w:t>349</w:t>
                      </w:r>
                    </w:p>
                    <w:p w14:paraId="4366EF00" w14:textId="77777777" w:rsidR="00112772" w:rsidRPr="004B7EB6" w:rsidRDefault="00A356FE" w:rsidP="002C1641">
                      <w:pPr>
                        <w:jc w:val="right"/>
                        <w:rPr>
                          <w:rFonts w:asciiTheme="minorHAnsi" w:hAnsiTheme="minorHAnsi"/>
                          <w:color w:val="FFFFFF" w:themeColor="background1"/>
                          <w:sz w:val="22"/>
                        </w:rPr>
                      </w:pPr>
                      <w:r>
                        <w:rPr>
                          <w:rFonts w:asciiTheme="minorHAnsi" w:hAnsiTheme="minorHAnsi"/>
                          <w:color w:val="FFFFFF" w:themeColor="background1"/>
                          <w:sz w:val="22"/>
                        </w:rPr>
                        <w:t>19</w:t>
                      </w:r>
                      <w:r w:rsidR="00112772"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112772">
                        <w:rPr>
                          <w:rFonts w:asciiTheme="minorHAnsi" w:hAnsiTheme="minorHAnsi"/>
                          <w:color w:val="FFFFFF" w:themeColor="background1"/>
                          <w:sz w:val="22"/>
                        </w:rPr>
                        <w:t xml:space="preserve"> 2020</w:t>
                      </w:r>
                    </w:p>
                    <w:p w14:paraId="5EEBAC9D" w14:textId="77777777" w:rsidR="00112772" w:rsidRPr="004B7EB6" w:rsidRDefault="0011277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1759DF15" w14:textId="77777777" w:rsidR="00040C3A" w:rsidRPr="00CD52EE" w:rsidRDefault="00040C3A" w:rsidP="00040C3A">
      <w:pPr>
        <w:tabs>
          <w:tab w:val="center" w:pos="5400"/>
        </w:tabs>
        <w:suppressAutoHyphens/>
        <w:jc w:val="center"/>
        <w:rPr>
          <w:rFonts w:asciiTheme="majorHAnsi" w:hAnsiTheme="majorHAnsi" w:cs="Arial"/>
          <w:sz w:val="22"/>
          <w:szCs w:val="22"/>
          <w:lang w:val="es-ES_tradnl"/>
        </w:rPr>
      </w:pPr>
    </w:p>
    <w:p w14:paraId="6DCFF414"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5DD3A018"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1AB1AA3D"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2CDCA0C1"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270FE79A" w14:textId="77777777" w:rsidR="005128E4" w:rsidRPr="00CD52EE" w:rsidRDefault="005128E4" w:rsidP="00040C3A">
      <w:pPr>
        <w:tabs>
          <w:tab w:val="center" w:pos="5400"/>
        </w:tabs>
        <w:suppressAutoHyphens/>
        <w:jc w:val="center"/>
        <w:rPr>
          <w:rFonts w:asciiTheme="majorHAnsi" w:hAnsiTheme="majorHAnsi"/>
          <w:sz w:val="22"/>
          <w:szCs w:val="22"/>
          <w:lang w:val="es-ES_tradnl"/>
        </w:rPr>
      </w:pPr>
    </w:p>
    <w:p w14:paraId="2834D078"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0D2E570D" w14:textId="77777777" w:rsidR="005128E4" w:rsidRPr="00CD52EE" w:rsidRDefault="005128E4" w:rsidP="00040C3A">
      <w:pPr>
        <w:tabs>
          <w:tab w:val="center" w:pos="5400"/>
        </w:tabs>
        <w:suppressAutoHyphens/>
        <w:jc w:val="center"/>
        <w:rPr>
          <w:rFonts w:asciiTheme="majorHAnsi" w:hAnsiTheme="majorHAnsi"/>
          <w:sz w:val="22"/>
          <w:szCs w:val="22"/>
          <w:lang w:val="es-ES_tradnl"/>
        </w:rPr>
      </w:pPr>
    </w:p>
    <w:p w14:paraId="45CE3DD4" w14:textId="77777777" w:rsidR="005128E4" w:rsidRPr="00CD52EE" w:rsidRDefault="005128E4" w:rsidP="00040C3A">
      <w:pPr>
        <w:tabs>
          <w:tab w:val="center" w:pos="5400"/>
        </w:tabs>
        <w:suppressAutoHyphens/>
        <w:jc w:val="center"/>
        <w:rPr>
          <w:rFonts w:asciiTheme="majorHAnsi" w:hAnsiTheme="majorHAnsi"/>
          <w:sz w:val="22"/>
          <w:szCs w:val="22"/>
          <w:lang w:val="es-ES_tradnl"/>
        </w:rPr>
      </w:pPr>
    </w:p>
    <w:p w14:paraId="1426B906" w14:textId="77777777" w:rsidR="005128E4" w:rsidRPr="00CD52EE" w:rsidRDefault="005128E4" w:rsidP="00040C3A">
      <w:pPr>
        <w:tabs>
          <w:tab w:val="center" w:pos="5400"/>
        </w:tabs>
        <w:suppressAutoHyphens/>
        <w:jc w:val="center"/>
        <w:rPr>
          <w:rFonts w:asciiTheme="majorHAnsi" w:hAnsiTheme="majorHAnsi"/>
          <w:sz w:val="22"/>
          <w:szCs w:val="22"/>
          <w:lang w:val="es-ES_tradnl"/>
        </w:rPr>
      </w:pPr>
    </w:p>
    <w:p w14:paraId="2C94C7D7"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62C34078" w14:textId="77777777" w:rsidR="00040C3A" w:rsidRPr="00CD52EE" w:rsidRDefault="00040C3A" w:rsidP="00040C3A">
      <w:pPr>
        <w:tabs>
          <w:tab w:val="center" w:pos="5400"/>
        </w:tabs>
        <w:suppressAutoHyphens/>
        <w:jc w:val="center"/>
        <w:rPr>
          <w:rFonts w:asciiTheme="majorHAnsi" w:hAnsiTheme="majorHAnsi"/>
          <w:sz w:val="22"/>
          <w:szCs w:val="22"/>
          <w:lang w:val="es-ES_tradnl"/>
        </w:rPr>
      </w:pPr>
    </w:p>
    <w:p w14:paraId="778D32BA"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7EE0026D"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72CA0F59"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4CBBBDFF"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5974B26E"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6CEE1B25"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05945DF2"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27E4B800"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0C739C7D"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4A471BA3"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24FC06D8"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739F6302"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44A63C10" w14:textId="77777777" w:rsidR="002C1641" w:rsidRPr="00CD52EE" w:rsidRDefault="00CD04AE"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29EFF6E" wp14:editId="38B9EF3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FBF03" w14:textId="77777777" w:rsidR="00112772" w:rsidRDefault="00112772" w:rsidP="008648E9">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at its session No. </w:t>
                            </w:r>
                            <w:r w:rsidR="001C355A">
                              <w:rPr>
                                <w:rFonts w:asciiTheme="majorHAnsi" w:hAnsiTheme="majorHAnsi"/>
                                <w:color w:val="0D0D0D" w:themeColor="text1" w:themeTint="F2"/>
                                <w:sz w:val="18"/>
                                <w:szCs w:val="20"/>
                              </w:rPr>
                              <w:t>2192</w:t>
                            </w:r>
                            <w:r w:rsidRPr="003C32BC">
                              <w:rPr>
                                <w:rFonts w:asciiTheme="majorHAnsi" w:hAnsiTheme="majorHAnsi"/>
                                <w:color w:val="0D0D0D" w:themeColor="text1" w:themeTint="F2"/>
                                <w:sz w:val="18"/>
                                <w:szCs w:val="20"/>
                              </w:rPr>
                              <w:t xml:space="preserve"> held on </w:t>
                            </w:r>
                            <w:r w:rsidR="001C355A">
                              <w:rPr>
                                <w:rFonts w:asciiTheme="majorHAnsi" w:hAnsiTheme="majorHAnsi"/>
                                <w:color w:val="0D0D0D" w:themeColor="text1" w:themeTint="F2"/>
                                <w:sz w:val="18"/>
                                <w:szCs w:val="20"/>
                              </w:rPr>
                              <w:t>November 19</w:t>
                            </w:r>
                            <w:r>
                              <w:rPr>
                                <w:rFonts w:asciiTheme="majorHAnsi" w:hAnsiTheme="majorHAnsi"/>
                                <w:color w:val="0D0D0D" w:themeColor="text1" w:themeTint="F2"/>
                                <w:sz w:val="18"/>
                                <w:szCs w:val="20"/>
                              </w:rPr>
                              <w:t>, 2020</w:t>
                            </w:r>
                            <w:r w:rsidR="001C355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p w14:paraId="4F1FA331" w14:textId="77777777" w:rsidR="00112772" w:rsidRDefault="00112772" w:rsidP="008648E9">
                            <w:pPr>
                              <w:tabs>
                                <w:tab w:val="center" w:pos="5400"/>
                              </w:tabs>
                              <w:suppressAutoHyphens/>
                              <w:spacing w:before="60"/>
                              <w:rPr>
                                <w:rFonts w:asciiTheme="majorHAnsi" w:hAnsiTheme="majorHAnsi" w:cs="Univers"/>
                                <w:color w:val="0D0D0D" w:themeColor="text1" w:themeTint="F2"/>
                                <w:sz w:val="18"/>
                                <w:szCs w:val="20"/>
                              </w:rPr>
                            </w:pPr>
                          </w:p>
                          <w:p w14:paraId="0BC4651F" w14:textId="77777777" w:rsidR="00112772" w:rsidRPr="003C32BC" w:rsidRDefault="00112772" w:rsidP="008648E9">
                            <w:pPr>
                              <w:tabs>
                                <w:tab w:val="center" w:pos="5400"/>
                              </w:tabs>
                              <w:suppressAutoHyphens/>
                              <w:spacing w:before="60"/>
                              <w:rPr>
                                <w:rFonts w:asciiTheme="majorHAnsi" w:hAnsiTheme="majorHAnsi"/>
                                <w:color w:val="0D0D0D" w:themeColor="text1" w:themeTint="F2"/>
                                <w:sz w:val="18"/>
                                <w:szCs w:val="22"/>
                              </w:rPr>
                            </w:pPr>
                          </w:p>
                          <w:p w14:paraId="08681355" w14:textId="77777777" w:rsidR="00112772" w:rsidRPr="003C32BC" w:rsidRDefault="0011277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FF6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380FBF03" w14:textId="77777777" w:rsidR="00112772" w:rsidRDefault="00112772" w:rsidP="008648E9">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at its session No. </w:t>
                      </w:r>
                      <w:r w:rsidR="001C355A">
                        <w:rPr>
                          <w:rFonts w:asciiTheme="majorHAnsi" w:hAnsiTheme="majorHAnsi"/>
                          <w:color w:val="0D0D0D" w:themeColor="text1" w:themeTint="F2"/>
                          <w:sz w:val="18"/>
                          <w:szCs w:val="20"/>
                        </w:rPr>
                        <w:t>2192</w:t>
                      </w:r>
                      <w:r w:rsidRPr="003C32BC">
                        <w:rPr>
                          <w:rFonts w:asciiTheme="majorHAnsi" w:hAnsiTheme="majorHAnsi"/>
                          <w:color w:val="0D0D0D" w:themeColor="text1" w:themeTint="F2"/>
                          <w:sz w:val="18"/>
                          <w:szCs w:val="20"/>
                        </w:rPr>
                        <w:t xml:space="preserve"> held on </w:t>
                      </w:r>
                      <w:r w:rsidR="001C355A">
                        <w:rPr>
                          <w:rFonts w:asciiTheme="majorHAnsi" w:hAnsiTheme="majorHAnsi"/>
                          <w:color w:val="0D0D0D" w:themeColor="text1" w:themeTint="F2"/>
                          <w:sz w:val="18"/>
                          <w:szCs w:val="20"/>
                        </w:rPr>
                        <w:t>November 19</w:t>
                      </w:r>
                      <w:r>
                        <w:rPr>
                          <w:rFonts w:asciiTheme="majorHAnsi" w:hAnsiTheme="majorHAnsi"/>
                          <w:color w:val="0D0D0D" w:themeColor="text1" w:themeTint="F2"/>
                          <w:sz w:val="18"/>
                          <w:szCs w:val="20"/>
                        </w:rPr>
                        <w:t>, 2020</w:t>
                      </w:r>
                      <w:r w:rsidR="001C355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p w14:paraId="4F1FA331" w14:textId="77777777" w:rsidR="00112772" w:rsidRDefault="00112772" w:rsidP="008648E9">
                      <w:pPr>
                        <w:tabs>
                          <w:tab w:val="center" w:pos="5400"/>
                        </w:tabs>
                        <w:suppressAutoHyphens/>
                        <w:spacing w:before="60"/>
                        <w:rPr>
                          <w:rFonts w:asciiTheme="majorHAnsi" w:hAnsiTheme="majorHAnsi" w:cs="Univers"/>
                          <w:color w:val="0D0D0D" w:themeColor="text1" w:themeTint="F2"/>
                          <w:sz w:val="18"/>
                          <w:szCs w:val="20"/>
                        </w:rPr>
                      </w:pPr>
                    </w:p>
                    <w:p w14:paraId="0BC4651F" w14:textId="77777777" w:rsidR="00112772" w:rsidRPr="003C32BC" w:rsidRDefault="00112772" w:rsidP="008648E9">
                      <w:pPr>
                        <w:tabs>
                          <w:tab w:val="center" w:pos="5400"/>
                        </w:tabs>
                        <w:suppressAutoHyphens/>
                        <w:spacing w:before="60"/>
                        <w:rPr>
                          <w:rFonts w:asciiTheme="majorHAnsi" w:hAnsiTheme="majorHAnsi"/>
                          <w:color w:val="0D0D0D" w:themeColor="text1" w:themeTint="F2"/>
                          <w:sz w:val="18"/>
                          <w:szCs w:val="22"/>
                        </w:rPr>
                      </w:pPr>
                    </w:p>
                    <w:p w14:paraId="08681355" w14:textId="77777777" w:rsidR="00112772" w:rsidRPr="003C32BC" w:rsidRDefault="0011277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385B00DD"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163CE9F7"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39E86DBD"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24C6D0AA"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7A3FDDE6" w14:textId="77777777" w:rsidR="002C1641" w:rsidRPr="00CD52EE" w:rsidRDefault="00CD04AE"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01AB2B3" wp14:editId="2B464CD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CAD46" w14:textId="77777777" w:rsidR="00112772" w:rsidRPr="003C32BC" w:rsidRDefault="00112772"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C355A">
                              <w:rPr>
                                <w:rFonts w:asciiTheme="majorHAnsi" w:hAnsiTheme="majorHAnsi"/>
                                <w:color w:val="595959" w:themeColor="text1" w:themeTint="A6"/>
                                <w:sz w:val="18"/>
                              </w:rPr>
                              <w:t>331</w:t>
                            </w:r>
                            <w:r>
                              <w:rPr>
                                <w:rFonts w:asciiTheme="majorHAnsi" w:hAnsiTheme="majorHAnsi"/>
                                <w:color w:val="595959" w:themeColor="text1" w:themeTint="A6"/>
                                <w:sz w:val="18"/>
                              </w:rPr>
                              <w:t>/20</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12.145</w:t>
                            </w:r>
                            <w:r w:rsidRPr="00E11D68">
                              <w:rPr>
                                <w:rFonts w:asciiTheme="majorHAnsi" w:hAnsiTheme="majorHAnsi"/>
                                <w:color w:val="595959" w:themeColor="text1" w:themeTint="A6"/>
                                <w:sz w:val="18"/>
                              </w:rPr>
                              <w:t xml:space="preserve">. Merits. </w:t>
                            </w:r>
                            <w:r>
                              <w:rPr>
                                <w:rFonts w:asciiTheme="majorHAnsi" w:hAnsiTheme="majorHAnsi"/>
                                <w:color w:val="595959" w:themeColor="text1" w:themeTint="A6"/>
                                <w:sz w:val="18"/>
                              </w:rPr>
                              <w:t>Kevin Dial and Andrew Dottin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Trinidad and Tobago.</w:t>
                            </w:r>
                            <w:r w:rsidRPr="007607C4">
                              <w:rPr>
                                <w:rFonts w:asciiTheme="majorHAnsi" w:hAnsiTheme="majorHAnsi"/>
                                <w:color w:val="595959" w:themeColor="text1" w:themeTint="A6"/>
                                <w:sz w:val="18"/>
                              </w:rPr>
                              <w:t xml:space="preserve"> </w:t>
                            </w:r>
                            <w:r w:rsidR="00A356FE">
                              <w:rPr>
                                <w:rFonts w:asciiTheme="majorHAnsi" w:hAnsiTheme="majorHAnsi"/>
                                <w:color w:val="595959" w:themeColor="text1" w:themeTint="A6"/>
                                <w:sz w:val="18"/>
                              </w:rPr>
                              <w:t>November 19</w:t>
                            </w:r>
                            <w:r>
                              <w:rPr>
                                <w:rFonts w:asciiTheme="majorHAnsi" w:hAnsiTheme="majorHAnsi"/>
                                <w:color w:val="595959" w:themeColor="text1" w:themeTint="A6"/>
                                <w:sz w:val="18"/>
                              </w:rPr>
                              <w:t>,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AB2B3"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" filled="f" stroked="f" strokeweight=".5pt">
                <v:textbox>
                  <w:txbxContent>
                    <w:p w14:paraId="56ECAD46" w14:textId="77777777" w:rsidR="00112772" w:rsidRPr="003C32BC" w:rsidRDefault="00112772"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C355A">
                        <w:rPr>
                          <w:rFonts w:asciiTheme="majorHAnsi" w:hAnsiTheme="majorHAnsi"/>
                          <w:color w:val="595959" w:themeColor="text1" w:themeTint="A6"/>
                          <w:sz w:val="18"/>
                        </w:rPr>
                        <w:t>331</w:t>
                      </w:r>
                      <w:r>
                        <w:rPr>
                          <w:rFonts w:asciiTheme="majorHAnsi" w:hAnsiTheme="majorHAnsi"/>
                          <w:color w:val="595959" w:themeColor="text1" w:themeTint="A6"/>
                          <w:sz w:val="18"/>
                        </w:rPr>
                        <w:t>/20</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12.145</w:t>
                      </w:r>
                      <w:r w:rsidRPr="00E11D68">
                        <w:rPr>
                          <w:rFonts w:asciiTheme="majorHAnsi" w:hAnsiTheme="majorHAnsi"/>
                          <w:color w:val="595959" w:themeColor="text1" w:themeTint="A6"/>
                          <w:sz w:val="18"/>
                        </w:rPr>
                        <w:t xml:space="preserve">. Merits. </w:t>
                      </w:r>
                      <w:r>
                        <w:rPr>
                          <w:rFonts w:asciiTheme="majorHAnsi" w:hAnsiTheme="majorHAnsi"/>
                          <w:color w:val="595959" w:themeColor="text1" w:themeTint="A6"/>
                          <w:sz w:val="18"/>
                        </w:rPr>
                        <w:t>Kevin Dial and Andrew Dottin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Trinidad and Tobago.</w:t>
                      </w:r>
                      <w:r w:rsidRPr="007607C4">
                        <w:rPr>
                          <w:rFonts w:asciiTheme="majorHAnsi" w:hAnsiTheme="majorHAnsi"/>
                          <w:color w:val="595959" w:themeColor="text1" w:themeTint="A6"/>
                          <w:sz w:val="18"/>
                        </w:rPr>
                        <w:t xml:space="preserve"> </w:t>
                      </w:r>
                      <w:r w:rsidR="00A356FE">
                        <w:rPr>
                          <w:rFonts w:asciiTheme="majorHAnsi" w:hAnsiTheme="majorHAnsi"/>
                          <w:color w:val="595959" w:themeColor="text1" w:themeTint="A6"/>
                          <w:sz w:val="18"/>
                        </w:rPr>
                        <w:t>November 19</w:t>
                      </w:r>
                      <w:r>
                        <w:rPr>
                          <w:rFonts w:asciiTheme="majorHAnsi" w:hAnsiTheme="majorHAnsi"/>
                          <w:color w:val="595959" w:themeColor="text1" w:themeTint="A6"/>
                          <w:sz w:val="18"/>
                        </w:rPr>
                        <w:t>, 2020</w:t>
                      </w:r>
                      <w:r w:rsidRPr="007607C4">
                        <w:rPr>
                          <w:rFonts w:asciiTheme="majorHAnsi" w:hAnsiTheme="majorHAnsi"/>
                          <w:color w:val="595959" w:themeColor="text1" w:themeTint="A6"/>
                          <w:sz w:val="18"/>
                        </w:rPr>
                        <w:t>.</w:t>
                      </w:r>
                    </w:p>
                  </w:txbxContent>
                </v:textbox>
              </v:shape>
            </w:pict>
          </mc:Fallback>
        </mc:AlternateContent>
      </w:r>
    </w:p>
    <w:p w14:paraId="7F30C014"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0C45C577" w14:textId="77777777" w:rsidR="002C1641" w:rsidRPr="00CD52EE" w:rsidRDefault="002C1641" w:rsidP="00040C3A">
      <w:pPr>
        <w:tabs>
          <w:tab w:val="center" w:pos="5400"/>
        </w:tabs>
        <w:suppressAutoHyphens/>
        <w:jc w:val="center"/>
        <w:rPr>
          <w:rFonts w:asciiTheme="majorHAnsi" w:hAnsiTheme="majorHAnsi"/>
          <w:sz w:val="18"/>
          <w:szCs w:val="22"/>
          <w:lang w:val="es-ES_tradnl"/>
        </w:rPr>
      </w:pPr>
    </w:p>
    <w:p w14:paraId="6BB525FE" w14:textId="77777777" w:rsidR="003C32BC" w:rsidRPr="00CD52EE" w:rsidRDefault="003C32BC" w:rsidP="003C32BC">
      <w:pPr>
        <w:tabs>
          <w:tab w:val="center" w:pos="5400"/>
        </w:tabs>
        <w:suppressAutoHyphens/>
        <w:jc w:val="center"/>
        <w:rPr>
          <w:rFonts w:asciiTheme="majorHAnsi" w:hAnsiTheme="majorHAnsi"/>
          <w:sz w:val="18"/>
          <w:szCs w:val="22"/>
        </w:rPr>
      </w:pPr>
    </w:p>
    <w:p w14:paraId="1F7F7138" w14:textId="77777777" w:rsidR="003C32BC" w:rsidRPr="00CD52EE" w:rsidRDefault="00CD04AE"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2FE25A6" wp14:editId="2AF739D5">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AFC3A" w14:textId="77777777" w:rsidR="00112772" w:rsidRPr="004B7EB6" w:rsidRDefault="0011277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E25A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" filled="f" stroked="f" strokeweight=".5pt">
                <v:textbox>
                  <w:txbxContent>
                    <w:p w14:paraId="77BAFC3A" w14:textId="77777777" w:rsidR="00112772" w:rsidRPr="004B7EB6" w:rsidRDefault="0011277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97262C3" wp14:editId="6443D07E">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69FA0" w14:textId="77777777" w:rsidR="00112772" w:rsidRDefault="00112772">
                            <w:r>
                              <w:rPr>
                                <w:noProof/>
                              </w:rPr>
                              <w:drawing>
                                <wp:inline distT="0" distB="0" distL="0" distR="0" wp14:anchorId="01A0A118" wp14:editId="0A50CDD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262C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3B769FA0" w14:textId="77777777" w:rsidR="00112772" w:rsidRDefault="00112772">
                      <w:r>
                        <w:rPr>
                          <w:noProof/>
                        </w:rPr>
                        <w:drawing>
                          <wp:inline distT="0" distB="0" distL="0" distR="0" wp14:anchorId="01A0A118" wp14:editId="0A50CDD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77273334" w14:textId="77777777" w:rsidR="007607C4" w:rsidRPr="00CD52EE" w:rsidRDefault="007607C4" w:rsidP="003C32BC">
      <w:pPr>
        <w:tabs>
          <w:tab w:val="center" w:pos="5400"/>
        </w:tabs>
        <w:suppressAutoHyphens/>
        <w:jc w:val="center"/>
        <w:rPr>
          <w:rFonts w:asciiTheme="majorHAnsi" w:hAnsiTheme="majorHAnsi"/>
          <w:sz w:val="18"/>
          <w:szCs w:val="22"/>
        </w:rPr>
        <w:sectPr w:rsidR="007607C4" w:rsidRPr="00CD52EE">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35E44522" w14:textId="77777777" w:rsidR="00FC3EB4" w:rsidRPr="00CD52EE" w:rsidRDefault="00FC05C4" w:rsidP="00FC05C4">
      <w:pPr>
        <w:tabs>
          <w:tab w:val="left" w:pos="3558"/>
          <w:tab w:val="center" w:pos="4680"/>
          <w:tab w:val="center" w:pos="5400"/>
        </w:tabs>
        <w:suppressAutoHyphens/>
        <w:spacing w:line="276" w:lineRule="auto"/>
        <w:rPr>
          <w:rFonts w:asciiTheme="majorHAnsi" w:hAnsiTheme="majorHAnsi"/>
          <w:b/>
          <w:sz w:val="18"/>
          <w:szCs w:val="18"/>
        </w:rPr>
      </w:pPr>
      <w:r w:rsidRPr="00CD52EE">
        <w:rPr>
          <w:rFonts w:asciiTheme="majorHAnsi" w:hAnsiTheme="majorHAnsi"/>
          <w:b/>
          <w:sz w:val="18"/>
          <w:szCs w:val="18"/>
        </w:rPr>
        <w:lastRenderedPageBreak/>
        <w:tab/>
      </w:r>
      <w:r w:rsidRPr="00CD52EE">
        <w:rPr>
          <w:rFonts w:asciiTheme="majorHAnsi" w:hAnsiTheme="majorHAnsi"/>
          <w:b/>
          <w:sz w:val="18"/>
          <w:szCs w:val="18"/>
        </w:rPr>
        <w:tab/>
      </w:r>
      <w:r w:rsidR="00FC3EB4" w:rsidRPr="00CD52EE">
        <w:rPr>
          <w:rFonts w:asciiTheme="majorHAnsi" w:hAnsiTheme="majorHAnsi"/>
          <w:b/>
          <w:sz w:val="18"/>
          <w:szCs w:val="18"/>
        </w:rPr>
        <w:t>INDEX</w:t>
      </w:r>
    </w:p>
    <w:p w14:paraId="113CEAEB" w14:textId="77777777" w:rsidR="007607C4" w:rsidRPr="00CD52EE" w:rsidRDefault="007607C4" w:rsidP="00145EDC">
      <w:pPr>
        <w:tabs>
          <w:tab w:val="center" w:pos="5400"/>
        </w:tabs>
        <w:suppressAutoHyphens/>
        <w:spacing w:line="276" w:lineRule="auto"/>
        <w:rPr>
          <w:rFonts w:asciiTheme="majorHAnsi" w:hAnsiTheme="majorHAnsi"/>
          <w:sz w:val="18"/>
          <w:szCs w:val="18"/>
        </w:rPr>
      </w:pPr>
    </w:p>
    <w:p w14:paraId="690CEA5F" w14:textId="77777777" w:rsidR="007607C4" w:rsidRPr="00CD52EE" w:rsidRDefault="007607C4" w:rsidP="00145EDC">
      <w:pPr>
        <w:tabs>
          <w:tab w:val="center" w:pos="5400"/>
        </w:tabs>
        <w:suppressAutoHyphens/>
        <w:spacing w:line="276" w:lineRule="auto"/>
        <w:rPr>
          <w:rFonts w:asciiTheme="majorHAnsi" w:hAnsiTheme="majorHAnsi"/>
          <w:sz w:val="20"/>
          <w:szCs w:val="20"/>
        </w:rPr>
      </w:pPr>
    </w:p>
    <w:p w14:paraId="2F8836C6" w14:textId="3A0DCD8E" w:rsidR="00D8238D" w:rsidRPr="00783135" w:rsidRDefault="0078071D" w:rsidP="00783135">
      <w:pPr>
        <w:pStyle w:val="TOC1"/>
        <w:rPr>
          <w:rFonts w:eastAsiaTheme="minorEastAsia" w:cstheme="minorBidi"/>
          <w:bdr w:val="none" w:sz="0" w:space="0" w:color="auto"/>
        </w:rPr>
      </w:pPr>
      <w:r w:rsidRPr="00CD52EE">
        <w:fldChar w:fldCharType="begin"/>
      </w:r>
      <w:r w:rsidR="00E200F9" w:rsidRPr="00CD52EE">
        <w:instrText xml:space="preserve"> TOC \o "1-3" </w:instrText>
      </w:r>
      <w:r w:rsidRPr="00CD52EE">
        <w:fldChar w:fldCharType="separate"/>
      </w:r>
      <w:r w:rsidR="00D8238D" w:rsidRPr="00783135">
        <w:t>I.</w:t>
      </w:r>
      <w:r w:rsidR="00D8238D" w:rsidRPr="00783135">
        <w:rPr>
          <w:rFonts w:eastAsiaTheme="minorEastAsia" w:cstheme="minorBidi"/>
          <w:bdr w:val="none" w:sz="0" w:space="0" w:color="auto"/>
        </w:rPr>
        <w:tab/>
      </w:r>
      <w:r w:rsidR="00D8238D" w:rsidRPr="00783135">
        <w:t>INTRODUCTION</w:t>
      </w:r>
      <w:r w:rsidR="00D8238D" w:rsidRPr="00783135">
        <w:tab/>
      </w:r>
      <w:r w:rsidRPr="00783135">
        <w:fldChar w:fldCharType="begin"/>
      </w:r>
      <w:r w:rsidR="00D8238D" w:rsidRPr="00783135">
        <w:instrText xml:space="preserve"> PAGEREF _Toc54798074 \h </w:instrText>
      </w:r>
      <w:r w:rsidRPr="00783135">
        <w:fldChar w:fldCharType="separate"/>
      </w:r>
      <w:r w:rsidR="0030692A">
        <w:t>2</w:t>
      </w:r>
      <w:r w:rsidRPr="00783135">
        <w:fldChar w:fldCharType="end"/>
      </w:r>
    </w:p>
    <w:p w14:paraId="17AA11DD" w14:textId="3D285555" w:rsidR="00D8238D" w:rsidRPr="00783135" w:rsidRDefault="00D8238D" w:rsidP="00783135">
      <w:pPr>
        <w:pStyle w:val="TOC1"/>
        <w:rPr>
          <w:rFonts w:eastAsiaTheme="minorEastAsia" w:cstheme="minorBidi"/>
          <w:bdr w:val="none" w:sz="0" w:space="0" w:color="auto"/>
        </w:rPr>
      </w:pPr>
      <w:r w:rsidRPr="00783135">
        <w:t>II.</w:t>
      </w:r>
      <w:r w:rsidRPr="00783135">
        <w:rPr>
          <w:rFonts w:eastAsiaTheme="minorEastAsia" w:cstheme="minorBidi"/>
          <w:bdr w:val="none" w:sz="0" w:space="0" w:color="auto"/>
        </w:rPr>
        <w:tab/>
      </w:r>
      <w:r w:rsidRPr="00783135">
        <w:t>POSITIONS OF THE PARTIES</w:t>
      </w:r>
      <w:r w:rsidRPr="00783135">
        <w:tab/>
      </w:r>
      <w:r w:rsidR="0078071D" w:rsidRPr="00783135">
        <w:fldChar w:fldCharType="begin"/>
      </w:r>
      <w:r w:rsidRPr="00783135">
        <w:instrText xml:space="preserve"> PAGEREF _Toc54798075 \h </w:instrText>
      </w:r>
      <w:r w:rsidR="0078071D" w:rsidRPr="00783135">
        <w:fldChar w:fldCharType="separate"/>
      </w:r>
      <w:r w:rsidR="0030692A">
        <w:t>2</w:t>
      </w:r>
      <w:r w:rsidR="0078071D" w:rsidRPr="00783135">
        <w:fldChar w:fldCharType="end"/>
      </w:r>
    </w:p>
    <w:p w14:paraId="727C0D25" w14:textId="77DB6BBA"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A.</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Petitioners</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_Toc54798076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2</w:t>
      </w:r>
      <w:r w:rsidR="0078071D" w:rsidRPr="00D8238D">
        <w:rPr>
          <w:rFonts w:asciiTheme="majorHAnsi" w:hAnsiTheme="majorHAnsi"/>
          <w:noProof/>
          <w:sz w:val="20"/>
          <w:szCs w:val="20"/>
        </w:rPr>
        <w:fldChar w:fldCharType="end"/>
      </w:r>
    </w:p>
    <w:p w14:paraId="1C1137AF" w14:textId="75D1415D"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B.</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State</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_Toc54798077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4</w:t>
      </w:r>
      <w:r w:rsidR="0078071D" w:rsidRPr="00D8238D">
        <w:rPr>
          <w:rFonts w:asciiTheme="majorHAnsi" w:hAnsiTheme="majorHAnsi"/>
          <w:noProof/>
          <w:sz w:val="20"/>
          <w:szCs w:val="20"/>
        </w:rPr>
        <w:fldChar w:fldCharType="end"/>
      </w:r>
    </w:p>
    <w:p w14:paraId="5B91F623" w14:textId="7076BAF6" w:rsidR="00D8238D" w:rsidRPr="00783135" w:rsidRDefault="00D8238D" w:rsidP="00783135">
      <w:pPr>
        <w:pStyle w:val="TOC1"/>
        <w:rPr>
          <w:rFonts w:eastAsiaTheme="minorEastAsia" w:cstheme="minorBidi"/>
          <w:bdr w:val="none" w:sz="0" w:space="0" w:color="auto"/>
        </w:rPr>
      </w:pPr>
      <w:r w:rsidRPr="00783135">
        <w:t>III.</w:t>
      </w:r>
      <w:r w:rsidRPr="00783135">
        <w:rPr>
          <w:rFonts w:eastAsiaTheme="minorEastAsia" w:cstheme="minorBidi"/>
          <w:bdr w:val="none" w:sz="0" w:space="0" w:color="auto"/>
        </w:rPr>
        <w:tab/>
      </w:r>
      <w:r w:rsidRPr="00783135">
        <w:t>FINDINGS OF FACT</w:t>
      </w:r>
      <w:r w:rsidRPr="00783135">
        <w:tab/>
      </w:r>
      <w:r w:rsidR="0078071D" w:rsidRPr="00783135">
        <w:fldChar w:fldCharType="begin"/>
      </w:r>
      <w:r w:rsidRPr="00783135">
        <w:instrText xml:space="preserve"> PAGEREF _Toc54798078 \h </w:instrText>
      </w:r>
      <w:r w:rsidR="0078071D" w:rsidRPr="00783135">
        <w:fldChar w:fldCharType="separate"/>
      </w:r>
      <w:r w:rsidR="0030692A">
        <w:t>5</w:t>
      </w:r>
      <w:r w:rsidR="0078071D" w:rsidRPr="00783135">
        <w:fldChar w:fldCharType="end"/>
      </w:r>
    </w:p>
    <w:p w14:paraId="099C7416" w14:textId="1DD18334"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A.</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Relevant legal framework</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_Toc54798079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5</w:t>
      </w:r>
      <w:r w:rsidR="0078071D" w:rsidRPr="00D8238D">
        <w:rPr>
          <w:rFonts w:asciiTheme="majorHAnsi" w:hAnsiTheme="majorHAnsi"/>
          <w:noProof/>
          <w:sz w:val="20"/>
          <w:szCs w:val="20"/>
        </w:rPr>
        <w:fldChar w:fldCharType="end"/>
      </w:r>
    </w:p>
    <w:p w14:paraId="521E1B86" w14:textId="50972766"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B.</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Facts of the case</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_Toc54798080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6</w:t>
      </w:r>
      <w:r w:rsidR="0078071D" w:rsidRPr="00D8238D">
        <w:rPr>
          <w:rFonts w:asciiTheme="majorHAnsi" w:hAnsiTheme="majorHAnsi"/>
          <w:noProof/>
          <w:sz w:val="20"/>
          <w:szCs w:val="20"/>
        </w:rPr>
        <w:fldChar w:fldCharType="end"/>
      </w:r>
    </w:p>
    <w:p w14:paraId="6812D1F9" w14:textId="17CF88AB"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C.</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Trial and death sentence</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_Toc54798081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6</w:t>
      </w:r>
      <w:r w:rsidR="0078071D" w:rsidRPr="00D8238D">
        <w:rPr>
          <w:rFonts w:asciiTheme="majorHAnsi" w:hAnsiTheme="majorHAnsi"/>
          <w:noProof/>
          <w:sz w:val="20"/>
          <w:szCs w:val="20"/>
        </w:rPr>
        <w:fldChar w:fldCharType="end"/>
      </w:r>
    </w:p>
    <w:p w14:paraId="350E25AF" w14:textId="0D50A501"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D.</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Post-conviction</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_Toc54798082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6</w:t>
      </w:r>
      <w:r w:rsidR="0078071D" w:rsidRPr="00D8238D">
        <w:rPr>
          <w:rFonts w:asciiTheme="majorHAnsi" w:hAnsiTheme="majorHAnsi"/>
          <w:noProof/>
          <w:sz w:val="20"/>
          <w:szCs w:val="20"/>
        </w:rPr>
        <w:fldChar w:fldCharType="end"/>
      </w:r>
    </w:p>
    <w:p w14:paraId="7AC87773" w14:textId="6E955E45"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E.</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Prison conditions</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_Toc54798083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8</w:t>
      </w:r>
      <w:r w:rsidR="0078071D" w:rsidRPr="00D8238D">
        <w:rPr>
          <w:rFonts w:asciiTheme="majorHAnsi" w:hAnsiTheme="majorHAnsi"/>
          <w:noProof/>
          <w:sz w:val="20"/>
          <w:szCs w:val="20"/>
        </w:rPr>
        <w:fldChar w:fldCharType="end"/>
      </w:r>
    </w:p>
    <w:p w14:paraId="779B5E8D" w14:textId="216B5CF5" w:rsidR="00D8238D" w:rsidRPr="00D8238D" w:rsidRDefault="00D8238D" w:rsidP="00783135">
      <w:pPr>
        <w:pStyle w:val="TOC1"/>
        <w:rPr>
          <w:rFonts w:eastAsiaTheme="minorEastAsia" w:cstheme="minorBidi"/>
          <w:bdr w:val="none" w:sz="0" w:space="0" w:color="auto"/>
        </w:rPr>
      </w:pPr>
      <w:r w:rsidRPr="00D8238D">
        <w:t>IV.</w:t>
      </w:r>
      <w:r w:rsidRPr="00D8238D">
        <w:rPr>
          <w:rFonts w:eastAsiaTheme="minorEastAsia" w:cstheme="minorBidi"/>
          <w:bdr w:val="none" w:sz="0" w:space="0" w:color="auto"/>
        </w:rPr>
        <w:tab/>
      </w:r>
      <w:r w:rsidRPr="00D8238D">
        <w:t>ANALYSIS OF LAW</w:t>
      </w:r>
      <w:r w:rsidRPr="00D8238D">
        <w:tab/>
      </w:r>
      <w:r w:rsidR="0078071D" w:rsidRPr="00D8238D">
        <w:fldChar w:fldCharType="begin"/>
      </w:r>
      <w:r w:rsidRPr="00D8238D">
        <w:instrText xml:space="preserve"> PAGEREF _Toc54798084 \h </w:instrText>
      </w:r>
      <w:r w:rsidR="0078071D" w:rsidRPr="00D8238D">
        <w:fldChar w:fldCharType="separate"/>
      </w:r>
      <w:r w:rsidR="0030692A">
        <w:t>9</w:t>
      </w:r>
      <w:r w:rsidR="0078071D" w:rsidRPr="00D8238D">
        <w:fldChar w:fldCharType="end"/>
      </w:r>
    </w:p>
    <w:p w14:paraId="1E873718" w14:textId="76BDF613"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A.</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Preliminary considerations</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_Toc54798085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9</w:t>
      </w:r>
      <w:r w:rsidR="0078071D" w:rsidRPr="00D8238D">
        <w:rPr>
          <w:rFonts w:asciiTheme="majorHAnsi" w:hAnsiTheme="majorHAnsi"/>
          <w:noProof/>
          <w:sz w:val="20"/>
          <w:szCs w:val="20"/>
        </w:rPr>
        <w:fldChar w:fldCharType="end"/>
      </w:r>
    </w:p>
    <w:p w14:paraId="44594E8A" w14:textId="4E73910E" w:rsidR="00D8238D" w:rsidRPr="00D8238D" w:rsidRDefault="00D8238D">
      <w:pPr>
        <w:pStyle w:val="TOC3"/>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1.</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Application of the American Declaration and the American Convention</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_Toc54798086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9</w:t>
      </w:r>
      <w:r w:rsidR="0078071D" w:rsidRPr="00D8238D">
        <w:rPr>
          <w:rFonts w:asciiTheme="majorHAnsi" w:hAnsiTheme="majorHAnsi"/>
          <w:noProof/>
          <w:sz w:val="20"/>
          <w:szCs w:val="20"/>
        </w:rPr>
        <w:fldChar w:fldCharType="end"/>
      </w:r>
    </w:p>
    <w:p w14:paraId="3126CE2A" w14:textId="40FDDCA6" w:rsidR="00D8238D" w:rsidRPr="00D8238D" w:rsidRDefault="00D8238D">
      <w:pPr>
        <w:pStyle w:val="TOC3"/>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2.</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Standard of review</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_Toc54798087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9</w:t>
      </w:r>
      <w:r w:rsidR="0078071D" w:rsidRPr="00D8238D">
        <w:rPr>
          <w:rFonts w:asciiTheme="majorHAnsi" w:hAnsiTheme="majorHAnsi"/>
          <w:noProof/>
          <w:sz w:val="20"/>
          <w:szCs w:val="20"/>
        </w:rPr>
        <w:fldChar w:fldCharType="end"/>
      </w:r>
    </w:p>
    <w:p w14:paraId="38BFE66B" w14:textId="29571D26"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B.</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Right to life, to personal integrity, and to judicial guarantees, and the mandatory imposition of the death penalty</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_Toc54798088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11</w:t>
      </w:r>
      <w:r w:rsidR="0078071D" w:rsidRPr="00D8238D">
        <w:rPr>
          <w:rFonts w:asciiTheme="majorHAnsi" w:hAnsiTheme="majorHAnsi"/>
          <w:noProof/>
          <w:sz w:val="20"/>
          <w:szCs w:val="20"/>
        </w:rPr>
        <w:fldChar w:fldCharType="end"/>
      </w:r>
    </w:p>
    <w:p w14:paraId="34F76373" w14:textId="16CC3839"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C.</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Right to a fair trial and to due process of law</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_Toc54798089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14</w:t>
      </w:r>
      <w:r w:rsidR="0078071D" w:rsidRPr="00D8238D">
        <w:rPr>
          <w:rFonts w:asciiTheme="majorHAnsi" w:hAnsiTheme="majorHAnsi"/>
          <w:noProof/>
          <w:sz w:val="20"/>
          <w:szCs w:val="20"/>
        </w:rPr>
        <w:fldChar w:fldCharType="end"/>
      </w:r>
    </w:p>
    <w:p w14:paraId="11AEFEAF" w14:textId="10D12B28" w:rsidR="00D8238D" w:rsidRPr="00D8238D" w:rsidRDefault="00D8238D">
      <w:pPr>
        <w:pStyle w:val="TOC2"/>
        <w:rPr>
          <w:rFonts w:asciiTheme="majorHAnsi" w:eastAsiaTheme="minorEastAsia" w:hAnsiTheme="majorHAnsi" w:cstheme="minorBidi"/>
          <w:noProof/>
          <w:sz w:val="20"/>
          <w:szCs w:val="20"/>
          <w:bdr w:val="none" w:sz="0" w:space="0" w:color="auto"/>
        </w:rPr>
      </w:pPr>
      <w:r>
        <w:rPr>
          <w:rFonts w:asciiTheme="majorHAnsi" w:hAnsiTheme="majorHAnsi"/>
          <w:noProof/>
          <w:sz w:val="20"/>
          <w:szCs w:val="20"/>
        </w:rPr>
        <w:tab/>
      </w:r>
      <w:r w:rsidRPr="00D8238D">
        <w:rPr>
          <w:rFonts w:asciiTheme="majorHAnsi" w:hAnsiTheme="majorHAnsi"/>
          <w:noProof/>
          <w:sz w:val="20"/>
          <w:szCs w:val="20"/>
        </w:rPr>
        <w:t>1.</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Right to provide a reasoned judgment and the principle of presumption of innocence</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_Toc54798090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14</w:t>
      </w:r>
      <w:r w:rsidR="0078071D" w:rsidRPr="00D8238D">
        <w:rPr>
          <w:rFonts w:asciiTheme="majorHAnsi" w:hAnsiTheme="majorHAnsi"/>
          <w:noProof/>
          <w:sz w:val="20"/>
          <w:szCs w:val="20"/>
        </w:rPr>
        <w:fldChar w:fldCharType="end"/>
      </w:r>
    </w:p>
    <w:p w14:paraId="016D3321" w14:textId="6FDE2D22" w:rsidR="00D8238D" w:rsidRPr="00D8238D" w:rsidRDefault="00D8238D">
      <w:pPr>
        <w:pStyle w:val="TOC2"/>
        <w:rPr>
          <w:rFonts w:asciiTheme="majorHAnsi" w:eastAsiaTheme="minorEastAsia" w:hAnsiTheme="majorHAnsi" w:cstheme="minorBidi"/>
          <w:noProof/>
          <w:sz w:val="20"/>
          <w:szCs w:val="20"/>
          <w:bdr w:val="none" w:sz="0" w:space="0" w:color="auto"/>
        </w:rPr>
      </w:pPr>
      <w:r>
        <w:rPr>
          <w:rFonts w:asciiTheme="majorHAnsi" w:hAnsiTheme="majorHAnsi"/>
          <w:noProof/>
          <w:sz w:val="20"/>
          <w:szCs w:val="20"/>
        </w:rPr>
        <w:tab/>
      </w:r>
      <w:r w:rsidRPr="00D8238D">
        <w:rPr>
          <w:rFonts w:asciiTheme="majorHAnsi" w:hAnsiTheme="majorHAnsi"/>
          <w:noProof/>
          <w:sz w:val="20"/>
          <w:szCs w:val="20"/>
        </w:rPr>
        <w:t>2.</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Right to be tried without undue delay</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_Toc54798091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16</w:t>
      </w:r>
      <w:r w:rsidR="0078071D" w:rsidRPr="00D8238D">
        <w:rPr>
          <w:rFonts w:asciiTheme="majorHAnsi" w:hAnsiTheme="majorHAnsi"/>
          <w:noProof/>
          <w:sz w:val="20"/>
          <w:szCs w:val="20"/>
        </w:rPr>
        <w:fldChar w:fldCharType="end"/>
      </w:r>
    </w:p>
    <w:p w14:paraId="554F2B44" w14:textId="0F14B02A" w:rsidR="00D8238D" w:rsidRPr="00D8238D" w:rsidRDefault="00D8238D">
      <w:pPr>
        <w:pStyle w:val="TOC2"/>
        <w:rPr>
          <w:rFonts w:asciiTheme="majorHAnsi" w:eastAsiaTheme="minorEastAsia" w:hAnsiTheme="majorHAnsi" w:cstheme="minorBidi"/>
          <w:noProof/>
          <w:sz w:val="20"/>
          <w:szCs w:val="20"/>
          <w:bdr w:val="none" w:sz="0" w:space="0" w:color="auto"/>
        </w:rPr>
      </w:pPr>
      <w:r>
        <w:rPr>
          <w:rFonts w:asciiTheme="majorHAnsi" w:hAnsiTheme="majorHAnsi"/>
          <w:noProof/>
          <w:sz w:val="20"/>
          <w:szCs w:val="20"/>
        </w:rPr>
        <w:tab/>
      </w:r>
      <w:r w:rsidRPr="00D8238D">
        <w:rPr>
          <w:rFonts w:asciiTheme="majorHAnsi" w:hAnsiTheme="majorHAnsi"/>
          <w:noProof/>
          <w:sz w:val="20"/>
          <w:szCs w:val="20"/>
        </w:rPr>
        <w:t>3.</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Right to judicial protection and to commutation of a death sentence</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_Toc54798092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17</w:t>
      </w:r>
      <w:r w:rsidR="0078071D" w:rsidRPr="00D8238D">
        <w:rPr>
          <w:rFonts w:asciiTheme="majorHAnsi" w:hAnsiTheme="majorHAnsi"/>
          <w:noProof/>
          <w:sz w:val="20"/>
          <w:szCs w:val="20"/>
        </w:rPr>
        <w:fldChar w:fldCharType="end"/>
      </w:r>
    </w:p>
    <w:p w14:paraId="593BA4F9" w14:textId="31DCFDDB" w:rsidR="00D8238D" w:rsidRPr="00D8238D" w:rsidRDefault="00D8238D">
      <w:pPr>
        <w:pStyle w:val="TOC2"/>
        <w:rPr>
          <w:rFonts w:asciiTheme="majorHAnsi" w:eastAsiaTheme="minorEastAsia" w:hAnsiTheme="majorHAnsi" w:cstheme="minorBidi"/>
          <w:noProof/>
          <w:sz w:val="20"/>
          <w:szCs w:val="20"/>
          <w:bdr w:val="none" w:sz="0" w:space="0" w:color="auto"/>
        </w:rPr>
      </w:pPr>
      <w:r w:rsidRPr="00D8238D">
        <w:rPr>
          <w:rFonts w:asciiTheme="majorHAnsi" w:hAnsiTheme="majorHAnsi"/>
          <w:noProof/>
          <w:sz w:val="20"/>
          <w:szCs w:val="20"/>
        </w:rPr>
        <w:t>D.</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The deprivation of liberty on death row and the right of protection against cruel, infamous or unusual punishment</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_Toc54798093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19</w:t>
      </w:r>
      <w:r w:rsidR="0078071D" w:rsidRPr="00D8238D">
        <w:rPr>
          <w:rFonts w:asciiTheme="majorHAnsi" w:hAnsiTheme="majorHAnsi"/>
          <w:noProof/>
          <w:sz w:val="20"/>
          <w:szCs w:val="20"/>
        </w:rPr>
        <w:fldChar w:fldCharType="end"/>
      </w:r>
    </w:p>
    <w:p w14:paraId="6034BE85" w14:textId="503057F2" w:rsidR="00D8238D" w:rsidRPr="00D8238D" w:rsidRDefault="00D8238D">
      <w:pPr>
        <w:pStyle w:val="TOC2"/>
        <w:rPr>
          <w:rFonts w:asciiTheme="majorHAnsi" w:eastAsiaTheme="minorEastAsia" w:hAnsiTheme="majorHAnsi" w:cstheme="minorBidi"/>
          <w:noProof/>
          <w:sz w:val="20"/>
          <w:szCs w:val="20"/>
          <w:bdr w:val="none" w:sz="0" w:space="0" w:color="auto"/>
        </w:rPr>
      </w:pPr>
      <w:r>
        <w:rPr>
          <w:rFonts w:asciiTheme="majorHAnsi" w:hAnsiTheme="majorHAnsi"/>
          <w:noProof/>
          <w:sz w:val="20"/>
          <w:szCs w:val="20"/>
        </w:rPr>
        <w:tab/>
      </w:r>
      <w:r w:rsidRPr="00D8238D">
        <w:rPr>
          <w:rFonts w:asciiTheme="majorHAnsi" w:hAnsiTheme="majorHAnsi"/>
          <w:noProof/>
          <w:sz w:val="20"/>
          <w:szCs w:val="20"/>
        </w:rPr>
        <w:t>1.</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Death row phenomenon</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_Toc54798094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19</w:t>
      </w:r>
      <w:r w:rsidR="0078071D" w:rsidRPr="00D8238D">
        <w:rPr>
          <w:rFonts w:asciiTheme="majorHAnsi" w:hAnsiTheme="majorHAnsi"/>
          <w:noProof/>
          <w:sz w:val="20"/>
          <w:szCs w:val="20"/>
        </w:rPr>
        <w:fldChar w:fldCharType="end"/>
      </w:r>
    </w:p>
    <w:p w14:paraId="627DDAE4" w14:textId="551FBA0D" w:rsidR="00D8238D" w:rsidRPr="00D8238D" w:rsidRDefault="00D8238D">
      <w:pPr>
        <w:pStyle w:val="TOC2"/>
        <w:rPr>
          <w:rFonts w:asciiTheme="majorHAnsi" w:eastAsiaTheme="minorEastAsia" w:hAnsiTheme="majorHAnsi" w:cstheme="minorBidi"/>
          <w:noProof/>
          <w:sz w:val="20"/>
          <w:szCs w:val="20"/>
          <w:bdr w:val="none" w:sz="0" w:space="0" w:color="auto"/>
        </w:rPr>
      </w:pPr>
      <w:r>
        <w:rPr>
          <w:rFonts w:asciiTheme="majorHAnsi" w:hAnsiTheme="majorHAnsi"/>
          <w:noProof/>
          <w:sz w:val="20"/>
          <w:szCs w:val="20"/>
        </w:rPr>
        <w:tab/>
      </w:r>
      <w:r w:rsidRPr="00D8238D">
        <w:rPr>
          <w:rFonts w:asciiTheme="majorHAnsi" w:hAnsiTheme="majorHAnsi"/>
          <w:noProof/>
          <w:sz w:val="20"/>
          <w:szCs w:val="20"/>
        </w:rPr>
        <w:t>2.</w:t>
      </w:r>
      <w:r w:rsidRPr="00D8238D">
        <w:rPr>
          <w:rFonts w:asciiTheme="majorHAnsi" w:eastAsiaTheme="minorEastAsia" w:hAnsiTheme="majorHAnsi" w:cstheme="minorBidi"/>
          <w:noProof/>
          <w:sz w:val="20"/>
          <w:szCs w:val="20"/>
          <w:bdr w:val="none" w:sz="0" w:space="0" w:color="auto"/>
        </w:rPr>
        <w:tab/>
      </w:r>
      <w:r w:rsidRPr="00D8238D">
        <w:rPr>
          <w:rFonts w:asciiTheme="majorHAnsi" w:hAnsiTheme="majorHAnsi"/>
          <w:noProof/>
          <w:sz w:val="20"/>
          <w:szCs w:val="20"/>
        </w:rPr>
        <w:t>Conditions on Death Row</w:t>
      </w:r>
      <w:r w:rsidRPr="00D8238D">
        <w:rPr>
          <w:rFonts w:asciiTheme="majorHAnsi" w:hAnsiTheme="majorHAnsi"/>
          <w:noProof/>
          <w:sz w:val="20"/>
          <w:szCs w:val="20"/>
        </w:rPr>
        <w:tab/>
      </w:r>
      <w:r w:rsidR="0078071D" w:rsidRPr="00D8238D">
        <w:rPr>
          <w:rFonts w:asciiTheme="majorHAnsi" w:hAnsiTheme="majorHAnsi"/>
          <w:noProof/>
          <w:sz w:val="20"/>
          <w:szCs w:val="20"/>
        </w:rPr>
        <w:fldChar w:fldCharType="begin"/>
      </w:r>
      <w:r w:rsidRPr="00D8238D">
        <w:rPr>
          <w:rFonts w:asciiTheme="majorHAnsi" w:hAnsiTheme="majorHAnsi"/>
          <w:noProof/>
          <w:sz w:val="20"/>
          <w:szCs w:val="20"/>
        </w:rPr>
        <w:instrText xml:space="preserve"> PAGEREF _Toc54798095 \h </w:instrText>
      </w:r>
      <w:r w:rsidR="0078071D" w:rsidRPr="00D8238D">
        <w:rPr>
          <w:rFonts w:asciiTheme="majorHAnsi" w:hAnsiTheme="majorHAnsi"/>
          <w:noProof/>
          <w:sz w:val="20"/>
          <w:szCs w:val="20"/>
        </w:rPr>
      </w:r>
      <w:r w:rsidR="0078071D" w:rsidRPr="00D8238D">
        <w:rPr>
          <w:rFonts w:asciiTheme="majorHAnsi" w:hAnsiTheme="majorHAnsi"/>
          <w:noProof/>
          <w:sz w:val="20"/>
          <w:szCs w:val="20"/>
        </w:rPr>
        <w:fldChar w:fldCharType="separate"/>
      </w:r>
      <w:r w:rsidR="0030692A">
        <w:rPr>
          <w:rFonts w:asciiTheme="majorHAnsi" w:hAnsiTheme="majorHAnsi"/>
          <w:noProof/>
          <w:sz w:val="20"/>
          <w:szCs w:val="20"/>
        </w:rPr>
        <w:t>21</w:t>
      </w:r>
      <w:r w:rsidR="0078071D" w:rsidRPr="00D8238D">
        <w:rPr>
          <w:rFonts w:asciiTheme="majorHAnsi" w:hAnsiTheme="majorHAnsi"/>
          <w:noProof/>
          <w:sz w:val="20"/>
          <w:szCs w:val="20"/>
        </w:rPr>
        <w:fldChar w:fldCharType="end"/>
      </w:r>
    </w:p>
    <w:p w14:paraId="11435039" w14:textId="2D1648AE" w:rsidR="00D8238D" w:rsidRDefault="00D8238D" w:rsidP="00783135">
      <w:pPr>
        <w:pStyle w:val="TOC1"/>
        <w:rPr>
          <w:rFonts w:asciiTheme="minorHAnsi" w:eastAsiaTheme="minorEastAsia" w:hAnsiTheme="minorHAnsi" w:cstheme="minorBidi"/>
          <w:sz w:val="22"/>
          <w:szCs w:val="22"/>
          <w:bdr w:val="none" w:sz="0" w:space="0" w:color="auto"/>
        </w:rPr>
      </w:pPr>
      <w:r w:rsidRPr="00D8238D">
        <w:t>V.</w:t>
      </w:r>
      <w:r w:rsidRPr="00D8238D">
        <w:rPr>
          <w:rFonts w:eastAsiaTheme="minorEastAsia" w:cstheme="minorBidi"/>
          <w:bdr w:val="none" w:sz="0" w:space="0" w:color="auto"/>
        </w:rPr>
        <w:tab/>
      </w:r>
      <w:r w:rsidRPr="00D8238D">
        <w:t>CONCLUSIONS AND RECOMMENDATIONS</w:t>
      </w:r>
      <w:r w:rsidRPr="00D8238D">
        <w:tab/>
      </w:r>
      <w:r w:rsidR="0078071D" w:rsidRPr="00D8238D">
        <w:fldChar w:fldCharType="begin"/>
      </w:r>
      <w:r w:rsidRPr="00D8238D">
        <w:instrText xml:space="preserve"> PAGEREF _Toc54798096 \h </w:instrText>
      </w:r>
      <w:r w:rsidR="0078071D" w:rsidRPr="00D8238D">
        <w:fldChar w:fldCharType="separate"/>
      </w:r>
      <w:r w:rsidR="0030692A">
        <w:t>22</w:t>
      </w:r>
      <w:r w:rsidR="0078071D" w:rsidRPr="00D8238D">
        <w:fldChar w:fldCharType="end"/>
      </w:r>
    </w:p>
    <w:p w14:paraId="5E6943B1" w14:textId="77777777" w:rsidR="007607C4" w:rsidRPr="00CD52EE" w:rsidRDefault="0078071D" w:rsidP="00145EDC">
      <w:pPr>
        <w:tabs>
          <w:tab w:val="center" w:pos="5400"/>
        </w:tabs>
        <w:suppressAutoHyphens/>
        <w:spacing w:line="276" w:lineRule="auto"/>
        <w:rPr>
          <w:rFonts w:asciiTheme="majorHAnsi" w:hAnsiTheme="majorHAnsi"/>
          <w:sz w:val="20"/>
          <w:szCs w:val="20"/>
        </w:rPr>
      </w:pPr>
      <w:r w:rsidRPr="00CD52EE">
        <w:rPr>
          <w:rFonts w:asciiTheme="majorHAnsi" w:hAnsiTheme="majorHAnsi"/>
          <w:noProof/>
          <w:sz w:val="20"/>
          <w:szCs w:val="20"/>
          <w:lang w:val="es-ES_tradnl"/>
        </w:rPr>
        <w:fldChar w:fldCharType="end"/>
      </w:r>
    </w:p>
    <w:p w14:paraId="0756C4DB" w14:textId="77777777" w:rsidR="007607C4" w:rsidRPr="00CD52EE" w:rsidRDefault="000572DC" w:rsidP="000572DC">
      <w:pPr>
        <w:tabs>
          <w:tab w:val="left" w:pos="7986"/>
        </w:tabs>
        <w:suppressAutoHyphens/>
        <w:spacing w:line="276" w:lineRule="auto"/>
        <w:rPr>
          <w:rFonts w:asciiTheme="majorHAnsi" w:hAnsiTheme="majorHAnsi"/>
          <w:sz w:val="20"/>
          <w:szCs w:val="18"/>
        </w:rPr>
      </w:pPr>
      <w:r w:rsidRPr="00CD52EE">
        <w:rPr>
          <w:rFonts w:asciiTheme="majorHAnsi" w:hAnsiTheme="majorHAnsi"/>
          <w:sz w:val="20"/>
          <w:szCs w:val="18"/>
        </w:rPr>
        <w:tab/>
      </w:r>
    </w:p>
    <w:p w14:paraId="26CABA16" w14:textId="77777777" w:rsidR="007607C4" w:rsidRPr="00CD52EE" w:rsidRDefault="007607C4" w:rsidP="00145EDC">
      <w:pPr>
        <w:tabs>
          <w:tab w:val="center" w:pos="5400"/>
        </w:tabs>
        <w:suppressAutoHyphens/>
        <w:spacing w:line="276" w:lineRule="auto"/>
        <w:rPr>
          <w:rFonts w:asciiTheme="majorHAnsi" w:hAnsiTheme="majorHAnsi"/>
          <w:sz w:val="20"/>
          <w:szCs w:val="18"/>
        </w:rPr>
      </w:pPr>
    </w:p>
    <w:p w14:paraId="4A519E21" w14:textId="77777777" w:rsidR="007607C4" w:rsidRPr="00CD52EE" w:rsidRDefault="007607C4" w:rsidP="00145EDC">
      <w:pPr>
        <w:tabs>
          <w:tab w:val="center" w:pos="5400"/>
        </w:tabs>
        <w:suppressAutoHyphens/>
        <w:spacing w:line="276" w:lineRule="auto"/>
        <w:rPr>
          <w:rFonts w:asciiTheme="majorHAnsi" w:hAnsiTheme="majorHAnsi"/>
          <w:sz w:val="20"/>
          <w:szCs w:val="20"/>
        </w:rPr>
      </w:pPr>
    </w:p>
    <w:p w14:paraId="382C4469" w14:textId="77777777" w:rsidR="007607C4" w:rsidRPr="00CD52EE" w:rsidRDefault="007607C4" w:rsidP="00145EDC">
      <w:pPr>
        <w:tabs>
          <w:tab w:val="center" w:pos="5400"/>
        </w:tabs>
        <w:suppressAutoHyphens/>
        <w:spacing w:line="276" w:lineRule="auto"/>
        <w:rPr>
          <w:rFonts w:asciiTheme="majorHAnsi" w:hAnsiTheme="majorHAnsi"/>
          <w:sz w:val="20"/>
          <w:szCs w:val="20"/>
        </w:rPr>
      </w:pPr>
    </w:p>
    <w:p w14:paraId="1549439E" w14:textId="77777777" w:rsidR="007607C4" w:rsidRPr="00CD52EE" w:rsidRDefault="007607C4" w:rsidP="00145EDC">
      <w:pPr>
        <w:tabs>
          <w:tab w:val="center" w:pos="5400"/>
        </w:tabs>
        <w:suppressAutoHyphens/>
        <w:spacing w:line="276" w:lineRule="auto"/>
        <w:rPr>
          <w:rFonts w:asciiTheme="majorHAnsi" w:hAnsiTheme="majorHAnsi"/>
          <w:sz w:val="20"/>
          <w:szCs w:val="20"/>
        </w:rPr>
      </w:pPr>
    </w:p>
    <w:p w14:paraId="36B3C536" w14:textId="77777777" w:rsidR="007607C4" w:rsidRPr="00CD52EE" w:rsidRDefault="007607C4" w:rsidP="00145EDC">
      <w:pPr>
        <w:tabs>
          <w:tab w:val="center" w:pos="5400"/>
        </w:tabs>
        <w:suppressAutoHyphens/>
        <w:spacing w:line="276" w:lineRule="auto"/>
        <w:rPr>
          <w:rFonts w:asciiTheme="majorHAnsi" w:hAnsiTheme="majorHAnsi"/>
          <w:sz w:val="20"/>
          <w:szCs w:val="20"/>
        </w:rPr>
      </w:pPr>
    </w:p>
    <w:p w14:paraId="29A18707" w14:textId="77777777" w:rsidR="007607C4" w:rsidRPr="00CD52EE" w:rsidRDefault="00A84A45" w:rsidP="00452DAB">
      <w:pPr>
        <w:rPr>
          <w:rFonts w:asciiTheme="majorHAnsi" w:hAnsiTheme="majorHAnsi"/>
          <w:b/>
          <w:sz w:val="18"/>
          <w:szCs w:val="20"/>
        </w:rPr>
      </w:pPr>
      <w:r w:rsidRPr="00CD52EE">
        <w:rPr>
          <w:rFonts w:asciiTheme="majorHAnsi" w:hAnsiTheme="majorHAnsi"/>
          <w:b/>
          <w:sz w:val="18"/>
          <w:szCs w:val="20"/>
        </w:rPr>
        <w:br w:type="page"/>
      </w:r>
    </w:p>
    <w:p w14:paraId="34C5EC4A" w14:textId="77777777" w:rsidR="001C4006" w:rsidRPr="00CD52EE" w:rsidRDefault="00830E88" w:rsidP="00C9369A">
      <w:pPr>
        <w:pStyle w:val="Heading1"/>
        <w:spacing w:before="0"/>
        <w:ind w:left="360"/>
        <w:rPr>
          <w:color w:val="auto"/>
          <w:sz w:val="20"/>
          <w:szCs w:val="20"/>
        </w:rPr>
      </w:pPr>
      <w:bookmarkStart w:id="0" w:name="_Toc54798074"/>
      <w:r w:rsidRPr="00CD52EE">
        <w:rPr>
          <w:color w:val="auto"/>
          <w:sz w:val="20"/>
          <w:szCs w:val="20"/>
        </w:rPr>
        <w:lastRenderedPageBreak/>
        <w:t>INTRODUCTION</w:t>
      </w:r>
      <w:bookmarkEnd w:id="0"/>
      <w:r w:rsidR="001C4006" w:rsidRPr="00CD52EE">
        <w:rPr>
          <w:color w:val="auto"/>
          <w:sz w:val="20"/>
          <w:szCs w:val="20"/>
        </w:rPr>
        <w:t xml:space="preserve"> </w:t>
      </w:r>
    </w:p>
    <w:p w14:paraId="28069712" w14:textId="77777777" w:rsidR="001C4006" w:rsidRPr="00CD52EE" w:rsidRDefault="001C4006" w:rsidP="00BB5A59">
      <w:pPr>
        <w:suppressAutoHyphens/>
        <w:ind w:left="1440" w:hanging="720"/>
        <w:rPr>
          <w:rFonts w:asciiTheme="majorHAnsi" w:hAnsiTheme="majorHAnsi"/>
          <w:b/>
          <w:sz w:val="20"/>
          <w:szCs w:val="20"/>
        </w:rPr>
      </w:pPr>
    </w:p>
    <w:p w14:paraId="1FDE4C42" w14:textId="77777777" w:rsidR="00226998" w:rsidRPr="00CD52EE" w:rsidRDefault="00486773" w:rsidP="00C936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rPr>
      </w:pPr>
      <w:r w:rsidRPr="00CD52EE">
        <w:rPr>
          <w:rFonts w:asciiTheme="majorHAnsi" w:eastAsia="Times New Roman" w:hAnsiTheme="majorHAnsi"/>
          <w:sz w:val="20"/>
          <w:szCs w:val="20"/>
        </w:rPr>
        <w:t xml:space="preserve">On </w:t>
      </w:r>
      <w:r w:rsidR="00413E2E" w:rsidRPr="00CD52EE">
        <w:rPr>
          <w:rFonts w:asciiTheme="majorHAnsi" w:eastAsia="Times New Roman" w:hAnsiTheme="majorHAnsi"/>
          <w:sz w:val="20"/>
          <w:szCs w:val="20"/>
        </w:rPr>
        <w:t>April 29, 1999</w:t>
      </w:r>
      <w:r w:rsidRPr="00CD52EE">
        <w:rPr>
          <w:rFonts w:asciiTheme="majorHAnsi" w:eastAsia="Times New Roman" w:hAnsiTheme="majorHAnsi"/>
          <w:sz w:val="20"/>
          <w:szCs w:val="20"/>
        </w:rPr>
        <w:t>, the Inter-American Commission on Human Rights (</w:t>
      </w:r>
      <w:r w:rsidR="00A60243" w:rsidRPr="00CD52EE">
        <w:rPr>
          <w:rFonts w:asciiTheme="majorHAnsi" w:eastAsia="Times New Roman" w:hAnsiTheme="majorHAnsi"/>
          <w:sz w:val="20"/>
          <w:szCs w:val="20"/>
        </w:rPr>
        <w:t>“</w:t>
      </w:r>
      <w:r w:rsidRPr="00CD52EE">
        <w:rPr>
          <w:rFonts w:asciiTheme="majorHAnsi" w:eastAsia="Times New Roman" w:hAnsiTheme="majorHAnsi"/>
          <w:sz w:val="20"/>
          <w:szCs w:val="20"/>
        </w:rPr>
        <w:t xml:space="preserve">the Commission”) received </w:t>
      </w:r>
      <w:r w:rsidR="00413E2E" w:rsidRPr="00CD52EE">
        <w:rPr>
          <w:rFonts w:asciiTheme="majorHAnsi" w:eastAsia="Times New Roman" w:hAnsiTheme="majorHAnsi"/>
          <w:sz w:val="20"/>
          <w:szCs w:val="20"/>
        </w:rPr>
        <w:t>two</w:t>
      </w:r>
      <w:r w:rsidRPr="00CD52EE">
        <w:rPr>
          <w:rFonts w:asciiTheme="majorHAnsi" w:eastAsia="Times New Roman" w:hAnsiTheme="majorHAnsi"/>
          <w:sz w:val="20"/>
          <w:szCs w:val="20"/>
        </w:rPr>
        <w:t xml:space="preserve"> petition</w:t>
      </w:r>
      <w:r w:rsidR="00413E2E" w:rsidRPr="00CD52EE">
        <w:rPr>
          <w:rFonts w:asciiTheme="majorHAnsi" w:eastAsia="Times New Roman" w:hAnsiTheme="majorHAnsi"/>
          <w:sz w:val="20"/>
          <w:szCs w:val="20"/>
        </w:rPr>
        <w:t>s and</w:t>
      </w:r>
      <w:r w:rsidRPr="00CD52EE">
        <w:rPr>
          <w:rFonts w:asciiTheme="majorHAnsi" w:eastAsia="Times New Roman" w:hAnsiTheme="majorHAnsi"/>
          <w:sz w:val="20"/>
          <w:szCs w:val="20"/>
        </w:rPr>
        <w:t xml:space="preserve"> request</w:t>
      </w:r>
      <w:r w:rsidR="00413E2E" w:rsidRPr="00CD52EE">
        <w:rPr>
          <w:rFonts w:asciiTheme="majorHAnsi" w:eastAsia="Times New Roman" w:hAnsiTheme="majorHAnsi"/>
          <w:sz w:val="20"/>
          <w:szCs w:val="20"/>
        </w:rPr>
        <w:t>s</w:t>
      </w:r>
      <w:r w:rsidRPr="00CD52EE">
        <w:rPr>
          <w:rFonts w:asciiTheme="majorHAnsi" w:eastAsia="Times New Roman" w:hAnsiTheme="majorHAnsi"/>
          <w:sz w:val="20"/>
          <w:szCs w:val="20"/>
        </w:rPr>
        <w:t xml:space="preserve"> for precautionary measures</w:t>
      </w:r>
      <w:r w:rsidR="00F2568D" w:rsidRPr="00CD52EE">
        <w:rPr>
          <w:rStyle w:val="FootnoteReference"/>
          <w:rFonts w:asciiTheme="majorHAnsi" w:hAnsiTheme="majorHAnsi"/>
          <w:color w:val="000000" w:themeColor="text1"/>
          <w:sz w:val="20"/>
          <w:szCs w:val="20"/>
        </w:rPr>
        <w:footnoteReference w:id="2"/>
      </w:r>
      <w:r w:rsidRPr="00CD52EE">
        <w:rPr>
          <w:rFonts w:asciiTheme="majorHAnsi" w:eastAsia="Times New Roman" w:hAnsiTheme="majorHAnsi"/>
          <w:sz w:val="20"/>
          <w:szCs w:val="20"/>
        </w:rPr>
        <w:t xml:space="preserve"> </w:t>
      </w:r>
      <w:r w:rsidR="007F48AA" w:rsidRPr="00CD52EE">
        <w:rPr>
          <w:rFonts w:asciiTheme="majorHAnsi" w:hAnsiTheme="majorHAnsi"/>
          <w:sz w:val="20"/>
          <w:szCs w:val="20"/>
        </w:rPr>
        <w:t>from Herbert-Smith LLP</w:t>
      </w:r>
      <w:r w:rsidR="007F48AA" w:rsidRPr="00CD52EE">
        <w:rPr>
          <w:rStyle w:val="FootnoteReference"/>
          <w:rFonts w:asciiTheme="majorHAnsi" w:hAnsiTheme="majorHAnsi"/>
          <w:sz w:val="20"/>
          <w:szCs w:val="20"/>
        </w:rPr>
        <w:footnoteReference w:id="3"/>
      </w:r>
      <w:r w:rsidR="007F48AA" w:rsidRPr="00CD52EE">
        <w:rPr>
          <w:rFonts w:asciiTheme="majorHAnsi" w:hAnsiTheme="majorHAnsi"/>
          <w:sz w:val="20"/>
          <w:szCs w:val="20"/>
        </w:rPr>
        <w:t xml:space="preserve"> </w:t>
      </w:r>
      <w:r w:rsidRPr="00CD52EE">
        <w:rPr>
          <w:rFonts w:asciiTheme="majorHAnsi" w:eastAsia="Times New Roman" w:hAnsiTheme="majorHAnsi"/>
          <w:sz w:val="20"/>
          <w:szCs w:val="20"/>
        </w:rPr>
        <w:t>(</w:t>
      </w:r>
      <w:r w:rsidR="00B03D29" w:rsidRPr="00CD52EE">
        <w:rPr>
          <w:rFonts w:asciiTheme="majorHAnsi" w:eastAsia="Times New Roman" w:hAnsiTheme="majorHAnsi"/>
          <w:sz w:val="20"/>
          <w:szCs w:val="20"/>
        </w:rPr>
        <w:t>“</w:t>
      </w:r>
      <w:r w:rsidRPr="00CD52EE">
        <w:rPr>
          <w:rFonts w:asciiTheme="majorHAnsi" w:eastAsia="Times New Roman" w:hAnsiTheme="majorHAnsi"/>
          <w:sz w:val="20"/>
          <w:szCs w:val="20"/>
        </w:rPr>
        <w:t xml:space="preserve">the </w:t>
      </w:r>
      <w:r w:rsidR="00B03D29" w:rsidRPr="00CD52EE">
        <w:rPr>
          <w:rFonts w:asciiTheme="majorHAnsi" w:eastAsia="Times New Roman" w:hAnsiTheme="majorHAnsi"/>
          <w:sz w:val="20"/>
          <w:szCs w:val="20"/>
        </w:rPr>
        <w:t>p</w:t>
      </w:r>
      <w:r w:rsidRPr="00CD52EE">
        <w:rPr>
          <w:rFonts w:asciiTheme="majorHAnsi" w:eastAsia="Times New Roman" w:hAnsiTheme="majorHAnsi"/>
          <w:sz w:val="20"/>
          <w:szCs w:val="20"/>
        </w:rPr>
        <w:t xml:space="preserve">etitioners”) against the Government of </w:t>
      </w:r>
      <w:r w:rsidR="007F48AA" w:rsidRPr="00CD52EE">
        <w:rPr>
          <w:rFonts w:asciiTheme="majorHAnsi" w:eastAsia="Times New Roman" w:hAnsiTheme="majorHAnsi"/>
          <w:sz w:val="20"/>
          <w:szCs w:val="20"/>
        </w:rPr>
        <w:t>Trinidad and Tobago</w:t>
      </w:r>
      <w:r w:rsidRPr="00CD52EE">
        <w:rPr>
          <w:rFonts w:asciiTheme="majorHAnsi" w:eastAsia="Times New Roman" w:hAnsiTheme="majorHAnsi"/>
          <w:sz w:val="20"/>
          <w:szCs w:val="20"/>
        </w:rPr>
        <w:t xml:space="preserve"> (the “State” or “</w:t>
      </w:r>
      <w:r w:rsidR="007F48AA" w:rsidRPr="00CD52EE">
        <w:rPr>
          <w:rFonts w:asciiTheme="majorHAnsi" w:eastAsia="Times New Roman" w:hAnsiTheme="majorHAnsi"/>
          <w:sz w:val="20"/>
          <w:szCs w:val="20"/>
        </w:rPr>
        <w:t>Trinidad and Tobago</w:t>
      </w:r>
      <w:r w:rsidRPr="00CD52EE">
        <w:rPr>
          <w:rFonts w:asciiTheme="majorHAnsi" w:eastAsia="Times New Roman" w:hAnsiTheme="majorHAnsi"/>
          <w:sz w:val="20"/>
          <w:szCs w:val="20"/>
        </w:rPr>
        <w:t>”).  The petition</w:t>
      </w:r>
      <w:r w:rsidR="007F48AA" w:rsidRPr="00CD52EE">
        <w:rPr>
          <w:rFonts w:asciiTheme="majorHAnsi" w:eastAsia="Times New Roman" w:hAnsiTheme="majorHAnsi"/>
          <w:sz w:val="20"/>
          <w:szCs w:val="20"/>
        </w:rPr>
        <w:t xml:space="preserve">s were </w:t>
      </w:r>
      <w:r w:rsidRPr="00CD52EE">
        <w:rPr>
          <w:rFonts w:asciiTheme="majorHAnsi" w:eastAsia="Times New Roman" w:hAnsiTheme="majorHAnsi"/>
          <w:sz w:val="20"/>
          <w:szCs w:val="20"/>
        </w:rPr>
        <w:t xml:space="preserve">presented on behalf of </w:t>
      </w:r>
      <w:r w:rsidR="007F48AA" w:rsidRPr="00CD52EE">
        <w:rPr>
          <w:rFonts w:asciiTheme="majorHAnsi" w:hAnsiTheme="majorHAnsi"/>
          <w:sz w:val="20"/>
          <w:szCs w:val="20"/>
        </w:rPr>
        <w:t>Kevin Dial and Andrew Dottin (“the alleged victims”), two Trinidadian nationals who at that time were inmates on death row in that country’s State Prison.</w:t>
      </w:r>
      <w:r w:rsidR="007F48AA" w:rsidRPr="00CD52EE">
        <w:rPr>
          <w:rStyle w:val="FootnoteReference"/>
          <w:rFonts w:asciiTheme="majorHAnsi" w:hAnsiTheme="majorHAnsi"/>
          <w:sz w:val="20"/>
          <w:szCs w:val="20"/>
        </w:rPr>
        <w:footnoteReference w:id="4"/>
      </w:r>
    </w:p>
    <w:p w14:paraId="2E2034BA" w14:textId="77777777" w:rsidR="00F0764A" w:rsidRPr="00CD52EE" w:rsidRDefault="00F0764A" w:rsidP="00C9369A">
      <w:pPr>
        <w:tabs>
          <w:tab w:val="left" w:pos="360"/>
        </w:tabs>
        <w:rPr>
          <w:sz w:val="20"/>
          <w:szCs w:val="20"/>
        </w:rPr>
      </w:pPr>
    </w:p>
    <w:p w14:paraId="2493989E" w14:textId="77777777" w:rsidR="00A66AC0" w:rsidRPr="00CD52EE" w:rsidRDefault="00EA425E" w:rsidP="00C936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rPr>
      </w:pPr>
      <w:r w:rsidRPr="00CD52EE">
        <w:rPr>
          <w:rFonts w:asciiTheme="majorHAnsi" w:hAnsiTheme="majorHAnsi"/>
          <w:color w:val="000000" w:themeColor="text1"/>
          <w:sz w:val="20"/>
          <w:szCs w:val="20"/>
        </w:rPr>
        <w:t xml:space="preserve">The Commission approved its admissibility report </w:t>
      </w:r>
      <w:r w:rsidR="00203307" w:rsidRPr="00CD52EE">
        <w:rPr>
          <w:rFonts w:ascii="Cambria" w:eastAsia="Cambria" w:hAnsi="Cambria" w:cs="Cambria"/>
          <w:sz w:val="20"/>
          <w:szCs w:val="20"/>
        </w:rPr>
        <w:t xml:space="preserve">No. </w:t>
      </w:r>
      <w:r w:rsidR="00B852B3" w:rsidRPr="00CD52EE">
        <w:rPr>
          <w:rFonts w:ascii="Cambria" w:eastAsia="Cambria" w:hAnsi="Cambria" w:cs="Cambria"/>
          <w:sz w:val="20"/>
          <w:szCs w:val="20"/>
        </w:rPr>
        <w:t>83/11</w:t>
      </w:r>
      <w:r w:rsidRPr="00CD52EE">
        <w:rPr>
          <w:rFonts w:ascii="Cambria" w:eastAsia="Cambria" w:hAnsi="Cambria" w:cs="Cambria"/>
          <w:sz w:val="20"/>
          <w:szCs w:val="20"/>
        </w:rPr>
        <w:t xml:space="preserve"> on </w:t>
      </w:r>
      <w:r w:rsidR="00B852B3" w:rsidRPr="00CD52EE">
        <w:rPr>
          <w:rFonts w:ascii="Cambria" w:eastAsia="Cambria" w:hAnsi="Cambria" w:cs="Cambria"/>
          <w:sz w:val="20"/>
          <w:szCs w:val="20"/>
        </w:rPr>
        <w:t>July 21, 2011</w:t>
      </w:r>
      <w:r w:rsidR="005028FE" w:rsidRPr="00CD52EE">
        <w:rPr>
          <w:rStyle w:val="FootnoteReference"/>
          <w:rFonts w:ascii="Cambria" w:eastAsia="Cambria" w:hAnsi="Cambria"/>
          <w:sz w:val="20"/>
          <w:szCs w:val="20"/>
        </w:rPr>
        <w:footnoteReference w:id="5"/>
      </w:r>
      <w:r w:rsidR="007E5C9F" w:rsidRPr="00CD52EE">
        <w:rPr>
          <w:rFonts w:ascii="Cambria" w:eastAsia="Cambria" w:hAnsi="Cambria" w:cs="Cambria"/>
          <w:sz w:val="20"/>
          <w:szCs w:val="20"/>
        </w:rPr>
        <w:t xml:space="preserve"> and </w:t>
      </w:r>
      <w:r w:rsidR="007C4E9A" w:rsidRPr="00CD52EE">
        <w:rPr>
          <w:rFonts w:ascii="Cambria" w:eastAsia="Cambria" w:hAnsi="Cambria" w:cs="Cambria"/>
          <w:sz w:val="20"/>
          <w:szCs w:val="20"/>
        </w:rPr>
        <w:t xml:space="preserve">on </w:t>
      </w:r>
      <w:r w:rsidR="00BB660E" w:rsidRPr="00CD52EE">
        <w:rPr>
          <w:rFonts w:ascii="Cambria" w:eastAsia="Cambria" w:hAnsi="Cambria" w:cs="Cambria"/>
          <w:sz w:val="20"/>
          <w:szCs w:val="20"/>
        </w:rPr>
        <w:t>July 27, 2011</w:t>
      </w:r>
      <w:r w:rsidR="007C4E9A" w:rsidRPr="00CD52EE">
        <w:rPr>
          <w:rFonts w:ascii="Cambria" w:eastAsia="Cambria" w:hAnsi="Cambria" w:cs="Cambria"/>
          <w:sz w:val="20"/>
          <w:szCs w:val="20"/>
        </w:rPr>
        <w:t>,</w:t>
      </w:r>
      <w:r w:rsidR="00BB660E" w:rsidRPr="00CD52EE">
        <w:rPr>
          <w:rFonts w:ascii="Cambria" w:eastAsia="Cambria" w:hAnsi="Cambria" w:cs="Cambria"/>
          <w:sz w:val="20"/>
          <w:szCs w:val="20"/>
        </w:rPr>
        <w:t xml:space="preserve"> </w:t>
      </w:r>
      <w:r w:rsidR="001C4006" w:rsidRPr="00CD52EE">
        <w:rPr>
          <w:rFonts w:asciiTheme="majorHAnsi" w:hAnsiTheme="majorHAnsi"/>
          <w:color w:val="000000" w:themeColor="text1"/>
          <w:sz w:val="20"/>
          <w:szCs w:val="20"/>
        </w:rPr>
        <w:t>notified</w:t>
      </w:r>
      <w:r w:rsidR="003371DA" w:rsidRPr="00CD52EE">
        <w:rPr>
          <w:rFonts w:asciiTheme="majorHAnsi" w:hAnsiTheme="majorHAnsi"/>
          <w:color w:val="000000" w:themeColor="text1"/>
          <w:sz w:val="20"/>
          <w:szCs w:val="20"/>
        </w:rPr>
        <w:t xml:space="preserve"> </w:t>
      </w:r>
      <w:r w:rsidR="001C4006" w:rsidRPr="00CD52EE">
        <w:rPr>
          <w:rFonts w:asciiTheme="majorHAnsi" w:hAnsiTheme="majorHAnsi"/>
          <w:color w:val="000000" w:themeColor="text1"/>
          <w:sz w:val="20"/>
          <w:szCs w:val="20"/>
        </w:rPr>
        <w:t>th</w:t>
      </w:r>
      <w:r w:rsidR="00DA7151" w:rsidRPr="00CD52EE">
        <w:rPr>
          <w:rFonts w:asciiTheme="majorHAnsi" w:hAnsiTheme="majorHAnsi"/>
          <w:color w:val="000000" w:themeColor="text1"/>
          <w:sz w:val="20"/>
          <w:szCs w:val="20"/>
        </w:rPr>
        <w:t>e</w:t>
      </w:r>
      <w:r w:rsidR="001C4006" w:rsidRPr="00CD52EE">
        <w:rPr>
          <w:rFonts w:asciiTheme="majorHAnsi" w:hAnsiTheme="majorHAnsi"/>
          <w:color w:val="000000" w:themeColor="text1"/>
          <w:sz w:val="20"/>
          <w:szCs w:val="20"/>
        </w:rPr>
        <w:t xml:space="preserve"> report to the parties</w:t>
      </w:r>
      <w:r w:rsidR="007E5C9F" w:rsidRPr="00CD52EE">
        <w:rPr>
          <w:rFonts w:asciiTheme="majorHAnsi" w:hAnsiTheme="majorHAnsi"/>
          <w:color w:val="000000" w:themeColor="text1"/>
          <w:sz w:val="20"/>
          <w:szCs w:val="20"/>
        </w:rPr>
        <w:t>, placing</w:t>
      </w:r>
      <w:r w:rsidR="001C4006" w:rsidRPr="00CD52EE">
        <w:rPr>
          <w:rFonts w:asciiTheme="majorHAnsi" w:hAnsiTheme="majorHAnsi"/>
          <w:color w:val="000000" w:themeColor="text1"/>
          <w:sz w:val="20"/>
          <w:szCs w:val="20"/>
        </w:rPr>
        <w:t xml:space="preserve"> itself at the</w:t>
      </w:r>
      <w:r w:rsidR="007E5C9F" w:rsidRPr="00CD52EE">
        <w:rPr>
          <w:rFonts w:asciiTheme="majorHAnsi" w:hAnsiTheme="majorHAnsi"/>
          <w:color w:val="000000" w:themeColor="text1"/>
          <w:sz w:val="20"/>
          <w:szCs w:val="20"/>
        </w:rPr>
        <w:t>ir</w:t>
      </w:r>
      <w:r w:rsidR="001C4006" w:rsidRPr="00CD52EE">
        <w:rPr>
          <w:rFonts w:asciiTheme="majorHAnsi" w:hAnsiTheme="majorHAnsi"/>
          <w:color w:val="000000" w:themeColor="text1"/>
          <w:sz w:val="20"/>
          <w:szCs w:val="20"/>
        </w:rPr>
        <w:t xml:space="preserve"> disposition to reach a friendly settlement. The parties </w:t>
      </w:r>
      <w:r w:rsidR="00092817" w:rsidRPr="00CD52EE">
        <w:rPr>
          <w:rFonts w:asciiTheme="majorHAnsi" w:hAnsiTheme="majorHAnsi"/>
          <w:color w:val="000000" w:themeColor="text1"/>
          <w:sz w:val="20"/>
          <w:szCs w:val="20"/>
        </w:rPr>
        <w:t xml:space="preserve">were allocated </w:t>
      </w:r>
      <w:r w:rsidR="001C4006" w:rsidRPr="00CD52EE">
        <w:rPr>
          <w:rFonts w:asciiTheme="majorHAnsi" w:hAnsiTheme="majorHAnsi"/>
          <w:color w:val="000000" w:themeColor="text1"/>
          <w:sz w:val="20"/>
          <w:szCs w:val="20"/>
        </w:rPr>
        <w:t>the time periods provided for in the IACHR’s Rules of Procedure to present additional observations on the merits</w:t>
      </w:r>
      <w:r w:rsidR="00092817" w:rsidRPr="00CD52EE">
        <w:rPr>
          <w:rFonts w:asciiTheme="majorHAnsi" w:hAnsiTheme="majorHAnsi"/>
          <w:color w:val="000000" w:themeColor="text1"/>
          <w:sz w:val="20"/>
          <w:szCs w:val="20"/>
        </w:rPr>
        <w:t xml:space="preserve"> of the case</w:t>
      </w:r>
      <w:r w:rsidR="001C4006" w:rsidRPr="00CD52EE">
        <w:rPr>
          <w:rFonts w:asciiTheme="majorHAnsi" w:hAnsiTheme="majorHAnsi"/>
          <w:color w:val="000000" w:themeColor="text1"/>
          <w:sz w:val="20"/>
          <w:szCs w:val="20"/>
        </w:rPr>
        <w:t xml:space="preserve">. All </w:t>
      </w:r>
      <w:r w:rsidR="00092817" w:rsidRPr="00CD52EE">
        <w:rPr>
          <w:rFonts w:asciiTheme="majorHAnsi" w:hAnsiTheme="majorHAnsi"/>
          <w:color w:val="000000" w:themeColor="text1"/>
          <w:sz w:val="20"/>
          <w:szCs w:val="20"/>
        </w:rPr>
        <w:t xml:space="preserve">of </w:t>
      </w:r>
      <w:r w:rsidR="001C4006" w:rsidRPr="00CD52EE">
        <w:rPr>
          <w:rFonts w:asciiTheme="majorHAnsi" w:hAnsiTheme="majorHAnsi"/>
          <w:color w:val="000000" w:themeColor="text1"/>
          <w:sz w:val="20"/>
          <w:szCs w:val="20"/>
        </w:rPr>
        <w:t xml:space="preserve">the information received by the </w:t>
      </w:r>
      <w:r w:rsidR="00DA7151" w:rsidRPr="00CD52EE">
        <w:rPr>
          <w:rFonts w:asciiTheme="majorHAnsi" w:hAnsiTheme="majorHAnsi"/>
          <w:color w:val="000000" w:themeColor="text1"/>
          <w:sz w:val="20"/>
          <w:szCs w:val="20"/>
        </w:rPr>
        <w:t>IACHR</w:t>
      </w:r>
      <w:r w:rsidR="001C4006" w:rsidRPr="00CD52EE">
        <w:rPr>
          <w:rFonts w:asciiTheme="majorHAnsi" w:hAnsiTheme="majorHAnsi"/>
          <w:color w:val="000000" w:themeColor="text1"/>
          <w:sz w:val="20"/>
          <w:szCs w:val="20"/>
        </w:rPr>
        <w:t xml:space="preserve"> was duly transmitted to the parties. </w:t>
      </w:r>
    </w:p>
    <w:p w14:paraId="4D529F18" w14:textId="77777777" w:rsidR="001C4006" w:rsidRPr="00CD52EE"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000000" w:themeColor="text1"/>
          <w:sz w:val="20"/>
          <w:szCs w:val="20"/>
        </w:rPr>
      </w:pPr>
    </w:p>
    <w:p w14:paraId="75AE304F" w14:textId="77777777" w:rsidR="001C4006" w:rsidRPr="00CD52EE" w:rsidRDefault="001C4006" w:rsidP="00621CDC">
      <w:pPr>
        <w:pStyle w:val="Heading1"/>
        <w:spacing w:before="0"/>
        <w:ind w:left="360"/>
        <w:rPr>
          <w:color w:val="auto"/>
          <w:sz w:val="20"/>
          <w:szCs w:val="20"/>
        </w:rPr>
      </w:pPr>
      <w:bookmarkStart w:id="1" w:name="_Toc54798075"/>
      <w:r w:rsidRPr="00CD52EE">
        <w:rPr>
          <w:color w:val="auto"/>
          <w:sz w:val="20"/>
          <w:szCs w:val="20"/>
        </w:rPr>
        <w:t>POSITIONS OF THE PARTIES</w:t>
      </w:r>
      <w:bookmarkEnd w:id="1"/>
    </w:p>
    <w:p w14:paraId="368049AD" w14:textId="77777777" w:rsidR="001C4006" w:rsidRPr="00CD52EE" w:rsidRDefault="001C4006" w:rsidP="00BB5A59">
      <w:pPr>
        <w:suppressAutoHyphens/>
        <w:ind w:left="1440" w:hanging="720"/>
        <w:rPr>
          <w:rFonts w:asciiTheme="majorHAnsi" w:hAnsiTheme="majorHAnsi"/>
          <w:sz w:val="20"/>
          <w:szCs w:val="20"/>
        </w:rPr>
      </w:pPr>
    </w:p>
    <w:p w14:paraId="729738CD" w14:textId="77777777" w:rsidR="00C837F2" w:rsidRPr="00CD52EE" w:rsidRDefault="005C164F">
      <w:pPr>
        <w:pStyle w:val="Heading2"/>
        <w:numPr>
          <w:ilvl w:val="0"/>
          <w:numId w:val="57"/>
        </w:numPr>
        <w:spacing w:before="0"/>
        <w:ind w:left="360"/>
        <w:rPr>
          <w:color w:val="auto"/>
          <w:sz w:val="20"/>
          <w:szCs w:val="20"/>
        </w:rPr>
      </w:pPr>
      <w:bookmarkStart w:id="2" w:name="_Toc54798076"/>
      <w:r w:rsidRPr="00CD52EE">
        <w:rPr>
          <w:color w:val="auto"/>
          <w:sz w:val="20"/>
          <w:szCs w:val="20"/>
        </w:rPr>
        <w:t>P</w:t>
      </w:r>
      <w:r w:rsidR="00262ECA" w:rsidRPr="00CD52EE">
        <w:rPr>
          <w:color w:val="auto"/>
          <w:sz w:val="20"/>
          <w:szCs w:val="20"/>
        </w:rPr>
        <w:t>etitioners</w:t>
      </w:r>
      <w:bookmarkEnd w:id="2"/>
    </w:p>
    <w:p w14:paraId="2E6B1133" w14:textId="77777777" w:rsidR="005C164F" w:rsidRPr="00CD52EE" w:rsidRDefault="005C164F" w:rsidP="00BB5A59">
      <w:pPr>
        <w:suppressAutoHyphens/>
        <w:ind w:left="1440" w:hanging="720"/>
        <w:rPr>
          <w:rFonts w:asciiTheme="majorHAnsi" w:hAnsiTheme="majorHAnsi"/>
          <w:sz w:val="20"/>
          <w:szCs w:val="20"/>
        </w:rPr>
      </w:pPr>
    </w:p>
    <w:p w14:paraId="5C7FADC3" w14:textId="77777777" w:rsidR="00CB70A9" w:rsidRPr="00CD52EE" w:rsidRDefault="00ED5539"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t xml:space="preserve">The petitioners indicate that the alleged victims were tried and convicted as co-defendants for the murder of Junior Baptiste and sentenced to death on January 21, 1997 by the High Court of Justice of Trinidad </w:t>
      </w:r>
      <w:r w:rsidR="00E56522" w:rsidRPr="00CD52EE">
        <w:rPr>
          <w:rFonts w:asciiTheme="majorHAnsi" w:hAnsiTheme="majorHAnsi"/>
          <w:sz w:val="20"/>
        </w:rPr>
        <w:t xml:space="preserve">and </w:t>
      </w:r>
      <w:r w:rsidRPr="00CD52EE">
        <w:rPr>
          <w:rFonts w:asciiTheme="majorHAnsi" w:hAnsiTheme="majorHAnsi"/>
          <w:sz w:val="20"/>
        </w:rPr>
        <w:t>Tobago, pursuant to the count</w:t>
      </w:r>
      <w:r w:rsidR="00CB70A9" w:rsidRPr="00CD52EE">
        <w:rPr>
          <w:rFonts w:asciiTheme="majorHAnsi" w:hAnsiTheme="majorHAnsi"/>
          <w:sz w:val="20"/>
        </w:rPr>
        <w:t xml:space="preserve">ry’s mandatory death penalty. </w:t>
      </w:r>
      <w:r w:rsidR="00CB70A9" w:rsidRPr="00CD52EE">
        <w:rPr>
          <w:rFonts w:asciiTheme="majorHAnsi" w:hAnsiTheme="majorHAnsi"/>
          <w:sz w:val="20"/>
          <w:szCs w:val="20"/>
        </w:rPr>
        <w:t xml:space="preserve">The petitioners indicate that, in their defense, Messrs. Dial and Dottin alleged an alibi and testified that the lineup identification procedure at the Besson Street Police Station was flawed, and that the lack of fingerprint evidence or firearms ballistics testing diminished the credibility of Shawn Baptiste’s testimony.  </w:t>
      </w:r>
    </w:p>
    <w:p w14:paraId="293A02AF" w14:textId="77777777" w:rsidR="00CB70A9" w:rsidRPr="00CD52EE" w:rsidRDefault="00CB70A9" w:rsidP="00621C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3185BC2E" w14:textId="77777777" w:rsidR="00CB70A9" w:rsidRPr="00CD52EE" w:rsidRDefault="00CB70A9"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According to the petitioners, the evidence against the alleged victims was fabricated by the police, and therefore, they were sentenced through a miscarriage of justice.  In this regard, they allege that, on July 9, 1999, Shawn Baptiste swore an affidavit retracting the entirety of his deposition incriminating the defendants.  The petitioners allege that since Shawn Baptiste’s testimony at trial was the sole basis for the alleged victims’ convictions, it is clear that the actions of the police perverted the course of justice.  In addition, the petitioners informed the IACHR that, on October 15, 1999, Alicia Henry also swore an affidavit supporting the new evidence presented by Shawn Baptiste.</w:t>
      </w:r>
    </w:p>
    <w:p w14:paraId="72910AEC" w14:textId="77777777" w:rsidR="00CB70A9" w:rsidRPr="00CD52EE" w:rsidRDefault="00CB70A9" w:rsidP="00621C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415CF440" w14:textId="77777777" w:rsidR="00616385" w:rsidRPr="00CD52EE" w:rsidRDefault="00CB70A9"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 xml:space="preserve">The petitioners contend that, in light of the two new affidavits sworn by the prosecution’s key witnesses, the alleged victims’ case was submitted to the Trinidad </w:t>
      </w:r>
      <w:r w:rsidR="006862C6" w:rsidRPr="00CD52EE">
        <w:rPr>
          <w:rFonts w:asciiTheme="majorHAnsi" w:hAnsiTheme="majorHAnsi"/>
          <w:sz w:val="20"/>
          <w:szCs w:val="20"/>
        </w:rPr>
        <w:t xml:space="preserve">and </w:t>
      </w:r>
      <w:r w:rsidRPr="00CD52EE">
        <w:rPr>
          <w:rFonts w:asciiTheme="majorHAnsi" w:hAnsiTheme="majorHAnsi"/>
          <w:sz w:val="20"/>
          <w:szCs w:val="20"/>
        </w:rPr>
        <w:t>Tobago Court of Appeal for a second appeal.</w:t>
      </w:r>
      <w:r w:rsidRPr="00CD52EE">
        <w:rPr>
          <w:rStyle w:val="FootnoteReference"/>
          <w:rFonts w:asciiTheme="majorHAnsi" w:hAnsiTheme="majorHAnsi"/>
          <w:sz w:val="20"/>
          <w:szCs w:val="20"/>
        </w:rPr>
        <w:footnoteReference w:id="6"/>
      </w:r>
      <w:r w:rsidRPr="00CD52EE">
        <w:rPr>
          <w:rFonts w:asciiTheme="majorHAnsi" w:hAnsiTheme="majorHAnsi"/>
          <w:sz w:val="20"/>
          <w:szCs w:val="20"/>
        </w:rPr>
        <w:t xml:space="preserve">  Nevertheless, the Court of Appeal reaffirmed the alleged victims’ convictions and sentences on July 6, 2001.  After that, the petitioners observe that an additional petition for Special Leave to Appeal was lodged before the J</w:t>
      </w:r>
      <w:r w:rsidR="000C0C92" w:rsidRPr="00CD52EE">
        <w:rPr>
          <w:rFonts w:asciiTheme="majorHAnsi" w:hAnsiTheme="majorHAnsi"/>
          <w:sz w:val="20"/>
          <w:szCs w:val="20"/>
        </w:rPr>
        <w:t xml:space="preserve">udicial </w:t>
      </w:r>
      <w:r w:rsidRPr="00CD52EE">
        <w:rPr>
          <w:rFonts w:asciiTheme="majorHAnsi" w:hAnsiTheme="majorHAnsi"/>
          <w:sz w:val="20"/>
          <w:szCs w:val="20"/>
        </w:rPr>
        <w:t>C</w:t>
      </w:r>
      <w:r w:rsidR="000C0C92" w:rsidRPr="00CD52EE">
        <w:rPr>
          <w:rFonts w:asciiTheme="majorHAnsi" w:hAnsiTheme="majorHAnsi"/>
          <w:sz w:val="20"/>
          <w:szCs w:val="20"/>
        </w:rPr>
        <w:t xml:space="preserve">ommittee of the </w:t>
      </w:r>
      <w:r w:rsidRPr="00CD52EE">
        <w:rPr>
          <w:rFonts w:asciiTheme="majorHAnsi" w:hAnsiTheme="majorHAnsi"/>
          <w:sz w:val="20"/>
          <w:szCs w:val="20"/>
        </w:rPr>
        <w:t>P</w:t>
      </w:r>
      <w:r w:rsidR="000C0C92" w:rsidRPr="00CD52EE">
        <w:rPr>
          <w:rFonts w:asciiTheme="majorHAnsi" w:hAnsiTheme="majorHAnsi"/>
          <w:sz w:val="20"/>
          <w:szCs w:val="20"/>
        </w:rPr>
        <w:t xml:space="preserve">rivy </w:t>
      </w:r>
      <w:r w:rsidRPr="00CD52EE">
        <w:rPr>
          <w:rFonts w:asciiTheme="majorHAnsi" w:hAnsiTheme="majorHAnsi"/>
          <w:sz w:val="20"/>
          <w:szCs w:val="20"/>
        </w:rPr>
        <w:t>C</w:t>
      </w:r>
      <w:r w:rsidR="000C0C92" w:rsidRPr="00CD52EE">
        <w:rPr>
          <w:rFonts w:asciiTheme="majorHAnsi" w:hAnsiTheme="majorHAnsi"/>
          <w:sz w:val="20"/>
          <w:szCs w:val="20"/>
        </w:rPr>
        <w:t>ouncil (</w:t>
      </w:r>
      <w:r w:rsidR="00F43B80" w:rsidRPr="00CD52EE">
        <w:rPr>
          <w:rFonts w:asciiTheme="majorHAnsi" w:hAnsiTheme="majorHAnsi"/>
          <w:sz w:val="20"/>
          <w:szCs w:val="20"/>
        </w:rPr>
        <w:t>“</w:t>
      </w:r>
      <w:r w:rsidR="000C0C92" w:rsidRPr="00CD52EE">
        <w:rPr>
          <w:rFonts w:asciiTheme="majorHAnsi" w:hAnsiTheme="majorHAnsi"/>
          <w:sz w:val="20"/>
          <w:szCs w:val="20"/>
        </w:rPr>
        <w:t>Privy Council</w:t>
      </w:r>
      <w:r w:rsidR="00F43B80" w:rsidRPr="00CD52EE">
        <w:rPr>
          <w:rFonts w:asciiTheme="majorHAnsi" w:hAnsiTheme="majorHAnsi"/>
          <w:sz w:val="20"/>
          <w:szCs w:val="20"/>
        </w:rPr>
        <w:t>”</w:t>
      </w:r>
      <w:r w:rsidR="000C0C92" w:rsidRPr="00CD52EE">
        <w:rPr>
          <w:rFonts w:asciiTheme="majorHAnsi" w:hAnsiTheme="majorHAnsi"/>
          <w:sz w:val="20"/>
          <w:szCs w:val="20"/>
        </w:rPr>
        <w:t xml:space="preserve"> or JCPC)</w:t>
      </w:r>
      <w:r w:rsidRPr="00CD52EE">
        <w:rPr>
          <w:rFonts w:asciiTheme="majorHAnsi" w:hAnsiTheme="majorHAnsi"/>
          <w:sz w:val="20"/>
          <w:szCs w:val="20"/>
        </w:rPr>
        <w:t xml:space="preserve"> on November 27, 2002, but it was dismissed on February 14, 2005.</w:t>
      </w:r>
    </w:p>
    <w:p w14:paraId="2613001C" w14:textId="77777777" w:rsidR="00616385" w:rsidRPr="00CD52EE" w:rsidRDefault="00616385" w:rsidP="00621C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41F8093D" w14:textId="77777777" w:rsidR="00CB70A9" w:rsidRPr="00CD52EE" w:rsidRDefault="00ED5539"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lastRenderedPageBreak/>
        <w:t xml:space="preserve">The </w:t>
      </w:r>
      <w:r w:rsidRPr="00CD52EE">
        <w:rPr>
          <w:rFonts w:asciiTheme="majorHAnsi" w:hAnsiTheme="majorHAnsi"/>
          <w:sz w:val="20"/>
          <w:szCs w:val="20"/>
        </w:rPr>
        <w:t xml:space="preserve">petitioners subsequently informed the IACHR that, pursuant to constitutional proceedings in the High Court of Trinidad </w:t>
      </w:r>
      <w:r w:rsidR="00821EB3" w:rsidRPr="00CD52EE">
        <w:rPr>
          <w:rFonts w:asciiTheme="majorHAnsi" w:hAnsiTheme="majorHAnsi"/>
          <w:sz w:val="20"/>
          <w:szCs w:val="20"/>
        </w:rPr>
        <w:t xml:space="preserve">and </w:t>
      </w:r>
      <w:r w:rsidRPr="00CD52EE">
        <w:rPr>
          <w:rFonts w:asciiTheme="majorHAnsi" w:hAnsiTheme="majorHAnsi"/>
          <w:sz w:val="20"/>
          <w:szCs w:val="20"/>
        </w:rPr>
        <w:t>Tobago, the alleged victims’ death sentences were commuted to life imprisonment on Augu</w:t>
      </w:r>
      <w:r w:rsidR="00484EF6" w:rsidRPr="00CD52EE">
        <w:rPr>
          <w:rFonts w:asciiTheme="majorHAnsi" w:hAnsiTheme="majorHAnsi"/>
          <w:sz w:val="20"/>
          <w:szCs w:val="20"/>
        </w:rPr>
        <w:t>st 15, 2008</w:t>
      </w:r>
      <w:r w:rsidR="00CB70A9" w:rsidRPr="00CD52EE">
        <w:rPr>
          <w:rFonts w:asciiTheme="majorHAnsi" w:hAnsiTheme="majorHAnsi"/>
          <w:sz w:val="20"/>
          <w:szCs w:val="20"/>
        </w:rPr>
        <w:t>.</w:t>
      </w:r>
      <w:r w:rsidR="00CB70A9" w:rsidRPr="00CD52EE">
        <w:rPr>
          <w:rStyle w:val="FootnoteReference"/>
          <w:rFonts w:asciiTheme="majorHAnsi" w:hAnsiTheme="majorHAnsi"/>
          <w:sz w:val="20"/>
          <w:szCs w:val="20"/>
        </w:rPr>
        <w:footnoteReference w:id="7"/>
      </w:r>
      <w:r w:rsidR="00CB70A9" w:rsidRPr="00CD52EE">
        <w:rPr>
          <w:rFonts w:asciiTheme="majorHAnsi" w:hAnsiTheme="majorHAnsi"/>
          <w:sz w:val="20"/>
          <w:szCs w:val="20"/>
        </w:rPr>
        <w:t xml:space="preserve">  The petitioners underscore that the late commutation of the death sentences does not alter the alleged breaches for the period the alleged victims were on death row for what they consider to be convictions obtained through a miscarriage of justice.</w:t>
      </w:r>
    </w:p>
    <w:p w14:paraId="6387458B" w14:textId="77777777" w:rsidR="00CB70A9" w:rsidRPr="00CD52EE" w:rsidRDefault="00CB70A9" w:rsidP="00621C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5783E446" w14:textId="77777777" w:rsidR="00CB70A9" w:rsidRPr="00CD52EE" w:rsidRDefault="00CB70A9"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 xml:space="preserve">The petitioners note that Trinidad </w:t>
      </w:r>
      <w:r w:rsidR="00821EB3" w:rsidRPr="00CD52EE">
        <w:rPr>
          <w:rFonts w:asciiTheme="majorHAnsi" w:hAnsiTheme="majorHAnsi"/>
          <w:sz w:val="20"/>
          <w:szCs w:val="20"/>
        </w:rPr>
        <w:t xml:space="preserve">and </w:t>
      </w:r>
      <w:r w:rsidRPr="00CD52EE">
        <w:rPr>
          <w:rFonts w:asciiTheme="majorHAnsi" w:hAnsiTheme="majorHAnsi"/>
          <w:sz w:val="20"/>
          <w:szCs w:val="20"/>
        </w:rPr>
        <w:t>Tobago’s denunciation of the American Convention on Human Rights (“the American Convention”) took effect on May 26, 1999. Therefore, they maintain that the State is responsible for violations of the American Convention with respect to those facts which took place before that date; as well as for violations of the American Declaration of the Rights and Duties of Men (“the American Declaration”) that allegedly occurred after that date</w:t>
      </w:r>
      <w:r w:rsidR="00821EB3" w:rsidRPr="00CD52EE">
        <w:rPr>
          <w:rFonts w:asciiTheme="majorHAnsi" w:hAnsiTheme="majorHAnsi"/>
          <w:sz w:val="20"/>
          <w:szCs w:val="20"/>
        </w:rPr>
        <w:t xml:space="preserve">. They conclude that the State violated Articles 4, 5, 7, 8, 10, 11 and 25 of the American Convention, and </w:t>
      </w:r>
      <w:r w:rsidRPr="00CD52EE">
        <w:rPr>
          <w:rFonts w:asciiTheme="majorHAnsi" w:hAnsiTheme="majorHAnsi"/>
          <w:sz w:val="20"/>
          <w:szCs w:val="20"/>
        </w:rPr>
        <w:t>Article</w:t>
      </w:r>
      <w:r w:rsidR="00821EB3" w:rsidRPr="00CD52EE">
        <w:rPr>
          <w:rFonts w:asciiTheme="majorHAnsi" w:hAnsiTheme="majorHAnsi"/>
          <w:sz w:val="20"/>
          <w:szCs w:val="20"/>
        </w:rPr>
        <w:t>s</w:t>
      </w:r>
      <w:r w:rsidRPr="00CD52EE">
        <w:rPr>
          <w:rFonts w:asciiTheme="majorHAnsi" w:hAnsiTheme="majorHAnsi"/>
          <w:sz w:val="20"/>
          <w:szCs w:val="20"/>
        </w:rPr>
        <w:t xml:space="preserve"> I</w:t>
      </w:r>
      <w:r w:rsidR="00821EB3" w:rsidRPr="00CD52EE">
        <w:rPr>
          <w:rFonts w:asciiTheme="majorHAnsi" w:hAnsiTheme="majorHAnsi"/>
          <w:sz w:val="20"/>
          <w:szCs w:val="20"/>
        </w:rPr>
        <w:t>, II, XVIII and XXVI</w:t>
      </w:r>
      <w:r w:rsidRPr="00CD52EE">
        <w:rPr>
          <w:rFonts w:asciiTheme="majorHAnsi" w:hAnsiTheme="majorHAnsi"/>
          <w:sz w:val="20"/>
          <w:szCs w:val="20"/>
        </w:rPr>
        <w:t xml:space="preserve"> of the American Declaration. With regard to Mr. Dial, the petition also alleges a violation of Articles 17 and 19 of the American Convention.</w:t>
      </w:r>
    </w:p>
    <w:p w14:paraId="79D93827" w14:textId="77777777" w:rsidR="00617542" w:rsidRPr="00CD52EE" w:rsidRDefault="00617542" w:rsidP="00621C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1D4C317F" w14:textId="77777777" w:rsidR="00484EF6" w:rsidRPr="00CD52EE" w:rsidRDefault="00617542"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 xml:space="preserve">In that regard, the petitioners mainly complain of three related issues: violations of due process in the course of their arrest, pre-trial detention, trial, conviction and sentencing; conditions of </w:t>
      </w:r>
      <w:r w:rsidR="004E0475" w:rsidRPr="00CD52EE">
        <w:rPr>
          <w:rFonts w:asciiTheme="majorHAnsi" w:hAnsiTheme="majorHAnsi"/>
          <w:sz w:val="20"/>
          <w:szCs w:val="20"/>
        </w:rPr>
        <w:t xml:space="preserve">pre-trial and </w:t>
      </w:r>
      <w:r w:rsidRPr="00CD52EE">
        <w:rPr>
          <w:rFonts w:asciiTheme="majorHAnsi" w:hAnsiTheme="majorHAnsi"/>
          <w:sz w:val="20"/>
          <w:szCs w:val="20"/>
        </w:rPr>
        <w:t>post</w:t>
      </w:r>
      <w:r w:rsidR="004E0475" w:rsidRPr="00CD52EE">
        <w:rPr>
          <w:rFonts w:asciiTheme="majorHAnsi" w:hAnsiTheme="majorHAnsi"/>
          <w:sz w:val="20"/>
          <w:szCs w:val="20"/>
        </w:rPr>
        <w:t>-trial</w:t>
      </w:r>
      <w:r w:rsidRPr="00CD52EE">
        <w:rPr>
          <w:rFonts w:asciiTheme="majorHAnsi" w:hAnsiTheme="majorHAnsi"/>
          <w:sz w:val="20"/>
          <w:szCs w:val="20"/>
        </w:rPr>
        <w:t xml:space="preserve"> detention; and the delay in commutation of the alleged victims’ death sentences despite jurisprudence from the JCPC requiring such action.</w:t>
      </w:r>
    </w:p>
    <w:p w14:paraId="0F139C66" w14:textId="77777777" w:rsidR="00484EF6" w:rsidRPr="00CD52EE" w:rsidRDefault="00484EF6" w:rsidP="00621C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7E639E90" w14:textId="77777777" w:rsidR="00E65453" w:rsidRPr="001823E8" w:rsidRDefault="00484EF6"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 xml:space="preserve">The petitioners contend, firstly, that during the whole course of criminal proceedings, beginning with the arrests of the alleged victims, the State failed to respect their right to personal liberty and due process guarantees. In this regard, the petitioners stress, </w:t>
      </w:r>
      <w:r w:rsidRPr="00CD52EE">
        <w:rPr>
          <w:rFonts w:asciiTheme="majorHAnsi" w:hAnsiTheme="majorHAnsi"/>
          <w:i/>
          <w:sz w:val="20"/>
          <w:szCs w:val="20"/>
        </w:rPr>
        <w:t>inter alia</w:t>
      </w:r>
      <w:r w:rsidRPr="00CD52EE">
        <w:rPr>
          <w:rFonts w:asciiTheme="majorHAnsi" w:hAnsiTheme="majorHAnsi"/>
          <w:sz w:val="20"/>
          <w:szCs w:val="20"/>
        </w:rPr>
        <w:t xml:space="preserve">: that the alleged victims were not told of the reasons for their detention at the time of their arrest, nor were they allowed to immediately contact a lawyer or a family member; they were not brought to trial within a reasonable time, since there was a delay of almost two years between their February 24, 1995 arrests and the beginning of their trial on January 15, 1997; they were not given prior notification in detail of the charges against them or the evidence on which the State was going to rely at trial; they were not provided with adequate legal representation by the State; they were not provided with adequate means for the preparation of their </w:t>
      </w:r>
      <w:r w:rsidRPr="001823E8">
        <w:rPr>
          <w:rFonts w:asciiTheme="majorHAnsi" w:hAnsiTheme="majorHAnsi"/>
          <w:sz w:val="20"/>
          <w:szCs w:val="20"/>
        </w:rPr>
        <w:t>defense, nor could they afford adequate representation; and they were not permitted to communicate freely and privately with their counsel.  The petitioners emphasize that the alleged victims’ deprivation of personal liberty resulted from illegal means, namely conspiracy and fabrication of evidence by the police, as demonstrated by the 1999 affidavits of the two eyewitnesses.</w:t>
      </w:r>
    </w:p>
    <w:p w14:paraId="4EC6EC47" w14:textId="77777777" w:rsidR="00821EB3" w:rsidRPr="001823E8" w:rsidRDefault="002E503F" w:rsidP="002E503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420"/>
        </w:tabs>
        <w:jc w:val="both"/>
        <w:rPr>
          <w:rFonts w:asciiTheme="majorHAnsi" w:eastAsia="Times New Roman" w:hAnsiTheme="majorHAnsi"/>
          <w:sz w:val="20"/>
          <w:szCs w:val="20"/>
        </w:rPr>
      </w:pPr>
      <w:r w:rsidRPr="001823E8">
        <w:rPr>
          <w:rFonts w:asciiTheme="majorHAnsi" w:eastAsia="Times New Roman" w:hAnsiTheme="majorHAnsi"/>
          <w:sz w:val="20"/>
          <w:szCs w:val="20"/>
        </w:rPr>
        <w:tab/>
      </w:r>
    </w:p>
    <w:p w14:paraId="40634446" w14:textId="77777777" w:rsidR="00B65EE9" w:rsidRPr="003778A4" w:rsidRDefault="00E65453" w:rsidP="00AB44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eastAsia="Times New Roman"/>
        </w:rPr>
      </w:pPr>
      <w:r w:rsidRPr="003778A4">
        <w:rPr>
          <w:rFonts w:asciiTheme="majorHAnsi" w:hAnsiTheme="majorHAnsi"/>
          <w:sz w:val="20"/>
          <w:szCs w:val="20"/>
        </w:rPr>
        <w:t>The petitioners argue</w:t>
      </w:r>
      <w:r w:rsidR="00E33E48" w:rsidRPr="003778A4">
        <w:rPr>
          <w:rFonts w:asciiTheme="majorHAnsi" w:hAnsiTheme="majorHAnsi"/>
          <w:sz w:val="20"/>
          <w:szCs w:val="20"/>
        </w:rPr>
        <w:t xml:space="preserve"> that the State has failed to provide the alleged victims with equal and effective access to </w:t>
      </w:r>
      <w:r w:rsidR="00E33E48" w:rsidRPr="007972DD">
        <w:rPr>
          <w:rFonts w:asciiTheme="majorHAnsi" w:hAnsiTheme="majorHAnsi"/>
          <w:sz w:val="20"/>
          <w:szCs w:val="20"/>
        </w:rPr>
        <w:t xml:space="preserve">constitutional motions before the courts in Trinidad </w:t>
      </w:r>
      <w:r w:rsidR="00821EB3" w:rsidRPr="007972DD">
        <w:rPr>
          <w:rFonts w:asciiTheme="majorHAnsi" w:hAnsiTheme="majorHAnsi"/>
          <w:sz w:val="20"/>
          <w:szCs w:val="20"/>
        </w:rPr>
        <w:t xml:space="preserve">and </w:t>
      </w:r>
      <w:r w:rsidR="00E33E48" w:rsidRPr="007972DD">
        <w:rPr>
          <w:rFonts w:asciiTheme="majorHAnsi" w:hAnsiTheme="majorHAnsi"/>
          <w:sz w:val="20"/>
          <w:szCs w:val="20"/>
        </w:rPr>
        <w:t>Tobago for the protection of their rights. In particular, they maintain that the conditions for such recourse are discriminatory because the proceedings are extremely expensive</w:t>
      </w:r>
      <w:r w:rsidR="00821EB3" w:rsidRPr="007972DD">
        <w:rPr>
          <w:rFonts w:asciiTheme="majorHAnsi" w:hAnsiTheme="majorHAnsi"/>
          <w:sz w:val="20"/>
          <w:szCs w:val="20"/>
        </w:rPr>
        <w:t>,</w:t>
      </w:r>
      <w:r w:rsidR="00E33E48" w:rsidRPr="007972DD">
        <w:rPr>
          <w:rFonts w:asciiTheme="majorHAnsi" w:hAnsiTheme="majorHAnsi"/>
          <w:sz w:val="20"/>
          <w:szCs w:val="20"/>
        </w:rPr>
        <w:t xml:space="preserve"> and no legal aid is available for these motions.</w:t>
      </w:r>
      <w:r w:rsidRPr="007972DD">
        <w:rPr>
          <w:rFonts w:asciiTheme="majorHAnsi" w:hAnsiTheme="majorHAnsi"/>
          <w:sz w:val="20"/>
          <w:szCs w:val="20"/>
        </w:rPr>
        <w:t xml:space="preserve"> </w:t>
      </w:r>
      <w:r w:rsidR="00B65EE9" w:rsidRPr="007972DD">
        <w:rPr>
          <w:rFonts w:asciiTheme="majorHAnsi" w:hAnsiTheme="majorHAnsi"/>
          <w:sz w:val="20"/>
          <w:szCs w:val="20"/>
        </w:rPr>
        <w:t>The petitioners argue that the alleged victims are indigent and that they do not have access to legal aid to bring a constitutional motion in respect of the issues raised in the petition and therefore are being denied access to a legal remedy. They maintain</w:t>
      </w:r>
      <w:r w:rsidR="003778A4" w:rsidRPr="007972DD">
        <w:rPr>
          <w:rFonts w:asciiTheme="majorHAnsi" w:hAnsiTheme="majorHAnsi"/>
          <w:sz w:val="20"/>
          <w:szCs w:val="20"/>
        </w:rPr>
        <w:t>, however,</w:t>
      </w:r>
      <w:r w:rsidR="00B65EE9" w:rsidRPr="007972DD">
        <w:rPr>
          <w:rFonts w:asciiTheme="majorHAnsi" w:hAnsiTheme="majorHAnsi"/>
          <w:sz w:val="20"/>
          <w:szCs w:val="20"/>
        </w:rPr>
        <w:t xml:space="preserve"> that the scope of constitutional motions is limited to the constitutional validity of the State’s attempt to execute the alleged victims.</w:t>
      </w:r>
      <w:r w:rsidR="00B65EE9" w:rsidRPr="003778A4">
        <w:rPr>
          <w:rFonts w:eastAsia="Times New Roman"/>
        </w:rPr>
        <w:t xml:space="preserve"> </w:t>
      </w:r>
    </w:p>
    <w:p w14:paraId="3B3EFB29" w14:textId="77777777" w:rsidR="00E33E48" w:rsidRPr="001823E8" w:rsidRDefault="00E33E48" w:rsidP="00621C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7A36238A" w14:textId="77777777" w:rsidR="00E33E48" w:rsidRPr="00CD52EE" w:rsidRDefault="00E33E48"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1823E8">
        <w:rPr>
          <w:rFonts w:asciiTheme="majorHAnsi" w:hAnsiTheme="majorHAnsi"/>
          <w:sz w:val="20"/>
          <w:szCs w:val="20"/>
        </w:rPr>
        <w:t>Secondly, the petitioners argue that the conditions of pre-conviction and post-conviction detention of the alleged victims violated their ri</w:t>
      </w:r>
      <w:r w:rsidR="003778A4">
        <w:rPr>
          <w:rFonts w:asciiTheme="majorHAnsi" w:hAnsiTheme="majorHAnsi"/>
          <w:sz w:val="20"/>
          <w:szCs w:val="20"/>
        </w:rPr>
        <w:t xml:space="preserve">ght not to be </w:t>
      </w:r>
      <w:r w:rsidRPr="001823E8">
        <w:rPr>
          <w:rFonts w:asciiTheme="majorHAnsi" w:hAnsiTheme="majorHAnsi"/>
          <w:sz w:val="20"/>
          <w:szCs w:val="20"/>
        </w:rPr>
        <w:t>exposed to cruel, inhuman, degrading, infamous, or unusual punishment or treatment. Indeed, the petitioners contend that the alleged victims have been detained for more than a decade under inhuman conditions, for instance: there are no educational or recreational activities; they can only have one hour of exercise, while handcuffed, every 1-3 weeks; very little exposure to natural light and inadequate ventilation in their cells; no sanitation facilities; precarious</w:t>
      </w:r>
      <w:r w:rsidRPr="00CD52EE">
        <w:rPr>
          <w:rFonts w:asciiTheme="majorHAnsi" w:hAnsiTheme="majorHAnsi"/>
          <w:sz w:val="20"/>
          <w:szCs w:val="20"/>
        </w:rPr>
        <w:t xml:space="preserve"> conditions of hygiene; inedible food and limited access to potable water; among others.</w:t>
      </w:r>
    </w:p>
    <w:p w14:paraId="09FE6890" w14:textId="77777777" w:rsidR="00E33E48" w:rsidRPr="00CD52EE" w:rsidRDefault="00E33E48" w:rsidP="00621C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7FFE0080" w14:textId="77777777" w:rsidR="00050225" w:rsidRPr="00CD52EE" w:rsidRDefault="008D2184" w:rsidP="00621C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Lastly, t</w:t>
      </w:r>
      <w:r w:rsidR="00E33E48" w:rsidRPr="00CD52EE">
        <w:rPr>
          <w:rFonts w:asciiTheme="majorHAnsi" w:hAnsiTheme="majorHAnsi"/>
          <w:sz w:val="20"/>
          <w:szCs w:val="20"/>
        </w:rPr>
        <w:t xml:space="preserve">he </w:t>
      </w:r>
      <w:r w:rsidR="00AF2FDA" w:rsidRPr="00CD52EE">
        <w:rPr>
          <w:rFonts w:asciiTheme="majorHAnsi" w:hAnsiTheme="majorHAnsi"/>
          <w:sz w:val="20"/>
          <w:szCs w:val="20"/>
        </w:rPr>
        <w:t xml:space="preserve">petitioners contend that the alleged victims were entitled as from 2003 to have their death sentences commuted on the strength of applicable case law emanating from the JCPC, including the Cases of </w:t>
      </w:r>
      <w:r w:rsidR="00AF2FDA" w:rsidRPr="00CD52EE">
        <w:rPr>
          <w:rFonts w:asciiTheme="majorHAnsi" w:hAnsiTheme="majorHAnsi"/>
          <w:i/>
          <w:sz w:val="20"/>
          <w:szCs w:val="20"/>
        </w:rPr>
        <w:lastRenderedPageBreak/>
        <w:t>Roodal,</w:t>
      </w:r>
      <w:r w:rsidR="00AF2FDA" w:rsidRPr="00CD52EE">
        <w:rPr>
          <w:rStyle w:val="FootnoteReference"/>
          <w:rFonts w:asciiTheme="majorHAnsi" w:hAnsiTheme="majorHAnsi"/>
          <w:sz w:val="20"/>
          <w:szCs w:val="20"/>
        </w:rPr>
        <w:footnoteReference w:id="8"/>
      </w:r>
      <w:r w:rsidR="00AF2FDA" w:rsidRPr="00CD52EE">
        <w:rPr>
          <w:rFonts w:asciiTheme="majorHAnsi" w:hAnsiTheme="majorHAnsi"/>
          <w:sz w:val="20"/>
          <w:szCs w:val="20"/>
        </w:rPr>
        <w:t xml:space="preserve"> </w:t>
      </w:r>
      <w:r w:rsidR="00AF2FDA" w:rsidRPr="00CD52EE">
        <w:rPr>
          <w:rFonts w:asciiTheme="majorHAnsi" w:hAnsiTheme="majorHAnsi"/>
          <w:i/>
          <w:sz w:val="20"/>
          <w:szCs w:val="20"/>
        </w:rPr>
        <w:t>Matthews</w:t>
      </w:r>
      <w:r w:rsidR="00AF2FDA" w:rsidRPr="00CD52EE">
        <w:rPr>
          <w:rStyle w:val="FootnoteReference"/>
          <w:rFonts w:asciiTheme="majorHAnsi" w:hAnsiTheme="majorHAnsi"/>
          <w:sz w:val="20"/>
          <w:szCs w:val="20"/>
        </w:rPr>
        <w:footnoteReference w:id="9"/>
      </w:r>
      <w:r w:rsidR="00AF2FDA" w:rsidRPr="00CD52EE">
        <w:rPr>
          <w:rFonts w:asciiTheme="majorHAnsi" w:hAnsiTheme="majorHAnsi"/>
          <w:i/>
          <w:sz w:val="20"/>
          <w:szCs w:val="20"/>
        </w:rPr>
        <w:t xml:space="preserve"> </w:t>
      </w:r>
      <w:r w:rsidR="00AF2FDA" w:rsidRPr="00CD52EE">
        <w:rPr>
          <w:rFonts w:asciiTheme="majorHAnsi" w:hAnsiTheme="majorHAnsi"/>
          <w:sz w:val="20"/>
          <w:szCs w:val="20"/>
        </w:rPr>
        <w:t xml:space="preserve">and </w:t>
      </w:r>
      <w:r w:rsidR="00AF2FDA" w:rsidRPr="00CD52EE">
        <w:rPr>
          <w:rFonts w:asciiTheme="majorHAnsi" w:hAnsiTheme="majorHAnsi"/>
          <w:i/>
          <w:sz w:val="20"/>
          <w:szCs w:val="20"/>
        </w:rPr>
        <w:t>Pratt &amp; Morgan</w:t>
      </w:r>
      <w:r w:rsidR="00AF2FDA" w:rsidRPr="00CD52EE">
        <w:rPr>
          <w:rFonts w:asciiTheme="majorHAnsi" w:hAnsiTheme="majorHAnsi"/>
          <w:sz w:val="20"/>
          <w:szCs w:val="20"/>
        </w:rPr>
        <w:t>.</w:t>
      </w:r>
      <w:r w:rsidR="00AF2FDA" w:rsidRPr="00CD52EE">
        <w:rPr>
          <w:rStyle w:val="FootnoteReference"/>
          <w:rFonts w:asciiTheme="majorHAnsi" w:hAnsiTheme="majorHAnsi"/>
          <w:sz w:val="20"/>
          <w:szCs w:val="20"/>
        </w:rPr>
        <w:footnoteReference w:id="10"/>
      </w:r>
      <w:r w:rsidRPr="00CD52EE">
        <w:rPr>
          <w:rFonts w:asciiTheme="majorHAnsi" w:eastAsia="Times New Roman" w:hAnsiTheme="majorHAnsi"/>
          <w:sz w:val="20"/>
          <w:szCs w:val="20"/>
        </w:rPr>
        <w:t xml:space="preserve"> </w:t>
      </w:r>
      <w:r w:rsidR="00AF2FDA" w:rsidRPr="00CD52EE">
        <w:rPr>
          <w:rFonts w:asciiTheme="majorHAnsi" w:hAnsiTheme="majorHAnsi"/>
          <w:sz w:val="20"/>
          <w:szCs w:val="20"/>
        </w:rPr>
        <w:t xml:space="preserve">In this regard, the petitioners indicate that the Trinidad </w:t>
      </w:r>
      <w:r w:rsidR="00821EB3" w:rsidRPr="00CD52EE">
        <w:rPr>
          <w:rFonts w:asciiTheme="majorHAnsi" w:hAnsiTheme="majorHAnsi"/>
          <w:sz w:val="20"/>
          <w:szCs w:val="20"/>
        </w:rPr>
        <w:t xml:space="preserve">and </w:t>
      </w:r>
      <w:r w:rsidR="00AF2FDA" w:rsidRPr="00CD52EE">
        <w:rPr>
          <w:rFonts w:asciiTheme="majorHAnsi" w:hAnsiTheme="majorHAnsi"/>
          <w:sz w:val="20"/>
          <w:szCs w:val="20"/>
        </w:rPr>
        <w:t>Tobago Court of Appeals recognized that failure to give effect to the Pratt and Morgan decisions “may further aggravate the mental anguish on the part of the condemned man.”</w:t>
      </w:r>
      <w:r w:rsidR="00AF2FDA" w:rsidRPr="00CD52EE">
        <w:rPr>
          <w:rStyle w:val="FootnoteReference"/>
          <w:rFonts w:asciiTheme="majorHAnsi" w:hAnsiTheme="majorHAnsi"/>
          <w:sz w:val="20"/>
          <w:szCs w:val="20"/>
        </w:rPr>
        <w:footnoteReference w:id="11"/>
      </w:r>
      <w:r w:rsidR="00AF2FDA" w:rsidRPr="00CD52EE">
        <w:rPr>
          <w:rFonts w:asciiTheme="majorHAnsi" w:hAnsiTheme="majorHAnsi"/>
          <w:sz w:val="20"/>
          <w:szCs w:val="20"/>
        </w:rPr>
        <w:t xml:space="preserve"> The petitioners further allege that in August 2005, while the Inter-American Court’s Provisional Measures were in force, the State issued warrants of execution which were read to the alleged victims, following a public announcement by the Attorney General that the State intended to recommence executions of death row inmates. </w:t>
      </w:r>
      <w:r w:rsidR="00F05244" w:rsidRPr="00CD52EE">
        <w:rPr>
          <w:rFonts w:asciiTheme="majorHAnsi" w:eastAsia="Times New Roman" w:hAnsiTheme="majorHAnsi"/>
          <w:sz w:val="20"/>
          <w:szCs w:val="20"/>
        </w:rPr>
        <w:t xml:space="preserve">Further, the petitioners claim that while the commutation process was ongoing, the alleged victims were unable to begin the rehabilitation under a life sentence and were not benefiting from sentence reviews at four yearly intervals. </w:t>
      </w:r>
      <w:r w:rsidR="00AF2FDA" w:rsidRPr="00CD52EE">
        <w:rPr>
          <w:rFonts w:asciiTheme="majorHAnsi" w:hAnsiTheme="majorHAnsi"/>
          <w:sz w:val="20"/>
          <w:szCs w:val="20"/>
        </w:rPr>
        <w:t>While the death sentences were eventually commuted to life imprisonment in August 2008, the petitioners maintain that the imposition of the death sentences, the years spent on death row, and the issuance of warrants of execution that were read to the alleged victims, gave rise to a violation of the rights to life and to personal integrity/humane treatment.</w:t>
      </w:r>
    </w:p>
    <w:p w14:paraId="4E662470" w14:textId="77777777" w:rsidR="00AF2FDA" w:rsidRPr="00CD52EE" w:rsidRDefault="00AF2FDA" w:rsidP="006D27EC">
      <w:pPr>
        <w:suppressAutoHyphens/>
        <w:rPr>
          <w:rFonts w:asciiTheme="majorHAnsi" w:hAnsiTheme="majorHAnsi"/>
          <w:sz w:val="20"/>
          <w:szCs w:val="20"/>
        </w:rPr>
      </w:pPr>
    </w:p>
    <w:p w14:paraId="3F90B2EE" w14:textId="77777777" w:rsidR="00BA0972" w:rsidRPr="00CD52EE" w:rsidRDefault="001C4006">
      <w:pPr>
        <w:pStyle w:val="Heading2"/>
        <w:numPr>
          <w:ilvl w:val="0"/>
          <w:numId w:val="57"/>
        </w:numPr>
        <w:spacing w:before="0"/>
        <w:ind w:left="360"/>
        <w:rPr>
          <w:color w:val="auto"/>
          <w:sz w:val="20"/>
          <w:szCs w:val="20"/>
        </w:rPr>
      </w:pPr>
      <w:bookmarkStart w:id="3" w:name="_Toc54798077"/>
      <w:r w:rsidRPr="00CD52EE">
        <w:rPr>
          <w:color w:val="auto"/>
          <w:sz w:val="20"/>
          <w:szCs w:val="20"/>
        </w:rPr>
        <w:t>S</w:t>
      </w:r>
      <w:r w:rsidR="00262ECA" w:rsidRPr="00CD52EE">
        <w:rPr>
          <w:color w:val="auto"/>
          <w:sz w:val="20"/>
          <w:szCs w:val="20"/>
        </w:rPr>
        <w:t>tate</w:t>
      </w:r>
      <w:bookmarkEnd w:id="3"/>
    </w:p>
    <w:p w14:paraId="2D2D30ED" w14:textId="77777777" w:rsidR="000E2A4D" w:rsidRPr="00CD52EE" w:rsidRDefault="000E2A4D" w:rsidP="009E33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39BAAD1E" w14:textId="77777777" w:rsidR="00BF79E7" w:rsidRPr="00CD52EE" w:rsidRDefault="00D47238" w:rsidP="00BA09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Trinidad and Tobago did not se</w:t>
      </w:r>
      <w:r w:rsidR="00F43B80" w:rsidRPr="00CD52EE">
        <w:rPr>
          <w:rFonts w:asciiTheme="majorHAnsi" w:eastAsia="Times New Roman" w:hAnsiTheme="majorHAnsi"/>
          <w:sz w:val="20"/>
          <w:szCs w:val="20"/>
        </w:rPr>
        <w:t>nd a response to the p</w:t>
      </w:r>
      <w:r w:rsidR="0023156F" w:rsidRPr="00CD52EE">
        <w:rPr>
          <w:rFonts w:asciiTheme="majorHAnsi" w:eastAsia="Times New Roman" w:hAnsiTheme="majorHAnsi"/>
          <w:sz w:val="20"/>
          <w:szCs w:val="20"/>
        </w:rPr>
        <w:t>etitioner’</w:t>
      </w:r>
      <w:r w:rsidRPr="00CD52EE">
        <w:rPr>
          <w:rFonts w:asciiTheme="majorHAnsi" w:eastAsia="Times New Roman" w:hAnsiTheme="majorHAnsi"/>
          <w:sz w:val="20"/>
          <w:szCs w:val="20"/>
        </w:rPr>
        <w:t>s additional observations on the merits. This section is thus based on arguments made during the admissibility stage that are related to the merits.</w:t>
      </w:r>
    </w:p>
    <w:p w14:paraId="49903A81" w14:textId="77777777" w:rsidR="00BA0972" w:rsidRPr="00CD52EE" w:rsidDel="00BA0972" w:rsidRDefault="00BA0972" w:rsidP="00BF79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3D214234" w14:textId="77777777" w:rsidR="00052834" w:rsidRPr="00CD52EE" w:rsidRDefault="00D47238" w:rsidP="00BA09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The </w:t>
      </w:r>
      <w:r w:rsidRPr="00CD52EE">
        <w:rPr>
          <w:rFonts w:asciiTheme="majorHAnsi" w:hAnsiTheme="majorHAnsi"/>
          <w:sz w:val="20"/>
        </w:rPr>
        <w:t xml:space="preserve">State denies all allegations related to the merits, principally because it considers that the petitioners failed to produce substantive evidence of violations of the American Convention.  </w:t>
      </w:r>
    </w:p>
    <w:p w14:paraId="3FF5887A" w14:textId="77777777" w:rsidR="00052834" w:rsidRPr="00CD52EE" w:rsidRDefault="00052834" w:rsidP="009E33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rPr>
      </w:pPr>
    </w:p>
    <w:p w14:paraId="49818404" w14:textId="77777777" w:rsidR="00464A23" w:rsidRPr="00CD52EE" w:rsidRDefault="00052834" w:rsidP="009E33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t xml:space="preserve">The State asserts that the </w:t>
      </w:r>
      <w:r w:rsidR="00F3209B" w:rsidRPr="00CD52EE">
        <w:rPr>
          <w:rFonts w:asciiTheme="majorHAnsi" w:hAnsiTheme="majorHAnsi"/>
          <w:sz w:val="20"/>
        </w:rPr>
        <w:t xml:space="preserve">12-month </w:t>
      </w:r>
      <w:r w:rsidRPr="00CD52EE">
        <w:rPr>
          <w:rFonts w:asciiTheme="majorHAnsi" w:hAnsiTheme="majorHAnsi"/>
          <w:sz w:val="20"/>
        </w:rPr>
        <w:t xml:space="preserve">period between the completion of the committal proceedings and the trial was not unreasonable, and further does not amount to a breach of </w:t>
      </w:r>
      <w:r w:rsidR="00D81BE0" w:rsidRPr="00CD52EE">
        <w:rPr>
          <w:rFonts w:asciiTheme="majorHAnsi" w:hAnsiTheme="majorHAnsi"/>
          <w:sz w:val="20"/>
        </w:rPr>
        <w:t>A</w:t>
      </w:r>
      <w:r w:rsidRPr="00CD52EE">
        <w:rPr>
          <w:rFonts w:asciiTheme="majorHAnsi" w:hAnsiTheme="majorHAnsi"/>
          <w:sz w:val="20"/>
        </w:rPr>
        <w:t>rticle 7(5)</w:t>
      </w:r>
      <w:r w:rsidR="00932471" w:rsidRPr="00CD52EE">
        <w:rPr>
          <w:rFonts w:asciiTheme="majorHAnsi" w:hAnsiTheme="majorHAnsi"/>
          <w:sz w:val="20"/>
        </w:rPr>
        <w:t xml:space="preserve"> of the American Convention</w:t>
      </w:r>
      <w:r w:rsidRPr="00CD52EE">
        <w:rPr>
          <w:rFonts w:asciiTheme="majorHAnsi" w:hAnsiTheme="majorHAnsi"/>
          <w:sz w:val="20"/>
        </w:rPr>
        <w:t xml:space="preserve">.  </w:t>
      </w:r>
      <w:r w:rsidR="00F43B80" w:rsidRPr="00CD52EE">
        <w:rPr>
          <w:rFonts w:asciiTheme="majorHAnsi" w:hAnsiTheme="majorHAnsi"/>
          <w:sz w:val="20"/>
        </w:rPr>
        <w:t>It also</w:t>
      </w:r>
      <w:r w:rsidRPr="00CD52EE">
        <w:rPr>
          <w:rFonts w:asciiTheme="majorHAnsi" w:hAnsiTheme="majorHAnsi"/>
          <w:sz w:val="20"/>
        </w:rPr>
        <w:t xml:space="preserve"> submits that the pre-trial delay should not be allowed to be raised as an issue and relies on the case of Fisher v Minister of Public Safety (No. 1) [1998] A.C. 673 from the Privy Council which held that, as a general rule, it was not appropriate for the purposes of considering whether execution had been rendered inhuman by reason of delay in execution of the sentence to bring into account pre-trial delay. </w:t>
      </w:r>
    </w:p>
    <w:p w14:paraId="08B2632D" w14:textId="77777777" w:rsidR="00464A23" w:rsidRPr="00CD52EE" w:rsidRDefault="00464A23" w:rsidP="009E33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rPr>
      </w:pPr>
    </w:p>
    <w:p w14:paraId="3E936108" w14:textId="77777777" w:rsidR="00052834" w:rsidRPr="00CD52EE" w:rsidRDefault="00F3209B" w:rsidP="009E33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t>The State claims that no denial of justice, restrictions to legal aid or miscarriage of justice can be said to arise in this case, since all due process guarantees of the alleged victims were respected.</w:t>
      </w:r>
      <w:r w:rsidR="00464A23" w:rsidRPr="00CD52EE">
        <w:rPr>
          <w:rFonts w:asciiTheme="majorHAnsi" w:eastAsia="Times New Roman" w:hAnsiTheme="majorHAnsi"/>
          <w:sz w:val="20"/>
          <w:szCs w:val="20"/>
        </w:rPr>
        <w:t xml:space="preserve"> </w:t>
      </w:r>
      <w:r w:rsidR="00052834" w:rsidRPr="00CD52EE">
        <w:rPr>
          <w:rFonts w:asciiTheme="majorHAnsi" w:eastAsia="Times New Roman" w:hAnsiTheme="majorHAnsi"/>
          <w:sz w:val="20"/>
          <w:szCs w:val="20"/>
        </w:rPr>
        <w:t xml:space="preserve">The State expresses that the applicants were represented by counsel at their trial and subsequent appeal. The alleged victims had prior notification of the charges against them, were offered legal counsel by the State, legal aid was available, and no restrictions were placed onto their right to communicate freely and privately with counsel. </w:t>
      </w:r>
    </w:p>
    <w:p w14:paraId="36FE45C6" w14:textId="77777777" w:rsidR="00052834" w:rsidRPr="00CD52EE" w:rsidRDefault="00052834" w:rsidP="009E33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53C79CE9" w14:textId="77777777" w:rsidR="003E225D" w:rsidRPr="00CD52EE" w:rsidRDefault="00052834" w:rsidP="009E33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t>As regards a claim to a breach of personal liberty the State denied any breach and state that the applicants failed to produce substantive evidence to support the allegations.</w:t>
      </w:r>
    </w:p>
    <w:p w14:paraId="2BDB8AA3" w14:textId="77777777" w:rsidR="003E225D" w:rsidRPr="00CD52EE" w:rsidRDefault="003E225D" w:rsidP="009E33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20624996" w14:textId="77777777" w:rsidR="00930217" w:rsidRPr="00CD52EE" w:rsidRDefault="00E14D4B" w:rsidP="009E33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t>More specifically, the State contends that the existence of the mandatory sentence of death for murder is in accordance with international law</w:t>
      </w:r>
      <w:r w:rsidR="003E225D" w:rsidRPr="00CD52EE">
        <w:rPr>
          <w:rFonts w:asciiTheme="majorHAnsi" w:hAnsiTheme="majorHAnsi"/>
          <w:sz w:val="20"/>
        </w:rPr>
        <w:t xml:space="preserve"> and the </w:t>
      </w:r>
      <w:r w:rsidR="00932471" w:rsidRPr="00CD52EE">
        <w:rPr>
          <w:rFonts w:asciiTheme="majorHAnsi" w:hAnsiTheme="majorHAnsi"/>
          <w:sz w:val="20"/>
        </w:rPr>
        <w:t>C</w:t>
      </w:r>
      <w:r w:rsidR="003E225D" w:rsidRPr="00CD52EE">
        <w:rPr>
          <w:rFonts w:asciiTheme="majorHAnsi" w:hAnsiTheme="majorHAnsi"/>
          <w:sz w:val="20"/>
        </w:rPr>
        <w:t xml:space="preserve">onvention. </w:t>
      </w:r>
      <w:r w:rsidR="00B10148" w:rsidRPr="00CD52EE">
        <w:rPr>
          <w:rFonts w:asciiTheme="majorHAnsi" w:hAnsiTheme="majorHAnsi"/>
          <w:sz w:val="20"/>
        </w:rPr>
        <w:t xml:space="preserve">It is explained that the trial judge directs the jury to bring a verdict of murder or manslaughter to reflect the circumstances in which the death of the </w:t>
      </w:r>
      <w:r w:rsidR="00327C0A" w:rsidRPr="00CD52EE">
        <w:rPr>
          <w:rFonts w:asciiTheme="majorHAnsi" w:hAnsiTheme="majorHAnsi"/>
          <w:sz w:val="20"/>
        </w:rPr>
        <w:t>victim</w:t>
      </w:r>
      <w:r w:rsidR="00B10148" w:rsidRPr="00CD52EE">
        <w:rPr>
          <w:rFonts w:asciiTheme="majorHAnsi" w:hAnsiTheme="majorHAnsi"/>
          <w:sz w:val="20"/>
        </w:rPr>
        <w:t xml:space="preserve"> ensured</w:t>
      </w:r>
      <w:r w:rsidR="00327C0A" w:rsidRPr="00CD52EE">
        <w:rPr>
          <w:rFonts w:asciiTheme="majorHAnsi" w:hAnsiTheme="majorHAnsi"/>
          <w:sz w:val="20"/>
        </w:rPr>
        <w:t xml:space="preserve">. The </w:t>
      </w:r>
      <w:r w:rsidR="00932471" w:rsidRPr="00CD52EE">
        <w:rPr>
          <w:rFonts w:asciiTheme="majorHAnsi" w:hAnsiTheme="majorHAnsi"/>
          <w:sz w:val="20"/>
        </w:rPr>
        <w:t>S</w:t>
      </w:r>
      <w:r w:rsidR="00327C0A" w:rsidRPr="00CD52EE">
        <w:rPr>
          <w:rFonts w:asciiTheme="majorHAnsi" w:hAnsiTheme="majorHAnsi"/>
          <w:sz w:val="20"/>
        </w:rPr>
        <w:t xml:space="preserve">tate reiterated that it was after considering the evidence </w:t>
      </w:r>
      <w:r w:rsidR="00932471" w:rsidRPr="00CD52EE">
        <w:rPr>
          <w:rFonts w:asciiTheme="majorHAnsi" w:hAnsiTheme="majorHAnsi"/>
          <w:sz w:val="20"/>
        </w:rPr>
        <w:t xml:space="preserve">that </w:t>
      </w:r>
      <w:r w:rsidR="00327C0A" w:rsidRPr="00CD52EE">
        <w:rPr>
          <w:rFonts w:asciiTheme="majorHAnsi" w:hAnsiTheme="majorHAnsi"/>
          <w:sz w:val="20"/>
        </w:rPr>
        <w:t xml:space="preserve">the jury returned a unanimous verdict of guilty of murder and that the death sentence is only imposed following a conviction of murder. </w:t>
      </w:r>
      <w:r w:rsidR="006E4682" w:rsidRPr="00CD52EE">
        <w:rPr>
          <w:rFonts w:asciiTheme="majorHAnsi" w:hAnsiTheme="majorHAnsi"/>
          <w:sz w:val="20"/>
        </w:rPr>
        <w:t>The S</w:t>
      </w:r>
      <w:r w:rsidR="00595A94" w:rsidRPr="00CD52EE">
        <w:rPr>
          <w:rFonts w:asciiTheme="majorHAnsi" w:hAnsiTheme="majorHAnsi"/>
          <w:sz w:val="20"/>
        </w:rPr>
        <w:t>tate explains that the sentence of death will always be reviewed before the Advisory Committee on the Power of Pardon</w:t>
      </w:r>
      <w:r w:rsidR="00932471" w:rsidRPr="00CD52EE">
        <w:rPr>
          <w:rFonts w:asciiTheme="majorHAnsi" w:hAnsiTheme="majorHAnsi"/>
          <w:sz w:val="20"/>
        </w:rPr>
        <w:t>.</w:t>
      </w:r>
      <w:r w:rsidR="00FC4B8A" w:rsidRPr="00CD52EE">
        <w:rPr>
          <w:rStyle w:val="FootnoteReference"/>
          <w:rFonts w:asciiTheme="majorHAnsi" w:hAnsiTheme="majorHAnsi"/>
          <w:sz w:val="16"/>
          <w:szCs w:val="16"/>
        </w:rPr>
        <w:footnoteReference w:id="12"/>
      </w:r>
    </w:p>
    <w:p w14:paraId="75ADC612" w14:textId="77777777" w:rsidR="00930217" w:rsidRPr="00CD52EE" w:rsidRDefault="00930217" w:rsidP="009E33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2694A4CA" w14:textId="77777777" w:rsidR="00930217" w:rsidRPr="00CD52EE" w:rsidRDefault="00930217" w:rsidP="009E33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t xml:space="preserve">The State submits that the IACHR has no </w:t>
      </w:r>
      <w:r w:rsidRPr="003A1C82">
        <w:rPr>
          <w:rFonts w:asciiTheme="majorHAnsi" w:hAnsiTheme="majorHAnsi"/>
          <w:sz w:val="20"/>
        </w:rPr>
        <w:t xml:space="preserve">jurisdiction to </w:t>
      </w:r>
      <w:r w:rsidRPr="00CD04AE">
        <w:rPr>
          <w:rFonts w:asciiTheme="majorHAnsi" w:hAnsiTheme="majorHAnsi"/>
          <w:sz w:val="20"/>
        </w:rPr>
        <w:t xml:space="preserve">challenge the sentence imposed by the State in accordance with its domestic law; and references the case of Thomas and Hilaire which sets out the law under which the state party will act in this regard. The </w:t>
      </w:r>
      <w:r w:rsidR="005A2477" w:rsidRPr="00CD04AE">
        <w:rPr>
          <w:rFonts w:asciiTheme="majorHAnsi" w:hAnsiTheme="majorHAnsi"/>
          <w:sz w:val="20"/>
        </w:rPr>
        <w:t>Judicial Committee of the Privy Council</w:t>
      </w:r>
      <w:r w:rsidR="007972DD" w:rsidRPr="00CD04AE">
        <w:rPr>
          <w:rFonts w:asciiTheme="majorHAnsi" w:hAnsiTheme="majorHAnsi"/>
          <w:sz w:val="20"/>
        </w:rPr>
        <w:t xml:space="preserve"> </w:t>
      </w:r>
      <w:r w:rsidRPr="00CD04AE">
        <w:rPr>
          <w:rFonts w:asciiTheme="majorHAnsi" w:hAnsiTheme="majorHAnsi"/>
          <w:sz w:val="20"/>
        </w:rPr>
        <w:t>expresse</w:t>
      </w:r>
      <w:r w:rsidR="00932471" w:rsidRPr="00CD04AE">
        <w:rPr>
          <w:rFonts w:asciiTheme="majorHAnsi" w:hAnsiTheme="majorHAnsi"/>
          <w:sz w:val="20"/>
        </w:rPr>
        <w:t>d</w:t>
      </w:r>
      <w:r w:rsidRPr="00CD52EE">
        <w:rPr>
          <w:rFonts w:asciiTheme="majorHAnsi" w:hAnsiTheme="majorHAnsi"/>
          <w:sz w:val="20"/>
        </w:rPr>
        <w:t>:</w:t>
      </w:r>
    </w:p>
    <w:p w14:paraId="2F82A3CA" w14:textId="77777777" w:rsidR="006E4682" w:rsidRPr="00CD52EE" w:rsidRDefault="006E4682" w:rsidP="006E468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41D23E05" w14:textId="77777777" w:rsidR="00DE57C5" w:rsidRPr="00CD52EE" w:rsidRDefault="00930217" w:rsidP="006E4682">
      <w:pPr>
        <w:pStyle w:val="NormalWeb"/>
        <w:spacing w:before="0" w:beforeAutospacing="0" w:after="0" w:afterAutospacing="0"/>
        <w:ind w:left="360" w:right="360"/>
        <w:jc w:val="both"/>
        <w:rPr>
          <w:rFonts w:asciiTheme="majorHAnsi" w:hAnsiTheme="majorHAnsi"/>
          <w:color w:val="000000"/>
          <w:sz w:val="18"/>
          <w:szCs w:val="20"/>
        </w:rPr>
      </w:pPr>
      <w:r w:rsidRPr="00CD52EE">
        <w:rPr>
          <w:rFonts w:asciiTheme="majorHAnsi" w:hAnsiTheme="majorHAnsi"/>
          <w:sz w:val="18"/>
          <w:szCs w:val="20"/>
        </w:rPr>
        <w:t>“</w:t>
      </w:r>
      <w:bookmarkStart w:id="4" w:name="para44"/>
      <w:bookmarkEnd w:id="4"/>
      <w:r w:rsidRPr="00CD52EE">
        <w:rPr>
          <w:rFonts w:asciiTheme="majorHAnsi" w:hAnsiTheme="majorHAnsi"/>
          <w:color w:val="000000"/>
          <w:sz w:val="18"/>
          <w:szCs w:val="20"/>
        </w:rPr>
        <w:t xml:space="preserve">Even if the prison conditions in themselves amounted to cruel and unusual treatment, however, and so constituted an independent breach of the appellants' constitutional rights, commutation of the sentence would </w:t>
      </w:r>
      <w:r w:rsidRPr="00CD52EE">
        <w:rPr>
          <w:rFonts w:asciiTheme="majorHAnsi" w:hAnsiTheme="majorHAnsi"/>
          <w:color w:val="000000"/>
          <w:sz w:val="18"/>
          <w:szCs w:val="20"/>
        </w:rPr>
        <w:lastRenderedPageBreak/>
        <w:t xml:space="preserve">not be the appropriate remedy. </w:t>
      </w:r>
      <w:r w:rsidRPr="00CD52EE">
        <w:rPr>
          <w:rFonts w:asciiTheme="majorHAnsi" w:hAnsiTheme="majorHAnsi"/>
          <w:i/>
          <w:iCs/>
          <w:color w:val="000000"/>
          <w:sz w:val="18"/>
          <w:szCs w:val="20"/>
        </w:rPr>
        <w:t>Pratt</w:t>
      </w:r>
      <w:r w:rsidRPr="00CD52EE">
        <w:rPr>
          <w:rFonts w:asciiTheme="majorHAnsi" w:hAnsiTheme="majorHAnsi"/>
          <w:b/>
          <w:bCs/>
          <w:color w:val="000000"/>
          <w:sz w:val="18"/>
          <w:szCs w:val="20"/>
        </w:rPr>
        <w:t xml:space="preserve"> </w:t>
      </w:r>
      <w:r w:rsidRPr="00CD52EE">
        <w:rPr>
          <w:rFonts w:asciiTheme="majorHAnsi" w:hAnsiTheme="majorHAnsi"/>
          <w:color w:val="000000"/>
          <w:sz w:val="18"/>
          <w:szCs w:val="20"/>
        </w:rPr>
        <w:t>did not establish the principle that prolonged detention prior to execution constitutes cruel and unusual treatment. It is the carrying out of the death sentence after such detention which constitutes cruel and unusual punishment. This is because of the additional cruelty, over and above that inherent in the death penalty itself, involved in carrying it out after having exposed the condemned man to a long period of alternating hope and despair. It is the circumstances in which it is proposed to carry out the sentence, not the fact that it has been preceded by a long period of imprisonment, which renders it cruel and unusual. The fact that the conditions in which the condemned man has been kept prior to execution infringe his constitutional rights does not make a lawful sentence unconstitutional.</w:t>
      </w:r>
      <w:bookmarkStart w:id="5" w:name="para45"/>
      <w:bookmarkEnd w:id="5"/>
      <w:r w:rsidRPr="00CD52EE">
        <w:rPr>
          <w:rFonts w:asciiTheme="majorHAnsi" w:hAnsiTheme="majorHAnsi"/>
          <w:color w:val="000000"/>
          <w:sz w:val="18"/>
          <w:szCs w:val="20"/>
        </w:rPr>
        <w:t> </w:t>
      </w:r>
    </w:p>
    <w:p w14:paraId="39A22427" w14:textId="77777777" w:rsidR="00930217" w:rsidRPr="00CD52EE" w:rsidRDefault="00930217" w:rsidP="006E4682">
      <w:pPr>
        <w:pStyle w:val="NormalWeb"/>
        <w:spacing w:before="0" w:beforeAutospacing="0" w:after="0" w:afterAutospacing="0"/>
        <w:ind w:left="360" w:right="360"/>
        <w:jc w:val="both"/>
        <w:rPr>
          <w:rFonts w:asciiTheme="majorHAnsi" w:hAnsiTheme="majorHAnsi"/>
          <w:color w:val="000000"/>
          <w:sz w:val="18"/>
          <w:szCs w:val="20"/>
        </w:rPr>
      </w:pPr>
      <w:r w:rsidRPr="00CD52EE">
        <w:rPr>
          <w:rFonts w:asciiTheme="majorHAnsi" w:hAnsiTheme="majorHAnsi"/>
          <w:color w:val="000000"/>
          <w:sz w:val="18"/>
          <w:szCs w:val="20"/>
        </w:rPr>
        <w:t>[…]</w:t>
      </w:r>
    </w:p>
    <w:p w14:paraId="1C51B9F2" w14:textId="77777777" w:rsidR="003E225D" w:rsidRPr="00CD52EE" w:rsidRDefault="00930217" w:rsidP="006E4682">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eastAsia="Times New Roman" w:hAnsiTheme="majorHAnsi"/>
          <w:color w:val="000000"/>
          <w:sz w:val="18"/>
          <w:szCs w:val="20"/>
          <w:bdr w:val="none" w:sz="0" w:space="0" w:color="auto"/>
        </w:rPr>
      </w:pPr>
      <w:bookmarkStart w:id="6" w:name="para46"/>
      <w:bookmarkEnd w:id="6"/>
      <w:r w:rsidRPr="00CD52EE">
        <w:rPr>
          <w:rFonts w:asciiTheme="majorHAnsi" w:eastAsia="Times New Roman" w:hAnsiTheme="majorHAnsi"/>
          <w:color w:val="000000"/>
          <w:sz w:val="18"/>
          <w:szCs w:val="20"/>
          <w:bdr w:val="none" w:sz="0" w:space="0" w:color="auto"/>
        </w:rPr>
        <w:t>Their Lordships are unwilling to adopt the approach of the IACHR, which they understand holds that any breach of a condemned man's constitutional rights makes it unlawful to carry out a sentence of death. In their Lordships' view this fails to give sufficient recognition to the public interest in having a lawful sentence of the court carried out. They would also be slow to accept the proposition that a breach of a man's constitutional rights must attract some remedy, and that if the only remedy which is available is commutation of the sentence then it must be adopted even if it is inappropriate and disproportionate. The proposition would have little to commend it even in the absence of section 14(2) of the Constitution, but it is clearly precluded by that section.”</w:t>
      </w:r>
      <w:r w:rsidRPr="00CD52EE">
        <w:rPr>
          <w:rStyle w:val="FootnoteReference"/>
          <w:rFonts w:asciiTheme="majorHAnsi" w:eastAsia="Times New Roman" w:hAnsiTheme="majorHAnsi"/>
          <w:color w:val="000000"/>
          <w:sz w:val="18"/>
          <w:szCs w:val="20"/>
          <w:bdr w:val="none" w:sz="0" w:space="0" w:color="auto"/>
        </w:rPr>
        <w:footnoteReference w:id="13"/>
      </w:r>
      <w:r w:rsidRPr="00CD52EE">
        <w:rPr>
          <w:rFonts w:asciiTheme="majorHAnsi" w:eastAsia="Times New Roman" w:hAnsiTheme="majorHAnsi"/>
          <w:color w:val="000000"/>
          <w:sz w:val="18"/>
          <w:szCs w:val="20"/>
          <w:bdr w:val="none" w:sz="0" w:space="0" w:color="auto"/>
        </w:rPr>
        <w:t xml:space="preserve"> </w:t>
      </w:r>
    </w:p>
    <w:p w14:paraId="06574139" w14:textId="77777777" w:rsidR="006E4682" w:rsidRPr="00CD52EE" w:rsidRDefault="006E4682" w:rsidP="006E468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5C6DE60C" w14:textId="77777777" w:rsidR="003E225D" w:rsidRPr="00CD52EE" w:rsidRDefault="00FC4B8A" w:rsidP="001E2B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t>T</w:t>
      </w:r>
      <w:r w:rsidR="00E14D4B" w:rsidRPr="00CD52EE">
        <w:rPr>
          <w:rFonts w:asciiTheme="majorHAnsi" w:hAnsiTheme="majorHAnsi"/>
          <w:sz w:val="20"/>
        </w:rPr>
        <w:t xml:space="preserve">he </w:t>
      </w:r>
      <w:r w:rsidRPr="00CD52EE">
        <w:rPr>
          <w:rFonts w:asciiTheme="majorHAnsi" w:hAnsiTheme="majorHAnsi"/>
          <w:sz w:val="20"/>
        </w:rPr>
        <w:t xml:space="preserve">State refers to the views of the </w:t>
      </w:r>
      <w:r w:rsidR="00E14D4B" w:rsidRPr="00CD52EE">
        <w:rPr>
          <w:rFonts w:asciiTheme="majorHAnsi" w:hAnsiTheme="majorHAnsi"/>
          <w:sz w:val="20"/>
        </w:rPr>
        <w:t xml:space="preserve">United Nations Human Rights Committee (“the HRC”) </w:t>
      </w:r>
      <w:r w:rsidRPr="00CD52EE">
        <w:rPr>
          <w:rFonts w:asciiTheme="majorHAnsi" w:hAnsiTheme="majorHAnsi"/>
          <w:sz w:val="20"/>
        </w:rPr>
        <w:t>adopted on 29 July, 1998 in respect of</w:t>
      </w:r>
      <w:r w:rsidR="000E7FEB" w:rsidRPr="00CD52EE">
        <w:rPr>
          <w:rFonts w:asciiTheme="majorHAnsi" w:hAnsiTheme="majorHAnsi"/>
          <w:sz w:val="20"/>
        </w:rPr>
        <w:t xml:space="preserve"> Dole Chadee et al</w:t>
      </w:r>
      <w:r w:rsidR="00E13C01" w:rsidRPr="00CD52EE">
        <w:rPr>
          <w:rFonts w:asciiTheme="majorHAnsi" w:hAnsiTheme="majorHAnsi"/>
          <w:sz w:val="20"/>
        </w:rPr>
        <w:t>.</w:t>
      </w:r>
      <w:r w:rsidR="000E7FEB" w:rsidRPr="00CD52EE">
        <w:rPr>
          <w:rStyle w:val="FootnoteReference"/>
          <w:rFonts w:asciiTheme="majorHAnsi" w:hAnsiTheme="majorHAnsi"/>
          <w:sz w:val="20"/>
        </w:rPr>
        <w:footnoteReference w:id="14"/>
      </w:r>
      <w:r w:rsidRPr="00CD52EE">
        <w:rPr>
          <w:rFonts w:asciiTheme="majorHAnsi" w:hAnsiTheme="majorHAnsi"/>
          <w:sz w:val="20"/>
        </w:rPr>
        <w:t xml:space="preserve"> </w:t>
      </w:r>
      <w:r w:rsidR="004B26DB" w:rsidRPr="00CD52EE">
        <w:rPr>
          <w:rFonts w:asciiTheme="majorHAnsi" w:hAnsiTheme="majorHAnsi"/>
          <w:sz w:val="20"/>
        </w:rPr>
        <w:t xml:space="preserve">that there was no breach of </w:t>
      </w:r>
      <w:r w:rsidR="00932471" w:rsidRPr="00CD52EE">
        <w:rPr>
          <w:rFonts w:asciiTheme="majorHAnsi" w:hAnsiTheme="majorHAnsi"/>
          <w:sz w:val="20"/>
        </w:rPr>
        <w:t>A</w:t>
      </w:r>
      <w:r w:rsidR="004B26DB" w:rsidRPr="00CD52EE">
        <w:rPr>
          <w:rFonts w:asciiTheme="majorHAnsi" w:hAnsiTheme="majorHAnsi"/>
          <w:sz w:val="20"/>
        </w:rPr>
        <w:t>rticle 10 of the International Convention on Civil and Political Rights arising from prison conditions in Trinidad and Tobago</w:t>
      </w:r>
      <w:r w:rsidR="00CD4E0F" w:rsidRPr="00CD52EE">
        <w:rPr>
          <w:rFonts w:asciiTheme="majorHAnsi" w:hAnsiTheme="majorHAnsi"/>
          <w:sz w:val="20"/>
        </w:rPr>
        <w:t xml:space="preserve">. Further reference </w:t>
      </w:r>
      <w:r w:rsidR="00F75702" w:rsidRPr="00CD52EE">
        <w:rPr>
          <w:rFonts w:asciiTheme="majorHAnsi" w:hAnsiTheme="majorHAnsi"/>
          <w:sz w:val="20"/>
        </w:rPr>
        <w:t>wa</w:t>
      </w:r>
      <w:r w:rsidR="00CD4E0F" w:rsidRPr="00CD52EE">
        <w:rPr>
          <w:rFonts w:asciiTheme="majorHAnsi" w:hAnsiTheme="majorHAnsi"/>
          <w:sz w:val="20"/>
        </w:rPr>
        <w:t>s made to the case of Thomas and Hilaire</w:t>
      </w:r>
      <w:r w:rsidR="00CD4E0F" w:rsidRPr="00CD52EE">
        <w:rPr>
          <w:rStyle w:val="FootnoteReference"/>
          <w:rFonts w:asciiTheme="majorHAnsi" w:hAnsiTheme="majorHAnsi"/>
          <w:sz w:val="20"/>
        </w:rPr>
        <w:footnoteReference w:id="15"/>
      </w:r>
      <w:r w:rsidR="00CD4E0F" w:rsidRPr="00CD52EE">
        <w:rPr>
          <w:rFonts w:asciiTheme="majorHAnsi" w:hAnsiTheme="majorHAnsi"/>
          <w:sz w:val="20"/>
        </w:rPr>
        <w:t xml:space="preserve"> ruled on by the Privy Council which accepted the findings of the </w:t>
      </w:r>
      <w:r w:rsidR="00932471" w:rsidRPr="00CD52EE">
        <w:rPr>
          <w:rFonts w:asciiTheme="majorHAnsi" w:hAnsiTheme="majorHAnsi"/>
          <w:sz w:val="20"/>
        </w:rPr>
        <w:t>C</w:t>
      </w:r>
      <w:r w:rsidR="00CD4E0F" w:rsidRPr="00CD52EE">
        <w:rPr>
          <w:rFonts w:asciiTheme="majorHAnsi" w:hAnsiTheme="majorHAnsi"/>
          <w:sz w:val="20"/>
        </w:rPr>
        <w:t xml:space="preserve">ourt of </w:t>
      </w:r>
      <w:r w:rsidR="00932471" w:rsidRPr="00CD52EE">
        <w:rPr>
          <w:rFonts w:asciiTheme="majorHAnsi" w:hAnsiTheme="majorHAnsi"/>
          <w:sz w:val="20"/>
        </w:rPr>
        <w:t>A</w:t>
      </w:r>
      <w:r w:rsidR="00CD4E0F" w:rsidRPr="00CD52EE">
        <w:rPr>
          <w:rFonts w:asciiTheme="majorHAnsi" w:hAnsiTheme="majorHAnsi"/>
          <w:sz w:val="20"/>
        </w:rPr>
        <w:t xml:space="preserve">ppeal of Trinidad and Tobago </w:t>
      </w:r>
      <w:r w:rsidR="005F2B92" w:rsidRPr="00CD52EE">
        <w:rPr>
          <w:rFonts w:asciiTheme="majorHAnsi" w:hAnsiTheme="majorHAnsi"/>
          <w:sz w:val="20"/>
        </w:rPr>
        <w:t>that prison conditions within the State did not amount to cruel and unusual treatment in violation of section 5(2)(b)</w:t>
      </w:r>
      <w:r w:rsidR="00966AB1" w:rsidRPr="00CD52EE">
        <w:rPr>
          <w:rFonts w:asciiTheme="majorHAnsi" w:hAnsiTheme="majorHAnsi"/>
          <w:sz w:val="20"/>
        </w:rPr>
        <w:t xml:space="preserve"> </w:t>
      </w:r>
      <w:r w:rsidR="005F2B92" w:rsidRPr="00CD52EE">
        <w:rPr>
          <w:rFonts w:asciiTheme="majorHAnsi" w:hAnsiTheme="majorHAnsi"/>
          <w:sz w:val="20"/>
        </w:rPr>
        <w:t xml:space="preserve">of the Constitution. </w:t>
      </w:r>
      <w:r w:rsidR="00DB4828" w:rsidRPr="00CD52EE">
        <w:rPr>
          <w:rFonts w:asciiTheme="majorHAnsi" w:hAnsiTheme="majorHAnsi"/>
          <w:sz w:val="20"/>
        </w:rPr>
        <w:t xml:space="preserve">The State further denies </w:t>
      </w:r>
      <w:r w:rsidR="00D47238" w:rsidRPr="00CD52EE">
        <w:rPr>
          <w:rFonts w:asciiTheme="majorHAnsi" w:hAnsiTheme="majorHAnsi"/>
          <w:sz w:val="20"/>
        </w:rPr>
        <w:t>the allegations of the lack of medical treatment</w:t>
      </w:r>
      <w:r w:rsidR="00DB4828" w:rsidRPr="00CD52EE">
        <w:rPr>
          <w:rFonts w:asciiTheme="majorHAnsi" w:hAnsiTheme="majorHAnsi"/>
          <w:sz w:val="20"/>
        </w:rPr>
        <w:t xml:space="preserve"> by prison authorities</w:t>
      </w:r>
      <w:r w:rsidR="00932471" w:rsidRPr="00CD52EE">
        <w:rPr>
          <w:rFonts w:asciiTheme="majorHAnsi" w:hAnsiTheme="majorHAnsi"/>
          <w:sz w:val="20"/>
        </w:rPr>
        <w:t>.</w:t>
      </w:r>
      <w:r w:rsidR="0061158C" w:rsidRPr="00CD52EE">
        <w:rPr>
          <w:rStyle w:val="FootnoteReference"/>
          <w:rFonts w:asciiTheme="majorHAnsi" w:hAnsiTheme="majorHAnsi"/>
          <w:sz w:val="20"/>
          <w:szCs w:val="20"/>
        </w:rPr>
        <w:footnoteReference w:id="16"/>
      </w:r>
      <w:r w:rsidR="00DB4828" w:rsidRPr="00CD52EE">
        <w:rPr>
          <w:rFonts w:asciiTheme="majorHAnsi" w:hAnsiTheme="majorHAnsi"/>
          <w:sz w:val="20"/>
          <w:szCs w:val="20"/>
        </w:rPr>
        <w:t xml:space="preserve"> </w:t>
      </w:r>
    </w:p>
    <w:p w14:paraId="7F1F38FE" w14:textId="77777777" w:rsidR="003E225D" w:rsidRPr="00CD52EE" w:rsidRDefault="003E225D" w:rsidP="001E2B69">
      <w:pPr>
        <w:tabs>
          <w:tab w:val="left" w:pos="360"/>
        </w:tabs>
        <w:rPr>
          <w:rFonts w:asciiTheme="majorHAnsi" w:hAnsiTheme="majorHAnsi"/>
          <w:sz w:val="20"/>
        </w:rPr>
      </w:pPr>
    </w:p>
    <w:p w14:paraId="6BDA51EC" w14:textId="77777777" w:rsidR="00E14D4B" w:rsidRPr="00CD52EE" w:rsidRDefault="00E14D4B" w:rsidP="001E2B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rPr>
        <w:t xml:space="preserve">Finally, the State concludes that the petitioners are merely seeking to use the Inter-American Commission as a </w:t>
      </w:r>
      <w:r w:rsidR="005454D6" w:rsidRPr="00CD52EE">
        <w:rPr>
          <w:rFonts w:asciiTheme="majorHAnsi" w:hAnsiTheme="majorHAnsi"/>
          <w:sz w:val="20"/>
        </w:rPr>
        <w:t xml:space="preserve">final </w:t>
      </w:r>
      <w:r w:rsidRPr="00CD52EE">
        <w:rPr>
          <w:rFonts w:asciiTheme="majorHAnsi" w:hAnsiTheme="majorHAnsi"/>
          <w:sz w:val="20"/>
        </w:rPr>
        <w:t>court of appeal, since no denial of justice can be said to arise in this case. Accordingly, the State submits that the alleged victims are not entitled to compensation, because their convictions were the result of criminal procedures which respected all fair trial guarantees</w:t>
      </w:r>
      <w:r w:rsidRPr="00CD52EE">
        <w:rPr>
          <w:rFonts w:asciiTheme="majorHAnsi" w:hAnsiTheme="majorHAnsi"/>
          <w:sz w:val="20"/>
          <w:szCs w:val="20"/>
        </w:rPr>
        <w:t>.</w:t>
      </w:r>
    </w:p>
    <w:p w14:paraId="3185A912" w14:textId="77777777" w:rsidR="00910F0F" w:rsidRPr="00CD52EE" w:rsidRDefault="00910F0F" w:rsidP="00273645">
      <w:pPr>
        <w:jc w:val="both"/>
        <w:rPr>
          <w:rFonts w:asciiTheme="majorHAnsi" w:eastAsia="Times New Roman" w:hAnsiTheme="majorHAnsi"/>
          <w:sz w:val="20"/>
          <w:szCs w:val="20"/>
        </w:rPr>
      </w:pPr>
    </w:p>
    <w:p w14:paraId="6FB3E563" w14:textId="77777777" w:rsidR="001C4006" w:rsidRPr="00CD52EE" w:rsidRDefault="001C4006" w:rsidP="001E2B69">
      <w:pPr>
        <w:pStyle w:val="Heading1"/>
        <w:spacing w:before="0"/>
        <w:ind w:left="360"/>
        <w:rPr>
          <w:color w:val="auto"/>
          <w:sz w:val="20"/>
          <w:szCs w:val="20"/>
        </w:rPr>
      </w:pPr>
      <w:bookmarkStart w:id="7" w:name="_Toc54798078"/>
      <w:r w:rsidRPr="00CD52EE">
        <w:rPr>
          <w:color w:val="auto"/>
          <w:sz w:val="20"/>
          <w:szCs w:val="20"/>
        </w:rPr>
        <w:t>FINDINGS OF FACT</w:t>
      </w:r>
      <w:bookmarkEnd w:id="7"/>
    </w:p>
    <w:p w14:paraId="6373FC9A" w14:textId="77777777" w:rsidR="00E67823" w:rsidRPr="00CD52EE" w:rsidRDefault="00E67823" w:rsidP="00E67823">
      <w:pPr>
        <w:rPr>
          <w:rFonts w:asciiTheme="majorHAnsi" w:hAnsiTheme="majorHAnsi"/>
          <w:sz w:val="20"/>
          <w:szCs w:val="20"/>
        </w:rPr>
      </w:pPr>
    </w:p>
    <w:p w14:paraId="73AE80AD" w14:textId="77777777" w:rsidR="002C477A" w:rsidRPr="00CD52EE" w:rsidRDefault="002C477A" w:rsidP="002C47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D52EE">
        <w:rPr>
          <w:rFonts w:ascii="Cambria" w:hAnsi="Cambria"/>
          <w:sz w:val="20"/>
          <w:szCs w:val="20"/>
        </w:rPr>
        <w:t xml:space="preserve">In application of Article 43(1) of its Rules of Procedure, the IACHR will examine the arguments and evidence provided by the petitioners. As stated above, </w:t>
      </w:r>
      <w:r w:rsidR="00D47238" w:rsidRPr="00CD52EE">
        <w:rPr>
          <w:rFonts w:ascii="Cambria" w:hAnsi="Cambria"/>
          <w:sz w:val="20"/>
          <w:szCs w:val="20"/>
        </w:rPr>
        <w:t>there has been no response received by the State at the merits stage.</w:t>
      </w:r>
      <w:r w:rsidRPr="00CD52EE">
        <w:rPr>
          <w:rFonts w:ascii="Cambria" w:hAnsi="Cambria"/>
          <w:sz w:val="20"/>
          <w:szCs w:val="20"/>
        </w:rPr>
        <w:t xml:space="preserve"> Likewise, the Commission will take into account publicly available information that may be relevant to the analysis and decision of the instant case.</w:t>
      </w:r>
    </w:p>
    <w:p w14:paraId="088B59CC" w14:textId="77777777" w:rsidR="002C477A" w:rsidRPr="00CD52EE" w:rsidRDefault="002C477A" w:rsidP="00E67823">
      <w:pPr>
        <w:rPr>
          <w:rFonts w:asciiTheme="majorHAnsi" w:hAnsiTheme="majorHAnsi"/>
          <w:sz w:val="20"/>
          <w:szCs w:val="20"/>
        </w:rPr>
      </w:pPr>
    </w:p>
    <w:p w14:paraId="65009EC7" w14:textId="77777777" w:rsidR="00BA0972" w:rsidRPr="00CD52EE" w:rsidRDefault="002C477A">
      <w:pPr>
        <w:pStyle w:val="Heading2"/>
        <w:numPr>
          <w:ilvl w:val="0"/>
          <w:numId w:val="65"/>
        </w:numPr>
        <w:spacing w:before="0"/>
        <w:ind w:left="360"/>
        <w:jc w:val="both"/>
        <w:rPr>
          <w:color w:val="auto"/>
          <w:sz w:val="20"/>
          <w:szCs w:val="20"/>
        </w:rPr>
      </w:pPr>
      <w:bookmarkStart w:id="8" w:name="_Toc54798079"/>
      <w:bookmarkStart w:id="9" w:name="_Toc27740978"/>
      <w:bookmarkStart w:id="10" w:name="_Toc31893812"/>
      <w:r w:rsidRPr="00CD52EE">
        <w:rPr>
          <w:color w:val="auto"/>
          <w:sz w:val="20"/>
          <w:szCs w:val="20"/>
        </w:rPr>
        <w:t>Relevant legal framework</w:t>
      </w:r>
      <w:bookmarkEnd w:id="8"/>
      <w:r w:rsidRPr="00CD52EE">
        <w:rPr>
          <w:color w:val="auto"/>
          <w:sz w:val="20"/>
          <w:szCs w:val="20"/>
        </w:rPr>
        <w:t xml:space="preserve"> </w:t>
      </w:r>
    </w:p>
    <w:p w14:paraId="63D836EB" w14:textId="77777777" w:rsidR="002C477A" w:rsidRPr="00CD52EE" w:rsidRDefault="002C477A" w:rsidP="002C477A">
      <w:pPr>
        <w:tabs>
          <w:tab w:val="left" w:pos="360"/>
        </w:tabs>
        <w:rPr>
          <w:rFonts w:asciiTheme="majorHAnsi" w:hAnsiTheme="majorHAnsi"/>
          <w:sz w:val="20"/>
          <w:szCs w:val="20"/>
        </w:rPr>
      </w:pPr>
    </w:p>
    <w:p w14:paraId="78BFD485" w14:textId="77777777" w:rsidR="002C477A" w:rsidRPr="00CD52EE" w:rsidRDefault="002C477A" w:rsidP="002C47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CD52EE">
        <w:rPr>
          <w:rFonts w:ascii="Cambria" w:hAnsi="Cambria"/>
          <w:sz w:val="20"/>
          <w:szCs w:val="20"/>
        </w:rPr>
        <w:t xml:space="preserve">Offences </w:t>
      </w:r>
      <w:r w:rsidR="00773F62" w:rsidRPr="00CD52EE">
        <w:rPr>
          <w:rFonts w:ascii="Cambria" w:hAnsi="Cambria"/>
          <w:sz w:val="20"/>
          <w:szCs w:val="20"/>
        </w:rPr>
        <w:t>A</w:t>
      </w:r>
      <w:r w:rsidRPr="00CD52EE">
        <w:rPr>
          <w:rFonts w:ascii="Cambria" w:hAnsi="Cambria"/>
          <w:sz w:val="20"/>
          <w:szCs w:val="20"/>
        </w:rPr>
        <w:t>gainst the Person Act</w:t>
      </w:r>
      <w:r w:rsidR="00773F62" w:rsidRPr="00CD52EE">
        <w:rPr>
          <w:rFonts w:ascii="Cambria" w:hAnsi="Cambria"/>
          <w:sz w:val="20"/>
          <w:szCs w:val="20"/>
        </w:rPr>
        <w:t>,</w:t>
      </w:r>
      <w:r w:rsidRPr="00CD52EE">
        <w:rPr>
          <w:rFonts w:ascii="Cambria" w:hAnsi="Cambria"/>
          <w:sz w:val="20"/>
          <w:szCs w:val="20"/>
        </w:rPr>
        <w:t xml:space="preserve"> Ch</w:t>
      </w:r>
      <w:r w:rsidR="005600CB" w:rsidRPr="00CD52EE">
        <w:rPr>
          <w:rFonts w:ascii="Cambria" w:hAnsi="Cambria"/>
          <w:sz w:val="20"/>
          <w:szCs w:val="20"/>
        </w:rPr>
        <w:t>apter</w:t>
      </w:r>
      <w:r w:rsidRPr="00CD52EE">
        <w:rPr>
          <w:rFonts w:ascii="Cambria" w:hAnsi="Cambria"/>
          <w:sz w:val="20"/>
          <w:szCs w:val="20"/>
        </w:rPr>
        <w:t xml:space="preserve"> 11:08</w:t>
      </w:r>
      <w:r w:rsidR="00773F62" w:rsidRPr="00CD52EE">
        <w:rPr>
          <w:rFonts w:ascii="Cambria" w:hAnsi="Cambria"/>
          <w:sz w:val="20"/>
          <w:szCs w:val="20"/>
        </w:rPr>
        <w:t>,</w:t>
      </w:r>
      <w:r w:rsidRPr="00CD52EE">
        <w:rPr>
          <w:rFonts w:ascii="Cambria" w:hAnsi="Cambria"/>
          <w:sz w:val="20"/>
          <w:szCs w:val="20"/>
        </w:rPr>
        <w:t xml:space="preserve"> as amended by section 2 of the Offences </w:t>
      </w:r>
      <w:r w:rsidR="00773F62" w:rsidRPr="00CD52EE">
        <w:rPr>
          <w:rFonts w:ascii="Cambria" w:hAnsi="Cambria"/>
          <w:sz w:val="20"/>
          <w:szCs w:val="20"/>
        </w:rPr>
        <w:t>A</w:t>
      </w:r>
      <w:r w:rsidRPr="00CD52EE">
        <w:rPr>
          <w:rFonts w:ascii="Cambria" w:hAnsi="Cambria"/>
          <w:sz w:val="20"/>
          <w:szCs w:val="20"/>
        </w:rPr>
        <w:t xml:space="preserve">gainst the Person (Amendment) Act No. 19 of 1985, </w:t>
      </w:r>
      <w:r w:rsidR="00D47238" w:rsidRPr="00CD52EE">
        <w:rPr>
          <w:rFonts w:ascii="Cambria" w:hAnsi="Cambria"/>
          <w:sz w:val="20"/>
          <w:szCs w:val="20"/>
        </w:rPr>
        <w:t>Section 4</w:t>
      </w:r>
      <w:r w:rsidR="001A2DAA" w:rsidRPr="00CD52EE">
        <w:rPr>
          <w:rFonts w:ascii="Cambria" w:hAnsi="Cambria"/>
          <w:sz w:val="20"/>
          <w:szCs w:val="20"/>
        </w:rPr>
        <w:t>, provides</w:t>
      </w:r>
      <w:r w:rsidRPr="00CD52EE">
        <w:rPr>
          <w:rFonts w:ascii="Cambria" w:hAnsi="Cambria"/>
          <w:sz w:val="20"/>
          <w:szCs w:val="20"/>
        </w:rPr>
        <w:t>:</w:t>
      </w:r>
    </w:p>
    <w:p w14:paraId="7248FBE2" w14:textId="77777777" w:rsidR="002C477A" w:rsidRPr="00CD52EE" w:rsidRDefault="002C477A" w:rsidP="002C477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74F3F9D2" w14:textId="77777777" w:rsidR="002C477A" w:rsidRPr="00CD52EE" w:rsidRDefault="002C477A" w:rsidP="002C47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270" w:right="360"/>
        <w:jc w:val="both"/>
        <w:textAlignment w:val="baseline"/>
        <w:rPr>
          <w:rFonts w:ascii="Cambria" w:hAnsi="Cambria"/>
          <w:sz w:val="18"/>
          <w:szCs w:val="18"/>
        </w:rPr>
      </w:pPr>
      <w:r w:rsidRPr="00CD52EE">
        <w:rPr>
          <w:rFonts w:ascii="Cambria" w:hAnsi="Cambria"/>
          <w:sz w:val="18"/>
          <w:szCs w:val="18"/>
        </w:rPr>
        <w:t>“Every person convicted of murder shall suffer death.”</w:t>
      </w:r>
    </w:p>
    <w:p w14:paraId="4EC3DCB5" w14:textId="77777777" w:rsidR="001A2DAA" w:rsidRPr="00CD52EE" w:rsidRDefault="001A2DAA" w:rsidP="002C47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270" w:right="360"/>
        <w:jc w:val="both"/>
        <w:textAlignment w:val="baseline"/>
        <w:rPr>
          <w:rFonts w:ascii="Cambria" w:hAnsi="Cambria"/>
          <w:sz w:val="20"/>
          <w:szCs w:val="20"/>
        </w:rPr>
      </w:pPr>
    </w:p>
    <w:p w14:paraId="4AF6E97D" w14:textId="77777777" w:rsidR="00DA64BA" w:rsidRDefault="00DA64BA" w:rsidP="001A2D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szCs w:val="20"/>
        </w:rPr>
        <w:t xml:space="preserve">Section </w:t>
      </w:r>
      <w:r w:rsidR="001A2DAA" w:rsidRPr="00CD52EE">
        <w:rPr>
          <w:rFonts w:ascii="Cambria" w:hAnsi="Cambria"/>
          <w:sz w:val="20"/>
          <w:szCs w:val="20"/>
        </w:rPr>
        <w:t>5 of the Constitution of Trinidad and Tobago establishes:</w:t>
      </w:r>
    </w:p>
    <w:p w14:paraId="7D68432A" w14:textId="77777777" w:rsidR="00112772" w:rsidRDefault="00DA64BA" w:rsidP="00DA64B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r>
        <w:rPr>
          <w:rFonts w:ascii="Cambria" w:hAnsi="Cambria"/>
          <w:sz w:val="20"/>
          <w:szCs w:val="20"/>
        </w:rPr>
        <w:tab/>
      </w:r>
    </w:p>
    <w:p w14:paraId="23E58B89" w14:textId="77777777" w:rsidR="001A2DAA" w:rsidRDefault="00112772" w:rsidP="00DA64B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r>
        <w:rPr>
          <w:rFonts w:ascii="Cambria" w:hAnsi="Cambria"/>
          <w:sz w:val="20"/>
          <w:szCs w:val="20"/>
        </w:rPr>
        <w:tab/>
      </w:r>
      <w:r w:rsidR="00DA64BA">
        <w:rPr>
          <w:rFonts w:ascii="Cambria" w:hAnsi="Cambria"/>
          <w:sz w:val="20"/>
          <w:szCs w:val="20"/>
        </w:rPr>
        <w:t>PROTECTION OF RIGHTS AND FREEDOMS</w:t>
      </w:r>
    </w:p>
    <w:p w14:paraId="3826C230" w14:textId="77777777" w:rsidR="00112772" w:rsidRDefault="00112772" w:rsidP="00DA64B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41F486DA" w14:textId="77777777" w:rsidR="001A2DAA" w:rsidRPr="00CD52EE" w:rsidRDefault="00DA64BA" w:rsidP="008C614F">
      <w:pPr>
        <w:ind w:left="360" w:right="360"/>
        <w:rPr>
          <w:rFonts w:ascii="Cambria" w:hAnsi="Cambria"/>
          <w:sz w:val="18"/>
          <w:szCs w:val="18"/>
        </w:rPr>
      </w:pPr>
      <w:r>
        <w:rPr>
          <w:rFonts w:ascii="Cambria" w:hAnsi="Cambria"/>
          <w:sz w:val="18"/>
          <w:szCs w:val="18"/>
        </w:rPr>
        <w:t xml:space="preserve">5. </w:t>
      </w:r>
      <w:r w:rsidR="001A2DAA" w:rsidRPr="00CD52EE">
        <w:rPr>
          <w:rFonts w:ascii="Cambria" w:hAnsi="Cambria"/>
          <w:sz w:val="18"/>
          <w:szCs w:val="18"/>
        </w:rPr>
        <w:t xml:space="preserve">(1) Except as is otherwise expressly provided in this Chapter and in section 54, no law may abrogate, abridge or infringe or authorise the abrogation, abridgment or infringement of any of the rights and freedoms hereinbefore recognised and declared. </w:t>
      </w:r>
    </w:p>
    <w:p w14:paraId="5CE623BF" w14:textId="77777777" w:rsidR="001A2DAA" w:rsidRPr="005A1A12" w:rsidRDefault="001A2DAA" w:rsidP="008C614F">
      <w:pPr>
        <w:ind w:left="360" w:right="360"/>
        <w:rPr>
          <w:rFonts w:ascii="Cambria" w:hAnsi="Cambria"/>
          <w:sz w:val="18"/>
          <w:szCs w:val="18"/>
        </w:rPr>
      </w:pPr>
      <w:r w:rsidRPr="005A1A12">
        <w:rPr>
          <w:rFonts w:ascii="Cambria" w:hAnsi="Cambria"/>
          <w:sz w:val="18"/>
          <w:szCs w:val="18"/>
        </w:rPr>
        <w:t xml:space="preserve">(2) Without prejudice to subsection (1), but subject to this Chapter and to section 54, Parliament may not— […] </w:t>
      </w:r>
    </w:p>
    <w:p w14:paraId="03F64C54" w14:textId="77777777" w:rsidR="001A2DAA" w:rsidRPr="005A1A12" w:rsidRDefault="001A2DAA" w:rsidP="008C614F">
      <w:pPr>
        <w:ind w:left="360" w:right="360"/>
        <w:rPr>
          <w:rFonts w:ascii="Cambria" w:hAnsi="Cambria"/>
          <w:sz w:val="18"/>
          <w:szCs w:val="18"/>
        </w:rPr>
      </w:pPr>
      <w:r w:rsidRPr="005A1A12">
        <w:rPr>
          <w:rFonts w:ascii="Cambria" w:hAnsi="Cambria"/>
          <w:sz w:val="18"/>
          <w:szCs w:val="18"/>
        </w:rPr>
        <w:lastRenderedPageBreak/>
        <w:t>(b) impose or authorise the imposition of cruel and unusual treatment or punishment;</w:t>
      </w:r>
    </w:p>
    <w:p w14:paraId="1ADAE23F" w14:textId="77777777" w:rsidR="008A37B7" w:rsidRPr="005A1A12" w:rsidRDefault="008A37B7" w:rsidP="001A2DAA">
      <w:pPr>
        <w:rPr>
          <w:rFonts w:ascii="Cambria" w:hAnsi="Cambria"/>
          <w:sz w:val="20"/>
          <w:szCs w:val="20"/>
        </w:rPr>
      </w:pPr>
    </w:p>
    <w:p w14:paraId="5A265969" w14:textId="77777777" w:rsidR="001823E8" w:rsidRPr="005A1A12" w:rsidRDefault="001823E8" w:rsidP="00AB44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sz w:val="20"/>
          <w:szCs w:val="20"/>
        </w:rPr>
      </w:pPr>
      <w:r w:rsidRPr="005A1A12">
        <w:rPr>
          <w:rFonts w:asciiTheme="majorHAnsi" w:hAnsiTheme="majorHAnsi"/>
          <w:sz w:val="20"/>
          <w:szCs w:val="20"/>
        </w:rPr>
        <w:t xml:space="preserve">Section 6 </w:t>
      </w:r>
      <w:r w:rsidR="0018753B" w:rsidRPr="005A1A12">
        <w:rPr>
          <w:rFonts w:asciiTheme="majorHAnsi" w:hAnsiTheme="majorHAnsi"/>
          <w:color w:val="000000"/>
          <w:sz w:val="20"/>
          <w:szCs w:val="20"/>
        </w:rPr>
        <w:t xml:space="preserve">of the Constitution of Trinidad and Tobago </w:t>
      </w:r>
      <w:r w:rsidR="00EA3A95" w:rsidRPr="005A1A12">
        <w:rPr>
          <w:rFonts w:asciiTheme="majorHAnsi" w:hAnsiTheme="majorHAnsi"/>
          <w:color w:val="000000"/>
          <w:sz w:val="20"/>
          <w:szCs w:val="20"/>
        </w:rPr>
        <w:t>provides:</w:t>
      </w:r>
    </w:p>
    <w:p w14:paraId="0C40F8C6" w14:textId="77777777" w:rsidR="00EA3A95" w:rsidRPr="005A1A12" w:rsidRDefault="00EA3A95" w:rsidP="00EA3A9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sz w:val="18"/>
          <w:szCs w:val="18"/>
        </w:rPr>
      </w:pPr>
    </w:p>
    <w:p w14:paraId="33947F6D" w14:textId="77777777" w:rsidR="00EA3A95" w:rsidRPr="005A1A12" w:rsidRDefault="00DA64BA" w:rsidP="00EA3A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ajorHAnsi" w:hAnsiTheme="majorHAnsi"/>
          <w:color w:val="000000"/>
          <w:sz w:val="18"/>
          <w:szCs w:val="18"/>
        </w:rPr>
      </w:pPr>
      <w:r w:rsidRPr="005A1A12">
        <w:rPr>
          <w:rFonts w:asciiTheme="majorHAnsi" w:hAnsiTheme="majorHAnsi"/>
          <w:color w:val="000000"/>
          <w:sz w:val="18"/>
          <w:szCs w:val="18"/>
        </w:rPr>
        <w:t>SAVINGS</w:t>
      </w:r>
      <w:r w:rsidR="00EA3A95" w:rsidRPr="005A1A12">
        <w:rPr>
          <w:rFonts w:asciiTheme="majorHAnsi" w:hAnsiTheme="majorHAnsi"/>
          <w:color w:val="000000"/>
          <w:sz w:val="18"/>
          <w:szCs w:val="18"/>
        </w:rPr>
        <w:t xml:space="preserve"> FOR EXISTING LAW</w:t>
      </w:r>
    </w:p>
    <w:p w14:paraId="62E9349D" w14:textId="77777777" w:rsidR="00EA3A95" w:rsidRPr="005A1A12" w:rsidRDefault="00EA3A95" w:rsidP="00EA3A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ajorHAnsi" w:hAnsiTheme="majorHAnsi"/>
          <w:color w:val="000000"/>
          <w:sz w:val="18"/>
          <w:szCs w:val="18"/>
        </w:rPr>
      </w:pPr>
    </w:p>
    <w:p w14:paraId="279457D5" w14:textId="77777777" w:rsidR="00EA3A95" w:rsidRPr="005A1A12" w:rsidRDefault="00EA3A95" w:rsidP="00EA3A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ajorHAnsi" w:hAnsiTheme="majorHAnsi"/>
          <w:color w:val="000000"/>
          <w:sz w:val="18"/>
          <w:szCs w:val="18"/>
        </w:rPr>
      </w:pPr>
      <w:r w:rsidRPr="005A1A12">
        <w:rPr>
          <w:rFonts w:asciiTheme="majorHAnsi" w:hAnsiTheme="majorHAnsi"/>
          <w:color w:val="000000"/>
          <w:sz w:val="18"/>
          <w:szCs w:val="18"/>
        </w:rPr>
        <w:t>6. (l) Nothing in sections 4 and 5 shall invalidate —</w:t>
      </w:r>
    </w:p>
    <w:p w14:paraId="00FA5655" w14:textId="77777777" w:rsidR="00EA3A95" w:rsidRPr="00EA3A95" w:rsidRDefault="00EA3A95" w:rsidP="00EA3A9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jc w:val="both"/>
        <w:rPr>
          <w:rFonts w:asciiTheme="majorHAnsi" w:hAnsiTheme="majorHAnsi"/>
          <w:color w:val="000000"/>
          <w:sz w:val="18"/>
          <w:szCs w:val="18"/>
        </w:rPr>
      </w:pPr>
      <w:r w:rsidRPr="005A1A12">
        <w:rPr>
          <w:rFonts w:asciiTheme="majorHAnsi" w:hAnsiTheme="majorHAnsi"/>
          <w:color w:val="000000"/>
          <w:sz w:val="18"/>
          <w:szCs w:val="18"/>
        </w:rPr>
        <w:t>(a) an existing law;</w:t>
      </w:r>
    </w:p>
    <w:p w14:paraId="1ECEA717" w14:textId="77777777" w:rsidR="0018753B" w:rsidRPr="00EA3A95" w:rsidRDefault="0018753B" w:rsidP="001A2DAA">
      <w:pPr>
        <w:rPr>
          <w:rFonts w:asciiTheme="majorHAnsi" w:hAnsiTheme="majorHAnsi"/>
          <w:sz w:val="18"/>
          <w:szCs w:val="18"/>
        </w:rPr>
      </w:pPr>
    </w:p>
    <w:p w14:paraId="78ECD746" w14:textId="77777777" w:rsidR="004E44C2" w:rsidRPr="00CD52EE" w:rsidRDefault="00E67823">
      <w:pPr>
        <w:pStyle w:val="Heading2"/>
        <w:numPr>
          <w:ilvl w:val="0"/>
          <w:numId w:val="65"/>
        </w:numPr>
        <w:tabs>
          <w:tab w:val="left" w:pos="360"/>
        </w:tabs>
        <w:spacing w:before="0"/>
        <w:ind w:hanging="720"/>
        <w:rPr>
          <w:color w:val="auto"/>
          <w:sz w:val="20"/>
          <w:szCs w:val="20"/>
        </w:rPr>
      </w:pPr>
      <w:bookmarkStart w:id="11" w:name="_Toc54798080"/>
      <w:r w:rsidRPr="00CD52EE">
        <w:rPr>
          <w:color w:val="auto"/>
          <w:sz w:val="20"/>
          <w:szCs w:val="20"/>
        </w:rPr>
        <w:t>Facts of the case</w:t>
      </w:r>
      <w:bookmarkEnd w:id="9"/>
      <w:bookmarkEnd w:id="10"/>
      <w:bookmarkEnd w:id="11"/>
    </w:p>
    <w:p w14:paraId="310B8D6E" w14:textId="77777777" w:rsidR="00E67823" w:rsidRPr="00CD52EE" w:rsidRDefault="00E67823" w:rsidP="00E67823">
      <w:pPr>
        <w:rPr>
          <w:rFonts w:asciiTheme="majorHAnsi" w:hAnsiTheme="majorHAnsi"/>
          <w:sz w:val="20"/>
          <w:szCs w:val="20"/>
        </w:rPr>
      </w:pPr>
    </w:p>
    <w:p w14:paraId="233D93E6" w14:textId="77777777" w:rsidR="004C51E1" w:rsidRPr="00CD52EE" w:rsidRDefault="00C20375" w:rsidP="00E13C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CD52EE">
        <w:rPr>
          <w:rFonts w:ascii="Cambria" w:hAnsi="Cambria"/>
          <w:sz w:val="20"/>
          <w:szCs w:val="20"/>
        </w:rPr>
        <w:t>According to the court record</w:t>
      </w:r>
      <w:r w:rsidR="00A911B1">
        <w:rPr>
          <w:rFonts w:ascii="Cambria" w:hAnsi="Cambria"/>
          <w:sz w:val="20"/>
          <w:szCs w:val="20"/>
        </w:rPr>
        <w:t>,</w:t>
      </w:r>
      <w:r w:rsidR="002429FA">
        <w:rPr>
          <w:rStyle w:val="FootnoteReference"/>
          <w:rFonts w:ascii="Cambria" w:hAnsi="Cambria"/>
          <w:sz w:val="20"/>
          <w:szCs w:val="20"/>
        </w:rPr>
        <w:footnoteReference w:id="17"/>
      </w:r>
      <w:r w:rsidR="00E67823" w:rsidRPr="00CD52EE">
        <w:rPr>
          <w:rFonts w:ascii="Cambria" w:hAnsi="Cambria"/>
          <w:sz w:val="20"/>
          <w:szCs w:val="20"/>
        </w:rPr>
        <w:t xml:space="preserve"> the alleged victims were arrested by the police on February 24, 1995 and charged with the February 20, 1995 murder of Junior Baptiste</w:t>
      </w:r>
      <w:r w:rsidR="001F7E1A" w:rsidRPr="00CD52EE">
        <w:rPr>
          <w:rFonts w:ascii="Cambria" w:hAnsi="Cambria"/>
          <w:sz w:val="20"/>
          <w:szCs w:val="20"/>
        </w:rPr>
        <w:t xml:space="preserve"> (Mr. Baptiste)</w:t>
      </w:r>
      <w:r w:rsidR="00E67823" w:rsidRPr="00CD52EE">
        <w:rPr>
          <w:rFonts w:ascii="Cambria" w:hAnsi="Cambria"/>
          <w:sz w:val="20"/>
          <w:szCs w:val="20"/>
        </w:rPr>
        <w:t xml:space="preserve">, primarily based on the identification evidence of Junior’s </w:t>
      </w:r>
      <w:r w:rsidR="00E104BE" w:rsidRPr="00CD52EE">
        <w:rPr>
          <w:rFonts w:ascii="Cambria" w:hAnsi="Cambria"/>
          <w:sz w:val="20"/>
          <w:szCs w:val="20"/>
        </w:rPr>
        <w:t xml:space="preserve">elder </w:t>
      </w:r>
      <w:r w:rsidR="00E67823" w:rsidRPr="00CD52EE">
        <w:rPr>
          <w:rFonts w:ascii="Cambria" w:hAnsi="Cambria"/>
          <w:sz w:val="20"/>
          <w:szCs w:val="20"/>
        </w:rPr>
        <w:t>brother, Shawn Baptiste</w:t>
      </w:r>
      <w:r w:rsidR="00E104BE" w:rsidRPr="00CD52EE">
        <w:rPr>
          <w:rFonts w:ascii="Cambria" w:hAnsi="Cambria"/>
          <w:sz w:val="20"/>
          <w:szCs w:val="20"/>
        </w:rPr>
        <w:t xml:space="preserve"> (Shawn)</w:t>
      </w:r>
      <w:r w:rsidR="00E67823" w:rsidRPr="00CD52EE">
        <w:rPr>
          <w:rFonts w:ascii="Cambria" w:hAnsi="Cambria"/>
          <w:sz w:val="20"/>
          <w:szCs w:val="20"/>
        </w:rPr>
        <w:t>.</w:t>
      </w:r>
      <w:r w:rsidR="00932471" w:rsidRPr="00CD52EE">
        <w:rPr>
          <w:rFonts w:ascii="Cambria" w:hAnsi="Cambria"/>
          <w:sz w:val="20"/>
          <w:szCs w:val="20"/>
        </w:rPr>
        <w:t xml:space="preserve"> </w:t>
      </w:r>
      <w:r w:rsidR="009C216A" w:rsidRPr="00CD52EE">
        <w:rPr>
          <w:rFonts w:ascii="Cambria" w:hAnsi="Cambria"/>
          <w:sz w:val="20"/>
          <w:szCs w:val="20"/>
        </w:rPr>
        <w:t xml:space="preserve">Junior had been shot </w:t>
      </w:r>
      <w:r w:rsidR="00E104BE" w:rsidRPr="00CD52EE">
        <w:rPr>
          <w:rFonts w:ascii="Cambria" w:hAnsi="Cambria"/>
          <w:sz w:val="20"/>
          <w:szCs w:val="20"/>
        </w:rPr>
        <w:t xml:space="preserve">in the early hours of </w:t>
      </w:r>
      <w:r w:rsidR="009C216A" w:rsidRPr="00CD52EE">
        <w:rPr>
          <w:rFonts w:ascii="Cambria" w:hAnsi="Cambria"/>
          <w:sz w:val="20"/>
          <w:szCs w:val="20"/>
        </w:rPr>
        <w:t>February</w:t>
      </w:r>
      <w:r w:rsidR="00E104BE" w:rsidRPr="00CD52EE">
        <w:rPr>
          <w:rFonts w:ascii="Cambria" w:hAnsi="Cambria"/>
          <w:sz w:val="20"/>
          <w:szCs w:val="20"/>
        </w:rPr>
        <w:t xml:space="preserve"> 20,</w:t>
      </w:r>
      <w:r w:rsidR="009C216A" w:rsidRPr="00CD52EE">
        <w:rPr>
          <w:rFonts w:ascii="Cambria" w:hAnsi="Cambria"/>
          <w:sz w:val="20"/>
          <w:szCs w:val="20"/>
        </w:rPr>
        <w:t xml:space="preserve"> 1995 and had died in hospital early the following day. The shooting took </w:t>
      </w:r>
      <w:r w:rsidR="00E104BE" w:rsidRPr="00CD52EE">
        <w:rPr>
          <w:rFonts w:ascii="Cambria" w:hAnsi="Cambria"/>
          <w:sz w:val="20"/>
          <w:szCs w:val="20"/>
        </w:rPr>
        <w:t xml:space="preserve">place in the presence of </w:t>
      </w:r>
      <w:r w:rsidR="009C216A" w:rsidRPr="00CD52EE">
        <w:rPr>
          <w:rFonts w:ascii="Cambria" w:hAnsi="Cambria"/>
          <w:sz w:val="20"/>
          <w:szCs w:val="20"/>
        </w:rPr>
        <w:t xml:space="preserve">Shawn </w:t>
      </w:r>
      <w:r w:rsidR="009E325A" w:rsidRPr="00CD52EE">
        <w:rPr>
          <w:rFonts w:ascii="Cambria" w:hAnsi="Cambria"/>
          <w:sz w:val="20"/>
          <w:szCs w:val="20"/>
        </w:rPr>
        <w:t>and of Shawn’</w:t>
      </w:r>
      <w:r w:rsidR="009C216A" w:rsidRPr="00CD52EE">
        <w:rPr>
          <w:rFonts w:ascii="Cambria" w:hAnsi="Cambria"/>
          <w:sz w:val="20"/>
          <w:szCs w:val="20"/>
        </w:rPr>
        <w:t>s girlfriend</w:t>
      </w:r>
      <w:r w:rsidR="00E104BE" w:rsidRPr="00CD52EE">
        <w:rPr>
          <w:rFonts w:ascii="Cambria" w:hAnsi="Cambria"/>
          <w:sz w:val="20"/>
          <w:szCs w:val="20"/>
        </w:rPr>
        <w:t>,</w:t>
      </w:r>
      <w:r w:rsidR="009C216A" w:rsidRPr="00CD52EE">
        <w:rPr>
          <w:rFonts w:ascii="Cambria" w:hAnsi="Cambria"/>
          <w:sz w:val="20"/>
          <w:szCs w:val="20"/>
        </w:rPr>
        <w:t xml:space="preserve"> Alicia Henry (Ms. Henry</w:t>
      </w:r>
      <w:r w:rsidR="00E104BE" w:rsidRPr="00CD52EE">
        <w:rPr>
          <w:rFonts w:ascii="Cambria" w:hAnsi="Cambria"/>
          <w:sz w:val="20"/>
          <w:szCs w:val="20"/>
        </w:rPr>
        <w:t>), in Shawn’</w:t>
      </w:r>
      <w:r w:rsidR="009C216A" w:rsidRPr="00CD52EE">
        <w:rPr>
          <w:rFonts w:ascii="Cambria" w:hAnsi="Cambria"/>
          <w:sz w:val="20"/>
          <w:szCs w:val="20"/>
        </w:rPr>
        <w:t>s apartment in Laventille.</w:t>
      </w:r>
      <w:r w:rsidR="009C216A" w:rsidRPr="00CD52EE">
        <w:rPr>
          <w:rStyle w:val="FootnoteReference"/>
          <w:rFonts w:asciiTheme="majorHAnsi" w:hAnsiTheme="majorHAnsi"/>
          <w:sz w:val="20"/>
          <w:szCs w:val="20"/>
        </w:rPr>
        <w:footnoteReference w:id="18"/>
      </w:r>
      <w:r w:rsidR="00E13C01" w:rsidRPr="00CD52EE">
        <w:rPr>
          <w:rFonts w:ascii="Cambria" w:hAnsi="Cambria"/>
          <w:sz w:val="20"/>
          <w:szCs w:val="20"/>
        </w:rPr>
        <w:t xml:space="preserve"> </w:t>
      </w:r>
      <w:r w:rsidR="001F7E1A" w:rsidRPr="00CD52EE">
        <w:rPr>
          <w:rFonts w:ascii="Cambria" w:hAnsi="Cambria"/>
          <w:sz w:val="20"/>
          <w:szCs w:val="20"/>
        </w:rPr>
        <w:t>According to the court record,</w:t>
      </w:r>
      <w:r w:rsidR="001F7E1A" w:rsidRPr="00CD52EE">
        <w:rPr>
          <w:rStyle w:val="FootnoteReference"/>
          <w:rFonts w:asciiTheme="majorHAnsi" w:hAnsiTheme="majorHAnsi"/>
          <w:sz w:val="20"/>
          <w:szCs w:val="20"/>
        </w:rPr>
        <w:footnoteReference w:id="19"/>
      </w:r>
      <w:r w:rsidR="00E104BE" w:rsidRPr="00CD52EE">
        <w:rPr>
          <w:rFonts w:ascii="Cambria" w:hAnsi="Cambria"/>
          <w:sz w:val="20"/>
          <w:szCs w:val="20"/>
        </w:rPr>
        <w:t xml:space="preserve"> at about 2:50am tw</w:t>
      </w:r>
      <w:r w:rsidR="001F7E1A" w:rsidRPr="00CD52EE">
        <w:rPr>
          <w:rFonts w:ascii="Cambria" w:hAnsi="Cambria"/>
          <w:sz w:val="20"/>
          <w:szCs w:val="20"/>
        </w:rPr>
        <w:t xml:space="preserve">o attackers entered the apartment </w:t>
      </w:r>
      <w:r w:rsidR="00E104BE" w:rsidRPr="00CD52EE">
        <w:rPr>
          <w:rFonts w:ascii="Cambria" w:hAnsi="Cambria"/>
          <w:sz w:val="20"/>
          <w:szCs w:val="20"/>
        </w:rPr>
        <w:t>and</w:t>
      </w:r>
      <w:r w:rsidR="001F7E1A" w:rsidRPr="00CD52EE">
        <w:rPr>
          <w:rFonts w:ascii="Cambria" w:hAnsi="Cambria"/>
          <w:sz w:val="20"/>
          <w:szCs w:val="20"/>
        </w:rPr>
        <w:t xml:space="preserve"> Mr. Baptiste was shot seven times</w:t>
      </w:r>
      <w:r w:rsidR="00E104BE" w:rsidRPr="00CD52EE">
        <w:rPr>
          <w:rFonts w:ascii="Cambria" w:hAnsi="Cambria"/>
          <w:sz w:val="20"/>
          <w:szCs w:val="20"/>
        </w:rPr>
        <w:t>.</w:t>
      </w:r>
      <w:r w:rsidR="001F7E1A" w:rsidRPr="00CD52EE">
        <w:rPr>
          <w:rFonts w:ascii="Cambria" w:hAnsi="Cambria"/>
          <w:sz w:val="20"/>
          <w:szCs w:val="20"/>
        </w:rPr>
        <w:t xml:space="preserve"> Ms. Henry suffered three entry wounds believed to be from the same bullets that passed through Mr. Baptiste who had fallen on top of Ms. Henry during the attack. Shawn Baptiste ran out of the apartment followed by both attackers, he escaped and returned to take the two victims to the hospital. Thereafter a report was made to the police station, and police officers secured the apartment but did not search the premises. At the hospital, Junior Baptiste was questioned by a police officer in the presence of a doctor. </w:t>
      </w:r>
      <w:r w:rsidR="00700592" w:rsidRPr="00CD52EE">
        <w:rPr>
          <w:rFonts w:ascii="Cambria" w:hAnsi="Cambria"/>
          <w:sz w:val="20"/>
          <w:szCs w:val="20"/>
        </w:rPr>
        <w:t xml:space="preserve">On being asked who attacked him, he replied, “Maxwell and Peter shoot me”. Junior Baptiste was not in a condition to give a formal statement and died later of shock and hemorrhage. </w:t>
      </w:r>
    </w:p>
    <w:p w14:paraId="0C5F975B" w14:textId="77777777" w:rsidR="004C51E1" w:rsidRPr="00CD52EE" w:rsidDel="004C51E1" w:rsidRDefault="004C51E1" w:rsidP="00E13C0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4A3E2565" w14:textId="77777777" w:rsidR="00E67823" w:rsidRPr="00CD52EE" w:rsidRDefault="00BB70F7" w:rsidP="004C51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eastAsia="Times New Roman" w:hAnsiTheme="majorHAnsi"/>
          <w:sz w:val="20"/>
          <w:szCs w:val="20"/>
        </w:rPr>
      </w:pPr>
      <w:r w:rsidRPr="00CD52EE">
        <w:rPr>
          <w:rFonts w:asciiTheme="majorHAnsi" w:eastAsia="Times New Roman" w:hAnsiTheme="majorHAnsi"/>
          <w:sz w:val="20"/>
          <w:szCs w:val="20"/>
        </w:rPr>
        <w:t>The alleged victims of this petition were arrested on February 24, 1995</w:t>
      </w:r>
      <w:r w:rsidR="00573B80" w:rsidRPr="00CD52EE">
        <w:rPr>
          <w:rFonts w:asciiTheme="majorHAnsi" w:eastAsia="Times New Roman" w:hAnsiTheme="majorHAnsi"/>
          <w:sz w:val="20"/>
          <w:szCs w:val="20"/>
        </w:rPr>
        <w:t>, they were identified by Shaw</w:t>
      </w:r>
      <w:r w:rsidR="007C20E3" w:rsidRPr="00CD52EE">
        <w:rPr>
          <w:rFonts w:asciiTheme="majorHAnsi" w:eastAsia="Times New Roman" w:hAnsiTheme="majorHAnsi"/>
          <w:sz w:val="20"/>
          <w:szCs w:val="20"/>
        </w:rPr>
        <w:t>n Baptiste on February 28, 1995, who served as the main prosecution witness, and whose account of events served as primary evidence in the matter</w:t>
      </w:r>
      <w:r w:rsidR="00E13C01" w:rsidRPr="00CD52EE">
        <w:rPr>
          <w:rFonts w:asciiTheme="majorHAnsi" w:eastAsia="Times New Roman" w:hAnsiTheme="majorHAnsi"/>
          <w:sz w:val="20"/>
          <w:szCs w:val="20"/>
        </w:rPr>
        <w:t>.</w:t>
      </w:r>
      <w:r w:rsidR="00762650" w:rsidRPr="00CD52EE">
        <w:rPr>
          <w:rStyle w:val="FootnoteReference"/>
          <w:rFonts w:asciiTheme="majorHAnsi" w:eastAsia="Times New Roman" w:hAnsiTheme="majorHAnsi"/>
          <w:sz w:val="20"/>
          <w:szCs w:val="20"/>
        </w:rPr>
        <w:footnoteReference w:id="20"/>
      </w:r>
      <w:r w:rsidR="007C20E3" w:rsidRPr="00CD52EE">
        <w:rPr>
          <w:rFonts w:asciiTheme="majorHAnsi" w:eastAsia="Times New Roman" w:hAnsiTheme="majorHAnsi"/>
          <w:sz w:val="20"/>
          <w:szCs w:val="20"/>
        </w:rPr>
        <w:t xml:space="preserve"> </w:t>
      </w:r>
    </w:p>
    <w:p w14:paraId="4D2D7B64" w14:textId="77777777" w:rsidR="004C51E1" w:rsidRPr="00CD52EE" w:rsidDel="002C477A" w:rsidRDefault="004C51E1" w:rsidP="00E678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270" w:right="360"/>
        <w:jc w:val="both"/>
        <w:textAlignment w:val="baseline"/>
        <w:rPr>
          <w:rFonts w:ascii="Cambria" w:hAnsi="Cambria"/>
          <w:sz w:val="18"/>
          <w:szCs w:val="18"/>
        </w:rPr>
      </w:pPr>
    </w:p>
    <w:p w14:paraId="64E39427" w14:textId="77777777" w:rsidR="004E44C2" w:rsidRPr="00CD52EE" w:rsidRDefault="00E67823">
      <w:pPr>
        <w:pStyle w:val="Heading2"/>
        <w:numPr>
          <w:ilvl w:val="0"/>
          <w:numId w:val="65"/>
        </w:numPr>
        <w:tabs>
          <w:tab w:val="left" w:pos="360"/>
        </w:tabs>
        <w:spacing w:before="0"/>
        <w:ind w:hanging="720"/>
        <w:rPr>
          <w:color w:val="auto"/>
          <w:sz w:val="20"/>
          <w:szCs w:val="20"/>
        </w:rPr>
      </w:pPr>
      <w:bookmarkStart w:id="12" w:name="_Toc27740979"/>
      <w:bookmarkStart w:id="13" w:name="_Toc31893816"/>
      <w:bookmarkStart w:id="14" w:name="_Toc54798081"/>
      <w:r w:rsidRPr="00CD52EE">
        <w:rPr>
          <w:color w:val="auto"/>
          <w:sz w:val="20"/>
          <w:szCs w:val="20"/>
        </w:rPr>
        <w:t>Trial and death sentence</w:t>
      </w:r>
      <w:bookmarkEnd w:id="12"/>
      <w:bookmarkEnd w:id="13"/>
      <w:bookmarkEnd w:id="14"/>
    </w:p>
    <w:p w14:paraId="09B77A6E" w14:textId="77777777" w:rsidR="003906DC" w:rsidRPr="00CD52EE" w:rsidRDefault="003906DC" w:rsidP="001E2B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5EE094C4" w14:textId="77777777" w:rsidR="00F63D11" w:rsidRPr="00CD52EE" w:rsidRDefault="002B039B" w:rsidP="005B4B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hAnsiTheme="majorHAnsi"/>
          <w:color w:val="000000"/>
          <w:sz w:val="20"/>
          <w:szCs w:val="20"/>
          <w:bdr w:val="none" w:sz="0" w:space="0" w:color="auto"/>
        </w:rPr>
        <w:t xml:space="preserve">On January </w:t>
      </w:r>
      <w:r w:rsidR="004A1668" w:rsidRPr="00CD52EE">
        <w:rPr>
          <w:rFonts w:asciiTheme="majorHAnsi" w:hAnsiTheme="majorHAnsi"/>
          <w:color w:val="000000"/>
          <w:sz w:val="20"/>
          <w:szCs w:val="20"/>
          <w:bdr w:val="none" w:sz="0" w:space="0" w:color="auto"/>
        </w:rPr>
        <w:t xml:space="preserve">21, </w:t>
      </w:r>
      <w:r w:rsidRPr="00CD52EE">
        <w:rPr>
          <w:rFonts w:asciiTheme="majorHAnsi" w:hAnsiTheme="majorHAnsi"/>
          <w:color w:val="000000"/>
          <w:sz w:val="20"/>
          <w:szCs w:val="20"/>
          <w:bdr w:val="none" w:sz="0" w:space="0" w:color="auto"/>
        </w:rPr>
        <w:t>1997, following a four-day trial</w:t>
      </w:r>
      <w:r w:rsidR="004A1668" w:rsidRPr="00CD52EE">
        <w:rPr>
          <w:rFonts w:asciiTheme="majorHAnsi" w:hAnsiTheme="majorHAnsi"/>
          <w:color w:val="000000"/>
          <w:sz w:val="20"/>
          <w:szCs w:val="20"/>
          <w:bdr w:val="none" w:sz="0" w:space="0" w:color="auto"/>
        </w:rPr>
        <w:t>,</w:t>
      </w:r>
      <w:r w:rsidR="005B56F8" w:rsidRPr="00CD52EE">
        <w:rPr>
          <w:rStyle w:val="FootnoteReference"/>
          <w:rFonts w:asciiTheme="majorHAnsi" w:hAnsiTheme="majorHAnsi"/>
          <w:color w:val="000000"/>
          <w:sz w:val="20"/>
          <w:szCs w:val="20"/>
          <w:bdr w:val="none" w:sz="0" w:space="0" w:color="auto"/>
        </w:rPr>
        <w:footnoteReference w:id="21"/>
      </w:r>
      <w:r w:rsidRPr="00CD52EE">
        <w:rPr>
          <w:rFonts w:asciiTheme="majorHAnsi" w:hAnsiTheme="majorHAnsi"/>
          <w:color w:val="000000"/>
          <w:sz w:val="20"/>
          <w:szCs w:val="20"/>
          <w:bdr w:val="none" w:sz="0" w:space="0" w:color="auto"/>
        </w:rPr>
        <w:t xml:space="preserve"> Kelvin Dial and Andrew Dottin were</w:t>
      </w:r>
      <w:r w:rsidR="00E67823" w:rsidRPr="00CD52EE">
        <w:rPr>
          <w:rFonts w:asciiTheme="majorHAnsi" w:hAnsiTheme="majorHAnsi"/>
          <w:color w:val="000000"/>
          <w:sz w:val="20"/>
          <w:szCs w:val="20"/>
          <w:bdr w:val="none" w:sz="0" w:space="0" w:color="auto"/>
        </w:rPr>
        <w:t xml:space="preserve"> convicted by a</w:t>
      </w:r>
      <w:r w:rsidRPr="00CD52EE">
        <w:rPr>
          <w:rFonts w:asciiTheme="majorHAnsi" w:hAnsiTheme="majorHAnsi"/>
          <w:color w:val="000000"/>
          <w:sz w:val="20"/>
          <w:szCs w:val="20"/>
          <w:bdr w:val="none" w:sz="0" w:space="0" w:color="auto"/>
        </w:rPr>
        <w:t xml:space="preserve"> jury's unanimous verdict </w:t>
      </w:r>
      <w:r w:rsidR="007B796A" w:rsidRPr="00CD52EE">
        <w:rPr>
          <w:rFonts w:asciiTheme="majorHAnsi" w:hAnsiTheme="majorHAnsi"/>
          <w:color w:val="000000"/>
          <w:sz w:val="20"/>
          <w:szCs w:val="20"/>
          <w:bdr w:val="none" w:sz="0" w:space="0" w:color="auto"/>
        </w:rPr>
        <w:t xml:space="preserve">for </w:t>
      </w:r>
      <w:r w:rsidRPr="00CD52EE">
        <w:rPr>
          <w:rFonts w:asciiTheme="majorHAnsi" w:hAnsiTheme="majorHAnsi"/>
          <w:color w:val="000000"/>
          <w:sz w:val="20"/>
          <w:szCs w:val="20"/>
          <w:bdr w:val="none" w:sz="0" w:space="0" w:color="auto"/>
        </w:rPr>
        <w:t xml:space="preserve">the murder of Junior Baptiste </w:t>
      </w:r>
      <w:r w:rsidR="00E67823" w:rsidRPr="00CD52EE">
        <w:rPr>
          <w:rFonts w:asciiTheme="majorHAnsi" w:hAnsiTheme="majorHAnsi"/>
          <w:sz w:val="20"/>
          <w:szCs w:val="20"/>
        </w:rPr>
        <w:t>and sentenced to</w:t>
      </w:r>
      <w:r w:rsidR="00E104BE" w:rsidRPr="00CD52EE">
        <w:rPr>
          <w:rFonts w:asciiTheme="majorHAnsi" w:hAnsiTheme="majorHAnsi"/>
          <w:sz w:val="20"/>
          <w:szCs w:val="20"/>
        </w:rPr>
        <w:t xml:space="preserve"> the mandatory</w:t>
      </w:r>
      <w:r w:rsidR="00E67823" w:rsidRPr="00CD52EE">
        <w:rPr>
          <w:rFonts w:asciiTheme="majorHAnsi" w:hAnsiTheme="majorHAnsi"/>
          <w:sz w:val="20"/>
          <w:szCs w:val="20"/>
        </w:rPr>
        <w:t xml:space="preserve"> death</w:t>
      </w:r>
      <w:r w:rsidR="00E104BE" w:rsidRPr="00CD52EE">
        <w:rPr>
          <w:rFonts w:asciiTheme="majorHAnsi" w:hAnsiTheme="majorHAnsi"/>
          <w:sz w:val="20"/>
          <w:szCs w:val="20"/>
        </w:rPr>
        <w:t xml:space="preserve"> penalty</w:t>
      </w:r>
      <w:r w:rsidR="00E67823" w:rsidRPr="00CD52EE">
        <w:rPr>
          <w:rFonts w:asciiTheme="majorHAnsi" w:hAnsiTheme="majorHAnsi"/>
          <w:sz w:val="20"/>
          <w:szCs w:val="20"/>
        </w:rPr>
        <w:t xml:space="preserve"> by the High Court of Justice in Port of Spain</w:t>
      </w:r>
      <w:r w:rsidRPr="00CD52EE">
        <w:rPr>
          <w:rFonts w:asciiTheme="majorHAnsi" w:hAnsiTheme="majorHAnsi"/>
          <w:color w:val="000000"/>
          <w:sz w:val="20"/>
          <w:szCs w:val="20"/>
          <w:bdr w:val="none" w:sz="0" w:space="0" w:color="auto"/>
        </w:rPr>
        <w:t xml:space="preserve">. </w:t>
      </w:r>
    </w:p>
    <w:p w14:paraId="68B815FE" w14:textId="77777777" w:rsidR="00E67823" w:rsidRPr="00CD52EE" w:rsidRDefault="00E67823" w:rsidP="00E678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jc w:val="both"/>
        <w:textAlignment w:val="baseline"/>
        <w:rPr>
          <w:rFonts w:asciiTheme="majorHAnsi" w:hAnsiTheme="majorHAnsi"/>
          <w:sz w:val="20"/>
        </w:rPr>
      </w:pPr>
    </w:p>
    <w:p w14:paraId="79309599" w14:textId="77777777" w:rsidR="004E44C2" w:rsidRPr="00CD52EE" w:rsidRDefault="00E67823">
      <w:pPr>
        <w:pStyle w:val="Heading2"/>
        <w:numPr>
          <w:ilvl w:val="0"/>
          <w:numId w:val="65"/>
        </w:numPr>
        <w:tabs>
          <w:tab w:val="left" w:pos="360"/>
        </w:tabs>
        <w:spacing w:before="0"/>
        <w:ind w:hanging="720"/>
        <w:rPr>
          <w:color w:val="auto"/>
          <w:sz w:val="20"/>
          <w:szCs w:val="20"/>
        </w:rPr>
      </w:pPr>
      <w:bookmarkStart w:id="15" w:name="_Toc27740980"/>
      <w:bookmarkStart w:id="16" w:name="_Toc31893817"/>
      <w:bookmarkStart w:id="17" w:name="_Toc54798082"/>
      <w:r w:rsidRPr="00CD52EE">
        <w:rPr>
          <w:color w:val="auto"/>
          <w:sz w:val="20"/>
          <w:szCs w:val="20"/>
        </w:rPr>
        <w:t>Post-conviction</w:t>
      </w:r>
      <w:bookmarkEnd w:id="15"/>
      <w:bookmarkEnd w:id="16"/>
      <w:bookmarkEnd w:id="17"/>
    </w:p>
    <w:p w14:paraId="57E8171A" w14:textId="77777777" w:rsidR="00F63D11" w:rsidRPr="00CD52EE" w:rsidRDefault="00F63D11" w:rsidP="001E2B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7DCB187C" w14:textId="77777777" w:rsidR="00DA552A" w:rsidRPr="00CD52EE" w:rsidRDefault="00E04056" w:rsidP="001E2B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hAnsiTheme="majorHAnsi"/>
          <w:sz w:val="20"/>
          <w:szCs w:val="20"/>
        </w:rPr>
        <w:t>The alleged victims appealed their convictions and death sentences</w:t>
      </w:r>
      <w:r w:rsidR="00720030" w:rsidRPr="00CD52EE">
        <w:rPr>
          <w:rFonts w:asciiTheme="majorHAnsi" w:hAnsiTheme="majorHAnsi"/>
          <w:sz w:val="20"/>
          <w:szCs w:val="20"/>
        </w:rPr>
        <w:t xml:space="preserve"> </w:t>
      </w:r>
      <w:r w:rsidR="00E82B8E" w:rsidRPr="00CD52EE">
        <w:rPr>
          <w:rFonts w:asciiTheme="majorHAnsi" w:hAnsiTheme="majorHAnsi"/>
          <w:sz w:val="20"/>
          <w:szCs w:val="20"/>
        </w:rPr>
        <w:t>to</w:t>
      </w:r>
      <w:r w:rsidR="00720030" w:rsidRPr="00CD52EE">
        <w:rPr>
          <w:rFonts w:asciiTheme="majorHAnsi" w:hAnsiTheme="majorHAnsi"/>
          <w:sz w:val="20"/>
          <w:szCs w:val="20"/>
        </w:rPr>
        <w:t xml:space="preserve"> the Court of Appeal of Trinidad and Tobago</w:t>
      </w:r>
      <w:r w:rsidR="00565EB1">
        <w:rPr>
          <w:rFonts w:asciiTheme="majorHAnsi" w:hAnsiTheme="majorHAnsi"/>
          <w:sz w:val="20"/>
          <w:szCs w:val="20"/>
        </w:rPr>
        <w:t>.</w:t>
      </w:r>
      <w:r w:rsidR="00952FDC" w:rsidRPr="00CD52EE">
        <w:rPr>
          <w:rStyle w:val="FootnoteReference"/>
          <w:rFonts w:asciiTheme="majorHAnsi" w:hAnsiTheme="majorHAnsi"/>
          <w:sz w:val="20"/>
          <w:szCs w:val="20"/>
        </w:rPr>
        <w:footnoteReference w:id="22"/>
      </w:r>
      <w:r w:rsidRPr="00CD52EE">
        <w:rPr>
          <w:rFonts w:asciiTheme="majorHAnsi" w:hAnsiTheme="majorHAnsi"/>
          <w:sz w:val="20"/>
          <w:szCs w:val="20"/>
        </w:rPr>
        <w:t xml:space="preserve"> </w:t>
      </w:r>
      <w:r w:rsidR="00565EB1">
        <w:rPr>
          <w:rFonts w:asciiTheme="majorHAnsi" w:hAnsiTheme="majorHAnsi"/>
          <w:sz w:val="20"/>
          <w:szCs w:val="20"/>
        </w:rPr>
        <w:t>T</w:t>
      </w:r>
      <w:r w:rsidRPr="00CD52EE">
        <w:rPr>
          <w:rFonts w:asciiTheme="majorHAnsi" w:hAnsiTheme="majorHAnsi"/>
          <w:sz w:val="20"/>
          <w:szCs w:val="20"/>
        </w:rPr>
        <w:t xml:space="preserve">he Court of Appeal, in a judgment dated October 16, 1997, dismissed their appeals and affirmed their convictions. </w:t>
      </w:r>
      <w:r w:rsidR="00DA552A" w:rsidRPr="00CD52EE">
        <w:rPr>
          <w:rFonts w:asciiTheme="majorHAnsi" w:hAnsiTheme="majorHAnsi"/>
          <w:sz w:val="20"/>
          <w:szCs w:val="20"/>
        </w:rPr>
        <w:t xml:space="preserve">The grounds of appeal focused on the judge’s directions on identification and alibi and the judge’s refusal to give a joint enterprise direction. </w:t>
      </w:r>
    </w:p>
    <w:p w14:paraId="7377374B" w14:textId="77777777" w:rsidR="00DA552A" w:rsidRPr="00CD52EE" w:rsidRDefault="00DA552A" w:rsidP="00DA55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3F9127F7" w14:textId="77777777" w:rsidR="0027412A" w:rsidRPr="00CD52EE" w:rsidRDefault="00DA552A" w:rsidP="002E50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hAnsiTheme="majorHAnsi"/>
          <w:sz w:val="20"/>
          <w:szCs w:val="20"/>
        </w:rPr>
        <w:t xml:space="preserve">These claims formed the basis of the alleged victims’ appeal to the </w:t>
      </w:r>
      <w:r w:rsidR="00D7109B" w:rsidRPr="00CD52EE">
        <w:rPr>
          <w:rFonts w:asciiTheme="majorHAnsi" w:hAnsiTheme="majorHAnsi"/>
          <w:sz w:val="20"/>
          <w:szCs w:val="20"/>
        </w:rPr>
        <w:t xml:space="preserve">Board of the </w:t>
      </w:r>
      <w:r w:rsidRPr="00CD52EE">
        <w:rPr>
          <w:rFonts w:asciiTheme="majorHAnsi" w:hAnsiTheme="majorHAnsi"/>
          <w:sz w:val="20"/>
          <w:szCs w:val="20"/>
        </w:rPr>
        <w:t>Privy Council</w:t>
      </w:r>
      <w:r w:rsidR="00D7109B" w:rsidRPr="00CD52EE">
        <w:rPr>
          <w:rFonts w:asciiTheme="majorHAnsi" w:hAnsiTheme="majorHAnsi"/>
          <w:sz w:val="20"/>
          <w:szCs w:val="20"/>
        </w:rPr>
        <w:t xml:space="preserve"> for special leave</w:t>
      </w:r>
      <w:r w:rsidR="00023F31" w:rsidRPr="00CD52EE">
        <w:rPr>
          <w:rFonts w:asciiTheme="majorHAnsi" w:hAnsiTheme="majorHAnsi"/>
          <w:sz w:val="20"/>
          <w:szCs w:val="20"/>
        </w:rPr>
        <w:t>, to which</w:t>
      </w:r>
      <w:r w:rsidR="00952FDC" w:rsidRPr="00CD52EE">
        <w:rPr>
          <w:rFonts w:asciiTheme="majorHAnsi" w:hAnsiTheme="majorHAnsi"/>
          <w:sz w:val="20"/>
          <w:szCs w:val="20"/>
        </w:rPr>
        <w:t xml:space="preserve"> </w:t>
      </w:r>
      <w:r w:rsidRPr="00CD52EE">
        <w:rPr>
          <w:rFonts w:asciiTheme="majorHAnsi" w:hAnsiTheme="majorHAnsi"/>
          <w:sz w:val="20"/>
          <w:szCs w:val="20"/>
        </w:rPr>
        <w:t xml:space="preserve">was added </w:t>
      </w:r>
      <w:r w:rsidR="00D64447" w:rsidRPr="00CD52EE">
        <w:rPr>
          <w:rFonts w:asciiTheme="majorHAnsi" w:hAnsiTheme="majorHAnsi"/>
          <w:sz w:val="20"/>
          <w:szCs w:val="20"/>
        </w:rPr>
        <w:t>a supplementary petition of February 18, 1999</w:t>
      </w:r>
      <w:r w:rsidR="008B016E">
        <w:rPr>
          <w:rFonts w:asciiTheme="majorHAnsi" w:hAnsiTheme="majorHAnsi"/>
          <w:sz w:val="20"/>
          <w:szCs w:val="20"/>
        </w:rPr>
        <w:t>,</w:t>
      </w:r>
      <w:r w:rsidR="00D64447" w:rsidRPr="00CD52EE">
        <w:rPr>
          <w:rFonts w:asciiTheme="majorHAnsi" w:hAnsiTheme="majorHAnsi"/>
          <w:sz w:val="20"/>
          <w:szCs w:val="20"/>
        </w:rPr>
        <w:t xml:space="preserve"> containing a</w:t>
      </w:r>
      <w:r w:rsidRPr="00CD52EE">
        <w:rPr>
          <w:rFonts w:asciiTheme="majorHAnsi" w:hAnsiTheme="majorHAnsi"/>
          <w:sz w:val="20"/>
          <w:szCs w:val="20"/>
        </w:rPr>
        <w:t xml:space="preserve"> dispute over the ballistics evidence</w:t>
      </w:r>
      <w:r w:rsidR="00090609" w:rsidRPr="00CD52EE">
        <w:rPr>
          <w:rFonts w:asciiTheme="majorHAnsi" w:hAnsiTheme="majorHAnsi"/>
          <w:sz w:val="20"/>
          <w:szCs w:val="20"/>
        </w:rPr>
        <w:t xml:space="preserve">, supported by </w:t>
      </w:r>
      <w:r w:rsidRPr="00CD52EE">
        <w:rPr>
          <w:rFonts w:asciiTheme="majorHAnsi" w:hAnsiTheme="majorHAnsi"/>
          <w:sz w:val="20"/>
          <w:szCs w:val="20"/>
        </w:rPr>
        <w:t xml:space="preserve">a report from a ballistics expert </w:t>
      </w:r>
      <w:r w:rsidR="00090609" w:rsidRPr="00CD52EE">
        <w:rPr>
          <w:rFonts w:asciiTheme="majorHAnsi" w:hAnsiTheme="majorHAnsi"/>
          <w:sz w:val="20"/>
          <w:szCs w:val="20"/>
        </w:rPr>
        <w:t xml:space="preserve">of June 4, 1998 </w:t>
      </w:r>
      <w:r w:rsidRPr="00CD52EE">
        <w:rPr>
          <w:rFonts w:asciiTheme="majorHAnsi" w:hAnsiTheme="majorHAnsi"/>
          <w:sz w:val="20"/>
          <w:szCs w:val="20"/>
        </w:rPr>
        <w:t>which strongly suggested that the revolver allegedly used in the attack was not in fact used</w:t>
      </w:r>
      <w:r w:rsidR="009E325A" w:rsidRPr="00CD52EE">
        <w:rPr>
          <w:rFonts w:asciiTheme="majorHAnsi" w:hAnsiTheme="majorHAnsi"/>
          <w:sz w:val="20"/>
          <w:szCs w:val="20"/>
        </w:rPr>
        <w:t>.</w:t>
      </w:r>
      <w:r w:rsidR="00826904" w:rsidRPr="00CD52EE">
        <w:rPr>
          <w:rStyle w:val="FootnoteReference"/>
          <w:rFonts w:asciiTheme="majorHAnsi" w:hAnsiTheme="majorHAnsi"/>
          <w:sz w:val="20"/>
          <w:szCs w:val="20"/>
        </w:rPr>
        <w:footnoteReference w:id="23"/>
      </w:r>
      <w:r w:rsidRPr="00CD52EE">
        <w:rPr>
          <w:rFonts w:asciiTheme="majorHAnsi" w:hAnsiTheme="majorHAnsi"/>
          <w:sz w:val="20"/>
          <w:szCs w:val="20"/>
        </w:rPr>
        <w:t xml:space="preserve"> </w:t>
      </w:r>
      <w:r w:rsidR="00D7109B" w:rsidRPr="00CD52EE">
        <w:rPr>
          <w:rFonts w:asciiTheme="majorHAnsi" w:hAnsiTheme="majorHAnsi"/>
          <w:sz w:val="20"/>
          <w:szCs w:val="20"/>
        </w:rPr>
        <w:t>The petitions were dismissed by the Board on April 28</w:t>
      </w:r>
      <w:r w:rsidR="00CE0AA6" w:rsidRPr="00CD52EE">
        <w:rPr>
          <w:rFonts w:asciiTheme="majorHAnsi" w:hAnsiTheme="majorHAnsi"/>
          <w:sz w:val="20"/>
          <w:szCs w:val="20"/>
        </w:rPr>
        <w:t>,</w:t>
      </w:r>
      <w:r w:rsidR="00D7109B" w:rsidRPr="00CD52EE">
        <w:rPr>
          <w:rFonts w:asciiTheme="majorHAnsi" w:hAnsiTheme="majorHAnsi"/>
          <w:sz w:val="20"/>
          <w:szCs w:val="20"/>
        </w:rPr>
        <w:t xml:space="preserve"> 1999</w:t>
      </w:r>
      <w:r w:rsidR="00FE21DA" w:rsidRPr="00CD52EE">
        <w:rPr>
          <w:rFonts w:asciiTheme="majorHAnsi" w:hAnsiTheme="majorHAnsi"/>
          <w:sz w:val="20"/>
          <w:szCs w:val="20"/>
        </w:rPr>
        <w:t>.</w:t>
      </w:r>
      <w:r w:rsidR="007C0DC1" w:rsidRPr="00CD52EE">
        <w:rPr>
          <w:rStyle w:val="FootnoteReference"/>
          <w:rFonts w:asciiTheme="majorHAnsi" w:hAnsiTheme="majorHAnsi"/>
          <w:sz w:val="20"/>
          <w:szCs w:val="20"/>
        </w:rPr>
        <w:footnoteReference w:id="24"/>
      </w:r>
      <w:r w:rsidR="00D7109B" w:rsidRPr="00CD52EE">
        <w:rPr>
          <w:rFonts w:asciiTheme="majorHAnsi" w:hAnsiTheme="majorHAnsi"/>
          <w:sz w:val="20"/>
          <w:szCs w:val="20"/>
        </w:rPr>
        <w:t xml:space="preserve"> </w:t>
      </w:r>
    </w:p>
    <w:p w14:paraId="3EB701FA" w14:textId="77777777" w:rsidR="0027412A" w:rsidRPr="00CD52EE" w:rsidRDefault="0027412A" w:rsidP="005741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0DD3A618" w14:textId="77777777" w:rsidR="003A773F" w:rsidRPr="00CD52EE" w:rsidRDefault="003D54BC" w:rsidP="008D16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hAnsiTheme="majorHAnsi"/>
          <w:sz w:val="20"/>
          <w:szCs w:val="20"/>
        </w:rPr>
        <w:lastRenderedPageBreak/>
        <w:t>As found within the facts and procedural history outlined within the case before the Privy Council</w:t>
      </w:r>
      <w:r w:rsidR="009E325A" w:rsidRPr="00CD52EE">
        <w:rPr>
          <w:rFonts w:asciiTheme="majorHAnsi" w:hAnsiTheme="majorHAnsi"/>
          <w:sz w:val="20"/>
          <w:szCs w:val="20"/>
        </w:rPr>
        <w:t>,</w:t>
      </w:r>
      <w:r w:rsidRPr="00CD52EE">
        <w:rPr>
          <w:rStyle w:val="FootnoteReference"/>
          <w:rFonts w:asciiTheme="majorHAnsi" w:hAnsiTheme="majorHAnsi"/>
          <w:sz w:val="20"/>
          <w:szCs w:val="20"/>
        </w:rPr>
        <w:footnoteReference w:id="25"/>
      </w:r>
      <w:r w:rsidRPr="00CD52EE">
        <w:rPr>
          <w:rFonts w:asciiTheme="majorHAnsi" w:hAnsiTheme="majorHAnsi"/>
          <w:sz w:val="20"/>
          <w:szCs w:val="20"/>
        </w:rPr>
        <w:t xml:space="preserve"> </w:t>
      </w:r>
      <w:r w:rsidR="007C0DC1" w:rsidRPr="00CD52EE">
        <w:rPr>
          <w:rFonts w:asciiTheme="majorHAnsi" w:hAnsiTheme="majorHAnsi"/>
          <w:sz w:val="20"/>
          <w:szCs w:val="20"/>
        </w:rPr>
        <w:t>Shawn Baptiste and Alicia Henry swore affidavits, respectively on July 9, 1999 and October 15, 1999, retracting the evidence they had given at trial.</w:t>
      </w:r>
      <w:r w:rsidR="004451A8" w:rsidRPr="00CD52EE">
        <w:rPr>
          <w:rFonts w:asciiTheme="majorHAnsi" w:hAnsiTheme="majorHAnsi"/>
          <w:sz w:val="20"/>
          <w:szCs w:val="20"/>
        </w:rPr>
        <w:t xml:space="preserve"> </w:t>
      </w:r>
      <w:r w:rsidR="003A773F" w:rsidRPr="00CD52EE">
        <w:rPr>
          <w:rFonts w:asciiTheme="majorHAnsi" w:hAnsiTheme="majorHAnsi"/>
          <w:sz w:val="20"/>
          <w:szCs w:val="20"/>
        </w:rPr>
        <w:t>S</w:t>
      </w:r>
      <w:r w:rsidR="00F50DBF" w:rsidRPr="00CD52EE">
        <w:rPr>
          <w:rFonts w:asciiTheme="majorHAnsi" w:hAnsiTheme="majorHAnsi"/>
          <w:sz w:val="20"/>
          <w:szCs w:val="20"/>
        </w:rPr>
        <w:t>pecifically, S</w:t>
      </w:r>
      <w:r w:rsidR="003A773F" w:rsidRPr="00CD52EE">
        <w:rPr>
          <w:rFonts w:asciiTheme="majorHAnsi" w:hAnsiTheme="majorHAnsi"/>
          <w:sz w:val="20"/>
          <w:szCs w:val="20"/>
        </w:rPr>
        <w:t>hawn Baptiste</w:t>
      </w:r>
      <w:r w:rsidR="004451A8" w:rsidRPr="00CD52EE">
        <w:rPr>
          <w:rFonts w:asciiTheme="majorHAnsi" w:hAnsiTheme="majorHAnsi"/>
          <w:sz w:val="20"/>
          <w:szCs w:val="20"/>
        </w:rPr>
        <w:t>’s affidavit contained the following assertions, among others:</w:t>
      </w:r>
      <w:r w:rsidR="003A773F" w:rsidRPr="00CD52EE">
        <w:rPr>
          <w:rFonts w:asciiTheme="majorHAnsi" w:hAnsiTheme="majorHAnsi"/>
          <w:sz w:val="20"/>
          <w:szCs w:val="20"/>
        </w:rPr>
        <w:t xml:space="preserve"> </w:t>
      </w:r>
      <w:r w:rsidR="004451A8" w:rsidRPr="00CD52EE">
        <w:rPr>
          <w:rFonts w:asciiTheme="majorHAnsi" w:hAnsiTheme="majorHAnsi"/>
          <w:sz w:val="20"/>
          <w:szCs w:val="20"/>
        </w:rPr>
        <w:t>that he</w:t>
      </w:r>
      <w:r w:rsidR="003A773F" w:rsidRPr="00CD52EE">
        <w:rPr>
          <w:rFonts w:asciiTheme="majorHAnsi" w:hAnsiTheme="majorHAnsi"/>
          <w:sz w:val="20"/>
          <w:szCs w:val="20"/>
        </w:rPr>
        <w:t xml:space="preserve"> lied </w:t>
      </w:r>
      <w:r w:rsidR="004451A8" w:rsidRPr="00CD52EE">
        <w:rPr>
          <w:rFonts w:asciiTheme="majorHAnsi" w:hAnsiTheme="majorHAnsi"/>
          <w:sz w:val="20"/>
          <w:szCs w:val="20"/>
        </w:rPr>
        <w:t xml:space="preserve">about the </w:t>
      </w:r>
      <w:r w:rsidR="004451A8" w:rsidRPr="00E03CB6">
        <w:rPr>
          <w:rFonts w:asciiTheme="majorHAnsi" w:hAnsiTheme="majorHAnsi"/>
          <w:sz w:val="20"/>
          <w:szCs w:val="20"/>
        </w:rPr>
        <w:t xml:space="preserve">identification of the gunmen, who he claimed were masked at the time; further than only one had a gun and the revolver found by the police was possibly brought into the apartment by </w:t>
      </w:r>
      <w:r w:rsidR="004451A8" w:rsidRPr="00D8238D">
        <w:rPr>
          <w:rFonts w:asciiTheme="majorHAnsi" w:hAnsiTheme="majorHAnsi"/>
          <w:sz w:val="20"/>
          <w:szCs w:val="20"/>
        </w:rPr>
        <w:t>Junior. Moreover, that his original statement about the identification of the assailants was as a result of being threatened by the police and later due to threats by unarmed individuals</w:t>
      </w:r>
      <w:r w:rsidR="004451A8" w:rsidRPr="00E03CB6">
        <w:rPr>
          <w:rFonts w:asciiTheme="majorHAnsi" w:hAnsiTheme="majorHAnsi"/>
          <w:sz w:val="20"/>
          <w:szCs w:val="20"/>
        </w:rPr>
        <w:t>. In</w:t>
      </w:r>
      <w:r w:rsidR="004451A8" w:rsidRPr="00CD52EE">
        <w:rPr>
          <w:rFonts w:asciiTheme="majorHAnsi" w:hAnsiTheme="majorHAnsi"/>
          <w:sz w:val="20"/>
          <w:szCs w:val="20"/>
        </w:rPr>
        <w:t xml:space="preserve"> this respect the Council took note that under oath, Shawn Baptiste, made no such claims of being threatened by the police, save for stating that he felt pressured to make his statement.</w:t>
      </w:r>
      <w:r w:rsidR="000333D6" w:rsidRPr="00CD52EE">
        <w:rPr>
          <w:rFonts w:asciiTheme="majorHAnsi" w:hAnsiTheme="majorHAnsi"/>
          <w:sz w:val="20"/>
          <w:szCs w:val="20"/>
        </w:rPr>
        <w:t xml:space="preserve"> He also confirmed that prior to trial, he </w:t>
      </w:r>
      <w:r w:rsidR="00F9596D" w:rsidRPr="00CD52EE">
        <w:rPr>
          <w:rFonts w:asciiTheme="majorHAnsi" w:hAnsiTheme="majorHAnsi"/>
          <w:sz w:val="20"/>
          <w:szCs w:val="20"/>
        </w:rPr>
        <w:t xml:space="preserve">and his mother </w:t>
      </w:r>
      <w:r w:rsidR="000333D6" w:rsidRPr="00CD52EE">
        <w:rPr>
          <w:rFonts w:asciiTheme="majorHAnsi" w:hAnsiTheme="majorHAnsi"/>
          <w:sz w:val="20"/>
          <w:szCs w:val="20"/>
        </w:rPr>
        <w:t xml:space="preserve">received threats from </w:t>
      </w:r>
      <w:r w:rsidR="00F9596D" w:rsidRPr="00CD52EE">
        <w:rPr>
          <w:rFonts w:asciiTheme="majorHAnsi" w:hAnsiTheme="majorHAnsi"/>
          <w:sz w:val="20"/>
          <w:szCs w:val="20"/>
        </w:rPr>
        <w:t xml:space="preserve">relatives of Mr. Dial and Mr. Dottin, and reported this to a Sergeant Carrington, who confirmed the facts. </w:t>
      </w:r>
      <w:r w:rsidR="000333D6" w:rsidRPr="00CD52EE">
        <w:rPr>
          <w:rFonts w:asciiTheme="majorHAnsi" w:hAnsiTheme="majorHAnsi"/>
          <w:sz w:val="20"/>
          <w:szCs w:val="20"/>
        </w:rPr>
        <w:t xml:space="preserve">As regards </w:t>
      </w:r>
      <w:r w:rsidR="008D74BD" w:rsidRPr="00CD52EE">
        <w:rPr>
          <w:rFonts w:ascii="Cambria" w:hAnsi="Cambria"/>
          <w:sz w:val="20"/>
          <w:szCs w:val="20"/>
        </w:rPr>
        <w:t>Ms. Henry</w:t>
      </w:r>
      <w:r w:rsidR="000333D6" w:rsidRPr="00CD52EE">
        <w:rPr>
          <w:rFonts w:asciiTheme="majorHAnsi" w:hAnsiTheme="majorHAnsi"/>
          <w:sz w:val="20"/>
          <w:szCs w:val="20"/>
        </w:rPr>
        <w:t>, she claimed that her or</w:t>
      </w:r>
      <w:r w:rsidR="00F9596D" w:rsidRPr="00CD52EE">
        <w:rPr>
          <w:rFonts w:asciiTheme="majorHAnsi" w:hAnsiTheme="majorHAnsi"/>
          <w:sz w:val="20"/>
          <w:szCs w:val="20"/>
        </w:rPr>
        <w:t>iginal statement was drafted for</w:t>
      </w:r>
      <w:r w:rsidR="000333D6" w:rsidRPr="00CD52EE">
        <w:rPr>
          <w:rFonts w:asciiTheme="majorHAnsi" w:hAnsiTheme="majorHAnsi"/>
          <w:sz w:val="20"/>
          <w:szCs w:val="20"/>
        </w:rPr>
        <w:t xml:space="preserve"> her and she was instructed to read and rehearse it; and gave such evidence at the trial. The Council noted that her evidence to the Court of Appeal was different, which declared that both her police statement and trial evidence was voluntarily given and true</w:t>
      </w:r>
      <w:r w:rsidR="0011101F" w:rsidRPr="00CD52EE">
        <w:rPr>
          <w:rFonts w:asciiTheme="majorHAnsi" w:hAnsiTheme="majorHAnsi"/>
          <w:sz w:val="20"/>
          <w:szCs w:val="20"/>
        </w:rPr>
        <w:t>.</w:t>
      </w:r>
      <w:r w:rsidR="008F7046" w:rsidRPr="00CD52EE">
        <w:rPr>
          <w:rStyle w:val="FootnoteReference"/>
          <w:rFonts w:asciiTheme="majorHAnsi" w:hAnsiTheme="majorHAnsi"/>
          <w:sz w:val="20"/>
          <w:szCs w:val="20"/>
        </w:rPr>
        <w:footnoteReference w:id="26"/>
      </w:r>
    </w:p>
    <w:p w14:paraId="0B97AB22" w14:textId="77777777" w:rsidR="0057410C" w:rsidRPr="00A272FE" w:rsidRDefault="0057410C" w:rsidP="0084747D">
      <w:pPr>
        <w:rPr>
          <w:rFonts w:asciiTheme="majorHAnsi" w:hAnsiTheme="majorHAnsi"/>
          <w:sz w:val="20"/>
          <w:szCs w:val="20"/>
        </w:rPr>
      </w:pPr>
    </w:p>
    <w:p w14:paraId="548CE49B" w14:textId="77777777" w:rsidR="00CD2DB6" w:rsidRPr="00CD52EE" w:rsidRDefault="006D2678" w:rsidP="00710E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On October 26, 1999, a</w:t>
      </w:r>
      <w:r w:rsidR="007C0DC1" w:rsidRPr="00CD52EE">
        <w:rPr>
          <w:rFonts w:asciiTheme="majorHAnsi" w:hAnsiTheme="majorHAnsi"/>
          <w:sz w:val="20"/>
          <w:szCs w:val="20"/>
        </w:rPr>
        <w:t xml:space="preserve"> further petition was presented </w:t>
      </w:r>
      <w:r w:rsidR="00023F31" w:rsidRPr="00CD52EE">
        <w:rPr>
          <w:rFonts w:asciiTheme="majorHAnsi" w:hAnsiTheme="majorHAnsi"/>
          <w:sz w:val="20"/>
          <w:szCs w:val="20"/>
        </w:rPr>
        <w:t>to the</w:t>
      </w:r>
      <w:r w:rsidR="003E41A2" w:rsidRPr="00CD52EE">
        <w:rPr>
          <w:rFonts w:asciiTheme="majorHAnsi" w:hAnsiTheme="majorHAnsi"/>
          <w:sz w:val="20"/>
          <w:szCs w:val="20"/>
        </w:rPr>
        <w:t xml:space="preserve"> </w:t>
      </w:r>
      <w:r w:rsidR="00023F31" w:rsidRPr="00CD52EE">
        <w:rPr>
          <w:rFonts w:asciiTheme="majorHAnsi" w:hAnsiTheme="majorHAnsi"/>
          <w:sz w:val="20"/>
          <w:szCs w:val="20"/>
        </w:rPr>
        <w:t xml:space="preserve">Board of the Privy Council </w:t>
      </w:r>
      <w:r w:rsidR="007C0DC1" w:rsidRPr="00CD52EE">
        <w:rPr>
          <w:rFonts w:asciiTheme="majorHAnsi" w:hAnsiTheme="majorHAnsi"/>
          <w:sz w:val="20"/>
          <w:szCs w:val="20"/>
        </w:rPr>
        <w:t xml:space="preserve">based on Shawn Baptiste’s and Alicia Henry’s retraction of their evidence, but was withdrawn and replaced with a petition seeking the reference of the case to the Court of Appeal </w:t>
      </w:r>
      <w:r w:rsidRPr="00CD52EE">
        <w:rPr>
          <w:rFonts w:asciiTheme="majorHAnsi" w:hAnsiTheme="majorHAnsi"/>
          <w:sz w:val="20"/>
          <w:szCs w:val="20"/>
        </w:rPr>
        <w:t xml:space="preserve">of Trinidad and Tobago </w:t>
      </w:r>
      <w:r w:rsidR="007C0DC1" w:rsidRPr="00CD52EE">
        <w:rPr>
          <w:rFonts w:asciiTheme="majorHAnsi" w:hAnsiTheme="majorHAnsi"/>
          <w:sz w:val="20"/>
          <w:szCs w:val="20"/>
        </w:rPr>
        <w:t xml:space="preserve">for consideration of fresh evidence. The case was referred on April 26, 2001 and heard by the court on July 5 and 6, 2001; the appeal was </w:t>
      </w:r>
      <w:r w:rsidR="0057410C" w:rsidRPr="00CD52EE">
        <w:rPr>
          <w:rFonts w:asciiTheme="majorHAnsi" w:hAnsiTheme="majorHAnsi"/>
          <w:sz w:val="20"/>
          <w:szCs w:val="20"/>
        </w:rPr>
        <w:t>dismissed,</w:t>
      </w:r>
      <w:r w:rsidR="007C0DC1" w:rsidRPr="00CD52EE">
        <w:rPr>
          <w:rFonts w:asciiTheme="majorHAnsi" w:hAnsiTheme="majorHAnsi"/>
          <w:sz w:val="20"/>
          <w:szCs w:val="20"/>
        </w:rPr>
        <w:t xml:space="preserve"> and the convictions affirmed. The alleged victims appealed that decision to the Board of the Privy Council and special leave for the appeal was granted on February 20, 2003</w:t>
      </w:r>
      <w:r w:rsidR="00FE21DA" w:rsidRPr="00CD52EE">
        <w:rPr>
          <w:rFonts w:asciiTheme="majorHAnsi" w:hAnsiTheme="majorHAnsi"/>
          <w:sz w:val="20"/>
          <w:szCs w:val="20"/>
        </w:rPr>
        <w:t>.</w:t>
      </w:r>
      <w:r w:rsidR="007C0DC1" w:rsidRPr="00CD52EE">
        <w:rPr>
          <w:rStyle w:val="FootnoteReference"/>
          <w:rFonts w:asciiTheme="majorHAnsi" w:hAnsiTheme="majorHAnsi"/>
          <w:sz w:val="20"/>
          <w:szCs w:val="20"/>
        </w:rPr>
        <w:footnoteReference w:id="27"/>
      </w:r>
      <w:r w:rsidR="0048368F" w:rsidRPr="00CD52EE">
        <w:rPr>
          <w:rFonts w:asciiTheme="majorHAnsi" w:hAnsiTheme="majorHAnsi"/>
          <w:sz w:val="20"/>
          <w:szCs w:val="20"/>
        </w:rPr>
        <w:t xml:space="preserve"> </w:t>
      </w:r>
    </w:p>
    <w:p w14:paraId="3C2B036C" w14:textId="77777777" w:rsidR="00856A9D" w:rsidRPr="00CD52EE" w:rsidRDefault="00856A9D" w:rsidP="00856A9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592F1C67" w14:textId="77777777" w:rsidR="0048368F" w:rsidRPr="00CD52EE" w:rsidRDefault="00856A9D" w:rsidP="008E3B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Within the appeal</w:t>
      </w:r>
      <w:r w:rsidRPr="00CD52EE">
        <w:rPr>
          <w:rStyle w:val="FootnoteReference"/>
          <w:rFonts w:asciiTheme="majorHAnsi" w:hAnsiTheme="majorHAnsi"/>
          <w:sz w:val="20"/>
          <w:szCs w:val="20"/>
        </w:rPr>
        <w:footnoteReference w:id="28"/>
      </w:r>
      <w:r w:rsidR="002B49F8" w:rsidRPr="00CD52EE">
        <w:rPr>
          <w:rFonts w:asciiTheme="majorHAnsi" w:hAnsiTheme="majorHAnsi"/>
          <w:sz w:val="20"/>
          <w:szCs w:val="20"/>
        </w:rPr>
        <w:t xml:space="preserve"> </w:t>
      </w:r>
      <w:r w:rsidR="0034351C" w:rsidRPr="00CD52EE">
        <w:rPr>
          <w:rFonts w:asciiTheme="majorHAnsi" w:hAnsiTheme="majorHAnsi"/>
          <w:sz w:val="20"/>
          <w:szCs w:val="20"/>
        </w:rPr>
        <w:t xml:space="preserve">the Council recognized that </w:t>
      </w:r>
      <w:r w:rsidR="002B49F8" w:rsidRPr="00CD52EE">
        <w:rPr>
          <w:rFonts w:asciiTheme="majorHAnsi" w:hAnsiTheme="majorHAnsi"/>
          <w:sz w:val="20"/>
          <w:szCs w:val="20"/>
        </w:rPr>
        <w:t xml:space="preserve">Shawn Baptiste alone gave evidence identifying the appellants (Mr. Dial and Mr. Dottin). </w:t>
      </w:r>
      <w:r w:rsidR="008E3BAE" w:rsidRPr="00CD52EE">
        <w:rPr>
          <w:rFonts w:asciiTheme="majorHAnsi" w:hAnsiTheme="majorHAnsi"/>
          <w:sz w:val="20"/>
          <w:szCs w:val="20"/>
        </w:rPr>
        <w:t xml:space="preserve"> </w:t>
      </w:r>
      <w:r w:rsidR="00CD2DB6" w:rsidRPr="00CD52EE">
        <w:rPr>
          <w:rFonts w:asciiTheme="majorHAnsi" w:hAnsiTheme="majorHAnsi"/>
          <w:sz w:val="20"/>
          <w:szCs w:val="20"/>
        </w:rPr>
        <w:t>In the hearing</w:t>
      </w:r>
      <w:r w:rsidR="004B79FF" w:rsidRPr="00CD52EE">
        <w:rPr>
          <w:rFonts w:asciiTheme="majorHAnsi" w:hAnsiTheme="majorHAnsi"/>
          <w:sz w:val="20"/>
          <w:szCs w:val="20"/>
        </w:rPr>
        <w:t>,</w:t>
      </w:r>
      <w:r w:rsidR="00CD2DB6" w:rsidRPr="00CD52EE">
        <w:rPr>
          <w:rFonts w:asciiTheme="majorHAnsi" w:hAnsiTheme="majorHAnsi"/>
          <w:sz w:val="20"/>
          <w:szCs w:val="20"/>
        </w:rPr>
        <w:t xml:space="preserve"> t</w:t>
      </w:r>
      <w:r w:rsidR="0048368F" w:rsidRPr="00CD52EE">
        <w:rPr>
          <w:rFonts w:asciiTheme="majorHAnsi" w:eastAsia="Times New Roman" w:hAnsiTheme="majorHAnsi"/>
          <w:sz w:val="20"/>
          <w:szCs w:val="20"/>
        </w:rPr>
        <w:t>he Privy Council noted of the eyewitness evidence that:</w:t>
      </w:r>
      <w:r w:rsidR="0048368F" w:rsidRPr="00CD52EE">
        <w:rPr>
          <w:rStyle w:val="FootnoteReference"/>
          <w:rFonts w:asciiTheme="majorHAnsi" w:hAnsiTheme="majorHAnsi"/>
          <w:color w:val="000000"/>
          <w:sz w:val="20"/>
          <w:szCs w:val="20"/>
          <w:bdr w:val="none" w:sz="0" w:space="0" w:color="auto"/>
        </w:rPr>
        <w:footnoteReference w:id="29"/>
      </w:r>
    </w:p>
    <w:p w14:paraId="7F6170E8" w14:textId="77777777" w:rsidR="0048368F" w:rsidRPr="00CD52EE" w:rsidRDefault="0048368F" w:rsidP="0048368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58357E26" w14:textId="77777777" w:rsidR="0048368F" w:rsidRPr="00CD52EE" w:rsidRDefault="0048368F" w:rsidP="0078071D">
      <w:pPr>
        <w:spacing w:beforeLines="1" w:before="2" w:afterLines="1" w:after="2"/>
        <w:ind w:left="360" w:right="360"/>
        <w:jc w:val="both"/>
        <w:rPr>
          <w:rFonts w:asciiTheme="majorHAnsi" w:hAnsiTheme="majorHAnsi"/>
          <w:color w:val="000000"/>
          <w:sz w:val="18"/>
          <w:szCs w:val="20"/>
          <w:bdr w:val="none" w:sz="0" w:space="0" w:color="auto"/>
        </w:rPr>
      </w:pPr>
      <w:r w:rsidRPr="00CD52EE">
        <w:rPr>
          <w:rFonts w:asciiTheme="majorHAnsi" w:hAnsiTheme="majorHAnsi"/>
          <w:color w:val="000000"/>
          <w:sz w:val="18"/>
          <w:szCs w:val="20"/>
          <w:bdr w:val="none" w:sz="0" w:space="0" w:color="auto"/>
        </w:rPr>
        <w:t xml:space="preserve">Shawn was far and away the most important prosecution witness: he alone gave evidence identifying the appellants, whom he knew as associates of Junior, as the killers. </w:t>
      </w:r>
    </w:p>
    <w:p w14:paraId="17355A0A" w14:textId="77777777" w:rsidR="0048368F" w:rsidRPr="00CD52EE" w:rsidRDefault="0048368F" w:rsidP="0078071D">
      <w:pPr>
        <w:spacing w:beforeLines="1" w:before="2" w:afterLines="1" w:after="2"/>
        <w:ind w:left="360" w:right="360"/>
        <w:jc w:val="both"/>
        <w:rPr>
          <w:rFonts w:asciiTheme="majorHAnsi" w:hAnsiTheme="majorHAnsi"/>
          <w:color w:val="000000"/>
          <w:sz w:val="18"/>
          <w:szCs w:val="20"/>
          <w:bdr w:val="none" w:sz="0" w:space="0" w:color="auto"/>
        </w:rPr>
      </w:pPr>
      <w:r w:rsidRPr="00CD52EE">
        <w:rPr>
          <w:rFonts w:asciiTheme="majorHAnsi" w:hAnsiTheme="majorHAnsi"/>
          <w:color w:val="000000"/>
          <w:sz w:val="18"/>
          <w:szCs w:val="20"/>
          <w:bdr w:val="none" w:sz="0" w:space="0" w:color="auto"/>
        </w:rPr>
        <w:t>[…]</w:t>
      </w:r>
    </w:p>
    <w:p w14:paraId="74CBEA20" w14:textId="77777777" w:rsidR="0048368F" w:rsidRPr="00CD52EE" w:rsidRDefault="0048368F" w:rsidP="0078071D">
      <w:pPr>
        <w:spacing w:beforeLines="1" w:before="2" w:afterLines="1" w:after="2"/>
        <w:ind w:left="360" w:right="360"/>
        <w:jc w:val="both"/>
        <w:rPr>
          <w:rFonts w:asciiTheme="majorHAnsi" w:hAnsiTheme="majorHAnsi"/>
          <w:color w:val="000000"/>
          <w:sz w:val="18"/>
          <w:szCs w:val="20"/>
          <w:bdr w:val="none" w:sz="0" w:space="0" w:color="auto"/>
        </w:rPr>
      </w:pPr>
      <w:r w:rsidRPr="00CD52EE">
        <w:rPr>
          <w:rFonts w:asciiTheme="majorHAnsi" w:hAnsiTheme="majorHAnsi"/>
          <w:color w:val="000000"/>
          <w:sz w:val="18"/>
          <w:szCs w:val="20"/>
          <w:bdr w:val="none" w:sz="0" w:space="0" w:color="auto"/>
        </w:rPr>
        <w:t>In one part of his evidence at the trial (although not his evidence identifying the appellants as the killers) Shawn is now conclusively shown to have lied.</w:t>
      </w:r>
    </w:p>
    <w:p w14:paraId="4DE1CC2E" w14:textId="77777777" w:rsidR="0048368F" w:rsidRPr="00CD52EE" w:rsidRDefault="0048368F" w:rsidP="0078071D">
      <w:pPr>
        <w:spacing w:beforeLines="1" w:before="2" w:afterLines="1" w:after="2"/>
        <w:rPr>
          <w:rFonts w:ascii="-webkit-standard" w:hAnsi="-webkit-standard"/>
          <w:color w:val="000000"/>
          <w:sz w:val="20"/>
          <w:szCs w:val="20"/>
          <w:bdr w:val="none" w:sz="0" w:space="0" w:color="auto"/>
        </w:rPr>
      </w:pPr>
    </w:p>
    <w:p w14:paraId="6A62D29B" w14:textId="77777777" w:rsidR="00852CE2" w:rsidRPr="00CD52EE" w:rsidRDefault="001B5B48" w:rsidP="00852C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 xml:space="preserve">This </w:t>
      </w:r>
      <w:r w:rsidR="002C642C" w:rsidRPr="00CD52EE">
        <w:rPr>
          <w:rFonts w:asciiTheme="majorHAnsi" w:hAnsiTheme="majorHAnsi"/>
          <w:sz w:val="20"/>
          <w:szCs w:val="20"/>
        </w:rPr>
        <w:t>“</w:t>
      </w:r>
      <w:r w:rsidRPr="00CD52EE">
        <w:rPr>
          <w:rFonts w:asciiTheme="majorHAnsi" w:hAnsiTheme="majorHAnsi"/>
          <w:sz w:val="20"/>
          <w:szCs w:val="20"/>
        </w:rPr>
        <w:t>lie</w:t>
      </w:r>
      <w:r w:rsidR="002C642C" w:rsidRPr="00CD52EE">
        <w:rPr>
          <w:rFonts w:asciiTheme="majorHAnsi" w:hAnsiTheme="majorHAnsi"/>
          <w:sz w:val="20"/>
          <w:szCs w:val="20"/>
        </w:rPr>
        <w:t>”</w:t>
      </w:r>
      <w:r w:rsidRPr="00CD52EE">
        <w:rPr>
          <w:rFonts w:asciiTheme="majorHAnsi" w:hAnsiTheme="majorHAnsi"/>
          <w:sz w:val="20"/>
          <w:szCs w:val="20"/>
        </w:rPr>
        <w:t xml:space="preserve"> was uncovered by the contradictory evidence found within the</w:t>
      </w:r>
      <w:r w:rsidR="00E26788" w:rsidRPr="00CD52EE">
        <w:rPr>
          <w:rFonts w:asciiTheme="majorHAnsi" w:hAnsiTheme="majorHAnsi"/>
          <w:sz w:val="20"/>
          <w:szCs w:val="20"/>
        </w:rPr>
        <w:t xml:space="preserve"> ballistic</w:t>
      </w:r>
      <w:r w:rsidRPr="00CD52EE">
        <w:rPr>
          <w:rFonts w:asciiTheme="majorHAnsi" w:hAnsiTheme="majorHAnsi"/>
          <w:sz w:val="20"/>
          <w:szCs w:val="20"/>
        </w:rPr>
        <w:t xml:space="preserve">s expert report of June 4, 1998, which </w:t>
      </w:r>
      <w:r w:rsidR="00E26788" w:rsidRPr="00CD52EE">
        <w:rPr>
          <w:rFonts w:asciiTheme="majorHAnsi" w:hAnsiTheme="majorHAnsi"/>
          <w:sz w:val="20"/>
          <w:szCs w:val="20"/>
        </w:rPr>
        <w:t>provided that the .44 revolver that was found within the apartment was not used within the attack and contained bullets within its chamber that in fact could not be fired from that gun. The report stated that “it is not possible to discharge .38 inch or 9mm ammunition from a .44 inch revolver other than by tampering with the ammunition”.</w:t>
      </w:r>
      <w:r w:rsidR="00F7543D" w:rsidRPr="00CD52EE">
        <w:rPr>
          <w:rStyle w:val="FootnoteReference"/>
          <w:rFonts w:asciiTheme="majorHAnsi" w:hAnsiTheme="majorHAnsi"/>
          <w:sz w:val="20"/>
          <w:szCs w:val="20"/>
        </w:rPr>
        <w:footnoteReference w:id="30"/>
      </w:r>
    </w:p>
    <w:p w14:paraId="6C36729A" w14:textId="77777777" w:rsidR="00852CE2" w:rsidRPr="00CD52EE" w:rsidRDefault="00852CE2" w:rsidP="00852CE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7FD7662B" w14:textId="77777777" w:rsidR="00852CE2" w:rsidRPr="00CD52EE" w:rsidRDefault="00852CE2" w:rsidP="00852C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rPr>
        <w:t>The Council noted that the Court of Appeal recognized, after review of expert ballistic evidence, that Mr. Baptiste lied about his evidence with respect to the use of the gun found within the apartment by police but not with respect to the evidence identifying the attackers, which the Privy Council found to be consistent with his statements</w:t>
      </w:r>
      <w:r w:rsidRPr="00CD52EE">
        <w:rPr>
          <w:rStyle w:val="FootnoteReference"/>
          <w:rFonts w:asciiTheme="majorHAnsi" w:hAnsiTheme="majorHAnsi"/>
          <w:sz w:val="20"/>
          <w:szCs w:val="20"/>
        </w:rPr>
        <w:footnoteReference w:id="31"/>
      </w:r>
      <w:r w:rsidRPr="00CD52EE">
        <w:rPr>
          <w:rFonts w:asciiTheme="majorHAnsi" w:hAnsiTheme="majorHAnsi"/>
          <w:sz w:val="20"/>
          <w:szCs w:val="20"/>
        </w:rPr>
        <w:t xml:space="preserve">. </w:t>
      </w:r>
    </w:p>
    <w:p w14:paraId="057772F1" w14:textId="77777777" w:rsidR="00852CE2" w:rsidRPr="00CD52EE" w:rsidRDefault="00852CE2" w:rsidP="0078071D">
      <w:pPr>
        <w:spacing w:beforeLines="1" w:before="2" w:afterLines="1" w:after="2"/>
        <w:rPr>
          <w:rFonts w:ascii="-webkit-standard" w:hAnsi="-webkit-standard"/>
          <w:color w:val="000000"/>
          <w:sz w:val="20"/>
          <w:szCs w:val="20"/>
          <w:bdr w:val="none" w:sz="0" w:space="0" w:color="auto"/>
        </w:rPr>
      </w:pPr>
    </w:p>
    <w:p w14:paraId="528129A4" w14:textId="77777777" w:rsidR="0048368F" w:rsidRPr="00CD52EE" w:rsidRDefault="0048368F" w:rsidP="004836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The </w:t>
      </w:r>
      <w:r w:rsidR="004B79FF" w:rsidRPr="00CD52EE">
        <w:rPr>
          <w:rFonts w:asciiTheme="majorHAnsi" w:hAnsiTheme="majorHAnsi" w:cs="Estrangelo Edessa"/>
          <w:sz w:val="20"/>
          <w:szCs w:val="20"/>
        </w:rPr>
        <w:t>JCPC</w:t>
      </w:r>
      <w:r w:rsidR="004B79FF" w:rsidRPr="00CD52EE">
        <w:rPr>
          <w:rFonts w:asciiTheme="majorHAnsi" w:eastAsia="Times New Roman" w:hAnsiTheme="majorHAnsi"/>
          <w:sz w:val="20"/>
          <w:szCs w:val="20"/>
        </w:rPr>
        <w:t xml:space="preserve"> </w:t>
      </w:r>
      <w:r w:rsidR="00CD2DB6" w:rsidRPr="00CD52EE">
        <w:rPr>
          <w:rFonts w:asciiTheme="majorHAnsi" w:eastAsia="Times New Roman" w:hAnsiTheme="majorHAnsi"/>
          <w:sz w:val="20"/>
          <w:szCs w:val="20"/>
        </w:rPr>
        <w:t>further made the following observations</w:t>
      </w:r>
      <w:r w:rsidRPr="00CD52EE">
        <w:rPr>
          <w:rFonts w:asciiTheme="majorHAnsi" w:eastAsia="Times New Roman" w:hAnsiTheme="majorHAnsi"/>
          <w:sz w:val="20"/>
          <w:szCs w:val="20"/>
        </w:rPr>
        <w:t>:</w:t>
      </w:r>
    </w:p>
    <w:p w14:paraId="40276B38" w14:textId="77777777" w:rsidR="0048368F" w:rsidRPr="00CD52EE" w:rsidRDefault="0048368F" w:rsidP="0048368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434919BC" w14:textId="77777777" w:rsidR="0048368F" w:rsidRPr="00CD52EE" w:rsidRDefault="0048368F" w:rsidP="0078071D">
      <w:pPr>
        <w:spacing w:beforeLines="1" w:before="2" w:afterLines="1" w:after="2"/>
        <w:ind w:left="720" w:right="713"/>
        <w:jc w:val="both"/>
        <w:rPr>
          <w:rFonts w:asciiTheme="majorHAnsi" w:hAnsiTheme="majorHAnsi"/>
          <w:color w:val="000000"/>
          <w:sz w:val="18"/>
          <w:szCs w:val="20"/>
          <w:bdr w:val="none" w:sz="0" w:space="0" w:color="auto"/>
        </w:rPr>
      </w:pPr>
      <w:r w:rsidRPr="00CD52EE">
        <w:rPr>
          <w:rFonts w:asciiTheme="majorHAnsi" w:hAnsiTheme="majorHAnsi"/>
          <w:color w:val="000000"/>
          <w:sz w:val="18"/>
          <w:szCs w:val="20"/>
          <w:bdr w:val="none" w:sz="0" w:space="0" w:color="auto"/>
        </w:rPr>
        <w:t xml:space="preserve">Notwithstanding that PC Seepersad had earlier given evidence of finding the .44 gun under the sheet on the mattress, Shawn was quite emphatic in saying that this was the gun which the appellant Maxwell had been firing at Junior and which then fell from Maxwell's hand as they struggled </w:t>
      </w:r>
    </w:p>
    <w:p w14:paraId="666D2BB1" w14:textId="77777777" w:rsidR="0048368F" w:rsidRPr="00CD52EE" w:rsidRDefault="0048368F" w:rsidP="0078071D">
      <w:pPr>
        <w:spacing w:beforeLines="1" w:before="2" w:afterLines="1" w:after="2"/>
        <w:ind w:left="720" w:right="713"/>
        <w:jc w:val="both"/>
        <w:rPr>
          <w:rFonts w:asciiTheme="majorHAnsi" w:hAnsiTheme="majorHAnsi"/>
          <w:color w:val="000000"/>
          <w:sz w:val="18"/>
          <w:szCs w:val="20"/>
          <w:bdr w:val="none" w:sz="0" w:space="0" w:color="auto"/>
        </w:rPr>
      </w:pPr>
      <w:r w:rsidRPr="00CD52EE">
        <w:rPr>
          <w:rFonts w:asciiTheme="majorHAnsi" w:hAnsiTheme="majorHAnsi"/>
          <w:color w:val="000000"/>
          <w:sz w:val="18"/>
          <w:szCs w:val="20"/>
          <w:bdr w:val="none" w:sz="0" w:space="0" w:color="auto"/>
        </w:rPr>
        <w:t>[…]</w:t>
      </w:r>
    </w:p>
    <w:p w14:paraId="053222CF" w14:textId="77777777" w:rsidR="0048368F" w:rsidRPr="00CD52EE" w:rsidRDefault="0048368F" w:rsidP="0078071D">
      <w:pPr>
        <w:spacing w:beforeLines="1" w:before="2" w:afterLines="1" w:after="2"/>
        <w:ind w:left="720" w:right="713"/>
        <w:jc w:val="both"/>
        <w:rPr>
          <w:rFonts w:asciiTheme="majorHAnsi" w:hAnsiTheme="majorHAnsi"/>
          <w:color w:val="000000"/>
          <w:sz w:val="18"/>
          <w:szCs w:val="20"/>
          <w:bdr w:val="none" w:sz="0" w:space="0" w:color="auto"/>
        </w:rPr>
      </w:pPr>
      <w:r w:rsidRPr="00CD52EE">
        <w:rPr>
          <w:rFonts w:asciiTheme="majorHAnsi" w:hAnsiTheme="majorHAnsi"/>
          <w:color w:val="000000"/>
          <w:sz w:val="18"/>
          <w:szCs w:val="20"/>
          <w:bdr w:val="none" w:sz="0" w:space="0" w:color="auto"/>
        </w:rPr>
        <w:lastRenderedPageBreak/>
        <w:t>Although defence counsel pointed to this discrepancy in the evidence, relatively little was made of it. Prosecuting counsel for his part reminded the jury that Shawn's scuffle with Maxwell had occurred close to the mattress and he poured scorn on the suggestion, implicit in defending counsel's addresses, that the .44 had not been used by the attackers but more likely belonged to Junior or Shawn himself. He made it plain that the State's case was indeed that the .44 had been one of the guns used in the attack before it had fallen from Maxwell's hand. (No one suggested that perhaps only one of the attackers had fired at Junior, unsurprisingly given the unchallenged expert evidence that 3 of the 4 spent .38 bullets found by PC Seepersad in the mattress had been fired from one firearm, the fourth from another</w:t>
      </w:r>
      <w:r w:rsidR="00CD2DB6" w:rsidRPr="00CD52EE">
        <w:rPr>
          <w:rFonts w:asciiTheme="majorHAnsi" w:hAnsiTheme="majorHAnsi"/>
          <w:color w:val="000000"/>
          <w:sz w:val="18"/>
          <w:szCs w:val="20"/>
          <w:bdr w:val="none" w:sz="0" w:space="0" w:color="auto"/>
        </w:rPr>
        <w:t>.</w:t>
      </w:r>
      <w:r w:rsidRPr="00CD52EE">
        <w:rPr>
          <w:rStyle w:val="FootnoteReference"/>
          <w:rFonts w:asciiTheme="majorHAnsi" w:hAnsiTheme="majorHAnsi"/>
          <w:color w:val="000000"/>
          <w:sz w:val="18"/>
          <w:szCs w:val="20"/>
          <w:bdr w:val="none" w:sz="0" w:space="0" w:color="auto"/>
        </w:rPr>
        <w:footnoteReference w:id="32"/>
      </w:r>
    </w:p>
    <w:p w14:paraId="6F6E1C30" w14:textId="77777777" w:rsidR="0048368F" w:rsidRPr="00CD52EE" w:rsidRDefault="0048368F" w:rsidP="0078071D">
      <w:pPr>
        <w:spacing w:beforeLines="1" w:before="2" w:afterLines="1" w:after="2"/>
        <w:ind w:left="720" w:right="713"/>
        <w:jc w:val="both"/>
        <w:rPr>
          <w:rFonts w:asciiTheme="majorHAnsi" w:hAnsiTheme="majorHAnsi"/>
          <w:color w:val="000000"/>
          <w:sz w:val="18"/>
          <w:szCs w:val="20"/>
          <w:bdr w:val="none" w:sz="0" w:space="0" w:color="auto"/>
        </w:rPr>
      </w:pPr>
      <w:r w:rsidRPr="00CD52EE">
        <w:rPr>
          <w:rFonts w:asciiTheme="majorHAnsi" w:hAnsiTheme="majorHAnsi"/>
          <w:color w:val="000000"/>
          <w:sz w:val="18"/>
          <w:szCs w:val="20"/>
          <w:bdr w:val="none" w:sz="0" w:space="0" w:color="auto"/>
        </w:rPr>
        <w:t>[…]</w:t>
      </w:r>
    </w:p>
    <w:p w14:paraId="6E3C5818" w14:textId="77777777" w:rsidR="0048368F" w:rsidRPr="00CD52EE" w:rsidRDefault="0048368F" w:rsidP="00BC7999">
      <w:pPr>
        <w:ind w:left="720" w:right="713"/>
        <w:jc w:val="both"/>
        <w:rPr>
          <w:rFonts w:asciiTheme="majorHAnsi" w:hAnsiTheme="majorHAnsi"/>
          <w:color w:val="000000"/>
          <w:sz w:val="18"/>
          <w:szCs w:val="20"/>
          <w:bdr w:val="none" w:sz="0" w:space="0" w:color="auto"/>
        </w:rPr>
      </w:pPr>
      <w:r w:rsidRPr="00CD52EE">
        <w:rPr>
          <w:rFonts w:asciiTheme="majorHAnsi" w:hAnsiTheme="majorHAnsi"/>
          <w:color w:val="000000"/>
          <w:sz w:val="18"/>
          <w:szCs w:val="20"/>
          <w:bdr w:val="none" w:sz="0" w:space="0" w:color="auto"/>
        </w:rPr>
        <w:t>supplementary petition dated 18 February 1999, fresh evidence in the form of a report from a ballistics expert, John Burns, dated 4 June 1998, strongly suggesting that the .44 revolver had not after all been used in the attack. The report stated in terms that "it is not possible to discharge .38 inch or 9mm ammunition from a .44 inch revolver other than by tampering with the ammunition" (as to which there was no sign whatever)</w:t>
      </w:r>
      <w:r w:rsidR="00CD2DB6" w:rsidRPr="00CD52EE">
        <w:rPr>
          <w:rFonts w:asciiTheme="majorHAnsi" w:hAnsiTheme="majorHAnsi"/>
          <w:color w:val="000000"/>
          <w:sz w:val="18"/>
          <w:szCs w:val="20"/>
          <w:bdr w:val="none" w:sz="0" w:space="0" w:color="auto"/>
        </w:rPr>
        <w:t>.</w:t>
      </w:r>
      <w:r w:rsidRPr="00CD52EE">
        <w:rPr>
          <w:rStyle w:val="FootnoteReference"/>
          <w:rFonts w:asciiTheme="majorHAnsi" w:hAnsiTheme="majorHAnsi"/>
          <w:color w:val="000000"/>
          <w:sz w:val="18"/>
          <w:szCs w:val="20"/>
          <w:bdr w:val="none" w:sz="0" w:space="0" w:color="auto"/>
        </w:rPr>
        <w:footnoteReference w:id="33"/>
      </w:r>
    </w:p>
    <w:p w14:paraId="1C0C77E6" w14:textId="77777777" w:rsidR="00A24AFC" w:rsidRPr="00CD52EE" w:rsidRDefault="00A24AFC" w:rsidP="00A24AFC">
      <w:pPr>
        <w:pStyle w:val="ListParagraph"/>
        <w:rPr>
          <w:rFonts w:asciiTheme="majorHAnsi" w:hAnsiTheme="majorHAnsi"/>
          <w:sz w:val="20"/>
          <w:szCs w:val="20"/>
        </w:rPr>
      </w:pPr>
    </w:p>
    <w:p w14:paraId="25606AAE" w14:textId="77777777" w:rsidR="005227CE" w:rsidRPr="00CD52EE" w:rsidRDefault="00A24AFC" w:rsidP="007C0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hAnsiTheme="majorHAnsi"/>
          <w:sz w:val="20"/>
          <w:szCs w:val="20"/>
        </w:rPr>
        <w:t xml:space="preserve">The retractions by Shawn Baptiste and Alicia Henry </w:t>
      </w:r>
      <w:r w:rsidR="00D45CBC" w:rsidRPr="00CD52EE">
        <w:rPr>
          <w:rFonts w:asciiTheme="majorHAnsi" w:hAnsiTheme="majorHAnsi"/>
          <w:sz w:val="20"/>
          <w:szCs w:val="20"/>
        </w:rPr>
        <w:t>in the</w:t>
      </w:r>
      <w:r w:rsidR="00350BD6" w:rsidRPr="00CD52EE">
        <w:rPr>
          <w:rFonts w:asciiTheme="majorHAnsi" w:hAnsiTheme="majorHAnsi"/>
          <w:sz w:val="20"/>
          <w:szCs w:val="20"/>
        </w:rPr>
        <w:t xml:space="preserve"> a</w:t>
      </w:r>
      <w:r w:rsidR="00D300A3" w:rsidRPr="00CD52EE">
        <w:rPr>
          <w:rFonts w:asciiTheme="majorHAnsi" w:hAnsiTheme="majorHAnsi"/>
          <w:sz w:val="20"/>
          <w:szCs w:val="20"/>
        </w:rPr>
        <w:t xml:space="preserve">ffidavits </w:t>
      </w:r>
      <w:r w:rsidRPr="00CD52EE">
        <w:rPr>
          <w:rFonts w:asciiTheme="majorHAnsi" w:hAnsiTheme="majorHAnsi"/>
          <w:sz w:val="20"/>
          <w:szCs w:val="20"/>
        </w:rPr>
        <w:t xml:space="preserve">were found to be untrue, save for the evidence </w:t>
      </w:r>
      <w:r w:rsidR="00023F31" w:rsidRPr="00CD52EE">
        <w:rPr>
          <w:rFonts w:asciiTheme="majorHAnsi" w:hAnsiTheme="majorHAnsi"/>
          <w:sz w:val="20"/>
          <w:szCs w:val="20"/>
        </w:rPr>
        <w:t xml:space="preserve">of Shawn Baptiste’s assertion </w:t>
      </w:r>
      <w:r w:rsidRPr="00CD52EE">
        <w:rPr>
          <w:rFonts w:asciiTheme="majorHAnsi" w:hAnsiTheme="majorHAnsi"/>
          <w:sz w:val="20"/>
          <w:szCs w:val="20"/>
        </w:rPr>
        <w:t>about the revolver used in the crime.</w:t>
      </w:r>
      <w:r w:rsidR="007732C6" w:rsidRPr="00CD52EE">
        <w:rPr>
          <w:rFonts w:asciiTheme="majorHAnsi" w:hAnsiTheme="majorHAnsi"/>
          <w:sz w:val="20"/>
          <w:szCs w:val="20"/>
        </w:rPr>
        <w:t xml:space="preserve"> The </w:t>
      </w:r>
      <w:r w:rsidR="004B79FF" w:rsidRPr="00CD52EE">
        <w:rPr>
          <w:rFonts w:asciiTheme="majorHAnsi" w:hAnsiTheme="majorHAnsi" w:cs="Estrangelo Edessa"/>
          <w:sz w:val="20"/>
          <w:szCs w:val="20"/>
        </w:rPr>
        <w:t>JCPC</w:t>
      </w:r>
      <w:r w:rsidR="004B79FF" w:rsidRPr="00CD52EE" w:rsidDel="004B79FF">
        <w:rPr>
          <w:rFonts w:asciiTheme="majorHAnsi" w:hAnsiTheme="majorHAnsi"/>
          <w:sz w:val="20"/>
          <w:szCs w:val="20"/>
        </w:rPr>
        <w:t xml:space="preserve"> </w:t>
      </w:r>
      <w:r w:rsidR="007732C6" w:rsidRPr="00CD52EE">
        <w:rPr>
          <w:rFonts w:asciiTheme="majorHAnsi" w:hAnsiTheme="majorHAnsi"/>
          <w:sz w:val="20"/>
          <w:szCs w:val="20"/>
        </w:rPr>
        <w:t xml:space="preserve">therefore considered it necessary to look logically at the evidence in the case to decide whether the lie about the revolver found in the apartment (which </w:t>
      </w:r>
      <w:r w:rsidR="00023F31" w:rsidRPr="00CD52EE">
        <w:rPr>
          <w:rFonts w:asciiTheme="majorHAnsi" w:hAnsiTheme="majorHAnsi"/>
          <w:sz w:val="20"/>
          <w:szCs w:val="20"/>
        </w:rPr>
        <w:t>Shawn Baptiste claimed was</w:t>
      </w:r>
      <w:r w:rsidR="007732C6" w:rsidRPr="00CD52EE">
        <w:rPr>
          <w:rFonts w:asciiTheme="majorHAnsi" w:hAnsiTheme="majorHAnsi"/>
          <w:sz w:val="20"/>
          <w:szCs w:val="20"/>
        </w:rPr>
        <w:t xml:space="preserve"> the weapon used by an assailant) was so central to Shawn Baptiste’s identification of the attackers as to throw real doubt upon it. The Court reasoned that the Trinidad Court of Appeal did </w:t>
      </w:r>
      <w:r w:rsidR="009D0D33" w:rsidRPr="00CD52EE">
        <w:rPr>
          <w:rFonts w:asciiTheme="majorHAnsi" w:hAnsiTheme="majorHAnsi"/>
          <w:sz w:val="20"/>
          <w:szCs w:val="20"/>
        </w:rPr>
        <w:t>take up this consideration</w:t>
      </w:r>
      <w:r w:rsidR="007732C6" w:rsidRPr="00CD52EE">
        <w:rPr>
          <w:rFonts w:asciiTheme="majorHAnsi" w:hAnsiTheme="majorHAnsi"/>
          <w:sz w:val="20"/>
          <w:szCs w:val="20"/>
        </w:rPr>
        <w:t xml:space="preserve"> and remained satisfied on the essential integrity of the identification</w:t>
      </w:r>
      <w:r w:rsidR="009D0D33" w:rsidRPr="00CD52EE">
        <w:rPr>
          <w:rFonts w:asciiTheme="majorHAnsi" w:hAnsiTheme="majorHAnsi"/>
          <w:sz w:val="20"/>
          <w:szCs w:val="20"/>
        </w:rPr>
        <w:t>;</w:t>
      </w:r>
      <w:r w:rsidR="007732C6" w:rsidRPr="00CD52EE">
        <w:rPr>
          <w:rFonts w:asciiTheme="majorHAnsi" w:hAnsiTheme="majorHAnsi"/>
          <w:sz w:val="20"/>
          <w:szCs w:val="20"/>
        </w:rPr>
        <w:t xml:space="preserve"> and therefore</w:t>
      </w:r>
      <w:r w:rsidR="00FE21DA" w:rsidRPr="00CD52EE">
        <w:rPr>
          <w:rFonts w:asciiTheme="majorHAnsi" w:hAnsiTheme="majorHAnsi"/>
          <w:sz w:val="20"/>
          <w:szCs w:val="20"/>
        </w:rPr>
        <w:t>,</w:t>
      </w:r>
      <w:r w:rsidR="007732C6" w:rsidRPr="00CD52EE">
        <w:rPr>
          <w:rFonts w:asciiTheme="majorHAnsi" w:hAnsiTheme="majorHAnsi"/>
          <w:sz w:val="20"/>
          <w:szCs w:val="20"/>
        </w:rPr>
        <w:t xml:space="preserve"> was entitled to regard the convictions as safe and dismiss the appeal. The Privy Council accordingly dismissed the appeal</w:t>
      </w:r>
      <w:r w:rsidR="00FE21DA" w:rsidRPr="00CD52EE">
        <w:rPr>
          <w:rFonts w:asciiTheme="majorHAnsi" w:hAnsiTheme="majorHAnsi"/>
          <w:sz w:val="20"/>
          <w:szCs w:val="20"/>
        </w:rPr>
        <w:t>.</w:t>
      </w:r>
      <w:r w:rsidR="009F4A55" w:rsidRPr="00CD52EE">
        <w:rPr>
          <w:rStyle w:val="FootnoteReference"/>
          <w:rFonts w:asciiTheme="majorHAnsi" w:hAnsiTheme="majorHAnsi"/>
          <w:sz w:val="20"/>
          <w:szCs w:val="20"/>
        </w:rPr>
        <w:footnoteReference w:id="34"/>
      </w:r>
      <w:r w:rsidR="007732C6" w:rsidRPr="00CD52EE">
        <w:rPr>
          <w:rFonts w:asciiTheme="majorHAnsi" w:hAnsiTheme="majorHAnsi"/>
          <w:sz w:val="20"/>
          <w:szCs w:val="20"/>
        </w:rPr>
        <w:t xml:space="preserve"> </w:t>
      </w:r>
    </w:p>
    <w:p w14:paraId="7EE94A8E" w14:textId="77777777" w:rsidR="005227CE" w:rsidRPr="00CD52EE" w:rsidRDefault="005227CE" w:rsidP="00BC79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56DE3660" w14:textId="77777777" w:rsidR="005227CE" w:rsidRPr="00CD52EE" w:rsidRDefault="005227CE" w:rsidP="00BC79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hAnsiTheme="majorHAnsi"/>
          <w:sz w:val="20"/>
          <w:szCs w:val="20"/>
        </w:rPr>
        <w:t>According to the information provided by the petitioners, not contested by the State,</w:t>
      </w:r>
      <w:r w:rsidRPr="00CD52EE">
        <w:rPr>
          <w:rStyle w:val="FootnoteReference"/>
          <w:rFonts w:asciiTheme="majorHAnsi" w:hAnsiTheme="majorHAnsi"/>
          <w:sz w:val="20"/>
          <w:szCs w:val="20"/>
        </w:rPr>
        <w:footnoteReference w:id="35"/>
      </w:r>
      <w:r w:rsidRPr="00CD52EE">
        <w:rPr>
          <w:rFonts w:asciiTheme="majorHAnsi" w:hAnsiTheme="majorHAnsi"/>
          <w:sz w:val="20"/>
          <w:szCs w:val="20"/>
        </w:rPr>
        <w:t xml:space="preserve"> on January 12, 2005, the State Party’s London Solicitors confirmed in writing to Simons Muirhead &amp; Burton, solicitors, that the Government of Trinidad and Tobago had accepted the JCPC decision in Charles Matthew,</w:t>
      </w:r>
      <w:r w:rsidRPr="00CD52EE">
        <w:rPr>
          <w:rStyle w:val="FootnoteReference"/>
          <w:rFonts w:asciiTheme="majorHAnsi" w:hAnsiTheme="majorHAnsi"/>
          <w:sz w:val="20"/>
          <w:szCs w:val="20"/>
        </w:rPr>
        <w:footnoteReference w:id="36"/>
      </w:r>
      <w:r w:rsidRPr="00CD52EE">
        <w:rPr>
          <w:rFonts w:asciiTheme="majorHAnsi" w:hAnsiTheme="majorHAnsi"/>
          <w:sz w:val="20"/>
          <w:szCs w:val="20"/>
        </w:rPr>
        <w:t xml:space="preserve"> and would commute the sentences of those affected, which included the alleged victims. The petitioners provide, however, that local media reports in June 2005 indicated that the Advisory Committee on the Power of Pardon were scheduled to consider the death row inmates’ case; which was followed by a statement by the Attorney General to the House of Representatives on June 6, 2005, outlining his intention to execute all those on death row.</w:t>
      </w:r>
      <w:r w:rsidRPr="00CD52EE">
        <w:rPr>
          <w:rStyle w:val="FootnoteReference"/>
          <w:rFonts w:asciiTheme="majorHAnsi" w:hAnsiTheme="majorHAnsi"/>
          <w:sz w:val="20"/>
          <w:szCs w:val="20"/>
        </w:rPr>
        <w:footnoteReference w:id="37"/>
      </w:r>
      <w:r w:rsidR="00544D08" w:rsidRPr="00CD52EE">
        <w:rPr>
          <w:rFonts w:asciiTheme="majorHAnsi" w:hAnsiTheme="majorHAnsi"/>
          <w:sz w:val="20"/>
          <w:szCs w:val="20"/>
        </w:rPr>
        <w:t xml:space="preserve"> </w:t>
      </w:r>
      <w:r w:rsidRPr="00CD52EE">
        <w:rPr>
          <w:rFonts w:asciiTheme="majorHAnsi" w:eastAsia="Times New Roman" w:hAnsiTheme="majorHAnsi"/>
          <w:sz w:val="20"/>
          <w:szCs w:val="20"/>
        </w:rPr>
        <w:t>The petitioners provide that on June 10, 2005, the State, acting through its Ministry of National Security, informed the victims in writing of its intention to convene hearings in respect of their sentences in order to consider issuing warrants of execution; the State also indicated its intention to execute as early as June 14, 2005.</w:t>
      </w:r>
      <w:r w:rsidRPr="00CD52EE">
        <w:rPr>
          <w:rStyle w:val="FootnoteReference"/>
          <w:rFonts w:asciiTheme="majorHAnsi" w:eastAsia="Times New Roman" w:hAnsiTheme="majorHAnsi"/>
          <w:sz w:val="20"/>
          <w:szCs w:val="20"/>
        </w:rPr>
        <w:footnoteReference w:id="38"/>
      </w:r>
    </w:p>
    <w:p w14:paraId="25D8E668" w14:textId="77777777" w:rsidR="005227CE" w:rsidRPr="00CD52EE" w:rsidRDefault="005227CE" w:rsidP="001E2B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0D0BDBFB" w14:textId="77777777" w:rsidR="007741EB" w:rsidRPr="00CD52EE" w:rsidRDefault="00AB4B88" w:rsidP="001E2B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eastAsia="Times New Roman" w:hAnsiTheme="majorHAnsi"/>
          <w:sz w:val="20"/>
          <w:szCs w:val="20"/>
        </w:rPr>
        <w:t xml:space="preserve">A constitutional motion was filed </w:t>
      </w:r>
      <w:r w:rsidR="00D500F3" w:rsidRPr="00CD52EE">
        <w:rPr>
          <w:rFonts w:asciiTheme="majorHAnsi" w:eastAsia="Times New Roman" w:hAnsiTheme="majorHAnsi"/>
          <w:sz w:val="20"/>
          <w:szCs w:val="20"/>
        </w:rPr>
        <w:t xml:space="preserve">on June 13, 2005 </w:t>
      </w:r>
      <w:r w:rsidRPr="00CD52EE">
        <w:rPr>
          <w:rFonts w:asciiTheme="majorHAnsi" w:eastAsia="Times New Roman" w:hAnsiTheme="majorHAnsi"/>
          <w:sz w:val="20"/>
          <w:szCs w:val="20"/>
        </w:rPr>
        <w:t xml:space="preserve">for a declaration that execution would be unlawful. A conservatory order was granted by the Port of Spain High Court on June 13, 2005 imposing temporary stays on execution. The constitutional motion was granted and </w:t>
      </w:r>
      <w:r w:rsidR="00AF34A5" w:rsidRPr="00CD52EE">
        <w:rPr>
          <w:rFonts w:asciiTheme="majorHAnsi" w:eastAsia="Times New Roman" w:hAnsiTheme="majorHAnsi"/>
          <w:sz w:val="20"/>
          <w:szCs w:val="20"/>
        </w:rPr>
        <w:t>on August 15, 2008</w:t>
      </w:r>
      <w:r w:rsidR="005A4236" w:rsidRPr="00CD52EE">
        <w:rPr>
          <w:rFonts w:asciiTheme="majorHAnsi" w:eastAsia="Times New Roman" w:hAnsiTheme="majorHAnsi"/>
          <w:sz w:val="20"/>
          <w:szCs w:val="20"/>
        </w:rPr>
        <w:t>,</w:t>
      </w:r>
      <w:r w:rsidR="00AF34A5" w:rsidRPr="00CD52EE">
        <w:rPr>
          <w:rFonts w:asciiTheme="majorHAnsi" w:eastAsia="Times New Roman" w:hAnsiTheme="majorHAnsi"/>
          <w:sz w:val="20"/>
          <w:szCs w:val="20"/>
        </w:rPr>
        <w:t xml:space="preserve"> </w:t>
      </w:r>
      <w:r w:rsidRPr="00CD52EE">
        <w:rPr>
          <w:rFonts w:asciiTheme="majorHAnsi" w:eastAsia="Times New Roman" w:hAnsiTheme="majorHAnsi"/>
          <w:sz w:val="20"/>
          <w:szCs w:val="20"/>
        </w:rPr>
        <w:t>the sentences of the alleged victims were commuted to life imprisonment.</w:t>
      </w:r>
      <w:r w:rsidR="00252E29" w:rsidRPr="00CD52EE">
        <w:rPr>
          <w:rStyle w:val="FootnoteReference"/>
          <w:rFonts w:asciiTheme="majorHAnsi" w:eastAsia="Times New Roman" w:hAnsiTheme="majorHAnsi"/>
          <w:sz w:val="20"/>
          <w:szCs w:val="20"/>
        </w:rPr>
        <w:footnoteReference w:id="39"/>
      </w:r>
      <w:r w:rsidR="00F05244" w:rsidRPr="00CD52EE">
        <w:rPr>
          <w:rFonts w:asciiTheme="majorHAnsi" w:eastAsia="Times New Roman" w:hAnsiTheme="majorHAnsi"/>
          <w:sz w:val="20"/>
          <w:szCs w:val="20"/>
        </w:rPr>
        <w:t xml:space="preserve"> However, according to the petitioners</w:t>
      </w:r>
      <w:r w:rsidR="00010263" w:rsidRPr="00CD52EE">
        <w:rPr>
          <w:rFonts w:asciiTheme="majorHAnsi" w:hAnsiTheme="majorHAnsi"/>
          <w:sz w:val="20"/>
          <w:szCs w:val="20"/>
        </w:rPr>
        <w:t>’</w:t>
      </w:r>
      <w:r w:rsidR="00F05244" w:rsidRPr="00CD52EE">
        <w:rPr>
          <w:rFonts w:asciiTheme="majorHAnsi" w:eastAsia="Times New Roman" w:hAnsiTheme="majorHAnsi"/>
          <w:sz w:val="20"/>
          <w:szCs w:val="20"/>
        </w:rPr>
        <w:t xml:space="preserve"> allegations not contested by the State, while the commutation process was ongoing, the alleged victims were unable to begin rehabilitation under a life sentence and were not benefiting from sentence reviews at four yearly intervals.</w:t>
      </w:r>
      <w:r w:rsidR="00F05244" w:rsidRPr="00CD52EE">
        <w:rPr>
          <w:rStyle w:val="FootnoteReference"/>
          <w:rFonts w:asciiTheme="majorHAnsi" w:eastAsia="Times New Roman" w:hAnsiTheme="majorHAnsi"/>
          <w:sz w:val="20"/>
          <w:szCs w:val="20"/>
        </w:rPr>
        <w:footnoteReference w:id="40"/>
      </w:r>
      <w:r w:rsidR="00F05244" w:rsidRPr="00CD52EE">
        <w:rPr>
          <w:rFonts w:asciiTheme="majorHAnsi" w:eastAsia="Times New Roman" w:hAnsiTheme="majorHAnsi"/>
          <w:sz w:val="20"/>
          <w:szCs w:val="20"/>
        </w:rPr>
        <w:t xml:space="preserve">  </w:t>
      </w:r>
    </w:p>
    <w:p w14:paraId="1B02E881" w14:textId="77777777" w:rsidR="0016364E" w:rsidRPr="00CD52EE" w:rsidRDefault="0016364E" w:rsidP="0001026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599E58CE" w14:textId="77777777" w:rsidR="004E44C2" w:rsidRPr="00CD52EE" w:rsidRDefault="009A3091">
      <w:pPr>
        <w:pStyle w:val="Heading2"/>
        <w:numPr>
          <w:ilvl w:val="0"/>
          <w:numId w:val="65"/>
        </w:numPr>
        <w:tabs>
          <w:tab w:val="left" w:pos="360"/>
        </w:tabs>
        <w:spacing w:before="0"/>
        <w:ind w:hanging="720"/>
        <w:rPr>
          <w:color w:val="auto"/>
          <w:sz w:val="20"/>
          <w:szCs w:val="20"/>
        </w:rPr>
      </w:pPr>
      <w:bookmarkStart w:id="18" w:name="_Toc54798083"/>
      <w:r w:rsidRPr="00CD52EE">
        <w:rPr>
          <w:color w:val="auto"/>
          <w:sz w:val="20"/>
          <w:szCs w:val="20"/>
        </w:rPr>
        <w:t>Prison conditions</w:t>
      </w:r>
      <w:bookmarkEnd w:id="18"/>
    </w:p>
    <w:p w14:paraId="2AC1BCAA" w14:textId="77777777" w:rsidR="009A3091" w:rsidRPr="00CD52EE" w:rsidRDefault="009A3091" w:rsidP="0001026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656F99D3" w14:textId="77777777" w:rsidR="009A3091" w:rsidRPr="00CD52EE" w:rsidRDefault="002C6B40" w:rsidP="00BC79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Regarding prison conditions on death row, the petitioners provide the following information </w:t>
      </w:r>
      <w:r w:rsidR="00D47238" w:rsidRPr="00CD52EE">
        <w:rPr>
          <w:rFonts w:asciiTheme="majorHAnsi" w:eastAsia="Times New Roman" w:hAnsiTheme="majorHAnsi"/>
          <w:sz w:val="20"/>
          <w:szCs w:val="20"/>
        </w:rPr>
        <w:t>which was not contested by the State</w:t>
      </w:r>
      <w:r w:rsidRPr="00CD52EE">
        <w:rPr>
          <w:rFonts w:asciiTheme="majorHAnsi" w:eastAsia="Times New Roman" w:hAnsiTheme="majorHAnsi"/>
          <w:sz w:val="20"/>
          <w:szCs w:val="20"/>
        </w:rPr>
        <w:t>:</w:t>
      </w:r>
      <w:r w:rsidR="00272238" w:rsidRPr="00CD52EE">
        <w:rPr>
          <w:rFonts w:ascii="Cambria" w:hAnsi="Cambria"/>
          <w:sz w:val="20"/>
          <w:vertAlign w:val="superscript"/>
        </w:rPr>
        <w:footnoteReference w:id="41"/>
      </w:r>
    </w:p>
    <w:p w14:paraId="056D2C37"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4845F76C"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lastRenderedPageBreak/>
        <w:t>“No integral sanitation and the provision of plastic pails for use as toilets which they were allowed to empty twice a day.</w:t>
      </w:r>
    </w:p>
    <w:p w14:paraId="3F31C1FA"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No natural lighting except a fluorescent strip illuminated 24 hours a day outside the cells above the door.</w:t>
      </w:r>
    </w:p>
    <w:p w14:paraId="72EB6231"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Suffer[ing] from the effect of infestation of mosquitoes, sand flies, cockroaches, crickets and Pigeons in their cells.</w:t>
      </w:r>
    </w:p>
    <w:p w14:paraId="4B22F1DA"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[Being] let out only twice a month for exercise, during one hour, handcuffed prohibiting useful exercise.</w:t>
      </w:r>
    </w:p>
    <w:p w14:paraId="16A5225F"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 xml:space="preserve">Exhaust fumes from vehicles parked in the prison yard entering the cells causing unacceptable levels of air pollution, contributing to and aggravating the first victim’s sinus condition. </w:t>
      </w:r>
    </w:p>
    <w:p w14:paraId="582458BF"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Not [being] permitted basic hygienic products – a Doctor’s prescription is required for the victims to receive hair shampoo.</w:t>
      </w:r>
    </w:p>
    <w:p w14:paraId="056D871C"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No opportunities for education or self-improvement, and occupy their time by reading limited reading materials and listening to the radio.</w:t>
      </w:r>
    </w:p>
    <w:p w14:paraId="55E4E9FA"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Inadequate and almost inedible [food], with rice and bread often containing small particles of rock or gravel causing dental and digestive problems. Restrictive diets are imposed as punishment for breaches of prison discipline. Many inmates lose significant body weight and suffer from malnutrition. The first victim is denied the consumption of vegetables as recommended by the Prison doctor, despite his family’s willingness to provide it at their cost. Further his special diet to treat his ulcer, was stopped and he has not been taken to appointments at the General Hospital since August 2005 and experiences difficulties in obtaining prescription tablets for this condition via the prison superintendent.</w:t>
      </w:r>
    </w:p>
    <w:p w14:paraId="49F10D7C"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[Sporadic] access to medical attention.</w:t>
      </w:r>
    </w:p>
    <w:p w14:paraId="3F9F3CF1" w14:textId="77777777" w:rsidR="009A3091" w:rsidRPr="00CD52EE" w:rsidRDefault="009A3091" w:rsidP="009A30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The state not taking steps to ensure the victims do not have to endure proximity to or view of the physical site of execution or the display of condemned prisoners on their way to being executed. – claim that the persistent reminders of their imminent death, irrespective of any intention by the State or its indifference or carelessness, inflict mental trauma.”</w:t>
      </w:r>
    </w:p>
    <w:p w14:paraId="5AF1BCCB" w14:textId="77777777" w:rsidR="009A3091" w:rsidRPr="00CD52EE" w:rsidRDefault="009A3091" w:rsidP="0001026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06E4B062" w14:textId="77777777" w:rsidR="00F128A0" w:rsidRPr="00CD52EE" w:rsidRDefault="00F128A0" w:rsidP="00F128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Further, on March 5, 1995, the General Secretary of the Prison Officers’ Association </w:t>
      </w:r>
      <w:r w:rsidR="00A74564" w:rsidRPr="00CD52EE">
        <w:rPr>
          <w:rFonts w:asciiTheme="majorHAnsi" w:eastAsia="Times New Roman" w:hAnsiTheme="majorHAnsi"/>
          <w:sz w:val="20"/>
          <w:szCs w:val="20"/>
        </w:rPr>
        <w:t>made the following statement</w:t>
      </w:r>
      <w:r w:rsidRPr="00CD52EE">
        <w:rPr>
          <w:rFonts w:asciiTheme="majorHAnsi" w:eastAsia="Times New Roman" w:hAnsiTheme="majorHAnsi"/>
          <w:sz w:val="20"/>
          <w:szCs w:val="20"/>
        </w:rPr>
        <w:t xml:space="preserve"> in the national newspaper:</w:t>
      </w:r>
      <w:r w:rsidRPr="00CD52EE">
        <w:rPr>
          <w:rFonts w:ascii="Cambria" w:hAnsi="Cambria"/>
          <w:sz w:val="20"/>
          <w:vertAlign w:val="superscript"/>
        </w:rPr>
        <w:footnoteReference w:id="42"/>
      </w:r>
      <w:r w:rsidRPr="00CD52EE">
        <w:rPr>
          <w:rFonts w:ascii="Cambria" w:hAnsi="Cambria"/>
          <w:sz w:val="20"/>
          <w:vertAlign w:val="superscript"/>
        </w:rPr>
        <w:t xml:space="preserve"> </w:t>
      </w:r>
      <w:r w:rsidRPr="00CD52EE">
        <w:rPr>
          <w:rFonts w:asciiTheme="majorHAnsi" w:eastAsia="Times New Roman" w:hAnsiTheme="majorHAnsi"/>
          <w:sz w:val="20"/>
          <w:szCs w:val="20"/>
        </w:rPr>
        <w:t xml:space="preserve"> </w:t>
      </w:r>
    </w:p>
    <w:p w14:paraId="0E4F6404" w14:textId="77777777" w:rsidR="00F128A0" w:rsidRPr="00CD52EE" w:rsidRDefault="00F128A0" w:rsidP="00F128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16BC9AB6" w14:textId="77777777" w:rsidR="00F128A0" w:rsidRPr="00CD52EE" w:rsidRDefault="00F128A0" w:rsidP="00F128A0">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“The majority empathise with the inmates because we have to work in the same conditions in which they live. We have a duty to patrol these areas for hours…making periodic checks and walk the pathways that are sticky with filth”</w:t>
      </w:r>
    </w:p>
    <w:p w14:paraId="5C8806DE" w14:textId="77777777" w:rsidR="00F128A0" w:rsidRPr="00CD52EE" w:rsidRDefault="00F128A0" w:rsidP="00F128A0">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 xml:space="preserve">“The conditions are highly deplorable, unacceptable and pose a health hazard” </w:t>
      </w:r>
    </w:p>
    <w:p w14:paraId="697C48D0" w14:textId="77777777" w:rsidR="00F128A0" w:rsidRPr="00CD52EE" w:rsidRDefault="00F128A0" w:rsidP="00F128A0">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1440"/>
        </w:tabs>
        <w:ind w:left="360" w:right="360"/>
        <w:jc w:val="both"/>
        <w:rPr>
          <w:rFonts w:asciiTheme="majorHAnsi" w:eastAsia="Times New Roman" w:hAnsiTheme="majorHAnsi"/>
          <w:sz w:val="18"/>
          <w:szCs w:val="20"/>
        </w:rPr>
      </w:pPr>
      <w:r w:rsidRPr="00CD52EE">
        <w:rPr>
          <w:rFonts w:asciiTheme="majorHAnsi" w:eastAsia="Times New Roman" w:hAnsiTheme="majorHAnsi"/>
          <w:sz w:val="18"/>
          <w:szCs w:val="20"/>
        </w:rPr>
        <w:t>“It is not easy when there are eleven human beings in a 9’ x 6’ cell with a five gallon pigtail bucket for a toilet in one corner. It is not a lie when they say you have to sit on the pail or stand up and sleep. It is terrible and it really, really stinks. I won’t put my animals in there.”</w:t>
      </w:r>
    </w:p>
    <w:p w14:paraId="60024F6B" w14:textId="77777777" w:rsidR="00F128A0" w:rsidRPr="00CD52EE" w:rsidRDefault="00F128A0" w:rsidP="0001026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53AD9F60" w14:textId="77777777" w:rsidR="001C4006" w:rsidRPr="00CD52EE" w:rsidRDefault="001C4006" w:rsidP="00425FE4">
      <w:pPr>
        <w:pStyle w:val="Heading1"/>
        <w:spacing w:before="0"/>
        <w:ind w:left="360"/>
        <w:rPr>
          <w:color w:val="auto"/>
          <w:sz w:val="20"/>
          <w:szCs w:val="20"/>
        </w:rPr>
      </w:pPr>
      <w:bookmarkStart w:id="19" w:name="_Toc54798084"/>
      <w:r w:rsidRPr="00CD52EE">
        <w:rPr>
          <w:color w:val="auto"/>
          <w:sz w:val="20"/>
          <w:szCs w:val="20"/>
        </w:rPr>
        <w:t>ANALYSIS OF LAW</w:t>
      </w:r>
      <w:bookmarkEnd w:id="19"/>
    </w:p>
    <w:p w14:paraId="46C8081B" w14:textId="77777777" w:rsidR="00044DA8" w:rsidRPr="00CD52EE" w:rsidRDefault="00044DA8" w:rsidP="00EE5D7E">
      <w:pPr>
        <w:suppressAutoHyphens/>
        <w:rPr>
          <w:rFonts w:asciiTheme="majorHAnsi" w:hAnsiTheme="majorHAnsi"/>
          <w:b/>
          <w:sz w:val="20"/>
          <w:szCs w:val="20"/>
        </w:rPr>
      </w:pPr>
    </w:p>
    <w:p w14:paraId="02EBD2AC" w14:textId="77777777" w:rsidR="007D2FEE" w:rsidRPr="00CD52EE" w:rsidRDefault="007D2FEE" w:rsidP="00082F7D">
      <w:pPr>
        <w:pStyle w:val="Heading2"/>
        <w:numPr>
          <w:ilvl w:val="0"/>
          <w:numId w:val="63"/>
        </w:numPr>
        <w:spacing w:before="0"/>
        <w:rPr>
          <w:color w:val="auto"/>
          <w:sz w:val="20"/>
          <w:szCs w:val="20"/>
        </w:rPr>
      </w:pPr>
      <w:bookmarkStart w:id="20" w:name="_Toc412815742"/>
      <w:bookmarkStart w:id="21" w:name="_Toc54798085"/>
      <w:r w:rsidRPr="00CD52EE">
        <w:rPr>
          <w:color w:val="auto"/>
          <w:sz w:val="20"/>
          <w:szCs w:val="20"/>
        </w:rPr>
        <w:t xml:space="preserve">Preliminary </w:t>
      </w:r>
      <w:bookmarkEnd w:id="20"/>
      <w:r w:rsidRPr="00CD52EE">
        <w:rPr>
          <w:color w:val="auto"/>
          <w:sz w:val="20"/>
          <w:szCs w:val="20"/>
        </w:rPr>
        <w:t>considerations</w:t>
      </w:r>
      <w:bookmarkEnd w:id="21"/>
    </w:p>
    <w:p w14:paraId="2BFDC250" w14:textId="77777777" w:rsidR="00F42A8A" w:rsidRPr="00CD52EE" w:rsidRDefault="00B60779">
      <w:pPr>
        <w:pStyle w:val="Heading3"/>
        <w:numPr>
          <w:ilvl w:val="1"/>
          <w:numId w:val="63"/>
        </w:numPr>
        <w:tabs>
          <w:tab w:val="left" w:pos="360"/>
        </w:tabs>
        <w:ind w:left="0" w:firstLine="0"/>
        <w:rPr>
          <w:sz w:val="20"/>
          <w:szCs w:val="20"/>
        </w:rPr>
      </w:pPr>
      <w:bookmarkStart w:id="22" w:name="_Toc54798086"/>
      <w:r w:rsidRPr="00CD52EE">
        <w:rPr>
          <w:color w:val="auto"/>
          <w:sz w:val="20"/>
          <w:szCs w:val="20"/>
        </w:rPr>
        <w:t xml:space="preserve">Application of the American Declaration </w:t>
      </w:r>
      <w:r w:rsidR="00C92DBB" w:rsidRPr="00CD52EE">
        <w:rPr>
          <w:color w:val="auto"/>
          <w:sz w:val="20"/>
          <w:szCs w:val="20"/>
        </w:rPr>
        <w:t>and the American Convention</w:t>
      </w:r>
      <w:bookmarkEnd w:id="22"/>
      <w:r w:rsidR="00C92DBB" w:rsidRPr="00CD52EE">
        <w:rPr>
          <w:color w:val="auto"/>
          <w:sz w:val="20"/>
          <w:szCs w:val="20"/>
        </w:rPr>
        <w:t xml:space="preserve"> </w:t>
      </w:r>
    </w:p>
    <w:p w14:paraId="411448E3" w14:textId="77777777" w:rsidR="00B60779" w:rsidRPr="00CD52EE" w:rsidRDefault="00B60779" w:rsidP="00A169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423D046E" w14:textId="77777777" w:rsidR="008D16A8" w:rsidRPr="00CD52EE" w:rsidRDefault="00C000AB" w:rsidP="008C61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Trinidad and Tobago</w:t>
      </w:r>
      <w:r w:rsidR="00B60779" w:rsidRPr="00CD52EE">
        <w:rPr>
          <w:rFonts w:asciiTheme="majorHAnsi" w:eastAsia="Times New Roman" w:hAnsiTheme="majorHAnsi"/>
          <w:sz w:val="20"/>
          <w:szCs w:val="20"/>
        </w:rPr>
        <w:t xml:space="preserve"> is a Member State of the Organization of American States since 1967. On May 28, 1991, it became</w:t>
      </w:r>
      <w:r w:rsidRPr="00CD52EE">
        <w:rPr>
          <w:rFonts w:asciiTheme="majorHAnsi" w:eastAsia="Times New Roman" w:hAnsiTheme="majorHAnsi"/>
          <w:sz w:val="20"/>
          <w:szCs w:val="20"/>
        </w:rPr>
        <w:t xml:space="preserve"> a party to the American Convention when it deposited its instrument of ratification. </w:t>
      </w:r>
      <w:r w:rsidR="001D6050" w:rsidRPr="00CD52EE">
        <w:rPr>
          <w:rFonts w:asciiTheme="majorHAnsi" w:eastAsia="Times New Roman" w:hAnsiTheme="majorHAnsi"/>
          <w:sz w:val="20"/>
          <w:szCs w:val="20"/>
        </w:rPr>
        <w:t xml:space="preserve">On May 26, 1998, </w:t>
      </w:r>
      <w:r w:rsidR="00B60779" w:rsidRPr="00CD52EE">
        <w:rPr>
          <w:rFonts w:asciiTheme="majorHAnsi" w:eastAsia="Times New Roman" w:hAnsiTheme="majorHAnsi"/>
          <w:sz w:val="20"/>
          <w:szCs w:val="20"/>
        </w:rPr>
        <w:t xml:space="preserve">the State gave notice of its denunciation of the Convention to the Secretary General of the </w:t>
      </w:r>
      <w:r w:rsidR="00BE1A4B" w:rsidRPr="00CD52EE">
        <w:rPr>
          <w:rFonts w:asciiTheme="majorHAnsi" w:eastAsia="Times New Roman" w:hAnsiTheme="majorHAnsi"/>
          <w:sz w:val="20"/>
          <w:szCs w:val="20"/>
        </w:rPr>
        <w:t>Organization of American States (</w:t>
      </w:r>
      <w:r w:rsidR="00B60779" w:rsidRPr="00CD52EE">
        <w:rPr>
          <w:rFonts w:asciiTheme="majorHAnsi" w:eastAsia="Times New Roman" w:hAnsiTheme="majorHAnsi"/>
          <w:sz w:val="20"/>
          <w:szCs w:val="20"/>
        </w:rPr>
        <w:t>OAS</w:t>
      </w:r>
      <w:r w:rsidR="00BE1A4B" w:rsidRPr="00CD52EE">
        <w:rPr>
          <w:rFonts w:asciiTheme="majorHAnsi" w:eastAsia="Times New Roman" w:hAnsiTheme="majorHAnsi"/>
          <w:sz w:val="20"/>
          <w:szCs w:val="20"/>
        </w:rPr>
        <w:t>)</w:t>
      </w:r>
      <w:r w:rsidR="00B60779" w:rsidRPr="00CD52EE">
        <w:rPr>
          <w:rFonts w:asciiTheme="majorHAnsi" w:eastAsia="Times New Roman" w:hAnsiTheme="majorHAnsi"/>
          <w:sz w:val="20"/>
          <w:szCs w:val="20"/>
        </w:rPr>
        <w:t>, and pursuant to Article 78(1) of the Convention, the denunciation became effective on May</w:t>
      </w:r>
      <w:r w:rsidR="00C66957" w:rsidRPr="00CD52EE">
        <w:rPr>
          <w:rFonts w:asciiTheme="majorHAnsi" w:eastAsia="Times New Roman" w:hAnsiTheme="majorHAnsi"/>
          <w:sz w:val="20"/>
          <w:szCs w:val="20"/>
        </w:rPr>
        <w:t xml:space="preserve"> 26,</w:t>
      </w:r>
      <w:r w:rsidR="00B60779" w:rsidRPr="00CD52EE">
        <w:rPr>
          <w:rFonts w:asciiTheme="majorHAnsi" w:eastAsia="Times New Roman" w:hAnsiTheme="majorHAnsi"/>
          <w:sz w:val="20"/>
          <w:szCs w:val="20"/>
        </w:rPr>
        <w:t xml:space="preserve"> 1999. </w:t>
      </w:r>
      <w:r w:rsidR="001D6050" w:rsidRPr="00CD52EE">
        <w:rPr>
          <w:rFonts w:asciiTheme="majorHAnsi" w:eastAsia="Times New Roman" w:hAnsiTheme="majorHAnsi"/>
          <w:sz w:val="20"/>
          <w:szCs w:val="20"/>
        </w:rPr>
        <w:t xml:space="preserve"> </w:t>
      </w:r>
    </w:p>
    <w:p w14:paraId="39DFD33E" w14:textId="77777777" w:rsidR="00C92DBB" w:rsidRPr="00CD52EE" w:rsidRDefault="00C92DBB" w:rsidP="00BC79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5AB7BED9" w14:textId="77777777" w:rsidR="00C92DBB" w:rsidRPr="00CD52EE" w:rsidRDefault="00C92DBB" w:rsidP="00BC79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As established above, the facts denounced in the instant case start</w:t>
      </w:r>
      <w:r w:rsidR="00CA3B29" w:rsidRPr="00CD52EE">
        <w:rPr>
          <w:rFonts w:asciiTheme="majorHAnsi" w:eastAsia="Times New Roman" w:hAnsiTheme="majorHAnsi"/>
          <w:sz w:val="20"/>
          <w:szCs w:val="20"/>
        </w:rPr>
        <w:t>ed</w:t>
      </w:r>
      <w:r w:rsidRPr="00CD52EE">
        <w:rPr>
          <w:rFonts w:asciiTheme="majorHAnsi" w:eastAsia="Times New Roman" w:hAnsiTheme="majorHAnsi"/>
          <w:sz w:val="20"/>
          <w:szCs w:val="20"/>
        </w:rPr>
        <w:t xml:space="preserve"> </w:t>
      </w:r>
      <w:r w:rsidR="006B3C71" w:rsidRPr="00CD52EE">
        <w:rPr>
          <w:rFonts w:asciiTheme="majorHAnsi" w:eastAsia="Times New Roman" w:hAnsiTheme="majorHAnsi"/>
          <w:sz w:val="20"/>
          <w:szCs w:val="20"/>
        </w:rPr>
        <w:t>i</w:t>
      </w:r>
      <w:r w:rsidRPr="00CD52EE">
        <w:rPr>
          <w:rFonts w:asciiTheme="majorHAnsi" w:eastAsia="Times New Roman" w:hAnsiTheme="majorHAnsi"/>
          <w:sz w:val="20"/>
          <w:szCs w:val="20"/>
        </w:rPr>
        <w:t xml:space="preserve">n </w:t>
      </w:r>
      <w:r w:rsidR="00CA3B29" w:rsidRPr="00CD52EE">
        <w:rPr>
          <w:rFonts w:asciiTheme="majorHAnsi" w:eastAsia="Times New Roman" w:hAnsiTheme="majorHAnsi"/>
          <w:sz w:val="20"/>
          <w:szCs w:val="20"/>
        </w:rPr>
        <w:t xml:space="preserve">February 1995. Therefore, </w:t>
      </w:r>
      <w:r w:rsidR="00C66957" w:rsidRPr="00CD52EE">
        <w:rPr>
          <w:rFonts w:asciiTheme="majorHAnsi" w:eastAsia="Times New Roman" w:hAnsiTheme="majorHAnsi"/>
          <w:sz w:val="20"/>
          <w:szCs w:val="20"/>
        </w:rPr>
        <w:t xml:space="preserve">the alleged </w:t>
      </w:r>
      <w:r w:rsidR="00516279" w:rsidRPr="00CD52EE">
        <w:rPr>
          <w:rFonts w:asciiTheme="majorHAnsi" w:eastAsia="Times New Roman" w:hAnsiTheme="majorHAnsi"/>
          <w:sz w:val="20"/>
          <w:szCs w:val="20"/>
        </w:rPr>
        <w:t xml:space="preserve">violations </w:t>
      </w:r>
      <w:r w:rsidR="00C66957" w:rsidRPr="00CD52EE">
        <w:rPr>
          <w:rFonts w:asciiTheme="majorHAnsi" w:eastAsia="Times New Roman" w:hAnsiTheme="majorHAnsi"/>
          <w:sz w:val="20"/>
          <w:szCs w:val="20"/>
        </w:rPr>
        <w:t xml:space="preserve">that took place between that date and May 26, 1999, will be analyzed </w:t>
      </w:r>
      <w:r w:rsidR="00516279" w:rsidRPr="00CD52EE">
        <w:rPr>
          <w:rFonts w:asciiTheme="majorHAnsi" w:eastAsia="Times New Roman" w:hAnsiTheme="majorHAnsi"/>
          <w:sz w:val="20"/>
          <w:szCs w:val="20"/>
        </w:rPr>
        <w:t>under the American Convention, and those that</w:t>
      </w:r>
      <w:r w:rsidR="00C66957" w:rsidRPr="00CD52EE">
        <w:rPr>
          <w:rFonts w:asciiTheme="majorHAnsi" w:eastAsia="Times New Roman" w:hAnsiTheme="majorHAnsi"/>
          <w:sz w:val="20"/>
          <w:szCs w:val="20"/>
        </w:rPr>
        <w:t xml:space="preserve"> </w:t>
      </w:r>
      <w:r w:rsidR="00516279" w:rsidRPr="00CD52EE">
        <w:rPr>
          <w:rFonts w:asciiTheme="majorHAnsi" w:eastAsia="Times New Roman" w:hAnsiTheme="majorHAnsi"/>
          <w:sz w:val="20"/>
          <w:szCs w:val="20"/>
        </w:rPr>
        <w:t xml:space="preserve">took place after the entry into force of the </w:t>
      </w:r>
      <w:r w:rsidR="00684952" w:rsidRPr="00CD52EE">
        <w:rPr>
          <w:rFonts w:asciiTheme="majorHAnsi" w:eastAsia="Times New Roman" w:hAnsiTheme="majorHAnsi"/>
          <w:sz w:val="20"/>
          <w:szCs w:val="20"/>
        </w:rPr>
        <w:t xml:space="preserve">denunciation of the </w:t>
      </w:r>
      <w:r w:rsidR="00516279" w:rsidRPr="00CD52EE">
        <w:rPr>
          <w:rFonts w:asciiTheme="majorHAnsi" w:eastAsia="Times New Roman" w:hAnsiTheme="majorHAnsi"/>
          <w:sz w:val="20"/>
          <w:szCs w:val="20"/>
        </w:rPr>
        <w:t xml:space="preserve">American Convention will be </w:t>
      </w:r>
      <w:r w:rsidR="00DF5811" w:rsidRPr="00CD52EE">
        <w:rPr>
          <w:rFonts w:asciiTheme="majorHAnsi" w:eastAsia="Times New Roman" w:hAnsiTheme="majorHAnsi"/>
          <w:sz w:val="20"/>
          <w:szCs w:val="20"/>
        </w:rPr>
        <w:t>analyzed</w:t>
      </w:r>
      <w:r w:rsidR="00516279" w:rsidRPr="00CD52EE">
        <w:rPr>
          <w:rFonts w:asciiTheme="majorHAnsi" w:eastAsia="Times New Roman" w:hAnsiTheme="majorHAnsi"/>
          <w:sz w:val="20"/>
          <w:szCs w:val="20"/>
        </w:rPr>
        <w:t xml:space="preserve"> under the American Declaration. </w:t>
      </w:r>
    </w:p>
    <w:p w14:paraId="5621760E" w14:textId="77777777" w:rsidR="00F42A8A" w:rsidRPr="00CD52EE" w:rsidRDefault="00C549A0">
      <w:pPr>
        <w:pStyle w:val="Heading3"/>
        <w:numPr>
          <w:ilvl w:val="1"/>
          <w:numId w:val="63"/>
        </w:numPr>
        <w:tabs>
          <w:tab w:val="left" w:pos="360"/>
        </w:tabs>
        <w:ind w:left="0" w:firstLine="0"/>
        <w:rPr>
          <w:sz w:val="20"/>
          <w:szCs w:val="20"/>
        </w:rPr>
      </w:pPr>
      <w:bookmarkStart w:id="23" w:name="_Toc54798087"/>
      <w:r w:rsidRPr="00CD52EE">
        <w:rPr>
          <w:color w:val="auto"/>
          <w:sz w:val="20"/>
          <w:szCs w:val="20"/>
        </w:rPr>
        <w:t>S</w:t>
      </w:r>
      <w:r w:rsidR="00684952" w:rsidRPr="00CD52EE">
        <w:rPr>
          <w:color w:val="auto"/>
          <w:sz w:val="20"/>
          <w:szCs w:val="20"/>
        </w:rPr>
        <w:t xml:space="preserve">tandard of </w:t>
      </w:r>
      <w:r w:rsidRPr="00CD52EE">
        <w:rPr>
          <w:color w:val="auto"/>
          <w:sz w:val="20"/>
          <w:szCs w:val="20"/>
        </w:rPr>
        <w:t>review</w:t>
      </w:r>
      <w:bookmarkEnd w:id="23"/>
    </w:p>
    <w:p w14:paraId="5CBACE27" w14:textId="77777777" w:rsidR="00516279" w:rsidRPr="00CD52EE" w:rsidRDefault="00516279" w:rsidP="00A169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5838A8F" w14:textId="77777777" w:rsidR="00A169DC" w:rsidRPr="00CD52EE" w:rsidRDefault="00653AC7" w:rsidP="00425F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eastAsia="Cambria" w:hAnsiTheme="majorHAnsi" w:cs="Cambria"/>
          <w:sz w:val="20"/>
          <w:szCs w:val="20"/>
        </w:rPr>
        <w:t xml:space="preserve">Before embarking on its analysis of the merits, the Inter-American Commission considers it relevant to reiterate its previous rulings regarding the heightened scrutiny to be used in cases involving the death penalty.  </w:t>
      </w:r>
      <w:r w:rsidRPr="00CD52EE">
        <w:rPr>
          <w:rFonts w:asciiTheme="majorHAnsi" w:eastAsia="Cambria" w:hAnsiTheme="majorHAnsi" w:cs="Cambria"/>
          <w:sz w:val="20"/>
          <w:szCs w:val="20"/>
        </w:rPr>
        <w:lastRenderedPageBreak/>
        <w:t xml:space="preserve">The right to life has received broad recognition as the supreme human right and as a </w:t>
      </w:r>
      <w:r w:rsidRPr="00CD52EE">
        <w:rPr>
          <w:rFonts w:asciiTheme="majorHAnsi" w:eastAsia="Cambria" w:hAnsiTheme="majorHAnsi" w:cs="Cambria"/>
          <w:i/>
          <w:iCs/>
          <w:sz w:val="20"/>
          <w:szCs w:val="20"/>
          <w:lang w:val="it-IT"/>
        </w:rPr>
        <w:t>sine qua non</w:t>
      </w:r>
      <w:r w:rsidRPr="00CD52EE">
        <w:rPr>
          <w:rFonts w:asciiTheme="majorHAnsi" w:eastAsia="Cambria" w:hAnsiTheme="majorHAnsi" w:cs="Cambria"/>
          <w:sz w:val="20"/>
          <w:szCs w:val="20"/>
        </w:rPr>
        <w:t xml:space="preserve"> for the enjoyment of all other rights. </w:t>
      </w:r>
    </w:p>
    <w:p w14:paraId="22674201" w14:textId="77777777" w:rsidR="00144208" w:rsidRPr="00CD52EE" w:rsidRDefault="00144208" w:rsidP="00425FE4">
      <w:pPr>
        <w:pStyle w:val="ListParagraph"/>
        <w:tabs>
          <w:tab w:val="left" w:pos="360"/>
        </w:tabs>
        <w:rPr>
          <w:rFonts w:asciiTheme="majorHAnsi" w:hAnsiTheme="majorHAnsi"/>
          <w:sz w:val="20"/>
          <w:szCs w:val="20"/>
        </w:rPr>
      </w:pPr>
    </w:p>
    <w:p w14:paraId="6E5BE0B9" w14:textId="77777777" w:rsidR="00144208" w:rsidRPr="00CD52EE" w:rsidRDefault="00144208" w:rsidP="00425F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hAnsiTheme="majorHAnsi"/>
          <w:sz w:val="20"/>
          <w:szCs w:val="20"/>
        </w:rPr>
        <w:t>That gives rise to the particular importance of the IACHR’s obligation to ensure that any deprivation of life may arise from the enforcement of the death penalty strictly abides by the requirements set forth in the applicable instruments of the Inter-American Human Rights System, including the American Declaration.</w:t>
      </w:r>
      <w:r w:rsidRPr="00CD52EE">
        <w:rPr>
          <w:rStyle w:val="FootnoteReference"/>
          <w:rFonts w:asciiTheme="majorHAnsi" w:eastAsia="Cambria" w:hAnsiTheme="majorHAnsi" w:cs="Cambria"/>
          <w:sz w:val="20"/>
          <w:szCs w:val="20"/>
        </w:rPr>
        <w:footnoteReference w:id="43"/>
      </w:r>
      <w:r w:rsidRPr="00CD52EE">
        <w:rPr>
          <w:rFonts w:asciiTheme="majorHAnsi" w:hAnsiTheme="majorHAnsi"/>
          <w:sz w:val="20"/>
          <w:szCs w:val="20"/>
        </w:rPr>
        <w:t xml:space="preserve"> That “heightened scrutiny test is consistent with the restrictive approach adopted by other international human rights bodies in cases involving the imposition of the death penalty,</w:t>
      </w:r>
      <w:r w:rsidRPr="00CD52EE">
        <w:rPr>
          <w:rStyle w:val="FootnoteReference"/>
          <w:rFonts w:asciiTheme="majorHAnsi" w:eastAsia="Cambria" w:hAnsiTheme="majorHAnsi" w:cs="Cambria"/>
          <w:sz w:val="20"/>
          <w:szCs w:val="20"/>
        </w:rPr>
        <w:t xml:space="preserve"> </w:t>
      </w:r>
      <w:r w:rsidRPr="00CD52EE">
        <w:rPr>
          <w:rStyle w:val="FootnoteReference"/>
          <w:rFonts w:asciiTheme="majorHAnsi" w:eastAsia="Cambria" w:hAnsiTheme="majorHAnsi" w:cs="Cambria"/>
          <w:sz w:val="20"/>
          <w:szCs w:val="20"/>
        </w:rPr>
        <w:footnoteReference w:id="44"/>
      </w:r>
      <w:r w:rsidRPr="00CD52EE">
        <w:rPr>
          <w:rFonts w:asciiTheme="majorHAnsi" w:eastAsia="Cambria" w:hAnsiTheme="majorHAnsi" w:cs="Cambria"/>
          <w:sz w:val="20"/>
          <w:szCs w:val="20"/>
        </w:rPr>
        <w:t xml:space="preserve"> and it has been set out and applied by the Inter-American Commission in previous capital cases brought before it.</w:t>
      </w:r>
      <w:r w:rsidRPr="00CD52EE">
        <w:rPr>
          <w:rStyle w:val="FootnoteReference"/>
          <w:rFonts w:asciiTheme="majorHAnsi" w:eastAsia="Cambria" w:hAnsiTheme="majorHAnsi" w:cs="Cambria"/>
          <w:sz w:val="20"/>
          <w:szCs w:val="20"/>
        </w:rPr>
        <w:t xml:space="preserve"> </w:t>
      </w:r>
      <w:r w:rsidRPr="00CD52EE">
        <w:rPr>
          <w:rStyle w:val="FootnoteReference"/>
          <w:rFonts w:asciiTheme="majorHAnsi" w:eastAsia="Cambria" w:hAnsiTheme="majorHAnsi" w:cs="Cambria"/>
          <w:sz w:val="20"/>
          <w:szCs w:val="20"/>
        </w:rPr>
        <w:footnoteReference w:id="45"/>
      </w:r>
      <w:r w:rsidRPr="00CD52EE">
        <w:rPr>
          <w:rFonts w:asciiTheme="majorHAnsi" w:eastAsia="Cambria" w:hAnsiTheme="majorHAnsi" w:cs="Cambria"/>
          <w:sz w:val="20"/>
          <w:szCs w:val="20"/>
        </w:rPr>
        <w:t xml:space="preserve"> </w:t>
      </w:r>
      <w:r w:rsidRPr="00CD52EE">
        <w:rPr>
          <w:rFonts w:asciiTheme="majorHAnsi" w:hAnsiTheme="majorHAnsi"/>
          <w:sz w:val="20"/>
          <w:szCs w:val="20"/>
        </w:rPr>
        <w:t xml:space="preserve"> </w:t>
      </w:r>
    </w:p>
    <w:p w14:paraId="55C91A88" w14:textId="77777777" w:rsidR="00A169DC" w:rsidRPr="00CD52EE" w:rsidRDefault="00A169DC" w:rsidP="00425FE4">
      <w:pPr>
        <w:pStyle w:val="ListParagraph"/>
        <w:tabs>
          <w:tab w:val="left" w:pos="360"/>
        </w:tabs>
        <w:rPr>
          <w:rFonts w:asciiTheme="majorHAnsi" w:hAnsiTheme="majorHAnsi"/>
          <w:sz w:val="20"/>
          <w:szCs w:val="20"/>
        </w:rPr>
      </w:pPr>
    </w:p>
    <w:p w14:paraId="1F0BC107" w14:textId="77777777" w:rsidR="000157B5" w:rsidRPr="00CD52EE" w:rsidRDefault="00653AC7" w:rsidP="00425F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eastAsia="Cambria" w:hAnsiTheme="majorHAnsi" w:cs="Cambria"/>
          <w:sz w:val="20"/>
          <w:szCs w:val="20"/>
        </w:rPr>
        <w:t>As the Inter-American Commission has explained, this standard of review is the necessary consequence of the specific penalty at issue and the right to a fair trial and all attendant due process guarantees</w:t>
      </w:r>
      <w:r w:rsidR="004B5914" w:rsidRPr="00CD52EE">
        <w:rPr>
          <w:rFonts w:asciiTheme="majorHAnsi" w:eastAsia="Cambria" w:hAnsiTheme="majorHAnsi" w:cs="Cambria"/>
          <w:sz w:val="20"/>
          <w:szCs w:val="20"/>
        </w:rPr>
        <w:t>:</w:t>
      </w:r>
      <w:r w:rsidRPr="00CD52EE">
        <w:rPr>
          <w:rStyle w:val="FootnoteReference"/>
          <w:rFonts w:asciiTheme="majorHAnsi" w:eastAsia="Cambria" w:hAnsiTheme="majorHAnsi" w:cs="Cambria"/>
          <w:sz w:val="20"/>
          <w:szCs w:val="20"/>
        </w:rPr>
        <w:footnoteReference w:id="46"/>
      </w:r>
    </w:p>
    <w:p w14:paraId="20F8F96B" w14:textId="77777777" w:rsidR="000157B5" w:rsidRPr="00CD52EE" w:rsidRDefault="000157B5" w:rsidP="000157B5">
      <w:pPr>
        <w:pStyle w:val="ListParagraph"/>
        <w:rPr>
          <w:rFonts w:asciiTheme="majorHAnsi" w:hAnsiTheme="majorHAnsi"/>
          <w:sz w:val="20"/>
          <w:szCs w:val="20"/>
        </w:rPr>
      </w:pPr>
    </w:p>
    <w:p w14:paraId="0A85497A" w14:textId="77777777" w:rsidR="000157B5" w:rsidRPr="00CD52EE" w:rsidRDefault="00653AC7" w:rsidP="00425FE4">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rPr>
      </w:pPr>
      <w:r w:rsidRPr="00CD52EE">
        <w:rPr>
          <w:rFonts w:asciiTheme="majorHAnsi" w:eastAsia="Cambria" w:hAnsiTheme="majorHAnsi" w:cs="Cambria"/>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CD52EE">
        <w:rPr>
          <w:rFonts w:asciiTheme="majorHAnsi" w:hAnsiTheme="majorHAnsi"/>
          <w:sz w:val="18"/>
          <w:szCs w:val="18"/>
          <w:vertAlign w:val="superscript"/>
        </w:rPr>
        <w:footnoteReference w:id="47"/>
      </w:r>
    </w:p>
    <w:p w14:paraId="36608B5D" w14:textId="77777777" w:rsidR="00A169DC" w:rsidRPr="00CD52EE" w:rsidRDefault="00A169DC" w:rsidP="00A169DC">
      <w:pPr>
        <w:rPr>
          <w:rFonts w:asciiTheme="majorHAnsi" w:hAnsiTheme="majorHAnsi"/>
          <w:sz w:val="20"/>
          <w:szCs w:val="20"/>
        </w:rPr>
      </w:pPr>
    </w:p>
    <w:p w14:paraId="30CF318C" w14:textId="77777777" w:rsidR="00653AC7" w:rsidRPr="00CD52EE" w:rsidRDefault="00653AC7" w:rsidP="00425F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eastAsia="Cambria" w:hAnsiTheme="majorHAnsi" w:cs="Cambria"/>
          <w:sz w:val="20"/>
          <w:szCs w:val="20"/>
        </w:rPr>
        <w:t xml:space="preserve">The Inter-American Commission will therefore review the petitioner’s allegations in the present case with a heightened level of scrutiny, to ensure in particular that the rights to life, </w:t>
      </w:r>
      <w:r w:rsidR="005425FB" w:rsidRPr="00CD52EE">
        <w:rPr>
          <w:rFonts w:asciiTheme="majorHAnsi" w:eastAsia="Cambria" w:hAnsiTheme="majorHAnsi" w:cs="Cambria"/>
          <w:sz w:val="20"/>
          <w:szCs w:val="20"/>
        </w:rPr>
        <w:t xml:space="preserve">the prohibition of </w:t>
      </w:r>
      <w:r w:rsidR="005425FB" w:rsidRPr="00CD52EE">
        <w:rPr>
          <w:rFonts w:asciiTheme="majorHAnsi" w:hAnsiTheme="majorHAnsi"/>
          <w:sz w:val="20"/>
        </w:rPr>
        <w:t>cruel, infamous or unusual punishment</w:t>
      </w:r>
      <w:r w:rsidR="004A29AF" w:rsidRPr="00CD52EE">
        <w:rPr>
          <w:rFonts w:asciiTheme="majorHAnsi" w:hAnsiTheme="majorHAnsi"/>
          <w:sz w:val="20"/>
        </w:rPr>
        <w:t>,</w:t>
      </w:r>
      <w:r w:rsidR="005425FB" w:rsidRPr="00CD52EE">
        <w:rPr>
          <w:rFonts w:asciiTheme="majorHAnsi" w:eastAsia="Cambria" w:hAnsiTheme="majorHAnsi" w:cs="Cambria"/>
          <w:sz w:val="20"/>
          <w:szCs w:val="20"/>
        </w:rPr>
        <w:t xml:space="preserve"> </w:t>
      </w:r>
      <w:r w:rsidRPr="00CD52EE">
        <w:rPr>
          <w:rFonts w:asciiTheme="majorHAnsi" w:eastAsia="Cambria" w:hAnsiTheme="majorHAnsi" w:cs="Cambria"/>
          <w:sz w:val="20"/>
          <w:szCs w:val="20"/>
        </w:rPr>
        <w:t>due process, and to a fair trial as prescribed under the American Declaration have been respected by the State.  With regard to the legal status of the American Declaration, the IACHR reiterates that:</w:t>
      </w:r>
    </w:p>
    <w:p w14:paraId="17AC9BA2" w14:textId="77777777" w:rsidR="00653AC7" w:rsidRPr="00CD52EE" w:rsidRDefault="00653AC7" w:rsidP="0031340C">
      <w:pPr>
        <w:pStyle w:val="Body"/>
        <w:tabs>
          <w:tab w:val="left" w:pos="360"/>
          <w:tab w:val="left" w:pos="810"/>
        </w:tabs>
        <w:jc w:val="both"/>
        <w:rPr>
          <w:rFonts w:asciiTheme="majorHAnsi" w:eastAsia="Cambria" w:hAnsiTheme="majorHAnsi" w:cs="Cambria"/>
          <w:sz w:val="20"/>
          <w:szCs w:val="20"/>
        </w:rPr>
      </w:pPr>
    </w:p>
    <w:p w14:paraId="53DB4C2C" w14:textId="77777777" w:rsidR="00DE5D25" w:rsidRPr="00CD52EE" w:rsidRDefault="00653AC7" w:rsidP="008A79DC">
      <w:pPr>
        <w:pStyle w:val="Body"/>
        <w:tabs>
          <w:tab w:val="left" w:pos="360"/>
          <w:tab w:val="left" w:pos="810"/>
        </w:tabs>
        <w:ind w:left="360" w:right="360"/>
        <w:jc w:val="both"/>
        <w:rPr>
          <w:rFonts w:asciiTheme="majorHAnsi" w:eastAsia="Cambria" w:hAnsiTheme="majorHAnsi" w:cs="Cambria"/>
          <w:sz w:val="18"/>
          <w:szCs w:val="18"/>
        </w:rPr>
      </w:pPr>
      <w:r w:rsidRPr="00CD52EE">
        <w:rPr>
          <w:rFonts w:asciiTheme="majorHAnsi" w:eastAsia="Cambria" w:hAnsiTheme="majorHAnsi" w:cs="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CD52EE">
        <w:rPr>
          <w:rFonts w:asciiTheme="majorHAnsi" w:eastAsia="Cambria" w:hAnsiTheme="majorHAnsi" w:cs="Cambria"/>
          <w:sz w:val="18"/>
          <w:szCs w:val="18"/>
          <w:vertAlign w:val="superscript"/>
        </w:rPr>
        <w:footnoteReference w:id="48"/>
      </w:r>
    </w:p>
    <w:p w14:paraId="1F062847" w14:textId="77777777" w:rsidR="002772AD" w:rsidRPr="00CD52EE" w:rsidRDefault="003053CE" w:rsidP="003134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Univers" w:hAnsi="Univers"/>
          <w:sz w:val="20"/>
        </w:rPr>
      </w:pPr>
      <w:r w:rsidRPr="00CD52EE">
        <w:rPr>
          <w:rFonts w:ascii="Univers" w:hAnsi="Univers"/>
          <w:sz w:val="20"/>
        </w:rPr>
        <w:t xml:space="preserve">  </w:t>
      </w:r>
    </w:p>
    <w:p w14:paraId="4A43DBAC" w14:textId="77777777" w:rsidR="007B467F" w:rsidRPr="00CD52EE" w:rsidRDefault="007B467F" w:rsidP="003134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Univers" w:hAnsi="Univers"/>
          <w:sz w:val="20"/>
        </w:rPr>
      </w:pPr>
    </w:p>
    <w:p w14:paraId="284F31F3" w14:textId="77777777" w:rsidR="007B467F" w:rsidRPr="00CD52EE" w:rsidRDefault="007B467F" w:rsidP="003134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Univers" w:hAnsi="Univers"/>
          <w:sz w:val="20"/>
        </w:rPr>
      </w:pPr>
    </w:p>
    <w:p w14:paraId="013BF04D" w14:textId="77777777" w:rsidR="007B467F" w:rsidRPr="00CD52EE" w:rsidRDefault="007B467F" w:rsidP="003134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Univers" w:hAnsi="Univers"/>
          <w:sz w:val="20"/>
        </w:rPr>
      </w:pPr>
    </w:p>
    <w:p w14:paraId="737E7636" w14:textId="77777777" w:rsidR="00F42A8A" w:rsidRPr="00CD52EE" w:rsidRDefault="00784E3A">
      <w:pPr>
        <w:pStyle w:val="Heading2"/>
        <w:numPr>
          <w:ilvl w:val="0"/>
          <w:numId w:val="63"/>
        </w:numPr>
        <w:tabs>
          <w:tab w:val="left" w:pos="360"/>
        </w:tabs>
        <w:spacing w:before="0"/>
        <w:ind w:left="0" w:firstLine="0"/>
        <w:jc w:val="both"/>
        <w:rPr>
          <w:rFonts w:eastAsia="Arial Unicode MS"/>
          <w:color w:val="auto"/>
          <w:sz w:val="20"/>
          <w:szCs w:val="20"/>
        </w:rPr>
      </w:pPr>
      <w:bookmarkStart w:id="24" w:name="_Toc54798088"/>
      <w:r w:rsidRPr="00CD52EE">
        <w:rPr>
          <w:color w:val="auto"/>
          <w:sz w:val="20"/>
          <w:szCs w:val="20"/>
        </w:rPr>
        <w:lastRenderedPageBreak/>
        <w:t>Right to life</w:t>
      </w:r>
      <w:r w:rsidR="00BF6E5D" w:rsidRPr="00CD52EE">
        <w:rPr>
          <w:color w:val="auto"/>
          <w:sz w:val="20"/>
          <w:szCs w:val="20"/>
        </w:rPr>
        <w:t>,</w:t>
      </w:r>
      <w:r w:rsidRPr="00CD52EE">
        <w:rPr>
          <w:rStyle w:val="FootnoteReference"/>
          <w:color w:val="auto"/>
          <w:sz w:val="20"/>
          <w:szCs w:val="20"/>
        </w:rPr>
        <w:footnoteReference w:id="49"/>
      </w:r>
      <w:r w:rsidR="00BF6E5D" w:rsidRPr="00CD52EE">
        <w:rPr>
          <w:color w:val="auto"/>
          <w:sz w:val="20"/>
          <w:szCs w:val="20"/>
        </w:rPr>
        <w:t xml:space="preserve"> to personal integrity</w:t>
      </w:r>
      <w:r w:rsidR="008A60CB" w:rsidRPr="00CD52EE">
        <w:rPr>
          <w:color w:val="auto"/>
          <w:sz w:val="20"/>
          <w:szCs w:val="20"/>
        </w:rPr>
        <w:t>,</w:t>
      </w:r>
      <w:r w:rsidR="00BF6E5D" w:rsidRPr="00CD52EE">
        <w:rPr>
          <w:rStyle w:val="FootnoteReference"/>
          <w:color w:val="auto"/>
          <w:sz w:val="20"/>
          <w:szCs w:val="20"/>
        </w:rPr>
        <w:footnoteReference w:id="50"/>
      </w:r>
      <w:r w:rsidR="00BF6E5D" w:rsidRPr="00CD52EE">
        <w:rPr>
          <w:color w:val="auto"/>
          <w:sz w:val="20"/>
          <w:szCs w:val="20"/>
        </w:rPr>
        <w:t xml:space="preserve"> and to judicial guarantees</w:t>
      </w:r>
      <w:r w:rsidR="008A60CB" w:rsidRPr="00CD52EE">
        <w:rPr>
          <w:color w:val="auto"/>
          <w:sz w:val="20"/>
          <w:szCs w:val="20"/>
        </w:rPr>
        <w:t>,</w:t>
      </w:r>
      <w:r w:rsidR="00BF6E5D" w:rsidRPr="00CD52EE">
        <w:rPr>
          <w:rStyle w:val="FootnoteReference"/>
          <w:color w:val="auto"/>
          <w:sz w:val="20"/>
          <w:szCs w:val="20"/>
        </w:rPr>
        <w:footnoteReference w:id="51"/>
      </w:r>
      <w:r w:rsidRPr="00CD52EE">
        <w:rPr>
          <w:color w:val="auto"/>
          <w:sz w:val="20"/>
          <w:szCs w:val="20"/>
        </w:rPr>
        <w:t xml:space="preserve"> and the m</w:t>
      </w:r>
      <w:r w:rsidR="002B1B74" w:rsidRPr="00CD52EE">
        <w:rPr>
          <w:color w:val="auto"/>
          <w:sz w:val="20"/>
          <w:szCs w:val="20"/>
        </w:rPr>
        <w:t xml:space="preserve">andatory </w:t>
      </w:r>
      <w:r w:rsidR="00F9672A" w:rsidRPr="00CD52EE">
        <w:rPr>
          <w:color w:val="auto"/>
          <w:sz w:val="20"/>
          <w:szCs w:val="20"/>
        </w:rPr>
        <w:t xml:space="preserve">imposition of the </w:t>
      </w:r>
      <w:r w:rsidRPr="00CD52EE">
        <w:rPr>
          <w:color w:val="auto"/>
          <w:sz w:val="20"/>
          <w:szCs w:val="20"/>
        </w:rPr>
        <w:t>d</w:t>
      </w:r>
      <w:r w:rsidR="002B1B74" w:rsidRPr="00CD52EE">
        <w:rPr>
          <w:color w:val="auto"/>
          <w:sz w:val="20"/>
          <w:szCs w:val="20"/>
        </w:rPr>
        <w:t>eath penalty</w:t>
      </w:r>
      <w:bookmarkEnd w:id="24"/>
    </w:p>
    <w:p w14:paraId="5589F751" w14:textId="77777777" w:rsidR="002B1B74" w:rsidRPr="00CD52EE" w:rsidRDefault="002B1B74" w:rsidP="002B1B7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8E1D3FD" w14:textId="77777777" w:rsidR="00F51495" w:rsidRPr="00CD52EE" w:rsidRDefault="00951647" w:rsidP="009516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According to the longstanding jurisprudence of the IACHR and the Inter-American Court</w:t>
      </w:r>
      <w:r w:rsidR="009D3CA7" w:rsidRPr="00CD52EE">
        <w:rPr>
          <w:rFonts w:asciiTheme="majorHAnsi" w:eastAsia="Times New Roman" w:hAnsiTheme="majorHAnsi"/>
          <w:sz w:val="20"/>
          <w:szCs w:val="20"/>
        </w:rPr>
        <w:t>,</w:t>
      </w:r>
      <w:r w:rsidRPr="00CD52EE">
        <w:rPr>
          <w:rFonts w:asciiTheme="majorHAnsi" w:eastAsia="Times New Roman" w:hAnsiTheme="majorHAnsi"/>
          <w:sz w:val="20"/>
          <w:szCs w:val="20"/>
        </w:rPr>
        <w:t xml:space="preserve"> </w:t>
      </w:r>
      <w:r w:rsidR="00AD247D" w:rsidRPr="00CD52EE">
        <w:rPr>
          <w:rFonts w:asciiTheme="majorHAnsi" w:eastAsia="Times New Roman" w:hAnsiTheme="majorHAnsi"/>
          <w:sz w:val="20"/>
          <w:szCs w:val="20"/>
        </w:rPr>
        <w:t>t</w:t>
      </w:r>
      <w:r w:rsidR="00F51495" w:rsidRPr="00CD52EE">
        <w:rPr>
          <w:rFonts w:asciiTheme="majorHAnsi" w:eastAsia="Times New Roman" w:hAnsiTheme="majorHAnsi"/>
          <w:sz w:val="20"/>
          <w:szCs w:val="20"/>
        </w:rPr>
        <w:t xml:space="preserve">he mandatory death penalty, that is, the imposition of </w:t>
      </w:r>
      <w:r w:rsidR="00FF2E1A" w:rsidRPr="00CD52EE">
        <w:rPr>
          <w:rFonts w:asciiTheme="majorHAnsi" w:eastAsia="Times New Roman" w:hAnsiTheme="majorHAnsi"/>
          <w:sz w:val="20"/>
          <w:szCs w:val="20"/>
        </w:rPr>
        <w:t xml:space="preserve">the </w:t>
      </w:r>
      <w:r w:rsidR="00F51495" w:rsidRPr="00CD52EE">
        <w:rPr>
          <w:rFonts w:asciiTheme="majorHAnsi" w:eastAsia="Times New Roman" w:hAnsiTheme="majorHAnsi"/>
          <w:sz w:val="20"/>
          <w:szCs w:val="20"/>
        </w:rPr>
        <w:t>death penalty upon conviction for a crime</w:t>
      </w:r>
      <w:r w:rsidR="00A962F4" w:rsidRPr="00CD52EE">
        <w:rPr>
          <w:rFonts w:asciiTheme="majorHAnsi" w:eastAsia="Times New Roman" w:hAnsiTheme="majorHAnsi"/>
          <w:sz w:val="20"/>
          <w:szCs w:val="20"/>
        </w:rPr>
        <w:t>,</w:t>
      </w:r>
      <w:r w:rsidR="00F51495" w:rsidRPr="00CD52EE">
        <w:rPr>
          <w:rFonts w:asciiTheme="majorHAnsi" w:eastAsia="Times New Roman" w:hAnsiTheme="majorHAnsi"/>
          <w:sz w:val="20"/>
          <w:szCs w:val="20"/>
        </w:rPr>
        <w:t xml:space="preserve"> without an opportunity for presenting and considering mitigating circumstances in the sentencing process, contravenes the American Convention and the American Declaration.</w:t>
      </w:r>
      <w:r w:rsidR="00AD247D" w:rsidRPr="00CD52EE">
        <w:rPr>
          <w:rStyle w:val="FootnoteReference"/>
          <w:rFonts w:asciiTheme="majorHAnsi" w:eastAsia="Times New Roman" w:hAnsiTheme="majorHAnsi"/>
          <w:sz w:val="20"/>
          <w:szCs w:val="20"/>
        </w:rPr>
        <w:footnoteReference w:id="52"/>
      </w:r>
      <w:r w:rsidR="00F51495" w:rsidRPr="00CD52EE">
        <w:t>  </w:t>
      </w:r>
    </w:p>
    <w:p w14:paraId="7A8E6A85" w14:textId="77777777" w:rsidR="00F51495" w:rsidRPr="00CD52EE" w:rsidRDefault="00F51495" w:rsidP="00BC79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449979CF" w14:textId="77777777" w:rsidR="001539CF" w:rsidRPr="00401038" w:rsidRDefault="001539CF" w:rsidP="009516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Cambria" w:hAnsi="Cambria"/>
          <w:sz w:val="20"/>
          <w:szCs w:val="20"/>
          <w:bdr w:val="none" w:sz="0" w:space="0" w:color="auto"/>
        </w:rPr>
        <w:t>With respect to Trinidad and Tobago, the Inter-American Court found that:</w:t>
      </w:r>
      <w:r w:rsidRPr="00CD52EE">
        <w:rPr>
          <w:rStyle w:val="FootnoteReference"/>
          <w:rFonts w:ascii="Cambria" w:hAnsi="Cambria"/>
          <w:sz w:val="20"/>
          <w:szCs w:val="20"/>
          <w:bdr w:val="none" w:sz="0" w:space="0" w:color="auto"/>
        </w:rPr>
        <w:footnoteReference w:id="53"/>
      </w:r>
    </w:p>
    <w:p w14:paraId="4EE2E007" w14:textId="77777777" w:rsidR="00401038" w:rsidRPr="00CD52EE" w:rsidRDefault="00401038" w:rsidP="0040103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70B9409C" w14:textId="77777777" w:rsidR="009F4F97" w:rsidRDefault="00CE1615" w:rsidP="009F4F9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18"/>
        </w:rPr>
      </w:pPr>
      <w:r>
        <w:rPr>
          <w:rFonts w:asciiTheme="majorHAnsi" w:eastAsia="Times New Roman" w:hAnsiTheme="majorHAnsi"/>
          <w:sz w:val="20"/>
          <w:szCs w:val="20"/>
        </w:rPr>
        <w:t>[…]</w:t>
      </w:r>
      <w:r w:rsidR="009F4F97" w:rsidRPr="009F4F97">
        <w:rPr>
          <w:rFonts w:asciiTheme="majorHAnsi" w:eastAsia="Times New Roman" w:hAnsiTheme="majorHAnsi"/>
          <w:sz w:val="18"/>
          <w:szCs w:val="18"/>
        </w:rPr>
        <w:t xml:space="preserve"> </w:t>
      </w:r>
      <w:r>
        <w:rPr>
          <w:rFonts w:asciiTheme="majorHAnsi" w:eastAsia="Times New Roman" w:hAnsiTheme="majorHAnsi"/>
          <w:sz w:val="18"/>
          <w:szCs w:val="18"/>
        </w:rPr>
        <w:t>[T]</w:t>
      </w:r>
      <w:r w:rsidR="009F4F97" w:rsidRPr="009F4F97">
        <w:rPr>
          <w:rFonts w:asciiTheme="majorHAnsi" w:eastAsia="Times New Roman" w:hAnsiTheme="majorHAnsi"/>
          <w:sz w:val="18"/>
          <w:szCs w:val="18"/>
        </w:rPr>
        <w:t xml:space="preserve">he </w:t>
      </w:r>
      <w:r w:rsidR="009F4F97" w:rsidRPr="00D8238D">
        <w:rPr>
          <w:rFonts w:asciiTheme="majorHAnsi" w:eastAsia="Times New Roman" w:hAnsiTheme="majorHAnsi"/>
          <w:i/>
          <w:sz w:val="18"/>
          <w:szCs w:val="18"/>
        </w:rPr>
        <w:t>Offences Against the Person Act</w:t>
      </w:r>
      <w:r w:rsidR="009F4F97" w:rsidRPr="009F4F97">
        <w:rPr>
          <w:rFonts w:asciiTheme="majorHAnsi" w:eastAsia="Times New Roman" w:hAnsiTheme="majorHAnsi"/>
          <w:sz w:val="18"/>
          <w:szCs w:val="18"/>
        </w:rPr>
        <w:t xml:space="preserve"> has two principal aspects: a) in the determination of criminal responsibility, it only authorizes the competent judicial authority to find a person guilty of murder solely based on the categorization of the crime, without taking into account the personal conditions of the defendant or the individual circumstances of the crime; and b) in the determination of punishment, it mechanically and generically imposes the death penalty for all persons found guilty of murder and prevents the modification of the punishment through a process of judicial review.</w:t>
      </w:r>
    </w:p>
    <w:p w14:paraId="0DF0993C" w14:textId="77777777" w:rsidR="009F4F97" w:rsidRDefault="009F4F97" w:rsidP="00D823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right="360"/>
        <w:jc w:val="both"/>
        <w:rPr>
          <w:rFonts w:asciiTheme="majorHAnsi" w:eastAsia="Times New Roman" w:hAnsiTheme="majorHAnsi"/>
          <w:sz w:val="18"/>
          <w:szCs w:val="18"/>
        </w:rPr>
      </w:pPr>
    </w:p>
    <w:p w14:paraId="62335050" w14:textId="77777777" w:rsidR="009F4F97" w:rsidRDefault="009F4F97" w:rsidP="009F4F9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18"/>
        </w:rPr>
      </w:pPr>
      <w:r>
        <w:rPr>
          <w:rFonts w:asciiTheme="majorHAnsi" w:eastAsia="Times New Roman" w:hAnsiTheme="majorHAnsi"/>
          <w:sz w:val="18"/>
          <w:szCs w:val="18"/>
        </w:rPr>
        <w:t>[</w:t>
      </w:r>
      <w:r w:rsidR="001539CF" w:rsidRPr="00CD52EE">
        <w:rPr>
          <w:rFonts w:asciiTheme="majorHAnsi" w:eastAsia="Times New Roman" w:hAnsiTheme="majorHAnsi"/>
          <w:sz w:val="18"/>
          <w:szCs w:val="18"/>
        </w:rPr>
        <w:t>…</w:t>
      </w:r>
      <w:r>
        <w:rPr>
          <w:rFonts w:asciiTheme="majorHAnsi" w:eastAsia="Times New Roman" w:hAnsiTheme="majorHAnsi"/>
          <w:sz w:val="18"/>
          <w:szCs w:val="18"/>
        </w:rPr>
        <w:t>]</w:t>
      </w:r>
      <w:r w:rsidR="001539CF" w:rsidRPr="00CD52EE">
        <w:rPr>
          <w:rFonts w:asciiTheme="majorHAnsi" w:eastAsia="Times New Roman" w:hAnsiTheme="majorHAnsi"/>
          <w:sz w:val="18"/>
          <w:szCs w:val="18"/>
        </w:rPr>
        <w:t xml:space="preserve"> the </w:t>
      </w:r>
      <w:r w:rsidR="001539CF" w:rsidRPr="00CD52EE">
        <w:rPr>
          <w:rFonts w:asciiTheme="majorHAnsi" w:eastAsia="Times New Roman" w:hAnsiTheme="majorHAnsi"/>
          <w:i/>
          <w:iCs/>
          <w:sz w:val="18"/>
          <w:szCs w:val="18"/>
        </w:rPr>
        <w:t xml:space="preserve">Offences Against the Person Act </w:t>
      </w:r>
      <w:r w:rsidR="001539CF" w:rsidRPr="00CD52EE">
        <w:rPr>
          <w:rFonts w:asciiTheme="majorHAnsi" w:eastAsia="Times New Roman" w:hAnsiTheme="majorHAnsi"/>
          <w:sz w:val="18"/>
          <w:szCs w:val="18"/>
        </w:rPr>
        <w:t>of 1925 of Trinidad and Tobago automatically and generically mandates the application of the death penalty for murder and disregards the fact that murder may have varying degrees of seriousness. Consequently, this Act prevents the judge from considering the basic circumstances in establishing the degree of culpability and individualising the sentence since it compels the indiscriminate imposition of the same punishment for conduct that can be vastly different. In light of Article 4 of the American Convention, this is exceptionally grave, as it puts at risk the most cherished possession, namely, human life, and is arbitrary according to the terms of Article 4(1) of the Convention.</w:t>
      </w:r>
      <w:r w:rsidR="002B1B74" w:rsidRPr="00CD52EE">
        <w:rPr>
          <w:rFonts w:asciiTheme="majorHAnsi" w:eastAsia="Times New Roman" w:hAnsiTheme="majorHAnsi"/>
          <w:sz w:val="18"/>
          <w:szCs w:val="18"/>
        </w:rPr>
        <w:t xml:space="preserve"> </w:t>
      </w:r>
    </w:p>
    <w:p w14:paraId="659CEBC5" w14:textId="77777777" w:rsidR="009F4F97" w:rsidRDefault="009F4F97" w:rsidP="008A79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18"/>
        </w:rPr>
      </w:pPr>
      <w:r>
        <w:rPr>
          <w:rFonts w:asciiTheme="majorHAnsi" w:eastAsia="Times New Roman" w:hAnsiTheme="majorHAnsi"/>
          <w:sz w:val="18"/>
          <w:szCs w:val="18"/>
        </w:rPr>
        <w:t>[…]</w:t>
      </w:r>
    </w:p>
    <w:p w14:paraId="500DD52F" w14:textId="77777777" w:rsidR="009F4F97" w:rsidRDefault="009F4F97" w:rsidP="00E03C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18"/>
        </w:rPr>
      </w:pPr>
      <w:r>
        <w:rPr>
          <w:rFonts w:asciiTheme="majorHAnsi" w:eastAsia="Times New Roman" w:hAnsiTheme="majorHAnsi"/>
          <w:sz w:val="18"/>
          <w:szCs w:val="18"/>
        </w:rPr>
        <w:t>[…]</w:t>
      </w:r>
      <w:r w:rsidRPr="009F4F97">
        <w:rPr>
          <w:rFonts w:asciiTheme="majorHAnsi" w:eastAsia="Times New Roman" w:hAnsiTheme="majorHAnsi"/>
          <w:sz w:val="18"/>
          <w:szCs w:val="18"/>
        </w:rPr>
        <w:t xml:space="preserve"> </w:t>
      </w:r>
      <w:r>
        <w:rPr>
          <w:rFonts w:asciiTheme="majorHAnsi" w:eastAsia="Times New Roman" w:hAnsiTheme="majorHAnsi"/>
          <w:sz w:val="18"/>
          <w:szCs w:val="18"/>
        </w:rPr>
        <w:t>[T]</w:t>
      </w:r>
      <w:r w:rsidRPr="009F4F97">
        <w:rPr>
          <w:rFonts w:asciiTheme="majorHAnsi" w:eastAsia="Times New Roman" w:hAnsiTheme="majorHAnsi"/>
          <w:sz w:val="18"/>
          <w:szCs w:val="18"/>
        </w:rPr>
        <w:t xml:space="preserve">he Court concludes that because the </w:t>
      </w:r>
      <w:r w:rsidRPr="00D8238D">
        <w:rPr>
          <w:rFonts w:asciiTheme="majorHAnsi" w:eastAsia="Times New Roman" w:hAnsiTheme="majorHAnsi"/>
          <w:i/>
          <w:sz w:val="18"/>
          <w:szCs w:val="18"/>
        </w:rPr>
        <w:t>Offences Against the Person Act</w:t>
      </w:r>
      <w:r w:rsidRPr="009F4F97">
        <w:rPr>
          <w:rFonts w:asciiTheme="majorHAnsi" w:eastAsia="Times New Roman" w:hAnsiTheme="majorHAnsi"/>
          <w:sz w:val="18"/>
          <w:szCs w:val="18"/>
        </w:rPr>
        <w:t xml:space="preserve"> submits all persons charged with murder to a judicial process in which the individual circumstances of the accused and the crime are not considered, the aforementioned Act violates the prohibition against the arbitrary deprivation of life, in contravention of Article 4(1) and 4(2) of the Convention</w:t>
      </w:r>
      <w:r>
        <w:rPr>
          <w:rFonts w:asciiTheme="majorHAnsi" w:eastAsia="Times New Roman" w:hAnsiTheme="majorHAnsi"/>
          <w:sz w:val="18"/>
          <w:szCs w:val="18"/>
        </w:rPr>
        <w:t>.</w:t>
      </w:r>
    </w:p>
    <w:p w14:paraId="3DB84623" w14:textId="77777777" w:rsidR="009F4F97" w:rsidRDefault="009F4F9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18"/>
        </w:rPr>
      </w:pPr>
      <w:r>
        <w:rPr>
          <w:rFonts w:asciiTheme="majorHAnsi" w:eastAsia="Times New Roman" w:hAnsiTheme="majorHAnsi"/>
          <w:sz w:val="18"/>
          <w:szCs w:val="18"/>
        </w:rPr>
        <w:t>[…]</w:t>
      </w:r>
    </w:p>
    <w:p w14:paraId="6167934A" w14:textId="77777777" w:rsidR="009F4F97" w:rsidRDefault="009F4F9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eastAsia="Times New Roman" w:hAnsiTheme="majorHAnsi"/>
          <w:sz w:val="18"/>
          <w:szCs w:val="18"/>
        </w:rPr>
      </w:pPr>
      <w:r>
        <w:rPr>
          <w:rFonts w:asciiTheme="majorHAnsi" w:eastAsia="Times New Roman" w:hAnsiTheme="majorHAnsi"/>
          <w:sz w:val="18"/>
          <w:szCs w:val="18"/>
        </w:rPr>
        <w:t>[T]</w:t>
      </w:r>
      <w:r w:rsidRPr="009F4F97">
        <w:rPr>
          <w:rFonts w:asciiTheme="majorHAnsi" w:eastAsia="Times New Roman" w:hAnsiTheme="majorHAnsi"/>
          <w:sz w:val="18"/>
          <w:szCs w:val="18"/>
        </w:rPr>
        <w:t>he Court considers that even though thirty-one</w:t>
      </w:r>
      <w:r>
        <w:rPr>
          <w:rFonts w:asciiTheme="majorHAnsi" w:eastAsia="Times New Roman" w:hAnsiTheme="majorHAnsi"/>
          <w:sz w:val="18"/>
          <w:szCs w:val="18"/>
        </w:rPr>
        <w:t xml:space="preserve"> of the alleged victims in this </w:t>
      </w:r>
      <w:r w:rsidRPr="009F4F97">
        <w:rPr>
          <w:rFonts w:asciiTheme="majorHAnsi" w:eastAsia="Times New Roman" w:hAnsiTheme="majorHAnsi"/>
          <w:sz w:val="18"/>
          <w:szCs w:val="18"/>
        </w:rPr>
        <w:t>case have not yet been executed, it is appropriat</w:t>
      </w:r>
      <w:r>
        <w:rPr>
          <w:rFonts w:asciiTheme="majorHAnsi" w:eastAsia="Times New Roman" w:hAnsiTheme="majorHAnsi"/>
          <w:sz w:val="18"/>
          <w:szCs w:val="18"/>
        </w:rPr>
        <w:t xml:space="preserve">e to find that there has been a </w:t>
      </w:r>
      <w:r w:rsidRPr="009F4F97">
        <w:rPr>
          <w:rFonts w:asciiTheme="majorHAnsi" w:eastAsia="Times New Roman" w:hAnsiTheme="majorHAnsi"/>
          <w:sz w:val="18"/>
          <w:szCs w:val="18"/>
        </w:rPr>
        <w:t>violation of Article 2 of the Convention, by virtue of t</w:t>
      </w:r>
      <w:r>
        <w:rPr>
          <w:rFonts w:asciiTheme="majorHAnsi" w:eastAsia="Times New Roman" w:hAnsiTheme="majorHAnsi"/>
          <w:sz w:val="18"/>
          <w:szCs w:val="18"/>
        </w:rPr>
        <w:t xml:space="preserve">he fact that the mere existence </w:t>
      </w:r>
      <w:r w:rsidRPr="009F4F97">
        <w:rPr>
          <w:rFonts w:asciiTheme="majorHAnsi" w:eastAsia="Times New Roman" w:hAnsiTheme="majorHAnsi"/>
          <w:sz w:val="18"/>
          <w:szCs w:val="18"/>
        </w:rPr>
        <w:t xml:space="preserve">of the </w:t>
      </w:r>
      <w:r w:rsidRPr="00D8238D">
        <w:rPr>
          <w:rFonts w:asciiTheme="majorHAnsi" w:eastAsia="Times New Roman" w:hAnsiTheme="majorHAnsi"/>
          <w:i/>
          <w:sz w:val="18"/>
          <w:szCs w:val="18"/>
        </w:rPr>
        <w:t>Offences Against the Person Act</w:t>
      </w:r>
      <w:r w:rsidRPr="009F4F97">
        <w:rPr>
          <w:rFonts w:asciiTheme="majorHAnsi" w:eastAsia="Times New Roman" w:hAnsiTheme="majorHAnsi"/>
          <w:sz w:val="18"/>
          <w:szCs w:val="18"/>
        </w:rPr>
        <w:t xml:space="preserve"> in itself constitutes a </w:t>
      </w:r>
      <w:r w:rsidRPr="00D8238D">
        <w:rPr>
          <w:rFonts w:asciiTheme="majorHAnsi" w:eastAsia="Times New Roman" w:hAnsiTheme="majorHAnsi"/>
          <w:i/>
          <w:sz w:val="18"/>
          <w:szCs w:val="18"/>
        </w:rPr>
        <w:t>per se</w:t>
      </w:r>
      <w:r w:rsidRPr="009F4F97">
        <w:rPr>
          <w:rFonts w:asciiTheme="majorHAnsi" w:eastAsia="Times New Roman" w:hAnsiTheme="majorHAnsi"/>
          <w:sz w:val="18"/>
          <w:szCs w:val="18"/>
        </w:rPr>
        <w:t xml:space="preserve"> violation of that</w:t>
      </w:r>
      <w:r>
        <w:rPr>
          <w:rFonts w:asciiTheme="majorHAnsi" w:eastAsia="Times New Roman" w:hAnsiTheme="majorHAnsi"/>
          <w:sz w:val="18"/>
          <w:szCs w:val="18"/>
        </w:rPr>
        <w:t xml:space="preserve"> provision of the Convention”</w:t>
      </w:r>
    </w:p>
    <w:p w14:paraId="5D8A7145" w14:textId="77777777" w:rsidR="002B1B74" w:rsidRPr="00CD52EE" w:rsidRDefault="002B1B74" w:rsidP="00D823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right="360"/>
        <w:jc w:val="both"/>
        <w:rPr>
          <w:rFonts w:ascii="Cambria" w:hAnsi="Cambria"/>
          <w:sz w:val="18"/>
          <w:szCs w:val="18"/>
          <w:bdr w:val="none" w:sz="0" w:space="0" w:color="auto"/>
        </w:rPr>
      </w:pPr>
    </w:p>
    <w:p w14:paraId="232859C8" w14:textId="77777777" w:rsidR="001539CF" w:rsidRPr="00CD52EE" w:rsidRDefault="001539CF" w:rsidP="008A79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0"/>
          <w:bdr w:val="none" w:sz="0" w:space="0" w:color="auto"/>
        </w:rPr>
        <w:lastRenderedPageBreak/>
        <w:t xml:space="preserve">Among the circumstances </w:t>
      </w:r>
      <w:r w:rsidR="00E14449" w:rsidRPr="00CD52EE">
        <w:rPr>
          <w:rFonts w:asciiTheme="majorHAnsi" w:hAnsiTheme="majorHAnsi"/>
          <w:sz w:val="20"/>
          <w:szCs w:val="20"/>
          <w:bdr w:val="none" w:sz="0" w:space="0" w:color="auto"/>
        </w:rPr>
        <w:t>mentioned by the Commission</w:t>
      </w:r>
      <w:r w:rsidR="00A962F4" w:rsidRPr="00CD52EE">
        <w:rPr>
          <w:rFonts w:asciiTheme="majorHAnsi" w:hAnsiTheme="majorHAnsi"/>
          <w:sz w:val="20"/>
          <w:szCs w:val="20"/>
          <w:bdr w:val="none" w:sz="0" w:space="0" w:color="auto"/>
        </w:rPr>
        <w:t xml:space="preserve"> that are to be presented and considered i</w:t>
      </w:r>
      <w:r w:rsidR="007B467F" w:rsidRPr="00CD52EE">
        <w:rPr>
          <w:rFonts w:asciiTheme="majorHAnsi" w:hAnsiTheme="majorHAnsi"/>
          <w:sz w:val="20"/>
          <w:szCs w:val="20"/>
          <w:bdr w:val="none" w:sz="0" w:space="0" w:color="auto"/>
        </w:rPr>
        <w:t>n the sentencing process are:</w:t>
      </w:r>
      <w:r w:rsidRPr="00CD52EE">
        <w:rPr>
          <w:rFonts w:asciiTheme="majorHAnsi" w:hAnsiTheme="majorHAnsi"/>
          <w:sz w:val="20"/>
          <w:szCs w:val="20"/>
          <w:bdr w:val="none" w:sz="0" w:space="0" w:color="auto"/>
        </w:rPr>
        <w:t xml:space="preserve"> the prior criminal record of the offender, the subjective factors that could have motivated the conduct, the degree of participation in the criminal act</w:t>
      </w:r>
      <w:r w:rsidR="00734850" w:rsidRPr="00CD52EE">
        <w:rPr>
          <w:rFonts w:asciiTheme="majorHAnsi" w:hAnsiTheme="majorHAnsi"/>
          <w:sz w:val="20"/>
          <w:szCs w:val="20"/>
          <w:bdr w:val="none" w:sz="0" w:space="0" w:color="auto"/>
        </w:rPr>
        <w:t>,</w:t>
      </w:r>
      <w:r w:rsidRPr="00CD52EE">
        <w:rPr>
          <w:rFonts w:asciiTheme="majorHAnsi" w:hAnsiTheme="majorHAnsi"/>
          <w:sz w:val="20"/>
          <w:szCs w:val="20"/>
          <w:bdr w:val="none" w:sz="0" w:space="0" w:color="auto"/>
        </w:rPr>
        <w:t xml:space="preserve"> and the probability that the offender could be rehabilitated. </w:t>
      </w:r>
      <w:r w:rsidR="00A962F4" w:rsidRPr="00CD52EE">
        <w:rPr>
          <w:rFonts w:asciiTheme="majorHAnsi" w:hAnsiTheme="majorHAnsi"/>
          <w:sz w:val="20"/>
          <w:szCs w:val="20"/>
          <w:bdr w:val="none" w:sz="0" w:space="0" w:color="auto"/>
        </w:rPr>
        <w:t>Trinidadian law</w:t>
      </w:r>
      <w:r w:rsidR="007B467F" w:rsidRPr="00CD52EE">
        <w:rPr>
          <w:rFonts w:asciiTheme="majorHAnsi" w:hAnsiTheme="majorHAnsi"/>
          <w:sz w:val="20"/>
          <w:szCs w:val="20"/>
          <w:bdr w:val="none" w:sz="0" w:space="0" w:color="auto"/>
        </w:rPr>
        <w:t>,</w:t>
      </w:r>
      <w:r w:rsidR="00A962F4" w:rsidRPr="00CD52EE">
        <w:rPr>
          <w:rFonts w:asciiTheme="majorHAnsi" w:hAnsiTheme="majorHAnsi"/>
          <w:sz w:val="20"/>
          <w:szCs w:val="20"/>
          <w:bdr w:val="none" w:sz="0" w:space="0" w:color="auto"/>
        </w:rPr>
        <w:t xml:space="preserve"> </w:t>
      </w:r>
      <w:r w:rsidR="000B06A8" w:rsidRPr="00CD52EE">
        <w:rPr>
          <w:rFonts w:asciiTheme="majorHAnsi" w:hAnsiTheme="majorHAnsi"/>
          <w:sz w:val="20"/>
          <w:szCs w:val="20"/>
          <w:bdr w:val="none" w:sz="0" w:space="0" w:color="auto"/>
        </w:rPr>
        <w:t>however</w:t>
      </w:r>
      <w:r w:rsidR="007B467F" w:rsidRPr="00CD52EE">
        <w:rPr>
          <w:rFonts w:asciiTheme="majorHAnsi" w:hAnsiTheme="majorHAnsi"/>
          <w:sz w:val="20"/>
          <w:szCs w:val="20"/>
          <w:bdr w:val="none" w:sz="0" w:space="0" w:color="auto"/>
        </w:rPr>
        <w:t>,</w:t>
      </w:r>
      <w:r w:rsidR="000B06A8" w:rsidRPr="00CD52EE">
        <w:rPr>
          <w:rFonts w:asciiTheme="majorHAnsi" w:hAnsiTheme="majorHAnsi"/>
          <w:sz w:val="20"/>
          <w:szCs w:val="20"/>
          <w:bdr w:val="none" w:sz="0" w:space="0" w:color="auto"/>
        </w:rPr>
        <w:t xml:space="preserve"> </w:t>
      </w:r>
      <w:r w:rsidR="00A962F4" w:rsidRPr="00CD52EE">
        <w:rPr>
          <w:rFonts w:asciiTheme="majorHAnsi" w:hAnsiTheme="majorHAnsi"/>
          <w:sz w:val="20"/>
          <w:szCs w:val="20"/>
          <w:bdr w:val="none" w:sz="0" w:space="0" w:color="auto"/>
        </w:rPr>
        <w:t xml:space="preserve">does not </w:t>
      </w:r>
      <w:r w:rsidR="000B06A8" w:rsidRPr="00CD52EE">
        <w:rPr>
          <w:rFonts w:asciiTheme="majorHAnsi" w:hAnsiTheme="majorHAnsi"/>
          <w:sz w:val="20"/>
          <w:szCs w:val="20"/>
          <w:bdr w:val="none" w:sz="0" w:space="0" w:color="auto"/>
        </w:rPr>
        <w:t>consider any of these factors when sentencing persons convicted for murder</w:t>
      </w:r>
      <w:r w:rsidR="00A962F4" w:rsidRPr="00CD52EE">
        <w:rPr>
          <w:rFonts w:asciiTheme="majorHAnsi" w:hAnsiTheme="majorHAnsi"/>
          <w:sz w:val="20"/>
          <w:szCs w:val="20"/>
          <w:bdr w:val="none" w:sz="0" w:space="0" w:color="auto"/>
        </w:rPr>
        <w:t xml:space="preserve">. </w:t>
      </w:r>
      <w:r w:rsidR="00BF69B1" w:rsidRPr="00CD52EE">
        <w:rPr>
          <w:rFonts w:ascii="Cambria" w:hAnsi="Cambria"/>
          <w:sz w:val="20"/>
          <w:szCs w:val="20"/>
          <w:bdr w:val="none" w:sz="0" w:space="0" w:color="auto"/>
        </w:rPr>
        <w:t>T</w:t>
      </w:r>
      <w:r w:rsidR="0063642F" w:rsidRPr="00CD52EE">
        <w:rPr>
          <w:rFonts w:asciiTheme="majorHAnsi" w:hAnsiTheme="majorHAnsi"/>
          <w:sz w:val="20"/>
          <w:szCs w:val="20"/>
          <w:bdr w:val="none" w:sz="0" w:space="0" w:color="auto"/>
        </w:rPr>
        <w:t>he Commission added that the use of the mandatory death penalty by Trinidad and Tobago and the result</w:t>
      </w:r>
      <w:r w:rsidR="00812665" w:rsidRPr="00CD52EE">
        <w:rPr>
          <w:rFonts w:asciiTheme="majorHAnsi" w:hAnsiTheme="majorHAnsi"/>
          <w:sz w:val="20"/>
          <w:szCs w:val="20"/>
          <w:bdr w:val="none" w:sz="0" w:space="0" w:color="auto"/>
        </w:rPr>
        <w:t>ing</w:t>
      </w:r>
      <w:r w:rsidR="0063642F" w:rsidRPr="00CD52EE">
        <w:rPr>
          <w:rFonts w:asciiTheme="majorHAnsi" w:hAnsiTheme="majorHAnsi"/>
          <w:sz w:val="20"/>
          <w:szCs w:val="20"/>
          <w:bdr w:val="none" w:sz="0" w:space="0" w:color="auto"/>
        </w:rPr>
        <w:t xml:space="preserve"> imposition of the death penalty on all persons convicted of murder without taking into account the particular circumstances or the varying degrees of culpability, also contravened the inherent dignity of the human being and the right to humane treatment protected in Article 5(1) and 5(2) of the American Convention.</w:t>
      </w:r>
      <w:r w:rsidR="00BF69B1" w:rsidRPr="00CD52EE">
        <w:rPr>
          <w:rStyle w:val="FootnoteReference"/>
          <w:rFonts w:asciiTheme="majorHAnsi" w:hAnsiTheme="majorHAnsi"/>
          <w:sz w:val="20"/>
          <w:szCs w:val="20"/>
          <w:bdr w:val="none" w:sz="0" w:space="0" w:color="auto"/>
        </w:rPr>
        <w:footnoteReference w:id="54"/>
      </w:r>
      <w:r w:rsidR="0063642F" w:rsidRPr="00CD52EE">
        <w:rPr>
          <w:rFonts w:asciiTheme="majorHAnsi" w:hAnsiTheme="majorHAnsi"/>
          <w:sz w:val="20"/>
          <w:szCs w:val="20"/>
          <w:bdr w:val="none" w:sz="0" w:space="0" w:color="auto"/>
        </w:rPr>
        <w:t xml:space="preserve"> </w:t>
      </w:r>
    </w:p>
    <w:p w14:paraId="5E090ED8" w14:textId="77777777" w:rsidR="001539CF" w:rsidRPr="00CD52EE" w:rsidRDefault="001539CF" w:rsidP="008A79D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1C8B4F5C" w14:textId="77777777" w:rsidR="00E03E69" w:rsidRPr="00CD52EE" w:rsidRDefault="00F1345E" w:rsidP="00E03E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CD52EE">
        <w:rPr>
          <w:rFonts w:ascii="Cambria" w:hAnsi="Cambria"/>
          <w:sz w:val="20"/>
          <w:szCs w:val="20"/>
          <w:bdr w:val="none" w:sz="0" w:space="0" w:color="auto"/>
        </w:rPr>
        <w:t xml:space="preserve">In the case of </w:t>
      </w:r>
      <w:r w:rsidRPr="00CD52EE">
        <w:rPr>
          <w:rFonts w:ascii="Cambria,Italic" w:hAnsi="Cambria,Italic"/>
          <w:sz w:val="20"/>
          <w:szCs w:val="20"/>
          <w:bdr w:val="none" w:sz="0" w:space="0" w:color="auto"/>
        </w:rPr>
        <w:t xml:space="preserve">Edwards </w:t>
      </w:r>
      <w:r w:rsidRPr="00CD52EE">
        <w:rPr>
          <w:rFonts w:ascii="Cambria,Italic" w:hAnsi="Cambria,Italic"/>
          <w:i/>
          <w:iCs/>
          <w:sz w:val="20"/>
          <w:szCs w:val="20"/>
          <w:bdr w:val="none" w:sz="0" w:space="0" w:color="auto"/>
        </w:rPr>
        <w:t>et al</w:t>
      </w:r>
      <w:r w:rsidR="00F51495" w:rsidRPr="00CD52EE">
        <w:rPr>
          <w:rFonts w:ascii="Cambria,Italic" w:hAnsi="Cambria,Italic"/>
          <w:i/>
          <w:iCs/>
          <w:sz w:val="20"/>
          <w:szCs w:val="20"/>
          <w:bdr w:val="none" w:sz="0" w:space="0" w:color="auto"/>
        </w:rPr>
        <w:t>.</w:t>
      </w:r>
      <w:r w:rsidRPr="00CD52EE">
        <w:rPr>
          <w:rFonts w:ascii="Cambria,Italic" w:hAnsi="Cambria,Italic"/>
          <w:sz w:val="20"/>
          <w:szCs w:val="20"/>
          <w:bdr w:val="none" w:sz="0" w:space="0" w:color="auto"/>
        </w:rPr>
        <w:t xml:space="preserve">, </w:t>
      </w:r>
      <w:r w:rsidR="002B1B74" w:rsidRPr="00CD52EE">
        <w:rPr>
          <w:rFonts w:ascii="Cambria" w:hAnsi="Cambria"/>
          <w:sz w:val="20"/>
          <w:szCs w:val="20"/>
          <w:bdr w:val="none" w:sz="0" w:space="0" w:color="auto"/>
        </w:rPr>
        <w:t xml:space="preserve">the </w:t>
      </w:r>
      <w:r w:rsidR="001539CF" w:rsidRPr="00CD52EE">
        <w:rPr>
          <w:rFonts w:ascii="Cambria" w:hAnsi="Cambria"/>
          <w:sz w:val="20"/>
          <w:szCs w:val="20"/>
          <w:bdr w:val="none" w:sz="0" w:space="0" w:color="auto"/>
        </w:rPr>
        <w:t xml:space="preserve">Inter-American </w:t>
      </w:r>
      <w:r w:rsidR="002B1B74" w:rsidRPr="00CD52EE">
        <w:rPr>
          <w:rFonts w:ascii="Cambria" w:hAnsi="Cambria"/>
          <w:sz w:val="20"/>
          <w:szCs w:val="20"/>
          <w:bdr w:val="none" w:sz="0" w:space="0" w:color="auto"/>
        </w:rPr>
        <w:t>Commission noted</w:t>
      </w:r>
      <w:r w:rsidR="00F51495" w:rsidRPr="00CD52EE">
        <w:rPr>
          <w:rFonts w:ascii="Cambria" w:hAnsi="Cambria"/>
          <w:sz w:val="20"/>
          <w:szCs w:val="20"/>
          <w:bdr w:val="none" w:sz="0" w:space="0" w:color="auto"/>
        </w:rPr>
        <w:t>, with regard to The Bahamas,</w:t>
      </w:r>
      <w:r w:rsidR="002B1B74" w:rsidRPr="00CD52EE">
        <w:rPr>
          <w:rFonts w:ascii="Cambria" w:hAnsi="Cambria"/>
          <w:sz w:val="20"/>
          <w:szCs w:val="20"/>
          <w:bdr w:val="none" w:sz="0" w:space="0" w:color="auto"/>
        </w:rPr>
        <w:t xml:space="preserve"> </w:t>
      </w:r>
      <w:r w:rsidR="00F51495" w:rsidRPr="00CD52EE">
        <w:rPr>
          <w:rFonts w:ascii="Cambria" w:hAnsi="Cambria"/>
          <w:sz w:val="20"/>
          <w:szCs w:val="20"/>
          <w:bdr w:val="none" w:sz="0" w:space="0" w:color="auto"/>
        </w:rPr>
        <w:t>that the</w:t>
      </w:r>
      <w:r w:rsidR="002B1B74" w:rsidRPr="00CD52EE">
        <w:rPr>
          <w:rFonts w:ascii="Cambria" w:hAnsi="Cambria"/>
          <w:sz w:val="20"/>
          <w:szCs w:val="20"/>
          <w:bdr w:val="none" w:sz="0" w:space="0" w:color="auto"/>
        </w:rPr>
        <w:t xml:space="preserve"> mandatory sentencing by its very nature precludes consideration by a court of whether the death penalty is an appropriate, or indeed permissible, form of punishment in the circumstances of a </w:t>
      </w:r>
      <w:r w:rsidR="00141905" w:rsidRPr="00CD52EE">
        <w:rPr>
          <w:rFonts w:ascii="Cambria" w:hAnsi="Cambria"/>
          <w:sz w:val="20"/>
          <w:szCs w:val="20"/>
          <w:bdr w:val="none" w:sz="0" w:space="0" w:color="auto"/>
        </w:rPr>
        <w:t>particular offender or offense.</w:t>
      </w:r>
      <w:r w:rsidR="002B1B74" w:rsidRPr="00CD52EE">
        <w:rPr>
          <w:rFonts w:ascii="Cambria" w:hAnsi="Cambria"/>
          <w:sz w:val="20"/>
          <w:szCs w:val="20"/>
          <w:bdr w:val="none" w:sz="0" w:space="0" w:color="auto"/>
        </w:rPr>
        <w:t xml:space="preserve"> Moreover, </w:t>
      </w:r>
      <w:r w:rsidR="00F51495" w:rsidRPr="00CD52EE">
        <w:rPr>
          <w:rFonts w:ascii="Cambria" w:hAnsi="Cambria"/>
          <w:sz w:val="20"/>
          <w:szCs w:val="20"/>
          <w:bdr w:val="none" w:sz="0" w:space="0" w:color="auto"/>
        </w:rPr>
        <w:t xml:space="preserve">the Commission noted that, </w:t>
      </w:r>
      <w:r w:rsidR="002B1B74" w:rsidRPr="00CD52EE">
        <w:rPr>
          <w:rFonts w:ascii="Cambria" w:hAnsi="Cambria"/>
          <w:sz w:val="20"/>
          <w:szCs w:val="20"/>
          <w:bdr w:val="none" w:sz="0" w:space="0" w:color="auto"/>
        </w:rPr>
        <w:t>by reason of its compulsory and automatic application, a mandatory sentence cannot be the subject of an effective review by a higher court. Once a mandatory sentence is imposed, all that remains for a higher court to review is whether the defendant was found guilty of a crime for which the sentence was mandated.</w:t>
      </w:r>
      <w:r w:rsidR="002B1B74" w:rsidRPr="00CD52EE">
        <w:rPr>
          <w:rStyle w:val="FootnoteReference"/>
          <w:rFonts w:ascii="Cambria" w:hAnsi="Cambria"/>
          <w:sz w:val="20"/>
          <w:szCs w:val="20"/>
          <w:bdr w:val="none" w:sz="0" w:space="0" w:color="auto"/>
        </w:rPr>
        <w:footnoteReference w:id="55"/>
      </w:r>
    </w:p>
    <w:p w14:paraId="27703C90" w14:textId="77777777" w:rsidR="00784E3A" w:rsidRPr="00CD52EE" w:rsidRDefault="00784E3A" w:rsidP="008C614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bdr w:val="none" w:sz="0" w:space="0" w:color="auto"/>
        </w:rPr>
      </w:pPr>
    </w:p>
    <w:p w14:paraId="17D02660" w14:textId="77777777" w:rsidR="002B1B74" w:rsidRPr="00CD52EE" w:rsidRDefault="002B1B74" w:rsidP="008C61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bdr w:val="none" w:sz="0" w:space="0" w:color="auto"/>
        </w:rPr>
      </w:pPr>
      <w:r w:rsidRPr="00CD52EE">
        <w:rPr>
          <w:rFonts w:asciiTheme="majorHAnsi" w:hAnsiTheme="majorHAnsi"/>
          <w:sz w:val="20"/>
          <w:szCs w:val="20"/>
          <w:bdr w:val="none" w:sz="0" w:space="0" w:color="auto"/>
        </w:rPr>
        <w:t xml:space="preserve">The Commission reaffirms that imposing a mandatory penalty of death for all crimes of murder </w:t>
      </w:r>
      <w:r w:rsidR="00906DD8" w:rsidRPr="00CD52EE">
        <w:rPr>
          <w:rFonts w:asciiTheme="majorHAnsi" w:hAnsiTheme="majorHAnsi"/>
          <w:sz w:val="20"/>
          <w:szCs w:val="20"/>
          <w:bdr w:val="none" w:sz="0" w:space="0" w:color="auto"/>
        </w:rPr>
        <w:t>contravenes the prohibition of arbitrary deprivation of the right to life recognized in Article 4(1) of the Convention, as it fails to individualize the sentence in conformity with the characteristics of the crime, as well as the participation and degree of culpability of the accused</w:t>
      </w:r>
      <w:r w:rsidR="009F4F97">
        <w:rPr>
          <w:rFonts w:asciiTheme="majorHAnsi" w:hAnsiTheme="majorHAnsi"/>
          <w:sz w:val="20"/>
          <w:szCs w:val="20"/>
          <w:bdr w:val="none" w:sz="0" w:space="0" w:color="auto"/>
        </w:rPr>
        <w:t>, according to Article 4(2) of the same instrument</w:t>
      </w:r>
      <w:r w:rsidR="00906DD8" w:rsidRPr="00CD52EE">
        <w:rPr>
          <w:rFonts w:asciiTheme="majorHAnsi" w:hAnsiTheme="majorHAnsi"/>
          <w:sz w:val="20"/>
          <w:szCs w:val="20"/>
          <w:bdr w:val="none" w:sz="0" w:space="0" w:color="auto"/>
        </w:rPr>
        <w:t xml:space="preserve">. </w:t>
      </w:r>
      <w:r w:rsidRPr="00CD52EE">
        <w:rPr>
          <w:rFonts w:asciiTheme="majorHAnsi" w:hAnsiTheme="majorHAnsi"/>
          <w:sz w:val="20"/>
          <w:szCs w:val="20"/>
          <w:bdr w:val="none" w:sz="0" w:space="0" w:color="auto"/>
        </w:rPr>
        <w:t>By its nature, then, this process eliminates any reasoned basis for sentencing a particular individual to death and fails to allow for a rational and proportionate connection between individual offenders, their offenses, and the punishment imposed on them.</w:t>
      </w:r>
      <w:r w:rsidRPr="00CD52EE">
        <w:rPr>
          <w:rStyle w:val="FootnoteReference"/>
          <w:rFonts w:asciiTheme="majorHAnsi" w:hAnsiTheme="majorHAnsi"/>
          <w:sz w:val="20"/>
          <w:szCs w:val="20"/>
          <w:bdr w:val="none" w:sz="0" w:space="0" w:color="auto"/>
        </w:rPr>
        <w:footnoteReference w:id="56"/>
      </w:r>
      <w:r w:rsidRPr="00CD52EE">
        <w:rPr>
          <w:rStyle w:val="FootnoteReference"/>
          <w:rFonts w:asciiTheme="majorHAnsi" w:hAnsiTheme="majorHAnsi"/>
          <w:sz w:val="20"/>
          <w:szCs w:val="20"/>
        </w:rPr>
        <w:t xml:space="preserve"> </w:t>
      </w:r>
    </w:p>
    <w:p w14:paraId="275CDDFC" w14:textId="77777777" w:rsidR="00CD6813" w:rsidRDefault="00CD6813" w:rsidP="002B1B7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bdr w:val="none" w:sz="0" w:space="0" w:color="auto"/>
        </w:rPr>
      </w:pPr>
    </w:p>
    <w:p w14:paraId="30BCCD5C" w14:textId="77777777" w:rsidR="00CD6813" w:rsidRPr="00783135" w:rsidRDefault="00CD6813" w:rsidP="00D823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CD52EE">
        <w:rPr>
          <w:rFonts w:asciiTheme="majorHAnsi" w:hAnsiTheme="majorHAnsi"/>
          <w:sz w:val="20"/>
          <w:szCs w:val="20"/>
          <w:bdr w:val="none" w:sz="0" w:space="0" w:color="auto"/>
        </w:rPr>
        <w:t xml:space="preserve">In the instant case, the mandatory death penalty set forth in the Offences Against the Person Act was applied to Messrs. Dial and Dottin in February 1997, while the American Convention was in force. The Commission further notes that Trinidad and Tobago still retains the mandatory death penalty, being currently the only country in the Caribbean and in the Organization of American States to retain this penalty, following the Caribbean Court of Justice ruling of June 27, 2018, which found Barbados’ mandatory death penalty </w:t>
      </w:r>
      <w:r w:rsidRPr="00AB4486">
        <w:rPr>
          <w:rFonts w:asciiTheme="majorHAnsi" w:hAnsiTheme="majorHAnsi"/>
          <w:sz w:val="20"/>
          <w:szCs w:val="20"/>
          <w:bdr w:val="none" w:sz="0" w:space="0" w:color="auto"/>
        </w:rPr>
        <w:t>unconstitutional.</w:t>
      </w:r>
      <w:r w:rsidRPr="00AB4486">
        <w:rPr>
          <w:rStyle w:val="FootnoteReference"/>
          <w:rFonts w:asciiTheme="majorHAnsi" w:hAnsiTheme="majorHAnsi"/>
          <w:sz w:val="20"/>
          <w:szCs w:val="20"/>
          <w:bdr w:val="none" w:sz="0" w:space="0" w:color="auto"/>
        </w:rPr>
        <w:footnoteReference w:id="57"/>
      </w:r>
      <w:r w:rsidRPr="00AB4486">
        <w:rPr>
          <w:rFonts w:asciiTheme="majorHAnsi" w:hAnsiTheme="majorHAnsi"/>
          <w:sz w:val="20"/>
          <w:szCs w:val="20"/>
          <w:bdr w:val="none" w:sz="0" w:space="0" w:color="auto"/>
        </w:rPr>
        <w:t xml:space="preserve"> </w:t>
      </w:r>
      <w:r w:rsidRPr="00AB4486">
        <w:rPr>
          <w:rFonts w:ascii="Arial" w:hAnsi="Arial" w:cs="Arial"/>
          <w:color w:val="111111"/>
          <w:sz w:val="27"/>
          <w:szCs w:val="27"/>
          <w:shd w:val="clear" w:color="auto" w:fill="FFFFFF"/>
        </w:rPr>
        <w:t xml:space="preserve"> </w:t>
      </w:r>
    </w:p>
    <w:p w14:paraId="561F20D5" w14:textId="77777777" w:rsidR="00783135" w:rsidRDefault="00783135" w:rsidP="00783135">
      <w:pPr>
        <w:pStyle w:val="ListParagraph"/>
        <w:rPr>
          <w:sz w:val="20"/>
          <w:szCs w:val="20"/>
          <w:bdr w:val="none" w:sz="0" w:space="0" w:color="auto"/>
        </w:rPr>
      </w:pPr>
    </w:p>
    <w:p w14:paraId="033B6020" w14:textId="77777777" w:rsidR="00783135" w:rsidRPr="005E6EF3" w:rsidRDefault="00783135" w:rsidP="007831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5E6EF3">
        <w:rPr>
          <w:rFonts w:asciiTheme="majorHAnsi" w:hAnsiTheme="majorHAnsi"/>
          <w:sz w:val="20"/>
          <w:szCs w:val="20"/>
          <w:bdr w:val="none" w:sz="0" w:space="0" w:color="auto"/>
        </w:rPr>
        <w:t>The Commission further notes that Trinidad and Tobago still retains the mandatory death penalty.</w:t>
      </w:r>
      <w:r>
        <w:rPr>
          <w:rFonts w:asciiTheme="majorHAnsi" w:hAnsiTheme="majorHAnsi"/>
          <w:sz w:val="20"/>
          <w:szCs w:val="20"/>
          <w:bdr w:val="none" w:sz="0" w:space="0" w:color="auto"/>
        </w:rPr>
        <w:t xml:space="preserve"> </w:t>
      </w:r>
      <w:r w:rsidRPr="005E6EF3">
        <w:rPr>
          <w:rFonts w:ascii="Cambria" w:hAnsi="Cambria"/>
          <w:sz w:val="20"/>
          <w:szCs w:val="20"/>
          <w:bdr w:val="none" w:sz="0" w:space="0" w:color="auto"/>
        </w:rPr>
        <w:t xml:space="preserve">In its report </w:t>
      </w:r>
      <w:r w:rsidRPr="005E6EF3">
        <w:rPr>
          <w:rFonts w:ascii="Cambria" w:hAnsi="Cambria"/>
          <w:i/>
          <w:iCs/>
          <w:sz w:val="20"/>
          <w:szCs w:val="20"/>
          <w:bdr w:val="none" w:sz="0" w:space="0" w:color="auto"/>
        </w:rPr>
        <w:t>The death penalty in the Inter-American Human Rights Human System: From restrictions to abolition</w:t>
      </w:r>
      <w:r w:rsidRPr="005E6EF3">
        <w:rPr>
          <w:rFonts w:ascii="Cambria" w:hAnsi="Cambria"/>
          <w:sz w:val="20"/>
          <w:szCs w:val="20"/>
          <w:bdr w:val="none" w:sz="0" w:space="0" w:color="auto"/>
        </w:rPr>
        <w:t>, the IACHR has highlighted the role of the Inter-American Commission and Court in the abolition of the mandatory death penalty in the region in the following terms:</w:t>
      </w:r>
      <w:r w:rsidRPr="005E6EF3">
        <w:rPr>
          <w:rStyle w:val="FootnoteReference"/>
          <w:rFonts w:ascii="Cambria" w:hAnsi="Cambria"/>
          <w:sz w:val="20"/>
          <w:szCs w:val="20"/>
          <w:bdr w:val="none" w:sz="0" w:space="0" w:color="auto"/>
        </w:rPr>
        <w:footnoteReference w:id="58"/>
      </w:r>
    </w:p>
    <w:p w14:paraId="17E36FD0" w14:textId="77777777" w:rsidR="00783135" w:rsidRPr="005E6EF3" w:rsidRDefault="00783135" w:rsidP="00783135">
      <w:pPr>
        <w:pStyle w:val="ListParagraph"/>
        <w:ind w:left="360" w:right="360"/>
        <w:rPr>
          <w:rFonts w:asciiTheme="majorHAnsi" w:hAnsiTheme="majorHAnsi"/>
          <w:sz w:val="18"/>
          <w:szCs w:val="18"/>
          <w:bdr w:val="none" w:sz="0" w:space="0" w:color="auto"/>
        </w:rPr>
      </w:pPr>
    </w:p>
    <w:p w14:paraId="0B453D49" w14:textId="77777777" w:rsidR="00783135" w:rsidRPr="005E6EF3" w:rsidRDefault="00783135" w:rsidP="00783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rPr>
      </w:pPr>
      <w:r w:rsidRPr="005E6EF3">
        <w:rPr>
          <w:rFonts w:asciiTheme="majorHAnsi" w:hAnsiTheme="majorHAnsi"/>
          <w:sz w:val="18"/>
          <w:szCs w:val="18"/>
        </w:rPr>
        <w:t>The Commission’s decision in the Hilaire case was the first by an international human rights body to evaluate the human rights implications of the mandatory death penalty.</w:t>
      </w:r>
      <w:r w:rsidRPr="005E6EF3">
        <w:rPr>
          <w:rStyle w:val="FootnoteReference"/>
          <w:rFonts w:asciiTheme="majorHAnsi" w:hAnsiTheme="majorHAnsi"/>
          <w:sz w:val="18"/>
          <w:szCs w:val="18"/>
        </w:rPr>
        <w:footnoteReference w:id="59"/>
      </w:r>
      <w:r w:rsidRPr="005E6EF3">
        <w:rPr>
          <w:rFonts w:asciiTheme="majorHAnsi" w:hAnsiTheme="majorHAnsi"/>
          <w:sz w:val="18"/>
          <w:szCs w:val="18"/>
        </w:rPr>
        <w:t xml:space="preserve">  The Commission, and later the Court, drew on standards that had been developed by certain national courts in interpreting international standards.  The work of the Commission and Court in turn had an important influence on the development of further standards at the national level, and then by other international instances.  At the national level, the Eastern Caribbean Court of Appeal was the first, in 2001, to make explicit reference to the Inter‐American Commission’s jurisprudence (McKenzie v. Jamaica and Baptiste v. Grenada) in concluding that the mandatory death penalty in St. Lucia and St. Vincent violated the prohibition of inhuman treatment.    In conjunction with these developments, the Judicial </w:t>
      </w:r>
      <w:r w:rsidRPr="005E6EF3">
        <w:rPr>
          <w:rFonts w:asciiTheme="majorHAnsi" w:hAnsiTheme="majorHAnsi"/>
          <w:sz w:val="18"/>
          <w:szCs w:val="18"/>
        </w:rPr>
        <w:lastRenderedPageBreak/>
        <w:t>Committee of the Privy Council helped give legal effect to the mechanisms of the regional system by prohibiting certain States from executing the death sentences of persons whose petitions were pending before the Commission or Court.</w:t>
      </w:r>
    </w:p>
    <w:p w14:paraId="7A4CBEE8" w14:textId="77777777" w:rsidR="00783135" w:rsidRPr="005E6EF3" w:rsidRDefault="00783135" w:rsidP="00783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rPr>
      </w:pPr>
    </w:p>
    <w:p w14:paraId="6D44BC9F" w14:textId="77777777" w:rsidR="00783135" w:rsidRPr="005E6EF3" w:rsidRDefault="00783135" w:rsidP="00783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rPr>
      </w:pPr>
      <w:r w:rsidRPr="005E6EF3">
        <w:rPr>
          <w:rFonts w:asciiTheme="majorHAnsi" w:hAnsiTheme="majorHAnsi"/>
          <w:sz w:val="18"/>
          <w:szCs w:val="18"/>
        </w:rPr>
        <w:t xml:space="preserve">Within this context, courts of national jurisdiction have found the mandatory death penalty to be unconstitutional in countries including Saint Lucia (The Queen v. Hughes), Dominica (Balson v. The State), Belize (Reyes v. The Queen), The Bahamas (Bowe v. The Queen) and Grenada (Coard et al. v. Grenada), among other examples.    Following this period of reexamination of the mandatory death penalty, a number of countries have abolished that aspect of the death penalty.  The judges of Belize, Jamaica, the Bahamas, Saint Lucia, Grenada and Guyana, among others, now have the discretion to impose lesser sentences.  Trinidad and Tobago and Barbados presently remain the only two countries in the region that retain the mandatory death penalty, and Barbados reports that it is in the process of adopting reforms to abolish it in light of the sentence issued by the Inter‐American Court in the Boyce case.    </w:t>
      </w:r>
    </w:p>
    <w:p w14:paraId="010500CC" w14:textId="77777777" w:rsidR="00783135" w:rsidRPr="005E6EF3" w:rsidRDefault="00783135" w:rsidP="00783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right="360"/>
        <w:jc w:val="both"/>
        <w:rPr>
          <w:rFonts w:asciiTheme="majorHAnsi" w:hAnsiTheme="majorHAnsi"/>
          <w:sz w:val="18"/>
          <w:szCs w:val="18"/>
        </w:rPr>
      </w:pPr>
    </w:p>
    <w:p w14:paraId="37FC4E47" w14:textId="77777777" w:rsidR="00783135" w:rsidRPr="005E6EF3" w:rsidRDefault="00783135" w:rsidP="007831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5E6EF3">
        <w:rPr>
          <w:rFonts w:ascii="Cambria" w:hAnsi="Cambria"/>
          <w:sz w:val="20"/>
          <w:szCs w:val="20"/>
          <w:bdr w:val="none" w:sz="0" w:space="0" w:color="auto"/>
        </w:rPr>
        <w:t>After the adoption of the IACHR</w:t>
      </w:r>
      <w:r w:rsidRPr="005E6EF3">
        <w:rPr>
          <w:rFonts w:asciiTheme="majorHAnsi" w:hAnsiTheme="majorHAnsi"/>
          <w:sz w:val="20"/>
          <w:szCs w:val="20"/>
          <w:bdr w:val="none" w:sz="0" w:space="0" w:color="auto"/>
        </w:rPr>
        <w:t>’</w:t>
      </w:r>
      <w:r w:rsidRPr="005E6EF3">
        <w:rPr>
          <w:rFonts w:ascii="Cambria" w:hAnsi="Cambria"/>
          <w:sz w:val="20"/>
          <w:szCs w:val="20"/>
          <w:bdr w:val="none" w:sz="0" w:space="0" w:color="auto"/>
        </w:rPr>
        <w:t>s report, t</w:t>
      </w:r>
      <w:r w:rsidRPr="005E6EF3">
        <w:rPr>
          <w:rFonts w:asciiTheme="majorHAnsi" w:hAnsiTheme="majorHAnsi"/>
          <w:sz w:val="20"/>
          <w:szCs w:val="20"/>
          <w:bdr w:val="none" w:sz="0" w:space="0" w:color="auto"/>
        </w:rPr>
        <w:t>he Caribbean Court of Justice ruling of June 27, 2018, found Barbados’ mandatory death penalty unconstitutional.</w:t>
      </w:r>
      <w:r w:rsidRPr="005E6EF3">
        <w:rPr>
          <w:rStyle w:val="FootnoteReference"/>
          <w:rFonts w:asciiTheme="majorHAnsi" w:hAnsiTheme="majorHAnsi"/>
          <w:sz w:val="20"/>
          <w:szCs w:val="20"/>
          <w:bdr w:val="none" w:sz="0" w:space="0" w:color="auto"/>
        </w:rPr>
        <w:footnoteReference w:id="60"/>
      </w:r>
      <w:r w:rsidRPr="005E6EF3">
        <w:rPr>
          <w:rFonts w:asciiTheme="majorHAnsi" w:hAnsiTheme="majorHAnsi"/>
          <w:sz w:val="20"/>
          <w:szCs w:val="20"/>
          <w:bdr w:val="none" w:sz="0" w:space="0" w:color="auto"/>
        </w:rPr>
        <w:t xml:space="preserve"> </w:t>
      </w:r>
      <w:r w:rsidRPr="005E6EF3">
        <w:rPr>
          <w:rFonts w:ascii="Cambria" w:hAnsi="Cambria"/>
          <w:sz w:val="20"/>
          <w:szCs w:val="20"/>
          <w:bdr w:val="none" w:sz="0" w:space="0" w:color="auto"/>
        </w:rPr>
        <w:t xml:space="preserve"> </w:t>
      </w:r>
      <w:r>
        <w:rPr>
          <w:rFonts w:ascii="Cambria" w:hAnsi="Cambria"/>
          <w:sz w:val="20"/>
          <w:szCs w:val="20"/>
          <w:bdr w:val="none" w:sz="0" w:space="0" w:color="auto"/>
        </w:rPr>
        <w:t xml:space="preserve">However, </w:t>
      </w:r>
      <w:r w:rsidRPr="005E6EF3">
        <w:rPr>
          <w:rFonts w:ascii="Cambria" w:hAnsi="Cambria"/>
          <w:sz w:val="20"/>
          <w:szCs w:val="20"/>
          <w:bdr w:val="none" w:sz="0" w:space="0" w:color="auto"/>
        </w:rPr>
        <w:t>Trinidad and Tobago</w:t>
      </w:r>
      <w:r>
        <w:rPr>
          <w:rFonts w:ascii="Cambria" w:hAnsi="Cambria"/>
          <w:sz w:val="20"/>
          <w:szCs w:val="20"/>
          <w:bdr w:val="none" w:sz="0" w:space="0" w:color="auto"/>
        </w:rPr>
        <w:t xml:space="preserve"> </w:t>
      </w:r>
      <w:r>
        <w:rPr>
          <w:rFonts w:asciiTheme="majorHAnsi" w:hAnsiTheme="majorHAnsi"/>
          <w:sz w:val="20"/>
          <w:szCs w:val="20"/>
          <w:bdr w:val="none" w:sz="0" w:space="0" w:color="auto"/>
        </w:rPr>
        <w:t xml:space="preserve">currently </w:t>
      </w:r>
      <w:r w:rsidRPr="005E6EF3">
        <w:rPr>
          <w:rFonts w:asciiTheme="majorHAnsi" w:hAnsiTheme="majorHAnsi"/>
          <w:sz w:val="20"/>
          <w:szCs w:val="20"/>
          <w:bdr w:val="none" w:sz="0" w:space="0" w:color="auto"/>
        </w:rPr>
        <w:t>retain this penalty.</w:t>
      </w:r>
    </w:p>
    <w:p w14:paraId="6553CE29" w14:textId="77777777" w:rsidR="00783135" w:rsidRPr="005E6EF3" w:rsidRDefault="00783135" w:rsidP="00783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bdr w:val="none" w:sz="0" w:space="0" w:color="auto"/>
        </w:rPr>
      </w:pPr>
    </w:p>
    <w:p w14:paraId="5B18F46D" w14:textId="77777777" w:rsidR="00783135" w:rsidRPr="005E6EF3" w:rsidRDefault="00783135" w:rsidP="007831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5E6EF3">
        <w:rPr>
          <w:rFonts w:ascii="Cambria" w:hAnsi="Cambria"/>
          <w:sz w:val="20"/>
          <w:szCs w:val="20"/>
          <w:bdr w:val="none" w:sz="0" w:space="0" w:color="auto"/>
        </w:rPr>
        <w:t>The United Nations Human Rights Committee</w:t>
      </w:r>
      <w:r w:rsidRPr="005E6EF3">
        <w:rPr>
          <w:rFonts w:asciiTheme="majorHAnsi" w:hAnsiTheme="majorHAnsi"/>
          <w:sz w:val="20"/>
          <w:szCs w:val="20"/>
          <w:bdr w:val="none" w:sz="0" w:space="0" w:color="auto"/>
        </w:rPr>
        <w:t>’</w:t>
      </w:r>
      <w:r w:rsidRPr="005E6EF3">
        <w:rPr>
          <w:rFonts w:ascii="Cambria" w:hAnsi="Cambria"/>
          <w:sz w:val="20"/>
          <w:szCs w:val="20"/>
          <w:bdr w:val="none" w:sz="0" w:space="0" w:color="auto"/>
        </w:rPr>
        <w:t xml:space="preserve">s </w:t>
      </w:r>
      <w:r w:rsidRPr="005E6EF3">
        <w:rPr>
          <w:rFonts w:ascii="Cambria" w:hAnsi="Cambria"/>
          <w:i/>
          <w:iCs/>
          <w:sz w:val="20"/>
          <w:szCs w:val="20"/>
          <w:bdr w:val="none" w:sz="0" w:space="0" w:color="auto"/>
        </w:rPr>
        <w:t xml:space="preserve">General Comment No. 36 (2018) on article 6 of the International Covenant on Civil and Political Rights, on the right to life </w:t>
      </w:r>
      <w:r w:rsidRPr="005E6EF3">
        <w:rPr>
          <w:rFonts w:ascii="Cambria" w:hAnsi="Cambria"/>
          <w:sz w:val="20"/>
          <w:szCs w:val="20"/>
          <w:bdr w:val="none" w:sz="0" w:space="0" w:color="auto"/>
        </w:rPr>
        <w:t>referred to the mandatory imposition of the death penalty in the following terms:</w:t>
      </w:r>
      <w:r w:rsidRPr="005E6EF3">
        <w:rPr>
          <w:rStyle w:val="FootnoteReference"/>
          <w:rFonts w:ascii="Cambria" w:hAnsi="Cambria"/>
          <w:sz w:val="20"/>
          <w:szCs w:val="20"/>
          <w:bdr w:val="none" w:sz="0" w:space="0" w:color="auto"/>
        </w:rPr>
        <w:footnoteReference w:id="61"/>
      </w:r>
    </w:p>
    <w:p w14:paraId="6765EB43" w14:textId="77777777" w:rsidR="00783135" w:rsidRPr="005E6EF3" w:rsidRDefault="00783135" w:rsidP="00783135">
      <w:pPr>
        <w:pStyle w:val="ListParagraph"/>
        <w:rPr>
          <w:sz w:val="20"/>
          <w:szCs w:val="20"/>
        </w:rPr>
      </w:pPr>
    </w:p>
    <w:p w14:paraId="4BFF583C" w14:textId="77777777" w:rsidR="00783135" w:rsidRPr="00783135" w:rsidRDefault="00783135" w:rsidP="00783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Cambria" w:hAnsi="Cambria"/>
          <w:sz w:val="18"/>
          <w:szCs w:val="18"/>
          <w:bdr w:val="none" w:sz="0" w:space="0" w:color="auto"/>
        </w:rPr>
      </w:pPr>
      <w:r w:rsidRPr="005E6EF3">
        <w:rPr>
          <w:rFonts w:ascii="Cambria" w:hAnsi="Cambria"/>
          <w:sz w:val="18"/>
          <w:szCs w:val="18"/>
          <w:bdr w:val="none" w:sz="0" w:space="0" w:color="auto"/>
        </w:rPr>
        <w:t>In all cases involving the application of the death penalty, the personal circumstances of the offender and the particular circumstances of the offence, including its specific attenuating elements</w:t>
      </w:r>
      <w:r w:rsidRPr="005E6EF3">
        <w:rPr>
          <w:rStyle w:val="FootnoteReference"/>
          <w:rFonts w:ascii="Cambria" w:hAnsi="Cambria"/>
          <w:sz w:val="18"/>
          <w:szCs w:val="18"/>
          <w:bdr w:val="none" w:sz="0" w:space="0" w:color="auto"/>
        </w:rPr>
        <w:footnoteReference w:id="62"/>
      </w:r>
      <w:r w:rsidRPr="005E6EF3">
        <w:rPr>
          <w:rFonts w:ascii="Cambria" w:hAnsi="Cambria"/>
          <w:sz w:val="18"/>
          <w:szCs w:val="18"/>
          <w:bdr w:val="none" w:sz="0" w:space="0" w:color="auto"/>
        </w:rPr>
        <w:t xml:space="preserve"> must be considered by the sentencing court. Hence, mandatory death sentences that leave domestic courts with no discretion on whether or not to designate the offence as a crime entailing the death penalty, and on whether or not to issue the death sentence in the particular circumstances of the offender, are arbitrary in nature.</w:t>
      </w:r>
      <w:r w:rsidRPr="005E6EF3">
        <w:rPr>
          <w:rStyle w:val="FootnoteReference"/>
          <w:rFonts w:ascii="Cambria" w:hAnsi="Cambria"/>
          <w:sz w:val="18"/>
          <w:szCs w:val="18"/>
          <w:bdr w:val="none" w:sz="0" w:space="0" w:color="auto"/>
        </w:rPr>
        <w:footnoteReference w:id="63"/>
      </w:r>
      <w:r w:rsidRPr="005E6EF3">
        <w:rPr>
          <w:rFonts w:ascii="Cambria" w:hAnsi="Cambria"/>
          <w:sz w:val="18"/>
          <w:szCs w:val="18"/>
          <w:bdr w:val="none" w:sz="0" w:space="0" w:color="auto"/>
        </w:rPr>
        <w:t xml:space="preserve"> The availability of a right to seek pardon or commutation on the basis of the special circumstances of the case or the accused is not an adequate substitute for the need for judicial discretion in the application of the death penalty.</w:t>
      </w:r>
      <w:r w:rsidRPr="005E6EF3">
        <w:rPr>
          <w:rStyle w:val="FootnoteReference"/>
          <w:rFonts w:ascii="Cambria" w:hAnsi="Cambria"/>
          <w:sz w:val="18"/>
          <w:szCs w:val="18"/>
          <w:bdr w:val="none" w:sz="0" w:space="0" w:color="auto"/>
        </w:rPr>
        <w:footnoteReference w:id="64"/>
      </w:r>
      <w:r w:rsidRPr="005E6EF3">
        <w:rPr>
          <w:rFonts w:ascii="Cambria" w:hAnsi="Cambria"/>
          <w:sz w:val="18"/>
          <w:szCs w:val="18"/>
          <w:bdr w:val="none" w:sz="0" w:space="0" w:color="auto"/>
        </w:rPr>
        <w:t xml:space="preserve"> </w:t>
      </w:r>
    </w:p>
    <w:p w14:paraId="1DE8C90B" w14:textId="77777777" w:rsidR="00A272FE" w:rsidRPr="00AB4486" w:rsidRDefault="00A272FE" w:rsidP="00A272FE">
      <w:pPr>
        <w:pStyle w:val="ListParagraph"/>
        <w:rPr>
          <w:sz w:val="20"/>
          <w:szCs w:val="20"/>
          <w:bdr w:val="none" w:sz="0" w:space="0" w:color="auto"/>
        </w:rPr>
      </w:pPr>
    </w:p>
    <w:p w14:paraId="06757D45" w14:textId="77777777" w:rsidR="00702E9D" w:rsidRPr="00AB4486" w:rsidRDefault="00CD6DF5" w:rsidP="00AB44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bdr w:val="none" w:sz="0" w:space="0" w:color="auto"/>
        </w:rPr>
      </w:pPr>
      <w:r w:rsidRPr="00AB4486">
        <w:rPr>
          <w:rFonts w:asciiTheme="majorHAnsi" w:hAnsiTheme="majorHAnsi"/>
          <w:sz w:val="20"/>
          <w:szCs w:val="20"/>
          <w:bdr w:val="none" w:sz="0" w:space="0" w:color="auto"/>
        </w:rPr>
        <w:t>Further, as indicated in the section of relevant legal framework above, Section 6 of the Constitution of Trinidad and Tobago establishes that no law in effect prior to the date the Constitution entered into force may be the object of constitutional challenge. Therefore, and as stated by the Inter-American Court in the case of Hilaire and Constantine, “the Offences Against the Person Act is incompatible with the American Convention and thus any provision that establishes that Act’s immunity from challenge is likewise incompatible, by virtue of the fact that Trinidad and Tobago, as a party to the Convention at the time that the acts took place, cannot invoke provisions of its domestic law as justification for failure to comply with its international obligation”.</w:t>
      </w:r>
      <w:r w:rsidR="00702E9D" w:rsidRPr="00AB4486">
        <w:rPr>
          <w:rStyle w:val="FootnoteReference"/>
          <w:rFonts w:asciiTheme="majorHAnsi" w:hAnsiTheme="majorHAnsi"/>
          <w:sz w:val="20"/>
          <w:szCs w:val="20"/>
          <w:bdr w:val="none" w:sz="0" w:space="0" w:color="auto"/>
        </w:rPr>
        <w:footnoteReference w:id="65"/>
      </w:r>
    </w:p>
    <w:p w14:paraId="64538479" w14:textId="77777777" w:rsidR="00702E9D" w:rsidRPr="00AB4486" w:rsidRDefault="00702E9D" w:rsidP="00702E9D">
      <w:pPr>
        <w:pStyle w:val="ListParagraph"/>
        <w:rPr>
          <w:rFonts w:asciiTheme="majorHAnsi" w:hAnsiTheme="majorHAnsi"/>
          <w:sz w:val="20"/>
          <w:szCs w:val="20"/>
          <w:bdr w:val="none" w:sz="0" w:space="0" w:color="auto"/>
        </w:rPr>
      </w:pPr>
    </w:p>
    <w:p w14:paraId="730E0FF0" w14:textId="77777777" w:rsidR="002B1B74" w:rsidRPr="00AB4486" w:rsidRDefault="009340C9" w:rsidP="00F46C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AB4486">
        <w:rPr>
          <w:rFonts w:ascii="Cambria" w:hAnsi="Cambria"/>
          <w:sz w:val="20"/>
          <w:szCs w:val="20"/>
          <w:bdr w:val="none" w:sz="0" w:space="0" w:color="auto"/>
        </w:rPr>
        <w:t>T</w:t>
      </w:r>
      <w:r w:rsidR="002B1B74" w:rsidRPr="00AB4486">
        <w:rPr>
          <w:rFonts w:ascii="Cambria" w:hAnsi="Cambria"/>
          <w:sz w:val="20"/>
          <w:szCs w:val="20"/>
          <w:bdr w:val="none" w:sz="0" w:space="0" w:color="auto"/>
        </w:rPr>
        <w:t xml:space="preserve">he Commission finds that the sentence to a mandatory death penalty was based solely upon the category of crime for which </w:t>
      </w:r>
      <w:r w:rsidR="00FE3BE1" w:rsidRPr="00AB4486">
        <w:rPr>
          <w:rFonts w:asciiTheme="majorHAnsi" w:hAnsiTheme="majorHAnsi"/>
          <w:sz w:val="20"/>
          <w:szCs w:val="20"/>
          <w:bdr w:val="none" w:sz="0" w:space="0" w:color="auto"/>
        </w:rPr>
        <w:t xml:space="preserve">Messrs. Dial and Dottin </w:t>
      </w:r>
      <w:r w:rsidR="002B1B74" w:rsidRPr="00AB4486">
        <w:rPr>
          <w:rFonts w:ascii="Cambria" w:hAnsi="Cambria"/>
          <w:sz w:val="20"/>
          <w:szCs w:val="20"/>
          <w:bdr w:val="none" w:sz="0" w:space="0" w:color="auto"/>
        </w:rPr>
        <w:t xml:space="preserve">were convicted. Therefore, the Commission concludes that the State </w:t>
      </w:r>
      <w:r w:rsidRPr="00AB4486">
        <w:rPr>
          <w:rFonts w:ascii="Cambria" w:hAnsi="Cambria"/>
          <w:sz w:val="20"/>
          <w:szCs w:val="20"/>
          <w:bdr w:val="none" w:sz="0" w:space="0" w:color="auto"/>
        </w:rPr>
        <w:t>of Trinidad and Tobago</w:t>
      </w:r>
      <w:r w:rsidR="00543BF3" w:rsidRPr="00AB4486">
        <w:rPr>
          <w:rFonts w:ascii="Cambria" w:hAnsi="Cambria"/>
          <w:sz w:val="20"/>
          <w:szCs w:val="20"/>
          <w:bdr w:val="none" w:sz="0" w:space="0" w:color="auto"/>
        </w:rPr>
        <w:t>, by</w:t>
      </w:r>
      <w:r w:rsidRPr="00AB4486">
        <w:rPr>
          <w:rFonts w:ascii="Cambria" w:hAnsi="Cambria"/>
          <w:sz w:val="20"/>
          <w:szCs w:val="20"/>
          <w:bdr w:val="none" w:sz="0" w:space="0" w:color="auto"/>
        </w:rPr>
        <w:t xml:space="preserve"> </w:t>
      </w:r>
      <w:r w:rsidR="00FE3BE1" w:rsidRPr="00AB4486">
        <w:rPr>
          <w:rFonts w:ascii="Cambria" w:hAnsi="Cambria"/>
          <w:sz w:val="20"/>
          <w:szCs w:val="20"/>
          <w:bdr w:val="none" w:sz="0" w:space="0" w:color="auto"/>
        </w:rPr>
        <w:t>denying an</w:t>
      </w:r>
      <w:r w:rsidR="00543BF3" w:rsidRPr="00AB4486">
        <w:rPr>
          <w:rFonts w:ascii="Cambria" w:hAnsi="Cambria"/>
          <w:sz w:val="20"/>
          <w:szCs w:val="20"/>
          <w:bdr w:val="none" w:sz="0" w:space="0" w:color="auto"/>
        </w:rPr>
        <w:t xml:space="preserve"> individualized sentencing and the opportunity to present mitigating evidence, </w:t>
      </w:r>
      <w:r w:rsidR="002B1B74" w:rsidRPr="00AB4486">
        <w:rPr>
          <w:rFonts w:ascii="Cambria" w:hAnsi="Cambria"/>
          <w:sz w:val="20"/>
          <w:szCs w:val="20"/>
          <w:bdr w:val="none" w:sz="0" w:space="0" w:color="auto"/>
        </w:rPr>
        <w:t xml:space="preserve">violated the victims’ rights under </w:t>
      </w:r>
      <w:r w:rsidRPr="00AB4486">
        <w:rPr>
          <w:rFonts w:ascii="Cambria" w:hAnsi="Cambria"/>
          <w:sz w:val="20"/>
          <w:szCs w:val="20"/>
          <w:bdr w:val="none" w:sz="0" w:space="0" w:color="auto"/>
        </w:rPr>
        <w:t>Articles 4</w:t>
      </w:r>
      <w:r w:rsidR="003B330F" w:rsidRPr="00AB4486">
        <w:rPr>
          <w:rFonts w:ascii="Cambria" w:hAnsi="Cambria"/>
          <w:sz w:val="20"/>
          <w:szCs w:val="20"/>
          <w:bdr w:val="none" w:sz="0" w:space="0" w:color="auto"/>
        </w:rPr>
        <w:t>.</w:t>
      </w:r>
      <w:r w:rsidRPr="00AB4486">
        <w:rPr>
          <w:rFonts w:ascii="Cambria" w:hAnsi="Cambria"/>
          <w:sz w:val="20"/>
          <w:szCs w:val="20"/>
          <w:bdr w:val="none" w:sz="0" w:space="0" w:color="auto"/>
        </w:rPr>
        <w:t>1, 4</w:t>
      </w:r>
      <w:r w:rsidR="003B330F" w:rsidRPr="00AB4486">
        <w:rPr>
          <w:rFonts w:ascii="Cambria" w:hAnsi="Cambria"/>
          <w:sz w:val="20"/>
          <w:szCs w:val="20"/>
          <w:bdr w:val="none" w:sz="0" w:space="0" w:color="auto"/>
        </w:rPr>
        <w:t>.</w:t>
      </w:r>
      <w:r w:rsidRPr="00AB4486">
        <w:rPr>
          <w:rFonts w:ascii="Cambria" w:hAnsi="Cambria"/>
          <w:sz w:val="20"/>
          <w:szCs w:val="20"/>
          <w:bdr w:val="none" w:sz="0" w:space="0" w:color="auto"/>
        </w:rPr>
        <w:t>2, 5</w:t>
      </w:r>
      <w:r w:rsidR="003B330F" w:rsidRPr="00AB4486">
        <w:rPr>
          <w:rFonts w:ascii="Cambria" w:hAnsi="Cambria"/>
          <w:sz w:val="20"/>
          <w:szCs w:val="20"/>
          <w:bdr w:val="none" w:sz="0" w:space="0" w:color="auto"/>
        </w:rPr>
        <w:t>.</w:t>
      </w:r>
      <w:r w:rsidRPr="00AB4486">
        <w:rPr>
          <w:rFonts w:ascii="Cambria" w:hAnsi="Cambria"/>
          <w:sz w:val="20"/>
          <w:szCs w:val="20"/>
          <w:bdr w:val="none" w:sz="0" w:space="0" w:color="auto"/>
        </w:rPr>
        <w:t>1, 5</w:t>
      </w:r>
      <w:r w:rsidR="003B330F" w:rsidRPr="00AB4486">
        <w:rPr>
          <w:rFonts w:ascii="Cambria" w:hAnsi="Cambria"/>
          <w:sz w:val="20"/>
          <w:szCs w:val="20"/>
          <w:bdr w:val="none" w:sz="0" w:space="0" w:color="auto"/>
        </w:rPr>
        <w:t>.</w:t>
      </w:r>
      <w:r w:rsidRPr="00AB4486">
        <w:rPr>
          <w:rFonts w:ascii="Cambria" w:hAnsi="Cambria"/>
          <w:sz w:val="20"/>
          <w:szCs w:val="20"/>
          <w:bdr w:val="none" w:sz="0" w:space="0" w:color="auto"/>
        </w:rPr>
        <w:t>2</w:t>
      </w:r>
      <w:r w:rsidR="00702E9D" w:rsidRPr="00AB4486">
        <w:rPr>
          <w:rFonts w:ascii="Cambria" w:hAnsi="Cambria"/>
          <w:sz w:val="20"/>
          <w:szCs w:val="20"/>
          <w:bdr w:val="none" w:sz="0" w:space="0" w:color="auto"/>
        </w:rPr>
        <w:t>,</w:t>
      </w:r>
      <w:r w:rsidR="00C921D8" w:rsidRPr="00AB4486">
        <w:rPr>
          <w:rFonts w:ascii="Cambria" w:hAnsi="Cambria"/>
          <w:sz w:val="20"/>
          <w:szCs w:val="20"/>
          <w:bdr w:val="none" w:sz="0" w:space="0" w:color="auto"/>
        </w:rPr>
        <w:t xml:space="preserve"> 8</w:t>
      </w:r>
      <w:r w:rsidR="003B330F" w:rsidRPr="00AB4486">
        <w:rPr>
          <w:rFonts w:ascii="Cambria" w:hAnsi="Cambria"/>
          <w:sz w:val="20"/>
          <w:szCs w:val="20"/>
          <w:bdr w:val="none" w:sz="0" w:space="0" w:color="auto"/>
        </w:rPr>
        <w:t>.</w:t>
      </w:r>
      <w:r w:rsidR="00C921D8" w:rsidRPr="00AB4486">
        <w:rPr>
          <w:rFonts w:ascii="Cambria" w:hAnsi="Cambria"/>
          <w:sz w:val="20"/>
          <w:szCs w:val="20"/>
          <w:bdr w:val="none" w:sz="0" w:space="0" w:color="auto"/>
        </w:rPr>
        <w:t>1</w:t>
      </w:r>
      <w:r w:rsidR="00702E9D" w:rsidRPr="00AB4486">
        <w:rPr>
          <w:rFonts w:ascii="Cambria" w:hAnsi="Cambria"/>
          <w:sz w:val="20"/>
          <w:szCs w:val="20"/>
          <w:bdr w:val="none" w:sz="0" w:space="0" w:color="auto"/>
        </w:rPr>
        <w:t xml:space="preserve"> and 25</w:t>
      </w:r>
      <w:r w:rsidR="00C921D8" w:rsidRPr="00AB4486">
        <w:rPr>
          <w:rFonts w:ascii="Cambria" w:hAnsi="Cambria"/>
          <w:sz w:val="20"/>
          <w:szCs w:val="20"/>
          <w:bdr w:val="none" w:sz="0" w:space="0" w:color="auto"/>
        </w:rPr>
        <w:t xml:space="preserve"> of the American Convention, in relation to its Articles 1</w:t>
      </w:r>
      <w:r w:rsidR="003B330F" w:rsidRPr="00AB4486">
        <w:rPr>
          <w:rFonts w:ascii="Cambria" w:hAnsi="Cambria"/>
          <w:sz w:val="20"/>
          <w:szCs w:val="20"/>
          <w:bdr w:val="none" w:sz="0" w:space="0" w:color="auto"/>
        </w:rPr>
        <w:t>.</w:t>
      </w:r>
      <w:r w:rsidR="00C921D8" w:rsidRPr="00AB4486">
        <w:rPr>
          <w:rFonts w:ascii="Cambria" w:hAnsi="Cambria"/>
          <w:sz w:val="20"/>
          <w:szCs w:val="20"/>
          <w:bdr w:val="none" w:sz="0" w:space="0" w:color="auto"/>
        </w:rPr>
        <w:t>1 and 2</w:t>
      </w:r>
      <w:r w:rsidR="00543BF3" w:rsidRPr="00AB4486">
        <w:rPr>
          <w:rFonts w:ascii="Cambria" w:hAnsi="Cambria"/>
          <w:sz w:val="20"/>
          <w:szCs w:val="20"/>
          <w:bdr w:val="none" w:sz="0" w:space="0" w:color="auto"/>
        </w:rPr>
        <w:t xml:space="preserve">. </w:t>
      </w:r>
      <w:r w:rsidR="005A4236" w:rsidRPr="00AB4486">
        <w:rPr>
          <w:rFonts w:ascii="Cambria" w:hAnsi="Cambria"/>
          <w:sz w:val="20"/>
          <w:szCs w:val="20"/>
          <w:bdr w:val="none" w:sz="0" w:space="0" w:color="auto"/>
        </w:rPr>
        <w:t>Further</w:t>
      </w:r>
      <w:r w:rsidR="00543BF3" w:rsidRPr="00AB4486">
        <w:rPr>
          <w:rFonts w:ascii="Cambria" w:hAnsi="Cambria"/>
          <w:sz w:val="20"/>
          <w:szCs w:val="20"/>
          <w:bdr w:val="none" w:sz="0" w:space="0" w:color="auto"/>
        </w:rPr>
        <w:t xml:space="preserve">, given that the imposition of the mandatory death penalty continued </w:t>
      </w:r>
      <w:r w:rsidR="005A4236" w:rsidRPr="00AB4486">
        <w:rPr>
          <w:rFonts w:ascii="Cambria" w:hAnsi="Cambria"/>
          <w:sz w:val="20"/>
          <w:szCs w:val="20"/>
          <w:bdr w:val="none" w:sz="0" w:space="0" w:color="auto"/>
        </w:rPr>
        <w:t xml:space="preserve">after the entry into force of the denunciation of the American Convention, and </w:t>
      </w:r>
      <w:r w:rsidR="00543BF3" w:rsidRPr="00AB4486">
        <w:rPr>
          <w:rFonts w:ascii="Cambria" w:hAnsi="Cambria"/>
          <w:sz w:val="20"/>
          <w:szCs w:val="20"/>
          <w:bdr w:val="none" w:sz="0" w:space="0" w:color="auto"/>
        </w:rPr>
        <w:t>until</w:t>
      </w:r>
      <w:r w:rsidR="005A4236" w:rsidRPr="00AB4486">
        <w:rPr>
          <w:rFonts w:ascii="Cambria" w:hAnsi="Cambria"/>
          <w:sz w:val="20"/>
          <w:szCs w:val="20"/>
          <w:bdr w:val="none" w:sz="0" w:space="0" w:color="auto"/>
        </w:rPr>
        <w:t xml:space="preserve"> </w:t>
      </w:r>
      <w:r w:rsidR="005A4236" w:rsidRPr="00AB4486">
        <w:rPr>
          <w:rFonts w:asciiTheme="majorHAnsi" w:eastAsia="Times New Roman" w:hAnsiTheme="majorHAnsi"/>
          <w:sz w:val="20"/>
          <w:szCs w:val="20"/>
        </w:rPr>
        <w:t xml:space="preserve">August 15, 2008, when the sentences of death were commuted to life imprisonment, the State has also violated </w:t>
      </w:r>
      <w:r w:rsidR="005A4236" w:rsidRPr="00AB4486">
        <w:rPr>
          <w:rFonts w:ascii="Cambria" w:hAnsi="Cambria"/>
          <w:sz w:val="20"/>
          <w:szCs w:val="20"/>
          <w:bdr w:val="none" w:sz="0" w:space="0" w:color="auto"/>
        </w:rPr>
        <w:t>A</w:t>
      </w:r>
      <w:r w:rsidR="002B1B74" w:rsidRPr="00AB4486">
        <w:rPr>
          <w:rFonts w:ascii="Cambria" w:hAnsi="Cambria"/>
          <w:sz w:val="20"/>
          <w:szCs w:val="20"/>
          <w:bdr w:val="none" w:sz="0" w:space="0" w:color="auto"/>
        </w:rPr>
        <w:t xml:space="preserve">rticles I, XVIII and XXVI of the American Declaration. </w:t>
      </w:r>
    </w:p>
    <w:p w14:paraId="7D865F4C" w14:textId="77777777" w:rsidR="00EE66EC" w:rsidRDefault="00EE66EC">
      <w:pPr>
        <w:rPr>
          <w:rFonts w:asciiTheme="majorHAnsi" w:hAnsiTheme="majorHAnsi"/>
          <w:sz w:val="20"/>
          <w:szCs w:val="20"/>
        </w:rPr>
      </w:pPr>
    </w:p>
    <w:p w14:paraId="2702E338" w14:textId="77777777" w:rsidR="009C51F6" w:rsidRPr="00CD52EE" w:rsidRDefault="002772AD" w:rsidP="000F6225">
      <w:pPr>
        <w:pStyle w:val="Heading2"/>
        <w:numPr>
          <w:ilvl w:val="0"/>
          <w:numId w:val="63"/>
        </w:numPr>
        <w:spacing w:before="0"/>
        <w:rPr>
          <w:rFonts w:eastAsia="Arial Unicode MS"/>
          <w:color w:val="auto"/>
          <w:sz w:val="20"/>
          <w:szCs w:val="20"/>
        </w:rPr>
      </w:pPr>
      <w:bookmarkStart w:id="25" w:name="_Toc54798089"/>
      <w:r w:rsidRPr="00CD52EE">
        <w:rPr>
          <w:color w:val="auto"/>
          <w:sz w:val="20"/>
          <w:szCs w:val="20"/>
        </w:rPr>
        <w:t>Right</w:t>
      </w:r>
      <w:r w:rsidRPr="00CD52EE">
        <w:rPr>
          <w:rFonts w:eastAsia="Arial Unicode MS"/>
          <w:color w:val="auto"/>
          <w:sz w:val="20"/>
          <w:szCs w:val="20"/>
        </w:rPr>
        <w:t xml:space="preserve"> to </w:t>
      </w:r>
      <w:r w:rsidR="00305BA1" w:rsidRPr="00CD52EE">
        <w:rPr>
          <w:rFonts w:eastAsia="Arial Unicode MS"/>
          <w:color w:val="auto"/>
          <w:sz w:val="20"/>
          <w:szCs w:val="20"/>
        </w:rPr>
        <w:t xml:space="preserve">a </w:t>
      </w:r>
      <w:r w:rsidR="00271945" w:rsidRPr="00CD52EE">
        <w:rPr>
          <w:rFonts w:eastAsia="Arial Unicode MS"/>
          <w:color w:val="auto"/>
          <w:sz w:val="20"/>
          <w:szCs w:val="20"/>
        </w:rPr>
        <w:t xml:space="preserve">fair trial and </w:t>
      </w:r>
      <w:r w:rsidR="00305BA1" w:rsidRPr="00CD52EE">
        <w:rPr>
          <w:rFonts w:eastAsia="Arial Unicode MS"/>
          <w:color w:val="auto"/>
          <w:sz w:val="20"/>
          <w:szCs w:val="20"/>
        </w:rPr>
        <w:t xml:space="preserve">to </w:t>
      </w:r>
      <w:r w:rsidRPr="00CD52EE">
        <w:rPr>
          <w:rFonts w:eastAsia="Arial Unicode MS"/>
          <w:color w:val="auto"/>
          <w:sz w:val="20"/>
          <w:szCs w:val="20"/>
        </w:rPr>
        <w:t>due process of law</w:t>
      </w:r>
      <w:bookmarkEnd w:id="25"/>
      <w:r w:rsidRPr="00CD52EE">
        <w:rPr>
          <w:rFonts w:eastAsia="Arial Unicode MS"/>
          <w:color w:val="auto"/>
          <w:sz w:val="20"/>
          <w:szCs w:val="20"/>
        </w:rPr>
        <w:t xml:space="preserve">  </w:t>
      </w:r>
    </w:p>
    <w:p w14:paraId="34D39185" w14:textId="77777777" w:rsidR="009C51F6" w:rsidRPr="00CD52EE" w:rsidRDefault="009C51F6" w:rsidP="009C51F6">
      <w:pPr>
        <w:rPr>
          <w:rFonts w:asciiTheme="majorHAnsi" w:hAnsiTheme="majorHAnsi"/>
          <w:sz w:val="20"/>
          <w:szCs w:val="20"/>
        </w:rPr>
      </w:pPr>
    </w:p>
    <w:p w14:paraId="33825B4E" w14:textId="77777777" w:rsidR="005C0700" w:rsidRPr="00CD52EE" w:rsidRDefault="008A45EC" w:rsidP="00401038">
      <w:pPr>
        <w:pStyle w:val="Heading2"/>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pacing w:before="0"/>
        <w:ind w:left="0" w:firstLine="0"/>
        <w:jc w:val="both"/>
        <w:rPr>
          <w:color w:val="auto"/>
          <w:sz w:val="20"/>
          <w:szCs w:val="20"/>
        </w:rPr>
      </w:pPr>
      <w:bookmarkStart w:id="26" w:name="_Toc54798090"/>
      <w:r>
        <w:rPr>
          <w:color w:val="auto"/>
          <w:sz w:val="20"/>
          <w:szCs w:val="20"/>
        </w:rPr>
        <w:t xml:space="preserve">Right to </w:t>
      </w:r>
      <w:r w:rsidRPr="008A45EC">
        <w:rPr>
          <w:color w:val="auto"/>
          <w:sz w:val="20"/>
          <w:szCs w:val="20"/>
        </w:rPr>
        <w:t>provide a reasoned judgmen</w:t>
      </w:r>
      <w:r>
        <w:rPr>
          <w:color w:val="auto"/>
          <w:sz w:val="20"/>
          <w:szCs w:val="20"/>
        </w:rPr>
        <w:t>t and th</w:t>
      </w:r>
      <w:r w:rsidR="005C0700" w:rsidRPr="00CD52EE">
        <w:rPr>
          <w:color w:val="auto"/>
          <w:sz w:val="20"/>
          <w:szCs w:val="20"/>
        </w:rPr>
        <w:t>e principle of presumption of innocence</w:t>
      </w:r>
      <w:r w:rsidR="006B64E7" w:rsidRPr="00CD52EE">
        <w:rPr>
          <w:rStyle w:val="FootnoteReference"/>
          <w:color w:val="auto"/>
          <w:sz w:val="20"/>
          <w:szCs w:val="20"/>
        </w:rPr>
        <w:footnoteReference w:id="66"/>
      </w:r>
      <w:bookmarkEnd w:id="26"/>
      <w:r w:rsidR="00B669AE" w:rsidRPr="00CD52EE">
        <w:rPr>
          <w:color w:val="auto"/>
          <w:sz w:val="20"/>
          <w:szCs w:val="20"/>
        </w:rPr>
        <w:t xml:space="preserve"> </w:t>
      </w:r>
    </w:p>
    <w:p w14:paraId="2AF59DD2" w14:textId="77777777" w:rsidR="006B64E7" w:rsidRPr="00CD52EE" w:rsidRDefault="006B64E7" w:rsidP="006B64E7"/>
    <w:p w14:paraId="2BB45D01" w14:textId="77777777" w:rsidR="005C0700" w:rsidRPr="00CD52EE" w:rsidRDefault="005C0700" w:rsidP="005C0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0" w:firstLine="0"/>
        <w:jc w:val="both"/>
        <w:rPr>
          <w:rFonts w:asciiTheme="majorHAnsi" w:hAnsiTheme="majorHAnsi" w:cs="Calibri"/>
          <w:sz w:val="20"/>
          <w:szCs w:val="20"/>
        </w:rPr>
      </w:pPr>
      <w:r w:rsidRPr="00CD52EE">
        <w:rPr>
          <w:rFonts w:asciiTheme="majorHAnsi" w:hAnsiTheme="majorHAnsi" w:cs="Calibri"/>
          <w:sz w:val="20"/>
          <w:szCs w:val="20"/>
        </w:rPr>
        <w:t>The right to a fair trial, established in Article 8 of the American Convention, covers all the procedural requirements that must be observed so that persons may defend their rights adequately against any act by the State.</w:t>
      </w:r>
      <w:r w:rsidRPr="00CD52EE">
        <w:rPr>
          <w:rFonts w:asciiTheme="majorHAnsi" w:hAnsiTheme="majorHAnsi" w:cs="Calibri"/>
          <w:sz w:val="20"/>
          <w:szCs w:val="20"/>
          <w:vertAlign w:val="superscript"/>
        </w:rPr>
        <w:footnoteReference w:id="67"/>
      </w:r>
      <w:r w:rsidRPr="00CD52EE">
        <w:rPr>
          <w:rFonts w:asciiTheme="majorHAnsi" w:hAnsiTheme="majorHAnsi" w:cs="Calibri"/>
          <w:sz w:val="20"/>
          <w:szCs w:val="20"/>
          <w:vertAlign w:val="superscript"/>
        </w:rPr>
        <w:t xml:space="preserve"> </w:t>
      </w:r>
      <w:r w:rsidRPr="00CD52EE">
        <w:rPr>
          <w:rFonts w:asciiTheme="majorHAnsi" w:hAnsiTheme="majorHAnsi" w:cs="Calibri"/>
          <w:sz w:val="20"/>
          <w:szCs w:val="20"/>
        </w:rPr>
        <w:t>One fundamental element of those guarantees is the principle of presumption of innocence.</w:t>
      </w:r>
      <w:r w:rsidRPr="00CD52EE">
        <w:rPr>
          <w:rFonts w:asciiTheme="majorHAnsi" w:hAnsiTheme="majorHAnsi" w:cs="Calibri"/>
          <w:sz w:val="20"/>
          <w:szCs w:val="20"/>
          <w:vertAlign w:val="superscript"/>
        </w:rPr>
        <w:footnoteReference w:id="68"/>
      </w:r>
      <w:r w:rsidRPr="00CD52EE">
        <w:rPr>
          <w:rFonts w:asciiTheme="majorHAnsi" w:hAnsiTheme="majorHAnsi" w:cs="Calibri"/>
          <w:sz w:val="20"/>
          <w:szCs w:val="20"/>
        </w:rPr>
        <w:t xml:space="preserve"> According to the Inter-American Court, this principle means that the defendant does not have to prove that he or she did not commit the offense, because the </w:t>
      </w:r>
      <w:r w:rsidRPr="00CD52EE">
        <w:rPr>
          <w:rFonts w:asciiTheme="majorHAnsi" w:hAnsiTheme="majorHAnsi" w:cs="Calibri"/>
          <w:i/>
          <w:iCs/>
          <w:sz w:val="20"/>
          <w:szCs w:val="20"/>
        </w:rPr>
        <w:t>onus probandi</w:t>
      </w:r>
      <w:r w:rsidRPr="00CD52EE">
        <w:rPr>
          <w:rFonts w:asciiTheme="majorHAnsi" w:hAnsiTheme="majorHAnsi" w:cs="Calibri"/>
          <w:sz w:val="20"/>
          <w:szCs w:val="20"/>
        </w:rPr>
        <w:t xml:space="preserve"> is on those making the accusation.</w:t>
      </w:r>
      <w:r w:rsidRPr="00CD52EE">
        <w:rPr>
          <w:rFonts w:asciiTheme="majorHAnsi" w:hAnsiTheme="majorHAnsi" w:cs="Calibri"/>
          <w:sz w:val="20"/>
          <w:szCs w:val="20"/>
          <w:vertAlign w:val="superscript"/>
        </w:rPr>
        <w:footnoteReference w:id="69"/>
      </w:r>
      <w:r w:rsidRPr="00CD52EE">
        <w:rPr>
          <w:rFonts w:asciiTheme="majorHAnsi" w:hAnsiTheme="majorHAnsi" w:cs="Calibri"/>
          <w:sz w:val="20"/>
          <w:szCs w:val="20"/>
          <w:vertAlign w:val="superscript"/>
        </w:rPr>
        <w:t xml:space="preserve"> </w:t>
      </w:r>
      <w:r w:rsidRPr="00CD52EE">
        <w:rPr>
          <w:rFonts w:asciiTheme="majorHAnsi" w:hAnsiTheme="majorHAnsi" w:cs="Calibri"/>
          <w:sz w:val="20"/>
          <w:szCs w:val="20"/>
        </w:rPr>
        <w:t>Thus, the convincing demonstration of guilt is an essential requirement for a criminal sanction, so that the burden of proof falls on the prosecutor and not on the accused.</w:t>
      </w:r>
      <w:r w:rsidRPr="00CD52EE">
        <w:rPr>
          <w:rFonts w:asciiTheme="majorHAnsi" w:hAnsiTheme="majorHAnsi" w:cs="Calibri"/>
          <w:sz w:val="20"/>
          <w:szCs w:val="20"/>
          <w:vertAlign w:val="superscript"/>
        </w:rPr>
        <w:footnoteReference w:id="70"/>
      </w:r>
      <w:r w:rsidRPr="00CD52EE">
        <w:rPr>
          <w:rFonts w:asciiTheme="majorHAnsi" w:hAnsiTheme="majorHAnsi" w:cs="Calibri"/>
          <w:sz w:val="20"/>
          <w:szCs w:val="20"/>
          <w:vertAlign w:val="superscript"/>
        </w:rPr>
        <w:t xml:space="preserve"> </w:t>
      </w:r>
      <w:r w:rsidRPr="00CD52EE">
        <w:rPr>
          <w:rFonts w:asciiTheme="majorHAnsi" w:hAnsiTheme="majorHAnsi" w:cs="Calibri"/>
          <w:sz w:val="20"/>
          <w:szCs w:val="20"/>
        </w:rPr>
        <w:t>On this point, the Human Rights Committee has ruled that:</w:t>
      </w:r>
    </w:p>
    <w:p w14:paraId="4160AF6D" w14:textId="77777777" w:rsidR="005C0700" w:rsidRPr="00CD52EE" w:rsidRDefault="005C0700" w:rsidP="005C0700">
      <w:pPr>
        <w:tabs>
          <w:tab w:val="left" w:pos="360"/>
        </w:tabs>
        <w:suppressAutoHyphens/>
        <w:jc w:val="both"/>
        <w:rPr>
          <w:rFonts w:asciiTheme="majorHAnsi" w:hAnsiTheme="majorHAnsi" w:cs="Calibri"/>
          <w:sz w:val="20"/>
          <w:szCs w:val="20"/>
        </w:rPr>
      </w:pPr>
    </w:p>
    <w:p w14:paraId="3536CE0D" w14:textId="77777777" w:rsidR="005C0700" w:rsidRPr="00CD52EE" w:rsidRDefault="005C0700" w:rsidP="005C0700">
      <w:pPr>
        <w:tabs>
          <w:tab w:val="left" w:pos="360"/>
        </w:tabs>
        <w:suppressAutoHyphens/>
        <w:ind w:left="360" w:right="360"/>
        <w:jc w:val="both"/>
        <w:rPr>
          <w:rFonts w:asciiTheme="majorHAnsi" w:hAnsiTheme="majorHAnsi" w:cs="Calibri"/>
          <w:sz w:val="18"/>
          <w:szCs w:val="18"/>
        </w:rPr>
      </w:pPr>
      <w:r w:rsidRPr="00CD52EE">
        <w:rPr>
          <w:rFonts w:asciiTheme="majorHAnsi" w:hAnsiTheme="majorHAnsi" w:cs="Calibri"/>
          <w:sz w:val="18"/>
          <w:szCs w:val="18"/>
        </w:rPr>
        <w:t>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 It is a duty for all public authorities to refrain from prejudging the outcome of a trial, e.g. by abstaining from making public statements affirming the guilt of the accused.</w:t>
      </w:r>
      <w:r w:rsidRPr="00CD52EE">
        <w:rPr>
          <w:rFonts w:asciiTheme="majorHAnsi" w:hAnsiTheme="majorHAnsi" w:cs="Calibri"/>
          <w:sz w:val="18"/>
          <w:szCs w:val="18"/>
          <w:vertAlign w:val="superscript"/>
        </w:rPr>
        <w:footnoteReference w:id="71"/>
      </w:r>
    </w:p>
    <w:p w14:paraId="128BA051" w14:textId="77777777" w:rsidR="005C0700" w:rsidRPr="00CD52EE" w:rsidRDefault="005C0700" w:rsidP="005C0700">
      <w:pPr>
        <w:tabs>
          <w:tab w:val="left" w:pos="360"/>
        </w:tabs>
        <w:suppressAutoHyphens/>
        <w:jc w:val="both"/>
        <w:rPr>
          <w:rFonts w:asciiTheme="majorHAnsi" w:hAnsiTheme="majorHAnsi" w:cs="Calibri"/>
          <w:sz w:val="20"/>
          <w:szCs w:val="20"/>
        </w:rPr>
      </w:pPr>
    </w:p>
    <w:p w14:paraId="119203DE" w14:textId="77777777" w:rsidR="005C0700" w:rsidRPr="00CD52EE" w:rsidRDefault="005C0700" w:rsidP="005C0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0" w:firstLine="0"/>
        <w:jc w:val="both"/>
        <w:rPr>
          <w:rFonts w:asciiTheme="majorHAnsi" w:hAnsiTheme="majorHAnsi" w:cs="Calibri"/>
          <w:sz w:val="20"/>
          <w:szCs w:val="20"/>
        </w:rPr>
      </w:pPr>
      <w:r w:rsidRPr="00CD52EE">
        <w:rPr>
          <w:rFonts w:asciiTheme="majorHAnsi" w:hAnsiTheme="majorHAnsi" w:cs="Calibri"/>
          <w:sz w:val="20"/>
          <w:szCs w:val="20"/>
        </w:rPr>
        <w:t>Thus, international human rights law establishes that no person may be convicted of a crime unless there is full proof of his or her criminal responsibility. As the Inter-American Court has stated, “if the evidence presented is incomplete or insufficient, [the accused] must be acquitted, not convicted.”</w:t>
      </w:r>
      <w:r w:rsidRPr="00CD52EE">
        <w:rPr>
          <w:rFonts w:asciiTheme="majorHAnsi" w:hAnsiTheme="majorHAnsi" w:cs="Calibri"/>
          <w:sz w:val="20"/>
          <w:szCs w:val="20"/>
          <w:vertAlign w:val="superscript"/>
        </w:rPr>
        <w:footnoteReference w:id="72"/>
      </w:r>
      <w:r w:rsidRPr="00CD52EE">
        <w:rPr>
          <w:rFonts w:asciiTheme="majorHAnsi" w:hAnsiTheme="majorHAnsi" w:cs="Calibri"/>
          <w:sz w:val="20"/>
          <w:szCs w:val="20"/>
          <w:vertAlign w:val="superscript"/>
        </w:rPr>
        <w:t xml:space="preserve"> </w:t>
      </w:r>
      <w:r w:rsidRPr="00CD52EE">
        <w:rPr>
          <w:rFonts w:asciiTheme="majorHAnsi" w:hAnsiTheme="majorHAnsi" w:cs="Calibri"/>
          <w:sz w:val="20"/>
          <w:szCs w:val="20"/>
        </w:rPr>
        <w:t>Consequently, the Court has ruled that the absence of full evidence of criminal responsibility in a conviction constitutes a violation of the principle of presumption of innocence.</w:t>
      </w:r>
      <w:r w:rsidRPr="00CD52EE">
        <w:rPr>
          <w:rFonts w:asciiTheme="majorHAnsi" w:hAnsiTheme="majorHAnsi" w:cs="Calibri"/>
          <w:sz w:val="20"/>
          <w:szCs w:val="20"/>
          <w:vertAlign w:val="superscript"/>
        </w:rPr>
        <w:footnoteReference w:id="73"/>
      </w:r>
      <w:r w:rsidRPr="00CD52EE">
        <w:rPr>
          <w:rFonts w:asciiTheme="majorHAnsi" w:hAnsiTheme="majorHAnsi" w:cs="Calibri"/>
          <w:sz w:val="20"/>
          <w:szCs w:val="20"/>
          <w:vertAlign w:val="superscript"/>
        </w:rPr>
        <w:t xml:space="preserve"> </w:t>
      </w:r>
    </w:p>
    <w:p w14:paraId="29AB1738" w14:textId="77777777" w:rsidR="005C0700" w:rsidRPr="00CD52EE" w:rsidRDefault="005C0700" w:rsidP="005C07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Theme="majorHAnsi" w:hAnsiTheme="majorHAnsi" w:cs="Calibri"/>
          <w:sz w:val="20"/>
          <w:szCs w:val="20"/>
        </w:rPr>
      </w:pPr>
    </w:p>
    <w:p w14:paraId="23A68255" w14:textId="77777777" w:rsidR="00B822DD" w:rsidRPr="00245384" w:rsidRDefault="005C0700" w:rsidP="00D823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0" w:firstLine="0"/>
        <w:jc w:val="both"/>
        <w:rPr>
          <w:rFonts w:asciiTheme="majorHAnsi" w:hAnsiTheme="majorHAnsi" w:cs="Calibri"/>
          <w:sz w:val="20"/>
          <w:szCs w:val="20"/>
        </w:rPr>
      </w:pPr>
      <w:r w:rsidRPr="00CD52EE">
        <w:rPr>
          <w:rFonts w:asciiTheme="majorHAnsi" w:hAnsiTheme="majorHAnsi" w:cs="Calibri"/>
          <w:sz w:val="20"/>
          <w:szCs w:val="20"/>
        </w:rPr>
        <w:t>The Commission has also stressed the importance that, in accordance with the principle of the presumption of innocence involving all authorities conducting a trial, any criminal investigation must allow for the presentation and analysis of evidence that may be both favorable and unfavorable to the person being prosecuted.</w:t>
      </w:r>
      <w:r w:rsidRPr="00CD52EE">
        <w:rPr>
          <w:rStyle w:val="FootnoteReference"/>
          <w:rFonts w:asciiTheme="majorHAnsi" w:hAnsiTheme="majorHAnsi"/>
          <w:sz w:val="20"/>
          <w:szCs w:val="20"/>
        </w:rPr>
        <w:footnoteReference w:id="74"/>
      </w:r>
      <w:r w:rsidR="008A45EC">
        <w:rPr>
          <w:rFonts w:asciiTheme="majorHAnsi" w:hAnsiTheme="majorHAnsi" w:cs="Calibri"/>
          <w:sz w:val="20"/>
          <w:szCs w:val="20"/>
        </w:rPr>
        <w:t xml:space="preserve">. </w:t>
      </w:r>
      <w:r w:rsidR="008A45EC" w:rsidRPr="00D8238D">
        <w:rPr>
          <w:rFonts w:asciiTheme="majorHAnsi" w:hAnsiTheme="majorHAnsi" w:cs="Calibri"/>
          <w:sz w:val="20"/>
          <w:szCs w:val="20"/>
        </w:rPr>
        <w:t>The examination as to whether the State is in breach of the principle of the presumption of innocence may require a review of how the court in question dealt with and assessed the evidence within the framework of due process protections.  Th</w:t>
      </w:r>
      <w:r w:rsidR="008A45EC">
        <w:rPr>
          <w:rFonts w:asciiTheme="majorHAnsi" w:hAnsiTheme="majorHAnsi" w:cs="Calibri"/>
          <w:sz w:val="20"/>
          <w:szCs w:val="20"/>
        </w:rPr>
        <w:t>e IACHR has established that “th</w:t>
      </w:r>
      <w:r w:rsidR="008A45EC" w:rsidRPr="00D8238D">
        <w:rPr>
          <w:rFonts w:asciiTheme="majorHAnsi" w:hAnsiTheme="majorHAnsi" w:cs="Calibri"/>
          <w:sz w:val="20"/>
          <w:szCs w:val="20"/>
        </w:rPr>
        <w:t>is exercise is separate from the one criminal court judges must engage in and is exclusively focused on determining whether in performance of their duties, they enforced or overlooked the minimum safeguards, which are provided for under the principle of the presumption of innocence</w:t>
      </w:r>
      <w:r w:rsidR="00CE1615">
        <w:rPr>
          <w:rFonts w:asciiTheme="majorHAnsi" w:hAnsiTheme="majorHAnsi" w:cs="Calibri"/>
          <w:sz w:val="20"/>
          <w:szCs w:val="20"/>
        </w:rPr>
        <w:t>.</w:t>
      </w:r>
      <w:r w:rsidR="008A45EC">
        <w:rPr>
          <w:rFonts w:asciiTheme="majorHAnsi" w:hAnsiTheme="majorHAnsi" w:cs="Calibri"/>
          <w:sz w:val="20"/>
          <w:szCs w:val="20"/>
        </w:rPr>
        <w:t>”</w:t>
      </w:r>
      <w:r w:rsidR="008A45EC">
        <w:rPr>
          <w:rStyle w:val="FootnoteReference"/>
          <w:rFonts w:asciiTheme="majorHAnsi" w:hAnsiTheme="majorHAnsi"/>
          <w:sz w:val="20"/>
          <w:szCs w:val="20"/>
        </w:rPr>
        <w:footnoteReference w:id="75"/>
      </w:r>
    </w:p>
    <w:p w14:paraId="45E2B931" w14:textId="77777777" w:rsidR="00B822DD" w:rsidRDefault="00B822DD" w:rsidP="00D823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Theme="majorHAnsi" w:hAnsiTheme="majorHAnsi" w:cs="Calibri"/>
          <w:sz w:val="20"/>
          <w:szCs w:val="20"/>
        </w:rPr>
      </w:pPr>
    </w:p>
    <w:p w14:paraId="25E75D20" w14:textId="77777777" w:rsidR="00B822DD" w:rsidRPr="00B822DD" w:rsidRDefault="00B822DD" w:rsidP="00D823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0" w:firstLine="0"/>
        <w:jc w:val="both"/>
        <w:rPr>
          <w:rFonts w:asciiTheme="majorHAnsi" w:hAnsiTheme="majorHAnsi" w:cs="Calibri"/>
          <w:sz w:val="20"/>
          <w:szCs w:val="20"/>
        </w:rPr>
      </w:pPr>
      <w:r>
        <w:rPr>
          <w:rFonts w:asciiTheme="majorHAnsi" w:hAnsiTheme="majorHAnsi" w:cs="Calibri"/>
          <w:sz w:val="20"/>
          <w:szCs w:val="20"/>
        </w:rPr>
        <w:lastRenderedPageBreak/>
        <w:t>T</w:t>
      </w:r>
      <w:r w:rsidRPr="00B822DD">
        <w:rPr>
          <w:rFonts w:asciiTheme="majorHAnsi" w:hAnsiTheme="majorHAnsi" w:cs="Calibri"/>
          <w:sz w:val="20"/>
          <w:szCs w:val="20"/>
        </w:rPr>
        <w:t>he</w:t>
      </w:r>
      <w:r>
        <w:rPr>
          <w:rFonts w:asciiTheme="majorHAnsi" w:hAnsiTheme="majorHAnsi" w:cs="Calibri"/>
          <w:sz w:val="20"/>
          <w:szCs w:val="20"/>
        </w:rPr>
        <w:t xml:space="preserve"> Inter-American</w:t>
      </w:r>
      <w:r w:rsidRPr="00B822DD">
        <w:rPr>
          <w:rFonts w:asciiTheme="majorHAnsi" w:hAnsiTheme="majorHAnsi" w:cs="Calibri"/>
          <w:sz w:val="20"/>
          <w:szCs w:val="20"/>
        </w:rPr>
        <w:t xml:space="preserve"> Court </w:t>
      </w:r>
      <w:r>
        <w:rPr>
          <w:rFonts w:asciiTheme="majorHAnsi" w:hAnsiTheme="majorHAnsi" w:cs="Calibri"/>
          <w:sz w:val="20"/>
          <w:szCs w:val="20"/>
        </w:rPr>
        <w:t xml:space="preserve">in the case of </w:t>
      </w:r>
      <w:r w:rsidRPr="00D8238D">
        <w:rPr>
          <w:rFonts w:asciiTheme="majorHAnsi" w:hAnsiTheme="majorHAnsi" w:cs="Calibri"/>
          <w:i/>
          <w:sz w:val="20"/>
          <w:szCs w:val="20"/>
        </w:rPr>
        <w:t>Zegarra Marin vs. Per</w:t>
      </w:r>
      <w:r>
        <w:rPr>
          <w:rFonts w:asciiTheme="majorHAnsi" w:hAnsiTheme="majorHAnsi" w:cs="Calibri"/>
          <w:i/>
          <w:sz w:val="20"/>
          <w:szCs w:val="20"/>
        </w:rPr>
        <w:t>u</w:t>
      </w:r>
      <w:r>
        <w:rPr>
          <w:rStyle w:val="FootnoteReference"/>
          <w:rFonts w:asciiTheme="majorHAnsi" w:hAnsiTheme="majorHAnsi"/>
          <w:i/>
          <w:sz w:val="20"/>
          <w:szCs w:val="20"/>
        </w:rPr>
        <w:footnoteReference w:id="76"/>
      </w:r>
      <w:r>
        <w:rPr>
          <w:rFonts w:asciiTheme="majorHAnsi" w:hAnsiTheme="majorHAnsi" w:cs="Calibri"/>
          <w:i/>
          <w:sz w:val="20"/>
          <w:szCs w:val="20"/>
        </w:rPr>
        <w:t xml:space="preserve"> </w:t>
      </w:r>
      <w:r>
        <w:rPr>
          <w:rFonts w:asciiTheme="majorHAnsi" w:hAnsiTheme="majorHAnsi" w:cs="Calibri"/>
          <w:sz w:val="20"/>
          <w:szCs w:val="20"/>
        </w:rPr>
        <w:t>emphasized</w:t>
      </w:r>
      <w:r w:rsidRPr="00B822DD">
        <w:rPr>
          <w:rFonts w:asciiTheme="majorHAnsi" w:hAnsiTheme="majorHAnsi" w:cs="Calibri"/>
          <w:sz w:val="20"/>
          <w:szCs w:val="20"/>
        </w:rPr>
        <w:t xml:space="preserve"> the relevance of the motivation</w:t>
      </w:r>
      <w:r>
        <w:rPr>
          <w:rFonts w:asciiTheme="majorHAnsi" w:hAnsiTheme="majorHAnsi" w:cs="Calibri"/>
          <w:sz w:val="20"/>
          <w:szCs w:val="20"/>
        </w:rPr>
        <w:t xml:space="preserve"> or the reasoning of the judgment</w:t>
      </w:r>
      <w:r w:rsidR="00E65202">
        <w:rPr>
          <w:rFonts w:asciiTheme="majorHAnsi" w:hAnsiTheme="majorHAnsi" w:cs="Calibri"/>
          <w:sz w:val="20"/>
          <w:szCs w:val="20"/>
        </w:rPr>
        <w:t xml:space="preserve">, in accordance with Article 8.1 of the American Convention, </w:t>
      </w:r>
      <w:r w:rsidRPr="00B822DD">
        <w:rPr>
          <w:rFonts w:asciiTheme="majorHAnsi" w:hAnsiTheme="majorHAnsi" w:cs="Calibri"/>
          <w:sz w:val="20"/>
          <w:szCs w:val="20"/>
        </w:rPr>
        <w:t>in order to guarantee the principle of presumption of innocence, mainly in a conviction, which must express the sufficiency of the prosecution evidence to confirm the accusatory hypothesis; the observance of the rules of sound criticism in the assessment of the evidence, including those that could generate doubt of criminal responsibility; and the final judgment that derives from this assessment.</w:t>
      </w:r>
      <w:r>
        <w:rPr>
          <w:rFonts w:asciiTheme="majorHAnsi" w:hAnsiTheme="majorHAnsi" w:cs="Calibri"/>
          <w:sz w:val="20"/>
          <w:szCs w:val="20"/>
        </w:rPr>
        <w:t xml:space="preserve"> In a specific case</w:t>
      </w:r>
      <w:r w:rsidRPr="00B822DD">
        <w:rPr>
          <w:rFonts w:asciiTheme="majorHAnsi" w:hAnsiTheme="majorHAnsi" w:cs="Calibri"/>
          <w:sz w:val="20"/>
          <w:szCs w:val="20"/>
        </w:rPr>
        <w:t xml:space="preserve">, </w:t>
      </w:r>
      <w:r>
        <w:rPr>
          <w:rFonts w:asciiTheme="majorHAnsi" w:hAnsiTheme="majorHAnsi" w:cs="Calibri"/>
          <w:sz w:val="20"/>
          <w:szCs w:val="20"/>
        </w:rPr>
        <w:t xml:space="preserve">the judgment </w:t>
      </w:r>
      <w:r w:rsidRPr="00B822DD">
        <w:rPr>
          <w:rFonts w:asciiTheme="majorHAnsi" w:hAnsiTheme="majorHAnsi" w:cs="Calibri"/>
          <w:sz w:val="20"/>
          <w:szCs w:val="20"/>
        </w:rPr>
        <w:t>must reflect the reasons why it was possible to obtain conviction on the accusation and criminal responsibility, as well as the assessment of the evidence to disprove any hypothesis of innocence, and only then be able to confirm or refute the accusatory hypothesis. The foregoing would allow to disprove the presumption of innocence and determine criminal responsibility beyond any reasonable doubt.</w:t>
      </w:r>
    </w:p>
    <w:p w14:paraId="37EC63AD" w14:textId="77777777" w:rsidR="00B822DD" w:rsidRDefault="00B822DD" w:rsidP="00D823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Theme="majorHAnsi" w:hAnsiTheme="majorHAnsi" w:cs="Calibri"/>
          <w:sz w:val="20"/>
          <w:szCs w:val="20"/>
        </w:rPr>
      </w:pPr>
    </w:p>
    <w:p w14:paraId="02B8AF88" w14:textId="77777777" w:rsidR="00205F67" w:rsidRPr="00CD52EE" w:rsidRDefault="00205F67" w:rsidP="006541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0" w:firstLine="0"/>
        <w:jc w:val="both"/>
        <w:rPr>
          <w:rFonts w:asciiTheme="majorHAnsi" w:hAnsiTheme="majorHAnsi" w:cs="Calibri"/>
          <w:sz w:val="20"/>
          <w:szCs w:val="20"/>
        </w:rPr>
      </w:pPr>
      <w:r w:rsidRPr="00CD52EE">
        <w:rPr>
          <w:rFonts w:asciiTheme="majorHAnsi" w:hAnsiTheme="majorHAnsi" w:cs="Calibri"/>
          <w:sz w:val="20"/>
          <w:szCs w:val="20"/>
        </w:rPr>
        <w:t>Further, according to the Inter-American Court, the right to effective domestic remedies, referred to in Article 25(1) of the Convention,</w:t>
      </w:r>
      <w:r w:rsidR="00510839" w:rsidRPr="00CD52EE">
        <w:rPr>
          <w:rStyle w:val="FootnoteReference"/>
          <w:rFonts w:asciiTheme="majorHAnsi" w:hAnsiTheme="majorHAnsi"/>
          <w:sz w:val="20"/>
          <w:szCs w:val="20"/>
        </w:rPr>
        <w:footnoteReference w:id="77"/>
      </w:r>
      <w:r w:rsidRPr="00CD52EE">
        <w:rPr>
          <w:rFonts w:asciiTheme="majorHAnsi" w:hAnsiTheme="majorHAnsi" w:cs="Calibri"/>
          <w:sz w:val="20"/>
          <w:szCs w:val="20"/>
        </w:rPr>
        <w:t xml:space="preserve"> is not limited to its m</w:t>
      </w:r>
      <w:r w:rsidR="00654124" w:rsidRPr="00CD52EE">
        <w:rPr>
          <w:rFonts w:asciiTheme="majorHAnsi" w:hAnsiTheme="majorHAnsi" w:cs="Calibri"/>
          <w:sz w:val="20"/>
          <w:szCs w:val="20"/>
        </w:rPr>
        <w:t>ere formal existence, but that “</w:t>
      </w:r>
      <w:r w:rsidRPr="00CD52EE">
        <w:rPr>
          <w:rFonts w:asciiTheme="majorHAnsi" w:hAnsiTheme="majorHAnsi" w:cs="Calibri"/>
          <w:sz w:val="20"/>
          <w:szCs w:val="20"/>
        </w:rPr>
        <w:t>they must be effective, that is to say, they must produce results or responses to the violations of the rights</w:t>
      </w:r>
      <w:r w:rsidR="00654124" w:rsidRPr="00CD52EE">
        <w:rPr>
          <w:rFonts w:asciiTheme="majorHAnsi" w:hAnsiTheme="majorHAnsi" w:cs="Calibri"/>
          <w:sz w:val="20"/>
          <w:szCs w:val="20"/>
        </w:rPr>
        <w:t xml:space="preserve"> contemplated in the Convention”</w:t>
      </w:r>
      <w:r w:rsidR="004A7D96" w:rsidRPr="00CD52EE">
        <w:rPr>
          <w:rFonts w:asciiTheme="majorHAnsi" w:hAnsiTheme="majorHAnsi" w:cs="Calibri"/>
          <w:sz w:val="20"/>
          <w:szCs w:val="20"/>
          <w:vertAlign w:val="superscript"/>
        </w:rPr>
        <w:footnoteReference w:id="78"/>
      </w:r>
      <w:r w:rsidRPr="00CD52EE">
        <w:rPr>
          <w:rFonts w:asciiTheme="majorHAnsi" w:hAnsiTheme="majorHAnsi" w:cs="Calibri"/>
          <w:sz w:val="20"/>
          <w:szCs w:val="20"/>
          <w:vertAlign w:val="superscript"/>
        </w:rPr>
        <w:t xml:space="preserve"> </w:t>
      </w:r>
      <w:r w:rsidR="00654124" w:rsidRPr="00CD52EE">
        <w:rPr>
          <w:rFonts w:asciiTheme="majorHAnsi" w:hAnsiTheme="majorHAnsi" w:cs="Calibri"/>
          <w:sz w:val="20"/>
          <w:szCs w:val="20"/>
        </w:rPr>
        <w:t>and must allow “the judicial protection required to be achieved, where appropriate.”</w:t>
      </w:r>
      <w:r w:rsidR="004A7D96" w:rsidRPr="00CD52EE">
        <w:rPr>
          <w:rFonts w:asciiTheme="majorHAnsi" w:hAnsiTheme="majorHAnsi" w:cs="Calibri"/>
          <w:sz w:val="20"/>
          <w:szCs w:val="20"/>
          <w:vertAlign w:val="superscript"/>
        </w:rPr>
        <w:footnoteReference w:id="79"/>
      </w:r>
      <w:r w:rsidRPr="00CD52EE">
        <w:rPr>
          <w:rFonts w:asciiTheme="majorHAnsi" w:hAnsiTheme="majorHAnsi" w:cs="Calibri"/>
          <w:sz w:val="20"/>
          <w:szCs w:val="20"/>
          <w:vertAlign w:val="superscript"/>
        </w:rPr>
        <w:t xml:space="preserve"> </w:t>
      </w:r>
      <w:r w:rsidRPr="00CD52EE">
        <w:rPr>
          <w:rFonts w:asciiTheme="majorHAnsi" w:hAnsiTheme="majorHAnsi" w:cs="Calibri"/>
          <w:sz w:val="20"/>
          <w:szCs w:val="20"/>
        </w:rPr>
        <w:t xml:space="preserve">The importance of the effectiveness of domestic remedies lies in the fact that they constitute the safeguard of the person against the arbitrary exercise of public power and therefore, the Court has </w:t>
      </w:r>
      <w:r w:rsidR="00654124" w:rsidRPr="00CD52EE">
        <w:rPr>
          <w:rFonts w:asciiTheme="majorHAnsi" w:hAnsiTheme="majorHAnsi" w:cs="Calibri"/>
          <w:sz w:val="20"/>
          <w:szCs w:val="20"/>
        </w:rPr>
        <w:t>indicated that “</w:t>
      </w:r>
      <w:r w:rsidRPr="00CD52EE">
        <w:rPr>
          <w:rFonts w:asciiTheme="majorHAnsi" w:hAnsiTheme="majorHAnsi" w:cs="Calibri"/>
          <w:sz w:val="20"/>
          <w:szCs w:val="20"/>
        </w:rPr>
        <w:t>the lack of effective domestic remedies places the victi</w:t>
      </w:r>
      <w:r w:rsidR="00654124" w:rsidRPr="00CD52EE">
        <w:rPr>
          <w:rFonts w:asciiTheme="majorHAnsi" w:hAnsiTheme="majorHAnsi" w:cs="Calibri"/>
          <w:sz w:val="20"/>
          <w:szCs w:val="20"/>
        </w:rPr>
        <w:t>m in a state of defenselessness.”</w:t>
      </w:r>
      <w:r w:rsidR="004A7D96" w:rsidRPr="00CD52EE">
        <w:rPr>
          <w:rFonts w:asciiTheme="majorHAnsi" w:hAnsiTheme="majorHAnsi" w:cs="Calibri"/>
          <w:sz w:val="20"/>
          <w:szCs w:val="20"/>
          <w:vertAlign w:val="superscript"/>
        </w:rPr>
        <w:footnoteReference w:id="80"/>
      </w:r>
      <w:r w:rsidRPr="00CD52EE">
        <w:rPr>
          <w:rFonts w:asciiTheme="majorHAnsi" w:hAnsiTheme="majorHAnsi" w:cs="Calibri"/>
          <w:sz w:val="20"/>
          <w:szCs w:val="20"/>
          <w:vertAlign w:val="superscript"/>
        </w:rPr>
        <w:t xml:space="preserve"> </w:t>
      </w:r>
    </w:p>
    <w:p w14:paraId="0232930E" w14:textId="77777777" w:rsidR="005C0700" w:rsidRPr="00CD52EE" w:rsidRDefault="005C0700" w:rsidP="005C07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350"/>
        </w:tabs>
        <w:jc w:val="both"/>
        <w:rPr>
          <w:rFonts w:asciiTheme="majorHAnsi" w:hAnsiTheme="majorHAnsi"/>
          <w:sz w:val="20"/>
          <w:szCs w:val="22"/>
        </w:rPr>
      </w:pPr>
    </w:p>
    <w:p w14:paraId="69403EBA" w14:textId="77777777" w:rsidR="005C0700" w:rsidRPr="00CD52EE" w:rsidRDefault="005C0700" w:rsidP="005C0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Cambria" w:hAnsi="Cambria"/>
          <w:sz w:val="20"/>
          <w:szCs w:val="20"/>
          <w:bdr w:val="none" w:sz="0" w:space="0" w:color="auto"/>
        </w:rPr>
        <w:t>The Inter-American Commission has further stated that the right to due process established under Article XXVI of the American Declaration must be interpreted and applied in the context of death penalty prosecutions to give stringent effect to the most fundamental substantive and procedural due process protections.</w:t>
      </w:r>
      <w:r w:rsidRPr="00CD52EE">
        <w:rPr>
          <w:rStyle w:val="FootnoteReference"/>
          <w:rFonts w:ascii="Cambria" w:hAnsi="Cambria"/>
          <w:sz w:val="20"/>
          <w:szCs w:val="20"/>
          <w:bdr w:val="none" w:sz="0" w:space="0" w:color="auto"/>
        </w:rPr>
        <w:footnoteReference w:id="81"/>
      </w:r>
      <w:r w:rsidRPr="00CD52EE">
        <w:rPr>
          <w:rFonts w:asciiTheme="majorHAnsi" w:hAnsiTheme="majorHAnsi"/>
          <w:sz w:val="20"/>
          <w:szCs w:val="22"/>
        </w:rPr>
        <w:t xml:space="preserve"> The Commission underscores that the State has the duty to disclose all exculpatory evidence in its possession as well as information favorable to the accused. In particular, in cases involving the death penalty, the State has an enhanced obligation to guarantee that no evidence favorable to the accused is withheld, as this could change the outcome of the trial and give rise to an arbitrary deprivation of life.</w:t>
      </w:r>
      <w:r w:rsidRPr="00CD52EE">
        <w:rPr>
          <w:rStyle w:val="FootnoteReference"/>
          <w:rFonts w:asciiTheme="majorHAnsi" w:hAnsiTheme="majorHAnsi"/>
          <w:sz w:val="20"/>
          <w:szCs w:val="22"/>
        </w:rPr>
        <w:footnoteReference w:id="82"/>
      </w:r>
      <w:r w:rsidRPr="00CD52EE">
        <w:rPr>
          <w:rFonts w:asciiTheme="majorHAnsi" w:hAnsiTheme="majorHAnsi"/>
          <w:sz w:val="20"/>
          <w:szCs w:val="22"/>
        </w:rPr>
        <w:t xml:space="preserve"> </w:t>
      </w:r>
    </w:p>
    <w:p w14:paraId="60B350B6" w14:textId="77777777" w:rsidR="005C0700" w:rsidRPr="00CD52EE" w:rsidRDefault="005C0700" w:rsidP="005C07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5A2C44EF" w14:textId="77777777" w:rsidR="005C0700" w:rsidRPr="00CD52EE" w:rsidRDefault="005C0700" w:rsidP="005C0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Cambria" w:hAnsiTheme="majorHAnsi" w:cs="Cambria"/>
          <w:sz w:val="20"/>
          <w:szCs w:val="20"/>
        </w:rPr>
        <w:t>The petitioners claim that the State has breached the alleged victim’s rights to due process as a result of several inconsistencies that occurred at trial and further that the alleged victims</w:t>
      </w:r>
      <w:r w:rsidRPr="00CD52EE">
        <w:rPr>
          <w:rFonts w:asciiTheme="majorHAnsi" w:hAnsiTheme="majorHAnsi"/>
          <w:sz w:val="20"/>
          <w:szCs w:val="20"/>
        </w:rPr>
        <w:t xml:space="preserve"> were sentenced through a miscarriage of justice.  </w:t>
      </w:r>
      <w:r w:rsidR="00B84A25" w:rsidRPr="00CD52EE">
        <w:rPr>
          <w:rFonts w:asciiTheme="majorHAnsi" w:hAnsiTheme="majorHAnsi"/>
          <w:sz w:val="20"/>
        </w:rPr>
        <w:t>The State claims that all due process guarantees were respected</w:t>
      </w:r>
      <w:r w:rsidR="006B64E7" w:rsidRPr="00CD52EE">
        <w:rPr>
          <w:rFonts w:asciiTheme="majorHAnsi" w:hAnsiTheme="majorHAnsi"/>
          <w:sz w:val="20"/>
        </w:rPr>
        <w:t>.</w:t>
      </w:r>
    </w:p>
    <w:p w14:paraId="6F5D7776" w14:textId="77777777" w:rsidR="005C0700" w:rsidRPr="00CD52EE" w:rsidRDefault="005C0700" w:rsidP="005C07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6FBCE69F" w14:textId="77777777" w:rsidR="005C0700" w:rsidRPr="00CD52EE" w:rsidRDefault="005C0700" w:rsidP="005C0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CD52EE">
        <w:rPr>
          <w:rFonts w:asciiTheme="majorHAnsi" w:eastAsia="Times New Roman" w:hAnsiTheme="majorHAnsi"/>
          <w:sz w:val="20"/>
          <w:szCs w:val="20"/>
        </w:rPr>
        <w:t xml:space="preserve"> </w:t>
      </w:r>
      <w:r w:rsidRPr="00CD52EE">
        <w:rPr>
          <w:rFonts w:ascii="Cambria" w:hAnsi="Cambria"/>
          <w:sz w:val="20"/>
          <w:szCs w:val="20"/>
          <w:bdr w:val="none" w:sz="0" w:space="0" w:color="auto"/>
        </w:rPr>
        <w:t>The Inter-American Commission must now determine whether the criminal proceedings in the instant case satisfied the above-mentioned inter-American standards. The Commission highlights in this regard that it is the competence of domestic courts, and not of the Commission, to interpret and apply domestic law, and, in the instant case, to determine whether the alleged victims are innocent or guilty. However, the IACHR must ensure that any criminal proceedings that may involve the application of the death penalty would be strictly consistent with the requirements set forth in the American Declaration and Convention.</w:t>
      </w:r>
      <w:r w:rsidRPr="00CD52EE">
        <w:rPr>
          <w:rStyle w:val="FootnoteReference"/>
          <w:rFonts w:ascii="Cambria" w:hAnsi="Cambria"/>
          <w:sz w:val="20"/>
          <w:szCs w:val="20"/>
          <w:bdr w:val="none" w:sz="0" w:space="0" w:color="auto"/>
        </w:rPr>
        <w:footnoteReference w:id="83"/>
      </w:r>
    </w:p>
    <w:p w14:paraId="3CE84C3C" w14:textId="77777777" w:rsidR="005C0700" w:rsidRPr="00CD52EE" w:rsidRDefault="005C0700" w:rsidP="005C07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36C177FC" w14:textId="77777777" w:rsidR="005C0700" w:rsidRPr="00CD52EE" w:rsidRDefault="005C0700" w:rsidP="005C0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The IACHR notes, based on the facts established in this report, that important doubts existed about the gun used in the killing. The Privy Council made further observations on discrepancies, specific to ballistics evidence, </w:t>
      </w:r>
      <w:r w:rsidRPr="00CD52EE">
        <w:rPr>
          <w:rFonts w:asciiTheme="majorHAnsi" w:eastAsia="Times New Roman" w:hAnsiTheme="majorHAnsi"/>
          <w:sz w:val="20"/>
          <w:szCs w:val="20"/>
        </w:rPr>
        <w:lastRenderedPageBreak/>
        <w:t xml:space="preserve">and noted that where defense counsel attempted to address the matter, it was without effect. Moreover, the review by the Privy Council highlighted the failure of the prosecution to fully consider the exculpatory evidence within the expert evidence and build a case inclusive of it. Specifically, it noted that “a report from a ballistics expert […] strongly suggest[ed] that the .44 revolver had not after all been used in the attack.” Also, one eyewitness that testified at the hearing before the Privy Council noted that no motive was ever suggested by the prosecution for the killing and that Shawn, the most important prosecution witness, lied in one part of his evidence at trial. </w:t>
      </w:r>
    </w:p>
    <w:p w14:paraId="3724BE63" w14:textId="77777777" w:rsidR="005C0700" w:rsidRPr="00CD52EE" w:rsidRDefault="005C0700" w:rsidP="005C0700">
      <w:pPr>
        <w:pStyle w:val="ListParagraph"/>
        <w:rPr>
          <w:rFonts w:asciiTheme="majorHAnsi" w:eastAsia="Times New Roman" w:hAnsiTheme="majorHAnsi"/>
          <w:sz w:val="20"/>
          <w:szCs w:val="20"/>
        </w:rPr>
      </w:pPr>
    </w:p>
    <w:p w14:paraId="17A8AC84" w14:textId="77777777" w:rsidR="005C0700" w:rsidRPr="00CD52EE" w:rsidRDefault="005C0700" w:rsidP="005C0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The case under analysis raises therefore one question that is directly related to the principle of presumption of innocence, which involves the evidence on which Messrs. Dial and Dottin’s conviction was based. As the Privy Council has noted, </w:t>
      </w:r>
      <w:r w:rsidRPr="00CD52EE">
        <w:rPr>
          <w:rFonts w:asciiTheme="majorHAnsi" w:hAnsiTheme="majorHAnsi"/>
          <w:sz w:val="20"/>
          <w:szCs w:val="22"/>
        </w:rPr>
        <w:t>the prosecution built the State’s case on inconsistent evidence, without consideration of exculpatory evidence from the ballistics evidence. In cases involving the death penalty, the State has an enhanced obligation to guarantee that no evidence favorable to the accused is withheld, as this could change the outcome of the trial and give rise to an arbitrary deprivation of life</w:t>
      </w:r>
      <w:r w:rsidR="006B64E7" w:rsidRPr="00CD52EE">
        <w:rPr>
          <w:rFonts w:asciiTheme="majorHAnsi" w:hAnsiTheme="majorHAnsi"/>
          <w:sz w:val="20"/>
          <w:szCs w:val="22"/>
        </w:rPr>
        <w:t>.</w:t>
      </w:r>
      <w:r w:rsidRPr="00CD52EE">
        <w:rPr>
          <w:rStyle w:val="FootnoteReference"/>
          <w:rFonts w:asciiTheme="majorHAnsi" w:hAnsiTheme="majorHAnsi"/>
          <w:sz w:val="20"/>
          <w:szCs w:val="22"/>
        </w:rPr>
        <w:footnoteReference w:id="84"/>
      </w:r>
      <w:r w:rsidRPr="00CD52EE">
        <w:rPr>
          <w:rFonts w:asciiTheme="majorHAnsi" w:hAnsiTheme="majorHAnsi"/>
          <w:sz w:val="20"/>
          <w:szCs w:val="22"/>
        </w:rPr>
        <w:t xml:space="preserve"> Though the information was not in the strictest sense withheld, the result is similar since the existence of exculpat</w:t>
      </w:r>
      <w:r w:rsidR="005E11AA">
        <w:rPr>
          <w:rFonts w:asciiTheme="majorHAnsi" w:hAnsiTheme="majorHAnsi"/>
          <w:sz w:val="20"/>
          <w:szCs w:val="22"/>
        </w:rPr>
        <w:t>ory evidence was not considered.</w:t>
      </w:r>
    </w:p>
    <w:p w14:paraId="3CEF018B" w14:textId="77777777" w:rsidR="00B84A25" w:rsidRPr="00CD52EE" w:rsidRDefault="00B84A25" w:rsidP="00B84A25">
      <w:pPr>
        <w:pStyle w:val="ListParagraph"/>
        <w:rPr>
          <w:rFonts w:asciiTheme="majorHAnsi" w:eastAsia="Times New Roman" w:hAnsiTheme="majorHAnsi"/>
          <w:sz w:val="20"/>
          <w:szCs w:val="20"/>
        </w:rPr>
      </w:pPr>
    </w:p>
    <w:p w14:paraId="381B172D" w14:textId="77777777" w:rsidR="005C0700" w:rsidRPr="00CD52EE" w:rsidRDefault="005C0700" w:rsidP="00C42E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hAnsiTheme="majorHAnsi"/>
          <w:sz w:val="20"/>
          <w:szCs w:val="22"/>
        </w:rPr>
        <w:t xml:space="preserve">Based upon the foregoing, the Commission concludes that the </w:t>
      </w:r>
      <w:r w:rsidR="005E11AA">
        <w:rPr>
          <w:rFonts w:asciiTheme="majorHAnsi" w:hAnsiTheme="majorHAnsi"/>
          <w:sz w:val="20"/>
          <w:szCs w:val="22"/>
        </w:rPr>
        <w:t xml:space="preserve">lack of a serious analysis of the </w:t>
      </w:r>
      <w:r w:rsidRPr="00CD52EE">
        <w:rPr>
          <w:rFonts w:asciiTheme="majorHAnsi" w:hAnsiTheme="majorHAnsi"/>
          <w:sz w:val="20"/>
          <w:szCs w:val="22"/>
        </w:rPr>
        <w:t>inconsistencies in the evidence</w:t>
      </w:r>
      <w:r w:rsidR="005E11AA">
        <w:rPr>
          <w:rFonts w:asciiTheme="majorHAnsi" w:eastAsia="Times New Roman" w:hAnsiTheme="majorHAnsi"/>
          <w:sz w:val="20"/>
          <w:szCs w:val="20"/>
        </w:rPr>
        <w:t xml:space="preserve"> </w:t>
      </w:r>
      <w:r w:rsidRPr="00CD52EE">
        <w:rPr>
          <w:rFonts w:asciiTheme="majorHAnsi" w:eastAsia="Times New Roman" w:hAnsiTheme="majorHAnsi"/>
          <w:sz w:val="20"/>
          <w:szCs w:val="20"/>
        </w:rPr>
        <w:t>constitute</w:t>
      </w:r>
      <w:r w:rsidR="005E11AA">
        <w:rPr>
          <w:rFonts w:asciiTheme="majorHAnsi" w:eastAsia="Times New Roman" w:hAnsiTheme="majorHAnsi"/>
          <w:sz w:val="20"/>
          <w:szCs w:val="20"/>
        </w:rPr>
        <w:t>s</w:t>
      </w:r>
      <w:r w:rsidRPr="00CD52EE">
        <w:rPr>
          <w:rFonts w:asciiTheme="majorHAnsi" w:eastAsia="Times New Roman" w:hAnsiTheme="majorHAnsi"/>
          <w:sz w:val="20"/>
          <w:szCs w:val="20"/>
        </w:rPr>
        <w:t xml:space="preserve"> a violation of the right of Messrs. Dial and Dottin to due process, particularly</w:t>
      </w:r>
      <w:r w:rsidR="00E65202">
        <w:rPr>
          <w:rFonts w:asciiTheme="majorHAnsi" w:eastAsia="Times New Roman" w:hAnsiTheme="majorHAnsi"/>
          <w:sz w:val="20"/>
          <w:szCs w:val="20"/>
        </w:rPr>
        <w:t>,</w:t>
      </w:r>
      <w:r w:rsidRPr="00CD52EE">
        <w:rPr>
          <w:rFonts w:asciiTheme="majorHAnsi" w:eastAsia="Times New Roman" w:hAnsiTheme="majorHAnsi"/>
          <w:sz w:val="20"/>
          <w:szCs w:val="20"/>
        </w:rPr>
        <w:t xml:space="preserve"> </w:t>
      </w:r>
      <w:r w:rsidR="00E65202">
        <w:rPr>
          <w:rFonts w:asciiTheme="majorHAnsi" w:hAnsiTheme="majorHAnsi" w:cs="Calibri"/>
          <w:sz w:val="20"/>
          <w:szCs w:val="20"/>
        </w:rPr>
        <w:t xml:space="preserve">regarding </w:t>
      </w:r>
      <w:r w:rsidRPr="00CD52EE">
        <w:rPr>
          <w:rFonts w:asciiTheme="majorHAnsi" w:hAnsiTheme="majorHAnsi" w:cs="Calibri"/>
          <w:sz w:val="20"/>
          <w:szCs w:val="20"/>
        </w:rPr>
        <w:t xml:space="preserve">the </w:t>
      </w:r>
      <w:r w:rsidR="00E65202">
        <w:rPr>
          <w:rFonts w:asciiTheme="majorHAnsi" w:hAnsiTheme="majorHAnsi" w:cs="Calibri"/>
          <w:sz w:val="20"/>
          <w:szCs w:val="20"/>
        </w:rPr>
        <w:t xml:space="preserve">right to provide a reasoned judgment and the </w:t>
      </w:r>
      <w:r w:rsidRPr="00CD52EE">
        <w:rPr>
          <w:rFonts w:asciiTheme="majorHAnsi" w:hAnsiTheme="majorHAnsi" w:cs="Calibri"/>
          <w:sz w:val="20"/>
          <w:szCs w:val="20"/>
        </w:rPr>
        <w:t>principle of presumption of innocence established in Article</w:t>
      </w:r>
      <w:r w:rsidR="00E65202">
        <w:rPr>
          <w:rFonts w:asciiTheme="majorHAnsi" w:hAnsiTheme="majorHAnsi" w:cs="Calibri"/>
          <w:sz w:val="20"/>
          <w:szCs w:val="20"/>
        </w:rPr>
        <w:t>s</w:t>
      </w:r>
      <w:r w:rsidRPr="00CD52EE">
        <w:rPr>
          <w:rFonts w:asciiTheme="majorHAnsi" w:hAnsiTheme="majorHAnsi" w:cs="Calibri"/>
          <w:sz w:val="20"/>
          <w:szCs w:val="20"/>
        </w:rPr>
        <w:t xml:space="preserve"> </w:t>
      </w:r>
      <w:r w:rsidR="00E65202">
        <w:rPr>
          <w:rFonts w:asciiTheme="majorHAnsi" w:hAnsiTheme="majorHAnsi" w:cs="Calibri"/>
          <w:sz w:val="20"/>
          <w:szCs w:val="20"/>
        </w:rPr>
        <w:t xml:space="preserve">8.1 and </w:t>
      </w:r>
      <w:r w:rsidRPr="00CD52EE">
        <w:rPr>
          <w:rFonts w:asciiTheme="majorHAnsi" w:hAnsiTheme="majorHAnsi" w:cs="Calibri"/>
          <w:sz w:val="20"/>
          <w:szCs w:val="20"/>
        </w:rPr>
        <w:t>8.2 of the American Convention, in relation to Article 1.1 of the same instrument.</w:t>
      </w:r>
      <w:r w:rsidR="00C42EFE" w:rsidRPr="00CD52EE">
        <w:rPr>
          <w:rFonts w:asciiTheme="majorHAnsi" w:hAnsiTheme="majorHAnsi" w:cs="Calibri"/>
          <w:sz w:val="20"/>
          <w:szCs w:val="20"/>
        </w:rPr>
        <w:t xml:space="preserve"> The Commission also concludes that the lack of an effective remedy with regard to the inconsistencies in the evidence, constitute a violation also of the right established in Article 25(1) of the Convention, in relation </w:t>
      </w:r>
      <w:r w:rsidR="00B529FB">
        <w:rPr>
          <w:rFonts w:asciiTheme="majorHAnsi" w:hAnsiTheme="majorHAnsi" w:cs="Calibri"/>
          <w:sz w:val="20"/>
          <w:szCs w:val="20"/>
        </w:rPr>
        <w:t xml:space="preserve">to </w:t>
      </w:r>
      <w:r w:rsidR="00C42EFE" w:rsidRPr="00CD52EE">
        <w:rPr>
          <w:rFonts w:asciiTheme="majorHAnsi" w:hAnsiTheme="majorHAnsi" w:cs="Calibri"/>
          <w:sz w:val="20"/>
          <w:szCs w:val="20"/>
        </w:rPr>
        <w:t>Article 1(1) of the same instrument.</w:t>
      </w:r>
    </w:p>
    <w:p w14:paraId="0254DF7C" w14:textId="77777777" w:rsidR="005C0700" w:rsidRPr="00CD52EE" w:rsidRDefault="005C0700" w:rsidP="005C0700">
      <w:pPr>
        <w:pStyle w:val="Heading2"/>
        <w:spacing w:before="0"/>
        <w:ind w:left="360"/>
        <w:rPr>
          <w:rFonts w:eastAsia="Arial Unicode MS"/>
          <w:color w:val="auto"/>
          <w:sz w:val="20"/>
          <w:szCs w:val="20"/>
        </w:rPr>
      </w:pPr>
    </w:p>
    <w:p w14:paraId="0D0E4C20" w14:textId="77777777" w:rsidR="00F42A8A" w:rsidRPr="00CD52EE" w:rsidRDefault="009C51F6">
      <w:pPr>
        <w:pStyle w:val="Heading2"/>
        <w:numPr>
          <w:ilvl w:val="1"/>
          <w:numId w:val="63"/>
        </w:numPr>
        <w:spacing w:before="0"/>
        <w:ind w:left="360" w:hanging="360"/>
        <w:rPr>
          <w:rFonts w:eastAsia="Arial Unicode MS"/>
          <w:color w:val="auto"/>
          <w:sz w:val="20"/>
          <w:szCs w:val="20"/>
        </w:rPr>
      </w:pPr>
      <w:bookmarkStart w:id="27" w:name="_Toc54798091"/>
      <w:r w:rsidRPr="00CD52EE">
        <w:rPr>
          <w:color w:val="auto"/>
          <w:sz w:val="20"/>
          <w:szCs w:val="20"/>
        </w:rPr>
        <w:t>Right</w:t>
      </w:r>
      <w:r w:rsidRPr="00CD52EE">
        <w:rPr>
          <w:rFonts w:eastAsia="Arial Unicode MS"/>
          <w:color w:val="auto"/>
          <w:sz w:val="20"/>
          <w:szCs w:val="20"/>
        </w:rPr>
        <w:t xml:space="preserve"> to be tried without undue delay</w:t>
      </w:r>
      <w:r w:rsidRPr="00CD52EE">
        <w:rPr>
          <w:rStyle w:val="FootnoteReference"/>
          <w:rFonts w:eastAsia="Arial Unicode MS"/>
          <w:color w:val="auto"/>
          <w:sz w:val="20"/>
          <w:szCs w:val="20"/>
        </w:rPr>
        <w:footnoteReference w:id="85"/>
      </w:r>
      <w:bookmarkEnd w:id="27"/>
      <w:r w:rsidRPr="00CD52EE">
        <w:rPr>
          <w:rFonts w:eastAsia="Arial Unicode MS"/>
          <w:color w:val="auto"/>
          <w:sz w:val="20"/>
          <w:szCs w:val="20"/>
        </w:rPr>
        <w:t xml:space="preserve">  </w:t>
      </w:r>
    </w:p>
    <w:p w14:paraId="788B2451" w14:textId="77777777" w:rsidR="000F6225" w:rsidRPr="00CD52EE" w:rsidRDefault="000F6225" w:rsidP="00741FF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0CFD2D35" w14:textId="77777777" w:rsidR="002106B0" w:rsidRPr="00CD52EE" w:rsidRDefault="002106B0" w:rsidP="00F46C0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bCs/>
          <w:sz w:val="20"/>
          <w:szCs w:val="20"/>
          <w:bdr w:val="none" w:sz="0" w:space="0" w:color="auto"/>
        </w:rPr>
      </w:pPr>
      <w:r w:rsidRPr="00CD52EE">
        <w:rPr>
          <w:sz w:val="20"/>
        </w:rPr>
        <w:t xml:space="preserve">According to the standards developed by the </w:t>
      </w:r>
      <w:r w:rsidR="00C02C21">
        <w:rPr>
          <w:sz w:val="20"/>
        </w:rPr>
        <w:t>I</w:t>
      </w:r>
      <w:r w:rsidRPr="00CD52EE">
        <w:rPr>
          <w:sz w:val="20"/>
        </w:rPr>
        <w:t>nter-American human rights system, a remedy must be effective, i.e., it must provide results or responses consistent with the objectives that it was intended to serve, which is to avoid the consolidation of an unjust situation. Also, the right of access to justice requires that the facts investigated in criminal proceedings be resolved within a reasonable period of time, since a prolonged delay may, in certain cases, constitute in itself a violation of judicial guarantees.</w:t>
      </w:r>
      <w:r w:rsidRPr="00CD52EE">
        <w:rPr>
          <w:rStyle w:val="FootnoteReference"/>
          <w:sz w:val="20"/>
        </w:rPr>
        <w:footnoteReference w:id="86"/>
      </w:r>
      <w:r w:rsidRPr="00CD52EE">
        <w:rPr>
          <w:sz w:val="20"/>
        </w:rPr>
        <w:t xml:space="preserve"> </w:t>
      </w:r>
    </w:p>
    <w:p w14:paraId="67BC0346" w14:textId="77777777" w:rsidR="002106B0" w:rsidRPr="00CD52EE" w:rsidRDefault="002106B0" w:rsidP="002106B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32D67709" w14:textId="77777777" w:rsidR="002106B0" w:rsidRPr="00CD52EE" w:rsidRDefault="002106B0" w:rsidP="00F46C0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bCs/>
          <w:sz w:val="20"/>
          <w:szCs w:val="20"/>
          <w:bdr w:val="none" w:sz="0" w:space="0" w:color="auto"/>
        </w:rPr>
      </w:pPr>
      <w:r w:rsidRPr="00CD52EE">
        <w:rPr>
          <w:rFonts w:eastAsia="Times New Roman"/>
          <w:bCs/>
          <w:sz w:val="20"/>
          <w:szCs w:val="20"/>
          <w:bdr w:val="none" w:sz="0" w:space="0" w:color="auto"/>
        </w:rPr>
        <w:t>The IACHR has also considered that the burden of proof ought to be on the State to justify the delay in light of the following elements: a) the complexity of the matter; b) the procedural activity of the interested party; c) the conduct of the judicial authorities; and d) the impact of the legal situation on the person involved in the proceedings.</w:t>
      </w:r>
      <w:r w:rsidRPr="00CD52EE">
        <w:rPr>
          <w:rStyle w:val="FootnoteReference"/>
          <w:rFonts w:eastAsia="Times New Roman"/>
          <w:bCs/>
          <w:sz w:val="20"/>
          <w:szCs w:val="20"/>
          <w:bdr w:val="none" w:sz="0" w:space="0" w:color="auto"/>
        </w:rPr>
        <w:footnoteReference w:id="87"/>
      </w:r>
      <w:r w:rsidRPr="00CD52EE">
        <w:rPr>
          <w:rFonts w:eastAsia="Times New Roman"/>
          <w:bCs/>
          <w:sz w:val="20"/>
          <w:szCs w:val="20"/>
          <w:bdr w:val="none" w:sz="0" w:space="0" w:color="auto"/>
        </w:rPr>
        <w:t xml:space="preserve"> </w:t>
      </w:r>
    </w:p>
    <w:p w14:paraId="68A16F9B" w14:textId="77777777" w:rsidR="002106B0" w:rsidRPr="00CD52EE" w:rsidRDefault="002106B0" w:rsidP="002106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14437743" w14:textId="77777777" w:rsidR="002106B0" w:rsidRPr="00CD52EE" w:rsidRDefault="002106B0" w:rsidP="00F46C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Cambria" w:hAnsi="Cambria"/>
          <w:sz w:val="20"/>
          <w:szCs w:val="20"/>
          <w:bdr w:val="none" w:sz="0" w:space="0" w:color="auto"/>
        </w:rPr>
        <w:t>In the case of Michael Edwards et al., the Commission found that The Bahamas had violated the right of Messrs. Schroeter and Bowleg to be tried without undue delay pursuant to Article XXV of the Declaration, given they were not brought to trial until approximately 26 months after they were arrested.</w:t>
      </w:r>
      <w:r w:rsidRPr="00CD52EE">
        <w:rPr>
          <w:rStyle w:val="FootnoteReference"/>
          <w:rFonts w:ascii="Cambria" w:hAnsi="Cambria"/>
          <w:sz w:val="20"/>
          <w:szCs w:val="20"/>
          <w:bdr w:val="none" w:sz="0" w:space="0" w:color="auto"/>
        </w:rPr>
        <w:footnoteReference w:id="88"/>
      </w:r>
      <w:r w:rsidRPr="00CD52EE">
        <w:rPr>
          <w:rFonts w:ascii="Cambria" w:hAnsi="Cambria"/>
          <w:sz w:val="20"/>
          <w:szCs w:val="20"/>
          <w:bdr w:val="none" w:sz="0" w:space="0" w:color="auto"/>
        </w:rPr>
        <w:t xml:space="preserve"> Relying on jurisprudence from the Inter-American Court, the Commission indicated that:</w:t>
      </w:r>
      <w:r w:rsidRPr="00CD52EE">
        <w:rPr>
          <w:rStyle w:val="FootnoteReference"/>
          <w:rFonts w:ascii="Cambria" w:hAnsi="Cambria"/>
          <w:sz w:val="20"/>
          <w:szCs w:val="20"/>
          <w:bdr w:val="none" w:sz="0" w:space="0" w:color="auto"/>
        </w:rPr>
        <w:footnoteReference w:id="89"/>
      </w:r>
      <w:r w:rsidRPr="00CD52EE">
        <w:rPr>
          <w:rFonts w:ascii="Cambria" w:hAnsi="Cambria"/>
          <w:sz w:val="20"/>
          <w:szCs w:val="20"/>
          <w:bdr w:val="none" w:sz="0" w:space="0" w:color="auto"/>
        </w:rPr>
        <w:t xml:space="preserve"> </w:t>
      </w:r>
    </w:p>
    <w:p w14:paraId="7B42F2AB" w14:textId="77777777" w:rsidR="002106B0" w:rsidRPr="00CD52EE" w:rsidRDefault="002106B0" w:rsidP="002106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52648634" w14:textId="77777777" w:rsidR="002106B0" w:rsidRPr="00CD52EE" w:rsidRDefault="002106B0"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360" w:right="360"/>
        <w:jc w:val="both"/>
        <w:rPr>
          <w:rFonts w:ascii="Cambria" w:hAnsi="Cambria"/>
          <w:position w:val="4"/>
          <w:sz w:val="18"/>
          <w:szCs w:val="12"/>
          <w:bdr w:val="none" w:sz="0" w:space="0" w:color="auto"/>
        </w:rPr>
      </w:pPr>
      <w:r w:rsidRPr="00CD52EE">
        <w:rPr>
          <w:rFonts w:ascii="Cambria" w:hAnsi="Cambria"/>
          <w:sz w:val="18"/>
          <w:szCs w:val="18"/>
          <w:bdr w:val="none" w:sz="0" w:space="0" w:color="auto"/>
        </w:rPr>
        <w:lastRenderedPageBreak/>
        <w:t>In addressing the issue of a “reasonable time” under Articles 7(5) and 8(1) of the Convention, the Inter- American Court has confirmed that the purpose of the reasonable time requirement is to prevent accused persons from remaining in that situation for a protracted period and to ensure that a charge is disposed of promptly.</w:t>
      </w:r>
      <w:r w:rsidRPr="00CD52EE">
        <w:rPr>
          <w:rStyle w:val="FootnoteReference"/>
          <w:rFonts w:ascii="Cambria" w:hAnsi="Cambria"/>
          <w:sz w:val="18"/>
          <w:szCs w:val="18"/>
          <w:bdr w:val="none" w:sz="0" w:space="0" w:color="auto"/>
        </w:rPr>
        <w:footnoteReference w:id="90"/>
      </w:r>
      <w:r w:rsidRPr="00CD52EE">
        <w:rPr>
          <w:rFonts w:ascii="Cambria" w:hAnsi="Cambria"/>
          <w:position w:val="4"/>
          <w:sz w:val="18"/>
          <w:szCs w:val="12"/>
          <w:bdr w:val="none" w:sz="0" w:space="0" w:color="auto"/>
        </w:rPr>
        <w:t xml:space="preserve"> </w:t>
      </w:r>
      <w:r w:rsidRPr="00CD52EE">
        <w:rPr>
          <w:rFonts w:ascii="Cambria" w:hAnsi="Cambria"/>
          <w:sz w:val="18"/>
          <w:szCs w:val="18"/>
          <w:bdr w:val="none" w:sz="0" w:space="0" w:color="auto"/>
        </w:rPr>
        <w:t>The Inter-American Court has also considered that the point from which a reasonable time is to be calculated is the first act of the criminal proceedings, such as the arrest of the defendant, and that the proceeding is at an end when a final and firm judgment is delivered and the jurisdiction thereby ceases. According to the Inter-American Court, the calculation of a reasonable time must, particularly in criminal matters, encompass the entire proceeding, including any appeals that may be filed.</w:t>
      </w:r>
      <w:r w:rsidRPr="00CD52EE">
        <w:rPr>
          <w:rStyle w:val="FootnoteReference"/>
          <w:rFonts w:ascii="Cambria" w:hAnsi="Cambria"/>
          <w:sz w:val="18"/>
          <w:szCs w:val="18"/>
          <w:bdr w:val="none" w:sz="0" w:space="0" w:color="auto"/>
        </w:rPr>
        <w:footnoteReference w:id="91"/>
      </w:r>
      <w:r w:rsidRPr="00CD52EE">
        <w:rPr>
          <w:rFonts w:ascii="Cambria" w:hAnsi="Cambria"/>
          <w:position w:val="4"/>
          <w:sz w:val="18"/>
          <w:szCs w:val="12"/>
          <w:bdr w:val="none" w:sz="0" w:space="0" w:color="auto"/>
        </w:rPr>
        <w:t xml:space="preserve"> </w:t>
      </w:r>
    </w:p>
    <w:p w14:paraId="757D4AEF" w14:textId="77777777" w:rsidR="002106B0" w:rsidRPr="00CD52EE" w:rsidRDefault="002106B0"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bdr w:val="none" w:sz="0" w:space="0" w:color="auto"/>
        </w:rPr>
      </w:pPr>
    </w:p>
    <w:p w14:paraId="62B0AF0E" w14:textId="77777777" w:rsidR="00AE1D0E" w:rsidRPr="00CD52EE" w:rsidRDefault="00C456E7" w:rsidP="00AE1D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CD52EE">
        <w:rPr>
          <w:rFonts w:asciiTheme="majorHAnsi" w:eastAsia="Cambria" w:hAnsiTheme="majorHAnsi" w:cs="Cambria"/>
          <w:sz w:val="20"/>
          <w:szCs w:val="20"/>
        </w:rPr>
        <w:t xml:space="preserve">The </w:t>
      </w:r>
      <w:r w:rsidR="009438AB" w:rsidRPr="00CD52EE">
        <w:rPr>
          <w:rFonts w:asciiTheme="majorHAnsi" w:eastAsia="Cambria" w:hAnsiTheme="majorHAnsi" w:cs="Cambria"/>
          <w:sz w:val="20"/>
          <w:szCs w:val="20"/>
        </w:rPr>
        <w:t>p</w:t>
      </w:r>
      <w:r w:rsidRPr="00CD52EE">
        <w:rPr>
          <w:rFonts w:asciiTheme="majorHAnsi" w:eastAsia="Cambria" w:hAnsiTheme="majorHAnsi" w:cs="Cambria"/>
          <w:sz w:val="20"/>
          <w:szCs w:val="20"/>
        </w:rPr>
        <w:t xml:space="preserve">etitioners contend that the </w:t>
      </w:r>
      <w:r w:rsidR="00A64C8D" w:rsidRPr="00CD52EE">
        <w:rPr>
          <w:rFonts w:asciiTheme="majorHAnsi" w:eastAsia="Cambria" w:hAnsiTheme="majorHAnsi" w:cs="Cambria"/>
          <w:sz w:val="20"/>
          <w:szCs w:val="20"/>
        </w:rPr>
        <w:t xml:space="preserve">period between the date of arrest </w:t>
      </w:r>
      <w:r w:rsidR="00A64C8D" w:rsidRPr="00CD52EE">
        <w:rPr>
          <w:rFonts w:asciiTheme="majorHAnsi" w:eastAsia="Times New Roman" w:hAnsiTheme="majorHAnsi"/>
          <w:sz w:val="20"/>
          <w:szCs w:val="20"/>
        </w:rPr>
        <w:t>on February 21, 1995 and the commencement of trial on January 15, 1997 constitutes a violation of the right to be brought to trial within a reasonabl</w:t>
      </w:r>
      <w:r w:rsidR="009438AB" w:rsidRPr="00CD52EE">
        <w:rPr>
          <w:rFonts w:asciiTheme="majorHAnsi" w:eastAsia="Times New Roman" w:hAnsiTheme="majorHAnsi"/>
          <w:sz w:val="20"/>
          <w:szCs w:val="20"/>
        </w:rPr>
        <w:t>e time as required by Article 7.</w:t>
      </w:r>
      <w:r w:rsidR="00A64C8D" w:rsidRPr="00CD52EE">
        <w:rPr>
          <w:rFonts w:asciiTheme="majorHAnsi" w:eastAsia="Times New Roman" w:hAnsiTheme="majorHAnsi"/>
          <w:sz w:val="20"/>
          <w:szCs w:val="20"/>
        </w:rPr>
        <w:t>5 of the Convention</w:t>
      </w:r>
      <w:r w:rsidR="007C4E9A" w:rsidRPr="00CD52EE">
        <w:rPr>
          <w:rFonts w:asciiTheme="majorHAnsi" w:eastAsia="Times New Roman" w:hAnsiTheme="majorHAnsi"/>
          <w:sz w:val="20"/>
          <w:szCs w:val="20"/>
        </w:rPr>
        <w:t>.</w:t>
      </w:r>
      <w:r w:rsidR="007B613B" w:rsidRPr="00CD52EE">
        <w:rPr>
          <w:rStyle w:val="FootnoteReference"/>
          <w:rFonts w:asciiTheme="majorHAnsi" w:eastAsia="Times New Roman" w:hAnsiTheme="majorHAnsi"/>
          <w:sz w:val="20"/>
          <w:szCs w:val="20"/>
        </w:rPr>
        <w:footnoteReference w:id="92"/>
      </w:r>
      <w:r w:rsidR="00A64C8D" w:rsidRPr="00CD52EE">
        <w:rPr>
          <w:rFonts w:asciiTheme="majorHAnsi" w:eastAsia="Times New Roman" w:hAnsiTheme="majorHAnsi"/>
          <w:sz w:val="20"/>
          <w:szCs w:val="20"/>
        </w:rPr>
        <w:t xml:space="preserve"> </w:t>
      </w:r>
      <w:r w:rsidR="007B613B" w:rsidRPr="00CD52EE">
        <w:rPr>
          <w:rFonts w:asciiTheme="majorHAnsi" w:eastAsia="Times New Roman" w:hAnsiTheme="majorHAnsi"/>
          <w:sz w:val="20"/>
          <w:szCs w:val="20"/>
        </w:rPr>
        <w:t xml:space="preserve">The State, for its part, </w:t>
      </w:r>
      <w:r w:rsidR="003649AC" w:rsidRPr="00CD52EE">
        <w:rPr>
          <w:rFonts w:asciiTheme="majorHAnsi" w:eastAsia="Times New Roman" w:hAnsiTheme="majorHAnsi"/>
          <w:sz w:val="20"/>
          <w:szCs w:val="20"/>
        </w:rPr>
        <w:t xml:space="preserve">denies the existence of any undue delay in the trial. </w:t>
      </w:r>
    </w:p>
    <w:p w14:paraId="2F388C38" w14:textId="77777777" w:rsidR="00AE1D0E" w:rsidRPr="00CD52EE" w:rsidRDefault="00AE1D0E" w:rsidP="00AE1D0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27681BE8" w14:textId="77777777" w:rsidR="003C1490" w:rsidRPr="00CD52EE" w:rsidRDefault="003649AC" w:rsidP="007807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pacing w:beforeLines="1" w:before="2" w:afterLines="1" w:after="2"/>
        <w:ind w:left="0" w:firstLine="0"/>
        <w:jc w:val="both"/>
        <w:rPr>
          <w:rFonts w:ascii="Cambria" w:hAnsi="Cambria"/>
          <w:sz w:val="20"/>
          <w:szCs w:val="20"/>
          <w:bdr w:val="none" w:sz="0" w:space="0" w:color="auto"/>
        </w:rPr>
      </w:pPr>
      <w:r w:rsidRPr="00CD52EE">
        <w:rPr>
          <w:rFonts w:ascii="Cambria" w:hAnsi="Cambria"/>
          <w:sz w:val="20"/>
          <w:szCs w:val="20"/>
          <w:bdr w:val="none" w:sz="0" w:space="0" w:color="auto"/>
        </w:rPr>
        <w:t xml:space="preserve">Messrs. Dial and Dottin were arrested on February 21, 1995, </w:t>
      </w:r>
      <w:r w:rsidR="007C4E9A" w:rsidRPr="00CD52EE">
        <w:rPr>
          <w:rFonts w:ascii="Cambria" w:hAnsi="Cambria"/>
          <w:sz w:val="20"/>
          <w:szCs w:val="20"/>
          <w:bdr w:val="none" w:sz="0" w:space="0" w:color="auto"/>
        </w:rPr>
        <w:t xml:space="preserve">the </w:t>
      </w:r>
      <w:r w:rsidRPr="00CD52EE">
        <w:rPr>
          <w:rFonts w:ascii="Cambria" w:hAnsi="Cambria"/>
          <w:sz w:val="20"/>
          <w:szCs w:val="20"/>
          <w:bdr w:val="none" w:sz="0" w:space="0" w:color="auto"/>
        </w:rPr>
        <w:t xml:space="preserve">trial started on January 15, 1997, and </w:t>
      </w:r>
      <w:r w:rsidR="00014B51" w:rsidRPr="00CD52EE">
        <w:rPr>
          <w:rFonts w:ascii="Cambria" w:hAnsi="Cambria"/>
          <w:sz w:val="20"/>
          <w:szCs w:val="20"/>
          <w:bdr w:val="none" w:sz="0" w:space="0" w:color="auto"/>
        </w:rPr>
        <w:t xml:space="preserve">on January 21, 1997, </w:t>
      </w:r>
      <w:r w:rsidRPr="00CD52EE">
        <w:rPr>
          <w:rFonts w:ascii="Cambria" w:hAnsi="Cambria"/>
          <w:sz w:val="20"/>
          <w:szCs w:val="20"/>
          <w:bdr w:val="none" w:sz="0" w:space="0" w:color="auto"/>
        </w:rPr>
        <w:t>they were sentenced</w:t>
      </w:r>
      <w:r w:rsidR="00014B51" w:rsidRPr="00CD52EE">
        <w:rPr>
          <w:rFonts w:ascii="Cambria" w:hAnsi="Cambria"/>
          <w:sz w:val="20"/>
          <w:szCs w:val="20"/>
          <w:bdr w:val="none" w:sz="0" w:space="0" w:color="auto"/>
        </w:rPr>
        <w:t xml:space="preserve"> to death</w:t>
      </w:r>
      <w:r w:rsidRPr="00CD52EE">
        <w:rPr>
          <w:rFonts w:ascii="Cambria" w:hAnsi="Cambria"/>
          <w:sz w:val="20"/>
          <w:szCs w:val="20"/>
          <w:bdr w:val="none" w:sz="0" w:space="0" w:color="auto"/>
        </w:rPr>
        <w:t>. Therefore,</w:t>
      </w:r>
      <w:r w:rsidR="002772AD" w:rsidRPr="00CD52EE">
        <w:rPr>
          <w:rFonts w:ascii="Cambria" w:hAnsi="Cambria"/>
          <w:sz w:val="20"/>
          <w:szCs w:val="20"/>
          <w:bdr w:val="none" w:sz="0" w:space="0" w:color="auto"/>
        </w:rPr>
        <w:t xml:space="preserve"> </w:t>
      </w:r>
      <w:r w:rsidR="00D00B7A" w:rsidRPr="00CD52EE">
        <w:rPr>
          <w:rFonts w:ascii="Cambria" w:hAnsi="Cambria"/>
          <w:sz w:val="20"/>
          <w:szCs w:val="20"/>
          <w:bdr w:val="none" w:sz="0" w:space="0" w:color="auto"/>
        </w:rPr>
        <w:t>there was</w:t>
      </w:r>
      <w:r w:rsidR="002772AD" w:rsidRPr="00CD52EE">
        <w:rPr>
          <w:rFonts w:ascii="Cambria" w:hAnsi="Cambria"/>
          <w:sz w:val="20"/>
          <w:szCs w:val="20"/>
          <w:bdr w:val="none" w:sz="0" w:space="0" w:color="auto"/>
        </w:rPr>
        <w:t xml:space="preserve"> a delay of </w:t>
      </w:r>
      <w:r w:rsidR="00035CFF" w:rsidRPr="00CD52EE">
        <w:rPr>
          <w:rFonts w:ascii="Cambria" w:hAnsi="Cambria"/>
          <w:sz w:val="20"/>
          <w:szCs w:val="20"/>
          <w:bdr w:val="none" w:sz="0" w:space="0" w:color="auto"/>
        </w:rPr>
        <w:t>almost 23 months</w:t>
      </w:r>
      <w:r w:rsidR="002772AD" w:rsidRPr="00CD52EE">
        <w:rPr>
          <w:rFonts w:ascii="Cambria" w:hAnsi="Cambria"/>
          <w:sz w:val="20"/>
          <w:szCs w:val="20"/>
          <w:bdr w:val="none" w:sz="0" w:space="0" w:color="auto"/>
        </w:rPr>
        <w:t xml:space="preserve"> from the date of </w:t>
      </w:r>
      <w:r w:rsidR="00014B51" w:rsidRPr="00CD52EE">
        <w:rPr>
          <w:rFonts w:ascii="Cambria" w:hAnsi="Cambria"/>
          <w:sz w:val="20"/>
          <w:szCs w:val="20"/>
          <w:bdr w:val="none" w:sz="0" w:space="0" w:color="auto"/>
        </w:rPr>
        <w:t xml:space="preserve">the </w:t>
      </w:r>
      <w:r w:rsidR="002772AD" w:rsidRPr="00CD52EE">
        <w:rPr>
          <w:rFonts w:ascii="Cambria" w:hAnsi="Cambria"/>
          <w:sz w:val="20"/>
          <w:szCs w:val="20"/>
          <w:bdr w:val="none" w:sz="0" w:space="0" w:color="auto"/>
        </w:rPr>
        <w:t>arrest</w:t>
      </w:r>
      <w:r w:rsidR="00014B51" w:rsidRPr="00CD52EE">
        <w:rPr>
          <w:rFonts w:ascii="Cambria" w:hAnsi="Cambria"/>
          <w:sz w:val="20"/>
          <w:szCs w:val="20"/>
          <w:bdr w:val="none" w:sz="0" w:space="0" w:color="auto"/>
        </w:rPr>
        <w:t>s</w:t>
      </w:r>
      <w:r w:rsidR="002772AD" w:rsidRPr="00CD52EE">
        <w:rPr>
          <w:rFonts w:ascii="Cambria" w:hAnsi="Cambria"/>
          <w:sz w:val="20"/>
          <w:szCs w:val="20"/>
          <w:bdr w:val="none" w:sz="0" w:space="0" w:color="auto"/>
        </w:rPr>
        <w:t xml:space="preserve"> </w:t>
      </w:r>
      <w:r w:rsidR="00D00B7A" w:rsidRPr="00CD52EE">
        <w:rPr>
          <w:rFonts w:ascii="Cambria" w:hAnsi="Cambria"/>
          <w:sz w:val="20"/>
          <w:szCs w:val="20"/>
          <w:bdr w:val="none" w:sz="0" w:space="0" w:color="auto"/>
        </w:rPr>
        <w:t xml:space="preserve">to the date </w:t>
      </w:r>
      <w:r w:rsidR="00035CFF" w:rsidRPr="00CD52EE">
        <w:rPr>
          <w:rFonts w:ascii="Cambria" w:hAnsi="Cambria"/>
          <w:sz w:val="20"/>
          <w:szCs w:val="20"/>
          <w:bdr w:val="none" w:sz="0" w:space="0" w:color="auto"/>
        </w:rPr>
        <w:t>they were brought to trial</w:t>
      </w:r>
      <w:r w:rsidR="002772AD" w:rsidRPr="00CD52EE">
        <w:rPr>
          <w:rFonts w:ascii="Cambria" w:hAnsi="Cambria"/>
          <w:sz w:val="20"/>
          <w:szCs w:val="20"/>
          <w:bdr w:val="none" w:sz="0" w:space="0" w:color="auto"/>
        </w:rPr>
        <w:t>.</w:t>
      </w:r>
      <w:r w:rsidR="00035CFF" w:rsidRPr="00CD52EE">
        <w:rPr>
          <w:rFonts w:ascii="Cambria" w:hAnsi="Cambria"/>
          <w:sz w:val="20"/>
          <w:szCs w:val="20"/>
          <w:bdr w:val="none" w:sz="0" w:space="0" w:color="auto"/>
        </w:rPr>
        <w:t xml:space="preserve"> </w:t>
      </w:r>
      <w:r w:rsidR="00AE1D0E" w:rsidRPr="00CD52EE">
        <w:rPr>
          <w:rFonts w:ascii="Cambria" w:hAnsi="Cambria"/>
          <w:sz w:val="20"/>
          <w:szCs w:val="20"/>
          <w:bdr w:val="none" w:sz="0" w:space="0" w:color="auto"/>
        </w:rPr>
        <w:t>The</w:t>
      </w:r>
      <w:r w:rsidR="00C20EC1" w:rsidRPr="00CD52EE">
        <w:rPr>
          <w:rFonts w:ascii="Cambria" w:hAnsi="Cambria"/>
          <w:sz w:val="20"/>
          <w:szCs w:val="20"/>
          <w:bdr w:val="none" w:sz="0" w:space="0" w:color="auto"/>
        </w:rPr>
        <w:t xml:space="preserve"> Commission notes that the</w:t>
      </w:r>
      <w:r w:rsidR="00AE1D0E" w:rsidRPr="00CD52EE">
        <w:rPr>
          <w:rFonts w:ascii="Cambria" w:hAnsi="Cambria"/>
          <w:sz w:val="20"/>
          <w:szCs w:val="20"/>
          <w:bdr w:val="none" w:sz="0" w:space="0" w:color="auto"/>
        </w:rPr>
        <w:t xml:space="preserve">re is no information before </w:t>
      </w:r>
      <w:r w:rsidR="00C20EC1" w:rsidRPr="00CD52EE">
        <w:rPr>
          <w:rFonts w:ascii="Cambria" w:hAnsi="Cambria"/>
          <w:sz w:val="20"/>
          <w:szCs w:val="20"/>
          <w:bdr w:val="none" w:sz="0" w:space="0" w:color="auto"/>
        </w:rPr>
        <w:t>i</w:t>
      </w:r>
      <w:r w:rsidR="00AE1D0E" w:rsidRPr="00CD52EE">
        <w:rPr>
          <w:rFonts w:ascii="Cambria" w:hAnsi="Cambria"/>
          <w:sz w:val="20"/>
          <w:szCs w:val="20"/>
          <w:bdr w:val="none" w:sz="0" w:space="0" w:color="auto"/>
        </w:rPr>
        <w:t>t</w:t>
      </w:r>
      <w:r w:rsidR="00C20EC1" w:rsidRPr="00CD52EE">
        <w:rPr>
          <w:rFonts w:ascii="Cambria" w:hAnsi="Cambria"/>
          <w:sz w:val="20"/>
          <w:szCs w:val="20"/>
          <w:bdr w:val="none" w:sz="0" w:space="0" w:color="auto"/>
        </w:rPr>
        <w:t xml:space="preserve"> </w:t>
      </w:r>
      <w:r w:rsidR="00AE1D0E" w:rsidRPr="00CD52EE">
        <w:rPr>
          <w:rFonts w:ascii="Cambria" w:hAnsi="Cambria"/>
          <w:sz w:val="20"/>
          <w:szCs w:val="20"/>
          <w:bdr w:val="none" w:sz="0" w:space="0" w:color="auto"/>
        </w:rPr>
        <w:t>on the proceedings carried out by the authorities during that period, nor does the State report on them.</w:t>
      </w:r>
      <w:r w:rsidR="00C20EC1" w:rsidRPr="00CD52EE">
        <w:rPr>
          <w:rFonts w:ascii="Cambria" w:hAnsi="Cambria"/>
          <w:sz w:val="20"/>
          <w:szCs w:val="20"/>
          <w:bdr w:val="none" w:sz="0" w:space="0" w:color="auto"/>
        </w:rPr>
        <w:t xml:space="preserve"> The Commission further notes that</w:t>
      </w:r>
      <w:r w:rsidR="003C1490" w:rsidRPr="00CD52EE">
        <w:rPr>
          <w:rFonts w:ascii="Cambria" w:hAnsi="Cambria"/>
          <w:sz w:val="20"/>
          <w:szCs w:val="20"/>
          <w:bdr w:val="none" w:sz="0" w:space="0" w:color="auto"/>
        </w:rPr>
        <w:t xml:space="preserve"> </w:t>
      </w:r>
      <w:r w:rsidR="00014B51" w:rsidRPr="00CD52EE">
        <w:rPr>
          <w:rFonts w:ascii="Cambria" w:hAnsi="Cambria"/>
          <w:sz w:val="20"/>
          <w:szCs w:val="20"/>
          <w:bdr w:val="none" w:sz="0" w:space="0" w:color="auto"/>
        </w:rPr>
        <w:t>the</w:t>
      </w:r>
      <w:r w:rsidR="003C1490" w:rsidRPr="00CD52EE">
        <w:rPr>
          <w:rFonts w:ascii="Cambria" w:hAnsi="Cambria"/>
          <w:sz w:val="20"/>
          <w:szCs w:val="20"/>
          <w:bdr w:val="none" w:sz="0" w:space="0" w:color="auto"/>
        </w:rPr>
        <w:t xml:space="preserve"> prosecution does not appear to have been particularly complex, and there is also no indication </w:t>
      </w:r>
      <w:r w:rsidR="009438AB" w:rsidRPr="00CD52EE">
        <w:rPr>
          <w:rFonts w:ascii="Cambria" w:hAnsi="Cambria"/>
          <w:sz w:val="20"/>
          <w:szCs w:val="20"/>
          <w:bdr w:val="none" w:sz="0" w:space="0" w:color="auto"/>
        </w:rPr>
        <w:t>that the prosecution’</w:t>
      </w:r>
      <w:r w:rsidR="003C1490" w:rsidRPr="00CD52EE">
        <w:rPr>
          <w:rFonts w:ascii="Cambria" w:hAnsi="Cambria"/>
          <w:sz w:val="20"/>
          <w:szCs w:val="20"/>
          <w:bdr w:val="none" w:sz="0" w:space="0" w:color="auto"/>
        </w:rPr>
        <w:t>s case consisted of complex evidence that might assist in explaining such a delay. The State has failed to provide the Commission with any information suggesting that the case was sufficiently complex to warrant a 2</w:t>
      </w:r>
      <w:r w:rsidR="00014B51" w:rsidRPr="00CD52EE">
        <w:rPr>
          <w:rFonts w:ascii="Cambria" w:hAnsi="Cambria"/>
          <w:sz w:val="20"/>
          <w:szCs w:val="20"/>
          <w:bdr w:val="none" w:sz="0" w:space="0" w:color="auto"/>
        </w:rPr>
        <w:t>3</w:t>
      </w:r>
      <w:r w:rsidR="003C1490" w:rsidRPr="00CD52EE">
        <w:rPr>
          <w:rFonts w:ascii="Cambria" w:hAnsi="Cambria"/>
          <w:sz w:val="20"/>
          <w:szCs w:val="20"/>
          <w:bdr w:val="none" w:sz="0" w:space="0" w:color="auto"/>
        </w:rPr>
        <w:t>-month delay between the</w:t>
      </w:r>
      <w:r w:rsidR="009438AB" w:rsidRPr="00CD52EE">
        <w:rPr>
          <w:rFonts w:ascii="Cambria" w:hAnsi="Cambria"/>
          <w:sz w:val="20"/>
          <w:szCs w:val="20"/>
          <w:bdr w:val="none" w:sz="0" w:space="0" w:color="auto"/>
        </w:rPr>
        <w:t xml:space="preserve"> victims’</w:t>
      </w:r>
      <w:r w:rsidR="003C1490" w:rsidRPr="00CD52EE">
        <w:rPr>
          <w:rFonts w:ascii="Cambria" w:hAnsi="Cambria"/>
          <w:sz w:val="20"/>
          <w:szCs w:val="20"/>
          <w:bdr w:val="none" w:sz="0" w:space="0" w:color="auto"/>
        </w:rPr>
        <w:t xml:space="preserve"> arrest and the sentencing. Similarly, there is no information before the Commission concerning the procedural activity of the victims or the conduct of the judicial authorities that explains or justifies such delay.</w:t>
      </w:r>
    </w:p>
    <w:p w14:paraId="60036BC5" w14:textId="77777777" w:rsidR="009C4E67" w:rsidRPr="00CD52EE" w:rsidRDefault="009C4E67" w:rsidP="0078071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pacing w:beforeLines="1" w:before="2" w:afterLines="1" w:after="2"/>
        <w:jc w:val="both"/>
        <w:rPr>
          <w:rFonts w:ascii="Times" w:hAnsi="Times"/>
          <w:sz w:val="20"/>
          <w:szCs w:val="20"/>
          <w:bdr w:val="none" w:sz="0" w:space="0" w:color="auto"/>
        </w:rPr>
      </w:pPr>
    </w:p>
    <w:p w14:paraId="7E4A5242" w14:textId="77777777" w:rsidR="009C4E67" w:rsidRPr="00CD52EE" w:rsidRDefault="002772AD" w:rsidP="007807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pacing w:beforeLines="1" w:before="2" w:afterLines="1" w:after="2"/>
        <w:ind w:left="0" w:firstLine="0"/>
        <w:jc w:val="both"/>
        <w:rPr>
          <w:rFonts w:ascii="Times" w:hAnsi="Times"/>
          <w:sz w:val="20"/>
          <w:szCs w:val="20"/>
          <w:bdr w:val="none" w:sz="0" w:space="0" w:color="auto"/>
        </w:rPr>
      </w:pPr>
      <w:r w:rsidRPr="00CD52EE">
        <w:rPr>
          <w:rFonts w:asciiTheme="majorHAnsi" w:hAnsiTheme="majorHAnsi"/>
          <w:sz w:val="20"/>
          <w:szCs w:val="20"/>
          <w:bdr w:val="none" w:sz="0" w:space="0" w:color="auto"/>
        </w:rPr>
        <w:t>In light of the Commission’s prior jurisprudence</w:t>
      </w:r>
      <w:r w:rsidR="0053689A" w:rsidRPr="00CD52EE">
        <w:rPr>
          <w:rFonts w:asciiTheme="majorHAnsi" w:hAnsiTheme="majorHAnsi"/>
          <w:sz w:val="20"/>
          <w:szCs w:val="20"/>
          <w:bdr w:val="none" w:sz="0" w:space="0" w:color="auto"/>
        </w:rPr>
        <w:t>,</w:t>
      </w:r>
      <w:r w:rsidR="0053689A" w:rsidRPr="00CD52EE">
        <w:rPr>
          <w:rStyle w:val="FootnoteReference"/>
          <w:rFonts w:asciiTheme="majorHAnsi" w:hAnsiTheme="majorHAnsi"/>
          <w:sz w:val="20"/>
          <w:szCs w:val="20"/>
          <w:bdr w:val="none" w:sz="0" w:space="0" w:color="auto"/>
        </w:rPr>
        <w:footnoteReference w:id="93"/>
      </w:r>
      <w:r w:rsidR="0053689A" w:rsidRPr="00CD52EE">
        <w:rPr>
          <w:rFonts w:asciiTheme="majorHAnsi" w:hAnsiTheme="majorHAnsi"/>
          <w:sz w:val="20"/>
          <w:szCs w:val="20"/>
          <w:bdr w:val="none" w:sz="0" w:space="0" w:color="auto"/>
        </w:rPr>
        <w:t xml:space="preserve"> </w:t>
      </w:r>
      <w:r w:rsidRPr="00CD52EE">
        <w:rPr>
          <w:rFonts w:asciiTheme="majorHAnsi" w:hAnsiTheme="majorHAnsi"/>
          <w:sz w:val="20"/>
          <w:szCs w:val="20"/>
          <w:bdr w:val="none" w:sz="0" w:space="0" w:color="auto"/>
        </w:rPr>
        <w:t xml:space="preserve">and that of the Inter-American Court of Human </w:t>
      </w:r>
      <w:r w:rsidR="00014B51" w:rsidRPr="00CD52EE">
        <w:rPr>
          <w:rFonts w:asciiTheme="majorHAnsi" w:hAnsiTheme="majorHAnsi"/>
          <w:sz w:val="20"/>
          <w:szCs w:val="20"/>
          <w:bdr w:val="none" w:sz="0" w:space="0" w:color="auto"/>
        </w:rPr>
        <w:t>R</w:t>
      </w:r>
      <w:r w:rsidRPr="00CD52EE">
        <w:rPr>
          <w:rFonts w:asciiTheme="majorHAnsi" w:hAnsiTheme="majorHAnsi"/>
          <w:sz w:val="20"/>
          <w:szCs w:val="20"/>
          <w:bdr w:val="none" w:sz="0" w:space="0" w:color="auto"/>
        </w:rPr>
        <w:t>ight</w:t>
      </w:r>
      <w:r w:rsidR="007B603B" w:rsidRPr="00CD52EE">
        <w:rPr>
          <w:rFonts w:asciiTheme="majorHAnsi" w:hAnsiTheme="majorHAnsi"/>
          <w:sz w:val="20"/>
          <w:szCs w:val="20"/>
          <w:bdr w:val="none" w:sz="0" w:space="0" w:color="auto"/>
        </w:rPr>
        <w:t>s</w:t>
      </w:r>
      <w:r w:rsidR="007B603B" w:rsidRPr="00CD52EE">
        <w:rPr>
          <w:rStyle w:val="FootnoteReference"/>
          <w:rFonts w:asciiTheme="majorHAnsi" w:hAnsiTheme="majorHAnsi"/>
          <w:sz w:val="20"/>
          <w:szCs w:val="20"/>
          <w:bdr w:val="none" w:sz="0" w:space="0" w:color="auto"/>
        </w:rPr>
        <w:footnoteReference w:id="94"/>
      </w:r>
      <w:r w:rsidRPr="00CD52EE">
        <w:rPr>
          <w:rFonts w:asciiTheme="majorHAnsi" w:hAnsiTheme="majorHAnsi"/>
          <w:position w:val="6"/>
          <w:sz w:val="12"/>
          <w:szCs w:val="12"/>
          <w:bdr w:val="none" w:sz="0" w:space="0" w:color="auto"/>
        </w:rPr>
        <w:t xml:space="preserve"> </w:t>
      </w:r>
      <w:r w:rsidRPr="00CD52EE">
        <w:rPr>
          <w:rFonts w:asciiTheme="majorHAnsi" w:hAnsiTheme="majorHAnsi"/>
          <w:sz w:val="20"/>
          <w:szCs w:val="20"/>
          <w:bdr w:val="none" w:sz="0" w:space="0" w:color="auto"/>
        </w:rPr>
        <w:t>and other international authorities, the Commission is of the view that th</w:t>
      </w:r>
      <w:r w:rsidR="00014B51" w:rsidRPr="00CD52EE">
        <w:rPr>
          <w:rFonts w:asciiTheme="majorHAnsi" w:hAnsiTheme="majorHAnsi"/>
          <w:sz w:val="20"/>
          <w:szCs w:val="20"/>
          <w:bdr w:val="none" w:sz="0" w:space="0" w:color="auto"/>
        </w:rPr>
        <w:t>is</w:t>
      </w:r>
      <w:r w:rsidRPr="00CD52EE">
        <w:rPr>
          <w:rFonts w:asciiTheme="majorHAnsi" w:hAnsiTheme="majorHAnsi"/>
          <w:sz w:val="20"/>
          <w:szCs w:val="20"/>
          <w:bdr w:val="none" w:sz="0" w:space="0" w:color="auto"/>
        </w:rPr>
        <w:t xml:space="preserve"> delay is </w:t>
      </w:r>
      <w:r w:rsidRPr="00CD52EE">
        <w:rPr>
          <w:rFonts w:asciiTheme="majorHAnsi" w:hAnsiTheme="majorHAnsi"/>
          <w:i/>
          <w:iCs/>
          <w:sz w:val="20"/>
          <w:szCs w:val="20"/>
          <w:bdr w:val="none" w:sz="0" w:space="0" w:color="auto"/>
        </w:rPr>
        <w:t>prima facie</w:t>
      </w:r>
      <w:r w:rsidRPr="00CD52EE">
        <w:rPr>
          <w:rFonts w:asciiTheme="majorHAnsi" w:hAnsiTheme="majorHAnsi"/>
          <w:sz w:val="20"/>
          <w:szCs w:val="20"/>
          <w:bdr w:val="none" w:sz="0" w:space="0" w:color="auto"/>
        </w:rPr>
        <w:t xml:space="preserve"> unreasonable and calls for justification by the State</w:t>
      </w:r>
      <w:r w:rsidR="00AA6BFC" w:rsidRPr="00CD52EE">
        <w:rPr>
          <w:rFonts w:asciiTheme="majorHAnsi" w:hAnsiTheme="majorHAnsi"/>
          <w:sz w:val="20"/>
          <w:szCs w:val="20"/>
          <w:bdr w:val="none" w:sz="0" w:space="0" w:color="auto"/>
        </w:rPr>
        <w:t>.</w:t>
      </w:r>
      <w:r w:rsidR="00AA6BFC" w:rsidRPr="00CD52EE">
        <w:rPr>
          <w:rStyle w:val="FootnoteReference"/>
          <w:rFonts w:asciiTheme="majorHAnsi" w:hAnsiTheme="majorHAnsi"/>
          <w:sz w:val="20"/>
          <w:szCs w:val="20"/>
          <w:bdr w:val="none" w:sz="0" w:space="0" w:color="auto"/>
        </w:rPr>
        <w:footnoteReference w:id="95"/>
      </w:r>
      <w:r w:rsidR="00014B51" w:rsidRPr="00CD52EE">
        <w:rPr>
          <w:rFonts w:asciiTheme="majorHAnsi" w:hAnsiTheme="majorHAnsi"/>
          <w:sz w:val="20"/>
          <w:szCs w:val="20"/>
          <w:bdr w:val="none" w:sz="0" w:space="0" w:color="auto"/>
        </w:rPr>
        <w:t xml:space="preserve"> T</w:t>
      </w:r>
      <w:r w:rsidRPr="00CD52EE">
        <w:rPr>
          <w:rFonts w:asciiTheme="majorHAnsi" w:hAnsiTheme="majorHAnsi"/>
          <w:sz w:val="20"/>
          <w:szCs w:val="20"/>
          <w:bdr w:val="none" w:sz="0" w:space="0" w:color="auto"/>
        </w:rPr>
        <w:t>he State</w:t>
      </w:r>
      <w:r w:rsidR="00014B51" w:rsidRPr="00CD52EE">
        <w:rPr>
          <w:rFonts w:asciiTheme="majorHAnsi" w:hAnsiTheme="majorHAnsi"/>
          <w:sz w:val="20"/>
          <w:szCs w:val="20"/>
          <w:bdr w:val="none" w:sz="0" w:space="0" w:color="auto"/>
        </w:rPr>
        <w:t>, however,</w:t>
      </w:r>
      <w:r w:rsidRPr="00CD52EE">
        <w:rPr>
          <w:rFonts w:asciiTheme="majorHAnsi" w:hAnsiTheme="majorHAnsi"/>
          <w:sz w:val="20"/>
          <w:szCs w:val="20"/>
          <w:bdr w:val="none" w:sz="0" w:space="0" w:color="auto"/>
        </w:rPr>
        <w:t xml:space="preserve"> has failed to provide any proper justification for the delay in bringing </w:t>
      </w:r>
      <w:r w:rsidR="00544056" w:rsidRPr="00CD52EE">
        <w:rPr>
          <w:rFonts w:asciiTheme="majorHAnsi" w:hAnsiTheme="majorHAnsi"/>
          <w:sz w:val="20"/>
          <w:szCs w:val="20"/>
          <w:bdr w:val="none" w:sz="0" w:space="0" w:color="auto"/>
        </w:rPr>
        <w:t>the alleged victims</w:t>
      </w:r>
      <w:r w:rsidRPr="00CD52EE">
        <w:rPr>
          <w:rFonts w:asciiTheme="majorHAnsi" w:hAnsiTheme="majorHAnsi"/>
          <w:sz w:val="20"/>
          <w:szCs w:val="20"/>
          <w:bdr w:val="none" w:sz="0" w:space="0" w:color="auto"/>
        </w:rPr>
        <w:t xml:space="preserve"> to trial. </w:t>
      </w:r>
    </w:p>
    <w:p w14:paraId="0442AB30" w14:textId="77777777" w:rsidR="009C4E67" w:rsidRPr="00CD52EE" w:rsidRDefault="009C4E67" w:rsidP="0078071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pacing w:beforeLines="1" w:before="2" w:afterLines="1" w:after="2"/>
        <w:jc w:val="both"/>
        <w:rPr>
          <w:rFonts w:ascii="Times" w:hAnsi="Times"/>
          <w:sz w:val="20"/>
          <w:szCs w:val="20"/>
          <w:bdr w:val="none" w:sz="0" w:space="0" w:color="auto"/>
        </w:rPr>
      </w:pPr>
    </w:p>
    <w:p w14:paraId="0CADF1A2" w14:textId="77777777" w:rsidR="00FB6746" w:rsidRPr="00CD52EE" w:rsidRDefault="002772AD" w:rsidP="007807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pacing w:beforeLines="1" w:before="2" w:afterLines="1" w:after="2"/>
        <w:ind w:left="0" w:firstLine="0"/>
        <w:jc w:val="both"/>
        <w:rPr>
          <w:rFonts w:asciiTheme="majorHAnsi" w:hAnsiTheme="majorHAnsi"/>
          <w:sz w:val="20"/>
          <w:szCs w:val="20"/>
          <w:bdr w:val="none" w:sz="0" w:space="0" w:color="auto"/>
        </w:rPr>
      </w:pPr>
      <w:r w:rsidRPr="00CD52EE">
        <w:rPr>
          <w:rFonts w:asciiTheme="majorHAnsi" w:hAnsiTheme="majorHAnsi"/>
          <w:sz w:val="20"/>
          <w:szCs w:val="20"/>
          <w:bdr w:val="none" w:sz="0" w:space="0" w:color="auto"/>
        </w:rPr>
        <w:t xml:space="preserve">The Commission </w:t>
      </w:r>
      <w:r w:rsidR="00014B51" w:rsidRPr="00CD52EE">
        <w:rPr>
          <w:rFonts w:asciiTheme="majorHAnsi" w:hAnsiTheme="majorHAnsi"/>
          <w:sz w:val="20"/>
          <w:szCs w:val="20"/>
          <w:bdr w:val="none" w:sz="0" w:space="0" w:color="auto"/>
        </w:rPr>
        <w:t xml:space="preserve">therefore </w:t>
      </w:r>
      <w:r w:rsidRPr="00CD52EE">
        <w:rPr>
          <w:rFonts w:asciiTheme="majorHAnsi" w:hAnsiTheme="majorHAnsi"/>
          <w:sz w:val="20"/>
          <w:szCs w:val="20"/>
          <w:bdr w:val="none" w:sz="0" w:space="0" w:color="auto"/>
        </w:rPr>
        <w:t xml:space="preserve">concludes that the State failed to try the </w:t>
      </w:r>
      <w:r w:rsidR="009C4E67" w:rsidRPr="00CD52EE">
        <w:rPr>
          <w:rFonts w:asciiTheme="majorHAnsi" w:hAnsiTheme="majorHAnsi"/>
          <w:sz w:val="20"/>
          <w:szCs w:val="20"/>
          <w:bdr w:val="none" w:sz="0" w:space="0" w:color="auto"/>
        </w:rPr>
        <w:t>alleged victims</w:t>
      </w:r>
      <w:r w:rsidRPr="00CD52EE">
        <w:rPr>
          <w:rFonts w:asciiTheme="majorHAnsi" w:hAnsiTheme="majorHAnsi"/>
          <w:sz w:val="20"/>
          <w:szCs w:val="20"/>
          <w:bdr w:val="none" w:sz="0" w:space="0" w:color="auto"/>
        </w:rPr>
        <w:t xml:space="preserve"> without undue delay and within a reasonable time contrary to </w:t>
      </w:r>
      <w:r w:rsidR="009C4E67" w:rsidRPr="00CD52EE">
        <w:rPr>
          <w:rFonts w:asciiTheme="majorHAnsi" w:hAnsiTheme="majorHAnsi"/>
          <w:sz w:val="20"/>
          <w:szCs w:val="20"/>
          <w:bdr w:val="none" w:sz="0" w:space="0" w:color="auto"/>
        </w:rPr>
        <w:t>Article</w:t>
      </w:r>
      <w:r w:rsidR="00C33DF0" w:rsidRPr="00CD52EE">
        <w:rPr>
          <w:rFonts w:asciiTheme="majorHAnsi" w:hAnsiTheme="majorHAnsi"/>
          <w:sz w:val="20"/>
          <w:szCs w:val="20"/>
          <w:bdr w:val="none" w:sz="0" w:space="0" w:color="auto"/>
        </w:rPr>
        <w:t>s</w:t>
      </w:r>
      <w:r w:rsidR="009C4E67" w:rsidRPr="00CD52EE">
        <w:rPr>
          <w:rFonts w:asciiTheme="majorHAnsi" w:hAnsiTheme="majorHAnsi"/>
          <w:sz w:val="20"/>
          <w:szCs w:val="20"/>
          <w:bdr w:val="none" w:sz="0" w:space="0" w:color="auto"/>
        </w:rPr>
        <w:t xml:space="preserve"> 7</w:t>
      </w:r>
      <w:r w:rsidR="003B330F" w:rsidRPr="00CD52EE">
        <w:rPr>
          <w:rFonts w:asciiTheme="majorHAnsi" w:hAnsiTheme="majorHAnsi"/>
          <w:sz w:val="20"/>
          <w:szCs w:val="20"/>
          <w:bdr w:val="none" w:sz="0" w:space="0" w:color="auto"/>
        </w:rPr>
        <w:t>.</w:t>
      </w:r>
      <w:r w:rsidR="009C4E67" w:rsidRPr="00CD52EE">
        <w:rPr>
          <w:rFonts w:asciiTheme="majorHAnsi" w:hAnsiTheme="majorHAnsi"/>
          <w:sz w:val="20"/>
          <w:szCs w:val="20"/>
          <w:bdr w:val="none" w:sz="0" w:space="0" w:color="auto"/>
        </w:rPr>
        <w:t xml:space="preserve">5 </w:t>
      </w:r>
      <w:r w:rsidR="00C33DF0" w:rsidRPr="00CD52EE">
        <w:rPr>
          <w:rFonts w:asciiTheme="majorHAnsi" w:hAnsiTheme="majorHAnsi"/>
          <w:sz w:val="20"/>
          <w:szCs w:val="20"/>
          <w:bdr w:val="none" w:sz="0" w:space="0" w:color="auto"/>
        </w:rPr>
        <w:t>and 8</w:t>
      </w:r>
      <w:r w:rsidR="003B330F" w:rsidRPr="00CD52EE">
        <w:rPr>
          <w:rFonts w:asciiTheme="majorHAnsi" w:hAnsiTheme="majorHAnsi"/>
          <w:sz w:val="20"/>
          <w:szCs w:val="20"/>
          <w:bdr w:val="none" w:sz="0" w:space="0" w:color="auto"/>
        </w:rPr>
        <w:t>.</w:t>
      </w:r>
      <w:r w:rsidR="00C33DF0" w:rsidRPr="00CD52EE">
        <w:rPr>
          <w:rFonts w:asciiTheme="majorHAnsi" w:hAnsiTheme="majorHAnsi"/>
          <w:sz w:val="20"/>
          <w:szCs w:val="20"/>
          <w:bdr w:val="none" w:sz="0" w:space="0" w:color="auto"/>
        </w:rPr>
        <w:t xml:space="preserve">1 </w:t>
      </w:r>
      <w:r w:rsidR="009C4E67" w:rsidRPr="00CD52EE">
        <w:rPr>
          <w:rFonts w:asciiTheme="majorHAnsi" w:hAnsiTheme="majorHAnsi"/>
          <w:sz w:val="20"/>
          <w:szCs w:val="20"/>
          <w:bdr w:val="none" w:sz="0" w:space="0" w:color="auto"/>
        </w:rPr>
        <w:t>of the American Convention</w:t>
      </w:r>
      <w:r w:rsidRPr="00CD52EE">
        <w:rPr>
          <w:rFonts w:asciiTheme="majorHAnsi" w:hAnsiTheme="majorHAnsi"/>
          <w:sz w:val="20"/>
          <w:szCs w:val="20"/>
          <w:bdr w:val="none" w:sz="0" w:space="0" w:color="auto"/>
        </w:rPr>
        <w:t>.</w:t>
      </w:r>
      <w:r w:rsidR="00C56966" w:rsidRPr="00CD52EE">
        <w:rPr>
          <w:rFonts w:asciiTheme="majorHAnsi" w:hAnsiTheme="majorHAnsi"/>
          <w:sz w:val="20"/>
          <w:szCs w:val="20"/>
          <w:bdr w:val="none" w:sz="0" w:space="0" w:color="auto"/>
        </w:rPr>
        <w:t xml:space="preserve"> </w:t>
      </w:r>
      <w:r w:rsidR="00FB6746" w:rsidRPr="00CD52EE">
        <w:rPr>
          <w:rFonts w:ascii="Cambria" w:hAnsi="Cambria" w:cs="Cambria"/>
          <w:color w:val="000000"/>
          <w:sz w:val="20"/>
          <w:szCs w:val="20"/>
          <w:lang w:eastAsia="es-ES"/>
        </w:rPr>
        <w:t xml:space="preserve">Given that the Commission has found </w:t>
      </w:r>
      <w:r w:rsidR="00534F7A" w:rsidRPr="00CD52EE">
        <w:rPr>
          <w:rFonts w:ascii="Cambria" w:hAnsi="Cambria" w:cs="Cambria"/>
          <w:color w:val="000000"/>
          <w:sz w:val="20"/>
          <w:szCs w:val="20"/>
          <w:lang w:eastAsia="es-ES"/>
        </w:rPr>
        <w:t xml:space="preserve">that the death sentences imposed upon the victims contravene Articles 4, 5, and 8 of the Convention and are therefore unlawful, the Commission does not consider it necessary to determine whether the length of the delays in trying the victims </w:t>
      </w:r>
      <w:r w:rsidR="00FB6746" w:rsidRPr="00CD52EE">
        <w:rPr>
          <w:rFonts w:ascii="Cambria" w:hAnsi="Cambria" w:cs="Cambria"/>
          <w:color w:val="000000"/>
          <w:sz w:val="20"/>
          <w:szCs w:val="20"/>
          <w:lang w:eastAsia="es-ES"/>
        </w:rPr>
        <w:t>constitute</w:t>
      </w:r>
      <w:r w:rsidR="004314F9" w:rsidRPr="00CD52EE">
        <w:rPr>
          <w:rFonts w:ascii="Cambria" w:hAnsi="Cambria" w:cs="Cambria"/>
          <w:color w:val="000000"/>
          <w:sz w:val="20"/>
          <w:szCs w:val="20"/>
          <w:lang w:eastAsia="es-ES"/>
        </w:rPr>
        <w:t xml:space="preserve">d </w:t>
      </w:r>
      <w:r w:rsidR="00FB6746" w:rsidRPr="00CD52EE">
        <w:rPr>
          <w:rFonts w:ascii="Cambria" w:hAnsi="Cambria" w:cs="Cambria"/>
          <w:color w:val="000000"/>
          <w:sz w:val="20"/>
          <w:szCs w:val="20"/>
          <w:lang w:eastAsia="es-ES"/>
        </w:rPr>
        <w:t xml:space="preserve">cruel, unusual or degrading punishment or treatment. </w:t>
      </w:r>
    </w:p>
    <w:p w14:paraId="081B993D" w14:textId="77777777" w:rsidR="00D73B80" w:rsidRPr="00CD52EE" w:rsidRDefault="00D73B80" w:rsidP="002772AD">
      <w:pPr>
        <w:rPr>
          <w:rFonts w:asciiTheme="majorHAnsi" w:hAnsiTheme="majorHAnsi"/>
          <w:sz w:val="20"/>
          <w:szCs w:val="20"/>
        </w:rPr>
      </w:pPr>
    </w:p>
    <w:p w14:paraId="25D27448" w14:textId="77777777" w:rsidR="004E44C2" w:rsidRPr="00CD52EE" w:rsidRDefault="00A4032E">
      <w:pPr>
        <w:pStyle w:val="Heading2"/>
        <w:numPr>
          <w:ilvl w:val="1"/>
          <w:numId w:val="63"/>
        </w:numPr>
        <w:spacing w:before="0"/>
        <w:ind w:left="360" w:hanging="360"/>
        <w:rPr>
          <w:rFonts w:eastAsia="Arial Unicode MS"/>
          <w:color w:val="auto"/>
          <w:sz w:val="20"/>
          <w:szCs w:val="20"/>
        </w:rPr>
      </w:pPr>
      <w:bookmarkStart w:id="28" w:name="_Toc54798092"/>
      <w:r w:rsidRPr="00CD52EE">
        <w:rPr>
          <w:color w:val="auto"/>
          <w:sz w:val="20"/>
          <w:szCs w:val="20"/>
        </w:rPr>
        <w:t>Right</w:t>
      </w:r>
      <w:r w:rsidRPr="00CD52EE">
        <w:rPr>
          <w:rFonts w:eastAsia="Arial Unicode MS"/>
          <w:color w:val="auto"/>
          <w:sz w:val="20"/>
          <w:szCs w:val="20"/>
        </w:rPr>
        <w:t xml:space="preserve"> to </w:t>
      </w:r>
      <w:r w:rsidR="00793611" w:rsidRPr="00CD52EE">
        <w:rPr>
          <w:rFonts w:eastAsia="Arial Unicode MS"/>
          <w:color w:val="auto"/>
          <w:sz w:val="20"/>
          <w:szCs w:val="20"/>
        </w:rPr>
        <w:t>j</w:t>
      </w:r>
      <w:r w:rsidRPr="00CD52EE">
        <w:rPr>
          <w:rFonts w:eastAsia="Arial Unicode MS"/>
          <w:color w:val="auto"/>
          <w:sz w:val="20"/>
          <w:szCs w:val="20"/>
        </w:rPr>
        <w:t xml:space="preserve">udicial </w:t>
      </w:r>
      <w:r w:rsidR="00793611" w:rsidRPr="00CD52EE">
        <w:rPr>
          <w:rFonts w:eastAsia="Arial Unicode MS"/>
          <w:color w:val="auto"/>
          <w:sz w:val="20"/>
          <w:szCs w:val="20"/>
        </w:rPr>
        <w:t>p</w:t>
      </w:r>
      <w:r w:rsidRPr="00CD52EE">
        <w:rPr>
          <w:rFonts w:eastAsia="Arial Unicode MS"/>
          <w:color w:val="auto"/>
          <w:sz w:val="20"/>
          <w:szCs w:val="20"/>
        </w:rPr>
        <w:t xml:space="preserve">rotection and </w:t>
      </w:r>
      <w:r w:rsidR="00395AC9" w:rsidRPr="00CD52EE">
        <w:rPr>
          <w:rFonts w:eastAsia="Arial Unicode MS"/>
          <w:color w:val="auto"/>
          <w:sz w:val="20"/>
          <w:szCs w:val="20"/>
        </w:rPr>
        <w:t>to commutation of a death sentence</w:t>
      </w:r>
      <w:r w:rsidR="00B61D46" w:rsidRPr="00CD52EE">
        <w:rPr>
          <w:rStyle w:val="FootnoteReference"/>
          <w:rFonts w:eastAsia="Arial Unicode MS"/>
          <w:color w:val="auto"/>
          <w:sz w:val="20"/>
          <w:szCs w:val="20"/>
        </w:rPr>
        <w:footnoteReference w:id="96"/>
      </w:r>
      <w:bookmarkEnd w:id="28"/>
      <w:r w:rsidRPr="00CD52EE">
        <w:rPr>
          <w:rFonts w:eastAsia="Arial Unicode MS"/>
          <w:color w:val="auto"/>
          <w:sz w:val="20"/>
          <w:szCs w:val="20"/>
        </w:rPr>
        <w:t xml:space="preserve">  </w:t>
      </w:r>
    </w:p>
    <w:p w14:paraId="15C3ADB3" w14:textId="77777777" w:rsidR="00A4032E" w:rsidRPr="00CD52EE" w:rsidRDefault="00A4032E" w:rsidP="00A4032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bdr w:val="none" w:sz="0" w:space="0" w:color="auto"/>
        </w:rPr>
      </w:pPr>
    </w:p>
    <w:p w14:paraId="0EEB60B5" w14:textId="77777777" w:rsidR="006F46BF" w:rsidRPr="00E03CB6" w:rsidRDefault="007820A0" w:rsidP="00E03C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2"/>
        </w:rPr>
      </w:pPr>
      <w:r w:rsidRPr="00CD52EE">
        <w:rPr>
          <w:rFonts w:asciiTheme="majorHAnsi" w:hAnsiTheme="majorHAnsi"/>
          <w:sz w:val="20"/>
          <w:szCs w:val="22"/>
        </w:rPr>
        <w:t xml:space="preserve">As stated by the Inter-American Court, Article 4.6 of the American Convention, when read together with Articles 8 and 1.1, places the State under the obligation to guarantee that an offender sentenced to death may effectively exercise the right to apply for amnesty, pardon, or commutation of sentence.  </w:t>
      </w:r>
      <w:r w:rsidR="00CA69DB" w:rsidRPr="00CD52EE">
        <w:rPr>
          <w:rFonts w:asciiTheme="majorHAnsi" w:hAnsiTheme="majorHAnsi"/>
          <w:sz w:val="20"/>
          <w:szCs w:val="22"/>
        </w:rPr>
        <w:t>Regarding</w:t>
      </w:r>
      <w:r w:rsidR="003F4694" w:rsidRPr="00CD52EE">
        <w:rPr>
          <w:rFonts w:asciiTheme="majorHAnsi" w:hAnsiTheme="majorHAnsi"/>
          <w:sz w:val="20"/>
          <w:szCs w:val="22"/>
        </w:rPr>
        <w:t xml:space="preserve"> the right to </w:t>
      </w:r>
      <w:r w:rsidR="003F4694" w:rsidRPr="00CD52EE">
        <w:rPr>
          <w:rFonts w:asciiTheme="majorHAnsi" w:hAnsiTheme="majorHAnsi"/>
          <w:sz w:val="20"/>
          <w:szCs w:val="22"/>
        </w:rPr>
        <w:lastRenderedPageBreak/>
        <w:t>pardon, the Court has established that</w:t>
      </w:r>
      <w:r w:rsidRPr="00CD52EE">
        <w:rPr>
          <w:rFonts w:asciiTheme="majorHAnsi" w:hAnsiTheme="majorHAnsi"/>
          <w:sz w:val="20"/>
          <w:szCs w:val="22"/>
        </w:rPr>
        <w:t xml:space="preserve"> the State has a duty to implement a fair and transparent procedure by which an offender sentenced to death may make use of all </w:t>
      </w:r>
      <w:r w:rsidR="00CA69DB" w:rsidRPr="00CD52EE">
        <w:rPr>
          <w:rFonts w:asciiTheme="majorHAnsi" w:hAnsiTheme="majorHAnsi"/>
          <w:sz w:val="20"/>
          <w:szCs w:val="22"/>
        </w:rPr>
        <w:t>favorable</w:t>
      </w:r>
      <w:r w:rsidRPr="00CD52EE">
        <w:rPr>
          <w:rFonts w:asciiTheme="majorHAnsi" w:hAnsiTheme="majorHAnsi"/>
          <w:sz w:val="20"/>
          <w:szCs w:val="22"/>
        </w:rPr>
        <w:t xml:space="preserve"> evidence deemed relevant.</w:t>
      </w:r>
      <w:r w:rsidR="00C27C7C" w:rsidRPr="00CD52EE">
        <w:rPr>
          <w:rFonts w:asciiTheme="majorHAnsi" w:hAnsiTheme="majorHAnsi"/>
          <w:sz w:val="20"/>
          <w:szCs w:val="22"/>
        </w:rPr>
        <w:t xml:space="preserve"> In this regard, in </w:t>
      </w:r>
      <w:r w:rsidR="0093619F" w:rsidRPr="00CD52EE">
        <w:rPr>
          <w:rFonts w:asciiTheme="majorHAnsi" w:hAnsiTheme="majorHAnsi"/>
          <w:sz w:val="20"/>
          <w:szCs w:val="22"/>
        </w:rPr>
        <w:t xml:space="preserve">the Case of Hilaire, Constantine and Benjamin et al., the </w:t>
      </w:r>
      <w:r w:rsidR="00543C8B" w:rsidRPr="00CD52EE">
        <w:rPr>
          <w:rFonts w:asciiTheme="majorHAnsi" w:hAnsiTheme="majorHAnsi"/>
          <w:sz w:val="20"/>
          <w:szCs w:val="22"/>
        </w:rPr>
        <w:t xml:space="preserve">Inter-American </w:t>
      </w:r>
      <w:r w:rsidR="0093619F" w:rsidRPr="00CD52EE">
        <w:rPr>
          <w:rFonts w:asciiTheme="majorHAnsi" w:hAnsiTheme="majorHAnsi"/>
          <w:sz w:val="20"/>
          <w:szCs w:val="22"/>
        </w:rPr>
        <w:t xml:space="preserve">Commission </w:t>
      </w:r>
      <w:r w:rsidR="009410CD" w:rsidRPr="00CD52EE">
        <w:rPr>
          <w:rFonts w:asciiTheme="majorHAnsi" w:hAnsiTheme="majorHAnsi"/>
          <w:sz w:val="20"/>
          <w:szCs w:val="22"/>
        </w:rPr>
        <w:t>concluded</w:t>
      </w:r>
      <w:r w:rsidR="00543C8B" w:rsidRPr="00CD52EE">
        <w:rPr>
          <w:rFonts w:asciiTheme="majorHAnsi" w:hAnsiTheme="majorHAnsi"/>
          <w:sz w:val="20"/>
          <w:szCs w:val="22"/>
        </w:rPr>
        <w:t xml:space="preserve"> that </w:t>
      </w:r>
      <w:r w:rsidR="00A604B4" w:rsidRPr="00CD52EE">
        <w:rPr>
          <w:rFonts w:asciiTheme="majorHAnsi" w:hAnsiTheme="majorHAnsi"/>
          <w:sz w:val="20"/>
          <w:szCs w:val="22"/>
        </w:rPr>
        <w:t xml:space="preserve"> </w:t>
      </w:r>
      <w:r w:rsidR="00543C8B" w:rsidRPr="00CD52EE">
        <w:rPr>
          <w:rFonts w:asciiTheme="majorHAnsi" w:hAnsiTheme="majorHAnsi"/>
          <w:sz w:val="20"/>
          <w:szCs w:val="22"/>
        </w:rPr>
        <w:t xml:space="preserve">Trinidad and Tobago </w:t>
      </w:r>
      <w:r w:rsidR="00C27C7C" w:rsidRPr="00CD52EE">
        <w:rPr>
          <w:rFonts w:asciiTheme="majorHAnsi" w:hAnsiTheme="majorHAnsi"/>
          <w:sz w:val="20"/>
          <w:szCs w:val="22"/>
        </w:rPr>
        <w:t>failed</w:t>
      </w:r>
      <w:r w:rsidR="00543C8B" w:rsidRPr="00CD52EE">
        <w:rPr>
          <w:rFonts w:asciiTheme="majorHAnsi" w:hAnsiTheme="majorHAnsi"/>
          <w:sz w:val="20"/>
          <w:szCs w:val="22"/>
        </w:rPr>
        <w:t xml:space="preserve"> to comply with the requirements of Article 4</w:t>
      </w:r>
      <w:r w:rsidR="00CB71AD" w:rsidRPr="00CD52EE">
        <w:rPr>
          <w:rFonts w:asciiTheme="majorHAnsi" w:hAnsiTheme="majorHAnsi"/>
          <w:sz w:val="20"/>
          <w:szCs w:val="22"/>
        </w:rPr>
        <w:t>.</w:t>
      </w:r>
      <w:r w:rsidR="00543C8B" w:rsidRPr="00CD52EE">
        <w:rPr>
          <w:rFonts w:asciiTheme="majorHAnsi" w:hAnsiTheme="majorHAnsi"/>
          <w:sz w:val="20"/>
          <w:szCs w:val="22"/>
        </w:rPr>
        <w:t>6</w:t>
      </w:r>
      <w:r w:rsidR="00CB71AD" w:rsidRPr="00CD52EE">
        <w:rPr>
          <w:rFonts w:asciiTheme="majorHAnsi" w:hAnsiTheme="majorHAnsi"/>
          <w:sz w:val="20"/>
          <w:szCs w:val="22"/>
        </w:rPr>
        <w:t xml:space="preserve"> </w:t>
      </w:r>
      <w:r w:rsidR="00543C8B" w:rsidRPr="00CD52EE">
        <w:rPr>
          <w:rFonts w:asciiTheme="majorHAnsi" w:hAnsiTheme="majorHAnsi"/>
          <w:sz w:val="20"/>
          <w:szCs w:val="22"/>
        </w:rPr>
        <w:t xml:space="preserve">of the </w:t>
      </w:r>
      <w:r w:rsidR="00CB71AD" w:rsidRPr="00CD52EE">
        <w:rPr>
          <w:rFonts w:asciiTheme="majorHAnsi" w:hAnsiTheme="majorHAnsi"/>
          <w:sz w:val="20"/>
          <w:szCs w:val="22"/>
        </w:rPr>
        <w:t xml:space="preserve">American </w:t>
      </w:r>
      <w:r w:rsidR="00543C8B" w:rsidRPr="00CD52EE">
        <w:rPr>
          <w:rFonts w:asciiTheme="majorHAnsi" w:hAnsiTheme="majorHAnsi"/>
          <w:sz w:val="20"/>
          <w:szCs w:val="22"/>
        </w:rPr>
        <w:t>Convention</w:t>
      </w:r>
      <w:r w:rsidR="000F24AF">
        <w:rPr>
          <w:rFonts w:asciiTheme="majorHAnsi" w:hAnsiTheme="majorHAnsi"/>
          <w:sz w:val="20"/>
          <w:szCs w:val="22"/>
        </w:rPr>
        <w:t xml:space="preserve"> taking into account t</w:t>
      </w:r>
      <w:r w:rsidR="000F24AF" w:rsidRPr="00E03CB6">
        <w:rPr>
          <w:rFonts w:asciiTheme="majorHAnsi" w:hAnsiTheme="majorHAnsi"/>
          <w:sz w:val="20"/>
          <w:szCs w:val="22"/>
        </w:rPr>
        <w:t xml:space="preserve">hat the application of the procedure for granting mercy to the thirty-two victims of the </w:t>
      </w:r>
      <w:r w:rsidR="000F24AF">
        <w:rPr>
          <w:rFonts w:asciiTheme="majorHAnsi" w:hAnsiTheme="majorHAnsi"/>
          <w:sz w:val="20"/>
          <w:szCs w:val="22"/>
        </w:rPr>
        <w:t>c</w:t>
      </w:r>
      <w:r w:rsidR="000F24AF" w:rsidRPr="00E03CB6">
        <w:rPr>
          <w:rFonts w:asciiTheme="majorHAnsi" w:hAnsiTheme="majorHAnsi"/>
          <w:sz w:val="20"/>
          <w:szCs w:val="22"/>
        </w:rPr>
        <w:t>ase was characterized by a lack of transparency, lack of available information and lack of participation by the victims, resulting in a violation of Article 4(6), in conjunction with Articles 8 and 1(1) of the American Convention</w:t>
      </w:r>
      <w:r w:rsidR="00CE2613" w:rsidRPr="00CD52EE">
        <w:rPr>
          <w:rStyle w:val="FootnoteReference"/>
          <w:rFonts w:asciiTheme="majorHAnsi" w:hAnsiTheme="majorHAnsi"/>
          <w:sz w:val="20"/>
          <w:szCs w:val="22"/>
        </w:rPr>
        <w:footnoteReference w:id="97"/>
      </w:r>
      <w:r w:rsidR="00543C8B" w:rsidRPr="00E03CB6">
        <w:rPr>
          <w:rFonts w:asciiTheme="majorHAnsi" w:hAnsiTheme="majorHAnsi"/>
          <w:sz w:val="20"/>
          <w:szCs w:val="22"/>
        </w:rPr>
        <w:t xml:space="preserve"> </w:t>
      </w:r>
    </w:p>
    <w:p w14:paraId="76E9A776" w14:textId="77777777" w:rsidR="000F24AF" w:rsidRPr="00D8238D" w:rsidRDefault="000F24AF" w:rsidP="00D8238D">
      <w:pPr>
        <w:rPr>
          <w:rFonts w:asciiTheme="majorHAnsi" w:hAnsiTheme="majorHAnsi"/>
          <w:sz w:val="20"/>
          <w:szCs w:val="22"/>
        </w:rPr>
      </w:pPr>
    </w:p>
    <w:p w14:paraId="7CCA6468" w14:textId="77777777" w:rsidR="004B79FF" w:rsidRPr="00CD52EE" w:rsidRDefault="000F24AF" w:rsidP="00C71C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2"/>
        </w:rPr>
      </w:pPr>
      <w:r>
        <w:rPr>
          <w:rFonts w:asciiTheme="majorHAnsi" w:hAnsiTheme="majorHAnsi"/>
          <w:sz w:val="20"/>
          <w:szCs w:val="22"/>
        </w:rPr>
        <w:t>The Commission notes that i</w:t>
      </w:r>
      <w:r w:rsidRPr="00CD52EE">
        <w:rPr>
          <w:rFonts w:asciiTheme="majorHAnsi" w:hAnsiTheme="majorHAnsi"/>
          <w:sz w:val="20"/>
          <w:szCs w:val="22"/>
        </w:rPr>
        <w:t xml:space="preserve">n </w:t>
      </w:r>
      <w:r w:rsidR="000F5D49" w:rsidRPr="00CD52EE">
        <w:rPr>
          <w:rFonts w:asciiTheme="majorHAnsi" w:hAnsiTheme="majorHAnsi"/>
          <w:sz w:val="20"/>
          <w:szCs w:val="22"/>
        </w:rPr>
        <w:t xml:space="preserve">1993 </w:t>
      </w:r>
      <w:r w:rsidR="00E74179" w:rsidRPr="00CD52EE">
        <w:rPr>
          <w:rFonts w:asciiTheme="majorHAnsi" w:hAnsiTheme="majorHAnsi"/>
          <w:sz w:val="20"/>
          <w:szCs w:val="22"/>
        </w:rPr>
        <w:t xml:space="preserve">the </w:t>
      </w:r>
      <w:r w:rsidR="007D6C80" w:rsidRPr="00CD52EE">
        <w:rPr>
          <w:rFonts w:asciiTheme="majorHAnsi" w:hAnsiTheme="majorHAnsi"/>
          <w:sz w:val="20"/>
          <w:szCs w:val="22"/>
        </w:rPr>
        <w:t xml:space="preserve">Judicial Committee of the </w:t>
      </w:r>
      <w:r w:rsidR="00E74179" w:rsidRPr="00CD52EE">
        <w:rPr>
          <w:rFonts w:asciiTheme="majorHAnsi" w:hAnsiTheme="majorHAnsi"/>
          <w:sz w:val="20"/>
          <w:szCs w:val="22"/>
        </w:rPr>
        <w:t>Privy Council</w:t>
      </w:r>
      <w:r w:rsidR="007D6C80" w:rsidRPr="00CD52EE">
        <w:rPr>
          <w:rFonts w:asciiTheme="majorHAnsi" w:hAnsiTheme="majorHAnsi"/>
          <w:sz w:val="20"/>
          <w:szCs w:val="22"/>
        </w:rPr>
        <w:t xml:space="preserve">, the highest court of appeal for some English-speaking Caribbean countries, </w:t>
      </w:r>
      <w:r w:rsidR="00282E48" w:rsidRPr="00CD52EE">
        <w:rPr>
          <w:rFonts w:asciiTheme="majorHAnsi" w:hAnsiTheme="majorHAnsi"/>
          <w:sz w:val="20"/>
          <w:szCs w:val="22"/>
        </w:rPr>
        <w:t xml:space="preserve">held in the </w:t>
      </w:r>
      <w:r w:rsidR="00282E48" w:rsidRPr="00CD52EE">
        <w:rPr>
          <w:rFonts w:asciiTheme="majorHAnsi" w:hAnsiTheme="majorHAnsi"/>
          <w:i/>
          <w:iCs/>
          <w:sz w:val="20"/>
          <w:szCs w:val="22"/>
        </w:rPr>
        <w:t>Pratt and Morgan v. Jamaica</w:t>
      </w:r>
      <w:r w:rsidR="00282E48" w:rsidRPr="00CD52EE">
        <w:rPr>
          <w:rFonts w:asciiTheme="majorHAnsi" w:hAnsiTheme="majorHAnsi"/>
          <w:sz w:val="20"/>
          <w:szCs w:val="22"/>
        </w:rPr>
        <w:t xml:space="preserve"> case that excessive delays between sentencing and execution of the punishment constitute inhuman or degrading punishment</w:t>
      </w:r>
      <w:r w:rsidR="00B2003D" w:rsidRPr="00CD52EE">
        <w:rPr>
          <w:rFonts w:asciiTheme="majorHAnsi" w:hAnsiTheme="majorHAnsi"/>
          <w:sz w:val="20"/>
          <w:szCs w:val="22"/>
        </w:rPr>
        <w:t>. The Privy Council ruled that</w:t>
      </w:r>
      <w:r w:rsidR="00822E7F" w:rsidRPr="00CD52EE">
        <w:rPr>
          <w:rFonts w:asciiTheme="majorHAnsi" w:hAnsiTheme="majorHAnsi"/>
          <w:sz w:val="20"/>
          <w:szCs w:val="22"/>
        </w:rPr>
        <w:t>, as</w:t>
      </w:r>
      <w:r w:rsidR="00A3616C" w:rsidRPr="00CD52EE">
        <w:rPr>
          <w:rFonts w:asciiTheme="majorHAnsi" w:hAnsiTheme="majorHAnsi"/>
          <w:sz w:val="20"/>
          <w:szCs w:val="22"/>
        </w:rPr>
        <w:t xml:space="preserve"> the </w:t>
      </w:r>
      <w:r w:rsidR="00822E7F" w:rsidRPr="00CD52EE">
        <w:rPr>
          <w:rFonts w:asciiTheme="majorHAnsi" w:hAnsiTheme="majorHAnsi"/>
          <w:sz w:val="20"/>
          <w:szCs w:val="22"/>
        </w:rPr>
        <w:t>Constitution</w:t>
      </w:r>
      <w:r w:rsidR="00A3616C" w:rsidRPr="00CD52EE">
        <w:rPr>
          <w:rFonts w:asciiTheme="majorHAnsi" w:hAnsiTheme="majorHAnsi"/>
          <w:sz w:val="20"/>
          <w:szCs w:val="22"/>
        </w:rPr>
        <w:t xml:space="preserve"> of Jamaica prohibits inhuman or degrading punishment,</w:t>
      </w:r>
      <w:r w:rsidR="00822E7F" w:rsidRPr="00CD52EE">
        <w:rPr>
          <w:rFonts w:asciiTheme="majorHAnsi" w:hAnsiTheme="majorHAnsi"/>
          <w:sz w:val="20"/>
          <w:szCs w:val="22"/>
        </w:rPr>
        <w:t xml:space="preserve"> </w:t>
      </w:r>
      <w:r w:rsidR="00282E48" w:rsidRPr="00CD52EE">
        <w:rPr>
          <w:rFonts w:asciiTheme="majorHAnsi" w:hAnsiTheme="majorHAnsi"/>
          <w:sz w:val="20"/>
          <w:szCs w:val="22"/>
        </w:rPr>
        <w:t>it was unconstitutional to execute a prisoner who ha</w:t>
      </w:r>
      <w:r w:rsidR="00B2003D" w:rsidRPr="00CD52EE">
        <w:rPr>
          <w:rFonts w:asciiTheme="majorHAnsi" w:hAnsiTheme="majorHAnsi"/>
          <w:sz w:val="20"/>
          <w:szCs w:val="22"/>
        </w:rPr>
        <w:t>s</w:t>
      </w:r>
      <w:r w:rsidR="00282E48" w:rsidRPr="00CD52EE">
        <w:rPr>
          <w:rFonts w:asciiTheme="majorHAnsi" w:hAnsiTheme="majorHAnsi"/>
          <w:sz w:val="20"/>
          <w:szCs w:val="22"/>
        </w:rPr>
        <w:t xml:space="preserve"> been on death row more than five years.</w:t>
      </w:r>
      <w:r w:rsidR="00282E48" w:rsidRPr="00CD52EE">
        <w:rPr>
          <w:rStyle w:val="FootnoteReference"/>
          <w:rFonts w:asciiTheme="majorHAnsi" w:hAnsiTheme="majorHAnsi"/>
          <w:sz w:val="20"/>
          <w:szCs w:val="20"/>
        </w:rPr>
        <w:footnoteReference w:id="98"/>
      </w:r>
    </w:p>
    <w:p w14:paraId="7B7AE470" w14:textId="77777777" w:rsidR="00A3616C" w:rsidRPr="00CD52EE" w:rsidRDefault="00A3616C" w:rsidP="00E43FF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2"/>
        </w:rPr>
      </w:pPr>
    </w:p>
    <w:p w14:paraId="349A83DD" w14:textId="77777777" w:rsidR="006726D8" w:rsidRPr="00CD52EE" w:rsidRDefault="00C71C18" w:rsidP="006726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2"/>
        </w:rPr>
      </w:pPr>
      <w:r w:rsidRPr="00CD52EE">
        <w:rPr>
          <w:rFonts w:asciiTheme="majorHAnsi" w:hAnsiTheme="majorHAnsi" w:cs="Estrangelo Edessa"/>
          <w:sz w:val="20"/>
          <w:szCs w:val="20"/>
        </w:rPr>
        <w:t xml:space="preserve">On November 20, 2003, in the case of </w:t>
      </w:r>
      <w:r w:rsidRPr="00CD52EE">
        <w:rPr>
          <w:rFonts w:asciiTheme="majorHAnsi" w:hAnsiTheme="majorHAnsi" w:cs="Estrangelo Edessa"/>
          <w:i/>
          <w:sz w:val="20"/>
          <w:szCs w:val="20"/>
        </w:rPr>
        <w:t>Balkissoon Roodal</w:t>
      </w:r>
      <w:r w:rsidRPr="00CD52EE">
        <w:rPr>
          <w:rFonts w:asciiTheme="majorHAnsi" w:hAnsiTheme="majorHAnsi" w:cs="Estrangelo Edessa"/>
          <w:sz w:val="20"/>
          <w:szCs w:val="20"/>
        </w:rPr>
        <w:t xml:space="preserve">, the </w:t>
      </w:r>
      <w:r w:rsidR="00F45922" w:rsidRPr="00CD52EE">
        <w:rPr>
          <w:rFonts w:asciiTheme="majorHAnsi" w:hAnsiTheme="majorHAnsi" w:cs="Estrangelo Edessa"/>
          <w:sz w:val="20"/>
          <w:szCs w:val="20"/>
        </w:rPr>
        <w:t xml:space="preserve">JCPC </w:t>
      </w:r>
      <w:r w:rsidRPr="00CD52EE">
        <w:rPr>
          <w:rFonts w:asciiTheme="majorHAnsi" w:hAnsiTheme="majorHAnsi" w:cs="Estrangelo Edessa"/>
          <w:sz w:val="20"/>
          <w:szCs w:val="20"/>
        </w:rPr>
        <w:t xml:space="preserve">established that the </w:t>
      </w:r>
      <w:bookmarkStart w:id="29" w:name="para30"/>
      <w:r w:rsidRPr="00CD52EE">
        <w:rPr>
          <w:rFonts w:asciiTheme="majorHAnsi" w:hAnsiTheme="majorHAnsi"/>
          <w:sz w:val="20"/>
          <w:szCs w:val="20"/>
        </w:rPr>
        <w:t>mandatory sentence of death was inconsistent with the international obligations of Trinidad and Tobago under the American Declaration</w:t>
      </w:r>
      <w:bookmarkEnd w:id="29"/>
      <w:r w:rsidRPr="00CD52EE">
        <w:rPr>
          <w:rFonts w:asciiTheme="majorHAnsi" w:hAnsiTheme="majorHAnsi"/>
          <w:sz w:val="20"/>
          <w:szCs w:val="20"/>
        </w:rPr>
        <w:t>.</w:t>
      </w:r>
      <w:r w:rsidRPr="00CD52EE">
        <w:rPr>
          <w:rStyle w:val="FootnoteReference"/>
          <w:rFonts w:asciiTheme="majorHAnsi" w:hAnsiTheme="majorHAnsi"/>
          <w:sz w:val="20"/>
          <w:szCs w:val="20"/>
        </w:rPr>
        <w:footnoteReference w:id="99"/>
      </w:r>
      <w:r w:rsidRPr="00CD52EE">
        <w:rPr>
          <w:rFonts w:asciiTheme="majorHAnsi" w:hAnsiTheme="majorHAnsi"/>
          <w:sz w:val="20"/>
          <w:szCs w:val="20"/>
        </w:rPr>
        <w:t xml:space="preserve"> The following year, h</w:t>
      </w:r>
      <w:r w:rsidRPr="00CD52EE">
        <w:rPr>
          <w:rFonts w:asciiTheme="majorHAnsi" w:hAnsiTheme="majorHAnsi" w:cs="Estrangelo Edessa"/>
          <w:sz w:val="20"/>
          <w:szCs w:val="20"/>
        </w:rPr>
        <w:t xml:space="preserve">owever, the Privy Council reversed its previous position regarding the mandatory death penalty in Trinidad and Tobago in the case of </w:t>
      </w:r>
      <w:r w:rsidRPr="00CD52EE">
        <w:rPr>
          <w:rFonts w:asciiTheme="majorHAnsi" w:hAnsiTheme="majorHAnsi" w:cs="Estrangelo Edessa"/>
          <w:i/>
          <w:sz w:val="20"/>
          <w:szCs w:val="20"/>
        </w:rPr>
        <w:t>Matthew</w:t>
      </w:r>
      <w:r w:rsidRPr="00CD52EE">
        <w:rPr>
          <w:rFonts w:asciiTheme="majorHAnsi" w:hAnsiTheme="majorHAnsi" w:cs="Estrangelo Edessa"/>
          <w:sz w:val="20"/>
          <w:szCs w:val="20"/>
        </w:rPr>
        <w:t>.</w:t>
      </w:r>
      <w:r w:rsidRPr="00CD52EE">
        <w:rPr>
          <w:rStyle w:val="FootnoteReference"/>
          <w:rFonts w:asciiTheme="majorHAnsi" w:hAnsiTheme="majorHAnsi" w:cs="Estrangelo Edessa"/>
          <w:color w:val="000000"/>
          <w:sz w:val="20"/>
          <w:szCs w:val="20"/>
          <w:lang w:val="es-ES"/>
        </w:rPr>
        <w:footnoteReference w:id="100"/>
      </w:r>
      <w:r w:rsidRPr="00CD52EE">
        <w:rPr>
          <w:rFonts w:asciiTheme="majorHAnsi" w:hAnsiTheme="majorHAnsi" w:cs="Estrangelo Edessa"/>
          <w:sz w:val="20"/>
          <w:szCs w:val="20"/>
        </w:rPr>
        <w:t xml:space="preserve"> Nevertheless, the JCPC considered that those persons who had benefitted from its judgment in the case of </w:t>
      </w:r>
      <w:r w:rsidRPr="00CD52EE">
        <w:rPr>
          <w:rFonts w:asciiTheme="majorHAnsi" w:hAnsiTheme="majorHAnsi" w:cs="Estrangelo Edessa"/>
          <w:i/>
          <w:sz w:val="20"/>
          <w:szCs w:val="20"/>
        </w:rPr>
        <w:t xml:space="preserve">Balkissoon Roodal </w:t>
      </w:r>
      <w:r w:rsidRPr="00CD52EE">
        <w:rPr>
          <w:rFonts w:asciiTheme="majorHAnsi" w:hAnsiTheme="majorHAnsi" w:cs="Estrangelo Edessa"/>
          <w:sz w:val="20"/>
          <w:szCs w:val="20"/>
        </w:rPr>
        <w:t>had, until that time, the “expectation” that they would have the opportunity for a hearing regarding the</w:t>
      </w:r>
      <w:r w:rsidR="004B79FF" w:rsidRPr="00CD52EE">
        <w:rPr>
          <w:rFonts w:asciiTheme="majorHAnsi" w:hAnsiTheme="majorHAnsi" w:cs="Estrangelo Edessa"/>
          <w:sz w:val="20"/>
          <w:szCs w:val="20"/>
        </w:rPr>
        <w:t>ir</w:t>
      </w:r>
      <w:r w:rsidRPr="00CD52EE">
        <w:rPr>
          <w:rFonts w:asciiTheme="majorHAnsi" w:hAnsiTheme="majorHAnsi" w:cs="Estrangelo Edessa"/>
          <w:sz w:val="20"/>
          <w:szCs w:val="20"/>
        </w:rPr>
        <w:t xml:space="preserve"> sentence</w:t>
      </w:r>
      <w:r w:rsidR="004B79FF" w:rsidRPr="00CD52EE">
        <w:rPr>
          <w:rFonts w:asciiTheme="majorHAnsi" w:hAnsiTheme="majorHAnsi" w:cs="Estrangelo Edessa"/>
          <w:sz w:val="20"/>
          <w:szCs w:val="20"/>
        </w:rPr>
        <w:t xml:space="preserve"> and that it was t</w:t>
      </w:r>
      <w:r w:rsidRPr="00CD52EE">
        <w:rPr>
          <w:rFonts w:asciiTheme="majorHAnsi" w:hAnsiTheme="majorHAnsi" w:cs="Estrangelo Edessa"/>
          <w:sz w:val="20"/>
          <w:szCs w:val="20"/>
        </w:rPr>
        <w:t>herefore</w:t>
      </w:r>
      <w:r w:rsidR="004B79FF" w:rsidRPr="00CD52EE">
        <w:rPr>
          <w:rFonts w:asciiTheme="majorHAnsi" w:hAnsiTheme="majorHAnsi" w:cs="Estrangelo Edessa"/>
          <w:sz w:val="20"/>
          <w:szCs w:val="20"/>
        </w:rPr>
        <w:t xml:space="preserve"> </w:t>
      </w:r>
      <w:r w:rsidRPr="00CD52EE">
        <w:rPr>
          <w:rFonts w:asciiTheme="majorHAnsi" w:hAnsiTheme="majorHAnsi" w:cs="Estrangelo Edessa"/>
          <w:sz w:val="20"/>
          <w:szCs w:val="20"/>
        </w:rPr>
        <w:t>fair that the death penalties imposed on these persons, be commuted to sentences of life imprisonment.</w:t>
      </w:r>
      <w:r w:rsidRPr="00CD52EE">
        <w:rPr>
          <w:rStyle w:val="FootnoteReference"/>
          <w:rFonts w:asciiTheme="majorHAnsi" w:hAnsiTheme="majorHAnsi" w:cs="Estrangelo Edessa"/>
          <w:color w:val="000000"/>
          <w:sz w:val="20"/>
          <w:szCs w:val="20"/>
          <w:lang w:val="es-ES"/>
        </w:rPr>
        <w:footnoteReference w:id="101"/>
      </w:r>
    </w:p>
    <w:p w14:paraId="26C193C6" w14:textId="77777777" w:rsidR="006726D8" w:rsidRPr="00CD52EE" w:rsidRDefault="006726D8" w:rsidP="00E43FF8">
      <w:pPr>
        <w:pStyle w:val="ListParagraph"/>
        <w:rPr>
          <w:rFonts w:asciiTheme="majorHAnsi" w:eastAsia="Times New Roman" w:hAnsiTheme="majorHAnsi"/>
          <w:sz w:val="20"/>
          <w:szCs w:val="20"/>
        </w:rPr>
      </w:pPr>
    </w:p>
    <w:p w14:paraId="6B4EC847" w14:textId="77777777" w:rsidR="006726D8" w:rsidRPr="00CD52EE" w:rsidRDefault="00820E74" w:rsidP="00E43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2"/>
        </w:rPr>
      </w:pPr>
      <w:r w:rsidRPr="00CD52EE">
        <w:rPr>
          <w:rFonts w:asciiTheme="majorHAnsi" w:eastAsia="Times New Roman" w:hAnsiTheme="majorHAnsi"/>
          <w:sz w:val="20"/>
          <w:szCs w:val="20"/>
        </w:rPr>
        <w:t xml:space="preserve">The petitioners submit that, to the extent the State did not apply </w:t>
      </w:r>
      <w:r w:rsidRPr="00CD52EE">
        <w:rPr>
          <w:rFonts w:asciiTheme="majorHAnsi" w:hAnsiTheme="majorHAnsi" w:cs="Estrangelo Edessa"/>
          <w:sz w:val="20"/>
          <w:szCs w:val="20"/>
        </w:rPr>
        <w:t>JCPC</w:t>
      </w:r>
      <w:r w:rsidRPr="00CD52EE" w:rsidDel="00822E7F">
        <w:rPr>
          <w:rFonts w:asciiTheme="majorHAnsi" w:eastAsia="Times New Roman" w:hAnsiTheme="majorHAnsi"/>
          <w:sz w:val="20"/>
          <w:szCs w:val="20"/>
        </w:rPr>
        <w:t xml:space="preserve"> </w:t>
      </w:r>
      <w:r w:rsidRPr="00CD52EE">
        <w:rPr>
          <w:rFonts w:asciiTheme="majorHAnsi" w:eastAsia="Times New Roman" w:hAnsiTheme="majorHAnsi"/>
          <w:sz w:val="20"/>
          <w:szCs w:val="20"/>
        </w:rPr>
        <w:t xml:space="preserve">decisions in </w:t>
      </w:r>
      <w:r w:rsidRPr="00CD52EE">
        <w:rPr>
          <w:rFonts w:asciiTheme="majorHAnsi" w:eastAsia="Times New Roman" w:hAnsiTheme="majorHAnsi"/>
          <w:i/>
          <w:sz w:val="20"/>
          <w:szCs w:val="20"/>
        </w:rPr>
        <w:t>Pratt and Morgan</w:t>
      </w:r>
      <w:r w:rsidRPr="00CD52EE">
        <w:rPr>
          <w:rFonts w:asciiTheme="majorHAnsi" w:eastAsia="Times New Roman" w:hAnsiTheme="majorHAnsi"/>
          <w:sz w:val="20"/>
          <w:szCs w:val="20"/>
        </w:rPr>
        <w:t>,</w:t>
      </w:r>
      <w:r w:rsidRPr="00CD52EE" w:rsidDel="00822E7F">
        <w:rPr>
          <w:rStyle w:val="FootnoteReference"/>
          <w:rFonts w:asciiTheme="majorHAnsi" w:eastAsia="Times New Roman" w:hAnsiTheme="majorHAnsi"/>
          <w:sz w:val="20"/>
          <w:szCs w:val="20"/>
        </w:rPr>
        <w:t xml:space="preserve"> </w:t>
      </w:r>
      <w:r w:rsidRPr="00CD52EE">
        <w:rPr>
          <w:rFonts w:asciiTheme="majorHAnsi" w:eastAsia="Times New Roman" w:hAnsiTheme="majorHAnsi"/>
          <w:sz w:val="20"/>
          <w:szCs w:val="20"/>
        </w:rPr>
        <w:t xml:space="preserve"> </w:t>
      </w:r>
      <w:r w:rsidRPr="00CD52EE">
        <w:rPr>
          <w:rFonts w:asciiTheme="majorHAnsi" w:eastAsia="Times New Roman" w:hAnsiTheme="majorHAnsi"/>
          <w:i/>
          <w:sz w:val="20"/>
          <w:szCs w:val="20"/>
        </w:rPr>
        <w:t>Roodal</w:t>
      </w:r>
      <w:r w:rsidRPr="00CD52EE">
        <w:rPr>
          <w:rFonts w:asciiTheme="majorHAnsi" w:eastAsia="Times New Roman" w:hAnsiTheme="majorHAnsi"/>
          <w:sz w:val="20"/>
          <w:szCs w:val="20"/>
        </w:rPr>
        <w:t xml:space="preserve">, and </w:t>
      </w:r>
      <w:r w:rsidRPr="00CD52EE">
        <w:rPr>
          <w:rFonts w:asciiTheme="majorHAnsi" w:eastAsia="Times New Roman" w:hAnsiTheme="majorHAnsi"/>
          <w:i/>
          <w:sz w:val="20"/>
          <w:szCs w:val="20"/>
        </w:rPr>
        <w:t>Matthew</w:t>
      </w:r>
      <w:r w:rsidRPr="00CD52EE">
        <w:rPr>
          <w:rFonts w:asciiTheme="majorHAnsi" w:eastAsia="Times New Roman" w:hAnsiTheme="majorHAnsi"/>
          <w:sz w:val="20"/>
          <w:szCs w:val="20"/>
        </w:rPr>
        <w:t xml:space="preserve"> </w:t>
      </w:r>
      <w:r w:rsidR="008B7CCB" w:rsidRPr="00CD52EE">
        <w:rPr>
          <w:rFonts w:asciiTheme="majorHAnsi" w:eastAsia="Times New Roman" w:hAnsiTheme="majorHAnsi"/>
          <w:sz w:val="20"/>
          <w:szCs w:val="20"/>
        </w:rPr>
        <w:t>to</w:t>
      </w:r>
      <w:r w:rsidRPr="00CD52EE">
        <w:rPr>
          <w:rFonts w:asciiTheme="majorHAnsi" w:eastAsia="Times New Roman" w:hAnsiTheme="majorHAnsi"/>
          <w:sz w:val="20"/>
          <w:szCs w:val="20"/>
        </w:rPr>
        <w:t xml:space="preserve"> the victims’ case, it violated their rights under Articles II</w:t>
      </w:r>
      <w:r w:rsidRPr="00CD52EE">
        <w:rPr>
          <w:rStyle w:val="FootnoteReference"/>
          <w:rFonts w:asciiTheme="majorHAnsi" w:eastAsia="Times New Roman" w:hAnsiTheme="majorHAnsi"/>
          <w:sz w:val="20"/>
          <w:szCs w:val="20"/>
        </w:rPr>
        <w:footnoteReference w:id="102"/>
      </w:r>
      <w:r w:rsidRPr="00CD52EE">
        <w:rPr>
          <w:rFonts w:asciiTheme="majorHAnsi" w:eastAsia="Times New Roman" w:hAnsiTheme="majorHAnsi"/>
          <w:sz w:val="20"/>
          <w:szCs w:val="20"/>
        </w:rPr>
        <w:t xml:space="preserve"> and XXVI of the American Declaration. </w:t>
      </w:r>
      <w:r w:rsidR="006726D8" w:rsidRPr="00CD52EE">
        <w:rPr>
          <w:rFonts w:asciiTheme="majorHAnsi" w:eastAsia="Times New Roman" w:hAnsiTheme="majorHAnsi"/>
          <w:sz w:val="20"/>
          <w:szCs w:val="20"/>
        </w:rPr>
        <w:t xml:space="preserve">They claim that the Privy Council’s decisions are the law and the State has undertaken that such remedies would be enforced, therefore in failing to commute the sentences the State denied the victims their fundamental rights recognized by the law (ignoring the final judicial determination rendered by a competent court) and deprived of benefits of a lower sentence as mentioned above. </w:t>
      </w:r>
    </w:p>
    <w:p w14:paraId="48663238" w14:textId="77777777" w:rsidR="002B6358" w:rsidRPr="00CD52EE" w:rsidRDefault="002B6358" w:rsidP="00E43FF8">
      <w:pPr>
        <w:pStyle w:val="ListParagraph"/>
        <w:rPr>
          <w:rFonts w:asciiTheme="majorHAnsi" w:hAnsiTheme="majorHAnsi"/>
          <w:sz w:val="20"/>
          <w:szCs w:val="22"/>
        </w:rPr>
      </w:pPr>
    </w:p>
    <w:p w14:paraId="13A173E0" w14:textId="77777777" w:rsidR="008B1875" w:rsidRPr="00CD52EE" w:rsidRDefault="002B6358" w:rsidP="00E43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bdr w:val="none" w:sz="0" w:space="0" w:color="auto"/>
        </w:rPr>
      </w:pPr>
      <w:r w:rsidRPr="00CD52EE">
        <w:rPr>
          <w:rFonts w:asciiTheme="majorHAnsi" w:hAnsiTheme="majorHAnsi"/>
          <w:sz w:val="20"/>
          <w:szCs w:val="22"/>
        </w:rPr>
        <w:t xml:space="preserve">According to the facts established in this report, </w:t>
      </w:r>
      <w:r w:rsidRPr="00CD52EE">
        <w:rPr>
          <w:rFonts w:asciiTheme="majorHAnsi" w:eastAsia="Times New Roman" w:hAnsiTheme="majorHAnsi"/>
          <w:sz w:val="20"/>
          <w:szCs w:val="20"/>
        </w:rPr>
        <w:t xml:space="preserve">Messrs. Dial and Dottin </w:t>
      </w:r>
      <w:r w:rsidR="00D52F11" w:rsidRPr="00CD52EE">
        <w:rPr>
          <w:rFonts w:asciiTheme="majorHAnsi" w:eastAsia="Times New Roman" w:hAnsiTheme="majorHAnsi"/>
          <w:sz w:val="20"/>
          <w:szCs w:val="20"/>
        </w:rPr>
        <w:t>were sentenced to the death penalty on</w:t>
      </w:r>
      <w:r w:rsidR="001F3B10" w:rsidRPr="00CD52EE">
        <w:rPr>
          <w:rFonts w:asciiTheme="majorHAnsi" w:hAnsiTheme="majorHAnsi"/>
          <w:sz w:val="20"/>
        </w:rPr>
        <w:t xml:space="preserve"> January 21, 1997</w:t>
      </w:r>
      <w:r w:rsidR="00D52F11" w:rsidRPr="00CD52EE">
        <w:rPr>
          <w:rFonts w:asciiTheme="majorHAnsi" w:eastAsia="Times New Roman" w:hAnsiTheme="majorHAnsi"/>
          <w:sz w:val="20"/>
          <w:szCs w:val="20"/>
        </w:rPr>
        <w:t xml:space="preserve">. </w:t>
      </w:r>
      <w:r w:rsidR="008B1875" w:rsidRPr="00CD52EE">
        <w:rPr>
          <w:rFonts w:asciiTheme="majorHAnsi" w:eastAsia="Times New Roman" w:hAnsiTheme="majorHAnsi"/>
          <w:sz w:val="20"/>
          <w:szCs w:val="20"/>
        </w:rPr>
        <w:t>The Commission also notes that Trinidad and Tobago relies on the JCPC as its ultimate court of appeal</w:t>
      </w:r>
      <w:r w:rsidR="00F05244" w:rsidRPr="00CD52EE">
        <w:rPr>
          <w:rFonts w:asciiTheme="majorHAnsi" w:eastAsia="Times New Roman" w:hAnsiTheme="majorHAnsi"/>
          <w:sz w:val="20"/>
          <w:szCs w:val="20"/>
        </w:rPr>
        <w:t xml:space="preserve"> and that the</w:t>
      </w:r>
      <w:r w:rsidR="008B1875" w:rsidRPr="00CD52EE">
        <w:rPr>
          <w:rFonts w:asciiTheme="majorHAnsi" w:eastAsia="Times New Roman" w:hAnsiTheme="majorHAnsi"/>
          <w:sz w:val="20"/>
          <w:szCs w:val="20"/>
        </w:rPr>
        <w:t xml:space="preserve"> Constitution</w:t>
      </w:r>
      <w:r w:rsidR="00F05244" w:rsidRPr="00CD52EE">
        <w:rPr>
          <w:rFonts w:asciiTheme="majorHAnsi" w:eastAsia="Times New Roman" w:hAnsiTheme="majorHAnsi"/>
          <w:sz w:val="20"/>
          <w:szCs w:val="20"/>
        </w:rPr>
        <w:t xml:space="preserve"> of Trinidad and Tobago</w:t>
      </w:r>
      <w:r w:rsidR="008B1875" w:rsidRPr="00CD52EE">
        <w:rPr>
          <w:rFonts w:asciiTheme="majorHAnsi" w:eastAsia="Times New Roman" w:hAnsiTheme="majorHAnsi"/>
          <w:sz w:val="20"/>
          <w:szCs w:val="20"/>
        </w:rPr>
        <w:t xml:space="preserve"> </w:t>
      </w:r>
      <w:r w:rsidR="00A34E0C" w:rsidRPr="00CD52EE">
        <w:rPr>
          <w:rFonts w:asciiTheme="majorHAnsi" w:eastAsia="Times New Roman" w:hAnsiTheme="majorHAnsi"/>
          <w:sz w:val="20"/>
          <w:szCs w:val="20"/>
        </w:rPr>
        <w:t xml:space="preserve">has a provision that prohibits </w:t>
      </w:r>
      <w:r w:rsidR="00514294" w:rsidRPr="00CD52EE">
        <w:rPr>
          <w:rFonts w:asciiTheme="majorHAnsi" w:eastAsia="Times New Roman" w:hAnsiTheme="majorHAnsi"/>
          <w:sz w:val="20"/>
          <w:szCs w:val="20"/>
        </w:rPr>
        <w:t>the imposition of cruel and unusual treatment or punishment.</w:t>
      </w:r>
      <w:r w:rsidR="000F4E59" w:rsidRPr="00CD52EE">
        <w:rPr>
          <w:rFonts w:asciiTheme="majorHAnsi" w:eastAsia="Times New Roman" w:hAnsiTheme="majorHAnsi"/>
          <w:sz w:val="20"/>
          <w:szCs w:val="20"/>
        </w:rPr>
        <w:t xml:space="preserve"> </w:t>
      </w:r>
    </w:p>
    <w:p w14:paraId="33E71093" w14:textId="77777777" w:rsidR="00C9082B" w:rsidRPr="00CD52EE" w:rsidRDefault="00C9082B" w:rsidP="000F4E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bdr w:val="none" w:sz="0" w:space="0" w:color="auto"/>
        </w:rPr>
      </w:pPr>
    </w:p>
    <w:p w14:paraId="427393B8" w14:textId="77777777" w:rsidR="00DC17BA" w:rsidRPr="00CD52EE" w:rsidRDefault="00C9082B" w:rsidP="00C908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2"/>
        </w:rPr>
      </w:pPr>
      <w:r w:rsidRPr="00CD52EE">
        <w:rPr>
          <w:rFonts w:asciiTheme="majorHAnsi" w:hAnsiTheme="majorHAnsi"/>
          <w:sz w:val="20"/>
          <w:szCs w:val="22"/>
        </w:rPr>
        <w:t>G</w:t>
      </w:r>
      <w:r w:rsidR="00A4032E" w:rsidRPr="00CD52EE">
        <w:rPr>
          <w:rFonts w:asciiTheme="majorHAnsi" w:hAnsiTheme="majorHAnsi"/>
          <w:sz w:val="20"/>
          <w:szCs w:val="22"/>
        </w:rPr>
        <w:t xml:space="preserve">iven that </w:t>
      </w:r>
      <w:r w:rsidR="00B24EFA" w:rsidRPr="00CD52EE">
        <w:rPr>
          <w:rFonts w:asciiTheme="majorHAnsi" w:hAnsiTheme="majorHAnsi"/>
          <w:sz w:val="20"/>
          <w:szCs w:val="22"/>
        </w:rPr>
        <w:t xml:space="preserve">the decision in </w:t>
      </w:r>
      <w:r w:rsidR="00A4032E" w:rsidRPr="00CD52EE">
        <w:rPr>
          <w:rFonts w:asciiTheme="majorHAnsi" w:hAnsiTheme="majorHAnsi"/>
          <w:i/>
          <w:sz w:val="20"/>
          <w:szCs w:val="22"/>
        </w:rPr>
        <w:t>Pratt and Morgan</w:t>
      </w:r>
      <w:r w:rsidR="00A4032E" w:rsidRPr="00CD52EE">
        <w:rPr>
          <w:rFonts w:asciiTheme="majorHAnsi" w:hAnsiTheme="majorHAnsi"/>
          <w:sz w:val="20"/>
          <w:szCs w:val="22"/>
        </w:rPr>
        <w:t xml:space="preserve"> was </w:t>
      </w:r>
      <w:r w:rsidR="00B24EFA" w:rsidRPr="00CD52EE">
        <w:rPr>
          <w:rFonts w:asciiTheme="majorHAnsi" w:hAnsiTheme="majorHAnsi"/>
          <w:sz w:val="20"/>
          <w:szCs w:val="22"/>
        </w:rPr>
        <w:t>adopted</w:t>
      </w:r>
      <w:r w:rsidR="00A4032E" w:rsidRPr="00CD52EE">
        <w:rPr>
          <w:rFonts w:asciiTheme="majorHAnsi" w:hAnsiTheme="majorHAnsi"/>
          <w:sz w:val="20"/>
          <w:szCs w:val="22"/>
        </w:rPr>
        <w:t xml:space="preserve"> in 1993, the reasoning by the Privy Council became precedence that the State could have followed to determine how to treat the sentences of death row inmates. As evidenced by the successful constitutional motion, which granted the commutation of several death sentences to life imprisonment, the ruling within </w:t>
      </w:r>
      <w:r w:rsidR="00A4032E" w:rsidRPr="00CD52EE">
        <w:rPr>
          <w:rFonts w:asciiTheme="majorHAnsi" w:hAnsiTheme="majorHAnsi"/>
          <w:i/>
          <w:sz w:val="20"/>
          <w:szCs w:val="22"/>
        </w:rPr>
        <w:t>Pratt and Morgan</w:t>
      </w:r>
      <w:r w:rsidR="00524FA7" w:rsidRPr="00CD52EE">
        <w:rPr>
          <w:rFonts w:asciiTheme="majorHAnsi" w:hAnsiTheme="majorHAnsi"/>
          <w:sz w:val="20"/>
          <w:szCs w:val="22"/>
        </w:rPr>
        <w:t xml:space="preserve"> </w:t>
      </w:r>
      <w:r w:rsidR="00A4032E" w:rsidRPr="00CD52EE">
        <w:rPr>
          <w:rFonts w:asciiTheme="majorHAnsi" w:hAnsiTheme="majorHAnsi"/>
          <w:sz w:val="20"/>
          <w:szCs w:val="22"/>
        </w:rPr>
        <w:t xml:space="preserve">was sound law. </w:t>
      </w:r>
    </w:p>
    <w:p w14:paraId="66F6DC26" w14:textId="77777777" w:rsidR="00DC17BA" w:rsidRPr="00CD52EE" w:rsidRDefault="00DC17BA" w:rsidP="00E43FF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2"/>
        </w:rPr>
      </w:pPr>
    </w:p>
    <w:p w14:paraId="276883A2" w14:textId="77777777" w:rsidR="006F08D4" w:rsidRPr="00CD52EE" w:rsidRDefault="00DC17BA" w:rsidP="006F08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D52EE">
        <w:rPr>
          <w:rFonts w:asciiTheme="majorHAnsi" w:hAnsiTheme="majorHAnsi"/>
          <w:sz w:val="20"/>
          <w:szCs w:val="22"/>
        </w:rPr>
        <w:t xml:space="preserve">Therefore, according to the binding jurisprudence that existed at the time, </w:t>
      </w:r>
      <w:r w:rsidRPr="00CD52EE">
        <w:rPr>
          <w:rFonts w:asciiTheme="majorHAnsi" w:eastAsia="Times New Roman" w:hAnsiTheme="majorHAnsi"/>
          <w:sz w:val="20"/>
          <w:szCs w:val="20"/>
        </w:rPr>
        <w:t>Messrs. Dial and Dottin</w:t>
      </w:r>
      <w:r w:rsidR="00FC3B01" w:rsidRPr="00CD52EE">
        <w:rPr>
          <w:rFonts w:asciiTheme="majorHAnsi" w:hAnsiTheme="majorHAnsi"/>
          <w:sz w:val="20"/>
          <w:szCs w:val="20"/>
        </w:rPr>
        <w:t>’</w:t>
      </w:r>
      <w:r w:rsidRPr="00CD52EE">
        <w:rPr>
          <w:rFonts w:asciiTheme="majorHAnsi" w:eastAsia="Times New Roman" w:hAnsiTheme="majorHAnsi"/>
          <w:sz w:val="20"/>
          <w:szCs w:val="20"/>
        </w:rPr>
        <w:t xml:space="preserve">s death sentence should have been commuted after </w:t>
      </w:r>
      <w:r w:rsidR="004A3B49" w:rsidRPr="00CD52EE">
        <w:rPr>
          <w:rFonts w:asciiTheme="majorHAnsi" w:eastAsia="Times New Roman" w:hAnsiTheme="majorHAnsi"/>
          <w:sz w:val="20"/>
          <w:szCs w:val="20"/>
        </w:rPr>
        <w:t>they</w:t>
      </w:r>
      <w:r w:rsidR="00173710" w:rsidRPr="00CD52EE">
        <w:rPr>
          <w:rFonts w:asciiTheme="majorHAnsi" w:hAnsiTheme="majorHAnsi"/>
          <w:sz w:val="20"/>
          <w:szCs w:val="22"/>
        </w:rPr>
        <w:t xml:space="preserve"> had served five years on death ro</w:t>
      </w:r>
      <w:r w:rsidR="004A3B49" w:rsidRPr="00CD52EE">
        <w:rPr>
          <w:rFonts w:asciiTheme="majorHAnsi" w:hAnsiTheme="majorHAnsi"/>
          <w:sz w:val="20"/>
          <w:szCs w:val="22"/>
        </w:rPr>
        <w:t>w or, at least, after the Roodal</w:t>
      </w:r>
      <w:r w:rsidR="003F3877" w:rsidRPr="00CD52EE">
        <w:rPr>
          <w:rFonts w:asciiTheme="majorHAnsi" w:hAnsiTheme="majorHAnsi"/>
          <w:sz w:val="20"/>
          <w:szCs w:val="20"/>
        </w:rPr>
        <w:t>’</w:t>
      </w:r>
      <w:r w:rsidR="003F3877" w:rsidRPr="00CD52EE">
        <w:rPr>
          <w:rFonts w:asciiTheme="majorHAnsi" w:eastAsia="Times New Roman" w:hAnsiTheme="majorHAnsi"/>
          <w:sz w:val="20"/>
          <w:szCs w:val="20"/>
        </w:rPr>
        <w:t>s</w:t>
      </w:r>
      <w:r w:rsidR="004A3B49" w:rsidRPr="00CD52EE">
        <w:rPr>
          <w:rFonts w:asciiTheme="majorHAnsi" w:hAnsiTheme="majorHAnsi"/>
          <w:sz w:val="20"/>
          <w:szCs w:val="22"/>
        </w:rPr>
        <w:t xml:space="preserve"> decision</w:t>
      </w:r>
      <w:r w:rsidR="003F3877" w:rsidRPr="00CD52EE">
        <w:rPr>
          <w:rFonts w:asciiTheme="majorHAnsi" w:hAnsiTheme="majorHAnsi"/>
          <w:sz w:val="20"/>
          <w:szCs w:val="22"/>
        </w:rPr>
        <w:t xml:space="preserve"> adopted on November 20, 2003. </w:t>
      </w:r>
      <w:r w:rsidR="006F08D4" w:rsidRPr="00CD52EE">
        <w:rPr>
          <w:rFonts w:asciiTheme="majorHAnsi" w:hAnsiTheme="majorHAnsi"/>
          <w:sz w:val="20"/>
          <w:szCs w:val="22"/>
        </w:rPr>
        <w:t>However, on June 6, 2005, the Attorney General made a statement outlining his intention to execute all those on death row. This, despite</w:t>
      </w:r>
      <w:r w:rsidR="00B840AE" w:rsidRPr="00CD52EE">
        <w:rPr>
          <w:rFonts w:asciiTheme="majorHAnsi" w:hAnsiTheme="majorHAnsi"/>
          <w:sz w:val="20"/>
          <w:szCs w:val="22"/>
        </w:rPr>
        <w:t xml:space="preserve">, a previous communication from the </w:t>
      </w:r>
      <w:r w:rsidR="00B840AE" w:rsidRPr="00CD52EE">
        <w:rPr>
          <w:rFonts w:asciiTheme="majorHAnsi" w:hAnsiTheme="majorHAnsi"/>
          <w:sz w:val="20"/>
          <w:szCs w:val="20"/>
        </w:rPr>
        <w:t xml:space="preserve">State Party’s London Solicitors dated January 12, 2005, confirming </w:t>
      </w:r>
      <w:r w:rsidR="006F08D4" w:rsidRPr="00CD52EE">
        <w:rPr>
          <w:rFonts w:asciiTheme="majorHAnsi" w:hAnsiTheme="majorHAnsi"/>
          <w:sz w:val="20"/>
          <w:szCs w:val="20"/>
        </w:rPr>
        <w:t xml:space="preserve">that the Government of Trinidad </w:t>
      </w:r>
      <w:r w:rsidR="006F08D4" w:rsidRPr="00CD52EE">
        <w:rPr>
          <w:rFonts w:asciiTheme="majorHAnsi" w:hAnsiTheme="majorHAnsi"/>
          <w:sz w:val="20"/>
          <w:szCs w:val="20"/>
        </w:rPr>
        <w:lastRenderedPageBreak/>
        <w:t xml:space="preserve">and Tobago had accepted the JCPC decision in Charles Matthew, and would commute the sentences of those affected, which included the alleged victims. </w:t>
      </w:r>
      <w:r w:rsidR="009803D5" w:rsidRPr="00CD52EE">
        <w:rPr>
          <w:rFonts w:asciiTheme="majorHAnsi" w:hAnsiTheme="majorHAnsi"/>
          <w:sz w:val="20"/>
          <w:szCs w:val="20"/>
        </w:rPr>
        <w:t>O</w:t>
      </w:r>
      <w:r w:rsidR="006F08D4" w:rsidRPr="00CD52EE">
        <w:rPr>
          <w:rFonts w:asciiTheme="majorHAnsi" w:eastAsia="Times New Roman" w:hAnsiTheme="majorHAnsi"/>
          <w:sz w:val="20"/>
          <w:szCs w:val="20"/>
        </w:rPr>
        <w:t>n June 10, 2005, the Ministry of National Security informed the victims in writing of its intention to convene hearings in respect of their sentences in order to consider issuing warrants of execution</w:t>
      </w:r>
      <w:r w:rsidR="00F3616B" w:rsidRPr="00CD52EE">
        <w:rPr>
          <w:rFonts w:asciiTheme="majorHAnsi" w:eastAsia="Times New Roman" w:hAnsiTheme="majorHAnsi"/>
          <w:sz w:val="20"/>
          <w:szCs w:val="20"/>
        </w:rPr>
        <w:t>,</w:t>
      </w:r>
      <w:r w:rsidR="009803D5" w:rsidRPr="00CD52EE">
        <w:rPr>
          <w:rFonts w:asciiTheme="majorHAnsi" w:eastAsia="Times New Roman" w:hAnsiTheme="majorHAnsi"/>
          <w:sz w:val="20"/>
          <w:szCs w:val="20"/>
        </w:rPr>
        <w:t xml:space="preserve"> and of i</w:t>
      </w:r>
      <w:r w:rsidR="006F08D4" w:rsidRPr="00CD52EE">
        <w:rPr>
          <w:rFonts w:asciiTheme="majorHAnsi" w:eastAsia="Times New Roman" w:hAnsiTheme="majorHAnsi"/>
          <w:sz w:val="20"/>
          <w:szCs w:val="20"/>
        </w:rPr>
        <w:t>ts intention to execute as early as June 14, 2005.</w:t>
      </w:r>
    </w:p>
    <w:p w14:paraId="6F8EB1EB" w14:textId="77777777" w:rsidR="006F08D4" w:rsidRPr="00CD52EE" w:rsidRDefault="006F08D4" w:rsidP="006F08D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504C7CEE" w14:textId="77777777" w:rsidR="006F08D4" w:rsidRPr="00CD52EE" w:rsidRDefault="009803D5" w:rsidP="006F08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2"/>
        </w:rPr>
      </w:pPr>
      <w:r w:rsidRPr="00CD52EE">
        <w:rPr>
          <w:rFonts w:asciiTheme="majorHAnsi" w:eastAsia="Times New Roman" w:hAnsiTheme="majorHAnsi"/>
          <w:sz w:val="20"/>
          <w:szCs w:val="20"/>
        </w:rPr>
        <w:t>Following a</w:t>
      </w:r>
      <w:r w:rsidR="006F08D4" w:rsidRPr="00CD52EE">
        <w:rPr>
          <w:rFonts w:asciiTheme="majorHAnsi" w:eastAsia="Times New Roman" w:hAnsiTheme="majorHAnsi"/>
          <w:sz w:val="20"/>
          <w:szCs w:val="20"/>
        </w:rPr>
        <w:t xml:space="preserve"> constitutional motion filed for a declaration that execution would be unlawful</w:t>
      </w:r>
      <w:r w:rsidRPr="00CD52EE">
        <w:rPr>
          <w:rFonts w:asciiTheme="majorHAnsi" w:eastAsia="Times New Roman" w:hAnsiTheme="majorHAnsi"/>
          <w:sz w:val="20"/>
          <w:szCs w:val="20"/>
        </w:rPr>
        <w:t>, a</w:t>
      </w:r>
      <w:r w:rsidR="006F08D4" w:rsidRPr="00CD52EE">
        <w:rPr>
          <w:rFonts w:asciiTheme="majorHAnsi" w:eastAsia="Times New Roman" w:hAnsiTheme="majorHAnsi"/>
          <w:sz w:val="20"/>
          <w:szCs w:val="20"/>
        </w:rPr>
        <w:t xml:space="preserve"> conservatory order was granted on June 13, 2005 imposing temporary stays on execution</w:t>
      </w:r>
      <w:r w:rsidR="00F3616B" w:rsidRPr="00CD52EE">
        <w:rPr>
          <w:rFonts w:asciiTheme="majorHAnsi" w:eastAsia="Times New Roman" w:hAnsiTheme="majorHAnsi"/>
          <w:sz w:val="20"/>
          <w:szCs w:val="20"/>
        </w:rPr>
        <w:t>s</w:t>
      </w:r>
      <w:r w:rsidR="006F08D4" w:rsidRPr="00CD52EE">
        <w:rPr>
          <w:rFonts w:asciiTheme="majorHAnsi" w:eastAsia="Times New Roman" w:hAnsiTheme="majorHAnsi"/>
          <w:sz w:val="20"/>
          <w:szCs w:val="20"/>
        </w:rPr>
        <w:t xml:space="preserve">. The constitutional motion was </w:t>
      </w:r>
      <w:r w:rsidRPr="00CD52EE">
        <w:rPr>
          <w:rFonts w:asciiTheme="majorHAnsi" w:eastAsia="Times New Roman" w:hAnsiTheme="majorHAnsi"/>
          <w:sz w:val="20"/>
          <w:szCs w:val="20"/>
        </w:rPr>
        <w:t xml:space="preserve">finally </w:t>
      </w:r>
      <w:r w:rsidR="006F08D4" w:rsidRPr="00CD52EE">
        <w:rPr>
          <w:rFonts w:asciiTheme="majorHAnsi" w:eastAsia="Times New Roman" w:hAnsiTheme="majorHAnsi"/>
          <w:sz w:val="20"/>
          <w:szCs w:val="20"/>
        </w:rPr>
        <w:t>granted and on August 15, 2008, the sentences of the alleged victims were commuted to life imprisonment.</w:t>
      </w:r>
    </w:p>
    <w:p w14:paraId="21619A58" w14:textId="77777777" w:rsidR="006F08D4" w:rsidRPr="00CD52EE" w:rsidRDefault="006F08D4" w:rsidP="00E43FF8">
      <w:pPr>
        <w:pStyle w:val="ListParagraph"/>
        <w:rPr>
          <w:rFonts w:asciiTheme="majorHAnsi" w:hAnsiTheme="majorHAnsi"/>
          <w:sz w:val="20"/>
          <w:szCs w:val="22"/>
        </w:rPr>
      </w:pPr>
    </w:p>
    <w:p w14:paraId="386ADA51" w14:textId="77777777" w:rsidR="003407FC" w:rsidRPr="00CD52EE" w:rsidRDefault="007E0F77" w:rsidP="007E0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Therefore</w:t>
      </w:r>
      <w:r w:rsidR="00A4032E" w:rsidRPr="00CD52EE">
        <w:rPr>
          <w:rFonts w:asciiTheme="majorHAnsi" w:eastAsia="Times New Roman" w:hAnsiTheme="majorHAnsi"/>
          <w:sz w:val="20"/>
          <w:szCs w:val="20"/>
        </w:rPr>
        <w:t xml:space="preserve">, </w:t>
      </w:r>
      <w:r w:rsidR="003407FC" w:rsidRPr="00CD52EE">
        <w:rPr>
          <w:rFonts w:asciiTheme="majorHAnsi" w:eastAsia="Times New Roman" w:hAnsiTheme="majorHAnsi"/>
          <w:sz w:val="20"/>
          <w:szCs w:val="20"/>
        </w:rPr>
        <w:t xml:space="preserve">the Commission concludes that </w:t>
      </w:r>
      <w:r w:rsidR="006D7599" w:rsidRPr="00CD52EE">
        <w:rPr>
          <w:rFonts w:asciiTheme="majorHAnsi" w:eastAsia="Times New Roman" w:hAnsiTheme="majorHAnsi"/>
          <w:sz w:val="20"/>
          <w:szCs w:val="20"/>
        </w:rPr>
        <w:t>during</w:t>
      </w:r>
      <w:r w:rsidR="0068250C" w:rsidRPr="00CD52EE">
        <w:rPr>
          <w:rFonts w:asciiTheme="majorHAnsi" w:eastAsia="Times New Roman" w:hAnsiTheme="majorHAnsi"/>
          <w:sz w:val="20"/>
          <w:szCs w:val="20"/>
        </w:rPr>
        <w:t xml:space="preserve"> five or six years </w:t>
      </w:r>
      <w:r w:rsidR="006D7599" w:rsidRPr="00CD52EE">
        <w:rPr>
          <w:rFonts w:asciiTheme="majorHAnsi" w:eastAsia="Times New Roman" w:hAnsiTheme="majorHAnsi"/>
          <w:sz w:val="20"/>
          <w:szCs w:val="20"/>
        </w:rPr>
        <w:t xml:space="preserve">Messrs. Dial and Dottin </w:t>
      </w:r>
      <w:r w:rsidR="0068250C" w:rsidRPr="00CD52EE">
        <w:rPr>
          <w:rFonts w:asciiTheme="majorHAnsi" w:eastAsia="Times New Roman" w:hAnsiTheme="majorHAnsi"/>
          <w:sz w:val="20"/>
          <w:szCs w:val="20"/>
        </w:rPr>
        <w:t>remained on death row despite the existence of jurisprudence that allowed them to have their sentences commuted, and therefore benefit from rehabilitation programs</w:t>
      </w:r>
      <w:r w:rsidR="006D7599" w:rsidRPr="00CD52EE">
        <w:rPr>
          <w:rFonts w:asciiTheme="majorHAnsi" w:eastAsia="Times New Roman" w:hAnsiTheme="majorHAnsi"/>
          <w:sz w:val="20"/>
          <w:szCs w:val="20"/>
        </w:rPr>
        <w:t xml:space="preserve">. </w:t>
      </w:r>
      <w:r w:rsidR="00C35AEF" w:rsidRPr="00CD52EE">
        <w:rPr>
          <w:rFonts w:asciiTheme="majorHAnsi" w:hAnsiTheme="majorHAnsi"/>
          <w:sz w:val="20"/>
          <w:szCs w:val="22"/>
        </w:rPr>
        <w:t>Trinidad and Tobago thus failed to guarantee that the victims could effectively exercise the</w:t>
      </w:r>
      <w:r w:rsidR="003407FC" w:rsidRPr="00CD52EE">
        <w:rPr>
          <w:rFonts w:asciiTheme="majorHAnsi" w:hAnsiTheme="majorHAnsi"/>
          <w:sz w:val="20"/>
          <w:szCs w:val="22"/>
        </w:rPr>
        <w:t>ir</w:t>
      </w:r>
      <w:r w:rsidR="00C35AEF" w:rsidRPr="00CD52EE">
        <w:rPr>
          <w:rFonts w:asciiTheme="majorHAnsi" w:hAnsiTheme="majorHAnsi"/>
          <w:sz w:val="20"/>
          <w:szCs w:val="22"/>
        </w:rPr>
        <w:t xml:space="preserve"> right to have their death sentence commuted.</w:t>
      </w:r>
    </w:p>
    <w:p w14:paraId="76461FAD" w14:textId="77777777" w:rsidR="003407FC" w:rsidRPr="00CD52EE" w:rsidRDefault="003407FC" w:rsidP="00E43FF8">
      <w:pPr>
        <w:pStyle w:val="ListParagraph"/>
        <w:rPr>
          <w:rFonts w:asciiTheme="majorHAnsi" w:eastAsia="Times New Roman" w:hAnsiTheme="majorHAnsi"/>
          <w:sz w:val="20"/>
          <w:szCs w:val="20"/>
        </w:rPr>
      </w:pPr>
    </w:p>
    <w:p w14:paraId="7B3A3045" w14:textId="77777777" w:rsidR="00A4032E" w:rsidRPr="00CD52EE" w:rsidRDefault="006D7599" w:rsidP="007E0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Given that these facts took place after the entry into force of the denunciation of the American Convention by Trinidad and Tobago, the</w:t>
      </w:r>
      <w:r w:rsidR="00DD3F48" w:rsidRPr="00CD52EE">
        <w:rPr>
          <w:rFonts w:asciiTheme="majorHAnsi" w:eastAsia="Times New Roman" w:hAnsiTheme="majorHAnsi"/>
          <w:sz w:val="20"/>
          <w:szCs w:val="20"/>
        </w:rPr>
        <w:t>y</w:t>
      </w:r>
      <w:r w:rsidR="00A85422" w:rsidRPr="00CD52EE">
        <w:rPr>
          <w:rFonts w:asciiTheme="majorHAnsi" w:eastAsia="Times New Roman" w:hAnsiTheme="majorHAnsi"/>
          <w:sz w:val="20"/>
          <w:szCs w:val="20"/>
        </w:rPr>
        <w:t xml:space="preserve"> </w:t>
      </w:r>
      <w:r w:rsidRPr="00CD52EE">
        <w:rPr>
          <w:rFonts w:asciiTheme="majorHAnsi" w:eastAsia="Times New Roman" w:hAnsiTheme="majorHAnsi"/>
          <w:sz w:val="20"/>
          <w:szCs w:val="20"/>
        </w:rPr>
        <w:t>constituted a violation to the victims</w:t>
      </w:r>
      <w:r w:rsidRPr="00CD52EE">
        <w:rPr>
          <w:rFonts w:asciiTheme="majorHAnsi" w:hAnsiTheme="majorHAnsi"/>
          <w:sz w:val="20"/>
          <w:szCs w:val="20"/>
        </w:rPr>
        <w:t>’</w:t>
      </w:r>
      <w:r w:rsidRPr="00CD52EE">
        <w:rPr>
          <w:rFonts w:asciiTheme="majorHAnsi" w:eastAsia="Times New Roman" w:hAnsiTheme="majorHAnsi"/>
          <w:sz w:val="20"/>
          <w:szCs w:val="20"/>
        </w:rPr>
        <w:t xml:space="preserve"> rights </w:t>
      </w:r>
      <w:r w:rsidR="006505CB" w:rsidRPr="00CD52EE">
        <w:rPr>
          <w:rFonts w:asciiTheme="majorHAnsi" w:eastAsia="Times New Roman" w:hAnsiTheme="majorHAnsi"/>
          <w:sz w:val="20"/>
          <w:szCs w:val="20"/>
        </w:rPr>
        <w:t xml:space="preserve">to due process </w:t>
      </w:r>
      <w:r w:rsidR="003E5D44" w:rsidRPr="00CD52EE">
        <w:rPr>
          <w:rFonts w:asciiTheme="majorHAnsi" w:eastAsia="Times New Roman" w:hAnsiTheme="majorHAnsi"/>
          <w:sz w:val="20"/>
          <w:szCs w:val="20"/>
        </w:rPr>
        <w:t xml:space="preserve">and judicial protection </w:t>
      </w:r>
      <w:r w:rsidRPr="00CD52EE">
        <w:rPr>
          <w:rFonts w:asciiTheme="majorHAnsi" w:eastAsia="Times New Roman" w:hAnsiTheme="majorHAnsi"/>
          <w:sz w:val="20"/>
          <w:szCs w:val="20"/>
        </w:rPr>
        <w:t>under Article</w:t>
      </w:r>
      <w:r w:rsidR="003E5D44" w:rsidRPr="00CD52EE">
        <w:rPr>
          <w:rFonts w:asciiTheme="majorHAnsi" w:eastAsia="Times New Roman" w:hAnsiTheme="majorHAnsi"/>
          <w:sz w:val="20"/>
          <w:szCs w:val="20"/>
        </w:rPr>
        <w:t>s</w:t>
      </w:r>
      <w:r w:rsidR="00A85422" w:rsidRPr="00CD52EE">
        <w:rPr>
          <w:rFonts w:asciiTheme="majorHAnsi" w:eastAsia="Times New Roman" w:hAnsiTheme="majorHAnsi"/>
          <w:sz w:val="20"/>
          <w:szCs w:val="20"/>
        </w:rPr>
        <w:t xml:space="preserve"> XVIII</w:t>
      </w:r>
      <w:r w:rsidR="003E5D44" w:rsidRPr="00CD52EE">
        <w:rPr>
          <w:rFonts w:asciiTheme="majorHAnsi" w:eastAsia="Times New Roman" w:hAnsiTheme="majorHAnsi"/>
          <w:sz w:val="20"/>
          <w:szCs w:val="20"/>
        </w:rPr>
        <w:t xml:space="preserve"> and XXVI</w:t>
      </w:r>
      <w:r w:rsidR="00A85422" w:rsidRPr="00CD52EE">
        <w:rPr>
          <w:rFonts w:asciiTheme="majorHAnsi" w:eastAsia="Times New Roman" w:hAnsiTheme="majorHAnsi"/>
          <w:sz w:val="20"/>
          <w:szCs w:val="20"/>
        </w:rPr>
        <w:t xml:space="preserve"> of the American </w:t>
      </w:r>
      <w:r w:rsidR="003E5D44" w:rsidRPr="00CD52EE">
        <w:rPr>
          <w:rFonts w:asciiTheme="majorHAnsi" w:eastAsia="Times New Roman" w:hAnsiTheme="majorHAnsi"/>
          <w:sz w:val="20"/>
          <w:szCs w:val="20"/>
        </w:rPr>
        <w:t>Declaration</w:t>
      </w:r>
      <w:r w:rsidR="00A85422" w:rsidRPr="00CD52EE">
        <w:rPr>
          <w:rFonts w:asciiTheme="majorHAnsi" w:eastAsia="Times New Roman" w:hAnsiTheme="majorHAnsi"/>
          <w:sz w:val="20"/>
          <w:szCs w:val="20"/>
        </w:rPr>
        <w:t xml:space="preserve">. </w:t>
      </w:r>
      <w:r w:rsidR="00A4032E" w:rsidRPr="00CD52EE">
        <w:rPr>
          <w:rFonts w:asciiTheme="majorHAnsi" w:eastAsia="Times New Roman" w:hAnsiTheme="majorHAnsi"/>
          <w:sz w:val="20"/>
          <w:szCs w:val="20"/>
        </w:rPr>
        <w:t>Such treatment</w:t>
      </w:r>
      <w:r w:rsidR="00C57D3C" w:rsidRPr="00CD52EE">
        <w:rPr>
          <w:rFonts w:asciiTheme="majorHAnsi" w:eastAsia="Times New Roman" w:hAnsiTheme="majorHAnsi"/>
          <w:sz w:val="20"/>
          <w:szCs w:val="20"/>
        </w:rPr>
        <w:t>,</w:t>
      </w:r>
      <w:r w:rsidR="00A4032E" w:rsidRPr="00CD52EE">
        <w:rPr>
          <w:rFonts w:asciiTheme="majorHAnsi" w:eastAsia="Times New Roman" w:hAnsiTheme="majorHAnsi"/>
          <w:sz w:val="20"/>
          <w:szCs w:val="20"/>
        </w:rPr>
        <w:t xml:space="preserve"> coupled with </w:t>
      </w:r>
      <w:r w:rsidR="00740A66" w:rsidRPr="00CD52EE">
        <w:rPr>
          <w:rFonts w:asciiTheme="majorHAnsi" w:eastAsia="Times New Roman" w:hAnsiTheme="majorHAnsi"/>
          <w:sz w:val="20"/>
          <w:szCs w:val="20"/>
        </w:rPr>
        <w:t xml:space="preserve">the threats to execute the victims, the </w:t>
      </w:r>
      <w:r w:rsidR="00A4032E" w:rsidRPr="00CD52EE">
        <w:rPr>
          <w:rFonts w:asciiTheme="majorHAnsi" w:eastAsia="Times New Roman" w:hAnsiTheme="majorHAnsi"/>
          <w:sz w:val="20"/>
          <w:szCs w:val="20"/>
        </w:rPr>
        <w:t>prison conditions and the length of time on death row would further contribute to inhumane treatment to the detriment of the alleged victims, as shall be outlined below.</w:t>
      </w:r>
    </w:p>
    <w:p w14:paraId="025AD429" w14:textId="77777777" w:rsidR="0059534C" w:rsidRPr="00CD52EE" w:rsidRDefault="0059534C" w:rsidP="005953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7189DD91" w14:textId="77777777" w:rsidR="0059534C" w:rsidRPr="00CD52EE" w:rsidRDefault="0059534C" w:rsidP="00E43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Regarding petitioners</w:t>
      </w:r>
      <w:r w:rsidRPr="00CD52EE">
        <w:rPr>
          <w:rFonts w:asciiTheme="majorHAnsi" w:hAnsiTheme="majorHAnsi"/>
          <w:sz w:val="20"/>
          <w:szCs w:val="20"/>
        </w:rPr>
        <w:t>’</w:t>
      </w:r>
      <w:r w:rsidRPr="00CD52EE">
        <w:rPr>
          <w:rFonts w:asciiTheme="majorHAnsi" w:eastAsia="Times New Roman" w:hAnsiTheme="majorHAnsi"/>
          <w:sz w:val="20"/>
          <w:szCs w:val="20"/>
        </w:rPr>
        <w:t xml:space="preserve"> allegation </w:t>
      </w:r>
      <w:r w:rsidR="006D43E9" w:rsidRPr="00CD52EE">
        <w:rPr>
          <w:rFonts w:asciiTheme="majorHAnsi" w:eastAsia="Times New Roman" w:hAnsiTheme="majorHAnsi"/>
          <w:sz w:val="20"/>
          <w:szCs w:val="20"/>
        </w:rPr>
        <w:t>of</w:t>
      </w:r>
      <w:r w:rsidR="003E0755" w:rsidRPr="00CD52EE">
        <w:rPr>
          <w:rFonts w:asciiTheme="majorHAnsi" w:eastAsia="Times New Roman" w:hAnsiTheme="majorHAnsi"/>
          <w:sz w:val="20"/>
          <w:szCs w:val="20"/>
        </w:rPr>
        <w:t xml:space="preserve"> a violation to the right to equality before the law protected under Article II of the Declaration, </w:t>
      </w:r>
      <w:r w:rsidR="006D43E9" w:rsidRPr="00CD52EE">
        <w:rPr>
          <w:rFonts w:asciiTheme="majorHAnsi" w:eastAsia="Times New Roman" w:hAnsiTheme="majorHAnsi"/>
          <w:sz w:val="20"/>
          <w:szCs w:val="20"/>
        </w:rPr>
        <w:t>the Commission notes that there is no information before it indicating that</w:t>
      </w:r>
      <w:r w:rsidR="00D8238D">
        <w:rPr>
          <w:rFonts w:asciiTheme="majorHAnsi" w:eastAsia="Times New Roman" w:hAnsiTheme="majorHAnsi"/>
          <w:sz w:val="20"/>
          <w:szCs w:val="20"/>
        </w:rPr>
        <w:t>,</w:t>
      </w:r>
      <w:r w:rsidR="006D43E9" w:rsidRPr="00CD52EE">
        <w:rPr>
          <w:rFonts w:asciiTheme="majorHAnsi" w:eastAsia="Times New Roman" w:hAnsiTheme="majorHAnsi"/>
          <w:sz w:val="20"/>
          <w:szCs w:val="20"/>
        </w:rPr>
        <w:t xml:space="preserve"> after the decision in Roodal</w:t>
      </w:r>
      <w:r w:rsidR="00D8238D">
        <w:rPr>
          <w:rFonts w:asciiTheme="majorHAnsi" w:eastAsia="Times New Roman" w:hAnsiTheme="majorHAnsi"/>
          <w:sz w:val="20"/>
          <w:szCs w:val="20"/>
        </w:rPr>
        <w:t>,</w:t>
      </w:r>
      <w:r w:rsidR="006D43E9" w:rsidRPr="00CD52EE">
        <w:rPr>
          <w:rFonts w:asciiTheme="majorHAnsi" w:eastAsia="Times New Roman" w:hAnsiTheme="majorHAnsi"/>
          <w:sz w:val="20"/>
          <w:szCs w:val="20"/>
        </w:rPr>
        <w:t xml:space="preserve"> other death row prisoners who were in the same situation as the victims, had their sentences commuted.  </w:t>
      </w:r>
      <w:r w:rsidR="000F24AF">
        <w:rPr>
          <w:rFonts w:asciiTheme="majorHAnsi" w:eastAsia="Times New Roman" w:hAnsiTheme="majorHAnsi"/>
          <w:sz w:val="20"/>
          <w:szCs w:val="20"/>
        </w:rPr>
        <w:t xml:space="preserve">Accordingly, the IACHR considers that </w:t>
      </w:r>
      <w:r w:rsidR="00D8238D">
        <w:rPr>
          <w:rFonts w:asciiTheme="majorHAnsi" w:eastAsia="Times New Roman" w:hAnsiTheme="majorHAnsi"/>
          <w:sz w:val="20"/>
          <w:szCs w:val="20"/>
        </w:rPr>
        <w:t xml:space="preserve">it </w:t>
      </w:r>
      <w:r w:rsidR="000F24AF">
        <w:rPr>
          <w:rFonts w:asciiTheme="majorHAnsi" w:eastAsia="Times New Roman" w:hAnsiTheme="majorHAnsi"/>
          <w:sz w:val="20"/>
          <w:szCs w:val="20"/>
        </w:rPr>
        <w:t>does not have sufficient information to declare a violation of Article II of the American Declaration.</w:t>
      </w:r>
    </w:p>
    <w:p w14:paraId="5105F81E" w14:textId="77777777" w:rsidR="002772AD" w:rsidRPr="00CD52EE" w:rsidRDefault="002772AD" w:rsidP="00696C68"/>
    <w:p w14:paraId="6D0C6BCA" w14:textId="77777777" w:rsidR="00B7194C" w:rsidRPr="00CD52EE" w:rsidRDefault="00B7194C" w:rsidP="00CD3087">
      <w:pPr>
        <w:pStyle w:val="Heading2"/>
        <w:numPr>
          <w:ilvl w:val="0"/>
          <w:numId w:val="63"/>
        </w:numPr>
        <w:spacing w:before="0"/>
        <w:jc w:val="both"/>
        <w:rPr>
          <w:sz w:val="20"/>
          <w:szCs w:val="20"/>
        </w:rPr>
      </w:pPr>
      <w:bookmarkStart w:id="30" w:name="_Toc54798093"/>
      <w:r w:rsidRPr="00CD52EE">
        <w:rPr>
          <w:rFonts w:eastAsia="Arial Unicode MS"/>
          <w:color w:val="auto"/>
          <w:sz w:val="20"/>
          <w:szCs w:val="20"/>
        </w:rPr>
        <w:t xml:space="preserve">The </w:t>
      </w:r>
      <w:r w:rsidRPr="00CD52EE">
        <w:rPr>
          <w:color w:val="auto"/>
          <w:sz w:val="20"/>
          <w:szCs w:val="20"/>
        </w:rPr>
        <w:t>deprivation</w:t>
      </w:r>
      <w:r w:rsidRPr="00CD52EE">
        <w:rPr>
          <w:rFonts w:eastAsia="Arial Unicode MS"/>
          <w:color w:val="auto"/>
          <w:sz w:val="20"/>
          <w:szCs w:val="20"/>
        </w:rPr>
        <w:t xml:space="preserve"> of liberty on death row and the right of protection against cruel, infamous or unusual punishment</w:t>
      </w:r>
      <w:r w:rsidRPr="00CD52EE">
        <w:rPr>
          <w:rStyle w:val="FootnoteReference"/>
          <w:rFonts w:ascii="Cambria" w:eastAsia="Arial Unicode MS" w:hAnsi="Cambria"/>
          <w:bCs w:val="0"/>
          <w:color w:val="auto"/>
          <w:sz w:val="20"/>
          <w:szCs w:val="20"/>
        </w:rPr>
        <w:footnoteReference w:id="103"/>
      </w:r>
      <w:bookmarkEnd w:id="30"/>
    </w:p>
    <w:p w14:paraId="10901CDF" w14:textId="77777777" w:rsidR="008A0DA2" w:rsidRPr="00CD52EE" w:rsidRDefault="008A0DA2" w:rsidP="00946F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03B04D7D" w14:textId="77777777" w:rsidR="00106789" w:rsidRPr="00CD52EE" w:rsidRDefault="00730B58">
      <w:pPr>
        <w:pStyle w:val="Heading2"/>
        <w:numPr>
          <w:ilvl w:val="1"/>
          <w:numId w:val="63"/>
        </w:numPr>
        <w:spacing w:before="0"/>
        <w:ind w:left="360" w:hanging="360"/>
        <w:rPr>
          <w:rFonts w:eastAsia="Arial Unicode MS"/>
          <w:color w:val="auto"/>
          <w:sz w:val="20"/>
          <w:szCs w:val="20"/>
        </w:rPr>
      </w:pPr>
      <w:bookmarkStart w:id="31" w:name="_Toc54798094"/>
      <w:r w:rsidRPr="00CD52EE">
        <w:rPr>
          <w:color w:val="auto"/>
          <w:sz w:val="20"/>
          <w:szCs w:val="20"/>
        </w:rPr>
        <w:t xml:space="preserve">Death </w:t>
      </w:r>
      <w:r w:rsidR="00793611" w:rsidRPr="00CD52EE">
        <w:rPr>
          <w:color w:val="auto"/>
          <w:sz w:val="20"/>
          <w:szCs w:val="20"/>
        </w:rPr>
        <w:t>r</w:t>
      </w:r>
      <w:r w:rsidRPr="00CD52EE">
        <w:rPr>
          <w:color w:val="auto"/>
          <w:sz w:val="20"/>
          <w:szCs w:val="20"/>
        </w:rPr>
        <w:t xml:space="preserve">ow </w:t>
      </w:r>
      <w:r w:rsidR="00793611" w:rsidRPr="00CD52EE">
        <w:rPr>
          <w:color w:val="auto"/>
          <w:sz w:val="20"/>
          <w:szCs w:val="20"/>
        </w:rPr>
        <w:t>p</w:t>
      </w:r>
      <w:r w:rsidRPr="00CD52EE">
        <w:rPr>
          <w:color w:val="auto"/>
          <w:sz w:val="20"/>
          <w:szCs w:val="20"/>
        </w:rPr>
        <w:t>henomenon</w:t>
      </w:r>
      <w:r w:rsidRPr="00CD52EE">
        <w:rPr>
          <w:rStyle w:val="FootnoteReference"/>
          <w:rFonts w:eastAsia="Arial Unicode MS"/>
          <w:color w:val="auto"/>
          <w:sz w:val="20"/>
          <w:szCs w:val="20"/>
        </w:rPr>
        <w:footnoteReference w:id="104"/>
      </w:r>
      <w:bookmarkEnd w:id="31"/>
      <w:r w:rsidRPr="00CD52EE">
        <w:rPr>
          <w:rFonts w:eastAsia="Arial Unicode MS"/>
          <w:color w:val="auto"/>
          <w:sz w:val="20"/>
          <w:szCs w:val="20"/>
        </w:rPr>
        <w:t xml:space="preserve">  </w:t>
      </w:r>
    </w:p>
    <w:p w14:paraId="1D9969E9" w14:textId="77777777" w:rsidR="00ED3FC5" w:rsidRPr="00CD52EE" w:rsidDel="00416F46" w:rsidRDefault="00ED3FC5" w:rsidP="001C4C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2180DDA6" w14:textId="77777777" w:rsidR="008C1F66" w:rsidRPr="00CD52EE" w:rsidRDefault="008C1F66" w:rsidP="008C1F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The long term deprivation of liberty on death row is referred to within both </w:t>
      </w:r>
      <w:r w:rsidR="003E2740" w:rsidRPr="00CD52EE">
        <w:rPr>
          <w:rFonts w:asciiTheme="majorHAnsi" w:eastAsia="Times New Roman" w:hAnsiTheme="majorHAnsi"/>
          <w:sz w:val="20"/>
          <w:szCs w:val="20"/>
        </w:rPr>
        <w:t>i</w:t>
      </w:r>
      <w:r w:rsidRPr="00CD52EE">
        <w:rPr>
          <w:rFonts w:asciiTheme="majorHAnsi" w:eastAsia="Times New Roman" w:hAnsiTheme="majorHAnsi"/>
          <w:sz w:val="20"/>
          <w:szCs w:val="20"/>
        </w:rPr>
        <w:t>nternational human rights and comparative law as the “death row phenomenon”, and infringes on a person’s freedom from cruel, inhuman or degrading punishment. Such treatment violates the prohibition of cruel, inhuman or degrading punishment in Constitutions and in multiple international treaties, including the American Declaration (Articles XXV and XXVI).</w:t>
      </w:r>
      <w:r w:rsidRPr="00CD52EE">
        <w:rPr>
          <w:rStyle w:val="FootnoteReference"/>
          <w:rFonts w:asciiTheme="majorHAnsi" w:hAnsiTheme="majorHAnsi"/>
          <w:sz w:val="20"/>
          <w:szCs w:val="20"/>
        </w:rPr>
        <w:footnoteReference w:id="105"/>
      </w:r>
    </w:p>
    <w:p w14:paraId="67C3E026" w14:textId="77777777" w:rsidR="00B7194C" w:rsidRPr="00CD52EE" w:rsidDel="00152A34" w:rsidRDefault="00B7194C" w:rsidP="00A47FE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607B1082" w14:textId="77777777" w:rsidR="00B7194C" w:rsidRPr="00CD52EE" w:rsidRDefault="00B7194C" w:rsidP="00CD30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T</w:t>
      </w:r>
      <w:r w:rsidR="00EA46E3" w:rsidRPr="00CD52EE">
        <w:rPr>
          <w:rFonts w:asciiTheme="majorHAnsi" w:eastAsia="Times New Roman" w:hAnsiTheme="majorHAnsi"/>
          <w:sz w:val="20"/>
          <w:szCs w:val="20"/>
        </w:rPr>
        <w:t xml:space="preserve">he Commission takes note </w:t>
      </w:r>
      <w:r w:rsidRPr="00CD52EE">
        <w:rPr>
          <w:rFonts w:asciiTheme="majorHAnsi" w:eastAsia="Times New Roman" w:hAnsiTheme="majorHAnsi"/>
          <w:sz w:val="20"/>
          <w:szCs w:val="20"/>
        </w:rPr>
        <w:t xml:space="preserve">of the concept of the death row phenomenon of the United Nations Special Rapporteur on torture and other cruel, inhuman or degrading treatment or punishment that: </w:t>
      </w:r>
    </w:p>
    <w:p w14:paraId="6C352AFC" w14:textId="77777777" w:rsidR="00B7194C" w:rsidRPr="00CD52EE" w:rsidRDefault="00B7194C" w:rsidP="00B7194C">
      <w:pPr>
        <w:pStyle w:val="ListParagraph"/>
        <w:rPr>
          <w:sz w:val="20"/>
          <w:szCs w:val="20"/>
        </w:rPr>
      </w:pPr>
    </w:p>
    <w:p w14:paraId="4EBEE4A1" w14:textId="77777777" w:rsidR="00B7194C" w:rsidRPr="00CD52EE" w:rsidRDefault="00B7194C" w:rsidP="00E43F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right="360"/>
        <w:jc w:val="both"/>
        <w:rPr>
          <w:rFonts w:ascii="Cambria" w:hAnsi="Cambria"/>
          <w:sz w:val="18"/>
          <w:szCs w:val="18"/>
        </w:rPr>
      </w:pPr>
      <w:r w:rsidRPr="00CD52EE">
        <w:rPr>
          <w:rFonts w:ascii="Cambria" w:hAnsi="Cambria"/>
          <w:sz w:val="18"/>
          <w:szCs w:val="18"/>
        </w:rPr>
        <w:t>(…) it consists of a combination of circumstances that produce severe mental trauma and physical deterioration in prisoners under sentence of death.</w:t>
      </w:r>
      <w:r w:rsidRPr="00CD52EE">
        <w:rPr>
          <w:rFonts w:ascii="Cambria" w:hAnsi="Cambria"/>
          <w:sz w:val="18"/>
          <w:szCs w:val="18"/>
          <w:vertAlign w:val="superscript"/>
        </w:rPr>
        <w:footnoteReference w:id="106"/>
      </w:r>
      <w:r w:rsidRPr="00CD52EE">
        <w:rPr>
          <w:rFonts w:ascii="Cambria" w:hAnsi="Cambria"/>
          <w:sz w:val="18"/>
          <w:szCs w:val="18"/>
        </w:rPr>
        <w:t xml:space="preserve"> Those circumstances include the lengthy and anxiety-ridden wait for uncertain outcomes, isolation, drastically reduced human contact and even the physical conditions in which some </w:t>
      </w:r>
      <w:r w:rsidRPr="00CD52EE">
        <w:rPr>
          <w:rFonts w:ascii="Cambria" w:hAnsi="Cambria"/>
          <w:sz w:val="18"/>
          <w:szCs w:val="18"/>
        </w:rPr>
        <w:lastRenderedPageBreak/>
        <w:t>inmates are held. Death row conditions are often worse than those for the rest of the prison population, and prisoners on death row are denied many basic human necessities.</w:t>
      </w:r>
      <w:r w:rsidRPr="00CD52EE">
        <w:rPr>
          <w:rFonts w:ascii="Cambria" w:hAnsi="Cambria"/>
          <w:sz w:val="18"/>
          <w:szCs w:val="18"/>
          <w:vertAlign w:val="superscript"/>
        </w:rPr>
        <w:footnoteReference w:id="107"/>
      </w:r>
    </w:p>
    <w:p w14:paraId="0C55E1AA" w14:textId="77777777" w:rsidR="00B7194C" w:rsidRPr="00CD52EE" w:rsidRDefault="00B7194C" w:rsidP="00B719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right="720"/>
        <w:jc w:val="both"/>
        <w:rPr>
          <w:rFonts w:ascii="Cambria" w:hAnsi="Cambria"/>
          <w:bCs/>
          <w:sz w:val="20"/>
          <w:szCs w:val="20"/>
        </w:rPr>
      </w:pPr>
    </w:p>
    <w:p w14:paraId="55BEDCD2" w14:textId="77777777" w:rsidR="00B7194C" w:rsidRPr="00CD52EE" w:rsidRDefault="00B7194C" w:rsidP="00E43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In the case of </w:t>
      </w:r>
      <w:r w:rsidR="00FA3018" w:rsidRPr="00CD52EE">
        <w:rPr>
          <w:rFonts w:asciiTheme="majorHAnsi" w:eastAsia="Times New Roman" w:hAnsiTheme="majorHAnsi"/>
          <w:i/>
          <w:iCs/>
          <w:sz w:val="20"/>
          <w:szCs w:val="20"/>
        </w:rPr>
        <w:t xml:space="preserve">Soering vs. </w:t>
      </w:r>
      <w:r w:rsidRPr="00CD52EE">
        <w:rPr>
          <w:rFonts w:asciiTheme="majorHAnsi" w:eastAsia="Times New Roman" w:hAnsiTheme="majorHAnsi"/>
          <w:i/>
          <w:iCs/>
          <w:sz w:val="20"/>
          <w:szCs w:val="20"/>
        </w:rPr>
        <w:t>The United Kingdom</w:t>
      </w:r>
      <w:r w:rsidRPr="00CD52EE">
        <w:rPr>
          <w:rFonts w:asciiTheme="majorHAnsi" w:eastAsia="Times New Roman" w:hAnsiTheme="majorHAnsi"/>
          <w:sz w:val="20"/>
          <w:szCs w:val="20"/>
        </w:rPr>
        <w:t>, the European Court of Human Rights, in its interpretation of the norm banning cruel, inhuman, and unusual punishment and in reference to the death penalty, pointed out that:</w:t>
      </w:r>
      <w:r w:rsidRPr="00CD52EE">
        <w:rPr>
          <w:rFonts w:asciiTheme="majorHAnsi" w:eastAsia="Times New Roman" w:hAnsiTheme="majorHAnsi"/>
          <w:szCs w:val="20"/>
        </w:rPr>
        <w:t xml:space="preserve"> </w:t>
      </w:r>
    </w:p>
    <w:p w14:paraId="162A489F" w14:textId="77777777" w:rsidR="00B7194C" w:rsidRPr="00CD52EE" w:rsidRDefault="00B7194C" w:rsidP="00B719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Pr>
      </w:pPr>
    </w:p>
    <w:p w14:paraId="6F30B78D" w14:textId="77777777" w:rsidR="00B7194C" w:rsidRPr="00CD52EE" w:rsidRDefault="00B7194C" w:rsidP="00E43FF8">
      <w:pPr>
        <w:pStyle w:val="ListParagraph"/>
        <w:ind w:left="360" w:right="360"/>
        <w:jc w:val="both"/>
        <w:rPr>
          <w:rStyle w:val="sb8d990e2"/>
          <w:rFonts w:ascii="Times New Roman" w:eastAsia="Arial Unicode MS" w:hAnsi="Times New Roman" w:cs="Times New Roman"/>
          <w:color w:val="auto"/>
          <w:lang w:eastAsia="en-US"/>
        </w:rPr>
      </w:pPr>
      <w:r w:rsidRPr="00CD52EE">
        <w:rPr>
          <w:rStyle w:val="sb8d990e2"/>
          <w:sz w:val="18"/>
          <w:szCs w:val="18"/>
        </w:rPr>
        <w:t>The manner in which it is imposed or executed, the personal circumstances of the condemned person and a disproportionality to the gravity of the crime committed, as well as the conditions of detention awaiting execution, are examples of factors capable of bringing the treatment or punishment received by the condemned person wi</w:t>
      </w:r>
      <w:r w:rsidR="00A11A36" w:rsidRPr="00CD52EE">
        <w:rPr>
          <w:rStyle w:val="sb8d990e2"/>
          <w:sz w:val="18"/>
          <w:szCs w:val="18"/>
        </w:rPr>
        <w:t>t</w:t>
      </w:r>
      <w:r w:rsidRPr="00CD52EE">
        <w:rPr>
          <w:rStyle w:val="sb8d990e2"/>
          <w:sz w:val="18"/>
          <w:szCs w:val="18"/>
        </w:rPr>
        <w:t>hin the proscription under Article 3.</w:t>
      </w:r>
      <w:r w:rsidRPr="00CD52EE">
        <w:rPr>
          <w:rStyle w:val="FootnoteReference"/>
          <w:sz w:val="18"/>
          <w:szCs w:val="18"/>
        </w:rPr>
        <w:t xml:space="preserve"> </w:t>
      </w:r>
      <w:r w:rsidRPr="00CD52EE">
        <w:rPr>
          <w:rStyle w:val="FootnoteReference"/>
          <w:sz w:val="18"/>
          <w:szCs w:val="18"/>
        </w:rPr>
        <w:footnoteReference w:id="108"/>
      </w:r>
      <w:r w:rsidRPr="00CD52EE">
        <w:rPr>
          <w:rStyle w:val="sb8d990e2"/>
          <w:sz w:val="18"/>
          <w:szCs w:val="18"/>
        </w:rPr>
        <w:t xml:space="preserve"> </w:t>
      </w:r>
    </w:p>
    <w:p w14:paraId="3AFE9A7A" w14:textId="77777777" w:rsidR="00B7194C" w:rsidRPr="00CD52EE" w:rsidRDefault="00B7194C" w:rsidP="00B7194C">
      <w:pPr>
        <w:pBdr>
          <w:top w:val="none" w:sz="0" w:space="0" w:color="auto"/>
          <w:left w:val="none" w:sz="0" w:space="0" w:color="auto"/>
          <w:bottom w:val="none" w:sz="0" w:space="0" w:color="auto"/>
          <w:right w:val="none" w:sz="0" w:space="0" w:color="auto"/>
          <w:between w:val="none" w:sz="0" w:space="0" w:color="auto"/>
          <w:bar w:val="none" w:sz="0" w:color="auto"/>
        </w:pBdr>
        <w:jc w:val="both"/>
        <w:rPr>
          <w:rStyle w:val="sb8d990e2"/>
          <w:rFonts w:ascii="Cambria" w:eastAsia="Cambria" w:hAnsi="Cambria" w:cs="Cambria"/>
          <w:color w:val="000000"/>
          <w:u w:color="000000"/>
          <w:lang w:eastAsia="es-ES"/>
        </w:rPr>
      </w:pPr>
    </w:p>
    <w:p w14:paraId="547916B5" w14:textId="77777777" w:rsidR="00B7194C" w:rsidRPr="00CD52EE" w:rsidRDefault="00B7194C" w:rsidP="00E43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The European Court found that  the  "death  row  phenomenon"  is  a  cruel,  inhuman  and  degrading  treatment, and is characterized by a prolonged period of detention while  awaiting execution, during which prisoners sentenced to death suffer  severe  mental  anxiety,  extreme psychological tension and trauma.</w:t>
      </w:r>
      <w:r w:rsidRPr="00CD52EE">
        <w:rPr>
          <w:rStyle w:val="FootnoteReference"/>
          <w:rFonts w:asciiTheme="majorHAnsi" w:hAnsiTheme="majorHAnsi"/>
          <w:sz w:val="20"/>
          <w:szCs w:val="20"/>
        </w:rPr>
        <w:footnoteReference w:id="109"/>
      </w:r>
    </w:p>
    <w:p w14:paraId="4468F62B" w14:textId="77777777" w:rsidR="00B7194C" w:rsidRPr="00CD52EE" w:rsidRDefault="00B7194C" w:rsidP="004E1A6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09B8B65A" w14:textId="77777777" w:rsidR="00B7194C" w:rsidRPr="00CD52EE" w:rsidRDefault="00B7194C" w:rsidP="00E43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The European Court was referring to an average of six to eight years on death row from imposition of the penalty to execution and it mentioned how proceedings and appeals subsequent to the imposition of the death penalty themselves have a bearing on the aforementioned wait time on death row. The court referenced the lapse of time between sentence and execution is inevitable however, the consequence is that the condemned prisoner has to endure for many years the conditions on death row and the anguish and mounting tension of living in the ever-present shadow of death.</w:t>
      </w:r>
      <w:r w:rsidRPr="00CD52EE">
        <w:rPr>
          <w:rFonts w:ascii="Cambria" w:hAnsi="Cambria"/>
          <w:sz w:val="20"/>
          <w:vertAlign w:val="superscript"/>
        </w:rPr>
        <w:footnoteReference w:id="110"/>
      </w:r>
    </w:p>
    <w:p w14:paraId="0E384F4C" w14:textId="77777777" w:rsidR="00B7194C" w:rsidRPr="00CD52EE" w:rsidRDefault="00B7194C" w:rsidP="004E1A6C">
      <w:pPr>
        <w:pStyle w:val="ListParagraph"/>
        <w:tabs>
          <w:tab w:val="left" w:pos="360"/>
        </w:tabs>
        <w:rPr>
          <w:sz w:val="20"/>
        </w:rPr>
      </w:pPr>
    </w:p>
    <w:p w14:paraId="2146DDB8" w14:textId="77777777" w:rsidR="00B7194C" w:rsidRPr="00CD52EE" w:rsidRDefault="00B7194C" w:rsidP="00E43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The court further recognized that some element of delay between imposition and execution of the sentence and the experience of severe stress in conditions necessary for strict incarceration are inevitable and considered elements like, the very long period of time spent on death row in such extreme conditions, with the ever present and mounting anguish of awaiting execution of the death penalty, which brought the delay into the realm of exposed real risk of treatment going beyond the threshold set by Article 3.</w:t>
      </w:r>
      <w:r w:rsidRPr="00CD52EE">
        <w:rPr>
          <w:rFonts w:ascii="Cambria" w:hAnsi="Cambria"/>
          <w:sz w:val="20"/>
          <w:vertAlign w:val="superscript"/>
        </w:rPr>
        <w:footnoteReference w:id="111"/>
      </w:r>
    </w:p>
    <w:p w14:paraId="36B49DC8" w14:textId="77777777" w:rsidR="00B7194C" w:rsidRPr="00CD52EE" w:rsidRDefault="00B7194C" w:rsidP="004E1A6C">
      <w:pPr>
        <w:pStyle w:val="ListParagraph"/>
        <w:tabs>
          <w:tab w:val="left" w:pos="360"/>
        </w:tabs>
        <w:rPr>
          <w:sz w:val="20"/>
        </w:rPr>
      </w:pPr>
    </w:p>
    <w:p w14:paraId="4A15D580" w14:textId="77777777" w:rsidR="00B7194C" w:rsidRPr="00CD52EE" w:rsidRDefault="00B7194C" w:rsidP="00E43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Furthermore, in a comparative law context, the Commission notes that </w:t>
      </w:r>
      <w:r w:rsidR="00AA4F62" w:rsidRPr="00CD52EE">
        <w:rPr>
          <w:rFonts w:asciiTheme="majorHAnsi" w:eastAsia="Times New Roman" w:hAnsiTheme="majorHAnsi"/>
          <w:sz w:val="20"/>
          <w:szCs w:val="20"/>
        </w:rPr>
        <w:t xml:space="preserve">in the </w:t>
      </w:r>
      <w:r w:rsidR="00AA4F62" w:rsidRPr="00CD52EE">
        <w:rPr>
          <w:rFonts w:asciiTheme="majorHAnsi" w:eastAsia="Times New Roman" w:hAnsiTheme="majorHAnsi"/>
          <w:i/>
          <w:iCs/>
          <w:sz w:val="20"/>
          <w:szCs w:val="20"/>
        </w:rPr>
        <w:t>Pratt and Morgan v. Jamaica</w:t>
      </w:r>
      <w:r w:rsidR="00AA4F62" w:rsidRPr="00CD52EE">
        <w:rPr>
          <w:rFonts w:asciiTheme="majorHAnsi" w:eastAsia="Times New Roman" w:hAnsiTheme="majorHAnsi"/>
          <w:sz w:val="20"/>
          <w:szCs w:val="20"/>
        </w:rPr>
        <w:t xml:space="preserve"> case cited above </w:t>
      </w:r>
      <w:r w:rsidRPr="00CD52EE">
        <w:rPr>
          <w:rFonts w:asciiTheme="majorHAnsi" w:eastAsia="Times New Roman" w:hAnsiTheme="majorHAnsi"/>
          <w:sz w:val="20"/>
          <w:szCs w:val="20"/>
        </w:rPr>
        <w:t>the Privy Council considered</w:t>
      </w:r>
      <w:r w:rsidR="00E74179" w:rsidRPr="00CD52EE">
        <w:rPr>
          <w:rFonts w:asciiTheme="majorHAnsi" w:eastAsia="Times New Roman" w:hAnsiTheme="majorHAnsi"/>
          <w:sz w:val="20"/>
          <w:szCs w:val="20"/>
        </w:rPr>
        <w:t xml:space="preserve"> </w:t>
      </w:r>
      <w:r w:rsidRPr="00CD52EE">
        <w:rPr>
          <w:rFonts w:asciiTheme="majorHAnsi" w:eastAsia="Times New Roman" w:hAnsiTheme="majorHAnsi"/>
          <w:sz w:val="20"/>
          <w:szCs w:val="20"/>
        </w:rPr>
        <w:t xml:space="preserve">the issue of the death row phenomenon, </w:t>
      </w:r>
      <w:r w:rsidR="00AA4F62" w:rsidRPr="00CD52EE">
        <w:rPr>
          <w:rFonts w:asciiTheme="majorHAnsi" w:eastAsia="Times New Roman" w:hAnsiTheme="majorHAnsi"/>
          <w:sz w:val="20"/>
          <w:szCs w:val="20"/>
        </w:rPr>
        <w:t xml:space="preserve">and held </w:t>
      </w:r>
      <w:r w:rsidRPr="00CD52EE">
        <w:rPr>
          <w:rFonts w:asciiTheme="majorHAnsi" w:eastAsia="Times New Roman" w:hAnsiTheme="majorHAnsi"/>
          <w:sz w:val="20"/>
          <w:szCs w:val="20"/>
        </w:rPr>
        <w:t>that:</w:t>
      </w:r>
    </w:p>
    <w:p w14:paraId="42AC7328" w14:textId="77777777" w:rsidR="00B7194C" w:rsidRPr="00CD52EE" w:rsidRDefault="00B7194C" w:rsidP="00B719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rPr>
      </w:pPr>
    </w:p>
    <w:p w14:paraId="6CCA8F55" w14:textId="77777777" w:rsidR="00B7194C" w:rsidRPr="00CD52EE" w:rsidRDefault="00B7194C" w:rsidP="00E43F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CD52EE">
        <w:rPr>
          <w:rFonts w:ascii="Cambria" w:eastAsia="Calibri" w:hAnsi="Cambria"/>
          <w:sz w:val="18"/>
          <w:szCs w:val="18"/>
          <w:bdr w:val="none" w:sz="0" w:space="0" w:color="auto"/>
        </w:rPr>
        <w:t>In their Lordships' view a State that wishes to retain capital punishment must accept the responsibility of ensuring that execution follows as swiftly as practicable after sentence, allowing a reasonable time for appeal and consideration of reprieve. It is part of the human condition that a condemned man will take every opportunity to save his life through use of the appellate procedure. If the appellate procedure enables the prisoner to prolong the appellate hearings over a period of years, the fault is to be attributed to the appellate system that permits such delay and not to the prisoner who takes advantage of it. Appellate procedures that echo down the years are not compatible with capital punishment. The death row phenomenon must not become established as a part of our jurisprudence.</w:t>
      </w:r>
    </w:p>
    <w:p w14:paraId="31E9ACDC" w14:textId="77777777" w:rsidR="00B7194C" w:rsidRPr="00CD52EE" w:rsidRDefault="00B7194C" w:rsidP="00E43F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CD52EE">
        <w:rPr>
          <w:rFonts w:ascii="Cambria" w:eastAsia="Calibri" w:hAnsi="Cambria"/>
          <w:sz w:val="18"/>
          <w:szCs w:val="18"/>
          <w:bdr w:val="none" w:sz="0" w:space="0" w:color="auto"/>
        </w:rPr>
        <w:t>(…)</w:t>
      </w:r>
    </w:p>
    <w:p w14:paraId="6C994CDC" w14:textId="77777777" w:rsidR="00B7194C" w:rsidRPr="00CD52EE" w:rsidRDefault="00B7194C" w:rsidP="00E43FF8">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libri" w:hAnsi="Cambria"/>
          <w:sz w:val="18"/>
          <w:szCs w:val="18"/>
          <w:bdr w:val="none" w:sz="0" w:space="0" w:color="auto"/>
        </w:rPr>
      </w:pPr>
      <w:r w:rsidRPr="00CD52EE">
        <w:rPr>
          <w:rFonts w:ascii="Cambria" w:eastAsia="Calibri" w:hAnsi="Cambria"/>
          <w:sz w:val="18"/>
          <w:szCs w:val="18"/>
          <w:bdr w:val="none" w:sz="0" w:space="0" w:color="auto"/>
        </w:rPr>
        <w:t>These considerations lead their Lordships to the conclusion that in any case in which execution is to take place more than five years after sentence there will be strong grounds for believing that the delay is such as to constitute "inhuman or degrading punishment or other treatment</w:t>
      </w:r>
      <w:r w:rsidR="00AD4219" w:rsidRPr="00CD52EE">
        <w:rPr>
          <w:rFonts w:ascii="Cambria" w:eastAsia="Calibri" w:hAnsi="Cambria"/>
          <w:sz w:val="18"/>
          <w:szCs w:val="18"/>
          <w:bdr w:val="none" w:sz="0" w:space="0" w:color="auto"/>
        </w:rPr>
        <w:t>.</w:t>
      </w:r>
      <w:r w:rsidRPr="00CD52EE">
        <w:rPr>
          <w:rFonts w:ascii="Cambria" w:eastAsia="Calibri" w:hAnsi="Cambria"/>
          <w:sz w:val="18"/>
          <w:szCs w:val="18"/>
          <w:bdr w:val="none" w:sz="0" w:space="0" w:color="auto"/>
        </w:rPr>
        <w:t>"</w:t>
      </w:r>
      <w:r w:rsidRPr="00CD52EE">
        <w:rPr>
          <w:rFonts w:ascii="Cambria" w:eastAsia="Calibri" w:hAnsi="Cambria"/>
          <w:sz w:val="18"/>
          <w:szCs w:val="18"/>
          <w:bdr w:val="none" w:sz="0" w:space="0" w:color="auto"/>
          <w:vertAlign w:val="superscript"/>
        </w:rPr>
        <w:footnoteReference w:id="112"/>
      </w:r>
    </w:p>
    <w:p w14:paraId="50268510" w14:textId="77777777" w:rsidR="00B7194C" w:rsidRPr="00CD52EE" w:rsidRDefault="00B7194C" w:rsidP="00B7194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2"/>
          <w:bdr w:val="none" w:sz="0" w:space="0" w:color="auto"/>
        </w:rPr>
      </w:pPr>
    </w:p>
    <w:p w14:paraId="70CB9B70" w14:textId="77777777" w:rsidR="00B7194C" w:rsidRPr="00CD52EE" w:rsidRDefault="00B7194C" w:rsidP="00E521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In the same vein, the Supreme Court of Uganda considered in 2009 that "to execute a person after a delay of three years in conditions that were not acceptable by Ugandan standards would amount to cruel, inhuman </w:t>
      </w:r>
      <w:r w:rsidRPr="00CD52EE">
        <w:rPr>
          <w:rFonts w:asciiTheme="majorHAnsi" w:eastAsia="Times New Roman" w:hAnsiTheme="majorHAnsi"/>
          <w:sz w:val="20"/>
          <w:szCs w:val="20"/>
        </w:rPr>
        <w:lastRenderedPageBreak/>
        <w:t>punishment.”</w:t>
      </w:r>
      <w:r w:rsidRPr="00CD52EE">
        <w:rPr>
          <w:rFonts w:ascii="Cambria" w:hAnsi="Cambria"/>
          <w:sz w:val="20"/>
          <w:vertAlign w:val="superscript"/>
        </w:rPr>
        <w:footnoteReference w:id="113"/>
      </w:r>
      <w:r w:rsidRPr="00CD52EE">
        <w:rPr>
          <w:rFonts w:ascii="Cambria" w:hAnsi="Cambria"/>
          <w:sz w:val="20"/>
          <w:vertAlign w:val="superscript"/>
        </w:rPr>
        <w:t xml:space="preserve"> </w:t>
      </w:r>
      <w:r w:rsidRPr="00CD52EE">
        <w:rPr>
          <w:rFonts w:asciiTheme="majorHAnsi" w:eastAsia="Times New Roman" w:hAnsiTheme="majorHAnsi"/>
          <w:sz w:val="20"/>
          <w:szCs w:val="20"/>
        </w:rPr>
        <w:t xml:space="preserve">For its part, the Supreme Court of Zimbabwe has pointed out since 1993 that </w:t>
      </w:r>
      <w:r w:rsidR="00B1183D" w:rsidRPr="00CD52EE">
        <w:rPr>
          <w:rFonts w:asciiTheme="majorHAnsi" w:eastAsia="Times New Roman" w:hAnsiTheme="majorHAnsi"/>
          <w:sz w:val="20"/>
          <w:szCs w:val="20"/>
        </w:rPr>
        <w:t>“</w:t>
      </w:r>
      <w:r w:rsidRPr="00CD52EE">
        <w:rPr>
          <w:rFonts w:asciiTheme="majorHAnsi" w:eastAsia="Times New Roman" w:hAnsiTheme="majorHAnsi"/>
          <w:sz w:val="20"/>
          <w:szCs w:val="20"/>
        </w:rPr>
        <w:t>having regard to judicial and academic consensus concerning the death row phenomenon, the prolonged delays and the harsh conditions of incarceration, a sufficient degree of seriousness had been attained to entitle the applicant to invoke the protection concerning the prohibition of torture and inhuman or degrading punishment.</w:t>
      </w:r>
      <w:r w:rsidR="00B1183D" w:rsidRPr="00CD52EE">
        <w:rPr>
          <w:rFonts w:asciiTheme="majorHAnsi" w:eastAsia="Times New Roman" w:hAnsiTheme="majorHAnsi"/>
          <w:sz w:val="20"/>
          <w:szCs w:val="20"/>
        </w:rPr>
        <w:t>”</w:t>
      </w:r>
      <w:r w:rsidRPr="00CD52EE">
        <w:rPr>
          <w:rFonts w:asciiTheme="majorHAnsi" w:eastAsia="Times New Roman" w:hAnsiTheme="majorHAnsi"/>
          <w:sz w:val="20"/>
          <w:szCs w:val="20"/>
        </w:rPr>
        <w:t xml:space="preserve"> That Supreme Court maintained that </w:t>
      </w:r>
      <w:r w:rsidR="00B1183D" w:rsidRPr="00CD52EE">
        <w:rPr>
          <w:rFonts w:asciiTheme="majorHAnsi" w:eastAsia="Times New Roman" w:hAnsiTheme="majorHAnsi"/>
          <w:sz w:val="20"/>
          <w:szCs w:val="20"/>
        </w:rPr>
        <w:t>“</w:t>
      </w:r>
      <w:r w:rsidRPr="00CD52EE">
        <w:rPr>
          <w:rFonts w:asciiTheme="majorHAnsi" w:eastAsia="Times New Roman" w:hAnsiTheme="majorHAnsi"/>
          <w:sz w:val="20"/>
          <w:szCs w:val="20"/>
        </w:rPr>
        <w:t>52 and 72 months, respectively, on death row constituted a violation of the prohibition of torture and would render an actual execution unconstitutional.</w:t>
      </w:r>
      <w:r w:rsidR="00B1183D" w:rsidRPr="00CD52EE">
        <w:rPr>
          <w:rFonts w:asciiTheme="majorHAnsi" w:eastAsia="Times New Roman" w:hAnsiTheme="majorHAnsi"/>
          <w:sz w:val="20"/>
          <w:szCs w:val="20"/>
        </w:rPr>
        <w:t>”</w:t>
      </w:r>
      <w:r w:rsidRPr="00CD52EE">
        <w:rPr>
          <w:rFonts w:ascii="Cambria" w:hAnsi="Cambria"/>
          <w:sz w:val="20"/>
          <w:vertAlign w:val="superscript"/>
        </w:rPr>
        <w:footnoteReference w:id="114"/>
      </w:r>
      <w:r w:rsidRPr="00CD52EE">
        <w:rPr>
          <w:rFonts w:ascii="Cambria" w:hAnsi="Cambria"/>
          <w:sz w:val="20"/>
          <w:vertAlign w:val="superscript"/>
        </w:rPr>
        <w:t xml:space="preserve"> </w:t>
      </w:r>
    </w:p>
    <w:p w14:paraId="4E1715B7" w14:textId="77777777" w:rsidR="00B7194C" w:rsidRPr="00CD52EE" w:rsidRDefault="00B7194C" w:rsidP="009E0D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66A8FB66" w14:textId="77777777" w:rsidR="006A4F4B" w:rsidRPr="00CD52EE" w:rsidRDefault="006A4F4B" w:rsidP="009149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The petitioners submit that the inherent cruelty of the mandatory death penalty is aggravated by the prison conditions on death row, given the restrictive regime for death row inmates and in particular close confinement, lack of exercise and the absence of facilities</w:t>
      </w:r>
      <w:r w:rsidR="00645C3D" w:rsidRPr="00CD52EE">
        <w:rPr>
          <w:rFonts w:asciiTheme="majorHAnsi" w:eastAsia="Times New Roman" w:hAnsiTheme="majorHAnsi"/>
          <w:sz w:val="20"/>
          <w:szCs w:val="20"/>
        </w:rPr>
        <w:t>.</w:t>
      </w:r>
      <w:r w:rsidRPr="00CD52EE">
        <w:rPr>
          <w:rFonts w:ascii="Cambria" w:hAnsi="Cambria"/>
          <w:sz w:val="20"/>
          <w:vertAlign w:val="superscript"/>
        </w:rPr>
        <w:footnoteReference w:id="115"/>
      </w:r>
    </w:p>
    <w:p w14:paraId="7BC163CC" w14:textId="77777777" w:rsidR="003526D3" w:rsidRPr="00CD52EE" w:rsidRDefault="003526D3" w:rsidP="00A13C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451E90F4" w14:textId="77777777" w:rsidR="00AD4219" w:rsidRPr="00CD52EE" w:rsidRDefault="00AD4219" w:rsidP="009149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The Commission notes that </w:t>
      </w:r>
      <w:r w:rsidR="00F11ACF" w:rsidRPr="00CD52EE">
        <w:rPr>
          <w:rFonts w:asciiTheme="majorHAnsi" w:eastAsia="Times New Roman" w:hAnsiTheme="majorHAnsi"/>
          <w:sz w:val="20"/>
          <w:szCs w:val="20"/>
        </w:rPr>
        <w:t xml:space="preserve">Messrs. Dial and Dottin </w:t>
      </w:r>
      <w:r w:rsidRPr="00CD52EE">
        <w:rPr>
          <w:rFonts w:asciiTheme="majorHAnsi" w:eastAsia="Times New Roman" w:hAnsiTheme="majorHAnsi"/>
          <w:sz w:val="20"/>
          <w:szCs w:val="20"/>
        </w:rPr>
        <w:t xml:space="preserve">were on death row from 1997 </w:t>
      </w:r>
      <w:r w:rsidR="0039600B" w:rsidRPr="00CD52EE">
        <w:rPr>
          <w:rFonts w:asciiTheme="majorHAnsi" w:eastAsia="Times New Roman" w:hAnsiTheme="majorHAnsi"/>
          <w:sz w:val="20"/>
          <w:szCs w:val="20"/>
        </w:rPr>
        <w:t>to</w:t>
      </w:r>
      <w:r w:rsidRPr="00CD52EE">
        <w:rPr>
          <w:rFonts w:asciiTheme="majorHAnsi" w:eastAsia="Times New Roman" w:hAnsiTheme="majorHAnsi"/>
          <w:sz w:val="20"/>
          <w:szCs w:val="20"/>
        </w:rPr>
        <w:t xml:space="preserve"> August</w:t>
      </w:r>
      <w:r w:rsidR="0039600B" w:rsidRPr="00CD52EE">
        <w:rPr>
          <w:rFonts w:asciiTheme="majorHAnsi" w:eastAsia="Times New Roman" w:hAnsiTheme="majorHAnsi"/>
          <w:sz w:val="20"/>
          <w:szCs w:val="20"/>
        </w:rPr>
        <w:t>,</w:t>
      </w:r>
      <w:r w:rsidRPr="00CD52EE">
        <w:rPr>
          <w:rFonts w:asciiTheme="majorHAnsi" w:eastAsia="Times New Roman" w:hAnsiTheme="majorHAnsi"/>
          <w:sz w:val="20"/>
          <w:szCs w:val="20"/>
        </w:rPr>
        <w:t xml:space="preserve"> 2008. The victims were therefore on death row for nearly eleven years, a period the </w:t>
      </w:r>
      <w:r w:rsidR="0039600B" w:rsidRPr="00CD52EE">
        <w:rPr>
          <w:rFonts w:asciiTheme="majorHAnsi" w:eastAsia="Times New Roman" w:hAnsiTheme="majorHAnsi"/>
          <w:sz w:val="20"/>
          <w:szCs w:val="20"/>
        </w:rPr>
        <w:t xml:space="preserve">Commission considers constitutes </w:t>
      </w:r>
      <w:r w:rsidRPr="00CD52EE">
        <w:rPr>
          <w:rFonts w:asciiTheme="majorHAnsi" w:eastAsia="Times New Roman" w:hAnsiTheme="majorHAnsi"/>
          <w:sz w:val="20"/>
          <w:szCs w:val="20"/>
        </w:rPr>
        <w:t>inhumane treatment</w:t>
      </w:r>
      <w:r w:rsidR="00506AE7" w:rsidRPr="00CD52EE">
        <w:rPr>
          <w:rFonts w:asciiTheme="majorHAnsi" w:eastAsia="Times New Roman" w:hAnsiTheme="majorHAnsi"/>
          <w:sz w:val="20"/>
          <w:szCs w:val="20"/>
        </w:rPr>
        <w:t xml:space="preserve"> and therefore violates the rights protected under Articles XXV and XXVI of the American Declaration</w:t>
      </w:r>
      <w:r w:rsidRPr="00CD52EE">
        <w:rPr>
          <w:rFonts w:asciiTheme="majorHAnsi" w:eastAsia="Times New Roman" w:hAnsiTheme="majorHAnsi"/>
          <w:sz w:val="20"/>
          <w:szCs w:val="20"/>
        </w:rPr>
        <w:t>.</w:t>
      </w:r>
      <w:r w:rsidR="00BC327E" w:rsidRPr="00CD52EE">
        <w:rPr>
          <w:rFonts w:asciiTheme="majorHAnsi" w:eastAsia="Times New Roman" w:hAnsiTheme="majorHAnsi"/>
          <w:sz w:val="20"/>
          <w:szCs w:val="20"/>
        </w:rPr>
        <w:t xml:space="preserve">  </w:t>
      </w:r>
    </w:p>
    <w:p w14:paraId="40ABC69E" w14:textId="77777777" w:rsidR="00152A34" w:rsidRPr="00CD52EE" w:rsidRDefault="00152A34" w:rsidP="00A13C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18EF7D68" w14:textId="77777777" w:rsidR="00106789" w:rsidRPr="00CD52EE" w:rsidRDefault="00A13CAC">
      <w:pPr>
        <w:pStyle w:val="Heading2"/>
        <w:numPr>
          <w:ilvl w:val="1"/>
          <w:numId w:val="63"/>
        </w:numPr>
        <w:tabs>
          <w:tab w:val="left" w:pos="360"/>
        </w:tabs>
        <w:spacing w:before="0"/>
        <w:ind w:left="0" w:firstLine="0"/>
        <w:rPr>
          <w:rFonts w:eastAsia="Arial Unicode MS"/>
          <w:color w:val="auto"/>
          <w:sz w:val="20"/>
          <w:szCs w:val="20"/>
        </w:rPr>
      </w:pPr>
      <w:bookmarkStart w:id="32" w:name="_Toc54798095"/>
      <w:r w:rsidRPr="00CD52EE">
        <w:rPr>
          <w:color w:val="auto"/>
          <w:sz w:val="20"/>
          <w:szCs w:val="20"/>
        </w:rPr>
        <w:t>Conditions on Death Row</w:t>
      </w:r>
      <w:r w:rsidRPr="00CD52EE">
        <w:rPr>
          <w:rStyle w:val="FootnoteReference"/>
          <w:rFonts w:eastAsia="Arial Unicode MS"/>
          <w:color w:val="auto"/>
          <w:sz w:val="20"/>
          <w:szCs w:val="20"/>
        </w:rPr>
        <w:footnoteReference w:id="116"/>
      </w:r>
      <w:bookmarkEnd w:id="32"/>
      <w:r w:rsidRPr="00CD52EE">
        <w:rPr>
          <w:rFonts w:eastAsia="Arial Unicode MS"/>
          <w:color w:val="auto"/>
          <w:sz w:val="20"/>
          <w:szCs w:val="20"/>
        </w:rPr>
        <w:t xml:space="preserve">  </w:t>
      </w:r>
    </w:p>
    <w:p w14:paraId="36AAC8BD" w14:textId="77777777" w:rsidR="003526D3" w:rsidRPr="00CD52EE" w:rsidRDefault="00616FCC" w:rsidP="003526D3">
      <w:pPr>
        <w:rPr>
          <w:rFonts w:asciiTheme="majorHAnsi" w:hAnsiTheme="majorHAnsi"/>
          <w:sz w:val="20"/>
          <w:szCs w:val="20"/>
        </w:rPr>
      </w:pPr>
      <w:r w:rsidRPr="00CD52EE">
        <w:rPr>
          <w:rFonts w:asciiTheme="majorHAnsi" w:hAnsiTheme="majorHAnsi"/>
          <w:sz w:val="20"/>
          <w:szCs w:val="20"/>
        </w:rPr>
        <w:t xml:space="preserve"> </w:t>
      </w:r>
    </w:p>
    <w:p w14:paraId="50E3B8DA" w14:textId="77777777" w:rsidR="00BA1E70" w:rsidRPr="00CD52EE" w:rsidRDefault="00124D0C" w:rsidP="008504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In the Case of Hilaire, Constantine and Benjamin et al., the Inter-American Court received expert reports about the conditions in Trinidad and Tobago</w:t>
      </w:r>
      <w:r w:rsidR="001F5944" w:rsidRPr="00CD52EE">
        <w:rPr>
          <w:rFonts w:asciiTheme="majorHAnsi" w:hAnsiTheme="majorHAnsi"/>
          <w:sz w:val="20"/>
          <w:bdr w:val="none" w:sz="0" w:space="0" w:color="auto"/>
        </w:rPr>
        <w:t>’</w:t>
      </w:r>
      <w:r w:rsidR="001F5944" w:rsidRPr="00CD52EE">
        <w:rPr>
          <w:rFonts w:asciiTheme="majorHAnsi" w:eastAsia="Times New Roman" w:hAnsiTheme="majorHAnsi"/>
          <w:sz w:val="20"/>
          <w:szCs w:val="20"/>
        </w:rPr>
        <w:t>s prisons</w:t>
      </w:r>
      <w:r w:rsidRPr="00CD52EE">
        <w:rPr>
          <w:rFonts w:asciiTheme="majorHAnsi" w:eastAsia="Times New Roman" w:hAnsiTheme="majorHAnsi"/>
          <w:sz w:val="20"/>
          <w:szCs w:val="20"/>
        </w:rPr>
        <w:t xml:space="preserve">, </w:t>
      </w:r>
      <w:r w:rsidR="00E23BE8" w:rsidRPr="00CD52EE">
        <w:rPr>
          <w:rFonts w:asciiTheme="majorHAnsi" w:eastAsia="Times New Roman" w:hAnsiTheme="majorHAnsi"/>
          <w:sz w:val="20"/>
          <w:szCs w:val="20"/>
        </w:rPr>
        <w:t xml:space="preserve">including conditions on death row at the State </w:t>
      </w:r>
      <w:r w:rsidR="006A62C0" w:rsidRPr="00CD52EE">
        <w:rPr>
          <w:rFonts w:asciiTheme="majorHAnsi" w:eastAsia="Times New Roman" w:hAnsiTheme="majorHAnsi"/>
          <w:sz w:val="20"/>
          <w:szCs w:val="20"/>
        </w:rPr>
        <w:t>prison</w:t>
      </w:r>
      <w:r w:rsidR="00A97EAA" w:rsidRPr="00CD52EE">
        <w:rPr>
          <w:rFonts w:asciiTheme="majorHAnsi" w:eastAsia="Times New Roman" w:hAnsiTheme="majorHAnsi"/>
          <w:sz w:val="20"/>
          <w:szCs w:val="20"/>
        </w:rPr>
        <w:t>, where Messrs. Dial and Dottin were detained while on death row</w:t>
      </w:r>
      <w:r w:rsidR="006A62C0" w:rsidRPr="00CD52EE">
        <w:rPr>
          <w:rFonts w:asciiTheme="majorHAnsi" w:eastAsia="Times New Roman" w:hAnsiTheme="majorHAnsi"/>
          <w:sz w:val="20"/>
          <w:szCs w:val="20"/>
        </w:rPr>
        <w:t>.</w:t>
      </w:r>
      <w:r w:rsidR="00A97EAA" w:rsidRPr="00CD52EE">
        <w:rPr>
          <w:rFonts w:ascii="Cambria" w:hAnsi="Cambria"/>
          <w:sz w:val="20"/>
          <w:vertAlign w:val="superscript"/>
        </w:rPr>
        <w:footnoteReference w:id="117"/>
      </w:r>
      <w:r w:rsidR="006A62C0" w:rsidRPr="00CD52EE">
        <w:rPr>
          <w:rFonts w:asciiTheme="majorHAnsi" w:eastAsia="Times New Roman" w:hAnsiTheme="majorHAnsi"/>
          <w:sz w:val="20"/>
          <w:szCs w:val="20"/>
        </w:rPr>
        <w:t xml:space="preserve"> </w:t>
      </w:r>
      <w:r w:rsidR="003D6B25" w:rsidRPr="00CD52EE">
        <w:rPr>
          <w:rFonts w:asciiTheme="majorHAnsi" w:eastAsia="Times New Roman" w:hAnsiTheme="majorHAnsi"/>
          <w:sz w:val="20"/>
          <w:szCs w:val="20"/>
        </w:rPr>
        <w:t>In its judgment, the Court noted that, according to an expert report “</w:t>
      </w:r>
      <w:r w:rsidR="00BA1E70" w:rsidRPr="00CD52EE">
        <w:rPr>
          <w:rFonts w:asciiTheme="majorHAnsi" w:eastAsia="Times New Roman" w:hAnsiTheme="majorHAnsi"/>
          <w:sz w:val="20"/>
          <w:szCs w:val="20"/>
        </w:rPr>
        <w:t>the procedures leading up to the death by hanging of those convicted of murder terrorize and depress the prisoners; others cannot sleep due to nightmares, much less eat</w:t>
      </w:r>
      <w:r w:rsidR="003D6B25" w:rsidRPr="00CD52EE">
        <w:rPr>
          <w:rFonts w:asciiTheme="majorHAnsi" w:eastAsia="Times New Roman" w:hAnsiTheme="majorHAnsi"/>
          <w:sz w:val="20"/>
          <w:szCs w:val="20"/>
        </w:rPr>
        <w:t>.”</w:t>
      </w:r>
      <w:r w:rsidR="003D6B25" w:rsidRPr="00CD52EE">
        <w:rPr>
          <w:rFonts w:ascii="Cambria" w:hAnsi="Cambria"/>
          <w:sz w:val="20"/>
          <w:vertAlign w:val="superscript"/>
        </w:rPr>
        <w:footnoteReference w:id="118"/>
      </w:r>
      <w:r w:rsidR="00BA1E70" w:rsidRPr="00CD52EE">
        <w:rPr>
          <w:rFonts w:asciiTheme="majorHAnsi" w:eastAsia="Times New Roman" w:hAnsiTheme="majorHAnsi"/>
          <w:sz w:val="20"/>
          <w:szCs w:val="20"/>
        </w:rPr>
        <w:t xml:space="preserve"> After considering the expert testimony offered on the subject, the Court f</w:t>
      </w:r>
      <w:r w:rsidR="003D6B25" w:rsidRPr="00CD52EE">
        <w:rPr>
          <w:rFonts w:asciiTheme="majorHAnsi" w:eastAsia="Times New Roman" w:hAnsiTheme="majorHAnsi"/>
          <w:sz w:val="20"/>
          <w:szCs w:val="20"/>
        </w:rPr>
        <w:t>ound</w:t>
      </w:r>
      <w:r w:rsidR="00BA1E70" w:rsidRPr="00CD52EE">
        <w:rPr>
          <w:rFonts w:asciiTheme="majorHAnsi" w:eastAsia="Times New Roman" w:hAnsiTheme="majorHAnsi"/>
          <w:sz w:val="20"/>
          <w:szCs w:val="20"/>
        </w:rPr>
        <w:t xml:space="preserve"> that the detention conditions compel</w:t>
      </w:r>
      <w:r w:rsidR="003D6B25" w:rsidRPr="00CD52EE">
        <w:rPr>
          <w:rFonts w:asciiTheme="majorHAnsi" w:eastAsia="Times New Roman" w:hAnsiTheme="majorHAnsi"/>
          <w:sz w:val="20"/>
          <w:szCs w:val="20"/>
        </w:rPr>
        <w:t>led</w:t>
      </w:r>
      <w:r w:rsidR="00BA1E70" w:rsidRPr="00CD52EE">
        <w:rPr>
          <w:rFonts w:asciiTheme="majorHAnsi" w:eastAsia="Times New Roman" w:hAnsiTheme="majorHAnsi"/>
          <w:sz w:val="20"/>
          <w:szCs w:val="20"/>
        </w:rPr>
        <w:t xml:space="preserve"> the victims to live under circumstances that impinge</w:t>
      </w:r>
      <w:r w:rsidR="003D6B25" w:rsidRPr="00CD52EE">
        <w:rPr>
          <w:rFonts w:asciiTheme="majorHAnsi" w:eastAsia="Times New Roman" w:hAnsiTheme="majorHAnsi"/>
          <w:sz w:val="20"/>
          <w:szCs w:val="20"/>
        </w:rPr>
        <w:t>d</w:t>
      </w:r>
      <w:r w:rsidR="00BA1E70" w:rsidRPr="00CD52EE">
        <w:rPr>
          <w:rFonts w:asciiTheme="majorHAnsi" w:eastAsia="Times New Roman" w:hAnsiTheme="majorHAnsi"/>
          <w:sz w:val="20"/>
          <w:szCs w:val="20"/>
        </w:rPr>
        <w:t xml:space="preserve"> on their physical and psychological integrity and therefore constitute</w:t>
      </w:r>
      <w:r w:rsidR="003D6B25" w:rsidRPr="00CD52EE">
        <w:rPr>
          <w:rFonts w:asciiTheme="majorHAnsi" w:eastAsia="Times New Roman" w:hAnsiTheme="majorHAnsi"/>
          <w:sz w:val="20"/>
          <w:szCs w:val="20"/>
        </w:rPr>
        <w:t>d</w:t>
      </w:r>
      <w:r w:rsidR="00BA1E70" w:rsidRPr="00CD52EE">
        <w:rPr>
          <w:rFonts w:asciiTheme="majorHAnsi" w:eastAsia="Times New Roman" w:hAnsiTheme="majorHAnsi"/>
          <w:sz w:val="20"/>
          <w:szCs w:val="20"/>
        </w:rPr>
        <w:t xml:space="preserve"> cruel, inhuman and degrading treatment.</w:t>
      </w:r>
      <w:r w:rsidR="003D6B25" w:rsidRPr="00CD52EE">
        <w:rPr>
          <w:rFonts w:ascii="Cambria" w:hAnsi="Cambria"/>
          <w:sz w:val="20"/>
          <w:vertAlign w:val="superscript"/>
        </w:rPr>
        <w:footnoteReference w:id="119"/>
      </w:r>
      <w:r w:rsidR="00BA1E70" w:rsidRPr="00CD52EE">
        <w:rPr>
          <w:rFonts w:ascii="Cambria" w:hAnsi="Cambria"/>
          <w:sz w:val="20"/>
          <w:vertAlign w:val="superscript"/>
        </w:rPr>
        <w:t xml:space="preserve"> </w:t>
      </w:r>
    </w:p>
    <w:p w14:paraId="4B3753E5" w14:textId="77777777" w:rsidR="00DF1521" w:rsidRPr="00CD52EE" w:rsidRDefault="00DF1521" w:rsidP="008504A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249A43B9" w14:textId="77777777" w:rsidR="00DE3D7A" w:rsidRPr="00CD52EE" w:rsidRDefault="00195C2E" w:rsidP="00BE28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According to the facts established </w:t>
      </w:r>
      <w:r w:rsidR="00DF1521" w:rsidRPr="00CD52EE">
        <w:rPr>
          <w:rFonts w:asciiTheme="majorHAnsi" w:eastAsia="Times New Roman" w:hAnsiTheme="majorHAnsi"/>
          <w:sz w:val="20"/>
          <w:szCs w:val="20"/>
        </w:rPr>
        <w:t>in this report</w:t>
      </w:r>
      <w:r w:rsidRPr="00CD52EE">
        <w:rPr>
          <w:rFonts w:asciiTheme="majorHAnsi" w:eastAsia="Times New Roman" w:hAnsiTheme="majorHAnsi"/>
          <w:sz w:val="20"/>
          <w:szCs w:val="20"/>
        </w:rPr>
        <w:t xml:space="preserve">, not contested by the State, </w:t>
      </w:r>
      <w:r w:rsidR="00616FCC" w:rsidRPr="00CD52EE">
        <w:rPr>
          <w:rFonts w:asciiTheme="majorHAnsi" w:eastAsia="Times New Roman" w:hAnsiTheme="majorHAnsi"/>
          <w:sz w:val="20"/>
          <w:szCs w:val="20"/>
        </w:rPr>
        <w:t xml:space="preserve">the victims were </w:t>
      </w:r>
      <w:r w:rsidRPr="00CD52EE">
        <w:rPr>
          <w:rFonts w:asciiTheme="majorHAnsi" w:eastAsia="Times New Roman" w:hAnsiTheme="majorHAnsi"/>
          <w:sz w:val="20"/>
          <w:szCs w:val="20"/>
        </w:rPr>
        <w:t xml:space="preserve">subject to the following </w:t>
      </w:r>
      <w:r w:rsidR="00DF1521" w:rsidRPr="00CD52EE">
        <w:rPr>
          <w:rFonts w:asciiTheme="majorHAnsi" w:eastAsia="Times New Roman" w:hAnsiTheme="majorHAnsi"/>
          <w:sz w:val="20"/>
          <w:szCs w:val="20"/>
        </w:rPr>
        <w:t xml:space="preserve">conditions of detention: deprivation </w:t>
      </w:r>
      <w:r w:rsidR="00616FCC" w:rsidRPr="00CD52EE">
        <w:rPr>
          <w:rFonts w:asciiTheme="majorHAnsi" w:eastAsia="Times New Roman" w:hAnsiTheme="majorHAnsi"/>
          <w:sz w:val="20"/>
          <w:szCs w:val="20"/>
        </w:rPr>
        <w:t>of daily exercise</w:t>
      </w:r>
      <w:r w:rsidR="00547832" w:rsidRPr="00CD52EE">
        <w:rPr>
          <w:rFonts w:asciiTheme="majorHAnsi" w:eastAsia="Times New Roman" w:hAnsiTheme="majorHAnsi"/>
          <w:sz w:val="20"/>
          <w:szCs w:val="20"/>
        </w:rPr>
        <w:t xml:space="preserve"> and of </w:t>
      </w:r>
      <w:r w:rsidR="00616FCC" w:rsidRPr="00CD52EE">
        <w:rPr>
          <w:rFonts w:asciiTheme="majorHAnsi" w:eastAsia="Times New Roman" w:hAnsiTheme="majorHAnsi"/>
          <w:sz w:val="20"/>
          <w:szCs w:val="20"/>
        </w:rPr>
        <w:t>regular fresh air</w:t>
      </w:r>
      <w:r w:rsidR="002F506A" w:rsidRPr="00CD52EE">
        <w:rPr>
          <w:rFonts w:asciiTheme="majorHAnsi" w:eastAsia="Times New Roman" w:hAnsiTheme="majorHAnsi"/>
          <w:sz w:val="20"/>
          <w:szCs w:val="20"/>
        </w:rPr>
        <w:t>;</w:t>
      </w:r>
      <w:r w:rsidR="00616FCC" w:rsidRPr="00CD52EE">
        <w:rPr>
          <w:rFonts w:asciiTheme="majorHAnsi" w:eastAsia="Times New Roman" w:hAnsiTheme="majorHAnsi"/>
          <w:sz w:val="20"/>
          <w:szCs w:val="20"/>
        </w:rPr>
        <w:t xml:space="preserve"> </w:t>
      </w:r>
      <w:r w:rsidR="00547832" w:rsidRPr="00CD52EE">
        <w:rPr>
          <w:rFonts w:asciiTheme="majorHAnsi" w:eastAsia="Times New Roman" w:hAnsiTheme="majorHAnsi"/>
          <w:sz w:val="20"/>
          <w:szCs w:val="20"/>
        </w:rPr>
        <w:t>no sanitation</w:t>
      </w:r>
      <w:r w:rsidR="002F506A" w:rsidRPr="00CD52EE">
        <w:rPr>
          <w:rFonts w:asciiTheme="majorHAnsi" w:eastAsia="Times New Roman" w:hAnsiTheme="majorHAnsi"/>
          <w:sz w:val="20"/>
          <w:szCs w:val="20"/>
        </w:rPr>
        <w:t>;</w:t>
      </w:r>
      <w:r w:rsidR="00547832" w:rsidRPr="00CD52EE">
        <w:rPr>
          <w:rFonts w:asciiTheme="majorHAnsi" w:eastAsia="Times New Roman" w:hAnsiTheme="majorHAnsi"/>
          <w:sz w:val="20"/>
          <w:szCs w:val="20"/>
        </w:rPr>
        <w:t xml:space="preserve"> n</w:t>
      </w:r>
      <w:r w:rsidR="00616FCC" w:rsidRPr="00CD52EE">
        <w:rPr>
          <w:rFonts w:asciiTheme="majorHAnsi" w:eastAsia="Times New Roman" w:hAnsiTheme="majorHAnsi"/>
          <w:sz w:val="20"/>
          <w:szCs w:val="20"/>
        </w:rPr>
        <w:t>o natural lighting</w:t>
      </w:r>
      <w:r w:rsidR="002F506A" w:rsidRPr="00CD52EE">
        <w:rPr>
          <w:rFonts w:asciiTheme="majorHAnsi" w:eastAsia="Times New Roman" w:hAnsiTheme="majorHAnsi"/>
          <w:sz w:val="20"/>
          <w:szCs w:val="20"/>
        </w:rPr>
        <w:t>;</w:t>
      </w:r>
      <w:r w:rsidR="00547832" w:rsidRPr="00CD52EE">
        <w:rPr>
          <w:rFonts w:asciiTheme="majorHAnsi" w:eastAsia="Times New Roman" w:hAnsiTheme="majorHAnsi"/>
          <w:sz w:val="20"/>
          <w:szCs w:val="20"/>
        </w:rPr>
        <w:t xml:space="preserve"> infestation of insects in the cells</w:t>
      </w:r>
      <w:r w:rsidR="002F506A" w:rsidRPr="00CD52EE">
        <w:rPr>
          <w:rFonts w:asciiTheme="majorHAnsi" w:eastAsia="Times New Roman" w:hAnsiTheme="majorHAnsi"/>
          <w:sz w:val="20"/>
          <w:szCs w:val="20"/>
        </w:rPr>
        <w:t>;</w:t>
      </w:r>
      <w:r w:rsidR="00616FCC" w:rsidRPr="00CD52EE">
        <w:rPr>
          <w:rFonts w:asciiTheme="majorHAnsi" w:eastAsia="Times New Roman" w:hAnsiTheme="majorHAnsi"/>
          <w:sz w:val="20"/>
          <w:szCs w:val="20"/>
        </w:rPr>
        <w:t xml:space="preserve"> </w:t>
      </w:r>
      <w:r w:rsidR="00547832" w:rsidRPr="00CD52EE">
        <w:rPr>
          <w:rFonts w:asciiTheme="majorHAnsi" w:eastAsia="Times New Roman" w:hAnsiTheme="majorHAnsi"/>
          <w:sz w:val="20"/>
          <w:szCs w:val="20"/>
        </w:rPr>
        <w:t xml:space="preserve">unacceptable levels of air pollution caused by </w:t>
      </w:r>
      <w:r w:rsidR="00616FCC" w:rsidRPr="00CD52EE">
        <w:rPr>
          <w:rFonts w:asciiTheme="majorHAnsi" w:eastAsia="Times New Roman" w:hAnsiTheme="majorHAnsi"/>
          <w:sz w:val="20"/>
          <w:szCs w:val="20"/>
        </w:rPr>
        <w:t>fumes from vehicles parked in the prison yard</w:t>
      </w:r>
      <w:r w:rsidR="00547832" w:rsidRPr="00CD52EE">
        <w:rPr>
          <w:rFonts w:asciiTheme="majorHAnsi" w:eastAsia="Times New Roman" w:hAnsiTheme="majorHAnsi"/>
          <w:sz w:val="20"/>
          <w:szCs w:val="20"/>
        </w:rPr>
        <w:t>; lack of basic hygienic</w:t>
      </w:r>
      <w:r w:rsidR="006B2BD9" w:rsidRPr="00CD52EE">
        <w:rPr>
          <w:rFonts w:asciiTheme="majorHAnsi" w:eastAsia="Times New Roman" w:hAnsiTheme="majorHAnsi"/>
          <w:sz w:val="20"/>
          <w:szCs w:val="20"/>
        </w:rPr>
        <w:t>; i</w:t>
      </w:r>
      <w:r w:rsidR="00616FCC" w:rsidRPr="00CD52EE">
        <w:rPr>
          <w:rFonts w:asciiTheme="majorHAnsi" w:eastAsia="Times New Roman" w:hAnsiTheme="majorHAnsi"/>
          <w:sz w:val="20"/>
          <w:szCs w:val="20"/>
        </w:rPr>
        <w:t>nadequate and almost inedible food</w:t>
      </w:r>
      <w:r w:rsidR="006B2BD9" w:rsidRPr="00CD52EE">
        <w:rPr>
          <w:rFonts w:asciiTheme="majorHAnsi" w:eastAsia="Times New Roman" w:hAnsiTheme="majorHAnsi"/>
          <w:sz w:val="20"/>
          <w:szCs w:val="20"/>
        </w:rPr>
        <w:t xml:space="preserve">; </w:t>
      </w:r>
      <w:r w:rsidR="002F506A" w:rsidRPr="00CD52EE">
        <w:rPr>
          <w:rFonts w:asciiTheme="majorHAnsi" w:eastAsia="Times New Roman" w:hAnsiTheme="majorHAnsi"/>
          <w:sz w:val="20"/>
          <w:szCs w:val="20"/>
        </w:rPr>
        <w:t xml:space="preserve">and </w:t>
      </w:r>
      <w:r w:rsidR="006B2BD9" w:rsidRPr="00CD52EE">
        <w:rPr>
          <w:rFonts w:asciiTheme="majorHAnsi" w:eastAsia="Times New Roman" w:hAnsiTheme="majorHAnsi"/>
          <w:sz w:val="20"/>
          <w:szCs w:val="20"/>
        </w:rPr>
        <w:t>r</w:t>
      </w:r>
      <w:r w:rsidR="00616FCC" w:rsidRPr="00CD52EE">
        <w:rPr>
          <w:rFonts w:asciiTheme="majorHAnsi" w:eastAsia="Times New Roman" w:hAnsiTheme="majorHAnsi"/>
          <w:sz w:val="20"/>
          <w:szCs w:val="20"/>
        </w:rPr>
        <w:t xml:space="preserve">estrictive diets imposed as punishment for breaches of prison discipline. </w:t>
      </w:r>
    </w:p>
    <w:p w14:paraId="4D24C747" w14:textId="77777777" w:rsidR="00DE3D7A" w:rsidRPr="00CD52EE" w:rsidRDefault="00DE3D7A" w:rsidP="008504A1">
      <w:pPr>
        <w:pStyle w:val="ListParagraph"/>
        <w:rPr>
          <w:rFonts w:asciiTheme="majorHAnsi" w:eastAsia="Times New Roman" w:hAnsiTheme="majorHAnsi"/>
          <w:sz w:val="20"/>
          <w:szCs w:val="20"/>
        </w:rPr>
      </w:pPr>
    </w:p>
    <w:p w14:paraId="16FDDC0B" w14:textId="77777777" w:rsidR="00616FCC" w:rsidRPr="00CD52EE" w:rsidRDefault="00DE3D7A" w:rsidP="00BE28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Further, according to the information provided, Mr. Dial </w:t>
      </w:r>
      <w:r w:rsidR="00B94124" w:rsidRPr="00CD52EE">
        <w:rPr>
          <w:rFonts w:asciiTheme="majorHAnsi" w:eastAsia="Times New Roman" w:hAnsiTheme="majorHAnsi"/>
          <w:sz w:val="20"/>
          <w:szCs w:val="20"/>
        </w:rPr>
        <w:t xml:space="preserve">was </w:t>
      </w:r>
      <w:r w:rsidRPr="00CD52EE">
        <w:rPr>
          <w:rFonts w:asciiTheme="majorHAnsi" w:eastAsia="Times New Roman" w:hAnsiTheme="majorHAnsi"/>
          <w:sz w:val="20"/>
          <w:szCs w:val="20"/>
        </w:rPr>
        <w:t xml:space="preserve">denied a special diet required to treat an ulcer, had not been taken to medical appointment since August 2005, and </w:t>
      </w:r>
      <w:r w:rsidR="00616FCC" w:rsidRPr="00CD52EE">
        <w:rPr>
          <w:rFonts w:asciiTheme="majorHAnsi" w:eastAsia="Times New Roman" w:hAnsiTheme="majorHAnsi"/>
          <w:sz w:val="20"/>
          <w:szCs w:val="20"/>
        </w:rPr>
        <w:t>experience</w:t>
      </w:r>
      <w:r w:rsidRPr="00CD52EE">
        <w:rPr>
          <w:rFonts w:asciiTheme="majorHAnsi" w:eastAsia="Times New Roman" w:hAnsiTheme="majorHAnsi"/>
          <w:sz w:val="20"/>
          <w:szCs w:val="20"/>
        </w:rPr>
        <w:t>d</w:t>
      </w:r>
      <w:r w:rsidR="00616FCC" w:rsidRPr="00CD52EE">
        <w:rPr>
          <w:rFonts w:asciiTheme="majorHAnsi" w:eastAsia="Times New Roman" w:hAnsiTheme="majorHAnsi"/>
          <w:sz w:val="20"/>
          <w:szCs w:val="20"/>
        </w:rPr>
        <w:t xml:space="preserve"> difficulties in obtaining prescription tablets for his condition via the prison superintendent.</w:t>
      </w:r>
    </w:p>
    <w:p w14:paraId="23EF3F08" w14:textId="77777777" w:rsidR="00BF1CF7" w:rsidRPr="00CD52EE" w:rsidRDefault="00BF1CF7" w:rsidP="008504A1">
      <w:pPr>
        <w:pStyle w:val="ListParagraph"/>
        <w:rPr>
          <w:rFonts w:asciiTheme="majorHAnsi" w:eastAsia="Times New Roman" w:hAnsiTheme="majorHAnsi"/>
          <w:sz w:val="20"/>
          <w:szCs w:val="20"/>
        </w:rPr>
      </w:pPr>
    </w:p>
    <w:p w14:paraId="2C51CFC1" w14:textId="77777777" w:rsidR="00616FCC" w:rsidRPr="00CD52EE" w:rsidRDefault="00616FCC" w:rsidP="008504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 xml:space="preserve">A comparison of the alleged victims’ prison conditions with international standards for the treatment of prisoners suggests that his treatment has failed to respect minimum requirements of humane treatment. In particular, Rules </w:t>
      </w:r>
      <w:r w:rsidR="00F20721">
        <w:rPr>
          <w:rFonts w:asciiTheme="majorHAnsi" w:eastAsia="Times New Roman" w:hAnsiTheme="majorHAnsi"/>
          <w:sz w:val="20"/>
          <w:szCs w:val="20"/>
        </w:rPr>
        <w:t>13, 14</w:t>
      </w:r>
      <w:r w:rsidRPr="00CD52EE">
        <w:rPr>
          <w:rFonts w:asciiTheme="majorHAnsi" w:eastAsia="Times New Roman" w:hAnsiTheme="majorHAnsi"/>
          <w:sz w:val="20"/>
          <w:szCs w:val="20"/>
        </w:rPr>
        <w:t>, 15,</w:t>
      </w:r>
      <w:r w:rsidR="00F20721">
        <w:rPr>
          <w:rFonts w:asciiTheme="majorHAnsi" w:eastAsia="Times New Roman" w:hAnsiTheme="majorHAnsi"/>
          <w:sz w:val="20"/>
          <w:szCs w:val="20"/>
        </w:rPr>
        <w:t xml:space="preserve"> 18</w:t>
      </w:r>
      <w:r w:rsidRPr="00CD52EE">
        <w:rPr>
          <w:rFonts w:asciiTheme="majorHAnsi" w:eastAsia="Times New Roman" w:hAnsiTheme="majorHAnsi"/>
          <w:sz w:val="20"/>
          <w:szCs w:val="20"/>
        </w:rPr>
        <w:t xml:space="preserve"> and 2</w:t>
      </w:r>
      <w:r w:rsidR="00F20721">
        <w:rPr>
          <w:rFonts w:asciiTheme="majorHAnsi" w:eastAsia="Times New Roman" w:hAnsiTheme="majorHAnsi"/>
          <w:sz w:val="20"/>
          <w:szCs w:val="20"/>
        </w:rPr>
        <w:t>3</w:t>
      </w:r>
      <w:r w:rsidRPr="00CD52EE">
        <w:rPr>
          <w:rFonts w:asciiTheme="majorHAnsi" w:eastAsia="Times New Roman" w:hAnsiTheme="majorHAnsi"/>
          <w:sz w:val="20"/>
          <w:szCs w:val="20"/>
        </w:rPr>
        <w:t xml:space="preserve"> of the United Nations Standard Minimum Rules for the Treatment of Prisoners,</w:t>
      </w:r>
      <w:r w:rsidRPr="00CD52EE">
        <w:rPr>
          <w:rFonts w:ascii="Cambria" w:hAnsi="Cambria"/>
          <w:sz w:val="20"/>
          <w:vertAlign w:val="superscript"/>
        </w:rPr>
        <w:footnoteReference w:id="120"/>
      </w:r>
      <w:r w:rsidRPr="00CD52EE">
        <w:rPr>
          <w:rFonts w:asciiTheme="majorHAnsi" w:eastAsia="Times New Roman" w:hAnsiTheme="majorHAnsi"/>
          <w:sz w:val="20"/>
          <w:szCs w:val="20"/>
        </w:rPr>
        <w:t xml:space="preserve"> which the Inter- American Commission has previously indicated provide reliable benchmarks as to minimum international standards for the humane treatment of prisoners, prescribe the following basic standards in respect of accommodation, hygiene, and exercise:</w:t>
      </w:r>
      <w:r w:rsidRPr="00CD52EE">
        <w:rPr>
          <w:rFonts w:ascii="Cambria" w:hAnsi="Cambria"/>
          <w:sz w:val="20"/>
          <w:vertAlign w:val="superscript"/>
        </w:rPr>
        <w:footnoteReference w:id="121"/>
      </w:r>
      <w:r w:rsidRPr="00CD52EE">
        <w:rPr>
          <w:rFonts w:ascii="Cambria" w:hAnsi="Cambria"/>
          <w:sz w:val="20"/>
          <w:vertAlign w:val="superscript"/>
        </w:rPr>
        <w:t xml:space="preserve"> </w:t>
      </w:r>
    </w:p>
    <w:p w14:paraId="599BDB48"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jc w:val="center"/>
        <w:rPr>
          <w:rFonts w:asciiTheme="majorHAnsi" w:hAnsiTheme="majorHAnsi"/>
          <w:sz w:val="20"/>
          <w:szCs w:val="20"/>
          <w:bdr w:val="none" w:sz="0" w:space="0" w:color="auto"/>
        </w:rPr>
      </w:pPr>
    </w:p>
    <w:p w14:paraId="4B382D86"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360" w:right="360"/>
        <w:jc w:val="both"/>
        <w:rPr>
          <w:rFonts w:asciiTheme="majorHAnsi" w:hAnsiTheme="majorHAnsi"/>
          <w:sz w:val="18"/>
          <w:szCs w:val="20"/>
          <w:bdr w:val="none" w:sz="0" w:space="0" w:color="auto"/>
        </w:rPr>
      </w:pPr>
      <w:r w:rsidRPr="00CD52EE">
        <w:rPr>
          <w:rFonts w:asciiTheme="majorHAnsi" w:hAnsiTheme="majorHAnsi"/>
          <w:sz w:val="18"/>
          <w:bdr w:val="none" w:sz="0" w:space="0" w:color="auto"/>
        </w:rPr>
        <w:t>1</w:t>
      </w:r>
      <w:r w:rsidR="00F20721">
        <w:rPr>
          <w:rFonts w:asciiTheme="majorHAnsi" w:hAnsiTheme="majorHAnsi"/>
          <w:sz w:val="18"/>
          <w:bdr w:val="none" w:sz="0" w:space="0" w:color="auto"/>
        </w:rPr>
        <w:t>3</w:t>
      </w:r>
      <w:r w:rsidRPr="00CD52EE">
        <w:rPr>
          <w:rFonts w:asciiTheme="majorHAnsi" w:hAnsiTheme="majorHAnsi"/>
          <w:sz w:val="18"/>
          <w:bdr w:val="none" w:sz="0" w:space="0" w:color="auto"/>
        </w:rPr>
        <w:t xml:space="preserve">. All accommodation provided for the use of prisoners and in particular all sleeping arrangements shall meet all requirements of health, due regard being paid to climactic conditions and particularly to cubic content of air, minimum floor space, lighting, heating and ventilation. </w:t>
      </w:r>
    </w:p>
    <w:p w14:paraId="45375BC0"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360" w:right="360"/>
        <w:jc w:val="both"/>
        <w:rPr>
          <w:rFonts w:asciiTheme="majorHAnsi" w:hAnsiTheme="majorHAnsi"/>
          <w:sz w:val="18"/>
          <w:szCs w:val="20"/>
          <w:bdr w:val="none" w:sz="0" w:space="0" w:color="auto"/>
        </w:rPr>
      </w:pPr>
      <w:r w:rsidRPr="00CD52EE">
        <w:rPr>
          <w:rFonts w:asciiTheme="majorHAnsi" w:hAnsiTheme="majorHAnsi"/>
          <w:sz w:val="18"/>
          <w:bdr w:val="none" w:sz="0" w:space="0" w:color="auto"/>
        </w:rPr>
        <w:t>1</w:t>
      </w:r>
      <w:r w:rsidR="00F20721">
        <w:rPr>
          <w:rFonts w:asciiTheme="majorHAnsi" w:hAnsiTheme="majorHAnsi"/>
          <w:sz w:val="18"/>
          <w:bdr w:val="none" w:sz="0" w:space="0" w:color="auto"/>
        </w:rPr>
        <w:t>4</w:t>
      </w:r>
      <w:r w:rsidRPr="00CD52EE">
        <w:rPr>
          <w:rFonts w:asciiTheme="majorHAnsi" w:hAnsiTheme="majorHAnsi"/>
          <w:sz w:val="18"/>
          <w:bdr w:val="none" w:sz="0" w:space="0" w:color="auto"/>
        </w:rPr>
        <w:t xml:space="preserve">. In all places where prisoners are required to live or work, </w:t>
      </w:r>
    </w:p>
    <w:p w14:paraId="77C7A811"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360" w:right="360"/>
        <w:jc w:val="both"/>
        <w:rPr>
          <w:rFonts w:asciiTheme="majorHAnsi" w:hAnsiTheme="majorHAnsi"/>
          <w:sz w:val="18"/>
          <w:szCs w:val="20"/>
          <w:bdr w:val="none" w:sz="0" w:space="0" w:color="auto"/>
        </w:rPr>
      </w:pPr>
      <w:r w:rsidRPr="00CD52EE">
        <w:rPr>
          <w:rFonts w:asciiTheme="majorHAnsi" w:hAnsiTheme="majorHAnsi"/>
          <w:sz w:val="18"/>
          <w:bdr w:val="none" w:sz="0" w:space="0" w:color="auto"/>
        </w:rPr>
        <w:t>(a) the windows shall be large enough to enable the prisoners to read or work by natural light, and shall be so constructed that they can allow the entrance of fresh air whether or not there is artificial ventilation;</w:t>
      </w:r>
      <w:r w:rsidRPr="00CD52EE">
        <w:rPr>
          <w:rFonts w:asciiTheme="majorHAnsi" w:hAnsiTheme="majorHAnsi"/>
          <w:sz w:val="18"/>
          <w:bdr w:val="none" w:sz="0" w:space="0" w:color="auto"/>
        </w:rPr>
        <w:br/>
        <w:t xml:space="preserve">(b) Artificial light shall be provided sufficient for the prisoners to read or work without injury to eyesight. </w:t>
      </w:r>
    </w:p>
    <w:p w14:paraId="418793C7"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360" w:right="360"/>
        <w:jc w:val="both"/>
        <w:rPr>
          <w:rFonts w:asciiTheme="majorHAnsi" w:hAnsiTheme="majorHAnsi"/>
          <w:sz w:val="18"/>
          <w:szCs w:val="20"/>
          <w:bdr w:val="none" w:sz="0" w:space="0" w:color="auto"/>
        </w:rPr>
      </w:pPr>
      <w:r w:rsidRPr="00CD52EE">
        <w:rPr>
          <w:rFonts w:asciiTheme="majorHAnsi" w:hAnsiTheme="majorHAnsi"/>
          <w:sz w:val="18"/>
          <w:bdr w:val="none" w:sz="0" w:space="0" w:color="auto"/>
        </w:rPr>
        <w:t>1</w:t>
      </w:r>
      <w:r w:rsidR="00F20721">
        <w:rPr>
          <w:rFonts w:asciiTheme="majorHAnsi" w:hAnsiTheme="majorHAnsi"/>
          <w:sz w:val="18"/>
          <w:bdr w:val="none" w:sz="0" w:space="0" w:color="auto"/>
        </w:rPr>
        <w:t>5</w:t>
      </w:r>
      <w:r w:rsidRPr="00CD52EE">
        <w:rPr>
          <w:rFonts w:asciiTheme="majorHAnsi" w:hAnsiTheme="majorHAnsi"/>
          <w:sz w:val="18"/>
          <w:bdr w:val="none" w:sz="0" w:space="0" w:color="auto"/>
        </w:rPr>
        <w:t xml:space="preserve">. The sanitary installations shall be adequate to enable every prisoner to comply with the needs of nature when necessary and in a clean and decent manner. </w:t>
      </w:r>
    </w:p>
    <w:p w14:paraId="093D2006"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360" w:right="360"/>
        <w:jc w:val="both"/>
        <w:rPr>
          <w:rFonts w:asciiTheme="majorHAnsi" w:hAnsiTheme="majorHAnsi"/>
          <w:sz w:val="18"/>
          <w:szCs w:val="20"/>
          <w:bdr w:val="none" w:sz="0" w:space="0" w:color="auto"/>
        </w:rPr>
      </w:pPr>
      <w:r w:rsidRPr="00CD52EE">
        <w:rPr>
          <w:rFonts w:asciiTheme="majorHAnsi" w:hAnsiTheme="majorHAnsi"/>
          <w:sz w:val="18"/>
          <w:bdr w:val="none" w:sz="0" w:space="0" w:color="auto"/>
        </w:rPr>
        <w:t>1</w:t>
      </w:r>
      <w:r w:rsidR="00F20721">
        <w:rPr>
          <w:rFonts w:asciiTheme="majorHAnsi" w:hAnsiTheme="majorHAnsi"/>
          <w:sz w:val="18"/>
          <w:bdr w:val="none" w:sz="0" w:space="0" w:color="auto"/>
        </w:rPr>
        <w:t>8</w:t>
      </w:r>
      <w:r w:rsidRPr="00CD52EE">
        <w:rPr>
          <w:rFonts w:asciiTheme="majorHAnsi" w:hAnsiTheme="majorHAnsi"/>
          <w:sz w:val="18"/>
          <w:bdr w:val="none" w:sz="0" w:space="0" w:color="auto"/>
        </w:rPr>
        <w:t xml:space="preserve">. Prisoners shall be required to keep their persons clean, and to this end they shall be provided with water and with such toilet articles as are necessary for health and cleanliness. </w:t>
      </w:r>
    </w:p>
    <w:p w14:paraId="09023AC8"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360" w:right="360"/>
        <w:jc w:val="both"/>
        <w:rPr>
          <w:rFonts w:asciiTheme="majorHAnsi" w:hAnsiTheme="majorHAnsi"/>
          <w:sz w:val="18"/>
          <w:bdr w:val="none" w:sz="0" w:space="0" w:color="auto"/>
        </w:rPr>
      </w:pPr>
      <w:r w:rsidRPr="00CD52EE">
        <w:rPr>
          <w:rFonts w:asciiTheme="majorHAnsi" w:hAnsiTheme="majorHAnsi"/>
          <w:sz w:val="18"/>
          <w:bdr w:val="none" w:sz="0" w:space="0" w:color="auto"/>
        </w:rPr>
        <w:t>2</w:t>
      </w:r>
      <w:r w:rsidR="00F20721">
        <w:rPr>
          <w:rFonts w:asciiTheme="majorHAnsi" w:hAnsiTheme="majorHAnsi"/>
          <w:sz w:val="18"/>
          <w:bdr w:val="none" w:sz="0" w:space="0" w:color="auto"/>
        </w:rPr>
        <w:t>3</w:t>
      </w:r>
      <w:r w:rsidRPr="00CD52EE">
        <w:rPr>
          <w:rFonts w:asciiTheme="majorHAnsi" w:hAnsiTheme="majorHAnsi"/>
          <w:sz w:val="18"/>
          <w:bdr w:val="none" w:sz="0" w:space="0" w:color="auto"/>
        </w:rPr>
        <w:t>. (1) Every prisoner who is not employed in outdoor work shall have at least one hour of suitable exercise in the open air daily if the weather permits.</w:t>
      </w:r>
    </w:p>
    <w:p w14:paraId="3595D1C4"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360" w:right="360"/>
        <w:jc w:val="both"/>
        <w:rPr>
          <w:rFonts w:asciiTheme="majorHAnsi" w:hAnsiTheme="majorHAnsi"/>
          <w:sz w:val="18"/>
          <w:szCs w:val="20"/>
          <w:bdr w:val="none" w:sz="0" w:space="0" w:color="auto"/>
        </w:rPr>
      </w:pPr>
      <w:r w:rsidRPr="00CD52EE">
        <w:rPr>
          <w:rFonts w:asciiTheme="majorHAnsi" w:hAnsiTheme="majorHAnsi"/>
          <w:sz w:val="18"/>
          <w:bdr w:val="none" w:sz="0" w:space="0" w:color="auto"/>
        </w:rPr>
        <w:t xml:space="preserve">(2) Young prisoners, and others of suitable age and physique, shall receive physical and recreational training during the period of exercise. To this end space, installations and equipment should be provided. </w:t>
      </w:r>
    </w:p>
    <w:p w14:paraId="4F9D0E24" w14:textId="77777777" w:rsidR="00616FCC" w:rsidRPr="00CD52EE" w:rsidRDefault="00616FCC" w:rsidP="0078071D">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heme="majorHAnsi" w:hAnsiTheme="majorHAnsi"/>
          <w:sz w:val="20"/>
          <w:szCs w:val="20"/>
          <w:bdr w:val="none" w:sz="0" w:space="0" w:color="auto"/>
        </w:rPr>
      </w:pPr>
    </w:p>
    <w:p w14:paraId="57344EEC" w14:textId="77777777" w:rsidR="00BF5D60" w:rsidRPr="00CD52EE" w:rsidRDefault="00616FCC" w:rsidP="00BF5D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D52EE">
        <w:rPr>
          <w:rFonts w:asciiTheme="majorHAnsi" w:eastAsia="Times New Roman" w:hAnsiTheme="majorHAnsi"/>
          <w:sz w:val="20"/>
          <w:szCs w:val="20"/>
        </w:rPr>
        <w:t>As the Inter-American Commission has observed in previous cases, these standards apply irrespective of the nature of the conduct for which the person in question has been imprisoned and regardless of the level of development of a particular State Party to the American Convention</w:t>
      </w:r>
      <w:r w:rsidR="00F42898" w:rsidRPr="00CD52EE">
        <w:rPr>
          <w:rFonts w:asciiTheme="majorHAnsi" w:eastAsia="Times New Roman" w:hAnsiTheme="majorHAnsi"/>
          <w:sz w:val="20"/>
          <w:szCs w:val="20"/>
        </w:rPr>
        <w:t xml:space="preserve"> or Declaration</w:t>
      </w:r>
      <w:r w:rsidRPr="00CD52EE">
        <w:rPr>
          <w:rFonts w:asciiTheme="majorHAnsi" w:eastAsia="Times New Roman" w:hAnsiTheme="majorHAnsi"/>
          <w:sz w:val="20"/>
          <w:szCs w:val="20"/>
        </w:rPr>
        <w:t>.</w:t>
      </w:r>
      <w:r w:rsidR="00F42898" w:rsidRPr="00CD52EE">
        <w:rPr>
          <w:rFonts w:ascii="Cambria" w:hAnsi="Cambria"/>
          <w:sz w:val="20"/>
          <w:vertAlign w:val="superscript"/>
        </w:rPr>
        <w:footnoteReference w:id="122"/>
      </w:r>
    </w:p>
    <w:p w14:paraId="0CC49764" w14:textId="77777777" w:rsidR="00BF5D60" w:rsidRPr="00CD52EE" w:rsidRDefault="00BF5D60" w:rsidP="008504A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6CF0A121" w14:textId="77777777" w:rsidR="00EE7443" w:rsidRPr="00CD52EE" w:rsidRDefault="00A96051" w:rsidP="00F207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 w:val="left" w:pos="720"/>
          <w:tab w:val="left" w:pos="1440"/>
        </w:tabs>
        <w:ind w:left="0" w:firstLine="0"/>
        <w:jc w:val="both"/>
        <w:rPr>
          <w:rFonts w:asciiTheme="majorHAnsi" w:eastAsia="Times New Roman" w:hAnsiTheme="majorHAnsi"/>
          <w:sz w:val="20"/>
          <w:szCs w:val="20"/>
        </w:rPr>
      </w:pPr>
      <w:r w:rsidRPr="00CD52EE">
        <w:rPr>
          <w:rFonts w:asciiTheme="majorHAnsi" w:hAnsiTheme="majorHAnsi"/>
          <w:sz w:val="20"/>
          <w:bdr w:val="none" w:sz="0" w:space="0" w:color="auto"/>
        </w:rPr>
        <w:t xml:space="preserve">The Commission therefore concludes that </w:t>
      </w:r>
      <w:r w:rsidR="00616FCC" w:rsidRPr="00CD52EE">
        <w:rPr>
          <w:rFonts w:asciiTheme="majorHAnsi" w:hAnsiTheme="majorHAnsi"/>
          <w:sz w:val="20"/>
          <w:bdr w:val="none" w:sz="0" w:space="0" w:color="auto"/>
        </w:rPr>
        <w:t>the State</w:t>
      </w:r>
      <w:r w:rsidRPr="00CD52EE">
        <w:rPr>
          <w:rFonts w:asciiTheme="majorHAnsi" w:hAnsiTheme="majorHAnsi"/>
          <w:sz w:val="20"/>
          <w:bdr w:val="none" w:sz="0" w:space="0" w:color="auto"/>
        </w:rPr>
        <w:t xml:space="preserve"> of Trinidad and Tobago</w:t>
      </w:r>
      <w:r w:rsidR="00616FCC" w:rsidRPr="00CD52EE">
        <w:rPr>
          <w:rFonts w:asciiTheme="majorHAnsi" w:hAnsiTheme="majorHAnsi"/>
          <w:sz w:val="20"/>
          <w:bdr w:val="none" w:sz="0" w:space="0" w:color="auto"/>
        </w:rPr>
        <w:t xml:space="preserve"> has failed to guarantee the internationally-mandated standards of proper treatment for prisoners. The cumulative impact of such conditions, together with the length of time for which the victims have been incarcerated, cannot be considered consistent with the basic requirements of humane treatment. </w:t>
      </w:r>
    </w:p>
    <w:p w14:paraId="66626BF7" w14:textId="77777777" w:rsidR="00EE7443" w:rsidRPr="00CD52EE" w:rsidRDefault="00EE7443" w:rsidP="008504A1">
      <w:pPr>
        <w:pStyle w:val="ListParagraph"/>
        <w:rPr>
          <w:sz w:val="20"/>
        </w:rPr>
      </w:pPr>
    </w:p>
    <w:p w14:paraId="68D4E208" w14:textId="77777777" w:rsidR="00242D45" w:rsidRPr="00CD52EE" w:rsidRDefault="00616FCC" w:rsidP="00F207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left" w:pos="1440"/>
        </w:tabs>
        <w:ind w:left="0" w:firstLine="0"/>
        <w:jc w:val="both"/>
        <w:rPr>
          <w:rFonts w:asciiTheme="majorHAnsi" w:eastAsia="Times New Roman" w:hAnsiTheme="majorHAnsi"/>
          <w:sz w:val="20"/>
          <w:szCs w:val="20"/>
        </w:rPr>
      </w:pPr>
      <w:r w:rsidRPr="00CD52EE">
        <w:rPr>
          <w:rFonts w:ascii="Cambria" w:hAnsi="Cambria"/>
          <w:sz w:val="20"/>
        </w:rPr>
        <w:t xml:space="preserve">Based on the foregoing considerations, the Commission concludes that the deprivation of liberty on death row for more than 11 years under the conditions listed above constituted a </w:t>
      </w:r>
      <w:r w:rsidR="00242D45" w:rsidRPr="00CD52EE">
        <w:rPr>
          <w:rFonts w:ascii="Cambria" w:hAnsi="Cambria"/>
          <w:sz w:val="20"/>
        </w:rPr>
        <w:t xml:space="preserve">violation </w:t>
      </w:r>
      <w:r w:rsidR="00242D45" w:rsidRPr="00CD52EE">
        <w:rPr>
          <w:rFonts w:ascii="Cambria" w:hAnsi="Cambria"/>
          <w:sz w:val="20"/>
          <w:szCs w:val="20"/>
        </w:rPr>
        <w:t xml:space="preserve">to the detriment of </w:t>
      </w:r>
      <w:r w:rsidR="00242D45" w:rsidRPr="00CD52EE">
        <w:rPr>
          <w:rFonts w:asciiTheme="majorHAnsi" w:eastAsia="Times New Roman" w:hAnsiTheme="majorHAnsi"/>
          <w:sz w:val="20"/>
          <w:szCs w:val="20"/>
        </w:rPr>
        <w:t>Messrs. Dial and Dottin</w:t>
      </w:r>
      <w:r w:rsidR="00242D45" w:rsidRPr="00CD52EE">
        <w:rPr>
          <w:rFonts w:ascii="Cambria" w:hAnsi="Cambria"/>
          <w:sz w:val="20"/>
          <w:szCs w:val="20"/>
        </w:rPr>
        <w:t xml:space="preserve">, to the right to humane treatment, and not to receive cruel, infamous or unusual punishment established in </w:t>
      </w:r>
      <w:r w:rsidR="005B0319" w:rsidRPr="00CD52EE">
        <w:rPr>
          <w:rFonts w:ascii="Cambria" w:hAnsi="Cambria"/>
          <w:sz w:val="20"/>
          <w:szCs w:val="20"/>
        </w:rPr>
        <w:t xml:space="preserve">Articles </w:t>
      </w:r>
      <w:r w:rsidR="007C7FBB" w:rsidRPr="00CD52EE">
        <w:rPr>
          <w:rFonts w:ascii="Cambria" w:hAnsi="Cambria"/>
          <w:sz w:val="20"/>
          <w:szCs w:val="20"/>
        </w:rPr>
        <w:t>5.1 and 5.2</w:t>
      </w:r>
      <w:r w:rsidR="005B0319" w:rsidRPr="00CD52EE">
        <w:rPr>
          <w:rFonts w:ascii="Cambria" w:hAnsi="Cambria"/>
          <w:sz w:val="20"/>
          <w:szCs w:val="20"/>
        </w:rPr>
        <w:t xml:space="preserve"> of the American Convention</w:t>
      </w:r>
      <w:r w:rsidR="007C7FBB" w:rsidRPr="00CD52EE">
        <w:rPr>
          <w:rFonts w:ascii="Cambria" w:hAnsi="Cambria"/>
          <w:sz w:val="20"/>
          <w:szCs w:val="20"/>
        </w:rPr>
        <w:t xml:space="preserve"> in relation to the obligations established in its Article 1.1,</w:t>
      </w:r>
      <w:r w:rsidR="005B0319" w:rsidRPr="00CD52EE">
        <w:rPr>
          <w:rFonts w:ascii="Cambria" w:hAnsi="Cambria"/>
          <w:sz w:val="20"/>
          <w:szCs w:val="20"/>
        </w:rPr>
        <w:t xml:space="preserve"> and </w:t>
      </w:r>
      <w:r w:rsidR="007C7FBB" w:rsidRPr="00CD52EE">
        <w:rPr>
          <w:rFonts w:ascii="Cambria" w:hAnsi="Cambria"/>
          <w:sz w:val="20"/>
          <w:szCs w:val="20"/>
        </w:rPr>
        <w:t xml:space="preserve">Articles </w:t>
      </w:r>
      <w:r w:rsidR="005B0319" w:rsidRPr="00CD52EE">
        <w:rPr>
          <w:rFonts w:ascii="Cambria" w:hAnsi="Cambria"/>
          <w:sz w:val="20"/>
          <w:szCs w:val="20"/>
        </w:rPr>
        <w:t>XX</w:t>
      </w:r>
      <w:r w:rsidR="008C79A8" w:rsidRPr="00CD52EE">
        <w:rPr>
          <w:rFonts w:ascii="Cambria" w:hAnsi="Cambria"/>
          <w:sz w:val="20"/>
          <w:szCs w:val="20"/>
        </w:rPr>
        <w:t>V and XXVI</w:t>
      </w:r>
      <w:r w:rsidR="005B0319" w:rsidRPr="00CD52EE">
        <w:rPr>
          <w:rFonts w:ascii="Cambria" w:hAnsi="Cambria"/>
          <w:sz w:val="20"/>
          <w:szCs w:val="20"/>
        </w:rPr>
        <w:t xml:space="preserve"> of </w:t>
      </w:r>
      <w:r w:rsidR="00242D45" w:rsidRPr="00CD52EE">
        <w:rPr>
          <w:rFonts w:ascii="Cambria" w:hAnsi="Cambria"/>
          <w:sz w:val="20"/>
          <w:szCs w:val="20"/>
        </w:rPr>
        <w:t>the American Declaration.  Further</w:t>
      </w:r>
      <w:r w:rsidR="005B0319" w:rsidRPr="00CD52EE">
        <w:rPr>
          <w:rFonts w:ascii="Cambria" w:hAnsi="Cambria"/>
          <w:sz w:val="20"/>
          <w:szCs w:val="20"/>
        </w:rPr>
        <w:t>, the IACHR concludes that de denial of proper medical care</w:t>
      </w:r>
      <w:r w:rsidR="005B0319" w:rsidRPr="00CD52EE">
        <w:rPr>
          <w:rFonts w:ascii="Cambria" w:hAnsi="Cambria"/>
          <w:bCs/>
          <w:sz w:val="20"/>
          <w:szCs w:val="20"/>
        </w:rPr>
        <w:t xml:space="preserve"> </w:t>
      </w:r>
      <w:r w:rsidR="00F06EE0" w:rsidRPr="00CD52EE">
        <w:rPr>
          <w:rFonts w:ascii="Cambria" w:hAnsi="Cambria"/>
          <w:bCs/>
          <w:sz w:val="20"/>
          <w:szCs w:val="20"/>
        </w:rPr>
        <w:t>constituted a violation of Article XI of the American Declaration to the detriment</w:t>
      </w:r>
      <w:r w:rsidR="002A1655" w:rsidRPr="00CD52EE">
        <w:rPr>
          <w:rFonts w:asciiTheme="majorHAnsi" w:eastAsia="Times New Roman" w:hAnsiTheme="majorHAnsi"/>
          <w:sz w:val="20"/>
          <w:szCs w:val="20"/>
        </w:rPr>
        <w:t xml:space="preserve"> </w:t>
      </w:r>
      <w:r w:rsidR="00F06EE0" w:rsidRPr="00CD52EE">
        <w:rPr>
          <w:rFonts w:ascii="Cambria" w:hAnsi="Cambria"/>
          <w:bCs/>
          <w:sz w:val="20"/>
          <w:szCs w:val="20"/>
        </w:rPr>
        <w:t>of Mr. Dial.</w:t>
      </w:r>
    </w:p>
    <w:p w14:paraId="49F03E0C" w14:textId="77777777" w:rsidR="00BA1E70" w:rsidRPr="00CD52EE" w:rsidRDefault="00BA1E70" w:rsidP="003526D3">
      <w:pPr>
        <w:rPr>
          <w:rFonts w:asciiTheme="majorHAnsi" w:hAnsiTheme="majorHAnsi"/>
          <w:sz w:val="20"/>
          <w:szCs w:val="20"/>
        </w:rPr>
      </w:pPr>
    </w:p>
    <w:p w14:paraId="208936D7" w14:textId="77777777" w:rsidR="001C4006" w:rsidRPr="00CD52EE" w:rsidRDefault="001C4006" w:rsidP="00CD3087">
      <w:pPr>
        <w:pStyle w:val="Heading1"/>
        <w:tabs>
          <w:tab w:val="left" w:pos="360"/>
        </w:tabs>
        <w:spacing w:before="0"/>
        <w:ind w:hanging="720"/>
        <w:rPr>
          <w:color w:val="auto"/>
          <w:sz w:val="20"/>
          <w:szCs w:val="20"/>
        </w:rPr>
      </w:pPr>
      <w:bookmarkStart w:id="33" w:name="_Toc54798096"/>
      <w:r w:rsidRPr="00CD52EE">
        <w:rPr>
          <w:color w:val="auto"/>
          <w:sz w:val="20"/>
          <w:szCs w:val="20"/>
        </w:rPr>
        <w:t>CONCLUSIONS AND RECOMMENDATIONS</w:t>
      </w:r>
      <w:bookmarkEnd w:id="33"/>
    </w:p>
    <w:p w14:paraId="4B099FD6" w14:textId="77777777" w:rsidR="00576D19" w:rsidRPr="00CD52EE" w:rsidRDefault="00576D19" w:rsidP="00576D1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Theme="majorHAnsi" w:hAnsiTheme="majorHAnsi"/>
          <w:b/>
          <w:sz w:val="20"/>
          <w:szCs w:val="20"/>
        </w:rPr>
      </w:pPr>
    </w:p>
    <w:p w14:paraId="4B45A464" w14:textId="77777777" w:rsidR="0064712F" w:rsidRPr="00CD52EE" w:rsidRDefault="00F1763D" w:rsidP="00F207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left" w:pos="1440"/>
        </w:tabs>
        <w:ind w:left="0" w:firstLine="0"/>
        <w:jc w:val="both"/>
        <w:rPr>
          <w:rFonts w:ascii="Cambria" w:hAnsi="Cambria"/>
          <w:sz w:val="20"/>
        </w:rPr>
      </w:pPr>
      <w:r w:rsidRPr="00CD52EE">
        <w:rPr>
          <w:rFonts w:ascii="Cambria" w:hAnsi="Cambria"/>
          <w:sz w:val="20"/>
        </w:rPr>
        <w:t>On the basis of determinations of fact and law, the Inter-American Commission conclude</w:t>
      </w:r>
      <w:r w:rsidR="00D80440" w:rsidRPr="00CD52EE">
        <w:rPr>
          <w:rFonts w:ascii="Cambria" w:hAnsi="Cambria"/>
          <w:sz w:val="20"/>
        </w:rPr>
        <w:t>s</w:t>
      </w:r>
      <w:r w:rsidRPr="00CD52EE">
        <w:rPr>
          <w:rFonts w:ascii="Cambria" w:hAnsi="Cambria"/>
          <w:sz w:val="20"/>
        </w:rPr>
        <w:t xml:space="preserve"> that the State is responsible for the violation of Articles </w:t>
      </w:r>
      <w:r w:rsidR="00F537D5" w:rsidRPr="00CD52EE">
        <w:rPr>
          <w:rFonts w:ascii="Cambria" w:hAnsi="Cambria"/>
          <w:sz w:val="20"/>
        </w:rPr>
        <w:t xml:space="preserve">4.1, 4.2, 4.6, 5.1, 5.2, </w:t>
      </w:r>
      <w:r w:rsidR="003B330F" w:rsidRPr="00CD52EE">
        <w:rPr>
          <w:rFonts w:ascii="Cambria" w:hAnsi="Cambria"/>
          <w:sz w:val="20"/>
        </w:rPr>
        <w:t xml:space="preserve">7.5, </w:t>
      </w:r>
      <w:r w:rsidR="00F537D5" w:rsidRPr="00CD52EE">
        <w:rPr>
          <w:rFonts w:ascii="Cambria" w:hAnsi="Cambria"/>
          <w:sz w:val="20"/>
        </w:rPr>
        <w:t>8</w:t>
      </w:r>
      <w:r w:rsidR="003B330F" w:rsidRPr="00CD52EE">
        <w:rPr>
          <w:rFonts w:ascii="Cambria" w:hAnsi="Cambria"/>
          <w:sz w:val="20"/>
        </w:rPr>
        <w:t>.1, 8.2</w:t>
      </w:r>
      <w:r w:rsidR="00F537D5" w:rsidRPr="00CD52EE">
        <w:rPr>
          <w:rFonts w:ascii="Cambria" w:hAnsi="Cambria"/>
          <w:sz w:val="20"/>
        </w:rPr>
        <w:t xml:space="preserve"> </w:t>
      </w:r>
      <w:r w:rsidR="00C42EFE" w:rsidRPr="00CD52EE">
        <w:rPr>
          <w:rFonts w:ascii="Cambria" w:hAnsi="Cambria"/>
          <w:sz w:val="20"/>
        </w:rPr>
        <w:t xml:space="preserve">and 25.1 </w:t>
      </w:r>
      <w:r w:rsidR="00F537D5" w:rsidRPr="00CD52EE">
        <w:rPr>
          <w:rFonts w:ascii="Cambria" w:hAnsi="Cambria"/>
          <w:sz w:val="20"/>
        </w:rPr>
        <w:t xml:space="preserve">of the American Convention, in relation with its obligations established in Articles 1.1 and 2, and Articles </w:t>
      </w:r>
      <w:r w:rsidR="00B871DF" w:rsidRPr="00CD52EE">
        <w:rPr>
          <w:rFonts w:ascii="Cambria" w:hAnsi="Cambria"/>
          <w:sz w:val="20"/>
        </w:rPr>
        <w:t>I (life)</w:t>
      </w:r>
      <w:r w:rsidR="000550C0" w:rsidRPr="00CD52EE">
        <w:rPr>
          <w:rFonts w:ascii="Cambria" w:hAnsi="Cambria"/>
          <w:sz w:val="20"/>
        </w:rPr>
        <w:t xml:space="preserve">, </w:t>
      </w:r>
      <w:r w:rsidR="00E17240" w:rsidRPr="00CD52EE">
        <w:rPr>
          <w:rFonts w:ascii="Cambria" w:hAnsi="Cambria"/>
          <w:sz w:val="20"/>
        </w:rPr>
        <w:t xml:space="preserve">XI (health and wellbeing), </w:t>
      </w:r>
      <w:r w:rsidR="00865D73" w:rsidRPr="00CD52EE">
        <w:rPr>
          <w:rFonts w:ascii="Cambria" w:hAnsi="Cambria"/>
          <w:sz w:val="20"/>
        </w:rPr>
        <w:t>XVIII (fair trial)</w:t>
      </w:r>
      <w:r w:rsidR="00C7262E" w:rsidRPr="00CD52EE">
        <w:rPr>
          <w:rFonts w:ascii="Cambria" w:hAnsi="Cambria"/>
          <w:sz w:val="20"/>
        </w:rPr>
        <w:t>, XXV (protection from arbitrary arrest)</w:t>
      </w:r>
      <w:r w:rsidR="008A4398" w:rsidRPr="00CD52EE">
        <w:rPr>
          <w:rFonts w:ascii="Cambria" w:hAnsi="Cambria"/>
          <w:sz w:val="20"/>
        </w:rPr>
        <w:t xml:space="preserve"> and </w:t>
      </w:r>
      <w:r w:rsidR="000550C0" w:rsidRPr="00CD52EE">
        <w:rPr>
          <w:rFonts w:ascii="Cambria" w:hAnsi="Cambria"/>
          <w:sz w:val="20"/>
        </w:rPr>
        <w:t>XXV</w:t>
      </w:r>
      <w:r w:rsidR="00865D73" w:rsidRPr="00CD52EE">
        <w:rPr>
          <w:rFonts w:ascii="Cambria" w:hAnsi="Cambria"/>
          <w:sz w:val="20"/>
        </w:rPr>
        <w:t>I</w:t>
      </w:r>
      <w:r w:rsidR="000550C0" w:rsidRPr="00CD52EE">
        <w:rPr>
          <w:rFonts w:ascii="Cambria" w:hAnsi="Cambria"/>
          <w:sz w:val="20"/>
        </w:rPr>
        <w:t xml:space="preserve"> (</w:t>
      </w:r>
      <w:r w:rsidR="00865D73" w:rsidRPr="00CD52EE">
        <w:rPr>
          <w:rFonts w:ascii="Cambria" w:hAnsi="Cambria"/>
          <w:sz w:val="20"/>
        </w:rPr>
        <w:t>due process of law</w:t>
      </w:r>
      <w:r w:rsidR="00985A4B" w:rsidRPr="00CD52EE">
        <w:rPr>
          <w:rFonts w:ascii="Cambria" w:hAnsi="Cambria"/>
          <w:sz w:val="20"/>
        </w:rPr>
        <w:t>)</w:t>
      </w:r>
      <w:r w:rsidR="008A4398" w:rsidRPr="00CD52EE">
        <w:rPr>
          <w:rFonts w:ascii="Cambria" w:hAnsi="Cambria"/>
          <w:sz w:val="20"/>
        </w:rPr>
        <w:t xml:space="preserve"> </w:t>
      </w:r>
      <w:r w:rsidRPr="00CD52EE">
        <w:rPr>
          <w:rFonts w:ascii="Cambria" w:hAnsi="Cambria"/>
          <w:sz w:val="20"/>
        </w:rPr>
        <w:t xml:space="preserve">of the American Declaration. </w:t>
      </w:r>
    </w:p>
    <w:p w14:paraId="49C06D64" w14:textId="77777777" w:rsidR="00AB704A" w:rsidRPr="00CD52EE" w:rsidRDefault="00AB704A" w:rsidP="001965CC">
      <w:pPr>
        <w:jc w:val="both"/>
        <w:rPr>
          <w:rFonts w:ascii="Cambria" w:hAnsi="Cambria"/>
          <w:b/>
          <w:sz w:val="20"/>
          <w:szCs w:val="20"/>
        </w:rPr>
      </w:pPr>
    </w:p>
    <w:p w14:paraId="76315FBB" w14:textId="77777777" w:rsidR="00A911B1" w:rsidRDefault="00A911B1" w:rsidP="001965CC">
      <w:pPr>
        <w:jc w:val="both"/>
        <w:rPr>
          <w:rFonts w:ascii="Cambria" w:hAnsi="Cambria"/>
          <w:b/>
          <w:sz w:val="20"/>
          <w:szCs w:val="20"/>
        </w:rPr>
      </w:pPr>
    </w:p>
    <w:p w14:paraId="5F3270EF" w14:textId="77777777" w:rsidR="00A911B1" w:rsidRDefault="00A911B1" w:rsidP="001965CC">
      <w:pPr>
        <w:jc w:val="both"/>
        <w:rPr>
          <w:rFonts w:ascii="Cambria" w:hAnsi="Cambria"/>
          <w:b/>
          <w:sz w:val="20"/>
          <w:szCs w:val="20"/>
        </w:rPr>
      </w:pPr>
    </w:p>
    <w:p w14:paraId="2D235F29" w14:textId="77777777" w:rsidR="00A911B1" w:rsidRDefault="00A911B1" w:rsidP="001965CC">
      <w:pPr>
        <w:jc w:val="both"/>
        <w:rPr>
          <w:rFonts w:ascii="Cambria" w:hAnsi="Cambria"/>
          <w:b/>
          <w:sz w:val="20"/>
          <w:szCs w:val="20"/>
        </w:rPr>
      </w:pPr>
    </w:p>
    <w:p w14:paraId="410675AC" w14:textId="77777777" w:rsidR="001C4006" w:rsidRPr="00CD52EE" w:rsidRDefault="001C4006" w:rsidP="001965CC">
      <w:pPr>
        <w:jc w:val="both"/>
        <w:rPr>
          <w:rFonts w:ascii="Cambria" w:hAnsi="Cambria"/>
          <w:b/>
          <w:sz w:val="20"/>
          <w:szCs w:val="20"/>
        </w:rPr>
      </w:pPr>
      <w:r w:rsidRPr="00CD52EE">
        <w:rPr>
          <w:rFonts w:ascii="Cambria" w:hAnsi="Cambria"/>
          <w:b/>
          <w:sz w:val="20"/>
          <w:szCs w:val="20"/>
        </w:rPr>
        <w:t xml:space="preserve">THE INTER-AMERICAN COMMISSION </w:t>
      </w:r>
      <w:r w:rsidR="00976ADE" w:rsidRPr="00CD52EE">
        <w:rPr>
          <w:rFonts w:ascii="Cambria" w:hAnsi="Cambria"/>
          <w:b/>
          <w:sz w:val="20"/>
          <w:szCs w:val="20"/>
        </w:rPr>
        <w:t>ON HUMAN RIGHTS RECOMMENDS THAT TRINIDAD AND TOBAGO</w:t>
      </w:r>
      <w:r w:rsidRPr="00CD52EE">
        <w:rPr>
          <w:rFonts w:ascii="Cambria" w:hAnsi="Cambria"/>
          <w:b/>
          <w:sz w:val="20"/>
          <w:szCs w:val="20"/>
        </w:rPr>
        <w:t>,</w:t>
      </w:r>
    </w:p>
    <w:p w14:paraId="2FDD0FCB" w14:textId="77777777" w:rsidR="00151ACF" w:rsidRPr="00CD52EE" w:rsidRDefault="00151ACF" w:rsidP="00151ACF">
      <w:pPr>
        <w:jc w:val="both"/>
        <w:rPr>
          <w:rFonts w:ascii="Cambria" w:hAnsi="Cambria"/>
          <w:b/>
          <w:sz w:val="20"/>
          <w:szCs w:val="20"/>
        </w:rPr>
      </w:pPr>
    </w:p>
    <w:p w14:paraId="4EB39D16" w14:textId="77777777" w:rsidR="00106789" w:rsidRPr="00CD52EE" w:rsidRDefault="00151ACF">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CD52EE">
        <w:rPr>
          <w:rFonts w:eastAsia="Times New Roman" w:cs="Tahoma"/>
          <w:sz w:val="20"/>
          <w:szCs w:val="20"/>
          <w:bdr w:val="none" w:sz="0" w:space="0" w:color="auto" w:frame="1"/>
        </w:rPr>
        <w:t xml:space="preserve">Grant </w:t>
      </w:r>
      <w:r w:rsidR="00D04E9F" w:rsidRPr="00CD52EE">
        <w:rPr>
          <w:rFonts w:asciiTheme="majorHAnsi" w:hAnsiTheme="majorHAnsi"/>
          <w:sz w:val="20"/>
          <w:szCs w:val="20"/>
        </w:rPr>
        <w:t xml:space="preserve">Kevin Dial and Andrew Dottin </w:t>
      </w:r>
      <w:r w:rsidRPr="00CD52EE">
        <w:rPr>
          <w:rFonts w:eastAsia="Times New Roman" w:cs="Tahoma"/>
          <w:sz w:val="20"/>
          <w:szCs w:val="20"/>
          <w:bdr w:val="none" w:sz="0" w:space="0" w:color="auto" w:frame="1"/>
        </w:rPr>
        <w:t xml:space="preserve">effective relief, including the review of their trials and sentences in accordance with the guarantees of fair trial and due process set forth in Articles </w:t>
      </w:r>
      <w:r w:rsidRPr="00CD52EE">
        <w:rPr>
          <w:rFonts w:asciiTheme="majorHAnsi" w:hAnsiTheme="majorHAnsi"/>
          <w:color w:val="000000" w:themeColor="text1"/>
          <w:sz w:val="20"/>
          <w:szCs w:val="20"/>
        </w:rPr>
        <w:t xml:space="preserve">XVIII and XXVI </w:t>
      </w:r>
      <w:r w:rsidRPr="00CD52EE">
        <w:rPr>
          <w:rFonts w:eastAsia="Times New Roman" w:cs="Tahoma"/>
          <w:sz w:val="20"/>
          <w:szCs w:val="20"/>
          <w:bdr w:val="none" w:sz="0" w:space="0" w:color="auto" w:frame="1"/>
        </w:rPr>
        <w:t xml:space="preserve">of the American Declaration, and the payment of pecuniary compensation. </w:t>
      </w:r>
    </w:p>
    <w:p w14:paraId="5B9E33A0" w14:textId="77777777" w:rsidR="00EA7E6F" w:rsidRPr="00CD52EE" w:rsidRDefault="00EA7E6F" w:rsidP="00EA7E6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5F2F6AC6" w14:textId="77777777" w:rsidR="00106789" w:rsidRPr="00CD52EE" w:rsidRDefault="0067634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CD52EE">
        <w:rPr>
          <w:rFonts w:asciiTheme="majorHAnsi" w:hAnsiTheme="majorHAnsi"/>
          <w:sz w:val="20"/>
          <w:szCs w:val="20"/>
        </w:rPr>
        <w:t xml:space="preserve">Review its laws, procedures, and practices to ensure that persons accused of capital crimes are tried </w:t>
      </w:r>
      <w:r w:rsidR="004B4C61" w:rsidRPr="00CD52EE">
        <w:rPr>
          <w:rFonts w:asciiTheme="majorHAnsi" w:hAnsiTheme="majorHAnsi"/>
          <w:sz w:val="20"/>
          <w:szCs w:val="20"/>
        </w:rPr>
        <w:t xml:space="preserve">within a reasonable time after their arrest </w:t>
      </w:r>
      <w:r w:rsidRPr="00CD52EE">
        <w:rPr>
          <w:rFonts w:asciiTheme="majorHAnsi" w:hAnsiTheme="majorHAnsi"/>
          <w:sz w:val="20"/>
          <w:szCs w:val="20"/>
        </w:rPr>
        <w:t xml:space="preserve">and, if convicted, sentenced in accordance with the rights established </w:t>
      </w:r>
      <w:r w:rsidRPr="00CD52EE">
        <w:rPr>
          <w:rFonts w:asciiTheme="majorHAnsi" w:hAnsiTheme="majorHAnsi"/>
          <w:sz w:val="20"/>
          <w:szCs w:val="20"/>
        </w:rPr>
        <w:lastRenderedPageBreak/>
        <w:t xml:space="preserve">in the American Declaration, including Articles </w:t>
      </w:r>
      <w:r w:rsidR="001A4234" w:rsidRPr="00CD52EE">
        <w:rPr>
          <w:rFonts w:asciiTheme="majorHAnsi" w:hAnsiTheme="majorHAnsi"/>
          <w:sz w:val="20"/>
          <w:szCs w:val="20"/>
        </w:rPr>
        <w:t>specific to fair trial, due process and humane treatment during custody</w:t>
      </w:r>
      <w:r w:rsidRPr="00CD52EE">
        <w:rPr>
          <w:rFonts w:asciiTheme="majorHAnsi" w:hAnsiTheme="majorHAnsi"/>
          <w:sz w:val="20"/>
          <w:szCs w:val="20"/>
        </w:rPr>
        <w:t xml:space="preserve">. </w:t>
      </w:r>
    </w:p>
    <w:p w14:paraId="39200C1E" w14:textId="77777777" w:rsidR="00C11E7C" w:rsidRPr="00CD52EE" w:rsidRDefault="00C11E7C" w:rsidP="0071310E">
      <w:pPr>
        <w:rPr>
          <w:rFonts w:eastAsia="Times New Roman" w:cs="Tahoma"/>
          <w:bdr w:val="none" w:sz="0" w:space="0" w:color="auto" w:frame="1"/>
        </w:rPr>
      </w:pPr>
    </w:p>
    <w:p w14:paraId="1D7D9ABD" w14:textId="77777777" w:rsidR="00106789" w:rsidRPr="00CD52EE" w:rsidRDefault="00C11E7C">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CD52EE">
        <w:rPr>
          <w:rFonts w:eastAsia="Times New Roman" w:cs="Tahoma"/>
          <w:sz w:val="20"/>
          <w:szCs w:val="20"/>
          <w:bdr w:val="none" w:sz="0" w:space="0" w:color="auto" w:frame="1"/>
        </w:rPr>
        <w:t xml:space="preserve">Ensure that </w:t>
      </w:r>
      <w:r w:rsidR="0017185A" w:rsidRPr="00CD52EE">
        <w:rPr>
          <w:rFonts w:eastAsia="Times New Roman" w:cs="Tahoma"/>
          <w:sz w:val="20"/>
          <w:szCs w:val="20"/>
          <w:bdr w:val="none" w:sz="0" w:space="0" w:color="auto" w:frame="1"/>
        </w:rPr>
        <w:t xml:space="preserve">prisons </w:t>
      </w:r>
      <w:r w:rsidRPr="00CD52EE">
        <w:rPr>
          <w:rFonts w:eastAsia="Times New Roman" w:cs="Tahoma"/>
          <w:sz w:val="20"/>
          <w:szCs w:val="20"/>
          <w:bdr w:val="none" w:sz="0" w:space="0" w:color="auto" w:frame="1"/>
        </w:rPr>
        <w:t>conditions are compatible with international human rights standards in accordance with the right of protection against cruel, infamous or unusual punishment.</w:t>
      </w:r>
    </w:p>
    <w:p w14:paraId="76A61534" w14:textId="77777777" w:rsidR="00EA7E6F" w:rsidRPr="00CD52EE" w:rsidRDefault="00EA7E6F" w:rsidP="00EA7E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rPr>
      </w:pPr>
    </w:p>
    <w:p w14:paraId="5C887635" w14:textId="77777777" w:rsidR="00106789" w:rsidRPr="00F566DE" w:rsidRDefault="00A54E22">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CD52EE">
        <w:rPr>
          <w:rFonts w:asciiTheme="majorHAnsi" w:hAnsiTheme="majorHAnsi"/>
          <w:sz w:val="20"/>
        </w:rPr>
        <w:t xml:space="preserve">Given the violations of the American Declaration </w:t>
      </w:r>
      <w:r w:rsidR="001A4234" w:rsidRPr="00CD52EE">
        <w:rPr>
          <w:rFonts w:asciiTheme="majorHAnsi" w:hAnsiTheme="majorHAnsi"/>
          <w:sz w:val="20"/>
        </w:rPr>
        <w:t xml:space="preserve">and the American Convention, </w:t>
      </w:r>
      <w:r w:rsidRPr="00CD52EE">
        <w:rPr>
          <w:sz w:val="20"/>
        </w:rPr>
        <w:t xml:space="preserve">the Inter-American Commission also recommends to </w:t>
      </w:r>
      <w:r w:rsidR="001A4234" w:rsidRPr="00CD52EE">
        <w:rPr>
          <w:sz w:val="20"/>
        </w:rPr>
        <w:t>Trinidad and Tobago</w:t>
      </w:r>
      <w:r w:rsidRPr="00CD52EE">
        <w:rPr>
          <w:sz w:val="20"/>
        </w:rPr>
        <w:t xml:space="preserve"> that it </w:t>
      </w:r>
      <w:r w:rsidR="00BE742C" w:rsidRPr="00CD52EE">
        <w:rPr>
          <w:sz w:val="20"/>
        </w:rPr>
        <w:t>abolishes the death penalty, including the mandatory death penalty</w:t>
      </w:r>
      <w:r w:rsidRPr="00CD52EE">
        <w:rPr>
          <w:sz w:val="20"/>
        </w:rPr>
        <w:t>.</w:t>
      </w:r>
      <w:r w:rsidRPr="00CD52EE">
        <w:rPr>
          <w:rStyle w:val="FootnoteReference"/>
          <w:sz w:val="20"/>
        </w:rPr>
        <w:footnoteReference w:id="123"/>
      </w:r>
    </w:p>
    <w:p w14:paraId="7A2BB514" w14:textId="77777777" w:rsidR="00F566DE" w:rsidRPr="008E1D8B" w:rsidRDefault="00F566DE" w:rsidP="00F566DE">
      <w:pPr>
        <w:tabs>
          <w:tab w:val="left" w:pos="360"/>
        </w:tabs>
        <w:jc w:val="both"/>
        <w:rPr>
          <w:rFonts w:asciiTheme="majorHAnsi" w:hAnsiTheme="majorHAnsi"/>
          <w:sz w:val="20"/>
          <w:szCs w:val="20"/>
        </w:rPr>
      </w:pPr>
    </w:p>
    <w:p w14:paraId="79CEBAB2" w14:textId="77777777" w:rsidR="00F566DE" w:rsidRDefault="00F566DE" w:rsidP="00F566DE">
      <w:pPr>
        <w:tabs>
          <w:tab w:val="left" w:pos="360"/>
        </w:tabs>
        <w:suppressAutoHyphens/>
        <w:jc w:val="both"/>
        <w:rPr>
          <w:rFonts w:ascii="Cambria" w:hAnsi="Cambria"/>
          <w:spacing w:val="-2"/>
          <w:sz w:val="20"/>
        </w:rPr>
      </w:pPr>
      <w:r>
        <w:rPr>
          <w:rFonts w:ascii="Cambria" w:hAnsi="Cambria"/>
          <w:spacing w:val="-2"/>
          <w:sz w:val="20"/>
        </w:rPr>
        <w:tab/>
        <w:t xml:space="preserve">Approved by </w:t>
      </w:r>
      <w:r>
        <w:rPr>
          <w:rFonts w:ascii="Cambria" w:hAnsi="Cambria" w:cs="Arial"/>
          <w:sz w:val="20"/>
          <w:szCs w:val="20"/>
        </w:rPr>
        <w:t xml:space="preserve">the </w:t>
      </w:r>
      <w:r>
        <w:rPr>
          <w:rFonts w:ascii="Cambria" w:hAnsi="Cambria"/>
          <w:sz w:val="20"/>
        </w:rPr>
        <w:t>Inter-American Commission on Human Rights</w:t>
      </w:r>
      <w:r>
        <w:rPr>
          <w:rFonts w:ascii="Cambria" w:hAnsi="Cambria"/>
          <w:spacing w:val="-2"/>
          <w:sz w:val="20"/>
        </w:rPr>
        <w:t xml:space="preserve"> on </w:t>
      </w:r>
      <w:r w:rsidRPr="00F566DE">
        <w:rPr>
          <w:rFonts w:ascii="Cambria" w:hAnsi="Cambria"/>
          <w:spacing w:val="-2"/>
          <w:sz w:val="20"/>
        </w:rPr>
        <w:t>the 19 day of the month of November</w:t>
      </w:r>
      <w:r>
        <w:rPr>
          <w:rFonts w:ascii="Cambria" w:hAnsi="Cambria"/>
          <w:spacing w:val="-2"/>
          <w:sz w:val="20"/>
        </w:rPr>
        <w:t xml:space="preserve">, </w:t>
      </w:r>
      <w:r w:rsidRPr="00F566DE">
        <w:rPr>
          <w:rFonts w:ascii="Cambria" w:hAnsi="Cambria"/>
          <w:spacing w:val="-2"/>
          <w:sz w:val="20"/>
        </w:rPr>
        <w:t xml:space="preserve">2020. (Signed): Joel Hernández García, President; Antonia Urrejola Noguera, </w:t>
      </w:r>
      <w:r w:rsidRPr="00F566DE">
        <w:rPr>
          <w:rFonts w:ascii="Cambria" w:hAnsi="Cambria" w:cs="Arial"/>
          <w:sz w:val="20"/>
        </w:rPr>
        <w:t xml:space="preserve">First Vice President; </w:t>
      </w:r>
      <w:r w:rsidRPr="00F566DE">
        <w:rPr>
          <w:rFonts w:ascii="Cambria" w:hAnsi="Cambria"/>
          <w:spacing w:val="-2"/>
          <w:sz w:val="20"/>
        </w:rPr>
        <w:t>Flávia Piovesan,</w:t>
      </w:r>
      <w:r>
        <w:rPr>
          <w:rFonts w:ascii="Cambria" w:hAnsi="Cambria"/>
          <w:spacing w:val="-2"/>
          <w:sz w:val="20"/>
        </w:rPr>
        <w:t xml:space="preserve"> Second Vice President; </w:t>
      </w:r>
      <w:r w:rsidRPr="00822DA3">
        <w:rPr>
          <w:rFonts w:ascii="Cambria" w:hAnsi="Cambria"/>
          <w:spacing w:val="-2"/>
          <w:sz w:val="20"/>
          <w:szCs w:val="20"/>
        </w:rPr>
        <w:t xml:space="preserve">Margarette May Macaulay, Esmeralda Arosemena de Troitiño, </w:t>
      </w:r>
      <w:r w:rsidR="0094782D">
        <w:rPr>
          <w:rFonts w:ascii="Cambria" w:hAnsi="Cambria"/>
          <w:spacing w:val="-2"/>
          <w:sz w:val="20"/>
        </w:rPr>
        <w:t xml:space="preserve">Julissa Mantilla Falcón and </w:t>
      </w:r>
      <w:r w:rsidRPr="00822DA3">
        <w:rPr>
          <w:rFonts w:ascii="Cambria" w:hAnsi="Cambria"/>
          <w:spacing w:val="-2"/>
          <w:sz w:val="20"/>
        </w:rPr>
        <w:t>Edgar Stuardo Ralón Orellana</w:t>
      </w:r>
      <w:r w:rsidR="008E1D8B">
        <w:rPr>
          <w:rFonts w:ascii="Cambria" w:hAnsi="Cambria"/>
          <w:spacing w:val="-2"/>
          <w:sz w:val="20"/>
        </w:rPr>
        <w:t>,</w:t>
      </w:r>
      <w:r>
        <w:rPr>
          <w:rFonts w:ascii="Cambria" w:hAnsi="Cambria"/>
          <w:spacing w:val="-2"/>
          <w:sz w:val="20"/>
        </w:rPr>
        <w:t xml:space="preserve"> Commissioners.</w:t>
      </w:r>
    </w:p>
    <w:p w14:paraId="0ADD3761" w14:textId="77777777" w:rsidR="00F566DE" w:rsidRDefault="00F566DE" w:rsidP="00F566DE">
      <w:pPr>
        <w:suppressAutoHyphens/>
        <w:jc w:val="both"/>
        <w:rPr>
          <w:rFonts w:ascii="Cambria" w:hAnsi="Cambria"/>
          <w:spacing w:val="-2"/>
          <w:sz w:val="16"/>
          <w:szCs w:val="16"/>
        </w:rPr>
      </w:pPr>
    </w:p>
    <w:p w14:paraId="63A22953" w14:textId="77777777" w:rsidR="00F566DE" w:rsidRDefault="00F566DE" w:rsidP="00F566DE">
      <w:pPr>
        <w:tabs>
          <w:tab w:val="left" w:pos="360"/>
        </w:tabs>
        <w:jc w:val="both"/>
        <w:rPr>
          <w:rFonts w:ascii="Cambria" w:hAnsi="Cambria"/>
          <w:sz w:val="20"/>
        </w:rPr>
      </w:pPr>
      <w:r>
        <w:rPr>
          <w:rFonts w:ascii="Cambria" w:hAnsi="Cambria"/>
          <w:sz w:val="20"/>
        </w:rPr>
        <w:tab/>
        <w:t xml:space="preserve">The undersigned, Marisol Blanchard, </w:t>
      </w:r>
      <w:r>
        <w:rPr>
          <w:rFonts w:ascii="Cambria" w:hAnsi="Cambria" w:cs="Arial"/>
          <w:sz w:val="20"/>
          <w:szCs w:val="20"/>
        </w:rPr>
        <w:t xml:space="preserve">Assistant Executive Secretary of the </w:t>
      </w:r>
      <w:r>
        <w:rPr>
          <w:rFonts w:ascii="Cambria" w:hAnsi="Cambria"/>
          <w:sz w:val="20"/>
        </w:rPr>
        <w:t>Inter-American Commission on Human Rights, in keeping with Article 49 of the Commission’s Rules of Procedure, certifies that this is an accurate copy of the original deposited in the archives of the IACHR Secretariat.</w:t>
      </w:r>
    </w:p>
    <w:p w14:paraId="5F1851FB" w14:textId="77777777" w:rsidR="00F566DE" w:rsidRDefault="00F566DE" w:rsidP="00F566DE">
      <w:pPr>
        <w:jc w:val="center"/>
        <w:rPr>
          <w:rFonts w:ascii="Cambria" w:hAnsi="Cambria"/>
          <w:sz w:val="20"/>
          <w:szCs w:val="20"/>
        </w:rPr>
      </w:pPr>
      <w:r>
        <w:rPr>
          <w:rFonts w:cs="Calibri"/>
          <w:noProof/>
        </w:rPr>
        <w:drawing>
          <wp:inline distT="0" distB="0" distL="0" distR="0" wp14:anchorId="18A26311" wp14:editId="28BF4F3B">
            <wp:extent cx="1323975" cy="78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5949" cy="795334"/>
                    </a:xfrm>
                    <a:prstGeom prst="rect">
                      <a:avLst/>
                    </a:prstGeom>
                    <a:noFill/>
                    <a:ln>
                      <a:noFill/>
                    </a:ln>
                  </pic:spPr>
                </pic:pic>
              </a:graphicData>
            </a:graphic>
          </wp:inline>
        </w:drawing>
      </w:r>
    </w:p>
    <w:p w14:paraId="430DFB8D" w14:textId="77777777" w:rsidR="00F566DE" w:rsidRDefault="00F566DE" w:rsidP="00F566DE">
      <w:pPr>
        <w:tabs>
          <w:tab w:val="left" w:pos="-720"/>
        </w:tabs>
        <w:jc w:val="center"/>
        <w:rPr>
          <w:rFonts w:ascii="Cambria" w:hAnsi="Cambria" w:cs="Arial"/>
          <w:sz w:val="20"/>
          <w:szCs w:val="20"/>
        </w:rPr>
      </w:pPr>
      <w:r>
        <w:rPr>
          <w:rFonts w:ascii="Cambria" w:hAnsi="Cambria" w:cs="Arial"/>
          <w:sz w:val="20"/>
          <w:szCs w:val="20"/>
        </w:rPr>
        <w:t>Marisol Blanchard</w:t>
      </w:r>
    </w:p>
    <w:p w14:paraId="0A78233F" w14:textId="77777777" w:rsidR="00F566DE" w:rsidRPr="0094782D" w:rsidRDefault="00F566DE" w:rsidP="0094782D">
      <w:pPr>
        <w:jc w:val="center"/>
        <w:rPr>
          <w:rFonts w:ascii="Cambria" w:hAnsi="Cambria" w:cs="Arial"/>
          <w:sz w:val="20"/>
          <w:szCs w:val="20"/>
        </w:rPr>
      </w:pPr>
      <w:r>
        <w:rPr>
          <w:rFonts w:ascii="Cambria" w:hAnsi="Cambria" w:cs="Arial"/>
          <w:sz w:val="20"/>
          <w:szCs w:val="20"/>
        </w:rPr>
        <w:t>Assistant Executive Secretary</w:t>
      </w:r>
    </w:p>
    <w:sectPr w:rsidR="00F566DE" w:rsidRPr="0094782D"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7923" w14:textId="77777777" w:rsidR="00EC14BE" w:rsidRDefault="00EC14BE" w:rsidP="00036A8A">
      <w:r>
        <w:separator/>
      </w:r>
    </w:p>
  </w:endnote>
  <w:endnote w:type="continuationSeparator" w:id="0">
    <w:p w14:paraId="21E62438" w14:textId="77777777" w:rsidR="00EC14BE" w:rsidRDefault="00EC14B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4D"/>
    <w:family w:val="roman"/>
    <w:notTrueType/>
    <w:pitch w:val="default"/>
    <w:sig w:usb0="00000003" w:usb1="00000000" w:usb2="00000000" w:usb3="00000000" w:csb0="00000001" w:csb1="00000000"/>
  </w:font>
  <w:font w:name="Estrangelo Edessa">
    <w:panose1 w:val="00000000000000000000"/>
    <w:charset w:val="01"/>
    <w:family w:val="roman"/>
    <w:pitch w:val="variable"/>
  </w:font>
  <w:font w:name="Cambria,Italic">
    <w:altName w:val="Cambria"/>
    <w:panose1 w:val="00000000000000000000"/>
    <w:charset w:val="4D"/>
    <w:family w:val="roman"/>
    <w:notTrueType/>
    <w:pitch w:val="default"/>
    <w:sig w:usb0="00000003" w:usb1="00000000" w:usb2="00000000" w:usb3="00000000" w:csb0="00000001" w:csb1="00000000"/>
  </w:font>
  <w:font w:name="OpenSans-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2C2673A1" w14:textId="77777777" w:rsidR="00112772" w:rsidRPr="006311DA" w:rsidRDefault="008105F4">
        <w:pPr>
          <w:pStyle w:val="Footer"/>
          <w:jc w:val="center"/>
          <w:rPr>
            <w:sz w:val="16"/>
          </w:rPr>
        </w:pPr>
        <w:r>
          <w:fldChar w:fldCharType="begin"/>
        </w:r>
        <w:r>
          <w:instrText xml:space="preserve"> PAGE   \* MERGEFORMAT </w:instrText>
        </w:r>
        <w:r>
          <w:fldChar w:fldCharType="separate"/>
        </w:r>
        <w:r w:rsidR="0094782D" w:rsidRPr="0094782D">
          <w:rPr>
            <w:noProof/>
            <w:sz w:val="16"/>
          </w:rPr>
          <w:t>23</w:t>
        </w:r>
        <w:r>
          <w:rPr>
            <w:noProof/>
            <w:sz w:val="16"/>
          </w:rPr>
          <w:fldChar w:fldCharType="end"/>
        </w:r>
      </w:p>
    </w:sdtContent>
  </w:sdt>
  <w:p w14:paraId="5A2EAD2C" w14:textId="77777777" w:rsidR="00112772" w:rsidRDefault="0011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73D" w14:textId="77777777" w:rsidR="00112772" w:rsidRDefault="00112772">
    <w:pPr>
      <w:pStyle w:val="Footer"/>
      <w:jc w:val="center"/>
    </w:pPr>
  </w:p>
  <w:p w14:paraId="712C5BB2" w14:textId="77777777" w:rsidR="00112772" w:rsidRDefault="0011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58425216" w14:textId="77777777" w:rsidR="00112772" w:rsidRDefault="008105F4">
        <w:pPr>
          <w:pStyle w:val="Footer"/>
          <w:jc w:val="center"/>
        </w:pPr>
        <w:r>
          <w:fldChar w:fldCharType="begin"/>
        </w:r>
        <w:r>
          <w:instrText xml:space="preserve"> PAGE   \* MERGEFORMAT </w:instrText>
        </w:r>
        <w:r>
          <w:fldChar w:fldCharType="separate"/>
        </w:r>
        <w:r w:rsidR="00112772">
          <w:rPr>
            <w:noProof/>
          </w:rPr>
          <w:t>1</w:t>
        </w:r>
        <w:r>
          <w:rPr>
            <w:noProof/>
          </w:rPr>
          <w:fldChar w:fldCharType="end"/>
        </w:r>
      </w:p>
    </w:sdtContent>
  </w:sdt>
  <w:p w14:paraId="0353FFA5" w14:textId="77777777" w:rsidR="00112772" w:rsidRDefault="0011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4BEC" w14:textId="77777777" w:rsidR="00EC14BE" w:rsidRPr="00036A8A" w:rsidRDefault="00EC14B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E07875F" w14:textId="77777777" w:rsidR="00EC14BE" w:rsidRPr="00036A8A" w:rsidRDefault="00EC14BE" w:rsidP="00036A8A">
      <w:pPr>
        <w:rPr>
          <w:rFonts w:asciiTheme="majorHAnsi" w:hAnsiTheme="majorHAnsi"/>
          <w:sz w:val="16"/>
          <w:szCs w:val="16"/>
        </w:rPr>
      </w:pPr>
      <w:r w:rsidRPr="00036A8A">
        <w:rPr>
          <w:rFonts w:asciiTheme="majorHAnsi" w:hAnsiTheme="majorHAnsi"/>
          <w:sz w:val="16"/>
          <w:szCs w:val="16"/>
        </w:rPr>
        <w:separator/>
      </w:r>
    </w:p>
    <w:p w14:paraId="21E10F12" w14:textId="77777777" w:rsidR="00EC14BE" w:rsidRPr="00036A8A" w:rsidRDefault="00EC14B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E404138" w14:textId="77777777" w:rsidR="00EC14BE" w:rsidRPr="0093441A" w:rsidRDefault="00EC14B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E2A12E2"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In accordance with Article 25(1) of the Commission’s Rules of Procedure, on May 11, 1999, the Commission granted precautionary measures on behalf of Kevin Dial and Andrew Dottin and requested Trinidad and Tobago to stay their executions until a decision could be reached on the merits of the case. </w:t>
      </w:r>
      <w:r w:rsidRPr="00D8238D">
        <w:rPr>
          <w:rFonts w:asciiTheme="majorHAnsi" w:hAnsiTheme="majorHAnsi"/>
          <w:noProof/>
          <w:color w:val="auto"/>
          <w:sz w:val="16"/>
          <w:szCs w:val="16"/>
        </w:rPr>
        <w:t xml:space="preserve">In light of the absence of any response from the State to its request for precautionary measures, the IACHR submitted a request for provisional measures in favor of the alleged victims to the Inter-American Court of Human Rights (“the Inter-American Court”) on May 25, 1999. </w:t>
      </w:r>
      <w:r w:rsidRPr="00D8238D">
        <w:rPr>
          <w:rFonts w:asciiTheme="majorHAnsi" w:hAnsiTheme="majorHAnsi"/>
          <w:color w:val="auto"/>
          <w:sz w:val="16"/>
          <w:szCs w:val="16"/>
        </w:rPr>
        <w:t xml:space="preserve">On May 27, 1999, the Inter-American Court amplified the provisional measures previously ordered in I/A Court H.R., </w:t>
      </w:r>
      <w:r w:rsidRPr="00D8238D">
        <w:rPr>
          <w:rFonts w:asciiTheme="majorHAnsi" w:hAnsiTheme="majorHAnsi"/>
          <w:i/>
          <w:color w:val="auto"/>
          <w:sz w:val="16"/>
          <w:szCs w:val="16"/>
        </w:rPr>
        <w:t>Matter of James et. al</w:t>
      </w:r>
      <w:r w:rsidRPr="00D8238D">
        <w:rPr>
          <w:rFonts w:asciiTheme="majorHAnsi" w:hAnsiTheme="majorHAnsi"/>
          <w:iCs/>
          <w:color w:val="auto"/>
          <w:sz w:val="16"/>
          <w:szCs w:val="16"/>
        </w:rPr>
        <w:t>.</w:t>
      </w:r>
      <w:r w:rsidRPr="00D8238D">
        <w:rPr>
          <w:rFonts w:asciiTheme="majorHAnsi" w:hAnsiTheme="majorHAnsi"/>
          <w:color w:val="auto"/>
          <w:sz w:val="16"/>
          <w:szCs w:val="16"/>
        </w:rPr>
        <w:t>, Provisional Measures regarding Trinidad and Tobago. Order of the Inter-American Court of April 3, 2009</w:t>
      </w:r>
      <w:r w:rsidRPr="00D8238D">
        <w:rPr>
          <w:rFonts w:asciiTheme="majorHAnsi" w:hAnsiTheme="majorHAnsi"/>
          <w:color w:val="auto"/>
          <w:sz w:val="16"/>
          <w:szCs w:val="16"/>
          <w:lang w:val="en-GB"/>
        </w:rPr>
        <w:t xml:space="preserve">, para. 14 </w:t>
      </w:r>
      <w:r w:rsidRPr="00D8238D">
        <w:rPr>
          <w:rFonts w:asciiTheme="majorHAnsi" w:hAnsiTheme="majorHAnsi"/>
          <w:iCs/>
          <w:color w:val="auto"/>
          <w:sz w:val="16"/>
          <w:szCs w:val="16"/>
        </w:rPr>
        <w:t xml:space="preserve">(later named </w:t>
      </w:r>
      <w:r w:rsidRPr="00D8238D">
        <w:rPr>
          <w:rFonts w:asciiTheme="majorHAnsi" w:hAnsiTheme="majorHAnsi"/>
          <w:i/>
          <w:color w:val="auto"/>
          <w:sz w:val="16"/>
          <w:szCs w:val="16"/>
        </w:rPr>
        <w:t>Matter of Dottin et al.</w:t>
      </w:r>
      <w:r w:rsidRPr="00D8238D">
        <w:rPr>
          <w:rFonts w:asciiTheme="majorHAnsi" w:hAnsiTheme="majorHAnsi"/>
          <w:iCs/>
          <w:color w:val="auto"/>
          <w:sz w:val="16"/>
          <w:szCs w:val="16"/>
        </w:rPr>
        <w:t>)</w:t>
      </w:r>
      <w:r w:rsidRPr="00D8238D">
        <w:rPr>
          <w:rFonts w:asciiTheme="majorHAnsi" w:hAnsiTheme="majorHAnsi"/>
          <w:color w:val="auto"/>
          <w:sz w:val="16"/>
          <w:szCs w:val="16"/>
          <w:lang w:val="en-GB"/>
        </w:rPr>
        <w:t xml:space="preserve">, </w:t>
      </w:r>
      <w:r w:rsidRPr="00D8238D">
        <w:rPr>
          <w:rFonts w:asciiTheme="majorHAnsi" w:hAnsiTheme="majorHAnsi"/>
          <w:color w:val="auto"/>
          <w:sz w:val="16"/>
          <w:szCs w:val="16"/>
        </w:rPr>
        <w:t>to include the alleged victims. The Inter-American Court</w:t>
      </w:r>
      <w:r w:rsidRPr="00D8238D">
        <w:rPr>
          <w:rFonts w:asciiTheme="majorHAnsi" w:hAnsiTheme="majorHAnsi"/>
          <w:noProof/>
          <w:color w:val="auto"/>
          <w:sz w:val="16"/>
          <w:szCs w:val="16"/>
        </w:rPr>
        <w:t xml:space="preserve"> lifted the provisional measures on May 14, 2013, given the conmutation to life imprisonment of the alleged victims’ death sentences and the lack of information confirming the existence of a situation of extreme gravity and urgency and of risk of such persons suffering irreparable harm to their lives or personal integrity (I/A Court H.R., </w:t>
      </w:r>
      <w:r w:rsidRPr="00D8238D">
        <w:rPr>
          <w:rFonts w:asciiTheme="majorHAnsi" w:hAnsiTheme="majorHAnsi"/>
          <w:i/>
          <w:iCs/>
          <w:noProof/>
          <w:color w:val="auto"/>
          <w:sz w:val="16"/>
          <w:szCs w:val="16"/>
        </w:rPr>
        <w:t>Matter of Dottin et al.</w:t>
      </w:r>
      <w:r w:rsidRPr="00D8238D">
        <w:rPr>
          <w:rFonts w:asciiTheme="majorHAnsi" w:hAnsiTheme="majorHAnsi"/>
          <w:noProof/>
          <w:color w:val="auto"/>
          <w:sz w:val="16"/>
          <w:szCs w:val="16"/>
        </w:rPr>
        <w:t>, Provisional Measures regarding Trinidad and Tobago. Order of the Inter-American Court of Human Rights of May 14, 2013).</w:t>
      </w:r>
    </w:p>
  </w:footnote>
  <w:footnote w:id="3">
    <w:p w14:paraId="5F2361EF" w14:textId="77777777" w:rsidR="00112772" w:rsidRPr="00D8238D" w:rsidRDefault="00112772" w:rsidP="00EA77A2">
      <w:pPr>
        <w:pStyle w:val="FootnoteText"/>
        <w:jc w:val="both"/>
        <w:rPr>
          <w:rFonts w:asciiTheme="majorHAnsi" w:hAnsiTheme="majorHAnsi" w:cs="Times New Roman"/>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s="Times New Roman"/>
          <w:color w:val="auto"/>
          <w:sz w:val="16"/>
          <w:szCs w:val="16"/>
        </w:rPr>
        <w:t xml:space="preserve"> The petitions were originally presented by Slaughter and May. However, in a letter dated August 18, 1999, the IACHR was informed that effective September 1, 1999 Herbert Smith, LLP would represent Messrs. Dial and Dottin.</w:t>
      </w:r>
    </w:p>
  </w:footnote>
  <w:footnote w:id="4">
    <w:p w14:paraId="6B70F526"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The Inter-American Commission decided to join the petitions into one single file since the beginning of this procedure, on May 11, 1999, because of the great similarity in the allegations of facts and law submitted by the same petitioners.</w:t>
      </w:r>
    </w:p>
  </w:footnote>
  <w:footnote w:id="5">
    <w:p w14:paraId="67799F26"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IACHR. Report No. 83/11. Petition P12.145. Admissibility. Kevin Dial and Andrew Dottin. Trinidad and Tobago. July 21, 2011.</w:t>
      </w:r>
    </w:p>
  </w:footnote>
  <w:footnote w:id="6">
    <w:p w14:paraId="3FDB67D2"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Pursuant to Section 64 of the Supreme Court of Judicature Act.</w:t>
      </w:r>
    </w:p>
  </w:footnote>
  <w:footnote w:id="7">
    <w:p w14:paraId="5F2AB628"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The petitioners cite High Court of Trinidad and Tobago, H.C.A. No. 1412 of 2005, dated August 15, 2008, entered August 19, 2008.</w:t>
      </w:r>
    </w:p>
  </w:footnote>
  <w:footnote w:id="8">
    <w:p w14:paraId="049B18B1"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Balkissoon Roodal v State of Trinidad &amp; Tobago, [2003] PC 18.</w:t>
      </w:r>
    </w:p>
  </w:footnote>
  <w:footnote w:id="9">
    <w:p w14:paraId="4D0EF0F4"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Charles Matthews v State of Trinidad &amp;Tobago [2004] PC 2.</w:t>
      </w:r>
    </w:p>
  </w:footnote>
  <w:footnote w:id="10">
    <w:p w14:paraId="513E9263"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Pratt &amp; Morgan v R. (put: The Attorney General of Jamaica) (on appeal from Jamaica), [1994] 2 AC 1.</w:t>
      </w:r>
    </w:p>
  </w:footnote>
  <w:footnote w:id="11">
    <w:p w14:paraId="6882C052"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The petitioners refer to The Attorney General of Trinidad and Tobago v. Angela Ramdeen [Cv.A No.6 of 2004], para. 39.</w:t>
      </w:r>
    </w:p>
  </w:footnote>
  <w:footnote w:id="12">
    <w:p w14:paraId="7B18FA41"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Response by the Government of Trinidad and Tobago dated August 18, 1999.</w:t>
      </w:r>
    </w:p>
  </w:footnote>
  <w:footnote w:id="13">
    <w:p w14:paraId="0845821C"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Thomas and Haniff Hilaire v Cipriani Baptiste (Trinidad and Tobago) [1999] UKPC 13 (17 March, 1990), paragraphs 44 and 46.</w:t>
      </w:r>
    </w:p>
  </w:footnote>
  <w:footnote w:id="14">
    <w:p w14:paraId="6D9D0E43" w14:textId="77777777" w:rsidR="00112772" w:rsidRPr="00B822DD" w:rsidRDefault="00112772" w:rsidP="00EA77A2">
      <w:pP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D8238D">
        <w:rPr>
          <w:rFonts w:asciiTheme="majorHAnsi" w:hAnsiTheme="majorHAnsi"/>
          <w:sz w:val="16"/>
          <w:szCs w:val="16"/>
          <w:bdr w:val="none" w:sz="0" w:space="0" w:color="auto"/>
        </w:rPr>
        <w:t>Dole Chadee et al (represented by Mr. David Smythe, of Kingsley Napley, a law firm in London) v. Trinidad and Tobago, Communication No. 813/1998, U.N. Doc. CCPR/C/63/D/813/1998 (29 July 1998).</w:t>
      </w:r>
    </w:p>
  </w:footnote>
  <w:footnote w:id="15">
    <w:p w14:paraId="3D3912FB"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Thomas and Haniff Hilaire v Cipriani Baptiste (Trinidad and Tobago) [1999] UKPC] 13 (17 March 1999).</w:t>
      </w:r>
    </w:p>
  </w:footnote>
  <w:footnote w:id="16">
    <w:p w14:paraId="5199FDBA"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Response by the Government of Trinidad and Tobago dated August 18, 1999.</w:t>
      </w:r>
    </w:p>
  </w:footnote>
  <w:footnote w:id="17">
    <w:p w14:paraId="1BA79A8B" w14:textId="77777777" w:rsidR="00112772" w:rsidRDefault="00112772">
      <w:pPr>
        <w:pStyle w:val="FootnoteText"/>
      </w:pPr>
      <w:r w:rsidRPr="002429FA">
        <w:rPr>
          <w:rStyle w:val="FootnoteReference"/>
          <w:rFonts w:asciiTheme="majorHAnsi" w:hAnsiTheme="majorHAnsi"/>
          <w:sz w:val="16"/>
        </w:rPr>
        <w:footnoteRef/>
      </w:r>
      <w:r w:rsidRPr="002429FA">
        <w:rPr>
          <w:rFonts w:asciiTheme="majorHAnsi" w:hAnsiTheme="majorHAnsi"/>
          <w:sz w:val="16"/>
        </w:rPr>
        <w:t xml:space="preserve"> </w:t>
      </w:r>
      <w:r w:rsidRPr="007C0DC1">
        <w:rPr>
          <w:rFonts w:asciiTheme="majorHAnsi" w:eastAsia="Times New Roman" w:hAnsiTheme="majorHAnsi"/>
          <w:sz w:val="16"/>
          <w:szCs w:val="16"/>
        </w:rPr>
        <w:t>Dial and another v The State (Trinidad and Tobago) [2005] UKPC 4</w:t>
      </w:r>
      <w:r w:rsidR="00A911B1">
        <w:rPr>
          <w:rFonts w:asciiTheme="majorHAnsi" w:eastAsia="Times New Roman" w:hAnsiTheme="majorHAnsi"/>
          <w:sz w:val="16"/>
          <w:szCs w:val="16"/>
        </w:rPr>
        <w:t>.</w:t>
      </w:r>
    </w:p>
  </w:footnote>
  <w:footnote w:id="18">
    <w:p w14:paraId="07E09566" w14:textId="77777777" w:rsidR="00112772" w:rsidRPr="00D8238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D8238D">
        <w:rPr>
          <w:rFonts w:asciiTheme="majorHAnsi" w:hAnsiTheme="majorHAnsi"/>
          <w:sz w:val="16"/>
          <w:szCs w:val="16"/>
          <w:bdr w:val="none" w:sz="0" w:space="0" w:color="auto"/>
        </w:rPr>
        <w:t>Dial &amp; Anor v. The State (Trinidad and Tobago) [2005] UKPC 4, para 1.</w:t>
      </w:r>
    </w:p>
  </w:footnote>
  <w:footnote w:id="19">
    <w:p w14:paraId="4DD027CC"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w:t>
      </w:r>
      <w:r w:rsidRPr="00D8238D">
        <w:rPr>
          <w:rFonts w:asciiTheme="majorHAnsi" w:hAnsiTheme="majorHAnsi"/>
          <w:color w:val="auto"/>
          <w:sz w:val="16"/>
          <w:szCs w:val="16"/>
          <w:bdr w:val="none" w:sz="0" w:space="0" w:color="auto"/>
        </w:rPr>
        <w:t>, para 6</w:t>
      </w:r>
      <w:r>
        <w:rPr>
          <w:rFonts w:asciiTheme="majorHAnsi" w:hAnsiTheme="majorHAnsi"/>
          <w:color w:val="auto"/>
          <w:sz w:val="16"/>
          <w:szCs w:val="16"/>
          <w:bdr w:val="none" w:sz="0" w:space="0" w:color="auto"/>
        </w:rPr>
        <w:t>.</w:t>
      </w:r>
    </w:p>
  </w:footnote>
  <w:footnote w:id="20">
    <w:p w14:paraId="45938A5C" w14:textId="77777777" w:rsidR="00112772" w:rsidRPr="00D8238D" w:rsidRDefault="00112772" w:rsidP="00EA77A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w:t>
      </w:r>
      <w:r w:rsidRPr="00D8238D">
        <w:rPr>
          <w:rFonts w:asciiTheme="majorHAnsi" w:hAnsiTheme="majorHAnsi"/>
          <w:color w:val="auto"/>
          <w:sz w:val="16"/>
          <w:szCs w:val="16"/>
          <w:bdr w:val="none" w:sz="0" w:space="0" w:color="auto"/>
        </w:rPr>
        <w:t>.</w:t>
      </w:r>
    </w:p>
  </w:footnote>
  <w:footnote w:id="21">
    <w:p w14:paraId="482FCFAD"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The trial took place on 15, 17, 20 and 21 January 1997, Dial &amp; Anor v. The State (Trinidad and Tobago) [2005] UKPC 4</w:t>
      </w:r>
      <w:r>
        <w:rPr>
          <w:rFonts w:asciiTheme="majorHAnsi" w:hAnsiTheme="majorHAnsi"/>
          <w:color w:val="auto"/>
          <w:sz w:val="16"/>
          <w:szCs w:val="16"/>
          <w:bdr w:val="none" w:sz="0" w:space="0" w:color="auto"/>
        </w:rPr>
        <w:t>.</w:t>
      </w:r>
      <w:r w:rsidRPr="00D8238D">
        <w:rPr>
          <w:rFonts w:asciiTheme="majorHAnsi" w:hAnsiTheme="majorHAnsi"/>
          <w:color w:val="auto"/>
          <w:sz w:val="16"/>
          <w:szCs w:val="16"/>
          <w:bdr w:val="none" w:sz="0" w:space="0" w:color="auto"/>
        </w:rPr>
        <w:t xml:space="preserve">  </w:t>
      </w:r>
    </w:p>
  </w:footnote>
  <w:footnote w:id="22">
    <w:p w14:paraId="6D3EFB08"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w:t>
      </w:r>
    </w:p>
  </w:footnote>
  <w:footnote w:id="23">
    <w:p w14:paraId="24316449" w14:textId="77777777" w:rsidR="00112772" w:rsidRPr="00D8238D" w:rsidRDefault="00112772" w:rsidP="00EA77A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 [17].</w:t>
      </w:r>
    </w:p>
  </w:footnote>
  <w:footnote w:id="24">
    <w:p w14:paraId="15E0FA19"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w:t>
      </w:r>
    </w:p>
  </w:footnote>
  <w:footnote w:id="25">
    <w:p w14:paraId="72E73FAF" w14:textId="77777777" w:rsidR="00112772" w:rsidRPr="00D8238D" w:rsidRDefault="00112772" w:rsidP="00EA77A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w:t>
      </w:r>
    </w:p>
  </w:footnote>
  <w:footnote w:id="26">
    <w:p w14:paraId="2C831C07" w14:textId="77777777" w:rsidR="00112772" w:rsidRPr="00D8238D" w:rsidRDefault="00112772" w:rsidP="00EA77A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 [21 and 22]</w:t>
      </w:r>
    </w:p>
  </w:footnote>
  <w:footnote w:id="27">
    <w:p w14:paraId="3CD71155"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w:t>
      </w:r>
    </w:p>
  </w:footnote>
  <w:footnote w:id="28">
    <w:p w14:paraId="21C0CD16" w14:textId="77777777" w:rsidR="00112772" w:rsidRPr="00D8238D" w:rsidRDefault="00112772" w:rsidP="00EA77A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w:t>
      </w:r>
    </w:p>
  </w:footnote>
  <w:footnote w:id="29">
    <w:p w14:paraId="7C888B59"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B822DD">
        <w:rPr>
          <w:rFonts w:asciiTheme="majorHAnsi" w:eastAsia="Times New Roman" w:hAnsiTheme="majorHAnsi"/>
          <w:sz w:val="16"/>
          <w:szCs w:val="16"/>
        </w:rPr>
        <w:t xml:space="preserve">Dial and another v The State (Trinidad and Tobago) [2005] UKPC 4., </w:t>
      </w:r>
      <w:r w:rsidRPr="00D8238D">
        <w:rPr>
          <w:rFonts w:asciiTheme="majorHAnsi" w:hAnsiTheme="majorHAnsi"/>
          <w:sz w:val="16"/>
          <w:szCs w:val="16"/>
          <w:bdr w:val="none" w:sz="0" w:space="0" w:color="auto"/>
        </w:rPr>
        <w:t>para. 2 and 3.</w:t>
      </w:r>
    </w:p>
  </w:footnote>
  <w:footnote w:id="30">
    <w:p w14:paraId="1D56C4AE" w14:textId="77777777" w:rsidR="00112772" w:rsidRPr="00D8238D" w:rsidRDefault="00112772" w:rsidP="00EA77A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 [17] and [26]</w:t>
      </w:r>
    </w:p>
  </w:footnote>
  <w:footnote w:id="31">
    <w:p w14:paraId="24C3F7B1" w14:textId="77777777" w:rsidR="00112772" w:rsidRPr="00D8238D" w:rsidRDefault="00112772" w:rsidP="00EA77A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 [14].</w:t>
      </w:r>
    </w:p>
  </w:footnote>
  <w:footnote w:id="32">
    <w:p w14:paraId="0D0208C9" w14:textId="77777777" w:rsidR="00112772" w:rsidRPr="00D8238D" w:rsidRDefault="00112772" w:rsidP="00EA77A2">
      <w:pPr>
        <w:pStyle w:val="FootnoteText"/>
        <w:jc w:val="both"/>
        <w:rPr>
          <w:rFonts w:asciiTheme="majorHAnsi" w:hAnsiTheme="majorHAnsi"/>
          <w:color w:val="auto"/>
          <w:sz w:val="16"/>
          <w:szCs w:val="16"/>
          <w:lang w:val="es-ES"/>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lang w:val="es-ES"/>
        </w:rPr>
        <w:t xml:space="preserve"> Ibid, para 14 and 15.</w:t>
      </w:r>
    </w:p>
  </w:footnote>
  <w:footnote w:id="33">
    <w:p w14:paraId="2217C570" w14:textId="77777777" w:rsidR="00112772" w:rsidRPr="00D8238D" w:rsidRDefault="00112772" w:rsidP="00EA77A2">
      <w:pPr>
        <w:pStyle w:val="FootnoteText"/>
        <w:jc w:val="both"/>
        <w:rPr>
          <w:rFonts w:asciiTheme="majorHAnsi" w:hAnsiTheme="majorHAnsi"/>
          <w:color w:val="auto"/>
          <w:sz w:val="16"/>
          <w:szCs w:val="16"/>
          <w:lang w:val="es-ES"/>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lang w:val="es-ES"/>
        </w:rPr>
        <w:t xml:space="preserve"> Ibid, para 17.</w:t>
      </w:r>
    </w:p>
  </w:footnote>
  <w:footnote w:id="34">
    <w:p w14:paraId="04FE18EE"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eastAsia="Times New Roman" w:hAnsiTheme="majorHAnsi"/>
          <w:color w:val="auto"/>
          <w:sz w:val="16"/>
          <w:szCs w:val="16"/>
        </w:rPr>
        <w:t>Dial and another v The State (Trinidad and Tobago) [2005] UKPC 4.</w:t>
      </w:r>
    </w:p>
  </w:footnote>
  <w:footnote w:id="35">
    <w:p w14:paraId="230F21A1"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Written submissions of the Petitioner – October 18, 2005 – Saul Lehrfreund, Parvais Jabber, Simons Muirhead &amp; Burton.</w:t>
      </w:r>
    </w:p>
  </w:footnote>
  <w:footnote w:id="36">
    <w:p w14:paraId="1689D5B0"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Charles Matthew v The State (2004) 64 WIR 412.</w:t>
      </w:r>
    </w:p>
  </w:footnote>
  <w:footnote w:id="37">
    <w:p w14:paraId="40D77D41"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Written submissions of the Petitioner – October 18, 2005 – Saul Lehrfreund, Parvais Jabber, Simons Muirhead &amp; Burton.</w:t>
      </w:r>
    </w:p>
  </w:footnote>
  <w:footnote w:id="38">
    <w:p w14:paraId="25ED08EC"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B822DD">
        <w:rPr>
          <w:rFonts w:asciiTheme="majorHAnsi" w:eastAsia="Times New Roman" w:hAnsiTheme="majorHAnsi"/>
          <w:sz w:val="16"/>
          <w:szCs w:val="16"/>
        </w:rPr>
        <w:t>Revised Petition for and on behalf of the alleged victims, dated April 18, 2008.</w:t>
      </w:r>
    </w:p>
  </w:footnote>
  <w:footnote w:id="39">
    <w:p w14:paraId="117C0534"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B822DD">
        <w:rPr>
          <w:rFonts w:asciiTheme="majorHAnsi" w:eastAsia="Times New Roman" w:hAnsiTheme="majorHAnsi"/>
          <w:sz w:val="16"/>
          <w:szCs w:val="16"/>
        </w:rPr>
        <w:t>Revised Petition for and on behalf of the alleged victims, dated April 18, 2008.</w:t>
      </w:r>
    </w:p>
  </w:footnote>
  <w:footnote w:id="40">
    <w:p w14:paraId="5DE04998"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B822DD">
        <w:rPr>
          <w:rFonts w:asciiTheme="majorHAnsi" w:eastAsia="Times New Roman" w:hAnsiTheme="majorHAnsi"/>
          <w:sz w:val="16"/>
          <w:szCs w:val="16"/>
        </w:rPr>
        <w:t>Revised Petition for and on behalf of the alleged victims, dated April 18, 2008.</w:t>
      </w:r>
    </w:p>
  </w:footnote>
  <w:footnote w:id="41">
    <w:p w14:paraId="007444C8"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Dial and Dottin. Letter to IACHR containing observations on merits 10/34915364_3.</w:t>
      </w:r>
    </w:p>
  </w:footnote>
  <w:footnote w:id="42">
    <w:p w14:paraId="077F6A1A"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B822DD">
        <w:rPr>
          <w:rFonts w:asciiTheme="majorHAnsi" w:eastAsia="Times New Roman" w:hAnsiTheme="majorHAnsi"/>
          <w:sz w:val="16"/>
          <w:szCs w:val="16"/>
        </w:rPr>
        <w:t>Revised Petition for and on behalf of the alleged victims, dated April 18, 2008.</w:t>
      </w:r>
    </w:p>
  </w:footnote>
  <w:footnote w:id="43">
    <w:p w14:paraId="3E1618D3" w14:textId="77777777" w:rsidR="00112772" w:rsidRPr="00D8238D" w:rsidRDefault="00112772" w:rsidP="00EA77A2">
      <w:pPr>
        <w:pStyle w:val="FootnoteText"/>
        <w:jc w:val="both"/>
        <w:rPr>
          <w:rFonts w:asciiTheme="majorHAnsi" w:hAnsiTheme="majorHAnsi"/>
          <w:color w:val="auto"/>
          <w:sz w:val="16"/>
          <w:szCs w:val="16"/>
        </w:rPr>
      </w:pPr>
      <w:r w:rsidRPr="00D8238D">
        <w:rPr>
          <w:rFonts w:asciiTheme="majorHAnsi" w:eastAsia="Cambria" w:hAnsiTheme="majorHAnsi" w:cs="Cambria"/>
          <w:color w:val="auto"/>
          <w:sz w:val="16"/>
          <w:szCs w:val="16"/>
          <w:vertAlign w:val="superscript"/>
        </w:rPr>
        <w:footnoteRef/>
      </w:r>
      <w:r w:rsidRPr="00D8238D">
        <w:rPr>
          <w:rFonts w:asciiTheme="majorHAnsi" w:eastAsia="Cambria" w:hAnsiTheme="majorHAnsi" w:cs="Cambria"/>
          <w:color w:val="auto"/>
          <w:sz w:val="16"/>
          <w:szCs w:val="16"/>
        </w:rPr>
        <w:t xml:space="preserve"> See, in this respect, IACHR, The death penalty in the Inter-American System of Human Rights: From restrictions to abolition, OEA/Ser.L/V/II.Doc. 68, December 31, 2011.</w:t>
      </w:r>
    </w:p>
  </w:footnote>
  <w:footnote w:id="44">
    <w:p w14:paraId="70C33087" w14:textId="77777777" w:rsidR="00112772" w:rsidRPr="00D8238D" w:rsidRDefault="00112772" w:rsidP="00EA77A2">
      <w:pPr>
        <w:pStyle w:val="FootnoteText"/>
        <w:jc w:val="both"/>
        <w:rPr>
          <w:rFonts w:asciiTheme="majorHAnsi" w:hAnsiTheme="majorHAnsi"/>
          <w:color w:val="auto"/>
          <w:sz w:val="16"/>
          <w:szCs w:val="16"/>
        </w:rPr>
      </w:pPr>
      <w:r w:rsidRPr="00D8238D">
        <w:rPr>
          <w:rFonts w:asciiTheme="majorHAnsi" w:eastAsia="Cambria" w:hAnsiTheme="majorHAnsi" w:cs="Cambria"/>
          <w:color w:val="auto"/>
          <w:sz w:val="16"/>
          <w:szCs w:val="16"/>
          <w:vertAlign w:val="superscript"/>
        </w:rPr>
        <w:footnoteRef/>
      </w:r>
      <w:r w:rsidRPr="00D8238D">
        <w:rPr>
          <w:rFonts w:asciiTheme="majorHAnsi" w:eastAsia="Cambria" w:hAnsiTheme="majorHAnsi" w:cs="Cambria"/>
          <w:color w:val="auto"/>
          <w:sz w:val="16"/>
          <w:szCs w:val="16"/>
        </w:rPr>
        <w:t xml:space="preserve"> See, for example: I/A Court H. R., Advisory Opinion OC-16/99 (October 1, 1999), </w:t>
      </w:r>
      <w:r w:rsidRPr="00D8238D">
        <w:rPr>
          <w:rFonts w:asciiTheme="majorHAnsi" w:eastAsia="Cambria" w:hAnsiTheme="majorHAnsi" w:cs="Cambria"/>
          <w:i/>
          <w:iCs/>
          <w:color w:val="auto"/>
          <w:sz w:val="16"/>
          <w:szCs w:val="16"/>
        </w:rPr>
        <w:t>The Right to Information on Consular Assistance in the Framework of the Guarantees of the Due Process of Law</w:t>
      </w:r>
      <w:r w:rsidRPr="00D8238D">
        <w:rPr>
          <w:rFonts w:asciiTheme="majorHAnsi" w:eastAsia="Cambria" w:hAnsiTheme="majorHAnsi" w:cs="Cambria"/>
          <w:color w:val="auto"/>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r w:rsidRPr="00D8238D">
        <w:rPr>
          <w:rFonts w:asciiTheme="majorHAnsi" w:eastAsia="Cambria" w:hAnsiTheme="majorHAnsi" w:cs="Cambria"/>
          <w:i/>
          <w:iCs/>
          <w:color w:val="auto"/>
          <w:sz w:val="16"/>
          <w:szCs w:val="16"/>
        </w:rPr>
        <w:t>Baboheram-Adhin et al. v. Suriname</w:t>
      </w:r>
      <w:r w:rsidRPr="00D8238D">
        <w:rPr>
          <w:rFonts w:asciiTheme="majorHAnsi" w:eastAsia="Cambria" w:hAnsiTheme="majorHAnsi" w:cs="Cambria"/>
          <w:color w:val="auto"/>
          <w:sz w:val="16"/>
          <w:szCs w:val="16"/>
        </w:rPr>
        <w:t>,</w:t>
      </w:r>
      <w:r w:rsidRPr="00D8238D">
        <w:rPr>
          <w:rFonts w:asciiTheme="majorHAnsi" w:eastAsia="Cambria" w:hAnsiTheme="majorHAnsi" w:cs="Cambria"/>
          <w:i/>
          <w:iCs/>
          <w:color w:val="auto"/>
          <w:sz w:val="16"/>
          <w:szCs w:val="16"/>
        </w:rPr>
        <w:t xml:space="preserve"> </w:t>
      </w:r>
      <w:r w:rsidRPr="00D8238D">
        <w:rPr>
          <w:rFonts w:asciiTheme="majorHAnsi" w:eastAsia="Cambria" w:hAnsiTheme="majorHAnsi" w:cs="Cambria"/>
          <w:color w:val="auto"/>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D8238D">
        <w:rPr>
          <w:rFonts w:asciiTheme="majorHAnsi" w:eastAsia="Cambria" w:hAnsiTheme="majorHAnsi" w:cs="Cambria"/>
          <w:i/>
          <w:iCs/>
          <w:color w:val="auto"/>
          <w:sz w:val="16"/>
          <w:szCs w:val="16"/>
        </w:rPr>
        <w:t>Report of the United Nations Special Rapporteur on Extrajudicial Executions</w:t>
      </w:r>
      <w:r w:rsidRPr="00D8238D">
        <w:rPr>
          <w:rFonts w:asciiTheme="majorHAnsi" w:eastAsia="Cambria" w:hAnsiTheme="majorHAnsi" w:cs="Cambria"/>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(“the Ndiaye Report”), para. 378 (emphasizing that in capital cases, it is the application of the standards of fair trial to each and every case that needs to be ensured and, in case of indications to the contrary, verified, in accordance with the obligation under international law to conduct exhaustive and impartial investigations into all allegations of violation of the right to life).</w:t>
      </w:r>
    </w:p>
  </w:footnote>
  <w:footnote w:id="45">
    <w:p w14:paraId="0B299359" w14:textId="77777777" w:rsidR="00112772" w:rsidRPr="00D8238D" w:rsidRDefault="00112772" w:rsidP="00EA77A2">
      <w:pPr>
        <w:pStyle w:val="FootnoteText"/>
        <w:jc w:val="both"/>
        <w:rPr>
          <w:rFonts w:asciiTheme="majorHAnsi" w:hAnsiTheme="majorHAnsi"/>
          <w:color w:val="auto"/>
          <w:sz w:val="16"/>
          <w:szCs w:val="16"/>
        </w:rPr>
      </w:pPr>
      <w:r w:rsidRPr="00D8238D">
        <w:rPr>
          <w:rFonts w:asciiTheme="majorHAnsi" w:eastAsia="Cambria" w:hAnsiTheme="majorHAnsi" w:cs="Cambria"/>
          <w:color w:val="auto"/>
          <w:sz w:val="16"/>
          <w:szCs w:val="16"/>
          <w:vertAlign w:val="superscript"/>
        </w:rPr>
        <w:footnoteRef/>
      </w:r>
      <w:r w:rsidRPr="00D8238D">
        <w:rPr>
          <w:rFonts w:asciiTheme="majorHAnsi" w:eastAsia="Cambria" w:hAnsiTheme="majorHAnsi" w:cs="Cambria"/>
          <w:color w:val="auto"/>
          <w:sz w:val="16"/>
          <w:szCs w:val="16"/>
        </w:rPr>
        <w:t xml:space="preserve"> IACHR, Report No. 11/15, Case 12.833, Merits (Publication), Felix Rocha Diaz, United States, March 23, 2015, para. 54; Report No. 44/14, Case 12.873, Merits (Publication), Edgar Tamayo Arias, United States, July 17, 2014, para. 127;</w:t>
      </w:r>
      <w:r w:rsidRPr="00D8238D">
        <w:rPr>
          <w:rFonts w:asciiTheme="majorHAnsi" w:eastAsia="Cambria" w:hAnsiTheme="majorHAnsi" w:cs="Cambria"/>
          <w:i/>
          <w:iCs/>
          <w:color w:val="auto"/>
          <w:sz w:val="16"/>
          <w:szCs w:val="16"/>
        </w:rPr>
        <w:t xml:space="preserve"> </w:t>
      </w:r>
      <w:r w:rsidRPr="00D8238D">
        <w:rPr>
          <w:rFonts w:asciiTheme="majorHAnsi" w:eastAsia="Cambria" w:hAnsiTheme="majorHAnsi" w:cs="Cambria"/>
          <w:color w:val="auto"/>
          <w:sz w:val="16"/>
          <w:szCs w:val="16"/>
        </w:rPr>
        <w:t>Report No. 57/96, Andrews, United States, IACHR Annual Report 1997, para. 170-171.</w:t>
      </w:r>
    </w:p>
  </w:footnote>
  <w:footnote w:id="46">
    <w:p w14:paraId="55066AD0" w14:textId="77777777" w:rsidR="00112772" w:rsidRPr="00D8238D" w:rsidRDefault="00112772" w:rsidP="00EA77A2">
      <w:pPr>
        <w:pStyle w:val="Body"/>
        <w:jc w:val="both"/>
        <w:rPr>
          <w:rFonts w:asciiTheme="majorHAnsi" w:hAnsiTheme="majorHAnsi"/>
          <w:color w:val="auto"/>
          <w:sz w:val="16"/>
          <w:szCs w:val="16"/>
        </w:rPr>
      </w:pPr>
      <w:r w:rsidRPr="00D8238D">
        <w:rPr>
          <w:rFonts w:asciiTheme="majorHAnsi" w:eastAsia="Cambria" w:hAnsiTheme="majorHAnsi" w:cs="Cambria"/>
          <w:color w:val="auto"/>
          <w:sz w:val="16"/>
          <w:szCs w:val="16"/>
          <w:vertAlign w:val="superscript"/>
        </w:rPr>
        <w:footnoteRef/>
      </w:r>
      <w:r w:rsidRPr="00D8238D">
        <w:rPr>
          <w:rFonts w:asciiTheme="majorHAnsi" w:eastAsia="Cambria" w:hAnsiTheme="majorHAnsi" w:cs="Cambria"/>
          <w:color w:val="auto"/>
          <w:sz w:val="16"/>
          <w:szCs w:val="16"/>
        </w:rPr>
        <w:t xml:space="preserve"> IACHR, The death penalty in the Inter-American System of Human Rights: From restrictions to abolition, OEA/Ser.L/V/II.Doc. 68, December 31, 2011, para. 41.</w:t>
      </w:r>
    </w:p>
  </w:footnote>
  <w:footnote w:id="47">
    <w:p w14:paraId="723C9137" w14:textId="77777777" w:rsidR="00112772" w:rsidRPr="00D8238D" w:rsidRDefault="00112772" w:rsidP="00EA77A2">
      <w:pPr>
        <w:pStyle w:val="Body"/>
        <w:jc w:val="both"/>
        <w:rPr>
          <w:rFonts w:asciiTheme="majorHAnsi" w:hAnsiTheme="majorHAnsi"/>
          <w:color w:val="auto"/>
          <w:sz w:val="16"/>
          <w:szCs w:val="16"/>
        </w:rPr>
      </w:pPr>
      <w:r w:rsidRPr="00D8238D">
        <w:rPr>
          <w:rFonts w:asciiTheme="majorHAnsi" w:eastAsia="Cambria" w:hAnsiTheme="majorHAnsi" w:cs="Cambria"/>
          <w:color w:val="auto"/>
          <w:sz w:val="16"/>
          <w:szCs w:val="16"/>
          <w:vertAlign w:val="superscript"/>
        </w:rPr>
        <w:footnoteRef/>
      </w:r>
      <w:r w:rsidRPr="00D8238D">
        <w:rPr>
          <w:rFonts w:asciiTheme="majorHAnsi" w:eastAsia="Cambria" w:hAnsiTheme="majorHAnsi" w:cs="Cambria"/>
          <w:color w:val="auto"/>
          <w:sz w:val="16"/>
          <w:szCs w:val="16"/>
        </w:rPr>
        <w:t xml:space="preserve"> IACHR, Report No. 78/07, Case 12.265, Merits (Publication), Chad Roger Goodman, The Bahamas, October 15, 2007, para. 34.</w:t>
      </w:r>
    </w:p>
  </w:footnote>
  <w:footnote w:id="48">
    <w:p w14:paraId="189BDB27" w14:textId="77777777" w:rsidR="00112772" w:rsidRPr="00D8238D" w:rsidRDefault="00112772" w:rsidP="00EA77A2">
      <w:pPr>
        <w:pStyle w:val="FootnoteText"/>
        <w:jc w:val="both"/>
        <w:rPr>
          <w:rFonts w:asciiTheme="majorHAnsi" w:hAnsiTheme="majorHAnsi"/>
          <w:color w:val="auto"/>
          <w:sz w:val="16"/>
          <w:szCs w:val="16"/>
        </w:rPr>
      </w:pPr>
      <w:r w:rsidRPr="00D8238D">
        <w:rPr>
          <w:rFonts w:asciiTheme="majorHAnsi" w:eastAsia="Cambria" w:hAnsiTheme="majorHAnsi" w:cs="Cambria"/>
          <w:color w:val="auto"/>
          <w:sz w:val="16"/>
          <w:szCs w:val="16"/>
          <w:vertAlign w:val="superscript"/>
        </w:rPr>
        <w:footnoteRef/>
      </w:r>
      <w:r w:rsidRPr="00D8238D">
        <w:rPr>
          <w:rFonts w:asciiTheme="majorHAnsi" w:eastAsia="Cambria" w:hAnsiTheme="majorHAnsi" w:cs="Cambria"/>
          <w:color w:val="auto"/>
          <w:sz w:val="16"/>
          <w:szCs w:val="16"/>
        </w:rPr>
        <w:t xml:space="preserve"> IACHR, Report No. 44/14, Case 12,873, Report on Merits (Publication), Edgar Tamayo Arias, United States, July 17, 2014, para. 214.</w:t>
      </w:r>
    </w:p>
  </w:footnote>
  <w:footnote w:id="49">
    <w:p w14:paraId="2E331780" w14:textId="77777777" w:rsidR="00112772" w:rsidRPr="00B822DD" w:rsidRDefault="00112772" w:rsidP="00EA77A2">
      <w:pPr>
        <w:pStyle w:val="NormalWeb"/>
        <w:spacing w:before="0" w:beforeAutospacing="0" w:after="0" w:afterAutospacing="0"/>
        <w:jc w:val="both"/>
        <w:rPr>
          <w:rFonts w:asciiTheme="majorHAnsi" w:eastAsia="Arial Unicode MS" w:hAnsiTheme="majorHAnsi"/>
          <w:sz w:val="16"/>
          <w:szCs w:val="16"/>
        </w:rPr>
      </w:pPr>
      <w:r w:rsidRPr="00B822DD">
        <w:rPr>
          <w:rFonts w:asciiTheme="majorHAnsi" w:eastAsia="Cambria" w:hAnsiTheme="majorHAnsi" w:cs="Cambria"/>
          <w:sz w:val="16"/>
          <w:szCs w:val="16"/>
          <w:vertAlign w:val="superscript"/>
        </w:rPr>
        <w:footnoteRef/>
      </w:r>
      <w:r w:rsidRPr="00B822DD">
        <w:rPr>
          <w:rFonts w:asciiTheme="majorHAnsi" w:eastAsia="Cambria" w:hAnsiTheme="majorHAnsi" w:cs="Cambria"/>
          <w:sz w:val="16"/>
          <w:szCs w:val="16"/>
          <w:vertAlign w:val="superscript"/>
        </w:rPr>
        <w:t xml:space="preserve"> </w:t>
      </w:r>
      <w:r w:rsidRPr="00B822DD">
        <w:rPr>
          <w:rFonts w:asciiTheme="majorHAnsi" w:eastAsia="Arial Unicode MS" w:hAnsiTheme="majorHAnsi"/>
          <w:sz w:val="16"/>
          <w:szCs w:val="16"/>
        </w:rPr>
        <w:t>Article 4 (Right to Life) of the American Convention establishes that:</w:t>
      </w:r>
    </w:p>
    <w:p w14:paraId="7919430B" w14:textId="77777777" w:rsidR="00112772" w:rsidRPr="00B822DD" w:rsidRDefault="00112772" w:rsidP="00EA77A2">
      <w:pPr>
        <w:pStyle w:val="NormalWeb"/>
        <w:spacing w:before="0" w:beforeAutospacing="0" w:after="0" w:afterAutospacing="0"/>
        <w:jc w:val="both"/>
        <w:rPr>
          <w:rFonts w:asciiTheme="majorHAnsi" w:eastAsia="Arial Unicode MS" w:hAnsiTheme="majorHAnsi"/>
          <w:sz w:val="16"/>
          <w:szCs w:val="16"/>
        </w:rPr>
      </w:pPr>
      <w:r w:rsidRPr="00B822DD">
        <w:rPr>
          <w:rFonts w:asciiTheme="majorHAnsi" w:eastAsia="Arial Unicode MS" w:hAnsiTheme="majorHAnsi"/>
          <w:sz w:val="16"/>
          <w:szCs w:val="16"/>
        </w:rPr>
        <w:t>1. Every person has the right to have his life respected. This right shall be protected by law and, in general, from the moment of conception. No one shall be arbitrarily deprived of his life.</w:t>
      </w:r>
    </w:p>
    <w:p w14:paraId="592DEA04" w14:textId="77777777" w:rsidR="00112772" w:rsidRPr="00B822DD" w:rsidRDefault="00112772" w:rsidP="00EA77A2">
      <w:pPr>
        <w:pStyle w:val="NormalWeb"/>
        <w:spacing w:before="0" w:beforeAutospacing="0" w:after="0" w:afterAutospacing="0"/>
        <w:jc w:val="both"/>
        <w:rPr>
          <w:rFonts w:asciiTheme="majorHAnsi" w:eastAsia="Arial Unicode MS" w:hAnsiTheme="majorHAnsi"/>
          <w:sz w:val="16"/>
          <w:szCs w:val="16"/>
        </w:rPr>
      </w:pPr>
      <w:r w:rsidRPr="00B822DD">
        <w:rPr>
          <w:rFonts w:asciiTheme="majorHAnsi" w:eastAsia="Arial Unicode MS" w:hAnsiTheme="majorHAnsi"/>
          <w:sz w:val="16"/>
          <w:szCs w:val="16"/>
        </w:rPr>
        <w:t>2. 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w:t>
      </w:r>
    </w:p>
    <w:p w14:paraId="51778061" w14:textId="77777777" w:rsidR="00112772" w:rsidRPr="00B822DD" w:rsidRDefault="00112772" w:rsidP="00EA77A2">
      <w:pPr>
        <w:pStyle w:val="NormalWeb"/>
        <w:spacing w:before="0" w:beforeAutospacing="0" w:after="0" w:afterAutospacing="0"/>
        <w:jc w:val="both"/>
        <w:rPr>
          <w:rFonts w:asciiTheme="majorHAnsi" w:hAnsiTheme="majorHAnsi"/>
          <w:sz w:val="16"/>
          <w:szCs w:val="16"/>
        </w:rPr>
      </w:pPr>
      <w:r w:rsidRPr="00B822DD">
        <w:rPr>
          <w:rFonts w:asciiTheme="majorHAnsi" w:eastAsia="Arial Unicode MS" w:hAnsiTheme="majorHAnsi"/>
          <w:sz w:val="16"/>
          <w:szCs w:val="16"/>
        </w:rPr>
        <w:t xml:space="preserve">Article I of the American Declaration provides: “Every human being has the right to life, liberty and security of his person.” </w:t>
      </w:r>
    </w:p>
  </w:footnote>
  <w:footnote w:id="50">
    <w:p w14:paraId="7084FCC6" w14:textId="77777777" w:rsidR="00112772" w:rsidRPr="00D8238D" w:rsidRDefault="00112772" w:rsidP="00EA77A2">
      <w:pPr>
        <w:pStyle w:val="NormalWeb"/>
        <w:spacing w:before="0" w:beforeAutospacing="0" w:after="0" w:afterAutospacing="0"/>
        <w:rPr>
          <w:rFonts w:asciiTheme="majorHAnsi" w:hAnsiTheme="majorHAnsi" w:cs="Tahoma"/>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D8238D">
        <w:rPr>
          <w:rFonts w:asciiTheme="majorHAnsi" w:hAnsiTheme="majorHAnsi" w:cs="Tahoma"/>
          <w:sz w:val="16"/>
          <w:szCs w:val="16"/>
        </w:rPr>
        <w:t>Article 5 (Right to Humane Treatment) of the American Convention provides:</w:t>
      </w:r>
    </w:p>
    <w:p w14:paraId="38E23B94" w14:textId="77777777" w:rsidR="00112772" w:rsidRPr="00D8238D" w:rsidRDefault="00112772" w:rsidP="00EA77A2">
      <w:pPr>
        <w:pStyle w:val="NormalWeb"/>
        <w:spacing w:before="0" w:beforeAutospacing="0" w:after="0" w:afterAutospacing="0"/>
        <w:rPr>
          <w:rFonts w:asciiTheme="majorHAnsi" w:hAnsiTheme="majorHAnsi" w:cs="Tahoma"/>
          <w:sz w:val="16"/>
          <w:szCs w:val="16"/>
        </w:rPr>
      </w:pPr>
      <w:r w:rsidRPr="00D8238D">
        <w:rPr>
          <w:rFonts w:asciiTheme="majorHAnsi" w:hAnsiTheme="majorHAnsi" w:cs="Tahoma"/>
          <w:sz w:val="16"/>
          <w:szCs w:val="16"/>
        </w:rPr>
        <w:t>1. Every person has the right to have his physical, mental, and moral integrity respected.</w:t>
      </w:r>
    </w:p>
    <w:p w14:paraId="5A147C26" w14:textId="77777777" w:rsidR="00112772" w:rsidRPr="00B822DD" w:rsidRDefault="00112772" w:rsidP="00EA77A2">
      <w:pPr>
        <w:pStyle w:val="NormalWeb"/>
        <w:spacing w:before="0" w:beforeAutospacing="0" w:after="0" w:afterAutospacing="0"/>
        <w:rPr>
          <w:rFonts w:asciiTheme="majorHAnsi" w:hAnsiTheme="majorHAnsi" w:cs="Tahoma"/>
          <w:sz w:val="16"/>
          <w:szCs w:val="16"/>
        </w:rPr>
      </w:pPr>
      <w:r w:rsidRPr="00D8238D">
        <w:rPr>
          <w:rFonts w:asciiTheme="majorHAnsi" w:hAnsiTheme="majorHAnsi" w:cs="Tahoma"/>
          <w:sz w:val="16"/>
          <w:szCs w:val="16"/>
        </w:rPr>
        <w:t>2. No one shall be subjected to torture or to cruel, inhuman, or degrading punishment or treatment. All persons deprived of their liberty shall be treated with respect for the inherent dignity of the human person.</w:t>
      </w:r>
    </w:p>
  </w:footnote>
  <w:footnote w:id="51">
    <w:p w14:paraId="5EEBA069" w14:textId="77777777" w:rsidR="00112772" w:rsidRPr="00D8238D" w:rsidRDefault="00112772" w:rsidP="00EA77A2">
      <w:pPr>
        <w:pStyle w:val="NormalWeb"/>
        <w:spacing w:before="0" w:beforeAutospacing="0" w:after="0" w:afterAutospacing="0"/>
        <w:jc w:val="both"/>
        <w:rPr>
          <w:rFonts w:asciiTheme="majorHAnsi" w:hAnsiTheme="majorHAnsi" w:cs="Tahoma"/>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D8238D">
        <w:rPr>
          <w:rFonts w:asciiTheme="majorHAnsi" w:hAnsiTheme="majorHAnsi" w:cs="Tahoma"/>
          <w:sz w:val="16"/>
          <w:szCs w:val="16"/>
        </w:rPr>
        <w:t>Article 8 (Right to a Fair Trial) of the American Convention provides that:</w:t>
      </w:r>
    </w:p>
    <w:p w14:paraId="1075B77C" w14:textId="77777777" w:rsidR="00112772" w:rsidRPr="00D8238D" w:rsidRDefault="00112772" w:rsidP="00EA77A2">
      <w:pPr>
        <w:pStyle w:val="NormalWeb"/>
        <w:spacing w:before="0" w:beforeAutospacing="0" w:after="0" w:afterAutospacing="0"/>
        <w:jc w:val="both"/>
        <w:rPr>
          <w:rFonts w:asciiTheme="majorHAnsi" w:hAnsiTheme="majorHAnsi" w:cs="Tahoma"/>
          <w:sz w:val="16"/>
          <w:szCs w:val="16"/>
        </w:rPr>
      </w:pPr>
      <w:r w:rsidRPr="00D8238D">
        <w:rPr>
          <w:rFonts w:asciiTheme="majorHAnsi" w:hAnsiTheme="majorHAnsi" w:cs="Tahoma"/>
          <w:sz w:val="16"/>
          <w:szCs w:val="16"/>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0F0CD3A3" w14:textId="77777777" w:rsidR="00112772" w:rsidRPr="00B822DD" w:rsidRDefault="00112772" w:rsidP="00EA77A2">
      <w:pPr>
        <w:keepNext/>
        <w:jc w:val="both"/>
        <w:rPr>
          <w:rFonts w:asciiTheme="majorHAnsi" w:hAnsiTheme="majorHAnsi"/>
          <w:sz w:val="16"/>
          <w:szCs w:val="16"/>
        </w:rPr>
      </w:pPr>
      <w:r w:rsidRPr="00B822DD">
        <w:rPr>
          <w:rFonts w:asciiTheme="majorHAnsi" w:hAnsiTheme="majorHAnsi"/>
          <w:sz w:val="16"/>
          <w:szCs w:val="16"/>
        </w:rPr>
        <w:t>Article XVIII (Right to a fair trial) of the American Declaration provides: “Every person may resort to the courts to encure respect for hit legal rights. There should likewise be available to him a simple, brief procedure whereby the courts will protect him from acts of authority that, to his prejudice, violate any fundamental constitutional rights.”</w:t>
      </w:r>
    </w:p>
    <w:p w14:paraId="7A1FC18B" w14:textId="77777777" w:rsidR="00112772" w:rsidRPr="00B822DD" w:rsidRDefault="00112772" w:rsidP="00EA77A2">
      <w:pPr>
        <w:keepNext/>
        <w:jc w:val="both"/>
        <w:rPr>
          <w:rFonts w:asciiTheme="majorHAnsi" w:hAnsiTheme="majorHAnsi"/>
          <w:sz w:val="16"/>
          <w:szCs w:val="16"/>
        </w:rPr>
      </w:pPr>
      <w:r w:rsidRPr="00B822DD">
        <w:rPr>
          <w:rFonts w:asciiTheme="majorHAnsi" w:hAnsiTheme="majorHAnsi"/>
          <w:sz w:val="16"/>
          <w:szCs w:val="16"/>
        </w:rPr>
        <w:t>Article XXVI (Right to due process of law) of the American Declaration provides: “Every accused person is presumed to be innocent until proved guilty.</w:t>
      </w:r>
    </w:p>
    <w:p w14:paraId="2F50ED94" w14:textId="77777777" w:rsidR="00112772" w:rsidRPr="00D8238D" w:rsidRDefault="00112772" w:rsidP="00EA77A2">
      <w:pPr>
        <w:pStyle w:val="FootnoteText"/>
        <w:jc w:val="both"/>
        <w:rPr>
          <w:rFonts w:asciiTheme="majorHAnsi" w:hAnsiTheme="majorHAnsi"/>
          <w:color w:val="auto"/>
          <w:sz w:val="16"/>
          <w:szCs w:val="16"/>
        </w:rPr>
      </w:pPr>
      <w:r w:rsidRPr="00D8238D">
        <w:rPr>
          <w:rFonts w:asciiTheme="majorHAnsi" w:hAnsiTheme="majorHAnsi"/>
          <w:color w:val="auto"/>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52">
    <w:p w14:paraId="4EB718D0" w14:textId="77777777" w:rsidR="00112772" w:rsidRPr="00D8238D" w:rsidRDefault="00112772" w:rsidP="00EA77A2">
      <w:pPr>
        <w:pStyle w:val="FootnoteText"/>
        <w:jc w:val="both"/>
        <w:rPr>
          <w:rFonts w:asciiTheme="majorHAnsi" w:hAnsiTheme="majorHAnsi"/>
          <w:color w:val="auto"/>
          <w:sz w:val="16"/>
          <w:szCs w:val="16"/>
        </w:rPr>
      </w:pPr>
      <w:r w:rsidRPr="00D8238D">
        <w:rPr>
          <w:rFonts w:asciiTheme="majorHAnsi" w:eastAsia="Cambria" w:hAnsiTheme="majorHAnsi" w:cs="Cambria"/>
          <w:color w:val="auto"/>
          <w:sz w:val="16"/>
          <w:szCs w:val="16"/>
          <w:vertAlign w:val="superscript"/>
          <w:lang w:eastAsia="en-US"/>
        </w:rPr>
        <w:footnoteRef/>
      </w:r>
      <w:r w:rsidRPr="00D8238D">
        <w:rPr>
          <w:rFonts w:asciiTheme="majorHAnsi" w:eastAsia="Cambria" w:hAnsiTheme="majorHAnsi" w:cs="Cambria"/>
          <w:color w:val="auto"/>
          <w:sz w:val="16"/>
          <w:szCs w:val="16"/>
          <w:vertAlign w:val="superscript"/>
          <w:lang w:eastAsia="en-US"/>
        </w:rPr>
        <w:t xml:space="preserve"> </w:t>
      </w:r>
      <w:r w:rsidRPr="00D8238D">
        <w:rPr>
          <w:rFonts w:asciiTheme="majorHAnsi" w:hAnsiTheme="majorHAnsi"/>
          <w:color w:val="auto"/>
          <w:sz w:val="16"/>
          <w:szCs w:val="16"/>
        </w:rPr>
        <w:t>IACHR, The Death penalty in the Inter-American Human Rights Systems: From Restrictions to Abolition, 31 December 2011, p. 27.</w:t>
      </w:r>
    </w:p>
  </w:footnote>
  <w:footnote w:id="53">
    <w:p w14:paraId="613FB96E" w14:textId="77777777" w:rsidR="00112772" w:rsidRPr="00D8238D" w:rsidRDefault="00112772" w:rsidP="00EA77A2">
      <w:pPr>
        <w:pStyle w:val="FootnoteText"/>
        <w:jc w:val="both"/>
        <w:rPr>
          <w:rFonts w:asciiTheme="majorHAnsi" w:hAnsiTheme="majorHAnsi"/>
          <w:color w:val="auto"/>
          <w:sz w:val="16"/>
          <w:szCs w:val="16"/>
        </w:rPr>
      </w:pPr>
      <w:r w:rsidRPr="00D8238D">
        <w:rPr>
          <w:rFonts w:asciiTheme="majorHAnsi" w:eastAsia="Cambria" w:hAnsiTheme="majorHAnsi" w:cs="Cambria"/>
          <w:color w:val="auto"/>
          <w:sz w:val="16"/>
          <w:szCs w:val="16"/>
          <w:vertAlign w:val="superscript"/>
          <w:lang w:eastAsia="en-US"/>
        </w:rPr>
        <w:footnoteRef/>
      </w:r>
      <w:r w:rsidRPr="00D8238D">
        <w:rPr>
          <w:rFonts w:asciiTheme="majorHAnsi" w:eastAsia="Cambria" w:hAnsiTheme="majorHAnsi" w:cs="Cambria"/>
          <w:color w:val="auto"/>
          <w:sz w:val="16"/>
          <w:szCs w:val="16"/>
          <w:vertAlign w:val="superscript"/>
          <w:lang w:eastAsia="en-US"/>
        </w:rPr>
        <w:t xml:space="preserve"> </w:t>
      </w:r>
      <w:r w:rsidRPr="00D8238D">
        <w:rPr>
          <w:rFonts w:asciiTheme="majorHAnsi" w:hAnsiTheme="majorHAnsi"/>
          <w:color w:val="auto"/>
          <w:sz w:val="16"/>
          <w:szCs w:val="16"/>
          <w:bdr w:val="none" w:sz="0" w:space="0" w:color="auto"/>
        </w:rPr>
        <w:t xml:space="preserve">I/A Court H.R., </w:t>
      </w:r>
      <w:r w:rsidRPr="00D8238D">
        <w:rPr>
          <w:rFonts w:asciiTheme="majorHAnsi" w:hAnsiTheme="majorHAnsi"/>
          <w:i/>
          <w:iCs/>
          <w:color w:val="auto"/>
          <w:sz w:val="16"/>
          <w:szCs w:val="16"/>
          <w:bdr w:val="none" w:sz="0" w:space="0" w:color="auto"/>
        </w:rPr>
        <w:t>Case of Hilaire, Constantine and Benjamin et al. v. Trinidad and Tobago</w:t>
      </w:r>
      <w:r w:rsidRPr="00D8238D">
        <w:rPr>
          <w:rFonts w:asciiTheme="majorHAnsi" w:hAnsiTheme="majorHAnsi"/>
          <w:color w:val="auto"/>
          <w:sz w:val="16"/>
          <w:szCs w:val="16"/>
          <w:bdr w:val="none" w:sz="0" w:space="0" w:color="auto"/>
        </w:rPr>
        <w:t>. Judgment of June 21, 2002. Series C No. 94, para. 103</w:t>
      </w:r>
      <w:r>
        <w:rPr>
          <w:rFonts w:asciiTheme="majorHAnsi" w:hAnsiTheme="majorHAnsi"/>
          <w:color w:val="auto"/>
          <w:sz w:val="16"/>
          <w:szCs w:val="16"/>
          <w:bdr w:val="none" w:sz="0" w:space="0" w:color="auto"/>
        </w:rPr>
        <w:t>, 108 and 116</w:t>
      </w:r>
      <w:r w:rsidRPr="00D8238D">
        <w:rPr>
          <w:rFonts w:asciiTheme="majorHAnsi" w:hAnsiTheme="majorHAnsi"/>
          <w:color w:val="auto"/>
          <w:sz w:val="16"/>
          <w:szCs w:val="16"/>
          <w:bdr w:val="none" w:sz="0" w:space="0" w:color="auto"/>
        </w:rPr>
        <w:t>.</w:t>
      </w:r>
    </w:p>
  </w:footnote>
  <w:footnote w:id="54">
    <w:p w14:paraId="64B990F1"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Style w:val="FootnoteReference"/>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 Court H.R., </w:t>
      </w:r>
      <w:r w:rsidRPr="00D8238D">
        <w:rPr>
          <w:rFonts w:asciiTheme="majorHAnsi" w:hAnsiTheme="majorHAnsi"/>
          <w:i/>
          <w:iCs/>
          <w:color w:val="auto"/>
          <w:sz w:val="16"/>
          <w:szCs w:val="16"/>
          <w:bdr w:val="none" w:sz="0" w:space="0" w:color="auto"/>
        </w:rPr>
        <w:t>Case of Hilaire, Constantine and Benjamin et al. v. Trinidad and Tobago</w:t>
      </w:r>
      <w:r w:rsidRPr="00D8238D">
        <w:rPr>
          <w:rFonts w:asciiTheme="majorHAnsi" w:hAnsiTheme="majorHAnsi"/>
          <w:color w:val="auto"/>
          <w:sz w:val="16"/>
          <w:szCs w:val="16"/>
          <w:bdr w:val="none" w:sz="0" w:space="0" w:color="auto"/>
        </w:rPr>
        <w:t>. Judgment of June 21, 2002. Series C No. 94, para. 77.</w:t>
      </w:r>
    </w:p>
  </w:footnote>
  <w:footnote w:id="55">
    <w:p w14:paraId="3DFA618A"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IACHR, Report No. 12.231, Case 12.231. Merits (Publication). Peter Cash. Commonwealth of the Bahamas. April 2, 2014, </w:t>
      </w:r>
      <w:r w:rsidRPr="00D8238D">
        <w:rPr>
          <w:rFonts w:asciiTheme="majorHAnsi" w:hAnsiTheme="majorHAnsi"/>
          <w:color w:val="auto"/>
          <w:sz w:val="16"/>
          <w:szCs w:val="16"/>
        </w:rPr>
        <w:t>para. 74.</w:t>
      </w:r>
    </w:p>
  </w:footnote>
  <w:footnote w:id="56">
    <w:p w14:paraId="497CCBDD"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IACHR, Report No. 12.231, Case 12.231. Merits (Publication). Peter Cash. Commonwealth of the Bahamas. April 2, 2014, </w:t>
      </w:r>
      <w:r w:rsidRPr="00D8238D">
        <w:rPr>
          <w:rFonts w:asciiTheme="majorHAnsi" w:hAnsiTheme="majorHAnsi"/>
          <w:color w:val="auto"/>
          <w:sz w:val="16"/>
          <w:szCs w:val="16"/>
        </w:rPr>
        <w:t>para 72.</w:t>
      </w:r>
    </w:p>
  </w:footnote>
  <w:footnote w:id="57">
    <w:p w14:paraId="53A5CA3B" w14:textId="77777777" w:rsidR="00112772" w:rsidRPr="00751066" w:rsidRDefault="00112772" w:rsidP="00CD6813">
      <w:pPr>
        <w:pStyle w:val="FootnoteText"/>
        <w:jc w:val="both"/>
        <w:rPr>
          <w:rFonts w:asciiTheme="majorHAnsi" w:hAnsiTheme="majorHAnsi"/>
          <w:color w:val="auto"/>
          <w:sz w:val="16"/>
          <w:szCs w:val="16"/>
        </w:rPr>
      </w:pPr>
      <w:r w:rsidRPr="00751066">
        <w:rPr>
          <w:rStyle w:val="FootnoteReference"/>
          <w:rFonts w:asciiTheme="majorHAnsi" w:hAnsiTheme="majorHAnsi"/>
          <w:color w:val="auto"/>
          <w:sz w:val="16"/>
          <w:szCs w:val="16"/>
        </w:rPr>
        <w:footnoteRef/>
      </w:r>
      <w:r w:rsidRPr="00751066">
        <w:rPr>
          <w:rFonts w:asciiTheme="majorHAnsi" w:hAnsiTheme="majorHAnsi"/>
          <w:color w:val="auto"/>
          <w:sz w:val="16"/>
          <w:szCs w:val="16"/>
        </w:rPr>
        <w:t xml:space="preserve"> The Caribbean Court of Justice: CCJ Strikes down mandatory death penalty in Barbados. June 27, 2018. Available at: </w:t>
      </w:r>
      <w:hyperlink r:id="rId1" w:history="1">
        <w:r w:rsidRPr="00751066">
          <w:rPr>
            <w:rStyle w:val="Hyperlink"/>
            <w:rFonts w:asciiTheme="majorHAnsi" w:hAnsiTheme="majorHAnsi"/>
            <w:color w:val="auto"/>
            <w:sz w:val="16"/>
            <w:szCs w:val="16"/>
          </w:rPr>
          <w:t>https://www.ccj.org/ccj-strikes-down-mandatory-death-penalty-in-barbados/</w:t>
        </w:r>
      </w:hyperlink>
      <w:r w:rsidRPr="00751066">
        <w:rPr>
          <w:rFonts w:asciiTheme="majorHAnsi" w:hAnsiTheme="majorHAnsi"/>
          <w:color w:val="auto"/>
          <w:sz w:val="16"/>
          <w:szCs w:val="16"/>
        </w:rPr>
        <w:t xml:space="preserve"> </w:t>
      </w:r>
    </w:p>
  </w:footnote>
  <w:footnote w:id="58">
    <w:p w14:paraId="1A4C1752" w14:textId="77777777" w:rsidR="00783135" w:rsidRPr="0069312F" w:rsidRDefault="00783135" w:rsidP="00783135">
      <w:pPr>
        <w:pStyle w:val="FootnoteText"/>
        <w:jc w:val="both"/>
        <w:rPr>
          <w:rFonts w:asciiTheme="majorHAnsi" w:hAnsiTheme="majorHAnsi"/>
          <w:sz w:val="16"/>
          <w:szCs w:val="16"/>
        </w:rPr>
      </w:pPr>
      <w:r w:rsidRPr="0069312F">
        <w:rPr>
          <w:rStyle w:val="FootnoteReference"/>
          <w:rFonts w:asciiTheme="majorHAnsi" w:hAnsiTheme="majorHAnsi"/>
          <w:color w:val="auto"/>
          <w:sz w:val="16"/>
          <w:szCs w:val="16"/>
        </w:rPr>
        <w:footnoteRef/>
      </w:r>
      <w:r w:rsidRPr="0069312F">
        <w:rPr>
          <w:rFonts w:asciiTheme="majorHAnsi" w:hAnsiTheme="majorHAnsi"/>
          <w:sz w:val="16"/>
          <w:szCs w:val="16"/>
        </w:rPr>
        <w:t xml:space="preserve"> </w:t>
      </w:r>
      <w:r w:rsidRPr="0069312F">
        <w:rPr>
          <w:rFonts w:asciiTheme="majorHAnsi" w:hAnsiTheme="majorHAnsi"/>
          <w:color w:val="auto"/>
          <w:sz w:val="16"/>
          <w:szCs w:val="16"/>
        </w:rPr>
        <w:t>IACHR, The death penalty in the Inter-American Human Rights System: From restrictions to abolition, OEA/Ser.L/V/II.Doc 68, December 31, 2011, paras. 26 and 27.</w:t>
      </w:r>
    </w:p>
  </w:footnote>
  <w:footnote w:id="59">
    <w:p w14:paraId="74276F1D" w14:textId="77777777" w:rsidR="00783135" w:rsidRPr="0069312F" w:rsidRDefault="00783135" w:rsidP="00783135">
      <w:pPr>
        <w:pStyle w:val="FootnoteText"/>
        <w:jc w:val="both"/>
        <w:rPr>
          <w:rFonts w:asciiTheme="majorHAnsi" w:hAnsiTheme="majorHAnsi"/>
          <w:sz w:val="16"/>
          <w:szCs w:val="16"/>
        </w:rPr>
      </w:pPr>
      <w:r w:rsidRPr="0069312F">
        <w:rPr>
          <w:rStyle w:val="FootnoteReference"/>
          <w:rFonts w:asciiTheme="majorHAnsi" w:hAnsiTheme="majorHAnsi"/>
          <w:sz w:val="16"/>
          <w:szCs w:val="16"/>
        </w:rPr>
        <w:footnoteRef/>
      </w:r>
      <w:r w:rsidRPr="0069312F">
        <w:rPr>
          <w:rFonts w:asciiTheme="majorHAnsi" w:hAnsiTheme="majorHAnsi"/>
          <w:sz w:val="16"/>
          <w:szCs w:val="16"/>
        </w:rPr>
        <w:t xml:space="preserve"> Brian Tittemore, “The Mandatory Death Penalty in the Commonwealth Caribbean and the Inter‐ American Human Rights System: An Evolution in the Development and Implementation of International Human Rights Protections,” 13 Wm. &amp; Mary Bill of Rts. J. 445 (2004), p. 22.</w:t>
      </w:r>
    </w:p>
  </w:footnote>
  <w:footnote w:id="60">
    <w:p w14:paraId="27DEB2EF" w14:textId="77777777" w:rsidR="00783135" w:rsidRPr="0069312F" w:rsidRDefault="00783135" w:rsidP="00783135">
      <w:pPr>
        <w:pStyle w:val="FootnoteText"/>
        <w:jc w:val="both"/>
        <w:rPr>
          <w:rFonts w:asciiTheme="majorHAnsi" w:hAnsiTheme="majorHAnsi"/>
          <w:color w:val="auto"/>
          <w:sz w:val="16"/>
          <w:szCs w:val="16"/>
        </w:rPr>
      </w:pPr>
      <w:r w:rsidRPr="0069312F">
        <w:rPr>
          <w:rStyle w:val="FootnoteReference"/>
          <w:rFonts w:asciiTheme="majorHAnsi" w:hAnsiTheme="majorHAnsi"/>
          <w:color w:val="auto"/>
          <w:sz w:val="16"/>
          <w:szCs w:val="16"/>
        </w:rPr>
        <w:footnoteRef/>
      </w:r>
      <w:r w:rsidRPr="0069312F">
        <w:rPr>
          <w:rFonts w:asciiTheme="majorHAnsi" w:hAnsiTheme="majorHAnsi"/>
          <w:color w:val="auto"/>
          <w:sz w:val="16"/>
          <w:szCs w:val="16"/>
        </w:rPr>
        <w:t xml:space="preserve"> The Caribbean Court of Justice: CCJ Strikes down mandatory death penalty in Barbados. June 27, 2018. Available at: </w:t>
      </w:r>
      <w:hyperlink r:id="rId2" w:history="1">
        <w:r w:rsidRPr="0069312F">
          <w:rPr>
            <w:rStyle w:val="Hyperlink"/>
            <w:rFonts w:asciiTheme="majorHAnsi" w:hAnsiTheme="majorHAnsi"/>
            <w:color w:val="auto"/>
            <w:sz w:val="16"/>
            <w:szCs w:val="16"/>
          </w:rPr>
          <w:t>https://www.ccj.org/ccj-strikes-down-mandatory-death-penalty-in-barbados/</w:t>
        </w:r>
      </w:hyperlink>
      <w:r w:rsidRPr="0069312F">
        <w:rPr>
          <w:rFonts w:asciiTheme="majorHAnsi" w:hAnsiTheme="majorHAnsi"/>
          <w:color w:val="auto"/>
          <w:sz w:val="16"/>
          <w:szCs w:val="16"/>
        </w:rPr>
        <w:t xml:space="preserve"> </w:t>
      </w:r>
    </w:p>
  </w:footnote>
  <w:footnote w:id="61">
    <w:p w14:paraId="258336FE" w14:textId="77777777" w:rsidR="00783135" w:rsidRPr="0069312F" w:rsidRDefault="00783135" w:rsidP="00783135">
      <w:pPr>
        <w:pStyle w:val="FootnoteText"/>
        <w:jc w:val="both"/>
        <w:rPr>
          <w:rFonts w:asciiTheme="majorHAnsi" w:hAnsiTheme="majorHAnsi"/>
          <w:color w:val="auto"/>
          <w:sz w:val="16"/>
          <w:szCs w:val="16"/>
        </w:rPr>
      </w:pPr>
      <w:r w:rsidRPr="0069312F">
        <w:rPr>
          <w:rStyle w:val="FootnoteReference"/>
          <w:rFonts w:asciiTheme="majorHAnsi" w:hAnsiTheme="majorHAnsi"/>
          <w:color w:val="auto"/>
          <w:sz w:val="16"/>
          <w:szCs w:val="16"/>
        </w:rPr>
        <w:footnoteRef/>
      </w:r>
      <w:r w:rsidRPr="0069312F">
        <w:rPr>
          <w:rStyle w:val="FootnoteReference"/>
          <w:rFonts w:asciiTheme="majorHAnsi" w:hAnsiTheme="majorHAnsi"/>
          <w:color w:val="auto"/>
          <w:sz w:val="16"/>
          <w:szCs w:val="16"/>
        </w:rPr>
        <w:t xml:space="preserve"> </w:t>
      </w:r>
      <w:r w:rsidRPr="0069312F">
        <w:rPr>
          <w:rFonts w:asciiTheme="majorHAnsi" w:hAnsiTheme="majorHAnsi"/>
          <w:color w:val="auto"/>
          <w:sz w:val="16"/>
          <w:szCs w:val="16"/>
        </w:rPr>
        <w:t>United Nations Human Rights Committee’s General comment No. 36 (2018) on article 6 of the International Covenant on Civil and Political Rights, on the right to life. CCPR/C/GC/36. October 30, 2018, para. 37.</w:t>
      </w:r>
    </w:p>
  </w:footnote>
  <w:footnote w:id="62">
    <w:p w14:paraId="35E182A5" w14:textId="77777777" w:rsidR="00783135" w:rsidRPr="0069312F" w:rsidRDefault="00783135" w:rsidP="00783135">
      <w:pPr>
        <w:pStyle w:val="FootnoteText"/>
        <w:jc w:val="both"/>
        <w:rPr>
          <w:rFonts w:asciiTheme="majorHAnsi" w:hAnsiTheme="majorHAnsi"/>
          <w:sz w:val="16"/>
          <w:szCs w:val="16"/>
        </w:rPr>
      </w:pPr>
      <w:r w:rsidRPr="0069312F">
        <w:rPr>
          <w:rStyle w:val="FootnoteReference"/>
          <w:rFonts w:asciiTheme="majorHAnsi" w:hAnsiTheme="majorHAnsi"/>
          <w:sz w:val="16"/>
          <w:szCs w:val="16"/>
        </w:rPr>
        <w:footnoteRef/>
      </w:r>
      <w:r w:rsidRPr="0069312F">
        <w:rPr>
          <w:rFonts w:asciiTheme="majorHAnsi" w:hAnsiTheme="majorHAnsi"/>
          <w:sz w:val="16"/>
          <w:szCs w:val="16"/>
        </w:rPr>
        <w:t xml:space="preserve"> Communication No. 390/1990, Luboto v Zambia, Views adopted on 31 Oct. 1995, para. 7.2.</w:t>
      </w:r>
    </w:p>
  </w:footnote>
  <w:footnote w:id="63">
    <w:p w14:paraId="275DBBA6" w14:textId="77777777" w:rsidR="00783135" w:rsidRPr="0069312F" w:rsidRDefault="00783135" w:rsidP="00783135">
      <w:pPr>
        <w:pStyle w:val="FootnoteText"/>
        <w:jc w:val="both"/>
        <w:rPr>
          <w:rFonts w:asciiTheme="majorHAnsi" w:hAnsiTheme="majorHAnsi"/>
          <w:sz w:val="16"/>
          <w:szCs w:val="16"/>
        </w:rPr>
      </w:pPr>
      <w:r w:rsidRPr="0069312F">
        <w:rPr>
          <w:rStyle w:val="FootnoteReference"/>
          <w:rFonts w:asciiTheme="majorHAnsi" w:hAnsiTheme="majorHAnsi"/>
          <w:sz w:val="16"/>
          <w:szCs w:val="16"/>
        </w:rPr>
        <w:footnoteRef/>
      </w:r>
      <w:r w:rsidRPr="0069312F">
        <w:rPr>
          <w:rFonts w:asciiTheme="majorHAnsi" w:hAnsiTheme="majorHAnsi"/>
          <w:sz w:val="16"/>
          <w:szCs w:val="16"/>
        </w:rPr>
        <w:t xml:space="preserve"> Communication No. 1132/2002, Chisanga v. Zambia, Views adopted on 18 Oct. 2005, para. 7.4; Communication 1421/2005, Larranaga v. Philippines, Views adopted on 24 July 2006, para. 7.2; Communication 1077/2002, Carpo v Philippines, adopted on 6 May 2002, para. 8.3.</w:t>
      </w:r>
    </w:p>
  </w:footnote>
  <w:footnote w:id="64">
    <w:p w14:paraId="51F4A2A0" w14:textId="77777777" w:rsidR="00783135" w:rsidRPr="0069312F" w:rsidRDefault="00783135" w:rsidP="00783135">
      <w:pPr>
        <w:pStyle w:val="FootnoteText"/>
        <w:jc w:val="both"/>
        <w:rPr>
          <w:rFonts w:asciiTheme="majorHAnsi" w:hAnsiTheme="majorHAnsi"/>
          <w:sz w:val="16"/>
          <w:szCs w:val="16"/>
        </w:rPr>
      </w:pPr>
      <w:r w:rsidRPr="0069312F">
        <w:rPr>
          <w:rStyle w:val="FootnoteReference"/>
          <w:rFonts w:asciiTheme="majorHAnsi" w:hAnsiTheme="majorHAnsi"/>
          <w:sz w:val="16"/>
          <w:szCs w:val="16"/>
        </w:rPr>
        <w:footnoteRef/>
      </w:r>
      <w:r w:rsidRPr="0069312F">
        <w:rPr>
          <w:rFonts w:asciiTheme="majorHAnsi" w:hAnsiTheme="majorHAnsi"/>
          <w:sz w:val="16"/>
          <w:szCs w:val="16"/>
        </w:rPr>
        <w:t xml:space="preserve"> Communication No. 806/1998, Thompson v. Saint Vincent and the Grenadines, Views adopted on 18 Oct. 2000, para. 8.2; Communication 845/1998, Kennedy v Trinidad and Tobago, Views adopted on 26 March 2002, para. 7.3.</w:t>
      </w:r>
    </w:p>
  </w:footnote>
  <w:footnote w:id="65">
    <w:p w14:paraId="310FAD5E" w14:textId="77777777" w:rsidR="00112772" w:rsidRDefault="00112772">
      <w:pPr>
        <w:pStyle w:val="FootnoteText"/>
      </w:pPr>
      <w:r w:rsidRPr="00702E9D">
        <w:rPr>
          <w:rStyle w:val="FootnoteReference"/>
          <w:rFonts w:asciiTheme="majorHAnsi" w:hAnsiTheme="majorHAnsi"/>
          <w:color w:val="auto"/>
          <w:sz w:val="16"/>
          <w:szCs w:val="16"/>
        </w:rPr>
        <w:footnoteRef/>
      </w:r>
      <w:r>
        <w:t xml:space="preserve"> </w:t>
      </w:r>
      <w:r w:rsidRPr="00702E9D">
        <w:rPr>
          <w:rFonts w:asciiTheme="majorHAnsi" w:hAnsiTheme="majorHAnsi"/>
          <w:color w:val="auto"/>
          <w:sz w:val="16"/>
          <w:szCs w:val="16"/>
          <w:bdr w:val="none" w:sz="0" w:space="0" w:color="auto"/>
        </w:rPr>
        <w:t>I/A Court H.R., Case of Hilaire, Constantine and Benjamin et al. v. Trinidad and Tobago. Merits, Reparations and Costs. Judgment of June 21, 2002. Series C No. 94, para. 152 c).</w:t>
      </w:r>
    </w:p>
  </w:footnote>
  <w:footnote w:id="66">
    <w:p w14:paraId="417AAF70" w14:textId="77777777" w:rsidR="00112772" w:rsidRPr="00D8238D" w:rsidRDefault="00112772" w:rsidP="006B64E7">
      <w:pPr>
        <w:pStyle w:val="FootnoteText"/>
        <w:rPr>
          <w:rFonts w:asciiTheme="majorHAnsi" w:hAnsiTheme="majorHAnsi" w:cs="Tahoma"/>
          <w:color w:val="auto"/>
          <w:sz w:val="16"/>
          <w:szCs w:val="16"/>
        </w:rPr>
      </w:pPr>
      <w:r w:rsidRPr="00D8238D">
        <w:rPr>
          <w:rStyle w:val="FootnoteReference"/>
          <w:rFonts w:asciiTheme="majorHAnsi" w:eastAsiaTheme="minorHAnsi" w:hAnsiTheme="majorHAnsi" w:cs="Calibri"/>
          <w:color w:val="auto"/>
          <w:sz w:val="16"/>
          <w:szCs w:val="16"/>
          <w:bdr w:val="none" w:sz="0" w:space="0" w:color="auto"/>
          <w:lang w:val="en-GB" w:eastAsia="en-US"/>
        </w:rPr>
        <w:footnoteRef/>
      </w:r>
      <w:r w:rsidRPr="00D8238D">
        <w:rPr>
          <w:rStyle w:val="FootnoteReference"/>
          <w:rFonts w:asciiTheme="majorHAnsi" w:eastAsiaTheme="minorHAnsi" w:hAnsiTheme="majorHAnsi" w:cs="Calibri"/>
          <w:color w:val="auto"/>
          <w:sz w:val="16"/>
          <w:szCs w:val="16"/>
          <w:bdr w:val="none" w:sz="0" w:space="0" w:color="auto"/>
          <w:lang w:val="en-GB" w:eastAsia="en-US"/>
        </w:rPr>
        <w:t xml:space="preserve"> </w:t>
      </w:r>
      <w:r w:rsidRPr="00D8238D">
        <w:rPr>
          <w:rFonts w:asciiTheme="majorHAnsi" w:hAnsiTheme="majorHAnsi" w:cs="Tahoma"/>
          <w:color w:val="auto"/>
          <w:sz w:val="16"/>
          <w:szCs w:val="16"/>
        </w:rPr>
        <w:t>Article 8 (Right to a Fair Trial) of the American Convention provides that: […]</w:t>
      </w:r>
    </w:p>
    <w:p w14:paraId="1AA92FAF" w14:textId="77777777" w:rsidR="00112772" w:rsidRPr="00D8238D" w:rsidRDefault="00112772" w:rsidP="006B64E7">
      <w:pPr>
        <w:pStyle w:val="FootnoteText"/>
        <w:jc w:val="both"/>
        <w:rPr>
          <w:rFonts w:asciiTheme="majorHAnsi" w:hAnsiTheme="majorHAnsi"/>
          <w:color w:val="auto"/>
          <w:sz w:val="16"/>
          <w:szCs w:val="16"/>
        </w:rPr>
      </w:pPr>
      <w:r w:rsidRPr="00D8238D">
        <w:rPr>
          <w:rFonts w:asciiTheme="majorHAnsi" w:hAnsiTheme="majorHAnsi" w:cs="Tahoma"/>
          <w:color w:val="auto"/>
          <w:sz w:val="16"/>
          <w:szCs w:val="16"/>
        </w:rPr>
        <w:t>2. Every person accused of a criminal offense has the right to be presumed innocent so long as his guilt has not been proven according to law. […]</w:t>
      </w:r>
    </w:p>
  </w:footnote>
  <w:footnote w:id="67">
    <w:p w14:paraId="679717CD" w14:textId="77777777" w:rsidR="00112772" w:rsidRPr="00D8238D" w:rsidRDefault="00112772" w:rsidP="005C0700">
      <w:pPr>
        <w:pStyle w:val="Defaul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Fonts w:asciiTheme="majorHAnsi" w:hAnsiTheme="majorHAnsi" w:cs="Calibri"/>
          <w:color w:val="auto"/>
          <w:sz w:val="16"/>
          <w:szCs w:val="16"/>
        </w:rPr>
        <w:t xml:space="preserve"> I/A Court H. R., </w:t>
      </w:r>
      <w:r w:rsidRPr="00D8238D">
        <w:rPr>
          <w:rFonts w:asciiTheme="majorHAnsi" w:hAnsiTheme="majorHAnsi" w:cs="Calibri"/>
          <w:i/>
          <w:iCs/>
          <w:color w:val="auto"/>
          <w:sz w:val="16"/>
          <w:szCs w:val="16"/>
        </w:rPr>
        <w:t>Case of Genie Lacayo v. Nicaragua</w:t>
      </w:r>
      <w:r w:rsidRPr="00D8238D">
        <w:rPr>
          <w:rFonts w:asciiTheme="majorHAnsi" w:hAnsiTheme="majorHAnsi" w:cs="Calibri"/>
          <w:color w:val="auto"/>
          <w:sz w:val="16"/>
          <w:szCs w:val="16"/>
        </w:rPr>
        <w:t xml:space="preserve">, Judgment of January 29, 1997, Series C No. 30, para. 74; I/A Court H. R., </w:t>
      </w:r>
      <w:r w:rsidRPr="00D8238D">
        <w:rPr>
          <w:rFonts w:asciiTheme="majorHAnsi" w:hAnsiTheme="majorHAnsi" w:cs="Calibri"/>
          <w:i/>
          <w:iCs/>
          <w:color w:val="auto"/>
          <w:sz w:val="16"/>
          <w:szCs w:val="16"/>
        </w:rPr>
        <w:t>Case of Claude Reyes et al. v. Chile</w:t>
      </w:r>
      <w:r w:rsidRPr="00D8238D">
        <w:rPr>
          <w:rFonts w:asciiTheme="majorHAnsi" w:hAnsiTheme="majorHAnsi" w:cs="Calibri"/>
          <w:color w:val="auto"/>
          <w:sz w:val="16"/>
          <w:szCs w:val="16"/>
        </w:rPr>
        <w:t xml:space="preserve">, Judgment of September 19, 2006, Series C No. 151, para. 116; and I/A Court H. R., </w:t>
      </w:r>
      <w:r w:rsidRPr="00D8238D">
        <w:rPr>
          <w:rFonts w:asciiTheme="majorHAnsi" w:hAnsiTheme="majorHAnsi" w:cs="Calibri"/>
          <w:i/>
          <w:iCs/>
          <w:color w:val="auto"/>
          <w:sz w:val="16"/>
          <w:szCs w:val="16"/>
        </w:rPr>
        <w:t>Judicial Guarantees in States of Emergency (Arts. 27.2, 25, and 8 of the American Convention on Human Rights)</w:t>
      </w:r>
      <w:r w:rsidRPr="00D8238D">
        <w:rPr>
          <w:rFonts w:asciiTheme="majorHAnsi" w:hAnsiTheme="majorHAnsi" w:cs="Calibri"/>
          <w:color w:val="auto"/>
          <w:sz w:val="16"/>
          <w:szCs w:val="16"/>
        </w:rPr>
        <w:t xml:space="preserve">, Advisory Opinion OC-9/87 of October 6, 1987, Series A No. 9, para. 27. </w:t>
      </w:r>
    </w:p>
  </w:footnote>
  <w:footnote w:id="68">
    <w:p w14:paraId="2A78FB66" w14:textId="77777777" w:rsidR="00112772" w:rsidRPr="00D8238D" w:rsidRDefault="00112772" w:rsidP="005C0700">
      <w:pPr>
        <w:pStyle w:val="FootnoteTex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Fonts w:asciiTheme="majorHAnsi" w:hAnsiTheme="majorHAnsi"/>
          <w:color w:val="auto"/>
          <w:sz w:val="16"/>
          <w:szCs w:val="16"/>
        </w:rPr>
        <w:t xml:space="preserve"> I/A Court H. R.</w:t>
      </w:r>
      <w:r w:rsidRPr="00D8238D">
        <w:rPr>
          <w:rFonts w:asciiTheme="majorHAnsi" w:hAnsiTheme="majorHAnsi"/>
          <w:i/>
          <w:iCs/>
          <w:color w:val="auto"/>
          <w:sz w:val="16"/>
          <w:szCs w:val="16"/>
        </w:rPr>
        <w:t>,</w:t>
      </w:r>
      <w:r w:rsidRPr="00D8238D">
        <w:rPr>
          <w:rFonts w:asciiTheme="majorHAnsi" w:hAnsiTheme="majorHAnsi"/>
          <w:color w:val="auto"/>
          <w:sz w:val="16"/>
          <w:szCs w:val="16"/>
        </w:rPr>
        <w:t xml:space="preserve"> </w:t>
      </w:r>
      <w:r w:rsidRPr="00D8238D">
        <w:rPr>
          <w:rFonts w:asciiTheme="majorHAnsi" w:hAnsiTheme="majorHAnsi"/>
          <w:i/>
          <w:iCs/>
          <w:color w:val="auto"/>
          <w:sz w:val="16"/>
          <w:szCs w:val="16"/>
        </w:rPr>
        <w:t>Case of Suárez Rosero v. Ecuador</w:t>
      </w:r>
      <w:r w:rsidRPr="00D8238D">
        <w:rPr>
          <w:rFonts w:asciiTheme="majorHAnsi" w:hAnsiTheme="majorHAnsi"/>
          <w:color w:val="auto"/>
          <w:sz w:val="16"/>
          <w:szCs w:val="16"/>
        </w:rPr>
        <w:t xml:space="preserve">, Judgment of November 12, 1997, Series C No. 35, para. 77; I/A Court H. R., </w:t>
      </w:r>
      <w:r w:rsidRPr="00D8238D">
        <w:rPr>
          <w:rFonts w:asciiTheme="majorHAnsi" w:hAnsiTheme="majorHAnsi"/>
          <w:i/>
          <w:iCs/>
          <w:color w:val="auto"/>
          <w:sz w:val="16"/>
          <w:szCs w:val="16"/>
        </w:rPr>
        <w:t xml:space="preserve">Case of García Asto Ramírez Rojas v. Peru, </w:t>
      </w:r>
      <w:r w:rsidRPr="00D8238D">
        <w:rPr>
          <w:rFonts w:asciiTheme="majorHAnsi" w:hAnsiTheme="majorHAnsi"/>
          <w:color w:val="auto"/>
          <w:sz w:val="16"/>
          <w:szCs w:val="16"/>
        </w:rPr>
        <w:t xml:space="preserve">Judgment of November 25, 2005, Series C No. 137, para. 160; and I/A Court H. R., </w:t>
      </w:r>
      <w:r w:rsidRPr="00D8238D">
        <w:rPr>
          <w:rFonts w:asciiTheme="majorHAnsi" w:hAnsiTheme="majorHAnsi"/>
          <w:i/>
          <w:iCs/>
          <w:color w:val="auto"/>
          <w:sz w:val="16"/>
          <w:szCs w:val="16"/>
        </w:rPr>
        <w:t>Case of Chaparro Álvarez and Lapo Íñiguez v. Ecuador</w:t>
      </w:r>
      <w:r w:rsidRPr="00D8238D">
        <w:rPr>
          <w:rFonts w:asciiTheme="majorHAnsi" w:hAnsiTheme="majorHAnsi"/>
          <w:color w:val="auto"/>
          <w:sz w:val="16"/>
          <w:szCs w:val="16"/>
        </w:rPr>
        <w:t>, Judgment of November 21, 2007, Series C No. 170, para. 145.</w:t>
      </w:r>
    </w:p>
  </w:footnote>
  <w:footnote w:id="69">
    <w:p w14:paraId="7E514F6B" w14:textId="77777777" w:rsidR="00112772" w:rsidRPr="00D8238D" w:rsidRDefault="00112772" w:rsidP="005C0700">
      <w:pPr>
        <w:pStyle w:val="FootnoteTex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Fonts w:asciiTheme="majorHAnsi" w:hAnsiTheme="majorHAnsi"/>
          <w:color w:val="auto"/>
          <w:sz w:val="16"/>
          <w:szCs w:val="16"/>
        </w:rPr>
        <w:t xml:space="preserve"> I/A Court H. R., </w:t>
      </w:r>
      <w:r w:rsidRPr="00D8238D">
        <w:rPr>
          <w:rFonts w:asciiTheme="majorHAnsi" w:hAnsiTheme="majorHAnsi"/>
          <w:i/>
          <w:iCs/>
          <w:color w:val="auto"/>
          <w:sz w:val="16"/>
          <w:szCs w:val="16"/>
        </w:rPr>
        <w:t xml:space="preserve">Case of Ricardo Canese v. Paraguay, </w:t>
      </w:r>
      <w:r w:rsidRPr="00D8238D">
        <w:rPr>
          <w:rFonts w:asciiTheme="majorHAnsi" w:hAnsiTheme="majorHAnsi"/>
          <w:color w:val="auto"/>
          <w:sz w:val="16"/>
          <w:szCs w:val="16"/>
        </w:rPr>
        <w:t>Judgment of August 31, 2004, Series C No. 111, para. 154.</w:t>
      </w:r>
    </w:p>
  </w:footnote>
  <w:footnote w:id="70">
    <w:p w14:paraId="1060B422" w14:textId="77777777" w:rsidR="00112772" w:rsidRPr="00D8238D" w:rsidRDefault="00112772" w:rsidP="005C0700">
      <w:pPr>
        <w:pStyle w:val="FootnoteTex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Fonts w:asciiTheme="majorHAnsi" w:hAnsiTheme="majorHAnsi"/>
          <w:color w:val="auto"/>
          <w:sz w:val="16"/>
          <w:szCs w:val="16"/>
        </w:rPr>
        <w:t xml:space="preserve"> I/A Court H. R., </w:t>
      </w:r>
      <w:r w:rsidRPr="00D8238D">
        <w:rPr>
          <w:rFonts w:asciiTheme="majorHAnsi" w:hAnsiTheme="majorHAnsi"/>
          <w:i/>
          <w:iCs/>
          <w:color w:val="auto"/>
          <w:sz w:val="16"/>
          <w:szCs w:val="16"/>
        </w:rPr>
        <w:t>Case of Cabrera García and Montiel Flores v. Mexico</w:t>
      </w:r>
      <w:r w:rsidRPr="00D8238D">
        <w:rPr>
          <w:rFonts w:asciiTheme="majorHAnsi" w:hAnsiTheme="majorHAnsi"/>
          <w:color w:val="auto"/>
          <w:sz w:val="16"/>
          <w:szCs w:val="16"/>
        </w:rPr>
        <w:t>, Judgment of November 26, 2010, Series C No. 220, para. 182.</w:t>
      </w:r>
    </w:p>
  </w:footnote>
  <w:footnote w:id="71">
    <w:p w14:paraId="68EB445B" w14:textId="77777777" w:rsidR="00112772" w:rsidRPr="00D8238D" w:rsidRDefault="00112772" w:rsidP="00510839">
      <w:pPr>
        <w:pStyle w:val="FootnoteTex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Fonts w:asciiTheme="majorHAnsi" w:hAnsiTheme="majorHAnsi"/>
          <w:color w:val="auto"/>
          <w:sz w:val="16"/>
          <w:szCs w:val="16"/>
        </w:rPr>
        <w:t xml:space="preserve"> Human Rights Committee, General Comment No. 32, Article 14, Right to equality before courts and tribunals and to a fair trial, CCPR/C/GC/32, August 23, 2007, para. 30.</w:t>
      </w:r>
    </w:p>
  </w:footnote>
  <w:footnote w:id="72">
    <w:p w14:paraId="24AA4641" w14:textId="77777777" w:rsidR="00112772" w:rsidRPr="00D8238D" w:rsidRDefault="00112772" w:rsidP="00510839">
      <w:pPr>
        <w:pStyle w:val="FootnoteTex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Fonts w:asciiTheme="majorHAnsi" w:hAnsiTheme="majorHAnsi"/>
          <w:color w:val="auto"/>
          <w:sz w:val="16"/>
          <w:szCs w:val="16"/>
        </w:rPr>
        <w:t xml:space="preserve"> I/A Court H. R., </w:t>
      </w:r>
      <w:r w:rsidRPr="00D8238D">
        <w:rPr>
          <w:rFonts w:asciiTheme="majorHAnsi" w:hAnsiTheme="majorHAnsi"/>
          <w:i/>
          <w:iCs/>
          <w:color w:val="auto"/>
          <w:sz w:val="16"/>
          <w:szCs w:val="16"/>
        </w:rPr>
        <w:t>Case of Cantoral Benavides v. Peru</w:t>
      </w:r>
      <w:r w:rsidRPr="00D8238D">
        <w:rPr>
          <w:rFonts w:asciiTheme="majorHAnsi" w:hAnsiTheme="majorHAnsi"/>
          <w:color w:val="auto"/>
          <w:sz w:val="16"/>
          <w:szCs w:val="16"/>
        </w:rPr>
        <w:t xml:space="preserve">, Judgment of August 18, 2000, Series C No. 69, para. 120; and I/A Court H. R., </w:t>
      </w:r>
      <w:r w:rsidRPr="00D8238D">
        <w:rPr>
          <w:rFonts w:asciiTheme="majorHAnsi" w:hAnsiTheme="majorHAnsi"/>
          <w:i/>
          <w:iCs/>
          <w:color w:val="auto"/>
          <w:sz w:val="16"/>
          <w:szCs w:val="16"/>
        </w:rPr>
        <w:t>Case of Ricardo Canese v. Paraguay</w:t>
      </w:r>
      <w:r w:rsidRPr="00D8238D">
        <w:rPr>
          <w:rFonts w:asciiTheme="majorHAnsi" w:hAnsiTheme="majorHAnsi"/>
          <w:color w:val="auto"/>
          <w:sz w:val="16"/>
          <w:szCs w:val="16"/>
        </w:rPr>
        <w:t>, Judgment of August 31, 2004, Series C No. 111, para. 153.</w:t>
      </w:r>
    </w:p>
  </w:footnote>
  <w:footnote w:id="73">
    <w:p w14:paraId="3355F45F" w14:textId="77777777" w:rsidR="00112772" w:rsidRPr="00D8238D" w:rsidRDefault="00112772" w:rsidP="00510839">
      <w:pPr>
        <w:pStyle w:val="FootnoteText"/>
        <w:jc w:val="both"/>
        <w:rPr>
          <w:rFonts w:asciiTheme="majorHAnsi" w:hAnsiTheme="majorHAnsi"/>
          <w:color w:val="auto"/>
          <w:sz w:val="16"/>
          <w:szCs w:val="16"/>
          <w:lang w:val="pt-BR"/>
        </w:rPr>
      </w:pPr>
      <w:r w:rsidRPr="00D8238D">
        <w:rPr>
          <w:rStyle w:val="FootnoteReference"/>
          <w:rFonts w:asciiTheme="majorHAnsi" w:hAnsiTheme="majorHAnsi" w:cs="Calibri"/>
          <w:color w:val="auto"/>
          <w:sz w:val="16"/>
          <w:szCs w:val="16"/>
        </w:rPr>
        <w:footnoteRef/>
      </w:r>
      <w:r w:rsidRPr="00D8238D">
        <w:rPr>
          <w:rFonts w:asciiTheme="majorHAnsi" w:hAnsiTheme="majorHAnsi"/>
          <w:color w:val="auto"/>
          <w:sz w:val="16"/>
          <w:szCs w:val="16"/>
        </w:rPr>
        <w:t xml:space="preserve"> I/A Court H. R., </w:t>
      </w:r>
      <w:r w:rsidRPr="00D8238D">
        <w:rPr>
          <w:rFonts w:asciiTheme="majorHAnsi" w:hAnsiTheme="majorHAnsi"/>
          <w:i/>
          <w:iCs/>
          <w:color w:val="auto"/>
          <w:sz w:val="16"/>
          <w:szCs w:val="16"/>
        </w:rPr>
        <w:t>Case of Cantoral Benavides v. Peru</w:t>
      </w:r>
      <w:r w:rsidRPr="00D8238D">
        <w:rPr>
          <w:rFonts w:asciiTheme="majorHAnsi" w:hAnsiTheme="majorHAnsi"/>
          <w:color w:val="auto"/>
          <w:sz w:val="16"/>
          <w:szCs w:val="16"/>
        </w:rPr>
        <w:t xml:space="preserve">, Judgment of August 18, 2000, Series C No. 69, para. 121; and I/A Court H.R., </w:t>
      </w:r>
      <w:r w:rsidRPr="00D8238D">
        <w:rPr>
          <w:rFonts w:asciiTheme="majorHAnsi" w:hAnsiTheme="majorHAnsi"/>
          <w:i/>
          <w:iCs/>
          <w:color w:val="auto"/>
          <w:sz w:val="16"/>
          <w:szCs w:val="16"/>
        </w:rPr>
        <w:t>Case of Ruano Torres et al. v. El Salvador</w:t>
      </w:r>
      <w:r w:rsidRPr="00D8238D">
        <w:rPr>
          <w:rFonts w:asciiTheme="majorHAnsi" w:hAnsiTheme="majorHAnsi"/>
          <w:color w:val="auto"/>
          <w:sz w:val="16"/>
          <w:szCs w:val="16"/>
        </w:rPr>
        <w:t xml:space="preserve">. Merits, Reparations and Costs. Judgment of October 5, 2015. Series C No. 303, para. </w:t>
      </w:r>
      <w:r w:rsidRPr="00D8238D">
        <w:rPr>
          <w:rFonts w:asciiTheme="majorHAnsi" w:hAnsiTheme="majorHAnsi"/>
          <w:color w:val="auto"/>
          <w:sz w:val="16"/>
          <w:szCs w:val="16"/>
          <w:lang w:val="pt-BR"/>
        </w:rPr>
        <w:t>128.</w:t>
      </w:r>
    </w:p>
  </w:footnote>
  <w:footnote w:id="74">
    <w:p w14:paraId="038CA24E" w14:textId="77777777" w:rsidR="00112772" w:rsidRPr="00D8238D" w:rsidRDefault="00112772" w:rsidP="00510839">
      <w:pPr>
        <w:pStyle w:val="FootnoteText"/>
        <w:jc w:val="both"/>
        <w:rPr>
          <w:rFonts w:asciiTheme="majorHAnsi" w:hAnsiTheme="majorHAnsi"/>
          <w:color w:val="auto"/>
          <w:sz w:val="16"/>
          <w:szCs w:val="16"/>
          <w:lang w:val="pt-BR"/>
        </w:rPr>
      </w:pPr>
      <w:r w:rsidRPr="00D8238D">
        <w:rPr>
          <w:rStyle w:val="FootnoteReference"/>
          <w:rFonts w:asciiTheme="majorHAnsi" w:hAnsiTheme="majorHAnsi" w:cs="Calibri"/>
          <w:color w:val="auto"/>
          <w:sz w:val="16"/>
          <w:szCs w:val="16"/>
        </w:rPr>
        <w:footnoteRef/>
      </w:r>
      <w:r w:rsidRPr="00D8238D">
        <w:rPr>
          <w:rStyle w:val="FootnoteReference"/>
          <w:rFonts w:asciiTheme="majorHAnsi" w:hAnsiTheme="majorHAnsi" w:cs="Calibri"/>
          <w:color w:val="auto"/>
          <w:sz w:val="16"/>
          <w:szCs w:val="16"/>
          <w:lang w:val="pt-BR"/>
        </w:rPr>
        <w:t xml:space="preserve"> </w:t>
      </w:r>
      <w:r w:rsidRPr="00B822DD">
        <w:rPr>
          <w:rFonts w:asciiTheme="majorHAnsi" w:eastAsia="Arial Unicode MS" w:hAnsiTheme="majorHAnsi" w:cs="Times New Roman"/>
          <w:color w:val="auto"/>
          <w:sz w:val="16"/>
          <w:szCs w:val="16"/>
          <w:bdr w:val="none" w:sz="0" w:space="0" w:color="auto"/>
          <w:lang w:val="pt-BR" w:eastAsia="en-US"/>
        </w:rPr>
        <w:t xml:space="preserve">IACHR. Report No. 82/13. Case No. 12.679. Merits. José Agapito Ruano Torres. </w:t>
      </w:r>
      <w:r w:rsidRPr="00D8238D">
        <w:rPr>
          <w:rFonts w:asciiTheme="majorHAnsi" w:eastAsia="Arial Unicode MS" w:hAnsiTheme="majorHAnsi" w:cs="Times New Roman"/>
          <w:color w:val="auto"/>
          <w:sz w:val="16"/>
          <w:szCs w:val="16"/>
          <w:bdr w:val="none" w:sz="0" w:space="0" w:color="auto"/>
          <w:lang w:val="pt-BR" w:eastAsia="en-US"/>
        </w:rPr>
        <w:t>El Salvador. November 4, 2013, para. 142.</w:t>
      </w:r>
    </w:p>
  </w:footnote>
  <w:footnote w:id="75">
    <w:p w14:paraId="453B29E1" w14:textId="77777777" w:rsidR="00112772" w:rsidRPr="00D8238D" w:rsidRDefault="00112772">
      <w:pPr>
        <w:pStyle w:val="FootnoteText"/>
        <w:rPr>
          <w:rFonts w:asciiTheme="majorHAnsi" w:hAnsiTheme="majorHAnsi"/>
          <w:color w:val="auto"/>
          <w:sz w:val="16"/>
          <w:szCs w:val="16"/>
          <w:lang w:val="pt-BR"/>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lang w:val="pt-BR"/>
        </w:rPr>
        <w:t xml:space="preserve"> IACHR, Report No. 9</w:t>
      </w:r>
      <w:r w:rsidRPr="00245384">
        <w:rPr>
          <w:rFonts w:asciiTheme="majorHAnsi" w:eastAsia="Arial Unicode MS" w:hAnsiTheme="majorHAnsi" w:cs="Times New Roman"/>
          <w:color w:val="auto"/>
          <w:sz w:val="16"/>
          <w:szCs w:val="16"/>
          <w:bdr w:val="none" w:sz="0" w:space="0" w:color="auto"/>
          <w:lang w:val="pt-BR" w:eastAsia="en-US"/>
        </w:rPr>
        <w:t xml:space="preserve">/14, Case No. </w:t>
      </w:r>
      <w:r w:rsidRPr="00D8238D">
        <w:rPr>
          <w:rFonts w:asciiTheme="majorHAnsi" w:eastAsia="Arial Unicode MS" w:hAnsiTheme="majorHAnsi" w:cs="Times New Roman"/>
          <w:color w:val="auto"/>
          <w:sz w:val="16"/>
          <w:szCs w:val="16"/>
          <w:bdr w:val="none" w:sz="0" w:space="0" w:color="auto"/>
          <w:lang w:val="pt-BR" w:eastAsia="en-US"/>
        </w:rPr>
        <w:t>12.700, Merits, Agustin Bladimiro Zegarra Marin, Perú, April 2, 2014, para. 64.</w:t>
      </w:r>
    </w:p>
  </w:footnote>
  <w:footnote w:id="76">
    <w:p w14:paraId="09C288A3" w14:textId="77777777" w:rsidR="00112772" w:rsidRPr="00D8238D" w:rsidRDefault="0011277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lang w:val="pt-BR"/>
        </w:rPr>
        <w:t xml:space="preserve"> </w:t>
      </w:r>
      <w:r w:rsidRPr="00D8238D">
        <w:rPr>
          <w:rFonts w:asciiTheme="majorHAnsi" w:hAnsiTheme="majorHAnsi" w:cs="OpenSans-Regular"/>
          <w:color w:val="auto"/>
          <w:sz w:val="16"/>
          <w:szCs w:val="16"/>
          <w:lang w:val="pt-BR"/>
        </w:rPr>
        <w:t xml:space="preserve">I/A Court H.R., Case of Zegarra Marín v. Peru. </w:t>
      </w:r>
      <w:r w:rsidRPr="00D8238D">
        <w:rPr>
          <w:rFonts w:asciiTheme="majorHAnsi" w:hAnsiTheme="majorHAnsi" w:cs="OpenSans-Regular"/>
          <w:color w:val="auto"/>
          <w:sz w:val="16"/>
          <w:szCs w:val="16"/>
        </w:rPr>
        <w:t xml:space="preserve">Preliminary Objections, Merits, Reparations and Costs. Judgment of February 15, 2017. Series C No. 331., para. </w:t>
      </w:r>
      <w:r w:rsidRPr="00D8238D">
        <w:rPr>
          <w:rFonts w:asciiTheme="majorHAnsi" w:hAnsiTheme="majorHAnsi"/>
          <w:color w:val="auto"/>
          <w:sz w:val="16"/>
          <w:szCs w:val="16"/>
        </w:rPr>
        <w:t>147.</w:t>
      </w:r>
    </w:p>
  </w:footnote>
  <w:footnote w:id="77">
    <w:p w14:paraId="07009E46" w14:textId="77777777" w:rsidR="00112772" w:rsidRPr="00D8238D" w:rsidRDefault="00112772" w:rsidP="00510839">
      <w:pPr>
        <w:pStyle w:val="FootnoteText"/>
        <w:rPr>
          <w:rFonts w:asciiTheme="majorHAnsi" w:hAnsiTheme="majorHAnsi" w:cs="Tahoma"/>
          <w:color w:val="auto"/>
          <w:sz w:val="16"/>
          <w:szCs w:val="16"/>
        </w:rPr>
      </w:pPr>
      <w:r w:rsidRPr="00D8238D">
        <w:rPr>
          <w:rStyle w:val="FootnoteReference"/>
          <w:rFonts w:asciiTheme="majorHAnsi" w:hAnsiTheme="majorHAnsi" w:cs="Calibri"/>
          <w:color w:val="auto"/>
          <w:sz w:val="16"/>
          <w:szCs w:val="16"/>
        </w:rPr>
        <w:footnoteRef/>
      </w:r>
      <w:r w:rsidRPr="00D8238D">
        <w:rPr>
          <w:rStyle w:val="FootnoteReference"/>
          <w:rFonts w:asciiTheme="majorHAnsi" w:hAnsiTheme="majorHAnsi" w:cs="Calibri"/>
          <w:color w:val="auto"/>
          <w:sz w:val="16"/>
          <w:szCs w:val="16"/>
        </w:rPr>
        <w:t xml:space="preserve"> </w:t>
      </w:r>
      <w:r w:rsidRPr="00D8238D">
        <w:rPr>
          <w:rFonts w:asciiTheme="majorHAnsi" w:hAnsiTheme="majorHAnsi" w:cs="Tahoma"/>
          <w:color w:val="auto"/>
          <w:sz w:val="16"/>
          <w:szCs w:val="16"/>
        </w:rPr>
        <w:t>Article 25.1 (Right to Judicial Protection) of the American Convention provides that:</w:t>
      </w:r>
    </w:p>
    <w:p w14:paraId="3DC49ABA" w14:textId="77777777" w:rsidR="00112772" w:rsidRPr="00D8238D" w:rsidRDefault="00112772" w:rsidP="00510839">
      <w:pPr>
        <w:pStyle w:val="FootnoteText"/>
        <w:jc w:val="both"/>
        <w:rPr>
          <w:rFonts w:asciiTheme="majorHAnsi" w:hAnsiTheme="majorHAnsi"/>
          <w:color w:val="auto"/>
          <w:sz w:val="16"/>
          <w:szCs w:val="16"/>
        </w:rPr>
      </w:pPr>
      <w:r w:rsidRPr="00D8238D">
        <w:rPr>
          <w:rFonts w:asciiTheme="majorHAnsi" w:hAnsiTheme="majorHAnsi" w:cs="Tahoma"/>
          <w:color w:val="auto"/>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78">
    <w:p w14:paraId="3A70AD5C" w14:textId="77777777" w:rsidR="00112772" w:rsidRPr="00D8238D" w:rsidRDefault="00112772" w:rsidP="00510839">
      <w:pPr>
        <w:pStyle w:val="FootnoteTex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Style w:val="FootnoteReference"/>
          <w:rFonts w:asciiTheme="majorHAnsi" w:hAnsiTheme="majorHAnsi" w:cs="Calibri"/>
          <w:color w:val="auto"/>
          <w:sz w:val="16"/>
          <w:szCs w:val="16"/>
        </w:rPr>
        <w:t xml:space="preserve"> </w:t>
      </w:r>
      <w:r w:rsidRPr="00D8238D">
        <w:rPr>
          <w:rFonts w:asciiTheme="majorHAnsi" w:hAnsiTheme="majorHAnsi"/>
          <w:color w:val="auto"/>
          <w:sz w:val="16"/>
          <w:szCs w:val="16"/>
        </w:rPr>
        <w:t xml:space="preserve">I/A Court H. R., </w:t>
      </w:r>
      <w:r w:rsidRPr="00D8238D">
        <w:rPr>
          <w:rFonts w:asciiTheme="majorHAnsi" w:hAnsiTheme="majorHAnsi"/>
          <w:i/>
          <w:iCs/>
          <w:color w:val="auto"/>
          <w:sz w:val="16"/>
          <w:szCs w:val="16"/>
        </w:rPr>
        <w:t>Case of Bámaca Velásquez Vs. Guatemala</w:t>
      </w:r>
      <w:r w:rsidRPr="00D8238D">
        <w:rPr>
          <w:rFonts w:asciiTheme="majorHAnsi" w:hAnsiTheme="majorHAnsi"/>
          <w:color w:val="auto"/>
          <w:sz w:val="16"/>
          <w:szCs w:val="16"/>
        </w:rPr>
        <w:t xml:space="preserve">. Merits. Judgment of November 25, 2000. Serie C No. 70, para. 191. </w:t>
      </w:r>
    </w:p>
  </w:footnote>
  <w:footnote w:id="79">
    <w:p w14:paraId="0FB76975" w14:textId="77777777" w:rsidR="00112772" w:rsidRPr="00D8238D" w:rsidRDefault="00112772" w:rsidP="00510839">
      <w:pPr>
        <w:pStyle w:val="FootnoteTex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Style w:val="FootnoteReference"/>
          <w:rFonts w:asciiTheme="majorHAnsi" w:hAnsiTheme="majorHAnsi" w:cs="Calibri"/>
          <w:color w:val="auto"/>
          <w:sz w:val="16"/>
          <w:szCs w:val="16"/>
        </w:rPr>
        <w:t xml:space="preserve"> </w:t>
      </w:r>
      <w:r w:rsidRPr="00D8238D">
        <w:rPr>
          <w:rFonts w:asciiTheme="majorHAnsi" w:hAnsiTheme="majorHAnsi"/>
          <w:color w:val="auto"/>
          <w:sz w:val="16"/>
          <w:szCs w:val="16"/>
        </w:rPr>
        <w:t xml:space="preserve">I/A Court H. R., </w:t>
      </w:r>
      <w:r w:rsidRPr="00D8238D">
        <w:rPr>
          <w:rFonts w:asciiTheme="majorHAnsi" w:hAnsiTheme="majorHAnsi"/>
          <w:i/>
          <w:iCs/>
          <w:color w:val="auto"/>
          <w:sz w:val="16"/>
          <w:szCs w:val="16"/>
        </w:rPr>
        <w:t>Case of Tibi Vs. Ecuador.</w:t>
      </w:r>
      <w:r w:rsidRPr="00D8238D">
        <w:rPr>
          <w:rFonts w:asciiTheme="majorHAnsi" w:hAnsiTheme="majorHAnsi"/>
          <w:color w:val="auto"/>
          <w:sz w:val="16"/>
          <w:szCs w:val="16"/>
        </w:rPr>
        <w:t xml:space="preserve"> Preliminary Exceptions, Merits, Reparations and Costs. Judgment of September 7, 2004. Serie C No. 114, para. 131. </w:t>
      </w:r>
    </w:p>
  </w:footnote>
  <w:footnote w:id="80">
    <w:p w14:paraId="0A55687A" w14:textId="77777777" w:rsidR="00112772" w:rsidRPr="00D8238D" w:rsidRDefault="00112772" w:rsidP="00510839">
      <w:pPr>
        <w:pStyle w:val="FootnoteText"/>
        <w:jc w:val="both"/>
        <w:rPr>
          <w:rFonts w:asciiTheme="majorHAnsi" w:hAnsiTheme="majorHAnsi"/>
          <w:color w:val="auto"/>
          <w:sz w:val="16"/>
          <w:szCs w:val="16"/>
        </w:rPr>
      </w:pPr>
      <w:r w:rsidRPr="00D8238D">
        <w:rPr>
          <w:rStyle w:val="FootnoteReference"/>
          <w:rFonts w:asciiTheme="majorHAnsi" w:hAnsiTheme="majorHAnsi" w:cs="Calibri"/>
          <w:color w:val="auto"/>
          <w:sz w:val="16"/>
          <w:szCs w:val="16"/>
        </w:rPr>
        <w:footnoteRef/>
      </w:r>
      <w:r w:rsidRPr="00D8238D">
        <w:rPr>
          <w:rStyle w:val="FootnoteReference"/>
          <w:rFonts w:asciiTheme="majorHAnsi" w:hAnsiTheme="majorHAnsi" w:cs="Calibri"/>
          <w:color w:val="auto"/>
          <w:sz w:val="16"/>
          <w:szCs w:val="16"/>
        </w:rPr>
        <w:t xml:space="preserve"> </w:t>
      </w:r>
      <w:r w:rsidRPr="00D8238D">
        <w:rPr>
          <w:rFonts w:asciiTheme="majorHAnsi" w:hAnsiTheme="majorHAnsi"/>
          <w:color w:val="auto"/>
          <w:sz w:val="16"/>
          <w:szCs w:val="16"/>
        </w:rPr>
        <w:t xml:space="preserve">I/A Court H. R., </w:t>
      </w:r>
      <w:r w:rsidRPr="00D8238D">
        <w:rPr>
          <w:rFonts w:asciiTheme="majorHAnsi" w:hAnsiTheme="majorHAnsi"/>
          <w:i/>
          <w:iCs/>
          <w:color w:val="auto"/>
          <w:sz w:val="16"/>
          <w:szCs w:val="16"/>
        </w:rPr>
        <w:t>Case of the Constitutional Tribunal Vs. Peru.</w:t>
      </w:r>
      <w:r w:rsidRPr="00D8238D">
        <w:rPr>
          <w:rFonts w:asciiTheme="majorHAnsi" w:hAnsiTheme="majorHAnsi"/>
          <w:color w:val="auto"/>
          <w:sz w:val="16"/>
          <w:szCs w:val="16"/>
        </w:rPr>
        <w:t xml:space="preserve"> Merits, Reparations and Costs. Judgment of January 31, 2001. Serie C No. 71, para. 89. </w:t>
      </w:r>
    </w:p>
  </w:footnote>
  <w:footnote w:id="81">
    <w:p w14:paraId="0995C1ED" w14:textId="77777777" w:rsidR="00112772" w:rsidRPr="00B822DD" w:rsidRDefault="00112772" w:rsidP="005108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B822DD">
        <w:rPr>
          <w:rFonts w:asciiTheme="majorHAnsi" w:hAnsiTheme="majorHAnsi"/>
          <w:sz w:val="16"/>
          <w:szCs w:val="16"/>
          <w:bdr w:val="none" w:sz="0" w:space="0" w:color="auto"/>
        </w:rPr>
        <w:t>See similarly Advisory Opinion OC-16/99, supra, para. 136 (concluding that "[b]ecause execution of the death penalty is irreversible, the strictest and most rigorous enforcement of judicial guarantees is required of the State so that those guarantees are not violated and a human life not arbitrarily taken as a result."). IACHR, Report No. 13/14, Case 12.422. Merits (Publication). Abu-Ali Abdur’ Rahman. United States. April 2, 2014, para. 53.</w:t>
      </w:r>
    </w:p>
  </w:footnote>
  <w:footnote w:id="82">
    <w:p w14:paraId="513D5E03" w14:textId="77777777" w:rsidR="00112772" w:rsidRPr="00B822DD" w:rsidRDefault="00112772" w:rsidP="005C0700">
      <w:pPr>
        <w:jc w:val="both"/>
        <w:rPr>
          <w:rFonts w:asciiTheme="majorHAnsi"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IACHR. Report 53/13, Case 12.864, Ivan Teleguz, United States. July 15, 2013, para. 98.</w:t>
      </w:r>
    </w:p>
  </w:footnote>
  <w:footnote w:id="83">
    <w:p w14:paraId="3A4C8CC8" w14:textId="77777777" w:rsidR="00112772" w:rsidRPr="00D8238D" w:rsidRDefault="00112772" w:rsidP="005C0700">
      <w:pPr>
        <w:pStyle w:val="FootnoteText"/>
        <w:rPr>
          <w:rFonts w:asciiTheme="majorHAnsi" w:hAnsiTheme="majorHAnsi"/>
          <w:color w:val="auto"/>
          <w:sz w:val="16"/>
          <w:szCs w:val="16"/>
        </w:rPr>
      </w:pPr>
      <w:r w:rsidRPr="00B822DD">
        <w:rPr>
          <w:rStyle w:val="FootnoteReference"/>
          <w:rFonts w:asciiTheme="majorHAnsi" w:eastAsia="Arial Unicode MS" w:hAnsiTheme="majorHAnsi"/>
          <w:color w:val="auto"/>
          <w:sz w:val="16"/>
          <w:szCs w:val="16"/>
          <w:lang w:eastAsia="en-US"/>
        </w:rPr>
        <w:footnoteRef/>
      </w:r>
      <w:r w:rsidRPr="00B822DD">
        <w:rPr>
          <w:rStyle w:val="FootnoteReference"/>
          <w:rFonts w:asciiTheme="majorHAnsi" w:eastAsia="Arial Unicode MS" w:hAnsiTheme="majorHAnsi"/>
          <w:color w:val="auto"/>
          <w:sz w:val="16"/>
          <w:szCs w:val="16"/>
          <w:lang w:eastAsia="en-US"/>
        </w:rPr>
        <w:t xml:space="preserve"> </w:t>
      </w:r>
      <w:r w:rsidRPr="00B822DD">
        <w:rPr>
          <w:rFonts w:asciiTheme="majorHAnsi" w:eastAsia="Arial Unicode MS" w:hAnsiTheme="majorHAnsi" w:cs="Times New Roman"/>
          <w:color w:val="auto"/>
          <w:sz w:val="16"/>
          <w:szCs w:val="16"/>
          <w:bdr w:val="none" w:sz="0" w:space="0" w:color="auto"/>
          <w:lang w:eastAsia="en-US"/>
        </w:rPr>
        <w:t>See similarly, IACHR, Report No. 78/15, Case 12.831. Merits (Publication). Kevin Cooper. United States. October 28, 2015, para. 149.</w:t>
      </w:r>
      <w:r w:rsidRPr="00D8238D">
        <w:rPr>
          <w:rFonts w:asciiTheme="majorHAnsi" w:hAnsiTheme="majorHAnsi"/>
          <w:color w:val="auto"/>
          <w:sz w:val="16"/>
          <w:szCs w:val="16"/>
        </w:rPr>
        <w:t xml:space="preserve"> </w:t>
      </w:r>
    </w:p>
  </w:footnote>
  <w:footnote w:id="84">
    <w:p w14:paraId="25C19984" w14:textId="77777777" w:rsidR="00112772" w:rsidRPr="00B822DD" w:rsidRDefault="00112772" w:rsidP="005C0700">
      <w:pPr>
        <w:jc w:val="both"/>
        <w:rPr>
          <w:rFonts w:asciiTheme="majorHAnsi"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IACHR. Report 53/13, Case 12.864, Ivan Teleguz, United States. July 15, 2013, para 98.</w:t>
      </w:r>
    </w:p>
  </w:footnote>
  <w:footnote w:id="85">
    <w:p w14:paraId="0F2B3406" w14:textId="77777777" w:rsidR="00112772" w:rsidRPr="00B822DD" w:rsidRDefault="00112772" w:rsidP="00EA77A2">
      <w:pP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B822DD">
        <w:rPr>
          <w:rStyle w:val="FootnoteReference"/>
          <w:rFonts w:asciiTheme="majorHAnsi" w:hAnsiTheme="majorHAnsi"/>
          <w:sz w:val="16"/>
          <w:szCs w:val="16"/>
        </w:rPr>
        <w:t xml:space="preserve"> </w:t>
      </w:r>
      <w:r w:rsidRPr="00B822DD">
        <w:rPr>
          <w:rFonts w:asciiTheme="majorHAnsi" w:hAnsiTheme="majorHAnsi"/>
          <w:sz w:val="16"/>
          <w:szCs w:val="16"/>
        </w:rPr>
        <w:t>Article 7(5) of the American Convention provides: “</w:t>
      </w:r>
      <w:r w:rsidRPr="00D8238D">
        <w:rPr>
          <w:rFonts w:asciiTheme="majorHAnsi" w:hAnsiTheme="majorHAnsi"/>
          <w:sz w:val="16"/>
          <w:szCs w:val="16"/>
          <w:bdr w:val="none" w:sz="0" w:space="0" w:color="auto"/>
        </w:rPr>
        <w:t>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footnote>
  <w:footnote w:id="86">
    <w:p w14:paraId="07778035" w14:textId="77777777" w:rsidR="00112772" w:rsidRPr="00B822DD" w:rsidRDefault="00112772" w:rsidP="00EA77A2">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IACHR, Report No. 24/17, Case 12.254. Merits. Victor Saldaño. United States. March 18, 2017, </w:t>
      </w:r>
      <w:r w:rsidRPr="00B822DD">
        <w:rPr>
          <w:rFonts w:asciiTheme="majorHAnsi" w:hAnsiTheme="majorHAnsi"/>
          <w:sz w:val="16"/>
          <w:szCs w:val="16"/>
        </w:rPr>
        <w:br/>
        <w:t>para. 205.</w:t>
      </w:r>
    </w:p>
  </w:footnote>
  <w:footnote w:id="87">
    <w:p w14:paraId="0E7E234F" w14:textId="77777777" w:rsidR="00112772" w:rsidRPr="00D8238D" w:rsidRDefault="00112772" w:rsidP="00EA77A2">
      <w:pPr>
        <w:pStyle w:val="FootnoteText"/>
        <w:jc w:val="both"/>
        <w:rPr>
          <w:rFonts w:asciiTheme="majorHAnsi" w:hAnsiTheme="majorHAnsi"/>
          <w:color w:val="auto"/>
          <w:sz w:val="16"/>
          <w:szCs w:val="16"/>
        </w:rPr>
      </w:pPr>
      <w:r w:rsidRPr="00B822DD">
        <w:rPr>
          <w:rStyle w:val="FootnoteReference"/>
          <w:rFonts w:asciiTheme="majorHAnsi" w:hAnsiTheme="majorHAnsi"/>
          <w:color w:val="auto"/>
          <w:sz w:val="16"/>
          <w:szCs w:val="16"/>
        </w:rPr>
        <w:footnoteRef/>
      </w:r>
      <w:r w:rsidRPr="00B822DD">
        <w:rPr>
          <w:rStyle w:val="FootnoteReference"/>
          <w:rFonts w:asciiTheme="majorHAnsi" w:hAnsiTheme="majorHAnsi"/>
          <w:color w:val="auto"/>
          <w:sz w:val="16"/>
          <w:szCs w:val="16"/>
        </w:rPr>
        <w:t xml:space="preserve"> </w:t>
      </w:r>
      <w:r w:rsidRPr="00B822DD">
        <w:rPr>
          <w:rFonts w:asciiTheme="majorHAnsi" w:hAnsiTheme="majorHAnsi"/>
          <w:color w:val="auto"/>
          <w:sz w:val="16"/>
          <w:szCs w:val="16"/>
        </w:rPr>
        <w:t>IACHR. Application of the Inter-American Commission on Human Rights before the Inter-American Court of Human Rights in the Case of Hilaire v. Trinidad and Tobago. May 25, 1999, p. 45; and IACHR, Report No. 130/17, Case 13.044. Merits. Gustavo Francisco Petro Urrego. Colombia. October 25, 2017, para. 138.</w:t>
      </w:r>
    </w:p>
  </w:footnote>
  <w:footnote w:id="88">
    <w:p w14:paraId="181D4E11"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IACHR, Report No 48/01 Case 12.067, Michael Edwards, Case 12.068, Omar Hall, Case 12.086, Brian Schroeter &amp; Jeronimo Bowleg, The Bahamas, April 4, 2001. </w:t>
      </w:r>
    </w:p>
  </w:footnote>
  <w:footnote w:id="89">
    <w:p w14:paraId="374896C7"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IACHR, Report No 48/01 Case 12.067, Michael Edwards, Case 12.068, Omar Hall, Case 12.086, Brian Schroeter &amp; Jeronimo Bowleg, The Bahamas, April 4, 2001, para. 218. </w:t>
      </w:r>
    </w:p>
  </w:footnote>
  <w:footnote w:id="90">
    <w:p w14:paraId="76CD1766"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position w:val="4"/>
          <w:sz w:val="16"/>
          <w:szCs w:val="16"/>
          <w:bdr w:val="none" w:sz="0" w:space="0" w:color="auto"/>
        </w:rPr>
        <w:t xml:space="preserve"> </w:t>
      </w:r>
      <w:r w:rsidRPr="00D8238D">
        <w:rPr>
          <w:rFonts w:asciiTheme="majorHAnsi" w:hAnsiTheme="majorHAnsi"/>
          <w:color w:val="auto"/>
          <w:sz w:val="16"/>
          <w:szCs w:val="16"/>
          <w:bdr w:val="none" w:sz="0" w:space="0" w:color="auto"/>
        </w:rPr>
        <w:t xml:space="preserve">I/A Court H.R., </w:t>
      </w:r>
      <w:r w:rsidRPr="00D8238D">
        <w:rPr>
          <w:rFonts w:asciiTheme="majorHAnsi" w:hAnsiTheme="majorHAnsi"/>
          <w:i/>
          <w:iCs/>
          <w:color w:val="auto"/>
          <w:sz w:val="16"/>
          <w:szCs w:val="16"/>
          <w:bdr w:val="none" w:sz="0" w:space="0" w:color="auto"/>
        </w:rPr>
        <w:t>Case of Suarez Rosero Case v. Ecuador</w:t>
      </w:r>
      <w:r w:rsidRPr="00D8238D">
        <w:rPr>
          <w:rFonts w:asciiTheme="majorHAnsi" w:hAnsiTheme="majorHAnsi"/>
          <w:color w:val="auto"/>
          <w:sz w:val="16"/>
          <w:szCs w:val="16"/>
          <w:bdr w:val="none" w:sz="0" w:space="0" w:color="auto"/>
        </w:rPr>
        <w:t xml:space="preserve">. Merits. Judgment of November 12, 1997. Series C No. 35, para. 70. </w:t>
      </w:r>
    </w:p>
  </w:footnote>
  <w:footnote w:id="91">
    <w:p w14:paraId="35078C5B"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Id., para. 71. </w:t>
      </w:r>
    </w:p>
  </w:footnote>
  <w:footnote w:id="92">
    <w:p w14:paraId="7DA052E6" w14:textId="77777777" w:rsidR="00112772" w:rsidRPr="00B822DD" w:rsidRDefault="00112772" w:rsidP="00EA77A2">
      <w:pP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Ibid.</w:t>
      </w:r>
    </w:p>
  </w:footnote>
  <w:footnote w:id="93">
    <w:p w14:paraId="0A994B94"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Pr="00B822DD">
        <w:rPr>
          <w:rFonts w:asciiTheme="majorHAnsi" w:hAnsiTheme="majorHAnsi"/>
          <w:sz w:val="16"/>
          <w:szCs w:val="16"/>
          <w:bdr w:val="none" w:sz="0" w:space="0" w:color="auto"/>
        </w:rPr>
        <w:t xml:space="preserve">IACHR. Report No 41/00, Case No 12.023, Desmond McKenzie, Case No 12.044, Andrew Downer and Alphonso Tracey, Case No 12.027, Carl Baker, Case12.126, Dwight Fletcher, and Case 12.146 (Anthony Rose). Jamaica. April 13, 2000, at 918. </w:t>
      </w:r>
    </w:p>
  </w:footnote>
  <w:footnote w:id="94">
    <w:p w14:paraId="35F5105C"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w:t>
      </w:r>
      <w:r w:rsidR="0011132C" w:rsidRPr="00D8238D">
        <w:rPr>
          <w:rFonts w:asciiTheme="majorHAnsi" w:hAnsiTheme="majorHAnsi"/>
          <w:sz w:val="16"/>
          <w:szCs w:val="16"/>
          <w:bdr w:val="none" w:sz="0" w:space="0" w:color="auto"/>
        </w:rPr>
        <w:t xml:space="preserve">I/A Court H.R., </w:t>
      </w:r>
      <w:r w:rsidR="0011132C" w:rsidRPr="00D8238D">
        <w:rPr>
          <w:rFonts w:asciiTheme="majorHAnsi" w:hAnsiTheme="majorHAnsi"/>
          <w:i/>
          <w:iCs/>
          <w:sz w:val="16"/>
          <w:szCs w:val="16"/>
          <w:bdr w:val="none" w:sz="0" w:space="0" w:color="auto"/>
        </w:rPr>
        <w:t>Case of Hilaire, Constantine and Benjamin et al. v. Trinidad and Tobago</w:t>
      </w:r>
      <w:r w:rsidR="0011132C" w:rsidRPr="00D8238D">
        <w:rPr>
          <w:rFonts w:asciiTheme="majorHAnsi" w:hAnsiTheme="majorHAnsi"/>
          <w:sz w:val="16"/>
          <w:szCs w:val="16"/>
          <w:bdr w:val="none" w:sz="0" w:space="0" w:color="auto"/>
        </w:rPr>
        <w:t>. Judgment of June 21, 2002. Series C No. 94</w:t>
      </w:r>
      <w:r w:rsidR="0011132C">
        <w:rPr>
          <w:rFonts w:asciiTheme="majorHAnsi" w:hAnsiTheme="majorHAnsi"/>
          <w:sz w:val="16"/>
          <w:szCs w:val="16"/>
          <w:bdr w:val="none" w:sz="0" w:space="0" w:color="auto"/>
        </w:rPr>
        <w:t xml:space="preserve">, </w:t>
      </w:r>
      <w:r w:rsidRPr="00B822DD">
        <w:rPr>
          <w:rFonts w:asciiTheme="majorHAnsi" w:hAnsiTheme="majorHAnsi"/>
          <w:sz w:val="16"/>
          <w:szCs w:val="16"/>
          <w:bdr w:val="none" w:sz="0" w:space="0" w:color="auto"/>
        </w:rPr>
        <w:t xml:space="preserve">paras. 132-152, p71, para. 3. </w:t>
      </w:r>
    </w:p>
  </w:footnote>
  <w:footnote w:id="95">
    <w:p w14:paraId="1581579E"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8E1D8B">
        <w:rPr>
          <w:rFonts w:asciiTheme="majorHAnsi" w:hAnsiTheme="majorHAnsi"/>
          <w:sz w:val="16"/>
          <w:szCs w:val="16"/>
        </w:rPr>
        <w:t xml:space="preserve"> </w:t>
      </w:r>
      <w:r w:rsidRPr="008E1D8B">
        <w:rPr>
          <w:rFonts w:asciiTheme="majorHAnsi" w:hAnsiTheme="majorHAnsi"/>
          <w:sz w:val="16"/>
          <w:szCs w:val="16"/>
          <w:bdr w:val="none" w:sz="0" w:space="0" w:color="auto"/>
        </w:rPr>
        <w:t xml:space="preserve">See e.g. Suarez Romero Case, supra, p. 300, para. </w:t>
      </w:r>
      <w:r w:rsidRPr="00B822DD">
        <w:rPr>
          <w:rFonts w:asciiTheme="majorHAnsi" w:hAnsiTheme="majorHAnsi"/>
          <w:sz w:val="16"/>
          <w:szCs w:val="16"/>
          <w:bdr w:val="none" w:sz="0" w:space="0" w:color="auto"/>
        </w:rPr>
        <w:t xml:space="preserve">73 (finding that a period of delay 4 years and 2 months between the victim’s arrest and disposition of his final appeal to “far exceed” the reasonable time contemplated in the Convention and therefore to violate Articles 7(5) and 8(1) of the Convention.); I/A Comm. H.R., Report on Panama, ANNUAL REPORT 1991, at p. 485 (finding an average pre-trial delay of 2 years and 4 months to be unreasonable contrary to Article 7(5) of the Convention); Desmond Williams v. Jamaica, supra, para. 9.4 (finding a delay of two years between arrest and trial to be prolonged and unreasonable); U.N.H.R.C., Patrick Taylor v. Jamaica, Communication No 707/1996, U.N. Doc. CCPR/C/60/D/707/1996 (1997) (finding a delay of 28 months between arrest and trial to be a violation of the petitioner’s right to be tried without undue delay). </w:t>
      </w:r>
    </w:p>
  </w:footnote>
  <w:footnote w:id="96">
    <w:p w14:paraId="1E0AF2BC" w14:textId="77777777" w:rsidR="00112772" w:rsidRPr="00B822DD" w:rsidRDefault="00112772" w:rsidP="00EA77A2">
      <w:pPr>
        <w:pStyle w:val="NormalWeb"/>
        <w:spacing w:before="0" w:beforeAutospacing="0" w:after="0" w:afterAutospacing="0"/>
        <w:jc w:val="both"/>
        <w:rPr>
          <w:rFonts w:asciiTheme="majorHAnsi" w:eastAsia="Arial Unicode MS" w:hAnsiTheme="majorHAnsi"/>
          <w:sz w:val="16"/>
          <w:szCs w:val="16"/>
        </w:rPr>
      </w:pPr>
      <w:r w:rsidRPr="00B822DD">
        <w:rPr>
          <w:rStyle w:val="FootnoteReference"/>
          <w:rFonts w:asciiTheme="majorHAnsi" w:eastAsia="Arial Unicode MS" w:hAnsiTheme="majorHAnsi"/>
          <w:sz w:val="16"/>
          <w:szCs w:val="16"/>
          <w:bdr w:val="nil"/>
        </w:rPr>
        <w:footnoteRef/>
      </w:r>
      <w:r w:rsidRPr="00B822DD">
        <w:rPr>
          <w:rFonts w:asciiTheme="majorHAnsi" w:hAnsiTheme="majorHAnsi"/>
          <w:sz w:val="16"/>
          <w:szCs w:val="16"/>
        </w:rPr>
        <w:t xml:space="preserve"> </w:t>
      </w:r>
      <w:r w:rsidRPr="00B822DD">
        <w:rPr>
          <w:rFonts w:asciiTheme="majorHAnsi" w:eastAsia="Arial Unicode MS" w:hAnsiTheme="majorHAnsi"/>
          <w:sz w:val="16"/>
          <w:szCs w:val="16"/>
        </w:rPr>
        <w:t>Article 4 (Right to Life) of the American Convention provides:</w:t>
      </w:r>
    </w:p>
    <w:p w14:paraId="250EE1D4" w14:textId="77777777" w:rsidR="00112772" w:rsidRPr="00B822DD" w:rsidRDefault="00112772" w:rsidP="00EA77A2">
      <w:pPr>
        <w:pStyle w:val="NormalWeb"/>
        <w:spacing w:before="0" w:beforeAutospacing="0" w:after="0" w:afterAutospacing="0"/>
        <w:jc w:val="both"/>
        <w:rPr>
          <w:rFonts w:asciiTheme="majorHAnsi" w:eastAsia="Arial Unicode MS" w:hAnsiTheme="majorHAnsi"/>
          <w:sz w:val="16"/>
          <w:szCs w:val="16"/>
        </w:rPr>
      </w:pPr>
      <w:r w:rsidRPr="00B822DD">
        <w:rPr>
          <w:rFonts w:asciiTheme="majorHAnsi" w:eastAsia="Arial Unicode MS" w:hAnsiTheme="majorHAnsi"/>
          <w:sz w:val="16"/>
          <w:szCs w:val="16"/>
        </w:rPr>
        <w:t>(…) 6. Every person condemned to death shall have the right to apply for amnesty, pardon, or commutation of sentence, which may be granted in all cases. Capital punishment shall not be imposed while such a petition is pending decision by the competent authority.</w:t>
      </w:r>
    </w:p>
  </w:footnote>
  <w:footnote w:id="97">
    <w:p w14:paraId="46FA3916"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Style w:val="FootnoteReference"/>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 Court H.R., </w:t>
      </w:r>
      <w:r w:rsidRPr="00D8238D">
        <w:rPr>
          <w:rFonts w:asciiTheme="majorHAnsi" w:hAnsiTheme="majorHAnsi"/>
          <w:i/>
          <w:iCs/>
          <w:color w:val="auto"/>
          <w:sz w:val="16"/>
          <w:szCs w:val="16"/>
          <w:bdr w:val="none" w:sz="0" w:space="0" w:color="auto"/>
        </w:rPr>
        <w:t>Case of Hilaire, Constantine and Benjamin et al. v. Trinidad and Tobago</w:t>
      </w:r>
      <w:r w:rsidRPr="00D8238D">
        <w:rPr>
          <w:rFonts w:asciiTheme="majorHAnsi" w:hAnsiTheme="majorHAnsi"/>
          <w:color w:val="auto"/>
          <w:sz w:val="16"/>
          <w:szCs w:val="16"/>
          <w:bdr w:val="none" w:sz="0" w:space="0" w:color="auto"/>
        </w:rPr>
        <w:t>. Judgment of June 21, 2002. Series C No. 94, para. 189.</w:t>
      </w:r>
    </w:p>
  </w:footnote>
  <w:footnote w:id="98">
    <w:p w14:paraId="086CEE3E" w14:textId="77777777" w:rsidR="00112772" w:rsidRPr="00B822DD" w:rsidRDefault="00112772" w:rsidP="00EA77A2">
      <w:pPr>
        <w:widowControl w:val="0"/>
        <w:autoSpaceDE w:val="0"/>
        <w:autoSpaceDN w:val="0"/>
        <w:adjustRightInd w:val="0"/>
        <w:jc w:val="both"/>
        <w:rPr>
          <w:rFonts w:asciiTheme="majorHAnsi" w:hAnsiTheme="majorHAnsi" w:cs="Arial"/>
          <w:bCs/>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Pratt and Morgan v. The Attorney General for Jamaica and another (Jamaica) [1993] UKPC 1 (November 2, 1993). </w:t>
      </w:r>
    </w:p>
  </w:footnote>
  <w:footnote w:id="99">
    <w:p w14:paraId="55FC6D8E"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Balkissoon Roodal v. The State (Trinidad and Tobago), Privy Council Appeal No. 18 of 2003, judgment issued by the Judicial Committee of the Privy Council on November 20, 2003.</w:t>
      </w:r>
    </w:p>
  </w:footnote>
  <w:footnote w:id="100">
    <w:p w14:paraId="5003C0CB"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Matthew v. The State (Trinidad and Tobago), </w:t>
      </w:r>
      <w:r w:rsidRPr="00D8238D">
        <w:rPr>
          <w:rFonts w:asciiTheme="majorHAnsi" w:hAnsiTheme="majorHAnsi" w:cs="Estrangelo Edessa"/>
          <w:color w:val="auto"/>
          <w:sz w:val="16"/>
          <w:szCs w:val="16"/>
        </w:rPr>
        <w:t xml:space="preserve">Privy Council Appeal </w:t>
      </w:r>
      <w:r w:rsidRPr="00D8238D">
        <w:rPr>
          <w:rFonts w:asciiTheme="majorHAnsi" w:hAnsiTheme="majorHAnsi"/>
          <w:color w:val="auto"/>
          <w:sz w:val="16"/>
          <w:szCs w:val="16"/>
        </w:rPr>
        <w:t>No. 12 of 2004, judgment issued by the Judicial Committee of the Privy Council on July 7, 2004.</w:t>
      </w:r>
    </w:p>
  </w:footnote>
  <w:footnote w:id="101">
    <w:p w14:paraId="3B080E47"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Matthew v. The State (Trinidad and Tobago), </w:t>
      </w:r>
      <w:r w:rsidRPr="00D8238D">
        <w:rPr>
          <w:rFonts w:asciiTheme="majorHAnsi" w:hAnsiTheme="majorHAnsi" w:cs="Estrangelo Edessa"/>
          <w:color w:val="auto"/>
          <w:sz w:val="16"/>
          <w:szCs w:val="16"/>
        </w:rPr>
        <w:t xml:space="preserve">Privy Council Appeal </w:t>
      </w:r>
      <w:r w:rsidRPr="00D8238D">
        <w:rPr>
          <w:rFonts w:asciiTheme="majorHAnsi" w:hAnsiTheme="majorHAnsi"/>
          <w:color w:val="auto"/>
          <w:sz w:val="16"/>
          <w:szCs w:val="16"/>
        </w:rPr>
        <w:t xml:space="preserve">No. 12 of 2004, judgment issued by the Judicial Committee of the Privy Council on July 7, 2004, paras. 30-33. </w:t>
      </w:r>
    </w:p>
  </w:footnote>
  <w:footnote w:id="102">
    <w:p w14:paraId="3F188E2A" w14:textId="77777777" w:rsidR="00112772" w:rsidRPr="00B822DD" w:rsidRDefault="00112772" w:rsidP="00EA77A2">
      <w:pPr>
        <w:jc w:val="both"/>
        <w:rPr>
          <w:rFonts w:asciiTheme="majorHAnsi" w:hAnsiTheme="majorHAnsi"/>
          <w:sz w:val="16"/>
          <w:szCs w:val="16"/>
          <w:bdr w:val="none" w:sz="0" w:space="0" w:color="auto"/>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Article II of the American Declaration provides: All persons are equal before the law and have the rights and duties established in this Declaration, without distinction as to race, sex, language, creed or any other factor.”</w:t>
      </w:r>
    </w:p>
  </w:footnote>
  <w:footnote w:id="103">
    <w:p w14:paraId="2C12A8F7" w14:textId="77777777" w:rsidR="00112772" w:rsidRPr="00B822DD" w:rsidRDefault="00112772" w:rsidP="00EA77A2">
      <w:pPr>
        <w:pStyle w:val="FootnoteText"/>
        <w:jc w:val="both"/>
        <w:rPr>
          <w:rFonts w:asciiTheme="majorHAnsi" w:hAnsiTheme="majorHAnsi"/>
          <w:color w:val="auto"/>
          <w:sz w:val="16"/>
          <w:szCs w:val="16"/>
        </w:rPr>
      </w:pPr>
      <w:r w:rsidRPr="00B822DD">
        <w:rPr>
          <w:rStyle w:val="FootnoteReference"/>
          <w:rFonts w:asciiTheme="majorHAnsi" w:hAnsiTheme="majorHAnsi"/>
          <w:color w:val="auto"/>
          <w:sz w:val="16"/>
          <w:szCs w:val="16"/>
        </w:rPr>
        <w:footnoteRef/>
      </w:r>
      <w:r w:rsidRPr="00B822DD">
        <w:rPr>
          <w:rFonts w:asciiTheme="majorHAnsi" w:hAnsiTheme="majorHAnsi"/>
          <w:color w:val="auto"/>
          <w:sz w:val="16"/>
          <w:szCs w:val="16"/>
        </w:rPr>
        <w:t xml:space="preserve"> Article XXV of the American Declaration provides: “[…] Every individual who has been deprived of his liberty has the right […] to humane treatment during the time he is in custody.” </w:t>
      </w:r>
    </w:p>
    <w:p w14:paraId="62E8DF0D" w14:textId="77777777" w:rsidR="00112772" w:rsidRPr="00B822DD" w:rsidRDefault="00112772" w:rsidP="00EA77A2">
      <w:pPr>
        <w:pStyle w:val="FootnoteText"/>
        <w:jc w:val="both"/>
        <w:rPr>
          <w:rFonts w:asciiTheme="majorHAnsi" w:hAnsiTheme="majorHAnsi"/>
          <w:color w:val="auto"/>
          <w:sz w:val="16"/>
          <w:szCs w:val="16"/>
        </w:rPr>
      </w:pPr>
      <w:r w:rsidRPr="00B822DD">
        <w:rPr>
          <w:rFonts w:asciiTheme="majorHAnsi" w:hAnsiTheme="majorHAnsi"/>
          <w:color w:val="auto"/>
          <w:sz w:val="16"/>
          <w:szCs w:val="16"/>
        </w:rPr>
        <w:t>Article XXVI of the American Declaration provides: “[…] Every person accused of an offense has the right […] not to receive cruel, infamous or unusual punishment.”</w:t>
      </w:r>
    </w:p>
  </w:footnote>
  <w:footnote w:id="104">
    <w:p w14:paraId="1AC1CEF7" w14:textId="77777777" w:rsidR="00112772" w:rsidRPr="00B822D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Style w:val="FootnoteReference"/>
          <w:rFonts w:asciiTheme="majorHAnsi" w:hAnsiTheme="majorHAnsi"/>
          <w:color w:val="auto"/>
          <w:sz w:val="16"/>
          <w:szCs w:val="16"/>
        </w:rPr>
        <w:t xml:space="preserve"> </w:t>
      </w:r>
      <w:r w:rsidRPr="00D8238D">
        <w:rPr>
          <w:rFonts w:asciiTheme="majorHAnsi" w:hAnsiTheme="majorHAnsi"/>
          <w:color w:val="auto"/>
          <w:sz w:val="16"/>
          <w:szCs w:val="16"/>
        </w:rPr>
        <w:t>Article XI of the American Declaration provides: “The right to the preservation of health and well-being – every person has the right to the preservation of his health through sanitary and social measures relating to food, clothing, housing and medical care, to the extent permitted by public and community resources.”</w:t>
      </w:r>
    </w:p>
  </w:footnote>
  <w:footnote w:id="105">
    <w:p w14:paraId="182D9A06" w14:textId="77777777" w:rsidR="00112772" w:rsidRPr="00B822DD" w:rsidRDefault="00112772" w:rsidP="00EA77A2">
      <w:pPr>
        <w:pStyle w:val="FootnoteText"/>
        <w:jc w:val="both"/>
        <w:rPr>
          <w:rFonts w:asciiTheme="majorHAnsi" w:hAnsiTheme="majorHAnsi"/>
          <w:color w:val="auto"/>
          <w:sz w:val="16"/>
          <w:szCs w:val="16"/>
        </w:rPr>
      </w:pPr>
      <w:r w:rsidRPr="00B822DD">
        <w:rPr>
          <w:rStyle w:val="FootnoteReference"/>
          <w:rFonts w:asciiTheme="majorHAnsi" w:hAnsiTheme="majorHAnsi"/>
          <w:color w:val="auto"/>
          <w:sz w:val="16"/>
          <w:szCs w:val="16"/>
        </w:rPr>
        <w:footnoteRef/>
      </w:r>
      <w:r w:rsidRPr="00B822DD">
        <w:rPr>
          <w:rStyle w:val="FootnoteReference"/>
          <w:rFonts w:asciiTheme="majorHAnsi" w:hAnsiTheme="majorHAnsi"/>
          <w:color w:val="auto"/>
          <w:sz w:val="16"/>
          <w:szCs w:val="16"/>
        </w:rPr>
        <w:t xml:space="preserve"> </w:t>
      </w:r>
      <w:r w:rsidRPr="00B822DD">
        <w:rPr>
          <w:rFonts w:asciiTheme="majorHAnsi" w:hAnsiTheme="majorHAnsi"/>
          <w:color w:val="auto"/>
          <w:sz w:val="16"/>
          <w:szCs w:val="16"/>
        </w:rPr>
        <w:t>IACHR, Report No. 71/18, Case 12.958. Merits. Russell Bucklew. United States, May 10, 2018, paras. 86-90. In this report the Commission has cited a number of developments in the inter-American and other protections systems, including the regional and United Nations systems.</w:t>
      </w:r>
    </w:p>
  </w:footnote>
  <w:footnote w:id="106">
    <w:p w14:paraId="287A85D0" w14:textId="77777777" w:rsidR="00112772" w:rsidRPr="00D8238D" w:rsidRDefault="00112772" w:rsidP="00EA77A2">
      <w:pPr>
        <w:pStyle w:val="FootnoteText"/>
        <w:tabs>
          <w:tab w:val="right" w:pos="0"/>
          <w:tab w:val="left" w:pos="180"/>
          <w:tab w:val="left" w:pos="900"/>
        </w:tabs>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United Nations. Report of the Special Rapporteur on torture and other cruel, inhuman or degrading treatment of punishment.  9 August 2012. A/67/279, para 42. Citing: Patrick Hudson, “Does the death row phenomenon violate a prisoner’s rights under international law?”, </w:t>
      </w:r>
      <w:r w:rsidRPr="00D8238D">
        <w:rPr>
          <w:rFonts w:asciiTheme="majorHAnsi" w:hAnsiTheme="majorHAnsi"/>
          <w:i/>
          <w:color w:val="auto"/>
          <w:sz w:val="16"/>
          <w:szCs w:val="16"/>
        </w:rPr>
        <w:t>European Journal of International Law</w:t>
      </w:r>
      <w:r w:rsidRPr="00D8238D">
        <w:rPr>
          <w:rFonts w:asciiTheme="majorHAnsi" w:hAnsiTheme="majorHAnsi"/>
          <w:color w:val="auto"/>
          <w:sz w:val="16"/>
          <w:szCs w:val="16"/>
        </w:rPr>
        <w:t>, vol. 11, No. 4 (2000), pp. 834-837.</w:t>
      </w:r>
    </w:p>
  </w:footnote>
  <w:footnote w:id="107">
    <w:p w14:paraId="7F6C47C9"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United Nations. Report of the Special Rapporteur on torture and other cruel, inhuman or degrading treatment of punishment.  9 August 2012. A/67/279. para 42.</w:t>
      </w:r>
    </w:p>
  </w:footnote>
  <w:footnote w:id="108">
    <w:p w14:paraId="780AF84E" w14:textId="77777777" w:rsidR="00112772" w:rsidRPr="00D8238D" w:rsidRDefault="00112772" w:rsidP="00EA77A2">
      <w:pPr>
        <w:pStyle w:val="FootnoteText"/>
        <w:tabs>
          <w:tab w:val="right" w:pos="540"/>
          <w:tab w:val="left" w:pos="900"/>
        </w:tabs>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ECtHR. Case of Soering v. The United Kingdom. Report No. 14038/88. Judgment, July 7, 1989. para. 104.</w:t>
      </w:r>
    </w:p>
  </w:footnote>
  <w:footnote w:id="109">
    <w:p w14:paraId="57E4C624"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European Court of Human Rights, Soering v. United Kingdom. Judgment of July 7, 1989. Series A,  Vol. 161. Likewise, the Supreme Court of the United States of America recognised in Furman v. Georgia that the time spent awaiting the execution of a death sentence destroys the human spirit and constitutes psychological torture that often leads to insanity. Cf. Furman v. Georgia, 408 U.S. 238, 287‐288 (197). </w:t>
      </w:r>
    </w:p>
  </w:footnote>
  <w:footnote w:id="110">
    <w:p w14:paraId="7E922C04" w14:textId="77777777" w:rsidR="00112772" w:rsidRPr="00D8238D" w:rsidRDefault="00112772" w:rsidP="00EA77A2">
      <w:pPr>
        <w:pStyle w:val="FootnoteText"/>
        <w:tabs>
          <w:tab w:val="right" w:pos="540"/>
          <w:tab w:val="left" w:pos="900"/>
        </w:tabs>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ECtHR. Case of Soering v. The United Kingdom. Report No. 14038/88. Judgment, July 7, 1989. para. 106.</w:t>
      </w:r>
    </w:p>
  </w:footnote>
  <w:footnote w:id="111">
    <w:p w14:paraId="48AF8698" w14:textId="77777777" w:rsidR="00112772" w:rsidRPr="00D8238D" w:rsidRDefault="00112772" w:rsidP="00EA77A2">
      <w:pPr>
        <w:pStyle w:val="FootnoteText"/>
        <w:tabs>
          <w:tab w:val="right" w:pos="540"/>
          <w:tab w:val="left" w:pos="900"/>
        </w:tabs>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ECtHR. Case of Soering v. The United Kingdom. Report No. 14038/88. Judgment, July 7, 1989. para. 111.</w:t>
      </w:r>
    </w:p>
  </w:footnote>
  <w:footnote w:id="112">
    <w:p w14:paraId="10CB59DA" w14:textId="77777777" w:rsidR="00112772" w:rsidRPr="00B822DD" w:rsidRDefault="00112772" w:rsidP="00EA77A2">
      <w:pPr>
        <w:widowControl w:val="0"/>
        <w:autoSpaceDE w:val="0"/>
        <w:autoSpaceDN w:val="0"/>
        <w:adjustRightInd w:val="0"/>
        <w:jc w:val="both"/>
        <w:rPr>
          <w:rFonts w:asciiTheme="majorHAnsi" w:hAnsiTheme="majorHAnsi" w:cs="Arial"/>
          <w:bCs/>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Pratt and Morgan v. The Attorney General for Jamaica and another (Jamaica) [1993] UKPC 1 (2nd November, 1993), paras. 73-75 and 84. </w:t>
      </w:r>
    </w:p>
  </w:footnote>
  <w:footnote w:id="113">
    <w:p w14:paraId="6442B17F"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Supreme Court of Uganda in </w:t>
      </w:r>
      <w:r w:rsidRPr="00D8238D">
        <w:rPr>
          <w:rFonts w:asciiTheme="majorHAnsi" w:hAnsiTheme="majorHAnsi"/>
          <w:i/>
          <w:color w:val="auto"/>
          <w:sz w:val="16"/>
          <w:szCs w:val="16"/>
        </w:rPr>
        <w:t>Attorney General v. Susan Kigula</w:t>
      </w:r>
      <w:r w:rsidRPr="00D8238D">
        <w:rPr>
          <w:rFonts w:asciiTheme="majorHAnsi" w:hAnsiTheme="majorHAnsi"/>
          <w:color w:val="auto"/>
          <w:sz w:val="16"/>
          <w:szCs w:val="16"/>
        </w:rPr>
        <w:t xml:space="preserve"> and 417 others (Constitutional Appeal No. 3 of 2006), 2009.</w:t>
      </w:r>
    </w:p>
  </w:footnote>
  <w:footnote w:id="114">
    <w:p w14:paraId="6DA042E7"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Judgment of the Supreme Court of Zimbabwe of 24 June 1993 in </w:t>
      </w:r>
      <w:r w:rsidRPr="00D8238D">
        <w:rPr>
          <w:rFonts w:asciiTheme="majorHAnsi" w:hAnsiTheme="majorHAnsi"/>
          <w:i/>
          <w:color w:val="auto"/>
          <w:sz w:val="16"/>
          <w:szCs w:val="16"/>
        </w:rPr>
        <w:t>Catholic Commissioner for Justice and Peace in Zimbabwe v. Attorney General</w:t>
      </w:r>
      <w:r w:rsidRPr="00D8238D">
        <w:rPr>
          <w:rFonts w:asciiTheme="majorHAnsi" w:hAnsiTheme="majorHAnsi"/>
          <w:color w:val="auto"/>
          <w:sz w:val="16"/>
          <w:szCs w:val="16"/>
        </w:rPr>
        <w:t xml:space="preserve"> (4) SA 239 (ZS).</w:t>
      </w:r>
    </w:p>
  </w:footnote>
  <w:footnote w:id="115">
    <w:p w14:paraId="38339C18"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Written submissions of the Petitioner – October 18, 2005 – Saul Lehrfreund, Parvais Jabber, Simons Muirhead &amp; Burton.</w:t>
      </w:r>
    </w:p>
  </w:footnote>
  <w:footnote w:id="116">
    <w:p w14:paraId="2EF80815" w14:textId="77777777" w:rsidR="00112772" w:rsidRPr="00B822DD" w:rsidRDefault="00112772" w:rsidP="00EA77A2">
      <w:pPr>
        <w:jc w:val="both"/>
        <w:rPr>
          <w:rFonts w:asciiTheme="majorHAnsi" w:hAnsiTheme="majorHAnsi"/>
          <w:sz w:val="16"/>
          <w:szCs w:val="16"/>
        </w:rPr>
      </w:pPr>
      <w:r w:rsidRPr="00B822DD">
        <w:rPr>
          <w:rStyle w:val="FootnoteReference"/>
          <w:rFonts w:asciiTheme="majorHAnsi" w:hAnsiTheme="majorHAnsi"/>
          <w:sz w:val="16"/>
          <w:szCs w:val="16"/>
        </w:rPr>
        <w:footnoteRef/>
      </w:r>
      <w:r w:rsidRPr="00B822DD">
        <w:rPr>
          <w:rStyle w:val="FootnoteReference"/>
          <w:rFonts w:asciiTheme="majorHAnsi" w:hAnsiTheme="majorHAnsi"/>
          <w:sz w:val="16"/>
          <w:szCs w:val="16"/>
        </w:rPr>
        <w:t xml:space="preserve"> </w:t>
      </w:r>
      <w:r w:rsidRPr="00B822DD">
        <w:rPr>
          <w:rFonts w:asciiTheme="majorHAnsi" w:hAnsiTheme="majorHAnsi"/>
          <w:sz w:val="16"/>
          <w:szCs w:val="16"/>
        </w:rPr>
        <w:t>Article XI (Right to the preservation of health and to well-being) of the American Declaration provides: “The right to the preservation of health and well-being – every person has the right to the preservation of his health through sanitary and social measures relating to food, clothing, housing and medical care, to the extent permitted by public and community resources.”</w:t>
      </w:r>
    </w:p>
  </w:footnote>
  <w:footnote w:id="117">
    <w:p w14:paraId="7C5ACC6A"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 Court H.R., </w:t>
      </w:r>
      <w:r w:rsidRPr="00D8238D">
        <w:rPr>
          <w:rFonts w:asciiTheme="majorHAnsi" w:hAnsiTheme="majorHAnsi"/>
          <w:i/>
          <w:iCs/>
          <w:color w:val="auto"/>
          <w:sz w:val="16"/>
          <w:szCs w:val="16"/>
          <w:bdr w:val="none" w:sz="0" w:space="0" w:color="auto"/>
        </w:rPr>
        <w:t>Case of Hilaire, Constantine and Benjamin et al. v. Trinidad and Tobago</w:t>
      </w:r>
      <w:r w:rsidRPr="00D8238D">
        <w:rPr>
          <w:rFonts w:asciiTheme="majorHAnsi" w:hAnsiTheme="majorHAnsi"/>
          <w:color w:val="auto"/>
          <w:sz w:val="16"/>
          <w:szCs w:val="16"/>
          <w:bdr w:val="none" w:sz="0" w:space="0" w:color="auto"/>
        </w:rPr>
        <w:t>. Judgment of June 21, 2002. Series C No. 94, para.</w:t>
      </w:r>
      <w:r w:rsidRPr="00D8238D">
        <w:rPr>
          <w:rFonts w:asciiTheme="majorHAnsi" w:hAnsiTheme="majorHAnsi"/>
          <w:color w:val="auto"/>
          <w:sz w:val="16"/>
          <w:szCs w:val="16"/>
        </w:rPr>
        <w:t xml:space="preserve"> 77.</w:t>
      </w:r>
    </w:p>
  </w:footnote>
  <w:footnote w:id="118">
    <w:p w14:paraId="426106F4"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 Court H.R., </w:t>
      </w:r>
      <w:r w:rsidRPr="00D8238D">
        <w:rPr>
          <w:rFonts w:asciiTheme="majorHAnsi" w:hAnsiTheme="majorHAnsi"/>
          <w:i/>
          <w:iCs/>
          <w:color w:val="auto"/>
          <w:sz w:val="16"/>
          <w:szCs w:val="16"/>
          <w:bdr w:val="none" w:sz="0" w:space="0" w:color="auto"/>
        </w:rPr>
        <w:t>Case of Hilaire, Constantine and Benjamin et al. v. Trinidad and Tobago</w:t>
      </w:r>
      <w:r w:rsidRPr="00D8238D">
        <w:rPr>
          <w:rFonts w:asciiTheme="majorHAnsi" w:hAnsiTheme="majorHAnsi"/>
          <w:color w:val="auto"/>
          <w:sz w:val="16"/>
          <w:szCs w:val="16"/>
          <w:bdr w:val="none" w:sz="0" w:space="0" w:color="auto"/>
        </w:rPr>
        <w:t>, para.</w:t>
      </w:r>
      <w:r w:rsidRPr="00D8238D">
        <w:rPr>
          <w:rFonts w:asciiTheme="majorHAnsi" w:hAnsiTheme="majorHAnsi"/>
          <w:color w:val="auto"/>
          <w:sz w:val="16"/>
          <w:szCs w:val="16"/>
        </w:rPr>
        <w:t xml:space="preserve"> 168.</w:t>
      </w:r>
    </w:p>
  </w:footnote>
  <w:footnote w:id="119">
    <w:p w14:paraId="1F548FA4" w14:textId="77777777" w:rsidR="00112772" w:rsidRPr="00D8238D" w:rsidRDefault="00112772" w:rsidP="00EA77A2">
      <w:pPr>
        <w:pStyle w:val="FootnoteText"/>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Style w:val="FootnoteReference"/>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I/A Court H.R., </w:t>
      </w:r>
      <w:r w:rsidRPr="00D8238D">
        <w:rPr>
          <w:rFonts w:asciiTheme="majorHAnsi" w:hAnsiTheme="majorHAnsi"/>
          <w:i/>
          <w:iCs/>
          <w:color w:val="auto"/>
          <w:sz w:val="16"/>
          <w:szCs w:val="16"/>
          <w:bdr w:val="none" w:sz="0" w:space="0" w:color="auto"/>
        </w:rPr>
        <w:t>Case of Hilaire, Constantine and Benjamin et al. v. Trinidad and Tobago</w:t>
      </w:r>
      <w:r w:rsidRPr="00D8238D">
        <w:rPr>
          <w:rFonts w:asciiTheme="majorHAnsi" w:hAnsiTheme="majorHAnsi"/>
          <w:color w:val="auto"/>
          <w:sz w:val="16"/>
          <w:szCs w:val="16"/>
          <w:bdr w:val="none" w:sz="0" w:space="0" w:color="auto"/>
        </w:rPr>
        <w:t>, para.</w:t>
      </w:r>
      <w:r w:rsidRPr="00D8238D">
        <w:rPr>
          <w:rFonts w:asciiTheme="majorHAnsi" w:hAnsiTheme="majorHAnsi"/>
          <w:color w:val="auto"/>
          <w:sz w:val="16"/>
          <w:szCs w:val="16"/>
        </w:rPr>
        <w:t xml:space="preserve"> 169.</w:t>
      </w:r>
    </w:p>
  </w:footnote>
  <w:footnote w:id="120">
    <w:p w14:paraId="0A17479F"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00F20721" w:rsidRPr="00F20721">
        <w:rPr>
          <w:rFonts w:asciiTheme="majorHAnsi" w:hAnsiTheme="majorHAnsi"/>
          <w:color w:val="auto"/>
          <w:sz w:val="16"/>
          <w:szCs w:val="16"/>
          <w:bdr w:val="none" w:sz="0" w:space="0" w:color="auto"/>
        </w:rPr>
        <w:t>United Nations Standard Minimum Rules for the Treatment of Prisoners (The Nelson Mandela Rules), General Assembly Resolution 70/175, A/RES/70/175, 17 December 2015</w:t>
      </w:r>
      <w:r w:rsidR="00F20721">
        <w:rPr>
          <w:rFonts w:asciiTheme="majorHAnsi" w:hAnsiTheme="majorHAnsi"/>
          <w:color w:val="auto"/>
          <w:sz w:val="16"/>
          <w:szCs w:val="16"/>
          <w:bdr w:val="none" w:sz="0" w:space="0" w:color="auto"/>
        </w:rPr>
        <w:t>.</w:t>
      </w:r>
    </w:p>
  </w:footnote>
  <w:footnote w:id="121">
    <w:p w14:paraId="3A23455A" w14:textId="77777777" w:rsidR="00112772" w:rsidRPr="00B822DD" w:rsidRDefault="00112772" w:rsidP="00EA77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rPr>
      </w:pPr>
      <w:r w:rsidRPr="00B822DD">
        <w:rPr>
          <w:rStyle w:val="FootnoteReference"/>
          <w:rFonts w:asciiTheme="majorHAnsi" w:hAnsiTheme="majorHAnsi"/>
          <w:sz w:val="16"/>
          <w:szCs w:val="16"/>
        </w:rPr>
        <w:footnoteRef/>
      </w:r>
      <w:r w:rsidRPr="00B822DD">
        <w:rPr>
          <w:rFonts w:asciiTheme="majorHAnsi" w:hAnsiTheme="majorHAnsi"/>
          <w:sz w:val="16"/>
          <w:szCs w:val="16"/>
        </w:rPr>
        <w:t xml:space="preserve"> IACHR. </w:t>
      </w:r>
      <w:r w:rsidRPr="00B822DD">
        <w:rPr>
          <w:rFonts w:asciiTheme="majorHAnsi" w:hAnsiTheme="majorHAnsi"/>
          <w:sz w:val="16"/>
          <w:szCs w:val="16"/>
          <w:bdr w:val="none" w:sz="0" w:space="0" w:color="auto"/>
        </w:rPr>
        <w:t>Report No. 28/09, Case 12.269, Dexter Lendore. Merits. Trinidad and Tobago. March 20, 2009, para 30.</w:t>
      </w:r>
    </w:p>
  </w:footnote>
  <w:footnote w:id="122">
    <w:p w14:paraId="76285613" w14:textId="77777777" w:rsidR="00112772" w:rsidRPr="00D8238D" w:rsidRDefault="00112772" w:rsidP="00EA77A2">
      <w:pPr>
        <w:pStyle w:val="FootnoteText"/>
        <w:jc w:val="both"/>
        <w:rPr>
          <w:rFonts w:asciiTheme="majorHAnsi" w:hAnsiTheme="majorHAnsi"/>
          <w:color w:val="auto"/>
          <w:sz w:val="16"/>
          <w:szCs w:val="16"/>
        </w:rPr>
      </w:pPr>
      <w:r w:rsidRPr="00D8238D">
        <w:rPr>
          <w:rStyle w:val="FootnoteReference"/>
          <w:rFonts w:asciiTheme="majorHAnsi" w:hAnsiTheme="majorHAnsi"/>
          <w:color w:val="auto"/>
          <w:sz w:val="16"/>
          <w:szCs w:val="16"/>
        </w:rPr>
        <w:footnoteRef/>
      </w:r>
      <w:r w:rsidRPr="00D8238D">
        <w:rPr>
          <w:rFonts w:asciiTheme="majorHAnsi" w:hAnsiTheme="majorHAnsi"/>
          <w:color w:val="auto"/>
          <w:sz w:val="16"/>
          <w:szCs w:val="16"/>
        </w:rPr>
        <w:t xml:space="preserve"> </w:t>
      </w:r>
      <w:r w:rsidRPr="00D8238D">
        <w:rPr>
          <w:rFonts w:asciiTheme="majorHAnsi" w:hAnsiTheme="majorHAnsi"/>
          <w:color w:val="auto"/>
          <w:sz w:val="16"/>
          <w:szCs w:val="16"/>
          <w:bdr w:val="none" w:sz="0" w:space="0" w:color="auto"/>
        </w:rPr>
        <w:t xml:space="preserve">See e.g. McKenzie et al. Case, supra, para. 288, citing Eur. Court H.R., Ahmed v. Austria, Judgment of 17 December 1996, Reports of Judgments and Decisions 1996-VI, p. 220, para. 38. </w:t>
      </w:r>
    </w:p>
  </w:footnote>
  <w:footnote w:id="123">
    <w:p w14:paraId="047B0294" w14:textId="77777777" w:rsidR="00112772" w:rsidRPr="00B822DD" w:rsidRDefault="00112772" w:rsidP="00EA77A2">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B822DD">
        <w:rPr>
          <w:rStyle w:val="FootnoteReference"/>
          <w:rFonts w:asciiTheme="majorHAnsi" w:hAnsiTheme="majorHAnsi"/>
          <w:color w:val="auto"/>
          <w:sz w:val="16"/>
          <w:szCs w:val="16"/>
        </w:rPr>
        <w:footnoteRef/>
      </w:r>
      <w:r w:rsidRPr="00B822DD">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F78E" w14:textId="77777777" w:rsidR="00112772" w:rsidRDefault="0078071D"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sidR="00112772">
      <w:rPr>
        <w:rStyle w:val="PageNumber"/>
        <w:rFonts w:eastAsia="Trebuchet MS"/>
      </w:rPr>
      <w:instrText xml:space="preserve">PAGE  </w:instrText>
    </w:r>
    <w:r>
      <w:rPr>
        <w:rStyle w:val="PageNumber"/>
        <w:rFonts w:eastAsia="Trebuchet MS"/>
      </w:rPr>
      <w:fldChar w:fldCharType="end"/>
    </w:r>
  </w:p>
  <w:p w14:paraId="3A5900FE" w14:textId="77777777" w:rsidR="00112772" w:rsidRDefault="0011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D1F9" w14:textId="77777777" w:rsidR="00112772" w:rsidRDefault="00112772" w:rsidP="002C1641">
    <w:pPr>
      <w:pStyle w:val="Header"/>
      <w:tabs>
        <w:tab w:val="clear" w:pos="4320"/>
        <w:tab w:val="clear" w:pos="8640"/>
      </w:tabs>
      <w:jc w:val="center"/>
      <w:rPr>
        <w:sz w:val="22"/>
        <w:szCs w:val="22"/>
      </w:rPr>
    </w:pPr>
    <w:r>
      <w:rPr>
        <w:noProof/>
        <w:sz w:val="22"/>
        <w:szCs w:val="22"/>
      </w:rPr>
      <w:drawing>
        <wp:inline distT="0" distB="0" distL="0" distR="0" wp14:anchorId="5AA4848C" wp14:editId="747DC9B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7B4FE91" w14:textId="77777777" w:rsidR="00112772" w:rsidRPr="00EC7D62" w:rsidRDefault="0030692A" w:rsidP="002C1641">
    <w:pPr>
      <w:pStyle w:val="Header"/>
      <w:tabs>
        <w:tab w:val="clear" w:pos="4320"/>
        <w:tab w:val="clear" w:pos="8640"/>
      </w:tabs>
      <w:jc w:val="center"/>
      <w:rPr>
        <w:sz w:val="22"/>
        <w:szCs w:val="22"/>
      </w:rPr>
    </w:pPr>
    <w:r>
      <w:rPr>
        <w:noProof/>
        <w:sz w:val="22"/>
        <w:szCs w:val="22"/>
        <w:bdr w:val="nil"/>
      </w:rPr>
      <w:pict w14:anchorId="18B18AE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Univers"/>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1"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26"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Univers"/>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0"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3"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6"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5D7D4B9D"/>
    <w:multiLevelType w:val="hybridMultilevel"/>
    <w:tmpl w:val="94DC54F4"/>
    <w:lvl w:ilvl="0" w:tplc="F704ED20">
      <w:start w:val="1"/>
      <w:numFmt w:val="decimal"/>
      <w:lvlText w:val="%1."/>
      <w:lvlJc w:val="left"/>
      <w:pPr>
        <w:ind w:left="468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3" w15:restartNumberingAfterBreak="0">
    <w:nsid w:val="70786ED7"/>
    <w:multiLevelType w:val="hybridMultilevel"/>
    <w:tmpl w:val="893AFD0C"/>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5" w15:restartNumberingAfterBreak="0">
    <w:nsid w:val="7745554A"/>
    <w:multiLevelType w:val="hybridMultilevel"/>
    <w:tmpl w:val="684A5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Univer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b/>
        <w:bCs/>
        <w:color w:val="000000"/>
        <w:position w:val="0"/>
        <w:sz w:val="22"/>
        <w:szCs w:val="22"/>
        <w:u w:color="000000"/>
        <w:lang w:val="es-ES_tradnl"/>
      </w:rPr>
    </w:lvl>
  </w:abstractNum>
  <w:abstractNum w:abstractNumId="58" w15:restartNumberingAfterBreak="0">
    <w:nsid w:val="7994649A"/>
    <w:multiLevelType w:val="hybridMultilevel"/>
    <w:tmpl w:val="A6F6CA10"/>
    <w:lvl w:ilvl="0" w:tplc="C6FEA962">
      <w:start w:val="1"/>
      <w:numFmt w:val="upperLetter"/>
      <w:lvlText w:val="%1."/>
      <w:lvlJc w:val="left"/>
      <w:pPr>
        <w:ind w:left="360" w:hanging="360"/>
      </w:pPr>
      <w:rPr>
        <w:rFonts w:hint="default"/>
        <w:color w:val="auto"/>
      </w:rPr>
    </w:lvl>
    <w:lvl w:ilvl="1" w:tplc="5B9AA624">
      <w:start w:val="1"/>
      <w:numFmt w:val="decimal"/>
      <w:lvlText w:val="%2."/>
      <w:lvlJc w:val="left"/>
      <w:pPr>
        <w:ind w:left="757" w:hanging="37"/>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0"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num w:numId="1" w16cid:durableId="1003094040">
    <w:abstractNumId w:val="3"/>
  </w:num>
  <w:num w:numId="2" w16cid:durableId="1086270717">
    <w:abstractNumId w:val="4"/>
  </w:num>
  <w:num w:numId="3" w16cid:durableId="953052449">
    <w:abstractNumId w:val="57"/>
  </w:num>
  <w:num w:numId="4" w16cid:durableId="1953054287">
    <w:abstractNumId w:val="20"/>
  </w:num>
  <w:num w:numId="5" w16cid:durableId="1874070920">
    <w:abstractNumId w:val="49"/>
  </w:num>
  <w:num w:numId="6" w16cid:durableId="1956406875">
    <w:abstractNumId w:val="25"/>
  </w:num>
  <w:num w:numId="7" w16cid:durableId="1621720014">
    <w:abstractNumId w:val="5"/>
  </w:num>
  <w:num w:numId="8" w16cid:durableId="490409210">
    <w:abstractNumId w:val="16"/>
  </w:num>
  <w:num w:numId="9" w16cid:durableId="649140838">
    <w:abstractNumId w:val="42"/>
  </w:num>
  <w:num w:numId="10" w16cid:durableId="946741622">
    <w:abstractNumId w:val="0"/>
  </w:num>
  <w:num w:numId="11" w16cid:durableId="179784836">
    <w:abstractNumId w:val="35"/>
  </w:num>
  <w:num w:numId="12" w16cid:durableId="2123260318">
    <w:abstractNumId w:val="36"/>
  </w:num>
  <w:num w:numId="13" w16cid:durableId="989554378">
    <w:abstractNumId w:val="44"/>
  </w:num>
  <w:num w:numId="14" w16cid:durableId="991905502">
    <w:abstractNumId w:val="1"/>
  </w:num>
  <w:num w:numId="15" w16cid:durableId="1993439731">
    <w:abstractNumId w:val="2"/>
  </w:num>
  <w:num w:numId="16" w16cid:durableId="1005591249">
    <w:abstractNumId w:val="6"/>
  </w:num>
  <w:num w:numId="17" w16cid:durableId="1856918501">
    <w:abstractNumId w:val="7"/>
  </w:num>
  <w:num w:numId="18" w16cid:durableId="2024211288">
    <w:abstractNumId w:val="8"/>
  </w:num>
  <w:num w:numId="19" w16cid:durableId="1399209795">
    <w:abstractNumId w:val="9"/>
  </w:num>
  <w:num w:numId="20" w16cid:durableId="170416897">
    <w:abstractNumId w:val="10"/>
  </w:num>
  <w:num w:numId="21" w16cid:durableId="345134675">
    <w:abstractNumId w:val="12"/>
  </w:num>
  <w:num w:numId="22" w16cid:durableId="1435906326">
    <w:abstractNumId w:val="13"/>
  </w:num>
  <w:num w:numId="23" w16cid:durableId="1479765743">
    <w:abstractNumId w:val="14"/>
  </w:num>
  <w:num w:numId="24" w16cid:durableId="2138527086">
    <w:abstractNumId w:val="15"/>
  </w:num>
  <w:num w:numId="25" w16cid:durableId="350110941">
    <w:abstractNumId w:val="17"/>
  </w:num>
  <w:num w:numId="26" w16cid:durableId="1087654751">
    <w:abstractNumId w:val="18"/>
  </w:num>
  <w:num w:numId="27" w16cid:durableId="1969118277">
    <w:abstractNumId w:val="21"/>
  </w:num>
  <w:num w:numId="28" w16cid:durableId="297225651">
    <w:abstractNumId w:val="22"/>
  </w:num>
  <w:num w:numId="29" w16cid:durableId="1425803864">
    <w:abstractNumId w:val="23"/>
  </w:num>
  <w:num w:numId="30" w16cid:durableId="1590772964">
    <w:abstractNumId w:val="24"/>
  </w:num>
  <w:num w:numId="31" w16cid:durableId="2067144661">
    <w:abstractNumId w:val="27"/>
  </w:num>
  <w:num w:numId="32" w16cid:durableId="22488557">
    <w:abstractNumId w:val="28"/>
  </w:num>
  <w:num w:numId="33" w16cid:durableId="1180463422">
    <w:abstractNumId w:val="29"/>
  </w:num>
  <w:num w:numId="34" w16cid:durableId="1622490080">
    <w:abstractNumId w:val="30"/>
  </w:num>
  <w:num w:numId="35" w16cid:durableId="1039670269">
    <w:abstractNumId w:val="31"/>
  </w:num>
  <w:num w:numId="36" w16cid:durableId="1815179575">
    <w:abstractNumId w:val="32"/>
  </w:num>
  <w:num w:numId="37" w16cid:durableId="338240873">
    <w:abstractNumId w:val="33"/>
  </w:num>
  <w:num w:numId="38" w16cid:durableId="516314659">
    <w:abstractNumId w:val="34"/>
  </w:num>
  <w:num w:numId="39" w16cid:durableId="920139968">
    <w:abstractNumId w:val="37"/>
  </w:num>
  <w:num w:numId="40" w16cid:durableId="317463453">
    <w:abstractNumId w:val="38"/>
  </w:num>
  <w:num w:numId="41" w16cid:durableId="2069568022">
    <w:abstractNumId w:val="48"/>
  </w:num>
  <w:num w:numId="42" w16cid:durableId="1273198025">
    <w:abstractNumId w:val="51"/>
  </w:num>
  <w:num w:numId="43" w16cid:durableId="1435055908">
    <w:abstractNumId w:val="52"/>
  </w:num>
  <w:num w:numId="44" w16cid:durableId="1565143985">
    <w:abstractNumId w:val="54"/>
  </w:num>
  <w:num w:numId="45" w16cid:durableId="695890650">
    <w:abstractNumId w:val="56"/>
  </w:num>
  <w:num w:numId="46" w16cid:durableId="1586692157">
    <w:abstractNumId w:val="59"/>
  </w:num>
  <w:num w:numId="47" w16cid:durableId="1162962724">
    <w:abstractNumId w:val="61"/>
  </w:num>
  <w:num w:numId="48" w16cid:durableId="1977637518">
    <w:abstractNumId w:val="62"/>
  </w:num>
  <w:num w:numId="49" w16cid:durableId="504445515">
    <w:abstractNumId w:val="63"/>
  </w:num>
  <w:num w:numId="50" w16cid:durableId="1706441562">
    <w:abstractNumId w:val="64"/>
  </w:num>
  <w:num w:numId="51" w16cid:durableId="1010523250">
    <w:abstractNumId w:val="19"/>
  </w:num>
  <w:num w:numId="52" w16cid:durableId="509218089">
    <w:abstractNumId w:val="39"/>
  </w:num>
  <w:num w:numId="53" w16cid:durableId="1694651859">
    <w:abstractNumId w:val="53"/>
  </w:num>
  <w:num w:numId="54" w16cid:durableId="1539587919">
    <w:abstractNumId w:val="45"/>
  </w:num>
  <w:num w:numId="55" w16cid:durableId="26100515">
    <w:abstractNumId w:val="47"/>
  </w:num>
  <w:num w:numId="56" w16cid:durableId="2096852729">
    <w:abstractNumId w:val="50"/>
  </w:num>
  <w:num w:numId="57" w16cid:durableId="1807042491">
    <w:abstractNumId w:val="40"/>
  </w:num>
  <w:num w:numId="58" w16cid:durableId="794560116">
    <w:abstractNumId w:val="60"/>
  </w:num>
  <w:num w:numId="59" w16cid:durableId="1852137061">
    <w:abstractNumId w:val="41"/>
  </w:num>
  <w:num w:numId="60" w16cid:durableId="1388384171">
    <w:abstractNumId w:val="26"/>
  </w:num>
  <w:num w:numId="61" w16cid:durableId="1444418181">
    <w:abstractNumId w:val="11"/>
  </w:num>
  <w:num w:numId="62" w16cid:durableId="1123231918">
    <w:abstractNumId w:val="46"/>
  </w:num>
  <w:num w:numId="63" w16cid:durableId="1509834496">
    <w:abstractNumId w:val="58"/>
  </w:num>
  <w:num w:numId="64" w16cid:durableId="6637035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52493328">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38CF"/>
    <w:rsid w:val="000043BF"/>
    <w:rsid w:val="000050CC"/>
    <w:rsid w:val="00006DD7"/>
    <w:rsid w:val="00006E50"/>
    <w:rsid w:val="00006EDD"/>
    <w:rsid w:val="000070D7"/>
    <w:rsid w:val="00007690"/>
    <w:rsid w:val="00007B4D"/>
    <w:rsid w:val="00007C5F"/>
    <w:rsid w:val="00007D97"/>
    <w:rsid w:val="00010263"/>
    <w:rsid w:val="00010877"/>
    <w:rsid w:val="00010A7E"/>
    <w:rsid w:val="00010E1E"/>
    <w:rsid w:val="000111A8"/>
    <w:rsid w:val="00011553"/>
    <w:rsid w:val="00011E4C"/>
    <w:rsid w:val="00011EB8"/>
    <w:rsid w:val="00012470"/>
    <w:rsid w:val="00012683"/>
    <w:rsid w:val="0001278C"/>
    <w:rsid w:val="00012ADD"/>
    <w:rsid w:val="00012E4F"/>
    <w:rsid w:val="00013850"/>
    <w:rsid w:val="00013F78"/>
    <w:rsid w:val="00014335"/>
    <w:rsid w:val="00014B51"/>
    <w:rsid w:val="000157B5"/>
    <w:rsid w:val="00015F42"/>
    <w:rsid w:val="000160EE"/>
    <w:rsid w:val="00016D57"/>
    <w:rsid w:val="00017552"/>
    <w:rsid w:val="00017857"/>
    <w:rsid w:val="0001788C"/>
    <w:rsid w:val="00021201"/>
    <w:rsid w:val="00022424"/>
    <w:rsid w:val="0002357A"/>
    <w:rsid w:val="00023F31"/>
    <w:rsid w:val="00024730"/>
    <w:rsid w:val="00024BB7"/>
    <w:rsid w:val="00025198"/>
    <w:rsid w:val="00026205"/>
    <w:rsid w:val="000265CB"/>
    <w:rsid w:val="0002681D"/>
    <w:rsid w:val="00027222"/>
    <w:rsid w:val="0003022F"/>
    <w:rsid w:val="00030834"/>
    <w:rsid w:val="000308C1"/>
    <w:rsid w:val="00031A82"/>
    <w:rsid w:val="000328C5"/>
    <w:rsid w:val="00032BDA"/>
    <w:rsid w:val="0003324D"/>
    <w:rsid w:val="000332F4"/>
    <w:rsid w:val="000333D6"/>
    <w:rsid w:val="000342E9"/>
    <w:rsid w:val="00034BC7"/>
    <w:rsid w:val="00034F25"/>
    <w:rsid w:val="000351D4"/>
    <w:rsid w:val="00035CFF"/>
    <w:rsid w:val="00036736"/>
    <w:rsid w:val="00036A8A"/>
    <w:rsid w:val="00037CC9"/>
    <w:rsid w:val="00040C3A"/>
    <w:rsid w:val="000418DE"/>
    <w:rsid w:val="00042565"/>
    <w:rsid w:val="000427EE"/>
    <w:rsid w:val="0004390C"/>
    <w:rsid w:val="00043D23"/>
    <w:rsid w:val="00044DA8"/>
    <w:rsid w:val="00045151"/>
    <w:rsid w:val="00045601"/>
    <w:rsid w:val="000459E0"/>
    <w:rsid w:val="0004681B"/>
    <w:rsid w:val="0004761C"/>
    <w:rsid w:val="00047F35"/>
    <w:rsid w:val="00050225"/>
    <w:rsid w:val="00050BA3"/>
    <w:rsid w:val="000516F4"/>
    <w:rsid w:val="000517B2"/>
    <w:rsid w:val="00051AE4"/>
    <w:rsid w:val="00051D5E"/>
    <w:rsid w:val="00051EB4"/>
    <w:rsid w:val="000520FB"/>
    <w:rsid w:val="00052834"/>
    <w:rsid w:val="00053172"/>
    <w:rsid w:val="00054E1B"/>
    <w:rsid w:val="000550C0"/>
    <w:rsid w:val="000556F8"/>
    <w:rsid w:val="000564E1"/>
    <w:rsid w:val="000572DC"/>
    <w:rsid w:val="000576AA"/>
    <w:rsid w:val="00057D4F"/>
    <w:rsid w:val="00057DA5"/>
    <w:rsid w:val="00057EDB"/>
    <w:rsid w:val="0006021D"/>
    <w:rsid w:val="00060666"/>
    <w:rsid w:val="0006097A"/>
    <w:rsid w:val="0006097F"/>
    <w:rsid w:val="00062C0F"/>
    <w:rsid w:val="00062C28"/>
    <w:rsid w:val="00062FEC"/>
    <w:rsid w:val="000630E1"/>
    <w:rsid w:val="000639C0"/>
    <w:rsid w:val="00063CB3"/>
    <w:rsid w:val="00064B87"/>
    <w:rsid w:val="00064BE5"/>
    <w:rsid w:val="000657E1"/>
    <w:rsid w:val="00065D7D"/>
    <w:rsid w:val="00066AF8"/>
    <w:rsid w:val="000679BC"/>
    <w:rsid w:val="0007019C"/>
    <w:rsid w:val="00070F3A"/>
    <w:rsid w:val="0007127E"/>
    <w:rsid w:val="000712A3"/>
    <w:rsid w:val="000716C5"/>
    <w:rsid w:val="00071A9D"/>
    <w:rsid w:val="00071E45"/>
    <w:rsid w:val="00073088"/>
    <w:rsid w:val="000739F6"/>
    <w:rsid w:val="00074669"/>
    <w:rsid w:val="00075766"/>
    <w:rsid w:val="00075E23"/>
    <w:rsid w:val="000764E3"/>
    <w:rsid w:val="00076D82"/>
    <w:rsid w:val="000773F7"/>
    <w:rsid w:val="0007744E"/>
    <w:rsid w:val="00077A87"/>
    <w:rsid w:val="00080249"/>
    <w:rsid w:val="00080357"/>
    <w:rsid w:val="0008116C"/>
    <w:rsid w:val="00081EC3"/>
    <w:rsid w:val="000823DA"/>
    <w:rsid w:val="00082CBB"/>
    <w:rsid w:val="00082CF2"/>
    <w:rsid w:val="00082F7D"/>
    <w:rsid w:val="000830D5"/>
    <w:rsid w:val="00083E3C"/>
    <w:rsid w:val="00084032"/>
    <w:rsid w:val="00084A11"/>
    <w:rsid w:val="00084C5B"/>
    <w:rsid w:val="00084FE7"/>
    <w:rsid w:val="00085F60"/>
    <w:rsid w:val="00085F65"/>
    <w:rsid w:val="00086BFA"/>
    <w:rsid w:val="0008733D"/>
    <w:rsid w:val="000900A4"/>
    <w:rsid w:val="00090609"/>
    <w:rsid w:val="00090720"/>
    <w:rsid w:val="00091707"/>
    <w:rsid w:val="000919DF"/>
    <w:rsid w:val="000922C5"/>
    <w:rsid w:val="000924E3"/>
    <w:rsid w:val="00092817"/>
    <w:rsid w:val="000929D9"/>
    <w:rsid w:val="00092F32"/>
    <w:rsid w:val="00093055"/>
    <w:rsid w:val="0009344A"/>
    <w:rsid w:val="00093583"/>
    <w:rsid w:val="0009454E"/>
    <w:rsid w:val="00094AFA"/>
    <w:rsid w:val="00095575"/>
    <w:rsid w:val="0009575D"/>
    <w:rsid w:val="00096FAB"/>
    <w:rsid w:val="0009719E"/>
    <w:rsid w:val="000973C5"/>
    <w:rsid w:val="00097DA5"/>
    <w:rsid w:val="00097E71"/>
    <w:rsid w:val="000A0445"/>
    <w:rsid w:val="000A0ED0"/>
    <w:rsid w:val="000A0EF3"/>
    <w:rsid w:val="000A1126"/>
    <w:rsid w:val="000A16DB"/>
    <w:rsid w:val="000A1E84"/>
    <w:rsid w:val="000A2085"/>
    <w:rsid w:val="000A250A"/>
    <w:rsid w:val="000A254B"/>
    <w:rsid w:val="000A2D79"/>
    <w:rsid w:val="000A307D"/>
    <w:rsid w:val="000A3276"/>
    <w:rsid w:val="000A3B2E"/>
    <w:rsid w:val="000A3C49"/>
    <w:rsid w:val="000A3E84"/>
    <w:rsid w:val="000A4138"/>
    <w:rsid w:val="000A4DDD"/>
    <w:rsid w:val="000A575F"/>
    <w:rsid w:val="000A584B"/>
    <w:rsid w:val="000A5B0F"/>
    <w:rsid w:val="000A62C0"/>
    <w:rsid w:val="000A650D"/>
    <w:rsid w:val="000A6C50"/>
    <w:rsid w:val="000A7A76"/>
    <w:rsid w:val="000A7DBA"/>
    <w:rsid w:val="000B02D3"/>
    <w:rsid w:val="000B040F"/>
    <w:rsid w:val="000B06A8"/>
    <w:rsid w:val="000B25FC"/>
    <w:rsid w:val="000B276D"/>
    <w:rsid w:val="000B2EF7"/>
    <w:rsid w:val="000B3B3B"/>
    <w:rsid w:val="000B478D"/>
    <w:rsid w:val="000B4DAF"/>
    <w:rsid w:val="000B4EAA"/>
    <w:rsid w:val="000B50C3"/>
    <w:rsid w:val="000B5600"/>
    <w:rsid w:val="000B64A7"/>
    <w:rsid w:val="000B6B28"/>
    <w:rsid w:val="000B6DBC"/>
    <w:rsid w:val="000C0092"/>
    <w:rsid w:val="000C0149"/>
    <w:rsid w:val="000C04CF"/>
    <w:rsid w:val="000C067C"/>
    <w:rsid w:val="000C0C92"/>
    <w:rsid w:val="000C1094"/>
    <w:rsid w:val="000C17ED"/>
    <w:rsid w:val="000C1B5A"/>
    <w:rsid w:val="000C376B"/>
    <w:rsid w:val="000C3F7B"/>
    <w:rsid w:val="000C424E"/>
    <w:rsid w:val="000C5983"/>
    <w:rsid w:val="000C6FFD"/>
    <w:rsid w:val="000C791C"/>
    <w:rsid w:val="000D0123"/>
    <w:rsid w:val="000D0767"/>
    <w:rsid w:val="000D10DB"/>
    <w:rsid w:val="000D166E"/>
    <w:rsid w:val="000D1FC7"/>
    <w:rsid w:val="000D3921"/>
    <w:rsid w:val="000D3B27"/>
    <w:rsid w:val="000D5691"/>
    <w:rsid w:val="000D625C"/>
    <w:rsid w:val="000D65D9"/>
    <w:rsid w:val="000D6817"/>
    <w:rsid w:val="000D68F4"/>
    <w:rsid w:val="000D6C71"/>
    <w:rsid w:val="000D6EEF"/>
    <w:rsid w:val="000D7868"/>
    <w:rsid w:val="000E0150"/>
    <w:rsid w:val="000E0F8F"/>
    <w:rsid w:val="000E1356"/>
    <w:rsid w:val="000E2560"/>
    <w:rsid w:val="000E270D"/>
    <w:rsid w:val="000E2A4D"/>
    <w:rsid w:val="000E2BD0"/>
    <w:rsid w:val="000E3937"/>
    <w:rsid w:val="000E44C7"/>
    <w:rsid w:val="000E56C3"/>
    <w:rsid w:val="000E69B3"/>
    <w:rsid w:val="000E6EDD"/>
    <w:rsid w:val="000E7140"/>
    <w:rsid w:val="000E7636"/>
    <w:rsid w:val="000E7ED0"/>
    <w:rsid w:val="000E7F69"/>
    <w:rsid w:val="000E7FEB"/>
    <w:rsid w:val="000F0A25"/>
    <w:rsid w:val="000F0E52"/>
    <w:rsid w:val="000F0EEC"/>
    <w:rsid w:val="000F1DB8"/>
    <w:rsid w:val="000F1E39"/>
    <w:rsid w:val="000F214A"/>
    <w:rsid w:val="000F232B"/>
    <w:rsid w:val="000F24AF"/>
    <w:rsid w:val="000F2A83"/>
    <w:rsid w:val="000F4452"/>
    <w:rsid w:val="000F4547"/>
    <w:rsid w:val="000F4C8A"/>
    <w:rsid w:val="000F4D36"/>
    <w:rsid w:val="000F4DD2"/>
    <w:rsid w:val="000F4E59"/>
    <w:rsid w:val="000F5C19"/>
    <w:rsid w:val="000F5D49"/>
    <w:rsid w:val="000F5E9D"/>
    <w:rsid w:val="000F6225"/>
    <w:rsid w:val="000F7409"/>
    <w:rsid w:val="00100C20"/>
    <w:rsid w:val="00101553"/>
    <w:rsid w:val="001017BD"/>
    <w:rsid w:val="00102348"/>
    <w:rsid w:val="001024E3"/>
    <w:rsid w:val="001025B1"/>
    <w:rsid w:val="001032AB"/>
    <w:rsid w:val="00103526"/>
    <w:rsid w:val="00104889"/>
    <w:rsid w:val="00104896"/>
    <w:rsid w:val="00104C50"/>
    <w:rsid w:val="00105433"/>
    <w:rsid w:val="001063FA"/>
    <w:rsid w:val="00106789"/>
    <w:rsid w:val="00106990"/>
    <w:rsid w:val="00107414"/>
    <w:rsid w:val="0011101F"/>
    <w:rsid w:val="0011132C"/>
    <w:rsid w:val="00111D51"/>
    <w:rsid w:val="00111D79"/>
    <w:rsid w:val="001121AA"/>
    <w:rsid w:val="00112617"/>
    <w:rsid w:val="001126EB"/>
    <w:rsid w:val="00112756"/>
    <w:rsid w:val="00112772"/>
    <w:rsid w:val="00113149"/>
    <w:rsid w:val="00114527"/>
    <w:rsid w:val="00114FFE"/>
    <w:rsid w:val="00115009"/>
    <w:rsid w:val="00115BDF"/>
    <w:rsid w:val="001168E8"/>
    <w:rsid w:val="00116B80"/>
    <w:rsid w:val="0011768C"/>
    <w:rsid w:val="00121F0B"/>
    <w:rsid w:val="001239E6"/>
    <w:rsid w:val="00123ECD"/>
    <w:rsid w:val="00123FBD"/>
    <w:rsid w:val="00124508"/>
    <w:rsid w:val="00124D0C"/>
    <w:rsid w:val="00125D3B"/>
    <w:rsid w:val="001267FB"/>
    <w:rsid w:val="00130A27"/>
    <w:rsid w:val="00130DE9"/>
    <w:rsid w:val="00131042"/>
    <w:rsid w:val="0013104F"/>
    <w:rsid w:val="00131239"/>
    <w:rsid w:val="0013174B"/>
    <w:rsid w:val="0013178F"/>
    <w:rsid w:val="00131B01"/>
    <w:rsid w:val="001325FC"/>
    <w:rsid w:val="00132DB1"/>
    <w:rsid w:val="00133465"/>
    <w:rsid w:val="0013403C"/>
    <w:rsid w:val="001345FE"/>
    <w:rsid w:val="00134B21"/>
    <w:rsid w:val="00134FF0"/>
    <w:rsid w:val="001357AD"/>
    <w:rsid w:val="001365B6"/>
    <w:rsid w:val="001369FD"/>
    <w:rsid w:val="00137778"/>
    <w:rsid w:val="00137DB5"/>
    <w:rsid w:val="00137EBA"/>
    <w:rsid w:val="00137FBC"/>
    <w:rsid w:val="00140921"/>
    <w:rsid w:val="00141905"/>
    <w:rsid w:val="00141DEA"/>
    <w:rsid w:val="00141E3F"/>
    <w:rsid w:val="00142AE8"/>
    <w:rsid w:val="00143E4B"/>
    <w:rsid w:val="00143EB9"/>
    <w:rsid w:val="00144208"/>
    <w:rsid w:val="001452B4"/>
    <w:rsid w:val="00145EDC"/>
    <w:rsid w:val="0014619A"/>
    <w:rsid w:val="00147723"/>
    <w:rsid w:val="00147812"/>
    <w:rsid w:val="001503E0"/>
    <w:rsid w:val="00150DD0"/>
    <w:rsid w:val="00150FEF"/>
    <w:rsid w:val="00151ACF"/>
    <w:rsid w:val="00152085"/>
    <w:rsid w:val="00152829"/>
    <w:rsid w:val="00152944"/>
    <w:rsid w:val="00152A34"/>
    <w:rsid w:val="0015335C"/>
    <w:rsid w:val="001539CF"/>
    <w:rsid w:val="00154179"/>
    <w:rsid w:val="001552C6"/>
    <w:rsid w:val="00155F1D"/>
    <w:rsid w:val="0015613B"/>
    <w:rsid w:val="00157341"/>
    <w:rsid w:val="001577B2"/>
    <w:rsid w:val="00157A9F"/>
    <w:rsid w:val="00157BE1"/>
    <w:rsid w:val="00157EBF"/>
    <w:rsid w:val="001600A4"/>
    <w:rsid w:val="0016108B"/>
    <w:rsid w:val="00161150"/>
    <w:rsid w:val="00161160"/>
    <w:rsid w:val="00162AAD"/>
    <w:rsid w:val="00162CEF"/>
    <w:rsid w:val="0016364E"/>
    <w:rsid w:val="001638DF"/>
    <w:rsid w:val="0016440B"/>
    <w:rsid w:val="0016465A"/>
    <w:rsid w:val="00166F26"/>
    <w:rsid w:val="001673AE"/>
    <w:rsid w:val="001677D4"/>
    <w:rsid w:val="00167A34"/>
    <w:rsid w:val="0017088C"/>
    <w:rsid w:val="00170952"/>
    <w:rsid w:val="00170976"/>
    <w:rsid w:val="001710D1"/>
    <w:rsid w:val="0017168D"/>
    <w:rsid w:val="00171725"/>
    <w:rsid w:val="0017185A"/>
    <w:rsid w:val="001732CD"/>
    <w:rsid w:val="001733D5"/>
    <w:rsid w:val="0017348C"/>
    <w:rsid w:val="00173710"/>
    <w:rsid w:val="001739DA"/>
    <w:rsid w:val="001739F5"/>
    <w:rsid w:val="001747B4"/>
    <w:rsid w:val="00174911"/>
    <w:rsid w:val="00174F72"/>
    <w:rsid w:val="00175827"/>
    <w:rsid w:val="0017635E"/>
    <w:rsid w:val="0017642E"/>
    <w:rsid w:val="0017675C"/>
    <w:rsid w:val="0018037F"/>
    <w:rsid w:val="001805B4"/>
    <w:rsid w:val="00180D3C"/>
    <w:rsid w:val="00180E3B"/>
    <w:rsid w:val="001810E2"/>
    <w:rsid w:val="00181186"/>
    <w:rsid w:val="001819A8"/>
    <w:rsid w:val="00182378"/>
    <w:rsid w:val="001823E8"/>
    <w:rsid w:val="00182F27"/>
    <w:rsid w:val="00183684"/>
    <w:rsid w:val="00184083"/>
    <w:rsid w:val="001843C9"/>
    <w:rsid w:val="00184BFA"/>
    <w:rsid w:val="00184C6F"/>
    <w:rsid w:val="00186E30"/>
    <w:rsid w:val="00187268"/>
    <w:rsid w:val="001872FA"/>
    <w:rsid w:val="0018753B"/>
    <w:rsid w:val="00187CED"/>
    <w:rsid w:val="00190214"/>
    <w:rsid w:val="001917D9"/>
    <w:rsid w:val="00191F07"/>
    <w:rsid w:val="00191F1C"/>
    <w:rsid w:val="0019332D"/>
    <w:rsid w:val="001937A5"/>
    <w:rsid w:val="00194FC3"/>
    <w:rsid w:val="00195976"/>
    <w:rsid w:val="00195C2E"/>
    <w:rsid w:val="001964FD"/>
    <w:rsid w:val="001965CC"/>
    <w:rsid w:val="00196A0A"/>
    <w:rsid w:val="0019748D"/>
    <w:rsid w:val="001977E3"/>
    <w:rsid w:val="001A15E8"/>
    <w:rsid w:val="001A1776"/>
    <w:rsid w:val="001A2434"/>
    <w:rsid w:val="001A28D9"/>
    <w:rsid w:val="001A2DAA"/>
    <w:rsid w:val="001A3A62"/>
    <w:rsid w:val="001A4234"/>
    <w:rsid w:val="001A5F27"/>
    <w:rsid w:val="001A6423"/>
    <w:rsid w:val="001A64EB"/>
    <w:rsid w:val="001A677E"/>
    <w:rsid w:val="001A7214"/>
    <w:rsid w:val="001A7439"/>
    <w:rsid w:val="001A7870"/>
    <w:rsid w:val="001A7983"/>
    <w:rsid w:val="001A7EDC"/>
    <w:rsid w:val="001B112F"/>
    <w:rsid w:val="001B17B9"/>
    <w:rsid w:val="001B3279"/>
    <w:rsid w:val="001B3A10"/>
    <w:rsid w:val="001B4974"/>
    <w:rsid w:val="001B501A"/>
    <w:rsid w:val="001B56BC"/>
    <w:rsid w:val="001B5B48"/>
    <w:rsid w:val="001B5F45"/>
    <w:rsid w:val="001B648E"/>
    <w:rsid w:val="001B66D2"/>
    <w:rsid w:val="001B695D"/>
    <w:rsid w:val="001B7BA1"/>
    <w:rsid w:val="001C04BF"/>
    <w:rsid w:val="001C152E"/>
    <w:rsid w:val="001C1B41"/>
    <w:rsid w:val="001C2003"/>
    <w:rsid w:val="001C2173"/>
    <w:rsid w:val="001C3032"/>
    <w:rsid w:val="001C355A"/>
    <w:rsid w:val="001C38BC"/>
    <w:rsid w:val="001C3B0A"/>
    <w:rsid w:val="001C3B2D"/>
    <w:rsid w:val="001C4006"/>
    <w:rsid w:val="001C48AF"/>
    <w:rsid w:val="001C4A03"/>
    <w:rsid w:val="001C4C3C"/>
    <w:rsid w:val="001C6025"/>
    <w:rsid w:val="001C68E7"/>
    <w:rsid w:val="001C6C08"/>
    <w:rsid w:val="001C6E0E"/>
    <w:rsid w:val="001C6F52"/>
    <w:rsid w:val="001D0349"/>
    <w:rsid w:val="001D0EE5"/>
    <w:rsid w:val="001D1343"/>
    <w:rsid w:val="001D1A17"/>
    <w:rsid w:val="001D1FC1"/>
    <w:rsid w:val="001D2946"/>
    <w:rsid w:val="001D328C"/>
    <w:rsid w:val="001D4D75"/>
    <w:rsid w:val="001D59B1"/>
    <w:rsid w:val="001D6050"/>
    <w:rsid w:val="001D7B45"/>
    <w:rsid w:val="001E0270"/>
    <w:rsid w:val="001E10CA"/>
    <w:rsid w:val="001E163E"/>
    <w:rsid w:val="001E2867"/>
    <w:rsid w:val="001E2B69"/>
    <w:rsid w:val="001E3060"/>
    <w:rsid w:val="001E3F3E"/>
    <w:rsid w:val="001E477E"/>
    <w:rsid w:val="001E4D7D"/>
    <w:rsid w:val="001E53FB"/>
    <w:rsid w:val="001E5A1A"/>
    <w:rsid w:val="001E5F04"/>
    <w:rsid w:val="001E699E"/>
    <w:rsid w:val="001E6C37"/>
    <w:rsid w:val="001E78D6"/>
    <w:rsid w:val="001F0B72"/>
    <w:rsid w:val="001F0E32"/>
    <w:rsid w:val="001F2F6F"/>
    <w:rsid w:val="001F3B00"/>
    <w:rsid w:val="001F3B10"/>
    <w:rsid w:val="001F3CD7"/>
    <w:rsid w:val="001F3D15"/>
    <w:rsid w:val="001F4294"/>
    <w:rsid w:val="001F5944"/>
    <w:rsid w:val="001F62D9"/>
    <w:rsid w:val="001F66AA"/>
    <w:rsid w:val="001F6D41"/>
    <w:rsid w:val="001F7528"/>
    <w:rsid w:val="001F7E1A"/>
    <w:rsid w:val="00201715"/>
    <w:rsid w:val="00201F31"/>
    <w:rsid w:val="002027D1"/>
    <w:rsid w:val="00202893"/>
    <w:rsid w:val="0020298E"/>
    <w:rsid w:val="00202A19"/>
    <w:rsid w:val="00203307"/>
    <w:rsid w:val="00203841"/>
    <w:rsid w:val="00203D6E"/>
    <w:rsid w:val="00204924"/>
    <w:rsid w:val="00204DFD"/>
    <w:rsid w:val="002056C8"/>
    <w:rsid w:val="00205F67"/>
    <w:rsid w:val="00207544"/>
    <w:rsid w:val="00210157"/>
    <w:rsid w:val="0021055A"/>
    <w:rsid w:val="002106B0"/>
    <w:rsid w:val="00210C75"/>
    <w:rsid w:val="00210E0E"/>
    <w:rsid w:val="002119AF"/>
    <w:rsid w:val="0021240C"/>
    <w:rsid w:val="00212CAA"/>
    <w:rsid w:val="00212EF0"/>
    <w:rsid w:val="00213A2F"/>
    <w:rsid w:val="00215755"/>
    <w:rsid w:val="0021591D"/>
    <w:rsid w:val="00215CE2"/>
    <w:rsid w:val="0021762A"/>
    <w:rsid w:val="00217D6A"/>
    <w:rsid w:val="002209D3"/>
    <w:rsid w:val="0022169F"/>
    <w:rsid w:val="00222050"/>
    <w:rsid w:val="002226AA"/>
    <w:rsid w:val="00223245"/>
    <w:rsid w:val="002240B8"/>
    <w:rsid w:val="002240FE"/>
    <w:rsid w:val="00225375"/>
    <w:rsid w:val="002256AE"/>
    <w:rsid w:val="00226998"/>
    <w:rsid w:val="002277C3"/>
    <w:rsid w:val="002279EB"/>
    <w:rsid w:val="0023061B"/>
    <w:rsid w:val="0023095A"/>
    <w:rsid w:val="0023156F"/>
    <w:rsid w:val="00231CD1"/>
    <w:rsid w:val="00233273"/>
    <w:rsid w:val="002351E7"/>
    <w:rsid w:val="00236FA5"/>
    <w:rsid w:val="0024070A"/>
    <w:rsid w:val="00241A33"/>
    <w:rsid w:val="00241B9E"/>
    <w:rsid w:val="0024247E"/>
    <w:rsid w:val="002424AB"/>
    <w:rsid w:val="002429FA"/>
    <w:rsid w:val="00242D45"/>
    <w:rsid w:val="00242EEE"/>
    <w:rsid w:val="0024379B"/>
    <w:rsid w:val="002446BC"/>
    <w:rsid w:val="00245384"/>
    <w:rsid w:val="00245446"/>
    <w:rsid w:val="00245D3D"/>
    <w:rsid w:val="002468BA"/>
    <w:rsid w:val="00246E7D"/>
    <w:rsid w:val="00246FE2"/>
    <w:rsid w:val="00247019"/>
    <w:rsid w:val="00247403"/>
    <w:rsid w:val="00247542"/>
    <w:rsid w:val="00247592"/>
    <w:rsid w:val="002476DE"/>
    <w:rsid w:val="00247DBE"/>
    <w:rsid w:val="00250662"/>
    <w:rsid w:val="00250B61"/>
    <w:rsid w:val="00250F0E"/>
    <w:rsid w:val="00250F42"/>
    <w:rsid w:val="00252E29"/>
    <w:rsid w:val="00252FB1"/>
    <w:rsid w:val="00253096"/>
    <w:rsid w:val="002533EC"/>
    <w:rsid w:val="00253F1B"/>
    <w:rsid w:val="00255140"/>
    <w:rsid w:val="002552DF"/>
    <w:rsid w:val="0025532E"/>
    <w:rsid w:val="00255475"/>
    <w:rsid w:val="00255759"/>
    <w:rsid w:val="00256020"/>
    <w:rsid w:val="00256813"/>
    <w:rsid w:val="00256D45"/>
    <w:rsid w:val="00256DDA"/>
    <w:rsid w:val="00257614"/>
    <w:rsid w:val="00257893"/>
    <w:rsid w:val="0026109F"/>
    <w:rsid w:val="0026154C"/>
    <w:rsid w:val="00261EEF"/>
    <w:rsid w:val="002626A2"/>
    <w:rsid w:val="002626F5"/>
    <w:rsid w:val="00262E7C"/>
    <w:rsid w:val="00262ECA"/>
    <w:rsid w:val="0026301F"/>
    <w:rsid w:val="00263B2B"/>
    <w:rsid w:val="00264033"/>
    <w:rsid w:val="00264225"/>
    <w:rsid w:val="00264870"/>
    <w:rsid w:val="00264944"/>
    <w:rsid w:val="00265694"/>
    <w:rsid w:val="00266092"/>
    <w:rsid w:val="002669F0"/>
    <w:rsid w:val="00266B61"/>
    <w:rsid w:val="0026712A"/>
    <w:rsid w:val="00267891"/>
    <w:rsid w:val="00267EF0"/>
    <w:rsid w:val="002701A7"/>
    <w:rsid w:val="0027027C"/>
    <w:rsid w:val="002704DB"/>
    <w:rsid w:val="002704E0"/>
    <w:rsid w:val="002708DA"/>
    <w:rsid w:val="00270C7A"/>
    <w:rsid w:val="00271175"/>
    <w:rsid w:val="00271945"/>
    <w:rsid w:val="0027208F"/>
    <w:rsid w:val="00272238"/>
    <w:rsid w:val="00272596"/>
    <w:rsid w:val="00272854"/>
    <w:rsid w:val="00272A02"/>
    <w:rsid w:val="00272DEF"/>
    <w:rsid w:val="00272F7D"/>
    <w:rsid w:val="00273032"/>
    <w:rsid w:val="002730F6"/>
    <w:rsid w:val="00273176"/>
    <w:rsid w:val="00273645"/>
    <w:rsid w:val="00273817"/>
    <w:rsid w:val="0027412A"/>
    <w:rsid w:val="00274F86"/>
    <w:rsid w:val="002759B3"/>
    <w:rsid w:val="00275FC9"/>
    <w:rsid w:val="00276C31"/>
    <w:rsid w:val="002772AD"/>
    <w:rsid w:val="0028111A"/>
    <w:rsid w:val="00282E48"/>
    <w:rsid w:val="00283909"/>
    <w:rsid w:val="002846C1"/>
    <w:rsid w:val="00284E33"/>
    <w:rsid w:val="00284E86"/>
    <w:rsid w:val="00285D4D"/>
    <w:rsid w:val="002869C6"/>
    <w:rsid w:val="00287642"/>
    <w:rsid w:val="00287680"/>
    <w:rsid w:val="00290094"/>
    <w:rsid w:val="00290ABB"/>
    <w:rsid w:val="00291C7D"/>
    <w:rsid w:val="00292231"/>
    <w:rsid w:val="00292239"/>
    <w:rsid w:val="00292CEC"/>
    <w:rsid w:val="00292E86"/>
    <w:rsid w:val="0029397E"/>
    <w:rsid w:val="00293AEB"/>
    <w:rsid w:val="00293B75"/>
    <w:rsid w:val="0029466E"/>
    <w:rsid w:val="00294727"/>
    <w:rsid w:val="00294A7B"/>
    <w:rsid w:val="00294B4A"/>
    <w:rsid w:val="00294FA9"/>
    <w:rsid w:val="00295C32"/>
    <w:rsid w:val="0029615A"/>
    <w:rsid w:val="002963E4"/>
    <w:rsid w:val="00296D04"/>
    <w:rsid w:val="0029715B"/>
    <w:rsid w:val="00297288"/>
    <w:rsid w:val="0029754B"/>
    <w:rsid w:val="002A00C2"/>
    <w:rsid w:val="002A036F"/>
    <w:rsid w:val="002A05B1"/>
    <w:rsid w:val="002A07A8"/>
    <w:rsid w:val="002A1655"/>
    <w:rsid w:val="002A1C6E"/>
    <w:rsid w:val="002A1D6A"/>
    <w:rsid w:val="002A1DEF"/>
    <w:rsid w:val="002A24D4"/>
    <w:rsid w:val="002A26C4"/>
    <w:rsid w:val="002A2720"/>
    <w:rsid w:val="002A2E09"/>
    <w:rsid w:val="002A376B"/>
    <w:rsid w:val="002A3A4E"/>
    <w:rsid w:val="002A3CD5"/>
    <w:rsid w:val="002A733A"/>
    <w:rsid w:val="002A7A01"/>
    <w:rsid w:val="002B008D"/>
    <w:rsid w:val="002B01A2"/>
    <w:rsid w:val="002B023D"/>
    <w:rsid w:val="002B039B"/>
    <w:rsid w:val="002B0BE7"/>
    <w:rsid w:val="002B110C"/>
    <w:rsid w:val="002B1184"/>
    <w:rsid w:val="002B1B74"/>
    <w:rsid w:val="002B2AB5"/>
    <w:rsid w:val="002B30E6"/>
    <w:rsid w:val="002B43C2"/>
    <w:rsid w:val="002B4889"/>
    <w:rsid w:val="002B49F8"/>
    <w:rsid w:val="002B4B61"/>
    <w:rsid w:val="002B5F8A"/>
    <w:rsid w:val="002B6358"/>
    <w:rsid w:val="002C0899"/>
    <w:rsid w:val="002C10D7"/>
    <w:rsid w:val="002C1641"/>
    <w:rsid w:val="002C1696"/>
    <w:rsid w:val="002C17EB"/>
    <w:rsid w:val="002C1EB3"/>
    <w:rsid w:val="002C3312"/>
    <w:rsid w:val="002C3671"/>
    <w:rsid w:val="002C3D66"/>
    <w:rsid w:val="002C3F68"/>
    <w:rsid w:val="002C4070"/>
    <w:rsid w:val="002C477A"/>
    <w:rsid w:val="002C58D2"/>
    <w:rsid w:val="002C5A89"/>
    <w:rsid w:val="002C5EC4"/>
    <w:rsid w:val="002C642C"/>
    <w:rsid w:val="002C6B40"/>
    <w:rsid w:val="002D033F"/>
    <w:rsid w:val="002D04D4"/>
    <w:rsid w:val="002D13EB"/>
    <w:rsid w:val="002D228E"/>
    <w:rsid w:val="002D45C2"/>
    <w:rsid w:val="002D4CA0"/>
    <w:rsid w:val="002D5B60"/>
    <w:rsid w:val="002D628F"/>
    <w:rsid w:val="002D6E69"/>
    <w:rsid w:val="002D7DC4"/>
    <w:rsid w:val="002D7EA2"/>
    <w:rsid w:val="002E03A4"/>
    <w:rsid w:val="002E091B"/>
    <w:rsid w:val="002E092E"/>
    <w:rsid w:val="002E10DC"/>
    <w:rsid w:val="002E14FF"/>
    <w:rsid w:val="002E1596"/>
    <w:rsid w:val="002E15DF"/>
    <w:rsid w:val="002E187C"/>
    <w:rsid w:val="002E18E3"/>
    <w:rsid w:val="002E1CDE"/>
    <w:rsid w:val="002E2451"/>
    <w:rsid w:val="002E3082"/>
    <w:rsid w:val="002E3191"/>
    <w:rsid w:val="002E349E"/>
    <w:rsid w:val="002E35D7"/>
    <w:rsid w:val="002E3C15"/>
    <w:rsid w:val="002E432F"/>
    <w:rsid w:val="002E4F78"/>
    <w:rsid w:val="002E503F"/>
    <w:rsid w:val="002E61E7"/>
    <w:rsid w:val="002E6267"/>
    <w:rsid w:val="002E6465"/>
    <w:rsid w:val="002E6E57"/>
    <w:rsid w:val="002E755E"/>
    <w:rsid w:val="002E78C1"/>
    <w:rsid w:val="002E7E79"/>
    <w:rsid w:val="002F0078"/>
    <w:rsid w:val="002F097A"/>
    <w:rsid w:val="002F15EA"/>
    <w:rsid w:val="002F17C9"/>
    <w:rsid w:val="002F1A6B"/>
    <w:rsid w:val="002F1B00"/>
    <w:rsid w:val="002F1D72"/>
    <w:rsid w:val="002F2D41"/>
    <w:rsid w:val="002F2E1F"/>
    <w:rsid w:val="002F3202"/>
    <w:rsid w:val="002F3554"/>
    <w:rsid w:val="002F3598"/>
    <w:rsid w:val="002F35CB"/>
    <w:rsid w:val="002F3998"/>
    <w:rsid w:val="002F3D27"/>
    <w:rsid w:val="002F414B"/>
    <w:rsid w:val="002F443F"/>
    <w:rsid w:val="002F503E"/>
    <w:rsid w:val="002F506A"/>
    <w:rsid w:val="002F5E45"/>
    <w:rsid w:val="002F6201"/>
    <w:rsid w:val="002F63D9"/>
    <w:rsid w:val="002F6A22"/>
    <w:rsid w:val="002F6C1E"/>
    <w:rsid w:val="002F6ECD"/>
    <w:rsid w:val="002F7B0F"/>
    <w:rsid w:val="00301075"/>
    <w:rsid w:val="0030148A"/>
    <w:rsid w:val="003014EA"/>
    <w:rsid w:val="00301B3D"/>
    <w:rsid w:val="00301F71"/>
    <w:rsid w:val="0030200C"/>
    <w:rsid w:val="003021CF"/>
    <w:rsid w:val="00302733"/>
    <w:rsid w:val="00303707"/>
    <w:rsid w:val="00303B04"/>
    <w:rsid w:val="0030446B"/>
    <w:rsid w:val="00304472"/>
    <w:rsid w:val="00304EED"/>
    <w:rsid w:val="003053CE"/>
    <w:rsid w:val="00305BA1"/>
    <w:rsid w:val="0030600F"/>
    <w:rsid w:val="0030692A"/>
    <w:rsid w:val="00306D2A"/>
    <w:rsid w:val="00307C8D"/>
    <w:rsid w:val="00310227"/>
    <w:rsid w:val="0031107E"/>
    <w:rsid w:val="003112C6"/>
    <w:rsid w:val="00311A4F"/>
    <w:rsid w:val="003121F4"/>
    <w:rsid w:val="00313332"/>
    <w:rsid w:val="0031340C"/>
    <w:rsid w:val="00314078"/>
    <w:rsid w:val="00314C20"/>
    <w:rsid w:val="00315905"/>
    <w:rsid w:val="00316559"/>
    <w:rsid w:val="0031724D"/>
    <w:rsid w:val="00317255"/>
    <w:rsid w:val="00317E8A"/>
    <w:rsid w:val="00320402"/>
    <w:rsid w:val="00320A64"/>
    <w:rsid w:val="00321A96"/>
    <w:rsid w:val="00322398"/>
    <w:rsid w:val="00322450"/>
    <w:rsid w:val="0032351F"/>
    <w:rsid w:val="003241CF"/>
    <w:rsid w:val="003245A7"/>
    <w:rsid w:val="003246B5"/>
    <w:rsid w:val="003249CF"/>
    <w:rsid w:val="00325663"/>
    <w:rsid w:val="003262D9"/>
    <w:rsid w:val="003267B5"/>
    <w:rsid w:val="00327501"/>
    <w:rsid w:val="00327C0A"/>
    <w:rsid w:val="0033016D"/>
    <w:rsid w:val="00330196"/>
    <w:rsid w:val="00330E0E"/>
    <w:rsid w:val="003314BD"/>
    <w:rsid w:val="0033161A"/>
    <w:rsid w:val="00331687"/>
    <w:rsid w:val="0033169F"/>
    <w:rsid w:val="00332152"/>
    <w:rsid w:val="003330D2"/>
    <w:rsid w:val="0033414F"/>
    <w:rsid w:val="00336085"/>
    <w:rsid w:val="0033706A"/>
    <w:rsid w:val="003371DA"/>
    <w:rsid w:val="00337546"/>
    <w:rsid w:val="003378E0"/>
    <w:rsid w:val="00337961"/>
    <w:rsid w:val="00337A7E"/>
    <w:rsid w:val="00337C43"/>
    <w:rsid w:val="003407E0"/>
    <w:rsid w:val="003407FC"/>
    <w:rsid w:val="00340A95"/>
    <w:rsid w:val="00340ECC"/>
    <w:rsid w:val="003410A6"/>
    <w:rsid w:val="003414AC"/>
    <w:rsid w:val="003414E6"/>
    <w:rsid w:val="00341D6A"/>
    <w:rsid w:val="00342070"/>
    <w:rsid w:val="00342AF4"/>
    <w:rsid w:val="0034351C"/>
    <w:rsid w:val="0034357F"/>
    <w:rsid w:val="003447BB"/>
    <w:rsid w:val="00344B38"/>
    <w:rsid w:val="003464A2"/>
    <w:rsid w:val="00346D16"/>
    <w:rsid w:val="00347175"/>
    <w:rsid w:val="00347742"/>
    <w:rsid w:val="0034774C"/>
    <w:rsid w:val="00347840"/>
    <w:rsid w:val="0034794C"/>
    <w:rsid w:val="00347AF6"/>
    <w:rsid w:val="003501C1"/>
    <w:rsid w:val="00350BB3"/>
    <w:rsid w:val="00350BD6"/>
    <w:rsid w:val="0035129B"/>
    <w:rsid w:val="003520F3"/>
    <w:rsid w:val="003526D3"/>
    <w:rsid w:val="0035485A"/>
    <w:rsid w:val="00355779"/>
    <w:rsid w:val="00356185"/>
    <w:rsid w:val="00357206"/>
    <w:rsid w:val="00357C4D"/>
    <w:rsid w:val="00357D78"/>
    <w:rsid w:val="00360380"/>
    <w:rsid w:val="00360BA7"/>
    <w:rsid w:val="0036137D"/>
    <w:rsid w:val="00361EB7"/>
    <w:rsid w:val="00362978"/>
    <w:rsid w:val="00362FE0"/>
    <w:rsid w:val="0036346A"/>
    <w:rsid w:val="003649AC"/>
    <w:rsid w:val="00365D52"/>
    <w:rsid w:val="00366182"/>
    <w:rsid w:val="00366DBE"/>
    <w:rsid w:val="00367444"/>
    <w:rsid w:val="003675B8"/>
    <w:rsid w:val="00370DD4"/>
    <w:rsid w:val="003712A0"/>
    <w:rsid w:val="003712A2"/>
    <w:rsid w:val="003712A7"/>
    <w:rsid w:val="00371EFD"/>
    <w:rsid w:val="0037251A"/>
    <w:rsid w:val="0037269A"/>
    <w:rsid w:val="00372C5E"/>
    <w:rsid w:val="00372F8E"/>
    <w:rsid w:val="00373790"/>
    <w:rsid w:val="003741EF"/>
    <w:rsid w:val="003745F9"/>
    <w:rsid w:val="00374940"/>
    <w:rsid w:val="003750C8"/>
    <w:rsid w:val="003759D2"/>
    <w:rsid w:val="00376244"/>
    <w:rsid w:val="003778A4"/>
    <w:rsid w:val="00377AD8"/>
    <w:rsid w:val="00380645"/>
    <w:rsid w:val="00380A1D"/>
    <w:rsid w:val="00380B68"/>
    <w:rsid w:val="00380DA1"/>
    <w:rsid w:val="00380ECF"/>
    <w:rsid w:val="0038209A"/>
    <w:rsid w:val="00382598"/>
    <w:rsid w:val="00382B98"/>
    <w:rsid w:val="00382CE7"/>
    <w:rsid w:val="0038330F"/>
    <w:rsid w:val="00383EF6"/>
    <w:rsid w:val="00384072"/>
    <w:rsid w:val="0038421B"/>
    <w:rsid w:val="00385B08"/>
    <w:rsid w:val="00386CF0"/>
    <w:rsid w:val="00386FEA"/>
    <w:rsid w:val="00387480"/>
    <w:rsid w:val="00387981"/>
    <w:rsid w:val="00390244"/>
    <w:rsid w:val="003902B2"/>
    <w:rsid w:val="0039061F"/>
    <w:rsid w:val="003906DC"/>
    <w:rsid w:val="00390A8A"/>
    <w:rsid w:val="00390D19"/>
    <w:rsid w:val="00391CD8"/>
    <w:rsid w:val="00392FEA"/>
    <w:rsid w:val="00393C8E"/>
    <w:rsid w:val="00394608"/>
    <w:rsid w:val="0039471C"/>
    <w:rsid w:val="00394A5D"/>
    <w:rsid w:val="003954CE"/>
    <w:rsid w:val="00395AC9"/>
    <w:rsid w:val="00395E6C"/>
    <w:rsid w:val="0039600B"/>
    <w:rsid w:val="00396106"/>
    <w:rsid w:val="003964BF"/>
    <w:rsid w:val="00397B1B"/>
    <w:rsid w:val="00397FF7"/>
    <w:rsid w:val="003A0AD6"/>
    <w:rsid w:val="003A187E"/>
    <w:rsid w:val="003A1AE3"/>
    <w:rsid w:val="003A1C82"/>
    <w:rsid w:val="003A27F4"/>
    <w:rsid w:val="003A2DC1"/>
    <w:rsid w:val="003A3C43"/>
    <w:rsid w:val="003A4790"/>
    <w:rsid w:val="003A485E"/>
    <w:rsid w:val="003A4B42"/>
    <w:rsid w:val="003A527A"/>
    <w:rsid w:val="003A6019"/>
    <w:rsid w:val="003A632E"/>
    <w:rsid w:val="003A71F1"/>
    <w:rsid w:val="003A773F"/>
    <w:rsid w:val="003A7BFE"/>
    <w:rsid w:val="003B260E"/>
    <w:rsid w:val="003B2C86"/>
    <w:rsid w:val="003B2DFE"/>
    <w:rsid w:val="003B330F"/>
    <w:rsid w:val="003B349D"/>
    <w:rsid w:val="003B3E94"/>
    <w:rsid w:val="003B5C8C"/>
    <w:rsid w:val="003B63A0"/>
    <w:rsid w:val="003B640E"/>
    <w:rsid w:val="003B6423"/>
    <w:rsid w:val="003B6609"/>
    <w:rsid w:val="003B66B2"/>
    <w:rsid w:val="003B66DC"/>
    <w:rsid w:val="003B6950"/>
    <w:rsid w:val="003C08BE"/>
    <w:rsid w:val="003C1490"/>
    <w:rsid w:val="003C19FD"/>
    <w:rsid w:val="003C1ECF"/>
    <w:rsid w:val="003C32BC"/>
    <w:rsid w:val="003C3722"/>
    <w:rsid w:val="003C4BC0"/>
    <w:rsid w:val="003C54AD"/>
    <w:rsid w:val="003C6480"/>
    <w:rsid w:val="003C6B80"/>
    <w:rsid w:val="003C7061"/>
    <w:rsid w:val="003C7271"/>
    <w:rsid w:val="003D0A3F"/>
    <w:rsid w:val="003D0C05"/>
    <w:rsid w:val="003D0D3E"/>
    <w:rsid w:val="003D1B14"/>
    <w:rsid w:val="003D1E49"/>
    <w:rsid w:val="003D25A4"/>
    <w:rsid w:val="003D2871"/>
    <w:rsid w:val="003D28BB"/>
    <w:rsid w:val="003D2C7F"/>
    <w:rsid w:val="003D3435"/>
    <w:rsid w:val="003D3484"/>
    <w:rsid w:val="003D3507"/>
    <w:rsid w:val="003D37C4"/>
    <w:rsid w:val="003D3CD4"/>
    <w:rsid w:val="003D3E1C"/>
    <w:rsid w:val="003D40A7"/>
    <w:rsid w:val="003D4A67"/>
    <w:rsid w:val="003D5176"/>
    <w:rsid w:val="003D51A2"/>
    <w:rsid w:val="003D54BC"/>
    <w:rsid w:val="003D5A38"/>
    <w:rsid w:val="003D5CD7"/>
    <w:rsid w:val="003D5F18"/>
    <w:rsid w:val="003D6B25"/>
    <w:rsid w:val="003D706E"/>
    <w:rsid w:val="003D79BC"/>
    <w:rsid w:val="003D7C1D"/>
    <w:rsid w:val="003E06A3"/>
    <w:rsid w:val="003E0755"/>
    <w:rsid w:val="003E0852"/>
    <w:rsid w:val="003E08AE"/>
    <w:rsid w:val="003E0C79"/>
    <w:rsid w:val="003E1FEC"/>
    <w:rsid w:val="003E225D"/>
    <w:rsid w:val="003E2564"/>
    <w:rsid w:val="003E2740"/>
    <w:rsid w:val="003E366F"/>
    <w:rsid w:val="003E3DD2"/>
    <w:rsid w:val="003E41A2"/>
    <w:rsid w:val="003E4D93"/>
    <w:rsid w:val="003E4E8A"/>
    <w:rsid w:val="003E520F"/>
    <w:rsid w:val="003E5472"/>
    <w:rsid w:val="003E5D44"/>
    <w:rsid w:val="003E60B8"/>
    <w:rsid w:val="003E65E7"/>
    <w:rsid w:val="003E68BB"/>
    <w:rsid w:val="003E6FB6"/>
    <w:rsid w:val="003E70A6"/>
    <w:rsid w:val="003E7380"/>
    <w:rsid w:val="003F0153"/>
    <w:rsid w:val="003F03FA"/>
    <w:rsid w:val="003F04F0"/>
    <w:rsid w:val="003F0B2B"/>
    <w:rsid w:val="003F1230"/>
    <w:rsid w:val="003F17FA"/>
    <w:rsid w:val="003F1820"/>
    <w:rsid w:val="003F1BBF"/>
    <w:rsid w:val="003F2D46"/>
    <w:rsid w:val="003F3877"/>
    <w:rsid w:val="003F425E"/>
    <w:rsid w:val="003F4492"/>
    <w:rsid w:val="003F4694"/>
    <w:rsid w:val="003F6707"/>
    <w:rsid w:val="003F7001"/>
    <w:rsid w:val="003F7161"/>
    <w:rsid w:val="00400E6B"/>
    <w:rsid w:val="00400EA4"/>
    <w:rsid w:val="00401038"/>
    <w:rsid w:val="004010E9"/>
    <w:rsid w:val="004018EA"/>
    <w:rsid w:val="004022E4"/>
    <w:rsid w:val="00402758"/>
    <w:rsid w:val="00404333"/>
    <w:rsid w:val="00404A51"/>
    <w:rsid w:val="00404A7B"/>
    <w:rsid w:val="00404EFC"/>
    <w:rsid w:val="00404F22"/>
    <w:rsid w:val="004054AF"/>
    <w:rsid w:val="00405991"/>
    <w:rsid w:val="00405F19"/>
    <w:rsid w:val="00406721"/>
    <w:rsid w:val="00406CB6"/>
    <w:rsid w:val="00406EDE"/>
    <w:rsid w:val="00407150"/>
    <w:rsid w:val="0040735D"/>
    <w:rsid w:val="0040759C"/>
    <w:rsid w:val="004075CF"/>
    <w:rsid w:val="00407F3D"/>
    <w:rsid w:val="00410925"/>
    <w:rsid w:val="004122AE"/>
    <w:rsid w:val="00413B37"/>
    <w:rsid w:val="00413E2E"/>
    <w:rsid w:val="004142F6"/>
    <w:rsid w:val="004142FD"/>
    <w:rsid w:val="004155D1"/>
    <w:rsid w:val="00415BAE"/>
    <w:rsid w:val="004165C2"/>
    <w:rsid w:val="00416649"/>
    <w:rsid w:val="004166D7"/>
    <w:rsid w:val="00416F46"/>
    <w:rsid w:val="00417263"/>
    <w:rsid w:val="00417356"/>
    <w:rsid w:val="0041797E"/>
    <w:rsid w:val="00417E33"/>
    <w:rsid w:val="00421C1F"/>
    <w:rsid w:val="00421ECF"/>
    <w:rsid w:val="004222A3"/>
    <w:rsid w:val="0042330E"/>
    <w:rsid w:val="0042334E"/>
    <w:rsid w:val="00423909"/>
    <w:rsid w:val="00425FE4"/>
    <w:rsid w:val="0042692E"/>
    <w:rsid w:val="00426A93"/>
    <w:rsid w:val="00426BC9"/>
    <w:rsid w:val="00426DB7"/>
    <w:rsid w:val="00427406"/>
    <w:rsid w:val="00427487"/>
    <w:rsid w:val="0042749C"/>
    <w:rsid w:val="00427B63"/>
    <w:rsid w:val="004314F9"/>
    <w:rsid w:val="004324E8"/>
    <w:rsid w:val="00432731"/>
    <w:rsid w:val="004330B5"/>
    <w:rsid w:val="004332C3"/>
    <w:rsid w:val="00433505"/>
    <w:rsid w:val="00434AD8"/>
    <w:rsid w:val="00435410"/>
    <w:rsid w:val="00435658"/>
    <w:rsid w:val="00436C66"/>
    <w:rsid w:val="0043700E"/>
    <w:rsid w:val="0044012A"/>
    <w:rsid w:val="00440AF5"/>
    <w:rsid w:val="004413C0"/>
    <w:rsid w:val="00441954"/>
    <w:rsid w:val="00441D48"/>
    <w:rsid w:val="0044239D"/>
    <w:rsid w:val="00443E6F"/>
    <w:rsid w:val="00443F14"/>
    <w:rsid w:val="00444596"/>
    <w:rsid w:val="004451A8"/>
    <w:rsid w:val="00445C74"/>
    <w:rsid w:val="0044656D"/>
    <w:rsid w:val="00446F15"/>
    <w:rsid w:val="0044706E"/>
    <w:rsid w:val="00447468"/>
    <w:rsid w:val="0044798B"/>
    <w:rsid w:val="00447B8F"/>
    <w:rsid w:val="00450A4A"/>
    <w:rsid w:val="00450D96"/>
    <w:rsid w:val="004512B3"/>
    <w:rsid w:val="00451A25"/>
    <w:rsid w:val="00451E96"/>
    <w:rsid w:val="00452DAB"/>
    <w:rsid w:val="00452E00"/>
    <w:rsid w:val="00453073"/>
    <w:rsid w:val="004532F9"/>
    <w:rsid w:val="00453466"/>
    <w:rsid w:val="00454492"/>
    <w:rsid w:val="00454757"/>
    <w:rsid w:val="0045481D"/>
    <w:rsid w:val="00455165"/>
    <w:rsid w:val="0045524E"/>
    <w:rsid w:val="00457228"/>
    <w:rsid w:val="00457B89"/>
    <w:rsid w:val="004600B9"/>
    <w:rsid w:val="00460177"/>
    <w:rsid w:val="00460341"/>
    <w:rsid w:val="0046041C"/>
    <w:rsid w:val="00460513"/>
    <w:rsid w:val="0046072C"/>
    <w:rsid w:val="0046208F"/>
    <w:rsid w:val="00462248"/>
    <w:rsid w:val="00462781"/>
    <w:rsid w:val="00462F9A"/>
    <w:rsid w:val="004630F5"/>
    <w:rsid w:val="004641C1"/>
    <w:rsid w:val="004642EF"/>
    <w:rsid w:val="00464A23"/>
    <w:rsid w:val="0046574C"/>
    <w:rsid w:val="00465FF3"/>
    <w:rsid w:val="004660D1"/>
    <w:rsid w:val="0046622A"/>
    <w:rsid w:val="004666FB"/>
    <w:rsid w:val="00466A8C"/>
    <w:rsid w:val="00466D2B"/>
    <w:rsid w:val="00467542"/>
    <w:rsid w:val="00467B7E"/>
    <w:rsid w:val="00467CF1"/>
    <w:rsid w:val="0047006D"/>
    <w:rsid w:val="004716D1"/>
    <w:rsid w:val="00471927"/>
    <w:rsid w:val="00471BC8"/>
    <w:rsid w:val="004730AF"/>
    <w:rsid w:val="004733DC"/>
    <w:rsid w:val="00473463"/>
    <w:rsid w:val="00474819"/>
    <w:rsid w:val="00475CF0"/>
    <w:rsid w:val="00476B10"/>
    <w:rsid w:val="00477BE3"/>
    <w:rsid w:val="00477C46"/>
    <w:rsid w:val="00477D29"/>
    <w:rsid w:val="00480164"/>
    <w:rsid w:val="0048119E"/>
    <w:rsid w:val="00481A57"/>
    <w:rsid w:val="00481C1F"/>
    <w:rsid w:val="00482208"/>
    <w:rsid w:val="00482528"/>
    <w:rsid w:val="00482644"/>
    <w:rsid w:val="00483146"/>
    <w:rsid w:val="00483147"/>
    <w:rsid w:val="0048368F"/>
    <w:rsid w:val="00483697"/>
    <w:rsid w:val="00483974"/>
    <w:rsid w:val="00483D9E"/>
    <w:rsid w:val="004844A2"/>
    <w:rsid w:val="00484B2F"/>
    <w:rsid w:val="00484EF6"/>
    <w:rsid w:val="00484F80"/>
    <w:rsid w:val="004850C2"/>
    <w:rsid w:val="004855D8"/>
    <w:rsid w:val="00485FBF"/>
    <w:rsid w:val="00486773"/>
    <w:rsid w:val="00486A15"/>
    <w:rsid w:val="00486D1F"/>
    <w:rsid w:val="0048701C"/>
    <w:rsid w:val="00487254"/>
    <w:rsid w:val="00487C0C"/>
    <w:rsid w:val="004900BD"/>
    <w:rsid w:val="004907E1"/>
    <w:rsid w:val="00490BE7"/>
    <w:rsid w:val="00490C98"/>
    <w:rsid w:val="00490FC7"/>
    <w:rsid w:val="00493254"/>
    <w:rsid w:val="00493649"/>
    <w:rsid w:val="0049419D"/>
    <w:rsid w:val="00495029"/>
    <w:rsid w:val="00495396"/>
    <w:rsid w:val="00495CD7"/>
    <w:rsid w:val="004962B8"/>
    <w:rsid w:val="00496687"/>
    <w:rsid w:val="00496C69"/>
    <w:rsid w:val="00496DBC"/>
    <w:rsid w:val="004972DC"/>
    <w:rsid w:val="0049749D"/>
    <w:rsid w:val="004977D3"/>
    <w:rsid w:val="00497B27"/>
    <w:rsid w:val="00497D5E"/>
    <w:rsid w:val="00497D68"/>
    <w:rsid w:val="004A0088"/>
    <w:rsid w:val="004A0977"/>
    <w:rsid w:val="004A1668"/>
    <w:rsid w:val="004A17A5"/>
    <w:rsid w:val="004A1B66"/>
    <w:rsid w:val="004A1EEA"/>
    <w:rsid w:val="004A29AF"/>
    <w:rsid w:val="004A2B9D"/>
    <w:rsid w:val="004A37A5"/>
    <w:rsid w:val="004A3806"/>
    <w:rsid w:val="004A3B49"/>
    <w:rsid w:val="004A3DC4"/>
    <w:rsid w:val="004A4A3E"/>
    <w:rsid w:val="004A4DB0"/>
    <w:rsid w:val="004A514F"/>
    <w:rsid w:val="004A5407"/>
    <w:rsid w:val="004A797D"/>
    <w:rsid w:val="004A7B58"/>
    <w:rsid w:val="004A7D96"/>
    <w:rsid w:val="004B0263"/>
    <w:rsid w:val="004B26DB"/>
    <w:rsid w:val="004B2762"/>
    <w:rsid w:val="004B2DE8"/>
    <w:rsid w:val="004B3745"/>
    <w:rsid w:val="004B388C"/>
    <w:rsid w:val="004B40A9"/>
    <w:rsid w:val="004B43EA"/>
    <w:rsid w:val="004B45B7"/>
    <w:rsid w:val="004B4C61"/>
    <w:rsid w:val="004B4E6F"/>
    <w:rsid w:val="004B5914"/>
    <w:rsid w:val="004B5FB0"/>
    <w:rsid w:val="004B62CE"/>
    <w:rsid w:val="004B79FF"/>
    <w:rsid w:val="004B7EB6"/>
    <w:rsid w:val="004C0241"/>
    <w:rsid w:val="004C07C3"/>
    <w:rsid w:val="004C0878"/>
    <w:rsid w:val="004C0FE4"/>
    <w:rsid w:val="004C127B"/>
    <w:rsid w:val="004C16AF"/>
    <w:rsid w:val="004C17B4"/>
    <w:rsid w:val="004C4A47"/>
    <w:rsid w:val="004C4B62"/>
    <w:rsid w:val="004C4DE3"/>
    <w:rsid w:val="004C51E1"/>
    <w:rsid w:val="004C5630"/>
    <w:rsid w:val="004C599D"/>
    <w:rsid w:val="004C68B8"/>
    <w:rsid w:val="004C6B46"/>
    <w:rsid w:val="004C6FAC"/>
    <w:rsid w:val="004C7257"/>
    <w:rsid w:val="004C751E"/>
    <w:rsid w:val="004C758F"/>
    <w:rsid w:val="004C77DC"/>
    <w:rsid w:val="004C7EE2"/>
    <w:rsid w:val="004D0229"/>
    <w:rsid w:val="004D1F04"/>
    <w:rsid w:val="004D28C5"/>
    <w:rsid w:val="004D37B1"/>
    <w:rsid w:val="004D4782"/>
    <w:rsid w:val="004D4A6A"/>
    <w:rsid w:val="004D4D1B"/>
    <w:rsid w:val="004D5088"/>
    <w:rsid w:val="004D519A"/>
    <w:rsid w:val="004D53E4"/>
    <w:rsid w:val="004D6025"/>
    <w:rsid w:val="004D657F"/>
    <w:rsid w:val="004D72BC"/>
    <w:rsid w:val="004D78B4"/>
    <w:rsid w:val="004E0365"/>
    <w:rsid w:val="004E0475"/>
    <w:rsid w:val="004E105B"/>
    <w:rsid w:val="004E1A6C"/>
    <w:rsid w:val="004E2452"/>
    <w:rsid w:val="004E3A16"/>
    <w:rsid w:val="004E44C2"/>
    <w:rsid w:val="004E4761"/>
    <w:rsid w:val="004E5347"/>
    <w:rsid w:val="004E6B90"/>
    <w:rsid w:val="004E6C9C"/>
    <w:rsid w:val="004E755D"/>
    <w:rsid w:val="004F04A5"/>
    <w:rsid w:val="004F0842"/>
    <w:rsid w:val="004F09B0"/>
    <w:rsid w:val="004F1086"/>
    <w:rsid w:val="004F15C4"/>
    <w:rsid w:val="004F16E8"/>
    <w:rsid w:val="004F1DAD"/>
    <w:rsid w:val="004F2694"/>
    <w:rsid w:val="004F2EBF"/>
    <w:rsid w:val="004F2FC4"/>
    <w:rsid w:val="004F37CA"/>
    <w:rsid w:val="004F3905"/>
    <w:rsid w:val="004F3A27"/>
    <w:rsid w:val="004F3B00"/>
    <w:rsid w:val="004F441A"/>
    <w:rsid w:val="004F4B75"/>
    <w:rsid w:val="004F4C1C"/>
    <w:rsid w:val="004F4E57"/>
    <w:rsid w:val="004F530D"/>
    <w:rsid w:val="004F5466"/>
    <w:rsid w:val="004F6949"/>
    <w:rsid w:val="004F69EA"/>
    <w:rsid w:val="004F69ED"/>
    <w:rsid w:val="00500298"/>
    <w:rsid w:val="005008C7"/>
    <w:rsid w:val="0050128F"/>
    <w:rsid w:val="00501399"/>
    <w:rsid w:val="00501DFB"/>
    <w:rsid w:val="005028FE"/>
    <w:rsid w:val="00502E35"/>
    <w:rsid w:val="00503804"/>
    <w:rsid w:val="00503C4C"/>
    <w:rsid w:val="0050536C"/>
    <w:rsid w:val="00505B63"/>
    <w:rsid w:val="005066A4"/>
    <w:rsid w:val="005068B0"/>
    <w:rsid w:val="00506AE7"/>
    <w:rsid w:val="00506C98"/>
    <w:rsid w:val="00507534"/>
    <w:rsid w:val="00507BC4"/>
    <w:rsid w:val="00510311"/>
    <w:rsid w:val="00510839"/>
    <w:rsid w:val="005128E4"/>
    <w:rsid w:val="00512A35"/>
    <w:rsid w:val="00513229"/>
    <w:rsid w:val="0051363E"/>
    <w:rsid w:val="00514294"/>
    <w:rsid w:val="005152B7"/>
    <w:rsid w:val="00516279"/>
    <w:rsid w:val="00516BBE"/>
    <w:rsid w:val="00517038"/>
    <w:rsid w:val="00517AD3"/>
    <w:rsid w:val="005213B8"/>
    <w:rsid w:val="0052142D"/>
    <w:rsid w:val="00521909"/>
    <w:rsid w:val="005223AF"/>
    <w:rsid w:val="005227CE"/>
    <w:rsid w:val="00523977"/>
    <w:rsid w:val="0052411B"/>
    <w:rsid w:val="00524268"/>
    <w:rsid w:val="00524748"/>
    <w:rsid w:val="00524FA7"/>
    <w:rsid w:val="00525278"/>
    <w:rsid w:val="00525560"/>
    <w:rsid w:val="00525C32"/>
    <w:rsid w:val="00525F05"/>
    <w:rsid w:val="00526204"/>
    <w:rsid w:val="005267AC"/>
    <w:rsid w:val="00527461"/>
    <w:rsid w:val="00527B92"/>
    <w:rsid w:val="00530295"/>
    <w:rsid w:val="00530B2B"/>
    <w:rsid w:val="00531008"/>
    <w:rsid w:val="0053187E"/>
    <w:rsid w:val="005325F6"/>
    <w:rsid w:val="00532610"/>
    <w:rsid w:val="00532F64"/>
    <w:rsid w:val="00533CF3"/>
    <w:rsid w:val="005343C0"/>
    <w:rsid w:val="005346E1"/>
    <w:rsid w:val="005348AB"/>
    <w:rsid w:val="00534F7A"/>
    <w:rsid w:val="00535135"/>
    <w:rsid w:val="005357A6"/>
    <w:rsid w:val="0053592E"/>
    <w:rsid w:val="00535FF9"/>
    <w:rsid w:val="005362BD"/>
    <w:rsid w:val="005366E5"/>
    <w:rsid w:val="005367D0"/>
    <w:rsid w:val="00536848"/>
    <w:rsid w:val="0053689A"/>
    <w:rsid w:val="00536B9E"/>
    <w:rsid w:val="005374B7"/>
    <w:rsid w:val="0053752F"/>
    <w:rsid w:val="005401F2"/>
    <w:rsid w:val="00540AEC"/>
    <w:rsid w:val="005411BE"/>
    <w:rsid w:val="005417F8"/>
    <w:rsid w:val="00541B01"/>
    <w:rsid w:val="00541FDC"/>
    <w:rsid w:val="005422EF"/>
    <w:rsid w:val="005425FB"/>
    <w:rsid w:val="005430A6"/>
    <w:rsid w:val="00543705"/>
    <w:rsid w:val="005439C3"/>
    <w:rsid w:val="00543BF3"/>
    <w:rsid w:val="00543C8B"/>
    <w:rsid w:val="00544056"/>
    <w:rsid w:val="00544278"/>
    <w:rsid w:val="00544C49"/>
    <w:rsid w:val="00544D08"/>
    <w:rsid w:val="005454D6"/>
    <w:rsid w:val="0054561F"/>
    <w:rsid w:val="005456B2"/>
    <w:rsid w:val="0054591A"/>
    <w:rsid w:val="00547737"/>
    <w:rsid w:val="00547832"/>
    <w:rsid w:val="00547EB7"/>
    <w:rsid w:val="00550141"/>
    <w:rsid w:val="00550445"/>
    <w:rsid w:val="0055160C"/>
    <w:rsid w:val="00551C71"/>
    <w:rsid w:val="00552FC3"/>
    <w:rsid w:val="005531BB"/>
    <w:rsid w:val="00553EC6"/>
    <w:rsid w:val="005548B2"/>
    <w:rsid w:val="00554AD7"/>
    <w:rsid w:val="00554BAB"/>
    <w:rsid w:val="005557F2"/>
    <w:rsid w:val="00555A6E"/>
    <w:rsid w:val="00557C07"/>
    <w:rsid w:val="005600CB"/>
    <w:rsid w:val="005606ED"/>
    <w:rsid w:val="00561652"/>
    <w:rsid w:val="005627FD"/>
    <w:rsid w:val="00562E4A"/>
    <w:rsid w:val="005633E7"/>
    <w:rsid w:val="0056351E"/>
    <w:rsid w:val="00563F04"/>
    <w:rsid w:val="0056432A"/>
    <w:rsid w:val="005646CD"/>
    <w:rsid w:val="00564E02"/>
    <w:rsid w:val="00565B4B"/>
    <w:rsid w:val="00565EB1"/>
    <w:rsid w:val="00566646"/>
    <w:rsid w:val="00566AFE"/>
    <w:rsid w:val="00566F30"/>
    <w:rsid w:val="005674FA"/>
    <w:rsid w:val="005706EF"/>
    <w:rsid w:val="00570AF2"/>
    <w:rsid w:val="00570EC6"/>
    <w:rsid w:val="00571247"/>
    <w:rsid w:val="00571AA7"/>
    <w:rsid w:val="00573B80"/>
    <w:rsid w:val="0057402A"/>
    <w:rsid w:val="0057410C"/>
    <w:rsid w:val="00574148"/>
    <w:rsid w:val="005744A4"/>
    <w:rsid w:val="005755D5"/>
    <w:rsid w:val="00575C82"/>
    <w:rsid w:val="005764DD"/>
    <w:rsid w:val="00576832"/>
    <w:rsid w:val="00576D19"/>
    <w:rsid w:val="00576EE8"/>
    <w:rsid w:val="005771D0"/>
    <w:rsid w:val="00577B28"/>
    <w:rsid w:val="00577ED6"/>
    <w:rsid w:val="0058022B"/>
    <w:rsid w:val="0058058F"/>
    <w:rsid w:val="00580DB6"/>
    <w:rsid w:val="00581ACD"/>
    <w:rsid w:val="00582126"/>
    <w:rsid w:val="00582750"/>
    <w:rsid w:val="005833F0"/>
    <w:rsid w:val="0058343A"/>
    <w:rsid w:val="0058365D"/>
    <w:rsid w:val="00584C28"/>
    <w:rsid w:val="00585DE5"/>
    <w:rsid w:val="00585DED"/>
    <w:rsid w:val="00587964"/>
    <w:rsid w:val="00587D7B"/>
    <w:rsid w:val="005902A3"/>
    <w:rsid w:val="0059066D"/>
    <w:rsid w:val="00590BF3"/>
    <w:rsid w:val="00590C43"/>
    <w:rsid w:val="005910C0"/>
    <w:rsid w:val="00591267"/>
    <w:rsid w:val="005916E2"/>
    <w:rsid w:val="0059191A"/>
    <w:rsid w:val="00591B96"/>
    <w:rsid w:val="00591F60"/>
    <w:rsid w:val="005921FF"/>
    <w:rsid w:val="0059318E"/>
    <w:rsid w:val="005937E2"/>
    <w:rsid w:val="00594844"/>
    <w:rsid w:val="00594CE1"/>
    <w:rsid w:val="0059534C"/>
    <w:rsid w:val="00595A94"/>
    <w:rsid w:val="00596514"/>
    <w:rsid w:val="00596694"/>
    <w:rsid w:val="0059670F"/>
    <w:rsid w:val="00596ABE"/>
    <w:rsid w:val="00596AD3"/>
    <w:rsid w:val="00596F14"/>
    <w:rsid w:val="00596F42"/>
    <w:rsid w:val="00597162"/>
    <w:rsid w:val="0059770B"/>
    <w:rsid w:val="00597C8A"/>
    <w:rsid w:val="00597E00"/>
    <w:rsid w:val="005A03F0"/>
    <w:rsid w:val="005A0410"/>
    <w:rsid w:val="005A1A12"/>
    <w:rsid w:val="005A20B8"/>
    <w:rsid w:val="005A2477"/>
    <w:rsid w:val="005A2E9B"/>
    <w:rsid w:val="005A359D"/>
    <w:rsid w:val="005A4236"/>
    <w:rsid w:val="005A42B0"/>
    <w:rsid w:val="005A482E"/>
    <w:rsid w:val="005A6205"/>
    <w:rsid w:val="005A6D0E"/>
    <w:rsid w:val="005A6E50"/>
    <w:rsid w:val="005A734E"/>
    <w:rsid w:val="005B0001"/>
    <w:rsid w:val="005B0319"/>
    <w:rsid w:val="005B0A16"/>
    <w:rsid w:val="005B222D"/>
    <w:rsid w:val="005B28A7"/>
    <w:rsid w:val="005B3CE4"/>
    <w:rsid w:val="005B3DEC"/>
    <w:rsid w:val="005B3EF2"/>
    <w:rsid w:val="005B4B5B"/>
    <w:rsid w:val="005B50CE"/>
    <w:rsid w:val="005B52B0"/>
    <w:rsid w:val="005B56F8"/>
    <w:rsid w:val="005B67DE"/>
    <w:rsid w:val="005B6806"/>
    <w:rsid w:val="005B711D"/>
    <w:rsid w:val="005B7BC5"/>
    <w:rsid w:val="005C00F9"/>
    <w:rsid w:val="005C05FA"/>
    <w:rsid w:val="005C0700"/>
    <w:rsid w:val="005C164F"/>
    <w:rsid w:val="005C17CB"/>
    <w:rsid w:val="005C1853"/>
    <w:rsid w:val="005C1A8D"/>
    <w:rsid w:val="005C1D3C"/>
    <w:rsid w:val="005C1D8E"/>
    <w:rsid w:val="005C207A"/>
    <w:rsid w:val="005C23BD"/>
    <w:rsid w:val="005C23CE"/>
    <w:rsid w:val="005C288D"/>
    <w:rsid w:val="005C2BA2"/>
    <w:rsid w:val="005C2E02"/>
    <w:rsid w:val="005C3149"/>
    <w:rsid w:val="005C4011"/>
    <w:rsid w:val="005C4225"/>
    <w:rsid w:val="005C428E"/>
    <w:rsid w:val="005C4795"/>
    <w:rsid w:val="005C4AF4"/>
    <w:rsid w:val="005C5F93"/>
    <w:rsid w:val="005C717C"/>
    <w:rsid w:val="005D0949"/>
    <w:rsid w:val="005D0AC5"/>
    <w:rsid w:val="005D0FBF"/>
    <w:rsid w:val="005D1076"/>
    <w:rsid w:val="005D1AFF"/>
    <w:rsid w:val="005D50AD"/>
    <w:rsid w:val="005D55A5"/>
    <w:rsid w:val="005D5C54"/>
    <w:rsid w:val="005D5DED"/>
    <w:rsid w:val="005D634E"/>
    <w:rsid w:val="005D6891"/>
    <w:rsid w:val="005D6A03"/>
    <w:rsid w:val="005D6A8E"/>
    <w:rsid w:val="005D6AC4"/>
    <w:rsid w:val="005D6B2C"/>
    <w:rsid w:val="005D7191"/>
    <w:rsid w:val="005D7280"/>
    <w:rsid w:val="005D7740"/>
    <w:rsid w:val="005E09BC"/>
    <w:rsid w:val="005E11AA"/>
    <w:rsid w:val="005E1D4B"/>
    <w:rsid w:val="005E2BDE"/>
    <w:rsid w:val="005E3396"/>
    <w:rsid w:val="005E47EE"/>
    <w:rsid w:val="005E49AA"/>
    <w:rsid w:val="005E4A95"/>
    <w:rsid w:val="005E5196"/>
    <w:rsid w:val="005E5258"/>
    <w:rsid w:val="005E5350"/>
    <w:rsid w:val="005E5419"/>
    <w:rsid w:val="005E6C0C"/>
    <w:rsid w:val="005E6EE3"/>
    <w:rsid w:val="005E74C5"/>
    <w:rsid w:val="005E7642"/>
    <w:rsid w:val="005E772D"/>
    <w:rsid w:val="005E7BA5"/>
    <w:rsid w:val="005F0F33"/>
    <w:rsid w:val="005F1C54"/>
    <w:rsid w:val="005F238A"/>
    <w:rsid w:val="005F2966"/>
    <w:rsid w:val="005F2A0D"/>
    <w:rsid w:val="005F2B92"/>
    <w:rsid w:val="005F32A0"/>
    <w:rsid w:val="005F3F11"/>
    <w:rsid w:val="005F5456"/>
    <w:rsid w:val="005F55DC"/>
    <w:rsid w:val="005F66C7"/>
    <w:rsid w:val="005F6935"/>
    <w:rsid w:val="005F6C07"/>
    <w:rsid w:val="005F7459"/>
    <w:rsid w:val="005F7C35"/>
    <w:rsid w:val="0060040E"/>
    <w:rsid w:val="006005C1"/>
    <w:rsid w:val="00600A4E"/>
    <w:rsid w:val="00600A96"/>
    <w:rsid w:val="00600DEB"/>
    <w:rsid w:val="00600EE3"/>
    <w:rsid w:val="00602146"/>
    <w:rsid w:val="00602B9B"/>
    <w:rsid w:val="00603949"/>
    <w:rsid w:val="00603D6F"/>
    <w:rsid w:val="00604804"/>
    <w:rsid w:val="00604B83"/>
    <w:rsid w:val="006059FA"/>
    <w:rsid w:val="00605ECC"/>
    <w:rsid w:val="006063BA"/>
    <w:rsid w:val="00607F83"/>
    <w:rsid w:val="006112EF"/>
    <w:rsid w:val="0061158C"/>
    <w:rsid w:val="00611F31"/>
    <w:rsid w:val="0061250B"/>
    <w:rsid w:val="00612D8E"/>
    <w:rsid w:val="00612E1C"/>
    <w:rsid w:val="00613027"/>
    <w:rsid w:val="006130E4"/>
    <w:rsid w:val="00613120"/>
    <w:rsid w:val="00613A08"/>
    <w:rsid w:val="0061412F"/>
    <w:rsid w:val="00614153"/>
    <w:rsid w:val="00614AE8"/>
    <w:rsid w:val="00615073"/>
    <w:rsid w:val="0061546B"/>
    <w:rsid w:val="00616320"/>
    <w:rsid w:val="00616385"/>
    <w:rsid w:val="00616DF9"/>
    <w:rsid w:val="00616FCC"/>
    <w:rsid w:val="00617156"/>
    <w:rsid w:val="00617542"/>
    <w:rsid w:val="00617B09"/>
    <w:rsid w:val="006206FF"/>
    <w:rsid w:val="00620A30"/>
    <w:rsid w:val="00620A65"/>
    <w:rsid w:val="00620B75"/>
    <w:rsid w:val="00621073"/>
    <w:rsid w:val="00621CDC"/>
    <w:rsid w:val="006225B7"/>
    <w:rsid w:val="00623324"/>
    <w:rsid w:val="006238CB"/>
    <w:rsid w:val="00623B26"/>
    <w:rsid w:val="00623BAA"/>
    <w:rsid w:val="00624716"/>
    <w:rsid w:val="006247DB"/>
    <w:rsid w:val="00624B14"/>
    <w:rsid w:val="00624E66"/>
    <w:rsid w:val="00626360"/>
    <w:rsid w:val="006263C9"/>
    <w:rsid w:val="006263CE"/>
    <w:rsid w:val="00626A1D"/>
    <w:rsid w:val="0062733C"/>
    <w:rsid w:val="006277FB"/>
    <w:rsid w:val="00627A51"/>
    <w:rsid w:val="00627C9F"/>
    <w:rsid w:val="006307DF"/>
    <w:rsid w:val="00630B42"/>
    <w:rsid w:val="00630C75"/>
    <w:rsid w:val="00630F01"/>
    <w:rsid w:val="00630F7D"/>
    <w:rsid w:val="006311DA"/>
    <w:rsid w:val="006311E9"/>
    <w:rsid w:val="0063122C"/>
    <w:rsid w:val="006322B9"/>
    <w:rsid w:val="00632354"/>
    <w:rsid w:val="00632429"/>
    <w:rsid w:val="00632BF2"/>
    <w:rsid w:val="00632E34"/>
    <w:rsid w:val="00632F8E"/>
    <w:rsid w:val="00633261"/>
    <w:rsid w:val="006333B2"/>
    <w:rsid w:val="0063377E"/>
    <w:rsid w:val="0063402E"/>
    <w:rsid w:val="006354CD"/>
    <w:rsid w:val="00636406"/>
    <w:rsid w:val="0063642F"/>
    <w:rsid w:val="00636E0C"/>
    <w:rsid w:val="00636F4A"/>
    <w:rsid w:val="00637539"/>
    <w:rsid w:val="00637B7B"/>
    <w:rsid w:val="00637E84"/>
    <w:rsid w:val="00640167"/>
    <w:rsid w:val="00640173"/>
    <w:rsid w:val="0064145A"/>
    <w:rsid w:val="006418C1"/>
    <w:rsid w:val="006420B7"/>
    <w:rsid w:val="006422A6"/>
    <w:rsid w:val="00642810"/>
    <w:rsid w:val="00643F66"/>
    <w:rsid w:val="006441BB"/>
    <w:rsid w:val="00644643"/>
    <w:rsid w:val="00644E9E"/>
    <w:rsid w:val="006458AD"/>
    <w:rsid w:val="00645C3D"/>
    <w:rsid w:val="0064676D"/>
    <w:rsid w:val="006468F2"/>
    <w:rsid w:val="00646F19"/>
    <w:rsid w:val="0064712F"/>
    <w:rsid w:val="0064793C"/>
    <w:rsid w:val="006505CB"/>
    <w:rsid w:val="00650C27"/>
    <w:rsid w:val="00650FA3"/>
    <w:rsid w:val="006516A4"/>
    <w:rsid w:val="006516FE"/>
    <w:rsid w:val="00651D1D"/>
    <w:rsid w:val="00651DB9"/>
    <w:rsid w:val="00652333"/>
    <w:rsid w:val="00653892"/>
    <w:rsid w:val="00653AC7"/>
    <w:rsid w:val="00654124"/>
    <w:rsid w:val="00654573"/>
    <w:rsid w:val="006549A4"/>
    <w:rsid w:val="00654F6F"/>
    <w:rsid w:val="00655588"/>
    <w:rsid w:val="00656085"/>
    <w:rsid w:val="00656FE7"/>
    <w:rsid w:val="0065765B"/>
    <w:rsid w:val="006605AC"/>
    <w:rsid w:val="00660F3A"/>
    <w:rsid w:val="00662F5D"/>
    <w:rsid w:val="006634C1"/>
    <w:rsid w:val="00663571"/>
    <w:rsid w:val="00664C08"/>
    <w:rsid w:val="00664DDE"/>
    <w:rsid w:val="0066580F"/>
    <w:rsid w:val="00666536"/>
    <w:rsid w:val="00666AEF"/>
    <w:rsid w:val="006704D5"/>
    <w:rsid w:val="00670FE7"/>
    <w:rsid w:val="006716C1"/>
    <w:rsid w:val="006726D8"/>
    <w:rsid w:val="006726F4"/>
    <w:rsid w:val="0067329C"/>
    <w:rsid w:val="00674465"/>
    <w:rsid w:val="0067472A"/>
    <w:rsid w:val="00675AB0"/>
    <w:rsid w:val="00675BB9"/>
    <w:rsid w:val="00676345"/>
    <w:rsid w:val="006774B5"/>
    <w:rsid w:val="00677938"/>
    <w:rsid w:val="0068009E"/>
    <w:rsid w:val="0068061F"/>
    <w:rsid w:val="006812F2"/>
    <w:rsid w:val="00681497"/>
    <w:rsid w:val="00681A3D"/>
    <w:rsid w:val="0068250C"/>
    <w:rsid w:val="00683305"/>
    <w:rsid w:val="006837B7"/>
    <w:rsid w:val="00684434"/>
    <w:rsid w:val="006847BC"/>
    <w:rsid w:val="00684952"/>
    <w:rsid w:val="006849BF"/>
    <w:rsid w:val="00684DA0"/>
    <w:rsid w:val="00684E79"/>
    <w:rsid w:val="00685184"/>
    <w:rsid w:val="006862C6"/>
    <w:rsid w:val="0068733F"/>
    <w:rsid w:val="00687432"/>
    <w:rsid w:val="00687725"/>
    <w:rsid w:val="00687D5E"/>
    <w:rsid w:val="006901ED"/>
    <w:rsid w:val="0069023C"/>
    <w:rsid w:val="006906BB"/>
    <w:rsid w:val="00690CBC"/>
    <w:rsid w:val="0069244C"/>
    <w:rsid w:val="00692996"/>
    <w:rsid w:val="00692A55"/>
    <w:rsid w:val="00695419"/>
    <w:rsid w:val="0069578C"/>
    <w:rsid w:val="00695B56"/>
    <w:rsid w:val="00696C68"/>
    <w:rsid w:val="006972FB"/>
    <w:rsid w:val="00697CE4"/>
    <w:rsid w:val="00697E1A"/>
    <w:rsid w:val="006A0548"/>
    <w:rsid w:val="006A0793"/>
    <w:rsid w:val="006A0E85"/>
    <w:rsid w:val="006A0F00"/>
    <w:rsid w:val="006A0F77"/>
    <w:rsid w:val="006A11FD"/>
    <w:rsid w:val="006A17D2"/>
    <w:rsid w:val="006A3B33"/>
    <w:rsid w:val="006A4F4B"/>
    <w:rsid w:val="006A508B"/>
    <w:rsid w:val="006A538E"/>
    <w:rsid w:val="006A58D1"/>
    <w:rsid w:val="006A62C0"/>
    <w:rsid w:val="006A6A79"/>
    <w:rsid w:val="006A6E1A"/>
    <w:rsid w:val="006A70B4"/>
    <w:rsid w:val="006A72B7"/>
    <w:rsid w:val="006A73E6"/>
    <w:rsid w:val="006A7408"/>
    <w:rsid w:val="006A7764"/>
    <w:rsid w:val="006A79A7"/>
    <w:rsid w:val="006B0169"/>
    <w:rsid w:val="006B057B"/>
    <w:rsid w:val="006B11CF"/>
    <w:rsid w:val="006B130C"/>
    <w:rsid w:val="006B17B3"/>
    <w:rsid w:val="006B1BB7"/>
    <w:rsid w:val="006B1CFC"/>
    <w:rsid w:val="006B248C"/>
    <w:rsid w:val="006B2623"/>
    <w:rsid w:val="006B265D"/>
    <w:rsid w:val="006B295E"/>
    <w:rsid w:val="006B2BD9"/>
    <w:rsid w:val="006B2D5C"/>
    <w:rsid w:val="006B3773"/>
    <w:rsid w:val="006B3C71"/>
    <w:rsid w:val="006B4324"/>
    <w:rsid w:val="006B544B"/>
    <w:rsid w:val="006B5976"/>
    <w:rsid w:val="006B64E7"/>
    <w:rsid w:val="006B6D64"/>
    <w:rsid w:val="006B6FFA"/>
    <w:rsid w:val="006B7C45"/>
    <w:rsid w:val="006B7F54"/>
    <w:rsid w:val="006C07D9"/>
    <w:rsid w:val="006C0F5D"/>
    <w:rsid w:val="006C1815"/>
    <w:rsid w:val="006C2346"/>
    <w:rsid w:val="006C2B38"/>
    <w:rsid w:val="006C379B"/>
    <w:rsid w:val="006C39E9"/>
    <w:rsid w:val="006C3D28"/>
    <w:rsid w:val="006C3F7D"/>
    <w:rsid w:val="006C4233"/>
    <w:rsid w:val="006C4596"/>
    <w:rsid w:val="006C49B8"/>
    <w:rsid w:val="006C4DFA"/>
    <w:rsid w:val="006C4EB1"/>
    <w:rsid w:val="006C6E31"/>
    <w:rsid w:val="006C7E62"/>
    <w:rsid w:val="006D0195"/>
    <w:rsid w:val="006D01E3"/>
    <w:rsid w:val="006D0424"/>
    <w:rsid w:val="006D0621"/>
    <w:rsid w:val="006D107D"/>
    <w:rsid w:val="006D1A3C"/>
    <w:rsid w:val="006D1D9A"/>
    <w:rsid w:val="006D2678"/>
    <w:rsid w:val="006D27EC"/>
    <w:rsid w:val="006D2C28"/>
    <w:rsid w:val="006D2D13"/>
    <w:rsid w:val="006D43E9"/>
    <w:rsid w:val="006D48BB"/>
    <w:rsid w:val="006D5467"/>
    <w:rsid w:val="006D5D5D"/>
    <w:rsid w:val="006D6323"/>
    <w:rsid w:val="006D6E36"/>
    <w:rsid w:val="006D6E3A"/>
    <w:rsid w:val="006D7599"/>
    <w:rsid w:val="006D7976"/>
    <w:rsid w:val="006E00AB"/>
    <w:rsid w:val="006E0166"/>
    <w:rsid w:val="006E1163"/>
    <w:rsid w:val="006E18B8"/>
    <w:rsid w:val="006E2063"/>
    <w:rsid w:val="006E2D76"/>
    <w:rsid w:val="006E35A0"/>
    <w:rsid w:val="006E4682"/>
    <w:rsid w:val="006E4B61"/>
    <w:rsid w:val="006E4CCE"/>
    <w:rsid w:val="006E5C58"/>
    <w:rsid w:val="006E5D48"/>
    <w:rsid w:val="006E6048"/>
    <w:rsid w:val="006E67F6"/>
    <w:rsid w:val="006E6C78"/>
    <w:rsid w:val="006E6F1E"/>
    <w:rsid w:val="006E7B34"/>
    <w:rsid w:val="006E7EA4"/>
    <w:rsid w:val="006F08D4"/>
    <w:rsid w:val="006F157C"/>
    <w:rsid w:val="006F1DA9"/>
    <w:rsid w:val="006F2AC7"/>
    <w:rsid w:val="006F3590"/>
    <w:rsid w:val="006F3597"/>
    <w:rsid w:val="006F374D"/>
    <w:rsid w:val="006F46BF"/>
    <w:rsid w:val="006F53EE"/>
    <w:rsid w:val="006F60F9"/>
    <w:rsid w:val="006F672E"/>
    <w:rsid w:val="006F732C"/>
    <w:rsid w:val="006F7488"/>
    <w:rsid w:val="006F7B98"/>
    <w:rsid w:val="006F7DA2"/>
    <w:rsid w:val="0070045F"/>
    <w:rsid w:val="00700471"/>
    <w:rsid w:val="00700592"/>
    <w:rsid w:val="00700C65"/>
    <w:rsid w:val="00701610"/>
    <w:rsid w:val="00701B24"/>
    <w:rsid w:val="00702565"/>
    <w:rsid w:val="0070267B"/>
    <w:rsid w:val="00702A7C"/>
    <w:rsid w:val="00702CD7"/>
    <w:rsid w:val="00702DE6"/>
    <w:rsid w:val="00702E9D"/>
    <w:rsid w:val="00702EA5"/>
    <w:rsid w:val="007036CF"/>
    <w:rsid w:val="00703F90"/>
    <w:rsid w:val="0070404E"/>
    <w:rsid w:val="00704098"/>
    <w:rsid w:val="0070456C"/>
    <w:rsid w:val="0070489F"/>
    <w:rsid w:val="00704C82"/>
    <w:rsid w:val="0070603C"/>
    <w:rsid w:val="00706591"/>
    <w:rsid w:val="00706698"/>
    <w:rsid w:val="00706D00"/>
    <w:rsid w:val="00706D7E"/>
    <w:rsid w:val="00707116"/>
    <w:rsid w:val="00707486"/>
    <w:rsid w:val="00707BAF"/>
    <w:rsid w:val="00707E8E"/>
    <w:rsid w:val="00710376"/>
    <w:rsid w:val="00710BA2"/>
    <w:rsid w:val="00710E48"/>
    <w:rsid w:val="00710ED5"/>
    <w:rsid w:val="00711137"/>
    <w:rsid w:val="00711FF7"/>
    <w:rsid w:val="0071310E"/>
    <w:rsid w:val="0071380C"/>
    <w:rsid w:val="00713B05"/>
    <w:rsid w:val="007140C0"/>
    <w:rsid w:val="00714D01"/>
    <w:rsid w:val="00715928"/>
    <w:rsid w:val="00715DB8"/>
    <w:rsid w:val="00716BEC"/>
    <w:rsid w:val="00716D62"/>
    <w:rsid w:val="00717B70"/>
    <w:rsid w:val="00720030"/>
    <w:rsid w:val="0072003B"/>
    <w:rsid w:val="0072130B"/>
    <w:rsid w:val="00721B27"/>
    <w:rsid w:val="00722812"/>
    <w:rsid w:val="00722EDF"/>
    <w:rsid w:val="00722FE1"/>
    <w:rsid w:val="0072335A"/>
    <w:rsid w:val="007237C3"/>
    <w:rsid w:val="0072382C"/>
    <w:rsid w:val="0072472F"/>
    <w:rsid w:val="007247E2"/>
    <w:rsid w:val="00724BC2"/>
    <w:rsid w:val="00727727"/>
    <w:rsid w:val="007278E3"/>
    <w:rsid w:val="00727D80"/>
    <w:rsid w:val="00730731"/>
    <w:rsid w:val="00730B58"/>
    <w:rsid w:val="00731DA0"/>
    <w:rsid w:val="007321A6"/>
    <w:rsid w:val="007344ED"/>
    <w:rsid w:val="00734850"/>
    <w:rsid w:val="007359CB"/>
    <w:rsid w:val="007364B7"/>
    <w:rsid w:val="00736B62"/>
    <w:rsid w:val="00737A15"/>
    <w:rsid w:val="00737B6E"/>
    <w:rsid w:val="007400D8"/>
    <w:rsid w:val="00740A66"/>
    <w:rsid w:val="0074145C"/>
    <w:rsid w:val="007419F4"/>
    <w:rsid w:val="00741D4C"/>
    <w:rsid w:val="00741FFA"/>
    <w:rsid w:val="007433B0"/>
    <w:rsid w:val="007451C8"/>
    <w:rsid w:val="0074535C"/>
    <w:rsid w:val="0074572F"/>
    <w:rsid w:val="0074581C"/>
    <w:rsid w:val="00745830"/>
    <w:rsid w:val="00745899"/>
    <w:rsid w:val="00745C7F"/>
    <w:rsid w:val="00746AB9"/>
    <w:rsid w:val="00746AC2"/>
    <w:rsid w:val="00750078"/>
    <w:rsid w:val="00750568"/>
    <w:rsid w:val="00750BB6"/>
    <w:rsid w:val="00751379"/>
    <w:rsid w:val="0075164B"/>
    <w:rsid w:val="00753890"/>
    <w:rsid w:val="007538FC"/>
    <w:rsid w:val="00753973"/>
    <w:rsid w:val="00753C53"/>
    <w:rsid w:val="007542BA"/>
    <w:rsid w:val="00754A2A"/>
    <w:rsid w:val="00754E95"/>
    <w:rsid w:val="0075507F"/>
    <w:rsid w:val="00755F05"/>
    <w:rsid w:val="007561AD"/>
    <w:rsid w:val="00756737"/>
    <w:rsid w:val="007570FA"/>
    <w:rsid w:val="007572C4"/>
    <w:rsid w:val="00757D4F"/>
    <w:rsid w:val="00757F66"/>
    <w:rsid w:val="007602A0"/>
    <w:rsid w:val="007607C4"/>
    <w:rsid w:val="007607EC"/>
    <w:rsid w:val="0076157B"/>
    <w:rsid w:val="00761A58"/>
    <w:rsid w:val="00762650"/>
    <w:rsid w:val="00762A2F"/>
    <w:rsid w:val="00763A2C"/>
    <w:rsid w:val="0076457E"/>
    <w:rsid w:val="007649AF"/>
    <w:rsid w:val="00765584"/>
    <w:rsid w:val="00765CB7"/>
    <w:rsid w:val="0076643F"/>
    <w:rsid w:val="00766783"/>
    <w:rsid w:val="00766A28"/>
    <w:rsid w:val="00770E5A"/>
    <w:rsid w:val="00771045"/>
    <w:rsid w:val="00771205"/>
    <w:rsid w:val="00772555"/>
    <w:rsid w:val="007732C6"/>
    <w:rsid w:val="00773C5A"/>
    <w:rsid w:val="00773DC4"/>
    <w:rsid w:val="00773F62"/>
    <w:rsid w:val="007741EB"/>
    <w:rsid w:val="00774375"/>
    <w:rsid w:val="007744CC"/>
    <w:rsid w:val="00774D86"/>
    <w:rsid w:val="00775E86"/>
    <w:rsid w:val="007771C5"/>
    <w:rsid w:val="007776FF"/>
    <w:rsid w:val="00777EF1"/>
    <w:rsid w:val="0078069F"/>
    <w:rsid w:val="0078071D"/>
    <w:rsid w:val="0078085D"/>
    <w:rsid w:val="007809DA"/>
    <w:rsid w:val="00780ED7"/>
    <w:rsid w:val="00781C89"/>
    <w:rsid w:val="007820A0"/>
    <w:rsid w:val="007820BB"/>
    <w:rsid w:val="00782E68"/>
    <w:rsid w:val="0078305D"/>
    <w:rsid w:val="00783135"/>
    <w:rsid w:val="00783D1B"/>
    <w:rsid w:val="0078426B"/>
    <w:rsid w:val="00784600"/>
    <w:rsid w:val="00784DE5"/>
    <w:rsid w:val="00784E3A"/>
    <w:rsid w:val="00784FEC"/>
    <w:rsid w:val="0078587E"/>
    <w:rsid w:val="0078595F"/>
    <w:rsid w:val="00785F8D"/>
    <w:rsid w:val="00786501"/>
    <w:rsid w:val="007878AC"/>
    <w:rsid w:val="00790499"/>
    <w:rsid w:val="0079125E"/>
    <w:rsid w:val="007928DA"/>
    <w:rsid w:val="00793063"/>
    <w:rsid w:val="00793611"/>
    <w:rsid w:val="00793A12"/>
    <w:rsid w:val="00795940"/>
    <w:rsid w:val="00795E01"/>
    <w:rsid w:val="00796E7A"/>
    <w:rsid w:val="007972DD"/>
    <w:rsid w:val="007977A5"/>
    <w:rsid w:val="007A044D"/>
    <w:rsid w:val="007A13D7"/>
    <w:rsid w:val="007A17C8"/>
    <w:rsid w:val="007A18EB"/>
    <w:rsid w:val="007A1919"/>
    <w:rsid w:val="007A2423"/>
    <w:rsid w:val="007A2EC7"/>
    <w:rsid w:val="007A2F70"/>
    <w:rsid w:val="007A3293"/>
    <w:rsid w:val="007A3478"/>
    <w:rsid w:val="007A36FA"/>
    <w:rsid w:val="007A4240"/>
    <w:rsid w:val="007A44FF"/>
    <w:rsid w:val="007A4943"/>
    <w:rsid w:val="007A4980"/>
    <w:rsid w:val="007A57A6"/>
    <w:rsid w:val="007A7F31"/>
    <w:rsid w:val="007B04BF"/>
    <w:rsid w:val="007B186C"/>
    <w:rsid w:val="007B19A1"/>
    <w:rsid w:val="007B19FE"/>
    <w:rsid w:val="007B1B6A"/>
    <w:rsid w:val="007B2769"/>
    <w:rsid w:val="007B3C72"/>
    <w:rsid w:val="007B430B"/>
    <w:rsid w:val="007B467F"/>
    <w:rsid w:val="007B4826"/>
    <w:rsid w:val="007B4C00"/>
    <w:rsid w:val="007B5867"/>
    <w:rsid w:val="007B603B"/>
    <w:rsid w:val="007B613B"/>
    <w:rsid w:val="007B6279"/>
    <w:rsid w:val="007B6418"/>
    <w:rsid w:val="007B6C22"/>
    <w:rsid w:val="007B757E"/>
    <w:rsid w:val="007B762A"/>
    <w:rsid w:val="007B796A"/>
    <w:rsid w:val="007C09E6"/>
    <w:rsid w:val="007C0DC1"/>
    <w:rsid w:val="007C10AC"/>
    <w:rsid w:val="007C16AB"/>
    <w:rsid w:val="007C20E3"/>
    <w:rsid w:val="007C22DF"/>
    <w:rsid w:val="007C2DA6"/>
    <w:rsid w:val="007C3334"/>
    <w:rsid w:val="007C3481"/>
    <w:rsid w:val="007C4E9A"/>
    <w:rsid w:val="007C50F6"/>
    <w:rsid w:val="007C52BB"/>
    <w:rsid w:val="007C5476"/>
    <w:rsid w:val="007C56C6"/>
    <w:rsid w:val="007C58E8"/>
    <w:rsid w:val="007C6109"/>
    <w:rsid w:val="007C6557"/>
    <w:rsid w:val="007C7402"/>
    <w:rsid w:val="007C757E"/>
    <w:rsid w:val="007C798F"/>
    <w:rsid w:val="007C7B95"/>
    <w:rsid w:val="007C7FBB"/>
    <w:rsid w:val="007D0207"/>
    <w:rsid w:val="007D0309"/>
    <w:rsid w:val="007D06CB"/>
    <w:rsid w:val="007D203B"/>
    <w:rsid w:val="007D278F"/>
    <w:rsid w:val="007D2B98"/>
    <w:rsid w:val="007D2FEE"/>
    <w:rsid w:val="007D3E9B"/>
    <w:rsid w:val="007D4C93"/>
    <w:rsid w:val="007D4FA5"/>
    <w:rsid w:val="007D69AC"/>
    <w:rsid w:val="007D6C80"/>
    <w:rsid w:val="007E0F77"/>
    <w:rsid w:val="007E12F5"/>
    <w:rsid w:val="007E13CE"/>
    <w:rsid w:val="007E1856"/>
    <w:rsid w:val="007E3636"/>
    <w:rsid w:val="007E3F64"/>
    <w:rsid w:val="007E42C4"/>
    <w:rsid w:val="007E47F0"/>
    <w:rsid w:val="007E5338"/>
    <w:rsid w:val="007E5C9F"/>
    <w:rsid w:val="007E6DAC"/>
    <w:rsid w:val="007E783F"/>
    <w:rsid w:val="007E7889"/>
    <w:rsid w:val="007F05E6"/>
    <w:rsid w:val="007F060E"/>
    <w:rsid w:val="007F074A"/>
    <w:rsid w:val="007F076B"/>
    <w:rsid w:val="007F11B4"/>
    <w:rsid w:val="007F2494"/>
    <w:rsid w:val="007F2DA5"/>
    <w:rsid w:val="007F3AAF"/>
    <w:rsid w:val="007F410D"/>
    <w:rsid w:val="007F42BF"/>
    <w:rsid w:val="007F48AA"/>
    <w:rsid w:val="007F4A54"/>
    <w:rsid w:val="007F4B82"/>
    <w:rsid w:val="007F4F2C"/>
    <w:rsid w:val="007F4FE2"/>
    <w:rsid w:val="007F5625"/>
    <w:rsid w:val="007F7AA0"/>
    <w:rsid w:val="00800983"/>
    <w:rsid w:val="00800E57"/>
    <w:rsid w:val="00801347"/>
    <w:rsid w:val="00801753"/>
    <w:rsid w:val="00801B96"/>
    <w:rsid w:val="0080393B"/>
    <w:rsid w:val="00803952"/>
    <w:rsid w:val="00803F1C"/>
    <w:rsid w:val="0080474E"/>
    <w:rsid w:val="0080488C"/>
    <w:rsid w:val="00805784"/>
    <w:rsid w:val="00805885"/>
    <w:rsid w:val="0080600E"/>
    <w:rsid w:val="008105F4"/>
    <w:rsid w:val="0081181A"/>
    <w:rsid w:val="00812665"/>
    <w:rsid w:val="00812EAF"/>
    <w:rsid w:val="00812F39"/>
    <w:rsid w:val="00813CCC"/>
    <w:rsid w:val="00817612"/>
    <w:rsid w:val="00817B19"/>
    <w:rsid w:val="00817D2F"/>
    <w:rsid w:val="0082026D"/>
    <w:rsid w:val="00820D73"/>
    <w:rsid w:val="00820E74"/>
    <w:rsid w:val="008215C0"/>
    <w:rsid w:val="008218A2"/>
    <w:rsid w:val="00821EB3"/>
    <w:rsid w:val="008224A0"/>
    <w:rsid w:val="00822E7F"/>
    <w:rsid w:val="00823A91"/>
    <w:rsid w:val="0082595F"/>
    <w:rsid w:val="00825AC2"/>
    <w:rsid w:val="00825B7F"/>
    <w:rsid w:val="00825CC2"/>
    <w:rsid w:val="00826904"/>
    <w:rsid w:val="00827DB7"/>
    <w:rsid w:val="0083041F"/>
    <w:rsid w:val="00830930"/>
    <w:rsid w:val="00830E88"/>
    <w:rsid w:val="008321E7"/>
    <w:rsid w:val="00832BD9"/>
    <w:rsid w:val="00833233"/>
    <w:rsid w:val="0083470D"/>
    <w:rsid w:val="00835F5A"/>
    <w:rsid w:val="0083716D"/>
    <w:rsid w:val="008373B6"/>
    <w:rsid w:val="00837C45"/>
    <w:rsid w:val="00840FA9"/>
    <w:rsid w:val="008414A3"/>
    <w:rsid w:val="008426FE"/>
    <w:rsid w:val="008459EB"/>
    <w:rsid w:val="00845C1A"/>
    <w:rsid w:val="00845CDF"/>
    <w:rsid w:val="00846865"/>
    <w:rsid w:val="00846904"/>
    <w:rsid w:val="008472FB"/>
    <w:rsid w:val="0084747D"/>
    <w:rsid w:val="00847A8B"/>
    <w:rsid w:val="00847B26"/>
    <w:rsid w:val="008504A1"/>
    <w:rsid w:val="008509CC"/>
    <w:rsid w:val="00850B3B"/>
    <w:rsid w:val="00851B6A"/>
    <w:rsid w:val="00852AFB"/>
    <w:rsid w:val="00852CE2"/>
    <w:rsid w:val="00853419"/>
    <w:rsid w:val="00853A23"/>
    <w:rsid w:val="00854FE3"/>
    <w:rsid w:val="008556D3"/>
    <w:rsid w:val="00855C7B"/>
    <w:rsid w:val="008560E1"/>
    <w:rsid w:val="00856433"/>
    <w:rsid w:val="00856A9D"/>
    <w:rsid w:val="0085746D"/>
    <w:rsid w:val="00860233"/>
    <w:rsid w:val="00860453"/>
    <w:rsid w:val="00860FC6"/>
    <w:rsid w:val="00861437"/>
    <w:rsid w:val="0086147D"/>
    <w:rsid w:val="00861972"/>
    <w:rsid w:val="00861EC2"/>
    <w:rsid w:val="008628FD"/>
    <w:rsid w:val="0086292E"/>
    <w:rsid w:val="00864785"/>
    <w:rsid w:val="008648E9"/>
    <w:rsid w:val="00865279"/>
    <w:rsid w:val="00865368"/>
    <w:rsid w:val="00865A1C"/>
    <w:rsid w:val="00865C9B"/>
    <w:rsid w:val="00865D73"/>
    <w:rsid w:val="0086628D"/>
    <w:rsid w:val="008665EC"/>
    <w:rsid w:val="00866D7E"/>
    <w:rsid w:val="008678EF"/>
    <w:rsid w:val="0087014C"/>
    <w:rsid w:val="00871372"/>
    <w:rsid w:val="00871EBE"/>
    <w:rsid w:val="00872ACE"/>
    <w:rsid w:val="008741A2"/>
    <w:rsid w:val="00874BEE"/>
    <w:rsid w:val="00875ABB"/>
    <w:rsid w:val="00875EC6"/>
    <w:rsid w:val="00876085"/>
    <w:rsid w:val="00877E1B"/>
    <w:rsid w:val="0088083B"/>
    <w:rsid w:val="00880B21"/>
    <w:rsid w:val="00880F95"/>
    <w:rsid w:val="00881D67"/>
    <w:rsid w:val="00881F2A"/>
    <w:rsid w:val="00882952"/>
    <w:rsid w:val="00882C32"/>
    <w:rsid w:val="0088373B"/>
    <w:rsid w:val="00883E89"/>
    <w:rsid w:val="00883EA4"/>
    <w:rsid w:val="00884270"/>
    <w:rsid w:val="008867C0"/>
    <w:rsid w:val="008869BA"/>
    <w:rsid w:val="00887B7D"/>
    <w:rsid w:val="008901DB"/>
    <w:rsid w:val="008903D5"/>
    <w:rsid w:val="0089156D"/>
    <w:rsid w:val="008917C2"/>
    <w:rsid w:val="00892D34"/>
    <w:rsid w:val="0089388F"/>
    <w:rsid w:val="00893E24"/>
    <w:rsid w:val="00893E44"/>
    <w:rsid w:val="008945B4"/>
    <w:rsid w:val="0089514B"/>
    <w:rsid w:val="008954D8"/>
    <w:rsid w:val="008969D3"/>
    <w:rsid w:val="008971D8"/>
    <w:rsid w:val="00897E12"/>
    <w:rsid w:val="008A065A"/>
    <w:rsid w:val="008A0798"/>
    <w:rsid w:val="008A0A13"/>
    <w:rsid w:val="008A0DA2"/>
    <w:rsid w:val="008A0F37"/>
    <w:rsid w:val="008A16A9"/>
    <w:rsid w:val="008A1C4B"/>
    <w:rsid w:val="008A1C95"/>
    <w:rsid w:val="008A3434"/>
    <w:rsid w:val="008A36FA"/>
    <w:rsid w:val="008A37B7"/>
    <w:rsid w:val="008A4398"/>
    <w:rsid w:val="008A45EC"/>
    <w:rsid w:val="008A47EF"/>
    <w:rsid w:val="008A4B7D"/>
    <w:rsid w:val="008A4FAC"/>
    <w:rsid w:val="008A51A9"/>
    <w:rsid w:val="008A5A80"/>
    <w:rsid w:val="008A5BF4"/>
    <w:rsid w:val="008A60CB"/>
    <w:rsid w:val="008A67CF"/>
    <w:rsid w:val="008A6DA2"/>
    <w:rsid w:val="008A6E6B"/>
    <w:rsid w:val="008A79DC"/>
    <w:rsid w:val="008A7BFC"/>
    <w:rsid w:val="008A7F97"/>
    <w:rsid w:val="008A7FC7"/>
    <w:rsid w:val="008B016E"/>
    <w:rsid w:val="008B0E6D"/>
    <w:rsid w:val="008B0EE7"/>
    <w:rsid w:val="008B14CB"/>
    <w:rsid w:val="008B1875"/>
    <w:rsid w:val="008B1E82"/>
    <w:rsid w:val="008B24D5"/>
    <w:rsid w:val="008B25FC"/>
    <w:rsid w:val="008B2DA9"/>
    <w:rsid w:val="008B31E6"/>
    <w:rsid w:val="008B3466"/>
    <w:rsid w:val="008B44C5"/>
    <w:rsid w:val="008B5124"/>
    <w:rsid w:val="008B6F85"/>
    <w:rsid w:val="008B7CCB"/>
    <w:rsid w:val="008C0044"/>
    <w:rsid w:val="008C00EE"/>
    <w:rsid w:val="008C1F66"/>
    <w:rsid w:val="008C2789"/>
    <w:rsid w:val="008C2DF6"/>
    <w:rsid w:val="008C35A8"/>
    <w:rsid w:val="008C3661"/>
    <w:rsid w:val="008C606A"/>
    <w:rsid w:val="008C614F"/>
    <w:rsid w:val="008C6FC4"/>
    <w:rsid w:val="008C7401"/>
    <w:rsid w:val="008C7564"/>
    <w:rsid w:val="008C79A8"/>
    <w:rsid w:val="008D0556"/>
    <w:rsid w:val="008D0C22"/>
    <w:rsid w:val="008D16A8"/>
    <w:rsid w:val="008D2184"/>
    <w:rsid w:val="008D307A"/>
    <w:rsid w:val="008D33C9"/>
    <w:rsid w:val="008D3F7F"/>
    <w:rsid w:val="008D43BA"/>
    <w:rsid w:val="008D6249"/>
    <w:rsid w:val="008D6303"/>
    <w:rsid w:val="008D7317"/>
    <w:rsid w:val="008D74BD"/>
    <w:rsid w:val="008D7DF4"/>
    <w:rsid w:val="008E083B"/>
    <w:rsid w:val="008E10AE"/>
    <w:rsid w:val="008E1D8B"/>
    <w:rsid w:val="008E20E2"/>
    <w:rsid w:val="008E3602"/>
    <w:rsid w:val="008E3759"/>
    <w:rsid w:val="008E3BAE"/>
    <w:rsid w:val="008E41B1"/>
    <w:rsid w:val="008E46CE"/>
    <w:rsid w:val="008E4DBE"/>
    <w:rsid w:val="008E53E4"/>
    <w:rsid w:val="008E5615"/>
    <w:rsid w:val="008E71E6"/>
    <w:rsid w:val="008E7B4C"/>
    <w:rsid w:val="008F289E"/>
    <w:rsid w:val="008F298E"/>
    <w:rsid w:val="008F2A35"/>
    <w:rsid w:val="008F2A73"/>
    <w:rsid w:val="008F2E03"/>
    <w:rsid w:val="008F2E1C"/>
    <w:rsid w:val="008F3BF9"/>
    <w:rsid w:val="008F3E4A"/>
    <w:rsid w:val="008F405E"/>
    <w:rsid w:val="008F4101"/>
    <w:rsid w:val="008F4522"/>
    <w:rsid w:val="008F49E6"/>
    <w:rsid w:val="008F559D"/>
    <w:rsid w:val="008F6470"/>
    <w:rsid w:val="008F6A70"/>
    <w:rsid w:val="008F7046"/>
    <w:rsid w:val="008F7B4C"/>
    <w:rsid w:val="008F7D4D"/>
    <w:rsid w:val="008F7F3F"/>
    <w:rsid w:val="0090020C"/>
    <w:rsid w:val="0090091F"/>
    <w:rsid w:val="009018B3"/>
    <w:rsid w:val="009021D6"/>
    <w:rsid w:val="00902845"/>
    <w:rsid w:val="00904103"/>
    <w:rsid w:val="009041DC"/>
    <w:rsid w:val="009047EE"/>
    <w:rsid w:val="00904B4B"/>
    <w:rsid w:val="009062A3"/>
    <w:rsid w:val="0090668D"/>
    <w:rsid w:val="00906DD8"/>
    <w:rsid w:val="00906FB8"/>
    <w:rsid w:val="00907012"/>
    <w:rsid w:val="00907CCD"/>
    <w:rsid w:val="009104B4"/>
    <w:rsid w:val="00910F0F"/>
    <w:rsid w:val="009113EE"/>
    <w:rsid w:val="00912171"/>
    <w:rsid w:val="00912642"/>
    <w:rsid w:val="00912B29"/>
    <w:rsid w:val="00913B6D"/>
    <w:rsid w:val="00914897"/>
    <w:rsid w:val="00914955"/>
    <w:rsid w:val="00915CDE"/>
    <w:rsid w:val="00915FDE"/>
    <w:rsid w:val="0091677E"/>
    <w:rsid w:val="0091728F"/>
    <w:rsid w:val="0091789D"/>
    <w:rsid w:val="00917ACD"/>
    <w:rsid w:val="009204A2"/>
    <w:rsid w:val="00921023"/>
    <w:rsid w:val="00922A9F"/>
    <w:rsid w:val="00923920"/>
    <w:rsid w:val="00924D42"/>
    <w:rsid w:val="00924D62"/>
    <w:rsid w:val="00924F0A"/>
    <w:rsid w:val="00925564"/>
    <w:rsid w:val="00925FCD"/>
    <w:rsid w:val="00926628"/>
    <w:rsid w:val="00926A46"/>
    <w:rsid w:val="00926E99"/>
    <w:rsid w:val="00927B0B"/>
    <w:rsid w:val="00930217"/>
    <w:rsid w:val="0093035E"/>
    <w:rsid w:val="00930779"/>
    <w:rsid w:val="00930ED0"/>
    <w:rsid w:val="00931AE5"/>
    <w:rsid w:val="009322FE"/>
    <w:rsid w:val="00932471"/>
    <w:rsid w:val="009324EB"/>
    <w:rsid w:val="009340C9"/>
    <w:rsid w:val="0093441A"/>
    <w:rsid w:val="00934829"/>
    <w:rsid w:val="0093569C"/>
    <w:rsid w:val="009356F2"/>
    <w:rsid w:val="00935735"/>
    <w:rsid w:val="009359E3"/>
    <w:rsid w:val="00935A29"/>
    <w:rsid w:val="0093619F"/>
    <w:rsid w:val="0093658A"/>
    <w:rsid w:val="00936C4F"/>
    <w:rsid w:val="00940F2D"/>
    <w:rsid w:val="009410CD"/>
    <w:rsid w:val="009412E0"/>
    <w:rsid w:val="0094199B"/>
    <w:rsid w:val="009424BD"/>
    <w:rsid w:val="0094272A"/>
    <w:rsid w:val="00942A54"/>
    <w:rsid w:val="00942AA6"/>
    <w:rsid w:val="00942BBC"/>
    <w:rsid w:val="0094320D"/>
    <w:rsid w:val="009435DC"/>
    <w:rsid w:val="009438AB"/>
    <w:rsid w:val="00943C6D"/>
    <w:rsid w:val="00945138"/>
    <w:rsid w:val="00945B9F"/>
    <w:rsid w:val="00945BCE"/>
    <w:rsid w:val="00945F51"/>
    <w:rsid w:val="009463E7"/>
    <w:rsid w:val="00946C83"/>
    <w:rsid w:val="00946CC4"/>
    <w:rsid w:val="00946E3E"/>
    <w:rsid w:val="00946F4E"/>
    <w:rsid w:val="0094702E"/>
    <w:rsid w:val="0094782D"/>
    <w:rsid w:val="00950D77"/>
    <w:rsid w:val="00951647"/>
    <w:rsid w:val="009516C0"/>
    <w:rsid w:val="00951A16"/>
    <w:rsid w:val="00952214"/>
    <w:rsid w:val="0095265B"/>
    <w:rsid w:val="00952CAA"/>
    <w:rsid w:val="00952DC4"/>
    <w:rsid w:val="00952FDC"/>
    <w:rsid w:val="00953CE4"/>
    <w:rsid w:val="00954232"/>
    <w:rsid w:val="0095466D"/>
    <w:rsid w:val="009546BF"/>
    <w:rsid w:val="00954BF7"/>
    <w:rsid w:val="00955093"/>
    <w:rsid w:val="009554F0"/>
    <w:rsid w:val="00955AFB"/>
    <w:rsid w:val="00955EA3"/>
    <w:rsid w:val="0095624F"/>
    <w:rsid w:val="0095641C"/>
    <w:rsid w:val="00957A32"/>
    <w:rsid w:val="00960555"/>
    <w:rsid w:val="00963233"/>
    <w:rsid w:val="009653A0"/>
    <w:rsid w:val="00965EC8"/>
    <w:rsid w:val="00965F42"/>
    <w:rsid w:val="009661AD"/>
    <w:rsid w:val="009668D9"/>
    <w:rsid w:val="009668E5"/>
    <w:rsid w:val="00966AB1"/>
    <w:rsid w:val="0096706E"/>
    <w:rsid w:val="00967DF8"/>
    <w:rsid w:val="00967ECF"/>
    <w:rsid w:val="009714F6"/>
    <w:rsid w:val="00971ED9"/>
    <w:rsid w:val="0097213D"/>
    <w:rsid w:val="0097237F"/>
    <w:rsid w:val="009724C3"/>
    <w:rsid w:val="00973675"/>
    <w:rsid w:val="00973798"/>
    <w:rsid w:val="0097391F"/>
    <w:rsid w:val="009739D1"/>
    <w:rsid w:val="00973E1D"/>
    <w:rsid w:val="00973FD3"/>
    <w:rsid w:val="009743CC"/>
    <w:rsid w:val="009753D7"/>
    <w:rsid w:val="00976209"/>
    <w:rsid w:val="009769D2"/>
    <w:rsid w:val="00976ADE"/>
    <w:rsid w:val="00976E74"/>
    <w:rsid w:val="009776F5"/>
    <w:rsid w:val="009803D5"/>
    <w:rsid w:val="00980A0D"/>
    <w:rsid w:val="00980D23"/>
    <w:rsid w:val="00981203"/>
    <w:rsid w:val="00981FBA"/>
    <w:rsid w:val="009826CC"/>
    <w:rsid w:val="00982E24"/>
    <w:rsid w:val="009835AD"/>
    <w:rsid w:val="00983AF6"/>
    <w:rsid w:val="009843A2"/>
    <w:rsid w:val="00985A4B"/>
    <w:rsid w:val="00985A98"/>
    <w:rsid w:val="00985B48"/>
    <w:rsid w:val="00986129"/>
    <w:rsid w:val="00986662"/>
    <w:rsid w:val="00986AEE"/>
    <w:rsid w:val="00986EAC"/>
    <w:rsid w:val="00986F77"/>
    <w:rsid w:val="009879D3"/>
    <w:rsid w:val="00990EFE"/>
    <w:rsid w:val="00991846"/>
    <w:rsid w:val="009923C3"/>
    <w:rsid w:val="00992A7F"/>
    <w:rsid w:val="009937A7"/>
    <w:rsid w:val="00994ECF"/>
    <w:rsid w:val="00995BB7"/>
    <w:rsid w:val="009967AF"/>
    <w:rsid w:val="0099714E"/>
    <w:rsid w:val="00997E99"/>
    <w:rsid w:val="009A03DC"/>
    <w:rsid w:val="009A03E7"/>
    <w:rsid w:val="009A0816"/>
    <w:rsid w:val="009A0B09"/>
    <w:rsid w:val="009A0F04"/>
    <w:rsid w:val="009A1A5D"/>
    <w:rsid w:val="009A1D2A"/>
    <w:rsid w:val="009A28FA"/>
    <w:rsid w:val="009A3091"/>
    <w:rsid w:val="009A6130"/>
    <w:rsid w:val="009A67CC"/>
    <w:rsid w:val="009A7953"/>
    <w:rsid w:val="009B07BE"/>
    <w:rsid w:val="009B1206"/>
    <w:rsid w:val="009B1525"/>
    <w:rsid w:val="009B26C8"/>
    <w:rsid w:val="009B2F9E"/>
    <w:rsid w:val="009B351F"/>
    <w:rsid w:val="009B381B"/>
    <w:rsid w:val="009B4536"/>
    <w:rsid w:val="009B5129"/>
    <w:rsid w:val="009B52B8"/>
    <w:rsid w:val="009B541A"/>
    <w:rsid w:val="009B61B2"/>
    <w:rsid w:val="009B71D5"/>
    <w:rsid w:val="009B74A4"/>
    <w:rsid w:val="009B7763"/>
    <w:rsid w:val="009C09D9"/>
    <w:rsid w:val="009C14D1"/>
    <w:rsid w:val="009C1615"/>
    <w:rsid w:val="009C1691"/>
    <w:rsid w:val="009C1877"/>
    <w:rsid w:val="009C1D8B"/>
    <w:rsid w:val="009C216A"/>
    <w:rsid w:val="009C2F9F"/>
    <w:rsid w:val="009C312B"/>
    <w:rsid w:val="009C4290"/>
    <w:rsid w:val="009C458A"/>
    <w:rsid w:val="009C4893"/>
    <w:rsid w:val="009C4D68"/>
    <w:rsid w:val="009C4E67"/>
    <w:rsid w:val="009C51F6"/>
    <w:rsid w:val="009C7506"/>
    <w:rsid w:val="009D0946"/>
    <w:rsid w:val="009D0D33"/>
    <w:rsid w:val="009D0DEE"/>
    <w:rsid w:val="009D15C7"/>
    <w:rsid w:val="009D16D3"/>
    <w:rsid w:val="009D1B8F"/>
    <w:rsid w:val="009D2342"/>
    <w:rsid w:val="009D280B"/>
    <w:rsid w:val="009D29A4"/>
    <w:rsid w:val="009D30B3"/>
    <w:rsid w:val="009D3728"/>
    <w:rsid w:val="009D3CA7"/>
    <w:rsid w:val="009D431A"/>
    <w:rsid w:val="009D50C6"/>
    <w:rsid w:val="009D561E"/>
    <w:rsid w:val="009D6116"/>
    <w:rsid w:val="009D7611"/>
    <w:rsid w:val="009E075C"/>
    <w:rsid w:val="009E0D6E"/>
    <w:rsid w:val="009E1392"/>
    <w:rsid w:val="009E2570"/>
    <w:rsid w:val="009E27A9"/>
    <w:rsid w:val="009E325A"/>
    <w:rsid w:val="009E3359"/>
    <w:rsid w:val="009E3488"/>
    <w:rsid w:val="009E374A"/>
    <w:rsid w:val="009E3A41"/>
    <w:rsid w:val="009E3ABD"/>
    <w:rsid w:val="009E3C23"/>
    <w:rsid w:val="009E3C4D"/>
    <w:rsid w:val="009E4906"/>
    <w:rsid w:val="009E4B85"/>
    <w:rsid w:val="009E4BB8"/>
    <w:rsid w:val="009E53DE"/>
    <w:rsid w:val="009E587F"/>
    <w:rsid w:val="009E5D2B"/>
    <w:rsid w:val="009E6627"/>
    <w:rsid w:val="009E6FD9"/>
    <w:rsid w:val="009E7309"/>
    <w:rsid w:val="009E7A69"/>
    <w:rsid w:val="009E7BD8"/>
    <w:rsid w:val="009F08C8"/>
    <w:rsid w:val="009F0AED"/>
    <w:rsid w:val="009F0CF2"/>
    <w:rsid w:val="009F114F"/>
    <w:rsid w:val="009F18AA"/>
    <w:rsid w:val="009F1B62"/>
    <w:rsid w:val="009F1ED5"/>
    <w:rsid w:val="009F24AF"/>
    <w:rsid w:val="009F24FF"/>
    <w:rsid w:val="009F297A"/>
    <w:rsid w:val="009F2A4B"/>
    <w:rsid w:val="009F2CC4"/>
    <w:rsid w:val="009F3705"/>
    <w:rsid w:val="009F4A55"/>
    <w:rsid w:val="009F4F97"/>
    <w:rsid w:val="009F54BA"/>
    <w:rsid w:val="009F7113"/>
    <w:rsid w:val="009F76DF"/>
    <w:rsid w:val="009F76E5"/>
    <w:rsid w:val="009F7C41"/>
    <w:rsid w:val="00A011DB"/>
    <w:rsid w:val="00A014DA"/>
    <w:rsid w:val="00A03579"/>
    <w:rsid w:val="00A03B6C"/>
    <w:rsid w:val="00A03DA5"/>
    <w:rsid w:val="00A05C64"/>
    <w:rsid w:val="00A06FEB"/>
    <w:rsid w:val="00A072E8"/>
    <w:rsid w:val="00A07CAA"/>
    <w:rsid w:val="00A10246"/>
    <w:rsid w:val="00A10403"/>
    <w:rsid w:val="00A10450"/>
    <w:rsid w:val="00A10A25"/>
    <w:rsid w:val="00A10C01"/>
    <w:rsid w:val="00A11407"/>
    <w:rsid w:val="00A11A36"/>
    <w:rsid w:val="00A12250"/>
    <w:rsid w:val="00A13A94"/>
    <w:rsid w:val="00A13CAC"/>
    <w:rsid w:val="00A14CD9"/>
    <w:rsid w:val="00A14D37"/>
    <w:rsid w:val="00A15A9B"/>
    <w:rsid w:val="00A15C9A"/>
    <w:rsid w:val="00A1636C"/>
    <w:rsid w:val="00A163A4"/>
    <w:rsid w:val="00A1688B"/>
    <w:rsid w:val="00A169DC"/>
    <w:rsid w:val="00A17625"/>
    <w:rsid w:val="00A17E82"/>
    <w:rsid w:val="00A2015A"/>
    <w:rsid w:val="00A20B65"/>
    <w:rsid w:val="00A20F5F"/>
    <w:rsid w:val="00A213FD"/>
    <w:rsid w:val="00A22B7B"/>
    <w:rsid w:val="00A23924"/>
    <w:rsid w:val="00A23D51"/>
    <w:rsid w:val="00A24331"/>
    <w:rsid w:val="00A24409"/>
    <w:rsid w:val="00A2456A"/>
    <w:rsid w:val="00A24AFC"/>
    <w:rsid w:val="00A25286"/>
    <w:rsid w:val="00A25C0A"/>
    <w:rsid w:val="00A272FE"/>
    <w:rsid w:val="00A27314"/>
    <w:rsid w:val="00A27AA6"/>
    <w:rsid w:val="00A31451"/>
    <w:rsid w:val="00A31CB0"/>
    <w:rsid w:val="00A32364"/>
    <w:rsid w:val="00A3286C"/>
    <w:rsid w:val="00A328B3"/>
    <w:rsid w:val="00A32D38"/>
    <w:rsid w:val="00A34273"/>
    <w:rsid w:val="00A34E0C"/>
    <w:rsid w:val="00A34F17"/>
    <w:rsid w:val="00A356FE"/>
    <w:rsid w:val="00A36168"/>
    <w:rsid w:val="00A3616C"/>
    <w:rsid w:val="00A36D83"/>
    <w:rsid w:val="00A36E16"/>
    <w:rsid w:val="00A3773C"/>
    <w:rsid w:val="00A37DA9"/>
    <w:rsid w:val="00A4032E"/>
    <w:rsid w:val="00A40463"/>
    <w:rsid w:val="00A40CED"/>
    <w:rsid w:val="00A411A7"/>
    <w:rsid w:val="00A416C1"/>
    <w:rsid w:val="00A416DC"/>
    <w:rsid w:val="00A432CC"/>
    <w:rsid w:val="00A43458"/>
    <w:rsid w:val="00A438C4"/>
    <w:rsid w:val="00A438F6"/>
    <w:rsid w:val="00A444C4"/>
    <w:rsid w:val="00A445B3"/>
    <w:rsid w:val="00A447CD"/>
    <w:rsid w:val="00A449DD"/>
    <w:rsid w:val="00A44B56"/>
    <w:rsid w:val="00A44C37"/>
    <w:rsid w:val="00A461B5"/>
    <w:rsid w:val="00A467D6"/>
    <w:rsid w:val="00A47174"/>
    <w:rsid w:val="00A47A8D"/>
    <w:rsid w:val="00A47CBE"/>
    <w:rsid w:val="00A47D0B"/>
    <w:rsid w:val="00A47FED"/>
    <w:rsid w:val="00A500DA"/>
    <w:rsid w:val="00A50201"/>
    <w:rsid w:val="00A5028C"/>
    <w:rsid w:val="00A50CF2"/>
    <w:rsid w:val="00A52375"/>
    <w:rsid w:val="00A5251F"/>
    <w:rsid w:val="00A527E1"/>
    <w:rsid w:val="00A528D1"/>
    <w:rsid w:val="00A53D13"/>
    <w:rsid w:val="00A53D23"/>
    <w:rsid w:val="00A542D1"/>
    <w:rsid w:val="00A54A91"/>
    <w:rsid w:val="00A54E22"/>
    <w:rsid w:val="00A55776"/>
    <w:rsid w:val="00A5736F"/>
    <w:rsid w:val="00A57A16"/>
    <w:rsid w:val="00A60093"/>
    <w:rsid w:val="00A60243"/>
    <w:rsid w:val="00A604B4"/>
    <w:rsid w:val="00A618DF"/>
    <w:rsid w:val="00A6269C"/>
    <w:rsid w:val="00A6287A"/>
    <w:rsid w:val="00A62FDE"/>
    <w:rsid w:val="00A63597"/>
    <w:rsid w:val="00A63958"/>
    <w:rsid w:val="00A644C1"/>
    <w:rsid w:val="00A64C8D"/>
    <w:rsid w:val="00A64DA8"/>
    <w:rsid w:val="00A64EE8"/>
    <w:rsid w:val="00A64F5F"/>
    <w:rsid w:val="00A650D1"/>
    <w:rsid w:val="00A669C6"/>
    <w:rsid w:val="00A66A3B"/>
    <w:rsid w:val="00A66AC0"/>
    <w:rsid w:val="00A66BE5"/>
    <w:rsid w:val="00A709DB"/>
    <w:rsid w:val="00A70FA6"/>
    <w:rsid w:val="00A71D99"/>
    <w:rsid w:val="00A731AE"/>
    <w:rsid w:val="00A74564"/>
    <w:rsid w:val="00A7605D"/>
    <w:rsid w:val="00A774CD"/>
    <w:rsid w:val="00A774E2"/>
    <w:rsid w:val="00A77577"/>
    <w:rsid w:val="00A8037C"/>
    <w:rsid w:val="00A80C1E"/>
    <w:rsid w:val="00A81D28"/>
    <w:rsid w:val="00A82898"/>
    <w:rsid w:val="00A8313B"/>
    <w:rsid w:val="00A8335C"/>
    <w:rsid w:val="00A83588"/>
    <w:rsid w:val="00A83B3E"/>
    <w:rsid w:val="00A84A45"/>
    <w:rsid w:val="00A84A53"/>
    <w:rsid w:val="00A84B01"/>
    <w:rsid w:val="00A85422"/>
    <w:rsid w:val="00A871CA"/>
    <w:rsid w:val="00A87FF5"/>
    <w:rsid w:val="00A911B1"/>
    <w:rsid w:val="00A91C87"/>
    <w:rsid w:val="00A91F89"/>
    <w:rsid w:val="00A92714"/>
    <w:rsid w:val="00A92784"/>
    <w:rsid w:val="00A92DCA"/>
    <w:rsid w:val="00A9332F"/>
    <w:rsid w:val="00A93A8A"/>
    <w:rsid w:val="00A947C6"/>
    <w:rsid w:val="00A95F1A"/>
    <w:rsid w:val="00A96051"/>
    <w:rsid w:val="00A962F4"/>
    <w:rsid w:val="00A978E7"/>
    <w:rsid w:val="00A97B11"/>
    <w:rsid w:val="00A97CDE"/>
    <w:rsid w:val="00A97EAA"/>
    <w:rsid w:val="00AA00C2"/>
    <w:rsid w:val="00AA0705"/>
    <w:rsid w:val="00AA21A0"/>
    <w:rsid w:val="00AA23D3"/>
    <w:rsid w:val="00AA33AF"/>
    <w:rsid w:val="00AA43EE"/>
    <w:rsid w:val="00AA4746"/>
    <w:rsid w:val="00AA4F62"/>
    <w:rsid w:val="00AA5790"/>
    <w:rsid w:val="00AA57B5"/>
    <w:rsid w:val="00AA5C88"/>
    <w:rsid w:val="00AA6BFC"/>
    <w:rsid w:val="00AA792C"/>
    <w:rsid w:val="00AA7A2C"/>
    <w:rsid w:val="00AA7E8A"/>
    <w:rsid w:val="00AA7EAA"/>
    <w:rsid w:val="00AA7F3E"/>
    <w:rsid w:val="00AB0745"/>
    <w:rsid w:val="00AB097B"/>
    <w:rsid w:val="00AB2F3B"/>
    <w:rsid w:val="00AB30C2"/>
    <w:rsid w:val="00AB3118"/>
    <w:rsid w:val="00AB352F"/>
    <w:rsid w:val="00AB3712"/>
    <w:rsid w:val="00AB42C5"/>
    <w:rsid w:val="00AB4486"/>
    <w:rsid w:val="00AB4B88"/>
    <w:rsid w:val="00AB4F85"/>
    <w:rsid w:val="00AB55B8"/>
    <w:rsid w:val="00AB5A7B"/>
    <w:rsid w:val="00AB6166"/>
    <w:rsid w:val="00AB704A"/>
    <w:rsid w:val="00AB7134"/>
    <w:rsid w:val="00AC043D"/>
    <w:rsid w:val="00AC0531"/>
    <w:rsid w:val="00AC2C74"/>
    <w:rsid w:val="00AC313B"/>
    <w:rsid w:val="00AC388E"/>
    <w:rsid w:val="00AC4106"/>
    <w:rsid w:val="00AC4678"/>
    <w:rsid w:val="00AC468F"/>
    <w:rsid w:val="00AC4C5A"/>
    <w:rsid w:val="00AC4E50"/>
    <w:rsid w:val="00AC4F7C"/>
    <w:rsid w:val="00AC520A"/>
    <w:rsid w:val="00AC529E"/>
    <w:rsid w:val="00AC619C"/>
    <w:rsid w:val="00AC6AE6"/>
    <w:rsid w:val="00AC7F4D"/>
    <w:rsid w:val="00AD1164"/>
    <w:rsid w:val="00AD1228"/>
    <w:rsid w:val="00AD1257"/>
    <w:rsid w:val="00AD1759"/>
    <w:rsid w:val="00AD1E27"/>
    <w:rsid w:val="00AD247D"/>
    <w:rsid w:val="00AD29F5"/>
    <w:rsid w:val="00AD2BC6"/>
    <w:rsid w:val="00AD34D9"/>
    <w:rsid w:val="00AD37C1"/>
    <w:rsid w:val="00AD38AF"/>
    <w:rsid w:val="00AD38E9"/>
    <w:rsid w:val="00AD4219"/>
    <w:rsid w:val="00AD4435"/>
    <w:rsid w:val="00AD452E"/>
    <w:rsid w:val="00AD4A7C"/>
    <w:rsid w:val="00AD4CD7"/>
    <w:rsid w:val="00AD4E05"/>
    <w:rsid w:val="00AD52DE"/>
    <w:rsid w:val="00AD5EB5"/>
    <w:rsid w:val="00AD7A33"/>
    <w:rsid w:val="00AE0DEC"/>
    <w:rsid w:val="00AE1302"/>
    <w:rsid w:val="00AE15A9"/>
    <w:rsid w:val="00AE1CC1"/>
    <w:rsid w:val="00AE1D0E"/>
    <w:rsid w:val="00AE1F0C"/>
    <w:rsid w:val="00AE38BC"/>
    <w:rsid w:val="00AE4395"/>
    <w:rsid w:val="00AE4C43"/>
    <w:rsid w:val="00AE6271"/>
    <w:rsid w:val="00AE66EC"/>
    <w:rsid w:val="00AE6AE5"/>
    <w:rsid w:val="00AE6F91"/>
    <w:rsid w:val="00AF0440"/>
    <w:rsid w:val="00AF13A2"/>
    <w:rsid w:val="00AF1E4D"/>
    <w:rsid w:val="00AF22CE"/>
    <w:rsid w:val="00AF24AF"/>
    <w:rsid w:val="00AF2782"/>
    <w:rsid w:val="00AF2FDA"/>
    <w:rsid w:val="00AF3344"/>
    <w:rsid w:val="00AF34A5"/>
    <w:rsid w:val="00AF4EA8"/>
    <w:rsid w:val="00AF5571"/>
    <w:rsid w:val="00AF79FA"/>
    <w:rsid w:val="00B016BF"/>
    <w:rsid w:val="00B016EF"/>
    <w:rsid w:val="00B01D8D"/>
    <w:rsid w:val="00B033E8"/>
    <w:rsid w:val="00B03D29"/>
    <w:rsid w:val="00B057C9"/>
    <w:rsid w:val="00B05B7B"/>
    <w:rsid w:val="00B05FCA"/>
    <w:rsid w:val="00B0667E"/>
    <w:rsid w:val="00B06BF4"/>
    <w:rsid w:val="00B10148"/>
    <w:rsid w:val="00B1183D"/>
    <w:rsid w:val="00B11BF6"/>
    <w:rsid w:val="00B124E6"/>
    <w:rsid w:val="00B1479A"/>
    <w:rsid w:val="00B14837"/>
    <w:rsid w:val="00B1519B"/>
    <w:rsid w:val="00B160A4"/>
    <w:rsid w:val="00B167E9"/>
    <w:rsid w:val="00B16FF4"/>
    <w:rsid w:val="00B1724A"/>
    <w:rsid w:val="00B17E2C"/>
    <w:rsid w:val="00B2003D"/>
    <w:rsid w:val="00B206C1"/>
    <w:rsid w:val="00B207F5"/>
    <w:rsid w:val="00B20B83"/>
    <w:rsid w:val="00B21064"/>
    <w:rsid w:val="00B211D5"/>
    <w:rsid w:val="00B21BC5"/>
    <w:rsid w:val="00B22C40"/>
    <w:rsid w:val="00B234BB"/>
    <w:rsid w:val="00B23A86"/>
    <w:rsid w:val="00B24843"/>
    <w:rsid w:val="00B24EFA"/>
    <w:rsid w:val="00B27127"/>
    <w:rsid w:val="00B2728E"/>
    <w:rsid w:val="00B27322"/>
    <w:rsid w:val="00B2742E"/>
    <w:rsid w:val="00B301E8"/>
    <w:rsid w:val="00B30278"/>
    <w:rsid w:val="00B314DB"/>
    <w:rsid w:val="00B316A7"/>
    <w:rsid w:val="00B31B14"/>
    <w:rsid w:val="00B31EBE"/>
    <w:rsid w:val="00B33F75"/>
    <w:rsid w:val="00B3469B"/>
    <w:rsid w:val="00B34760"/>
    <w:rsid w:val="00B34B9E"/>
    <w:rsid w:val="00B34D82"/>
    <w:rsid w:val="00B36E37"/>
    <w:rsid w:val="00B36E63"/>
    <w:rsid w:val="00B3718B"/>
    <w:rsid w:val="00B37C3B"/>
    <w:rsid w:val="00B404E9"/>
    <w:rsid w:val="00B41AAC"/>
    <w:rsid w:val="00B424CD"/>
    <w:rsid w:val="00B4294C"/>
    <w:rsid w:val="00B42AA4"/>
    <w:rsid w:val="00B42ABC"/>
    <w:rsid w:val="00B42FB2"/>
    <w:rsid w:val="00B432D6"/>
    <w:rsid w:val="00B448F2"/>
    <w:rsid w:val="00B44F4C"/>
    <w:rsid w:val="00B45BE7"/>
    <w:rsid w:val="00B45ECD"/>
    <w:rsid w:val="00B46033"/>
    <w:rsid w:val="00B46313"/>
    <w:rsid w:val="00B4632A"/>
    <w:rsid w:val="00B478B1"/>
    <w:rsid w:val="00B478C4"/>
    <w:rsid w:val="00B506F8"/>
    <w:rsid w:val="00B50B12"/>
    <w:rsid w:val="00B50F68"/>
    <w:rsid w:val="00B5149E"/>
    <w:rsid w:val="00B515A8"/>
    <w:rsid w:val="00B529FB"/>
    <w:rsid w:val="00B5358C"/>
    <w:rsid w:val="00B540E8"/>
    <w:rsid w:val="00B553D0"/>
    <w:rsid w:val="00B55E95"/>
    <w:rsid w:val="00B574EE"/>
    <w:rsid w:val="00B575D6"/>
    <w:rsid w:val="00B60779"/>
    <w:rsid w:val="00B60E25"/>
    <w:rsid w:val="00B61D46"/>
    <w:rsid w:val="00B62894"/>
    <w:rsid w:val="00B62BC0"/>
    <w:rsid w:val="00B63572"/>
    <w:rsid w:val="00B63577"/>
    <w:rsid w:val="00B64D22"/>
    <w:rsid w:val="00B65EE9"/>
    <w:rsid w:val="00B669AE"/>
    <w:rsid w:val="00B673F4"/>
    <w:rsid w:val="00B67539"/>
    <w:rsid w:val="00B70462"/>
    <w:rsid w:val="00B7194C"/>
    <w:rsid w:val="00B72CF6"/>
    <w:rsid w:val="00B72E00"/>
    <w:rsid w:val="00B73454"/>
    <w:rsid w:val="00B73D06"/>
    <w:rsid w:val="00B74DAF"/>
    <w:rsid w:val="00B75D57"/>
    <w:rsid w:val="00B765F1"/>
    <w:rsid w:val="00B76BE8"/>
    <w:rsid w:val="00B77B09"/>
    <w:rsid w:val="00B801CB"/>
    <w:rsid w:val="00B822DD"/>
    <w:rsid w:val="00B8318D"/>
    <w:rsid w:val="00B83A9C"/>
    <w:rsid w:val="00B840AE"/>
    <w:rsid w:val="00B84A25"/>
    <w:rsid w:val="00B84FC7"/>
    <w:rsid w:val="00B852B3"/>
    <w:rsid w:val="00B85791"/>
    <w:rsid w:val="00B85901"/>
    <w:rsid w:val="00B85B6B"/>
    <w:rsid w:val="00B8646F"/>
    <w:rsid w:val="00B86577"/>
    <w:rsid w:val="00B8664E"/>
    <w:rsid w:val="00B868A4"/>
    <w:rsid w:val="00B871DF"/>
    <w:rsid w:val="00B8786D"/>
    <w:rsid w:val="00B90178"/>
    <w:rsid w:val="00B913F9"/>
    <w:rsid w:val="00B920B7"/>
    <w:rsid w:val="00B9263B"/>
    <w:rsid w:val="00B926B1"/>
    <w:rsid w:val="00B92DC9"/>
    <w:rsid w:val="00B933E4"/>
    <w:rsid w:val="00B94124"/>
    <w:rsid w:val="00B945B3"/>
    <w:rsid w:val="00B94724"/>
    <w:rsid w:val="00B96AD9"/>
    <w:rsid w:val="00B97809"/>
    <w:rsid w:val="00BA06DA"/>
    <w:rsid w:val="00BA0972"/>
    <w:rsid w:val="00BA0E3E"/>
    <w:rsid w:val="00BA11D2"/>
    <w:rsid w:val="00BA198F"/>
    <w:rsid w:val="00BA1D41"/>
    <w:rsid w:val="00BA1E70"/>
    <w:rsid w:val="00BA276C"/>
    <w:rsid w:val="00BA2988"/>
    <w:rsid w:val="00BA3099"/>
    <w:rsid w:val="00BA3133"/>
    <w:rsid w:val="00BA31DF"/>
    <w:rsid w:val="00BA482B"/>
    <w:rsid w:val="00BA483C"/>
    <w:rsid w:val="00BA6FFA"/>
    <w:rsid w:val="00BA7984"/>
    <w:rsid w:val="00BB151F"/>
    <w:rsid w:val="00BB2697"/>
    <w:rsid w:val="00BB285D"/>
    <w:rsid w:val="00BB3066"/>
    <w:rsid w:val="00BB306F"/>
    <w:rsid w:val="00BB31F9"/>
    <w:rsid w:val="00BB3466"/>
    <w:rsid w:val="00BB356D"/>
    <w:rsid w:val="00BB36D4"/>
    <w:rsid w:val="00BB413D"/>
    <w:rsid w:val="00BB438F"/>
    <w:rsid w:val="00BB4587"/>
    <w:rsid w:val="00BB521F"/>
    <w:rsid w:val="00BB53AD"/>
    <w:rsid w:val="00BB5A59"/>
    <w:rsid w:val="00BB660E"/>
    <w:rsid w:val="00BB6D96"/>
    <w:rsid w:val="00BB70F7"/>
    <w:rsid w:val="00BB78FE"/>
    <w:rsid w:val="00BB7B0A"/>
    <w:rsid w:val="00BB7C2F"/>
    <w:rsid w:val="00BB7C52"/>
    <w:rsid w:val="00BC00CC"/>
    <w:rsid w:val="00BC04F8"/>
    <w:rsid w:val="00BC0C11"/>
    <w:rsid w:val="00BC2154"/>
    <w:rsid w:val="00BC243A"/>
    <w:rsid w:val="00BC327E"/>
    <w:rsid w:val="00BC35EB"/>
    <w:rsid w:val="00BC397C"/>
    <w:rsid w:val="00BC5C8F"/>
    <w:rsid w:val="00BC5E67"/>
    <w:rsid w:val="00BC6061"/>
    <w:rsid w:val="00BC68ED"/>
    <w:rsid w:val="00BC6FB1"/>
    <w:rsid w:val="00BC73B5"/>
    <w:rsid w:val="00BC7999"/>
    <w:rsid w:val="00BC7EC2"/>
    <w:rsid w:val="00BD078A"/>
    <w:rsid w:val="00BD10AC"/>
    <w:rsid w:val="00BD232B"/>
    <w:rsid w:val="00BD2C5B"/>
    <w:rsid w:val="00BD3469"/>
    <w:rsid w:val="00BD356C"/>
    <w:rsid w:val="00BD393F"/>
    <w:rsid w:val="00BD4B89"/>
    <w:rsid w:val="00BD5307"/>
    <w:rsid w:val="00BD5B66"/>
    <w:rsid w:val="00BD74E4"/>
    <w:rsid w:val="00BD7F14"/>
    <w:rsid w:val="00BE0098"/>
    <w:rsid w:val="00BE014C"/>
    <w:rsid w:val="00BE118B"/>
    <w:rsid w:val="00BE1438"/>
    <w:rsid w:val="00BE14B2"/>
    <w:rsid w:val="00BE1A4B"/>
    <w:rsid w:val="00BE201A"/>
    <w:rsid w:val="00BE288E"/>
    <w:rsid w:val="00BE35D9"/>
    <w:rsid w:val="00BE36D7"/>
    <w:rsid w:val="00BE4872"/>
    <w:rsid w:val="00BE4C89"/>
    <w:rsid w:val="00BE5BDB"/>
    <w:rsid w:val="00BE5CFB"/>
    <w:rsid w:val="00BE60A3"/>
    <w:rsid w:val="00BE6182"/>
    <w:rsid w:val="00BE6200"/>
    <w:rsid w:val="00BE63C1"/>
    <w:rsid w:val="00BE6B74"/>
    <w:rsid w:val="00BE742C"/>
    <w:rsid w:val="00BE7E23"/>
    <w:rsid w:val="00BF0063"/>
    <w:rsid w:val="00BF08CB"/>
    <w:rsid w:val="00BF1CF7"/>
    <w:rsid w:val="00BF1F10"/>
    <w:rsid w:val="00BF2000"/>
    <w:rsid w:val="00BF2523"/>
    <w:rsid w:val="00BF2939"/>
    <w:rsid w:val="00BF334F"/>
    <w:rsid w:val="00BF44E7"/>
    <w:rsid w:val="00BF4865"/>
    <w:rsid w:val="00BF4871"/>
    <w:rsid w:val="00BF4AF7"/>
    <w:rsid w:val="00BF534B"/>
    <w:rsid w:val="00BF5564"/>
    <w:rsid w:val="00BF5D60"/>
    <w:rsid w:val="00BF69B1"/>
    <w:rsid w:val="00BF6E5D"/>
    <w:rsid w:val="00BF79E7"/>
    <w:rsid w:val="00BF7C42"/>
    <w:rsid w:val="00C000AB"/>
    <w:rsid w:val="00C0028D"/>
    <w:rsid w:val="00C00C9E"/>
    <w:rsid w:val="00C010E4"/>
    <w:rsid w:val="00C01451"/>
    <w:rsid w:val="00C01BA5"/>
    <w:rsid w:val="00C02C21"/>
    <w:rsid w:val="00C03059"/>
    <w:rsid w:val="00C0391B"/>
    <w:rsid w:val="00C03A29"/>
    <w:rsid w:val="00C04473"/>
    <w:rsid w:val="00C04ECC"/>
    <w:rsid w:val="00C0537F"/>
    <w:rsid w:val="00C056D8"/>
    <w:rsid w:val="00C065BC"/>
    <w:rsid w:val="00C070BA"/>
    <w:rsid w:val="00C07884"/>
    <w:rsid w:val="00C101BC"/>
    <w:rsid w:val="00C10539"/>
    <w:rsid w:val="00C10957"/>
    <w:rsid w:val="00C10A60"/>
    <w:rsid w:val="00C11023"/>
    <w:rsid w:val="00C11E7C"/>
    <w:rsid w:val="00C144E7"/>
    <w:rsid w:val="00C14557"/>
    <w:rsid w:val="00C14701"/>
    <w:rsid w:val="00C14B52"/>
    <w:rsid w:val="00C14CE0"/>
    <w:rsid w:val="00C1525C"/>
    <w:rsid w:val="00C1586E"/>
    <w:rsid w:val="00C16D95"/>
    <w:rsid w:val="00C20375"/>
    <w:rsid w:val="00C20EC1"/>
    <w:rsid w:val="00C21389"/>
    <w:rsid w:val="00C21395"/>
    <w:rsid w:val="00C2142B"/>
    <w:rsid w:val="00C21569"/>
    <w:rsid w:val="00C21762"/>
    <w:rsid w:val="00C224DF"/>
    <w:rsid w:val="00C22DD6"/>
    <w:rsid w:val="00C23167"/>
    <w:rsid w:val="00C2324A"/>
    <w:rsid w:val="00C23BA8"/>
    <w:rsid w:val="00C24049"/>
    <w:rsid w:val="00C24543"/>
    <w:rsid w:val="00C256A2"/>
    <w:rsid w:val="00C25808"/>
    <w:rsid w:val="00C26A69"/>
    <w:rsid w:val="00C276BB"/>
    <w:rsid w:val="00C27C7C"/>
    <w:rsid w:val="00C3112D"/>
    <w:rsid w:val="00C31770"/>
    <w:rsid w:val="00C3238A"/>
    <w:rsid w:val="00C32A61"/>
    <w:rsid w:val="00C3306B"/>
    <w:rsid w:val="00C338B0"/>
    <w:rsid w:val="00C33A9B"/>
    <w:rsid w:val="00C33D69"/>
    <w:rsid w:val="00C33DF0"/>
    <w:rsid w:val="00C33EB0"/>
    <w:rsid w:val="00C340DC"/>
    <w:rsid w:val="00C3492D"/>
    <w:rsid w:val="00C34E6A"/>
    <w:rsid w:val="00C34F68"/>
    <w:rsid w:val="00C355A4"/>
    <w:rsid w:val="00C35AEF"/>
    <w:rsid w:val="00C35CD6"/>
    <w:rsid w:val="00C35E77"/>
    <w:rsid w:val="00C3629F"/>
    <w:rsid w:val="00C36484"/>
    <w:rsid w:val="00C36867"/>
    <w:rsid w:val="00C36CEB"/>
    <w:rsid w:val="00C36E35"/>
    <w:rsid w:val="00C373C5"/>
    <w:rsid w:val="00C378D1"/>
    <w:rsid w:val="00C40496"/>
    <w:rsid w:val="00C4068A"/>
    <w:rsid w:val="00C40941"/>
    <w:rsid w:val="00C41602"/>
    <w:rsid w:val="00C41AB9"/>
    <w:rsid w:val="00C423E4"/>
    <w:rsid w:val="00C42EFE"/>
    <w:rsid w:val="00C43FC7"/>
    <w:rsid w:val="00C443E8"/>
    <w:rsid w:val="00C44886"/>
    <w:rsid w:val="00C44ECB"/>
    <w:rsid w:val="00C44FA2"/>
    <w:rsid w:val="00C45555"/>
    <w:rsid w:val="00C456E7"/>
    <w:rsid w:val="00C45976"/>
    <w:rsid w:val="00C45A93"/>
    <w:rsid w:val="00C4696E"/>
    <w:rsid w:val="00C46A80"/>
    <w:rsid w:val="00C4716E"/>
    <w:rsid w:val="00C47791"/>
    <w:rsid w:val="00C4793D"/>
    <w:rsid w:val="00C47E39"/>
    <w:rsid w:val="00C506EB"/>
    <w:rsid w:val="00C50A5C"/>
    <w:rsid w:val="00C50C1E"/>
    <w:rsid w:val="00C53C11"/>
    <w:rsid w:val="00C53F60"/>
    <w:rsid w:val="00C546AB"/>
    <w:rsid w:val="00C5474E"/>
    <w:rsid w:val="00C548FA"/>
    <w:rsid w:val="00C549A0"/>
    <w:rsid w:val="00C55378"/>
    <w:rsid w:val="00C55560"/>
    <w:rsid w:val="00C56966"/>
    <w:rsid w:val="00C573C7"/>
    <w:rsid w:val="00C57D3C"/>
    <w:rsid w:val="00C60506"/>
    <w:rsid w:val="00C60644"/>
    <w:rsid w:val="00C61997"/>
    <w:rsid w:val="00C62148"/>
    <w:rsid w:val="00C62393"/>
    <w:rsid w:val="00C6266E"/>
    <w:rsid w:val="00C62BF4"/>
    <w:rsid w:val="00C630AC"/>
    <w:rsid w:val="00C6611B"/>
    <w:rsid w:val="00C66957"/>
    <w:rsid w:val="00C669C1"/>
    <w:rsid w:val="00C66B72"/>
    <w:rsid w:val="00C674CD"/>
    <w:rsid w:val="00C67F18"/>
    <w:rsid w:val="00C70807"/>
    <w:rsid w:val="00C714BB"/>
    <w:rsid w:val="00C71A23"/>
    <w:rsid w:val="00C71C18"/>
    <w:rsid w:val="00C7262E"/>
    <w:rsid w:val="00C7275B"/>
    <w:rsid w:val="00C7281A"/>
    <w:rsid w:val="00C73487"/>
    <w:rsid w:val="00C74AAA"/>
    <w:rsid w:val="00C74C37"/>
    <w:rsid w:val="00C7526E"/>
    <w:rsid w:val="00C75A4F"/>
    <w:rsid w:val="00C75E68"/>
    <w:rsid w:val="00C76135"/>
    <w:rsid w:val="00C768EA"/>
    <w:rsid w:val="00C76EBB"/>
    <w:rsid w:val="00C77013"/>
    <w:rsid w:val="00C771A2"/>
    <w:rsid w:val="00C77F47"/>
    <w:rsid w:val="00C80BAC"/>
    <w:rsid w:val="00C81339"/>
    <w:rsid w:val="00C81FBE"/>
    <w:rsid w:val="00C82B0B"/>
    <w:rsid w:val="00C837F2"/>
    <w:rsid w:val="00C83F11"/>
    <w:rsid w:val="00C849EC"/>
    <w:rsid w:val="00C84B0E"/>
    <w:rsid w:val="00C84E16"/>
    <w:rsid w:val="00C850FD"/>
    <w:rsid w:val="00C85897"/>
    <w:rsid w:val="00C85CF6"/>
    <w:rsid w:val="00C85D15"/>
    <w:rsid w:val="00C85DDE"/>
    <w:rsid w:val="00C866C0"/>
    <w:rsid w:val="00C86C06"/>
    <w:rsid w:val="00C8737F"/>
    <w:rsid w:val="00C90139"/>
    <w:rsid w:val="00C9055F"/>
    <w:rsid w:val="00C9082B"/>
    <w:rsid w:val="00C91265"/>
    <w:rsid w:val="00C921D8"/>
    <w:rsid w:val="00C921FC"/>
    <w:rsid w:val="00C92CF7"/>
    <w:rsid w:val="00C92DBB"/>
    <w:rsid w:val="00C9369A"/>
    <w:rsid w:val="00C936C3"/>
    <w:rsid w:val="00C93F3A"/>
    <w:rsid w:val="00C949E2"/>
    <w:rsid w:val="00C94BF5"/>
    <w:rsid w:val="00C9567A"/>
    <w:rsid w:val="00C957E5"/>
    <w:rsid w:val="00C95BF6"/>
    <w:rsid w:val="00C96035"/>
    <w:rsid w:val="00C9670F"/>
    <w:rsid w:val="00C96AF3"/>
    <w:rsid w:val="00C96BFF"/>
    <w:rsid w:val="00C97EC0"/>
    <w:rsid w:val="00CA0E2F"/>
    <w:rsid w:val="00CA249C"/>
    <w:rsid w:val="00CA28C5"/>
    <w:rsid w:val="00CA3B29"/>
    <w:rsid w:val="00CA43BB"/>
    <w:rsid w:val="00CA44E8"/>
    <w:rsid w:val="00CA53D1"/>
    <w:rsid w:val="00CA61E3"/>
    <w:rsid w:val="00CA65F1"/>
    <w:rsid w:val="00CA69DB"/>
    <w:rsid w:val="00CA6E49"/>
    <w:rsid w:val="00CB088F"/>
    <w:rsid w:val="00CB13BC"/>
    <w:rsid w:val="00CB17C1"/>
    <w:rsid w:val="00CB2422"/>
    <w:rsid w:val="00CB25AE"/>
    <w:rsid w:val="00CB2660"/>
    <w:rsid w:val="00CB2A1A"/>
    <w:rsid w:val="00CB2EDE"/>
    <w:rsid w:val="00CB33D2"/>
    <w:rsid w:val="00CB3738"/>
    <w:rsid w:val="00CB3827"/>
    <w:rsid w:val="00CB3A1A"/>
    <w:rsid w:val="00CB3D3A"/>
    <w:rsid w:val="00CB440E"/>
    <w:rsid w:val="00CB6764"/>
    <w:rsid w:val="00CB70A9"/>
    <w:rsid w:val="00CB712B"/>
    <w:rsid w:val="00CB71AD"/>
    <w:rsid w:val="00CB779D"/>
    <w:rsid w:val="00CB7A42"/>
    <w:rsid w:val="00CC0D91"/>
    <w:rsid w:val="00CC30E5"/>
    <w:rsid w:val="00CC4420"/>
    <w:rsid w:val="00CC4F66"/>
    <w:rsid w:val="00CC5482"/>
    <w:rsid w:val="00CC5E13"/>
    <w:rsid w:val="00CC5E90"/>
    <w:rsid w:val="00CC6622"/>
    <w:rsid w:val="00CC6B6C"/>
    <w:rsid w:val="00CD046C"/>
    <w:rsid w:val="00CD04AE"/>
    <w:rsid w:val="00CD2DB6"/>
    <w:rsid w:val="00CD2EE9"/>
    <w:rsid w:val="00CD3087"/>
    <w:rsid w:val="00CD36BA"/>
    <w:rsid w:val="00CD4A63"/>
    <w:rsid w:val="00CD4D5A"/>
    <w:rsid w:val="00CD4E0F"/>
    <w:rsid w:val="00CD52EE"/>
    <w:rsid w:val="00CD676B"/>
    <w:rsid w:val="00CD6813"/>
    <w:rsid w:val="00CD6BCF"/>
    <w:rsid w:val="00CD6DF1"/>
    <w:rsid w:val="00CD6DF5"/>
    <w:rsid w:val="00CD76B5"/>
    <w:rsid w:val="00CD7BB2"/>
    <w:rsid w:val="00CE0AA6"/>
    <w:rsid w:val="00CE1390"/>
    <w:rsid w:val="00CE1615"/>
    <w:rsid w:val="00CE1CA4"/>
    <w:rsid w:val="00CE1DE7"/>
    <w:rsid w:val="00CE2613"/>
    <w:rsid w:val="00CE37ED"/>
    <w:rsid w:val="00CE4599"/>
    <w:rsid w:val="00CE4868"/>
    <w:rsid w:val="00CE4999"/>
    <w:rsid w:val="00CE5199"/>
    <w:rsid w:val="00CE6543"/>
    <w:rsid w:val="00CE66D5"/>
    <w:rsid w:val="00CE6E2C"/>
    <w:rsid w:val="00CE7A6C"/>
    <w:rsid w:val="00CF0E6C"/>
    <w:rsid w:val="00CF100C"/>
    <w:rsid w:val="00CF1FF5"/>
    <w:rsid w:val="00CF24B3"/>
    <w:rsid w:val="00CF2824"/>
    <w:rsid w:val="00CF3EBB"/>
    <w:rsid w:val="00CF4138"/>
    <w:rsid w:val="00CF439C"/>
    <w:rsid w:val="00CF449A"/>
    <w:rsid w:val="00CF5539"/>
    <w:rsid w:val="00CF6754"/>
    <w:rsid w:val="00CF768E"/>
    <w:rsid w:val="00CF7CF2"/>
    <w:rsid w:val="00D002FC"/>
    <w:rsid w:val="00D00687"/>
    <w:rsid w:val="00D00B7A"/>
    <w:rsid w:val="00D0180B"/>
    <w:rsid w:val="00D02C75"/>
    <w:rsid w:val="00D02E9F"/>
    <w:rsid w:val="00D03633"/>
    <w:rsid w:val="00D03C39"/>
    <w:rsid w:val="00D04137"/>
    <w:rsid w:val="00D04674"/>
    <w:rsid w:val="00D0494A"/>
    <w:rsid w:val="00D04D94"/>
    <w:rsid w:val="00D04E9F"/>
    <w:rsid w:val="00D05066"/>
    <w:rsid w:val="00D07439"/>
    <w:rsid w:val="00D0799B"/>
    <w:rsid w:val="00D07A1B"/>
    <w:rsid w:val="00D07CEC"/>
    <w:rsid w:val="00D11349"/>
    <w:rsid w:val="00D1169D"/>
    <w:rsid w:val="00D11888"/>
    <w:rsid w:val="00D1241E"/>
    <w:rsid w:val="00D12D6C"/>
    <w:rsid w:val="00D1454E"/>
    <w:rsid w:val="00D14582"/>
    <w:rsid w:val="00D14B21"/>
    <w:rsid w:val="00D15ABB"/>
    <w:rsid w:val="00D15E54"/>
    <w:rsid w:val="00D15E67"/>
    <w:rsid w:val="00D16299"/>
    <w:rsid w:val="00D1631E"/>
    <w:rsid w:val="00D16C41"/>
    <w:rsid w:val="00D205A3"/>
    <w:rsid w:val="00D20D54"/>
    <w:rsid w:val="00D20E38"/>
    <w:rsid w:val="00D211D9"/>
    <w:rsid w:val="00D2131F"/>
    <w:rsid w:val="00D21D95"/>
    <w:rsid w:val="00D21DA2"/>
    <w:rsid w:val="00D21EFA"/>
    <w:rsid w:val="00D2250C"/>
    <w:rsid w:val="00D22D25"/>
    <w:rsid w:val="00D22F94"/>
    <w:rsid w:val="00D2345D"/>
    <w:rsid w:val="00D23785"/>
    <w:rsid w:val="00D24291"/>
    <w:rsid w:val="00D2456B"/>
    <w:rsid w:val="00D2508D"/>
    <w:rsid w:val="00D25889"/>
    <w:rsid w:val="00D25C75"/>
    <w:rsid w:val="00D27FBF"/>
    <w:rsid w:val="00D300A3"/>
    <w:rsid w:val="00D30D2B"/>
    <w:rsid w:val="00D31A13"/>
    <w:rsid w:val="00D32D94"/>
    <w:rsid w:val="00D340AA"/>
    <w:rsid w:val="00D34155"/>
    <w:rsid w:val="00D3439B"/>
    <w:rsid w:val="00D3442A"/>
    <w:rsid w:val="00D34786"/>
    <w:rsid w:val="00D34D01"/>
    <w:rsid w:val="00D35609"/>
    <w:rsid w:val="00D36696"/>
    <w:rsid w:val="00D36A2C"/>
    <w:rsid w:val="00D37539"/>
    <w:rsid w:val="00D4040F"/>
    <w:rsid w:val="00D40A1E"/>
    <w:rsid w:val="00D41308"/>
    <w:rsid w:val="00D41DE7"/>
    <w:rsid w:val="00D42693"/>
    <w:rsid w:val="00D42BAB"/>
    <w:rsid w:val="00D43C78"/>
    <w:rsid w:val="00D44A80"/>
    <w:rsid w:val="00D44B04"/>
    <w:rsid w:val="00D44BDF"/>
    <w:rsid w:val="00D45150"/>
    <w:rsid w:val="00D45500"/>
    <w:rsid w:val="00D45CBC"/>
    <w:rsid w:val="00D45EC3"/>
    <w:rsid w:val="00D46CDC"/>
    <w:rsid w:val="00D47238"/>
    <w:rsid w:val="00D47631"/>
    <w:rsid w:val="00D47E97"/>
    <w:rsid w:val="00D500F3"/>
    <w:rsid w:val="00D5025B"/>
    <w:rsid w:val="00D50AFF"/>
    <w:rsid w:val="00D5127A"/>
    <w:rsid w:val="00D512DC"/>
    <w:rsid w:val="00D5170F"/>
    <w:rsid w:val="00D52B5B"/>
    <w:rsid w:val="00D52F11"/>
    <w:rsid w:val="00D532B4"/>
    <w:rsid w:val="00D537DA"/>
    <w:rsid w:val="00D53F3D"/>
    <w:rsid w:val="00D54FD9"/>
    <w:rsid w:val="00D558C4"/>
    <w:rsid w:val="00D55C50"/>
    <w:rsid w:val="00D55D01"/>
    <w:rsid w:val="00D568A0"/>
    <w:rsid w:val="00D57019"/>
    <w:rsid w:val="00D57833"/>
    <w:rsid w:val="00D57CE3"/>
    <w:rsid w:val="00D6092C"/>
    <w:rsid w:val="00D61163"/>
    <w:rsid w:val="00D6144B"/>
    <w:rsid w:val="00D62BD0"/>
    <w:rsid w:val="00D62FFA"/>
    <w:rsid w:val="00D63033"/>
    <w:rsid w:val="00D63233"/>
    <w:rsid w:val="00D63B67"/>
    <w:rsid w:val="00D63E6A"/>
    <w:rsid w:val="00D64447"/>
    <w:rsid w:val="00D65E4F"/>
    <w:rsid w:val="00D6603B"/>
    <w:rsid w:val="00D677D5"/>
    <w:rsid w:val="00D70D16"/>
    <w:rsid w:val="00D7109B"/>
    <w:rsid w:val="00D712D3"/>
    <w:rsid w:val="00D71422"/>
    <w:rsid w:val="00D7145E"/>
    <w:rsid w:val="00D71A30"/>
    <w:rsid w:val="00D72985"/>
    <w:rsid w:val="00D7314E"/>
    <w:rsid w:val="00D73376"/>
    <w:rsid w:val="00D73B80"/>
    <w:rsid w:val="00D73E27"/>
    <w:rsid w:val="00D74A1F"/>
    <w:rsid w:val="00D74B5B"/>
    <w:rsid w:val="00D74C5C"/>
    <w:rsid w:val="00D74C93"/>
    <w:rsid w:val="00D74F68"/>
    <w:rsid w:val="00D7558D"/>
    <w:rsid w:val="00D76163"/>
    <w:rsid w:val="00D76232"/>
    <w:rsid w:val="00D7649A"/>
    <w:rsid w:val="00D77DB9"/>
    <w:rsid w:val="00D80100"/>
    <w:rsid w:val="00D80137"/>
    <w:rsid w:val="00D8024F"/>
    <w:rsid w:val="00D80422"/>
    <w:rsid w:val="00D80440"/>
    <w:rsid w:val="00D811FF"/>
    <w:rsid w:val="00D81BE0"/>
    <w:rsid w:val="00D81D92"/>
    <w:rsid w:val="00D8238D"/>
    <w:rsid w:val="00D826A0"/>
    <w:rsid w:val="00D82EA8"/>
    <w:rsid w:val="00D838BE"/>
    <w:rsid w:val="00D83DD3"/>
    <w:rsid w:val="00D83FFE"/>
    <w:rsid w:val="00D8444B"/>
    <w:rsid w:val="00D84B06"/>
    <w:rsid w:val="00D8584B"/>
    <w:rsid w:val="00D86569"/>
    <w:rsid w:val="00D87416"/>
    <w:rsid w:val="00D8763F"/>
    <w:rsid w:val="00D9040B"/>
    <w:rsid w:val="00D9087A"/>
    <w:rsid w:val="00D915AB"/>
    <w:rsid w:val="00D91B1E"/>
    <w:rsid w:val="00D92441"/>
    <w:rsid w:val="00D93000"/>
    <w:rsid w:val="00D93446"/>
    <w:rsid w:val="00D9382D"/>
    <w:rsid w:val="00D93FDF"/>
    <w:rsid w:val="00D946AA"/>
    <w:rsid w:val="00D94D1C"/>
    <w:rsid w:val="00D9539C"/>
    <w:rsid w:val="00D95402"/>
    <w:rsid w:val="00D95A8E"/>
    <w:rsid w:val="00D96245"/>
    <w:rsid w:val="00D978E5"/>
    <w:rsid w:val="00DA0909"/>
    <w:rsid w:val="00DA1520"/>
    <w:rsid w:val="00DA1DBD"/>
    <w:rsid w:val="00DA2A7C"/>
    <w:rsid w:val="00DA3005"/>
    <w:rsid w:val="00DA300A"/>
    <w:rsid w:val="00DA3215"/>
    <w:rsid w:val="00DA341C"/>
    <w:rsid w:val="00DA3EF3"/>
    <w:rsid w:val="00DA41B6"/>
    <w:rsid w:val="00DA446A"/>
    <w:rsid w:val="00DA4E4E"/>
    <w:rsid w:val="00DA5393"/>
    <w:rsid w:val="00DA552A"/>
    <w:rsid w:val="00DA559E"/>
    <w:rsid w:val="00DA55E5"/>
    <w:rsid w:val="00DA5ECF"/>
    <w:rsid w:val="00DA64BA"/>
    <w:rsid w:val="00DA6AB3"/>
    <w:rsid w:val="00DA7151"/>
    <w:rsid w:val="00DA77AA"/>
    <w:rsid w:val="00DA7982"/>
    <w:rsid w:val="00DA79D0"/>
    <w:rsid w:val="00DA7B5F"/>
    <w:rsid w:val="00DB0D0D"/>
    <w:rsid w:val="00DB0F13"/>
    <w:rsid w:val="00DB1260"/>
    <w:rsid w:val="00DB187F"/>
    <w:rsid w:val="00DB18A8"/>
    <w:rsid w:val="00DB3050"/>
    <w:rsid w:val="00DB30EC"/>
    <w:rsid w:val="00DB3374"/>
    <w:rsid w:val="00DB33B8"/>
    <w:rsid w:val="00DB3ED5"/>
    <w:rsid w:val="00DB4828"/>
    <w:rsid w:val="00DB4A1E"/>
    <w:rsid w:val="00DB4D80"/>
    <w:rsid w:val="00DB5C3C"/>
    <w:rsid w:val="00DB710E"/>
    <w:rsid w:val="00DC008A"/>
    <w:rsid w:val="00DC07A4"/>
    <w:rsid w:val="00DC174D"/>
    <w:rsid w:val="00DC17BA"/>
    <w:rsid w:val="00DC28C0"/>
    <w:rsid w:val="00DC2FF2"/>
    <w:rsid w:val="00DC3121"/>
    <w:rsid w:val="00DC3448"/>
    <w:rsid w:val="00DC4839"/>
    <w:rsid w:val="00DC5165"/>
    <w:rsid w:val="00DC6453"/>
    <w:rsid w:val="00DC6A36"/>
    <w:rsid w:val="00DC6D2C"/>
    <w:rsid w:val="00DC7597"/>
    <w:rsid w:val="00DC7693"/>
    <w:rsid w:val="00DD045E"/>
    <w:rsid w:val="00DD1E65"/>
    <w:rsid w:val="00DD2615"/>
    <w:rsid w:val="00DD2635"/>
    <w:rsid w:val="00DD2BE4"/>
    <w:rsid w:val="00DD2C54"/>
    <w:rsid w:val="00DD3F48"/>
    <w:rsid w:val="00DD6DEF"/>
    <w:rsid w:val="00DD6F04"/>
    <w:rsid w:val="00DD759E"/>
    <w:rsid w:val="00DD7C5E"/>
    <w:rsid w:val="00DE00CB"/>
    <w:rsid w:val="00DE0266"/>
    <w:rsid w:val="00DE249C"/>
    <w:rsid w:val="00DE26A2"/>
    <w:rsid w:val="00DE3D7A"/>
    <w:rsid w:val="00DE3DE0"/>
    <w:rsid w:val="00DE57C5"/>
    <w:rsid w:val="00DE57CD"/>
    <w:rsid w:val="00DE5D25"/>
    <w:rsid w:val="00DE62F2"/>
    <w:rsid w:val="00DE657E"/>
    <w:rsid w:val="00DE67FF"/>
    <w:rsid w:val="00DE735D"/>
    <w:rsid w:val="00DE7417"/>
    <w:rsid w:val="00DE783D"/>
    <w:rsid w:val="00DE7D2E"/>
    <w:rsid w:val="00DF1521"/>
    <w:rsid w:val="00DF1CDD"/>
    <w:rsid w:val="00DF1DF9"/>
    <w:rsid w:val="00DF30F9"/>
    <w:rsid w:val="00DF4BDE"/>
    <w:rsid w:val="00DF5077"/>
    <w:rsid w:val="00DF5811"/>
    <w:rsid w:val="00DF76CC"/>
    <w:rsid w:val="00DF7793"/>
    <w:rsid w:val="00E00EFF"/>
    <w:rsid w:val="00E01B40"/>
    <w:rsid w:val="00E02360"/>
    <w:rsid w:val="00E023DF"/>
    <w:rsid w:val="00E03CB6"/>
    <w:rsid w:val="00E03E69"/>
    <w:rsid w:val="00E03E9C"/>
    <w:rsid w:val="00E04056"/>
    <w:rsid w:val="00E04093"/>
    <w:rsid w:val="00E052B0"/>
    <w:rsid w:val="00E067A6"/>
    <w:rsid w:val="00E06DDE"/>
    <w:rsid w:val="00E0702F"/>
    <w:rsid w:val="00E07064"/>
    <w:rsid w:val="00E0734B"/>
    <w:rsid w:val="00E0740A"/>
    <w:rsid w:val="00E104BE"/>
    <w:rsid w:val="00E10805"/>
    <w:rsid w:val="00E11392"/>
    <w:rsid w:val="00E11D68"/>
    <w:rsid w:val="00E1339C"/>
    <w:rsid w:val="00E13C01"/>
    <w:rsid w:val="00E14449"/>
    <w:rsid w:val="00E1451D"/>
    <w:rsid w:val="00E14D4B"/>
    <w:rsid w:val="00E1542D"/>
    <w:rsid w:val="00E15A53"/>
    <w:rsid w:val="00E15FBA"/>
    <w:rsid w:val="00E16F9D"/>
    <w:rsid w:val="00E17240"/>
    <w:rsid w:val="00E17683"/>
    <w:rsid w:val="00E200F9"/>
    <w:rsid w:val="00E2058C"/>
    <w:rsid w:val="00E2121C"/>
    <w:rsid w:val="00E21A39"/>
    <w:rsid w:val="00E22278"/>
    <w:rsid w:val="00E2284A"/>
    <w:rsid w:val="00E230FD"/>
    <w:rsid w:val="00E2398E"/>
    <w:rsid w:val="00E23A98"/>
    <w:rsid w:val="00E23BE8"/>
    <w:rsid w:val="00E24584"/>
    <w:rsid w:val="00E24881"/>
    <w:rsid w:val="00E24EEF"/>
    <w:rsid w:val="00E25A41"/>
    <w:rsid w:val="00E2673A"/>
    <w:rsid w:val="00E26788"/>
    <w:rsid w:val="00E26EDD"/>
    <w:rsid w:val="00E26F97"/>
    <w:rsid w:val="00E26FCD"/>
    <w:rsid w:val="00E27AA4"/>
    <w:rsid w:val="00E27EDD"/>
    <w:rsid w:val="00E30281"/>
    <w:rsid w:val="00E32703"/>
    <w:rsid w:val="00E3317B"/>
    <w:rsid w:val="00E337D9"/>
    <w:rsid w:val="00E33C3E"/>
    <w:rsid w:val="00E33E48"/>
    <w:rsid w:val="00E33E64"/>
    <w:rsid w:val="00E3489A"/>
    <w:rsid w:val="00E35A8B"/>
    <w:rsid w:val="00E361A7"/>
    <w:rsid w:val="00E3622A"/>
    <w:rsid w:val="00E364C4"/>
    <w:rsid w:val="00E3757F"/>
    <w:rsid w:val="00E37980"/>
    <w:rsid w:val="00E42C74"/>
    <w:rsid w:val="00E43157"/>
    <w:rsid w:val="00E43212"/>
    <w:rsid w:val="00E4390D"/>
    <w:rsid w:val="00E43B40"/>
    <w:rsid w:val="00E43C54"/>
    <w:rsid w:val="00E43C96"/>
    <w:rsid w:val="00E43CDD"/>
    <w:rsid w:val="00E43FF8"/>
    <w:rsid w:val="00E45D29"/>
    <w:rsid w:val="00E461F9"/>
    <w:rsid w:val="00E46307"/>
    <w:rsid w:val="00E4781D"/>
    <w:rsid w:val="00E50136"/>
    <w:rsid w:val="00E5217B"/>
    <w:rsid w:val="00E533FF"/>
    <w:rsid w:val="00E53BD8"/>
    <w:rsid w:val="00E53DC6"/>
    <w:rsid w:val="00E53E5E"/>
    <w:rsid w:val="00E54EF8"/>
    <w:rsid w:val="00E54FD8"/>
    <w:rsid w:val="00E55C5A"/>
    <w:rsid w:val="00E56477"/>
    <w:rsid w:val="00E56522"/>
    <w:rsid w:val="00E56B6C"/>
    <w:rsid w:val="00E5780B"/>
    <w:rsid w:val="00E57833"/>
    <w:rsid w:val="00E57B6B"/>
    <w:rsid w:val="00E57ECF"/>
    <w:rsid w:val="00E6049E"/>
    <w:rsid w:val="00E608CA"/>
    <w:rsid w:val="00E61067"/>
    <w:rsid w:val="00E61732"/>
    <w:rsid w:val="00E61DC3"/>
    <w:rsid w:val="00E61FC3"/>
    <w:rsid w:val="00E62965"/>
    <w:rsid w:val="00E62B8D"/>
    <w:rsid w:val="00E6356C"/>
    <w:rsid w:val="00E6364D"/>
    <w:rsid w:val="00E638AB"/>
    <w:rsid w:val="00E63B98"/>
    <w:rsid w:val="00E64645"/>
    <w:rsid w:val="00E64863"/>
    <w:rsid w:val="00E648F3"/>
    <w:rsid w:val="00E64AF6"/>
    <w:rsid w:val="00E64E6F"/>
    <w:rsid w:val="00E65202"/>
    <w:rsid w:val="00E65453"/>
    <w:rsid w:val="00E654A2"/>
    <w:rsid w:val="00E65B29"/>
    <w:rsid w:val="00E65CB4"/>
    <w:rsid w:val="00E6667A"/>
    <w:rsid w:val="00E67823"/>
    <w:rsid w:val="00E67989"/>
    <w:rsid w:val="00E70058"/>
    <w:rsid w:val="00E70974"/>
    <w:rsid w:val="00E709B3"/>
    <w:rsid w:val="00E70B54"/>
    <w:rsid w:val="00E71079"/>
    <w:rsid w:val="00E711AB"/>
    <w:rsid w:val="00E7126F"/>
    <w:rsid w:val="00E71E57"/>
    <w:rsid w:val="00E71FD7"/>
    <w:rsid w:val="00E73611"/>
    <w:rsid w:val="00E73693"/>
    <w:rsid w:val="00E74123"/>
    <w:rsid w:val="00E74177"/>
    <w:rsid w:val="00E74179"/>
    <w:rsid w:val="00E7450E"/>
    <w:rsid w:val="00E753FA"/>
    <w:rsid w:val="00E75FA5"/>
    <w:rsid w:val="00E766FD"/>
    <w:rsid w:val="00E7676B"/>
    <w:rsid w:val="00E767BD"/>
    <w:rsid w:val="00E7739E"/>
    <w:rsid w:val="00E774E4"/>
    <w:rsid w:val="00E77FB4"/>
    <w:rsid w:val="00E80A83"/>
    <w:rsid w:val="00E80E83"/>
    <w:rsid w:val="00E81771"/>
    <w:rsid w:val="00E81A3E"/>
    <w:rsid w:val="00E829F2"/>
    <w:rsid w:val="00E82B8E"/>
    <w:rsid w:val="00E82F32"/>
    <w:rsid w:val="00E830CC"/>
    <w:rsid w:val="00E84FB3"/>
    <w:rsid w:val="00E864C1"/>
    <w:rsid w:val="00E867DE"/>
    <w:rsid w:val="00E86ABD"/>
    <w:rsid w:val="00E86E84"/>
    <w:rsid w:val="00E86EAF"/>
    <w:rsid w:val="00E87515"/>
    <w:rsid w:val="00E8789F"/>
    <w:rsid w:val="00E90364"/>
    <w:rsid w:val="00E908CF"/>
    <w:rsid w:val="00E91BE2"/>
    <w:rsid w:val="00E920D0"/>
    <w:rsid w:val="00E92215"/>
    <w:rsid w:val="00E92993"/>
    <w:rsid w:val="00E9316D"/>
    <w:rsid w:val="00E9318F"/>
    <w:rsid w:val="00E93BDB"/>
    <w:rsid w:val="00E94001"/>
    <w:rsid w:val="00E94203"/>
    <w:rsid w:val="00E945DF"/>
    <w:rsid w:val="00E94D19"/>
    <w:rsid w:val="00E94E3D"/>
    <w:rsid w:val="00E95E34"/>
    <w:rsid w:val="00E96942"/>
    <w:rsid w:val="00E96A96"/>
    <w:rsid w:val="00E972E9"/>
    <w:rsid w:val="00E978C5"/>
    <w:rsid w:val="00E97B71"/>
    <w:rsid w:val="00EA01E7"/>
    <w:rsid w:val="00EA077D"/>
    <w:rsid w:val="00EA0E0D"/>
    <w:rsid w:val="00EA1283"/>
    <w:rsid w:val="00EA1501"/>
    <w:rsid w:val="00EA26BA"/>
    <w:rsid w:val="00EA3A95"/>
    <w:rsid w:val="00EA3E74"/>
    <w:rsid w:val="00EA3ED7"/>
    <w:rsid w:val="00EA3F54"/>
    <w:rsid w:val="00EA408E"/>
    <w:rsid w:val="00EA425E"/>
    <w:rsid w:val="00EA4410"/>
    <w:rsid w:val="00EA46E3"/>
    <w:rsid w:val="00EA5693"/>
    <w:rsid w:val="00EA5A04"/>
    <w:rsid w:val="00EA5FE2"/>
    <w:rsid w:val="00EA603E"/>
    <w:rsid w:val="00EA6A6E"/>
    <w:rsid w:val="00EA6F1C"/>
    <w:rsid w:val="00EA70E0"/>
    <w:rsid w:val="00EA77A2"/>
    <w:rsid w:val="00EA7A1A"/>
    <w:rsid w:val="00EA7E6F"/>
    <w:rsid w:val="00EB0252"/>
    <w:rsid w:val="00EB10FC"/>
    <w:rsid w:val="00EB14BB"/>
    <w:rsid w:val="00EB24D7"/>
    <w:rsid w:val="00EB2848"/>
    <w:rsid w:val="00EB4080"/>
    <w:rsid w:val="00EB454D"/>
    <w:rsid w:val="00EB454F"/>
    <w:rsid w:val="00EB4B7E"/>
    <w:rsid w:val="00EB51DC"/>
    <w:rsid w:val="00EB51EA"/>
    <w:rsid w:val="00EB55C1"/>
    <w:rsid w:val="00EB6170"/>
    <w:rsid w:val="00EB62D9"/>
    <w:rsid w:val="00EB6316"/>
    <w:rsid w:val="00EB6340"/>
    <w:rsid w:val="00EB6B06"/>
    <w:rsid w:val="00EB7F0A"/>
    <w:rsid w:val="00EC0411"/>
    <w:rsid w:val="00EC0BA4"/>
    <w:rsid w:val="00EC112E"/>
    <w:rsid w:val="00EC14BE"/>
    <w:rsid w:val="00EC1628"/>
    <w:rsid w:val="00EC20C2"/>
    <w:rsid w:val="00EC2584"/>
    <w:rsid w:val="00EC27D8"/>
    <w:rsid w:val="00EC2AAD"/>
    <w:rsid w:val="00EC2E20"/>
    <w:rsid w:val="00EC31F9"/>
    <w:rsid w:val="00EC3F65"/>
    <w:rsid w:val="00EC45C1"/>
    <w:rsid w:val="00EC5570"/>
    <w:rsid w:val="00EC596F"/>
    <w:rsid w:val="00EC62E8"/>
    <w:rsid w:val="00EC68B2"/>
    <w:rsid w:val="00EC6931"/>
    <w:rsid w:val="00EC73C8"/>
    <w:rsid w:val="00EC74EB"/>
    <w:rsid w:val="00ED0E31"/>
    <w:rsid w:val="00ED1405"/>
    <w:rsid w:val="00ED147C"/>
    <w:rsid w:val="00ED18FD"/>
    <w:rsid w:val="00ED19E9"/>
    <w:rsid w:val="00ED1A76"/>
    <w:rsid w:val="00ED2D1D"/>
    <w:rsid w:val="00ED35E6"/>
    <w:rsid w:val="00ED36B9"/>
    <w:rsid w:val="00ED3A8E"/>
    <w:rsid w:val="00ED3AB2"/>
    <w:rsid w:val="00ED3FC5"/>
    <w:rsid w:val="00ED4CBA"/>
    <w:rsid w:val="00ED5232"/>
    <w:rsid w:val="00ED5539"/>
    <w:rsid w:val="00ED56AB"/>
    <w:rsid w:val="00ED5BE1"/>
    <w:rsid w:val="00ED7E60"/>
    <w:rsid w:val="00EE04C1"/>
    <w:rsid w:val="00EE0BA9"/>
    <w:rsid w:val="00EE0D3E"/>
    <w:rsid w:val="00EE140F"/>
    <w:rsid w:val="00EE20F8"/>
    <w:rsid w:val="00EE2C92"/>
    <w:rsid w:val="00EE3522"/>
    <w:rsid w:val="00EE36D7"/>
    <w:rsid w:val="00EE39AD"/>
    <w:rsid w:val="00EE39F1"/>
    <w:rsid w:val="00EE4E4B"/>
    <w:rsid w:val="00EE5C5E"/>
    <w:rsid w:val="00EE5D7E"/>
    <w:rsid w:val="00EE5E58"/>
    <w:rsid w:val="00EE66EC"/>
    <w:rsid w:val="00EE68F0"/>
    <w:rsid w:val="00EE7443"/>
    <w:rsid w:val="00EE7EB4"/>
    <w:rsid w:val="00EF01AD"/>
    <w:rsid w:val="00EF04A0"/>
    <w:rsid w:val="00EF0CEF"/>
    <w:rsid w:val="00EF0EB5"/>
    <w:rsid w:val="00EF1247"/>
    <w:rsid w:val="00EF2493"/>
    <w:rsid w:val="00EF33A4"/>
    <w:rsid w:val="00EF36AC"/>
    <w:rsid w:val="00EF49F0"/>
    <w:rsid w:val="00EF4EC3"/>
    <w:rsid w:val="00EF5417"/>
    <w:rsid w:val="00EF55DB"/>
    <w:rsid w:val="00EF56CE"/>
    <w:rsid w:val="00EF5AA9"/>
    <w:rsid w:val="00EF619B"/>
    <w:rsid w:val="00EF6972"/>
    <w:rsid w:val="00EF6EB2"/>
    <w:rsid w:val="00EF7231"/>
    <w:rsid w:val="00EF774B"/>
    <w:rsid w:val="00F005EE"/>
    <w:rsid w:val="00F009D3"/>
    <w:rsid w:val="00F00B55"/>
    <w:rsid w:val="00F0193E"/>
    <w:rsid w:val="00F02F8E"/>
    <w:rsid w:val="00F040BD"/>
    <w:rsid w:val="00F04AFE"/>
    <w:rsid w:val="00F05244"/>
    <w:rsid w:val="00F059CF"/>
    <w:rsid w:val="00F06961"/>
    <w:rsid w:val="00F06DAD"/>
    <w:rsid w:val="00F06EE0"/>
    <w:rsid w:val="00F0764A"/>
    <w:rsid w:val="00F1005F"/>
    <w:rsid w:val="00F10F8D"/>
    <w:rsid w:val="00F11242"/>
    <w:rsid w:val="00F11ACF"/>
    <w:rsid w:val="00F128A0"/>
    <w:rsid w:val="00F1345E"/>
    <w:rsid w:val="00F1380F"/>
    <w:rsid w:val="00F138D6"/>
    <w:rsid w:val="00F13CDA"/>
    <w:rsid w:val="00F14F0E"/>
    <w:rsid w:val="00F14F98"/>
    <w:rsid w:val="00F15799"/>
    <w:rsid w:val="00F15B6A"/>
    <w:rsid w:val="00F16AD4"/>
    <w:rsid w:val="00F175ED"/>
    <w:rsid w:val="00F1763D"/>
    <w:rsid w:val="00F17799"/>
    <w:rsid w:val="00F20236"/>
    <w:rsid w:val="00F2059E"/>
    <w:rsid w:val="00F20721"/>
    <w:rsid w:val="00F20B3A"/>
    <w:rsid w:val="00F20D2B"/>
    <w:rsid w:val="00F21553"/>
    <w:rsid w:val="00F21703"/>
    <w:rsid w:val="00F22F30"/>
    <w:rsid w:val="00F2328B"/>
    <w:rsid w:val="00F2445B"/>
    <w:rsid w:val="00F24C29"/>
    <w:rsid w:val="00F253CC"/>
    <w:rsid w:val="00F2568D"/>
    <w:rsid w:val="00F25C31"/>
    <w:rsid w:val="00F25DB1"/>
    <w:rsid w:val="00F2604B"/>
    <w:rsid w:val="00F267BE"/>
    <w:rsid w:val="00F27458"/>
    <w:rsid w:val="00F277DB"/>
    <w:rsid w:val="00F27ACD"/>
    <w:rsid w:val="00F27C52"/>
    <w:rsid w:val="00F27CD8"/>
    <w:rsid w:val="00F27D9E"/>
    <w:rsid w:val="00F311E2"/>
    <w:rsid w:val="00F31814"/>
    <w:rsid w:val="00F3209B"/>
    <w:rsid w:val="00F3379A"/>
    <w:rsid w:val="00F33C35"/>
    <w:rsid w:val="00F34265"/>
    <w:rsid w:val="00F347D2"/>
    <w:rsid w:val="00F349E3"/>
    <w:rsid w:val="00F352FC"/>
    <w:rsid w:val="00F35C2A"/>
    <w:rsid w:val="00F35E2A"/>
    <w:rsid w:val="00F3616B"/>
    <w:rsid w:val="00F36D40"/>
    <w:rsid w:val="00F36F27"/>
    <w:rsid w:val="00F37481"/>
    <w:rsid w:val="00F37F99"/>
    <w:rsid w:val="00F40879"/>
    <w:rsid w:val="00F40B92"/>
    <w:rsid w:val="00F427E6"/>
    <w:rsid w:val="00F42898"/>
    <w:rsid w:val="00F42A8A"/>
    <w:rsid w:val="00F434F9"/>
    <w:rsid w:val="00F438CD"/>
    <w:rsid w:val="00F43B80"/>
    <w:rsid w:val="00F441B9"/>
    <w:rsid w:val="00F45754"/>
    <w:rsid w:val="00F45922"/>
    <w:rsid w:val="00F45EBF"/>
    <w:rsid w:val="00F461D1"/>
    <w:rsid w:val="00F46498"/>
    <w:rsid w:val="00F46C0A"/>
    <w:rsid w:val="00F503B5"/>
    <w:rsid w:val="00F508E3"/>
    <w:rsid w:val="00F50DBF"/>
    <w:rsid w:val="00F511F7"/>
    <w:rsid w:val="00F51495"/>
    <w:rsid w:val="00F51F0D"/>
    <w:rsid w:val="00F537D5"/>
    <w:rsid w:val="00F545AC"/>
    <w:rsid w:val="00F548A6"/>
    <w:rsid w:val="00F5497B"/>
    <w:rsid w:val="00F54DD0"/>
    <w:rsid w:val="00F55507"/>
    <w:rsid w:val="00F55F3B"/>
    <w:rsid w:val="00F566DE"/>
    <w:rsid w:val="00F5694D"/>
    <w:rsid w:val="00F56A40"/>
    <w:rsid w:val="00F56BA5"/>
    <w:rsid w:val="00F56BE1"/>
    <w:rsid w:val="00F56D59"/>
    <w:rsid w:val="00F57538"/>
    <w:rsid w:val="00F6022A"/>
    <w:rsid w:val="00F605A2"/>
    <w:rsid w:val="00F60D0C"/>
    <w:rsid w:val="00F60E01"/>
    <w:rsid w:val="00F61379"/>
    <w:rsid w:val="00F6160F"/>
    <w:rsid w:val="00F61BE4"/>
    <w:rsid w:val="00F6255A"/>
    <w:rsid w:val="00F62C42"/>
    <w:rsid w:val="00F637BF"/>
    <w:rsid w:val="00F63D11"/>
    <w:rsid w:val="00F644E6"/>
    <w:rsid w:val="00F6589A"/>
    <w:rsid w:val="00F66BDC"/>
    <w:rsid w:val="00F67A6A"/>
    <w:rsid w:val="00F71643"/>
    <w:rsid w:val="00F71F53"/>
    <w:rsid w:val="00F725D1"/>
    <w:rsid w:val="00F7315E"/>
    <w:rsid w:val="00F73520"/>
    <w:rsid w:val="00F737D9"/>
    <w:rsid w:val="00F7392C"/>
    <w:rsid w:val="00F73D58"/>
    <w:rsid w:val="00F746CA"/>
    <w:rsid w:val="00F74B0B"/>
    <w:rsid w:val="00F7543D"/>
    <w:rsid w:val="00F75702"/>
    <w:rsid w:val="00F760C8"/>
    <w:rsid w:val="00F769C7"/>
    <w:rsid w:val="00F7730A"/>
    <w:rsid w:val="00F7784C"/>
    <w:rsid w:val="00F77995"/>
    <w:rsid w:val="00F77BFA"/>
    <w:rsid w:val="00F77E6F"/>
    <w:rsid w:val="00F820EF"/>
    <w:rsid w:val="00F82683"/>
    <w:rsid w:val="00F83D11"/>
    <w:rsid w:val="00F84114"/>
    <w:rsid w:val="00F846C6"/>
    <w:rsid w:val="00F847A5"/>
    <w:rsid w:val="00F84B05"/>
    <w:rsid w:val="00F857F6"/>
    <w:rsid w:val="00F86E36"/>
    <w:rsid w:val="00F86EE8"/>
    <w:rsid w:val="00F87A9A"/>
    <w:rsid w:val="00F916AC"/>
    <w:rsid w:val="00F91A5F"/>
    <w:rsid w:val="00F9236C"/>
    <w:rsid w:val="00F92912"/>
    <w:rsid w:val="00F92CA1"/>
    <w:rsid w:val="00F93061"/>
    <w:rsid w:val="00F93826"/>
    <w:rsid w:val="00F94814"/>
    <w:rsid w:val="00F9518D"/>
    <w:rsid w:val="00F9596D"/>
    <w:rsid w:val="00F9653B"/>
    <w:rsid w:val="00F9672A"/>
    <w:rsid w:val="00F97397"/>
    <w:rsid w:val="00F97B89"/>
    <w:rsid w:val="00F97D53"/>
    <w:rsid w:val="00FA081A"/>
    <w:rsid w:val="00FA1297"/>
    <w:rsid w:val="00FA1759"/>
    <w:rsid w:val="00FA1ADA"/>
    <w:rsid w:val="00FA2245"/>
    <w:rsid w:val="00FA2C02"/>
    <w:rsid w:val="00FA2C1D"/>
    <w:rsid w:val="00FA2ECD"/>
    <w:rsid w:val="00FA3018"/>
    <w:rsid w:val="00FA310E"/>
    <w:rsid w:val="00FA359A"/>
    <w:rsid w:val="00FA3BDF"/>
    <w:rsid w:val="00FA63CD"/>
    <w:rsid w:val="00FA769D"/>
    <w:rsid w:val="00FA7982"/>
    <w:rsid w:val="00FA7CCD"/>
    <w:rsid w:val="00FB0E27"/>
    <w:rsid w:val="00FB0F94"/>
    <w:rsid w:val="00FB10AF"/>
    <w:rsid w:val="00FB1A16"/>
    <w:rsid w:val="00FB1A3C"/>
    <w:rsid w:val="00FB24BC"/>
    <w:rsid w:val="00FB2597"/>
    <w:rsid w:val="00FB4DCC"/>
    <w:rsid w:val="00FB4EE9"/>
    <w:rsid w:val="00FB60C1"/>
    <w:rsid w:val="00FB62CF"/>
    <w:rsid w:val="00FB6746"/>
    <w:rsid w:val="00FB70E7"/>
    <w:rsid w:val="00FC052E"/>
    <w:rsid w:val="00FC05C4"/>
    <w:rsid w:val="00FC084F"/>
    <w:rsid w:val="00FC0E75"/>
    <w:rsid w:val="00FC1E3D"/>
    <w:rsid w:val="00FC3262"/>
    <w:rsid w:val="00FC3283"/>
    <w:rsid w:val="00FC3B01"/>
    <w:rsid w:val="00FC3EB4"/>
    <w:rsid w:val="00FC4B8A"/>
    <w:rsid w:val="00FC544A"/>
    <w:rsid w:val="00FC6C58"/>
    <w:rsid w:val="00FC78B0"/>
    <w:rsid w:val="00FD0FAC"/>
    <w:rsid w:val="00FD1C8A"/>
    <w:rsid w:val="00FD1DD0"/>
    <w:rsid w:val="00FD25D9"/>
    <w:rsid w:val="00FD279F"/>
    <w:rsid w:val="00FD3694"/>
    <w:rsid w:val="00FD3BD1"/>
    <w:rsid w:val="00FD49B3"/>
    <w:rsid w:val="00FD5518"/>
    <w:rsid w:val="00FD635E"/>
    <w:rsid w:val="00FD71F0"/>
    <w:rsid w:val="00FD746F"/>
    <w:rsid w:val="00FE09CA"/>
    <w:rsid w:val="00FE140A"/>
    <w:rsid w:val="00FE144F"/>
    <w:rsid w:val="00FE157F"/>
    <w:rsid w:val="00FE1EAD"/>
    <w:rsid w:val="00FE21AB"/>
    <w:rsid w:val="00FE21DA"/>
    <w:rsid w:val="00FE2631"/>
    <w:rsid w:val="00FE2CE3"/>
    <w:rsid w:val="00FE32F6"/>
    <w:rsid w:val="00FE3B59"/>
    <w:rsid w:val="00FE3BE1"/>
    <w:rsid w:val="00FE3CEC"/>
    <w:rsid w:val="00FE4039"/>
    <w:rsid w:val="00FE40DE"/>
    <w:rsid w:val="00FE4DCD"/>
    <w:rsid w:val="00FE5165"/>
    <w:rsid w:val="00FE51D6"/>
    <w:rsid w:val="00FE57F6"/>
    <w:rsid w:val="00FE6B45"/>
    <w:rsid w:val="00FE6B58"/>
    <w:rsid w:val="00FE6EBC"/>
    <w:rsid w:val="00FE769E"/>
    <w:rsid w:val="00FF05BC"/>
    <w:rsid w:val="00FF0651"/>
    <w:rsid w:val="00FF1B5F"/>
    <w:rsid w:val="00FF1C1C"/>
    <w:rsid w:val="00FF2E1A"/>
    <w:rsid w:val="00FF34B9"/>
    <w:rsid w:val="00FF375B"/>
    <w:rsid w:val="00FF379A"/>
    <w:rsid w:val="00FF3FB7"/>
    <w:rsid w:val="00FF4B22"/>
    <w:rsid w:val="00FF4B40"/>
    <w:rsid w:val="00FF4C3A"/>
    <w:rsid w:val="00FF5724"/>
    <w:rsid w:val="00FF5851"/>
    <w:rsid w:val="00FF6C89"/>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F2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99"/>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12F39"/>
    <w:pPr>
      <w:tabs>
        <w:tab w:val="left" w:pos="1440"/>
        <w:tab w:val="left" w:pos="1800"/>
        <w:tab w:val="right" w:leader="dot" w:pos="9350"/>
      </w:tabs>
      <w:spacing w:after="100"/>
      <w:ind w:left="1440" w:hanging="360"/>
    </w:pPr>
  </w:style>
  <w:style w:type="paragraph" w:styleId="TOC1">
    <w:name w:val="toc 1"/>
    <w:basedOn w:val="Normal"/>
    <w:next w:val="Normal"/>
    <w:autoRedefine/>
    <w:uiPriority w:val="39"/>
    <w:unhideWhenUsed/>
    <w:rsid w:val="00783135"/>
    <w:pPr>
      <w:tabs>
        <w:tab w:val="left" w:pos="1080"/>
        <w:tab w:val="left" w:pos="1440"/>
        <w:tab w:val="right" w:leader="dot" w:pos="9350"/>
      </w:tabs>
      <w:spacing w:after="100"/>
      <w:ind w:left="720"/>
    </w:pPr>
    <w:rPr>
      <w:rFonts w:asciiTheme="majorHAnsi" w:hAnsiTheme="majorHAnsi"/>
      <w:b/>
      <w:noProof/>
      <w:sz w:val="20"/>
      <w:szCs w:val="20"/>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8"/>
      </w:numPr>
    </w:pPr>
  </w:style>
  <w:style w:type="numbering" w:customStyle="1" w:styleId="ImportedStyle4">
    <w:name w:val="Imported Style 4"/>
    <w:rsid w:val="00EA425E"/>
    <w:pPr>
      <w:numPr>
        <w:numId w:val="59"/>
      </w:numPr>
    </w:pPr>
  </w:style>
  <w:style w:type="numbering" w:customStyle="1" w:styleId="ImportedStyle5">
    <w:name w:val="Imported Style 5"/>
    <w:rsid w:val="00C80BAC"/>
    <w:pPr>
      <w:numPr>
        <w:numId w:val="60"/>
      </w:numPr>
    </w:pPr>
  </w:style>
  <w:style w:type="numbering" w:customStyle="1" w:styleId="ImportedStyle6">
    <w:name w:val="Imported Style 6"/>
    <w:rsid w:val="00264225"/>
    <w:pPr>
      <w:numPr>
        <w:numId w:val="61"/>
      </w:numPr>
    </w:pPr>
  </w:style>
  <w:style w:type="numbering" w:customStyle="1" w:styleId="ImportedStyle8">
    <w:name w:val="Imported Style 8"/>
    <w:rsid w:val="00037CC9"/>
    <w:pPr>
      <w:numPr>
        <w:numId w:val="62"/>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uiPriority w:val="39"/>
    <w:rsid w:val="00E200F9"/>
    <w:pPr>
      <w:ind w:left="960"/>
    </w:pPr>
  </w:style>
  <w:style w:type="paragraph" w:styleId="TOC6">
    <w:name w:val="toc 6"/>
    <w:basedOn w:val="Normal"/>
    <w:next w:val="Normal"/>
    <w:autoRedefine/>
    <w:uiPriority w:val="39"/>
    <w:rsid w:val="00E200F9"/>
    <w:pPr>
      <w:ind w:left="1200"/>
    </w:pPr>
  </w:style>
  <w:style w:type="paragraph" w:styleId="TOC7">
    <w:name w:val="toc 7"/>
    <w:basedOn w:val="Normal"/>
    <w:next w:val="Normal"/>
    <w:autoRedefine/>
    <w:uiPriority w:val="39"/>
    <w:rsid w:val="00E200F9"/>
    <w:pPr>
      <w:ind w:left="1440"/>
    </w:pPr>
  </w:style>
  <w:style w:type="paragraph" w:styleId="TOC8">
    <w:name w:val="toc 8"/>
    <w:basedOn w:val="Normal"/>
    <w:next w:val="Normal"/>
    <w:autoRedefine/>
    <w:uiPriority w:val="39"/>
    <w:rsid w:val="00E200F9"/>
    <w:pPr>
      <w:ind w:left="1680"/>
    </w:pPr>
  </w:style>
  <w:style w:type="paragraph" w:styleId="TOC9">
    <w:name w:val="toc 9"/>
    <w:basedOn w:val="Normal"/>
    <w:next w:val="Normal"/>
    <w:autoRedefine/>
    <w:uiPriority w:val="39"/>
    <w:rsid w:val="00E200F9"/>
    <w:pPr>
      <w:ind w:left="1920"/>
    </w:pPr>
  </w:style>
  <w:style w:type="character" w:customStyle="1" w:styleId="dfrq">
    <w:name w:val="df_rq"/>
    <w:basedOn w:val="DefaultParagraphFont"/>
    <w:rsid w:val="00784E3A"/>
  </w:style>
  <w:style w:type="character" w:styleId="FollowedHyperlink">
    <w:name w:val="FollowedHyperlink"/>
    <w:basedOn w:val="DefaultParagraphFont"/>
    <w:unhideWhenUsed/>
    <w:rsid w:val="00734850"/>
    <w:rPr>
      <w:color w:val="800080" w:themeColor="followedHyperlink"/>
      <w:u w:val="single"/>
    </w:rPr>
  </w:style>
  <w:style w:type="paragraph" w:styleId="BodyText3">
    <w:name w:val="Body Text 3"/>
    <w:basedOn w:val="Normal"/>
    <w:link w:val="BodyText3Char"/>
    <w:semiHidden/>
    <w:unhideWhenUsed/>
    <w:rsid w:val="00BA1E70"/>
    <w:pPr>
      <w:spacing w:after="120"/>
    </w:pPr>
    <w:rPr>
      <w:sz w:val="16"/>
      <w:szCs w:val="16"/>
    </w:rPr>
  </w:style>
  <w:style w:type="character" w:customStyle="1" w:styleId="BodyText3Char">
    <w:name w:val="Body Text 3 Char"/>
    <w:basedOn w:val="DefaultParagraphFont"/>
    <w:link w:val="BodyText3"/>
    <w:semiHidden/>
    <w:rsid w:val="00BA1E70"/>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061">
      <w:bodyDiv w:val="1"/>
      <w:marLeft w:val="0"/>
      <w:marRight w:val="0"/>
      <w:marTop w:val="0"/>
      <w:marBottom w:val="0"/>
      <w:divBdr>
        <w:top w:val="none" w:sz="0" w:space="0" w:color="auto"/>
        <w:left w:val="none" w:sz="0" w:space="0" w:color="auto"/>
        <w:bottom w:val="none" w:sz="0" w:space="0" w:color="auto"/>
        <w:right w:val="none" w:sz="0" w:space="0" w:color="auto"/>
      </w:divBdr>
      <w:divsChild>
        <w:div w:id="1642884447">
          <w:marLeft w:val="0"/>
          <w:marRight w:val="0"/>
          <w:marTop w:val="0"/>
          <w:marBottom w:val="0"/>
          <w:divBdr>
            <w:top w:val="none" w:sz="0" w:space="0" w:color="auto"/>
            <w:left w:val="none" w:sz="0" w:space="0" w:color="auto"/>
            <w:bottom w:val="none" w:sz="0" w:space="0" w:color="auto"/>
            <w:right w:val="none" w:sz="0" w:space="0" w:color="auto"/>
          </w:divBdr>
          <w:divsChild>
            <w:div w:id="1057171978">
              <w:marLeft w:val="0"/>
              <w:marRight w:val="0"/>
              <w:marTop w:val="0"/>
              <w:marBottom w:val="0"/>
              <w:divBdr>
                <w:top w:val="none" w:sz="0" w:space="0" w:color="auto"/>
                <w:left w:val="none" w:sz="0" w:space="0" w:color="auto"/>
                <w:bottom w:val="none" w:sz="0" w:space="0" w:color="auto"/>
                <w:right w:val="none" w:sz="0" w:space="0" w:color="auto"/>
              </w:divBdr>
              <w:divsChild>
                <w:div w:id="593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72970281">
      <w:bodyDiv w:val="1"/>
      <w:marLeft w:val="0"/>
      <w:marRight w:val="0"/>
      <w:marTop w:val="0"/>
      <w:marBottom w:val="0"/>
      <w:divBdr>
        <w:top w:val="none" w:sz="0" w:space="0" w:color="auto"/>
        <w:left w:val="none" w:sz="0" w:space="0" w:color="auto"/>
        <w:bottom w:val="none" w:sz="0" w:space="0" w:color="auto"/>
        <w:right w:val="none" w:sz="0" w:space="0" w:color="auto"/>
      </w:divBdr>
      <w:divsChild>
        <w:div w:id="1239943012">
          <w:marLeft w:val="0"/>
          <w:marRight w:val="0"/>
          <w:marTop w:val="0"/>
          <w:marBottom w:val="0"/>
          <w:divBdr>
            <w:top w:val="none" w:sz="0" w:space="0" w:color="auto"/>
            <w:left w:val="none" w:sz="0" w:space="0" w:color="auto"/>
            <w:bottom w:val="none" w:sz="0" w:space="0" w:color="auto"/>
            <w:right w:val="none" w:sz="0" w:space="0" w:color="auto"/>
          </w:divBdr>
          <w:divsChild>
            <w:div w:id="1142235357">
              <w:marLeft w:val="0"/>
              <w:marRight w:val="0"/>
              <w:marTop w:val="0"/>
              <w:marBottom w:val="0"/>
              <w:divBdr>
                <w:top w:val="none" w:sz="0" w:space="0" w:color="auto"/>
                <w:left w:val="none" w:sz="0" w:space="0" w:color="auto"/>
                <w:bottom w:val="none" w:sz="0" w:space="0" w:color="auto"/>
                <w:right w:val="none" w:sz="0" w:space="0" w:color="auto"/>
              </w:divBdr>
              <w:divsChild>
                <w:div w:id="16009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3587">
      <w:bodyDiv w:val="1"/>
      <w:marLeft w:val="0"/>
      <w:marRight w:val="0"/>
      <w:marTop w:val="0"/>
      <w:marBottom w:val="0"/>
      <w:divBdr>
        <w:top w:val="none" w:sz="0" w:space="0" w:color="auto"/>
        <w:left w:val="none" w:sz="0" w:space="0" w:color="auto"/>
        <w:bottom w:val="none" w:sz="0" w:space="0" w:color="auto"/>
        <w:right w:val="none" w:sz="0" w:space="0" w:color="auto"/>
      </w:divBdr>
      <w:divsChild>
        <w:div w:id="792481931">
          <w:marLeft w:val="0"/>
          <w:marRight w:val="0"/>
          <w:marTop w:val="0"/>
          <w:marBottom w:val="0"/>
          <w:divBdr>
            <w:top w:val="none" w:sz="0" w:space="0" w:color="auto"/>
            <w:left w:val="none" w:sz="0" w:space="0" w:color="auto"/>
            <w:bottom w:val="none" w:sz="0" w:space="0" w:color="auto"/>
            <w:right w:val="none" w:sz="0" w:space="0" w:color="auto"/>
          </w:divBdr>
          <w:divsChild>
            <w:div w:id="1950046063">
              <w:marLeft w:val="0"/>
              <w:marRight w:val="0"/>
              <w:marTop w:val="0"/>
              <w:marBottom w:val="0"/>
              <w:divBdr>
                <w:top w:val="none" w:sz="0" w:space="0" w:color="auto"/>
                <w:left w:val="none" w:sz="0" w:space="0" w:color="auto"/>
                <w:bottom w:val="none" w:sz="0" w:space="0" w:color="auto"/>
                <w:right w:val="none" w:sz="0" w:space="0" w:color="auto"/>
              </w:divBdr>
              <w:divsChild>
                <w:div w:id="1731419409">
                  <w:marLeft w:val="0"/>
                  <w:marRight w:val="0"/>
                  <w:marTop w:val="0"/>
                  <w:marBottom w:val="0"/>
                  <w:divBdr>
                    <w:top w:val="none" w:sz="0" w:space="0" w:color="auto"/>
                    <w:left w:val="none" w:sz="0" w:space="0" w:color="auto"/>
                    <w:bottom w:val="none" w:sz="0" w:space="0" w:color="auto"/>
                    <w:right w:val="none" w:sz="0" w:space="0" w:color="auto"/>
                  </w:divBdr>
                </w:div>
              </w:divsChild>
            </w:div>
            <w:div w:id="2134515933">
              <w:marLeft w:val="0"/>
              <w:marRight w:val="0"/>
              <w:marTop w:val="0"/>
              <w:marBottom w:val="0"/>
              <w:divBdr>
                <w:top w:val="none" w:sz="0" w:space="0" w:color="auto"/>
                <w:left w:val="none" w:sz="0" w:space="0" w:color="auto"/>
                <w:bottom w:val="none" w:sz="0" w:space="0" w:color="auto"/>
                <w:right w:val="none" w:sz="0" w:space="0" w:color="auto"/>
              </w:divBdr>
              <w:divsChild>
                <w:div w:id="1431508840">
                  <w:marLeft w:val="0"/>
                  <w:marRight w:val="0"/>
                  <w:marTop w:val="0"/>
                  <w:marBottom w:val="0"/>
                  <w:divBdr>
                    <w:top w:val="none" w:sz="0" w:space="0" w:color="auto"/>
                    <w:left w:val="none" w:sz="0" w:space="0" w:color="auto"/>
                    <w:bottom w:val="none" w:sz="0" w:space="0" w:color="auto"/>
                    <w:right w:val="none" w:sz="0" w:space="0" w:color="auto"/>
                  </w:divBdr>
                </w:div>
              </w:divsChild>
            </w:div>
            <w:div w:id="373505296">
              <w:marLeft w:val="0"/>
              <w:marRight w:val="0"/>
              <w:marTop w:val="0"/>
              <w:marBottom w:val="0"/>
              <w:divBdr>
                <w:top w:val="none" w:sz="0" w:space="0" w:color="auto"/>
                <w:left w:val="none" w:sz="0" w:space="0" w:color="auto"/>
                <w:bottom w:val="none" w:sz="0" w:space="0" w:color="auto"/>
                <w:right w:val="none" w:sz="0" w:space="0" w:color="auto"/>
              </w:divBdr>
              <w:divsChild>
                <w:div w:id="1441994958">
                  <w:marLeft w:val="0"/>
                  <w:marRight w:val="0"/>
                  <w:marTop w:val="0"/>
                  <w:marBottom w:val="0"/>
                  <w:divBdr>
                    <w:top w:val="none" w:sz="0" w:space="0" w:color="auto"/>
                    <w:left w:val="none" w:sz="0" w:space="0" w:color="auto"/>
                    <w:bottom w:val="none" w:sz="0" w:space="0" w:color="auto"/>
                    <w:right w:val="none" w:sz="0" w:space="0" w:color="auto"/>
                  </w:divBdr>
                </w:div>
              </w:divsChild>
            </w:div>
            <w:div w:id="1710884645">
              <w:marLeft w:val="0"/>
              <w:marRight w:val="0"/>
              <w:marTop w:val="0"/>
              <w:marBottom w:val="0"/>
              <w:divBdr>
                <w:top w:val="none" w:sz="0" w:space="0" w:color="auto"/>
                <w:left w:val="none" w:sz="0" w:space="0" w:color="auto"/>
                <w:bottom w:val="none" w:sz="0" w:space="0" w:color="auto"/>
                <w:right w:val="none" w:sz="0" w:space="0" w:color="auto"/>
              </w:divBdr>
              <w:divsChild>
                <w:div w:id="668093268">
                  <w:marLeft w:val="0"/>
                  <w:marRight w:val="0"/>
                  <w:marTop w:val="0"/>
                  <w:marBottom w:val="0"/>
                  <w:divBdr>
                    <w:top w:val="none" w:sz="0" w:space="0" w:color="auto"/>
                    <w:left w:val="none" w:sz="0" w:space="0" w:color="auto"/>
                    <w:bottom w:val="none" w:sz="0" w:space="0" w:color="auto"/>
                    <w:right w:val="none" w:sz="0" w:space="0" w:color="auto"/>
                  </w:divBdr>
                </w:div>
              </w:divsChild>
            </w:div>
            <w:div w:id="1941916112">
              <w:marLeft w:val="0"/>
              <w:marRight w:val="0"/>
              <w:marTop w:val="0"/>
              <w:marBottom w:val="0"/>
              <w:divBdr>
                <w:top w:val="none" w:sz="0" w:space="0" w:color="auto"/>
                <w:left w:val="none" w:sz="0" w:space="0" w:color="auto"/>
                <w:bottom w:val="none" w:sz="0" w:space="0" w:color="auto"/>
                <w:right w:val="none" w:sz="0" w:space="0" w:color="auto"/>
              </w:divBdr>
              <w:divsChild>
                <w:div w:id="485709409">
                  <w:marLeft w:val="0"/>
                  <w:marRight w:val="0"/>
                  <w:marTop w:val="0"/>
                  <w:marBottom w:val="0"/>
                  <w:divBdr>
                    <w:top w:val="none" w:sz="0" w:space="0" w:color="auto"/>
                    <w:left w:val="none" w:sz="0" w:space="0" w:color="auto"/>
                    <w:bottom w:val="none" w:sz="0" w:space="0" w:color="auto"/>
                    <w:right w:val="none" w:sz="0" w:space="0" w:color="auto"/>
                  </w:divBdr>
                </w:div>
              </w:divsChild>
            </w:div>
            <w:div w:id="2056926840">
              <w:marLeft w:val="0"/>
              <w:marRight w:val="0"/>
              <w:marTop w:val="0"/>
              <w:marBottom w:val="0"/>
              <w:divBdr>
                <w:top w:val="none" w:sz="0" w:space="0" w:color="auto"/>
                <w:left w:val="none" w:sz="0" w:space="0" w:color="auto"/>
                <w:bottom w:val="none" w:sz="0" w:space="0" w:color="auto"/>
                <w:right w:val="none" w:sz="0" w:space="0" w:color="auto"/>
              </w:divBdr>
              <w:divsChild>
                <w:div w:id="13545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689">
      <w:bodyDiv w:val="1"/>
      <w:marLeft w:val="0"/>
      <w:marRight w:val="0"/>
      <w:marTop w:val="0"/>
      <w:marBottom w:val="0"/>
      <w:divBdr>
        <w:top w:val="none" w:sz="0" w:space="0" w:color="auto"/>
        <w:left w:val="none" w:sz="0" w:space="0" w:color="auto"/>
        <w:bottom w:val="none" w:sz="0" w:space="0" w:color="auto"/>
        <w:right w:val="none" w:sz="0" w:space="0" w:color="auto"/>
      </w:divBdr>
      <w:divsChild>
        <w:div w:id="1725372188">
          <w:marLeft w:val="0"/>
          <w:marRight w:val="0"/>
          <w:marTop w:val="0"/>
          <w:marBottom w:val="0"/>
          <w:divBdr>
            <w:top w:val="none" w:sz="0" w:space="0" w:color="auto"/>
            <w:left w:val="none" w:sz="0" w:space="0" w:color="auto"/>
            <w:bottom w:val="none" w:sz="0" w:space="0" w:color="auto"/>
            <w:right w:val="none" w:sz="0" w:space="0" w:color="auto"/>
          </w:divBdr>
          <w:divsChild>
            <w:div w:id="872306770">
              <w:marLeft w:val="0"/>
              <w:marRight w:val="0"/>
              <w:marTop w:val="0"/>
              <w:marBottom w:val="0"/>
              <w:divBdr>
                <w:top w:val="none" w:sz="0" w:space="0" w:color="auto"/>
                <w:left w:val="none" w:sz="0" w:space="0" w:color="auto"/>
                <w:bottom w:val="none" w:sz="0" w:space="0" w:color="auto"/>
                <w:right w:val="none" w:sz="0" w:space="0" w:color="auto"/>
              </w:divBdr>
              <w:divsChild>
                <w:div w:id="10455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4590">
      <w:bodyDiv w:val="1"/>
      <w:marLeft w:val="0"/>
      <w:marRight w:val="0"/>
      <w:marTop w:val="0"/>
      <w:marBottom w:val="0"/>
      <w:divBdr>
        <w:top w:val="none" w:sz="0" w:space="0" w:color="auto"/>
        <w:left w:val="none" w:sz="0" w:space="0" w:color="auto"/>
        <w:bottom w:val="none" w:sz="0" w:space="0" w:color="auto"/>
        <w:right w:val="none" w:sz="0" w:space="0" w:color="auto"/>
      </w:divBdr>
      <w:divsChild>
        <w:div w:id="1980188634">
          <w:marLeft w:val="0"/>
          <w:marRight w:val="0"/>
          <w:marTop w:val="0"/>
          <w:marBottom w:val="0"/>
          <w:divBdr>
            <w:top w:val="none" w:sz="0" w:space="0" w:color="auto"/>
            <w:left w:val="none" w:sz="0" w:space="0" w:color="auto"/>
            <w:bottom w:val="none" w:sz="0" w:space="0" w:color="auto"/>
            <w:right w:val="none" w:sz="0" w:space="0" w:color="auto"/>
          </w:divBdr>
          <w:divsChild>
            <w:div w:id="647979375">
              <w:marLeft w:val="0"/>
              <w:marRight w:val="0"/>
              <w:marTop w:val="0"/>
              <w:marBottom w:val="0"/>
              <w:divBdr>
                <w:top w:val="none" w:sz="0" w:space="0" w:color="auto"/>
                <w:left w:val="none" w:sz="0" w:space="0" w:color="auto"/>
                <w:bottom w:val="none" w:sz="0" w:space="0" w:color="auto"/>
                <w:right w:val="none" w:sz="0" w:space="0" w:color="auto"/>
              </w:divBdr>
              <w:divsChild>
                <w:div w:id="18602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3956">
      <w:bodyDiv w:val="1"/>
      <w:marLeft w:val="0"/>
      <w:marRight w:val="0"/>
      <w:marTop w:val="0"/>
      <w:marBottom w:val="0"/>
      <w:divBdr>
        <w:top w:val="none" w:sz="0" w:space="0" w:color="auto"/>
        <w:left w:val="none" w:sz="0" w:space="0" w:color="auto"/>
        <w:bottom w:val="none" w:sz="0" w:space="0" w:color="auto"/>
        <w:right w:val="none" w:sz="0" w:space="0" w:color="auto"/>
      </w:divBdr>
      <w:divsChild>
        <w:div w:id="893467763">
          <w:marLeft w:val="0"/>
          <w:marRight w:val="0"/>
          <w:marTop w:val="0"/>
          <w:marBottom w:val="0"/>
          <w:divBdr>
            <w:top w:val="none" w:sz="0" w:space="0" w:color="auto"/>
            <w:left w:val="none" w:sz="0" w:space="0" w:color="auto"/>
            <w:bottom w:val="none" w:sz="0" w:space="0" w:color="auto"/>
            <w:right w:val="none" w:sz="0" w:space="0" w:color="auto"/>
          </w:divBdr>
          <w:divsChild>
            <w:div w:id="1488285598">
              <w:marLeft w:val="0"/>
              <w:marRight w:val="0"/>
              <w:marTop w:val="0"/>
              <w:marBottom w:val="0"/>
              <w:divBdr>
                <w:top w:val="none" w:sz="0" w:space="0" w:color="auto"/>
                <w:left w:val="none" w:sz="0" w:space="0" w:color="auto"/>
                <w:bottom w:val="none" w:sz="0" w:space="0" w:color="auto"/>
                <w:right w:val="none" w:sz="0" w:space="0" w:color="auto"/>
              </w:divBdr>
              <w:divsChild>
                <w:div w:id="5412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113">
      <w:bodyDiv w:val="1"/>
      <w:marLeft w:val="0"/>
      <w:marRight w:val="0"/>
      <w:marTop w:val="0"/>
      <w:marBottom w:val="0"/>
      <w:divBdr>
        <w:top w:val="none" w:sz="0" w:space="0" w:color="auto"/>
        <w:left w:val="none" w:sz="0" w:space="0" w:color="auto"/>
        <w:bottom w:val="none" w:sz="0" w:space="0" w:color="auto"/>
        <w:right w:val="none" w:sz="0" w:space="0" w:color="auto"/>
      </w:divBdr>
      <w:divsChild>
        <w:div w:id="456066149">
          <w:marLeft w:val="0"/>
          <w:marRight w:val="0"/>
          <w:marTop w:val="0"/>
          <w:marBottom w:val="0"/>
          <w:divBdr>
            <w:top w:val="none" w:sz="0" w:space="0" w:color="auto"/>
            <w:left w:val="none" w:sz="0" w:space="0" w:color="auto"/>
            <w:bottom w:val="none" w:sz="0" w:space="0" w:color="auto"/>
            <w:right w:val="none" w:sz="0" w:space="0" w:color="auto"/>
          </w:divBdr>
          <w:divsChild>
            <w:div w:id="591474008">
              <w:marLeft w:val="0"/>
              <w:marRight w:val="0"/>
              <w:marTop w:val="0"/>
              <w:marBottom w:val="0"/>
              <w:divBdr>
                <w:top w:val="none" w:sz="0" w:space="0" w:color="auto"/>
                <w:left w:val="none" w:sz="0" w:space="0" w:color="auto"/>
                <w:bottom w:val="none" w:sz="0" w:space="0" w:color="auto"/>
                <w:right w:val="none" w:sz="0" w:space="0" w:color="auto"/>
              </w:divBdr>
              <w:divsChild>
                <w:div w:id="7654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7670">
      <w:bodyDiv w:val="1"/>
      <w:marLeft w:val="0"/>
      <w:marRight w:val="0"/>
      <w:marTop w:val="0"/>
      <w:marBottom w:val="0"/>
      <w:divBdr>
        <w:top w:val="none" w:sz="0" w:space="0" w:color="auto"/>
        <w:left w:val="none" w:sz="0" w:space="0" w:color="auto"/>
        <w:bottom w:val="none" w:sz="0" w:space="0" w:color="auto"/>
        <w:right w:val="none" w:sz="0" w:space="0" w:color="auto"/>
      </w:divBdr>
    </w:div>
    <w:div w:id="388112257">
      <w:bodyDiv w:val="1"/>
      <w:marLeft w:val="0"/>
      <w:marRight w:val="0"/>
      <w:marTop w:val="0"/>
      <w:marBottom w:val="0"/>
      <w:divBdr>
        <w:top w:val="none" w:sz="0" w:space="0" w:color="auto"/>
        <w:left w:val="none" w:sz="0" w:space="0" w:color="auto"/>
        <w:bottom w:val="none" w:sz="0" w:space="0" w:color="auto"/>
        <w:right w:val="none" w:sz="0" w:space="0" w:color="auto"/>
      </w:divBdr>
    </w:div>
    <w:div w:id="398939928">
      <w:bodyDiv w:val="1"/>
      <w:marLeft w:val="0"/>
      <w:marRight w:val="0"/>
      <w:marTop w:val="0"/>
      <w:marBottom w:val="0"/>
      <w:divBdr>
        <w:top w:val="none" w:sz="0" w:space="0" w:color="auto"/>
        <w:left w:val="none" w:sz="0" w:space="0" w:color="auto"/>
        <w:bottom w:val="none" w:sz="0" w:space="0" w:color="auto"/>
        <w:right w:val="none" w:sz="0" w:space="0" w:color="auto"/>
      </w:divBdr>
      <w:divsChild>
        <w:div w:id="1228416944">
          <w:marLeft w:val="0"/>
          <w:marRight w:val="0"/>
          <w:marTop w:val="0"/>
          <w:marBottom w:val="0"/>
          <w:divBdr>
            <w:top w:val="none" w:sz="0" w:space="0" w:color="auto"/>
            <w:left w:val="none" w:sz="0" w:space="0" w:color="auto"/>
            <w:bottom w:val="none" w:sz="0" w:space="0" w:color="auto"/>
            <w:right w:val="none" w:sz="0" w:space="0" w:color="auto"/>
          </w:divBdr>
          <w:divsChild>
            <w:div w:id="1583877963">
              <w:marLeft w:val="0"/>
              <w:marRight w:val="0"/>
              <w:marTop w:val="0"/>
              <w:marBottom w:val="0"/>
              <w:divBdr>
                <w:top w:val="none" w:sz="0" w:space="0" w:color="auto"/>
                <w:left w:val="none" w:sz="0" w:space="0" w:color="auto"/>
                <w:bottom w:val="none" w:sz="0" w:space="0" w:color="auto"/>
                <w:right w:val="none" w:sz="0" w:space="0" w:color="auto"/>
              </w:divBdr>
              <w:divsChild>
                <w:div w:id="1355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7084">
      <w:bodyDiv w:val="1"/>
      <w:marLeft w:val="0"/>
      <w:marRight w:val="0"/>
      <w:marTop w:val="0"/>
      <w:marBottom w:val="0"/>
      <w:divBdr>
        <w:top w:val="none" w:sz="0" w:space="0" w:color="auto"/>
        <w:left w:val="none" w:sz="0" w:space="0" w:color="auto"/>
        <w:bottom w:val="none" w:sz="0" w:space="0" w:color="auto"/>
        <w:right w:val="none" w:sz="0" w:space="0" w:color="auto"/>
      </w:divBdr>
    </w:div>
    <w:div w:id="426925994">
      <w:bodyDiv w:val="1"/>
      <w:marLeft w:val="0"/>
      <w:marRight w:val="0"/>
      <w:marTop w:val="0"/>
      <w:marBottom w:val="0"/>
      <w:divBdr>
        <w:top w:val="none" w:sz="0" w:space="0" w:color="auto"/>
        <w:left w:val="none" w:sz="0" w:space="0" w:color="auto"/>
        <w:bottom w:val="none" w:sz="0" w:space="0" w:color="auto"/>
        <w:right w:val="none" w:sz="0" w:space="0" w:color="auto"/>
      </w:divBdr>
    </w:div>
    <w:div w:id="457342017">
      <w:bodyDiv w:val="1"/>
      <w:marLeft w:val="0"/>
      <w:marRight w:val="0"/>
      <w:marTop w:val="0"/>
      <w:marBottom w:val="0"/>
      <w:divBdr>
        <w:top w:val="none" w:sz="0" w:space="0" w:color="auto"/>
        <w:left w:val="none" w:sz="0" w:space="0" w:color="auto"/>
        <w:bottom w:val="none" w:sz="0" w:space="0" w:color="auto"/>
        <w:right w:val="none" w:sz="0" w:space="0" w:color="auto"/>
      </w:divBdr>
      <w:divsChild>
        <w:div w:id="36470667">
          <w:marLeft w:val="0"/>
          <w:marRight w:val="0"/>
          <w:marTop w:val="0"/>
          <w:marBottom w:val="0"/>
          <w:divBdr>
            <w:top w:val="none" w:sz="0" w:space="0" w:color="auto"/>
            <w:left w:val="none" w:sz="0" w:space="0" w:color="auto"/>
            <w:bottom w:val="none" w:sz="0" w:space="0" w:color="auto"/>
            <w:right w:val="none" w:sz="0" w:space="0" w:color="auto"/>
          </w:divBdr>
          <w:divsChild>
            <w:div w:id="1024208199">
              <w:marLeft w:val="0"/>
              <w:marRight w:val="0"/>
              <w:marTop w:val="0"/>
              <w:marBottom w:val="0"/>
              <w:divBdr>
                <w:top w:val="none" w:sz="0" w:space="0" w:color="auto"/>
                <w:left w:val="none" w:sz="0" w:space="0" w:color="auto"/>
                <w:bottom w:val="none" w:sz="0" w:space="0" w:color="auto"/>
                <w:right w:val="none" w:sz="0" w:space="0" w:color="auto"/>
              </w:divBdr>
              <w:divsChild>
                <w:div w:id="16319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4676">
      <w:bodyDiv w:val="1"/>
      <w:marLeft w:val="0"/>
      <w:marRight w:val="0"/>
      <w:marTop w:val="0"/>
      <w:marBottom w:val="0"/>
      <w:divBdr>
        <w:top w:val="none" w:sz="0" w:space="0" w:color="auto"/>
        <w:left w:val="none" w:sz="0" w:space="0" w:color="auto"/>
        <w:bottom w:val="none" w:sz="0" w:space="0" w:color="auto"/>
        <w:right w:val="none" w:sz="0" w:space="0" w:color="auto"/>
      </w:divBdr>
      <w:divsChild>
        <w:div w:id="194774307">
          <w:marLeft w:val="0"/>
          <w:marRight w:val="0"/>
          <w:marTop w:val="0"/>
          <w:marBottom w:val="0"/>
          <w:divBdr>
            <w:top w:val="none" w:sz="0" w:space="0" w:color="auto"/>
            <w:left w:val="none" w:sz="0" w:space="0" w:color="auto"/>
            <w:bottom w:val="none" w:sz="0" w:space="0" w:color="auto"/>
            <w:right w:val="none" w:sz="0" w:space="0" w:color="auto"/>
          </w:divBdr>
          <w:divsChild>
            <w:div w:id="768502521">
              <w:marLeft w:val="0"/>
              <w:marRight w:val="0"/>
              <w:marTop w:val="0"/>
              <w:marBottom w:val="0"/>
              <w:divBdr>
                <w:top w:val="none" w:sz="0" w:space="0" w:color="auto"/>
                <w:left w:val="none" w:sz="0" w:space="0" w:color="auto"/>
                <w:bottom w:val="none" w:sz="0" w:space="0" w:color="auto"/>
                <w:right w:val="none" w:sz="0" w:space="0" w:color="auto"/>
              </w:divBdr>
              <w:divsChild>
                <w:div w:id="14892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3934">
      <w:bodyDiv w:val="1"/>
      <w:marLeft w:val="0"/>
      <w:marRight w:val="0"/>
      <w:marTop w:val="0"/>
      <w:marBottom w:val="0"/>
      <w:divBdr>
        <w:top w:val="none" w:sz="0" w:space="0" w:color="auto"/>
        <w:left w:val="none" w:sz="0" w:space="0" w:color="auto"/>
        <w:bottom w:val="none" w:sz="0" w:space="0" w:color="auto"/>
        <w:right w:val="none" w:sz="0" w:space="0" w:color="auto"/>
      </w:divBdr>
    </w:div>
    <w:div w:id="589773437">
      <w:bodyDiv w:val="1"/>
      <w:marLeft w:val="0"/>
      <w:marRight w:val="0"/>
      <w:marTop w:val="0"/>
      <w:marBottom w:val="0"/>
      <w:divBdr>
        <w:top w:val="none" w:sz="0" w:space="0" w:color="auto"/>
        <w:left w:val="none" w:sz="0" w:space="0" w:color="auto"/>
        <w:bottom w:val="none" w:sz="0" w:space="0" w:color="auto"/>
        <w:right w:val="none" w:sz="0" w:space="0" w:color="auto"/>
      </w:divBdr>
      <w:divsChild>
        <w:div w:id="1973628318">
          <w:marLeft w:val="0"/>
          <w:marRight w:val="0"/>
          <w:marTop w:val="0"/>
          <w:marBottom w:val="0"/>
          <w:divBdr>
            <w:top w:val="none" w:sz="0" w:space="0" w:color="auto"/>
            <w:left w:val="none" w:sz="0" w:space="0" w:color="auto"/>
            <w:bottom w:val="none" w:sz="0" w:space="0" w:color="auto"/>
            <w:right w:val="none" w:sz="0" w:space="0" w:color="auto"/>
          </w:divBdr>
          <w:divsChild>
            <w:div w:id="85811530">
              <w:marLeft w:val="0"/>
              <w:marRight w:val="0"/>
              <w:marTop w:val="0"/>
              <w:marBottom w:val="0"/>
              <w:divBdr>
                <w:top w:val="none" w:sz="0" w:space="0" w:color="auto"/>
                <w:left w:val="none" w:sz="0" w:space="0" w:color="auto"/>
                <w:bottom w:val="none" w:sz="0" w:space="0" w:color="auto"/>
                <w:right w:val="none" w:sz="0" w:space="0" w:color="auto"/>
              </w:divBdr>
              <w:divsChild>
                <w:div w:id="1556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8013">
      <w:bodyDiv w:val="1"/>
      <w:marLeft w:val="0"/>
      <w:marRight w:val="0"/>
      <w:marTop w:val="0"/>
      <w:marBottom w:val="0"/>
      <w:divBdr>
        <w:top w:val="none" w:sz="0" w:space="0" w:color="auto"/>
        <w:left w:val="none" w:sz="0" w:space="0" w:color="auto"/>
        <w:bottom w:val="none" w:sz="0" w:space="0" w:color="auto"/>
        <w:right w:val="none" w:sz="0" w:space="0" w:color="auto"/>
      </w:divBdr>
      <w:divsChild>
        <w:div w:id="1555847705">
          <w:marLeft w:val="0"/>
          <w:marRight w:val="0"/>
          <w:marTop w:val="0"/>
          <w:marBottom w:val="0"/>
          <w:divBdr>
            <w:top w:val="none" w:sz="0" w:space="0" w:color="auto"/>
            <w:left w:val="none" w:sz="0" w:space="0" w:color="auto"/>
            <w:bottom w:val="none" w:sz="0" w:space="0" w:color="auto"/>
            <w:right w:val="none" w:sz="0" w:space="0" w:color="auto"/>
          </w:divBdr>
          <w:divsChild>
            <w:div w:id="1067453623">
              <w:marLeft w:val="0"/>
              <w:marRight w:val="0"/>
              <w:marTop w:val="0"/>
              <w:marBottom w:val="0"/>
              <w:divBdr>
                <w:top w:val="none" w:sz="0" w:space="0" w:color="auto"/>
                <w:left w:val="none" w:sz="0" w:space="0" w:color="auto"/>
                <w:bottom w:val="none" w:sz="0" w:space="0" w:color="auto"/>
                <w:right w:val="none" w:sz="0" w:space="0" w:color="auto"/>
              </w:divBdr>
              <w:divsChild>
                <w:div w:id="8668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46594732">
      <w:bodyDiv w:val="1"/>
      <w:marLeft w:val="0"/>
      <w:marRight w:val="0"/>
      <w:marTop w:val="0"/>
      <w:marBottom w:val="0"/>
      <w:divBdr>
        <w:top w:val="none" w:sz="0" w:space="0" w:color="auto"/>
        <w:left w:val="none" w:sz="0" w:space="0" w:color="auto"/>
        <w:bottom w:val="none" w:sz="0" w:space="0" w:color="auto"/>
        <w:right w:val="none" w:sz="0" w:space="0" w:color="auto"/>
      </w:divBdr>
      <w:divsChild>
        <w:div w:id="51553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2484">
      <w:bodyDiv w:val="1"/>
      <w:marLeft w:val="0"/>
      <w:marRight w:val="0"/>
      <w:marTop w:val="0"/>
      <w:marBottom w:val="0"/>
      <w:divBdr>
        <w:top w:val="none" w:sz="0" w:space="0" w:color="auto"/>
        <w:left w:val="none" w:sz="0" w:space="0" w:color="auto"/>
        <w:bottom w:val="none" w:sz="0" w:space="0" w:color="auto"/>
        <w:right w:val="none" w:sz="0" w:space="0" w:color="auto"/>
      </w:divBdr>
    </w:div>
    <w:div w:id="703561117">
      <w:bodyDiv w:val="1"/>
      <w:marLeft w:val="0"/>
      <w:marRight w:val="0"/>
      <w:marTop w:val="0"/>
      <w:marBottom w:val="0"/>
      <w:divBdr>
        <w:top w:val="none" w:sz="0" w:space="0" w:color="auto"/>
        <w:left w:val="none" w:sz="0" w:space="0" w:color="auto"/>
        <w:bottom w:val="none" w:sz="0" w:space="0" w:color="auto"/>
        <w:right w:val="none" w:sz="0" w:space="0" w:color="auto"/>
      </w:divBdr>
      <w:divsChild>
        <w:div w:id="549459584">
          <w:marLeft w:val="0"/>
          <w:marRight w:val="0"/>
          <w:marTop w:val="0"/>
          <w:marBottom w:val="0"/>
          <w:divBdr>
            <w:top w:val="none" w:sz="0" w:space="0" w:color="auto"/>
            <w:left w:val="none" w:sz="0" w:space="0" w:color="auto"/>
            <w:bottom w:val="none" w:sz="0" w:space="0" w:color="auto"/>
            <w:right w:val="none" w:sz="0" w:space="0" w:color="auto"/>
          </w:divBdr>
          <w:divsChild>
            <w:div w:id="1661620444">
              <w:marLeft w:val="0"/>
              <w:marRight w:val="0"/>
              <w:marTop w:val="0"/>
              <w:marBottom w:val="0"/>
              <w:divBdr>
                <w:top w:val="none" w:sz="0" w:space="0" w:color="auto"/>
                <w:left w:val="none" w:sz="0" w:space="0" w:color="auto"/>
                <w:bottom w:val="none" w:sz="0" w:space="0" w:color="auto"/>
                <w:right w:val="none" w:sz="0" w:space="0" w:color="auto"/>
              </w:divBdr>
              <w:divsChild>
                <w:div w:id="13063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5220">
      <w:bodyDiv w:val="1"/>
      <w:marLeft w:val="0"/>
      <w:marRight w:val="0"/>
      <w:marTop w:val="0"/>
      <w:marBottom w:val="0"/>
      <w:divBdr>
        <w:top w:val="none" w:sz="0" w:space="0" w:color="auto"/>
        <w:left w:val="none" w:sz="0" w:space="0" w:color="auto"/>
        <w:bottom w:val="none" w:sz="0" w:space="0" w:color="auto"/>
        <w:right w:val="none" w:sz="0" w:space="0" w:color="auto"/>
      </w:divBdr>
      <w:divsChild>
        <w:div w:id="650134253">
          <w:marLeft w:val="0"/>
          <w:marRight w:val="0"/>
          <w:marTop w:val="0"/>
          <w:marBottom w:val="0"/>
          <w:divBdr>
            <w:top w:val="none" w:sz="0" w:space="0" w:color="auto"/>
            <w:left w:val="none" w:sz="0" w:space="0" w:color="auto"/>
            <w:bottom w:val="none" w:sz="0" w:space="0" w:color="auto"/>
            <w:right w:val="none" w:sz="0" w:space="0" w:color="auto"/>
          </w:divBdr>
          <w:divsChild>
            <w:div w:id="30307928">
              <w:marLeft w:val="0"/>
              <w:marRight w:val="0"/>
              <w:marTop w:val="0"/>
              <w:marBottom w:val="0"/>
              <w:divBdr>
                <w:top w:val="none" w:sz="0" w:space="0" w:color="auto"/>
                <w:left w:val="none" w:sz="0" w:space="0" w:color="auto"/>
                <w:bottom w:val="none" w:sz="0" w:space="0" w:color="auto"/>
                <w:right w:val="none" w:sz="0" w:space="0" w:color="auto"/>
              </w:divBdr>
              <w:divsChild>
                <w:div w:id="16124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6288">
      <w:bodyDiv w:val="1"/>
      <w:marLeft w:val="0"/>
      <w:marRight w:val="0"/>
      <w:marTop w:val="0"/>
      <w:marBottom w:val="0"/>
      <w:divBdr>
        <w:top w:val="none" w:sz="0" w:space="0" w:color="auto"/>
        <w:left w:val="none" w:sz="0" w:space="0" w:color="auto"/>
        <w:bottom w:val="none" w:sz="0" w:space="0" w:color="auto"/>
        <w:right w:val="none" w:sz="0" w:space="0" w:color="auto"/>
      </w:divBdr>
      <w:divsChild>
        <w:div w:id="743262988">
          <w:marLeft w:val="0"/>
          <w:marRight w:val="0"/>
          <w:marTop w:val="0"/>
          <w:marBottom w:val="0"/>
          <w:divBdr>
            <w:top w:val="none" w:sz="0" w:space="0" w:color="auto"/>
            <w:left w:val="none" w:sz="0" w:space="0" w:color="auto"/>
            <w:bottom w:val="none" w:sz="0" w:space="0" w:color="auto"/>
            <w:right w:val="none" w:sz="0" w:space="0" w:color="auto"/>
          </w:divBdr>
          <w:divsChild>
            <w:div w:id="1608999280">
              <w:marLeft w:val="0"/>
              <w:marRight w:val="0"/>
              <w:marTop w:val="0"/>
              <w:marBottom w:val="0"/>
              <w:divBdr>
                <w:top w:val="none" w:sz="0" w:space="0" w:color="auto"/>
                <w:left w:val="none" w:sz="0" w:space="0" w:color="auto"/>
                <w:bottom w:val="none" w:sz="0" w:space="0" w:color="auto"/>
                <w:right w:val="none" w:sz="0" w:space="0" w:color="auto"/>
              </w:divBdr>
              <w:divsChild>
                <w:div w:id="190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7131">
      <w:bodyDiv w:val="1"/>
      <w:marLeft w:val="0"/>
      <w:marRight w:val="0"/>
      <w:marTop w:val="0"/>
      <w:marBottom w:val="0"/>
      <w:divBdr>
        <w:top w:val="none" w:sz="0" w:space="0" w:color="auto"/>
        <w:left w:val="none" w:sz="0" w:space="0" w:color="auto"/>
        <w:bottom w:val="none" w:sz="0" w:space="0" w:color="auto"/>
        <w:right w:val="none" w:sz="0" w:space="0" w:color="auto"/>
      </w:divBdr>
      <w:divsChild>
        <w:div w:id="970600075">
          <w:marLeft w:val="0"/>
          <w:marRight w:val="0"/>
          <w:marTop w:val="0"/>
          <w:marBottom w:val="0"/>
          <w:divBdr>
            <w:top w:val="none" w:sz="0" w:space="0" w:color="auto"/>
            <w:left w:val="none" w:sz="0" w:space="0" w:color="auto"/>
            <w:bottom w:val="none" w:sz="0" w:space="0" w:color="auto"/>
            <w:right w:val="none" w:sz="0" w:space="0" w:color="auto"/>
          </w:divBdr>
          <w:divsChild>
            <w:div w:id="515386546">
              <w:marLeft w:val="0"/>
              <w:marRight w:val="0"/>
              <w:marTop w:val="0"/>
              <w:marBottom w:val="0"/>
              <w:divBdr>
                <w:top w:val="none" w:sz="0" w:space="0" w:color="auto"/>
                <w:left w:val="none" w:sz="0" w:space="0" w:color="auto"/>
                <w:bottom w:val="none" w:sz="0" w:space="0" w:color="auto"/>
                <w:right w:val="none" w:sz="0" w:space="0" w:color="auto"/>
              </w:divBdr>
              <w:divsChild>
                <w:div w:id="8759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79451982">
      <w:bodyDiv w:val="1"/>
      <w:marLeft w:val="0"/>
      <w:marRight w:val="0"/>
      <w:marTop w:val="0"/>
      <w:marBottom w:val="0"/>
      <w:divBdr>
        <w:top w:val="none" w:sz="0" w:space="0" w:color="auto"/>
        <w:left w:val="none" w:sz="0" w:space="0" w:color="auto"/>
        <w:bottom w:val="none" w:sz="0" w:space="0" w:color="auto"/>
        <w:right w:val="none" w:sz="0" w:space="0" w:color="auto"/>
      </w:divBdr>
      <w:divsChild>
        <w:div w:id="195628668">
          <w:marLeft w:val="0"/>
          <w:marRight w:val="0"/>
          <w:marTop w:val="0"/>
          <w:marBottom w:val="0"/>
          <w:divBdr>
            <w:top w:val="none" w:sz="0" w:space="0" w:color="auto"/>
            <w:left w:val="none" w:sz="0" w:space="0" w:color="auto"/>
            <w:bottom w:val="none" w:sz="0" w:space="0" w:color="auto"/>
            <w:right w:val="none" w:sz="0" w:space="0" w:color="auto"/>
          </w:divBdr>
          <w:divsChild>
            <w:div w:id="453597908">
              <w:marLeft w:val="0"/>
              <w:marRight w:val="0"/>
              <w:marTop w:val="0"/>
              <w:marBottom w:val="0"/>
              <w:divBdr>
                <w:top w:val="none" w:sz="0" w:space="0" w:color="auto"/>
                <w:left w:val="none" w:sz="0" w:space="0" w:color="auto"/>
                <w:bottom w:val="none" w:sz="0" w:space="0" w:color="auto"/>
                <w:right w:val="none" w:sz="0" w:space="0" w:color="auto"/>
              </w:divBdr>
              <w:divsChild>
                <w:div w:id="786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876358648">
      <w:bodyDiv w:val="1"/>
      <w:marLeft w:val="0"/>
      <w:marRight w:val="0"/>
      <w:marTop w:val="0"/>
      <w:marBottom w:val="0"/>
      <w:divBdr>
        <w:top w:val="none" w:sz="0" w:space="0" w:color="auto"/>
        <w:left w:val="none" w:sz="0" w:space="0" w:color="auto"/>
        <w:bottom w:val="none" w:sz="0" w:space="0" w:color="auto"/>
        <w:right w:val="none" w:sz="0" w:space="0" w:color="auto"/>
      </w:divBdr>
      <w:divsChild>
        <w:div w:id="1860728684">
          <w:marLeft w:val="0"/>
          <w:marRight w:val="0"/>
          <w:marTop w:val="0"/>
          <w:marBottom w:val="0"/>
          <w:divBdr>
            <w:top w:val="none" w:sz="0" w:space="0" w:color="auto"/>
            <w:left w:val="none" w:sz="0" w:space="0" w:color="auto"/>
            <w:bottom w:val="none" w:sz="0" w:space="0" w:color="auto"/>
            <w:right w:val="none" w:sz="0" w:space="0" w:color="auto"/>
          </w:divBdr>
          <w:divsChild>
            <w:div w:id="1698892386">
              <w:marLeft w:val="0"/>
              <w:marRight w:val="0"/>
              <w:marTop w:val="0"/>
              <w:marBottom w:val="0"/>
              <w:divBdr>
                <w:top w:val="none" w:sz="0" w:space="0" w:color="auto"/>
                <w:left w:val="none" w:sz="0" w:space="0" w:color="auto"/>
                <w:bottom w:val="none" w:sz="0" w:space="0" w:color="auto"/>
                <w:right w:val="none" w:sz="0" w:space="0" w:color="auto"/>
              </w:divBdr>
              <w:divsChild>
                <w:div w:id="2436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4561">
          <w:marLeft w:val="0"/>
          <w:marRight w:val="0"/>
          <w:marTop w:val="0"/>
          <w:marBottom w:val="0"/>
          <w:divBdr>
            <w:top w:val="none" w:sz="0" w:space="0" w:color="auto"/>
            <w:left w:val="none" w:sz="0" w:space="0" w:color="auto"/>
            <w:bottom w:val="none" w:sz="0" w:space="0" w:color="auto"/>
            <w:right w:val="none" w:sz="0" w:space="0" w:color="auto"/>
          </w:divBdr>
          <w:divsChild>
            <w:div w:id="1522670544">
              <w:marLeft w:val="0"/>
              <w:marRight w:val="0"/>
              <w:marTop w:val="0"/>
              <w:marBottom w:val="0"/>
              <w:divBdr>
                <w:top w:val="none" w:sz="0" w:space="0" w:color="auto"/>
                <w:left w:val="none" w:sz="0" w:space="0" w:color="auto"/>
                <w:bottom w:val="none" w:sz="0" w:space="0" w:color="auto"/>
                <w:right w:val="none" w:sz="0" w:space="0" w:color="auto"/>
              </w:divBdr>
              <w:divsChild>
                <w:div w:id="526141010">
                  <w:marLeft w:val="0"/>
                  <w:marRight w:val="0"/>
                  <w:marTop w:val="0"/>
                  <w:marBottom w:val="0"/>
                  <w:divBdr>
                    <w:top w:val="none" w:sz="0" w:space="0" w:color="auto"/>
                    <w:left w:val="none" w:sz="0" w:space="0" w:color="auto"/>
                    <w:bottom w:val="none" w:sz="0" w:space="0" w:color="auto"/>
                    <w:right w:val="none" w:sz="0" w:space="0" w:color="auto"/>
                  </w:divBdr>
                </w:div>
              </w:divsChild>
            </w:div>
            <w:div w:id="626474561">
              <w:marLeft w:val="0"/>
              <w:marRight w:val="0"/>
              <w:marTop w:val="0"/>
              <w:marBottom w:val="0"/>
              <w:divBdr>
                <w:top w:val="none" w:sz="0" w:space="0" w:color="auto"/>
                <w:left w:val="none" w:sz="0" w:space="0" w:color="auto"/>
                <w:bottom w:val="none" w:sz="0" w:space="0" w:color="auto"/>
                <w:right w:val="none" w:sz="0" w:space="0" w:color="auto"/>
              </w:divBdr>
              <w:divsChild>
                <w:div w:id="21451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598">
      <w:bodyDiv w:val="1"/>
      <w:marLeft w:val="0"/>
      <w:marRight w:val="0"/>
      <w:marTop w:val="0"/>
      <w:marBottom w:val="0"/>
      <w:divBdr>
        <w:top w:val="none" w:sz="0" w:space="0" w:color="auto"/>
        <w:left w:val="none" w:sz="0" w:space="0" w:color="auto"/>
        <w:bottom w:val="none" w:sz="0" w:space="0" w:color="auto"/>
        <w:right w:val="none" w:sz="0" w:space="0" w:color="auto"/>
      </w:divBdr>
    </w:div>
    <w:div w:id="892276176">
      <w:bodyDiv w:val="1"/>
      <w:marLeft w:val="0"/>
      <w:marRight w:val="0"/>
      <w:marTop w:val="0"/>
      <w:marBottom w:val="0"/>
      <w:divBdr>
        <w:top w:val="none" w:sz="0" w:space="0" w:color="auto"/>
        <w:left w:val="none" w:sz="0" w:space="0" w:color="auto"/>
        <w:bottom w:val="none" w:sz="0" w:space="0" w:color="auto"/>
        <w:right w:val="none" w:sz="0" w:space="0" w:color="auto"/>
      </w:divBdr>
      <w:divsChild>
        <w:div w:id="1922791831">
          <w:marLeft w:val="0"/>
          <w:marRight w:val="0"/>
          <w:marTop w:val="0"/>
          <w:marBottom w:val="0"/>
          <w:divBdr>
            <w:top w:val="none" w:sz="0" w:space="0" w:color="auto"/>
            <w:left w:val="none" w:sz="0" w:space="0" w:color="auto"/>
            <w:bottom w:val="none" w:sz="0" w:space="0" w:color="auto"/>
            <w:right w:val="none" w:sz="0" w:space="0" w:color="auto"/>
          </w:divBdr>
          <w:divsChild>
            <w:div w:id="505704392">
              <w:marLeft w:val="0"/>
              <w:marRight w:val="0"/>
              <w:marTop w:val="0"/>
              <w:marBottom w:val="0"/>
              <w:divBdr>
                <w:top w:val="none" w:sz="0" w:space="0" w:color="auto"/>
                <w:left w:val="none" w:sz="0" w:space="0" w:color="auto"/>
                <w:bottom w:val="none" w:sz="0" w:space="0" w:color="auto"/>
                <w:right w:val="none" w:sz="0" w:space="0" w:color="auto"/>
              </w:divBdr>
              <w:divsChild>
                <w:div w:id="19054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5552">
      <w:bodyDiv w:val="1"/>
      <w:marLeft w:val="0"/>
      <w:marRight w:val="0"/>
      <w:marTop w:val="0"/>
      <w:marBottom w:val="0"/>
      <w:divBdr>
        <w:top w:val="none" w:sz="0" w:space="0" w:color="auto"/>
        <w:left w:val="none" w:sz="0" w:space="0" w:color="auto"/>
        <w:bottom w:val="none" w:sz="0" w:space="0" w:color="auto"/>
        <w:right w:val="none" w:sz="0" w:space="0" w:color="auto"/>
      </w:divBdr>
    </w:div>
    <w:div w:id="920869252">
      <w:bodyDiv w:val="1"/>
      <w:marLeft w:val="0"/>
      <w:marRight w:val="0"/>
      <w:marTop w:val="0"/>
      <w:marBottom w:val="0"/>
      <w:divBdr>
        <w:top w:val="none" w:sz="0" w:space="0" w:color="auto"/>
        <w:left w:val="none" w:sz="0" w:space="0" w:color="auto"/>
        <w:bottom w:val="none" w:sz="0" w:space="0" w:color="auto"/>
        <w:right w:val="none" w:sz="0" w:space="0" w:color="auto"/>
      </w:divBdr>
      <w:divsChild>
        <w:div w:id="2048599471">
          <w:marLeft w:val="0"/>
          <w:marRight w:val="0"/>
          <w:marTop w:val="0"/>
          <w:marBottom w:val="0"/>
          <w:divBdr>
            <w:top w:val="none" w:sz="0" w:space="0" w:color="auto"/>
            <w:left w:val="none" w:sz="0" w:space="0" w:color="auto"/>
            <w:bottom w:val="none" w:sz="0" w:space="0" w:color="auto"/>
            <w:right w:val="none" w:sz="0" w:space="0" w:color="auto"/>
          </w:divBdr>
          <w:divsChild>
            <w:div w:id="819922217">
              <w:marLeft w:val="0"/>
              <w:marRight w:val="0"/>
              <w:marTop w:val="0"/>
              <w:marBottom w:val="0"/>
              <w:divBdr>
                <w:top w:val="none" w:sz="0" w:space="0" w:color="auto"/>
                <w:left w:val="none" w:sz="0" w:space="0" w:color="auto"/>
                <w:bottom w:val="none" w:sz="0" w:space="0" w:color="auto"/>
                <w:right w:val="none" w:sz="0" w:space="0" w:color="auto"/>
              </w:divBdr>
              <w:divsChild>
                <w:div w:id="16397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829">
      <w:bodyDiv w:val="1"/>
      <w:marLeft w:val="0"/>
      <w:marRight w:val="0"/>
      <w:marTop w:val="0"/>
      <w:marBottom w:val="0"/>
      <w:divBdr>
        <w:top w:val="none" w:sz="0" w:space="0" w:color="auto"/>
        <w:left w:val="none" w:sz="0" w:space="0" w:color="auto"/>
        <w:bottom w:val="none" w:sz="0" w:space="0" w:color="auto"/>
        <w:right w:val="none" w:sz="0" w:space="0" w:color="auto"/>
      </w:divBdr>
      <w:divsChild>
        <w:div w:id="790171187">
          <w:marLeft w:val="0"/>
          <w:marRight w:val="0"/>
          <w:marTop w:val="0"/>
          <w:marBottom w:val="0"/>
          <w:divBdr>
            <w:top w:val="none" w:sz="0" w:space="0" w:color="auto"/>
            <w:left w:val="none" w:sz="0" w:space="0" w:color="auto"/>
            <w:bottom w:val="none" w:sz="0" w:space="0" w:color="auto"/>
            <w:right w:val="none" w:sz="0" w:space="0" w:color="auto"/>
          </w:divBdr>
          <w:divsChild>
            <w:div w:id="2027755326">
              <w:marLeft w:val="0"/>
              <w:marRight w:val="0"/>
              <w:marTop w:val="0"/>
              <w:marBottom w:val="0"/>
              <w:divBdr>
                <w:top w:val="none" w:sz="0" w:space="0" w:color="auto"/>
                <w:left w:val="none" w:sz="0" w:space="0" w:color="auto"/>
                <w:bottom w:val="none" w:sz="0" w:space="0" w:color="auto"/>
                <w:right w:val="none" w:sz="0" w:space="0" w:color="auto"/>
              </w:divBdr>
              <w:divsChild>
                <w:div w:id="13102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8512">
      <w:bodyDiv w:val="1"/>
      <w:marLeft w:val="0"/>
      <w:marRight w:val="0"/>
      <w:marTop w:val="0"/>
      <w:marBottom w:val="0"/>
      <w:divBdr>
        <w:top w:val="none" w:sz="0" w:space="0" w:color="auto"/>
        <w:left w:val="none" w:sz="0" w:space="0" w:color="auto"/>
        <w:bottom w:val="none" w:sz="0" w:space="0" w:color="auto"/>
        <w:right w:val="none" w:sz="0" w:space="0" w:color="auto"/>
      </w:divBdr>
      <w:divsChild>
        <w:div w:id="1438332897">
          <w:marLeft w:val="0"/>
          <w:marRight w:val="0"/>
          <w:marTop w:val="0"/>
          <w:marBottom w:val="0"/>
          <w:divBdr>
            <w:top w:val="none" w:sz="0" w:space="0" w:color="auto"/>
            <w:left w:val="none" w:sz="0" w:space="0" w:color="auto"/>
            <w:bottom w:val="none" w:sz="0" w:space="0" w:color="auto"/>
            <w:right w:val="none" w:sz="0" w:space="0" w:color="auto"/>
          </w:divBdr>
          <w:divsChild>
            <w:div w:id="112093350">
              <w:marLeft w:val="0"/>
              <w:marRight w:val="0"/>
              <w:marTop w:val="0"/>
              <w:marBottom w:val="0"/>
              <w:divBdr>
                <w:top w:val="none" w:sz="0" w:space="0" w:color="auto"/>
                <w:left w:val="none" w:sz="0" w:space="0" w:color="auto"/>
                <w:bottom w:val="none" w:sz="0" w:space="0" w:color="auto"/>
                <w:right w:val="none" w:sz="0" w:space="0" w:color="auto"/>
              </w:divBdr>
              <w:divsChild>
                <w:div w:id="2188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07296216">
      <w:bodyDiv w:val="1"/>
      <w:marLeft w:val="0"/>
      <w:marRight w:val="0"/>
      <w:marTop w:val="0"/>
      <w:marBottom w:val="0"/>
      <w:divBdr>
        <w:top w:val="none" w:sz="0" w:space="0" w:color="auto"/>
        <w:left w:val="none" w:sz="0" w:space="0" w:color="auto"/>
        <w:bottom w:val="none" w:sz="0" w:space="0" w:color="auto"/>
        <w:right w:val="none" w:sz="0" w:space="0" w:color="auto"/>
      </w:divBdr>
      <w:divsChild>
        <w:div w:id="1089429906">
          <w:marLeft w:val="0"/>
          <w:marRight w:val="0"/>
          <w:marTop w:val="0"/>
          <w:marBottom w:val="0"/>
          <w:divBdr>
            <w:top w:val="none" w:sz="0" w:space="0" w:color="auto"/>
            <w:left w:val="none" w:sz="0" w:space="0" w:color="auto"/>
            <w:bottom w:val="none" w:sz="0" w:space="0" w:color="auto"/>
            <w:right w:val="none" w:sz="0" w:space="0" w:color="auto"/>
          </w:divBdr>
          <w:divsChild>
            <w:div w:id="32312152">
              <w:marLeft w:val="0"/>
              <w:marRight w:val="0"/>
              <w:marTop w:val="0"/>
              <w:marBottom w:val="0"/>
              <w:divBdr>
                <w:top w:val="none" w:sz="0" w:space="0" w:color="auto"/>
                <w:left w:val="none" w:sz="0" w:space="0" w:color="auto"/>
                <w:bottom w:val="none" w:sz="0" w:space="0" w:color="auto"/>
                <w:right w:val="none" w:sz="0" w:space="0" w:color="auto"/>
              </w:divBdr>
              <w:divsChild>
                <w:div w:id="491483317">
                  <w:marLeft w:val="0"/>
                  <w:marRight w:val="0"/>
                  <w:marTop w:val="0"/>
                  <w:marBottom w:val="0"/>
                  <w:divBdr>
                    <w:top w:val="none" w:sz="0" w:space="0" w:color="auto"/>
                    <w:left w:val="none" w:sz="0" w:space="0" w:color="auto"/>
                    <w:bottom w:val="none" w:sz="0" w:space="0" w:color="auto"/>
                    <w:right w:val="none" w:sz="0" w:space="0" w:color="auto"/>
                  </w:divBdr>
                  <w:divsChild>
                    <w:div w:id="1401051643">
                      <w:marLeft w:val="0"/>
                      <w:marRight w:val="0"/>
                      <w:marTop w:val="0"/>
                      <w:marBottom w:val="0"/>
                      <w:divBdr>
                        <w:top w:val="none" w:sz="0" w:space="0" w:color="auto"/>
                        <w:left w:val="none" w:sz="0" w:space="0" w:color="auto"/>
                        <w:bottom w:val="none" w:sz="0" w:space="0" w:color="auto"/>
                        <w:right w:val="none" w:sz="0" w:space="0" w:color="auto"/>
                      </w:divBdr>
                      <w:divsChild>
                        <w:div w:id="1004211956">
                          <w:marLeft w:val="0"/>
                          <w:marRight w:val="0"/>
                          <w:marTop w:val="0"/>
                          <w:marBottom w:val="0"/>
                          <w:divBdr>
                            <w:top w:val="none" w:sz="0" w:space="0" w:color="auto"/>
                            <w:left w:val="none" w:sz="0" w:space="0" w:color="auto"/>
                            <w:bottom w:val="none" w:sz="0" w:space="0" w:color="auto"/>
                            <w:right w:val="none" w:sz="0" w:space="0" w:color="auto"/>
                          </w:divBdr>
                          <w:divsChild>
                            <w:div w:id="6190691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34768362">
      <w:bodyDiv w:val="1"/>
      <w:marLeft w:val="0"/>
      <w:marRight w:val="0"/>
      <w:marTop w:val="0"/>
      <w:marBottom w:val="0"/>
      <w:divBdr>
        <w:top w:val="none" w:sz="0" w:space="0" w:color="auto"/>
        <w:left w:val="none" w:sz="0" w:space="0" w:color="auto"/>
        <w:bottom w:val="none" w:sz="0" w:space="0" w:color="auto"/>
        <w:right w:val="none" w:sz="0" w:space="0" w:color="auto"/>
      </w:divBdr>
    </w:div>
    <w:div w:id="1053045209">
      <w:bodyDiv w:val="1"/>
      <w:marLeft w:val="0"/>
      <w:marRight w:val="0"/>
      <w:marTop w:val="0"/>
      <w:marBottom w:val="0"/>
      <w:divBdr>
        <w:top w:val="none" w:sz="0" w:space="0" w:color="auto"/>
        <w:left w:val="none" w:sz="0" w:space="0" w:color="auto"/>
        <w:bottom w:val="none" w:sz="0" w:space="0" w:color="auto"/>
        <w:right w:val="none" w:sz="0" w:space="0" w:color="auto"/>
      </w:divBdr>
      <w:divsChild>
        <w:div w:id="46074982">
          <w:marLeft w:val="0"/>
          <w:marRight w:val="0"/>
          <w:marTop w:val="0"/>
          <w:marBottom w:val="0"/>
          <w:divBdr>
            <w:top w:val="none" w:sz="0" w:space="0" w:color="auto"/>
            <w:left w:val="none" w:sz="0" w:space="0" w:color="auto"/>
            <w:bottom w:val="none" w:sz="0" w:space="0" w:color="auto"/>
            <w:right w:val="none" w:sz="0" w:space="0" w:color="auto"/>
          </w:divBdr>
          <w:divsChild>
            <w:div w:id="226182926">
              <w:marLeft w:val="0"/>
              <w:marRight w:val="0"/>
              <w:marTop w:val="0"/>
              <w:marBottom w:val="0"/>
              <w:divBdr>
                <w:top w:val="none" w:sz="0" w:space="0" w:color="auto"/>
                <w:left w:val="none" w:sz="0" w:space="0" w:color="auto"/>
                <w:bottom w:val="none" w:sz="0" w:space="0" w:color="auto"/>
                <w:right w:val="none" w:sz="0" w:space="0" w:color="auto"/>
              </w:divBdr>
              <w:divsChild>
                <w:div w:id="5775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056853857">
      <w:bodyDiv w:val="1"/>
      <w:marLeft w:val="0"/>
      <w:marRight w:val="0"/>
      <w:marTop w:val="0"/>
      <w:marBottom w:val="0"/>
      <w:divBdr>
        <w:top w:val="none" w:sz="0" w:space="0" w:color="auto"/>
        <w:left w:val="none" w:sz="0" w:space="0" w:color="auto"/>
        <w:bottom w:val="none" w:sz="0" w:space="0" w:color="auto"/>
        <w:right w:val="none" w:sz="0" w:space="0" w:color="auto"/>
      </w:divBdr>
      <w:divsChild>
        <w:div w:id="932279709">
          <w:marLeft w:val="0"/>
          <w:marRight w:val="0"/>
          <w:marTop w:val="0"/>
          <w:marBottom w:val="0"/>
          <w:divBdr>
            <w:top w:val="none" w:sz="0" w:space="0" w:color="auto"/>
            <w:left w:val="none" w:sz="0" w:space="0" w:color="auto"/>
            <w:bottom w:val="none" w:sz="0" w:space="0" w:color="auto"/>
            <w:right w:val="none" w:sz="0" w:space="0" w:color="auto"/>
          </w:divBdr>
          <w:divsChild>
            <w:div w:id="1045107771">
              <w:marLeft w:val="0"/>
              <w:marRight w:val="0"/>
              <w:marTop w:val="0"/>
              <w:marBottom w:val="0"/>
              <w:divBdr>
                <w:top w:val="none" w:sz="0" w:space="0" w:color="auto"/>
                <w:left w:val="none" w:sz="0" w:space="0" w:color="auto"/>
                <w:bottom w:val="none" w:sz="0" w:space="0" w:color="auto"/>
                <w:right w:val="none" w:sz="0" w:space="0" w:color="auto"/>
              </w:divBdr>
              <w:divsChild>
                <w:div w:id="1905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4061">
      <w:bodyDiv w:val="1"/>
      <w:marLeft w:val="0"/>
      <w:marRight w:val="0"/>
      <w:marTop w:val="0"/>
      <w:marBottom w:val="0"/>
      <w:divBdr>
        <w:top w:val="none" w:sz="0" w:space="0" w:color="auto"/>
        <w:left w:val="none" w:sz="0" w:space="0" w:color="auto"/>
        <w:bottom w:val="none" w:sz="0" w:space="0" w:color="auto"/>
        <w:right w:val="none" w:sz="0" w:space="0" w:color="auto"/>
      </w:divBdr>
    </w:div>
    <w:div w:id="1115825771">
      <w:bodyDiv w:val="1"/>
      <w:marLeft w:val="0"/>
      <w:marRight w:val="0"/>
      <w:marTop w:val="0"/>
      <w:marBottom w:val="0"/>
      <w:divBdr>
        <w:top w:val="none" w:sz="0" w:space="0" w:color="auto"/>
        <w:left w:val="none" w:sz="0" w:space="0" w:color="auto"/>
        <w:bottom w:val="none" w:sz="0" w:space="0" w:color="auto"/>
        <w:right w:val="none" w:sz="0" w:space="0" w:color="auto"/>
      </w:divBdr>
      <w:divsChild>
        <w:div w:id="35080365">
          <w:marLeft w:val="0"/>
          <w:marRight w:val="0"/>
          <w:marTop w:val="0"/>
          <w:marBottom w:val="0"/>
          <w:divBdr>
            <w:top w:val="none" w:sz="0" w:space="0" w:color="auto"/>
            <w:left w:val="none" w:sz="0" w:space="0" w:color="auto"/>
            <w:bottom w:val="none" w:sz="0" w:space="0" w:color="auto"/>
            <w:right w:val="none" w:sz="0" w:space="0" w:color="auto"/>
          </w:divBdr>
          <w:divsChild>
            <w:div w:id="1025983866">
              <w:marLeft w:val="0"/>
              <w:marRight w:val="0"/>
              <w:marTop w:val="0"/>
              <w:marBottom w:val="0"/>
              <w:divBdr>
                <w:top w:val="none" w:sz="0" w:space="0" w:color="auto"/>
                <w:left w:val="none" w:sz="0" w:space="0" w:color="auto"/>
                <w:bottom w:val="none" w:sz="0" w:space="0" w:color="auto"/>
                <w:right w:val="none" w:sz="0" w:space="0" w:color="auto"/>
              </w:divBdr>
              <w:divsChild>
                <w:div w:id="11451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4484">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05367170">
      <w:bodyDiv w:val="1"/>
      <w:marLeft w:val="0"/>
      <w:marRight w:val="0"/>
      <w:marTop w:val="0"/>
      <w:marBottom w:val="0"/>
      <w:divBdr>
        <w:top w:val="none" w:sz="0" w:space="0" w:color="auto"/>
        <w:left w:val="none" w:sz="0" w:space="0" w:color="auto"/>
        <w:bottom w:val="none" w:sz="0" w:space="0" w:color="auto"/>
        <w:right w:val="none" w:sz="0" w:space="0" w:color="auto"/>
      </w:divBdr>
    </w:div>
    <w:div w:id="1211192266">
      <w:bodyDiv w:val="1"/>
      <w:marLeft w:val="0"/>
      <w:marRight w:val="0"/>
      <w:marTop w:val="0"/>
      <w:marBottom w:val="0"/>
      <w:divBdr>
        <w:top w:val="none" w:sz="0" w:space="0" w:color="auto"/>
        <w:left w:val="none" w:sz="0" w:space="0" w:color="auto"/>
        <w:bottom w:val="none" w:sz="0" w:space="0" w:color="auto"/>
        <w:right w:val="none" w:sz="0" w:space="0" w:color="auto"/>
      </w:divBdr>
      <w:divsChild>
        <w:div w:id="1094327103">
          <w:marLeft w:val="0"/>
          <w:marRight w:val="0"/>
          <w:marTop w:val="0"/>
          <w:marBottom w:val="0"/>
          <w:divBdr>
            <w:top w:val="none" w:sz="0" w:space="0" w:color="auto"/>
            <w:left w:val="none" w:sz="0" w:space="0" w:color="auto"/>
            <w:bottom w:val="none" w:sz="0" w:space="0" w:color="auto"/>
            <w:right w:val="none" w:sz="0" w:space="0" w:color="auto"/>
          </w:divBdr>
          <w:divsChild>
            <w:div w:id="690912136">
              <w:marLeft w:val="0"/>
              <w:marRight w:val="0"/>
              <w:marTop w:val="0"/>
              <w:marBottom w:val="0"/>
              <w:divBdr>
                <w:top w:val="none" w:sz="0" w:space="0" w:color="auto"/>
                <w:left w:val="none" w:sz="0" w:space="0" w:color="auto"/>
                <w:bottom w:val="none" w:sz="0" w:space="0" w:color="auto"/>
                <w:right w:val="none" w:sz="0" w:space="0" w:color="auto"/>
              </w:divBdr>
              <w:divsChild>
                <w:div w:id="11009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9156">
      <w:bodyDiv w:val="1"/>
      <w:marLeft w:val="0"/>
      <w:marRight w:val="0"/>
      <w:marTop w:val="0"/>
      <w:marBottom w:val="0"/>
      <w:divBdr>
        <w:top w:val="none" w:sz="0" w:space="0" w:color="auto"/>
        <w:left w:val="none" w:sz="0" w:space="0" w:color="auto"/>
        <w:bottom w:val="none" w:sz="0" w:space="0" w:color="auto"/>
        <w:right w:val="none" w:sz="0" w:space="0" w:color="auto"/>
      </w:divBdr>
      <w:divsChild>
        <w:div w:id="784351288">
          <w:marLeft w:val="0"/>
          <w:marRight w:val="0"/>
          <w:marTop w:val="0"/>
          <w:marBottom w:val="0"/>
          <w:divBdr>
            <w:top w:val="none" w:sz="0" w:space="0" w:color="auto"/>
            <w:left w:val="none" w:sz="0" w:space="0" w:color="auto"/>
            <w:bottom w:val="none" w:sz="0" w:space="0" w:color="auto"/>
            <w:right w:val="none" w:sz="0" w:space="0" w:color="auto"/>
          </w:divBdr>
          <w:divsChild>
            <w:div w:id="700201606">
              <w:marLeft w:val="0"/>
              <w:marRight w:val="0"/>
              <w:marTop w:val="0"/>
              <w:marBottom w:val="0"/>
              <w:divBdr>
                <w:top w:val="none" w:sz="0" w:space="0" w:color="auto"/>
                <w:left w:val="none" w:sz="0" w:space="0" w:color="auto"/>
                <w:bottom w:val="none" w:sz="0" w:space="0" w:color="auto"/>
                <w:right w:val="none" w:sz="0" w:space="0" w:color="auto"/>
              </w:divBdr>
              <w:divsChild>
                <w:div w:id="1154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31557">
      <w:bodyDiv w:val="1"/>
      <w:marLeft w:val="0"/>
      <w:marRight w:val="0"/>
      <w:marTop w:val="0"/>
      <w:marBottom w:val="0"/>
      <w:divBdr>
        <w:top w:val="none" w:sz="0" w:space="0" w:color="auto"/>
        <w:left w:val="none" w:sz="0" w:space="0" w:color="auto"/>
        <w:bottom w:val="none" w:sz="0" w:space="0" w:color="auto"/>
        <w:right w:val="none" w:sz="0" w:space="0" w:color="auto"/>
      </w:divBdr>
    </w:div>
    <w:div w:id="1230194961">
      <w:bodyDiv w:val="1"/>
      <w:marLeft w:val="0"/>
      <w:marRight w:val="0"/>
      <w:marTop w:val="0"/>
      <w:marBottom w:val="0"/>
      <w:divBdr>
        <w:top w:val="none" w:sz="0" w:space="0" w:color="auto"/>
        <w:left w:val="none" w:sz="0" w:space="0" w:color="auto"/>
        <w:bottom w:val="none" w:sz="0" w:space="0" w:color="auto"/>
        <w:right w:val="none" w:sz="0" w:space="0" w:color="auto"/>
      </w:divBdr>
    </w:div>
    <w:div w:id="1235316813">
      <w:bodyDiv w:val="1"/>
      <w:marLeft w:val="0"/>
      <w:marRight w:val="0"/>
      <w:marTop w:val="0"/>
      <w:marBottom w:val="0"/>
      <w:divBdr>
        <w:top w:val="none" w:sz="0" w:space="0" w:color="auto"/>
        <w:left w:val="none" w:sz="0" w:space="0" w:color="auto"/>
        <w:bottom w:val="none" w:sz="0" w:space="0" w:color="auto"/>
        <w:right w:val="none" w:sz="0" w:space="0" w:color="auto"/>
      </w:divBdr>
      <w:divsChild>
        <w:div w:id="1321956722">
          <w:marLeft w:val="0"/>
          <w:marRight w:val="0"/>
          <w:marTop w:val="0"/>
          <w:marBottom w:val="0"/>
          <w:divBdr>
            <w:top w:val="none" w:sz="0" w:space="0" w:color="auto"/>
            <w:left w:val="none" w:sz="0" w:space="0" w:color="auto"/>
            <w:bottom w:val="none" w:sz="0" w:space="0" w:color="auto"/>
            <w:right w:val="none" w:sz="0" w:space="0" w:color="auto"/>
          </w:divBdr>
          <w:divsChild>
            <w:div w:id="1254239681">
              <w:marLeft w:val="0"/>
              <w:marRight w:val="0"/>
              <w:marTop w:val="0"/>
              <w:marBottom w:val="0"/>
              <w:divBdr>
                <w:top w:val="none" w:sz="0" w:space="0" w:color="auto"/>
                <w:left w:val="none" w:sz="0" w:space="0" w:color="auto"/>
                <w:bottom w:val="none" w:sz="0" w:space="0" w:color="auto"/>
                <w:right w:val="none" w:sz="0" w:space="0" w:color="auto"/>
              </w:divBdr>
              <w:divsChild>
                <w:div w:id="20245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98801">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10667989">
      <w:bodyDiv w:val="1"/>
      <w:marLeft w:val="0"/>
      <w:marRight w:val="0"/>
      <w:marTop w:val="0"/>
      <w:marBottom w:val="0"/>
      <w:divBdr>
        <w:top w:val="none" w:sz="0" w:space="0" w:color="auto"/>
        <w:left w:val="none" w:sz="0" w:space="0" w:color="auto"/>
        <w:bottom w:val="none" w:sz="0" w:space="0" w:color="auto"/>
        <w:right w:val="none" w:sz="0" w:space="0" w:color="auto"/>
      </w:divBdr>
      <w:divsChild>
        <w:div w:id="1122382603">
          <w:marLeft w:val="0"/>
          <w:marRight w:val="0"/>
          <w:marTop w:val="0"/>
          <w:marBottom w:val="0"/>
          <w:divBdr>
            <w:top w:val="none" w:sz="0" w:space="0" w:color="auto"/>
            <w:left w:val="none" w:sz="0" w:space="0" w:color="auto"/>
            <w:bottom w:val="none" w:sz="0" w:space="0" w:color="auto"/>
            <w:right w:val="none" w:sz="0" w:space="0" w:color="auto"/>
          </w:divBdr>
          <w:divsChild>
            <w:div w:id="1779254782">
              <w:marLeft w:val="0"/>
              <w:marRight w:val="0"/>
              <w:marTop w:val="0"/>
              <w:marBottom w:val="0"/>
              <w:divBdr>
                <w:top w:val="none" w:sz="0" w:space="0" w:color="auto"/>
                <w:left w:val="none" w:sz="0" w:space="0" w:color="auto"/>
                <w:bottom w:val="none" w:sz="0" w:space="0" w:color="auto"/>
                <w:right w:val="none" w:sz="0" w:space="0" w:color="auto"/>
              </w:divBdr>
              <w:divsChild>
                <w:div w:id="3263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425762703">
      <w:bodyDiv w:val="1"/>
      <w:marLeft w:val="0"/>
      <w:marRight w:val="0"/>
      <w:marTop w:val="0"/>
      <w:marBottom w:val="0"/>
      <w:divBdr>
        <w:top w:val="none" w:sz="0" w:space="0" w:color="auto"/>
        <w:left w:val="none" w:sz="0" w:space="0" w:color="auto"/>
        <w:bottom w:val="none" w:sz="0" w:space="0" w:color="auto"/>
        <w:right w:val="none" w:sz="0" w:space="0" w:color="auto"/>
      </w:divBdr>
      <w:divsChild>
        <w:div w:id="419110079">
          <w:marLeft w:val="0"/>
          <w:marRight w:val="0"/>
          <w:marTop w:val="0"/>
          <w:marBottom w:val="0"/>
          <w:divBdr>
            <w:top w:val="none" w:sz="0" w:space="0" w:color="auto"/>
            <w:left w:val="none" w:sz="0" w:space="0" w:color="auto"/>
            <w:bottom w:val="none" w:sz="0" w:space="0" w:color="auto"/>
            <w:right w:val="none" w:sz="0" w:space="0" w:color="auto"/>
          </w:divBdr>
          <w:divsChild>
            <w:div w:id="553395">
              <w:marLeft w:val="0"/>
              <w:marRight w:val="0"/>
              <w:marTop w:val="0"/>
              <w:marBottom w:val="0"/>
              <w:divBdr>
                <w:top w:val="none" w:sz="0" w:space="0" w:color="auto"/>
                <w:left w:val="none" w:sz="0" w:space="0" w:color="auto"/>
                <w:bottom w:val="none" w:sz="0" w:space="0" w:color="auto"/>
                <w:right w:val="none" w:sz="0" w:space="0" w:color="auto"/>
              </w:divBdr>
              <w:divsChild>
                <w:div w:id="10185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3093">
      <w:bodyDiv w:val="1"/>
      <w:marLeft w:val="0"/>
      <w:marRight w:val="0"/>
      <w:marTop w:val="0"/>
      <w:marBottom w:val="0"/>
      <w:divBdr>
        <w:top w:val="none" w:sz="0" w:space="0" w:color="auto"/>
        <w:left w:val="none" w:sz="0" w:space="0" w:color="auto"/>
        <w:bottom w:val="none" w:sz="0" w:space="0" w:color="auto"/>
        <w:right w:val="none" w:sz="0" w:space="0" w:color="auto"/>
      </w:divBdr>
      <w:divsChild>
        <w:div w:id="670066220">
          <w:marLeft w:val="0"/>
          <w:marRight w:val="0"/>
          <w:marTop w:val="0"/>
          <w:marBottom w:val="0"/>
          <w:divBdr>
            <w:top w:val="none" w:sz="0" w:space="0" w:color="auto"/>
            <w:left w:val="none" w:sz="0" w:space="0" w:color="auto"/>
            <w:bottom w:val="none" w:sz="0" w:space="0" w:color="auto"/>
            <w:right w:val="none" w:sz="0" w:space="0" w:color="auto"/>
          </w:divBdr>
          <w:divsChild>
            <w:div w:id="838619376">
              <w:marLeft w:val="0"/>
              <w:marRight w:val="0"/>
              <w:marTop w:val="0"/>
              <w:marBottom w:val="0"/>
              <w:divBdr>
                <w:top w:val="none" w:sz="0" w:space="0" w:color="auto"/>
                <w:left w:val="none" w:sz="0" w:space="0" w:color="auto"/>
                <w:bottom w:val="none" w:sz="0" w:space="0" w:color="auto"/>
                <w:right w:val="none" w:sz="0" w:space="0" w:color="auto"/>
              </w:divBdr>
              <w:divsChild>
                <w:div w:id="3212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656907303">
      <w:bodyDiv w:val="1"/>
      <w:marLeft w:val="0"/>
      <w:marRight w:val="0"/>
      <w:marTop w:val="0"/>
      <w:marBottom w:val="0"/>
      <w:divBdr>
        <w:top w:val="none" w:sz="0" w:space="0" w:color="auto"/>
        <w:left w:val="none" w:sz="0" w:space="0" w:color="auto"/>
        <w:bottom w:val="none" w:sz="0" w:space="0" w:color="auto"/>
        <w:right w:val="none" w:sz="0" w:space="0" w:color="auto"/>
      </w:divBdr>
    </w:div>
    <w:div w:id="1685474044">
      <w:bodyDiv w:val="1"/>
      <w:marLeft w:val="0"/>
      <w:marRight w:val="0"/>
      <w:marTop w:val="0"/>
      <w:marBottom w:val="0"/>
      <w:divBdr>
        <w:top w:val="none" w:sz="0" w:space="0" w:color="auto"/>
        <w:left w:val="none" w:sz="0" w:space="0" w:color="auto"/>
        <w:bottom w:val="none" w:sz="0" w:space="0" w:color="auto"/>
        <w:right w:val="none" w:sz="0" w:space="0" w:color="auto"/>
      </w:divBdr>
    </w:div>
    <w:div w:id="1691177345">
      <w:bodyDiv w:val="1"/>
      <w:marLeft w:val="0"/>
      <w:marRight w:val="0"/>
      <w:marTop w:val="0"/>
      <w:marBottom w:val="0"/>
      <w:divBdr>
        <w:top w:val="none" w:sz="0" w:space="0" w:color="auto"/>
        <w:left w:val="none" w:sz="0" w:space="0" w:color="auto"/>
        <w:bottom w:val="none" w:sz="0" w:space="0" w:color="auto"/>
        <w:right w:val="none" w:sz="0" w:space="0" w:color="auto"/>
      </w:divBdr>
    </w:div>
    <w:div w:id="1733427263">
      <w:bodyDiv w:val="1"/>
      <w:marLeft w:val="0"/>
      <w:marRight w:val="0"/>
      <w:marTop w:val="0"/>
      <w:marBottom w:val="0"/>
      <w:divBdr>
        <w:top w:val="none" w:sz="0" w:space="0" w:color="auto"/>
        <w:left w:val="none" w:sz="0" w:space="0" w:color="auto"/>
        <w:bottom w:val="none" w:sz="0" w:space="0" w:color="auto"/>
        <w:right w:val="none" w:sz="0" w:space="0" w:color="auto"/>
      </w:divBdr>
    </w:div>
    <w:div w:id="1741907950">
      <w:bodyDiv w:val="1"/>
      <w:marLeft w:val="0"/>
      <w:marRight w:val="0"/>
      <w:marTop w:val="0"/>
      <w:marBottom w:val="0"/>
      <w:divBdr>
        <w:top w:val="none" w:sz="0" w:space="0" w:color="auto"/>
        <w:left w:val="none" w:sz="0" w:space="0" w:color="auto"/>
        <w:bottom w:val="none" w:sz="0" w:space="0" w:color="auto"/>
        <w:right w:val="none" w:sz="0" w:space="0" w:color="auto"/>
      </w:divBdr>
      <w:divsChild>
        <w:div w:id="474949210">
          <w:marLeft w:val="0"/>
          <w:marRight w:val="0"/>
          <w:marTop w:val="0"/>
          <w:marBottom w:val="0"/>
          <w:divBdr>
            <w:top w:val="none" w:sz="0" w:space="0" w:color="auto"/>
            <w:left w:val="none" w:sz="0" w:space="0" w:color="auto"/>
            <w:bottom w:val="none" w:sz="0" w:space="0" w:color="auto"/>
            <w:right w:val="none" w:sz="0" w:space="0" w:color="auto"/>
          </w:divBdr>
          <w:divsChild>
            <w:div w:id="189488302">
              <w:marLeft w:val="0"/>
              <w:marRight w:val="0"/>
              <w:marTop w:val="0"/>
              <w:marBottom w:val="0"/>
              <w:divBdr>
                <w:top w:val="none" w:sz="0" w:space="0" w:color="auto"/>
                <w:left w:val="none" w:sz="0" w:space="0" w:color="auto"/>
                <w:bottom w:val="none" w:sz="0" w:space="0" w:color="auto"/>
                <w:right w:val="none" w:sz="0" w:space="0" w:color="auto"/>
              </w:divBdr>
              <w:divsChild>
                <w:div w:id="2881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12281467">
      <w:bodyDiv w:val="1"/>
      <w:marLeft w:val="0"/>
      <w:marRight w:val="0"/>
      <w:marTop w:val="0"/>
      <w:marBottom w:val="0"/>
      <w:divBdr>
        <w:top w:val="none" w:sz="0" w:space="0" w:color="auto"/>
        <w:left w:val="none" w:sz="0" w:space="0" w:color="auto"/>
        <w:bottom w:val="none" w:sz="0" w:space="0" w:color="auto"/>
        <w:right w:val="none" w:sz="0" w:space="0" w:color="auto"/>
      </w:divBdr>
      <w:divsChild>
        <w:div w:id="1290086255">
          <w:marLeft w:val="0"/>
          <w:marRight w:val="0"/>
          <w:marTop w:val="0"/>
          <w:marBottom w:val="0"/>
          <w:divBdr>
            <w:top w:val="none" w:sz="0" w:space="0" w:color="auto"/>
            <w:left w:val="none" w:sz="0" w:space="0" w:color="auto"/>
            <w:bottom w:val="none" w:sz="0" w:space="0" w:color="auto"/>
            <w:right w:val="none" w:sz="0" w:space="0" w:color="auto"/>
          </w:divBdr>
          <w:divsChild>
            <w:div w:id="57870172">
              <w:marLeft w:val="0"/>
              <w:marRight w:val="0"/>
              <w:marTop w:val="0"/>
              <w:marBottom w:val="0"/>
              <w:divBdr>
                <w:top w:val="none" w:sz="0" w:space="0" w:color="auto"/>
                <w:left w:val="none" w:sz="0" w:space="0" w:color="auto"/>
                <w:bottom w:val="none" w:sz="0" w:space="0" w:color="auto"/>
                <w:right w:val="none" w:sz="0" w:space="0" w:color="auto"/>
              </w:divBdr>
              <w:divsChild>
                <w:div w:id="12739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22257541">
      <w:bodyDiv w:val="1"/>
      <w:marLeft w:val="0"/>
      <w:marRight w:val="0"/>
      <w:marTop w:val="0"/>
      <w:marBottom w:val="0"/>
      <w:divBdr>
        <w:top w:val="none" w:sz="0" w:space="0" w:color="auto"/>
        <w:left w:val="none" w:sz="0" w:space="0" w:color="auto"/>
        <w:bottom w:val="none" w:sz="0" w:space="0" w:color="auto"/>
        <w:right w:val="none" w:sz="0" w:space="0" w:color="auto"/>
      </w:divBdr>
    </w:div>
    <w:div w:id="1927684044">
      <w:bodyDiv w:val="1"/>
      <w:marLeft w:val="0"/>
      <w:marRight w:val="0"/>
      <w:marTop w:val="0"/>
      <w:marBottom w:val="0"/>
      <w:divBdr>
        <w:top w:val="none" w:sz="0" w:space="0" w:color="auto"/>
        <w:left w:val="none" w:sz="0" w:space="0" w:color="auto"/>
        <w:bottom w:val="none" w:sz="0" w:space="0" w:color="auto"/>
        <w:right w:val="none" w:sz="0" w:space="0" w:color="auto"/>
      </w:divBdr>
      <w:divsChild>
        <w:div w:id="1045912038">
          <w:marLeft w:val="0"/>
          <w:marRight w:val="0"/>
          <w:marTop w:val="0"/>
          <w:marBottom w:val="0"/>
          <w:divBdr>
            <w:top w:val="none" w:sz="0" w:space="0" w:color="auto"/>
            <w:left w:val="none" w:sz="0" w:space="0" w:color="auto"/>
            <w:bottom w:val="none" w:sz="0" w:space="0" w:color="auto"/>
            <w:right w:val="none" w:sz="0" w:space="0" w:color="auto"/>
          </w:divBdr>
          <w:divsChild>
            <w:div w:id="1373842940">
              <w:marLeft w:val="0"/>
              <w:marRight w:val="0"/>
              <w:marTop w:val="0"/>
              <w:marBottom w:val="0"/>
              <w:divBdr>
                <w:top w:val="none" w:sz="0" w:space="0" w:color="auto"/>
                <w:left w:val="none" w:sz="0" w:space="0" w:color="auto"/>
                <w:bottom w:val="none" w:sz="0" w:space="0" w:color="auto"/>
                <w:right w:val="none" w:sz="0" w:space="0" w:color="auto"/>
              </w:divBdr>
              <w:divsChild>
                <w:div w:id="65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7747">
      <w:bodyDiv w:val="1"/>
      <w:marLeft w:val="0"/>
      <w:marRight w:val="0"/>
      <w:marTop w:val="0"/>
      <w:marBottom w:val="0"/>
      <w:divBdr>
        <w:top w:val="none" w:sz="0" w:space="0" w:color="auto"/>
        <w:left w:val="none" w:sz="0" w:space="0" w:color="auto"/>
        <w:bottom w:val="none" w:sz="0" w:space="0" w:color="auto"/>
        <w:right w:val="none" w:sz="0" w:space="0" w:color="auto"/>
      </w:divBdr>
      <w:divsChild>
        <w:div w:id="1438209429">
          <w:marLeft w:val="0"/>
          <w:marRight w:val="0"/>
          <w:marTop w:val="0"/>
          <w:marBottom w:val="0"/>
          <w:divBdr>
            <w:top w:val="none" w:sz="0" w:space="0" w:color="auto"/>
            <w:left w:val="none" w:sz="0" w:space="0" w:color="auto"/>
            <w:bottom w:val="none" w:sz="0" w:space="0" w:color="auto"/>
            <w:right w:val="none" w:sz="0" w:space="0" w:color="auto"/>
          </w:divBdr>
          <w:divsChild>
            <w:div w:id="1718896183">
              <w:marLeft w:val="0"/>
              <w:marRight w:val="0"/>
              <w:marTop w:val="0"/>
              <w:marBottom w:val="0"/>
              <w:divBdr>
                <w:top w:val="none" w:sz="0" w:space="0" w:color="auto"/>
                <w:left w:val="none" w:sz="0" w:space="0" w:color="auto"/>
                <w:bottom w:val="none" w:sz="0" w:space="0" w:color="auto"/>
                <w:right w:val="none" w:sz="0" w:space="0" w:color="auto"/>
              </w:divBdr>
            </w:div>
            <w:div w:id="1315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2305">
      <w:bodyDiv w:val="1"/>
      <w:marLeft w:val="0"/>
      <w:marRight w:val="0"/>
      <w:marTop w:val="0"/>
      <w:marBottom w:val="0"/>
      <w:divBdr>
        <w:top w:val="none" w:sz="0" w:space="0" w:color="auto"/>
        <w:left w:val="none" w:sz="0" w:space="0" w:color="auto"/>
        <w:bottom w:val="none" w:sz="0" w:space="0" w:color="auto"/>
        <w:right w:val="none" w:sz="0" w:space="0" w:color="auto"/>
      </w:divBdr>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1988316733">
      <w:bodyDiv w:val="1"/>
      <w:marLeft w:val="0"/>
      <w:marRight w:val="0"/>
      <w:marTop w:val="0"/>
      <w:marBottom w:val="0"/>
      <w:divBdr>
        <w:top w:val="none" w:sz="0" w:space="0" w:color="auto"/>
        <w:left w:val="none" w:sz="0" w:space="0" w:color="auto"/>
        <w:bottom w:val="none" w:sz="0" w:space="0" w:color="auto"/>
        <w:right w:val="none" w:sz="0" w:space="0" w:color="auto"/>
      </w:divBdr>
      <w:divsChild>
        <w:div w:id="1054546559">
          <w:marLeft w:val="0"/>
          <w:marRight w:val="0"/>
          <w:marTop w:val="0"/>
          <w:marBottom w:val="0"/>
          <w:divBdr>
            <w:top w:val="none" w:sz="0" w:space="0" w:color="auto"/>
            <w:left w:val="none" w:sz="0" w:space="0" w:color="auto"/>
            <w:bottom w:val="none" w:sz="0" w:space="0" w:color="auto"/>
            <w:right w:val="none" w:sz="0" w:space="0" w:color="auto"/>
          </w:divBdr>
          <w:divsChild>
            <w:div w:id="1289311269">
              <w:marLeft w:val="0"/>
              <w:marRight w:val="0"/>
              <w:marTop w:val="0"/>
              <w:marBottom w:val="0"/>
              <w:divBdr>
                <w:top w:val="none" w:sz="0" w:space="0" w:color="auto"/>
                <w:left w:val="none" w:sz="0" w:space="0" w:color="auto"/>
                <w:bottom w:val="none" w:sz="0" w:space="0" w:color="auto"/>
                <w:right w:val="none" w:sz="0" w:space="0" w:color="auto"/>
              </w:divBdr>
              <w:divsChild>
                <w:div w:id="8681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8518">
          <w:marLeft w:val="0"/>
          <w:marRight w:val="0"/>
          <w:marTop w:val="0"/>
          <w:marBottom w:val="0"/>
          <w:divBdr>
            <w:top w:val="none" w:sz="0" w:space="0" w:color="auto"/>
            <w:left w:val="none" w:sz="0" w:space="0" w:color="auto"/>
            <w:bottom w:val="none" w:sz="0" w:space="0" w:color="auto"/>
            <w:right w:val="none" w:sz="0" w:space="0" w:color="auto"/>
          </w:divBdr>
          <w:divsChild>
            <w:div w:id="1974824523">
              <w:marLeft w:val="0"/>
              <w:marRight w:val="0"/>
              <w:marTop w:val="0"/>
              <w:marBottom w:val="0"/>
              <w:divBdr>
                <w:top w:val="none" w:sz="0" w:space="0" w:color="auto"/>
                <w:left w:val="none" w:sz="0" w:space="0" w:color="auto"/>
                <w:bottom w:val="none" w:sz="0" w:space="0" w:color="auto"/>
                <w:right w:val="none" w:sz="0" w:space="0" w:color="auto"/>
              </w:divBdr>
              <w:divsChild>
                <w:div w:id="2071540783">
                  <w:marLeft w:val="0"/>
                  <w:marRight w:val="0"/>
                  <w:marTop w:val="0"/>
                  <w:marBottom w:val="0"/>
                  <w:divBdr>
                    <w:top w:val="none" w:sz="0" w:space="0" w:color="auto"/>
                    <w:left w:val="none" w:sz="0" w:space="0" w:color="auto"/>
                    <w:bottom w:val="none" w:sz="0" w:space="0" w:color="auto"/>
                    <w:right w:val="none" w:sz="0" w:space="0" w:color="auto"/>
                  </w:divBdr>
                </w:div>
              </w:divsChild>
            </w:div>
            <w:div w:id="2059890820">
              <w:marLeft w:val="0"/>
              <w:marRight w:val="0"/>
              <w:marTop w:val="0"/>
              <w:marBottom w:val="0"/>
              <w:divBdr>
                <w:top w:val="none" w:sz="0" w:space="0" w:color="auto"/>
                <w:left w:val="none" w:sz="0" w:space="0" w:color="auto"/>
                <w:bottom w:val="none" w:sz="0" w:space="0" w:color="auto"/>
                <w:right w:val="none" w:sz="0" w:space="0" w:color="auto"/>
              </w:divBdr>
              <w:divsChild>
                <w:div w:id="1711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554">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30781960">
      <w:bodyDiv w:val="1"/>
      <w:marLeft w:val="0"/>
      <w:marRight w:val="0"/>
      <w:marTop w:val="0"/>
      <w:marBottom w:val="0"/>
      <w:divBdr>
        <w:top w:val="none" w:sz="0" w:space="0" w:color="auto"/>
        <w:left w:val="none" w:sz="0" w:space="0" w:color="auto"/>
        <w:bottom w:val="none" w:sz="0" w:space="0" w:color="auto"/>
        <w:right w:val="none" w:sz="0" w:space="0" w:color="auto"/>
      </w:divBdr>
      <w:divsChild>
        <w:div w:id="833688831">
          <w:marLeft w:val="0"/>
          <w:marRight w:val="0"/>
          <w:marTop w:val="0"/>
          <w:marBottom w:val="0"/>
          <w:divBdr>
            <w:top w:val="none" w:sz="0" w:space="0" w:color="auto"/>
            <w:left w:val="none" w:sz="0" w:space="0" w:color="auto"/>
            <w:bottom w:val="none" w:sz="0" w:space="0" w:color="auto"/>
            <w:right w:val="none" w:sz="0" w:space="0" w:color="auto"/>
          </w:divBdr>
          <w:divsChild>
            <w:div w:id="1107046785">
              <w:marLeft w:val="0"/>
              <w:marRight w:val="0"/>
              <w:marTop w:val="0"/>
              <w:marBottom w:val="0"/>
              <w:divBdr>
                <w:top w:val="none" w:sz="0" w:space="0" w:color="auto"/>
                <w:left w:val="none" w:sz="0" w:space="0" w:color="auto"/>
                <w:bottom w:val="none" w:sz="0" w:space="0" w:color="auto"/>
                <w:right w:val="none" w:sz="0" w:space="0" w:color="auto"/>
              </w:divBdr>
              <w:divsChild>
                <w:div w:id="11407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cj.org/ccj-strikes-down-mandatory-death-penalty-in-barbados/" TargetMode="External"/><Relationship Id="rId1" Type="http://schemas.openxmlformats.org/officeDocument/2006/relationships/hyperlink" Target="https://www.ccj.org/ccj-strikes-down-mandatory-death-penalty-in-barbad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DCAD0-904B-4830-9DB8-27C756826453}">
  <ds:schemaRefs>
    <ds:schemaRef ds:uri="http://schemas.openxmlformats.org/officeDocument/2006/bibliography"/>
  </ds:schemaRefs>
</ds:datastoreItem>
</file>

<file path=customXml/itemProps2.xml><?xml version="1.0" encoding="utf-8"?>
<ds:datastoreItem xmlns:ds="http://schemas.openxmlformats.org/officeDocument/2006/customXml" ds:itemID="{F764752A-AB0E-4957-ABDF-2404F6DA3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638E3-228D-48CF-B305-0D17FEF577B0}">
  <ds:schemaRefs>
    <ds:schemaRef ds:uri="http://schemas.microsoft.com/sharepoint/v3/contenttype/forms"/>
  </ds:schemaRefs>
</ds:datastoreItem>
</file>

<file path=customXml/itemProps4.xml><?xml version="1.0" encoding="utf-8"?>
<ds:datastoreItem xmlns:ds="http://schemas.openxmlformats.org/officeDocument/2006/customXml" ds:itemID="{0B86AC20-0D5B-4CD7-A66C-D21B6F7D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11655</Words>
  <Characters>66438</Characters>
  <Application>Microsoft Office Word</Application>
  <DocSecurity>0</DocSecurity>
  <Lines>553</Lines>
  <Paragraphs>155</Paragraphs>
  <ScaleCrop>false</ScaleCrop>
  <Company/>
  <LinksUpToDate>false</LinksUpToDate>
  <CharactersWithSpaces>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2022-04-18T13:04:00Z</dcterms:created>
  <dcterms:modified xsi:type="dcterms:W3CDTF">2022-04-18T13:04:00Z</dcterms:modified>
</cp:coreProperties>
</file>